
<file path=[Content_Types].xml><?xml version="1.0" encoding="utf-8"?>
<Types xmlns="http://schemas.openxmlformats.org/package/2006/content-types">
  <Default Extension="xml" ContentType="application/xml"/>
  <Default Extension="png" ContentType="image/png"/>
  <Default Extension="emf" ContentType="image/x-emf"/>
  <Default Extension="gif" ContentType="image/gif"/>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ustomizations.xml" ContentType="application/vnd.ms-word.keyMapCustomizations+xml"/>
  <Override PartName="/word/document.xml" ContentType="application/vnd.openxmlformats-officedocument.wordprocessingml.document.main+xml"/>
  <Override PartName="/word/embeddings/Microsoft_Visio___1.vsdx" ContentType="application/vnd.ms-visio.drawing"/>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D0C0AB0">
      <w:r>
        <w:drawing>
          <wp:anchor distT="0" distB="0" distL="114300" distR="114300" simplePos="0" relativeHeight="251660288" behindDoc="1" locked="0" layoutInCell="1" allowOverlap="1">
            <wp:simplePos x="0" y="0"/>
            <wp:positionH relativeFrom="column">
              <wp:posOffset>-1226185</wp:posOffset>
            </wp:positionH>
            <wp:positionV relativeFrom="paragraph">
              <wp:posOffset>-925195</wp:posOffset>
            </wp:positionV>
            <wp:extent cx="7640955" cy="10805160"/>
            <wp:effectExtent l="0" t="0" r="0" b="0"/>
            <wp:wrapNone/>
            <wp:docPr id="45" name="图片 45" descr="C:\Users\denglin1\AppData\Local\Microsoft\Windows\INetCache\Content.Word\fe6d7b968251913c615c80fec9fa35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Users\denglin1\AppData\Local\Microsoft\Windows\INetCache\Content.Word\fe6d7b968251913c615c80fec9fa35c5.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7640955" cy="10805160"/>
                    </a:xfrm>
                    <a:prstGeom prst="rect">
                      <a:avLst/>
                    </a:prstGeom>
                    <a:noFill/>
                    <a:ln>
                      <a:noFill/>
                    </a:ln>
                  </pic:spPr>
                </pic:pic>
              </a:graphicData>
            </a:graphic>
          </wp:anchor>
        </w:drawing>
      </w:r>
    </w:p>
    <w:p w14:paraId="2202A6CE"/>
    <w:p w14:paraId="5AC5EE66">
      <w:pPr>
        <w:jc w:val="left"/>
      </w:pPr>
      <w:r>
        <mc:AlternateContent>
          <mc:Choice Requires="wps">
            <w:drawing>
              <wp:anchor distT="45720" distB="45720" distL="114300" distR="114300" simplePos="0" relativeHeight="251661312" behindDoc="0" locked="0" layoutInCell="1" allowOverlap="1">
                <wp:simplePos x="0" y="0"/>
                <wp:positionH relativeFrom="margin">
                  <wp:posOffset>-718185</wp:posOffset>
                </wp:positionH>
                <wp:positionV relativeFrom="paragraph">
                  <wp:posOffset>3290570</wp:posOffset>
                </wp:positionV>
                <wp:extent cx="7559040" cy="2457450"/>
                <wp:effectExtent l="0" t="0" r="0" b="0"/>
                <wp:wrapSquare wrapText="bothSides"/>
                <wp:docPr id="3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7559040" cy="2457450"/>
                        </a:xfrm>
                        <a:prstGeom prst="rect">
                          <a:avLst/>
                        </a:prstGeom>
                        <a:noFill/>
                        <a:ln w="9525">
                          <a:noFill/>
                          <a:miter lim="800000"/>
                        </a:ln>
                      </wps:spPr>
                      <wps:txbx>
                        <w:txbxContent>
                          <w:p w14:paraId="7E833F6D">
                            <w:pPr>
                              <w:spacing w:before="156" w:beforeLines="50" w:after="156" w:afterLines="50"/>
                              <w:jc w:val="center"/>
                              <w:rPr>
                                <w:b/>
                                <w:color w:val="FFFFFF" w:themeColor="background1"/>
                                <w:sz w:val="64"/>
                                <w:szCs w:val="64"/>
                                <w14:textFill>
                                  <w14:solidFill>
                                    <w14:schemeClr w14:val="bg1"/>
                                  </w14:solidFill>
                                </w14:textFill>
                              </w:rPr>
                            </w:pPr>
                            <w:r>
                              <w:rPr>
                                <w:b/>
                                <w:color w:val="FFFFFF" w:themeColor="background1"/>
                                <w:sz w:val="64"/>
                                <w:szCs w:val="64"/>
                                <w14:textFill>
                                  <w14:solidFill>
                                    <w14:schemeClr w14:val="bg1"/>
                                  </w14:solidFill>
                                </w14:textFill>
                              </w:rPr>
                              <w:t>360</w:t>
                            </w:r>
                            <w:r>
                              <w:rPr>
                                <w:rFonts w:hint="eastAsia"/>
                                <w:b/>
                                <w:color w:val="FFFFFF" w:themeColor="background1"/>
                                <w:sz w:val="64"/>
                                <w:szCs w:val="64"/>
                                <w14:textFill>
                                  <w14:solidFill>
                                    <w14:schemeClr w14:val="bg1"/>
                                  </w14:solidFill>
                                </w14:textFill>
                              </w:rPr>
                              <w:t>上网行为审计产品</w:t>
                            </w:r>
                          </w:p>
                          <w:p w14:paraId="0C254671">
                            <w:pPr>
                              <w:spacing w:before="156" w:beforeLines="50" w:after="156" w:afterLines="50"/>
                              <w:jc w:val="center"/>
                              <w:rPr>
                                <w:rFonts w:ascii="仿宋_GB2312" w:eastAsia="仿宋_GB2312" w:cs="Times New Roman"/>
                                <w:b/>
                                <w:color w:val="FFFFFF" w:themeColor="background1"/>
                                <w:sz w:val="28"/>
                                <w:szCs w:val="28"/>
                                <w14:textFill>
                                  <w14:solidFill>
                                    <w14:schemeClr w14:val="bg1"/>
                                  </w14:solidFill>
                                </w14:textFill>
                              </w:rPr>
                            </w:pPr>
                            <w:r>
                              <w:rPr>
                                <w:rFonts w:hint="eastAsia"/>
                                <w:b/>
                                <w:color w:val="FFFFFF" w:themeColor="background1"/>
                                <w:sz w:val="64"/>
                                <w:szCs w:val="64"/>
                                <w14:textFill>
                                  <w14:solidFill>
                                    <w14:schemeClr w14:val="bg1"/>
                                  </w14:solidFill>
                                </w14:textFill>
                              </w:rPr>
                              <w:t>操作手册</w:t>
                            </w:r>
                            <w:r>
                              <w:rPr>
                                <w:rFonts w:ascii="仿宋_GB2312" w:eastAsia="仿宋_GB2312" w:cs="Times New Roman"/>
                                <w:b/>
                                <w:color w:val="FFFFFF" w:themeColor="background1"/>
                                <w:sz w:val="28"/>
                                <w:szCs w:val="28"/>
                                <w14:textFill>
                                  <w14:solidFill>
                                    <w14:schemeClr w14:val="bg1"/>
                                  </w14:solidFill>
                                </w14:textFill>
                              </w:rPr>
                              <w:t xml:space="preserve"> </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56.55pt;margin-top:259.1pt;height:193.5pt;width:595.2pt;mso-position-horizontal-relative:margin;mso-wrap-distance-bottom:3.6pt;mso-wrap-distance-left:9pt;mso-wrap-distance-right:9pt;mso-wrap-distance-top:3.6pt;z-index:251661312;mso-width-relative:page;mso-height-relative:page;" filled="f" stroked="f" coordsize="21600,21600" o:gfxdata="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KFHulTaAAAADQEAAA8AAAAAAAAAAQAgAAAAIgAAAGRycy9kb3ducmV2LnhtbFBLAQIUABQAAAAI&#10;AIdO4kDWEHDiJAIAACsEAAAOAAAAAAAAAAEAIAAAACkBAABkcnMvZTJvRG9jLnhtbFBLBQYAAAAA&#10;BgAGAFkBAAC/BQAAAAA=&#10;">
                <v:fill on="f" focussize="0,0"/>
                <v:stroke on="f" miterlimit="8" joinstyle="miter"/>
                <v:imagedata o:title=""/>
                <o:lock v:ext="edit" aspectratio="f"/>
                <v:textbox>
                  <w:txbxContent>
                    <w:p w14:paraId="7E833F6D">
                      <w:pPr>
                        <w:spacing w:before="156" w:beforeLines="50" w:after="156" w:afterLines="50"/>
                        <w:jc w:val="center"/>
                        <w:rPr>
                          <w:b/>
                          <w:color w:val="FFFFFF" w:themeColor="background1"/>
                          <w:sz w:val="64"/>
                          <w:szCs w:val="64"/>
                          <w14:textFill>
                            <w14:solidFill>
                              <w14:schemeClr w14:val="bg1"/>
                            </w14:solidFill>
                          </w14:textFill>
                        </w:rPr>
                      </w:pPr>
                      <w:r>
                        <w:rPr>
                          <w:b/>
                          <w:color w:val="FFFFFF" w:themeColor="background1"/>
                          <w:sz w:val="64"/>
                          <w:szCs w:val="64"/>
                          <w14:textFill>
                            <w14:solidFill>
                              <w14:schemeClr w14:val="bg1"/>
                            </w14:solidFill>
                          </w14:textFill>
                        </w:rPr>
                        <w:t>360</w:t>
                      </w:r>
                      <w:r>
                        <w:rPr>
                          <w:rFonts w:hint="eastAsia"/>
                          <w:b/>
                          <w:color w:val="FFFFFF" w:themeColor="background1"/>
                          <w:sz w:val="64"/>
                          <w:szCs w:val="64"/>
                          <w14:textFill>
                            <w14:solidFill>
                              <w14:schemeClr w14:val="bg1"/>
                            </w14:solidFill>
                          </w14:textFill>
                        </w:rPr>
                        <w:t>上网行为审计产品</w:t>
                      </w:r>
                    </w:p>
                    <w:p w14:paraId="0C254671">
                      <w:pPr>
                        <w:spacing w:before="156" w:beforeLines="50" w:after="156" w:afterLines="50"/>
                        <w:jc w:val="center"/>
                        <w:rPr>
                          <w:rFonts w:ascii="仿宋_GB2312" w:eastAsia="仿宋_GB2312" w:cs="Times New Roman"/>
                          <w:b/>
                          <w:color w:val="FFFFFF" w:themeColor="background1"/>
                          <w:sz w:val="28"/>
                          <w:szCs w:val="28"/>
                          <w14:textFill>
                            <w14:solidFill>
                              <w14:schemeClr w14:val="bg1"/>
                            </w14:solidFill>
                          </w14:textFill>
                        </w:rPr>
                      </w:pPr>
                      <w:r>
                        <w:rPr>
                          <w:rFonts w:hint="eastAsia"/>
                          <w:b/>
                          <w:color w:val="FFFFFF" w:themeColor="background1"/>
                          <w:sz w:val="64"/>
                          <w:szCs w:val="64"/>
                          <w14:textFill>
                            <w14:solidFill>
                              <w14:schemeClr w14:val="bg1"/>
                            </w14:solidFill>
                          </w14:textFill>
                        </w:rPr>
                        <w:t>操作手册</w:t>
                      </w:r>
                      <w:r>
                        <w:rPr>
                          <w:rFonts w:ascii="仿宋_GB2312" w:eastAsia="仿宋_GB2312" w:cs="Times New Roman"/>
                          <w:b/>
                          <w:color w:val="FFFFFF" w:themeColor="background1"/>
                          <w:sz w:val="28"/>
                          <w:szCs w:val="28"/>
                          <w14:textFill>
                            <w14:solidFill>
                              <w14:schemeClr w14:val="bg1"/>
                            </w14:solidFill>
                          </w14:textFill>
                        </w:rPr>
                        <w:t xml:space="preserve"> </w:t>
                      </w:r>
                    </w:p>
                  </w:txbxContent>
                </v:textbox>
                <w10:wrap type="square"/>
              </v:shape>
            </w:pict>
          </mc:Fallback>
        </mc:AlternateContent>
      </w:r>
      <w:r>
        <w:br w:type="page"/>
      </w:r>
    </w:p>
    <w:p w14:paraId="7657966B">
      <w:pPr>
        <w:jc w:val="center"/>
        <w:rPr>
          <w:rFonts w:ascii="宋体" w:hAnsi="宋体" w:cs="宋体"/>
          <w:b/>
          <w:bCs/>
          <w:kern w:val="0"/>
          <w:sz w:val="44"/>
          <w:szCs w:val="44"/>
        </w:rPr>
      </w:pPr>
    </w:p>
    <w:p w14:paraId="75CE4B67">
      <w:pPr>
        <w:pStyle w:val="148"/>
      </w:pPr>
      <w:r>
        <w:rPr>
          <w:rFonts w:hint="eastAsia"/>
        </w:rPr>
        <w:t>版权声明</w:t>
      </w:r>
    </w:p>
    <w:p w14:paraId="062F9DB1">
      <w:pPr>
        <w:pStyle w:val="148"/>
      </w:pPr>
    </w:p>
    <w:p w14:paraId="6BC138BC">
      <w:r>
        <w:t>©20</w:t>
      </w:r>
      <w:r>
        <w:rPr>
          <w:rFonts w:hint="eastAsia"/>
        </w:rPr>
        <w:t>2</w:t>
      </w:r>
      <w:r>
        <w:t>4</w:t>
      </w:r>
      <w:r>
        <w:rPr>
          <w:rFonts w:hint="eastAsia"/>
        </w:rPr>
        <w:t>-</w:t>
      </w:r>
      <w:r>
        <w:t>2025 360公司</w:t>
      </w:r>
      <w:r>
        <w:rPr>
          <w:rFonts w:hint="eastAsia"/>
        </w:rPr>
        <w:t xml:space="preserve"> 保留所有权利</w:t>
      </w:r>
    </w:p>
    <w:p w14:paraId="6EAA6F4B">
      <w:pPr>
        <w:sectPr>
          <w:pgSz w:w="11906" w:h="16838"/>
          <w:pgMar w:top="1440" w:right="1800" w:bottom="1440" w:left="1800" w:header="851" w:footer="992" w:gutter="0"/>
          <w:cols w:space="425" w:num="1"/>
          <w:docGrid w:type="lines" w:linePitch="312" w:charSpace="0"/>
        </w:sectPr>
      </w:pPr>
      <w:r>
        <w:rPr>
          <w:rFonts w:hint="eastAsia"/>
        </w:rPr>
        <w:t>本文档所有内容均为360公司独立完成，未经360公司作出明确书面许可，不得为任何目的、以任何形式或手段（包括电子、机械、复印、录音或其他形状）对本文档的任何部分进行复制、修改、存储、引入检索系统或者传播。</w:t>
      </w:r>
    </w:p>
    <w:p w14:paraId="1B7C78C6">
      <w:pPr>
        <w:pStyle w:val="170"/>
      </w:pPr>
      <w:r>
        <w:rPr>
          <w:rFonts w:hint="eastAsia"/>
        </w:rPr>
        <w:t>前言</w:t>
      </w:r>
    </w:p>
    <w:p w14:paraId="11320665">
      <w:pPr>
        <w:pStyle w:val="171"/>
      </w:pPr>
      <w:r>
        <w:rPr>
          <w:rFonts w:hint="eastAsia"/>
        </w:rPr>
        <w:t>文档概述</w:t>
      </w:r>
    </w:p>
    <w:p w14:paraId="472C0896">
      <w:r>
        <w:t>360上网行为审计系统</w:t>
      </w:r>
      <w:r>
        <w:rPr>
          <w:rFonts w:hint="eastAsia"/>
        </w:rPr>
        <w:t>操作手册介绍了</w:t>
      </w:r>
      <w:r>
        <w:t>360IBAS</w:t>
      </w:r>
      <w:r>
        <w:rPr>
          <w:rFonts w:hint="eastAsia"/>
        </w:rPr>
        <w:t>系列上网审计系统各软件特性的原理及其通过Web配置的方法，包含原理简介、配置任务描述和配置举例。</w:t>
      </w:r>
    </w:p>
    <w:p w14:paraId="7F524FA9">
      <w:pPr>
        <w:pStyle w:val="171"/>
      </w:pPr>
      <w:r>
        <w:rPr>
          <w:rFonts w:hint="eastAsia"/>
        </w:rPr>
        <w:t>读者对象</w:t>
      </w:r>
    </w:p>
    <w:p w14:paraId="13C6F930">
      <w:bookmarkStart w:id="0" w:name="_Ref38620490"/>
      <w:bookmarkStart w:id="1" w:name="_Ref38620496"/>
      <w:r>
        <w:rPr>
          <w:rFonts w:hint="eastAsia"/>
        </w:rPr>
        <w:t>本手册主要适用于如下工程师：</w:t>
      </w:r>
    </w:p>
    <w:p w14:paraId="53526467">
      <w:pPr>
        <w:pStyle w:val="162"/>
      </w:pPr>
      <w:r>
        <w:rPr>
          <w:rFonts w:hint="eastAsia"/>
        </w:rPr>
        <w:t>网络规划人员</w:t>
      </w:r>
    </w:p>
    <w:p w14:paraId="1AE2A594">
      <w:pPr>
        <w:pStyle w:val="162"/>
      </w:pPr>
      <w:r>
        <w:rPr>
          <w:rFonts w:hint="eastAsia"/>
        </w:rPr>
        <w:t>现场技术支持与维护人员</w:t>
      </w:r>
    </w:p>
    <w:p w14:paraId="03F6D04C">
      <w:pPr>
        <w:pStyle w:val="162"/>
      </w:pPr>
      <w:r>
        <w:rPr>
          <w:rFonts w:hint="eastAsia"/>
        </w:rPr>
        <w:t>负责网络配置和维护的网络管理员</w:t>
      </w:r>
    </w:p>
    <w:p w14:paraId="2EA1A98F">
      <w:pPr>
        <w:pStyle w:val="171"/>
      </w:pPr>
      <w:r>
        <w:rPr>
          <w:rFonts w:hint="eastAsia"/>
        </w:rPr>
        <w:t>通用约定</w:t>
      </w:r>
      <w:bookmarkEnd w:id="0"/>
      <w:bookmarkEnd w:id="1"/>
    </w:p>
    <w:p w14:paraId="1999A18B">
      <w:r>
        <w:rPr>
          <w:rFonts w:hint="eastAsia"/>
        </w:rPr>
        <w:t>在本文中可能会出现下列文字，它们所代表的含义如下：</w:t>
      </w:r>
    </w:p>
    <w:tbl>
      <w:tblPr>
        <w:tblStyle w:val="173"/>
        <w:tblW w:w="500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597"/>
        <w:gridCol w:w="6925"/>
      </w:tblGrid>
      <w:tr w14:paraId="3BDA6C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37" w:type="pct"/>
            <w:tcBorders>
              <w:tl2br w:val="nil"/>
              <w:tr2bl w:val="nil"/>
            </w:tcBorders>
            <w:shd w:val="clear" w:color="auto" w:fill="538135" w:themeFill="accent6" w:themeFillShade="BF"/>
            <w:vAlign w:val="center"/>
          </w:tcPr>
          <w:p w14:paraId="35D705B9">
            <w:pPr>
              <w:pStyle w:val="150"/>
              <w:wordWrap/>
              <w:rPr>
                <w:b w:val="0"/>
                <w:bCs w:val="0"/>
                <w:i w:val="0"/>
                <w:iCs w:val="0"/>
                <w:color w:val="FFFFFF" w:themeColor="background1"/>
                <w14:textFill>
                  <w14:solidFill>
                    <w14:schemeClr w14:val="bg1"/>
                  </w14:solidFill>
                </w14:textFill>
              </w:rPr>
            </w:pPr>
            <w:r>
              <w:rPr>
                <w:b w:val="0"/>
                <w:bCs w:val="0"/>
                <w:i w:val="0"/>
                <w:iCs w:val="0"/>
                <w:color w:val="FFFFFF" w:themeColor="background1"/>
                <w14:textFill>
                  <w14:solidFill>
                    <w14:schemeClr w14:val="bg1"/>
                  </w14:solidFill>
                </w14:textFill>
              </w:rPr>
              <w:t>符号</w:t>
            </w:r>
          </w:p>
        </w:tc>
        <w:tc>
          <w:tcPr>
            <w:tcW w:w="4063" w:type="pct"/>
            <w:tcBorders>
              <w:tl2br w:val="nil"/>
              <w:tr2bl w:val="nil"/>
            </w:tcBorders>
            <w:shd w:val="clear" w:color="auto" w:fill="538135" w:themeFill="accent6" w:themeFillShade="BF"/>
            <w:vAlign w:val="center"/>
          </w:tcPr>
          <w:p w14:paraId="150354D7">
            <w:pPr>
              <w:pStyle w:val="150"/>
              <w:wordWrap/>
              <w:rPr>
                <w:b w:val="0"/>
                <w:bCs w:val="0"/>
                <w:i w:val="0"/>
                <w:iCs w:val="0"/>
                <w:color w:val="FFFFFF" w:themeColor="background1"/>
                <w14:textFill>
                  <w14:solidFill>
                    <w14:schemeClr w14:val="bg1"/>
                  </w14:solidFill>
                </w14:textFill>
              </w:rPr>
            </w:pPr>
            <w:r>
              <w:rPr>
                <w:b w:val="0"/>
                <w:bCs w:val="0"/>
                <w:i w:val="0"/>
                <w:iCs w:val="0"/>
                <w:color w:val="FFFFFF" w:themeColor="background1"/>
                <w14:textFill>
                  <w14:solidFill>
                    <w14:schemeClr w14:val="bg1"/>
                  </w14:solidFill>
                </w14:textFill>
              </w:rPr>
              <w:t>说明</w:t>
            </w:r>
          </w:p>
        </w:tc>
      </w:tr>
      <w:tr w14:paraId="0B4F08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69" w:hRule="atLeast"/>
        </w:trPr>
        <w:tc>
          <w:tcPr>
            <w:tcW w:w="937" w:type="pct"/>
            <w:shd w:val="clear" w:color="auto" w:fill="auto"/>
          </w:tcPr>
          <w:p w14:paraId="4578FE7E">
            <w:pPr>
              <w:pStyle w:val="150"/>
            </w:pPr>
            <w:r>
              <w:drawing>
                <wp:inline distT="0" distB="0" distL="0" distR="0">
                  <wp:extent cx="260350" cy="260350"/>
                  <wp:effectExtent l="0" t="0" r="6350" b="635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0470" cy="260470"/>
                          </a:xfrm>
                          <a:prstGeom prst="rect">
                            <a:avLst/>
                          </a:prstGeom>
                        </pic:spPr>
                      </pic:pic>
                    </a:graphicData>
                  </a:graphic>
                </wp:inline>
              </w:drawing>
            </w:r>
          </w:p>
        </w:tc>
        <w:tc>
          <w:tcPr>
            <w:tcW w:w="4063" w:type="pct"/>
            <w:shd w:val="clear" w:color="auto" w:fill="auto"/>
          </w:tcPr>
          <w:p w14:paraId="4DC7F6AC">
            <w:pPr>
              <w:pStyle w:val="150"/>
              <w:rPr>
                <w:i/>
              </w:rPr>
            </w:pPr>
            <w:r>
              <w:rPr>
                <w:rFonts w:hint="eastAsia"/>
              </w:rPr>
              <w:t>表示有潜在风险，如果忽视这些文本，可能导致设备损坏、数据丢失、设备性能降低或不可预知的后果。（表内容）</w:t>
            </w:r>
          </w:p>
        </w:tc>
      </w:tr>
      <w:tr w14:paraId="0BA8F7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37" w:type="pct"/>
            <w:shd w:val="clear" w:color="auto" w:fill="auto"/>
          </w:tcPr>
          <w:p w14:paraId="7209561B">
            <w:pPr>
              <w:pStyle w:val="150"/>
            </w:pPr>
            <w:r>
              <w:drawing>
                <wp:inline distT="0" distB="0" distL="0" distR="0">
                  <wp:extent cx="283210" cy="283210"/>
                  <wp:effectExtent l="0" t="0" r="2540" b="254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4063" w:type="pct"/>
            <w:shd w:val="clear" w:color="auto" w:fill="auto"/>
          </w:tcPr>
          <w:p w14:paraId="6B392E0F">
            <w:pPr>
              <w:pStyle w:val="150"/>
              <w:rPr>
                <w:i/>
              </w:rPr>
            </w:pPr>
            <w:r>
              <w:rPr>
                <w:rFonts w:hint="eastAsia"/>
              </w:rPr>
              <w:t>表示是正文的附加信息，是对正文的强调和补充。</w:t>
            </w:r>
          </w:p>
        </w:tc>
      </w:tr>
    </w:tbl>
    <w:p w14:paraId="6C1E56D3">
      <w:pPr>
        <w:pStyle w:val="171"/>
      </w:pPr>
      <w:r>
        <w:rPr>
          <w:rFonts w:hint="eastAsia"/>
        </w:rPr>
        <w:t>参考文档</w:t>
      </w:r>
    </w:p>
    <w:p w14:paraId="62F5DDAD">
      <w:r>
        <w:rPr>
          <w:rFonts w:hint="eastAsia"/>
        </w:rPr>
        <w:t>无</w:t>
      </w:r>
    </w:p>
    <w:p w14:paraId="0D462DF6">
      <w:pPr>
        <w:pStyle w:val="171"/>
      </w:pPr>
      <w:r>
        <w:rPr>
          <w:rFonts w:hint="eastAsia"/>
        </w:rPr>
        <w:t>术语解释</w:t>
      </w:r>
    </w:p>
    <w:tbl>
      <w:tblPr>
        <w:tblStyle w:val="173"/>
        <w:tblW w:w="850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555"/>
        <w:gridCol w:w="6945"/>
      </w:tblGrid>
      <w:tr w14:paraId="374B9B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1555" w:type="dxa"/>
            <w:tcBorders>
              <w:tl2br w:val="nil"/>
              <w:tr2bl w:val="nil"/>
            </w:tcBorders>
            <w:shd w:val="clear" w:color="auto" w:fill="538135" w:themeFill="accent6" w:themeFillShade="BF"/>
            <w:vAlign w:val="center"/>
          </w:tcPr>
          <w:p w14:paraId="585DF05C">
            <w:pPr>
              <w:pStyle w:val="149"/>
              <w:wordWrap/>
              <w:rPr>
                <w:b/>
                <w:bCs/>
                <w:i w:val="0"/>
                <w:iCs w:val="0"/>
              </w:rPr>
            </w:pPr>
            <w:r>
              <w:rPr>
                <w:rFonts w:hint="eastAsia"/>
                <w:b/>
                <w:bCs/>
                <w:i w:val="0"/>
                <w:iCs w:val="0"/>
              </w:rPr>
              <w:t>术语</w:t>
            </w:r>
          </w:p>
        </w:tc>
        <w:tc>
          <w:tcPr>
            <w:tcW w:w="6945" w:type="dxa"/>
            <w:tcBorders>
              <w:tl2br w:val="nil"/>
              <w:tr2bl w:val="nil"/>
            </w:tcBorders>
            <w:shd w:val="clear" w:color="auto" w:fill="538135" w:themeFill="accent6" w:themeFillShade="BF"/>
            <w:vAlign w:val="center"/>
          </w:tcPr>
          <w:p w14:paraId="26DAE9E4">
            <w:pPr>
              <w:pStyle w:val="149"/>
              <w:wordWrap/>
              <w:rPr>
                <w:b/>
                <w:bCs/>
                <w:i w:val="0"/>
                <w:iCs w:val="0"/>
              </w:rPr>
            </w:pPr>
            <w:r>
              <w:rPr>
                <w:rFonts w:hint="eastAsia"/>
                <w:b/>
                <w:bCs/>
                <w:i w:val="0"/>
                <w:iCs w:val="0"/>
              </w:rPr>
              <w:t>说明</w:t>
            </w:r>
          </w:p>
        </w:tc>
      </w:tr>
      <w:tr w14:paraId="0798CE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555" w:type="dxa"/>
            <w:shd w:val="clear" w:color="auto" w:fill="auto"/>
          </w:tcPr>
          <w:p w14:paraId="6AAACE75">
            <w:pPr>
              <w:pStyle w:val="150"/>
            </w:pPr>
            <w:r>
              <w:rPr>
                <w:rFonts w:hint="eastAsia"/>
              </w:rPr>
              <w:t>NTA</w:t>
            </w:r>
          </w:p>
        </w:tc>
        <w:tc>
          <w:tcPr>
            <w:tcW w:w="6945" w:type="dxa"/>
            <w:shd w:val="clear" w:color="auto" w:fill="auto"/>
          </w:tcPr>
          <w:p w14:paraId="35BF5125">
            <w:pPr>
              <w:pStyle w:val="150"/>
            </w:pPr>
            <w:r>
              <w:t xml:space="preserve">Network </w:t>
            </w:r>
            <w:r>
              <w:rPr>
                <w:rFonts w:hint="eastAsia"/>
              </w:rPr>
              <w:t>T</w:t>
            </w:r>
            <w:r>
              <w:t>raffic</w:t>
            </w:r>
            <w:r>
              <w:rPr>
                <w:rFonts w:hint="eastAsia"/>
              </w:rPr>
              <w:t xml:space="preserve"> A</w:t>
            </w:r>
            <w:r>
              <w:t>nalysis</w:t>
            </w:r>
            <w:r>
              <w:rPr>
                <w:rFonts w:hint="eastAsia"/>
              </w:rPr>
              <w:t>网络流量分析系统。</w:t>
            </w:r>
          </w:p>
        </w:tc>
      </w:tr>
      <w:tr w14:paraId="7A132D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555" w:type="dxa"/>
            <w:shd w:val="clear" w:color="auto" w:fill="auto"/>
          </w:tcPr>
          <w:p w14:paraId="0C43ABC8">
            <w:pPr>
              <w:pStyle w:val="150"/>
            </w:pPr>
            <w:r>
              <w:t>DHCP</w:t>
            </w:r>
          </w:p>
        </w:tc>
        <w:tc>
          <w:tcPr>
            <w:tcW w:w="6945" w:type="dxa"/>
            <w:shd w:val="clear" w:color="auto" w:fill="auto"/>
          </w:tcPr>
          <w:p w14:paraId="1B21C870">
            <w:pPr>
              <w:pStyle w:val="150"/>
            </w:pPr>
            <w:r>
              <w:rPr>
                <w:rFonts w:hint="eastAsia"/>
              </w:rPr>
              <w:t>动态主机配置协议（Dynamic Host ConfigurationProtocol）为网络中的主机动态分配IP地址、子网掩码、网关等信息。</w:t>
            </w:r>
          </w:p>
        </w:tc>
      </w:tr>
      <w:tr w14:paraId="164A6A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555" w:type="dxa"/>
            <w:shd w:val="clear" w:color="auto" w:fill="auto"/>
          </w:tcPr>
          <w:p w14:paraId="4CCC4081">
            <w:pPr>
              <w:pStyle w:val="150"/>
            </w:pPr>
            <w:r>
              <w:t>DNS</w:t>
            </w:r>
          </w:p>
        </w:tc>
        <w:tc>
          <w:tcPr>
            <w:tcW w:w="6945" w:type="dxa"/>
            <w:shd w:val="clear" w:color="auto" w:fill="auto"/>
          </w:tcPr>
          <w:p w14:paraId="52D37C0A">
            <w:pPr>
              <w:pStyle w:val="150"/>
            </w:pPr>
            <w:r>
              <w:rPr>
                <w:rFonts w:hint="eastAsia"/>
              </w:rPr>
              <w:t>域名系统（Domain Name System）是互联网的一项服务。它作为将域名和IP地址相互映射的一个分布式数据库，能够使人更方便地访问互联网。</w:t>
            </w:r>
          </w:p>
        </w:tc>
      </w:tr>
      <w:tr w14:paraId="7CD1DB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555" w:type="dxa"/>
            <w:shd w:val="clear" w:color="auto" w:fill="auto"/>
          </w:tcPr>
          <w:p w14:paraId="3FD2FCBE">
            <w:pPr>
              <w:pStyle w:val="150"/>
            </w:pPr>
            <w:r>
              <w:t>DDNS</w:t>
            </w:r>
          </w:p>
        </w:tc>
        <w:tc>
          <w:tcPr>
            <w:tcW w:w="6945" w:type="dxa"/>
            <w:shd w:val="clear" w:color="auto" w:fill="auto"/>
          </w:tcPr>
          <w:p w14:paraId="1C36C936">
            <w:pPr>
              <w:pStyle w:val="150"/>
            </w:pPr>
            <w:r>
              <w:rPr>
                <w:rFonts w:hint="eastAsia"/>
              </w:rPr>
              <w:t>动态域名服务（Dynamic Domain Name Server）是将用户的动态IP地址映射到一个固定的域名解析服务上，用户每次连接网络的时候客户端程序就会通过信息传递把该主机的动态IP地址传送给位于服务商主机上的服务器程序，服务器程序负责提供DNS服务并实现动态域名解析。</w:t>
            </w:r>
          </w:p>
        </w:tc>
      </w:tr>
      <w:tr w14:paraId="43580A7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555" w:type="dxa"/>
            <w:shd w:val="clear" w:color="auto" w:fill="auto"/>
          </w:tcPr>
          <w:p w14:paraId="19D826FF">
            <w:pPr>
              <w:pStyle w:val="150"/>
            </w:pPr>
            <w:r>
              <w:rPr>
                <w:rFonts w:hint="eastAsia"/>
              </w:rPr>
              <w:t>IPSec</w:t>
            </w:r>
          </w:p>
        </w:tc>
        <w:tc>
          <w:tcPr>
            <w:tcW w:w="6945" w:type="dxa"/>
            <w:shd w:val="clear" w:color="auto" w:fill="auto"/>
          </w:tcPr>
          <w:p w14:paraId="145CB352">
            <w:pPr>
              <w:pStyle w:val="150"/>
            </w:pPr>
            <w:r>
              <w:rPr>
                <w:rFonts w:hint="eastAsia"/>
              </w:rPr>
              <w:t>IPSec（Inertnet Protocol Security）是一个协议包，通过对IP协议的分组进行加密和认证来保护IP协议的网络传输协议族。</w:t>
            </w:r>
          </w:p>
        </w:tc>
      </w:tr>
      <w:tr w14:paraId="300471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555" w:type="dxa"/>
            <w:shd w:val="clear" w:color="auto" w:fill="auto"/>
          </w:tcPr>
          <w:p w14:paraId="23970BA5">
            <w:pPr>
              <w:pStyle w:val="150"/>
            </w:pPr>
            <w:r>
              <w:t>IPv6</w:t>
            </w:r>
          </w:p>
        </w:tc>
        <w:tc>
          <w:tcPr>
            <w:tcW w:w="6945" w:type="dxa"/>
            <w:shd w:val="clear" w:color="auto" w:fill="auto"/>
          </w:tcPr>
          <w:p w14:paraId="74A66F30">
            <w:pPr>
              <w:pStyle w:val="150"/>
            </w:pPr>
            <w:r>
              <w:rPr>
                <w:rFonts w:hint="eastAsia"/>
              </w:rPr>
              <w:t>IPv6（Internet Protocol Version 6）是互联网工程任务组（IETF）设计的用于替代IPv4的下一代IP协议。</w:t>
            </w:r>
          </w:p>
        </w:tc>
      </w:tr>
      <w:tr w14:paraId="003769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555" w:type="dxa"/>
            <w:shd w:val="clear" w:color="auto" w:fill="auto"/>
          </w:tcPr>
          <w:p w14:paraId="358CF9EA">
            <w:pPr>
              <w:pStyle w:val="150"/>
            </w:pPr>
            <w:r>
              <w:t>OSPF</w:t>
            </w:r>
          </w:p>
        </w:tc>
        <w:tc>
          <w:tcPr>
            <w:tcW w:w="6945" w:type="dxa"/>
            <w:shd w:val="clear" w:color="auto" w:fill="auto"/>
          </w:tcPr>
          <w:p w14:paraId="7C5C690F">
            <w:pPr>
              <w:pStyle w:val="150"/>
            </w:pPr>
            <w:r>
              <w:rPr>
                <w:rFonts w:hint="eastAsia"/>
              </w:rPr>
              <w:t>开放式最短路径优先（Open Shortest Path First）是一个内部网关协议，用于在单一自治系统内决策路由。OSPF是一种基于链路状态的动态路由协议，对于网络变化能够快速收敛，应用非常广泛。</w:t>
            </w:r>
          </w:p>
        </w:tc>
      </w:tr>
      <w:tr w14:paraId="2F7CD0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555" w:type="dxa"/>
            <w:shd w:val="clear" w:color="auto" w:fill="auto"/>
          </w:tcPr>
          <w:p w14:paraId="68DAE3E1">
            <w:pPr>
              <w:pStyle w:val="150"/>
            </w:pPr>
            <w:r>
              <w:t>VRF</w:t>
            </w:r>
          </w:p>
        </w:tc>
        <w:tc>
          <w:tcPr>
            <w:tcW w:w="6945" w:type="dxa"/>
            <w:shd w:val="clear" w:color="auto" w:fill="auto"/>
          </w:tcPr>
          <w:p w14:paraId="30650BA7">
            <w:pPr>
              <w:pStyle w:val="150"/>
            </w:pPr>
            <w:r>
              <w:rPr>
                <w:rFonts w:hint="eastAsia"/>
              </w:rPr>
              <w:t>虚拟路由转发（Virtual Routing Forwarding）允许一个路由表的多个实例在同一时间同一个路由器上共存。</w:t>
            </w:r>
          </w:p>
        </w:tc>
      </w:tr>
      <w:tr w14:paraId="0EC280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555" w:type="dxa"/>
            <w:shd w:val="clear" w:color="auto" w:fill="auto"/>
          </w:tcPr>
          <w:p w14:paraId="625869C3">
            <w:pPr>
              <w:pStyle w:val="150"/>
            </w:pPr>
            <w:r>
              <w:rPr>
                <w:rFonts w:hint="eastAsia"/>
              </w:rPr>
              <w:t>VPN</w:t>
            </w:r>
          </w:p>
        </w:tc>
        <w:tc>
          <w:tcPr>
            <w:tcW w:w="6945" w:type="dxa"/>
            <w:shd w:val="clear" w:color="auto" w:fill="auto"/>
          </w:tcPr>
          <w:p w14:paraId="74DE49CF">
            <w:pPr>
              <w:pStyle w:val="150"/>
            </w:pPr>
            <w:r>
              <w:rPr>
                <w:rFonts w:hint="eastAsia"/>
              </w:rPr>
              <w:t>虚拟专用网络（Virtual Private Network）可以通过特殊的加密通讯协议在Internet上位于不同位置的两个或多个企业内部网之间建立专有的通讯线路，进行加密通讯。</w:t>
            </w:r>
          </w:p>
        </w:tc>
      </w:tr>
    </w:tbl>
    <w:p w14:paraId="56CBD408"/>
    <w:p w14:paraId="64921311">
      <w:r>
        <w:br w:type="page"/>
      </w:r>
    </w:p>
    <w:p w14:paraId="52F25D0C">
      <w:pPr>
        <w:pStyle w:val="148"/>
      </w:pPr>
      <w:r>
        <w:rPr>
          <w:rFonts w:hint="eastAsia"/>
        </w:rPr>
        <w:t>修订记录</w:t>
      </w:r>
    </w:p>
    <w:p w14:paraId="36E88873"/>
    <w:tbl>
      <w:tblPr>
        <w:tblStyle w:val="173"/>
        <w:tblW w:w="500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071"/>
        <w:gridCol w:w="1577"/>
        <w:gridCol w:w="1156"/>
        <w:gridCol w:w="2360"/>
        <w:gridCol w:w="2358"/>
      </w:tblGrid>
      <w:tr w14:paraId="52AF48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33" w:hRule="atLeast"/>
        </w:trPr>
        <w:tc>
          <w:tcPr>
            <w:tcW w:w="628" w:type="pct"/>
            <w:tcBorders>
              <w:tl2br w:val="nil"/>
              <w:tr2bl w:val="nil"/>
            </w:tcBorders>
            <w:shd w:val="clear" w:color="auto" w:fill="538135" w:themeFill="accent6" w:themeFillShade="BF"/>
            <w:vAlign w:val="center"/>
          </w:tcPr>
          <w:p w14:paraId="11C77D9F">
            <w:pPr>
              <w:pStyle w:val="149"/>
              <w:wordWrap/>
              <w:rPr>
                <w:b/>
                <w:bCs/>
                <w:i w:val="0"/>
                <w:iCs w:val="0"/>
              </w:rPr>
            </w:pPr>
            <w:r>
              <w:rPr>
                <w:rFonts w:hint="eastAsia"/>
                <w:b/>
                <w:bCs/>
                <w:i w:val="0"/>
                <w:iCs w:val="0"/>
              </w:rPr>
              <w:t>版本</w:t>
            </w:r>
          </w:p>
        </w:tc>
        <w:tc>
          <w:tcPr>
            <w:tcW w:w="925" w:type="pct"/>
            <w:tcBorders>
              <w:tl2br w:val="nil"/>
              <w:tr2bl w:val="nil"/>
            </w:tcBorders>
            <w:shd w:val="clear" w:color="auto" w:fill="538135" w:themeFill="accent6" w:themeFillShade="BF"/>
            <w:vAlign w:val="center"/>
          </w:tcPr>
          <w:p w14:paraId="2D2AE812">
            <w:pPr>
              <w:pStyle w:val="149"/>
              <w:wordWrap/>
              <w:rPr>
                <w:b/>
                <w:bCs/>
                <w:i w:val="0"/>
                <w:iCs w:val="0"/>
              </w:rPr>
            </w:pPr>
            <w:r>
              <w:rPr>
                <w:rFonts w:hint="eastAsia"/>
                <w:b/>
                <w:bCs/>
                <w:i w:val="0"/>
                <w:iCs w:val="0"/>
              </w:rPr>
              <w:t>修订时间</w:t>
            </w:r>
          </w:p>
        </w:tc>
        <w:tc>
          <w:tcPr>
            <w:tcW w:w="678" w:type="pct"/>
            <w:tcBorders>
              <w:tl2br w:val="nil"/>
              <w:tr2bl w:val="nil"/>
            </w:tcBorders>
            <w:shd w:val="clear" w:color="auto" w:fill="538135" w:themeFill="accent6" w:themeFillShade="BF"/>
            <w:vAlign w:val="center"/>
          </w:tcPr>
          <w:p w14:paraId="6215D3ED">
            <w:pPr>
              <w:pStyle w:val="149"/>
              <w:wordWrap/>
              <w:rPr>
                <w:b/>
                <w:bCs/>
                <w:i w:val="0"/>
                <w:iCs w:val="0"/>
              </w:rPr>
            </w:pPr>
            <w:r>
              <w:rPr>
                <w:rFonts w:hint="eastAsia"/>
                <w:b/>
                <w:bCs/>
                <w:i w:val="0"/>
                <w:iCs w:val="0"/>
              </w:rPr>
              <w:t>编制者</w:t>
            </w:r>
          </w:p>
        </w:tc>
        <w:tc>
          <w:tcPr>
            <w:tcW w:w="1384" w:type="pct"/>
            <w:tcBorders>
              <w:tl2br w:val="nil"/>
              <w:tr2bl w:val="nil"/>
            </w:tcBorders>
            <w:shd w:val="clear" w:color="auto" w:fill="538135" w:themeFill="accent6" w:themeFillShade="BF"/>
            <w:vAlign w:val="center"/>
          </w:tcPr>
          <w:p w14:paraId="7A701FAF">
            <w:pPr>
              <w:pStyle w:val="149"/>
              <w:wordWrap/>
              <w:rPr>
                <w:b/>
                <w:bCs/>
                <w:i w:val="0"/>
                <w:iCs w:val="0"/>
              </w:rPr>
            </w:pPr>
            <w:r>
              <w:rPr>
                <w:rFonts w:hint="eastAsia"/>
                <w:b/>
                <w:bCs/>
                <w:i w:val="0"/>
                <w:iCs w:val="0"/>
              </w:rPr>
              <w:t>审核者</w:t>
            </w:r>
          </w:p>
        </w:tc>
        <w:tc>
          <w:tcPr>
            <w:tcW w:w="1383" w:type="pct"/>
            <w:tcBorders>
              <w:tl2br w:val="nil"/>
              <w:tr2bl w:val="nil"/>
            </w:tcBorders>
            <w:shd w:val="clear" w:color="auto" w:fill="538135" w:themeFill="accent6" w:themeFillShade="BF"/>
            <w:vAlign w:val="center"/>
          </w:tcPr>
          <w:p w14:paraId="3A7C6EB1">
            <w:pPr>
              <w:pStyle w:val="149"/>
              <w:wordWrap/>
              <w:rPr>
                <w:b/>
                <w:bCs/>
                <w:i w:val="0"/>
                <w:iCs w:val="0"/>
              </w:rPr>
            </w:pPr>
            <w:r>
              <w:rPr>
                <w:rFonts w:hint="eastAsia"/>
                <w:b/>
                <w:bCs/>
                <w:i w:val="0"/>
                <w:iCs w:val="0"/>
              </w:rPr>
              <w:t>修订内容</w:t>
            </w:r>
          </w:p>
        </w:tc>
      </w:tr>
      <w:tr w14:paraId="2EB9955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49" w:hRule="atLeast"/>
        </w:trPr>
        <w:tc>
          <w:tcPr>
            <w:tcW w:w="628" w:type="pct"/>
            <w:shd w:val="clear" w:color="auto" w:fill="auto"/>
          </w:tcPr>
          <w:p w14:paraId="29778C8C">
            <w:pPr>
              <w:pStyle w:val="150"/>
            </w:pPr>
            <w:r>
              <w:t>v</w:t>
            </w:r>
            <w:r>
              <w:rPr>
                <w:rFonts w:hint="eastAsia"/>
              </w:rPr>
              <w:t>1.0</w:t>
            </w:r>
          </w:p>
        </w:tc>
        <w:tc>
          <w:tcPr>
            <w:tcW w:w="925" w:type="pct"/>
            <w:shd w:val="clear" w:color="auto" w:fill="auto"/>
          </w:tcPr>
          <w:p w14:paraId="6A57A741">
            <w:pPr>
              <w:pStyle w:val="150"/>
            </w:pPr>
            <w:r>
              <w:t>202</w:t>
            </w:r>
            <w:r>
              <w:rPr>
                <w:rFonts w:hint="eastAsia"/>
                <w:lang w:val="en-US" w:eastAsia="zh-CN"/>
              </w:rPr>
              <w:t>0</w:t>
            </w:r>
            <w:r>
              <w:t>-</w:t>
            </w:r>
            <w:r>
              <w:rPr>
                <w:rFonts w:hint="eastAsia"/>
                <w:lang w:val="en-US" w:eastAsia="zh-CN"/>
              </w:rPr>
              <w:t>7</w:t>
            </w:r>
            <w:r>
              <w:t>-3</w:t>
            </w:r>
          </w:p>
        </w:tc>
        <w:tc>
          <w:tcPr>
            <w:tcW w:w="678" w:type="pct"/>
            <w:shd w:val="clear" w:color="auto" w:fill="auto"/>
          </w:tcPr>
          <w:p w14:paraId="3FB864FF">
            <w:pPr>
              <w:pStyle w:val="150"/>
              <w:rPr>
                <w:rFonts w:hint="eastAsia" w:eastAsia="宋体"/>
                <w:lang w:val="en-US" w:eastAsia="zh-CN"/>
              </w:rPr>
            </w:pPr>
          </w:p>
        </w:tc>
        <w:tc>
          <w:tcPr>
            <w:tcW w:w="1384" w:type="pct"/>
            <w:shd w:val="clear" w:color="auto" w:fill="auto"/>
          </w:tcPr>
          <w:p w14:paraId="20075232">
            <w:pPr>
              <w:pStyle w:val="150"/>
            </w:pPr>
          </w:p>
        </w:tc>
        <w:tc>
          <w:tcPr>
            <w:tcW w:w="1383" w:type="pct"/>
            <w:shd w:val="clear" w:color="auto" w:fill="auto"/>
          </w:tcPr>
          <w:p w14:paraId="53E90D8C">
            <w:pPr>
              <w:pStyle w:val="150"/>
            </w:pPr>
            <w:r>
              <w:rPr>
                <w:rFonts w:hint="eastAsia"/>
              </w:rPr>
              <w:t>初稿</w:t>
            </w:r>
          </w:p>
        </w:tc>
      </w:tr>
      <w:tr w14:paraId="4B56DE7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49" w:hRule="atLeast"/>
        </w:trPr>
        <w:tc>
          <w:tcPr>
            <w:tcW w:w="628" w:type="pct"/>
            <w:shd w:val="clear" w:color="auto" w:fill="auto"/>
          </w:tcPr>
          <w:p w14:paraId="20A31083">
            <w:pPr>
              <w:pStyle w:val="150"/>
              <w:rPr>
                <w:rFonts w:hint="eastAsia" w:eastAsia="宋体"/>
                <w:lang w:eastAsia="zh-CN"/>
              </w:rPr>
            </w:pPr>
            <w:r>
              <w:rPr>
                <w:rFonts w:hint="eastAsia"/>
              </w:rPr>
              <w:t>V</w:t>
            </w:r>
            <w:r>
              <w:rPr>
                <w:rFonts w:hint="eastAsia"/>
                <w:lang w:val="en-US" w:eastAsia="zh-CN"/>
              </w:rPr>
              <w:t>1</w:t>
            </w:r>
            <w:r>
              <w:t>.</w:t>
            </w:r>
            <w:r>
              <w:rPr>
                <w:rFonts w:hint="eastAsia"/>
                <w:lang w:val="en-US" w:eastAsia="zh-CN"/>
              </w:rPr>
              <w:t>1</w:t>
            </w:r>
          </w:p>
        </w:tc>
        <w:tc>
          <w:tcPr>
            <w:tcW w:w="925" w:type="pct"/>
            <w:shd w:val="clear" w:color="auto" w:fill="auto"/>
          </w:tcPr>
          <w:p w14:paraId="2ABD2644">
            <w:pPr>
              <w:pStyle w:val="150"/>
            </w:pPr>
            <w:r>
              <w:t>202</w:t>
            </w:r>
            <w:r>
              <w:rPr>
                <w:rFonts w:hint="eastAsia"/>
                <w:lang w:val="en-US" w:eastAsia="zh-CN"/>
              </w:rPr>
              <w:t>1</w:t>
            </w:r>
            <w:r>
              <w:t>-</w:t>
            </w:r>
            <w:r>
              <w:rPr>
                <w:rFonts w:hint="eastAsia"/>
                <w:lang w:val="en-US" w:eastAsia="zh-CN"/>
              </w:rPr>
              <w:t>11</w:t>
            </w:r>
            <w:r>
              <w:t>-</w:t>
            </w:r>
            <w:r>
              <w:rPr>
                <w:rFonts w:hint="eastAsia"/>
                <w:lang w:val="en-US" w:eastAsia="zh-CN"/>
              </w:rPr>
              <w:t>0</w:t>
            </w:r>
            <w:r>
              <w:t>2</w:t>
            </w:r>
          </w:p>
        </w:tc>
        <w:tc>
          <w:tcPr>
            <w:tcW w:w="678" w:type="pct"/>
            <w:shd w:val="clear" w:color="auto" w:fill="auto"/>
          </w:tcPr>
          <w:p w14:paraId="3571CCC8">
            <w:pPr>
              <w:pStyle w:val="150"/>
            </w:pPr>
          </w:p>
        </w:tc>
        <w:tc>
          <w:tcPr>
            <w:tcW w:w="1384" w:type="pct"/>
            <w:shd w:val="clear" w:color="auto" w:fill="auto"/>
          </w:tcPr>
          <w:p w14:paraId="69C9D278">
            <w:pPr>
              <w:pStyle w:val="150"/>
            </w:pPr>
          </w:p>
        </w:tc>
        <w:tc>
          <w:tcPr>
            <w:tcW w:w="1383" w:type="pct"/>
            <w:shd w:val="clear" w:color="auto" w:fill="auto"/>
          </w:tcPr>
          <w:p w14:paraId="7E9C402C">
            <w:pPr>
              <w:pStyle w:val="150"/>
            </w:pPr>
            <w:r>
              <w:t>正式发布</w:t>
            </w:r>
          </w:p>
        </w:tc>
      </w:tr>
      <w:tr w14:paraId="531A74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49" w:hRule="atLeast"/>
        </w:trPr>
        <w:tc>
          <w:tcPr>
            <w:tcW w:w="628" w:type="pct"/>
            <w:shd w:val="clear" w:color="auto" w:fill="auto"/>
            <w:vAlign w:val="top"/>
          </w:tcPr>
          <w:p w14:paraId="5EA1F052">
            <w:pPr>
              <w:pStyle w:val="150"/>
              <w:ind w:firstLine="0" w:firstLineChars="0"/>
              <w:rPr>
                <w:rFonts w:hint="eastAsia" w:ascii="Times New Roman" w:hAnsi="Times New Roman" w:eastAsia="宋体" w:cs="Times New Roman"/>
                <w:snapToGrid w:val="0"/>
                <w:kern w:val="0"/>
                <w:sz w:val="21"/>
                <w:szCs w:val="24"/>
                <w:lang w:val="en-US" w:eastAsia="zh-CN" w:bidi="ar-SA"/>
              </w:rPr>
            </w:pPr>
            <w:r>
              <w:rPr>
                <w:rFonts w:hint="eastAsia"/>
              </w:rPr>
              <w:t>V</w:t>
            </w:r>
            <w:r>
              <w:rPr>
                <w:rFonts w:hint="eastAsia"/>
                <w:lang w:val="en-US" w:eastAsia="zh-CN"/>
              </w:rPr>
              <w:t>1</w:t>
            </w:r>
            <w:r>
              <w:t>.</w:t>
            </w:r>
            <w:r>
              <w:rPr>
                <w:rFonts w:hint="eastAsia"/>
                <w:lang w:val="en-US" w:eastAsia="zh-CN"/>
              </w:rPr>
              <w:t>2</w:t>
            </w:r>
          </w:p>
        </w:tc>
        <w:tc>
          <w:tcPr>
            <w:tcW w:w="925" w:type="pct"/>
            <w:shd w:val="clear" w:color="auto" w:fill="auto"/>
            <w:vAlign w:val="top"/>
          </w:tcPr>
          <w:p w14:paraId="058D5940">
            <w:pPr>
              <w:pStyle w:val="150"/>
              <w:ind w:firstLine="0" w:firstLineChars="0"/>
              <w:rPr>
                <w:rFonts w:hint="default" w:ascii="Times New Roman" w:hAnsi="Times New Roman" w:eastAsia="宋体" w:cs="Times New Roman"/>
                <w:snapToGrid w:val="0"/>
                <w:kern w:val="0"/>
                <w:sz w:val="21"/>
                <w:szCs w:val="24"/>
                <w:lang w:val="en-US" w:eastAsia="zh-CN" w:bidi="ar-SA"/>
              </w:rPr>
            </w:pPr>
            <w:r>
              <w:t>202</w:t>
            </w:r>
            <w:r>
              <w:rPr>
                <w:rFonts w:hint="eastAsia"/>
                <w:lang w:val="en-US" w:eastAsia="zh-CN"/>
              </w:rPr>
              <w:t>3</w:t>
            </w:r>
            <w:r>
              <w:t>-</w:t>
            </w:r>
            <w:r>
              <w:rPr>
                <w:rFonts w:hint="eastAsia"/>
                <w:lang w:val="en-US" w:eastAsia="zh-CN"/>
              </w:rPr>
              <w:t>4</w:t>
            </w:r>
            <w:r>
              <w:t>-</w:t>
            </w:r>
            <w:r>
              <w:rPr>
                <w:rFonts w:hint="eastAsia"/>
                <w:lang w:val="en-US" w:eastAsia="zh-CN"/>
              </w:rPr>
              <w:t>06</w:t>
            </w:r>
          </w:p>
        </w:tc>
        <w:tc>
          <w:tcPr>
            <w:tcW w:w="678" w:type="pct"/>
            <w:shd w:val="clear" w:color="auto" w:fill="auto"/>
            <w:vAlign w:val="top"/>
          </w:tcPr>
          <w:p w14:paraId="1AA5AF77">
            <w:pPr>
              <w:pStyle w:val="150"/>
              <w:ind w:firstLine="0" w:firstLineChars="0"/>
              <w:rPr>
                <w:rFonts w:ascii="Times New Roman" w:hAnsi="Times New Roman" w:eastAsia="宋体" w:cs="Times New Roman"/>
                <w:snapToGrid w:val="0"/>
                <w:kern w:val="0"/>
                <w:sz w:val="21"/>
                <w:szCs w:val="24"/>
                <w:lang w:val="en-US" w:eastAsia="zh-CN" w:bidi="ar-SA"/>
              </w:rPr>
            </w:pPr>
          </w:p>
        </w:tc>
        <w:tc>
          <w:tcPr>
            <w:tcW w:w="1384" w:type="pct"/>
            <w:shd w:val="clear" w:color="auto" w:fill="auto"/>
            <w:vAlign w:val="top"/>
          </w:tcPr>
          <w:p w14:paraId="61491915">
            <w:pPr>
              <w:pStyle w:val="150"/>
              <w:ind w:firstLine="0" w:firstLineChars="0"/>
              <w:rPr>
                <w:rFonts w:ascii="Times New Roman" w:hAnsi="Times New Roman" w:eastAsia="宋体" w:cs="Times New Roman"/>
                <w:snapToGrid w:val="0"/>
                <w:kern w:val="0"/>
                <w:sz w:val="21"/>
                <w:szCs w:val="24"/>
                <w:lang w:val="en-US" w:eastAsia="zh-CN" w:bidi="ar-SA"/>
              </w:rPr>
            </w:pPr>
          </w:p>
        </w:tc>
        <w:tc>
          <w:tcPr>
            <w:tcW w:w="1383" w:type="pct"/>
            <w:shd w:val="clear" w:color="auto" w:fill="auto"/>
            <w:vAlign w:val="top"/>
          </w:tcPr>
          <w:p w14:paraId="4C5424F4">
            <w:pPr>
              <w:pStyle w:val="150"/>
              <w:ind w:firstLine="0" w:firstLineChars="0"/>
              <w:rPr>
                <w:rFonts w:hint="default" w:ascii="Times New Roman" w:hAnsi="Times New Roman" w:eastAsia="宋体" w:cs="Times New Roman"/>
                <w:snapToGrid w:val="0"/>
                <w:kern w:val="0"/>
                <w:sz w:val="21"/>
                <w:szCs w:val="24"/>
                <w:lang w:val="en-US" w:eastAsia="zh-CN" w:bidi="ar-SA"/>
              </w:rPr>
            </w:pPr>
            <w:r>
              <w:rPr>
                <w:rFonts w:hint="eastAsia"/>
                <w:lang w:val="en-US" w:eastAsia="zh-CN"/>
              </w:rPr>
              <w:t>增加重点功能</w:t>
            </w:r>
          </w:p>
        </w:tc>
      </w:tr>
      <w:tr w14:paraId="049F955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49" w:hRule="atLeast"/>
        </w:trPr>
        <w:tc>
          <w:tcPr>
            <w:tcW w:w="628" w:type="pct"/>
            <w:shd w:val="clear" w:color="auto" w:fill="auto"/>
            <w:vAlign w:val="top"/>
          </w:tcPr>
          <w:p w14:paraId="3900370A">
            <w:pPr>
              <w:pStyle w:val="150"/>
              <w:ind w:firstLine="0" w:firstLineChars="0"/>
              <w:rPr>
                <w:rFonts w:hint="eastAsia" w:ascii="Times New Roman" w:hAnsi="Times New Roman" w:eastAsia="宋体" w:cs="Times New Roman"/>
                <w:snapToGrid w:val="0"/>
                <w:kern w:val="0"/>
                <w:sz w:val="21"/>
                <w:szCs w:val="24"/>
                <w:lang w:val="en-US" w:eastAsia="zh-CN" w:bidi="ar-SA"/>
              </w:rPr>
            </w:pPr>
            <w:r>
              <w:rPr>
                <w:rFonts w:hint="eastAsia"/>
              </w:rPr>
              <w:t>V</w:t>
            </w:r>
            <w:r>
              <w:rPr>
                <w:rFonts w:hint="eastAsia"/>
                <w:lang w:val="en-US" w:eastAsia="zh-CN"/>
              </w:rPr>
              <w:t>1</w:t>
            </w:r>
            <w:r>
              <w:t>.</w:t>
            </w:r>
            <w:r>
              <w:rPr>
                <w:rFonts w:hint="eastAsia"/>
                <w:lang w:val="en-US" w:eastAsia="zh-CN"/>
              </w:rPr>
              <w:t>3</w:t>
            </w:r>
          </w:p>
        </w:tc>
        <w:tc>
          <w:tcPr>
            <w:tcW w:w="925" w:type="pct"/>
            <w:shd w:val="clear" w:color="auto" w:fill="auto"/>
            <w:vAlign w:val="top"/>
          </w:tcPr>
          <w:p w14:paraId="584C4E8D">
            <w:pPr>
              <w:pStyle w:val="150"/>
              <w:ind w:firstLine="0" w:firstLineChars="0"/>
              <w:rPr>
                <w:rFonts w:hint="default" w:ascii="Times New Roman" w:hAnsi="Times New Roman" w:eastAsia="宋体" w:cs="Times New Roman"/>
                <w:snapToGrid w:val="0"/>
                <w:kern w:val="0"/>
                <w:sz w:val="21"/>
                <w:szCs w:val="24"/>
                <w:lang w:val="en-US" w:eastAsia="zh-CN" w:bidi="ar-SA"/>
              </w:rPr>
            </w:pPr>
            <w:r>
              <w:t>202</w:t>
            </w:r>
            <w:r>
              <w:rPr>
                <w:rFonts w:hint="eastAsia"/>
                <w:lang w:val="en-US" w:eastAsia="zh-CN"/>
              </w:rPr>
              <w:t>4</w:t>
            </w:r>
            <w:r>
              <w:t>-</w:t>
            </w:r>
            <w:r>
              <w:rPr>
                <w:rFonts w:hint="eastAsia"/>
                <w:lang w:val="en-US" w:eastAsia="zh-CN"/>
              </w:rPr>
              <w:t>5</w:t>
            </w:r>
            <w:r>
              <w:t>-</w:t>
            </w:r>
            <w:r>
              <w:rPr>
                <w:rFonts w:hint="eastAsia"/>
                <w:lang w:val="en-US" w:eastAsia="zh-CN"/>
              </w:rPr>
              <w:t>15</w:t>
            </w:r>
          </w:p>
        </w:tc>
        <w:tc>
          <w:tcPr>
            <w:tcW w:w="678" w:type="pct"/>
            <w:shd w:val="clear" w:color="auto" w:fill="auto"/>
            <w:vAlign w:val="top"/>
          </w:tcPr>
          <w:p w14:paraId="026E61DA">
            <w:pPr>
              <w:pStyle w:val="150"/>
              <w:ind w:firstLine="0" w:firstLineChars="0"/>
              <w:rPr>
                <w:rFonts w:ascii="Times New Roman" w:hAnsi="Times New Roman" w:eastAsia="宋体" w:cs="Times New Roman"/>
                <w:snapToGrid w:val="0"/>
                <w:kern w:val="0"/>
                <w:sz w:val="21"/>
                <w:szCs w:val="24"/>
                <w:lang w:val="en-US" w:eastAsia="zh-CN" w:bidi="ar-SA"/>
              </w:rPr>
            </w:pPr>
          </w:p>
        </w:tc>
        <w:tc>
          <w:tcPr>
            <w:tcW w:w="1384" w:type="pct"/>
            <w:shd w:val="clear" w:color="auto" w:fill="auto"/>
            <w:vAlign w:val="top"/>
          </w:tcPr>
          <w:p w14:paraId="5FAC8784">
            <w:pPr>
              <w:pStyle w:val="150"/>
              <w:ind w:firstLine="0" w:firstLineChars="0"/>
              <w:rPr>
                <w:rFonts w:ascii="Times New Roman" w:hAnsi="Times New Roman" w:eastAsia="宋体" w:cs="Times New Roman"/>
                <w:snapToGrid w:val="0"/>
                <w:kern w:val="0"/>
                <w:sz w:val="21"/>
                <w:szCs w:val="24"/>
                <w:lang w:val="en-US" w:eastAsia="zh-CN" w:bidi="ar-SA"/>
              </w:rPr>
            </w:pPr>
          </w:p>
        </w:tc>
        <w:tc>
          <w:tcPr>
            <w:tcW w:w="1383" w:type="pct"/>
            <w:shd w:val="clear" w:color="auto" w:fill="auto"/>
            <w:vAlign w:val="top"/>
          </w:tcPr>
          <w:p w14:paraId="78D7A9F2">
            <w:pPr>
              <w:pStyle w:val="150"/>
              <w:ind w:firstLine="0" w:firstLineChars="0"/>
              <w:rPr>
                <w:rFonts w:hint="default" w:ascii="Times New Roman" w:hAnsi="Times New Roman" w:eastAsia="宋体" w:cs="Times New Roman"/>
                <w:snapToGrid w:val="0"/>
                <w:kern w:val="0"/>
                <w:sz w:val="21"/>
                <w:szCs w:val="24"/>
                <w:lang w:val="en-US" w:eastAsia="zh-CN" w:bidi="ar-SA"/>
              </w:rPr>
            </w:pPr>
            <w:r>
              <w:rPr>
                <w:rFonts w:hint="eastAsia"/>
                <w:lang w:val="en-US" w:eastAsia="zh-CN"/>
              </w:rPr>
              <w:t>修改更新</w:t>
            </w:r>
          </w:p>
        </w:tc>
      </w:tr>
      <w:tr w14:paraId="7F07667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49" w:hRule="atLeast"/>
        </w:trPr>
        <w:tc>
          <w:tcPr>
            <w:tcW w:w="628" w:type="pct"/>
            <w:shd w:val="clear" w:color="auto" w:fill="auto"/>
            <w:vAlign w:val="top"/>
          </w:tcPr>
          <w:p w14:paraId="7930D7C9">
            <w:pPr>
              <w:pStyle w:val="150"/>
              <w:ind w:firstLine="0" w:firstLineChars="0"/>
              <w:rPr>
                <w:rFonts w:hint="eastAsia" w:ascii="Times New Roman" w:hAnsi="Times New Roman" w:eastAsia="宋体" w:cs="Times New Roman"/>
                <w:snapToGrid w:val="0"/>
                <w:kern w:val="0"/>
                <w:sz w:val="21"/>
                <w:szCs w:val="24"/>
                <w:lang w:val="en-US" w:eastAsia="zh-CN" w:bidi="ar-SA"/>
              </w:rPr>
            </w:pPr>
            <w:r>
              <w:rPr>
                <w:rFonts w:hint="eastAsia"/>
              </w:rPr>
              <w:t>V</w:t>
            </w:r>
            <w:r>
              <w:rPr>
                <w:rFonts w:hint="eastAsia"/>
                <w:lang w:val="en-US" w:eastAsia="zh-CN"/>
              </w:rPr>
              <w:t>1</w:t>
            </w:r>
            <w:r>
              <w:t>.</w:t>
            </w:r>
            <w:r>
              <w:rPr>
                <w:rFonts w:hint="eastAsia"/>
                <w:lang w:val="en-US" w:eastAsia="zh-CN"/>
              </w:rPr>
              <w:t>4</w:t>
            </w:r>
          </w:p>
        </w:tc>
        <w:tc>
          <w:tcPr>
            <w:tcW w:w="925" w:type="pct"/>
            <w:shd w:val="clear" w:color="auto" w:fill="auto"/>
            <w:vAlign w:val="top"/>
          </w:tcPr>
          <w:p w14:paraId="61D3282A">
            <w:pPr>
              <w:pStyle w:val="150"/>
              <w:ind w:firstLine="0" w:firstLineChars="0"/>
              <w:rPr>
                <w:rFonts w:hint="default" w:ascii="Times New Roman" w:hAnsi="Times New Roman" w:eastAsia="宋体" w:cs="Times New Roman"/>
                <w:snapToGrid w:val="0"/>
                <w:kern w:val="0"/>
                <w:sz w:val="21"/>
                <w:szCs w:val="24"/>
                <w:lang w:val="en-US" w:eastAsia="zh-CN" w:bidi="ar-SA"/>
              </w:rPr>
            </w:pPr>
            <w:r>
              <w:t>202</w:t>
            </w:r>
            <w:r>
              <w:rPr>
                <w:rFonts w:hint="eastAsia"/>
                <w:lang w:val="en-US" w:eastAsia="zh-CN"/>
              </w:rPr>
              <w:t>5</w:t>
            </w:r>
            <w:r>
              <w:t>-</w:t>
            </w:r>
            <w:r>
              <w:rPr>
                <w:rFonts w:hint="eastAsia"/>
                <w:lang w:val="en-US" w:eastAsia="zh-CN"/>
              </w:rPr>
              <w:t>5</w:t>
            </w:r>
            <w:r>
              <w:t>-</w:t>
            </w:r>
            <w:r>
              <w:rPr>
                <w:rFonts w:hint="eastAsia"/>
                <w:lang w:val="en-US" w:eastAsia="zh-CN"/>
              </w:rPr>
              <w:t>12</w:t>
            </w:r>
          </w:p>
        </w:tc>
        <w:tc>
          <w:tcPr>
            <w:tcW w:w="678" w:type="pct"/>
            <w:shd w:val="clear" w:color="auto" w:fill="auto"/>
            <w:vAlign w:val="top"/>
          </w:tcPr>
          <w:p w14:paraId="7CB8ADB1">
            <w:pPr>
              <w:pStyle w:val="150"/>
              <w:ind w:firstLine="0" w:firstLineChars="0"/>
              <w:rPr>
                <w:rFonts w:ascii="Times New Roman" w:hAnsi="Times New Roman" w:eastAsia="宋体" w:cs="Times New Roman"/>
                <w:snapToGrid w:val="0"/>
                <w:kern w:val="0"/>
                <w:sz w:val="21"/>
                <w:szCs w:val="24"/>
                <w:lang w:val="en-US" w:eastAsia="zh-CN" w:bidi="ar-SA"/>
              </w:rPr>
            </w:pPr>
          </w:p>
        </w:tc>
        <w:tc>
          <w:tcPr>
            <w:tcW w:w="1384" w:type="pct"/>
            <w:shd w:val="clear" w:color="auto" w:fill="auto"/>
            <w:vAlign w:val="top"/>
          </w:tcPr>
          <w:p w14:paraId="53EC68B8">
            <w:pPr>
              <w:pStyle w:val="150"/>
              <w:ind w:firstLine="0" w:firstLineChars="0"/>
              <w:rPr>
                <w:rFonts w:ascii="Times New Roman" w:hAnsi="Times New Roman" w:eastAsia="宋体" w:cs="Times New Roman"/>
                <w:snapToGrid w:val="0"/>
                <w:kern w:val="0"/>
                <w:sz w:val="21"/>
                <w:szCs w:val="24"/>
                <w:lang w:val="en-US" w:eastAsia="zh-CN" w:bidi="ar-SA"/>
              </w:rPr>
            </w:pPr>
          </w:p>
        </w:tc>
        <w:tc>
          <w:tcPr>
            <w:tcW w:w="1383" w:type="pct"/>
            <w:shd w:val="clear" w:color="auto" w:fill="auto"/>
            <w:vAlign w:val="top"/>
          </w:tcPr>
          <w:p w14:paraId="2F7A39C7">
            <w:pPr>
              <w:pStyle w:val="150"/>
              <w:ind w:firstLine="0" w:firstLineChars="0"/>
              <w:rPr>
                <w:rFonts w:hint="default" w:ascii="Times New Roman" w:hAnsi="Times New Roman" w:eastAsia="宋体" w:cs="Times New Roman"/>
                <w:snapToGrid w:val="0"/>
                <w:kern w:val="0"/>
                <w:sz w:val="21"/>
                <w:szCs w:val="24"/>
                <w:lang w:val="en-US" w:eastAsia="zh-CN" w:bidi="ar-SA"/>
              </w:rPr>
            </w:pPr>
            <w:r>
              <w:rPr>
                <w:rFonts w:hint="eastAsia"/>
                <w:lang w:val="en-US" w:eastAsia="zh-CN"/>
              </w:rPr>
              <w:t>更新模版</w:t>
            </w:r>
            <w:bookmarkStart w:id="12081" w:name="_GoBack"/>
            <w:bookmarkEnd w:id="12081"/>
          </w:p>
        </w:tc>
      </w:tr>
    </w:tbl>
    <w:p w14:paraId="6477AE0D"/>
    <w:p w14:paraId="3D3B48E2"/>
    <w:p w14:paraId="2667CF88">
      <w:pPr>
        <w:rPr>
          <w:rFonts w:ascii="宋体" w:hAnsi="宋体"/>
          <w:sz w:val="18"/>
          <w:szCs w:val="18"/>
        </w:rPr>
        <w:sectPr>
          <w:headerReference r:id="rId5" w:type="default"/>
          <w:footerReference r:id="rId6" w:type="default"/>
          <w:pgSz w:w="11906" w:h="16838"/>
          <w:pgMar w:top="1440" w:right="1800" w:bottom="1440" w:left="1800" w:header="851" w:footer="850" w:gutter="0"/>
          <w:pgNumType w:fmt="lowerRoman" w:start="1"/>
          <w:cols w:space="425" w:num="1"/>
          <w:docGrid w:type="lines" w:linePitch="312" w:charSpace="0"/>
        </w:sectPr>
      </w:pPr>
      <w:r>
        <w:br w:type="page"/>
      </w:r>
    </w:p>
    <w:p w14:paraId="77916E8B">
      <w:pPr>
        <w:pStyle w:val="170"/>
      </w:pPr>
      <w:r>
        <w:rPr>
          <w:rFonts w:hint="eastAsia"/>
        </w:rPr>
        <w:t>目录</w:t>
      </w:r>
    </w:p>
    <w:p w14:paraId="1B96FFF6">
      <w:pPr>
        <w:pStyle w:val="56"/>
        <w:tabs>
          <w:tab w:val="right" w:leader="dot" w:pos="8296"/>
        </w:tabs>
        <w:rPr>
          <w:rFonts w:asciiTheme="minorHAnsi" w:hAnsiTheme="minorHAnsi" w:eastAsiaTheme="minorEastAsia"/>
        </w:rPr>
      </w:pPr>
      <w:r>
        <w:rPr>
          <w:rFonts w:ascii="宋体" w:hAnsi="宋体"/>
          <w:sz w:val="44"/>
          <w:szCs w:val="44"/>
        </w:rPr>
        <w:fldChar w:fldCharType="begin"/>
      </w:r>
      <w:r>
        <w:rPr>
          <w:rFonts w:ascii="宋体" w:hAnsi="宋体"/>
          <w:sz w:val="44"/>
          <w:szCs w:val="44"/>
        </w:rPr>
        <w:instrText xml:space="preserve"> TOC \o "3-3" \h \z \t "标题 1,1,标题 2,2,附录,1" </w:instrText>
      </w:r>
      <w:r>
        <w:rPr>
          <w:rFonts w:ascii="宋体" w:hAnsi="宋体"/>
          <w:sz w:val="44"/>
          <w:szCs w:val="44"/>
        </w:rPr>
        <w:fldChar w:fldCharType="separate"/>
      </w:r>
      <w:r>
        <w:fldChar w:fldCharType="begin"/>
      </w:r>
      <w:r>
        <w:instrText xml:space="preserve"> HYPERLINK \l "_Toc196727908" </w:instrText>
      </w:r>
      <w:r>
        <w:fldChar w:fldCharType="separate"/>
      </w:r>
      <w:r>
        <w:rPr>
          <w:rStyle w:val="139"/>
        </w:rPr>
        <w:t>1. 产品简介</w:t>
      </w:r>
      <w:r>
        <w:tab/>
      </w:r>
      <w:r>
        <w:fldChar w:fldCharType="begin"/>
      </w:r>
      <w:r>
        <w:instrText xml:space="preserve"> PAGEREF _Toc196727908 \h </w:instrText>
      </w:r>
      <w:r>
        <w:fldChar w:fldCharType="separate"/>
      </w:r>
      <w:r>
        <w:t>1</w:t>
      </w:r>
      <w:r>
        <w:fldChar w:fldCharType="end"/>
      </w:r>
      <w:r>
        <w:fldChar w:fldCharType="end"/>
      </w:r>
    </w:p>
    <w:p w14:paraId="0AE649BA">
      <w:pPr>
        <w:pStyle w:val="56"/>
        <w:tabs>
          <w:tab w:val="right" w:leader="dot" w:pos="8296"/>
        </w:tabs>
        <w:rPr>
          <w:rFonts w:asciiTheme="minorHAnsi" w:hAnsiTheme="minorHAnsi" w:eastAsiaTheme="minorEastAsia"/>
        </w:rPr>
      </w:pPr>
      <w:r>
        <w:fldChar w:fldCharType="begin"/>
      </w:r>
      <w:r>
        <w:instrText xml:space="preserve"> HYPERLINK \l "_Toc196727909" </w:instrText>
      </w:r>
      <w:r>
        <w:fldChar w:fldCharType="separate"/>
      </w:r>
      <w:r>
        <w:rPr>
          <w:rStyle w:val="139"/>
        </w:rPr>
        <w:t>2. 初次使用</w:t>
      </w:r>
      <w:r>
        <w:tab/>
      </w:r>
      <w:r>
        <w:fldChar w:fldCharType="begin"/>
      </w:r>
      <w:r>
        <w:instrText xml:space="preserve"> PAGEREF _Toc196727909 \h </w:instrText>
      </w:r>
      <w:r>
        <w:fldChar w:fldCharType="separate"/>
      </w:r>
      <w:r>
        <w:t>2</w:t>
      </w:r>
      <w:r>
        <w:fldChar w:fldCharType="end"/>
      </w:r>
      <w:r>
        <w:fldChar w:fldCharType="end"/>
      </w:r>
    </w:p>
    <w:p w14:paraId="3FA71161">
      <w:pPr>
        <w:pStyle w:val="70"/>
        <w:tabs>
          <w:tab w:val="right" w:leader="dot" w:pos="8296"/>
        </w:tabs>
        <w:ind w:left="420"/>
        <w:rPr>
          <w:rFonts w:asciiTheme="minorHAnsi" w:hAnsiTheme="minorHAnsi" w:eastAsiaTheme="minorEastAsia"/>
        </w:rPr>
      </w:pPr>
      <w:r>
        <w:fldChar w:fldCharType="begin"/>
      </w:r>
      <w:r>
        <w:instrText xml:space="preserve"> HYPERLINK \l "_Toc196727910" </w:instrText>
      </w:r>
      <w:r>
        <w:fldChar w:fldCharType="separate"/>
      </w:r>
      <w:r>
        <w:rPr>
          <w:rStyle w:val="139"/>
        </w:rPr>
        <w:t>2.1. 角色与权限说明</w:t>
      </w:r>
      <w:r>
        <w:tab/>
      </w:r>
      <w:r>
        <w:fldChar w:fldCharType="begin"/>
      </w:r>
      <w:r>
        <w:instrText xml:space="preserve"> PAGEREF _Toc196727910 \h </w:instrText>
      </w:r>
      <w:r>
        <w:fldChar w:fldCharType="separate"/>
      </w:r>
      <w:r>
        <w:t>2</w:t>
      </w:r>
      <w:r>
        <w:fldChar w:fldCharType="end"/>
      </w:r>
      <w:r>
        <w:fldChar w:fldCharType="end"/>
      </w:r>
    </w:p>
    <w:p w14:paraId="0752818C">
      <w:pPr>
        <w:pStyle w:val="70"/>
        <w:tabs>
          <w:tab w:val="right" w:leader="dot" w:pos="8296"/>
        </w:tabs>
        <w:ind w:left="420"/>
        <w:rPr>
          <w:rFonts w:asciiTheme="minorHAnsi" w:hAnsiTheme="minorHAnsi" w:eastAsiaTheme="minorEastAsia"/>
        </w:rPr>
      </w:pPr>
      <w:r>
        <w:fldChar w:fldCharType="begin"/>
      </w:r>
      <w:r>
        <w:instrText xml:space="preserve"> HYPERLINK \l "_Toc196727911" </w:instrText>
      </w:r>
      <w:r>
        <w:fldChar w:fldCharType="separate"/>
      </w:r>
      <w:r>
        <w:rPr>
          <w:rStyle w:val="139"/>
        </w:rPr>
        <w:t>2.2. 登录设备</w:t>
      </w:r>
      <w:r>
        <w:tab/>
      </w:r>
      <w:r>
        <w:fldChar w:fldCharType="begin"/>
      </w:r>
      <w:r>
        <w:instrText xml:space="preserve"> PAGEREF _Toc196727911 \h </w:instrText>
      </w:r>
      <w:r>
        <w:fldChar w:fldCharType="separate"/>
      </w:r>
      <w:r>
        <w:t>2</w:t>
      </w:r>
      <w:r>
        <w:fldChar w:fldCharType="end"/>
      </w:r>
      <w:r>
        <w:fldChar w:fldCharType="end"/>
      </w:r>
    </w:p>
    <w:p w14:paraId="03407A08">
      <w:pPr>
        <w:pStyle w:val="70"/>
        <w:tabs>
          <w:tab w:val="right" w:leader="dot" w:pos="8296"/>
        </w:tabs>
        <w:ind w:left="420"/>
        <w:rPr>
          <w:rFonts w:asciiTheme="minorHAnsi" w:hAnsiTheme="minorHAnsi" w:eastAsiaTheme="minorEastAsia"/>
        </w:rPr>
      </w:pPr>
      <w:r>
        <w:fldChar w:fldCharType="begin"/>
      </w:r>
      <w:r>
        <w:instrText xml:space="preserve"> HYPERLINK \l "_Toc196727912" </w:instrText>
      </w:r>
      <w:r>
        <w:fldChar w:fldCharType="separate"/>
      </w:r>
      <w:r>
        <w:rPr>
          <w:rStyle w:val="139"/>
        </w:rPr>
        <w:t>2.3. Web界面布局描述</w:t>
      </w:r>
      <w:r>
        <w:tab/>
      </w:r>
      <w:r>
        <w:fldChar w:fldCharType="begin"/>
      </w:r>
      <w:r>
        <w:instrText xml:space="preserve"> PAGEREF _Toc196727912 \h </w:instrText>
      </w:r>
      <w:r>
        <w:fldChar w:fldCharType="separate"/>
      </w:r>
      <w:r>
        <w:t>4</w:t>
      </w:r>
      <w:r>
        <w:fldChar w:fldCharType="end"/>
      </w:r>
      <w:r>
        <w:fldChar w:fldCharType="end"/>
      </w:r>
    </w:p>
    <w:p w14:paraId="5B9631C9">
      <w:pPr>
        <w:pStyle w:val="70"/>
        <w:tabs>
          <w:tab w:val="right" w:leader="dot" w:pos="8296"/>
        </w:tabs>
        <w:ind w:left="420"/>
        <w:rPr>
          <w:rFonts w:asciiTheme="minorHAnsi" w:hAnsiTheme="minorHAnsi" w:eastAsiaTheme="minorEastAsia"/>
        </w:rPr>
      </w:pPr>
      <w:r>
        <w:fldChar w:fldCharType="begin"/>
      </w:r>
      <w:r>
        <w:instrText xml:space="preserve"> HYPERLINK \l "_Toc196727913" </w:instrText>
      </w:r>
      <w:r>
        <w:fldChar w:fldCharType="separate"/>
      </w:r>
      <w:r>
        <w:rPr>
          <w:rStyle w:val="139"/>
        </w:rPr>
        <w:t>2.4. 快捷菜单</w:t>
      </w:r>
      <w:r>
        <w:tab/>
      </w:r>
      <w:r>
        <w:fldChar w:fldCharType="begin"/>
      </w:r>
      <w:r>
        <w:instrText xml:space="preserve"> PAGEREF _Toc196727913 \h </w:instrText>
      </w:r>
      <w:r>
        <w:fldChar w:fldCharType="separate"/>
      </w:r>
      <w:r>
        <w:t>4</w:t>
      </w:r>
      <w:r>
        <w:fldChar w:fldCharType="end"/>
      </w:r>
      <w:r>
        <w:fldChar w:fldCharType="end"/>
      </w:r>
    </w:p>
    <w:p w14:paraId="2C00E4A8">
      <w:pPr>
        <w:pStyle w:val="42"/>
        <w:tabs>
          <w:tab w:val="right" w:leader="dot" w:pos="8296"/>
        </w:tabs>
        <w:ind w:left="840"/>
        <w:rPr>
          <w:rFonts w:asciiTheme="minorHAnsi" w:hAnsiTheme="minorHAnsi" w:eastAsiaTheme="minorEastAsia"/>
        </w:rPr>
      </w:pPr>
      <w:r>
        <w:fldChar w:fldCharType="begin"/>
      </w:r>
      <w:r>
        <w:instrText xml:space="preserve"> HYPERLINK \l "_Toc196727914" </w:instrText>
      </w:r>
      <w:r>
        <w:fldChar w:fldCharType="separate"/>
      </w:r>
      <w:r>
        <w:rPr>
          <w:rStyle w:val="139"/>
          <w:kern w:val="0"/>
          <w14:scene3d w14:prst="orthographicFront">
            <w14:lightRig w14:rig="threePt" w14:dir="t">
              <w14:rot w14:lat="0" w14:lon="0" w14:rev="0"/>
            </w14:lightRig>
          </w14:scene3d>
        </w:rPr>
        <w:t>2.4.1.</w:t>
      </w:r>
      <w:r>
        <w:rPr>
          <w:rStyle w:val="139"/>
        </w:rPr>
        <w:t xml:space="preserve"> 菜单搜索</w:t>
      </w:r>
      <w:r>
        <w:tab/>
      </w:r>
      <w:r>
        <w:fldChar w:fldCharType="begin"/>
      </w:r>
      <w:r>
        <w:instrText xml:space="preserve"> PAGEREF _Toc196727914 \h </w:instrText>
      </w:r>
      <w:r>
        <w:fldChar w:fldCharType="separate"/>
      </w:r>
      <w:r>
        <w:t>4</w:t>
      </w:r>
      <w:r>
        <w:fldChar w:fldCharType="end"/>
      </w:r>
      <w:r>
        <w:fldChar w:fldCharType="end"/>
      </w:r>
    </w:p>
    <w:p w14:paraId="3950DC72">
      <w:pPr>
        <w:pStyle w:val="42"/>
        <w:tabs>
          <w:tab w:val="right" w:leader="dot" w:pos="8296"/>
        </w:tabs>
        <w:ind w:left="840"/>
        <w:rPr>
          <w:rFonts w:asciiTheme="minorHAnsi" w:hAnsiTheme="minorHAnsi" w:eastAsiaTheme="minorEastAsia"/>
        </w:rPr>
      </w:pPr>
      <w:r>
        <w:fldChar w:fldCharType="begin"/>
      </w:r>
      <w:r>
        <w:instrText xml:space="preserve"> HYPERLINK \l "_Toc196727915" </w:instrText>
      </w:r>
      <w:r>
        <w:fldChar w:fldCharType="separate"/>
      </w:r>
      <w:r>
        <w:rPr>
          <w:rStyle w:val="139"/>
          <w:kern w:val="0"/>
          <w14:scene3d w14:prst="orthographicFront">
            <w14:lightRig w14:rig="threePt" w14:dir="t">
              <w14:rot w14:lat="0" w14:lon="0" w14:rev="0"/>
            </w14:lightRig>
          </w14:scene3d>
        </w:rPr>
        <w:t>2.4.2.</w:t>
      </w:r>
      <w:r>
        <w:rPr>
          <w:rStyle w:val="139"/>
        </w:rPr>
        <w:t xml:space="preserve"> 系统告警</w:t>
      </w:r>
      <w:r>
        <w:tab/>
      </w:r>
      <w:r>
        <w:fldChar w:fldCharType="begin"/>
      </w:r>
      <w:r>
        <w:instrText xml:space="preserve"> PAGEREF _Toc196727915 \h </w:instrText>
      </w:r>
      <w:r>
        <w:fldChar w:fldCharType="separate"/>
      </w:r>
      <w:r>
        <w:t>5</w:t>
      </w:r>
      <w:r>
        <w:fldChar w:fldCharType="end"/>
      </w:r>
      <w:r>
        <w:fldChar w:fldCharType="end"/>
      </w:r>
    </w:p>
    <w:p w14:paraId="6E25CBF7">
      <w:pPr>
        <w:pStyle w:val="42"/>
        <w:tabs>
          <w:tab w:val="right" w:leader="dot" w:pos="8296"/>
        </w:tabs>
        <w:ind w:left="840"/>
        <w:rPr>
          <w:rFonts w:asciiTheme="minorHAnsi" w:hAnsiTheme="minorHAnsi" w:eastAsiaTheme="minorEastAsia"/>
        </w:rPr>
      </w:pPr>
      <w:r>
        <w:fldChar w:fldCharType="begin"/>
      </w:r>
      <w:r>
        <w:instrText xml:space="preserve"> HYPERLINK \l "_Toc196727916" </w:instrText>
      </w:r>
      <w:r>
        <w:fldChar w:fldCharType="separate"/>
      </w:r>
      <w:r>
        <w:rPr>
          <w:rStyle w:val="139"/>
          <w:kern w:val="0"/>
          <w14:scene3d w14:prst="orthographicFront">
            <w14:lightRig w14:rig="threePt" w14:dir="t">
              <w14:rot w14:lat="0" w14:lon="0" w14:rev="0"/>
            </w14:lightRig>
          </w14:scene3d>
        </w:rPr>
        <w:t>2.4.3.</w:t>
      </w:r>
      <w:r>
        <w:rPr>
          <w:rStyle w:val="139"/>
        </w:rPr>
        <w:t xml:space="preserve"> 保存配置</w:t>
      </w:r>
      <w:r>
        <w:tab/>
      </w:r>
      <w:r>
        <w:fldChar w:fldCharType="begin"/>
      </w:r>
      <w:r>
        <w:instrText xml:space="preserve"> PAGEREF _Toc196727916 \h </w:instrText>
      </w:r>
      <w:r>
        <w:fldChar w:fldCharType="separate"/>
      </w:r>
      <w:r>
        <w:t>5</w:t>
      </w:r>
      <w:r>
        <w:fldChar w:fldCharType="end"/>
      </w:r>
      <w:r>
        <w:fldChar w:fldCharType="end"/>
      </w:r>
    </w:p>
    <w:p w14:paraId="3B0EB8AB">
      <w:pPr>
        <w:pStyle w:val="42"/>
        <w:tabs>
          <w:tab w:val="right" w:leader="dot" w:pos="8296"/>
        </w:tabs>
        <w:ind w:left="840"/>
        <w:rPr>
          <w:rFonts w:asciiTheme="minorHAnsi" w:hAnsiTheme="minorHAnsi" w:eastAsiaTheme="minorEastAsia"/>
        </w:rPr>
      </w:pPr>
      <w:r>
        <w:fldChar w:fldCharType="begin"/>
      </w:r>
      <w:r>
        <w:instrText xml:space="preserve"> HYPERLINK \l "_Toc196727917" </w:instrText>
      </w:r>
      <w:r>
        <w:fldChar w:fldCharType="separate"/>
      </w:r>
      <w:r>
        <w:rPr>
          <w:rStyle w:val="139"/>
          <w:kern w:val="0"/>
          <w14:scene3d w14:prst="orthographicFront">
            <w14:lightRig w14:rig="threePt" w14:dir="t">
              <w14:rot w14:lat="0" w14:lon="0" w14:rev="0"/>
            </w14:lightRig>
          </w14:scene3d>
        </w:rPr>
        <w:t>2.4.4.</w:t>
      </w:r>
      <w:r>
        <w:rPr>
          <w:rStyle w:val="139"/>
        </w:rPr>
        <w:t xml:space="preserve"> 锁定会话</w:t>
      </w:r>
      <w:r>
        <w:tab/>
      </w:r>
      <w:r>
        <w:fldChar w:fldCharType="begin"/>
      </w:r>
      <w:r>
        <w:instrText xml:space="preserve"> PAGEREF _Toc196727917 \h </w:instrText>
      </w:r>
      <w:r>
        <w:fldChar w:fldCharType="separate"/>
      </w:r>
      <w:r>
        <w:t>5</w:t>
      </w:r>
      <w:r>
        <w:fldChar w:fldCharType="end"/>
      </w:r>
      <w:r>
        <w:fldChar w:fldCharType="end"/>
      </w:r>
    </w:p>
    <w:p w14:paraId="3ECF4E5D">
      <w:pPr>
        <w:pStyle w:val="42"/>
        <w:tabs>
          <w:tab w:val="right" w:leader="dot" w:pos="8296"/>
        </w:tabs>
        <w:ind w:left="840"/>
        <w:rPr>
          <w:rFonts w:asciiTheme="minorHAnsi" w:hAnsiTheme="minorHAnsi" w:eastAsiaTheme="minorEastAsia"/>
        </w:rPr>
      </w:pPr>
      <w:r>
        <w:fldChar w:fldCharType="begin"/>
      </w:r>
      <w:r>
        <w:instrText xml:space="preserve"> HYPERLINK \l "_Toc196727918" </w:instrText>
      </w:r>
      <w:r>
        <w:fldChar w:fldCharType="separate"/>
      </w:r>
      <w:r>
        <w:rPr>
          <w:rStyle w:val="139"/>
          <w:kern w:val="0"/>
          <w14:scene3d w14:prst="orthographicFront">
            <w14:lightRig w14:rig="threePt" w14:dir="t">
              <w14:rot w14:lat="0" w14:lon="0" w14:rev="0"/>
            </w14:lightRig>
          </w14:scene3d>
        </w:rPr>
        <w:t>2.4.5.</w:t>
      </w:r>
      <w:r>
        <w:rPr>
          <w:rStyle w:val="139"/>
        </w:rPr>
        <w:t xml:space="preserve"> 修改密码</w:t>
      </w:r>
      <w:r>
        <w:tab/>
      </w:r>
      <w:r>
        <w:fldChar w:fldCharType="begin"/>
      </w:r>
      <w:r>
        <w:instrText xml:space="preserve"> PAGEREF _Toc196727918 \h </w:instrText>
      </w:r>
      <w:r>
        <w:fldChar w:fldCharType="separate"/>
      </w:r>
      <w:r>
        <w:t>5</w:t>
      </w:r>
      <w:r>
        <w:fldChar w:fldCharType="end"/>
      </w:r>
      <w:r>
        <w:fldChar w:fldCharType="end"/>
      </w:r>
    </w:p>
    <w:p w14:paraId="31FE223F">
      <w:pPr>
        <w:pStyle w:val="42"/>
        <w:tabs>
          <w:tab w:val="right" w:leader="dot" w:pos="8296"/>
        </w:tabs>
        <w:ind w:left="840"/>
        <w:rPr>
          <w:rFonts w:asciiTheme="minorHAnsi" w:hAnsiTheme="minorHAnsi" w:eastAsiaTheme="minorEastAsia"/>
        </w:rPr>
      </w:pPr>
      <w:r>
        <w:fldChar w:fldCharType="begin"/>
      </w:r>
      <w:r>
        <w:instrText xml:space="preserve"> HYPERLINK \l "_Toc196727919" </w:instrText>
      </w:r>
      <w:r>
        <w:fldChar w:fldCharType="separate"/>
      </w:r>
      <w:r>
        <w:rPr>
          <w:rStyle w:val="139"/>
          <w:kern w:val="0"/>
          <w14:scene3d w14:prst="orthographicFront">
            <w14:lightRig w14:rig="threePt" w14:dir="t">
              <w14:rot w14:lat="0" w14:lon="0" w14:rev="0"/>
            </w14:lightRig>
          </w14:scene3d>
        </w:rPr>
        <w:t>2.4.6.</w:t>
      </w:r>
      <w:r>
        <w:rPr>
          <w:rStyle w:val="139"/>
        </w:rPr>
        <w:t xml:space="preserve"> 退出系统</w:t>
      </w:r>
      <w:r>
        <w:tab/>
      </w:r>
      <w:r>
        <w:fldChar w:fldCharType="begin"/>
      </w:r>
      <w:r>
        <w:instrText xml:space="preserve"> PAGEREF _Toc196727919 \h </w:instrText>
      </w:r>
      <w:r>
        <w:fldChar w:fldCharType="separate"/>
      </w:r>
      <w:r>
        <w:t>5</w:t>
      </w:r>
      <w:r>
        <w:fldChar w:fldCharType="end"/>
      </w:r>
      <w:r>
        <w:fldChar w:fldCharType="end"/>
      </w:r>
    </w:p>
    <w:p w14:paraId="7D74AA44">
      <w:pPr>
        <w:pStyle w:val="56"/>
        <w:tabs>
          <w:tab w:val="right" w:leader="dot" w:pos="8296"/>
        </w:tabs>
        <w:rPr>
          <w:rFonts w:asciiTheme="minorHAnsi" w:hAnsiTheme="minorHAnsi" w:eastAsiaTheme="minorEastAsia"/>
        </w:rPr>
      </w:pPr>
      <w:r>
        <w:fldChar w:fldCharType="begin"/>
      </w:r>
      <w:r>
        <w:instrText xml:space="preserve"> HYPERLINK \l "_Toc196727920" </w:instrText>
      </w:r>
      <w:r>
        <w:fldChar w:fldCharType="separate"/>
      </w:r>
      <w:r>
        <w:rPr>
          <w:rStyle w:val="139"/>
        </w:rPr>
        <w:t>3. 主页</w:t>
      </w:r>
      <w:r>
        <w:tab/>
      </w:r>
      <w:r>
        <w:fldChar w:fldCharType="begin"/>
      </w:r>
      <w:r>
        <w:instrText xml:space="preserve"> PAGEREF _Toc196727920 \h </w:instrText>
      </w:r>
      <w:r>
        <w:fldChar w:fldCharType="separate"/>
      </w:r>
      <w:r>
        <w:t>6</w:t>
      </w:r>
      <w:r>
        <w:fldChar w:fldCharType="end"/>
      </w:r>
      <w:r>
        <w:fldChar w:fldCharType="end"/>
      </w:r>
    </w:p>
    <w:p w14:paraId="7FB4FBAB">
      <w:pPr>
        <w:pStyle w:val="70"/>
        <w:tabs>
          <w:tab w:val="right" w:leader="dot" w:pos="8296"/>
        </w:tabs>
        <w:ind w:left="420"/>
        <w:rPr>
          <w:rFonts w:asciiTheme="minorHAnsi" w:hAnsiTheme="minorHAnsi" w:eastAsiaTheme="minorEastAsia"/>
        </w:rPr>
      </w:pPr>
      <w:r>
        <w:fldChar w:fldCharType="begin"/>
      </w:r>
      <w:r>
        <w:instrText xml:space="preserve"> HYPERLINK \l "_Toc196727921" </w:instrText>
      </w:r>
      <w:r>
        <w:fldChar w:fldCharType="separate"/>
      </w:r>
      <w:r>
        <w:rPr>
          <w:rStyle w:val="139"/>
        </w:rPr>
        <w:t>3.1. 主页简介</w:t>
      </w:r>
      <w:r>
        <w:tab/>
      </w:r>
      <w:r>
        <w:fldChar w:fldCharType="begin"/>
      </w:r>
      <w:r>
        <w:instrText xml:space="preserve"> PAGEREF _Toc196727921 \h </w:instrText>
      </w:r>
      <w:r>
        <w:fldChar w:fldCharType="separate"/>
      </w:r>
      <w:r>
        <w:t>6</w:t>
      </w:r>
      <w:r>
        <w:fldChar w:fldCharType="end"/>
      </w:r>
      <w:r>
        <w:fldChar w:fldCharType="end"/>
      </w:r>
    </w:p>
    <w:p w14:paraId="5D27D0D2">
      <w:pPr>
        <w:pStyle w:val="70"/>
        <w:tabs>
          <w:tab w:val="right" w:leader="dot" w:pos="8296"/>
        </w:tabs>
        <w:ind w:left="420"/>
        <w:rPr>
          <w:rFonts w:asciiTheme="minorHAnsi" w:hAnsiTheme="minorHAnsi" w:eastAsiaTheme="minorEastAsia"/>
        </w:rPr>
      </w:pPr>
      <w:r>
        <w:fldChar w:fldCharType="begin"/>
      </w:r>
      <w:r>
        <w:instrText xml:space="preserve"> HYPERLINK \l "_Toc196727922" </w:instrText>
      </w:r>
      <w:r>
        <w:fldChar w:fldCharType="separate"/>
      </w:r>
      <w:r>
        <w:rPr>
          <w:rStyle w:val="139"/>
        </w:rPr>
        <w:t>3.2. 主页布局设置</w:t>
      </w:r>
      <w:r>
        <w:tab/>
      </w:r>
      <w:r>
        <w:fldChar w:fldCharType="begin"/>
      </w:r>
      <w:r>
        <w:instrText xml:space="preserve"> PAGEREF _Toc196727922 \h </w:instrText>
      </w:r>
      <w:r>
        <w:fldChar w:fldCharType="separate"/>
      </w:r>
      <w:r>
        <w:t>6</w:t>
      </w:r>
      <w:r>
        <w:fldChar w:fldCharType="end"/>
      </w:r>
      <w:r>
        <w:fldChar w:fldCharType="end"/>
      </w:r>
    </w:p>
    <w:p w14:paraId="5B82F250">
      <w:pPr>
        <w:pStyle w:val="70"/>
        <w:tabs>
          <w:tab w:val="right" w:leader="dot" w:pos="8296"/>
        </w:tabs>
        <w:ind w:left="420"/>
        <w:rPr>
          <w:rFonts w:asciiTheme="minorHAnsi" w:hAnsiTheme="minorHAnsi" w:eastAsiaTheme="minorEastAsia"/>
        </w:rPr>
      </w:pPr>
      <w:r>
        <w:fldChar w:fldCharType="begin"/>
      </w:r>
      <w:r>
        <w:instrText xml:space="preserve"> HYPERLINK \l "_Toc196727923" </w:instrText>
      </w:r>
      <w:r>
        <w:fldChar w:fldCharType="separate"/>
      </w:r>
      <w:r>
        <w:rPr>
          <w:rStyle w:val="139"/>
        </w:rPr>
        <w:t>3.3. 主页展示信息</w:t>
      </w:r>
      <w:r>
        <w:tab/>
      </w:r>
      <w:r>
        <w:fldChar w:fldCharType="begin"/>
      </w:r>
      <w:r>
        <w:instrText xml:space="preserve"> PAGEREF _Toc196727923 \h </w:instrText>
      </w:r>
      <w:r>
        <w:fldChar w:fldCharType="separate"/>
      </w:r>
      <w:r>
        <w:t>7</w:t>
      </w:r>
      <w:r>
        <w:fldChar w:fldCharType="end"/>
      </w:r>
      <w:r>
        <w:fldChar w:fldCharType="end"/>
      </w:r>
    </w:p>
    <w:p w14:paraId="4996C1BA">
      <w:pPr>
        <w:pStyle w:val="42"/>
        <w:tabs>
          <w:tab w:val="right" w:leader="dot" w:pos="8296"/>
        </w:tabs>
        <w:ind w:left="840"/>
        <w:rPr>
          <w:rFonts w:asciiTheme="minorHAnsi" w:hAnsiTheme="minorHAnsi" w:eastAsiaTheme="minorEastAsia"/>
        </w:rPr>
      </w:pPr>
      <w:r>
        <w:fldChar w:fldCharType="begin"/>
      </w:r>
      <w:r>
        <w:instrText xml:space="preserve"> HYPERLINK \l "_Toc196727924" </w:instrText>
      </w:r>
      <w:r>
        <w:fldChar w:fldCharType="separate"/>
      </w:r>
      <w:r>
        <w:rPr>
          <w:rStyle w:val="139"/>
          <w:kern w:val="0"/>
          <w14:scene3d w14:prst="orthographicFront">
            <w14:lightRig w14:rig="threePt" w14:dir="t">
              <w14:rot w14:lat="0" w14:lon="0" w14:rev="0"/>
            </w14:lightRig>
          </w14:scene3d>
        </w:rPr>
        <w:t>3.3.1.</w:t>
      </w:r>
      <w:r>
        <w:rPr>
          <w:rStyle w:val="139"/>
        </w:rPr>
        <w:t xml:space="preserve"> 行为等级</w:t>
      </w:r>
      <w:r>
        <w:tab/>
      </w:r>
      <w:r>
        <w:fldChar w:fldCharType="begin"/>
      </w:r>
      <w:r>
        <w:instrText xml:space="preserve"> PAGEREF _Toc196727924 \h </w:instrText>
      </w:r>
      <w:r>
        <w:fldChar w:fldCharType="separate"/>
      </w:r>
      <w:r>
        <w:t>7</w:t>
      </w:r>
      <w:r>
        <w:fldChar w:fldCharType="end"/>
      </w:r>
      <w:r>
        <w:fldChar w:fldCharType="end"/>
      </w:r>
    </w:p>
    <w:p w14:paraId="3792CE2B">
      <w:pPr>
        <w:pStyle w:val="42"/>
        <w:tabs>
          <w:tab w:val="right" w:leader="dot" w:pos="8296"/>
        </w:tabs>
        <w:ind w:left="840"/>
        <w:rPr>
          <w:rFonts w:asciiTheme="minorHAnsi" w:hAnsiTheme="minorHAnsi" w:eastAsiaTheme="minorEastAsia"/>
        </w:rPr>
      </w:pPr>
      <w:r>
        <w:fldChar w:fldCharType="begin"/>
      </w:r>
      <w:r>
        <w:instrText xml:space="preserve"> HYPERLINK \l "_Toc196727925" </w:instrText>
      </w:r>
      <w:r>
        <w:fldChar w:fldCharType="separate"/>
      </w:r>
      <w:r>
        <w:rPr>
          <w:rStyle w:val="139"/>
          <w:kern w:val="0"/>
          <w14:scene3d w14:prst="orthographicFront">
            <w14:lightRig w14:rig="threePt" w14:dir="t">
              <w14:rot w14:lat="0" w14:lon="0" w14:rev="0"/>
            </w14:lightRig>
          </w14:scene3d>
        </w:rPr>
        <w:t>3.3.2.</w:t>
      </w:r>
      <w:r>
        <w:rPr>
          <w:rStyle w:val="139"/>
        </w:rPr>
        <w:t xml:space="preserve"> 行为管理</w:t>
      </w:r>
      <w:r>
        <w:tab/>
      </w:r>
      <w:r>
        <w:fldChar w:fldCharType="begin"/>
      </w:r>
      <w:r>
        <w:instrText xml:space="preserve"> PAGEREF _Toc196727925 \h </w:instrText>
      </w:r>
      <w:r>
        <w:fldChar w:fldCharType="separate"/>
      </w:r>
      <w:r>
        <w:t>10</w:t>
      </w:r>
      <w:r>
        <w:fldChar w:fldCharType="end"/>
      </w:r>
      <w:r>
        <w:fldChar w:fldCharType="end"/>
      </w:r>
    </w:p>
    <w:p w14:paraId="15FC1A0C">
      <w:pPr>
        <w:pStyle w:val="42"/>
        <w:tabs>
          <w:tab w:val="right" w:leader="dot" w:pos="8296"/>
        </w:tabs>
        <w:ind w:left="840"/>
        <w:rPr>
          <w:rFonts w:asciiTheme="minorHAnsi" w:hAnsiTheme="minorHAnsi" w:eastAsiaTheme="minorEastAsia"/>
        </w:rPr>
      </w:pPr>
      <w:r>
        <w:fldChar w:fldCharType="begin"/>
      </w:r>
      <w:r>
        <w:instrText xml:space="preserve"> HYPERLINK \l "_Toc196727926" </w:instrText>
      </w:r>
      <w:r>
        <w:fldChar w:fldCharType="separate"/>
      </w:r>
      <w:r>
        <w:rPr>
          <w:rStyle w:val="139"/>
          <w:kern w:val="0"/>
          <w14:scene3d w14:prst="orthographicFront">
            <w14:lightRig w14:rig="threePt" w14:dir="t">
              <w14:rot w14:lat="0" w14:lon="0" w14:rev="0"/>
            </w14:lightRig>
          </w14:scene3d>
        </w:rPr>
        <w:t>3.3.3.</w:t>
      </w:r>
      <w:r>
        <w:rPr>
          <w:rStyle w:val="139"/>
        </w:rPr>
        <w:t xml:space="preserve"> 系统信息</w:t>
      </w:r>
      <w:r>
        <w:tab/>
      </w:r>
      <w:r>
        <w:fldChar w:fldCharType="begin"/>
      </w:r>
      <w:r>
        <w:instrText xml:space="preserve"> PAGEREF _Toc196727926 \h </w:instrText>
      </w:r>
      <w:r>
        <w:fldChar w:fldCharType="separate"/>
      </w:r>
      <w:r>
        <w:t>11</w:t>
      </w:r>
      <w:r>
        <w:fldChar w:fldCharType="end"/>
      </w:r>
      <w:r>
        <w:fldChar w:fldCharType="end"/>
      </w:r>
    </w:p>
    <w:p w14:paraId="037FEA59">
      <w:pPr>
        <w:pStyle w:val="42"/>
        <w:tabs>
          <w:tab w:val="right" w:leader="dot" w:pos="8296"/>
        </w:tabs>
        <w:ind w:left="840"/>
        <w:rPr>
          <w:rFonts w:asciiTheme="minorHAnsi" w:hAnsiTheme="minorHAnsi" w:eastAsiaTheme="minorEastAsia"/>
        </w:rPr>
      </w:pPr>
      <w:r>
        <w:fldChar w:fldCharType="begin"/>
      </w:r>
      <w:r>
        <w:instrText xml:space="preserve"> HYPERLINK \l "_Toc196727927" </w:instrText>
      </w:r>
      <w:r>
        <w:fldChar w:fldCharType="separate"/>
      </w:r>
      <w:r>
        <w:rPr>
          <w:rStyle w:val="139"/>
          <w:kern w:val="0"/>
          <w14:scene3d w14:prst="orthographicFront">
            <w14:lightRig w14:rig="threePt" w14:dir="t">
              <w14:rot w14:lat="0" w14:lon="0" w14:rev="0"/>
            </w14:lightRig>
          </w14:scene3d>
        </w:rPr>
        <w:t>3.3.4.</w:t>
      </w:r>
      <w:r>
        <w:rPr>
          <w:rStyle w:val="139"/>
        </w:rPr>
        <w:t xml:space="preserve"> 系统资源</w:t>
      </w:r>
      <w:r>
        <w:tab/>
      </w:r>
      <w:r>
        <w:fldChar w:fldCharType="begin"/>
      </w:r>
      <w:r>
        <w:instrText xml:space="preserve"> PAGEREF _Toc196727927 \h </w:instrText>
      </w:r>
      <w:r>
        <w:fldChar w:fldCharType="separate"/>
      </w:r>
      <w:r>
        <w:t>12</w:t>
      </w:r>
      <w:r>
        <w:fldChar w:fldCharType="end"/>
      </w:r>
      <w:r>
        <w:fldChar w:fldCharType="end"/>
      </w:r>
    </w:p>
    <w:p w14:paraId="5D4DFD58">
      <w:pPr>
        <w:pStyle w:val="42"/>
        <w:tabs>
          <w:tab w:val="right" w:leader="dot" w:pos="8296"/>
        </w:tabs>
        <w:ind w:left="840"/>
        <w:rPr>
          <w:rFonts w:asciiTheme="minorHAnsi" w:hAnsiTheme="minorHAnsi" w:eastAsiaTheme="minorEastAsia"/>
        </w:rPr>
      </w:pPr>
      <w:r>
        <w:fldChar w:fldCharType="begin"/>
      </w:r>
      <w:r>
        <w:instrText xml:space="preserve"> HYPERLINK \l "_Toc196727928" </w:instrText>
      </w:r>
      <w:r>
        <w:fldChar w:fldCharType="separate"/>
      </w:r>
      <w:r>
        <w:rPr>
          <w:rStyle w:val="139"/>
          <w:kern w:val="0"/>
          <w14:scene3d w14:prst="orthographicFront">
            <w14:lightRig w14:rig="threePt" w14:dir="t">
              <w14:rot w14:lat="0" w14:lon="0" w14:rev="0"/>
            </w14:lightRig>
          </w14:scene3d>
        </w:rPr>
        <w:t>3.3.5.</w:t>
      </w:r>
      <w:r>
        <w:rPr>
          <w:rStyle w:val="139"/>
        </w:rPr>
        <w:t xml:space="preserve"> 实时流量图</w:t>
      </w:r>
      <w:r>
        <w:tab/>
      </w:r>
      <w:r>
        <w:fldChar w:fldCharType="begin"/>
      </w:r>
      <w:r>
        <w:instrText xml:space="preserve"> PAGEREF _Toc196727928 \h </w:instrText>
      </w:r>
      <w:r>
        <w:fldChar w:fldCharType="separate"/>
      </w:r>
      <w:r>
        <w:t>13</w:t>
      </w:r>
      <w:r>
        <w:fldChar w:fldCharType="end"/>
      </w:r>
      <w:r>
        <w:fldChar w:fldCharType="end"/>
      </w:r>
    </w:p>
    <w:p w14:paraId="13FD0ED5">
      <w:pPr>
        <w:pStyle w:val="42"/>
        <w:tabs>
          <w:tab w:val="right" w:leader="dot" w:pos="8296"/>
        </w:tabs>
        <w:ind w:left="840"/>
        <w:rPr>
          <w:rFonts w:asciiTheme="minorHAnsi" w:hAnsiTheme="minorHAnsi" w:eastAsiaTheme="minorEastAsia"/>
        </w:rPr>
      </w:pPr>
      <w:r>
        <w:fldChar w:fldCharType="begin"/>
      </w:r>
      <w:r>
        <w:instrText xml:space="preserve"> HYPERLINK \l "_Toc196727929" </w:instrText>
      </w:r>
      <w:r>
        <w:fldChar w:fldCharType="separate"/>
      </w:r>
      <w:r>
        <w:rPr>
          <w:rStyle w:val="139"/>
          <w:kern w:val="0"/>
          <w14:scene3d w14:prst="orthographicFront">
            <w14:lightRig w14:rig="threePt" w14:dir="t">
              <w14:rot w14:lat="0" w14:lon="0" w14:rev="0"/>
            </w14:lightRig>
          </w14:scene3d>
        </w:rPr>
        <w:t>3.3.6.</w:t>
      </w:r>
      <w:r>
        <w:rPr>
          <w:rStyle w:val="139"/>
        </w:rPr>
        <w:t xml:space="preserve"> 接口状态</w:t>
      </w:r>
      <w:r>
        <w:tab/>
      </w:r>
      <w:r>
        <w:fldChar w:fldCharType="begin"/>
      </w:r>
      <w:r>
        <w:instrText xml:space="preserve"> PAGEREF _Toc196727929 \h </w:instrText>
      </w:r>
      <w:r>
        <w:fldChar w:fldCharType="separate"/>
      </w:r>
      <w:r>
        <w:t>14</w:t>
      </w:r>
      <w:r>
        <w:fldChar w:fldCharType="end"/>
      </w:r>
      <w:r>
        <w:fldChar w:fldCharType="end"/>
      </w:r>
    </w:p>
    <w:p w14:paraId="6E2ED080">
      <w:pPr>
        <w:pStyle w:val="42"/>
        <w:tabs>
          <w:tab w:val="right" w:leader="dot" w:pos="8296"/>
        </w:tabs>
        <w:ind w:left="840"/>
        <w:rPr>
          <w:rFonts w:asciiTheme="minorHAnsi" w:hAnsiTheme="minorHAnsi" w:eastAsiaTheme="minorEastAsia"/>
        </w:rPr>
      </w:pPr>
      <w:r>
        <w:fldChar w:fldCharType="begin"/>
      </w:r>
      <w:r>
        <w:instrText xml:space="preserve"> HYPERLINK \l "_Toc196727930" </w:instrText>
      </w:r>
      <w:r>
        <w:fldChar w:fldCharType="separate"/>
      </w:r>
      <w:r>
        <w:rPr>
          <w:rStyle w:val="139"/>
          <w:kern w:val="0"/>
          <w14:scene3d w14:prst="orthographicFront">
            <w14:lightRig w14:rig="threePt" w14:dir="t">
              <w14:rot w14:lat="0" w14:lon="0" w14:rev="0"/>
            </w14:lightRig>
          </w14:scene3d>
        </w:rPr>
        <w:t>3.3.7.</w:t>
      </w:r>
      <w:r>
        <w:rPr>
          <w:rStyle w:val="139"/>
        </w:rPr>
        <w:t xml:space="preserve"> 用户流量</w:t>
      </w:r>
      <w:r>
        <w:tab/>
      </w:r>
      <w:r>
        <w:fldChar w:fldCharType="begin"/>
      </w:r>
      <w:r>
        <w:instrText xml:space="preserve"> PAGEREF _Toc196727930 \h </w:instrText>
      </w:r>
      <w:r>
        <w:fldChar w:fldCharType="separate"/>
      </w:r>
      <w:r>
        <w:t>15</w:t>
      </w:r>
      <w:r>
        <w:fldChar w:fldCharType="end"/>
      </w:r>
      <w:r>
        <w:fldChar w:fldCharType="end"/>
      </w:r>
    </w:p>
    <w:p w14:paraId="1501B783">
      <w:pPr>
        <w:pStyle w:val="42"/>
        <w:tabs>
          <w:tab w:val="right" w:leader="dot" w:pos="8296"/>
        </w:tabs>
        <w:ind w:left="840"/>
        <w:rPr>
          <w:rFonts w:asciiTheme="minorHAnsi" w:hAnsiTheme="minorHAnsi" w:eastAsiaTheme="minorEastAsia"/>
        </w:rPr>
      </w:pPr>
      <w:r>
        <w:fldChar w:fldCharType="begin"/>
      </w:r>
      <w:r>
        <w:instrText xml:space="preserve"> HYPERLINK \l "_Toc196727931" </w:instrText>
      </w:r>
      <w:r>
        <w:fldChar w:fldCharType="separate"/>
      </w:r>
      <w:r>
        <w:rPr>
          <w:rStyle w:val="139"/>
          <w:kern w:val="0"/>
          <w14:scene3d w14:prst="orthographicFront">
            <w14:lightRig w14:rig="threePt" w14:dir="t">
              <w14:rot w14:lat="0" w14:lon="0" w14:rev="0"/>
            </w14:lightRig>
          </w14:scene3d>
        </w:rPr>
        <w:t>3.3.8.</w:t>
      </w:r>
      <w:r>
        <w:rPr>
          <w:rStyle w:val="139"/>
        </w:rPr>
        <w:t xml:space="preserve"> 应用流量</w:t>
      </w:r>
      <w:r>
        <w:tab/>
      </w:r>
      <w:r>
        <w:fldChar w:fldCharType="begin"/>
      </w:r>
      <w:r>
        <w:instrText xml:space="preserve"> PAGEREF _Toc196727931 \h </w:instrText>
      </w:r>
      <w:r>
        <w:fldChar w:fldCharType="separate"/>
      </w:r>
      <w:r>
        <w:t>17</w:t>
      </w:r>
      <w:r>
        <w:fldChar w:fldCharType="end"/>
      </w:r>
      <w:r>
        <w:fldChar w:fldCharType="end"/>
      </w:r>
    </w:p>
    <w:p w14:paraId="7DE9DD8D">
      <w:pPr>
        <w:pStyle w:val="42"/>
        <w:tabs>
          <w:tab w:val="right" w:leader="dot" w:pos="8296"/>
        </w:tabs>
        <w:ind w:left="840"/>
        <w:rPr>
          <w:rFonts w:asciiTheme="minorHAnsi" w:hAnsiTheme="minorHAnsi" w:eastAsiaTheme="minorEastAsia"/>
        </w:rPr>
      </w:pPr>
      <w:r>
        <w:fldChar w:fldCharType="begin"/>
      </w:r>
      <w:r>
        <w:instrText xml:space="preserve"> HYPERLINK \l "_Toc196727932" </w:instrText>
      </w:r>
      <w:r>
        <w:fldChar w:fldCharType="separate"/>
      </w:r>
      <w:r>
        <w:rPr>
          <w:rStyle w:val="139"/>
          <w:kern w:val="0"/>
          <w14:scene3d w14:prst="orthographicFront">
            <w14:lightRig w14:rig="threePt" w14:dir="t">
              <w14:rot w14:lat="0" w14:lon="0" w14:rev="0"/>
            </w14:lightRig>
          </w14:scene3d>
        </w:rPr>
        <w:t>3.3.9.</w:t>
      </w:r>
      <w:r>
        <w:rPr>
          <w:rStyle w:val="139"/>
        </w:rPr>
        <w:t xml:space="preserve"> 系统日志</w:t>
      </w:r>
      <w:r>
        <w:tab/>
      </w:r>
      <w:r>
        <w:fldChar w:fldCharType="begin"/>
      </w:r>
      <w:r>
        <w:instrText xml:space="preserve"> PAGEREF _Toc196727932 \h </w:instrText>
      </w:r>
      <w:r>
        <w:fldChar w:fldCharType="separate"/>
      </w:r>
      <w:r>
        <w:t>18</w:t>
      </w:r>
      <w:r>
        <w:fldChar w:fldCharType="end"/>
      </w:r>
      <w:r>
        <w:fldChar w:fldCharType="end"/>
      </w:r>
    </w:p>
    <w:p w14:paraId="0FE55692">
      <w:pPr>
        <w:pStyle w:val="42"/>
        <w:tabs>
          <w:tab w:val="right" w:leader="dot" w:pos="8296"/>
        </w:tabs>
        <w:ind w:left="840"/>
        <w:rPr>
          <w:rFonts w:asciiTheme="minorHAnsi" w:hAnsiTheme="minorHAnsi" w:eastAsiaTheme="minorEastAsia"/>
        </w:rPr>
      </w:pPr>
      <w:r>
        <w:fldChar w:fldCharType="begin"/>
      </w:r>
      <w:r>
        <w:instrText xml:space="preserve"> HYPERLINK \l "_Toc196727933" </w:instrText>
      </w:r>
      <w:r>
        <w:fldChar w:fldCharType="separate"/>
      </w:r>
      <w:r>
        <w:rPr>
          <w:rStyle w:val="139"/>
          <w:kern w:val="0"/>
          <w14:scene3d w14:prst="orthographicFront">
            <w14:lightRig w14:rig="threePt" w14:dir="t">
              <w14:rot w14:lat="0" w14:lon="0" w14:rev="0"/>
            </w14:lightRig>
          </w14:scene3d>
        </w:rPr>
        <w:t>3.3.10.</w:t>
      </w:r>
      <w:r>
        <w:rPr>
          <w:rStyle w:val="139"/>
        </w:rPr>
        <w:t xml:space="preserve"> 审计日志</w:t>
      </w:r>
      <w:r>
        <w:tab/>
      </w:r>
      <w:r>
        <w:fldChar w:fldCharType="begin"/>
      </w:r>
      <w:r>
        <w:instrText xml:space="preserve"> PAGEREF _Toc196727933 \h </w:instrText>
      </w:r>
      <w:r>
        <w:fldChar w:fldCharType="separate"/>
      </w:r>
      <w:r>
        <w:t>19</w:t>
      </w:r>
      <w:r>
        <w:fldChar w:fldCharType="end"/>
      </w:r>
      <w:r>
        <w:fldChar w:fldCharType="end"/>
      </w:r>
    </w:p>
    <w:p w14:paraId="6C36EBB0">
      <w:pPr>
        <w:pStyle w:val="42"/>
        <w:tabs>
          <w:tab w:val="right" w:leader="dot" w:pos="8296"/>
        </w:tabs>
        <w:ind w:left="840"/>
        <w:rPr>
          <w:rFonts w:asciiTheme="minorHAnsi" w:hAnsiTheme="minorHAnsi" w:eastAsiaTheme="minorEastAsia"/>
        </w:rPr>
      </w:pPr>
      <w:r>
        <w:fldChar w:fldCharType="begin"/>
      </w:r>
      <w:r>
        <w:instrText xml:space="preserve"> HYPERLINK \l "_Toc196727934" </w:instrText>
      </w:r>
      <w:r>
        <w:fldChar w:fldCharType="separate"/>
      </w:r>
      <w:r>
        <w:rPr>
          <w:rStyle w:val="139"/>
          <w:kern w:val="0"/>
          <w14:scene3d w14:prst="orthographicFront">
            <w14:lightRig w14:rig="threePt" w14:dir="t">
              <w14:rot w14:lat="0" w14:lon="0" w14:rev="0"/>
            </w14:lightRig>
          </w14:scene3d>
        </w:rPr>
        <w:t>3.3.11.</w:t>
      </w:r>
      <w:r>
        <w:rPr>
          <w:rStyle w:val="139"/>
        </w:rPr>
        <w:t xml:space="preserve"> 入侵防御</w:t>
      </w:r>
      <w:r>
        <w:tab/>
      </w:r>
      <w:r>
        <w:fldChar w:fldCharType="begin"/>
      </w:r>
      <w:r>
        <w:instrText xml:space="preserve"> PAGEREF _Toc196727934 \h </w:instrText>
      </w:r>
      <w:r>
        <w:fldChar w:fldCharType="separate"/>
      </w:r>
      <w:r>
        <w:t>20</w:t>
      </w:r>
      <w:r>
        <w:fldChar w:fldCharType="end"/>
      </w:r>
      <w:r>
        <w:fldChar w:fldCharType="end"/>
      </w:r>
    </w:p>
    <w:p w14:paraId="11FCB82D">
      <w:pPr>
        <w:pStyle w:val="42"/>
        <w:tabs>
          <w:tab w:val="right" w:leader="dot" w:pos="8296"/>
        </w:tabs>
        <w:ind w:left="840"/>
        <w:rPr>
          <w:rFonts w:asciiTheme="minorHAnsi" w:hAnsiTheme="minorHAnsi" w:eastAsiaTheme="minorEastAsia"/>
        </w:rPr>
      </w:pPr>
      <w:r>
        <w:fldChar w:fldCharType="begin"/>
      </w:r>
      <w:r>
        <w:instrText xml:space="preserve"> HYPERLINK \l "_Toc196727935" </w:instrText>
      </w:r>
      <w:r>
        <w:fldChar w:fldCharType="separate"/>
      </w:r>
      <w:r>
        <w:rPr>
          <w:rStyle w:val="139"/>
          <w:kern w:val="0"/>
          <w14:scene3d w14:prst="orthographicFront">
            <w14:lightRig w14:rig="threePt" w14:dir="t">
              <w14:rot w14:lat="0" w14:lon="0" w14:rev="0"/>
            </w14:lightRig>
          </w14:scene3d>
        </w:rPr>
        <w:t>3.3.12.</w:t>
      </w:r>
      <w:r>
        <w:rPr>
          <w:rStyle w:val="139"/>
        </w:rPr>
        <w:t xml:space="preserve"> 攻击趋势</w:t>
      </w:r>
      <w:r>
        <w:tab/>
      </w:r>
      <w:r>
        <w:fldChar w:fldCharType="begin"/>
      </w:r>
      <w:r>
        <w:instrText xml:space="preserve"> PAGEREF _Toc196727935 \h </w:instrText>
      </w:r>
      <w:r>
        <w:fldChar w:fldCharType="separate"/>
      </w:r>
      <w:r>
        <w:t>21</w:t>
      </w:r>
      <w:r>
        <w:fldChar w:fldCharType="end"/>
      </w:r>
      <w:r>
        <w:fldChar w:fldCharType="end"/>
      </w:r>
    </w:p>
    <w:p w14:paraId="273245EE">
      <w:pPr>
        <w:pStyle w:val="42"/>
        <w:tabs>
          <w:tab w:val="right" w:leader="dot" w:pos="8296"/>
        </w:tabs>
        <w:ind w:left="840"/>
        <w:rPr>
          <w:rFonts w:asciiTheme="minorHAnsi" w:hAnsiTheme="minorHAnsi" w:eastAsiaTheme="minorEastAsia"/>
        </w:rPr>
      </w:pPr>
      <w:r>
        <w:fldChar w:fldCharType="begin"/>
      </w:r>
      <w:r>
        <w:instrText xml:space="preserve"> HYPERLINK \l "_Toc196727936" </w:instrText>
      </w:r>
      <w:r>
        <w:fldChar w:fldCharType="separate"/>
      </w:r>
      <w:r>
        <w:rPr>
          <w:rStyle w:val="139"/>
          <w:kern w:val="0"/>
          <w14:scene3d w14:prst="orthographicFront">
            <w14:lightRig w14:rig="threePt" w14:dir="t">
              <w14:rot w14:lat="0" w14:lon="0" w14:rev="0"/>
            </w14:lightRig>
          </w14:scene3d>
        </w:rPr>
        <w:t>3.3.13.</w:t>
      </w:r>
      <w:r>
        <w:rPr>
          <w:rStyle w:val="139"/>
        </w:rPr>
        <w:t xml:space="preserve"> 威胁日志</w:t>
      </w:r>
      <w:r>
        <w:tab/>
      </w:r>
      <w:r>
        <w:fldChar w:fldCharType="begin"/>
      </w:r>
      <w:r>
        <w:instrText xml:space="preserve"> PAGEREF _Toc196727936 \h </w:instrText>
      </w:r>
      <w:r>
        <w:fldChar w:fldCharType="separate"/>
      </w:r>
      <w:r>
        <w:t>22</w:t>
      </w:r>
      <w:r>
        <w:fldChar w:fldCharType="end"/>
      </w:r>
      <w:r>
        <w:fldChar w:fldCharType="end"/>
      </w:r>
    </w:p>
    <w:p w14:paraId="4EB17C0C">
      <w:pPr>
        <w:pStyle w:val="42"/>
        <w:tabs>
          <w:tab w:val="right" w:leader="dot" w:pos="8296"/>
        </w:tabs>
        <w:ind w:left="840"/>
        <w:rPr>
          <w:rFonts w:asciiTheme="minorHAnsi" w:hAnsiTheme="minorHAnsi" w:eastAsiaTheme="minorEastAsia"/>
        </w:rPr>
      </w:pPr>
      <w:r>
        <w:fldChar w:fldCharType="begin"/>
      </w:r>
      <w:r>
        <w:instrText xml:space="preserve"> HYPERLINK \l "_Toc196727937" </w:instrText>
      </w:r>
      <w:r>
        <w:fldChar w:fldCharType="separate"/>
      </w:r>
      <w:r>
        <w:rPr>
          <w:rStyle w:val="139"/>
          <w:kern w:val="0"/>
          <w14:scene3d w14:prst="orthographicFront">
            <w14:lightRig w14:rig="threePt" w14:dir="t">
              <w14:rot w14:lat="0" w14:lon="0" w14:rev="0"/>
            </w14:lightRig>
          </w14:scene3d>
        </w:rPr>
        <w:t>3.3.14.</w:t>
      </w:r>
      <w:r>
        <w:rPr>
          <w:rStyle w:val="139"/>
        </w:rPr>
        <w:t xml:space="preserve"> 会话数</w:t>
      </w:r>
      <w:r>
        <w:tab/>
      </w:r>
      <w:r>
        <w:fldChar w:fldCharType="begin"/>
      </w:r>
      <w:r>
        <w:instrText xml:space="preserve"> PAGEREF _Toc196727937 \h </w:instrText>
      </w:r>
      <w:r>
        <w:fldChar w:fldCharType="separate"/>
      </w:r>
      <w:r>
        <w:t>23</w:t>
      </w:r>
      <w:r>
        <w:fldChar w:fldCharType="end"/>
      </w:r>
      <w:r>
        <w:fldChar w:fldCharType="end"/>
      </w:r>
    </w:p>
    <w:p w14:paraId="09F0C83B">
      <w:pPr>
        <w:pStyle w:val="56"/>
        <w:tabs>
          <w:tab w:val="right" w:leader="dot" w:pos="8296"/>
        </w:tabs>
        <w:rPr>
          <w:rFonts w:asciiTheme="minorHAnsi" w:hAnsiTheme="minorHAnsi" w:eastAsiaTheme="minorEastAsia"/>
        </w:rPr>
      </w:pPr>
      <w:r>
        <w:fldChar w:fldCharType="begin"/>
      </w:r>
      <w:r>
        <w:instrText xml:space="preserve"> HYPERLINK \l "_Toc196727938" </w:instrText>
      </w:r>
      <w:r>
        <w:fldChar w:fldCharType="separate"/>
      </w:r>
      <w:r>
        <w:rPr>
          <w:rStyle w:val="139"/>
        </w:rPr>
        <w:t>4. 数据中心</w:t>
      </w:r>
      <w:r>
        <w:tab/>
      </w:r>
      <w:r>
        <w:fldChar w:fldCharType="begin"/>
      </w:r>
      <w:r>
        <w:instrText xml:space="preserve"> PAGEREF _Toc196727938 \h </w:instrText>
      </w:r>
      <w:r>
        <w:fldChar w:fldCharType="separate"/>
      </w:r>
      <w:r>
        <w:t>25</w:t>
      </w:r>
      <w:r>
        <w:fldChar w:fldCharType="end"/>
      </w:r>
      <w:r>
        <w:fldChar w:fldCharType="end"/>
      </w:r>
    </w:p>
    <w:p w14:paraId="753E3A2D">
      <w:pPr>
        <w:pStyle w:val="70"/>
        <w:tabs>
          <w:tab w:val="right" w:leader="dot" w:pos="8296"/>
        </w:tabs>
        <w:ind w:left="420"/>
        <w:rPr>
          <w:rFonts w:asciiTheme="minorHAnsi" w:hAnsiTheme="minorHAnsi" w:eastAsiaTheme="minorEastAsia"/>
        </w:rPr>
      </w:pPr>
      <w:r>
        <w:fldChar w:fldCharType="begin"/>
      </w:r>
      <w:r>
        <w:instrText xml:space="preserve"> HYPERLINK \l "_Toc196727939" </w:instrText>
      </w:r>
      <w:r>
        <w:fldChar w:fldCharType="separate"/>
      </w:r>
      <w:r>
        <w:rPr>
          <w:rStyle w:val="139"/>
        </w:rPr>
        <w:t>4.1. 系统监控</w:t>
      </w:r>
      <w:r>
        <w:tab/>
      </w:r>
      <w:r>
        <w:fldChar w:fldCharType="begin"/>
      </w:r>
      <w:r>
        <w:instrText xml:space="preserve"> PAGEREF _Toc196727939 \h </w:instrText>
      </w:r>
      <w:r>
        <w:fldChar w:fldCharType="separate"/>
      </w:r>
      <w:r>
        <w:t>25</w:t>
      </w:r>
      <w:r>
        <w:fldChar w:fldCharType="end"/>
      </w:r>
      <w:r>
        <w:fldChar w:fldCharType="end"/>
      </w:r>
    </w:p>
    <w:p w14:paraId="6F4AB9C5">
      <w:pPr>
        <w:pStyle w:val="42"/>
        <w:tabs>
          <w:tab w:val="right" w:leader="dot" w:pos="8296"/>
        </w:tabs>
        <w:ind w:left="840"/>
        <w:rPr>
          <w:rFonts w:asciiTheme="minorHAnsi" w:hAnsiTheme="minorHAnsi" w:eastAsiaTheme="minorEastAsia"/>
        </w:rPr>
      </w:pPr>
      <w:r>
        <w:fldChar w:fldCharType="begin"/>
      </w:r>
      <w:r>
        <w:instrText xml:space="preserve"> HYPERLINK \l "_Toc196727940" </w:instrText>
      </w:r>
      <w:r>
        <w:fldChar w:fldCharType="separate"/>
      </w:r>
      <w:r>
        <w:rPr>
          <w:rStyle w:val="139"/>
          <w:kern w:val="0"/>
          <w14:scene3d w14:prst="orthographicFront">
            <w14:lightRig w14:rig="threePt" w14:dir="t">
              <w14:rot w14:lat="0" w14:lon="0" w14:rev="0"/>
            </w14:lightRig>
          </w14:scene3d>
        </w:rPr>
        <w:t>4.1.1.</w:t>
      </w:r>
      <w:r>
        <w:rPr>
          <w:rStyle w:val="139"/>
        </w:rPr>
        <w:t xml:space="preserve"> 系统监控简介</w:t>
      </w:r>
      <w:r>
        <w:tab/>
      </w:r>
      <w:r>
        <w:fldChar w:fldCharType="begin"/>
      </w:r>
      <w:r>
        <w:instrText xml:space="preserve"> PAGEREF _Toc196727940 \h </w:instrText>
      </w:r>
      <w:r>
        <w:fldChar w:fldCharType="separate"/>
      </w:r>
      <w:r>
        <w:t>25</w:t>
      </w:r>
      <w:r>
        <w:fldChar w:fldCharType="end"/>
      </w:r>
      <w:r>
        <w:fldChar w:fldCharType="end"/>
      </w:r>
    </w:p>
    <w:p w14:paraId="20C5AA49">
      <w:pPr>
        <w:pStyle w:val="42"/>
        <w:tabs>
          <w:tab w:val="right" w:leader="dot" w:pos="8296"/>
        </w:tabs>
        <w:ind w:left="840"/>
        <w:rPr>
          <w:rFonts w:asciiTheme="minorHAnsi" w:hAnsiTheme="minorHAnsi" w:eastAsiaTheme="minorEastAsia"/>
        </w:rPr>
      </w:pPr>
      <w:r>
        <w:fldChar w:fldCharType="begin"/>
      </w:r>
      <w:r>
        <w:instrText xml:space="preserve"> HYPERLINK \l "_Toc196727941" </w:instrText>
      </w:r>
      <w:r>
        <w:fldChar w:fldCharType="separate"/>
      </w:r>
      <w:r>
        <w:rPr>
          <w:rStyle w:val="139"/>
          <w:kern w:val="0"/>
          <w14:scene3d w14:prst="orthographicFront">
            <w14:lightRig w14:rig="threePt" w14:dir="t">
              <w14:rot w14:lat="0" w14:lon="0" w14:rev="0"/>
            </w14:lightRig>
          </w14:scene3d>
        </w:rPr>
        <w:t>4.1.2.</w:t>
      </w:r>
      <w:r>
        <w:rPr>
          <w:rStyle w:val="139"/>
        </w:rPr>
        <w:t xml:space="preserve"> 在线用户</w:t>
      </w:r>
      <w:r>
        <w:tab/>
      </w:r>
      <w:r>
        <w:fldChar w:fldCharType="begin"/>
      </w:r>
      <w:r>
        <w:instrText xml:space="preserve"> PAGEREF _Toc196727941 \h </w:instrText>
      </w:r>
      <w:r>
        <w:fldChar w:fldCharType="separate"/>
      </w:r>
      <w:r>
        <w:t>26</w:t>
      </w:r>
      <w:r>
        <w:fldChar w:fldCharType="end"/>
      </w:r>
      <w:r>
        <w:fldChar w:fldCharType="end"/>
      </w:r>
    </w:p>
    <w:p w14:paraId="5A2285C3">
      <w:pPr>
        <w:pStyle w:val="42"/>
        <w:tabs>
          <w:tab w:val="right" w:leader="dot" w:pos="8296"/>
        </w:tabs>
        <w:ind w:left="840"/>
        <w:rPr>
          <w:rFonts w:asciiTheme="minorHAnsi" w:hAnsiTheme="minorHAnsi" w:eastAsiaTheme="minorEastAsia"/>
        </w:rPr>
      </w:pPr>
      <w:r>
        <w:fldChar w:fldCharType="begin"/>
      </w:r>
      <w:r>
        <w:instrText xml:space="preserve"> HYPERLINK \l "_Toc196727942" </w:instrText>
      </w:r>
      <w:r>
        <w:fldChar w:fldCharType="separate"/>
      </w:r>
      <w:r>
        <w:rPr>
          <w:rStyle w:val="139"/>
          <w:kern w:val="0"/>
          <w14:scene3d w14:prst="orthographicFront">
            <w14:lightRig w14:rig="threePt" w14:dir="t">
              <w14:rot w14:lat="0" w14:lon="0" w14:rev="0"/>
            </w14:lightRig>
          </w14:scene3d>
        </w:rPr>
        <w:t>4.1.3.</w:t>
      </w:r>
      <w:r>
        <w:rPr>
          <w:rStyle w:val="139"/>
        </w:rPr>
        <w:t xml:space="preserve"> 接口状态</w:t>
      </w:r>
      <w:r>
        <w:tab/>
      </w:r>
      <w:r>
        <w:fldChar w:fldCharType="begin"/>
      </w:r>
      <w:r>
        <w:instrText xml:space="preserve"> PAGEREF _Toc196727942 \h </w:instrText>
      </w:r>
      <w:r>
        <w:fldChar w:fldCharType="separate"/>
      </w:r>
      <w:r>
        <w:t>29</w:t>
      </w:r>
      <w:r>
        <w:fldChar w:fldCharType="end"/>
      </w:r>
      <w:r>
        <w:fldChar w:fldCharType="end"/>
      </w:r>
    </w:p>
    <w:p w14:paraId="79728279">
      <w:pPr>
        <w:pStyle w:val="42"/>
        <w:tabs>
          <w:tab w:val="right" w:leader="dot" w:pos="8296"/>
        </w:tabs>
        <w:ind w:left="840"/>
        <w:rPr>
          <w:rFonts w:asciiTheme="minorHAnsi" w:hAnsiTheme="minorHAnsi" w:eastAsiaTheme="minorEastAsia"/>
        </w:rPr>
      </w:pPr>
      <w:r>
        <w:fldChar w:fldCharType="begin"/>
      </w:r>
      <w:r>
        <w:instrText xml:space="preserve"> HYPERLINK \l "_Toc196727943" </w:instrText>
      </w:r>
      <w:r>
        <w:fldChar w:fldCharType="separate"/>
      </w:r>
      <w:r>
        <w:rPr>
          <w:rStyle w:val="139"/>
          <w:kern w:val="0"/>
          <w14:scene3d w14:prst="orthographicFront">
            <w14:lightRig w14:rig="threePt" w14:dir="t">
              <w14:rot w14:lat="0" w14:lon="0" w14:rev="0"/>
            </w14:lightRig>
          </w14:scene3d>
        </w:rPr>
        <w:t>4.1.4.</w:t>
      </w:r>
      <w:r>
        <w:rPr>
          <w:rStyle w:val="139"/>
        </w:rPr>
        <w:t xml:space="preserve"> 黑名单记录</w:t>
      </w:r>
      <w:r>
        <w:tab/>
      </w:r>
      <w:r>
        <w:fldChar w:fldCharType="begin"/>
      </w:r>
      <w:r>
        <w:instrText xml:space="preserve"> PAGEREF _Toc196727943 \h </w:instrText>
      </w:r>
      <w:r>
        <w:fldChar w:fldCharType="separate"/>
      </w:r>
      <w:r>
        <w:t>30</w:t>
      </w:r>
      <w:r>
        <w:fldChar w:fldCharType="end"/>
      </w:r>
      <w:r>
        <w:fldChar w:fldCharType="end"/>
      </w:r>
    </w:p>
    <w:p w14:paraId="390446BB">
      <w:pPr>
        <w:pStyle w:val="42"/>
        <w:tabs>
          <w:tab w:val="right" w:leader="dot" w:pos="8296"/>
        </w:tabs>
        <w:ind w:left="840"/>
        <w:rPr>
          <w:rFonts w:asciiTheme="minorHAnsi" w:hAnsiTheme="minorHAnsi" w:eastAsiaTheme="minorEastAsia"/>
        </w:rPr>
      </w:pPr>
      <w:r>
        <w:fldChar w:fldCharType="begin"/>
      </w:r>
      <w:r>
        <w:instrText xml:space="preserve"> HYPERLINK \l "_Toc196727944" </w:instrText>
      </w:r>
      <w:r>
        <w:fldChar w:fldCharType="separate"/>
      </w:r>
      <w:r>
        <w:rPr>
          <w:rStyle w:val="139"/>
          <w:kern w:val="0"/>
          <w14:scene3d w14:prst="orthographicFront">
            <w14:lightRig w14:rig="threePt" w14:dir="t">
              <w14:rot w14:lat="0" w14:lon="0" w14:rev="0"/>
            </w14:lightRig>
          </w14:scene3d>
        </w:rPr>
        <w:t>4.1.5.</w:t>
      </w:r>
      <w:r>
        <w:rPr>
          <w:rStyle w:val="139"/>
        </w:rPr>
        <w:t xml:space="preserve"> SSL VPN在线用户</w:t>
      </w:r>
      <w:r>
        <w:tab/>
      </w:r>
      <w:r>
        <w:fldChar w:fldCharType="begin"/>
      </w:r>
      <w:r>
        <w:instrText xml:space="preserve"> PAGEREF _Toc196727944 \h </w:instrText>
      </w:r>
      <w:r>
        <w:fldChar w:fldCharType="separate"/>
      </w:r>
      <w:r>
        <w:t>33</w:t>
      </w:r>
      <w:r>
        <w:fldChar w:fldCharType="end"/>
      </w:r>
      <w:r>
        <w:fldChar w:fldCharType="end"/>
      </w:r>
    </w:p>
    <w:p w14:paraId="741A47A0">
      <w:pPr>
        <w:pStyle w:val="42"/>
        <w:tabs>
          <w:tab w:val="right" w:leader="dot" w:pos="8296"/>
        </w:tabs>
        <w:ind w:left="840"/>
        <w:rPr>
          <w:rFonts w:asciiTheme="minorHAnsi" w:hAnsiTheme="minorHAnsi" w:eastAsiaTheme="minorEastAsia"/>
        </w:rPr>
      </w:pPr>
      <w:r>
        <w:fldChar w:fldCharType="begin"/>
      </w:r>
      <w:r>
        <w:instrText xml:space="preserve"> HYPERLINK \l "_Toc196727945" </w:instrText>
      </w:r>
      <w:r>
        <w:fldChar w:fldCharType="separate"/>
      </w:r>
      <w:r>
        <w:rPr>
          <w:rStyle w:val="139"/>
          <w:kern w:val="0"/>
          <w14:scene3d w14:prst="orthographicFront">
            <w14:lightRig w14:rig="threePt" w14:dir="t">
              <w14:rot w14:lat="0" w14:lon="0" w14:rev="0"/>
            </w14:lightRig>
          </w14:scene3d>
        </w:rPr>
        <w:t>4.1.6.</w:t>
      </w:r>
      <w:r>
        <w:rPr>
          <w:rStyle w:val="139"/>
        </w:rPr>
        <w:t xml:space="preserve"> 实时流速监控</w:t>
      </w:r>
      <w:r>
        <w:tab/>
      </w:r>
      <w:r>
        <w:fldChar w:fldCharType="begin"/>
      </w:r>
      <w:r>
        <w:instrText xml:space="preserve"> PAGEREF _Toc196727945 \h </w:instrText>
      </w:r>
      <w:r>
        <w:fldChar w:fldCharType="separate"/>
      </w:r>
      <w:r>
        <w:t>35</w:t>
      </w:r>
      <w:r>
        <w:fldChar w:fldCharType="end"/>
      </w:r>
      <w:r>
        <w:fldChar w:fldCharType="end"/>
      </w:r>
    </w:p>
    <w:p w14:paraId="2F3AC135">
      <w:pPr>
        <w:pStyle w:val="42"/>
        <w:tabs>
          <w:tab w:val="right" w:leader="dot" w:pos="8296"/>
        </w:tabs>
        <w:ind w:left="840"/>
        <w:rPr>
          <w:rFonts w:asciiTheme="minorHAnsi" w:hAnsiTheme="minorHAnsi" w:eastAsiaTheme="minorEastAsia"/>
        </w:rPr>
      </w:pPr>
      <w:r>
        <w:fldChar w:fldCharType="begin"/>
      </w:r>
      <w:r>
        <w:instrText xml:space="preserve"> HYPERLINK \l "_Toc196727946" </w:instrText>
      </w:r>
      <w:r>
        <w:fldChar w:fldCharType="separate"/>
      </w:r>
      <w:r>
        <w:rPr>
          <w:rStyle w:val="139"/>
          <w:kern w:val="0"/>
          <w14:scene3d w14:prst="orthographicFront">
            <w14:lightRig w14:rig="threePt" w14:dir="t">
              <w14:rot w14:lat="0" w14:lon="0" w14:rev="0"/>
            </w14:lightRig>
          </w14:scene3d>
        </w:rPr>
        <w:t>4.1.7.</w:t>
      </w:r>
      <w:r>
        <w:rPr>
          <w:rStyle w:val="139"/>
        </w:rPr>
        <w:t xml:space="preserve"> 终端资产管理</w:t>
      </w:r>
      <w:r>
        <w:tab/>
      </w:r>
      <w:r>
        <w:fldChar w:fldCharType="begin"/>
      </w:r>
      <w:r>
        <w:instrText xml:space="preserve"> PAGEREF _Toc196727946 \h </w:instrText>
      </w:r>
      <w:r>
        <w:fldChar w:fldCharType="separate"/>
      </w:r>
      <w:r>
        <w:t>38</w:t>
      </w:r>
      <w:r>
        <w:fldChar w:fldCharType="end"/>
      </w:r>
      <w:r>
        <w:fldChar w:fldCharType="end"/>
      </w:r>
    </w:p>
    <w:p w14:paraId="7C12E04C">
      <w:pPr>
        <w:pStyle w:val="42"/>
        <w:tabs>
          <w:tab w:val="right" w:leader="dot" w:pos="8296"/>
        </w:tabs>
        <w:ind w:left="840"/>
        <w:rPr>
          <w:rFonts w:asciiTheme="minorHAnsi" w:hAnsiTheme="minorHAnsi" w:eastAsiaTheme="minorEastAsia"/>
        </w:rPr>
      </w:pPr>
      <w:r>
        <w:fldChar w:fldCharType="begin"/>
      </w:r>
      <w:r>
        <w:instrText xml:space="preserve"> HYPERLINK \l "_Toc196727947" </w:instrText>
      </w:r>
      <w:r>
        <w:fldChar w:fldCharType="separate"/>
      </w:r>
      <w:r>
        <w:rPr>
          <w:rStyle w:val="139"/>
          <w:kern w:val="0"/>
          <w14:scene3d w14:prst="orthographicFront">
            <w14:lightRig w14:rig="threePt" w14:dir="t">
              <w14:rot w14:lat="0" w14:lon="0" w14:rev="0"/>
            </w14:lightRig>
          </w14:scene3d>
        </w:rPr>
        <w:t>4.1.8.</w:t>
      </w:r>
      <w:r>
        <w:rPr>
          <w:rStyle w:val="139"/>
        </w:rPr>
        <w:t xml:space="preserve"> 故障监控中心</w:t>
      </w:r>
      <w:r>
        <w:tab/>
      </w:r>
      <w:r>
        <w:fldChar w:fldCharType="begin"/>
      </w:r>
      <w:r>
        <w:instrText xml:space="preserve"> PAGEREF _Toc196727947 \h </w:instrText>
      </w:r>
      <w:r>
        <w:fldChar w:fldCharType="separate"/>
      </w:r>
      <w:r>
        <w:t>42</w:t>
      </w:r>
      <w:r>
        <w:fldChar w:fldCharType="end"/>
      </w:r>
      <w:r>
        <w:fldChar w:fldCharType="end"/>
      </w:r>
    </w:p>
    <w:p w14:paraId="7B33BFD6">
      <w:pPr>
        <w:pStyle w:val="70"/>
        <w:tabs>
          <w:tab w:val="right" w:leader="dot" w:pos="8296"/>
        </w:tabs>
        <w:ind w:left="420"/>
        <w:rPr>
          <w:rFonts w:asciiTheme="minorHAnsi" w:hAnsiTheme="minorHAnsi" w:eastAsiaTheme="minorEastAsia"/>
        </w:rPr>
      </w:pPr>
      <w:r>
        <w:fldChar w:fldCharType="begin"/>
      </w:r>
      <w:r>
        <w:instrText xml:space="preserve"> HYPERLINK \l "_Toc196727948" </w:instrText>
      </w:r>
      <w:r>
        <w:fldChar w:fldCharType="separate"/>
      </w:r>
      <w:r>
        <w:rPr>
          <w:rStyle w:val="139"/>
        </w:rPr>
        <w:t>4.2. 数据分析</w:t>
      </w:r>
      <w:r>
        <w:tab/>
      </w:r>
      <w:r>
        <w:fldChar w:fldCharType="begin"/>
      </w:r>
      <w:r>
        <w:instrText xml:space="preserve"> PAGEREF _Toc196727948 \h </w:instrText>
      </w:r>
      <w:r>
        <w:fldChar w:fldCharType="separate"/>
      </w:r>
      <w:r>
        <w:t>50</w:t>
      </w:r>
      <w:r>
        <w:fldChar w:fldCharType="end"/>
      </w:r>
      <w:r>
        <w:fldChar w:fldCharType="end"/>
      </w:r>
    </w:p>
    <w:p w14:paraId="0B537B3E">
      <w:pPr>
        <w:pStyle w:val="42"/>
        <w:tabs>
          <w:tab w:val="right" w:leader="dot" w:pos="8296"/>
        </w:tabs>
        <w:ind w:left="840"/>
        <w:rPr>
          <w:rFonts w:asciiTheme="minorHAnsi" w:hAnsiTheme="minorHAnsi" w:eastAsiaTheme="minorEastAsia"/>
        </w:rPr>
      </w:pPr>
      <w:r>
        <w:fldChar w:fldCharType="begin"/>
      </w:r>
      <w:r>
        <w:instrText xml:space="preserve"> HYPERLINK \l "_Toc196727949" </w:instrText>
      </w:r>
      <w:r>
        <w:fldChar w:fldCharType="separate"/>
      </w:r>
      <w:r>
        <w:rPr>
          <w:rStyle w:val="139"/>
          <w:kern w:val="0"/>
          <w14:scene3d w14:prst="orthographicFront">
            <w14:lightRig w14:rig="threePt" w14:dir="t">
              <w14:rot w14:lat="0" w14:lon="0" w14:rev="0"/>
            </w14:lightRig>
          </w14:scene3d>
        </w:rPr>
        <w:t>4.2.1.</w:t>
      </w:r>
      <w:r>
        <w:rPr>
          <w:rStyle w:val="139"/>
        </w:rPr>
        <w:t xml:space="preserve"> 数据分析简介</w:t>
      </w:r>
      <w:r>
        <w:tab/>
      </w:r>
      <w:r>
        <w:fldChar w:fldCharType="begin"/>
      </w:r>
      <w:r>
        <w:instrText xml:space="preserve"> PAGEREF _Toc196727949 \h </w:instrText>
      </w:r>
      <w:r>
        <w:fldChar w:fldCharType="separate"/>
      </w:r>
      <w:r>
        <w:t>50</w:t>
      </w:r>
      <w:r>
        <w:fldChar w:fldCharType="end"/>
      </w:r>
      <w:r>
        <w:fldChar w:fldCharType="end"/>
      </w:r>
    </w:p>
    <w:p w14:paraId="1CABAECD">
      <w:pPr>
        <w:pStyle w:val="42"/>
        <w:tabs>
          <w:tab w:val="right" w:leader="dot" w:pos="8296"/>
        </w:tabs>
        <w:ind w:left="840"/>
        <w:rPr>
          <w:rFonts w:asciiTheme="minorHAnsi" w:hAnsiTheme="minorHAnsi" w:eastAsiaTheme="minorEastAsia"/>
        </w:rPr>
      </w:pPr>
      <w:r>
        <w:fldChar w:fldCharType="begin"/>
      </w:r>
      <w:r>
        <w:instrText xml:space="preserve"> HYPERLINK \l "_Toc196727950" </w:instrText>
      </w:r>
      <w:r>
        <w:fldChar w:fldCharType="separate"/>
      </w:r>
      <w:r>
        <w:rPr>
          <w:rStyle w:val="139"/>
          <w:kern w:val="0"/>
          <w14:scene3d w14:prst="orthographicFront">
            <w14:lightRig w14:rig="threePt" w14:dir="t">
              <w14:rot w14:lat="0" w14:lon="0" w14:rev="0"/>
            </w14:lightRig>
          </w14:scene3d>
        </w:rPr>
        <w:t>4.2.2.</w:t>
      </w:r>
      <w:r>
        <w:rPr>
          <w:rStyle w:val="139"/>
        </w:rPr>
        <w:t xml:space="preserve"> 用户流量统计</w:t>
      </w:r>
      <w:r>
        <w:tab/>
      </w:r>
      <w:r>
        <w:fldChar w:fldCharType="begin"/>
      </w:r>
      <w:r>
        <w:instrText xml:space="preserve"> PAGEREF _Toc196727950 \h </w:instrText>
      </w:r>
      <w:r>
        <w:fldChar w:fldCharType="separate"/>
      </w:r>
      <w:r>
        <w:t>50</w:t>
      </w:r>
      <w:r>
        <w:fldChar w:fldCharType="end"/>
      </w:r>
      <w:r>
        <w:fldChar w:fldCharType="end"/>
      </w:r>
    </w:p>
    <w:p w14:paraId="015DA792">
      <w:pPr>
        <w:pStyle w:val="42"/>
        <w:tabs>
          <w:tab w:val="right" w:leader="dot" w:pos="8296"/>
        </w:tabs>
        <w:ind w:left="840"/>
        <w:rPr>
          <w:rFonts w:asciiTheme="minorHAnsi" w:hAnsiTheme="minorHAnsi" w:eastAsiaTheme="minorEastAsia"/>
        </w:rPr>
      </w:pPr>
      <w:r>
        <w:fldChar w:fldCharType="begin"/>
      </w:r>
      <w:r>
        <w:instrText xml:space="preserve"> HYPERLINK \l "_Toc196727951" </w:instrText>
      </w:r>
      <w:r>
        <w:fldChar w:fldCharType="separate"/>
      </w:r>
      <w:r>
        <w:rPr>
          <w:rStyle w:val="139"/>
          <w:kern w:val="0"/>
          <w14:scene3d w14:prst="orthographicFront">
            <w14:lightRig w14:rig="threePt" w14:dir="t">
              <w14:rot w14:lat="0" w14:lon="0" w14:rev="0"/>
            </w14:lightRig>
          </w14:scene3d>
        </w:rPr>
        <w:t>4.2.3.</w:t>
      </w:r>
      <w:r>
        <w:rPr>
          <w:rStyle w:val="139"/>
        </w:rPr>
        <w:t xml:space="preserve"> 应用流量统计</w:t>
      </w:r>
      <w:r>
        <w:tab/>
      </w:r>
      <w:r>
        <w:fldChar w:fldCharType="begin"/>
      </w:r>
      <w:r>
        <w:instrText xml:space="preserve"> PAGEREF _Toc196727951 \h </w:instrText>
      </w:r>
      <w:r>
        <w:fldChar w:fldCharType="separate"/>
      </w:r>
      <w:r>
        <w:t>53</w:t>
      </w:r>
      <w:r>
        <w:fldChar w:fldCharType="end"/>
      </w:r>
      <w:r>
        <w:fldChar w:fldCharType="end"/>
      </w:r>
    </w:p>
    <w:p w14:paraId="00F24F41">
      <w:pPr>
        <w:pStyle w:val="42"/>
        <w:tabs>
          <w:tab w:val="right" w:leader="dot" w:pos="8296"/>
        </w:tabs>
        <w:ind w:left="840"/>
        <w:rPr>
          <w:rFonts w:asciiTheme="minorHAnsi" w:hAnsiTheme="minorHAnsi" w:eastAsiaTheme="minorEastAsia"/>
        </w:rPr>
      </w:pPr>
      <w:r>
        <w:fldChar w:fldCharType="begin"/>
      </w:r>
      <w:r>
        <w:instrText xml:space="preserve"> HYPERLINK \l "_Toc196727952" </w:instrText>
      </w:r>
      <w:r>
        <w:fldChar w:fldCharType="separate"/>
      </w:r>
      <w:r>
        <w:rPr>
          <w:rStyle w:val="139"/>
          <w:kern w:val="0"/>
          <w14:scene3d w14:prst="orthographicFront">
            <w14:lightRig w14:rig="threePt" w14:dir="t">
              <w14:rot w14:lat="0" w14:lon="0" w14:rev="0"/>
            </w14:lightRig>
          </w14:scene3d>
        </w:rPr>
        <w:t>4.2.4.</w:t>
      </w:r>
      <w:r>
        <w:rPr>
          <w:rStyle w:val="139"/>
        </w:rPr>
        <w:t xml:space="preserve"> 用户信息中心</w:t>
      </w:r>
      <w:r>
        <w:tab/>
      </w:r>
      <w:r>
        <w:fldChar w:fldCharType="begin"/>
      </w:r>
      <w:r>
        <w:instrText xml:space="preserve"> PAGEREF _Toc196727952 \h </w:instrText>
      </w:r>
      <w:r>
        <w:fldChar w:fldCharType="separate"/>
      </w:r>
      <w:r>
        <w:t>55</w:t>
      </w:r>
      <w:r>
        <w:fldChar w:fldCharType="end"/>
      </w:r>
      <w:r>
        <w:fldChar w:fldCharType="end"/>
      </w:r>
    </w:p>
    <w:p w14:paraId="6AD72177">
      <w:pPr>
        <w:pStyle w:val="42"/>
        <w:tabs>
          <w:tab w:val="right" w:leader="dot" w:pos="8296"/>
        </w:tabs>
        <w:ind w:left="840"/>
        <w:rPr>
          <w:rFonts w:asciiTheme="minorHAnsi" w:hAnsiTheme="minorHAnsi" w:eastAsiaTheme="minorEastAsia"/>
        </w:rPr>
      </w:pPr>
      <w:r>
        <w:fldChar w:fldCharType="begin"/>
      </w:r>
      <w:r>
        <w:instrText xml:space="preserve"> HYPERLINK \l "_Toc196727953" </w:instrText>
      </w:r>
      <w:r>
        <w:fldChar w:fldCharType="separate"/>
      </w:r>
      <w:r>
        <w:rPr>
          <w:rStyle w:val="139"/>
          <w:kern w:val="0"/>
          <w14:scene3d w14:prst="orthographicFront">
            <w14:lightRig w14:rig="threePt" w14:dir="t">
              <w14:rot w14:lat="0" w14:lon="0" w14:rev="0"/>
            </w14:lightRig>
          </w14:scene3d>
        </w:rPr>
        <w:t>4.2.5.</w:t>
      </w:r>
      <w:r>
        <w:rPr>
          <w:rStyle w:val="139"/>
        </w:rPr>
        <w:t xml:space="preserve"> 设备流量统计</w:t>
      </w:r>
      <w:r>
        <w:tab/>
      </w:r>
      <w:r>
        <w:fldChar w:fldCharType="begin"/>
      </w:r>
      <w:r>
        <w:instrText xml:space="preserve"> PAGEREF _Toc196727953 \h </w:instrText>
      </w:r>
      <w:r>
        <w:fldChar w:fldCharType="separate"/>
      </w:r>
      <w:r>
        <w:t>60</w:t>
      </w:r>
      <w:r>
        <w:fldChar w:fldCharType="end"/>
      </w:r>
      <w:r>
        <w:fldChar w:fldCharType="end"/>
      </w:r>
    </w:p>
    <w:p w14:paraId="5A2BC80D">
      <w:pPr>
        <w:pStyle w:val="42"/>
        <w:tabs>
          <w:tab w:val="right" w:leader="dot" w:pos="8296"/>
        </w:tabs>
        <w:ind w:left="840"/>
        <w:rPr>
          <w:rFonts w:asciiTheme="minorHAnsi" w:hAnsiTheme="minorHAnsi" w:eastAsiaTheme="minorEastAsia"/>
        </w:rPr>
      </w:pPr>
      <w:r>
        <w:fldChar w:fldCharType="begin"/>
      </w:r>
      <w:r>
        <w:instrText xml:space="preserve"> HYPERLINK \l "_Toc196727954" </w:instrText>
      </w:r>
      <w:r>
        <w:fldChar w:fldCharType="separate"/>
      </w:r>
      <w:r>
        <w:rPr>
          <w:rStyle w:val="139"/>
          <w:kern w:val="0"/>
          <w14:scene3d w14:prst="orthographicFront">
            <w14:lightRig w14:rig="threePt" w14:dir="t">
              <w14:rot w14:lat="0" w14:lon="0" w14:rev="0"/>
            </w14:lightRig>
          </w14:scene3d>
        </w:rPr>
        <w:t>4.2.6.</w:t>
      </w:r>
      <w:r>
        <w:rPr>
          <w:rStyle w:val="139"/>
        </w:rPr>
        <w:t xml:space="preserve"> 设备健康统计</w:t>
      </w:r>
      <w:r>
        <w:tab/>
      </w:r>
      <w:r>
        <w:fldChar w:fldCharType="begin"/>
      </w:r>
      <w:r>
        <w:instrText xml:space="preserve"> PAGEREF _Toc196727954 \h </w:instrText>
      </w:r>
      <w:r>
        <w:fldChar w:fldCharType="separate"/>
      </w:r>
      <w:r>
        <w:t>61</w:t>
      </w:r>
      <w:r>
        <w:fldChar w:fldCharType="end"/>
      </w:r>
      <w:r>
        <w:fldChar w:fldCharType="end"/>
      </w:r>
    </w:p>
    <w:p w14:paraId="5CA688F1">
      <w:pPr>
        <w:pStyle w:val="42"/>
        <w:tabs>
          <w:tab w:val="right" w:leader="dot" w:pos="8296"/>
        </w:tabs>
        <w:ind w:left="840"/>
        <w:rPr>
          <w:rFonts w:asciiTheme="minorHAnsi" w:hAnsiTheme="minorHAnsi" w:eastAsiaTheme="minorEastAsia"/>
        </w:rPr>
      </w:pPr>
      <w:r>
        <w:fldChar w:fldCharType="begin"/>
      </w:r>
      <w:r>
        <w:instrText xml:space="preserve"> HYPERLINK \l "_Toc196727955" </w:instrText>
      </w:r>
      <w:r>
        <w:fldChar w:fldCharType="separate"/>
      </w:r>
      <w:r>
        <w:rPr>
          <w:rStyle w:val="139"/>
          <w:kern w:val="0"/>
          <w14:scene3d w14:prst="orthographicFront">
            <w14:lightRig w14:rig="threePt" w14:dir="t">
              <w14:rot w14:lat="0" w14:lon="0" w14:rev="0"/>
            </w14:lightRig>
          </w14:scene3d>
        </w:rPr>
        <w:t>4.2.7.</w:t>
      </w:r>
      <w:r>
        <w:rPr>
          <w:rStyle w:val="139"/>
        </w:rPr>
        <w:t xml:space="preserve"> 会话监控统计</w:t>
      </w:r>
      <w:r>
        <w:tab/>
      </w:r>
      <w:r>
        <w:fldChar w:fldCharType="begin"/>
      </w:r>
      <w:r>
        <w:instrText xml:space="preserve"> PAGEREF _Toc196727955 \h </w:instrText>
      </w:r>
      <w:r>
        <w:fldChar w:fldCharType="separate"/>
      </w:r>
      <w:r>
        <w:t>65</w:t>
      </w:r>
      <w:r>
        <w:fldChar w:fldCharType="end"/>
      </w:r>
      <w:r>
        <w:fldChar w:fldCharType="end"/>
      </w:r>
    </w:p>
    <w:p w14:paraId="7BE066CE">
      <w:pPr>
        <w:pStyle w:val="42"/>
        <w:tabs>
          <w:tab w:val="right" w:leader="dot" w:pos="8296"/>
        </w:tabs>
        <w:ind w:left="840"/>
        <w:rPr>
          <w:rFonts w:asciiTheme="minorHAnsi" w:hAnsiTheme="minorHAnsi" w:eastAsiaTheme="minorEastAsia"/>
        </w:rPr>
      </w:pPr>
      <w:r>
        <w:fldChar w:fldCharType="begin"/>
      </w:r>
      <w:r>
        <w:instrText xml:space="preserve"> HYPERLINK \l "_Toc196727956" </w:instrText>
      </w:r>
      <w:r>
        <w:fldChar w:fldCharType="separate"/>
      </w:r>
      <w:r>
        <w:rPr>
          <w:rStyle w:val="139"/>
          <w:kern w:val="0"/>
          <w14:scene3d w14:prst="orthographicFront">
            <w14:lightRig w14:rig="threePt" w14:dir="t">
              <w14:rot w14:lat="0" w14:lon="0" w14:rev="0"/>
            </w14:lightRig>
          </w14:scene3d>
        </w:rPr>
        <w:t>4.2.8.</w:t>
      </w:r>
      <w:r>
        <w:rPr>
          <w:rStyle w:val="139"/>
        </w:rPr>
        <w:t xml:space="preserve"> 数据库日志统计</w:t>
      </w:r>
      <w:r>
        <w:tab/>
      </w:r>
      <w:r>
        <w:fldChar w:fldCharType="begin"/>
      </w:r>
      <w:r>
        <w:instrText xml:space="preserve"> PAGEREF _Toc196727956 \h </w:instrText>
      </w:r>
      <w:r>
        <w:fldChar w:fldCharType="separate"/>
      </w:r>
      <w:r>
        <w:t>70</w:t>
      </w:r>
      <w:r>
        <w:fldChar w:fldCharType="end"/>
      </w:r>
      <w:r>
        <w:fldChar w:fldCharType="end"/>
      </w:r>
    </w:p>
    <w:p w14:paraId="6AD4E432">
      <w:pPr>
        <w:pStyle w:val="42"/>
        <w:tabs>
          <w:tab w:val="right" w:leader="dot" w:pos="8296"/>
        </w:tabs>
        <w:ind w:left="840"/>
        <w:rPr>
          <w:rFonts w:asciiTheme="minorHAnsi" w:hAnsiTheme="minorHAnsi" w:eastAsiaTheme="minorEastAsia"/>
        </w:rPr>
      </w:pPr>
      <w:r>
        <w:fldChar w:fldCharType="begin"/>
      </w:r>
      <w:r>
        <w:instrText xml:space="preserve"> HYPERLINK \l "_Toc196727957" </w:instrText>
      </w:r>
      <w:r>
        <w:fldChar w:fldCharType="separate"/>
      </w:r>
      <w:r>
        <w:rPr>
          <w:rStyle w:val="139"/>
          <w:kern w:val="0"/>
          <w14:scene3d w14:prst="orthographicFront">
            <w14:lightRig w14:rig="threePt" w14:dir="t">
              <w14:rot w14:lat="0" w14:lon="0" w14:rev="0"/>
            </w14:lightRig>
          </w14:scene3d>
        </w:rPr>
        <w:t>4.2.9.</w:t>
      </w:r>
      <w:r>
        <w:rPr>
          <w:rStyle w:val="139"/>
        </w:rPr>
        <w:t xml:space="preserve"> 违规用户检查统计</w:t>
      </w:r>
      <w:r>
        <w:tab/>
      </w:r>
      <w:r>
        <w:fldChar w:fldCharType="begin"/>
      </w:r>
      <w:r>
        <w:instrText xml:space="preserve"> PAGEREF _Toc196727957 \h </w:instrText>
      </w:r>
      <w:r>
        <w:fldChar w:fldCharType="separate"/>
      </w:r>
      <w:r>
        <w:t>71</w:t>
      </w:r>
      <w:r>
        <w:fldChar w:fldCharType="end"/>
      </w:r>
      <w:r>
        <w:fldChar w:fldCharType="end"/>
      </w:r>
    </w:p>
    <w:p w14:paraId="044339A5">
      <w:pPr>
        <w:pStyle w:val="42"/>
        <w:tabs>
          <w:tab w:val="right" w:leader="dot" w:pos="8296"/>
        </w:tabs>
        <w:ind w:left="840"/>
        <w:rPr>
          <w:rFonts w:asciiTheme="minorHAnsi" w:hAnsiTheme="minorHAnsi" w:eastAsiaTheme="minorEastAsia"/>
        </w:rPr>
      </w:pPr>
      <w:r>
        <w:fldChar w:fldCharType="begin"/>
      </w:r>
      <w:r>
        <w:instrText xml:space="preserve"> HYPERLINK \l "_Toc196727958" </w:instrText>
      </w:r>
      <w:r>
        <w:fldChar w:fldCharType="separate"/>
      </w:r>
      <w:r>
        <w:rPr>
          <w:rStyle w:val="139"/>
          <w:kern w:val="0"/>
          <w14:scene3d w14:prst="orthographicFront">
            <w14:lightRig w14:rig="threePt" w14:dir="t">
              <w14:rot w14:lat="0" w14:lon="0" w14:rev="0"/>
            </w14:lightRig>
          </w14:scene3d>
        </w:rPr>
        <w:t>4.2.10.</w:t>
      </w:r>
      <w:r>
        <w:rPr>
          <w:rStyle w:val="139"/>
        </w:rPr>
        <w:t xml:space="preserve"> 违规应用检查统计</w:t>
      </w:r>
      <w:r>
        <w:tab/>
      </w:r>
      <w:r>
        <w:fldChar w:fldCharType="begin"/>
      </w:r>
      <w:r>
        <w:instrText xml:space="preserve"> PAGEREF _Toc196727958 \h </w:instrText>
      </w:r>
      <w:r>
        <w:fldChar w:fldCharType="separate"/>
      </w:r>
      <w:r>
        <w:t>72</w:t>
      </w:r>
      <w:r>
        <w:fldChar w:fldCharType="end"/>
      </w:r>
      <w:r>
        <w:fldChar w:fldCharType="end"/>
      </w:r>
    </w:p>
    <w:p w14:paraId="22071C93">
      <w:pPr>
        <w:pStyle w:val="70"/>
        <w:tabs>
          <w:tab w:val="right" w:leader="dot" w:pos="8296"/>
        </w:tabs>
        <w:ind w:left="420"/>
        <w:rPr>
          <w:rFonts w:asciiTheme="minorHAnsi" w:hAnsiTheme="minorHAnsi" w:eastAsiaTheme="minorEastAsia"/>
        </w:rPr>
      </w:pPr>
      <w:r>
        <w:fldChar w:fldCharType="begin"/>
      </w:r>
      <w:r>
        <w:instrText xml:space="preserve"> HYPERLINK \l "_Toc196727959" </w:instrText>
      </w:r>
      <w:r>
        <w:fldChar w:fldCharType="separate"/>
      </w:r>
      <w:r>
        <w:rPr>
          <w:rStyle w:val="139"/>
        </w:rPr>
        <w:t>4.3. 安全分析</w:t>
      </w:r>
      <w:r>
        <w:tab/>
      </w:r>
      <w:r>
        <w:fldChar w:fldCharType="begin"/>
      </w:r>
      <w:r>
        <w:instrText xml:space="preserve"> PAGEREF _Toc196727959 \h </w:instrText>
      </w:r>
      <w:r>
        <w:fldChar w:fldCharType="separate"/>
      </w:r>
      <w:r>
        <w:t>73</w:t>
      </w:r>
      <w:r>
        <w:fldChar w:fldCharType="end"/>
      </w:r>
      <w:r>
        <w:fldChar w:fldCharType="end"/>
      </w:r>
    </w:p>
    <w:p w14:paraId="05DFFEA2">
      <w:pPr>
        <w:pStyle w:val="42"/>
        <w:tabs>
          <w:tab w:val="right" w:leader="dot" w:pos="8296"/>
        </w:tabs>
        <w:ind w:left="840"/>
        <w:rPr>
          <w:rFonts w:asciiTheme="minorHAnsi" w:hAnsiTheme="minorHAnsi" w:eastAsiaTheme="minorEastAsia"/>
        </w:rPr>
      </w:pPr>
      <w:r>
        <w:fldChar w:fldCharType="begin"/>
      </w:r>
      <w:r>
        <w:instrText xml:space="preserve"> HYPERLINK \l "_Toc196727960" </w:instrText>
      </w:r>
      <w:r>
        <w:fldChar w:fldCharType="separate"/>
      </w:r>
      <w:r>
        <w:rPr>
          <w:rStyle w:val="139"/>
          <w:kern w:val="0"/>
          <w14:scene3d w14:prst="orthographicFront">
            <w14:lightRig w14:rig="threePt" w14:dir="t">
              <w14:rot w14:lat="0" w14:lon="0" w14:rev="0"/>
            </w14:lightRig>
          </w14:scene3d>
        </w:rPr>
        <w:t>4.3.1.</w:t>
      </w:r>
      <w:r>
        <w:rPr>
          <w:rStyle w:val="139"/>
        </w:rPr>
        <w:t xml:space="preserve"> 安全分析简介</w:t>
      </w:r>
      <w:r>
        <w:tab/>
      </w:r>
      <w:r>
        <w:fldChar w:fldCharType="begin"/>
      </w:r>
      <w:r>
        <w:instrText xml:space="preserve"> PAGEREF _Toc196727960 \h </w:instrText>
      </w:r>
      <w:r>
        <w:fldChar w:fldCharType="separate"/>
      </w:r>
      <w:r>
        <w:t>73</w:t>
      </w:r>
      <w:r>
        <w:fldChar w:fldCharType="end"/>
      </w:r>
      <w:r>
        <w:fldChar w:fldCharType="end"/>
      </w:r>
    </w:p>
    <w:p w14:paraId="7D384E69">
      <w:pPr>
        <w:pStyle w:val="42"/>
        <w:tabs>
          <w:tab w:val="right" w:leader="dot" w:pos="8296"/>
        </w:tabs>
        <w:ind w:left="840"/>
        <w:rPr>
          <w:rFonts w:asciiTheme="minorHAnsi" w:hAnsiTheme="minorHAnsi" w:eastAsiaTheme="minorEastAsia"/>
        </w:rPr>
      </w:pPr>
      <w:r>
        <w:fldChar w:fldCharType="begin"/>
      </w:r>
      <w:r>
        <w:instrText xml:space="preserve"> HYPERLINK \l "_Toc196727961" </w:instrText>
      </w:r>
      <w:r>
        <w:fldChar w:fldCharType="separate"/>
      </w:r>
      <w:r>
        <w:rPr>
          <w:rStyle w:val="139"/>
          <w:kern w:val="0"/>
          <w14:scene3d w14:prst="orthographicFront">
            <w14:lightRig w14:rig="threePt" w14:dir="t">
              <w14:rot w14:lat="0" w14:lon="0" w14:rev="0"/>
            </w14:lightRig>
          </w14:scene3d>
        </w:rPr>
        <w:t>4.3.2.</w:t>
      </w:r>
      <w:r>
        <w:rPr>
          <w:rStyle w:val="139"/>
        </w:rPr>
        <w:t xml:space="preserve"> 安全事件分析</w:t>
      </w:r>
      <w:r>
        <w:tab/>
      </w:r>
      <w:r>
        <w:fldChar w:fldCharType="begin"/>
      </w:r>
      <w:r>
        <w:instrText xml:space="preserve"> PAGEREF _Toc196727961 \h </w:instrText>
      </w:r>
      <w:r>
        <w:fldChar w:fldCharType="separate"/>
      </w:r>
      <w:r>
        <w:t>73</w:t>
      </w:r>
      <w:r>
        <w:fldChar w:fldCharType="end"/>
      </w:r>
      <w:r>
        <w:fldChar w:fldCharType="end"/>
      </w:r>
    </w:p>
    <w:p w14:paraId="74250FDF">
      <w:pPr>
        <w:pStyle w:val="42"/>
        <w:tabs>
          <w:tab w:val="right" w:leader="dot" w:pos="8296"/>
        </w:tabs>
        <w:ind w:left="840"/>
        <w:rPr>
          <w:rFonts w:asciiTheme="minorHAnsi" w:hAnsiTheme="minorHAnsi" w:eastAsiaTheme="minorEastAsia"/>
        </w:rPr>
      </w:pPr>
      <w:r>
        <w:fldChar w:fldCharType="begin"/>
      </w:r>
      <w:r>
        <w:instrText xml:space="preserve"> HYPERLINK \l "_Toc196727962" </w:instrText>
      </w:r>
      <w:r>
        <w:fldChar w:fldCharType="separate"/>
      </w:r>
      <w:r>
        <w:rPr>
          <w:rStyle w:val="139"/>
          <w:kern w:val="0"/>
          <w14:scene3d w14:prst="orthographicFront">
            <w14:lightRig w14:rig="threePt" w14:dir="t">
              <w14:rot w14:lat="0" w14:lon="0" w14:rev="0"/>
            </w14:lightRig>
          </w14:scene3d>
        </w:rPr>
        <w:t>4.3.3.</w:t>
      </w:r>
      <w:r>
        <w:rPr>
          <w:rStyle w:val="139"/>
        </w:rPr>
        <w:t xml:space="preserve"> 资产安全分析</w:t>
      </w:r>
      <w:r>
        <w:tab/>
      </w:r>
      <w:r>
        <w:fldChar w:fldCharType="begin"/>
      </w:r>
      <w:r>
        <w:instrText xml:space="preserve"> PAGEREF _Toc196727962 \h </w:instrText>
      </w:r>
      <w:r>
        <w:fldChar w:fldCharType="separate"/>
      </w:r>
      <w:r>
        <w:t>76</w:t>
      </w:r>
      <w:r>
        <w:fldChar w:fldCharType="end"/>
      </w:r>
      <w:r>
        <w:fldChar w:fldCharType="end"/>
      </w:r>
    </w:p>
    <w:p w14:paraId="4CDED66C">
      <w:pPr>
        <w:pStyle w:val="42"/>
        <w:tabs>
          <w:tab w:val="right" w:leader="dot" w:pos="8296"/>
        </w:tabs>
        <w:ind w:left="840"/>
        <w:rPr>
          <w:rFonts w:asciiTheme="minorHAnsi" w:hAnsiTheme="minorHAnsi" w:eastAsiaTheme="minorEastAsia"/>
        </w:rPr>
      </w:pPr>
      <w:r>
        <w:fldChar w:fldCharType="begin"/>
      </w:r>
      <w:r>
        <w:instrText xml:space="preserve"> HYPERLINK \l "_Toc196727963" </w:instrText>
      </w:r>
      <w:r>
        <w:fldChar w:fldCharType="separate"/>
      </w:r>
      <w:r>
        <w:rPr>
          <w:rStyle w:val="139"/>
          <w:kern w:val="0"/>
          <w14:scene3d w14:prst="orthographicFront">
            <w14:lightRig w14:rig="threePt" w14:dir="t">
              <w14:rot w14:lat="0" w14:lon="0" w14:rev="0"/>
            </w14:lightRig>
          </w14:scene3d>
        </w:rPr>
        <w:t>4.3.4.</w:t>
      </w:r>
      <w:r>
        <w:rPr>
          <w:rStyle w:val="139"/>
        </w:rPr>
        <w:t xml:space="preserve"> WEB防护分析</w:t>
      </w:r>
      <w:r>
        <w:tab/>
      </w:r>
      <w:r>
        <w:fldChar w:fldCharType="begin"/>
      </w:r>
      <w:r>
        <w:instrText xml:space="preserve"> PAGEREF _Toc196727963 \h </w:instrText>
      </w:r>
      <w:r>
        <w:fldChar w:fldCharType="separate"/>
      </w:r>
      <w:r>
        <w:t>79</w:t>
      </w:r>
      <w:r>
        <w:fldChar w:fldCharType="end"/>
      </w:r>
      <w:r>
        <w:fldChar w:fldCharType="end"/>
      </w:r>
    </w:p>
    <w:p w14:paraId="1BD4C32E">
      <w:pPr>
        <w:pStyle w:val="42"/>
        <w:tabs>
          <w:tab w:val="right" w:leader="dot" w:pos="8296"/>
        </w:tabs>
        <w:ind w:left="840"/>
        <w:rPr>
          <w:rFonts w:asciiTheme="minorHAnsi" w:hAnsiTheme="minorHAnsi" w:eastAsiaTheme="minorEastAsia"/>
        </w:rPr>
      </w:pPr>
      <w:r>
        <w:fldChar w:fldCharType="begin"/>
      </w:r>
      <w:r>
        <w:instrText xml:space="preserve"> HYPERLINK \l "_Toc196727964" </w:instrText>
      </w:r>
      <w:r>
        <w:fldChar w:fldCharType="separate"/>
      </w:r>
      <w:r>
        <w:rPr>
          <w:rStyle w:val="139"/>
          <w:kern w:val="0"/>
          <w14:scene3d w14:prst="orthographicFront">
            <w14:lightRig w14:rig="threePt" w14:dir="t">
              <w14:rot w14:lat="0" w14:lon="0" w14:rev="0"/>
            </w14:lightRig>
          </w14:scene3d>
        </w:rPr>
        <w:t>4.3.5.</w:t>
      </w:r>
      <w:r>
        <w:rPr>
          <w:rStyle w:val="139"/>
        </w:rPr>
        <w:t xml:space="preserve"> 挖矿检测分析</w:t>
      </w:r>
      <w:r>
        <w:tab/>
      </w:r>
      <w:r>
        <w:fldChar w:fldCharType="begin"/>
      </w:r>
      <w:r>
        <w:instrText xml:space="preserve"> PAGEREF _Toc196727964 \h </w:instrText>
      </w:r>
      <w:r>
        <w:fldChar w:fldCharType="separate"/>
      </w:r>
      <w:r>
        <w:t>81</w:t>
      </w:r>
      <w:r>
        <w:fldChar w:fldCharType="end"/>
      </w:r>
      <w:r>
        <w:fldChar w:fldCharType="end"/>
      </w:r>
    </w:p>
    <w:p w14:paraId="4C507C4C">
      <w:pPr>
        <w:pStyle w:val="42"/>
        <w:tabs>
          <w:tab w:val="right" w:leader="dot" w:pos="8296"/>
        </w:tabs>
        <w:ind w:left="840"/>
        <w:rPr>
          <w:rFonts w:asciiTheme="minorHAnsi" w:hAnsiTheme="minorHAnsi" w:eastAsiaTheme="minorEastAsia"/>
        </w:rPr>
      </w:pPr>
      <w:r>
        <w:fldChar w:fldCharType="begin"/>
      </w:r>
      <w:r>
        <w:instrText xml:space="preserve"> HYPERLINK \l "_Toc196727965" </w:instrText>
      </w:r>
      <w:r>
        <w:fldChar w:fldCharType="separate"/>
      </w:r>
      <w:r>
        <w:rPr>
          <w:rStyle w:val="139"/>
          <w:kern w:val="0"/>
          <w14:scene3d w14:prst="orthographicFront">
            <w14:lightRig w14:rig="threePt" w14:dir="t">
              <w14:rot w14:lat="0" w14:lon="0" w14:rev="0"/>
            </w14:lightRig>
          </w14:scene3d>
        </w:rPr>
        <w:t>4.3.6.</w:t>
      </w:r>
      <w:r>
        <w:rPr>
          <w:rStyle w:val="139"/>
        </w:rPr>
        <w:t xml:space="preserve"> 翻墙行为分析</w:t>
      </w:r>
      <w:r>
        <w:tab/>
      </w:r>
      <w:r>
        <w:fldChar w:fldCharType="begin"/>
      </w:r>
      <w:r>
        <w:instrText xml:space="preserve"> PAGEREF _Toc196727965 \h </w:instrText>
      </w:r>
      <w:r>
        <w:fldChar w:fldCharType="separate"/>
      </w:r>
      <w:r>
        <w:t>82</w:t>
      </w:r>
      <w:r>
        <w:fldChar w:fldCharType="end"/>
      </w:r>
      <w:r>
        <w:fldChar w:fldCharType="end"/>
      </w:r>
    </w:p>
    <w:p w14:paraId="46BD5F7A">
      <w:pPr>
        <w:pStyle w:val="70"/>
        <w:tabs>
          <w:tab w:val="right" w:leader="dot" w:pos="8296"/>
        </w:tabs>
        <w:ind w:left="420"/>
        <w:rPr>
          <w:rFonts w:asciiTheme="minorHAnsi" w:hAnsiTheme="minorHAnsi" w:eastAsiaTheme="minorEastAsia"/>
        </w:rPr>
      </w:pPr>
      <w:r>
        <w:fldChar w:fldCharType="begin"/>
      </w:r>
      <w:r>
        <w:instrText xml:space="preserve"> HYPERLINK \l "_Toc196727966" </w:instrText>
      </w:r>
      <w:r>
        <w:fldChar w:fldCharType="separate"/>
      </w:r>
      <w:r>
        <w:rPr>
          <w:rStyle w:val="139"/>
        </w:rPr>
        <w:t>4.4. 统计报表</w:t>
      </w:r>
      <w:r>
        <w:tab/>
      </w:r>
      <w:r>
        <w:fldChar w:fldCharType="begin"/>
      </w:r>
      <w:r>
        <w:instrText xml:space="preserve"> PAGEREF _Toc196727966 \h </w:instrText>
      </w:r>
      <w:r>
        <w:fldChar w:fldCharType="separate"/>
      </w:r>
      <w:r>
        <w:t>84</w:t>
      </w:r>
      <w:r>
        <w:fldChar w:fldCharType="end"/>
      </w:r>
      <w:r>
        <w:fldChar w:fldCharType="end"/>
      </w:r>
    </w:p>
    <w:p w14:paraId="6A04AC6D">
      <w:pPr>
        <w:pStyle w:val="42"/>
        <w:tabs>
          <w:tab w:val="right" w:leader="dot" w:pos="8296"/>
        </w:tabs>
        <w:ind w:left="840"/>
        <w:rPr>
          <w:rFonts w:asciiTheme="minorHAnsi" w:hAnsiTheme="minorHAnsi" w:eastAsiaTheme="minorEastAsia"/>
        </w:rPr>
      </w:pPr>
      <w:r>
        <w:fldChar w:fldCharType="begin"/>
      </w:r>
      <w:r>
        <w:instrText xml:space="preserve"> HYPERLINK \l "_Toc196727967" </w:instrText>
      </w:r>
      <w:r>
        <w:fldChar w:fldCharType="separate"/>
      </w:r>
      <w:r>
        <w:rPr>
          <w:rStyle w:val="139"/>
          <w:kern w:val="0"/>
          <w14:scene3d w14:prst="orthographicFront">
            <w14:lightRig w14:rig="threePt" w14:dir="t">
              <w14:rot w14:lat="0" w14:lon="0" w14:rev="0"/>
            </w14:lightRig>
          </w14:scene3d>
        </w:rPr>
        <w:t>4.4.1.</w:t>
      </w:r>
      <w:r>
        <w:rPr>
          <w:rStyle w:val="139"/>
        </w:rPr>
        <w:t xml:space="preserve"> 简介</w:t>
      </w:r>
      <w:r>
        <w:tab/>
      </w:r>
      <w:r>
        <w:fldChar w:fldCharType="begin"/>
      </w:r>
      <w:r>
        <w:instrText xml:space="preserve"> PAGEREF _Toc196727967 \h </w:instrText>
      </w:r>
      <w:r>
        <w:fldChar w:fldCharType="separate"/>
      </w:r>
      <w:r>
        <w:t>84</w:t>
      </w:r>
      <w:r>
        <w:fldChar w:fldCharType="end"/>
      </w:r>
      <w:r>
        <w:fldChar w:fldCharType="end"/>
      </w:r>
    </w:p>
    <w:p w14:paraId="5057BB05">
      <w:pPr>
        <w:pStyle w:val="42"/>
        <w:tabs>
          <w:tab w:val="right" w:leader="dot" w:pos="8296"/>
        </w:tabs>
        <w:ind w:left="840"/>
        <w:rPr>
          <w:rFonts w:asciiTheme="minorHAnsi" w:hAnsiTheme="minorHAnsi" w:eastAsiaTheme="minorEastAsia"/>
        </w:rPr>
      </w:pPr>
      <w:r>
        <w:fldChar w:fldCharType="begin"/>
      </w:r>
      <w:r>
        <w:instrText xml:space="preserve"> HYPERLINK \l "_Toc196727968" </w:instrText>
      </w:r>
      <w:r>
        <w:fldChar w:fldCharType="separate"/>
      </w:r>
      <w:r>
        <w:rPr>
          <w:rStyle w:val="139"/>
          <w:kern w:val="0"/>
          <w14:scene3d w14:prst="orthographicFront">
            <w14:lightRig w14:rig="threePt" w14:dir="t">
              <w14:rot w14:lat="0" w14:lon="0" w14:rev="0"/>
            </w14:lightRig>
          </w14:scene3d>
        </w:rPr>
        <w:t>4.4.2.</w:t>
      </w:r>
      <w:r>
        <w:rPr>
          <w:rStyle w:val="139"/>
        </w:rPr>
        <w:t xml:space="preserve"> 报表管理</w:t>
      </w:r>
      <w:r>
        <w:tab/>
      </w:r>
      <w:r>
        <w:fldChar w:fldCharType="begin"/>
      </w:r>
      <w:r>
        <w:instrText xml:space="preserve"> PAGEREF _Toc196727968 \h </w:instrText>
      </w:r>
      <w:r>
        <w:fldChar w:fldCharType="separate"/>
      </w:r>
      <w:r>
        <w:t>84</w:t>
      </w:r>
      <w:r>
        <w:fldChar w:fldCharType="end"/>
      </w:r>
      <w:r>
        <w:fldChar w:fldCharType="end"/>
      </w:r>
    </w:p>
    <w:p w14:paraId="50AE9E75">
      <w:pPr>
        <w:pStyle w:val="42"/>
        <w:tabs>
          <w:tab w:val="right" w:leader="dot" w:pos="8296"/>
        </w:tabs>
        <w:ind w:left="840"/>
        <w:rPr>
          <w:rFonts w:asciiTheme="minorHAnsi" w:hAnsiTheme="minorHAnsi" w:eastAsiaTheme="minorEastAsia"/>
        </w:rPr>
      </w:pPr>
      <w:r>
        <w:fldChar w:fldCharType="begin"/>
      </w:r>
      <w:r>
        <w:instrText xml:space="preserve"> HYPERLINK \l "_Toc196727969" </w:instrText>
      </w:r>
      <w:r>
        <w:fldChar w:fldCharType="separate"/>
      </w:r>
      <w:r>
        <w:rPr>
          <w:rStyle w:val="139"/>
          <w:kern w:val="0"/>
          <w14:scene3d w14:prst="orthographicFront">
            <w14:lightRig w14:rig="threePt" w14:dir="t">
              <w14:rot w14:lat="0" w14:lon="0" w14:rev="0"/>
            </w14:lightRig>
          </w14:scene3d>
        </w:rPr>
        <w:t>4.4.3.</w:t>
      </w:r>
      <w:r>
        <w:rPr>
          <w:rStyle w:val="139"/>
        </w:rPr>
        <w:t xml:space="preserve"> 数据统计</w:t>
      </w:r>
      <w:r>
        <w:tab/>
      </w:r>
      <w:r>
        <w:fldChar w:fldCharType="begin"/>
      </w:r>
      <w:r>
        <w:instrText xml:space="preserve"> PAGEREF _Toc196727969 \h </w:instrText>
      </w:r>
      <w:r>
        <w:fldChar w:fldCharType="separate"/>
      </w:r>
      <w:r>
        <w:t>88</w:t>
      </w:r>
      <w:r>
        <w:fldChar w:fldCharType="end"/>
      </w:r>
      <w:r>
        <w:fldChar w:fldCharType="end"/>
      </w:r>
    </w:p>
    <w:p w14:paraId="5601E111">
      <w:pPr>
        <w:pStyle w:val="42"/>
        <w:tabs>
          <w:tab w:val="right" w:leader="dot" w:pos="8296"/>
        </w:tabs>
        <w:ind w:left="840"/>
        <w:rPr>
          <w:rFonts w:asciiTheme="minorHAnsi" w:hAnsiTheme="minorHAnsi" w:eastAsiaTheme="minorEastAsia"/>
        </w:rPr>
      </w:pPr>
      <w:r>
        <w:fldChar w:fldCharType="begin"/>
      </w:r>
      <w:r>
        <w:instrText xml:space="preserve"> HYPERLINK \l "_Toc196727970" </w:instrText>
      </w:r>
      <w:r>
        <w:fldChar w:fldCharType="separate"/>
      </w:r>
      <w:r>
        <w:rPr>
          <w:rStyle w:val="139"/>
          <w:kern w:val="0"/>
          <w14:scene3d w14:prst="orthographicFront">
            <w14:lightRig w14:rig="threePt" w14:dir="t">
              <w14:rot w14:lat="0" w14:lon="0" w14:rev="0"/>
            </w14:lightRig>
          </w14:scene3d>
        </w:rPr>
        <w:t>4.4.4.</w:t>
      </w:r>
      <w:r>
        <w:rPr>
          <w:rStyle w:val="139"/>
        </w:rPr>
        <w:t xml:space="preserve"> 配置管理</w:t>
      </w:r>
      <w:r>
        <w:tab/>
      </w:r>
      <w:r>
        <w:fldChar w:fldCharType="begin"/>
      </w:r>
      <w:r>
        <w:instrText xml:space="preserve"> PAGEREF _Toc196727970 \h </w:instrText>
      </w:r>
      <w:r>
        <w:fldChar w:fldCharType="separate"/>
      </w:r>
      <w:r>
        <w:t>88</w:t>
      </w:r>
      <w:r>
        <w:fldChar w:fldCharType="end"/>
      </w:r>
      <w:r>
        <w:fldChar w:fldCharType="end"/>
      </w:r>
    </w:p>
    <w:p w14:paraId="21243EF7">
      <w:pPr>
        <w:pStyle w:val="56"/>
        <w:tabs>
          <w:tab w:val="right" w:leader="dot" w:pos="8296"/>
        </w:tabs>
        <w:rPr>
          <w:rFonts w:asciiTheme="minorHAnsi" w:hAnsiTheme="minorHAnsi" w:eastAsiaTheme="minorEastAsia"/>
        </w:rPr>
      </w:pPr>
      <w:r>
        <w:fldChar w:fldCharType="begin"/>
      </w:r>
      <w:r>
        <w:instrText xml:space="preserve"> HYPERLINK \l "_Toc196727971" </w:instrText>
      </w:r>
      <w:r>
        <w:fldChar w:fldCharType="separate"/>
      </w:r>
      <w:r>
        <w:rPr>
          <w:rStyle w:val="139"/>
        </w:rPr>
        <w:t>5. 日志</w:t>
      </w:r>
      <w:r>
        <w:tab/>
      </w:r>
      <w:r>
        <w:fldChar w:fldCharType="begin"/>
      </w:r>
      <w:r>
        <w:instrText xml:space="preserve"> PAGEREF _Toc196727971 \h </w:instrText>
      </w:r>
      <w:r>
        <w:fldChar w:fldCharType="separate"/>
      </w:r>
      <w:r>
        <w:t>93</w:t>
      </w:r>
      <w:r>
        <w:fldChar w:fldCharType="end"/>
      </w:r>
      <w:r>
        <w:fldChar w:fldCharType="end"/>
      </w:r>
    </w:p>
    <w:p w14:paraId="069051E4">
      <w:pPr>
        <w:pStyle w:val="42"/>
        <w:tabs>
          <w:tab w:val="right" w:leader="dot" w:pos="8296"/>
        </w:tabs>
        <w:ind w:left="840"/>
        <w:rPr>
          <w:rFonts w:asciiTheme="minorHAnsi" w:hAnsiTheme="minorHAnsi" w:eastAsiaTheme="minorEastAsia"/>
        </w:rPr>
      </w:pPr>
      <w:r>
        <w:fldChar w:fldCharType="begin"/>
      </w:r>
      <w:r>
        <w:instrText xml:space="preserve"> HYPERLINK \l "_Toc196727972" </w:instrText>
      </w:r>
      <w:r>
        <w:fldChar w:fldCharType="separate"/>
      </w:r>
      <w:r>
        <w:rPr>
          <w:rStyle w:val="139"/>
          <w:kern w:val="0"/>
          <w14:scene3d w14:prst="orthographicFront">
            <w14:lightRig w14:rig="threePt" w14:dir="t">
              <w14:rot w14:lat="0" w14:lon="0" w14:rev="0"/>
            </w14:lightRig>
          </w14:scene3d>
        </w:rPr>
        <w:t>5.1.1.</w:t>
      </w:r>
      <w:r>
        <w:rPr>
          <w:rStyle w:val="139"/>
        </w:rPr>
        <w:t xml:space="preserve"> 日志概述</w:t>
      </w:r>
      <w:r>
        <w:tab/>
      </w:r>
      <w:r>
        <w:fldChar w:fldCharType="begin"/>
      </w:r>
      <w:r>
        <w:instrText xml:space="preserve"> PAGEREF _Toc196727972 \h </w:instrText>
      </w:r>
      <w:r>
        <w:fldChar w:fldCharType="separate"/>
      </w:r>
      <w:r>
        <w:t>93</w:t>
      </w:r>
      <w:r>
        <w:fldChar w:fldCharType="end"/>
      </w:r>
      <w:r>
        <w:fldChar w:fldCharType="end"/>
      </w:r>
    </w:p>
    <w:p w14:paraId="69A2483B">
      <w:pPr>
        <w:pStyle w:val="42"/>
        <w:tabs>
          <w:tab w:val="right" w:leader="dot" w:pos="8296"/>
        </w:tabs>
        <w:ind w:left="840"/>
        <w:rPr>
          <w:rFonts w:asciiTheme="minorHAnsi" w:hAnsiTheme="minorHAnsi" w:eastAsiaTheme="minorEastAsia"/>
        </w:rPr>
      </w:pPr>
      <w:r>
        <w:fldChar w:fldCharType="begin"/>
      </w:r>
      <w:r>
        <w:instrText xml:space="preserve"> HYPERLINK \l "_Toc196727973" </w:instrText>
      </w:r>
      <w:r>
        <w:fldChar w:fldCharType="separate"/>
      </w:r>
      <w:r>
        <w:rPr>
          <w:rStyle w:val="139"/>
          <w:kern w:val="0"/>
          <w14:scene3d w14:prst="orthographicFront">
            <w14:lightRig w14:rig="threePt" w14:dir="t">
              <w14:rot w14:lat="0" w14:lon="0" w14:rev="0"/>
            </w14:lightRig>
          </w14:scene3d>
        </w:rPr>
        <w:t>5.1.2.</w:t>
      </w:r>
      <w:r>
        <w:rPr>
          <w:rStyle w:val="139"/>
        </w:rPr>
        <w:t xml:space="preserve"> 配置日志服务器</w:t>
      </w:r>
      <w:r>
        <w:tab/>
      </w:r>
      <w:r>
        <w:fldChar w:fldCharType="begin"/>
      </w:r>
      <w:r>
        <w:instrText xml:space="preserve"> PAGEREF _Toc196727973 \h </w:instrText>
      </w:r>
      <w:r>
        <w:fldChar w:fldCharType="separate"/>
      </w:r>
      <w:r>
        <w:t>95</w:t>
      </w:r>
      <w:r>
        <w:fldChar w:fldCharType="end"/>
      </w:r>
      <w:r>
        <w:fldChar w:fldCharType="end"/>
      </w:r>
    </w:p>
    <w:p w14:paraId="11B9E650">
      <w:pPr>
        <w:pStyle w:val="42"/>
        <w:tabs>
          <w:tab w:val="right" w:leader="dot" w:pos="8296"/>
        </w:tabs>
        <w:ind w:left="840"/>
        <w:rPr>
          <w:rFonts w:asciiTheme="minorHAnsi" w:hAnsiTheme="minorHAnsi" w:eastAsiaTheme="minorEastAsia"/>
        </w:rPr>
      </w:pPr>
      <w:r>
        <w:fldChar w:fldCharType="begin"/>
      </w:r>
      <w:r>
        <w:instrText xml:space="preserve"> HYPERLINK \l "_Toc196727974" </w:instrText>
      </w:r>
      <w:r>
        <w:fldChar w:fldCharType="separate"/>
      </w:r>
      <w:r>
        <w:rPr>
          <w:rStyle w:val="139"/>
          <w:kern w:val="0"/>
          <w14:scene3d w14:prst="orthographicFront">
            <w14:lightRig w14:rig="threePt" w14:dir="t">
              <w14:rot w14:lat="0" w14:lon="0" w14:rev="0"/>
            </w14:lightRig>
          </w14:scene3d>
        </w:rPr>
        <w:t>5.1.3.</w:t>
      </w:r>
      <w:r>
        <w:rPr>
          <w:rStyle w:val="139"/>
        </w:rPr>
        <w:t xml:space="preserve"> 配置日志过滤</w:t>
      </w:r>
      <w:r>
        <w:tab/>
      </w:r>
      <w:r>
        <w:fldChar w:fldCharType="begin"/>
      </w:r>
      <w:r>
        <w:instrText xml:space="preserve"> PAGEREF _Toc196727974 \h </w:instrText>
      </w:r>
      <w:r>
        <w:fldChar w:fldCharType="separate"/>
      </w:r>
      <w:r>
        <w:t>97</w:t>
      </w:r>
      <w:r>
        <w:fldChar w:fldCharType="end"/>
      </w:r>
      <w:r>
        <w:fldChar w:fldCharType="end"/>
      </w:r>
    </w:p>
    <w:p w14:paraId="23C54D9A">
      <w:pPr>
        <w:pStyle w:val="42"/>
        <w:tabs>
          <w:tab w:val="right" w:leader="dot" w:pos="8296"/>
        </w:tabs>
        <w:ind w:left="840"/>
        <w:rPr>
          <w:rFonts w:asciiTheme="minorHAnsi" w:hAnsiTheme="minorHAnsi" w:eastAsiaTheme="minorEastAsia"/>
        </w:rPr>
      </w:pPr>
      <w:r>
        <w:fldChar w:fldCharType="begin"/>
      </w:r>
      <w:r>
        <w:instrText xml:space="preserve"> HYPERLINK \l "_Toc196727975" </w:instrText>
      </w:r>
      <w:r>
        <w:fldChar w:fldCharType="separate"/>
      </w:r>
      <w:r>
        <w:rPr>
          <w:rStyle w:val="139"/>
          <w:kern w:val="0"/>
          <w14:scene3d w14:prst="orthographicFront">
            <w14:lightRig w14:rig="threePt" w14:dir="t">
              <w14:rot w14:lat="0" w14:lon="0" w14:rev="0"/>
            </w14:lightRig>
          </w14:scene3d>
        </w:rPr>
        <w:t>5.1.4.</w:t>
      </w:r>
      <w:r>
        <w:rPr>
          <w:rStyle w:val="139"/>
        </w:rPr>
        <w:t xml:space="preserve"> 配置日志保存期限</w:t>
      </w:r>
      <w:r>
        <w:tab/>
      </w:r>
      <w:r>
        <w:fldChar w:fldCharType="begin"/>
      </w:r>
      <w:r>
        <w:instrText xml:space="preserve"> PAGEREF _Toc196727975 \h </w:instrText>
      </w:r>
      <w:r>
        <w:fldChar w:fldCharType="separate"/>
      </w:r>
      <w:r>
        <w:t>99</w:t>
      </w:r>
      <w:r>
        <w:fldChar w:fldCharType="end"/>
      </w:r>
      <w:r>
        <w:fldChar w:fldCharType="end"/>
      </w:r>
    </w:p>
    <w:p w14:paraId="633ECBCF">
      <w:pPr>
        <w:pStyle w:val="42"/>
        <w:tabs>
          <w:tab w:val="right" w:leader="dot" w:pos="8296"/>
        </w:tabs>
        <w:ind w:left="840"/>
        <w:rPr>
          <w:rFonts w:asciiTheme="minorHAnsi" w:hAnsiTheme="minorHAnsi" w:eastAsiaTheme="minorEastAsia"/>
        </w:rPr>
      </w:pPr>
      <w:r>
        <w:fldChar w:fldCharType="begin"/>
      </w:r>
      <w:r>
        <w:instrText xml:space="preserve"> HYPERLINK \l "_Toc196727976" </w:instrText>
      </w:r>
      <w:r>
        <w:fldChar w:fldCharType="separate"/>
      </w:r>
      <w:r>
        <w:rPr>
          <w:rStyle w:val="139"/>
          <w:kern w:val="0"/>
          <w14:scene3d w14:prst="orthographicFront">
            <w14:lightRig w14:rig="threePt" w14:dir="t">
              <w14:rot w14:lat="0" w14:lon="0" w14:rev="0"/>
            </w14:lightRig>
          </w14:scene3d>
        </w:rPr>
        <w:t>5.1.5.</w:t>
      </w:r>
      <w:r>
        <w:rPr>
          <w:rStyle w:val="139"/>
        </w:rPr>
        <w:t xml:space="preserve"> 系统会话日志设定</w:t>
      </w:r>
      <w:r>
        <w:tab/>
      </w:r>
      <w:r>
        <w:fldChar w:fldCharType="begin"/>
      </w:r>
      <w:r>
        <w:instrText xml:space="preserve"> PAGEREF _Toc196727976 \h </w:instrText>
      </w:r>
      <w:r>
        <w:fldChar w:fldCharType="separate"/>
      </w:r>
      <w:r>
        <w:t>99</w:t>
      </w:r>
      <w:r>
        <w:fldChar w:fldCharType="end"/>
      </w:r>
      <w:r>
        <w:fldChar w:fldCharType="end"/>
      </w:r>
    </w:p>
    <w:p w14:paraId="7B1DAD3F">
      <w:pPr>
        <w:pStyle w:val="42"/>
        <w:tabs>
          <w:tab w:val="right" w:leader="dot" w:pos="8296"/>
        </w:tabs>
        <w:ind w:left="840"/>
        <w:rPr>
          <w:rFonts w:asciiTheme="minorHAnsi" w:hAnsiTheme="minorHAnsi" w:eastAsiaTheme="minorEastAsia"/>
        </w:rPr>
      </w:pPr>
      <w:r>
        <w:fldChar w:fldCharType="begin"/>
      </w:r>
      <w:r>
        <w:instrText xml:space="preserve"> HYPERLINK \l "_Toc196727977" </w:instrText>
      </w:r>
      <w:r>
        <w:fldChar w:fldCharType="separate"/>
      </w:r>
      <w:r>
        <w:rPr>
          <w:rStyle w:val="139"/>
          <w:kern w:val="0"/>
          <w14:scene3d w14:prst="orthographicFront">
            <w14:lightRig w14:rig="threePt" w14:dir="t">
              <w14:rot w14:lat="0" w14:lon="0" w14:rev="0"/>
            </w14:lightRig>
          </w14:scene3d>
        </w:rPr>
        <w:t>5.1.6.</w:t>
      </w:r>
      <w:r>
        <w:rPr>
          <w:rStyle w:val="139"/>
        </w:rPr>
        <w:t xml:space="preserve"> 日志信息查询</w:t>
      </w:r>
      <w:r>
        <w:tab/>
      </w:r>
      <w:r>
        <w:fldChar w:fldCharType="begin"/>
      </w:r>
      <w:r>
        <w:instrText xml:space="preserve"> PAGEREF _Toc196727977 \h </w:instrText>
      </w:r>
      <w:r>
        <w:fldChar w:fldCharType="separate"/>
      </w:r>
      <w:r>
        <w:t>100</w:t>
      </w:r>
      <w:r>
        <w:fldChar w:fldCharType="end"/>
      </w:r>
      <w:r>
        <w:fldChar w:fldCharType="end"/>
      </w:r>
    </w:p>
    <w:p w14:paraId="3C8C3D0D">
      <w:pPr>
        <w:pStyle w:val="42"/>
        <w:tabs>
          <w:tab w:val="right" w:leader="dot" w:pos="8296"/>
        </w:tabs>
        <w:ind w:left="840"/>
        <w:rPr>
          <w:rFonts w:asciiTheme="minorHAnsi" w:hAnsiTheme="minorHAnsi" w:eastAsiaTheme="minorEastAsia"/>
        </w:rPr>
      </w:pPr>
      <w:r>
        <w:fldChar w:fldCharType="begin"/>
      </w:r>
      <w:r>
        <w:instrText xml:space="preserve"> HYPERLINK \l "_Toc196727978" </w:instrText>
      </w:r>
      <w:r>
        <w:fldChar w:fldCharType="separate"/>
      </w:r>
      <w:r>
        <w:rPr>
          <w:rStyle w:val="139"/>
          <w:kern w:val="0"/>
          <w14:scene3d w14:prst="orthographicFront">
            <w14:lightRig w14:rig="threePt" w14:dir="t">
              <w14:rot w14:lat="0" w14:lon="0" w14:rev="0"/>
            </w14:lightRig>
          </w14:scene3d>
        </w:rPr>
        <w:t>5.1.7.</w:t>
      </w:r>
      <w:r>
        <w:rPr>
          <w:rStyle w:val="139"/>
        </w:rPr>
        <w:t xml:space="preserve"> 日志导出</w:t>
      </w:r>
      <w:r>
        <w:tab/>
      </w:r>
      <w:r>
        <w:fldChar w:fldCharType="begin"/>
      </w:r>
      <w:r>
        <w:instrText xml:space="preserve"> PAGEREF _Toc196727978 \h </w:instrText>
      </w:r>
      <w:r>
        <w:fldChar w:fldCharType="separate"/>
      </w:r>
      <w:r>
        <w:t>120</w:t>
      </w:r>
      <w:r>
        <w:fldChar w:fldCharType="end"/>
      </w:r>
      <w:r>
        <w:fldChar w:fldCharType="end"/>
      </w:r>
    </w:p>
    <w:p w14:paraId="6B0EFC9A">
      <w:pPr>
        <w:pStyle w:val="42"/>
        <w:tabs>
          <w:tab w:val="right" w:leader="dot" w:pos="8296"/>
        </w:tabs>
        <w:ind w:left="840"/>
        <w:rPr>
          <w:rFonts w:asciiTheme="minorHAnsi" w:hAnsiTheme="minorHAnsi" w:eastAsiaTheme="minorEastAsia"/>
        </w:rPr>
      </w:pPr>
      <w:r>
        <w:fldChar w:fldCharType="begin"/>
      </w:r>
      <w:r>
        <w:instrText xml:space="preserve"> HYPERLINK \l "_Toc196727979" </w:instrText>
      </w:r>
      <w:r>
        <w:fldChar w:fldCharType="separate"/>
      </w:r>
      <w:r>
        <w:rPr>
          <w:rStyle w:val="139"/>
          <w:kern w:val="0"/>
          <w14:scene3d w14:prst="orthographicFront">
            <w14:lightRig w14:rig="threePt" w14:dir="t">
              <w14:rot w14:lat="0" w14:lon="0" w14:rev="0"/>
            </w14:lightRig>
          </w14:scene3d>
        </w:rPr>
        <w:t>5.1.8.</w:t>
      </w:r>
      <w:r>
        <w:rPr>
          <w:rStyle w:val="139"/>
        </w:rPr>
        <w:t xml:space="preserve"> 日志典型配置举例</w:t>
      </w:r>
      <w:r>
        <w:tab/>
      </w:r>
      <w:r>
        <w:fldChar w:fldCharType="begin"/>
      </w:r>
      <w:r>
        <w:instrText xml:space="preserve"> PAGEREF _Toc196727979 \h </w:instrText>
      </w:r>
      <w:r>
        <w:fldChar w:fldCharType="separate"/>
      </w:r>
      <w:r>
        <w:t>123</w:t>
      </w:r>
      <w:r>
        <w:fldChar w:fldCharType="end"/>
      </w:r>
      <w:r>
        <w:fldChar w:fldCharType="end"/>
      </w:r>
    </w:p>
    <w:p w14:paraId="38FD9AD4">
      <w:pPr>
        <w:pStyle w:val="56"/>
        <w:tabs>
          <w:tab w:val="right" w:leader="dot" w:pos="8296"/>
        </w:tabs>
        <w:rPr>
          <w:rFonts w:asciiTheme="minorHAnsi" w:hAnsiTheme="minorHAnsi" w:eastAsiaTheme="minorEastAsia"/>
        </w:rPr>
      </w:pPr>
      <w:r>
        <w:fldChar w:fldCharType="begin"/>
      </w:r>
      <w:r>
        <w:instrText xml:space="preserve"> HYPERLINK \l "_Toc196727980" </w:instrText>
      </w:r>
      <w:r>
        <w:fldChar w:fldCharType="separate"/>
      </w:r>
      <w:r>
        <w:rPr>
          <w:rStyle w:val="139"/>
        </w:rPr>
        <w:t>6. 接口配置</w:t>
      </w:r>
      <w:r>
        <w:tab/>
      </w:r>
      <w:r>
        <w:fldChar w:fldCharType="begin"/>
      </w:r>
      <w:r>
        <w:instrText xml:space="preserve"> PAGEREF _Toc196727980 \h </w:instrText>
      </w:r>
      <w:r>
        <w:fldChar w:fldCharType="separate"/>
      </w:r>
      <w:r>
        <w:t>125</w:t>
      </w:r>
      <w:r>
        <w:fldChar w:fldCharType="end"/>
      </w:r>
      <w:r>
        <w:fldChar w:fldCharType="end"/>
      </w:r>
    </w:p>
    <w:p w14:paraId="74298CA8">
      <w:pPr>
        <w:pStyle w:val="70"/>
        <w:tabs>
          <w:tab w:val="right" w:leader="dot" w:pos="8296"/>
        </w:tabs>
        <w:ind w:left="420"/>
        <w:rPr>
          <w:rFonts w:asciiTheme="minorHAnsi" w:hAnsiTheme="minorHAnsi" w:eastAsiaTheme="minorEastAsia"/>
        </w:rPr>
      </w:pPr>
      <w:r>
        <w:fldChar w:fldCharType="begin"/>
      </w:r>
      <w:r>
        <w:instrText xml:space="preserve"> HYPERLINK \l "_Toc196727981" </w:instrText>
      </w:r>
      <w:r>
        <w:fldChar w:fldCharType="separate"/>
      </w:r>
      <w:r>
        <w:rPr>
          <w:rStyle w:val="139"/>
        </w:rPr>
        <w:t>6.1. 物理接口配置</w:t>
      </w:r>
      <w:r>
        <w:tab/>
      </w:r>
      <w:r>
        <w:fldChar w:fldCharType="begin"/>
      </w:r>
      <w:r>
        <w:instrText xml:space="preserve"> PAGEREF _Toc196727981 \h </w:instrText>
      </w:r>
      <w:r>
        <w:fldChar w:fldCharType="separate"/>
      </w:r>
      <w:r>
        <w:t>125</w:t>
      </w:r>
      <w:r>
        <w:fldChar w:fldCharType="end"/>
      </w:r>
      <w:r>
        <w:fldChar w:fldCharType="end"/>
      </w:r>
    </w:p>
    <w:p w14:paraId="7905FA78">
      <w:pPr>
        <w:pStyle w:val="42"/>
        <w:tabs>
          <w:tab w:val="right" w:leader="dot" w:pos="8296"/>
        </w:tabs>
        <w:ind w:left="840"/>
        <w:rPr>
          <w:rFonts w:asciiTheme="minorHAnsi" w:hAnsiTheme="minorHAnsi" w:eastAsiaTheme="minorEastAsia"/>
        </w:rPr>
      </w:pPr>
      <w:r>
        <w:fldChar w:fldCharType="begin"/>
      </w:r>
      <w:r>
        <w:instrText xml:space="preserve"> HYPERLINK \l "_Toc196727982" </w:instrText>
      </w:r>
      <w:r>
        <w:fldChar w:fldCharType="separate"/>
      </w:r>
      <w:r>
        <w:rPr>
          <w:rStyle w:val="139"/>
          <w:kern w:val="0"/>
          <w14:scene3d w14:prst="orthographicFront">
            <w14:lightRig w14:rig="threePt" w14:dir="t">
              <w14:rot w14:lat="0" w14:lon="0" w14:rev="0"/>
            </w14:lightRig>
          </w14:scene3d>
        </w:rPr>
        <w:t>6.1.1.</w:t>
      </w:r>
      <w:r>
        <w:rPr>
          <w:rStyle w:val="139"/>
        </w:rPr>
        <w:t xml:space="preserve"> 概述</w:t>
      </w:r>
      <w:r>
        <w:tab/>
      </w:r>
      <w:r>
        <w:fldChar w:fldCharType="begin"/>
      </w:r>
      <w:r>
        <w:instrText xml:space="preserve"> PAGEREF _Toc196727982 \h </w:instrText>
      </w:r>
      <w:r>
        <w:fldChar w:fldCharType="separate"/>
      </w:r>
      <w:r>
        <w:t>125</w:t>
      </w:r>
      <w:r>
        <w:fldChar w:fldCharType="end"/>
      </w:r>
      <w:r>
        <w:fldChar w:fldCharType="end"/>
      </w:r>
    </w:p>
    <w:p w14:paraId="7566CE18">
      <w:pPr>
        <w:pStyle w:val="42"/>
        <w:tabs>
          <w:tab w:val="right" w:leader="dot" w:pos="8296"/>
        </w:tabs>
        <w:ind w:left="840"/>
        <w:rPr>
          <w:rFonts w:asciiTheme="minorHAnsi" w:hAnsiTheme="minorHAnsi" w:eastAsiaTheme="minorEastAsia"/>
        </w:rPr>
      </w:pPr>
      <w:r>
        <w:fldChar w:fldCharType="begin"/>
      </w:r>
      <w:r>
        <w:instrText xml:space="preserve"> HYPERLINK \l "_Toc196727983" </w:instrText>
      </w:r>
      <w:r>
        <w:fldChar w:fldCharType="separate"/>
      </w:r>
      <w:r>
        <w:rPr>
          <w:rStyle w:val="139"/>
          <w:kern w:val="0"/>
          <w14:scene3d w14:prst="orthographicFront">
            <w14:lightRig w14:rig="threePt" w14:dir="t">
              <w14:rot w14:lat="0" w14:lon="0" w14:rev="0"/>
            </w14:lightRig>
          </w14:scene3d>
        </w:rPr>
        <w:t>6.1.2.</w:t>
      </w:r>
      <w:r>
        <w:rPr>
          <w:rStyle w:val="139"/>
        </w:rPr>
        <w:t xml:space="preserve"> 查看物理接口</w:t>
      </w:r>
      <w:r>
        <w:tab/>
      </w:r>
      <w:r>
        <w:fldChar w:fldCharType="begin"/>
      </w:r>
      <w:r>
        <w:instrText xml:space="preserve"> PAGEREF _Toc196727983 \h </w:instrText>
      </w:r>
      <w:r>
        <w:fldChar w:fldCharType="separate"/>
      </w:r>
      <w:r>
        <w:t>125</w:t>
      </w:r>
      <w:r>
        <w:fldChar w:fldCharType="end"/>
      </w:r>
      <w:r>
        <w:fldChar w:fldCharType="end"/>
      </w:r>
    </w:p>
    <w:p w14:paraId="03FD5C58">
      <w:pPr>
        <w:pStyle w:val="42"/>
        <w:tabs>
          <w:tab w:val="right" w:leader="dot" w:pos="8296"/>
        </w:tabs>
        <w:ind w:left="840"/>
        <w:rPr>
          <w:rFonts w:asciiTheme="minorHAnsi" w:hAnsiTheme="minorHAnsi" w:eastAsiaTheme="minorEastAsia"/>
        </w:rPr>
      </w:pPr>
      <w:r>
        <w:fldChar w:fldCharType="begin"/>
      </w:r>
      <w:r>
        <w:instrText xml:space="preserve"> HYPERLINK \l "_Toc196727984" </w:instrText>
      </w:r>
      <w:r>
        <w:fldChar w:fldCharType="separate"/>
      </w:r>
      <w:r>
        <w:rPr>
          <w:rStyle w:val="139"/>
          <w:kern w:val="0"/>
          <w14:scene3d w14:prst="orthographicFront">
            <w14:lightRig w14:rig="threePt" w14:dir="t">
              <w14:rot w14:lat="0" w14:lon="0" w14:rev="0"/>
            </w14:lightRig>
          </w14:scene3d>
        </w:rPr>
        <w:t>6.1.3.</w:t>
      </w:r>
      <w:r>
        <w:rPr>
          <w:rStyle w:val="139"/>
        </w:rPr>
        <w:t xml:space="preserve"> 修改物理接口</w:t>
      </w:r>
      <w:r>
        <w:tab/>
      </w:r>
      <w:r>
        <w:fldChar w:fldCharType="begin"/>
      </w:r>
      <w:r>
        <w:instrText xml:space="preserve"> PAGEREF _Toc196727984 \h </w:instrText>
      </w:r>
      <w:r>
        <w:fldChar w:fldCharType="separate"/>
      </w:r>
      <w:r>
        <w:t>125</w:t>
      </w:r>
      <w:r>
        <w:fldChar w:fldCharType="end"/>
      </w:r>
      <w:r>
        <w:fldChar w:fldCharType="end"/>
      </w:r>
    </w:p>
    <w:p w14:paraId="29CC458E">
      <w:pPr>
        <w:pStyle w:val="70"/>
        <w:tabs>
          <w:tab w:val="right" w:leader="dot" w:pos="8296"/>
        </w:tabs>
        <w:ind w:left="420"/>
        <w:rPr>
          <w:rFonts w:asciiTheme="minorHAnsi" w:hAnsiTheme="minorHAnsi" w:eastAsiaTheme="minorEastAsia"/>
        </w:rPr>
      </w:pPr>
      <w:r>
        <w:fldChar w:fldCharType="begin"/>
      </w:r>
      <w:r>
        <w:instrText xml:space="preserve"> HYPERLINK \l "_Toc196727985" </w:instrText>
      </w:r>
      <w:r>
        <w:fldChar w:fldCharType="separate"/>
      </w:r>
      <w:r>
        <w:rPr>
          <w:rStyle w:val="139"/>
        </w:rPr>
        <w:t>6.2. 子接口配置</w:t>
      </w:r>
      <w:r>
        <w:tab/>
      </w:r>
      <w:r>
        <w:fldChar w:fldCharType="begin"/>
      </w:r>
      <w:r>
        <w:instrText xml:space="preserve"> PAGEREF _Toc196727985 \h </w:instrText>
      </w:r>
      <w:r>
        <w:fldChar w:fldCharType="separate"/>
      </w:r>
      <w:r>
        <w:t>128</w:t>
      </w:r>
      <w:r>
        <w:fldChar w:fldCharType="end"/>
      </w:r>
      <w:r>
        <w:fldChar w:fldCharType="end"/>
      </w:r>
    </w:p>
    <w:p w14:paraId="1C952B29">
      <w:pPr>
        <w:pStyle w:val="42"/>
        <w:tabs>
          <w:tab w:val="right" w:leader="dot" w:pos="8296"/>
        </w:tabs>
        <w:ind w:left="840"/>
        <w:rPr>
          <w:rFonts w:asciiTheme="minorHAnsi" w:hAnsiTheme="minorHAnsi" w:eastAsiaTheme="minorEastAsia"/>
        </w:rPr>
      </w:pPr>
      <w:r>
        <w:fldChar w:fldCharType="begin"/>
      </w:r>
      <w:r>
        <w:instrText xml:space="preserve"> HYPERLINK \l "_Toc196727986" </w:instrText>
      </w:r>
      <w:r>
        <w:fldChar w:fldCharType="separate"/>
      </w:r>
      <w:r>
        <w:rPr>
          <w:rStyle w:val="139"/>
          <w:kern w:val="0"/>
          <w14:scene3d w14:prst="orthographicFront">
            <w14:lightRig w14:rig="threePt" w14:dir="t">
              <w14:rot w14:lat="0" w14:lon="0" w14:rev="0"/>
            </w14:lightRig>
          </w14:scene3d>
        </w:rPr>
        <w:t>6.2.1.</w:t>
      </w:r>
      <w:r>
        <w:rPr>
          <w:rStyle w:val="139"/>
        </w:rPr>
        <w:t xml:space="preserve"> 子接口概述</w:t>
      </w:r>
      <w:r>
        <w:tab/>
      </w:r>
      <w:r>
        <w:fldChar w:fldCharType="begin"/>
      </w:r>
      <w:r>
        <w:instrText xml:space="preserve"> PAGEREF _Toc196727986 \h </w:instrText>
      </w:r>
      <w:r>
        <w:fldChar w:fldCharType="separate"/>
      </w:r>
      <w:r>
        <w:t>128</w:t>
      </w:r>
      <w:r>
        <w:fldChar w:fldCharType="end"/>
      </w:r>
      <w:r>
        <w:fldChar w:fldCharType="end"/>
      </w:r>
    </w:p>
    <w:p w14:paraId="21A57DD1">
      <w:pPr>
        <w:pStyle w:val="42"/>
        <w:tabs>
          <w:tab w:val="right" w:leader="dot" w:pos="8296"/>
        </w:tabs>
        <w:ind w:left="840"/>
        <w:rPr>
          <w:rFonts w:asciiTheme="minorHAnsi" w:hAnsiTheme="minorHAnsi" w:eastAsiaTheme="minorEastAsia"/>
        </w:rPr>
      </w:pPr>
      <w:r>
        <w:fldChar w:fldCharType="begin"/>
      </w:r>
      <w:r>
        <w:instrText xml:space="preserve"> HYPERLINK \l "_Toc196727987" </w:instrText>
      </w:r>
      <w:r>
        <w:fldChar w:fldCharType="separate"/>
      </w:r>
      <w:r>
        <w:rPr>
          <w:rStyle w:val="139"/>
          <w:kern w:val="0"/>
          <w14:scene3d w14:prst="orthographicFront">
            <w14:lightRig w14:rig="threePt" w14:dir="t">
              <w14:rot w14:lat="0" w14:lon="0" w14:rev="0"/>
            </w14:lightRig>
          </w14:scene3d>
        </w:rPr>
        <w:t>6.2.2.</w:t>
      </w:r>
      <w:r>
        <w:rPr>
          <w:rStyle w:val="139"/>
        </w:rPr>
        <w:t xml:space="preserve"> 新建子接口</w:t>
      </w:r>
      <w:r>
        <w:tab/>
      </w:r>
      <w:r>
        <w:fldChar w:fldCharType="begin"/>
      </w:r>
      <w:r>
        <w:instrText xml:space="preserve"> PAGEREF _Toc196727987 \h </w:instrText>
      </w:r>
      <w:r>
        <w:fldChar w:fldCharType="separate"/>
      </w:r>
      <w:r>
        <w:t>128</w:t>
      </w:r>
      <w:r>
        <w:fldChar w:fldCharType="end"/>
      </w:r>
      <w:r>
        <w:fldChar w:fldCharType="end"/>
      </w:r>
    </w:p>
    <w:p w14:paraId="64D87E0F">
      <w:pPr>
        <w:pStyle w:val="42"/>
        <w:tabs>
          <w:tab w:val="right" w:leader="dot" w:pos="8296"/>
        </w:tabs>
        <w:ind w:left="840"/>
        <w:rPr>
          <w:rFonts w:asciiTheme="minorHAnsi" w:hAnsiTheme="minorHAnsi" w:eastAsiaTheme="minorEastAsia"/>
        </w:rPr>
      </w:pPr>
      <w:r>
        <w:fldChar w:fldCharType="begin"/>
      </w:r>
      <w:r>
        <w:instrText xml:space="preserve"> HYPERLINK \l "_Toc196727988" </w:instrText>
      </w:r>
      <w:r>
        <w:fldChar w:fldCharType="separate"/>
      </w:r>
      <w:r>
        <w:rPr>
          <w:rStyle w:val="139"/>
          <w:kern w:val="0"/>
          <w14:scene3d w14:prst="orthographicFront">
            <w14:lightRig w14:rig="threePt" w14:dir="t">
              <w14:rot w14:lat="0" w14:lon="0" w14:rev="0"/>
            </w14:lightRig>
          </w14:scene3d>
        </w:rPr>
        <w:t>6.2.3.</w:t>
      </w:r>
      <w:r>
        <w:rPr>
          <w:rStyle w:val="139"/>
        </w:rPr>
        <w:t xml:space="preserve"> 修改子接口</w:t>
      </w:r>
      <w:r>
        <w:tab/>
      </w:r>
      <w:r>
        <w:fldChar w:fldCharType="begin"/>
      </w:r>
      <w:r>
        <w:instrText xml:space="preserve"> PAGEREF _Toc196727988 \h </w:instrText>
      </w:r>
      <w:r>
        <w:fldChar w:fldCharType="separate"/>
      </w:r>
      <w:r>
        <w:t>130</w:t>
      </w:r>
      <w:r>
        <w:fldChar w:fldCharType="end"/>
      </w:r>
      <w:r>
        <w:fldChar w:fldCharType="end"/>
      </w:r>
    </w:p>
    <w:p w14:paraId="6068FC0F">
      <w:pPr>
        <w:pStyle w:val="42"/>
        <w:tabs>
          <w:tab w:val="right" w:leader="dot" w:pos="8296"/>
        </w:tabs>
        <w:ind w:left="840"/>
        <w:rPr>
          <w:rFonts w:asciiTheme="minorHAnsi" w:hAnsiTheme="minorHAnsi" w:eastAsiaTheme="minorEastAsia"/>
        </w:rPr>
      </w:pPr>
      <w:r>
        <w:fldChar w:fldCharType="begin"/>
      </w:r>
      <w:r>
        <w:instrText xml:space="preserve"> HYPERLINK \l "_Toc196727989" </w:instrText>
      </w:r>
      <w:r>
        <w:fldChar w:fldCharType="separate"/>
      </w:r>
      <w:r>
        <w:rPr>
          <w:rStyle w:val="139"/>
          <w:kern w:val="0"/>
          <w14:scene3d w14:prst="orthographicFront">
            <w14:lightRig w14:rig="threePt" w14:dir="t">
              <w14:rot w14:lat="0" w14:lon="0" w14:rev="0"/>
            </w14:lightRig>
          </w14:scene3d>
        </w:rPr>
        <w:t>6.2.4.</w:t>
      </w:r>
      <w:r>
        <w:rPr>
          <w:rStyle w:val="139"/>
        </w:rPr>
        <w:t xml:space="preserve"> 删除子接口</w:t>
      </w:r>
      <w:r>
        <w:tab/>
      </w:r>
      <w:r>
        <w:fldChar w:fldCharType="begin"/>
      </w:r>
      <w:r>
        <w:instrText xml:space="preserve"> PAGEREF _Toc196727989 \h </w:instrText>
      </w:r>
      <w:r>
        <w:fldChar w:fldCharType="separate"/>
      </w:r>
      <w:r>
        <w:t>130</w:t>
      </w:r>
      <w:r>
        <w:fldChar w:fldCharType="end"/>
      </w:r>
      <w:r>
        <w:fldChar w:fldCharType="end"/>
      </w:r>
    </w:p>
    <w:p w14:paraId="369AB9E5">
      <w:pPr>
        <w:pStyle w:val="70"/>
        <w:tabs>
          <w:tab w:val="right" w:leader="dot" w:pos="8296"/>
        </w:tabs>
        <w:ind w:left="420"/>
        <w:rPr>
          <w:rFonts w:asciiTheme="minorHAnsi" w:hAnsiTheme="minorHAnsi" w:eastAsiaTheme="minorEastAsia"/>
        </w:rPr>
      </w:pPr>
      <w:r>
        <w:fldChar w:fldCharType="begin"/>
      </w:r>
      <w:r>
        <w:instrText xml:space="preserve"> HYPERLINK \l "_Toc196727990" </w:instrText>
      </w:r>
      <w:r>
        <w:fldChar w:fldCharType="separate"/>
      </w:r>
      <w:r>
        <w:rPr>
          <w:rStyle w:val="139"/>
        </w:rPr>
        <w:t>6.3. 网桥接口配置</w:t>
      </w:r>
      <w:r>
        <w:tab/>
      </w:r>
      <w:r>
        <w:fldChar w:fldCharType="begin"/>
      </w:r>
      <w:r>
        <w:instrText xml:space="preserve"> PAGEREF _Toc196727990 \h </w:instrText>
      </w:r>
      <w:r>
        <w:fldChar w:fldCharType="separate"/>
      </w:r>
      <w:r>
        <w:t>131</w:t>
      </w:r>
      <w:r>
        <w:fldChar w:fldCharType="end"/>
      </w:r>
      <w:r>
        <w:fldChar w:fldCharType="end"/>
      </w:r>
    </w:p>
    <w:p w14:paraId="68DA55FD">
      <w:pPr>
        <w:pStyle w:val="42"/>
        <w:tabs>
          <w:tab w:val="right" w:leader="dot" w:pos="8296"/>
        </w:tabs>
        <w:ind w:left="840"/>
        <w:rPr>
          <w:rFonts w:asciiTheme="minorHAnsi" w:hAnsiTheme="minorHAnsi" w:eastAsiaTheme="minorEastAsia"/>
        </w:rPr>
      </w:pPr>
      <w:r>
        <w:fldChar w:fldCharType="begin"/>
      </w:r>
      <w:r>
        <w:instrText xml:space="preserve"> HYPERLINK \l "_Toc196727991" </w:instrText>
      </w:r>
      <w:r>
        <w:fldChar w:fldCharType="separate"/>
      </w:r>
      <w:r>
        <w:rPr>
          <w:rStyle w:val="139"/>
          <w:kern w:val="0"/>
          <w14:scene3d w14:prst="orthographicFront">
            <w14:lightRig w14:rig="threePt" w14:dir="t">
              <w14:rot w14:lat="0" w14:lon="0" w14:rev="0"/>
            </w14:lightRig>
          </w14:scene3d>
        </w:rPr>
        <w:t>6.3.1.</w:t>
      </w:r>
      <w:r>
        <w:rPr>
          <w:rStyle w:val="139"/>
        </w:rPr>
        <w:t xml:space="preserve"> 桥接口概述</w:t>
      </w:r>
      <w:r>
        <w:tab/>
      </w:r>
      <w:r>
        <w:fldChar w:fldCharType="begin"/>
      </w:r>
      <w:r>
        <w:instrText xml:space="preserve"> PAGEREF _Toc196727991 \h </w:instrText>
      </w:r>
      <w:r>
        <w:fldChar w:fldCharType="separate"/>
      </w:r>
      <w:r>
        <w:t>131</w:t>
      </w:r>
      <w:r>
        <w:fldChar w:fldCharType="end"/>
      </w:r>
      <w:r>
        <w:fldChar w:fldCharType="end"/>
      </w:r>
    </w:p>
    <w:p w14:paraId="1B21B5E9">
      <w:pPr>
        <w:pStyle w:val="42"/>
        <w:tabs>
          <w:tab w:val="right" w:leader="dot" w:pos="8296"/>
        </w:tabs>
        <w:ind w:left="840"/>
        <w:rPr>
          <w:rFonts w:asciiTheme="minorHAnsi" w:hAnsiTheme="minorHAnsi" w:eastAsiaTheme="minorEastAsia"/>
        </w:rPr>
      </w:pPr>
      <w:r>
        <w:fldChar w:fldCharType="begin"/>
      </w:r>
      <w:r>
        <w:instrText xml:space="preserve"> HYPERLINK \l "_Toc196727992" </w:instrText>
      </w:r>
      <w:r>
        <w:fldChar w:fldCharType="separate"/>
      </w:r>
      <w:r>
        <w:rPr>
          <w:rStyle w:val="139"/>
          <w:kern w:val="0"/>
          <w14:scene3d w14:prst="orthographicFront">
            <w14:lightRig w14:rig="threePt" w14:dir="t">
              <w14:rot w14:lat="0" w14:lon="0" w14:rev="0"/>
            </w14:lightRig>
          </w14:scene3d>
        </w:rPr>
        <w:t>6.3.2.</w:t>
      </w:r>
      <w:r>
        <w:rPr>
          <w:rStyle w:val="139"/>
        </w:rPr>
        <w:t xml:space="preserve"> 查看网桥接口</w:t>
      </w:r>
      <w:r>
        <w:tab/>
      </w:r>
      <w:r>
        <w:fldChar w:fldCharType="begin"/>
      </w:r>
      <w:r>
        <w:instrText xml:space="preserve"> PAGEREF _Toc196727992 \h </w:instrText>
      </w:r>
      <w:r>
        <w:fldChar w:fldCharType="separate"/>
      </w:r>
      <w:r>
        <w:t>131</w:t>
      </w:r>
      <w:r>
        <w:fldChar w:fldCharType="end"/>
      </w:r>
      <w:r>
        <w:fldChar w:fldCharType="end"/>
      </w:r>
    </w:p>
    <w:p w14:paraId="774C6DCE">
      <w:pPr>
        <w:pStyle w:val="42"/>
        <w:tabs>
          <w:tab w:val="right" w:leader="dot" w:pos="8296"/>
        </w:tabs>
        <w:ind w:left="840"/>
        <w:rPr>
          <w:rFonts w:asciiTheme="minorHAnsi" w:hAnsiTheme="minorHAnsi" w:eastAsiaTheme="minorEastAsia"/>
        </w:rPr>
      </w:pPr>
      <w:r>
        <w:fldChar w:fldCharType="begin"/>
      </w:r>
      <w:r>
        <w:instrText xml:space="preserve"> HYPERLINK \l "_Toc196727993" </w:instrText>
      </w:r>
      <w:r>
        <w:fldChar w:fldCharType="separate"/>
      </w:r>
      <w:r>
        <w:rPr>
          <w:rStyle w:val="139"/>
          <w:kern w:val="0"/>
          <w14:scene3d w14:prst="orthographicFront">
            <w14:lightRig w14:rig="threePt" w14:dir="t">
              <w14:rot w14:lat="0" w14:lon="0" w14:rev="0"/>
            </w14:lightRig>
          </w14:scene3d>
        </w:rPr>
        <w:t>6.3.3.</w:t>
      </w:r>
      <w:r>
        <w:rPr>
          <w:rStyle w:val="139"/>
        </w:rPr>
        <w:t xml:space="preserve"> 创建网桥接口</w:t>
      </w:r>
      <w:r>
        <w:tab/>
      </w:r>
      <w:r>
        <w:fldChar w:fldCharType="begin"/>
      </w:r>
      <w:r>
        <w:instrText xml:space="preserve"> PAGEREF _Toc196727993 \h </w:instrText>
      </w:r>
      <w:r>
        <w:fldChar w:fldCharType="separate"/>
      </w:r>
      <w:r>
        <w:t>131</w:t>
      </w:r>
      <w:r>
        <w:fldChar w:fldCharType="end"/>
      </w:r>
      <w:r>
        <w:fldChar w:fldCharType="end"/>
      </w:r>
    </w:p>
    <w:p w14:paraId="4A1D6096">
      <w:pPr>
        <w:pStyle w:val="42"/>
        <w:tabs>
          <w:tab w:val="right" w:leader="dot" w:pos="8296"/>
        </w:tabs>
        <w:ind w:left="840"/>
        <w:rPr>
          <w:rFonts w:asciiTheme="minorHAnsi" w:hAnsiTheme="minorHAnsi" w:eastAsiaTheme="minorEastAsia"/>
        </w:rPr>
      </w:pPr>
      <w:r>
        <w:fldChar w:fldCharType="begin"/>
      </w:r>
      <w:r>
        <w:instrText xml:space="preserve"> HYPERLINK \l "_Toc196727994" </w:instrText>
      </w:r>
      <w:r>
        <w:fldChar w:fldCharType="separate"/>
      </w:r>
      <w:r>
        <w:rPr>
          <w:rStyle w:val="139"/>
          <w:kern w:val="0"/>
          <w14:scene3d w14:prst="orthographicFront">
            <w14:lightRig w14:rig="threePt" w14:dir="t">
              <w14:rot w14:lat="0" w14:lon="0" w14:rev="0"/>
            </w14:lightRig>
          </w14:scene3d>
        </w:rPr>
        <w:t>6.3.4.</w:t>
      </w:r>
      <w:r>
        <w:rPr>
          <w:rStyle w:val="139"/>
        </w:rPr>
        <w:t xml:space="preserve"> 修改网桥接口</w:t>
      </w:r>
      <w:r>
        <w:tab/>
      </w:r>
      <w:r>
        <w:fldChar w:fldCharType="begin"/>
      </w:r>
      <w:r>
        <w:instrText xml:space="preserve"> PAGEREF _Toc196727994 \h </w:instrText>
      </w:r>
      <w:r>
        <w:fldChar w:fldCharType="separate"/>
      </w:r>
      <w:r>
        <w:t>133</w:t>
      </w:r>
      <w:r>
        <w:fldChar w:fldCharType="end"/>
      </w:r>
      <w:r>
        <w:fldChar w:fldCharType="end"/>
      </w:r>
    </w:p>
    <w:p w14:paraId="640F31EE">
      <w:pPr>
        <w:pStyle w:val="42"/>
        <w:tabs>
          <w:tab w:val="right" w:leader="dot" w:pos="8296"/>
        </w:tabs>
        <w:ind w:left="840"/>
        <w:rPr>
          <w:rFonts w:asciiTheme="minorHAnsi" w:hAnsiTheme="minorHAnsi" w:eastAsiaTheme="minorEastAsia"/>
        </w:rPr>
      </w:pPr>
      <w:r>
        <w:fldChar w:fldCharType="begin"/>
      </w:r>
      <w:r>
        <w:instrText xml:space="preserve"> HYPERLINK \l "_Toc196727995" </w:instrText>
      </w:r>
      <w:r>
        <w:fldChar w:fldCharType="separate"/>
      </w:r>
      <w:r>
        <w:rPr>
          <w:rStyle w:val="139"/>
          <w:kern w:val="0"/>
          <w14:scene3d w14:prst="orthographicFront">
            <w14:lightRig w14:rig="threePt" w14:dir="t">
              <w14:rot w14:lat="0" w14:lon="0" w14:rev="0"/>
            </w14:lightRig>
          </w14:scene3d>
        </w:rPr>
        <w:t>6.3.5.</w:t>
      </w:r>
      <w:r>
        <w:rPr>
          <w:rStyle w:val="139"/>
        </w:rPr>
        <w:t xml:space="preserve"> 删除网桥接口</w:t>
      </w:r>
      <w:r>
        <w:tab/>
      </w:r>
      <w:r>
        <w:fldChar w:fldCharType="begin"/>
      </w:r>
      <w:r>
        <w:instrText xml:space="preserve"> PAGEREF _Toc196727995 \h </w:instrText>
      </w:r>
      <w:r>
        <w:fldChar w:fldCharType="separate"/>
      </w:r>
      <w:r>
        <w:t>133</w:t>
      </w:r>
      <w:r>
        <w:fldChar w:fldCharType="end"/>
      </w:r>
      <w:r>
        <w:fldChar w:fldCharType="end"/>
      </w:r>
    </w:p>
    <w:p w14:paraId="35FB76B1">
      <w:pPr>
        <w:pStyle w:val="70"/>
        <w:tabs>
          <w:tab w:val="right" w:leader="dot" w:pos="8296"/>
        </w:tabs>
        <w:ind w:left="420"/>
        <w:rPr>
          <w:rFonts w:asciiTheme="minorHAnsi" w:hAnsiTheme="minorHAnsi" w:eastAsiaTheme="minorEastAsia"/>
        </w:rPr>
      </w:pPr>
      <w:r>
        <w:fldChar w:fldCharType="begin"/>
      </w:r>
      <w:r>
        <w:instrText xml:space="preserve"> HYPERLINK \l "_Toc196727996" </w:instrText>
      </w:r>
      <w:r>
        <w:fldChar w:fldCharType="separate"/>
      </w:r>
      <w:r>
        <w:rPr>
          <w:rStyle w:val="139"/>
        </w:rPr>
        <w:t>6.4. 配置VLAN允许范围</w:t>
      </w:r>
      <w:r>
        <w:tab/>
      </w:r>
      <w:r>
        <w:fldChar w:fldCharType="begin"/>
      </w:r>
      <w:r>
        <w:instrText xml:space="preserve"> PAGEREF _Toc196727996 \h </w:instrText>
      </w:r>
      <w:r>
        <w:fldChar w:fldCharType="separate"/>
      </w:r>
      <w:r>
        <w:t>134</w:t>
      </w:r>
      <w:r>
        <w:fldChar w:fldCharType="end"/>
      </w:r>
      <w:r>
        <w:fldChar w:fldCharType="end"/>
      </w:r>
    </w:p>
    <w:p w14:paraId="0B05281D">
      <w:pPr>
        <w:pStyle w:val="42"/>
        <w:tabs>
          <w:tab w:val="right" w:leader="dot" w:pos="8296"/>
        </w:tabs>
        <w:ind w:left="840"/>
        <w:rPr>
          <w:rFonts w:asciiTheme="minorHAnsi" w:hAnsiTheme="minorHAnsi" w:eastAsiaTheme="minorEastAsia"/>
        </w:rPr>
      </w:pPr>
      <w:r>
        <w:fldChar w:fldCharType="begin"/>
      </w:r>
      <w:r>
        <w:instrText xml:space="preserve"> HYPERLINK \l "_Toc196727997" </w:instrText>
      </w:r>
      <w:r>
        <w:fldChar w:fldCharType="separate"/>
      </w:r>
      <w:r>
        <w:rPr>
          <w:rStyle w:val="139"/>
          <w:kern w:val="0"/>
          <w14:scene3d w14:prst="orthographicFront">
            <w14:lightRig w14:rig="threePt" w14:dir="t">
              <w14:rot w14:lat="0" w14:lon="0" w14:rev="0"/>
            </w14:lightRig>
          </w14:scene3d>
        </w:rPr>
        <w:t>6.4.1.</w:t>
      </w:r>
      <w:r>
        <w:rPr>
          <w:rStyle w:val="139"/>
        </w:rPr>
        <w:t xml:space="preserve"> 简介</w:t>
      </w:r>
      <w:r>
        <w:tab/>
      </w:r>
      <w:r>
        <w:fldChar w:fldCharType="begin"/>
      </w:r>
      <w:r>
        <w:instrText xml:space="preserve"> PAGEREF _Toc196727997 \h </w:instrText>
      </w:r>
      <w:r>
        <w:fldChar w:fldCharType="separate"/>
      </w:r>
      <w:r>
        <w:t>134</w:t>
      </w:r>
      <w:r>
        <w:fldChar w:fldCharType="end"/>
      </w:r>
      <w:r>
        <w:fldChar w:fldCharType="end"/>
      </w:r>
    </w:p>
    <w:p w14:paraId="5FE0A2C5">
      <w:pPr>
        <w:pStyle w:val="42"/>
        <w:tabs>
          <w:tab w:val="right" w:leader="dot" w:pos="8296"/>
        </w:tabs>
        <w:ind w:left="840"/>
        <w:rPr>
          <w:rFonts w:asciiTheme="minorHAnsi" w:hAnsiTheme="minorHAnsi" w:eastAsiaTheme="minorEastAsia"/>
        </w:rPr>
      </w:pPr>
      <w:r>
        <w:fldChar w:fldCharType="begin"/>
      </w:r>
      <w:r>
        <w:instrText xml:space="preserve"> HYPERLINK \l "_Toc196727998" </w:instrText>
      </w:r>
      <w:r>
        <w:fldChar w:fldCharType="separate"/>
      </w:r>
      <w:r>
        <w:rPr>
          <w:rStyle w:val="139"/>
          <w:kern w:val="0"/>
          <w14:scene3d w14:prst="orthographicFront">
            <w14:lightRig w14:rig="threePt" w14:dir="t">
              <w14:rot w14:lat="0" w14:lon="0" w14:rev="0"/>
            </w14:lightRig>
          </w14:scene3d>
        </w:rPr>
        <w:t>6.4.2.</w:t>
      </w:r>
      <w:r>
        <w:rPr>
          <w:rStyle w:val="139"/>
        </w:rPr>
        <w:t xml:space="preserve"> 配置VLAN允许范围</w:t>
      </w:r>
      <w:r>
        <w:tab/>
      </w:r>
      <w:r>
        <w:fldChar w:fldCharType="begin"/>
      </w:r>
      <w:r>
        <w:instrText xml:space="preserve"> PAGEREF _Toc196727998 \h </w:instrText>
      </w:r>
      <w:r>
        <w:fldChar w:fldCharType="separate"/>
      </w:r>
      <w:r>
        <w:t>134</w:t>
      </w:r>
      <w:r>
        <w:fldChar w:fldCharType="end"/>
      </w:r>
      <w:r>
        <w:fldChar w:fldCharType="end"/>
      </w:r>
    </w:p>
    <w:p w14:paraId="47D14F49">
      <w:pPr>
        <w:pStyle w:val="70"/>
        <w:tabs>
          <w:tab w:val="right" w:leader="dot" w:pos="8296"/>
        </w:tabs>
        <w:ind w:left="420"/>
        <w:rPr>
          <w:rFonts w:asciiTheme="minorHAnsi" w:hAnsiTheme="minorHAnsi" w:eastAsiaTheme="minorEastAsia"/>
        </w:rPr>
      </w:pPr>
      <w:r>
        <w:fldChar w:fldCharType="begin"/>
      </w:r>
      <w:r>
        <w:instrText xml:space="preserve"> HYPERLINK \l "_Toc196727999" </w:instrText>
      </w:r>
      <w:r>
        <w:fldChar w:fldCharType="separate"/>
      </w:r>
      <w:r>
        <w:rPr>
          <w:rStyle w:val="139"/>
        </w:rPr>
        <w:t>6.5. 聚合接口配置</w:t>
      </w:r>
      <w:r>
        <w:tab/>
      </w:r>
      <w:r>
        <w:fldChar w:fldCharType="begin"/>
      </w:r>
      <w:r>
        <w:instrText xml:space="preserve"> PAGEREF _Toc196727999 \h </w:instrText>
      </w:r>
      <w:r>
        <w:fldChar w:fldCharType="separate"/>
      </w:r>
      <w:r>
        <w:t>136</w:t>
      </w:r>
      <w:r>
        <w:fldChar w:fldCharType="end"/>
      </w:r>
      <w:r>
        <w:fldChar w:fldCharType="end"/>
      </w:r>
    </w:p>
    <w:p w14:paraId="43DB76B1">
      <w:pPr>
        <w:pStyle w:val="42"/>
        <w:tabs>
          <w:tab w:val="right" w:leader="dot" w:pos="8296"/>
        </w:tabs>
        <w:ind w:left="840"/>
        <w:rPr>
          <w:rFonts w:asciiTheme="minorHAnsi" w:hAnsiTheme="minorHAnsi" w:eastAsiaTheme="minorEastAsia"/>
        </w:rPr>
      </w:pPr>
      <w:r>
        <w:fldChar w:fldCharType="begin"/>
      </w:r>
      <w:r>
        <w:instrText xml:space="preserve"> HYPERLINK \l "_Toc196728000" </w:instrText>
      </w:r>
      <w:r>
        <w:fldChar w:fldCharType="separate"/>
      </w:r>
      <w:r>
        <w:rPr>
          <w:rStyle w:val="139"/>
          <w:kern w:val="0"/>
          <w14:scene3d w14:prst="orthographicFront">
            <w14:lightRig w14:rig="threePt" w14:dir="t">
              <w14:rot w14:lat="0" w14:lon="0" w14:rev="0"/>
            </w14:lightRig>
          </w14:scene3d>
        </w:rPr>
        <w:t>6.5.1.</w:t>
      </w:r>
      <w:r>
        <w:rPr>
          <w:rStyle w:val="139"/>
        </w:rPr>
        <w:t xml:space="preserve"> 接口聚合概述</w:t>
      </w:r>
      <w:r>
        <w:tab/>
      </w:r>
      <w:r>
        <w:fldChar w:fldCharType="begin"/>
      </w:r>
      <w:r>
        <w:instrText xml:space="preserve"> PAGEREF _Toc196728000 \h </w:instrText>
      </w:r>
      <w:r>
        <w:fldChar w:fldCharType="separate"/>
      </w:r>
      <w:r>
        <w:t>136</w:t>
      </w:r>
      <w:r>
        <w:fldChar w:fldCharType="end"/>
      </w:r>
      <w:r>
        <w:fldChar w:fldCharType="end"/>
      </w:r>
    </w:p>
    <w:p w14:paraId="55652F9A">
      <w:pPr>
        <w:pStyle w:val="42"/>
        <w:tabs>
          <w:tab w:val="right" w:leader="dot" w:pos="8296"/>
        </w:tabs>
        <w:ind w:left="840"/>
        <w:rPr>
          <w:rFonts w:asciiTheme="minorHAnsi" w:hAnsiTheme="minorHAnsi" w:eastAsiaTheme="minorEastAsia"/>
        </w:rPr>
      </w:pPr>
      <w:r>
        <w:fldChar w:fldCharType="begin"/>
      </w:r>
      <w:r>
        <w:instrText xml:space="preserve"> HYPERLINK \l "_Toc196728001" </w:instrText>
      </w:r>
      <w:r>
        <w:fldChar w:fldCharType="separate"/>
      </w:r>
      <w:r>
        <w:rPr>
          <w:rStyle w:val="139"/>
          <w:kern w:val="0"/>
          <w14:scene3d w14:prst="orthographicFront">
            <w14:lightRig w14:rig="threePt" w14:dir="t">
              <w14:rot w14:lat="0" w14:lon="0" w14:rev="0"/>
            </w14:lightRig>
          </w14:scene3d>
        </w:rPr>
        <w:t>6.5.2.</w:t>
      </w:r>
      <w:r>
        <w:rPr>
          <w:rStyle w:val="139"/>
        </w:rPr>
        <w:t xml:space="preserve"> 查看聚合接口</w:t>
      </w:r>
      <w:r>
        <w:tab/>
      </w:r>
      <w:r>
        <w:fldChar w:fldCharType="begin"/>
      </w:r>
      <w:r>
        <w:instrText xml:space="preserve"> PAGEREF _Toc196728001 \h </w:instrText>
      </w:r>
      <w:r>
        <w:fldChar w:fldCharType="separate"/>
      </w:r>
      <w:r>
        <w:t>136</w:t>
      </w:r>
      <w:r>
        <w:fldChar w:fldCharType="end"/>
      </w:r>
      <w:r>
        <w:fldChar w:fldCharType="end"/>
      </w:r>
    </w:p>
    <w:p w14:paraId="25E015D7">
      <w:pPr>
        <w:pStyle w:val="42"/>
        <w:tabs>
          <w:tab w:val="right" w:leader="dot" w:pos="8296"/>
        </w:tabs>
        <w:ind w:left="840"/>
        <w:rPr>
          <w:rFonts w:asciiTheme="minorHAnsi" w:hAnsiTheme="minorHAnsi" w:eastAsiaTheme="minorEastAsia"/>
        </w:rPr>
      </w:pPr>
      <w:r>
        <w:fldChar w:fldCharType="begin"/>
      </w:r>
      <w:r>
        <w:instrText xml:space="preserve"> HYPERLINK \l "_Toc196728002" </w:instrText>
      </w:r>
      <w:r>
        <w:fldChar w:fldCharType="separate"/>
      </w:r>
      <w:r>
        <w:rPr>
          <w:rStyle w:val="139"/>
          <w:kern w:val="0"/>
          <w14:scene3d w14:prst="orthographicFront">
            <w14:lightRig w14:rig="threePt" w14:dir="t">
              <w14:rot w14:lat="0" w14:lon="0" w14:rev="0"/>
            </w14:lightRig>
          </w14:scene3d>
        </w:rPr>
        <w:t>6.5.3.</w:t>
      </w:r>
      <w:r>
        <w:rPr>
          <w:rStyle w:val="139"/>
        </w:rPr>
        <w:t xml:space="preserve"> 新建聚合接口</w:t>
      </w:r>
      <w:r>
        <w:tab/>
      </w:r>
      <w:r>
        <w:fldChar w:fldCharType="begin"/>
      </w:r>
      <w:r>
        <w:instrText xml:space="preserve"> PAGEREF _Toc196728002 \h </w:instrText>
      </w:r>
      <w:r>
        <w:fldChar w:fldCharType="separate"/>
      </w:r>
      <w:r>
        <w:t>136</w:t>
      </w:r>
      <w:r>
        <w:fldChar w:fldCharType="end"/>
      </w:r>
      <w:r>
        <w:fldChar w:fldCharType="end"/>
      </w:r>
    </w:p>
    <w:p w14:paraId="20B2AC5A">
      <w:pPr>
        <w:pStyle w:val="70"/>
        <w:tabs>
          <w:tab w:val="right" w:leader="dot" w:pos="8296"/>
        </w:tabs>
        <w:ind w:left="420"/>
        <w:rPr>
          <w:rFonts w:asciiTheme="minorHAnsi" w:hAnsiTheme="minorHAnsi" w:eastAsiaTheme="minorEastAsia"/>
        </w:rPr>
      </w:pPr>
      <w:r>
        <w:fldChar w:fldCharType="begin"/>
      </w:r>
      <w:r>
        <w:instrText xml:space="preserve"> HYPERLINK \l "_Toc196728003" </w:instrText>
      </w:r>
      <w:r>
        <w:fldChar w:fldCharType="separate"/>
      </w:r>
      <w:r>
        <w:rPr>
          <w:rStyle w:val="139"/>
        </w:rPr>
        <w:t>6.6. 隧道接口配置</w:t>
      </w:r>
      <w:r>
        <w:tab/>
      </w:r>
      <w:r>
        <w:fldChar w:fldCharType="begin"/>
      </w:r>
      <w:r>
        <w:instrText xml:space="preserve"> PAGEREF _Toc196728003 \h </w:instrText>
      </w:r>
      <w:r>
        <w:fldChar w:fldCharType="separate"/>
      </w:r>
      <w:r>
        <w:t>139</w:t>
      </w:r>
      <w:r>
        <w:fldChar w:fldCharType="end"/>
      </w:r>
      <w:r>
        <w:fldChar w:fldCharType="end"/>
      </w:r>
    </w:p>
    <w:p w14:paraId="018ACAF9">
      <w:pPr>
        <w:pStyle w:val="42"/>
        <w:tabs>
          <w:tab w:val="right" w:leader="dot" w:pos="8296"/>
        </w:tabs>
        <w:ind w:left="840"/>
        <w:rPr>
          <w:rFonts w:asciiTheme="minorHAnsi" w:hAnsiTheme="minorHAnsi" w:eastAsiaTheme="minorEastAsia"/>
        </w:rPr>
      </w:pPr>
      <w:r>
        <w:fldChar w:fldCharType="begin"/>
      </w:r>
      <w:r>
        <w:instrText xml:space="preserve"> HYPERLINK \l "_Toc196728004" </w:instrText>
      </w:r>
      <w:r>
        <w:fldChar w:fldCharType="separate"/>
      </w:r>
      <w:r>
        <w:rPr>
          <w:rStyle w:val="139"/>
          <w:kern w:val="0"/>
          <w14:scene3d w14:prst="orthographicFront">
            <w14:lightRig w14:rig="threePt" w14:dir="t">
              <w14:rot w14:lat="0" w14:lon="0" w14:rev="0"/>
            </w14:lightRig>
          </w14:scene3d>
        </w:rPr>
        <w:t>6.6.1.</w:t>
      </w:r>
      <w:r>
        <w:rPr>
          <w:rStyle w:val="139"/>
        </w:rPr>
        <w:t xml:space="preserve"> 隧道接口概述</w:t>
      </w:r>
      <w:r>
        <w:tab/>
      </w:r>
      <w:r>
        <w:fldChar w:fldCharType="begin"/>
      </w:r>
      <w:r>
        <w:instrText xml:space="preserve"> PAGEREF _Toc196728004 \h </w:instrText>
      </w:r>
      <w:r>
        <w:fldChar w:fldCharType="separate"/>
      </w:r>
      <w:r>
        <w:t>139</w:t>
      </w:r>
      <w:r>
        <w:fldChar w:fldCharType="end"/>
      </w:r>
      <w:r>
        <w:fldChar w:fldCharType="end"/>
      </w:r>
    </w:p>
    <w:p w14:paraId="44995081">
      <w:pPr>
        <w:pStyle w:val="42"/>
        <w:tabs>
          <w:tab w:val="right" w:leader="dot" w:pos="8296"/>
        </w:tabs>
        <w:ind w:left="840"/>
        <w:rPr>
          <w:rFonts w:asciiTheme="minorHAnsi" w:hAnsiTheme="minorHAnsi" w:eastAsiaTheme="minorEastAsia"/>
        </w:rPr>
      </w:pPr>
      <w:r>
        <w:fldChar w:fldCharType="begin"/>
      </w:r>
      <w:r>
        <w:instrText xml:space="preserve"> HYPERLINK \l "_Toc196728005" </w:instrText>
      </w:r>
      <w:r>
        <w:fldChar w:fldCharType="separate"/>
      </w:r>
      <w:r>
        <w:rPr>
          <w:rStyle w:val="139"/>
          <w:kern w:val="0"/>
          <w14:scene3d w14:prst="orthographicFront">
            <w14:lightRig w14:rig="threePt" w14:dir="t">
              <w14:rot w14:lat="0" w14:lon="0" w14:rev="0"/>
            </w14:lightRig>
          </w14:scene3d>
        </w:rPr>
        <w:t>6.6.2.</w:t>
      </w:r>
      <w:r>
        <w:rPr>
          <w:rStyle w:val="139"/>
        </w:rPr>
        <w:t xml:space="preserve"> 查看隧道接口</w:t>
      </w:r>
      <w:r>
        <w:tab/>
      </w:r>
      <w:r>
        <w:fldChar w:fldCharType="begin"/>
      </w:r>
      <w:r>
        <w:instrText xml:space="preserve"> PAGEREF _Toc196728005 \h </w:instrText>
      </w:r>
      <w:r>
        <w:fldChar w:fldCharType="separate"/>
      </w:r>
      <w:r>
        <w:t>139</w:t>
      </w:r>
      <w:r>
        <w:fldChar w:fldCharType="end"/>
      </w:r>
      <w:r>
        <w:fldChar w:fldCharType="end"/>
      </w:r>
    </w:p>
    <w:p w14:paraId="48B2387C">
      <w:pPr>
        <w:pStyle w:val="42"/>
        <w:tabs>
          <w:tab w:val="right" w:leader="dot" w:pos="8296"/>
        </w:tabs>
        <w:ind w:left="840"/>
        <w:rPr>
          <w:rFonts w:asciiTheme="minorHAnsi" w:hAnsiTheme="minorHAnsi" w:eastAsiaTheme="minorEastAsia"/>
        </w:rPr>
      </w:pPr>
      <w:r>
        <w:fldChar w:fldCharType="begin"/>
      </w:r>
      <w:r>
        <w:instrText xml:space="preserve"> HYPERLINK \l "_Toc196728006" </w:instrText>
      </w:r>
      <w:r>
        <w:fldChar w:fldCharType="separate"/>
      </w:r>
      <w:r>
        <w:rPr>
          <w:rStyle w:val="139"/>
          <w:kern w:val="0"/>
          <w14:scene3d w14:prst="orthographicFront">
            <w14:lightRig w14:rig="threePt" w14:dir="t">
              <w14:rot w14:lat="0" w14:lon="0" w14:rev="0"/>
            </w14:lightRig>
          </w14:scene3d>
        </w:rPr>
        <w:t>6.6.3.</w:t>
      </w:r>
      <w:r>
        <w:rPr>
          <w:rStyle w:val="139"/>
        </w:rPr>
        <w:t xml:space="preserve"> 新建隧道接口</w:t>
      </w:r>
      <w:r>
        <w:tab/>
      </w:r>
      <w:r>
        <w:fldChar w:fldCharType="begin"/>
      </w:r>
      <w:r>
        <w:instrText xml:space="preserve"> PAGEREF _Toc196728006 \h </w:instrText>
      </w:r>
      <w:r>
        <w:fldChar w:fldCharType="separate"/>
      </w:r>
      <w:r>
        <w:t>139</w:t>
      </w:r>
      <w:r>
        <w:fldChar w:fldCharType="end"/>
      </w:r>
      <w:r>
        <w:fldChar w:fldCharType="end"/>
      </w:r>
    </w:p>
    <w:p w14:paraId="782DC742">
      <w:pPr>
        <w:pStyle w:val="70"/>
        <w:tabs>
          <w:tab w:val="right" w:leader="dot" w:pos="8296"/>
        </w:tabs>
        <w:ind w:left="420"/>
        <w:rPr>
          <w:rFonts w:asciiTheme="minorHAnsi" w:hAnsiTheme="minorHAnsi" w:eastAsiaTheme="minorEastAsia"/>
        </w:rPr>
      </w:pPr>
      <w:r>
        <w:fldChar w:fldCharType="begin"/>
      </w:r>
      <w:r>
        <w:instrText xml:space="preserve"> HYPERLINK \l "_Toc196728007" </w:instrText>
      </w:r>
      <w:r>
        <w:fldChar w:fldCharType="separate"/>
      </w:r>
      <w:r>
        <w:rPr>
          <w:rStyle w:val="139"/>
        </w:rPr>
        <w:t>6.7. 无线接口配置</w:t>
      </w:r>
      <w:r>
        <w:tab/>
      </w:r>
      <w:r>
        <w:fldChar w:fldCharType="begin"/>
      </w:r>
      <w:r>
        <w:instrText xml:space="preserve"> PAGEREF _Toc196728007 \h </w:instrText>
      </w:r>
      <w:r>
        <w:fldChar w:fldCharType="separate"/>
      </w:r>
      <w:r>
        <w:t>141</w:t>
      </w:r>
      <w:r>
        <w:fldChar w:fldCharType="end"/>
      </w:r>
      <w:r>
        <w:fldChar w:fldCharType="end"/>
      </w:r>
    </w:p>
    <w:p w14:paraId="0F42237E">
      <w:pPr>
        <w:pStyle w:val="42"/>
        <w:tabs>
          <w:tab w:val="right" w:leader="dot" w:pos="8296"/>
        </w:tabs>
        <w:ind w:left="840"/>
        <w:rPr>
          <w:rFonts w:asciiTheme="minorHAnsi" w:hAnsiTheme="minorHAnsi" w:eastAsiaTheme="minorEastAsia"/>
        </w:rPr>
      </w:pPr>
      <w:r>
        <w:fldChar w:fldCharType="begin"/>
      </w:r>
      <w:r>
        <w:instrText xml:space="preserve"> HYPERLINK \l "_Toc196728008" </w:instrText>
      </w:r>
      <w:r>
        <w:fldChar w:fldCharType="separate"/>
      </w:r>
      <w:r>
        <w:rPr>
          <w:rStyle w:val="139"/>
          <w:kern w:val="0"/>
          <w14:scene3d w14:prst="orthographicFront">
            <w14:lightRig w14:rig="threePt" w14:dir="t">
              <w14:rot w14:lat="0" w14:lon="0" w14:rev="0"/>
            </w14:lightRig>
          </w14:scene3d>
        </w:rPr>
        <w:t>6.7.1.</w:t>
      </w:r>
      <w:r>
        <w:rPr>
          <w:rStyle w:val="139"/>
        </w:rPr>
        <w:t xml:space="preserve"> 无线接口概述</w:t>
      </w:r>
      <w:r>
        <w:tab/>
      </w:r>
      <w:r>
        <w:fldChar w:fldCharType="begin"/>
      </w:r>
      <w:r>
        <w:instrText xml:space="preserve"> PAGEREF _Toc196728008 \h </w:instrText>
      </w:r>
      <w:r>
        <w:fldChar w:fldCharType="separate"/>
      </w:r>
      <w:r>
        <w:t>141</w:t>
      </w:r>
      <w:r>
        <w:fldChar w:fldCharType="end"/>
      </w:r>
      <w:r>
        <w:fldChar w:fldCharType="end"/>
      </w:r>
    </w:p>
    <w:p w14:paraId="77585DA1">
      <w:pPr>
        <w:pStyle w:val="42"/>
        <w:tabs>
          <w:tab w:val="right" w:leader="dot" w:pos="8296"/>
        </w:tabs>
        <w:ind w:left="840"/>
        <w:rPr>
          <w:rFonts w:asciiTheme="minorHAnsi" w:hAnsiTheme="minorHAnsi" w:eastAsiaTheme="minorEastAsia"/>
        </w:rPr>
      </w:pPr>
      <w:r>
        <w:fldChar w:fldCharType="begin"/>
      </w:r>
      <w:r>
        <w:instrText xml:space="preserve"> HYPERLINK \l "_Toc196728009" </w:instrText>
      </w:r>
      <w:r>
        <w:fldChar w:fldCharType="separate"/>
      </w:r>
      <w:r>
        <w:rPr>
          <w:rStyle w:val="139"/>
          <w:kern w:val="0"/>
          <w14:scene3d w14:prst="orthographicFront">
            <w14:lightRig w14:rig="threePt" w14:dir="t">
              <w14:rot w14:lat="0" w14:lon="0" w14:rev="0"/>
            </w14:lightRig>
          </w14:scene3d>
        </w:rPr>
        <w:t>6.7.2.</w:t>
      </w:r>
      <w:r>
        <w:rPr>
          <w:rStyle w:val="139"/>
        </w:rPr>
        <w:t xml:space="preserve"> 无线接口创建</w:t>
      </w:r>
      <w:r>
        <w:tab/>
      </w:r>
      <w:r>
        <w:fldChar w:fldCharType="begin"/>
      </w:r>
      <w:r>
        <w:instrText xml:space="preserve"> PAGEREF _Toc196728009 \h </w:instrText>
      </w:r>
      <w:r>
        <w:fldChar w:fldCharType="separate"/>
      </w:r>
      <w:r>
        <w:t>141</w:t>
      </w:r>
      <w:r>
        <w:fldChar w:fldCharType="end"/>
      </w:r>
      <w:r>
        <w:fldChar w:fldCharType="end"/>
      </w:r>
    </w:p>
    <w:p w14:paraId="140CE6EC">
      <w:pPr>
        <w:pStyle w:val="42"/>
        <w:tabs>
          <w:tab w:val="right" w:leader="dot" w:pos="8296"/>
        </w:tabs>
        <w:ind w:left="840"/>
        <w:rPr>
          <w:rFonts w:asciiTheme="minorHAnsi" w:hAnsiTheme="minorHAnsi" w:eastAsiaTheme="minorEastAsia"/>
        </w:rPr>
      </w:pPr>
      <w:r>
        <w:fldChar w:fldCharType="begin"/>
      </w:r>
      <w:r>
        <w:instrText xml:space="preserve"> HYPERLINK \l "_Toc196728010" </w:instrText>
      </w:r>
      <w:r>
        <w:fldChar w:fldCharType="separate"/>
      </w:r>
      <w:r>
        <w:rPr>
          <w:rStyle w:val="139"/>
          <w:kern w:val="0"/>
          <w14:scene3d w14:prst="orthographicFront">
            <w14:lightRig w14:rig="threePt" w14:dir="t">
              <w14:rot w14:lat="0" w14:lon="0" w14:rev="0"/>
            </w14:lightRig>
          </w14:scene3d>
        </w:rPr>
        <w:t>6.7.3.</w:t>
      </w:r>
      <w:r>
        <w:rPr>
          <w:rStyle w:val="139"/>
        </w:rPr>
        <w:t xml:space="preserve"> 查看无线接口</w:t>
      </w:r>
      <w:r>
        <w:tab/>
      </w:r>
      <w:r>
        <w:fldChar w:fldCharType="begin"/>
      </w:r>
      <w:r>
        <w:instrText xml:space="preserve"> PAGEREF _Toc196728010 \h </w:instrText>
      </w:r>
      <w:r>
        <w:fldChar w:fldCharType="separate"/>
      </w:r>
      <w:r>
        <w:t>141</w:t>
      </w:r>
      <w:r>
        <w:fldChar w:fldCharType="end"/>
      </w:r>
      <w:r>
        <w:fldChar w:fldCharType="end"/>
      </w:r>
    </w:p>
    <w:p w14:paraId="4E03A1E8">
      <w:pPr>
        <w:pStyle w:val="42"/>
        <w:tabs>
          <w:tab w:val="right" w:leader="dot" w:pos="8296"/>
        </w:tabs>
        <w:ind w:left="840"/>
        <w:rPr>
          <w:rFonts w:asciiTheme="minorHAnsi" w:hAnsiTheme="minorHAnsi" w:eastAsiaTheme="minorEastAsia"/>
        </w:rPr>
      </w:pPr>
      <w:r>
        <w:fldChar w:fldCharType="begin"/>
      </w:r>
      <w:r>
        <w:instrText xml:space="preserve"> HYPERLINK \l "_Toc196728011" </w:instrText>
      </w:r>
      <w:r>
        <w:fldChar w:fldCharType="separate"/>
      </w:r>
      <w:r>
        <w:rPr>
          <w:rStyle w:val="139"/>
          <w:kern w:val="0"/>
          <w14:scene3d w14:prst="orthographicFront">
            <w14:lightRig w14:rig="threePt" w14:dir="t">
              <w14:rot w14:lat="0" w14:lon="0" w14:rev="0"/>
            </w14:lightRig>
          </w14:scene3d>
        </w:rPr>
        <w:t>6.7.4.</w:t>
      </w:r>
      <w:r>
        <w:rPr>
          <w:rStyle w:val="139"/>
        </w:rPr>
        <w:t xml:space="preserve"> 修改无线接口</w:t>
      </w:r>
      <w:r>
        <w:tab/>
      </w:r>
      <w:r>
        <w:fldChar w:fldCharType="begin"/>
      </w:r>
      <w:r>
        <w:instrText xml:space="preserve"> PAGEREF _Toc196728011 \h </w:instrText>
      </w:r>
      <w:r>
        <w:fldChar w:fldCharType="separate"/>
      </w:r>
      <w:r>
        <w:t>142</w:t>
      </w:r>
      <w:r>
        <w:fldChar w:fldCharType="end"/>
      </w:r>
      <w:r>
        <w:fldChar w:fldCharType="end"/>
      </w:r>
    </w:p>
    <w:p w14:paraId="7C6727A1">
      <w:pPr>
        <w:pStyle w:val="70"/>
        <w:tabs>
          <w:tab w:val="right" w:leader="dot" w:pos="8296"/>
        </w:tabs>
        <w:ind w:left="420"/>
        <w:rPr>
          <w:rFonts w:asciiTheme="minorHAnsi" w:hAnsiTheme="minorHAnsi" w:eastAsiaTheme="minorEastAsia"/>
        </w:rPr>
      </w:pPr>
      <w:r>
        <w:fldChar w:fldCharType="begin"/>
      </w:r>
      <w:r>
        <w:instrText xml:space="preserve"> HYPERLINK \l "_Toc196728012" </w:instrText>
      </w:r>
      <w:r>
        <w:fldChar w:fldCharType="separate"/>
      </w:r>
      <w:r>
        <w:rPr>
          <w:rStyle w:val="139"/>
        </w:rPr>
        <w:t>6.8. 配置安全域</w:t>
      </w:r>
      <w:r>
        <w:tab/>
      </w:r>
      <w:r>
        <w:fldChar w:fldCharType="begin"/>
      </w:r>
      <w:r>
        <w:instrText xml:space="preserve"> PAGEREF _Toc196728012 \h </w:instrText>
      </w:r>
      <w:r>
        <w:fldChar w:fldCharType="separate"/>
      </w:r>
      <w:r>
        <w:t>143</w:t>
      </w:r>
      <w:r>
        <w:fldChar w:fldCharType="end"/>
      </w:r>
      <w:r>
        <w:fldChar w:fldCharType="end"/>
      </w:r>
    </w:p>
    <w:p w14:paraId="1C685057">
      <w:pPr>
        <w:pStyle w:val="42"/>
        <w:tabs>
          <w:tab w:val="right" w:leader="dot" w:pos="8296"/>
        </w:tabs>
        <w:ind w:left="840"/>
        <w:rPr>
          <w:rFonts w:asciiTheme="minorHAnsi" w:hAnsiTheme="minorHAnsi" w:eastAsiaTheme="minorEastAsia"/>
        </w:rPr>
      </w:pPr>
      <w:r>
        <w:fldChar w:fldCharType="begin"/>
      </w:r>
      <w:r>
        <w:instrText xml:space="preserve"> HYPERLINK \l "_Toc196728013" </w:instrText>
      </w:r>
      <w:r>
        <w:fldChar w:fldCharType="separate"/>
      </w:r>
      <w:r>
        <w:rPr>
          <w:rStyle w:val="139"/>
          <w:kern w:val="0"/>
          <w14:scene3d w14:prst="orthographicFront">
            <w14:lightRig w14:rig="threePt" w14:dir="t">
              <w14:rot w14:lat="0" w14:lon="0" w14:rev="0"/>
            </w14:lightRig>
          </w14:scene3d>
        </w:rPr>
        <w:t>6.8.1.</w:t>
      </w:r>
      <w:r>
        <w:rPr>
          <w:rStyle w:val="139"/>
        </w:rPr>
        <w:t xml:space="preserve"> 背景信息</w:t>
      </w:r>
      <w:r>
        <w:tab/>
      </w:r>
      <w:r>
        <w:fldChar w:fldCharType="begin"/>
      </w:r>
      <w:r>
        <w:instrText xml:space="preserve"> PAGEREF _Toc196728013 \h </w:instrText>
      </w:r>
      <w:r>
        <w:fldChar w:fldCharType="separate"/>
      </w:r>
      <w:r>
        <w:t>143</w:t>
      </w:r>
      <w:r>
        <w:fldChar w:fldCharType="end"/>
      </w:r>
      <w:r>
        <w:fldChar w:fldCharType="end"/>
      </w:r>
    </w:p>
    <w:p w14:paraId="68DECF07">
      <w:pPr>
        <w:pStyle w:val="42"/>
        <w:tabs>
          <w:tab w:val="right" w:leader="dot" w:pos="8296"/>
        </w:tabs>
        <w:ind w:left="840"/>
        <w:rPr>
          <w:rFonts w:asciiTheme="minorHAnsi" w:hAnsiTheme="minorHAnsi" w:eastAsiaTheme="minorEastAsia"/>
        </w:rPr>
      </w:pPr>
      <w:r>
        <w:fldChar w:fldCharType="begin"/>
      </w:r>
      <w:r>
        <w:instrText xml:space="preserve"> HYPERLINK \l "_Toc196728014" </w:instrText>
      </w:r>
      <w:r>
        <w:fldChar w:fldCharType="separate"/>
      </w:r>
      <w:r>
        <w:rPr>
          <w:rStyle w:val="139"/>
          <w:kern w:val="0"/>
          <w14:scene3d w14:prst="orthographicFront">
            <w14:lightRig w14:rig="threePt" w14:dir="t">
              <w14:rot w14:lat="0" w14:lon="0" w14:rev="0"/>
            </w14:lightRig>
          </w14:scene3d>
        </w:rPr>
        <w:t>6.8.2.</w:t>
      </w:r>
      <w:r>
        <w:rPr>
          <w:rStyle w:val="139"/>
        </w:rPr>
        <w:t xml:space="preserve"> 查看安全域</w:t>
      </w:r>
      <w:r>
        <w:tab/>
      </w:r>
      <w:r>
        <w:fldChar w:fldCharType="begin"/>
      </w:r>
      <w:r>
        <w:instrText xml:space="preserve"> PAGEREF _Toc196728014 \h </w:instrText>
      </w:r>
      <w:r>
        <w:fldChar w:fldCharType="separate"/>
      </w:r>
      <w:r>
        <w:t>143</w:t>
      </w:r>
      <w:r>
        <w:fldChar w:fldCharType="end"/>
      </w:r>
      <w:r>
        <w:fldChar w:fldCharType="end"/>
      </w:r>
    </w:p>
    <w:p w14:paraId="46B92CF0">
      <w:pPr>
        <w:pStyle w:val="42"/>
        <w:tabs>
          <w:tab w:val="right" w:leader="dot" w:pos="8296"/>
        </w:tabs>
        <w:ind w:left="840"/>
        <w:rPr>
          <w:rFonts w:asciiTheme="minorHAnsi" w:hAnsiTheme="minorHAnsi" w:eastAsiaTheme="minorEastAsia"/>
        </w:rPr>
      </w:pPr>
      <w:r>
        <w:fldChar w:fldCharType="begin"/>
      </w:r>
      <w:r>
        <w:instrText xml:space="preserve"> HYPERLINK \l "_Toc196728015" </w:instrText>
      </w:r>
      <w:r>
        <w:fldChar w:fldCharType="separate"/>
      </w:r>
      <w:r>
        <w:rPr>
          <w:rStyle w:val="139"/>
          <w:kern w:val="0"/>
          <w14:scene3d w14:prst="orthographicFront">
            <w14:lightRig w14:rig="threePt" w14:dir="t">
              <w14:rot w14:lat="0" w14:lon="0" w14:rev="0"/>
            </w14:lightRig>
          </w14:scene3d>
        </w:rPr>
        <w:t>6.8.3.</w:t>
      </w:r>
      <w:r>
        <w:rPr>
          <w:rStyle w:val="139"/>
        </w:rPr>
        <w:t xml:space="preserve"> 创建安全域</w:t>
      </w:r>
      <w:r>
        <w:tab/>
      </w:r>
      <w:r>
        <w:fldChar w:fldCharType="begin"/>
      </w:r>
      <w:r>
        <w:instrText xml:space="preserve"> PAGEREF _Toc196728015 \h </w:instrText>
      </w:r>
      <w:r>
        <w:fldChar w:fldCharType="separate"/>
      </w:r>
      <w:r>
        <w:t>144</w:t>
      </w:r>
      <w:r>
        <w:fldChar w:fldCharType="end"/>
      </w:r>
      <w:r>
        <w:fldChar w:fldCharType="end"/>
      </w:r>
    </w:p>
    <w:p w14:paraId="48FDD485">
      <w:pPr>
        <w:pStyle w:val="70"/>
        <w:tabs>
          <w:tab w:val="right" w:leader="dot" w:pos="8296"/>
        </w:tabs>
        <w:ind w:left="420"/>
        <w:rPr>
          <w:rFonts w:asciiTheme="minorHAnsi" w:hAnsiTheme="minorHAnsi" w:eastAsiaTheme="minorEastAsia"/>
        </w:rPr>
      </w:pPr>
      <w:r>
        <w:fldChar w:fldCharType="begin"/>
      </w:r>
      <w:r>
        <w:instrText xml:space="preserve"> HYPERLINK \l "_Toc196728016" </w:instrText>
      </w:r>
      <w:r>
        <w:fldChar w:fldCharType="separate"/>
      </w:r>
      <w:r>
        <w:rPr>
          <w:rStyle w:val="139"/>
        </w:rPr>
        <w:t>6.9. 配置虚拟网线</w:t>
      </w:r>
      <w:r>
        <w:tab/>
      </w:r>
      <w:r>
        <w:fldChar w:fldCharType="begin"/>
      </w:r>
      <w:r>
        <w:instrText xml:space="preserve"> PAGEREF _Toc196728016 \h </w:instrText>
      </w:r>
      <w:r>
        <w:fldChar w:fldCharType="separate"/>
      </w:r>
      <w:r>
        <w:t>144</w:t>
      </w:r>
      <w:r>
        <w:fldChar w:fldCharType="end"/>
      </w:r>
      <w:r>
        <w:fldChar w:fldCharType="end"/>
      </w:r>
    </w:p>
    <w:p w14:paraId="4CCECA48">
      <w:pPr>
        <w:pStyle w:val="42"/>
        <w:tabs>
          <w:tab w:val="right" w:leader="dot" w:pos="8296"/>
        </w:tabs>
        <w:ind w:left="840"/>
        <w:rPr>
          <w:rFonts w:asciiTheme="minorHAnsi" w:hAnsiTheme="minorHAnsi" w:eastAsiaTheme="minorEastAsia"/>
        </w:rPr>
      </w:pPr>
      <w:r>
        <w:fldChar w:fldCharType="begin"/>
      </w:r>
      <w:r>
        <w:instrText xml:space="preserve"> HYPERLINK \l "_Toc196728017" </w:instrText>
      </w:r>
      <w:r>
        <w:fldChar w:fldCharType="separate"/>
      </w:r>
      <w:r>
        <w:rPr>
          <w:rStyle w:val="139"/>
          <w:kern w:val="0"/>
          <w14:scene3d w14:prst="orthographicFront">
            <w14:lightRig w14:rig="threePt" w14:dir="t">
              <w14:rot w14:lat="0" w14:lon="0" w14:rev="0"/>
            </w14:lightRig>
          </w14:scene3d>
        </w:rPr>
        <w:t>6.9.1.</w:t>
      </w:r>
      <w:r>
        <w:rPr>
          <w:rStyle w:val="139"/>
        </w:rPr>
        <w:t xml:space="preserve"> 背景信息</w:t>
      </w:r>
      <w:r>
        <w:tab/>
      </w:r>
      <w:r>
        <w:fldChar w:fldCharType="begin"/>
      </w:r>
      <w:r>
        <w:instrText xml:space="preserve"> PAGEREF _Toc196728017 \h </w:instrText>
      </w:r>
      <w:r>
        <w:fldChar w:fldCharType="separate"/>
      </w:r>
      <w:r>
        <w:t>144</w:t>
      </w:r>
      <w:r>
        <w:fldChar w:fldCharType="end"/>
      </w:r>
      <w:r>
        <w:fldChar w:fldCharType="end"/>
      </w:r>
    </w:p>
    <w:p w14:paraId="34330F70">
      <w:pPr>
        <w:pStyle w:val="42"/>
        <w:tabs>
          <w:tab w:val="right" w:leader="dot" w:pos="8296"/>
        </w:tabs>
        <w:ind w:left="840"/>
        <w:rPr>
          <w:rFonts w:asciiTheme="minorHAnsi" w:hAnsiTheme="minorHAnsi" w:eastAsiaTheme="minorEastAsia"/>
        </w:rPr>
      </w:pPr>
      <w:r>
        <w:fldChar w:fldCharType="begin"/>
      </w:r>
      <w:r>
        <w:instrText xml:space="preserve"> HYPERLINK \l "_Toc196728018" </w:instrText>
      </w:r>
      <w:r>
        <w:fldChar w:fldCharType="separate"/>
      </w:r>
      <w:r>
        <w:rPr>
          <w:rStyle w:val="139"/>
          <w:kern w:val="0"/>
          <w14:scene3d w14:prst="orthographicFront">
            <w14:lightRig w14:rig="threePt" w14:dir="t">
              <w14:rot w14:lat="0" w14:lon="0" w14:rev="0"/>
            </w14:lightRig>
          </w14:scene3d>
        </w:rPr>
        <w:t>6.9.2.</w:t>
      </w:r>
      <w:r>
        <w:rPr>
          <w:rStyle w:val="139"/>
        </w:rPr>
        <w:t xml:space="preserve"> 查看虚拟网线</w:t>
      </w:r>
      <w:r>
        <w:tab/>
      </w:r>
      <w:r>
        <w:fldChar w:fldCharType="begin"/>
      </w:r>
      <w:r>
        <w:instrText xml:space="preserve"> PAGEREF _Toc196728018 \h </w:instrText>
      </w:r>
      <w:r>
        <w:fldChar w:fldCharType="separate"/>
      </w:r>
      <w:r>
        <w:t>145</w:t>
      </w:r>
      <w:r>
        <w:fldChar w:fldCharType="end"/>
      </w:r>
      <w:r>
        <w:fldChar w:fldCharType="end"/>
      </w:r>
    </w:p>
    <w:p w14:paraId="25E40904">
      <w:pPr>
        <w:pStyle w:val="42"/>
        <w:tabs>
          <w:tab w:val="right" w:leader="dot" w:pos="8296"/>
        </w:tabs>
        <w:ind w:left="840"/>
        <w:rPr>
          <w:rFonts w:asciiTheme="minorHAnsi" w:hAnsiTheme="minorHAnsi" w:eastAsiaTheme="minorEastAsia"/>
        </w:rPr>
      </w:pPr>
      <w:r>
        <w:fldChar w:fldCharType="begin"/>
      </w:r>
      <w:r>
        <w:instrText xml:space="preserve"> HYPERLINK \l "_Toc196728019" </w:instrText>
      </w:r>
      <w:r>
        <w:fldChar w:fldCharType="separate"/>
      </w:r>
      <w:r>
        <w:rPr>
          <w:rStyle w:val="139"/>
          <w:kern w:val="0"/>
          <w14:scene3d w14:prst="orthographicFront">
            <w14:lightRig w14:rig="threePt" w14:dir="t">
              <w14:rot w14:lat="0" w14:lon="0" w14:rev="0"/>
            </w14:lightRig>
          </w14:scene3d>
        </w:rPr>
        <w:t>6.9.3.</w:t>
      </w:r>
      <w:r>
        <w:rPr>
          <w:rStyle w:val="139"/>
        </w:rPr>
        <w:t xml:space="preserve"> 新建虚拟网线</w:t>
      </w:r>
      <w:r>
        <w:tab/>
      </w:r>
      <w:r>
        <w:fldChar w:fldCharType="begin"/>
      </w:r>
      <w:r>
        <w:instrText xml:space="preserve"> PAGEREF _Toc196728019 \h </w:instrText>
      </w:r>
      <w:r>
        <w:fldChar w:fldCharType="separate"/>
      </w:r>
      <w:r>
        <w:t>145</w:t>
      </w:r>
      <w:r>
        <w:fldChar w:fldCharType="end"/>
      </w:r>
      <w:r>
        <w:fldChar w:fldCharType="end"/>
      </w:r>
    </w:p>
    <w:p w14:paraId="383AA350">
      <w:pPr>
        <w:pStyle w:val="70"/>
        <w:tabs>
          <w:tab w:val="right" w:leader="dot" w:pos="8296"/>
        </w:tabs>
        <w:ind w:left="420"/>
        <w:rPr>
          <w:rFonts w:asciiTheme="minorHAnsi" w:hAnsiTheme="minorHAnsi" w:eastAsiaTheme="minorEastAsia"/>
        </w:rPr>
      </w:pPr>
      <w:r>
        <w:fldChar w:fldCharType="begin"/>
      </w:r>
      <w:r>
        <w:instrText xml:space="preserve"> HYPERLINK \l "_Toc196728020" </w:instrText>
      </w:r>
      <w:r>
        <w:fldChar w:fldCharType="separate"/>
      </w:r>
      <w:r>
        <w:rPr>
          <w:rStyle w:val="139"/>
        </w:rPr>
        <w:t>6.10. 配置IPv6隧道接口</w:t>
      </w:r>
      <w:r>
        <w:tab/>
      </w:r>
      <w:r>
        <w:fldChar w:fldCharType="begin"/>
      </w:r>
      <w:r>
        <w:instrText xml:space="preserve"> PAGEREF _Toc196728020 \h </w:instrText>
      </w:r>
      <w:r>
        <w:fldChar w:fldCharType="separate"/>
      </w:r>
      <w:r>
        <w:t>146</w:t>
      </w:r>
      <w:r>
        <w:fldChar w:fldCharType="end"/>
      </w:r>
      <w:r>
        <w:fldChar w:fldCharType="end"/>
      </w:r>
    </w:p>
    <w:p w14:paraId="3C980B21">
      <w:pPr>
        <w:pStyle w:val="42"/>
        <w:tabs>
          <w:tab w:val="right" w:leader="dot" w:pos="8296"/>
        </w:tabs>
        <w:ind w:left="840"/>
        <w:rPr>
          <w:rFonts w:asciiTheme="minorHAnsi" w:hAnsiTheme="minorHAnsi" w:eastAsiaTheme="minorEastAsia"/>
        </w:rPr>
      </w:pPr>
      <w:r>
        <w:fldChar w:fldCharType="begin"/>
      </w:r>
      <w:r>
        <w:instrText xml:space="preserve"> HYPERLINK \l "_Toc196728021" </w:instrText>
      </w:r>
      <w:r>
        <w:fldChar w:fldCharType="separate"/>
      </w:r>
      <w:r>
        <w:rPr>
          <w:rStyle w:val="139"/>
          <w:kern w:val="0"/>
          <w14:scene3d w14:prst="orthographicFront">
            <w14:lightRig w14:rig="threePt" w14:dir="t">
              <w14:rot w14:lat="0" w14:lon="0" w14:rev="0"/>
            </w14:lightRig>
          </w14:scene3d>
        </w:rPr>
        <w:t>6.10.1.</w:t>
      </w:r>
      <w:r>
        <w:rPr>
          <w:rStyle w:val="139"/>
        </w:rPr>
        <w:t xml:space="preserve"> 隧道技术概述</w:t>
      </w:r>
      <w:r>
        <w:tab/>
      </w:r>
      <w:r>
        <w:fldChar w:fldCharType="begin"/>
      </w:r>
      <w:r>
        <w:instrText xml:space="preserve"> PAGEREF _Toc196728021 \h </w:instrText>
      </w:r>
      <w:r>
        <w:fldChar w:fldCharType="separate"/>
      </w:r>
      <w:r>
        <w:t>146</w:t>
      </w:r>
      <w:r>
        <w:fldChar w:fldCharType="end"/>
      </w:r>
      <w:r>
        <w:fldChar w:fldCharType="end"/>
      </w:r>
    </w:p>
    <w:p w14:paraId="2FEFCD60">
      <w:pPr>
        <w:pStyle w:val="42"/>
        <w:tabs>
          <w:tab w:val="right" w:leader="dot" w:pos="8296"/>
        </w:tabs>
        <w:ind w:left="840"/>
        <w:rPr>
          <w:rFonts w:asciiTheme="minorHAnsi" w:hAnsiTheme="minorHAnsi" w:eastAsiaTheme="minorEastAsia"/>
        </w:rPr>
      </w:pPr>
      <w:r>
        <w:fldChar w:fldCharType="begin"/>
      </w:r>
      <w:r>
        <w:instrText xml:space="preserve"> HYPERLINK \l "_Toc196728022" </w:instrText>
      </w:r>
      <w:r>
        <w:fldChar w:fldCharType="separate"/>
      </w:r>
      <w:r>
        <w:rPr>
          <w:rStyle w:val="139"/>
          <w:kern w:val="0"/>
          <w14:scene3d w14:prst="orthographicFront">
            <w14:lightRig w14:rig="threePt" w14:dir="t">
              <w14:rot w14:lat="0" w14:lon="0" w14:rev="0"/>
            </w14:lightRig>
          </w14:scene3d>
        </w:rPr>
        <w:t>6.10.2.</w:t>
      </w:r>
      <w:r>
        <w:rPr>
          <w:rStyle w:val="139"/>
        </w:rPr>
        <w:t xml:space="preserve"> IPv6隧道接口创建</w:t>
      </w:r>
      <w:r>
        <w:tab/>
      </w:r>
      <w:r>
        <w:fldChar w:fldCharType="begin"/>
      </w:r>
      <w:r>
        <w:instrText xml:space="preserve"> PAGEREF _Toc196728022 \h </w:instrText>
      </w:r>
      <w:r>
        <w:fldChar w:fldCharType="separate"/>
      </w:r>
      <w:r>
        <w:t>146</w:t>
      </w:r>
      <w:r>
        <w:fldChar w:fldCharType="end"/>
      </w:r>
      <w:r>
        <w:fldChar w:fldCharType="end"/>
      </w:r>
    </w:p>
    <w:p w14:paraId="1DA6B44B">
      <w:pPr>
        <w:pStyle w:val="42"/>
        <w:tabs>
          <w:tab w:val="right" w:leader="dot" w:pos="8296"/>
        </w:tabs>
        <w:ind w:left="840"/>
        <w:rPr>
          <w:rFonts w:asciiTheme="minorHAnsi" w:hAnsiTheme="minorHAnsi" w:eastAsiaTheme="minorEastAsia"/>
        </w:rPr>
      </w:pPr>
      <w:r>
        <w:fldChar w:fldCharType="begin"/>
      </w:r>
      <w:r>
        <w:instrText xml:space="preserve"> HYPERLINK \l "_Toc196728023" </w:instrText>
      </w:r>
      <w:r>
        <w:fldChar w:fldCharType="separate"/>
      </w:r>
      <w:r>
        <w:rPr>
          <w:rStyle w:val="139"/>
          <w:kern w:val="0"/>
          <w14:scene3d w14:prst="orthographicFront">
            <w14:lightRig w14:rig="threePt" w14:dir="t">
              <w14:rot w14:lat="0" w14:lon="0" w14:rev="0"/>
            </w14:lightRig>
          </w14:scene3d>
        </w:rPr>
        <w:t>6.10.3.</w:t>
      </w:r>
      <w:r>
        <w:rPr>
          <w:rStyle w:val="139"/>
        </w:rPr>
        <w:t xml:space="preserve"> IPv6隧道接口修改</w:t>
      </w:r>
      <w:r>
        <w:tab/>
      </w:r>
      <w:r>
        <w:fldChar w:fldCharType="begin"/>
      </w:r>
      <w:r>
        <w:instrText xml:space="preserve"> PAGEREF _Toc196728023 \h </w:instrText>
      </w:r>
      <w:r>
        <w:fldChar w:fldCharType="separate"/>
      </w:r>
      <w:r>
        <w:t>149</w:t>
      </w:r>
      <w:r>
        <w:fldChar w:fldCharType="end"/>
      </w:r>
      <w:r>
        <w:fldChar w:fldCharType="end"/>
      </w:r>
    </w:p>
    <w:p w14:paraId="1F5F619D">
      <w:pPr>
        <w:pStyle w:val="42"/>
        <w:tabs>
          <w:tab w:val="right" w:leader="dot" w:pos="8296"/>
        </w:tabs>
        <w:ind w:left="840"/>
        <w:rPr>
          <w:rFonts w:asciiTheme="minorHAnsi" w:hAnsiTheme="minorHAnsi" w:eastAsiaTheme="minorEastAsia"/>
        </w:rPr>
      </w:pPr>
      <w:r>
        <w:fldChar w:fldCharType="begin"/>
      </w:r>
      <w:r>
        <w:instrText xml:space="preserve"> HYPERLINK \l "_Toc196728024" </w:instrText>
      </w:r>
      <w:r>
        <w:fldChar w:fldCharType="separate"/>
      </w:r>
      <w:r>
        <w:rPr>
          <w:rStyle w:val="139"/>
          <w:kern w:val="0"/>
          <w14:scene3d w14:prst="orthographicFront">
            <w14:lightRig w14:rig="threePt" w14:dir="t">
              <w14:rot w14:lat="0" w14:lon="0" w14:rev="0"/>
            </w14:lightRig>
          </w14:scene3d>
        </w:rPr>
        <w:t>6.10.4.</w:t>
      </w:r>
      <w:r>
        <w:rPr>
          <w:rStyle w:val="139"/>
        </w:rPr>
        <w:t xml:space="preserve"> IPv6隧道接口删除</w:t>
      </w:r>
      <w:r>
        <w:tab/>
      </w:r>
      <w:r>
        <w:fldChar w:fldCharType="begin"/>
      </w:r>
      <w:r>
        <w:instrText xml:space="preserve"> PAGEREF _Toc196728024 \h </w:instrText>
      </w:r>
      <w:r>
        <w:fldChar w:fldCharType="separate"/>
      </w:r>
      <w:r>
        <w:t>150</w:t>
      </w:r>
      <w:r>
        <w:fldChar w:fldCharType="end"/>
      </w:r>
      <w:r>
        <w:fldChar w:fldCharType="end"/>
      </w:r>
    </w:p>
    <w:p w14:paraId="293078A3">
      <w:pPr>
        <w:pStyle w:val="42"/>
        <w:tabs>
          <w:tab w:val="right" w:leader="dot" w:pos="8296"/>
        </w:tabs>
        <w:ind w:left="840"/>
        <w:rPr>
          <w:rFonts w:asciiTheme="minorHAnsi" w:hAnsiTheme="minorHAnsi" w:eastAsiaTheme="minorEastAsia"/>
        </w:rPr>
      </w:pPr>
      <w:r>
        <w:fldChar w:fldCharType="begin"/>
      </w:r>
      <w:r>
        <w:instrText xml:space="preserve"> HYPERLINK \l "_Toc196728025" </w:instrText>
      </w:r>
      <w:r>
        <w:fldChar w:fldCharType="separate"/>
      </w:r>
      <w:r>
        <w:rPr>
          <w:rStyle w:val="139"/>
          <w:kern w:val="0"/>
          <w14:scene3d w14:prst="orthographicFront">
            <w14:lightRig w14:rig="threePt" w14:dir="t">
              <w14:rot w14:lat="0" w14:lon="0" w14:rev="0"/>
            </w14:lightRig>
          </w14:scene3d>
        </w:rPr>
        <w:t>6.10.5.</w:t>
      </w:r>
      <w:r>
        <w:rPr>
          <w:rStyle w:val="139"/>
        </w:rPr>
        <w:t xml:space="preserve"> IPv6隧道接口属性配置</w:t>
      </w:r>
      <w:r>
        <w:tab/>
      </w:r>
      <w:r>
        <w:fldChar w:fldCharType="begin"/>
      </w:r>
      <w:r>
        <w:instrText xml:space="preserve"> PAGEREF _Toc196728025 \h </w:instrText>
      </w:r>
      <w:r>
        <w:fldChar w:fldCharType="separate"/>
      </w:r>
      <w:r>
        <w:t>150</w:t>
      </w:r>
      <w:r>
        <w:fldChar w:fldCharType="end"/>
      </w:r>
      <w:r>
        <w:fldChar w:fldCharType="end"/>
      </w:r>
    </w:p>
    <w:p w14:paraId="4390CC52">
      <w:pPr>
        <w:pStyle w:val="42"/>
        <w:tabs>
          <w:tab w:val="right" w:leader="dot" w:pos="8296"/>
        </w:tabs>
        <w:ind w:left="840"/>
        <w:rPr>
          <w:rFonts w:asciiTheme="minorHAnsi" w:hAnsiTheme="minorHAnsi" w:eastAsiaTheme="minorEastAsia"/>
        </w:rPr>
      </w:pPr>
      <w:r>
        <w:fldChar w:fldCharType="begin"/>
      </w:r>
      <w:r>
        <w:instrText xml:space="preserve"> HYPERLINK \l "_Toc196728026" </w:instrText>
      </w:r>
      <w:r>
        <w:fldChar w:fldCharType="separate"/>
      </w:r>
      <w:r>
        <w:rPr>
          <w:rStyle w:val="139"/>
          <w:kern w:val="0"/>
          <w14:scene3d w14:prst="orthographicFront">
            <w14:lightRig w14:rig="threePt" w14:dir="t">
              <w14:rot w14:lat="0" w14:lon="0" w14:rev="0"/>
            </w14:lightRig>
          </w14:scene3d>
        </w:rPr>
        <w:t>6.10.6.</w:t>
      </w:r>
      <w:r>
        <w:rPr>
          <w:rStyle w:val="139"/>
        </w:rPr>
        <w:t xml:space="preserve"> IPv6隧道接口配置举例</w:t>
      </w:r>
      <w:r>
        <w:tab/>
      </w:r>
      <w:r>
        <w:fldChar w:fldCharType="begin"/>
      </w:r>
      <w:r>
        <w:instrText xml:space="preserve"> PAGEREF _Toc196728026 \h </w:instrText>
      </w:r>
      <w:r>
        <w:fldChar w:fldCharType="separate"/>
      </w:r>
      <w:r>
        <w:t>151</w:t>
      </w:r>
      <w:r>
        <w:fldChar w:fldCharType="end"/>
      </w:r>
      <w:r>
        <w:fldChar w:fldCharType="end"/>
      </w:r>
    </w:p>
    <w:p w14:paraId="24FB4E17">
      <w:pPr>
        <w:pStyle w:val="70"/>
        <w:tabs>
          <w:tab w:val="right" w:leader="dot" w:pos="8296"/>
        </w:tabs>
        <w:ind w:left="420"/>
        <w:rPr>
          <w:rFonts w:asciiTheme="minorHAnsi" w:hAnsiTheme="minorHAnsi" w:eastAsiaTheme="minorEastAsia"/>
        </w:rPr>
      </w:pPr>
      <w:r>
        <w:fldChar w:fldCharType="begin"/>
      </w:r>
      <w:r>
        <w:instrText xml:space="preserve"> HYPERLINK \l "_Toc196728027" </w:instrText>
      </w:r>
      <w:r>
        <w:fldChar w:fldCharType="separate"/>
      </w:r>
      <w:r>
        <w:rPr>
          <w:rStyle w:val="139"/>
        </w:rPr>
        <w:t>6.11. 配置IPsec隧道接口</w:t>
      </w:r>
      <w:r>
        <w:tab/>
      </w:r>
      <w:r>
        <w:fldChar w:fldCharType="begin"/>
      </w:r>
      <w:r>
        <w:instrText xml:space="preserve"> PAGEREF _Toc196728027 \h </w:instrText>
      </w:r>
      <w:r>
        <w:fldChar w:fldCharType="separate"/>
      </w:r>
      <w:r>
        <w:t>153</w:t>
      </w:r>
      <w:r>
        <w:fldChar w:fldCharType="end"/>
      </w:r>
      <w:r>
        <w:fldChar w:fldCharType="end"/>
      </w:r>
    </w:p>
    <w:p w14:paraId="57EF9C33">
      <w:pPr>
        <w:pStyle w:val="42"/>
        <w:tabs>
          <w:tab w:val="right" w:leader="dot" w:pos="8296"/>
        </w:tabs>
        <w:ind w:left="840"/>
        <w:rPr>
          <w:rFonts w:asciiTheme="minorHAnsi" w:hAnsiTheme="minorHAnsi" w:eastAsiaTheme="minorEastAsia"/>
        </w:rPr>
      </w:pPr>
      <w:r>
        <w:fldChar w:fldCharType="begin"/>
      </w:r>
      <w:r>
        <w:instrText xml:space="preserve"> HYPERLINK \l "_Toc196728028" </w:instrText>
      </w:r>
      <w:r>
        <w:fldChar w:fldCharType="separate"/>
      </w:r>
      <w:r>
        <w:rPr>
          <w:rStyle w:val="139"/>
          <w:kern w:val="0"/>
          <w14:scene3d w14:prst="orthographicFront">
            <w14:lightRig w14:rig="threePt" w14:dir="t">
              <w14:rot w14:lat="0" w14:lon="0" w14:rev="0"/>
            </w14:lightRig>
          </w14:scene3d>
        </w:rPr>
        <w:t>6.11.1.</w:t>
      </w:r>
      <w:r>
        <w:rPr>
          <w:rStyle w:val="139"/>
        </w:rPr>
        <w:t xml:space="preserve"> IPsec隧道接口创建</w:t>
      </w:r>
      <w:r>
        <w:tab/>
      </w:r>
      <w:r>
        <w:fldChar w:fldCharType="begin"/>
      </w:r>
      <w:r>
        <w:instrText xml:space="preserve"> PAGEREF _Toc196728028 \h </w:instrText>
      </w:r>
      <w:r>
        <w:fldChar w:fldCharType="separate"/>
      </w:r>
      <w:r>
        <w:t>153</w:t>
      </w:r>
      <w:r>
        <w:fldChar w:fldCharType="end"/>
      </w:r>
      <w:r>
        <w:fldChar w:fldCharType="end"/>
      </w:r>
    </w:p>
    <w:p w14:paraId="1E48342F">
      <w:pPr>
        <w:pStyle w:val="42"/>
        <w:tabs>
          <w:tab w:val="right" w:leader="dot" w:pos="8296"/>
        </w:tabs>
        <w:ind w:left="840"/>
        <w:rPr>
          <w:rFonts w:asciiTheme="minorHAnsi" w:hAnsiTheme="minorHAnsi" w:eastAsiaTheme="minorEastAsia"/>
        </w:rPr>
      </w:pPr>
      <w:r>
        <w:fldChar w:fldCharType="begin"/>
      </w:r>
      <w:r>
        <w:instrText xml:space="preserve"> HYPERLINK \l "_Toc196728029" </w:instrText>
      </w:r>
      <w:r>
        <w:fldChar w:fldCharType="separate"/>
      </w:r>
      <w:r>
        <w:rPr>
          <w:rStyle w:val="139"/>
          <w:kern w:val="0"/>
          <w14:scene3d w14:prst="orthographicFront">
            <w14:lightRig w14:rig="threePt" w14:dir="t">
              <w14:rot w14:lat="0" w14:lon="0" w14:rev="0"/>
            </w14:lightRig>
          </w14:scene3d>
        </w:rPr>
        <w:t>6.11.2.</w:t>
      </w:r>
      <w:r>
        <w:rPr>
          <w:rStyle w:val="139"/>
        </w:rPr>
        <w:t xml:space="preserve"> IPsec隧道接口修改</w:t>
      </w:r>
      <w:r>
        <w:tab/>
      </w:r>
      <w:r>
        <w:fldChar w:fldCharType="begin"/>
      </w:r>
      <w:r>
        <w:instrText xml:space="preserve"> PAGEREF _Toc196728029 \h </w:instrText>
      </w:r>
      <w:r>
        <w:fldChar w:fldCharType="separate"/>
      </w:r>
      <w:r>
        <w:t>154</w:t>
      </w:r>
      <w:r>
        <w:fldChar w:fldCharType="end"/>
      </w:r>
      <w:r>
        <w:fldChar w:fldCharType="end"/>
      </w:r>
    </w:p>
    <w:p w14:paraId="5306B8E1">
      <w:pPr>
        <w:pStyle w:val="42"/>
        <w:tabs>
          <w:tab w:val="right" w:leader="dot" w:pos="8296"/>
        </w:tabs>
        <w:ind w:left="840"/>
        <w:rPr>
          <w:rFonts w:asciiTheme="minorHAnsi" w:hAnsiTheme="minorHAnsi" w:eastAsiaTheme="minorEastAsia"/>
        </w:rPr>
      </w:pPr>
      <w:r>
        <w:fldChar w:fldCharType="begin"/>
      </w:r>
      <w:r>
        <w:instrText xml:space="preserve"> HYPERLINK \l "_Toc196728030" </w:instrText>
      </w:r>
      <w:r>
        <w:fldChar w:fldCharType="separate"/>
      </w:r>
      <w:r>
        <w:rPr>
          <w:rStyle w:val="139"/>
          <w:kern w:val="0"/>
          <w14:scene3d w14:prst="orthographicFront">
            <w14:lightRig w14:rig="threePt" w14:dir="t">
              <w14:rot w14:lat="0" w14:lon="0" w14:rev="0"/>
            </w14:lightRig>
          </w14:scene3d>
        </w:rPr>
        <w:t>6.11.3.</w:t>
      </w:r>
      <w:r>
        <w:rPr>
          <w:rStyle w:val="139"/>
        </w:rPr>
        <w:t xml:space="preserve"> IPsec隧道接口删除</w:t>
      </w:r>
      <w:r>
        <w:tab/>
      </w:r>
      <w:r>
        <w:fldChar w:fldCharType="begin"/>
      </w:r>
      <w:r>
        <w:instrText xml:space="preserve"> PAGEREF _Toc196728030 \h </w:instrText>
      </w:r>
      <w:r>
        <w:fldChar w:fldCharType="separate"/>
      </w:r>
      <w:r>
        <w:t>154</w:t>
      </w:r>
      <w:r>
        <w:fldChar w:fldCharType="end"/>
      </w:r>
      <w:r>
        <w:fldChar w:fldCharType="end"/>
      </w:r>
    </w:p>
    <w:p w14:paraId="43EF665B">
      <w:pPr>
        <w:pStyle w:val="42"/>
        <w:tabs>
          <w:tab w:val="right" w:leader="dot" w:pos="8296"/>
        </w:tabs>
        <w:ind w:left="840"/>
        <w:rPr>
          <w:rFonts w:asciiTheme="minorHAnsi" w:hAnsiTheme="minorHAnsi" w:eastAsiaTheme="minorEastAsia"/>
        </w:rPr>
      </w:pPr>
      <w:r>
        <w:fldChar w:fldCharType="begin"/>
      </w:r>
      <w:r>
        <w:instrText xml:space="preserve"> HYPERLINK \l "_Toc196728031" </w:instrText>
      </w:r>
      <w:r>
        <w:fldChar w:fldCharType="separate"/>
      </w:r>
      <w:r>
        <w:rPr>
          <w:rStyle w:val="139"/>
          <w:kern w:val="0"/>
          <w14:scene3d w14:prst="orthographicFront">
            <w14:lightRig w14:rig="threePt" w14:dir="t">
              <w14:rot w14:lat="0" w14:lon="0" w14:rev="0"/>
            </w14:lightRig>
          </w14:scene3d>
        </w:rPr>
        <w:t>6.11.4.</w:t>
      </w:r>
      <w:r>
        <w:rPr>
          <w:rStyle w:val="139"/>
        </w:rPr>
        <w:t xml:space="preserve"> IPsec隧道接口属性配置</w:t>
      </w:r>
      <w:r>
        <w:tab/>
      </w:r>
      <w:r>
        <w:fldChar w:fldCharType="begin"/>
      </w:r>
      <w:r>
        <w:instrText xml:space="preserve"> PAGEREF _Toc196728031 \h </w:instrText>
      </w:r>
      <w:r>
        <w:fldChar w:fldCharType="separate"/>
      </w:r>
      <w:r>
        <w:t>155</w:t>
      </w:r>
      <w:r>
        <w:fldChar w:fldCharType="end"/>
      </w:r>
      <w:r>
        <w:fldChar w:fldCharType="end"/>
      </w:r>
    </w:p>
    <w:p w14:paraId="523689FF">
      <w:pPr>
        <w:pStyle w:val="56"/>
        <w:tabs>
          <w:tab w:val="right" w:leader="dot" w:pos="8296"/>
        </w:tabs>
        <w:rPr>
          <w:rFonts w:asciiTheme="minorHAnsi" w:hAnsiTheme="minorHAnsi" w:eastAsiaTheme="minorEastAsia"/>
        </w:rPr>
      </w:pPr>
      <w:r>
        <w:fldChar w:fldCharType="begin"/>
      </w:r>
      <w:r>
        <w:instrText xml:space="preserve"> HYPERLINK \l "_Toc196728032" </w:instrText>
      </w:r>
      <w:r>
        <w:fldChar w:fldCharType="separate"/>
      </w:r>
      <w:r>
        <w:rPr>
          <w:rStyle w:val="139"/>
        </w:rPr>
        <w:t>7. 路由管理（仅支持Cavium平台硬件款型）</w:t>
      </w:r>
      <w:r>
        <w:tab/>
      </w:r>
      <w:r>
        <w:fldChar w:fldCharType="begin"/>
      </w:r>
      <w:r>
        <w:instrText xml:space="preserve"> PAGEREF _Toc196728032 \h </w:instrText>
      </w:r>
      <w:r>
        <w:fldChar w:fldCharType="separate"/>
      </w:r>
      <w:r>
        <w:t>156</w:t>
      </w:r>
      <w:r>
        <w:fldChar w:fldCharType="end"/>
      </w:r>
      <w:r>
        <w:fldChar w:fldCharType="end"/>
      </w:r>
    </w:p>
    <w:p w14:paraId="1158ECC8">
      <w:pPr>
        <w:pStyle w:val="70"/>
        <w:tabs>
          <w:tab w:val="right" w:leader="dot" w:pos="8296"/>
        </w:tabs>
        <w:ind w:left="420"/>
        <w:rPr>
          <w:rFonts w:asciiTheme="minorHAnsi" w:hAnsiTheme="minorHAnsi" w:eastAsiaTheme="minorEastAsia"/>
        </w:rPr>
      </w:pPr>
      <w:r>
        <w:fldChar w:fldCharType="begin"/>
      </w:r>
      <w:r>
        <w:instrText xml:space="preserve"> HYPERLINK \l "_Toc196728033" </w:instrText>
      </w:r>
      <w:r>
        <w:fldChar w:fldCharType="separate"/>
      </w:r>
      <w:r>
        <w:rPr>
          <w:rStyle w:val="139"/>
        </w:rPr>
        <w:t>7.1. 静态路由</w:t>
      </w:r>
      <w:r>
        <w:tab/>
      </w:r>
      <w:r>
        <w:fldChar w:fldCharType="begin"/>
      </w:r>
      <w:r>
        <w:instrText xml:space="preserve"> PAGEREF _Toc196728033 \h </w:instrText>
      </w:r>
      <w:r>
        <w:fldChar w:fldCharType="separate"/>
      </w:r>
      <w:r>
        <w:t>156</w:t>
      </w:r>
      <w:r>
        <w:fldChar w:fldCharType="end"/>
      </w:r>
      <w:r>
        <w:fldChar w:fldCharType="end"/>
      </w:r>
    </w:p>
    <w:p w14:paraId="1B8072C6">
      <w:pPr>
        <w:pStyle w:val="42"/>
        <w:tabs>
          <w:tab w:val="right" w:leader="dot" w:pos="8296"/>
        </w:tabs>
        <w:ind w:left="840"/>
        <w:rPr>
          <w:rFonts w:asciiTheme="minorHAnsi" w:hAnsiTheme="minorHAnsi" w:eastAsiaTheme="minorEastAsia"/>
        </w:rPr>
      </w:pPr>
      <w:r>
        <w:fldChar w:fldCharType="begin"/>
      </w:r>
      <w:r>
        <w:instrText xml:space="preserve"> HYPERLINK \l "_Toc196728034" </w:instrText>
      </w:r>
      <w:r>
        <w:fldChar w:fldCharType="separate"/>
      </w:r>
      <w:r>
        <w:rPr>
          <w:rStyle w:val="139"/>
          <w:kern w:val="0"/>
          <w14:scene3d w14:prst="orthographicFront">
            <w14:lightRig w14:rig="threePt" w14:dir="t">
              <w14:rot w14:lat="0" w14:lon="0" w14:rev="0"/>
            </w14:lightRig>
          </w14:scene3d>
        </w:rPr>
        <w:t>7.1.1.</w:t>
      </w:r>
      <w:r>
        <w:rPr>
          <w:rStyle w:val="139"/>
        </w:rPr>
        <w:t xml:space="preserve"> 概述</w:t>
      </w:r>
      <w:r>
        <w:tab/>
      </w:r>
      <w:r>
        <w:fldChar w:fldCharType="begin"/>
      </w:r>
      <w:r>
        <w:instrText xml:space="preserve"> PAGEREF _Toc196728034 \h </w:instrText>
      </w:r>
      <w:r>
        <w:fldChar w:fldCharType="separate"/>
      </w:r>
      <w:r>
        <w:t>156</w:t>
      </w:r>
      <w:r>
        <w:fldChar w:fldCharType="end"/>
      </w:r>
      <w:r>
        <w:fldChar w:fldCharType="end"/>
      </w:r>
    </w:p>
    <w:p w14:paraId="29BFDFA9">
      <w:pPr>
        <w:pStyle w:val="42"/>
        <w:tabs>
          <w:tab w:val="right" w:leader="dot" w:pos="8296"/>
        </w:tabs>
        <w:ind w:left="840"/>
        <w:rPr>
          <w:rFonts w:asciiTheme="minorHAnsi" w:hAnsiTheme="minorHAnsi" w:eastAsiaTheme="minorEastAsia"/>
        </w:rPr>
      </w:pPr>
      <w:r>
        <w:fldChar w:fldCharType="begin"/>
      </w:r>
      <w:r>
        <w:instrText xml:space="preserve"> HYPERLINK \l "_Toc196728035" </w:instrText>
      </w:r>
      <w:r>
        <w:fldChar w:fldCharType="separate"/>
      </w:r>
      <w:r>
        <w:rPr>
          <w:rStyle w:val="139"/>
          <w:kern w:val="0"/>
          <w14:scene3d w14:prst="orthographicFront">
            <w14:lightRig w14:rig="threePt" w14:dir="t">
              <w14:rot w14:lat="0" w14:lon="0" w14:rev="0"/>
            </w14:lightRig>
          </w14:scene3d>
        </w:rPr>
        <w:t>7.1.2.</w:t>
      </w:r>
      <w:r>
        <w:rPr>
          <w:rStyle w:val="139"/>
        </w:rPr>
        <w:t xml:space="preserve"> 查看静态路由表</w:t>
      </w:r>
      <w:r>
        <w:tab/>
      </w:r>
      <w:r>
        <w:fldChar w:fldCharType="begin"/>
      </w:r>
      <w:r>
        <w:instrText xml:space="preserve"> PAGEREF _Toc196728035 \h </w:instrText>
      </w:r>
      <w:r>
        <w:fldChar w:fldCharType="separate"/>
      </w:r>
      <w:r>
        <w:t>156</w:t>
      </w:r>
      <w:r>
        <w:fldChar w:fldCharType="end"/>
      </w:r>
      <w:r>
        <w:fldChar w:fldCharType="end"/>
      </w:r>
    </w:p>
    <w:p w14:paraId="40F4260B">
      <w:pPr>
        <w:pStyle w:val="42"/>
        <w:tabs>
          <w:tab w:val="right" w:leader="dot" w:pos="8296"/>
        </w:tabs>
        <w:ind w:left="840"/>
        <w:rPr>
          <w:rFonts w:asciiTheme="minorHAnsi" w:hAnsiTheme="minorHAnsi" w:eastAsiaTheme="minorEastAsia"/>
        </w:rPr>
      </w:pPr>
      <w:r>
        <w:fldChar w:fldCharType="begin"/>
      </w:r>
      <w:r>
        <w:instrText xml:space="preserve"> HYPERLINK \l "_Toc196728036" </w:instrText>
      </w:r>
      <w:r>
        <w:fldChar w:fldCharType="separate"/>
      </w:r>
      <w:r>
        <w:rPr>
          <w:rStyle w:val="139"/>
          <w:kern w:val="0"/>
          <w14:scene3d w14:prst="orthographicFront">
            <w14:lightRig w14:rig="threePt" w14:dir="t">
              <w14:rot w14:lat="0" w14:lon="0" w14:rev="0"/>
            </w14:lightRig>
          </w14:scene3d>
        </w:rPr>
        <w:t>7.1.3.</w:t>
      </w:r>
      <w:r>
        <w:rPr>
          <w:rStyle w:val="139"/>
        </w:rPr>
        <w:t xml:space="preserve"> 新建静态路由</w:t>
      </w:r>
      <w:r>
        <w:tab/>
      </w:r>
      <w:r>
        <w:fldChar w:fldCharType="begin"/>
      </w:r>
      <w:r>
        <w:instrText xml:space="preserve"> PAGEREF _Toc196728036 \h </w:instrText>
      </w:r>
      <w:r>
        <w:fldChar w:fldCharType="separate"/>
      </w:r>
      <w:r>
        <w:t>156</w:t>
      </w:r>
      <w:r>
        <w:fldChar w:fldCharType="end"/>
      </w:r>
      <w:r>
        <w:fldChar w:fldCharType="end"/>
      </w:r>
    </w:p>
    <w:p w14:paraId="7164510E">
      <w:pPr>
        <w:pStyle w:val="42"/>
        <w:tabs>
          <w:tab w:val="right" w:leader="dot" w:pos="8296"/>
        </w:tabs>
        <w:ind w:left="840"/>
        <w:rPr>
          <w:rFonts w:asciiTheme="minorHAnsi" w:hAnsiTheme="minorHAnsi" w:eastAsiaTheme="minorEastAsia"/>
        </w:rPr>
      </w:pPr>
      <w:r>
        <w:fldChar w:fldCharType="begin"/>
      </w:r>
      <w:r>
        <w:instrText xml:space="preserve"> HYPERLINK \l "_Toc196728037" </w:instrText>
      </w:r>
      <w:r>
        <w:fldChar w:fldCharType="separate"/>
      </w:r>
      <w:r>
        <w:rPr>
          <w:rStyle w:val="139"/>
          <w:kern w:val="0"/>
          <w14:scene3d w14:prst="orthographicFront">
            <w14:lightRig w14:rig="threePt" w14:dir="t">
              <w14:rot w14:lat="0" w14:lon="0" w14:rev="0"/>
            </w14:lightRig>
          </w14:scene3d>
        </w:rPr>
        <w:t>7.1.4.</w:t>
      </w:r>
      <w:r>
        <w:rPr>
          <w:rStyle w:val="139"/>
        </w:rPr>
        <w:t xml:space="preserve"> 启用或禁用静态路由</w:t>
      </w:r>
      <w:r>
        <w:tab/>
      </w:r>
      <w:r>
        <w:fldChar w:fldCharType="begin"/>
      </w:r>
      <w:r>
        <w:instrText xml:space="preserve"> PAGEREF _Toc196728037 \h </w:instrText>
      </w:r>
      <w:r>
        <w:fldChar w:fldCharType="separate"/>
      </w:r>
      <w:r>
        <w:t>158</w:t>
      </w:r>
      <w:r>
        <w:fldChar w:fldCharType="end"/>
      </w:r>
      <w:r>
        <w:fldChar w:fldCharType="end"/>
      </w:r>
    </w:p>
    <w:p w14:paraId="308676DB">
      <w:pPr>
        <w:pStyle w:val="70"/>
        <w:tabs>
          <w:tab w:val="right" w:leader="dot" w:pos="8296"/>
        </w:tabs>
        <w:ind w:left="420"/>
        <w:rPr>
          <w:rFonts w:asciiTheme="minorHAnsi" w:hAnsiTheme="minorHAnsi" w:eastAsiaTheme="minorEastAsia"/>
        </w:rPr>
      </w:pPr>
      <w:r>
        <w:fldChar w:fldCharType="begin"/>
      </w:r>
      <w:r>
        <w:instrText xml:space="preserve"> HYPERLINK \l "_Toc196728038" </w:instrText>
      </w:r>
      <w:r>
        <w:fldChar w:fldCharType="separate"/>
      </w:r>
      <w:r>
        <w:rPr>
          <w:rStyle w:val="139"/>
        </w:rPr>
        <w:t>7.2. RIP</w:t>
      </w:r>
      <w:r>
        <w:tab/>
      </w:r>
      <w:r>
        <w:fldChar w:fldCharType="begin"/>
      </w:r>
      <w:r>
        <w:instrText xml:space="preserve"> PAGEREF _Toc196728038 \h </w:instrText>
      </w:r>
      <w:r>
        <w:fldChar w:fldCharType="separate"/>
      </w:r>
      <w:r>
        <w:t>158</w:t>
      </w:r>
      <w:r>
        <w:fldChar w:fldCharType="end"/>
      </w:r>
      <w:r>
        <w:fldChar w:fldCharType="end"/>
      </w:r>
    </w:p>
    <w:p w14:paraId="318A7146">
      <w:pPr>
        <w:pStyle w:val="42"/>
        <w:tabs>
          <w:tab w:val="right" w:leader="dot" w:pos="8296"/>
        </w:tabs>
        <w:ind w:left="840"/>
        <w:rPr>
          <w:rFonts w:asciiTheme="minorHAnsi" w:hAnsiTheme="minorHAnsi" w:eastAsiaTheme="minorEastAsia"/>
        </w:rPr>
      </w:pPr>
      <w:r>
        <w:fldChar w:fldCharType="begin"/>
      </w:r>
      <w:r>
        <w:instrText xml:space="preserve"> HYPERLINK \l "_Toc196728039" </w:instrText>
      </w:r>
      <w:r>
        <w:fldChar w:fldCharType="separate"/>
      </w:r>
      <w:r>
        <w:rPr>
          <w:rStyle w:val="139"/>
          <w:kern w:val="0"/>
          <w14:scene3d w14:prst="orthographicFront">
            <w14:lightRig w14:rig="threePt" w14:dir="t">
              <w14:rot w14:lat="0" w14:lon="0" w14:rev="0"/>
            </w14:lightRig>
          </w14:scene3d>
        </w:rPr>
        <w:t>7.2.1.</w:t>
      </w:r>
      <w:r>
        <w:rPr>
          <w:rStyle w:val="139"/>
        </w:rPr>
        <w:t xml:space="preserve"> RIP概述</w:t>
      </w:r>
      <w:r>
        <w:tab/>
      </w:r>
      <w:r>
        <w:fldChar w:fldCharType="begin"/>
      </w:r>
      <w:r>
        <w:instrText xml:space="preserve"> PAGEREF _Toc196728039 \h </w:instrText>
      </w:r>
      <w:r>
        <w:fldChar w:fldCharType="separate"/>
      </w:r>
      <w:r>
        <w:t>158</w:t>
      </w:r>
      <w:r>
        <w:fldChar w:fldCharType="end"/>
      </w:r>
      <w:r>
        <w:fldChar w:fldCharType="end"/>
      </w:r>
    </w:p>
    <w:p w14:paraId="2728495F">
      <w:pPr>
        <w:pStyle w:val="42"/>
        <w:tabs>
          <w:tab w:val="right" w:leader="dot" w:pos="8296"/>
        </w:tabs>
        <w:ind w:left="840"/>
        <w:rPr>
          <w:rFonts w:asciiTheme="minorHAnsi" w:hAnsiTheme="minorHAnsi" w:eastAsiaTheme="minorEastAsia"/>
        </w:rPr>
      </w:pPr>
      <w:r>
        <w:fldChar w:fldCharType="begin"/>
      </w:r>
      <w:r>
        <w:instrText xml:space="preserve"> HYPERLINK \l "_Toc196728040" </w:instrText>
      </w:r>
      <w:r>
        <w:fldChar w:fldCharType="separate"/>
      </w:r>
      <w:r>
        <w:rPr>
          <w:rStyle w:val="139"/>
          <w:kern w:val="0"/>
          <w14:scene3d w14:prst="orthographicFront">
            <w14:lightRig w14:rig="threePt" w14:dir="t">
              <w14:rot w14:lat="0" w14:lon="0" w14:rev="0"/>
            </w14:lightRig>
          </w14:scene3d>
        </w:rPr>
        <w:t>7.2.2.</w:t>
      </w:r>
      <w:r>
        <w:rPr>
          <w:rStyle w:val="139"/>
        </w:rPr>
        <w:t xml:space="preserve"> RIP的工作机制</w:t>
      </w:r>
      <w:r>
        <w:tab/>
      </w:r>
      <w:r>
        <w:fldChar w:fldCharType="begin"/>
      </w:r>
      <w:r>
        <w:instrText xml:space="preserve"> PAGEREF _Toc196728040 \h </w:instrText>
      </w:r>
      <w:r>
        <w:fldChar w:fldCharType="separate"/>
      </w:r>
      <w:r>
        <w:t>158</w:t>
      </w:r>
      <w:r>
        <w:fldChar w:fldCharType="end"/>
      </w:r>
      <w:r>
        <w:fldChar w:fldCharType="end"/>
      </w:r>
    </w:p>
    <w:p w14:paraId="4F938B2A">
      <w:pPr>
        <w:pStyle w:val="42"/>
        <w:tabs>
          <w:tab w:val="right" w:leader="dot" w:pos="8296"/>
        </w:tabs>
        <w:ind w:left="840"/>
        <w:rPr>
          <w:rFonts w:asciiTheme="minorHAnsi" w:hAnsiTheme="minorHAnsi" w:eastAsiaTheme="minorEastAsia"/>
        </w:rPr>
      </w:pPr>
      <w:r>
        <w:fldChar w:fldCharType="begin"/>
      </w:r>
      <w:r>
        <w:instrText xml:space="preserve"> HYPERLINK \l "_Toc196728041" </w:instrText>
      </w:r>
      <w:r>
        <w:fldChar w:fldCharType="separate"/>
      </w:r>
      <w:r>
        <w:rPr>
          <w:rStyle w:val="139"/>
          <w:kern w:val="0"/>
          <w14:scene3d w14:prst="orthographicFront">
            <w14:lightRig w14:rig="threePt" w14:dir="t">
              <w14:rot w14:lat="0" w14:lon="0" w14:rev="0"/>
            </w14:lightRig>
          </w14:scene3d>
        </w:rPr>
        <w:t>7.2.3.</w:t>
      </w:r>
      <w:r>
        <w:rPr>
          <w:rStyle w:val="139"/>
        </w:rPr>
        <w:t xml:space="preserve"> RIP的版本</w:t>
      </w:r>
      <w:r>
        <w:tab/>
      </w:r>
      <w:r>
        <w:fldChar w:fldCharType="begin"/>
      </w:r>
      <w:r>
        <w:instrText xml:space="preserve"> PAGEREF _Toc196728041 \h </w:instrText>
      </w:r>
      <w:r>
        <w:fldChar w:fldCharType="separate"/>
      </w:r>
      <w:r>
        <w:t>160</w:t>
      </w:r>
      <w:r>
        <w:fldChar w:fldCharType="end"/>
      </w:r>
      <w:r>
        <w:fldChar w:fldCharType="end"/>
      </w:r>
    </w:p>
    <w:p w14:paraId="6A4EB94D">
      <w:pPr>
        <w:pStyle w:val="42"/>
        <w:tabs>
          <w:tab w:val="right" w:leader="dot" w:pos="8296"/>
        </w:tabs>
        <w:ind w:left="840"/>
        <w:rPr>
          <w:rFonts w:asciiTheme="minorHAnsi" w:hAnsiTheme="minorHAnsi" w:eastAsiaTheme="minorEastAsia"/>
        </w:rPr>
      </w:pPr>
      <w:r>
        <w:fldChar w:fldCharType="begin"/>
      </w:r>
      <w:r>
        <w:instrText xml:space="preserve"> HYPERLINK \l "_Toc196728042" </w:instrText>
      </w:r>
      <w:r>
        <w:fldChar w:fldCharType="separate"/>
      </w:r>
      <w:r>
        <w:rPr>
          <w:rStyle w:val="139"/>
          <w:kern w:val="0"/>
          <w14:scene3d w14:prst="orthographicFront">
            <w14:lightRig w14:rig="threePt" w14:dir="t">
              <w14:rot w14:lat="0" w14:lon="0" w14:rev="0"/>
            </w14:lightRig>
          </w14:scene3d>
        </w:rPr>
        <w:t>7.2.4.</w:t>
      </w:r>
      <w:r>
        <w:rPr>
          <w:rStyle w:val="139"/>
        </w:rPr>
        <w:t xml:space="preserve"> 协议规范</w:t>
      </w:r>
      <w:r>
        <w:tab/>
      </w:r>
      <w:r>
        <w:fldChar w:fldCharType="begin"/>
      </w:r>
      <w:r>
        <w:instrText xml:space="preserve"> PAGEREF _Toc196728042 \h </w:instrText>
      </w:r>
      <w:r>
        <w:fldChar w:fldCharType="separate"/>
      </w:r>
      <w:r>
        <w:t>160</w:t>
      </w:r>
      <w:r>
        <w:fldChar w:fldCharType="end"/>
      </w:r>
      <w:r>
        <w:fldChar w:fldCharType="end"/>
      </w:r>
    </w:p>
    <w:p w14:paraId="6927A027">
      <w:pPr>
        <w:pStyle w:val="42"/>
        <w:tabs>
          <w:tab w:val="right" w:leader="dot" w:pos="8296"/>
        </w:tabs>
        <w:ind w:left="840"/>
        <w:rPr>
          <w:rFonts w:asciiTheme="minorHAnsi" w:hAnsiTheme="minorHAnsi" w:eastAsiaTheme="minorEastAsia"/>
        </w:rPr>
      </w:pPr>
      <w:r>
        <w:fldChar w:fldCharType="begin"/>
      </w:r>
      <w:r>
        <w:instrText xml:space="preserve"> HYPERLINK \l "_Toc196728043" </w:instrText>
      </w:r>
      <w:r>
        <w:fldChar w:fldCharType="separate"/>
      </w:r>
      <w:r>
        <w:rPr>
          <w:rStyle w:val="139"/>
          <w:kern w:val="0"/>
          <w14:scene3d w14:prst="orthographicFront">
            <w14:lightRig w14:rig="threePt" w14:dir="t">
              <w14:rot w14:lat="0" w14:lon="0" w14:rev="0"/>
            </w14:lightRig>
          </w14:scene3d>
        </w:rPr>
        <w:t>7.2.5.</w:t>
      </w:r>
      <w:r>
        <w:rPr>
          <w:rStyle w:val="139"/>
        </w:rPr>
        <w:t xml:space="preserve"> 全局设定</w:t>
      </w:r>
      <w:r>
        <w:tab/>
      </w:r>
      <w:r>
        <w:fldChar w:fldCharType="begin"/>
      </w:r>
      <w:r>
        <w:instrText xml:space="preserve"> PAGEREF _Toc196728043 \h </w:instrText>
      </w:r>
      <w:r>
        <w:fldChar w:fldCharType="separate"/>
      </w:r>
      <w:r>
        <w:t>161</w:t>
      </w:r>
      <w:r>
        <w:fldChar w:fldCharType="end"/>
      </w:r>
      <w:r>
        <w:fldChar w:fldCharType="end"/>
      </w:r>
    </w:p>
    <w:p w14:paraId="3037E890">
      <w:pPr>
        <w:pStyle w:val="42"/>
        <w:tabs>
          <w:tab w:val="right" w:leader="dot" w:pos="8296"/>
        </w:tabs>
        <w:ind w:left="840"/>
        <w:rPr>
          <w:rFonts w:asciiTheme="minorHAnsi" w:hAnsiTheme="minorHAnsi" w:eastAsiaTheme="minorEastAsia"/>
        </w:rPr>
      </w:pPr>
      <w:r>
        <w:fldChar w:fldCharType="begin"/>
      </w:r>
      <w:r>
        <w:instrText xml:space="preserve"> HYPERLINK \l "_Toc196728044" </w:instrText>
      </w:r>
      <w:r>
        <w:fldChar w:fldCharType="separate"/>
      </w:r>
      <w:r>
        <w:rPr>
          <w:rStyle w:val="139"/>
          <w:kern w:val="0"/>
          <w14:scene3d w14:prst="orthographicFront">
            <w14:lightRig w14:rig="threePt" w14:dir="t">
              <w14:rot w14:lat="0" w14:lon="0" w14:rev="0"/>
            </w14:lightRig>
          </w14:scene3d>
        </w:rPr>
        <w:t>7.2.6.</w:t>
      </w:r>
      <w:r>
        <w:rPr>
          <w:rStyle w:val="139"/>
        </w:rPr>
        <w:t xml:space="preserve"> RIP网络配置</w:t>
      </w:r>
      <w:r>
        <w:tab/>
      </w:r>
      <w:r>
        <w:fldChar w:fldCharType="begin"/>
      </w:r>
      <w:r>
        <w:instrText xml:space="preserve"> PAGEREF _Toc196728044 \h </w:instrText>
      </w:r>
      <w:r>
        <w:fldChar w:fldCharType="separate"/>
      </w:r>
      <w:r>
        <w:t>162</w:t>
      </w:r>
      <w:r>
        <w:fldChar w:fldCharType="end"/>
      </w:r>
      <w:r>
        <w:fldChar w:fldCharType="end"/>
      </w:r>
    </w:p>
    <w:p w14:paraId="6BE1A178">
      <w:pPr>
        <w:pStyle w:val="42"/>
        <w:tabs>
          <w:tab w:val="right" w:leader="dot" w:pos="8296"/>
        </w:tabs>
        <w:ind w:left="840"/>
        <w:rPr>
          <w:rFonts w:asciiTheme="minorHAnsi" w:hAnsiTheme="minorHAnsi" w:eastAsiaTheme="minorEastAsia"/>
        </w:rPr>
      </w:pPr>
      <w:r>
        <w:fldChar w:fldCharType="begin"/>
      </w:r>
      <w:r>
        <w:instrText xml:space="preserve"> HYPERLINK \l "_Toc196728045" </w:instrText>
      </w:r>
      <w:r>
        <w:fldChar w:fldCharType="separate"/>
      </w:r>
      <w:r>
        <w:rPr>
          <w:rStyle w:val="139"/>
          <w:kern w:val="0"/>
          <w14:scene3d w14:prst="orthographicFront">
            <w14:lightRig w14:rig="threePt" w14:dir="t">
              <w14:rot w14:lat="0" w14:lon="0" w14:rev="0"/>
            </w14:lightRig>
          </w14:scene3d>
        </w:rPr>
        <w:t>7.2.7.</w:t>
      </w:r>
      <w:r>
        <w:rPr>
          <w:rStyle w:val="139"/>
        </w:rPr>
        <w:t xml:space="preserve"> RIPKeychain配置</w:t>
      </w:r>
      <w:r>
        <w:tab/>
      </w:r>
      <w:r>
        <w:fldChar w:fldCharType="begin"/>
      </w:r>
      <w:r>
        <w:instrText xml:space="preserve"> PAGEREF _Toc196728045 \h </w:instrText>
      </w:r>
      <w:r>
        <w:fldChar w:fldCharType="separate"/>
      </w:r>
      <w:r>
        <w:t>163</w:t>
      </w:r>
      <w:r>
        <w:fldChar w:fldCharType="end"/>
      </w:r>
      <w:r>
        <w:fldChar w:fldCharType="end"/>
      </w:r>
    </w:p>
    <w:p w14:paraId="49FC6B89">
      <w:pPr>
        <w:pStyle w:val="42"/>
        <w:tabs>
          <w:tab w:val="right" w:leader="dot" w:pos="8296"/>
        </w:tabs>
        <w:ind w:left="840"/>
        <w:rPr>
          <w:rFonts w:asciiTheme="minorHAnsi" w:hAnsiTheme="minorHAnsi" w:eastAsiaTheme="minorEastAsia"/>
        </w:rPr>
      </w:pPr>
      <w:r>
        <w:fldChar w:fldCharType="begin"/>
      </w:r>
      <w:r>
        <w:instrText xml:space="preserve"> HYPERLINK \l "_Toc196728046" </w:instrText>
      </w:r>
      <w:r>
        <w:fldChar w:fldCharType="separate"/>
      </w:r>
      <w:r>
        <w:rPr>
          <w:rStyle w:val="139"/>
          <w:kern w:val="0"/>
          <w14:scene3d w14:prst="orthographicFront">
            <w14:lightRig w14:rig="threePt" w14:dir="t">
              <w14:rot w14:lat="0" w14:lon="0" w14:rev="0"/>
            </w14:lightRig>
          </w14:scene3d>
        </w:rPr>
        <w:t>7.2.8.</w:t>
      </w:r>
      <w:r>
        <w:rPr>
          <w:rStyle w:val="139"/>
        </w:rPr>
        <w:t xml:space="preserve"> RIP接口配置</w:t>
      </w:r>
      <w:r>
        <w:tab/>
      </w:r>
      <w:r>
        <w:fldChar w:fldCharType="begin"/>
      </w:r>
      <w:r>
        <w:instrText xml:space="preserve"> PAGEREF _Toc196728046 \h </w:instrText>
      </w:r>
      <w:r>
        <w:fldChar w:fldCharType="separate"/>
      </w:r>
      <w:r>
        <w:t>163</w:t>
      </w:r>
      <w:r>
        <w:fldChar w:fldCharType="end"/>
      </w:r>
      <w:r>
        <w:fldChar w:fldCharType="end"/>
      </w:r>
    </w:p>
    <w:p w14:paraId="73B632D2">
      <w:pPr>
        <w:pStyle w:val="42"/>
        <w:tabs>
          <w:tab w:val="right" w:leader="dot" w:pos="8296"/>
        </w:tabs>
        <w:ind w:left="840"/>
        <w:rPr>
          <w:rFonts w:asciiTheme="minorHAnsi" w:hAnsiTheme="minorHAnsi" w:eastAsiaTheme="minorEastAsia"/>
        </w:rPr>
      </w:pPr>
      <w:r>
        <w:fldChar w:fldCharType="begin"/>
      </w:r>
      <w:r>
        <w:instrText xml:space="preserve"> HYPERLINK \l "_Toc196728047" </w:instrText>
      </w:r>
      <w:r>
        <w:fldChar w:fldCharType="separate"/>
      </w:r>
      <w:r>
        <w:rPr>
          <w:rStyle w:val="139"/>
          <w:kern w:val="0"/>
          <w14:scene3d w14:prst="orthographicFront">
            <w14:lightRig w14:rig="threePt" w14:dir="t">
              <w14:rot w14:lat="0" w14:lon="0" w14:rev="0"/>
            </w14:lightRig>
          </w14:scene3d>
        </w:rPr>
        <w:t>7.2.9.</w:t>
      </w:r>
      <w:r>
        <w:rPr>
          <w:rStyle w:val="139"/>
        </w:rPr>
        <w:t xml:space="preserve"> RIP配置举例</w:t>
      </w:r>
      <w:r>
        <w:tab/>
      </w:r>
      <w:r>
        <w:fldChar w:fldCharType="begin"/>
      </w:r>
      <w:r>
        <w:instrText xml:space="preserve"> PAGEREF _Toc196728047 \h </w:instrText>
      </w:r>
      <w:r>
        <w:fldChar w:fldCharType="separate"/>
      </w:r>
      <w:r>
        <w:t>165</w:t>
      </w:r>
      <w:r>
        <w:fldChar w:fldCharType="end"/>
      </w:r>
      <w:r>
        <w:fldChar w:fldCharType="end"/>
      </w:r>
    </w:p>
    <w:p w14:paraId="2FC88A24">
      <w:pPr>
        <w:pStyle w:val="70"/>
        <w:tabs>
          <w:tab w:val="right" w:leader="dot" w:pos="8296"/>
        </w:tabs>
        <w:ind w:left="420"/>
        <w:rPr>
          <w:rFonts w:asciiTheme="minorHAnsi" w:hAnsiTheme="minorHAnsi" w:eastAsiaTheme="minorEastAsia"/>
        </w:rPr>
      </w:pPr>
      <w:r>
        <w:fldChar w:fldCharType="begin"/>
      </w:r>
      <w:r>
        <w:instrText xml:space="preserve"> HYPERLINK \l "_Toc196728048" </w:instrText>
      </w:r>
      <w:r>
        <w:fldChar w:fldCharType="separate"/>
      </w:r>
      <w:r>
        <w:rPr>
          <w:rStyle w:val="139"/>
        </w:rPr>
        <w:t>7.3. OSPF</w:t>
      </w:r>
      <w:r>
        <w:tab/>
      </w:r>
      <w:r>
        <w:fldChar w:fldCharType="begin"/>
      </w:r>
      <w:r>
        <w:instrText xml:space="preserve"> PAGEREF _Toc196728048 \h </w:instrText>
      </w:r>
      <w:r>
        <w:fldChar w:fldCharType="separate"/>
      </w:r>
      <w:r>
        <w:t>168</w:t>
      </w:r>
      <w:r>
        <w:fldChar w:fldCharType="end"/>
      </w:r>
      <w:r>
        <w:fldChar w:fldCharType="end"/>
      </w:r>
    </w:p>
    <w:p w14:paraId="3B6857A0">
      <w:pPr>
        <w:pStyle w:val="42"/>
        <w:tabs>
          <w:tab w:val="right" w:leader="dot" w:pos="8296"/>
        </w:tabs>
        <w:ind w:left="840"/>
        <w:rPr>
          <w:rFonts w:asciiTheme="minorHAnsi" w:hAnsiTheme="minorHAnsi" w:eastAsiaTheme="minorEastAsia"/>
        </w:rPr>
      </w:pPr>
      <w:r>
        <w:fldChar w:fldCharType="begin"/>
      </w:r>
      <w:r>
        <w:instrText xml:space="preserve"> HYPERLINK \l "_Toc196728049" </w:instrText>
      </w:r>
      <w:r>
        <w:fldChar w:fldCharType="separate"/>
      </w:r>
      <w:r>
        <w:rPr>
          <w:rStyle w:val="139"/>
          <w:kern w:val="0"/>
          <w14:scene3d w14:prst="orthographicFront">
            <w14:lightRig w14:rig="threePt" w14:dir="t">
              <w14:rot w14:lat="0" w14:lon="0" w14:rev="0"/>
            </w14:lightRig>
          </w14:scene3d>
        </w:rPr>
        <w:t>7.3.1.</w:t>
      </w:r>
      <w:r>
        <w:rPr>
          <w:rStyle w:val="139"/>
        </w:rPr>
        <w:t xml:space="preserve"> OSPF简介</w:t>
      </w:r>
      <w:r>
        <w:tab/>
      </w:r>
      <w:r>
        <w:fldChar w:fldCharType="begin"/>
      </w:r>
      <w:r>
        <w:instrText xml:space="preserve"> PAGEREF _Toc196728049 \h </w:instrText>
      </w:r>
      <w:r>
        <w:fldChar w:fldCharType="separate"/>
      </w:r>
      <w:r>
        <w:t>168</w:t>
      </w:r>
      <w:r>
        <w:fldChar w:fldCharType="end"/>
      </w:r>
      <w:r>
        <w:fldChar w:fldCharType="end"/>
      </w:r>
    </w:p>
    <w:p w14:paraId="2CF67915">
      <w:pPr>
        <w:pStyle w:val="42"/>
        <w:tabs>
          <w:tab w:val="right" w:leader="dot" w:pos="8296"/>
        </w:tabs>
        <w:ind w:left="840"/>
        <w:rPr>
          <w:rFonts w:asciiTheme="minorHAnsi" w:hAnsiTheme="minorHAnsi" w:eastAsiaTheme="minorEastAsia"/>
        </w:rPr>
      </w:pPr>
      <w:r>
        <w:fldChar w:fldCharType="begin"/>
      </w:r>
      <w:r>
        <w:instrText xml:space="preserve"> HYPERLINK \l "_Toc196728050" </w:instrText>
      </w:r>
      <w:r>
        <w:fldChar w:fldCharType="separate"/>
      </w:r>
      <w:r>
        <w:rPr>
          <w:rStyle w:val="139"/>
          <w:kern w:val="0"/>
          <w14:scene3d w14:prst="orthographicFront">
            <w14:lightRig w14:rig="threePt" w14:dir="t">
              <w14:rot w14:lat="0" w14:lon="0" w14:rev="0"/>
            </w14:lightRig>
          </w14:scene3d>
        </w:rPr>
        <w:t>7.3.2.</w:t>
      </w:r>
      <w:r>
        <w:rPr>
          <w:rStyle w:val="139"/>
        </w:rPr>
        <w:t xml:space="preserve"> OSPF的特点</w:t>
      </w:r>
      <w:r>
        <w:tab/>
      </w:r>
      <w:r>
        <w:fldChar w:fldCharType="begin"/>
      </w:r>
      <w:r>
        <w:instrText xml:space="preserve"> PAGEREF _Toc196728050 \h </w:instrText>
      </w:r>
      <w:r>
        <w:fldChar w:fldCharType="separate"/>
      </w:r>
      <w:r>
        <w:t>168</w:t>
      </w:r>
      <w:r>
        <w:fldChar w:fldCharType="end"/>
      </w:r>
      <w:r>
        <w:fldChar w:fldCharType="end"/>
      </w:r>
    </w:p>
    <w:p w14:paraId="068FD9F2">
      <w:pPr>
        <w:pStyle w:val="42"/>
        <w:tabs>
          <w:tab w:val="right" w:leader="dot" w:pos="8296"/>
        </w:tabs>
        <w:ind w:left="840"/>
        <w:rPr>
          <w:rFonts w:asciiTheme="minorHAnsi" w:hAnsiTheme="minorHAnsi" w:eastAsiaTheme="minorEastAsia"/>
        </w:rPr>
      </w:pPr>
      <w:r>
        <w:fldChar w:fldCharType="begin"/>
      </w:r>
      <w:r>
        <w:instrText xml:space="preserve"> HYPERLINK \l "_Toc196728051" </w:instrText>
      </w:r>
      <w:r>
        <w:fldChar w:fldCharType="separate"/>
      </w:r>
      <w:r>
        <w:rPr>
          <w:rStyle w:val="139"/>
          <w:kern w:val="0"/>
          <w14:scene3d w14:prst="orthographicFront">
            <w14:lightRig w14:rig="threePt" w14:dir="t">
              <w14:rot w14:lat="0" w14:lon="0" w14:rev="0"/>
            </w14:lightRig>
          </w14:scene3d>
        </w:rPr>
        <w:t>7.3.3.</w:t>
      </w:r>
      <w:r>
        <w:rPr>
          <w:rStyle w:val="139"/>
        </w:rPr>
        <w:t xml:space="preserve"> OSPF配置</w:t>
      </w:r>
      <w:r>
        <w:tab/>
      </w:r>
      <w:r>
        <w:fldChar w:fldCharType="begin"/>
      </w:r>
      <w:r>
        <w:instrText xml:space="preserve"> PAGEREF _Toc196728051 \h </w:instrText>
      </w:r>
      <w:r>
        <w:fldChar w:fldCharType="separate"/>
      </w:r>
      <w:r>
        <w:t>172</w:t>
      </w:r>
      <w:r>
        <w:fldChar w:fldCharType="end"/>
      </w:r>
      <w:r>
        <w:fldChar w:fldCharType="end"/>
      </w:r>
    </w:p>
    <w:p w14:paraId="57A8DF0C">
      <w:pPr>
        <w:pStyle w:val="42"/>
        <w:tabs>
          <w:tab w:val="right" w:leader="dot" w:pos="8296"/>
        </w:tabs>
        <w:ind w:left="840"/>
        <w:rPr>
          <w:rFonts w:asciiTheme="minorHAnsi" w:hAnsiTheme="minorHAnsi" w:eastAsiaTheme="minorEastAsia"/>
        </w:rPr>
      </w:pPr>
      <w:r>
        <w:fldChar w:fldCharType="begin"/>
      </w:r>
      <w:r>
        <w:instrText xml:space="preserve"> HYPERLINK \l "_Toc196728052" </w:instrText>
      </w:r>
      <w:r>
        <w:fldChar w:fldCharType="separate"/>
      </w:r>
      <w:r>
        <w:rPr>
          <w:rStyle w:val="139"/>
          <w:kern w:val="0"/>
          <w14:scene3d w14:prst="orthographicFront">
            <w14:lightRig w14:rig="threePt" w14:dir="t">
              <w14:rot w14:lat="0" w14:lon="0" w14:rev="0"/>
            </w14:lightRig>
          </w14:scene3d>
        </w:rPr>
        <w:t>7.3.4.</w:t>
      </w:r>
      <w:r>
        <w:rPr>
          <w:rStyle w:val="139"/>
        </w:rPr>
        <w:t xml:space="preserve"> OSPF网络配置</w:t>
      </w:r>
      <w:r>
        <w:tab/>
      </w:r>
      <w:r>
        <w:fldChar w:fldCharType="begin"/>
      </w:r>
      <w:r>
        <w:instrText xml:space="preserve"> PAGEREF _Toc196728052 \h </w:instrText>
      </w:r>
      <w:r>
        <w:fldChar w:fldCharType="separate"/>
      </w:r>
      <w:r>
        <w:t>174</w:t>
      </w:r>
      <w:r>
        <w:fldChar w:fldCharType="end"/>
      </w:r>
      <w:r>
        <w:fldChar w:fldCharType="end"/>
      </w:r>
    </w:p>
    <w:p w14:paraId="0481A9CD">
      <w:pPr>
        <w:pStyle w:val="42"/>
        <w:tabs>
          <w:tab w:val="right" w:leader="dot" w:pos="8296"/>
        </w:tabs>
        <w:ind w:left="840"/>
        <w:rPr>
          <w:rFonts w:asciiTheme="minorHAnsi" w:hAnsiTheme="minorHAnsi" w:eastAsiaTheme="minorEastAsia"/>
        </w:rPr>
      </w:pPr>
      <w:r>
        <w:fldChar w:fldCharType="begin"/>
      </w:r>
      <w:r>
        <w:instrText xml:space="preserve"> HYPERLINK \l "_Toc196728053" </w:instrText>
      </w:r>
      <w:r>
        <w:fldChar w:fldCharType="separate"/>
      </w:r>
      <w:r>
        <w:rPr>
          <w:rStyle w:val="139"/>
          <w:kern w:val="0"/>
          <w14:scene3d w14:prst="orthographicFront">
            <w14:lightRig w14:rig="threePt" w14:dir="t">
              <w14:rot w14:lat="0" w14:lon="0" w14:rev="0"/>
            </w14:lightRig>
          </w14:scene3d>
        </w:rPr>
        <w:t>7.3.5.</w:t>
      </w:r>
      <w:r>
        <w:rPr>
          <w:rStyle w:val="139"/>
        </w:rPr>
        <w:t xml:space="preserve"> 区域配置</w:t>
      </w:r>
      <w:r>
        <w:tab/>
      </w:r>
      <w:r>
        <w:fldChar w:fldCharType="begin"/>
      </w:r>
      <w:r>
        <w:instrText xml:space="preserve"> PAGEREF _Toc196728053 \h </w:instrText>
      </w:r>
      <w:r>
        <w:fldChar w:fldCharType="separate"/>
      </w:r>
      <w:r>
        <w:t>175</w:t>
      </w:r>
      <w:r>
        <w:fldChar w:fldCharType="end"/>
      </w:r>
      <w:r>
        <w:fldChar w:fldCharType="end"/>
      </w:r>
    </w:p>
    <w:p w14:paraId="7D5BDA29">
      <w:pPr>
        <w:pStyle w:val="42"/>
        <w:tabs>
          <w:tab w:val="right" w:leader="dot" w:pos="8296"/>
        </w:tabs>
        <w:ind w:left="840"/>
        <w:rPr>
          <w:rFonts w:asciiTheme="minorHAnsi" w:hAnsiTheme="minorHAnsi" w:eastAsiaTheme="minorEastAsia"/>
        </w:rPr>
      </w:pPr>
      <w:r>
        <w:fldChar w:fldCharType="begin"/>
      </w:r>
      <w:r>
        <w:instrText xml:space="preserve"> HYPERLINK \l "_Toc196728054" </w:instrText>
      </w:r>
      <w:r>
        <w:fldChar w:fldCharType="separate"/>
      </w:r>
      <w:r>
        <w:rPr>
          <w:rStyle w:val="139"/>
          <w:kern w:val="0"/>
          <w14:scene3d w14:prst="orthographicFront">
            <w14:lightRig w14:rig="threePt" w14:dir="t">
              <w14:rot w14:lat="0" w14:lon="0" w14:rev="0"/>
            </w14:lightRig>
          </w14:scene3d>
        </w:rPr>
        <w:t>7.3.6.</w:t>
      </w:r>
      <w:r>
        <w:rPr>
          <w:rStyle w:val="139"/>
        </w:rPr>
        <w:t xml:space="preserve"> OSPF接口配置</w:t>
      </w:r>
      <w:r>
        <w:tab/>
      </w:r>
      <w:r>
        <w:fldChar w:fldCharType="begin"/>
      </w:r>
      <w:r>
        <w:instrText xml:space="preserve"> PAGEREF _Toc196728054 \h </w:instrText>
      </w:r>
      <w:r>
        <w:fldChar w:fldCharType="separate"/>
      </w:r>
      <w:r>
        <w:t>175</w:t>
      </w:r>
      <w:r>
        <w:fldChar w:fldCharType="end"/>
      </w:r>
      <w:r>
        <w:fldChar w:fldCharType="end"/>
      </w:r>
    </w:p>
    <w:p w14:paraId="47CD5C0B">
      <w:pPr>
        <w:pStyle w:val="42"/>
        <w:tabs>
          <w:tab w:val="right" w:leader="dot" w:pos="8296"/>
        </w:tabs>
        <w:ind w:left="840"/>
        <w:rPr>
          <w:rFonts w:asciiTheme="minorHAnsi" w:hAnsiTheme="minorHAnsi" w:eastAsiaTheme="minorEastAsia"/>
        </w:rPr>
      </w:pPr>
      <w:r>
        <w:fldChar w:fldCharType="begin"/>
      </w:r>
      <w:r>
        <w:instrText xml:space="preserve"> HYPERLINK \l "_Toc196728055" </w:instrText>
      </w:r>
      <w:r>
        <w:fldChar w:fldCharType="separate"/>
      </w:r>
      <w:r>
        <w:rPr>
          <w:rStyle w:val="139"/>
          <w:kern w:val="0"/>
          <w14:scene3d w14:prst="orthographicFront">
            <w14:lightRig w14:rig="threePt" w14:dir="t">
              <w14:rot w14:lat="0" w14:lon="0" w14:rev="0"/>
            </w14:lightRig>
          </w14:scene3d>
        </w:rPr>
        <w:t>7.3.7.</w:t>
      </w:r>
      <w:r>
        <w:rPr>
          <w:rStyle w:val="139"/>
        </w:rPr>
        <w:t xml:space="preserve"> OSPF配置举例</w:t>
      </w:r>
      <w:r>
        <w:tab/>
      </w:r>
      <w:r>
        <w:fldChar w:fldCharType="begin"/>
      </w:r>
      <w:r>
        <w:instrText xml:space="preserve"> PAGEREF _Toc196728055 \h </w:instrText>
      </w:r>
      <w:r>
        <w:fldChar w:fldCharType="separate"/>
      </w:r>
      <w:r>
        <w:t>177</w:t>
      </w:r>
      <w:r>
        <w:fldChar w:fldCharType="end"/>
      </w:r>
      <w:r>
        <w:fldChar w:fldCharType="end"/>
      </w:r>
    </w:p>
    <w:p w14:paraId="2C50E34B">
      <w:pPr>
        <w:pStyle w:val="70"/>
        <w:tabs>
          <w:tab w:val="right" w:leader="dot" w:pos="8296"/>
        </w:tabs>
        <w:ind w:left="420"/>
        <w:rPr>
          <w:rFonts w:asciiTheme="minorHAnsi" w:hAnsiTheme="minorHAnsi" w:eastAsiaTheme="minorEastAsia"/>
        </w:rPr>
      </w:pPr>
      <w:r>
        <w:fldChar w:fldCharType="begin"/>
      </w:r>
      <w:r>
        <w:instrText xml:space="preserve"> HYPERLINK \l "_Toc196728056" </w:instrText>
      </w:r>
      <w:r>
        <w:fldChar w:fldCharType="separate"/>
      </w:r>
      <w:r>
        <w:rPr>
          <w:rStyle w:val="139"/>
        </w:rPr>
        <w:t>7.4. OSPF6</w:t>
      </w:r>
      <w:r>
        <w:tab/>
      </w:r>
      <w:r>
        <w:fldChar w:fldCharType="begin"/>
      </w:r>
      <w:r>
        <w:instrText xml:space="preserve"> PAGEREF _Toc196728056 \h </w:instrText>
      </w:r>
      <w:r>
        <w:fldChar w:fldCharType="separate"/>
      </w:r>
      <w:r>
        <w:t>180</w:t>
      </w:r>
      <w:r>
        <w:fldChar w:fldCharType="end"/>
      </w:r>
      <w:r>
        <w:fldChar w:fldCharType="end"/>
      </w:r>
    </w:p>
    <w:p w14:paraId="362C9128">
      <w:pPr>
        <w:pStyle w:val="42"/>
        <w:tabs>
          <w:tab w:val="right" w:leader="dot" w:pos="8296"/>
        </w:tabs>
        <w:ind w:left="840"/>
        <w:rPr>
          <w:rFonts w:asciiTheme="minorHAnsi" w:hAnsiTheme="minorHAnsi" w:eastAsiaTheme="minorEastAsia"/>
        </w:rPr>
      </w:pPr>
      <w:r>
        <w:fldChar w:fldCharType="begin"/>
      </w:r>
      <w:r>
        <w:instrText xml:space="preserve"> HYPERLINK \l "_Toc196728057" </w:instrText>
      </w:r>
      <w:r>
        <w:fldChar w:fldCharType="separate"/>
      </w:r>
      <w:r>
        <w:rPr>
          <w:rStyle w:val="139"/>
          <w:kern w:val="0"/>
          <w14:scene3d w14:prst="orthographicFront">
            <w14:lightRig w14:rig="threePt" w14:dir="t">
              <w14:rot w14:lat="0" w14:lon="0" w14:rev="0"/>
            </w14:lightRig>
          </w14:scene3d>
        </w:rPr>
        <w:t>7.4.1.</w:t>
      </w:r>
      <w:r>
        <w:rPr>
          <w:rStyle w:val="139"/>
        </w:rPr>
        <w:t xml:space="preserve"> 简介</w:t>
      </w:r>
      <w:r>
        <w:tab/>
      </w:r>
      <w:r>
        <w:fldChar w:fldCharType="begin"/>
      </w:r>
      <w:r>
        <w:instrText xml:space="preserve"> PAGEREF _Toc196728057 \h </w:instrText>
      </w:r>
      <w:r>
        <w:fldChar w:fldCharType="separate"/>
      </w:r>
      <w:r>
        <w:t>180</w:t>
      </w:r>
      <w:r>
        <w:fldChar w:fldCharType="end"/>
      </w:r>
      <w:r>
        <w:fldChar w:fldCharType="end"/>
      </w:r>
    </w:p>
    <w:p w14:paraId="66C98E5C">
      <w:pPr>
        <w:pStyle w:val="42"/>
        <w:tabs>
          <w:tab w:val="right" w:leader="dot" w:pos="8296"/>
        </w:tabs>
        <w:ind w:left="840"/>
        <w:rPr>
          <w:rFonts w:asciiTheme="minorHAnsi" w:hAnsiTheme="minorHAnsi" w:eastAsiaTheme="minorEastAsia"/>
        </w:rPr>
      </w:pPr>
      <w:r>
        <w:fldChar w:fldCharType="begin"/>
      </w:r>
      <w:r>
        <w:instrText xml:space="preserve"> HYPERLINK \l "_Toc196728058" </w:instrText>
      </w:r>
      <w:r>
        <w:fldChar w:fldCharType="separate"/>
      </w:r>
      <w:r>
        <w:rPr>
          <w:rStyle w:val="139"/>
          <w:kern w:val="0"/>
          <w14:scene3d w14:prst="orthographicFront">
            <w14:lightRig w14:rig="threePt" w14:dir="t">
              <w14:rot w14:lat="0" w14:lon="0" w14:rev="0"/>
            </w14:lightRig>
          </w14:scene3d>
        </w:rPr>
        <w:t>7.4.2.</w:t>
      </w:r>
      <w:r>
        <w:rPr>
          <w:rStyle w:val="139"/>
        </w:rPr>
        <w:t xml:space="preserve"> OSPFv6的特点</w:t>
      </w:r>
      <w:r>
        <w:tab/>
      </w:r>
      <w:r>
        <w:fldChar w:fldCharType="begin"/>
      </w:r>
      <w:r>
        <w:instrText xml:space="preserve"> PAGEREF _Toc196728058 \h </w:instrText>
      </w:r>
      <w:r>
        <w:fldChar w:fldCharType="separate"/>
      </w:r>
      <w:r>
        <w:t>180</w:t>
      </w:r>
      <w:r>
        <w:fldChar w:fldCharType="end"/>
      </w:r>
      <w:r>
        <w:fldChar w:fldCharType="end"/>
      </w:r>
    </w:p>
    <w:p w14:paraId="5D674FAA">
      <w:pPr>
        <w:pStyle w:val="42"/>
        <w:tabs>
          <w:tab w:val="right" w:leader="dot" w:pos="8296"/>
        </w:tabs>
        <w:ind w:left="840"/>
        <w:rPr>
          <w:rFonts w:asciiTheme="minorHAnsi" w:hAnsiTheme="minorHAnsi" w:eastAsiaTheme="minorEastAsia"/>
        </w:rPr>
      </w:pPr>
      <w:r>
        <w:fldChar w:fldCharType="begin"/>
      </w:r>
      <w:r>
        <w:instrText xml:space="preserve"> HYPERLINK \l "_Toc196728059" </w:instrText>
      </w:r>
      <w:r>
        <w:fldChar w:fldCharType="separate"/>
      </w:r>
      <w:r>
        <w:rPr>
          <w:rStyle w:val="139"/>
          <w:kern w:val="0"/>
          <w14:scene3d w14:prst="orthographicFront">
            <w14:lightRig w14:rig="threePt" w14:dir="t">
              <w14:rot w14:lat="0" w14:lon="0" w14:rev="0"/>
            </w14:lightRig>
          </w14:scene3d>
        </w:rPr>
        <w:t>7.4.3.</w:t>
      </w:r>
      <w:r>
        <w:rPr>
          <w:rStyle w:val="139"/>
        </w:rPr>
        <w:t xml:space="preserve"> OSPFv6配置</w:t>
      </w:r>
      <w:r>
        <w:tab/>
      </w:r>
      <w:r>
        <w:fldChar w:fldCharType="begin"/>
      </w:r>
      <w:r>
        <w:instrText xml:space="preserve"> PAGEREF _Toc196728059 \h </w:instrText>
      </w:r>
      <w:r>
        <w:fldChar w:fldCharType="separate"/>
      </w:r>
      <w:r>
        <w:t>182</w:t>
      </w:r>
      <w:r>
        <w:fldChar w:fldCharType="end"/>
      </w:r>
      <w:r>
        <w:fldChar w:fldCharType="end"/>
      </w:r>
    </w:p>
    <w:p w14:paraId="5F680A57">
      <w:pPr>
        <w:pStyle w:val="42"/>
        <w:tabs>
          <w:tab w:val="right" w:leader="dot" w:pos="8296"/>
        </w:tabs>
        <w:ind w:left="840"/>
        <w:rPr>
          <w:rFonts w:asciiTheme="minorHAnsi" w:hAnsiTheme="minorHAnsi" w:eastAsiaTheme="minorEastAsia"/>
        </w:rPr>
      </w:pPr>
      <w:r>
        <w:fldChar w:fldCharType="begin"/>
      </w:r>
      <w:r>
        <w:instrText xml:space="preserve"> HYPERLINK \l "_Toc196728060" </w:instrText>
      </w:r>
      <w:r>
        <w:fldChar w:fldCharType="separate"/>
      </w:r>
      <w:r>
        <w:rPr>
          <w:rStyle w:val="139"/>
          <w:kern w:val="0"/>
          <w14:scene3d w14:prst="orthographicFront">
            <w14:lightRig w14:rig="threePt" w14:dir="t">
              <w14:rot w14:lat="0" w14:lon="0" w14:rev="0"/>
            </w14:lightRig>
          </w14:scene3d>
        </w:rPr>
        <w:t>7.4.4.</w:t>
      </w:r>
      <w:r>
        <w:rPr>
          <w:rStyle w:val="139"/>
        </w:rPr>
        <w:t xml:space="preserve"> OSPFv6接口配置</w:t>
      </w:r>
      <w:r>
        <w:tab/>
      </w:r>
      <w:r>
        <w:fldChar w:fldCharType="begin"/>
      </w:r>
      <w:r>
        <w:instrText xml:space="preserve"> PAGEREF _Toc196728060 \h </w:instrText>
      </w:r>
      <w:r>
        <w:fldChar w:fldCharType="separate"/>
      </w:r>
      <w:r>
        <w:t>183</w:t>
      </w:r>
      <w:r>
        <w:fldChar w:fldCharType="end"/>
      </w:r>
      <w:r>
        <w:fldChar w:fldCharType="end"/>
      </w:r>
    </w:p>
    <w:p w14:paraId="3561A6CA">
      <w:pPr>
        <w:pStyle w:val="42"/>
        <w:tabs>
          <w:tab w:val="right" w:leader="dot" w:pos="8296"/>
        </w:tabs>
        <w:ind w:left="840"/>
        <w:rPr>
          <w:rFonts w:asciiTheme="minorHAnsi" w:hAnsiTheme="minorHAnsi" w:eastAsiaTheme="minorEastAsia"/>
        </w:rPr>
      </w:pPr>
      <w:r>
        <w:fldChar w:fldCharType="begin"/>
      </w:r>
      <w:r>
        <w:instrText xml:space="preserve"> HYPERLINK \l "_Toc196728061" </w:instrText>
      </w:r>
      <w:r>
        <w:fldChar w:fldCharType="separate"/>
      </w:r>
      <w:r>
        <w:rPr>
          <w:rStyle w:val="139"/>
          <w:kern w:val="0"/>
          <w14:scene3d w14:prst="orthographicFront">
            <w14:lightRig w14:rig="threePt" w14:dir="t">
              <w14:rot w14:lat="0" w14:lon="0" w14:rev="0"/>
            </w14:lightRig>
          </w14:scene3d>
        </w:rPr>
        <w:t>7.4.5.</w:t>
      </w:r>
      <w:r>
        <w:rPr>
          <w:rStyle w:val="139"/>
        </w:rPr>
        <w:t xml:space="preserve"> OSPFv6配置举例</w:t>
      </w:r>
      <w:r>
        <w:tab/>
      </w:r>
      <w:r>
        <w:fldChar w:fldCharType="begin"/>
      </w:r>
      <w:r>
        <w:instrText xml:space="preserve"> PAGEREF _Toc196728061 \h </w:instrText>
      </w:r>
      <w:r>
        <w:fldChar w:fldCharType="separate"/>
      </w:r>
      <w:r>
        <w:t>184</w:t>
      </w:r>
      <w:r>
        <w:fldChar w:fldCharType="end"/>
      </w:r>
      <w:r>
        <w:fldChar w:fldCharType="end"/>
      </w:r>
    </w:p>
    <w:p w14:paraId="7E485E88">
      <w:pPr>
        <w:pStyle w:val="70"/>
        <w:tabs>
          <w:tab w:val="right" w:leader="dot" w:pos="8296"/>
        </w:tabs>
        <w:ind w:left="420"/>
        <w:rPr>
          <w:rFonts w:asciiTheme="minorHAnsi" w:hAnsiTheme="minorHAnsi" w:eastAsiaTheme="minorEastAsia"/>
        </w:rPr>
      </w:pPr>
      <w:r>
        <w:fldChar w:fldCharType="begin"/>
      </w:r>
      <w:r>
        <w:instrText xml:space="preserve"> HYPERLINK \l "_Toc196728062" </w:instrText>
      </w:r>
      <w:r>
        <w:fldChar w:fldCharType="separate"/>
      </w:r>
      <w:r>
        <w:rPr>
          <w:rStyle w:val="139"/>
        </w:rPr>
        <w:t>7.5. 策略路由</w:t>
      </w:r>
      <w:r>
        <w:tab/>
      </w:r>
      <w:r>
        <w:fldChar w:fldCharType="begin"/>
      </w:r>
      <w:r>
        <w:instrText xml:space="preserve"> PAGEREF _Toc196728062 \h </w:instrText>
      </w:r>
      <w:r>
        <w:fldChar w:fldCharType="separate"/>
      </w:r>
      <w:r>
        <w:t>187</w:t>
      </w:r>
      <w:r>
        <w:fldChar w:fldCharType="end"/>
      </w:r>
      <w:r>
        <w:fldChar w:fldCharType="end"/>
      </w:r>
    </w:p>
    <w:p w14:paraId="395F8EBA">
      <w:pPr>
        <w:pStyle w:val="42"/>
        <w:tabs>
          <w:tab w:val="right" w:leader="dot" w:pos="8296"/>
        </w:tabs>
        <w:ind w:left="840"/>
        <w:rPr>
          <w:rFonts w:asciiTheme="minorHAnsi" w:hAnsiTheme="minorHAnsi" w:eastAsiaTheme="minorEastAsia"/>
        </w:rPr>
      </w:pPr>
      <w:r>
        <w:fldChar w:fldCharType="begin"/>
      </w:r>
      <w:r>
        <w:instrText xml:space="preserve"> HYPERLINK \l "_Toc196728063" </w:instrText>
      </w:r>
      <w:r>
        <w:fldChar w:fldCharType="separate"/>
      </w:r>
      <w:r>
        <w:rPr>
          <w:rStyle w:val="139"/>
          <w:kern w:val="0"/>
          <w14:scene3d w14:prst="orthographicFront">
            <w14:lightRig w14:rig="threePt" w14:dir="t">
              <w14:rot w14:lat="0" w14:lon="0" w14:rev="0"/>
            </w14:lightRig>
          </w14:scene3d>
        </w:rPr>
        <w:t>7.5.1.</w:t>
      </w:r>
      <w:r>
        <w:rPr>
          <w:rStyle w:val="139"/>
        </w:rPr>
        <w:t xml:space="preserve"> 概述</w:t>
      </w:r>
      <w:r>
        <w:tab/>
      </w:r>
      <w:r>
        <w:fldChar w:fldCharType="begin"/>
      </w:r>
      <w:r>
        <w:instrText xml:space="preserve"> PAGEREF _Toc196728063 \h </w:instrText>
      </w:r>
      <w:r>
        <w:fldChar w:fldCharType="separate"/>
      </w:r>
      <w:r>
        <w:t>187</w:t>
      </w:r>
      <w:r>
        <w:fldChar w:fldCharType="end"/>
      </w:r>
      <w:r>
        <w:fldChar w:fldCharType="end"/>
      </w:r>
    </w:p>
    <w:p w14:paraId="21F35136">
      <w:pPr>
        <w:pStyle w:val="42"/>
        <w:tabs>
          <w:tab w:val="right" w:leader="dot" w:pos="8296"/>
        </w:tabs>
        <w:ind w:left="840"/>
        <w:rPr>
          <w:rFonts w:asciiTheme="minorHAnsi" w:hAnsiTheme="minorHAnsi" w:eastAsiaTheme="minorEastAsia"/>
        </w:rPr>
      </w:pPr>
      <w:r>
        <w:fldChar w:fldCharType="begin"/>
      </w:r>
      <w:r>
        <w:instrText xml:space="preserve"> HYPERLINK \l "_Toc196728064" </w:instrText>
      </w:r>
      <w:r>
        <w:fldChar w:fldCharType="separate"/>
      </w:r>
      <w:r>
        <w:rPr>
          <w:rStyle w:val="139"/>
          <w:kern w:val="0"/>
          <w14:scene3d w14:prst="orthographicFront">
            <w14:lightRig w14:rig="threePt" w14:dir="t">
              <w14:rot w14:lat="0" w14:lon="0" w14:rev="0"/>
            </w14:lightRig>
          </w14:scene3d>
        </w:rPr>
        <w:t>7.5.2.</w:t>
      </w:r>
      <w:r>
        <w:rPr>
          <w:rStyle w:val="139"/>
        </w:rPr>
        <w:t xml:space="preserve"> 策略路由表</w:t>
      </w:r>
      <w:r>
        <w:tab/>
      </w:r>
      <w:r>
        <w:fldChar w:fldCharType="begin"/>
      </w:r>
      <w:r>
        <w:instrText xml:space="preserve"> PAGEREF _Toc196728064 \h </w:instrText>
      </w:r>
      <w:r>
        <w:fldChar w:fldCharType="separate"/>
      </w:r>
      <w:r>
        <w:t>187</w:t>
      </w:r>
      <w:r>
        <w:fldChar w:fldCharType="end"/>
      </w:r>
      <w:r>
        <w:fldChar w:fldCharType="end"/>
      </w:r>
    </w:p>
    <w:p w14:paraId="0E7F3DB7">
      <w:pPr>
        <w:pStyle w:val="42"/>
        <w:tabs>
          <w:tab w:val="right" w:leader="dot" w:pos="8296"/>
        </w:tabs>
        <w:ind w:left="840"/>
        <w:rPr>
          <w:rFonts w:asciiTheme="minorHAnsi" w:hAnsiTheme="minorHAnsi" w:eastAsiaTheme="minorEastAsia"/>
        </w:rPr>
      </w:pPr>
      <w:r>
        <w:fldChar w:fldCharType="begin"/>
      </w:r>
      <w:r>
        <w:instrText xml:space="preserve"> HYPERLINK \l "_Toc196728065" </w:instrText>
      </w:r>
      <w:r>
        <w:fldChar w:fldCharType="separate"/>
      </w:r>
      <w:r>
        <w:rPr>
          <w:rStyle w:val="139"/>
          <w:kern w:val="0"/>
          <w14:scene3d w14:prst="orthographicFront">
            <w14:lightRig w14:rig="threePt" w14:dir="t">
              <w14:rot w14:lat="0" w14:lon="0" w14:rev="0"/>
            </w14:lightRig>
          </w14:scene3d>
        </w:rPr>
        <w:t>7.5.3.</w:t>
      </w:r>
      <w:r>
        <w:rPr>
          <w:rStyle w:val="139"/>
        </w:rPr>
        <w:t xml:space="preserve"> 策略路由配置</w:t>
      </w:r>
      <w:r>
        <w:tab/>
      </w:r>
      <w:r>
        <w:fldChar w:fldCharType="begin"/>
      </w:r>
      <w:r>
        <w:instrText xml:space="preserve"> PAGEREF _Toc196728065 \h </w:instrText>
      </w:r>
      <w:r>
        <w:fldChar w:fldCharType="separate"/>
      </w:r>
      <w:r>
        <w:t>188</w:t>
      </w:r>
      <w:r>
        <w:fldChar w:fldCharType="end"/>
      </w:r>
      <w:r>
        <w:fldChar w:fldCharType="end"/>
      </w:r>
    </w:p>
    <w:p w14:paraId="426F58B1">
      <w:pPr>
        <w:pStyle w:val="42"/>
        <w:tabs>
          <w:tab w:val="right" w:leader="dot" w:pos="8296"/>
        </w:tabs>
        <w:ind w:left="840"/>
        <w:rPr>
          <w:rFonts w:asciiTheme="minorHAnsi" w:hAnsiTheme="minorHAnsi" w:eastAsiaTheme="minorEastAsia"/>
        </w:rPr>
      </w:pPr>
      <w:r>
        <w:fldChar w:fldCharType="begin"/>
      </w:r>
      <w:r>
        <w:instrText xml:space="preserve"> HYPERLINK \l "_Toc196728066" </w:instrText>
      </w:r>
      <w:r>
        <w:fldChar w:fldCharType="separate"/>
      </w:r>
      <w:r>
        <w:rPr>
          <w:rStyle w:val="139"/>
          <w:kern w:val="0"/>
          <w14:scene3d w14:prst="orthographicFront">
            <w14:lightRig w14:rig="threePt" w14:dir="t">
              <w14:rot w14:lat="0" w14:lon="0" w14:rev="0"/>
            </w14:lightRig>
          </w14:scene3d>
        </w:rPr>
        <w:t>7.5.4.</w:t>
      </w:r>
      <w:r>
        <w:rPr>
          <w:rStyle w:val="139"/>
        </w:rPr>
        <w:t xml:space="preserve"> 移动策略路由</w:t>
      </w:r>
      <w:r>
        <w:tab/>
      </w:r>
      <w:r>
        <w:fldChar w:fldCharType="begin"/>
      </w:r>
      <w:r>
        <w:instrText xml:space="preserve"> PAGEREF _Toc196728066 \h </w:instrText>
      </w:r>
      <w:r>
        <w:fldChar w:fldCharType="separate"/>
      </w:r>
      <w:r>
        <w:t>189</w:t>
      </w:r>
      <w:r>
        <w:fldChar w:fldCharType="end"/>
      </w:r>
      <w:r>
        <w:fldChar w:fldCharType="end"/>
      </w:r>
    </w:p>
    <w:p w14:paraId="44AA5584">
      <w:pPr>
        <w:pStyle w:val="42"/>
        <w:tabs>
          <w:tab w:val="right" w:leader="dot" w:pos="8296"/>
        </w:tabs>
        <w:ind w:left="840"/>
        <w:rPr>
          <w:rFonts w:asciiTheme="minorHAnsi" w:hAnsiTheme="minorHAnsi" w:eastAsiaTheme="minorEastAsia"/>
        </w:rPr>
      </w:pPr>
      <w:r>
        <w:fldChar w:fldCharType="begin"/>
      </w:r>
      <w:r>
        <w:instrText xml:space="preserve"> HYPERLINK \l "_Toc196728067" </w:instrText>
      </w:r>
      <w:r>
        <w:fldChar w:fldCharType="separate"/>
      </w:r>
      <w:r>
        <w:rPr>
          <w:rStyle w:val="139"/>
          <w:kern w:val="0"/>
          <w14:scene3d w14:prst="orthographicFront">
            <w14:lightRig w14:rig="threePt" w14:dir="t">
              <w14:rot w14:lat="0" w14:lon="0" w14:rev="0"/>
            </w14:lightRig>
          </w14:scene3d>
        </w:rPr>
        <w:t>7.5.5.</w:t>
      </w:r>
      <w:r>
        <w:rPr>
          <w:rStyle w:val="139"/>
        </w:rPr>
        <w:t xml:space="preserve"> 策略路由配置举例</w:t>
      </w:r>
      <w:r>
        <w:tab/>
      </w:r>
      <w:r>
        <w:fldChar w:fldCharType="begin"/>
      </w:r>
      <w:r>
        <w:instrText xml:space="preserve"> PAGEREF _Toc196728067 \h </w:instrText>
      </w:r>
      <w:r>
        <w:fldChar w:fldCharType="separate"/>
      </w:r>
      <w:r>
        <w:t>190</w:t>
      </w:r>
      <w:r>
        <w:fldChar w:fldCharType="end"/>
      </w:r>
      <w:r>
        <w:fldChar w:fldCharType="end"/>
      </w:r>
    </w:p>
    <w:p w14:paraId="559F9346">
      <w:pPr>
        <w:pStyle w:val="70"/>
        <w:tabs>
          <w:tab w:val="right" w:leader="dot" w:pos="8296"/>
        </w:tabs>
        <w:ind w:left="420"/>
        <w:rPr>
          <w:rFonts w:asciiTheme="minorHAnsi" w:hAnsiTheme="minorHAnsi" w:eastAsiaTheme="minorEastAsia"/>
        </w:rPr>
      </w:pPr>
      <w:r>
        <w:fldChar w:fldCharType="begin"/>
      </w:r>
      <w:r>
        <w:instrText xml:space="preserve"> HYPERLINK \l "_Toc196728068" </w:instrText>
      </w:r>
      <w:r>
        <w:fldChar w:fldCharType="separate"/>
      </w:r>
      <w:r>
        <w:rPr>
          <w:rStyle w:val="139"/>
        </w:rPr>
        <w:t>7.6. ISP路由</w:t>
      </w:r>
      <w:r>
        <w:tab/>
      </w:r>
      <w:r>
        <w:fldChar w:fldCharType="begin"/>
      </w:r>
      <w:r>
        <w:instrText xml:space="preserve"> PAGEREF _Toc196728068 \h </w:instrText>
      </w:r>
      <w:r>
        <w:fldChar w:fldCharType="separate"/>
      </w:r>
      <w:r>
        <w:t>192</w:t>
      </w:r>
      <w:r>
        <w:fldChar w:fldCharType="end"/>
      </w:r>
      <w:r>
        <w:fldChar w:fldCharType="end"/>
      </w:r>
    </w:p>
    <w:p w14:paraId="65E1DAF7">
      <w:pPr>
        <w:pStyle w:val="42"/>
        <w:tabs>
          <w:tab w:val="right" w:leader="dot" w:pos="8296"/>
        </w:tabs>
        <w:ind w:left="840"/>
        <w:rPr>
          <w:rFonts w:asciiTheme="minorHAnsi" w:hAnsiTheme="minorHAnsi" w:eastAsiaTheme="minorEastAsia"/>
        </w:rPr>
      </w:pPr>
      <w:r>
        <w:fldChar w:fldCharType="begin"/>
      </w:r>
      <w:r>
        <w:instrText xml:space="preserve"> HYPERLINK \l "_Toc196728069" </w:instrText>
      </w:r>
      <w:r>
        <w:fldChar w:fldCharType="separate"/>
      </w:r>
      <w:r>
        <w:rPr>
          <w:rStyle w:val="139"/>
          <w:kern w:val="0"/>
          <w14:scene3d w14:prst="orthographicFront">
            <w14:lightRig w14:rig="threePt" w14:dir="t">
              <w14:rot w14:lat="0" w14:lon="0" w14:rev="0"/>
            </w14:lightRig>
          </w14:scene3d>
        </w:rPr>
        <w:t>7.6.1.</w:t>
      </w:r>
      <w:r>
        <w:rPr>
          <w:rStyle w:val="139"/>
        </w:rPr>
        <w:t xml:space="preserve"> 概述</w:t>
      </w:r>
      <w:r>
        <w:tab/>
      </w:r>
      <w:r>
        <w:fldChar w:fldCharType="begin"/>
      </w:r>
      <w:r>
        <w:instrText xml:space="preserve"> PAGEREF _Toc196728069 \h </w:instrText>
      </w:r>
      <w:r>
        <w:fldChar w:fldCharType="separate"/>
      </w:r>
      <w:r>
        <w:t>192</w:t>
      </w:r>
      <w:r>
        <w:fldChar w:fldCharType="end"/>
      </w:r>
      <w:r>
        <w:fldChar w:fldCharType="end"/>
      </w:r>
    </w:p>
    <w:p w14:paraId="249A1D35">
      <w:pPr>
        <w:pStyle w:val="42"/>
        <w:tabs>
          <w:tab w:val="right" w:leader="dot" w:pos="8296"/>
        </w:tabs>
        <w:ind w:left="840"/>
        <w:rPr>
          <w:rFonts w:asciiTheme="minorHAnsi" w:hAnsiTheme="minorHAnsi" w:eastAsiaTheme="minorEastAsia"/>
        </w:rPr>
      </w:pPr>
      <w:r>
        <w:fldChar w:fldCharType="begin"/>
      </w:r>
      <w:r>
        <w:instrText xml:space="preserve"> HYPERLINK \l "_Toc196728070" </w:instrText>
      </w:r>
      <w:r>
        <w:fldChar w:fldCharType="separate"/>
      </w:r>
      <w:r>
        <w:rPr>
          <w:rStyle w:val="139"/>
          <w:kern w:val="0"/>
          <w14:scene3d w14:prst="orthographicFront">
            <w14:lightRig w14:rig="threePt" w14:dir="t">
              <w14:rot w14:lat="0" w14:lon="0" w14:rev="0"/>
            </w14:lightRig>
          </w14:scene3d>
        </w:rPr>
        <w:t>7.6.2.</w:t>
      </w:r>
      <w:r>
        <w:rPr>
          <w:rStyle w:val="139"/>
        </w:rPr>
        <w:t xml:space="preserve"> 配置ISP地址库</w:t>
      </w:r>
      <w:r>
        <w:tab/>
      </w:r>
      <w:r>
        <w:fldChar w:fldCharType="begin"/>
      </w:r>
      <w:r>
        <w:instrText xml:space="preserve"> PAGEREF _Toc196728070 \h </w:instrText>
      </w:r>
      <w:r>
        <w:fldChar w:fldCharType="separate"/>
      </w:r>
      <w:r>
        <w:t>192</w:t>
      </w:r>
      <w:r>
        <w:fldChar w:fldCharType="end"/>
      </w:r>
      <w:r>
        <w:fldChar w:fldCharType="end"/>
      </w:r>
    </w:p>
    <w:p w14:paraId="475F4E2C">
      <w:pPr>
        <w:pStyle w:val="42"/>
        <w:tabs>
          <w:tab w:val="right" w:leader="dot" w:pos="8296"/>
        </w:tabs>
        <w:ind w:left="840"/>
        <w:rPr>
          <w:rFonts w:asciiTheme="minorHAnsi" w:hAnsiTheme="minorHAnsi" w:eastAsiaTheme="minorEastAsia"/>
        </w:rPr>
      </w:pPr>
      <w:r>
        <w:fldChar w:fldCharType="begin"/>
      </w:r>
      <w:r>
        <w:instrText xml:space="preserve"> HYPERLINK \l "_Toc196728071" </w:instrText>
      </w:r>
      <w:r>
        <w:fldChar w:fldCharType="separate"/>
      </w:r>
      <w:r>
        <w:rPr>
          <w:rStyle w:val="139"/>
          <w:kern w:val="0"/>
          <w14:scene3d w14:prst="orthographicFront">
            <w14:lightRig w14:rig="threePt" w14:dir="t">
              <w14:rot w14:lat="0" w14:lon="0" w14:rev="0"/>
            </w14:lightRig>
          </w14:scene3d>
        </w:rPr>
        <w:t>7.6.3.</w:t>
      </w:r>
      <w:r>
        <w:rPr>
          <w:rStyle w:val="139"/>
        </w:rPr>
        <w:t xml:space="preserve"> 配置ISP路由</w:t>
      </w:r>
      <w:r>
        <w:tab/>
      </w:r>
      <w:r>
        <w:fldChar w:fldCharType="begin"/>
      </w:r>
      <w:r>
        <w:instrText xml:space="preserve"> PAGEREF _Toc196728071 \h </w:instrText>
      </w:r>
      <w:r>
        <w:fldChar w:fldCharType="separate"/>
      </w:r>
      <w:r>
        <w:t>194</w:t>
      </w:r>
      <w:r>
        <w:fldChar w:fldCharType="end"/>
      </w:r>
      <w:r>
        <w:fldChar w:fldCharType="end"/>
      </w:r>
    </w:p>
    <w:p w14:paraId="2E46D89C">
      <w:pPr>
        <w:pStyle w:val="70"/>
        <w:tabs>
          <w:tab w:val="right" w:leader="dot" w:pos="8296"/>
        </w:tabs>
        <w:ind w:left="420"/>
        <w:rPr>
          <w:rFonts w:asciiTheme="minorHAnsi" w:hAnsiTheme="minorHAnsi" w:eastAsiaTheme="minorEastAsia"/>
        </w:rPr>
      </w:pPr>
      <w:r>
        <w:fldChar w:fldCharType="begin"/>
      </w:r>
      <w:r>
        <w:instrText xml:space="preserve"> HYPERLINK \l "_Toc196728072" </w:instrText>
      </w:r>
      <w:r>
        <w:fldChar w:fldCharType="separate"/>
      </w:r>
      <w:r>
        <w:rPr>
          <w:rStyle w:val="139"/>
        </w:rPr>
        <w:t>7.7. BGP</w:t>
      </w:r>
      <w:r>
        <w:tab/>
      </w:r>
      <w:r>
        <w:fldChar w:fldCharType="begin"/>
      </w:r>
      <w:r>
        <w:instrText xml:space="preserve"> PAGEREF _Toc196728072 \h </w:instrText>
      </w:r>
      <w:r>
        <w:fldChar w:fldCharType="separate"/>
      </w:r>
      <w:r>
        <w:t>195</w:t>
      </w:r>
      <w:r>
        <w:fldChar w:fldCharType="end"/>
      </w:r>
      <w:r>
        <w:fldChar w:fldCharType="end"/>
      </w:r>
    </w:p>
    <w:p w14:paraId="6EF09E5A">
      <w:pPr>
        <w:pStyle w:val="42"/>
        <w:tabs>
          <w:tab w:val="right" w:leader="dot" w:pos="8296"/>
        </w:tabs>
        <w:ind w:left="840"/>
        <w:rPr>
          <w:rFonts w:asciiTheme="minorHAnsi" w:hAnsiTheme="minorHAnsi" w:eastAsiaTheme="minorEastAsia"/>
        </w:rPr>
      </w:pPr>
      <w:r>
        <w:fldChar w:fldCharType="begin"/>
      </w:r>
      <w:r>
        <w:instrText xml:space="preserve"> HYPERLINK \l "_Toc196728073" </w:instrText>
      </w:r>
      <w:r>
        <w:fldChar w:fldCharType="separate"/>
      </w:r>
      <w:r>
        <w:rPr>
          <w:rStyle w:val="139"/>
          <w:kern w:val="0"/>
          <w14:scene3d w14:prst="orthographicFront">
            <w14:lightRig w14:rig="threePt" w14:dir="t">
              <w14:rot w14:lat="0" w14:lon="0" w14:rev="0"/>
            </w14:lightRig>
          </w14:scene3d>
        </w:rPr>
        <w:t>7.7.1.</w:t>
      </w:r>
      <w:r>
        <w:rPr>
          <w:rStyle w:val="139"/>
        </w:rPr>
        <w:t xml:space="preserve"> BGP简介</w:t>
      </w:r>
      <w:r>
        <w:tab/>
      </w:r>
      <w:r>
        <w:fldChar w:fldCharType="begin"/>
      </w:r>
      <w:r>
        <w:instrText xml:space="preserve"> PAGEREF _Toc196728073 \h </w:instrText>
      </w:r>
      <w:r>
        <w:fldChar w:fldCharType="separate"/>
      </w:r>
      <w:r>
        <w:t>195</w:t>
      </w:r>
      <w:r>
        <w:fldChar w:fldCharType="end"/>
      </w:r>
      <w:r>
        <w:fldChar w:fldCharType="end"/>
      </w:r>
    </w:p>
    <w:p w14:paraId="1FF7E00D">
      <w:pPr>
        <w:pStyle w:val="42"/>
        <w:tabs>
          <w:tab w:val="right" w:leader="dot" w:pos="8296"/>
        </w:tabs>
        <w:ind w:left="840"/>
        <w:rPr>
          <w:rFonts w:asciiTheme="minorHAnsi" w:hAnsiTheme="minorHAnsi" w:eastAsiaTheme="minorEastAsia"/>
        </w:rPr>
      </w:pPr>
      <w:r>
        <w:fldChar w:fldCharType="begin"/>
      </w:r>
      <w:r>
        <w:instrText xml:space="preserve"> HYPERLINK \l "_Toc196728074" </w:instrText>
      </w:r>
      <w:r>
        <w:fldChar w:fldCharType="separate"/>
      </w:r>
      <w:r>
        <w:rPr>
          <w:rStyle w:val="139"/>
          <w:kern w:val="0"/>
          <w14:scene3d w14:prst="orthographicFront">
            <w14:lightRig w14:rig="threePt" w14:dir="t">
              <w14:rot w14:lat="0" w14:lon="0" w14:rev="0"/>
            </w14:lightRig>
          </w14:scene3d>
        </w:rPr>
        <w:t>7.7.2.</w:t>
      </w:r>
      <w:r>
        <w:rPr>
          <w:rStyle w:val="139"/>
        </w:rPr>
        <w:t xml:space="preserve"> BGP配置</w:t>
      </w:r>
      <w:r>
        <w:tab/>
      </w:r>
      <w:r>
        <w:fldChar w:fldCharType="begin"/>
      </w:r>
      <w:r>
        <w:instrText xml:space="preserve"> PAGEREF _Toc196728074 \h </w:instrText>
      </w:r>
      <w:r>
        <w:fldChar w:fldCharType="separate"/>
      </w:r>
      <w:r>
        <w:t>197</w:t>
      </w:r>
      <w:r>
        <w:fldChar w:fldCharType="end"/>
      </w:r>
      <w:r>
        <w:fldChar w:fldCharType="end"/>
      </w:r>
    </w:p>
    <w:p w14:paraId="035B2838">
      <w:pPr>
        <w:pStyle w:val="42"/>
        <w:tabs>
          <w:tab w:val="right" w:leader="dot" w:pos="8296"/>
        </w:tabs>
        <w:ind w:left="840"/>
        <w:rPr>
          <w:rFonts w:asciiTheme="minorHAnsi" w:hAnsiTheme="minorHAnsi" w:eastAsiaTheme="minorEastAsia"/>
        </w:rPr>
      </w:pPr>
      <w:r>
        <w:fldChar w:fldCharType="begin"/>
      </w:r>
      <w:r>
        <w:instrText xml:space="preserve"> HYPERLINK \l "_Toc196728075" </w:instrText>
      </w:r>
      <w:r>
        <w:fldChar w:fldCharType="separate"/>
      </w:r>
      <w:r>
        <w:rPr>
          <w:rStyle w:val="139"/>
          <w:kern w:val="0"/>
          <w14:scene3d w14:prst="orthographicFront">
            <w14:lightRig w14:rig="threePt" w14:dir="t">
              <w14:rot w14:lat="0" w14:lon="0" w14:rev="0"/>
            </w14:lightRig>
          </w14:scene3d>
        </w:rPr>
        <w:t>7.7.3.</w:t>
      </w:r>
      <w:r>
        <w:rPr>
          <w:rStyle w:val="139"/>
        </w:rPr>
        <w:t xml:space="preserve"> 邻居配置列表</w:t>
      </w:r>
      <w:r>
        <w:tab/>
      </w:r>
      <w:r>
        <w:fldChar w:fldCharType="begin"/>
      </w:r>
      <w:r>
        <w:instrText xml:space="preserve"> PAGEREF _Toc196728075 \h </w:instrText>
      </w:r>
      <w:r>
        <w:fldChar w:fldCharType="separate"/>
      </w:r>
      <w:r>
        <w:t>198</w:t>
      </w:r>
      <w:r>
        <w:fldChar w:fldCharType="end"/>
      </w:r>
      <w:r>
        <w:fldChar w:fldCharType="end"/>
      </w:r>
    </w:p>
    <w:p w14:paraId="5B22A97C">
      <w:pPr>
        <w:pStyle w:val="42"/>
        <w:tabs>
          <w:tab w:val="right" w:leader="dot" w:pos="8296"/>
        </w:tabs>
        <w:ind w:left="840"/>
        <w:rPr>
          <w:rFonts w:asciiTheme="minorHAnsi" w:hAnsiTheme="minorHAnsi" w:eastAsiaTheme="minorEastAsia"/>
        </w:rPr>
      </w:pPr>
      <w:r>
        <w:fldChar w:fldCharType="begin"/>
      </w:r>
      <w:r>
        <w:instrText xml:space="preserve"> HYPERLINK \l "_Toc196728076" </w:instrText>
      </w:r>
      <w:r>
        <w:fldChar w:fldCharType="separate"/>
      </w:r>
      <w:r>
        <w:rPr>
          <w:rStyle w:val="139"/>
          <w:kern w:val="0"/>
          <w14:scene3d w14:prst="orthographicFront">
            <w14:lightRig w14:rig="threePt" w14:dir="t">
              <w14:rot w14:lat="0" w14:lon="0" w14:rev="0"/>
            </w14:lightRig>
          </w14:scene3d>
        </w:rPr>
        <w:t>7.7.4.</w:t>
      </w:r>
      <w:r>
        <w:rPr>
          <w:rStyle w:val="139"/>
        </w:rPr>
        <w:t xml:space="preserve"> 网络配置列表</w:t>
      </w:r>
      <w:r>
        <w:tab/>
      </w:r>
      <w:r>
        <w:fldChar w:fldCharType="begin"/>
      </w:r>
      <w:r>
        <w:instrText xml:space="preserve"> PAGEREF _Toc196728076 \h </w:instrText>
      </w:r>
      <w:r>
        <w:fldChar w:fldCharType="separate"/>
      </w:r>
      <w:r>
        <w:t>199</w:t>
      </w:r>
      <w:r>
        <w:fldChar w:fldCharType="end"/>
      </w:r>
      <w:r>
        <w:fldChar w:fldCharType="end"/>
      </w:r>
    </w:p>
    <w:p w14:paraId="5BCCDC47">
      <w:pPr>
        <w:pStyle w:val="42"/>
        <w:tabs>
          <w:tab w:val="right" w:leader="dot" w:pos="8296"/>
        </w:tabs>
        <w:ind w:left="840"/>
        <w:rPr>
          <w:rFonts w:asciiTheme="minorHAnsi" w:hAnsiTheme="minorHAnsi" w:eastAsiaTheme="minorEastAsia"/>
        </w:rPr>
      </w:pPr>
      <w:r>
        <w:fldChar w:fldCharType="begin"/>
      </w:r>
      <w:r>
        <w:instrText xml:space="preserve"> HYPERLINK \l "_Toc196728077" </w:instrText>
      </w:r>
      <w:r>
        <w:fldChar w:fldCharType="separate"/>
      </w:r>
      <w:r>
        <w:rPr>
          <w:rStyle w:val="139"/>
          <w:kern w:val="0"/>
          <w14:scene3d w14:prst="orthographicFront">
            <w14:lightRig w14:rig="threePt" w14:dir="t">
              <w14:rot w14:lat="0" w14:lon="0" w14:rev="0"/>
            </w14:lightRig>
          </w14:scene3d>
        </w:rPr>
        <w:t>7.7.5.</w:t>
      </w:r>
      <w:r>
        <w:rPr>
          <w:rStyle w:val="139"/>
        </w:rPr>
        <w:t xml:space="preserve"> 路由引入配置列表</w:t>
      </w:r>
      <w:r>
        <w:tab/>
      </w:r>
      <w:r>
        <w:fldChar w:fldCharType="begin"/>
      </w:r>
      <w:r>
        <w:instrText xml:space="preserve"> PAGEREF _Toc196728077 \h </w:instrText>
      </w:r>
      <w:r>
        <w:fldChar w:fldCharType="separate"/>
      </w:r>
      <w:r>
        <w:t>200</w:t>
      </w:r>
      <w:r>
        <w:fldChar w:fldCharType="end"/>
      </w:r>
      <w:r>
        <w:fldChar w:fldCharType="end"/>
      </w:r>
    </w:p>
    <w:p w14:paraId="5D2B6EA7">
      <w:pPr>
        <w:pStyle w:val="42"/>
        <w:tabs>
          <w:tab w:val="right" w:leader="dot" w:pos="8296"/>
        </w:tabs>
        <w:ind w:left="840"/>
        <w:rPr>
          <w:rFonts w:asciiTheme="minorHAnsi" w:hAnsiTheme="minorHAnsi" w:eastAsiaTheme="minorEastAsia"/>
        </w:rPr>
      </w:pPr>
      <w:r>
        <w:fldChar w:fldCharType="begin"/>
      </w:r>
      <w:r>
        <w:instrText xml:space="preserve"> HYPERLINK \l "_Toc196728078" </w:instrText>
      </w:r>
      <w:r>
        <w:fldChar w:fldCharType="separate"/>
      </w:r>
      <w:r>
        <w:rPr>
          <w:rStyle w:val="139"/>
          <w:kern w:val="0"/>
          <w14:scene3d w14:prst="orthographicFront">
            <w14:lightRig w14:rig="threePt" w14:dir="t">
              <w14:rot w14:lat="0" w14:lon="0" w14:rev="0"/>
            </w14:lightRig>
          </w14:scene3d>
        </w:rPr>
        <w:t>7.7.6.</w:t>
      </w:r>
      <w:r>
        <w:rPr>
          <w:rStyle w:val="139"/>
        </w:rPr>
        <w:t xml:space="preserve"> BGP配置举例</w:t>
      </w:r>
      <w:r>
        <w:tab/>
      </w:r>
      <w:r>
        <w:fldChar w:fldCharType="begin"/>
      </w:r>
      <w:r>
        <w:instrText xml:space="preserve"> PAGEREF _Toc196728078 \h </w:instrText>
      </w:r>
      <w:r>
        <w:fldChar w:fldCharType="separate"/>
      </w:r>
      <w:r>
        <w:t>201</w:t>
      </w:r>
      <w:r>
        <w:fldChar w:fldCharType="end"/>
      </w:r>
      <w:r>
        <w:fldChar w:fldCharType="end"/>
      </w:r>
    </w:p>
    <w:p w14:paraId="6640D4DB">
      <w:pPr>
        <w:pStyle w:val="56"/>
        <w:tabs>
          <w:tab w:val="right" w:leader="dot" w:pos="8296"/>
        </w:tabs>
        <w:rPr>
          <w:rFonts w:asciiTheme="minorHAnsi" w:hAnsiTheme="minorHAnsi" w:eastAsiaTheme="minorEastAsia"/>
        </w:rPr>
      </w:pPr>
      <w:r>
        <w:fldChar w:fldCharType="begin"/>
      </w:r>
      <w:r>
        <w:instrText xml:space="preserve"> HYPERLINK \l "_Toc196728079" </w:instrText>
      </w:r>
      <w:r>
        <w:fldChar w:fldCharType="separate"/>
      </w:r>
      <w:r>
        <w:rPr>
          <w:rStyle w:val="139"/>
        </w:rPr>
        <w:t>8. 路由管理（仅支持非Cavium平台硬件款型）</w:t>
      </w:r>
      <w:r>
        <w:tab/>
      </w:r>
      <w:r>
        <w:fldChar w:fldCharType="begin"/>
      </w:r>
      <w:r>
        <w:instrText xml:space="preserve"> PAGEREF _Toc196728079 \h </w:instrText>
      </w:r>
      <w:r>
        <w:fldChar w:fldCharType="separate"/>
      </w:r>
      <w:r>
        <w:t>205</w:t>
      </w:r>
      <w:r>
        <w:fldChar w:fldCharType="end"/>
      </w:r>
      <w:r>
        <w:fldChar w:fldCharType="end"/>
      </w:r>
    </w:p>
    <w:p w14:paraId="6032CDBE">
      <w:pPr>
        <w:pStyle w:val="70"/>
        <w:tabs>
          <w:tab w:val="right" w:leader="dot" w:pos="8296"/>
        </w:tabs>
        <w:ind w:left="420"/>
        <w:rPr>
          <w:rFonts w:asciiTheme="minorHAnsi" w:hAnsiTheme="minorHAnsi" w:eastAsiaTheme="minorEastAsia"/>
        </w:rPr>
      </w:pPr>
      <w:r>
        <w:fldChar w:fldCharType="begin"/>
      </w:r>
      <w:r>
        <w:instrText xml:space="preserve"> HYPERLINK \l "_Toc196728080" </w:instrText>
      </w:r>
      <w:r>
        <w:fldChar w:fldCharType="separate"/>
      </w:r>
      <w:r>
        <w:rPr>
          <w:rStyle w:val="139"/>
        </w:rPr>
        <w:t>8.1. 概述</w:t>
      </w:r>
      <w:r>
        <w:tab/>
      </w:r>
      <w:r>
        <w:fldChar w:fldCharType="begin"/>
      </w:r>
      <w:r>
        <w:instrText xml:space="preserve"> PAGEREF _Toc196728080 \h </w:instrText>
      </w:r>
      <w:r>
        <w:fldChar w:fldCharType="separate"/>
      </w:r>
      <w:r>
        <w:t>205</w:t>
      </w:r>
      <w:r>
        <w:fldChar w:fldCharType="end"/>
      </w:r>
      <w:r>
        <w:fldChar w:fldCharType="end"/>
      </w:r>
    </w:p>
    <w:p w14:paraId="180BD95A">
      <w:pPr>
        <w:pStyle w:val="42"/>
        <w:tabs>
          <w:tab w:val="right" w:leader="dot" w:pos="8296"/>
        </w:tabs>
        <w:ind w:left="840"/>
        <w:rPr>
          <w:rFonts w:asciiTheme="minorHAnsi" w:hAnsiTheme="minorHAnsi" w:eastAsiaTheme="minorEastAsia"/>
        </w:rPr>
      </w:pPr>
      <w:r>
        <w:fldChar w:fldCharType="begin"/>
      </w:r>
      <w:r>
        <w:instrText xml:space="preserve"> HYPERLINK \l "_Toc196728081" </w:instrText>
      </w:r>
      <w:r>
        <w:fldChar w:fldCharType="separate"/>
      </w:r>
      <w:r>
        <w:rPr>
          <w:rStyle w:val="139"/>
          <w:kern w:val="0"/>
          <w14:scene3d w14:prst="orthographicFront">
            <w14:lightRig w14:rig="threePt" w14:dir="t">
              <w14:rot w14:lat="0" w14:lon="0" w14:rev="0"/>
            </w14:lightRig>
          </w14:scene3d>
        </w:rPr>
        <w:t>8.1.1.</w:t>
      </w:r>
      <w:r>
        <w:rPr>
          <w:rStyle w:val="139"/>
        </w:rPr>
        <w:t xml:space="preserve"> 静态路由与动态路由的区别</w:t>
      </w:r>
      <w:r>
        <w:tab/>
      </w:r>
      <w:r>
        <w:fldChar w:fldCharType="begin"/>
      </w:r>
      <w:r>
        <w:instrText xml:space="preserve"> PAGEREF _Toc196728081 \h </w:instrText>
      </w:r>
      <w:r>
        <w:fldChar w:fldCharType="separate"/>
      </w:r>
      <w:r>
        <w:t>205</w:t>
      </w:r>
      <w:r>
        <w:fldChar w:fldCharType="end"/>
      </w:r>
      <w:r>
        <w:fldChar w:fldCharType="end"/>
      </w:r>
    </w:p>
    <w:p w14:paraId="199E17AE">
      <w:pPr>
        <w:pStyle w:val="42"/>
        <w:tabs>
          <w:tab w:val="right" w:leader="dot" w:pos="8296"/>
        </w:tabs>
        <w:ind w:left="840"/>
        <w:rPr>
          <w:rFonts w:asciiTheme="minorHAnsi" w:hAnsiTheme="minorHAnsi" w:eastAsiaTheme="minorEastAsia"/>
        </w:rPr>
      </w:pPr>
      <w:r>
        <w:fldChar w:fldCharType="begin"/>
      </w:r>
      <w:r>
        <w:instrText xml:space="preserve"> HYPERLINK \l "_Toc196728082" </w:instrText>
      </w:r>
      <w:r>
        <w:fldChar w:fldCharType="separate"/>
      </w:r>
      <w:r>
        <w:rPr>
          <w:rStyle w:val="139"/>
          <w:kern w:val="0"/>
          <w14:scene3d w14:prst="orthographicFront">
            <w14:lightRig w14:rig="threePt" w14:dir="t">
              <w14:rot w14:lat="0" w14:lon="0" w14:rev="0"/>
            </w14:lightRig>
          </w14:scene3d>
        </w:rPr>
        <w:t>8.1.2.</w:t>
      </w:r>
      <w:r>
        <w:rPr>
          <w:rStyle w:val="139"/>
        </w:rPr>
        <w:t xml:space="preserve"> 动态路由的分类</w:t>
      </w:r>
      <w:r>
        <w:tab/>
      </w:r>
      <w:r>
        <w:fldChar w:fldCharType="begin"/>
      </w:r>
      <w:r>
        <w:instrText xml:space="preserve"> PAGEREF _Toc196728082 \h </w:instrText>
      </w:r>
      <w:r>
        <w:fldChar w:fldCharType="separate"/>
      </w:r>
      <w:r>
        <w:t>205</w:t>
      </w:r>
      <w:r>
        <w:fldChar w:fldCharType="end"/>
      </w:r>
      <w:r>
        <w:fldChar w:fldCharType="end"/>
      </w:r>
    </w:p>
    <w:p w14:paraId="60FF3AB6">
      <w:pPr>
        <w:pStyle w:val="70"/>
        <w:tabs>
          <w:tab w:val="right" w:leader="dot" w:pos="8296"/>
        </w:tabs>
        <w:ind w:left="420"/>
        <w:rPr>
          <w:rFonts w:asciiTheme="minorHAnsi" w:hAnsiTheme="minorHAnsi" w:eastAsiaTheme="minorEastAsia"/>
        </w:rPr>
      </w:pPr>
      <w:r>
        <w:fldChar w:fldCharType="begin"/>
      </w:r>
      <w:r>
        <w:instrText xml:space="preserve"> HYPERLINK \l "_Toc196728083" </w:instrText>
      </w:r>
      <w:r>
        <w:fldChar w:fldCharType="separate"/>
      </w:r>
      <w:r>
        <w:rPr>
          <w:rStyle w:val="139"/>
        </w:rPr>
        <w:t>8.2. 静态路由</w:t>
      </w:r>
      <w:r>
        <w:tab/>
      </w:r>
      <w:r>
        <w:fldChar w:fldCharType="begin"/>
      </w:r>
      <w:r>
        <w:instrText xml:space="preserve"> PAGEREF _Toc196728083 \h </w:instrText>
      </w:r>
      <w:r>
        <w:fldChar w:fldCharType="separate"/>
      </w:r>
      <w:r>
        <w:t>206</w:t>
      </w:r>
      <w:r>
        <w:fldChar w:fldCharType="end"/>
      </w:r>
      <w:r>
        <w:fldChar w:fldCharType="end"/>
      </w:r>
    </w:p>
    <w:p w14:paraId="3A7C436A">
      <w:pPr>
        <w:pStyle w:val="42"/>
        <w:tabs>
          <w:tab w:val="right" w:leader="dot" w:pos="8296"/>
        </w:tabs>
        <w:ind w:left="840"/>
        <w:rPr>
          <w:rFonts w:asciiTheme="minorHAnsi" w:hAnsiTheme="minorHAnsi" w:eastAsiaTheme="minorEastAsia"/>
        </w:rPr>
      </w:pPr>
      <w:r>
        <w:fldChar w:fldCharType="begin"/>
      </w:r>
      <w:r>
        <w:instrText xml:space="preserve"> HYPERLINK \l "_Toc196728084" </w:instrText>
      </w:r>
      <w:r>
        <w:fldChar w:fldCharType="separate"/>
      </w:r>
      <w:r>
        <w:rPr>
          <w:rStyle w:val="139"/>
          <w:kern w:val="0"/>
          <w14:scene3d w14:prst="orthographicFront">
            <w14:lightRig w14:rig="threePt" w14:dir="t">
              <w14:rot w14:lat="0" w14:lon="0" w14:rev="0"/>
            </w14:lightRig>
          </w14:scene3d>
        </w:rPr>
        <w:t>8.2.1.</w:t>
      </w:r>
      <w:r>
        <w:rPr>
          <w:rStyle w:val="139"/>
        </w:rPr>
        <w:t xml:space="preserve"> 概述</w:t>
      </w:r>
      <w:r>
        <w:tab/>
      </w:r>
      <w:r>
        <w:fldChar w:fldCharType="begin"/>
      </w:r>
      <w:r>
        <w:instrText xml:space="preserve"> PAGEREF _Toc196728084 \h </w:instrText>
      </w:r>
      <w:r>
        <w:fldChar w:fldCharType="separate"/>
      </w:r>
      <w:r>
        <w:t>206</w:t>
      </w:r>
      <w:r>
        <w:fldChar w:fldCharType="end"/>
      </w:r>
      <w:r>
        <w:fldChar w:fldCharType="end"/>
      </w:r>
    </w:p>
    <w:p w14:paraId="4C33178B">
      <w:pPr>
        <w:pStyle w:val="42"/>
        <w:tabs>
          <w:tab w:val="right" w:leader="dot" w:pos="8296"/>
        </w:tabs>
        <w:ind w:left="840"/>
        <w:rPr>
          <w:rFonts w:asciiTheme="minorHAnsi" w:hAnsiTheme="minorHAnsi" w:eastAsiaTheme="minorEastAsia"/>
        </w:rPr>
      </w:pPr>
      <w:r>
        <w:fldChar w:fldCharType="begin"/>
      </w:r>
      <w:r>
        <w:instrText xml:space="preserve"> HYPERLINK \l "_Toc196728085" </w:instrText>
      </w:r>
      <w:r>
        <w:fldChar w:fldCharType="separate"/>
      </w:r>
      <w:r>
        <w:rPr>
          <w:rStyle w:val="139"/>
          <w:kern w:val="0"/>
          <w14:scene3d w14:prst="orthographicFront">
            <w14:lightRig w14:rig="threePt" w14:dir="t">
              <w14:rot w14:lat="0" w14:lon="0" w14:rev="0"/>
            </w14:lightRig>
          </w14:scene3d>
        </w:rPr>
        <w:t>8.2.2.</w:t>
      </w:r>
      <w:r>
        <w:rPr>
          <w:rStyle w:val="139"/>
        </w:rPr>
        <w:t xml:space="preserve"> 查看静态路由表</w:t>
      </w:r>
      <w:r>
        <w:tab/>
      </w:r>
      <w:r>
        <w:fldChar w:fldCharType="begin"/>
      </w:r>
      <w:r>
        <w:instrText xml:space="preserve"> PAGEREF _Toc196728085 \h </w:instrText>
      </w:r>
      <w:r>
        <w:fldChar w:fldCharType="separate"/>
      </w:r>
      <w:r>
        <w:t>206</w:t>
      </w:r>
      <w:r>
        <w:fldChar w:fldCharType="end"/>
      </w:r>
      <w:r>
        <w:fldChar w:fldCharType="end"/>
      </w:r>
    </w:p>
    <w:p w14:paraId="5F1B07C3">
      <w:pPr>
        <w:pStyle w:val="42"/>
        <w:tabs>
          <w:tab w:val="right" w:leader="dot" w:pos="8296"/>
        </w:tabs>
        <w:ind w:left="840"/>
        <w:rPr>
          <w:rFonts w:asciiTheme="minorHAnsi" w:hAnsiTheme="minorHAnsi" w:eastAsiaTheme="minorEastAsia"/>
        </w:rPr>
      </w:pPr>
      <w:r>
        <w:fldChar w:fldCharType="begin"/>
      </w:r>
      <w:r>
        <w:instrText xml:space="preserve"> HYPERLINK \l "_Toc196728086" </w:instrText>
      </w:r>
      <w:r>
        <w:fldChar w:fldCharType="separate"/>
      </w:r>
      <w:r>
        <w:rPr>
          <w:rStyle w:val="139"/>
          <w:kern w:val="0"/>
          <w14:scene3d w14:prst="orthographicFront">
            <w14:lightRig w14:rig="threePt" w14:dir="t">
              <w14:rot w14:lat="0" w14:lon="0" w14:rev="0"/>
            </w14:lightRig>
          </w14:scene3d>
        </w:rPr>
        <w:t>8.2.3.</w:t>
      </w:r>
      <w:r>
        <w:rPr>
          <w:rStyle w:val="139"/>
        </w:rPr>
        <w:t xml:space="preserve"> 新建静态路由</w:t>
      </w:r>
      <w:r>
        <w:tab/>
      </w:r>
      <w:r>
        <w:fldChar w:fldCharType="begin"/>
      </w:r>
      <w:r>
        <w:instrText xml:space="preserve"> PAGEREF _Toc196728086 \h </w:instrText>
      </w:r>
      <w:r>
        <w:fldChar w:fldCharType="separate"/>
      </w:r>
      <w:r>
        <w:t>206</w:t>
      </w:r>
      <w:r>
        <w:fldChar w:fldCharType="end"/>
      </w:r>
      <w:r>
        <w:fldChar w:fldCharType="end"/>
      </w:r>
    </w:p>
    <w:p w14:paraId="2B059CA2">
      <w:pPr>
        <w:pStyle w:val="42"/>
        <w:tabs>
          <w:tab w:val="right" w:leader="dot" w:pos="8296"/>
        </w:tabs>
        <w:ind w:left="840"/>
        <w:rPr>
          <w:rFonts w:asciiTheme="minorHAnsi" w:hAnsiTheme="minorHAnsi" w:eastAsiaTheme="minorEastAsia"/>
        </w:rPr>
      </w:pPr>
      <w:r>
        <w:fldChar w:fldCharType="begin"/>
      </w:r>
      <w:r>
        <w:instrText xml:space="preserve"> HYPERLINK \l "_Toc196728087" </w:instrText>
      </w:r>
      <w:r>
        <w:fldChar w:fldCharType="separate"/>
      </w:r>
      <w:r>
        <w:rPr>
          <w:rStyle w:val="139"/>
          <w:kern w:val="0"/>
          <w14:scene3d w14:prst="orthographicFront">
            <w14:lightRig w14:rig="threePt" w14:dir="t">
              <w14:rot w14:lat="0" w14:lon="0" w14:rev="0"/>
            </w14:lightRig>
          </w14:scene3d>
        </w:rPr>
        <w:t>8.2.4.</w:t>
      </w:r>
      <w:r>
        <w:rPr>
          <w:rStyle w:val="139"/>
        </w:rPr>
        <w:t xml:space="preserve"> 启用或禁用静态路由</w:t>
      </w:r>
      <w:r>
        <w:tab/>
      </w:r>
      <w:r>
        <w:fldChar w:fldCharType="begin"/>
      </w:r>
      <w:r>
        <w:instrText xml:space="preserve"> PAGEREF _Toc196728087 \h </w:instrText>
      </w:r>
      <w:r>
        <w:fldChar w:fldCharType="separate"/>
      </w:r>
      <w:r>
        <w:t>208</w:t>
      </w:r>
      <w:r>
        <w:fldChar w:fldCharType="end"/>
      </w:r>
      <w:r>
        <w:fldChar w:fldCharType="end"/>
      </w:r>
    </w:p>
    <w:p w14:paraId="1156AFB2">
      <w:pPr>
        <w:pStyle w:val="70"/>
        <w:tabs>
          <w:tab w:val="right" w:leader="dot" w:pos="8296"/>
        </w:tabs>
        <w:ind w:left="420"/>
        <w:rPr>
          <w:rFonts w:asciiTheme="minorHAnsi" w:hAnsiTheme="minorHAnsi" w:eastAsiaTheme="minorEastAsia"/>
        </w:rPr>
      </w:pPr>
      <w:r>
        <w:fldChar w:fldCharType="begin"/>
      </w:r>
      <w:r>
        <w:instrText xml:space="preserve"> HYPERLINK \l "_Toc196728088" </w:instrText>
      </w:r>
      <w:r>
        <w:fldChar w:fldCharType="separate"/>
      </w:r>
      <w:r>
        <w:rPr>
          <w:rStyle w:val="139"/>
        </w:rPr>
        <w:t>8.3. RIP</w:t>
      </w:r>
      <w:r>
        <w:tab/>
      </w:r>
      <w:r>
        <w:fldChar w:fldCharType="begin"/>
      </w:r>
      <w:r>
        <w:instrText xml:space="preserve"> PAGEREF _Toc196728088 \h </w:instrText>
      </w:r>
      <w:r>
        <w:fldChar w:fldCharType="separate"/>
      </w:r>
      <w:r>
        <w:t>208</w:t>
      </w:r>
      <w:r>
        <w:fldChar w:fldCharType="end"/>
      </w:r>
      <w:r>
        <w:fldChar w:fldCharType="end"/>
      </w:r>
    </w:p>
    <w:p w14:paraId="459F0606">
      <w:pPr>
        <w:pStyle w:val="42"/>
        <w:tabs>
          <w:tab w:val="right" w:leader="dot" w:pos="8296"/>
        </w:tabs>
        <w:ind w:left="840"/>
        <w:rPr>
          <w:rFonts w:asciiTheme="minorHAnsi" w:hAnsiTheme="minorHAnsi" w:eastAsiaTheme="minorEastAsia"/>
        </w:rPr>
      </w:pPr>
      <w:r>
        <w:fldChar w:fldCharType="begin"/>
      </w:r>
      <w:r>
        <w:instrText xml:space="preserve"> HYPERLINK \l "_Toc196728089" </w:instrText>
      </w:r>
      <w:r>
        <w:fldChar w:fldCharType="separate"/>
      </w:r>
      <w:r>
        <w:rPr>
          <w:rStyle w:val="139"/>
          <w:kern w:val="0"/>
          <w14:scene3d w14:prst="orthographicFront">
            <w14:lightRig w14:rig="threePt" w14:dir="t">
              <w14:rot w14:lat="0" w14:lon="0" w14:rev="0"/>
            </w14:lightRig>
          </w14:scene3d>
        </w:rPr>
        <w:t>8.3.1.</w:t>
      </w:r>
      <w:r>
        <w:rPr>
          <w:rStyle w:val="139"/>
        </w:rPr>
        <w:t xml:space="preserve"> RIP简介</w:t>
      </w:r>
      <w:r>
        <w:tab/>
      </w:r>
      <w:r>
        <w:fldChar w:fldCharType="begin"/>
      </w:r>
      <w:r>
        <w:instrText xml:space="preserve"> PAGEREF _Toc196728089 \h </w:instrText>
      </w:r>
      <w:r>
        <w:fldChar w:fldCharType="separate"/>
      </w:r>
      <w:r>
        <w:t>208</w:t>
      </w:r>
      <w:r>
        <w:fldChar w:fldCharType="end"/>
      </w:r>
      <w:r>
        <w:fldChar w:fldCharType="end"/>
      </w:r>
    </w:p>
    <w:p w14:paraId="00B6DD2A">
      <w:pPr>
        <w:pStyle w:val="42"/>
        <w:tabs>
          <w:tab w:val="right" w:leader="dot" w:pos="8296"/>
        </w:tabs>
        <w:ind w:left="840"/>
        <w:rPr>
          <w:rFonts w:asciiTheme="minorHAnsi" w:hAnsiTheme="minorHAnsi" w:eastAsiaTheme="minorEastAsia"/>
        </w:rPr>
      </w:pPr>
      <w:r>
        <w:fldChar w:fldCharType="begin"/>
      </w:r>
      <w:r>
        <w:instrText xml:space="preserve"> HYPERLINK \l "_Toc196728090" </w:instrText>
      </w:r>
      <w:r>
        <w:fldChar w:fldCharType="separate"/>
      </w:r>
      <w:r>
        <w:rPr>
          <w:rStyle w:val="139"/>
          <w:kern w:val="0"/>
          <w14:scene3d w14:prst="orthographicFront">
            <w14:lightRig w14:rig="threePt" w14:dir="t">
              <w14:rot w14:lat="0" w14:lon="0" w14:rev="0"/>
            </w14:lightRig>
          </w14:scene3d>
        </w:rPr>
        <w:t>8.3.2.</w:t>
      </w:r>
      <w:r>
        <w:rPr>
          <w:rStyle w:val="139"/>
        </w:rPr>
        <w:t xml:space="preserve"> 配置RIP</w:t>
      </w:r>
      <w:r>
        <w:tab/>
      </w:r>
      <w:r>
        <w:fldChar w:fldCharType="begin"/>
      </w:r>
      <w:r>
        <w:instrText xml:space="preserve"> PAGEREF _Toc196728090 \h </w:instrText>
      </w:r>
      <w:r>
        <w:fldChar w:fldCharType="separate"/>
      </w:r>
      <w:r>
        <w:t>210</w:t>
      </w:r>
      <w:r>
        <w:fldChar w:fldCharType="end"/>
      </w:r>
      <w:r>
        <w:fldChar w:fldCharType="end"/>
      </w:r>
    </w:p>
    <w:p w14:paraId="024F4497">
      <w:pPr>
        <w:pStyle w:val="42"/>
        <w:tabs>
          <w:tab w:val="right" w:leader="dot" w:pos="8296"/>
        </w:tabs>
        <w:ind w:left="840"/>
        <w:rPr>
          <w:rFonts w:asciiTheme="minorHAnsi" w:hAnsiTheme="minorHAnsi" w:eastAsiaTheme="minorEastAsia"/>
        </w:rPr>
      </w:pPr>
      <w:r>
        <w:fldChar w:fldCharType="begin"/>
      </w:r>
      <w:r>
        <w:instrText xml:space="preserve"> HYPERLINK \l "_Toc196728091" </w:instrText>
      </w:r>
      <w:r>
        <w:fldChar w:fldCharType="separate"/>
      </w:r>
      <w:r>
        <w:rPr>
          <w:rStyle w:val="139"/>
          <w:kern w:val="0"/>
          <w14:scene3d w14:prst="orthographicFront">
            <w14:lightRig w14:rig="threePt" w14:dir="t">
              <w14:rot w14:lat="0" w14:lon="0" w14:rev="0"/>
            </w14:lightRig>
          </w14:scene3d>
        </w:rPr>
        <w:t>8.3.3.</w:t>
      </w:r>
      <w:r>
        <w:rPr>
          <w:rStyle w:val="139"/>
        </w:rPr>
        <w:t xml:space="preserve"> RIP配置举例</w:t>
      </w:r>
      <w:r>
        <w:tab/>
      </w:r>
      <w:r>
        <w:fldChar w:fldCharType="begin"/>
      </w:r>
      <w:r>
        <w:instrText xml:space="preserve"> PAGEREF _Toc196728091 \h </w:instrText>
      </w:r>
      <w:r>
        <w:fldChar w:fldCharType="separate"/>
      </w:r>
      <w:r>
        <w:t>216</w:t>
      </w:r>
      <w:r>
        <w:fldChar w:fldCharType="end"/>
      </w:r>
      <w:r>
        <w:fldChar w:fldCharType="end"/>
      </w:r>
    </w:p>
    <w:p w14:paraId="36070E67">
      <w:pPr>
        <w:pStyle w:val="70"/>
        <w:tabs>
          <w:tab w:val="right" w:leader="dot" w:pos="8296"/>
        </w:tabs>
        <w:ind w:left="420"/>
        <w:rPr>
          <w:rFonts w:asciiTheme="minorHAnsi" w:hAnsiTheme="minorHAnsi" w:eastAsiaTheme="minorEastAsia"/>
        </w:rPr>
      </w:pPr>
      <w:r>
        <w:fldChar w:fldCharType="begin"/>
      </w:r>
      <w:r>
        <w:instrText xml:space="preserve"> HYPERLINK \l "_Toc196728092" </w:instrText>
      </w:r>
      <w:r>
        <w:fldChar w:fldCharType="separate"/>
      </w:r>
      <w:r>
        <w:rPr>
          <w:rStyle w:val="139"/>
        </w:rPr>
        <w:t>8.4. RIPng</w:t>
      </w:r>
      <w:r>
        <w:tab/>
      </w:r>
      <w:r>
        <w:fldChar w:fldCharType="begin"/>
      </w:r>
      <w:r>
        <w:instrText xml:space="preserve"> PAGEREF _Toc196728092 \h </w:instrText>
      </w:r>
      <w:r>
        <w:fldChar w:fldCharType="separate"/>
      </w:r>
      <w:r>
        <w:t>219</w:t>
      </w:r>
      <w:r>
        <w:fldChar w:fldCharType="end"/>
      </w:r>
      <w:r>
        <w:fldChar w:fldCharType="end"/>
      </w:r>
    </w:p>
    <w:p w14:paraId="47C05793">
      <w:pPr>
        <w:pStyle w:val="42"/>
        <w:tabs>
          <w:tab w:val="right" w:leader="dot" w:pos="8296"/>
        </w:tabs>
        <w:ind w:left="840"/>
        <w:rPr>
          <w:rFonts w:asciiTheme="minorHAnsi" w:hAnsiTheme="minorHAnsi" w:eastAsiaTheme="minorEastAsia"/>
        </w:rPr>
      </w:pPr>
      <w:r>
        <w:fldChar w:fldCharType="begin"/>
      </w:r>
      <w:r>
        <w:instrText xml:space="preserve"> HYPERLINK \l "_Toc196728093" </w:instrText>
      </w:r>
      <w:r>
        <w:fldChar w:fldCharType="separate"/>
      </w:r>
      <w:r>
        <w:rPr>
          <w:rStyle w:val="139"/>
          <w:kern w:val="0"/>
          <w14:scene3d w14:prst="orthographicFront">
            <w14:lightRig w14:rig="threePt" w14:dir="t">
              <w14:rot w14:lat="0" w14:lon="0" w14:rev="0"/>
            </w14:lightRig>
          </w14:scene3d>
        </w:rPr>
        <w:t>8.4.1.</w:t>
      </w:r>
      <w:r>
        <w:rPr>
          <w:rStyle w:val="139"/>
        </w:rPr>
        <w:t xml:space="preserve"> RIPng简介</w:t>
      </w:r>
      <w:r>
        <w:tab/>
      </w:r>
      <w:r>
        <w:fldChar w:fldCharType="begin"/>
      </w:r>
      <w:r>
        <w:instrText xml:space="preserve"> PAGEREF _Toc196728093 \h </w:instrText>
      </w:r>
      <w:r>
        <w:fldChar w:fldCharType="separate"/>
      </w:r>
      <w:r>
        <w:t>219</w:t>
      </w:r>
      <w:r>
        <w:fldChar w:fldCharType="end"/>
      </w:r>
      <w:r>
        <w:fldChar w:fldCharType="end"/>
      </w:r>
    </w:p>
    <w:p w14:paraId="38EC7EF1">
      <w:pPr>
        <w:pStyle w:val="42"/>
        <w:tabs>
          <w:tab w:val="right" w:leader="dot" w:pos="8296"/>
        </w:tabs>
        <w:ind w:left="840"/>
        <w:rPr>
          <w:rFonts w:asciiTheme="minorHAnsi" w:hAnsiTheme="minorHAnsi" w:eastAsiaTheme="minorEastAsia"/>
        </w:rPr>
      </w:pPr>
      <w:r>
        <w:fldChar w:fldCharType="begin"/>
      </w:r>
      <w:r>
        <w:instrText xml:space="preserve"> HYPERLINK \l "_Toc196728094" </w:instrText>
      </w:r>
      <w:r>
        <w:fldChar w:fldCharType="separate"/>
      </w:r>
      <w:r>
        <w:rPr>
          <w:rStyle w:val="139"/>
          <w:kern w:val="0"/>
          <w14:scene3d w14:prst="orthographicFront">
            <w14:lightRig w14:rig="threePt" w14:dir="t">
              <w14:rot w14:lat="0" w14:lon="0" w14:rev="0"/>
            </w14:lightRig>
          </w14:scene3d>
        </w:rPr>
        <w:t>8.4.2.</w:t>
      </w:r>
      <w:r>
        <w:rPr>
          <w:rStyle w:val="139"/>
        </w:rPr>
        <w:t xml:space="preserve"> 配置RIPng</w:t>
      </w:r>
      <w:r>
        <w:tab/>
      </w:r>
      <w:r>
        <w:fldChar w:fldCharType="begin"/>
      </w:r>
      <w:r>
        <w:instrText xml:space="preserve"> PAGEREF _Toc196728094 \h </w:instrText>
      </w:r>
      <w:r>
        <w:fldChar w:fldCharType="separate"/>
      </w:r>
      <w:r>
        <w:t>219</w:t>
      </w:r>
      <w:r>
        <w:fldChar w:fldCharType="end"/>
      </w:r>
      <w:r>
        <w:fldChar w:fldCharType="end"/>
      </w:r>
    </w:p>
    <w:p w14:paraId="63CEA38A">
      <w:pPr>
        <w:pStyle w:val="42"/>
        <w:tabs>
          <w:tab w:val="right" w:leader="dot" w:pos="8296"/>
        </w:tabs>
        <w:ind w:left="840"/>
        <w:rPr>
          <w:rFonts w:asciiTheme="minorHAnsi" w:hAnsiTheme="minorHAnsi" w:eastAsiaTheme="minorEastAsia"/>
        </w:rPr>
      </w:pPr>
      <w:r>
        <w:fldChar w:fldCharType="begin"/>
      </w:r>
      <w:r>
        <w:instrText xml:space="preserve"> HYPERLINK \l "_Toc196728095" </w:instrText>
      </w:r>
      <w:r>
        <w:fldChar w:fldCharType="separate"/>
      </w:r>
      <w:r>
        <w:rPr>
          <w:rStyle w:val="139"/>
          <w:kern w:val="0"/>
          <w14:scene3d w14:prst="orthographicFront">
            <w14:lightRig w14:rig="threePt" w14:dir="t">
              <w14:rot w14:lat="0" w14:lon="0" w14:rev="0"/>
            </w14:lightRig>
          </w14:scene3d>
        </w:rPr>
        <w:t>8.4.3.</w:t>
      </w:r>
      <w:r>
        <w:rPr>
          <w:rStyle w:val="139"/>
        </w:rPr>
        <w:t xml:space="preserve"> RIPng配置举例</w:t>
      </w:r>
      <w:r>
        <w:tab/>
      </w:r>
      <w:r>
        <w:fldChar w:fldCharType="begin"/>
      </w:r>
      <w:r>
        <w:instrText xml:space="preserve"> PAGEREF _Toc196728095 \h </w:instrText>
      </w:r>
      <w:r>
        <w:fldChar w:fldCharType="separate"/>
      </w:r>
      <w:r>
        <w:t>222</w:t>
      </w:r>
      <w:r>
        <w:fldChar w:fldCharType="end"/>
      </w:r>
      <w:r>
        <w:fldChar w:fldCharType="end"/>
      </w:r>
    </w:p>
    <w:p w14:paraId="0964C39F">
      <w:pPr>
        <w:pStyle w:val="70"/>
        <w:tabs>
          <w:tab w:val="right" w:leader="dot" w:pos="8296"/>
        </w:tabs>
        <w:ind w:left="420"/>
        <w:rPr>
          <w:rFonts w:asciiTheme="minorHAnsi" w:hAnsiTheme="minorHAnsi" w:eastAsiaTheme="minorEastAsia"/>
        </w:rPr>
      </w:pPr>
      <w:r>
        <w:fldChar w:fldCharType="begin"/>
      </w:r>
      <w:r>
        <w:instrText xml:space="preserve"> HYPERLINK \l "_Toc196728096" </w:instrText>
      </w:r>
      <w:r>
        <w:fldChar w:fldCharType="separate"/>
      </w:r>
      <w:r>
        <w:rPr>
          <w:rStyle w:val="139"/>
        </w:rPr>
        <w:t>8.5. OSPF</w:t>
      </w:r>
      <w:r>
        <w:tab/>
      </w:r>
      <w:r>
        <w:fldChar w:fldCharType="begin"/>
      </w:r>
      <w:r>
        <w:instrText xml:space="preserve"> PAGEREF _Toc196728096 \h </w:instrText>
      </w:r>
      <w:r>
        <w:fldChar w:fldCharType="separate"/>
      </w:r>
      <w:r>
        <w:t>225</w:t>
      </w:r>
      <w:r>
        <w:fldChar w:fldCharType="end"/>
      </w:r>
      <w:r>
        <w:fldChar w:fldCharType="end"/>
      </w:r>
    </w:p>
    <w:p w14:paraId="79B1601C">
      <w:pPr>
        <w:pStyle w:val="42"/>
        <w:tabs>
          <w:tab w:val="right" w:leader="dot" w:pos="8296"/>
        </w:tabs>
        <w:ind w:left="840"/>
        <w:rPr>
          <w:rFonts w:asciiTheme="minorHAnsi" w:hAnsiTheme="minorHAnsi" w:eastAsiaTheme="minorEastAsia"/>
        </w:rPr>
      </w:pPr>
      <w:r>
        <w:fldChar w:fldCharType="begin"/>
      </w:r>
      <w:r>
        <w:instrText xml:space="preserve"> HYPERLINK \l "_Toc196728097" </w:instrText>
      </w:r>
      <w:r>
        <w:fldChar w:fldCharType="separate"/>
      </w:r>
      <w:r>
        <w:rPr>
          <w:rStyle w:val="139"/>
          <w:kern w:val="0"/>
          <w14:scene3d w14:prst="orthographicFront">
            <w14:lightRig w14:rig="threePt" w14:dir="t">
              <w14:rot w14:lat="0" w14:lon="0" w14:rev="0"/>
            </w14:lightRig>
          </w14:scene3d>
        </w:rPr>
        <w:t>8.5.1.</w:t>
      </w:r>
      <w:r>
        <w:rPr>
          <w:rStyle w:val="139"/>
        </w:rPr>
        <w:t xml:space="preserve"> OSPF简介</w:t>
      </w:r>
      <w:r>
        <w:tab/>
      </w:r>
      <w:r>
        <w:fldChar w:fldCharType="begin"/>
      </w:r>
      <w:r>
        <w:instrText xml:space="preserve"> PAGEREF _Toc196728097 \h </w:instrText>
      </w:r>
      <w:r>
        <w:fldChar w:fldCharType="separate"/>
      </w:r>
      <w:r>
        <w:t>225</w:t>
      </w:r>
      <w:r>
        <w:fldChar w:fldCharType="end"/>
      </w:r>
      <w:r>
        <w:fldChar w:fldCharType="end"/>
      </w:r>
    </w:p>
    <w:p w14:paraId="24C0F89A">
      <w:pPr>
        <w:pStyle w:val="42"/>
        <w:tabs>
          <w:tab w:val="right" w:leader="dot" w:pos="8296"/>
        </w:tabs>
        <w:ind w:left="840"/>
        <w:rPr>
          <w:rFonts w:asciiTheme="minorHAnsi" w:hAnsiTheme="minorHAnsi" w:eastAsiaTheme="minorEastAsia"/>
        </w:rPr>
      </w:pPr>
      <w:r>
        <w:fldChar w:fldCharType="begin"/>
      </w:r>
      <w:r>
        <w:instrText xml:space="preserve"> HYPERLINK \l "_Toc196728098" </w:instrText>
      </w:r>
      <w:r>
        <w:fldChar w:fldCharType="separate"/>
      </w:r>
      <w:r>
        <w:rPr>
          <w:rStyle w:val="139"/>
          <w:kern w:val="0"/>
          <w14:scene3d w14:prst="orthographicFront">
            <w14:lightRig w14:rig="threePt" w14:dir="t">
              <w14:rot w14:lat="0" w14:lon="0" w14:rev="0"/>
            </w14:lightRig>
          </w14:scene3d>
        </w:rPr>
        <w:t>8.5.2.</w:t>
      </w:r>
      <w:r>
        <w:rPr>
          <w:rStyle w:val="139"/>
        </w:rPr>
        <w:t xml:space="preserve"> OSPF的特点</w:t>
      </w:r>
      <w:r>
        <w:tab/>
      </w:r>
      <w:r>
        <w:fldChar w:fldCharType="begin"/>
      </w:r>
      <w:r>
        <w:instrText xml:space="preserve"> PAGEREF _Toc196728098 \h </w:instrText>
      </w:r>
      <w:r>
        <w:fldChar w:fldCharType="separate"/>
      </w:r>
      <w:r>
        <w:t>225</w:t>
      </w:r>
      <w:r>
        <w:fldChar w:fldCharType="end"/>
      </w:r>
      <w:r>
        <w:fldChar w:fldCharType="end"/>
      </w:r>
    </w:p>
    <w:p w14:paraId="1A0DEB1D">
      <w:pPr>
        <w:pStyle w:val="42"/>
        <w:tabs>
          <w:tab w:val="right" w:leader="dot" w:pos="8296"/>
        </w:tabs>
        <w:ind w:left="840"/>
        <w:rPr>
          <w:rFonts w:asciiTheme="minorHAnsi" w:hAnsiTheme="minorHAnsi" w:eastAsiaTheme="minorEastAsia"/>
        </w:rPr>
      </w:pPr>
      <w:r>
        <w:fldChar w:fldCharType="begin"/>
      </w:r>
      <w:r>
        <w:instrText xml:space="preserve"> HYPERLINK \l "_Toc196728099" </w:instrText>
      </w:r>
      <w:r>
        <w:fldChar w:fldCharType="separate"/>
      </w:r>
      <w:r>
        <w:rPr>
          <w:rStyle w:val="139"/>
          <w:kern w:val="0"/>
          <w14:scene3d w14:prst="orthographicFront">
            <w14:lightRig w14:rig="threePt" w14:dir="t">
              <w14:rot w14:lat="0" w14:lon="0" w14:rev="0"/>
            </w14:lightRig>
          </w14:scene3d>
        </w:rPr>
        <w:t>8.5.3.</w:t>
      </w:r>
      <w:r>
        <w:rPr>
          <w:rStyle w:val="139"/>
        </w:rPr>
        <w:t xml:space="preserve"> OSPF配置</w:t>
      </w:r>
      <w:r>
        <w:tab/>
      </w:r>
      <w:r>
        <w:fldChar w:fldCharType="begin"/>
      </w:r>
      <w:r>
        <w:instrText xml:space="preserve"> PAGEREF _Toc196728099 \h </w:instrText>
      </w:r>
      <w:r>
        <w:fldChar w:fldCharType="separate"/>
      </w:r>
      <w:r>
        <w:t>229</w:t>
      </w:r>
      <w:r>
        <w:fldChar w:fldCharType="end"/>
      </w:r>
      <w:r>
        <w:fldChar w:fldCharType="end"/>
      </w:r>
    </w:p>
    <w:p w14:paraId="23016FBC">
      <w:pPr>
        <w:pStyle w:val="42"/>
        <w:tabs>
          <w:tab w:val="right" w:leader="dot" w:pos="8296"/>
        </w:tabs>
        <w:ind w:left="840"/>
        <w:rPr>
          <w:rFonts w:asciiTheme="minorHAnsi" w:hAnsiTheme="minorHAnsi" w:eastAsiaTheme="minorEastAsia"/>
        </w:rPr>
      </w:pPr>
      <w:r>
        <w:fldChar w:fldCharType="begin"/>
      </w:r>
      <w:r>
        <w:instrText xml:space="preserve"> HYPERLINK \l "_Toc196728100" </w:instrText>
      </w:r>
      <w:r>
        <w:fldChar w:fldCharType="separate"/>
      </w:r>
      <w:r>
        <w:rPr>
          <w:rStyle w:val="139"/>
          <w:kern w:val="0"/>
          <w14:scene3d w14:prst="orthographicFront">
            <w14:lightRig w14:rig="threePt" w14:dir="t">
              <w14:rot w14:lat="0" w14:lon="0" w14:rev="0"/>
            </w14:lightRig>
          </w14:scene3d>
        </w:rPr>
        <w:t>8.5.4.</w:t>
      </w:r>
      <w:r>
        <w:rPr>
          <w:rStyle w:val="139"/>
        </w:rPr>
        <w:t xml:space="preserve"> OSPF配置举例</w:t>
      </w:r>
      <w:r>
        <w:tab/>
      </w:r>
      <w:r>
        <w:fldChar w:fldCharType="begin"/>
      </w:r>
      <w:r>
        <w:instrText xml:space="preserve"> PAGEREF _Toc196728100 \h </w:instrText>
      </w:r>
      <w:r>
        <w:fldChar w:fldCharType="separate"/>
      </w:r>
      <w:r>
        <w:t>236</w:t>
      </w:r>
      <w:r>
        <w:fldChar w:fldCharType="end"/>
      </w:r>
      <w:r>
        <w:fldChar w:fldCharType="end"/>
      </w:r>
    </w:p>
    <w:p w14:paraId="09283B9E">
      <w:pPr>
        <w:pStyle w:val="70"/>
        <w:tabs>
          <w:tab w:val="right" w:leader="dot" w:pos="8296"/>
        </w:tabs>
        <w:ind w:left="420"/>
        <w:rPr>
          <w:rFonts w:asciiTheme="minorHAnsi" w:hAnsiTheme="minorHAnsi" w:eastAsiaTheme="minorEastAsia"/>
        </w:rPr>
      </w:pPr>
      <w:r>
        <w:fldChar w:fldCharType="begin"/>
      </w:r>
      <w:r>
        <w:instrText xml:space="preserve"> HYPERLINK \l "_Toc196728101" </w:instrText>
      </w:r>
      <w:r>
        <w:fldChar w:fldCharType="separate"/>
      </w:r>
      <w:r>
        <w:rPr>
          <w:rStyle w:val="139"/>
        </w:rPr>
        <w:t>8.6. OSPF6</w:t>
      </w:r>
      <w:r>
        <w:tab/>
      </w:r>
      <w:r>
        <w:fldChar w:fldCharType="begin"/>
      </w:r>
      <w:r>
        <w:instrText xml:space="preserve"> PAGEREF _Toc196728101 \h </w:instrText>
      </w:r>
      <w:r>
        <w:fldChar w:fldCharType="separate"/>
      </w:r>
      <w:r>
        <w:t>240</w:t>
      </w:r>
      <w:r>
        <w:fldChar w:fldCharType="end"/>
      </w:r>
      <w:r>
        <w:fldChar w:fldCharType="end"/>
      </w:r>
    </w:p>
    <w:p w14:paraId="6783D857">
      <w:pPr>
        <w:pStyle w:val="42"/>
        <w:tabs>
          <w:tab w:val="right" w:leader="dot" w:pos="8296"/>
        </w:tabs>
        <w:ind w:left="840"/>
        <w:rPr>
          <w:rFonts w:asciiTheme="minorHAnsi" w:hAnsiTheme="minorHAnsi" w:eastAsiaTheme="minorEastAsia"/>
        </w:rPr>
      </w:pPr>
      <w:r>
        <w:fldChar w:fldCharType="begin"/>
      </w:r>
      <w:r>
        <w:instrText xml:space="preserve"> HYPERLINK \l "_Toc196728102" </w:instrText>
      </w:r>
      <w:r>
        <w:fldChar w:fldCharType="separate"/>
      </w:r>
      <w:r>
        <w:rPr>
          <w:rStyle w:val="139"/>
          <w:kern w:val="0"/>
          <w14:scene3d w14:prst="orthographicFront">
            <w14:lightRig w14:rig="threePt" w14:dir="t">
              <w14:rot w14:lat="0" w14:lon="0" w14:rev="0"/>
            </w14:lightRig>
          </w14:scene3d>
        </w:rPr>
        <w:t>8.6.1.</w:t>
      </w:r>
      <w:r>
        <w:rPr>
          <w:rStyle w:val="139"/>
        </w:rPr>
        <w:t xml:space="preserve"> 简介</w:t>
      </w:r>
      <w:r>
        <w:tab/>
      </w:r>
      <w:r>
        <w:fldChar w:fldCharType="begin"/>
      </w:r>
      <w:r>
        <w:instrText xml:space="preserve"> PAGEREF _Toc196728102 \h </w:instrText>
      </w:r>
      <w:r>
        <w:fldChar w:fldCharType="separate"/>
      </w:r>
      <w:r>
        <w:t>240</w:t>
      </w:r>
      <w:r>
        <w:fldChar w:fldCharType="end"/>
      </w:r>
      <w:r>
        <w:fldChar w:fldCharType="end"/>
      </w:r>
    </w:p>
    <w:p w14:paraId="480F676F">
      <w:pPr>
        <w:pStyle w:val="42"/>
        <w:tabs>
          <w:tab w:val="right" w:leader="dot" w:pos="8296"/>
        </w:tabs>
        <w:ind w:left="840"/>
        <w:rPr>
          <w:rFonts w:asciiTheme="minorHAnsi" w:hAnsiTheme="minorHAnsi" w:eastAsiaTheme="minorEastAsia"/>
        </w:rPr>
      </w:pPr>
      <w:r>
        <w:fldChar w:fldCharType="begin"/>
      </w:r>
      <w:r>
        <w:instrText xml:space="preserve"> HYPERLINK \l "_Toc196728103" </w:instrText>
      </w:r>
      <w:r>
        <w:fldChar w:fldCharType="separate"/>
      </w:r>
      <w:r>
        <w:rPr>
          <w:rStyle w:val="139"/>
          <w:kern w:val="0"/>
          <w14:scene3d w14:prst="orthographicFront">
            <w14:lightRig w14:rig="threePt" w14:dir="t">
              <w14:rot w14:lat="0" w14:lon="0" w14:rev="0"/>
            </w14:lightRig>
          </w14:scene3d>
        </w:rPr>
        <w:t>8.6.2.</w:t>
      </w:r>
      <w:r>
        <w:rPr>
          <w:rStyle w:val="139"/>
        </w:rPr>
        <w:t xml:space="preserve"> OSPFv6的特点</w:t>
      </w:r>
      <w:r>
        <w:tab/>
      </w:r>
      <w:r>
        <w:fldChar w:fldCharType="begin"/>
      </w:r>
      <w:r>
        <w:instrText xml:space="preserve"> PAGEREF _Toc196728103 \h </w:instrText>
      </w:r>
      <w:r>
        <w:fldChar w:fldCharType="separate"/>
      </w:r>
      <w:r>
        <w:t>241</w:t>
      </w:r>
      <w:r>
        <w:fldChar w:fldCharType="end"/>
      </w:r>
      <w:r>
        <w:fldChar w:fldCharType="end"/>
      </w:r>
    </w:p>
    <w:p w14:paraId="11FFE166">
      <w:pPr>
        <w:pStyle w:val="42"/>
        <w:tabs>
          <w:tab w:val="right" w:leader="dot" w:pos="8296"/>
        </w:tabs>
        <w:ind w:left="840"/>
        <w:rPr>
          <w:rFonts w:asciiTheme="minorHAnsi" w:hAnsiTheme="minorHAnsi" w:eastAsiaTheme="minorEastAsia"/>
        </w:rPr>
      </w:pPr>
      <w:r>
        <w:fldChar w:fldCharType="begin"/>
      </w:r>
      <w:r>
        <w:instrText xml:space="preserve"> HYPERLINK \l "_Toc196728104" </w:instrText>
      </w:r>
      <w:r>
        <w:fldChar w:fldCharType="separate"/>
      </w:r>
      <w:r>
        <w:rPr>
          <w:rStyle w:val="139"/>
          <w:kern w:val="0"/>
          <w14:scene3d w14:prst="orthographicFront">
            <w14:lightRig w14:rig="threePt" w14:dir="t">
              <w14:rot w14:lat="0" w14:lon="0" w14:rev="0"/>
            </w14:lightRig>
          </w14:scene3d>
        </w:rPr>
        <w:t>8.6.3.</w:t>
      </w:r>
      <w:r>
        <w:rPr>
          <w:rStyle w:val="139"/>
        </w:rPr>
        <w:t xml:space="preserve"> OSPFv6配置</w:t>
      </w:r>
      <w:r>
        <w:tab/>
      </w:r>
      <w:r>
        <w:fldChar w:fldCharType="begin"/>
      </w:r>
      <w:r>
        <w:instrText xml:space="preserve"> PAGEREF _Toc196728104 \h </w:instrText>
      </w:r>
      <w:r>
        <w:fldChar w:fldCharType="separate"/>
      </w:r>
      <w:r>
        <w:t>243</w:t>
      </w:r>
      <w:r>
        <w:fldChar w:fldCharType="end"/>
      </w:r>
      <w:r>
        <w:fldChar w:fldCharType="end"/>
      </w:r>
    </w:p>
    <w:p w14:paraId="2076B1E4">
      <w:pPr>
        <w:pStyle w:val="42"/>
        <w:tabs>
          <w:tab w:val="right" w:leader="dot" w:pos="8296"/>
        </w:tabs>
        <w:ind w:left="840"/>
        <w:rPr>
          <w:rFonts w:asciiTheme="minorHAnsi" w:hAnsiTheme="minorHAnsi" w:eastAsiaTheme="minorEastAsia"/>
        </w:rPr>
      </w:pPr>
      <w:r>
        <w:fldChar w:fldCharType="begin"/>
      </w:r>
      <w:r>
        <w:instrText xml:space="preserve"> HYPERLINK \l "_Toc196728105" </w:instrText>
      </w:r>
      <w:r>
        <w:fldChar w:fldCharType="separate"/>
      </w:r>
      <w:r>
        <w:rPr>
          <w:rStyle w:val="139"/>
          <w:kern w:val="0"/>
          <w14:scene3d w14:prst="orthographicFront">
            <w14:lightRig w14:rig="threePt" w14:dir="t">
              <w14:rot w14:lat="0" w14:lon="0" w14:rev="0"/>
            </w14:lightRig>
          </w14:scene3d>
        </w:rPr>
        <w:t>8.6.4.</w:t>
      </w:r>
      <w:r>
        <w:rPr>
          <w:rStyle w:val="139"/>
        </w:rPr>
        <w:t xml:space="preserve"> OSPFv6配置举例</w:t>
      </w:r>
      <w:r>
        <w:tab/>
      </w:r>
      <w:r>
        <w:fldChar w:fldCharType="begin"/>
      </w:r>
      <w:r>
        <w:instrText xml:space="preserve"> PAGEREF _Toc196728105 \h </w:instrText>
      </w:r>
      <w:r>
        <w:fldChar w:fldCharType="separate"/>
      </w:r>
      <w:r>
        <w:t>246</w:t>
      </w:r>
      <w:r>
        <w:fldChar w:fldCharType="end"/>
      </w:r>
      <w:r>
        <w:fldChar w:fldCharType="end"/>
      </w:r>
    </w:p>
    <w:p w14:paraId="04933546">
      <w:pPr>
        <w:pStyle w:val="70"/>
        <w:tabs>
          <w:tab w:val="right" w:leader="dot" w:pos="8296"/>
        </w:tabs>
        <w:ind w:left="420"/>
        <w:rPr>
          <w:rFonts w:asciiTheme="minorHAnsi" w:hAnsiTheme="minorHAnsi" w:eastAsiaTheme="minorEastAsia"/>
        </w:rPr>
      </w:pPr>
      <w:r>
        <w:fldChar w:fldCharType="begin"/>
      </w:r>
      <w:r>
        <w:instrText xml:space="preserve"> HYPERLINK \l "_Toc196728106" </w:instrText>
      </w:r>
      <w:r>
        <w:fldChar w:fldCharType="separate"/>
      </w:r>
      <w:r>
        <w:rPr>
          <w:rStyle w:val="139"/>
        </w:rPr>
        <w:t>8.7. 策略路由</w:t>
      </w:r>
      <w:r>
        <w:tab/>
      </w:r>
      <w:r>
        <w:fldChar w:fldCharType="begin"/>
      </w:r>
      <w:r>
        <w:instrText xml:space="preserve"> PAGEREF _Toc196728106 \h </w:instrText>
      </w:r>
      <w:r>
        <w:fldChar w:fldCharType="separate"/>
      </w:r>
      <w:r>
        <w:t>251</w:t>
      </w:r>
      <w:r>
        <w:fldChar w:fldCharType="end"/>
      </w:r>
      <w:r>
        <w:fldChar w:fldCharType="end"/>
      </w:r>
    </w:p>
    <w:p w14:paraId="1E6F6FCF">
      <w:pPr>
        <w:pStyle w:val="42"/>
        <w:tabs>
          <w:tab w:val="right" w:leader="dot" w:pos="8296"/>
        </w:tabs>
        <w:ind w:left="840"/>
        <w:rPr>
          <w:rFonts w:asciiTheme="minorHAnsi" w:hAnsiTheme="minorHAnsi" w:eastAsiaTheme="minorEastAsia"/>
        </w:rPr>
      </w:pPr>
      <w:r>
        <w:fldChar w:fldCharType="begin"/>
      </w:r>
      <w:r>
        <w:instrText xml:space="preserve"> HYPERLINK \l "_Toc196728107" </w:instrText>
      </w:r>
      <w:r>
        <w:fldChar w:fldCharType="separate"/>
      </w:r>
      <w:r>
        <w:rPr>
          <w:rStyle w:val="139"/>
          <w:kern w:val="0"/>
          <w14:scene3d w14:prst="orthographicFront">
            <w14:lightRig w14:rig="threePt" w14:dir="t">
              <w14:rot w14:lat="0" w14:lon="0" w14:rev="0"/>
            </w14:lightRig>
          </w14:scene3d>
        </w:rPr>
        <w:t>8.7.1.</w:t>
      </w:r>
      <w:r>
        <w:rPr>
          <w:rStyle w:val="139"/>
        </w:rPr>
        <w:t xml:space="preserve"> 概述</w:t>
      </w:r>
      <w:r>
        <w:tab/>
      </w:r>
      <w:r>
        <w:fldChar w:fldCharType="begin"/>
      </w:r>
      <w:r>
        <w:instrText xml:space="preserve"> PAGEREF _Toc196728107 \h </w:instrText>
      </w:r>
      <w:r>
        <w:fldChar w:fldCharType="separate"/>
      </w:r>
      <w:r>
        <w:t>251</w:t>
      </w:r>
      <w:r>
        <w:fldChar w:fldCharType="end"/>
      </w:r>
      <w:r>
        <w:fldChar w:fldCharType="end"/>
      </w:r>
    </w:p>
    <w:p w14:paraId="34212693">
      <w:pPr>
        <w:pStyle w:val="42"/>
        <w:tabs>
          <w:tab w:val="right" w:leader="dot" w:pos="8296"/>
        </w:tabs>
        <w:ind w:left="840"/>
        <w:rPr>
          <w:rFonts w:asciiTheme="minorHAnsi" w:hAnsiTheme="minorHAnsi" w:eastAsiaTheme="minorEastAsia"/>
        </w:rPr>
      </w:pPr>
      <w:r>
        <w:fldChar w:fldCharType="begin"/>
      </w:r>
      <w:r>
        <w:instrText xml:space="preserve"> HYPERLINK \l "_Toc196728108" </w:instrText>
      </w:r>
      <w:r>
        <w:fldChar w:fldCharType="separate"/>
      </w:r>
      <w:r>
        <w:rPr>
          <w:rStyle w:val="139"/>
          <w:kern w:val="0"/>
          <w14:scene3d w14:prst="orthographicFront">
            <w14:lightRig w14:rig="threePt" w14:dir="t">
              <w14:rot w14:lat="0" w14:lon="0" w14:rev="0"/>
            </w14:lightRig>
          </w14:scene3d>
        </w:rPr>
        <w:t>8.7.2.</w:t>
      </w:r>
      <w:r>
        <w:rPr>
          <w:rStyle w:val="139"/>
        </w:rPr>
        <w:t xml:space="preserve"> 策略路由表</w:t>
      </w:r>
      <w:r>
        <w:tab/>
      </w:r>
      <w:r>
        <w:fldChar w:fldCharType="begin"/>
      </w:r>
      <w:r>
        <w:instrText xml:space="preserve"> PAGEREF _Toc196728108 \h </w:instrText>
      </w:r>
      <w:r>
        <w:fldChar w:fldCharType="separate"/>
      </w:r>
      <w:r>
        <w:t>251</w:t>
      </w:r>
      <w:r>
        <w:fldChar w:fldCharType="end"/>
      </w:r>
      <w:r>
        <w:fldChar w:fldCharType="end"/>
      </w:r>
    </w:p>
    <w:p w14:paraId="76D1AF17">
      <w:pPr>
        <w:pStyle w:val="42"/>
        <w:tabs>
          <w:tab w:val="right" w:leader="dot" w:pos="8296"/>
        </w:tabs>
        <w:ind w:left="840"/>
        <w:rPr>
          <w:rFonts w:asciiTheme="minorHAnsi" w:hAnsiTheme="minorHAnsi" w:eastAsiaTheme="minorEastAsia"/>
        </w:rPr>
      </w:pPr>
      <w:r>
        <w:fldChar w:fldCharType="begin"/>
      </w:r>
      <w:r>
        <w:instrText xml:space="preserve"> HYPERLINK \l "_Toc196728109" </w:instrText>
      </w:r>
      <w:r>
        <w:fldChar w:fldCharType="separate"/>
      </w:r>
      <w:r>
        <w:rPr>
          <w:rStyle w:val="139"/>
          <w:kern w:val="0"/>
          <w14:scene3d w14:prst="orthographicFront">
            <w14:lightRig w14:rig="threePt" w14:dir="t">
              <w14:rot w14:lat="0" w14:lon="0" w14:rev="0"/>
            </w14:lightRig>
          </w14:scene3d>
        </w:rPr>
        <w:t>8.7.3.</w:t>
      </w:r>
      <w:r>
        <w:rPr>
          <w:rStyle w:val="139"/>
        </w:rPr>
        <w:t xml:space="preserve"> 策略路由配置</w:t>
      </w:r>
      <w:r>
        <w:tab/>
      </w:r>
      <w:r>
        <w:fldChar w:fldCharType="begin"/>
      </w:r>
      <w:r>
        <w:instrText xml:space="preserve"> PAGEREF _Toc196728109 \h </w:instrText>
      </w:r>
      <w:r>
        <w:fldChar w:fldCharType="separate"/>
      </w:r>
      <w:r>
        <w:t>252</w:t>
      </w:r>
      <w:r>
        <w:fldChar w:fldCharType="end"/>
      </w:r>
      <w:r>
        <w:fldChar w:fldCharType="end"/>
      </w:r>
    </w:p>
    <w:p w14:paraId="6536EF74">
      <w:pPr>
        <w:pStyle w:val="42"/>
        <w:tabs>
          <w:tab w:val="right" w:leader="dot" w:pos="8296"/>
        </w:tabs>
        <w:ind w:left="840"/>
        <w:rPr>
          <w:rFonts w:asciiTheme="minorHAnsi" w:hAnsiTheme="minorHAnsi" w:eastAsiaTheme="minorEastAsia"/>
        </w:rPr>
      </w:pPr>
      <w:r>
        <w:fldChar w:fldCharType="begin"/>
      </w:r>
      <w:r>
        <w:instrText xml:space="preserve"> HYPERLINK \l "_Toc196728110" </w:instrText>
      </w:r>
      <w:r>
        <w:fldChar w:fldCharType="separate"/>
      </w:r>
      <w:r>
        <w:rPr>
          <w:rStyle w:val="139"/>
          <w:kern w:val="0"/>
          <w14:scene3d w14:prst="orthographicFront">
            <w14:lightRig w14:rig="threePt" w14:dir="t">
              <w14:rot w14:lat="0" w14:lon="0" w14:rev="0"/>
            </w14:lightRig>
          </w14:scene3d>
        </w:rPr>
        <w:t>8.7.4.</w:t>
      </w:r>
      <w:r>
        <w:rPr>
          <w:rStyle w:val="139"/>
        </w:rPr>
        <w:t xml:space="preserve"> 移动策略路由</w:t>
      </w:r>
      <w:r>
        <w:tab/>
      </w:r>
      <w:r>
        <w:fldChar w:fldCharType="begin"/>
      </w:r>
      <w:r>
        <w:instrText xml:space="preserve"> PAGEREF _Toc196728110 \h </w:instrText>
      </w:r>
      <w:r>
        <w:fldChar w:fldCharType="separate"/>
      </w:r>
      <w:r>
        <w:t>253</w:t>
      </w:r>
      <w:r>
        <w:fldChar w:fldCharType="end"/>
      </w:r>
      <w:r>
        <w:fldChar w:fldCharType="end"/>
      </w:r>
    </w:p>
    <w:p w14:paraId="078D16C7">
      <w:pPr>
        <w:pStyle w:val="42"/>
        <w:tabs>
          <w:tab w:val="right" w:leader="dot" w:pos="8296"/>
        </w:tabs>
        <w:ind w:left="840"/>
        <w:rPr>
          <w:rFonts w:asciiTheme="minorHAnsi" w:hAnsiTheme="minorHAnsi" w:eastAsiaTheme="minorEastAsia"/>
        </w:rPr>
      </w:pPr>
      <w:r>
        <w:fldChar w:fldCharType="begin"/>
      </w:r>
      <w:r>
        <w:instrText xml:space="preserve"> HYPERLINK \l "_Toc196728111" </w:instrText>
      </w:r>
      <w:r>
        <w:fldChar w:fldCharType="separate"/>
      </w:r>
      <w:r>
        <w:rPr>
          <w:rStyle w:val="139"/>
          <w:kern w:val="0"/>
          <w14:scene3d w14:prst="orthographicFront">
            <w14:lightRig w14:rig="threePt" w14:dir="t">
              <w14:rot w14:lat="0" w14:lon="0" w14:rev="0"/>
            </w14:lightRig>
          </w14:scene3d>
        </w:rPr>
        <w:t>8.7.5.</w:t>
      </w:r>
      <w:r>
        <w:rPr>
          <w:rStyle w:val="139"/>
        </w:rPr>
        <w:t xml:space="preserve"> 策略路由配置举例</w:t>
      </w:r>
      <w:r>
        <w:tab/>
      </w:r>
      <w:r>
        <w:fldChar w:fldCharType="begin"/>
      </w:r>
      <w:r>
        <w:instrText xml:space="preserve"> PAGEREF _Toc196728111 \h </w:instrText>
      </w:r>
      <w:r>
        <w:fldChar w:fldCharType="separate"/>
      </w:r>
      <w:r>
        <w:t>254</w:t>
      </w:r>
      <w:r>
        <w:fldChar w:fldCharType="end"/>
      </w:r>
      <w:r>
        <w:fldChar w:fldCharType="end"/>
      </w:r>
    </w:p>
    <w:p w14:paraId="4AAF7768">
      <w:pPr>
        <w:pStyle w:val="70"/>
        <w:tabs>
          <w:tab w:val="right" w:leader="dot" w:pos="8296"/>
        </w:tabs>
        <w:ind w:left="420"/>
        <w:rPr>
          <w:rFonts w:asciiTheme="minorHAnsi" w:hAnsiTheme="minorHAnsi" w:eastAsiaTheme="minorEastAsia"/>
        </w:rPr>
      </w:pPr>
      <w:r>
        <w:fldChar w:fldCharType="begin"/>
      </w:r>
      <w:r>
        <w:instrText xml:space="preserve"> HYPERLINK \l "_Toc196728112" </w:instrText>
      </w:r>
      <w:r>
        <w:fldChar w:fldCharType="separate"/>
      </w:r>
      <w:r>
        <w:rPr>
          <w:rStyle w:val="139"/>
        </w:rPr>
        <w:t>8.8. ISP路由</w:t>
      </w:r>
      <w:r>
        <w:tab/>
      </w:r>
      <w:r>
        <w:fldChar w:fldCharType="begin"/>
      </w:r>
      <w:r>
        <w:instrText xml:space="preserve"> PAGEREF _Toc196728112 \h </w:instrText>
      </w:r>
      <w:r>
        <w:fldChar w:fldCharType="separate"/>
      </w:r>
      <w:r>
        <w:t>256</w:t>
      </w:r>
      <w:r>
        <w:fldChar w:fldCharType="end"/>
      </w:r>
      <w:r>
        <w:fldChar w:fldCharType="end"/>
      </w:r>
    </w:p>
    <w:p w14:paraId="4884A394">
      <w:pPr>
        <w:pStyle w:val="42"/>
        <w:tabs>
          <w:tab w:val="right" w:leader="dot" w:pos="8296"/>
        </w:tabs>
        <w:ind w:left="840"/>
        <w:rPr>
          <w:rFonts w:asciiTheme="minorHAnsi" w:hAnsiTheme="minorHAnsi" w:eastAsiaTheme="minorEastAsia"/>
        </w:rPr>
      </w:pPr>
      <w:r>
        <w:fldChar w:fldCharType="begin"/>
      </w:r>
      <w:r>
        <w:instrText xml:space="preserve"> HYPERLINK \l "_Toc196728113" </w:instrText>
      </w:r>
      <w:r>
        <w:fldChar w:fldCharType="separate"/>
      </w:r>
      <w:r>
        <w:rPr>
          <w:rStyle w:val="139"/>
          <w:kern w:val="0"/>
          <w14:scene3d w14:prst="orthographicFront">
            <w14:lightRig w14:rig="threePt" w14:dir="t">
              <w14:rot w14:lat="0" w14:lon="0" w14:rev="0"/>
            </w14:lightRig>
          </w14:scene3d>
        </w:rPr>
        <w:t>8.8.1.</w:t>
      </w:r>
      <w:r>
        <w:rPr>
          <w:rStyle w:val="139"/>
        </w:rPr>
        <w:t xml:space="preserve"> 概述</w:t>
      </w:r>
      <w:r>
        <w:tab/>
      </w:r>
      <w:r>
        <w:fldChar w:fldCharType="begin"/>
      </w:r>
      <w:r>
        <w:instrText xml:space="preserve"> PAGEREF _Toc196728113 \h </w:instrText>
      </w:r>
      <w:r>
        <w:fldChar w:fldCharType="separate"/>
      </w:r>
      <w:r>
        <w:t>256</w:t>
      </w:r>
      <w:r>
        <w:fldChar w:fldCharType="end"/>
      </w:r>
      <w:r>
        <w:fldChar w:fldCharType="end"/>
      </w:r>
    </w:p>
    <w:p w14:paraId="23843398">
      <w:pPr>
        <w:pStyle w:val="42"/>
        <w:tabs>
          <w:tab w:val="right" w:leader="dot" w:pos="8296"/>
        </w:tabs>
        <w:ind w:left="840"/>
        <w:rPr>
          <w:rFonts w:asciiTheme="minorHAnsi" w:hAnsiTheme="minorHAnsi" w:eastAsiaTheme="minorEastAsia"/>
        </w:rPr>
      </w:pPr>
      <w:r>
        <w:fldChar w:fldCharType="begin"/>
      </w:r>
      <w:r>
        <w:instrText xml:space="preserve"> HYPERLINK \l "_Toc196728114" </w:instrText>
      </w:r>
      <w:r>
        <w:fldChar w:fldCharType="separate"/>
      </w:r>
      <w:r>
        <w:rPr>
          <w:rStyle w:val="139"/>
          <w:kern w:val="0"/>
          <w14:scene3d w14:prst="orthographicFront">
            <w14:lightRig w14:rig="threePt" w14:dir="t">
              <w14:rot w14:lat="0" w14:lon="0" w14:rev="0"/>
            </w14:lightRig>
          </w14:scene3d>
        </w:rPr>
        <w:t>8.8.2.</w:t>
      </w:r>
      <w:r>
        <w:rPr>
          <w:rStyle w:val="139"/>
        </w:rPr>
        <w:t xml:space="preserve"> 配置ISP地址库</w:t>
      </w:r>
      <w:r>
        <w:tab/>
      </w:r>
      <w:r>
        <w:fldChar w:fldCharType="begin"/>
      </w:r>
      <w:r>
        <w:instrText xml:space="preserve"> PAGEREF _Toc196728114 \h </w:instrText>
      </w:r>
      <w:r>
        <w:fldChar w:fldCharType="separate"/>
      </w:r>
      <w:r>
        <w:t>256</w:t>
      </w:r>
      <w:r>
        <w:fldChar w:fldCharType="end"/>
      </w:r>
      <w:r>
        <w:fldChar w:fldCharType="end"/>
      </w:r>
    </w:p>
    <w:p w14:paraId="21BC04FE">
      <w:pPr>
        <w:pStyle w:val="42"/>
        <w:tabs>
          <w:tab w:val="right" w:leader="dot" w:pos="8296"/>
        </w:tabs>
        <w:ind w:left="840"/>
        <w:rPr>
          <w:rFonts w:asciiTheme="minorHAnsi" w:hAnsiTheme="minorHAnsi" w:eastAsiaTheme="minorEastAsia"/>
        </w:rPr>
      </w:pPr>
      <w:r>
        <w:fldChar w:fldCharType="begin"/>
      </w:r>
      <w:r>
        <w:instrText xml:space="preserve"> HYPERLINK \l "_Toc196728115" </w:instrText>
      </w:r>
      <w:r>
        <w:fldChar w:fldCharType="separate"/>
      </w:r>
      <w:r>
        <w:rPr>
          <w:rStyle w:val="139"/>
          <w:kern w:val="0"/>
          <w14:scene3d w14:prst="orthographicFront">
            <w14:lightRig w14:rig="threePt" w14:dir="t">
              <w14:rot w14:lat="0" w14:lon="0" w14:rev="0"/>
            </w14:lightRig>
          </w14:scene3d>
        </w:rPr>
        <w:t>8.8.3.</w:t>
      </w:r>
      <w:r>
        <w:rPr>
          <w:rStyle w:val="139"/>
        </w:rPr>
        <w:t xml:space="preserve"> 配置ISP路由</w:t>
      </w:r>
      <w:r>
        <w:tab/>
      </w:r>
      <w:r>
        <w:fldChar w:fldCharType="begin"/>
      </w:r>
      <w:r>
        <w:instrText xml:space="preserve"> PAGEREF _Toc196728115 \h </w:instrText>
      </w:r>
      <w:r>
        <w:fldChar w:fldCharType="separate"/>
      </w:r>
      <w:r>
        <w:t>258</w:t>
      </w:r>
      <w:r>
        <w:fldChar w:fldCharType="end"/>
      </w:r>
      <w:r>
        <w:fldChar w:fldCharType="end"/>
      </w:r>
    </w:p>
    <w:p w14:paraId="451855A5">
      <w:pPr>
        <w:pStyle w:val="70"/>
        <w:tabs>
          <w:tab w:val="right" w:leader="dot" w:pos="8296"/>
        </w:tabs>
        <w:ind w:left="420"/>
        <w:rPr>
          <w:rFonts w:asciiTheme="minorHAnsi" w:hAnsiTheme="minorHAnsi" w:eastAsiaTheme="minorEastAsia"/>
        </w:rPr>
      </w:pPr>
      <w:r>
        <w:fldChar w:fldCharType="begin"/>
      </w:r>
      <w:r>
        <w:instrText xml:space="preserve"> HYPERLINK \l "_Toc196728116" </w:instrText>
      </w:r>
      <w:r>
        <w:fldChar w:fldCharType="separate"/>
      </w:r>
      <w:r>
        <w:rPr>
          <w:rStyle w:val="139"/>
        </w:rPr>
        <w:t>8.9. BGP</w:t>
      </w:r>
      <w:r>
        <w:tab/>
      </w:r>
      <w:r>
        <w:fldChar w:fldCharType="begin"/>
      </w:r>
      <w:r>
        <w:instrText xml:space="preserve"> PAGEREF _Toc196728116 \h </w:instrText>
      </w:r>
      <w:r>
        <w:fldChar w:fldCharType="separate"/>
      </w:r>
      <w:r>
        <w:t>259</w:t>
      </w:r>
      <w:r>
        <w:fldChar w:fldCharType="end"/>
      </w:r>
      <w:r>
        <w:fldChar w:fldCharType="end"/>
      </w:r>
    </w:p>
    <w:p w14:paraId="519A7ED2">
      <w:pPr>
        <w:pStyle w:val="42"/>
        <w:tabs>
          <w:tab w:val="right" w:leader="dot" w:pos="8296"/>
        </w:tabs>
        <w:ind w:left="840"/>
        <w:rPr>
          <w:rFonts w:asciiTheme="minorHAnsi" w:hAnsiTheme="minorHAnsi" w:eastAsiaTheme="minorEastAsia"/>
        </w:rPr>
      </w:pPr>
      <w:r>
        <w:fldChar w:fldCharType="begin"/>
      </w:r>
      <w:r>
        <w:instrText xml:space="preserve"> HYPERLINK \l "_Toc196728117" </w:instrText>
      </w:r>
      <w:r>
        <w:fldChar w:fldCharType="separate"/>
      </w:r>
      <w:r>
        <w:rPr>
          <w:rStyle w:val="139"/>
          <w:kern w:val="0"/>
          <w14:scene3d w14:prst="orthographicFront">
            <w14:lightRig w14:rig="threePt" w14:dir="t">
              <w14:rot w14:lat="0" w14:lon="0" w14:rev="0"/>
            </w14:lightRig>
          </w14:scene3d>
        </w:rPr>
        <w:t>8.9.1.</w:t>
      </w:r>
      <w:r>
        <w:rPr>
          <w:rStyle w:val="139"/>
        </w:rPr>
        <w:t xml:space="preserve"> BGP简介</w:t>
      </w:r>
      <w:r>
        <w:tab/>
      </w:r>
      <w:r>
        <w:fldChar w:fldCharType="begin"/>
      </w:r>
      <w:r>
        <w:instrText xml:space="preserve"> PAGEREF _Toc196728117 \h </w:instrText>
      </w:r>
      <w:r>
        <w:fldChar w:fldCharType="separate"/>
      </w:r>
      <w:r>
        <w:t>259</w:t>
      </w:r>
      <w:r>
        <w:fldChar w:fldCharType="end"/>
      </w:r>
      <w:r>
        <w:fldChar w:fldCharType="end"/>
      </w:r>
    </w:p>
    <w:p w14:paraId="2F001D00">
      <w:pPr>
        <w:pStyle w:val="42"/>
        <w:tabs>
          <w:tab w:val="right" w:leader="dot" w:pos="8296"/>
        </w:tabs>
        <w:ind w:left="840"/>
        <w:rPr>
          <w:rFonts w:asciiTheme="minorHAnsi" w:hAnsiTheme="minorHAnsi" w:eastAsiaTheme="minorEastAsia"/>
        </w:rPr>
      </w:pPr>
      <w:r>
        <w:fldChar w:fldCharType="begin"/>
      </w:r>
      <w:r>
        <w:instrText xml:space="preserve"> HYPERLINK \l "_Toc196728118" </w:instrText>
      </w:r>
      <w:r>
        <w:fldChar w:fldCharType="separate"/>
      </w:r>
      <w:r>
        <w:rPr>
          <w:rStyle w:val="139"/>
          <w:kern w:val="0"/>
          <w14:scene3d w14:prst="orthographicFront">
            <w14:lightRig w14:rig="threePt" w14:dir="t">
              <w14:rot w14:lat="0" w14:lon="0" w14:rev="0"/>
            </w14:lightRig>
          </w14:scene3d>
        </w:rPr>
        <w:t>8.9.2.</w:t>
      </w:r>
      <w:r>
        <w:rPr>
          <w:rStyle w:val="139"/>
        </w:rPr>
        <w:t xml:space="preserve"> BGP配置</w:t>
      </w:r>
      <w:r>
        <w:tab/>
      </w:r>
      <w:r>
        <w:fldChar w:fldCharType="begin"/>
      </w:r>
      <w:r>
        <w:instrText xml:space="preserve"> PAGEREF _Toc196728118 \h </w:instrText>
      </w:r>
      <w:r>
        <w:fldChar w:fldCharType="separate"/>
      </w:r>
      <w:r>
        <w:t>261</w:t>
      </w:r>
      <w:r>
        <w:fldChar w:fldCharType="end"/>
      </w:r>
      <w:r>
        <w:fldChar w:fldCharType="end"/>
      </w:r>
    </w:p>
    <w:p w14:paraId="32655341">
      <w:pPr>
        <w:pStyle w:val="42"/>
        <w:tabs>
          <w:tab w:val="right" w:leader="dot" w:pos="8296"/>
        </w:tabs>
        <w:ind w:left="840"/>
        <w:rPr>
          <w:rFonts w:asciiTheme="minorHAnsi" w:hAnsiTheme="minorHAnsi" w:eastAsiaTheme="minorEastAsia"/>
        </w:rPr>
      </w:pPr>
      <w:r>
        <w:fldChar w:fldCharType="begin"/>
      </w:r>
      <w:r>
        <w:instrText xml:space="preserve"> HYPERLINK \l "_Toc196728119" </w:instrText>
      </w:r>
      <w:r>
        <w:fldChar w:fldCharType="separate"/>
      </w:r>
      <w:r>
        <w:rPr>
          <w:rStyle w:val="139"/>
          <w:kern w:val="0"/>
          <w14:scene3d w14:prst="orthographicFront">
            <w14:lightRig w14:rig="threePt" w14:dir="t">
              <w14:rot w14:lat="0" w14:lon="0" w14:rev="0"/>
            </w14:lightRig>
          </w14:scene3d>
        </w:rPr>
        <w:t>8.9.3.</w:t>
      </w:r>
      <w:r>
        <w:rPr>
          <w:rStyle w:val="139"/>
        </w:rPr>
        <w:t xml:space="preserve"> iBGP配置举例</w:t>
      </w:r>
      <w:r>
        <w:tab/>
      </w:r>
      <w:r>
        <w:fldChar w:fldCharType="begin"/>
      </w:r>
      <w:r>
        <w:instrText xml:space="preserve"> PAGEREF _Toc196728119 \h </w:instrText>
      </w:r>
      <w:r>
        <w:fldChar w:fldCharType="separate"/>
      </w:r>
      <w:r>
        <w:t>266</w:t>
      </w:r>
      <w:r>
        <w:fldChar w:fldCharType="end"/>
      </w:r>
      <w:r>
        <w:fldChar w:fldCharType="end"/>
      </w:r>
    </w:p>
    <w:p w14:paraId="7437BEAD">
      <w:pPr>
        <w:pStyle w:val="42"/>
        <w:tabs>
          <w:tab w:val="right" w:leader="dot" w:pos="8296"/>
        </w:tabs>
        <w:ind w:left="840"/>
        <w:rPr>
          <w:rFonts w:asciiTheme="minorHAnsi" w:hAnsiTheme="minorHAnsi" w:eastAsiaTheme="minorEastAsia"/>
        </w:rPr>
      </w:pPr>
      <w:r>
        <w:fldChar w:fldCharType="begin"/>
      </w:r>
      <w:r>
        <w:instrText xml:space="preserve"> HYPERLINK \l "_Toc196728120" </w:instrText>
      </w:r>
      <w:r>
        <w:fldChar w:fldCharType="separate"/>
      </w:r>
      <w:r>
        <w:rPr>
          <w:rStyle w:val="139"/>
          <w:kern w:val="0"/>
          <w14:scene3d w14:prst="orthographicFront">
            <w14:lightRig w14:rig="threePt" w14:dir="t">
              <w14:rot w14:lat="0" w14:lon="0" w14:rev="0"/>
            </w14:lightRig>
          </w14:scene3d>
        </w:rPr>
        <w:t>8.9.4.</w:t>
      </w:r>
      <w:r>
        <w:rPr>
          <w:rStyle w:val="139"/>
        </w:rPr>
        <w:t xml:space="preserve"> eBGP配置举例</w:t>
      </w:r>
      <w:r>
        <w:tab/>
      </w:r>
      <w:r>
        <w:fldChar w:fldCharType="begin"/>
      </w:r>
      <w:r>
        <w:instrText xml:space="preserve"> PAGEREF _Toc196728120 \h </w:instrText>
      </w:r>
      <w:r>
        <w:fldChar w:fldCharType="separate"/>
      </w:r>
      <w:r>
        <w:t>271</w:t>
      </w:r>
      <w:r>
        <w:fldChar w:fldCharType="end"/>
      </w:r>
      <w:r>
        <w:fldChar w:fldCharType="end"/>
      </w:r>
    </w:p>
    <w:p w14:paraId="199AD96D">
      <w:pPr>
        <w:pStyle w:val="70"/>
        <w:tabs>
          <w:tab w:val="right" w:leader="dot" w:pos="8296"/>
        </w:tabs>
        <w:ind w:left="420"/>
        <w:rPr>
          <w:rFonts w:asciiTheme="minorHAnsi" w:hAnsiTheme="minorHAnsi" w:eastAsiaTheme="minorEastAsia"/>
        </w:rPr>
      </w:pPr>
      <w:r>
        <w:fldChar w:fldCharType="begin"/>
      </w:r>
      <w:r>
        <w:instrText xml:space="preserve"> HYPERLINK \l "_Toc196728121" </w:instrText>
      </w:r>
      <w:r>
        <w:fldChar w:fldCharType="separate"/>
      </w:r>
      <w:r>
        <w:rPr>
          <w:rStyle w:val="139"/>
        </w:rPr>
        <w:t>8.10. BFD</w:t>
      </w:r>
      <w:r>
        <w:tab/>
      </w:r>
      <w:r>
        <w:fldChar w:fldCharType="begin"/>
      </w:r>
      <w:r>
        <w:instrText xml:space="preserve"> PAGEREF _Toc196728121 \h </w:instrText>
      </w:r>
      <w:r>
        <w:fldChar w:fldCharType="separate"/>
      </w:r>
      <w:r>
        <w:t>275</w:t>
      </w:r>
      <w:r>
        <w:fldChar w:fldCharType="end"/>
      </w:r>
      <w:r>
        <w:fldChar w:fldCharType="end"/>
      </w:r>
    </w:p>
    <w:p w14:paraId="6493F7B2">
      <w:pPr>
        <w:pStyle w:val="42"/>
        <w:tabs>
          <w:tab w:val="right" w:leader="dot" w:pos="8296"/>
        </w:tabs>
        <w:ind w:left="840"/>
        <w:rPr>
          <w:rFonts w:asciiTheme="minorHAnsi" w:hAnsiTheme="minorHAnsi" w:eastAsiaTheme="minorEastAsia"/>
        </w:rPr>
      </w:pPr>
      <w:r>
        <w:fldChar w:fldCharType="begin"/>
      </w:r>
      <w:r>
        <w:instrText xml:space="preserve"> HYPERLINK \l "_Toc196728122" </w:instrText>
      </w:r>
      <w:r>
        <w:fldChar w:fldCharType="separate"/>
      </w:r>
      <w:r>
        <w:rPr>
          <w:rStyle w:val="139"/>
          <w:kern w:val="0"/>
          <w14:scene3d w14:prst="orthographicFront">
            <w14:lightRig w14:rig="threePt" w14:dir="t">
              <w14:rot w14:lat="0" w14:lon="0" w14:rev="0"/>
            </w14:lightRig>
          </w14:scene3d>
        </w:rPr>
        <w:t>8.10.1.</w:t>
      </w:r>
      <w:r>
        <w:rPr>
          <w:rStyle w:val="139"/>
        </w:rPr>
        <w:t xml:space="preserve"> BFD原理描述</w:t>
      </w:r>
      <w:r>
        <w:tab/>
      </w:r>
      <w:r>
        <w:fldChar w:fldCharType="begin"/>
      </w:r>
      <w:r>
        <w:instrText xml:space="preserve"> PAGEREF _Toc196728122 \h </w:instrText>
      </w:r>
      <w:r>
        <w:fldChar w:fldCharType="separate"/>
      </w:r>
      <w:r>
        <w:t>275</w:t>
      </w:r>
      <w:r>
        <w:fldChar w:fldCharType="end"/>
      </w:r>
      <w:r>
        <w:fldChar w:fldCharType="end"/>
      </w:r>
    </w:p>
    <w:p w14:paraId="1B926459">
      <w:pPr>
        <w:pStyle w:val="42"/>
        <w:tabs>
          <w:tab w:val="right" w:leader="dot" w:pos="8296"/>
        </w:tabs>
        <w:ind w:left="840"/>
        <w:rPr>
          <w:rFonts w:asciiTheme="minorHAnsi" w:hAnsiTheme="minorHAnsi" w:eastAsiaTheme="minorEastAsia"/>
        </w:rPr>
      </w:pPr>
      <w:r>
        <w:fldChar w:fldCharType="begin"/>
      </w:r>
      <w:r>
        <w:instrText xml:space="preserve"> HYPERLINK \l "_Toc196728123" </w:instrText>
      </w:r>
      <w:r>
        <w:fldChar w:fldCharType="separate"/>
      </w:r>
      <w:r>
        <w:rPr>
          <w:rStyle w:val="139"/>
          <w:kern w:val="0"/>
          <w14:scene3d w14:prst="orthographicFront">
            <w14:lightRig w14:rig="threePt" w14:dir="t">
              <w14:rot w14:lat="0" w14:lon="0" w14:rev="0"/>
            </w14:lightRig>
          </w14:scene3d>
        </w:rPr>
        <w:t>8.10.2.</w:t>
      </w:r>
      <w:r>
        <w:rPr>
          <w:rStyle w:val="139"/>
        </w:rPr>
        <w:t xml:space="preserve"> 配置BFD</w:t>
      </w:r>
      <w:r>
        <w:tab/>
      </w:r>
      <w:r>
        <w:fldChar w:fldCharType="begin"/>
      </w:r>
      <w:r>
        <w:instrText xml:space="preserve"> PAGEREF _Toc196728123 \h </w:instrText>
      </w:r>
      <w:r>
        <w:fldChar w:fldCharType="separate"/>
      </w:r>
      <w:r>
        <w:t>277</w:t>
      </w:r>
      <w:r>
        <w:fldChar w:fldCharType="end"/>
      </w:r>
      <w:r>
        <w:fldChar w:fldCharType="end"/>
      </w:r>
    </w:p>
    <w:p w14:paraId="5A206766">
      <w:pPr>
        <w:pStyle w:val="42"/>
        <w:tabs>
          <w:tab w:val="right" w:leader="dot" w:pos="8296"/>
        </w:tabs>
        <w:ind w:left="840"/>
        <w:rPr>
          <w:rFonts w:asciiTheme="minorHAnsi" w:hAnsiTheme="minorHAnsi" w:eastAsiaTheme="minorEastAsia"/>
        </w:rPr>
      </w:pPr>
      <w:r>
        <w:fldChar w:fldCharType="begin"/>
      </w:r>
      <w:r>
        <w:instrText xml:space="preserve"> HYPERLINK \l "_Toc196728124" </w:instrText>
      </w:r>
      <w:r>
        <w:fldChar w:fldCharType="separate"/>
      </w:r>
      <w:r>
        <w:rPr>
          <w:rStyle w:val="139"/>
          <w:kern w:val="0"/>
          <w14:scene3d w14:prst="orthographicFront">
            <w14:lightRig w14:rig="threePt" w14:dir="t">
              <w14:rot w14:lat="0" w14:lon="0" w14:rev="0"/>
            </w14:lightRig>
          </w14:scene3d>
        </w:rPr>
        <w:t>8.10.3.</w:t>
      </w:r>
      <w:r>
        <w:rPr>
          <w:rStyle w:val="139"/>
        </w:rPr>
        <w:t xml:space="preserve"> 地址探测BFD配置举例</w:t>
      </w:r>
      <w:r>
        <w:tab/>
      </w:r>
      <w:r>
        <w:fldChar w:fldCharType="begin"/>
      </w:r>
      <w:r>
        <w:instrText xml:space="preserve"> PAGEREF _Toc196728124 \h </w:instrText>
      </w:r>
      <w:r>
        <w:fldChar w:fldCharType="separate"/>
      </w:r>
      <w:r>
        <w:t>280</w:t>
      </w:r>
      <w:r>
        <w:fldChar w:fldCharType="end"/>
      </w:r>
      <w:r>
        <w:fldChar w:fldCharType="end"/>
      </w:r>
    </w:p>
    <w:p w14:paraId="282B8F52">
      <w:pPr>
        <w:pStyle w:val="42"/>
        <w:tabs>
          <w:tab w:val="right" w:leader="dot" w:pos="8296"/>
        </w:tabs>
        <w:ind w:left="840"/>
        <w:rPr>
          <w:rFonts w:asciiTheme="minorHAnsi" w:hAnsiTheme="minorHAnsi" w:eastAsiaTheme="minorEastAsia"/>
        </w:rPr>
      </w:pPr>
      <w:r>
        <w:fldChar w:fldCharType="begin"/>
      </w:r>
      <w:r>
        <w:instrText xml:space="preserve"> HYPERLINK \l "_Toc196728125" </w:instrText>
      </w:r>
      <w:r>
        <w:fldChar w:fldCharType="separate"/>
      </w:r>
      <w:r>
        <w:rPr>
          <w:rStyle w:val="139"/>
          <w:kern w:val="0"/>
          <w14:scene3d w14:prst="orthographicFront">
            <w14:lightRig w14:rig="threePt" w14:dir="t">
              <w14:rot w14:lat="0" w14:lon="0" w14:rev="0"/>
            </w14:lightRig>
          </w14:scene3d>
        </w:rPr>
        <w:t>8.10.4.</w:t>
      </w:r>
      <w:r>
        <w:rPr>
          <w:rStyle w:val="139"/>
        </w:rPr>
        <w:t xml:space="preserve"> 地址探测BFD配置举例</w:t>
      </w:r>
      <w:r>
        <w:tab/>
      </w:r>
      <w:r>
        <w:fldChar w:fldCharType="begin"/>
      </w:r>
      <w:r>
        <w:instrText xml:space="preserve"> PAGEREF _Toc196728125 \h </w:instrText>
      </w:r>
      <w:r>
        <w:fldChar w:fldCharType="separate"/>
      </w:r>
      <w:r>
        <w:t>281</w:t>
      </w:r>
      <w:r>
        <w:fldChar w:fldCharType="end"/>
      </w:r>
      <w:r>
        <w:fldChar w:fldCharType="end"/>
      </w:r>
    </w:p>
    <w:p w14:paraId="2A25F968">
      <w:pPr>
        <w:pStyle w:val="56"/>
        <w:tabs>
          <w:tab w:val="right" w:leader="dot" w:pos="8296"/>
        </w:tabs>
        <w:rPr>
          <w:rFonts w:asciiTheme="minorHAnsi" w:hAnsiTheme="minorHAnsi" w:eastAsiaTheme="minorEastAsia"/>
        </w:rPr>
      </w:pPr>
      <w:r>
        <w:fldChar w:fldCharType="begin"/>
      </w:r>
      <w:r>
        <w:instrText xml:space="preserve"> HYPERLINK \l "_Toc196728126" </w:instrText>
      </w:r>
      <w:r>
        <w:fldChar w:fldCharType="separate"/>
      </w:r>
      <w:r>
        <w:rPr>
          <w:rStyle w:val="139"/>
        </w:rPr>
        <w:t>9. IPsec</w:t>
      </w:r>
      <w:r>
        <w:tab/>
      </w:r>
      <w:r>
        <w:fldChar w:fldCharType="begin"/>
      </w:r>
      <w:r>
        <w:instrText xml:space="preserve"> PAGEREF _Toc196728126 \h </w:instrText>
      </w:r>
      <w:r>
        <w:fldChar w:fldCharType="separate"/>
      </w:r>
      <w:r>
        <w:t>284</w:t>
      </w:r>
      <w:r>
        <w:fldChar w:fldCharType="end"/>
      </w:r>
      <w:r>
        <w:fldChar w:fldCharType="end"/>
      </w:r>
    </w:p>
    <w:p w14:paraId="0DDDE29A">
      <w:pPr>
        <w:pStyle w:val="70"/>
        <w:tabs>
          <w:tab w:val="right" w:leader="dot" w:pos="8296"/>
        </w:tabs>
        <w:ind w:left="420"/>
        <w:rPr>
          <w:rFonts w:asciiTheme="minorHAnsi" w:hAnsiTheme="minorHAnsi" w:eastAsiaTheme="minorEastAsia"/>
        </w:rPr>
      </w:pPr>
      <w:r>
        <w:fldChar w:fldCharType="begin"/>
      </w:r>
      <w:r>
        <w:instrText xml:space="preserve"> HYPERLINK \l "_Toc196728127" </w:instrText>
      </w:r>
      <w:r>
        <w:fldChar w:fldCharType="separate"/>
      </w:r>
      <w:r>
        <w:rPr>
          <w:rStyle w:val="139"/>
        </w:rPr>
        <w:t>9.1. IPsec概述</w:t>
      </w:r>
      <w:r>
        <w:tab/>
      </w:r>
      <w:r>
        <w:fldChar w:fldCharType="begin"/>
      </w:r>
      <w:r>
        <w:instrText xml:space="preserve"> PAGEREF _Toc196728127 \h </w:instrText>
      </w:r>
      <w:r>
        <w:fldChar w:fldCharType="separate"/>
      </w:r>
      <w:r>
        <w:t>284</w:t>
      </w:r>
      <w:r>
        <w:fldChar w:fldCharType="end"/>
      </w:r>
      <w:r>
        <w:fldChar w:fldCharType="end"/>
      </w:r>
    </w:p>
    <w:p w14:paraId="144ADCEE">
      <w:pPr>
        <w:pStyle w:val="70"/>
        <w:tabs>
          <w:tab w:val="right" w:leader="dot" w:pos="8296"/>
        </w:tabs>
        <w:ind w:left="420"/>
        <w:rPr>
          <w:rFonts w:asciiTheme="minorHAnsi" w:hAnsiTheme="minorHAnsi" w:eastAsiaTheme="minorEastAsia"/>
        </w:rPr>
      </w:pPr>
      <w:r>
        <w:fldChar w:fldCharType="begin"/>
      </w:r>
      <w:r>
        <w:instrText xml:space="preserve"> HYPERLINK \l "_Toc196728128" </w:instrText>
      </w:r>
      <w:r>
        <w:fldChar w:fldCharType="separate"/>
      </w:r>
      <w:r>
        <w:rPr>
          <w:rStyle w:val="139"/>
        </w:rPr>
        <w:t>9.2. 配置IPsec</w:t>
      </w:r>
      <w:r>
        <w:tab/>
      </w:r>
      <w:r>
        <w:fldChar w:fldCharType="begin"/>
      </w:r>
      <w:r>
        <w:instrText xml:space="preserve"> PAGEREF _Toc196728128 \h </w:instrText>
      </w:r>
      <w:r>
        <w:fldChar w:fldCharType="separate"/>
      </w:r>
      <w:r>
        <w:t>285</w:t>
      </w:r>
      <w:r>
        <w:fldChar w:fldCharType="end"/>
      </w:r>
      <w:r>
        <w:fldChar w:fldCharType="end"/>
      </w:r>
    </w:p>
    <w:p w14:paraId="170A45AB">
      <w:pPr>
        <w:pStyle w:val="42"/>
        <w:tabs>
          <w:tab w:val="right" w:leader="dot" w:pos="8296"/>
        </w:tabs>
        <w:ind w:left="840"/>
        <w:rPr>
          <w:rFonts w:asciiTheme="minorHAnsi" w:hAnsiTheme="minorHAnsi" w:eastAsiaTheme="minorEastAsia"/>
        </w:rPr>
      </w:pPr>
      <w:r>
        <w:fldChar w:fldCharType="begin"/>
      </w:r>
      <w:r>
        <w:instrText xml:space="preserve"> HYPERLINK \l "_Toc196728129" </w:instrText>
      </w:r>
      <w:r>
        <w:fldChar w:fldCharType="separate"/>
      </w:r>
      <w:r>
        <w:rPr>
          <w:rStyle w:val="139"/>
          <w:kern w:val="0"/>
          <w14:scene3d w14:prst="orthographicFront">
            <w14:lightRig w14:rig="threePt" w14:dir="t">
              <w14:rot w14:lat="0" w14:lon="0" w14:rev="0"/>
            </w14:lightRig>
          </w14:scene3d>
        </w:rPr>
        <w:t>9.2.1.</w:t>
      </w:r>
      <w:r>
        <w:rPr>
          <w:rStyle w:val="139"/>
        </w:rPr>
        <w:t xml:space="preserve"> 配置概述</w:t>
      </w:r>
      <w:r>
        <w:tab/>
      </w:r>
      <w:r>
        <w:fldChar w:fldCharType="begin"/>
      </w:r>
      <w:r>
        <w:instrText xml:space="preserve"> PAGEREF _Toc196728129 \h </w:instrText>
      </w:r>
      <w:r>
        <w:fldChar w:fldCharType="separate"/>
      </w:r>
      <w:r>
        <w:t>285</w:t>
      </w:r>
      <w:r>
        <w:fldChar w:fldCharType="end"/>
      </w:r>
      <w:r>
        <w:fldChar w:fldCharType="end"/>
      </w:r>
    </w:p>
    <w:p w14:paraId="001F753C">
      <w:pPr>
        <w:pStyle w:val="42"/>
        <w:tabs>
          <w:tab w:val="right" w:leader="dot" w:pos="8296"/>
        </w:tabs>
        <w:ind w:left="840"/>
        <w:rPr>
          <w:rFonts w:asciiTheme="minorHAnsi" w:hAnsiTheme="minorHAnsi" w:eastAsiaTheme="minorEastAsia"/>
        </w:rPr>
      </w:pPr>
      <w:r>
        <w:fldChar w:fldCharType="begin"/>
      </w:r>
      <w:r>
        <w:instrText xml:space="preserve"> HYPERLINK \l "_Toc196728130" </w:instrText>
      </w:r>
      <w:r>
        <w:fldChar w:fldCharType="separate"/>
      </w:r>
      <w:r>
        <w:rPr>
          <w:rStyle w:val="139"/>
          <w:kern w:val="0"/>
          <w14:scene3d w14:prst="orthographicFront">
            <w14:lightRig w14:rig="threePt" w14:dir="t">
              <w14:rot w14:lat="0" w14:lon="0" w14:rev="0"/>
            </w14:lightRig>
          </w14:scene3d>
        </w:rPr>
        <w:t>9.2.2.</w:t>
      </w:r>
      <w:r>
        <w:rPr>
          <w:rStyle w:val="139"/>
        </w:rPr>
        <w:t xml:space="preserve"> 配置IKE协商策略</w:t>
      </w:r>
      <w:r>
        <w:tab/>
      </w:r>
      <w:r>
        <w:fldChar w:fldCharType="begin"/>
      </w:r>
      <w:r>
        <w:instrText xml:space="preserve"> PAGEREF _Toc196728130 \h </w:instrText>
      </w:r>
      <w:r>
        <w:fldChar w:fldCharType="separate"/>
      </w:r>
      <w:r>
        <w:t>285</w:t>
      </w:r>
      <w:r>
        <w:fldChar w:fldCharType="end"/>
      </w:r>
      <w:r>
        <w:fldChar w:fldCharType="end"/>
      </w:r>
    </w:p>
    <w:p w14:paraId="51E1368B">
      <w:pPr>
        <w:pStyle w:val="42"/>
        <w:tabs>
          <w:tab w:val="right" w:leader="dot" w:pos="8296"/>
        </w:tabs>
        <w:ind w:left="840"/>
        <w:rPr>
          <w:rFonts w:asciiTheme="minorHAnsi" w:hAnsiTheme="minorHAnsi" w:eastAsiaTheme="minorEastAsia"/>
        </w:rPr>
      </w:pPr>
      <w:r>
        <w:fldChar w:fldCharType="begin"/>
      </w:r>
      <w:r>
        <w:instrText xml:space="preserve"> HYPERLINK \l "_Toc196728131" </w:instrText>
      </w:r>
      <w:r>
        <w:fldChar w:fldCharType="separate"/>
      </w:r>
      <w:r>
        <w:rPr>
          <w:rStyle w:val="139"/>
          <w:kern w:val="0"/>
          <w14:scene3d w14:prst="orthographicFront">
            <w14:lightRig w14:rig="threePt" w14:dir="t">
              <w14:rot w14:lat="0" w14:lon="0" w14:rev="0"/>
            </w14:lightRig>
          </w14:scene3d>
        </w:rPr>
        <w:t>9.2.3.</w:t>
      </w:r>
      <w:r>
        <w:rPr>
          <w:rStyle w:val="139"/>
        </w:rPr>
        <w:t xml:space="preserve"> 配置IPsec协商策略</w:t>
      </w:r>
      <w:r>
        <w:tab/>
      </w:r>
      <w:r>
        <w:fldChar w:fldCharType="begin"/>
      </w:r>
      <w:r>
        <w:instrText xml:space="preserve"> PAGEREF _Toc196728131 \h </w:instrText>
      </w:r>
      <w:r>
        <w:fldChar w:fldCharType="separate"/>
      </w:r>
      <w:r>
        <w:t>289</w:t>
      </w:r>
      <w:r>
        <w:fldChar w:fldCharType="end"/>
      </w:r>
      <w:r>
        <w:fldChar w:fldCharType="end"/>
      </w:r>
    </w:p>
    <w:p w14:paraId="47F651BB">
      <w:pPr>
        <w:pStyle w:val="42"/>
        <w:tabs>
          <w:tab w:val="right" w:leader="dot" w:pos="8296"/>
        </w:tabs>
        <w:ind w:left="840"/>
        <w:rPr>
          <w:rFonts w:asciiTheme="minorHAnsi" w:hAnsiTheme="minorHAnsi" w:eastAsiaTheme="minorEastAsia"/>
        </w:rPr>
      </w:pPr>
      <w:r>
        <w:fldChar w:fldCharType="begin"/>
      </w:r>
      <w:r>
        <w:instrText xml:space="preserve"> HYPERLINK \l "_Toc196728132" </w:instrText>
      </w:r>
      <w:r>
        <w:fldChar w:fldCharType="separate"/>
      </w:r>
      <w:r>
        <w:rPr>
          <w:rStyle w:val="139"/>
          <w:kern w:val="0"/>
          <w14:scene3d w14:prst="orthographicFront">
            <w14:lightRig w14:rig="threePt" w14:dir="t">
              <w14:rot w14:lat="0" w14:lon="0" w14:rev="0"/>
            </w14:lightRig>
          </w14:scene3d>
        </w:rPr>
        <w:t>9.2.4.</w:t>
      </w:r>
      <w:r>
        <w:rPr>
          <w:rStyle w:val="139"/>
        </w:rPr>
        <w:t xml:space="preserve"> 配置IPsec隧道接口</w:t>
      </w:r>
      <w:r>
        <w:tab/>
      </w:r>
      <w:r>
        <w:fldChar w:fldCharType="begin"/>
      </w:r>
      <w:r>
        <w:instrText xml:space="preserve"> PAGEREF _Toc196728132 \h </w:instrText>
      </w:r>
      <w:r>
        <w:fldChar w:fldCharType="separate"/>
      </w:r>
      <w:r>
        <w:t>291</w:t>
      </w:r>
      <w:r>
        <w:fldChar w:fldCharType="end"/>
      </w:r>
      <w:r>
        <w:fldChar w:fldCharType="end"/>
      </w:r>
    </w:p>
    <w:p w14:paraId="4FAA55FD">
      <w:pPr>
        <w:pStyle w:val="70"/>
        <w:tabs>
          <w:tab w:val="right" w:leader="dot" w:pos="8296"/>
        </w:tabs>
        <w:ind w:left="420"/>
        <w:rPr>
          <w:rFonts w:asciiTheme="minorHAnsi" w:hAnsiTheme="minorHAnsi" w:eastAsiaTheme="minorEastAsia"/>
        </w:rPr>
      </w:pPr>
      <w:r>
        <w:fldChar w:fldCharType="begin"/>
      </w:r>
      <w:r>
        <w:instrText xml:space="preserve"> HYPERLINK \l "_Toc196728133" </w:instrText>
      </w:r>
      <w:r>
        <w:fldChar w:fldCharType="separate"/>
      </w:r>
      <w:r>
        <w:rPr>
          <w:rStyle w:val="139"/>
        </w:rPr>
        <w:t>9.3. IPsec VPN的查看和管理</w:t>
      </w:r>
      <w:r>
        <w:tab/>
      </w:r>
      <w:r>
        <w:fldChar w:fldCharType="begin"/>
      </w:r>
      <w:r>
        <w:instrText xml:space="preserve"> PAGEREF _Toc196728133 \h </w:instrText>
      </w:r>
      <w:r>
        <w:fldChar w:fldCharType="separate"/>
      </w:r>
      <w:r>
        <w:t>293</w:t>
      </w:r>
      <w:r>
        <w:fldChar w:fldCharType="end"/>
      </w:r>
      <w:r>
        <w:fldChar w:fldCharType="end"/>
      </w:r>
    </w:p>
    <w:p w14:paraId="54B1A9B2">
      <w:pPr>
        <w:pStyle w:val="42"/>
        <w:tabs>
          <w:tab w:val="right" w:leader="dot" w:pos="8296"/>
        </w:tabs>
        <w:ind w:left="840"/>
        <w:rPr>
          <w:rFonts w:asciiTheme="minorHAnsi" w:hAnsiTheme="minorHAnsi" w:eastAsiaTheme="minorEastAsia"/>
        </w:rPr>
      </w:pPr>
      <w:r>
        <w:fldChar w:fldCharType="begin"/>
      </w:r>
      <w:r>
        <w:instrText xml:space="preserve"> HYPERLINK \l "_Toc196728134" </w:instrText>
      </w:r>
      <w:r>
        <w:fldChar w:fldCharType="separate"/>
      </w:r>
      <w:r>
        <w:rPr>
          <w:rStyle w:val="139"/>
          <w:kern w:val="0"/>
          <w14:scene3d w14:prst="orthographicFront">
            <w14:lightRig w14:rig="threePt" w14:dir="t">
              <w14:rot w14:lat="0" w14:lon="0" w14:rev="0"/>
            </w14:lightRig>
          </w14:scene3d>
        </w:rPr>
        <w:t>9.3.1.</w:t>
      </w:r>
      <w:r>
        <w:rPr>
          <w:rStyle w:val="139"/>
        </w:rPr>
        <w:t xml:space="preserve"> 查看IPsec SA</w:t>
      </w:r>
      <w:r>
        <w:tab/>
      </w:r>
      <w:r>
        <w:fldChar w:fldCharType="begin"/>
      </w:r>
      <w:r>
        <w:instrText xml:space="preserve"> PAGEREF _Toc196728134 \h </w:instrText>
      </w:r>
      <w:r>
        <w:fldChar w:fldCharType="separate"/>
      </w:r>
      <w:r>
        <w:t>293</w:t>
      </w:r>
      <w:r>
        <w:fldChar w:fldCharType="end"/>
      </w:r>
      <w:r>
        <w:fldChar w:fldCharType="end"/>
      </w:r>
    </w:p>
    <w:p w14:paraId="3EC7E2E3">
      <w:pPr>
        <w:pStyle w:val="42"/>
        <w:tabs>
          <w:tab w:val="right" w:leader="dot" w:pos="8296"/>
        </w:tabs>
        <w:ind w:left="840"/>
        <w:rPr>
          <w:rFonts w:asciiTheme="minorHAnsi" w:hAnsiTheme="minorHAnsi" w:eastAsiaTheme="minorEastAsia"/>
        </w:rPr>
      </w:pPr>
      <w:r>
        <w:fldChar w:fldCharType="begin"/>
      </w:r>
      <w:r>
        <w:instrText xml:space="preserve"> HYPERLINK \l "_Toc196728135" </w:instrText>
      </w:r>
      <w:r>
        <w:fldChar w:fldCharType="separate"/>
      </w:r>
      <w:r>
        <w:rPr>
          <w:rStyle w:val="139"/>
          <w:kern w:val="0"/>
          <w14:scene3d w14:prst="orthographicFront">
            <w14:lightRig w14:rig="threePt" w14:dir="t">
              <w14:rot w14:lat="0" w14:lon="0" w14:rev="0"/>
            </w14:lightRig>
          </w14:scene3d>
        </w:rPr>
        <w:t>9.3.2.</w:t>
      </w:r>
      <w:r>
        <w:rPr>
          <w:rStyle w:val="139"/>
        </w:rPr>
        <w:t xml:space="preserve"> 查看IKE SA</w:t>
      </w:r>
      <w:r>
        <w:tab/>
      </w:r>
      <w:r>
        <w:fldChar w:fldCharType="begin"/>
      </w:r>
      <w:r>
        <w:instrText xml:space="preserve"> PAGEREF _Toc196728135 \h </w:instrText>
      </w:r>
      <w:r>
        <w:fldChar w:fldCharType="separate"/>
      </w:r>
      <w:r>
        <w:t>294</w:t>
      </w:r>
      <w:r>
        <w:fldChar w:fldCharType="end"/>
      </w:r>
      <w:r>
        <w:fldChar w:fldCharType="end"/>
      </w:r>
    </w:p>
    <w:p w14:paraId="1557F469">
      <w:pPr>
        <w:pStyle w:val="70"/>
        <w:tabs>
          <w:tab w:val="right" w:leader="dot" w:pos="8296"/>
        </w:tabs>
        <w:ind w:left="420"/>
        <w:rPr>
          <w:rFonts w:asciiTheme="minorHAnsi" w:hAnsiTheme="minorHAnsi" w:eastAsiaTheme="minorEastAsia"/>
        </w:rPr>
      </w:pPr>
      <w:r>
        <w:fldChar w:fldCharType="begin"/>
      </w:r>
      <w:r>
        <w:instrText xml:space="preserve"> HYPERLINK \l "_Toc196728136" </w:instrText>
      </w:r>
      <w:r>
        <w:fldChar w:fldCharType="separate"/>
      </w:r>
      <w:r>
        <w:rPr>
          <w:rStyle w:val="139"/>
        </w:rPr>
        <w:t>9.4. IPsec快速配置</w:t>
      </w:r>
      <w:r>
        <w:tab/>
      </w:r>
      <w:r>
        <w:fldChar w:fldCharType="begin"/>
      </w:r>
      <w:r>
        <w:instrText xml:space="preserve"> PAGEREF _Toc196728136 \h </w:instrText>
      </w:r>
      <w:r>
        <w:fldChar w:fldCharType="separate"/>
      </w:r>
      <w:r>
        <w:t>294</w:t>
      </w:r>
      <w:r>
        <w:fldChar w:fldCharType="end"/>
      </w:r>
      <w:r>
        <w:fldChar w:fldCharType="end"/>
      </w:r>
    </w:p>
    <w:p w14:paraId="6A4820BB">
      <w:pPr>
        <w:pStyle w:val="42"/>
        <w:tabs>
          <w:tab w:val="right" w:leader="dot" w:pos="8296"/>
        </w:tabs>
        <w:ind w:left="840"/>
        <w:rPr>
          <w:rFonts w:asciiTheme="minorHAnsi" w:hAnsiTheme="minorHAnsi" w:eastAsiaTheme="minorEastAsia"/>
        </w:rPr>
      </w:pPr>
      <w:r>
        <w:fldChar w:fldCharType="begin"/>
      </w:r>
      <w:r>
        <w:instrText xml:space="preserve"> HYPERLINK \l "_Toc196728137" </w:instrText>
      </w:r>
      <w:r>
        <w:fldChar w:fldCharType="separate"/>
      </w:r>
      <w:r>
        <w:rPr>
          <w:rStyle w:val="139"/>
          <w:kern w:val="0"/>
          <w14:scene3d w14:prst="orthographicFront">
            <w14:lightRig w14:rig="threePt" w14:dir="t">
              <w14:rot w14:lat="0" w14:lon="0" w14:rev="0"/>
            </w14:lightRig>
          </w14:scene3d>
        </w:rPr>
        <w:t>9.4.1.</w:t>
      </w:r>
      <w:r>
        <w:rPr>
          <w:rStyle w:val="139"/>
        </w:rPr>
        <w:t xml:space="preserve"> IPsec快速配置概述</w:t>
      </w:r>
      <w:r>
        <w:tab/>
      </w:r>
      <w:r>
        <w:fldChar w:fldCharType="begin"/>
      </w:r>
      <w:r>
        <w:instrText xml:space="preserve"> PAGEREF _Toc196728137 \h </w:instrText>
      </w:r>
      <w:r>
        <w:fldChar w:fldCharType="separate"/>
      </w:r>
      <w:r>
        <w:t>294</w:t>
      </w:r>
      <w:r>
        <w:fldChar w:fldCharType="end"/>
      </w:r>
      <w:r>
        <w:fldChar w:fldCharType="end"/>
      </w:r>
    </w:p>
    <w:p w14:paraId="6C1C95CD">
      <w:pPr>
        <w:pStyle w:val="42"/>
        <w:tabs>
          <w:tab w:val="right" w:leader="dot" w:pos="8296"/>
        </w:tabs>
        <w:ind w:left="840"/>
        <w:rPr>
          <w:rFonts w:asciiTheme="minorHAnsi" w:hAnsiTheme="minorHAnsi" w:eastAsiaTheme="minorEastAsia"/>
        </w:rPr>
      </w:pPr>
      <w:r>
        <w:fldChar w:fldCharType="begin"/>
      </w:r>
      <w:r>
        <w:instrText xml:space="preserve"> HYPERLINK \l "_Toc196728138" </w:instrText>
      </w:r>
      <w:r>
        <w:fldChar w:fldCharType="separate"/>
      </w:r>
      <w:r>
        <w:rPr>
          <w:rStyle w:val="139"/>
          <w:kern w:val="0"/>
          <w14:scene3d w14:prst="orthographicFront">
            <w14:lightRig w14:rig="threePt" w14:dir="t">
              <w14:rot w14:lat="0" w14:lon="0" w14:rev="0"/>
            </w14:lightRig>
          </w14:scene3d>
        </w:rPr>
        <w:t>9.4.2.</w:t>
      </w:r>
      <w:r>
        <w:rPr>
          <w:rStyle w:val="139"/>
        </w:rPr>
        <w:t xml:space="preserve"> 创建IPsec快速配置</w:t>
      </w:r>
      <w:r>
        <w:tab/>
      </w:r>
      <w:r>
        <w:fldChar w:fldCharType="begin"/>
      </w:r>
      <w:r>
        <w:instrText xml:space="preserve"> PAGEREF _Toc196728138 \h </w:instrText>
      </w:r>
      <w:r>
        <w:fldChar w:fldCharType="separate"/>
      </w:r>
      <w:r>
        <w:t>296</w:t>
      </w:r>
      <w:r>
        <w:fldChar w:fldCharType="end"/>
      </w:r>
      <w:r>
        <w:fldChar w:fldCharType="end"/>
      </w:r>
    </w:p>
    <w:p w14:paraId="1FABBA95">
      <w:pPr>
        <w:pStyle w:val="42"/>
        <w:tabs>
          <w:tab w:val="right" w:leader="dot" w:pos="8296"/>
        </w:tabs>
        <w:ind w:left="840"/>
        <w:rPr>
          <w:rFonts w:asciiTheme="minorHAnsi" w:hAnsiTheme="minorHAnsi" w:eastAsiaTheme="minorEastAsia"/>
        </w:rPr>
      </w:pPr>
      <w:r>
        <w:fldChar w:fldCharType="begin"/>
      </w:r>
      <w:r>
        <w:instrText xml:space="preserve"> HYPERLINK \l "_Toc196728139" </w:instrText>
      </w:r>
      <w:r>
        <w:fldChar w:fldCharType="separate"/>
      </w:r>
      <w:r>
        <w:rPr>
          <w:rStyle w:val="139"/>
          <w:kern w:val="0"/>
          <w14:scene3d w14:prst="orthographicFront">
            <w14:lightRig w14:rig="threePt" w14:dir="t">
              <w14:rot w14:lat="0" w14:lon="0" w14:rev="0"/>
            </w14:lightRig>
          </w14:scene3d>
        </w:rPr>
        <w:t>9.4.3.</w:t>
      </w:r>
      <w:r>
        <w:rPr>
          <w:rStyle w:val="139"/>
        </w:rPr>
        <w:t xml:space="preserve"> 查看IPsec监控</w:t>
      </w:r>
      <w:r>
        <w:tab/>
      </w:r>
      <w:r>
        <w:fldChar w:fldCharType="begin"/>
      </w:r>
      <w:r>
        <w:instrText xml:space="preserve"> PAGEREF _Toc196728139 \h </w:instrText>
      </w:r>
      <w:r>
        <w:fldChar w:fldCharType="separate"/>
      </w:r>
      <w:r>
        <w:t>301</w:t>
      </w:r>
      <w:r>
        <w:fldChar w:fldCharType="end"/>
      </w:r>
      <w:r>
        <w:fldChar w:fldCharType="end"/>
      </w:r>
    </w:p>
    <w:p w14:paraId="1A21A931">
      <w:pPr>
        <w:pStyle w:val="42"/>
        <w:tabs>
          <w:tab w:val="right" w:leader="dot" w:pos="8296"/>
        </w:tabs>
        <w:ind w:left="840"/>
        <w:rPr>
          <w:rFonts w:asciiTheme="minorHAnsi" w:hAnsiTheme="minorHAnsi" w:eastAsiaTheme="minorEastAsia"/>
        </w:rPr>
      </w:pPr>
      <w:r>
        <w:fldChar w:fldCharType="begin"/>
      </w:r>
      <w:r>
        <w:instrText xml:space="preserve"> HYPERLINK \l "_Toc196728140" </w:instrText>
      </w:r>
      <w:r>
        <w:fldChar w:fldCharType="separate"/>
      </w:r>
      <w:r>
        <w:rPr>
          <w:rStyle w:val="139"/>
          <w:kern w:val="0"/>
          <w14:scene3d w14:prst="orthographicFront">
            <w14:lightRig w14:rig="threePt" w14:dir="t">
              <w14:rot w14:lat="0" w14:lon="0" w14:rev="0"/>
            </w14:lightRig>
          </w14:scene3d>
        </w:rPr>
        <w:t>9.4.4.</w:t>
      </w:r>
      <w:r>
        <w:rPr>
          <w:rStyle w:val="139"/>
        </w:rPr>
        <w:t xml:space="preserve"> IPSec快速配置举例</w:t>
      </w:r>
      <w:r>
        <w:tab/>
      </w:r>
      <w:r>
        <w:fldChar w:fldCharType="begin"/>
      </w:r>
      <w:r>
        <w:instrText xml:space="preserve"> PAGEREF _Toc196728140 \h </w:instrText>
      </w:r>
      <w:r>
        <w:fldChar w:fldCharType="separate"/>
      </w:r>
      <w:r>
        <w:t>303</w:t>
      </w:r>
      <w:r>
        <w:fldChar w:fldCharType="end"/>
      </w:r>
      <w:r>
        <w:fldChar w:fldCharType="end"/>
      </w:r>
    </w:p>
    <w:p w14:paraId="18648615">
      <w:pPr>
        <w:pStyle w:val="56"/>
        <w:tabs>
          <w:tab w:val="right" w:leader="dot" w:pos="8296"/>
        </w:tabs>
        <w:rPr>
          <w:rFonts w:asciiTheme="minorHAnsi" w:hAnsiTheme="minorHAnsi" w:eastAsiaTheme="minorEastAsia"/>
        </w:rPr>
      </w:pPr>
      <w:r>
        <w:fldChar w:fldCharType="begin"/>
      </w:r>
      <w:r>
        <w:instrText xml:space="preserve"> HYPERLINK \l "_Toc196728141" </w:instrText>
      </w:r>
      <w:r>
        <w:fldChar w:fldCharType="separate"/>
      </w:r>
      <w:r>
        <w:rPr>
          <w:rStyle w:val="139"/>
        </w:rPr>
        <w:t>10. SSL VPN</w:t>
      </w:r>
      <w:r>
        <w:tab/>
      </w:r>
      <w:r>
        <w:fldChar w:fldCharType="begin"/>
      </w:r>
      <w:r>
        <w:instrText xml:space="preserve"> PAGEREF _Toc196728141 \h </w:instrText>
      </w:r>
      <w:r>
        <w:fldChar w:fldCharType="separate"/>
      </w:r>
      <w:r>
        <w:t>307</w:t>
      </w:r>
      <w:r>
        <w:fldChar w:fldCharType="end"/>
      </w:r>
      <w:r>
        <w:fldChar w:fldCharType="end"/>
      </w:r>
    </w:p>
    <w:p w14:paraId="63789FD4">
      <w:pPr>
        <w:pStyle w:val="70"/>
        <w:tabs>
          <w:tab w:val="right" w:leader="dot" w:pos="8296"/>
        </w:tabs>
        <w:ind w:left="420"/>
        <w:rPr>
          <w:rFonts w:asciiTheme="minorHAnsi" w:hAnsiTheme="minorHAnsi" w:eastAsiaTheme="minorEastAsia"/>
        </w:rPr>
      </w:pPr>
      <w:r>
        <w:fldChar w:fldCharType="begin"/>
      </w:r>
      <w:r>
        <w:instrText xml:space="preserve"> HYPERLINK \l "_Toc196728142" </w:instrText>
      </w:r>
      <w:r>
        <w:fldChar w:fldCharType="separate"/>
      </w:r>
      <w:r>
        <w:rPr>
          <w:rStyle w:val="139"/>
        </w:rPr>
        <w:t>10.1. SSL VPN概述</w:t>
      </w:r>
      <w:r>
        <w:tab/>
      </w:r>
      <w:r>
        <w:fldChar w:fldCharType="begin"/>
      </w:r>
      <w:r>
        <w:instrText xml:space="preserve"> PAGEREF _Toc196728142 \h </w:instrText>
      </w:r>
      <w:r>
        <w:fldChar w:fldCharType="separate"/>
      </w:r>
      <w:r>
        <w:t>307</w:t>
      </w:r>
      <w:r>
        <w:fldChar w:fldCharType="end"/>
      </w:r>
      <w:r>
        <w:fldChar w:fldCharType="end"/>
      </w:r>
    </w:p>
    <w:p w14:paraId="25987DCE">
      <w:pPr>
        <w:pStyle w:val="70"/>
        <w:tabs>
          <w:tab w:val="right" w:leader="dot" w:pos="8296"/>
        </w:tabs>
        <w:ind w:left="420"/>
        <w:rPr>
          <w:rFonts w:asciiTheme="minorHAnsi" w:hAnsiTheme="minorHAnsi" w:eastAsiaTheme="minorEastAsia"/>
        </w:rPr>
      </w:pPr>
      <w:r>
        <w:fldChar w:fldCharType="begin"/>
      </w:r>
      <w:r>
        <w:instrText xml:space="preserve"> HYPERLINK \l "_Toc196728143" </w:instrText>
      </w:r>
      <w:r>
        <w:fldChar w:fldCharType="separate"/>
      </w:r>
      <w:r>
        <w:rPr>
          <w:rStyle w:val="139"/>
        </w:rPr>
        <w:t>10.2. 使用限制</w:t>
      </w:r>
      <w:r>
        <w:tab/>
      </w:r>
      <w:r>
        <w:fldChar w:fldCharType="begin"/>
      </w:r>
      <w:r>
        <w:instrText xml:space="preserve"> PAGEREF _Toc196728143 \h </w:instrText>
      </w:r>
      <w:r>
        <w:fldChar w:fldCharType="separate"/>
      </w:r>
      <w:r>
        <w:t>307</w:t>
      </w:r>
      <w:r>
        <w:fldChar w:fldCharType="end"/>
      </w:r>
      <w:r>
        <w:fldChar w:fldCharType="end"/>
      </w:r>
    </w:p>
    <w:p w14:paraId="661F0FFD">
      <w:pPr>
        <w:pStyle w:val="70"/>
        <w:tabs>
          <w:tab w:val="right" w:leader="dot" w:pos="8296"/>
        </w:tabs>
        <w:ind w:left="420"/>
        <w:rPr>
          <w:rFonts w:asciiTheme="minorHAnsi" w:hAnsiTheme="minorHAnsi" w:eastAsiaTheme="minorEastAsia"/>
        </w:rPr>
      </w:pPr>
      <w:r>
        <w:fldChar w:fldCharType="begin"/>
      </w:r>
      <w:r>
        <w:instrText xml:space="preserve"> HYPERLINK \l "_Toc196728144" </w:instrText>
      </w:r>
      <w:r>
        <w:fldChar w:fldCharType="separate"/>
      </w:r>
      <w:r>
        <w:rPr>
          <w:rStyle w:val="139"/>
        </w:rPr>
        <w:t>10.3. 配置SSL VPN</w:t>
      </w:r>
      <w:r>
        <w:tab/>
      </w:r>
      <w:r>
        <w:fldChar w:fldCharType="begin"/>
      </w:r>
      <w:r>
        <w:instrText xml:space="preserve"> PAGEREF _Toc196728144 \h </w:instrText>
      </w:r>
      <w:r>
        <w:fldChar w:fldCharType="separate"/>
      </w:r>
      <w:r>
        <w:t>307</w:t>
      </w:r>
      <w:r>
        <w:fldChar w:fldCharType="end"/>
      </w:r>
      <w:r>
        <w:fldChar w:fldCharType="end"/>
      </w:r>
    </w:p>
    <w:p w14:paraId="50B55A0A">
      <w:pPr>
        <w:pStyle w:val="42"/>
        <w:tabs>
          <w:tab w:val="right" w:leader="dot" w:pos="8296"/>
        </w:tabs>
        <w:ind w:left="840"/>
        <w:rPr>
          <w:rFonts w:asciiTheme="minorHAnsi" w:hAnsiTheme="minorHAnsi" w:eastAsiaTheme="minorEastAsia"/>
        </w:rPr>
      </w:pPr>
      <w:r>
        <w:fldChar w:fldCharType="begin"/>
      </w:r>
      <w:r>
        <w:instrText xml:space="preserve"> HYPERLINK \l "_Toc196728145" </w:instrText>
      </w:r>
      <w:r>
        <w:fldChar w:fldCharType="separate"/>
      </w:r>
      <w:r>
        <w:rPr>
          <w:rStyle w:val="139"/>
          <w:kern w:val="0"/>
          <w14:scene3d w14:prst="orthographicFront">
            <w14:lightRig w14:rig="threePt" w14:dir="t">
              <w14:rot w14:lat="0" w14:lon="0" w14:rev="0"/>
            </w14:lightRig>
          </w14:scene3d>
        </w:rPr>
        <w:t>10.3.1.</w:t>
      </w:r>
      <w:r>
        <w:rPr>
          <w:rStyle w:val="139"/>
        </w:rPr>
        <w:t xml:space="preserve"> 配置概述</w:t>
      </w:r>
      <w:r>
        <w:tab/>
      </w:r>
      <w:r>
        <w:fldChar w:fldCharType="begin"/>
      </w:r>
      <w:r>
        <w:instrText xml:space="preserve"> PAGEREF _Toc196728145 \h </w:instrText>
      </w:r>
      <w:r>
        <w:fldChar w:fldCharType="separate"/>
      </w:r>
      <w:r>
        <w:t>307</w:t>
      </w:r>
      <w:r>
        <w:fldChar w:fldCharType="end"/>
      </w:r>
      <w:r>
        <w:fldChar w:fldCharType="end"/>
      </w:r>
    </w:p>
    <w:p w14:paraId="584C1882">
      <w:pPr>
        <w:pStyle w:val="42"/>
        <w:tabs>
          <w:tab w:val="right" w:leader="dot" w:pos="8296"/>
        </w:tabs>
        <w:ind w:left="840"/>
        <w:rPr>
          <w:rFonts w:asciiTheme="minorHAnsi" w:hAnsiTheme="minorHAnsi" w:eastAsiaTheme="minorEastAsia"/>
        </w:rPr>
      </w:pPr>
      <w:r>
        <w:fldChar w:fldCharType="begin"/>
      </w:r>
      <w:r>
        <w:instrText xml:space="preserve"> HYPERLINK \l "_Toc196728146" </w:instrText>
      </w:r>
      <w:r>
        <w:fldChar w:fldCharType="separate"/>
      </w:r>
      <w:r>
        <w:rPr>
          <w:rStyle w:val="139"/>
          <w:kern w:val="0"/>
          <w14:scene3d w14:prst="orthographicFront">
            <w14:lightRig w14:rig="threePt" w14:dir="t">
              <w14:rot w14:lat="0" w14:lon="0" w14:rev="0"/>
            </w14:lightRig>
          </w14:scene3d>
        </w:rPr>
        <w:t>10.3.2.</w:t>
      </w:r>
      <w:r>
        <w:rPr>
          <w:rStyle w:val="139"/>
        </w:rPr>
        <w:t xml:space="preserve"> 配置SSL VPN全局配置</w:t>
      </w:r>
      <w:r>
        <w:tab/>
      </w:r>
      <w:r>
        <w:fldChar w:fldCharType="begin"/>
      </w:r>
      <w:r>
        <w:instrText xml:space="preserve"> PAGEREF _Toc196728146 \h </w:instrText>
      </w:r>
      <w:r>
        <w:fldChar w:fldCharType="separate"/>
      </w:r>
      <w:r>
        <w:t>308</w:t>
      </w:r>
      <w:r>
        <w:fldChar w:fldCharType="end"/>
      </w:r>
      <w:r>
        <w:fldChar w:fldCharType="end"/>
      </w:r>
    </w:p>
    <w:p w14:paraId="7A551C1F">
      <w:pPr>
        <w:pStyle w:val="42"/>
        <w:tabs>
          <w:tab w:val="right" w:leader="dot" w:pos="8296"/>
        </w:tabs>
        <w:ind w:left="840"/>
        <w:rPr>
          <w:rFonts w:asciiTheme="minorHAnsi" w:hAnsiTheme="minorHAnsi" w:eastAsiaTheme="minorEastAsia"/>
        </w:rPr>
      </w:pPr>
      <w:r>
        <w:fldChar w:fldCharType="begin"/>
      </w:r>
      <w:r>
        <w:instrText xml:space="preserve"> HYPERLINK \l "_Toc196728147" </w:instrText>
      </w:r>
      <w:r>
        <w:fldChar w:fldCharType="separate"/>
      </w:r>
      <w:r>
        <w:rPr>
          <w:rStyle w:val="139"/>
          <w:kern w:val="0"/>
          <w14:scene3d w14:prst="orthographicFront">
            <w14:lightRig w14:rig="threePt" w14:dir="t">
              <w14:rot w14:lat="0" w14:lon="0" w14:rev="0"/>
            </w14:lightRig>
          </w14:scene3d>
        </w:rPr>
        <w:t>10.3.3.</w:t>
      </w:r>
      <w:r>
        <w:rPr>
          <w:rStyle w:val="139"/>
        </w:rPr>
        <w:t xml:space="preserve"> 配置SSL VPN IP用户绑定</w:t>
      </w:r>
      <w:r>
        <w:tab/>
      </w:r>
      <w:r>
        <w:fldChar w:fldCharType="begin"/>
      </w:r>
      <w:r>
        <w:instrText xml:space="preserve"> PAGEREF _Toc196728147 \h </w:instrText>
      </w:r>
      <w:r>
        <w:fldChar w:fldCharType="separate"/>
      </w:r>
      <w:r>
        <w:t>309</w:t>
      </w:r>
      <w:r>
        <w:fldChar w:fldCharType="end"/>
      </w:r>
      <w:r>
        <w:fldChar w:fldCharType="end"/>
      </w:r>
    </w:p>
    <w:p w14:paraId="2E24DCDB">
      <w:pPr>
        <w:pStyle w:val="42"/>
        <w:tabs>
          <w:tab w:val="right" w:leader="dot" w:pos="8296"/>
        </w:tabs>
        <w:ind w:left="840"/>
        <w:rPr>
          <w:rFonts w:asciiTheme="minorHAnsi" w:hAnsiTheme="minorHAnsi" w:eastAsiaTheme="minorEastAsia"/>
        </w:rPr>
      </w:pPr>
      <w:r>
        <w:fldChar w:fldCharType="begin"/>
      </w:r>
      <w:r>
        <w:instrText xml:space="preserve"> HYPERLINK \l "_Toc196728148" </w:instrText>
      </w:r>
      <w:r>
        <w:fldChar w:fldCharType="separate"/>
      </w:r>
      <w:r>
        <w:rPr>
          <w:rStyle w:val="139"/>
          <w:kern w:val="0"/>
          <w14:scene3d w14:prst="orthographicFront">
            <w14:lightRig w14:rig="threePt" w14:dir="t">
              <w14:rot w14:lat="0" w14:lon="0" w14:rev="0"/>
            </w14:lightRig>
          </w14:scene3d>
        </w:rPr>
        <w:t>10.3.4.</w:t>
      </w:r>
      <w:r>
        <w:rPr>
          <w:rStyle w:val="139"/>
        </w:rPr>
        <w:t xml:space="preserve"> 配置SSL VPN安全设置</w:t>
      </w:r>
      <w:r>
        <w:tab/>
      </w:r>
      <w:r>
        <w:fldChar w:fldCharType="begin"/>
      </w:r>
      <w:r>
        <w:instrText xml:space="preserve"> PAGEREF _Toc196728148 \h </w:instrText>
      </w:r>
      <w:r>
        <w:fldChar w:fldCharType="separate"/>
      </w:r>
      <w:r>
        <w:t>310</w:t>
      </w:r>
      <w:r>
        <w:fldChar w:fldCharType="end"/>
      </w:r>
      <w:r>
        <w:fldChar w:fldCharType="end"/>
      </w:r>
    </w:p>
    <w:p w14:paraId="57398052">
      <w:pPr>
        <w:pStyle w:val="42"/>
        <w:tabs>
          <w:tab w:val="right" w:leader="dot" w:pos="8296"/>
        </w:tabs>
        <w:ind w:left="840"/>
        <w:rPr>
          <w:rFonts w:asciiTheme="minorHAnsi" w:hAnsiTheme="minorHAnsi" w:eastAsiaTheme="minorEastAsia"/>
        </w:rPr>
      </w:pPr>
      <w:r>
        <w:fldChar w:fldCharType="begin"/>
      </w:r>
      <w:r>
        <w:instrText xml:space="preserve"> HYPERLINK \l "_Toc196728149" </w:instrText>
      </w:r>
      <w:r>
        <w:fldChar w:fldCharType="separate"/>
      </w:r>
      <w:r>
        <w:rPr>
          <w:rStyle w:val="139"/>
          <w:kern w:val="0"/>
          <w14:scene3d w14:prst="orthographicFront">
            <w14:lightRig w14:rig="threePt" w14:dir="t">
              <w14:rot w14:lat="0" w14:lon="0" w14:rev="0"/>
            </w14:lightRig>
          </w14:scene3d>
        </w:rPr>
        <w:t>10.3.5.</w:t>
      </w:r>
      <w:r>
        <w:rPr>
          <w:rStyle w:val="139"/>
        </w:rPr>
        <w:t xml:space="preserve"> 配置SSL VPN资源</w:t>
      </w:r>
      <w:r>
        <w:tab/>
      </w:r>
      <w:r>
        <w:fldChar w:fldCharType="begin"/>
      </w:r>
      <w:r>
        <w:instrText xml:space="preserve"> PAGEREF _Toc196728149 \h </w:instrText>
      </w:r>
      <w:r>
        <w:fldChar w:fldCharType="separate"/>
      </w:r>
      <w:r>
        <w:t>311</w:t>
      </w:r>
      <w:r>
        <w:fldChar w:fldCharType="end"/>
      </w:r>
      <w:r>
        <w:fldChar w:fldCharType="end"/>
      </w:r>
    </w:p>
    <w:p w14:paraId="53FC9D8F">
      <w:pPr>
        <w:pStyle w:val="42"/>
        <w:tabs>
          <w:tab w:val="right" w:leader="dot" w:pos="8296"/>
        </w:tabs>
        <w:ind w:left="840"/>
        <w:rPr>
          <w:rFonts w:asciiTheme="minorHAnsi" w:hAnsiTheme="minorHAnsi" w:eastAsiaTheme="minorEastAsia"/>
        </w:rPr>
      </w:pPr>
      <w:r>
        <w:fldChar w:fldCharType="begin"/>
      </w:r>
      <w:r>
        <w:instrText xml:space="preserve"> HYPERLINK \l "_Toc196728150" </w:instrText>
      </w:r>
      <w:r>
        <w:fldChar w:fldCharType="separate"/>
      </w:r>
      <w:r>
        <w:rPr>
          <w:rStyle w:val="139"/>
          <w:kern w:val="0"/>
          <w14:scene3d w14:prst="orthographicFront">
            <w14:lightRig w14:rig="threePt" w14:dir="t">
              <w14:rot w14:lat="0" w14:lon="0" w14:rev="0"/>
            </w14:lightRig>
          </w14:scene3d>
        </w:rPr>
        <w:t>10.3.6.</w:t>
      </w:r>
      <w:r>
        <w:rPr>
          <w:rStyle w:val="139"/>
        </w:rPr>
        <w:t xml:space="preserve"> 配置SSL VPN门户网站</w:t>
      </w:r>
      <w:r>
        <w:tab/>
      </w:r>
      <w:r>
        <w:fldChar w:fldCharType="begin"/>
      </w:r>
      <w:r>
        <w:instrText xml:space="preserve"> PAGEREF _Toc196728150 \h </w:instrText>
      </w:r>
      <w:r>
        <w:fldChar w:fldCharType="separate"/>
      </w:r>
      <w:r>
        <w:t>313</w:t>
      </w:r>
      <w:r>
        <w:fldChar w:fldCharType="end"/>
      </w:r>
      <w:r>
        <w:fldChar w:fldCharType="end"/>
      </w:r>
    </w:p>
    <w:p w14:paraId="1D3553A3">
      <w:pPr>
        <w:pStyle w:val="42"/>
        <w:tabs>
          <w:tab w:val="right" w:leader="dot" w:pos="8296"/>
        </w:tabs>
        <w:ind w:left="840"/>
        <w:rPr>
          <w:rFonts w:asciiTheme="minorHAnsi" w:hAnsiTheme="minorHAnsi" w:eastAsiaTheme="minorEastAsia"/>
        </w:rPr>
      </w:pPr>
      <w:r>
        <w:fldChar w:fldCharType="begin"/>
      </w:r>
      <w:r>
        <w:instrText xml:space="preserve"> HYPERLINK \l "_Toc196728151" </w:instrText>
      </w:r>
      <w:r>
        <w:fldChar w:fldCharType="separate"/>
      </w:r>
      <w:r>
        <w:rPr>
          <w:rStyle w:val="139"/>
          <w:kern w:val="0"/>
          <w14:scene3d w14:prst="orthographicFront">
            <w14:lightRig w14:rig="threePt" w14:dir="t">
              <w14:rot w14:lat="0" w14:lon="0" w14:rev="0"/>
            </w14:lightRig>
          </w14:scene3d>
        </w:rPr>
        <w:t>10.3.7.</w:t>
      </w:r>
      <w:r>
        <w:rPr>
          <w:rStyle w:val="139"/>
        </w:rPr>
        <w:t xml:space="preserve"> 下载SSL VPN客户端</w:t>
      </w:r>
      <w:r>
        <w:tab/>
      </w:r>
      <w:r>
        <w:fldChar w:fldCharType="begin"/>
      </w:r>
      <w:r>
        <w:instrText xml:space="preserve"> PAGEREF _Toc196728151 \h </w:instrText>
      </w:r>
      <w:r>
        <w:fldChar w:fldCharType="separate"/>
      </w:r>
      <w:r>
        <w:t>314</w:t>
      </w:r>
      <w:r>
        <w:fldChar w:fldCharType="end"/>
      </w:r>
      <w:r>
        <w:fldChar w:fldCharType="end"/>
      </w:r>
    </w:p>
    <w:p w14:paraId="21D66224">
      <w:pPr>
        <w:pStyle w:val="42"/>
        <w:tabs>
          <w:tab w:val="right" w:leader="dot" w:pos="8296"/>
        </w:tabs>
        <w:ind w:left="840"/>
        <w:rPr>
          <w:rFonts w:asciiTheme="minorHAnsi" w:hAnsiTheme="minorHAnsi" w:eastAsiaTheme="minorEastAsia"/>
        </w:rPr>
      </w:pPr>
      <w:r>
        <w:fldChar w:fldCharType="begin"/>
      </w:r>
      <w:r>
        <w:instrText xml:space="preserve"> HYPERLINK \l "_Toc196728152" </w:instrText>
      </w:r>
      <w:r>
        <w:fldChar w:fldCharType="separate"/>
      </w:r>
      <w:r>
        <w:rPr>
          <w:rStyle w:val="139"/>
          <w:kern w:val="0"/>
          <w14:scene3d w14:prst="orthographicFront">
            <w14:lightRig w14:rig="threePt" w14:dir="t">
              <w14:rot w14:lat="0" w14:lon="0" w14:rev="0"/>
            </w14:lightRig>
          </w14:scene3d>
        </w:rPr>
        <w:t>10.3.8.</w:t>
      </w:r>
      <w:r>
        <w:rPr>
          <w:rStyle w:val="139"/>
        </w:rPr>
        <w:t xml:space="preserve"> 配置SSL VPN策略</w:t>
      </w:r>
      <w:r>
        <w:tab/>
      </w:r>
      <w:r>
        <w:fldChar w:fldCharType="begin"/>
      </w:r>
      <w:r>
        <w:instrText xml:space="preserve"> PAGEREF _Toc196728152 \h </w:instrText>
      </w:r>
      <w:r>
        <w:fldChar w:fldCharType="separate"/>
      </w:r>
      <w:r>
        <w:t>315</w:t>
      </w:r>
      <w:r>
        <w:fldChar w:fldCharType="end"/>
      </w:r>
      <w:r>
        <w:fldChar w:fldCharType="end"/>
      </w:r>
    </w:p>
    <w:p w14:paraId="387FD552">
      <w:pPr>
        <w:pStyle w:val="70"/>
        <w:tabs>
          <w:tab w:val="right" w:leader="dot" w:pos="8296"/>
        </w:tabs>
        <w:ind w:left="420"/>
        <w:rPr>
          <w:rFonts w:asciiTheme="minorHAnsi" w:hAnsiTheme="minorHAnsi" w:eastAsiaTheme="minorEastAsia"/>
        </w:rPr>
      </w:pPr>
      <w:r>
        <w:fldChar w:fldCharType="begin"/>
      </w:r>
      <w:r>
        <w:instrText xml:space="preserve"> HYPERLINK \l "_Toc196728153" </w:instrText>
      </w:r>
      <w:r>
        <w:fldChar w:fldCharType="separate"/>
      </w:r>
      <w:r>
        <w:rPr>
          <w:rStyle w:val="139"/>
        </w:rPr>
        <w:t>10.4. SSL VPN的查看和管理</w:t>
      </w:r>
      <w:r>
        <w:tab/>
      </w:r>
      <w:r>
        <w:fldChar w:fldCharType="begin"/>
      </w:r>
      <w:r>
        <w:instrText xml:space="preserve"> PAGEREF _Toc196728153 \h </w:instrText>
      </w:r>
      <w:r>
        <w:fldChar w:fldCharType="separate"/>
      </w:r>
      <w:r>
        <w:t>317</w:t>
      </w:r>
      <w:r>
        <w:fldChar w:fldCharType="end"/>
      </w:r>
      <w:r>
        <w:fldChar w:fldCharType="end"/>
      </w:r>
    </w:p>
    <w:p w14:paraId="1B278741">
      <w:pPr>
        <w:pStyle w:val="70"/>
        <w:tabs>
          <w:tab w:val="right" w:leader="dot" w:pos="8296"/>
        </w:tabs>
        <w:ind w:left="420"/>
        <w:rPr>
          <w:rFonts w:asciiTheme="minorHAnsi" w:hAnsiTheme="minorHAnsi" w:eastAsiaTheme="minorEastAsia"/>
        </w:rPr>
      </w:pPr>
      <w:r>
        <w:fldChar w:fldCharType="begin"/>
      </w:r>
      <w:r>
        <w:instrText xml:space="preserve"> HYPERLINK \l "_Toc196728154" </w:instrText>
      </w:r>
      <w:r>
        <w:fldChar w:fldCharType="separate"/>
      </w:r>
      <w:r>
        <w:rPr>
          <w:rStyle w:val="139"/>
        </w:rPr>
        <w:t>10.5. SSL VPN客户端的安装及配置</w:t>
      </w:r>
      <w:r>
        <w:tab/>
      </w:r>
      <w:r>
        <w:fldChar w:fldCharType="begin"/>
      </w:r>
      <w:r>
        <w:instrText xml:space="preserve"> PAGEREF _Toc196728154 \h </w:instrText>
      </w:r>
      <w:r>
        <w:fldChar w:fldCharType="separate"/>
      </w:r>
      <w:r>
        <w:t>317</w:t>
      </w:r>
      <w:r>
        <w:fldChar w:fldCharType="end"/>
      </w:r>
      <w:r>
        <w:fldChar w:fldCharType="end"/>
      </w:r>
    </w:p>
    <w:p w14:paraId="567C81A2">
      <w:pPr>
        <w:pStyle w:val="42"/>
        <w:tabs>
          <w:tab w:val="right" w:leader="dot" w:pos="8296"/>
        </w:tabs>
        <w:ind w:left="840"/>
        <w:rPr>
          <w:rFonts w:asciiTheme="minorHAnsi" w:hAnsiTheme="minorHAnsi" w:eastAsiaTheme="minorEastAsia"/>
        </w:rPr>
      </w:pPr>
      <w:r>
        <w:fldChar w:fldCharType="begin"/>
      </w:r>
      <w:r>
        <w:instrText xml:space="preserve"> HYPERLINK \l "_Toc196728155" </w:instrText>
      </w:r>
      <w:r>
        <w:fldChar w:fldCharType="separate"/>
      </w:r>
      <w:r>
        <w:rPr>
          <w:rStyle w:val="139"/>
          <w:kern w:val="0"/>
          <w14:scene3d w14:prst="orthographicFront">
            <w14:lightRig w14:rig="threePt" w14:dir="t">
              <w14:rot w14:lat="0" w14:lon="0" w14:rev="0"/>
            </w14:lightRig>
          </w14:scene3d>
        </w:rPr>
        <w:t>10.5.1.</w:t>
      </w:r>
      <w:r>
        <w:rPr>
          <w:rStyle w:val="139"/>
        </w:rPr>
        <w:t xml:space="preserve"> SSL VPN客户端安装软件的获取</w:t>
      </w:r>
      <w:r>
        <w:tab/>
      </w:r>
      <w:r>
        <w:fldChar w:fldCharType="begin"/>
      </w:r>
      <w:r>
        <w:instrText xml:space="preserve"> PAGEREF _Toc196728155 \h </w:instrText>
      </w:r>
      <w:r>
        <w:fldChar w:fldCharType="separate"/>
      </w:r>
      <w:r>
        <w:t>317</w:t>
      </w:r>
      <w:r>
        <w:fldChar w:fldCharType="end"/>
      </w:r>
      <w:r>
        <w:fldChar w:fldCharType="end"/>
      </w:r>
    </w:p>
    <w:p w14:paraId="01860676">
      <w:pPr>
        <w:pStyle w:val="42"/>
        <w:tabs>
          <w:tab w:val="right" w:leader="dot" w:pos="8296"/>
        </w:tabs>
        <w:ind w:left="840"/>
        <w:rPr>
          <w:rFonts w:asciiTheme="minorHAnsi" w:hAnsiTheme="minorHAnsi" w:eastAsiaTheme="minorEastAsia"/>
        </w:rPr>
      </w:pPr>
      <w:r>
        <w:fldChar w:fldCharType="begin"/>
      </w:r>
      <w:r>
        <w:instrText xml:space="preserve"> HYPERLINK \l "_Toc196728156" </w:instrText>
      </w:r>
      <w:r>
        <w:fldChar w:fldCharType="separate"/>
      </w:r>
      <w:r>
        <w:rPr>
          <w:rStyle w:val="139"/>
          <w:kern w:val="0"/>
          <w14:scene3d w14:prst="orthographicFront">
            <w14:lightRig w14:rig="threePt" w14:dir="t">
              <w14:rot w14:lat="0" w14:lon="0" w14:rev="0"/>
            </w14:lightRig>
          </w14:scene3d>
        </w:rPr>
        <w:t>10.5.2.</w:t>
      </w:r>
      <w:r>
        <w:rPr>
          <w:rStyle w:val="139"/>
        </w:rPr>
        <w:t xml:space="preserve"> Windows系统SSL VPN客户端安装及配置</w:t>
      </w:r>
      <w:r>
        <w:tab/>
      </w:r>
      <w:r>
        <w:fldChar w:fldCharType="begin"/>
      </w:r>
      <w:r>
        <w:instrText xml:space="preserve"> PAGEREF _Toc196728156 \h </w:instrText>
      </w:r>
      <w:r>
        <w:fldChar w:fldCharType="separate"/>
      </w:r>
      <w:r>
        <w:t>317</w:t>
      </w:r>
      <w:r>
        <w:fldChar w:fldCharType="end"/>
      </w:r>
      <w:r>
        <w:fldChar w:fldCharType="end"/>
      </w:r>
    </w:p>
    <w:p w14:paraId="0DB291D8">
      <w:pPr>
        <w:pStyle w:val="42"/>
        <w:tabs>
          <w:tab w:val="right" w:leader="dot" w:pos="8296"/>
        </w:tabs>
        <w:ind w:left="840"/>
        <w:rPr>
          <w:rFonts w:asciiTheme="minorHAnsi" w:hAnsiTheme="minorHAnsi" w:eastAsiaTheme="minorEastAsia"/>
        </w:rPr>
      </w:pPr>
      <w:r>
        <w:fldChar w:fldCharType="begin"/>
      </w:r>
      <w:r>
        <w:instrText xml:space="preserve"> HYPERLINK \l "_Toc196728157" </w:instrText>
      </w:r>
      <w:r>
        <w:fldChar w:fldCharType="separate"/>
      </w:r>
      <w:r>
        <w:rPr>
          <w:rStyle w:val="139"/>
          <w:kern w:val="0"/>
          <w14:scene3d w14:prst="orthographicFront">
            <w14:lightRig w14:rig="threePt" w14:dir="t">
              <w14:rot w14:lat="0" w14:lon="0" w14:rev="0"/>
            </w14:lightRig>
          </w14:scene3d>
        </w:rPr>
        <w:t>10.5.3.</w:t>
      </w:r>
      <w:r>
        <w:rPr>
          <w:rStyle w:val="139"/>
        </w:rPr>
        <w:t xml:space="preserve"> Android系统SSL VPN客户端安装及配置</w:t>
      </w:r>
      <w:r>
        <w:tab/>
      </w:r>
      <w:r>
        <w:fldChar w:fldCharType="begin"/>
      </w:r>
      <w:r>
        <w:instrText xml:space="preserve"> PAGEREF _Toc196728157 \h </w:instrText>
      </w:r>
      <w:r>
        <w:fldChar w:fldCharType="separate"/>
      </w:r>
      <w:r>
        <w:t>323</w:t>
      </w:r>
      <w:r>
        <w:fldChar w:fldCharType="end"/>
      </w:r>
      <w:r>
        <w:fldChar w:fldCharType="end"/>
      </w:r>
    </w:p>
    <w:p w14:paraId="1691CF0F">
      <w:pPr>
        <w:pStyle w:val="70"/>
        <w:tabs>
          <w:tab w:val="right" w:leader="dot" w:pos="8296"/>
        </w:tabs>
        <w:ind w:left="420"/>
        <w:rPr>
          <w:rFonts w:asciiTheme="minorHAnsi" w:hAnsiTheme="minorHAnsi" w:eastAsiaTheme="minorEastAsia"/>
        </w:rPr>
      </w:pPr>
      <w:r>
        <w:fldChar w:fldCharType="begin"/>
      </w:r>
      <w:r>
        <w:instrText xml:space="preserve"> HYPERLINK \l "_Toc196728158" </w:instrText>
      </w:r>
      <w:r>
        <w:fldChar w:fldCharType="separate"/>
      </w:r>
      <w:r>
        <w:rPr>
          <w:rStyle w:val="139"/>
        </w:rPr>
        <w:t>10.6. SSL VPN典型配置举例</w:t>
      </w:r>
      <w:r>
        <w:tab/>
      </w:r>
      <w:r>
        <w:fldChar w:fldCharType="begin"/>
      </w:r>
      <w:r>
        <w:instrText xml:space="preserve"> PAGEREF _Toc196728158 \h </w:instrText>
      </w:r>
      <w:r>
        <w:fldChar w:fldCharType="separate"/>
      </w:r>
      <w:r>
        <w:t>328</w:t>
      </w:r>
      <w:r>
        <w:fldChar w:fldCharType="end"/>
      </w:r>
      <w:r>
        <w:fldChar w:fldCharType="end"/>
      </w:r>
    </w:p>
    <w:p w14:paraId="72C12B48">
      <w:pPr>
        <w:pStyle w:val="42"/>
        <w:tabs>
          <w:tab w:val="right" w:leader="dot" w:pos="8296"/>
        </w:tabs>
        <w:ind w:left="840"/>
        <w:rPr>
          <w:rFonts w:asciiTheme="minorHAnsi" w:hAnsiTheme="minorHAnsi" w:eastAsiaTheme="minorEastAsia"/>
        </w:rPr>
      </w:pPr>
      <w:r>
        <w:fldChar w:fldCharType="begin"/>
      </w:r>
      <w:r>
        <w:instrText xml:space="preserve"> HYPERLINK \l "_Toc196728159" </w:instrText>
      </w:r>
      <w:r>
        <w:fldChar w:fldCharType="separate"/>
      </w:r>
      <w:r>
        <w:rPr>
          <w:rStyle w:val="139"/>
          <w:kern w:val="0"/>
          <w14:scene3d w14:prst="orthographicFront">
            <w14:lightRig w14:rig="threePt" w14:dir="t">
              <w14:rot w14:lat="0" w14:lon="0" w14:rev="0"/>
            </w14:lightRig>
          </w14:scene3d>
        </w:rPr>
        <w:t>10.6.1.</w:t>
      </w:r>
      <w:r>
        <w:rPr>
          <w:rStyle w:val="139"/>
        </w:rPr>
        <w:t xml:space="preserve"> 组网需求</w:t>
      </w:r>
      <w:r>
        <w:tab/>
      </w:r>
      <w:r>
        <w:fldChar w:fldCharType="begin"/>
      </w:r>
      <w:r>
        <w:instrText xml:space="preserve"> PAGEREF _Toc196728159 \h </w:instrText>
      </w:r>
      <w:r>
        <w:fldChar w:fldCharType="separate"/>
      </w:r>
      <w:r>
        <w:t>328</w:t>
      </w:r>
      <w:r>
        <w:fldChar w:fldCharType="end"/>
      </w:r>
      <w:r>
        <w:fldChar w:fldCharType="end"/>
      </w:r>
    </w:p>
    <w:p w14:paraId="77A64D85">
      <w:pPr>
        <w:pStyle w:val="42"/>
        <w:tabs>
          <w:tab w:val="right" w:leader="dot" w:pos="8296"/>
        </w:tabs>
        <w:ind w:left="840"/>
        <w:rPr>
          <w:rFonts w:asciiTheme="minorHAnsi" w:hAnsiTheme="minorHAnsi" w:eastAsiaTheme="minorEastAsia"/>
        </w:rPr>
      </w:pPr>
      <w:r>
        <w:fldChar w:fldCharType="begin"/>
      </w:r>
      <w:r>
        <w:instrText xml:space="preserve"> HYPERLINK \l "_Toc196728160" </w:instrText>
      </w:r>
      <w:r>
        <w:fldChar w:fldCharType="separate"/>
      </w:r>
      <w:r>
        <w:rPr>
          <w:rStyle w:val="139"/>
          <w:kern w:val="0"/>
          <w14:scene3d w14:prst="orthographicFront">
            <w14:lightRig w14:rig="threePt" w14:dir="t">
              <w14:rot w14:lat="0" w14:lon="0" w14:rev="0"/>
            </w14:lightRig>
          </w14:scene3d>
        </w:rPr>
        <w:t>10.6.2.</w:t>
      </w:r>
      <w:r>
        <w:rPr>
          <w:rStyle w:val="139"/>
        </w:rPr>
        <w:t xml:space="preserve"> 配置步骤</w:t>
      </w:r>
      <w:r>
        <w:tab/>
      </w:r>
      <w:r>
        <w:fldChar w:fldCharType="begin"/>
      </w:r>
      <w:r>
        <w:instrText xml:space="preserve"> PAGEREF _Toc196728160 \h </w:instrText>
      </w:r>
      <w:r>
        <w:fldChar w:fldCharType="separate"/>
      </w:r>
      <w:r>
        <w:t>329</w:t>
      </w:r>
      <w:r>
        <w:fldChar w:fldCharType="end"/>
      </w:r>
      <w:r>
        <w:fldChar w:fldCharType="end"/>
      </w:r>
    </w:p>
    <w:p w14:paraId="41F8E02D">
      <w:pPr>
        <w:pStyle w:val="42"/>
        <w:tabs>
          <w:tab w:val="right" w:leader="dot" w:pos="8296"/>
        </w:tabs>
        <w:ind w:left="840"/>
        <w:rPr>
          <w:rFonts w:asciiTheme="minorHAnsi" w:hAnsiTheme="minorHAnsi" w:eastAsiaTheme="minorEastAsia"/>
        </w:rPr>
      </w:pPr>
      <w:r>
        <w:fldChar w:fldCharType="begin"/>
      </w:r>
      <w:r>
        <w:instrText xml:space="preserve"> HYPERLINK \l "_Toc196728161" </w:instrText>
      </w:r>
      <w:r>
        <w:fldChar w:fldCharType="separate"/>
      </w:r>
      <w:r>
        <w:rPr>
          <w:rStyle w:val="139"/>
          <w:kern w:val="0"/>
          <w14:scene3d w14:prst="orthographicFront">
            <w14:lightRig w14:rig="threePt" w14:dir="t">
              <w14:rot w14:lat="0" w14:lon="0" w14:rev="0"/>
            </w14:lightRig>
          </w14:scene3d>
        </w:rPr>
        <w:t>10.6.3.</w:t>
      </w:r>
      <w:r>
        <w:rPr>
          <w:rStyle w:val="139"/>
        </w:rPr>
        <w:t xml:space="preserve"> 验证配置</w:t>
      </w:r>
      <w:r>
        <w:tab/>
      </w:r>
      <w:r>
        <w:fldChar w:fldCharType="begin"/>
      </w:r>
      <w:r>
        <w:instrText xml:space="preserve"> PAGEREF _Toc196728161 \h </w:instrText>
      </w:r>
      <w:r>
        <w:fldChar w:fldCharType="separate"/>
      </w:r>
      <w:r>
        <w:t>335</w:t>
      </w:r>
      <w:r>
        <w:fldChar w:fldCharType="end"/>
      </w:r>
      <w:r>
        <w:fldChar w:fldCharType="end"/>
      </w:r>
    </w:p>
    <w:p w14:paraId="03BCF7BE">
      <w:pPr>
        <w:pStyle w:val="56"/>
        <w:tabs>
          <w:tab w:val="right" w:leader="dot" w:pos="8296"/>
        </w:tabs>
        <w:rPr>
          <w:rFonts w:asciiTheme="minorHAnsi" w:hAnsiTheme="minorHAnsi" w:eastAsiaTheme="minorEastAsia"/>
        </w:rPr>
      </w:pPr>
      <w:r>
        <w:fldChar w:fldCharType="begin"/>
      </w:r>
      <w:r>
        <w:instrText xml:space="preserve"> HYPERLINK \l "_Toc196728162" </w:instrText>
      </w:r>
      <w:r>
        <w:fldChar w:fldCharType="separate"/>
      </w:r>
      <w:r>
        <w:rPr>
          <w:rStyle w:val="139"/>
        </w:rPr>
        <w:t>11. 基础网络</w:t>
      </w:r>
      <w:r>
        <w:tab/>
      </w:r>
      <w:r>
        <w:fldChar w:fldCharType="begin"/>
      </w:r>
      <w:r>
        <w:instrText xml:space="preserve"> PAGEREF _Toc196728162 \h </w:instrText>
      </w:r>
      <w:r>
        <w:fldChar w:fldCharType="separate"/>
      </w:r>
      <w:r>
        <w:t>338</w:t>
      </w:r>
      <w:r>
        <w:fldChar w:fldCharType="end"/>
      </w:r>
      <w:r>
        <w:fldChar w:fldCharType="end"/>
      </w:r>
    </w:p>
    <w:p w14:paraId="0378DBE4">
      <w:pPr>
        <w:pStyle w:val="70"/>
        <w:tabs>
          <w:tab w:val="right" w:leader="dot" w:pos="8296"/>
        </w:tabs>
        <w:ind w:left="420"/>
        <w:rPr>
          <w:rFonts w:asciiTheme="minorHAnsi" w:hAnsiTheme="minorHAnsi" w:eastAsiaTheme="minorEastAsia"/>
        </w:rPr>
      </w:pPr>
      <w:r>
        <w:fldChar w:fldCharType="begin"/>
      </w:r>
      <w:r>
        <w:instrText xml:space="preserve"> HYPERLINK \l "_Toc196728163" </w:instrText>
      </w:r>
      <w:r>
        <w:fldChar w:fldCharType="separate"/>
      </w:r>
      <w:r>
        <w:rPr>
          <w:rStyle w:val="139"/>
        </w:rPr>
        <w:t>11.1. DHCP</w:t>
      </w:r>
      <w:r>
        <w:tab/>
      </w:r>
      <w:r>
        <w:fldChar w:fldCharType="begin"/>
      </w:r>
      <w:r>
        <w:instrText xml:space="preserve"> PAGEREF _Toc196728163 \h </w:instrText>
      </w:r>
      <w:r>
        <w:fldChar w:fldCharType="separate"/>
      </w:r>
      <w:r>
        <w:t>338</w:t>
      </w:r>
      <w:r>
        <w:fldChar w:fldCharType="end"/>
      </w:r>
      <w:r>
        <w:fldChar w:fldCharType="end"/>
      </w:r>
    </w:p>
    <w:p w14:paraId="4E985F37">
      <w:pPr>
        <w:pStyle w:val="42"/>
        <w:tabs>
          <w:tab w:val="right" w:leader="dot" w:pos="8296"/>
        </w:tabs>
        <w:ind w:left="840"/>
        <w:rPr>
          <w:rFonts w:asciiTheme="minorHAnsi" w:hAnsiTheme="minorHAnsi" w:eastAsiaTheme="minorEastAsia"/>
        </w:rPr>
      </w:pPr>
      <w:r>
        <w:fldChar w:fldCharType="begin"/>
      </w:r>
      <w:r>
        <w:instrText xml:space="preserve"> HYPERLINK \l "_Toc196728164" </w:instrText>
      </w:r>
      <w:r>
        <w:fldChar w:fldCharType="separate"/>
      </w:r>
      <w:r>
        <w:rPr>
          <w:rStyle w:val="139"/>
          <w:kern w:val="0"/>
          <w14:scene3d w14:prst="orthographicFront">
            <w14:lightRig w14:rig="threePt" w14:dir="t">
              <w14:rot w14:lat="0" w14:lon="0" w14:rev="0"/>
            </w14:lightRig>
          </w14:scene3d>
        </w:rPr>
        <w:t>11.1.1.</w:t>
      </w:r>
      <w:r>
        <w:rPr>
          <w:rStyle w:val="139"/>
        </w:rPr>
        <w:t xml:space="preserve"> DHCP简介</w:t>
      </w:r>
      <w:r>
        <w:tab/>
      </w:r>
      <w:r>
        <w:fldChar w:fldCharType="begin"/>
      </w:r>
      <w:r>
        <w:instrText xml:space="preserve"> PAGEREF _Toc196728164 \h </w:instrText>
      </w:r>
      <w:r>
        <w:fldChar w:fldCharType="separate"/>
      </w:r>
      <w:r>
        <w:t>338</w:t>
      </w:r>
      <w:r>
        <w:fldChar w:fldCharType="end"/>
      </w:r>
      <w:r>
        <w:fldChar w:fldCharType="end"/>
      </w:r>
    </w:p>
    <w:p w14:paraId="4689B352">
      <w:pPr>
        <w:pStyle w:val="42"/>
        <w:tabs>
          <w:tab w:val="right" w:leader="dot" w:pos="8296"/>
        </w:tabs>
        <w:ind w:left="840"/>
        <w:rPr>
          <w:rFonts w:asciiTheme="minorHAnsi" w:hAnsiTheme="minorHAnsi" w:eastAsiaTheme="minorEastAsia"/>
        </w:rPr>
      </w:pPr>
      <w:r>
        <w:fldChar w:fldCharType="begin"/>
      </w:r>
      <w:r>
        <w:instrText xml:space="preserve"> HYPERLINK \l "_Toc196728165" </w:instrText>
      </w:r>
      <w:r>
        <w:fldChar w:fldCharType="separate"/>
      </w:r>
      <w:r>
        <w:rPr>
          <w:rStyle w:val="139"/>
          <w:kern w:val="0"/>
          <w14:scene3d w14:prst="orthographicFront">
            <w14:lightRig w14:rig="threePt" w14:dir="t">
              <w14:rot w14:lat="0" w14:lon="0" w14:rev="0"/>
            </w14:lightRig>
          </w14:scene3d>
        </w:rPr>
        <w:t>11.1.2.</w:t>
      </w:r>
      <w:r>
        <w:rPr>
          <w:rStyle w:val="139"/>
        </w:rPr>
        <w:t xml:space="preserve"> DHCP服务</w:t>
      </w:r>
      <w:r>
        <w:tab/>
      </w:r>
      <w:r>
        <w:fldChar w:fldCharType="begin"/>
      </w:r>
      <w:r>
        <w:instrText xml:space="preserve"> PAGEREF _Toc196728165 \h </w:instrText>
      </w:r>
      <w:r>
        <w:fldChar w:fldCharType="separate"/>
      </w:r>
      <w:r>
        <w:t>340</w:t>
      </w:r>
      <w:r>
        <w:fldChar w:fldCharType="end"/>
      </w:r>
      <w:r>
        <w:fldChar w:fldCharType="end"/>
      </w:r>
    </w:p>
    <w:p w14:paraId="2BB131AC">
      <w:pPr>
        <w:pStyle w:val="42"/>
        <w:tabs>
          <w:tab w:val="right" w:leader="dot" w:pos="8296"/>
        </w:tabs>
        <w:ind w:left="840"/>
        <w:rPr>
          <w:rFonts w:asciiTheme="minorHAnsi" w:hAnsiTheme="minorHAnsi" w:eastAsiaTheme="minorEastAsia"/>
        </w:rPr>
      </w:pPr>
      <w:r>
        <w:fldChar w:fldCharType="begin"/>
      </w:r>
      <w:r>
        <w:instrText xml:space="preserve"> HYPERLINK \l "_Toc196728166" </w:instrText>
      </w:r>
      <w:r>
        <w:fldChar w:fldCharType="separate"/>
      </w:r>
      <w:r>
        <w:rPr>
          <w:rStyle w:val="139"/>
          <w:kern w:val="0"/>
          <w14:scene3d w14:prst="orthographicFront">
            <w14:lightRig w14:rig="threePt" w14:dir="t">
              <w14:rot w14:lat="0" w14:lon="0" w14:rev="0"/>
            </w14:lightRig>
          </w14:scene3d>
        </w:rPr>
        <w:t>11.1.3.</w:t>
      </w:r>
      <w:r>
        <w:rPr>
          <w:rStyle w:val="139"/>
        </w:rPr>
        <w:t xml:space="preserve"> DHCP服务器</w:t>
      </w:r>
      <w:r>
        <w:tab/>
      </w:r>
      <w:r>
        <w:fldChar w:fldCharType="begin"/>
      </w:r>
      <w:r>
        <w:instrText xml:space="preserve"> PAGEREF _Toc196728166 \h </w:instrText>
      </w:r>
      <w:r>
        <w:fldChar w:fldCharType="separate"/>
      </w:r>
      <w:r>
        <w:t>341</w:t>
      </w:r>
      <w:r>
        <w:fldChar w:fldCharType="end"/>
      </w:r>
      <w:r>
        <w:fldChar w:fldCharType="end"/>
      </w:r>
    </w:p>
    <w:p w14:paraId="47CB6801">
      <w:pPr>
        <w:pStyle w:val="42"/>
        <w:tabs>
          <w:tab w:val="right" w:leader="dot" w:pos="8296"/>
        </w:tabs>
        <w:ind w:left="840"/>
        <w:rPr>
          <w:rFonts w:asciiTheme="minorHAnsi" w:hAnsiTheme="minorHAnsi" w:eastAsiaTheme="minorEastAsia"/>
        </w:rPr>
      </w:pPr>
      <w:r>
        <w:fldChar w:fldCharType="begin"/>
      </w:r>
      <w:r>
        <w:instrText xml:space="preserve"> HYPERLINK \l "_Toc196728167" </w:instrText>
      </w:r>
      <w:r>
        <w:fldChar w:fldCharType="separate"/>
      </w:r>
      <w:r>
        <w:rPr>
          <w:rStyle w:val="139"/>
          <w:kern w:val="0"/>
          <w14:scene3d w14:prst="orthographicFront">
            <w14:lightRig w14:rig="threePt" w14:dir="t">
              <w14:rot w14:lat="0" w14:lon="0" w14:rev="0"/>
            </w14:lightRig>
          </w14:scene3d>
        </w:rPr>
        <w:t>11.1.4.</w:t>
      </w:r>
      <w:r>
        <w:rPr>
          <w:rStyle w:val="139"/>
        </w:rPr>
        <w:t xml:space="preserve"> 排除范围</w:t>
      </w:r>
      <w:r>
        <w:tab/>
      </w:r>
      <w:r>
        <w:fldChar w:fldCharType="begin"/>
      </w:r>
      <w:r>
        <w:instrText xml:space="preserve"> PAGEREF _Toc196728167 \h </w:instrText>
      </w:r>
      <w:r>
        <w:fldChar w:fldCharType="separate"/>
      </w:r>
      <w:r>
        <w:t>343</w:t>
      </w:r>
      <w:r>
        <w:fldChar w:fldCharType="end"/>
      </w:r>
      <w:r>
        <w:fldChar w:fldCharType="end"/>
      </w:r>
    </w:p>
    <w:p w14:paraId="6161C401">
      <w:pPr>
        <w:pStyle w:val="42"/>
        <w:tabs>
          <w:tab w:val="right" w:leader="dot" w:pos="8296"/>
        </w:tabs>
        <w:ind w:left="840"/>
        <w:rPr>
          <w:rFonts w:asciiTheme="minorHAnsi" w:hAnsiTheme="minorHAnsi" w:eastAsiaTheme="minorEastAsia"/>
        </w:rPr>
      </w:pPr>
      <w:r>
        <w:fldChar w:fldCharType="begin"/>
      </w:r>
      <w:r>
        <w:instrText xml:space="preserve"> HYPERLINK \l "_Toc196728168" </w:instrText>
      </w:r>
      <w:r>
        <w:fldChar w:fldCharType="separate"/>
      </w:r>
      <w:r>
        <w:rPr>
          <w:rStyle w:val="139"/>
          <w:kern w:val="0"/>
          <w14:scene3d w14:prst="orthographicFront">
            <w14:lightRig w14:rig="threePt" w14:dir="t">
              <w14:rot w14:lat="0" w14:lon="0" w14:rev="0"/>
            </w14:lightRig>
          </w14:scene3d>
        </w:rPr>
        <w:t>11.1.5.</w:t>
      </w:r>
      <w:r>
        <w:rPr>
          <w:rStyle w:val="139"/>
        </w:rPr>
        <w:t xml:space="preserve"> 静态地址分配</w:t>
      </w:r>
      <w:r>
        <w:tab/>
      </w:r>
      <w:r>
        <w:fldChar w:fldCharType="begin"/>
      </w:r>
      <w:r>
        <w:instrText xml:space="preserve"> PAGEREF _Toc196728168 \h </w:instrText>
      </w:r>
      <w:r>
        <w:fldChar w:fldCharType="separate"/>
      </w:r>
      <w:r>
        <w:t>345</w:t>
      </w:r>
      <w:r>
        <w:fldChar w:fldCharType="end"/>
      </w:r>
      <w:r>
        <w:fldChar w:fldCharType="end"/>
      </w:r>
    </w:p>
    <w:p w14:paraId="7EA94BCD">
      <w:pPr>
        <w:pStyle w:val="42"/>
        <w:tabs>
          <w:tab w:val="right" w:leader="dot" w:pos="8296"/>
        </w:tabs>
        <w:ind w:left="840"/>
        <w:rPr>
          <w:rFonts w:asciiTheme="minorHAnsi" w:hAnsiTheme="minorHAnsi" w:eastAsiaTheme="minorEastAsia"/>
        </w:rPr>
      </w:pPr>
      <w:r>
        <w:fldChar w:fldCharType="begin"/>
      </w:r>
      <w:r>
        <w:instrText xml:space="preserve"> HYPERLINK \l "_Toc196728169" </w:instrText>
      </w:r>
      <w:r>
        <w:fldChar w:fldCharType="separate"/>
      </w:r>
      <w:r>
        <w:rPr>
          <w:rStyle w:val="139"/>
          <w:kern w:val="0"/>
          <w14:scene3d w14:prst="orthographicFront">
            <w14:lightRig w14:rig="threePt" w14:dir="t">
              <w14:rot w14:lat="0" w14:lon="0" w14:rev="0"/>
            </w14:lightRig>
          </w14:scene3d>
        </w:rPr>
        <w:t>11.1.6.</w:t>
      </w:r>
      <w:r>
        <w:rPr>
          <w:rStyle w:val="139"/>
        </w:rPr>
        <w:t xml:space="preserve"> 监视器</w:t>
      </w:r>
      <w:r>
        <w:tab/>
      </w:r>
      <w:r>
        <w:fldChar w:fldCharType="begin"/>
      </w:r>
      <w:r>
        <w:instrText xml:space="preserve"> PAGEREF _Toc196728169 \h </w:instrText>
      </w:r>
      <w:r>
        <w:fldChar w:fldCharType="separate"/>
      </w:r>
      <w:r>
        <w:t>347</w:t>
      </w:r>
      <w:r>
        <w:fldChar w:fldCharType="end"/>
      </w:r>
      <w:r>
        <w:fldChar w:fldCharType="end"/>
      </w:r>
    </w:p>
    <w:p w14:paraId="3FCDF7D3">
      <w:pPr>
        <w:pStyle w:val="70"/>
        <w:tabs>
          <w:tab w:val="right" w:leader="dot" w:pos="8296"/>
        </w:tabs>
        <w:ind w:left="420"/>
        <w:rPr>
          <w:rFonts w:asciiTheme="minorHAnsi" w:hAnsiTheme="minorHAnsi" w:eastAsiaTheme="minorEastAsia"/>
        </w:rPr>
      </w:pPr>
      <w:r>
        <w:fldChar w:fldCharType="begin"/>
      </w:r>
      <w:r>
        <w:instrText xml:space="preserve"> HYPERLINK \l "_Toc196728170" </w:instrText>
      </w:r>
      <w:r>
        <w:fldChar w:fldCharType="separate"/>
      </w:r>
      <w:r>
        <w:rPr>
          <w:rStyle w:val="139"/>
        </w:rPr>
        <w:t>11.2. DNS</w:t>
      </w:r>
      <w:r>
        <w:tab/>
      </w:r>
      <w:r>
        <w:fldChar w:fldCharType="begin"/>
      </w:r>
      <w:r>
        <w:instrText xml:space="preserve"> PAGEREF _Toc196728170 \h </w:instrText>
      </w:r>
      <w:r>
        <w:fldChar w:fldCharType="separate"/>
      </w:r>
      <w:r>
        <w:t>348</w:t>
      </w:r>
      <w:r>
        <w:fldChar w:fldCharType="end"/>
      </w:r>
      <w:r>
        <w:fldChar w:fldCharType="end"/>
      </w:r>
    </w:p>
    <w:p w14:paraId="5BA93956">
      <w:pPr>
        <w:pStyle w:val="42"/>
        <w:tabs>
          <w:tab w:val="right" w:leader="dot" w:pos="8296"/>
        </w:tabs>
        <w:ind w:left="840"/>
        <w:rPr>
          <w:rFonts w:asciiTheme="minorHAnsi" w:hAnsiTheme="minorHAnsi" w:eastAsiaTheme="minorEastAsia"/>
        </w:rPr>
      </w:pPr>
      <w:r>
        <w:fldChar w:fldCharType="begin"/>
      </w:r>
      <w:r>
        <w:instrText xml:space="preserve"> HYPERLINK \l "_Toc196728171" </w:instrText>
      </w:r>
      <w:r>
        <w:fldChar w:fldCharType="separate"/>
      </w:r>
      <w:r>
        <w:rPr>
          <w:rStyle w:val="139"/>
          <w:kern w:val="0"/>
          <w14:scene3d w14:prst="orthographicFront">
            <w14:lightRig w14:rig="threePt" w14:dir="t">
              <w14:rot w14:lat="0" w14:lon="0" w14:rev="0"/>
            </w14:lightRig>
          </w14:scene3d>
        </w:rPr>
        <w:t>11.2.1.</w:t>
      </w:r>
      <w:r>
        <w:rPr>
          <w:rStyle w:val="139"/>
        </w:rPr>
        <w:t xml:space="preserve"> DNS简介</w:t>
      </w:r>
      <w:r>
        <w:tab/>
      </w:r>
      <w:r>
        <w:fldChar w:fldCharType="begin"/>
      </w:r>
      <w:r>
        <w:instrText xml:space="preserve"> PAGEREF _Toc196728171 \h </w:instrText>
      </w:r>
      <w:r>
        <w:fldChar w:fldCharType="separate"/>
      </w:r>
      <w:r>
        <w:t>348</w:t>
      </w:r>
      <w:r>
        <w:fldChar w:fldCharType="end"/>
      </w:r>
      <w:r>
        <w:fldChar w:fldCharType="end"/>
      </w:r>
    </w:p>
    <w:p w14:paraId="0609705D">
      <w:pPr>
        <w:pStyle w:val="42"/>
        <w:tabs>
          <w:tab w:val="right" w:leader="dot" w:pos="8296"/>
        </w:tabs>
        <w:ind w:left="840"/>
        <w:rPr>
          <w:rFonts w:asciiTheme="minorHAnsi" w:hAnsiTheme="minorHAnsi" w:eastAsiaTheme="minorEastAsia"/>
        </w:rPr>
      </w:pPr>
      <w:r>
        <w:fldChar w:fldCharType="begin"/>
      </w:r>
      <w:r>
        <w:instrText xml:space="preserve"> HYPERLINK \l "_Toc196728172" </w:instrText>
      </w:r>
      <w:r>
        <w:fldChar w:fldCharType="separate"/>
      </w:r>
      <w:r>
        <w:rPr>
          <w:rStyle w:val="139"/>
          <w:kern w:val="0"/>
          <w14:scene3d w14:prst="orthographicFront">
            <w14:lightRig w14:rig="threePt" w14:dir="t">
              <w14:rot w14:lat="0" w14:lon="0" w14:rev="0"/>
            </w14:lightRig>
          </w14:scene3d>
        </w:rPr>
        <w:t>11.2.2.</w:t>
      </w:r>
      <w:r>
        <w:rPr>
          <w:rStyle w:val="139"/>
        </w:rPr>
        <w:t xml:space="preserve"> DNS代理策略</w:t>
      </w:r>
      <w:r>
        <w:tab/>
      </w:r>
      <w:r>
        <w:fldChar w:fldCharType="begin"/>
      </w:r>
      <w:r>
        <w:instrText xml:space="preserve"> PAGEREF _Toc196728172 \h </w:instrText>
      </w:r>
      <w:r>
        <w:fldChar w:fldCharType="separate"/>
      </w:r>
      <w:r>
        <w:t>348</w:t>
      </w:r>
      <w:r>
        <w:fldChar w:fldCharType="end"/>
      </w:r>
      <w:r>
        <w:fldChar w:fldCharType="end"/>
      </w:r>
    </w:p>
    <w:p w14:paraId="33284447">
      <w:pPr>
        <w:pStyle w:val="42"/>
        <w:tabs>
          <w:tab w:val="right" w:leader="dot" w:pos="8296"/>
        </w:tabs>
        <w:ind w:left="840"/>
        <w:rPr>
          <w:rFonts w:asciiTheme="minorHAnsi" w:hAnsiTheme="minorHAnsi" w:eastAsiaTheme="minorEastAsia"/>
        </w:rPr>
      </w:pPr>
      <w:r>
        <w:fldChar w:fldCharType="begin"/>
      </w:r>
      <w:r>
        <w:instrText xml:space="preserve"> HYPERLINK \l "_Toc196728173" </w:instrText>
      </w:r>
      <w:r>
        <w:fldChar w:fldCharType="separate"/>
      </w:r>
      <w:r>
        <w:rPr>
          <w:rStyle w:val="139"/>
          <w:kern w:val="0"/>
          <w14:scene3d w14:prst="orthographicFront">
            <w14:lightRig w14:rig="threePt" w14:dir="t">
              <w14:rot w14:lat="0" w14:lon="0" w14:rev="0"/>
            </w14:lightRig>
          </w14:scene3d>
        </w:rPr>
        <w:t>11.2.3.</w:t>
      </w:r>
      <w:r>
        <w:rPr>
          <w:rStyle w:val="139"/>
        </w:rPr>
        <w:t xml:space="preserve"> DNS域名管理</w:t>
      </w:r>
      <w:r>
        <w:tab/>
      </w:r>
      <w:r>
        <w:fldChar w:fldCharType="begin"/>
      </w:r>
      <w:r>
        <w:instrText xml:space="preserve"> PAGEREF _Toc196728173 \h </w:instrText>
      </w:r>
      <w:r>
        <w:fldChar w:fldCharType="separate"/>
      </w:r>
      <w:r>
        <w:t>351</w:t>
      </w:r>
      <w:r>
        <w:fldChar w:fldCharType="end"/>
      </w:r>
      <w:r>
        <w:fldChar w:fldCharType="end"/>
      </w:r>
    </w:p>
    <w:p w14:paraId="2AD01CE1">
      <w:pPr>
        <w:pStyle w:val="42"/>
        <w:tabs>
          <w:tab w:val="right" w:leader="dot" w:pos="8296"/>
        </w:tabs>
        <w:ind w:left="840"/>
        <w:rPr>
          <w:rFonts w:asciiTheme="minorHAnsi" w:hAnsiTheme="minorHAnsi" w:eastAsiaTheme="minorEastAsia"/>
        </w:rPr>
      </w:pPr>
      <w:r>
        <w:fldChar w:fldCharType="begin"/>
      </w:r>
      <w:r>
        <w:instrText xml:space="preserve"> HYPERLINK \l "_Toc196728174" </w:instrText>
      </w:r>
      <w:r>
        <w:fldChar w:fldCharType="separate"/>
      </w:r>
      <w:r>
        <w:rPr>
          <w:rStyle w:val="139"/>
          <w:kern w:val="0"/>
          <w14:scene3d w14:prst="orthographicFront">
            <w14:lightRig w14:rig="threePt" w14:dir="t">
              <w14:rot w14:lat="0" w14:lon="0" w14:rev="0"/>
            </w14:lightRig>
          </w14:scene3d>
        </w:rPr>
        <w:t>11.2.4.</w:t>
      </w:r>
      <w:r>
        <w:rPr>
          <w:rStyle w:val="139"/>
        </w:rPr>
        <w:t xml:space="preserve"> 动态缓存配置</w:t>
      </w:r>
      <w:r>
        <w:tab/>
      </w:r>
      <w:r>
        <w:fldChar w:fldCharType="begin"/>
      </w:r>
      <w:r>
        <w:instrText xml:space="preserve"> PAGEREF _Toc196728174 \h </w:instrText>
      </w:r>
      <w:r>
        <w:fldChar w:fldCharType="separate"/>
      </w:r>
      <w:r>
        <w:t>352</w:t>
      </w:r>
      <w:r>
        <w:fldChar w:fldCharType="end"/>
      </w:r>
      <w:r>
        <w:fldChar w:fldCharType="end"/>
      </w:r>
    </w:p>
    <w:p w14:paraId="0CF0A95A">
      <w:pPr>
        <w:pStyle w:val="42"/>
        <w:tabs>
          <w:tab w:val="right" w:leader="dot" w:pos="8296"/>
        </w:tabs>
        <w:ind w:left="840"/>
        <w:rPr>
          <w:rFonts w:asciiTheme="minorHAnsi" w:hAnsiTheme="minorHAnsi" w:eastAsiaTheme="minorEastAsia"/>
        </w:rPr>
      </w:pPr>
      <w:r>
        <w:fldChar w:fldCharType="begin"/>
      </w:r>
      <w:r>
        <w:instrText xml:space="preserve"> HYPERLINK \l "_Toc196728175" </w:instrText>
      </w:r>
      <w:r>
        <w:fldChar w:fldCharType="separate"/>
      </w:r>
      <w:r>
        <w:rPr>
          <w:rStyle w:val="139"/>
          <w:kern w:val="0"/>
          <w14:scene3d w14:prst="orthographicFront">
            <w14:lightRig w14:rig="threePt" w14:dir="t">
              <w14:rot w14:lat="0" w14:lon="0" w14:rev="0"/>
            </w14:lightRig>
          </w14:scene3d>
        </w:rPr>
        <w:t>11.2.5.</w:t>
      </w:r>
      <w:r>
        <w:rPr>
          <w:rStyle w:val="139"/>
        </w:rPr>
        <w:t xml:space="preserve"> 特定域名解析配置</w:t>
      </w:r>
      <w:r>
        <w:tab/>
      </w:r>
      <w:r>
        <w:fldChar w:fldCharType="begin"/>
      </w:r>
      <w:r>
        <w:instrText xml:space="preserve"> PAGEREF _Toc196728175 \h </w:instrText>
      </w:r>
      <w:r>
        <w:fldChar w:fldCharType="separate"/>
      </w:r>
      <w:r>
        <w:t>353</w:t>
      </w:r>
      <w:r>
        <w:fldChar w:fldCharType="end"/>
      </w:r>
      <w:r>
        <w:fldChar w:fldCharType="end"/>
      </w:r>
    </w:p>
    <w:p w14:paraId="079D8B5C">
      <w:pPr>
        <w:pStyle w:val="42"/>
        <w:tabs>
          <w:tab w:val="right" w:leader="dot" w:pos="8296"/>
        </w:tabs>
        <w:ind w:left="840"/>
        <w:rPr>
          <w:rFonts w:asciiTheme="minorHAnsi" w:hAnsiTheme="minorHAnsi" w:eastAsiaTheme="minorEastAsia"/>
        </w:rPr>
      </w:pPr>
      <w:r>
        <w:fldChar w:fldCharType="begin"/>
      </w:r>
      <w:r>
        <w:instrText xml:space="preserve"> HYPERLINK \l "_Toc196728176" </w:instrText>
      </w:r>
      <w:r>
        <w:fldChar w:fldCharType="separate"/>
      </w:r>
      <w:r>
        <w:rPr>
          <w:rStyle w:val="139"/>
          <w:kern w:val="0"/>
          <w14:scene3d w14:prst="orthographicFront">
            <w14:lightRig w14:rig="threePt" w14:dir="t">
              <w14:rot w14:lat="0" w14:lon="0" w14:rev="0"/>
            </w14:lightRig>
          </w14:scene3d>
        </w:rPr>
        <w:t>11.2.6.</w:t>
      </w:r>
      <w:r>
        <w:rPr>
          <w:rStyle w:val="139"/>
        </w:rPr>
        <w:t xml:space="preserve"> DNS透明代理配置</w:t>
      </w:r>
      <w:r>
        <w:tab/>
      </w:r>
      <w:r>
        <w:fldChar w:fldCharType="begin"/>
      </w:r>
      <w:r>
        <w:instrText xml:space="preserve"> PAGEREF _Toc196728176 \h </w:instrText>
      </w:r>
      <w:r>
        <w:fldChar w:fldCharType="separate"/>
      </w:r>
      <w:r>
        <w:t>354</w:t>
      </w:r>
      <w:r>
        <w:fldChar w:fldCharType="end"/>
      </w:r>
      <w:r>
        <w:fldChar w:fldCharType="end"/>
      </w:r>
    </w:p>
    <w:p w14:paraId="41F7FB99">
      <w:pPr>
        <w:pStyle w:val="42"/>
        <w:tabs>
          <w:tab w:val="right" w:leader="dot" w:pos="8296"/>
        </w:tabs>
        <w:ind w:left="840"/>
        <w:rPr>
          <w:rFonts w:asciiTheme="minorHAnsi" w:hAnsiTheme="minorHAnsi" w:eastAsiaTheme="minorEastAsia"/>
        </w:rPr>
      </w:pPr>
      <w:r>
        <w:fldChar w:fldCharType="begin"/>
      </w:r>
      <w:r>
        <w:instrText xml:space="preserve"> HYPERLINK \l "_Toc196728177" </w:instrText>
      </w:r>
      <w:r>
        <w:fldChar w:fldCharType="separate"/>
      </w:r>
      <w:r>
        <w:rPr>
          <w:rStyle w:val="139"/>
          <w:kern w:val="0"/>
          <w14:scene3d w14:prst="orthographicFront">
            <w14:lightRig w14:rig="threePt" w14:dir="t">
              <w14:rot w14:lat="0" w14:lon="0" w14:rev="0"/>
            </w14:lightRig>
          </w14:scene3d>
        </w:rPr>
        <w:t>11.2.7.</w:t>
      </w:r>
      <w:r>
        <w:rPr>
          <w:rStyle w:val="139"/>
        </w:rPr>
        <w:t xml:space="preserve"> DNS服务器配置</w:t>
      </w:r>
      <w:r>
        <w:tab/>
      </w:r>
      <w:r>
        <w:fldChar w:fldCharType="begin"/>
      </w:r>
      <w:r>
        <w:instrText xml:space="preserve"> PAGEREF _Toc196728177 \h </w:instrText>
      </w:r>
      <w:r>
        <w:fldChar w:fldCharType="separate"/>
      </w:r>
      <w:r>
        <w:t>356</w:t>
      </w:r>
      <w:r>
        <w:fldChar w:fldCharType="end"/>
      </w:r>
      <w:r>
        <w:fldChar w:fldCharType="end"/>
      </w:r>
    </w:p>
    <w:p w14:paraId="617BF8BE">
      <w:pPr>
        <w:pStyle w:val="70"/>
        <w:tabs>
          <w:tab w:val="right" w:leader="dot" w:pos="8296"/>
        </w:tabs>
        <w:ind w:left="420"/>
        <w:rPr>
          <w:rFonts w:asciiTheme="minorHAnsi" w:hAnsiTheme="minorHAnsi" w:eastAsiaTheme="minorEastAsia"/>
        </w:rPr>
      </w:pPr>
      <w:r>
        <w:fldChar w:fldCharType="begin"/>
      </w:r>
      <w:r>
        <w:instrText xml:space="preserve"> HYPERLINK \l "_Toc196728178" </w:instrText>
      </w:r>
      <w:r>
        <w:fldChar w:fldCharType="separate"/>
      </w:r>
      <w:r>
        <w:rPr>
          <w:rStyle w:val="139"/>
        </w:rPr>
        <w:t>11.3. DDNS</w:t>
      </w:r>
      <w:r>
        <w:tab/>
      </w:r>
      <w:r>
        <w:fldChar w:fldCharType="begin"/>
      </w:r>
      <w:r>
        <w:instrText xml:space="preserve"> PAGEREF _Toc196728178 \h </w:instrText>
      </w:r>
      <w:r>
        <w:fldChar w:fldCharType="separate"/>
      </w:r>
      <w:r>
        <w:t>357</w:t>
      </w:r>
      <w:r>
        <w:fldChar w:fldCharType="end"/>
      </w:r>
      <w:r>
        <w:fldChar w:fldCharType="end"/>
      </w:r>
    </w:p>
    <w:p w14:paraId="6C027AE5">
      <w:pPr>
        <w:pStyle w:val="42"/>
        <w:tabs>
          <w:tab w:val="right" w:leader="dot" w:pos="8296"/>
        </w:tabs>
        <w:ind w:left="840"/>
        <w:rPr>
          <w:rFonts w:asciiTheme="minorHAnsi" w:hAnsiTheme="minorHAnsi" w:eastAsiaTheme="minorEastAsia"/>
        </w:rPr>
      </w:pPr>
      <w:r>
        <w:fldChar w:fldCharType="begin"/>
      </w:r>
      <w:r>
        <w:instrText xml:space="preserve"> HYPERLINK \l "_Toc196728179" </w:instrText>
      </w:r>
      <w:r>
        <w:fldChar w:fldCharType="separate"/>
      </w:r>
      <w:r>
        <w:rPr>
          <w:rStyle w:val="139"/>
          <w:kern w:val="0"/>
          <w14:scene3d w14:prst="orthographicFront">
            <w14:lightRig w14:rig="threePt" w14:dir="t">
              <w14:rot w14:lat="0" w14:lon="0" w14:rev="0"/>
            </w14:lightRig>
          </w14:scene3d>
        </w:rPr>
        <w:t>11.3.1.</w:t>
      </w:r>
      <w:r>
        <w:rPr>
          <w:rStyle w:val="139"/>
        </w:rPr>
        <w:t xml:space="preserve"> DDNS简介</w:t>
      </w:r>
      <w:r>
        <w:tab/>
      </w:r>
      <w:r>
        <w:fldChar w:fldCharType="begin"/>
      </w:r>
      <w:r>
        <w:instrText xml:space="preserve"> PAGEREF _Toc196728179 \h </w:instrText>
      </w:r>
      <w:r>
        <w:fldChar w:fldCharType="separate"/>
      </w:r>
      <w:r>
        <w:t>357</w:t>
      </w:r>
      <w:r>
        <w:fldChar w:fldCharType="end"/>
      </w:r>
      <w:r>
        <w:fldChar w:fldCharType="end"/>
      </w:r>
    </w:p>
    <w:p w14:paraId="36319648">
      <w:pPr>
        <w:pStyle w:val="42"/>
        <w:tabs>
          <w:tab w:val="right" w:leader="dot" w:pos="8296"/>
        </w:tabs>
        <w:ind w:left="840"/>
        <w:rPr>
          <w:rFonts w:asciiTheme="minorHAnsi" w:hAnsiTheme="minorHAnsi" w:eastAsiaTheme="minorEastAsia"/>
        </w:rPr>
      </w:pPr>
      <w:r>
        <w:fldChar w:fldCharType="begin"/>
      </w:r>
      <w:r>
        <w:instrText xml:space="preserve"> HYPERLINK \l "_Toc196728180" </w:instrText>
      </w:r>
      <w:r>
        <w:fldChar w:fldCharType="separate"/>
      </w:r>
      <w:r>
        <w:rPr>
          <w:rStyle w:val="139"/>
          <w:kern w:val="0"/>
          <w14:scene3d w14:prst="orthographicFront">
            <w14:lightRig w14:rig="threePt" w14:dir="t">
              <w14:rot w14:lat="0" w14:lon="0" w14:rev="0"/>
            </w14:lightRig>
          </w14:scene3d>
        </w:rPr>
        <w:t>11.3.2.</w:t>
      </w:r>
      <w:r>
        <w:rPr>
          <w:rStyle w:val="139"/>
        </w:rPr>
        <w:t xml:space="preserve"> DDNS配置</w:t>
      </w:r>
      <w:r>
        <w:tab/>
      </w:r>
      <w:r>
        <w:fldChar w:fldCharType="begin"/>
      </w:r>
      <w:r>
        <w:instrText xml:space="preserve"> PAGEREF _Toc196728180 \h </w:instrText>
      </w:r>
      <w:r>
        <w:fldChar w:fldCharType="separate"/>
      </w:r>
      <w:r>
        <w:t>358</w:t>
      </w:r>
      <w:r>
        <w:fldChar w:fldCharType="end"/>
      </w:r>
      <w:r>
        <w:fldChar w:fldCharType="end"/>
      </w:r>
    </w:p>
    <w:p w14:paraId="275F21FF">
      <w:pPr>
        <w:pStyle w:val="42"/>
        <w:tabs>
          <w:tab w:val="right" w:leader="dot" w:pos="8296"/>
        </w:tabs>
        <w:ind w:left="840"/>
        <w:rPr>
          <w:rFonts w:asciiTheme="minorHAnsi" w:hAnsiTheme="minorHAnsi" w:eastAsiaTheme="minorEastAsia"/>
        </w:rPr>
      </w:pPr>
      <w:r>
        <w:fldChar w:fldCharType="begin"/>
      </w:r>
      <w:r>
        <w:instrText xml:space="preserve"> HYPERLINK \l "_Toc196728181" </w:instrText>
      </w:r>
      <w:r>
        <w:fldChar w:fldCharType="separate"/>
      </w:r>
      <w:r>
        <w:rPr>
          <w:rStyle w:val="139"/>
          <w:kern w:val="0"/>
          <w14:scene3d w14:prst="orthographicFront">
            <w14:lightRig w14:rig="threePt" w14:dir="t">
              <w14:rot w14:lat="0" w14:lon="0" w14:rev="0"/>
            </w14:lightRig>
          </w14:scene3d>
        </w:rPr>
        <w:t>11.3.3.</w:t>
      </w:r>
      <w:r>
        <w:rPr>
          <w:rStyle w:val="139"/>
        </w:rPr>
        <w:t xml:space="preserve"> DDNS典型配置举例</w:t>
      </w:r>
      <w:r>
        <w:tab/>
      </w:r>
      <w:r>
        <w:fldChar w:fldCharType="begin"/>
      </w:r>
      <w:r>
        <w:instrText xml:space="preserve"> PAGEREF _Toc196728181 \h </w:instrText>
      </w:r>
      <w:r>
        <w:fldChar w:fldCharType="separate"/>
      </w:r>
      <w:r>
        <w:t>359</w:t>
      </w:r>
      <w:r>
        <w:fldChar w:fldCharType="end"/>
      </w:r>
      <w:r>
        <w:fldChar w:fldCharType="end"/>
      </w:r>
    </w:p>
    <w:p w14:paraId="07A80550">
      <w:pPr>
        <w:pStyle w:val="70"/>
        <w:tabs>
          <w:tab w:val="right" w:leader="dot" w:pos="8296"/>
        </w:tabs>
        <w:ind w:left="420"/>
        <w:rPr>
          <w:rFonts w:asciiTheme="minorHAnsi" w:hAnsiTheme="minorHAnsi" w:eastAsiaTheme="minorEastAsia"/>
        </w:rPr>
      </w:pPr>
      <w:r>
        <w:fldChar w:fldCharType="begin"/>
      </w:r>
      <w:r>
        <w:instrText xml:space="preserve"> HYPERLINK \l "_Toc196728182" </w:instrText>
      </w:r>
      <w:r>
        <w:fldChar w:fldCharType="separate"/>
      </w:r>
      <w:r>
        <w:rPr>
          <w:rStyle w:val="139"/>
        </w:rPr>
        <w:t>11.4. 应用缓存</w:t>
      </w:r>
      <w:r>
        <w:tab/>
      </w:r>
      <w:r>
        <w:fldChar w:fldCharType="begin"/>
      </w:r>
      <w:r>
        <w:instrText xml:space="preserve"> PAGEREF _Toc196728182 \h </w:instrText>
      </w:r>
      <w:r>
        <w:fldChar w:fldCharType="separate"/>
      </w:r>
      <w:r>
        <w:t>365</w:t>
      </w:r>
      <w:r>
        <w:fldChar w:fldCharType="end"/>
      </w:r>
      <w:r>
        <w:fldChar w:fldCharType="end"/>
      </w:r>
    </w:p>
    <w:p w14:paraId="53E08116">
      <w:pPr>
        <w:pStyle w:val="42"/>
        <w:tabs>
          <w:tab w:val="right" w:leader="dot" w:pos="8296"/>
        </w:tabs>
        <w:ind w:left="840"/>
        <w:rPr>
          <w:rFonts w:asciiTheme="minorHAnsi" w:hAnsiTheme="minorHAnsi" w:eastAsiaTheme="minorEastAsia"/>
        </w:rPr>
      </w:pPr>
      <w:r>
        <w:fldChar w:fldCharType="begin"/>
      </w:r>
      <w:r>
        <w:instrText xml:space="preserve"> HYPERLINK \l "_Toc196728183" </w:instrText>
      </w:r>
      <w:r>
        <w:fldChar w:fldCharType="separate"/>
      </w:r>
      <w:r>
        <w:rPr>
          <w:rStyle w:val="139"/>
          <w:kern w:val="0"/>
          <w14:scene3d w14:prst="orthographicFront">
            <w14:lightRig w14:rig="threePt" w14:dir="t">
              <w14:rot w14:lat="0" w14:lon="0" w14:rev="0"/>
            </w14:lightRig>
          </w14:scene3d>
        </w:rPr>
        <w:t>11.4.1.</w:t>
      </w:r>
      <w:r>
        <w:rPr>
          <w:rStyle w:val="139"/>
        </w:rPr>
        <w:t xml:space="preserve"> 应用缓存的精确匹配和模糊匹配区别</w:t>
      </w:r>
      <w:r>
        <w:tab/>
      </w:r>
      <w:r>
        <w:fldChar w:fldCharType="begin"/>
      </w:r>
      <w:r>
        <w:instrText xml:space="preserve"> PAGEREF _Toc196728183 \h </w:instrText>
      </w:r>
      <w:r>
        <w:fldChar w:fldCharType="separate"/>
      </w:r>
      <w:r>
        <w:t>365</w:t>
      </w:r>
      <w:r>
        <w:fldChar w:fldCharType="end"/>
      </w:r>
      <w:r>
        <w:fldChar w:fldCharType="end"/>
      </w:r>
    </w:p>
    <w:p w14:paraId="66C51D94">
      <w:pPr>
        <w:pStyle w:val="42"/>
        <w:tabs>
          <w:tab w:val="right" w:leader="dot" w:pos="8296"/>
        </w:tabs>
        <w:ind w:left="840"/>
        <w:rPr>
          <w:rFonts w:asciiTheme="minorHAnsi" w:hAnsiTheme="minorHAnsi" w:eastAsiaTheme="minorEastAsia"/>
        </w:rPr>
      </w:pPr>
      <w:r>
        <w:fldChar w:fldCharType="begin"/>
      </w:r>
      <w:r>
        <w:instrText xml:space="preserve"> HYPERLINK \l "_Toc196728184" </w:instrText>
      </w:r>
      <w:r>
        <w:fldChar w:fldCharType="separate"/>
      </w:r>
      <w:r>
        <w:rPr>
          <w:rStyle w:val="139"/>
          <w:kern w:val="0"/>
          <w14:scene3d w14:prst="orthographicFront">
            <w14:lightRig w14:rig="threePt" w14:dir="t">
              <w14:rot w14:lat="0" w14:lon="0" w14:rev="0"/>
            </w14:lightRig>
          </w14:scene3d>
        </w:rPr>
        <w:t>11.4.2.</w:t>
      </w:r>
      <w:r>
        <w:rPr>
          <w:rStyle w:val="139"/>
        </w:rPr>
        <w:t xml:space="preserve"> 应用缓存</w:t>
      </w:r>
      <w:r>
        <w:tab/>
      </w:r>
      <w:r>
        <w:fldChar w:fldCharType="begin"/>
      </w:r>
      <w:r>
        <w:instrText xml:space="preserve"> PAGEREF _Toc196728184 \h </w:instrText>
      </w:r>
      <w:r>
        <w:fldChar w:fldCharType="separate"/>
      </w:r>
      <w:r>
        <w:t>366</w:t>
      </w:r>
      <w:r>
        <w:fldChar w:fldCharType="end"/>
      </w:r>
      <w:r>
        <w:fldChar w:fldCharType="end"/>
      </w:r>
    </w:p>
    <w:p w14:paraId="330CA8E2">
      <w:pPr>
        <w:pStyle w:val="42"/>
        <w:tabs>
          <w:tab w:val="right" w:leader="dot" w:pos="8296"/>
        </w:tabs>
        <w:ind w:left="840"/>
        <w:rPr>
          <w:rFonts w:asciiTheme="minorHAnsi" w:hAnsiTheme="minorHAnsi" w:eastAsiaTheme="minorEastAsia"/>
        </w:rPr>
      </w:pPr>
      <w:r>
        <w:fldChar w:fldCharType="begin"/>
      </w:r>
      <w:r>
        <w:instrText xml:space="preserve"> HYPERLINK \l "_Toc196728185" </w:instrText>
      </w:r>
      <w:r>
        <w:fldChar w:fldCharType="separate"/>
      </w:r>
      <w:r>
        <w:rPr>
          <w:rStyle w:val="139"/>
          <w:kern w:val="0"/>
          <w14:scene3d w14:prst="orthographicFront">
            <w14:lightRig w14:rig="threePt" w14:dir="t">
              <w14:rot w14:lat="0" w14:lon="0" w14:rev="0"/>
            </w14:lightRig>
          </w14:scene3d>
        </w:rPr>
        <w:t>11.4.3.</w:t>
      </w:r>
      <w:r>
        <w:rPr>
          <w:rStyle w:val="139"/>
        </w:rPr>
        <w:t xml:space="preserve"> APP动态缓存</w:t>
      </w:r>
      <w:r>
        <w:tab/>
      </w:r>
      <w:r>
        <w:fldChar w:fldCharType="begin"/>
      </w:r>
      <w:r>
        <w:instrText xml:space="preserve"> PAGEREF _Toc196728185 \h </w:instrText>
      </w:r>
      <w:r>
        <w:fldChar w:fldCharType="separate"/>
      </w:r>
      <w:r>
        <w:t>367</w:t>
      </w:r>
      <w:r>
        <w:fldChar w:fldCharType="end"/>
      </w:r>
      <w:r>
        <w:fldChar w:fldCharType="end"/>
      </w:r>
    </w:p>
    <w:p w14:paraId="07B7B215">
      <w:pPr>
        <w:pStyle w:val="42"/>
        <w:tabs>
          <w:tab w:val="right" w:leader="dot" w:pos="8296"/>
        </w:tabs>
        <w:ind w:left="840"/>
        <w:rPr>
          <w:rFonts w:asciiTheme="minorHAnsi" w:hAnsiTheme="minorHAnsi" w:eastAsiaTheme="minorEastAsia"/>
        </w:rPr>
      </w:pPr>
      <w:r>
        <w:fldChar w:fldCharType="begin"/>
      </w:r>
      <w:r>
        <w:instrText xml:space="preserve"> HYPERLINK \l "_Toc196728186" </w:instrText>
      </w:r>
      <w:r>
        <w:fldChar w:fldCharType="separate"/>
      </w:r>
      <w:r>
        <w:rPr>
          <w:rStyle w:val="139"/>
          <w:kern w:val="0"/>
          <w14:scene3d w14:prst="orthographicFront">
            <w14:lightRig w14:rig="threePt" w14:dir="t">
              <w14:rot w14:lat="0" w14:lon="0" w14:rev="0"/>
            </w14:lightRig>
          </w14:scene3d>
        </w:rPr>
        <w:t>11.4.4.</w:t>
      </w:r>
      <w:r>
        <w:rPr>
          <w:rStyle w:val="139"/>
        </w:rPr>
        <w:t xml:space="preserve"> APP动态缓存的配置</w:t>
      </w:r>
      <w:r>
        <w:tab/>
      </w:r>
      <w:r>
        <w:fldChar w:fldCharType="begin"/>
      </w:r>
      <w:r>
        <w:instrText xml:space="preserve"> PAGEREF _Toc196728186 \h </w:instrText>
      </w:r>
      <w:r>
        <w:fldChar w:fldCharType="separate"/>
      </w:r>
      <w:r>
        <w:t>367</w:t>
      </w:r>
      <w:r>
        <w:fldChar w:fldCharType="end"/>
      </w:r>
      <w:r>
        <w:fldChar w:fldCharType="end"/>
      </w:r>
    </w:p>
    <w:p w14:paraId="2D378A26">
      <w:pPr>
        <w:pStyle w:val="70"/>
        <w:tabs>
          <w:tab w:val="right" w:leader="dot" w:pos="8296"/>
        </w:tabs>
        <w:ind w:left="420"/>
        <w:rPr>
          <w:rFonts w:asciiTheme="minorHAnsi" w:hAnsiTheme="minorHAnsi" w:eastAsiaTheme="minorEastAsia"/>
        </w:rPr>
      </w:pPr>
      <w:r>
        <w:fldChar w:fldCharType="begin"/>
      </w:r>
      <w:r>
        <w:instrText xml:space="preserve"> HYPERLINK \l "_Toc196728187" </w:instrText>
      </w:r>
      <w:r>
        <w:fldChar w:fldCharType="separate"/>
      </w:r>
      <w:r>
        <w:rPr>
          <w:rStyle w:val="139"/>
        </w:rPr>
        <w:t>11.5. 服务质量管理</w:t>
      </w:r>
      <w:r>
        <w:tab/>
      </w:r>
      <w:r>
        <w:fldChar w:fldCharType="begin"/>
      </w:r>
      <w:r>
        <w:instrText xml:space="preserve"> PAGEREF _Toc196728187 \h </w:instrText>
      </w:r>
      <w:r>
        <w:fldChar w:fldCharType="separate"/>
      </w:r>
      <w:r>
        <w:t>368</w:t>
      </w:r>
      <w:r>
        <w:fldChar w:fldCharType="end"/>
      </w:r>
      <w:r>
        <w:fldChar w:fldCharType="end"/>
      </w:r>
    </w:p>
    <w:p w14:paraId="46BBA853">
      <w:pPr>
        <w:pStyle w:val="42"/>
        <w:tabs>
          <w:tab w:val="right" w:leader="dot" w:pos="8296"/>
        </w:tabs>
        <w:ind w:left="840"/>
        <w:rPr>
          <w:rFonts w:asciiTheme="minorHAnsi" w:hAnsiTheme="minorHAnsi" w:eastAsiaTheme="minorEastAsia"/>
        </w:rPr>
      </w:pPr>
      <w:r>
        <w:fldChar w:fldCharType="begin"/>
      </w:r>
      <w:r>
        <w:instrText xml:space="preserve"> HYPERLINK \l "_Toc196728188" </w:instrText>
      </w:r>
      <w:r>
        <w:fldChar w:fldCharType="separate"/>
      </w:r>
      <w:r>
        <w:rPr>
          <w:rStyle w:val="139"/>
          <w:kern w:val="0"/>
          <w14:scene3d w14:prst="orthographicFront">
            <w14:lightRig w14:rig="threePt" w14:dir="t">
              <w14:rot w14:lat="0" w14:lon="0" w14:rev="0"/>
            </w14:lightRig>
          </w14:scene3d>
        </w:rPr>
        <w:t>11.5.1.</w:t>
      </w:r>
      <w:r>
        <w:rPr>
          <w:rStyle w:val="139"/>
        </w:rPr>
        <w:t xml:space="preserve"> 概述</w:t>
      </w:r>
      <w:r>
        <w:tab/>
      </w:r>
      <w:r>
        <w:fldChar w:fldCharType="begin"/>
      </w:r>
      <w:r>
        <w:instrText xml:space="preserve"> PAGEREF _Toc196728188 \h </w:instrText>
      </w:r>
      <w:r>
        <w:fldChar w:fldCharType="separate"/>
      </w:r>
      <w:r>
        <w:t>368</w:t>
      </w:r>
      <w:r>
        <w:fldChar w:fldCharType="end"/>
      </w:r>
      <w:r>
        <w:fldChar w:fldCharType="end"/>
      </w:r>
    </w:p>
    <w:p w14:paraId="28354DCC">
      <w:pPr>
        <w:pStyle w:val="42"/>
        <w:tabs>
          <w:tab w:val="right" w:leader="dot" w:pos="8296"/>
        </w:tabs>
        <w:ind w:left="840"/>
        <w:rPr>
          <w:rFonts w:asciiTheme="minorHAnsi" w:hAnsiTheme="minorHAnsi" w:eastAsiaTheme="minorEastAsia"/>
        </w:rPr>
      </w:pPr>
      <w:r>
        <w:fldChar w:fldCharType="begin"/>
      </w:r>
      <w:r>
        <w:instrText xml:space="preserve"> HYPERLINK \l "_Toc196728189" </w:instrText>
      </w:r>
      <w:r>
        <w:fldChar w:fldCharType="separate"/>
      </w:r>
      <w:r>
        <w:rPr>
          <w:rStyle w:val="139"/>
          <w:kern w:val="0"/>
          <w14:scene3d w14:prst="orthographicFront">
            <w14:lightRig w14:rig="threePt" w14:dir="t">
              <w14:rot w14:lat="0" w14:lon="0" w14:rev="0"/>
            </w14:lightRig>
          </w14:scene3d>
        </w:rPr>
        <w:t>11.5.2.</w:t>
      </w:r>
      <w:r>
        <w:rPr>
          <w:rStyle w:val="139"/>
        </w:rPr>
        <w:t xml:space="preserve"> 配置服务质量管理</w:t>
      </w:r>
      <w:r>
        <w:tab/>
      </w:r>
      <w:r>
        <w:fldChar w:fldCharType="begin"/>
      </w:r>
      <w:r>
        <w:instrText xml:space="preserve"> PAGEREF _Toc196728189 \h </w:instrText>
      </w:r>
      <w:r>
        <w:fldChar w:fldCharType="separate"/>
      </w:r>
      <w:r>
        <w:t>369</w:t>
      </w:r>
      <w:r>
        <w:fldChar w:fldCharType="end"/>
      </w:r>
      <w:r>
        <w:fldChar w:fldCharType="end"/>
      </w:r>
    </w:p>
    <w:p w14:paraId="1FF65631">
      <w:pPr>
        <w:pStyle w:val="70"/>
        <w:tabs>
          <w:tab w:val="right" w:leader="dot" w:pos="8296"/>
        </w:tabs>
        <w:ind w:left="420"/>
        <w:rPr>
          <w:rFonts w:asciiTheme="minorHAnsi" w:hAnsiTheme="minorHAnsi" w:eastAsiaTheme="minorEastAsia"/>
        </w:rPr>
      </w:pPr>
      <w:r>
        <w:fldChar w:fldCharType="begin"/>
      </w:r>
      <w:r>
        <w:instrText xml:space="preserve"> HYPERLINK \l "_Toc196728190" </w:instrText>
      </w:r>
      <w:r>
        <w:fldChar w:fldCharType="separate"/>
      </w:r>
      <w:r>
        <w:rPr>
          <w:rStyle w:val="139"/>
        </w:rPr>
        <w:t>11.6. 端口镜像</w:t>
      </w:r>
      <w:r>
        <w:tab/>
      </w:r>
      <w:r>
        <w:fldChar w:fldCharType="begin"/>
      </w:r>
      <w:r>
        <w:instrText xml:space="preserve"> PAGEREF _Toc196728190 \h </w:instrText>
      </w:r>
      <w:r>
        <w:fldChar w:fldCharType="separate"/>
      </w:r>
      <w:r>
        <w:t>370</w:t>
      </w:r>
      <w:r>
        <w:fldChar w:fldCharType="end"/>
      </w:r>
      <w:r>
        <w:fldChar w:fldCharType="end"/>
      </w:r>
    </w:p>
    <w:p w14:paraId="4855496D">
      <w:pPr>
        <w:pStyle w:val="42"/>
        <w:tabs>
          <w:tab w:val="right" w:leader="dot" w:pos="8296"/>
        </w:tabs>
        <w:ind w:left="840"/>
        <w:rPr>
          <w:rFonts w:asciiTheme="minorHAnsi" w:hAnsiTheme="minorHAnsi" w:eastAsiaTheme="minorEastAsia"/>
        </w:rPr>
      </w:pPr>
      <w:r>
        <w:fldChar w:fldCharType="begin"/>
      </w:r>
      <w:r>
        <w:instrText xml:space="preserve"> HYPERLINK \l "_Toc196728191" </w:instrText>
      </w:r>
      <w:r>
        <w:fldChar w:fldCharType="separate"/>
      </w:r>
      <w:r>
        <w:rPr>
          <w:rStyle w:val="139"/>
          <w:kern w:val="0"/>
          <w14:scene3d w14:prst="orthographicFront">
            <w14:lightRig w14:rig="threePt" w14:dir="t">
              <w14:rot w14:lat="0" w14:lon="0" w14:rev="0"/>
            </w14:lightRig>
          </w14:scene3d>
        </w:rPr>
        <w:t>11.6.1.</w:t>
      </w:r>
      <w:r>
        <w:rPr>
          <w:rStyle w:val="139"/>
        </w:rPr>
        <w:t xml:space="preserve"> 概述</w:t>
      </w:r>
      <w:r>
        <w:tab/>
      </w:r>
      <w:r>
        <w:fldChar w:fldCharType="begin"/>
      </w:r>
      <w:r>
        <w:instrText xml:space="preserve"> PAGEREF _Toc196728191 \h </w:instrText>
      </w:r>
      <w:r>
        <w:fldChar w:fldCharType="separate"/>
      </w:r>
      <w:r>
        <w:t>370</w:t>
      </w:r>
      <w:r>
        <w:fldChar w:fldCharType="end"/>
      </w:r>
      <w:r>
        <w:fldChar w:fldCharType="end"/>
      </w:r>
    </w:p>
    <w:p w14:paraId="0AEEBA36">
      <w:pPr>
        <w:pStyle w:val="70"/>
        <w:tabs>
          <w:tab w:val="right" w:leader="dot" w:pos="8296"/>
        </w:tabs>
        <w:ind w:left="420"/>
        <w:rPr>
          <w:rFonts w:asciiTheme="minorHAnsi" w:hAnsiTheme="minorHAnsi" w:eastAsiaTheme="minorEastAsia"/>
        </w:rPr>
      </w:pPr>
      <w:r>
        <w:fldChar w:fldCharType="begin"/>
      </w:r>
      <w:r>
        <w:instrText xml:space="preserve"> HYPERLINK \l "_Toc196728192" </w:instrText>
      </w:r>
      <w:r>
        <w:fldChar w:fldCharType="separate"/>
      </w:r>
      <w:r>
        <w:rPr>
          <w:rStyle w:val="139"/>
        </w:rPr>
        <w:t>11.7. 部署方式</w:t>
      </w:r>
      <w:r>
        <w:tab/>
      </w:r>
      <w:r>
        <w:fldChar w:fldCharType="begin"/>
      </w:r>
      <w:r>
        <w:instrText xml:space="preserve"> PAGEREF _Toc196728192 \h </w:instrText>
      </w:r>
      <w:r>
        <w:fldChar w:fldCharType="separate"/>
      </w:r>
      <w:r>
        <w:t>371</w:t>
      </w:r>
      <w:r>
        <w:fldChar w:fldCharType="end"/>
      </w:r>
      <w:r>
        <w:fldChar w:fldCharType="end"/>
      </w:r>
    </w:p>
    <w:p w14:paraId="036A5468">
      <w:pPr>
        <w:pStyle w:val="42"/>
        <w:tabs>
          <w:tab w:val="right" w:leader="dot" w:pos="8296"/>
        </w:tabs>
        <w:ind w:left="840"/>
        <w:rPr>
          <w:rFonts w:asciiTheme="minorHAnsi" w:hAnsiTheme="minorHAnsi" w:eastAsiaTheme="minorEastAsia"/>
        </w:rPr>
      </w:pPr>
      <w:r>
        <w:fldChar w:fldCharType="begin"/>
      </w:r>
      <w:r>
        <w:instrText xml:space="preserve"> HYPERLINK \l "_Toc196728193" </w:instrText>
      </w:r>
      <w:r>
        <w:fldChar w:fldCharType="separate"/>
      </w:r>
      <w:r>
        <w:rPr>
          <w:rStyle w:val="139"/>
          <w:kern w:val="0"/>
          <w14:scene3d w14:prst="orthographicFront">
            <w14:lightRig w14:rig="threePt" w14:dir="t">
              <w14:rot w14:lat="0" w14:lon="0" w14:rev="0"/>
            </w14:lightRig>
          </w14:scene3d>
        </w:rPr>
        <w:t>11.7.1.</w:t>
      </w:r>
      <w:r>
        <w:rPr>
          <w:rStyle w:val="139"/>
        </w:rPr>
        <w:t xml:space="preserve"> 旁路部署</w:t>
      </w:r>
      <w:r>
        <w:tab/>
      </w:r>
      <w:r>
        <w:fldChar w:fldCharType="begin"/>
      </w:r>
      <w:r>
        <w:instrText xml:space="preserve"> PAGEREF _Toc196728193 \h </w:instrText>
      </w:r>
      <w:r>
        <w:fldChar w:fldCharType="separate"/>
      </w:r>
      <w:r>
        <w:t>372</w:t>
      </w:r>
      <w:r>
        <w:fldChar w:fldCharType="end"/>
      </w:r>
      <w:r>
        <w:fldChar w:fldCharType="end"/>
      </w:r>
    </w:p>
    <w:p w14:paraId="2134C265">
      <w:pPr>
        <w:pStyle w:val="42"/>
        <w:tabs>
          <w:tab w:val="right" w:leader="dot" w:pos="8296"/>
        </w:tabs>
        <w:ind w:left="840"/>
        <w:rPr>
          <w:rFonts w:asciiTheme="minorHAnsi" w:hAnsiTheme="minorHAnsi" w:eastAsiaTheme="minorEastAsia"/>
        </w:rPr>
      </w:pPr>
      <w:r>
        <w:fldChar w:fldCharType="begin"/>
      </w:r>
      <w:r>
        <w:instrText xml:space="preserve"> HYPERLINK \l "_Toc196728194" </w:instrText>
      </w:r>
      <w:r>
        <w:fldChar w:fldCharType="separate"/>
      </w:r>
      <w:r>
        <w:rPr>
          <w:rStyle w:val="139"/>
          <w:kern w:val="0"/>
          <w14:scene3d w14:prst="orthographicFront">
            <w14:lightRig w14:rig="threePt" w14:dir="t">
              <w14:rot w14:lat="0" w14:lon="0" w14:rev="0"/>
            </w14:lightRig>
          </w14:scene3d>
        </w:rPr>
        <w:t>11.7.2.</w:t>
      </w:r>
      <w:r>
        <w:rPr>
          <w:rStyle w:val="139"/>
        </w:rPr>
        <w:t xml:space="preserve"> 旁路认证和阻断</w:t>
      </w:r>
      <w:r>
        <w:tab/>
      </w:r>
      <w:r>
        <w:fldChar w:fldCharType="begin"/>
      </w:r>
      <w:r>
        <w:instrText xml:space="preserve"> PAGEREF _Toc196728194 \h </w:instrText>
      </w:r>
      <w:r>
        <w:fldChar w:fldCharType="separate"/>
      </w:r>
      <w:r>
        <w:t>372</w:t>
      </w:r>
      <w:r>
        <w:fldChar w:fldCharType="end"/>
      </w:r>
      <w:r>
        <w:fldChar w:fldCharType="end"/>
      </w:r>
    </w:p>
    <w:p w14:paraId="00126168">
      <w:pPr>
        <w:pStyle w:val="70"/>
        <w:tabs>
          <w:tab w:val="right" w:leader="dot" w:pos="8296"/>
        </w:tabs>
        <w:ind w:left="420"/>
        <w:rPr>
          <w:rFonts w:asciiTheme="minorHAnsi" w:hAnsiTheme="minorHAnsi" w:eastAsiaTheme="minorEastAsia"/>
        </w:rPr>
      </w:pPr>
      <w:r>
        <w:fldChar w:fldCharType="begin"/>
      </w:r>
      <w:r>
        <w:instrText xml:space="preserve"> HYPERLINK \l "_Toc196728195" </w:instrText>
      </w:r>
      <w:r>
        <w:fldChar w:fldCharType="separate"/>
      </w:r>
      <w:r>
        <w:rPr>
          <w:rStyle w:val="139"/>
        </w:rPr>
        <w:t>11.8. VRF配置</w:t>
      </w:r>
      <w:r>
        <w:tab/>
      </w:r>
      <w:r>
        <w:fldChar w:fldCharType="begin"/>
      </w:r>
      <w:r>
        <w:instrText xml:space="preserve"> PAGEREF _Toc196728195 \h </w:instrText>
      </w:r>
      <w:r>
        <w:fldChar w:fldCharType="separate"/>
      </w:r>
      <w:r>
        <w:t>373</w:t>
      </w:r>
      <w:r>
        <w:fldChar w:fldCharType="end"/>
      </w:r>
      <w:r>
        <w:fldChar w:fldCharType="end"/>
      </w:r>
    </w:p>
    <w:p w14:paraId="5C2F758C">
      <w:pPr>
        <w:pStyle w:val="42"/>
        <w:tabs>
          <w:tab w:val="right" w:leader="dot" w:pos="8296"/>
        </w:tabs>
        <w:ind w:left="840"/>
        <w:rPr>
          <w:rFonts w:asciiTheme="minorHAnsi" w:hAnsiTheme="minorHAnsi" w:eastAsiaTheme="minorEastAsia"/>
        </w:rPr>
      </w:pPr>
      <w:r>
        <w:fldChar w:fldCharType="begin"/>
      </w:r>
      <w:r>
        <w:instrText xml:space="preserve"> HYPERLINK \l "_Toc196728196" </w:instrText>
      </w:r>
      <w:r>
        <w:fldChar w:fldCharType="separate"/>
      </w:r>
      <w:r>
        <w:rPr>
          <w:rStyle w:val="139"/>
          <w:kern w:val="0"/>
          <w14:scene3d w14:prst="orthographicFront">
            <w14:lightRig w14:rig="threePt" w14:dir="t">
              <w14:rot w14:lat="0" w14:lon="0" w14:rev="0"/>
            </w14:lightRig>
          </w14:scene3d>
        </w:rPr>
        <w:t>11.8.1.</w:t>
      </w:r>
      <w:r>
        <w:rPr>
          <w:rStyle w:val="139"/>
        </w:rPr>
        <w:t xml:space="preserve"> VRF简介</w:t>
      </w:r>
      <w:r>
        <w:tab/>
      </w:r>
      <w:r>
        <w:fldChar w:fldCharType="begin"/>
      </w:r>
      <w:r>
        <w:instrText xml:space="preserve"> PAGEREF _Toc196728196 \h </w:instrText>
      </w:r>
      <w:r>
        <w:fldChar w:fldCharType="separate"/>
      </w:r>
      <w:r>
        <w:t>373</w:t>
      </w:r>
      <w:r>
        <w:fldChar w:fldCharType="end"/>
      </w:r>
      <w:r>
        <w:fldChar w:fldCharType="end"/>
      </w:r>
    </w:p>
    <w:p w14:paraId="23BD607E">
      <w:pPr>
        <w:pStyle w:val="42"/>
        <w:tabs>
          <w:tab w:val="right" w:leader="dot" w:pos="8296"/>
        </w:tabs>
        <w:ind w:left="840"/>
        <w:rPr>
          <w:rFonts w:asciiTheme="minorHAnsi" w:hAnsiTheme="minorHAnsi" w:eastAsiaTheme="minorEastAsia"/>
        </w:rPr>
      </w:pPr>
      <w:r>
        <w:fldChar w:fldCharType="begin"/>
      </w:r>
      <w:r>
        <w:instrText xml:space="preserve"> HYPERLINK \l "_Toc196728197" </w:instrText>
      </w:r>
      <w:r>
        <w:fldChar w:fldCharType="separate"/>
      </w:r>
      <w:r>
        <w:rPr>
          <w:rStyle w:val="139"/>
          <w:kern w:val="0"/>
          <w14:scene3d w14:prst="orthographicFront">
            <w14:lightRig w14:rig="threePt" w14:dir="t">
              <w14:rot w14:lat="0" w14:lon="0" w14:rev="0"/>
            </w14:lightRig>
          </w14:scene3d>
        </w:rPr>
        <w:t>11.8.2.</w:t>
      </w:r>
      <w:r>
        <w:rPr>
          <w:rStyle w:val="139"/>
        </w:rPr>
        <w:t xml:space="preserve"> VRF显示</w:t>
      </w:r>
      <w:r>
        <w:tab/>
      </w:r>
      <w:r>
        <w:fldChar w:fldCharType="begin"/>
      </w:r>
      <w:r>
        <w:instrText xml:space="preserve"> PAGEREF _Toc196728197 \h </w:instrText>
      </w:r>
      <w:r>
        <w:fldChar w:fldCharType="separate"/>
      </w:r>
      <w:r>
        <w:t>374</w:t>
      </w:r>
      <w:r>
        <w:fldChar w:fldCharType="end"/>
      </w:r>
      <w:r>
        <w:fldChar w:fldCharType="end"/>
      </w:r>
    </w:p>
    <w:p w14:paraId="332B80B7">
      <w:pPr>
        <w:pStyle w:val="42"/>
        <w:tabs>
          <w:tab w:val="right" w:leader="dot" w:pos="8296"/>
        </w:tabs>
        <w:ind w:left="840"/>
        <w:rPr>
          <w:rFonts w:asciiTheme="minorHAnsi" w:hAnsiTheme="minorHAnsi" w:eastAsiaTheme="minorEastAsia"/>
        </w:rPr>
      </w:pPr>
      <w:r>
        <w:fldChar w:fldCharType="begin"/>
      </w:r>
      <w:r>
        <w:instrText xml:space="preserve"> HYPERLINK \l "_Toc196728198" </w:instrText>
      </w:r>
      <w:r>
        <w:fldChar w:fldCharType="separate"/>
      </w:r>
      <w:r>
        <w:rPr>
          <w:rStyle w:val="139"/>
          <w:kern w:val="0"/>
          <w14:scene3d w14:prst="orthographicFront">
            <w14:lightRig w14:rig="threePt" w14:dir="t">
              <w14:rot w14:lat="0" w14:lon="0" w14:rev="0"/>
            </w14:lightRig>
          </w14:scene3d>
        </w:rPr>
        <w:t>11.8.3.</w:t>
      </w:r>
      <w:r>
        <w:rPr>
          <w:rStyle w:val="139"/>
        </w:rPr>
        <w:t xml:space="preserve"> VRF添加</w:t>
      </w:r>
      <w:r>
        <w:tab/>
      </w:r>
      <w:r>
        <w:fldChar w:fldCharType="begin"/>
      </w:r>
      <w:r>
        <w:instrText xml:space="preserve"> PAGEREF _Toc196728198 \h </w:instrText>
      </w:r>
      <w:r>
        <w:fldChar w:fldCharType="separate"/>
      </w:r>
      <w:r>
        <w:t>374</w:t>
      </w:r>
      <w:r>
        <w:fldChar w:fldCharType="end"/>
      </w:r>
      <w:r>
        <w:fldChar w:fldCharType="end"/>
      </w:r>
    </w:p>
    <w:p w14:paraId="26F5B623">
      <w:pPr>
        <w:pStyle w:val="70"/>
        <w:tabs>
          <w:tab w:val="right" w:leader="dot" w:pos="8296"/>
        </w:tabs>
        <w:ind w:left="420"/>
        <w:rPr>
          <w:rFonts w:asciiTheme="minorHAnsi" w:hAnsiTheme="minorHAnsi" w:eastAsiaTheme="minorEastAsia"/>
        </w:rPr>
      </w:pPr>
      <w:r>
        <w:fldChar w:fldCharType="begin"/>
      </w:r>
      <w:r>
        <w:instrText xml:space="preserve"> HYPERLINK \l "_Toc196728199" </w:instrText>
      </w:r>
      <w:r>
        <w:fldChar w:fldCharType="separate"/>
      </w:r>
      <w:r>
        <w:rPr>
          <w:rStyle w:val="139"/>
        </w:rPr>
        <w:t>11.9. IPv6网络</w:t>
      </w:r>
      <w:r>
        <w:tab/>
      </w:r>
      <w:r>
        <w:fldChar w:fldCharType="begin"/>
      </w:r>
      <w:r>
        <w:instrText xml:space="preserve"> PAGEREF _Toc196728199 \h </w:instrText>
      </w:r>
      <w:r>
        <w:fldChar w:fldCharType="separate"/>
      </w:r>
      <w:r>
        <w:t>375</w:t>
      </w:r>
      <w:r>
        <w:fldChar w:fldCharType="end"/>
      </w:r>
      <w:r>
        <w:fldChar w:fldCharType="end"/>
      </w:r>
    </w:p>
    <w:p w14:paraId="3B592565">
      <w:pPr>
        <w:pStyle w:val="42"/>
        <w:tabs>
          <w:tab w:val="right" w:leader="dot" w:pos="8296"/>
        </w:tabs>
        <w:ind w:left="840"/>
        <w:rPr>
          <w:rFonts w:asciiTheme="minorHAnsi" w:hAnsiTheme="minorHAnsi" w:eastAsiaTheme="minorEastAsia"/>
        </w:rPr>
      </w:pPr>
      <w:r>
        <w:fldChar w:fldCharType="begin"/>
      </w:r>
      <w:r>
        <w:instrText xml:space="preserve"> HYPERLINK \l "_Toc196728200" </w:instrText>
      </w:r>
      <w:r>
        <w:fldChar w:fldCharType="separate"/>
      </w:r>
      <w:r>
        <w:rPr>
          <w:rStyle w:val="139"/>
          <w:kern w:val="0"/>
          <w14:scene3d w14:prst="orthographicFront">
            <w14:lightRig w14:rig="threePt" w14:dir="t">
              <w14:rot w14:lat="0" w14:lon="0" w14:rev="0"/>
            </w14:lightRig>
          </w14:scene3d>
        </w:rPr>
        <w:t>11.9.1.</w:t>
      </w:r>
      <w:r>
        <w:rPr>
          <w:rStyle w:val="139"/>
        </w:rPr>
        <w:t xml:space="preserve"> IPv6路由表</w:t>
      </w:r>
      <w:r>
        <w:tab/>
      </w:r>
      <w:r>
        <w:fldChar w:fldCharType="begin"/>
      </w:r>
      <w:r>
        <w:instrText xml:space="preserve"> PAGEREF _Toc196728200 \h </w:instrText>
      </w:r>
      <w:r>
        <w:fldChar w:fldCharType="separate"/>
      </w:r>
      <w:r>
        <w:t>375</w:t>
      </w:r>
      <w:r>
        <w:fldChar w:fldCharType="end"/>
      </w:r>
      <w:r>
        <w:fldChar w:fldCharType="end"/>
      </w:r>
    </w:p>
    <w:p w14:paraId="65FC74DF">
      <w:pPr>
        <w:pStyle w:val="42"/>
        <w:tabs>
          <w:tab w:val="right" w:leader="dot" w:pos="8296"/>
        </w:tabs>
        <w:ind w:left="840"/>
        <w:rPr>
          <w:rFonts w:asciiTheme="minorHAnsi" w:hAnsiTheme="minorHAnsi" w:eastAsiaTheme="minorEastAsia"/>
        </w:rPr>
      </w:pPr>
      <w:r>
        <w:fldChar w:fldCharType="begin"/>
      </w:r>
      <w:r>
        <w:instrText xml:space="preserve"> HYPERLINK \l "_Toc196728201" </w:instrText>
      </w:r>
      <w:r>
        <w:fldChar w:fldCharType="separate"/>
      </w:r>
      <w:r>
        <w:rPr>
          <w:rStyle w:val="139"/>
          <w:kern w:val="0"/>
          <w14:scene3d w14:prst="orthographicFront">
            <w14:lightRig w14:rig="threePt" w14:dir="t">
              <w14:rot w14:lat="0" w14:lon="0" w14:rev="0"/>
            </w14:lightRig>
          </w14:scene3d>
        </w:rPr>
        <w:t>11.9.2.</w:t>
      </w:r>
      <w:r>
        <w:rPr>
          <w:rStyle w:val="139"/>
        </w:rPr>
        <w:t xml:space="preserve"> IPv6静态路由</w:t>
      </w:r>
      <w:r>
        <w:tab/>
      </w:r>
      <w:r>
        <w:fldChar w:fldCharType="begin"/>
      </w:r>
      <w:r>
        <w:instrText xml:space="preserve"> PAGEREF _Toc196728201 \h </w:instrText>
      </w:r>
      <w:r>
        <w:fldChar w:fldCharType="separate"/>
      </w:r>
      <w:r>
        <w:t>376</w:t>
      </w:r>
      <w:r>
        <w:fldChar w:fldCharType="end"/>
      </w:r>
      <w:r>
        <w:fldChar w:fldCharType="end"/>
      </w:r>
    </w:p>
    <w:p w14:paraId="211C7F68">
      <w:pPr>
        <w:pStyle w:val="42"/>
        <w:tabs>
          <w:tab w:val="right" w:leader="dot" w:pos="8296"/>
        </w:tabs>
        <w:ind w:left="840"/>
        <w:rPr>
          <w:rFonts w:asciiTheme="minorHAnsi" w:hAnsiTheme="minorHAnsi" w:eastAsiaTheme="minorEastAsia"/>
        </w:rPr>
      </w:pPr>
      <w:r>
        <w:fldChar w:fldCharType="begin"/>
      </w:r>
      <w:r>
        <w:instrText xml:space="preserve"> HYPERLINK \l "_Toc196728202" </w:instrText>
      </w:r>
      <w:r>
        <w:fldChar w:fldCharType="separate"/>
      </w:r>
      <w:r>
        <w:rPr>
          <w:rStyle w:val="139"/>
          <w:kern w:val="0"/>
          <w14:scene3d w14:prst="orthographicFront">
            <w14:lightRig w14:rig="threePt" w14:dir="t">
              <w14:rot w14:lat="0" w14:lon="0" w14:rev="0"/>
            </w14:lightRig>
          </w14:scene3d>
        </w:rPr>
        <w:t>11.9.3.</w:t>
      </w:r>
      <w:r>
        <w:rPr>
          <w:rStyle w:val="139"/>
        </w:rPr>
        <w:t xml:space="preserve"> IPv6 路由通告</w:t>
      </w:r>
      <w:r>
        <w:tab/>
      </w:r>
      <w:r>
        <w:fldChar w:fldCharType="begin"/>
      </w:r>
      <w:r>
        <w:instrText xml:space="preserve"> PAGEREF _Toc196728202 \h </w:instrText>
      </w:r>
      <w:r>
        <w:fldChar w:fldCharType="separate"/>
      </w:r>
      <w:r>
        <w:t>377</w:t>
      </w:r>
      <w:r>
        <w:fldChar w:fldCharType="end"/>
      </w:r>
      <w:r>
        <w:fldChar w:fldCharType="end"/>
      </w:r>
    </w:p>
    <w:p w14:paraId="5D507DF0">
      <w:pPr>
        <w:pStyle w:val="42"/>
        <w:tabs>
          <w:tab w:val="right" w:leader="dot" w:pos="8296"/>
        </w:tabs>
        <w:ind w:left="840"/>
        <w:rPr>
          <w:rFonts w:asciiTheme="minorHAnsi" w:hAnsiTheme="minorHAnsi" w:eastAsiaTheme="minorEastAsia"/>
        </w:rPr>
      </w:pPr>
      <w:r>
        <w:fldChar w:fldCharType="begin"/>
      </w:r>
      <w:r>
        <w:instrText xml:space="preserve"> HYPERLINK \l "_Toc196728203" </w:instrText>
      </w:r>
      <w:r>
        <w:fldChar w:fldCharType="separate"/>
      </w:r>
      <w:r>
        <w:rPr>
          <w:rStyle w:val="139"/>
          <w:kern w:val="0"/>
          <w14:scene3d w14:prst="orthographicFront">
            <w14:lightRig w14:rig="threePt" w14:dir="t">
              <w14:rot w14:lat="0" w14:lon="0" w14:rev="0"/>
            </w14:lightRig>
          </w14:scene3d>
        </w:rPr>
        <w:t>11.9.4.</w:t>
      </w:r>
      <w:r>
        <w:rPr>
          <w:rStyle w:val="139"/>
        </w:rPr>
        <w:t xml:space="preserve"> IPv6隧道</w:t>
      </w:r>
      <w:r>
        <w:tab/>
      </w:r>
      <w:r>
        <w:fldChar w:fldCharType="begin"/>
      </w:r>
      <w:r>
        <w:instrText xml:space="preserve"> PAGEREF _Toc196728203 \h </w:instrText>
      </w:r>
      <w:r>
        <w:fldChar w:fldCharType="separate"/>
      </w:r>
      <w:r>
        <w:t>380</w:t>
      </w:r>
      <w:r>
        <w:fldChar w:fldCharType="end"/>
      </w:r>
      <w:r>
        <w:fldChar w:fldCharType="end"/>
      </w:r>
    </w:p>
    <w:p w14:paraId="73FC5320">
      <w:pPr>
        <w:pStyle w:val="42"/>
        <w:tabs>
          <w:tab w:val="right" w:leader="dot" w:pos="8296"/>
        </w:tabs>
        <w:ind w:left="840"/>
        <w:rPr>
          <w:rFonts w:asciiTheme="minorHAnsi" w:hAnsiTheme="minorHAnsi" w:eastAsiaTheme="minorEastAsia"/>
        </w:rPr>
      </w:pPr>
      <w:r>
        <w:fldChar w:fldCharType="begin"/>
      </w:r>
      <w:r>
        <w:instrText xml:space="preserve"> HYPERLINK \l "_Toc196728204" </w:instrText>
      </w:r>
      <w:r>
        <w:fldChar w:fldCharType="separate"/>
      </w:r>
      <w:r>
        <w:rPr>
          <w:rStyle w:val="139"/>
          <w:kern w:val="0"/>
          <w14:scene3d w14:prst="orthographicFront">
            <w14:lightRig w14:rig="threePt" w14:dir="t">
              <w14:rot w14:lat="0" w14:lon="0" w14:rev="0"/>
            </w14:lightRig>
          </w14:scene3d>
        </w:rPr>
        <w:t>11.9.5.</w:t>
      </w:r>
      <w:r>
        <w:rPr>
          <w:rStyle w:val="139"/>
        </w:rPr>
        <w:t xml:space="preserve"> IPv6隧道配置举例</w:t>
      </w:r>
      <w:r>
        <w:tab/>
      </w:r>
      <w:r>
        <w:fldChar w:fldCharType="begin"/>
      </w:r>
      <w:r>
        <w:instrText xml:space="preserve"> PAGEREF _Toc196728204 \h </w:instrText>
      </w:r>
      <w:r>
        <w:fldChar w:fldCharType="separate"/>
      </w:r>
      <w:r>
        <w:t>381</w:t>
      </w:r>
      <w:r>
        <w:fldChar w:fldCharType="end"/>
      </w:r>
      <w:r>
        <w:fldChar w:fldCharType="end"/>
      </w:r>
    </w:p>
    <w:p w14:paraId="320DE4E4">
      <w:pPr>
        <w:pStyle w:val="42"/>
        <w:tabs>
          <w:tab w:val="right" w:leader="dot" w:pos="8296"/>
        </w:tabs>
        <w:ind w:left="840"/>
        <w:rPr>
          <w:rFonts w:asciiTheme="minorHAnsi" w:hAnsiTheme="minorHAnsi" w:eastAsiaTheme="minorEastAsia"/>
        </w:rPr>
      </w:pPr>
      <w:r>
        <w:fldChar w:fldCharType="begin"/>
      </w:r>
      <w:r>
        <w:instrText xml:space="preserve"> HYPERLINK \l "_Toc196728205" </w:instrText>
      </w:r>
      <w:r>
        <w:fldChar w:fldCharType="separate"/>
      </w:r>
      <w:r>
        <w:rPr>
          <w:rStyle w:val="139"/>
          <w:kern w:val="0"/>
          <w14:scene3d w14:prst="orthographicFront">
            <w14:lightRig w14:rig="threePt" w14:dir="t">
              <w14:rot w14:lat="0" w14:lon="0" w14:rev="0"/>
            </w14:lightRig>
          </w14:scene3d>
        </w:rPr>
        <w:t>11.9.6.</w:t>
      </w:r>
      <w:r>
        <w:rPr>
          <w:rStyle w:val="139"/>
        </w:rPr>
        <w:t xml:space="preserve"> IPv6异常包攻击防御</w:t>
      </w:r>
      <w:r>
        <w:tab/>
      </w:r>
      <w:r>
        <w:fldChar w:fldCharType="begin"/>
      </w:r>
      <w:r>
        <w:instrText xml:space="preserve"> PAGEREF _Toc196728205 \h </w:instrText>
      </w:r>
      <w:r>
        <w:fldChar w:fldCharType="separate"/>
      </w:r>
      <w:r>
        <w:t>384</w:t>
      </w:r>
      <w:r>
        <w:fldChar w:fldCharType="end"/>
      </w:r>
      <w:r>
        <w:fldChar w:fldCharType="end"/>
      </w:r>
    </w:p>
    <w:p w14:paraId="5A12D8D1">
      <w:pPr>
        <w:pStyle w:val="56"/>
        <w:tabs>
          <w:tab w:val="right" w:leader="dot" w:pos="8296"/>
        </w:tabs>
        <w:rPr>
          <w:rFonts w:asciiTheme="minorHAnsi" w:hAnsiTheme="minorHAnsi" w:eastAsiaTheme="minorEastAsia"/>
        </w:rPr>
      </w:pPr>
      <w:r>
        <w:fldChar w:fldCharType="begin"/>
      </w:r>
      <w:r>
        <w:instrText xml:space="preserve"> HYPERLINK \l "_Toc196728206" </w:instrText>
      </w:r>
      <w:r>
        <w:fldChar w:fldCharType="separate"/>
      </w:r>
      <w:r>
        <w:rPr>
          <w:rStyle w:val="139"/>
        </w:rPr>
        <w:t>12. 代理上网</w:t>
      </w:r>
      <w:r>
        <w:tab/>
      </w:r>
      <w:r>
        <w:fldChar w:fldCharType="begin"/>
      </w:r>
      <w:r>
        <w:instrText xml:space="preserve"> PAGEREF _Toc196728206 \h </w:instrText>
      </w:r>
      <w:r>
        <w:fldChar w:fldCharType="separate"/>
      </w:r>
      <w:r>
        <w:t>385</w:t>
      </w:r>
      <w:r>
        <w:fldChar w:fldCharType="end"/>
      </w:r>
      <w:r>
        <w:fldChar w:fldCharType="end"/>
      </w:r>
    </w:p>
    <w:p w14:paraId="2014A989">
      <w:pPr>
        <w:pStyle w:val="70"/>
        <w:tabs>
          <w:tab w:val="right" w:leader="dot" w:pos="8296"/>
        </w:tabs>
        <w:ind w:left="420"/>
        <w:rPr>
          <w:rFonts w:asciiTheme="minorHAnsi" w:hAnsiTheme="minorHAnsi" w:eastAsiaTheme="minorEastAsia"/>
        </w:rPr>
      </w:pPr>
      <w:r>
        <w:fldChar w:fldCharType="begin"/>
      </w:r>
      <w:r>
        <w:instrText xml:space="preserve"> HYPERLINK \l "_Toc196728207" </w:instrText>
      </w:r>
      <w:r>
        <w:fldChar w:fldCharType="separate"/>
      </w:r>
      <w:r>
        <w:rPr>
          <w:rStyle w:val="139"/>
        </w:rPr>
        <w:t>12.1. 概述</w:t>
      </w:r>
      <w:r>
        <w:tab/>
      </w:r>
      <w:r>
        <w:fldChar w:fldCharType="begin"/>
      </w:r>
      <w:r>
        <w:instrText xml:space="preserve"> PAGEREF _Toc196728207 \h </w:instrText>
      </w:r>
      <w:r>
        <w:fldChar w:fldCharType="separate"/>
      </w:r>
      <w:r>
        <w:t>385</w:t>
      </w:r>
      <w:r>
        <w:fldChar w:fldCharType="end"/>
      </w:r>
      <w:r>
        <w:fldChar w:fldCharType="end"/>
      </w:r>
    </w:p>
    <w:p w14:paraId="53B8BDEA">
      <w:pPr>
        <w:pStyle w:val="42"/>
        <w:tabs>
          <w:tab w:val="right" w:leader="dot" w:pos="8296"/>
        </w:tabs>
        <w:ind w:left="840"/>
        <w:rPr>
          <w:rFonts w:asciiTheme="minorHAnsi" w:hAnsiTheme="minorHAnsi" w:eastAsiaTheme="minorEastAsia"/>
        </w:rPr>
      </w:pPr>
      <w:r>
        <w:fldChar w:fldCharType="begin"/>
      </w:r>
      <w:r>
        <w:instrText xml:space="preserve"> HYPERLINK \l "_Toc196728208" </w:instrText>
      </w:r>
      <w:r>
        <w:fldChar w:fldCharType="separate"/>
      </w:r>
      <w:r>
        <w:rPr>
          <w:rStyle w:val="139"/>
          <w:kern w:val="0"/>
          <w14:scene3d w14:prst="orthographicFront">
            <w14:lightRig w14:rig="threePt" w14:dir="t">
              <w14:rot w14:lat="0" w14:lon="0" w14:rev="0"/>
            </w14:lightRig>
          </w14:scene3d>
        </w:rPr>
        <w:t>12.1.1.</w:t>
      </w:r>
      <w:r>
        <w:rPr>
          <w:rStyle w:val="139"/>
        </w:rPr>
        <w:t xml:space="preserve"> 原理介绍</w:t>
      </w:r>
      <w:r>
        <w:tab/>
      </w:r>
      <w:r>
        <w:fldChar w:fldCharType="begin"/>
      </w:r>
      <w:r>
        <w:instrText xml:space="preserve"> PAGEREF _Toc196728208 \h </w:instrText>
      </w:r>
      <w:r>
        <w:fldChar w:fldCharType="separate"/>
      </w:r>
      <w:r>
        <w:t>386</w:t>
      </w:r>
      <w:r>
        <w:fldChar w:fldCharType="end"/>
      </w:r>
      <w:r>
        <w:fldChar w:fldCharType="end"/>
      </w:r>
    </w:p>
    <w:p w14:paraId="715AAF58">
      <w:pPr>
        <w:pStyle w:val="70"/>
        <w:tabs>
          <w:tab w:val="right" w:leader="dot" w:pos="8296"/>
        </w:tabs>
        <w:ind w:left="420"/>
        <w:rPr>
          <w:rFonts w:asciiTheme="minorHAnsi" w:hAnsiTheme="minorHAnsi" w:eastAsiaTheme="minorEastAsia"/>
        </w:rPr>
      </w:pPr>
      <w:r>
        <w:fldChar w:fldCharType="begin"/>
      </w:r>
      <w:r>
        <w:instrText xml:space="preserve"> HYPERLINK \l "_Toc196728209" </w:instrText>
      </w:r>
      <w:r>
        <w:fldChar w:fldCharType="separate"/>
      </w:r>
      <w:r>
        <w:rPr>
          <w:rStyle w:val="139"/>
        </w:rPr>
        <w:t>12.2. 配置代理上网功能</w:t>
      </w:r>
      <w:r>
        <w:tab/>
      </w:r>
      <w:r>
        <w:fldChar w:fldCharType="begin"/>
      </w:r>
      <w:r>
        <w:instrText xml:space="preserve"> PAGEREF _Toc196728209 \h </w:instrText>
      </w:r>
      <w:r>
        <w:fldChar w:fldCharType="separate"/>
      </w:r>
      <w:r>
        <w:t>387</w:t>
      </w:r>
      <w:r>
        <w:fldChar w:fldCharType="end"/>
      </w:r>
      <w:r>
        <w:fldChar w:fldCharType="end"/>
      </w:r>
    </w:p>
    <w:p w14:paraId="3F05AE0B">
      <w:pPr>
        <w:pStyle w:val="42"/>
        <w:tabs>
          <w:tab w:val="right" w:leader="dot" w:pos="8296"/>
        </w:tabs>
        <w:ind w:left="840"/>
        <w:rPr>
          <w:rFonts w:asciiTheme="minorHAnsi" w:hAnsiTheme="minorHAnsi" w:eastAsiaTheme="minorEastAsia"/>
        </w:rPr>
      </w:pPr>
      <w:r>
        <w:fldChar w:fldCharType="begin"/>
      </w:r>
      <w:r>
        <w:instrText xml:space="preserve"> HYPERLINK \l "_Toc196728210" </w:instrText>
      </w:r>
      <w:r>
        <w:fldChar w:fldCharType="separate"/>
      </w:r>
      <w:r>
        <w:rPr>
          <w:rStyle w:val="139"/>
          <w:kern w:val="0"/>
          <w14:scene3d w14:prst="orthographicFront">
            <w14:lightRig w14:rig="threePt" w14:dir="t">
              <w14:rot w14:lat="0" w14:lon="0" w14:rev="0"/>
            </w14:lightRig>
          </w14:scene3d>
        </w:rPr>
        <w:t>12.2.1.</w:t>
      </w:r>
      <w:r>
        <w:rPr>
          <w:rStyle w:val="139"/>
        </w:rPr>
        <w:t xml:space="preserve"> 代理服务开启</w:t>
      </w:r>
      <w:r>
        <w:tab/>
      </w:r>
      <w:r>
        <w:fldChar w:fldCharType="begin"/>
      </w:r>
      <w:r>
        <w:instrText xml:space="preserve"> PAGEREF _Toc196728210 \h </w:instrText>
      </w:r>
      <w:r>
        <w:fldChar w:fldCharType="separate"/>
      </w:r>
      <w:r>
        <w:t>387</w:t>
      </w:r>
      <w:r>
        <w:fldChar w:fldCharType="end"/>
      </w:r>
      <w:r>
        <w:fldChar w:fldCharType="end"/>
      </w:r>
    </w:p>
    <w:p w14:paraId="57F2A533">
      <w:pPr>
        <w:pStyle w:val="42"/>
        <w:tabs>
          <w:tab w:val="right" w:leader="dot" w:pos="8296"/>
        </w:tabs>
        <w:ind w:left="840"/>
        <w:rPr>
          <w:rFonts w:asciiTheme="minorHAnsi" w:hAnsiTheme="minorHAnsi" w:eastAsiaTheme="minorEastAsia"/>
        </w:rPr>
      </w:pPr>
      <w:r>
        <w:fldChar w:fldCharType="begin"/>
      </w:r>
      <w:r>
        <w:instrText xml:space="preserve"> HYPERLINK \l "_Toc196728211" </w:instrText>
      </w:r>
      <w:r>
        <w:fldChar w:fldCharType="separate"/>
      </w:r>
      <w:r>
        <w:rPr>
          <w:rStyle w:val="139"/>
          <w:kern w:val="0"/>
          <w14:scene3d w14:prst="orthographicFront">
            <w14:lightRig w14:rig="threePt" w14:dir="t">
              <w14:rot w14:lat="0" w14:lon="0" w14:rev="0"/>
            </w14:lightRig>
          </w14:scene3d>
        </w:rPr>
        <w:t>12.2.2.</w:t>
      </w:r>
      <w:r>
        <w:rPr>
          <w:rStyle w:val="139"/>
        </w:rPr>
        <w:t xml:space="preserve"> 代理策略</w:t>
      </w:r>
      <w:r>
        <w:tab/>
      </w:r>
      <w:r>
        <w:fldChar w:fldCharType="begin"/>
      </w:r>
      <w:r>
        <w:instrText xml:space="preserve"> PAGEREF _Toc196728211 \h </w:instrText>
      </w:r>
      <w:r>
        <w:fldChar w:fldCharType="separate"/>
      </w:r>
      <w:r>
        <w:t>388</w:t>
      </w:r>
      <w:r>
        <w:fldChar w:fldCharType="end"/>
      </w:r>
      <w:r>
        <w:fldChar w:fldCharType="end"/>
      </w:r>
    </w:p>
    <w:p w14:paraId="12B88121">
      <w:pPr>
        <w:pStyle w:val="42"/>
        <w:tabs>
          <w:tab w:val="right" w:leader="dot" w:pos="8296"/>
        </w:tabs>
        <w:ind w:left="840"/>
        <w:rPr>
          <w:rFonts w:asciiTheme="minorHAnsi" w:hAnsiTheme="minorHAnsi" w:eastAsiaTheme="minorEastAsia"/>
        </w:rPr>
      </w:pPr>
      <w:r>
        <w:fldChar w:fldCharType="begin"/>
      </w:r>
      <w:r>
        <w:instrText xml:space="preserve"> HYPERLINK \l "_Toc196728212" </w:instrText>
      </w:r>
      <w:r>
        <w:fldChar w:fldCharType="separate"/>
      </w:r>
      <w:r>
        <w:rPr>
          <w:rStyle w:val="139"/>
          <w:kern w:val="0"/>
          <w14:scene3d w14:prst="orthographicFront">
            <w14:lightRig w14:rig="threePt" w14:dir="t">
              <w14:rot w14:lat="0" w14:lon="0" w14:rev="0"/>
            </w14:lightRig>
          </w14:scene3d>
        </w:rPr>
        <w:t>12.2.3.</w:t>
      </w:r>
      <w:r>
        <w:rPr>
          <w:rStyle w:val="139"/>
        </w:rPr>
        <w:t xml:space="preserve"> 二级代理服务器</w:t>
      </w:r>
      <w:r>
        <w:tab/>
      </w:r>
      <w:r>
        <w:fldChar w:fldCharType="begin"/>
      </w:r>
      <w:r>
        <w:instrText xml:space="preserve"> PAGEREF _Toc196728212 \h </w:instrText>
      </w:r>
      <w:r>
        <w:fldChar w:fldCharType="separate"/>
      </w:r>
      <w:r>
        <w:t>390</w:t>
      </w:r>
      <w:r>
        <w:fldChar w:fldCharType="end"/>
      </w:r>
      <w:r>
        <w:fldChar w:fldCharType="end"/>
      </w:r>
    </w:p>
    <w:p w14:paraId="4B3E7C2B">
      <w:pPr>
        <w:pStyle w:val="70"/>
        <w:tabs>
          <w:tab w:val="right" w:leader="dot" w:pos="8296"/>
        </w:tabs>
        <w:ind w:left="420"/>
        <w:rPr>
          <w:rFonts w:asciiTheme="minorHAnsi" w:hAnsiTheme="minorHAnsi" w:eastAsiaTheme="minorEastAsia"/>
        </w:rPr>
      </w:pPr>
      <w:r>
        <w:fldChar w:fldCharType="begin"/>
      </w:r>
      <w:r>
        <w:instrText xml:space="preserve"> HYPERLINK \l "_Toc196728213" </w:instrText>
      </w:r>
      <w:r>
        <w:fldChar w:fldCharType="separate"/>
      </w:r>
      <w:r>
        <w:rPr>
          <w:rStyle w:val="139"/>
        </w:rPr>
        <w:t>12.3. 代理上网配置举例</w:t>
      </w:r>
      <w:r>
        <w:tab/>
      </w:r>
      <w:r>
        <w:fldChar w:fldCharType="begin"/>
      </w:r>
      <w:r>
        <w:instrText xml:space="preserve"> PAGEREF _Toc196728213 \h </w:instrText>
      </w:r>
      <w:r>
        <w:fldChar w:fldCharType="separate"/>
      </w:r>
      <w:r>
        <w:t>391</w:t>
      </w:r>
      <w:r>
        <w:fldChar w:fldCharType="end"/>
      </w:r>
      <w:r>
        <w:fldChar w:fldCharType="end"/>
      </w:r>
    </w:p>
    <w:p w14:paraId="372E6BC4">
      <w:pPr>
        <w:pStyle w:val="56"/>
        <w:tabs>
          <w:tab w:val="right" w:leader="dot" w:pos="8296"/>
        </w:tabs>
        <w:rPr>
          <w:rFonts w:asciiTheme="minorHAnsi" w:hAnsiTheme="minorHAnsi" w:eastAsiaTheme="minorEastAsia"/>
        </w:rPr>
      </w:pPr>
      <w:r>
        <w:fldChar w:fldCharType="begin"/>
      </w:r>
      <w:r>
        <w:instrText xml:space="preserve"> HYPERLINK \l "_Toc196728214" </w:instrText>
      </w:r>
      <w:r>
        <w:fldChar w:fldCharType="separate"/>
      </w:r>
      <w:r>
        <w:rPr>
          <w:rStyle w:val="139"/>
        </w:rPr>
        <w:t>13. 网络引流</w:t>
      </w:r>
      <w:r>
        <w:tab/>
      </w:r>
      <w:r>
        <w:fldChar w:fldCharType="begin"/>
      </w:r>
      <w:r>
        <w:instrText xml:space="preserve"> PAGEREF _Toc196728214 \h </w:instrText>
      </w:r>
      <w:r>
        <w:fldChar w:fldCharType="separate"/>
      </w:r>
      <w:r>
        <w:t>400</w:t>
      </w:r>
      <w:r>
        <w:fldChar w:fldCharType="end"/>
      </w:r>
      <w:r>
        <w:fldChar w:fldCharType="end"/>
      </w:r>
    </w:p>
    <w:p w14:paraId="0AE9187F">
      <w:pPr>
        <w:pStyle w:val="70"/>
        <w:tabs>
          <w:tab w:val="right" w:leader="dot" w:pos="8296"/>
        </w:tabs>
        <w:ind w:left="420"/>
        <w:rPr>
          <w:rFonts w:asciiTheme="minorHAnsi" w:hAnsiTheme="minorHAnsi" w:eastAsiaTheme="minorEastAsia"/>
        </w:rPr>
      </w:pPr>
      <w:r>
        <w:fldChar w:fldCharType="begin"/>
      </w:r>
      <w:r>
        <w:instrText xml:space="preserve"> HYPERLINK \l "_Toc196728215" </w:instrText>
      </w:r>
      <w:r>
        <w:fldChar w:fldCharType="separate"/>
      </w:r>
      <w:r>
        <w:rPr>
          <w:rStyle w:val="139"/>
        </w:rPr>
        <w:t>13.1. 概述</w:t>
      </w:r>
      <w:r>
        <w:tab/>
      </w:r>
      <w:r>
        <w:fldChar w:fldCharType="begin"/>
      </w:r>
      <w:r>
        <w:instrText xml:space="preserve"> PAGEREF _Toc196728215 \h </w:instrText>
      </w:r>
      <w:r>
        <w:fldChar w:fldCharType="separate"/>
      </w:r>
      <w:r>
        <w:t>400</w:t>
      </w:r>
      <w:r>
        <w:fldChar w:fldCharType="end"/>
      </w:r>
      <w:r>
        <w:fldChar w:fldCharType="end"/>
      </w:r>
    </w:p>
    <w:p w14:paraId="2B5D6EE5">
      <w:pPr>
        <w:pStyle w:val="70"/>
        <w:tabs>
          <w:tab w:val="right" w:leader="dot" w:pos="8296"/>
        </w:tabs>
        <w:ind w:left="420"/>
        <w:rPr>
          <w:rFonts w:asciiTheme="minorHAnsi" w:hAnsiTheme="minorHAnsi" w:eastAsiaTheme="minorEastAsia"/>
        </w:rPr>
      </w:pPr>
      <w:r>
        <w:fldChar w:fldCharType="begin"/>
      </w:r>
      <w:r>
        <w:instrText xml:space="preserve"> HYPERLINK \l "_Toc196728216" </w:instrText>
      </w:r>
      <w:r>
        <w:fldChar w:fldCharType="separate"/>
      </w:r>
      <w:r>
        <w:rPr>
          <w:rStyle w:val="139"/>
        </w:rPr>
        <w:t>13.2. 应用场景</w:t>
      </w:r>
      <w:r>
        <w:tab/>
      </w:r>
      <w:r>
        <w:fldChar w:fldCharType="begin"/>
      </w:r>
      <w:r>
        <w:instrText xml:space="preserve"> PAGEREF _Toc196728216 \h </w:instrText>
      </w:r>
      <w:r>
        <w:fldChar w:fldCharType="separate"/>
      </w:r>
      <w:r>
        <w:t>400</w:t>
      </w:r>
      <w:r>
        <w:fldChar w:fldCharType="end"/>
      </w:r>
      <w:r>
        <w:fldChar w:fldCharType="end"/>
      </w:r>
    </w:p>
    <w:p w14:paraId="3A7407DB">
      <w:pPr>
        <w:pStyle w:val="70"/>
        <w:tabs>
          <w:tab w:val="right" w:leader="dot" w:pos="8296"/>
        </w:tabs>
        <w:ind w:left="420"/>
        <w:rPr>
          <w:rFonts w:asciiTheme="minorHAnsi" w:hAnsiTheme="minorHAnsi" w:eastAsiaTheme="minorEastAsia"/>
        </w:rPr>
      </w:pPr>
      <w:r>
        <w:fldChar w:fldCharType="begin"/>
      </w:r>
      <w:r>
        <w:instrText xml:space="preserve"> HYPERLINK \l "_Toc196728217" </w:instrText>
      </w:r>
      <w:r>
        <w:fldChar w:fldCharType="separate"/>
      </w:r>
      <w:r>
        <w:rPr>
          <w:rStyle w:val="139"/>
        </w:rPr>
        <w:t>13.3. 使用限制</w:t>
      </w:r>
      <w:r>
        <w:tab/>
      </w:r>
      <w:r>
        <w:fldChar w:fldCharType="begin"/>
      </w:r>
      <w:r>
        <w:instrText xml:space="preserve"> PAGEREF _Toc196728217 \h </w:instrText>
      </w:r>
      <w:r>
        <w:fldChar w:fldCharType="separate"/>
      </w:r>
      <w:r>
        <w:t>401</w:t>
      </w:r>
      <w:r>
        <w:fldChar w:fldCharType="end"/>
      </w:r>
      <w:r>
        <w:fldChar w:fldCharType="end"/>
      </w:r>
    </w:p>
    <w:p w14:paraId="105E2D09">
      <w:pPr>
        <w:pStyle w:val="70"/>
        <w:tabs>
          <w:tab w:val="right" w:leader="dot" w:pos="8296"/>
        </w:tabs>
        <w:ind w:left="420"/>
        <w:rPr>
          <w:rFonts w:asciiTheme="minorHAnsi" w:hAnsiTheme="minorHAnsi" w:eastAsiaTheme="minorEastAsia"/>
        </w:rPr>
      </w:pPr>
      <w:r>
        <w:fldChar w:fldCharType="begin"/>
      </w:r>
      <w:r>
        <w:instrText xml:space="preserve"> HYPERLINK \l "_Toc196728218" </w:instrText>
      </w:r>
      <w:r>
        <w:fldChar w:fldCharType="separate"/>
      </w:r>
      <w:r>
        <w:rPr>
          <w:rStyle w:val="139"/>
        </w:rPr>
        <w:t>13.4. 设备（CPE）上的引流配置</w:t>
      </w:r>
      <w:r>
        <w:tab/>
      </w:r>
      <w:r>
        <w:fldChar w:fldCharType="begin"/>
      </w:r>
      <w:r>
        <w:instrText xml:space="preserve"> PAGEREF _Toc196728218 \h </w:instrText>
      </w:r>
      <w:r>
        <w:fldChar w:fldCharType="separate"/>
      </w:r>
      <w:r>
        <w:t>401</w:t>
      </w:r>
      <w:r>
        <w:fldChar w:fldCharType="end"/>
      </w:r>
      <w:r>
        <w:fldChar w:fldCharType="end"/>
      </w:r>
    </w:p>
    <w:p w14:paraId="07F268E5">
      <w:pPr>
        <w:pStyle w:val="70"/>
        <w:tabs>
          <w:tab w:val="right" w:leader="dot" w:pos="8296"/>
        </w:tabs>
        <w:ind w:left="420"/>
        <w:rPr>
          <w:rFonts w:asciiTheme="minorHAnsi" w:hAnsiTheme="minorHAnsi" w:eastAsiaTheme="minorEastAsia"/>
        </w:rPr>
      </w:pPr>
      <w:r>
        <w:fldChar w:fldCharType="begin"/>
      </w:r>
      <w:r>
        <w:instrText xml:space="preserve"> HYPERLINK \l "_Toc196728219" </w:instrText>
      </w:r>
      <w:r>
        <w:fldChar w:fldCharType="separate"/>
      </w:r>
      <w:r>
        <w:rPr>
          <w:rStyle w:val="139"/>
        </w:rPr>
        <w:t>13.5. 网络引流配置举例</w:t>
      </w:r>
      <w:r>
        <w:tab/>
      </w:r>
      <w:r>
        <w:fldChar w:fldCharType="begin"/>
      </w:r>
      <w:r>
        <w:instrText xml:space="preserve"> PAGEREF _Toc196728219 \h </w:instrText>
      </w:r>
      <w:r>
        <w:fldChar w:fldCharType="separate"/>
      </w:r>
      <w:r>
        <w:t>403</w:t>
      </w:r>
      <w:r>
        <w:fldChar w:fldCharType="end"/>
      </w:r>
      <w:r>
        <w:fldChar w:fldCharType="end"/>
      </w:r>
    </w:p>
    <w:p w14:paraId="79AEDCA0">
      <w:pPr>
        <w:pStyle w:val="56"/>
        <w:tabs>
          <w:tab w:val="right" w:leader="dot" w:pos="8296"/>
        </w:tabs>
        <w:rPr>
          <w:rFonts w:asciiTheme="minorHAnsi" w:hAnsiTheme="minorHAnsi" w:eastAsiaTheme="minorEastAsia"/>
        </w:rPr>
      </w:pPr>
      <w:r>
        <w:fldChar w:fldCharType="begin"/>
      </w:r>
      <w:r>
        <w:instrText xml:space="preserve"> HYPERLINK \l "_Toc196728220" </w:instrText>
      </w:r>
      <w:r>
        <w:fldChar w:fldCharType="separate"/>
      </w:r>
      <w:r>
        <w:rPr>
          <w:rStyle w:val="139"/>
        </w:rPr>
        <w:t>14. 控制策略</w:t>
      </w:r>
      <w:r>
        <w:tab/>
      </w:r>
      <w:r>
        <w:fldChar w:fldCharType="begin"/>
      </w:r>
      <w:r>
        <w:instrText xml:space="preserve"> PAGEREF _Toc196728220 \h </w:instrText>
      </w:r>
      <w:r>
        <w:fldChar w:fldCharType="separate"/>
      </w:r>
      <w:r>
        <w:t>410</w:t>
      </w:r>
      <w:r>
        <w:fldChar w:fldCharType="end"/>
      </w:r>
      <w:r>
        <w:fldChar w:fldCharType="end"/>
      </w:r>
    </w:p>
    <w:p w14:paraId="4452D23F">
      <w:pPr>
        <w:pStyle w:val="70"/>
        <w:tabs>
          <w:tab w:val="right" w:leader="dot" w:pos="8296"/>
        </w:tabs>
        <w:ind w:left="420"/>
        <w:rPr>
          <w:rFonts w:asciiTheme="minorHAnsi" w:hAnsiTheme="minorHAnsi" w:eastAsiaTheme="minorEastAsia"/>
        </w:rPr>
      </w:pPr>
      <w:r>
        <w:fldChar w:fldCharType="begin"/>
      </w:r>
      <w:r>
        <w:instrText xml:space="preserve"> HYPERLINK \l "_Toc196728221" </w:instrText>
      </w:r>
      <w:r>
        <w:fldChar w:fldCharType="separate"/>
      </w:r>
      <w:r>
        <w:rPr>
          <w:rStyle w:val="139"/>
        </w:rPr>
        <w:t>14.1. 控制策略</w:t>
      </w:r>
      <w:r>
        <w:tab/>
      </w:r>
      <w:r>
        <w:fldChar w:fldCharType="begin"/>
      </w:r>
      <w:r>
        <w:instrText xml:space="preserve"> PAGEREF _Toc196728221 \h </w:instrText>
      </w:r>
      <w:r>
        <w:fldChar w:fldCharType="separate"/>
      </w:r>
      <w:r>
        <w:t>410</w:t>
      </w:r>
      <w:r>
        <w:fldChar w:fldCharType="end"/>
      </w:r>
      <w:r>
        <w:fldChar w:fldCharType="end"/>
      </w:r>
    </w:p>
    <w:p w14:paraId="385898EC">
      <w:pPr>
        <w:pStyle w:val="42"/>
        <w:tabs>
          <w:tab w:val="right" w:leader="dot" w:pos="8296"/>
        </w:tabs>
        <w:ind w:left="840"/>
        <w:rPr>
          <w:rFonts w:asciiTheme="minorHAnsi" w:hAnsiTheme="minorHAnsi" w:eastAsiaTheme="minorEastAsia"/>
        </w:rPr>
      </w:pPr>
      <w:r>
        <w:fldChar w:fldCharType="begin"/>
      </w:r>
      <w:r>
        <w:instrText xml:space="preserve"> HYPERLINK \l "_Toc196728222" </w:instrText>
      </w:r>
      <w:r>
        <w:fldChar w:fldCharType="separate"/>
      </w:r>
      <w:r>
        <w:rPr>
          <w:rStyle w:val="139"/>
          <w:kern w:val="0"/>
          <w14:scene3d w14:prst="orthographicFront">
            <w14:lightRig w14:rig="threePt" w14:dir="t">
              <w14:rot w14:lat="0" w14:lon="0" w14:rev="0"/>
            </w14:lightRig>
          </w14:scene3d>
        </w:rPr>
        <w:t>14.1.1.</w:t>
      </w:r>
      <w:r>
        <w:rPr>
          <w:rStyle w:val="139"/>
        </w:rPr>
        <w:t xml:space="preserve"> 控制策略概述</w:t>
      </w:r>
      <w:r>
        <w:tab/>
      </w:r>
      <w:r>
        <w:fldChar w:fldCharType="begin"/>
      </w:r>
      <w:r>
        <w:instrText xml:space="preserve"> PAGEREF _Toc196728222 \h </w:instrText>
      </w:r>
      <w:r>
        <w:fldChar w:fldCharType="separate"/>
      </w:r>
      <w:r>
        <w:t>410</w:t>
      </w:r>
      <w:r>
        <w:fldChar w:fldCharType="end"/>
      </w:r>
      <w:r>
        <w:fldChar w:fldCharType="end"/>
      </w:r>
    </w:p>
    <w:p w14:paraId="39EF6E00">
      <w:pPr>
        <w:pStyle w:val="42"/>
        <w:tabs>
          <w:tab w:val="right" w:leader="dot" w:pos="8296"/>
        </w:tabs>
        <w:ind w:left="840"/>
        <w:rPr>
          <w:rFonts w:asciiTheme="minorHAnsi" w:hAnsiTheme="minorHAnsi" w:eastAsiaTheme="minorEastAsia"/>
        </w:rPr>
      </w:pPr>
      <w:r>
        <w:fldChar w:fldCharType="begin"/>
      </w:r>
      <w:r>
        <w:instrText xml:space="preserve"> HYPERLINK \l "_Toc196728223" </w:instrText>
      </w:r>
      <w:r>
        <w:fldChar w:fldCharType="separate"/>
      </w:r>
      <w:r>
        <w:rPr>
          <w:rStyle w:val="139"/>
          <w:kern w:val="0"/>
          <w14:scene3d w14:prst="orthographicFront">
            <w14:lightRig w14:rig="threePt" w14:dir="t">
              <w14:rot w14:lat="0" w14:lon="0" w14:rev="0"/>
            </w14:lightRig>
          </w14:scene3d>
        </w:rPr>
        <w:t>14.1.2.</w:t>
      </w:r>
      <w:r>
        <w:rPr>
          <w:rStyle w:val="139"/>
        </w:rPr>
        <w:t xml:space="preserve"> 控制策略配置</w:t>
      </w:r>
      <w:r>
        <w:tab/>
      </w:r>
      <w:r>
        <w:fldChar w:fldCharType="begin"/>
      </w:r>
      <w:r>
        <w:instrText xml:space="preserve"> PAGEREF _Toc196728223 \h </w:instrText>
      </w:r>
      <w:r>
        <w:fldChar w:fldCharType="separate"/>
      </w:r>
      <w:r>
        <w:t>410</w:t>
      </w:r>
      <w:r>
        <w:fldChar w:fldCharType="end"/>
      </w:r>
      <w:r>
        <w:fldChar w:fldCharType="end"/>
      </w:r>
    </w:p>
    <w:p w14:paraId="315BCECB">
      <w:pPr>
        <w:pStyle w:val="42"/>
        <w:tabs>
          <w:tab w:val="right" w:leader="dot" w:pos="8296"/>
        </w:tabs>
        <w:ind w:left="840"/>
        <w:rPr>
          <w:rFonts w:asciiTheme="minorHAnsi" w:hAnsiTheme="minorHAnsi" w:eastAsiaTheme="minorEastAsia"/>
        </w:rPr>
      </w:pPr>
      <w:r>
        <w:fldChar w:fldCharType="begin"/>
      </w:r>
      <w:r>
        <w:instrText xml:space="preserve"> HYPERLINK \l "_Toc196728224" </w:instrText>
      </w:r>
      <w:r>
        <w:fldChar w:fldCharType="separate"/>
      </w:r>
      <w:r>
        <w:rPr>
          <w:rStyle w:val="139"/>
          <w:kern w:val="0"/>
          <w14:scene3d w14:prst="orthographicFront">
            <w14:lightRig w14:rig="threePt" w14:dir="t">
              <w14:rot w14:lat="0" w14:lon="0" w14:rev="0"/>
            </w14:lightRig>
          </w14:scene3d>
        </w:rPr>
        <w:t>14.1.3.</w:t>
      </w:r>
      <w:r>
        <w:rPr>
          <w:rStyle w:val="139"/>
        </w:rPr>
        <w:t xml:space="preserve"> 导入导出控制策略</w:t>
      </w:r>
      <w:r>
        <w:tab/>
      </w:r>
      <w:r>
        <w:fldChar w:fldCharType="begin"/>
      </w:r>
      <w:r>
        <w:instrText xml:space="preserve"> PAGEREF _Toc196728224 \h </w:instrText>
      </w:r>
      <w:r>
        <w:fldChar w:fldCharType="separate"/>
      </w:r>
      <w:r>
        <w:t>414</w:t>
      </w:r>
      <w:r>
        <w:fldChar w:fldCharType="end"/>
      </w:r>
      <w:r>
        <w:fldChar w:fldCharType="end"/>
      </w:r>
    </w:p>
    <w:p w14:paraId="2A18FE97">
      <w:pPr>
        <w:pStyle w:val="42"/>
        <w:tabs>
          <w:tab w:val="right" w:leader="dot" w:pos="8296"/>
        </w:tabs>
        <w:ind w:left="840"/>
        <w:rPr>
          <w:rFonts w:asciiTheme="minorHAnsi" w:hAnsiTheme="minorHAnsi" w:eastAsiaTheme="minorEastAsia"/>
        </w:rPr>
      </w:pPr>
      <w:r>
        <w:fldChar w:fldCharType="begin"/>
      </w:r>
      <w:r>
        <w:instrText xml:space="preserve"> HYPERLINK \l "_Toc196728225" </w:instrText>
      </w:r>
      <w:r>
        <w:fldChar w:fldCharType="separate"/>
      </w:r>
      <w:r>
        <w:rPr>
          <w:rStyle w:val="139"/>
          <w:kern w:val="0"/>
          <w14:scene3d w14:prst="orthographicFront">
            <w14:lightRig w14:rig="threePt" w14:dir="t">
              <w14:rot w14:lat="0" w14:lon="0" w14:rev="0"/>
            </w14:lightRig>
          </w14:scene3d>
        </w:rPr>
        <w:t>14.1.4.</w:t>
      </w:r>
      <w:r>
        <w:rPr>
          <w:rStyle w:val="139"/>
        </w:rPr>
        <w:t xml:space="preserve"> 控制策略优先级配置</w:t>
      </w:r>
      <w:r>
        <w:tab/>
      </w:r>
      <w:r>
        <w:fldChar w:fldCharType="begin"/>
      </w:r>
      <w:r>
        <w:instrText xml:space="preserve"> PAGEREF _Toc196728225 \h </w:instrText>
      </w:r>
      <w:r>
        <w:fldChar w:fldCharType="separate"/>
      </w:r>
      <w:r>
        <w:t>416</w:t>
      </w:r>
      <w:r>
        <w:fldChar w:fldCharType="end"/>
      </w:r>
      <w:r>
        <w:fldChar w:fldCharType="end"/>
      </w:r>
    </w:p>
    <w:p w14:paraId="1BEBAD37">
      <w:pPr>
        <w:pStyle w:val="42"/>
        <w:tabs>
          <w:tab w:val="right" w:leader="dot" w:pos="8296"/>
        </w:tabs>
        <w:ind w:left="840"/>
        <w:rPr>
          <w:rFonts w:asciiTheme="minorHAnsi" w:hAnsiTheme="minorHAnsi" w:eastAsiaTheme="minorEastAsia"/>
        </w:rPr>
      </w:pPr>
      <w:r>
        <w:fldChar w:fldCharType="begin"/>
      </w:r>
      <w:r>
        <w:instrText xml:space="preserve"> HYPERLINK \l "_Toc196728226" </w:instrText>
      </w:r>
      <w:r>
        <w:fldChar w:fldCharType="separate"/>
      </w:r>
      <w:r>
        <w:rPr>
          <w:rStyle w:val="139"/>
          <w:kern w:val="0"/>
          <w14:scene3d w14:prst="orthographicFront">
            <w14:lightRig w14:rig="threePt" w14:dir="t">
              <w14:rot w14:lat="0" w14:lon="0" w14:rev="0"/>
            </w14:lightRig>
          </w14:scene3d>
        </w:rPr>
        <w:t>14.1.5.</w:t>
      </w:r>
      <w:r>
        <w:rPr>
          <w:rStyle w:val="139"/>
        </w:rPr>
        <w:t xml:space="preserve"> 启用和禁用控制策略</w:t>
      </w:r>
      <w:r>
        <w:tab/>
      </w:r>
      <w:r>
        <w:fldChar w:fldCharType="begin"/>
      </w:r>
      <w:r>
        <w:instrText xml:space="preserve"> PAGEREF _Toc196728226 \h </w:instrText>
      </w:r>
      <w:r>
        <w:fldChar w:fldCharType="separate"/>
      </w:r>
      <w:r>
        <w:t>417</w:t>
      </w:r>
      <w:r>
        <w:fldChar w:fldCharType="end"/>
      </w:r>
      <w:r>
        <w:fldChar w:fldCharType="end"/>
      </w:r>
    </w:p>
    <w:p w14:paraId="3B60DFF6">
      <w:pPr>
        <w:pStyle w:val="42"/>
        <w:tabs>
          <w:tab w:val="right" w:leader="dot" w:pos="8296"/>
        </w:tabs>
        <w:ind w:left="840"/>
        <w:rPr>
          <w:rFonts w:asciiTheme="minorHAnsi" w:hAnsiTheme="minorHAnsi" w:eastAsiaTheme="minorEastAsia"/>
        </w:rPr>
      </w:pPr>
      <w:r>
        <w:fldChar w:fldCharType="begin"/>
      </w:r>
      <w:r>
        <w:instrText xml:space="preserve"> HYPERLINK \l "_Toc196728227" </w:instrText>
      </w:r>
      <w:r>
        <w:fldChar w:fldCharType="separate"/>
      </w:r>
      <w:r>
        <w:rPr>
          <w:rStyle w:val="139"/>
          <w:kern w:val="0"/>
          <w14:scene3d w14:prst="orthographicFront">
            <w14:lightRig w14:rig="threePt" w14:dir="t">
              <w14:rot w14:lat="0" w14:lon="0" w14:rev="0"/>
            </w14:lightRig>
          </w14:scene3d>
        </w:rPr>
        <w:t>14.1.6.</w:t>
      </w:r>
      <w:r>
        <w:rPr>
          <w:rStyle w:val="139"/>
        </w:rPr>
        <w:t xml:space="preserve"> 复制控制策略</w:t>
      </w:r>
      <w:r>
        <w:tab/>
      </w:r>
      <w:r>
        <w:fldChar w:fldCharType="begin"/>
      </w:r>
      <w:r>
        <w:instrText xml:space="preserve"> PAGEREF _Toc196728227 \h </w:instrText>
      </w:r>
      <w:r>
        <w:fldChar w:fldCharType="separate"/>
      </w:r>
      <w:r>
        <w:t>417</w:t>
      </w:r>
      <w:r>
        <w:fldChar w:fldCharType="end"/>
      </w:r>
      <w:r>
        <w:fldChar w:fldCharType="end"/>
      </w:r>
    </w:p>
    <w:p w14:paraId="0E7CB710">
      <w:pPr>
        <w:pStyle w:val="42"/>
        <w:tabs>
          <w:tab w:val="right" w:leader="dot" w:pos="8296"/>
        </w:tabs>
        <w:ind w:left="840"/>
        <w:rPr>
          <w:rFonts w:asciiTheme="minorHAnsi" w:hAnsiTheme="minorHAnsi" w:eastAsiaTheme="minorEastAsia"/>
        </w:rPr>
      </w:pPr>
      <w:r>
        <w:fldChar w:fldCharType="begin"/>
      </w:r>
      <w:r>
        <w:instrText xml:space="preserve"> HYPERLINK \l "_Toc196728228" </w:instrText>
      </w:r>
      <w:r>
        <w:fldChar w:fldCharType="separate"/>
      </w:r>
      <w:r>
        <w:rPr>
          <w:rStyle w:val="139"/>
          <w:kern w:val="0"/>
          <w14:scene3d w14:prst="orthographicFront">
            <w14:lightRig w14:rig="threePt" w14:dir="t">
              <w14:rot w14:lat="0" w14:lon="0" w14:rev="0"/>
            </w14:lightRig>
          </w14:scene3d>
        </w:rPr>
        <w:t>14.1.7.</w:t>
      </w:r>
      <w:r>
        <w:rPr>
          <w:rStyle w:val="139"/>
        </w:rPr>
        <w:t xml:space="preserve"> 删除控制策略</w:t>
      </w:r>
      <w:r>
        <w:tab/>
      </w:r>
      <w:r>
        <w:fldChar w:fldCharType="begin"/>
      </w:r>
      <w:r>
        <w:instrText xml:space="preserve"> PAGEREF _Toc196728228 \h </w:instrText>
      </w:r>
      <w:r>
        <w:fldChar w:fldCharType="separate"/>
      </w:r>
      <w:r>
        <w:t>418</w:t>
      </w:r>
      <w:r>
        <w:fldChar w:fldCharType="end"/>
      </w:r>
      <w:r>
        <w:fldChar w:fldCharType="end"/>
      </w:r>
    </w:p>
    <w:p w14:paraId="61879A5B">
      <w:pPr>
        <w:pStyle w:val="42"/>
        <w:tabs>
          <w:tab w:val="right" w:leader="dot" w:pos="8296"/>
        </w:tabs>
        <w:ind w:left="840"/>
        <w:rPr>
          <w:rFonts w:asciiTheme="minorHAnsi" w:hAnsiTheme="minorHAnsi" w:eastAsiaTheme="minorEastAsia"/>
        </w:rPr>
      </w:pPr>
      <w:r>
        <w:fldChar w:fldCharType="begin"/>
      </w:r>
      <w:r>
        <w:instrText xml:space="preserve"> HYPERLINK \l "_Toc196728229" </w:instrText>
      </w:r>
      <w:r>
        <w:fldChar w:fldCharType="separate"/>
      </w:r>
      <w:r>
        <w:rPr>
          <w:rStyle w:val="139"/>
          <w:kern w:val="0"/>
          <w14:scene3d w14:prst="orthographicFront">
            <w14:lightRig w14:rig="threePt" w14:dir="t">
              <w14:rot w14:lat="0" w14:lon="0" w14:rev="0"/>
            </w14:lightRig>
          </w14:scene3d>
        </w:rPr>
        <w:t>14.1.8.</w:t>
      </w:r>
      <w:r>
        <w:rPr>
          <w:rStyle w:val="139"/>
        </w:rPr>
        <w:t xml:space="preserve"> 清除控制策略匹配计数</w:t>
      </w:r>
      <w:r>
        <w:tab/>
      </w:r>
      <w:r>
        <w:fldChar w:fldCharType="begin"/>
      </w:r>
      <w:r>
        <w:instrText xml:space="preserve"> PAGEREF _Toc196728229 \h </w:instrText>
      </w:r>
      <w:r>
        <w:fldChar w:fldCharType="separate"/>
      </w:r>
      <w:r>
        <w:t>418</w:t>
      </w:r>
      <w:r>
        <w:fldChar w:fldCharType="end"/>
      </w:r>
      <w:r>
        <w:fldChar w:fldCharType="end"/>
      </w:r>
    </w:p>
    <w:p w14:paraId="2A398215">
      <w:pPr>
        <w:pStyle w:val="42"/>
        <w:tabs>
          <w:tab w:val="right" w:leader="dot" w:pos="8296"/>
        </w:tabs>
        <w:ind w:left="840"/>
        <w:rPr>
          <w:rFonts w:asciiTheme="minorHAnsi" w:hAnsiTheme="minorHAnsi" w:eastAsiaTheme="minorEastAsia"/>
        </w:rPr>
      </w:pPr>
      <w:r>
        <w:fldChar w:fldCharType="begin"/>
      </w:r>
      <w:r>
        <w:instrText xml:space="preserve"> HYPERLINK \l "_Toc196728230" </w:instrText>
      </w:r>
      <w:r>
        <w:fldChar w:fldCharType="separate"/>
      </w:r>
      <w:r>
        <w:rPr>
          <w:rStyle w:val="139"/>
          <w:kern w:val="0"/>
          <w14:scene3d w14:prst="orthographicFront">
            <w14:lightRig w14:rig="threePt" w14:dir="t">
              <w14:rot w14:lat="0" w14:lon="0" w14:rev="0"/>
            </w14:lightRig>
          </w14:scene3d>
        </w:rPr>
        <w:t>14.1.9.</w:t>
      </w:r>
      <w:r>
        <w:rPr>
          <w:rStyle w:val="139"/>
        </w:rPr>
        <w:t xml:space="preserve"> 控制策略默认规则</w:t>
      </w:r>
      <w:r>
        <w:tab/>
      </w:r>
      <w:r>
        <w:fldChar w:fldCharType="begin"/>
      </w:r>
      <w:r>
        <w:instrText xml:space="preserve"> PAGEREF _Toc196728230 \h </w:instrText>
      </w:r>
      <w:r>
        <w:fldChar w:fldCharType="separate"/>
      </w:r>
      <w:r>
        <w:t>418</w:t>
      </w:r>
      <w:r>
        <w:fldChar w:fldCharType="end"/>
      </w:r>
      <w:r>
        <w:fldChar w:fldCharType="end"/>
      </w:r>
    </w:p>
    <w:p w14:paraId="7B401E1E">
      <w:pPr>
        <w:pStyle w:val="42"/>
        <w:tabs>
          <w:tab w:val="right" w:leader="dot" w:pos="8296"/>
        </w:tabs>
        <w:ind w:left="840"/>
        <w:rPr>
          <w:rFonts w:asciiTheme="minorHAnsi" w:hAnsiTheme="minorHAnsi" w:eastAsiaTheme="minorEastAsia"/>
        </w:rPr>
      </w:pPr>
      <w:r>
        <w:fldChar w:fldCharType="begin"/>
      </w:r>
      <w:r>
        <w:instrText xml:space="preserve"> HYPERLINK \l "_Toc196728231" </w:instrText>
      </w:r>
      <w:r>
        <w:fldChar w:fldCharType="separate"/>
      </w:r>
      <w:r>
        <w:rPr>
          <w:rStyle w:val="139"/>
          <w:kern w:val="0"/>
          <w14:scene3d w14:prst="orthographicFront">
            <w14:lightRig w14:rig="threePt" w14:dir="t">
              <w14:rot w14:lat="0" w14:lon="0" w14:rev="0"/>
            </w14:lightRig>
          </w14:scene3d>
        </w:rPr>
        <w:t>14.1.10.</w:t>
      </w:r>
      <w:r>
        <w:rPr>
          <w:rStyle w:val="139"/>
        </w:rPr>
        <w:t xml:space="preserve"> 控制策略查询</w:t>
      </w:r>
      <w:r>
        <w:tab/>
      </w:r>
      <w:r>
        <w:fldChar w:fldCharType="begin"/>
      </w:r>
      <w:r>
        <w:instrText xml:space="preserve"> PAGEREF _Toc196728231 \h </w:instrText>
      </w:r>
      <w:r>
        <w:fldChar w:fldCharType="separate"/>
      </w:r>
      <w:r>
        <w:t>419</w:t>
      </w:r>
      <w:r>
        <w:fldChar w:fldCharType="end"/>
      </w:r>
      <w:r>
        <w:fldChar w:fldCharType="end"/>
      </w:r>
    </w:p>
    <w:p w14:paraId="65D05178">
      <w:pPr>
        <w:pStyle w:val="42"/>
        <w:tabs>
          <w:tab w:val="right" w:leader="dot" w:pos="8296"/>
        </w:tabs>
        <w:ind w:left="840"/>
        <w:rPr>
          <w:rFonts w:asciiTheme="minorHAnsi" w:hAnsiTheme="minorHAnsi" w:eastAsiaTheme="minorEastAsia"/>
        </w:rPr>
      </w:pPr>
      <w:r>
        <w:fldChar w:fldCharType="begin"/>
      </w:r>
      <w:r>
        <w:instrText xml:space="preserve"> HYPERLINK \l "_Toc196728232" </w:instrText>
      </w:r>
      <w:r>
        <w:fldChar w:fldCharType="separate"/>
      </w:r>
      <w:r>
        <w:rPr>
          <w:rStyle w:val="139"/>
          <w:kern w:val="0"/>
          <w14:scene3d w14:prst="orthographicFront">
            <w14:lightRig w14:rig="threePt" w14:dir="t">
              <w14:rot w14:lat="0" w14:lon="0" w14:rev="0"/>
            </w14:lightRig>
          </w14:scene3d>
        </w:rPr>
        <w:t>14.1.11.</w:t>
      </w:r>
      <w:r>
        <w:rPr>
          <w:rStyle w:val="139"/>
        </w:rPr>
        <w:t xml:space="preserve"> 策略分组</w:t>
      </w:r>
      <w:r>
        <w:tab/>
      </w:r>
      <w:r>
        <w:fldChar w:fldCharType="begin"/>
      </w:r>
      <w:r>
        <w:instrText xml:space="preserve"> PAGEREF _Toc196728232 \h </w:instrText>
      </w:r>
      <w:r>
        <w:fldChar w:fldCharType="separate"/>
      </w:r>
      <w:r>
        <w:t>420</w:t>
      </w:r>
      <w:r>
        <w:fldChar w:fldCharType="end"/>
      </w:r>
      <w:r>
        <w:fldChar w:fldCharType="end"/>
      </w:r>
    </w:p>
    <w:p w14:paraId="03D24A14">
      <w:pPr>
        <w:pStyle w:val="70"/>
        <w:tabs>
          <w:tab w:val="right" w:leader="dot" w:pos="8296"/>
        </w:tabs>
        <w:ind w:left="420"/>
        <w:rPr>
          <w:rFonts w:asciiTheme="minorHAnsi" w:hAnsiTheme="minorHAnsi" w:eastAsiaTheme="minorEastAsia"/>
        </w:rPr>
      </w:pPr>
      <w:r>
        <w:fldChar w:fldCharType="begin"/>
      </w:r>
      <w:r>
        <w:instrText xml:space="preserve"> HYPERLINK \l "_Toc196728233" </w:instrText>
      </w:r>
      <w:r>
        <w:fldChar w:fldCharType="separate"/>
      </w:r>
      <w:r>
        <w:rPr>
          <w:rStyle w:val="139"/>
        </w:rPr>
        <w:t>14.2. 控制策略分时访问</w:t>
      </w:r>
      <w:r>
        <w:tab/>
      </w:r>
      <w:r>
        <w:fldChar w:fldCharType="begin"/>
      </w:r>
      <w:r>
        <w:instrText xml:space="preserve"> PAGEREF _Toc196728233 \h </w:instrText>
      </w:r>
      <w:r>
        <w:fldChar w:fldCharType="separate"/>
      </w:r>
      <w:r>
        <w:t>420</w:t>
      </w:r>
      <w:r>
        <w:fldChar w:fldCharType="end"/>
      </w:r>
      <w:r>
        <w:fldChar w:fldCharType="end"/>
      </w:r>
    </w:p>
    <w:p w14:paraId="3570A0CE">
      <w:pPr>
        <w:pStyle w:val="42"/>
        <w:tabs>
          <w:tab w:val="right" w:leader="dot" w:pos="8296"/>
        </w:tabs>
        <w:ind w:left="840"/>
        <w:rPr>
          <w:rFonts w:asciiTheme="minorHAnsi" w:hAnsiTheme="minorHAnsi" w:eastAsiaTheme="minorEastAsia"/>
        </w:rPr>
      </w:pPr>
      <w:r>
        <w:fldChar w:fldCharType="begin"/>
      </w:r>
      <w:r>
        <w:instrText xml:space="preserve"> HYPERLINK \l "_Toc196728234" </w:instrText>
      </w:r>
      <w:r>
        <w:fldChar w:fldCharType="separate"/>
      </w:r>
      <w:r>
        <w:rPr>
          <w:rStyle w:val="139"/>
          <w:kern w:val="0"/>
          <w14:scene3d w14:prst="orthographicFront">
            <w14:lightRig w14:rig="threePt" w14:dir="t">
              <w14:rot w14:lat="0" w14:lon="0" w14:rev="0"/>
            </w14:lightRig>
          </w14:scene3d>
        </w:rPr>
        <w:t>14.2.1.</w:t>
      </w:r>
      <w:r>
        <w:rPr>
          <w:rStyle w:val="139"/>
        </w:rPr>
        <w:t xml:space="preserve"> 简介</w:t>
      </w:r>
      <w:r>
        <w:tab/>
      </w:r>
      <w:r>
        <w:fldChar w:fldCharType="begin"/>
      </w:r>
      <w:r>
        <w:instrText xml:space="preserve"> PAGEREF _Toc196728234 \h </w:instrText>
      </w:r>
      <w:r>
        <w:fldChar w:fldCharType="separate"/>
      </w:r>
      <w:r>
        <w:t>420</w:t>
      </w:r>
      <w:r>
        <w:fldChar w:fldCharType="end"/>
      </w:r>
      <w:r>
        <w:fldChar w:fldCharType="end"/>
      </w:r>
    </w:p>
    <w:p w14:paraId="3CD5D9E0">
      <w:pPr>
        <w:pStyle w:val="42"/>
        <w:tabs>
          <w:tab w:val="right" w:leader="dot" w:pos="8296"/>
        </w:tabs>
        <w:ind w:left="840"/>
        <w:rPr>
          <w:rFonts w:asciiTheme="minorHAnsi" w:hAnsiTheme="minorHAnsi" w:eastAsiaTheme="minorEastAsia"/>
        </w:rPr>
      </w:pPr>
      <w:r>
        <w:fldChar w:fldCharType="begin"/>
      </w:r>
      <w:r>
        <w:instrText xml:space="preserve"> HYPERLINK \l "_Toc196728235" </w:instrText>
      </w:r>
      <w:r>
        <w:fldChar w:fldCharType="separate"/>
      </w:r>
      <w:r>
        <w:rPr>
          <w:rStyle w:val="139"/>
          <w:kern w:val="0"/>
          <w14:scene3d w14:prst="orthographicFront">
            <w14:lightRig w14:rig="threePt" w14:dir="t">
              <w14:rot w14:lat="0" w14:lon="0" w14:rev="0"/>
            </w14:lightRig>
          </w14:scene3d>
        </w:rPr>
        <w:t>14.2.2.</w:t>
      </w:r>
      <w:r>
        <w:rPr>
          <w:rStyle w:val="139"/>
        </w:rPr>
        <w:t xml:space="preserve"> 使用限制和注意事项</w:t>
      </w:r>
      <w:r>
        <w:tab/>
      </w:r>
      <w:r>
        <w:fldChar w:fldCharType="begin"/>
      </w:r>
      <w:r>
        <w:instrText xml:space="preserve"> PAGEREF _Toc196728235 \h </w:instrText>
      </w:r>
      <w:r>
        <w:fldChar w:fldCharType="separate"/>
      </w:r>
      <w:r>
        <w:t>422</w:t>
      </w:r>
      <w:r>
        <w:fldChar w:fldCharType="end"/>
      </w:r>
      <w:r>
        <w:fldChar w:fldCharType="end"/>
      </w:r>
    </w:p>
    <w:p w14:paraId="73143473">
      <w:pPr>
        <w:pStyle w:val="42"/>
        <w:tabs>
          <w:tab w:val="right" w:leader="dot" w:pos="8296"/>
        </w:tabs>
        <w:ind w:left="840"/>
        <w:rPr>
          <w:rFonts w:asciiTheme="minorHAnsi" w:hAnsiTheme="minorHAnsi" w:eastAsiaTheme="minorEastAsia"/>
        </w:rPr>
      </w:pPr>
      <w:r>
        <w:fldChar w:fldCharType="begin"/>
      </w:r>
      <w:r>
        <w:instrText xml:space="preserve"> HYPERLINK \l "_Toc196728236" </w:instrText>
      </w:r>
      <w:r>
        <w:fldChar w:fldCharType="separate"/>
      </w:r>
      <w:r>
        <w:rPr>
          <w:rStyle w:val="139"/>
          <w:kern w:val="0"/>
          <w14:scene3d w14:prst="orthographicFront">
            <w14:lightRig w14:rig="threePt" w14:dir="t">
              <w14:rot w14:lat="0" w14:lon="0" w14:rev="0"/>
            </w14:lightRig>
          </w14:scene3d>
        </w:rPr>
        <w:t>14.2.3.</w:t>
      </w:r>
      <w:r>
        <w:rPr>
          <w:rStyle w:val="139"/>
        </w:rPr>
        <w:t xml:space="preserve"> 配置分时访问控制策略</w:t>
      </w:r>
      <w:r>
        <w:tab/>
      </w:r>
      <w:r>
        <w:fldChar w:fldCharType="begin"/>
      </w:r>
      <w:r>
        <w:instrText xml:space="preserve"> PAGEREF _Toc196728236 \h </w:instrText>
      </w:r>
      <w:r>
        <w:fldChar w:fldCharType="separate"/>
      </w:r>
      <w:r>
        <w:t>422</w:t>
      </w:r>
      <w:r>
        <w:fldChar w:fldCharType="end"/>
      </w:r>
      <w:r>
        <w:fldChar w:fldCharType="end"/>
      </w:r>
    </w:p>
    <w:p w14:paraId="692D03F4">
      <w:pPr>
        <w:pStyle w:val="42"/>
        <w:tabs>
          <w:tab w:val="right" w:leader="dot" w:pos="8296"/>
        </w:tabs>
        <w:ind w:left="840"/>
        <w:rPr>
          <w:rFonts w:asciiTheme="minorHAnsi" w:hAnsiTheme="minorHAnsi" w:eastAsiaTheme="minorEastAsia"/>
        </w:rPr>
      </w:pPr>
      <w:r>
        <w:fldChar w:fldCharType="begin"/>
      </w:r>
      <w:r>
        <w:instrText xml:space="preserve"> HYPERLINK \l "_Toc196728237" </w:instrText>
      </w:r>
      <w:r>
        <w:fldChar w:fldCharType="separate"/>
      </w:r>
      <w:r>
        <w:rPr>
          <w:rStyle w:val="139"/>
          <w:kern w:val="0"/>
          <w14:scene3d w14:prst="orthographicFront">
            <w14:lightRig w14:rig="threePt" w14:dir="t">
              <w14:rot w14:lat="0" w14:lon="0" w14:rev="0"/>
            </w14:lightRig>
          </w14:scene3d>
        </w:rPr>
        <w:t>14.2.4.</w:t>
      </w:r>
      <w:r>
        <w:rPr>
          <w:rStyle w:val="139"/>
        </w:rPr>
        <w:t xml:space="preserve"> 多网络分时访问配置举例</w:t>
      </w:r>
      <w:r>
        <w:tab/>
      </w:r>
      <w:r>
        <w:fldChar w:fldCharType="begin"/>
      </w:r>
      <w:r>
        <w:instrText xml:space="preserve"> PAGEREF _Toc196728237 \h </w:instrText>
      </w:r>
      <w:r>
        <w:fldChar w:fldCharType="separate"/>
      </w:r>
      <w:r>
        <w:t>424</w:t>
      </w:r>
      <w:r>
        <w:fldChar w:fldCharType="end"/>
      </w:r>
      <w:r>
        <w:fldChar w:fldCharType="end"/>
      </w:r>
    </w:p>
    <w:p w14:paraId="7EFDA24B">
      <w:pPr>
        <w:pStyle w:val="70"/>
        <w:tabs>
          <w:tab w:val="right" w:leader="dot" w:pos="8296"/>
        </w:tabs>
        <w:ind w:left="420"/>
        <w:rPr>
          <w:rFonts w:asciiTheme="minorHAnsi" w:hAnsiTheme="minorHAnsi" w:eastAsiaTheme="minorEastAsia"/>
        </w:rPr>
      </w:pPr>
      <w:r>
        <w:fldChar w:fldCharType="begin"/>
      </w:r>
      <w:r>
        <w:instrText xml:space="preserve"> HYPERLINK \l "_Toc196728238" </w:instrText>
      </w:r>
      <w:r>
        <w:fldChar w:fldCharType="separate"/>
      </w:r>
      <w:r>
        <w:rPr>
          <w:rStyle w:val="139"/>
        </w:rPr>
        <w:t>14.3. 应用控制</w:t>
      </w:r>
      <w:r>
        <w:tab/>
      </w:r>
      <w:r>
        <w:fldChar w:fldCharType="begin"/>
      </w:r>
      <w:r>
        <w:instrText xml:space="preserve"> PAGEREF _Toc196728238 \h </w:instrText>
      </w:r>
      <w:r>
        <w:fldChar w:fldCharType="separate"/>
      </w:r>
      <w:r>
        <w:t>431</w:t>
      </w:r>
      <w:r>
        <w:fldChar w:fldCharType="end"/>
      </w:r>
      <w:r>
        <w:fldChar w:fldCharType="end"/>
      </w:r>
    </w:p>
    <w:p w14:paraId="634824B5">
      <w:pPr>
        <w:pStyle w:val="42"/>
        <w:tabs>
          <w:tab w:val="right" w:leader="dot" w:pos="8296"/>
        </w:tabs>
        <w:ind w:left="840"/>
        <w:rPr>
          <w:rFonts w:asciiTheme="minorHAnsi" w:hAnsiTheme="minorHAnsi" w:eastAsiaTheme="minorEastAsia"/>
        </w:rPr>
      </w:pPr>
      <w:r>
        <w:fldChar w:fldCharType="begin"/>
      </w:r>
      <w:r>
        <w:instrText xml:space="preserve"> HYPERLINK \l "_Toc196728239" </w:instrText>
      </w:r>
      <w:r>
        <w:fldChar w:fldCharType="separate"/>
      </w:r>
      <w:r>
        <w:rPr>
          <w:rStyle w:val="139"/>
          <w:kern w:val="0"/>
          <w14:scene3d w14:prst="orthographicFront">
            <w14:lightRig w14:rig="threePt" w14:dir="t">
              <w14:rot w14:lat="0" w14:lon="0" w14:rev="0"/>
            </w14:lightRig>
          </w14:scene3d>
        </w:rPr>
        <w:t>14.3.1.</w:t>
      </w:r>
      <w:r>
        <w:rPr>
          <w:rStyle w:val="139"/>
        </w:rPr>
        <w:t xml:space="preserve"> 应用控制概述</w:t>
      </w:r>
      <w:r>
        <w:tab/>
      </w:r>
      <w:r>
        <w:fldChar w:fldCharType="begin"/>
      </w:r>
      <w:r>
        <w:instrText xml:space="preserve"> PAGEREF _Toc196728239 \h </w:instrText>
      </w:r>
      <w:r>
        <w:fldChar w:fldCharType="separate"/>
      </w:r>
      <w:r>
        <w:t>431</w:t>
      </w:r>
      <w:r>
        <w:fldChar w:fldCharType="end"/>
      </w:r>
      <w:r>
        <w:fldChar w:fldCharType="end"/>
      </w:r>
    </w:p>
    <w:p w14:paraId="61B5318F">
      <w:pPr>
        <w:pStyle w:val="42"/>
        <w:tabs>
          <w:tab w:val="right" w:leader="dot" w:pos="8296"/>
        </w:tabs>
        <w:ind w:left="840"/>
        <w:rPr>
          <w:rFonts w:asciiTheme="minorHAnsi" w:hAnsiTheme="minorHAnsi" w:eastAsiaTheme="minorEastAsia"/>
        </w:rPr>
      </w:pPr>
      <w:r>
        <w:fldChar w:fldCharType="begin"/>
      </w:r>
      <w:r>
        <w:instrText xml:space="preserve"> HYPERLINK \l "_Toc196728240" </w:instrText>
      </w:r>
      <w:r>
        <w:fldChar w:fldCharType="separate"/>
      </w:r>
      <w:r>
        <w:rPr>
          <w:rStyle w:val="139"/>
          <w:kern w:val="0"/>
          <w14:scene3d w14:prst="orthographicFront">
            <w14:lightRig w14:rig="threePt" w14:dir="t">
              <w14:rot w14:lat="0" w14:lon="0" w14:rev="0"/>
            </w14:lightRig>
          </w14:scene3d>
        </w:rPr>
        <w:t>14.3.2.</w:t>
      </w:r>
      <w:r>
        <w:rPr>
          <w:rStyle w:val="139"/>
        </w:rPr>
        <w:t xml:space="preserve"> 应用控制页面</w:t>
      </w:r>
      <w:r>
        <w:tab/>
      </w:r>
      <w:r>
        <w:fldChar w:fldCharType="begin"/>
      </w:r>
      <w:r>
        <w:instrText xml:space="preserve"> PAGEREF _Toc196728240 \h </w:instrText>
      </w:r>
      <w:r>
        <w:fldChar w:fldCharType="separate"/>
      </w:r>
      <w:r>
        <w:t>431</w:t>
      </w:r>
      <w:r>
        <w:fldChar w:fldCharType="end"/>
      </w:r>
      <w:r>
        <w:fldChar w:fldCharType="end"/>
      </w:r>
    </w:p>
    <w:p w14:paraId="7F3B13D0">
      <w:pPr>
        <w:pStyle w:val="70"/>
        <w:tabs>
          <w:tab w:val="right" w:leader="dot" w:pos="8296"/>
        </w:tabs>
        <w:ind w:left="420"/>
        <w:rPr>
          <w:rFonts w:asciiTheme="minorHAnsi" w:hAnsiTheme="minorHAnsi" w:eastAsiaTheme="minorEastAsia"/>
        </w:rPr>
      </w:pPr>
      <w:r>
        <w:fldChar w:fldCharType="begin"/>
      </w:r>
      <w:r>
        <w:instrText xml:space="preserve"> HYPERLINK \l "_Toc196728241" </w:instrText>
      </w:r>
      <w:r>
        <w:fldChar w:fldCharType="separate"/>
      </w:r>
      <w:r>
        <w:rPr>
          <w:rStyle w:val="139"/>
        </w:rPr>
        <w:t>14.4. 邮件控制</w:t>
      </w:r>
      <w:r>
        <w:tab/>
      </w:r>
      <w:r>
        <w:fldChar w:fldCharType="begin"/>
      </w:r>
      <w:r>
        <w:instrText xml:space="preserve"> PAGEREF _Toc196728241 \h </w:instrText>
      </w:r>
      <w:r>
        <w:fldChar w:fldCharType="separate"/>
      </w:r>
      <w:r>
        <w:t>432</w:t>
      </w:r>
      <w:r>
        <w:fldChar w:fldCharType="end"/>
      </w:r>
      <w:r>
        <w:fldChar w:fldCharType="end"/>
      </w:r>
    </w:p>
    <w:p w14:paraId="1873FCBD">
      <w:pPr>
        <w:pStyle w:val="42"/>
        <w:tabs>
          <w:tab w:val="right" w:leader="dot" w:pos="8296"/>
        </w:tabs>
        <w:ind w:left="840"/>
        <w:rPr>
          <w:rFonts w:asciiTheme="minorHAnsi" w:hAnsiTheme="minorHAnsi" w:eastAsiaTheme="minorEastAsia"/>
        </w:rPr>
      </w:pPr>
      <w:r>
        <w:fldChar w:fldCharType="begin"/>
      </w:r>
      <w:r>
        <w:instrText xml:space="preserve"> HYPERLINK \l "_Toc196728242" </w:instrText>
      </w:r>
      <w:r>
        <w:fldChar w:fldCharType="separate"/>
      </w:r>
      <w:r>
        <w:rPr>
          <w:rStyle w:val="139"/>
          <w:kern w:val="0"/>
          <w14:scene3d w14:prst="orthographicFront">
            <w14:lightRig w14:rig="threePt" w14:dir="t">
              <w14:rot w14:lat="0" w14:lon="0" w14:rev="0"/>
            </w14:lightRig>
          </w14:scene3d>
        </w:rPr>
        <w:t>14.4.1.</w:t>
      </w:r>
      <w:r>
        <w:rPr>
          <w:rStyle w:val="139"/>
        </w:rPr>
        <w:t xml:space="preserve"> 概述</w:t>
      </w:r>
      <w:r>
        <w:tab/>
      </w:r>
      <w:r>
        <w:fldChar w:fldCharType="begin"/>
      </w:r>
      <w:r>
        <w:instrText xml:space="preserve"> PAGEREF _Toc196728242 \h </w:instrText>
      </w:r>
      <w:r>
        <w:fldChar w:fldCharType="separate"/>
      </w:r>
      <w:r>
        <w:t>432</w:t>
      </w:r>
      <w:r>
        <w:fldChar w:fldCharType="end"/>
      </w:r>
      <w:r>
        <w:fldChar w:fldCharType="end"/>
      </w:r>
    </w:p>
    <w:p w14:paraId="34B3A0F9">
      <w:pPr>
        <w:pStyle w:val="42"/>
        <w:tabs>
          <w:tab w:val="right" w:leader="dot" w:pos="8296"/>
        </w:tabs>
        <w:ind w:left="840"/>
        <w:rPr>
          <w:rFonts w:asciiTheme="minorHAnsi" w:hAnsiTheme="minorHAnsi" w:eastAsiaTheme="minorEastAsia"/>
        </w:rPr>
      </w:pPr>
      <w:r>
        <w:fldChar w:fldCharType="begin"/>
      </w:r>
      <w:r>
        <w:instrText xml:space="preserve"> HYPERLINK \l "_Toc196728243" </w:instrText>
      </w:r>
      <w:r>
        <w:fldChar w:fldCharType="separate"/>
      </w:r>
      <w:r>
        <w:rPr>
          <w:rStyle w:val="139"/>
          <w:kern w:val="0"/>
          <w14:scene3d w14:prst="orthographicFront">
            <w14:lightRig w14:rig="threePt" w14:dir="t">
              <w14:rot w14:lat="0" w14:lon="0" w14:rev="0"/>
            </w14:lightRig>
          </w14:scene3d>
        </w:rPr>
        <w:t>14.4.2.</w:t>
      </w:r>
      <w:r>
        <w:rPr>
          <w:rStyle w:val="139"/>
        </w:rPr>
        <w:t xml:space="preserve"> 邮件控制</w:t>
      </w:r>
      <w:r>
        <w:tab/>
      </w:r>
      <w:r>
        <w:fldChar w:fldCharType="begin"/>
      </w:r>
      <w:r>
        <w:instrText xml:space="preserve"> PAGEREF _Toc196728243 \h </w:instrText>
      </w:r>
      <w:r>
        <w:fldChar w:fldCharType="separate"/>
      </w:r>
      <w:r>
        <w:t>433</w:t>
      </w:r>
      <w:r>
        <w:fldChar w:fldCharType="end"/>
      </w:r>
      <w:r>
        <w:fldChar w:fldCharType="end"/>
      </w:r>
    </w:p>
    <w:p w14:paraId="6A3340C7">
      <w:pPr>
        <w:pStyle w:val="70"/>
        <w:tabs>
          <w:tab w:val="right" w:leader="dot" w:pos="8296"/>
        </w:tabs>
        <w:ind w:left="420"/>
        <w:rPr>
          <w:rFonts w:asciiTheme="minorHAnsi" w:hAnsiTheme="minorHAnsi" w:eastAsiaTheme="minorEastAsia"/>
        </w:rPr>
      </w:pPr>
      <w:r>
        <w:fldChar w:fldCharType="begin"/>
      </w:r>
      <w:r>
        <w:instrText xml:space="preserve"> HYPERLINK \l "_Toc196728244" </w:instrText>
      </w:r>
      <w:r>
        <w:fldChar w:fldCharType="separate"/>
      </w:r>
      <w:r>
        <w:rPr>
          <w:rStyle w:val="139"/>
        </w:rPr>
        <w:t>14.5. WEB关键字过滤</w:t>
      </w:r>
      <w:r>
        <w:tab/>
      </w:r>
      <w:r>
        <w:fldChar w:fldCharType="begin"/>
      </w:r>
      <w:r>
        <w:instrText xml:space="preserve"> PAGEREF _Toc196728244 \h </w:instrText>
      </w:r>
      <w:r>
        <w:fldChar w:fldCharType="separate"/>
      </w:r>
      <w:r>
        <w:t>434</w:t>
      </w:r>
      <w:r>
        <w:fldChar w:fldCharType="end"/>
      </w:r>
      <w:r>
        <w:fldChar w:fldCharType="end"/>
      </w:r>
    </w:p>
    <w:p w14:paraId="4B4907B5">
      <w:pPr>
        <w:pStyle w:val="42"/>
        <w:tabs>
          <w:tab w:val="right" w:leader="dot" w:pos="8296"/>
        </w:tabs>
        <w:ind w:left="840"/>
        <w:rPr>
          <w:rFonts w:asciiTheme="minorHAnsi" w:hAnsiTheme="minorHAnsi" w:eastAsiaTheme="minorEastAsia"/>
        </w:rPr>
      </w:pPr>
      <w:r>
        <w:fldChar w:fldCharType="begin"/>
      </w:r>
      <w:r>
        <w:instrText xml:space="preserve"> HYPERLINK \l "_Toc196728245" </w:instrText>
      </w:r>
      <w:r>
        <w:fldChar w:fldCharType="separate"/>
      </w:r>
      <w:r>
        <w:rPr>
          <w:rStyle w:val="139"/>
          <w:kern w:val="0"/>
          <w14:scene3d w14:prst="orthographicFront">
            <w14:lightRig w14:rig="threePt" w14:dir="t">
              <w14:rot w14:lat="0" w14:lon="0" w14:rev="0"/>
            </w14:lightRig>
          </w14:scene3d>
        </w:rPr>
        <w:t>14.5.1.</w:t>
      </w:r>
      <w:r>
        <w:rPr>
          <w:rStyle w:val="139"/>
        </w:rPr>
        <w:t xml:space="preserve"> WEB关键字过滤概述</w:t>
      </w:r>
      <w:r>
        <w:tab/>
      </w:r>
      <w:r>
        <w:fldChar w:fldCharType="begin"/>
      </w:r>
      <w:r>
        <w:instrText xml:space="preserve"> PAGEREF _Toc196728245 \h </w:instrText>
      </w:r>
      <w:r>
        <w:fldChar w:fldCharType="separate"/>
      </w:r>
      <w:r>
        <w:t>434</w:t>
      </w:r>
      <w:r>
        <w:fldChar w:fldCharType="end"/>
      </w:r>
      <w:r>
        <w:fldChar w:fldCharType="end"/>
      </w:r>
    </w:p>
    <w:p w14:paraId="4BB9766E">
      <w:pPr>
        <w:pStyle w:val="42"/>
        <w:tabs>
          <w:tab w:val="right" w:leader="dot" w:pos="8296"/>
        </w:tabs>
        <w:ind w:left="840"/>
        <w:rPr>
          <w:rFonts w:asciiTheme="minorHAnsi" w:hAnsiTheme="minorHAnsi" w:eastAsiaTheme="minorEastAsia"/>
        </w:rPr>
      </w:pPr>
      <w:r>
        <w:fldChar w:fldCharType="begin"/>
      </w:r>
      <w:r>
        <w:instrText xml:space="preserve"> HYPERLINK \l "_Toc196728246" </w:instrText>
      </w:r>
      <w:r>
        <w:fldChar w:fldCharType="separate"/>
      </w:r>
      <w:r>
        <w:rPr>
          <w:rStyle w:val="139"/>
          <w:kern w:val="0"/>
          <w14:scene3d w14:prst="orthographicFront">
            <w14:lightRig w14:rig="threePt" w14:dir="t">
              <w14:rot w14:lat="0" w14:lon="0" w14:rev="0"/>
            </w14:lightRig>
          </w14:scene3d>
        </w:rPr>
        <w:t>14.5.2.</w:t>
      </w:r>
      <w:r>
        <w:rPr>
          <w:rStyle w:val="139"/>
        </w:rPr>
        <w:t xml:space="preserve"> WEB关键字页面</w:t>
      </w:r>
      <w:r>
        <w:tab/>
      </w:r>
      <w:r>
        <w:fldChar w:fldCharType="begin"/>
      </w:r>
      <w:r>
        <w:instrText xml:space="preserve"> PAGEREF _Toc196728246 \h </w:instrText>
      </w:r>
      <w:r>
        <w:fldChar w:fldCharType="separate"/>
      </w:r>
      <w:r>
        <w:t>435</w:t>
      </w:r>
      <w:r>
        <w:fldChar w:fldCharType="end"/>
      </w:r>
      <w:r>
        <w:fldChar w:fldCharType="end"/>
      </w:r>
    </w:p>
    <w:p w14:paraId="25014556">
      <w:pPr>
        <w:pStyle w:val="42"/>
        <w:tabs>
          <w:tab w:val="right" w:leader="dot" w:pos="8296"/>
        </w:tabs>
        <w:ind w:left="840"/>
        <w:rPr>
          <w:rFonts w:asciiTheme="minorHAnsi" w:hAnsiTheme="minorHAnsi" w:eastAsiaTheme="minorEastAsia"/>
        </w:rPr>
      </w:pPr>
      <w:r>
        <w:fldChar w:fldCharType="begin"/>
      </w:r>
      <w:r>
        <w:instrText xml:space="preserve"> HYPERLINK \l "_Toc196728247" </w:instrText>
      </w:r>
      <w:r>
        <w:fldChar w:fldCharType="separate"/>
      </w:r>
      <w:r>
        <w:rPr>
          <w:rStyle w:val="139"/>
          <w:kern w:val="0"/>
          <w14:scene3d w14:prst="orthographicFront">
            <w14:lightRig w14:rig="threePt" w14:dir="t">
              <w14:rot w14:lat="0" w14:lon="0" w14:rev="0"/>
            </w14:lightRig>
          </w14:scene3d>
        </w:rPr>
        <w:t>14.5.3.</w:t>
      </w:r>
      <w:r>
        <w:rPr>
          <w:rStyle w:val="139"/>
        </w:rPr>
        <w:t xml:space="preserve"> 搜索引擎规则</w:t>
      </w:r>
      <w:r>
        <w:tab/>
      </w:r>
      <w:r>
        <w:fldChar w:fldCharType="begin"/>
      </w:r>
      <w:r>
        <w:instrText xml:space="preserve"> PAGEREF _Toc196728247 \h </w:instrText>
      </w:r>
      <w:r>
        <w:fldChar w:fldCharType="separate"/>
      </w:r>
      <w:r>
        <w:t>437</w:t>
      </w:r>
      <w:r>
        <w:fldChar w:fldCharType="end"/>
      </w:r>
      <w:r>
        <w:fldChar w:fldCharType="end"/>
      </w:r>
    </w:p>
    <w:p w14:paraId="3CCDB2E2">
      <w:pPr>
        <w:pStyle w:val="42"/>
        <w:tabs>
          <w:tab w:val="right" w:leader="dot" w:pos="8296"/>
        </w:tabs>
        <w:ind w:left="840"/>
        <w:rPr>
          <w:rFonts w:asciiTheme="minorHAnsi" w:hAnsiTheme="minorHAnsi" w:eastAsiaTheme="minorEastAsia"/>
        </w:rPr>
      </w:pPr>
      <w:r>
        <w:fldChar w:fldCharType="begin"/>
      </w:r>
      <w:r>
        <w:instrText xml:space="preserve"> HYPERLINK \l "_Toc196728248" </w:instrText>
      </w:r>
      <w:r>
        <w:fldChar w:fldCharType="separate"/>
      </w:r>
      <w:r>
        <w:rPr>
          <w:rStyle w:val="139"/>
          <w:kern w:val="0"/>
          <w14:scene3d w14:prst="orthographicFront">
            <w14:lightRig w14:rig="threePt" w14:dir="t">
              <w14:rot w14:lat="0" w14:lon="0" w14:rev="0"/>
            </w14:lightRig>
          </w14:scene3d>
        </w:rPr>
        <w:t>14.5.4.</w:t>
      </w:r>
      <w:r>
        <w:rPr>
          <w:rStyle w:val="139"/>
        </w:rPr>
        <w:t xml:space="preserve"> HTTP上传规则</w:t>
      </w:r>
      <w:r>
        <w:tab/>
      </w:r>
      <w:r>
        <w:fldChar w:fldCharType="begin"/>
      </w:r>
      <w:r>
        <w:instrText xml:space="preserve"> PAGEREF _Toc196728248 \h </w:instrText>
      </w:r>
      <w:r>
        <w:fldChar w:fldCharType="separate"/>
      </w:r>
      <w:r>
        <w:t>438</w:t>
      </w:r>
      <w:r>
        <w:fldChar w:fldCharType="end"/>
      </w:r>
      <w:r>
        <w:fldChar w:fldCharType="end"/>
      </w:r>
    </w:p>
    <w:p w14:paraId="3A545C3F">
      <w:pPr>
        <w:pStyle w:val="42"/>
        <w:tabs>
          <w:tab w:val="right" w:leader="dot" w:pos="8296"/>
        </w:tabs>
        <w:ind w:left="840"/>
        <w:rPr>
          <w:rFonts w:asciiTheme="minorHAnsi" w:hAnsiTheme="minorHAnsi" w:eastAsiaTheme="minorEastAsia"/>
        </w:rPr>
      </w:pPr>
      <w:r>
        <w:fldChar w:fldCharType="begin"/>
      </w:r>
      <w:r>
        <w:instrText xml:space="preserve"> HYPERLINK \l "_Toc196728249" </w:instrText>
      </w:r>
      <w:r>
        <w:fldChar w:fldCharType="separate"/>
      </w:r>
      <w:r>
        <w:rPr>
          <w:rStyle w:val="139"/>
          <w:kern w:val="0"/>
          <w14:scene3d w14:prst="orthographicFront">
            <w14:lightRig w14:rig="threePt" w14:dir="t">
              <w14:rot w14:lat="0" w14:lon="0" w14:rev="0"/>
            </w14:lightRig>
          </w14:scene3d>
        </w:rPr>
        <w:t>14.5.5.</w:t>
      </w:r>
      <w:r>
        <w:rPr>
          <w:rStyle w:val="139"/>
        </w:rPr>
        <w:t xml:space="preserve"> 网页内容规则</w:t>
      </w:r>
      <w:r>
        <w:tab/>
      </w:r>
      <w:r>
        <w:fldChar w:fldCharType="begin"/>
      </w:r>
      <w:r>
        <w:instrText xml:space="preserve"> PAGEREF _Toc196728249 \h </w:instrText>
      </w:r>
      <w:r>
        <w:fldChar w:fldCharType="separate"/>
      </w:r>
      <w:r>
        <w:t>439</w:t>
      </w:r>
      <w:r>
        <w:fldChar w:fldCharType="end"/>
      </w:r>
      <w:r>
        <w:fldChar w:fldCharType="end"/>
      </w:r>
    </w:p>
    <w:p w14:paraId="5163B60D">
      <w:pPr>
        <w:pStyle w:val="70"/>
        <w:tabs>
          <w:tab w:val="right" w:leader="dot" w:pos="8296"/>
        </w:tabs>
        <w:ind w:left="420"/>
        <w:rPr>
          <w:rFonts w:asciiTheme="minorHAnsi" w:hAnsiTheme="minorHAnsi" w:eastAsiaTheme="minorEastAsia"/>
        </w:rPr>
      </w:pPr>
      <w:r>
        <w:fldChar w:fldCharType="begin"/>
      </w:r>
      <w:r>
        <w:instrText xml:space="preserve"> HYPERLINK \l "_Toc196728250" </w:instrText>
      </w:r>
      <w:r>
        <w:fldChar w:fldCharType="separate"/>
      </w:r>
      <w:r>
        <w:rPr>
          <w:rStyle w:val="139"/>
        </w:rPr>
        <w:t>14.6. 虚拟账号</w:t>
      </w:r>
      <w:r>
        <w:tab/>
      </w:r>
      <w:r>
        <w:fldChar w:fldCharType="begin"/>
      </w:r>
      <w:r>
        <w:instrText xml:space="preserve"> PAGEREF _Toc196728250 \h </w:instrText>
      </w:r>
      <w:r>
        <w:fldChar w:fldCharType="separate"/>
      </w:r>
      <w:r>
        <w:t>441</w:t>
      </w:r>
      <w:r>
        <w:fldChar w:fldCharType="end"/>
      </w:r>
      <w:r>
        <w:fldChar w:fldCharType="end"/>
      </w:r>
    </w:p>
    <w:p w14:paraId="794BF067">
      <w:pPr>
        <w:pStyle w:val="42"/>
        <w:tabs>
          <w:tab w:val="right" w:leader="dot" w:pos="8296"/>
        </w:tabs>
        <w:ind w:left="840"/>
        <w:rPr>
          <w:rFonts w:asciiTheme="minorHAnsi" w:hAnsiTheme="minorHAnsi" w:eastAsiaTheme="minorEastAsia"/>
        </w:rPr>
      </w:pPr>
      <w:r>
        <w:fldChar w:fldCharType="begin"/>
      </w:r>
      <w:r>
        <w:instrText xml:space="preserve"> HYPERLINK \l "_Toc196728251" </w:instrText>
      </w:r>
      <w:r>
        <w:fldChar w:fldCharType="separate"/>
      </w:r>
      <w:r>
        <w:rPr>
          <w:rStyle w:val="139"/>
          <w:kern w:val="0"/>
          <w14:scene3d w14:prst="orthographicFront">
            <w14:lightRig w14:rig="threePt" w14:dir="t">
              <w14:rot w14:lat="0" w14:lon="0" w14:rev="0"/>
            </w14:lightRig>
          </w14:scene3d>
        </w:rPr>
        <w:t>14.6.1.</w:t>
      </w:r>
      <w:r>
        <w:rPr>
          <w:rStyle w:val="139"/>
        </w:rPr>
        <w:t xml:space="preserve"> 概述</w:t>
      </w:r>
      <w:r>
        <w:tab/>
      </w:r>
      <w:r>
        <w:fldChar w:fldCharType="begin"/>
      </w:r>
      <w:r>
        <w:instrText xml:space="preserve"> PAGEREF _Toc196728251 \h </w:instrText>
      </w:r>
      <w:r>
        <w:fldChar w:fldCharType="separate"/>
      </w:r>
      <w:r>
        <w:t>441</w:t>
      </w:r>
      <w:r>
        <w:fldChar w:fldCharType="end"/>
      </w:r>
      <w:r>
        <w:fldChar w:fldCharType="end"/>
      </w:r>
    </w:p>
    <w:p w14:paraId="71529DE5">
      <w:pPr>
        <w:pStyle w:val="42"/>
        <w:tabs>
          <w:tab w:val="right" w:leader="dot" w:pos="8296"/>
        </w:tabs>
        <w:ind w:left="840"/>
        <w:rPr>
          <w:rFonts w:asciiTheme="minorHAnsi" w:hAnsiTheme="minorHAnsi" w:eastAsiaTheme="minorEastAsia"/>
        </w:rPr>
      </w:pPr>
      <w:r>
        <w:fldChar w:fldCharType="begin"/>
      </w:r>
      <w:r>
        <w:instrText xml:space="preserve"> HYPERLINK \l "_Toc196728252" </w:instrText>
      </w:r>
      <w:r>
        <w:fldChar w:fldCharType="separate"/>
      </w:r>
      <w:r>
        <w:rPr>
          <w:rStyle w:val="139"/>
          <w:kern w:val="0"/>
          <w14:scene3d w14:prst="orthographicFront">
            <w14:lightRig w14:rig="threePt" w14:dir="t">
              <w14:rot w14:lat="0" w14:lon="0" w14:rev="0"/>
            </w14:lightRig>
          </w14:scene3d>
        </w:rPr>
        <w:t>14.6.2.</w:t>
      </w:r>
      <w:r>
        <w:rPr>
          <w:rStyle w:val="139"/>
        </w:rPr>
        <w:t xml:space="preserve"> 配置虚拟账号</w:t>
      </w:r>
      <w:r>
        <w:tab/>
      </w:r>
      <w:r>
        <w:fldChar w:fldCharType="begin"/>
      </w:r>
      <w:r>
        <w:instrText xml:space="preserve"> PAGEREF _Toc196728252 \h </w:instrText>
      </w:r>
      <w:r>
        <w:fldChar w:fldCharType="separate"/>
      </w:r>
      <w:r>
        <w:t>441</w:t>
      </w:r>
      <w:r>
        <w:fldChar w:fldCharType="end"/>
      </w:r>
      <w:r>
        <w:fldChar w:fldCharType="end"/>
      </w:r>
    </w:p>
    <w:p w14:paraId="09804B69">
      <w:pPr>
        <w:pStyle w:val="42"/>
        <w:tabs>
          <w:tab w:val="right" w:leader="dot" w:pos="8296"/>
        </w:tabs>
        <w:ind w:left="840"/>
        <w:rPr>
          <w:rFonts w:asciiTheme="minorHAnsi" w:hAnsiTheme="minorHAnsi" w:eastAsiaTheme="minorEastAsia"/>
        </w:rPr>
      </w:pPr>
      <w:r>
        <w:fldChar w:fldCharType="begin"/>
      </w:r>
      <w:r>
        <w:instrText xml:space="preserve"> HYPERLINK \l "_Toc196728253" </w:instrText>
      </w:r>
      <w:r>
        <w:fldChar w:fldCharType="separate"/>
      </w:r>
      <w:r>
        <w:rPr>
          <w:rStyle w:val="139"/>
          <w:kern w:val="0"/>
          <w14:scene3d w14:prst="orthographicFront">
            <w14:lightRig w14:rig="threePt" w14:dir="t">
              <w14:rot w14:lat="0" w14:lon="0" w14:rev="0"/>
            </w14:lightRig>
          </w14:scene3d>
        </w:rPr>
        <w:t>14.6.3.</w:t>
      </w:r>
      <w:r>
        <w:rPr>
          <w:rStyle w:val="139"/>
        </w:rPr>
        <w:t xml:space="preserve"> 虚拟账号配置举例</w:t>
      </w:r>
      <w:r>
        <w:tab/>
      </w:r>
      <w:r>
        <w:fldChar w:fldCharType="begin"/>
      </w:r>
      <w:r>
        <w:instrText xml:space="preserve"> PAGEREF _Toc196728253 \h </w:instrText>
      </w:r>
      <w:r>
        <w:fldChar w:fldCharType="separate"/>
      </w:r>
      <w:r>
        <w:t>442</w:t>
      </w:r>
      <w:r>
        <w:fldChar w:fldCharType="end"/>
      </w:r>
      <w:r>
        <w:fldChar w:fldCharType="end"/>
      </w:r>
    </w:p>
    <w:p w14:paraId="19D9C04E">
      <w:pPr>
        <w:pStyle w:val="70"/>
        <w:tabs>
          <w:tab w:val="right" w:leader="dot" w:pos="8296"/>
        </w:tabs>
        <w:ind w:left="420"/>
        <w:rPr>
          <w:rFonts w:asciiTheme="minorHAnsi" w:hAnsiTheme="minorHAnsi" w:eastAsiaTheme="minorEastAsia"/>
        </w:rPr>
      </w:pPr>
      <w:r>
        <w:fldChar w:fldCharType="begin"/>
      </w:r>
      <w:r>
        <w:instrText xml:space="preserve"> HYPERLINK \l "_Toc196728254" </w:instrText>
      </w:r>
      <w:r>
        <w:fldChar w:fldCharType="separate"/>
      </w:r>
      <w:r>
        <w:rPr>
          <w:rStyle w:val="139"/>
        </w:rPr>
        <w:t>14.7. 文件类型过滤</w:t>
      </w:r>
      <w:r>
        <w:tab/>
      </w:r>
      <w:r>
        <w:fldChar w:fldCharType="begin"/>
      </w:r>
      <w:r>
        <w:instrText xml:space="preserve"> PAGEREF _Toc196728254 \h </w:instrText>
      </w:r>
      <w:r>
        <w:fldChar w:fldCharType="separate"/>
      </w:r>
      <w:r>
        <w:t>447</w:t>
      </w:r>
      <w:r>
        <w:fldChar w:fldCharType="end"/>
      </w:r>
      <w:r>
        <w:fldChar w:fldCharType="end"/>
      </w:r>
    </w:p>
    <w:p w14:paraId="51B33CE9">
      <w:pPr>
        <w:pStyle w:val="42"/>
        <w:tabs>
          <w:tab w:val="right" w:leader="dot" w:pos="8296"/>
        </w:tabs>
        <w:ind w:left="840"/>
        <w:rPr>
          <w:rFonts w:asciiTheme="minorHAnsi" w:hAnsiTheme="minorHAnsi" w:eastAsiaTheme="minorEastAsia"/>
        </w:rPr>
      </w:pPr>
      <w:r>
        <w:fldChar w:fldCharType="begin"/>
      </w:r>
      <w:r>
        <w:instrText xml:space="preserve"> HYPERLINK \l "_Toc196728255" </w:instrText>
      </w:r>
      <w:r>
        <w:fldChar w:fldCharType="separate"/>
      </w:r>
      <w:r>
        <w:rPr>
          <w:rStyle w:val="139"/>
          <w:kern w:val="0"/>
          <w14:scene3d w14:prst="orthographicFront">
            <w14:lightRig w14:rig="threePt" w14:dir="t">
              <w14:rot w14:lat="0" w14:lon="0" w14:rev="0"/>
            </w14:lightRig>
          </w14:scene3d>
        </w:rPr>
        <w:t>14.7.1.</w:t>
      </w:r>
      <w:r>
        <w:rPr>
          <w:rStyle w:val="139"/>
        </w:rPr>
        <w:t xml:space="preserve"> 文件类型过滤简介</w:t>
      </w:r>
      <w:r>
        <w:tab/>
      </w:r>
      <w:r>
        <w:fldChar w:fldCharType="begin"/>
      </w:r>
      <w:r>
        <w:instrText xml:space="preserve"> PAGEREF _Toc196728255 \h </w:instrText>
      </w:r>
      <w:r>
        <w:fldChar w:fldCharType="separate"/>
      </w:r>
      <w:r>
        <w:t>447</w:t>
      </w:r>
      <w:r>
        <w:fldChar w:fldCharType="end"/>
      </w:r>
      <w:r>
        <w:fldChar w:fldCharType="end"/>
      </w:r>
    </w:p>
    <w:p w14:paraId="6434A8E9">
      <w:pPr>
        <w:pStyle w:val="42"/>
        <w:tabs>
          <w:tab w:val="right" w:leader="dot" w:pos="8296"/>
        </w:tabs>
        <w:ind w:left="840"/>
        <w:rPr>
          <w:rFonts w:asciiTheme="minorHAnsi" w:hAnsiTheme="minorHAnsi" w:eastAsiaTheme="minorEastAsia"/>
        </w:rPr>
      </w:pPr>
      <w:r>
        <w:fldChar w:fldCharType="begin"/>
      </w:r>
      <w:r>
        <w:instrText xml:space="preserve"> HYPERLINK \l "_Toc196728256" </w:instrText>
      </w:r>
      <w:r>
        <w:fldChar w:fldCharType="separate"/>
      </w:r>
      <w:r>
        <w:rPr>
          <w:rStyle w:val="139"/>
          <w:kern w:val="0"/>
          <w14:scene3d w14:prst="orthographicFront">
            <w14:lightRig w14:rig="threePt" w14:dir="t">
              <w14:rot w14:lat="0" w14:lon="0" w14:rev="0"/>
            </w14:lightRig>
          </w14:scene3d>
        </w:rPr>
        <w:t>14.7.2.</w:t>
      </w:r>
      <w:r>
        <w:rPr>
          <w:rStyle w:val="139"/>
        </w:rPr>
        <w:t xml:space="preserve"> 文件类型过滤使用限制</w:t>
      </w:r>
      <w:r>
        <w:tab/>
      </w:r>
      <w:r>
        <w:fldChar w:fldCharType="begin"/>
      </w:r>
      <w:r>
        <w:instrText xml:space="preserve"> PAGEREF _Toc196728256 \h </w:instrText>
      </w:r>
      <w:r>
        <w:fldChar w:fldCharType="separate"/>
      </w:r>
      <w:r>
        <w:t>447</w:t>
      </w:r>
      <w:r>
        <w:fldChar w:fldCharType="end"/>
      </w:r>
      <w:r>
        <w:fldChar w:fldCharType="end"/>
      </w:r>
    </w:p>
    <w:p w14:paraId="5340CC8F">
      <w:pPr>
        <w:pStyle w:val="42"/>
        <w:tabs>
          <w:tab w:val="right" w:leader="dot" w:pos="8296"/>
        </w:tabs>
        <w:ind w:left="840"/>
        <w:rPr>
          <w:rFonts w:asciiTheme="minorHAnsi" w:hAnsiTheme="minorHAnsi" w:eastAsiaTheme="minorEastAsia"/>
        </w:rPr>
      </w:pPr>
      <w:r>
        <w:fldChar w:fldCharType="begin"/>
      </w:r>
      <w:r>
        <w:instrText xml:space="preserve"> HYPERLINK \l "_Toc196728257" </w:instrText>
      </w:r>
      <w:r>
        <w:fldChar w:fldCharType="separate"/>
      </w:r>
      <w:r>
        <w:rPr>
          <w:rStyle w:val="139"/>
          <w:kern w:val="0"/>
          <w14:scene3d w14:prst="orthographicFront">
            <w14:lightRig w14:rig="threePt" w14:dir="t">
              <w14:rot w14:lat="0" w14:lon="0" w14:rev="0"/>
            </w14:lightRig>
          </w14:scene3d>
        </w:rPr>
        <w:t>14.7.3.</w:t>
      </w:r>
      <w:r>
        <w:rPr>
          <w:rStyle w:val="139"/>
        </w:rPr>
        <w:t xml:space="preserve"> 文件类型过滤页面</w:t>
      </w:r>
      <w:r>
        <w:tab/>
      </w:r>
      <w:r>
        <w:fldChar w:fldCharType="begin"/>
      </w:r>
      <w:r>
        <w:instrText xml:space="preserve"> PAGEREF _Toc196728257 \h </w:instrText>
      </w:r>
      <w:r>
        <w:fldChar w:fldCharType="separate"/>
      </w:r>
      <w:r>
        <w:t>448</w:t>
      </w:r>
      <w:r>
        <w:fldChar w:fldCharType="end"/>
      </w:r>
      <w:r>
        <w:fldChar w:fldCharType="end"/>
      </w:r>
    </w:p>
    <w:p w14:paraId="77F46296">
      <w:pPr>
        <w:pStyle w:val="70"/>
        <w:tabs>
          <w:tab w:val="right" w:leader="dot" w:pos="8296"/>
        </w:tabs>
        <w:ind w:left="420"/>
        <w:rPr>
          <w:rFonts w:asciiTheme="minorHAnsi" w:hAnsiTheme="minorHAnsi" w:eastAsiaTheme="minorEastAsia"/>
        </w:rPr>
      </w:pPr>
      <w:r>
        <w:fldChar w:fldCharType="begin"/>
      </w:r>
      <w:r>
        <w:instrText xml:space="preserve"> HYPERLINK \l "_Toc196728258" </w:instrText>
      </w:r>
      <w:r>
        <w:fldChar w:fldCharType="separate"/>
      </w:r>
      <w:r>
        <w:rPr>
          <w:rStyle w:val="139"/>
        </w:rPr>
        <w:t>14.8. 协议过滤</w:t>
      </w:r>
      <w:r>
        <w:tab/>
      </w:r>
      <w:r>
        <w:fldChar w:fldCharType="begin"/>
      </w:r>
      <w:r>
        <w:instrText xml:space="preserve"> PAGEREF _Toc196728258 \h </w:instrText>
      </w:r>
      <w:r>
        <w:fldChar w:fldCharType="separate"/>
      </w:r>
      <w:r>
        <w:t>450</w:t>
      </w:r>
      <w:r>
        <w:fldChar w:fldCharType="end"/>
      </w:r>
      <w:r>
        <w:fldChar w:fldCharType="end"/>
      </w:r>
    </w:p>
    <w:p w14:paraId="7577101F">
      <w:pPr>
        <w:pStyle w:val="42"/>
        <w:tabs>
          <w:tab w:val="right" w:leader="dot" w:pos="8296"/>
        </w:tabs>
        <w:ind w:left="840"/>
        <w:rPr>
          <w:rFonts w:asciiTheme="minorHAnsi" w:hAnsiTheme="minorHAnsi" w:eastAsiaTheme="minorEastAsia"/>
        </w:rPr>
      </w:pPr>
      <w:r>
        <w:fldChar w:fldCharType="begin"/>
      </w:r>
      <w:r>
        <w:instrText xml:space="preserve"> HYPERLINK \l "_Toc196728259" </w:instrText>
      </w:r>
      <w:r>
        <w:fldChar w:fldCharType="separate"/>
      </w:r>
      <w:r>
        <w:rPr>
          <w:rStyle w:val="139"/>
          <w:kern w:val="0"/>
          <w14:scene3d w14:prst="orthographicFront">
            <w14:lightRig w14:rig="threePt" w14:dir="t">
              <w14:rot w14:lat="0" w14:lon="0" w14:rev="0"/>
            </w14:lightRig>
          </w14:scene3d>
        </w:rPr>
        <w:t>14.8.1.</w:t>
      </w:r>
      <w:r>
        <w:rPr>
          <w:rStyle w:val="139"/>
        </w:rPr>
        <w:t xml:space="preserve"> 概述</w:t>
      </w:r>
      <w:r>
        <w:tab/>
      </w:r>
      <w:r>
        <w:fldChar w:fldCharType="begin"/>
      </w:r>
      <w:r>
        <w:instrText xml:space="preserve"> PAGEREF _Toc196728259 \h </w:instrText>
      </w:r>
      <w:r>
        <w:fldChar w:fldCharType="separate"/>
      </w:r>
      <w:r>
        <w:t>450</w:t>
      </w:r>
      <w:r>
        <w:fldChar w:fldCharType="end"/>
      </w:r>
      <w:r>
        <w:fldChar w:fldCharType="end"/>
      </w:r>
    </w:p>
    <w:p w14:paraId="73B26A5F">
      <w:pPr>
        <w:pStyle w:val="42"/>
        <w:tabs>
          <w:tab w:val="right" w:leader="dot" w:pos="8296"/>
        </w:tabs>
        <w:ind w:left="840"/>
        <w:rPr>
          <w:rFonts w:asciiTheme="minorHAnsi" w:hAnsiTheme="minorHAnsi" w:eastAsiaTheme="minorEastAsia"/>
        </w:rPr>
      </w:pPr>
      <w:r>
        <w:fldChar w:fldCharType="begin"/>
      </w:r>
      <w:r>
        <w:instrText xml:space="preserve"> HYPERLINK \l "_Toc196728260" </w:instrText>
      </w:r>
      <w:r>
        <w:fldChar w:fldCharType="separate"/>
      </w:r>
      <w:r>
        <w:rPr>
          <w:rStyle w:val="139"/>
          <w:kern w:val="0"/>
          <w14:scene3d w14:prst="orthographicFront">
            <w14:lightRig w14:rig="threePt" w14:dir="t">
              <w14:rot w14:lat="0" w14:lon="0" w14:rev="0"/>
            </w14:lightRig>
          </w14:scene3d>
        </w:rPr>
        <w:t>14.8.2.</w:t>
      </w:r>
      <w:r>
        <w:rPr>
          <w:rStyle w:val="139"/>
        </w:rPr>
        <w:t xml:space="preserve"> 协议过滤配置</w:t>
      </w:r>
      <w:r>
        <w:tab/>
      </w:r>
      <w:r>
        <w:fldChar w:fldCharType="begin"/>
      </w:r>
      <w:r>
        <w:instrText xml:space="preserve"> PAGEREF _Toc196728260 \h </w:instrText>
      </w:r>
      <w:r>
        <w:fldChar w:fldCharType="separate"/>
      </w:r>
      <w:r>
        <w:t>450</w:t>
      </w:r>
      <w:r>
        <w:fldChar w:fldCharType="end"/>
      </w:r>
      <w:r>
        <w:fldChar w:fldCharType="end"/>
      </w:r>
    </w:p>
    <w:p w14:paraId="1EA7BB1F">
      <w:pPr>
        <w:pStyle w:val="70"/>
        <w:tabs>
          <w:tab w:val="right" w:leader="dot" w:pos="8296"/>
        </w:tabs>
        <w:ind w:left="420"/>
        <w:rPr>
          <w:rFonts w:asciiTheme="minorHAnsi" w:hAnsiTheme="minorHAnsi" w:eastAsiaTheme="minorEastAsia"/>
        </w:rPr>
      </w:pPr>
      <w:r>
        <w:fldChar w:fldCharType="begin"/>
      </w:r>
      <w:r>
        <w:instrText xml:space="preserve"> HYPERLINK \l "_Toc196728261" </w:instrText>
      </w:r>
      <w:r>
        <w:fldChar w:fldCharType="separate"/>
      </w:r>
      <w:r>
        <w:rPr>
          <w:rStyle w:val="139"/>
        </w:rPr>
        <w:t>14.9. URL过滤</w:t>
      </w:r>
      <w:r>
        <w:tab/>
      </w:r>
      <w:r>
        <w:fldChar w:fldCharType="begin"/>
      </w:r>
      <w:r>
        <w:instrText xml:space="preserve"> PAGEREF _Toc196728261 \h </w:instrText>
      </w:r>
      <w:r>
        <w:fldChar w:fldCharType="separate"/>
      </w:r>
      <w:r>
        <w:t>453</w:t>
      </w:r>
      <w:r>
        <w:fldChar w:fldCharType="end"/>
      </w:r>
      <w:r>
        <w:fldChar w:fldCharType="end"/>
      </w:r>
    </w:p>
    <w:p w14:paraId="23C24A70">
      <w:pPr>
        <w:pStyle w:val="42"/>
        <w:tabs>
          <w:tab w:val="right" w:leader="dot" w:pos="8296"/>
        </w:tabs>
        <w:ind w:left="840"/>
        <w:rPr>
          <w:rFonts w:asciiTheme="minorHAnsi" w:hAnsiTheme="minorHAnsi" w:eastAsiaTheme="minorEastAsia"/>
        </w:rPr>
      </w:pPr>
      <w:r>
        <w:fldChar w:fldCharType="begin"/>
      </w:r>
      <w:r>
        <w:instrText xml:space="preserve"> HYPERLINK \l "_Toc196728262" </w:instrText>
      </w:r>
      <w:r>
        <w:fldChar w:fldCharType="separate"/>
      </w:r>
      <w:r>
        <w:rPr>
          <w:rStyle w:val="139"/>
          <w:kern w:val="0"/>
          <w14:scene3d w14:prst="orthographicFront">
            <w14:lightRig w14:rig="threePt" w14:dir="t">
              <w14:rot w14:lat="0" w14:lon="0" w14:rev="0"/>
            </w14:lightRig>
          </w14:scene3d>
        </w:rPr>
        <w:t>14.9.1.</w:t>
      </w:r>
      <w:r>
        <w:rPr>
          <w:rStyle w:val="139"/>
        </w:rPr>
        <w:t xml:space="preserve"> URL过滤概述</w:t>
      </w:r>
      <w:r>
        <w:tab/>
      </w:r>
      <w:r>
        <w:fldChar w:fldCharType="begin"/>
      </w:r>
      <w:r>
        <w:instrText xml:space="preserve"> PAGEREF _Toc196728262 \h </w:instrText>
      </w:r>
      <w:r>
        <w:fldChar w:fldCharType="separate"/>
      </w:r>
      <w:r>
        <w:t>453</w:t>
      </w:r>
      <w:r>
        <w:fldChar w:fldCharType="end"/>
      </w:r>
      <w:r>
        <w:fldChar w:fldCharType="end"/>
      </w:r>
    </w:p>
    <w:p w14:paraId="6FAE6AAC">
      <w:pPr>
        <w:pStyle w:val="42"/>
        <w:tabs>
          <w:tab w:val="right" w:leader="dot" w:pos="8296"/>
        </w:tabs>
        <w:ind w:left="840"/>
        <w:rPr>
          <w:rFonts w:asciiTheme="minorHAnsi" w:hAnsiTheme="minorHAnsi" w:eastAsiaTheme="minorEastAsia"/>
        </w:rPr>
      </w:pPr>
      <w:r>
        <w:fldChar w:fldCharType="begin"/>
      </w:r>
      <w:r>
        <w:instrText xml:space="preserve"> HYPERLINK \l "_Toc196728263" </w:instrText>
      </w:r>
      <w:r>
        <w:fldChar w:fldCharType="separate"/>
      </w:r>
      <w:r>
        <w:rPr>
          <w:rStyle w:val="139"/>
          <w:kern w:val="0"/>
          <w14:scene3d w14:prst="orthographicFront">
            <w14:lightRig w14:rig="threePt" w14:dir="t">
              <w14:rot w14:lat="0" w14:lon="0" w14:rev="0"/>
            </w14:lightRig>
          </w14:scene3d>
        </w:rPr>
        <w:t>14.9.2.</w:t>
      </w:r>
      <w:r>
        <w:rPr>
          <w:rStyle w:val="139"/>
        </w:rPr>
        <w:t xml:space="preserve"> URL过滤策略页面</w:t>
      </w:r>
      <w:r>
        <w:tab/>
      </w:r>
      <w:r>
        <w:fldChar w:fldCharType="begin"/>
      </w:r>
      <w:r>
        <w:instrText xml:space="preserve"> PAGEREF _Toc196728263 \h </w:instrText>
      </w:r>
      <w:r>
        <w:fldChar w:fldCharType="separate"/>
      </w:r>
      <w:r>
        <w:t>453</w:t>
      </w:r>
      <w:r>
        <w:fldChar w:fldCharType="end"/>
      </w:r>
      <w:r>
        <w:fldChar w:fldCharType="end"/>
      </w:r>
    </w:p>
    <w:p w14:paraId="113F4D56">
      <w:pPr>
        <w:pStyle w:val="42"/>
        <w:tabs>
          <w:tab w:val="right" w:leader="dot" w:pos="8296"/>
        </w:tabs>
        <w:ind w:left="840"/>
        <w:rPr>
          <w:rFonts w:asciiTheme="minorHAnsi" w:hAnsiTheme="minorHAnsi" w:eastAsiaTheme="minorEastAsia"/>
        </w:rPr>
      </w:pPr>
      <w:r>
        <w:fldChar w:fldCharType="begin"/>
      </w:r>
      <w:r>
        <w:instrText xml:space="preserve"> HYPERLINK \l "_Toc196728264" </w:instrText>
      </w:r>
      <w:r>
        <w:fldChar w:fldCharType="separate"/>
      </w:r>
      <w:r>
        <w:rPr>
          <w:rStyle w:val="139"/>
          <w:kern w:val="0"/>
          <w14:scene3d w14:prst="orthographicFront">
            <w14:lightRig w14:rig="threePt" w14:dir="t">
              <w14:rot w14:lat="0" w14:lon="0" w14:rev="0"/>
            </w14:lightRig>
          </w14:scene3d>
        </w:rPr>
        <w:t>14.9.3.</w:t>
      </w:r>
      <w:r>
        <w:rPr>
          <w:rStyle w:val="139"/>
        </w:rPr>
        <w:t xml:space="preserve"> 恶意URL页面</w:t>
      </w:r>
      <w:r>
        <w:tab/>
      </w:r>
      <w:r>
        <w:fldChar w:fldCharType="begin"/>
      </w:r>
      <w:r>
        <w:instrText xml:space="preserve"> PAGEREF _Toc196728264 \h </w:instrText>
      </w:r>
      <w:r>
        <w:fldChar w:fldCharType="separate"/>
      </w:r>
      <w:r>
        <w:t>454</w:t>
      </w:r>
      <w:r>
        <w:fldChar w:fldCharType="end"/>
      </w:r>
      <w:r>
        <w:fldChar w:fldCharType="end"/>
      </w:r>
    </w:p>
    <w:p w14:paraId="448691AB">
      <w:pPr>
        <w:pStyle w:val="42"/>
        <w:tabs>
          <w:tab w:val="right" w:leader="dot" w:pos="8296"/>
        </w:tabs>
        <w:ind w:left="840"/>
        <w:rPr>
          <w:rFonts w:asciiTheme="minorHAnsi" w:hAnsiTheme="minorHAnsi" w:eastAsiaTheme="minorEastAsia"/>
        </w:rPr>
      </w:pPr>
      <w:r>
        <w:fldChar w:fldCharType="begin"/>
      </w:r>
      <w:r>
        <w:instrText xml:space="preserve"> HYPERLINK \l "_Toc196728265" </w:instrText>
      </w:r>
      <w:r>
        <w:fldChar w:fldCharType="separate"/>
      </w:r>
      <w:r>
        <w:rPr>
          <w:rStyle w:val="139"/>
          <w:kern w:val="0"/>
          <w14:scene3d w14:prst="orthographicFront">
            <w14:lightRig w14:rig="threePt" w14:dir="t">
              <w14:rot w14:lat="0" w14:lon="0" w14:rev="0"/>
            </w14:lightRig>
          </w14:scene3d>
        </w:rPr>
        <w:t>14.9.4.</w:t>
      </w:r>
      <w:r>
        <w:rPr>
          <w:rStyle w:val="139"/>
        </w:rPr>
        <w:t xml:space="preserve"> URL过滤配置案例</w:t>
      </w:r>
      <w:r>
        <w:tab/>
      </w:r>
      <w:r>
        <w:fldChar w:fldCharType="begin"/>
      </w:r>
      <w:r>
        <w:instrText xml:space="preserve"> PAGEREF _Toc196728265 \h </w:instrText>
      </w:r>
      <w:r>
        <w:fldChar w:fldCharType="separate"/>
      </w:r>
      <w:r>
        <w:t>455</w:t>
      </w:r>
      <w:r>
        <w:fldChar w:fldCharType="end"/>
      </w:r>
      <w:r>
        <w:fldChar w:fldCharType="end"/>
      </w:r>
    </w:p>
    <w:p w14:paraId="798F1426">
      <w:pPr>
        <w:pStyle w:val="42"/>
        <w:tabs>
          <w:tab w:val="right" w:leader="dot" w:pos="8296"/>
        </w:tabs>
        <w:ind w:left="840"/>
        <w:rPr>
          <w:rFonts w:asciiTheme="minorHAnsi" w:hAnsiTheme="minorHAnsi" w:eastAsiaTheme="minorEastAsia"/>
        </w:rPr>
      </w:pPr>
      <w:r>
        <w:fldChar w:fldCharType="begin"/>
      </w:r>
      <w:r>
        <w:instrText xml:space="preserve"> HYPERLINK \l "_Toc196728266" </w:instrText>
      </w:r>
      <w:r>
        <w:fldChar w:fldCharType="separate"/>
      </w:r>
      <w:r>
        <w:rPr>
          <w:rStyle w:val="139"/>
          <w:kern w:val="0"/>
          <w14:scene3d w14:prst="orthographicFront">
            <w14:lightRig w14:rig="threePt" w14:dir="t">
              <w14:rot w14:lat="0" w14:lon="0" w14:rev="0"/>
            </w14:lightRig>
          </w14:scene3d>
        </w:rPr>
        <w:t>14.9.5.</w:t>
      </w:r>
      <w:r>
        <w:rPr>
          <w:rStyle w:val="139"/>
        </w:rPr>
        <w:t xml:space="preserve"> DNS过滤配置案例</w:t>
      </w:r>
      <w:r>
        <w:tab/>
      </w:r>
      <w:r>
        <w:fldChar w:fldCharType="begin"/>
      </w:r>
      <w:r>
        <w:instrText xml:space="preserve"> PAGEREF _Toc196728266 \h </w:instrText>
      </w:r>
      <w:r>
        <w:fldChar w:fldCharType="separate"/>
      </w:r>
      <w:r>
        <w:t>456</w:t>
      </w:r>
      <w:r>
        <w:fldChar w:fldCharType="end"/>
      </w:r>
      <w:r>
        <w:fldChar w:fldCharType="end"/>
      </w:r>
    </w:p>
    <w:p w14:paraId="0104FD81">
      <w:pPr>
        <w:pStyle w:val="70"/>
        <w:tabs>
          <w:tab w:val="right" w:leader="dot" w:pos="8296"/>
        </w:tabs>
        <w:ind w:left="420"/>
        <w:rPr>
          <w:rFonts w:asciiTheme="minorHAnsi" w:hAnsiTheme="minorHAnsi" w:eastAsiaTheme="minorEastAsia"/>
        </w:rPr>
      </w:pPr>
      <w:r>
        <w:fldChar w:fldCharType="begin"/>
      </w:r>
      <w:r>
        <w:instrText xml:space="preserve"> HYPERLINK \l "_Toc196728267" </w:instrText>
      </w:r>
      <w:r>
        <w:fldChar w:fldCharType="separate"/>
      </w:r>
      <w:r>
        <w:rPr>
          <w:rStyle w:val="139"/>
        </w:rPr>
        <w:t>14.10. 终端公告推送</w:t>
      </w:r>
      <w:r>
        <w:tab/>
      </w:r>
      <w:r>
        <w:fldChar w:fldCharType="begin"/>
      </w:r>
      <w:r>
        <w:instrText xml:space="preserve"> PAGEREF _Toc196728267 \h </w:instrText>
      </w:r>
      <w:r>
        <w:fldChar w:fldCharType="separate"/>
      </w:r>
      <w:r>
        <w:t>459</w:t>
      </w:r>
      <w:r>
        <w:fldChar w:fldCharType="end"/>
      </w:r>
      <w:r>
        <w:fldChar w:fldCharType="end"/>
      </w:r>
    </w:p>
    <w:p w14:paraId="377DEF8B">
      <w:pPr>
        <w:pStyle w:val="42"/>
        <w:tabs>
          <w:tab w:val="right" w:leader="dot" w:pos="8296"/>
        </w:tabs>
        <w:ind w:left="840"/>
        <w:rPr>
          <w:rFonts w:asciiTheme="minorHAnsi" w:hAnsiTheme="minorHAnsi" w:eastAsiaTheme="minorEastAsia"/>
        </w:rPr>
      </w:pPr>
      <w:r>
        <w:fldChar w:fldCharType="begin"/>
      </w:r>
      <w:r>
        <w:instrText xml:space="preserve"> HYPERLINK \l "_Toc196728268" </w:instrText>
      </w:r>
      <w:r>
        <w:fldChar w:fldCharType="separate"/>
      </w:r>
      <w:r>
        <w:rPr>
          <w:rStyle w:val="139"/>
          <w:kern w:val="0"/>
          <w14:scene3d w14:prst="orthographicFront">
            <w14:lightRig w14:rig="threePt" w14:dir="t">
              <w14:rot w14:lat="0" w14:lon="0" w14:rev="0"/>
            </w14:lightRig>
          </w14:scene3d>
        </w:rPr>
        <w:t>14.10.1.</w:t>
      </w:r>
      <w:r>
        <w:rPr>
          <w:rStyle w:val="139"/>
        </w:rPr>
        <w:t xml:space="preserve"> 终端公告推送简介</w:t>
      </w:r>
      <w:r>
        <w:tab/>
      </w:r>
      <w:r>
        <w:fldChar w:fldCharType="begin"/>
      </w:r>
      <w:r>
        <w:instrText xml:space="preserve"> PAGEREF _Toc196728268 \h </w:instrText>
      </w:r>
      <w:r>
        <w:fldChar w:fldCharType="separate"/>
      </w:r>
      <w:r>
        <w:t>459</w:t>
      </w:r>
      <w:r>
        <w:fldChar w:fldCharType="end"/>
      </w:r>
      <w:r>
        <w:fldChar w:fldCharType="end"/>
      </w:r>
    </w:p>
    <w:p w14:paraId="755B6B61">
      <w:pPr>
        <w:pStyle w:val="42"/>
        <w:tabs>
          <w:tab w:val="right" w:leader="dot" w:pos="8296"/>
        </w:tabs>
        <w:ind w:left="840"/>
        <w:rPr>
          <w:rFonts w:asciiTheme="minorHAnsi" w:hAnsiTheme="minorHAnsi" w:eastAsiaTheme="minorEastAsia"/>
        </w:rPr>
      </w:pPr>
      <w:r>
        <w:fldChar w:fldCharType="begin"/>
      </w:r>
      <w:r>
        <w:instrText xml:space="preserve"> HYPERLINK \l "_Toc196728269" </w:instrText>
      </w:r>
      <w:r>
        <w:fldChar w:fldCharType="separate"/>
      </w:r>
      <w:r>
        <w:rPr>
          <w:rStyle w:val="139"/>
          <w:kern w:val="0"/>
          <w14:scene3d w14:prst="orthographicFront">
            <w14:lightRig w14:rig="threePt" w14:dir="t">
              <w14:rot w14:lat="0" w14:lon="0" w14:rev="0"/>
            </w14:lightRig>
          </w14:scene3d>
        </w:rPr>
        <w:t>14.10.2.</w:t>
      </w:r>
      <w:r>
        <w:rPr>
          <w:rStyle w:val="139"/>
        </w:rPr>
        <w:t xml:space="preserve"> 终端公告推送页面</w:t>
      </w:r>
      <w:r>
        <w:tab/>
      </w:r>
      <w:r>
        <w:fldChar w:fldCharType="begin"/>
      </w:r>
      <w:r>
        <w:instrText xml:space="preserve"> PAGEREF _Toc196728269 \h </w:instrText>
      </w:r>
      <w:r>
        <w:fldChar w:fldCharType="separate"/>
      </w:r>
      <w:r>
        <w:t>459</w:t>
      </w:r>
      <w:r>
        <w:fldChar w:fldCharType="end"/>
      </w:r>
      <w:r>
        <w:fldChar w:fldCharType="end"/>
      </w:r>
    </w:p>
    <w:p w14:paraId="4F336345">
      <w:pPr>
        <w:pStyle w:val="70"/>
        <w:tabs>
          <w:tab w:val="right" w:leader="dot" w:pos="8296"/>
        </w:tabs>
        <w:ind w:left="420"/>
        <w:rPr>
          <w:rFonts w:asciiTheme="minorHAnsi" w:hAnsiTheme="minorHAnsi" w:eastAsiaTheme="minorEastAsia"/>
        </w:rPr>
      </w:pPr>
      <w:r>
        <w:fldChar w:fldCharType="begin"/>
      </w:r>
      <w:r>
        <w:instrText xml:space="preserve"> HYPERLINK \l "_Toc196728270" </w:instrText>
      </w:r>
      <w:r>
        <w:fldChar w:fldCharType="separate"/>
      </w:r>
      <w:r>
        <w:rPr>
          <w:rStyle w:val="139"/>
        </w:rPr>
        <w:t>14.11. 高级配置</w:t>
      </w:r>
      <w:r>
        <w:tab/>
      </w:r>
      <w:r>
        <w:fldChar w:fldCharType="begin"/>
      </w:r>
      <w:r>
        <w:instrText xml:space="preserve"> PAGEREF _Toc196728270 \h </w:instrText>
      </w:r>
      <w:r>
        <w:fldChar w:fldCharType="separate"/>
      </w:r>
      <w:r>
        <w:t>460</w:t>
      </w:r>
      <w:r>
        <w:fldChar w:fldCharType="end"/>
      </w:r>
      <w:r>
        <w:fldChar w:fldCharType="end"/>
      </w:r>
    </w:p>
    <w:p w14:paraId="017431CD">
      <w:pPr>
        <w:pStyle w:val="42"/>
        <w:tabs>
          <w:tab w:val="right" w:leader="dot" w:pos="8296"/>
        </w:tabs>
        <w:ind w:left="840"/>
        <w:rPr>
          <w:rFonts w:asciiTheme="minorHAnsi" w:hAnsiTheme="minorHAnsi" w:eastAsiaTheme="minorEastAsia"/>
        </w:rPr>
      </w:pPr>
      <w:r>
        <w:fldChar w:fldCharType="begin"/>
      </w:r>
      <w:r>
        <w:instrText xml:space="preserve"> HYPERLINK \l "_Toc196728271" </w:instrText>
      </w:r>
      <w:r>
        <w:fldChar w:fldCharType="separate"/>
      </w:r>
      <w:r>
        <w:rPr>
          <w:rStyle w:val="139"/>
          <w:kern w:val="0"/>
          <w14:scene3d w14:prst="orthographicFront">
            <w14:lightRig w14:rig="threePt" w14:dir="t">
              <w14:rot w14:lat="0" w14:lon="0" w14:rev="0"/>
            </w14:lightRig>
          </w14:scene3d>
        </w:rPr>
        <w:t>14.11.1.</w:t>
      </w:r>
      <w:r>
        <w:rPr>
          <w:rStyle w:val="139"/>
        </w:rPr>
        <w:t xml:space="preserve"> 高级配置简介</w:t>
      </w:r>
      <w:r>
        <w:tab/>
      </w:r>
      <w:r>
        <w:fldChar w:fldCharType="begin"/>
      </w:r>
      <w:r>
        <w:instrText xml:space="preserve"> PAGEREF _Toc196728271 \h </w:instrText>
      </w:r>
      <w:r>
        <w:fldChar w:fldCharType="separate"/>
      </w:r>
      <w:r>
        <w:t>460</w:t>
      </w:r>
      <w:r>
        <w:fldChar w:fldCharType="end"/>
      </w:r>
      <w:r>
        <w:fldChar w:fldCharType="end"/>
      </w:r>
    </w:p>
    <w:p w14:paraId="61A72FE1">
      <w:pPr>
        <w:pStyle w:val="42"/>
        <w:tabs>
          <w:tab w:val="right" w:leader="dot" w:pos="8296"/>
        </w:tabs>
        <w:ind w:left="840"/>
        <w:rPr>
          <w:rFonts w:asciiTheme="minorHAnsi" w:hAnsiTheme="minorHAnsi" w:eastAsiaTheme="minorEastAsia"/>
        </w:rPr>
      </w:pPr>
      <w:r>
        <w:fldChar w:fldCharType="begin"/>
      </w:r>
      <w:r>
        <w:instrText xml:space="preserve"> HYPERLINK \l "_Toc196728272" </w:instrText>
      </w:r>
      <w:r>
        <w:fldChar w:fldCharType="separate"/>
      </w:r>
      <w:r>
        <w:rPr>
          <w:rStyle w:val="139"/>
          <w:kern w:val="0"/>
          <w14:scene3d w14:prst="orthographicFront">
            <w14:lightRig w14:rig="threePt" w14:dir="t">
              <w14:rot w14:lat="0" w14:lon="0" w14:rev="0"/>
            </w14:lightRig>
          </w14:scene3d>
        </w:rPr>
        <w:t>14.11.2.</w:t>
      </w:r>
      <w:r>
        <w:rPr>
          <w:rStyle w:val="139"/>
        </w:rPr>
        <w:t xml:space="preserve"> 高级配置页面</w:t>
      </w:r>
      <w:r>
        <w:tab/>
      </w:r>
      <w:r>
        <w:fldChar w:fldCharType="begin"/>
      </w:r>
      <w:r>
        <w:instrText xml:space="preserve"> PAGEREF _Toc196728272 \h </w:instrText>
      </w:r>
      <w:r>
        <w:fldChar w:fldCharType="separate"/>
      </w:r>
      <w:r>
        <w:t>460</w:t>
      </w:r>
      <w:r>
        <w:fldChar w:fldCharType="end"/>
      </w:r>
      <w:r>
        <w:fldChar w:fldCharType="end"/>
      </w:r>
    </w:p>
    <w:p w14:paraId="65E4C399">
      <w:pPr>
        <w:pStyle w:val="70"/>
        <w:tabs>
          <w:tab w:val="right" w:leader="dot" w:pos="8296"/>
        </w:tabs>
        <w:ind w:left="420"/>
        <w:rPr>
          <w:rFonts w:asciiTheme="minorHAnsi" w:hAnsiTheme="minorHAnsi" w:eastAsiaTheme="minorEastAsia"/>
        </w:rPr>
      </w:pPr>
      <w:r>
        <w:fldChar w:fldCharType="begin"/>
      </w:r>
      <w:r>
        <w:instrText xml:space="preserve"> HYPERLINK \l "_Toc196728273" </w:instrText>
      </w:r>
      <w:r>
        <w:fldChar w:fldCharType="separate"/>
      </w:r>
      <w:r>
        <w:rPr>
          <w:rStyle w:val="139"/>
        </w:rPr>
        <w:t>14.12. 控制策略分析</w:t>
      </w:r>
      <w:r>
        <w:tab/>
      </w:r>
      <w:r>
        <w:fldChar w:fldCharType="begin"/>
      </w:r>
      <w:r>
        <w:instrText xml:space="preserve"> PAGEREF _Toc196728273 \h </w:instrText>
      </w:r>
      <w:r>
        <w:fldChar w:fldCharType="separate"/>
      </w:r>
      <w:r>
        <w:t>462</w:t>
      </w:r>
      <w:r>
        <w:fldChar w:fldCharType="end"/>
      </w:r>
      <w:r>
        <w:fldChar w:fldCharType="end"/>
      </w:r>
    </w:p>
    <w:p w14:paraId="1430A95D">
      <w:pPr>
        <w:pStyle w:val="42"/>
        <w:tabs>
          <w:tab w:val="right" w:leader="dot" w:pos="8296"/>
        </w:tabs>
        <w:ind w:left="840"/>
        <w:rPr>
          <w:rFonts w:asciiTheme="minorHAnsi" w:hAnsiTheme="minorHAnsi" w:eastAsiaTheme="minorEastAsia"/>
        </w:rPr>
      </w:pPr>
      <w:r>
        <w:fldChar w:fldCharType="begin"/>
      </w:r>
      <w:r>
        <w:instrText xml:space="preserve"> HYPERLINK \l "_Toc196728274" </w:instrText>
      </w:r>
      <w:r>
        <w:fldChar w:fldCharType="separate"/>
      </w:r>
      <w:r>
        <w:rPr>
          <w:rStyle w:val="139"/>
          <w:kern w:val="0"/>
          <w14:scene3d w14:prst="orthographicFront">
            <w14:lightRig w14:rig="threePt" w14:dir="t">
              <w14:rot w14:lat="0" w14:lon="0" w14:rev="0"/>
            </w14:lightRig>
          </w14:scene3d>
        </w:rPr>
        <w:t>14.12.1.</w:t>
      </w:r>
      <w:r>
        <w:rPr>
          <w:rStyle w:val="139"/>
        </w:rPr>
        <w:t xml:space="preserve"> 控制策略分析概述</w:t>
      </w:r>
      <w:r>
        <w:tab/>
      </w:r>
      <w:r>
        <w:fldChar w:fldCharType="begin"/>
      </w:r>
      <w:r>
        <w:instrText xml:space="preserve"> PAGEREF _Toc196728274 \h </w:instrText>
      </w:r>
      <w:r>
        <w:fldChar w:fldCharType="separate"/>
      </w:r>
      <w:r>
        <w:t>462</w:t>
      </w:r>
      <w:r>
        <w:fldChar w:fldCharType="end"/>
      </w:r>
      <w:r>
        <w:fldChar w:fldCharType="end"/>
      </w:r>
    </w:p>
    <w:p w14:paraId="29DE1407">
      <w:pPr>
        <w:pStyle w:val="42"/>
        <w:tabs>
          <w:tab w:val="right" w:leader="dot" w:pos="8296"/>
        </w:tabs>
        <w:ind w:left="840"/>
        <w:rPr>
          <w:rFonts w:asciiTheme="minorHAnsi" w:hAnsiTheme="minorHAnsi" w:eastAsiaTheme="minorEastAsia"/>
        </w:rPr>
      </w:pPr>
      <w:r>
        <w:fldChar w:fldCharType="begin"/>
      </w:r>
      <w:r>
        <w:instrText xml:space="preserve"> HYPERLINK \l "_Toc196728275" </w:instrText>
      </w:r>
      <w:r>
        <w:fldChar w:fldCharType="separate"/>
      </w:r>
      <w:r>
        <w:rPr>
          <w:rStyle w:val="139"/>
          <w:kern w:val="0"/>
          <w14:scene3d w14:prst="orthographicFront">
            <w14:lightRig w14:rig="threePt" w14:dir="t">
              <w14:rot w14:lat="0" w14:lon="0" w14:rev="0"/>
            </w14:lightRig>
          </w14:scene3d>
        </w:rPr>
        <w:t>14.12.2.</w:t>
      </w:r>
      <w:r>
        <w:rPr>
          <w:rStyle w:val="139"/>
        </w:rPr>
        <w:t xml:space="preserve"> 控制策略全局分析</w:t>
      </w:r>
      <w:r>
        <w:tab/>
      </w:r>
      <w:r>
        <w:fldChar w:fldCharType="begin"/>
      </w:r>
      <w:r>
        <w:instrText xml:space="preserve"> PAGEREF _Toc196728275 \h </w:instrText>
      </w:r>
      <w:r>
        <w:fldChar w:fldCharType="separate"/>
      </w:r>
      <w:r>
        <w:t>462</w:t>
      </w:r>
      <w:r>
        <w:fldChar w:fldCharType="end"/>
      </w:r>
      <w:r>
        <w:fldChar w:fldCharType="end"/>
      </w:r>
    </w:p>
    <w:p w14:paraId="47B30FB5">
      <w:pPr>
        <w:pStyle w:val="42"/>
        <w:tabs>
          <w:tab w:val="right" w:leader="dot" w:pos="8296"/>
        </w:tabs>
        <w:ind w:left="840"/>
        <w:rPr>
          <w:rFonts w:asciiTheme="minorHAnsi" w:hAnsiTheme="minorHAnsi" w:eastAsiaTheme="minorEastAsia"/>
        </w:rPr>
      </w:pPr>
      <w:r>
        <w:fldChar w:fldCharType="begin"/>
      </w:r>
      <w:r>
        <w:instrText xml:space="preserve"> HYPERLINK \l "_Toc196728276" </w:instrText>
      </w:r>
      <w:r>
        <w:fldChar w:fldCharType="separate"/>
      </w:r>
      <w:r>
        <w:rPr>
          <w:rStyle w:val="139"/>
          <w:kern w:val="0"/>
          <w14:scene3d w14:prst="orthographicFront">
            <w14:lightRig w14:rig="threePt" w14:dir="t">
              <w14:rot w14:lat="0" w14:lon="0" w14:rev="0"/>
            </w14:lightRig>
          </w14:scene3d>
        </w:rPr>
        <w:t>14.12.3.</w:t>
      </w:r>
      <w:r>
        <w:rPr>
          <w:rStyle w:val="139"/>
        </w:rPr>
        <w:t xml:space="preserve"> 控制策略即时分析</w:t>
      </w:r>
      <w:r>
        <w:tab/>
      </w:r>
      <w:r>
        <w:fldChar w:fldCharType="begin"/>
      </w:r>
      <w:r>
        <w:instrText xml:space="preserve"> PAGEREF _Toc196728276 \h </w:instrText>
      </w:r>
      <w:r>
        <w:fldChar w:fldCharType="separate"/>
      </w:r>
      <w:r>
        <w:t>466</w:t>
      </w:r>
      <w:r>
        <w:fldChar w:fldCharType="end"/>
      </w:r>
      <w:r>
        <w:fldChar w:fldCharType="end"/>
      </w:r>
    </w:p>
    <w:p w14:paraId="3B6E7150">
      <w:pPr>
        <w:pStyle w:val="56"/>
        <w:tabs>
          <w:tab w:val="right" w:leader="dot" w:pos="8296"/>
        </w:tabs>
        <w:rPr>
          <w:rFonts w:asciiTheme="minorHAnsi" w:hAnsiTheme="minorHAnsi" w:eastAsiaTheme="minorEastAsia"/>
        </w:rPr>
      </w:pPr>
      <w:r>
        <w:fldChar w:fldCharType="begin"/>
      </w:r>
      <w:r>
        <w:instrText xml:space="preserve"> HYPERLINK \l "_Toc196728277" </w:instrText>
      </w:r>
      <w:r>
        <w:fldChar w:fldCharType="separate"/>
      </w:r>
      <w:r>
        <w:rPr>
          <w:rStyle w:val="139"/>
        </w:rPr>
        <w:t>15. 审计策略</w:t>
      </w:r>
      <w:r>
        <w:tab/>
      </w:r>
      <w:r>
        <w:fldChar w:fldCharType="begin"/>
      </w:r>
      <w:r>
        <w:instrText xml:space="preserve"> PAGEREF _Toc196728277 \h </w:instrText>
      </w:r>
      <w:r>
        <w:fldChar w:fldCharType="separate"/>
      </w:r>
      <w:r>
        <w:t>468</w:t>
      </w:r>
      <w:r>
        <w:fldChar w:fldCharType="end"/>
      </w:r>
      <w:r>
        <w:fldChar w:fldCharType="end"/>
      </w:r>
    </w:p>
    <w:p w14:paraId="16FDECBF">
      <w:pPr>
        <w:pStyle w:val="70"/>
        <w:tabs>
          <w:tab w:val="right" w:leader="dot" w:pos="8296"/>
        </w:tabs>
        <w:ind w:left="420"/>
        <w:rPr>
          <w:rFonts w:asciiTheme="minorHAnsi" w:hAnsiTheme="minorHAnsi" w:eastAsiaTheme="minorEastAsia"/>
        </w:rPr>
      </w:pPr>
      <w:r>
        <w:fldChar w:fldCharType="begin"/>
      </w:r>
      <w:r>
        <w:instrText xml:space="preserve"> HYPERLINK \l "_Toc196728278" </w:instrText>
      </w:r>
      <w:r>
        <w:fldChar w:fldCharType="separate"/>
      </w:r>
      <w:r>
        <w:rPr>
          <w:rStyle w:val="139"/>
        </w:rPr>
        <w:t>15.1. 审计策略概述</w:t>
      </w:r>
      <w:r>
        <w:tab/>
      </w:r>
      <w:r>
        <w:fldChar w:fldCharType="begin"/>
      </w:r>
      <w:r>
        <w:instrText xml:space="preserve"> PAGEREF _Toc196728278 \h </w:instrText>
      </w:r>
      <w:r>
        <w:fldChar w:fldCharType="separate"/>
      </w:r>
      <w:r>
        <w:t>468</w:t>
      </w:r>
      <w:r>
        <w:fldChar w:fldCharType="end"/>
      </w:r>
      <w:r>
        <w:fldChar w:fldCharType="end"/>
      </w:r>
    </w:p>
    <w:p w14:paraId="26701755">
      <w:pPr>
        <w:pStyle w:val="70"/>
        <w:tabs>
          <w:tab w:val="right" w:leader="dot" w:pos="8296"/>
        </w:tabs>
        <w:ind w:left="420"/>
        <w:rPr>
          <w:rFonts w:asciiTheme="minorHAnsi" w:hAnsiTheme="minorHAnsi" w:eastAsiaTheme="minorEastAsia"/>
        </w:rPr>
      </w:pPr>
      <w:r>
        <w:fldChar w:fldCharType="begin"/>
      </w:r>
      <w:r>
        <w:instrText xml:space="preserve"> HYPERLINK \l "_Toc196728279" </w:instrText>
      </w:r>
      <w:r>
        <w:fldChar w:fldCharType="separate"/>
      </w:r>
      <w:r>
        <w:rPr>
          <w:rStyle w:val="139"/>
        </w:rPr>
        <w:t>15.2. 配置审计策略</w:t>
      </w:r>
      <w:r>
        <w:tab/>
      </w:r>
      <w:r>
        <w:fldChar w:fldCharType="begin"/>
      </w:r>
      <w:r>
        <w:instrText xml:space="preserve"> PAGEREF _Toc196728279 \h </w:instrText>
      </w:r>
      <w:r>
        <w:fldChar w:fldCharType="separate"/>
      </w:r>
      <w:r>
        <w:t>468</w:t>
      </w:r>
      <w:r>
        <w:fldChar w:fldCharType="end"/>
      </w:r>
      <w:r>
        <w:fldChar w:fldCharType="end"/>
      </w:r>
    </w:p>
    <w:p w14:paraId="353BD758">
      <w:pPr>
        <w:pStyle w:val="70"/>
        <w:tabs>
          <w:tab w:val="right" w:leader="dot" w:pos="8296"/>
        </w:tabs>
        <w:ind w:left="420"/>
        <w:rPr>
          <w:rFonts w:asciiTheme="minorHAnsi" w:hAnsiTheme="minorHAnsi" w:eastAsiaTheme="minorEastAsia"/>
        </w:rPr>
      </w:pPr>
      <w:r>
        <w:fldChar w:fldCharType="begin"/>
      </w:r>
      <w:r>
        <w:instrText xml:space="preserve"> HYPERLINK \l "_Toc196728280" </w:instrText>
      </w:r>
      <w:r>
        <w:fldChar w:fldCharType="separate"/>
      </w:r>
      <w:r>
        <w:rPr>
          <w:rStyle w:val="139"/>
        </w:rPr>
        <w:t>15.3. 配置数据库审计</w:t>
      </w:r>
      <w:r>
        <w:tab/>
      </w:r>
      <w:r>
        <w:fldChar w:fldCharType="begin"/>
      </w:r>
      <w:r>
        <w:instrText xml:space="preserve"> PAGEREF _Toc196728280 \h </w:instrText>
      </w:r>
      <w:r>
        <w:fldChar w:fldCharType="separate"/>
      </w:r>
      <w:r>
        <w:t>470</w:t>
      </w:r>
      <w:r>
        <w:fldChar w:fldCharType="end"/>
      </w:r>
      <w:r>
        <w:fldChar w:fldCharType="end"/>
      </w:r>
    </w:p>
    <w:p w14:paraId="53C11F0A">
      <w:pPr>
        <w:pStyle w:val="70"/>
        <w:tabs>
          <w:tab w:val="right" w:leader="dot" w:pos="8296"/>
        </w:tabs>
        <w:ind w:left="420"/>
        <w:rPr>
          <w:rFonts w:asciiTheme="minorHAnsi" w:hAnsiTheme="minorHAnsi" w:eastAsiaTheme="minorEastAsia"/>
        </w:rPr>
      </w:pPr>
      <w:r>
        <w:fldChar w:fldCharType="begin"/>
      </w:r>
      <w:r>
        <w:instrText xml:space="preserve"> HYPERLINK \l "_Toc196728281" </w:instrText>
      </w:r>
      <w:r>
        <w:fldChar w:fldCharType="separate"/>
      </w:r>
      <w:r>
        <w:rPr>
          <w:rStyle w:val="139"/>
        </w:rPr>
        <w:t>15.4. 启用禁用审计策略</w:t>
      </w:r>
      <w:r>
        <w:tab/>
      </w:r>
      <w:r>
        <w:fldChar w:fldCharType="begin"/>
      </w:r>
      <w:r>
        <w:instrText xml:space="preserve"> PAGEREF _Toc196728281 \h </w:instrText>
      </w:r>
      <w:r>
        <w:fldChar w:fldCharType="separate"/>
      </w:r>
      <w:r>
        <w:t>472</w:t>
      </w:r>
      <w:r>
        <w:fldChar w:fldCharType="end"/>
      </w:r>
      <w:r>
        <w:fldChar w:fldCharType="end"/>
      </w:r>
    </w:p>
    <w:p w14:paraId="32D094D5">
      <w:pPr>
        <w:pStyle w:val="70"/>
        <w:tabs>
          <w:tab w:val="right" w:leader="dot" w:pos="8296"/>
        </w:tabs>
        <w:ind w:left="420"/>
        <w:rPr>
          <w:rFonts w:asciiTheme="minorHAnsi" w:hAnsiTheme="minorHAnsi" w:eastAsiaTheme="minorEastAsia"/>
        </w:rPr>
      </w:pPr>
      <w:r>
        <w:fldChar w:fldCharType="begin"/>
      </w:r>
      <w:r>
        <w:instrText xml:space="preserve"> HYPERLINK \l "_Toc196728282" </w:instrText>
      </w:r>
      <w:r>
        <w:fldChar w:fldCharType="separate"/>
      </w:r>
      <w:r>
        <w:rPr>
          <w:rStyle w:val="139"/>
        </w:rPr>
        <w:t>15.5. 审计策略优先级配置</w:t>
      </w:r>
      <w:r>
        <w:tab/>
      </w:r>
      <w:r>
        <w:fldChar w:fldCharType="begin"/>
      </w:r>
      <w:r>
        <w:instrText xml:space="preserve"> PAGEREF _Toc196728282 \h </w:instrText>
      </w:r>
      <w:r>
        <w:fldChar w:fldCharType="separate"/>
      </w:r>
      <w:r>
        <w:t>472</w:t>
      </w:r>
      <w:r>
        <w:fldChar w:fldCharType="end"/>
      </w:r>
      <w:r>
        <w:fldChar w:fldCharType="end"/>
      </w:r>
    </w:p>
    <w:p w14:paraId="06EA6CD3">
      <w:pPr>
        <w:pStyle w:val="56"/>
        <w:tabs>
          <w:tab w:val="right" w:leader="dot" w:pos="8296"/>
        </w:tabs>
        <w:rPr>
          <w:rFonts w:asciiTheme="minorHAnsi" w:hAnsiTheme="minorHAnsi" w:eastAsiaTheme="minorEastAsia"/>
        </w:rPr>
      </w:pPr>
      <w:r>
        <w:fldChar w:fldCharType="begin"/>
      </w:r>
      <w:r>
        <w:instrText xml:space="preserve"> HYPERLINK \l "_Toc196728283" </w:instrText>
      </w:r>
      <w:r>
        <w:fldChar w:fldCharType="separate"/>
      </w:r>
      <w:r>
        <w:rPr>
          <w:rStyle w:val="139"/>
        </w:rPr>
        <w:t>16. NAT转换策略</w:t>
      </w:r>
      <w:r>
        <w:tab/>
      </w:r>
      <w:r>
        <w:fldChar w:fldCharType="begin"/>
      </w:r>
      <w:r>
        <w:instrText xml:space="preserve"> PAGEREF _Toc196728283 \h </w:instrText>
      </w:r>
      <w:r>
        <w:fldChar w:fldCharType="separate"/>
      </w:r>
      <w:r>
        <w:t>474</w:t>
      </w:r>
      <w:r>
        <w:fldChar w:fldCharType="end"/>
      </w:r>
      <w:r>
        <w:fldChar w:fldCharType="end"/>
      </w:r>
    </w:p>
    <w:p w14:paraId="6A5D8C07">
      <w:pPr>
        <w:pStyle w:val="70"/>
        <w:tabs>
          <w:tab w:val="right" w:leader="dot" w:pos="8296"/>
        </w:tabs>
        <w:ind w:left="420"/>
        <w:rPr>
          <w:rFonts w:asciiTheme="minorHAnsi" w:hAnsiTheme="minorHAnsi" w:eastAsiaTheme="minorEastAsia"/>
        </w:rPr>
      </w:pPr>
      <w:r>
        <w:fldChar w:fldCharType="begin"/>
      </w:r>
      <w:r>
        <w:instrText xml:space="preserve"> HYPERLINK \l "_Toc196728284" </w:instrText>
      </w:r>
      <w:r>
        <w:fldChar w:fldCharType="separate"/>
      </w:r>
      <w:r>
        <w:rPr>
          <w:rStyle w:val="139"/>
        </w:rPr>
        <w:t>16.1. NAT概述</w:t>
      </w:r>
      <w:r>
        <w:tab/>
      </w:r>
      <w:r>
        <w:fldChar w:fldCharType="begin"/>
      </w:r>
      <w:r>
        <w:instrText xml:space="preserve"> PAGEREF _Toc196728284 \h </w:instrText>
      </w:r>
      <w:r>
        <w:fldChar w:fldCharType="separate"/>
      </w:r>
      <w:r>
        <w:t>474</w:t>
      </w:r>
      <w:r>
        <w:fldChar w:fldCharType="end"/>
      </w:r>
      <w:r>
        <w:fldChar w:fldCharType="end"/>
      </w:r>
    </w:p>
    <w:p w14:paraId="21D1DD49">
      <w:pPr>
        <w:pStyle w:val="42"/>
        <w:tabs>
          <w:tab w:val="right" w:leader="dot" w:pos="8296"/>
        </w:tabs>
        <w:ind w:left="840"/>
        <w:rPr>
          <w:rFonts w:asciiTheme="minorHAnsi" w:hAnsiTheme="minorHAnsi" w:eastAsiaTheme="minorEastAsia"/>
        </w:rPr>
      </w:pPr>
      <w:r>
        <w:fldChar w:fldCharType="begin"/>
      </w:r>
      <w:r>
        <w:instrText xml:space="preserve"> HYPERLINK \l "_Toc196728285" </w:instrText>
      </w:r>
      <w:r>
        <w:fldChar w:fldCharType="separate"/>
      </w:r>
      <w:r>
        <w:rPr>
          <w:rStyle w:val="139"/>
          <w:kern w:val="0"/>
          <w14:scene3d w14:prst="orthographicFront">
            <w14:lightRig w14:rig="threePt" w14:dir="t">
              <w14:rot w14:lat="0" w14:lon="0" w14:rev="0"/>
            </w14:lightRig>
          </w14:scene3d>
        </w:rPr>
        <w:t>16.1.1.</w:t>
      </w:r>
      <w:r>
        <w:rPr>
          <w:rStyle w:val="139"/>
        </w:rPr>
        <w:t xml:space="preserve"> 地址转换控制</w:t>
      </w:r>
      <w:r>
        <w:tab/>
      </w:r>
      <w:r>
        <w:fldChar w:fldCharType="begin"/>
      </w:r>
      <w:r>
        <w:instrText xml:space="preserve"> PAGEREF _Toc196728285 \h </w:instrText>
      </w:r>
      <w:r>
        <w:fldChar w:fldCharType="separate"/>
      </w:r>
      <w:r>
        <w:t>474</w:t>
      </w:r>
      <w:r>
        <w:fldChar w:fldCharType="end"/>
      </w:r>
      <w:r>
        <w:fldChar w:fldCharType="end"/>
      </w:r>
    </w:p>
    <w:p w14:paraId="0B22ECD9">
      <w:pPr>
        <w:pStyle w:val="42"/>
        <w:tabs>
          <w:tab w:val="right" w:leader="dot" w:pos="8296"/>
        </w:tabs>
        <w:ind w:left="840"/>
        <w:rPr>
          <w:rFonts w:asciiTheme="minorHAnsi" w:hAnsiTheme="minorHAnsi" w:eastAsiaTheme="minorEastAsia"/>
        </w:rPr>
      </w:pPr>
      <w:r>
        <w:fldChar w:fldCharType="begin"/>
      </w:r>
      <w:r>
        <w:instrText xml:space="preserve"> HYPERLINK \l "_Toc196728286" </w:instrText>
      </w:r>
      <w:r>
        <w:fldChar w:fldCharType="separate"/>
      </w:r>
      <w:r>
        <w:rPr>
          <w:rStyle w:val="139"/>
          <w:kern w:val="0"/>
          <w14:scene3d w14:prst="orthographicFront">
            <w14:lightRig w14:rig="threePt" w14:dir="t">
              <w14:rot w14:lat="0" w14:lon="0" w14:rev="0"/>
            </w14:lightRig>
          </w14:scene3d>
        </w:rPr>
        <w:t>16.1.2.</w:t>
      </w:r>
      <w:r>
        <w:rPr>
          <w:rStyle w:val="139"/>
        </w:rPr>
        <w:t xml:space="preserve"> NAT实现</w:t>
      </w:r>
      <w:r>
        <w:tab/>
      </w:r>
      <w:r>
        <w:fldChar w:fldCharType="begin"/>
      </w:r>
      <w:r>
        <w:instrText xml:space="preserve"> PAGEREF _Toc196728286 \h </w:instrText>
      </w:r>
      <w:r>
        <w:fldChar w:fldCharType="separate"/>
      </w:r>
      <w:r>
        <w:t>474</w:t>
      </w:r>
      <w:r>
        <w:fldChar w:fldCharType="end"/>
      </w:r>
      <w:r>
        <w:fldChar w:fldCharType="end"/>
      </w:r>
    </w:p>
    <w:p w14:paraId="55E50491">
      <w:pPr>
        <w:pStyle w:val="42"/>
        <w:tabs>
          <w:tab w:val="right" w:leader="dot" w:pos="8296"/>
        </w:tabs>
        <w:ind w:left="840"/>
        <w:rPr>
          <w:rFonts w:asciiTheme="minorHAnsi" w:hAnsiTheme="minorHAnsi" w:eastAsiaTheme="minorEastAsia"/>
        </w:rPr>
      </w:pPr>
      <w:r>
        <w:fldChar w:fldCharType="begin"/>
      </w:r>
      <w:r>
        <w:instrText xml:space="preserve"> HYPERLINK \l "_Toc196728287" </w:instrText>
      </w:r>
      <w:r>
        <w:fldChar w:fldCharType="separate"/>
      </w:r>
      <w:r>
        <w:rPr>
          <w:rStyle w:val="139"/>
          <w:kern w:val="0"/>
          <w14:scene3d w14:prst="orthographicFront">
            <w14:lightRig w14:rig="threePt" w14:dir="t">
              <w14:rot w14:lat="0" w14:lon="0" w14:rev="0"/>
            </w14:lightRig>
          </w14:scene3d>
        </w:rPr>
        <w:t>16.1.3.</w:t>
      </w:r>
      <w:r>
        <w:rPr>
          <w:rStyle w:val="139"/>
        </w:rPr>
        <w:t xml:space="preserve"> NAT64/46</w:t>
      </w:r>
      <w:r>
        <w:tab/>
      </w:r>
      <w:r>
        <w:fldChar w:fldCharType="begin"/>
      </w:r>
      <w:r>
        <w:instrText xml:space="preserve"> PAGEREF _Toc196728287 \h </w:instrText>
      </w:r>
      <w:r>
        <w:fldChar w:fldCharType="separate"/>
      </w:r>
      <w:r>
        <w:t>475</w:t>
      </w:r>
      <w:r>
        <w:fldChar w:fldCharType="end"/>
      </w:r>
      <w:r>
        <w:fldChar w:fldCharType="end"/>
      </w:r>
    </w:p>
    <w:p w14:paraId="4DED104F">
      <w:pPr>
        <w:pStyle w:val="70"/>
        <w:tabs>
          <w:tab w:val="right" w:leader="dot" w:pos="8296"/>
        </w:tabs>
        <w:ind w:left="420"/>
        <w:rPr>
          <w:rFonts w:asciiTheme="minorHAnsi" w:hAnsiTheme="minorHAnsi" w:eastAsiaTheme="minorEastAsia"/>
        </w:rPr>
      </w:pPr>
      <w:r>
        <w:fldChar w:fldCharType="begin"/>
      </w:r>
      <w:r>
        <w:instrText xml:space="preserve"> HYPERLINK \l "_Toc196728288" </w:instrText>
      </w:r>
      <w:r>
        <w:fldChar w:fldCharType="separate"/>
      </w:r>
      <w:r>
        <w:rPr>
          <w:rStyle w:val="139"/>
        </w:rPr>
        <w:t>16.2. 源NAT</w:t>
      </w:r>
      <w:r>
        <w:tab/>
      </w:r>
      <w:r>
        <w:fldChar w:fldCharType="begin"/>
      </w:r>
      <w:r>
        <w:instrText xml:space="preserve"> PAGEREF _Toc196728288 \h </w:instrText>
      </w:r>
      <w:r>
        <w:fldChar w:fldCharType="separate"/>
      </w:r>
      <w:r>
        <w:t>475</w:t>
      </w:r>
      <w:r>
        <w:fldChar w:fldCharType="end"/>
      </w:r>
      <w:r>
        <w:fldChar w:fldCharType="end"/>
      </w:r>
    </w:p>
    <w:p w14:paraId="1A97742D">
      <w:pPr>
        <w:pStyle w:val="42"/>
        <w:tabs>
          <w:tab w:val="right" w:leader="dot" w:pos="8296"/>
        </w:tabs>
        <w:ind w:left="840"/>
        <w:rPr>
          <w:rFonts w:asciiTheme="minorHAnsi" w:hAnsiTheme="minorHAnsi" w:eastAsiaTheme="minorEastAsia"/>
        </w:rPr>
      </w:pPr>
      <w:r>
        <w:fldChar w:fldCharType="begin"/>
      </w:r>
      <w:r>
        <w:instrText xml:space="preserve"> HYPERLINK \l "_Toc196728289" </w:instrText>
      </w:r>
      <w:r>
        <w:fldChar w:fldCharType="separate"/>
      </w:r>
      <w:r>
        <w:rPr>
          <w:rStyle w:val="139"/>
          <w:kern w:val="0"/>
          <w14:scene3d w14:prst="orthographicFront">
            <w14:lightRig w14:rig="threePt" w14:dir="t">
              <w14:rot w14:lat="0" w14:lon="0" w14:rev="0"/>
            </w14:lightRig>
          </w14:scene3d>
        </w:rPr>
        <w:t>16.2.1.</w:t>
      </w:r>
      <w:r>
        <w:rPr>
          <w:rStyle w:val="139"/>
        </w:rPr>
        <w:t xml:space="preserve"> 配置源NAT</w:t>
      </w:r>
      <w:r>
        <w:tab/>
      </w:r>
      <w:r>
        <w:fldChar w:fldCharType="begin"/>
      </w:r>
      <w:r>
        <w:instrText xml:space="preserve"> PAGEREF _Toc196728289 \h </w:instrText>
      </w:r>
      <w:r>
        <w:fldChar w:fldCharType="separate"/>
      </w:r>
      <w:r>
        <w:t>475</w:t>
      </w:r>
      <w:r>
        <w:fldChar w:fldCharType="end"/>
      </w:r>
      <w:r>
        <w:fldChar w:fldCharType="end"/>
      </w:r>
    </w:p>
    <w:p w14:paraId="3F50B525">
      <w:pPr>
        <w:pStyle w:val="42"/>
        <w:tabs>
          <w:tab w:val="right" w:leader="dot" w:pos="8296"/>
        </w:tabs>
        <w:ind w:left="840"/>
        <w:rPr>
          <w:rFonts w:asciiTheme="minorHAnsi" w:hAnsiTheme="minorHAnsi" w:eastAsiaTheme="minorEastAsia"/>
        </w:rPr>
      </w:pPr>
      <w:r>
        <w:fldChar w:fldCharType="begin"/>
      </w:r>
      <w:r>
        <w:instrText xml:space="preserve"> HYPERLINK \l "_Toc196728290" </w:instrText>
      </w:r>
      <w:r>
        <w:fldChar w:fldCharType="separate"/>
      </w:r>
      <w:r>
        <w:rPr>
          <w:rStyle w:val="139"/>
          <w:kern w:val="0"/>
          <w14:scene3d w14:prst="orthographicFront">
            <w14:lightRig w14:rig="threePt" w14:dir="t">
              <w14:rot w14:lat="0" w14:lon="0" w14:rev="0"/>
            </w14:lightRig>
          </w14:scene3d>
        </w:rPr>
        <w:t>16.2.2.</w:t>
      </w:r>
      <w:r>
        <w:rPr>
          <w:rStyle w:val="139"/>
        </w:rPr>
        <w:t xml:space="preserve"> 源NAT配置案例</w:t>
      </w:r>
      <w:r>
        <w:tab/>
      </w:r>
      <w:r>
        <w:fldChar w:fldCharType="begin"/>
      </w:r>
      <w:r>
        <w:instrText xml:space="preserve"> PAGEREF _Toc196728290 \h </w:instrText>
      </w:r>
      <w:r>
        <w:fldChar w:fldCharType="separate"/>
      </w:r>
      <w:r>
        <w:t>477</w:t>
      </w:r>
      <w:r>
        <w:fldChar w:fldCharType="end"/>
      </w:r>
      <w:r>
        <w:fldChar w:fldCharType="end"/>
      </w:r>
    </w:p>
    <w:p w14:paraId="16421B45">
      <w:pPr>
        <w:pStyle w:val="70"/>
        <w:tabs>
          <w:tab w:val="right" w:leader="dot" w:pos="8296"/>
        </w:tabs>
        <w:ind w:left="420"/>
        <w:rPr>
          <w:rFonts w:asciiTheme="minorHAnsi" w:hAnsiTheme="minorHAnsi" w:eastAsiaTheme="minorEastAsia"/>
        </w:rPr>
      </w:pPr>
      <w:r>
        <w:fldChar w:fldCharType="begin"/>
      </w:r>
      <w:r>
        <w:instrText xml:space="preserve"> HYPERLINK \l "_Toc196728291" </w:instrText>
      </w:r>
      <w:r>
        <w:fldChar w:fldCharType="separate"/>
      </w:r>
      <w:r>
        <w:rPr>
          <w:rStyle w:val="139"/>
        </w:rPr>
        <w:t>16.3. 目的NAT</w:t>
      </w:r>
      <w:r>
        <w:tab/>
      </w:r>
      <w:r>
        <w:fldChar w:fldCharType="begin"/>
      </w:r>
      <w:r>
        <w:instrText xml:space="preserve"> PAGEREF _Toc196728291 \h </w:instrText>
      </w:r>
      <w:r>
        <w:fldChar w:fldCharType="separate"/>
      </w:r>
      <w:r>
        <w:t>479</w:t>
      </w:r>
      <w:r>
        <w:fldChar w:fldCharType="end"/>
      </w:r>
      <w:r>
        <w:fldChar w:fldCharType="end"/>
      </w:r>
    </w:p>
    <w:p w14:paraId="011CDCD8">
      <w:pPr>
        <w:pStyle w:val="42"/>
        <w:tabs>
          <w:tab w:val="right" w:leader="dot" w:pos="8296"/>
        </w:tabs>
        <w:ind w:left="840"/>
        <w:rPr>
          <w:rFonts w:asciiTheme="minorHAnsi" w:hAnsiTheme="minorHAnsi" w:eastAsiaTheme="minorEastAsia"/>
        </w:rPr>
      </w:pPr>
      <w:r>
        <w:fldChar w:fldCharType="begin"/>
      </w:r>
      <w:r>
        <w:instrText xml:space="preserve"> HYPERLINK \l "_Toc196728292" </w:instrText>
      </w:r>
      <w:r>
        <w:fldChar w:fldCharType="separate"/>
      </w:r>
      <w:r>
        <w:rPr>
          <w:rStyle w:val="139"/>
          <w:kern w:val="0"/>
          <w14:scene3d w14:prst="orthographicFront">
            <w14:lightRig w14:rig="threePt" w14:dir="t">
              <w14:rot w14:lat="0" w14:lon="0" w14:rev="0"/>
            </w14:lightRig>
          </w14:scene3d>
        </w:rPr>
        <w:t>16.3.1.</w:t>
      </w:r>
      <w:r>
        <w:rPr>
          <w:rStyle w:val="139"/>
        </w:rPr>
        <w:t xml:space="preserve"> 配置目的NAT</w:t>
      </w:r>
      <w:r>
        <w:tab/>
      </w:r>
      <w:r>
        <w:fldChar w:fldCharType="begin"/>
      </w:r>
      <w:r>
        <w:instrText xml:space="preserve"> PAGEREF _Toc196728292 \h </w:instrText>
      </w:r>
      <w:r>
        <w:fldChar w:fldCharType="separate"/>
      </w:r>
      <w:r>
        <w:t>479</w:t>
      </w:r>
      <w:r>
        <w:fldChar w:fldCharType="end"/>
      </w:r>
      <w:r>
        <w:fldChar w:fldCharType="end"/>
      </w:r>
    </w:p>
    <w:p w14:paraId="4B50F57A">
      <w:pPr>
        <w:pStyle w:val="42"/>
        <w:tabs>
          <w:tab w:val="right" w:leader="dot" w:pos="8296"/>
        </w:tabs>
        <w:ind w:left="840"/>
        <w:rPr>
          <w:rFonts w:asciiTheme="minorHAnsi" w:hAnsiTheme="minorHAnsi" w:eastAsiaTheme="minorEastAsia"/>
        </w:rPr>
      </w:pPr>
      <w:r>
        <w:fldChar w:fldCharType="begin"/>
      </w:r>
      <w:r>
        <w:instrText xml:space="preserve"> HYPERLINK \l "_Toc196728293" </w:instrText>
      </w:r>
      <w:r>
        <w:fldChar w:fldCharType="separate"/>
      </w:r>
      <w:r>
        <w:rPr>
          <w:rStyle w:val="139"/>
          <w:kern w:val="0"/>
          <w14:scene3d w14:prst="orthographicFront">
            <w14:lightRig w14:rig="threePt" w14:dir="t">
              <w14:rot w14:lat="0" w14:lon="0" w14:rev="0"/>
            </w14:lightRig>
          </w14:scene3d>
        </w:rPr>
        <w:t>16.3.2.</w:t>
      </w:r>
      <w:r>
        <w:rPr>
          <w:rStyle w:val="139"/>
        </w:rPr>
        <w:t xml:space="preserve"> 目的NAT配置案例</w:t>
      </w:r>
      <w:r>
        <w:tab/>
      </w:r>
      <w:r>
        <w:fldChar w:fldCharType="begin"/>
      </w:r>
      <w:r>
        <w:instrText xml:space="preserve"> PAGEREF _Toc196728293 \h </w:instrText>
      </w:r>
      <w:r>
        <w:fldChar w:fldCharType="separate"/>
      </w:r>
      <w:r>
        <w:t>481</w:t>
      </w:r>
      <w:r>
        <w:fldChar w:fldCharType="end"/>
      </w:r>
      <w:r>
        <w:fldChar w:fldCharType="end"/>
      </w:r>
    </w:p>
    <w:p w14:paraId="7BE62D33">
      <w:pPr>
        <w:pStyle w:val="70"/>
        <w:tabs>
          <w:tab w:val="right" w:leader="dot" w:pos="8296"/>
        </w:tabs>
        <w:ind w:left="420"/>
        <w:rPr>
          <w:rFonts w:asciiTheme="minorHAnsi" w:hAnsiTheme="minorHAnsi" w:eastAsiaTheme="minorEastAsia"/>
        </w:rPr>
      </w:pPr>
      <w:r>
        <w:fldChar w:fldCharType="begin"/>
      </w:r>
      <w:r>
        <w:instrText xml:space="preserve"> HYPERLINK \l "_Toc196728294" </w:instrText>
      </w:r>
      <w:r>
        <w:fldChar w:fldCharType="separate"/>
      </w:r>
      <w:r>
        <w:rPr>
          <w:rStyle w:val="139"/>
        </w:rPr>
        <w:t>16.4. 静态NAT</w:t>
      </w:r>
      <w:r>
        <w:tab/>
      </w:r>
      <w:r>
        <w:fldChar w:fldCharType="begin"/>
      </w:r>
      <w:r>
        <w:instrText xml:space="preserve"> PAGEREF _Toc196728294 \h </w:instrText>
      </w:r>
      <w:r>
        <w:fldChar w:fldCharType="separate"/>
      </w:r>
      <w:r>
        <w:t>484</w:t>
      </w:r>
      <w:r>
        <w:fldChar w:fldCharType="end"/>
      </w:r>
      <w:r>
        <w:fldChar w:fldCharType="end"/>
      </w:r>
    </w:p>
    <w:p w14:paraId="4860E7B3">
      <w:pPr>
        <w:pStyle w:val="42"/>
        <w:tabs>
          <w:tab w:val="right" w:leader="dot" w:pos="8296"/>
        </w:tabs>
        <w:ind w:left="840"/>
        <w:rPr>
          <w:rFonts w:asciiTheme="minorHAnsi" w:hAnsiTheme="minorHAnsi" w:eastAsiaTheme="minorEastAsia"/>
        </w:rPr>
      </w:pPr>
      <w:r>
        <w:fldChar w:fldCharType="begin"/>
      </w:r>
      <w:r>
        <w:instrText xml:space="preserve"> HYPERLINK \l "_Toc196728295" </w:instrText>
      </w:r>
      <w:r>
        <w:fldChar w:fldCharType="separate"/>
      </w:r>
      <w:r>
        <w:rPr>
          <w:rStyle w:val="139"/>
          <w:kern w:val="0"/>
          <w14:scene3d w14:prst="orthographicFront">
            <w14:lightRig w14:rig="threePt" w14:dir="t">
              <w14:rot w14:lat="0" w14:lon="0" w14:rev="0"/>
            </w14:lightRig>
          </w14:scene3d>
        </w:rPr>
        <w:t>16.4.1.</w:t>
      </w:r>
      <w:r>
        <w:rPr>
          <w:rStyle w:val="139"/>
        </w:rPr>
        <w:t xml:space="preserve"> 配置静态NAT</w:t>
      </w:r>
      <w:r>
        <w:tab/>
      </w:r>
      <w:r>
        <w:fldChar w:fldCharType="begin"/>
      </w:r>
      <w:r>
        <w:instrText xml:space="preserve"> PAGEREF _Toc196728295 \h </w:instrText>
      </w:r>
      <w:r>
        <w:fldChar w:fldCharType="separate"/>
      </w:r>
      <w:r>
        <w:t>484</w:t>
      </w:r>
      <w:r>
        <w:fldChar w:fldCharType="end"/>
      </w:r>
      <w:r>
        <w:fldChar w:fldCharType="end"/>
      </w:r>
    </w:p>
    <w:p w14:paraId="48A5A6B4">
      <w:pPr>
        <w:pStyle w:val="42"/>
        <w:tabs>
          <w:tab w:val="right" w:leader="dot" w:pos="8296"/>
        </w:tabs>
        <w:ind w:left="840"/>
        <w:rPr>
          <w:rFonts w:asciiTheme="minorHAnsi" w:hAnsiTheme="minorHAnsi" w:eastAsiaTheme="minorEastAsia"/>
        </w:rPr>
      </w:pPr>
      <w:r>
        <w:fldChar w:fldCharType="begin"/>
      </w:r>
      <w:r>
        <w:instrText xml:space="preserve"> HYPERLINK \l "_Toc196728296" </w:instrText>
      </w:r>
      <w:r>
        <w:fldChar w:fldCharType="separate"/>
      </w:r>
      <w:r>
        <w:rPr>
          <w:rStyle w:val="139"/>
          <w:kern w:val="0"/>
          <w14:scene3d w14:prst="orthographicFront">
            <w14:lightRig w14:rig="threePt" w14:dir="t">
              <w14:rot w14:lat="0" w14:lon="0" w14:rev="0"/>
            </w14:lightRig>
          </w14:scene3d>
        </w:rPr>
        <w:t>16.4.2.</w:t>
      </w:r>
      <w:r>
        <w:rPr>
          <w:rStyle w:val="139"/>
        </w:rPr>
        <w:t xml:space="preserve"> 静态NAT配置案例</w:t>
      </w:r>
      <w:r>
        <w:tab/>
      </w:r>
      <w:r>
        <w:fldChar w:fldCharType="begin"/>
      </w:r>
      <w:r>
        <w:instrText xml:space="preserve"> PAGEREF _Toc196728296 \h </w:instrText>
      </w:r>
      <w:r>
        <w:fldChar w:fldCharType="separate"/>
      </w:r>
      <w:r>
        <w:t>485</w:t>
      </w:r>
      <w:r>
        <w:fldChar w:fldCharType="end"/>
      </w:r>
      <w:r>
        <w:fldChar w:fldCharType="end"/>
      </w:r>
    </w:p>
    <w:p w14:paraId="15F917B7">
      <w:pPr>
        <w:pStyle w:val="70"/>
        <w:tabs>
          <w:tab w:val="right" w:leader="dot" w:pos="8296"/>
        </w:tabs>
        <w:ind w:left="420"/>
        <w:rPr>
          <w:rFonts w:asciiTheme="minorHAnsi" w:hAnsiTheme="minorHAnsi" w:eastAsiaTheme="minorEastAsia"/>
        </w:rPr>
      </w:pPr>
      <w:r>
        <w:fldChar w:fldCharType="begin"/>
      </w:r>
      <w:r>
        <w:instrText xml:space="preserve"> HYPERLINK \l "_Toc196728297" </w:instrText>
      </w:r>
      <w:r>
        <w:fldChar w:fldCharType="separate"/>
      </w:r>
      <w:r>
        <w:rPr>
          <w:rStyle w:val="139"/>
        </w:rPr>
        <w:t>16.5. 配置地址池</w:t>
      </w:r>
      <w:r>
        <w:tab/>
      </w:r>
      <w:r>
        <w:fldChar w:fldCharType="begin"/>
      </w:r>
      <w:r>
        <w:instrText xml:space="preserve"> PAGEREF _Toc196728297 \h </w:instrText>
      </w:r>
      <w:r>
        <w:fldChar w:fldCharType="separate"/>
      </w:r>
      <w:r>
        <w:t>487</w:t>
      </w:r>
      <w:r>
        <w:fldChar w:fldCharType="end"/>
      </w:r>
      <w:r>
        <w:fldChar w:fldCharType="end"/>
      </w:r>
    </w:p>
    <w:p w14:paraId="100F9688">
      <w:pPr>
        <w:pStyle w:val="70"/>
        <w:tabs>
          <w:tab w:val="right" w:leader="dot" w:pos="8296"/>
        </w:tabs>
        <w:ind w:left="420"/>
        <w:rPr>
          <w:rFonts w:asciiTheme="minorHAnsi" w:hAnsiTheme="minorHAnsi" w:eastAsiaTheme="minorEastAsia"/>
        </w:rPr>
      </w:pPr>
      <w:r>
        <w:fldChar w:fldCharType="begin"/>
      </w:r>
      <w:r>
        <w:instrText xml:space="preserve"> HYPERLINK \l "_Toc196728298" </w:instrText>
      </w:r>
      <w:r>
        <w:fldChar w:fldCharType="separate"/>
      </w:r>
      <w:r>
        <w:rPr>
          <w:rStyle w:val="139"/>
        </w:rPr>
        <w:t>16.6. 配置NAT64</w:t>
      </w:r>
      <w:r>
        <w:tab/>
      </w:r>
      <w:r>
        <w:fldChar w:fldCharType="begin"/>
      </w:r>
      <w:r>
        <w:instrText xml:space="preserve"> PAGEREF _Toc196728298 \h </w:instrText>
      </w:r>
      <w:r>
        <w:fldChar w:fldCharType="separate"/>
      </w:r>
      <w:r>
        <w:t>489</w:t>
      </w:r>
      <w:r>
        <w:fldChar w:fldCharType="end"/>
      </w:r>
      <w:r>
        <w:fldChar w:fldCharType="end"/>
      </w:r>
    </w:p>
    <w:p w14:paraId="410EAB16">
      <w:pPr>
        <w:pStyle w:val="70"/>
        <w:tabs>
          <w:tab w:val="right" w:leader="dot" w:pos="8296"/>
        </w:tabs>
        <w:ind w:left="420"/>
        <w:rPr>
          <w:rFonts w:asciiTheme="minorHAnsi" w:hAnsiTheme="minorHAnsi" w:eastAsiaTheme="minorEastAsia"/>
        </w:rPr>
      </w:pPr>
      <w:r>
        <w:fldChar w:fldCharType="begin"/>
      </w:r>
      <w:r>
        <w:instrText xml:space="preserve"> HYPERLINK \l "_Toc196728299" </w:instrText>
      </w:r>
      <w:r>
        <w:fldChar w:fldCharType="separate"/>
      </w:r>
      <w:r>
        <w:rPr>
          <w:rStyle w:val="139"/>
        </w:rPr>
        <w:t>16.7. 配置NAT46</w:t>
      </w:r>
      <w:r>
        <w:tab/>
      </w:r>
      <w:r>
        <w:fldChar w:fldCharType="begin"/>
      </w:r>
      <w:r>
        <w:instrText xml:space="preserve"> PAGEREF _Toc196728299 \h </w:instrText>
      </w:r>
      <w:r>
        <w:fldChar w:fldCharType="separate"/>
      </w:r>
      <w:r>
        <w:t>490</w:t>
      </w:r>
      <w:r>
        <w:fldChar w:fldCharType="end"/>
      </w:r>
      <w:r>
        <w:fldChar w:fldCharType="end"/>
      </w:r>
    </w:p>
    <w:p w14:paraId="6AC63000">
      <w:pPr>
        <w:pStyle w:val="56"/>
        <w:tabs>
          <w:tab w:val="right" w:leader="dot" w:pos="8296"/>
        </w:tabs>
        <w:rPr>
          <w:rFonts w:asciiTheme="minorHAnsi" w:hAnsiTheme="minorHAnsi" w:eastAsiaTheme="minorEastAsia"/>
        </w:rPr>
      </w:pPr>
      <w:r>
        <w:fldChar w:fldCharType="begin"/>
      </w:r>
      <w:r>
        <w:instrText xml:space="preserve"> HYPERLINK \l "_Toc196728300" </w:instrText>
      </w:r>
      <w:r>
        <w:fldChar w:fldCharType="separate"/>
      </w:r>
      <w:r>
        <w:rPr>
          <w:rStyle w:val="139"/>
        </w:rPr>
        <w:t>17. 负载均衡策略</w:t>
      </w:r>
      <w:r>
        <w:tab/>
      </w:r>
      <w:r>
        <w:fldChar w:fldCharType="begin"/>
      </w:r>
      <w:r>
        <w:instrText xml:space="preserve"> PAGEREF _Toc196728300 \h </w:instrText>
      </w:r>
      <w:r>
        <w:fldChar w:fldCharType="separate"/>
      </w:r>
      <w:r>
        <w:t>492</w:t>
      </w:r>
      <w:r>
        <w:fldChar w:fldCharType="end"/>
      </w:r>
      <w:r>
        <w:fldChar w:fldCharType="end"/>
      </w:r>
    </w:p>
    <w:p w14:paraId="502C5501">
      <w:pPr>
        <w:pStyle w:val="70"/>
        <w:tabs>
          <w:tab w:val="right" w:leader="dot" w:pos="8296"/>
        </w:tabs>
        <w:ind w:left="420"/>
        <w:rPr>
          <w:rFonts w:asciiTheme="minorHAnsi" w:hAnsiTheme="minorHAnsi" w:eastAsiaTheme="minorEastAsia"/>
        </w:rPr>
      </w:pPr>
      <w:r>
        <w:fldChar w:fldCharType="begin"/>
      </w:r>
      <w:r>
        <w:instrText xml:space="preserve"> HYPERLINK \l "_Toc196728301" </w:instrText>
      </w:r>
      <w:r>
        <w:fldChar w:fldCharType="separate"/>
      </w:r>
      <w:r>
        <w:rPr>
          <w:rStyle w:val="139"/>
        </w:rPr>
        <w:t>17.1. 负载均衡简介</w:t>
      </w:r>
      <w:r>
        <w:tab/>
      </w:r>
      <w:r>
        <w:fldChar w:fldCharType="begin"/>
      </w:r>
      <w:r>
        <w:instrText xml:space="preserve"> PAGEREF _Toc196728301 \h </w:instrText>
      </w:r>
      <w:r>
        <w:fldChar w:fldCharType="separate"/>
      </w:r>
      <w:r>
        <w:t>492</w:t>
      </w:r>
      <w:r>
        <w:fldChar w:fldCharType="end"/>
      </w:r>
      <w:r>
        <w:fldChar w:fldCharType="end"/>
      </w:r>
    </w:p>
    <w:p w14:paraId="4FC5DB82">
      <w:pPr>
        <w:pStyle w:val="70"/>
        <w:tabs>
          <w:tab w:val="right" w:leader="dot" w:pos="8296"/>
        </w:tabs>
        <w:ind w:left="420"/>
        <w:rPr>
          <w:rFonts w:asciiTheme="minorHAnsi" w:hAnsiTheme="minorHAnsi" w:eastAsiaTheme="minorEastAsia"/>
        </w:rPr>
      </w:pPr>
      <w:r>
        <w:fldChar w:fldCharType="begin"/>
      </w:r>
      <w:r>
        <w:instrText xml:space="preserve"> HYPERLINK \l "_Toc196728302" </w:instrText>
      </w:r>
      <w:r>
        <w:fldChar w:fldCharType="separate"/>
      </w:r>
      <w:r>
        <w:rPr>
          <w:rStyle w:val="139"/>
        </w:rPr>
        <w:t>17.2. 链路负载均衡</w:t>
      </w:r>
      <w:r>
        <w:tab/>
      </w:r>
      <w:r>
        <w:fldChar w:fldCharType="begin"/>
      </w:r>
      <w:r>
        <w:instrText xml:space="preserve"> PAGEREF _Toc196728302 \h </w:instrText>
      </w:r>
      <w:r>
        <w:fldChar w:fldCharType="separate"/>
      </w:r>
      <w:r>
        <w:t>492</w:t>
      </w:r>
      <w:r>
        <w:fldChar w:fldCharType="end"/>
      </w:r>
      <w:r>
        <w:fldChar w:fldCharType="end"/>
      </w:r>
    </w:p>
    <w:p w14:paraId="7482E363">
      <w:pPr>
        <w:pStyle w:val="42"/>
        <w:tabs>
          <w:tab w:val="right" w:leader="dot" w:pos="8296"/>
        </w:tabs>
        <w:ind w:left="840"/>
        <w:rPr>
          <w:rFonts w:asciiTheme="minorHAnsi" w:hAnsiTheme="minorHAnsi" w:eastAsiaTheme="minorEastAsia"/>
        </w:rPr>
      </w:pPr>
      <w:r>
        <w:fldChar w:fldCharType="begin"/>
      </w:r>
      <w:r>
        <w:instrText xml:space="preserve"> HYPERLINK \l "_Toc196728303" </w:instrText>
      </w:r>
      <w:r>
        <w:fldChar w:fldCharType="separate"/>
      </w:r>
      <w:r>
        <w:rPr>
          <w:rStyle w:val="139"/>
          <w:kern w:val="0"/>
          <w14:scene3d w14:prst="orthographicFront">
            <w14:lightRig w14:rig="threePt" w14:dir="t">
              <w14:rot w14:lat="0" w14:lon="0" w14:rev="0"/>
            </w14:lightRig>
          </w14:scene3d>
        </w:rPr>
        <w:t>17.2.1.</w:t>
      </w:r>
      <w:r>
        <w:rPr>
          <w:rStyle w:val="139"/>
        </w:rPr>
        <w:t xml:space="preserve"> 创建链路负载均衡组</w:t>
      </w:r>
      <w:r>
        <w:tab/>
      </w:r>
      <w:r>
        <w:fldChar w:fldCharType="begin"/>
      </w:r>
      <w:r>
        <w:instrText xml:space="preserve"> PAGEREF _Toc196728303 \h </w:instrText>
      </w:r>
      <w:r>
        <w:fldChar w:fldCharType="separate"/>
      </w:r>
      <w:r>
        <w:t>492</w:t>
      </w:r>
      <w:r>
        <w:fldChar w:fldCharType="end"/>
      </w:r>
      <w:r>
        <w:fldChar w:fldCharType="end"/>
      </w:r>
    </w:p>
    <w:p w14:paraId="5C5A5303">
      <w:pPr>
        <w:pStyle w:val="42"/>
        <w:tabs>
          <w:tab w:val="right" w:leader="dot" w:pos="8296"/>
        </w:tabs>
        <w:ind w:left="840"/>
        <w:rPr>
          <w:rFonts w:asciiTheme="minorHAnsi" w:hAnsiTheme="minorHAnsi" w:eastAsiaTheme="minorEastAsia"/>
        </w:rPr>
      </w:pPr>
      <w:r>
        <w:fldChar w:fldCharType="begin"/>
      </w:r>
      <w:r>
        <w:instrText xml:space="preserve"> HYPERLINK \l "_Toc196728304" </w:instrText>
      </w:r>
      <w:r>
        <w:fldChar w:fldCharType="separate"/>
      </w:r>
      <w:r>
        <w:rPr>
          <w:rStyle w:val="139"/>
          <w:kern w:val="0"/>
          <w14:scene3d w14:prst="orthographicFront">
            <w14:lightRig w14:rig="threePt" w14:dir="t">
              <w14:rot w14:lat="0" w14:lon="0" w14:rev="0"/>
            </w14:lightRig>
          </w14:scene3d>
        </w:rPr>
        <w:t>17.2.2.</w:t>
      </w:r>
      <w:r>
        <w:rPr>
          <w:rStyle w:val="139"/>
        </w:rPr>
        <w:t xml:space="preserve"> 在负载均衡出接口上应用负载均衡策略</w:t>
      </w:r>
      <w:r>
        <w:tab/>
      </w:r>
      <w:r>
        <w:fldChar w:fldCharType="begin"/>
      </w:r>
      <w:r>
        <w:instrText xml:space="preserve"> PAGEREF _Toc196728304 \h </w:instrText>
      </w:r>
      <w:r>
        <w:fldChar w:fldCharType="separate"/>
      </w:r>
      <w:r>
        <w:t>494</w:t>
      </w:r>
      <w:r>
        <w:fldChar w:fldCharType="end"/>
      </w:r>
      <w:r>
        <w:fldChar w:fldCharType="end"/>
      </w:r>
    </w:p>
    <w:p w14:paraId="102F7249">
      <w:pPr>
        <w:pStyle w:val="70"/>
        <w:tabs>
          <w:tab w:val="right" w:leader="dot" w:pos="8296"/>
        </w:tabs>
        <w:ind w:left="420"/>
        <w:rPr>
          <w:rFonts w:asciiTheme="minorHAnsi" w:hAnsiTheme="minorHAnsi" w:eastAsiaTheme="minorEastAsia"/>
        </w:rPr>
      </w:pPr>
      <w:r>
        <w:fldChar w:fldCharType="begin"/>
      </w:r>
      <w:r>
        <w:instrText xml:space="preserve"> HYPERLINK \l "_Toc196728305" </w:instrText>
      </w:r>
      <w:r>
        <w:fldChar w:fldCharType="separate"/>
      </w:r>
      <w:r>
        <w:rPr>
          <w:rStyle w:val="139"/>
        </w:rPr>
        <w:t>17.3. 服务器负载均衡</w:t>
      </w:r>
      <w:r>
        <w:tab/>
      </w:r>
      <w:r>
        <w:fldChar w:fldCharType="begin"/>
      </w:r>
      <w:r>
        <w:instrText xml:space="preserve"> PAGEREF _Toc196728305 \h </w:instrText>
      </w:r>
      <w:r>
        <w:fldChar w:fldCharType="separate"/>
      </w:r>
      <w:r>
        <w:t>498</w:t>
      </w:r>
      <w:r>
        <w:fldChar w:fldCharType="end"/>
      </w:r>
      <w:r>
        <w:fldChar w:fldCharType="end"/>
      </w:r>
    </w:p>
    <w:p w14:paraId="074005FB">
      <w:pPr>
        <w:pStyle w:val="42"/>
        <w:tabs>
          <w:tab w:val="right" w:leader="dot" w:pos="8296"/>
        </w:tabs>
        <w:ind w:left="840"/>
        <w:rPr>
          <w:rFonts w:asciiTheme="minorHAnsi" w:hAnsiTheme="minorHAnsi" w:eastAsiaTheme="minorEastAsia"/>
        </w:rPr>
      </w:pPr>
      <w:r>
        <w:fldChar w:fldCharType="begin"/>
      </w:r>
      <w:r>
        <w:instrText xml:space="preserve"> HYPERLINK \l "_Toc196728306" </w:instrText>
      </w:r>
      <w:r>
        <w:fldChar w:fldCharType="separate"/>
      </w:r>
      <w:r>
        <w:rPr>
          <w:rStyle w:val="139"/>
          <w:kern w:val="0"/>
          <w14:scene3d w14:prst="orthographicFront">
            <w14:lightRig w14:rig="threePt" w14:dir="t">
              <w14:rot w14:lat="0" w14:lon="0" w14:rev="0"/>
            </w14:lightRig>
          </w14:scene3d>
        </w:rPr>
        <w:t>17.3.1.</w:t>
      </w:r>
      <w:r>
        <w:rPr>
          <w:rStyle w:val="139"/>
        </w:rPr>
        <w:t xml:space="preserve"> 配置服务器负载均衡</w:t>
      </w:r>
      <w:r>
        <w:tab/>
      </w:r>
      <w:r>
        <w:fldChar w:fldCharType="begin"/>
      </w:r>
      <w:r>
        <w:instrText xml:space="preserve"> PAGEREF _Toc196728306 \h </w:instrText>
      </w:r>
      <w:r>
        <w:fldChar w:fldCharType="separate"/>
      </w:r>
      <w:r>
        <w:t>498</w:t>
      </w:r>
      <w:r>
        <w:fldChar w:fldCharType="end"/>
      </w:r>
      <w:r>
        <w:fldChar w:fldCharType="end"/>
      </w:r>
    </w:p>
    <w:p w14:paraId="3E322F26">
      <w:pPr>
        <w:pStyle w:val="42"/>
        <w:tabs>
          <w:tab w:val="right" w:leader="dot" w:pos="8296"/>
        </w:tabs>
        <w:ind w:left="840"/>
        <w:rPr>
          <w:rFonts w:asciiTheme="minorHAnsi" w:hAnsiTheme="minorHAnsi" w:eastAsiaTheme="minorEastAsia"/>
        </w:rPr>
      </w:pPr>
      <w:r>
        <w:fldChar w:fldCharType="begin"/>
      </w:r>
      <w:r>
        <w:instrText xml:space="preserve"> HYPERLINK \l "_Toc196728307" </w:instrText>
      </w:r>
      <w:r>
        <w:fldChar w:fldCharType="separate"/>
      </w:r>
      <w:r>
        <w:rPr>
          <w:rStyle w:val="139"/>
          <w:kern w:val="0"/>
          <w14:scene3d w14:prst="orthographicFront">
            <w14:lightRig w14:rig="threePt" w14:dir="t">
              <w14:rot w14:lat="0" w14:lon="0" w14:rev="0"/>
            </w14:lightRig>
          </w14:scene3d>
        </w:rPr>
        <w:t>17.3.2.</w:t>
      </w:r>
      <w:r>
        <w:rPr>
          <w:rStyle w:val="139"/>
        </w:rPr>
        <w:t xml:space="preserve"> 服务器负载均衡配置举例</w:t>
      </w:r>
      <w:r>
        <w:tab/>
      </w:r>
      <w:r>
        <w:fldChar w:fldCharType="begin"/>
      </w:r>
      <w:r>
        <w:instrText xml:space="preserve"> PAGEREF _Toc196728307 \h </w:instrText>
      </w:r>
      <w:r>
        <w:fldChar w:fldCharType="separate"/>
      </w:r>
      <w:r>
        <w:t>499</w:t>
      </w:r>
      <w:r>
        <w:fldChar w:fldCharType="end"/>
      </w:r>
      <w:r>
        <w:fldChar w:fldCharType="end"/>
      </w:r>
    </w:p>
    <w:p w14:paraId="26478ACA">
      <w:pPr>
        <w:pStyle w:val="42"/>
        <w:tabs>
          <w:tab w:val="right" w:leader="dot" w:pos="8296"/>
        </w:tabs>
        <w:ind w:left="840"/>
        <w:rPr>
          <w:rFonts w:asciiTheme="minorHAnsi" w:hAnsiTheme="minorHAnsi" w:eastAsiaTheme="minorEastAsia"/>
        </w:rPr>
      </w:pPr>
      <w:r>
        <w:fldChar w:fldCharType="begin"/>
      </w:r>
      <w:r>
        <w:instrText xml:space="preserve"> HYPERLINK \l "_Toc196728308" </w:instrText>
      </w:r>
      <w:r>
        <w:fldChar w:fldCharType="separate"/>
      </w:r>
      <w:r>
        <w:rPr>
          <w:rStyle w:val="139"/>
          <w:kern w:val="0"/>
          <w14:scene3d w14:prst="orthographicFront">
            <w14:lightRig w14:rig="threePt" w14:dir="t">
              <w14:rot w14:lat="0" w14:lon="0" w14:rev="0"/>
            </w14:lightRig>
          </w14:scene3d>
        </w:rPr>
        <w:t>17.3.3.</w:t>
      </w:r>
      <w:r>
        <w:rPr>
          <w:rStyle w:val="139"/>
        </w:rPr>
        <w:t xml:space="preserve"> 验证配置</w:t>
      </w:r>
      <w:r>
        <w:tab/>
      </w:r>
      <w:r>
        <w:fldChar w:fldCharType="begin"/>
      </w:r>
      <w:r>
        <w:instrText xml:space="preserve"> PAGEREF _Toc196728308 \h </w:instrText>
      </w:r>
      <w:r>
        <w:fldChar w:fldCharType="separate"/>
      </w:r>
      <w:r>
        <w:t>502</w:t>
      </w:r>
      <w:r>
        <w:fldChar w:fldCharType="end"/>
      </w:r>
      <w:r>
        <w:fldChar w:fldCharType="end"/>
      </w:r>
    </w:p>
    <w:p w14:paraId="21A433E3">
      <w:pPr>
        <w:pStyle w:val="70"/>
        <w:tabs>
          <w:tab w:val="right" w:leader="dot" w:pos="8296"/>
        </w:tabs>
        <w:ind w:left="420"/>
        <w:rPr>
          <w:rFonts w:asciiTheme="minorHAnsi" w:hAnsiTheme="minorHAnsi" w:eastAsiaTheme="minorEastAsia"/>
        </w:rPr>
      </w:pPr>
      <w:r>
        <w:fldChar w:fldCharType="begin"/>
      </w:r>
      <w:r>
        <w:instrText xml:space="preserve"> HYPERLINK \l "_Toc196728309" </w:instrText>
      </w:r>
      <w:r>
        <w:fldChar w:fldCharType="separate"/>
      </w:r>
      <w:r>
        <w:rPr>
          <w:rStyle w:val="139"/>
        </w:rPr>
        <w:t>17.4. DNS-DNAT</w:t>
      </w:r>
      <w:r>
        <w:tab/>
      </w:r>
      <w:r>
        <w:fldChar w:fldCharType="begin"/>
      </w:r>
      <w:r>
        <w:instrText xml:space="preserve"> PAGEREF _Toc196728309 \h </w:instrText>
      </w:r>
      <w:r>
        <w:fldChar w:fldCharType="separate"/>
      </w:r>
      <w:r>
        <w:t>502</w:t>
      </w:r>
      <w:r>
        <w:fldChar w:fldCharType="end"/>
      </w:r>
      <w:r>
        <w:fldChar w:fldCharType="end"/>
      </w:r>
    </w:p>
    <w:p w14:paraId="33675066">
      <w:pPr>
        <w:pStyle w:val="42"/>
        <w:tabs>
          <w:tab w:val="right" w:leader="dot" w:pos="8296"/>
        </w:tabs>
        <w:ind w:left="840"/>
        <w:rPr>
          <w:rFonts w:asciiTheme="minorHAnsi" w:hAnsiTheme="minorHAnsi" w:eastAsiaTheme="minorEastAsia"/>
        </w:rPr>
      </w:pPr>
      <w:r>
        <w:fldChar w:fldCharType="begin"/>
      </w:r>
      <w:r>
        <w:instrText xml:space="preserve"> HYPERLINK \l "_Toc196728310" </w:instrText>
      </w:r>
      <w:r>
        <w:fldChar w:fldCharType="separate"/>
      </w:r>
      <w:r>
        <w:rPr>
          <w:rStyle w:val="139"/>
          <w:kern w:val="0"/>
          <w14:scene3d w14:prst="orthographicFront">
            <w14:lightRig w14:rig="threePt" w14:dir="t">
              <w14:rot w14:lat="0" w14:lon="0" w14:rev="0"/>
            </w14:lightRig>
          </w14:scene3d>
        </w:rPr>
        <w:t>17.4.1.</w:t>
      </w:r>
      <w:r>
        <w:rPr>
          <w:rStyle w:val="139"/>
        </w:rPr>
        <w:t xml:space="preserve"> DNS-DNAT简介</w:t>
      </w:r>
      <w:r>
        <w:tab/>
      </w:r>
      <w:r>
        <w:fldChar w:fldCharType="begin"/>
      </w:r>
      <w:r>
        <w:instrText xml:space="preserve"> PAGEREF _Toc196728310 \h </w:instrText>
      </w:r>
      <w:r>
        <w:fldChar w:fldCharType="separate"/>
      </w:r>
      <w:r>
        <w:t>502</w:t>
      </w:r>
      <w:r>
        <w:fldChar w:fldCharType="end"/>
      </w:r>
      <w:r>
        <w:fldChar w:fldCharType="end"/>
      </w:r>
    </w:p>
    <w:p w14:paraId="1D843718">
      <w:pPr>
        <w:pStyle w:val="42"/>
        <w:tabs>
          <w:tab w:val="right" w:leader="dot" w:pos="8296"/>
        </w:tabs>
        <w:ind w:left="840"/>
        <w:rPr>
          <w:rFonts w:asciiTheme="minorHAnsi" w:hAnsiTheme="minorHAnsi" w:eastAsiaTheme="minorEastAsia"/>
        </w:rPr>
      </w:pPr>
      <w:r>
        <w:fldChar w:fldCharType="begin"/>
      </w:r>
      <w:r>
        <w:instrText xml:space="preserve"> HYPERLINK \l "_Toc196728311" </w:instrText>
      </w:r>
      <w:r>
        <w:fldChar w:fldCharType="separate"/>
      </w:r>
      <w:r>
        <w:rPr>
          <w:rStyle w:val="139"/>
          <w:kern w:val="0"/>
          <w14:scene3d w14:prst="orthographicFront">
            <w14:lightRig w14:rig="threePt" w14:dir="t">
              <w14:rot w14:lat="0" w14:lon="0" w14:rev="0"/>
            </w14:lightRig>
          </w14:scene3d>
        </w:rPr>
        <w:t>17.4.2.</w:t>
      </w:r>
      <w:r>
        <w:rPr>
          <w:rStyle w:val="139"/>
        </w:rPr>
        <w:t xml:space="preserve"> NS-DNAT配置</w:t>
      </w:r>
      <w:r>
        <w:tab/>
      </w:r>
      <w:r>
        <w:fldChar w:fldCharType="begin"/>
      </w:r>
      <w:r>
        <w:instrText xml:space="preserve"> PAGEREF _Toc196728311 \h </w:instrText>
      </w:r>
      <w:r>
        <w:fldChar w:fldCharType="separate"/>
      </w:r>
      <w:r>
        <w:t>503</w:t>
      </w:r>
      <w:r>
        <w:fldChar w:fldCharType="end"/>
      </w:r>
      <w:r>
        <w:fldChar w:fldCharType="end"/>
      </w:r>
    </w:p>
    <w:p w14:paraId="7442459E">
      <w:pPr>
        <w:pStyle w:val="56"/>
        <w:tabs>
          <w:tab w:val="right" w:leader="dot" w:pos="8296"/>
        </w:tabs>
        <w:rPr>
          <w:rFonts w:asciiTheme="minorHAnsi" w:hAnsiTheme="minorHAnsi" w:eastAsiaTheme="minorEastAsia"/>
        </w:rPr>
      </w:pPr>
      <w:r>
        <w:fldChar w:fldCharType="begin"/>
      </w:r>
      <w:r>
        <w:instrText xml:space="preserve"> HYPERLINK \l "_Toc196728312" </w:instrText>
      </w:r>
      <w:r>
        <w:fldChar w:fldCharType="separate"/>
      </w:r>
      <w:r>
        <w:rPr>
          <w:rStyle w:val="139"/>
        </w:rPr>
        <w:t>18. 流控策略</w:t>
      </w:r>
      <w:r>
        <w:tab/>
      </w:r>
      <w:r>
        <w:fldChar w:fldCharType="begin"/>
      </w:r>
      <w:r>
        <w:instrText xml:space="preserve"> PAGEREF _Toc196728312 \h </w:instrText>
      </w:r>
      <w:r>
        <w:fldChar w:fldCharType="separate"/>
      </w:r>
      <w:r>
        <w:t>505</w:t>
      </w:r>
      <w:r>
        <w:fldChar w:fldCharType="end"/>
      </w:r>
      <w:r>
        <w:fldChar w:fldCharType="end"/>
      </w:r>
    </w:p>
    <w:p w14:paraId="2D75BD8E">
      <w:pPr>
        <w:pStyle w:val="70"/>
        <w:tabs>
          <w:tab w:val="right" w:leader="dot" w:pos="8296"/>
        </w:tabs>
        <w:ind w:left="420"/>
        <w:rPr>
          <w:rFonts w:asciiTheme="minorHAnsi" w:hAnsiTheme="minorHAnsi" w:eastAsiaTheme="minorEastAsia"/>
        </w:rPr>
      </w:pPr>
      <w:r>
        <w:fldChar w:fldCharType="begin"/>
      </w:r>
      <w:r>
        <w:instrText xml:space="preserve"> HYPERLINK \l "_Toc196728313" </w:instrText>
      </w:r>
      <w:r>
        <w:fldChar w:fldCharType="separate"/>
      </w:r>
      <w:r>
        <w:rPr>
          <w:rStyle w:val="139"/>
        </w:rPr>
        <w:t>18.1. 流控策略概述</w:t>
      </w:r>
      <w:r>
        <w:tab/>
      </w:r>
      <w:r>
        <w:fldChar w:fldCharType="begin"/>
      </w:r>
      <w:r>
        <w:instrText xml:space="preserve"> PAGEREF _Toc196728313 \h </w:instrText>
      </w:r>
      <w:r>
        <w:fldChar w:fldCharType="separate"/>
      </w:r>
      <w:r>
        <w:t>505</w:t>
      </w:r>
      <w:r>
        <w:fldChar w:fldCharType="end"/>
      </w:r>
      <w:r>
        <w:fldChar w:fldCharType="end"/>
      </w:r>
    </w:p>
    <w:p w14:paraId="18F5AD81">
      <w:pPr>
        <w:pStyle w:val="70"/>
        <w:tabs>
          <w:tab w:val="right" w:leader="dot" w:pos="8296"/>
        </w:tabs>
        <w:ind w:left="420"/>
        <w:rPr>
          <w:rFonts w:asciiTheme="minorHAnsi" w:hAnsiTheme="minorHAnsi" w:eastAsiaTheme="minorEastAsia"/>
        </w:rPr>
      </w:pPr>
      <w:r>
        <w:fldChar w:fldCharType="begin"/>
      </w:r>
      <w:r>
        <w:instrText xml:space="preserve"> HYPERLINK \l "_Toc196728314" </w:instrText>
      </w:r>
      <w:r>
        <w:fldChar w:fldCharType="separate"/>
      </w:r>
      <w:r>
        <w:rPr>
          <w:rStyle w:val="139"/>
        </w:rPr>
        <w:t>18.2. 线路</w:t>
      </w:r>
      <w:r>
        <w:tab/>
      </w:r>
      <w:r>
        <w:fldChar w:fldCharType="begin"/>
      </w:r>
      <w:r>
        <w:instrText xml:space="preserve"> PAGEREF _Toc196728314 \h </w:instrText>
      </w:r>
      <w:r>
        <w:fldChar w:fldCharType="separate"/>
      </w:r>
      <w:r>
        <w:t>506</w:t>
      </w:r>
      <w:r>
        <w:fldChar w:fldCharType="end"/>
      </w:r>
      <w:r>
        <w:fldChar w:fldCharType="end"/>
      </w:r>
    </w:p>
    <w:p w14:paraId="240DFB31">
      <w:pPr>
        <w:pStyle w:val="70"/>
        <w:tabs>
          <w:tab w:val="right" w:leader="dot" w:pos="8296"/>
        </w:tabs>
        <w:ind w:left="420"/>
        <w:rPr>
          <w:rFonts w:asciiTheme="minorHAnsi" w:hAnsiTheme="minorHAnsi" w:eastAsiaTheme="minorEastAsia"/>
        </w:rPr>
      </w:pPr>
      <w:r>
        <w:fldChar w:fldCharType="begin"/>
      </w:r>
      <w:r>
        <w:instrText xml:space="preserve"> HYPERLINK \l "_Toc196728315" </w:instrText>
      </w:r>
      <w:r>
        <w:fldChar w:fldCharType="separate"/>
      </w:r>
      <w:r>
        <w:rPr>
          <w:rStyle w:val="139"/>
        </w:rPr>
        <w:t>18.3. 通道</w:t>
      </w:r>
      <w:r>
        <w:tab/>
      </w:r>
      <w:r>
        <w:fldChar w:fldCharType="begin"/>
      </w:r>
      <w:r>
        <w:instrText xml:space="preserve"> PAGEREF _Toc196728315 \h </w:instrText>
      </w:r>
      <w:r>
        <w:fldChar w:fldCharType="separate"/>
      </w:r>
      <w:r>
        <w:t>509</w:t>
      </w:r>
      <w:r>
        <w:fldChar w:fldCharType="end"/>
      </w:r>
      <w:r>
        <w:fldChar w:fldCharType="end"/>
      </w:r>
    </w:p>
    <w:p w14:paraId="476A4BA9">
      <w:pPr>
        <w:pStyle w:val="70"/>
        <w:tabs>
          <w:tab w:val="right" w:leader="dot" w:pos="8296"/>
        </w:tabs>
        <w:ind w:left="420"/>
        <w:rPr>
          <w:rFonts w:asciiTheme="minorHAnsi" w:hAnsiTheme="minorHAnsi" w:eastAsiaTheme="minorEastAsia"/>
        </w:rPr>
      </w:pPr>
      <w:r>
        <w:fldChar w:fldCharType="begin"/>
      </w:r>
      <w:r>
        <w:instrText xml:space="preserve"> HYPERLINK \l "_Toc196728316" </w:instrText>
      </w:r>
      <w:r>
        <w:fldChar w:fldCharType="separate"/>
      </w:r>
      <w:r>
        <w:rPr>
          <w:rStyle w:val="139"/>
        </w:rPr>
        <w:t>18.4. 限制通道</w:t>
      </w:r>
      <w:r>
        <w:tab/>
      </w:r>
      <w:r>
        <w:fldChar w:fldCharType="begin"/>
      </w:r>
      <w:r>
        <w:instrText xml:space="preserve"> PAGEREF _Toc196728316 \h </w:instrText>
      </w:r>
      <w:r>
        <w:fldChar w:fldCharType="separate"/>
      </w:r>
      <w:r>
        <w:t>511</w:t>
      </w:r>
      <w:r>
        <w:fldChar w:fldCharType="end"/>
      </w:r>
      <w:r>
        <w:fldChar w:fldCharType="end"/>
      </w:r>
    </w:p>
    <w:p w14:paraId="53E56976">
      <w:pPr>
        <w:pStyle w:val="70"/>
        <w:tabs>
          <w:tab w:val="right" w:leader="dot" w:pos="8296"/>
        </w:tabs>
        <w:ind w:left="420"/>
        <w:rPr>
          <w:rFonts w:asciiTheme="minorHAnsi" w:hAnsiTheme="minorHAnsi" w:eastAsiaTheme="minorEastAsia"/>
        </w:rPr>
      </w:pPr>
      <w:r>
        <w:fldChar w:fldCharType="begin"/>
      </w:r>
      <w:r>
        <w:instrText xml:space="preserve"> HYPERLINK \l "_Toc196728317" </w:instrText>
      </w:r>
      <w:r>
        <w:fldChar w:fldCharType="separate"/>
      </w:r>
      <w:r>
        <w:rPr>
          <w:rStyle w:val="139"/>
        </w:rPr>
        <w:t>18.5. 惩罚通道</w:t>
      </w:r>
      <w:r>
        <w:tab/>
      </w:r>
      <w:r>
        <w:fldChar w:fldCharType="begin"/>
      </w:r>
      <w:r>
        <w:instrText xml:space="preserve"> PAGEREF _Toc196728317 \h </w:instrText>
      </w:r>
      <w:r>
        <w:fldChar w:fldCharType="separate"/>
      </w:r>
      <w:r>
        <w:t>512</w:t>
      </w:r>
      <w:r>
        <w:fldChar w:fldCharType="end"/>
      </w:r>
      <w:r>
        <w:fldChar w:fldCharType="end"/>
      </w:r>
    </w:p>
    <w:p w14:paraId="230BB042">
      <w:pPr>
        <w:pStyle w:val="70"/>
        <w:tabs>
          <w:tab w:val="right" w:leader="dot" w:pos="8296"/>
        </w:tabs>
        <w:ind w:left="420"/>
        <w:rPr>
          <w:rFonts w:asciiTheme="minorHAnsi" w:hAnsiTheme="minorHAnsi" w:eastAsiaTheme="minorEastAsia"/>
        </w:rPr>
      </w:pPr>
      <w:r>
        <w:fldChar w:fldCharType="begin"/>
      </w:r>
      <w:r>
        <w:instrText xml:space="preserve"> HYPERLINK \l "_Toc196728318" </w:instrText>
      </w:r>
      <w:r>
        <w:fldChar w:fldCharType="separate"/>
      </w:r>
      <w:r>
        <w:rPr>
          <w:rStyle w:val="139"/>
        </w:rPr>
        <w:t>18.6. 排除策略</w:t>
      </w:r>
      <w:r>
        <w:tab/>
      </w:r>
      <w:r>
        <w:fldChar w:fldCharType="begin"/>
      </w:r>
      <w:r>
        <w:instrText xml:space="preserve"> PAGEREF _Toc196728318 \h </w:instrText>
      </w:r>
      <w:r>
        <w:fldChar w:fldCharType="separate"/>
      </w:r>
      <w:r>
        <w:t>513</w:t>
      </w:r>
      <w:r>
        <w:fldChar w:fldCharType="end"/>
      </w:r>
      <w:r>
        <w:fldChar w:fldCharType="end"/>
      </w:r>
    </w:p>
    <w:p w14:paraId="12758608">
      <w:pPr>
        <w:pStyle w:val="70"/>
        <w:tabs>
          <w:tab w:val="right" w:leader="dot" w:pos="8296"/>
        </w:tabs>
        <w:ind w:left="420"/>
        <w:rPr>
          <w:rFonts w:asciiTheme="minorHAnsi" w:hAnsiTheme="minorHAnsi" w:eastAsiaTheme="minorEastAsia"/>
        </w:rPr>
      </w:pPr>
      <w:r>
        <w:fldChar w:fldCharType="begin"/>
      </w:r>
      <w:r>
        <w:instrText xml:space="preserve"> HYPERLINK \l "_Toc196728319" </w:instrText>
      </w:r>
      <w:r>
        <w:fldChar w:fldCharType="separate"/>
      </w:r>
      <w:r>
        <w:rPr>
          <w:rStyle w:val="139"/>
        </w:rPr>
        <w:t>18.7. 流量监控</w:t>
      </w:r>
      <w:r>
        <w:tab/>
      </w:r>
      <w:r>
        <w:fldChar w:fldCharType="begin"/>
      </w:r>
      <w:r>
        <w:instrText xml:space="preserve"> PAGEREF _Toc196728319 \h </w:instrText>
      </w:r>
      <w:r>
        <w:fldChar w:fldCharType="separate"/>
      </w:r>
      <w:r>
        <w:t>514</w:t>
      </w:r>
      <w:r>
        <w:fldChar w:fldCharType="end"/>
      </w:r>
      <w:r>
        <w:fldChar w:fldCharType="end"/>
      </w:r>
    </w:p>
    <w:p w14:paraId="41A3A145">
      <w:pPr>
        <w:pStyle w:val="70"/>
        <w:tabs>
          <w:tab w:val="right" w:leader="dot" w:pos="8296"/>
        </w:tabs>
        <w:ind w:left="420"/>
        <w:rPr>
          <w:rFonts w:asciiTheme="minorHAnsi" w:hAnsiTheme="minorHAnsi" w:eastAsiaTheme="minorEastAsia"/>
        </w:rPr>
      </w:pPr>
      <w:r>
        <w:fldChar w:fldCharType="begin"/>
      </w:r>
      <w:r>
        <w:instrText xml:space="preserve"> HYPERLINK \l "_Toc196728320" </w:instrText>
      </w:r>
      <w:r>
        <w:fldChar w:fldCharType="separate"/>
      </w:r>
      <w:r>
        <w:rPr>
          <w:rStyle w:val="139"/>
        </w:rPr>
        <w:t>18.8. 流控策略配置案例</w:t>
      </w:r>
      <w:r>
        <w:tab/>
      </w:r>
      <w:r>
        <w:fldChar w:fldCharType="begin"/>
      </w:r>
      <w:r>
        <w:instrText xml:space="preserve"> PAGEREF _Toc196728320 \h </w:instrText>
      </w:r>
      <w:r>
        <w:fldChar w:fldCharType="separate"/>
      </w:r>
      <w:r>
        <w:t>515</w:t>
      </w:r>
      <w:r>
        <w:fldChar w:fldCharType="end"/>
      </w:r>
      <w:r>
        <w:fldChar w:fldCharType="end"/>
      </w:r>
    </w:p>
    <w:p w14:paraId="3D6EAF08">
      <w:pPr>
        <w:pStyle w:val="56"/>
        <w:tabs>
          <w:tab w:val="right" w:leader="dot" w:pos="8296"/>
        </w:tabs>
        <w:rPr>
          <w:rFonts w:asciiTheme="minorHAnsi" w:hAnsiTheme="minorHAnsi" w:eastAsiaTheme="minorEastAsia"/>
        </w:rPr>
      </w:pPr>
      <w:r>
        <w:fldChar w:fldCharType="begin"/>
      </w:r>
      <w:r>
        <w:instrText xml:space="preserve"> HYPERLINK \l "_Toc196728321" </w:instrText>
      </w:r>
      <w:r>
        <w:fldChar w:fldCharType="separate"/>
      </w:r>
      <w:r>
        <w:rPr>
          <w:rStyle w:val="139"/>
        </w:rPr>
        <w:t>19. 用户限额策略</w:t>
      </w:r>
      <w:r>
        <w:tab/>
      </w:r>
      <w:r>
        <w:fldChar w:fldCharType="begin"/>
      </w:r>
      <w:r>
        <w:instrText xml:space="preserve"> PAGEREF _Toc196728321 \h </w:instrText>
      </w:r>
      <w:r>
        <w:fldChar w:fldCharType="separate"/>
      </w:r>
      <w:r>
        <w:t>519</w:t>
      </w:r>
      <w:r>
        <w:fldChar w:fldCharType="end"/>
      </w:r>
      <w:r>
        <w:fldChar w:fldCharType="end"/>
      </w:r>
    </w:p>
    <w:p w14:paraId="5A3D8D03">
      <w:pPr>
        <w:pStyle w:val="70"/>
        <w:tabs>
          <w:tab w:val="right" w:leader="dot" w:pos="8296"/>
        </w:tabs>
        <w:ind w:left="420"/>
        <w:rPr>
          <w:rFonts w:asciiTheme="minorHAnsi" w:hAnsiTheme="minorHAnsi" w:eastAsiaTheme="minorEastAsia"/>
        </w:rPr>
      </w:pPr>
      <w:r>
        <w:fldChar w:fldCharType="begin"/>
      </w:r>
      <w:r>
        <w:instrText xml:space="preserve"> HYPERLINK \l "_Toc196728322" </w:instrText>
      </w:r>
      <w:r>
        <w:fldChar w:fldCharType="separate"/>
      </w:r>
      <w:r>
        <w:rPr>
          <w:rStyle w:val="139"/>
        </w:rPr>
        <w:t>19.1. 限额策略概述</w:t>
      </w:r>
      <w:r>
        <w:tab/>
      </w:r>
      <w:r>
        <w:fldChar w:fldCharType="begin"/>
      </w:r>
      <w:r>
        <w:instrText xml:space="preserve"> PAGEREF _Toc196728322 \h </w:instrText>
      </w:r>
      <w:r>
        <w:fldChar w:fldCharType="separate"/>
      </w:r>
      <w:r>
        <w:t>519</w:t>
      </w:r>
      <w:r>
        <w:fldChar w:fldCharType="end"/>
      </w:r>
      <w:r>
        <w:fldChar w:fldCharType="end"/>
      </w:r>
    </w:p>
    <w:p w14:paraId="06579465">
      <w:pPr>
        <w:pStyle w:val="70"/>
        <w:tabs>
          <w:tab w:val="right" w:leader="dot" w:pos="8296"/>
        </w:tabs>
        <w:ind w:left="420"/>
        <w:rPr>
          <w:rFonts w:asciiTheme="minorHAnsi" w:hAnsiTheme="minorHAnsi" w:eastAsiaTheme="minorEastAsia"/>
        </w:rPr>
      </w:pPr>
      <w:r>
        <w:fldChar w:fldCharType="begin"/>
      </w:r>
      <w:r>
        <w:instrText xml:space="preserve"> HYPERLINK \l "_Toc196728323" </w:instrText>
      </w:r>
      <w:r>
        <w:fldChar w:fldCharType="separate"/>
      </w:r>
      <w:r>
        <w:rPr>
          <w:rStyle w:val="139"/>
        </w:rPr>
        <w:t>19.2. 限额策略</w:t>
      </w:r>
      <w:r>
        <w:tab/>
      </w:r>
      <w:r>
        <w:fldChar w:fldCharType="begin"/>
      </w:r>
      <w:r>
        <w:instrText xml:space="preserve"> PAGEREF _Toc196728323 \h </w:instrText>
      </w:r>
      <w:r>
        <w:fldChar w:fldCharType="separate"/>
      </w:r>
      <w:r>
        <w:t>519</w:t>
      </w:r>
      <w:r>
        <w:fldChar w:fldCharType="end"/>
      </w:r>
      <w:r>
        <w:fldChar w:fldCharType="end"/>
      </w:r>
    </w:p>
    <w:p w14:paraId="68E4942C">
      <w:pPr>
        <w:pStyle w:val="70"/>
        <w:tabs>
          <w:tab w:val="right" w:leader="dot" w:pos="8296"/>
        </w:tabs>
        <w:ind w:left="420"/>
        <w:rPr>
          <w:rFonts w:asciiTheme="minorHAnsi" w:hAnsiTheme="minorHAnsi" w:eastAsiaTheme="minorEastAsia"/>
        </w:rPr>
      </w:pPr>
      <w:r>
        <w:fldChar w:fldCharType="begin"/>
      </w:r>
      <w:r>
        <w:instrText xml:space="preserve"> HYPERLINK \l "_Toc196728324" </w:instrText>
      </w:r>
      <w:r>
        <w:fldChar w:fldCharType="separate"/>
      </w:r>
      <w:r>
        <w:rPr>
          <w:rStyle w:val="139"/>
        </w:rPr>
        <w:t>19.3. 限额用户统计</w:t>
      </w:r>
      <w:r>
        <w:tab/>
      </w:r>
      <w:r>
        <w:fldChar w:fldCharType="begin"/>
      </w:r>
      <w:r>
        <w:instrText xml:space="preserve"> PAGEREF _Toc196728324 \h </w:instrText>
      </w:r>
      <w:r>
        <w:fldChar w:fldCharType="separate"/>
      </w:r>
      <w:r>
        <w:t>522</w:t>
      </w:r>
      <w:r>
        <w:fldChar w:fldCharType="end"/>
      </w:r>
      <w:r>
        <w:fldChar w:fldCharType="end"/>
      </w:r>
    </w:p>
    <w:p w14:paraId="24153FA4">
      <w:pPr>
        <w:pStyle w:val="56"/>
        <w:tabs>
          <w:tab w:val="right" w:leader="dot" w:pos="8296"/>
        </w:tabs>
        <w:rPr>
          <w:rFonts w:asciiTheme="minorHAnsi" w:hAnsiTheme="minorHAnsi" w:eastAsiaTheme="minorEastAsia"/>
        </w:rPr>
      </w:pPr>
      <w:r>
        <w:fldChar w:fldCharType="begin"/>
      </w:r>
      <w:r>
        <w:instrText xml:space="preserve"> HYPERLINK \l "_Toc196728325" </w:instrText>
      </w:r>
      <w:r>
        <w:fldChar w:fldCharType="separate"/>
      </w:r>
      <w:r>
        <w:rPr>
          <w:rStyle w:val="139"/>
        </w:rPr>
        <w:t>20. SSL解密策略</w:t>
      </w:r>
      <w:r>
        <w:tab/>
      </w:r>
      <w:r>
        <w:fldChar w:fldCharType="begin"/>
      </w:r>
      <w:r>
        <w:instrText xml:space="preserve"> PAGEREF _Toc196728325 \h </w:instrText>
      </w:r>
      <w:r>
        <w:fldChar w:fldCharType="separate"/>
      </w:r>
      <w:r>
        <w:t>523</w:t>
      </w:r>
      <w:r>
        <w:fldChar w:fldCharType="end"/>
      </w:r>
      <w:r>
        <w:fldChar w:fldCharType="end"/>
      </w:r>
    </w:p>
    <w:p w14:paraId="5E374062">
      <w:pPr>
        <w:pStyle w:val="70"/>
        <w:tabs>
          <w:tab w:val="right" w:leader="dot" w:pos="8296"/>
        </w:tabs>
        <w:ind w:left="420"/>
        <w:rPr>
          <w:rFonts w:asciiTheme="minorHAnsi" w:hAnsiTheme="minorHAnsi" w:eastAsiaTheme="minorEastAsia"/>
        </w:rPr>
      </w:pPr>
      <w:r>
        <w:fldChar w:fldCharType="begin"/>
      </w:r>
      <w:r>
        <w:instrText xml:space="preserve"> HYPERLINK \l "_Toc196728326" </w:instrText>
      </w:r>
      <w:r>
        <w:fldChar w:fldCharType="separate"/>
      </w:r>
      <w:r>
        <w:rPr>
          <w:rStyle w:val="139"/>
        </w:rPr>
        <w:t>20.1. 概述</w:t>
      </w:r>
      <w:r>
        <w:tab/>
      </w:r>
      <w:r>
        <w:fldChar w:fldCharType="begin"/>
      </w:r>
      <w:r>
        <w:instrText xml:space="preserve"> PAGEREF _Toc196728326 \h </w:instrText>
      </w:r>
      <w:r>
        <w:fldChar w:fldCharType="separate"/>
      </w:r>
      <w:r>
        <w:t>523</w:t>
      </w:r>
      <w:r>
        <w:fldChar w:fldCharType="end"/>
      </w:r>
      <w:r>
        <w:fldChar w:fldCharType="end"/>
      </w:r>
    </w:p>
    <w:p w14:paraId="08ADC639">
      <w:pPr>
        <w:pStyle w:val="70"/>
        <w:tabs>
          <w:tab w:val="right" w:leader="dot" w:pos="8296"/>
        </w:tabs>
        <w:ind w:left="420"/>
        <w:rPr>
          <w:rFonts w:asciiTheme="minorHAnsi" w:hAnsiTheme="minorHAnsi" w:eastAsiaTheme="minorEastAsia"/>
        </w:rPr>
      </w:pPr>
      <w:r>
        <w:fldChar w:fldCharType="begin"/>
      </w:r>
      <w:r>
        <w:instrText xml:space="preserve"> HYPERLINK \l "_Toc196728327" </w:instrText>
      </w:r>
      <w:r>
        <w:fldChar w:fldCharType="separate"/>
      </w:r>
      <w:r>
        <w:rPr>
          <w:rStyle w:val="139"/>
        </w:rPr>
        <w:t>20.2. 应用场景</w:t>
      </w:r>
      <w:r>
        <w:tab/>
      </w:r>
      <w:r>
        <w:fldChar w:fldCharType="begin"/>
      </w:r>
      <w:r>
        <w:instrText xml:space="preserve"> PAGEREF _Toc196728327 \h </w:instrText>
      </w:r>
      <w:r>
        <w:fldChar w:fldCharType="separate"/>
      </w:r>
      <w:r>
        <w:t>523</w:t>
      </w:r>
      <w:r>
        <w:fldChar w:fldCharType="end"/>
      </w:r>
      <w:r>
        <w:fldChar w:fldCharType="end"/>
      </w:r>
    </w:p>
    <w:p w14:paraId="0D9A2B49">
      <w:pPr>
        <w:pStyle w:val="42"/>
        <w:tabs>
          <w:tab w:val="right" w:leader="dot" w:pos="8296"/>
        </w:tabs>
        <w:ind w:left="840"/>
        <w:rPr>
          <w:rFonts w:asciiTheme="minorHAnsi" w:hAnsiTheme="minorHAnsi" w:eastAsiaTheme="minorEastAsia"/>
        </w:rPr>
      </w:pPr>
      <w:r>
        <w:fldChar w:fldCharType="begin"/>
      </w:r>
      <w:r>
        <w:instrText xml:space="preserve"> HYPERLINK \l "_Toc196728328" </w:instrText>
      </w:r>
      <w:r>
        <w:fldChar w:fldCharType="separate"/>
      </w:r>
      <w:r>
        <w:rPr>
          <w:rStyle w:val="139"/>
          <w:kern w:val="0"/>
          <w14:scene3d w14:prst="orthographicFront">
            <w14:lightRig w14:rig="threePt" w14:dir="t">
              <w14:rot w14:lat="0" w14:lon="0" w14:rev="0"/>
            </w14:lightRig>
          </w14:scene3d>
        </w:rPr>
        <w:t>20.2.1.</w:t>
      </w:r>
      <w:r>
        <w:rPr>
          <w:rStyle w:val="139"/>
        </w:rPr>
        <w:t xml:space="preserve"> 客户端解密</w:t>
      </w:r>
      <w:r>
        <w:tab/>
      </w:r>
      <w:r>
        <w:fldChar w:fldCharType="begin"/>
      </w:r>
      <w:r>
        <w:instrText xml:space="preserve"> PAGEREF _Toc196728328 \h </w:instrText>
      </w:r>
      <w:r>
        <w:fldChar w:fldCharType="separate"/>
      </w:r>
      <w:r>
        <w:t>523</w:t>
      </w:r>
      <w:r>
        <w:fldChar w:fldCharType="end"/>
      </w:r>
      <w:r>
        <w:fldChar w:fldCharType="end"/>
      </w:r>
    </w:p>
    <w:p w14:paraId="6E7B5A4C">
      <w:pPr>
        <w:pStyle w:val="42"/>
        <w:tabs>
          <w:tab w:val="right" w:leader="dot" w:pos="8296"/>
        </w:tabs>
        <w:ind w:left="840"/>
        <w:rPr>
          <w:rFonts w:asciiTheme="minorHAnsi" w:hAnsiTheme="minorHAnsi" w:eastAsiaTheme="minorEastAsia"/>
        </w:rPr>
      </w:pPr>
      <w:r>
        <w:fldChar w:fldCharType="begin"/>
      </w:r>
      <w:r>
        <w:instrText xml:space="preserve"> HYPERLINK \l "_Toc196728329" </w:instrText>
      </w:r>
      <w:r>
        <w:fldChar w:fldCharType="separate"/>
      </w:r>
      <w:r>
        <w:rPr>
          <w:rStyle w:val="139"/>
          <w:kern w:val="0"/>
          <w14:scene3d w14:prst="orthographicFront">
            <w14:lightRig w14:rig="threePt" w14:dir="t">
              <w14:rot w14:lat="0" w14:lon="0" w14:rev="0"/>
            </w14:lightRig>
          </w14:scene3d>
        </w:rPr>
        <w:t>20.2.2.</w:t>
      </w:r>
      <w:r>
        <w:rPr>
          <w:rStyle w:val="139"/>
        </w:rPr>
        <w:t xml:space="preserve"> 服务器解密</w:t>
      </w:r>
      <w:r>
        <w:tab/>
      </w:r>
      <w:r>
        <w:fldChar w:fldCharType="begin"/>
      </w:r>
      <w:r>
        <w:instrText xml:space="preserve"> PAGEREF _Toc196728329 \h </w:instrText>
      </w:r>
      <w:r>
        <w:fldChar w:fldCharType="separate"/>
      </w:r>
      <w:r>
        <w:t>524</w:t>
      </w:r>
      <w:r>
        <w:fldChar w:fldCharType="end"/>
      </w:r>
      <w:r>
        <w:fldChar w:fldCharType="end"/>
      </w:r>
    </w:p>
    <w:p w14:paraId="0D43FA17">
      <w:pPr>
        <w:pStyle w:val="70"/>
        <w:tabs>
          <w:tab w:val="right" w:leader="dot" w:pos="8296"/>
        </w:tabs>
        <w:ind w:left="420"/>
        <w:rPr>
          <w:rFonts w:asciiTheme="minorHAnsi" w:hAnsiTheme="minorHAnsi" w:eastAsiaTheme="minorEastAsia"/>
        </w:rPr>
      </w:pPr>
      <w:r>
        <w:fldChar w:fldCharType="begin"/>
      </w:r>
      <w:r>
        <w:instrText xml:space="preserve"> HYPERLINK \l "_Toc196728330" </w:instrText>
      </w:r>
      <w:r>
        <w:fldChar w:fldCharType="separate"/>
      </w:r>
      <w:r>
        <w:rPr>
          <w:rStyle w:val="139"/>
        </w:rPr>
        <w:t>20.3. 原理描述</w:t>
      </w:r>
      <w:r>
        <w:tab/>
      </w:r>
      <w:r>
        <w:fldChar w:fldCharType="begin"/>
      </w:r>
      <w:r>
        <w:instrText xml:space="preserve"> PAGEREF _Toc196728330 \h </w:instrText>
      </w:r>
      <w:r>
        <w:fldChar w:fldCharType="separate"/>
      </w:r>
      <w:r>
        <w:t>525</w:t>
      </w:r>
      <w:r>
        <w:fldChar w:fldCharType="end"/>
      </w:r>
      <w:r>
        <w:fldChar w:fldCharType="end"/>
      </w:r>
    </w:p>
    <w:p w14:paraId="03DE0E2A">
      <w:pPr>
        <w:pStyle w:val="42"/>
        <w:tabs>
          <w:tab w:val="right" w:leader="dot" w:pos="8296"/>
        </w:tabs>
        <w:ind w:left="840"/>
        <w:rPr>
          <w:rFonts w:asciiTheme="minorHAnsi" w:hAnsiTheme="minorHAnsi" w:eastAsiaTheme="minorEastAsia"/>
        </w:rPr>
      </w:pPr>
      <w:r>
        <w:fldChar w:fldCharType="begin"/>
      </w:r>
      <w:r>
        <w:instrText xml:space="preserve"> HYPERLINK \l "_Toc196728331" </w:instrText>
      </w:r>
      <w:r>
        <w:fldChar w:fldCharType="separate"/>
      </w:r>
      <w:r>
        <w:rPr>
          <w:rStyle w:val="139"/>
          <w:kern w:val="0"/>
          <w14:scene3d w14:prst="orthographicFront">
            <w14:lightRig w14:rig="threePt" w14:dir="t">
              <w14:rot w14:lat="0" w14:lon="0" w14:rev="0"/>
            </w14:lightRig>
          </w14:scene3d>
        </w:rPr>
        <w:t>20.3.1.</w:t>
      </w:r>
      <w:r>
        <w:rPr>
          <w:rStyle w:val="139"/>
        </w:rPr>
        <w:t xml:space="preserve"> 解密策略</w:t>
      </w:r>
      <w:r>
        <w:tab/>
      </w:r>
      <w:r>
        <w:fldChar w:fldCharType="begin"/>
      </w:r>
      <w:r>
        <w:instrText xml:space="preserve"> PAGEREF _Toc196728331 \h </w:instrText>
      </w:r>
      <w:r>
        <w:fldChar w:fldCharType="separate"/>
      </w:r>
      <w:r>
        <w:t>525</w:t>
      </w:r>
      <w:r>
        <w:fldChar w:fldCharType="end"/>
      </w:r>
      <w:r>
        <w:fldChar w:fldCharType="end"/>
      </w:r>
    </w:p>
    <w:p w14:paraId="78D21182">
      <w:pPr>
        <w:pStyle w:val="42"/>
        <w:tabs>
          <w:tab w:val="right" w:leader="dot" w:pos="8296"/>
        </w:tabs>
        <w:ind w:left="840"/>
        <w:rPr>
          <w:rFonts w:asciiTheme="minorHAnsi" w:hAnsiTheme="minorHAnsi" w:eastAsiaTheme="minorEastAsia"/>
        </w:rPr>
      </w:pPr>
      <w:r>
        <w:fldChar w:fldCharType="begin"/>
      </w:r>
      <w:r>
        <w:instrText xml:space="preserve"> HYPERLINK \l "_Toc196728332" </w:instrText>
      </w:r>
      <w:r>
        <w:fldChar w:fldCharType="separate"/>
      </w:r>
      <w:r>
        <w:rPr>
          <w:rStyle w:val="139"/>
          <w:kern w:val="0"/>
          <w14:scene3d w14:prst="orthographicFront">
            <w14:lightRig w14:rig="threePt" w14:dir="t">
              <w14:rot w14:lat="0" w14:lon="0" w14:rev="0"/>
            </w14:lightRig>
          </w14:scene3d>
        </w:rPr>
        <w:t>20.3.2.</w:t>
      </w:r>
      <w:r>
        <w:rPr>
          <w:rStyle w:val="139"/>
        </w:rPr>
        <w:t xml:space="preserve"> 过滤条件</w:t>
      </w:r>
      <w:r>
        <w:tab/>
      </w:r>
      <w:r>
        <w:fldChar w:fldCharType="begin"/>
      </w:r>
      <w:r>
        <w:instrText xml:space="preserve"> PAGEREF _Toc196728332 \h </w:instrText>
      </w:r>
      <w:r>
        <w:fldChar w:fldCharType="separate"/>
      </w:r>
      <w:r>
        <w:t>525</w:t>
      </w:r>
      <w:r>
        <w:fldChar w:fldCharType="end"/>
      </w:r>
      <w:r>
        <w:fldChar w:fldCharType="end"/>
      </w:r>
    </w:p>
    <w:p w14:paraId="2DF6A788">
      <w:pPr>
        <w:pStyle w:val="42"/>
        <w:tabs>
          <w:tab w:val="right" w:leader="dot" w:pos="8296"/>
        </w:tabs>
        <w:ind w:left="840"/>
        <w:rPr>
          <w:rFonts w:asciiTheme="minorHAnsi" w:hAnsiTheme="minorHAnsi" w:eastAsiaTheme="minorEastAsia"/>
        </w:rPr>
      </w:pPr>
      <w:r>
        <w:fldChar w:fldCharType="begin"/>
      </w:r>
      <w:r>
        <w:instrText xml:space="preserve"> HYPERLINK \l "_Toc196728333" </w:instrText>
      </w:r>
      <w:r>
        <w:fldChar w:fldCharType="separate"/>
      </w:r>
      <w:r>
        <w:rPr>
          <w:rStyle w:val="139"/>
          <w:kern w:val="0"/>
          <w14:scene3d w14:prst="orthographicFront">
            <w14:lightRig w14:rig="threePt" w14:dir="t">
              <w14:rot w14:lat="0" w14:lon="0" w14:rev="0"/>
            </w14:lightRig>
          </w14:scene3d>
        </w:rPr>
        <w:t>20.3.3.</w:t>
      </w:r>
      <w:r>
        <w:rPr>
          <w:rStyle w:val="139"/>
        </w:rPr>
        <w:t xml:space="preserve"> 解密流程</w:t>
      </w:r>
      <w:r>
        <w:tab/>
      </w:r>
      <w:r>
        <w:fldChar w:fldCharType="begin"/>
      </w:r>
      <w:r>
        <w:instrText xml:space="preserve"> PAGEREF _Toc196728333 \h </w:instrText>
      </w:r>
      <w:r>
        <w:fldChar w:fldCharType="separate"/>
      </w:r>
      <w:r>
        <w:t>525</w:t>
      </w:r>
      <w:r>
        <w:fldChar w:fldCharType="end"/>
      </w:r>
      <w:r>
        <w:fldChar w:fldCharType="end"/>
      </w:r>
    </w:p>
    <w:p w14:paraId="6A85D742">
      <w:pPr>
        <w:pStyle w:val="42"/>
        <w:tabs>
          <w:tab w:val="right" w:leader="dot" w:pos="8296"/>
        </w:tabs>
        <w:ind w:left="840"/>
        <w:rPr>
          <w:rFonts w:asciiTheme="minorHAnsi" w:hAnsiTheme="minorHAnsi" w:eastAsiaTheme="minorEastAsia"/>
        </w:rPr>
      </w:pPr>
      <w:r>
        <w:fldChar w:fldCharType="begin"/>
      </w:r>
      <w:r>
        <w:instrText xml:space="preserve"> HYPERLINK \l "_Toc196728334" </w:instrText>
      </w:r>
      <w:r>
        <w:fldChar w:fldCharType="separate"/>
      </w:r>
      <w:r>
        <w:rPr>
          <w:rStyle w:val="139"/>
          <w:kern w:val="0"/>
          <w14:scene3d w14:prst="orthographicFront">
            <w14:lightRig w14:rig="threePt" w14:dir="t">
              <w14:rot w14:lat="0" w14:lon="0" w14:rev="0"/>
            </w14:lightRig>
          </w14:scene3d>
        </w:rPr>
        <w:t>20.3.4.</w:t>
      </w:r>
      <w:r>
        <w:rPr>
          <w:rStyle w:val="139"/>
        </w:rPr>
        <w:t xml:space="preserve"> 证书管理</w:t>
      </w:r>
      <w:r>
        <w:tab/>
      </w:r>
      <w:r>
        <w:fldChar w:fldCharType="begin"/>
      </w:r>
      <w:r>
        <w:instrText xml:space="preserve"> PAGEREF _Toc196728334 \h </w:instrText>
      </w:r>
      <w:r>
        <w:fldChar w:fldCharType="separate"/>
      </w:r>
      <w:r>
        <w:t>526</w:t>
      </w:r>
      <w:r>
        <w:fldChar w:fldCharType="end"/>
      </w:r>
      <w:r>
        <w:fldChar w:fldCharType="end"/>
      </w:r>
    </w:p>
    <w:p w14:paraId="2B9FEA6D">
      <w:pPr>
        <w:pStyle w:val="42"/>
        <w:tabs>
          <w:tab w:val="right" w:leader="dot" w:pos="8296"/>
        </w:tabs>
        <w:ind w:left="840"/>
        <w:rPr>
          <w:rFonts w:asciiTheme="minorHAnsi" w:hAnsiTheme="minorHAnsi" w:eastAsiaTheme="minorEastAsia"/>
        </w:rPr>
      </w:pPr>
      <w:r>
        <w:fldChar w:fldCharType="begin"/>
      </w:r>
      <w:r>
        <w:instrText xml:space="preserve"> HYPERLINK \l "_Toc196728335" </w:instrText>
      </w:r>
      <w:r>
        <w:fldChar w:fldCharType="separate"/>
      </w:r>
      <w:r>
        <w:rPr>
          <w:rStyle w:val="139"/>
          <w:kern w:val="0"/>
          <w14:scene3d w14:prst="orthographicFront">
            <w14:lightRig w14:rig="threePt" w14:dir="t">
              <w14:rot w14:lat="0" w14:lon="0" w14:rev="0"/>
            </w14:lightRig>
          </w14:scene3d>
        </w:rPr>
        <w:t>20.3.5.</w:t>
      </w:r>
      <w:r>
        <w:rPr>
          <w:rStyle w:val="139"/>
        </w:rPr>
        <w:t xml:space="preserve"> 解密策略的应用</w:t>
      </w:r>
      <w:r>
        <w:tab/>
      </w:r>
      <w:r>
        <w:fldChar w:fldCharType="begin"/>
      </w:r>
      <w:r>
        <w:instrText xml:space="preserve"> PAGEREF _Toc196728335 \h </w:instrText>
      </w:r>
      <w:r>
        <w:fldChar w:fldCharType="separate"/>
      </w:r>
      <w:r>
        <w:t>526</w:t>
      </w:r>
      <w:r>
        <w:fldChar w:fldCharType="end"/>
      </w:r>
      <w:r>
        <w:fldChar w:fldCharType="end"/>
      </w:r>
    </w:p>
    <w:p w14:paraId="30F11D35">
      <w:pPr>
        <w:pStyle w:val="70"/>
        <w:tabs>
          <w:tab w:val="right" w:leader="dot" w:pos="8296"/>
        </w:tabs>
        <w:ind w:left="420"/>
        <w:rPr>
          <w:rFonts w:asciiTheme="minorHAnsi" w:hAnsiTheme="minorHAnsi" w:eastAsiaTheme="minorEastAsia"/>
        </w:rPr>
      </w:pPr>
      <w:r>
        <w:fldChar w:fldCharType="begin"/>
      </w:r>
      <w:r>
        <w:instrText xml:space="preserve"> HYPERLINK \l "_Toc196728336" </w:instrText>
      </w:r>
      <w:r>
        <w:fldChar w:fldCharType="separate"/>
      </w:r>
      <w:r>
        <w:rPr>
          <w:rStyle w:val="139"/>
        </w:rPr>
        <w:t>20.4. 配置解密策略</w:t>
      </w:r>
      <w:r>
        <w:tab/>
      </w:r>
      <w:r>
        <w:fldChar w:fldCharType="begin"/>
      </w:r>
      <w:r>
        <w:instrText xml:space="preserve"> PAGEREF _Toc196728336 \h </w:instrText>
      </w:r>
      <w:r>
        <w:fldChar w:fldCharType="separate"/>
      </w:r>
      <w:r>
        <w:t>527</w:t>
      </w:r>
      <w:r>
        <w:fldChar w:fldCharType="end"/>
      </w:r>
      <w:r>
        <w:fldChar w:fldCharType="end"/>
      </w:r>
    </w:p>
    <w:p w14:paraId="2CFA4A47">
      <w:pPr>
        <w:pStyle w:val="70"/>
        <w:tabs>
          <w:tab w:val="right" w:leader="dot" w:pos="8296"/>
        </w:tabs>
        <w:ind w:left="420"/>
        <w:rPr>
          <w:rFonts w:asciiTheme="minorHAnsi" w:hAnsiTheme="minorHAnsi" w:eastAsiaTheme="minorEastAsia"/>
        </w:rPr>
      </w:pPr>
      <w:r>
        <w:fldChar w:fldCharType="begin"/>
      </w:r>
      <w:r>
        <w:instrText xml:space="preserve"> HYPERLINK \l "_Toc196728337" </w:instrText>
      </w:r>
      <w:r>
        <w:fldChar w:fldCharType="separate"/>
      </w:r>
      <w:r>
        <w:rPr>
          <w:rStyle w:val="139"/>
        </w:rPr>
        <w:t>20.5. 配置SSL证书推送</w:t>
      </w:r>
      <w:r>
        <w:tab/>
      </w:r>
      <w:r>
        <w:fldChar w:fldCharType="begin"/>
      </w:r>
      <w:r>
        <w:instrText xml:space="preserve"> PAGEREF _Toc196728337 \h </w:instrText>
      </w:r>
      <w:r>
        <w:fldChar w:fldCharType="separate"/>
      </w:r>
      <w:r>
        <w:t>529</w:t>
      </w:r>
      <w:r>
        <w:fldChar w:fldCharType="end"/>
      </w:r>
      <w:r>
        <w:fldChar w:fldCharType="end"/>
      </w:r>
    </w:p>
    <w:p w14:paraId="19005F56">
      <w:pPr>
        <w:pStyle w:val="42"/>
        <w:tabs>
          <w:tab w:val="right" w:leader="dot" w:pos="8296"/>
        </w:tabs>
        <w:ind w:left="840"/>
        <w:rPr>
          <w:rFonts w:asciiTheme="minorHAnsi" w:hAnsiTheme="minorHAnsi" w:eastAsiaTheme="minorEastAsia"/>
        </w:rPr>
      </w:pPr>
      <w:r>
        <w:fldChar w:fldCharType="begin"/>
      </w:r>
      <w:r>
        <w:instrText xml:space="preserve"> HYPERLINK \l "_Toc196728338" </w:instrText>
      </w:r>
      <w:r>
        <w:fldChar w:fldCharType="separate"/>
      </w:r>
      <w:r>
        <w:rPr>
          <w:rStyle w:val="139"/>
          <w:kern w:val="0"/>
          <w14:scene3d w14:prst="orthographicFront">
            <w14:lightRig w14:rig="threePt" w14:dir="t">
              <w14:rot w14:lat="0" w14:lon="0" w14:rev="0"/>
            </w14:lightRig>
          </w14:scene3d>
        </w:rPr>
        <w:t>20.5.1.</w:t>
      </w:r>
      <w:r>
        <w:rPr>
          <w:rStyle w:val="139"/>
        </w:rPr>
        <w:t xml:space="preserve"> 启用SSL证书推送</w:t>
      </w:r>
      <w:r>
        <w:tab/>
      </w:r>
      <w:r>
        <w:fldChar w:fldCharType="begin"/>
      </w:r>
      <w:r>
        <w:instrText xml:space="preserve"> PAGEREF _Toc196728338 \h </w:instrText>
      </w:r>
      <w:r>
        <w:fldChar w:fldCharType="separate"/>
      </w:r>
      <w:r>
        <w:t>529</w:t>
      </w:r>
      <w:r>
        <w:fldChar w:fldCharType="end"/>
      </w:r>
      <w:r>
        <w:fldChar w:fldCharType="end"/>
      </w:r>
    </w:p>
    <w:p w14:paraId="3E561C0B">
      <w:pPr>
        <w:pStyle w:val="42"/>
        <w:tabs>
          <w:tab w:val="right" w:leader="dot" w:pos="8296"/>
        </w:tabs>
        <w:ind w:left="840"/>
        <w:rPr>
          <w:rFonts w:asciiTheme="minorHAnsi" w:hAnsiTheme="minorHAnsi" w:eastAsiaTheme="minorEastAsia"/>
        </w:rPr>
      </w:pPr>
      <w:r>
        <w:fldChar w:fldCharType="begin"/>
      </w:r>
      <w:r>
        <w:instrText xml:space="preserve"> HYPERLINK \l "_Toc196728339" </w:instrText>
      </w:r>
      <w:r>
        <w:fldChar w:fldCharType="separate"/>
      </w:r>
      <w:r>
        <w:rPr>
          <w:rStyle w:val="139"/>
          <w:kern w:val="0"/>
          <w14:scene3d w14:prst="orthographicFront">
            <w14:lightRig w14:rig="threePt" w14:dir="t">
              <w14:rot w14:lat="0" w14:lon="0" w14:rev="0"/>
            </w14:lightRig>
          </w14:scene3d>
        </w:rPr>
        <w:t>20.5.2.</w:t>
      </w:r>
      <w:r>
        <w:rPr>
          <w:rStyle w:val="139"/>
        </w:rPr>
        <w:t xml:space="preserve"> 使用限制</w:t>
      </w:r>
      <w:r>
        <w:tab/>
      </w:r>
      <w:r>
        <w:fldChar w:fldCharType="begin"/>
      </w:r>
      <w:r>
        <w:instrText xml:space="preserve"> PAGEREF _Toc196728339 \h </w:instrText>
      </w:r>
      <w:r>
        <w:fldChar w:fldCharType="separate"/>
      </w:r>
      <w:r>
        <w:t>530</w:t>
      </w:r>
      <w:r>
        <w:fldChar w:fldCharType="end"/>
      </w:r>
      <w:r>
        <w:fldChar w:fldCharType="end"/>
      </w:r>
    </w:p>
    <w:p w14:paraId="087E9583">
      <w:pPr>
        <w:pStyle w:val="70"/>
        <w:tabs>
          <w:tab w:val="right" w:leader="dot" w:pos="8296"/>
        </w:tabs>
        <w:ind w:left="420"/>
        <w:rPr>
          <w:rFonts w:asciiTheme="minorHAnsi" w:hAnsiTheme="minorHAnsi" w:eastAsiaTheme="minorEastAsia"/>
        </w:rPr>
      </w:pPr>
      <w:r>
        <w:fldChar w:fldCharType="begin"/>
      </w:r>
      <w:r>
        <w:instrText xml:space="preserve"> HYPERLINK \l "_Toc196728340" </w:instrText>
      </w:r>
      <w:r>
        <w:fldChar w:fldCharType="separate"/>
      </w:r>
      <w:r>
        <w:rPr>
          <w:rStyle w:val="139"/>
        </w:rPr>
        <w:t>20.6. 终端证书导入方法</w:t>
      </w:r>
      <w:r>
        <w:tab/>
      </w:r>
      <w:r>
        <w:fldChar w:fldCharType="begin"/>
      </w:r>
      <w:r>
        <w:instrText xml:space="preserve"> PAGEREF _Toc196728340 \h </w:instrText>
      </w:r>
      <w:r>
        <w:fldChar w:fldCharType="separate"/>
      </w:r>
      <w:r>
        <w:t>531</w:t>
      </w:r>
      <w:r>
        <w:fldChar w:fldCharType="end"/>
      </w:r>
      <w:r>
        <w:fldChar w:fldCharType="end"/>
      </w:r>
    </w:p>
    <w:p w14:paraId="7B3A68F3">
      <w:pPr>
        <w:pStyle w:val="42"/>
        <w:tabs>
          <w:tab w:val="right" w:leader="dot" w:pos="8296"/>
        </w:tabs>
        <w:ind w:left="840"/>
        <w:rPr>
          <w:rFonts w:asciiTheme="minorHAnsi" w:hAnsiTheme="minorHAnsi" w:eastAsiaTheme="minorEastAsia"/>
        </w:rPr>
      </w:pPr>
      <w:r>
        <w:fldChar w:fldCharType="begin"/>
      </w:r>
      <w:r>
        <w:instrText xml:space="preserve"> HYPERLINK \l "_Toc196728341" </w:instrText>
      </w:r>
      <w:r>
        <w:fldChar w:fldCharType="separate"/>
      </w:r>
      <w:r>
        <w:rPr>
          <w:rStyle w:val="139"/>
          <w:kern w:val="0"/>
          <w14:scene3d w14:prst="orthographicFront">
            <w14:lightRig w14:rig="threePt" w14:dir="t">
              <w14:rot w14:lat="0" w14:lon="0" w14:rev="0"/>
            </w14:lightRig>
          </w14:scene3d>
        </w:rPr>
        <w:t>20.6.1.</w:t>
      </w:r>
      <w:r>
        <w:rPr>
          <w:rStyle w:val="139"/>
        </w:rPr>
        <w:t xml:space="preserve"> PC浏览器证书导入方法</w:t>
      </w:r>
      <w:r>
        <w:tab/>
      </w:r>
      <w:r>
        <w:fldChar w:fldCharType="begin"/>
      </w:r>
      <w:r>
        <w:instrText xml:space="preserve"> PAGEREF _Toc196728341 \h </w:instrText>
      </w:r>
      <w:r>
        <w:fldChar w:fldCharType="separate"/>
      </w:r>
      <w:r>
        <w:t>531</w:t>
      </w:r>
      <w:r>
        <w:fldChar w:fldCharType="end"/>
      </w:r>
      <w:r>
        <w:fldChar w:fldCharType="end"/>
      </w:r>
    </w:p>
    <w:p w14:paraId="0AD9327C">
      <w:pPr>
        <w:pStyle w:val="42"/>
        <w:tabs>
          <w:tab w:val="right" w:leader="dot" w:pos="8296"/>
        </w:tabs>
        <w:ind w:left="840"/>
        <w:rPr>
          <w:rFonts w:asciiTheme="minorHAnsi" w:hAnsiTheme="minorHAnsi" w:eastAsiaTheme="minorEastAsia"/>
        </w:rPr>
      </w:pPr>
      <w:r>
        <w:fldChar w:fldCharType="begin"/>
      </w:r>
      <w:r>
        <w:instrText xml:space="preserve"> HYPERLINK \l "_Toc196728342" </w:instrText>
      </w:r>
      <w:r>
        <w:fldChar w:fldCharType="separate"/>
      </w:r>
      <w:r>
        <w:rPr>
          <w:rStyle w:val="139"/>
          <w:kern w:val="0"/>
          <w14:scene3d w14:prst="orthographicFront">
            <w14:lightRig w14:rig="threePt" w14:dir="t">
              <w14:rot w14:lat="0" w14:lon="0" w14:rev="0"/>
            </w14:lightRig>
          </w14:scene3d>
        </w:rPr>
        <w:t>20.6.2.</w:t>
      </w:r>
      <w:r>
        <w:rPr>
          <w:rStyle w:val="139"/>
        </w:rPr>
        <w:t xml:space="preserve"> 移动终端证书导入方法</w:t>
      </w:r>
      <w:r>
        <w:tab/>
      </w:r>
      <w:r>
        <w:fldChar w:fldCharType="begin"/>
      </w:r>
      <w:r>
        <w:instrText xml:space="preserve"> PAGEREF _Toc196728342 \h </w:instrText>
      </w:r>
      <w:r>
        <w:fldChar w:fldCharType="separate"/>
      </w:r>
      <w:r>
        <w:t>540</w:t>
      </w:r>
      <w:r>
        <w:fldChar w:fldCharType="end"/>
      </w:r>
      <w:r>
        <w:fldChar w:fldCharType="end"/>
      </w:r>
    </w:p>
    <w:p w14:paraId="49726A6E">
      <w:pPr>
        <w:pStyle w:val="56"/>
        <w:tabs>
          <w:tab w:val="right" w:leader="dot" w:pos="8296"/>
        </w:tabs>
        <w:rPr>
          <w:rFonts w:asciiTheme="minorHAnsi" w:hAnsiTheme="minorHAnsi" w:eastAsiaTheme="minorEastAsia"/>
        </w:rPr>
      </w:pPr>
      <w:r>
        <w:fldChar w:fldCharType="begin"/>
      </w:r>
      <w:r>
        <w:instrText xml:space="preserve"> HYPERLINK \l "_Toc196728343" </w:instrText>
      </w:r>
      <w:r>
        <w:fldChar w:fldCharType="separate"/>
      </w:r>
      <w:r>
        <w:rPr>
          <w:rStyle w:val="139"/>
        </w:rPr>
        <w:t>21. 广告推送策略</w:t>
      </w:r>
      <w:r>
        <w:tab/>
      </w:r>
      <w:r>
        <w:fldChar w:fldCharType="begin"/>
      </w:r>
      <w:r>
        <w:instrText xml:space="preserve"> PAGEREF _Toc196728343 \h </w:instrText>
      </w:r>
      <w:r>
        <w:fldChar w:fldCharType="separate"/>
      </w:r>
      <w:r>
        <w:t>547</w:t>
      </w:r>
      <w:r>
        <w:fldChar w:fldCharType="end"/>
      </w:r>
      <w:r>
        <w:fldChar w:fldCharType="end"/>
      </w:r>
    </w:p>
    <w:p w14:paraId="4569DE52">
      <w:pPr>
        <w:pStyle w:val="70"/>
        <w:tabs>
          <w:tab w:val="right" w:leader="dot" w:pos="8296"/>
        </w:tabs>
        <w:ind w:left="420"/>
        <w:rPr>
          <w:rFonts w:asciiTheme="minorHAnsi" w:hAnsiTheme="minorHAnsi" w:eastAsiaTheme="minorEastAsia"/>
        </w:rPr>
      </w:pPr>
      <w:r>
        <w:fldChar w:fldCharType="begin"/>
      </w:r>
      <w:r>
        <w:instrText xml:space="preserve"> HYPERLINK \l "_Toc196728344" </w:instrText>
      </w:r>
      <w:r>
        <w:fldChar w:fldCharType="separate"/>
      </w:r>
      <w:r>
        <w:rPr>
          <w:rStyle w:val="139"/>
        </w:rPr>
        <w:t>21.1. 概述</w:t>
      </w:r>
      <w:r>
        <w:tab/>
      </w:r>
      <w:r>
        <w:fldChar w:fldCharType="begin"/>
      </w:r>
      <w:r>
        <w:instrText xml:space="preserve"> PAGEREF _Toc196728344 \h </w:instrText>
      </w:r>
      <w:r>
        <w:fldChar w:fldCharType="separate"/>
      </w:r>
      <w:r>
        <w:t>547</w:t>
      </w:r>
      <w:r>
        <w:fldChar w:fldCharType="end"/>
      </w:r>
      <w:r>
        <w:fldChar w:fldCharType="end"/>
      </w:r>
    </w:p>
    <w:p w14:paraId="0982B9E6">
      <w:pPr>
        <w:pStyle w:val="70"/>
        <w:tabs>
          <w:tab w:val="right" w:leader="dot" w:pos="8296"/>
        </w:tabs>
        <w:ind w:left="420"/>
        <w:rPr>
          <w:rFonts w:asciiTheme="minorHAnsi" w:hAnsiTheme="minorHAnsi" w:eastAsiaTheme="minorEastAsia"/>
        </w:rPr>
      </w:pPr>
      <w:r>
        <w:fldChar w:fldCharType="begin"/>
      </w:r>
      <w:r>
        <w:instrText xml:space="preserve"> HYPERLINK \l "_Toc196728345" </w:instrText>
      </w:r>
      <w:r>
        <w:fldChar w:fldCharType="separate"/>
      </w:r>
      <w:r>
        <w:rPr>
          <w:rStyle w:val="139"/>
        </w:rPr>
        <w:t>21.2. 配置广告设置</w:t>
      </w:r>
      <w:r>
        <w:tab/>
      </w:r>
      <w:r>
        <w:fldChar w:fldCharType="begin"/>
      </w:r>
      <w:r>
        <w:instrText xml:space="preserve"> PAGEREF _Toc196728345 \h </w:instrText>
      </w:r>
      <w:r>
        <w:fldChar w:fldCharType="separate"/>
      </w:r>
      <w:r>
        <w:t>547</w:t>
      </w:r>
      <w:r>
        <w:fldChar w:fldCharType="end"/>
      </w:r>
      <w:r>
        <w:fldChar w:fldCharType="end"/>
      </w:r>
    </w:p>
    <w:p w14:paraId="77225251">
      <w:pPr>
        <w:pStyle w:val="56"/>
        <w:tabs>
          <w:tab w:val="right" w:leader="dot" w:pos="8296"/>
        </w:tabs>
        <w:rPr>
          <w:rFonts w:asciiTheme="minorHAnsi" w:hAnsiTheme="minorHAnsi" w:eastAsiaTheme="minorEastAsia"/>
        </w:rPr>
      </w:pPr>
      <w:r>
        <w:fldChar w:fldCharType="begin"/>
      </w:r>
      <w:r>
        <w:instrText xml:space="preserve"> HYPERLINK \l "_Toc196728346" </w:instrText>
      </w:r>
      <w:r>
        <w:fldChar w:fldCharType="separate"/>
      </w:r>
      <w:r>
        <w:rPr>
          <w:rStyle w:val="139"/>
        </w:rPr>
        <w:t>22. 会话控制管理</w:t>
      </w:r>
      <w:r>
        <w:tab/>
      </w:r>
      <w:r>
        <w:fldChar w:fldCharType="begin"/>
      </w:r>
      <w:r>
        <w:instrText xml:space="preserve"> PAGEREF _Toc196728346 \h </w:instrText>
      </w:r>
      <w:r>
        <w:fldChar w:fldCharType="separate"/>
      </w:r>
      <w:r>
        <w:t>550</w:t>
      </w:r>
      <w:r>
        <w:fldChar w:fldCharType="end"/>
      </w:r>
      <w:r>
        <w:fldChar w:fldCharType="end"/>
      </w:r>
    </w:p>
    <w:p w14:paraId="7ABCDC3E">
      <w:pPr>
        <w:pStyle w:val="70"/>
        <w:tabs>
          <w:tab w:val="right" w:leader="dot" w:pos="8296"/>
        </w:tabs>
        <w:ind w:left="420"/>
        <w:rPr>
          <w:rFonts w:asciiTheme="minorHAnsi" w:hAnsiTheme="minorHAnsi" w:eastAsiaTheme="minorEastAsia"/>
        </w:rPr>
      </w:pPr>
      <w:r>
        <w:fldChar w:fldCharType="begin"/>
      </w:r>
      <w:r>
        <w:instrText xml:space="preserve"> HYPERLINK \l "_Toc196728347" </w:instrText>
      </w:r>
      <w:r>
        <w:fldChar w:fldCharType="separate"/>
      </w:r>
      <w:r>
        <w:rPr>
          <w:rStyle w:val="139"/>
        </w:rPr>
        <w:t>22.1. 会话限制简介</w:t>
      </w:r>
      <w:r>
        <w:tab/>
      </w:r>
      <w:r>
        <w:fldChar w:fldCharType="begin"/>
      </w:r>
      <w:r>
        <w:instrText xml:space="preserve"> PAGEREF _Toc196728347 \h </w:instrText>
      </w:r>
      <w:r>
        <w:fldChar w:fldCharType="separate"/>
      </w:r>
      <w:r>
        <w:t>550</w:t>
      </w:r>
      <w:r>
        <w:fldChar w:fldCharType="end"/>
      </w:r>
      <w:r>
        <w:fldChar w:fldCharType="end"/>
      </w:r>
    </w:p>
    <w:p w14:paraId="3A5A293D">
      <w:pPr>
        <w:pStyle w:val="70"/>
        <w:tabs>
          <w:tab w:val="right" w:leader="dot" w:pos="8296"/>
        </w:tabs>
        <w:ind w:left="420"/>
        <w:rPr>
          <w:rFonts w:asciiTheme="minorHAnsi" w:hAnsiTheme="minorHAnsi" w:eastAsiaTheme="minorEastAsia"/>
        </w:rPr>
      </w:pPr>
      <w:r>
        <w:fldChar w:fldCharType="begin"/>
      </w:r>
      <w:r>
        <w:instrText xml:space="preserve"> HYPERLINK \l "_Toc196728348" </w:instrText>
      </w:r>
      <w:r>
        <w:fldChar w:fldCharType="separate"/>
      </w:r>
      <w:r>
        <w:rPr>
          <w:rStyle w:val="139"/>
        </w:rPr>
        <w:t>22.2. 会话限制新建</w:t>
      </w:r>
      <w:r>
        <w:tab/>
      </w:r>
      <w:r>
        <w:fldChar w:fldCharType="begin"/>
      </w:r>
      <w:r>
        <w:instrText xml:space="preserve"> PAGEREF _Toc196728348 \h </w:instrText>
      </w:r>
      <w:r>
        <w:fldChar w:fldCharType="separate"/>
      </w:r>
      <w:r>
        <w:t>550</w:t>
      </w:r>
      <w:r>
        <w:fldChar w:fldCharType="end"/>
      </w:r>
      <w:r>
        <w:fldChar w:fldCharType="end"/>
      </w:r>
    </w:p>
    <w:p w14:paraId="2FECE699">
      <w:pPr>
        <w:pStyle w:val="70"/>
        <w:tabs>
          <w:tab w:val="right" w:leader="dot" w:pos="8296"/>
        </w:tabs>
        <w:ind w:left="420"/>
        <w:rPr>
          <w:rFonts w:asciiTheme="minorHAnsi" w:hAnsiTheme="minorHAnsi" w:eastAsiaTheme="minorEastAsia"/>
        </w:rPr>
      </w:pPr>
      <w:r>
        <w:fldChar w:fldCharType="begin"/>
      </w:r>
      <w:r>
        <w:instrText xml:space="preserve"> HYPERLINK \l "_Toc196728349" </w:instrText>
      </w:r>
      <w:r>
        <w:fldChar w:fldCharType="separate"/>
      </w:r>
      <w:r>
        <w:rPr>
          <w:rStyle w:val="139"/>
        </w:rPr>
        <w:t>22.3. 限制阻断</w:t>
      </w:r>
      <w:r>
        <w:tab/>
      </w:r>
      <w:r>
        <w:fldChar w:fldCharType="begin"/>
      </w:r>
      <w:r>
        <w:instrText xml:space="preserve"> PAGEREF _Toc196728349 \h </w:instrText>
      </w:r>
      <w:r>
        <w:fldChar w:fldCharType="separate"/>
      </w:r>
      <w:r>
        <w:t>553</w:t>
      </w:r>
      <w:r>
        <w:fldChar w:fldCharType="end"/>
      </w:r>
      <w:r>
        <w:fldChar w:fldCharType="end"/>
      </w:r>
    </w:p>
    <w:p w14:paraId="2E574277">
      <w:pPr>
        <w:pStyle w:val="56"/>
        <w:tabs>
          <w:tab w:val="right" w:leader="dot" w:pos="8296"/>
        </w:tabs>
        <w:rPr>
          <w:rFonts w:asciiTheme="minorHAnsi" w:hAnsiTheme="minorHAnsi" w:eastAsiaTheme="minorEastAsia"/>
        </w:rPr>
      </w:pPr>
      <w:r>
        <w:fldChar w:fldCharType="begin"/>
      </w:r>
      <w:r>
        <w:instrText xml:space="preserve"> HYPERLINK \l "_Toc196728350" </w:instrText>
      </w:r>
      <w:r>
        <w:fldChar w:fldCharType="separate"/>
      </w:r>
      <w:r>
        <w:rPr>
          <w:rStyle w:val="139"/>
        </w:rPr>
        <w:t>23. 共享接入管理</w:t>
      </w:r>
      <w:r>
        <w:tab/>
      </w:r>
      <w:r>
        <w:fldChar w:fldCharType="begin"/>
      </w:r>
      <w:r>
        <w:instrText xml:space="preserve"> PAGEREF _Toc196728350 \h </w:instrText>
      </w:r>
      <w:r>
        <w:fldChar w:fldCharType="separate"/>
      </w:r>
      <w:r>
        <w:t>554</w:t>
      </w:r>
      <w:r>
        <w:fldChar w:fldCharType="end"/>
      </w:r>
      <w:r>
        <w:fldChar w:fldCharType="end"/>
      </w:r>
    </w:p>
    <w:p w14:paraId="649DA2A0">
      <w:pPr>
        <w:pStyle w:val="70"/>
        <w:tabs>
          <w:tab w:val="right" w:leader="dot" w:pos="8296"/>
        </w:tabs>
        <w:ind w:left="420"/>
        <w:rPr>
          <w:rFonts w:asciiTheme="minorHAnsi" w:hAnsiTheme="minorHAnsi" w:eastAsiaTheme="minorEastAsia"/>
        </w:rPr>
      </w:pPr>
      <w:r>
        <w:fldChar w:fldCharType="begin"/>
      </w:r>
      <w:r>
        <w:instrText xml:space="preserve"> HYPERLINK \l "_Toc196728351" </w:instrText>
      </w:r>
      <w:r>
        <w:fldChar w:fldCharType="separate"/>
      </w:r>
      <w:r>
        <w:rPr>
          <w:rStyle w:val="139"/>
        </w:rPr>
        <w:t>23.1. 简介</w:t>
      </w:r>
      <w:r>
        <w:tab/>
      </w:r>
      <w:r>
        <w:fldChar w:fldCharType="begin"/>
      </w:r>
      <w:r>
        <w:instrText xml:space="preserve"> PAGEREF _Toc196728351 \h </w:instrText>
      </w:r>
      <w:r>
        <w:fldChar w:fldCharType="separate"/>
      </w:r>
      <w:r>
        <w:t>554</w:t>
      </w:r>
      <w:r>
        <w:fldChar w:fldCharType="end"/>
      </w:r>
      <w:r>
        <w:fldChar w:fldCharType="end"/>
      </w:r>
    </w:p>
    <w:p w14:paraId="0E74B456">
      <w:pPr>
        <w:pStyle w:val="70"/>
        <w:tabs>
          <w:tab w:val="right" w:leader="dot" w:pos="8296"/>
        </w:tabs>
        <w:ind w:left="420"/>
        <w:rPr>
          <w:rFonts w:asciiTheme="minorHAnsi" w:hAnsiTheme="minorHAnsi" w:eastAsiaTheme="minorEastAsia"/>
        </w:rPr>
      </w:pPr>
      <w:r>
        <w:fldChar w:fldCharType="begin"/>
      </w:r>
      <w:r>
        <w:instrText xml:space="preserve"> HYPERLINK \l "_Toc196728352" </w:instrText>
      </w:r>
      <w:r>
        <w:fldChar w:fldCharType="separate"/>
      </w:r>
      <w:r>
        <w:rPr>
          <w:rStyle w:val="139"/>
        </w:rPr>
        <w:t>23.2. 共享接入配置</w:t>
      </w:r>
      <w:r>
        <w:tab/>
      </w:r>
      <w:r>
        <w:fldChar w:fldCharType="begin"/>
      </w:r>
      <w:r>
        <w:instrText xml:space="preserve"> PAGEREF _Toc196728352 \h </w:instrText>
      </w:r>
      <w:r>
        <w:fldChar w:fldCharType="separate"/>
      </w:r>
      <w:r>
        <w:t>554</w:t>
      </w:r>
      <w:r>
        <w:fldChar w:fldCharType="end"/>
      </w:r>
      <w:r>
        <w:fldChar w:fldCharType="end"/>
      </w:r>
    </w:p>
    <w:p w14:paraId="2E370369">
      <w:pPr>
        <w:pStyle w:val="70"/>
        <w:tabs>
          <w:tab w:val="right" w:leader="dot" w:pos="8296"/>
        </w:tabs>
        <w:ind w:left="420"/>
        <w:rPr>
          <w:rFonts w:asciiTheme="minorHAnsi" w:hAnsiTheme="minorHAnsi" w:eastAsiaTheme="minorEastAsia"/>
        </w:rPr>
      </w:pPr>
      <w:r>
        <w:fldChar w:fldCharType="begin"/>
      </w:r>
      <w:r>
        <w:instrText xml:space="preserve"> HYPERLINK \l "_Toc196728353" </w:instrText>
      </w:r>
      <w:r>
        <w:fldChar w:fldCharType="separate"/>
      </w:r>
      <w:r>
        <w:rPr>
          <w:rStyle w:val="139"/>
        </w:rPr>
        <w:t>23.3. 共享接入策略</w:t>
      </w:r>
      <w:r>
        <w:tab/>
      </w:r>
      <w:r>
        <w:fldChar w:fldCharType="begin"/>
      </w:r>
      <w:r>
        <w:instrText xml:space="preserve"> PAGEREF _Toc196728353 \h </w:instrText>
      </w:r>
      <w:r>
        <w:fldChar w:fldCharType="separate"/>
      </w:r>
      <w:r>
        <w:t>555</w:t>
      </w:r>
      <w:r>
        <w:fldChar w:fldCharType="end"/>
      </w:r>
      <w:r>
        <w:fldChar w:fldCharType="end"/>
      </w:r>
    </w:p>
    <w:p w14:paraId="0F8AA784">
      <w:pPr>
        <w:pStyle w:val="70"/>
        <w:tabs>
          <w:tab w:val="right" w:leader="dot" w:pos="8296"/>
        </w:tabs>
        <w:ind w:left="420"/>
        <w:rPr>
          <w:rFonts w:asciiTheme="minorHAnsi" w:hAnsiTheme="minorHAnsi" w:eastAsiaTheme="minorEastAsia"/>
        </w:rPr>
      </w:pPr>
      <w:r>
        <w:fldChar w:fldCharType="begin"/>
      </w:r>
      <w:r>
        <w:instrText xml:space="preserve"> HYPERLINK \l "_Toc196728354" </w:instrText>
      </w:r>
      <w:r>
        <w:fldChar w:fldCharType="separate"/>
      </w:r>
      <w:r>
        <w:rPr>
          <w:rStyle w:val="139"/>
        </w:rPr>
        <w:t>23.4. 共享接入监控</w:t>
      </w:r>
      <w:r>
        <w:tab/>
      </w:r>
      <w:r>
        <w:fldChar w:fldCharType="begin"/>
      </w:r>
      <w:r>
        <w:instrText xml:space="preserve"> PAGEREF _Toc196728354 \h </w:instrText>
      </w:r>
      <w:r>
        <w:fldChar w:fldCharType="separate"/>
      </w:r>
      <w:r>
        <w:t>556</w:t>
      </w:r>
      <w:r>
        <w:fldChar w:fldCharType="end"/>
      </w:r>
      <w:r>
        <w:fldChar w:fldCharType="end"/>
      </w:r>
    </w:p>
    <w:p w14:paraId="55493AA9">
      <w:pPr>
        <w:pStyle w:val="70"/>
        <w:tabs>
          <w:tab w:val="right" w:leader="dot" w:pos="8296"/>
        </w:tabs>
        <w:ind w:left="420"/>
        <w:rPr>
          <w:rFonts w:asciiTheme="minorHAnsi" w:hAnsiTheme="minorHAnsi" w:eastAsiaTheme="minorEastAsia"/>
        </w:rPr>
      </w:pPr>
      <w:r>
        <w:fldChar w:fldCharType="begin"/>
      </w:r>
      <w:r>
        <w:instrText xml:space="preserve"> HYPERLINK \l "_Toc196728355" </w:instrText>
      </w:r>
      <w:r>
        <w:fldChar w:fldCharType="separate"/>
      </w:r>
      <w:r>
        <w:rPr>
          <w:rStyle w:val="139"/>
        </w:rPr>
        <w:t>23.5. 共享接入公告</w:t>
      </w:r>
      <w:r>
        <w:tab/>
      </w:r>
      <w:r>
        <w:fldChar w:fldCharType="begin"/>
      </w:r>
      <w:r>
        <w:instrText xml:space="preserve"> PAGEREF _Toc196728355 \h </w:instrText>
      </w:r>
      <w:r>
        <w:fldChar w:fldCharType="separate"/>
      </w:r>
      <w:r>
        <w:t>557</w:t>
      </w:r>
      <w:r>
        <w:fldChar w:fldCharType="end"/>
      </w:r>
      <w:r>
        <w:fldChar w:fldCharType="end"/>
      </w:r>
    </w:p>
    <w:p w14:paraId="755C38B6">
      <w:pPr>
        <w:pStyle w:val="56"/>
        <w:tabs>
          <w:tab w:val="right" w:leader="dot" w:pos="8296"/>
        </w:tabs>
        <w:rPr>
          <w:rFonts w:asciiTheme="minorHAnsi" w:hAnsiTheme="minorHAnsi" w:eastAsiaTheme="minorEastAsia"/>
        </w:rPr>
      </w:pPr>
      <w:r>
        <w:fldChar w:fldCharType="begin"/>
      </w:r>
      <w:r>
        <w:instrText xml:space="preserve"> HYPERLINK \l "_Toc196728356" </w:instrText>
      </w:r>
      <w:r>
        <w:fldChar w:fldCharType="separate"/>
      </w:r>
      <w:r>
        <w:rPr>
          <w:rStyle w:val="139"/>
        </w:rPr>
        <w:t>24. 移动终端管理</w:t>
      </w:r>
      <w:r>
        <w:tab/>
      </w:r>
      <w:r>
        <w:fldChar w:fldCharType="begin"/>
      </w:r>
      <w:r>
        <w:instrText xml:space="preserve"> PAGEREF _Toc196728356 \h </w:instrText>
      </w:r>
      <w:r>
        <w:fldChar w:fldCharType="separate"/>
      </w:r>
      <w:r>
        <w:t>559</w:t>
      </w:r>
      <w:r>
        <w:fldChar w:fldCharType="end"/>
      </w:r>
      <w:r>
        <w:fldChar w:fldCharType="end"/>
      </w:r>
    </w:p>
    <w:p w14:paraId="6DF89DB8">
      <w:pPr>
        <w:pStyle w:val="70"/>
        <w:tabs>
          <w:tab w:val="right" w:leader="dot" w:pos="8296"/>
        </w:tabs>
        <w:ind w:left="420"/>
        <w:rPr>
          <w:rFonts w:asciiTheme="minorHAnsi" w:hAnsiTheme="minorHAnsi" w:eastAsiaTheme="minorEastAsia"/>
        </w:rPr>
      </w:pPr>
      <w:r>
        <w:fldChar w:fldCharType="begin"/>
      </w:r>
      <w:r>
        <w:instrText xml:space="preserve"> HYPERLINK \l "_Toc196728357" </w:instrText>
      </w:r>
      <w:r>
        <w:fldChar w:fldCharType="separate"/>
      </w:r>
      <w:r>
        <w:rPr>
          <w:rStyle w:val="139"/>
        </w:rPr>
        <w:t>24.1. 移动终端管理简介</w:t>
      </w:r>
      <w:r>
        <w:tab/>
      </w:r>
      <w:r>
        <w:fldChar w:fldCharType="begin"/>
      </w:r>
      <w:r>
        <w:instrText xml:space="preserve"> PAGEREF _Toc196728357 \h </w:instrText>
      </w:r>
      <w:r>
        <w:fldChar w:fldCharType="separate"/>
      </w:r>
      <w:r>
        <w:t>559</w:t>
      </w:r>
      <w:r>
        <w:fldChar w:fldCharType="end"/>
      </w:r>
      <w:r>
        <w:fldChar w:fldCharType="end"/>
      </w:r>
    </w:p>
    <w:p w14:paraId="75C78291">
      <w:pPr>
        <w:pStyle w:val="70"/>
        <w:tabs>
          <w:tab w:val="right" w:leader="dot" w:pos="8296"/>
        </w:tabs>
        <w:ind w:left="420"/>
        <w:rPr>
          <w:rFonts w:asciiTheme="minorHAnsi" w:hAnsiTheme="minorHAnsi" w:eastAsiaTheme="minorEastAsia"/>
        </w:rPr>
      </w:pPr>
      <w:r>
        <w:fldChar w:fldCharType="begin"/>
      </w:r>
      <w:r>
        <w:instrText xml:space="preserve"> HYPERLINK \l "_Toc196728358" </w:instrText>
      </w:r>
      <w:r>
        <w:fldChar w:fldCharType="separate"/>
      </w:r>
      <w:r>
        <w:rPr>
          <w:rStyle w:val="139"/>
        </w:rPr>
        <w:t>24.2. 移动终端管理页面</w:t>
      </w:r>
      <w:r>
        <w:tab/>
      </w:r>
      <w:r>
        <w:fldChar w:fldCharType="begin"/>
      </w:r>
      <w:r>
        <w:instrText xml:space="preserve"> PAGEREF _Toc196728358 \h </w:instrText>
      </w:r>
      <w:r>
        <w:fldChar w:fldCharType="separate"/>
      </w:r>
      <w:r>
        <w:t>559</w:t>
      </w:r>
      <w:r>
        <w:fldChar w:fldCharType="end"/>
      </w:r>
      <w:r>
        <w:fldChar w:fldCharType="end"/>
      </w:r>
    </w:p>
    <w:p w14:paraId="01E8F615">
      <w:pPr>
        <w:pStyle w:val="70"/>
        <w:tabs>
          <w:tab w:val="right" w:leader="dot" w:pos="8296"/>
        </w:tabs>
        <w:ind w:left="420"/>
        <w:rPr>
          <w:rFonts w:asciiTheme="minorHAnsi" w:hAnsiTheme="minorHAnsi" w:eastAsiaTheme="minorEastAsia"/>
        </w:rPr>
      </w:pPr>
      <w:r>
        <w:fldChar w:fldCharType="begin"/>
      </w:r>
      <w:r>
        <w:instrText xml:space="preserve"> HYPERLINK \l "_Toc196728359" </w:instrText>
      </w:r>
      <w:r>
        <w:fldChar w:fldCharType="separate"/>
      </w:r>
      <w:r>
        <w:rPr>
          <w:rStyle w:val="139"/>
        </w:rPr>
        <w:t>24.3. 终端接入配置</w:t>
      </w:r>
      <w:r>
        <w:tab/>
      </w:r>
      <w:r>
        <w:fldChar w:fldCharType="begin"/>
      </w:r>
      <w:r>
        <w:instrText xml:space="preserve"> PAGEREF _Toc196728359 \h </w:instrText>
      </w:r>
      <w:r>
        <w:fldChar w:fldCharType="separate"/>
      </w:r>
      <w:r>
        <w:t>560</w:t>
      </w:r>
      <w:r>
        <w:fldChar w:fldCharType="end"/>
      </w:r>
      <w:r>
        <w:fldChar w:fldCharType="end"/>
      </w:r>
    </w:p>
    <w:p w14:paraId="61352B6A">
      <w:pPr>
        <w:pStyle w:val="70"/>
        <w:tabs>
          <w:tab w:val="right" w:leader="dot" w:pos="8296"/>
        </w:tabs>
        <w:ind w:left="420"/>
        <w:rPr>
          <w:rFonts w:asciiTheme="minorHAnsi" w:hAnsiTheme="minorHAnsi" w:eastAsiaTheme="minorEastAsia"/>
        </w:rPr>
      </w:pPr>
      <w:r>
        <w:fldChar w:fldCharType="begin"/>
      </w:r>
      <w:r>
        <w:instrText xml:space="preserve"> HYPERLINK \l "_Toc196728360" </w:instrText>
      </w:r>
      <w:r>
        <w:fldChar w:fldCharType="separate"/>
      </w:r>
      <w:r>
        <w:rPr>
          <w:rStyle w:val="139"/>
        </w:rPr>
        <w:t>24.4. 终端发现趋势</w:t>
      </w:r>
      <w:r>
        <w:tab/>
      </w:r>
      <w:r>
        <w:fldChar w:fldCharType="begin"/>
      </w:r>
      <w:r>
        <w:instrText xml:space="preserve"> PAGEREF _Toc196728360 \h </w:instrText>
      </w:r>
      <w:r>
        <w:fldChar w:fldCharType="separate"/>
      </w:r>
      <w:r>
        <w:t>561</w:t>
      </w:r>
      <w:r>
        <w:fldChar w:fldCharType="end"/>
      </w:r>
      <w:r>
        <w:fldChar w:fldCharType="end"/>
      </w:r>
    </w:p>
    <w:p w14:paraId="4FCF6CA8">
      <w:pPr>
        <w:pStyle w:val="56"/>
        <w:tabs>
          <w:tab w:val="right" w:leader="dot" w:pos="8296"/>
        </w:tabs>
        <w:rPr>
          <w:rFonts w:asciiTheme="minorHAnsi" w:hAnsiTheme="minorHAnsi" w:eastAsiaTheme="minorEastAsia"/>
        </w:rPr>
      </w:pPr>
      <w:r>
        <w:fldChar w:fldCharType="begin"/>
      </w:r>
      <w:r>
        <w:instrText xml:space="preserve"> HYPERLINK \l "_Toc196728361" </w:instrText>
      </w:r>
      <w:r>
        <w:fldChar w:fldCharType="separate"/>
      </w:r>
      <w:r>
        <w:rPr>
          <w:rStyle w:val="139"/>
        </w:rPr>
        <w:t>25. 杀软检查管理</w:t>
      </w:r>
      <w:r>
        <w:tab/>
      </w:r>
      <w:r>
        <w:fldChar w:fldCharType="begin"/>
      </w:r>
      <w:r>
        <w:instrText xml:space="preserve"> PAGEREF _Toc196728361 \h </w:instrText>
      </w:r>
      <w:r>
        <w:fldChar w:fldCharType="separate"/>
      </w:r>
      <w:r>
        <w:t>562</w:t>
      </w:r>
      <w:r>
        <w:fldChar w:fldCharType="end"/>
      </w:r>
      <w:r>
        <w:fldChar w:fldCharType="end"/>
      </w:r>
    </w:p>
    <w:p w14:paraId="63885021">
      <w:pPr>
        <w:pStyle w:val="70"/>
        <w:tabs>
          <w:tab w:val="right" w:leader="dot" w:pos="8296"/>
        </w:tabs>
        <w:ind w:left="420"/>
        <w:rPr>
          <w:rFonts w:asciiTheme="minorHAnsi" w:hAnsiTheme="minorHAnsi" w:eastAsiaTheme="minorEastAsia"/>
        </w:rPr>
      </w:pPr>
      <w:r>
        <w:fldChar w:fldCharType="begin"/>
      </w:r>
      <w:r>
        <w:instrText xml:space="preserve"> HYPERLINK \l "_Toc196728362" </w:instrText>
      </w:r>
      <w:r>
        <w:fldChar w:fldCharType="separate"/>
      </w:r>
      <w:r>
        <w:rPr>
          <w:rStyle w:val="139"/>
        </w:rPr>
        <w:t>25.1. 杀软检查管理概述</w:t>
      </w:r>
      <w:r>
        <w:tab/>
      </w:r>
      <w:r>
        <w:fldChar w:fldCharType="begin"/>
      </w:r>
      <w:r>
        <w:instrText xml:space="preserve"> PAGEREF _Toc196728362 \h </w:instrText>
      </w:r>
      <w:r>
        <w:fldChar w:fldCharType="separate"/>
      </w:r>
      <w:r>
        <w:t>562</w:t>
      </w:r>
      <w:r>
        <w:fldChar w:fldCharType="end"/>
      </w:r>
      <w:r>
        <w:fldChar w:fldCharType="end"/>
      </w:r>
    </w:p>
    <w:p w14:paraId="7F76FFCA">
      <w:pPr>
        <w:pStyle w:val="70"/>
        <w:tabs>
          <w:tab w:val="right" w:leader="dot" w:pos="8296"/>
        </w:tabs>
        <w:ind w:left="420"/>
        <w:rPr>
          <w:rFonts w:asciiTheme="minorHAnsi" w:hAnsiTheme="minorHAnsi" w:eastAsiaTheme="minorEastAsia"/>
        </w:rPr>
      </w:pPr>
      <w:r>
        <w:fldChar w:fldCharType="begin"/>
      </w:r>
      <w:r>
        <w:instrText xml:space="preserve"> HYPERLINK \l "_Toc196728363" </w:instrText>
      </w:r>
      <w:r>
        <w:fldChar w:fldCharType="separate"/>
      </w:r>
      <w:r>
        <w:rPr>
          <w:rStyle w:val="139"/>
        </w:rPr>
        <w:t>25.2. 查看合规状态监控</w:t>
      </w:r>
      <w:r>
        <w:tab/>
      </w:r>
      <w:r>
        <w:fldChar w:fldCharType="begin"/>
      </w:r>
      <w:r>
        <w:instrText xml:space="preserve"> PAGEREF _Toc196728363 \h </w:instrText>
      </w:r>
      <w:r>
        <w:fldChar w:fldCharType="separate"/>
      </w:r>
      <w:r>
        <w:t>562</w:t>
      </w:r>
      <w:r>
        <w:fldChar w:fldCharType="end"/>
      </w:r>
      <w:r>
        <w:fldChar w:fldCharType="end"/>
      </w:r>
    </w:p>
    <w:p w14:paraId="133FE79D">
      <w:pPr>
        <w:pStyle w:val="70"/>
        <w:tabs>
          <w:tab w:val="right" w:leader="dot" w:pos="8296"/>
        </w:tabs>
        <w:ind w:left="420"/>
        <w:rPr>
          <w:rFonts w:asciiTheme="minorHAnsi" w:hAnsiTheme="minorHAnsi" w:eastAsiaTheme="minorEastAsia"/>
        </w:rPr>
      </w:pPr>
      <w:r>
        <w:fldChar w:fldCharType="begin"/>
      </w:r>
      <w:r>
        <w:instrText xml:space="preserve"> HYPERLINK \l "_Toc196728364" </w:instrText>
      </w:r>
      <w:r>
        <w:fldChar w:fldCharType="separate"/>
      </w:r>
      <w:r>
        <w:rPr>
          <w:rStyle w:val="139"/>
        </w:rPr>
        <w:t>25.3. 配置杀软规则对象</w:t>
      </w:r>
      <w:r>
        <w:tab/>
      </w:r>
      <w:r>
        <w:fldChar w:fldCharType="begin"/>
      </w:r>
      <w:r>
        <w:instrText xml:space="preserve"> PAGEREF _Toc196728364 \h </w:instrText>
      </w:r>
      <w:r>
        <w:fldChar w:fldCharType="separate"/>
      </w:r>
      <w:r>
        <w:t>563</w:t>
      </w:r>
      <w:r>
        <w:fldChar w:fldCharType="end"/>
      </w:r>
      <w:r>
        <w:fldChar w:fldCharType="end"/>
      </w:r>
    </w:p>
    <w:p w14:paraId="15A535FF">
      <w:pPr>
        <w:pStyle w:val="70"/>
        <w:tabs>
          <w:tab w:val="right" w:leader="dot" w:pos="8296"/>
        </w:tabs>
        <w:ind w:left="420"/>
        <w:rPr>
          <w:rFonts w:asciiTheme="minorHAnsi" w:hAnsiTheme="minorHAnsi" w:eastAsiaTheme="minorEastAsia"/>
        </w:rPr>
      </w:pPr>
      <w:r>
        <w:fldChar w:fldCharType="begin"/>
      </w:r>
      <w:r>
        <w:instrText xml:space="preserve"> HYPERLINK \l "_Toc196728365" </w:instrText>
      </w:r>
      <w:r>
        <w:fldChar w:fldCharType="separate"/>
      </w:r>
      <w:r>
        <w:rPr>
          <w:rStyle w:val="139"/>
        </w:rPr>
        <w:t>25.4. 配置杀软检查策略</w:t>
      </w:r>
      <w:r>
        <w:tab/>
      </w:r>
      <w:r>
        <w:fldChar w:fldCharType="begin"/>
      </w:r>
      <w:r>
        <w:instrText xml:space="preserve"> PAGEREF _Toc196728365 \h </w:instrText>
      </w:r>
      <w:r>
        <w:fldChar w:fldCharType="separate"/>
      </w:r>
      <w:r>
        <w:t>564</w:t>
      </w:r>
      <w:r>
        <w:fldChar w:fldCharType="end"/>
      </w:r>
      <w:r>
        <w:fldChar w:fldCharType="end"/>
      </w:r>
    </w:p>
    <w:p w14:paraId="7E1547CE">
      <w:pPr>
        <w:pStyle w:val="70"/>
        <w:tabs>
          <w:tab w:val="right" w:leader="dot" w:pos="8296"/>
        </w:tabs>
        <w:ind w:left="420"/>
        <w:rPr>
          <w:rFonts w:asciiTheme="minorHAnsi" w:hAnsiTheme="minorHAnsi" w:eastAsiaTheme="minorEastAsia"/>
        </w:rPr>
      </w:pPr>
      <w:r>
        <w:fldChar w:fldCharType="begin"/>
      </w:r>
      <w:r>
        <w:instrText xml:space="preserve"> HYPERLINK \l "_Toc196728366" </w:instrText>
      </w:r>
      <w:r>
        <w:fldChar w:fldCharType="separate"/>
      </w:r>
      <w:r>
        <w:rPr>
          <w:rStyle w:val="139"/>
        </w:rPr>
        <w:t>25.5. 查看杀软检查结果</w:t>
      </w:r>
      <w:r>
        <w:tab/>
      </w:r>
      <w:r>
        <w:fldChar w:fldCharType="begin"/>
      </w:r>
      <w:r>
        <w:instrText xml:space="preserve"> PAGEREF _Toc196728366 \h </w:instrText>
      </w:r>
      <w:r>
        <w:fldChar w:fldCharType="separate"/>
      </w:r>
      <w:r>
        <w:t>565</w:t>
      </w:r>
      <w:r>
        <w:fldChar w:fldCharType="end"/>
      </w:r>
      <w:r>
        <w:fldChar w:fldCharType="end"/>
      </w:r>
    </w:p>
    <w:p w14:paraId="1170B7AE">
      <w:pPr>
        <w:pStyle w:val="70"/>
        <w:tabs>
          <w:tab w:val="right" w:leader="dot" w:pos="8296"/>
        </w:tabs>
        <w:ind w:left="420"/>
        <w:rPr>
          <w:rFonts w:asciiTheme="minorHAnsi" w:hAnsiTheme="minorHAnsi" w:eastAsiaTheme="minorEastAsia"/>
        </w:rPr>
      </w:pPr>
      <w:r>
        <w:fldChar w:fldCharType="begin"/>
      </w:r>
      <w:r>
        <w:instrText xml:space="preserve"> HYPERLINK \l "_Toc196728367" </w:instrText>
      </w:r>
      <w:r>
        <w:fldChar w:fldCharType="separate"/>
      </w:r>
      <w:r>
        <w:rPr>
          <w:rStyle w:val="139"/>
        </w:rPr>
        <w:t>25.6. 推送重定向页面</w:t>
      </w:r>
      <w:r>
        <w:tab/>
      </w:r>
      <w:r>
        <w:fldChar w:fldCharType="begin"/>
      </w:r>
      <w:r>
        <w:instrText xml:space="preserve"> PAGEREF _Toc196728367 \h </w:instrText>
      </w:r>
      <w:r>
        <w:fldChar w:fldCharType="separate"/>
      </w:r>
      <w:r>
        <w:t>566</w:t>
      </w:r>
      <w:r>
        <w:fldChar w:fldCharType="end"/>
      </w:r>
      <w:r>
        <w:fldChar w:fldCharType="end"/>
      </w:r>
    </w:p>
    <w:p w14:paraId="2C433BD8">
      <w:pPr>
        <w:pStyle w:val="56"/>
        <w:tabs>
          <w:tab w:val="right" w:leader="dot" w:pos="8296"/>
        </w:tabs>
        <w:rPr>
          <w:rFonts w:asciiTheme="minorHAnsi" w:hAnsiTheme="minorHAnsi" w:eastAsiaTheme="minorEastAsia"/>
        </w:rPr>
      </w:pPr>
      <w:r>
        <w:fldChar w:fldCharType="begin"/>
      </w:r>
      <w:r>
        <w:instrText xml:space="preserve"> HYPERLINK \l "_Toc196728368" </w:instrText>
      </w:r>
      <w:r>
        <w:fldChar w:fldCharType="separate"/>
      </w:r>
      <w:r>
        <w:rPr>
          <w:rStyle w:val="139"/>
        </w:rPr>
        <w:t>26. 防翻墙配置</w:t>
      </w:r>
      <w:r>
        <w:tab/>
      </w:r>
      <w:r>
        <w:fldChar w:fldCharType="begin"/>
      </w:r>
      <w:r>
        <w:instrText xml:space="preserve"> PAGEREF _Toc196728368 \h </w:instrText>
      </w:r>
      <w:r>
        <w:fldChar w:fldCharType="separate"/>
      </w:r>
      <w:r>
        <w:t>567</w:t>
      </w:r>
      <w:r>
        <w:fldChar w:fldCharType="end"/>
      </w:r>
      <w:r>
        <w:fldChar w:fldCharType="end"/>
      </w:r>
    </w:p>
    <w:p w14:paraId="2A5B98B3">
      <w:pPr>
        <w:pStyle w:val="70"/>
        <w:tabs>
          <w:tab w:val="right" w:leader="dot" w:pos="8296"/>
        </w:tabs>
        <w:ind w:left="420"/>
        <w:rPr>
          <w:rFonts w:asciiTheme="minorHAnsi" w:hAnsiTheme="minorHAnsi" w:eastAsiaTheme="minorEastAsia"/>
        </w:rPr>
      </w:pPr>
      <w:r>
        <w:fldChar w:fldCharType="begin"/>
      </w:r>
      <w:r>
        <w:instrText xml:space="preserve"> HYPERLINK \l "_Toc196728369" </w:instrText>
      </w:r>
      <w:r>
        <w:fldChar w:fldCharType="separate"/>
      </w:r>
      <w:r>
        <w:rPr>
          <w:rStyle w:val="139"/>
        </w:rPr>
        <w:t>26.1. 概述</w:t>
      </w:r>
      <w:r>
        <w:tab/>
      </w:r>
      <w:r>
        <w:fldChar w:fldCharType="begin"/>
      </w:r>
      <w:r>
        <w:instrText xml:space="preserve"> PAGEREF _Toc196728369 \h </w:instrText>
      </w:r>
      <w:r>
        <w:fldChar w:fldCharType="separate"/>
      </w:r>
      <w:r>
        <w:t>567</w:t>
      </w:r>
      <w:r>
        <w:fldChar w:fldCharType="end"/>
      </w:r>
      <w:r>
        <w:fldChar w:fldCharType="end"/>
      </w:r>
    </w:p>
    <w:p w14:paraId="16FDCC98">
      <w:pPr>
        <w:pStyle w:val="70"/>
        <w:tabs>
          <w:tab w:val="right" w:leader="dot" w:pos="8296"/>
        </w:tabs>
        <w:ind w:left="420"/>
        <w:rPr>
          <w:rFonts w:asciiTheme="minorHAnsi" w:hAnsiTheme="minorHAnsi" w:eastAsiaTheme="minorEastAsia"/>
        </w:rPr>
      </w:pPr>
      <w:r>
        <w:fldChar w:fldCharType="begin"/>
      </w:r>
      <w:r>
        <w:instrText xml:space="preserve"> HYPERLINK \l "_Toc196728370" </w:instrText>
      </w:r>
      <w:r>
        <w:fldChar w:fldCharType="separate"/>
      </w:r>
      <w:r>
        <w:rPr>
          <w:rStyle w:val="139"/>
        </w:rPr>
        <w:t>26.2. 配置防翻墙</w:t>
      </w:r>
      <w:r>
        <w:tab/>
      </w:r>
      <w:r>
        <w:fldChar w:fldCharType="begin"/>
      </w:r>
      <w:r>
        <w:instrText xml:space="preserve"> PAGEREF _Toc196728370 \h </w:instrText>
      </w:r>
      <w:r>
        <w:fldChar w:fldCharType="separate"/>
      </w:r>
      <w:r>
        <w:t>567</w:t>
      </w:r>
      <w:r>
        <w:fldChar w:fldCharType="end"/>
      </w:r>
      <w:r>
        <w:fldChar w:fldCharType="end"/>
      </w:r>
    </w:p>
    <w:p w14:paraId="219E9439">
      <w:pPr>
        <w:pStyle w:val="56"/>
        <w:tabs>
          <w:tab w:val="right" w:leader="dot" w:pos="8296"/>
        </w:tabs>
        <w:rPr>
          <w:rFonts w:asciiTheme="minorHAnsi" w:hAnsiTheme="minorHAnsi" w:eastAsiaTheme="minorEastAsia"/>
        </w:rPr>
      </w:pPr>
      <w:r>
        <w:fldChar w:fldCharType="begin"/>
      </w:r>
      <w:r>
        <w:instrText xml:space="preserve"> HYPERLINK \l "_Toc196728371" </w:instrText>
      </w:r>
      <w:r>
        <w:fldChar w:fldCharType="separate"/>
      </w:r>
      <w:r>
        <w:rPr>
          <w:rStyle w:val="139"/>
        </w:rPr>
        <w:t>27. 全局白名单</w:t>
      </w:r>
      <w:r>
        <w:tab/>
      </w:r>
      <w:r>
        <w:fldChar w:fldCharType="begin"/>
      </w:r>
      <w:r>
        <w:instrText xml:space="preserve"> PAGEREF _Toc196728371 \h </w:instrText>
      </w:r>
      <w:r>
        <w:fldChar w:fldCharType="separate"/>
      </w:r>
      <w:r>
        <w:t>570</w:t>
      </w:r>
      <w:r>
        <w:fldChar w:fldCharType="end"/>
      </w:r>
      <w:r>
        <w:fldChar w:fldCharType="end"/>
      </w:r>
    </w:p>
    <w:p w14:paraId="5BA9209A">
      <w:pPr>
        <w:pStyle w:val="70"/>
        <w:tabs>
          <w:tab w:val="right" w:leader="dot" w:pos="8296"/>
        </w:tabs>
        <w:ind w:left="420"/>
        <w:rPr>
          <w:rFonts w:asciiTheme="minorHAnsi" w:hAnsiTheme="minorHAnsi" w:eastAsiaTheme="minorEastAsia"/>
        </w:rPr>
      </w:pPr>
      <w:r>
        <w:fldChar w:fldCharType="begin"/>
      </w:r>
      <w:r>
        <w:instrText xml:space="preserve"> HYPERLINK \l "_Toc196728372" </w:instrText>
      </w:r>
      <w:r>
        <w:fldChar w:fldCharType="separate"/>
      </w:r>
      <w:r>
        <w:rPr>
          <w:rStyle w:val="139"/>
        </w:rPr>
        <w:t>27.1. 全局白名单简介</w:t>
      </w:r>
      <w:r>
        <w:tab/>
      </w:r>
      <w:r>
        <w:fldChar w:fldCharType="begin"/>
      </w:r>
      <w:r>
        <w:instrText xml:space="preserve"> PAGEREF _Toc196728372 \h </w:instrText>
      </w:r>
      <w:r>
        <w:fldChar w:fldCharType="separate"/>
      </w:r>
      <w:r>
        <w:t>570</w:t>
      </w:r>
      <w:r>
        <w:fldChar w:fldCharType="end"/>
      </w:r>
      <w:r>
        <w:fldChar w:fldCharType="end"/>
      </w:r>
    </w:p>
    <w:p w14:paraId="0254A23E">
      <w:pPr>
        <w:pStyle w:val="70"/>
        <w:tabs>
          <w:tab w:val="right" w:leader="dot" w:pos="8296"/>
        </w:tabs>
        <w:ind w:left="420"/>
        <w:rPr>
          <w:rFonts w:asciiTheme="minorHAnsi" w:hAnsiTheme="minorHAnsi" w:eastAsiaTheme="minorEastAsia"/>
        </w:rPr>
      </w:pPr>
      <w:r>
        <w:fldChar w:fldCharType="begin"/>
      </w:r>
      <w:r>
        <w:instrText xml:space="preserve"> HYPERLINK \l "_Toc196728373" </w:instrText>
      </w:r>
      <w:r>
        <w:fldChar w:fldCharType="separate"/>
      </w:r>
      <w:r>
        <w:rPr>
          <w:rStyle w:val="139"/>
        </w:rPr>
        <w:t>27.2. 配置全局白名单</w:t>
      </w:r>
      <w:r>
        <w:tab/>
      </w:r>
      <w:r>
        <w:fldChar w:fldCharType="begin"/>
      </w:r>
      <w:r>
        <w:instrText xml:space="preserve"> PAGEREF _Toc196728373 \h </w:instrText>
      </w:r>
      <w:r>
        <w:fldChar w:fldCharType="separate"/>
      </w:r>
      <w:r>
        <w:t>570</w:t>
      </w:r>
      <w:r>
        <w:fldChar w:fldCharType="end"/>
      </w:r>
      <w:r>
        <w:fldChar w:fldCharType="end"/>
      </w:r>
    </w:p>
    <w:p w14:paraId="03E0E664">
      <w:pPr>
        <w:pStyle w:val="56"/>
        <w:tabs>
          <w:tab w:val="right" w:leader="dot" w:pos="8296"/>
        </w:tabs>
        <w:rPr>
          <w:rFonts w:asciiTheme="minorHAnsi" w:hAnsiTheme="minorHAnsi" w:eastAsiaTheme="minorEastAsia"/>
        </w:rPr>
      </w:pPr>
      <w:r>
        <w:fldChar w:fldCharType="begin"/>
      </w:r>
      <w:r>
        <w:instrText xml:space="preserve"> HYPERLINK \l "_Toc196728374" </w:instrText>
      </w:r>
      <w:r>
        <w:fldChar w:fldCharType="separate"/>
      </w:r>
      <w:r>
        <w:rPr>
          <w:rStyle w:val="139"/>
        </w:rPr>
        <w:t>28. 对象管理</w:t>
      </w:r>
      <w:r>
        <w:tab/>
      </w:r>
      <w:r>
        <w:fldChar w:fldCharType="begin"/>
      </w:r>
      <w:r>
        <w:instrText xml:space="preserve"> PAGEREF _Toc196728374 \h </w:instrText>
      </w:r>
      <w:r>
        <w:fldChar w:fldCharType="separate"/>
      </w:r>
      <w:r>
        <w:t>572</w:t>
      </w:r>
      <w:r>
        <w:fldChar w:fldCharType="end"/>
      </w:r>
      <w:r>
        <w:fldChar w:fldCharType="end"/>
      </w:r>
    </w:p>
    <w:p w14:paraId="65F330D7">
      <w:pPr>
        <w:pStyle w:val="70"/>
        <w:tabs>
          <w:tab w:val="right" w:leader="dot" w:pos="8296"/>
        </w:tabs>
        <w:ind w:left="420"/>
        <w:rPr>
          <w:rFonts w:asciiTheme="minorHAnsi" w:hAnsiTheme="minorHAnsi" w:eastAsiaTheme="minorEastAsia"/>
        </w:rPr>
      </w:pPr>
      <w:r>
        <w:fldChar w:fldCharType="begin"/>
      </w:r>
      <w:r>
        <w:instrText xml:space="preserve"> HYPERLINK \l "_Toc196728375" </w:instrText>
      </w:r>
      <w:r>
        <w:fldChar w:fldCharType="separate"/>
      </w:r>
      <w:r>
        <w:rPr>
          <w:rStyle w:val="139"/>
        </w:rPr>
        <w:t>28.1. 应用对象</w:t>
      </w:r>
      <w:r>
        <w:tab/>
      </w:r>
      <w:r>
        <w:fldChar w:fldCharType="begin"/>
      </w:r>
      <w:r>
        <w:instrText xml:space="preserve"> PAGEREF _Toc196728375 \h </w:instrText>
      </w:r>
      <w:r>
        <w:fldChar w:fldCharType="separate"/>
      </w:r>
      <w:r>
        <w:t>572</w:t>
      </w:r>
      <w:r>
        <w:fldChar w:fldCharType="end"/>
      </w:r>
      <w:r>
        <w:fldChar w:fldCharType="end"/>
      </w:r>
    </w:p>
    <w:p w14:paraId="3DA5A6E0">
      <w:pPr>
        <w:pStyle w:val="42"/>
        <w:tabs>
          <w:tab w:val="right" w:leader="dot" w:pos="8296"/>
        </w:tabs>
        <w:ind w:left="840"/>
        <w:rPr>
          <w:rFonts w:asciiTheme="minorHAnsi" w:hAnsiTheme="minorHAnsi" w:eastAsiaTheme="minorEastAsia"/>
        </w:rPr>
      </w:pPr>
      <w:r>
        <w:fldChar w:fldCharType="begin"/>
      </w:r>
      <w:r>
        <w:instrText xml:space="preserve"> HYPERLINK \l "_Toc196728376" </w:instrText>
      </w:r>
      <w:r>
        <w:fldChar w:fldCharType="separate"/>
      </w:r>
      <w:r>
        <w:rPr>
          <w:rStyle w:val="139"/>
          <w:kern w:val="0"/>
          <w14:scene3d w14:prst="orthographicFront">
            <w14:lightRig w14:rig="threePt" w14:dir="t">
              <w14:rot w14:lat="0" w14:lon="0" w14:rev="0"/>
            </w14:lightRig>
          </w14:scene3d>
        </w:rPr>
        <w:t>28.1.1.</w:t>
      </w:r>
      <w:r>
        <w:rPr>
          <w:rStyle w:val="139"/>
        </w:rPr>
        <w:t xml:space="preserve"> 应用对象简介</w:t>
      </w:r>
      <w:r>
        <w:tab/>
      </w:r>
      <w:r>
        <w:fldChar w:fldCharType="begin"/>
      </w:r>
      <w:r>
        <w:instrText xml:space="preserve"> PAGEREF _Toc196728376 \h </w:instrText>
      </w:r>
      <w:r>
        <w:fldChar w:fldCharType="separate"/>
      </w:r>
      <w:r>
        <w:t>572</w:t>
      </w:r>
      <w:r>
        <w:fldChar w:fldCharType="end"/>
      </w:r>
      <w:r>
        <w:fldChar w:fldCharType="end"/>
      </w:r>
    </w:p>
    <w:p w14:paraId="16FFB6D2">
      <w:pPr>
        <w:pStyle w:val="42"/>
        <w:tabs>
          <w:tab w:val="right" w:leader="dot" w:pos="8296"/>
        </w:tabs>
        <w:ind w:left="840"/>
        <w:rPr>
          <w:rFonts w:asciiTheme="minorHAnsi" w:hAnsiTheme="minorHAnsi" w:eastAsiaTheme="minorEastAsia"/>
        </w:rPr>
      </w:pPr>
      <w:r>
        <w:fldChar w:fldCharType="begin"/>
      </w:r>
      <w:r>
        <w:instrText xml:space="preserve"> HYPERLINK \l "_Toc196728377" </w:instrText>
      </w:r>
      <w:r>
        <w:fldChar w:fldCharType="separate"/>
      </w:r>
      <w:r>
        <w:rPr>
          <w:rStyle w:val="139"/>
          <w:kern w:val="0"/>
          <w14:scene3d w14:prst="orthographicFront">
            <w14:lightRig w14:rig="threePt" w14:dir="t">
              <w14:rot w14:lat="0" w14:lon="0" w14:rev="0"/>
            </w14:lightRig>
          </w14:scene3d>
        </w:rPr>
        <w:t>28.1.2.</w:t>
      </w:r>
      <w:r>
        <w:rPr>
          <w:rStyle w:val="139"/>
        </w:rPr>
        <w:t xml:space="preserve"> 应用对象</w:t>
      </w:r>
      <w:r>
        <w:tab/>
      </w:r>
      <w:r>
        <w:fldChar w:fldCharType="begin"/>
      </w:r>
      <w:r>
        <w:instrText xml:space="preserve"> PAGEREF _Toc196728377 \h </w:instrText>
      </w:r>
      <w:r>
        <w:fldChar w:fldCharType="separate"/>
      </w:r>
      <w:r>
        <w:t>572</w:t>
      </w:r>
      <w:r>
        <w:fldChar w:fldCharType="end"/>
      </w:r>
      <w:r>
        <w:fldChar w:fldCharType="end"/>
      </w:r>
    </w:p>
    <w:p w14:paraId="6B1548CA">
      <w:pPr>
        <w:pStyle w:val="42"/>
        <w:tabs>
          <w:tab w:val="right" w:leader="dot" w:pos="8296"/>
        </w:tabs>
        <w:ind w:left="840"/>
        <w:rPr>
          <w:rFonts w:asciiTheme="minorHAnsi" w:hAnsiTheme="minorHAnsi" w:eastAsiaTheme="minorEastAsia"/>
        </w:rPr>
      </w:pPr>
      <w:r>
        <w:fldChar w:fldCharType="begin"/>
      </w:r>
      <w:r>
        <w:instrText xml:space="preserve"> HYPERLINK \l "_Toc196728378" </w:instrText>
      </w:r>
      <w:r>
        <w:fldChar w:fldCharType="separate"/>
      </w:r>
      <w:r>
        <w:rPr>
          <w:rStyle w:val="139"/>
          <w:kern w:val="0"/>
          <w14:scene3d w14:prst="orthographicFront">
            <w14:lightRig w14:rig="threePt" w14:dir="t">
              <w14:rot w14:lat="0" w14:lon="0" w14:rev="0"/>
            </w14:lightRig>
          </w14:scene3d>
        </w:rPr>
        <w:t>28.1.3.</w:t>
      </w:r>
      <w:r>
        <w:rPr>
          <w:rStyle w:val="139"/>
        </w:rPr>
        <w:t xml:space="preserve"> 应用标签对象</w:t>
      </w:r>
      <w:r>
        <w:tab/>
      </w:r>
      <w:r>
        <w:fldChar w:fldCharType="begin"/>
      </w:r>
      <w:r>
        <w:instrText xml:space="preserve"> PAGEREF _Toc196728378 \h </w:instrText>
      </w:r>
      <w:r>
        <w:fldChar w:fldCharType="separate"/>
      </w:r>
      <w:r>
        <w:t>573</w:t>
      </w:r>
      <w:r>
        <w:fldChar w:fldCharType="end"/>
      </w:r>
      <w:r>
        <w:fldChar w:fldCharType="end"/>
      </w:r>
    </w:p>
    <w:p w14:paraId="2A96578F">
      <w:pPr>
        <w:pStyle w:val="42"/>
        <w:tabs>
          <w:tab w:val="right" w:leader="dot" w:pos="8296"/>
        </w:tabs>
        <w:ind w:left="840"/>
        <w:rPr>
          <w:rFonts w:asciiTheme="minorHAnsi" w:hAnsiTheme="minorHAnsi" w:eastAsiaTheme="minorEastAsia"/>
        </w:rPr>
      </w:pPr>
      <w:r>
        <w:fldChar w:fldCharType="begin"/>
      </w:r>
      <w:r>
        <w:instrText xml:space="preserve"> HYPERLINK \l "_Toc196728379" </w:instrText>
      </w:r>
      <w:r>
        <w:fldChar w:fldCharType="separate"/>
      </w:r>
      <w:r>
        <w:rPr>
          <w:rStyle w:val="139"/>
          <w:kern w:val="0"/>
          <w14:scene3d w14:prst="orthographicFront">
            <w14:lightRig w14:rig="threePt" w14:dir="t">
              <w14:rot w14:lat="0" w14:lon="0" w14:rev="0"/>
            </w14:lightRig>
          </w14:scene3d>
        </w:rPr>
        <w:t>28.1.4.</w:t>
      </w:r>
      <w:r>
        <w:rPr>
          <w:rStyle w:val="139"/>
        </w:rPr>
        <w:t xml:space="preserve"> 自定义应用</w:t>
      </w:r>
      <w:r>
        <w:tab/>
      </w:r>
      <w:r>
        <w:fldChar w:fldCharType="begin"/>
      </w:r>
      <w:r>
        <w:instrText xml:space="preserve"> PAGEREF _Toc196728379 \h </w:instrText>
      </w:r>
      <w:r>
        <w:fldChar w:fldCharType="separate"/>
      </w:r>
      <w:r>
        <w:t>575</w:t>
      </w:r>
      <w:r>
        <w:fldChar w:fldCharType="end"/>
      </w:r>
      <w:r>
        <w:fldChar w:fldCharType="end"/>
      </w:r>
    </w:p>
    <w:p w14:paraId="64A9CB42">
      <w:pPr>
        <w:pStyle w:val="42"/>
        <w:tabs>
          <w:tab w:val="right" w:leader="dot" w:pos="8296"/>
        </w:tabs>
        <w:ind w:left="840"/>
        <w:rPr>
          <w:rFonts w:asciiTheme="minorHAnsi" w:hAnsiTheme="minorHAnsi" w:eastAsiaTheme="minorEastAsia"/>
        </w:rPr>
      </w:pPr>
      <w:r>
        <w:fldChar w:fldCharType="begin"/>
      </w:r>
      <w:r>
        <w:instrText xml:space="preserve"> HYPERLINK \l "_Toc196728380" </w:instrText>
      </w:r>
      <w:r>
        <w:fldChar w:fldCharType="separate"/>
      </w:r>
      <w:r>
        <w:rPr>
          <w:rStyle w:val="139"/>
          <w:kern w:val="0"/>
          <w14:scene3d w14:prst="orthographicFront">
            <w14:lightRig w14:rig="threePt" w14:dir="t">
              <w14:rot w14:lat="0" w14:lon="0" w14:rev="0"/>
            </w14:lightRig>
          </w14:scene3d>
        </w:rPr>
        <w:t>28.1.5.</w:t>
      </w:r>
      <w:r>
        <w:rPr>
          <w:rStyle w:val="139"/>
        </w:rPr>
        <w:t xml:space="preserve"> 应用智能识别</w:t>
      </w:r>
      <w:r>
        <w:tab/>
      </w:r>
      <w:r>
        <w:fldChar w:fldCharType="begin"/>
      </w:r>
      <w:r>
        <w:instrText xml:space="preserve"> PAGEREF _Toc196728380 \h </w:instrText>
      </w:r>
      <w:r>
        <w:fldChar w:fldCharType="separate"/>
      </w:r>
      <w:r>
        <w:t>578</w:t>
      </w:r>
      <w:r>
        <w:fldChar w:fldCharType="end"/>
      </w:r>
      <w:r>
        <w:fldChar w:fldCharType="end"/>
      </w:r>
    </w:p>
    <w:p w14:paraId="60E799A9">
      <w:pPr>
        <w:pStyle w:val="42"/>
        <w:tabs>
          <w:tab w:val="right" w:leader="dot" w:pos="8296"/>
        </w:tabs>
        <w:ind w:left="840"/>
        <w:rPr>
          <w:rFonts w:asciiTheme="minorHAnsi" w:hAnsiTheme="minorHAnsi" w:eastAsiaTheme="minorEastAsia"/>
        </w:rPr>
      </w:pPr>
      <w:r>
        <w:fldChar w:fldCharType="begin"/>
      </w:r>
      <w:r>
        <w:instrText xml:space="preserve"> HYPERLINK \l "_Toc196728381" </w:instrText>
      </w:r>
      <w:r>
        <w:fldChar w:fldCharType="separate"/>
      </w:r>
      <w:r>
        <w:rPr>
          <w:rStyle w:val="139"/>
          <w:kern w:val="0"/>
          <w14:scene3d w14:prst="orthographicFront">
            <w14:lightRig w14:rig="threePt" w14:dir="t">
              <w14:rot w14:lat="0" w14:lon="0" w14:rev="0"/>
            </w14:lightRig>
          </w14:scene3d>
        </w:rPr>
        <w:t>28.1.6.</w:t>
      </w:r>
      <w:r>
        <w:rPr>
          <w:rStyle w:val="139"/>
        </w:rPr>
        <w:t xml:space="preserve"> 应用识别模式配置</w:t>
      </w:r>
      <w:r>
        <w:tab/>
      </w:r>
      <w:r>
        <w:fldChar w:fldCharType="begin"/>
      </w:r>
      <w:r>
        <w:instrText xml:space="preserve"> PAGEREF _Toc196728381 \h </w:instrText>
      </w:r>
      <w:r>
        <w:fldChar w:fldCharType="separate"/>
      </w:r>
      <w:r>
        <w:t>581</w:t>
      </w:r>
      <w:r>
        <w:fldChar w:fldCharType="end"/>
      </w:r>
      <w:r>
        <w:fldChar w:fldCharType="end"/>
      </w:r>
    </w:p>
    <w:p w14:paraId="2FFEDDCF">
      <w:pPr>
        <w:pStyle w:val="42"/>
        <w:tabs>
          <w:tab w:val="right" w:leader="dot" w:pos="8296"/>
        </w:tabs>
        <w:ind w:left="840"/>
        <w:rPr>
          <w:rFonts w:asciiTheme="minorHAnsi" w:hAnsiTheme="minorHAnsi" w:eastAsiaTheme="minorEastAsia"/>
        </w:rPr>
      </w:pPr>
      <w:r>
        <w:fldChar w:fldCharType="begin"/>
      </w:r>
      <w:r>
        <w:instrText xml:space="preserve"> HYPERLINK \l "_Toc196728382" </w:instrText>
      </w:r>
      <w:r>
        <w:fldChar w:fldCharType="separate"/>
      </w:r>
      <w:r>
        <w:rPr>
          <w:rStyle w:val="139"/>
          <w:kern w:val="0"/>
          <w14:scene3d w14:prst="orthographicFront">
            <w14:lightRig w14:rig="threePt" w14:dir="t">
              <w14:rot w14:lat="0" w14:lon="0" w14:rev="0"/>
            </w14:lightRig>
          </w14:scene3d>
        </w:rPr>
        <w:t>28.1.7.</w:t>
      </w:r>
      <w:r>
        <w:rPr>
          <w:rStyle w:val="139"/>
        </w:rPr>
        <w:t xml:space="preserve"> 应用识别高级配置</w:t>
      </w:r>
      <w:r>
        <w:tab/>
      </w:r>
      <w:r>
        <w:fldChar w:fldCharType="begin"/>
      </w:r>
      <w:r>
        <w:instrText xml:space="preserve"> PAGEREF _Toc196728382 \h </w:instrText>
      </w:r>
      <w:r>
        <w:fldChar w:fldCharType="separate"/>
      </w:r>
      <w:r>
        <w:t>582</w:t>
      </w:r>
      <w:r>
        <w:fldChar w:fldCharType="end"/>
      </w:r>
      <w:r>
        <w:fldChar w:fldCharType="end"/>
      </w:r>
    </w:p>
    <w:p w14:paraId="5F9019E0">
      <w:pPr>
        <w:pStyle w:val="70"/>
        <w:tabs>
          <w:tab w:val="right" w:leader="dot" w:pos="8296"/>
        </w:tabs>
        <w:ind w:left="420"/>
        <w:rPr>
          <w:rFonts w:asciiTheme="minorHAnsi" w:hAnsiTheme="minorHAnsi" w:eastAsiaTheme="minorEastAsia"/>
        </w:rPr>
      </w:pPr>
      <w:r>
        <w:fldChar w:fldCharType="begin"/>
      </w:r>
      <w:r>
        <w:instrText xml:space="preserve"> HYPERLINK \l "_Toc196728383" </w:instrText>
      </w:r>
      <w:r>
        <w:fldChar w:fldCharType="separate"/>
      </w:r>
      <w:r>
        <w:rPr>
          <w:rStyle w:val="139"/>
        </w:rPr>
        <w:t>28.2. 数据库识别</w:t>
      </w:r>
      <w:r>
        <w:tab/>
      </w:r>
      <w:r>
        <w:fldChar w:fldCharType="begin"/>
      </w:r>
      <w:r>
        <w:instrText xml:space="preserve"> PAGEREF _Toc196728383 \h </w:instrText>
      </w:r>
      <w:r>
        <w:fldChar w:fldCharType="separate"/>
      </w:r>
      <w:r>
        <w:t>582</w:t>
      </w:r>
      <w:r>
        <w:fldChar w:fldCharType="end"/>
      </w:r>
      <w:r>
        <w:fldChar w:fldCharType="end"/>
      </w:r>
    </w:p>
    <w:p w14:paraId="363D91C0">
      <w:pPr>
        <w:pStyle w:val="70"/>
        <w:tabs>
          <w:tab w:val="right" w:leader="dot" w:pos="8296"/>
        </w:tabs>
        <w:ind w:left="420"/>
        <w:rPr>
          <w:rFonts w:asciiTheme="minorHAnsi" w:hAnsiTheme="minorHAnsi" w:eastAsiaTheme="minorEastAsia"/>
        </w:rPr>
      </w:pPr>
      <w:r>
        <w:fldChar w:fldCharType="begin"/>
      </w:r>
      <w:r>
        <w:instrText xml:space="preserve"> HYPERLINK \l "_Toc196728384" </w:instrText>
      </w:r>
      <w:r>
        <w:fldChar w:fldCharType="separate"/>
      </w:r>
      <w:r>
        <w:rPr>
          <w:rStyle w:val="139"/>
        </w:rPr>
        <w:t>28.3. 地址对象</w:t>
      </w:r>
      <w:r>
        <w:tab/>
      </w:r>
      <w:r>
        <w:fldChar w:fldCharType="begin"/>
      </w:r>
      <w:r>
        <w:instrText xml:space="preserve"> PAGEREF _Toc196728384 \h </w:instrText>
      </w:r>
      <w:r>
        <w:fldChar w:fldCharType="separate"/>
      </w:r>
      <w:r>
        <w:t>584</w:t>
      </w:r>
      <w:r>
        <w:fldChar w:fldCharType="end"/>
      </w:r>
      <w:r>
        <w:fldChar w:fldCharType="end"/>
      </w:r>
    </w:p>
    <w:p w14:paraId="730D3163">
      <w:pPr>
        <w:pStyle w:val="42"/>
        <w:tabs>
          <w:tab w:val="right" w:leader="dot" w:pos="8296"/>
        </w:tabs>
        <w:ind w:left="840"/>
        <w:rPr>
          <w:rFonts w:asciiTheme="minorHAnsi" w:hAnsiTheme="minorHAnsi" w:eastAsiaTheme="minorEastAsia"/>
        </w:rPr>
      </w:pPr>
      <w:r>
        <w:fldChar w:fldCharType="begin"/>
      </w:r>
      <w:r>
        <w:instrText xml:space="preserve"> HYPERLINK \l "_Toc196728385" </w:instrText>
      </w:r>
      <w:r>
        <w:fldChar w:fldCharType="separate"/>
      </w:r>
      <w:r>
        <w:rPr>
          <w:rStyle w:val="139"/>
          <w:kern w:val="0"/>
          <w14:scene3d w14:prst="orthographicFront">
            <w14:lightRig w14:rig="threePt" w14:dir="t">
              <w14:rot w14:lat="0" w14:lon="0" w14:rev="0"/>
            </w14:lightRig>
          </w14:scene3d>
        </w:rPr>
        <w:t>28.3.1.</w:t>
      </w:r>
      <w:r>
        <w:rPr>
          <w:rStyle w:val="139"/>
        </w:rPr>
        <w:t xml:space="preserve"> 概述</w:t>
      </w:r>
      <w:r>
        <w:tab/>
      </w:r>
      <w:r>
        <w:fldChar w:fldCharType="begin"/>
      </w:r>
      <w:r>
        <w:instrText xml:space="preserve"> PAGEREF _Toc196728385 \h </w:instrText>
      </w:r>
      <w:r>
        <w:fldChar w:fldCharType="separate"/>
      </w:r>
      <w:r>
        <w:t>584</w:t>
      </w:r>
      <w:r>
        <w:fldChar w:fldCharType="end"/>
      </w:r>
      <w:r>
        <w:fldChar w:fldCharType="end"/>
      </w:r>
    </w:p>
    <w:p w14:paraId="5C2C9D79">
      <w:pPr>
        <w:pStyle w:val="42"/>
        <w:tabs>
          <w:tab w:val="right" w:leader="dot" w:pos="8296"/>
        </w:tabs>
        <w:ind w:left="840"/>
        <w:rPr>
          <w:rFonts w:asciiTheme="minorHAnsi" w:hAnsiTheme="minorHAnsi" w:eastAsiaTheme="minorEastAsia"/>
        </w:rPr>
      </w:pPr>
      <w:r>
        <w:fldChar w:fldCharType="begin"/>
      </w:r>
      <w:r>
        <w:instrText xml:space="preserve"> HYPERLINK \l "_Toc196728386" </w:instrText>
      </w:r>
      <w:r>
        <w:fldChar w:fldCharType="separate"/>
      </w:r>
      <w:r>
        <w:rPr>
          <w:rStyle w:val="139"/>
          <w:kern w:val="0"/>
          <w14:scene3d w14:prst="orthographicFront">
            <w14:lightRig w14:rig="threePt" w14:dir="t">
              <w14:rot w14:lat="0" w14:lon="0" w14:rev="0"/>
            </w14:lightRig>
          </w14:scene3d>
        </w:rPr>
        <w:t>28.3.2.</w:t>
      </w:r>
      <w:r>
        <w:rPr>
          <w:rStyle w:val="139"/>
        </w:rPr>
        <w:t xml:space="preserve"> 配置地址对象</w:t>
      </w:r>
      <w:r>
        <w:tab/>
      </w:r>
      <w:r>
        <w:fldChar w:fldCharType="begin"/>
      </w:r>
      <w:r>
        <w:instrText xml:space="preserve"> PAGEREF _Toc196728386 \h </w:instrText>
      </w:r>
      <w:r>
        <w:fldChar w:fldCharType="separate"/>
      </w:r>
      <w:r>
        <w:t>584</w:t>
      </w:r>
      <w:r>
        <w:fldChar w:fldCharType="end"/>
      </w:r>
      <w:r>
        <w:fldChar w:fldCharType="end"/>
      </w:r>
    </w:p>
    <w:p w14:paraId="36A20433">
      <w:pPr>
        <w:pStyle w:val="42"/>
        <w:tabs>
          <w:tab w:val="right" w:leader="dot" w:pos="8296"/>
        </w:tabs>
        <w:ind w:left="840"/>
        <w:rPr>
          <w:rFonts w:asciiTheme="minorHAnsi" w:hAnsiTheme="minorHAnsi" w:eastAsiaTheme="minorEastAsia"/>
        </w:rPr>
      </w:pPr>
      <w:r>
        <w:fldChar w:fldCharType="begin"/>
      </w:r>
      <w:r>
        <w:instrText xml:space="preserve"> HYPERLINK \l "_Toc196728387" </w:instrText>
      </w:r>
      <w:r>
        <w:fldChar w:fldCharType="separate"/>
      </w:r>
      <w:r>
        <w:rPr>
          <w:rStyle w:val="139"/>
          <w:kern w:val="0"/>
          <w14:scene3d w14:prst="orthographicFront">
            <w14:lightRig w14:rig="threePt" w14:dir="t">
              <w14:rot w14:lat="0" w14:lon="0" w14:rev="0"/>
            </w14:lightRig>
          </w14:scene3d>
        </w:rPr>
        <w:t>28.3.3.</w:t>
      </w:r>
      <w:r>
        <w:rPr>
          <w:rStyle w:val="139"/>
        </w:rPr>
        <w:t xml:space="preserve"> 导入或导出地址对象</w:t>
      </w:r>
      <w:r>
        <w:tab/>
      </w:r>
      <w:r>
        <w:fldChar w:fldCharType="begin"/>
      </w:r>
      <w:r>
        <w:instrText xml:space="preserve"> PAGEREF _Toc196728387 \h </w:instrText>
      </w:r>
      <w:r>
        <w:fldChar w:fldCharType="separate"/>
      </w:r>
      <w:r>
        <w:t>586</w:t>
      </w:r>
      <w:r>
        <w:fldChar w:fldCharType="end"/>
      </w:r>
      <w:r>
        <w:fldChar w:fldCharType="end"/>
      </w:r>
    </w:p>
    <w:p w14:paraId="0087D8D2">
      <w:pPr>
        <w:pStyle w:val="42"/>
        <w:tabs>
          <w:tab w:val="right" w:leader="dot" w:pos="8296"/>
        </w:tabs>
        <w:ind w:left="840"/>
        <w:rPr>
          <w:rFonts w:asciiTheme="minorHAnsi" w:hAnsiTheme="minorHAnsi" w:eastAsiaTheme="minorEastAsia"/>
        </w:rPr>
      </w:pPr>
      <w:r>
        <w:fldChar w:fldCharType="begin"/>
      </w:r>
      <w:r>
        <w:instrText xml:space="preserve"> HYPERLINK \l "_Toc196728388" </w:instrText>
      </w:r>
      <w:r>
        <w:fldChar w:fldCharType="separate"/>
      </w:r>
      <w:r>
        <w:rPr>
          <w:rStyle w:val="139"/>
          <w:kern w:val="0"/>
          <w14:scene3d w14:prst="orthographicFront">
            <w14:lightRig w14:rig="threePt" w14:dir="t">
              <w14:rot w14:lat="0" w14:lon="0" w14:rev="0"/>
            </w14:lightRig>
          </w14:scene3d>
        </w:rPr>
        <w:t>28.3.4.</w:t>
      </w:r>
      <w:r>
        <w:rPr>
          <w:rStyle w:val="139"/>
        </w:rPr>
        <w:t xml:space="preserve"> 配置地址组对象</w:t>
      </w:r>
      <w:r>
        <w:tab/>
      </w:r>
      <w:r>
        <w:fldChar w:fldCharType="begin"/>
      </w:r>
      <w:r>
        <w:instrText xml:space="preserve"> PAGEREF _Toc196728388 \h </w:instrText>
      </w:r>
      <w:r>
        <w:fldChar w:fldCharType="separate"/>
      </w:r>
      <w:r>
        <w:t>587</w:t>
      </w:r>
      <w:r>
        <w:fldChar w:fldCharType="end"/>
      </w:r>
      <w:r>
        <w:fldChar w:fldCharType="end"/>
      </w:r>
    </w:p>
    <w:p w14:paraId="76959DEB">
      <w:pPr>
        <w:pStyle w:val="42"/>
        <w:tabs>
          <w:tab w:val="right" w:leader="dot" w:pos="8296"/>
        </w:tabs>
        <w:ind w:left="840"/>
        <w:rPr>
          <w:rFonts w:asciiTheme="minorHAnsi" w:hAnsiTheme="minorHAnsi" w:eastAsiaTheme="minorEastAsia"/>
        </w:rPr>
      </w:pPr>
      <w:r>
        <w:fldChar w:fldCharType="begin"/>
      </w:r>
      <w:r>
        <w:instrText xml:space="preserve"> HYPERLINK \l "_Toc196728389" </w:instrText>
      </w:r>
      <w:r>
        <w:fldChar w:fldCharType="separate"/>
      </w:r>
      <w:r>
        <w:rPr>
          <w:rStyle w:val="139"/>
          <w:kern w:val="0"/>
          <w14:scene3d w14:prst="orthographicFront">
            <w14:lightRig w14:rig="threePt" w14:dir="t">
              <w14:rot w14:lat="0" w14:lon="0" w14:rev="0"/>
            </w14:lightRig>
          </w14:scene3d>
        </w:rPr>
        <w:t>28.3.5.</w:t>
      </w:r>
      <w:r>
        <w:rPr>
          <w:rStyle w:val="139"/>
        </w:rPr>
        <w:t xml:space="preserve"> IP归属地</w:t>
      </w:r>
      <w:r>
        <w:tab/>
      </w:r>
      <w:r>
        <w:fldChar w:fldCharType="begin"/>
      </w:r>
      <w:r>
        <w:instrText xml:space="preserve"> PAGEREF _Toc196728389 \h </w:instrText>
      </w:r>
      <w:r>
        <w:fldChar w:fldCharType="separate"/>
      </w:r>
      <w:r>
        <w:t>589</w:t>
      </w:r>
      <w:r>
        <w:fldChar w:fldCharType="end"/>
      </w:r>
      <w:r>
        <w:fldChar w:fldCharType="end"/>
      </w:r>
    </w:p>
    <w:p w14:paraId="64D831F6">
      <w:pPr>
        <w:pStyle w:val="70"/>
        <w:tabs>
          <w:tab w:val="right" w:leader="dot" w:pos="8296"/>
        </w:tabs>
        <w:ind w:left="420"/>
        <w:rPr>
          <w:rFonts w:asciiTheme="minorHAnsi" w:hAnsiTheme="minorHAnsi" w:eastAsiaTheme="minorEastAsia"/>
        </w:rPr>
      </w:pPr>
      <w:r>
        <w:fldChar w:fldCharType="begin"/>
      </w:r>
      <w:r>
        <w:instrText xml:space="preserve"> HYPERLINK \l "_Toc196728390" </w:instrText>
      </w:r>
      <w:r>
        <w:fldChar w:fldCharType="separate"/>
      </w:r>
      <w:r>
        <w:rPr>
          <w:rStyle w:val="139"/>
        </w:rPr>
        <w:t>28.4. MAC地址对象</w:t>
      </w:r>
      <w:r>
        <w:tab/>
      </w:r>
      <w:r>
        <w:fldChar w:fldCharType="begin"/>
      </w:r>
      <w:r>
        <w:instrText xml:space="preserve"> PAGEREF _Toc196728390 \h </w:instrText>
      </w:r>
      <w:r>
        <w:fldChar w:fldCharType="separate"/>
      </w:r>
      <w:r>
        <w:t>590</w:t>
      </w:r>
      <w:r>
        <w:fldChar w:fldCharType="end"/>
      </w:r>
      <w:r>
        <w:fldChar w:fldCharType="end"/>
      </w:r>
    </w:p>
    <w:p w14:paraId="55019DD5">
      <w:pPr>
        <w:pStyle w:val="42"/>
        <w:tabs>
          <w:tab w:val="right" w:leader="dot" w:pos="8296"/>
        </w:tabs>
        <w:ind w:left="840"/>
        <w:rPr>
          <w:rFonts w:asciiTheme="minorHAnsi" w:hAnsiTheme="minorHAnsi" w:eastAsiaTheme="minorEastAsia"/>
        </w:rPr>
      </w:pPr>
      <w:r>
        <w:fldChar w:fldCharType="begin"/>
      </w:r>
      <w:r>
        <w:instrText xml:space="preserve"> HYPERLINK \l "_Toc196728391" </w:instrText>
      </w:r>
      <w:r>
        <w:fldChar w:fldCharType="separate"/>
      </w:r>
      <w:r>
        <w:rPr>
          <w:rStyle w:val="139"/>
          <w:kern w:val="0"/>
          <w14:scene3d w14:prst="orthographicFront">
            <w14:lightRig w14:rig="threePt" w14:dir="t">
              <w14:rot w14:lat="0" w14:lon="0" w14:rev="0"/>
            </w14:lightRig>
          </w14:scene3d>
        </w:rPr>
        <w:t>28.4.1.</w:t>
      </w:r>
      <w:r>
        <w:rPr>
          <w:rStyle w:val="139"/>
        </w:rPr>
        <w:t xml:space="preserve"> 概述</w:t>
      </w:r>
      <w:r>
        <w:tab/>
      </w:r>
      <w:r>
        <w:fldChar w:fldCharType="begin"/>
      </w:r>
      <w:r>
        <w:instrText xml:space="preserve"> PAGEREF _Toc196728391 \h </w:instrText>
      </w:r>
      <w:r>
        <w:fldChar w:fldCharType="separate"/>
      </w:r>
      <w:r>
        <w:t>590</w:t>
      </w:r>
      <w:r>
        <w:fldChar w:fldCharType="end"/>
      </w:r>
      <w:r>
        <w:fldChar w:fldCharType="end"/>
      </w:r>
    </w:p>
    <w:p w14:paraId="3A10CAB2">
      <w:pPr>
        <w:pStyle w:val="42"/>
        <w:tabs>
          <w:tab w:val="right" w:leader="dot" w:pos="8296"/>
        </w:tabs>
        <w:ind w:left="840"/>
        <w:rPr>
          <w:rFonts w:asciiTheme="minorHAnsi" w:hAnsiTheme="minorHAnsi" w:eastAsiaTheme="minorEastAsia"/>
        </w:rPr>
      </w:pPr>
      <w:r>
        <w:fldChar w:fldCharType="begin"/>
      </w:r>
      <w:r>
        <w:instrText xml:space="preserve"> HYPERLINK \l "_Toc196728392" </w:instrText>
      </w:r>
      <w:r>
        <w:fldChar w:fldCharType="separate"/>
      </w:r>
      <w:r>
        <w:rPr>
          <w:rStyle w:val="139"/>
          <w:kern w:val="0"/>
          <w14:scene3d w14:prst="orthographicFront">
            <w14:lightRig w14:rig="threePt" w14:dir="t">
              <w14:rot w14:lat="0" w14:lon="0" w14:rev="0"/>
            </w14:lightRig>
          </w14:scene3d>
        </w:rPr>
        <w:t>28.4.2.</w:t>
      </w:r>
      <w:r>
        <w:rPr>
          <w:rStyle w:val="139"/>
        </w:rPr>
        <w:t xml:space="preserve"> 配置MAC地址对象</w:t>
      </w:r>
      <w:r>
        <w:tab/>
      </w:r>
      <w:r>
        <w:fldChar w:fldCharType="begin"/>
      </w:r>
      <w:r>
        <w:instrText xml:space="preserve"> PAGEREF _Toc196728392 \h </w:instrText>
      </w:r>
      <w:r>
        <w:fldChar w:fldCharType="separate"/>
      </w:r>
      <w:r>
        <w:t>590</w:t>
      </w:r>
      <w:r>
        <w:fldChar w:fldCharType="end"/>
      </w:r>
      <w:r>
        <w:fldChar w:fldCharType="end"/>
      </w:r>
    </w:p>
    <w:p w14:paraId="313CF218">
      <w:pPr>
        <w:pStyle w:val="70"/>
        <w:tabs>
          <w:tab w:val="right" w:leader="dot" w:pos="8296"/>
        </w:tabs>
        <w:ind w:left="420"/>
        <w:rPr>
          <w:rFonts w:asciiTheme="minorHAnsi" w:hAnsiTheme="minorHAnsi" w:eastAsiaTheme="minorEastAsia"/>
        </w:rPr>
      </w:pPr>
      <w:r>
        <w:fldChar w:fldCharType="begin"/>
      </w:r>
      <w:r>
        <w:instrText xml:space="preserve"> HYPERLINK \l "_Toc196728393" </w:instrText>
      </w:r>
      <w:r>
        <w:fldChar w:fldCharType="separate"/>
      </w:r>
      <w:r>
        <w:rPr>
          <w:rStyle w:val="139"/>
        </w:rPr>
        <w:t>28.5. 服务对象</w:t>
      </w:r>
      <w:r>
        <w:tab/>
      </w:r>
      <w:r>
        <w:fldChar w:fldCharType="begin"/>
      </w:r>
      <w:r>
        <w:instrText xml:space="preserve"> PAGEREF _Toc196728393 \h </w:instrText>
      </w:r>
      <w:r>
        <w:fldChar w:fldCharType="separate"/>
      </w:r>
      <w:r>
        <w:t>592</w:t>
      </w:r>
      <w:r>
        <w:fldChar w:fldCharType="end"/>
      </w:r>
      <w:r>
        <w:fldChar w:fldCharType="end"/>
      </w:r>
    </w:p>
    <w:p w14:paraId="0A205DFC">
      <w:pPr>
        <w:pStyle w:val="42"/>
        <w:tabs>
          <w:tab w:val="right" w:leader="dot" w:pos="8296"/>
        </w:tabs>
        <w:ind w:left="840"/>
        <w:rPr>
          <w:rFonts w:asciiTheme="minorHAnsi" w:hAnsiTheme="minorHAnsi" w:eastAsiaTheme="minorEastAsia"/>
        </w:rPr>
      </w:pPr>
      <w:r>
        <w:fldChar w:fldCharType="begin"/>
      </w:r>
      <w:r>
        <w:instrText xml:space="preserve"> HYPERLINK \l "_Toc196728394" </w:instrText>
      </w:r>
      <w:r>
        <w:fldChar w:fldCharType="separate"/>
      </w:r>
      <w:r>
        <w:rPr>
          <w:rStyle w:val="139"/>
          <w:kern w:val="0"/>
          <w14:scene3d w14:prst="orthographicFront">
            <w14:lightRig w14:rig="threePt" w14:dir="t">
              <w14:rot w14:lat="0" w14:lon="0" w14:rev="0"/>
            </w14:lightRig>
          </w14:scene3d>
        </w:rPr>
        <w:t>28.5.1.</w:t>
      </w:r>
      <w:r>
        <w:rPr>
          <w:rStyle w:val="139"/>
        </w:rPr>
        <w:t xml:space="preserve"> 概述</w:t>
      </w:r>
      <w:r>
        <w:tab/>
      </w:r>
      <w:r>
        <w:fldChar w:fldCharType="begin"/>
      </w:r>
      <w:r>
        <w:instrText xml:space="preserve"> PAGEREF _Toc196728394 \h </w:instrText>
      </w:r>
      <w:r>
        <w:fldChar w:fldCharType="separate"/>
      </w:r>
      <w:r>
        <w:t>592</w:t>
      </w:r>
      <w:r>
        <w:fldChar w:fldCharType="end"/>
      </w:r>
      <w:r>
        <w:fldChar w:fldCharType="end"/>
      </w:r>
    </w:p>
    <w:p w14:paraId="16C2492B">
      <w:pPr>
        <w:pStyle w:val="42"/>
        <w:tabs>
          <w:tab w:val="right" w:leader="dot" w:pos="8296"/>
        </w:tabs>
        <w:ind w:left="840"/>
        <w:rPr>
          <w:rFonts w:asciiTheme="minorHAnsi" w:hAnsiTheme="minorHAnsi" w:eastAsiaTheme="minorEastAsia"/>
        </w:rPr>
      </w:pPr>
      <w:r>
        <w:fldChar w:fldCharType="begin"/>
      </w:r>
      <w:r>
        <w:instrText xml:space="preserve"> HYPERLINK \l "_Toc196728395" </w:instrText>
      </w:r>
      <w:r>
        <w:fldChar w:fldCharType="separate"/>
      </w:r>
      <w:r>
        <w:rPr>
          <w:rStyle w:val="139"/>
          <w:kern w:val="0"/>
          <w14:scene3d w14:prst="orthographicFront">
            <w14:lightRig w14:rig="threePt" w14:dir="t">
              <w14:rot w14:lat="0" w14:lon="0" w14:rev="0"/>
            </w14:lightRig>
          </w14:scene3d>
        </w:rPr>
        <w:t>28.5.2.</w:t>
      </w:r>
      <w:r>
        <w:rPr>
          <w:rStyle w:val="139"/>
        </w:rPr>
        <w:t xml:space="preserve"> 预定义服务</w:t>
      </w:r>
      <w:r>
        <w:tab/>
      </w:r>
      <w:r>
        <w:fldChar w:fldCharType="begin"/>
      </w:r>
      <w:r>
        <w:instrText xml:space="preserve"> PAGEREF _Toc196728395 \h </w:instrText>
      </w:r>
      <w:r>
        <w:fldChar w:fldCharType="separate"/>
      </w:r>
      <w:r>
        <w:t>592</w:t>
      </w:r>
      <w:r>
        <w:fldChar w:fldCharType="end"/>
      </w:r>
      <w:r>
        <w:fldChar w:fldCharType="end"/>
      </w:r>
    </w:p>
    <w:p w14:paraId="367DA813">
      <w:pPr>
        <w:pStyle w:val="42"/>
        <w:tabs>
          <w:tab w:val="right" w:leader="dot" w:pos="8296"/>
        </w:tabs>
        <w:ind w:left="840"/>
        <w:rPr>
          <w:rFonts w:asciiTheme="minorHAnsi" w:hAnsiTheme="minorHAnsi" w:eastAsiaTheme="minorEastAsia"/>
        </w:rPr>
      </w:pPr>
      <w:r>
        <w:fldChar w:fldCharType="begin"/>
      </w:r>
      <w:r>
        <w:instrText xml:space="preserve"> HYPERLINK \l "_Toc196728396" </w:instrText>
      </w:r>
      <w:r>
        <w:fldChar w:fldCharType="separate"/>
      </w:r>
      <w:r>
        <w:rPr>
          <w:rStyle w:val="139"/>
          <w:kern w:val="0"/>
          <w14:scene3d w14:prst="orthographicFront">
            <w14:lightRig w14:rig="threePt" w14:dir="t">
              <w14:rot w14:lat="0" w14:lon="0" w14:rev="0"/>
            </w14:lightRig>
          </w14:scene3d>
        </w:rPr>
        <w:t>28.5.3.</w:t>
      </w:r>
      <w:r>
        <w:rPr>
          <w:rStyle w:val="139"/>
        </w:rPr>
        <w:t xml:space="preserve"> 配置自定义服务</w:t>
      </w:r>
      <w:r>
        <w:tab/>
      </w:r>
      <w:r>
        <w:fldChar w:fldCharType="begin"/>
      </w:r>
      <w:r>
        <w:instrText xml:space="preserve"> PAGEREF _Toc196728396 \h </w:instrText>
      </w:r>
      <w:r>
        <w:fldChar w:fldCharType="separate"/>
      </w:r>
      <w:r>
        <w:t>593</w:t>
      </w:r>
      <w:r>
        <w:fldChar w:fldCharType="end"/>
      </w:r>
      <w:r>
        <w:fldChar w:fldCharType="end"/>
      </w:r>
    </w:p>
    <w:p w14:paraId="0DA5B640">
      <w:pPr>
        <w:pStyle w:val="42"/>
        <w:tabs>
          <w:tab w:val="right" w:leader="dot" w:pos="8296"/>
        </w:tabs>
        <w:ind w:left="840"/>
        <w:rPr>
          <w:rFonts w:asciiTheme="minorHAnsi" w:hAnsiTheme="minorHAnsi" w:eastAsiaTheme="minorEastAsia"/>
        </w:rPr>
      </w:pPr>
      <w:r>
        <w:fldChar w:fldCharType="begin"/>
      </w:r>
      <w:r>
        <w:instrText xml:space="preserve"> HYPERLINK \l "_Toc196728397" </w:instrText>
      </w:r>
      <w:r>
        <w:fldChar w:fldCharType="separate"/>
      </w:r>
      <w:r>
        <w:rPr>
          <w:rStyle w:val="139"/>
          <w:kern w:val="0"/>
          <w14:scene3d w14:prst="orthographicFront">
            <w14:lightRig w14:rig="threePt" w14:dir="t">
              <w14:rot w14:lat="0" w14:lon="0" w14:rev="0"/>
            </w14:lightRig>
          </w14:scene3d>
        </w:rPr>
        <w:t>28.5.4.</w:t>
      </w:r>
      <w:r>
        <w:rPr>
          <w:rStyle w:val="139"/>
        </w:rPr>
        <w:t xml:space="preserve"> 配置服务组</w:t>
      </w:r>
      <w:r>
        <w:tab/>
      </w:r>
      <w:r>
        <w:fldChar w:fldCharType="begin"/>
      </w:r>
      <w:r>
        <w:instrText xml:space="preserve"> PAGEREF _Toc196728397 \h </w:instrText>
      </w:r>
      <w:r>
        <w:fldChar w:fldCharType="separate"/>
      </w:r>
      <w:r>
        <w:t>594</w:t>
      </w:r>
      <w:r>
        <w:fldChar w:fldCharType="end"/>
      </w:r>
      <w:r>
        <w:fldChar w:fldCharType="end"/>
      </w:r>
    </w:p>
    <w:p w14:paraId="294D6475">
      <w:pPr>
        <w:pStyle w:val="42"/>
        <w:tabs>
          <w:tab w:val="right" w:leader="dot" w:pos="8296"/>
        </w:tabs>
        <w:ind w:left="840"/>
        <w:rPr>
          <w:rFonts w:asciiTheme="minorHAnsi" w:hAnsiTheme="minorHAnsi" w:eastAsiaTheme="minorEastAsia"/>
        </w:rPr>
      </w:pPr>
      <w:r>
        <w:fldChar w:fldCharType="begin"/>
      </w:r>
      <w:r>
        <w:instrText xml:space="preserve"> HYPERLINK \l "_Toc196728398" </w:instrText>
      </w:r>
      <w:r>
        <w:fldChar w:fldCharType="separate"/>
      </w:r>
      <w:r>
        <w:rPr>
          <w:rStyle w:val="139"/>
          <w:kern w:val="0"/>
          <w14:scene3d w14:prst="orthographicFront">
            <w14:lightRig w14:rig="threePt" w14:dir="t">
              <w14:rot w14:lat="0" w14:lon="0" w14:rev="0"/>
            </w14:lightRig>
          </w14:scene3d>
        </w:rPr>
        <w:t>28.5.5.</w:t>
      </w:r>
      <w:r>
        <w:rPr>
          <w:rStyle w:val="139"/>
        </w:rPr>
        <w:t xml:space="preserve"> 非标准端口配置</w:t>
      </w:r>
      <w:r>
        <w:tab/>
      </w:r>
      <w:r>
        <w:fldChar w:fldCharType="begin"/>
      </w:r>
      <w:r>
        <w:instrText xml:space="preserve"> PAGEREF _Toc196728398 \h </w:instrText>
      </w:r>
      <w:r>
        <w:fldChar w:fldCharType="separate"/>
      </w:r>
      <w:r>
        <w:t>595</w:t>
      </w:r>
      <w:r>
        <w:fldChar w:fldCharType="end"/>
      </w:r>
      <w:r>
        <w:fldChar w:fldCharType="end"/>
      </w:r>
    </w:p>
    <w:p w14:paraId="1913A09E">
      <w:pPr>
        <w:pStyle w:val="70"/>
        <w:tabs>
          <w:tab w:val="right" w:leader="dot" w:pos="8296"/>
        </w:tabs>
        <w:ind w:left="420"/>
        <w:rPr>
          <w:rFonts w:asciiTheme="minorHAnsi" w:hAnsiTheme="minorHAnsi" w:eastAsiaTheme="minorEastAsia"/>
        </w:rPr>
      </w:pPr>
      <w:r>
        <w:fldChar w:fldCharType="begin"/>
      </w:r>
      <w:r>
        <w:instrText xml:space="preserve"> HYPERLINK \l "_Toc196728399" </w:instrText>
      </w:r>
      <w:r>
        <w:fldChar w:fldCharType="separate"/>
      </w:r>
      <w:r>
        <w:rPr>
          <w:rStyle w:val="139"/>
        </w:rPr>
        <w:t>28.6. 时间对象</w:t>
      </w:r>
      <w:r>
        <w:tab/>
      </w:r>
      <w:r>
        <w:fldChar w:fldCharType="begin"/>
      </w:r>
      <w:r>
        <w:instrText xml:space="preserve"> PAGEREF _Toc196728399 \h </w:instrText>
      </w:r>
      <w:r>
        <w:fldChar w:fldCharType="separate"/>
      </w:r>
      <w:r>
        <w:t>596</w:t>
      </w:r>
      <w:r>
        <w:fldChar w:fldCharType="end"/>
      </w:r>
      <w:r>
        <w:fldChar w:fldCharType="end"/>
      </w:r>
    </w:p>
    <w:p w14:paraId="21058526">
      <w:pPr>
        <w:pStyle w:val="42"/>
        <w:tabs>
          <w:tab w:val="right" w:leader="dot" w:pos="8296"/>
        </w:tabs>
        <w:ind w:left="840"/>
        <w:rPr>
          <w:rFonts w:asciiTheme="minorHAnsi" w:hAnsiTheme="minorHAnsi" w:eastAsiaTheme="minorEastAsia"/>
        </w:rPr>
      </w:pPr>
      <w:r>
        <w:fldChar w:fldCharType="begin"/>
      </w:r>
      <w:r>
        <w:instrText xml:space="preserve"> HYPERLINK \l "_Toc196728400" </w:instrText>
      </w:r>
      <w:r>
        <w:fldChar w:fldCharType="separate"/>
      </w:r>
      <w:r>
        <w:rPr>
          <w:rStyle w:val="139"/>
          <w:kern w:val="0"/>
          <w14:scene3d w14:prst="orthographicFront">
            <w14:lightRig w14:rig="threePt" w14:dir="t">
              <w14:rot w14:lat="0" w14:lon="0" w14:rev="0"/>
            </w14:lightRig>
          </w14:scene3d>
        </w:rPr>
        <w:t>28.6.1.</w:t>
      </w:r>
      <w:r>
        <w:rPr>
          <w:rStyle w:val="139"/>
        </w:rPr>
        <w:t xml:space="preserve"> 概述</w:t>
      </w:r>
      <w:r>
        <w:tab/>
      </w:r>
      <w:r>
        <w:fldChar w:fldCharType="begin"/>
      </w:r>
      <w:r>
        <w:instrText xml:space="preserve"> PAGEREF _Toc196728400 \h </w:instrText>
      </w:r>
      <w:r>
        <w:fldChar w:fldCharType="separate"/>
      </w:r>
      <w:r>
        <w:t>596</w:t>
      </w:r>
      <w:r>
        <w:fldChar w:fldCharType="end"/>
      </w:r>
      <w:r>
        <w:fldChar w:fldCharType="end"/>
      </w:r>
    </w:p>
    <w:p w14:paraId="6BD1BBAC">
      <w:pPr>
        <w:pStyle w:val="42"/>
        <w:tabs>
          <w:tab w:val="right" w:leader="dot" w:pos="8296"/>
        </w:tabs>
        <w:ind w:left="840"/>
        <w:rPr>
          <w:rFonts w:asciiTheme="minorHAnsi" w:hAnsiTheme="minorHAnsi" w:eastAsiaTheme="minorEastAsia"/>
        </w:rPr>
      </w:pPr>
      <w:r>
        <w:fldChar w:fldCharType="begin"/>
      </w:r>
      <w:r>
        <w:instrText xml:space="preserve"> HYPERLINK \l "_Toc196728401" </w:instrText>
      </w:r>
      <w:r>
        <w:fldChar w:fldCharType="separate"/>
      </w:r>
      <w:r>
        <w:rPr>
          <w:rStyle w:val="139"/>
          <w:kern w:val="0"/>
          <w14:scene3d w14:prst="orthographicFront">
            <w14:lightRig w14:rig="threePt" w14:dir="t">
              <w14:rot w14:lat="0" w14:lon="0" w14:rev="0"/>
            </w14:lightRig>
          </w14:scene3d>
        </w:rPr>
        <w:t>28.6.2.</w:t>
      </w:r>
      <w:r>
        <w:rPr>
          <w:rStyle w:val="139"/>
        </w:rPr>
        <w:t xml:space="preserve"> 配置日计划</w:t>
      </w:r>
      <w:r>
        <w:tab/>
      </w:r>
      <w:r>
        <w:fldChar w:fldCharType="begin"/>
      </w:r>
      <w:r>
        <w:instrText xml:space="preserve"> PAGEREF _Toc196728401 \h </w:instrText>
      </w:r>
      <w:r>
        <w:fldChar w:fldCharType="separate"/>
      </w:r>
      <w:r>
        <w:t>597</w:t>
      </w:r>
      <w:r>
        <w:fldChar w:fldCharType="end"/>
      </w:r>
      <w:r>
        <w:fldChar w:fldCharType="end"/>
      </w:r>
    </w:p>
    <w:p w14:paraId="6819B084">
      <w:pPr>
        <w:pStyle w:val="42"/>
        <w:tabs>
          <w:tab w:val="right" w:leader="dot" w:pos="8296"/>
        </w:tabs>
        <w:ind w:left="840"/>
        <w:rPr>
          <w:rFonts w:asciiTheme="minorHAnsi" w:hAnsiTheme="minorHAnsi" w:eastAsiaTheme="minorEastAsia"/>
        </w:rPr>
      </w:pPr>
      <w:r>
        <w:fldChar w:fldCharType="begin"/>
      </w:r>
      <w:r>
        <w:instrText xml:space="preserve"> HYPERLINK \l "_Toc196728402" </w:instrText>
      </w:r>
      <w:r>
        <w:fldChar w:fldCharType="separate"/>
      </w:r>
      <w:r>
        <w:rPr>
          <w:rStyle w:val="139"/>
          <w:kern w:val="0"/>
          <w14:scene3d w14:prst="orthographicFront">
            <w14:lightRig w14:rig="threePt" w14:dir="t">
              <w14:rot w14:lat="0" w14:lon="0" w14:rev="0"/>
            </w14:lightRig>
          </w14:scene3d>
        </w:rPr>
        <w:t>28.6.3.</w:t>
      </w:r>
      <w:r>
        <w:rPr>
          <w:rStyle w:val="139"/>
        </w:rPr>
        <w:t xml:space="preserve"> 配置周周期计划</w:t>
      </w:r>
      <w:r>
        <w:tab/>
      </w:r>
      <w:r>
        <w:fldChar w:fldCharType="begin"/>
      </w:r>
      <w:r>
        <w:instrText xml:space="preserve"> PAGEREF _Toc196728402 \h </w:instrText>
      </w:r>
      <w:r>
        <w:fldChar w:fldCharType="separate"/>
      </w:r>
      <w:r>
        <w:t>599</w:t>
      </w:r>
      <w:r>
        <w:fldChar w:fldCharType="end"/>
      </w:r>
      <w:r>
        <w:fldChar w:fldCharType="end"/>
      </w:r>
    </w:p>
    <w:p w14:paraId="3C959BAF">
      <w:pPr>
        <w:pStyle w:val="42"/>
        <w:tabs>
          <w:tab w:val="right" w:leader="dot" w:pos="8296"/>
        </w:tabs>
        <w:ind w:left="840"/>
        <w:rPr>
          <w:rFonts w:asciiTheme="minorHAnsi" w:hAnsiTheme="minorHAnsi" w:eastAsiaTheme="minorEastAsia"/>
        </w:rPr>
      </w:pPr>
      <w:r>
        <w:fldChar w:fldCharType="begin"/>
      </w:r>
      <w:r>
        <w:instrText xml:space="preserve"> HYPERLINK \l "_Toc196728403" </w:instrText>
      </w:r>
      <w:r>
        <w:fldChar w:fldCharType="separate"/>
      </w:r>
      <w:r>
        <w:rPr>
          <w:rStyle w:val="139"/>
          <w:kern w:val="0"/>
          <w14:scene3d w14:prst="orthographicFront">
            <w14:lightRig w14:rig="threePt" w14:dir="t">
              <w14:rot w14:lat="0" w14:lon="0" w14:rev="0"/>
            </w14:lightRig>
          </w14:scene3d>
        </w:rPr>
        <w:t>28.6.4.</w:t>
      </w:r>
      <w:r>
        <w:rPr>
          <w:rStyle w:val="139"/>
        </w:rPr>
        <w:t xml:space="preserve"> 配置月计划</w:t>
      </w:r>
      <w:r>
        <w:tab/>
      </w:r>
      <w:r>
        <w:fldChar w:fldCharType="begin"/>
      </w:r>
      <w:r>
        <w:instrText xml:space="preserve"> PAGEREF _Toc196728403 \h </w:instrText>
      </w:r>
      <w:r>
        <w:fldChar w:fldCharType="separate"/>
      </w:r>
      <w:r>
        <w:t>600</w:t>
      </w:r>
      <w:r>
        <w:fldChar w:fldCharType="end"/>
      </w:r>
      <w:r>
        <w:fldChar w:fldCharType="end"/>
      </w:r>
    </w:p>
    <w:p w14:paraId="52825959">
      <w:pPr>
        <w:pStyle w:val="42"/>
        <w:tabs>
          <w:tab w:val="right" w:leader="dot" w:pos="8296"/>
        </w:tabs>
        <w:ind w:left="840"/>
        <w:rPr>
          <w:rFonts w:asciiTheme="minorHAnsi" w:hAnsiTheme="minorHAnsi" w:eastAsiaTheme="minorEastAsia"/>
        </w:rPr>
      </w:pPr>
      <w:r>
        <w:fldChar w:fldCharType="begin"/>
      </w:r>
      <w:r>
        <w:instrText xml:space="preserve"> HYPERLINK \l "_Toc196728404" </w:instrText>
      </w:r>
      <w:r>
        <w:fldChar w:fldCharType="separate"/>
      </w:r>
      <w:r>
        <w:rPr>
          <w:rStyle w:val="139"/>
          <w:kern w:val="0"/>
          <w14:scene3d w14:prst="orthographicFront">
            <w14:lightRig w14:rig="threePt" w14:dir="t">
              <w14:rot w14:lat="0" w14:lon="0" w14:rev="0"/>
            </w14:lightRig>
          </w14:scene3d>
        </w:rPr>
        <w:t>28.6.5.</w:t>
      </w:r>
      <w:r>
        <w:rPr>
          <w:rStyle w:val="139"/>
        </w:rPr>
        <w:t xml:space="preserve"> 配置单次计划</w:t>
      </w:r>
      <w:r>
        <w:tab/>
      </w:r>
      <w:r>
        <w:fldChar w:fldCharType="begin"/>
      </w:r>
      <w:r>
        <w:instrText xml:space="preserve"> PAGEREF _Toc196728404 \h </w:instrText>
      </w:r>
      <w:r>
        <w:fldChar w:fldCharType="separate"/>
      </w:r>
      <w:r>
        <w:t>602</w:t>
      </w:r>
      <w:r>
        <w:fldChar w:fldCharType="end"/>
      </w:r>
      <w:r>
        <w:fldChar w:fldCharType="end"/>
      </w:r>
    </w:p>
    <w:p w14:paraId="6DAA7DD3">
      <w:pPr>
        <w:pStyle w:val="70"/>
        <w:tabs>
          <w:tab w:val="right" w:leader="dot" w:pos="8296"/>
        </w:tabs>
        <w:ind w:left="420"/>
        <w:rPr>
          <w:rFonts w:asciiTheme="minorHAnsi" w:hAnsiTheme="minorHAnsi" w:eastAsiaTheme="minorEastAsia"/>
        </w:rPr>
      </w:pPr>
      <w:r>
        <w:fldChar w:fldCharType="begin"/>
      </w:r>
      <w:r>
        <w:instrText xml:space="preserve"> HYPERLINK \l "_Toc196728405" </w:instrText>
      </w:r>
      <w:r>
        <w:fldChar w:fldCharType="separate"/>
      </w:r>
      <w:r>
        <w:rPr>
          <w:rStyle w:val="139"/>
        </w:rPr>
        <w:t>28.7. URL对象</w:t>
      </w:r>
      <w:r>
        <w:tab/>
      </w:r>
      <w:r>
        <w:fldChar w:fldCharType="begin"/>
      </w:r>
      <w:r>
        <w:instrText xml:space="preserve"> PAGEREF _Toc196728405 \h </w:instrText>
      </w:r>
      <w:r>
        <w:fldChar w:fldCharType="separate"/>
      </w:r>
      <w:r>
        <w:t>603</w:t>
      </w:r>
      <w:r>
        <w:fldChar w:fldCharType="end"/>
      </w:r>
      <w:r>
        <w:fldChar w:fldCharType="end"/>
      </w:r>
    </w:p>
    <w:p w14:paraId="40AA0755">
      <w:pPr>
        <w:pStyle w:val="42"/>
        <w:tabs>
          <w:tab w:val="right" w:leader="dot" w:pos="8296"/>
        </w:tabs>
        <w:ind w:left="840"/>
        <w:rPr>
          <w:rFonts w:asciiTheme="minorHAnsi" w:hAnsiTheme="minorHAnsi" w:eastAsiaTheme="minorEastAsia"/>
        </w:rPr>
      </w:pPr>
      <w:r>
        <w:fldChar w:fldCharType="begin"/>
      </w:r>
      <w:r>
        <w:instrText xml:space="preserve"> HYPERLINK \l "_Toc196728406" </w:instrText>
      </w:r>
      <w:r>
        <w:fldChar w:fldCharType="separate"/>
      </w:r>
      <w:r>
        <w:rPr>
          <w:rStyle w:val="139"/>
          <w:kern w:val="0"/>
          <w14:scene3d w14:prst="orthographicFront">
            <w14:lightRig w14:rig="threePt" w14:dir="t">
              <w14:rot w14:lat="0" w14:lon="0" w14:rev="0"/>
            </w14:lightRig>
          </w14:scene3d>
        </w:rPr>
        <w:t>28.7.1.</w:t>
      </w:r>
      <w:r>
        <w:rPr>
          <w:rStyle w:val="139"/>
        </w:rPr>
        <w:t xml:space="preserve"> URL过滤简介</w:t>
      </w:r>
      <w:r>
        <w:tab/>
      </w:r>
      <w:r>
        <w:fldChar w:fldCharType="begin"/>
      </w:r>
      <w:r>
        <w:instrText xml:space="preserve"> PAGEREF _Toc196728406 \h </w:instrText>
      </w:r>
      <w:r>
        <w:fldChar w:fldCharType="separate"/>
      </w:r>
      <w:r>
        <w:t>603</w:t>
      </w:r>
      <w:r>
        <w:fldChar w:fldCharType="end"/>
      </w:r>
      <w:r>
        <w:fldChar w:fldCharType="end"/>
      </w:r>
    </w:p>
    <w:p w14:paraId="55E80F22">
      <w:pPr>
        <w:pStyle w:val="42"/>
        <w:tabs>
          <w:tab w:val="right" w:leader="dot" w:pos="8296"/>
        </w:tabs>
        <w:ind w:left="840"/>
        <w:rPr>
          <w:rFonts w:asciiTheme="minorHAnsi" w:hAnsiTheme="minorHAnsi" w:eastAsiaTheme="minorEastAsia"/>
        </w:rPr>
      </w:pPr>
      <w:r>
        <w:fldChar w:fldCharType="begin"/>
      </w:r>
      <w:r>
        <w:instrText xml:space="preserve"> HYPERLINK \l "_Toc196728407" </w:instrText>
      </w:r>
      <w:r>
        <w:fldChar w:fldCharType="separate"/>
      </w:r>
      <w:r>
        <w:rPr>
          <w:rStyle w:val="139"/>
          <w:kern w:val="0"/>
          <w14:scene3d w14:prst="orthographicFront">
            <w14:lightRig w14:rig="threePt" w14:dir="t">
              <w14:rot w14:lat="0" w14:lon="0" w14:rev="0"/>
            </w14:lightRig>
          </w14:scene3d>
        </w:rPr>
        <w:t>28.7.2.</w:t>
      </w:r>
      <w:r>
        <w:rPr>
          <w:rStyle w:val="139"/>
        </w:rPr>
        <w:t xml:space="preserve"> 配置URL分类</w:t>
      </w:r>
      <w:r>
        <w:tab/>
      </w:r>
      <w:r>
        <w:fldChar w:fldCharType="begin"/>
      </w:r>
      <w:r>
        <w:instrText xml:space="preserve"> PAGEREF _Toc196728407 \h </w:instrText>
      </w:r>
      <w:r>
        <w:fldChar w:fldCharType="separate"/>
      </w:r>
      <w:r>
        <w:t>603</w:t>
      </w:r>
      <w:r>
        <w:fldChar w:fldCharType="end"/>
      </w:r>
      <w:r>
        <w:fldChar w:fldCharType="end"/>
      </w:r>
    </w:p>
    <w:p w14:paraId="42998197">
      <w:pPr>
        <w:pStyle w:val="42"/>
        <w:tabs>
          <w:tab w:val="right" w:leader="dot" w:pos="8296"/>
        </w:tabs>
        <w:ind w:left="840"/>
        <w:rPr>
          <w:rFonts w:asciiTheme="minorHAnsi" w:hAnsiTheme="minorHAnsi" w:eastAsiaTheme="minorEastAsia"/>
        </w:rPr>
      </w:pPr>
      <w:r>
        <w:fldChar w:fldCharType="begin"/>
      </w:r>
      <w:r>
        <w:instrText xml:space="preserve"> HYPERLINK \l "_Toc196728408" </w:instrText>
      </w:r>
      <w:r>
        <w:fldChar w:fldCharType="separate"/>
      </w:r>
      <w:r>
        <w:rPr>
          <w:rStyle w:val="139"/>
          <w:kern w:val="0"/>
          <w14:scene3d w14:prst="orthographicFront">
            <w14:lightRig w14:rig="threePt" w14:dir="t">
              <w14:rot w14:lat="0" w14:lon="0" w14:rev="0"/>
            </w14:lightRig>
          </w14:scene3d>
        </w:rPr>
        <w:t>28.7.3.</w:t>
      </w:r>
      <w:r>
        <w:rPr>
          <w:rStyle w:val="139"/>
        </w:rPr>
        <w:t xml:space="preserve"> 配置自定义URL</w:t>
      </w:r>
      <w:r>
        <w:tab/>
      </w:r>
      <w:r>
        <w:fldChar w:fldCharType="begin"/>
      </w:r>
      <w:r>
        <w:instrText xml:space="preserve"> PAGEREF _Toc196728408 \h </w:instrText>
      </w:r>
      <w:r>
        <w:fldChar w:fldCharType="separate"/>
      </w:r>
      <w:r>
        <w:t>604</w:t>
      </w:r>
      <w:r>
        <w:fldChar w:fldCharType="end"/>
      </w:r>
      <w:r>
        <w:fldChar w:fldCharType="end"/>
      </w:r>
    </w:p>
    <w:p w14:paraId="160D4976">
      <w:pPr>
        <w:pStyle w:val="42"/>
        <w:tabs>
          <w:tab w:val="right" w:leader="dot" w:pos="8296"/>
        </w:tabs>
        <w:ind w:left="840"/>
        <w:rPr>
          <w:rFonts w:asciiTheme="minorHAnsi" w:hAnsiTheme="minorHAnsi" w:eastAsiaTheme="minorEastAsia"/>
        </w:rPr>
      </w:pPr>
      <w:r>
        <w:fldChar w:fldCharType="begin"/>
      </w:r>
      <w:r>
        <w:instrText xml:space="preserve"> HYPERLINK \l "_Toc196728409" </w:instrText>
      </w:r>
      <w:r>
        <w:fldChar w:fldCharType="separate"/>
      </w:r>
      <w:r>
        <w:rPr>
          <w:rStyle w:val="139"/>
          <w:kern w:val="0"/>
          <w14:scene3d w14:prst="orthographicFront">
            <w14:lightRig w14:rig="threePt" w14:dir="t">
              <w14:rot w14:lat="0" w14:lon="0" w14:rev="0"/>
            </w14:lightRig>
          </w14:scene3d>
        </w:rPr>
        <w:t>28.7.4.</w:t>
      </w:r>
      <w:r>
        <w:rPr>
          <w:rStyle w:val="139"/>
        </w:rPr>
        <w:t xml:space="preserve"> 配置恶意URL</w:t>
      </w:r>
      <w:r>
        <w:tab/>
      </w:r>
      <w:r>
        <w:fldChar w:fldCharType="begin"/>
      </w:r>
      <w:r>
        <w:instrText xml:space="preserve"> PAGEREF _Toc196728409 \h </w:instrText>
      </w:r>
      <w:r>
        <w:fldChar w:fldCharType="separate"/>
      </w:r>
      <w:r>
        <w:t>606</w:t>
      </w:r>
      <w:r>
        <w:fldChar w:fldCharType="end"/>
      </w:r>
      <w:r>
        <w:fldChar w:fldCharType="end"/>
      </w:r>
    </w:p>
    <w:p w14:paraId="16C7F1E9">
      <w:pPr>
        <w:pStyle w:val="42"/>
        <w:tabs>
          <w:tab w:val="right" w:leader="dot" w:pos="8296"/>
        </w:tabs>
        <w:ind w:left="840"/>
        <w:rPr>
          <w:rFonts w:asciiTheme="minorHAnsi" w:hAnsiTheme="minorHAnsi" w:eastAsiaTheme="minorEastAsia"/>
        </w:rPr>
      </w:pPr>
      <w:r>
        <w:fldChar w:fldCharType="begin"/>
      </w:r>
      <w:r>
        <w:instrText xml:space="preserve"> HYPERLINK \l "_Toc196728410" </w:instrText>
      </w:r>
      <w:r>
        <w:fldChar w:fldCharType="separate"/>
      </w:r>
      <w:r>
        <w:rPr>
          <w:rStyle w:val="139"/>
          <w:kern w:val="0"/>
          <w14:scene3d w14:prst="orthographicFront">
            <w14:lightRig w14:rig="threePt" w14:dir="t">
              <w14:rot w14:lat="0" w14:lon="0" w14:rev="0"/>
            </w14:lightRig>
          </w14:scene3d>
        </w:rPr>
        <w:t>28.7.5.</w:t>
      </w:r>
      <w:r>
        <w:rPr>
          <w:rStyle w:val="139"/>
        </w:rPr>
        <w:t xml:space="preserve"> 配置URL白名单</w:t>
      </w:r>
      <w:r>
        <w:tab/>
      </w:r>
      <w:r>
        <w:fldChar w:fldCharType="begin"/>
      </w:r>
      <w:r>
        <w:instrText xml:space="preserve"> PAGEREF _Toc196728410 \h </w:instrText>
      </w:r>
      <w:r>
        <w:fldChar w:fldCharType="separate"/>
      </w:r>
      <w:r>
        <w:t>606</w:t>
      </w:r>
      <w:r>
        <w:fldChar w:fldCharType="end"/>
      </w:r>
      <w:r>
        <w:fldChar w:fldCharType="end"/>
      </w:r>
    </w:p>
    <w:p w14:paraId="0F983A69">
      <w:pPr>
        <w:pStyle w:val="42"/>
        <w:tabs>
          <w:tab w:val="right" w:leader="dot" w:pos="8296"/>
        </w:tabs>
        <w:ind w:left="840"/>
        <w:rPr>
          <w:rFonts w:asciiTheme="minorHAnsi" w:hAnsiTheme="minorHAnsi" w:eastAsiaTheme="minorEastAsia"/>
        </w:rPr>
      </w:pPr>
      <w:r>
        <w:fldChar w:fldCharType="begin"/>
      </w:r>
      <w:r>
        <w:instrText xml:space="preserve"> HYPERLINK \l "_Toc196728411" </w:instrText>
      </w:r>
      <w:r>
        <w:fldChar w:fldCharType="separate"/>
      </w:r>
      <w:r>
        <w:rPr>
          <w:rStyle w:val="139"/>
          <w:kern w:val="0"/>
          <w14:scene3d w14:prst="orthographicFront">
            <w14:lightRig w14:rig="threePt" w14:dir="t">
              <w14:rot w14:lat="0" w14:lon="0" w14:rev="0"/>
            </w14:lightRig>
          </w14:scene3d>
        </w:rPr>
        <w:t>28.7.6.</w:t>
      </w:r>
      <w:r>
        <w:rPr>
          <w:rStyle w:val="139"/>
        </w:rPr>
        <w:t xml:space="preserve"> 配置HTTPS对象</w:t>
      </w:r>
      <w:r>
        <w:tab/>
      </w:r>
      <w:r>
        <w:fldChar w:fldCharType="begin"/>
      </w:r>
      <w:r>
        <w:instrText xml:space="preserve"> PAGEREF _Toc196728411 \h </w:instrText>
      </w:r>
      <w:r>
        <w:fldChar w:fldCharType="separate"/>
      </w:r>
      <w:r>
        <w:t>607</w:t>
      </w:r>
      <w:r>
        <w:fldChar w:fldCharType="end"/>
      </w:r>
      <w:r>
        <w:fldChar w:fldCharType="end"/>
      </w:r>
    </w:p>
    <w:p w14:paraId="5E057B8D">
      <w:pPr>
        <w:pStyle w:val="70"/>
        <w:tabs>
          <w:tab w:val="right" w:leader="dot" w:pos="8296"/>
        </w:tabs>
        <w:ind w:left="420"/>
        <w:rPr>
          <w:rFonts w:asciiTheme="minorHAnsi" w:hAnsiTheme="minorHAnsi" w:eastAsiaTheme="minorEastAsia"/>
        </w:rPr>
      </w:pPr>
      <w:r>
        <w:fldChar w:fldCharType="begin"/>
      </w:r>
      <w:r>
        <w:instrText xml:space="preserve"> HYPERLINK \l "_Toc196728412" </w:instrText>
      </w:r>
      <w:r>
        <w:fldChar w:fldCharType="separate"/>
      </w:r>
      <w:r>
        <w:rPr>
          <w:rStyle w:val="139"/>
        </w:rPr>
        <w:t>28.8. 关键字对象</w:t>
      </w:r>
      <w:r>
        <w:tab/>
      </w:r>
      <w:r>
        <w:fldChar w:fldCharType="begin"/>
      </w:r>
      <w:r>
        <w:instrText xml:space="preserve"> PAGEREF _Toc196728412 \h </w:instrText>
      </w:r>
      <w:r>
        <w:fldChar w:fldCharType="separate"/>
      </w:r>
      <w:r>
        <w:t>609</w:t>
      </w:r>
      <w:r>
        <w:fldChar w:fldCharType="end"/>
      </w:r>
      <w:r>
        <w:fldChar w:fldCharType="end"/>
      </w:r>
    </w:p>
    <w:p w14:paraId="1361ACE9">
      <w:pPr>
        <w:pStyle w:val="42"/>
        <w:tabs>
          <w:tab w:val="right" w:leader="dot" w:pos="8296"/>
        </w:tabs>
        <w:ind w:left="840"/>
        <w:rPr>
          <w:rFonts w:asciiTheme="minorHAnsi" w:hAnsiTheme="minorHAnsi" w:eastAsiaTheme="minorEastAsia"/>
        </w:rPr>
      </w:pPr>
      <w:r>
        <w:fldChar w:fldCharType="begin"/>
      </w:r>
      <w:r>
        <w:instrText xml:space="preserve"> HYPERLINK \l "_Toc196728413" </w:instrText>
      </w:r>
      <w:r>
        <w:fldChar w:fldCharType="separate"/>
      </w:r>
      <w:r>
        <w:rPr>
          <w:rStyle w:val="139"/>
          <w:kern w:val="0"/>
          <w14:scene3d w14:prst="orthographicFront">
            <w14:lightRig w14:rig="threePt" w14:dir="t">
              <w14:rot w14:lat="0" w14:lon="0" w14:rev="0"/>
            </w14:lightRig>
          </w14:scene3d>
        </w:rPr>
        <w:t>28.8.1.</w:t>
      </w:r>
      <w:r>
        <w:rPr>
          <w:rStyle w:val="139"/>
        </w:rPr>
        <w:t xml:space="preserve"> 关键字对象简介</w:t>
      </w:r>
      <w:r>
        <w:tab/>
      </w:r>
      <w:r>
        <w:fldChar w:fldCharType="begin"/>
      </w:r>
      <w:r>
        <w:instrText xml:space="preserve"> PAGEREF _Toc196728413 \h </w:instrText>
      </w:r>
      <w:r>
        <w:fldChar w:fldCharType="separate"/>
      </w:r>
      <w:r>
        <w:t>609</w:t>
      </w:r>
      <w:r>
        <w:fldChar w:fldCharType="end"/>
      </w:r>
      <w:r>
        <w:fldChar w:fldCharType="end"/>
      </w:r>
    </w:p>
    <w:p w14:paraId="25333492">
      <w:pPr>
        <w:pStyle w:val="42"/>
        <w:tabs>
          <w:tab w:val="right" w:leader="dot" w:pos="8296"/>
        </w:tabs>
        <w:ind w:left="840"/>
        <w:rPr>
          <w:rFonts w:asciiTheme="minorHAnsi" w:hAnsiTheme="minorHAnsi" w:eastAsiaTheme="minorEastAsia"/>
        </w:rPr>
      </w:pPr>
      <w:r>
        <w:fldChar w:fldCharType="begin"/>
      </w:r>
      <w:r>
        <w:instrText xml:space="preserve"> HYPERLINK \l "_Toc196728414" </w:instrText>
      </w:r>
      <w:r>
        <w:fldChar w:fldCharType="separate"/>
      </w:r>
      <w:r>
        <w:rPr>
          <w:rStyle w:val="139"/>
          <w:kern w:val="0"/>
          <w14:scene3d w14:prst="orthographicFront">
            <w14:lightRig w14:rig="threePt" w14:dir="t">
              <w14:rot w14:lat="0" w14:lon="0" w14:rev="0"/>
            </w14:lightRig>
          </w14:scene3d>
        </w:rPr>
        <w:t>28.8.2.</w:t>
      </w:r>
      <w:r>
        <w:rPr>
          <w:rStyle w:val="139"/>
        </w:rPr>
        <w:t xml:space="preserve"> 关键字列表配置</w:t>
      </w:r>
      <w:r>
        <w:tab/>
      </w:r>
      <w:r>
        <w:fldChar w:fldCharType="begin"/>
      </w:r>
      <w:r>
        <w:instrText xml:space="preserve"> PAGEREF _Toc196728414 \h </w:instrText>
      </w:r>
      <w:r>
        <w:fldChar w:fldCharType="separate"/>
      </w:r>
      <w:r>
        <w:t>609</w:t>
      </w:r>
      <w:r>
        <w:fldChar w:fldCharType="end"/>
      </w:r>
      <w:r>
        <w:fldChar w:fldCharType="end"/>
      </w:r>
    </w:p>
    <w:p w14:paraId="38749B48">
      <w:pPr>
        <w:pStyle w:val="70"/>
        <w:tabs>
          <w:tab w:val="right" w:leader="dot" w:pos="8296"/>
        </w:tabs>
        <w:ind w:left="420"/>
        <w:rPr>
          <w:rFonts w:asciiTheme="minorHAnsi" w:hAnsiTheme="minorHAnsi" w:eastAsiaTheme="minorEastAsia"/>
        </w:rPr>
      </w:pPr>
      <w:r>
        <w:fldChar w:fldCharType="begin"/>
      </w:r>
      <w:r>
        <w:instrText xml:space="preserve"> HYPERLINK \l "_Toc196728415" </w:instrText>
      </w:r>
      <w:r>
        <w:fldChar w:fldCharType="separate"/>
      </w:r>
      <w:r>
        <w:rPr>
          <w:rStyle w:val="139"/>
        </w:rPr>
        <w:t>28.9. 文件类型对象</w:t>
      </w:r>
      <w:r>
        <w:tab/>
      </w:r>
      <w:r>
        <w:fldChar w:fldCharType="begin"/>
      </w:r>
      <w:r>
        <w:instrText xml:space="preserve"> PAGEREF _Toc196728415 \h </w:instrText>
      </w:r>
      <w:r>
        <w:fldChar w:fldCharType="separate"/>
      </w:r>
      <w:r>
        <w:t>610</w:t>
      </w:r>
      <w:r>
        <w:fldChar w:fldCharType="end"/>
      </w:r>
      <w:r>
        <w:fldChar w:fldCharType="end"/>
      </w:r>
    </w:p>
    <w:p w14:paraId="6C75F59E">
      <w:pPr>
        <w:pStyle w:val="42"/>
        <w:tabs>
          <w:tab w:val="right" w:leader="dot" w:pos="8296"/>
        </w:tabs>
        <w:ind w:left="840"/>
        <w:rPr>
          <w:rFonts w:asciiTheme="minorHAnsi" w:hAnsiTheme="minorHAnsi" w:eastAsiaTheme="minorEastAsia"/>
        </w:rPr>
      </w:pPr>
      <w:r>
        <w:fldChar w:fldCharType="begin"/>
      </w:r>
      <w:r>
        <w:instrText xml:space="preserve"> HYPERLINK \l "_Toc196728416" </w:instrText>
      </w:r>
      <w:r>
        <w:fldChar w:fldCharType="separate"/>
      </w:r>
      <w:r>
        <w:rPr>
          <w:rStyle w:val="139"/>
          <w:kern w:val="0"/>
          <w14:scene3d w14:prst="orthographicFront">
            <w14:lightRig w14:rig="threePt" w14:dir="t">
              <w14:rot w14:lat="0" w14:lon="0" w14:rev="0"/>
            </w14:lightRig>
          </w14:scene3d>
        </w:rPr>
        <w:t>28.9.1.</w:t>
      </w:r>
      <w:r>
        <w:rPr>
          <w:rStyle w:val="139"/>
        </w:rPr>
        <w:t xml:space="preserve"> 概述</w:t>
      </w:r>
      <w:r>
        <w:tab/>
      </w:r>
      <w:r>
        <w:fldChar w:fldCharType="begin"/>
      </w:r>
      <w:r>
        <w:instrText xml:space="preserve"> PAGEREF _Toc196728416 \h </w:instrText>
      </w:r>
      <w:r>
        <w:fldChar w:fldCharType="separate"/>
      </w:r>
      <w:r>
        <w:t>610</w:t>
      </w:r>
      <w:r>
        <w:fldChar w:fldCharType="end"/>
      </w:r>
      <w:r>
        <w:fldChar w:fldCharType="end"/>
      </w:r>
    </w:p>
    <w:p w14:paraId="045C8DC9">
      <w:pPr>
        <w:pStyle w:val="42"/>
        <w:tabs>
          <w:tab w:val="right" w:leader="dot" w:pos="8296"/>
        </w:tabs>
        <w:ind w:left="840"/>
        <w:rPr>
          <w:rFonts w:asciiTheme="minorHAnsi" w:hAnsiTheme="minorHAnsi" w:eastAsiaTheme="minorEastAsia"/>
        </w:rPr>
      </w:pPr>
      <w:r>
        <w:fldChar w:fldCharType="begin"/>
      </w:r>
      <w:r>
        <w:instrText xml:space="preserve"> HYPERLINK \l "_Toc196728417" </w:instrText>
      </w:r>
      <w:r>
        <w:fldChar w:fldCharType="separate"/>
      </w:r>
      <w:r>
        <w:rPr>
          <w:rStyle w:val="139"/>
          <w:kern w:val="0"/>
          <w14:scene3d w14:prst="orthographicFront">
            <w14:lightRig w14:rig="threePt" w14:dir="t">
              <w14:rot w14:lat="0" w14:lon="0" w14:rev="0"/>
            </w14:lightRig>
          </w14:scene3d>
        </w:rPr>
        <w:t>28.9.2.</w:t>
      </w:r>
      <w:r>
        <w:rPr>
          <w:rStyle w:val="139"/>
        </w:rPr>
        <w:t xml:space="preserve"> 配置文件类型对象</w:t>
      </w:r>
      <w:r>
        <w:tab/>
      </w:r>
      <w:r>
        <w:fldChar w:fldCharType="begin"/>
      </w:r>
      <w:r>
        <w:instrText xml:space="preserve"> PAGEREF _Toc196728417 \h </w:instrText>
      </w:r>
      <w:r>
        <w:fldChar w:fldCharType="separate"/>
      </w:r>
      <w:r>
        <w:t>610</w:t>
      </w:r>
      <w:r>
        <w:fldChar w:fldCharType="end"/>
      </w:r>
      <w:r>
        <w:fldChar w:fldCharType="end"/>
      </w:r>
    </w:p>
    <w:p w14:paraId="6DB81456">
      <w:pPr>
        <w:pStyle w:val="70"/>
        <w:tabs>
          <w:tab w:val="right" w:leader="dot" w:pos="8296"/>
        </w:tabs>
        <w:ind w:left="420"/>
        <w:rPr>
          <w:rFonts w:asciiTheme="minorHAnsi" w:hAnsiTheme="minorHAnsi" w:eastAsiaTheme="minorEastAsia"/>
        </w:rPr>
      </w:pPr>
      <w:r>
        <w:fldChar w:fldCharType="begin"/>
      </w:r>
      <w:r>
        <w:instrText xml:space="preserve"> HYPERLINK \l "_Toc196728418" </w:instrText>
      </w:r>
      <w:r>
        <w:fldChar w:fldCharType="separate"/>
      </w:r>
      <w:r>
        <w:rPr>
          <w:rStyle w:val="139"/>
        </w:rPr>
        <w:t>28.10. 自定义公告</w:t>
      </w:r>
      <w:r>
        <w:tab/>
      </w:r>
      <w:r>
        <w:fldChar w:fldCharType="begin"/>
      </w:r>
      <w:r>
        <w:instrText xml:space="preserve"> PAGEREF _Toc196728418 \h </w:instrText>
      </w:r>
      <w:r>
        <w:fldChar w:fldCharType="separate"/>
      </w:r>
      <w:r>
        <w:t>611</w:t>
      </w:r>
      <w:r>
        <w:fldChar w:fldCharType="end"/>
      </w:r>
      <w:r>
        <w:fldChar w:fldCharType="end"/>
      </w:r>
    </w:p>
    <w:p w14:paraId="49F1098C">
      <w:pPr>
        <w:pStyle w:val="42"/>
        <w:tabs>
          <w:tab w:val="right" w:leader="dot" w:pos="8296"/>
        </w:tabs>
        <w:ind w:left="840"/>
        <w:rPr>
          <w:rFonts w:asciiTheme="minorHAnsi" w:hAnsiTheme="minorHAnsi" w:eastAsiaTheme="minorEastAsia"/>
        </w:rPr>
      </w:pPr>
      <w:r>
        <w:fldChar w:fldCharType="begin"/>
      </w:r>
      <w:r>
        <w:instrText xml:space="preserve"> HYPERLINK \l "_Toc196728419" </w:instrText>
      </w:r>
      <w:r>
        <w:fldChar w:fldCharType="separate"/>
      </w:r>
      <w:r>
        <w:rPr>
          <w:rStyle w:val="139"/>
          <w:kern w:val="0"/>
          <w14:scene3d w14:prst="orthographicFront">
            <w14:lightRig w14:rig="threePt" w14:dir="t">
              <w14:rot w14:lat="0" w14:lon="0" w14:rev="0"/>
            </w14:lightRig>
          </w14:scene3d>
        </w:rPr>
        <w:t>28.10.1.</w:t>
      </w:r>
      <w:r>
        <w:rPr>
          <w:rStyle w:val="139"/>
        </w:rPr>
        <w:t xml:space="preserve"> 概述</w:t>
      </w:r>
      <w:r>
        <w:tab/>
      </w:r>
      <w:r>
        <w:fldChar w:fldCharType="begin"/>
      </w:r>
      <w:r>
        <w:instrText xml:space="preserve"> PAGEREF _Toc196728419 \h </w:instrText>
      </w:r>
      <w:r>
        <w:fldChar w:fldCharType="separate"/>
      </w:r>
      <w:r>
        <w:t>611</w:t>
      </w:r>
      <w:r>
        <w:fldChar w:fldCharType="end"/>
      </w:r>
      <w:r>
        <w:fldChar w:fldCharType="end"/>
      </w:r>
    </w:p>
    <w:p w14:paraId="3F0825B0">
      <w:pPr>
        <w:pStyle w:val="42"/>
        <w:tabs>
          <w:tab w:val="right" w:leader="dot" w:pos="8296"/>
        </w:tabs>
        <w:ind w:left="840"/>
        <w:rPr>
          <w:rFonts w:asciiTheme="minorHAnsi" w:hAnsiTheme="minorHAnsi" w:eastAsiaTheme="minorEastAsia"/>
        </w:rPr>
      </w:pPr>
      <w:r>
        <w:fldChar w:fldCharType="begin"/>
      </w:r>
      <w:r>
        <w:instrText xml:space="preserve"> HYPERLINK \l "_Toc196728420" </w:instrText>
      </w:r>
      <w:r>
        <w:fldChar w:fldCharType="separate"/>
      </w:r>
      <w:r>
        <w:rPr>
          <w:rStyle w:val="139"/>
          <w:kern w:val="0"/>
          <w14:scene3d w14:prst="orthographicFront">
            <w14:lightRig w14:rig="threePt" w14:dir="t">
              <w14:rot w14:lat="0" w14:lon="0" w14:rev="0"/>
            </w14:lightRig>
          </w14:scene3d>
        </w:rPr>
        <w:t>28.10.2.</w:t>
      </w:r>
      <w:r>
        <w:rPr>
          <w:rStyle w:val="139"/>
        </w:rPr>
        <w:t xml:space="preserve"> 公告页面</w:t>
      </w:r>
      <w:r>
        <w:tab/>
      </w:r>
      <w:r>
        <w:fldChar w:fldCharType="begin"/>
      </w:r>
      <w:r>
        <w:instrText xml:space="preserve"> PAGEREF _Toc196728420 \h </w:instrText>
      </w:r>
      <w:r>
        <w:fldChar w:fldCharType="separate"/>
      </w:r>
      <w:r>
        <w:t>612</w:t>
      </w:r>
      <w:r>
        <w:fldChar w:fldCharType="end"/>
      </w:r>
      <w:r>
        <w:fldChar w:fldCharType="end"/>
      </w:r>
    </w:p>
    <w:p w14:paraId="369AA502">
      <w:pPr>
        <w:pStyle w:val="70"/>
        <w:tabs>
          <w:tab w:val="right" w:leader="dot" w:pos="8296"/>
        </w:tabs>
        <w:ind w:left="420"/>
        <w:rPr>
          <w:rFonts w:asciiTheme="minorHAnsi" w:hAnsiTheme="minorHAnsi" w:eastAsiaTheme="minorEastAsia"/>
        </w:rPr>
      </w:pPr>
      <w:r>
        <w:fldChar w:fldCharType="begin"/>
      </w:r>
      <w:r>
        <w:instrText xml:space="preserve"> HYPERLINK \l "_Toc196728421" </w:instrText>
      </w:r>
      <w:r>
        <w:fldChar w:fldCharType="separate"/>
      </w:r>
      <w:r>
        <w:rPr>
          <w:rStyle w:val="139"/>
        </w:rPr>
        <w:t>28.11. CA服务器</w:t>
      </w:r>
      <w:r>
        <w:tab/>
      </w:r>
      <w:r>
        <w:fldChar w:fldCharType="begin"/>
      </w:r>
      <w:r>
        <w:instrText xml:space="preserve"> PAGEREF _Toc196728421 \h </w:instrText>
      </w:r>
      <w:r>
        <w:fldChar w:fldCharType="separate"/>
      </w:r>
      <w:r>
        <w:t>614</w:t>
      </w:r>
      <w:r>
        <w:fldChar w:fldCharType="end"/>
      </w:r>
      <w:r>
        <w:fldChar w:fldCharType="end"/>
      </w:r>
    </w:p>
    <w:p w14:paraId="65B90FEC">
      <w:pPr>
        <w:pStyle w:val="42"/>
        <w:tabs>
          <w:tab w:val="right" w:leader="dot" w:pos="8296"/>
        </w:tabs>
        <w:ind w:left="840"/>
        <w:rPr>
          <w:rFonts w:asciiTheme="minorHAnsi" w:hAnsiTheme="minorHAnsi" w:eastAsiaTheme="minorEastAsia"/>
        </w:rPr>
      </w:pPr>
      <w:r>
        <w:fldChar w:fldCharType="begin"/>
      </w:r>
      <w:r>
        <w:instrText xml:space="preserve"> HYPERLINK \l "_Toc196728422" </w:instrText>
      </w:r>
      <w:r>
        <w:fldChar w:fldCharType="separate"/>
      </w:r>
      <w:r>
        <w:rPr>
          <w:rStyle w:val="139"/>
          <w:kern w:val="0"/>
          <w14:scene3d w14:prst="orthographicFront">
            <w14:lightRig w14:rig="threePt" w14:dir="t">
              <w14:rot w14:lat="0" w14:lon="0" w14:rev="0"/>
            </w14:lightRig>
          </w14:scene3d>
        </w:rPr>
        <w:t>28.11.1.</w:t>
      </w:r>
      <w:r>
        <w:rPr>
          <w:rStyle w:val="139"/>
        </w:rPr>
        <w:t xml:space="preserve"> CA简介</w:t>
      </w:r>
      <w:r>
        <w:tab/>
      </w:r>
      <w:r>
        <w:fldChar w:fldCharType="begin"/>
      </w:r>
      <w:r>
        <w:instrText xml:space="preserve"> PAGEREF _Toc196728422 \h </w:instrText>
      </w:r>
      <w:r>
        <w:fldChar w:fldCharType="separate"/>
      </w:r>
      <w:r>
        <w:t>614</w:t>
      </w:r>
      <w:r>
        <w:fldChar w:fldCharType="end"/>
      </w:r>
      <w:r>
        <w:fldChar w:fldCharType="end"/>
      </w:r>
    </w:p>
    <w:p w14:paraId="07A4B48B">
      <w:pPr>
        <w:pStyle w:val="42"/>
        <w:tabs>
          <w:tab w:val="right" w:leader="dot" w:pos="8296"/>
        </w:tabs>
        <w:ind w:left="840"/>
        <w:rPr>
          <w:rFonts w:asciiTheme="minorHAnsi" w:hAnsiTheme="minorHAnsi" w:eastAsiaTheme="minorEastAsia"/>
        </w:rPr>
      </w:pPr>
      <w:r>
        <w:fldChar w:fldCharType="begin"/>
      </w:r>
      <w:r>
        <w:instrText xml:space="preserve"> HYPERLINK \l "_Toc196728423" </w:instrText>
      </w:r>
      <w:r>
        <w:fldChar w:fldCharType="separate"/>
      </w:r>
      <w:r>
        <w:rPr>
          <w:rStyle w:val="139"/>
          <w:kern w:val="0"/>
          <w14:scene3d w14:prst="orthographicFront">
            <w14:lightRig w14:rig="threePt" w14:dir="t">
              <w14:rot w14:lat="0" w14:lon="0" w14:rev="0"/>
            </w14:lightRig>
          </w14:scene3d>
        </w:rPr>
        <w:t>28.11.2.</w:t>
      </w:r>
      <w:r>
        <w:rPr>
          <w:rStyle w:val="139"/>
        </w:rPr>
        <w:t xml:space="preserve"> 根证书管理</w:t>
      </w:r>
      <w:r>
        <w:tab/>
      </w:r>
      <w:r>
        <w:fldChar w:fldCharType="begin"/>
      </w:r>
      <w:r>
        <w:instrText xml:space="preserve"> PAGEREF _Toc196728423 \h </w:instrText>
      </w:r>
      <w:r>
        <w:fldChar w:fldCharType="separate"/>
      </w:r>
      <w:r>
        <w:t>614</w:t>
      </w:r>
      <w:r>
        <w:fldChar w:fldCharType="end"/>
      </w:r>
      <w:r>
        <w:fldChar w:fldCharType="end"/>
      </w:r>
    </w:p>
    <w:p w14:paraId="54AEE9DF">
      <w:pPr>
        <w:pStyle w:val="42"/>
        <w:tabs>
          <w:tab w:val="right" w:leader="dot" w:pos="8296"/>
        </w:tabs>
        <w:ind w:left="840"/>
        <w:rPr>
          <w:rFonts w:asciiTheme="minorHAnsi" w:hAnsiTheme="minorHAnsi" w:eastAsiaTheme="minorEastAsia"/>
        </w:rPr>
      </w:pPr>
      <w:r>
        <w:fldChar w:fldCharType="begin"/>
      </w:r>
      <w:r>
        <w:instrText xml:space="preserve"> HYPERLINK \l "_Toc196728424" </w:instrText>
      </w:r>
      <w:r>
        <w:fldChar w:fldCharType="separate"/>
      </w:r>
      <w:r>
        <w:rPr>
          <w:rStyle w:val="139"/>
          <w:kern w:val="0"/>
          <w14:scene3d w14:prst="orthographicFront">
            <w14:lightRig w14:rig="threePt" w14:dir="t">
              <w14:rot w14:lat="0" w14:lon="0" w14:rev="0"/>
            </w14:lightRig>
          </w14:scene3d>
        </w:rPr>
        <w:t>28.11.3.</w:t>
      </w:r>
      <w:r>
        <w:rPr>
          <w:rStyle w:val="139"/>
        </w:rPr>
        <w:t xml:space="preserve"> CRL管理</w:t>
      </w:r>
      <w:r>
        <w:tab/>
      </w:r>
      <w:r>
        <w:fldChar w:fldCharType="begin"/>
      </w:r>
      <w:r>
        <w:instrText xml:space="preserve"> PAGEREF _Toc196728424 \h </w:instrText>
      </w:r>
      <w:r>
        <w:fldChar w:fldCharType="separate"/>
      </w:r>
      <w:r>
        <w:t>617</w:t>
      </w:r>
      <w:r>
        <w:fldChar w:fldCharType="end"/>
      </w:r>
      <w:r>
        <w:fldChar w:fldCharType="end"/>
      </w:r>
    </w:p>
    <w:p w14:paraId="554F04C0">
      <w:pPr>
        <w:pStyle w:val="42"/>
        <w:tabs>
          <w:tab w:val="right" w:leader="dot" w:pos="8296"/>
        </w:tabs>
        <w:ind w:left="840"/>
        <w:rPr>
          <w:rFonts w:asciiTheme="minorHAnsi" w:hAnsiTheme="minorHAnsi" w:eastAsiaTheme="minorEastAsia"/>
        </w:rPr>
      </w:pPr>
      <w:r>
        <w:fldChar w:fldCharType="begin"/>
      </w:r>
      <w:r>
        <w:instrText xml:space="preserve"> HYPERLINK \l "_Toc196728425" </w:instrText>
      </w:r>
      <w:r>
        <w:fldChar w:fldCharType="separate"/>
      </w:r>
      <w:r>
        <w:rPr>
          <w:rStyle w:val="139"/>
          <w:kern w:val="0"/>
          <w14:scene3d w14:prst="orthographicFront">
            <w14:lightRig w14:rig="threePt" w14:dir="t">
              <w14:rot w14:lat="0" w14:lon="0" w14:rev="0"/>
            </w14:lightRig>
          </w14:scene3d>
        </w:rPr>
        <w:t>28.11.4.</w:t>
      </w:r>
      <w:r>
        <w:rPr>
          <w:rStyle w:val="139"/>
        </w:rPr>
        <w:t xml:space="preserve"> 用户证书管理</w:t>
      </w:r>
      <w:r>
        <w:tab/>
      </w:r>
      <w:r>
        <w:fldChar w:fldCharType="begin"/>
      </w:r>
      <w:r>
        <w:instrText xml:space="preserve"> PAGEREF _Toc196728425 \h </w:instrText>
      </w:r>
      <w:r>
        <w:fldChar w:fldCharType="separate"/>
      </w:r>
      <w:r>
        <w:t>619</w:t>
      </w:r>
      <w:r>
        <w:fldChar w:fldCharType="end"/>
      </w:r>
      <w:r>
        <w:fldChar w:fldCharType="end"/>
      </w:r>
    </w:p>
    <w:p w14:paraId="53761370">
      <w:pPr>
        <w:pStyle w:val="70"/>
        <w:tabs>
          <w:tab w:val="right" w:leader="dot" w:pos="8296"/>
        </w:tabs>
        <w:ind w:left="420"/>
        <w:rPr>
          <w:rFonts w:asciiTheme="minorHAnsi" w:hAnsiTheme="minorHAnsi" w:eastAsiaTheme="minorEastAsia"/>
        </w:rPr>
      </w:pPr>
      <w:r>
        <w:fldChar w:fldCharType="begin"/>
      </w:r>
      <w:r>
        <w:instrText xml:space="preserve"> HYPERLINK \l "_Toc196728426" </w:instrText>
      </w:r>
      <w:r>
        <w:fldChar w:fldCharType="separate"/>
      </w:r>
      <w:r>
        <w:rPr>
          <w:rStyle w:val="139"/>
        </w:rPr>
        <w:t>28.12. 本地证书</w:t>
      </w:r>
      <w:r>
        <w:tab/>
      </w:r>
      <w:r>
        <w:fldChar w:fldCharType="begin"/>
      </w:r>
      <w:r>
        <w:instrText xml:space="preserve"> PAGEREF _Toc196728426 \h </w:instrText>
      </w:r>
      <w:r>
        <w:fldChar w:fldCharType="separate"/>
      </w:r>
      <w:r>
        <w:t>623</w:t>
      </w:r>
      <w:r>
        <w:fldChar w:fldCharType="end"/>
      </w:r>
      <w:r>
        <w:fldChar w:fldCharType="end"/>
      </w:r>
    </w:p>
    <w:p w14:paraId="73D499C8">
      <w:pPr>
        <w:pStyle w:val="42"/>
        <w:tabs>
          <w:tab w:val="right" w:leader="dot" w:pos="8296"/>
        </w:tabs>
        <w:ind w:left="840"/>
        <w:rPr>
          <w:rFonts w:asciiTheme="minorHAnsi" w:hAnsiTheme="minorHAnsi" w:eastAsiaTheme="minorEastAsia"/>
        </w:rPr>
      </w:pPr>
      <w:r>
        <w:fldChar w:fldCharType="begin"/>
      </w:r>
      <w:r>
        <w:instrText xml:space="preserve"> HYPERLINK \l "_Toc196728427" </w:instrText>
      </w:r>
      <w:r>
        <w:fldChar w:fldCharType="separate"/>
      </w:r>
      <w:r>
        <w:rPr>
          <w:rStyle w:val="139"/>
          <w:kern w:val="0"/>
          <w14:scene3d w14:prst="orthographicFront">
            <w14:lightRig w14:rig="threePt" w14:dir="t">
              <w14:rot w14:lat="0" w14:lon="0" w14:rev="0"/>
            </w14:lightRig>
          </w14:scene3d>
        </w:rPr>
        <w:t>28.12.1.</w:t>
      </w:r>
      <w:r>
        <w:rPr>
          <w:rStyle w:val="139"/>
        </w:rPr>
        <w:t xml:space="preserve"> 本地证书简介</w:t>
      </w:r>
      <w:r>
        <w:tab/>
      </w:r>
      <w:r>
        <w:fldChar w:fldCharType="begin"/>
      </w:r>
      <w:r>
        <w:instrText xml:space="preserve"> PAGEREF _Toc196728427 \h </w:instrText>
      </w:r>
      <w:r>
        <w:fldChar w:fldCharType="separate"/>
      </w:r>
      <w:r>
        <w:t>623</w:t>
      </w:r>
      <w:r>
        <w:fldChar w:fldCharType="end"/>
      </w:r>
      <w:r>
        <w:fldChar w:fldCharType="end"/>
      </w:r>
    </w:p>
    <w:p w14:paraId="3E1C95A7">
      <w:pPr>
        <w:pStyle w:val="42"/>
        <w:tabs>
          <w:tab w:val="right" w:leader="dot" w:pos="8296"/>
        </w:tabs>
        <w:ind w:left="840"/>
        <w:rPr>
          <w:rFonts w:asciiTheme="minorHAnsi" w:hAnsiTheme="minorHAnsi" w:eastAsiaTheme="minorEastAsia"/>
        </w:rPr>
      </w:pPr>
      <w:r>
        <w:fldChar w:fldCharType="begin"/>
      </w:r>
      <w:r>
        <w:instrText xml:space="preserve"> HYPERLINK \l "_Toc196728428" </w:instrText>
      </w:r>
      <w:r>
        <w:fldChar w:fldCharType="separate"/>
      </w:r>
      <w:r>
        <w:rPr>
          <w:rStyle w:val="139"/>
          <w:kern w:val="0"/>
          <w14:scene3d w14:prst="orthographicFront">
            <w14:lightRig w14:rig="threePt" w14:dir="t">
              <w14:rot w14:lat="0" w14:lon="0" w14:rev="0"/>
            </w14:lightRig>
          </w14:scene3d>
        </w:rPr>
        <w:t>28.12.2.</w:t>
      </w:r>
      <w:r>
        <w:rPr>
          <w:rStyle w:val="139"/>
        </w:rPr>
        <w:t xml:space="preserve"> 本地用户证书</w:t>
      </w:r>
      <w:r>
        <w:tab/>
      </w:r>
      <w:r>
        <w:fldChar w:fldCharType="begin"/>
      </w:r>
      <w:r>
        <w:instrText xml:space="preserve"> PAGEREF _Toc196728428 \h </w:instrText>
      </w:r>
      <w:r>
        <w:fldChar w:fldCharType="separate"/>
      </w:r>
      <w:r>
        <w:t>623</w:t>
      </w:r>
      <w:r>
        <w:fldChar w:fldCharType="end"/>
      </w:r>
      <w:r>
        <w:fldChar w:fldCharType="end"/>
      </w:r>
    </w:p>
    <w:p w14:paraId="69A5F537">
      <w:pPr>
        <w:pStyle w:val="42"/>
        <w:tabs>
          <w:tab w:val="right" w:leader="dot" w:pos="8296"/>
        </w:tabs>
        <w:ind w:left="840"/>
        <w:rPr>
          <w:rFonts w:asciiTheme="minorHAnsi" w:hAnsiTheme="minorHAnsi" w:eastAsiaTheme="minorEastAsia"/>
        </w:rPr>
      </w:pPr>
      <w:r>
        <w:fldChar w:fldCharType="begin"/>
      </w:r>
      <w:r>
        <w:instrText xml:space="preserve"> HYPERLINK \l "_Toc196728429" </w:instrText>
      </w:r>
      <w:r>
        <w:fldChar w:fldCharType="separate"/>
      </w:r>
      <w:r>
        <w:rPr>
          <w:rStyle w:val="139"/>
          <w:kern w:val="0"/>
          <w14:scene3d w14:prst="orthographicFront">
            <w14:lightRig w14:rig="threePt" w14:dir="t">
              <w14:rot w14:lat="0" w14:lon="0" w14:rev="0"/>
            </w14:lightRig>
          </w14:scene3d>
        </w:rPr>
        <w:t>28.12.3.</w:t>
      </w:r>
      <w:r>
        <w:rPr>
          <w:rStyle w:val="139"/>
        </w:rPr>
        <w:t xml:space="preserve"> 本地CA证书</w:t>
      </w:r>
      <w:r>
        <w:tab/>
      </w:r>
      <w:r>
        <w:fldChar w:fldCharType="begin"/>
      </w:r>
      <w:r>
        <w:instrText xml:space="preserve"> PAGEREF _Toc196728429 \h </w:instrText>
      </w:r>
      <w:r>
        <w:fldChar w:fldCharType="separate"/>
      </w:r>
      <w:r>
        <w:t>625</w:t>
      </w:r>
      <w:r>
        <w:fldChar w:fldCharType="end"/>
      </w:r>
      <w:r>
        <w:fldChar w:fldCharType="end"/>
      </w:r>
    </w:p>
    <w:p w14:paraId="1EBD3F1C">
      <w:pPr>
        <w:pStyle w:val="42"/>
        <w:tabs>
          <w:tab w:val="right" w:leader="dot" w:pos="8296"/>
        </w:tabs>
        <w:ind w:left="840"/>
        <w:rPr>
          <w:rFonts w:asciiTheme="minorHAnsi" w:hAnsiTheme="minorHAnsi" w:eastAsiaTheme="minorEastAsia"/>
        </w:rPr>
      </w:pPr>
      <w:r>
        <w:fldChar w:fldCharType="begin"/>
      </w:r>
      <w:r>
        <w:instrText xml:space="preserve"> HYPERLINK \l "_Toc196728430" </w:instrText>
      </w:r>
      <w:r>
        <w:fldChar w:fldCharType="separate"/>
      </w:r>
      <w:r>
        <w:rPr>
          <w:rStyle w:val="139"/>
          <w:kern w:val="0"/>
          <w14:scene3d w14:prst="orthographicFront">
            <w14:lightRig w14:rig="threePt" w14:dir="t">
              <w14:rot w14:lat="0" w14:lon="0" w14:rev="0"/>
            </w14:lightRig>
          </w14:scene3d>
        </w:rPr>
        <w:t>28.12.4.</w:t>
      </w:r>
      <w:r>
        <w:rPr>
          <w:rStyle w:val="139"/>
        </w:rPr>
        <w:t xml:space="preserve"> 本地CRL</w:t>
      </w:r>
      <w:r>
        <w:tab/>
      </w:r>
      <w:r>
        <w:fldChar w:fldCharType="begin"/>
      </w:r>
      <w:r>
        <w:instrText xml:space="preserve"> PAGEREF _Toc196728430 \h </w:instrText>
      </w:r>
      <w:r>
        <w:fldChar w:fldCharType="separate"/>
      </w:r>
      <w:r>
        <w:t>627</w:t>
      </w:r>
      <w:r>
        <w:fldChar w:fldCharType="end"/>
      </w:r>
      <w:r>
        <w:fldChar w:fldCharType="end"/>
      </w:r>
    </w:p>
    <w:p w14:paraId="5D2ADFE0">
      <w:pPr>
        <w:pStyle w:val="42"/>
        <w:tabs>
          <w:tab w:val="right" w:leader="dot" w:pos="8296"/>
        </w:tabs>
        <w:ind w:left="840"/>
        <w:rPr>
          <w:rFonts w:asciiTheme="minorHAnsi" w:hAnsiTheme="minorHAnsi" w:eastAsiaTheme="minorEastAsia"/>
        </w:rPr>
      </w:pPr>
      <w:r>
        <w:fldChar w:fldCharType="begin"/>
      </w:r>
      <w:r>
        <w:instrText xml:space="preserve"> HYPERLINK \l "_Toc196728431" </w:instrText>
      </w:r>
      <w:r>
        <w:fldChar w:fldCharType="separate"/>
      </w:r>
      <w:r>
        <w:rPr>
          <w:rStyle w:val="139"/>
          <w:kern w:val="0"/>
          <w14:scene3d w14:prst="orthographicFront">
            <w14:lightRig w14:rig="threePt" w14:dir="t">
              <w14:rot w14:lat="0" w14:lon="0" w14:rev="0"/>
            </w14:lightRig>
          </w14:scene3d>
        </w:rPr>
        <w:t>28.12.5.</w:t>
      </w:r>
      <w:r>
        <w:rPr>
          <w:rStyle w:val="139"/>
        </w:rPr>
        <w:t xml:space="preserve"> 国密证书</w:t>
      </w:r>
      <w:r>
        <w:tab/>
      </w:r>
      <w:r>
        <w:fldChar w:fldCharType="begin"/>
      </w:r>
      <w:r>
        <w:instrText xml:space="preserve"> PAGEREF _Toc196728431 \h </w:instrText>
      </w:r>
      <w:r>
        <w:fldChar w:fldCharType="separate"/>
      </w:r>
      <w:r>
        <w:t>629</w:t>
      </w:r>
      <w:r>
        <w:fldChar w:fldCharType="end"/>
      </w:r>
      <w:r>
        <w:fldChar w:fldCharType="end"/>
      </w:r>
    </w:p>
    <w:p w14:paraId="50DB71E3">
      <w:pPr>
        <w:pStyle w:val="42"/>
        <w:tabs>
          <w:tab w:val="right" w:leader="dot" w:pos="8296"/>
        </w:tabs>
        <w:ind w:left="840"/>
        <w:rPr>
          <w:rFonts w:asciiTheme="minorHAnsi" w:hAnsiTheme="minorHAnsi" w:eastAsiaTheme="minorEastAsia"/>
        </w:rPr>
      </w:pPr>
      <w:r>
        <w:fldChar w:fldCharType="begin"/>
      </w:r>
      <w:r>
        <w:instrText xml:space="preserve"> HYPERLINK \l "_Toc196728432" </w:instrText>
      </w:r>
      <w:r>
        <w:fldChar w:fldCharType="separate"/>
      </w:r>
      <w:r>
        <w:rPr>
          <w:rStyle w:val="139"/>
          <w:kern w:val="0"/>
          <w14:scene3d w14:prst="orthographicFront">
            <w14:lightRig w14:rig="threePt" w14:dir="t">
              <w14:rot w14:lat="0" w14:lon="0" w14:rev="0"/>
            </w14:lightRig>
          </w14:scene3d>
        </w:rPr>
        <w:t>28.12.6.</w:t>
      </w:r>
      <w:r>
        <w:rPr>
          <w:rStyle w:val="139"/>
        </w:rPr>
        <w:t xml:space="preserve"> 自动获取CRL</w:t>
      </w:r>
      <w:r>
        <w:tab/>
      </w:r>
      <w:r>
        <w:fldChar w:fldCharType="begin"/>
      </w:r>
      <w:r>
        <w:instrText xml:space="preserve"> PAGEREF _Toc196728432 \h </w:instrText>
      </w:r>
      <w:r>
        <w:fldChar w:fldCharType="separate"/>
      </w:r>
      <w:r>
        <w:t>631</w:t>
      </w:r>
      <w:r>
        <w:fldChar w:fldCharType="end"/>
      </w:r>
      <w:r>
        <w:fldChar w:fldCharType="end"/>
      </w:r>
    </w:p>
    <w:p w14:paraId="0DACDF52">
      <w:pPr>
        <w:pStyle w:val="56"/>
        <w:tabs>
          <w:tab w:val="right" w:leader="dot" w:pos="8296"/>
        </w:tabs>
        <w:rPr>
          <w:rFonts w:asciiTheme="minorHAnsi" w:hAnsiTheme="minorHAnsi" w:eastAsiaTheme="minorEastAsia"/>
        </w:rPr>
      </w:pPr>
      <w:r>
        <w:fldChar w:fldCharType="begin"/>
      </w:r>
      <w:r>
        <w:instrText xml:space="preserve"> HYPERLINK \l "_Toc196728433" </w:instrText>
      </w:r>
      <w:r>
        <w:fldChar w:fldCharType="separate"/>
      </w:r>
      <w:r>
        <w:rPr>
          <w:rStyle w:val="139"/>
        </w:rPr>
        <w:t>29. 安全设置</w:t>
      </w:r>
      <w:r>
        <w:tab/>
      </w:r>
      <w:r>
        <w:fldChar w:fldCharType="begin"/>
      </w:r>
      <w:r>
        <w:instrText xml:space="preserve"> PAGEREF _Toc196728433 \h </w:instrText>
      </w:r>
      <w:r>
        <w:fldChar w:fldCharType="separate"/>
      </w:r>
      <w:r>
        <w:t>633</w:t>
      </w:r>
      <w:r>
        <w:fldChar w:fldCharType="end"/>
      </w:r>
      <w:r>
        <w:fldChar w:fldCharType="end"/>
      </w:r>
    </w:p>
    <w:p w14:paraId="3BFFF5B3">
      <w:pPr>
        <w:pStyle w:val="70"/>
        <w:tabs>
          <w:tab w:val="right" w:leader="dot" w:pos="8296"/>
        </w:tabs>
        <w:ind w:left="420"/>
        <w:rPr>
          <w:rFonts w:asciiTheme="minorHAnsi" w:hAnsiTheme="minorHAnsi" w:eastAsiaTheme="minorEastAsia"/>
        </w:rPr>
      </w:pPr>
      <w:r>
        <w:fldChar w:fldCharType="begin"/>
      </w:r>
      <w:r>
        <w:instrText xml:space="preserve"> HYPERLINK \l "_Toc196728434" </w:instrText>
      </w:r>
      <w:r>
        <w:fldChar w:fldCharType="separate"/>
      </w:r>
      <w:r>
        <w:rPr>
          <w:rStyle w:val="139"/>
        </w:rPr>
        <w:t>29.1. 入侵防御</w:t>
      </w:r>
      <w:r>
        <w:tab/>
      </w:r>
      <w:r>
        <w:fldChar w:fldCharType="begin"/>
      </w:r>
      <w:r>
        <w:instrText xml:space="preserve"> PAGEREF _Toc196728434 \h </w:instrText>
      </w:r>
      <w:r>
        <w:fldChar w:fldCharType="separate"/>
      </w:r>
      <w:r>
        <w:t>633</w:t>
      </w:r>
      <w:r>
        <w:fldChar w:fldCharType="end"/>
      </w:r>
      <w:r>
        <w:fldChar w:fldCharType="end"/>
      </w:r>
    </w:p>
    <w:p w14:paraId="6581B49C">
      <w:pPr>
        <w:pStyle w:val="42"/>
        <w:tabs>
          <w:tab w:val="right" w:leader="dot" w:pos="8296"/>
        </w:tabs>
        <w:ind w:left="840"/>
        <w:rPr>
          <w:rFonts w:asciiTheme="minorHAnsi" w:hAnsiTheme="minorHAnsi" w:eastAsiaTheme="minorEastAsia"/>
        </w:rPr>
      </w:pPr>
      <w:r>
        <w:fldChar w:fldCharType="begin"/>
      </w:r>
      <w:r>
        <w:instrText xml:space="preserve"> HYPERLINK \l "_Toc196728435" </w:instrText>
      </w:r>
      <w:r>
        <w:fldChar w:fldCharType="separate"/>
      </w:r>
      <w:r>
        <w:rPr>
          <w:rStyle w:val="139"/>
          <w:kern w:val="0"/>
          <w14:scene3d w14:prst="orthographicFront">
            <w14:lightRig w14:rig="threePt" w14:dir="t">
              <w14:rot w14:lat="0" w14:lon="0" w14:rev="0"/>
            </w14:lightRig>
          </w14:scene3d>
        </w:rPr>
        <w:t>29.1.1.</w:t>
      </w:r>
      <w:r>
        <w:rPr>
          <w:rStyle w:val="139"/>
        </w:rPr>
        <w:t xml:space="preserve"> 入侵防御概述</w:t>
      </w:r>
      <w:r>
        <w:tab/>
      </w:r>
      <w:r>
        <w:fldChar w:fldCharType="begin"/>
      </w:r>
      <w:r>
        <w:instrText xml:space="preserve"> PAGEREF _Toc196728435 \h </w:instrText>
      </w:r>
      <w:r>
        <w:fldChar w:fldCharType="separate"/>
      </w:r>
      <w:r>
        <w:t>633</w:t>
      </w:r>
      <w:r>
        <w:fldChar w:fldCharType="end"/>
      </w:r>
      <w:r>
        <w:fldChar w:fldCharType="end"/>
      </w:r>
    </w:p>
    <w:p w14:paraId="3BFAA3AE">
      <w:pPr>
        <w:pStyle w:val="42"/>
        <w:tabs>
          <w:tab w:val="right" w:leader="dot" w:pos="8296"/>
        </w:tabs>
        <w:ind w:left="840"/>
        <w:rPr>
          <w:rFonts w:asciiTheme="minorHAnsi" w:hAnsiTheme="minorHAnsi" w:eastAsiaTheme="minorEastAsia"/>
        </w:rPr>
      </w:pPr>
      <w:r>
        <w:fldChar w:fldCharType="begin"/>
      </w:r>
      <w:r>
        <w:instrText xml:space="preserve"> HYPERLINK \l "_Toc196728436" </w:instrText>
      </w:r>
      <w:r>
        <w:fldChar w:fldCharType="separate"/>
      </w:r>
      <w:r>
        <w:rPr>
          <w:rStyle w:val="139"/>
          <w:kern w:val="0"/>
          <w14:scene3d w14:prst="orthographicFront">
            <w14:lightRig w14:rig="threePt" w14:dir="t">
              <w14:rot w14:lat="0" w14:lon="0" w14:rev="0"/>
            </w14:lightRig>
          </w14:scene3d>
        </w:rPr>
        <w:t>29.1.2.</w:t>
      </w:r>
      <w:r>
        <w:rPr>
          <w:rStyle w:val="139"/>
        </w:rPr>
        <w:t xml:space="preserve"> 入侵防御规则模板配置</w:t>
      </w:r>
      <w:r>
        <w:tab/>
      </w:r>
      <w:r>
        <w:fldChar w:fldCharType="begin"/>
      </w:r>
      <w:r>
        <w:instrText xml:space="preserve"> PAGEREF _Toc196728436 \h </w:instrText>
      </w:r>
      <w:r>
        <w:fldChar w:fldCharType="separate"/>
      </w:r>
      <w:r>
        <w:t>634</w:t>
      </w:r>
      <w:r>
        <w:fldChar w:fldCharType="end"/>
      </w:r>
      <w:r>
        <w:fldChar w:fldCharType="end"/>
      </w:r>
    </w:p>
    <w:p w14:paraId="19663057">
      <w:pPr>
        <w:pStyle w:val="42"/>
        <w:tabs>
          <w:tab w:val="right" w:leader="dot" w:pos="8296"/>
        </w:tabs>
        <w:ind w:left="840"/>
        <w:rPr>
          <w:rFonts w:asciiTheme="minorHAnsi" w:hAnsiTheme="minorHAnsi" w:eastAsiaTheme="minorEastAsia"/>
        </w:rPr>
      </w:pPr>
      <w:r>
        <w:fldChar w:fldCharType="begin"/>
      </w:r>
      <w:r>
        <w:instrText xml:space="preserve"> HYPERLINK \l "_Toc196728437" </w:instrText>
      </w:r>
      <w:r>
        <w:fldChar w:fldCharType="separate"/>
      </w:r>
      <w:r>
        <w:rPr>
          <w:rStyle w:val="139"/>
          <w:kern w:val="0"/>
          <w14:scene3d w14:prst="orthographicFront">
            <w14:lightRig w14:rig="threePt" w14:dir="t">
              <w14:rot w14:lat="0" w14:lon="0" w14:rev="0"/>
            </w14:lightRig>
          </w14:scene3d>
        </w:rPr>
        <w:t>29.1.3.</w:t>
      </w:r>
      <w:r>
        <w:rPr>
          <w:rStyle w:val="139"/>
        </w:rPr>
        <w:t xml:space="preserve"> 入侵防御自定义规则</w:t>
      </w:r>
      <w:r>
        <w:tab/>
      </w:r>
      <w:r>
        <w:fldChar w:fldCharType="begin"/>
      </w:r>
      <w:r>
        <w:instrText xml:space="preserve"> PAGEREF _Toc196728437 \h </w:instrText>
      </w:r>
      <w:r>
        <w:fldChar w:fldCharType="separate"/>
      </w:r>
      <w:r>
        <w:t>638</w:t>
      </w:r>
      <w:r>
        <w:fldChar w:fldCharType="end"/>
      </w:r>
      <w:r>
        <w:fldChar w:fldCharType="end"/>
      </w:r>
    </w:p>
    <w:p w14:paraId="00594330">
      <w:pPr>
        <w:pStyle w:val="42"/>
        <w:tabs>
          <w:tab w:val="right" w:leader="dot" w:pos="8296"/>
        </w:tabs>
        <w:ind w:left="840"/>
        <w:rPr>
          <w:rFonts w:asciiTheme="minorHAnsi" w:hAnsiTheme="minorHAnsi" w:eastAsiaTheme="minorEastAsia"/>
        </w:rPr>
      </w:pPr>
      <w:r>
        <w:fldChar w:fldCharType="begin"/>
      </w:r>
      <w:r>
        <w:instrText xml:space="preserve"> HYPERLINK \l "_Toc196728438" </w:instrText>
      </w:r>
      <w:r>
        <w:fldChar w:fldCharType="separate"/>
      </w:r>
      <w:r>
        <w:rPr>
          <w:rStyle w:val="139"/>
          <w:kern w:val="0"/>
          <w14:scene3d w14:prst="orthographicFront">
            <w14:lightRig w14:rig="threePt" w14:dir="t">
              <w14:rot w14:lat="0" w14:lon="0" w14:rev="0"/>
            </w14:lightRig>
          </w14:scene3d>
        </w:rPr>
        <w:t>29.1.4.</w:t>
      </w:r>
      <w:r>
        <w:rPr>
          <w:rStyle w:val="139"/>
        </w:rPr>
        <w:t xml:space="preserve"> 入侵防御策略</w:t>
      </w:r>
      <w:r>
        <w:tab/>
      </w:r>
      <w:r>
        <w:fldChar w:fldCharType="begin"/>
      </w:r>
      <w:r>
        <w:instrText xml:space="preserve"> PAGEREF _Toc196728438 \h </w:instrText>
      </w:r>
      <w:r>
        <w:fldChar w:fldCharType="separate"/>
      </w:r>
      <w:r>
        <w:t>639</w:t>
      </w:r>
      <w:r>
        <w:fldChar w:fldCharType="end"/>
      </w:r>
      <w:r>
        <w:fldChar w:fldCharType="end"/>
      </w:r>
    </w:p>
    <w:p w14:paraId="7B734A25">
      <w:pPr>
        <w:pStyle w:val="42"/>
        <w:tabs>
          <w:tab w:val="right" w:leader="dot" w:pos="8296"/>
        </w:tabs>
        <w:ind w:left="840"/>
        <w:rPr>
          <w:rFonts w:asciiTheme="minorHAnsi" w:hAnsiTheme="minorHAnsi" w:eastAsiaTheme="minorEastAsia"/>
        </w:rPr>
      </w:pPr>
      <w:r>
        <w:fldChar w:fldCharType="begin"/>
      </w:r>
      <w:r>
        <w:instrText xml:space="preserve"> HYPERLINK \l "_Toc196728439" </w:instrText>
      </w:r>
      <w:r>
        <w:fldChar w:fldCharType="separate"/>
      </w:r>
      <w:r>
        <w:rPr>
          <w:rStyle w:val="139"/>
          <w:kern w:val="0"/>
          <w14:scene3d w14:prst="orthographicFront">
            <w14:lightRig w14:rig="threePt" w14:dir="t">
              <w14:rot w14:lat="0" w14:lon="0" w14:rev="0"/>
            </w14:lightRig>
          </w14:scene3d>
        </w:rPr>
        <w:t>29.1.5.</w:t>
      </w:r>
      <w:r>
        <w:rPr>
          <w:rStyle w:val="139"/>
        </w:rPr>
        <w:t xml:space="preserve"> 入侵日志聚合</w:t>
      </w:r>
      <w:r>
        <w:tab/>
      </w:r>
      <w:r>
        <w:fldChar w:fldCharType="begin"/>
      </w:r>
      <w:r>
        <w:instrText xml:space="preserve"> PAGEREF _Toc196728439 \h </w:instrText>
      </w:r>
      <w:r>
        <w:fldChar w:fldCharType="separate"/>
      </w:r>
      <w:r>
        <w:t>640</w:t>
      </w:r>
      <w:r>
        <w:fldChar w:fldCharType="end"/>
      </w:r>
      <w:r>
        <w:fldChar w:fldCharType="end"/>
      </w:r>
    </w:p>
    <w:p w14:paraId="10F0791D">
      <w:pPr>
        <w:pStyle w:val="42"/>
        <w:tabs>
          <w:tab w:val="right" w:leader="dot" w:pos="8296"/>
        </w:tabs>
        <w:ind w:left="840"/>
        <w:rPr>
          <w:rFonts w:asciiTheme="minorHAnsi" w:hAnsiTheme="minorHAnsi" w:eastAsiaTheme="minorEastAsia"/>
        </w:rPr>
      </w:pPr>
      <w:r>
        <w:fldChar w:fldCharType="begin"/>
      </w:r>
      <w:r>
        <w:instrText xml:space="preserve"> HYPERLINK \l "_Toc196728440" </w:instrText>
      </w:r>
      <w:r>
        <w:fldChar w:fldCharType="separate"/>
      </w:r>
      <w:r>
        <w:rPr>
          <w:rStyle w:val="139"/>
          <w:kern w:val="0"/>
          <w14:scene3d w14:prst="orthographicFront">
            <w14:lightRig w14:rig="threePt" w14:dir="t">
              <w14:rot w14:lat="0" w14:lon="0" w14:rev="0"/>
            </w14:lightRig>
          </w14:scene3d>
        </w:rPr>
        <w:t>29.1.6.</w:t>
      </w:r>
      <w:r>
        <w:rPr>
          <w:rStyle w:val="139"/>
        </w:rPr>
        <w:t xml:space="preserve"> 入侵日志告警规则</w:t>
      </w:r>
      <w:r>
        <w:tab/>
      </w:r>
      <w:r>
        <w:fldChar w:fldCharType="begin"/>
      </w:r>
      <w:r>
        <w:instrText xml:space="preserve"> PAGEREF _Toc196728440 \h </w:instrText>
      </w:r>
      <w:r>
        <w:fldChar w:fldCharType="separate"/>
      </w:r>
      <w:r>
        <w:t>641</w:t>
      </w:r>
      <w:r>
        <w:fldChar w:fldCharType="end"/>
      </w:r>
      <w:r>
        <w:fldChar w:fldCharType="end"/>
      </w:r>
    </w:p>
    <w:p w14:paraId="7462FF36">
      <w:pPr>
        <w:pStyle w:val="42"/>
        <w:tabs>
          <w:tab w:val="right" w:leader="dot" w:pos="8296"/>
        </w:tabs>
        <w:ind w:left="840"/>
        <w:rPr>
          <w:rFonts w:asciiTheme="minorHAnsi" w:hAnsiTheme="minorHAnsi" w:eastAsiaTheme="minorEastAsia"/>
        </w:rPr>
      </w:pPr>
      <w:r>
        <w:fldChar w:fldCharType="begin"/>
      </w:r>
      <w:r>
        <w:instrText xml:space="preserve"> HYPERLINK \l "_Toc196728441" </w:instrText>
      </w:r>
      <w:r>
        <w:fldChar w:fldCharType="separate"/>
      </w:r>
      <w:r>
        <w:rPr>
          <w:rStyle w:val="139"/>
          <w:kern w:val="0"/>
          <w14:scene3d w14:prst="orthographicFront">
            <w14:lightRig w14:rig="threePt" w14:dir="t">
              <w14:rot w14:lat="0" w14:lon="0" w14:rev="0"/>
            </w14:lightRig>
          </w14:scene3d>
        </w:rPr>
        <w:t>29.1.7.</w:t>
      </w:r>
      <w:r>
        <w:rPr>
          <w:rStyle w:val="139"/>
        </w:rPr>
        <w:t xml:space="preserve"> 入侵防御配置举例</w:t>
      </w:r>
      <w:r>
        <w:tab/>
      </w:r>
      <w:r>
        <w:fldChar w:fldCharType="begin"/>
      </w:r>
      <w:r>
        <w:instrText xml:space="preserve"> PAGEREF _Toc196728441 \h </w:instrText>
      </w:r>
      <w:r>
        <w:fldChar w:fldCharType="separate"/>
      </w:r>
      <w:r>
        <w:t>642</w:t>
      </w:r>
      <w:r>
        <w:fldChar w:fldCharType="end"/>
      </w:r>
      <w:r>
        <w:fldChar w:fldCharType="end"/>
      </w:r>
    </w:p>
    <w:p w14:paraId="14E5A4DE">
      <w:pPr>
        <w:pStyle w:val="70"/>
        <w:tabs>
          <w:tab w:val="right" w:leader="dot" w:pos="8296"/>
        </w:tabs>
        <w:ind w:left="420"/>
        <w:rPr>
          <w:rFonts w:asciiTheme="minorHAnsi" w:hAnsiTheme="minorHAnsi" w:eastAsiaTheme="minorEastAsia"/>
        </w:rPr>
      </w:pPr>
      <w:r>
        <w:fldChar w:fldCharType="begin"/>
      </w:r>
      <w:r>
        <w:instrText xml:space="preserve"> HYPERLINK \l "_Toc196728442" </w:instrText>
      </w:r>
      <w:r>
        <w:fldChar w:fldCharType="separate"/>
      </w:r>
      <w:r>
        <w:rPr>
          <w:rStyle w:val="139"/>
        </w:rPr>
        <w:t>29.2. 病毒防护</w:t>
      </w:r>
      <w:r>
        <w:tab/>
      </w:r>
      <w:r>
        <w:fldChar w:fldCharType="begin"/>
      </w:r>
      <w:r>
        <w:instrText xml:space="preserve"> PAGEREF _Toc196728442 \h </w:instrText>
      </w:r>
      <w:r>
        <w:fldChar w:fldCharType="separate"/>
      </w:r>
      <w:r>
        <w:t>647</w:t>
      </w:r>
      <w:r>
        <w:fldChar w:fldCharType="end"/>
      </w:r>
      <w:r>
        <w:fldChar w:fldCharType="end"/>
      </w:r>
    </w:p>
    <w:p w14:paraId="48F2A201">
      <w:pPr>
        <w:pStyle w:val="42"/>
        <w:tabs>
          <w:tab w:val="right" w:leader="dot" w:pos="8296"/>
        </w:tabs>
        <w:ind w:left="840"/>
        <w:rPr>
          <w:rFonts w:asciiTheme="minorHAnsi" w:hAnsiTheme="minorHAnsi" w:eastAsiaTheme="minorEastAsia"/>
        </w:rPr>
      </w:pPr>
      <w:r>
        <w:fldChar w:fldCharType="begin"/>
      </w:r>
      <w:r>
        <w:instrText xml:space="preserve"> HYPERLINK \l "_Toc196728443" </w:instrText>
      </w:r>
      <w:r>
        <w:fldChar w:fldCharType="separate"/>
      </w:r>
      <w:r>
        <w:rPr>
          <w:rStyle w:val="139"/>
          <w:kern w:val="0"/>
          <w14:scene3d w14:prst="orthographicFront">
            <w14:lightRig w14:rig="threePt" w14:dir="t">
              <w14:rot w14:lat="0" w14:lon="0" w14:rev="0"/>
            </w14:lightRig>
          </w14:scene3d>
        </w:rPr>
        <w:t>29.2.1.</w:t>
      </w:r>
      <w:r>
        <w:rPr>
          <w:rStyle w:val="139"/>
        </w:rPr>
        <w:t xml:space="preserve"> 病毒防护概述</w:t>
      </w:r>
      <w:r>
        <w:tab/>
      </w:r>
      <w:r>
        <w:fldChar w:fldCharType="begin"/>
      </w:r>
      <w:r>
        <w:instrText xml:space="preserve"> PAGEREF _Toc196728443 \h </w:instrText>
      </w:r>
      <w:r>
        <w:fldChar w:fldCharType="separate"/>
      </w:r>
      <w:r>
        <w:t>647</w:t>
      </w:r>
      <w:r>
        <w:fldChar w:fldCharType="end"/>
      </w:r>
      <w:r>
        <w:fldChar w:fldCharType="end"/>
      </w:r>
    </w:p>
    <w:p w14:paraId="1F3DD389">
      <w:pPr>
        <w:pStyle w:val="42"/>
        <w:tabs>
          <w:tab w:val="right" w:leader="dot" w:pos="8296"/>
        </w:tabs>
        <w:ind w:left="840"/>
        <w:rPr>
          <w:rFonts w:asciiTheme="minorHAnsi" w:hAnsiTheme="minorHAnsi" w:eastAsiaTheme="minorEastAsia"/>
        </w:rPr>
      </w:pPr>
      <w:r>
        <w:fldChar w:fldCharType="begin"/>
      </w:r>
      <w:r>
        <w:instrText xml:space="preserve"> HYPERLINK \l "_Toc196728444" </w:instrText>
      </w:r>
      <w:r>
        <w:fldChar w:fldCharType="separate"/>
      </w:r>
      <w:r>
        <w:rPr>
          <w:rStyle w:val="139"/>
          <w:kern w:val="0"/>
          <w14:scene3d w14:prst="orthographicFront">
            <w14:lightRig w14:rig="threePt" w14:dir="t">
              <w14:rot w14:lat="0" w14:lon="0" w14:rev="0"/>
            </w14:lightRig>
          </w14:scene3d>
        </w:rPr>
        <w:t>29.2.2.</w:t>
      </w:r>
      <w:r>
        <w:rPr>
          <w:rStyle w:val="139"/>
        </w:rPr>
        <w:t xml:space="preserve"> 防病毒设定</w:t>
      </w:r>
      <w:r>
        <w:tab/>
      </w:r>
      <w:r>
        <w:fldChar w:fldCharType="begin"/>
      </w:r>
      <w:r>
        <w:instrText xml:space="preserve"> PAGEREF _Toc196728444 \h </w:instrText>
      </w:r>
      <w:r>
        <w:fldChar w:fldCharType="separate"/>
      </w:r>
      <w:r>
        <w:t>647</w:t>
      </w:r>
      <w:r>
        <w:fldChar w:fldCharType="end"/>
      </w:r>
      <w:r>
        <w:fldChar w:fldCharType="end"/>
      </w:r>
    </w:p>
    <w:p w14:paraId="21E8FA13">
      <w:pPr>
        <w:pStyle w:val="42"/>
        <w:tabs>
          <w:tab w:val="right" w:leader="dot" w:pos="8296"/>
        </w:tabs>
        <w:ind w:left="840"/>
        <w:rPr>
          <w:rFonts w:asciiTheme="minorHAnsi" w:hAnsiTheme="minorHAnsi" w:eastAsiaTheme="minorEastAsia"/>
        </w:rPr>
      </w:pPr>
      <w:r>
        <w:fldChar w:fldCharType="begin"/>
      </w:r>
      <w:r>
        <w:instrText xml:space="preserve"> HYPERLINK \l "_Toc196728445" </w:instrText>
      </w:r>
      <w:r>
        <w:fldChar w:fldCharType="separate"/>
      </w:r>
      <w:r>
        <w:rPr>
          <w:rStyle w:val="139"/>
          <w:kern w:val="0"/>
          <w14:scene3d w14:prst="orthographicFront">
            <w14:lightRig w14:rig="threePt" w14:dir="t">
              <w14:rot w14:lat="0" w14:lon="0" w14:rev="0"/>
            </w14:lightRig>
          </w14:scene3d>
        </w:rPr>
        <w:t>29.2.3.</w:t>
      </w:r>
      <w:r>
        <w:rPr>
          <w:rStyle w:val="139"/>
        </w:rPr>
        <w:t xml:space="preserve"> MD5白名单</w:t>
      </w:r>
      <w:r>
        <w:tab/>
      </w:r>
      <w:r>
        <w:fldChar w:fldCharType="begin"/>
      </w:r>
      <w:r>
        <w:instrText xml:space="preserve"> PAGEREF _Toc196728445 \h </w:instrText>
      </w:r>
      <w:r>
        <w:fldChar w:fldCharType="separate"/>
      </w:r>
      <w:r>
        <w:t>648</w:t>
      </w:r>
      <w:r>
        <w:fldChar w:fldCharType="end"/>
      </w:r>
      <w:r>
        <w:fldChar w:fldCharType="end"/>
      </w:r>
    </w:p>
    <w:p w14:paraId="01CE7370">
      <w:pPr>
        <w:pStyle w:val="42"/>
        <w:tabs>
          <w:tab w:val="right" w:leader="dot" w:pos="8296"/>
        </w:tabs>
        <w:ind w:left="840"/>
        <w:rPr>
          <w:rFonts w:asciiTheme="minorHAnsi" w:hAnsiTheme="minorHAnsi" w:eastAsiaTheme="minorEastAsia"/>
        </w:rPr>
      </w:pPr>
      <w:r>
        <w:fldChar w:fldCharType="begin"/>
      </w:r>
      <w:r>
        <w:instrText xml:space="preserve"> HYPERLINK \l "_Toc196728446" </w:instrText>
      </w:r>
      <w:r>
        <w:fldChar w:fldCharType="separate"/>
      </w:r>
      <w:r>
        <w:rPr>
          <w:rStyle w:val="139"/>
          <w:kern w:val="0"/>
          <w14:scene3d w14:prst="orthographicFront">
            <w14:lightRig w14:rig="threePt" w14:dir="t">
              <w14:rot w14:lat="0" w14:lon="0" w14:rev="0"/>
            </w14:lightRig>
          </w14:scene3d>
        </w:rPr>
        <w:t>29.2.4.</w:t>
      </w:r>
      <w:r>
        <w:rPr>
          <w:rStyle w:val="139"/>
        </w:rPr>
        <w:t xml:space="preserve"> 域名白名单</w:t>
      </w:r>
      <w:r>
        <w:tab/>
      </w:r>
      <w:r>
        <w:fldChar w:fldCharType="begin"/>
      </w:r>
      <w:r>
        <w:instrText xml:space="preserve"> PAGEREF _Toc196728446 \h </w:instrText>
      </w:r>
      <w:r>
        <w:fldChar w:fldCharType="separate"/>
      </w:r>
      <w:r>
        <w:t>649</w:t>
      </w:r>
      <w:r>
        <w:fldChar w:fldCharType="end"/>
      </w:r>
      <w:r>
        <w:fldChar w:fldCharType="end"/>
      </w:r>
    </w:p>
    <w:p w14:paraId="682F3C91">
      <w:pPr>
        <w:pStyle w:val="42"/>
        <w:tabs>
          <w:tab w:val="right" w:leader="dot" w:pos="8296"/>
        </w:tabs>
        <w:ind w:left="840"/>
        <w:rPr>
          <w:rFonts w:asciiTheme="minorHAnsi" w:hAnsiTheme="minorHAnsi" w:eastAsiaTheme="minorEastAsia"/>
        </w:rPr>
      </w:pPr>
      <w:r>
        <w:fldChar w:fldCharType="begin"/>
      </w:r>
      <w:r>
        <w:instrText xml:space="preserve"> HYPERLINK \l "_Toc196728447" </w:instrText>
      </w:r>
      <w:r>
        <w:fldChar w:fldCharType="separate"/>
      </w:r>
      <w:r>
        <w:rPr>
          <w:rStyle w:val="139"/>
          <w:kern w:val="0"/>
          <w14:scene3d w14:prst="orthographicFront">
            <w14:lightRig w14:rig="threePt" w14:dir="t">
              <w14:rot w14:lat="0" w14:lon="0" w14:rev="0"/>
            </w14:lightRig>
          </w14:scene3d>
        </w:rPr>
        <w:t>29.2.5.</w:t>
      </w:r>
      <w:r>
        <w:rPr>
          <w:rStyle w:val="139"/>
        </w:rPr>
        <w:t xml:space="preserve"> 病毒列表</w:t>
      </w:r>
      <w:r>
        <w:tab/>
      </w:r>
      <w:r>
        <w:fldChar w:fldCharType="begin"/>
      </w:r>
      <w:r>
        <w:instrText xml:space="preserve"> PAGEREF _Toc196728447 \h </w:instrText>
      </w:r>
      <w:r>
        <w:fldChar w:fldCharType="separate"/>
      </w:r>
      <w:r>
        <w:t>650</w:t>
      </w:r>
      <w:r>
        <w:fldChar w:fldCharType="end"/>
      </w:r>
      <w:r>
        <w:fldChar w:fldCharType="end"/>
      </w:r>
    </w:p>
    <w:p w14:paraId="77337F4F">
      <w:pPr>
        <w:pStyle w:val="42"/>
        <w:tabs>
          <w:tab w:val="right" w:leader="dot" w:pos="8296"/>
        </w:tabs>
        <w:ind w:left="840"/>
        <w:rPr>
          <w:rFonts w:asciiTheme="minorHAnsi" w:hAnsiTheme="minorHAnsi" w:eastAsiaTheme="minorEastAsia"/>
        </w:rPr>
      </w:pPr>
      <w:r>
        <w:fldChar w:fldCharType="begin"/>
      </w:r>
      <w:r>
        <w:instrText xml:space="preserve"> HYPERLINK \l "_Toc196728448" </w:instrText>
      </w:r>
      <w:r>
        <w:fldChar w:fldCharType="separate"/>
      </w:r>
      <w:r>
        <w:rPr>
          <w:rStyle w:val="139"/>
          <w:kern w:val="0"/>
          <w14:scene3d w14:prst="orthographicFront">
            <w14:lightRig w14:rig="threePt" w14:dir="t">
              <w14:rot w14:lat="0" w14:lon="0" w14:rev="0"/>
            </w14:lightRig>
          </w14:scene3d>
        </w:rPr>
        <w:t>29.2.6.</w:t>
      </w:r>
      <w:r>
        <w:rPr>
          <w:rStyle w:val="139"/>
        </w:rPr>
        <w:t xml:space="preserve"> 病毒防护策略</w:t>
      </w:r>
      <w:r>
        <w:tab/>
      </w:r>
      <w:r>
        <w:fldChar w:fldCharType="begin"/>
      </w:r>
      <w:r>
        <w:instrText xml:space="preserve"> PAGEREF _Toc196728448 \h </w:instrText>
      </w:r>
      <w:r>
        <w:fldChar w:fldCharType="separate"/>
      </w:r>
      <w:r>
        <w:t>650</w:t>
      </w:r>
      <w:r>
        <w:fldChar w:fldCharType="end"/>
      </w:r>
      <w:r>
        <w:fldChar w:fldCharType="end"/>
      </w:r>
    </w:p>
    <w:p w14:paraId="0DA7FB7A">
      <w:pPr>
        <w:pStyle w:val="70"/>
        <w:tabs>
          <w:tab w:val="right" w:leader="dot" w:pos="8296"/>
        </w:tabs>
        <w:ind w:left="420"/>
        <w:rPr>
          <w:rFonts w:asciiTheme="minorHAnsi" w:hAnsiTheme="minorHAnsi" w:eastAsiaTheme="minorEastAsia"/>
        </w:rPr>
      </w:pPr>
      <w:r>
        <w:fldChar w:fldCharType="begin"/>
      </w:r>
      <w:r>
        <w:instrText xml:space="preserve"> HYPERLINK \l "_Toc196728449" </w:instrText>
      </w:r>
      <w:r>
        <w:fldChar w:fldCharType="separate"/>
      </w:r>
      <w:r>
        <w:rPr>
          <w:rStyle w:val="139"/>
        </w:rPr>
        <w:t>29.3. 安全防护</w:t>
      </w:r>
      <w:r>
        <w:tab/>
      </w:r>
      <w:r>
        <w:fldChar w:fldCharType="begin"/>
      </w:r>
      <w:r>
        <w:instrText xml:space="preserve"> PAGEREF _Toc196728449 \h </w:instrText>
      </w:r>
      <w:r>
        <w:fldChar w:fldCharType="separate"/>
      </w:r>
      <w:r>
        <w:t>651</w:t>
      </w:r>
      <w:r>
        <w:fldChar w:fldCharType="end"/>
      </w:r>
      <w:r>
        <w:fldChar w:fldCharType="end"/>
      </w:r>
    </w:p>
    <w:p w14:paraId="006741E1">
      <w:pPr>
        <w:pStyle w:val="42"/>
        <w:tabs>
          <w:tab w:val="right" w:leader="dot" w:pos="8296"/>
        </w:tabs>
        <w:ind w:left="840"/>
        <w:rPr>
          <w:rFonts w:asciiTheme="minorHAnsi" w:hAnsiTheme="minorHAnsi" w:eastAsiaTheme="minorEastAsia"/>
        </w:rPr>
      </w:pPr>
      <w:r>
        <w:fldChar w:fldCharType="begin"/>
      </w:r>
      <w:r>
        <w:instrText xml:space="preserve"> HYPERLINK \l "_Toc196728450" </w:instrText>
      </w:r>
      <w:r>
        <w:fldChar w:fldCharType="separate"/>
      </w:r>
      <w:r>
        <w:rPr>
          <w:rStyle w:val="139"/>
          <w:kern w:val="0"/>
          <w14:scene3d w14:prst="orthographicFront">
            <w14:lightRig w14:rig="threePt" w14:dir="t">
              <w14:rot w14:lat="0" w14:lon="0" w14:rev="0"/>
            </w14:lightRig>
          </w14:scene3d>
        </w:rPr>
        <w:t>29.3.1.</w:t>
      </w:r>
      <w:r>
        <w:rPr>
          <w:rStyle w:val="139"/>
        </w:rPr>
        <w:t xml:space="preserve"> ARP/ND攻击防护</w:t>
      </w:r>
      <w:r>
        <w:tab/>
      </w:r>
      <w:r>
        <w:fldChar w:fldCharType="begin"/>
      </w:r>
      <w:r>
        <w:instrText xml:space="preserve"> PAGEREF _Toc196728450 \h </w:instrText>
      </w:r>
      <w:r>
        <w:fldChar w:fldCharType="separate"/>
      </w:r>
      <w:r>
        <w:t>651</w:t>
      </w:r>
      <w:r>
        <w:fldChar w:fldCharType="end"/>
      </w:r>
      <w:r>
        <w:fldChar w:fldCharType="end"/>
      </w:r>
    </w:p>
    <w:p w14:paraId="1456FDF4">
      <w:pPr>
        <w:pStyle w:val="42"/>
        <w:tabs>
          <w:tab w:val="right" w:leader="dot" w:pos="8296"/>
        </w:tabs>
        <w:ind w:left="840"/>
        <w:rPr>
          <w:rFonts w:asciiTheme="minorHAnsi" w:hAnsiTheme="minorHAnsi" w:eastAsiaTheme="minorEastAsia"/>
        </w:rPr>
      </w:pPr>
      <w:r>
        <w:fldChar w:fldCharType="begin"/>
      </w:r>
      <w:r>
        <w:instrText xml:space="preserve"> HYPERLINK \l "_Toc196728451" </w:instrText>
      </w:r>
      <w:r>
        <w:fldChar w:fldCharType="separate"/>
      </w:r>
      <w:r>
        <w:rPr>
          <w:rStyle w:val="139"/>
          <w:kern w:val="0"/>
          <w14:scene3d w14:prst="orthographicFront">
            <w14:lightRig w14:rig="threePt" w14:dir="t">
              <w14:rot w14:lat="0" w14:lon="0" w14:rev="0"/>
            </w14:lightRig>
          </w14:scene3d>
        </w:rPr>
        <w:t>29.3.2.</w:t>
      </w:r>
      <w:r>
        <w:rPr>
          <w:rStyle w:val="139"/>
        </w:rPr>
        <w:t xml:space="preserve"> 异常报文攻击防护</w:t>
      </w:r>
      <w:r>
        <w:tab/>
      </w:r>
      <w:r>
        <w:fldChar w:fldCharType="begin"/>
      </w:r>
      <w:r>
        <w:instrText xml:space="preserve"> PAGEREF _Toc196728451 \h </w:instrText>
      </w:r>
      <w:r>
        <w:fldChar w:fldCharType="separate"/>
      </w:r>
      <w:r>
        <w:t>660</w:t>
      </w:r>
      <w:r>
        <w:fldChar w:fldCharType="end"/>
      </w:r>
      <w:r>
        <w:fldChar w:fldCharType="end"/>
      </w:r>
    </w:p>
    <w:p w14:paraId="6859295F">
      <w:pPr>
        <w:pStyle w:val="42"/>
        <w:tabs>
          <w:tab w:val="right" w:leader="dot" w:pos="8296"/>
        </w:tabs>
        <w:ind w:left="840"/>
        <w:rPr>
          <w:rFonts w:asciiTheme="minorHAnsi" w:hAnsiTheme="minorHAnsi" w:eastAsiaTheme="minorEastAsia"/>
        </w:rPr>
      </w:pPr>
      <w:r>
        <w:fldChar w:fldCharType="begin"/>
      </w:r>
      <w:r>
        <w:instrText xml:space="preserve"> HYPERLINK \l "_Toc196728452" </w:instrText>
      </w:r>
      <w:r>
        <w:fldChar w:fldCharType="separate"/>
      </w:r>
      <w:r>
        <w:rPr>
          <w:rStyle w:val="139"/>
          <w:kern w:val="0"/>
          <w14:scene3d w14:prst="orthographicFront">
            <w14:lightRig w14:rig="threePt" w14:dir="t">
              <w14:rot w14:lat="0" w14:lon="0" w14:rev="0"/>
            </w14:lightRig>
          </w14:scene3d>
        </w:rPr>
        <w:t>29.3.3.</w:t>
      </w:r>
      <w:r>
        <w:rPr>
          <w:rStyle w:val="139"/>
        </w:rPr>
        <w:t xml:space="preserve"> IPv6异常报文防护</w:t>
      </w:r>
      <w:r>
        <w:tab/>
      </w:r>
      <w:r>
        <w:fldChar w:fldCharType="begin"/>
      </w:r>
      <w:r>
        <w:instrText xml:space="preserve"> PAGEREF _Toc196728452 \h </w:instrText>
      </w:r>
      <w:r>
        <w:fldChar w:fldCharType="separate"/>
      </w:r>
      <w:r>
        <w:t>662</w:t>
      </w:r>
      <w:r>
        <w:fldChar w:fldCharType="end"/>
      </w:r>
      <w:r>
        <w:fldChar w:fldCharType="end"/>
      </w:r>
    </w:p>
    <w:p w14:paraId="3F94FE68">
      <w:pPr>
        <w:pStyle w:val="42"/>
        <w:tabs>
          <w:tab w:val="right" w:leader="dot" w:pos="8296"/>
        </w:tabs>
        <w:ind w:left="840"/>
        <w:rPr>
          <w:rFonts w:asciiTheme="minorHAnsi" w:hAnsiTheme="minorHAnsi" w:eastAsiaTheme="minorEastAsia"/>
        </w:rPr>
      </w:pPr>
      <w:r>
        <w:fldChar w:fldCharType="begin"/>
      </w:r>
      <w:r>
        <w:instrText xml:space="preserve"> HYPERLINK \l "_Toc196728453" </w:instrText>
      </w:r>
      <w:r>
        <w:fldChar w:fldCharType="separate"/>
      </w:r>
      <w:r>
        <w:rPr>
          <w:rStyle w:val="139"/>
          <w:kern w:val="0"/>
          <w14:scene3d w14:prst="orthographicFront">
            <w14:lightRig w14:rig="threePt" w14:dir="t">
              <w14:rot w14:lat="0" w14:lon="0" w14:rev="0"/>
            </w14:lightRig>
          </w14:scene3d>
        </w:rPr>
        <w:t>29.3.4.</w:t>
      </w:r>
      <w:r>
        <w:rPr>
          <w:rStyle w:val="139"/>
        </w:rPr>
        <w:t xml:space="preserve"> 扫描攻击防护</w:t>
      </w:r>
      <w:r>
        <w:tab/>
      </w:r>
      <w:r>
        <w:fldChar w:fldCharType="begin"/>
      </w:r>
      <w:r>
        <w:instrText xml:space="preserve"> PAGEREF _Toc196728453 \h </w:instrText>
      </w:r>
      <w:r>
        <w:fldChar w:fldCharType="separate"/>
      </w:r>
      <w:r>
        <w:t>663</w:t>
      </w:r>
      <w:r>
        <w:fldChar w:fldCharType="end"/>
      </w:r>
      <w:r>
        <w:fldChar w:fldCharType="end"/>
      </w:r>
    </w:p>
    <w:p w14:paraId="51F0A01D">
      <w:pPr>
        <w:pStyle w:val="42"/>
        <w:tabs>
          <w:tab w:val="right" w:leader="dot" w:pos="8296"/>
        </w:tabs>
        <w:ind w:left="840"/>
        <w:rPr>
          <w:rFonts w:asciiTheme="minorHAnsi" w:hAnsiTheme="minorHAnsi" w:eastAsiaTheme="minorEastAsia"/>
        </w:rPr>
      </w:pPr>
      <w:r>
        <w:fldChar w:fldCharType="begin"/>
      </w:r>
      <w:r>
        <w:instrText xml:space="preserve"> HYPERLINK \l "_Toc196728454" </w:instrText>
      </w:r>
      <w:r>
        <w:fldChar w:fldCharType="separate"/>
      </w:r>
      <w:r>
        <w:rPr>
          <w:rStyle w:val="139"/>
          <w:kern w:val="0"/>
          <w14:scene3d w14:prst="orthographicFront">
            <w14:lightRig w14:rig="threePt" w14:dir="t">
              <w14:rot w14:lat="0" w14:lon="0" w14:rev="0"/>
            </w14:lightRig>
          </w14:scene3d>
        </w:rPr>
        <w:t>29.3.5.</w:t>
      </w:r>
      <w:r>
        <w:rPr>
          <w:rStyle w:val="139"/>
        </w:rPr>
        <w:t xml:space="preserve"> DoS攻击防护</w:t>
      </w:r>
      <w:r>
        <w:tab/>
      </w:r>
      <w:r>
        <w:fldChar w:fldCharType="begin"/>
      </w:r>
      <w:r>
        <w:instrText xml:space="preserve"> PAGEREF _Toc196728454 \h </w:instrText>
      </w:r>
      <w:r>
        <w:fldChar w:fldCharType="separate"/>
      </w:r>
      <w:r>
        <w:t>664</w:t>
      </w:r>
      <w:r>
        <w:fldChar w:fldCharType="end"/>
      </w:r>
      <w:r>
        <w:fldChar w:fldCharType="end"/>
      </w:r>
    </w:p>
    <w:p w14:paraId="173B6B8E">
      <w:pPr>
        <w:pStyle w:val="42"/>
        <w:tabs>
          <w:tab w:val="right" w:leader="dot" w:pos="8296"/>
        </w:tabs>
        <w:ind w:left="840"/>
        <w:rPr>
          <w:rFonts w:asciiTheme="minorHAnsi" w:hAnsiTheme="minorHAnsi" w:eastAsiaTheme="minorEastAsia"/>
        </w:rPr>
      </w:pPr>
      <w:r>
        <w:fldChar w:fldCharType="begin"/>
      </w:r>
      <w:r>
        <w:instrText xml:space="preserve"> HYPERLINK \l "_Toc196728455" </w:instrText>
      </w:r>
      <w:r>
        <w:fldChar w:fldCharType="separate"/>
      </w:r>
      <w:r>
        <w:rPr>
          <w:rStyle w:val="139"/>
          <w:kern w:val="0"/>
          <w14:scene3d w14:prst="orthographicFront">
            <w14:lightRig w14:rig="threePt" w14:dir="t">
              <w14:rot w14:lat="0" w14:lon="0" w14:rev="0"/>
            </w14:lightRig>
          </w14:scene3d>
        </w:rPr>
        <w:t>29.3.6.</w:t>
      </w:r>
      <w:r>
        <w:rPr>
          <w:rStyle w:val="139"/>
        </w:rPr>
        <w:t xml:space="preserve"> IPMAC绑定</w:t>
      </w:r>
      <w:r>
        <w:tab/>
      </w:r>
      <w:r>
        <w:fldChar w:fldCharType="begin"/>
      </w:r>
      <w:r>
        <w:instrText xml:space="preserve"> PAGEREF _Toc196728455 \h </w:instrText>
      </w:r>
      <w:r>
        <w:fldChar w:fldCharType="separate"/>
      </w:r>
      <w:r>
        <w:t>668</w:t>
      </w:r>
      <w:r>
        <w:fldChar w:fldCharType="end"/>
      </w:r>
      <w:r>
        <w:fldChar w:fldCharType="end"/>
      </w:r>
    </w:p>
    <w:p w14:paraId="5D99D318">
      <w:pPr>
        <w:pStyle w:val="42"/>
        <w:tabs>
          <w:tab w:val="right" w:leader="dot" w:pos="8296"/>
        </w:tabs>
        <w:ind w:left="840"/>
        <w:rPr>
          <w:rFonts w:asciiTheme="minorHAnsi" w:hAnsiTheme="minorHAnsi" w:eastAsiaTheme="minorEastAsia"/>
        </w:rPr>
      </w:pPr>
      <w:r>
        <w:fldChar w:fldCharType="begin"/>
      </w:r>
      <w:r>
        <w:instrText xml:space="preserve"> HYPERLINK \l "_Toc196728456" </w:instrText>
      </w:r>
      <w:r>
        <w:fldChar w:fldCharType="separate"/>
      </w:r>
      <w:r>
        <w:rPr>
          <w:rStyle w:val="139"/>
          <w:kern w:val="0"/>
          <w14:scene3d w14:prst="orthographicFront">
            <w14:lightRig w14:rig="threePt" w14:dir="t">
              <w14:rot w14:lat="0" w14:lon="0" w14:rev="0"/>
            </w14:lightRig>
          </w14:scene3d>
        </w:rPr>
        <w:t>29.3.7.</w:t>
      </w:r>
      <w:r>
        <w:rPr>
          <w:rStyle w:val="139"/>
        </w:rPr>
        <w:t xml:space="preserve"> 防暴力破解</w:t>
      </w:r>
      <w:r>
        <w:tab/>
      </w:r>
      <w:r>
        <w:fldChar w:fldCharType="begin"/>
      </w:r>
      <w:r>
        <w:instrText xml:space="preserve"> PAGEREF _Toc196728456 \h </w:instrText>
      </w:r>
      <w:r>
        <w:fldChar w:fldCharType="separate"/>
      </w:r>
      <w:r>
        <w:t>669</w:t>
      </w:r>
      <w:r>
        <w:fldChar w:fldCharType="end"/>
      </w:r>
      <w:r>
        <w:fldChar w:fldCharType="end"/>
      </w:r>
    </w:p>
    <w:p w14:paraId="71441582">
      <w:pPr>
        <w:pStyle w:val="42"/>
        <w:tabs>
          <w:tab w:val="right" w:leader="dot" w:pos="8296"/>
        </w:tabs>
        <w:ind w:left="840"/>
        <w:rPr>
          <w:rFonts w:asciiTheme="minorHAnsi" w:hAnsiTheme="minorHAnsi" w:eastAsiaTheme="minorEastAsia"/>
        </w:rPr>
      </w:pPr>
      <w:r>
        <w:fldChar w:fldCharType="begin"/>
      </w:r>
      <w:r>
        <w:instrText xml:space="preserve"> HYPERLINK \l "_Toc196728457" </w:instrText>
      </w:r>
      <w:r>
        <w:fldChar w:fldCharType="separate"/>
      </w:r>
      <w:r>
        <w:rPr>
          <w:rStyle w:val="139"/>
          <w:kern w:val="0"/>
          <w14:scene3d w14:prst="orthographicFront">
            <w14:lightRig w14:rig="threePt" w14:dir="t">
              <w14:rot w14:lat="0" w14:lon="0" w14:rev="0"/>
            </w14:lightRig>
          </w14:scene3d>
        </w:rPr>
        <w:t>29.3.8.</w:t>
      </w:r>
      <w:r>
        <w:rPr>
          <w:rStyle w:val="139"/>
        </w:rPr>
        <w:t xml:space="preserve"> 弱密码防护</w:t>
      </w:r>
      <w:r>
        <w:tab/>
      </w:r>
      <w:r>
        <w:fldChar w:fldCharType="begin"/>
      </w:r>
      <w:r>
        <w:instrText xml:space="preserve"> PAGEREF _Toc196728457 \h </w:instrText>
      </w:r>
      <w:r>
        <w:fldChar w:fldCharType="separate"/>
      </w:r>
      <w:r>
        <w:t>671</w:t>
      </w:r>
      <w:r>
        <w:fldChar w:fldCharType="end"/>
      </w:r>
      <w:r>
        <w:fldChar w:fldCharType="end"/>
      </w:r>
    </w:p>
    <w:p w14:paraId="5BFA1B9A">
      <w:pPr>
        <w:pStyle w:val="42"/>
        <w:tabs>
          <w:tab w:val="right" w:leader="dot" w:pos="8296"/>
        </w:tabs>
        <w:ind w:left="840"/>
        <w:rPr>
          <w:rFonts w:asciiTheme="minorHAnsi" w:hAnsiTheme="minorHAnsi" w:eastAsiaTheme="minorEastAsia"/>
        </w:rPr>
      </w:pPr>
      <w:r>
        <w:fldChar w:fldCharType="begin"/>
      </w:r>
      <w:r>
        <w:instrText xml:space="preserve"> HYPERLINK \l "_Toc196728458" </w:instrText>
      </w:r>
      <w:r>
        <w:fldChar w:fldCharType="separate"/>
      </w:r>
      <w:r>
        <w:rPr>
          <w:rStyle w:val="139"/>
          <w:kern w:val="0"/>
          <w14:scene3d w14:prst="orthographicFront">
            <w14:lightRig w14:rig="threePt" w14:dir="t">
              <w14:rot w14:lat="0" w14:lon="0" w14:rev="0"/>
            </w14:lightRig>
          </w14:scene3d>
        </w:rPr>
        <w:t>29.3.9.</w:t>
      </w:r>
      <w:r>
        <w:rPr>
          <w:rStyle w:val="139"/>
        </w:rPr>
        <w:t xml:space="preserve"> 非法外联防护</w:t>
      </w:r>
      <w:r>
        <w:tab/>
      </w:r>
      <w:r>
        <w:fldChar w:fldCharType="begin"/>
      </w:r>
      <w:r>
        <w:instrText xml:space="preserve"> PAGEREF _Toc196728458 \h </w:instrText>
      </w:r>
      <w:r>
        <w:fldChar w:fldCharType="separate"/>
      </w:r>
      <w:r>
        <w:t>674</w:t>
      </w:r>
      <w:r>
        <w:fldChar w:fldCharType="end"/>
      </w:r>
      <w:r>
        <w:fldChar w:fldCharType="end"/>
      </w:r>
    </w:p>
    <w:p w14:paraId="2501DB0F">
      <w:pPr>
        <w:pStyle w:val="42"/>
        <w:tabs>
          <w:tab w:val="right" w:leader="dot" w:pos="8296"/>
        </w:tabs>
        <w:ind w:left="840"/>
        <w:rPr>
          <w:rFonts w:asciiTheme="minorHAnsi" w:hAnsiTheme="minorHAnsi" w:eastAsiaTheme="minorEastAsia"/>
        </w:rPr>
      </w:pPr>
      <w:r>
        <w:fldChar w:fldCharType="begin"/>
      </w:r>
      <w:r>
        <w:instrText xml:space="preserve"> HYPERLINK \l "_Toc196728459" </w:instrText>
      </w:r>
      <w:r>
        <w:fldChar w:fldCharType="separate"/>
      </w:r>
      <w:r>
        <w:rPr>
          <w:rStyle w:val="139"/>
          <w:kern w:val="0"/>
          <w14:scene3d w14:prst="orthographicFront">
            <w14:lightRig w14:rig="threePt" w14:dir="t">
              <w14:rot w14:lat="0" w14:lon="0" w14:rev="0"/>
            </w14:lightRig>
          </w14:scene3d>
        </w:rPr>
        <w:t>29.3.10.</w:t>
      </w:r>
      <w:r>
        <w:rPr>
          <w:rStyle w:val="139"/>
        </w:rPr>
        <w:t xml:space="preserve"> 行为模型</w:t>
      </w:r>
      <w:r>
        <w:tab/>
      </w:r>
      <w:r>
        <w:fldChar w:fldCharType="begin"/>
      </w:r>
      <w:r>
        <w:instrText xml:space="preserve"> PAGEREF _Toc196728459 \h </w:instrText>
      </w:r>
      <w:r>
        <w:fldChar w:fldCharType="separate"/>
      </w:r>
      <w:r>
        <w:t>678</w:t>
      </w:r>
      <w:r>
        <w:fldChar w:fldCharType="end"/>
      </w:r>
      <w:r>
        <w:fldChar w:fldCharType="end"/>
      </w:r>
    </w:p>
    <w:p w14:paraId="533D8871">
      <w:pPr>
        <w:pStyle w:val="70"/>
        <w:tabs>
          <w:tab w:val="right" w:leader="dot" w:pos="8296"/>
        </w:tabs>
        <w:ind w:left="420"/>
        <w:rPr>
          <w:rFonts w:asciiTheme="minorHAnsi" w:hAnsiTheme="minorHAnsi" w:eastAsiaTheme="minorEastAsia"/>
        </w:rPr>
      </w:pPr>
      <w:r>
        <w:fldChar w:fldCharType="begin"/>
      </w:r>
      <w:r>
        <w:instrText xml:space="preserve"> HYPERLINK \l "_Toc196728460" </w:instrText>
      </w:r>
      <w:r>
        <w:fldChar w:fldCharType="separate"/>
      </w:r>
      <w:r>
        <w:rPr>
          <w:rStyle w:val="139"/>
        </w:rPr>
        <w:t>29.4. WEB防护</w:t>
      </w:r>
      <w:r>
        <w:tab/>
      </w:r>
      <w:r>
        <w:fldChar w:fldCharType="begin"/>
      </w:r>
      <w:r>
        <w:instrText xml:space="preserve"> PAGEREF _Toc196728460 \h </w:instrText>
      </w:r>
      <w:r>
        <w:fldChar w:fldCharType="separate"/>
      </w:r>
      <w:r>
        <w:t>680</w:t>
      </w:r>
      <w:r>
        <w:fldChar w:fldCharType="end"/>
      </w:r>
      <w:r>
        <w:fldChar w:fldCharType="end"/>
      </w:r>
    </w:p>
    <w:p w14:paraId="7AA84784">
      <w:pPr>
        <w:pStyle w:val="42"/>
        <w:tabs>
          <w:tab w:val="right" w:leader="dot" w:pos="8296"/>
        </w:tabs>
        <w:ind w:left="840"/>
        <w:rPr>
          <w:rFonts w:asciiTheme="minorHAnsi" w:hAnsiTheme="minorHAnsi" w:eastAsiaTheme="minorEastAsia"/>
        </w:rPr>
      </w:pPr>
      <w:r>
        <w:fldChar w:fldCharType="begin"/>
      </w:r>
      <w:r>
        <w:instrText xml:space="preserve"> HYPERLINK \l "_Toc196728461" </w:instrText>
      </w:r>
      <w:r>
        <w:fldChar w:fldCharType="separate"/>
      </w:r>
      <w:r>
        <w:rPr>
          <w:rStyle w:val="139"/>
          <w:kern w:val="0"/>
          <w14:scene3d w14:prst="orthographicFront">
            <w14:lightRig w14:rig="threePt" w14:dir="t">
              <w14:rot w14:lat="0" w14:lon="0" w14:rev="0"/>
            </w14:lightRig>
          </w14:scene3d>
        </w:rPr>
        <w:t>29.4.1.</w:t>
      </w:r>
      <w:r>
        <w:rPr>
          <w:rStyle w:val="139"/>
        </w:rPr>
        <w:t xml:space="preserve"> WEB安全防护简介</w:t>
      </w:r>
      <w:r>
        <w:tab/>
      </w:r>
      <w:r>
        <w:fldChar w:fldCharType="begin"/>
      </w:r>
      <w:r>
        <w:instrText xml:space="preserve"> PAGEREF _Toc196728461 \h </w:instrText>
      </w:r>
      <w:r>
        <w:fldChar w:fldCharType="separate"/>
      </w:r>
      <w:r>
        <w:t>680</w:t>
      </w:r>
      <w:r>
        <w:fldChar w:fldCharType="end"/>
      </w:r>
      <w:r>
        <w:fldChar w:fldCharType="end"/>
      </w:r>
    </w:p>
    <w:p w14:paraId="24CC8572">
      <w:pPr>
        <w:pStyle w:val="42"/>
        <w:tabs>
          <w:tab w:val="right" w:leader="dot" w:pos="8296"/>
        </w:tabs>
        <w:ind w:left="840"/>
        <w:rPr>
          <w:rFonts w:asciiTheme="minorHAnsi" w:hAnsiTheme="minorHAnsi" w:eastAsiaTheme="minorEastAsia"/>
        </w:rPr>
      </w:pPr>
      <w:r>
        <w:fldChar w:fldCharType="begin"/>
      </w:r>
      <w:r>
        <w:instrText xml:space="preserve"> HYPERLINK \l "_Toc196728462" </w:instrText>
      </w:r>
      <w:r>
        <w:fldChar w:fldCharType="separate"/>
      </w:r>
      <w:r>
        <w:rPr>
          <w:rStyle w:val="139"/>
          <w:kern w:val="0"/>
          <w14:scene3d w14:prst="orthographicFront">
            <w14:lightRig w14:rig="threePt" w14:dir="t">
              <w14:rot w14:lat="0" w14:lon="0" w14:rev="0"/>
            </w14:lightRig>
          </w14:scene3d>
        </w:rPr>
        <w:t>29.4.2.</w:t>
      </w:r>
      <w:r>
        <w:rPr>
          <w:rStyle w:val="139"/>
        </w:rPr>
        <w:t xml:space="preserve"> 防护策略配置</w:t>
      </w:r>
      <w:r>
        <w:tab/>
      </w:r>
      <w:r>
        <w:fldChar w:fldCharType="begin"/>
      </w:r>
      <w:r>
        <w:instrText xml:space="preserve"> PAGEREF _Toc196728462 \h </w:instrText>
      </w:r>
      <w:r>
        <w:fldChar w:fldCharType="separate"/>
      </w:r>
      <w:r>
        <w:t>680</w:t>
      </w:r>
      <w:r>
        <w:fldChar w:fldCharType="end"/>
      </w:r>
      <w:r>
        <w:fldChar w:fldCharType="end"/>
      </w:r>
    </w:p>
    <w:p w14:paraId="55282EDE">
      <w:pPr>
        <w:pStyle w:val="42"/>
        <w:tabs>
          <w:tab w:val="right" w:leader="dot" w:pos="8296"/>
        </w:tabs>
        <w:ind w:left="840"/>
        <w:rPr>
          <w:rFonts w:asciiTheme="minorHAnsi" w:hAnsiTheme="minorHAnsi" w:eastAsiaTheme="minorEastAsia"/>
        </w:rPr>
      </w:pPr>
      <w:r>
        <w:fldChar w:fldCharType="begin"/>
      </w:r>
      <w:r>
        <w:instrText xml:space="preserve"> HYPERLINK \l "_Toc196728463" </w:instrText>
      </w:r>
      <w:r>
        <w:fldChar w:fldCharType="separate"/>
      </w:r>
      <w:r>
        <w:rPr>
          <w:rStyle w:val="139"/>
          <w:kern w:val="0"/>
          <w14:scene3d w14:prst="orthographicFront">
            <w14:lightRig w14:rig="threePt" w14:dir="t">
              <w14:rot w14:lat="0" w14:lon="0" w14:rev="0"/>
            </w14:lightRig>
          </w14:scene3d>
        </w:rPr>
        <w:t>29.4.3.</w:t>
      </w:r>
      <w:r>
        <w:rPr>
          <w:rStyle w:val="139"/>
        </w:rPr>
        <w:t xml:space="preserve"> 规则库</w:t>
      </w:r>
      <w:r>
        <w:tab/>
      </w:r>
      <w:r>
        <w:fldChar w:fldCharType="begin"/>
      </w:r>
      <w:r>
        <w:instrText xml:space="preserve"> PAGEREF _Toc196728463 \h </w:instrText>
      </w:r>
      <w:r>
        <w:fldChar w:fldCharType="separate"/>
      </w:r>
      <w:r>
        <w:t>691</w:t>
      </w:r>
      <w:r>
        <w:fldChar w:fldCharType="end"/>
      </w:r>
      <w:r>
        <w:fldChar w:fldCharType="end"/>
      </w:r>
    </w:p>
    <w:p w14:paraId="019AED4B">
      <w:pPr>
        <w:pStyle w:val="42"/>
        <w:tabs>
          <w:tab w:val="right" w:leader="dot" w:pos="8296"/>
        </w:tabs>
        <w:ind w:left="840"/>
        <w:rPr>
          <w:rFonts w:asciiTheme="minorHAnsi" w:hAnsiTheme="minorHAnsi" w:eastAsiaTheme="minorEastAsia"/>
        </w:rPr>
      </w:pPr>
      <w:r>
        <w:fldChar w:fldCharType="begin"/>
      </w:r>
      <w:r>
        <w:instrText xml:space="preserve"> HYPERLINK \l "_Toc196728464" </w:instrText>
      </w:r>
      <w:r>
        <w:fldChar w:fldCharType="separate"/>
      </w:r>
      <w:r>
        <w:rPr>
          <w:rStyle w:val="139"/>
          <w:kern w:val="0"/>
          <w14:scene3d w14:prst="orthographicFront">
            <w14:lightRig w14:rig="threePt" w14:dir="t">
              <w14:rot w14:lat="0" w14:lon="0" w14:rev="0"/>
            </w14:lightRig>
          </w14:scene3d>
        </w:rPr>
        <w:t>29.4.4.</w:t>
      </w:r>
      <w:r>
        <w:rPr>
          <w:rStyle w:val="139"/>
        </w:rPr>
        <w:t xml:space="preserve"> 防篡改网页缓存</w:t>
      </w:r>
      <w:r>
        <w:tab/>
      </w:r>
      <w:r>
        <w:fldChar w:fldCharType="begin"/>
      </w:r>
      <w:r>
        <w:instrText xml:space="preserve"> PAGEREF _Toc196728464 \h </w:instrText>
      </w:r>
      <w:r>
        <w:fldChar w:fldCharType="separate"/>
      </w:r>
      <w:r>
        <w:t>692</w:t>
      </w:r>
      <w:r>
        <w:fldChar w:fldCharType="end"/>
      </w:r>
      <w:r>
        <w:fldChar w:fldCharType="end"/>
      </w:r>
    </w:p>
    <w:p w14:paraId="2F8E0647">
      <w:pPr>
        <w:pStyle w:val="70"/>
        <w:tabs>
          <w:tab w:val="right" w:leader="dot" w:pos="8296"/>
        </w:tabs>
        <w:ind w:left="420"/>
        <w:rPr>
          <w:rFonts w:asciiTheme="minorHAnsi" w:hAnsiTheme="minorHAnsi" w:eastAsiaTheme="minorEastAsia"/>
        </w:rPr>
      </w:pPr>
      <w:r>
        <w:fldChar w:fldCharType="begin"/>
      </w:r>
      <w:r>
        <w:instrText xml:space="preserve"> HYPERLINK \l "_Toc196728465" </w:instrText>
      </w:r>
      <w:r>
        <w:fldChar w:fldCharType="separate"/>
      </w:r>
      <w:r>
        <w:rPr>
          <w:rStyle w:val="139"/>
        </w:rPr>
        <w:t>29.5. 风险扫描</w:t>
      </w:r>
      <w:r>
        <w:tab/>
      </w:r>
      <w:r>
        <w:fldChar w:fldCharType="begin"/>
      </w:r>
      <w:r>
        <w:instrText xml:space="preserve"> PAGEREF _Toc196728465 \h </w:instrText>
      </w:r>
      <w:r>
        <w:fldChar w:fldCharType="separate"/>
      </w:r>
      <w:r>
        <w:t>693</w:t>
      </w:r>
      <w:r>
        <w:fldChar w:fldCharType="end"/>
      </w:r>
      <w:r>
        <w:fldChar w:fldCharType="end"/>
      </w:r>
    </w:p>
    <w:p w14:paraId="769395D3">
      <w:pPr>
        <w:pStyle w:val="42"/>
        <w:tabs>
          <w:tab w:val="right" w:leader="dot" w:pos="8296"/>
        </w:tabs>
        <w:ind w:left="840"/>
        <w:rPr>
          <w:rFonts w:asciiTheme="minorHAnsi" w:hAnsiTheme="minorHAnsi" w:eastAsiaTheme="minorEastAsia"/>
        </w:rPr>
      </w:pPr>
      <w:r>
        <w:fldChar w:fldCharType="begin"/>
      </w:r>
      <w:r>
        <w:instrText xml:space="preserve"> HYPERLINK \l "_Toc196728466" </w:instrText>
      </w:r>
      <w:r>
        <w:fldChar w:fldCharType="separate"/>
      </w:r>
      <w:r>
        <w:rPr>
          <w:rStyle w:val="139"/>
          <w:kern w:val="0"/>
          <w14:scene3d w14:prst="orthographicFront">
            <w14:lightRig w14:rig="threePt" w14:dir="t">
              <w14:rot w14:lat="0" w14:lon="0" w14:rev="0"/>
            </w14:lightRig>
          </w14:scene3d>
        </w:rPr>
        <w:t>29.5.1.</w:t>
      </w:r>
      <w:r>
        <w:rPr>
          <w:rStyle w:val="139"/>
        </w:rPr>
        <w:t xml:space="preserve"> 端口扫描</w:t>
      </w:r>
      <w:r>
        <w:tab/>
      </w:r>
      <w:r>
        <w:fldChar w:fldCharType="begin"/>
      </w:r>
      <w:r>
        <w:instrText xml:space="preserve"> PAGEREF _Toc196728466 \h </w:instrText>
      </w:r>
      <w:r>
        <w:fldChar w:fldCharType="separate"/>
      </w:r>
      <w:r>
        <w:t>693</w:t>
      </w:r>
      <w:r>
        <w:fldChar w:fldCharType="end"/>
      </w:r>
      <w:r>
        <w:fldChar w:fldCharType="end"/>
      </w:r>
    </w:p>
    <w:p w14:paraId="16E7C8A9">
      <w:pPr>
        <w:pStyle w:val="42"/>
        <w:tabs>
          <w:tab w:val="right" w:leader="dot" w:pos="8296"/>
        </w:tabs>
        <w:ind w:left="840"/>
        <w:rPr>
          <w:rFonts w:asciiTheme="minorHAnsi" w:hAnsiTheme="minorHAnsi" w:eastAsiaTheme="minorEastAsia"/>
        </w:rPr>
      </w:pPr>
      <w:r>
        <w:fldChar w:fldCharType="begin"/>
      </w:r>
      <w:r>
        <w:instrText xml:space="preserve"> HYPERLINK \l "_Toc196728467" </w:instrText>
      </w:r>
      <w:r>
        <w:fldChar w:fldCharType="separate"/>
      </w:r>
      <w:r>
        <w:rPr>
          <w:rStyle w:val="139"/>
          <w:kern w:val="0"/>
          <w14:scene3d w14:prst="orthographicFront">
            <w14:lightRig w14:rig="threePt" w14:dir="t">
              <w14:rot w14:lat="0" w14:lon="0" w14:rev="0"/>
            </w14:lightRig>
          </w14:scene3d>
        </w:rPr>
        <w:t>29.5.2.</w:t>
      </w:r>
      <w:r>
        <w:rPr>
          <w:rStyle w:val="139"/>
        </w:rPr>
        <w:t xml:space="preserve"> 弱密码扫描</w:t>
      </w:r>
      <w:r>
        <w:tab/>
      </w:r>
      <w:r>
        <w:fldChar w:fldCharType="begin"/>
      </w:r>
      <w:r>
        <w:instrText xml:space="preserve"> PAGEREF _Toc196728467 \h </w:instrText>
      </w:r>
      <w:r>
        <w:fldChar w:fldCharType="separate"/>
      </w:r>
      <w:r>
        <w:t>695</w:t>
      </w:r>
      <w:r>
        <w:fldChar w:fldCharType="end"/>
      </w:r>
      <w:r>
        <w:fldChar w:fldCharType="end"/>
      </w:r>
    </w:p>
    <w:p w14:paraId="5509C725">
      <w:pPr>
        <w:pStyle w:val="56"/>
        <w:tabs>
          <w:tab w:val="right" w:leader="dot" w:pos="8296"/>
        </w:tabs>
        <w:rPr>
          <w:rFonts w:asciiTheme="minorHAnsi" w:hAnsiTheme="minorHAnsi" w:eastAsiaTheme="minorEastAsia"/>
        </w:rPr>
      </w:pPr>
      <w:r>
        <w:fldChar w:fldCharType="begin"/>
      </w:r>
      <w:r>
        <w:instrText xml:space="preserve"> HYPERLINK \l "_Toc196728468" </w:instrText>
      </w:r>
      <w:r>
        <w:fldChar w:fldCharType="separate"/>
      </w:r>
      <w:r>
        <w:rPr>
          <w:rStyle w:val="139"/>
        </w:rPr>
        <w:t>30. 用户管理</w:t>
      </w:r>
      <w:r>
        <w:tab/>
      </w:r>
      <w:r>
        <w:fldChar w:fldCharType="begin"/>
      </w:r>
      <w:r>
        <w:instrText xml:space="preserve"> PAGEREF _Toc196728468 \h </w:instrText>
      </w:r>
      <w:r>
        <w:fldChar w:fldCharType="separate"/>
      </w:r>
      <w:r>
        <w:t>698</w:t>
      </w:r>
      <w:r>
        <w:fldChar w:fldCharType="end"/>
      </w:r>
      <w:r>
        <w:fldChar w:fldCharType="end"/>
      </w:r>
    </w:p>
    <w:p w14:paraId="7329C8C7">
      <w:pPr>
        <w:pStyle w:val="70"/>
        <w:tabs>
          <w:tab w:val="right" w:leader="dot" w:pos="8296"/>
        </w:tabs>
        <w:ind w:left="420"/>
        <w:rPr>
          <w:rFonts w:asciiTheme="minorHAnsi" w:hAnsiTheme="minorHAnsi" w:eastAsiaTheme="minorEastAsia"/>
        </w:rPr>
      </w:pPr>
      <w:r>
        <w:fldChar w:fldCharType="begin"/>
      </w:r>
      <w:r>
        <w:instrText xml:space="preserve"> HYPERLINK \l "_Toc196728469" </w:instrText>
      </w:r>
      <w:r>
        <w:fldChar w:fldCharType="separate"/>
      </w:r>
      <w:r>
        <w:rPr>
          <w:rStyle w:val="139"/>
        </w:rPr>
        <w:t>30.1. 概述</w:t>
      </w:r>
      <w:r>
        <w:tab/>
      </w:r>
      <w:r>
        <w:fldChar w:fldCharType="begin"/>
      </w:r>
      <w:r>
        <w:instrText xml:space="preserve"> PAGEREF _Toc196728469 \h </w:instrText>
      </w:r>
      <w:r>
        <w:fldChar w:fldCharType="separate"/>
      </w:r>
      <w:r>
        <w:t>698</w:t>
      </w:r>
      <w:r>
        <w:fldChar w:fldCharType="end"/>
      </w:r>
      <w:r>
        <w:fldChar w:fldCharType="end"/>
      </w:r>
    </w:p>
    <w:p w14:paraId="2508818A">
      <w:pPr>
        <w:pStyle w:val="42"/>
        <w:tabs>
          <w:tab w:val="right" w:leader="dot" w:pos="8296"/>
        </w:tabs>
        <w:ind w:left="840"/>
        <w:rPr>
          <w:rFonts w:asciiTheme="minorHAnsi" w:hAnsiTheme="minorHAnsi" w:eastAsiaTheme="minorEastAsia"/>
        </w:rPr>
      </w:pPr>
      <w:r>
        <w:fldChar w:fldCharType="begin"/>
      </w:r>
      <w:r>
        <w:instrText xml:space="preserve"> HYPERLINK \l "_Toc196728470" </w:instrText>
      </w:r>
      <w:r>
        <w:fldChar w:fldCharType="separate"/>
      </w:r>
      <w:r>
        <w:rPr>
          <w:rStyle w:val="139"/>
          <w:kern w:val="0"/>
          <w14:scene3d w14:prst="orthographicFront">
            <w14:lightRig w14:rig="threePt" w14:dir="t">
              <w14:rot w14:lat="0" w14:lon="0" w14:rev="0"/>
            </w14:lightRig>
          </w14:scene3d>
        </w:rPr>
        <w:t>30.1.1.</w:t>
      </w:r>
      <w:r>
        <w:rPr>
          <w:rStyle w:val="139"/>
        </w:rPr>
        <w:t xml:space="preserve"> 用户和用户分类</w:t>
      </w:r>
      <w:r>
        <w:tab/>
      </w:r>
      <w:r>
        <w:fldChar w:fldCharType="begin"/>
      </w:r>
      <w:r>
        <w:instrText xml:space="preserve"> PAGEREF _Toc196728470 \h </w:instrText>
      </w:r>
      <w:r>
        <w:fldChar w:fldCharType="separate"/>
      </w:r>
      <w:r>
        <w:t>698</w:t>
      </w:r>
      <w:r>
        <w:fldChar w:fldCharType="end"/>
      </w:r>
      <w:r>
        <w:fldChar w:fldCharType="end"/>
      </w:r>
    </w:p>
    <w:p w14:paraId="525E5FBA">
      <w:pPr>
        <w:pStyle w:val="42"/>
        <w:tabs>
          <w:tab w:val="right" w:leader="dot" w:pos="8296"/>
        </w:tabs>
        <w:ind w:left="840"/>
        <w:rPr>
          <w:rFonts w:asciiTheme="minorHAnsi" w:hAnsiTheme="minorHAnsi" w:eastAsiaTheme="minorEastAsia"/>
        </w:rPr>
      </w:pPr>
      <w:r>
        <w:fldChar w:fldCharType="begin"/>
      </w:r>
      <w:r>
        <w:instrText xml:space="preserve"> HYPERLINK \l "_Toc196728471" </w:instrText>
      </w:r>
      <w:r>
        <w:fldChar w:fldCharType="separate"/>
      </w:r>
      <w:r>
        <w:rPr>
          <w:rStyle w:val="139"/>
          <w:kern w:val="0"/>
          <w14:scene3d w14:prst="orthographicFront">
            <w14:lightRig w14:rig="threePt" w14:dir="t">
              <w14:rot w14:lat="0" w14:lon="0" w14:rev="0"/>
            </w14:lightRig>
          </w14:scene3d>
        </w:rPr>
        <w:t>30.1.2.</w:t>
      </w:r>
      <w:r>
        <w:rPr>
          <w:rStyle w:val="139"/>
        </w:rPr>
        <w:t xml:space="preserve"> 用户组织结构以及属性组</w:t>
      </w:r>
      <w:r>
        <w:tab/>
      </w:r>
      <w:r>
        <w:fldChar w:fldCharType="begin"/>
      </w:r>
      <w:r>
        <w:instrText xml:space="preserve"> PAGEREF _Toc196728471 \h </w:instrText>
      </w:r>
      <w:r>
        <w:fldChar w:fldCharType="separate"/>
      </w:r>
      <w:r>
        <w:t>698</w:t>
      </w:r>
      <w:r>
        <w:fldChar w:fldCharType="end"/>
      </w:r>
      <w:r>
        <w:fldChar w:fldCharType="end"/>
      </w:r>
    </w:p>
    <w:p w14:paraId="098B3F2F">
      <w:pPr>
        <w:pStyle w:val="70"/>
        <w:tabs>
          <w:tab w:val="right" w:leader="dot" w:pos="8296"/>
        </w:tabs>
        <w:ind w:left="420"/>
        <w:rPr>
          <w:rFonts w:asciiTheme="minorHAnsi" w:hAnsiTheme="minorHAnsi" w:eastAsiaTheme="minorEastAsia"/>
        </w:rPr>
      </w:pPr>
      <w:r>
        <w:fldChar w:fldCharType="begin"/>
      </w:r>
      <w:r>
        <w:instrText xml:space="preserve"> HYPERLINK \l "_Toc196728472" </w:instrText>
      </w:r>
      <w:r>
        <w:fldChar w:fldCharType="separate"/>
      </w:r>
      <w:r>
        <w:rPr>
          <w:rStyle w:val="139"/>
        </w:rPr>
        <w:t>30.2. 用户组织结构</w:t>
      </w:r>
      <w:r>
        <w:tab/>
      </w:r>
      <w:r>
        <w:fldChar w:fldCharType="begin"/>
      </w:r>
      <w:r>
        <w:instrText xml:space="preserve"> PAGEREF _Toc196728472 \h </w:instrText>
      </w:r>
      <w:r>
        <w:fldChar w:fldCharType="separate"/>
      </w:r>
      <w:r>
        <w:t>699</w:t>
      </w:r>
      <w:r>
        <w:fldChar w:fldCharType="end"/>
      </w:r>
      <w:r>
        <w:fldChar w:fldCharType="end"/>
      </w:r>
    </w:p>
    <w:p w14:paraId="3E03B508">
      <w:pPr>
        <w:pStyle w:val="42"/>
        <w:tabs>
          <w:tab w:val="right" w:leader="dot" w:pos="8296"/>
        </w:tabs>
        <w:ind w:left="840"/>
        <w:rPr>
          <w:rFonts w:asciiTheme="minorHAnsi" w:hAnsiTheme="minorHAnsi" w:eastAsiaTheme="minorEastAsia"/>
        </w:rPr>
      </w:pPr>
      <w:r>
        <w:fldChar w:fldCharType="begin"/>
      </w:r>
      <w:r>
        <w:instrText xml:space="preserve"> HYPERLINK \l "_Toc196728473" </w:instrText>
      </w:r>
      <w:r>
        <w:fldChar w:fldCharType="separate"/>
      </w:r>
      <w:r>
        <w:rPr>
          <w:rStyle w:val="139"/>
          <w:kern w:val="0"/>
          <w14:scene3d w14:prst="orthographicFront">
            <w14:lightRig w14:rig="threePt" w14:dir="t">
              <w14:rot w14:lat="0" w14:lon="0" w14:rev="0"/>
            </w14:lightRig>
          </w14:scene3d>
        </w:rPr>
        <w:t>30.2.1.</w:t>
      </w:r>
      <w:r>
        <w:rPr>
          <w:rStyle w:val="139"/>
        </w:rPr>
        <w:t xml:space="preserve"> 配置用户或用户组</w:t>
      </w:r>
      <w:r>
        <w:tab/>
      </w:r>
      <w:r>
        <w:fldChar w:fldCharType="begin"/>
      </w:r>
      <w:r>
        <w:instrText xml:space="preserve"> PAGEREF _Toc196728473 \h </w:instrText>
      </w:r>
      <w:r>
        <w:fldChar w:fldCharType="separate"/>
      </w:r>
      <w:r>
        <w:t>699</w:t>
      </w:r>
      <w:r>
        <w:fldChar w:fldCharType="end"/>
      </w:r>
      <w:r>
        <w:fldChar w:fldCharType="end"/>
      </w:r>
    </w:p>
    <w:p w14:paraId="2F44CE45">
      <w:pPr>
        <w:pStyle w:val="42"/>
        <w:tabs>
          <w:tab w:val="right" w:leader="dot" w:pos="8296"/>
        </w:tabs>
        <w:ind w:left="840"/>
        <w:rPr>
          <w:rFonts w:asciiTheme="minorHAnsi" w:hAnsiTheme="minorHAnsi" w:eastAsiaTheme="minorEastAsia"/>
        </w:rPr>
      </w:pPr>
      <w:r>
        <w:fldChar w:fldCharType="begin"/>
      </w:r>
      <w:r>
        <w:instrText xml:space="preserve"> HYPERLINK \l "_Toc196728474" </w:instrText>
      </w:r>
      <w:r>
        <w:fldChar w:fldCharType="separate"/>
      </w:r>
      <w:r>
        <w:rPr>
          <w:rStyle w:val="139"/>
          <w:kern w:val="0"/>
          <w14:scene3d w14:prst="orthographicFront">
            <w14:lightRig w14:rig="threePt" w14:dir="t">
              <w14:rot w14:lat="0" w14:lon="0" w14:rev="0"/>
            </w14:lightRig>
          </w14:scene3d>
        </w:rPr>
        <w:t>30.2.2.</w:t>
      </w:r>
      <w:r>
        <w:rPr>
          <w:rStyle w:val="139"/>
        </w:rPr>
        <w:t xml:space="preserve"> 新建属性组</w:t>
      </w:r>
      <w:r>
        <w:tab/>
      </w:r>
      <w:r>
        <w:fldChar w:fldCharType="begin"/>
      </w:r>
      <w:r>
        <w:instrText xml:space="preserve"> PAGEREF _Toc196728474 \h </w:instrText>
      </w:r>
      <w:r>
        <w:fldChar w:fldCharType="separate"/>
      </w:r>
      <w:r>
        <w:t>708</w:t>
      </w:r>
      <w:r>
        <w:fldChar w:fldCharType="end"/>
      </w:r>
      <w:r>
        <w:fldChar w:fldCharType="end"/>
      </w:r>
    </w:p>
    <w:p w14:paraId="7DAA0926">
      <w:pPr>
        <w:pStyle w:val="42"/>
        <w:tabs>
          <w:tab w:val="right" w:leader="dot" w:pos="8296"/>
        </w:tabs>
        <w:ind w:left="840"/>
        <w:rPr>
          <w:rFonts w:asciiTheme="minorHAnsi" w:hAnsiTheme="minorHAnsi" w:eastAsiaTheme="minorEastAsia"/>
        </w:rPr>
      </w:pPr>
      <w:r>
        <w:fldChar w:fldCharType="begin"/>
      </w:r>
      <w:r>
        <w:instrText xml:space="preserve"> HYPERLINK \l "_Toc196728475" </w:instrText>
      </w:r>
      <w:r>
        <w:fldChar w:fldCharType="separate"/>
      </w:r>
      <w:r>
        <w:rPr>
          <w:rStyle w:val="139"/>
          <w:kern w:val="0"/>
          <w14:scene3d w14:prst="orthographicFront">
            <w14:lightRig w14:rig="threePt" w14:dir="t">
              <w14:rot w14:lat="0" w14:lon="0" w14:rev="0"/>
            </w14:lightRig>
          </w14:scene3d>
        </w:rPr>
        <w:t>30.2.3.</w:t>
      </w:r>
      <w:r>
        <w:rPr>
          <w:rStyle w:val="139"/>
        </w:rPr>
        <w:t xml:space="preserve"> 导入或导出属性组</w:t>
      </w:r>
      <w:r>
        <w:tab/>
      </w:r>
      <w:r>
        <w:fldChar w:fldCharType="begin"/>
      </w:r>
      <w:r>
        <w:instrText xml:space="preserve"> PAGEREF _Toc196728475 \h </w:instrText>
      </w:r>
      <w:r>
        <w:fldChar w:fldCharType="separate"/>
      </w:r>
      <w:r>
        <w:t>709</w:t>
      </w:r>
      <w:r>
        <w:fldChar w:fldCharType="end"/>
      </w:r>
      <w:r>
        <w:fldChar w:fldCharType="end"/>
      </w:r>
    </w:p>
    <w:p w14:paraId="7F2E0012">
      <w:pPr>
        <w:pStyle w:val="42"/>
        <w:tabs>
          <w:tab w:val="right" w:leader="dot" w:pos="8296"/>
        </w:tabs>
        <w:ind w:left="840"/>
        <w:rPr>
          <w:rFonts w:asciiTheme="minorHAnsi" w:hAnsiTheme="minorHAnsi" w:eastAsiaTheme="minorEastAsia"/>
        </w:rPr>
      </w:pPr>
      <w:r>
        <w:fldChar w:fldCharType="begin"/>
      </w:r>
      <w:r>
        <w:instrText xml:space="preserve"> HYPERLINK \l "_Toc196728476" </w:instrText>
      </w:r>
      <w:r>
        <w:fldChar w:fldCharType="separate"/>
      </w:r>
      <w:r>
        <w:rPr>
          <w:rStyle w:val="139"/>
          <w:kern w:val="0"/>
          <w14:scene3d w14:prst="orthographicFront">
            <w14:lightRig w14:rig="threePt" w14:dir="t">
              <w14:rot w14:lat="0" w14:lon="0" w14:rev="0"/>
            </w14:lightRig>
          </w14:scene3d>
        </w:rPr>
        <w:t>30.2.4.</w:t>
      </w:r>
      <w:r>
        <w:rPr>
          <w:rStyle w:val="139"/>
        </w:rPr>
        <w:t xml:space="preserve"> 查看域用户结构</w:t>
      </w:r>
      <w:r>
        <w:tab/>
      </w:r>
      <w:r>
        <w:fldChar w:fldCharType="begin"/>
      </w:r>
      <w:r>
        <w:instrText xml:space="preserve"> PAGEREF _Toc196728476 \h </w:instrText>
      </w:r>
      <w:r>
        <w:fldChar w:fldCharType="separate"/>
      </w:r>
      <w:r>
        <w:t>711</w:t>
      </w:r>
      <w:r>
        <w:fldChar w:fldCharType="end"/>
      </w:r>
      <w:r>
        <w:fldChar w:fldCharType="end"/>
      </w:r>
    </w:p>
    <w:p w14:paraId="22C5A9C1">
      <w:pPr>
        <w:pStyle w:val="70"/>
        <w:tabs>
          <w:tab w:val="right" w:leader="dot" w:pos="8296"/>
        </w:tabs>
        <w:ind w:left="420"/>
        <w:rPr>
          <w:rFonts w:asciiTheme="minorHAnsi" w:hAnsiTheme="minorHAnsi" w:eastAsiaTheme="minorEastAsia"/>
        </w:rPr>
      </w:pPr>
      <w:r>
        <w:fldChar w:fldCharType="begin"/>
      </w:r>
      <w:r>
        <w:instrText xml:space="preserve"> HYPERLINK \l "_Toc196728477" </w:instrText>
      </w:r>
      <w:r>
        <w:fldChar w:fldCharType="separate"/>
      </w:r>
      <w:r>
        <w:rPr>
          <w:rStyle w:val="139"/>
        </w:rPr>
        <w:t>30.3. 用户同步</w:t>
      </w:r>
      <w:r>
        <w:tab/>
      </w:r>
      <w:r>
        <w:fldChar w:fldCharType="begin"/>
      </w:r>
      <w:r>
        <w:instrText xml:space="preserve"> PAGEREF _Toc196728477 \h </w:instrText>
      </w:r>
      <w:r>
        <w:fldChar w:fldCharType="separate"/>
      </w:r>
      <w:r>
        <w:t>712</w:t>
      </w:r>
      <w:r>
        <w:fldChar w:fldCharType="end"/>
      </w:r>
      <w:r>
        <w:fldChar w:fldCharType="end"/>
      </w:r>
    </w:p>
    <w:p w14:paraId="140E044B">
      <w:pPr>
        <w:pStyle w:val="42"/>
        <w:tabs>
          <w:tab w:val="right" w:leader="dot" w:pos="8296"/>
        </w:tabs>
        <w:ind w:left="840"/>
        <w:rPr>
          <w:rFonts w:asciiTheme="minorHAnsi" w:hAnsiTheme="minorHAnsi" w:eastAsiaTheme="minorEastAsia"/>
        </w:rPr>
      </w:pPr>
      <w:r>
        <w:fldChar w:fldCharType="begin"/>
      </w:r>
      <w:r>
        <w:instrText xml:space="preserve"> HYPERLINK \l "_Toc196728478" </w:instrText>
      </w:r>
      <w:r>
        <w:fldChar w:fldCharType="separate"/>
      </w:r>
      <w:r>
        <w:rPr>
          <w:rStyle w:val="139"/>
          <w:kern w:val="0"/>
          <w14:scene3d w14:prst="orthographicFront">
            <w14:lightRig w14:rig="threePt" w14:dir="t">
              <w14:rot w14:lat="0" w14:lon="0" w14:rev="0"/>
            </w14:lightRig>
          </w14:scene3d>
        </w:rPr>
        <w:t>30.3.1.</w:t>
      </w:r>
      <w:r>
        <w:rPr>
          <w:rStyle w:val="139"/>
        </w:rPr>
        <w:t xml:space="preserve"> 概述</w:t>
      </w:r>
      <w:r>
        <w:tab/>
      </w:r>
      <w:r>
        <w:fldChar w:fldCharType="begin"/>
      </w:r>
      <w:r>
        <w:instrText xml:space="preserve"> PAGEREF _Toc196728478 \h </w:instrText>
      </w:r>
      <w:r>
        <w:fldChar w:fldCharType="separate"/>
      </w:r>
      <w:r>
        <w:t>712</w:t>
      </w:r>
      <w:r>
        <w:fldChar w:fldCharType="end"/>
      </w:r>
      <w:r>
        <w:fldChar w:fldCharType="end"/>
      </w:r>
    </w:p>
    <w:p w14:paraId="78C7670B">
      <w:pPr>
        <w:pStyle w:val="42"/>
        <w:tabs>
          <w:tab w:val="right" w:leader="dot" w:pos="8296"/>
        </w:tabs>
        <w:ind w:left="840"/>
        <w:rPr>
          <w:rFonts w:asciiTheme="minorHAnsi" w:hAnsiTheme="minorHAnsi" w:eastAsiaTheme="minorEastAsia"/>
        </w:rPr>
      </w:pPr>
      <w:r>
        <w:fldChar w:fldCharType="begin"/>
      </w:r>
      <w:r>
        <w:instrText xml:space="preserve"> HYPERLINK \l "_Toc196728479" </w:instrText>
      </w:r>
      <w:r>
        <w:fldChar w:fldCharType="separate"/>
      </w:r>
      <w:r>
        <w:rPr>
          <w:rStyle w:val="139"/>
          <w:kern w:val="0"/>
          <w14:scene3d w14:prst="orthographicFront">
            <w14:lightRig w14:rig="threePt" w14:dir="t">
              <w14:rot w14:lat="0" w14:lon="0" w14:rev="0"/>
            </w14:lightRig>
          </w14:scene3d>
        </w:rPr>
        <w:t>30.3.2.</w:t>
      </w:r>
      <w:r>
        <w:rPr>
          <w:rStyle w:val="139"/>
        </w:rPr>
        <w:t xml:space="preserve"> 原理描述</w:t>
      </w:r>
      <w:r>
        <w:tab/>
      </w:r>
      <w:r>
        <w:fldChar w:fldCharType="begin"/>
      </w:r>
      <w:r>
        <w:instrText xml:space="preserve"> PAGEREF _Toc196728479 \h </w:instrText>
      </w:r>
      <w:r>
        <w:fldChar w:fldCharType="separate"/>
      </w:r>
      <w:r>
        <w:t>712</w:t>
      </w:r>
      <w:r>
        <w:fldChar w:fldCharType="end"/>
      </w:r>
      <w:r>
        <w:fldChar w:fldCharType="end"/>
      </w:r>
    </w:p>
    <w:p w14:paraId="14C8FADF">
      <w:pPr>
        <w:pStyle w:val="42"/>
        <w:tabs>
          <w:tab w:val="right" w:leader="dot" w:pos="8296"/>
        </w:tabs>
        <w:ind w:left="840"/>
        <w:rPr>
          <w:rFonts w:asciiTheme="minorHAnsi" w:hAnsiTheme="minorHAnsi" w:eastAsiaTheme="minorEastAsia"/>
        </w:rPr>
      </w:pPr>
      <w:r>
        <w:fldChar w:fldCharType="begin"/>
      </w:r>
      <w:r>
        <w:instrText xml:space="preserve"> HYPERLINK \l "_Toc196728480" </w:instrText>
      </w:r>
      <w:r>
        <w:fldChar w:fldCharType="separate"/>
      </w:r>
      <w:r>
        <w:rPr>
          <w:rStyle w:val="139"/>
          <w:kern w:val="0"/>
          <w14:scene3d w14:prst="orthographicFront">
            <w14:lightRig w14:rig="threePt" w14:dir="t">
              <w14:rot w14:lat="0" w14:lon="0" w14:rev="0"/>
            </w14:lightRig>
          </w14:scene3d>
        </w:rPr>
        <w:t>30.3.3.</w:t>
      </w:r>
      <w:r>
        <w:rPr>
          <w:rStyle w:val="139"/>
        </w:rPr>
        <w:t xml:space="preserve"> 用户同步流程</w:t>
      </w:r>
      <w:r>
        <w:tab/>
      </w:r>
      <w:r>
        <w:fldChar w:fldCharType="begin"/>
      </w:r>
      <w:r>
        <w:instrText xml:space="preserve"> PAGEREF _Toc196728480 \h </w:instrText>
      </w:r>
      <w:r>
        <w:fldChar w:fldCharType="separate"/>
      </w:r>
      <w:r>
        <w:t>713</w:t>
      </w:r>
      <w:r>
        <w:fldChar w:fldCharType="end"/>
      </w:r>
      <w:r>
        <w:fldChar w:fldCharType="end"/>
      </w:r>
    </w:p>
    <w:p w14:paraId="7D4D09CF">
      <w:pPr>
        <w:pStyle w:val="42"/>
        <w:tabs>
          <w:tab w:val="right" w:leader="dot" w:pos="8296"/>
        </w:tabs>
        <w:ind w:left="840"/>
        <w:rPr>
          <w:rFonts w:asciiTheme="minorHAnsi" w:hAnsiTheme="minorHAnsi" w:eastAsiaTheme="minorEastAsia"/>
        </w:rPr>
      </w:pPr>
      <w:r>
        <w:fldChar w:fldCharType="begin"/>
      </w:r>
      <w:r>
        <w:instrText xml:space="preserve"> HYPERLINK \l "_Toc196728481" </w:instrText>
      </w:r>
      <w:r>
        <w:fldChar w:fldCharType="separate"/>
      </w:r>
      <w:r>
        <w:rPr>
          <w:rStyle w:val="139"/>
          <w:kern w:val="0"/>
          <w14:scene3d w14:prst="orthographicFront">
            <w14:lightRig w14:rig="threePt" w14:dir="t">
              <w14:rot w14:lat="0" w14:lon="0" w14:rev="0"/>
            </w14:lightRig>
          </w14:scene3d>
        </w:rPr>
        <w:t>30.3.4.</w:t>
      </w:r>
      <w:r>
        <w:rPr>
          <w:rStyle w:val="139"/>
        </w:rPr>
        <w:t xml:space="preserve"> 配置用户同步</w:t>
      </w:r>
      <w:r>
        <w:tab/>
      </w:r>
      <w:r>
        <w:fldChar w:fldCharType="begin"/>
      </w:r>
      <w:r>
        <w:instrText xml:space="preserve"> PAGEREF _Toc196728481 \h </w:instrText>
      </w:r>
      <w:r>
        <w:fldChar w:fldCharType="separate"/>
      </w:r>
      <w:r>
        <w:t>714</w:t>
      </w:r>
      <w:r>
        <w:fldChar w:fldCharType="end"/>
      </w:r>
      <w:r>
        <w:fldChar w:fldCharType="end"/>
      </w:r>
    </w:p>
    <w:p w14:paraId="0F7E5160">
      <w:pPr>
        <w:pStyle w:val="70"/>
        <w:tabs>
          <w:tab w:val="right" w:leader="dot" w:pos="8296"/>
        </w:tabs>
        <w:ind w:left="420"/>
        <w:rPr>
          <w:rFonts w:asciiTheme="minorHAnsi" w:hAnsiTheme="minorHAnsi" w:eastAsiaTheme="minorEastAsia"/>
        </w:rPr>
      </w:pPr>
      <w:r>
        <w:fldChar w:fldCharType="begin"/>
      </w:r>
      <w:r>
        <w:instrText xml:space="preserve"> HYPERLINK \l "_Toc196728482" </w:instrText>
      </w:r>
      <w:r>
        <w:fldChar w:fldCharType="separate"/>
      </w:r>
      <w:r>
        <w:rPr>
          <w:rStyle w:val="139"/>
        </w:rPr>
        <w:t>30.4. IP-MAC绑定</w:t>
      </w:r>
      <w:r>
        <w:tab/>
      </w:r>
      <w:r>
        <w:fldChar w:fldCharType="begin"/>
      </w:r>
      <w:r>
        <w:instrText xml:space="preserve"> PAGEREF _Toc196728482 \h </w:instrText>
      </w:r>
      <w:r>
        <w:fldChar w:fldCharType="separate"/>
      </w:r>
      <w:r>
        <w:t>721</w:t>
      </w:r>
      <w:r>
        <w:fldChar w:fldCharType="end"/>
      </w:r>
      <w:r>
        <w:fldChar w:fldCharType="end"/>
      </w:r>
    </w:p>
    <w:p w14:paraId="7C04770F">
      <w:pPr>
        <w:pStyle w:val="70"/>
        <w:tabs>
          <w:tab w:val="right" w:leader="dot" w:pos="8296"/>
        </w:tabs>
        <w:ind w:left="420"/>
        <w:rPr>
          <w:rFonts w:asciiTheme="minorHAnsi" w:hAnsiTheme="minorHAnsi" w:eastAsiaTheme="minorEastAsia"/>
        </w:rPr>
      </w:pPr>
      <w:r>
        <w:fldChar w:fldCharType="begin"/>
      </w:r>
      <w:r>
        <w:instrText xml:space="preserve"> HYPERLINK \l "_Toc196728483" </w:instrText>
      </w:r>
      <w:r>
        <w:fldChar w:fldCharType="separate"/>
      </w:r>
      <w:r>
        <w:rPr>
          <w:rStyle w:val="139"/>
        </w:rPr>
        <w:t>30.5. 高级选项</w:t>
      </w:r>
      <w:r>
        <w:tab/>
      </w:r>
      <w:r>
        <w:fldChar w:fldCharType="begin"/>
      </w:r>
      <w:r>
        <w:instrText xml:space="preserve"> PAGEREF _Toc196728483 \h </w:instrText>
      </w:r>
      <w:r>
        <w:fldChar w:fldCharType="separate"/>
      </w:r>
      <w:r>
        <w:t>722</w:t>
      </w:r>
      <w:r>
        <w:fldChar w:fldCharType="end"/>
      </w:r>
      <w:r>
        <w:fldChar w:fldCharType="end"/>
      </w:r>
    </w:p>
    <w:p w14:paraId="52587A93">
      <w:pPr>
        <w:pStyle w:val="42"/>
        <w:tabs>
          <w:tab w:val="right" w:leader="dot" w:pos="8296"/>
        </w:tabs>
        <w:ind w:left="840"/>
        <w:rPr>
          <w:rFonts w:asciiTheme="minorHAnsi" w:hAnsiTheme="minorHAnsi" w:eastAsiaTheme="minorEastAsia"/>
        </w:rPr>
      </w:pPr>
      <w:r>
        <w:fldChar w:fldCharType="begin"/>
      </w:r>
      <w:r>
        <w:instrText xml:space="preserve"> HYPERLINK \l "_Toc196728484" </w:instrText>
      </w:r>
      <w:r>
        <w:fldChar w:fldCharType="separate"/>
      </w:r>
      <w:r>
        <w:rPr>
          <w:rStyle w:val="139"/>
          <w:kern w:val="0"/>
          <w14:scene3d w14:prst="orthographicFront">
            <w14:lightRig w14:rig="threePt" w14:dir="t">
              <w14:rot w14:lat="0" w14:lon="0" w14:rev="0"/>
            </w14:lightRig>
          </w14:scene3d>
        </w:rPr>
        <w:t>30.5.1.</w:t>
      </w:r>
      <w:r>
        <w:rPr>
          <w:rStyle w:val="139"/>
        </w:rPr>
        <w:t xml:space="preserve"> 自定义属性</w:t>
      </w:r>
      <w:r>
        <w:tab/>
      </w:r>
      <w:r>
        <w:fldChar w:fldCharType="begin"/>
      </w:r>
      <w:r>
        <w:instrText xml:space="preserve"> PAGEREF _Toc196728484 \h </w:instrText>
      </w:r>
      <w:r>
        <w:fldChar w:fldCharType="separate"/>
      </w:r>
      <w:r>
        <w:t>722</w:t>
      </w:r>
      <w:r>
        <w:fldChar w:fldCharType="end"/>
      </w:r>
      <w:r>
        <w:fldChar w:fldCharType="end"/>
      </w:r>
    </w:p>
    <w:p w14:paraId="27634A9F">
      <w:pPr>
        <w:pStyle w:val="42"/>
        <w:tabs>
          <w:tab w:val="right" w:leader="dot" w:pos="8296"/>
        </w:tabs>
        <w:ind w:left="840"/>
        <w:rPr>
          <w:rFonts w:asciiTheme="minorHAnsi" w:hAnsiTheme="minorHAnsi" w:eastAsiaTheme="minorEastAsia"/>
        </w:rPr>
      </w:pPr>
      <w:r>
        <w:fldChar w:fldCharType="begin"/>
      </w:r>
      <w:r>
        <w:instrText xml:space="preserve"> HYPERLINK \l "_Toc196728485" </w:instrText>
      </w:r>
      <w:r>
        <w:fldChar w:fldCharType="separate"/>
      </w:r>
      <w:r>
        <w:rPr>
          <w:rStyle w:val="139"/>
          <w:kern w:val="0"/>
          <w14:scene3d w14:prst="orthographicFront">
            <w14:lightRig w14:rig="threePt" w14:dir="t">
              <w14:rot w14:lat="0" w14:lon="0" w14:rev="0"/>
            </w14:lightRig>
          </w14:scene3d>
        </w:rPr>
        <w:t>30.5.2.</w:t>
      </w:r>
      <w:r>
        <w:rPr>
          <w:rStyle w:val="139"/>
        </w:rPr>
        <w:t xml:space="preserve"> 用户密码设置</w:t>
      </w:r>
      <w:r>
        <w:tab/>
      </w:r>
      <w:r>
        <w:fldChar w:fldCharType="begin"/>
      </w:r>
      <w:r>
        <w:instrText xml:space="preserve"> PAGEREF _Toc196728485 \h </w:instrText>
      </w:r>
      <w:r>
        <w:fldChar w:fldCharType="separate"/>
      </w:r>
      <w:r>
        <w:t>723</w:t>
      </w:r>
      <w:r>
        <w:fldChar w:fldCharType="end"/>
      </w:r>
      <w:r>
        <w:fldChar w:fldCharType="end"/>
      </w:r>
    </w:p>
    <w:p w14:paraId="27327AD9">
      <w:pPr>
        <w:pStyle w:val="56"/>
        <w:tabs>
          <w:tab w:val="right" w:leader="dot" w:pos="8296"/>
        </w:tabs>
        <w:rPr>
          <w:rFonts w:asciiTheme="minorHAnsi" w:hAnsiTheme="minorHAnsi" w:eastAsiaTheme="minorEastAsia"/>
        </w:rPr>
      </w:pPr>
      <w:r>
        <w:fldChar w:fldCharType="begin"/>
      </w:r>
      <w:r>
        <w:instrText xml:space="preserve"> HYPERLINK \l "_Toc196728486" </w:instrText>
      </w:r>
      <w:r>
        <w:fldChar w:fldCharType="separate"/>
      </w:r>
      <w:r>
        <w:rPr>
          <w:rStyle w:val="139"/>
        </w:rPr>
        <w:t>31. 认证管理</w:t>
      </w:r>
      <w:r>
        <w:tab/>
      </w:r>
      <w:r>
        <w:fldChar w:fldCharType="begin"/>
      </w:r>
      <w:r>
        <w:instrText xml:space="preserve"> PAGEREF _Toc196728486 \h </w:instrText>
      </w:r>
      <w:r>
        <w:fldChar w:fldCharType="separate"/>
      </w:r>
      <w:r>
        <w:t>726</w:t>
      </w:r>
      <w:r>
        <w:fldChar w:fldCharType="end"/>
      </w:r>
      <w:r>
        <w:fldChar w:fldCharType="end"/>
      </w:r>
    </w:p>
    <w:p w14:paraId="569F9C70">
      <w:pPr>
        <w:pStyle w:val="70"/>
        <w:tabs>
          <w:tab w:val="right" w:leader="dot" w:pos="8296"/>
        </w:tabs>
        <w:ind w:left="420"/>
        <w:rPr>
          <w:rFonts w:asciiTheme="minorHAnsi" w:hAnsiTheme="minorHAnsi" w:eastAsiaTheme="minorEastAsia"/>
        </w:rPr>
      </w:pPr>
      <w:r>
        <w:fldChar w:fldCharType="begin"/>
      </w:r>
      <w:r>
        <w:instrText xml:space="preserve"> HYPERLINK \l "_Toc196728487" </w:instrText>
      </w:r>
      <w:r>
        <w:fldChar w:fldCharType="separate"/>
      </w:r>
      <w:r>
        <w:rPr>
          <w:rStyle w:val="139"/>
        </w:rPr>
        <w:t>31.1. 配置概述</w:t>
      </w:r>
      <w:r>
        <w:tab/>
      </w:r>
      <w:r>
        <w:fldChar w:fldCharType="begin"/>
      </w:r>
      <w:r>
        <w:instrText xml:space="preserve"> PAGEREF _Toc196728487 \h </w:instrText>
      </w:r>
      <w:r>
        <w:fldChar w:fldCharType="separate"/>
      </w:r>
      <w:r>
        <w:t>726</w:t>
      </w:r>
      <w:r>
        <w:fldChar w:fldCharType="end"/>
      </w:r>
      <w:r>
        <w:fldChar w:fldCharType="end"/>
      </w:r>
    </w:p>
    <w:p w14:paraId="44416B13">
      <w:pPr>
        <w:pStyle w:val="70"/>
        <w:tabs>
          <w:tab w:val="right" w:leader="dot" w:pos="8296"/>
        </w:tabs>
        <w:ind w:left="420"/>
        <w:rPr>
          <w:rFonts w:asciiTheme="minorHAnsi" w:hAnsiTheme="minorHAnsi" w:eastAsiaTheme="minorEastAsia"/>
        </w:rPr>
      </w:pPr>
      <w:r>
        <w:fldChar w:fldCharType="begin"/>
      </w:r>
      <w:r>
        <w:instrText xml:space="preserve"> HYPERLINK \l "_Toc196728488" </w:instrText>
      </w:r>
      <w:r>
        <w:fldChar w:fldCharType="separate"/>
      </w:r>
      <w:r>
        <w:rPr>
          <w:rStyle w:val="139"/>
        </w:rPr>
        <w:t>31.2. 认证策略</w:t>
      </w:r>
      <w:r>
        <w:tab/>
      </w:r>
      <w:r>
        <w:fldChar w:fldCharType="begin"/>
      </w:r>
      <w:r>
        <w:instrText xml:space="preserve"> PAGEREF _Toc196728488 \h </w:instrText>
      </w:r>
      <w:r>
        <w:fldChar w:fldCharType="separate"/>
      </w:r>
      <w:r>
        <w:t>726</w:t>
      </w:r>
      <w:r>
        <w:fldChar w:fldCharType="end"/>
      </w:r>
      <w:r>
        <w:fldChar w:fldCharType="end"/>
      </w:r>
    </w:p>
    <w:p w14:paraId="1CB59172">
      <w:pPr>
        <w:pStyle w:val="42"/>
        <w:tabs>
          <w:tab w:val="right" w:leader="dot" w:pos="8296"/>
        </w:tabs>
        <w:ind w:left="840"/>
        <w:rPr>
          <w:rFonts w:asciiTheme="minorHAnsi" w:hAnsiTheme="minorHAnsi" w:eastAsiaTheme="minorEastAsia"/>
        </w:rPr>
      </w:pPr>
      <w:r>
        <w:fldChar w:fldCharType="begin"/>
      </w:r>
      <w:r>
        <w:instrText xml:space="preserve"> HYPERLINK \l "_Toc196728489" </w:instrText>
      </w:r>
      <w:r>
        <w:fldChar w:fldCharType="separate"/>
      </w:r>
      <w:r>
        <w:rPr>
          <w:rStyle w:val="139"/>
          <w:kern w:val="0"/>
          <w14:scene3d w14:prst="orthographicFront">
            <w14:lightRig w14:rig="threePt" w14:dir="t">
              <w14:rot w14:lat="0" w14:lon="0" w14:rev="0"/>
            </w14:lightRig>
          </w14:scene3d>
        </w:rPr>
        <w:t>31.2.1.</w:t>
      </w:r>
      <w:r>
        <w:rPr>
          <w:rStyle w:val="139"/>
        </w:rPr>
        <w:t xml:space="preserve"> 认证策略概述</w:t>
      </w:r>
      <w:r>
        <w:tab/>
      </w:r>
      <w:r>
        <w:fldChar w:fldCharType="begin"/>
      </w:r>
      <w:r>
        <w:instrText xml:space="preserve"> PAGEREF _Toc196728489 \h </w:instrText>
      </w:r>
      <w:r>
        <w:fldChar w:fldCharType="separate"/>
      </w:r>
      <w:r>
        <w:t>726</w:t>
      </w:r>
      <w:r>
        <w:fldChar w:fldCharType="end"/>
      </w:r>
      <w:r>
        <w:fldChar w:fldCharType="end"/>
      </w:r>
    </w:p>
    <w:p w14:paraId="7C997836">
      <w:pPr>
        <w:pStyle w:val="42"/>
        <w:tabs>
          <w:tab w:val="right" w:leader="dot" w:pos="8296"/>
        </w:tabs>
        <w:ind w:left="840"/>
        <w:rPr>
          <w:rFonts w:asciiTheme="minorHAnsi" w:hAnsiTheme="minorHAnsi" w:eastAsiaTheme="minorEastAsia"/>
        </w:rPr>
      </w:pPr>
      <w:r>
        <w:fldChar w:fldCharType="begin"/>
      </w:r>
      <w:r>
        <w:instrText xml:space="preserve"> HYPERLINK \l "_Toc196728490" </w:instrText>
      </w:r>
      <w:r>
        <w:fldChar w:fldCharType="separate"/>
      </w:r>
      <w:r>
        <w:rPr>
          <w:rStyle w:val="139"/>
          <w:kern w:val="0"/>
          <w14:scene3d w14:prst="orthographicFront">
            <w14:lightRig w14:rig="threePt" w14:dir="t">
              <w14:rot w14:lat="0" w14:lon="0" w14:rev="0"/>
            </w14:lightRig>
          </w14:scene3d>
        </w:rPr>
        <w:t>31.2.2.</w:t>
      </w:r>
      <w:r>
        <w:rPr>
          <w:rStyle w:val="139"/>
        </w:rPr>
        <w:t xml:space="preserve"> 配置认证策略</w:t>
      </w:r>
      <w:r>
        <w:tab/>
      </w:r>
      <w:r>
        <w:fldChar w:fldCharType="begin"/>
      </w:r>
      <w:r>
        <w:instrText xml:space="preserve"> PAGEREF _Toc196728490 \h </w:instrText>
      </w:r>
      <w:r>
        <w:fldChar w:fldCharType="separate"/>
      </w:r>
      <w:r>
        <w:t>727</w:t>
      </w:r>
      <w:r>
        <w:fldChar w:fldCharType="end"/>
      </w:r>
      <w:r>
        <w:fldChar w:fldCharType="end"/>
      </w:r>
    </w:p>
    <w:p w14:paraId="26A5997E">
      <w:pPr>
        <w:pStyle w:val="42"/>
        <w:tabs>
          <w:tab w:val="right" w:leader="dot" w:pos="8296"/>
        </w:tabs>
        <w:ind w:left="840"/>
        <w:rPr>
          <w:rFonts w:asciiTheme="minorHAnsi" w:hAnsiTheme="minorHAnsi" w:eastAsiaTheme="minorEastAsia"/>
        </w:rPr>
      </w:pPr>
      <w:r>
        <w:fldChar w:fldCharType="begin"/>
      </w:r>
      <w:r>
        <w:instrText xml:space="preserve"> HYPERLINK \l "_Toc196728491" </w:instrText>
      </w:r>
      <w:r>
        <w:fldChar w:fldCharType="separate"/>
      </w:r>
      <w:r>
        <w:rPr>
          <w:rStyle w:val="139"/>
          <w:kern w:val="0"/>
          <w14:scene3d w14:prst="orthographicFront">
            <w14:lightRig w14:rig="threePt" w14:dir="t">
              <w14:rot w14:lat="0" w14:lon="0" w14:rev="0"/>
            </w14:lightRig>
          </w14:scene3d>
        </w:rPr>
        <w:t>31.2.3.</w:t>
      </w:r>
      <w:r>
        <w:rPr>
          <w:rStyle w:val="139"/>
        </w:rPr>
        <w:t xml:space="preserve"> 导入认证策略</w:t>
      </w:r>
      <w:r>
        <w:tab/>
      </w:r>
      <w:r>
        <w:fldChar w:fldCharType="begin"/>
      </w:r>
      <w:r>
        <w:instrText xml:space="preserve"> PAGEREF _Toc196728491 \h </w:instrText>
      </w:r>
      <w:r>
        <w:fldChar w:fldCharType="separate"/>
      </w:r>
      <w:r>
        <w:t>732</w:t>
      </w:r>
      <w:r>
        <w:fldChar w:fldCharType="end"/>
      </w:r>
      <w:r>
        <w:fldChar w:fldCharType="end"/>
      </w:r>
    </w:p>
    <w:p w14:paraId="39FE4393">
      <w:pPr>
        <w:pStyle w:val="70"/>
        <w:tabs>
          <w:tab w:val="right" w:leader="dot" w:pos="8296"/>
        </w:tabs>
        <w:ind w:left="420"/>
        <w:rPr>
          <w:rFonts w:asciiTheme="minorHAnsi" w:hAnsiTheme="minorHAnsi" w:eastAsiaTheme="minorEastAsia"/>
        </w:rPr>
      </w:pPr>
      <w:r>
        <w:fldChar w:fldCharType="begin"/>
      </w:r>
      <w:r>
        <w:instrText xml:space="preserve"> HYPERLINK \l "_Toc196728492" </w:instrText>
      </w:r>
      <w:r>
        <w:fldChar w:fldCharType="separate"/>
      </w:r>
      <w:r>
        <w:rPr>
          <w:rStyle w:val="139"/>
        </w:rPr>
        <w:t>31.3. 双重认证</w:t>
      </w:r>
      <w:r>
        <w:tab/>
      </w:r>
      <w:r>
        <w:fldChar w:fldCharType="begin"/>
      </w:r>
      <w:r>
        <w:instrText xml:space="preserve"> PAGEREF _Toc196728492 \h </w:instrText>
      </w:r>
      <w:r>
        <w:fldChar w:fldCharType="separate"/>
      </w:r>
      <w:r>
        <w:t>732</w:t>
      </w:r>
      <w:r>
        <w:fldChar w:fldCharType="end"/>
      </w:r>
      <w:r>
        <w:fldChar w:fldCharType="end"/>
      </w:r>
    </w:p>
    <w:p w14:paraId="6A733F35">
      <w:pPr>
        <w:pStyle w:val="42"/>
        <w:tabs>
          <w:tab w:val="right" w:leader="dot" w:pos="8296"/>
        </w:tabs>
        <w:ind w:left="840"/>
        <w:rPr>
          <w:rFonts w:asciiTheme="minorHAnsi" w:hAnsiTheme="minorHAnsi" w:eastAsiaTheme="minorEastAsia"/>
        </w:rPr>
      </w:pPr>
      <w:r>
        <w:fldChar w:fldCharType="begin"/>
      </w:r>
      <w:r>
        <w:instrText xml:space="preserve"> HYPERLINK \l "_Toc196728493" </w:instrText>
      </w:r>
      <w:r>
        <w:fldChar w:fldCharType="separate"/>
      </w:r>
      <w:r>
        <w:rPr>
          <w:rStyle w:val="139"/>
          <w:kern w:val="0"/>
          <w14:scene3d w14:prst="orthographicFront">
            <w14:lightRig w14:rig="threePt" w14:dir="t">
              <w14:rot w14:lat="0" w14:lon="0" w14:rev="0"/>
            </w14:lightRig>
          </w14:scene3d>
        </w:rPr>
        <w:t>31.3.1.</w:t>
      </w:r>
      <w:r>
        <w:rPr>
          <w:rStyle w:val="139"/>
        </w:rPr>
        <w:t xml:space="preserve"> 概述</w:t>
      </w:r>
      <w:r>
        <w:tab/>
      </w:r>
      <w:r>
        <w:fldChar w:fldCharType="begin"/>
      </w:r>
      <w:r>
        <w:instrText xml:space="preserve"> PAGEREF _Toc196728493 \h </w:instrText>
      </w:r>
      <w:r>
        <w:fldChar w:fldCharType="separate"/>
      </w:r>
      <w:r>
        <w:t>732</w:t>
      </w:r>
      <w:r>
        <w:fldChar w:fldCharType="end"/>
      </w:r>
      <w:r>
        <w:fldChar w:fldCharType="end"/>
      </w:r>
    </w:p>
    <w:p w14:paraId="624CC82B">
      <w:pPr>
        <w:pStyle w:val="42"/>
        <w:tabs>
          <w:tab w:val="right" w:leader="dot" w:pos="8296"/>
        </w:tabs>
        <w:ind w:left="840"/>
        <w:rPr>
          <w:rFonts w:asciiTheme="minorHAnsi" w:hAnsiTheme="minorHAnsi" w:eastAsiaTheme="minorEastAsia"/>
        </w:rPr>
      </w:pPr>
      <w:r>
        <w:fldChar w:fldCharType="begin"/>
      </w:r>
      <w:r>
        <w:instrText xml:space="preserve"> HYPERLINK \l "_Toc196728494" </w:instrText>
      </w:r>
      <w:r>
        <w:fldChar w:fldCharType="separate"/>
      </w:r>
      <w:r>
        <w:rPr>
          <w:rStyle w:val="139"/>
          <w:kern w:val="0"/>
          <w14:scene3d w14:prst="orthographicFront">
            <w14:lightRig w14:rig="threePt" w14:dir="t">
              <w14:rot w14:lat="0" w14:lon="0" w14:rev="0"/>
            </w14:lightRig>
          </w14:scene3d>
        </w:rPr>
        <w:t>31.3.2.</w:t>
      </w:r>
      <w:r>
        <w:rPr>
          <w:rStyle w:val="139"/>
        </w:rPr>
        <w:t xml:space="preserve"> 使用限制和注意事项</w:t>
      </w:r>
      <w:r>
        <w:tab/>
      </w:r>
      <w:r>
        <w:fldChar w:fldCharType="begin"/>
      </w:r>
      <w:r>
        <w:instrText xml:space="preserve"> PAGEREF _Toc196728494 \h </w:instrText>
      </w:r>
      <w:r>
        <w:fldChar w:fldCharType="separate"/>
      </w:r>
      <w:r>
        <w:t>733</w:t>
      </w:r>
      <w:r>
        <w:fldChar w:fldCharType="end"/>
      </w:r>
      <w:r>
        <w:fldChar w:fldCharType="end"/>
      </w:r>
    </w:p>
    <w:p w14:paraId="36A7F363">
      <w:pPr>
        <w:pStyle w:val="42"/>
        <w:tabs>
          <w:tab w:val="right" w:leader="dot" w:pos="8296"/>
        </w:tabs>
        <w:ind w:left="840"/>
        <w:rPr>
          <w:rFonts w:asciiTheme="minorHAnsi" w:hAnsiTheme="minorHAnsi" w:eastAsiaTheme="minorEastAsia"/>
        </w:rPr>
      </w:pPr>
      <w:r>
        <w:fldChar w:fldCharType="begin"/>
      </w:r>
      <w:r>
        <w:instrText xml:space="preserve"> HYPERLINK \l "_Toc196728495" </w:instrText>
      </w:r>
      <w:r>
        <w:fldChar w:fldCharType="separate"/>
      </w:r>
      <w:r>
        <w:rPr>
          <w:rStyle w:val="139"/>
          <w:kern w:val="0"/>
          <w14:scene3d w14:prst="orthographicFront">
            <w14:lightRig w14:rig="threePt" w14:dir="t">
              <w14:rot w14:lat="0" w14:lon="0" w14:rev="0"/>
            </w14:lightRig>
          </w14:scene3d>
        </w:rPr>
        <w:t>31.3.3.</w:t>
      </w:r>
      <w:r>
        <w:rPr>
          <w:rStyle w:val="139"/>
        </w:rPr>
        <w:t xml:space="preserve"> 配置双重认证</w:t>
      </w:r>
      <w:r>
        <w:tab/>
      </w:r>
      <w:r>
        <w:fldChar w:fldCharType="begin"/>
      </w:r>
      <w:r>
        <w:instrText xml:space="preserve"> PAGEREF _Toc196728495 \h </w:instrText>
      </w:r>
      <w:r>
        <w:fldChar w:fldCharType="separate"/>
      </w:r>
      <w:r>
        <w:t>733</w:t>
      </w:r>
      <w:r>
        <w:fldChar w:fldCharType="end"/>
      </w:r>
      <w:r>
        <w:fldChar w:fldCharType="end"/>
      </w:r>
    </w:p>
    <w:p w14:paraId="6430E7AB">
      <w:pPr>
        <w:pStyle w:val="42"/>
        <w:tabs>
          <w:tab w:val="right" w:leader="dot" w:pos="8296"/>
        </w:tabs>
        <w:ind w:left="840"/>
        <w:rPr>
          <w:rFonts w:asciiTheme="minorHAnsi" w:hAnsiTheme="minorHAnsi" w:eastAsiaTheme="minorEastAsia"/>
        </w:rPr>
      </w:pPr>
      <w:r>
        <w:fldChar w:fldCharType="begin"/>
      </w:r>
      <w:r>
        <w:instrText xml:space="preserve"> HYPERLINK \l "_Toc196728496" </w:instrText>
      </w:r>
      <w:r>
        <w:fldChar w:fldCharType="separate"/>
      </w:r>
      <w:r>
        <w:rPr>
          <w:rStyle w:val="139"/>
          <w:kern w:val="0"/>
          <w14:scene3d w14:prst="orthographicFront">
            <w14:lightRig w14:rig="threePt" w14:dir="t">
              <w14:rot w14:lat="0" w14:lon="0" w14:rev="0"/>
            </w14:lightRig>
          </w14:scene3d>
        </w:rPr>
        <w:t>31.3.4.</w:t>
      </w:r>
      <w:r>
        <w:rPr>
          <w:rStyle w:val="139"/>
        </w:rPr>
        <w:t xml:space="preserve"> 双重认证配置举例</w:t>
      </w:r>
      <w:r>
        <w:tab/>
      </w:r>
      <w:r>
        <w:fldChar w:fldCharType="begin"/>
      </w:r>
      <w:r>
        <w:instrText xml:space="preserve"> PAGEREF _Toc196728496 \h </w:instrText>
      </w:r>
      <w:r>
        <w:fldChar w:fldCharType="separate"/>
      </w:r>
      <w:r>
        <w:t>736</w:t>
      </w:r>
      <w:r>
        <w:fldChar w:fldCharType="end"/>
      </w:r>
      <w:r>
        <w:fldChar w:fldCharType="end"/>
      </w:r>
    </w:p>
    <w:p w14:paraId="433468A2">
      <w:pPr>
        <w:pStyle w:val="70"/>
        <w:tabs>
          <w:tab w:val="right" w:leader="dot" w:pos="8296"/>
        </w:tabs>
        <w:ind w:left="420"/>
        <w:rPr>
          <w:rFonts w:asciiTheme="minorHAnsi" w:hAnsiTheme="minorHAnsi" w:eastAsiaTheme="minorEastAsia"/>
        </w:rPr>
      </w:pPr>
      <w:r>
        <w:fldChar w:fldCharType="begin"/>
      </w:r>
      <w:r>
        <w:instrText xml:space="preserve"> HYPERLINK \l "_Toc196728497" </w:instrText>
      </w:r>
      <w:r>
        <w:fldChar w:fldCharType="separate"/>
      </w:r>
      <w:r>
        <w:rPr>
          <w:rStyle w:val="139"/>
        </w:rPr>
        <w:t>31.4. 认证方式</w:t>
      </w:r>
      <w:r>
        <w:tab/>
      </w:r>
      <w:r>
        <w:fldChar w:fldCharType="begin"/>
      </w:r>
      <w:r>
        <w:instrText xml:space="preserve"> PAGEREF _Toc196728497 \h </w:instrText>
      </w:r>
      <w:r>
        <w:fldChar w:fldCharType="separate"/>
      </w:r>
      <w:r>
        <w:t>748</w:t>
      </w:r>
      <w:r>
        <w:fldChar w:fldCharType="end"/>
      </w:r>
      <w:r>
        <w:fldChar w:fldCharType="end"/>
      </w:r>
    </w:p>
    <w:p w14:paraId="4C9EDCB4">
      <w:pPr>
        <w:pStyle w:val="42"/>
        <w:tabs>
          <w:tab w:val="right" w:leader="dot" w:pos="8296"/>
        </w:tabs>
        <w:ind w:left="840"/>
        <w:rPr>
          <w:rFonts w:asciiTheme="minorHAnsi" w:hAnsiTheme="minorHAnsi" w:eastAsiaTheme="minorEastAsia"/>
        </w:rPr>
      </w:pPr>
      <w:r>
        <w:fldChar w:fldCharType="begin"/>
      </w:r>
      <w:r>
        <w:instrText xml:space="preserve"> HYPERLINK \l "_Toc196728498" </w:instrText>
      </w:r>
      <w:r>
        <w:fldChar w:fldCharType="separate"/>
      </w:r>
      <w:r>
        <w:rPr>
          <w:rStyle w:val="139"/>
          <w:kern w:val="0"/>
          <w14:scene3d w14:prst="orthographicFront">
            <w14:lightRig w14:rig="threePt" w14:dir="t">
              <w14:rot w14:lat="0" w14:lon="0" w14:rev="0"/>
            </w14:lightRig>
          </w14:scene3d>
        </w:rPr>
        <w:t>31.4.1.</w:t>
      </w:r>
      <w:r>
        <w:rPr>
          <w:rStyle w:val="139"/>
        </w:rPr>
        <w:t xml:space="preserve"> 本地WEB认证</w:t>
      </w:r>
      <w:r>
        <w:tab/>
      </w:r>
      <w:r>
        <w:fldChar w:fldCharType="begin"/>
      </w:r>
      <w:r>
        <w:instrText xml:space="preserve"> PAGEREF _Toc196728498 \h </w:instrText>
      </w:r>
      <w:r>
        <w:fldChar w:fldCharType="separate"/>
      </w:r>
      <w:r>
        <w:t>748</w:t>
      </w:r>
      <w:r>
        <w:fldChar w:fldCharType="end"/>
      </w:r>
      <w:r>
        <w:fldChar w:fldCharType="end"/>
      </w:r>
    </w:p>
    <w:p w14:paraId="0585B4AB">
      <w:pPr>
        <w:pStyle w:val="42"/>
        <w:tabs>
          <w:tab w:val="right" w:leader="dot" w:pos="8296"/>
        </w:tabs>
        <w:ind w:left="840"/>
        <w:rPr>
          <w:rFonts w:asciiTheme="minorHAnsi" w:hAnsiTheme="minorHAnsi" w:eastAsiaTheme="minorEastAsia"/>
        </w:rPr>
      </w:pPr>
      <w:r>
        <w:fldChar w:fldCharType="begin"/>
      </w:r>
      <w:r>
        <w:instrText xml:space="preserve"> HYPERLINK \l "_Toc196728499" </w:instrText>
      </w:r>
      <w:r>
        <w:fldChar w:fldCharType="separate"/>
      </w:r>
      <w:r>
        <w:rPr>
          <w:rStyle w:val="139"/>
          <w:kern w:val="0"/>
          <w14:scene3d w14:prst="orthographicFront">
            <w14:lightRig w14:rig="threePt" w14:dir="t">
              <w14:rot w14:lat="0" w14:lon="0" w14:rev="0"/>
            </w14:lightRig>
          </w14:scene3d>
        </w:rPr>
        <w:t>31.4.2.</w:t>
      </w:r>
      <w:r>
        <w:rPr>
          <w:rStyle w:val="139"/>
        </w:rPr>
        <w:t xml:space="preserve"> 微信认证</w:t>
      </w:r>
      <w:r>
        <w:tab/>
      </w:r>
      <w:r>
        <w:fldChar w:fldCharType="begin"/>
      </w:r>
      <w:r>
        <w:instrText xml:space="preserve"> PAGEREF _Toc196728499 \h </w:instrText>
      </w:r>
      <w:r>
        <w:fldChar w:fldCharType="separate"/>
      </w:r>
      <w:r>
        <w:t>750</w:t>
      </w:r>
      <w:r>
        <w:fldChar w:fldCharType="end"/>
      </w:r>
      <w:r>
        <w:fldChar w:fldCharType="end"/>
      </w:r>
    </w:p>
    <w:p w14:paraId="7570BE56">
      <w:pPr>
        <w:pStyle w:val="42"/>
        <w:tabs>
          <w:tab w:val="right" w:leader="dot" w:pos="8296"/>
        </w:tabs>
        <w:ind w:left="840"/>
        <w:rPr>
          <w:rFonts w:asciiTheme="minorHAnsi" w:hAnsiTheme="minorHAnsi" w:eastAsiaTheme="minorEastAsia"/>
        </w:rPr>
      </w:pPr>
      <w:r>
        <w:fldChar w:fldCharType="begin"/>
      </w:r>
      <w:r>
        <w:instrText xml:space="preserve"> HYPERLINK \l "_Toc196728500" </w:instrText>
      </w:r>
      <w:r>
        <w:fldChar w:fldCharType="separate"/>
      </w:r>
      <w:r>
        <w:rPr>
          <w:rStyle w:val="139"/>
          <w:kern w:val="0"/>
          <w14:scene3d w14:prst="orthographicFront">
            <w14:lightRig w14:rig="threePt" w14:dir="t">
              <w14:rot w14:lat="0" w14:lon="0" w14:rev="0"/>
            </w14:lightRig>
          </w14:scene3d>
        </w:rPr>
        <w:t>31.4.3.</w:t>
      </w:r>
      <w:r>
        <w:rPr>
          <w:rStyle w:val="139"/>
        </w:rPr>
        <w:t xml:space="preserve"> 短信认证</w:t>
      </w:r>
      <w:r>
        <w:tab/>
      </w:r>
      <w:r>
        <w:fldChar w:fldCharType="begin"/>
      </w:r>
      <w:r>
        <w:instrText xml:space="preserve"> PAGEREF _Toc196728500 \h </w:instrText>
      </w:r>
      <w:r>
        <w:fldChar w:fldCharType="separate"/>
      </w:r>
      <w:r>
        <w:t>753</w:t>
      </w:r>
      <w:r>
        <w:fldChar w:fldCharType="end"/>
      </w:r>
      <w:r>
        <w:fldChar w:fldCharType="end"/>
      </w:r>
    </w:p>
    <w:p w14:paraId="0142EE9E">
      <w:pPr>
        <w:pStyle w:val="42"/>
        <w:tabs>
          <w:tab w:val="right" w:leader="dot" w:pos="8296"/>
        </w:tabs>
        <w:ind w:left="840"/>
        <w:rPr>
          <w:rFonts w:asciiTheme="minorHAnsi" w:hAnsiTheme="minorHAnsi" w:eastAsiaTheme="minorEastAsia"/>
        </w:rPr>
      </w:pPr>
      <w:r>
        <w:fldChar w:fldCharType="begin"/>
      </w:r>
      <w:r>
        <w:instrText xml:space="preserve"> HYPERLINK \l "_Toc196728501" </w:instrText>
      </w:r>
      <w:r>
        <w:fldChar w:fldCharType="separate"/>
      </w:r>
      <w:r>
        <w:rPr>
          <w:rStyle w:val="139"/>
          <w:kern w:val="0"/>
          <w14:scene3d w14:prst="orthographicFront">
            <w14:lightRig w14:rig="threePt" w14:dir="t">
              <w14:rot w14:lat="0" w14:lon="0" w14:rev="0"/>
            </w14:lightRig>
          </w14:scene3d>
        </w:rPr>
        <w:t>31.4.4.</w:t>
      </w:r>
      <w:r>
        <w:rPr>
          <w:rStyle w:val="139"/>
        </w:rPr>
        <w:t xml:space="preserve"> Portal Server认证</w:t>
      </w:r>
      <w:r>
        <w:tab/>
      </w:r>
      <w:r>
        <w:fldChar w:fldCharType="begin"/>
      </w:r>
      <w:r>
        <w:instrText xml:space="preserve"> PAGEREF _Toc196728501 \h </w:instrText>
      </w:r>
      <w:r>
        <w:fldChar w:fldCharType="separate"/>
      </w:r>
      <w:r>
        <w:t>755</w:t>
      </w:r>
      <w:r>
        <w:fldChar w:fldCharType="end"/>
      </w:r>
      <w:r>
        <w:fldChar w:fldCharType="end"/>
      </w:r>
    </w:p>
    <w:p w14:paraId="7FC8E329">
      <w:pPr>
        <w:pStyle w:val="42"/>
        <w:tabs>
          <w:tab w:val="right" w:leader="dot" w:pos="8296"/>
        </w:tabs>
        <w:ind w:left="840"/>
        <w:rPr>
          <w:rFonts w:asciiTheme="minorHAnsi" w:hAnsiTheme="minorHAnsi" w:eastAsiaTheme="minorEastAsia"/>
        </w:rPr>
      </w:pPr>
      <w:r>
        <w:fldChar w:fldCharType="begin"/>
      </w:r>
      <w:r>
        <w:instrText xml:space="preserve"> HYPERLINK \l "_Toc196728502" </w:instrText>
      </w:r>
      <w:r>
        <w:fldChar w:fldCharType="separate"/>
      </w:r>
      <w:r>
        <w:rPr>
          <w:rStyle w:val="139"/>
          <w:kern w:val="0"/>
          <w14:scene3d w14:prst="orthographicFront">
            <w14:lightRig w14:rig="threePt" w14:dir="t">
              <w14:rot w14:lat="0" w14:lon="0" w14:rev="0"/>
            </w14:lightRig>
          </w14:scene3d>
        </w:rPr>
        <w:t>31.4.5.</w:t>
      </w:r>
      <w:r>
        <w:rPr>
          <w:rStyle w:val="139"/>
        </w:rPr>
        <w:t xml:space="preserve"> Portal逃生</w:t>
      </w:r>
      <w:r>
        <w:tab/>
      </w:r>
      <w:r>
        <w:fldChar w:fldCharType="begin"/>
      </w:r>
      <w:r>
        <w:instrText xml:space="preserve"> PAGEREF _Toc196728502 \h </w:instrText>
      </w:r>
      <w:r>
        <w:fldChar w:fldCharType="separate"/>
      </w:r>
      <w:r>
        <w:t>760</w:t>
      </w:r>
      <w:r>
        <w:fldChar w:fldCharType="end"/>
      </w:r>
      <w:r>
        <w:fldChar w:fldCharType="end"/>
      </w:r>
    </w:p>
    <w:p w14:paraId="58BF8BD6">
      <w:pPr>
        <w:pStyle w:val="42"/>
        <w:tabs>
          <w:tab w:val="right" w:leader="dot" w:pos="8296"/>
        </w:tabs>
        <w:ind w:left="840"/>
        <w:rPr>
          <w:rFonts w:asciiTheme="minorHAnsi" w:hAnsiTheme="minorHAnsi" w:eastAsiaTheme="minorEastAsia"/>
        </w:rPr>
      </w:pPr>
      <w:r>
        <w:fldChar w:fldCharType="begin"/>
      </w:r>
      <w:r>
        <w:instrText xml:space="preserve"> HYPERLINK \l "_Toc196728503" </w:instrText>
      </w:r>
      <w:r>
        <w:fldChar w:fldCharType="separate"/>
      </w:r>
      <w:r>
        <w:rPr>
          <w:rStyle w:val="139"/>
          <w:kern w:val="0"/>
          <w14:scene3d w14:prst="orthographicFront">
            <w14:lightRig w14:rig="threePt" w14:dir="t">
              <w14:rot w14:lat="0" w14:lon="0" w14:rev="0"/>
            </w14:lightRig>
          </w14:scene3d>
        </w:rPr>
        <w:t>31.4.6.</w:t>
      </w:r>
      <w:r>
        <w:rPr>
          <w:rStyle w:val="139"/>
        </w:rPr>
        <w:t xml:space="preserve"> 免认证</w:t>
      </w:r>
      <w:r>
        <w:tab/>
      </w:r>
      <w:r>
        <w:fldChar w:fldCharType="begin"/>
      </w:r>
      <w:r>
        <w:instrText xml:space="preserve"> PAGEREF _Toc196728503 \h </w:instrText>
      </w:r>
      <w:r>
        <w:fldChar w:fldCharType="separate"/>
      </w:r>
      <w:r>
        <w:t>761</w:t>
      </w:r>
      <w:r>
        <w:fldChar w:fldCharType="end"/>
      </w:r>
      <w:r>
        <w:fldChar w:fldCharType="end"/>
      </w:r>
    </w:p>
    <w:p w14:paraId="4764845B">
      <w:pPr>
        <w:pStyle w:val="42"/>
        <w:tabs>
          <w:tab w:val="right" w:leader="dot" w:pos="8296"/>
        </w:tabs>
        <w:ind w:left="840"/>
        <w:rPr>
          <w:rFonts w:asciiTheme="minorHAnsi" w:hAnsiTheme="minorHAnsi" w:eastAsiaTheme="minorEastAsia"/>
        </w:rPr>
      </w:pPr>
      <w:r>
        <w:fldChar w:fldCharType="begin"/>
      </w:r>
      <w:r>
        <w:instrText xml:space="preserve"> HYPERLINK \l "_Toc196728504" </w:instrText>
      </w:r>
      <w:r>
        <w:fldChar w:fldCharType="separate"/>
      </w:r>
      <w:r>
        <w:rPr>
          <w:rStyle w:val="139"/>
          <w:kern w:val="0"/>
          <w14:scene3d w14:prst="orthographicFront">
            <w14:lightRig w14:rig="threePt" w14:dir="t">
              <w14:rot w14:lat="0" w14:lon="0" w14:rev="0"/>
            </w14:lightRig>
          </w14:scene3d>
        </w:rPr>
        <w:t>31.4.7.</w:t>
      </w:r>
      <w:r>
        <w:rPr>
          <w:rStyle w:val="139"/>
        </w:rPr>
        <w:t xml:space="preserve"> 单点登录</w:t>
      </w:r>
      <w:r>
        <w:tab/>
      </w:r>
      <w:r>
        <w:fldChar w:fldCharType="begin"/>
      </w:r>
      <w:r>
        <w:instrText xml:space="preserve"> PAGEREF _Toc196728504 \h </w:instrText>
      </w:r>
      <w:r>
        <w:fldChar w:fldCharType="separate"/>
      </w:r>
      <w:r>
        <w:t>762</w:t>
      </w:r>
      <w:r>
        <w:fldChar w:fldCharType="end"/>
      </w:r>
      <w:r>
        <w:fldChar w:fldCharType="end"/>
      </w:r>
    </w:p>
    <w:p w14:paraId="76367B4F">
      <w:pPr>
        <w:pStyle w:val="42"/>
        <w:tabs>
          <w:tab w:val="right" w:leader="dot" w:pos="8296"/>
        </w:tabs>
        <w:ind w:left="840"/>
        <w:rPr>
          <w:rFonts w:asciiTheme="minorHAnsi" w:hAnsiTheme="minorHAnsi" w:eastAsiaTheme="minorEastAsia"/>
        </w:rPr>
      </w:pPr>
      <w:r>
        <w:fldChar w:fldCharType="begin"/>
      </w:r>
      <w:r>
        <w:instrText xml:space="preserve"> HYPERLINK \l "_Toc196728505" </w:instrText>
      </w:r>
      <w:r>
        <w:fldChar w:fldCharType="separate"/>
      </w:r>
      <w:r>
        <w:rPr>
          <w:rStyle w:val="139"/>
          <w:kern w:val="0"/>
          <w14:scene3d w14:prst="orthographicFront">
            <w14:lightRig w14:rig="threePt" w14:dir="t">
              <w14:rot w14:lat="0" w14:lon="0" w14:rev="0"/>
            </w14:lightRig>
          </w14:scene3d>
        </w:rPr>
        <w:t>31.4.8.</w:t>
      </w:r>
      <w:r>
        <w:rPr>
          <w:rStyle w:val="139"/>
        </w:rPr>
        <w:t xml:space="preserve"> 配置AD域单点登录</w:t>
      </w:r>
      <w:r>
        <w:tab/>
      </w:r>
      <w:r>
        <w:fldChar w:fldCharType="begin"/>
      </w:r>
      <w:r>
        <w:instrText xml:space="preserve"> PAGEREF _Toc196728505 \h </w:instrText>
      </w:r>
      <w:r>
        <w:fldChar w:fldCharType="separate"/>
      </w:r>
      <w:r>
        <w:t>780</w:t>
      </w:r>
      <w:r>
        <w:fldChar w:fldCharType="end"/>
      </w:r>
      <w:r>
        <w:fldChar w:fldCharType="end"/>
      </w:r>
    </w:p>
    <w:p w14:paraId="23258741">
      <w:pPr>
        <w:pStyle w:val="42"/>
        <w:tabs>
          <w:tab w:val="right" w:leader="dot" w:pos="8296"/>
        </w:tabs>
        <w:ind w:left="840"/>
        <w:rPr>
          <w:rFonts w:asciiTheme="minorHAnsi" w:hAnsiTheme="minorHAnsi" w:eastAsiaTheme="minorEastAsia"/>
        </w:rPr>
      </w:pPr>
      <w:r>
        <w:fldChar w:fldCharType="begin"/>
      </w:r>
      <w:r>
        <w:instrText xml:space="preserve"> HYPERLINK \l "_Toc196728506" </w:instrText>
      </w:r>
      <w:r>
        <w:fldChar w:fldCharType="separate"/>
      </w:r>
      <w:r>
        <w:rPr>
          <w:rStyle w:val="139"/>
          <w:kern w:val="0"/>
          <w14:scene3d w14:prst="orthographicFront">
            <w14:lightRig w14:rig="threePt" w14:dir="t">
              <w14:rot w14:lat="0" w14:lon="0" w14:rev="0"/>
            </w14:lightRig>
          </w14:scene3d>
        </w:rPr>
        <w:t>31.4.9.</w:t>
      </w:r>
      <w:r>
        <w:rPr>
          <w:rStyle w:val="139"/>
        </w:rPr>
        <w:t xml:space="preserve"> 访客二维码认证</w:t>
      </w:r>
      <w:r>
        <w:tab/>
      </w:r>
      <w:r>
        <w:fldChar w:fldCharType="begin"/>
      </w:r>
      <w:r>
        <w:instrText xml:space="preserve"> PAGEREF _Toc196728506 \h </w:instrText>
      </w:r>
      <w:r>
        <w:fldChar w:fldCharType="separate"/>
      </w:r>
      <w:r>
        <w:t>781</w:t>
      </w:r>
      <w:r>
        <w:fldChar w:fldCharType="end"/>
      </w:r>
      <w:r>
        <w:fldChar w:fldCharType="end"/>
      </w:r>
    </w:p>
    <w:p w14:paraId="71C27E56">
      <w:pPr>
        <w:pStyle w:val="42"/>
        <w:tabs>
          <w:tab w:val="right" w:leader="dot" w:pos="8296"/>
        </w:tabs>
        <w:ind w:left="840"/>
        <w:rPr>
          <w:rFonts w:asciiTheme="minorHAnsi" w:hAnsiTheme="minorHAnsi" w:eastAsiaTheme="minorEastAsia"/>
        </w:rPr>
      </w:pPr>
      <w:r>
        <w:fldChar w:fldCharType="begin"/>
      </w:r>
      <w:r>
        <w:instrText xml:space="preserve"> HYPERLINK \l "_Toc196728507" </w:instrText>
      </w:r>
      <w:r>
        <w:fldChar w:fldCharType="separate"/>
      </w:r>
      <w:r>
        <w:rPr>
          <w:rStyle w:val="139"/>
          <w:kern w:val="0"/>
          <w14:scene3d w14:prst="orthographicFront">
            <w14:lightRig w14:rig="threePt" w14:dir="t">
              <w14:rot w14:lat="0" w14:lon="0" w14:rev="0"/>
            </w14:lightRig>
          </w14:scene3d>
        </w:rPr>
        <w:t>31.4.10.</w:t>
      </w:r>
      <w:r>
        <w:rPr>
          <w:rStyle w:val="139"/>
        </w:rPr>
        <w:t xml:space="preserve"> IC卡认证</w:t>
      </w:r>
      <w:r>
        <w:tab/>
      </w:r>
      <w:r>
        <w:fldChar w:fldCharType="begin"/>
      </w:r>
      <w:r>
        <w:instrText xml:space="preserve"> PAGEREF _Toc196728507 \h </w:instrText>
      </w:r>
      <w:r>
        <w:fldChar w:fldCharType="separate"/>
      </w:r>
      <w:r>
        <w:t>784</w:t>
      </w:r>
      <w:r>
        <w:fldChar w:fldCharType="end"/>
      </w:r>
      <w:r>
        <w:fldChar w:fldCharType="end"/>
      </w:r>
    </w:p>
    <w:p w14:paraId="4D758C26">
      <w:pPr>
        <w:pStyle w:val="42"/>
        <w:tabs>
          <w:tab w:val="right" w:leader="dot" w:pos="8296"/>
        </w:tabs>
        <w:ind w:left="840"/>
        <w:rPr>
          <w:rFonts w:asciiTheme="minorHAnsi" w:hAnsiTheme="minorHAnsi" w:eastAsiaTheme="minorEastAsia"/>
        </w:rPr>
      </w:pPr>
      <w:r>
        <w:fldChar w:fldCharType="begin"/>
      </w:r>
      <w:r>
        <w:instrText xml:space="preserve"> HYPERLINK \l "_Toc196728508" </w:instrText>
      </w:r>
      <w:r>
        <w:fldChar w:fldCharType="separate"/>
      </w:r>
      <w:r>
        <w:rPr>
          <w:rStyle w:val="139"/>
          <w:kern w:val="0"/>
          <w14:scene3d w14:prst="orthographicFront">
            <w14:lightRig w14:rig="threePt" w14:dir="t">
              <w14:rot w14:lat="0" w14:lon="0" w14:rev="0"/>
            </w14:lightRig>
          </w14:scene3d>
        </w:rPr>
        <w:t>31.4.11.</w:t>
      </w:r>
      <w:r>
        <w:rPr>
          <w:rStyle w:val="139"/>
        </w:rPr>
        <w:t xml:space="preserve"> APP认证</w:t>
      </w:r>
      <w:r>
        <w:tab/>
      </w:r>
      <w:r>
        <w:fldChar w:fldCharType="begin"/>
      </w:r>
      <w:r>
        <w:instrText xml:space="preserve"> PAGEREF _Toc196728508 \h </w:instrText>
      </w:r>
      <w:r>
        <w:fldChar w:fldCharType="separate"/>
      </w:r>
      <w:r>
        <w:t>787</w:t>
      </w:r>
      <w:r>
        <w:fldChar w:fldCharType="end"/>
      </w:r>
      <w:r>
        <w:fldChar w:fldCharType="end"/>
      </w:r>
    </w:p>
    <w:p w14:paraId="318E5EA7">
      <w:pPr>
        <w:pStyle w:val="42"/>
        <w:tabs>
          <w:tab w:val="right" w:leader="dot" w:pos="8296"/>
        </w:tabs>
        <w:ind w:left="840"/>
        <w:rPr>
          <w:rFonts w:asciiTheme="minorHAnsi" w:hAnsiTheme="minorHAnsi" w:eastAsiaTheme="minorEastAsia"/>
        </w:rPr>
      </w:pPr>
      <w:r>
        <w:fldChar w:fldCharType="begin"/>
      </w:r>
      <w:r>
        <w:instrText xml:space="preserve"> HYPERLINK \l "_Toc196728509" </w:instrText>
      </w:r>
      <w:r>
        <w:fldChar w:fldCharType="separate"/>
      </w:r>
      <w:r>
        <w:rPr>
          <w:rStyle w:val="139"/>
          <w:kern w:val="0"/>
          <w14:scene3d w14:prst="orthographicFront">
            <w14:lightRig w14:rig="threePt" w14:dir="t">
              <w14:rot w14:lat="0" w14:lon="0" w14:rev="0"/>
            </w14:lightRig>
          </w14:scene3d>
        </w:rPr>
        <w:t>31.4.12.</w:t>
      </w:r>
      <w:r>
        <w:rPr>
          <w:rStyle w:val="139"/>
        </w:rPr>
        <w:t xml:space="preserve"> POP3认证</w:t>
      </w:r>
      <w:r>
        <w:tab/>
      </w:r>
      <w:r>
        <w:fldChar w:fldCharType="begin"/>
      </w:r>
      <w:r>
        <w:instrText xml:space="preserve"> PAGEREF _Toc196728509 \h </w:instrText>
      </w:r>
      <w:r>
        <w:fldChar w:fldCharType="separate"/>
      </w:r>
      <w:r>
        <w:t>789</w:t>
      </w:r>
      <w:r>
        <w:fldChar w:fldCharType="end"/>
      </w:r>
      <w:r>
        <w:fldChar w:fldCharType="end"/>
      </w:r>
    </w:p>
    <w:p w14:paraId="3DD20622">
      <w:pPr>
        <w:pStyle w:val="42"/>
        <w:tabs>
          <w:tab w:val="right" w:leader="dot" w:pos="8296"/>
        </w:tabs>
        <w:ind w:left="840"/>
        <w:rPr>
          <w:rFonts w:asciiTheme="minorHAnsi" w:hAnsiTheme="minorHAnsi" w:eastAsiaTheme="minorEastAsia"/>
        </w:rPr>
      </w:pPr>
      <w:r>
        <w:fldChar w:fldCharType="begin"/>
      </w:r>
      <w:r>
        <w:instrText xml:space="preserve"> HYPERLINK \l "_Toc196728510" </w:instrText>
      </w:r>
      <w:r>
        <w:fldChar w:fldCharType="separate"/>
      </w:r>
      <w:r>
        <w:rPr>
          <w:rStyle w:val="139"/>
          <w:kern w:val="0"/>
          <w14:scene3d w14:prst="orthographicFront">
            <w14:lightRig w14:rig="threePt" w14:dir="t">
              <w14:rot w14:lat="0" w14:lon="0" w14:rev="0"/>
            </w14:lightRig>
          </w14:scene3d>
        </w:rPr>
        <w:t>31.4.13.</w:t>
      </w:r>
      <w:r>
        <w:rPr>
          <w:rStyle w:val="139"/>
        </w:rPr>
        <w:t xml:space="preserve"> 钉钉认证</w:t>
      </w:r>
      <w:r>
        <w:tab/>
      </w:r>
      <w:r>
        <w:fldChar w:fldCharType="begin"/>
      </w:r>
      <w:r>
        <w:instrText xml:space="preserve"> PAGEREF _Toc196728510 \h </w:instrText>
      </w:r>
      <w:r>
        <w:fldChar w:fldCharType="separate"/>
      </w:r>
      <w:r>
        <w:t>790</w:t>
      </w:r>
      <w:r>
        <w:fldChar w:fldCharType="end"/>
      </w:r>
      <w:r>
        <w:fldChar w:fldCharType="end"/>
      </w:r>
    </w:p>
    <w:p w14:paraId="3D421B8C">
      <w:pPr>
        <w:pStyle w:val="42"/>
        <w:tabs>
          <w:tab w:val="right" w:leader="dot" w:pos="8296"/>
        </w:tabs>
        <w:ind w:left="840"/>
        <w:rPr>
          <w:rFonts w:asciiTheme="minorHAnsi" w:hAnsiTheme="minorHAnsi" w:eastAsiaTheme="minorEastAsia"/>
        </w:rPr>
      </w:pPr>
      <w:r>
        <w:fldChar w:fldCharType="begin"/>
      </w:r>
      <w:r>
        <w:instrText xml:space="preserve"> HYPERLINK \l "_Toc196728511" </w:instrText>
      </w:r>
      <w:r>
        <w:fldChar w:fldCharType="separate"/>
      </w:r>
      <w:r>
        <w:rPr>
          <w:rStyle w:val="139"/>
          <w:kern w:val="0"/>
          <w14:scene3d w14:prst="orthographicFront">
            <w14:lightRig w14:rig="threePt" w14:dir="t">
              <w14:rot w14:lat="0" w14:lon="0" w14:rev="0"/>
            </w14:lightRig>
          </w14:scene3d>
        </w:rPr>
        <w:t>31.4.14.</w:t>
      </w:r>
      <w:r>
        <w:rPr>
          <w:rStyle w:val="139"/>
        </w:rPr>
        <w:t xml:space="preserve"> 酒店会员认证</w:t>
      </w:r>
      <w:r>
        <w:tab/>
      </w:r>
      <w:r>
        <w:fldChar w:fldCharType="begin"/>
      </w:r>
      <w:r>
        <w:instrText xml:space="preserve"> PAGEREF _Toc196728511 \h </w:instrText>
      </w:r>
      <w:r>
        <w:fldChar w:fldCharType="separate"/>
      </w:r>
      <w:r>
        <w:t>792</w:t>
      </w:r>
      <w:r>
        <w:fldChar w:fldCharType="end"/>
      </w:r>
      <w:r>
        <w:fldChar w:fldCharType="end"/>
      </w:r>
    </w:p>
    <w:p w14:paraId="2C27917E">
      <w:pPr>
        <w:pStyle w:val="42"/>
        <w:tabs>
          <w:tab w:val="right" w:leader="dot" w:pos="8296"/>
        </w:tabs>
        <w:ind w:left="840"/>
        <w:rPr>
          <w:rFonts w:asciiTheme="minorHAnsi" w:hAnsiTheme="minorHAnsi" w:eastAsiaTheme="minorEastAsia"/>
        </w:rPr>
      </w:pPr>
      <w:r>
        <w:fldChar w:fldCharType="begin"/>
      </w:r>
      <w:r>
        <w:instrText xml:space="preserve"> HYPERLINK \l "_Toc196728512" </w:instrText>
      </w:r>
      <w:r>
        <w:fldChar w:fldCharType="separate"/>
      </w:r>
      <w:r>
        <w:rPr>
          <w:rStyle w:val="139"/>
          <w:kern w:val="0"/>
          <w14:scene3d w14:prst="orthographicFront">
            <w14:lightRig w14:rig="threePt" w14:dir="t">
              <w14:rot w14:lat="0" w14:lon="0" w14:rev="0"/>
            </w14:lightRig>
          </w14:scene3d>
        </w:rPr>
        <w:t>31.4.15.</w:t>
      </w:r>
      <w:r>
        <w:rPr>
          <w:rStyle w:val="139"/>
        </w:rPr>
        <w:t xml:space="preserve"> 第三方小程序认证</w:t>
      </w:r>
      <w:r>
        <w:tab/>
      </w:r>
      <w:r>
        <w:fldChar w:fldCharType="begin"/>
      </w:r>
      <w:r>
        <w:instrText xml:space="preserve"> PAGEREF _Toc196728512 \h </w:instrText>
      </w:r>
      <w:r>
        <w:fldChar w:fldCharType="separate"/>
      </w:r>
      <w:r>
        <w:t>793</w:t>
      </w:r>
      <w:r>
        <w:fldChar w:fldCharType="end"/>
      </w:r>
      <w:r>
        <w:fldChar w:fldCharType="end"/>
      </w:r>
    </w:p>
    <w:p w14:paraId="05055B21">
      <w:pPr>
        <w:pStyle w:val="42"/>
        <w:tabs>
          <w:tab w:val="right" w:leader="dot" w:pos="8296"/>
        </w:tabs>
        <w:ind w:left="840"/>
        <w:rPr>
          <w:rFonts w:asciiTheme="minorHAnsi" w:hAnsiTheme="minorHAnsi" w:eastAsiaTheme="minorEastAsia"/>
        </w:rPr>
      </w:pPr>
      <w:r>
        <w:fldChar w:fldCharType="begin"/>
      </w:r>
      <w:r>
        <w:instrText xml:space="preserve"> HYPERLINK \l "_Toc196728513" </w:instrText>
      </w:r>
      <w:r>
        <w:fldChar w:fldCharType="separate"/>
      </w:r>
      <w:r>
        <w:rPr>
          <w:rStyle w:val="139"/>
          <w:kern w:val="0"/>
          <w14:scene3d w14:prst="orthographicFront">
            <w14:lightRig w14:rig="threePt" w14:dir="t">
              <w14:rot w14:lat="0" w14:lon="0" w14:rev="0"/>
            </w14:lightRig>
          </w14:scene3d>
        </w:rPr>
        <w:t>31.4.16.</w:t>
      </w:r>
      <w:r>
        <w:rPr>
          <w:rStyle w:val="139"/>
        </w:rPr>
        <w:t xml:space="preserve"> 企业微信认证</w:t>
      </w:r>
      <w:r>
        <w:tab/>
      </w:r>
      <w:r>
        <w:fldChar w:fldCharType="begin"/>
      </w:r>
      <w:r>
        <w:instrText xml:space="preserve"> PAGEREF _Toc196728513 \h </w:instrText>
      </w:r>
      <w:r>
        <w:fldChar w:fldCharType="separate"/>
      </w:r>
      <w:r>
        <w:t>793</w:t>
      </w:r>
      <w:r>
        <w:fldChar w:fldCharType="end"/>
      </w:r>
      <w:r>
        <w:fldChar w:fldCharType="end"/>
      </w:r>
    </w:p>
    <w:p w14:paraId="3985B7FD">
      <w:pPr>
        <w:pStyle w:val="42"/>
        <w:tabs>
          <w:tab w:val="right" w:leader="dot" w:pos="8296"/>
        </w:tabs>
        <w:ind w:left="840"/>
        <w:rPr>
          <w:rFonts w:asciiTheme="minorHAnsi" w:hAnsiTheme="minorHAnsi" w:eastAsiaTheme="minorEastAsia"/>
        </w:rPr>
      </w:pPr>
      <w:r>
        <w:fldChar w:fldCharType="begin"/>
      </w:r>
      <w:r>
        <w:instrText xml:space="preserve"> HYPERLINK \l "_Toc196728514" </w:instrText>
      </w:r>
      <w:r>
        <w:fldChar w:fldCharType="separate"/>
      </w:r>
      <w:r>
        <w:rPr>
          <w:rStyle w:val="139"/>
          <w:kern w:val="0"/>
          <w14:scene3d w14:prst="orthographicFront">
            <w14:lightRig w14:rig="threePt" w14:dir="t">
              <w14:rot w14:lat="0" w14:lon="0" w14:rev="0"/>
            </w14:lightRig>
          </w14:scene3d>
        </w:rPr>
        <w:t>31.4.17.</w:t>
      </w:r>
      <w:r>
        <w:rPr>
          <w:rStyle w:val="139"/>
        </w:rPr>
        <w:t xml:space="preserve"> CAS认证</w:t>
      </w:r>
      <w:r>
        <w:tab/>
      </w:r>
      <w:r>
        <w:fldChar w:fldCharType="begin"/>
      </w:r>
      <w:r>
        <w:instrText xml:space="preserve"> PAGEREF _Toc196728514 \h </w:instrText>
      </w:r>
      <w:r>
        <w:fldChar w:fldCharType="separate"/>
      </w:r>
      <w:r>
        <w:t>796</w:t>
      </w:r>
      <w:r>
        <w:fldChar w:fldCharType="end"/>
      </w:r>
      <w:r>
        <w:fldChar w:fldCharType="end"/>
      </w:r>
    </w:p>
    <w:p w14:paraId="59F024D3">
      <w:pPr>
        <w:pStyle w:val="42"/>
        <w:tabs>
          <w:tab w:val="right" w:leader="dot" w:pos="8296"/>
        </w:tabs>
        <w:ind w:left="840"/>
        <w:rPr>
          <w:rFonts w:asciiTheme="minorHAnsi" w:hAnsiTheme="minorHAnsi" w:eastAsiaTheme="minorEastAsia"/>
        </w:rPr>
      </w:pPr>
      <w:r>
        <w:fldChar w:fldCharType="begin"/>
      </w:r>
      <w:r>
        <w:instrText xml:space="preserve"> HYPERLINK \l "_Toc196728515" </w:instrText>
      </w:r>
      <w:r>
        <w:fldChar w:fldCharType="separate"/>
      </w:r>
      <w:r>
        <w:rPr>
          <w:rStyle w:val="139"/>
          <w:kern w:val="0"/>
          <w14:scene3d w14:prst="orthographicFront">
            <w14:lightRig w14:rig="threePt" w14:dir="t">
              <w14:rot w14:lat="0" w14:lon="0" w14:rev="0"/>
            </w14:lightRig>
          </w14:scene3d>
        </w:rPr>
        <w:t>31.4.18.</w:t>
      </w:r>
      <w:r>
        <w:rPr>
          <w:rStyle w:val="139"/>
        </w:rPr>
        <w:t xml:space="preserve"> OAUTH认证</w:t>
      </w:r>
      <w:r>
        <w:tab/>
      </w:r>
      <w:r>
        <w:fldChar w:fldCharType="begin"/>
      </w:r>
      <w:r>
        <w:instrText xml:space="preserve"> PAGEREF _Toc196728515 \h </w:instrText>
      </w:r>
      <w:r>
        <w:fldChar w:fldCharType="separate"/>
      </w:r>
      <w:r>
        <w:t>801</w:t>
      </w:r>
      <w:r>
        <w:fldChar w:fldCharType="end"/>
      </w:r>
      <w:r>
        <w:fldChar w:fldCharType="end"/>
      </w:r>
    </w:p>
    <w:p w14:paraId="6CC18A2B">
      <w:pPr>
        <w:pStyle w:val="42"/>
        <w:tabs>
          <w:tab w:val="right" w:leader="dot" w:pos="8296"/>
        </w:tabs>
        <w:ind w:left="840"/>
        <w:rPr>
          <w:rFonts w:asciiTheme="minorHAnsi" w:hAnsiTheme="minorHAnsi" w:eastAsiaTheme="minorEastAsia"/>
        </w:rPr>
      </w:pPr>
      <w:r>
        <w:fldChar w:fldCharType="begin"/>
      </w:r>
      <w:r>
        <w:instrText xml:space="preserve"> HYPERLINK \l "_Toc196728516" </w:instrText>
      </w:r>
      <w:r>
        <w:fldChar w:fldCharType="separate"/>
      </w:r>
      <w:r>
        <w:rPr>
          <w:rStyle w:val="139"/>
          <w:kern w:val="0"/>
          <w14:scene3d w14:prst="orthographicFront">
            <w14:lightRig w14:rig="threePt" w14:dir="t">
              <w14:rot w14:lat="0" w14:lon="0" w14:rev="0"/>
            </w14:lightRig>
          </w14:scene3d>
        </w:rPr>
        <w:t>31.4.19.</w:t>
      </w:r>
      <w:r>
        <w:rPr>
          <w:rStyle w:val="139"/>
        </w:rPr>
        <w:t xml:space="preserve"> 移动SIM认证</w:t>
      </w:r>
      <w:r>
        <w:tab/>
      </w:r>
      <w:r>
        <w:fldChar w:fldCharType="begin"/>
      </w:r>
      <w:r>
        <w:instrText xml:space="preserve"> PAGEREF _Toc196728516 \h </w:instrText>
      </w:r>
      <w:r>
        <w:fldChar w:fldCharType="separate"/>
      </w:r>
      <w:r>
        <w:t>805</w:t>
      </w:r>
      <w:r>
        <w:fldChar w:fldCharType="end"/>
      </w:r>
      <w:r>
        <w:fldChar w:fldCharType="end"/>
      </w:r>
    </w:p>
    <w:p w14:paraId="57DE7374">
      <w:pPr>
        <w:pStyle w:val="42"/>
        <w:tabs>
          <w:tab w:val="right" w:leader="dot" w:pos="8296"/>
        </w:tabs>
        <w:ind w:left="840"/>
        <w:rPr>
          <w:rFonts w:asciiTheme="minorHAnsi" w:hAnsiTheme="minorHAnsi" w:eastAsiaTheme="minorEastAsia"/>
        </w:rPr>
      </w:pPr>
      <w:r>
        <w:fldChar w:fldCharType="begin"/>
      </w:r>
      <w:r>
        <w:instrText xml:space="preserve"> HYPERLINK \l "_Toc196728517" </w:instrText>
      </w:r>
      <w:r>
        <w:fldChar w:fldCharType="separate"/>
      </w:r>
      <w:r>
        <w:rPr>
          <w:rStyle w:val="139"/>
          <w:kern w:val="0"/>
          <w14:scene3d w14:prst="orthographicFront">
            <w14:lightRig w14:rig="threePt" w14:dir="t">
              <w14:rot w14:lat="0" w14:lon="0" w14:rev="0"/>
            </w14:lightRig>
          </w14:scene3d>
        </w:rPr>
        <w:t>31.4.20.</w:t>
      </w:r>
      <w:r>
        <w:rPr>
          <w:rStyle w:val="139"/>
        </w:rPr>
        <w:t xml:space="preserve"> 混合认证</w:t>
      </w:r>
      <w:r>
        <w:tab/>
      </w:r>
      <w:r>
        <w:fldChar w:fldCharType="begin"/>
      </w:r>
      <w:r>
        <w:instrText xml:space="preserve"> PAGEREF _Toc196728517 \h </w:instrText>
      </w:r>
      <w:r>
        <w:fldChar w:fldCharType="separate"/>
      </w:r>
      <w:r>
        <w:t>810</w:t>
      </w:r>
      <w:r>
        <w:fldChar w:fldCharType="end"/>
      </w:r>
      <w:r>
        <w:fldChar w:fldCharType="end"/>
      </w:r>
    </w:p>
    <w:p w14:paraId="0C000F45">
      <w:pPr>
        <w:pStyle w:val="42"/>
        <w:tabs>
          <w:tab w:val="right" w:leader="dot" w:pos="8296"/>
        </w:tabs>
        <w:ind w:left="840"/>
        <w:rPr>
          <w:rFonts w:asciiTheme="minorHAnsi" w:hAnsiTheme="minorHAnsi" w:eastAsiaTheme="minorEastAsia"/>
        </w:rPr>
      </w:pPr>
      <w:r>
        <w:fldChar w:fldCharType="begin"/>
      </w:r>
      <w:r>
        <w:instrText xml:space="preserve"> HYPERLINK \l "_Toc196728518" </w:instrText>
      </w:r>
      <w:r>
        <w:fldChar w:fldCharType="separate"/>
      </w:r>
      <w:r>
        <w:rPr>
          <w:rStyle w:val="139"/>
          <w:kern w:val="0"/>
          <w14:scene3d w14:prst="orthographicFront">
            <w14:lightRig w14:rig="threePt" w14:dir="t">
              <w14:rot w14:lat="0" w14:lon="0" w14:rev="0"/>
            </w14:lightRig>
          </w14:scene3d>
        </w:rPr>
        <w:t>31.4.21.</w:t>
      </w:r>
      <w:r>
        <w:rPr>
          <w:rStyle w:val="139"/>
        </w:rPr>
        <w:t xml:space="preserve"> 认证模板设置</w:t>
      </w:r>
      <w:r>
        <w:tab/>
      </w:r>
      <w:r>
        <w:fldChar w:fldCharType="begin"/>
      </w:r>
      <w:r>
        <w:instrText xml:space="preserve"> PAGEREF _Toc196728518 \h </w:instrText>
      </w:r>
      <w:r>
        <w:fldChar w:fldCharType="separate"/>
      </w:r>
      <w:r>
        <w:t>812</w:t>
      </w:r>
      <w:r>
        <w:fldChar w:fldCharType="end"/>
      </w:r>
      <w:r>
        <w:fldChar w:fldCharType="end"/>
      </w:r>
    </w:p>
    <w:p w14:paraId="795693A5">
      <w:pPr>
        <w:pStyle w:val="70"/>
        <w:tabs>
          <w:tab w:val="right" w:leader="dot" w:pos="8296"/>
        </w:tabs>
        <w:ind w:left="420"/>
        <w:rPr>
          <w:rFonts w:asciiTheme="minorHAnsi" w:hAnsiTheme="minorHAnsi" w:eastAsiaTheme="minorEastAsia"/>
        </w:rPr>
      </w:pPr>
      <w:r>
        <w:fldChar w:fldCharType="begin"/>
      </w:r>
      <w:r>
        <w:instrText xml:space="preserve"> HYPERLINK \l "_Toc196728519" </w:instrText>
      </w:r>
      <w:r>
        <w:fldChar w:fldCharType="separate"/>
      </w:r>
      <w:r>
        <w:rPr>
          <w:rStyle w:val="139"/>
        </w:rPr>
        <w:t>31.5. 配置认证服务器</w:t>
      </w:r>
      <w:r>
        <w:tab/>
      </w:r>
      <w:r>
        <w:fldChar w:fldCharType="begin"/>
      </w:r>
      <w:r>
        <w:instrText xml:space="preserve"> PAGEREF _Toc196728519 \h </w:instrText>
      </w:r>
      <w:r>
        <w:fldChar w:fldCharType="separate"/>
      </w:r>
      <w:r>
        <w:t>839</w:t>
      </w:r>
      <w:r>
        <w:fldChar w:fldCharType="end"/>
      </w:r>
      <w:r>
        <w:fldChar w:fldCharType="end"/>
      </w:r>
    </w:p>
    <w:p w14:paraId="096B0905">
      <w:pPr>
        <w:pStyle w:val="42"/>
        <w:tabs>
          <w:tab w:val="right" w:leader="dot" w:pos="8296"/>
        </w:tabs>
        <w:ind w:left="840"/>
        <w:rPr>
          <w:rFonts w:asciiTheme="minorHAnsi" w:hAnsiTheme="minorHAnsi" w:eastAsiaTheme="minorEastAsia"/>
        </w:rPr>
      </w:pPr>
      <w:r>
        <w:fldChar w:fldCharType="begin"/>
      </w:r>
      <w:r>
        <w:instrText xml:space="preserve"> HYPERLINK \l "_Toc196728520" </w:instrText>
      </w:r>
      <w:r>
        <w:fldChar w:fldCharType="separate"/>
      </w:r>
      <w:r>
        <w:rPr>
          <w:rStyle w:val="139"/>
          <w:kern w:val="0"/>
          <w14:scene3d w14:prst="orthographicFront">
            <w14:lightRig w14:rig="threePt" w14:dir="t">
              <w14:rot w14:lat="0" w14:lon="0" w14:rev="0"/>
            </w14:lightRig>
          </w14:scene3d>
        </w:rPr>
        <w:t>31.5.1.</w:t>
      </w:r>
      <w:r>
        <w:rPr>
          <w:rStyle w:val="139"/>
        </w:rPr>
        <w:t xml:space="preserve"> 配置LDAP</w:t>
      </w:r>
      <w:r>
        <w:tab/>
      </w:r>
      <w:r>
        <w:fldChar w:fldCharType="begin"/>
      </w:r>
      <w:r>
        <w:instrText xml:space="preserve"> PAGEREF _Toc196728520 \h </w:instrText>
      </w:r>
      <w:r>
        <w:fldChar w:fldCharType="separate"/>
      </w:r>
      <w:r>
        <w:t>841</w:t>
      </w:r>
      <w:r>
        <w:fldChar w:fldCharType="end"/>
      </w:r>
      <w:r>
        <w:fldChar w:fldCharType="end"/>
      </w:r>
    </w:p>
    <w:p w14:paraId="6A45C3D4">
      <w:pPr>
        <w:pStyle w:val="42"/>
        <w:tabs>
          <w:tab w:val="right" w:leader="dot" w:pos="8296"/>
        </w:tabs>
        <w:ind w:left="840"/>
        <w:rPr>
          <w:rFonts w:asciiTheme="minorHAnsi" w:hAnsiTheme="minorHAnsi" w:eastAsiaTheme="minorEastAsia"/>
        </w:rPr>
      </w:pPr>
      <w:r>
        <w:fldChar w:fldCharType="begin"/>
      </w:r>
      <w:r>
        <w:instrText xml:space="preserve"> HYPERLINK \l "_Toc196728521" </w:instrText>
      </w:r>
      <w:r>
        <w:fldChar w:fldCharType="separate"/>
      </w:r>
      <w:r>
        <w:rPr>
          <w:rStyle w:val="139"/>
          <w:kern w:val="0"/>
          <w14:scene3d w14:prst="orthographicFront">
            <w14:lightRig w14:rig="threePt" w14:dir="t">
              <w14:rot w14:lat="0" w14:lon="0" w14:rev="0"/>
            </w14:lightRig>
          </w14:scene3d>
        </w:rPr>
        <w:t>31.5.2.</w:t>
      </w:r>
      <w:r>
        <w:rPr>
          <w:rStyle w:val="139"/>
        </w:rPr>
        <w:t xml:space="preserve"> 配置RADIUS</w:t>
      </w:r>
      <w:r>
        <w:tab/>
      </w:r>
      <w:r>
        <w:fldChar w:fldCharType="begin"/>
      </w:r>
      <w:r>
        <w:instrText xml:space="preserve"> PAGEREF _Toc196728521 \h </w:instrText>
      </w:r>
      <w:r>
        <w:fldChar w:fldCharType="separate"/>
      </w:r>
      <w:r>
        <w:t>846</w:t>
      </w:r>
      <w:r>
        <w:fldChar w:fldCharType="end"/>
      </w:r>
      <w:r>
        <w:fldChar w:fldCharType="end"/>
      </w:r>
    </w:p>
    <w:p w14:paraId="11769301">
      <w:pPr>
        <w:pStyle w:val="42"/>
        <w:tabs>
          <w:tab w:val="right" w:leader="dot" w:pos="8296"/>
        </w:tabs>
        <w:ind w:left="840"/>
        <w:rPr>
          <w:rFonts w:asciiTheme="minorHAnsi" w:hAnsiTheme="minorHAnsi" w:eastAsiaTheme="minorEastAsia"/>
        </w:rPr>
      </w:pPr>
      <w:r>
        <w:fldChar w:fldCharType="begin"/>
      </w:r>
      <w:r>
        <w:instrText xml:space="preserve"> HYPERLINK \l "_Toc196728522" </w:instrText>
      </w:r>
      <w:r>
        <w:fldChar w:fldCharType="separate"/>
      </w:r>
      <w:r>
        <w:rPr>
          <w:rStyle w:val="139"/>
          <w:kern w:val="0"/>
          <w14:scene3d w14:prst="orthographicFront">
            <w14:lightRig w14:rig="threePt" w14:dir="t">
              <w14:rot w14:lat="0" w14:lon="0" w14:rev="0"/>
            </w14:lightRig>
          </w14:scene3d>
        </w:rPr>
        <w:t>31.5.3.</w:t>
      </w:r>
      <w:r>
        <w:rPr>
          <w:rStyle w:val="139"/>
        </w:rPr>
        <w:t xml:space="preserve"> 配置POP3服务器</w:t>
      </w:r>
      <w:r>
        <w:tab/>
      </w:r>
      <w:r>
        <w:fldChar w:fldCharType="begin"/>
      </w:r>
      <w:r>
        <w:instrText xml:space="preserve"> PAGEREF _Toc196728522 \h </w:instrText>
      </w:r>
      <w:r>
        <w:fldChar w:fldCharType="separate"/>
      </w:r>
      <w:r>
        <w:t>848</w:t>
      </w:r>
      <w:r>
        <w:fldChar w:fldCharType="end"/>
      </w:r>
      <w:r>
        <w:fldChar w:fldCharType="end"/>
      </w:r>
    </w:p>
    <w:p w14:paraId="0CF251ED">
      <w:pPr>
        <w:pStyle w:val="42"/>
        <w:tabs>
          <w:tab w:val="right" w:leader="dot" w:pos="8296"/>
        </w:tabs>
        <w:ind w:left="840"/>
        <w:rPr>
          <w:rFonts w:asciiTheme="minorHAnsi" w:hAnsiTheme="minorHAnsi" w:eastAsiaTheme="minorEastAsia"/>
        </w:rPr>
      </w:pPr>
      <w:r>
        <w:fldChar w:fldCharType="begin"/>
      </w:r>
      <w:r>
        <w:instrText xml:space="preserve"> HYPERLINK \l "_Toc196728523" </w:instrText>
      </w:r>
      <w:r>
        <w:fldChar w:fldCharType="separate"/>
      </w:r>
      <w:r>
        <w:rPr>
          <w:rStyle w:val="139"/>
          <w:kern w:val="0"/>
          <w14:scene3d w14:prst="orthographicFront">
            <w14:lightRig w14:rig="threePt" w14:dir="t">
              <w14:rot w14:lat="0" w14:lon="0" w14:rev="0"/>
            </w14:lightRig>
          </w14:scene3d>
        </w:rPr>
        <w:t>31.5.4.</w:t>
      </w:r>
      <w:r>
        <w:rPr>
          <w:rStyle w:val="139"/>
        </w:rPr>
        <w:t xml:space="preserve"> 配置数据库服务器</w:t>
      </w:r>
      <w:r>
        <w:tab/>
      </w:r>
      <w:r>
        <w:fldChar w:fldCharType="begin"/>
      </w:r>
      <w:r>
        <w:instrText xml:space="preserve"> PAGEREF _Toc196728523 \h </w:instrText>
      </w:r>
      <w:r>
        <w:fldChar w:fldCharType="separate"/>
      </w:r>
      <w:r>
        <w:t>849</w:t>
      </w:r>
      <w:r>
        <w:fldChar w:fldCharType="end"/>
      </w:r>
      <w:r>
        <w:fldChar w:fldCharType="end"/>
      </w:r>
    </w:p>
    <w:p w14:paraId="473DAC4A">
      <w:pPr>
        <w:pStyle w:val="42"/>
        <w:tabs>
          <w:tab w:val="right" w:leader="dot" w:pos="8296"/>
        </w:tabs>
        <w:ind w:left="840"/>
        <w:rPr>
          <w:rFonts w:asciiTheme="minorHAnsi" w:hAnsiTheme="minorHAnsi" w:eastAsiaTheme="minorEastAsia"/>
        </w:rPr>
      </w:pPr>
      <w:r>
        <w:fldChar w:fldCharType="begin"/>
      </w:r>
      <w:r>
        <w:instrText xml:space="preserve"> HYPERLINK \l "_Toc196728524" </w:instrText>
      </w:r>
      <w:r>
        <w:fldChar w:fldCharType="separate"/>
      </w:r>
      <w:r>
        <w:rPr>
          <w:rStyle w:val="139"/>
          <w:kern w:val="0"/>
          <w14:scene3d w14:prst="orthographicFront">
            <w14:lightRig w14:rig="threePt" w14:dir="t">
              <w14:rot w14:lat="0" w14:lon="0" w14:rev="0"/>
            </w14:lightRig>
          </w14:scene3d>
        </w:rPr>
        <w:t>31.5.5.</w:t>
      </w:r>
      <w:r>
        <w:rPr>
          <w:rStyle w:val="139"/>
        </w:rPr>
        <w:t xml:space="preserve"> 配置CAS服务器</w:t>
      </w:r>
      <w:r>
        <w:tab/>
      </w:r>
      <w:r>
        <w:fldChar w:fldCharType="begin"/>
      </w:r>
      <w:r>
        <w:instrText xml:space="preserve"> PAGEREF _Toc196728524 \h </w:instrText>
      </w:r>
      <w:r>
        <w:fldChar w:fldCharType="separate"/>
      </w:r>
      <w:r>
        <w:t>851</w:t>
      </w:r>
      <w:r>
        <w:fldChar w:fldCharType="end"/>
      </w:r>
      <w:r>
        <w:fldChar w:fldCharType="end"/>
      </w:r>
    </w:p>
    <w:p w14:paraId="24077FC1">
      <w:pPr>
        <w:pStyle w:val="42"/>
        <w:tabs>
          <w:tab w:val="right" w:leader="dot" w:pos="8296"/>
        </w:tabs>
        <w:ind w:left="840"/>
        <w:rPr>
          <w:rFonts w:asciiTheme="minorHAnsi" w:hAnsiTheme="minorHAnsi" w:eastAsiaTheme="minorEastAsia"/>
        </w:rPr>
      </w:pPr>
      <w:r>
        <w:fldChar w:fldCharType="begin"/>
      </w:r>
      <w:r>
        <w:instrText xml:space="preserve"> HYPERLINK \l "_Toc196728525" </w:instrText>
      </w:r>
      <w:r>
        <w:fldChar w:fldCharType="separate"/>
      </w:r>
      <w:r>
        <w:rPr>
          <w:rStyle w:val="139"/>
          <w:kern w:val="0"/>
          <w14:scene3d w14:prst="orthographicFront">
            <w14:lightRig w14:rig="threePt" w14:dir="t">
              <w14:rot w14:lat="0" w14:lon="0" w14:rev="0"/>
            </w14:lightRig>
          </w14:scene3d>
        </w:rPr>
        <w:t>31.5.6.</w:t>
      </w:r>
      <w:r>
        <w:rPr>
          <w:rStyle w:val="139"/>
        </w:rPr>
        <w:t xml:space="preserve"> 配置OAUTH服务器</w:t>
      </w:r>
      <w:r>
        <w:tab/>
      </w:r>
      <w:r>
        <w:fldChar w:fldCharType="begin"/>
      </w:r>
      <w:r>
        <w:instrText xml:space="preserve"> PAGEREF _Toc196728525 \h </w:instrText>
      </w:r>
      <w:r>
        <w:fldChar w:fldCharType="separate"/>
      </w:r>
      <w:r>
        <w:t>852</w:t>
      </w:r>
      <w:r>
        <w:fldChar w:fldCharType="end"/>
      </w:r>
      <w:r>
        <w:fldChar w:fldCharType="end"/>
      </w:r>
    </w:p>
    <w:p w14:paraId="4EBCE608">
      <w:pPr>
        <w:pStyle w:val="70"/>
        <w:tabs>
          <w:tab w:val="right" w:leader="dot" w:pos="8296"/>
        </w:tabs>
        <w:ind w:left="420"/>
        <w:rPr>
          <w:rFonts w:asciiTheme="minorHAnsi" w:hAnsiTheme="minorHAnsi" w:eastAsiaTheme="minorEastAsia"/>
        </w:rPr>
      </w:pPr>
      <w:r>
        <w:fldChar w:fldCharType="begin"/>
      </w:r>
      <w:r>
        <w:instrText xml:space="preserve"> HYPERLINK \l "_Toc196728526" </w:instrText>
      </w:r>
      <w:r>
        <w:fldChar w:fldCharType="separate"/>
      </w:r>
      <w:r>
        <w:rPr>
          <w:rStyle w:val="139"/>
        </w:rPr>
        <w:t>31.6. 用户自注册</w:t>
      </w:r>
      <w:r>
        <w:tab/>
      </w:r>
      <w:r>
        <w:fldChar w:fldCharType="begin"/>
      </w:r>
      <w:r>
        <w:instrText xml:space="preserve"> PAGEREF _Toc196728526 \h </w:instrText>
      </w:r>
      <w:r>
        <w:fldChar w:fldCharType="separate"/>
      </w:r>
      <w:r>
        <w:t>853</w:t>
      </w:r>
      <w:r>
        <w:fldChar w:fldCharType="end"/>
      </w:r>
      <w:r>
        <w:fldChar w:fldCharType="end"/>
      </w:r>
    </w:p>
    <w:p w14:paraId="3FD18F5B">
      <w:pPr>
        <w:pStyle w:val="42"/>
        <w:tabs>
          <w:tab w:val="right" w:leader="dot" w:pos="8296"/>
        </w:tabs>
        <w:ind w:left="840"/>
        <w:rPr>
          <w:rFonts w:asciiTheme="minorHAnsi" w:hAnsiTheme="minorHAnsi" w:eastAsiaTheme="minorEastAsia"/>
        </w:rPr>
      </w:pPr>
      <w:r>
        <w:fldChar w:fldCharType="begin"/>
      </w:r>
      <w:r>
        <w:instrText xml:space="preserve"> HYPERLINK \l "_Toc196728527" </w:instrText>
      </w:r>
      <w:r>
        <w:fldChar w:fldCharType="separate"/>
      </w:r>
      <w:r>
        <w:rPr>
          <w:rStyle w:val="139"/>
          <w:kern w:val="0"/>
          <w14:scene3d w14:prst="orthographicFront">
            <w14:lightRig w14:rig="threePt" w14:dir="t">
              <w14:rot w14:lat="0" w14:lon="0" w14:rev="0"/>
            </w14:lightRig>
          </w14:scene3d>
        </w:rPr>
        <w:t>31.6.1.</w:t>
      </w:r>
      <w:r>
        <w:rPr>
          <w:rStyle w:val="139"/>
        </w:rPr>
        <w:t xml:space="preserve"> 概述</w:t>
      </w:r>
      <w:r>
        <w:tab/>
      </w:r>
      <w:r>
        <w:fldChar w:fldCharType="begin"/>
      </w:r>
      <w:r>
        <w:instrText xml:space="preserve"> PAGEREF _Toc196728527 \h </w:instrText>
      </w:r>
      <w:r>
        <w:fldChar w:fldCharType="separate"/>
      </w:r>
      <w:r>
        <w:t>853</w:t>
      </w:r>
      <w:r>
        <w:fldChar w:fldCharType="end"/>
      </w:r>
      <w:r>
        <w:fldChar w:fldCharType="end"/>
      </w:r>
    </w:p>
    <w:p w14:paraId="657576B7">
      <w:pPr>
        <w:pStyle w:val="42"/>
        <w:tabs>
          <w:tab w:val="right" w:leader="dot" w:pos="8296"/>
        </w:tabs>
        <w:ind w:left="840"/>
        <w:rPr>
          <w:rFonts w:asciiTheme="minorHAnsi" w:hAnsiTheme="minorHAnsi" w:eastAsiaTheme="minorEastAsia"/>
        </w:rPr>
      </w:pPr>
      <w:r>
        <w:fldChar w:fldCharType="begin"/>
      </w:r>
      <w:r>
        <w:instrText xml:space="preserve"> HYPERLINK \l "_Toc196728528" </w:instrText>
      </w:r>
      <w:r>
        <w:fldChar w:fldCharType="separate"/>
      </w:r>
      <w:r>
        <w:rPr>
          <w:rStyle w:val="139"/>
          <w:kern w:val="0"/>
          <w14:scene3d w14:prst="orthographicFront">
            <w14:lightRig w14:rig="threePt" w14:dir="t">
              <w14:rot w14:lat="0" w14:lon="0" w14:rev="0"/>
            </w14:lightRig>
          </w14:scene3d>
        </w:rPr>
        <w:t>31.6.2.</w:t>
      </w:r>
      <w:r>
        <w:rPr>
          <w:rStyle w:val="139"/>
        </w:rPr>
        <w:t xml:space="preserve"> 配置自定义属性（可选）</w:t>
      </w:r>
      <w:r>
        <w:tab/>
      </w:r>
      <w:r>
        <w:fldChar w:fldCharType="begin"/>
      </w:r>
      <w:r>
        <w:instrText xml:space="preserve"> PAGEREF _Toc196728528 \h </w:instrText>
      </w:r>
      <w:r>
        <w:fldChar w:fldCharType="separate"/>
      </w:r>
      <w:r>
        <w:t>853</w:t>
      </w:r>
      <w:r>
        <w:fldChar w:fldCharType="end"/>
      </w:r>
      <w:r>
        <w:fldChar w:fldCharType="end"/>
      </w:r>
    </w:p>
    <w:p w14:paraId="66583075">
      <w:pPr>
        <w:pStyle w:val="42"/>
        <w:tabs>
          <w:tab w:val="right" w:leader="dot" w:pos="8296"/>
        </w:tabs>
        <w:ind w:left="840"/>
        <w:rPr>
          <w:rFonts w:asciiTheme="minorHAnsi" w:hAnsiTheme="minorHAnsi" w:eastAsiaTheme="minorEastAsia"/>
        </w:rPr>
      </w:pPr>
      <w:r>
        <w:fldChar w:fldCharType="begin"/>
      </w:r>
      <w:r>
        <w:instrText xml:space="preserve"> HYPERLINK \l "_Toc196728529" </w:instrText>
      </w:r>
      <w:r>
        <w:fldChar w:fldCharType="separate"/>
      </w:r>
      <w:r>
        <w:rPr>
          <w:rStyle w:val="139"/>
          <w:kern w:val="0"/>
          <w14:scene3d w14:prst="orthographicFront">
            <w14:lightRig w14:rig="threePt" w14:dir="t">
              <w14:rot w14:lat="0" w14:lon="0" w14:rev="0"/>
            </w14:lightRig>
          </w14:scene3d>
        </w:rPr>
        <w:t>31.6.3.</w:t>
      </w:r>
      <w:r>
        <w:rPr>
          <w:rStyle w:val="139"/>
        </w:rPr>
        <w:t xml:space="preserve"> 配置用户自注册</w:t>
      </w:r>
      <w:r>
        <w:tab/>
      </w:r>
      <w:r>
        <w:fldChar w:fldCharType="begin"/>
      </w:r>
      <w:r>
        <w:instrText xml:space="preserve"> PAGEREF _Toc196728529 \h </w:instrText>
      </w:r>
      <w:r>
        <w:fldChar w:fldCharType="separate"/>
      </w:r>
      <w:r>
        <w:t>854</w:t>
      </w:r>
      <w:r>
        <w:fldChar w:fldCharType="end"/>
      </w:r>
      <w:r>
        <w:fldChar w:fldCharType="end"/>
      </w:r>
    </w:p>
    <w:p w14:paraId="6047DA82">
      <w:pPr>
        <w:pStyle w:val="42"/>
        <w:tabs>
          <w:tab w:val="right" w:leader="dot" w:pos="8296"/>
        </w:tabs>
        <w:ind w:left="840"/>
        <w:rPr>
          <w:rFonts w:asciiTheme="minorHAnsi" w:hAnsiTheme="minorHAnsi" w:eastAsiaTheme="minorEastAsia"/>
        </w:rPr>
      </w:pPr>
      <w:r>
        <w:fldChar w:fldCharType="begin"/>
      </w:r>
      <w:r>
        <w:instrText xml:space="preserve"> HYPERLINK \l "_Toc196728530" </w:instrText>
      </w:r>
      <w:r>
        <w:fldChar w:fldCharType="separate"/>
      </w:r>
      <w:r>
        <w:rPr>
          <w:rStyle w:val="139"/>
          <w:kern w:val="0"/>
          <w14:scene3d w14:prst="orthographicFront">
            <w14:lightRig w14:rig="threePt" w14:dir="t">
              <w14:rot w14:lat="0" w14:lon="0" w14:rev="0"/>
            </w14:lightRig>
          </w14:scene3d>
        </w:rPr>
        <w:t>31.6.4.</w:t>
      </w:r>
      <w:r>
        <w:rPr>
          <w:rStyle w:val="139"/>
        </w:rPr>
        <w:t xml:space="preserve"> 配置认证策略</w:t>
      </w:r>
      <w:r>
        <w:tab/>
      </w:r>
      <w:r>
        <w:fldChar w:fldCharType="begin"/>
      </w:r>
      <w:r>
        <w:instrText xml:space="preserve"> PAGEREF _Toc196728530 \h </w:instrText>
      </w:r>
      <w:r>
        <w:fldChar w:fldCharType="separate"/>
      </w:r>
      <w:r>
        <w:t>858</w:t>
      </w:r>
      <w:r>
        <w:fldChar w:fldCharType="end"/>
      </w:r>
      <w:r>
        <w:fldChar w:fldCharType="end"/>
      </w:r>
    </w:p>
    <w:p w14:paraId="3F969D8B">
      <w:pPr>
        <w:pStyle w:val="42"/>
        <w:tabs>
          <w:tab w:val="right" w:leader="dot" w:pos="8296"/>
        </w:tabs>
        <w:ind w:left="840"/>
        <w:rPr>
          <w:rFonts w:asciiTheme="minorHAnsi" w:hAnsiTheme="minorHAnsi" w:eastAsiaTheme="minorEastAsia"/>
        </w:rPr>
      </w:pPr>
      <w:r>
        <w:fldChar w:fldCharType="begin"/>
      </w:r>
      <w:r>
        <w:instrText xml:space="preserve"> HYPERLINK \l "_Toc196728531" </w:instrText>
      </w:r>
      <w:r>
        <w:fldChar w:fldCharType="separate"/>
      </w:r>
      <w:r>
        <w:rPr>
          <w:rStyle w:val="139"/>
          <w:kern w:val="0"/>
          <w14:scene3d w14:prst="orthographicFront">
            <w14:lightRig w14:rig="threePt" w14:dir="t">
              <w14:rot w14:lat="0" w14:lon="0" w14:rev="0"/>
            </w14:lightRig>
          </w14:scene3d>
        </w:rPr>
        <w:t>31.6.5.</w:t>
      </w:r>
      <w:r>
        <w:rPr>
          <w:rStyle w:val="139"/>
        </w:rPr>
        <w:t xml:space="preserve"> 提交自注册信息</w:t>
      </w:r>
      <w:r>
        <w:tab/>
      </w:r>
      <w:r>
        <w:fldChar w:fldCharType="begin"/>
      </w:r>
      <w:r>
        <w:instrText xml:space="preserve"> PAGEREF _Toc196728531 \h </w:instrText>
      </w:r>
      <w:r>
        <w:fldChar w:fldCharType="separate"/>
      </w:r>
      <w:r>
        <w:t>859</w:t>
      </w:r>
      <w:r>
        <w:fldChar w:fldCharType="end"/>
      </w:r>
      <w:r>
        <w:fldChar w:fldCharType="end"/>
      </w:r>
    </w:p>
    <w:p w14:paraId="1026C20E">
      <w:pPr>
        <w:pStyle w:val="42"/>
        <w:tabs>
          <w:tab w:val="right" w:leader="dot" w:pos="8296"/>
        </w:tabs>
        <w:ind w:left="840"/>
        <w:rPr>
          <w:rFonts w:asciiTheme="minorHAnsi" w:hAnsiTheme="minorHAnsi" w:eastAsiaTheme="minorEastAsia"/>
        </w:rPr>
      </w:pPr>
      <w:r>
        <w:fldChar w:fldCharType="begin"/>
      </w:r>
      <w:r>
        <w:instrText xml:space="preserve"> HYPERLINK \l "_Toc196728532" </w:instrText>
      </w:r>
      <w:r>
        <w:fldChar w:fldCharType="separate"/>
      </w:r>
      <w:r>
        <w:rPr>
          <w:rStyle w:val="139"/>
          <w:kern w:val="0"/>
          <w14:scene3d w14:prst="orthographicFront">
            <w14:lightRig w14:rig="threePt" w14:dir="t">
              <w14:rot w14:lat="0" w14:lon="0" w14:rev="0"/>
            </w14:lightRig>
          </w14:scene3d>
        </w:rPr>
        <w:t>31.6.6.</w:t>
      </w:r>
      <w:r>
        <w:rPr>
          <w:rStyle w:val="139"/>
        </w:rPr>
        <w:t xml:space="preserve"> 管理员审批</w:t>
      </w:r>
      <w:r>
        <w:tab/>
      </w:r>
      <w:r>
        <w:fldChar w:fldCharType="begin"/>
      </w:r>
      <w:r>
        <w:instrText xml:space="preserve"> PAGEREF _Toc196728532 \h </w:instrText>
      </w:r>
      <w:r>
        <w:fldChar w:fldCharType="separate"/>
      </w:r>
      <w:r>
        <w:t>860</w:t>
      </w:r>
      <w:r>
        <w:fldChar w:fldCharType="end"/>
      </w:r>
      <w:r>
        <w:fldChar w:fldCharType="end"/>
      </w:r>
    </w:p>
    <w:p w14:paraId="39EF3D6C">
      <w:pPr>
        <w:pStyle w:val="70"/>
        <w:tabs>
          <w:tab w:val="right" w:leader="dot" w:pos="8296"/>
        </w:tabs>
        <w:ind w:left="420"/>
        <w:rPr>
          <w:rFonts w:asciiTheme="minorHAnsi" w:hAnsiTheme="minorHAnsi" w:eastAsiaTheme="minorEastAsia"/>
        </w:rPr>
      </w:pPr>
      <w:r>
        <w:fldChar w:fldCharType="begin"/>
      </w:r>
      <w:r>
        <w:instrText xml:space="preserve"> HYPERLINK \l "_Toc196728533" </w:instrText>
      </w:r>
      <w:r>
        <w:fldChar w:fldCharType="separate"/>
      </w:r>
      <w:r>
        <w:rPr>
          <w:rStyle w:val="139"/>
        </w:rPr>
        <w:t>31.7. 802.1x认证配置</w:t>
      </w:r>
      <w:r>
        <w:tab/>
      </w:r>
      <w:r>
        <w:fldChar w:fldCharType="begin"/>
      </w:r>
      <w:r>
        <w:instrText xml:space="preserve"> PAGEREF _Toc196728533 \h </w:instrText>
      </w:r>
      <w:r>
        <w:fldChar w:fldCharType="separate"/>
      </w:r>
      <w:r>
        <w:t>862</w:t>
      </w:r>
      <w:r>
        <w:fldChar w:fldCharType="end"/>
      </w:r>
      <w:r>
        <w:fldChar w:fldCharType="end"/>
      </w:r>
    </w:p>
    <w:p w14:paraId="2A1423C4">
      <w:pPr>
        <w:pStyle w:val="42"/>
        <w:tabs>
          <w:tab w:val="right" w:leader="dot" w:pos="8296"/>
        </w:tabs>
        <w:ind w:left="840"/>
        <w:rPr>
          <w:rFonts w:asciiTheme="minorHAnsi" w:hAnsiTheme="minorHAnsi" w:eastAsiaTheme="minorEastAsia"/>
        </w:rPr>
      </w:pPr>
      <w:r>
        <w:fldChar w:fldCharType="begin"/>
      </w:r>
      <w:r>
        <w:instrText xml:space="preserve"> HYPERLINK \l "_Toc196728534" </w:instrText>
      </w:r>
      <w:r>
        <w:fldChar w:fldCharType="separate"/>
      </w:r>
      <w:r>
        <w:rPr>
          <w:rStyle w:val="139"/>
          <w:kern w:val="0"/>
          <w14:scene3d w14:prst="orthographicFront">
            <w14:lightRig w14:rig="threePt" w14:dir="t">
              <w14:rot w14:lat="0" w14:lon="0" w14:rev="0"/>
            </w14:lightRig>
          </w14:scene3d>
        </w:rPr>
        <w:t>31.7.2.</w:t>
      </w:r>
      <w:r>
        <w:rPr>
          <w:rStyle w:val="139"/>
        </w:rPr>
        <w:t xml:space="preserve"> 配置802.1x认证</w:t>
      </w:r>
      <w:r>
        <w:tab/>
      </w:r>
      <w:r>
        <w:fldChar w:fldCharType="begin"/>
      </w:r>
      <w:r>
        <w:instrText xml:space="preserve"> PAGEREF _Toc196728534 \h </w:instrText>
      </w:r>
      <w:r>
        <w:fldChar w:fldCharType="separate"/>
      </w:r>
      <w:r>
        <w:t>863</w:t>
      </w:r>
      <w:r>
        <w:fldChar w:fldCharType="end"/>
      </w:r>
      <w:r>
        <w:fldChar w:fldCharType="end"/>
      </w:r>
    </w:p>
    <w:p w14:paraId="61ACCD46">
      <w:pPr>
        <w:pStyle w:val="42"/>
        <w:tabs>
          <w:tab w:val="right" w:leader="dot" w:pos="8296"/>
        </w:tabs>
        <w:ind w:left="840"/>
        <w:rPr>
          <w:rFonts w:asciiTheme="minorHAnsi" w:hAnsiTheme="minorHAnsi" w:eastAsiaTheme="minorEastAsia"/>
        </w:rPr>
      </w:pPr>
      <w:r>
        <w:fldChar w:fldCharType="begin"/>
      </w:r>
      <w:r>
        <w:instrText xml:space="preserve"> HYPERLINK \l "_Toc196728535" </w:instrText>
      </w:r>
      <w:r>
        <w:fldChar w:fldCharType="separate"/>
      </w:r>
      <w:r>
        <w:rPr>
          <w:rStyle w:val="139"/>
          <w:kern w:val="0"/>
          <w14:scene3d w14:prst="orthographicFront">
            <w14:lightRig w14:rig="threePt" w14:dir="t">
              <w14:rot w14:lat="0" w14:lon="0" w14:rev="0"/>
            </w14:lightRig>
          </w14:scene3d>
        </w:rPr>
        <w:t>31.7.3.</w:t>
      </w:r>
      <w:r>
        <w:rPr>
          <w:rStyle w:val="139"/>
        </w:rPr>
        <w:t xml:space="preserve"> 配置802.1x vlan</w:t>
      </w:r>
      <w:r>
        <w:tab/>
      </w:r>
      <w:r>
        <w:fldChar w:fldCharType="begin"/>
      </w:r>
      <w:r>
        <w:instrText xml:space="preserve"> PAGEREF _Toc196728535 \h </w:instrText>
      </w:r>
      <w:r>
        <w:fldChar w:fldCharType="separate"/>
      </w:r>
      <w:r>
        <w:t>864</w:t>
      </w:r>
      <w:r>
        <w:fldChar w:fldCharType="end"/>
      </w:r>
      <w:r>
        <w:fldChar w:fldCharType="end"/>
      </w:r>
    </w:p>
    <w:p w14:paraId="3D4BE3AD">
      <w:pPr>
        <w:pStyle w:val="42"/>
        <w:tabs>
          <w:tab w:val="right" w:leader="dot" w:pos="8296"/>
        </w:tabs>
        <w:ind w:left="840"/>
        <w:rPr>
          <w:rFonts w:asciiTheme="minorHAnsi" w:hAnsiTheme="minorHAnsi" w:eastAsiaTheme="minorEastAsia"/>
        </w:rPr>
      </w:pPr>
      <w:r>
        <w:fldChar w:fldCharType="begin"/>
      </w:r>
      <w:r>
        <w:instrText xml:space="preserve"> HYPERLINK \l "_Toc196728536" </w:instrText>
      </w:r>
      <w:r>
        <w:fldChar w:fldCharType="separate"/>
      </w:r>
      <w:r>
        <w:rPr>
          <w:rStyle w:val="139"/>
          <w:kern w:val="0"/>
          <w14:scene3d w14:prst="orthographicFront">
            <w14:lightRig w14:rig="threePt" w14:dir="t">
              <w14:rot w14:lat="0" w14:lon="0" w14:rev="0"/>
            </w14:lightRig>
          </w14:scene3d>
        </w:rPr>
        <w:t>31.7.4.</w:t>
      </w:r>
      <w:r>
        <w:rPr>
          <w:rStyle w:val="139"/>
        </w:rPr>
        <w:t xml:space="preserve"> 配置交换机设备</w:t>
      </w:r>
      <w:r>
        <w:tab/>
      </w:r>
      <w:r>
        <w:fldChar w:fldCharType="begin"/>
      </w:r>
      <w:r>
        <w:instrText xml:space="preserve"> PAGEREF _Toc196728536 \h </w:instrText>
      </w:r>
      <w:r>
        <w:fldChar w:fldCharType="separate"/>
      </w:r>
      <w:r>
        <w:t>865</w:t>
      </w:r>
      <w:r>
        <w:fldChar w:fldCharType="end"/>
      </w:r>
      <w:r>
        <w:fldChar w:fldCharType="end"/>
      </w:r>
    </w:p>
    <w:p w14:paraId="236A373F">
      <w:pPr>
        <w:pStyle w:val="42"/>
        <w:tabs>
          <w:tab w:val="right" w:leader="dot" w:pos="8296"/>
        </w:tabs>
        <w:ind w:left="840"/>
        <w:rPr>
          <w:rFonts w:asciiTheme="minorHAnsi" w:hAnsiTheme="minorHAnsi" w:eastAsiaTheme="minorEastAsia"/>
        </w:rPr>
      </w:pPr>
      <w:r>
        <w:fldChar w:fldCharType="begin"/>
      </w:r>
      <w:r>
        <w:instrText xml:space="preserve"> HYPERLINK \l "_Toc196728537" </w:instrText>
      </w:r>
      <w:r>
        <w:fldChar w:fldCharType="separate"/>
      </w:r>
      <w:r>
        <w:rPr>
          <w:rStyle w:val="139"/>
          <w:kern w:val="0"/>
          <w14:scene3d w14:prst="orthographicFront">
            <w14:lightRig w14:rig="threePt" w14:dir="t">
              <w14:rot w14:lat="0" w14:lon="0" w14:rev="0"/>
            </w14:lightRig>
          </w14:scene3d>
        </w:rPr>
        <w:t>31.7.5.</w:t>
      </w:r>
      <w:r>
        <w:rPr>
          <w:rStyle w:val="139"/>
        </w:rPr>
        <w:t xml:space="preserve"> 联动交换机</w:t>
      </w:r>
      <w:r>
        <w:tab/>
      </w:r>
      <w:r>
        <w:fldChar w:fldCharType="begin"/>
      </w:r>
      <w:r>
        <w:instrText xml:space="preserve"> PAGEREF _Toc196728537 \h </w:instrText>
      </w:r>
      <w:r>
        <w:fldChar w:fldCharType="separate"/>
      </w:r>
      <w:r>
        <w:t>866</w:t>
      </w:r>
      <w:r>
        <w:fldChar w:fldCharType="end"/>
      </w:r>
      <w:r>
        <w:fldChar w:fldCharType="end"/>
      </w:r>
    </w:p>
    <w:p w14:paraId="3CD625BB">
      <w:pPr>
        <w:pStyle w:val="42"/>
        <w:tabs>
          <w:tab w:val="right" w:leader="dot" w:pos="8296"/>
        </w:tabs>
        <w:ind w:left="840"/>
        <w:rPr>
          <w:rFonts w:asciiTheme="minorHAnsi" w:hAnsiTheme="minorHAnsi" w:eastAsiaTheme="minorEastAsia"/>
        </w:rPr>
      </w:pPr>
      <w:r>
        <w:fldChar w:fldCharType="begin"/>
      </w:r>
      <w:r>
        <w:instrText xml:space="preserve"> HYPERLINK \l "_Toc196728538" </w:instrText>
      </w:r>
      <w:r>
        <w:fldChar w:fldCharType="separate"/>
      </w:r>
      <w:r>
        <w:rPr>
          <w:rStyle w:val="139"/>
          <w:kern w:val="0"/>
          <w14:scene3d w14:prst="orthographicFront">
            <w14:lightRig w14:rig="threePt" w14:dir="t">
              <w14:rot w14:lat="0" w14:lon="0" w14:rev="0"/>
            </w14:lightRig>
          </w14:scene3d>
        </w:rPr>
        <w:t>31.7.6.</w:t>
      </w:r>
      <w:r>
        <w:rPr>
          <w:rStyle w:val="139"/>
        </w:rPr>
        <w:t xml:space="preserve"> VLAN关联用户</w:t>
      </w:r>
      <w:r>
        <w:tab/>
      </w:r>
      <w:r>
        <w:fldChar w:fldCharType="begin"/>
      </w:r>
      <w:r>
        <w:instrText xml:space="preserve"> PAGEREF _Toc196728538 \h </w:instrText>
      </w:r>
      <w:r>
        <w:fldChar w:fldCharType="separate"/>
      </w:r>
      <w:r>
        <w:t>866</w:t>
      </w:r>
      <w:r>
        <w:fldChar w:fldCharType="end"/>
      </w:r>
      <w:r>
        <w:fldChar w:fldCharType="end"/>
      </w:r>
    </w:p>
    <w:p w14:paraId="7E725976">
      <w:pPr>
        <w:pStyle w:val="70"/>
        <w:tabs>
          <w:tab w:val="right" w:leader="dot" w:pos="8296"/>
        </w:tabs>
        <w:ind w:left="420"/>
        <w:rPr>
          <w:rFonts w:asciiTheme="minorHAnsi" w:hAnsiTheme="minorHAnsi" w:eastAsiaTheme="minorEastAsia"/>
        </w:rPr>
      </w:pPr>
      <w:r>
        <w:fldChar w:fldCharType="begin"/>
      </w:r>
      <w:r>
        <w:instrText xml:space="preserve"> HYPERLINK \l "_Toc196728539" </w:instrText>
      </w:r>
      <w:r>
        <w:fldChar w:fldCharType="separate"/>
      </w:r>
      <w:r>
        <w:rPr>
          <w:rStyle w:val="139"/>
        </w:rPr>
        <w:t>31.8. 高级选项</w:t>
      </w:r>
      <w:r>
        <w:tab/>
      </w:r>
      <w:r>
        <w:fldChar w:fldCharType="begin"/>
      </w:r>
      <w:r>
        <w:instrText xml:space="preserve"> PAGEREF _Toc196728539 \h </w:instrText>
      </w:r>
      <w:r>
        <w:fldChar w:fldCharType="separate"/>
      </w:r>
      <w:r>
        <w:t>866</w:t>
      </w:r>
      <w:r>
        <w:fldChar w:fldCharType="end"/>
      </w:r>
      <w:r>
        <w:fldChar w:fldCharType="end"/>
      </w:r>
    </w:p>
    <w:p w14:paraId="03DEFE9B">
      <w:pPr>
        <w:pStyle w:val="42"/>
        <w:tabs>
          <w:tab w:val="right" w:leader="dot" w:pos="8296"/>
        </w:tabs>
        <w:ind w:left="840"/>
        <w:rPr>
          <w:rFonts w:asciiTheme="minorHAnsi" w:hAnsiTheme="minorHAnsi" w:eastAsiaTheme="minorEastAsia"/>
        </w:rPr>
      </w:pPr>
      <w:r>
        <w:fldChar w:fldCharType="begin"/>
      </w:r>
      <w:r>
        <w:instrText xml:space="preserve"> HYPERLINK \l "_Toc196728540" </w:instrText>
      </w:r>
      <w:r>
        <w:fldChar w:fldCharType="separate"/>
      </w:r>
      <w:r>
        <w:rPr>
          <w:rStyle w:val="139"/>
          <w:kern w:val="0"/>
          <w14:scene3d w14:prst="orthographicFront">
            <w14:lightRig w14:rig="threePt" w14:dir="t">
              <w14:rot w14:lat="0" w14:lon="0" w14:rev="0"/>
            </w14:lightRig>
          </w14:scene3d>
        </w:rPr>
        <w:t>31.8.1.</w:t>
      </w:r>
      <w:r>
        <w:rPr>
          <w:rStyle w:val="139"/>
        </w:rPr>
        <w:t xml:space="preserve"> 全局配置</w:t>
      </w:r>
      <w:r>
        <w:tab/>
      </w:r>
      <w:r>
        <w:fldChar w:fldCharType="begin"/>
      </w:r>
      <w:r>
        <w:instrText xml:space="preserve"> PAGEREF _Toc196728540 \h </w:instrText>
      </w:r>
      <w:r>
        <w:fldChar w:fldCharType="separate"/>
      </w:r>
      <w:r>
        <w:t>866</w:t>
      </w:r>
      <w:r>
        <w:fldChar w:fldCharType="end"/>
      </w:r>
      <w:r>
        <w:fldChar w:fldCharType="end"/>
      </w:r>
    </w:p>
    <w:p w14:paraId="1CDA21CE">
      <w:pPr>
        <w:pStyle w:val="42"/>
        <w:tabs>
          <w:tab w:val="right" w:leader="dot" w:pos="8296"/>
        </w:tabs>
        <w:ind w:left="840"/>
        <w:rPr>
          <w:rFonts w:asciiTheme="minorHAnsi" w:hAnsiTheme="minorHAnsi" w:eastAsiaTheme="minorEastAsia"/>
        </w:rPr>
      </w:pPr>
      <w:r>
        <w:fldChar w:fldCharType="begin"/>
      </w:r>
      <w:r>
        <w:instrText xml:space="preserve"> HYPERLINK \l "_Toc196728541" </w:instrText>
      </w:r>
      <w:r>
        <w:fldChar w:fldCharType="separate"/>
      </w:r>
      <w:r>
        <w:rPr>
          <w:rStyle w:val="139"/>
          <w:kern w:val="0"/>
          <w14:scene3d w14:prst="orthographicFront">
            <w14:lightRig w14:rig="threePt" w14:dir="t">
              <w14:rot w14:lat="0" w14:lon="0" w14:rev="0"/>
            </w14:lightRig>
          </w14:scene3d>
        </w:rPr>
        <w:t>31.8.2.</w:t>
      </w:r>
      <w:r>
        <w:rPr>
          <w:rStyle w:val="139"/>
        </w:rPr>
        <w:t xml:space="preserve"> 第三方用户同步</w:t>
      </w:r>
      <w:r>
        <w:tab/>
      </w:r>
      <w:r>
        <w:fldChar w:fldCharType="begin"/>
      </w:r>
      <w:r>
        <w:instrText xml:space="preserve"> PAGEREF _Toc196728541 \h </w:instrText>
      </w:r>
      <w:r>
        <w:fldChar w:fldCharType="separate"/>
      </w:r>
      <w:r>
        <w:t>869</w:t>
      </w:r>
      <w:r>
        <w:fldChar w:fldCharType="end"/>
      </w:r>
      <w:r>
        <w:fldChar w:fldCharType="end"/>
      </w:r>
    </w:p>
    <w:p w14:paraId="774F96BA">
      <w:pPr>
        <w:pStyle w:val="42"/>
        <w:tabs>
          <w:tab w:val="right" w:leader="dot" w:pos="8296"/>
        </w:tabs>
        <w:ind w:left="840"/>
        <w:rPr>
          <w:rFonts w:asciiTheme="minorHAnsi" w:hAnsiTheme="minorHAnsi" w:eastAsiaTheme="minorEastAsia"/>
        </w:rPr>
      </w:pPr>
      <w:r>
        <w:fldChar w:fldCharType="begin"/>
      </w:r>
      <w:r>
        <w:instrText xml:space="preserve"> HYPERLINK \l "_Toc196728542" </w:instrText>
      </w:r>
      <w:r>
        <w:fldChar w:fldCharType="separate"/>
      </w:r>
      <w:r>
        <w:rPr>
          <w:rStyle w:val="139"/>
          <w:kern w:val="0"/>
          <w14:scene3d w14:prst="orthographicFront">
            <w14:lightRig w14:rig="threePt" w14:dir="t">
              <w14:rot w14:lat="0" w14:lon="0" w14:rev="0"/>
            </w14:lightRig>
          </w14:scene3d>
        </w:rPr>
        <w:t>31.8.3.</w:t>
      </w:r>
      <w:r>
        <w:rPr>
          <w:rStyle w:val="139"/>
        </w:rPr>
        <w:t xml:space="preserve"> 认证策略白名单</w:t>
      </w:r>
      <w:r>
        <w:tab/>
      </w:r>
      <w:r>
        <w:fldChar w:fldCharType="begin"/>
      </w:r>
      <w:r>
        <w:instrText xml:space="preserve"> PAGEREF _Toc196728542 \h </w:instrText>
      </w:r>
      <w:r>
        <w:fldChar w:fldCharType="separate"/>
      </w:r>
      <w:r>
        <w:t>877</w:t>
      </w:r>
      <w:r>
        <w:fldChar w:fldCharType="end"/>
      </w:r>
      <w:r>
        <w:fldChar w:fldCharType="end"/>
      </w:r>
    </w:p>
    <w:p w14:paraId="435654EE">
      <w:pPr>
        <w:pStyle w:val="42"/>
        <w:tabs>
          <w:tab w:val="right" w:leader="dot" w:pos="8296"/>
        </w:tabs>
        <w:ind w:left="840"/>
        <w:rPr>
          <w:rFonts w:asciiTheme="minorHAnsi" w:hAnsiTheme="minorHAnsi" w:eastAsiaTheme="minorEastAsia"/>
        </w:rPr>
      </w:pPr>
      <w:r>
        <w:fldChar w:fldCharType="begin"/>
      </w:r>
      <w:r>
        <w:instrText xml:space="preserve"> HYPERLINK \l "_Toc196728543" </w:instrText>
      </w:r>
      <w:r>
        <w:fldChar w:fldCharType="separate"/>
      </w:r>
      <w:r>
        <w:rPr>
          <w:rStyle w:val="139"/>
          <w:kern w:val="0"/>
          <w14:scene3d w14:prst="orthographicFront">
            <w14:lightRig w14:rig="threePt" w14:dir="t">
              <w14:rot w14:lat="0" w14:lon="0" w14:rev="0"/>
            </w14:lightRig>
          </w14:scene3d>
        </w:rPr>
        <w:t>31.8.4.</w:t>
      </w:r>
      <w:r>
        <w:rPr>
          <w:rStyle w:val="139"/>
        </w:rPr>
        <w:t xml:space="preserve"> 认证方式白名单</w:t>
      </w:r>
      <w:r>
        <w:tab/>
      </w:r>
      <w:r>
        <w:fldChar w:fldCharType="begin"/>
      </w:r>
      <w:r>
        <w:instrText xml:space="preserve"> PAGEREF _Toc196728543 \h </w:instrText>
      </w:r>
      <w:r>
        <w:fldChar w:fldCharType="separate"/>
      </w:r>
      <w:r>
        <w:t>878</w:t>
      </w:r>
      <w:r>
        <w:fldChar w:fldCharType="end"/>
      </w:r>
      <w:r>
        <w:fldChar w:fldCharType="end"/>
      </w:r>
    </w:p>
    <w:p w14:paraId="620515EF">
      <w:pPr>
        <w:pStyle w:val="56"/>
        <w:tabs>
          <w:tab w:val="right" w:leader="dot" w:pos="8296"/>
        </w:tabs>
        <w:rPr>
          <w:rFonts w:asciiTheme="minorHAnsi" w:hAnsiTheme="minorHAnsi" w:eastAsiaTheme="minorEastAsia"/>
        </w:rPr>
      </w:pPr>
      <w:r>
        <w:fldChar w:fldCharType="begin"/>
      </w:r>
      <w:r>
        <w:instrText xml:space="preserve"> HYPERLINK \l "_Toc196728544" </w:instrText>
      </w:r>
      <w:r>
        <w:fldChar w:fldCharType="separate"/>
      </w:r>
      <w:r>
        <w:rPr>
          <w:rStyle w:val="139"/>
        </w:rPr>
        <w:t>32. 终端准入管理</w:t>
      </w:r>
      <w:r>
        <w:tab/>
      </w:r>
      <w:r>
        <w:fldChar w:fldCharType="begin"/>
      </w:r>
      <w:r>
        <w:instrText xml:space="preserve"> PAGEREF _Toc196728544 \h </w:instrText>
      </w:r>
      <w:r>
        <w:fldChar w:fldCharType="separate"/>
      </w:r>
      <w:r>
        <w:t>881</w:t>
      </w:r>
      <w:r>
        <w:fldChar w:fldCharType="end"/>
      </w:r>
      <w:r>
        <w:fldChar w:fldCharType="end"/>
      </w:r>
    </w:p>
    <w:p w14:paraId="78276C1B">
      <w:pPr>
        <w:pStyle w:val="70"/>
        <w:tabs>
          <w:tab w:val="right" w:leader="dot" w:pos="8296"/>
        </w:tabs>
        <w:ind w:left="420"/>
        <w:rPr>
          <w:rFonts w:asciiTheme="minorHAnsi" w:hAnsiTheme="minorHAnsi" w:eastAsiaTheme="minorEastAsia"/>
        </w:rPr>
      </w:pPr>
      <w:r>
        <w:fldChar w:fldCharType="begin"/>
      </w:r>
      <w:r>
        <w:instrText xml:space="preserve"> HYPERLINK \l "_Toc196728545" </w:instrText>
      </w:r>
      <w:r>
        <w:fldChar w:fldCharType="separate"/>
      </w:r>
      <w:r>
        <w:rPr>
          <w:rStyle w:val="139"/>
        </w:rPr>
        <w:t>32.1. 概述</w:t>
      </w:r>
      <w:r>
        <w:tab/>
      </w:r>
      <w:r>
        <w:fldChar w:fldCharType="begin"/>
      </w:r>
      <w:r>
        <w:instrText xml:space="preserve"> PAGEREF _Toc196728545 \h </w:instrText>
      </w:r>
      <w:r>
        <w:fldChar w:fldCharType="separate"/>
      </w:r>
      <w:r>
        <w:t>881</w:t>
      </w:r>
      <w:r>
        <w:fldChar w:fldCharType="end"/>
      </w:r>
      <w:r>
        <w:fldChar w:fldCharType="end"/>
      </w:r>
    </w:p>
    <w:p w14:paraId="1B6B326F">
      <w:pPr>
        <w:pStyle w:val="70"/>
        <w:tabs>
          <w:tab w:val="right" w:leader="dot" w:pos="8296"/>
        </w:tabs>
        <w:ind w:left="420"/>
        <w:rPr>
          <w:rFonts w:asciiTheme="minorHAnsi" w:hAnsiTheme="minorHAnsi" w:eastAsiaTheme="minorEastAsia"/>
        </w:rPr>
      </w:pPr>
      <w:r>
        <w:fldChar w:fldCharType="begin"/>
      </w:r>
      <w:r>
        <w:instrText xml:space="preserve"> HYPERLINK \l "_Toc196728546" </w:instrText>
      </w:r>
      <w:r>
        <w:fldChar w:fldCharType="separate"/>
      </w:r>
      <w:r>
        <w:rPr>
          <w:rStyle w:val="139"/>
        </w:rPr>
        <w:t>32.2. 配置选项配置</w:t>
      </w:r>
      <w:r>
        <w:tab/>
      </w:r>
      <w:r>
        <w:fldChar w:fldCharType="begin"/>
      </w:r>
      <w:r>
        <w:instrText xml:space="preserve"> PAGEREF _Toc196728546 \h </w:instrText>
      </w:r>
      <w:r>
        <w:fldChar w:fldCharType="separate"/>
      </w:r>
      <w:r>
        <w:t>881</w:t>
      </w:r>
      <w:r>
        <w:fldChar w:fldCharType="end"/>
      </w:r>
      <w:r>
        <w:fldChar w:fldCharType="end"/>
      </w:r>
    </w:p>
    <w:p w14:paraId="7A7A9214">
      <w:pPr>
        <w:pStyle w:val="42"/>
        <w:tabs>
          <w:tab w:val="right" w:leader="dot" w:pos="8296"/>
        </w:tabs>
        <w:ind w:left="840"/>
        <w:rPr>
          <w:rFonts w:asciiTheme="minorHAnsi" w:hAnsiTheme="minorHAnsi" w:eastAsiaTheme="minorEastAsia"/>
        </w:rPr>
      </w:pPr>
      <w:r>
        <w:fldChar w:fldCharType="begin"/>
      </w:r>
      <w:r>
        <w:instrText xml:space="preserve"> HYPERLINK \l "_Toc196728547" </w:instrText>
      </w:r>
      <w:r>
        <w:fldChar w:fldCharType="separate"/>
      </w:r>
      <w:r>
        <w:rPr>
          <w:rStyle w:val="139"/>
          <w:kern w:val="0"/>
          <w14:scene3d w14:prst="orthographicFront">
            <w14:lightRig w14:rig="threePt" w14:dir="t">
              <w14:rot w14:lat="0" w14:lon="0" w14:rev="0"/>
            </w14:lightRig>
          </w14:scene3d>
        </w:rPr>
        <w:t>32.2.1.</w:t>
      </w:r>
      <w:r>
        <w:rPr>
          <w:rStyle w:val="139"/>
        </w:rPr>
        <w:t xml:space="preserve"> 配置选项</w:t>
      </w:r>
      <w:r>
        <w:tab/>
      </w:r>
      <w:r>
        <w:fldChar w:fldCharType="begin"/>
      </w:r>
      <w:r>
        <w:instrText xml:space="preserve"> PAGEREF _Toc196728547 \h </w:instrText>
      </w:r>
      <w:r>
        <w:fldChar w:fldCharType="separate"/>
      </w:r>
      <w:r>
        <w:t>881</w:t>
      </w:r>
      <w:r>
        <w:fldChar w:fldCharType="end"/>
      </w:r>
      <w:r>
        <w:fldChar w:fldCharType="end"/>
      </w:r>
    </w:p>
    <w:p w14:paraId="4B430D97">
      <w:pPr>
        <w:pStyle w:val="42"/>
        <w:tabs>
          <w:tab w:val="right" w:leader="dot" w:pos="8296"/>
        </w:tabs>
        <w:ind w:left="840"/>
        <w:rPr>
          <w:rFonts w:asciiTheme="minorHAnsi" w:hAnsiTheme="minorHAnsi" w:eastAsiaTheme="minorEastAsia"/>
        </w:rPr>
      </w:pPr>
      <w:r>
        <w:fldChar w:fldCharType="begin"/>
      </w:r>
      <w:r>
        <w:instrText xml:space="preserve"> HYPERLINK \l "_Toc196728548" </w:instrText>
      </w:r>
      <w:r>
        <w:fldChar w:fldCharType="separate"/>
      </w:r>
      <w:r>
        <w:rPr>
          <w:rStyle w:val="139"/>
          <w:kern w:val="0"/>
          <w14:scene3d w14:prst="orthographicFront">
            <w14:lightRig w14:rig="threePt" w14:dir="t">
              <w14:rot w14:lat="0" w14:lon="0" w14:rev="0"/>
            </w14:lightRig>
          </w14:scene3d>
        </w:rPr>
        <w:t>32.2.2.</w:t>
      </w:r>
      <w:r>
        <w:rPr>
          <w:rStyle w:val="139"/>
        </w:rPr>
        <w:t xml:space="preserve"> 插件模板设置</w:t>
      </w:r>
      <w:r>
        <w:tab/>
      </w:r>
      <w:r>
        <w:fldChar w:fldCharType="begin"/>
      </w:r>
      <w:r>
        <w:instrText xml:space="preserve"> PAGEREF _Toc196728548 \h </w:instrText>
      </w:r>
      <w:r>
        <w:fldChar w:fldCharType="separate"/>
      </w:r>
      <w:r>
        <w:t>883</w:t>
      </w:r>
      <w:r>
        <w:fldChar w:fldCharType="end"/>
      </w:r>
      <w:r>
        <w:fldChar w:fldCharType="end"/>
      </w:r>
    </w:p>
    <w:p w14:paraId="666D2B4D">
      <w:pPr>
        <w:pStyle w:val="70"/>
        <w:tabs>
          <w:tab w:val="right" w:leader="dot" w:pos="8296"/>
        </w:tabs>
        <w:ind w:left="420"/>
        <w:rPr>
          <w:rFonts w:asciiTheme="minorHAnsi" w:hAnsiTheme="minorHAnsi" w:eastAsiaTheme="minorEastAsia"/>
        </w:rPr>
      </w:pPr>
      <w:r>
        <w:fldChar w:fldCharType="begin"/>
      </w:r>
      <w:r>
        <w:instrText xml:space="preserve"> HYPERLINK \l "_Toc196728549" </w:instrText>
      </w:r>
      <w:r>
        <w:fldChar w:fldCharType="separate"/>
      </w:r>
      <w:r>
        <w:rPr>
          <w:rStyle w:val="139"/>
        </w:rPr>
        <w:t>32.3. 配置终端审计策略</w:t>
      </w:r>
      <w:r>
        <w:tab/>
      </w:r>
      <w:r>
        <w:fldChar w:fldCharType="begin"/>
      </w:r>
      <w:r>
        <w:instrText xml:space="preserve"> PAGEREF _Toc196728549 \h </w:instrText>
      </w:r>
      <w:r>
        <w:fldChar w:fldCharType="separate"/>
      </w:r>
      <w:r>
        <w:t>883</w:t>
      </w:r>
      <w:r>
        <w:fldChar w:fldCharType="end"/>
      </w:r>
      <w:r>
        <w:fldChar w:fldCharType="end"/>
      </w:r>
    </w:p>
    <w:p w14:paraId="052313D3">
      <w:pPr>
        <w:pStyle w:val="70"/>
        <w:tabs>
          <w:tab w:val="right" w:leader="dot" w:pos="8296"/>
        </w:tabs>
        <w:ind w:left="420"/>
        <w:rPr>
          <w:rFonts w:asciiTheme="minorHAnsi" w:hAnsiTheme="minorHAnsi" w:eastAsiaTheme="minorEastAsia"/>
        </w:rPr>
      </w:pPr>
      <w:r>
        <w:fldChar w:fldCharType="begin"/>
      </w:r>
      <w:r>
        <w:instrText xml:space="preserve"> HYPERLINK \l "_Toc196728550" </w:instrText>
      </w:r>
      <w:r>
        <w:fldChar w:fldCharType="separate"/>
      </w:r>
      <w:r>
        <w:rPr>
          <w:rStyle w:val="139"/>
        </w:rPr>
        <w:t>32.4. 配置终端准入策略</w:t>
      </w:r>
      <w:r>
        <w:tab/>
      </w:r>
      <w:r>
        <w:fldChar w:fldCharType="begin"/>
      </w:r>
      <w:r>
        <w:instrText xml:space="preserve"> PAGEREF _Toc196728550 \h </w:instrText>
      </w:r>
      <w:r>
        <w:fldChar w:fldCharType="separate"/>
      </w:r>
      <w:r>
        <w:t>885</w:t>
      </w:r>
      <w:r>
        <w:fldChar w:fldCharType="end"/>
      </w:r>
      <w:r>
        <w:fldChar w:fldCharType="end"/>
      </w:r>
    </w:p>
    <w:p w14:paraId="2DBC39E1">
      <w:pPr>
        <w:pStyle w:val="42"/>
        <w:tabs>
          <w:tab w:val="right" w:leader="dot" w:pos="8296"/>
        </w:tabs>
        <w:ind w:left="840"/>
        <w:rPr>
          <w:rFonts w:asciiTheme="minorHAnsi" w:hAnsiTheme="minorHAnsi" w:eastAsiaTheme="minorEastAsia"/>
        </w:rPr>
      </w:pPr>
      <w:r>
        <w:fldChar w:fldCharType="begin"/>
      </w:r>
      <w:r>
        <w:instrText xml:space="preserve"> HYPERLINK \l "_Toc196728551" </w:instrText>
      </w:r>
      <w:r>
        <w:fldChar w:fldCharType="separate"/>
      </w:r>
      <w:r>
        <w:rPr>
          <w:rStyle w:val="139"/>
          <w:kern w:val="0"/>
          <w14:scene3d w14:prst="orthographicFront">
            <w14:lightRig w14:rig="threePt" w14:dir="t">
              <w14:rot w14:lat="0" w14:lon="0" w14:rev="0"/>
            </w14:lightRig>
          </w14:scene3d>
        </w:rPr>
        <w:t>32.4.1.</w:t>
      </w:r>
      <w:r>
        <w:rPr>
          <w:rStyle w:val="139"/>
        </w:rPr>
        <w:t xml:space="preserve"> 准入策略</w:t>
      </w:r>
      <w:r>
        <w:tab/>
      </w:r>
      <w:r>
        <w:fldChar w:fldCharType="begin"/>
      </w:r>
      <w:r>
        <w:instrText xml:space="preserve"> PAGEREF _Toc196728551 \h </w:instrText>
      </w:r>
      <w:r>
        <w:fldChar w:fldCharType="separate"/>
      </w:r>
      <w:r>
        <w:t>885</w:t>
      </w:r>
      <w:r>
        <w:fldChar w:fldCharType="end"/>
      </w:r>
      <w:r>
        <w:fldChar w:fldCharType="end"/>
      </w:r>
    </w:p>
    <w:p w14:paraId="2905375E">
      <w:pPr>
        <w:pStyle w:val="42"/>
        <w:tabs>
          <w:tab w:val="right" w:leader="dot" w:pos="8296"/>
        </w:tabs>
        <w:ind w:left="840"/>
        <w:rPr>
          <w:rFonts w:asciiTheme="minorHAnsi" w:hAnsiTheme="minorHAnsi" w:eastAsiaTheme="minorEastAsia"/>
        </w:rPr>
      </w:pPr>
      <w:r>
        <w:fldChar w:fldCharType="begin"/>
      </w:r>
      <w:r>
        <w:instrText xml:space="preserve"> HYPERLINK \l "_Toc196728552" </w:instrText>
      </w:r>
      <w:r>
        <w:fldChar w:fldCharType="separate"/>
      </w:r>
      <w:r>
        <w:rPr>
          <w:rStyle w:val="139"/>
          <w:kern w:val="0"/>
          <w14:scene3d w14:prst="orthographicFront">
            <w14:lightRig w14:rig="threePt" w14:dir="t">
              <w14:rot w14:lat="0" w14:lon="0" w14:rev="0"/>
            </w14:lightRig>
          </w14:scene3d>
        </w:rPr>
        <w:t>32.4.2.</w:t>
      </w:r>
      <w:r>
        <w:rPr>
          <w:rStyle w:val="139"/>
        </w:rPr>
        <w:t xml:space="preserve"> 规则对象</w:t>
      </w:r>
      <w:r>
        <w:tab/>
      </w:r>
      <w:r>
        <w:fldChar w:fldCharType="begin"/>
      </w:r>
      <w:r>
        <w:instrText xml:space="preserve"> PAGEREF _Toc196728552 \h </w:instrText>
      </w:r>
      <w:r>
        <w:fldChar w:fldCharType="separate"/>
      </w:r>
      <w:r>
        <w:t>887</w:t>
      </w:r>
      <w:r>
        <w:fldChar w:fldCharType="end"/>
      </w:r>
      <w:r>
        <w:fldChar w:fldCharType="end"/>
      </w:r>
    </w:p>
    <w:p w14:paraId="4829E7B1">
      <w:pPr>
        <w:pStyle w:val="70"/>
        <w:tabs>
          <w:tab w:val="right" w:leader="dot" w:pos="8296"/>
        </w:tabs>
        <w:ind w:left="420"/>
        <w:rPr>
          <w:rFonts w:asciiTheme="minorHAnsi" w:hAnsiTheme="minorHAnsi" w:eastAsiaTheme="minorEastAsia"/>
        </w:rPr>
      </w:pPr>
      <w:r>
        <w:fldChar w:fldCharType="begin"/>
      </w:r>
      <w:r>
        <w:instrText xml:space="preserve"> HYPERLINK \l "_Toc196728553" </w:instrText>
      </w:r>
      <w:r>
        <w:fldChar w:fldCharType="separate"/>
      </w:r>
      <w:r>
        <w:rPr>
          <w:rStyle w:val="139"/>
          <w:rFonts w:cs="Arial Narrow"/>
        </w:rPr>
        <w:t>32.5.</w:t>
      </w:r>
      <w:r>
        <w:rPr>
          <w:rStyle w:val="139"/>
        </w:rPr>
        <w:t xml:space="preserve"> 终端管理</w:t>
      </w:r>
      <w:r>
        <w:tab/>
      </w:r>
      <w:r>
        <w:fldChar w:fldCharType="begin"/>
      </w:r>
      <w:r>
        <w:instrText xml:space="preserve"> PAGEREF _Toc196728553 \h </w:instrText>
      </w:r>
      <w:r>
        <w:fldChar w:fldCharType="separate"/>
      </w:r>
      <w:r>
        <w:t>905</w:t>
      </w:r>
      <w:r>
        <w:fldChar w:fldCharType="end"/>
      </w:r>
      <w:r>
        <w:fldChar w:fldCharType="end"/>
      </w:r>
    </w:p>
    <w:p w14:paraId="0AAA4347">
      <w:pPr>
        <w:pStyle w:val="42"/>
        <w:tabs>
          <w:tab w:val="right" w:leader="dot" w:pos="8296"/>
        </w:tabs>
        <w:ind w:left="840"/>
        <w:rPr>
          <w:rFonts w:asciiTheme="minorHAnsi" w:hAnsiTheme="minorHAnsi" w:eastAsiaTheme="minorEastAsia"/>
        </w:rPr>
      </w:pPr>
      <w:r>
        <w:fldChar w:fldCharType="begin"/>
      </w:r>
      <w:r>
        <w:instrText xml:space="preserve"> HYPERLINK \l "_Toc196728554" </w:instrText>
      </w:r>
      <w:r>
        <w:fldChar w:fldCharType="separate"/>
      </w:r>
      <w:r>
        <w:rPr>
          <w:rStyle w:val="139"/>
          <w:kern w:val="0"/>
          <w14:scene3d w14:prst="orthographicFront">
            <w14:lightRig w14:rig="threePt" w14:dir="t">
              <w14:rot w14:lat="0" w14:lon="0" w14:rev="0"/>
            </w14:lightRig>
          </w14:scene3d>
        </w:rPr>
        <w:t>32.5.1.</w:t>
      </w:r>
      <w:r>
        <w:rPr>
          <w:rStyle w:val="139"/>
        </w:rPr>
        <w:t xml:space="preserve"> 在线终端</w:t>
      </w:r>
      <w:r>
        <w:tab/>
      </w:r>
      <w:r>
        <w:fldChar w:fldCharType="begin"/>
      </w:r>
      <w:r>
        <w:instrText xml:space="preserve"> PAGEREF _Toc196728554 \h </w:instrText>
      </w:r>
      <w:r>
        <w:fldChar w:fldCharType="separate"/>
      </w:r>
      <w:r>
        <w:t>905</w:t>
      </w:r>
      <w:r>
        <w:fldChar w:fldCharType="end"/>
      </w:r>
      <w:r>
        <w:fldChar w:fldCharType="end"/>
      </w:r>
    </w:p>
    <w:p w14:paraId="40E3A354">
      <w:pPr>
        <w:pStyle w:val="42"/>
        <w:tabs>
          <w:tab w:val="right" w:leader="dot" w:pos="8296"/>
        </w:tabs>
        <w:ind w:left="840"/>
        <w:rPr>
          <w:rFonts w:asciiTheme="minorHAnsi" w:hAnsiTheme="minorHAnsi" w:eastAsiaTheme="minorEastAsia"/>
        </w:rPr>
      </w:pPr>
      <w:r>
        <w:fldChar w:fldCharType="begin"/>
      </w:r>
      <w:r>
        <w:instrText xml:space="preserve"> HYPERLINK \l "_Toc196728555" </w:instrText>
      </w:r>
      <w:r>
        <w:fldChar w:fldCharType="separate"/>
      </w:r>
      <w:r>
        <w:rPr>
          <w:rStyle w:val="139"/>
          <w:kern w:val="0"/>
          <w14:scene3d w14:prst="orthographicFront">
            <w14:lightRig w14:rig="threePt" w14:dir="t">
              <w14:rot w14:lat="0" w14:lon="0" w14:rev="0"/>
            </w14:lightRig>
          </w14:scene3d>
        </w:rPr>
        <w:t>32.5.2.</w:t>
      </w:r>
      <w:r>
        <w:rPr>
          <w:rStyle w:val="139"/>
        </w:rPr>
        <w:t xml:space="preserve"> 终端合规状态</w:t>
      </w:r>
      <w:r>
        <w:tab/>
      </w:r>
      <w:r>
        <w:fldChar w:fldCharType="begin"/>
      </w:r>
      <w:r>
        <w:instrText xml:space="preserve"> PAGEREF _Toc196728555 \h </w:instrText>
      </w:r>
      <w:r>
        <w:fldChar w:fldCharType="separate"/>
      </w:r>
      <w:r>
        <w:t>905</w:t>
      </w:r>
      <w:r>
        <w:fldChar w:fldCharType="end"/>
      </w:r>
      <w:r>
        <w:fldChar w:fldCharType="end"/>
      </w:r>
    </w:p>
    <w:p w14:paraId="77FDB19E">
      <w:pPr>
        <w:pStyle w:val="42"/>
        <w:tabs>
          <w:tab w:val="right" w:leader="dot" w:pos="8296"/>
        </w:tabs>
        <w:ind w:left="840"/>
        <w:rPr>
          <w:rFonts w:asciiTheme="minorHAnsi" w:hAnsiTheme="minorHAnsi" w:eastAsiaTheme="minorEastAsia"/>
        </w:rPr>
      </w:pPr>
      <w:r>
        <w:fldChar w:fldCharType="begin"/>
      </w:r>
      <w:r>
        <w:instrText xml:space="preserve"> HYPERLINK \l "_Toc196728556" </w:instrText>
      </w:r>
      <w:r>
        <w:fldChar w:fldCharType="separate"/>
      </w:r>
      <w:r>
        <w:rPr>
          <w:rStyle w:val="139"/>
          <w:kern w:val="0"/>
          <w14:scene3d w14:prst="orthographicFront">
            <w14:lightRig w14:rig="threePt" w14:dir="t">
              <w14:rot w14:lat="0" w14:lon="0" w14:rev="0"/>
            </w14:lightRig>
          </w14:scene3d>
        </w:rPr>
        <w:t>32.5.3.</w:t>
      </w:r>
      <w:r>
        <w:rPr>
          <w:rStyle w:val="139"/>
        </w:rPr>
        <w:t xml:space="preserve"> 授权码列表</w:t>
      </w:r>
      <w:r>
        <w:tab/>
      </w:r>
      <w:r>
        <w:fldChar w:fldCharType="begin"/>
      </w:r>
      <w:r>
        <w:instrText xml:space="preserve"> PAGEREF _Toc196728556 \h </w:instrText>
      </w:r>
      <w:r>
        <w:fldChar w:fldCharType="separate"/>
      </w:r>
      <w:r>
        <w:t>906</w:t>
      </w:r>
      <w:r>
        <w:fldChar w:fldCharType="end"/>
      </w:r>
      <w:r>
        <w:fldChar w:fldCharType="end"/>
      </w:r>
    </w:p>
    <w:p w14:paraId="5A93EE03">
      <w:pPr>
        <w:pStyle w:val="56"/>
        <w:tabs>
          <w:tab w:val="right" w:leader="dot" w:pos="8296"/>
        </w:tabs>
        <w:rPr>
          <w:rFonts w:asciiTheme="minorHAnsi" w:hAnsiTheme="minorHAnsi" w:eastAsiaTheme="minorEastAsia"/>
        </w:rPr>
      </w:pPr>
      <w:r>
        <w:fldChar w:fldCharType="begin"/>
      </w:r>
      <w:r>
        <w:instrText xml:space="preserve"> HYPERLINK \l "_Toc196728557" </w:instrText>
      </w:r>
      <w:r>
        <w:fldChar w:fldCharType="separate"/>
      </w:r>
      <w:r>
        <w:rPr>
          <w:rStyle w:val="139"/>
        </w:rPr>
        <w:t>33. 系统管理</w:t>
      </w:r>
      <w:r>
        <w:tab/>
      </w:r>
      <w:r>
        <w:fldChar w:fldCharType="begin"/>
      </w:r>
      <w:r>
        <w:instrText xml:space="preserve"> PAGEREF _Toc196728557 \h </w:instrText>
      </w:r>
      <w:r>
        <w:fldChar w:fldCharType="separate"/>
      </w:r>
      <w:r>
        <w:t>907</w:t>
      </w:r>
      <w:r>
        <w:fldChar w:fldCharType="end"/>
      </w:r>
      <w:r>
        <w:fldChar w:fldCharType="end"/>
      </w:r>
    </w:p>
    <w:p w14:paraId="781ECD6A">
      <w:pPr>
        <w:pStyle w:val="70"/>
        <w:tabs>
          <w:tab w:val="right" w:leader="dot" w:pos="8296"/>
        </w:tabs>
        <w:ind w:left="420"/>
        <w:rPr>
          <w:rFonts w:asciiTheme="minorHAnsi" w:hAnsiTheme="minorHAnsi" w:eastAsiaTheme="minorEastAsia"/>
        </w:rPr>
      </w:pPr>
      <w:r>
        <w:fldChar w:fldCharType="begin"/>
      </w:r>
      <w:r>
        <w:instrText xml:space="preserve"> HYPERLINK \l "_Toc196728558" </w:instrText>
      </w:r>
      <w:r>
        <w:fldChar w:fldCharType="separate"/>
      </w:r>
      <w:r>
        <w:rPr>
          <w:rStyle w:val="139"/>
        </w:rPr>
        <w:t>33.1. 系统设定</w:t>
      </w:r>
      <w:r>
        <w:tab/>
      </w:r>
      <w:r>
        <w:fldChar w:fldCharType="begin"/>
      </w:r>
      <w:r>
        <w:instrText xml:space="preserve"> PAGEREF _Toc196728558 \h </w:instrText>
      </w:r>
      <w:r>
        <w:fldChar w:fldCharType="separate"/>
      </w:r>
      <w:r>
        <w:t>907</w:t>
      </w:r>
      <w:r>
        <w:fldChar w:fldCharType="end"/>
      </w:r>
      <w:r>
        <w:fldChar w:fldCharType="end"/>
      </w:r>
    </w:p>
    <w:p w14:paraId="50BB6407">
      <w:pPr>
        <w:pStyle w:val="42"/>
        <w:tabs>
          <w:tab w:val="right" w:leader="dot" w:pos="8296"/>
        </w:tabs>
        <w:ind w:left="840"/>
        <w:rPr>
          <w:rFonts w:asciiTheme="minorHAnsi" w:hAnsiTheme="minorHAnsi" w:eastAsiaTheme="minorEastAsia"/>
        </w:rPr>
      </w:pPr>
      <w:r>
        <w:fldChar w:fldCharType="begin"/>
      </w:r>
      <w:r>
        <w:instrText xml:space="preserve"> HYPERLINK \l "_Toc196728559" </w:instrText>
      </w:r>
      <w:r>
        <w:fldChar w:fldCharType="separate"/>
      </w:r>
      <w:r>
        <w:rPr>
          <w:rStyle w:val="139"/>
          <w:kern w:val="0"/>
          <w14:scene3d w14:prst="orthographicFront">
            <w14:lightRig w14:rig="threePt" w14:dir="t">
              <w14:rot w14:lat="0" w14:lon="0" w14:rev="0"/>
            </w14:lightRig>
          </w14:scene3d>
        </w:rPr>
        <w:t>33.1.1.</w:t>
      </w:r>
      <w:r>
        <w:rPr>
          <w:rStyle w:val="139"/>
        </w:rPr>
        <w:t xml:space="preserve"> 管理员</w:t>
      </w:r>
      <w:r>
        <w:tab/>
      </w:r>
      <w:r>
        <w:fldChar w:fldCharType="begin"/>
      </w:r>
      <w:r>
        <w:instrText xml:space="preserve"> PAGEREF _Toc196728559 \h </w:instrText>
      </w:r>
      <w:r>
        <w:fldChar w:fldCharType="separate"/>
      </w:r>
      <w:r>
        <w:t>907</w:t>
      </w:r>
      <w:r>
        <w:fldChar w:fldCharType="end"/>
      </w:r>
      <w:r>
        <w:fldChar w:fldCharType="end"/>
      </w:r>
    </w:p>
    <w:p w14:paraId="3FF93896">
      <w:pPr>
        <w:pStyle w:val="42"/>
        <w:tabs>
          <w:tab w:val="right" w:leader="dot" w:pos="8296"/>
        </w:tabs>
        <w:ind w:left="840"/>
        <w:rPr>
          <w:rFonts w:asciiTheme="minorHAnsi" w:hAnsiTheme="minorHAnsi" w:eastAsiaTheme="minorEastAsia"/>
        </w:rPr>
      </w:pPr>
      <w:r>
        <w:fldChar w:fldCharType="begin"/>
      </w:r>
      <w:r>
        <w:instrText xml:space="preserve"> HYPERLINK \l "_Toc196728560" </w:instrText>
      </w:r>
      <w:r>
        <w:fldChar w:fldCharType="separate"/>
      </w:r>
      <w:r>
        <w:rPr>
          <w:rStyle w:val="139"/>
          <w:kern w:val="0"/>
          <w14:scene3d w14:prst="orthographicFront">
            <w14:lightRig w14:rig="threePt" w14:dir="t">
              <w14:rot w14:lat="0" w14:lon="0" w14:rev="0"/>
            </w14:lightRig>
          </w14:scene3d>
        </w:rPr>
        <w:t>33.1.2.</w:t>
      </w:r>
      <w:r>
        <w:rPr>
          <w:rStyle w:val="139"/>
        </w:rPr>
        <w:t xml:space="preserve"> 管理员分级分权配置举例</w:t>
      </w:r>
      <w:r>
        <w:tab/>
      </w:r>
      <w:r>
        <w:fldChar w:fldCharType="begin"/>
      </w:r>
      <w:r>
        <w:instrText xml:space="preserve"> PAGEREF _Toc196728560 \h </w:instrText>
      </w:r>
      <w:r>
        <w:fldChar w:fldCharType="separate"/>
      </w:r>
      <w:r>
        <w:t>912</w:t>
      </w:r>
      <w:r>
        <w:fldChar w:fldCharType="end"/>
      </w:r>
      <w:r>
        <w:fldChar w:fldCharType="end"/>
      </w:r>
    </w:p>
    <w:p w14:paraId="56FC9660">
      <w:pPr>
        <w:pStyle w:val="42"/>
        <w:tabs>
          <w:tab w:val="right" w:leader="dot" w:pos="8296"/>
        </w:tabs>
        <w:ind w:left="840"/>
        <w:rPr>
          <w:rFonts w:asciiTheme="minorHAnsi" w:hAnsiTheme="minorHAnsi" w:eastAsiaTheme="minorEastAsia"/>
        </w:rPr>
      </w:pPr>
      <w:r>
        <w:fldChar w:fldCharType="begin"/>
      </w:r>
      <w:r>
        <w:instrText xml:space="preserve"> HYPERLINK \l "_Toc196728561" </w:instrText>
      </w:r>
      <w:r>
        <w:fldChar w:fldCharType="separate"/>
      </w:r>
      <w:r>
        <w:rPr>
          <w:rStyle w:val="139"/>
          <w:kern w:val="0"/>
          <w14:scene3d w14:prst="orthographicFront">
            <w14:lightRig w14:rig="threePt" w14:dir="t">
              <w14:rot w14:lat="0" w14:lon="0" w14:rev="0"/>
            </w14:lightRig>
          </w14:scene3d>
        </w:rPr>
        <w:t>33.1.3.</w:t>
      </w:r>
      <w:r>
        <w:rPr>
          <w:rStyle w:val="139"/>
        </w:rPr>
        <w:t xml:space="preserve"> 管理设定</w:t>
      </w:r>
      <w:r>
        <w:tab/>
      </w:r>
      <w:r>
        <w:fldChar w:fldCharType="begin"/>
      </w:r>
      <w:r>
        <w:instrText xml:space="preserve"> PAGEREF _Toc196728561 \h </w:instrText>
      </w:r>
      <w:r>
        <w:fldChar w:fldCharType="separate"/>
      </w:r>
      <w:r>
        <w:t>922</w:t>
      </w:r>
      <w:r>
        <w:fldChar w:fldCharType="end"/>
      </w:r>
      <w:r>
        <w:fldChar w:fldCharType="end"/>
      </w:r>
    </w:p>
    <w:p w14:paraId="3321D072">
      <w:pPr>
        <w:pStyle w:val="42"/>
        <w:tabs>
          <w:tab w:val="right" w:leader="dot" w:pos="8296"/>
        </w:tabs>
        <w:ind w:left="840"/>
        <w:rPr>
          <w:rFonts w:asciiTheme="minorHAnsi" w:hAnsiTheme="minorHAnsi" w:eastAsiaTheme="minorEastAsia"/>
        </w:rPr>
      </w:pPr>
      <w:r>
        <w:fldChar w:fldCharType="begin"/>
      </w:r>
      <w:r>
        <w:instrText xml:space="preserve"> HYPERLINK \l "_Toc196728562" </w:instrText>
      </w:r>
      <w:r>
        <w:fldChar w:fldCharType="separate"/>
      </w:r>
      <w:r>
        <w:rPr>
          <w:rStyle w:val="139"/>
          <w:kern w:val="0"/>
          <w14:scene3d w14:prst="orthographicFront">
            <w14:lightRig w14:rig="threePt" w14:dir="t">
              <w14:rot w14:lat="0" w14:lon="0" w14:rev="0"/>
            </w14:lightRig>
          </w14:scene3d>
        </w:rPr>
        <w:t>33.1.4.</w:t>
      </w:r>
      <w:r>
        <w:rPr>
          <w:rStyle w:val="139"/>
        </w:rPr>
        <w:t xml:space="preserve"> 三权分立</w:t>
      </w:r>
      <w:r>
        <w:tab/>
      </w:r>
      <w:r>
        <w:fldChar w:fldCharType="begin"/>
      </w:r>
      <w:r>
        <w:instrText xml:space="preserve"> PAGEREF _Toc196728562 \h </w:instrText>
      </w:r>
      <w:r>
        <w:fldChar w:fldCharType="separate"/>
      </w:r>
      <w:r>
        <w:t>925</w:t>
      </w:r>
      <w:r>
        <w:fldChar w:fldCharType="end"/>
      </w:r>
      <w:r>
        <w:fldChar w:fldCharType="end"/>
      </w:r>
    </w:p>
    <w:p w14:paraId="33466AA6">
      <w:pPr>
        <w:pStyle w:val="42"/>
        <w:tabs>
          <w:tab w:val="right" w:leader="dot" w:pos="8296"/>
        </w:tabs>
        <w:ind w:left="840"/>
        <w:rPr>
          <w:rFonts w:asciiTheme="minorHAnsi" w:hAnsiTheme="minorHAnsi" w:eastAsiaTheme="minorEastAsia"/>
        </w:rPr>
      </w:pPr>
      <w:r>
        <w:fldChar w:fldCharType="begin"/>
      </w:r>
      <w:r>
        <w:instrText xml:space="preserve"> HYPERLINK \l "_Toc196728563" </w:instrText>
      </w:r>
      <w:r>
        <w:fldChar w:fldCharType="separate"/>
      </w:r>
      <w:r>
        <w:rPr>
          <w:rStyle w:val="139"/>
          <w:kern w:val="0"/>
          <w14:scene3d w14:prst="orthographicFront">
            <w14:lightRig w14:rig="threePt" w14:dir="t">
              <w14:rot w14:lat="0" w14:lon="0" w14:rev="0"/>
            </w14:lightRig>
          </w14:scene3d>
        </w:rPr>
        <w:t>33.1.5.</w:t>
      </w:r>
      <w:r>
        <w:rPr>
          <w:rStyle w:val="139"/>
        </w:rPr>
        <w:t xml:space="preserve"> 管理端口漂移</w:t>
      </w:r>
      <w:r>
        <w:tab/>
      </w:r>
      <w:r>
        <w:fldChar w:fldCharType="begin"/>
      </w:r>
      <w:r>
        <w:instrText xml:space="preserve"> PAGEREF _Toc196728563 \h </w:instrText>
      </w:r>
      <w:r>
        <w:fldChar w:fldCharType="separate"/>
      </w:r>
      <w:r>
        <w:t>929</w:t>
      </w:r>
      <w:r>
        <w:fldChar w:fldCharType="end"/>
      </w:r>
      <w:r>
        <w:fldChar w:fldCharType="end"/>
      </w:r>
    </w:p>
    <w:p w14:paraId="2F7635DA">
      <w:pPr>
        <w:pStyle w:val="42"/>
        <w:tabs>
          <w:tab w:val="right" w:leader="dot" w:pos="8296"/>
        </w:tabs>
        <w:ind w:left="840"/>
        <w:rPr>
          <w:rFonts w:asciiTheme="minorHAnsi" w:hAnsiTheme="minorHAnsi" w:eastAsiaTheme="minorEastAsia"/>
        </w:rPr>
      </w:pPr>
      <w:r>
        <w:fldChar w:fldCharType="begin"/>
      </w:r>
      <w:r>
        <w:instrText xml:space="preserve"> HYPERLINK \l "_Toc196728564" </w:instrText>
      </w:r>
      <w:r>
        <w:fldChar w:fldCharType="separate"/>
      </w:r>
      <w:r>
        <w:rPr>
          <w:rStyle w:val="139"/>
          <w:kern w:val="0"/>
          <w14:scene3d w14:prst="orthographicFront">
            <w14:lightRig w14:rig="threePt" w14:dir="t">
              <w14:rot w14:lat="0" w14:lon="0" w14:rev="0"/>
            </w14:lightRig>
          </w14:scene3d>
        </w:rPr>
        <w:t>33.1.6.</w:t>
      </w:r>
      <w:r>
        <w:rPr>
          <w:rStyle w:val="139"/>
        </w:rPr>
        <w:t xml:space="preserve"> 时间设定</w:t>
      </w:r>
      <w:r>
        <w:tab/>
      </w:r>
      <w:r>
        <w:fldChar w:fldCharType="begin"/>
      </w:r>
      <w:r>
        <w:instrText xml:space="preserve"> PAGEREF _Toc196728564 \h </w:instrText>
      </w:r>
      <w:r>
        <w:fldChar w:fldCharType="separate"/>
      </w:r>
      <w:r>
        <w:t>931</w:t>
      </w:r>
      <w:r>
        <w:fldChar w:fldCharType="end"/>
      </w:r>
      <w:r>
        <w:fldChar w:fldCharType="end"/>
      </w:r>
    </w:p>
    <w:p w14:paraId="64FCB3FA">
      <w:pPr>
        <w:pStyle w:val="42"/>
        <w:tabs>
          <w:tab w:val="right" w:leader="dot" w:pos="8296"/>
        </w:tabs>
        <w:ind w:left="840"/>
        <w:rPr>
          <w:rFonts w:asciiTheme="minorHAnsi" w:hAnsiTheme="minorHAnsi" w:eastAsiaTheme="minorEastAsia"/>
        </w:rPr>
      </w:pPr>
      <w:r>
        <w:fldChar w:fldCharType="begin"/>
      </w:r>
      <w:r>
        <w:instrText xml:space="preserve"> HYPERLINK \l "_Toc196728565" </w:instrText>
      </w:r>
      <w:r>
        <w:fldChar w:fldCharType="separate"/>
      </w:r>
      <w:r>
        <w:rPr>
          <w:rStyle w:val="139"/>
          <w:kern w:val="0"/>
          <w14:scene3d w14:prst="orthographicFront">
            <w14:lightRig w14:rig="threePt" w14:dir="t">
              <w14:rot w14:lat="0" w14:lon="0" w14:rev="0"/>
            </w14:lightRig>
          </w14:scene3d>
        </w:rPr>
        <w:t>33.1.7.</w:t>
      </w:r>
      <w:r>
        <w:rPr>
          <w:rStyle w:val="139"/>
        </w:rPr>
        <w:t xml:space="preserve"> SNMP</w:t>
      </w:r>
      <w:r>
        <w:tab/>
      </w:r>
      <w:r>
        <w:fldChar w:fldCharType="begin"/>
      </w:r>
      <w:r>
        <w:instrText xml:space="preserve"> PAGEREF _Toc196728565 \h </w:instrText>
      </w:r>
      <w:r>
        <w:fldChar w:fldCharType="separate"/>
      </w:r>
      <w:r>
        <w:t>932</w:t>
      </w:r>
      <w:r>
        <w:fldChar w:fldCharType="end"/>
      </w:r>
      <w:r>
        <w:fldChar w:fldCharType="end"/>
      </w:r>
    </w:p>
    <w:p w14:paraId="4D91581C">
      <w:pPr>
        <w:pStyle w:val="42"/>
        <w:tabs>
          <w:tab w:val="right" w:leader="dot" w:pos="8296"/>
        </w:tabs>
        <w:ind w:left="840"/>
        <w:rPr>
          <w:rFonts w:asciiTheme="minorHAnsi" w:hAnsiTheme="minorHAnsi" w:eastAsiaTheme="minorEastAsia"/>
        </w:rPr>
      </w:pPr>
      <w:r>
        <w:fldChar w:fldCharType="begin"/>
      </w:r>
      <w:r>
        <w:instrText xml:space="preserve"> HYPERLINK \l "_Toc196728566" </w:instrText>
      </w:r>
      <w:r>
        <w:fldChar w:fldCharType="separate"/>
      </w:r>
      <w:r>
        <w:rPr>
          <w:rStyle w:val="139"/>
          <w:kern w:val="0"/>
          <w14:scene3d w14:prst="orthographicFront">
            <w14:lightRig w14:rig="threePt" w14:dir="t">
              <w14:rot w14:lat="0" w14:lon="0" w14:rev="0"/>
            </w14:lightRig>
          </w14:scene3d>
        </w:rPr>
        <w:t>33.1.8.</w:t>
      </w:r>
      <w:r>
        <w:rPr>
          <w:rStyle w:val="139"/>
        </w:rPr>
        <w:t xml:space="preserve"> 快速配置</w:t>
      </w:r>
      <w:r>
        <w:tab/>
      </w:r>
      <w:r>
        <w:fldChar w:fldCharType="begin"/>
      </w:r>
      <w:r>
        <w:instrText xml:space="preserve"> PAGEREF _Toc196728566 \h </w:instrText>
      </w:r>
      <w:r>
        <w:fldChar w:fldCharType="separate"/>
      </w:r>
      <w:r>
        <w:t>936</w:t>
      </w:r>
      <w:r>
        <w:fldChar w:fldCharType="end"/>
      </w:r>
      <w:r>
        <w:fldChar w:fldCharType="end"/>
      </w:r>
    </w:p>
    <w:p w14:paraId="5BEDFF4A">
      <w:pPr>
        <w:pStyle w:val="42"/>
        <w:tabs>
          <w:tab w:val="right" w:leader="dot" w:pos="8296"/>
        </w:tabs>
        <w:ind w:left="840"/>
        <w:rPr>
          <w:rFonts w:asciiTheme="minorHAnsi" w:hAnsiTheme="minorHAnsi" w:eastAsiaTheme="minorEastAsia"/>
        </w:rPr>
      </w:pPr>
      <w:r>
        <w:fldChar w:fldCharType="begin"/>
      </w:r>
      <w:r>
        <w:instrText xml:space="preserve"> HYPERLINK \l "_Toc196728567" </w:instrText>
      </w:r>
      <w:r>
        <w:fldChar w:fldCharType="separate"/>
      </w:r>
      <w:r>
        <w:rPr>
          <w:rStyle w:val="139"/>
          <w:kern w:val="0"/>
          <w14:scene3d w14:prst="orthographicFront">
            <w14:lightRig w14:rig="threePt" w14:dir="t">
              <w14:rot w14:lat="0" w14:lon="0" w14:rev="0"/>
            </w14:lightRig>
          </w14:scene3d>
        </w:rPr>
        <w:t>33.1.9.</w:t>
      </w:r>
      <w:r>
        <w:rPr>
          <w:rStyle w:val="139"/>
        </w:rPr>
        <w:t xml:space="preserve"> 网管配置</w:t>
      </w:r>
      <w:r>
        <w:tab/>
      </w:r>
      <w:r>
        <w:fldChar w:fldCharType="begin"/>
      </w:r>
      <w:r>
        <w:instrText xml:space="preserve"> PAGEREF _Toc196728567 \h </w:instrText>
      </w:r>
      <w:r>
        <w:fldChar w:fldCharType="separate"/>
      </w:r>
      <w:r>
        <w:t>940</w:t>
      </w:r>
      <w:r>
        <w:fldChar w:fldCharType="end"/>
      </w:r>
      <w:r>
        <w:fldChar w:fldCharType="end"/>
      </w:r>
    </w:p>
    <w:p w14:paraId="5467A0E9">
      <w:pPr>
        <w:pStyle w:val="42"/>
        <w:tabs>
          <w:tab w:val="right" w:leader="dot" w:pos="8296"/>
        </w:tabs>
        <w:ind w:left="840"/>
        <w:rPr>
          <w:rFonts w:asciiTheme="minorHAnsi" w:hAnsiTheme="minorHAnsi" w:eastAsiaTheme="minorEastAsia"/>
        </w:rPr>
      </w:pPr>
      <w:r>
        <w:fldChar w:fldCharType="begin"/>
      </w:r>
      <w:r>
        <w:instrText xml:space="preserve"> HYPERLINK \l "_Toc196728568" </w:instrText>
      </w:r>
      <w:r>
        <w:fldChar w:fldCharType="separate"/>
      </w:r>
      <w:r>
        <w:rPr>
          <w:rStyle w:val="139"/>
          <w:kern w:val="0"/>
          <w14:scene3d w14:prst="orthographicFront">
            <w14:lightRig w14:rig="threePt" w14:dir="t">
              <w14:rot w14:lat="0" w14:lon="0" w14:rev="0"/>
            </w14:lightRig>
          </w14:scene3d>
        </w:rPr>
        <w:t>33.1.10.</w:t>
      </w:r>
      <w:r>
        <w:rPr>
          <w:rStyle w:val="139"/>
        </w:rPr>
        <w:t xml:space="preserve"> BA平台配置</w:t>
      </w:r>
      <w:r>
        <w:tab/>
      </w:r>
      <w:r>
        <w:fldChar w:fldCharType="begin"/>
      </w:r>
      <w:r>
        <w:instrText xml:space="preserve"> PAGEREF _Toc196728568 \h </w:instrText>
      </w:r>
      <w:r>
        <w:fldChar w:fldCharType="separate"/>
      </w:r>
      <w:r>
        <w:t>941</w:t>
      </w:r>
      <w:r>
        <w:fldChar w:fldCharType="end"/>
      </w:r>
      <w:r>
        <w:fldChar w:fldCharType="end"/>
      </w:r>
    </w:p>
    <w:p w14:paraId="2694DB1F">
      <w:pPr>
        <w:pStyle w:val="70"/>
        <w:tabs>
          <w:tab w:val="right" w:leader="dot" w:pos="8296"/>
        </w:tabs>
        <w:ind w:left="420"/>
        <w:rPr>
          <w:rFonts w:asciiTheme="minorHAnsi" w:hAnsiTheme="minorHAnsi" w:eastAsiaTheme="minorEastAsia"/>
        </w:rPr>
      </w:pPr>
      <w:r>
        <w:fldChar w:fldCharType="begin"/>
      </w:r>
      <w:r>
        <w:instrText xml:space="preserve"> HYPERLINK \l "_Toc196728569" </w:instrText>
      </w:r>
      <w:r>
        <w:fldChar w:fldCharType="separate"/>
      </w:r>
      <w:r>
        <w:rPr>
          <w:rStyle w:val="139"/>
        </w:rPr>
        <w:t>33.2. 系统维护</w:t>
      </w:r>
      <w:r>
        <w:tab/>
      </w:r>
      <w:r>
        <w:fldChar w:fldCharType="begin"/>
      </w:r>
      <w:r>
        <w:instrText xml:space="preserve"> PAGEREF _Toc196728569 \h </w:instrText>
      </w:r>
      <w:r>
        <w:fldChar w:fldCharType="separate"/>
      </w:r>
      <w:r>
        <w:t>942</w:t>
      </w:r>
      <w:r>
        <w:fldChar w:fldCharType="end"/>
      </w:r>
      <w:r>
        <w:fldChar w:fldCharType="end"/>
      </w:r>
    </w:p>
    <w:p w14:paraId="37A6EAE3">
      <w:pPr>
        <w:pStyle w:val="42"/>
        <w:tabs>
          <w:tab w:val="right" w:leader="dot" w:pos="8296"/>
        </w:tabs>
        <w:ind w:left="840"/>
        <w:rPr>
          <w:rFonts w:asciiTheme="minorHAnsi" w:hAnsiTheme="minorHAnsi" w:eastAsiaTheme="minorEastAsia"/>
        </w:rPr>
      </w:pPr>
      <w:r>
        <w:fldChar w:fldCharType="begin"/>
      </w:r>
      <w:r>
        <w:instrText xml:space="preserve"> HYPERLINK \l "_Toc196728570" </w:instrText>
      </w:r>
      <w:r>
        <w:fldChar w:fldCharType="separate"/>
      </w:r>
      <w:r>
        <w:rPr>
          <w:rStyle w:val="139"/>
          <w:kern w:val="0"/>
          <w14:scene3d w14:prst="orthographicFront">
            <w14:lightRig w14:rig="threePt" w14:dir="t">
              <w14:rot w14:lat="0" w14:lon="0" w14:rev="0"/>
            </w14:lightRig>
          </w14:scene3d>
        </w:rPr>
        <w:t>33.2.1.</w:t>
      </w:r>
      <w:r>
        <w:rPr>
          <w:rStyle w:val="139"/>
        </w:rPr>
        <w:t xml:space="preserve"> 升级管理</w:t>
      </w:r>
      <w:r>
        <w:tab/>
      </w:r>
      <w:r>
        <w:fldChar w:fldCharType="begin"/>
      </w:r>
      <w:r>
        <w:instrText xml:space="preserve"> PAGEREF _Toc196728570 \h </w:instrText>
      </w:r>
      <w:r>
        <w:fldChar w:fldCharType="separate"/>
      </w:r>
      <w:r>
        <w:t>942</w:t>
      </w:r>
      <w:r>
        <w:fldChar w:fldCharType="end"/>
      </w:r>
      <w:r>
        <w:fldChar w:fldCharType="end"/>
      </w:r>
    </w:p>
    <w:p w14:paraId="198DC9E7">
      <w:pPr>
        <w:pStyle w:val="42"/>
        <w:tabs>
          <w:tab w:val="right" w:leader="dot" w:pos="8296"/>
        </w:tabs>
        <w:ind w:left="840"/>
        <w:rPr>
          <w:rFonts w:asciiTheme="minorHAnsi" w:hAnsiTheme="minorHAnsi" w:eastAsiaTheme="minorEastAsia"/>
        </w:rPr>
      </w:pPr>
      <w:r>
        <w:fldChar w:fldCharType="begin"/>
      </w:r>
      <w:r>
        <w:instrText xml:space="preserve"> HYPERLINK \l "_Toc196728571" </w:instrText>
      </w:r>
      <w:r>
        <w:fldChar w:fldCharType="separate"/>
      </w:r>
      <w:r>
        <w:rPr>
          <w:rStyle w:val="139"/>
          <w:kern w:val="0"/>
          <w14:scene3d w14:prst="orthographicFront">
            <w14:lightRig w14:rig="threePt" w14:dir="t">
              <w14:rot w14:lat="0" w14:lon="0" w14:rev="0"/>
            </w14:lightRig>
          </w14:scene3d>
        </w:rPr>
        <w:t>33.2.2.</w:t>
      </w:r>
      <w:r>
        <w:rPr>
          <w:rStyle w:val="139"/>
        </w:rPr>
        <w:t xml:space="preserve"> 双系统备份</w:t>
      </w:r>
      <w:r>
        <w:tab/>
      </w:r>
      <w:r>
        <w:fldChar w:fldCharType="begin"/>
      </w:r>
      <w:r>
        <w:instrText xml:space="preserve"> PAGEREF _Toc196728571 \h </w:instrText>
      </w:r>
      <w:r>
        <w:fldChar w:fldCharType="separate"/>
      </w:r>
      <w:r>
        <w:t>946</w:t>
      </w:r>
      <w:r>
        <w:fldChar w:fldCharType="end"/>
      </w:r>
      <w:r>
        <w:fldChar w:fldCharType="end"/>
      </w:r>
    </w:p>
    <w:p w14:paraId="6F8768AC">
      <w:pPr>
        <w:pStyle w:val="42"/>
        <w:tabs>
          <w:tab w:val="right" w:leader="dot" w:pos="8296"/>
        </w:tabs>
        <w:ind w:left="840"/>
        <w:rPr>
          <w:rFonts w:asciiTheme="minorHAnsi" w:hAnsiTheme="minorHAnsi" w:eastAsiaTheme="minorEastAsia"/>
        </w:rPr>
      </w:pPr>
      <w:r>
        <w:fldChar w:fldCharType="begin"/>
      </w:r>
      <w:r>
        <w:instrText xml:space="preserve"> HYPERLINK \l "_Toc196728572" </w:instrText>
      </w:r>
      <w:r>
        <w:fldChar w:fldCharType="separate"/>
      </w:r>
      <w:r>
        <w:rPr>
          <w:rStyle w:val="139"/>
          <w:kern w:val="0"/>
          <w14:scene3d w14:prst="orthographicFront">
            <w14:lightRig w14:rig="threePt" w14:dir="t">
              <w14:rot w14:lat="0" w14:lon="0" w14:rev="0"/>
            </w14:lightRig>
          </w14:scene3d>
        </w:rPr>
        <w:t>33.2.3.</w:t>
      </w:r>
      <w:r>
        <w:rPr>
          <w:rStyle w:val="139"/>
        </w:rPr>
        <w:t xml:space="preserve"> 系统重启</w:t>
      </w:r>
      <w:r>
        <w:tab/>
      </w:r>
      <w:r>
        <w:fldChar w:fldCharType="begin"/>
      </w:r>
      <w:r>
        <w:instrText xml:space="preserve"> PAGEREF _Toc196728572 \h </w:instrText>
      </w:r>
      <w:r>
        <w:fldChar w:fldCharType="separate"/>
      </w:r>
      <w:r>
        <w:t>947</w:t>
      </w:r>
      <w:r>
        <w:fldChar w:fldCharType="end"/>
      </w:r>
      <w:r>
        <w:fldChar w:fldCharType="end"/>
      </w:r>
    </w:p>
    <w:p w14:paraId="38C792CF">
      <w:pPr>
        <w:pStyle w:val="42"/>
        <w:tabs>
          <w:tab w:val="right" w:leader="dot" w:pos="8296"/>
        </w:tabs>
        <w:ind w:left="840"/>
        <w:rPr>
          <w:rFonts w:asciiTheme="minorHAnsi" w:hAnsiTheme="minorHAnsi" w:eastAsiaTheme="minorEastAsia"/>
        </w:rPr>
      </w:pPr>
      <w:r>
        <w:fldChar w:fldCharType="begin"/>
      </w:r>
      <w:r>
        <w:instrText xml:space="preserve"> HYPERLINK \l "_Toc196728573" </w:instrText>
      </w:r>
      <w:r>
        <w:fldChar w:fldCharType="separate"/>
      </w:r>
      <w:r>
        <w:rPr>
          <w:rStyle w:val="139"/>
          <w:kern w:val="0"/>
          <w14:scene3d w14:prst="orthographicFront">
            <w14:lightRig w14:rig="threePt" w14:dir="t">
              <w14:rot w14:lat="0" w14:lon="0" w14:rev="0"/>
            </w14:lightRig>
          </w14:scene3d>
        </w:rPr>
        <w:t>33.2.4.</w:t>
      </w:r>
      <w:r>
        <w:rPr>
          <w:rStyle w:val="139"/>
        </w:rPr>
        <w:t xml:space="preserve"> 配置文件</w:t>
      </w:r>
      <w:r>
        <w:tab/>
      </w:r>
      <w:r>
        <w:fldChar w:fldCharType="begin"/>
      </w:r>
      <w:r>
        <w:instrText xml:space="preserve"> PAGEREF _Toc196728573 \h </w:instrText>
      </w:r>
      <w:r>
        <w:fldChar w:fldCharType="separate"/>
      </w:r>
      <w:r>
        <w:t>948</w:t>
      </w:r>
      <w:r>
        <w:fldChar w:fldCharType="end"/>
      </w:r>
      <w:r>
        <w:fldChar w:fldCharType="end"/>
      </w:r>
    </w:p>
    <w:p w14:paraId="5B57E0A5">
      <w:pPr>
        <w:pStyle w:val="42"/>
        <w:tabs>
          <w:tab w:val="right" w:leader="dot" w:pos="8296"/>
        </w:tabs>
        <w:ind w:left="840"/>
        <w:rPr>
          <w:rFonts w:asciiTheme="minorHAnsi" w:hAnsiTheme="minorHAnsi" w:eastAsiaTheme="minorEastAsia"/>
        </w:rPr>
      </w:pPr>
      <w:r>
        <w:fldChar w:fldCharType="begin"/>
      </w:r>
      <w:r>
        <w:instrText xml:space="preserve"> HYPERLINK \l "_Toc196728574" </w:instrText>
      </w:r>
      <w:r>
        <w:fldChar w:fldCharType="separate"/>
      </w:r>
      <w:r>
        <w:rPr>
          <w:rStyle w:val="139"/>
          <w:kern w:val="0"/>
          <w14:scene3d w14:prst="orthographicFront">
            <w14:lightRig w14:rig="threePt" w14:dir="t">
              <w14:rot w14:lat="0" w14:lon="0" w14:rev="0"/>
            </w14:lightRig>
          </w14:scene3d>
        </w:rPr>
        <w:t>33.2.5.</w:t>
      </w:r>
      <w:r>
        <w:rPr>
          <w:rStyle w:val="139"/>
        </w:rPr>
        <w:t xml:space="preserve"> 授权管理</w:t>
      </w:r>
      <w:r>
        <w:tab/>
      </w:r>
      <w:r>
        <w:fldChar w:fldCharType="begin"/>
      </w:r>
      <w:r>
        <w:instrText xml:space="preserve"> PAGEREF _Toc196728574 \h </w:instrText>
      </w:r>
      <w:r>
        <w:fldChar w:fldCharType="separate"/>
      </w:r>
      <w:r>
        <w:t>950</w:t>
      </w:r>
      <w:r>
        <w:fldChar w:fldCharType="end"/>
      </w:r>
      <w:r>
        <w:fldChar w:fldCharType="end"/>
      </w:r>
    </w:p>
    <w:p w14:paraId="555204CA">
      <w:pPr>
        <w:pStyle w:val="42"/>
        <w:tabs>
          <w:tab w:val="right" w:leader="dot" w:pos="8296"/>
        </w:tabs>
        <w:ind w:left="840"/>
        <w:rPr>
          <w:rFonts w:asciiTheme="minorHAnsi" w:hAnsiTheme="minorHAnsi" w:eastAsiaTheme="minorEastAsia"/>
        </w:rPr>
      </w:pPr>
      <w:r>
        <w:fldChar w:fldCharType="begin"/>
      </w:r>
      <w:r>
        <w:instrText xml:space="preserve"> HYPERLINK \l "_Toc196728575" </w:instrText>
      </w:r>
      <w:r>
        <w:fldChar w:fldCharType="separate"/>
      </w:r>
      <w:r>
        <w:rPr>
          <w:rStyle w:val="139"/>
          <w:kern w:val="0"/>
          <w14:scene3d w14:prst="orthographicFront">
            <w14:lightRig w14:rig="threePt" w14:dir="t">
              <w14:rot w14:lat="0" w14:lon="0" w14:rev="0"/>
            </w14:lightRig>
          </w14:scene3d>
        </w:rPr>
        <w:t>33.2.6.</w:t>
      </w:r>
      <w:r>
        <w:rPr>
          <w:rStyle w:val="139"/>
        </w:rPr>
        <w:t xml:space="preserve"> 系统告警</w:t>
      </w:r>
      <w:r>
        <w:tab/>
      </w:r>
      <w:r>
        <w:fldChar w:fldCharType="begin"/>
      </w:r>
      <w:r>
        <w:instrText xml:space="preserve"> PAGEREF _Toc196728575 \h </w:instrText>
      </w:r>
      <w:r>
        <w:fldChar w:fldCharType="separate"/>
      </w:r>
      <w:r>
        <w:t>951</w:t>
      </w:r>
      <w:r>
        <w:fldChar w:fldCharType="end"/>
      </w:r>
      <w:r>
        <w:fldChar w:fldCharType="end"/>
      </w:r>
    </w:p>
    <w:p w14:paraId="468E93F9">
      <w:pPr>
        <w:pStyle w:val="42"/>
        <w:tabs>
          <w:tab w:val="right" w:leader="dot" w:pos="8296"/>
        </w:tabs>
        <w:ind w:left="840"/>
        <w:rPr>
          <w:rFonts w:asciiTheme="minorHAnsi" w:hAnsiTheme="minorHAnsi" w:eastAsiaTheme="minorEastAsia"/>
        </w:rPr>
      </w:pPr>
      <w:r>
        <w:fldChar w:fldCharType="begin"/>
      </w:r>
      <w:r>
        <w:instrText xml:space="preserve"> HYPERLINK \l "_Toc196728576" </w:instrText>
      </w:r>
      <w:r>
        <w:fldChar w:fldCharType="separate"/>
      </w:r>
      <w:r>
        <w:rPr>
          <w:rStyle w:val="139"/>
          <w:kern w:val="0"/>
          <w14:scene3d w14:prst="orthographicFront">
            <w14:lightRig w14:rig="threePt" w14:dir="t">
              <w14:rot w14:lat="0" w14:lon="0" w14:rev="0"/>
            </w14:lightRig>
          </w14:scene3d>
        </w:rPr>
        <w:t>33.2.7.</w:t>
      </w:r>
      <w:r>
        <w:rPr>
          <w:rStyle w:val="139"/>
        </w:rPr>
        <w:t xml:space="preserve"> 系统诊断工具</w:t>
      </w:r>
      <w:r>
        <w:tab/>
      </w:r>
      <w:r>
        <w:fldChar w:fldCharType="begin"/>
      </w:r>
      <w:r>
        <w:instrText xml:space="preserve"> PAGEREF _Toc196728576 \h </w:instrText>
      </w:r>
      <w:r>
        <w:fldChar w:fldCharType="separate"/>
      </w:r>
      <w:r>
        <w:t>956</w:t>
      </w:r>
      <w:r>
        <w:fldChar w:fldCharType="end"/>
      </w:r>
      <w:r>
        <w:fldChar w:fldCharType="end"/>
      </w:r>
    </w:p>
    <w:p w14:paraId="66CF8215">
      <w:pPr>
        <w:pStyle w:val="42"/>
        <w:tabs>
          <w:tab w:val="right" w:leader="dot" w:pos="8296"/>
        </w:tabs>
        <w:ind w:left="840"/>
        <w:rPr>
          <w:rFonts w:asciiTheme="minorHAnsi" w:hAnsiTheme="minorHAnsi" w:eastAsiaTheme="minorEastAsia"/>
        </w:rPr>
      </w:pPr>
      <w:r>
        <w:fldChar w:fldCharType="begin"/>
      </w:r>
      <w:r>
        <w:instrText xml:space="preserve"> HYPERLINK \l "_Toc196728577" </w:instrText>
      </w:r>
      <w:r>
        <w:fldChar w:fldCharType="separate"/>
      </w:r>
      <w:r>
        <w:rPr>
          <w:rStyle w:val="139"/>
          <w:kern w:val="0"/>
          <w14:scene3d w14:prst="orthographicFront">
            <w14:lightRig w14:rig="threePt" w14:dir="t">
              <w14:rot w14:lat="0" w14:lon="0" w14:rev="0"/>
            </w14:lightRig>
          </w14:scene3d>
        </w:rPr>
        <w:t>33.2.8.</w:t>
      </w:r>
      <w:r>
        <w:rPr>
          <w:rStyle w:val="139"/>
        </w:rPr>
        <w:t xml:space="preserve"> 收集系统信息</w:t>
      </w:r>
      <w:r>
        <w:tab/>
      </w:r>
      <w:r>
        <w:fldChar w:fldCharType="begin"/>
      </w:r>
      <w:r>
        <w:instrText xml:space="preserve"> PAGEREF _Toc196728577 \h </w:instrText>
      </w:r>
      <w:r>
        <w:fldChar w:fldCharType="separate"/>
      </w:r>
      <w:r>
        <w:t>959</w:t>
      </w:r>
      <w:r>
        <w:fldChar w:fldCharType="end"/>
      </w:r>
      <w:r>
        <w:fldChar w:fldCharType="end"/>
      </w:r>
    </w:p>
    <w:p w14:paraId="41BE5C89">
      <w:pPr>
        <w:pStyle w:val="42"/>
        <w:tabs>
          <w:tab w:val="right" w:leader="dot" w:pos="8296"/>
        </w:tabs>
        <w:ind w:left="840"/>
        <w:rPr>
          <w:rFonts w:asciiTheme="minorHAnsi" w:hAnsiTheme="minorHAnsi" w:eastAsiaTheme="minorEastAsia"/>
        </w:rPr>
      </w:pPr>
      <w:r>
        <w:fldChar w:fldCharType="begin"/>
      </w:r>
      <w:r>
        <w:instrText xml:space="preserve"> HYPERLINK \l "_Toc196728578" </w:instrText>
      </w:r>
      <w:r>
        <w:fldChar w:fldCharType="separate"/>
      </w:r>
      <w:r>
        <w:rPr>
          <w:rStyle w:val="139"/>
          <w:kern w:val="0"/>
          <w14:scene3d w14:prst="orthographicFront">
            <w14:lightRig w14:rig="threePt" w14:dir="t">
              <w14:rot w14:lat="0" w14:lon="0" w14:rev="0"/>
            </w14:lightRig>
          </w14:scene3d>
        </w:rPr>
        <w:t>33.2.9.</w:t>
      </w:r>
      <w:r>
        <w:rPr>
          <w:rStyle w:val="139"/>
        </w:rPr>
        <w:t xml:space="preserve"> 抓包工具</w:t>
      </w:r>
      <w:r>
        <w:tab/>
      </w:r>
      <w:r>
        <w:fldChar w:fldCharType="begin"/>
      </w:r>
      <w:r>
        <w:instrText xml:space="preserve"> PAGEREF _Toc196728578 \h </w:instrText>
      </w:r>
      <w:r>
        <w:fldChar w:fldCharType="separate"/>
      </w:r>
      <w:r>
        <w:t>960</w:t>
      </w:r>
      <w:r>
        <w:fldChar w:fldCharType="end"/>
      </w:r>
      <w:r>
        <w:fldChar w:fldCharType="end"/>
      </w:r>
    </w:p>
    <w:p w14:paraId="3EF0C5BE">
      <w:pPr>
        <w:pStyle w:val="70"/>
        <w:tabs>
          <w:tab w:val="right" w:leader="dot" w:pos="8296"/>
        </w:tabs>
        <w:ind w:left="420"/>
        <w:rPr>
          <w:rFonts w:asciiTheme="minorHAnsi" w:hAnsiTheme="minorHAnsi" w:eastAsiaTheme="minorEastAsia"/>
        </w:rPr>
      </w:pPr>
      <w:r>
        <w:fldChar w:fldCharType="begin"/>
      </w:r>
      <w:r>
        <w:instrText xml:space="preserve"> HYPERLINK \l "_Toc196728579" </w:instrText>
      </w:r>
      <w:r>
        <w:fldChar w:fldCharType="separate"/>
      </w:r>
      <w:r>
        <w:rPr>
          <w:rStyle w:val="139"/>
        </w:rPr>
        <w:t>33.3. 服务器管理</w:t>
      </w:r>
      <w:r>
        <w:tab/>
      </w:r>
      <w:r>
        <w:fldChar w:fldCharType="begin"/>
      </w:r>
      <w:r>
        <w:instrText xml:space="preserve"> PAGEREF _Toc196728579 \h </w:instrText>
      </w:r>
      <w:r>
        <w:fldChar w:fldCharType="separate"/>
      </w:r>
      <w:r>
        <w:t>962</w:t>
      </w:r>
      <w:r>
        <w:fldChar w:fldCharType="end"/>
      </w:r>
      <w:r>
        <w:fldChar w:fldCharType="end"/>
      </w:r>
    </w:p>
    <w:p w14:paraId="35DED8ED">
      <w:pPr>
        <w:pStyle w:val="42"/>
        <w:tabs>
          <w:tab w:val="right" w:leader="dot" w:pos="8296"/>
        </w:tabs>
        <w:ind w:left="840"/>
        <w:rPr>
          <w:rFonts w:asciiTheme="minorHAnsi" w:hAnsiTheme="minorHAnsi" w:eastAsiaTheme="minorEastAsia"/>
        </w:rPr>
      </w:pPr>
      <w:r>
        <w:fldChar w:fldCharType="begin"/>
      </w:r>
      <w:r>
        <w:instrText xml:space="preserve"> HYPERLINK \l "_Toc196728580" </w:instrText>
      </w:r>
      <w:r>
        <w:fldChar w:fldCharType="separate"/>
      </w:r>
      <w:r>
        <w:rPr>
          <w:rStyle w:val="139"/>
          <w:kern w:val="0"/>
          <w14:scene3d w14:prst="orthographicFront">
            <w14:lightRig w14:rig="threePt" w14:dir="t">
              <w14:rot w14:lat="0" w14:lon="0" w14:rev="0"/>
            </w14:lightRig>
          </w14:scene3d>
        </w:rPr>
        <w:t>33.3.1.</w:t>
      </w:r>
      <w:r>
        <w:rPr>
          <w:rStyle w:val="139"/>
        </w:rPr>
        <w:t xml:space="preserve"> 服务器管理概述</w:t>
      </w:r>
      <w:r>
        <w:tab/>
      </w:r>
      <w:r>
        <w:fldChar w:fldCharType="begin"/>
      </w:r>
      <w:r>
        <w:instrText xml:space="preserve"> PAGEREF _Toc196728580 \h </w:instrText>
      </w:r>
      <w:r>
        <w:fldChar w:fldCharType="separate"/>
      </w:r>
      <w:r>
        <w:t>962</w:t>
      </w:r>
      <w:r>
        <w:fldChar w:fldCharType="end"/>
      </w:r>
      <w:r>
        <w:fldChar w:fldCharType="end"/>
      </w:r>
    </w:p>
    <w:p w14:paraId="4134B9D7">
      <w:pPr>
        <w:pStyle w:val="42"/>
        <w:tabs>
          <w:tab w:val="right" w:leader="dot" w:pos="8296"/>
        </w:tabs>
        <w:ind w:left="840"/>
        <w:rPr>
          <w:rFonts w:asciiTheme="minorHAnsi" w:hAnsiTheme="minorHAnsi" w:eastAsiaTheme="minorEastAsia"/>
        </w:rPr>
      </w:pPr>
      <w:r>
        <w:fldChar w:fldCharType="begin"/>
      </w:r>
      <w:r>
        <w:instrText xml:space="preserve"> HYPERLINK \l "_Toc196728581" </w:instrText>
      </w:r>
      <w:r>
        <w:fldChar w:fldCharType="separate"/>
      </w:r>
      <w:r>
        <w:rPr>
          <w:rStyle w:val="139"/>
          <w:kern w:val="0"/>
          <w14:scene3d w14:prst="orthographicFront">
            <w14:lightRig w14:rig="threePt" w14:dir="t">
              <w14:rot w14:lat="0" w14:lon="0" w14:rev="0"/>
            </w14:lightRig>
          </w14:scene3d>
        </w:rPr>
        <w:t>33.3.2.</w:t>
      </w:r>
      <w:r>
        <w:rPr>
          <w:rStyle w:val="139"/>
        </w:rPr>
        <w:t xml:space="preserve"> 配置FTP服务器</w:t>
      </w:r>
      <w:r>
        <w:tab/>
      </w:r>
      <w:r>
        <w:fldChar w:fldCharType="begin"/>
      </w:r>
      <w:r>
        <w:instrText xml:space="preserve"> PAGEREF _Toc196728581 \h </w:instrText>
      </w:r>
      <w:r>
        <w:fldChar w:fldCharType="separate"/>
      </w:r>
      <w:r>
        <w:t>962</w:t>
      </w:r>
      <w:r>
        <w:fldChar w:fldCharType="end"/>
      </w:r>
      <w:r>
        <w:fldChar w:fldCharType="end"/>
      </w:r>
    </w:p>
    <w:p w14:paraId="1ECA3A5C">
      <w:pPr>
        <w:pStyle w:val="42"/>
        <w:tabs>
          <w:tab w:val="right" w:leader="dot" w:pos="8296"/>
        </w:tabs>
        <w:ind w:left="840"/>
        <w:rPr>
          <w:rFonts w:asciiTheme="minorHAnsi" w:hAnsiTheme="minorHAnsi" w:eastAsiaTheme="minorEastAsia"/>
        </w:rPr>
      </w:pPr>
      <w:r>
        <w:fldChar w:fldCharType="begin"/>
      </w:r>
      <w:r>
        <w:instrText xml:space="preserve"> HYPERLINK \l "_Toc196728582" </w:instrText>
      </w:r>
      <w:r>
        <w:fldChar w:fldCharType="separate"/>
      </w:r>
      <w:r>
        <w:rPr>
          <w:rStyle w:val="139"/>
          <w:kern w:val="0"/>
          <w14:scene3d w14:prst="orthographicFront">
            <w14:lightRig w14:rig="threePt" w14:dir="t">
              <w14:rot w14:lat="0" w14:lon="0" w14:rev="0"/>
            </w14:lightRig>
          </w14:scene3d>
        </w:rPr>
        <w:t>33.3.3.</w:t>
      </w:r>
      <w:r>
        <w:rPr>
          <w:rStyle w:val="139"/>
        </w:rPr>
        <w:t xml:space="preserve"> 配置邮件服务器</w:t>
      </w:r>
      <w:r>
        <w:tab/>
      </w:r>
      <w:r>
        <w:fldChar w:fldCharType="begin"/>
      </w:r>
      <w:r>
        <w:instrText xml:space="preserve"> PAGEREF _Toc196728582 \h </w:instrText>
      </w:r>
      <w:r>
        <w:fldChar w:fldCharType="separate"/>
      </w:r>
      <w:r>
        <w:t>963</w:t>
      </w:r>
      <w:r>
        <w:fldChar w:fldCharType="end"/>
      </w:r>
      <w:r>
        <w:fldChar w:fldCharType="end"/>
      </w:r>
    </w:p>
    <w:p w14:paraId="4F2D9950">
      <w:pPr>
        <w:pStyle w:val="42"/>
        <w:tabs>
          <w:tab w:val="right" w:leader="dot" w:pos="8296"/>
        </w:tabs>
        <w:ind w:left="840"/>
        <w:rPr>
          <w:rFonts w:asciiTheme="minorHAnsi" w:hAnsiTheme="minorHAnsi" w:eastAsiaTheme="minorEastAsia"/>
        </w:rPr>
      </w:pPr>
      <w:r>
        <w:fldChar w:fldCharType="begin"/>
      </w:r>
      <w:r>
        <w:instrText xml:space="preserve"> HYPERLINK \l "_Toc196728583" </w:instrText>
      </w:r>
      <w:r>
        <w:fldChar w:fldCharType="separate"/>
      </w:r>
      <w:r>
        <w:rPr>
          <w:rStyle w:val="139"/>
          <w:kern w:val="0"/>
          <w14:scene3d w14:prst="orthographicFront">
            <w14:lightRig w14:rig="threePt" w14:dir="t">
              <w14:rot w14:lat="0" w14:lon="0" w14:rev="0"/>
            </w14:lightRig>
          </w14:scene3d>
        </w:rPr>
        <w:t>33.3.4.</w:t>
      </w:r>
      <w:r>
        <w:rPr>
          <w:rStyle w:val="139"/>
        </w:rPr>
        <w:t xml:space="preserve"> 配置短信服务</w:t>
      </w:r>
      <w:r>
        <w:tab/>
      </w:r>
      <w:r>
        <w:fldChar w:fldCharType="begin"/>
      </w:r>
      <w:r>
        <w:instrText xml:space="preserve"> PAGEREF _Toc196728583 \h </w:instrText>
      </w:r>
      <w:r>
        <w:fldChar w:fldCharType="separate"/>
      </w:r>
      <w:r>
        <w:t>964</w:t>
      </w:r>
      <w:r>
        <w:fldChar w:fldCharType="end"/>
      </w:r>
      <w:r>
        <w:fldChar w:fldCharType="end"/>
      </w:r>
    </w:p>
    <w:p w14:paraId="235F6D41">
      <w:pPr>
        <w:pStyle w:val="56"/>
        <w:tabs>
          <w:tab w:val="right" w:leader="dot" w:pos="8296"/>
        </w:tabs>
        <w:rPr>
          <w:rFonts w:asciiTheme="minorHAnsi" w:hAnsiTheme="minorHAnsi" w:eastAsiaTheme="minorEastAsia"/>
        </w:rPr>
      </w:pPr>
      <w:r>
        <w:fldChar w:fldCharType="begin"/>
      </w:r>
      <w:r>
        <w:instrText xml:space="preserve"> HYPERLINK \l "_Toc196728584" </w:instrText>
      </w:r>
      <w:r>
        <w:fldChar w:fldCharType="separate"/>
      </w:r>
      <w:r>
        <w:rPr>
          <w:rStyle w:val="139"/>
        </w:rPr>
        <w:t>34. 高可用性</w:t>
      </w:r>
      <w:r>
        <w:tab/>
      </w:r>
      <w:r>
        <w:fldChar w:fldCharType="begin"/>
      </w:r>
      <w:r>
        <w:instrText xml:space="preserve"> PAGEREF _Toc196728584 \h </w:instrText>
      </w:r>
      <w:r>
        <w:fldChar w:fldCharType="separate"/>
      </w:r>
      <w:r>
        <w:t>969</w:t>
      </w:r>
      <w:r>
        <w:fldChar w:fldCharType="end"/>
      </w:r>
      <w:r>
        <w:fldChar w:fldCharType="end"/>
      </w:r>
    </w:p>
    <w:p w14:paraId="1EEF0C44">
      <w:pPr>
        <w:pStyle w:val="70"/>
        <w:tabs>
          <w:tab w:val="right" w:leader="dot" w:pos="8296"/>
        </w:tabs>
        <w:ind w:left="420"/>
        <w:rPr>
          <w:rFonts w:asciiTheme="minorHAnsi" w:hAnsiTheme="minorHAnsi" w:eastAsiaTheme="minorEastAsia"/>
        </w:rPr>
      </w:pPr>
      <w:r>
        <w:fldChar w:fldCharType="begin"/>
      </w:r>
      <w:r>
        <w:instrText xml:space="preserve"> HYPERLINK \l "_Toc196728585" </w:instrText>
      </w:r>
      <w:r>
        <w:fldChar w:fldCharType="separate"/>
      </w:r>
      <w:r>
        <w:rPr>
          <w:rStyle w:val="139"/>
        </w:rPr>
        <w:t>34.1. HA</w:t>
      </w:r>
      <w:r>
        <w:tab/>
      </w:r>
      <w:r>
        <w:fldChar w:fldCharType="begin"/>
      </w:r>
      <w:r>
        <w:instrText xml:space="preserve"> PAGEREF _Toc196728585 \h </w:instrText>
      </w:r>
      <w:r>
        <w:fldChar w:fldCharType="separate"/>
      </w:r>
      <w:r>
        <w:t>969</w:t>
      </w:r>
      <w:r>
        <w:fldChar w:fldCharType="end"/>
      </w:r>
      <w:r>
        <w:fldChar w:fldCharType="end"/>
      </w:r>
    </w:p>
    <w:p w14:paraId="53B64247">
      <w:pPr>
        <w:pStyle w:val="42"/>
        <w:tabs>
          <w:tab w:val="right" w:leader="dot" w:pos="8296"/>
        </w:tabs>
        <w:ind w:left="840"/>
        <w:rPr>
          <w:rFonts w:asciiTheme="minorHAnsi" w:hAnsiTheme="minorHAnsi" w:eastAsiaTheme="minorEastAsia"/>
        </w:rPr>
      </w:pPr>
      <w:r>
        <w:fldChar w:fldCharType="begin"/>
      </w:r>
      <w:r>
        <w:instrText xml:space="preserve"> HYPERLINK \l "_Toc196728586" </w:instrText>
      </w:r>
      <w:r>
        <w:fldChar w:fldCharType="separate"/>
      </w:r>
      <w:r>
        <w:rPr>
          <w:rStyle w:val="139"/>
          <w:kern w:val="0"/>
          <w14:scene3d w14:prst="orthographicFront">
            <w14:lightRig w14:rig="threePt" w14:dir="t">
              <w14:rot w14:lat="0" w14:lon="0" w14:rev="0"/>
            </w14:lightRig>
          </w14:scene3d>
        </w:rPr>
        <w:t>34.1.1.</w:t>
      </w:r>
      <w:r>
        <w:rPr>
          <w:rStyle w:val="139"/>
        </w:rPr>
        <w:t xml:space="preserve"> 概述</w:t>
      </w:r>
      <w:r>
        <w:tab/>
      </w:r>
      <w:r>
        <w:fldChar w:fldCharType="begin"/>
      </w:r>
      <w:r>
        <w:instrText xml:space="preserve"> PAGEREF _Toc196728586 \h </w:instrText>
      </w:r>
      <w:r>
        <w:fldChar w:fldCharType="separate"/>
      </w:r>
      <w:r>
        <w:t>969</w:t>
      </w:r>
      <w:r>
        <w:fldChar w:fldCharType="end"/>
      </w:r>
      <w:r>
        <w:fldChar w:fldCharType="end"/>
      </w:r>
    </w:p>
    <w:p w14:paraId="121972C4">
      <w:pPr>
        <w:pStyle w:val="42"/>
        <w:tabs>
          <w:tab w:val="right" w:leader="dot" w:pos="8296"/>
        </w:tabs>
        <w:ind w:left="840"/>
        <w:rPr>
          <w:rFonts w:asciiTheme="minorHAnsi" w:hAnsiTheme="minorHAnsi" w:eastAsiaTheme="minorEastAsia"/>
        </w:rPr>
      </w:pPr>
      <w:r>
        <w:fldChar w:fldCharType="begin"/>
      </w:r>
      <w:r>
        <w:instrText xml:space="preserve"> HYPERLINK \l "_Toc196728587" </w:instrText>
      </w:r>
      <w:r>
        <w:fldChar w:fldCharType="separate"/>
      </w:r>
      <w:r>
        <w:rPr>
          <w:rStyle w:val="139"/>
          <w:kern w:val="0"/>
          <w14:scene3d w14:prst="orthographicFront">
            <w14:lightRig w14:rig="threePt" w14:dir="t">
              <w14:rot w14:lat="0" w14:lon="0" w14:rev="0"/>
            </w14:lightRig>
          </w14:scene3d>
        </w:rPr>
        <w:t>34.1.2.</w:t>
      </w:r>
      <w:r>
        <w:rPr>
          <w:rStyle w:val="139"/>
        </w:rPr>
        <w:t xml:space="preserve"> HA全局配置</w:t>
      </w:r>
      <w:r>
        <w:tab/>
      </w:r>
      <w:r>
        <w:fldChar w:fldCharType="begin"/>
      </w:r>
      <w:r>
        <w:instrText xml:space="preserve"> PAGEREF _Toc196728587 \h </w:instrText>
      </w:r>
      <w:r>
        <w:fldChar w:fldCharType="separate"/>
      </w:r>
      <w:r>
        <w:t>973</w:t>
      </w:r>
      <w:r>
        <w:fldChar w:fldCharType="end"/>
      </w:r>
      <w:r>
        <w:fldChar w:fldCharType="end"/>
      </w:r>
    </w:p>
    <w:p w14:paraId="75547BED">
      <w:pPr>
        <w:pStyle w:val="42"/>
        <w:tabs>
          <w:tab w:val="right" w:leader="dot" w:pos="8296"/>
        </w:tabs>
        <w:ind w:left="840"/>
        <w:rPr>
          <w:rFonts w:asciiTheme="minorHAnsi" w:hAnsiTheme="minorHAnsi" w:eastAsiaTheme="minorEastAsia"/>
        </w:rPr>
      </w:pPr>
      <w:r>
        <w:fldChar w:fldCharType="begin"/>
      </w:r>
      <w:r>
        <w:instrText xml:space="preserve"> HYPERLINK \l "_Toc196728588" </w:instrText>
      </w:r>
      <w:r>
        <w:fldChar w:fldCharType="separate"/>
      </w:r>
      <w:r>
        <w:rPr>
          <w:rStyle w:val="139"/>
          <w:kern w:val="0"/>
          <w14:scene3d w14:prst="orthographicFront">
            <w14:lightRig w14:rig="threePt" w14:dir="t">
              <w14:rot w14:lat="0" w14:lon="0" w14:rev="0"/>
            </w14:lightRig>
          </w14:scene3d>
        </w:rPr>
        <w:t>34.1.3.</w:t>
      </w:r>
      <w:r>
        <w:rPr>
          <w:rStyle w:val="139"/>
        </w:rPr>
        <w:t xml:space="preserve"> HA监控</w:t>
      </w:r>
      <w:r>
        <w:tab/>
      </w:r>
      <w:r>
        <w:fldChar w:fldCharType="begin"/>
      </w:r>
      <w:r>
        <w:instrText xml:space="preserve"> PAGEREF _Toc196728588 \h </w:instrText>
      </w:r>
      <w:r>
        <w:fldChar w:fldCharType="separate"/>
      </w:r>
      <w:r>
        <w:t>976</w:t>
      </w:r>
      <w:r>
        <w:fldChar w:fldCharType="end"/>
      </w:r>
      <w:r>
        <w:fldChar w:fldCharType="end"/>
      </w:r>
    </w:p>
    <w:p w14:paraId="4523322D">
      <w:pPr>
        <w:pStyle w:val="42"/>
        <w:tabs>
          <w:tab w:val="right" w:leader="dot" w:pos="8296"/>
        </w:tabs>
        <w:ind w:left="840"/>
        <w:rPr>
          <w:rFonts w:asciiTheme="minorHAnsi" w:hAnsiTheme="minorHAnsi" w:eastAsiaTheme="minorEastAsia"/>
        </w:rPr>
      </w:pPr>
      <w:r>
        <w:fldChar w:fldCharType="begin"/>
      </w:r>
      <w:r>
        <w:instrText xml:space="preserve"> HYPERLINK \l "_Toc196728589" </w:instrText>
      </w:r>
      <w:r>
        <w:fldChar w:fldCharType="separate"/>
      </w:r>
      <w:r>
        <w:rPr>
          <w:rStyle w:val="139"/>
          <w:kern w:val="0"/>
          <w14:scene3d w14:prst="orthographicFront">
            <w14:lightRig w14:rig="threePt" w14:dir="t">
              <w14:rot w14:lat="0" w14:lon="0" w14:rev="0"/>
            </w14:lightRig>
          </w14:scene3d>
        </w:rPr>
        <w:t>34.1.4.</w:t>
      </w:r>
      <w:r>
        <w:rPr>
          <w:rStyle w:val="139"/>
        </w:rPr>
        <w:t xml:space="preserve"> 配置HA接口管理地址</w:t>
      </w:r>
      <w:r>
        <w:tab/>
      </w:r>
      <w:r>
        <w:fldChar w:fldCharType="begin"/>
      </w:r>
      <w:r>
        <w:instrText xml:space="preserve"> PAGEREF _Toc196728589 \h </w:instrText>
      </w:r>
      <w:r>
        <w:fldChar w:fldCharType="separate"/>
      </w:r>
      <w:r>
        <w:t>979</w:t>
      </w:r>
      <w:r>
        <w:fldChar w:fldCharType="end"/>
      </w:r>
      <w:r>
        <w:fldChar w:fldCharType="end"/>
      </w:r>
    </w:p>
    <w:p w14:paraId="7248C495">
      <w:pPr>
        <w:pStyle w:val="42"/>
        <w:tabs>
          <w:tab w:val="right" w:leader="dot" w:pos="8296"/>
        </w:tabs>
        <w:ind w:left="840"/>
        <w:rPr>
          <w:rFonts w:asciiTheme="minorHAnsi" w:hAnsiTheme="minorHAnsi" w:eastAsiaTheme="minorEastAsia"/>
        </w:rPr>
      </w:pPr>
      <w:r>
        <w:fldChar w:fldCharType="begin"/>
      </w:r>
      <w:r>
        <w:instrText xml:space="preserve"> HYPERLINK \l "_Toc196728590" </w:instrText>
      </w:r>
      <w:r>
        <w:fldChar w:fldCharType="separate"/>
      </w:r>
      <w:r>
        <w:rPr>
          <w:rStyle w:val="139"/>
          <w:kern w:val="0"/>
          <w14:scene3d w14:prst="orthographicFront">
            <w14:lightRig w14:rig="threePt" w14:dir="t">
              <w14:rot w14:lat="0" w14:lon="0" w14:rev="0"/>
            </w14:lightRig>
          </w14:scene3d>
        </w:rPr>
        <w:t>34.1.5.</w:t>
      </w:r>
      <w:r>
        <w:rPr>
          <w:rStyle w:val="139"/>
        </w:rPr>
        <w:t xml:space="preserve"> HA主备模式配置举例</w:t>
      </w:r>
      <w:r>
        <w:tab/>
      </w:r>
      <w:r>
        <w:fldChar w:fldCharType="begin"/>
      </w:r>
      <w:r>
        <w:instrText xml:space="preserve"> PAGEREF _Toc196728590 \h </w:instrText>
      </w:r>
      <w:r>
        <w:fldChar w:fldCharType="separate"/>
      </w:r>
      <w:r>
        <w:t>980</w:t>
      </w:r>
      <w:r>
        <w:fldChar w:fldCharType="end"/>
      </w:r>
      <w:r>
        <w:fldChar w:fldCharType="end"/>
      </w:r>
    </w:p>
    <w:p w14:paraId="6CAA78F8">
      <w:pPr>
        <w:pStyle w:val="42"/>
        <w:tabs>
          <w:tab w:val="right" w:leader="dot" w:pos="8296"/>
        </w:tabs>
        <w:ind w:left="840"/>
        <w:rPr>
          <w:rFonts w:asciiTheme="minorHAnsi" w:hAnsiTheme="minorHAnsi" w:eastAsiaTheme="minorEastAsia"/>
        </w:rPr>
      </w:pPr>
      <w:r>
        <w:fldChar w:fldCharType="begin"/>
      </w:r>
      <w:r>
        <w:instrText xml:space="preserve"> HYPERLINK \l "_Toc196728591" </w:instrText>
      </w:r>
      <w:r>
        <w:fldChar w:fldCharType="separate"/>
      </w:r>
      <w:r>
        <w:rPr>
          <w:rStyle w:val="139"/>
          <w:kern w:val="0"/>
          <w14:scene3d w14:prst="orthographicFront">
            <w14:lightRig w14:rig="threePt" w14:dir="t">
              <w14:rot w14:lat="0" w14:lon="0" w14:rev="0"/>
            </w14:lightRig>
          </w14:scene3d>
        </w:rPr>
        <w:t>34.1.6.</w:t>
      </w:r>
      <w:r>
        <w:rPr>
          <w:rStyle w:val="139"/>
        </w:rPr>
        <w:t xml:space="preserve"> HA主主模式配置举例</w:t>
      </w:r>
      <w:r>
        <w:tab/>
      </w:r>
      <w:r>
        <w:fldChar w:fldCharType="begin"/>
      </w:r>
      <w:r>
        <w:instrText xml:space="preserve"> PAGEREF _Toc196728591 \h </w:instrText>
      </w:r>
      <w:r>
        <w:fldChar w:fldCharType="separate"/>
      </w:r>
      <w:r>
        <w:t>985</w:t>
      </w:r>
      <w:r>
        <w:fldChar w:fldCharType="end"/>
      </w:r>
      <w:r>
        <w:fldChar w:fldCharType="end"/>
      </w:r>
    </w:p>
    <w:p w14:paraId="62EFB136">
      <w:pPr>
        <w:pStyle w:val="70"/>
        <w:tabs>
          <w:tab w:val="right" w:leader="dot" w:pos="8296"/>
        </w:tabs>
        <w:ind w:left="420"/>
        <w:rPr>
          <w:rFonts w:asciiTheme="minorHAnsi" w:hAnsiTheme="minorHAnsi" w:eastAsiaTheme="minorEastAsia"/>
        </w:rPr>
      </w:pPr>
      <w:r>
        <w:fldChar w:fldCharType="begin"/>
      </w:r>
      <w:r>
        <w:instrText xml:space="preserve"> HYPERLINK \l "_Toc196728592" </w:instrText>
      </w:r>
      <w:r>
        <w:fldChar w:fldCharType="separate"/>
      </w:r>
      <w:r>
        <w:rPr>
          <w:rStyle w:val="139"/>
        </w:rPr>
        <w:t>34.2. 接口状态同步组</w:t>
      </w:r>
      <w:r>
        <w:tab/>
      </w:r>
      <w:r>
        <w:fldChar w:fldCharType="begin"/>
      </w:r>
      <w:r>
        <w:instrText xml:space="preserve"> PAGEREF _Toc196728592 \h </w:instrText>
      </w:r>
      <w:r>
        <w:fldChar w:fldCharType="separate"/>
      </w:r>
      <w:r>
        <w:t>990</w:t>
      </w:r>
      <w:r>
        <w:fldChar w:fldCharType="end"/>
      </w:r>
      <w:r>
        <w:fldChar w:fldCharType="end"/>
      </w:r>
    </w:p>
    <w:p w14:paraId="206E4CD8">
      <w:pPr>
        <w:pStyle w:val="42"/>
        <w:tabs>
          <w:tab w:val="right" w:leader="dot" w:pos="8296"/>
        </w:tabs>
        <w:ind w:left="840"/>
        <w:rPr>
          <w:rFonts w:asciiTheme="minorHAnsi" w:hAnsiTheme="minorHAnsi" w:eastAsiaTheme="minorEastAsia"/>
        </w:rPr>
      </w:pPr>
      <w:r>
        <w:fldChar w:fldCharType="begin"/>
      </w:r>
      <w:r>
        <w:instrText xml:space="preserve"> HYPERLINK \l "_Toc196728593" </w:instrText>
      </w:r>
      <w:r>
        <w:fldChar w:fldCharType="separate"/>
      </w:r>
      <w:r>
        <w:rPr>
          <w:rStyle w:val="139"/>
          <w:kern w:val="0"/>
          <w14:scene3d w14:prst="orthographicFront">
            <w14:lightRig w14:rig="threePt" w14:dir="t">
              <w14:rot w14:lat="0" w14:lon="0" w14:rev="0"/>
            </w14:lightRig>
          </w14:scene3d>
        </w:rPr>
        <w:t>34.2.1.</w:t>
      </w:r>
      <w:r>
        <w:rPr>
          <w:rStyle w:val="139"/>
        </w:rPr>
        <w:t xml:space="preserve"> 概述</w:t>
      </w:r>
      <w:r>
        <w:tab/>
      </w:r>
      <w:r>
        <w:fldChar w:fldCharType="begin"/>
      </w:r>
      <w:r>
        <w:instrText xml:space="preserve"> PAGEREF _Toc196728593 \h </w:instrText>
      </w:r>
      <w:r>
        <w:fldChar w:fldCharType="separate"/>
      </w:r>
      <w:r>
        <w:t>990</w:t>
      </w:r>
      <w:r>
        <w:fldChar w:fldCharType="end"/>
      </w:r>
      <w:r>
        <w:fldChar w:fldCharType="end"/>
      </w:r>
    </w:p>
    <w:p w14:paraId="4286C758">
      <w:pPr>
        <w:pStyle w:val="42"/>
        <w:tabs>
          <w:tab w:val="right" w:leader="dot" w:pos="8296"/>
        </w:tabs>
        <w:ind w:left="840"/>
        <w:rPr>
          <w:rFonts w:asciiTheme="minorHAnsi" w:hAnsiTheme="minorHAnsi" w:eastAsiaTheme="minorEastAsia"/>
        </w:rPr>
      </w:pPr>
      <w:r>
        <w:fldChar w:fldCharType="begin"/>
      </w:r>
      <w:r>
        <w:instrText xml:space="preserve"> HYPERLINK \l "_Toc196728594" </w:instrText>
      </w:r>
      <w:r>
        <w:fldChar w:fldCharType="separate"/>
      </w:r>
      <w:r>
        <w:rPr>
          <w:rStyle w:val="139"/>
          <w:kern w:val="0"/>
          <w14:scene3d w14:prst="orthographicFront">
            <w14:lightRig w14:rig="threePt" w14:dir="t">
              <w14:rot w14:lat="0" w14:lon="0" w14:rev="0"/>
            </w14:lightRig>
          </w14:scene3d>
        </w:rPr>
        <w:t>34.2.2.</w:t>
      </w:r>
      <w:r>
        <w:rPr>
          <w:rStyle w:val="139"/>
        </w:rPr>
        <w:t xml:space="preserve"> 接口状态同步组</w:t>
      </w:r>
      <w:r>
        <w:tab/>
      </w:r>
      <w:r>
        <w:fldChar w:fldCharType="begin"/>
      </w:r>
      <w:r>
        <w:instrText xml:space="preserve"> PAGEREF _Toc196728594 \h </w:instrText>
      </w:r>
      <w:r>
        <w:fldChar w:fldCharType="separate"/>
      </w:r>
      <w:r>
        <w:t>990</w:t>
      </w:r>
      <w:r>
        <w:fldChar w:fldCharType="end"/>
      </w:r>
      <w:r>
        <w:fldChar w:fldCharType="end"/>
      </w:r>
    </w:p>
    <w:p w14:paraId="479A62BF">
      <w:pPr>
        <w:pStyle w:val="42"/>
        <w:tabs>
          <w:tab w:val="right" w:leader="dot" w:pos="8296"/>
        </w:tabs>
        <w:ind w:left="840"/>
        <w:rPr>
          <w:rFonts w:asciiTheme="minorHAnsi" w:hAnsiTheme="minorHAnsi" w:eastAsiaTheme="minorEastAsia"/>
        </w:rPr>
      </w:pPr>
      <w:r>
        <w:fldChar w:fldCharType="begin"/>
      </w:r>
      <w:r>
        <w:instrText xml:space="preserve"> HYPERLINK \l "_Toc196728595" </w:instrText>
      </w:r>
      <w:r>
        <w:fldChar w:fldCharType="separate"/>
      </w:r>
      <w:r>
        <w:rPr>
          <w:rStyle w:val="139"/>
          <w:kern w:val="0"/>
          <w14:scene3d w14:prst="orthographicFront">
            <w14:lightRig w14:rig="threePt" w14:dir="t">
              <w14:rot w14:lat="0" w14:lon="0" w14:rev="0"/>
            </w14:lightRig>
          </w14:scene3d>
        </w:rPr>
        <w:t>34.2.3.</w:t>
      </w:r>
      <w:r>
        <w:rPr>
          <w:rStyle w:val="139"/>
        </w:rPr>
        <w:t xml:space="preserve"> 接口状态同步组配置</w:t>
      </w:r>
      <w:r>
        <w:tab/>
      </w:r>
      <w:r>
        <w:fldChar w:fldCharType="begin"/>
      </w:r>
      <w:r>
        <w:instrText xml:space="preserve"> PAGEREF _Toc196728595 \h </w:instrText>
      </w:r>
      <w:r>
        <w:fldChar w:fldCharType="separate"/>
      </w:r>
      <w:r>
        <w:t>991</w:t>
      </w:r>
      <w:r>
        <w:fldChar w:fldCharType="end"/>
      </w:r>
      <w:r>
        <w:fldChar w:fldCharType="end"/>
      </w:r>
    </w:p>
    <w:p w14:paraId="08CB02D2">
      <w:pPr>
        <w:pStyle w:val="70"/>
        <w:tabs>
          <w:tab w:val="right" w:leader="dot" w:pos="8296"/>
        </w:tabs>
        <w:ind w:left="420"/>
        <w:rPr>
          <w:rFonts w:asciiTheme="minorHAnsi" w:hAnsiTheme="minorHAnsi" w:eastAsiaTheme="minorEastAsia"/>
        </w:rPr>
      </w:pPr>
      <w:r>
        <w:fldChar w:fldCharType="begin"/>
      </w:r>
      <w:r>
        <w:instrText xml:space="preserve"> HYPERLINK \l "_Toc196728596" </w:instrText>
      </w:r>
      <w:r>
        <w:fldChar w:fldCharType="separate"/>
      </w:r>
      <w:r>
        <w:rPr>
          <w:rStyle w:val="139"/>
        </w:rPr>
        <w:t>34.3. 地址探测</w:t>
      </w:r>
      <w:r>
        <w:tab/>
      </w:r>
      <w:r>
        <w:fldChar w:fldCharType="begin"/>
      </w:r>
      <w:r>
        <w:instrText xml:space="preserve"> PAGEREF _Toc196728596 \h </w:instrText>
      </w:r>
      <w:r>
        <w:fldChar w:fldCharType="separate"/>
      </w:r>
      <w:r>
        <w:t>992</w:t>
      </w:r>
      <w:r>
        <w:fldChar w:fldCharType="end"/>
      </w:r>
      <w:r>
        <w:fldChar w:fldCharType="end"/>
      </w:r>
    </w:p>
    <w:p w14:paraId="6F37E610">
      <w:pPr>
        <w:pStyle w:val="42"/>
        <w:tabs>
          <w:tab w:val="right" w:leader="dot" w:pos="8296"/>
        </w:tabs>
        <w:ind w:left="840"/>
        <w:rPr>
          <w:rFonts w:asciiTheme="minorHAnsi" w:hAnsiTheme="minorHAnsi" w:eastAsiaTheme="minorEastAsia"/>
        </w:rPr>
      </w:pPr>
      <w:r>
        <w:fldChar w:fldCharType="begin"/>
      </w:r>
      <w:r>
        <w:instrText xml:space="preserve"> HYPERLINK \l "_Toc196728597" </w:instrText>
      </w:r>
      <w:r>
        <w:fldChar w:fldCharType="separate"/>
      </w:r>
      <w:r>
        <w:rPr>
          <w:rStyle w:val="139"/>
          <w:kern w:val="0"/>
          <w14:scene3d w14:prst="orthographicFront">
            <w14:lightRig w14:rig="threePt" w14:dir="t">
              <w14:rot w14:lat="0" w14:lon="0" w14:rev="0"/>
            </w14:lightRig>
          </w14:scene3d>
        </w:rPr>
        <w:t>34.3.1.</w:t>
      </w:r>
      <w:r>
        <w:rPr>
          <w:rStyle w:val="139"/>
        </w:rPr>
        <w:t xml:space="preserve"> 概述</w:t>
      </w:r>
      <w:r>
        <w:tab/>
      </w:r>
      <w:r>
        <w:fldChar w:fldCharType="begin"/>
      </w:r>
      <w:r>
        <w:instrText xml:space="preserve"> PAGEREF _Toc196728597 \h </w:instrText>
      </w:r>
      <w:r>
        <w:fldChar w:fldCharType="separate"/>
      </w:r>
      <w:r>
        <w:t>992</w:t>
      </w:r>
      <w:r>
        <w:fldChar w:fldCharType="end"/>
      </w:r>
      <w:r>
        <w:fldChar w:fldCharType="end"/>
      </w:r>
    </w:p>
    <w:p w14:paraId="4E81E15B">
      <w:pPr>
        <w:pStyle w:val="42"/>
        <w:tabs>
          <w:tab w:val="right" w:leader="dot" w:pos="8296"/>
        </w:tabs>
        <w:ind w:left="840"/>
        <w:rPr>
          <w:rFonts w:asciiTheme="minorHAnsi" w:hAnsiTheme="minorHAnsi" w:eastAsiaTheme="minorEastAsia"/>
        </w:rPr>
      </w:pPr>
      <w:r>
        <w:fldChar w:fldCharType="begin"/>
      </w:r>
      <w:r>
        <w:instrText xml:space="preserve"> HYPERLINK \l "_Toc196728598" </w:instrText>
      </w:r>
      <w:r>
        <w:fldChar w:fldCharType="separate"/>
      </w:r>
      <w:r>
        <w:rPr>
          <w:rStyle w:val="139"/>
          <w:kern w:val="0"/>
          <w14:scene3d w14:prst="orthographicFront">
            <w14:lightRig w14:rig="threePt" w14:dir="t">
              <w14:rot w14:lat="0" w14:lon="0" w14:rev="0"/>
            </w14:lightRig>
          </w14:scene3d>
        </w:rPr>
        <w:t>34.3.2.</w:t>
      </w:r>
      <w:r>
        <w:rPr>
          <w:rStyle w:val="139"/>
        </w:rPr>
        <w:t xml:space="preserve"> 地址探测和其他模块的联动</w:t>
      </w:r>
      <w:r>
        <w:tab/>
      </w:r>
      <w:r>
        <w:fldChar w:fldCharType="begin"/>
      </w:r>
      <w:r>
        <w:instrText xml:space="preserve"> PAGEREF _Toc196728598 \h </w:instrText>
      </w:r>
      <w:r>
        <w:fldChar w:fldCharType="separate"/>
      </w:r>
      <w:r>
        <w:t>993</w:t>
      </w:r>
      <w:r>
        <w:fldChar w:fldCharType="end"/>
      </w:r>
      <w:r>
        <w:fldChar w:fldCharType="end"/>
      </w:r>
    </w:p>
    <w:p w14:paraId="67AF4F7A">
      <w:pPr>
        <w:pStyle w:val="42"/>
        <w:tabs>
          <w:tab w:val="right" w:leader="dot" w:pos="8296"/>
        </w:tabs>
        <w:ind w:left="840"/>
        <w:rPr>
          <w:rFonts w:asciiTheme="minorHAnsi" w:hAnsiTheme="minorHAnsi" w:eastAsiaTheme="minorEastAsia"/>
        </w:rPr>
      </w:pPr>
      <w:r>
        <w:fldChar w:fldCharType="begin"/>
      </w:r>
      <w:r>
        <w:instrText xml:space="preserve"> HYPERLINK \l "_Toc196728599" </w:instrText>
      </w:r>
      <w:r>
        <w:fldChar w:fldCharType="separate"/>
      </w:r>
      <w:r>
        <w:rPr>
          <w:rStyle w:val="139"/>
          <w:kern w:val="0"/>
          <w14:scene3d w14:prst="orthographicFront">
            <w14:lightRig w14:rig="threePt" w14:dir="t">
              <w14:rot w14:lat="0" w14:lon="0" w14:rev="0"/>
            </w14:lightRig>
          </w14:scene3d>
        </w:rPr>
        <w:t>34.3.3.</w:t>
      </w:r>
      <w:r>
        <w:rPr>
          <w:rStyle w:val="139"/>
        </w:rPr>
        <w:t xml:space="preserve"> 配置地址探测</w:t>
      </w:r>
      <w:r>
        <w:tab/>
      </w:r>
      <w:r>
        <w:fldChar w:fldCharType="begin"/>
      </w:r>
      <w:r>
        <w:instrText xml:space="preserve"> PAGEREF _Toc196728599 \h </w:instrText>
      </w:r>
      <w:r>
        <w:fldChar w:fldCharType="separate"/>
      </w:r>
      <w:r>
        <w:t>993</w:t>
      </w:r>
      <w:r>
        <w:fldChar w:fldCharType="end"/>
      </w:r>
      <w:r>
        <w:fldChar w:fldCharType="end"/>
      </w:r>
    </w:p>
    <w:p w14:paraId="4B88D8FB">
      <w:pPr>
        <w:pStyle w:val="42"/>
        <w:tabs>
          <w:tab w:val="right" w:leader="dot" w:pos="8296"/>
        </w:tabs>
        <w:ind w:left="840"/>
        <w:rPr>
          <w:rFonts w:asciiTheme="minorHAnsi" w:hAnsiTheme="minorHAnsi" w:eastAsiaTheme="minorEastAsia"/>
        </w:rPr>
      </w:pPr>
      <w:r>
        <w:fldChar w:fldCharType="begin"/>
      </w:r>
      <w:r>
        <w:instrText xml:space="preserve"> HYPERLINK \l "_Toc196728600" </w:instrText>
      </w:r>
      <w:r>
        <w:fldChar w:fldCharType="separate"/>
      </w:r>
      <w:r>
        <w:rPr>
          <w:rStyle w:val="139"/>
          <w:kern w:val="0"/>
          <w14:scene3d w14:prst="orthographicFront">
            <w14:lightRig w14:rig="threePt" w14:dir="t">
              <w14:rot w14:lat="0" w14:lon="0" w14:rev="0"/>
            </w14:lightRig>
          </w14:scene3d>
        </w:rPr>
        <w:t>34.3.4.</w:t>
      </w:r>
      <w:r>
        <w:rPr>
          <w:rStyle w:val="139"/>
        </w:rPr>
        <w:t xml:space="preserve"> 配置接口状态探测</w:t>
      </w:r>
      <w:r>
        <w:tab/>
      </w:r>
      <w:r>
        <w:fldChar w:fldCharType="begin"/>
      </w:r>
      <w:r>
        <w:instrText xml:space="preserve"> PAGEREF _Toc196728600 \h </w:instrText>
      </w:r>
      <w:r>
        <w:fldChar w:fldCharType="separate"/>
      </w:r>
      <w:r>
        <w:t>998</w:t>
      </w:r>
      <w:r>
        <w:fldChar w:fldCharType="end"/>
      </w:r>
      <w:r>
        <w:fldChar w:fldCharType="end"/>
      </w:r>
    </w:p>
    <w:p w14:paraId="5BF8F0F8">
      <w:pPr>
        <w:pStyle w:val="56"/>
        <w:tabs>
          <w:tab w:val="right" w:leader="dot" w:pos="8296"/>
        </w:tabs>
        <w:rPr>
          <w:rFonts w:asciiTheme="minorHAnsi" w:hAnsiTheme="minorHAnsi" w:eastAsiaTheme="minorEastAsia"/>
        </w:rPr>
      </w:pPr>
      <w:r>
        <w:fldChar w:fldCharType="begin"/>
      </w:r>
      <w:r>
        <w:instrText xml:space="preserve"> HYPERLINK \l "_Toc196728601" </w:instrText>
      </w:r>
      <w:r>
        <w:fldChar w:fldCharType="separate"/>
      </w:r>
      <w:r>
        <w:rPr>
          <w:rStyle w:val="139"/>
        </w:rPr>
        <w:t>35. 无线非经</w:t>
      </w:r>
      <w:r>
        <w:tab/>
      </w:r>
      <w:r>
        <w:fldChar w:fldCharType="begin"/>
      </w:r>
      <w:r>
        <w:instrText xml:space="preserve"> PAGEREF _Toc196728601 \h </w:instrText>
      </w:r>
      <w:r>
        <w:fldChar w:fldCharType="separate"/>
      </w:r>
      <w:r>
        <w:t>1000</w:t>
      </w:r>
      <w:r>
        <w:fldChar w:fldCharType="end"/>
      </w:r>
      <w:r>
        <w:fldChar w:fldCharType="end"/>
      </w:r>
    </w:p>
    <w:p w14:paraId="7841477C">
      <w:pPr>
        <w:pStyle w:val="70"/>
        <w:tabs>
          <w:tab w:val="right" w:leader="dot" w:pos="8296"/>
        </w:tabs>
        <w:ind w:left="420"/>
        <w:rPr>
          <w:rFonts w:asciiTheme="minorHAnsi" w:hAnsiTheme="minorHAnsi" w:eastAsiaTheme="minorEastAsia"/>
        </w:rPr>
      </w:pPr>
      <w:r>
        <w:fldChar w:fldCharType="begin"/>
      </w:r>
      <w:r>
        <w:instrText xml:space="preserve"> HYPERLINK \l "_Toc196728602" </w:instrText>
      </w:r>
      <w:r>
        <w:fldChar w:fldCharType="separate"/>
      </w:r>
      <w:r>
        <w:rPr>
          <w:rStyle w:val="139"/>
        </w:rPr>
        <w:t>35.1. 简介</w:t>
      </w:r>
      <w:r>
        <w:tab/>
      </w:r>
      <w:r>
        <w:fldChar w:fldCharType="begin"/>
      </w:r>
      <w:r>
        <w:instrText xml:space="preserve"> PAGEREF _Toc196728602 \h </w:instrText>
      </w:r>
      <w:r>
        <w:fldChar w:fldCharType="separate"/>
      </w:r>
      <w:r>
        <w:t>1000</w:t>
      </w:r>
      <w:r>
        <w:fldChar w:fldCharType="end"/>
      </w:r>
      <w:r>
        <w:fldChar w:fldCharType="end"/>
      </w:r>
    </w:p>
    <w:p w14:paraId="7B6067BD">
      <w:pPr>
        <w:pStyle w:val="70"/>
        <w:tabs>
          <w:tab w:val="right" w:leader="dot" w:pos="8296"/>
        </w:tabs>
        <w:ind w:left="420"/>
        <w:rPr>
          <w:rFonts w:asciiTheme="minorHAnsi" w:hAnsiTheme="minorHAnsi" w:eastAsiaTheme="minorEastAsia"/>
        </w:rPr>
      </w:pPr>
      <w:r>
        <w:fldChar w:fldCharType="begin"/>
      </w:r>
      <w:r>
        <w:instrText xml:space="preserve"> HYPERLINK \l "_Toc196728603" </w:instrText>
      </w:r>
      <w:r>
        <w:fldChar w:fldCharType="separate"/>
      </w:r>
      <w:r>
        <w:rPr>
          <w:rStyle w:val="139"/>
        </w:rPr>
        <w:t>35.2. 无线非经配置</w:t>
      </w:r>
      <w:r>
        <w:tab/>
      </w:r>
      <w:r>
        <w:fldChar w:fldCharType="begin"/>
      </w:r>
      <w:r>
        <w:instrText xml:space="preserve"> PAGEREF _Toc196728603 \h </w:instrText>
      </w:r>
      <w:r>
        <w:fldChar w:fldCharType="separate"/>
      </w:r>
      <w:r>
        <w:t>1000</w:t>
      </w:r>
      <w:r>
        <w:fldChar w:fldCharType="end"/>
      </w:r>
      <w:r>
        <w:fldChar w:fldCharType="end"/>
      </w:r>
    </w:p>
    <w:p w14:paraId="3C78BC11">
      <w:pPr>
        <w:pStyle w:val="42"/>
        <w:tabs>
          <w:tab w:val="right" w:leader="dot" w:pos="8296"/>
        </w:tabs>
        <w:ind w:left="840"/>
        <w:rPr>
          <w:rFonts w:asciiTheme="minorHAnsi" w:hAnsiTheme="minorHAnsi" w:eastAsiaTheme="minorEastAsia"/>
        </w:rPr>
      </w:pPr>
      <w:r>
        <w:fldChar w:fldCharType="begin"/>
      </w:r>
      <w:r>
        <w:instrText xml:space="preserve"> HYPERLINK \l "_Toc196728604" </w:instrText>
      </w:r>
      <w:r>
        <w:fldChar w:fldCharType="separate"/>
      </w:r>
      <w:r>
        <w:rPr>
          <w:rStyle w:val="139"/>
          <w:kern w:val="0"/>
          <w14:scene3d w14:prst="orthographicFront">
            <w14:lightRig w14:rig="threePt" w14:dir="t">
              <w14:rot w14:lat="0" w14:lon="0" w14:rev="0"/>
            </w14:lightRig>
          </w14:scene3d>
        </w:rPr>
        <w:t>35.2.1.</w:t>
      </w:r>
      <w:r>
        <w:rPr>
          <w:rStyle w:val="139"/>
        </w:rPr>
        <w:t xml:space="preserve"> 配置厂商</w:t>
      </w:r>
      <w:r>
        <w:tab/>
      </w:r>
      <w:r>
        <w:fldChar w:fldCharType="begin"/>
      </w:r>
      <w:r>
        <w:instrText xml:space="preserve"> PAGEREF _Toc196728604 \h </w:instrText>
      </w:r>
      <w:r>
        <w:fldChar w:fldCharType="separate"/>
      </w:r>
      <w:r>
        <w:t>1000</w:t>
      </w:r>
      <w:r>
        <w:fldChar w:fldCharType="end"/>
      </w:r>
      <w:r>
        <w:fldChar w:fldCharType="end"/>
      </w:r>
    </w:p>
    <w:p w14:paraId="7ED39C22">
      <w:pPr>
        <w:pStyle w:val="42"/>
        <w:tabs>
          <w:tab w:val="right" w:leader="dot" w:pos="8296"/>
        </w:tabs>
        <w:ind w:left="840"/>
        <w:rPr>
          <w:rFonts w:asciiTheme="minorHAnsi" w:hAnsiTheme="minorHAnsi" w:eastAsiaTheme="minorEastAsia"/>
        </w:rPr>
      </w:pPr>
      <w:r>
        <w:fldChar w:fldCharType="begin"/>
      </w:r>
      <w:r>
        <w:instrText xml:space="preserve"> HYPERLINK \l "_Toc196728605" </w:instrText>
      </w:r>
      <w:r>
        <w:fldChar w:fldCharType="separate"/>
      </w:r>
      <w:r>
        <w:rPr>
          <w:rStyle w:val="139"/>
          <w:kern w:val="0"/>
          <w14:scene3d w14:prst="orthographicFront">
            <w14:lightRig w14:rig="threePt" w14:dir="t">
              <w14:rot w14:lat="0" w14:lon="0" w14:rev="0"/>
            </w14:lightRig>
          </w14:scene3d>
        </w:rPr>
        <w:t>35.2.2.</w:t>
      </w:r>
      <w:r>
        <w:rPr>
          <w:rStyle w:val="139"/>
        </w:rPr>
        <w:t xml:space="preserve"> 配置场所</w:t>
      </w:r>
      <w:r>
        <w:tab/>
      </w:r>
      <w:r>
        <w:fldChar w:fldCharType="begin"/>
      </w:r>
      <w:r>
        <w:instrText xml:space="preserve"> PAGEREF _Toc196728605 \h </w:instrText>
      </w:r>
      <w:r>
        <w:fldChar w:fldCharType="separate"/>
      </w:r>
      <w:r>
        <w:t>1002</w:t>
      </w:r>
      <w:r>
        <w:fldChar w:fldCharType="end"/>
      </w:r>
      <w:r>
        <w:fldChar w:fldCharType="end"/>
      </w:r>
    </w:p>
    <w:p w14:paraId="1719BAE4">
      <w:pPr>
        <w:pStyle w:val="42"/>
        <w:tabs>
          <w:tab w:val="right" w:leader="dot" w:pos="8296"/>
        </w:tabs>
        <w:ind w:left="840"/>
        <w:rPr>
          <w:rFonts w:asciiTheme="minorHAnsi" w:hAnsiTheme="minorHAnsi" w:eastAsiaTheme="minorEastAsia"/>
        </w:rPr>
      </w:pPr>
      <w:r>
        <w:fldChar w:fldCharType="begin"/>
      </w:r>
      <w:r>
        <w:instrText xml:space="preserve"> HYPERLINK \l "_Toc196728606" </w:instrText>
      </w:r>
      <w:r>
        <w:fldChar w:fldCharType="separate"/>
      </w:r>
      <w:r>
        <w:rPr>
          <w:rStyle w:val="139"/>
          <w:kern w:val="0"/>
          <w14:scene3d w14:prst="orthographicFront">
            <w14:lightRig w14:rig="threePt" w14:dir="t">
              <w14:rot w14:lat="0" w14:lon="0" w14:rev="0"/>
            </w14:lightRig>
          </w14:scene3d>
        </w:rPr>
        <w:t>35.2.3.</w:t>
      </w:r>
      <w:r>
        <w:rPr>
          <w:rStyle w:val="139"/>
        </w:rPr>
        <w:t xml:space="preserve"> 配置AP</w:t>
      </w:r>
      <w:r>
        <w:tab/>
      </w:r>
      <w:r>
        <w:fldChar w:fldCharType="begin"/>
      </w:r>
      <w:r>
        <w:instrText xml:space="preserve"> PAGEREF _Toc196728606 \h </w:instrText>
      </w:r>
      <w:r>
        <w:fldChar w:fldCharType="separate"/>
      </w:r>
      <w:r>
        <w:t>1006</w:t>
      </w:r>
      <w:r>
        <w:fldChar w:fldCharType="end"/>
      </w:r>
      <w:r>
        <w:fldChar w:fldCharType="end"/>
      </w:r>
    </w:p>
    <w:p w14:paraId="51237E17">
      <w:pPr>
        <w:pStyle w:val="42"/>
        <w:tabs>
          <w:tab w:val="right" w:leader="dot" w:pos="8296"/>
        </w:tabs>
        <w:ind w:left="840"/>
        <w:rPr>
          <w:rFonts w:asciiTheme="minorHAnsi" w:hAnsiTheme="minorHAnsi" w:eastAsiaTheme="minorEastAsia"/>
        </w:rPr>
      </w:pPr>
      <w:r>
        <w:fldChar w:fldCharType="begin"/>
      </w:r>
      <w:r>
        <w:instrText xml:space="preserve"> HYPERLINK \l "_Toc196728607" </w:instrText>
      </w:r>
      <w:r>
        <w:fldChar w:fldCharType="separate"/>
      </w:r>
      <w:r>
        <w:rPr>
          <w:rStyle w:val="139"/>
          <w:kern w:val="0"/>
          <w14:scene3d w14:prst="orthographicFront">
            <w14:lightRig w14:rig="threePt" w14:dir="t">
              <w14:rot w14:lat="0" w14:lon="0" w14:rev="0"/>
            </w14:lightRig>
          </w14:scene3d>
        </w:rPr>
        <w:t>35.2.4.</w:t>
      </w:r>
      <w:r>
        <w:rPr>
          <w:rStyle w:val="139"/>
        </w:rPr>
        <w:t xml:space="preserve"> 配置上报周期</w:t>
      </w:r>
      <w:r>
        <w:tab/>
      </w:r>
      <w:r>
        <w:fldChar w:fldCharType="begin"/>
      </w:r>
      <w:r>
        <w:instrText xml:space="preserve"> PAGEREF _Toc196728607 \h </w:instrText>
      </w:r>
      <w:r>
        <w:fldChar w:fldCharType="separate"/>
      </w:r>
      <w:r>
        <w:t>1010</w:t>
      </w:r>
      <w:r>
        <w:fldChar w:fldCharType="end"/>
      </w:r>
      <w:r>
        <w:fldChar w:fldCharType="end"/>
      </w:r>
    </w:p>
    <w:p w14:paraId="59A91A36">
      <w:pPr>
        <w:pStyle w:val="42"/>
        <w:tabs>
          <w:tab w:val="right" w:leader="dot" w:pos="8296"/>
        </w:tabs>
        <w:ind w:left="840"/>
        <w:rPr>
          <w:rFonts w:asciiTheme="minorHAnsi" w:hAnsiTheme="minorHAnsi" w:eastAsiaTheme="minorEastAsia"/>
        </w:rPr>
      </w:pPr>
      <w:r>
        <w:fldChar w:fldCharType="begin"/>
      </w:r>
      <w:r>
        <w:instrText xml:space="preserve"> HYPERLINK \l "_Toc196728608" </w:instrText>
      </w:r>
      <w:r>
        <w:fldChar w:fldCharType="separate"/>
      </w:r>
      <w:r>
        <w:rPr>
          <w:rStyle w:val="139"/>
          <w:kern w:val="0"/>
          <w14:scene3d w14:prst="orthographicFront">
            <w14:lightRig w14:rig="threePt" w14:dir="t">
              <w14:rot w14:lat="0" w14:lon="0" w14:rev="0"/>
            </w14:lightRig>
          </w14:scene3d>
        </w:rPr>
        <w:t>35.2.5.</w:t>
      </w:r>
      <w:r>
        <w:rPr>
          <w:rStyle w:val="139"/>
        </w:rPr>
        <w:t xml:space="preserve"> 配置应用关系对照表</w:t>
      </w:r>
      <w:r>
        <w:tab/>
      </w:r>
      <w:r>
        <w:fldChar w:fldCharType="begin"/>
      </w:r>
      <w:r>
        <w:instrText xml:space="preserve"> PAGEREF _Toc196728608 \h </w:instrText>
      </w:r>
      <w:r>
        <w:fldChar w:fldCharType="separate"/>
      </w:r>
      <w:r>
        <w:t>1011</w:t>
      </w:r>
      <w:r>
        <w:fldChar w:fldCharType="end"/>
      </w:r>
      <w:r>
        <w:fldChar w:fldCharType="end"/>
      </w:r>
    </w:p>
    <w:p w14:paraId="475F6BFF">
      <w:pPr>
        <w:pStyle w:val="70"/>
        <w:tabs>
          <w:tab w:val="right" w:leader="dot" w:pos="8296"/>
        </w:tabs>
        <w:ind w:left="420"/>
        <w:rPr>
          <w:rFonts w:asciiTheme="minorHAnsi" w:hAnsiTheme="minorHAnsi" w:eastAsiaTheme="minorEastAsia"/>
        </w:rPr>
      </w:pPr>
      <w:r>
        <w:fldChar w:fldCharType="begin"/>
      </w:r>
      <w:r>
        <w:instrText xml:space="preserve"> HYPERLINK \l "_Toc196728609" </w:instrText>
      </w:r>
      <w:r>
        <w:fldChar w:fldCharType="separate"/>
      </w:r>
      <w:r>
        <w:rPr>
          <w:rStyle w:val="139"/>
        </w:rPr>
        <w:t>35.3. 日志查询</w:t>
      </w:r>
      <w:r>
        <w:tab/>
      </w:r>
      <w:r>
        <w:fldChar w:fldCharType="begin"/>
      </w:r>
      <w:r>
        <w:instrText xml:space="preserve"> PAGEREF _Toc196728609 \h </w:instrText>
      </w:r>
      <w:r>
        <w:fldChar w:fldCharType="separate"/>
      </w:r>
      <w:r>
        <w:t>1013</w:t>
      </w:r>
      <w:r>
        <w:fldChar w:fldCharType="end"/>
      </w:r>
      <w:r>
        <w:fldChar w:fldCharType="end"/>
      </w:r>
    </w:p>
    <w:p w14:paraId="32BF026F">
      <w:pPr>
        <w:pStyle w:val="42"/>
        <w:tabs>
          <w:tab w:val="right" w:leader="dot" w:pos="8296"/>
        </w:tabs>
        <w:ind w:left="840"/>
        <w:rPr>
          <w:rFonts w:asciiTheme="minorHAnsi" w:hAnsiTheme="minorHAnsi" w:eastAsiaTheme="minorEastAsia"/>
        </w:rPr>
      </w:pPr>
      <w:r>
        <w:fldChar w:fldCharType="begin"/>
      </w:r>
      <w:r>
        <w:instrText xml:space="preserve"> HYPERLINK \l "_Toc196728610" </w:instrText>
      </w:r>
      <w:r>
        <w:fldChar w:fldCharType="separate"/>
      </w:r>
      <w:r>
        <w:rPr>
          <w:rStyle w:val="139"/>
          <w:kern w:val="0"/>
          <w14:scene3d w14:prst="orthographicFront">
            <w14:lightRig w14:rig="threePt" w14:dir="t">
              <w14:rot w14:lat="0" w14:lon="0" w14:rev="0"/>
            </w14:lightRig>
          </w14:scene3d>
        </w:rPr>
        <w:t>35.3.1.</w:t>
      </w:r>
      <w:r>
        <w:rPr>
          <w:rStyle w:val="139"/>
        </w:rPr>
        <w:t xml:space="preserve"> 终端上下线日志</w:t>
      </w:r>
      <w:r>
        <w:tab/>
      </w:r>
      <w:r>
        <w:fldChar w:fldCharType="begin"/>
      </w:r>
      <w:r>
        <w:instrText xml:space="preserve"> PAGEREF _Toc196728610 \h </w:instrText>
      </w:r>
      <w:r>
        <w:fldChar w:fldCharType="separate"/>
      </w:r>
      <w:r>
        <w:t>1013</w:t>
      </w:r>
      <w:r>
        <w:fldChar w:fldCharType="end"/>
      </w:r>
      <w:r>
        <w:fldChar w:fldCharType="end"/>
      </w:r>
    </w:p>
    <w:p w14:paraId="64CD2C45">
      <w:pPr>
        <w:pStyle w:val="42"/>
        <w:tabs>
          <w:tab w:val="right" w:leader="dot" w:pos="8296"/>
        </w:tabs>
        <w:ind w:left="840"/>
        <w:rPr>
          <w:rFonts w:asciiTheme="minorHAnsi" w:hAnsiTheme="minorHAnsi" w:eastAsiaTheme="minorEastAsia"/>
        </w:rPr>
      </w:pPr>
      <w:r>
        <w:fldChar w:fldCharType="begin"/>
      </w:r>
      <w:r>
        <w:instrText xml:space="preserve"> HYPERLINK \l "_Toc196728611" </w:instrText>
      </w:r>
      <w:r>
        <w:fldChar w:fldCharType="separate"/>
      </w:r>
      <w:r>
        <w:rPr>
          <w:rStyle w:val="139"/>
          <w:kern w:val="0"/>
          <w14:scene3d w14:prst="orthographicFront">
            <w14:lightRig w14:rig="threePt" w14:dir="t">
              <w14:rot w14:lat="0" w14:lon="0" w14:rev="0"/>
            </w14:lightRig>
          </w14:scene3d>
        </w:rPr>
        <w:t>35.3.2.</w:t>
      </w:r>
      <w:r>
        <w:rPr>
          <w:rStyle w:val="139"/>
        </w:rPr>
        <w:t xml:space="preserve"> 虚拟身份日志</w:t>
      </w:r>
      <w:r>
        <w:tab/>
      </w:r>
      <w:r>
        <w:fldChar w:fldCharType="begin"/>
      </w:r>
      <w:r>
        <w:instrText xml:space="preserve"> PAGEREF _Toc196728611 \h </w:instrText>
      </w:r>
      <w:r>
        <w:fldChar w:fldCharType="separate"/>
      </w:r>
      <w:r>
        <w:t>1014</w:t>
      </w:r>
      <w:r>
        <w:fldChar w:fldCharType="end"/>
      </w:r>
      <w:r>
        <w:fldChar w:fldCharType="end"/>
      </w:r>
    </w:p>
    <w:p w14:paraId="2E284C01">
      <w:pPr>
        <w:pStyle w:val="42"/>
        <w:tabs>
          <w:tab w:val="right" w:leader="dot" w:pos="8296"/>
        </w:tabs>
        <w:ind w:left="840"/>
        <w:rPr>
          <w:rFonts w:asciiTheme="minorHAnsi" w:hAnsiTheme="minorHAnsi" w:eastAsiaTheme="minorEastAsia"/>
        </w:rPr>
      </w:pPr>
      <w:r>
        <w:fldChar w:fldCharType="begin"/>
      </w:r>
      <w:r>
        <w:instrText xml:space="preserve"> HYPERLINK \l "_Toc196728612" </w:instrText>
      </w:r>
      <w:r>
        <w:fldChar w:fldCharType="separate"/>
      </w:r>
      <w:r>
        <w:rPr>
          <w:rStyle w:val="139"/>
          <w:kern w:val="0"/>
          <w14:scene3d w14:prst="orthographicFront">
            <w14:lightRig w14:rig="threePt" w14:dir="t">
              <w14:rot w14:lat="0" w14:lon="0" w14:rev="0"/>
            </w14:lightRig>
          </w14:scene3d>
        </w:rPr>
        <w:t>35.3.3.</w:t>
      </w:r>
      <w:r>
        <w:rPr>
          <w:rStyle w:val="139"/>
        </w:rPr>
        <w:t xml:space="preserve"> 上网日志</w:t>
      </w:r>
      <w:r>
        <w:tab/>
      </w:r>
      <w:r>
        <w:fldChar w:fldCharType="begin"/>
      </w:r>
      <w:r>
        <w:instrText xml:space="preserve"> PAGEREF _Toc196728612 \h </w:instrText>
      </w:r>
      <w:r>
        <w:fldChar w:fldCharType="separate"/>
      </w:r>
      <w:r>
        <w:t>1015</w:t>
      </w:r>
      <w:r>
        <w:fldChar w:fldCharType="end"/>
      </w:r>
      <w:r>
        <w:fldChar w:fldCharType="end"/>
      </w:r>
    </w:p>
    <w:p w14:paraId="5AF87C48">
      <w:pPr>
        <w:pStyle w:val="42"/>
        <w:tabs>
          <w:tab w:val="right" w:leader="dot" w:pos="8296"/>
        </w:tabs>
        <w:ind w:left="840"/>
        <w:rPr>
          <w:rFonts w:asciiTheme="minorHAnsi" w:hAnsiTheme="minorHAnsi" w:eastAsiaTheme="minorEastAsia"/>
        </w:rPr>
      </w:pPr>
      <w:r>
        <w:fldChar w:fldCharType="begin"/>
      </w:r>
      <w:r>
        <w:instrText xml:space="preserve"> HYPERLINK \l "_Toc196728613" </w:instrText>
      </w:r>
      <w:r>
        <w:fldChar w:fldCharType="separate"/>
      </w:r>
      <w:r>
        <w:rPr>
          <w:rStyle w:val="139"/>
          <w:kern w:val="0"/>
          <w14:scene3d w14:prst="orthographicFront">
            <w14:lightRig w14:rig="threePt" w14:dir="t">
              <w14:rot w14:lat="0" w14:lon="0" w14:rev="0"/>
            </w14:lightRig>
          </w14:scene3d>
        </w:rPr>
        <w:t>35.3.4.</w:t>
      </w:r>
      <w:r>
        <w:rPr>
          <w:rStyle w:val="139"/>
        </w:rPr>
        <w:t xml:space="preserve"> 普通内容日志</w:t>
      </w:r>
      <w:r>
        <w:tab/>
      </w:r>
      <w:r>
        <w:fldChar w:fldCharType="begin"/>
      </w:r>
      <w:r>
        <w:instrText xml:space="preserve"> PAGEREF _Toc196728613 \h </w:instrText>
      </w:r>
      <w:r>
        <w:fldChar w:fldCharType="separate"/>
      </w:r>
      <w:r>
        <w:t>1016</w:t>
      </w:r>
      <w:r>
        <w:fldChar w:fldCharType="end"/>
      </w:r>
      <w:r>
        <w:fldChar w:fldCharType="end"/>
      </w:r>
    </w:p>
    <w:p w14:paraId="10EA6120">
      <w:r>
        <w:fldChar w:fldCharType="end"/>
      </w:r>
    </w:p>
    <w:p w14:paraId="0A9CC432">
      <w:r>
        <w:br w:type="page"/>
      </w:r>
    </w:p>
    <w:p w14:paraId="3B1F7527">
      <w:pPr>
        <w:sectPr>
          <w:headerReference r:id="rId7" w:type="default"/>
          <w:footerReference r:id="rId8" w:type="default"/>
          <w:pgSz w:w="11906" w:h="16838"/>
          <w:pgMar w:top="1440" w:right="1800" w:bottom="1440" w:left="1800" w:header="851" w:footer="850" w:gutter="0"/>
          <w:pgNumType w:fmt="lowerRoman" w:start="1"/>
          <w:cols w:space="425" w:num="1"/>
          <w:docGrid w:type="lines" w:linePitch="312" w:charSpace="0"/>
        </w:sectPr>
      </w:pPr>
    </w:p>
    <w:p w14:paraId="40DE1B7B">
      <w:pPr>
        <w:pStyle w:val="3"/>
      </w:pPr>
      <w:bookmarkStart w:id="2" w:name="_Toc196727908"/>
      <w:r>
        <w:rPr>
          <w:rFonts w:hint="eastAsia"/>
        </w:rPr>
        <w:t>产品简介</w:t>
      </w:r>
      <w:bookmarkEnd w:id="2"/>
    </w:p>
    <w:p w14:paraId="23D10E02">
      <w:r>
        <w:rPr>
          <w:rFonts w:hint="eastAsia"/>
        </w:rPr>
        <w:t>360上网行为审计系统（以下简称360IBAS）是360公司面向企业、数据中心、大型网络边界及行业中心和分支机构等而研发的业界领先的综合型上网行为管理产品，该产品融合了应用控制、行为审计、网络业务优化等功能，为用户提供一个综合、完整的全业务应用场景解决方案。</w:t>
      </w:r>
    </w:p>
    <w:p w14:paraId="261331C7">
      <w:pPr>
        <w:rPr>
          <w:color w:val="808080" w:themeColor="background1" w:themeShade="80"/>
        </w:rPr>
      </w:pPr>
      <w:r>
        <w:br w:type="page"/>
      </w:r>
    </w:p>
    <w:p w14:paraId="49696AF8">
      <w:pPr>
        <w:pStyle w:val="3"/>
      </w:pPr>
      <w:bookmarkStart w:id="3" w:name="_Toc196727909"/>
      <w:r>
        <w:rPr>
          <w:rFonts w:hint="eastAsia"/>
        </w:rPr>
        <w:t>初次使用</w:t>
      </w:r>
      <w:bookmarkEnd w:id="3"/>
    </w:p>
    <w:p w14:paraId="6C399777">
      <w:pPr>
        <w:pStyle w:val="4"/>
      </w:pPr>
      <w:bookmarkStart w:id="4" w:name="_Toc196727910"/>
      <w:r>
        <w:rPr>
          <w:rFonts w:hint="eastAsia"/>
        </w:rPr>
        <w:t>角色与权限说明</w:t>
      </w:r>
      <w:bookmarkEnd w:id="4"/>
    </w:p>
    <w:p w14:paraId="7874953B">
      <w:r>
        <w:t>系统的权限模式分为两种：普通模式和三权模式。模式的切换方法请参见</w:t>
      </w:r>
      <w:r>
        <w:rPr>
          <w:rFonts w:hint="eastAsia"/>
        </w:rPr>
        <w:t xml:space="preserve"> </w:t>
      </w:r>
    </w:p>
    <w:p w14:paraId="2B8DF2F1">
      <w:pPr>
        <w:pStyle w:val="162"/>
      </w:pPr>
      <w:r>
        <w:t>普通模式：系统内置了admin和audit两个角色，admin角色具有平台的所有权限；audit角色仅具有查看页面的权限。</w:t>
      </w:r>
    </w:p>
    <w:p w14:paraId="7FADE0C9">
      <w:pPr>
        <w:pStyle w:val="162"/>
      </w:pPr>
      <w:r>
        <w:t>三权模式：系统内置了account、authority、audit、default四个角色，除内置角色外，权限管理员可以自定义角色并进行授权。不同的角色具有的权限不同，具体请参见下表。</w:t>
      </w:r>
    </w:p>
    <w:p w14:paraId="4C958C09">
      <w:pPr>
        <w:pStyle w:val="183"/>
      </w:pPr>
      <w:r>
        <w:t>三权模式角色权限说明</w:t>
      </w:r>
    </w:p>
    <w:tbl>
      <w:tblPr>
        <w:tblStyle w:val="173"/>
        <w:tblW w:w="500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876"/>
        <w:gridCol w:w="7366"/>
      </w:tblGrid>
      <w:tr w14:paraId="38FEA6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15" w:type="pct"/>
            <w:tcBorders>
              <w:tl2br w:val="nil"/>
              <w:tr2bl w:val="nil"/>
            </w:tcBorders>
            <w:shd w:val="clear" w:color="auto" w:fill="538135" w:themeFill="accent6" w:themeFillShade="BF"/>
            <w:vAlign w:val="center"/>
          </w:tcPr>
          <w:p w14:paraId="202A096B">
            <w:pPr>
              <w:pStyle w:val="149"/>
              <w:wordWrap/>
              <w:rPr>
                <w:b/>
                <w:bCs/>
                <w:i w:val="0"/>
                <w:iCs w:val="0"/>
              </w:rPr>
            </w:pPr>
            <w:r>
              <w:rPr>
                <w:b/>
                <w:bCs/>
                <w:i w:val="0"/>
                <w:iCs w:val="0"/>
              </w:rPr>
              <w:t>角色</w:t>
            </w:r>
          </w:p>
        </w:tc>
        <w:tc>
          <w:tcPr>
            <w:tcW w:w="3985" w:type="pct"/>
            <w:tcBorders>
              <w:tl2br w:val="nil"/>
              <w:tr2bl w:val="nil"/>
            </w:tcBorders>
            <w:shd w:val="clear" w:color="auto" w:fill="538135" w:themeFill="accent6" w:themeFillShade="BF"/>
            <w:vAlign w:val="center"/>
          </w:tcPr>
          <w:p w14:paraId="07B800AD">
            <w:pPr>
              <w:pStyle w:val="149"/>
              <w:wordWrap/>
              <w:rPr>
                <w:b/>
                <w:bCs/>
                <w:i w:val="0"/>
                <w:iCs w:val="0"/>
              </w:rPr>
            </w:pPr>
            <w:r>
              <w:rPr>
                <w:b/>
                <w:bCs/>
                <w:i w:val="0"/>
                <w:iCs w:val="0"/>
              </w:rPr>
              <w:t>权限</w:t>
            </w:r>
          </w:p>
        </w:tc>
      </w:tr>
      <w:tr w14:paraId="6A10A5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15" w:type="pct"/>
            <w:shd w:val="clear" w:color="auto" w:fill="auto"/>
          </w:tcPr>
          <w:p w14:paraId="1C3997BD">
            <w:pPr>
              <w:pStyle w:val="150"/>
            </w:pPr>
            <w:r>
              <w:t>account</w:t>
            </w:r>
          </w:p>
        </w:tc>
        <w:tc>
          <w:tcPr>
            <w:tcW w:w="3985" w:type="pct"/>
            <w:shd w:val="clear" w:color="auto" w:fill="auto"/>
          </w:tcPr>
          <w:p w14:paraId="687EF883">
            <w:pPr>
              <w:pStyle w:val="150"/>
            </w:pPr>
            <w:r>
              <w:t>创建及删除系统管理员帐号，查看帐号管理员的操作日志，修改自身帐号的用户名及密码。</w:t>
            </w:r>
          </w:p>
        </w:tc>
      </w:tr>
      <w:tr w14:paraId="0E65AC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15" w:type="pct"/>
            <w:shd w:val="clear" w:color="auto" w:fill="auto"/>
          </w:tcPr>
          <w:p w14:paraId="1B98363E">
            <w:pPr>
              <w:pStyle w:val="150"/>
            </w:pPr>
            <w:r>
              <w:t>authority</w:t>
            </w:r>
          </w:p>
        </w:tc>
        <w:tc>
          <w:tcPr>
            <w:tcW w:w="3985" w:type="pct"/>
            <w:shd w:val="clear" w:color="auto" w:fill="auto"/>
          </w:tcPr>
          <w:p w14:paraId="3965B88C">
            <w:pPr>
              <w:pStyle w:val="150"/>
            </w:pPr>
            <w:r>
              <w:t>新建、修改和删除角色，对新建的系统管理员进行角色授权，查看权限管理员的操作日志、修改自身帐号的用户名及密码。</w:t>
            </w:r>
          </w:p>
        </w:tc>
      </w:tr>
      <w:tr w14:paraId="3B6D32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15" w:type="pct"/>
            <w:shd w:val="clear" w:color="auto" w:fill="auto"/>
          </w:tcPr>
          <w:p w14:paraId="6D93A137">
            <w:pPr>
              <w:pStyle w:val="150"/>
            </w:pPr>
            <w:r>
              <w:t>audit</w:t>
            </w:r>
          </w:p>
        </w:tc>
        <w:tc>
          <w:tcPr>
            <w:tcW w:w="3985" w:type="pct"/>
            <w:shd w:val="clear" w:color="auto" w:fill="auto"/>
          </w:tcPr>
          <w:p w14:paraId="539CA4DA">
            <w:pPr>
              <w:pStyle w:val="150"/>
            </w:pPr>
            <w:r>
              <w:t>审计当前管理员帐号的权限状态，审计所有帐号的操作日志、修改自身帐号的用户名及密码。</w:t>
            </w:r>
          </w:p>
        </w:tc>
      </w:tr>
      <w:tr w14:paraId="240AA5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15" w:type="pct"/>
            <w:shd w:val="clear" w:color="auto" w:fill="auto"/>
          </w:tcPr>
          <w:p w14:paraId="6731D43A">
            <w:pPr>
              <w:pStyle w:val="150"/>
            </w:pPr>
            <w:r>
              <w:t>default</w:t>
            </w:r>
          </w:p>
        </w:tc>
        <w:tc>
          <w:tcPr>
            <w:tcW w:w="3985" w:type="pct"/>
            <w:shd w:val="clear" w:color="auto" w:fill="auto"/>
          </w:tcPr>
          <w:p w14:paraId="7DA7A8FB">
            <w:pPr>
              <w:pStyle w:val="150"/>
            </w:pPr>
            <w:r>
              <w:t>新建管理员帐号时，系统默认指定的角色，该角色的用户未分配权限，无法对系统进行操作，需要权限管理员进行授权后才可以进行操作。</w:t>
            </w:r>
          </w:p>
        </w:tc>
      </w:tr>
      <w:tr w14:paraId="2971521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15" w:type="pct"/>
            <w:shd w:val="clear" w:color="auto" w:fill="auto"/>
          </w:tcPr>
          <w:p w14:paraId="4774B8EA">
            <w:pPr>
              <w:pStyle w:val="150"/>
            </w:pPr>
            <w:r>
              <w:t>自定义角色</w:t>
            </w:r>
          </w:p>
        </w:tc>
        <w:tc>
          <w:tcPr>
            <w:tcW w:w="3985" w:type="pct"/>
            <w:shd w:val="clear" w:color="auto" w:fill="auto"/>
          </w:tcPr>
          <w:p w14:paraId="63E6D474">
            <w:pPr>
              <w:pStyle w:val="150"/>
            </w:pPr>
            <w:r>
              <w:t>对权限管理员分配的模块进行操作。</w:t>
            </w:r>
          </w:p>
        </w:tc>
      </w:tr>
    </w:tbl>
    <w:p w14:paraId="7B67F28E"/>
    <w:p w14:paraId="5DD1317D">
      <w:r>
        <w:rPr>
          <w:rFonts w:hint="eastAsia"/>
        </w:rPr>
        <w:t>普通模式的优点：无需多个管理员配合使用设备，设备使用比三权模式更加高效。</w:t>
      </w:r>
    </w:p>
    <w:p w14:paraId="3D6464A6">
      <w:r>
        <w:rPr>
          <w:rFonts w:hint="eastAsia"/>
        </w:rPr>
        <w:t>三权模式的优点：赋予不同管理员的不同权限，相互之间形成权限制约。三权分立模式下，各管理员角色权责更明确、分工更细致，避免了普通模式下超级管理员权限过大带来的管理风险，提升了设备管理的安全性。</w:t>
      </w:r>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6AFAF9CE">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1D438D0D">
            <w:pPr>
              <w:pStyle w:val="150"/>
              <w:adjustRightInd w:val="0"/>
              <w:snapToGrid w:val="0"/>
              <w:rPr>
                <w:color w:val="auto"/>
              </w:rPr>
            </w:pPr>
            <w:r>
              <w:rPr>
                <w:color w:val="auto"/>
              </w:rPr>
              <w:drawing>
                <wp:inline distT="0" distB="0" distL="0" distR="0">
                  <wp:extent cx="283210" cy="283210"/>
                  <wp:effectExtent l="0" t="0" r="2540" b="254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2C664893">
            <w:pPr>
              <w:pStyle w:val="150"/>
              <w:adjustRightInd w:val="0"/>
              <w:snapToGrid w:val="0"/>
              <w:rPr>
                <w:color w:val="auto"/>
              </w:rPr>
            </w:pPr>
            <w:r>
              <w:rPr>
                <w:rFonts w:hint="eastAsia"/>
                <w:color w:val="auto"/>
              </w:rPr>
              <w:t>若无特殊说明，本文的操作内容均以普通模式下的管理员举例说明。</w:t>
            </w:r>
          </w:p>
        </w:tc>
      </w:tr>
    </w:tbl>
    <w:p w14:paraId="4F75FEC8"/>
    <w:p w14:paraId="5BE45245">
      <w:pPr>
        <w:pStyle w:val="4"/>
      </w:pPr>
      <w:bookmarkStart w:id="5" w:name="_Toc196727911"/>
      <w:r>
        <w:rPr>
          <w:rFonts w:hint="eastAsia"/>
        </w:rPr>
        <w:t>登录设备</w:t>
      </w:r>
      <w:bookmarkEnd w:id="5"/>
    </w:p>
    <w:p w14:paraId="7CBC2D9F">
      <w:r>
        <w:rPr>
          <w:rFonts w:hint="eastAsia"/>
        </w:rPr>
        <w:t>通过运行Internet浏览器的任何计算机使用HTTP或一个安全的HTTPS连接，便能够配置并管理360IBAS设备。在进行Web管理前，必须配置设备使其能够接受来自指定接口的HTTP或HTTPS管理。</w:t>
      </w:r>
    </w:p>
    <w:p w14:paraId="5A2F2D56">
      <w:r>
        <w:rPr>
          <w:rFonts w:hint="eastAsia"/>
        </w:rPr>
        <w:t>设备出厂时设置的默认管理口地址192.168.1.1/24，默认允许对该接口进行PING，HTTPS操作。默认的管理员用户名为admin，默认密码为admin，用户可以使用这个管理员账号从任何可访问设备的地址登录设备，并且使用设备的所有功能。操作方法如下：</w:t>
      </w:r>
    </w:p>
    <w:p w14:paraId="5EEB30C1">
      <w:pPr>
        <w:pStyle w:val="174"/>
        <w:numPr>
          <w:ilvl w:val="0"/>
          <w:numId w:val="19"/>
        </w:numPr>
      </w:pPr>
      <w:r>
        <w:rPr>
          <w:rFonts w:hint="eastAsia"/>
        </w:rPr>
        <w:t>将PC的IP地址设置为与192.168.1.1/24同网段的IP地址，并用网线将PC的网口与设备的GE0或MGT接口连接起来。</w:t>
      </w:r>
    </w:p>
    <w:p w14:paraId="7FBA4742">
      <w:pPr>
        <w:pStyle w:val="174"/>
        <w:numPr>
          <w:ilvl w:val="0"/>
          <w:numId w:val="19"/>
        </w:numPr>
      </w:pPr>
      <w:r>
        <w:rPr>
          <w:rFonts w:hint="eastAsia"/>
        </w:rPr>
        <w:t>在PC的Web浏览器地址栏中输入“https://192.168.1.1”并回车，进入系统Web管理平台的登录界面。</w:t>
      </w:r>
    </w:p>
    <w:p w14:paraId="284CA571">
      <w:pPr>
        <w:pStyle w:val="177"/>
        <w:ind w:left="0"/>
      </w:pPr>
      <w:r>
        <w:drawing>
          <wp:inline distT="0" distB="0" distL="0" distR="0">
            <wp:extent cx="5731510" cy="3235960"/>
            <wp:effectExtent l="0" t="0" r="2540" b="254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4"/>
                    <a:stretch>
                      <a:fillRect/>
                    </a:stretch>
                  </pic:blipFill>
                  <pic:spPr>
                    <a:xfrm>
                      <a:off x="0" y="0"/>
                      <a:ext cx="5731510" cy="3236170"/>
                    </a:xfrm>
                    <a:prstGeom prst="rect">
                      <a:avLst/>
                    </a:prstGeom>
                    <a:noFill/>
                    <a:ln w="9525">
                      <a:noFill/>
                    </a:ln>
                  </pic:spPr>
                </pic:pic>
              </a:graphicData>
            </a:graphic>
          </wp:inline>
        </w:drawing>
      </w:r>
    </w:p>
    <w:p w14:paraId="1F739A46">
      <w:pPr>
        <w:pStyle w:val="177"/>
      </w:pPr>
    </w:p>
    <w:tbl>
      <w:tblPr>
        <w:tblStyle w:val="292"/>
        <w:tblW w:w="0" w:type="auto"/>
        <w:tblInd w:w="1276"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559"/>
        <w:gridCol w:w="5630"/>
      </w:tblGrid>
      <w:tr w14:paraId="53C9C77C">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Pr>
        <w:tc>
          <w:tcPr>
            <w:tcW w:w="1559" w:type="dxa"/>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30F22814">
            <w:pPr>
              <w:pStyle w:val="150"/>
              <w:adjustRightInd w:val="0"/>
              <w:snapToGrid w:val="0"/>
              <w:rPr>
                <w:color w:val="auto"/>
              </w:rPr>
            </w:pPr>
            <w:r>
              <w:rPr>
                <w:color w:val="auto"/>
              </w:rPr>
              <w:drawing>
                <wp:inline distT="0" distB="0" distL="0" distR="0">
                  <wp:extent cx="283210" cy="283210"/>
                  <wp:effectExtent l="0" t="0" r="2540" b="254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5630" w:type="dxa"/>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54F84707">
            <w:pPr>
              <w:pStyle w:val="150"/>
              <w:adjustRightInd w:val="0"/>
              <w:snapToGrid w:val="0"/>
              <w:rPr>
                <w:color w:val="auto"/>
              </w:rPr>
            </w:pPr>
            <w:r>
              <w:rPr>
                <w:rFonts w:hint="eastAsia"/>
                <w:color w:val="auto"/>
              </w:rPr>
              <w:t>推荐使用Google Chrome 96及以上版本或Firefox109.0及以上版本浏览器对设备进行WEB管理（如出现浏览器兼容性问题，请将浏览器升级至最新版本），最佳显示分辨率为1366×768。如使用其他版本浏览器可能出现显示上兼容性不佳的情况，请用户知晓。</w:t>
            </w:r>
          </w:p>
        </w:tc>
      </w:tr>
    </w:tbl>
    <w:p w14:paraId="7EF6C81E">
      <w:pPr>
        <w:pStyle w:val="177"/>
      </w:pPr>
    </w:p>
    <w:p w14:paraId="5C683290">
      <w:pPr>
        <w:pStyle w:val="174"/>
        <w:numPr>
          <w:ilvl w:val="0"/>
          <w:numId w:val="19"/>
        </w:numPr>
      </w:pPr>
      <w:r>
        <w:rPr>
          <w:rFonts w:hint="eastAsia"/>
        </w:rPr>
        <w:t>输入默认的用户名和密码，单击&lt;登录&gt;按钮即可登录到设备的Web配置界面。</w:t>
      </w:r>
    </w:p>
    <w:tbl>
      <w:tblPr>
        <w:tblStyle w:val="292"/>
        <w:tblW w:w="0" w:type="auto"/>
        <w:tblInd w:w="1276"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559"/>
        <w:gridCol w:w="5630"/>
      </w:tblGrid>
      <w:tr w14:paraId="59493CC2">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Pr>
        <w:tc>
          <w:tcPr>
            <w:tcW w:w="1559" w:type="dxa"/>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5EF4BB8F">
            <w:pPr>
              <w:pStyle w:val="150"/>
              <w:adjustRightInd w:val="0"/>
              <w:snapToGrid w:val="0"/>
              <w:rPr>
                <w:color w:val="auto"/>
              </w:rPr>
            </w:pPr>
            <w:bookmarkStart w:id="6" w:name="OLE_LINK28"/>
            <w:bookmarkStart w:id="7" w:name="OLE_LINK18"/>
            <w:r>
              <w:rPr>
                <w:color w:val="auto"/>
              </w:rPr>
              <w:drawing>
                <wp:inline distT="0" distB="0" distL="0" distR="0">
                  <wp:extent cx="283210" cy="283210"/>
                  <wp:effectExtent l="0" t="0" r="2540" b="254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5630" w:type="dxa"/>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6DCC3E21">
            <w:pPr>
              <w:pStyle w:val="150"/>
              <w:adjustRightInd w:val="0"/>
              <w:snapToGrid w:val="0"/>
              <w:rPr>
                <w:color w:val="auto"/>
              </w:rPr>
            </w:pPr>
            <w:r>
              <w:rPr>
                <w:rFonts w:hint="eastAsia"/>
                <w:color w:val="auto"/>
              </w:rPr>
              <w:t>首次登录设备，系统要求强制修改管理员密码，防止初始密码泄漏带来的安全风险。</w:t>
            </w:r>
          </w:p>
          <w:p w14:paraId="4F786861">
            <w:pPr>
              <w:pStyle w:val="150"/>
              <w:adjustRightInd w:val="0"/>
              <w:snapToGrid w:val="0"/>
              <w:rPr>
                <w:color w:val="auto"/>
              </w:rPr>
            </w:pPr>
            <w:r>
              <w:rPr>
                <w:rFonts w:hint="eastAsia"/>
                <w:color w:val="auto"/>
              </w:rPr>
              <w:t>请妥善保管您的管理员密码，为充分保证设备安全，建议您定期修改密码。</w:t>
            </w:r>
          </w:p>
        </w:tc>
      </w:tr>
      <w:bookmarkEnd w:id="6"/>
      <w:bookmarkEnd w:id="7"/>
    </w:tbl>
    <w:p w14:paraId="69ACD16A">
      <w:pPr>
        <w:pStyle w:val="174"/>
        <w:numPr>
          <w:ilvl w:val="0"/>
          <w:numId w:val="0"/>
        </w:numPr>
        <w:ind w:left="1276" w:hanging="879"/>
      </w:pPr>
    </w:p>
    <w:p w14:paraId="1CCEF32F">
      <w:pPr>
        <w:pStyle w:val="4"/>
      </w:pPr>
      <w:bookmarkStart w:id="8" w:name="_Toc70414960"/>
      <w:bookmarkStart w:id="9" w:name="_Toc175938876"/>
      <w:bookmarkStart w:id="10" w:name="_Toc196727912"/>
      <w:bookmarkStart w:id="11" w:name="_Toc6419713"/>
      <w:r>
        <w:rPr>
          <w:rFonts w:hint="eastAsia"/>
        </w:rPr>
        <w:t>Web界面布局描述</w:t>
      </w:r>
      <w:bookmarkEnd w:id="8"/>
      <w:bookmarkEnd w:id="9"/>
      <w:bookmarkEnd w:id="10"/>
      <w:bookmarkEnd w:id="11"/>
    </w:p>
    <w:p w14:paraId="4A541609">
      <w:r>
        <w:t>Web</w:t>
      </w:r>
      <w:r>
        <w:rPr>
          <w:rFonts w:hint="eastAsia"/>
        </w:rPr>
        <w:t>管理界面由菜单、标签栏和页面组成，每个菜单有相应的多个标签栏，每个标签有相关的页面。当您点击一个菜单项目，如系统管理，系统菜单会扩展为一个子菜单。接着点击其中一个子菜单后，相关联的页面会在其对应的标签栏中显示。点击标签栏查看不同的页面内容。</w:t>
      </w:r>
    </w:p>
    <w:p w14:paraId="16DE2772">
      <w:pPr>
        <w:pStyle w:val="4"/>
      </w:pPr>
      <w:bookmarkStart w:id="12" w:name="_Toc141873212"/>
      <w:bookmarkStart w:id="13" w:name="_Toc196727913"/>
      <w:bookmarkStart w:id="14" w:name="_Toc99561267"/>
      <w:bookmarkStart w:id="15" w:name="_Toc175938877"/>
      <w:bookmarkStart w:id="16" w:name="_Toc142400731"/>
      <w:r>
        <w:t>快捷菜单</w:t>
      </w:r>
      <w:bookmarkEnd w:id="12"/>
      <w:bookmarkEnd w:id="13"/>
      <w:bookmarkEnd w:id="14"/>
      <w:bookmarkEnd w:id="15"/>
      <w:bookmarkEnd w:id="16"/>
    </w:p>
    <w:p w14:paraId="639C0186">
      <w:r>
        <w:t>Web管理页面右上角菜单栏为系统的快捷菜单栏</w:t>
      </w:r>
      <w:r>
        <w:rPr>
          <w:rFonts w:hint="eastAsia"/>
        </w:rPr>
        <w:t>，</w:t>
      </w:r>
      <w:r>
        <w:t>如下图所示</w:t>
      </w:r>
      <w:r>
        <w:rPr>
          <w:rFonts w:hint="eastAsia"/>
        </w:rPr>
        <w:t>。分别为菜单搜索、</w:t>
      </w:r>
      <w:r>
        <w:t>系统告警</w:t>
      </w:r>
      <w:r>
        <w:rPr>
          <w:rFonts w:hint="eastAsia"/>
        </w:rPr>
        <w:t>、</w:t>
      </w:r>
      <w:r>
        <w:t>保存配置</w:t>
      </w:r>
      <w:r>
        <w:rPr>
          <w:rFonts w:hint="eastAsia"/>
        </w:rPr>
        <w:t>、</w:t>
      </w:r>
      <w:r>
        <w:t>锁定会话</w:t>
      </w:r>
      <w:r>
        <w:rPr>
          <w:rFonts w:hint="eastAsia"/>
        </w:rPr>
        <w:t>、</w:t>
      </w:r>
      <w:r>
        <w:t>修改密码和退出系统的快捷菜单</w:t>
      </w:r>
      <w:r>
        <w:rPr>
          <w:rFonts w:hint="eastAsia"/>
        </w:rPr>
        <w:t>。</w:t>
      </w:r>
    </w:p>
    <w:p w14:paraId="72F36BF6">
      <w:pPr>
        <w:pStyle w:val="188"/>
      </w:pPr>
      <w:bookmarkStart w:id="17" w:name="_Toc141874350"/>
      <w:r>
        <w:rPr>
          <w:rFonts w:hint="eastAsia"/>
        </w:rPr>
        <w:t>快捷菜单栏</w:t>
      </w:r>
      <w:bookmarkEnd w:id="17"/>
    </w:p>
    <w:p w14:paraId="7F81A6FD">
      <w:pPr>
        <w:pStyle w:val="175"/>
      </w:pPr>
      <w:r>
        <w:drawing>
          <wp:inline distT="0" distB="0" distL="0" distR="0">
            <wp:extent cx="1828800" cy="238125"/>
            <wp:effectExtent l="0" t="0" r="0" b="9525"/>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15"/>
                    <a:stretch>
                      <a:fillRect/>
                    </a:stretch>
                  </pic:blipFill>
                  <pic:spPr>
                    <a:xfrm>
                      <a:off x="0" y="0"/>
                      <a:ext cx="1828800" cy="238125"/>
                    </a:xfrm>
                    <a:prstGeom prst="rect">
                      <a:avLst/>
                    </a:prstGeom>
                  </pic:spPr>
                </pic:pic>
              </a:graphicData>
            </a:graphic>
          </wp:inline>
        </w:drawing>
      </w:r>
    </w:p>
    <w:p w14:paraId="2BF02409">
      <w:pPr>
        <w:pStyle w:val="5"/>
        <w:numPr>
          <w:ilvl w:val="2"/>
          <w:numId w:val="20"/>
        </w:numPr>
      </w:pPr>
      <w:bookmarkStart w:id="18" w:name="_Toc196727914"/>
      <w:bookmarkStart w:id="19" w:name="_Toc175938878"/>
      <w:bookmarkStart w:id="20" w:name="_Toc172217944"/>
      <w:r>
        <w:rPr>
          <w:rFonts w:hint="eastAsia"/>
        </w:rPr>
        <w:t>菜单搜索</w:t>
      </w:r>
      <w:bookmarkEnd w:id="18"/>
      <w:bookmarkEnd w:id="19"/>
      <w:bookmarkEnd w:id="20"/>
    </w:p>
    <w:p w14:paraId="36A324F1">
      <w:r>
        <w:rPr>
          <w:rFonts w:hint="eastAsia"/>
        </w:rPr>
        <w:t>系统提供方便快捷的搜索功能，用户可快速导航到指定的功能页面。点击快捷菜单栏的</w:t>
      </w:r>
      <w:r>
        <w:drawing>
          <wp:inline distT="0" distB="0" distL="0" distR="0">
            <wp:extent cx="133350" cy="114300"/>
            <wp:effectExtent l="0" t="0" r="0" b="0"/>
            <wp:docPr id="1802027870" name="图片 1802027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70" name="图片 1802027870"/>
                    <pic:cNvPicPr>
                      <a:picLocks noChangeAspect="1"/>
                    </pic:cNvPicPr>
                  </pic:nvPicPr>
                  <pic:blipFill>
                    <a:blip r:embed="rId16"/>
                    <a:stretch>
                      <a:fillRect/>
                    </a:stretch>
                  </pic:blipFill>
                  <pic:spPr>
                    <a:xfrm>
                      <a:off x="0" y="0"/>
                      <a:ext cx="134810" cy="115551"/>
                    </a:xfrm>
                    <a:prstGeom prst="rect">
                      <a:avLst/>
                    </a:prstGeom>
                  </pic:spPr>
                </pic:pic>
              </a:graphicData>
            </a:graphic>
          </wp:inline>
        </w:drawing>
      </w:r>
      <w:r>
        <w:rPr>
          <w:rFonts w:hint="eastAsia"/>
        </w:rPr>
        <w:t>图标，在搜索框输入功能菜单的关键字，搜索结果栏会显示相关的目录树，点击目录树可以直接跳转到对应的功能页面。</w:t>
      </w:r>
    </w:p>
    <w:p w14:paraId="2BCD09D1">
      <w:pPr>
        <w:pStyle w:val="188"/>
      </w:pPr>
      <w:r>
        <w:rPr>
          <w:rFonts w:hint="eastAsia"/>
        </w:rPr>
        <w:t>菜单搜索结果</w:t>
      </w:r>
    </w:p>
    <w:p w14:paraId="73FE6FB7">
      <w:pPr>
        <w:pStyle w:val="175"/>
      </w:pPr>
      <w:r>
        <w:drawing>
          <wp:inline distT="0" distB="0" distL="0" distR="0">
            <wp:extent cx="1752600" cy="3346450"/>
            <wp:effectExtent l="0" t="0" r="0" b="6350"/>
            <wp:docPr id="1802027871" name="图片 1802027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71" name="图片 1802027871"/>
                    <pic:cNvPicPr>
                      <a:picLocks noChangeAspect="1"/>
                    </pic:cNvPicPr>
                  </pic:nvPicPr>
                  <pic:blipFill>
                    <a:blip r:embed="rId17"/>
                    <a:stretch>
                      <a:fillRect/>
                    </a:stretch>
                  </pic:blipFill>
                  <pic:spPr>
                    <a:xfrm>
                      <a:off x="0" y="0"/>
                      <a:ext cx="1754449" cy="3350090"/>
                    </a:xfrm>
                    <a:prstGeom prst="rect">
                      <a:avLst/>
                    </a:prstGeom>
                  </pic:spPr>
                </pic:pic>
              </a:graphicData>
            </a:graphic>
          </wp:inline>
        </w:drawing>
      </w:r>
    </w:p>
    <w:p w14:paraId="0310A2B1">
      <w:pPr>
        <w:pStyle w:val="5"/>
      </w:pPr>
      <w:bookmarkStart w:id="21" w:name="_Toc174639398"/>
      <w:bookmarkEnd w:id="21"/>
      <w:bookmarkStart w:id="22" w:name="_Toc174633400"/>
      <w:bookmarkEnd w:id="22"/>
      <w:bookmarkStart w:id="23" w:name="_Toc174642451"/>
      <w:bookmarkEnd w:id="23"/>
      <w:bookmarkStart w:id="24" w:name="_Toc174636397"/>
      <w:bookmarkEnd w:id="24"/>
      <w:bookmarkStart w:id="25" w:name="_Toc141873213"/>
      <w:bookmarkStart w:id="26" w:name="_Toc196727915"/>
      <w:bookmarkStart w:id="27" w:name="_Toc99561268"/>
      <w:bookmarkStart w:id="28" w:name="_Toc142400732"/>
      <w:bookmarkStart w:id="29" w:name="_Toc175938879"/>
      <w:r>
        <w:rPr>
          <w:rFonts w:hint="eastAsia"/>
        </w:rPr>
        <w:t>系统告警</w:t>
      </w:r>
      <w:bookmarkEnd w:id="25"/>
      <w:bookmarkEnd w:id="26"/>
      <w:bookmarkEnd w:id="27"/>
      <w:bookmarkEnd w:id="28"/>
      <w:bookmarkEnd w:id="29"/>
    </w:p>
    <w:p w14:paraId="303E004C">
      <w:r>
        <w:rPr>
          <w:rFonts w:hint="eastAsia"/>
        </w:rPr>
        <w:t>系统出现告警时会自动弹出告警信息，点击关闭按钮可关闭告警弹窗。点击快捷菜单栏的</w:t>
      </w:r>
      <w:r>
        <w:drawing>
          <wp:inline distT="0" distB="0" distL="0" distR="0">
            <wp:extent cx="152400" cy="123825"/>
            <wp:effectExtent l="0" t="0" r="0" b="9525"/>
            <wp:docPr id="2828" name="图片 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8" name="图片 2828"/>
                    <pic:cNvPicPr>
                      <a:picLocks noChangeAspect="1"/>
                    </pic:cNvPicPr>
                  </pic:nvPicPr>
                  <pic:blipFill>
                    <a:blip r:embed="rId18"/>
                    <a:stretch>
                      <a:fillRect/>
                    </a:stretch>
                  </pic:blipFill>
                  <pic:spPr>
                    <a:xfrm>
                      <a:off x="0" y="0"/>
                      <a:ext cx="152400" cy="123825"/>
                    </a:xfrm>
                    <a:prstGeom prst="rect">
                      <a:avLst/>
                    </a:prstGeom>
                  </pic:spPr>
                </pic:pic>
              </a:graphicData>
            </a:graphic>
          </wp:inline>
        </w:drawing>
      </w:r>
      <w:r>
        <w:rPr>
          <w:rFonts w:hint="eastAsia"/>
        </w:rPr>
        <w:t>图标，可查看系统告警信息，在Web管理页面右下角会弹出系统的告警信息。</w:t>
      </w:r>
    </w:p>
    <w:p w14:paraId="559E2C97">
      <w:pPr>
        <w:pStyle w:val="5"/>
      </w:pPr>
      <w:bookmarkStart w:id="30" w:name="_Toc142400733"/>
      <w:bookmarkStart w:id="31" w:name="_Toc175938880"/>
      <w:bookmarkStart w:id="32" w:name="_Toc196727916"/>
      <w:bookmarkStart w:id="33" w:name="_Toc141873214"/>
      <w:bookmarkStart w:id="34" w:name="_Toc99561269"/>
      <w:r>
        <w:t>保存配置</w:t>
      </w:r>
      <w:bookmarkEnd w:id="30"/>
      <w:bookmarkEnd w:id="31"/>
      <w:bookmarkEnd w:id="32"/>
      <w:bookmarkEnd w:id="33"/>
      <w:bookmarkEnd w:id="34"/>
    </w:p>
    <w:p w14:paraId="30218A8D">
      <w:r>
        <w:t>当系统</w:t>
      </w:r>
      <w:r>
        <w:rPr>
          <w:rFonts w:hint="eastAsia"/>
        </w:rPr>
        <w:t>关闭</w:t>
      </w:r>
      <w:r>
        <w:t>实时保存配置功能时</w:t>
      </w:r>
      <w:r>
        <w:rPr>
          <w:rFonts w:hint="eastAsia"/>
        </w:rPr>
        <w:t>（默认为关闭）</w:t>
      </w:r>
      <w:r>
        <w:t>，在配置完成后，需要点击</w:t>
      </w:r>
      <w:r>
        <w:rPr>
          <w:rFonts w:hint="eastAsia"/>
        </w:rPr>
        <w:t>快捷菜单栏</w:t>
      </w:r>
      <w:r>
        <w:t>的</w:t>
      </w:r>
      <w:r>
        <w:drawing>
          <wp:inline distT="0" distB="0" distL="0" distR="0">
            <wp:extent cx="142875" cy="161925"/>
            <wp:effectExtent l="0" t="0" r="9525" b="9525"/>
            <wp:docPr id="2829" name="图片 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9" name="图片 2829"/>
                    <pic:cNvPicPr>
                      <a:picLocks noChangeAspect="1"/>
                    </pic:cNvPicPr>
                  </pic:nvPicPr>
                  <pic:blipFill>
                    <a:blip r:embed="rId19"/>
                    <a:stretch>
                      <a:fillRect/>
                    </a:stretch>
                  </pic:blipFill>
                  <pic:spPr>
                    <a:xfrm>
                      <a:off x="0" y="0"/>
                      <a:ext cx="142875" cy="161925"/>
                    </a:xfrm>
                    <a:prstGeom prst="rect">
                      <a:avLst/>
                    </a:prstGeom>
                  </pic:spPr>
                </pic:pic>
              </a:graphicData>
            </a:graphic>
          </wp:inline>
        </w:drawing>
      </w:r>
      <w:r>
        <w:t>图标，才能使配置生效</w:t>
      </w:r>
      <w:r>
        <w:rPr>
          <w:rFonts w:hint="eastAsia"/>
        </w:rPr>
        <w:t>，</w:t>
      </w:r>
      <w:r>
        <w:t>否则系统重启后配置数据会丢失。</w:t>
      </w:r>
    </w:p>
    <w:p w14:paraId="11CD1A11">
      <w:pPr>
        <w:pStyle w:val="5"/>
      </w:pPr>
      <w:bookmarkStart w:id="35" w:name="_Toc99561270"/>
      <w:bookmarkStart w:id="36" w:name="_Toc142400734"/>
      <w:bookmarkStart w:id="37" w:name="_Toc141873215"/>
      <w:bookmarkStart w:id="38" w:name="_Toc175938881"/>
      <w:bookmarkStart w:id="39" w:name="_Toc196727917"/>
      <w:r>
        <w:rPr>
          <w:rFonts w:hint="eastAsia"/>
        </w:rPr>
        <w:t>锁定会话</w:t>
      </w:r>
      <w:bookmarkEnd w:id="35"/>
      <w:bookmarkEnd w:id="36"/>
      <w:bookmarkEnd w:id="37"/>
      <w:bookmarkEnd w:id="38"/>
      <w:bookmarkEnd w:id="39"/>
    </w:p>
    <w:p w14:paraId="046DC5A9">
      <w:r>
        <w:rPr>
          <w:rFonts w:hint="eastAsia"/>
        </w:rPr>
        <w:t>点击快捷菜单栏的</w:t>
      </w:r>
      <w:r>
        <w:drawing>
          <wp:inline distT="0" distB="0" distL="0" distR="0">
            <wp:extent cx="123825" cy="104775"/>
            <wp:effectExtent l="0" t="0" r="9525" b="9525"/>
            <wp:docPr id="2834" name="图片 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4" name="图片 2834"/>
                    <pic:cNvPicPr>
                      <a:picLocks noChangeAspect="1"/>
                    </pic:cNvPicPr>
                  </pic:nvPicPr>
                  <pic:blipFill>
                    <a:blip r:embed="rId20"/>
                    <a:stretch>
                      <a:fillRect/>
                    </a:stretch>
                  </pic:blipFill>
                  <pic:spPr>
                    <a:xfrm>
                      <a:off x="0" y="0"/>
                      <a:ext cx="123825" cy="104775"/>
                    </a:xfrm>
                    <a:prstGeom prst="rect">
                      <a:avLst/>
                    </a:prstGeom>
                  </pic:spPr>
                </pic:pic>
              </a:graphicData>
            </a:graphic>
          </wp:inline>
        </w:drawing>
      </w:r>
      <w:r>
        <w:rPr>
          <w:rFonts w:hint="eastAsia"/>
        </w:rPr>
        <w:t>图标，在弹出窗口输入锁定密码，可以锁定Web网页并激活网页保护程序。当要再次访问Web会话，必须输入正确的口令。</w:t>
      </w:r>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17D0EE2A">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6BB9C2BE">
            <w:pPr>
              <w:pStyle w:val="150"/>
              <w:adjustRightInd w:val="0"/>
              <w:snapToGrid w:val="0"/>
              <w:rPr>
                <w:color w:val="auto"/>
              </w:rPr>
            </w:pPr>
            <w:bookmarkStart w:id="40" w:name="OLE_LINK30"/>
            <w:bookmarkStart w:id="41" w:name="OLE_LINK32"/>
            <w:r>
              <w:rPr>
                <w:color w:val="auto"/>
              </w:rPr>
              <w:drawing>
                <wp:inline distT="0" distB="0" distL="0" distR="0">
                  <wp:extent cx="283210" cy="283210"/>
                  <wp:effectExtent l="0" t="0" r="2540" b="254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5070F0C1">
            <w:pPr>
              <w:pStyle w:val="150"/>
              <w:adjustRightInd w:val="0"/>
              <w:snapToGrid w:val="0"/>
              <w:rPr>
                <w:color w:val="auto"/>
              </w:rPr>
            </w:pPr>
            <w:r>
              <w:rPr>
                <w:rFonts w:hint="eastAsia"/>
                <w:color w:val="auto"/>
              </w:rPr>
              <w:t>锁定密码的长度为8~31字符，必须包含英文字母、数字以及特殊字符（不包含空格）。</w:t>
            </w:r>
          </w:p>
        </w:tc>
      </w:tr>
      <w:bookmarkEnd w:id="40"/>
      <w:bookmarkEnd w:id="41"/>
    </w:tbl>
    <w:p w14:paraId="5058D201">
      <w:pPr>
        <w:pStyle w:val="5"/>
      </w:pPr>
      <w:bookmarkStart w:id="42" w:name="_Toc141873216"/>
      <w:bookmarkStart w:id="43" w:name="_Toc142400735"/>
      <w:bookmarkStart w:id="44" w:name="_Toc196727918"/>
      <w:bookmarkStart w:id="45" w:name="_Toc175938882"/>
      <w:r>
        <w:rPr>
          <w:rFonts w:hint="eastAsia"/>
        </w:rPr>
        <w:t>修改密</w:t>
      </w:r>
      <w:bookmarkStart w:id="46" w:name="_Toc99561271"/>
      <w:r>
        <w:rPr>
          <w:rFonts w:hint="eastAsia"/>
        </w:rPr>
        <w:t>码</w:t>
      </w:r>
      <w:bookmarkEnd w:id="42"/>
      <w:bookmarkEnd w:id="43"/>
      <w:bookmarkEnd w:id="44"/>
      <w:bookmarkEnd w:id="45"/>
      <w:bookmarkEnd w:id="46"/>
    </w:p>
    <w:p w14:paraId="7A7D3F8F">
      <w:r>
        <w:rPr>
          <w:rFonts w:hint="eastAsia"/>
        </w:rPr>
        <w:t>点击快捷菜单栏的</w:t>
      </w:r>
      <w:r>
        <w:drawing>
          <wp:inline distT="0" distB="0" distL="0" distR="0">
            <wp:extent cx="114300" cy="114300"/>
            <wp:effectExtent l="0" t="0" r="0" b="0"/>
            <wp:docPr id="2836" name="图片 2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6" name="图片 2836"/>
                    <pic:cNvPicPr>
                      <a:picLocks noChangeAspect="1"/>
                    </pic:cNvPicPr>
                  </pic:nvPicPr>
                  <pic:blipFill>
                    <a:blip r:embed="rId21"/>
                    <a:stretch>
                      <a:fillRect/>
                    </a:stretch>
                  </pic:blipFill>
                  <pic:spPr>
                    <a:xfrm>
                      <a:off x="0" y="0"/>
                      <a:ext cx="114300" cy="114300"/>
                    </a:xfrm>
                    <a:prstGeom prst="rect">
                      <a:avLst/>
                    </a:prstGeom>
                  </pic:spPr>
                </pic:pic>
              </a:graphicData>
            </a:graphic>
          </wp:inline>
        </w:drawing>
      </w:r>
      <w:r>
        <w:rPr>
          <w:rFonts w:hint="eastAsia"/>
        </w:rPr>
        <w:t>图标，在弹出的对话框中输入旧密码，再输入新密码并确认密码，点击&lt;</w:t>
      </w:r>
      <w:r>
        <w:rPr>
          <w:rFonts w:hint="eastAsia"/>
          <w:b/>
          <w:bCs/>
        </w:rPr>
        <w:t>提交</w:t>
      </w:r>
      <w:r>
        <w:t>&gt;</w:t>
      </w:r>
      <w:r>
        <w:rPr>
          <w:rFonts w:hint="eastAsia"/>
        </w:rPr>
        <w:t>即可修改密码。</w:t>
      </w:r>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7F746302">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6373C2AC">
            <w:pPr>
              <w:pStyle w:val="150"/>
              <w:adjustRightInd w:val="0"/>
              <w:snapToGrid w:val="0"/>
              <w:rPr>
                <w:color w:val="auto"/>
              </w:rPr>
            </w:pPr>
            <w:r>
              <w:rPr>
                <w:color w:val="auto"/>
              </w:rPr>
              <w:drawing>
                <wp:inline distT="0" distB="0" distL="0" distR="0">
                  <wp:extent cx="283210" cy="283210"/>
                  <wp:effectExtent l="0" t="0" r="2540" b="254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6B002410">
            <w:pPr>
              <w:pStyle w:val="150"/>
              <w:adjustRightInd w:val="0"/>
              <w:snapToGrid w:val="0"/>
              <w:rPr>
                <w:color w:val="auto"/>
              </w:rPr>
            </w:pPr>
            <w:r>
              <w:rPr>
                <w:rFonts w:hint="eastAsia"/>
                <w:color w:val="auto"/>
              </w:rPr>
              <w:t>密码的长度为8~31字符，必须包含英文字母、数字以及特殊字符（不包含空格）。</w:t>
            </w:r>
          </w:p>
        </w:tc>
      </w:tr>
    </w:tbl>
    <w:p w14:paraId="611FD1D2">
      <w:pPr>
        <w:pStyle w:val="5"/>
      </w:pPr>
      <w:bookmarkStart w:id="47" w:name="_Toc99561272"/>
      <w:bookmarkStart w:id="48" w:name="_Toc142400736"/>
      <w:bookmarkStart w:id="49" w:name="_Toc175938883"/>
      <w:bookmarkStart w:id="50" w:name="_Toc141873217"/>
      <w:bookmarkStart w:id="51" w:name="_Toc196727919"/>
      <w:r>
        <w:rPr>
          <w:rFonts w:hint="eastAsia"/>
        </w:rPr>
        <w:t>退出系统</w:t>
      </w:r>
      <w:bookmarkEnd w:id="47"/>
      <w:bookmarkEnd w:id="48"/>
      <w:bookmarkEnd w:id="49"/>
      <w:bookmarkEnd w:id="50"/>
      <w:bookmarkEnd w:id="51"/>
    </w:p>
    <w:p w14:paraId="1CC158C2">
      <w:r>
        <w:t>点击</w:t>
      </w:r>
      <w:r>
        <w:rPr>
          <w:rFonts w:hint="eastAsia"/>
        </w:rPr>
        <w:t>快捷菜单</w:t>
      </w:r>
      <w:r>
        <w:t>栏的</w:t>
      </w:r>
      <w:r>
        <w:drawing>
          <wp:inline distT="0" distB="0" distL="0" distR="0">
            <wp:extent cx="190500" cy="190500"/>
            <wp:effectExtent l="0" t="0" r="0" b="0"/>
            <wp:docPr id="2860" name="图片 2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0" name="图片 2860"/>
                    <pic:cNvPicPr>
                      <a:picLocks noChangeAspect="1"/>
                    </pic:cNvPicPr>
                  </pic:nvPicPr>
                  <pic:blipFill>
                    <a:blip r:embed="rId22"/>
                    <a:stretch>
                      <a:fillRect/>
                    </a:stretch>
                  </pic:blipFill>
                  <pic:spPr>
                    <a:xfrm>
                      <a:off x="0" y="0"/>
                      <a:ext cx="190500" cy="190500"/>
                    </a:xfrm>
                    <a:prstGeom prst="rect">
                      <a:avLst/>
                    </a:prstGeom>
                  </pic:spPr>
                </pic:pic>
              </a:graphicData>
            </a:graphic>
          </wp:inline>
        </w:drawing>
      </w:r>
      <w:r>
        <w:t>图标，可以退出系统。</w:t>
      </w:r>
    </w:p>
    <w:tbl>
      <w:tblPr>
        <w:tblStyle w:val="292"/>
        <w:tblW w:w="4700"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83"/>
        <w:gridCol w:w="6804"/>
      </w:tblGrid>
      <w:tr w14:paraId="33485016">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3"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3F44C64B">
            <w:pPr>
              <w:pStyle w:val="150"/>
              <w:adjustRightInd w:val="0"/>
              <w:snapToGrid w:val="0"/>
              <w:rPr>
                <w:color w:val="auto"/>
              </w:rPr>
            </w:pPr>
            <w:r>
              <w:rPr>
                <w:color w:val="auto"/>
              </w:rPr>
              <w:drawing>
                <wp:inline distT="0" distB="0" distL="0" distR="0">
                  <wp:extent cx="283210" cy="283210"/>
                  <wp:effectExtent l="0" t="0" r="2540" b="254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4C780443">
            <w:pPr>
              <w:pStyle w:val="150"/>
              <w:adjustRightInd w:val="0"/>
              <w:snapToGrid w:val="0"/>
              <w:rPr>
                <w:color w:val="auto"/>
              </w:rPr>
            </w:pPr>
            <w:r>
              <w:rPr>
                <w:rFonts w:hint="eastAsia"/>
                <w:color w:val="auto"/>
              </w:rPr>
              <w:t>关闭浏览器并不能使当前登录用户退出系统。</w:t>
            </w:r>
          </w:p>
        </w:tc>
      </w:tr>
    </w:tbl>
    <w:p w14:paraId="3A18A2D8">
      <w:pPr>
        <w:pStyle w:val="3"/>
      </w:pPr>
      <w:bookmarkStart w:id="52" w:name="_Toc58603567"/>
      <w:bookmarkStart w:id="53" w:name="_Toc196727920"/>
      <w:bookmarkStart w:id="54" w:name="_Toc70414964"/>
      <w:bookmarkStart w:id="55" w:name="_Toc70414027"/>
      <w:r>
        <w:t>主页</w:t>
      </w:r>
      <w:bookmarkEnd w:id="52"/>
      <w:bookmarkEnd w:id="53"/>
      <w:bookmarkEnd w:id="54"/>
      <w:bookmarkEnd w:id="55"/>
    </w:p>
    <w:p w14:paraId="5E2C111B">
      <w:pPr>
        <w:pStyle w:val="4"/>
      </w:pPr>
      <w:bookmarkStart w:id="56" w:name="_Toc58603568"/>
      <w:bookmarkStart w:id="57" w:name="_Toc70414028"/>
      <w:bookmarkStart w:id="58" w:name="_Toc70414965"/>
      <w:bookmarkStart w:id="59" w:name="_Toc196727921"/>
      <w:r>
        <w:rPr>
          <w:rFonts w:hint="eastAsia"/>
        </w:rPr>
        <w:t>主页简介</w:t>
      </w:r>
      <w:bookmarkEnd w:id="56"/>
      <w:bookmarkEnd w:id="57"/>
      <w:bookmarkEnd w:id="58"/>
      <w:bookmarkEnd w:id="59"/>
    </w:p>
    <w:p w14:paraId="5B993470">
      <w:bookmarkStart w:id="60" w:name="_Hlt26174183"/>
      <w:bookmarkEnd w:id="60"/>
      <w:r>
        <w:rPr>
          <w:rFonts w:hint="eastAsia"/>
        </w:rPr>
        <w:t>主页主要包含了系统当前的状态信息，包括以下信息：</w:t>
      </w:r>
    </w:p>
    <w:p w14:paraId="1F7DA1A7">
      <w:pPr>
        <w:pStyle w:val="162"/>
      </w:pPr>
      <w:r>
        <w:rPr>
          <w:rFonts w:hint="eastAsia"/>
        </w:rPr>
        <w:t>行为等级：展示系统安全等级、管控等级、效率等级及合规等级。</w:t>
      </w:r>
    </w:p>
    <w:p w14:paraId="31AF4BE6">
      <w:pPr>
        <w:pStyle w:val="162"/>
      </w:pPr>
      <w:r>
        <w:rPr>
          <w:rFonts w:hint="eastAsia"/>
        </w:rPr>
        <w:t>行为管理：展示在线用户、审计日志、流量分析及违规用户信息。</w:t>
      </w:r>
    </w:p>
    <w:p w14:paraId="2CFF944B">
      <w:pPr>
        <w:pStyle w:val="162"/>
      </w:pPr>
      <w:r>
        <w:t>系统信息</w:t>
      </w:r>
      <w:r>
        <w:rPr>
          <w:rFonts w:hint="eastAsia"/>
        </w:rPr>
        <w:t>：展示设备信息、HA状态信息及授权信息等。</w:t>
      </w:r>
    </w:p>
    <w:p w14:paraId="63E8BDA3">
      <w:pPr>
        <w:pStyle w:val="162"/>
      </w:pPr>
      <w:r>
        <w:rPr>
          <w:rFonts w:hint="eastAsia"/>
        </w:rPr>
        <w:t>系统资源：展示</w:t>
      </w:r>
      <w:r>
        <w:t>cpu</w:t>
      </w:r>
      <w:r>
        <w:rPr>
          <w:rFonts w:hint="eastAsia"/>
        </w:rPr>
        <w:t>、内存及磁盘信息。</w:t>
      </w:r>
    </w:p>
    <w:p w14:paraId="72BFFF7C">
      <w:pPr>
        <w:pStyle w:val="162"/>
      </w:pPr>
      <w:r>
        <w:rPr>
          <w:rFonts w:hint="eastAsia"/>
        </w:rPr>
        <w:t>实时流量：展示系统最近一个小时的流量统计信息。</w:t>
      </w:r>
    </w:p>
    <w:p w14:paraId="4AB9401E">
      <w:pPr>
        <w:pStyle w:val="162"/>
      </w:pPr>
      <w:r>
        <w:rPr>
          <w:rFonts w:hint="eastAsia"/>
        </w:rPr>
        <w:t>接口状态：展示物理接口的状态信息。</w:t>
      </w:r>
    </w:p>
    <w:p w14:paraId="3FDD9358">
      <w:pPr>
        <w:pStyle w:val="162"/>
      </w:pPr>
      <w:r>
        <w:rPr>
          <w:rFonts w:hint="eastAsia"/>
        </w:rPr>
        <w:t>用户流量：展示用户流量排行信息。</w:t>
      </w:r>
    </w:p>
    <w:p w14:paraId="326A65A5">
      <w:pPr>
        <w:pStyle w:val="162"/>
      </w:pPr>
      <w:r>
        <w:rPr>
          <w:rFonts w:hint="eastAsia"/>
        </w:rPr>
        <w:t>应用流量：展示应用流量排行信息。</w:t>
      </w:r>
    </w:p>
    <w:p w14:paraId="36CA3A24">
      <w:pPr>
        <w:pStyle w:val="162"/>
      </w:pPr>
      <w:r>
        <w:rPr>
          <w:rFonts w:hint="eastAsia"/>
        </w:rPr>
        <w:t>系统日志：主要显示系统日志信息。</w:t>
      </w:r>
    </w:p>
    <w:p w14:paraId="072550B2">
      <w:pPr>
        <w:pStyle w:val="162"/>
      </w:pPr>
      <w:r>
        <w:rPr>
          <w:rFonts w:hint="eastAsia"/>
        </w:rPr>
        <w:t>审计日志：显示IM</w:t>
      </w:r>
      <w:r>
        <w:t>聊天</w:t>
      </w:r>
      <w:r>
        <w:rPr>
          <w:rFonts w:hint="eastAsia"/>
        </w:rPr>
        <w:t>、</w:t>
      </w:r>
      <w:r>
        <w:t>邮件收发</w:t>
      </w:r>
      <w:r>
        <w:rPr>
          <w:rFonts w:hint="eastAsia"/>
        </w:rPr>
        <w:t>、</w:t>
      </w:r>
      <w:r>
        <w:t>文件传输</w:t>
      </w:r>
      <w:r>
        <w:rPr>
          <w:rFonts w:hint="eastAsia"/>
        </w:rPr>
        <w:t>、</w:t>
      </w:r>
      <w:r>
        <w:t>搜索引擎等上网行为审计信息</w:t>
      </w:r>
      <w:r>
        <w:rPr>
          <w:rFonts w:hint="eastAsia"/>
        </w:rPr>
        <w:t>。</w:t>
      </w:r>
    </w:p>
    <w:p w14:paraId="3D95796E">
      <w:pPr>
        <w:pStyle w:val="162"/>
      </w:pPr>
      <w:r>
        <w:rPr>
          <w:rFonts w:hint="eastAsia"/>
        </w:rPr>
        <w:t>入侵防御：展示最近一天的TOP5+的入侵防御事件类型占比。</w:t>
      </w:r>
    </w:p>
    <w:p w14:paraId="2A6056B7">
      <w:pPr>
        <w:pStyle w:val="162"/>
      </w:pPr>
      <w:r>
        <w:rPr>
          <w:rFonts w:hint="eastAsia"/>
        </w:rPr>
        <w:t>攻击趋势：展示最近一天的IPS攻击、WAF攻击、DDos攻击和AV安全防御攻击趋势图。</w:t>
      </w:r>
    </w:p>
    <w:p w14:paraId="4CEB7795">
      <w:pPr>
        <w:pStyle w:val="162"/>
      </w:pPr>
      <w:r>
        <w:rPr>
          <w:rFonts w:hint="eastAsia"/>
        </w:rPr>
        <w:t>威胁日志：展示最近20条的入侵检测、病毒防护、网络层攻击日志，其中入侵检测、病毒防护只报级别为警告及以上的最近20条日志。</w:t>
      </w:r>
    </w:p>
    <w:p w14:paraId="00576573">
      <w:pPr>
        <w:pStyle w:val="162"/>
      </w:pPr>
      <w:r>
        <w:rPr>
          <w:rFonts w:hint="eastAsia"/>
        </w:rPr>
        <w:t>会话数：展示最近10分钟的当前会话数和新增会话数。</w:t>
      </w:r>
    </w:p>
    <w:p w14:paraId="33DBA9D8">
      <w:r>
        <w:rPr>
          <w:rFonts w:hint="eastAsia"/>
        </w:rPr>
        <w:t>用户登录到Web后，默认进入“主页”页面。</w:t>
      </w:r>
    </w:p>
    <w:p w14:paraId="0D0F9EBC">
      <w:pPr>
        <w:pStyle w:val="4"/>
      </w:pPr>
      <w:bookmarkStart w:id="61" w:name="_Toc43133858"/>
      <w:bookmarkStart w:id="62" w:name="_Toc58603569"/>
      <w:bookmarkStart w:id="63" w:name="_Toc70414029"/>
      <w:bookmarkStart w:id="64" w:name="_Toc70414966"/>
      <w:bookmarkStart w:id="65" w:name="_Toc196727922"/>
      <w:r>
        <w:rPr>
          <w:rFonts w:hint="eastAsia"/>
        </w:rPr>
        <w:t>主页布局设置</w:t>
      </w:r>
      <w:bookmarkEnd w:id="61"/>
      <w:bookmarkEnd w:id="62"/>
      <w:bookmarkEnd w:id="63"/>
      <w:bookmarkEnd w:id="64"/>
      <w:bookmarkEnd w:id="65"/>
    </w:p>
    <w:p w14:paraId="2B495D4D">
      <w:r>
        <w:rPr>
          <w:rFonts w:hint="eastAsia"/>
        </w:rPr>
        <w:t>进入“主页”页面，点击右上角的“设置”按钮，弹出页面布局设定窗口，可以自定义主页显示的窗口模块，设置完成后点击“保存风格”保存设置。勾选的模块会在页面显示，如下图所示。</w:t>
      </w:r>
    </w:p>
    <w:p w14:paraId="388D25FE">
      <w:pPr>
        <w:pStyle w:val="188"/>
      </w:pPr>
      <w:r>
        <w:rPr>
          <w:rFonts w:hint="eastAsia"/>
        </w:rPr>
        <w:t>主页设置</w:t>
      </w:r>
    </w:p>
    <w:p w14:paraId="19F76501">
      <w:pPr>
        <w:pStyle w:val="177"/>
      </w:pPr>
      <w:r>
        <w:drawing>
          <wp:inline distT="0" distB="0" distL="0" distR="0">
            <wp:extent cx="3009265" cy="2609215"/>
            <wp:effectExtent l="0" t="0" r="635" b="63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3"/>
                    <a:stretch>
                      <a:fillRect/>
                    </a:stretch>
                  </pic:blipFill>
                  <pic:spPr>
                    <a:xfrm>
                      <a:off x="0" y="0"/>
                      <a:ext cx="3009524" cy="2609524"/>
                    </a:xfrm>
                    <a:prstGeom prst="rect">
                      <a:avLst/>
                    </a:prstGeom>
                  </pic:spPr>
                </pic:pic>
              </a:graphicData>
            </a:graphic>
          </wp:inline>
        </w:drawing>
      </w:r>
    </w:p>
    <w:p w14:paraId="42EAA823"/>
    <w:p w14:paraId="3F411936">
      <w:r>
        <w:rPr>
          <w:rFonts w:hint="eastAsia"/>
        </w:rPr>
        <w:t>点击“恢复默认”按钮，弹出的提示确认窗口，点击“确认”后恢复默认设置，默认显示的模块如下图所示。</w:t>
      </w:r>
    </w:p>
    <w:p w14:paraId="3F7105EF">
      <w:pPr>
        <w:pStyle w:val="188"/>
      </w:pPr>
      <w:r>
        <w:rPr>
          <w:rFonts w:hint="eastAsia"/>
        </w:rPr>
        <w:t>页面布局设定恢复默认</w:t>
      </w:r>
    </w:p>
    <w:p w14:paraId="6DFD6914">
      <w:pPr>
        <w:pStyle w:val="177"/>
      </w:pPr>
      <w:r>
        <w:drawing>
          <wp:inline distT="0" distB="0" distL="0" distR="0">
            <wp:extent cx="3037840" cy="2399665"/>
            <wp:effectExtent l="0" t="0" r="0" b="63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4"/>
                    <a:stretch>
                      <a:fillRect/>
                    </a:stretch>
                  </pic:blipFill>
                  <pic:spPr>
                    <a:xfrm>
                      <a:off x="0" y="0"/>
                      <a:ext cx="3038095" cy="2400000"/>
                    </a:xfrm>
                    <a:prstGeom prst="rect">
                      <a:avLst/>
                    </a:prstGeom>
                  </pic:spPr>
                </pic:pic>
              </a:graphicData>
            </a:graphic>
          </wp:inline>
        </w:drawing>
      </w:r>
    </w:p>
    <w:p w14:paraId="2DB51A81"/>
    <w:p w14:paraId="17C6929E">
      <w:pPr>
        <w:pStyle w:val="4"/>
      </w:pPr>
      <w:bookmarkStart w:id="66" w:name="_Toc43133859"/>
      <w:bookmarkStart w:id="67" w:name="_Toc70414030"/>
      <w:bookmarkStart w:id="68" w:name="_Toc196727923"/>
      <w:bookmarkStart w:id="69" w:name="_Toc70414967"/>
      <w:bookmarkStart w:id="70" w:name="_Toc58603570"/>
      <w:r>
        <w:rPr>
          <w:rFonts w:hint="eastAsia"/>
        </w:rPr>
        <w:t>主页展示信息</w:t>
      </w:r>
      <w:bookmarkEnd w:id="66"/>
      <w:bookmarkEnd w:id="67"/>
      <w:bookmarkEnd w:id="68"/>
      <w:bookmarkEnd w:id="69"/>
      <w:bookmarkEnd w:id="70"/>
    </w:p>
    <w:p w14:paraId="3BEA3131">
      <w:pPr>
        <w:pStyle w:val="5"/>
      </w:pPr>
      <w:bookmarkStart w:id="71" w:name="_Toc194080590"/>
      <w:bookmarkStart w:id="72" w:name="_Toc196727924"/>
      <w:bookmarkStart w:id="73" w:name="_Toc183694332"/>
      <w:bookmarkStart w:id="74" w:name="_Toc70414968"/>
      <w:bookmarkStart w:id="75" w:name="_Toc70414031"/>
      <w:bookmarkStart w:id="76" w:name="_Toc58603571"/>
      <w:r>
        <w:rPr>
          <w:rFonts w:hint="eastAsia"/>
        </w:rPr>
        <w:t>行为等级</w:t>
      </w:r>
      <w:bookmarkEnd w:id="71"/>
      <w:bookmarkEnd w:id="72"/>
      <w:bookmarkEnd w:id="73"/>
    </w:p>
    <w:p w14:paraId="226DF008">
      <w:r>
        <w:rPr>
          <w:rFonts w:hint="eastAsia"/>
        </w:rPr>
        <w:t>在导航栏中选择“主页”，可以看到“行为等级”标签，展示系统安全等级、管控等级、效率等级及合规等级。</w:t>
      </w:r>
    </w:p>
    <w:p w14:paraId="6E9E2477">
      <w:pPr>
        <w:pStyle w:val="188"/>
      </w:pPr>
      <w:r>
        <w:rPr>
          <w:rFonts w:hint="eastAsia"/>
        </w:rPr>
        <w:t>行为等级</w:t>
      </w:r>
    </w:p>
    <w:p w14:paraId="43E9E6F6">
      <w:pPr>
        <w:pStyle w:val="175"/>
      </w:pPr>
      <w:r>
        <w:drawing>
          <wp:inline distT="0" distB="0" distL="0" distR="0">
            <wp:extent cx="5334000" cy="832485"/>
            <wp:effectExtent l="0" t="0" r="0" b="5715"/>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25"/>
                    <a:stretch>
                      <a:fillRect/>
                    </a:stretch>
                  </pic:blipFill>
                  <pic:spPr>
                    <a:xfrm>
                      <a:off x="0" y="0"/>
                      <a:ext cx="5391877" cy="841869"/>
                    </a:xfrm>
                    <a:prstGeom prst="rect">
                      <a:avLst/>
                    </a:prstGeom>
                  </pic:spPr>
                </pic:pic>
              </a:graphicData>
            </a:graphic>
          </wp:inline>
        </w:drawing>
      </w:r>
    </w:p>
    <w:p w14:paraId="7F4E3D69"/>
    <w:p w14:paraId="6B3A36CE">
      <w:pPr>
        <w:pStyle w:val="6"/>
      </w:pPr>
      <w:r>
        <w:rPr>
          <w:rFonts w:hint="eastAsia"/>
        </w:rPr>
        <w:t>安全等级</w:t>
      </w:r>
    </w:p>
    <w:p w14:paraId="7796E15F">
      <w:r>
        <w:rPr>
          <w:rFonts w:hint="eastAsia"/>
        </w:rPr>
        <w:t>根据当天设备上产生的安全日志数目进行统计，分为高、中、低三个等级。</w:t>
      </w:r>
    </w:p>
    <w:p w14:paraId="72510001">
      <w:r>
        <w:rPr>
          <w:rFonts w:hint="eastAsia"/>
        </w:rPr>
        <w:t>安全日志包括入侵防御日志、安全防护日志、病毒防护日志、WEB防护日志、防暴力破解日志、弱密码防护日志、行为模型日志、非法外联防护日志。</w:t>
      </w:r>
    </w:p>
    <w:p w14:paraId="287A285E">
      <w:r>
        <w:rPr>
          <w:rFonts w:hint="eastAsia"/>
        </w:rPr>
        <w:t>安全等级划分的标准如下。</w:t>
      </w:r>
    </w:p>
    <w:p w14:paraId="716B5751">
      <w:pPr>
        <w:pStyle w:val="183"/>
      </w:pPr>
      <w:r>
        <w:rPr>
          <w:rFonts w:hint="eastAsia"/>
        </w:rPr>
        <w:t>安全等级划分标准</w:t>
      </w:r>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013"/>
        <w:gridCol w:w="7002"/>
      </w:tblGrid>
      <w:tr w14:paraId="269862E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752" w:type="dxa"/>
            <w:tcBorders>
              <w:tl2br w:val="nil"/>
              <w:tr2bl w:val="nil"/>
            </w:tcBorders>
            <w:shd w:val="clear" w:color="auto" w:fill="538135" w:themeFill="accent6" w:themeFillShade="BF"/>
            <w:vAlign w:val="center"/>
          </w:tcPr>
          <w:p w14:paraId="3E01AEF8">
            <w:pPr>
              <w:pStyle w:val="149"/>
              <w:wordWrap/>
              <w:rPr>
                <w:b/>
                <w:bCs/>
                <w:i w:val="0"/>
                <w:iCs w:val="0"/>
              </w:rPr>
            </w:pPr>
            <w:r>
              <w:rPr>
                <w:rFonts w:hint="eastAsia"/>
                <w:b/>
                <w:bCs/>
                <w:i w:val="0"/>
                <w:iCs w:val="0"/>
              </w:rPr>
              <w:t>安全等级</w:t>
            </w:r>
          </w:p>
        </w:tc>
        <w:tc>
          <w:tcPr>
            <w:tcW w:w="6096" w:type="dxa"/>
            <w:tcBorders>
              <w:tl2br w:val="nil"/>
              <w:tr2bl w:val="nil"/>
            </w:tcBorders>
            <w:shd w:val="clear" w:color="auto" w:fill="538135" w:themeFill="accent6" w:themeFillShade="BF"/>
            <w:vAlign w:val="center"/>
          </w:tcPr>
          <w:p w14:paraId="61A23356">
            <w:pPr>
              <w:pStyle w:val="149"/>
              <w:wordWrap/>
              <w:rPr>
                <w:b/>
                <w:bCs/>
                <w:i w:val="0"/>
                <w:iCs w:val="0"/>
              </w:rPr>
            </w:pPr>
            <w:r>
              <w:rPr>
                <w:rFonts w:hint="eastAsia"/>
                <w:b/>
                <w:bCs/>
                <w:i w:val="0"/>
                <w:iCs w:val="0"/>
              </w:rPr>
              <w:t>等级判断说明</w:t>
            </w:r>
          </w:p>
        </w:tc>
      </w:tr>
      <w:tr w14:paraId="712ABB5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752" w:type="dxa"/>
            <w:shd w:val="clear" w:color="auto" w:fill="auto"/>
          </w:tcPr>
          <w:p w14:paraId="3F161626">
            <w:pPr>
              <w:pStyle w:val="150"/>
            </w:pPr>
            <w:r>
              <w:rPr>
                <w:rFonts w:hint="eastAsia"/>
              </w:rPr>
              <w:t>高</w:t>
            </w:r>
          </w:p>
        </w:tc>
        <w:tc>
          <w:tcPr>
            <w:tcW w:w="6096" w:type="dxa"/>
            <w:shd w:val="clear" w:color="auto" w:fill="auto"/>
          </w:tcPr>
          <w:p w14:paraId="4D5C836D">
            <w:pPr>
              <w:pStyle w:val="150"/>
            </w:pPr>
            <w:r>
              <w:rPr>
                <w:rFonts w:hint="eastAsia"/>
              </w:rPr>
              <w:t>当天安全日志条数小于等于起始阈值</w:t>
            </w:r>
          </w:p>
        </w:tc>
      </w:tr>
      <w:tr w14:paraId="5D41FD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752" w:type="dxa"/>
            <w:shd w:val="clear" w:color="auto" w:fill="auto"/>
          </w:tcPr>
          <w:p w14:paraId="0F621B81">
            <w:pPr>
              <w:pStyle w:val="150"/>
            </w:pPr>
            <w:r>
              <w:rPr>
                <w:rFonts w:hint="eastAsia"/>
              </w:rPr>
              <w:t>中</w:t>
            </w:r>
          </w:p>
        </w:tc>
        <w:tc>
          <w:tcPr>
            <w:tcW w:w="6096" w:type="dxa"/>
            <w:shd w:val="clear" w:color="auto" w:fill="auto"/>
          </w:tcPr>
          <w:p w14:paraId="41C5D325">
            <w:pPr>
              <w:pStyle w:val="150"/>
            </w:pPr>
            <w:r>
              <w:rPr>
                <w:rFonts w:hint="eastAsia"/>
              </w:rPr>
              <w:t>当天安全日志条数大于起始阈值且小于等于最大阈值</w:t>
            </w:r>
          </w:p>
        </w:tc>
      </w:tr>
      <w:tr w14:paraId="37AE01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752" w:type="dxa"/>
            <w:shd w:val="clear" w:color="auto" w:fill="auto"/>
          </w:tcPr>
          <w:p w14:paraId="47A7B14E">
            <w:pPr>
              <w:pStyle w:val="150"/>
            </w:pPr>
            <w:r>
              <w:rPr>
                <w:rFonts w:hint="eastAsia"/>
              </w:rPr>
              <w:t>低</w:t>
            </w:r>
          </w:p>
        </w:tc>
        <w:tc>
          <w:tcPr>
            <w:tcW w:w="6096" w:type="dxa"/>
            <w:shd w:val="clear" w:color="auto" w:fill="auto"/>
          </w:tcPr>
          <w:p w14:paraId="0749DCF3">
            <w:pPr>
              <w:pStyle w:val="150"/>
            </w:pPr>
            <w:r>
              <w:rPr>
                <w:rFonts w:hint="eastAsia"/>
              </w:rPr>
              <w:t>当天安全日志条数大于最大阈值</w:t>
            </w:r>
          </w:p>
        </w:tc>
      </w:tr>
    </w:tbl>
    <w:p w14:paraId="296B91CA"/>
    <w:p w14:paraId="3F5AB1BD">
      <w:pPr>
        <w:pStyle w:val="6"/>
      </w:pPr>
      <w:r>
        <w:rPr>
          <w:rFonts w:hint="eastAsia"/>
        </w:rPr>
        <w:t>管控等级</w:t>
      </w:r>
    </w:p>
    <w:p w14:paraId="1EC4B718">
      <w:r>
        <w:rPr>
          <w:rFonts w:hint="eastAsia"/>
        </w:rPr>
        <w:t>根据设备上控制策略、流控策略、用户限额策略、会话控制、共享接入模块启用的主策略条数进行统计，分为高中低三个等级，具体划分的标准如下。</w:t>
      </w:r>
    </w:p>
    <w:p w14:paraId="7BB0DCD8">
      <w:pPr>
        <w:pStyle w:val="183"/>
      </w:pPr>
      <w:r>
        <w:rPr>
          <w:rFonts w:hint="eastAsia"/>
        </w:rPr>
        <w:t>管控等级划分标准</w:t>
      </w:r>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013"/>
        <w:gridCol w:w="7002"/>
      </w:tblGrid>
      <w:tr w14:paraId="1B9F9A0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752" w:type="dxa"/>
            <w:tcBorders>
              <w:tl2br w:val="nil"/>
              <w:tr2bl w:val="nil"/>
            </w:tcBorders>
            <w:shd w:val="clear" w:color="auto" w:fill="538135" w:themeFill="accent6" w:themeFillShade="BF"/>
            <w:vAlign w:val="center"/>
          </w:tcPr>
          <w:p w14:paraId="4B155576">
            <w:pPr>
              <w:pStyle w:val="149"/>
              <w:wordWrap/>
              <w:rPr>
                <w:b/>
                <w:bCs/>
                <w:i w:val="0"/>
                <w:iCs w:val="0"/>
              </w:rPr>
            </w:pPr>
            <w:r>
              <w:rPr>
                <w:rFonts w:hint="eastAsia"/>
                <w:b/>
                <w:bCs/>
                <w:i w:val="0"/>
                <w:iCs w:val="0"/>
              </w:rPr>
              <w:t>管控等级</w:t>
            </w:r>
          </w:p>
        </w:tc>
        <w:tc>
          <w:tcPr>
            <w:tcW w:w="6096" w:type="dxa"/>
            <w:tcBorders>
              <w:tl2br w:val="nil"/>
              <w:tr2bl w:val="nil"/>
            </w:tcBorders>
            <w:shd w:val="clear" w:color="auto" w:fill="538135" w:themeFill="accent6" w:themeFillShade="BF"/>
            <w:vAlign w:val="center"/>
          </w:tcPr>
          <w:p w14:paraId="0C7C679D">
            <w:pPr>
              <w:pStyle w:val="149"/>
              <w:wordWrap/>
              <w:rPr>
                <w:b/>
                <w:bCs/>
                <w:i w:val="0"/>
                <w:iCs w:val="0"/>
              </w:rPr>
            </w:pPr>
            <w:r>
              <w:rPr>
                <w:rFonts w:hint="eastAsia"/>
                <w:b/>
                <w:bCs/>
                <w:i w:val="0"/>
                <w:iCs w:val="0"/>
              </w:rPr>
              <w:t>等级判断说明</w:t>
            </w:r>
          </w:p>
        </w:tc>
      </w:tr>
      <w:tr w14:paraId="2FF6E0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752" w:type="dxa"/>
            <w:shd w:val="clear" w:color="auto" w:fill="auto"/>
          </w:tcPr>
          <w:p w14:paraId="54E5980C">
            <w:pPr>
              <w:pStyle w:val="150"/>
            </w:pPr>
            <w:r>
              <w:rPr>
                <w:rFonts w:hint="eastAsia"/>
              </w:rPr>
              <w:t>高</w:t>
            </w:r>
          </w:p>
        </w:tc>
        <w:tc>
          <w:tcPr>
            <w:tcW w:w="6096" w:type="dxa"/>
            <w:shd w:val="clear" w:color="auto" w:fill="auto"/>
          </w:tcPr>
          <w:p w14:paraId="0706EE76">
            <w:pPr>
              <w:pStyle w:val="150"/>
            </w:pPr>
            <w:r>
              <w:rPr>
                <w:rFonts w:hint="eastAsia"/>
              </w:rPr>
              <w:t>策略条数大于最大阈值</w:t>
            </w:r>
          </w:p>
        </w:tc>
      </w:tr>
      <w:tr w14:paraId="668CCA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752" w:type="dxa"/>
            <w:shd w:val="clear" w:color="auto" w:fill="auto"/>
          </w:tcPr>
          <w:p w14:paraId="2D016C31">
            <w:pPr>
              <w:pStyle w:val="150"/>
            </w:pPr>
            <w:r>
              <w:rPr>
                <w:rFonts w:hint="eastAsia"/>
              </w:rPr>
              <w:t>中</w:t>
            </w:r>
          </w:p>
        </w:tc>
        <w:tc>
          <w:tcPr>
            <w:tcW w:w="6096" w:type="dxa"/>
            <w:shd w:val="clear" w:color="auto" w:fill="auto"/>
          </w:tcPr>
          <w:p w14:paraId="2AA06699">
            <w:pPr>
              <w:pStyle w:val="150"/>
            </w:pPr>
            <w:r>
              <w:rPr>
                <w:rFonts w:hint="eastAsia"/>
              </w:rPr>
              <w:t>策略条数大于起始阈值且小于等于最大阈值</w:t>
            </w:r>
          </w:p>
        </w:tc>
      </w:tr>
      <w:tr w14:paraId="70DBB8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752" w:type="dxa"/>
            <w:shd w:val="clear" w:color="auto" w:fill="auto"/>
          </w:tcPr>
          <w:p w14:paraId="423DD4EB">
            <w:pPr>
              <w:pStyle w:val="150"/>
            </w:pPr>
            <w:r>
              <w:rPr>
                <w:rFonts w:hint="eastAsia"/>
              </w:rPr>
              <w:t>低</w:t>
            </w:r>
          </w:p>
        </w:tc>
        <w:tc>
          <w:tcPr>
            <w:tcW w:w="6096" w:type="dxa"/>
            <w:shd w:val="clear" w:color="auto" w:fill="auto"/>
          </w:tcPr>
          <w:p w14:paraId="591E0CBE">
            <w:pPr>
              <w:pStyle w:val="150"/>
            </w:pPr>
            <w:r>
              <w:rPr>
                <w:rFonts w:hint="eastAsia"/>
              </w:rPr>
              <w:t>策略条数小于等于起始阈值</w:t>
            </w:r>
          </w:p>
        </w:tc>
      </w:tr>
    </w:tbl>
    <w:p w14:paraId="385154A1"/>
    <w:p w14:paraId="2426CC3D">
      <w:pPr>
        <w:pStyle w:val="6"/>
      </w:pPr>
      <w:r>
        <w:rPr>
          <w:rFonts w:hint="eastAsia"/>
        </w:rPr>
        <w:t>效率等级</w:t>
      </w:r>
    </w:p>
    <w:p w14:paraId="23286EBF">
      <w:r>
        <w:rPr>
          <w:rFonts w:hint="eastAsia"/>
        </w:rPr>
        <w:t>根据设备CPU或内存的平均使用率进行统计，分为高中低三个等级，具体划分的标准如下。</w:t>
      </w:r>
    </w:p>
    <w:p w14:paraId="612D4916">
      <w:pPr>
        <w:pStyle w:val="183"/>
      </w:pPr>
      <w:r>
        <w:rPr>
          <w:rFonts w:hint="eastAsia"/>
        </w:rPr>
        <w:t>效率等级划分标准</w:t>
      </w:r>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013"/>
        <w:gridCol w:w="7002"/>
      </w:tblGrid>
      <w:tr w14:paraId="110840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752" w:type="dxa"/>
            <w:tcBorders>
              <w:tl2br w:val="nil"/>
              <w:tr2bl w:val="nil"/>
            </w:tcBorders>
            <w:shd w:val="clear" w:color="auto" w:fill="538135" w:themeFill="accent6" w:themeFillShade="BF"/>
            <w:vAlign w:val="center"/>
          </w:tcPr>
          <w:p w14:paraId="2159B792">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效率等级</w:t>
            </w:r>
          </w:p>
        </w:tc>
        <w:tc>
          <w:tcPr>
            <w:tcW w:w="6096" w:type="dxa"/>
            <w:tcBorders>
              <w:tl2br w:val="nil"/>
              <w:tr2bl w:val="nil"/>
            </w:tcBorders>
            <w:shd w:val="clear" w:color="auto" w:fill="538135" w:themeFill="accent6" w:themeFillShade="BF"/>
            <w:vAlign w:val="center"/>
          </w:tcPr>
          <w:p w14:paraId="09E42912">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等级判断说明</w:t>
            </w:r>
          </w:p>
        </w:tc>
      </w:tr>
      <w:tr w14:paraId="5C81F6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752" w:type="dxa"/>
            <w:shd w:val="clear" w:color="auto" w:fill="auto"/>
          </w:tcPr>
          <w:p w14:paraId="04A03C3C">
            <w:pPr>
              <w:pStyle w:val="150"/>
            </w:pPr>
            <w:r>
              <w:rPr>
                <w:rFonts w:hint="eastAsia"/>
              </w:rPr>
              <w:t>高</w:t>
            </w:r>
          </w:p>
        </w:tc>
        <w:tc>
          <w:tcPr>
            <w:tcW w:w="6096" w:type="dxa"/>
            <w:shd w:val="clear" w:color="auto" w:fill="auto"/>
          </w:tcPr>
          <w:p w14:paraId="12337E53">
            <w:pPr>
              <w:pStyle w:val="150"/>
            </w:pPr>
            <w:r>
              <w:rPr>
                <w:rFonts w:hint="eastAsia"/>
              </w:rPr>
              <w:t>CPU使用率与内存平均使用率均小于等于起始阈值</w:t>
            </w:r>
          </w:p>
        </w:tc>
      </w:tr>
      <w:tr w14:paraId="6C50860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752" w:type="dxa"/>
            <w:shd w:val="clear" w:color="auto" w:fill="auto"/>
          </w:tcPr>
          <w:p w14:paraId="00D2614F">
            <w:pPr>
              <w:pStyle w:val="150"/>
            </w:pPr>
            <w:r>
              <w:rPr>
                <w:rFonts w:hint="eastAsia"/>
              </w:rPr>
              <w:t>中</w:t>
            </w:r>
          </w:p>
        </w:tc>
        <w:tc>
          <w:tcPr>
            <w:tcW w:w="6096" w:type="dxa"/>
            <w:shd w:val="clear" w:color="auto" w:fill="auto"/>
          </w:tcPr>
          <w:p w14:paraId="21EBC0CF">
            <w:pPr>
              <w:pStyle w:val="150"/>
            </w:pPr>
            <w:r>
              <w:rPr>
                <w:rFonts w:hint="eastAsia"/>
              </w:rPr>
              <w:t>CPU使用率或内存平均使用率其中一个大于起始阈值小于等于最大阈值，且另一个小于等于最大阈值</w:t>
            </w:r>
          </w:p>
        </w:tc>
      </w:tr>
      <w:tr w14:paraId="4EE771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752" w:type="dxa"/>
            <w:shd w:val="clear" w:color="auto" w:fill="auto"/>
          </w:tcPr>
          <w:p w14:paraId="68320B00">
            <w:pPr>
              <w:pStyle w:val="150"/>
            </w:pPr>
            <w:r>
              <w:rPr>
                <w:rFonts w:hint="eastAsia"/>
              </w:rPr>
              <w:t>低</w:t>
            </w:r>
          </w:p>
        </w:tc>
        <w:tc>
          <w:tcPr>
            <w:tcW w:w="6096" w:type="dxa"/>
            <w:shd w:val="clear" w:color="auto" w:fill="auto"/>
          </w:tcPr>
          <w:p w14:paraId="62DCE26E">
            <w:pPr>
              <w:pStyle w:val="150"/>
            </w:pPr>
            <w:r>
              <w:rPr>
                <w:rFonts w:hint="eastAsia"/>
              </w:rPr>
              <w:t>CPU使用率或内存平均使用率其中一个大于最大阈值</w:t>
            </w:r>
          </w:p>
        </w:tc>
      </w:tr>
    </w:tbl>
    <w:p w14:paraId="1FEF7AB1"/>
    <w:p w14:paraId="6F66E5B1">
      <w:pPr>
        <w:pStyle w:val="6"/>
      </w:pPr>
      <w:r>
        <w:rPr>
          <w:rFonts w:hint="eastAsia"/>
        </w:rPr>
        <w:t>合规等级</w:t>
      </w:r>
    </w:p>
    <w:p w14:paraId="414289C1">
      <w:r>
        <w:rPr>
          <w:rFonts w:hint="eastAsia"/>
        </w:rPr>
        <w:t>根据策略违规用户、共享终端违规用户、限额违规用户的违规用户数进行统计，分为高中低三个等级，具体划分的标准如下。</w:t>
      </w:r>
    </w:p>
    <w:p w14:paraId="30AB8675">
      <w:pPr>
        <w:pStyle w:val="183"/>
      </w:pPr>
      <w:r>
        <w:rPr>
          <w:rFonts w:hint="eastAsia"/>
        </w:rPr>
        <w:t>合规等级划分标准</w:t>
      </w:r>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013"/>
        <w:gridCol w:w="7002"/>
      </w:tblGrid>
      <w:tr w14:paraId="7F4EC6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752" w:type="dxa"/>
            <w:tcBorders>
              <w:tl2br w:val="nil"/>
              <w:tr2bl w:val="nil"/>
            </w:tcBorders>
            <w:shd w:val="clear" w:color="auto" w:fill="538135" w:themeFill="accent6" w:themeFillShade="BF"/>
            <w:vAlign w:val="center"/>
          </w:tcPr>
          <w:p w14:paraId="3F520C13">
            <w:pPr>
              <w:pStyle w:val="149"/>
              <w:wordWrap/>
              <w:rPr>
                <w:b/>
                <w:bCs/>
                <w:i w:val="0"/>
                <w:iCs w:val="0"/>
              </w:rPr>
            </w:pPr>
            <w:r>
              <w:rPr>
                <w:rFonts w:hint="eastAsia"/>
                <w:b/>
                <w:bCs/>
                <w:i w:val="0"/>
                <w:iCs w:val="0"/>
              </w:rPr>
              <w:t>合规等级</w:t>
            </w:r>
          </w:p>
        </w:tc>
        <w:tc>
          <w:tcPr>
            <w:tcW w:w="6096" w:type="dxa"/>
            <w:tcBorders>
              <w:tl2br w:val="nil"/>
              <w:tr2bl w:val="nil"/>
            </w:tcBorders>
            <w:shd w:val="clear" w:color="auto" w:fill="538135" w:themeFill="accent6" w:themeFillShade="BF"/>
            <w:vAlign w:val="center"/>
          </w:tcPr>
          <w:p w14:paraId="49A5F903">
            <w:pPr>
              <w:pStyle w:val="149"/>
              <w:wordWrap/>
              <w:rPr>
                <w:b/>
                <w:bCs/>
                <w:i w:val="0"/>
                <w:iCs w:val="0"/>
              </w:rPr>
            </w:pPr>
            <w:r>
              <w:rPr>
                <w:rFonts w:hint="eastAsia"/>
                <w:b/>
                <w:bCs/>
                <w:i w:val="0"/>
                <w:iCs w:val="0"/>
              </w:rPr>
              <w:t>等级判断说明</w:t>
            </w:r>
          </w:p>
        </w:tc>
      </w:tr>
      <w:tr w14:paraId="1563B0A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752" w:type="dxa"/>
            <w:shd w:val="clear" w:color="auto" w:fill="auto"/>
          </w:tcPr>
          <w:p w14:paraId="0C1671C4">
            <w:pPr>
              <w:pStyle w:val="150"/>
            </w:pPr>
            <w:r>
              <w:rPr>
                <w:rFonts w:hint="eastAsia"/>
              </w:rPr>
              <w:t>高</w:t>
            </w:r>
          </w:p>
        </w:tc>
        <w:tc>
          <w:tcPr>
            <w:tcW w:w="6096" w:type="dxa"/>
            <w:shd w:val="clear" w:color="auto" w:fill="auto"/>
          </w:tcPr>
          <w:p w14:paraId="54171A95">
            <w:pPr>
              <w:pStyle w:val="150"/>
            </w:pPr>
            <w:r>
              <w:rPr>
                <w:rFonts w:hint="eastAsia"/>
              </w:rPr>
              <w:t>违规用户数小于等于起始阈值</w:t>
            </w:r>
          </w:p>
        </w:tc>
      </w:tr>
      <w:tr w14:paraId="6EFAF8A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752" w:type="dxa"/>
            <w:shd w:val="clear" w:color="auto" w:fill="auto"/>
          </w:tcPr>
          <w:p w14:paraId="2C7DC1ED">
            <w:pPr>
              <w:pStyle w:val="150"/>
            </w:pPr>
            <w:r>
              <w:rPr>
                <w:rFonts w:hint="eastAsia"/>
              </w:rPr>
              <w:t>中</w:t>
            </w:r>
          </w:p>
        </w:tc>
        <w:tc>
          <w:tcPr>
            <w:tcW w:w="6096" w:type="dxa"/>
            <w:shd w:val="clear" w:color="auto" w:fill="auto"/>
          </w:tcPr>
          <w:p w14:paraId="6F857C35">
            <w:pPr>
              <w:pStyle w:val="150"/>
            </w:pPr>
            <w:r>
              <w:rPr>
                <w:rFonts w:hint="eastAsia"/>
              </w:rPr>
              <w:t>违规用户数大于起始阈值且小于等于最大阈值</w:t>
            </w:r>
          </w:p>
        </w:tc>
      </w:tr>
      <w:tr w14:paraId="15BBD3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752" w:type="dxa"/>
            <w:shd w:val="clear" w:color="auto" w:fill="auto"/>
          </w:tcPr>
          <w:p w14:paraId="2D224B87">
            <w:pPr>
              <w:pStyle w:val="150"/>
            </w:pPr>
            <w:r>
              <w:rPr>
                <w:rFonts w:hint="eastAsia"/>
              </w:rPr>
              <w:t>低</w:t>
            </w:r>
          </w:p>
        </w:tc>
        <w:tc>
          <w:tcPr>
            <w:tcW w:w="6096" w:type="dxa"/>
            <w:shd w:val="clear" w:color="auto" w:fill="auto"/>
          </w:tcPr>
          <w:p w14:paraId="17B855AF">
            <w:pPr>
              <w:pStyle w:val="150"/>
            </w:pPr>
            <w:r>
              <w:rPr>
                <w:rFonts w:hint="eastAsia"/>
              </w:rPr>
              <w:t>违规用户数大于最大阈值</w:t>
            </w:r>
          </w:p>
        </w:tc>
      </w:tr>
    </w:tbl>
    <w:p w14:paraId="61B430B1"/>
    <w:p w14:paraId="58BCF3E1">
      <w:r>
        <w:rPr>
          <w:rFonts w:hint="eastAsia"/>
        </w:rPr>
        <w:t>点击</w:t>
      </w:r>
      <w:r>
        <w:drawing>
          <wp:inline distT="0" distB="0" distL="0" distR="0">
            <wp:extent cx="161925" cy="142875"/>
            <wp:effectExtent l="0" t="0" r="9525" b="9525"/>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26"/>
                    <a:stretch>
                      <a:fillRect/>
                    </a:stretch>
                  </pic:blipFill>
                  <pic:spPr>
                    <a:xfrm>
                      <a:off x="0" y="0"/>
                      <a:ext cx="161925" cy="142875"/>
                    </a:xfrm>
                    <a:prstGeom prst="rect">
                      <a:avLst/>
                    </a:prstGeom>
                  </pic:spPr>
                </pic:pic>
              </a:graphicData>
            </a:graphic>
          </wp:inline>
        </w:drawing>
      </w:r>
      <w:r>
        <w:rPr>
          <w:rFonts w:hint="eastAsia"/>
        </w:rPr>
        <w:t>可以自定义行为等级的起始阈值和最大阈值，系统默认阈值如下图所示。</w:t>
      </w:r>
    </w:p>
    <w:p w14:paraId="63E4E90F">
      <w:pPr>
        <w:pStyle w:val="188"/>
      </w:pPr>
      <w:r>
        <w:rPr>
          <w:rFonts w:hint="eastAsia"/>
        </w:rPr>
        <w:t>行为等级阈值</w:t>
      </w:r>
    </w:p>
    <w:p w14:paraId="5FCDDAFC">
      <w:pPr>
        <w:pStyle w:val="175"/>
      </w:pPr>
      <w:r>
        <w:drawing>
          <wp:inline distT="0" distB="0" distL="0" distR="0">
            <wp:extent cx="4724400" cy="2552700"/>
            <wp:effectExtent l="0" t="0" r="0" b="0"/>
            <wp:docPr id="1296485326" name="图片 1296485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26" name="图片 1296485326"/>
                    <pic:cNvPicPr>
                      <a:picLocks noChangeAspect="1"/>
                    </pic:cNvPicPr>
                  </pic:nvPicPr>
                  <pic:blipFill>
                    <a:blip r:embed="rId27"/>
                    <a:stretch>
                      <a:fillRect/>
                    </a:stretch>
                  </pic:blipFill>
                  <pic:spPr>
                    <a:xfrm>
                      <a:off x="0" y="0"/>
                      <a:ext cx="4724400" cy="2552700"/>
                    </a:xfrm>
                    <a:prstGeom prst="rect">
                      <a:avLst/>
                    </a:prstGeom>
                  </pic:spPr>
                </pic:pic>
              </a:graphicData>
            </a:graphic>
          </wp:inline>
        </w:drawing>
      </w:r>
    </w:p>
    <w:p w14:paraId="7756DD05"/>
    <w:p w14:paraId="37F38360">
      <w:pPr>
        <w:pStyle w:val="5"/>
      </w:pPr>
      <w:bookmarkStart w:id="77" w:name="_Toc196727925"/>
      <w:r>
        <w:rPr>
          <w:rFonts w:hint="eastAsia"/>
        </w:rPr>
        <w:t>行为</w:t>
      </w:r>
      <w:r>
        <w:t>管理</w:t>
      </w:r>
      <w:bookmarkEnd w:id="74"/>
      <w:bookmarkEnd w:id="75"/>
      <w:bookmarkEnd w:id="76"/>
      <w:bookmarkEnd w:id="77"/>
    </w:p>
    <w:p w14:paraId="1403DAC3">
      <w:r>
        <w:rPr>
          <w:rFonts w:hint="eastAsia"/>
        </w:rPr>
        <w:t>在导航栏中选择“主页”，可以看到“行为</w:t>
      </w:r>
      <w:r>
        <w:t>管理</w:t>
      </w:r>
      <w:r>
        <w:rPr>
          <w:rFonts w:hint="eastAsia"/>
        </w:rPr>
        <w:t>”标签，如</w:t>
      </w:r>
      <w:r>
        <w:fldChar w:fldCharType="begin"/>
      </w:r>
      <w:r>
        <w:instrText xml:space="preserve">  REF _Ref5126239 \r \h  \* MERGEFORMAT </w:instrText>
      </w:r>
      <w:r>
        <w:fldChar w:fldCharType="separate"/>
      </w:r>
      <w:r>
        <w:rPr>
          <w:rFonts w:hint="eastAsia"/>
        </w:rPr>
        <w:t>图3-5</w:t>
      </w:r>
      <w:r>
        <w:fldChar w:fldCharType="end"/>
      </w:r>
      <w:r>
        <w:t>所示</w:t>
      </w:r>
      <w:r>
        <w:rPr>
          <w:rFonts w:hint="eastAsia"/>
        </w:rPr>
        <w:t>。</w:t>
      </w:r>
    </w:p>
    <w:p w14:paraId="72EC18FE">
      <w:pPr>
        <w:pStyle w:val="188"/>
      </w:pPr>
      <w:bookmarkStart w:id="78" w:name="_Ref5126239"/>
      <w:r>
        <w:t>行为管理</w:t>
      </w:r>
      <w:bookmarkEnd w:id="78"/>
    </w:p>
    <w:p w14:paraId="6687C447">
      <w:pPr>
        <w:pStyle w:val="175"/>
      </w:pPr>
      <w:r>
        <w:drawing>
          <wp:inline distT="0" distB="0" distL="0" distR="0">
            <wp:extent cx="5543550" cy="135318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8"/>
                    <a:stretch>
                      <a:fillRect/>
                    </a:stretch>
                  </pic:blipFill>
                  <pic:spPr>
                    <a:xfrm>
                      <a:off x="0" y="0"/>
                      <a:ext cx="5560371" cy="1357356"/>
                    </a:xfrm>
                    <a:prstGeom prst="rect">
                      <a:avLst/>
                    </a:prstGeom>
                  </pic:spPr>
                </pic:pic>
              </a:graphicData>
            </a:graphic>
          </wp:inline>
        </w:drawing>
      </w:r>
    </w:p>
    <w:p w14:paraId="0181C950"/>
    <w:tbl>
      <w:tblPr>
        <w:tblStyle w:val="292"/>
        <w:tblW w:w="5000"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004"/>
        <w:gridCol w:w="7238"/>
      </w:tblGrid>
      <w:tr w14:paraId="24E3C7DA">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26CBC182">
            <w:pPr>
              <w:pStyle w:val="150"/>
              <w:adjustRightInd w:val="0"/>
              <w:snapToGrid w:val="0"/>
              <w:rPr>
                <w:color w:val="auto"/>
              </w:rPr>
            </w:pPr>
            <w:r>
              <w:rPr>
                <w:color w:val="auto"/>
              </w:rPr>
              <w:drawing>
                <wp:inline distT="0" distB="0" distL="0" distR="0">
                  <wp:extent cx="283210" cy="283210"/>
                  <wp:effectExtent l="0" t="0" r="2540" b="254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71CB7210">
            <w:pPr>
              <w:pStyle w:val="150"/>
              <w:adjustRightInd w:val="0"/>
              <w:snapToGrid w:val="0"/>
              <w:rPr>
                <w:color w:val="auto"/>
              </w:rPr>
            </w:pPr>
            <w:r>
              <w:rPr>
                <w:rFonts w:hint="eastAsia"/>
                <w:color w:val="auto"/>
              </w:rPr>
              <w:t>流量分析展示需要配置流控策略，才可显示流量分析数据。</w:t>
            </w:r>
          </w:p>
        </w:tc>
      </w:tr>
    </w:tbl>
    <w:p w14:paraId="359675B0"/>
    <w:p w14:paraId="6B14BCA7">
      <w:r>
        <w:rPr>
          <w:rFonts w:hint="eastAsia"/>
        </w:rPr>
        <w:t>对于</w:t>
      </w:r>
      <w:r>
        <w:t>行为管理信息</w:t>
      </w:r>
      <w:r>
        <w:rPr>
          <w:rFonts w:hint="eastAsia"/>
        </w:rPr>
        <w:t>的详细说明如</w:t>
      </w:r>
      <w:r>
        <w:fldChar w:fldCharType="begin"/>
      </w:r>
      <w:r>
        <w:instrText xml:space="preserve">  REF _Ref496791593 \r \h  \* MERGEFORMAT </w:instrText>
      </w:r>
      <w:r>
        <w:fldChar w:fldCharType="separate"/>
      </w:r>
      <w:r>
        <w:rPr>
          <w:rFonts w:hint="eastAsia"/>
        </w:rPr>
        <w:t>表3-1</w:t>
      </w:r>
      <w:r>
        <w:fldChar w:fldCharType="end"/>
      </w:r>
      <w:r>
        <w:rPr>
          <w:rFonts w:hint="eastAsia"/>
        </w:rPr>
        <w:t>所示。</w:t>
      </w:r>
    </w:p>
    <w:p w14:paraId="15965486">
      <w:pPr>
        <w:pStyle w:val="183"/>
      </w:pPr>
      <w:r>
        <w:rPr>
          <w:rFonts w:hint="eastAsia"/>
        </w:rPr>
        <w:t>系统信息说明</w:t>
      </w:r>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85"/>
        <w:gridCol w:w="6529"/>
      </w:tblGrid>
      <w:tr w14:paraId="01D9137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43354F74">
            <w:pPr>
              <w:pStyle w:val="149"/>
              <w:wordWrap/>
              <w:rPr>
                <w:b/>
                <w:bCs/>
                <w:i w:val="0"/>
                <w:iCs w:val="0"/>
              </w:rPr>
            </w:pPr>
            <w:r>
              <w:rPr>
                <w:rFonts w:hint="eastAsia"/>
                <w:b/>
                <w:bCs/>
                <w:i w:val="0"/>
                <w:iCs w:val="0"/>
              </w:rPr>
              <w:t>标题项</w:t>
            </w:r>
          </w:p>
        </w:tc>
        <w:tc>
          <w:tcPr>
            <w:tcW w:w="6542" w:type="dxa"/>
            <w:tcBorders>
              <w:tl2br w:val="nil"/>
              <w:tr2bl w:val="nil"/>
            </w:tcBorders>
            <w:shd w:val="clear" w:color="auto" w:fill="538135" w:themeFill="accent6" w:themeFillShade="BF"/>
            <w:vAlign w:val="center"/>
          </w:tcPr>
          <w:p w14:paraId="6F35E683">
            <w:pPr>
              <w:pStyle w:val="149"/>
              <w:wordWrap/>
              <w:rPr>
                <w:b/>
                <w:bCs/>
                <w:i w:val="0"/>
                <w:iCs w:val="0"/>
              </w:rPr>
            </w:pPr>
            <w:r>
              <w:rPr>
                <w:rFonts w:hint="eastAsia"/>
                <w:b/>
                <w:bCs/>
                <w:i w:val="0"/>
                <w:iCs w:val="0"/>
              </w:rPr>
              <w:t>说明</w:t>
            </w:r>
          </w:p>
        </w:tc>
      </w:tr>
      <w:tr w14:paraId="04AAD6E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FCCC160">
            <w:pPr>
              <w:pStyle w:val="150"/>
            </w:pPr>
            <w:r>
              <w:rPr>
                <w:rFonts w:hint="eastAsia"/>
              </w:rPr>
              <w:t>在线用户</w:t>
            </w:r>
          </w:p>
        </w:tc>
        <w:tc>
          <w:tcPr>
            <w:tcW w:w="6542" w:type="dxa"/>
            <w:shd w:val="clear" w:color="auto" w:fill="auto"/>
          </w:tcPr>
          <w:p w14:paraId="6D237776">
            <w:pPr>
              <w:pStyle w:val="150"/>
            </w:pPr>
            <w:r>
              <w:rPr>
                <w:rFonts w:hint="eastAsia"/>
              </w:rPr>
              <w:t>统计设备在线用户总数，点击总数可跳转到在线用户页面。</w:t>
            </w:r>
          </w:p>
        </w:tc>
      </w:tr>
      <w:tr w14:paraId="5B2E13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902A765">
            <w:pPr>
              <w:pStyle w:val="150"/>
            </w:pPr>
            <w:r>
              <w:rPr>
                <w:rFonts w:hint="eastAsia"/>
              </w:rPr>
              <w:t>认证用户</w:t>
            </w:r>
          </w:p>
        </w:tc>
        <w:tc>
          <w:tcPr>
            <w:tcW w:w="6542" w:type="dxa"/>
            <w:shd w:val="clear" w:color="auto" w:fill="auto"/>
          </w:tcPr>
          <w:p w14:paraId="65DC9ADE">
            <w:pPr>
              <w:pStyle w:val="150"/>
            </w:pPr>
            <w:r>
              <w:rPr>
                <w:rFonts w:hint="eastAsia"/>
              </w:rPr>
              <w:t>统计设备认证用户总数。</w:t>
            </w:r>
          </w:p>
        </w:tc>
      </w:tr>
      <w:tr w14:paraId="25B29F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11BF9723">
            <w:pPr>
              <w:pStyle w:val="150"/>
            </w:pPr>
            <w:r>
              <w:rPr>
                <w:rFonts w:hint="eastAsia"/>
              </w:rPr>
              <w:t>匿名用户</w:t>
            </w:r>
          </w:p>
        </w:tc>
        <w:tc>
          <w:tcPr>
            <w:tcW w:w="6542" w:type="dxa"/>
            <w:shd w:val="clear" w:color="auto" w:fill="auto"/>
          </w:tcPr>
          <w:p w14:paraId="7E15CEFC">
            <w:pPr>
              <w:pStyle w:val="150"/>
            </w:pPr>
            <w:r>
              <w:rPr>
                <w:rFonts w:hint="eastAsia"/>
              </w:rPr>
              <w:t>统计设备匿名用户总数。</w:t>
            </w:r>
          </w:p>
        </w:tc>
      </w:tr>
      <w:tr w14:paraId="27F08F5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5098C2DF">
            <w:pPr>
              <w:pStyle w:val="150"/>
            </w:pPr>
            <w:r>
              <w:rPr>
                <w:rFonts w:hint="eastAsia"/>
              </w:rPr>
              <w:t>审计日志</w:t>
            </w:r>
          </w:p>
        </w:tc>
        <w:tc>
          <w:tcPr>
            <w:tcW w:w="6542" w:type="dxa"/>
            <w:shd w:val="clear" w:color="auto" w:fill="auto"/>
          </w:tcPr>
          <w:p w14:paraId="0F78CA2B">
            <w:pPr>
              <w:pStyle w:val="150"/>
            </w:pPr>
            <w:r>
              <w:rPr>
                <w:rFonts w:hint="eastAsia"/>
              </w:rPr>
              <w:t>统计当天审计日志总数。</w:t>
            </w:r>
          </w:p>
        </w:tc>
      </w:tr>
      <w:tr w14:paraId="77D0DD6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52B7CD87">
            <w:pPr>
              <w:pStyle w:val="150"/>
            </w:pPr>
            <w:r>
              <w:rPr>
                <w:rFonts w:hint="eastAsia"/>
              </w:rPr>
              <w:t>IM聊天</w:t>
            </w:r>
          </w:p>
        </w:tc>
        <w:tc>
          <w:tcPr>
            <w:tcW w:w="6542" w:type="dxa"/>
            <w:shd w:val="clear" w:color="auto" w:fill="auto"/>
          </w:tcPr>
          <w:p w14:paraId="70549479">
            <w:pPr>
              <w:pStyle w:val="150"/>
            </w:pPr>
            <w:r>
              <w:rPr>
                <w:rFonts w:hint="eastAsia"/>
              </w:rPr>
              <w:t>统计当天IM聊天日志总数，点击总数可以展示IM聊天日志详细。</w:t>
            </w:r>
          </w:p>
        </w:tc>
      </w:tr>
      <w:tr w14:paraId="5B8BCE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2CA33D9">
            <w:pPr>
              <w:pStyle w:val="150"/>
            </w:pPr>
            <w:r>
              <w:rPr>
                <w:rFonts w:hint="eastAsia"/>
              </w:rPr>
              <w:t>社区论坛</w:t>
            </w:r>
          </w:p>
        </w:tc>
        <w:tc>
          <w:tcPr>
            <w:tcW w:w="6542" w:type="dxa"/>
            <w:shd w:val="clear" w:color="auto" w:fill="auto"/>
          </w:tcPr>
          <w:p w14:paraId="4233E2AD">
            <w:pPr>
              <w:pStyle w:val="150"/>
            </w:pPr>
            <w:r>
              <w:rPr>
                <w:rFonts w:hint="eastAsia"/>
              </w:rPr>
              <w:t>统计当天社区论坛日志总数，点击总数可以展示社区论坛日志详细。</w:t>
            </w:r>
          </w:p>
        </w:tc>
      </w:tr>
      <w:tr w14:paraId="30795D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1D77514C">
            <w:pPr>
              <w:pStyle w:val="150"/>
            </w:pPr>
            <w:r>
              <w:rPr>
                <w:rFonts w:hint="eastAsia"/>
              </w:rPr>
              <w:t>引擎搜索</w:t>
            </w:r>
          </w:p>
        </w:tc>
        <w:tc>
          <w:tcPr>
            <w:tcW w:w="6542" w:type="dxa"/>
            <w:shd w:val="clear" w:color="auto" w:fill="auto"/>
          </w:tcPr>
          <w:p w14:paraId="05768FDA">
            <w:pPr>
              <w:pStyle w:val="150"/>
            </w:pPr>
            <w:r>
              <w:rPr>
                <w:rFonts w:hint="eastAsia"/>
              </w:rPr>
              <w:t>统计当天引擎搜索日志总数，点击总数可以展示引擎搜索日志详细。</w:t>
            </w:r>
          </w:p>
        </w:tc>
      </w:tr>
      <w:tr w14:paraId="739F13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3AFF70FB">
            <w:pPr>
              <w:pStyle w:val="150"/>
            </w:pPr>
            <w:r>
              <w:rPr>
                <w:rFonts w:hint="eastAsia"/>
              </w:rPr>
              <w:t>网站访问</w:t>
            </w:r>
          </w:p>
        </w:tc>
        <w:tc>
          <w:tcPr>
            <w:tcW w:w="6542" w:type="dxa"/>
            <w:shd w:val="clear" w:color="auto" w:fill="auto"/>
          </w:tcPr>
          <w:p w14:paraId="749E2FDC">
            <w:pPr>
              <w:pStyle w:val="150"/>
            </w:pPr>
            <w:r>
              <w:rPr>
                <w:rFonts w:hint="eastAsia"/>
              </w:rPr>
              <w:t>统计当天网站访问日志总数，点击总数可以展示网站访问日志详细。</w:t>
            </w:r>
          </w:p>
        </w:tc>
      </w:tr>
      <w:tr w14:paraId="790BBA0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38BF6DAF">
            <w:pPr>
              <w:pStyle w:val="150"/>
            </w:pPr>
            <w:r>
              <w:rPr>
                <w:rFonts w:hint="eastAsia"/>
              </w:rPr>
              <w:t>邮件收发</w:t>
            </w:r>
          </w:p>
        </w:tc>
        <w:tc>
          <w:tcPr>
            <w:tcW w:w="6542" w:type="dxa"/>
            <w:shd w:val="clear" w:color="auto" w:fill="auto"/>
          </w:tcPr>
          <w:p w14:paraId="22DFA6B9">
            <w:pPr>
              <w:pStyle w:val="150"/>
            </w:pPr>
            <w:r>
              <w:rPr>
                <w:rFonts w:hint="eastAsia"/>
              </w:rPr>
              <w:t>统计当天邮件收发日志总数，点击总数可以展示邮件收发日志详细。</w:t>
            </w:r>
          </w:p>
        </w:tc>
      </w:tr>
      <w:tr w14:paraId="51D1A7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51EBBE69">
            <w:pPr>
              <w:pStyle w:val="150"/>
            </w:pPr>
            <w:r>
              <w:rPr>
                <w:rFonts w:hint="eastAsia"/>
              </w:rPr>
              <w:t>文件传输</w:t>
            </w:r>
          </w:p>
        </w:tc>
        <w:tc>
          <w:tcPr>
            <w:tcW w:w="6542" w:type="dxa"/>
            <w:shd w:val="clear" w:color="auto" w:fill="auto"/>
          </w:tcPr>
          <w:p w14:paraId="5BF49A55">
            <w:pPr>
              <w:pStyle w:val="150"/>
            </w:pPr>
            <w:r>
              <w:rPr>
                <w:rFonts w:hint="eastAsia"/>
              </w:rPr>
              <w:t>统计当天文件传输日志总数，点击总数可以展示文件传输日志详细。</w:t>
            </w:r>
          </w:p>
        </w:tc>
      </w:tr>
      <w:tr w14:paraId="2977897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302F823">
            <w:pPr>
              <w:pStyle w:val="150"/>
            </w:pPr>
            <w:r>
              <w:rPr>
                <w:rFonts w:hint="eastAsia"/>
              </w:rPr>
              <w:t>娱乐股票</w:t>
            </w:r>
          </w:p>
        </w:tc>
        <w:tc>
          <w:tcPr>
            <w:tcW w:w="6542" w:type="dxa"/>
            <w:shd w:val="clear" w:color="auto" w:fill="auto"/>
          </w:tcPr>
          <w:p w14:paraId="53F6430F">
            <w:pPr>
              <w:pStyle w:val="150"/>
            </w:pPr>
            <w:r>
              <w:rPr>
                <w:rFonts w:hint="eastAsia"/>
              </w:rPr>
              <w:t>统计当天娱乐股票日志总数，点击总数可以展示娱乐股票日志详细。</w:t>
            </w:r>
          </w:p>
        </w:tc>
      </w:tr>
      <w:tr w14:paraId="4E63812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69E16D19">
            <w:pPr>
              <w:pStyle w:val="150"/>
            </w:pPr>
            <w:r>
              <w:rPr>
                <w:rFonts w:hint="eastAsia"/>
              </w:rPr>
              <w:t>其它</w:t>
            </w:r>
          </w:p>
        </w:tc>
        <w:tc>
          <w:tcPr>
            <w:tcW w:w="6542" w:type="dxa"/>
            <w:shd w:val="clear" w:color="auto" w:fill="auto"/>
          </w:tcPr>
          <w:p w14:paraId="0823543E">
            <w:pPr>
              <w:pStyle w:val="150"/>
            </w:pPr>
            <w:r>
              <w:rPr>
                <w:rFonts w:hint="eastAsia"/>
              </w:rPr>
              <w:t>显示当天其它日志总数，点击总数可以展示其它日志详细。</w:t>
            </w:r>
          </w:p>
        </w:tc>
      </w:tr>
      <w:tr w14:paraId="1D6753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5A5F6D18">
            <w:pPr>
              <w:pStyle w:val="150"/>
            </w:pPr>
            <w:r>
              <w:rPr>
                <w:rFonts w:hint="eastAsia"/>
              </w:rPr>
              <w:t>流量分析</w:t>
            </w:r>
          </w:p>
        </w:tc>
        <w:tc>
          <w:tcPr>
            <w:tcW w:w="6542" w:type="dxa"/>
            <w:shd w:val="clear" w:color="auto" w:fill="auto"/>
          </w:tcPr>
          <w:p w14:paraId="19E91214">
            <w:pPr>
              <w:pStyle w:val="150"/>
            </w:pPr>
            <w:r>
              <w:rPr>
                <w:rFonts w:hint="eastAsia"/>
              </w:rPr>
              <w:t>显示线路质量评分等级，有三个等级：优、良、差，点击评分等级可以展示流量监控信息。</w:t>
            </w:r>
          </w:p>
        </w:tc>
      </w:tr>
      <w:tr w14:paraId="6D4678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1FF62FA4">
            <w:pPr>
              <w:pStyle w:val="150"/>
            </w:pPr>
            <w:r>
              <w:rPr>
                <w:rFonts w:hint="eastAsia"/>
              </w:rPr>
              <w:t>线路名</w:t>
            </w:r>
          </w:p>
        </w:tc>
        <w:tc>
          <w:tcPr>
            <w:tcW w:w="6542" w:type="dxa"/>
            <w:shd w:val="clear" w:color="auto" w:fill="auto"/>
          </w:tcPr>
          <w:p w14:paraId="428E6F09">
            <w:pPr>
              <w:pStyle w:val="150"/>
            </w:pPr>
            <w:r>
              <w:rPr>
                <w:rFonts w:hint="eastAsia"/>
              </w:rPr>
              <w:t>线路名称。</w:t>
            </w:r>
          </w:p>
        </w:tc>
      </w:tr>
      <w:tr w14:paraId="1575E5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438B6940">
            <w:pPr>
              <w:pStyle w:val="150"/>
            </w:pPr>
            <w:r>
              <w:rPr>
                <w:rFonts w:hint="eastAsia"/>
              </w:rPr>
              <w:t>线路带宽</w:t>
            </w:r>
          </w:p>
        </w:tc>
        <w:tc>
          <w:tcPr>
            <w:tcW w:w="6542" w:type="dxa"/>
            <w:shd w:val="clear" w:color="auto" w:fill="auto"/>
          </w:tcPr>
          <w:p w14:paraId="5651A6B9">
            <w:pPr>
              <w:pStyle w:val="150"/>
            </w:pPr>
            <w:r>
              <w:rPr>
                <w:rFonts w:hint="eastAsia"/>
              </w:rPr>
              <w:t>线路设置带宽。</w:t>
            </w:r>
          </w:p>
        </w:tc>
      </w:tr>
      <w:tr w14:paraId="222DDC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66EB33A8">
            <w:pPr>
              <w:pStyle w:val="150"/>
            </w:pPr>
            <w:r>
              <w:rPr>
                <w:rFonts w:hint="eastAsia"/>
              </w:rPr>
              <w:t>实时流量</w:t>
            </w:r>
          </w:p>
        </w:tc>
        <w:tc>
          <w:tcPr>
            <w:tcW w:w="6542" w:type="dxa"/>
            <w:shd w:val="clear" w:color="auto" w:fill="auto"/>
          </w:tcPr>
          <w:p w14:paraId="6829AF10">
            <w:pPr>
              <w:pStyle w:val="150"/>
            </w:pPr>
            <w:r>
              <w:rPr>
                <w:rFonts w:hint="eastAsia"/>
              </w:rPr>
              <w:t>线路实时流量统计。</w:t>
            </w:r>
          </w:p>
        </w:tc>
      </w:tr>
      <w:tr w14:paraId="6E0A8B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546CD187">
            <w:pPr>
              <w:pStyle w:val="150"/>
            </w:pPr>
            <w:r>
              <w:t>违规</w:t>
            </w:r>
            <w:r>
              <w:rPr>
                <w:rFonts w:hint="eastAsia"/>
              </w:rPr>
              <w:t>用户数</w:t>
            </w:r>
          </w:p>
        </w:tc>
        <w:tc>
          <w:tcPr>
            <w:tcW w:w="6542" w:type="dxa"/>
            <w:shd w:val="clear" w:color="auto" w:fill="auto"/>
          </w:tcPr>
          <w:p w14:paraId="6DAF02C7">
            <w:pPr>
              <w:pStyle w:val="150"/>
            </w:pPr>
            <w:r>
              <w:rPr>
                <w:rFonts w:hint="eastAsia"/>
              </w:rPr>
              <w:t>统计当天的阻断用户总数。</w:t>
            </w:r>
          </w:p>
        </w:tc>
      </w:tr>
      <w:tr w14:paraId="1F5092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58BD829">
            <w:pPr>
              <w:pStyle w:val="150"/>
            </w:pPr>
            <w:r>
              <w:rPr>
                <w:rFonts w:hint="eastAsia"/>
              </w:rPr>
              <w:t>策略违规用户</w:t>
            </w:r>
          </w:p>
        </w:tc>
        <w:tc>
          <w:tcPr>
            <w:tcW w:w="6542" w:type="dxa"/>
            <w:shd w:val="clear" w:color="auto" w:fill="auto"/>
          </w:tcPr>
          <w:p w14:paraId="00F05745">
            <w:pPr>
              <w:pStyle w:val="150"/>
            </w:pPr>
            <w:r>
              <w:rPr>
                <w:rFonts w:hint="eastAsia"/>
              </w:rPr>
              <w:t>统计当天的应用控制策略违规用户总数，点击总数可以展示应用控制阻断日志。</w:t>
            </w:r>
          </w:p>
        </w:tc>
      </w:tr>
      <w:tr w14:paraId="1BC2C76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108D867">
            <w:pPr>
              <w:pStyle w:val="150"/>
            </w:pPr>
            <w:r>
              <w:rPr>
                <w:rFonts w:hint="eastAsia"/>
              </w:rPr>
              <w:t>共享终端违规用户</w:t>
            </w:r>
          </w:p>
        </w:tc>
        <w:tc>
          <w:tcPr>
            <w:tcW w:w="6542" w:type="dxa"/>
            <w:shd w:val="clear" w:color="auto" w:fill="auto"/>
          </w:tcPr>
          <w:p w14:paraId="7B62E39C">
            <w:pPr>
              <w:pStyle w:val="150"/>
            </w:pPr>
            <w:r>
              <w:rPr>
                <w:rFonts w:hint="eastAsia"/>
              </w:rPr>
              <w:t>统计当天的共享终端违规用户总数，点击总数可以展示共享终端监控页面。</w:t>
            </w:r>
          </w:p>
        </w:tc>
      </w:tr>
      <w:tr w14:paraId="1FF3F0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1A681A93">
            <w:pPr>
              <w:pStyle w:val="150"/>
            </w:pPr>
            <w:r>
              <w:rPr>
                <w:rFonts w:hint="eastAsia"/>
              </w:rPr>
              <w:t>限额违规用户</w:t>
            </w:r>
          </w:p>
        </w:tc>
        <w:tc>
          <w:tcPr>
            <w:tcW w:w="6542" w:type="dxa"/>
            <w:shd w:val="clear" w:color="auto" w:fill="auto"/>
          </w:tcPr>
          <w:p w14:paraId="26D04BAD">
            <w:pPr>
              <w:pStyle w:val="150"/>
            </w:pPr>
            <w:r>
              <w:rPr>
                <w:rFonts w:hint="eastAsia"/>
              </w:rPr>
              <w:t>统计当天的用户限额违规用户总数，点击总数可以展示限额用户统计页面。</w:t>
            </w:r>
          </w:p>
        </w:tc>
      </w:tr>
    </w:tbl>
    <w:p w14:paraId="401A2397">
      <w:bookmarkStart w:id="79" w:name="_Ref4488353"/>
    </w:p>
    <w:bookmarkEnd w:id="79"/>
    <w:p w14:paraId="45D43A76">
      <w:pPr>
        <w:pStyle w:val="5"/>
      </w:pPr>
      <w:bookmarkStart w:id="80" w:name="_Toc5182354"/>
      <w:bookmarkEnd w:id="80"/>
      <w:bookmarkStart w:id="81" w:name="_Toc5182355"/>
      <w:bookmarkEnd w:id="81"/>
      <w:bookmarkStart w:id="82" w:name="_Toc5208256"/>
      <w:bookmarkEnd w:id="82"/>
      <w:bookmarkStart w:id="83" w:name="_Toc5208257"/>
      <w:bookmarkEnd w:id="83"/>
      <w:bookmarkStart w:id="84" w:name="_Toc5208258"/>
      <w:bookmarkEnd w:id="84"/>
      <w:bookmarkStart w:id="85" w:name="_Toc5181384"/>
      <w:bookmarkEnd w:id="85"/>
      <w:bookmarkStart w:id="86" w:name="_Toc5181382"/>
      <w:bookmarkEnd w:id="86"/>
      <w:bookmarkStart w:id="87" w:name="_Toc5181383"/>
      <w:bookmarkEnd w:id="87"/>
      <w:bookmarkStart w:id="88" w:name="_Toc5182356"/>
      <w:bookmarkEnd w:id="88"/>
      <w:bookmarkStart w:id="89" w:name="_Toc5208255"/>
      <w:bookmarkEnd w:id="89"/>
      <w:bookmarkStart w:id="90" w:name="_Toc5208259"/>
      <w:bookmarkEnd w:id="90"/>
      <w:bookmarkStart w:id="91" w:name="_Toc5181380"/>
      <w:bookmarkEnd w:id="91"/>
      <w:bookmarkStart w:id="92" w:name="_Toc5182357"/>
      <w:bookmarkEnd w:id="92"/>
      <w:bookmarkStart w:id="93" w:name="_Toc5182353"/>
      <w:bookmarkEnd w:id="93"/>
      <w:bookmarkStart w:id="94" w:name="_Toc5181381"/>
      <w:bookmarkEnd w:id="94"/>
      <w:bookmarkStart w:id="95" w:name="_Toc58603572"/>
      <w:bookmarkStart w:id="96" w:name="_Toc70414032"/>
      <w:bookmarkStart w:id="97" w:name="_Toc70414969"/>
      <w:bookmarkStart w:id="98" w:name="_Toc196727926"/>
      <w:r>
        <w:rPr>
          <w:rFonts w:hint="eastAsia"/>
        </w:rPr>
        <w:t>系统信息</w:t>
      </w:r>
      <w:bookmarkEnd w:id="95"/>
      <w:bookmarkEnd w:id="96"/>
      <w:bookmarkEnd w:id="97"/>
      <w:bookmarkEnd w:id="98"/>
    </w:p>
    <w:p w14:paraId="79D39C34">
      <w:r>
        <w:rPr>
          <w:rFonts w:hint="eastAsia"/>
        </w:rPr>
        <w:t>在导航栏中选择“主页”，可以看到“系统信息”标签，如</w:t>
      </w:r>
      <w:r>
        <w:fldChar w:fldCharType="begin"/>
      </w:r>
      <w:r>
        <w:instrText xml:space="preserve">  REF _Ref392858442 \r \h  \* MERGEFORMAT </w:instrText>
      </w:r>
      <w:r>
        <w:fldChar w:fldCharType="separate"/>
      </w:r>
      <w:r>
        <w:rPr>
          <w:rFonts w:hint="eastAsia"/>
        </w:rPr>
        <w:t>图3-6</w:t>
      </w:r>
      <w:r>
        <w:fldChar w:fldCharType="end"/>
      </w:r>
      <w:r>
        <w:t>所示</w:t>
      </w:r>
      <w:r>
        <w:rPr>
          <w:rFonts w:hint="eastAsia"/>
        </w:rPr>
        <w:t>。</w:t>
      </w:r>
    </w:p>
    <w:p w14:paraId="461C60D7">
      <w:pPr>
        <w:pStyle w:val="188"/>
      </w:pPr>
      <w:bookmarkStart w:id="99" w:name="_Ref392858442"/>
      <w:r>
        <w:rPr>
          <w:rFonts w:hint="eastAsia"/>
        </w:rPr>
        <w:t>系统信息</w:t>
      </w:r>
      <w:bookmarkEnd w:id="99"/>
    </w:p>
    <w:p w14:paraId="49BBEBF3">
      <w:pPr>
        <w:pStyle w:val="175"/>
      </w:pPr>
      <w:r>
        <w:drawing>
          <wp:inline distT="0" distB="0" distL="0" distR="0">
            <wp:extent cx="5457825" cy="1766570"/>
            <wp:effectExtent l="0" t="0" r="0" b="508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9"/>
                    <a:stretch>
                      <a:fillRect/>
                    </a:stretch>
                  </pic:blipFill>
                  <pic:spPr>
                    <a:xfrm>
                      <a:off x="0" y="0"/>
                      <a:ext cx="5463812" cy="1768808"/>
                    </a:xfrm>
                    <a:prstGeom prst="rect">
                      <a:avLst/>
                    </a:prstGeom>
                  </pic:spPr>
                </pic:pic>
              </a:graphicData>
            </a:graphic>
          </wp:inline>
        </w:drawing>
      </w:r>
    </w:p>
    <w:p w14:paraId="4957ACEF">
      <w:r>
        <w:rPr>
          <w:rFonts w:hint="eastAsia"/>
        </w:rPr>
        <w:t>对系统信息的详细说明如</w:t>
      </w:r>
      <w:r>
        <w:fldChar w:fldCharType="begin"/>
      </w:r>
      <w:r>
        <w:instrText xml:space="preserve">  REF _Ref496791593 \r \h  \* MERGEFORMAT </w:instrText>
      </w:r>
      <w:r>
        <w:fldChar w:fldCharType="separate"/>
      </w:r>
      <w:r>
        <w:rPr>
          <w:rFonts w:hint="eastAsia"/>
        </w:rPr>
        <w:t>表3-1</w:t>
      </w:r>
      <w:r>
        <w:fldChar w:fldCharType="end"/>
      </w:r>
      <w:r>
        <w:rPr>
          <w:rFonts w:hint="eastAsia"/>
        </w:rPr>
        <w:t>所示。</w:t>
      </w:r>
    </w:p>
    <w:p w14:paraId="439216A1">
      <w:pPr>
        <w:pStyle w:val="183"/>
      </w:pPr>
      <w:bookmarkStart w:id="100" w:name="_Ref392862479"/>
      <w:bookmarkStart w:id="101" w:name="_Ref496791593"/>
      <w:r>
        <w:rPr>
          <w:rFonts w:hint="eastAsia"/>
        </w:rPr>
        <w:t>系统信息</w:t>
      </w:r>
      <w:bookmarkEnd w:id="100"/>
      <w:r>
        <w:rPr>
          <w:rFonts w:hint="eastAsia"/>
        </w:rPr>
        <w:t>说明</w:t>
      </w:r>
      <w:bookmarkEnd w:id="101"/>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86"/>
        <w:gridCol w:w="6528"/>
      </w:tblGrid>
      <w:tr w14:paraId="6A8FC1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6" w:type="dxa"/>
            <w:tcBorders>
              <w:tl2br w:val="nil"/>
              <w:tr2bl w:val="nil"/>
            </w:tcBorders>
            <w:shd w:val="clear" w:color="auto" w:fill="538135" w:themeFill="accent6" w:themeFillShade="BF"/>
            <w:vAlign w:val="center"/>
          </w:tcPr>
          <w:p w14:paraId="567AF51B">
            <w:pPr>
              <w:pStyle w:val="149"/>
              <w:wordWrap/>
              <w:rPr>
                <w:b/>
                <w:bCs/>
                <w:i w:val="0"/>
                <w:iCs w:val="0"/>
              </w:rPr>
            </w:pPr>
            <w:r>
              <w:rPr>
                <w:rFonts w:hint="eastAsia"/>
                <w:b/>
                <w:bCs/>
                <w:i w:val="0"/>
                <w:iCs w:val="0"/>
              </w:rPr>
              <w:t>标题项</w:t>
            </w:r>
          </w:p>
        </w:tc>
        <w:tc>
          <w:tcPr>
            <w:tcW w:w="6528" w:type="dxa"/>
            <w:tcBorders>
              <w:tl2br w:val="nil"/>
              <w:tr2bl w:val="nil"/>
            </w:tcBorders>
            <w:shd w:val="clear" w:color="auto" w:fill="538135" w:themeFill="accent6" w:themeFillShade="BF"/>
            <w:vAlign w:val="center"/>
          </w:tcPr>
          <w:p w14:paraId="4619E5C0">
            <w:pPr>
              <w:pStyle w:val="149"/>
              <w:wordWrap/>
              <w:rPr>
                <w:b/>
                <w:bCs/>
                <w:i w:val="0"/>
                <w:iCs w:val="0"/>
              </w:rPr>
            </w:pPr>
            <w:r>
              <w:rPr>
                <w:rFonts w:hint="eastAsia"/>
                <w:b/>
                <w:bCs/>
                <w:i w:val="0"/>
                <w:iCs w:val="0"/>
              </w:rPr>
              <w:t>说明</w:t>
            </w:r>
          </w:p>
        </w:tc>
      </w:tr>
      <w:tr w14:paraId="2F7C4DC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6" w:type="dxa"/>
            <w:shd w:val="clear" w:color="auto" w:fill="auto"/>
          </w:tcPr>
          <w:p w14:paraId="28003C86">
            <w:pPr>
              <w:pStyle w:val="150"/>
            </w:pPr>
            <w:r>
              <w:rPr>
                <w:rFonts w:hint="eastAsia"/>
              </w:rPr>
              <w:t>软件S</w:t>
            </w:r>
            <w:r>
              <w:t>/N</w:t>
            </w:r>
          </w:p>
        </w:tc>
        <w:tc>
          <w:tcPr>
            <w:tcW w:w="6528" w:type="dxa"/>
            <w:shd w:val="clear" w:color="auto" w:fill="auto"/>
          </w:tcPr>
          <w:p w14:paraId="2C1EAA69">
            <w:pPr>
              <w:pStyle w:val="150"/>
            </w:pPr>
            <w:r>
              <w:rPr>
                <w:rFonts w:hint="eastAsia"/>
              </w:rPr>
              <w:t>设备软件的唯一标识，是设备出厂时设定好的。</w:t>
            </w:r>
          </w:p>
        </w:tc>
      </w:tr>
      <w:tr w14:paraId="7C8137F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6" w:type="dxa"/>
            <w:shd w:val="clear" w:color="auto" w:fill="auto"/>
          </w:tcPr>
          <w:p w14:paraId="4EC141CE">
            <w:pPr>
              <w:pStyle w:val="150"/>
            </w:pPr>
            <w:r>
              <w:t>主机名称</w:t>
            </w:r>
          </w:p>
        </w:tc>
        <w:tc>
          <w:tcPr>
            <w:tcW w:w="6528" w:type="dxa"/>
            <w:shd w:val="clear" w:color="auto" w:fill="auto"/>
          </w:tcPr>
          <w:p w14:paraId="67066C9A">
            <w:pPr>
              <w:pStyle w:val="150"/>
            </w:pPr>
            <w:r>
              <w:rPr>
                <w:rFonts w:hint="eastAsia"/>
              </w:rPr>
              <w:t>通过主机名称区分设备。</w:t>
            </w:r>
          </w:p>
        </w:tc>
      </w:tr>
      <w:tr w14:paraId="795D2AB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6" w:type="dxa"/>
            <w:shd w:val="clear" w:color="auto" w:fill="auto"/>
          </w:tcPr>
          <w:p w14:paraId="044C1D41">
            <w:pPr>
              <w:pStyle w:val="150"/>
            </w:pPr>
            <w:r>
              <w:rPr>
                <w:rFonts w:hint="eastAsia"/>
              </w:rPr>
              <w:t>产品型号</w:t>
            </w:r>
          </w:p>
        </w:tc>
        <w:tc>
          <w:tcPr>
            <w:tcW w:w="6528" w:type="dxa"/>
            <w:shd w:val="clear" w:color="auto" w:fill="auto"/>
          </w:tcPr>
          <w:p w14:paraId="770AEE19">
            <w:pPr>
              <w:pStyle w:val="150"/>
            </w:pPr>
            <w:r>
              <w:rPr>
                <w:rFonts w:hint="eastAsia"/>
              </w:rPr>
              <w:t>产品的型号。</w:t>
            </w:r>
          </w:p>
        </w:tc>
      </w:tr>
      <w:tr w14:paraId="6952D5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6" w:type="dxa"/>
            <w:shd w:val="clear" w:color="auto" w:fill="auto"/>
          </w:tcPr>
          <w:p w14:paraId="063CB594">
            <w:pPr>
              <w:pStyle w:val="150"/>
            </w:pPr>
            <w:r>
              <w:rPr>
                <w:rFonts w:hint="eastAsia"/>
              </w:rPr>
              <w:t>系统版本</w:t>
            </w:r>
          </w:p>
        </w:tc>
        <w:tc>
          <w:tcPr>
            <w:tcW w:w="6528" w:type="dxa"/>
            <w:shd w:val="clear" w:color="auto" w:fill="auto"/>
          </w:tcPr>
          <w:p w14:paraId="620EB56C">
            <w:pPr>
              <w:pStyle w:val="150"/>
            </w:pPr>
            <w:r>
              <w:rPr>
                <w:rFonts w:hint="eastAsia"/>
              </w:rPr>
              <w:t>当前设备运行的系统软件的版本号。</w:t>
            </w:r>
          </w:p>
        </w:tc>
      </w:tr>
      <w:tr w14:paraId="692513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6" w:type="dxa"/>
            <w:shd w:val="clear" w:color="auto" w:fill="auto"/>
          </w:tcPr>
          <w:p w14:paraId="29C59991">
            <w:pPr>
              <w:pStyle w:val="150"/>
            </w:pPr>
            <w:r>
              <w:rPr>
                <w:rFonts w:hint="eastAsia"/>
              </w:rPr>
              <w:t>系统时间</w:t>
            </w:r>
          </w:p>
        </w:tc>
        <w:tc>
          <w:tcPr>
            <w:tcW w:w="6528" w:type="dxa"/>
            <w:shd w:val="clear" w:color="auto" w:fill="auto"/>
          </w:tcPr>
          <w:p w14:paraId="1CA10AB9">
            <w:pPr>
              <w:pStyle w:val="150"/>
            </w:pPr>
            <w:r>
              <w:rPr>
                <w:rFonts w:hint="eastAsia"/>
              </w:rPr>
              <w:t>表示系统当前时间。</w:t>
            </w:r>
          </w:p>
        </w:tc>
      </w:tr>
      <w:tr w14:paraId="05E18A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6" w:type="dxa"/>
            <w:shd w:val="clear" w:color="auto" w:fill="auto"/>
          </w:tcPr>
          <w:p w14:paraId="4E749874">
            <w:pPr>
              <w:pStyle w:val="150"/>
            </w:pPr>
            <w:r>
              <w:rPr>
                <w:rFonts w:hint="eastAsia"/>
              </w:rPr>
              <w:t>运行时间</w:t>
            </w:r>
          </w:p>
        </w:tc>
        <w:tc>
          <w:tcPr>
            <w:tcW w:w="6528" w:type="dxa"/>
            <w:shd w:val="clear" w:color="auto" w:fill="auto"/>
          </w:tcPr>
          <w:p w14:paraId="6A0967D7">
            <w:pPr>
              <w:pStyle w:val="150"/>
            </w:pPr>
            <w:r>
              <w:rPr>
                <w:rFonts w:hint="eastAsia"/>
              </w:rPr>
              <w:t>表示系统从上次启动已经运行的时间。</w:t>
            </w:r>
          </w:p>
        </w:tc>
      </w:tr>
      <w:tr w14:paraId="2D8C43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6" w:type="dxa"/>
            <w:shd w:val="clear" w:color="auto" w:fill="auto"/>
          </w:tcPr>
          <w:p w14:paraId="29990E4E">
            <w:pPr>
              <w:pStyle w:val="150"/>
            </w:pPr>
            <w:r>
              <w:rPr>
                <w:rFonts w:hint="eastAsia"/>
              </w:rPr>
              <w:t>授权信息</w:t>
            </w:r>
          </w:p>
        </w:tc>
        <w:tc>
          <w:tcPr>
            <w:tcW w:w="6528" w:type="dxa"/>
            <w:shd w:val="clear" w:color="auto" w:fill="auto"/>
          </w:tcPr>
          <w:p w14:paraId="6FC68293">
            <w:pPr>
              <w:pStyle w:val="150"/>
            </w:pPr>
            <w:r>
              <w:rPr>
                <w:rFonts w:hint="eastAsia"/>
              </w:rPr>
              <w:t>应用特征库、URL、IPS、AV、报及Web防护特征库版本信息。</w:t>
            </w:r>
          </w:p>
        </w:tc>
      </w:tr>
      <w:tr w14:paraId="50C690A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6" w:type="dxa"/>
            <w:shd w:val="clear" w:color="auto" w:fill="auto"/>
          </w:tcPr>
          <w:p w14:paraId="6B0BC3E9">
            <w:pPr>
              <w:pStyle w:val="150"/>
            </w:pPr>
            <w:r>
              <w:rPr>
                <w:rFonts w:hint="eastAsia"/>
              </w:rPr>
              <w:t>模式</w:t>
            </w:r>
          </w:p>
        </w:tc>
        <w:tc>
          <w:tcPr>
            <w:tcW w:w="6528" w:type="dxa"/>
            <w:shd w:val="clear" w:color="auto" w:fill="auto"/>
          </w:tcPr>
          <w:p w14:paraId="3D67C392">
            <w:pPr>
              <w:pStyle w:val="150"/>
            </w:pPr>
            <w:r>
              <w:rPr>
                <w:rFonts w:hint="eastAsia"/>
              </w:rPr>
              <w:t>HA的模式。</w:t>
            </w:r>
          </w:p>
        </w:tc>
      </w:tr>
      <w:tr w14:paraId="1FB3D9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6" w:type="dxa"/>
            <w:shd w:val="clear" w:color="auto" w:fill="auto"/>
          </w:tcPr>
          <w:p w14:paraId="6CA9387A">
            <w:pPr>
              <w:pStyle w:val="150"/>
            </w:pPr>
            <w:r>
              <w:rPr>
                <w:rFonts w:hint="eastAsia"/>
              </w:rPr>
              <w:t>通信接口</w:t>
            </w:r>
          </w:p>
        </w:tc>
        <w:tc>
          <w:tcPr>
            <w:tcW w:w="6528" w:type="dxa"/>
            <w:shd w:val="clear" w:color="auto" w:fill="auto"/>
          </w:tcPr>
          <w:p w14:paraId="32E89549">
            <w:pPr>
              <w:pStyle w:val="150"/>
            </w:pPr>
            <w:r>
              <w:rPr>
                <w:rFonts w:hint="eastAsia"/>
              </w:rPr>
              <w:t>HA的心跳接口。</w:t>
            </w:r>
          </w:p>
        </w:tc>
      </w:tr>
      <w:tr w14:paraId="4DA364F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6" w:type="dxa"/>
            <w:shd w:val="clear" w:color="auto" w:fill="auto"/>
          </w:tcPr>
          <w:p w14:paraId="51B8585B">
            <w:pPr>
              <w:pStyle w:val="150"/>
            </w:pPr>
            <w:r>
              <w:rPr>
                <w:rFonts w:hint="eastAsia"/>
              </w:rPr>
              <w:t>本地设备</w:t>
            </w:r>
          </w:p>
        </w:tc>
        <w:tc>
          <w:tcPr>
            <w:tcW w:w="6528" w:type="dxa"/>
            <w:shd w:val="clear" w:color="auto" w:fill="auto"/>
          </w:tcPr>
          <w:p w14:paraId="282279B2">
            <w:pPr>
              <w:pStyle w:val="150"/>
            </w:pPr>
            <w:r>
              <w:rPr>
                <w:rFonts w:hint="eastAsia"/>
              </w:rPr>
              <w:t>本地设备的HA状态。</w:t>
            </w:r>
          </w:p>
        </w:tc>
      </w:tr>
      <w:tr w14:paraId="0974201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6" w:type="dxa"/>
            <w:shd w:val="clear" w:color="auto" w:fill="auto"/>
          </w:tcPr>
          <w:p w14:paraId="10649C77">
            <w:pPr>
              <w:pStyle w:val="150"/>
            </w:pPr>
            <w:r>
              <w:rPr>
                <w:rFonts w:hint="eastAsia"/>
              </w:rPr>
              <w:t>对端设备</w:t>
            </w:r>
          </w:p>
        </w:tc>
        <w:tc>
          <w:tcPr>
            <w:tcW w:w="6528" w:type="dxa"/>
            <w:shd w:val="clear" w:color="auto" w:fill="auto"/>
          </w:tcPr>
          <w:p w14:paraId="7ED34111">
            <w:pPr>
              <w:pStyle w:val="150"/>
            </w:pPr>
            <w:r>
              <w:rPr>
                <w:rFonts w:hint="eastAsia"/>
              </w:rPr>
              <w:t>对端设备的HA状态。</w:t>
            </w:r>
          </w:p>
        </w:tc>
      </w:tr>
    </w:tbl>
    <w:p w14:paraId="46FFD005"/>
    <w:p w14:paraId="56D41C56">
      <w:r>
        <w:t>点击</w:t>
      </w:r>
      <w:r>
        <w:rPr>
          <w:rFonts w:hint="eastAsia"/>
        </w:rPr>
        <w:t>&lt;</w:t>
      </w:r>
      <w:r>
        <w:t>编辑</w:t>
      </w:r>
      <w:r>
        <w:rPr>
          <w:rFonts w:hint="eastAsia"/>
        </w:rPr>
        <w:t>&gt;按钮可修改当前管理设备的主机名，便于用户区分不同设备，填写自定义主机名后点击&lt;保存&gt;即可生效。</w:t>
      </w:r>
    </w:p>
    <w:p w14:paraId="224FEEC7">
      <w:pPr>
        <w:pStyle w:val="5"/>
      </w:pPr>
      <w:bookmarkStart w:id="102" w:name="_Toc70414033"/>
      <w:bookmarkStart w:id="103" w:name="_Toc70414970"/>
      <w:bookmarkStart w:id="104" w:name="_Toc196727927"/>
      <w:bookmarkStart w:id="105" w:name="_Toc58603573"/>
      <w:r>
        <w:t>系统资源</w:t>
      </w:r>
      <w:bookmarkEnd w:id="102"/>
      <w:bookmarkEnd w:id="103"/>
      <w:bookmarkEnd w:id="104"/>
      <w:bookmarkEnd w:id="105"/>
    </w:p>
    <w:p w14:paraId="6F881278">
      <w:r>
        <w:rPr>
          <w:rFonts w:hint="eastAsia"/>
        </w:rPr>
        <w:t>在导航栏中选择“主页</w:t>
      </w:r>
      <w:r>
        <w:t>&gt;</w:t>
      </w:r>
      <w:r>
        <w:rPr>
          <w:rFonts w:hint="eastAsia"/>
        </w:rPr>
        <w:t>主页”，可以看到“系统资源”标签，如</w:t>
      </w:r>
      <w:r>
        <w:fldChar w:fldCharType="begin"/>
      </w:r>
      <w:r>
        <w:instrText xml:space="preserve">  REF _Ref4488543 \r \h  \* MERGEFORMAT </w:instrText>
      </w:r>
      <w:r>
        <w:fldChar w:fldCharType="separate"/>
      </w:r>
      <w:r>
        <w:rPr>
          <w:rFonts w:hint="eastAsia"/>
        </w:rPr>
        <w:t>图3-7</w:t>
      </w:r>
      <w:r>
        <w:fldChar w:fldCharType="end"/>
      </w:r>
      <w:r>
        <w:t>所示</w:t>
      </w:r>
      <w:r>
        <w:rPr>
          <w:rFonts w:hint="eastAsia"/>
        </w:rPr>
        <w:t>。</w:t>
      </w:r>
    </w:p>
    <w:p w14:paraId="52397F0D">
      <w:pPr>
        <w:pStyle w:val="188"/>
      </w:pPr>
      <w:bookmarkStart w:id="106" w:name="_Ref4488543"/>
      <w:r>
        <w:t>系统资源</w:t>
      </w:r>
      <w:bookmarkEnd w:id="106"/>
    </w:p>
    <w:p w14:paraId="02CC0080">
      <w:pPr>
        <w:pStyle w:val="175"/>
      </w:pPr>
      <w:r>
        <w:drawing>
          <wp:inline distT="0" distB="0" distL="0" distR="0">
            <wp:extent cx="5205730" cy="2038350"/>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30"/>
                    <a:stretch>
                      <a:fillRect/>
                    </a:stretch>
                  </pic:blipFill>
                  <pic:spPr>
                    <a:xfrm>
                      <a:off x="0" y="0"/>
                      <a:ext cx="5355675" cy="2096930"/>
                    </a:xfrm>
                    <a:prstGeom prst="rect">
                      <a:avLst/>
                    </a:prstGeom>
                  </pic:spPr>
                </pic:pic>
              </a:graphicData>
            </a:graphic>
          </wp:inline>
        </w:drawing>
      </w:r>
    </w:p>
    <w:p w14:paraId="673BDBC1"/>
    <w:p w14:paraId="7E6A703A">
      <w:r>
        <w:rPr>
          <w:rFonts w:hint="eastAsia"/>
        </w:rPr>
        <w:t>点击右上角的转换按钮</w:t>
      </w:r>
      <w:r>
        <w:drawing>
          <wp:inline distT="0" distB="0" distL="0" distR="0">
            <wp:extent cx="121920" cy="114935"/>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31"/>
                    <a:stretch>
                      <a:fillRect/>
                    </a:stretch>
                  </pic:blipFill>
                  <pic:spPr>
                    <a:xfrm>
                      <a:off x="0" y="0"/>
                      <a:ext cx="122400" cy="115200"/>
                    </a:xfrm>
                    <a:prstGeom prst="rect">
                      <a:avLst/>
                    </a:prstGeom>
                  </pic:spPr>
                </pic:pic>
              </a:graphicData>
            </a:graphic>
          </wp:inline>
        </w:drawing>
      </w:r>
      <w:r>
        <w:rPr>
          <w:rFonts w:hint="eastAsia"/>
        </w:rPr>
        <w:t>，切换为曲线图形式，可显示最近1</w:t>
      </w:r>
      <w:r>
        <w:t>0分钟</w:t>
      </w:r>
      <w:r>
        <w:rPr>
          <w:rFonts w:hint="eastAsia"/>
        </w:rPr>
        <w:t>的系统资源情况，如</w:t>
      </w:r>
      <w:r>
        <w:fldChar w:fldCharType="begin"/>
      </w:r>
      <w:r>
        <w:instrText xml:space="preserve">  REF _Ref5181914 \r \h  \* MERGEFORMAT </w:instrText>
      </w:r>
      <w:r>
        <w:fldChar w:fldCharType="separate"/>
      </w:r>
      <w:r>
        <w:rPr>
          <w:rFonts w:hint="eastAsia"/>
        </w:rPr>
        <w:t>图3-8</w:t>
      </w:r>
      <w:r>
        <w:fldChar w:fldCharType="end"/>
      </w:r>
      <w:r>
        <w:t>所示</w:t>
      </w:r>
      <w:r>
        <w:rPr>
          <w:rFonts w:hint="eastAsia"/>
        </w:rPr>
        <w:t>。</w:t>
      </w:r>
    </w:p>
    <w:p w14:paraId="54604E3D">
      <w:pPr>
        <w:pStyle w:val="188"/>
      </w:pPr>
      <w:bookmarkStart w:id="107" w:name="_Ref5181914"/>
      <w:r>
        <w:rPr>
          <w:rFonts w:hint="eastAsia"/>
        </w:rPr>
        <w:t>系统资源</w:t>
      </w:r>
      <w:bookmarkEnd w:id="107"/>
      <w:r>
        <w:rPr>
          <w:rFonts w:hint="eastAsia"/>
        </w:rPr>
        <w:t>曲线图</w:t>
      </w:r>
    </w:p>
    <w:p w14:paraId="0DA66D07">
      <w:r>
        <w:drawing>
          <wp:inline distT="0" distB="0" distL="0" distR="0">
            <wp:extent cx="5615940" cy="2065020"/>
            <wp:effectExtent l="0" t="0" r="381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32"/>
                    <a:stretch>
                      <a:fillRect/>
                    </a:stretch>
                  </pic:blipFill>
                  <pic:spPr>
                    <a:xfrm>
                      <a:off x="0" y="0"/>
                      <a:ext cx="5616000" cy="2065434"/>
                    </a:xfrm>
                    <a:prstGeom prst="rect">
                      <a:avLst/>
                    </a:prstGeom>
                  </pic:spPr>
                </pic:pic>
              </a:graphicData>
            </a:graphic>
          </wp:inline>
        </w:drawing>
      </w:r>
    </w:p>
    <w:p w14:paraId="44B16A7A"/>
    <w:p w14:paraId="654EA85A">
      <w:r>
        <w:t>对系统资源的详细说明如</w:t>
      </w:r>
      <w:r>
        <w:fldChar w:fldCharType="begin"/>
      </w:r>
      <w:r>
        <w:instrText xml:space="preserve">  REF _Ref4433508 \r \h  \* MERGEFORMAT </w:instrText>
      </w:r>
      <w:r>
        <w:fldChar w:fldCharType="separate"/>
      </w:r>
      <w:r>
        <w:rPr>
          <w:rFonts w:hint="eastAsia"/>
        </w:rPr>
        <w:t>表3-1</w:t>
      </w:r>
      <w:r>
        <w:fldChar w:fldCharType="end"/>
      </w:r>
      <w:r>
        <w:rPr>
          <w:rFonts w:hint="eastAsia"/>
        </w:rPr>
        <w:t>所示：</w:t>
      </w:r>
    </w:p>
    <w:p w14:paraId="159D8354">
      <w:pPr>
        <w:pStyle w:val="183"/>
      </w:pPr>
      <w:bookmarkStart w:id="108" w:name="_Ref4433508"/>
      <w:r>
        <w:rPr>
          <w:rFonts w:hint="eastAsia"/>
        </w:rPr>
        <w:t>系统资源说明</w:t>
      </w:r>
      <w:bookmarkEnd w:id="108"/>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86"/>
        <w:gridCol w:w="6528"/>
      </w:tblGrid>
      <w:tr w14:paraId="5E63EF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56C3DFF1">
            <w:pPr>
              <w:pStyle w:val="149"/>
              <w:wordWrap/>
              <w:rPr>
                <w:b/>
                <w:bCs/>
                <w:i w:val="0"/>
                <w:iCs w:val="0"/>
              </w:rPr>
            </w:pPr>
            <w:r>
              <w:rPr>
                <w:rFonts w:hint="eastAsia"/>
                <w:b/>
                <w:bCs/>
                <w:i w:val="0"/>
                <w:iCs w:val="0"/>
              </w:rPr>
              <w:t>标题项</w:t>
            </w:r>
          </w:p>
        </w:tc>
        <w:tc>
          <w:tcPr>
            <w:tcW w:w="6542" w:type="dxa"/>
            <w:tcBorders>
              <w:tl2br w:val="nil"/>
              <w:tr2bl w:val="nil"/>
            </w:tcBorders>
            <w:shd w:val="clear" w:color="auto" w:fill="538135" w:themeFill="accent6" w:themeFillShade="BF"/>
            <w:vAlign w:val="center"/>
          </w:tcPr>
          <w:p w14:paraId="337303C2">
            <w:pPr>
              <w:pStyle w:val="149"/>
              <w:wordWrap/>
              <w:rPr>
                <w:b/>
                <w:bCs/>
                <w:i w:val="0"/>
                <w:iCs w:val="0"/>
              </w:rPr>
            </w:pPr>
            <w:r>
              <w:rPr>
                <w:rFonts w:hint="eastAsia"/>
                <w:b/>
                <w:bCs/>
                <w:i w:val="0"/>
                <w:iCs w:val="0"/>
              </w:rPr>
              <w:t>说明</w:t>
            </w:r>
          </w:p>
        </w:tc>
      </w:tr>
      <w:tr w14:paraId="7EFA1F7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3AF4ADB9">
            <w:pPr>
              <w:pStyle w:val="150"/>
            </w:pPr>
            <w:r>
              <w:rPr>
                <w:rFonts w:hint="eastAsia"/>
              </w:rPr>
              <w:t>CPU</w:t>
            </w:r>
          </w:p>
        </w:tc>
        <w:tc>
          <w:tcPr>
            <w:tcW w:w="6542" w:type="dxa"/>
            <w:shd w:val="clear" w:color="auto" w:fill="auto"/>
          </w:tcPr>
          <w:p w14:paraId="57B968E6">
            <w:pPr>
              <w:pStyle w:val="150"/>
            </w:pPr>
            <w:r>
              <w:rPr>
                <w:rFonts w:hint="eastAsia"/>
              </w:rPr>
              <w:t>处理器的利用率，是系统所有处理器最近一分钟内的平均值。</w:t>
            </w:r>
          </w:p>
        </w:tc>
      </w:tr>
      <w:tr w14:paraId="6A4DE2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5C95DEE3">
            <w:pPr>
              <w:pStyle w:val="150"/>
            </w:pPr>
            <w:r>
              <w:rPr>
                <w:rFonts w:hint="eastAsia"/>
              </w:rPr>
              <w:t>MEM</w:t>
            </w:r>
          </w:p>
        </w:tc>
        <w:tc>
          <w:tcPr>
            <w:tcW w:w="6542" w:type="dxa"/>
            <w:shd w:val="clear" w:color="auto" w:fill="auto"/>
          </w:tcPr>
          <w:p w14:paraId="7C948F64">
            <w:pPr>
              <w:pStyle w:val="150"/>
            </w:pPr>
            <w:r>
              <w:rPr>
                <w:rFonts w:hint="eastAsia"/>
              </w:rPr>
              <w:t>系统内存利用率，此内存利用率为整个系统的内存利用率。</w:t>
            </w:r>
          </w:p>
        </w:tc>
      </w:tr>
      <w:tr w14:paraId="49190AC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49053C15">
            <w:pPr>
              <w:pStyle w:val="150"/>
            </w:pPr>
            <w:r>
              <w:rPr>
                <w:rFonts w:hint="eastAsia"/>
              </w:rPr>
              <w:t>磁盘</w:t>
            </w:r>
          </w:p>
        </w:tc>
        <w:tc>
          <w:tcPr>
            <w:tcW w:w="6542" w:type="dxa"/>
            <w:shd w:val="clear" w:color="auto" w:fill="auto"/>
          </w:tcPr>
          <w:p w14:paraId="68DEDEDF">
            <w:pPr>
              <w:pStyle w:val="150"/>
            </w:pPr>
            <w:r>
              <w:rPr>
                <w:rFonts w:hint="eastAsia"/>
              </w:rPr>
              <w:t>系统的磁盘利用率。</w:t>
            </w:r>
          </w:p>
        </w:tc>
      </w:tr>
    </w:tbl>
    <w:p w14:paraId="60BF07C6"/>
    <w:p w14:paraId="1B9A1977">
      <w:r>
        <w:rPr>
          <w:rFonts w:hint="eastAsia"/>
        </w:rPr>
        <w:t>点击右上角&lt;刷新&gt;按钮可以立即刷新当前的显示。</w:t>
      </w:r>
    </w:p>
    <w:p w14:paraId="01CF983E">
      <w:pPr>
        <w:pStyle w:val="5"/>
      </w:pPr>
      <w:bookmarkStart w:id="109" w:name="_Toc70414971"/>
      <w:bookmarkStart w:id="110" w:name="_Toc196727928"/>
      <w:bookmarkStart w:id="111" w:name="_Toc70414034"/>
      <w:bookmarkStart w:id="112" w:name="_Toc58603574"/>
      <w:r>
        <w:rPr>
          <w:rFonts w:hint="eastAsia"/>
        </w:rPr>
        <w:t>实时流量图</w:t>
      </w:r>
      <w:bookmarkEnd w:id="109"/>
      <w:bookmarkEnd w:id="110"/>
      <w:bookmarkEnd w:id="111"/>
      <w:bookmarkEnd w:id="112"/>
    </w:p>
    <w:p w14:paraId="141023DF">
      <w:r>
        <w:rPr>
          <w:rFonts w:hint="eastAsia"/>
        </w:rPr>
        <w:t>在导航栏中选择“主页</w:t>
      </w:r>
      <w:r>
        <w:t>&gt;</w:t>
      </w:r>
      <w:r>
        <w:rPr>
          <w:rFonts w:hint="eastAsia"/>
        </w:rPr>
        <w:t>主页”，可以看到“实时流量图”标签，如</w:t>
      </w:r>
      <w:r>
        <w:fldChar w:fldCharType="begin"/>
      </w:r>
      <w:r>
        <w:instrText xml:space="preserve">  REF _Ref392863330 \r \h  \* MERGEFORMAT </w:instrText>
      </w:r>
      <w:r>
        <w:fldChar w:fldCharType="separate"/>
      </w:r>
      <w:r>
        <w:rPr>
          <w:rFonts w:hint="eastAsia"/>
        </w:rPr>
        <w:t>图3-9</w:t>
      </w:r>
      <w:r>
        <w:fldChar w:fldCharType="end"/>
      </w:r>
      <w:r>
        <w:t>所示</w:t>
      </w:r>
      <w:r>
        <w:rPr>
          <w:rFonts w:hint="eastAsia"/>
        </w:rPr>
        <w:t>。</w:t>
      </w:r>
    </w:p>
    <w:p w14:paraId="4A3CCEF9">
      <w:pPr>
        <w:pStyle w:val="188"/>
      </w:pPr>
      <w:bookmarkStart w:id="113" w:name="_Ref392863330"/>
      <w:r>
        <w:t>实时流量图</w:t>
      </w:r>
      <w:bookmarkEnd w:id="113"/>
    </w:p>
    <w:p w14:paraId="19DCF057">
      <w:pPr>
        <w:pStyle w:val="175"/>
      </w:pPr>
      <w:r>
        <w:drawing>
          <wp:inline distT="0" distB="0" distL="0" distR="0">
            <wp:extent cx="5581650" cy="202819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33"/>
                    <a:stretch>
                      <a:fillRect/>
                    </a:stretch>
                  </pic:blipFill>
                  <pic:spPr>
                    <a:xfrm>
                      <a:off x="0" y="0"/>
                      <a:ext cx="5628363" cy="2045456"/>
                    </a:xfrm>
                    <a:prstGeom prst="rect">
                      <a:avLst/>
                    </a:prstGeom>
                  </pic:spPr>
                </pic:pic>
              </a:graphicData>
            </a:graphic>
          </wp:inline>
        </w:drawing>
      </w:r>
    </w:p>
    <w:p w14:paraId="4BFCF0D4"/>
    <w:p w14:paraId="41AFC9D6">
      <w:r>
        <w:rPr>
          <w:rFonts w:hint="eastAsia"/>
        </w:rPr>
        <w:t>该面板可显示当前系统最近一小时整机的吞吐量曲线图，根据该曲线图可查看系统最近一个小时的流量情况，从而判断实际网络使用情况。</w:t>
      </w:r>
    </w:p>
    <w:p w14:paraId="0FDEE1E6">
      <w:r>
        <w:rPr>
          <w:rFonts w:hint="eastAsia"/>
        </w:rPr>
        <w:t>当用户打开管理界面首页时，系统每隔15秒会自动刷新实时流量统计图表。</w:t>
      </w:r>
    </w:p>
    <w:p w14:paraId="748CEF25">
      <w:r>
        <w:rPr>
          <w:rFonts w:hint="eastAsia"/>
        </w:rPr>
        <w:t>点击右上角的&lt;编辑&gt;按钮，如</w:t>
      </w:r>
      <w:r>
        <w:fldChar w:fldCharType="begin"/>
      </w:r>
      <w:r>
        <w:instrText xml:space="preserve">  REF _Ref392863543 \r \h  \* MERGEFORMAT </w:instrText>
      </w:r>
      <w:r>
        <w:fldChar w:fldCharType="separate"/>
      </w:r>
      <w:r>
        <w:rPr>
          <w:rFonts w:hint="eastAsia"/>
        </w:rPr>
        <w:t>图3-10</w:t>
      </w:r>
      <w:r>
        <w:fldChar w:fldCharType="end"/>
      </w:r>
      <w:r>
        <w:t>所示</w:t>
      </w:r>
      <w:r>
        <w:rPr>
          <w:rFonts w:hint="eastAsia"/>
        </w:rPr>
        <w:t>，</w:t>
      </w:r>
      <w:r>
        <w:t>可以编辑流量图显示的选项</w:t>
      </w:r>
      <w:r>
        <w:rPr>
          <w:rFonts w:hint="eastAsia"/>
        </w:rPr>
        <w:t>。</w:t>
      </w:r>
    </w:p>
    <w:p w14:paraId="5DBF604A">
      <w:pPr>
        <w:pStyle w:val="188"/>
      </w:pPr>
      <w:bookmarkStart w:id="114" w:name="_Ref392863543"/>
      <w:r>
        <w:t>编辑流量图显示</w:t>
      </w:r>
      <w:bookmarkEnd w:id="114"/>
    </w:p>
    <w:p w14:paraId="11DDEED9">
      <w:pPr>
        <w:pStyle w:val="175"/>
      </w:pPr>
      <w:r>
        <w:drawing>
          <wp:inline distT="0" distB="0" distL="0" distR="0">
            <wp:extent cx="5505450" cy="1960245"/>
            <wp:effectExtent l="0" t="0" r="0" b="190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34"/>
                    <a:stretch>
                      <a:fillRect/>
                    </a:stretch>
                  </pic:blipFill>
                  <pic:spPr>
                    <a:xfrm>
                      <a:off x="0" y="0"/>
                      <a:ext cx="5530376" cy="1969685"/>
                    </a:xfrm>
                    <a:prstGeom prst="rect">
                      <a:avLst/>
                    </a:prstGeom>
                  </pic:spPr>
                </pic:pic>
              </a:graphicData>
            </a:graphic>
          </wp:inline>
        </w:drawing>
      </w:r>
    </w:p>
    <w:p w14:paraId="0A20A6E5"/>
    <w:p w14:paraId="21AF4B2D">
      <w:r>
        <w:rPr>
          <w:rFonts w:hint="eastAsia"/>
        </w:rPr>
        <w:t>点击右上角&lt;刷新&gt;按钮可以立即刷新当前的显示。</w:t>
      </w:r>
    </w:p>
    <w:p w14:paraId="5CE3C8B9">
      <w:pPr>
        <w:pStyle w:val="5"/>
      </w:pPr>
      <w:bookmarkStart w:id="115" w:name="_Toc58603575"/>
      <w:bookmarkStart w:id="116" w:name="_Toc70414035"/>
      <w:bookmarkStart w:id="117" w:name="_Toc196727929"/>
      <w:bookmarkStart w:id="118" w:name="_Toc70414972"/>
      <w:r>
        <w:rPr>
          <w:rFonts w:hint="eastAsia"/>
        </w:rPr>
        <w:t>接口状态</w:t>
      </w:r>
      <w:bookmarkEnd w:id="115"/>
      <w:bookmarkEnd w:id="116"/>
      <w:bookmarkEnd w:id="117"/>
      <w:bookmarkEnd w:id="118"/>
    </w:p>
    <w:p w14:paraId="29985712">
      <w:r>
        <w:rPr>
          <w:rFonts w:hint="eastAsia"/>
        </w:rPr>
        <w:t>在导航栏中选择“主页”，可以看到“接口状态”标签，如</w:t>
      </w:r>
      <w:r>
        <w:fldChar w:fldCharType="begin"/>
      </w:r>
      <w:r>
        <w:instrText xml:space="preserve">  REF _Ref392863970 \r \h  \* MERGEFORMAT </w:instrText>
      </w:r>
      <w:r>
        <w:fldChar w:fldCharType="separate"/>
      </w:r>
      <w:r>
        <w:rPr>
          <w:rFonts w:hint="eastAsia"/>
        </w:rPr>
        <w:t>图3-11</w:t>
      </w:r>
      <w:r>
        <w:fldChar w:fldCharType="end"/>
      </w:r>
      <w:r>
        <w:t>所示</w:t>
      </w:r>
      <w:r>
        <w:rPr>
          <w:rFonts w:hint="eastAsia"/>
        </w:rPr>
        <w:t>。</w:t>
      </w:r>
    </w:p>
    <w:p w14:paraId="54511CAA">
      <w:pPr>
        <w:pStyle w:val="188"/>
      </w:pPr>
      <w:bookmarkStart w:id="119" w:name="_Ref392863970"/>
      <w:r>
        <w:t>接口状态</w:t>
      </w:r>
      <w:bookmarkEnd w:id="119"/>
    </w:p>
    <w:p w14:paraId="46C57867">
      <w:pPr>
        <w:pStyle w:val="175"/>
      </w:pPr>
      <w:r>
        <w:drawing>
          <wp:inline distT="0" distB="0" distL="0" distR="0">
            <wp:extent cx="5615940" cy="2524125"/>
            <wp:effectExtent l="0" t="0" r="3810" b="952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35"/>
                    <a:stretch>
                      <a:fillRect/>
                    </a:stretch>
                  </pic:blipFill>
                  <pic:spPr>
                    <a:xfrm>
                      <a:off x="0" y="0"/>
                      <a:ext cx="5616000" cy="2524549"/>
                    </a:xfrm>
                    <a:prstGeom prst="rect">
                      <a:avLst/>
                    </a:prstGeom>
                  </pic:spPr>
                </pic:pic>
              </a:graphicData>
            </a:graphic>
          </wp:inline>
        </w:drawing>
      </w:r>
    </w:p>
    <w:p w14:paraId="20A8EEAC"/>
    <w:p w14:paraId="0BD8FB81">
      <w:r>
        <w:rPr>
          <w:rFonts w:hint="eastAsia"/>
        </w:rPr>
        <w:t>该面板能够显示设备真实物理接口状态：链路开启状态、IP地址、双工状态、工作模式以及收发包速率，当前在线的接口显示为绿色，没有插上网线或者物理状态为DOWN的接口则显示为灰色。</w:t>
      </w:r>
    </w:p>
    <w:p w14:paraId="1E352E20">
      <w:pPr>
        <w:pStyle w:val="5"/>
      </w:pPr>
      <w:bookmarkStart w:id="120" w:name="_Toc196727930"/>
      <w:bookmarkStart w:id="121" w:name="_Toc70414036"/>
      <w:bookmarkStart w:id="122" w:name="_Toc58603576"/>
      <w:bookmarkStart w:id="123" w:name="_Toc70414973"/>
      <w:r>
        <w:rPr>
          <w:rFonts w:hint="eastAsia"/>
        </w:rPr>
        <w:t>用户流量</w:t>
      </w:r>
      <w:bookmarkEnd w:id="120"/>
      <w:bookmarkEnd w:id="121"/>
      <w:bookmarkEnd w:id="122"/>
      <w:bookmarkEnd w:id="123"/>
    </w:p>
    <w:p w14:paraId="7937462E">
      <w:r>
        <w:rPr>
          <w:rFonts w:hint="eastAsia"/>
        </w:rPr>
        <w:t>在导航栏中选择“主页</w:t>
      </w:r>
      <w:r>
        <w:t>&gt;</w:t>
      </w:r>
      <w:r>
        <w:rPr>
          <w:rFonts w:hint="eastAsia"/>
        </w:rPr>
        <w:t>主页”，可以看到“用户流量”标签，如</w:t>
      </w:r>
      <w:r>
        <w:fldChar w:fldCharType="begin"/>
      </w:r>
      <w:r>
        <w:instrText xml:space="preserve">  REF _Ref4488657 \r \h  \* MERGEFORMAT </w:instrText>
      </w:r>
      <w:r>
        <w:fldChar w:fldCharType="separate"/>
      </w:r>
      <w:r>
        <w:rPr>
          <w:rFonts w:hint="eastAsia"/>
        </w:rPr>
        <w:t>图3-12</w:t>
      </w:r>
      <w:r>
        <w:fldChar w:fldCharType="end"/>
      </w:r>
      <w:r>
        <w:t>所示</w:t>
      </w:r>
      <w:r>
        <w:rPr>
          <w:rFonts w:hint="eastAsia"/>
        </w:rPr>
        <w:t>。</w:t>
      </w:r>
    </w:p>
    <w:p w14:paraId="588C5AA1">
      <w:pPr>
        <w:pStyle w:val="188"/>
      </w:pPr>
      <w:bookmarkStart w:id="124" w:name="_Ref4488657"/>
      <w:r>
        <w:t>用户流量</w:t>
      </w:r>
      <w:bookmarkEnd w:id="124"/>
    </w:p>
    <w:p w14:paraId="1B7DBF83">
      <w:pPr>
        <w:pStyle w:val="175"/>
      </w:pPr>
      <w:r>
        <w:drawing>
          <wp:inline distT="0" distB="0" distL="0" distR="0">
            <wp:extent cx="4914900" cy="288290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36"/>
                    <a:stretch>
                      <a:fillRect/>
                    </a:stretch>
                  </pic:blipFill>
                  <pic:spPr>
                    <a:xfrm>
                      <a:off x="0" y="0"/>
                      <a:ext cx="4923769" cy="2888387"/>
                    </a:xfrm>
                    <a:prstGeom prst="rect">
                      <a:avLst/>
                    </a:prstGeom>
                  </pic:spPr>
                </pic:pic>
              </a:graphicData>
            </a:graphic>
          </wp:inline>
        </w:drawing>
      </w:r>
    </w:p>
    <w:p w14:paraId="4228C315"/>
    <w:p w14:paraId="30D0C2D7">
      <w:r>
        <w:rPr>
          <w:rFonts w:hint="eastAsia"/>
        </w:rPr>
        <w:t>点击右上角的转换按钮</w:t>
      </w:r>
      <w:r>
        <w:drawing>
          <wp:inline distT="0" distB="0" distL="0" distR="0">
            <wp:extent cx="121920" cy="114935"/>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31"/>
                    <a:stretch>
                      <a:fillRect/>
                    </a:stretch>
                  </pic:blipFill>
                  <pic:spPr>
                    <a:xfrm>
                      <a:off x="0" y="0"/>
                      <a:ext cx="122400" cy="115200"/>
                    </a:xfrm>
                    <a:prstGeom prst="rect">
                      <a:avLst/>
                    </a:prstGeom>
                  </pic:spPr>
                </pic:pic>
              </a:graphicData>
            </a:graphic>
          </wp:inline>
        </w:drawing>
      </w:r>
      <w:r>
        <w:rPr>
          <w:rFonts w:hint="eastAsia"/>
        </w:rPr>
        <w:t>，可切换为列表形式，如</w:t>
      </w:r>
      <w:r>
        <w:fldChar w:fldCharType="begin"/>
      </w:r>
      <w:r>
        <w:instrText xml:space="preserve">  REF _Ref5182739 \r \h  \* MERGEFORMAT </w:instrText>
      </w:r>
      <w:r>
        <w:fldChar w:fldCharType="separate"/>
      </w:r>
      <w:r>
        <w:rPr>
          <w:rFonts w:hint="eastAsia"/>
        </w:rPr>
        <w:t>图3-13</w:t>
      </w:r>
      <w:r>
        <w:fldChar w:fldCharType="end"/>
      </w:r>
      <w:r>
        <w:t>所示</w:t>
      </w:r>
      <w:r>
        <w:rPr>
          <w:rFonts w:hint="eastAsia"/>
        </w:rPr>
        <w:t>。</w:t>
      </w:r>
    </w:p>
    <w:p w14:paraId="53CF6D26">
      <w:pPr>
        <w:pStyle w:val="188"/>
      </w:pPr>
      <w:bookmarkStart w:id="125" w:name="_Ref5182739"/>
      <w:r>
        <w:rPr>
          <w:rFonts w:hint="eastAsia"/>
        </w:rPr>
        <w:t>用户流量列表</w:t>
      </w:r>
      <w:bookmarkEnd w:id="125"/>
    </w:p>
    <w:p w14:paraId="579B29BD">
      <w:r>
        <w:drawing>
          <wp:inline distT="0" distB="0" distL="0" distR="0">
            <wp:extent cx="5314950" cy="2140585"/>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37"/>
                    <a:stretch>
                      <a:fillRect/>
                    </a:stretch>
                  </pic:blipFill>
                  <pic:spPr>
                    <a:xfrm>
                      <a:off x="0" y="0"/>
                      <a:ext cx="5330287" cy="2146921"/>
                    </a:xfrm>
                    <a:prstGeom prst="rect">
                      <a:avLst/>
                    </a:prstGeom>
                  </pic:spPr>
                </pic:pic>
              </a:graphicData>
            </a:graphic>
          </wp:inline>
        </w:drawing>
      </w:r>
    </w:p>
    <w:p w14:paraId="769D16D1"/>
    <w:p w14:paraId="038143FE">
      <w:r>
        <w:rPr>
          <w:rFonts w:hint="eastAsia"/>
        </w:rPr>
        <w:t>对用户流量的详细说明如</w:t>
      </w:r>
      <w:r>
        <w:fldChar w:fldCharType="begin"/>
      </w:r>
      <w:r>
        <w:instrText xml:space="preserve">  REF _Ref4489232 \r \h  \* MERGEFORMAT </w:instrText>
      </w:r>
      <w:r>
        <w:fldChar w:fldCharType="separate"/>
      </w:r>
      <w:r>
        <w:rPr>
          <w:rFonts w:hint="eastAsia"/>
        </w:rPr>
        <w:t>表3-1</w:t>
      </w:r>
      <w:r>
        <w:fldChar w:fldCharType="end"/>
      </w:r>
      <w:r>
        <w:rPr>
          <w:rFonts w:hint="eastAsia"/>
        </w:rPr>
        <w:t>所示。</w:t>
      </w:r>
    </w:p>
    <w:p w14:paraId="111A28B0">
      <w:pPr>
        <w:pStyle w:val="183"/>
      </w:pPr>
      <w:bookmarkStart w:id="126" w:name="_Ref4489232"/>
      <w:r>
        <w:t>用户流量说明</w:t>
      </w:r>
      <w:bookmarkEnd w:id="126"/>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85"/>
        <w:gridCol w:w="6529"/>
      </w:tblGrid>
      <w:tr w14:paraId="0248071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tcBorders>
              <w:tl2br w:val="nil"/>
              <w:tr2bl w:val="nil"/>
            </w:tcBorders>
            <w:shd w:val="clear" w:color="auto" w:fill="538135" w:themeFill="accent6" w:themeFillShade="BF"/>
            <w:vAlign w:val="center"/>
          </w:tcPr>
          <w:p w14:paraId="3397B15E">
            <w:pPr>
              <w:pStyle w:val="149"/>
              <w:wordWrap/>
              <w:rPr>
                <w:b/>
                <w:bCs/>
                <w:i w:val="0"/>
                <w:iCs w:val="0"/>
              </w:rPr>
            </w:pPr>
            <w:r>
              <w:rPr>
                <w:rFonts w:hint="eastAsia"/>
                <w:b/>
                <w:bCs/>
                <w:i w:val="0"/>
                <w:iCs w:val="0"/>
              </w:rPr>
              <w:t>标题项</w:t>
            </w:r>
          </w:p>
        </w:tc>
        <w:tc>
          <w:tcPr>
            <w:tcW w:w="6529" w:type="dxa"/>
            <w:tcBorders>
              <w:tl2br w:val="nil"/>
              <w:tr2bl w:val="nil"/>
            </w:tcBorders>
            <w:shd w:val="clear" w:color="auto" w:fill="538135" w:themeFill="accent6" w:themeFillShade="BF"/>
            <w:vAlign w:val="center"/>
          </w:tcPr>
          <w:p w14:paraId="5D7C3D49">
            <w:pPr>
              <w:pStyle w:val="149"/>
              <w:wordWrap/>
              <w:rPr>
                <w:b/>
                <w:bCs/>
                <w:i w:val="0"/>
                <w:iCs w:val="0"/>
              </w:rPr>
            </w:pPr>
            <w:r>
              <w:rPr>
                <w:rFonts w:hint="eastAsia"/>
                <w:b/>
                <w:bCs/>
                <w:i w:val="0"/>
                <w:iCs w:val="0"/>
              </w:rPr>
              <w:t>说明</w:t>
            </w:r>
          </w:p>
        </w:tc>
      </w:tr>
      <w:tr w14:paraId="5FEF58B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2043E015">
            <w:pPr>
              <w:pStyle w:val="150"/>
            </w:pPr>
            <w:r>
              <w:rPr>
                <w:rFonts w:hint="eastAsia"/>
              </w:rPr>
              <w:t>用户</w:t>
            </w:r>
          </w:p>
        </w:tc>
        <w:tc>
          <w:tcPr>
            <w:tcW w:w="6529" w:type="dxa"/>
            <w:shd w:val="clear" w:color="auto" w:fill="auto"/>
          </w:tcPr>
          <w:p w14:paraId="66F8555A">
            <w:pPr>
              <w:pStyle w:val="150"/>
            </w:pPr>
            <w:r>
              <w:rPr>
                <w:rFonts w:hint="eastAsia"/>
              </w:rPr>
              <w:t>通过设备上网的用户，可为绑定</w:t>
            </w:r>
            <w:r>
              <w:rPr>
                <w:rFonts w:cs="Arial"/>
              </w:rPr>
              <w:t>IP</w:t>
            </w:r>
            <w:r>
              <w:rPr>
                <w:rFonts w:hint="eastAsia"/>
              </w:rPr>
              <w:t>的用户，也可为认证用户。</w:t>
            </w:r>
          </w:p>
        </w:tc>
      </w:tr>
      <w:tr w14:paraId="003623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7C2BBB26">
            <w:pPr>
              <w:pStyle w:val="150"/>
            </w:pPr>
            <w:r>
              <w:rPr>
                <w:rFonts w:hint="eastAsia"/>
              </w:rPr>
              <w:t>用户组</w:t>
            </w:r>
          </w:p>
        </w:tc>
        <w:tc>
          <w:tcPr>
            <w:tcW w:w="6529" w:type="dxa"/>
            <w:shd w:val="clear" w:color="auto" w:fill="auto"/>
          </w:tcPr>
          <w:p w14:paraId="34B78A01">
            <w:pPr>
              <w:pStyle w:val="150"/>
            </w:pPr>
            <w:r>
              <w:rPr>
                <w:rFonts w:hint="eastAsia"/>
              </w:rPr>
              <w:t>通过设备上网的用户所属的用户组。</w:t>
            </w:r>
          </w:p>
        </w:tc>
      </w:tr>
      <w:tr w14:paraId="6A6457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37ED7503">
            <w:pPr>
              <w:pStyle w:val="150"/>
            </w:pPr>
            <w:r>
              <w:rPr>
                <w:rFonts w:hint="eastAsia"/>
              </w:rPr>
              <w:t>上行</w:t>
            </w:r>
          </w:p>
        </w:tc>
        <w:tc>
          <w:tcPr>
            <w:tcW w:w="6529" w:type="dxa"/>
            <w:shd w:val="clear" w:color="auto" w:fill="auto"/>
          </w:tcPr>
          <w:p w14:paraId="2BAEC265">
            <w:pPr>
              <w:pStyle w:val="150"/>
            </w:pPr>
            <w:r>
              <w:rPr>
                <w:rFonts w:hint="eastAsia"/>
              </w:rPr>
              <w:t>显示该用户当前上行流速大小。</w:t>
            </w:r>
          </w:p>
        </w:tc>
      </w:tr>
      <w:tr w14:paraId="201FC8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267B26C0">
            <w:pPr>
              <w:pStyle w:val="150"/>
            </w:pPr>
            <w:r>
              <w:rPr>
                <w:rFonts w:hint="eastAsia"/>
              </w:rPr>
              <w:t>下行</w:t>
            </w:r>
          </w:p>
        </w:tc>
        <w:tc>
          <w:tcPr>
            <w:tcW w:w="6529" w:type="dxa"/>
            <w:shd w:val="clear" w:color="auto" w:fill="auto"/>
          </w:tcPr>
          <w:p w14:paraId="5D8A5D07">
            <w:pPr>
              <w:pStyle w:val="150"/>
            </w:pPr>
            <w:r>
              <w:rPr>
                <w:rFonts w:hint="eastAsia"/>
              </w:rPr>
              <w:t>显示该用户当前下行流速大小。</w:t>
            </w:r>
          </w:p>
        </w:tc>
      </w:tr>
      <w:tr w14:paraId="1DF59B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7E4CA998">
            <w:pPr>
              <w:pStyle w:val="150"/>
            </w:pPr>
            <w:r>
              <w:rPr>
                <w:rFonts w:hint="eastAsia"/>
              </w:rPr>
              <w:t>总流速</w:t>
            </w:r>
          </w:p>
        </w:tc>
        <w:tc>
          <w:tcPr>
            <w:tcW w:w="6529" w:type="dxa"/>
            <w:shd w:val="clear" w:color="auto" w:fill="auto"/>
          </w:tcPr>
          <w:p w14:paraId="5E131ABD">
            <w:pPr>
              <w:pStyle w:val="150"/>
            </w:pPr>
            <w:r>
              <w:rPr>
                <w:rFonts w:hint="eastAsia"/>
              </w:rPr>
              <w:t>显示该用户当前上下行总流速大小。</w:t>
            </w:r>
          </w:p>
        </w:tc>
      </w:tr>
    </w:tbl>
    <w:p w14:paraId="725B6B58"/>
    <w:p w14:paraId="3831F3C0">
      <w:r>
        <w:rPr>
          <w:rFonts w:hint="eastAsia"/>
        </w:rPr>
        <w:t>点击右上角&lt;刷新&gt;按钮可以立即刷新当前的显示。</w:t>
      </w:r>
    </w:p>
    <w:p w14:paraId="6F60CC10">
      <w:r>
        <w:rPr>
          <w:rFonts w:hint="eastAsia"/>
        </w:rPr>
        <w:t>点击具体用户名，如</w:t>
      </w:r>
      <w:r>
        <w:rPr>
          <w:color w:val="0000FF"/>
          <w:u w:val="single"/>
        </w:rPr>
        <w:fldChar w:fldCharType="begin"/>
      </w:r>
      <w:r>
        <w:rPr>
          <w:color w:val="0000FF"/>
          <w:u w:val="single"/>
        </w:rPr>
        <w:instrText xml:space="preserve">  REF _Ref4489305 \r \h  \* MERGEFORMAT </w:instrText>
      </w:r>
      <w:r>
        <w:rPr>
          <w:color w:val="0000FF"/>
          <w:u w:val="single"/>
        </w:rPr>
        <w:fldChar w:fldCharType="separate"/>
      </w:r>
      <w:r>
        <w:rPr>
          <w:rFonts w:hint="eastAsia"/>
          <w:color w:val="0000FF"/>
          <w:u w:val="single"/>
        </w:rPr>
        <w:t>图3-14</w:t>
      </w:r>
      <w:r>
        <w:rPr>
          <w:color w:val="0000FF"/>
          <w:u w:val="single"/>
        </w:rPr>
        <w:fldChar w:fldCharType="end"/>
      </w:r>
      <w:r>
        <w:rPr>
          <w:rFonts w:hint="eastAsia"/>
        </w:rPr>
        <w:t>所示，可查看该用户流量详细信息，</w:t>
      </w:r>
      <w:r>
        <w:t>包括</w:t>
      </w:r>
      <w:r>
        <w:rPr>
          <w:rFonts w:hint="eastAsia"/>
        </w:rPr>
        <w:t>用户会话、用户实时流速、应用统计详细信息。</w:t>
      </w:r>
    </w:p>
    <w:p w14:paraId="6F816E4E">
      <w:pPr>
        <w:pStyle w:val="188"/>
      </w:pPr>
      <w:bookmarkStart w:id="127" w:name="_Ref4489305"/>
      <w:bookmarkStart w:id="128" w:name="_Ref5211324"/>
      <w:r>
        <w:t>用户流量</w:t>
      </w:r>
      <w:bookmarkEnd w:id="127"/>
      <w:r>
        <w:t>详细信息</w:t>
      </w:r>
      <w:bookmarkEnd w:id="128"/>
    </w:p>
    <w:p w14:paraId="5371A723">
      <w:pPr>
        <w:pStyle w:val="175"/>
      </w:pPr>
      <w:r>
        <w:drawing>
          <wp:inline distT="0" distB="0" distL="0" distR="0">
            <wp:extent cx="5438775" cy="2651125"/>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38"/>
                    <a:stretch>
                      <a:fillRect/>
                    </a:stretch>
                  </pic:blipFill>
                  <pic:spPr>
                    <a:xfrm>
                      <a:off x="0" y="0"/>
                      <a:ext cx="5454674" cy="2659146"/>
                    </a:xfrm>
                    <a:prstGeom prst="rect">
                      <a:avLst/>
                    </a:prstGeom>
                  </pic:spPr>
                </pic:pic>
              </a:graphicData>
            </a:graphic>
          </wp:inline>
        </w:drawing>
      </w:r>
    </w:p>
    <w:p w14:paraId="4A25CCD8">
      <w:pPr>
        <w:pStyle w:val="175"/>
      </w:pPr>
      <w:r>
        <w:drawing>
          <wp:inline distT="0" distB="0" distL="0" distR="0">
            <wp:extent cx="5505450" cy="2778125"/>
            <wp:effectExtent l="0" t="0" r="0" b="317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39"/>
                    <a:stretch>
                      <a:fillRect/>
                    </a:stretch>
                  </pic:blipFill>
                  <pic:spPr>
                    <a:xfrm>
                      <a:off x="0" y="0"/>
                      <a:ext cx="5510026" cy="2780451"/>
                    </a:xfrm>
                    <a:prstGeom prst="rect">
                      <a:avLst/>
                    </a:prstGeom>
                  </pic:spPr>
                </pic:pic>
              </a:graphicData>
            </a:graphic>
          </wp:inline>
        </w:drawing>
      </w:r>
    </w:p>
    <w:p w14:paraId="27306039"/>
    <w:p w14:paraId="05E837D0">
      <w:pPr>
        <w:pStyle w:val="5"/>
      </w:pPr>
      <w:bookmarkStart w:id="129" w:name="_Toc5208265"/>
      <w:bookmarkEnd w:id="129"/>
      <w:bookmarkStart w:id="130" w:name="_Toc58603577"/>
      <w:bookmarkStart w:id="131" w:name="_Toc70414037"/>
      <w:bookmarkStart w:id="132" w:name="_Toc196727931"/>
      <w:bookmarkStart w:id="133" w:name="_Toc70414974"/>
      <w:r>
        <w:rPr>
          <w:rFonts w:hint="eastAsia"/>
        </w:rPr>
        <w:t>应用流量</w:t>
      </w:r>
      <w:bookmarkEnd w:id="130"/>
      <w:bookmarkEnd w:id="131"/>
      <w:bookmarkEnd w:id="132"/>
      <w:bookmarkEnd w:id="133"/>
    </w:p>
    <w:p w14:paraId="38B1D684">
      <w:r>
        <w:rPr>
          <w:rFonts w:hint="eastAsia"/>
        </w:rPr>
        <w:t>在导航栏中选择“主页”，可以看到“应用流量”标签，如</w:t>
      </w:r>
      <w:r>
        <w:fldChar w:fldCharType="begin"/>
      </w:r>
      <w:r>
        <w:instrText xml:space="preserve">  REF _Ref392865337 \r \h  \* MERGEFORMAT </w:instrText>
      </w:r>
      <w:r>
        <w:fldChar w:fldCharType="separate"/>
      </w:r>
      <w:r>
        <w:rPr>
          <w:rFonts w:hint="eastAsia"/>
        </w:rPr>
        <w:t>图3-15</w:t>
      </w:r>
      <w:r>
        <w:fldChar w:fldCharType="end"/>
      </w:r>
      <w:r>
        <w:t>所示</w:t>
      </w:r>
      <w:r>
        <w:rPr>
          <w:rFonts w:hint="eastAsia"/>
        </w:rPr>
        <w:t>。</w:t>
      </w:r>
    </w:p>
    <w:p w14:paraId="197F6963">
      <w:pPr>
        <w:pStyle w:val="188"/>
      </w:pPr>
      <w:bookmarkStart w:id="134" w:name="_Ref392865337"/>
      <w:r>
        <w:rPr>
          <w:rFonts w:hint="eastAsia"/>
        </w:rPr>
        <w:t>应用流量</w:t>
      </w:r>
      <w:bookmarkEnd w:id="134"/>
    </w:p>
    <w:p w14:paraId="47FAAFDD">
      <w:pPr>
        <w:pStyle w:val="175"/>
      </w:pPr>
      <w:r>
        <w:drawing>
          <wp:inline distT="0" distB="0" distL="0" distR="0">
            <wp:extent cx="5029200" cy="2564130"/>
            <wp:effectExtent l="0" t="0" r="0" b="762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40"/>
                    <a:stretch>
                      <a:fillRect/>
                    </a:stretch>
                  </pic:blipFill>
                  <pic:spPr>
                    <a:xfrm>
                      <a:off x="0" y="0"/>
                      <a:ext cx="5044299" cy="2572127"/>
                    </a:xfrm>
                    <a:prstGeom prst="rect">
                      <a:avLst/>
                    </a:prstGeom>
                  </pic:spPr>
                </pic:pic>
              </a:graphicData>
            </a:graphic>
          </wp:inline>
        </w:drawing>
      </w:r>
    </w:p>
    <w:p w14:paraId="77399443"/>
    <w:p w14:paraId="76F9CC84">
      <w:r>
        <w:rPr>
          <w:rFonts w:hint="eastAsia"/>
        </w:rPr>
        <w:t>点击右上角的转换按钮</w:t>
      </w:r>
      <w:r>
        <w:drawing>
          <wp:inline distT="0" distB="0" distL="0" distR="0">
            <wp:extent cx="121920" cy="114935"/>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31"/>
                    <a:stretch>
                      <a:fillRect/>
                    </a:stretch>
                  </pic:blipFill>
                  <pic:spPr>
                    <a:xfrm>
                      <a:off x="0" y="0"/>
                      <a:ext cx="122400" cy="115200"/>
                    </a:xfrm>
                    <a:prstGeom prst="rect">
                      <a:avLst/>
                    </a:prstGeom>
                  </pic:spPr>
                </pic:pic>
              </a:graphicData>
            </a:graphic>
          </wp:inline>
        </w:drawing>
      </w:r>
      <w:r>
        <w:rPr>
          <w:rFonts w:hint="eastAsia"/>
        </w:rPr>
        <w:t>，可切换为列表形式，如</w:t>
      </w:r>
      <w:r>
        <w:fldChar w:fldCharType="begin"/>
      </w:r>
      <w:r>
        <w:instrText xml:space="preserve">  REF _Ref5182739 \r \h  \* MERGEFORMAT </w:instrText>
      </w:r>
      <w:r>
        <w:fldChar w:fldCharType="separate"/>
      </w:r>
      <w:r>
        <w:rPr>
          <w:rFonts w:hint="eastAsia"/>
        </w:rPr>
        <w:t>图3-13</w:t>
      </w:r>
      <w:r>
        <w:fldChar w:fldCharType="end"/>
      </w:r>
      <w:r>
        <w:t>所示</w:t>
      </w:r>
      <w:r>
        <w:rPr>
          <w:rFonts w:hint="eastAsia"/>
        </w:rPr>
        <w:t>。</w:t>
      </w:r>
    </w:p>
    <w:p w14:paraId="6827DFA8">
      <w:pPr>
        <w:pStyle w:val="188"/>
      </w:pPr>
      <w:r>
        <w:rPr>
          <w:rFonts w:hint="eastAsia"/>
        </w:rPr>
        <w:t>应用流量排名列表</w:t>
      </w:r>
    </w:p>
    <w:p w14:paraId="5CBC2C09">
      <w:pPr>
        <w:pStyle w:val="175"/>
      </w:pPr>
      <w:r>
        <w:drawing>
          <wp:inline distT="0" distB="0" distL="0" distR="0">
            <wp:extent cx="5029200" cy="2591435"/>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41"/>
                    <a:stretch>
                      <a:fillRect/>
                    </a:stretch>
                  </pic:blipFill>
                  <pic:spPr>
                    <a:xfrm>
                      <a:off x="0" y="0"/>
                      <a:ext cx="5044087" cy="2599230"/>
                    </a:xfrm>
                    <a:prstGeom prst="rect">
                      <a:avLst/>
                    </a:prstGeom>
                  </pic:spPr>
                </pic:pic>
              </a:graphicData>
            </a:graphic>
          </wp:inline>
        </w:drawing>
      </w:r>
    </w:p>
    <w:p w14:paraId="39F246B6"/>
    <w:p w14:paraId="1E8F8E1C">
      <w:r>
        <w:rPr>
          <w:rFonts w:hint="eastAsia"/>
        </w:rPr>
        <w:t>对应用流量的详细说明如</w:t>
      </w:r>
      <w:r>
        <w:fldChar w:fldCharType="begin"/>
      </w:r>
      <w:r>
        <w:instrText xml:space="preserve">  REF _Ref392926344 \r \h  \* MERGEFORMAT </w:instrText>
      </w:r>
      <w:r>
        <w:fldChar w:fldCharType="separate"/>
      </w:r>
      <w:r>
        <w:rPr>
          <w:rFonts w:hint="eastAsia"/>
        </w:rPr>
        <w:t>表3-1</w:t>
      </w:r>
      <w:r>
        <w:fldChar w:fldCharType="end"/>
      </w:r>
      <w:r>
        <w:rPr>
          <w:rFonts w:hint="eastAsia"/>
        </w:rPr>
        <w:t>所示。</w:t>
      </w:r>
    </w:p>
    <w:p w14:paraId="044B816C">
      <w:pPr>
        <w:pStyle w:val="183"/>
      </w:pPr>
      <w:bookmarkStart w:id="135" w:name="_Ref392926344"/>
      <w:r>
        <w:t>应用流量排名说明</w:t>
      </w:r>
      <w:bookmarkEnd w:id="135"/>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85"/>
        <w:gridCol w:w="6529"/>
      </w:tblGrid>
      <w:tr w14:paraId="1406757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5FB0B704">
            <w:pPr>
              <w:pStyle w:val="149"/>
              <w:wordWrap/>
              <w:rPr>
                <w:b/>
                <w:bCs/>
                <w:i w:val="0"/>
                <w:iCs w:val="0"/>
              </w:rPr>
            </w:pPr>
            <w:r>
              <w:rPr>
                <w:rFonts w:hint="eastAsia"/>
                <w:b/>
                <w:bCs/>
                <w:i w:val="0"/>
                <w:iCs w:val="0"/>
              </w:rPr>
              <w:t>标题项</w:t>
            </w:r>
          </w:p>
        </w:tc>
        <w:tc>
          <w:tcPr>
            <w:tcW w:w="6542" w:type="dxa"/>
            <w:tcBorders>
              <w:tl2br w:val="nil"/>
              <w:tr2bl w:val="nil"/>
            </w:tcBorders>
            <w:shd w:val="clear" w:color="auto" w:fill="538135" w:themeFill="accent6" w:themeFillShade="BF"/>
            <w:vAlign w:val="center"/>
          </w:tcPr>
          <w:p w14:paraId="196A09CB">
            <w:pPr>
              <w:pStyle w:val="149"/>
              <w:wordWrap/>
              <w:rPr>
                <w:b/>
                <w:bCs/>
                <w:i w:val="0"/>
                <w:iCs w:val="0"/>
              </w:rPr>
            </w:pPr>
            <w:r>
              <w:rPr>
                <w:rFonts w:hint="eastAsia"/>
                <w:b/>
                <w:bCs/>
                <w:i w:val="0"/>
                <w:iCs w:val="0"/>
              </w:rPr>
              <w:t>说明</w:t>
            </w:r>
          </w:p>
        </w:tc>
      </w:tr>
      <w:tr w14:paraId="7624C75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56D4D2A2">
            <w:pPr>
              <w:pStyle w:val="150"/>
            </w:pPr>
            <w:r>
              <w:rPr>
                <w:rFonts w:hint="eastAsia"/>
              </w:rPr>
              <w:t>应用类型</w:t>
            </w:r>
          </w:p>
        </w:tc>
        <w:tc>
          <w:tcPr>
            <w:tcW w:w="6542" w:type="dxa"/>
            <w:shd w:val="clear" w:color="auto" w:fill="auto"/>
          </w:tcPr>
          <w:p w14:paraId="3DA1757B">
            <w:pPr>
              <w:pStyle w:val="150"/>
            </w:pPr>
            <w:r>
              <w:rPr>
                <w:rFonts w:hint="eastAsia"/>
              </w:rPr>
              <w:t>列举当前总流速排名前十的应用名称。</w:t>
            </w:r>
          </w:p>
        </w:tc>
      </w:tr>
      <w:tr w14:paraId="6425A54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C008F19">
            <w:pPr>
              <w:pStyle w:val="150"/>
            </w:pPr>
            <w:r>
              <w:rPr>
                <w:rFonts w:hint="eastAsia"/>
              </w:rPr>
              <w:t>上行</w:t>
            </w:r>
          </w:p>
        </w:tc>
        <w:tc>
          <w:tcPr>
            <w:tcW w:w="6542" w:type="dxa"/>
            <w:shd w:val="clear" w:color="auto" w:fill="auto"/>
          </w:tcPr>
          <w:p w14:paraId="3C7EB655">
            <w:pPr>
              <w:pStyle w:val="150"/>
            </w:pPr>
            <w:r>
              <w:rPr>
                <w:rFonts w:hint="eastAsia"/>
              </w:rPr>
              <w:t>显示该应用当前上行流速大小。</w:t>
            </w:r>
          </w:p>
        </w:tc>
      </w:tr>
      <w:tr w14:paraId="2C58F9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1342A329">
            <w:pPr>
              <w:pStyle w:val="150"/>
            </w:pPr>
            <w:r>
              <w:rPr>
                <w:rFonts w:hint="eastAsia"/>
              </w:rPr>
              <w:t>下行</w:t>
            </w:r>
          </w:p>
        </w:tc>
        <w:tc>
          <w:tcPr>
            <w:tcW w:w="6542" w:type="dxa"/>
            <w:shd w:val="clear" w:color="auto" w:fill="auto"/>
          </w:tcPr>
          <w:p w14:paraId="7E7A13DD">
            <w:pPr>
              <w:pStyle w:val="150"/>
            </w:pPr>
            <w:r>
              <w:rPr>
                <w:rFonts w:hint="eastAsia"/>
              </w:rPr>
              <w:t>显示该应用当前下行流速大小。</w:t>
            </w:r>
          </w:p>
        </w:tc>
      </w:tr>
      <w:tr w14:paraId="6BC962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6C65930D">
            <w:pPr>
              <w:pStyle w:val="150"/>
            </w:pPr>
            <w:r>
              <w:rPr>
                <w:rFonts w:hint="eastAsia"/>
              </w:rPr>
              <w:t>总流速</w:t>
            </w:r>
          </w:p>
        </w:tc>
        <w:tc>
          <w:tcPr>
            <w:tcW w:w="6542" w:type="dxa"/>
            <w:shd w:val="clear" w:color="auto" w:fill="auto"/>
          </w:tcPr>
          <w:p w14:paraId="0FC74C5E">
            <w:pPr>
              <w:pStyle w:val="150"/>
            </w:pPr>
            <w:r>
              <w:rPr>
                <w:rFonts w:hint="eastAsia"/>
              </w:rPr>
              <w:t>显示该应用当前上下行总流速大小。</w:t>
            </w:r>
          </w:p>
        </w:tc>
      </w:tr>
      <w:tr w14:paraId="7A492E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7CE027D">
            <w:pPr>
              <w:pStyle w:val="150"/>
            </w:pPr>
            <w:r>
              <w:rPr>
                <w:rFonts w:hint="eastAsia"/>
              </w:rPr>
              <w:t>百分比</w:t>
            </w:r>
          </w:p>
        </w:tc>
        <w:tc>
          <w:tcPr>
            <w:tcW w:w="6542" w:type="dxa"/>
            <w:shd w:val="clear" w:color="auto" w:fill="auto"/>
          </w:tcPr>
          <w:p w14:paraId="25424476">
            <w:pPr>
              <w:pStyle w:val="150"/>
            </w:pPr>
            <w:r>
              <w:rPr>
                <w:rFonts w:hint="eastAsia"/>
              </w:rPr>
              <w:t>显示该应用当前总流速占整体流速的百分比。</w:t>
            </w:r>
          </w:p>
        </w:tc>
      </w:tr>
    </w:tbl>
    <w:p w14:paraId="648B75DE"/>
    <w:p w14:paraId="5535AABA">
      <w:r>
        <w:rPr>
          <w:rFonts w:hint="eastAsia"/>
        </w:rPr>
        <w:t>点击右上角&lt;刷新&gt;按钮可以立即刷新当前的显示。</w:t>
      </w:r>
    </w:p>
    <w:p w14:paraId="06E37CB0">
      <w:r>
        <w:rPr>
          <w:rFonts w:hint="eastAsia"/>
        </w:rPr>
        <w:t>点击应用名称，如</w:t>
      </w:r>
      <w:r>
        <w:fldChar w:fldCharType="begin"/>
      </w:r>
      <w:r>
        <w:instrText xml:space="preserve">  REF _Ref392926330 \r \h  \* MERGEFORMAT </w:instrText>
      </w:r>
      <w:r>
        <w:fldChar w:fldCharType="separate"/>
      </w:r>
      <w:r>
        <w:rPr>
          <w:rFonts w:hint="eastAsia"/>
        </w:rPr>
        <w:t>图3-17</w:t>
      </w:r>
      <w:r>
        <w:fldChar w:fldCharType="end"/>
      </w:r>
      <w:r>
        <w:t>所示</w:t>
      </w:r>
      <w:r>
        <w:rPr>
          <w:rFonts w:hint="eastAsia"/>
        </w:rPr>
        <w:t>，可查看该应用流量下排名前五的用户，并显示用户名、上行、下行和总流速。</w:t>
      </w:r>
    </w:p>
    <w:p w14:paraId="60331A9E">
      <w:pPr>
        <w:pStyle w:val="188"/>
      </w:pPr>
      <w:bookmarkStart w:id="136" w:name="_Ref392926330"/>
      <w:r>
        <w:rPr>
          <w:rFonts w:hint="eastAsia"/>
        </w:rPr>
        <w:t>应用流量详细信息</w:t>
      </w:r>
      <w:bookmarkEnd w:id="136"/>
    </w:p>
    <w:p w14:paraId="2390FF75">
      <w:pPr>
        <w:pStyle w:val="175"/>
      </w:pPr>
      <w:r>
        <w:drawing>
          <wp:inline distT="0" distB="0" distL="0" distR="0">
            <wp:extent cx="5305425" cy="2728595"/>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42"/>
                    <a:stretch>
                      <a:fillRect/>
                    </a:stretch>
                  </pic:blipFill>
                  <pic:spPr>
                    <a:xfrm>
                      <a:off x="0" y="0"/>
                      <a:ext cx="5309497" cy="2731039"/>
                    </a:xfrm>
                    <a:prstGeom prst="rect">
                      <a:avLst/>
                    </a:prstGeom>
                  </pic:spPr>
                </pic:pic>
              </a:graphicData>
            </a:graphic>
          </wp:inline>
        </w:drawing>
      </w:r>
    </w:p>
    <w:p w14:paraId="0CA5001A"/>
    <w:p w14:paraId="31019BB2">
      <w:pPr>
        <w:pStyle w:val="5"/>
      </w:pPr>
      <w:bookmarkStart w:id="137" w:name="_Toc70414038"/>
      <w:bookmarkStart w:id="138" w:name="_Toc70414975"/>
      <w:bookmarkStart w:id="139" w:name="_Toc196727932"/>
      <w:bookmarkStart w:id="140" w:name="_Toc58603578"/>
      <w:r>
        <w:rPr>
          <w:rFonts w:hint="eastAsia"/>
        </w:rPr>
        <w:t>系统日志</w:t>
      </w:r>
      <w:bookmarkEnd w:id="137"/>
      <w:bookmarkEnd w:id="138"/>
      <w:bookmarkEnd w:id="139"/>
      <w:bookmarkEnd w:id="140"/>
    </w:p>
    <w:p w14:paraId="25BEC2A0">
      <w:r>
        <w:rPr>
          <w:rFonts w:hint="eastAsia"/>
        </w:rPr>
        <w:t>在导航栏中选择“主页”，可以看到“系统日志”标签，如</w:t>
      </w:r>
      <w:r>
        <w:rPr>
          <w:color w:val="0000FF"/>
          <w:u w:val="single"/>
        </w:rPr>
        <w:fldChar w:fldCharType="begin"/>
      </w:r>
      <w:r>
        <w:rPr>
          <w:color w:val="0000FF"/>
          <w:u w:val="single"/>
        </w:rPr>
        <w:instrText xml:space="preserve">  REF _Ref392927135 \r \h  \* MERGEFORMAT </w:instrText>
      </w:r>
      <w:r>
        <w:rPr>
          <w:color w:val="0000FF"/>
          <w:u w:val="single"/>
        </w:rPr>
        <w:fldChar w:fldCharType="separate"/>
      </w:r>
      <w:r>
        <w:rPr>
          <w:rFonts w:hint="eastAsia"/>
          <w:color w:val="0000FF"/>
          <w:u w:val="single"/>
        </w:rPr>
        <w:t>图3-18</w:t>
      </w:r>
      <w:r>
        <w:rPr>
          <w:color w:val="0000FF"/>
          <w:u w:val="single"/>
        </w:rPr>
        <w:fldChar w:fldCharType="end"/>
      </w:r>
      <w:r>
        <w:t>所示</w:t>
      </w:r>
      <w:r>
        <w:rPr>
          <w:rFonts w:hint="eastAsia"/>
        </w:rPr>
        <w:t>。该面板可展示级别为警告及以上的最近20条系统日志，从而判断实际设备运行情况。</w:t>
      </w:r>
    </w:p>
    <w:p w14:paraId="223D2821">
      <w:pPr>
        <w:pStyle w:val="188"/>
      </w:pPr>
      <w:bookmarkStart w:id="141" w:name="_Ref392927135"/>
      <w:r>
        <w:t>系统日志</w:t>
      </w:r>
      <w:bookmarkEnd w:id="141"/>
    </w:p>
    <w:p w14:paraId="1F392FB7">
      <w:pPr>
        <w:pStyle w:val="175"/>
      </w:pPr>
      <w:r>
        <w:drawing>
          <wp:inline distT="0" distB="0" distL="0" distR="0">
            <wp:extent cx="5486400" cy="1685925"/>
            <wp:effectExtent l="0" t="0" r="0" b="9525"/>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43"/>
                    <a:stretch>
                      <a:fillRect/>
                    </a:stretch>
                  </pic:blipFill>
                  <pic:spPr>
                    <a:xfrm>
                      <a:off x="0" y="0"/>
                      <a:ext cx="5497673" cy="1689573"/>
                    </a:xfrm>
                    <a:prstGeom prst="rect">
                      <a:avLst/>
                    </a:prstGeom>
                  </pic:spPr>
                </pic:pic>
              </a:graphicData>
            </a:graphic>
          </wp:inline>
        </w:drawing>
      </w:r>
    </w:p>
    <w:p w14:paraId="6FE83C05"/>
    <w:p w14:paraId="3B538307">
      <w:r>
        <w:rPr>
          <w:rFonts w:hint="eastAsia"/>
        </w:rPr>
        <w:t>对系统日志的详细说明如</w:t>
      </w:r>
      <w:r>
        <w:fldChar w:fldCharType="begin"/>
      </w:r>
      <w:r>
        <w:instrText xml:space="preserve">  REF _Ref392928050 \r \h  \* MERGEFORMAT </w:instrText>
      </w:r>
      <w:r>
        <w:fldChar w:fldCharType="separate"/>
      </w:r>
      <w:r>
        <w:rPr>
          <w:rFonts w:hint="eastAsia"/>
        </w:rPr>
        <w:t>表3-1</w:t>
      </w:r>
      <w:r>
        <w:fldChar w:fldCharType="end"/>
      </w:r>
      <w:r>
        <w:rPr>
          <w:rFonts w:hint="eastAsia"/>
        </w:rPr>
        <w:t>所示。</w:t>
      </w:r>
    </w:p>
    <w:p w14:paraId="0DD67D16">
      <w:pPr>
        <w:pStyle w:val="183"/>
      </w:pPr>
      <w:bookmarkStart w:id="142" w:name="_Ref392928050"/>
      <w:r>
        <w:rPr>
          <w:rFonts w:hint="eastAsia"/>
        </w:rPr>
        <w:t>系统</w:t>
      </w:r>
      <w:r>
        <w:t>日志说明</w:t>
      </w:r>
      <w:bookmarkEnd w:id="142"/>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85"/>
        <w:gridCol w:w="6529"/>
      </w:tblGrid>
      <w:tr w14:paraId="0FE6FDC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tcBorders>
              <w:tl2br w:val="nil"/>
              <w:tr2bl w:val="nil"/>
            </w:tcBorders>
            <w:shd w:val="clear" w:color="auto" w:fill="538135" w:themeFill="accent6" w:themeFillShade="BF"/>
            <w:vAlign w:val="center"/>
          </w:tcPr>
          <w:p w14:paraId="78896ACA">
            <w:pPr>
              <w:pStyle w:val="149"/>
              <w:wordWrap/>
              <w:rPr>
                <w:b/>
                <w:bCs/>
                <w:i w:val="0"/>
                <w:iCs w:val="0"/>
              </w:rPr>
            </w:pPr>
            <w:r>
              <w:rPr>
                <w:rFonts w:hint="eastAsia"/>
                <w:b/>
                <w:bCs/>
                <w:i w:val="0"/>
                <w:iCs w:val="0"/>
              </w:rPr>
              <w:t>标题项</w:t>
            </w:r>
          </w:p>
        </w:tc>
        <w:tc>
          <w:tcPr>
            <w:tcW w:w="6529" w:type="dxa"/>
            <w:tcBorders>
              <w:tl2br w:val="nil"/>
              <w:tr2bl w:val="nil"/>
            </w:tcBorders>
            <w:shd w:val="clear" w:color="auto" w:fill="538135" w:themeFill="accent6" w:themeFillShade="BF"/>
            <w:vAlign w:val="center"/>
          </w:tcPr>
          <w:p w14:paraId="4AD2B142">
            <w:pPr>
              <w:pStyle w:val="149"/>
              <w:wordWrap/>
              <w:rPr>
                <w:b/>
                <w:bCs/>
                <w:i w:val="0"/>
                <w:iCs w:val="0"/>
              </w:rPr>
            </w:pPr>
            <w:r>
              <w:rPr>
                <w:rFonts w:hint="eastAsia"/>
                <w:b/>
                <w:bCs/>
                <w:i w:val="0"/>
                <w:iCs w:val="0"/>
              </w:rPr>
              <w:t>说明</w:t>
            </w:r>
          </w:p>
        </w:tc>
      </w:tr>
      <w:tr w14:paraId="1E8836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2BA29C1A">
            <w:pPr>
              <w:pStyle w:val="150"/>
            </w:pPr>
            <w:r>
              <w:rPr>
                <w:rFonts w:hint="eastAsia"/>
              </w:rPr>
              <w:t>日志内容</w:t>
            </w:r>
          </w:p>
        </w:tc>
        <w:tc>
          <w:tcPr>
            <w:tcW w:w="6529" w:type="dxa"/>
            <w:shd w:val="clear" w:color="auto" w:fill="auto"/>
          </w:tcPr>
          <w:p w14:paraId="184B5F00">
            <w:pPr>
              <w:pStyle w:val="150"/>
            </w:pPr>
            <w:r>
              <w:rPr>
                <w:rFonts w:hint="eastAsia"/>
              </w:rPr>
              <w:t>日志的详细说明内容</w:t>
            </w:r>
          </w:p>
        </w:tc>
      </w:tr>
      <w:tr w14:paraId="74A74B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6A9BD81F">
            <w:pPr>
              <w:pStyle w:val="150"/>
            </w:pPr>
            <w:r>
              <w:rPr>
                <w:rFonts w:hint="eastAsia"/>
              </w:rPr>
              <w:t>时间</w:t>
            </w:r>
          </w:p>
        </w:tc>
        <w:tc>
          <w:tcPr>
            <w:tcW w:w="6529" w:type="dxa"/>
            <w:shd w:val="clear" w:color="auto" w:fill="auto"/>
          </w:tcPr>
          <w:p w14:paraId="77BEFAC5">
            <w:pPr>
              <w:pStyle w:val="150"/>
            </w:pPr>
            <w:r>
              <w:rPr>
                <w:rFonts w:hint="eastAsia"/>
              </w:rPr>
              <w:t>日志产生时间</w:t>
            </w:r>
          </w:p>
        </w:tc>
      </w:tr>
    </w:tbl>
    <w:p w14:paraId="51130701"/>
    <w:p w14:paraId="620098FD">
      <w:r>
        <w:rPr>
          <w:rFonts w:hint="eastAsia"/>
        </w:rPr>
        <w:t>点击右上角&lt;刷新&gt;按钮可以立即刷新当前的显示。</w:t>
      </w:r>
    </w:p>
    <w:p w14:paraId="4BFA03C4">
      <w:pPr>
        <w:pStyle w:val="5"/>
      </w:pPr>
      <w:bookmarkStart w:id="143" w:name="_Toc70414976"/>
      <w:bookmarkStart w:id="144" w:name="_Toc196727933"/>
      <w:bookmarkStart w:id="145" w:name="_Toc58603579"/>
      <w:bookmarkStart w:id="146" w:name="_Toc70414039"/>
      <w:r>
        <w:rPr>
          <w:rFonts w:hint="eastAsia"/>
        </w:rPr>
        <w:t>审计</w:t>
      </w:r>
      <w:r>
        <w:t>日志</w:t>
      </w:r>
      <w:bookmarkEnd w:id="143"/>
      <w:bookmarkEnd w:id="144"/>
      <w:bookmarkEnd w:id="145"/>
      <w:bookmarkEnd w:id="146"/>
    </w:p>
    <w:p w14:paraId="516F5895">
      <w:r>
        <w:rPr>
          <w:rFonts w:hint="eastAsia"/>
        </w:rPr>
        <w:t>在导航栏中选择“主页”，可以看到“审计日志”标签，该面板展示了最近2</w:t>
      </w:r>
      <w:r>
        <w:t>0</w:t>
      </w:r>
      <w:r>
        <w:rPr>
          <w:rFonts w:hint="eastAsia"/>
        </w:rPr>
        <w:t>条审计到的用户上网行为日志，审计日志包括IM聊天日志、邮件收发日志、文件传输日志和搜索引擎日志。如</w:t>
      </w:r>
      <w:r>
        <w:rPr>
          <w:color w:val="0000FF"/>
          <w:u w:val="single"/>
        </w:rPr>
        <w:fldChar w:fldCharType="begin"/>
      </w:r>
      <w:r>
        <w:rPr>
          <w:color w:val="0000FF"/>
          <w:u w:val="single"/>
        </w:rPr>
        <w:instrText xml:space="preserve">  REF _Ref392928192 \r \h  \* MERGEFORMAT </w:instrText>
      </w:r>
      <w:r>
        <w:rPr>
          <w:color w:val="0000FF"/>
          <w:u w:val="single"/>
        </w:rPr>
        <w:fldChar w:fldCharType="separate"/>
      </w:r>
      <w:r>
        <w:rPr>
          <w:rFonts w:hint="eastAsia"/>
          <w:color w:val="0000FF"/>
          <w:u w:val="single"/>
        </w:rPr>
        <w:t>图3-19</w:t>
      </w:r>
      <w:r>
        <w:rPr>
          <w:color w:val="0000FF"/>
          <w:u w:val="single"/>
        </w:rPr>
        <w:fldChar w:fldCharType="end"/>
      </w:r>
      <w:r>
        <w:t>所示</w:t>
      </w:r>
      <w:r>
        <w:rPr>
          <w:rFonts w:hint="eastAsia"/>
        </w:rPr>
        <w:t>。</w:t>
      </w:r>
    </w:p>
    <w:p w14:paraId="37A638ED">
      <w:pPr>
        <w:pStyle w:val="188"/>
      </w:pPr>
      <w:bookmarkStart w:id="147" w:name="_Ref392928192"/>
      <w:r>
        <w:rPr>
          <w:rFonts w:hint="eastAsia"/>
        </w:rPr>
        <w:t>审计</w:t>
      </w:r>
      <w:r>
        <w:t>日志</w:t>
      </w:r>
      <w:bookmarkEnd w:id="147"/>
    </w:p>
    <w:p w14:paraId="7EE2AC0B">
      <w:pPr>
        <w:pStyle w:val="175"/>
      </w:pPr>
      <w:r>
        <w:drawing>
          <wp:inline distT="0" distB="0" distL="0" distR="0">
            <wp:extent cx="4705350" cy="2089785"/>
            <wp:effectExtent l="0" t="0" r="0" b="5715"/>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44"/>
                    <a:stretch>
                      <a:fillRect/>
                    </a:stretch>
                  </pic:blipFill>
                  <pic:spPr>
                    <a:xfrm>
                      <a:off x="0" y="0"/>
                      <a:ext cx="4743325" cy="2106719"/>
                    </a:xfrm>
                    <a:prstGeom prst="rect">
                      <a:avLst/>
                    </a:prstGeom>
                  </pic:spPr>
                </pic:pic>
              </a:graphicData>
            </a:graphic>
          </wp:inline>
        </w:drawing>
      </w:r>
    </w:p>
    <w:p w14:paraId="58EF1AEE"/>
    <w:p w14:paraId="67E8FCE4">
      <w:r>
        <w:rPr>
          <w:rFonts w:hint="eastAsia"/>
        </w:rPr>
        <w:t>对审计日志的详细说明如</w:t>
      </w:r>
      <w:r>
        <w:fldChar w:fldCharType="begin"/>
      </w:r>
      <w:r>
        <w:instrText xml:space="preserve">  REF _Ref392928146 \r \h  \* MERGEFORMAT </w:instrText>
      </w:r>
      <w:r>
        <w:fldChar w:fldCharType="separate"/>
      </w:r>
      <w:r>
        <w:rPr>
          <w:rFonts w:hint="eastAsia"/>
        </w:rPr>
        <w:t>表3-1</w:t>
      </w:r>
      <w:r>
        <w:fldChar w:fldCharType="end"/>
      </w:r>
      <w:r>
        <w:rPr>
          <w:rFonts w:hint="eastAsia"/>
        </w:rPr>
        <w:t>所示。</w:t>
      </w:r>
    </w:p>
    <w:p w14:paraId="703AAE43">
      <w:pPr>
        <w:pStyle w:val="183"/>
      </w:pPr>
      <w:bookmarkStart w:id="148" w:name="_Ref392928146"/>
      <w:r>
        <w:t>审计</w:t>
      </w:r>
      <w:r>
        <w:rPr>
          <w:rFonts w:hint="eastAsia"/>
        </w:rPr>
        <w:t>日志</w:t>
      </w:r>
      <w:r>
        <w:t>说明</w:t>
      </w:r>
      <w:bookmarkEnd w:id="148"/>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85"/>
        <w:gridCol w:w="6529"/>
      </w:tblGrid>
      <w:tr w14:paraId="200B46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163C2EB6">
            <w:pPr>
              <w:pStyle w:val="149"/>
              <w:wordWrap/>
              <w:rPr>
                <w:b/>
                <w:bCs/>
                <w:i w:val="0"/>
                <w:iCs w:val="0"/>
              </w:rPr>
            </w:pPr>
            <w:r>
              <w:rPr>
                <w:rFonts w:hint="eastAsia"/>
                <w:b/>
                <w:bCs/>
                <w:i w:val="0"/>
                <w:iCs w:val="0"/>
              </w:rPr>
              <w:t>标题项</w:t>
            </w:r>
          </w:p>
        </w:tc>
        <w:tc>
          <w:tcPr>
            <w:tcW w:w="6542" w:type="dxa"/>
            <w:tcBorders>
              <w:tl2br w:val="nil"/>
              <w:tr2bl w:val="nil"/>
            </w:tcBorders>
            <w:shd w:val="clear" w:color="auto" w:fill="538135" w:themeFill="accent6" w:themeFillShade="BF"/>
            <w:vAlign w:val="center"/>
          </w:tcPr>
          <w:p w14:paraId="1DD8C506">
            <w:pPr>
              <w:pStyle w:val="149"/>
              <w:wordWrap/>
              <w:rPr>
                <w:b/>
                <w:bCs/>
                <w:i w:val="0"/>
                <w:iCs w:val="0"/>
              </w:rPr>
            </w:pPr>
            <w:r>
              <w:rPr>
                <w:rFonts w:hint="eastAsia"/>
                <w:b/>
                <w:bCs/>
                <w:i w:val="0"/>
                <w:iCs w:val="0"/>
              </w:rPr>
              <w:t>说明</w:t>
            </w:r>
          </w:p>
        </w:tc>
      </w:tr>
      <w:tr w14:paraId="13926D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6BABEFF2">
            <w:pPr>
              <w:pStyle w:val="150"/>
            </w:pPr>
            <w:r>
              <w:rPr>
                <w:rFonts w:hint="eastAsia"/>
              </w:rPr>
              <w:t>用户</w:t>
            </w:r>
          </w:p>
        </w:tc>
        <w:tc>
          <w:tcPr>
            <w:tcW w:w="6542" w:type="dxa"/>
            <w:shd w:val="clear" w:color="auto" w:fill="auto"/>
          </w:tcPr>
          <w:p w14:paraId="3E21038F">
            <w:pPr>
              <w:pStyle w:val="150"/>
            </w:pPr>
            <w:r>
              <w:rPr>
                <w:rFonts w:hint="eastAsia"/>
              </w:rPr>
              <w:t>审计的用户</w:t>
            </w:r>
          </w:p>
        </w:tc>
      </w:tr>
      <w:tr w14:paraId="31024D5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37EA3B4">
            <w:pPr>
              <w:pStyle w:val="150"/>
            </w:pPr>
            <w:r>
              <w:rPr>
                <w:rFonts w:hint="eastAsia"/>
              </w:rPr>
              <w:t>应用</w:t>
            </w:r>
          </w:p>
        </w:tc>
        <w:tc>
          <w:tcPr>
            <w:tcW w:w="6542" w:type="dxa"/>
            <w:shd w:val="clear" w:color="auto" w:fill="auto"/>
          </w:tcPr>
          <w:p w14:paraId="5C5B2E0B">
            <w:pPr>
              <w:pStyle w:val="150"/>
            </w:pPr>
            <w:r>
              <w:rPr>
                <w:rFonts w:hint="eastAsia"/>
              </w:rPr>
              <w:t>审计的应用</w:t>
            </w:r>
          </w:p>
        </w:tc>
      </w:tr>
      <w:tr w14:paraId="7843D8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405EBBCE">
            <w:pPr>
              <w:pStyle w:val="150"/>
            </w:pPr>
            <w:r>
              <w:rPr>
                <w:rFonts w:hint="eastAsia"/>
              </w:rPr>
              <w:t>行为</w:t>
            </w:r>
          </w:p>
        </w:tc>
        <w:tc>
          <w:tcPr>
            <w:tcW w:w="6542" w:type="dxa"/>
            <w:shd w:val="clear" w:color="auto" w:fill="auto"/>
          </w:tcPr>
          <w:p w14:paraId="0D57B192">
            <w:pPr>
              <w:pStyle w:val="150"/>
            </w:pPr>
            <w:r>
              <w:rPr>
                <w:rFonts w:hint="eastAsia"/>
              </w:rPr>
              <w:t>审计的行为</w:t>
            </w:r>
          </w:p>
        </w:tc>
      </w:tr>
      <w:tr w14:paraId="386CBA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5DD38646">
            <w:pPr>
              <w:pStyle w:val="150"/>
            </w:pPr>
            <w:r>
              <w:rPr>
                <w:rFonts w:hint="eastAsia"/>
              </w:rPr>
              <w:t>内容</w:t>
            </w:r>
          </w:p>
        </w:tc>
        <w:tc>
          <w:tcPr>
            <w:tcW w:w="6542" w:type="dxa"/>
            <w:shd w:val="clear" w:color="auto" w:fill="auto"/>
          </w:tcPr>
          <w:p w14:paraId="16D304D2">
            <w:pPr>
              <w:pStyle w:val="150"/>
            </w:pPr>
            <w:r>
              <w:rPr>
                <w:rFonts w:hint="eastAsia"/>
              </w:rPr>
              <w:t>审计的搜索内容</w:t>
            </w:r>
          </w:p>
        </w:tc>
      </w:tr>
    </w:tbl>
    <w:p w14:paraId="3E3C25B5"/>
    <w:p w14:paraId="247F5CBC">
      <w:r>
        <w:rPr>
          <w:rFonts w:hint="eastAsia"/>
        </w:rPr>
        <w:t>点击右上角&lt;刷新&gt;按钮可以立即刷新当前的显示。</w:t>
      </w:r>
    </w:p>
    <w:p w14:paraId="451552D1">
      <w:pPr>
        <w:pStyle w:val="5"/>
      </w:pPr>
      <w:bookmarkStart w:id="149" w:name="_Toc40294042"/>
      <w:bookmarkStart w:id="150" w:name="_Toc58603580"/>
      <w:bookmarkStart w:id="151" w:name="_Toc70414040"/>
      <w:bookmarkStart w:id="152" w:name="_Toc43133869"/>
      <w:bookmarkStart w:id="153" w:name="_Toc70414977"/>
      <w:bookmarkStart w:id="154" w:name="_Toc196727934"/>
      <w:r>
        <w:rPr>
          <w:rFonts w:hint="eastAsia"/>
        </w:rPr>
        <w:t>入侵防御</w:t>
      </w:r>
      <w:bookmarkEnd w:id="149"/>
      <w:bookmarkEnd w:id="150"/>
      <w:bookmarkEnd w:id="151"/>
      <w:bookmarkEnd w:id="152"/>
      <w:bookmarkEnd w:id="153"/>
      <w:bookmarkEnd w:id="154"/>
    </w:p>
    <w:p w14:paraId="5E16F072">
      <w:r>
        <w:rPr>
          <w:rFonts w:hint="eastAsia"/>
        </w:rPr>
        <w:t>在导航栏中选择“主页”，可以看到“入侵防御”标签，如</w:t>
      </w:r>
      <w:r>
        <w:fldChar w:fldCharType="begin"/>
      </w:r>
      <w:r>
        <w:instrText xml:space="preserve"> </w:instrText>
      </w:r>
      <w:r>
        <w:rPr>
          <w:rFonts w:hint="eastAsia"/>
        </w:rPr>
        <w:instrText xml:space="preserve">REF _Ref15391784 \r \h</w:instrText>
      </w:r>
      <w:r>
        <w:instrText xml:space="preserve"> </w:instrText>
      </w:r>
      <w:r>
        <w:fldChar w:fldCharType="separate"/>
      </w:r>
      <w:r>
        <w:rPr>
          <w:rFonts w:hint="eastAsia"/>
        </w:rPr>
        <w:t>图3-20</w:t>
      </w:r>
      <w:r>
        <w:fldChar w:fldCharType="end"/>
      </w:r>
      <w:r>
        <w:t>所示</w:t>
      </w:r>
      <w:r>
        <w:rPr>
          <w:rFonts w:hint="eastAsia"/>
        </w:rPr>
        <w:t>。该面板以饼图的形式展示当前系统最近一天的入侵防御事件类型占比，从而帮助管理员判断实际网络安全情况。</w:t>
      </w:r>
    </w:p>
    <w:p w14:paraId="31131B0F">
      <w:pPr>
        <w:pStyle w:val="188"/>
      </w:pPr>
      <w:bookmarkStart w:id="155" w:name="_Ref15391784"/>
      <w:r>
        <w:rPr>
          <w:rFonts w:hint="eastAsia"/>
        </w:rPr>
        <w:t>入侵防御</w:t>
      </w:r>
      <w:bookmarkEnd w:id="155"/>
    </w:p>
    <w:p w14:paraId="4501D987">
      <w:pPr>
        <w:pStyle w:val="175"/>
      </w:pPr>
      <w:r>
        <w:drawing>
          <wp:inline distT="0" distB="0" distL="0" distR="0">
            <wp:extent cx="5219700" cy="2821940"/>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45"/>
                    <a:stretch>
                      <a:fillRect/>
                    </a:stretch>
                  </pic:blipFill>
                  <pic:spPr>
                    <a:xfrm>
                      <a:off x="0" y="0"/>
                      <a:ext cx="5229588" cy="2827726"/>
                    </a:xfrm>
                    <a:prstGeom prst="rect">
                      <a:avLst/>
                    </a:prstGeom>
                  </pic:spPr>
                </pic:pic>
              </a:graphicData>
            </a:graphic>
          </wp:inline>
        </w:drawing>
      </w:r>
    </w:p>
    <w:p w14:paraId="7302EA07"/>
    <w:p w14:paraId="51D91484">
      <w:r>
        <w:rPr>
          <w:rFonts w:hint="eastAsia"/>
        </w:rPr>
        <w:t>点击右上角的转换按钮</w:t>
      </w:r>
      <w:r>
        <w:drawing>
          <wp:inline distT="0" distB="0" distL="0" distR="0">
            <wp:extent cx="199390" cy="94615"/>
            <wp:effectExtent l="0" t="0" r="0" b="635"/>
            <wp:docPr id="766" name="图片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图片 766"/>
                    <pic:cNvPicPr>
                      <a:picLocks noChangeAspect="1"/>
                    </pic:cNvPicPr>
                  </pic:nvPicPr>
                  <pic:blipFill>
                    <a:blip r:embed="rId46"/>
                    <a:stretch>
                      <a:fillRect/>
                    </a:stretch>
                  </pic:blipFill>
                  <pic:spPr>
                    <a:xfrm>
                      <a:off x="0" y="0"/>
                      <a:ext cx="200000" cy="95238"/>
                    </a:xfrm>
                    <a:prstGeom prst="rect">
                      <a:avLst/>
                    </a:prstGeom>
                  </pic:spPr>
                </pic:pic>
              </a:graphicData>
            </a:graphic>
          </wp:inline>
        </w:drawing>
      </w:r>
      <w:r>
        <w:rPr>
          <w:rFonts w:hint="eastAsia"/>
        </w:rPr>
        <w:t>，可切换为列表形式，如</w:t>
      </w:r>
      <w:r>
        <w:fldChar w:fldCharType="begin"/>
      </w:r>
      <w:r>
        <w:instrText xml:space="preserve"> </w:instrText>
      </w:r>
      <w:r>
        <w:rPr>
          <w:rFonts w:hint="eastAsia"/>
        </w:rPr>
        <w:instrText xml:space="preserve">REF _Ref15391789 \r \h</w:instrText>
      </w:r>
      <w:r>
        <w:instrText xml:space="preserve"> </w:instrText>
      </w:r>
      <w:r>
        <w:fldChar w:fldCharType="separate"/>
      </w:r>
      <w:r>
        <w:rPr>
          <w:rFonts w:hint="eastAsia"/>
        </w:rPr>
        <w:t>图3-21</w:t>
      </w:r>
      <w:r>
        <w:fldChar w:fldCharType="end"/>
      </w:r>
      <w:r>
        <w:t>所示</w:t>
      </w:r>
      <w:r>
        <w:rPr>
          <w:rFonts w:hint="eastAsia"/>
        </w:rPr>
        <w:t>。</w:t>
      </w:r>
    </w:p>
    <w:p w14:paraId="0FF4DD1B">
      <w:pPr>
        <w:pStyle w:val="188"/>
      </w:pPr>
      <w:bookmarkStart w:id="156" w:name="_Ref15391789"/>
      <w:r>
        <w:rPr>
          <w:rFonts w:hint="eastAsia"/>
        </w:rPr>
        <w:t>入侵防御列表</w:t>
      </w:r>
      <w:bookmarkEnd w:id="156"/>
    </w:p>
    <w:p w14:paraId="3FD2FD6C">
      <w:pPr>
        <w:pStyle w:val="175"/>
      </w:pPr>
      <w:r>
        <w:drawing>
          <wp:inline distT="0" distB="0" distL="0" distR="0">
            <wp:extent cx="5086350" cy="1659255"/>
            <wp:effectExtent l="0" t="0" r="0" b="0"/>
            <wp:docPr id="3045" name="图片 3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5" name="图片 3045"/>
                    <pic:cNvPicPr>
                      <a:picLocks noChangeAspect="1"/>
                    </pic:cNvPicPr>
                  </pic:nvPicPr>
                  <pic:blipFill>
                    <a:blip r:embed="rId47"/>
                    <a:stretch>
                      <a:fillRect/>
                    </a:stretch>
                  </pic:blipFill>
                  <pic:spPr>
                    <a:xfrm>
                      <a:off x="0" y="0"/>
                      <a:ext cx="5099320" cy="1663548"/>
                    </a:xfrm>
                    <a:prstGeom prst="rect">
                      <a:avLst/>
                    </a:prstGeom>
                  </pic:spPr>
                </pic:pic>
              </a:graphicData>
            </a:graphic>
          </wp:inline>
        </w:drawing>
      </w:r>
    </w:p>
    <w:p w14:paraId="1C50DCF2"/>
    <w:p w14:paraId="6538F90B">
      <w:r>
        <w:rPr>
          <w:rFonts w:hint="eastAsia"/>
        </w:rPr>
        <w:t>对入侵防御的详细说明如</w:t>
      </w:r>
      <w:r>
        <w:rPr>
          <w:u w:val="single"/>
        </w:rPr>
        <w:fldChar w:fldCharType="begin"/>
      </w:r>
      <w:r>
        <w:instrText xml:space="preserve"> </w:instrText>
      </w:r>
      <w:r>
        <w:rPr>
          <w:rFonts w:hint="eastAsia"/>
        </w:rPr>
        <w:instrText xml:space="preserve">REF _Ref15391796 \r \h</w:instrText>
      </w:r>
      <w:r>
        <w:instrText xml:space="preserve"> </w:instrText>
      </w:r>
      <w:r>
        <w:rPr>
          <w:u w:val="single"/>
        </w:rPr>
        <w:fldChar w:fldCharType="separate"/>
      </w:r>
      <w:r>
        <w:rPr>
          <w:rFonts w:hint="eastAsia"/>
        </w:rPr>
        <w:t>表3-1</w:t>
      </w:r>
      <w:r>
        <w:fldChar w:fldCharType="end"/>
      </w:r>
      <w:r>
        <w:rPr>
          <w:rFonts w:hint="eastAsia"/>
        </w:rPr>
        <w:t>所示。</w:t>
      </w:r>
    </w:p>
    <w:p w14:paraId="55B6FFA0">
      <w:pPr>
        <w:pStyle w:val="183"/>
      </w:pPr>
      <w:bookmarkStart w:id="157" w:name="_Ref15391796"/>
      <w:r>
        <w:rPr>
          <w:rFonts w:hint="eastAsia"/>
        </w:rPr>
        <w:t>入侵防御详细</w:t>
      </w:r>
      <w:r>
        <w:t>说明</w:t>
      </w:r>
      <w:bookmarkEnd w:id="157"/>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85"/>
        <w:gridCol w:w="6529"/>
      </w:tblGrid>
      <w:tr w14:paraId="215650F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tcBorders>
              <w:tl2br w:val="nil"/>
              <w:tr2bl w:val="nil"/>
            </w:tcBorders>
            <w:shd w:val="clear" w:color="auto" w:fill="538135" w:themeFill="accent6" w:themeFillShade="BF"/>
            <w:vAlign w:val="center"/>
          </w:tcPr>
          <w:p w14:paraId="687974CA">
            <w:pPr>
              <w:pStyle w:val="149"/>
              <w:wordWrap/>
              <w:rPr>
                <w:b/>
                <w:bCs/>
                <w:i w:val="0"/>
                <w:iCs w:val="0"/>
              </w:rPr>
            </w:pPr>
            <w:r>
              <w:rPr>
                <w:rFonts w:hint="eastAsia"/>
                <w:b/>
                <w:bCs/>
                <w:i w:val="0"/>
                <w:iCs w:val="0"/>
              </w:rPr>
              <w:t>标题项</w:t>
            </w:r>
          </w:p>
        </w:tc>
        <w:tc>
          <w:tcPr>
            <w:tcW w:w="6529" w:type="dxa"/>
            <w:tcBorders>
              <w:tl2br w:val="nil"/>
              <w:tr2bl w:val="nil"/>
            </w:tcBorders>
            <w:shd w:val="clear" w:color="auto" w:fill="538135" w:themeFill="accent6" w:themeFillShade="BF"/>
            <w:vAlign w:val="center"/>
          </w:tcPr>
          <w:p w14:paraId="16825728">
            <w:pPr>
              <w:pStyle w:val="149"/>
              <w:wordWrap/>
              <w:rPr>
                <w:b/>
                <w:bCs/>
                <w:i w:val="0"/>
                <w:iCs w:val="0"/>
              </w:rPr>
            </w:pPr>
            <w:r>
              <w:rPr>
                <w:rFonts w:hint="eastAsia"/>
                <w:b/>
                <w:bCs/>
                <w:i w:val="0"/>
                <w:iCs w:val="0"/>
              </w:rPr>
              <w:t>说明</w:t>
            </w:r>
          </w:p>
        </w:tc>
      </w:tr>
      <w:tr w14:paraId="2878E7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076D708C">
            <w:pPr>
              <w:pStyle w:val="150"/>
            </w:pPr>
            <w:r>
              <w:rPr>
                <w:rFonts w:hint="eastAsia"/>
              </w:rPr>
              <w:t>威胁类型</w:t>
            </w:r>
          </w:p>
        </w:tc>
        <w:tc>
          <w:tcPr>
            <w:tcW w:w="6529" w:type="dxa"/>
            <w:shd w:val="clear" w:color="auto" w:fill="auto"/>
          </w:tcPr>
          <w:p w14:paraId="0C8369A7">
            <w:pPr>
              <w:pStyle w:val="150"/>
            </w:pPr>
            <w:r>
              <w:rPr>
                <w:rFonts w:hint="eastAsia"/>
              </w:rPr>
              <w:t>显示入侵防御各事件类型。</w:t>
            </w:r>
          </w:p>
        </w:tc>
      </w:tr>
      <w:tr w14:paraId="2127F5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415191E3">
            <w:pPr>
              <w:pStyle w:val="150"/>
            </w:pPr>
            <w:r>
              <w:rPr>
                <w:rFonts w:hint="eastAsia"/>
              </w:rPr>
              <w:t>威胁数量</w:t>
            </w:r>
          </w:p>
        </w:tc>
        <w:tc>
          <w:tcPr>
            <w:tcW w:w="6529" w:type="dxa"/>
            <w:shd w:val="clear" w:color="auto" w:fill="auto"/>
          </w:tcPr>
          <w:p w14:paraId="715691E5">
            <w:pPr>
              <w:pStyle w:val="150"/>
            </w:pPr>
            <w:r>
              <w:rPr>
                <w:rFonts w:hint="eastAsia"/>
              </w:rPr>
              <w:t>显示入侵防御各事件类型的威胁数量。</w:t>
            </w:r>
          </w:p>
        </w:tc>
      </w:tr>
      <w:tr w14:paraId="7E9F47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1506E9A6">
            <w:pPr>
              <w:pStyle w:val="150"/>
            </w:pPr>
            <w:r>
              <w:rPr>
                <w:rFonts w:hint="eastAsia"/>
              </w:rPr>
              <w:t>占比</w:t>
            </w:r>
          </w:p>
        </w:tc>
        <w:tc>
          <w:tcPr>
            <w:tcW w:w="6529" w:type="dxa"/>
            <w:shd w:val="clear" w:color="auto" w:fill="auto"/>
          </w:tcPr>
          <w:p w14:paraId="453E35B5">
            <w:pPr>
              <w:pStyle w:val="150"/>
            </w:pPr>
            <w:r>
              <w:rPr>
                <w:rFonts w:hint="eastAsia"/>
              </w:rPr>
              <w:t>显示入侵防御各事件类型的占比。</w:t>
            </w:r>
          </w:p>
        </w:tc>
      </w:tr>
    </w:tbl>
    <w:p w14:paraId="3F8BD463"/>
    <w:p w14:paraId="725FBF31">
      <w:r>
        <w:t>点击右上角</w:t>
      </w:r>
      <w:r>
        <w:drawing>
          <wp:inline distT="0" distB="0" distL="0" distR="0">
            <wp:extent cx="180340" cy="170815"/>
            <wp:effectExtent l="0" t="0" r="0" b="635"/>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pic:cNvPicPr>
                  </pic:nvPicPr>
                  <pic:blipFill>
                    <a:blip r:embed="rId48"/>
                    <a:stretch>
                      <a:fillRect/>
                    </a:stretch>
                  </pic:blipFill>
                  <pic:spPr>
                    <a:xfrm>
                      <a:off x="0" y="0"/>
                      <a:ext cx="180952" cy="171429"/>
                    </a:xfrm>
                    <a:prstGeom prst="rect">
                      <a:avLst/>
                    </a:prstGeom>
                  </pic:spPr>
                </pic:pic>
              </a:graphicData>
            </a:graphic>
          </wp:inline>
        </w:drawing>
      </w:r>
      <w:r>
        <w:t>按钮</w:t>
      </w:r>
      <w:r>
        <w:rPr>
          <w:rFonts w:hint="eastAsia"/>
        </w:rPr>
        <w:t>，</w:t>
      </w:r>
      <w:r>
        <w:t>可以设置显示信息的自动刷新时间</w:t>
      </w:r>
      <w:r>
        <w:rPr>
          <w:rFonts w:hint="eastAsia"/>
        </w:rPr>
        <w:t>，</w:t>
      </w:r>
      <w:r>
        <w:t>默认</w:t>
      </w:r>
      <w:r>
        <w:rPr>
          <w:rFonts w:hint="eastAsia"/>
        </w:rPr>
        <w:t>系统</w:t>
      </w:r>
      <w:r>
        <w:t>会每隔</w:t>
      </w:r>
      <w:r>
        <w:rPr>
          <w:rFonts w:hint="eastAsia"/>
        </w:rPr>
        <w:t>3</w:t>
      </w:r>
      <w:r>
        <w:t>0秒自动刷新显示信息</w:t>
      </w:r>
      <w:r>
        <w:rPr>
          <w:rFonts w:hint="eastAsia"/>
        </w:rPr>
        <w:t>。</w:t>
      </w:r>
    </w:p>
    <w:p w14:paraId="5E36A3D9">
      <w:r>
        <w:rPr>
          <w:rFonts w:hint="eastAsia"/>
        </w:rPr>
        <w:t>点击右上角刷新按钮</w:t>
      </w:r>
      <w:r>
        <w:drawing>
          <wp:inline distT="0" distB="0" distL="0" distR="0">
            <wp:extent cx="170815" cy="151765"/>
            <wp:effectExtent l="0" t="0" r="635" b="635"/>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49"/>
                    <a:stretch>
                      <a:fillRect/>
                    </a:stretch>
                  </pic:blipFill>
                  <pic:spPr>
                    <a:xfrm>
                      <a:off x="0" y="0"/>
                      <a:ext cx="171429" cy="152381"/>
                    </a:xfrm>
                    <a:prstGeom prst="rect">
                      <a:avLst/>
                    </a:prstGeom>
                  </pic:spPr>
                </pic:pic>
              </a:graphicData>
            </a:graphic>
          </wp:inline>
        </w:drawing>
      </w:r>
      <w:r>
        <w:rPr>
          <w:rFonts w:hint="eastAsia"/>
        </w:rPr>
        <w:t>，可以立即刷新当前的显示。</w:t>
      </w:r>
    </w:p>
    <w:p w14:paraId="7138AF25">
      <w:pPr>
        <w:pStyle w:val="5"/>
      </w:pPr>
      <w:bookmarkStart w:id="158" w:name="_Toc15391621"/>
      <w:bookmarkStart w:id="159" w:name="_Toc15484603"/>
      <w:bookmarkStart w:id="160" w:name="_Toc23152371"/>
      <w:bookmarkStart w:id="161" w:name="_Toc43133870"/>
      <w:bookmarkStart w:id="162" w:name="_Toc58603581"/>
      <w:bookmarkStart w:id="163" w:name="_Toc70414978"/>
      <w:bookmarkStart w:id="164" w:name="_Toc70414041"/>
      <w:bookmarkStart w:id="165" w:name="_Toc196727935"/>
      <w:r>
        <w:rPr>
          <w:rFonts w:hint="eastAsia"/>
        </w:rPr>
        <w:t>攻击趋势</w:t>
      </w:r>
      <w:bookmarkEnd w:id="158"/>
      <w:bookmarkEnd w:id="159"/>
      <w:bookmarkEnd w:id="160"/>
      <w:bookmarkEnd w:id="161"/>
      <w:bookmarkEnd w:id="162"/>
      <w:bookmarkEnd w:id="163"/>
      <w:bookmarkEnd w:id="164"/>
      <w:bookmarkEnd w:id="165"/>
    </w:p>
    <w:p w14:paraId="26A40D30">
      <w:r>
        <w:rPr>
          <w:rFonts w:hint="eastAsia"/>
        </w:rPr>
        <w:t>在导航栏中选择“主页”，可以看到“攻击趋势”标签，如</w:t>
      </w:r>
      <w:r>
        <w:rPr>
          <w:u w:val="single"/>
        </w:rPr>
        <w:fldChar w:fldCharType="begin"/>
      </w:r>
      <w:r>
        <w:instrText xml:space="preserve"> </w:instrText>
      </w:r>
      <w:r>
        <w:rPr>
          <w:rFonts w:hint="eastAsia"/>
        </w:rPr>
        <w:instrText xml:space="preserve">REF _Ref15391820 \r \h</w:instrText>
      </w:r>
      <w:r>
        <w:instrText xml:space="preserve"> </w:instrText>
      </w:r>
      <w:r>
        <w:rPr>
          <w:u w:val="single"/>
        </w:rPr>
        <w:fldChar w:fldCharType="separate"/>
      </w:r>
      <w:r>
        <w:rPr>
          <w:rFonts w:hint="eastAsia"/>
        </w:rPr>
        <w:t>图3-22</w:t>
      </w:r>
      <w:r>
        <w:fldChar w:fldCharType="end"/>
      </w:r>
      <w:r>
        <w:t>所示</w:t>
      </w:r>
      <w:r>
        <w:rPr>
          <w:rFonts w:hint="eastAsia"/>
        </w:rPr>
        <w:t>。该面板可显示当前系统最近一天的网络攻击趋势图，包括IPS攻击、WAF攻击、D</w:t>
      </w:r>
      <w:r>
        <w:t>d</w:t>
      </w:r>
      <w:r>
        <w:rPr>
          <w:rFonts w:hint="eastAsia"/>
        </w:rPr>
        <w:t>os攻击及AV安全防御的趋势曲线。</w:t>
      </w:r>
    </w:p>
    <w:p w14:paraId="7E9AAFE4">
      <w:pPr>
        <w:pStyle w:val="188"/>
      </w:pPr>
      <w:bookmarkStart w:id="166" w:name="_Ref15391820"/>
      <w:r>
        <w:rPr>
          <w:rFonts w:hint="eastAsia"/>
        </w:rPr>
        <w:t>攻击趋势</w:t>
      </w:r>
      <w:bookmarkEnd w:id="166"/>
    </w:p>
    <w:p w14:paraId="0F5ACCA5">
      <w:pPr>
        <w:pStyle w:val="175"/>
      </w:pPr>
      <w:r>
        <w:drawing>
          <wp:inline distT="0" distB="0" distL="0" distR="0">
            <wp:extent cx="5210175" cy="280035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50"/>
                    <a:stretch>
                      <a:fillRect/>
                    </a:stretch>
                  </pic:blipFill>
                  <pic:spPr>
                    <a:xfrm>
                      <a:off x="0" y="0"/>
                      <a:ext cx="5222006" cy="2807254"/>
                    </a:xfrm>
                    <a:prstGeom prst="rect">
                      <a:avLst/>
                    </a:prstGeom>
                  </pic:spPr>
                </pic:pic>
              </a:graphicData>
            </a:graphic>
          </wp:inline>
        </w:drawing>
      </w:r>
    </w:p>
    <w:p w14:paraId="29699183"/>
    <w:p w14:paraId="52001193">
      <w:r>
        <w:t>将鼠标放在曲线图上</w:t>
      </w:r>
      <w:r>
        <w:rPr>
          <w:rFonts w:hint="eastAsia"/>
        </w:rPr>
        <w:t>，</w:t>
      </w:r>
      <w:r>
        <w:t>将显示该时间点的攻击次数</w:t>
      </w:r>
      <w:r>
        <w:rPr>
          <w:rFonts w:hint="eastAsia"/>
        </w:rPr>
        <w:t>。</w:t>
      </w:r>
    </w:p>
    <w:p w14:paraId="67AF1D13">
      <w:r>
        <w:t>点击右上角</w:t>
      </w:r>
      <w:r>
        <w:drawing>
          <wp:inline distT="0" distB="0" distL="0" distR="0">
            <wp:extent cx="180340" cy="170815"/>
            <wp:effectExtent l="0" t="0" r="0" b="635"/>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48"/>
                    <a:stretch>
                      <a:fillRect/>
                    </a:stretch>
                  </pic:blipFill>
                  <pic:spPr>
                    <a:xfrm>
                      <a:off x="0" y="0"/>
                      <a:ext cx="180952" cy="171429"/>
                    </a:xfrm>
                    <a:prstGeom prst="rect">
                      <a:avLst/>
                    </a:prstGeom>
                  </pic:spPr>
                </pic:pic>
              </a:graphicData>
            </a:graphic>
          </wp:inline>
        </w:drawing>
      </w:r>
      <w:r>
        <w:t>按钮</w:t>
      </w:r>
      <w:r>
        <w:rPr>
          <w:rFonts w:hint="eastAsia"/>
        </w:rPr>
        <w:t>，</w:t>
      </w:r>
      <w:r>
        <w:t>可以设置显示信息的自动刷新时间</w:t>
      </w:r>
      <w:r>
        <w:rPr>
          <w:rFonts w:hint="eastAsia"/>
        </w:rPr>
        <w:t>，</w:t>
      </w:r>
      <w:r>
        <w:t>默认</w:t>
      </w:r>
      <w:r>
        <w:rPr>
          <w:rFonts w:hint="eastAsia"/>
        </w:rPr>
        <w:t>系统</w:t>
      </w:r>
      <w:r>
        <w:t>会每隔</w:t>
      </w:r>
      <w:r>
        <w:rPr>
          <w:rFonts w:hint="eastAsia"/>
        </w:rPr>
        <w:t>3</w:t>
      </w:r>
      <w:r>
        <w:t>0秒自动刷新显示信息</w:t>
      </w:r>
      <w:r>
        <w:rPr>
          <w:rFonts w:hint="eastAsia"/>
        </w:rPr>
        <w:t>。</w:t>
      </w:r>
    </w:p>
    <w:p w14:paraId="43FB5897">
      <w:r>
        <w:rPr>
          <w:rFonts w:hint="eastAsia"/>
        </w:rPr>
        <w:t>点击右上角刷新按钮</w:t>
      </w:r>
      <w:r>
        <w:drawing>
          <wp:inline distT="0" distB="0" distL="0" distR="0">
            <wp:extent cx="170815" cy="151765"/>
            <wp:effectExtent l="0" t="0" r="635" b="635"/>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49"/>
                    <a:stretch>
                      <a:fillRect/>
                    </a:stretch>
                  </pic:blipFill>
                  <pic:spPr>
                    <a:xfrm>
                      <a:off x="0" y="0"/>
                      <a:ext cx="171429" cy="152381"/>
                    </a:xfrm>
                    <a:prstGeom prst="rect">
                      <a:avLst/>
                    </a:prstGeom>
                  </pic:spPr>
                </pic:pic>
              </a:graphicData>
            </a:graphic>
          </wp:inline>
        </w:drawing>
      </w:r>
      <w:r>
        <w:rPr>
          <w:rFonts w:hint="eastAsia"/>
        </w:rPr>
        <w:t>，可以立即刷新当前的显示。</w:t>
      </w:r>
    </w:p>
    <w:p w14:paraId="1C8267E8">
      <w:pPr>
        <w:pStyle w:val="5"/>
      </w:pPr>
      <w:bookmarkStart w:id="167" w:name="_Toc70414042"/>
      <w:bookmarkStart w:id="168" w:name="_Toc196727936"/>
      <w:bookmarkStart w:id="169" w:name="_Toc70414979"/>
      <w:bookmarkStart w:id="170" w:name="_Toc43133871"/>
      <w:bookmarkStart w:id="171" w:name="_Toc40294043"/>
      <w:bookmarkStart w:id="172" w:name="_Toc58603582"/>
      <w:r>
        <w:rPr>
          <w:rFonts w:hint="eastAsia"/>
        </w:rPr>
        <w:t>威胁日志</w:t>
      </w:r>
      <w:bookmarkEnd w:id="167"/>
      <w:bookmarkEnd w:id="168"/>
      <w:bookmarkEnd w:id="169"/>
      <w:bookmarkEnd w:id="170"/>
      <w:bookmarkEnd w:id="171"/>
      <w:bookmarkEnd w:id="172"/>
    </w:p>
    <w:p w14:paraId="51D8FAF5">
      <w:r>
        <w:rPr>
          <w:rFonts w:hint="eastAsia"/>
        </w:rPr>
        <w:t>在导航栏中选择“主页”，可以看到“威胁日志”标签，如</w:t>
      </w:r>
      <w:r>
        <w:rPr>
          <w:u w:val="single"/>
        </w:rPr>
        <w:fldChar w:fldCharType="begin"/>
      </w:r>
      <w:r>
        <w:instrText xml:space="preserve"> </w:instrText>
      </w:r>
      <w:r>
        <w:rPr>
          <w:rFonts w:hint="eastAsia"/>
        </w:rPr>
        <w:instrText xml:space="preserve">REF _Ref15391829 \r \h</w:instrText>
      </w:r>
      <w:r>
        <w:instrText xml:space="preserve"> </w:instrText>
      </w:r>
      <w:r>
        <w:rPr>
          <w:u w:val="single"/>
        </w:rPr>
        <w:fldChar w:fldCharType="separate"/>
      </w:r>
      <w:r>
        <w:rPr>
          <w:rFonts w:hint="eastAsia"/>
        </w:rPr>
        <w:t>图3-23</w:t>
      </w:r>
      <w:r>
        <w:fldChar w:fldCharType="end"/>
      </w:r>
      <w:r>
        <w:t>所示</w:t>
      </w:r>
      <w:r>
        <w:rPr>
          <w:rFonts w:hint="eastAsia"/>
        </w:rPr>
        <w:t>。该面板可展示最近2</w:t>
      </w:r>
      <w:r>
        <w:t>0</w:t>
      </w:r>
      <w:r>
        <w:rPr>
          <w:rFonts w:hint="eastAsia"/>
        </w:rPr>
        <w:t>条的入侵检测、病毒防护、</w:t>
      </w:r>
      <w:r>
        <w:t>安全防护</w:t>
      </w:r>
      <w:r>
        <w:rPr>
          <w:rFonts w:hint="eastAsia"/>
        </w:rPr>
        <w:t>日志，其中入侵检测、病毒防护只报级别为警告及以上的最近2</w:t>
      </w:r>
      <w:r>
        <w:t>0</w:t>
      </w:r>
      <w:r>
        <w:rPr>
          <w:rFonts w:hint="eastAsia"/>
        </w:rPr>
        <w:t>条日志，从而判断实际网络安全情况。</w:t>
      </w:r>
    </w:p>
    <w:p w14:paraId="0C207461">
      <w:pPr>
        <w:pStyle w:val="188"/>
      </w:pPr>
      <w:bookmarkStart w:id="173" w:name="_Ref15391829"/>
      <w:r>
        <w:rPr>
          <w:rFonts w:hint="eastAsia"/>
        </w:rPr>
        <w:t>威胁日志</w:t>
      </w:r>
      <w:bookmarkEnd w:id="173"/>
    </w:p>
    <w:p w14:paraId="541D6BE1">
      <w:pPr>
        <w:pStyle w:val="175"/>
      </w:pPr>
      <w:r>
        <w:drawing>
          <wp:inline distT="0" distB="0" distL="0" distR="0">
            <wp:extent cx="5181600" cy="2734310"/>
            <wp:effectExtent l="0" t="0" r="0" b="8890"/>
            <wp:docPr id="3047" name="图片 3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 name="图片 3047"/>
                    <pic:cNvPicPr>
                      <a:picLocks noChangeAspect="1"/>
                    </pic:cNvPicPr>
                  </pic:nvPicPr>
                  <pic:blipFill>
                    <a:blip r:embed="rId51"/>
                    <a:stretch>
                      <a:fillRect/>
                    </a:stretch>
                  </pic:blipFill>
                  <pic:spPr>
                    <a:xfrm>
                      <a:off x="0" y="0"/>
                      <a:ext cx="5188174" cy="2738203"/>
                    </a:xfrm>
                    <a:prstGeom prst="rect">
                      <a:avLst/>
                    </a:prstGeom>
                  </pic:spPr>
                </pic:pic>
              </a:graphicData>
            </a:graphic>
          </wp:inline>
        </w:drawing>
      </w:r>
    </w:p>
    <w:p w14:paraId="07C06AE3"/>
    <w:p w14:paraId="7BD13943">
      <w:r>
        <w:t>点击右上角</w:t>
      </w:r>
      <w:r>
        <w:drawing>
          <wp:inline distT="0" distB="0" distL="0" distR="0">
            <wp:extent cx="180340" cy="170815"/>
            <wp:effectExtent l="0" t="0" r="0" b="635"/>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pic:cNvPicPr>
                  </pic:nvPicPr>
                  <pic:blipFill>
                    <a:blip r:embed="rId48"/>
                    <a:stretch>
                      <a:fillRect/>
                    </a:stretch>
                  </pic:blipFill>
                  <pic:spPr>
                    <a:xfrm>
                      <a:off x="0" y="0"/>
                      <a:ext cx="180952" cy="171429"/>
                    </a:xfrm>
                    <a:prstGeom prst="rect">
                      <a:avLst/>
                    </a:prstGeom>
                  </pic:spPr>
                </pic:pic>
              </a:graphicData>
            </a:graphic>
          </wp:inline>
        </w:drawing>
      </w:r>
      <w:r>
        <w:t>按钮</w:t>
      </w:r>
      <w:r>
        <w:rPr>
          <w:rFonts w:hint="eastAsia"/>
        </w:rPr>
        <w:t>，</w:t>
      </w:r>
      <w:r>
        <w:t>可以设置显示信息的自动刷新时间</w:t>
      </w:r>
      <w:r>
        <w:rPr>
          <w:rFonts w:hint="eastAsia"/>
        </w:rPr>
        <w:t>，</w:t>
      </w:r>
      <w:r>
        <w:t>默认</w:t>
      </w:r>
      <w:r>
        <w:rPr>
          <w:rFonts w:hint="eastAsia"/>
        </w:rPr>
        <w:t>系统</w:t>
      </w:r>
      <w:r>
        <w:t>会每隔</w:t>
      </w:r>
      <w:r>
        <w:rPr>
          <w:rFonts w:hint="eastAsia"/>
        </w:rPr>
        <w:t>3</w:t>
      </w:r>
      <w:r>
        <w:t>0秒自动刷新显示信息</w:t>
      </w:r>
      <w:r>
        <w:rPr>
          <w:rFonts w:hint="eastAsia"/>
        </w:rPr>
        <w:t>。</w:t>
      </w:r>
    </w:p>
    <w:p w14:paraId="248EC563">
      <w:r>
        <w:rPr>
          <w:rFonts w:hint="eastAsia"/>
        </w:rPr>
        <w:t>点击右上角刷新按钮</w:t>
      </w:r>
      <w:r>
        <w:drawing>
          <wp:inline distT="0" distB="0" distL="0" distR="0">
            <wp:extent cx="170815" cy="151765"/>
            <wp:effectExtent l="0" t="0" r="635" b="635"/>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pic:cNvPicPr>
                  </pic:nvPicPr>
                  <pic:blipFill>
                    <a:blip r:embed="rId49"/>
                    <a:stretch>
                      <a:fillRect/>
                    </a:stretch>
                  </pic:blipFill>
                  <pic:spPr>
                    <a:xfrm>
                      <a:off x="0" y="0"/>
                      <a:ext cx="171429" cy="152381"/>
                    </a:xfrm>
                    <a:prstGeom prst="rect">
                      <a:avLst/>
                    </a:prstGeom>
                  </pic:spPr>
                </pic:pic>
              </a:graphicData>
            </a:graphic>
          </wp:inline>
        </w:drawing>
      </w:r>
      <w:r>
        <w:rPr>
          <w:rFonts w:hint="eastAsia"/>
        </w:rPr>
        <w:t>，可以立即刷新当前的显示。</w:t>
      </w:r>
    </w:p>
    <w:p w14:paraId="14373F29">
      <w:pPr>
        <w:pStyle w:val="5"/>
      </w:pPr>
      <w:bookmarkStart w:id="174" w:name="_Toc70414980"/>
      <w:bookmarkStart w:id="175" w:name="_Toc43133872"/>
      <w:bookmarkStart w:id="176" w:name="_Toc15484606"/>
      <w:bookmarkStart w:id="177" w:name="_Toc15391624"/>
      <w:bookmarkStart w:id="178" w:name="_Toc23152374"/>
      <w:bookmarkStart w:id="179" w:name="_Toc70414043"/>
      <w:bookmarkStart w:id="180" w:name="_Toc196727937"/>
      <w:bookmarkStart w:id="181" w:name="_Toc58603583"/>
      <w:r>
        <w:rPr>
          <w:rFonts w:hint="eastAsia"/>
        </w:rPr>
        <w:t>会话数</w:t>
      </w:r>
      <w:bookmarkEnd w:id="174"/>
      <w:bookmarkEnd w:id="175"/>
      <w:bookmarkEnd w:id="176"/>
      <w:bookmarkEnd w:id="177"/>
      <w:bookmarkEnd w:id="178"/>
      <w:bookmarkEnd w:id="179"/>
      <w:bookmarkEnd w:id="180"/>
      <w:bookmarkEnd w:id="181"/>
    </w:p>
    <w:p w14:paraId="267EB35B">
      <w:r>
        <w:rPr>
          <w:rFonts w:hint="eastAsia"/>
        </w:rPr>
        <w:t>在导航栏中选择“主页”，可以看到“会话数”标签，如</w:t>
      </w:r>
      <w:r>
        <w:rPr>
          <w:u w:val="single"/>
        </w:rPr>
        <w:fldChar w:fldCharType="begin"/>
      </w:r>
      <w:r>
        <w:instrText xml:space="preserve"> </w:instrText>
      </w:r>
      <w:r>
        <w:rPr>
          <w:rFonts w:hint="eastAsia"/>
        </w:rPr>
        <w:instrText xml:space="preserve">REF _Ref15391845 \r \h</w:instrText>
      </w:r>
      <w:r>
        <w:instrText xml:space="preserve"> </w:instrText>
      </w:r>
      <w:r>
        <w:rPr>
          <w:u w:val="single"/>
        </w:rPr>
        <w:fldChar w:fldCharType="separate"/>
      </w:r>
      <w:r>
        <w:rPr>
          <w:rFonts w:hint="eastAsia"/>
        </w:rPr>
        <w:t>图3-24</w:t>
      </w:r>
      <w:r>
        <w:fldChar w:fldCharType="end"/>
      </w:r>
      <w:r>
        <w:t>所示</w:t>
      </w:r>
      <w:r>
        <w:rPr>
          <w:rFonts w:hint="eastAsia"/>
        </w:rPr>
        <w:t>。该面板可展示最近1</w:t>
      </w:r>
      <w:r>
        <w:t>0</w:t>
      </w:r>
      <w:r>
        <w:rPr>
          <w:rFonts w:hint="eastAsia"/>
        </w:rPr>
        <w:t>分钟的当前会话数和新增会话数趋势图，从而判断实际网络情况。</w:t>
      </w:r>
    </w:p>
    <w:p w14:paraId="65B36B05">
      <w:pPr>
        <w:pStyle w:val="188"/>
      </w:pPr>
      <w:bookmarkStart w:id="182" w:name="_Ref15391845"/>
      <w:r>
        <w:rPr>
          <w:rFonts w:hint="eastAsia"/>
        </w:rPr>
        <w:t>会话数</w:t>
      </w:r>
      <w:bookmarkEnd w:id="182"/>
    </w:p>
    <w:p w14:paraId="2F1D8B2A">
      <w:pPr>
        <w:pStyle w:val="175"/>
      </w:pPr>
      <w:r>
        <w:drawing>
          <wp:inline distT="0" distB="0" distL="0" distR="0">
            <wp:extent cx="5514975" cy="3009265"/>
            <wp:effectExtent l="0" t="0" r="0" b="63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52"/>
                    <a:stretch>
                      <a:fillRect/>
                    </a:stretch>
                  </pic:blipFill>
                  <pic:spPr>
                    <a:xfrm>
                      <a:off x="0" y="0"/>
                      <a:ext cx="5519194" cy="3012109"/>
                    </a:xfrm>
                    <a:prstGeom prst="rect">
                      <a:avLst/>
                    </a:prstGeom>
                  </pic:spPr>
                </pic:pic>
              </a:graphicData>
            </a:graphic>
          </wp:inline>
        </w:drawing>
      </w:r>
    </w:p>
    <w:p w14:paraId="1B7096C3"/>
    <w:p w14:paraId="49547BC6">
      <w:r>
        <w:t>将鼠标放在曲线图上</w:t>
      </w:r>
      <w:r>
        <w:rPr>
          <w:rFonts w:hint="eastAsia"/>
        </w:rPr>
        <w:t>，</w:t>
      </w:r>
      <w:r>
        <w:t>将显示该时间点的新增会话数及当前会话数</w:t>
      </w:r>
      <w:r>
        <w:rPr>
          <w:rFonts w:hint="eastAsia"/>
        </w:rPr>
        <w:t>。</w:t>
      </w:r>
    </w:p>
    <w:p w14:paraId="6B0876FE">
      <w:r>
        <w:t>点击右上角</w:t>
      </w:r>
      <w:r>
        <w:drawing>
          <wp:inline distT="0" distB="0" distL="0" distR="0">
            <wp:extent cx="180340" cy="170815"/>
            <wp:effectExtent l="0" t="0" r="0" b="635"/>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48"/>
                    <a:stretch>
                      <a:fillRect/>
                    </a:stretch>
                  </pic:blipFill>
                  <pic:spPr>
                    <a:xfrm>
                      <a:off x="0" y="0"/>
                      <a:ext cx="180952" cy="171429"/>
                    </a:xfrm>
                    <a:prstGeom prst="rect">
                      <a:avLst/>
                    </a:prstGeom>
                  </pic:spPr>
                </pic:pic>
              </a:graphicData>
            </a:graphic>
          </wp:inline>
        </w:drawing>
      </w:r>
      <w:r>
        <w:t>按钮</w:t>
      </w:r>
      <w:r>
        <w:rPr>
          <w:rFonts w:hint="eastAsia"/>
        </w:rPr>
        <w:t>，</w:t>
      </w:r>
      <w:r>
        <w:t>可以设置显示信息的自动刷新时间</w:t>
      </w:r>
      <w:r>
        <w:rPr>
          <w:rFonts w:hint="eastAsia"/>
        </w:rPr>
        <w:t>，</w:t>
      </w:r>
      <w:r>
        <w:t>默认</w:t>
      </w:r>
      <w:r>
        <w:rPr>
          <w:rFonts w:hint="eastAsia"/>
        </w:rPr>
        <w:t>系统</w:t>
      </w:r>
      <w:r>
        <w:t>会每隔</w:t>
      </w:r>
      <w:r>
        <w:rPr>
          <w:rFonts w:hint="eastAsia"/>
        </w:rPr>
        <w:t>3</w:t>
      </w:r>
      <w:r>
        <w:t>0秒自动刷新显示信息</w:t>
      </w:r>
      <w:r>
        <w:rPr>
          <w:rFonts w:hint="eastAsia"/>
        </w:rPr>
        <w:t>。点击右上角刷新按钮</w:t>
      </w:r>
      <w:r>
        <w:drawing>
          <wp:inline distT="0" distB="0" distL="0" distR="0">
            <wp:extent cx="170815" cy="151765"/>
            <wp:effectExtent l="0" t="0" r="635" b="635"/>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49"/>
                    <a:stretch>
                      <a:fillRect/>
                    </a:stretch>
                  </pic:blipFill>
                  <pic:spPr>
                    <a:xfrm>
                      <a:off x="0" y="0"/>
                      <a:ext cx="171429" cy="152381"/>
                    </a:xfrm>
                    <a:prstGeom prst="rect">
                      <a:avLst/>
                    </a:prstGeom>
                  </pic:spPr>
                </pic:pic>
              </a:graphicData>
            </a:graphic>
          </wp:inline>
        </w:drawing>
      </w:r>
      <w:r>
        <w:rPr>
          <w:rFonts w:hint="eastAsia"/>
        </w:rPr>
        <w:t>，可以立即刷新当前的显示。</w:t>
      </w:r>
      <w:r>
        <w:br w:type="page"/>
      </w:r>
      <w:bookmarkStart w:id="183" w:name="_Toc141873238"/>
      <w:bookmarkStart w:id="184" w:name="_Toc15484611"/>
      <w:bookmarkStart w:id="185" w:name="_Toc23152379"/>
      <w:bookmarkStart w:id="186" w:name="_Toc99561294"/>
      <w:bookmarkStart w:id="187" w:name="_Toc40275812"/>
      <w:bookmarkStart w:id="188" w:name="_Toc194080605"/>
      <w:bookmarkStart w:id="189" w:name="_Toc172217969"/>
      <w:bookmarkStart w:id="190" w:name="_Toc142400757"/>
    </w:p>
    <w:p w14:paraId="3C189F17">
      <w:pPr>
        <w:pStyle w:val="3"/>
      </w:pPr>
      <w:bookmarkStart w:id="191" w:name="_Toc196727938"/>
      <w:r>
        <w:t>数据中心</w:t>
      </w:r>
      <w:bookmarkEnd w:id="183"/>
      <w:bookmarkEnd w:id="184"/>
      <w:bookmarkEnd w:id="185"/>
      <w:bookmarkEnd w:id="186"/>
      <w:bookmarkEnd w:id="187"/>
      <w:bookmarkEnd w:id="188"/>
      <w:bookmarkEnd w:id="189"/>
      <w:bookmarkEnd w:id="190"/>
      <w:bookmarkEnd w:id="191"/>
    </w:p>
    <w:p w14:paraId="179C19B0">
      <w:r>
        <w:rPr>
          <w:rFonts w:hint="eastAsia"/>
        </w:rPr>
        <w:t>数据中心通过对内网用户上网行为产生的海量数据进行记录与分析，全面的记录用户上网行为日志，并通过图形化报表实时展示网络流量及用户上网行为等信息。通过数据中心，管理者可以及时了解网络资源使用情况，为改进网络管理提供准确的依据。</w:t>
      </w:r>
    </w:p>
    <w:p w14:paraId="5A9230BB">
      <w:r>
        <w:rPr>
          <w:rFonts w:hint="eastAsia"/>
        </w:rPr>
        <w:t>数据中心同时支持报表功能，内置多种报表模板，可以将统计的数据以报表的格式定时生成发送给管理员。</w:t>
      </w:r>
    </w:p>
    <w:p w14:paraId="35644DD3">
      <w:pPr>
        <w:pStyle w:val="4"/>
      </w:pPr>
      <w:bookmarkStart w:id="192" w:name="_Toc194080606"/>
      <w:bookmarkStart w:id="193" w:name="_Toc99561295"/>
      <w:bookmarkStart w:id="194" w:name="_Toc141873239"/>
      <w:bookmarkStart w:id="195" w:name="_Toc40275813"/>
      <w:bookmarkStart w:id="196" w:name="_Toc196727939"/>
      <w:bookmarkStart w:id="197" w:name="_Toc172217970"/>
      <w:bookmarkStart w:id="198" w:name="_Toc23152380"/>
      <w:bookmarkStart w:id="199" w:name="_Toc142400758"/>
      <w:bookmarkStart w:id="200" w:name="_Toc15484612"/>
      <w:r>
        <w:rPr>
          <w:rFonts w:hint="eastAsia"/>
        </w:rPr>
        <w:t>系统监控</w:t>
      </w:r>
      <w:bookmarkEnd w:id="192"/>
      <w:bookmarkEnd w:id="193"/>
      <w:bookmarkEnd w:id="194"/>
      <w:bookmarkEnd w:id="195"/>
      <w:bookmarkEnd w:id="196"/>
      <w:bookmarkEnd w:id="197"/>
      <w:bookmarkEnd w:id="198"/>
      <w:bookmarkEnd w:id="199"/>
      <w:bookmarkEnd w:id="200"/>
    </w:p>
    <w:p w14:paraId="640A73F6">
      <w:pPr>
        <w:pStyle w:val="5"/>
      </w:pPr>
      <w:bookmarkStart w:id="201" w:name="_Toc15484613"/>
      <w:bookmarkStart w:id="202" w:name="_Toc11342770"/>
      <w:bookmarkStart w:id="203" w:name="_Toc172217971"/>
      <w:bookmarkStart w:id="204" w:name="_Toc99561296"/>
      <w:bookmarkStart w:id="205" w:name="_Toc23152381"/>
      <w:bookmarkStart w:id="206" w:name="_Toc194080607"/>
      <w:bookmarkStart w:id="207" w:name="_Toc40275814"/>
      <w:bookmarkStart w:id="208" w:name="_Toc142400759"/>
      <w:bookmarkStart w:id="209" w:name="_Toc196727940"/>
      <w:bookmarkStart w:id="210" w:name="_Toc141873240"/>
      <w:r>
        <w:rPr>
          <w:rFonts w:hint="eastAsia"/>
        </w:rPr>
        <w:t>系统监控简介</w:t>
      </w:r>
      <w:bookmarkEnd w:id="201"/>
      <w:bookmarkEnd w:id="202"/>
      <w:bookmarkEnd w:id="203"/>
      <w:bookmarkEnd w:id="204"/>
      <w:bookmarkEnd w:id="205"/>
      <w:bookmarkEnd w:id="206"/>
      <w:bookmarkEnd w:id="207"/>
      <w:bookmarkEnd w:id="208"/>
      <w:bookmarkEnd w:id="209"/>
      <w:bookmarkEnd w:id="210"/>
    </w:p>
    <w:p w14:paraId="000F9C2F">
      <w:r>
        <w:rPr>
          <w:rFonts w:hint="eastAsia"/>
        </w:rPr>
        <w:t>系统监控中是对系统当前状态信息的监控，主要包括在线用户、接口状态、SSL</w:t>
      </w:r>
      <w:r>
        <w:t xml:space="preserve"> VPN在线用户</w:t>
      </w:r>
      <w:r>
        <w:rPr>
          <w:rFonts w:hint="eastAsia"/>
        </w:rPr>
        <w:t>、实时流速监控和故障监控中心。</w:t>
      </w:r>
    </w:p>
    <w:p w14:paraId="71E75531">
      <w:pPr>
        <w:pStyle w:val="162"/>
      </w:pPr>
      <w:r>
        <w:rPr>
          <w:rFonts w:hint="eastAsia"/>
        </w:rPr>
        <w:t>在线用户管理：是对当前在线用户进行监控以及管理，包括对用户名、用户组IP地址、认证方式、在线时间、在线状态、登录时间等的详细记录，还可以对用户进行账户冻结。</w:t>
      </w:r>
    </w:p>
    <w:p w14:paraId="52BC39C1">
      <w:pPr>
        <w:pStyle w:val="162"/>
      </w:pPr>
      <w:r>
        <w:rPr>
          <w:rFonts w:hint="eastAsia"/>
        </w:rPr>
        <w:t>接口状态：可以显示接口的状态、收发包速率、收发包总数等信息。</w:t>
      </w:r>
    </w:p>
    <w:p w14:paraId="1A007975">
      <w:pPr>
        <w:pStyle w:val="162"/>
      </w:pPr>
      <w:r>
        <w:t>黑名单记录</w:t>
      </w:r>
      <w:r>
        <w:rPr>
          <w:rFonts w:hint="eastAsia"/>
        </w:rPr>
        <w:t>：可以通过IP和生命周期新建黑名单信息，还可以查看生成的黑名单记录，包括源IP、生命周期、生效时间、添加方式及状态信息。</w:t>
      </w:r>
    </w:p>
    <w:p w14:paraId="1F4036E7">
      <w:pPr>
        <w:pStyle w:val="162"/>
      </w:pPr>
      <w:r>
        <w:rPr>
          <w:rFonts w:hint="eastAsia"/>
        </w:rPr>
        <w:t>SSL</w:t>
      </w:r>
      <w:r>
        <w:t xml:space="preserve"> VPN在线用户</w:t>
      </w:r>
      <w:r>
        <w:rPr>
          <w:rFonts w:hint="eastAsia"/>
        </w:rPr>
        <w:t>：对当前SSL</w:t>
      </w:r>
      <w:r>
        <w:t xml:space="preserve"> VPN</w:t>
      </w:r>
      <w:r>
        <w:rPr>
          <w:rFonts w:hint="eastAsia"/>
        </w:rPr>
        <w:t>在线用户进行监控以及管理，显示SSL VPN客户端接入的用户状态，可针对某一用户或某些用户进行冻结和强制注销。</w:t>
      </w:r>
    </w:p>
    <w:p w14:paraId="7D86F4A3">
      <w:pPr>
        <w:pStyle w:val="162"/>
      </w:pPr>
      <w:r>
        <w:rPr>
          <w:rFonts w:hint="eastAsia"/>
        </w:rPr>
        <w:t>实时流速监控：可以显示用户实时流速、应用实时流速等信息。</w:t>
      </w:r>
    </w:p>
    <w:p w14:paraId="3D63FE50">
      <w:pPr>
        <w:pStyle w:val="162"/>
      </w:pPr>
      <w:r>
        <w:rPr>
          <w:rFonts w:hint="eastAsia"/>
        </w:rPr>
        <w:t>终端资产管理提供以资产为核心的安全监控和分析理念，通过资产梳理、主动风险发现、被动流量检测，帮助用户构建对IT资产实现多维度的安全分析监控。</w:t>
      </w:r>
    </w:p>
    <w:p w14:paraId="40200885">
      <w:pPr>
        <w:pStyle w:val="162"/>
      </w:pPr>
      <w:bookmarkStart w:id="211" w:name="_Ref392932409"/>
      <w:r>
        <w:t>故障监控中心</w:t>
      </w:r>
      <w:r>
        <w:rPr>
          <w:rFonts w:hint="eastAsia"/>
        </w:rPr>
        <w:t>：对单用户终端网络状况进行监测以及网络故障排查、WEB访问质量监控等。</w:t>
      </w:r>
      <w:bookmarkEnd w:id="211"/>
    </w:p>
    <w:p w14:paraId="27F3BEC5">
      <w:pPr>
        <w:pStyle w:val="5"/>
      </w:pPr>
      <w:bookmarkStart w:id="212" w:name="_Toc174956969"/>
      <w:bookmarkEnd w:id="212"/>
      <w:bookmarkStart w:id="213" w:name="_Toc174973104"/>
      <w:bookmarkEnd w:id="213"/>
      <w:bookmarkStart w:id="214" w:name="_Toc99561297"/>
      <w:bookmarkStart w:id="215" w:name="_Toc15484615"/>
      <w:bookmarkStart w:id="216" w:name="_Ref392932435"/>
      <w:bookmarkStart w:id="217" w:name="_Toc194080608"/>
      <w:bookmarkStart w:id="218" w:name="_Toc196727941"/>
      <w:bookmarkStart w:id="219" w:name="_Toc172217972"/>
      <w:bookmarkStart w:id="220" w:name="_Toc141873241"/>
      <w:bookmarkStart w:id="221" w:name="_Toc11342772"/>
      <w:bookmarkStart w:id="222" w:name="_Toc40275816"/>
      <w:bookmarkStart w:id="223" w:name="_Toc142400760"/>
      <w:bookmarkStart w:id="224" w:name="_Toc23152383"/>
      <w:bookmarkStart w:id="225" w:name="_Toc23152382"/>
      <w:bookmarkStart w:id="226" w:name="_Toc40275815"/>
      <w:bookmarkStart w:id="227" w:name="_Toc11342771"/>
      <w:bookmarkStart w:id="228" w:name="_Toc15484614"/>
      <w:bookmarkStart w:id="229" w:name="_Ref414884144"/>
      <w:r>
        <w:rPr>
          <w:rFonts w:hint="eastAsia"/>
        </w:rPr>
        <w:t>在线用户</w:t>
      </w:r>
      <w:bookmarkEnd w:id="214"/>
      <w:bookmarkEnd w:id="215"/>
      <w:bookmarkEnd w:id="216"/>
      <w:bookmarkEnd w:id="217"/>
      <w:bookmarkEnd w:id="218"/>
      <w:bookmarkEnd w:id="219"/>
      <w:bookmarkEnd w:id="220"/>
      <w:bookmarkEnd w:id="221"/>
      <w:bookmarkEnd w:id="222"/>
      <w:bookmarkEnd w:id="223"/>
      <w:bookmarkEnd w:id="224"/>
    </w:p>
    <w:p w14:paraId="4CEA46FC">
      <w:pPr>
        <w:pStyle w:val="6"/>
      </w:pPr>
      <w:r>
        <w:rPr>
          <w:rFonts w:hint="eastAsia"/>
        </w:rPr>
        <w:t>查看在线用户</w:t>
      </w:r>
    </w:p>
    <w:p w14:paraId="52B20CF5">
      <w:r>
        <w:rPr>
          <w:rFonts w:hint="eastAsia"/>
        </w:rPr>
        <w:t>在导航栏中选择“数据中心&gt;系统监控&gt;</w:t>
      </w:r>
      <w:r>
        <w:t>在线用户</w:t>
      </w:r>
      <w:r>
        <w:rPr>
          <w:rFonts w:hint="eastAsia"/>
        </w:rPr>
        <w:t>”</w:t>
      </w:r>
      <w:r>
        <w:t>进入在线用户界面</w:t>
      </w:r>
      <w:r>
        <w:rPr>
          <w:rFonts w:hint="eastAsia"/>
        </w:rPr>
        <w:t>，查看设备上所有的在线用户详细信息，点击用户名查看该用户的更多详细信息。如</w:t>
      </w:r>
      <w:r>
        <w:t>下图</w:t>
      </w:r>
      <w:r>
        <w:rPr>
          <w:rFonts w:hint="eastAsia"/>
        </w:rPr>
        <w:t>所示。</w:t>
      </w:r>
      <w:bookmarkStart w:id="230" w:name="_Ref392929601"/>
      <w:bookmarkStart w:id="231" w:name="_Toc141874385"/>
      <w:r>
        <w:rPr>
          <w:rFonts w:hint="eastAsia"/>
        </w:rPr>
        <w:t>有关用户对象及用户认证的更多信息，请参见“用户管理”和“认证管理”章节。</w:t>
      </w:r>
    </w:p>
    <w:p w14:paraId="13A803ED">
      <w:pPr>
        <w:pStyle w:val="188"/>
      </w:pPr>
      <w:r>
        <w:t>在线用户管理</w:t>
      </w:r>
      <w:bookmarkEnd w:id="230"/>
      <w:bookmarkEnd w:id="231"/>
    </w:p>
    <w:p w14:paraId="2FAB444F">
      <w:pPr>
        <w:spacing w:before="79" w:after="79"/>
      </w:pPr>
      <w:r>
        <w:drawing>
          <wp:inline distT="0" distB="0" distL="0" distR="0">
            <wp:extent cx="5400040" cy="1331595"/>
            <wp:effectExtent l="0" t="0" r="0" b="1905"/>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91"/>
                    <pic:cNvPicPr>
                      <a:picLocks noChangeAspect="1"/>
                    </pic:cNvPicPr>
                  </pic:nvPicPr>
                  <pic:blipFill>
                    <a:blip r:embed="rId53"/>
                    <a:stretch>
                      <a:fillRect/>
                    </a:stretch>
                  </pic:blipFill>
                  <pic:spPr>
                    <a:xfrm>
                      <a:off x="0" y="0"/>
                      <a:ext cx="5400040" cy="1331595"/>
                    </a:xfrm>
                    <a:prstGeom prst="rect">
                      <a:avLst/>
                    </a:prstGeom>
                  </pic:spPr>
                </pic:pic>
              </a:graphicData>
            </a:graphic>
          </wp:inline>
        </w:drawing>
      </w:r>
    </w:p>
    <w:p w14:paraId="586860CA"/>
    <w:p w14:paraId="37561A46">
      <w:r>
        <w:rPr>
          <w:rFonts w:hint="eastAsia"/>
        </w:rPr>
        <w:t>对在线用户管理详细说明如</w:t>
      </w:r>
      <w:r>
        <w:fldChar w:fldCharType="begin"/>
      </w:r>
      <w:r>
        <w:instrText xml:space="preserve"> </w:instrText>
      </w:r>
      <w:r>
        <w:rPr>
          <w:rFonts w:hint="eastAsia"/>
        </w:rPr>
        <w:instrText xml:space="preserve">REF _Ref392929769 \r \h</w:instrText>
      </w:r>
      <w:r>
        <w:instrText xml:space="preserve"> </w:instrText>
      </w:r>
      <w:r>
        <w:fldChar w:fldCharType="separate"/>
      </w:r>
      <w:r>
        <w:rPr>
          <w:rFonts w:hint="eastAsia"/>
        </w:rPr>
        <w:t>表4-1</w:t>
      </w:r>
      <w:r>
        <w:fldChar w:fldCharType="end"/>
      </w:r>
      <w:r>
        <w:rPr>
          <w:rFonts w:hint="eastAsia"/>
        </w:rPr>
        <w:t>所示。</w:t>
      </w:r>
    </w:p>
    <w:p w14:paraId="7D3AB0B0">
      <w:pPr>
        <w:pStyle w:val="183"/>
      </w:pPr>
      <w:bookmarkStart w:id="232" w:name="_Ref392929769"/>
      <w:bookmarkStart w:id="233" w:name="_Toc141875372"/>
      <w:r>
        <w:rPr>
          <w:rFonts w:hint="eastAsia"/>
        </w:rPr>
        <w:t>在线用户管理</w:t>
      </w:r>
      <w:r>
        <w:t>说明</w:t>
      </w:r>
      <w:bookmarkEnd w:id="232"/>
      <w:bookmarkEnd w:id="233"/>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093"/>
        <w:gridCol w:w="6921"/>
      </w:tblGrid>
      <w:tr w14:paraId="1BAF0F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093" w:type="dxa"/>
            <w:tcBorders>
              <w:tl2br w:val="nil"/>
              <w:tr2bl w:val="nil"/>
            </w:tcBorders>
            <w:shd w:val="clear" w:color="auto" w:fill="538135" w:themeFill="accent6" w:themeFillShade="BF"/>
            <w:vAlign w:val="center"/>
          </w:tcPr>
          <w:p w14:paraId="4F995828">
            <w:pPr>
              <w:pStyle w:val="149"/>
              <w:wordWrap/>
              <w:rPr>
                <w:b/>
                <w:bCs/>
                <w:i w:val="0"/>
                <w:iCs w:val="0"/>
              </w:rPr>
            </w:pPr>
            <w:r>
              <w:rPr>
                <w:rFonts w:hint="eastAsia"/>
                <w:b/>
                <w:bCs/>
                <w:i w:val="0"/>
                <w:iCs w:val="0"/>
              </w:rPr>
              <w:t>标题项</w:t>
            </w:r>
          </w:p>
        </w:tc>
        <w:tc>
          <w:tcPr>
            <w:tcW w:w="6921" w:type="dxa"/>
            <w:tcBorders>
              <w:tl2br w:val="nil"/>
              <w:tr2bl w:val="nil"/>
            </w:tcBorders>
            <w:shd w:val="clear" w:color="auto" w:fill="538135" w:themeFill="accent6" w:themeFillShade="BF"/>
            <w:vAlign w:val="center"/>
          </w:tcPr>
          <w:p w14:paraId="48D7D910">
            <w:pPr>
              <w:pStyle w:val="149"/>
              <w:wordWrap/>
              <w:rPr>
                <w:b/>
                <w:bCs/>
                <w:i w:val="0"/>
                <w:iCs w:val="0"/>
              </w:rPr>
            </w:pPr>
            <w:r>
              <w:rPr>
                <w:rFonts w:hint="eastAsia"/>
                <w:b/>
                <w:bCs/>
                <w:i w:val="0"/>
                <w:iCs w:val="0"/>
              </w:rPr>
              <w:t>说明</w:t>
            </w:r>
          </w:p>
        </w:tc>
      </w:tr>
      <w:tr w14:paraId="119D3C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093" w:type="dxa"/>
            <w:shd w:val="clear" w:color="auto" w:fill="auto"/>
          </w:tcPr>
          <w:p w14:paraId="25E645C8">
            <w:pPr>
              <w:pStyle w:val="150"/>
            </w:pPr>
            <w:r>
              <w:rPr>
                <w:rFonts w:hint="eastAsia"/>
              </w:rPr>
              <w:t>用户名</w:t>
            </w:r>
          </w:p>
        </w:tc>
        <w:tc>
          <w:tcPr>
            <w:tcW w:w="6921" w:type="dxa"/>
            <w:shd w:val="clear" w:color="auto" w:fill="auto"/>
          </w:tcPr>
          <w:p w14:paraId="0E0FDCFB">
            <w:pPr>
              <w:pStyle w:val="150"/>
            </w:pPr>
            <w:r>
              <w:rPr>
                <w:rFonts w:hint="eastAsia"/>
              </w:rPr>
              <w:t>通过设备上网的用户名称。</w:t>
            </w:r>
          </w:p>
        </w:tc>
      </w:tr>
      <w:tr w14:paraId="568BF1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093" w:type="dxa"/>
            <w:shd w:val="clear" w:color="auto" w:fill="auto"/>
          </w:tcPr>
          <w:p w14:paraId="5815F21A">
            <w:pPr>
              <w:pStyle w:val="150"/>
            </w:pPr>
            <w:r>
              <w:rPr>
                <w:rFonts w:hint="eastAsia"/>
              </w:rPr>
              <w:t>所属组</w:t>
            </w:r>
          </w:p>
        </w:tc>
        <w:tc>
          <w:tcPr>
            <w:tcW w:w="6921" w:type="dxa"/>
            <w:shd w:val="clear" w:color="auto" w:fill="auto"/>
          </w:tcPr>
          <w:p w14:paraId="5CF5A370">
            <w:pPr>
              <w:pStyle w:val="150"/>
            </w:pPr>
            <w:r>
              <w:rPr>
                <w:rFonts w:hint="eastAsia"/>
              </w:rPr>
              <w:t>通过设备上网的用户所属的组。</w:t>
            </w:r>
          </w:p>
        </w:tc>
      </w:tr>
      <w:tr w14:paraId="7C9E438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093" w:type="dxa"/>
            <w:shd w:val="clear" w:color="auto" w:fill="auto"/>
          </w:tcPr>
          <w:p w14:paraId="51B418B8">
            <w:pPr>
              <w:pStyle w:val="150"/>
              <w:rPr>
                <w:rFonts w:ascii="宋体" w:hAnsi="宋体"/>
              </w:rPr>
            </w:pPr>
            <w:r>
              <w:t>IP</w:t>
            </w:r>
            <w:r>
              <w:rPr>
                <w:rFonts w:hint="eastAsia"/>
              </w:rPr>
              <w:t>地址</w:t>
            </w:r>
          </w:p>
        </w:tc>
        <w:tc>
          <w:tcPr>
            <w:tcW w:w="6921" w:type="dxa"/>
            <w:shd w:val="clear" w:color="auto" w:fill="auto"/>
          </w:tcPr>
          <w:p w14:paraId="05252237">
            <w:pPr>
              <w:pStyle w:val="150"/>
              <w:rPr>
                <w:rFonts w:ascii="宋体" w:hAnsi="宋体"/>
              </w:rPr>
            </w:pPr>
            <w:r>
              <w:rPr>
                <w:rFonts w:hint="eastAsia"/>
              </w:rPr>
              <w:t>此用户所对应的</w:t>
            </w:r>
            <w:r>
              <w:t>IP</w:t>
            </w:r>
            <w:r>
              <w:rPr>
                <w:rFonts w:hint="eastAsia"/>
              </w:rPr>
              <w:t>地址。</w:t>
            </w:r>
          </w:p>
        </w:tc>
      </w:tr>
      <w:tr w14:paraId="400DE76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093" w:type="dxa"/>
            <w:shd w:val="clear" w:color="auto" w:fill="auto"/>
          </w:tcPr>
          <w:p w14:paraId="5E90E6E2">
            <w:pPr>
              <w:pStyle w:val="150"/>
            </w:pPr>
            <w:r>
              <w:rPr>
                <w:rFonts w:hint="eastAsia"/>
              </w:rPr>
              <w:t>认证方式</w:t>
            </w:r>
          </w:p>
        </w:tc>
        <w:tc>
          <w:tcPr>
            <w:tcW w:w="6921" w:type="dxa"/>
            <w:shd w:val="clear" w:color="auto" w:fill="auto"/>
          </w:tcPr>
          <w:p w14:paraId="77F65453">
            <w:pPr>
              <w:pStyle w:val="150"/>
            </w:pPr>
            <w:r>
              <w:rPr>
                <w:rFonts w:hint="eastAsia"/>
              </w:rPr>
              <w:t>用户的认证方式。</w:t>
            </w:r>
          </w:p>
        </w:tc>
      </w:tr>
      <w:tr w14:paraId="4A55BA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093" w:type="dxa"/>
            <w:shd w:val="clear" w:color="auto" w:fill="auto"/>
          </w:tcPr>
          <w:p w14:paraId="7072CF40">
            <w:pPr>
              <w:pStyle w:val="150"/>
            </w:pPr>
            <w:r>
              <w:rPr>
                <w:rFonts w:hint="eastAsia"/>
              </w:rPr>
              <w:t>终端类型</w:t>
            </w:r>
          </w:p>
        </w:tc>
        <w:tc>
          <w:tcPr>
            <w:tcW w:w="6921" w:type="dxa"/>
            <w:shd w:val="clear" w:color="auto" w:fill="auto"/>
          </w:tcPr>
          <w:p w14:paraId="7F85C7FA">
            <w:pPr>
              <w:pStyle w:val="150"/>
            </w:pPr>
            <w:r>
              <w:rPr>
                <w:rFonts w:hint="eastAsia"/>
              </w:rPr>
              <w:t>用户的终端类型。</w:t>
            </w:r>
          </w:p>
        </w:tc>
      </w:tr>
      <w:tr w14:paraId="13A68A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093" w:type="dxa"/>
            <w:shd w:val="clear" w:color="auto" w:fill="auto"/>
          </w:tcPr>
          <w:p w14:paraId="55D63F60">
            <w:pPr>
              <w:pStyle w:val="150"/>
            </w:pPr>
            <w:r>
              <w:rPr>
                <w:rFonts w:hint="eastAsia"/>
              </w:rPr>
              <w:t>登录时间/冻结时间</w:t>
            </w:r>
          </w:p>
        </w:tc>
        <w:tc>
          <w:tcPr>
            <w:tcW w:w="6921" w:type="dxa"/>
            <w:shd w:val="clear" w:color="auto" w:fill="auto"/>
          </w:tcPr>
          <w:p w14:paraId="174A2CD4">
            <w:pPr>
              <w:pStyle w:val="150"/>
            </w:pPr>
            <w:r>
              <w:rPr>
                <w:rFonts w:hint="eastAsia"/>
              </w:rPr>
              <w:t>用户第一次登录的时间或冻结时间。</w:t>
            </w:r>
          </w:p>
        </w:tc>
      </w:tr>
      <w:tr w14:paraId="78EE0D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093" w:type="dxa"/>
            <w:shd w:val="clear" w:color="auto" w:fill="auto"/>
          </w:tcPr>
          <w:p w14:paraId="771CF16C">
            <w:pPr>
              <w:pStyle w:val="150"/>
            </w:pPr>
            <w:r>
              <w:rPr>
                <w:rFonts w:hint="eastAsia"/>
              </w:rPr>
              <w:t>状态</w:t>
            </w:r>
          </w:p>
        </w:tc>
        <w:tc>
          <w:tcPr>
            <w:tcW w:w="6921" w:type="dxa"/>
            <w:shd w:val="clear" w:color="auto" w:fill="auto"/>
          </w:tcPr>
          <w:p w14:paraId="2C66A5A9">
            <w:pPr>
              <w:pStyle w:val="150"/>
            </w:pPr>
            <w:r>
              <w:rPr>
                <w:rFonts w:hint="eastAsia"/>
              </w:rPr>
              <w:t>在线状态是正常还是被冻结，被冻结会显示冻结剩余时间，缺省是600秒。</w:t>
            </w:r>
          </w:p>
        </w:tc>
      </w:tr>
      <w:tr w14:paraId="205785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093" w:type="dxa"/>
            <w:shd w:val="clear" w:color="auto" w:fill="auto"/>
          </w:tcPr>
          <w:p w14:paraId="5F9251EB">
            <w:pPr>
              <w:pStyle w:val="150"/>
            </w:pPr>
            <w:r>
              <w:rPr>
                <w:rFonts w:hint="eastAsia"/>
              </w:rPr>
              <w:t>在线时长</w:t>
            </w:r>
          </w:p>
        </w:tc>
        <w:tc>
          <w:tcPr>
            <w:tcW w:w="6921" w:type="dxa"/>
            <w:shd w:val="clear" w:color="auto" w:fill="auto"/>
          </w:tcPr>
          <w:p w14:paraId="0B5D9631">
            <w:pPr>
              <w:pStyle w:val="150"/>
            </w:pPr>
            <w:r>
              <w:rPr>
                <w:rFonts w:hint="eastAsia"/>
              </w:rPr>
              <w:t>用户在线累计时间。</w:t>
            </w:r>
          </w:p>
        </w:tc>
      </w:tr>
      <w:tr w14:paraId="403D48D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093" w:type="dxa"/>
            <w:shd w:val="clear" w:color="auto" w:fill="auto"/>
          </w:tcPr>
          <w:p w14:paraId="58B8E049">
            <w:pPr>
              <w:pStyle w:val="150"/>
            </w:pPr>
            <w:r>
              <w:rPr>
                <w:rFonts w:hint="eastAsia"/>
              </w:rPr>
              <w:t>状态</w:t>
            </w:r>
          </w:p>
        </w:tc>
        <w:tc>
          <w:tcPr>
            <w:tcW w:w="6921" w:type="dxa"/>
            <w:shd w:val="clear" w:color="auto" w:fill="auto"/>
          </w:tcPr>
          <w:p w14:paraId="4781238A">
            <w:pPr>
              <w:pStyle w:val="150"/>
            </w:pPr>
            <w:r>
              <w:rPr>
                <w:rFonts w:hint="eastAsia"/>
              </w:rPr>
              <w:t>用户的状态。</w:t>
            </w:r>
          </w:p>
        </w:tc>
      </w:tr>
      <w:tr w14:paraId="372659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093" w:type="dxa"/>
            <w:shd w:val="clear" w:color="auto" w:fill="auto"/>
          </w:tcPr>
          <w:p w14:paraId="0A211710">
            <w:pPr>
              <w:pStyle w:val="150"/>
            </w:pPr>
            <w:r>
              <w:rPr>
                <w:rFonts w:hint="eastAsia"/>
              </w:rPr>
              <w:t>操作</w:t>
            </w:r>
          </w:p>
        </w:tc>
        <w:tc>
          <w:tcPr>
            <w:tcW w:w="6921" w:type="dxa"/>
            <w:shd w:val="clear" w:color="auto" w:fill="auto"/>
          </w:tcPr>
          <w:p w14:paraId="327E6CF2">
            <w:pPr>
              <w:pStyle w:val="150"/>
            </w:pPr>
            <w:r>
              <w:rPr>
                <w:rFonts w:hint="eastAsia"/>
              </w:rPr>
              <w:t>冻结、注销用户操作。</w:t>
            </w:r>
          </w:p>
        </w:tc>
      </w:tr>
    </w:tbl>
    <w:p w14:paraId="5539F3B0"/>
    <w:p w14:paraId="2B469D2D">
      <w:pPr>
        <w:pStyle w:val="6"/>
      </w:pPr>
      <w:r>
        <w:rPr>
          <w:rFonts w:hint="eastAsia"/>
        </w:rPr>
        <w:t>冻结用户</w:t>
      </w:r>
    </w:p>
    <w:p w14:paraId="4F0892F3">
      <w:r>
        <w:t>对应用户后的“</w:t>
      </w:r>
      <w:r>
        <w:drawing>
          <wp:inline distT="0" distB="0" distL="0" distR="0">
            <wp:extent cx="132715" cy="132715"/>
            <wp:effectExtent l="0" t="0" r="635" b="635"/>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133200" cy="133200"/>
                    </a:xfrm>
                    <a:prstGeom prst="rect">
                      <a:avLst/>
                    </a:prstGeom>
                    <a:noFill/>
                    <a:ln>
                      <a:noFill/>
                    </a:ln>
                  </pic:spPr>
                </pic:pic>
              </a:graphicData>
            </a:graphic>
          </wp:inline>
        </w:drawing>
      </w:r>
      <w:r>
        <w:t>”，或者勾选在线用户后点击</w:t>
      </w:r>
      <w:r>
        <w:rPr>
          <w:rFonts w:hint="eastAsia"/>
        </w:rPr>
        <w:t>“冻结”按钮，</w:t>
      </w:r>
      <w:r>
        <w:t>弹出</w:t>
      </w:r>
      <w:r>
        <w:rPr>
          <w:rFonts w:hint="eastAsia"/>
        </w:rPr>
        <w:t>“</w:t>
      </w:r>
      <w:r>
        <w:t>设置冻结时间</w:t>
      </w:r>
      <w:r>
        <w:rPr>
          <w:rFonts w:hint="eastAsia"/>
        </w:rPr>
        <w:t>”</w:t>
      </w:r>
      <w:r>
        <w:t>弹窗，设置冻结时长后，单击“提交”确认配置，即可冻结所选用户</w:t>
      </w:r>
      <w:r>
        <w:rPr>
          <w:rFonts w:hint="eastAsia"/>
        </w:rPr>
        <w:t>。</w:t>
      </w:r>
    </w:p>
    <w:p w14:paraId="16FA58AF">
      <w:pPr>
        <w:pStyle w:val="188"/>
      </w:pPr>
      <w:bookmarkStart w:id="234" w:name="_Toc141874386"/>
      <w:r>
        <w:t>冻结在线用户</w:t>
      </w:r>
      <w:bookmarkEnd w:id="234"/>
    </w:p>
    <w:p w14:paraId="1D28F456">
      <w:pPr>
        <w:pStyle w:val="175"/>
      </w:pPr>
      <w:r>
        <w:drawing>
          <wp:inline distT="0" distB="0" distL="0" distR="0">
            <wp:extent cx="4981575" cy="1221740"/>
            <wp:effectExtent l="0" t="0" r="0" b="0"/>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492"/>
                    <pic:cNvPicPr>
                      <a:picLocks noChangeAspect="1"/>
                    </pic:cNvPicPr>
                  </pic:nvPicPr>
                  <pic:blipFill>
                    <a:blip r:embed="rId55"/>
                    <a:stretch>
                      <a:fillRect/>
                    </a:stretch>
                  </pic:blipFill>
                  <pic:spPr>
                    <a:xfrm>
                      <a:off x="0" y="0"/>
                      <a:ext cx="5020486" cy="1231813"/>
                    </a:xfrm>
                    <a:prstGeom prst="rect">
                      <a:avLst/>
                    </a:prstGeom>
                  </pic:spPr>
                </pic:pic>
              </a:graphicData>
            </a:graphic>
          </wp:inline>
        </w:drawing>
      </w:r>
    </w:p>
    <w:p w14:paraId="47325B03"/>
    <w:p w14:paraId="71DA5EC6">
      <w:r>
        <w:rPr>
          <w:rFonts w:hint="eastAsia"/>
        </w:rPr>
        <w:t>在线用户被冻结后，不能访问网络资源，不能登录设备，也不能进行用户认证；等待冻结时间到期或者被管理员解冻后，则可以继续访问网络资源，否则需要重新认证通过后才能访问网络资源。</w:t>
      </w:r>
    </w:p>
    <w:p w14:paraId="6172C637">
      <w:pPr>
        <w:pStyle w:val="6"/>
      </w:pPr>
      <w:r>
        <w:rPr>
          <w:rFonts w:hint="eastAsia"/>
        </w:rPr>
        <w:t>注销用户</w:t>
      </w:r>
    </w:p>
    <w:p w14:paraId="0B2B2897">
      <w:r>
        <w:rPr>
          <w:rFonts w:hint="eastAsia"/>
        </w:rPr>
        <w:t>选中要注销的用户，单击“注销”按钮，可以注销选中的在线用户，在弹出提示窗口中单击“确定”后，所选的在线用户将会被踢下线。如</w:t>
      </w:r>
      <w:r>
        <w:t>下图所示</w:t>
      </w:r>
      <w:r>
        <w:rPr>
          <w:rFonts w:hint="eastAsia"/>
        </w:rPr>
        <w:t>。</w:t>
      </w:r>
    </w:p>
    <w:p w14:paraId="11C0DEF5">
      <w:pPr>
        <w:pStyle w:val="188"/>
      </w:pPr>
      <w:bookmarkStart w:id="235" w:name="_Toc141874387"/>
      <w:r>
        <w:t>注销在线用户</w:t>
      </w:r>
      <w:bookmarkEnd w:id="235"/>
    </w:p>
    <w:p w14:paraId="2F361607">
      <w:pPr>
        <w:pStyle w:val="175"/>
      </w:pPr>
      <w:r>
        <w:drawing>
          <wp:inline distT="0" distB="0" distL="0" distR="0">
            <wp:extent cx="5286375" cy="1541780"/>
            <wp:effectExtent l="0" t="0" r="0" b="1270"/>
            <wp:docPr id="508"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508"/>
                    <pic:cNvPicPr>
                      <a:picLocks noChangeAspect="1"/>
                    </pic:cNvPicPr>
                  </pic:nvPicPr>
                  <pic:blipFill>
                    <a:blip r:embed="rId56"/>
                    <a:stretch>
                      <a:fillRect/>
                    </a:stretch>
                  </pic:blipFill>
                  <pic:spPr>
                    <a:xfrm>
                      <a:off x="0" y="0"/>
                      <a:ext cx="5323320" cy="1552980"/>
                    </a:xfrm>
                    <a:prstGeom prst="rect">
                      <a:avLst/>
                    </a:prstGeom>
                  </pic:spPr>
                </pic:pic>
              </a:graphicData>
            </a:graphic>
          </wp:inline>
        </w:drawing>
      </w:r>
    </w:p>
    <w:p w14:paraId="48F7C6C9"/>
    <w:p w14:paraId="6491E85B">
      <w:r>
        <w:rPr>
          <w:rFonts w:hint="eastAsia"/>
        </w:rPr>
        <w:t>当前在线用户中有认证用户时，注销认证用户后，该认证用户会被踢下线，本地web认证、微信认证、短信认证、免认证等认证用户会重新弹出Portal认证页面，需要终端用户重新认证才能正常上网。</w:t>
      </w:r>
    </w:p>
    <w:p w14:paraId="4C8BD502">
      <w:pPr>
        <w:pStyle w:val="6"/>
      </w:pPr>
      <w:r>
        <w:rPr>
          <w:rFonts w:hint="eastAsia"/>
        </w:rPr>
        <w:t>导出在线用户</w:t>
      </w:r>
    </w:p>
    <w:p w14:paraId="2B77816C">
      <w:pPr>
        <w:pStyle w:val="202"/>
        <w:rPr>
          <w:lang w:eastAsia="zh-CN"/>
        </w:rPr>
      </w:pPr>
      <w:r>
        <w:rPr>
          <w:rFonts w:hint="eastAsia"/>
          <w:lang w:eastAsia="zh-CN"/>
        </w:rPr>
        <w:t>在线用户支持导出全部组或者指定组的用户信息。将光标悬停于“导出”，选择“导出全部组”将导出当前全部在线用户信息；在左侧用户组导航树中点击指定的用户组，选择“导出指定组”，可以将所选用户组的在线用户信息导出到本地。</w:t>
      </w:r>
    </w:p>
    <w:p w14:paraId="22ACE1F4">
      <w:pPr>
        <w:pStyle w:val="188"/>
      </w:pPr>
      <w:bookmarkStart w:id="236" w:name="_Toc193447340"/>
      <w:r>
        <w:rPr>
          <w:rFonts w:hint="eastAsia"/>
        </w:rPr>
        <w:t>导出在线用户</w:t>
      </w:r>
      <w:bookmarkEnd w:id="236"/>
    </w:p>
    <w:p w14:paraId="5D651FB0">
      <w:pPr>
        <w:pStyle w:val="175"/>
      </w:pPr>
      <w:r>
        <w:drawing>
          <wp:inline distT="0" distB="0" distL="0" distR="0">
            <wp:extent cx="5400040" cy="910590"/>
            <wp:effectExtent l="0" t="0" r="0" b="3810"/>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520"/>
                    <pic:cNvPicPr>
                      <a:picLocks noChangeAspect="1"/>
                    </pic:cNvPicPr>
                  </pic:nvPicPr>
                  <pic:blipFill>
                    <a:blip r:embed="rId57"/>
                    <a:stretch>
                      <a:fillRect/>
                    </a:stretch>
                  </pic:blipFill>
                  <pic:spPr>
                    <a:xfrm>
                      <a:off x="0" y="0"/>
                      <a:ext cx="5400040" cy="910590"/>
                    </a:xfrm>
                    <a:prstGeom prst="rect">
                      <a:avLst/>
                    </a:prstGeom>
                  </pic:spPr>
                </pic:pic>
              </a:graphicData>
            </a:graphic>
          </wp:inline>
        </w:drawing>
      </w:r>
    </w:p>
    <w:p w14:paraId="0B7D78CF"/>
    <w:p w14:paraId="679056D1">
      <w:pPr>
        <w:pStyle w:val="202"/>
        <w:rPr>
          <w:lang w:eastAsia="zh-CN"/>
        </w:rPr>
      </w:pPr>
      <w:r>
        <w:rPr>
          <w:rFonts w:hint="eastAsia"/>
          <w:lang w:eastAsia="zh-CN"/>
        </w:rPr>
        <w:t>导出成功后，弹出提示如下。</w:t>
      </w:r>
    </w:p>
    <w:p w14:paraId="275F83EB">
      <w:pPr>
        <w:pStyle w:val="188"/>
      </w:pPr>
      <w:bookmarkStart w:id="237" w:name="_Toc193447341"/>
      <w:bookmarkStart w:id="238" w:name="OLE_LINK2"/>
      <w:bookmarkStart w:id="239" w:name="OLE_LINK1"/>
      <w:r>
        <w:rPr>
          <w:rFonts w:hint="eastAsia"/>
        </w:rPr>
        <w:t>导出成功提示页面</w:t>
      </w:r>
      <w:bookmarkEnd w:id="237"/>
    </w:p>
    <w:bookmarkEnd w:id="238"/>
    <w:bookmarkEnd w:id="239"/>
    <w:p w14:paraId="165488BE">
      <w:pPr>
        <w:pStyle w:val="175"/>
      </w:pPr>
      <w:r>
        <w:drawing>
          <wp:inline distT="0" distB="0" distL="0" distR="0">
            <wp:extent cx="4695825" cy="2646045"/>
            <wp:effectExtent l="0" t="0" r="9525" b="1905"/>
            <wp:docPr id="891959048" name="图片 891959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959048" name="图片 891959048"/>
                    <pic:cNvPicPr>
                      <a:picLocks noChangeAspect="1"/>
                    </pic:cNvPicPr>
                  </pic:nvPicPr>
                  <pic:blipFill>
                    <a:blip r:embed="rId58"/>
                    <a:stretch>
                      <a:fillRect/>
                    </a:stretch>
                  </pic:blipFill>
                  <pic:spPr>
                    <a:xfrm>
                      <a:off x="0" y="0"/>
                      <a:ext cx="4701599" cy="2649170"/>
                    </a:xfrm>
                    <a:prstGeom prst="rect">
                      <a:avLst/>
                    </a:prstGeom>
                  </pic:spPr>
                </pic:pic>
              </a:graphicData>
            </a:graphic>
          </wp:inline>
        </w:drawing>
      </w:r>
    </w:p>
    <w:p w14:paraId="440EA79B"/>
    <w:p w14:paraId="0140C333">
      <w:pPr>
        <w:pStyle w:val="202"/>
        <w:rPr>
          <w:lang w:eastAsia="zh-CN"/>
        </w:rPr>
      </w:pPr>
      <w:r>
        <w:rPr>
          <w:rFonts w:hint="eastAsia"/>
          <w:lang w:eastAsia="zh-CN"/>
        </w:rPr>
        <w:t>单击“导出结果”按钮，弹出“导出结果”页面，单击</w:t>
      </w:r>
      <w:r>
        <w:rPr>
          <w:lang w:eastAsia="zh-CN"/>
        </w:rPr>
        <w:drawing>
          <wp:inline distT="0" distB="0" distL="0" distR="0">
            <wp:extent cx="209550" cy="171450"/>
            <wp:effectExtent l="0" t="0" r="0" b="0"/>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522"/>
                    <pic:cNvPicPr>
                      <a:picLocks noChangeAspect="1"/>
                    </pic:cNvPicPr>
                  </pic:nvPicPr>
                  <pic:blipFill>
                    <a:blip r:embed="rId59"/>
                    <a:stretch>
                      <a:fillRect/>
                    </a:stretch>
                  </pic:blipFill>
                  <pic:spPr>
                    <a:xfrm>
                      <a:off x="0" y="0"/>
                      <a:ext cx="209550" cy="171450"/>
                    </a:xfrm>
                    <a:prstGeom prst="rect">
                      <a:avLst/>
                    </a:prstGeom>
                  </pic:spPr>
                </pic:pic>
              </a:graphicData>
            </a:graphic>
          </wp:inline>
        </w:drawing>
      </w:r>
      <w:r>
        <w:rPr>
          <w:rFonts w:hint="eastAsia"/>
          <w:lang w:eastAsia="zh-CN"/>
        </w:rPr>
        <w:t>将导出结果下载到本地。</w:t>
      </w:r>
    </w:p>
    <w:p w14:paraId="2C8D1F7F">
      <w:pPr>
        <w:pStyle w:val="188"/>
      </w:pPr>
      <w:bookmarkStart w:id="240" w:name="_Toc193447342"/>
      <w:r>
        <w:rPr>
          <w:rFonts w:hint="eastAsia"/>
        </w:rPr>
        <w:t>导出结果页面</w:t>
      </w:r>
      <w:bookmarkEnd w:id="240"/>
    </w:p>
    <w:p w14:paraId="3CFE05CF">
      <w:pPr>
        <w:pStyle w:val="175"/>
      </w:pPr>
      <w:r>
        <w:drawing>
          <wp:inline distT="0" distB="0" distL="0" distR="0">
            <wp:extent cx="5400040" cy="1432560"/>
            <wp:effectExtent l="0" t="0" r="0" b="0"/>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523"/>
                    <pic:cNvPicPr>
                      <a:picLocks noChangeAspect="1"/>
                    </pic:cNvPicPr>
                  </pic:nvPicPr>
                  <pic:blipFill>
                    <a:blip r:embed="rId60"/>
                    <a:stretch>
                      <a:fillRect/>
                    </a:stretch>
                  </pic:blipFill>
                  <pic:spPr>
                    <a:xfrm>
                      <a:off x="0" y="0"/>
                      <a:ext cx="5400040" cy="1432560"/>
                    </a:xfrm>
                    <a:prstGeom prst="rect">
                      <a:avLst/>
                    </a:prstGeom>
                  </pic:spPr>
                </pic:pic>
              </a:graphicData>
            </a:graphic>
          </wp:inline>
        </w:drawing>
      </w:r>
    </w:p>
    <w:p w14:paraId="78319DCA">
      <w:r>
        <w:rPr>
          <w:rFonts w:hint="eastAsia"/>
        </w:rPr>
        <w:t>导出的文件如下图。</w:t>
      </w:r>
    </w:p>
    <w:p w14:paraId="227F50C3">
      <w:pPr>
        <w:pStyle w:val="188"/>
      </w:pPr>
      <w:bookmarkStart w:id="241" w:name="_Toc193447343"/>
      <w:r>
        <w:rPr>
          <w:rFonts w:hint="eastAsia"/>
        </w:rPr>
        <w:t>导出的文件</w:t>
      </w:r>
      <w:bookmarkEnd w:id="241"/>
    </w:p>
    <w:p w14:paraId="0949FE6B">
      <w:pPr>
        <w:pStyle w:val="175"/>
      </w:pPr>
      <w:r>
        <w:drawing>
          <wp:inline distT="0" distB="0" distL="0" distR="0">
            <wp:extent cx="2886075" cy="190500"/>
            <wp:effectExtent l="0" t="0" r="9525" b="0"/>
            <wp:docPr id="541"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541"/>
                    <pic:cNvPicPr>
                      <a:picLocks noChangeAspect="1"/>
                    </pic:cNvPicPr>
                  </pic:nvPicPr>
                  <pic:blipFill>
                    <a:blip r:embed="rId61"/>
                    <a:stretch>
                      <a:fillRect/>
                    </a:stretch>
                  </pic:blipFill>
                  <pic:spPr>
                    <a:xfrm>
                      <a:off x="0" y="0"/>
                      <a:ext cx="2886075" cy="190500"/>
                    </a:xfrm>
                    <a:prstGeom prst="rect">
                      <a:avLst/>
                    </a:prstGeom>
                  </pic:spPr>
                </pic:pic>
              </a:graphicData>
            </a:graphic>
          </wp:inline>
        </w:drawing>
      </w:r>
    </w:p>
    <w:p w14:paraId="76B1FD79">
      <w:pPr>
        <w:pStyle w:val="202"/>
        <w:rPr>
          <w:lang w:eastAsia="zh-CN"/>
        </w:rPr>
      </w:pPr>
      <w:r>
        <w:rPr>
          <w:rFonts w:hint="eastAsia"/>
          <w:lang w:eastAsia="zh-CN"/>
        </w:rPr>
        <w:t>将导出的文件解压缩，打开解压缩后的CSV文件，查看导出的在线用户信息，如下图。</w:t>
      </w:r>
    </w:p>
    <w:p w14:paraId="25560A69">
      <w:pPr>
        <w:pStyle w:val="188"/>
      </w:pPr>
      <w:bookmarkStart w:id="242" w:name="_Toc193447344"/>
      <w:r>
        <w:rPr>
          <w:rFonts w:hint="eastAsia"/>
        </w:rPr>
        <w:t>导出文件内容</w:t>
      </w:r>
      <w:bookmarkEnd w:id="242"/>
    </w:p>
    <w:p w14:paraId="70DA36EF">
      <w:pPr>
        <w:pStyle w:val="175"/>
      </w:pPr>
      <w:r>
        <w:drawing>
          <wp:inline distT="0" distB="0" distL="0" distR="0">
            <wp:extent cx="5467350" cy="922655"/>
            <wp:effectExtent l="0" t="0" r="0" b="0"/>
            <wp:docPr id="891959051" name="图片 891959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959051" name="图片 891959051"/>
                    <pic:cNvPicPr>
                      <a:picLocks noChangeAspect="1"/>
                    </pic:cNvPicPr>
                  </pic:nvPicPr>
                  <pic:blipFill>
                    <a:blip r:embed="rId62"/>
                    <a:stretch>
                      <a:fillRect/>
                    </a:stretch>
                  </pic:blipFill>
                  <pic:spPr>
                    <a:xfrm>
                      <a:off x="0" y="0"/>
                      <a:ext cx="5511603" cy="930323"/>
                    </a:xfrm>
                    <a:prstGeom prst="rect">
                      <a:avLst/>
                    </a:prstGeom>
                  </pic:spPr>
                </pic:pic>
              </a:graphicData>
            </a:graphic>
          </wp:inline>
        </w:drawing>
      </w:r>
    </w:p>
    <w:p w14:paraId="7E7A5207"/>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0CCBF716">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131FB10B">
            <w:pPr>
              <w:pStyle w:val="150"/>
              <w:adjustRightInd w:val="0"/>
              <w:snapToGrid w:val="0"/>
              <w:rPr>
                <w:color w:val="auto"/>
              </w:rPr>
            </w:pPr>
            <w:r>
              <w:rPr>
                <w:color w:val="auto"/>
              </w:rPr>
              <w:drawing>
                <wp:inline distT="0" distB="0" distL="0" distR="0">
                  <wp:extent cx="283210" cy="283210"/>
                  <wp:effectExtent l="0" t="0" r="2540" b="254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17560882">
            <w:pPr>
              <w:pStyle w:val="150"/>
              <w:adjustRightInd w:val="0"/>
              <w:snapToGrid w:val="0"/>
              <w:rPr>
                <w:color w:val="auto"/>
              </w:rPr>
            </w:pPr>
            <w:r>
              <w:rPr>
                <w:rFonts w:hint="eastAsia"/>
                <w:color w:val="auto"/>
              </w:rPr>
              <w:t>在线用户导出的最大规格为120W条；</w:t>
            </w:r>
          </w:p>
          <w:p w14:paraId="5A912CF4">
            <w:pPr>
              <w:pStyle w:val="150"/>
              <w:adjustRightInd w:val="0"/>
              <w:snapToGrid w:val="0"/>
              <w:rPr>
                <w:color w:val="auto"/>
              </w:rPr>
            </w:pPr>
            <w:r>
              <w:rPr>
                <w:rFonts w:hint="eastAsia"/>
                <w:color w:val="auto"/>
              </w:rPr>
              <w:t>设备重启后不保留已导出的报告；</w:t>
            </w:r>
          </w:p>
          <w:p w14:paraId="41D7BF20">
            <w:pPr>
              <w:pStyle w:val="150"/>
              <w:adjustRightInd w:val="0"/>
              <w:snapToGrid w:val="0"/>
              <w:rPr>
                <w:color w:val="auto"/>
              </w:rPr>
            </w:pPr>
            <w:r>
              <w:rPr>
                <w:rFonts w:hint="eastAsia"/>
                <w:color w:val="auto"/>
              </w:rPr>
              <w:t>导出结果只保留最后一次导出的记录。</w:t>
            </w:r>
          </w:p>
        </w:tc>
      </w:tr>
    </w:tbl>
    <w:p w14:paraId="2CB50DE6"/>
    <w:p w14:paraId="38E2EB86">
      <w:pPr>
        <w:pStyle w:val="5"/>
      </w:pPr>
      <w:bookmarkStart w:id="243" w:name="_Toc99561298"/>
      <w:bookmarkStart w:id="244" w:name="_Toc141873248"/>
      <w:bookmarkStart w:id="245" w:name="_Toc142400761"/>
      <w:bookmarkStart w:id="246" w:name="_Toc172217973"/>
      <w:bookmarkStart w:id="247" w:name="_Toc196727942"/>
      <w:bookmarkStart w:id="248" w:name="_Toc194080609"/>
      <w:r>
        <w:rPr>
          <w:rFonts w:hint="eastAsia"/>
        </w:rPr>
        <w:t>接口状态</w:t>
      </w:r>
      <w:bookmarkEnd w:id="225"/>
      <w:bookmarkEnd w:id="226"/>
      <w:bookmarkEnd w:id="227"/>
      <w:bookmarkEnd w:id="228"/>
      <w:bookmarkEnd w:id="229"/>
      <w:bookmarkEnd w:id="243"/>
      <w:bookmarkEnd w:id="244"/>
      <w:bookmarkEnd w:id="245"/>
      <w:bookmarkEnd w:id="246"/>
      <w:bookmarkEnd w:id="247"/>
      <w:bookmarkEnd w:id="248"/>
    </w:p>
    <w:p w14:paraId="74724BA5">
      <w:r>
        <w:rPr>
          <w:rFonts w:hint="eastAsia"/>
        </w:rPr>
        <w:t>在导航栏中选择“数据中心&gt;系统监控&gt;接口状态”</w:t>
      </w:r>
      <w:r>
        <w:t>进入</w:t>
      </w:r>
      <w:r>
        <w:rPr>
          <w:rFonts w:hint="eastAsia"/>
        </w:rPr>
        <w:t>接口状态显示</w:t>
      </w:r>
      <w:r>
        <w:t>界面</w:t>
      </w:r>
      <w:r>
        <w:rPr>
          <w:rFonts w:hint="eastAsia"/>
        </w:rPr>
        <w:t>，如</w:t>
      </w:r>
      <w:r>
        <w:rPr>
          <w:color w:val="0000FF"/>
          <w:u w:val="single"/>
        </w:rPr>
        <w:fldChar w:fldCharType="begin"/>
      </w:r>
      <w:r>
        <w:rPr>
          <w:color w:val="0000FF"/>
          <w:u w:val="single"/>
        </w:rPr>
        <w:instrText xml:space="preserve"> </w:instrText>
      </w:r>
      <w:r>
        <w:rPr>
          <w:rFonts w:hint="eastAsia"/>
          <w:color w:val="0000FF"/>
          <w:u w:val="single"/>
        </w:rPr>
        <w:instrText xml:space="preserve">REF _Ref414885580 \r \h</w:instrText>
      </w:r>
      <w:r>
        <w:rPr>
          <w:color w:val="0000FF"/>
          <w:u w:val="single"/>
        </w:rPr>
        <w:instrText xml:space="preserve"> </w:instrText>
      </w:r>
      <w:r>
        <w:rPr>
          <w:color w:val="0000FF"/>
          <w:u w:val="single"/>
        </w:rPr>
        <w:fldChar w:fldCharType="separate"/>
      </w:r>
      <w:r>
        <w:rPr>
          <w:rFonts w:hint="eastAsia"/>
          <w:color w:val="0000FF"/>
          <w:u w:val="single"/>
        </w:rPr>
        <w:t>图4-9</w:t>
      </w:r>
      <w:r>
        <w:rPr>
          <w:color w:val="0000FF"/>
          <w:u w:val="single"/>
        </w:rPr>
        <w:fldChar w:fldCharType="end"/>
      </w:r>
      <w:r>
        <w:rPr>
          <w:rFonts w:hint="eastAsia"/>
        </w:rPr>
        <w:t>所示。</w:t>
      </w:r>
    </w:p>
    <w:p w14:paraId="5FCCDC38">
      <w:pPr>
        <w:pStyle w:val="188"/>
      </w:pPr>
      <w:bookmarkStart w:id="249" w:name="_Ref414885580"/>
      <w:bookmarkStart w:id="250" w:name="_Toc141874388"/>
      <w:r>
        <w:rPr>
          <w:rFonts w:hint="eastAsia"/>
        </w:rPr>
        <w:t>接口状态</w:t>
      </w:r>
      <w:bookmarkEnd w:id="249"/>
      <w:bookmarkEnd w:id="250"/>
    </w:p>
    <w:p w14:paraId="5129441B">
      <w:pPr>
        <w:spacing w:before="79" w:after="79"/>
      </w:pPr>
      <w:r>
        <w:drawing>
          <wp:inline distT="0" distB="0" distL="0" distR="0">
            <wp:extent cx="6010275" cy="2840990"/>
            <wp:effectExtent l="0" t="0" r="0" b="0"/>
            <wp:docPr id="1802027860" name="图片 1802027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60" name="图片 1802027860"/>
                    <pic:cNvPicPr>
                      <a:picLocks noChangeAspect="1"/>
                    </pic:cNvPicPr>
                  </pic:nvPicPr>
                  <pic:blipFill>
                    <a:blip r:embed="rId63"/>
                    <a:stretch>
                      <a:fillRect/>
                    </a:stretch>
                  </pic:blipFill>
                  <pic:spPr>
                    <a:xfrm>
                      <a:off x="0" y="0"/>
                      <a:ext cx="6015132" cy="2843755"/>
                    </a:xfrm>
                    <a:prstGeom prst="rect">
                      <a:avLst/>
                    </a:prstGeom>
                  </pic:spPr>
                </pic:pic>
              </a:graphicData>
            </a:graphic>
          </wp:inline>
        </w:drawing>
      </w:r>
    </w:p>
    <w:p w14:paraId="3726B200"/>
    <w:p w14:paraId="62877CF2">
      <w:r>
        <w:rPr>
          <w:rFonts w:hint="eastAsia"/>
        </w:rPr>
        <w:t>对接口状态的详细说明如</w:t>
      </w:r>
      <w:r>
        <w:fldChar w:fldCharType="begin"/>
      </w:r>
      <w:r>
        <w:instrText xml:space="preserve"> </w:instrText>
      </w:r>
      <w:r>
        <w:rPr>
          <w:rFonts w:hint="eastAsia"/>
        </w:rPr>
        <w:instrText xml:space="preserve">REF _Ref414885591 \r \h</w:instrText>
      </w:r>
      <w:r>
        <w:instrText xml:space="preserve"> </w:instrText>
      </w:r>
      <w:r>
        <w:fldChar w:fldCharType="separate"/>
      </w:r>
      <w:r>
        <w:rPr>
          <w:rFonts w:hint="eastAsia"/>
        </w:rPr>
        <w:t>表4-1</w:t>
      </w:r>
      <w:r>
        <w:fldChar w:fldCharType="end"/>
      </w:r>
      <w:r>
        <w:rPr>
          <w:rFonts w:hint="eastAsia"/>
        </w:rPr>
        <w:t>所示。</w:t>
      </w:r>
    </w:p>
    <w:p w14:paraId="02D12CAE"/>
    <w:p w14:paraId="2DABBDBE">
      <w:pPr>
        <w:pStyle w:val="183"/>
      </w:pPr>
      <w:bookmarkStart w:id="251" w:name="_Ref414885591"/>
      <w:bookmarkStart w:id="252" w:name="_Toc141875373"/>
      <w:r>
        <w:rPr>
          <w:rFonts w:hint="eastAsia"/>
        </w:rPr>
        <w:t>接口状态参数</w:t>
      </w:r>
      <w:r>
        <w:t>说明</w:t>
      </w:r>
      <w:bookmarkEnd w:id="251"/>
      <w:bookmarkEnd w:id="252"/>
    </w:p>
    <w:tbl>
      <w:tblPr>
        <w:tblStyle w:val="173"/>
        <w:tblW w:w="858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86"/>
        <w:gridCol w:w="6099"/>
      </w:tblGrid>
      <w:tr w14:paraId="4B7753F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blHeader/>
        </w:trPr>
        <w:tc>
          <w:tcPr>
            <w:tcW w:w="2486" w:type="dxa"/>
            <w:tcBorders>
              <w:tl2br w:val="nil"/>
              <w:tr2bl w:val="nil"/>
            </w:tcBorders>
            <w:shd w:val="clear" w:color="auto" w:fill="538135" w:themeFill="accent6" w:themeFillShade="BF"/>
            <w:vAlign w:val="center"/>
          </w:tcPr>
          <w:p w14:paraId="309AF426">
            <w:pPr>
              <w:pStyle w:val="149"/>
              <w:wordWrap/>
              <w:rPr>
                <w:b/>
                <w:bCs/>
                <w:i w:val="0"/>
                <w:iCs w:val="0"/>
              </w:rPr>
            </w:pPr>
            <w:r>
              <w:rPr>
                <w:rFonts w:hint="eastAsia"/>
                <w:b/>
                <w:bCs/>
                <w:i w:val="0"/>
                <w:iCs w:val="0"/>
              </w:rPr>
              <w:t>标题项</w:t>
            </w:r>
          </w:p>
        </w:tc>
        <w:tc>
          <w:tcPr>
            <w:tcW w:w="6099" w:type="dxa"/>
            <w:tcBorders>
              <w:tl2br w:val="nil"/>
              <w:tr2bl w:val="nil"/>
            </w:tcBorders>
            <w:shd w:val="clear" w:color="auto" w:fill="538135" w:themeFill="accent6" w:themeFillShade="BF"/>
            <w:vAlign w:val="center"/>
          </w:tcPr>
          <w:p w14:paraId="43952348">
            <w:pPr>
              <w:pStyle w:val="149"/>
              <w:wordWrap/>
              <w:rPr>
                <w:b/>
                <w:bCs/>
                <w:i w:val="0"/>
                <w:iCs w:val="0"/>
              </w:rPr>
            </w:pPr>
            <w:r>
              <w:rPr>
                <w:rFonts w:hint="eastAsia"/>
                <w:b/>
                <w:bCs/>
                <w:i w:val="0"/>
                <w:iCs w:val="0"/>
              </w:rPr>
              <w:t>说明</w:t>
            </w:r>
          </w:p>
        </w:tc>
      </w:tr>
      <w:tr w14:paraId="4CC0C7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6" w:type="dxa"/>
            <w:shd w:val="clear" w:color="auto" w:fill="auto"/>
          </w:tcPr>
          <w:p w14:paraId="3BDC8677">
            <w:pPr>
              <w:pStyle w:val="150"/>
            </w:pPr>
            <w:r>
              <w:rPr>
                <w:rFonts w:hint="eastAsia"/>
              </w:rPr>
              <w:t>名称</w:t>
            </w:r>
          </w:p>
        </w:tc>
        <w:tc>
          <w:tcPr>
            <w:tcW w:w="6099" w:type="dxa"/>
            <w:shd w:val="clear" w:color="auto" w:fill="auto"/>
          </w:tcPr>
          <w:p w14:paraId="161F605F">
            <w:pPr>
              <w:pStyle w:val="150"/>
            </w:pPr>
            <w:r>
              <w:rPr>
                <w:rFonts w:hint="eastAsia"/>
              </w:rPr>
              <w:t>接口名称</w:t>
            </w:r>
          </w:p>
        </w:tc>
      </w:tr>
      <w:tr w14:paraId="4D468C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6" w:type="dxa"/>
            <w:shd w:val="clear" w:color="auto" w:fill="auto"/>
          </w:tcPr>
          <w:p w14:paraId="1AB31D33">
            <w:pPr>
              <w:pStyle w:val="150"/>
            </w:pPr>
            <w:r>
              <w:rPr>
                <w:rFonts w:hint="eastAsia"/>
              </w:rPr>
              <w:t>链路状态</w:t>
            </w:r>
          </w:p>
        </w:tc>
        <w:tc>
          <w:tcPr>
            <w:tcW w:w="6099" w:type="dxa"/>
            <w:shd w:val="clear" w:color="auto" w:fill="auto"/>
          </w:tcPr>
          <w:p w14:paraId="6473E5DF">
            <w:pPr>
              <w:pStyle w:val="150"/>
            </w:pPr>
            <w:r>
              <w:rPr>
                <w:rFonts w:hint="eastAsia"/>
              </w:rPr>
              <w:t>接口的链路状态</w:t>
            </w:r>
          </w:p>
        </w:tc>
      </w:tr>
      <w:tr w14:paraId="29ED16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6" w:type="dxa"/>
            <w:shd w:val="clear" w:color="auto" w:fill="auto"/>
          </w:tcPr>
          <w:p w14:paraId="268DD68E">
            <w:pPr>
              <w:pStyle w:val="150"/>
              <w:rPr>
                <w:rFonts w:ascii="宋体" w:hAnsi="宋体"/>
              </w:rPr>
            </w:pPr>
            <w:r>
              <w:rPr>
                <w:rFonts w:hint="eastAsia"/>
              </w:rPr>
              <w:t>属性</w:t>
            </w:r>
          </w:p>
        </w:tc>
        <w:tc>
          <w:tcPr>
            <w:tcW w:w="6099" w:type="dxa"/>
            <w:shd w:val="clear" w:color="auto" w:fill="auto"/>
          </w:tcPr>
          <w:p w14:paraId="2A6CC5CD">
            <w:pPr>
              <w:pStyle w:val="150"/>
            </w:pPr>
            <w:r>
              <w:rPr>
                <w:rFonts w:hint="eastAsia"/>
              </w:rPr>
              <w:t>接口属性</w:t>
            </w:r>
          </w:p>
        </w:tc>
      </w:tr>
      <w:tr w14:paraId="125BD9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6" w:type="dxa"/>
            <w:shd w:val="clear" w:color="auto" w:fill="auto"/>
          </w:tcPr>
          <w:p w14:paraId="0784FBDA">
            <w:pPr>
              <w:pStyle w:val="150"/>
            </w:pPr>
            <w:r>
              <w:rPr>
                <w:rFonts w:hint="eastAsia"/>
              </w:rPr>
              <w:t>工作速率</w:t>
            </w:r>
          </w:p>
        </w:tc>
        <w:tc>
          <w:tcPr>
            <w:tcW w:w="6099" w:type="dxa"/>
            <w:shd w:val="clear" w:color="auto" w:fill="auto"/>
          </w:tcPr>
          <w:p w14:paraId="13BE9B63">
            <w:pPr>
              <w:pStyle w:val="150"/>
            </w:pPr>
            <w:r>
              <w:rPr>
                <w:rFonts w:hint="eastAsia"/>
              </w:rPr>
              <w:t>接口的工作速率</w:t>
            </w:r>
          </w:p>
        </w:tc>
      </w:tr>
      <w:tr w14:paraId="526020A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6" w:type="dxa"/>
            <w:shd w:val="clear" w:color="auto" w:fill="auto"/>
          </w:tcPr>
          <w:p w14:paraId="68B376E9">
            <w:pPr>
              <w:pStyle w:val="150"/>
            </w:pPr>
            <w:r>
              <w:rPr>
                <w:rFonts w:hint="eastAsia"/>
              </w:rPr>
              <w:t>双工模式</w:t>
            </w:r>
          </w:p>
        </w:tc>
        <w:tc>
          <w:tcPr>
            <w:tcW w:w="6099" w:type="dxa"/>
            <w:shd w:val="clear" w:color="auto" w:fill="auto"/>
          </w:tcPr>
          <w:p w14:paraId="47E5B511">
            <w:pPr>
              <w:pStyle w:val="150"/>
            </w:pPr>
            <w:r>
              <w:rPr>
                <w:rFonts w:hint="eastAsia"/>
              </w:rPr>
              <w:t>接口的双工模式</w:t>
            </w:r>
          </w:p>
        </w:tc>
      </w:tr>
      <w:tr w14:paraId="507E7D7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6" w:type="dxa"/>
            <w:shd w:val="clear" w:color="auto" w:fill="auto"/>
          </w:tcPr>
          <w:p w14:paraId="4CD1411E">
            <w:pPr>
              <w:pStyle w:val="150"/>
            </w:pPr>
            <w:r>
              <w:t>I</w:t>
            </w:r>
            <w:r>
              <w:rPr>
                <w:rFonts w:hint="eastAsia"/>
              </w:rPr>
              <w:t>P地址</w:t>
            </w:r>
          </w:p>
        </w:tc>
        <w:tc>
          <w:tcPr>
            <w:tcW w:w="6099" w:type="dxa"/>
            <w:shd w:val="clear" w:color="auto" w:fill="auto"/>
          </w:tcPr>
          <w:p w14:paraId="12BBFA50">
            <w:pPr>
              <w:pStyle w:val="150"/>
            </w:pPr>
            <w:r>
              <w:rPr>
                <w:rFonts w:hint="eastAsia"/>
              </w:rPr>
              <w:t>接口的IP地址</w:t>
            </w:r>
          </w:p>
        </w:tc>
      </w:tr>
      <w:tr w14:paraId="6E1A4A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6" w:type="dxa"/>
            <w:shd w:val="clear" w:color="auto" w:fill="auto"/>
          </w:tcPr>
          <w:p w14:paraId="1F9F429A">
            <w:pPr>
              <w:pStyle w:val="150"/>
            </w:pPr>
            <w:r>
              <w:rPr>
                <w:rFonts w:hint="eastAsia"/>
              </w:rPr>
              <w:t>IPV6地址</w:t>
            </w:r>
          </w:p>
        </w:tc>
        <w:tc>
          <w:tcPr>
            <w:tcW w:w="6099" w:type="dxa"/>
            <w:shd w:val="clear" w:color="auto" w:fill="auto"/>
          </w:tcPr>
          <w:p w14:paraId="3BCACCA9">
            <w:pPr>
              <w:pStyle w:val="150"/>
            </w:pPr>
            <w:r>
              <w:rPr>
                <w:rFonts w:hint="eastAsia"/>
              </w:rPr>
              <w:t>接口的IPV6地址</w:t>
            </w:r>
          </w:p>
        </w:tc>
      </w:tr>
      <w:tr w14:paraId="6A6FBD1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6" w:type="dxa"/>
            <w:shd w:val="clear" w:color="auto" w:fill="auto"/>
          </w:tcPr>
          <w:p w14:paraId="01A93246">
            <w:pPr>
              <w:pStyle w:val="150"/>
            </w:pPr>
            <w:r>
              <w:rPr>
                <w:rFonts w:hint="eastAsia"/>
              </w:rPr>
              <w:t>接收速率</w:t>
            </w:r>
          </w:p>
        </w:tc>
        <w:tc>
          <w:tcPr>
            <w:tcW w:w="6099" w:type="dxa"/>
            <w:shd w:val="clear" w:color="auto" w:fill="auto"/>
          </w:tcPr>
          <w:p w14:paraId="52FA6133">
            <w:pPr>
              <w:pStyle w:val="150"/>
            </w:pPr>
            <w:r>
              <w:rPr>
                <w:rFonts w:hint="eastAsia"/>
              </w:rPr>
              <w:t>接口的接收报文速率</w:t>
            </w:r>
          </w:p>
        </w:tc>
      </w:tr>
      <w:tr w14:paraId="3F27D2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6" w:type="dxa"/>
            <w:shd w:val="clear" w:color="auto" w:fill="auto"/>
          </w:tcPr>
          <w:p w14:paraId="5BB5FF4F">
            <w:pPr>
              <w:pStyle w:val="150"/>
            </w:pPr>
            <w:r>
              <w:rPr>
                <w:rFonts w:hint="eastAsia"/>
              </w:rPr>
              <w:t>发送速率</w:t>
            </w:r>
          </w:p>
        </w:tc>
        <w:tc>
          <w:tcPr>
            <w:tcW w:w="6099" w:type="dxa"/>
            <w:shd w:val="clear" w:color="auto" w:fill="auto"/>
          </w:tcPr>
          <w:p w14:paraId="70105F60">
            <w:pPr>
              <w:pStyle w:val="150"/>
            </w:pPr>
            <w:r>
              <w:rPr>
                <w:rFonts w:hint="eastAsia"/>
              </w:rPr>
              <w:t>接口的发送报文速率</w:t>
            </w:r>
          </w:p>
        </w:tc>
      </w:tr>
      <w:tr w14:paraId="6CC9F4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6" w:type="dxa"/>
            <w:shd w:val="clear" w:color="auto" w:fill="auto"/>
          </w:tcPr>
          <w:p w14:paraId="75BE60F2">
            <w:pPr>
              <w:pStyle w:val="150"/>
            </w:pPr>
            <w:r>
              <w:rPr>
                <w:rFonts w:hint="eastAsia"/>
              </w:rPr>
              <w:t>接收总包数</w:t>
            </w:r>
          </w:p>
        </w:tc>
        <w:tc>
          <w:tcPr>
            <w:tcW w:w="6099" w:type="dxa"/>
            <w:shd w:val="clear" w:color="auto" w:fill="auto"/>
          </w:tcPr>
          <w:p w14:paraId="239A2D56">
            <w:pPr>
              <w:pStyle w:val="150"/>
            </w:pPr>
            <w:r>
              <w:rPr>
                <w:rFonts w:hint="eastAsia"/>
              </w:rPr>
              <w:t>接口接收报文总数</w:t>
            </w:r>
          </w:p>
        </w:tc>
      </w:tr>
      <w:tr w14:paraId="4E59B7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6" w:type="dxa"/>
            <w:shd w:val="clear" w:color="auto" w:fill="auto"/>
          </w:tcPr>
          <w:p w14:paraId="1AC1AEB9">
            <w:pPr>
              <w:pStyle w:val="150"/>
            </w:pPr>
            <w:r>
              <w:rPr>
                <w:rFonts w:hint="eastAsia"/>
              </w:rPr>
              <w:t>接收总字节数</w:t>
            </w:r>
          </w:p>
        </w:tc>
        <w:tc>
          <w:tcPr>
            <w:tcW w:w="6099" w:type="dxa"/>
            <w:shd w:val="clear" w:color="auto" w:fill="auto"/>
          </w:tcPr>
          <w:p w14:paraId="1358BD10">
            <w:pPr>
              <w:pStyle w:val="150"/>
            </w:pPr>
            <w:r>
              <w:rPr>
                <w:rFonts w:hint="eastAsia"/>
              </w:rPr>
              <w:t>接口接收报文总字节数</w:t>
            </w:r>
          </w:p>
        </w:tc>
      </w:tr>
      <w:tr w14:paraId="47ADAA7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6" w:type="dxa"/>
            <w:shd w:val="clear" w:color="auto" w:fill="auto"/>
          </w:tcPr>
          <w:p w14:paraId="62EA14CA">
            <w:pPr>
              <w:pStyle w:val="150"/>
            </w:pPr>
            <w:r>
              <w:rPr>
                <w:rFonts w:hint="eastAsia"/>
              </w:rPr>
              <w:t>发送总包数</w:t>
            </w:r>
          </w:p>
        </w:tc>
        <w:tc>
          <w:tcPr>
            <w:tcW w:w="6099" w:type="dxa"/>
            <w:shd w:val="clear" w:color="auto" w:fill="auto"/>
          </w:tcPr>
          <w:p w14:paraId="492C6864">
            <w:pPr>
              <w:pStyle w:val="150"/>
            </w:pPr>
            <w:r>
              <w:rPr>
                <w:rFonts w:hint="eastAsia"/>
              </w:rPr>
              <w:t>接口发送报文总数</w:t>
            </w:r>
          </w:p>
        </w:tc>
      </w:tr>
      <w:tr w14:paraId="5E774B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6" w:type="dxa"/>
            <w:shd w:val="clear" w:color="auto" w:fill="auto"/>
          </w:tcPr>
          <w:p w14:paraId="6C711415">
            <w:pPr>
              <w:pStyle w:val="150"/>
            </w:pPr>
            <w:r>
              <w:rPr>
                <w:rFonts w:hint="eastAsia"/>
              </w:rPr>
              <w:t>发送总字节数</w:t>
            </w:r>
          </w:p>
        </w:tc>
        <w:tc>
          <w:tcPr>
            <w:tcW w:w="6099" w:type="dxa"/>
            <w:shd w:val="clear" w:color="auto" w:fill="auto"/>
          </w:tcPr>
          <w:p w14:paraId="491C51B4">
            <w:pPr>
              <w:pStyle w:val="150"/>
            </w:pPr>
            <w:r>
              <w:rPr>
                <w:rFonts w:hint="eastAsia"/>
              </w:rPr>
              <w:t>接口发送报文总字节数</w:t>
            </w:r>
          </w:p>
        </w:tc>
      </w:tr>
      <w:tr w14:paraId="0938D3F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6" w:type="dxa"/>
            <w:shd w:val="clear" w:color="auto" w:fill="auto"/>
          </w:tcPr>
          <w:p w14:paraId="21A29531">
            <w:pPr>
              <w:pStyle w:val="150"/>
            </w:pPr>
            <w:r>
              <w:rPr>
                <w:rFonts w:hint="eastAsia"/>
              </w:rPr>
              <w:t>MAC地址</w:t>
            </w:r>
          </w:p>
        </w:tc>
        <w:tc>
          <w:tcPr>
            <w:tcW w:w="6099" w:type="dxa"/>
            <w:shd w:val="clear" w:color="auto" w:fill="auto"/>
          </w:tcPr>
          <w:p w14:paraId="75423D5B">
            <w:pPr>
              <w:pStyle w:val="150"/>
            </w:pPr>
            <w:r>
              <w:rPr>
                <w:rFonts w:hint="eastAsia"/>
              </w:rPr>
              <w:t>接口MAC地址</w:t>
            </w:r>
          </w:p>
        </w:tc>
      </w:tr>
    </w:tbl>
    <w:p w14:paraId="64290AD7"/>
    <w:p w14:paraId="1591BEF6">
      <w:r>
        <w:rPr>
          <w:rFonts w:hint="eastAsia"/>
        </w:rPr>
        <w:t>点击左上角&lt;清除计数&gt;按钮可以立即清除当前的显示。</w:t>
      </w:r>
    </w:p>
    <w:p w14:paraId="1357A994">
      <w:pPr>
        <w:pStyle w:val="5"/>
      </w:pPr>
      <w:bookmarkStart w:id="253" w:name="_Toc5208272"/>
      <w:bookmarkEnd w:id="253"/>
      <w:bookmarkStart w:id="254" w:name="_Toc4742792"/>
      <w:bookmarkEnd w:id="254"/>
      <w:bookmarkStart w:id="255" w:name="_Toc5182368"/>
      <w:bookmarkEnd w:id="255"/>
      <w:bookmarkStart w:id="256" w:name="_Toc5208273"/>
      <w:bookmarkEnd w:id="256"/>
      <w:bookmarkStart w:id="257" w:name="_Toc4491477"/>
      <w:bookmarkEnd w:id="257"/>
      <w:bookmarkStart w:id="258" w:name="_Toc4742793"/>
      <w:bookmarkEnd w:id="258"/>
      <w:bookmarkStart w:id="259" w:name="_Toc5126182"/>
      <w:bookmarkEnd w:id="259"/>
      <w:bookmarkStart w:id="260" w:name="_Toc5181396"/>
      <w:bookmarkEnd w:id="260"/>
      <w:bookmarkStart w:id="261" w:name="_Toc4491478"/>
      <w:bookmarkEnd w:id="261"/>
      <w:bookmarkStart w:id="262" w:name="_Toc5208274"/>
      <w:bookmarkEnd w:id="262"/>
      <w:bookmarkStart w:id="263" w:name="_Toc5208271"/>
      <w:bookmarkEnd w:id="263"/>
      <w:bookmarkStart w:id="264" w:name="_Toc5181395"/>
      <w:bookmarkEnd w:id="264"/>
      <w:bookmarkStart w:id="265" w:name="_Toc4742794"/>
      <w:bookmarkEnd w:id="265"/>
      <w:bookmarkStart w:id="266" w:name="_Toc5126181"/>
      <w:bookmarkEnd w:id="266"/>
      <w:bookmarkStart w:id="267" w:name="_Toc5182369"/>
      <w:bookmarkEnd w:id="267"/>
      <w:bookmarkStart w:id="268" w:name="_Toc4491476"/>
      <w:bookmarkEnd w:id="268"/>
      <w:bookmarkStart w:id="269" w:name="_Toc5126186"/>
      <w:bookmarkEnd w:id="269"/>
      <w:bookmarkStart w:id="270" w:name="_Toc5181398"/>
      <w:bookmarkEnd w:id="270"/>
      <w:bookmarkStart w:id="271" w:name="_Toc5181400"/>
      <w:bookmarkEnd w:id="271"/>
      <w:bookmarkStart w:id="272" w:name="_Toc5182373"/>
      <w:bookmarkEnd w:id="272"/>
      <w:bookmarkStart w:id="273" w:name="_Toc5208278"/>
      <w:bookmarkEnd w:id="273"/>
      <w:bookmarkStart w:id="274" w:name="_Toc4742825"/>
      <w:bookmarkEnd w:id="274"/>
      <w:bookmarkStart w:id="275" w:name="_Toc5126214"/>
      <w:bookmarkEnd w:id="275"/>
      <w:bookmarkStart w:id="276" w:name="_Toc5181428"/>
      <w:bookmarkEnd w:id="276"/>
      <w:bookmarkStart w:id="277" w:name="_Toc5182401"/>
      <w:bookmarkEnd w:id="277"/>
      <w:bookmarkStart w:id="278" w:name="_Toc4491510"/>
      <w:bookmarkEnd w:id="278"/>
      <w:bookmarkStart w:id="279" w:name="_Toc5208306"/>
      <w:bookmarkEnd w:id="279"/>
      <w:bookmarkStart w:id="280" w:name="_Toc4742826"/>
      <w:bookmarkEnd w:id="280"/>
      <w:bookmarkStart w:id="281" w:name="_Toc4491509"/>
      <w:bookmarkEnd w:id="281"/>
      <w:bookmarkStart w:id="282" w:name="_Toc5182371"/>
      <w:bookmarkEnd w:id="282"/>
      <w:bookmarkStart w:id="283" w:name="_Toc5126184"/>
      <w:bookmarkEnd w:id="283"/>
      <w:bookmarkStart w:id="284" w:name="_Toc5126185"/>
      <w:bookmarkEnd w:id="284"/>
      <w:bookmarkStart w:id="285" w:name="_Toc5208276"/>
      <w:bookmarkEnd w:id="285"/>
      <w:bookmarkStart w:id="286" w:name="_Toc4742796"/>
      <w:bookmarkEnd w:id="286"/>
      <w:bookmarkStart w:id="287" w:name="_Toc5181399"/>
      <w:bookmarkEnd w:id="287"/>
      <w:bookmarkStart w:id="288" w:name="_Toc4491481"/>
      <w:bookmarkEnd w:id="288"/>
      <w:bookmarkStart w:id="289" w:name="_Toc5126215"/>
      <w:bookmarkEnd w:id="289"/>
      <w:bookmarkStart w:id="290" w:name="_Toc5181429"/>
      <w:bookmarkEnd w:id="290"/>
      <w:bookmarkStart w:id="291" w:name="_Toc4491479"/>
      <w:bookmarkEnd w:id="291"/>
      <w:bookmarkStart w:id="292" w:name="_Toc5126183"/>
      <w:bookmarkEnd w:id="292"/>
      <w:bookmarkStart w:id="293" w:name="_Toc5208277"/>
      <w:bookmarkEnd w:id="293"/>
      <w:bookmarkStart w:id="294" w:name="_Toc5182372"/>
      <w:bookmarkEnd w:id="294"/>
      <w:bookmarkStart w:id="295" w:name="_Toc5182370"/>
      <w:bookmarkEnd w:id="295"/>
      <w:bookmarkStart w:id="296" w:name="_Toc5181397"/>
      <w:bookmarkEnd w:id="296"/>
      <w:bookmarkStart w:id="297" w:name="_Toc5208275"/>
      <w:bookmarkEnd w:id="297"/>
      <w:bookmarkStart w:id="298" w:name="_Toc4742795"/>
      <w:bookmarkEnd w:id="298"/>
      <w:bookmarkStart w:id="299" w:name="_Toc4491480"/>
      <w:bookmarkEnd w:id="299"/>
      <w:bookmarkStart w:id="300" w:name="_Toc4742797"/>
      <w:bookmarkEnd w:id="300"/>
      <w:bookmarkStart w:id="301" w:name="_Toc5208311"/>
      <w:bookmarkEnd w:id="301"/>
      <w:bookmarkStart w:id="302" w:name="_Toc5181433"/>
      <w:bookmarkEnd w:id="302"/>
      <w:bookmarkStart w:id="303" w:name="_Toc4742830"/>
      <w:bookmarkEnd w:id="303"/>
      <w:bookmarkStart w:id="304" w:name="_Toc5126218"/>
      <w:bookmarkEnd w:id="304"/>
      <w:bookmarkStart w:id="305" w:name="_Toc4742831"/>
      <w:bookmarkEnd w:id="305"/>
      <w:bookmarkStart w:id="306" w:name="_Toc5181434"/>
      <w:bookmarkEnd w:id="306"/>
      <w:bookmarkStart w:id="307" w:name="_Toc5182407"/>
      <w:bookmarkEnd w:id="307"/>
      <w:bookmarkStart w:id="308" w:name="_Toc5208312"/>
      <w:bookmarkEnd w:id="308"/>
      <w:bookmarkStart w:id="309" w:name="_Toc5182402"/>
      <w:bookmarkEnd w:id="309"/>
      <w:bookmarkStart w:id="310" w:name="_Toc5208307"/>
      <w:bookmarkEnd w:id="310"/>
      <w:bookmarkStart w:id="311" w:name="_Toc5208308"/>
      <w:bookmarkEnd w:id="311"/>
      <w:bookmarkStart w:id="312" w:name="_Toc4491512"/>
      <w:bookmarkEnd w:id="312"/>
      <w:bookmarkStart w:id="313" w:name="_Toc5126217"/>
      <w:bookmarkEnd w:id="313"/>
      <w:bookmarkStart w:id="314" w:name="_Toc5182404"/>
      <w:bookmarkEnd w:id="314"/>
      <w:bookmarkStart w:id="315" w:name="_Toc4742827"/>
      <w:bookmarkEnd w:id="315"/>
      <w:bookmarkStart w:id="316" w:name="_Toc5208309"/>
      <w:bookmarkEnd w:id="316"/>
      <w:bookmarkStart w:id="317" w:name="_Toc4491513"/>
      <w:bookmarkEnd w:id="317"/>
      <w:bookmarkStart w:id="318" w:name="_Toc4742829"/>
      <w:bookmarkEnd w:id="318"/>
      <w:bookmarkStart w:id="319" w:name="_Toc5208310"/>
      <w:bookmarkEnd w:id="319"/>
      <w:bookmarkStart w:id="320" w:name="_Toc4491514"/>
      <w:bookmarkEnd w:id="320"/>
      <w:bookmarkStart w:id="321" w:name="_Toc5126219"/>
      <w:bookmarkEnd w:id="321"/>
      <w:bookmarkStart w:id="322" w:name="_Toc5181431"/>
      <w:bookmarkEnd w:id="322"/>
      <w:bookmarkStart w:id="323" w:name="_Toc5182406"/>
      <w:bookmarkEnd w:id="323"/>
      <w:bookmarkStart w:id="324" w:name="_Toc4491515"/>
      <w:bookmarkEnd w:id="324"/>
      <w:bookmarkStart w:id="325" w:name="_Toc4491511"/>
      <w:bookmarkEnd w:id="325"/>
      <w:bookmarkStart w:id="326" w:name="_Toc5181432"/>
      <w:bookmarkEnd w:id="326"/>
      <w:bookmarkStart w:id="327" w:name="_Toc5126220"/>
      <w:bookmarkEnd w:id="327"/>
      <w:bookmarkStart w:id="328" w:name="_Toc5126216"/>
      <w:bookmarkEnd w:id="328"/>
      <w:bookmarkStart w:id="329" w:name="_Toc5181430"/>
      <w:bookmarkEnd w:id="329"/>
      <w:bookmarkStart w:id="330" w:name="_Toc4742828"/>
      <w:bookmarkEnd w:id="330"/>
      <w:bookmarkStart w:id="331" w:name="_Toc5182405"/>
      <w:bookmarkEnd w:id="331"/>
      <w:bookmarkStart w:id="332" w:name="_Toc5182403"/>
      <w:bookmarkEnd w:id="332"/>
      <w:bookmarkStart w:id="333" w:name="_设备流量统计"/>
      <w:bookmarkEnd w:id="333"/>
      <w:bookmarkStart w:id="334" w:name="_Toc194080610"/>
      <w:bookmarkStart w:id="335" w:name="_Toc196727943"/>
      <w:bookmarkStart w:id="336" w:name="_Toc12452307"/>
      <w:bookmarkStart w:id="337" w:name="_Toc141873250"/>
      <w:bookmarkStart w:id="338" w:name="_Toc15484828"/>
      <w:bookmarkStart w:id="339" w:name="_Toc99561300"/>
      <w:bookmarkStart w:id="340" w:name="_Toc40276027"/>
      <w:bookmarkStart w:id="341" w:name="_Ref40366304"/>
      <w:bookmarkStart w:id="342" w:name="_Ref40366300"/>
      <w:bookmarkStart w:id="343" w:name="_Toc172217974"/>
      <w:bookmarkStart w:id="344" w:name="_Toc23152594"/>
      <w:bookmarkStart w:id="345" w:name="_Toc142400763"/>
      <w:bookmarkStart w:id="346" w:name="_Toc40275817"/>
      <w:bookmarkStart w:id="347" w:name="_Ref4485975"/>
      <w:bookmarkStart w:id="348" w:name="_Toc11342773"/>
      <w:bookmarkStart w:id="349" w:name="_Toc15484616"/>
      <w:bookmarkStart w:id="350" w:name="_Toc23152384"/>
      <w:r>
        <w:rPr>
          <w:rFonts w:hint="eastAsia"/>
        </w:rPr>
        <w:t>黑名单记录</w:t>
      </w:r>
      <w:bookmarkEnd w:id="334"/>
      <w:bookmarkEnd w:id="335"/>
    </w:p>
    <w:p w14:paraId="25114DD0">
      <w:pPr>
        <w:pStyle w:val="6"/>
      </w:pPr>
      <w:bookmarkStart w:id="351" w:name="_Toc23152845"/>
      <w:bookmarkStart w:id="352" w:name="_Toc172218551"/>
      <w:bookmarkStart w:id="353" w:name="_Toc15485081"/>
      <w:bookmarkStart w:id="354" w:name="_Toc474250119"/>
      <w:bookmarkStart w:id="355" w:name="_Toc12353894"/>
      <w:r>
        <w:rPr>
          <w:rFonts w:hint="eastAsia"/>
        </w:rPr>
        <w:t>黑名单概述</w:t>
      </w:r>
      <w:bookmarkEnd w:id="351"/>
      <w:bookmarkEnd w:id="352"/>
      <w:bookmarkEnd w:id="353"/>
      <w:bookmarkEnd w:id="354"/>
      <w:bookmarkEnd w:id="355"/>
    </w:p>
    <w:p w14:paraId="23E2DD23">
      <w:r>
        <w:rPr>
          <w:rFonts w:hint="eastAsia"/>
        </w:rPr>
        <w:t>黑名单是一种基于IP、MAC地址或域名的报文控制方法，能快速有效地屏蔽特定IP、MAC地址或域名的用户，既对源地址生效，也对目的地址生效，同时支持对HTTP报文中XFF字段内的IP地址进行阻断。</w:t>
      </w:r>
    </w:p>
    <w:p w14:paraId="514A4082">
      <w:r>
        <w:rPr>
          <w:rFonts w:hint="eastAsia"/>
        </w:rPr>
        <w:t>黑名单表项支持多种添加方式：</w:t>
      </w:r>
    </w:p>
    <w:p w14:paraId="2899AF4B">
      <w:pPr>
        <w:pStyle w:val="202"/>
      </w:pPr>
      <w:r>
        <w:rPr>
          <w:rFonts w:hint="eastAsia"/>
        </w:rPr>
        <w:t>手动添加。</w:t>
      </w:r>
    </w:p>
    <w:p w14:paraId="2AE69196">
      <w:pPr>
        <w:pStyle w:val="202"/>
      </w:pPr>
      <w:r>
        <w:rPr>
          <w:rFonts w:hint="eastAsia"/>
        </w:rPr>
        <w:t>API添加。</w:t>
      </w:r>
    </w:p>
    <w:p w14:paraId="6A6BE9F4">
      <w:pPr>
        <w:pStyle w:val="202"/>
      </w:pPr>
      <w:r>
        <w:rPr>
          <w:rFonts w:hint="eastAsia"/>
        </w:rPr>
        <w:t>自定义添加方式（通过restful api添加时适用）。</w:t>
      </w:r>
    </w:p>
    <w:p w14:paraId="48FB13E6">
      <w:pPr>
        <w:pStyle w:val="202"/>
        <w:rPr>
          <w:lang w:eastAsia="zh-CN"/>
        </w:rPr>
      </w:pPr>
      <w:r>
        <w:rPr>
          <w:rFonts w:hint="eastAsia"/>
          <w:lang w:eastAsia="zh-CN"/>
        </w:rPr>
        <w:t>通过扫描攻击自动添加。</w:t>
      </w:r>
    </w:p>
    <w:p w14:paraId="63374BB9">
      <w:pPr>
        <w:pStyle w:val="6"/>
      </w:pPr>
      <w:bookmarkStart w:id="356" w:name="_Toc474250120"/>
      <w:bookmarkStart w:id="357" w:name="_Toc15485082"/>
      <w:bookmarkStart w:id="358" w:name="_Toc23152846"/>
      <w:bookmarkStart w:id="359" w:name="_Toc172218552"/>
      <w:bookmarkStart w:id="360" w:name="_Toc12353895"/>
      <w:r>
        <w:rPr>
          <w:rFonts w:hint="eastAsia"/>
        </w:rPr>
        <w:t>黑名单添加</w:t>
      </w:r>
      <w:bookmarkEnd w:id="356"/>
      <w:bookmarkEnd w:id="357"/>
      <w:bookmarkEnd w:id="358"/>
      <w:bookmarkEnd w:id="359"/>
      <w:bookmarkEnd w:id="360"/>
    </w:p>
    <w:p w14:paraId="5B60EAFF">
      <w:pPr>
        <w:pStyle w:val="202"/>
        <w:rPr>
          <w:lang w:eastAsia="zh-CN"/>
        </w:rPr>
      </w:pPr>
      <w:r>
        <w:rPr>
          <w:rFonts w:hint="eastAsia"/>
          <w:lang w:eastAsia="zh-CN"/>
        </w:rPr>
        <w:t>通过菜单“数据中心&gt;系统监控&gt;黑名单记录”进入黑名单显示界面，点击</w:t>
      </w:r>
      <w:r>
        <w:rPr>
          <w:lang w:eastAsia="zh-CN"/>
        </w:rPr>
        <w:t>&lt;</w:t>
      </w:r>
      <w:r>
        <w:rPr>
          <w:rFonts w:hint="eastAsia"/>
          <w:lang w:eastAsia="zh-CN"/>
        </w:rPr>
        <w:t>新建</w:t>
      </w:r>
      <w:r>
        <w:rPr>
          <w:lang w:eastAsia="zh-CN"/>
        </w:rPr>
        <w:t>&gt;</w:t>
      </w:r>
      <w:r>
        <w:rPr>
          <w:rFonts w:hint="eastAsia"/>
          <w:lang w:eastAsia="zh-CN"/>
        </w:rPr>
        <w:t>按钮，将弹出添加黑名单界面。</w:t>
      </w:r>
    </w:p>
    <w:p w14:paraId="30241CF8">
      <w:pPr>
        <w:pStyle w:val="188"/>
      </w:pPr>
      <w:bookmarkStart w:id="361" w:name="_Toc141874389"/>
      <w:bookmarkStart w:id="362" w:name="_Ref392864636"/>
      <w:r>
        <w:rPr>
          <w:rFonts w:hint="eastAsia"/>
        </w:rPr>
        <w:t>黑名单显示界面</w:t>
      </w:r>
      <w:bookmarkEnd w:id="361"/>
      <w:bookmarkEnd w:id="362"/>
    </w:p>
    <w:p w14:paraId="747811E2">
      <w:pPr>
        <w:spacing w:before="79" w:after="79"/>
      </w:pPr>
      <w:r>
        <w:drawing>
          <wp:inline distT="0" distB="0" distL="0" distR="0">
            <wp:extent cx="5467350" cy="799465"/>
            <wp:effectExtent l="0" t="0" r="0" b="635"/>
            <wp:docPr id="980337366" name="图片 980337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337366" name="图片 980337366"/>
                    <pic:cNvPicPr>
                      <a:picLocks noChangeAspect="1"/>
                    </pic:cNvPicPr>
                  </pic:nvPicPr>
                  <pic:blipFill>
                    <a:blip r:embed="rId64"/>
                    <a:stretch>
                      <a:fillRect/>
                    </a:stretch>
                  </pic:blipFill>
                  <pic:spPr>
                    <a:xfrm>
                      <a:off x="0" y="0"/>
                      <a:ext cx="5513929" cy="806581"/>
                    </a:xfrm>
                    <a:prstGeom prst="rect">
                      <a:avLst/>
                    </a:prstGeom>
                  </pic:spPr>
                </pic:pic>
              </a:graphicData>
            </a:graphic>
          </wp:inline>
        </w:drawing>
      </w:r>
    </w:p>
    <w:p w14:paraId="3D53095B"/>
    <w:p w14:paraId="359AC472">
      <w:pPr>
        <w:pStyle w:val="183"/>
      </w:pPr>
      <w:bookmarkStart w:id="363" w:name="_Ref59543046"/>
      <w:bookmarkStart w:id="364" w:name="_Toc141875374"/>
      <w:r>
        <w:rPr>
          <w:rFonts w:hint="eastAsia"/>
        </w:rPr>
        <w:t>黑名单显示页面详细说明</w:t>
      </w:r>
      <w:bookmarkEnd w:id="363"/>
      <w:bookmarkEnd w:id="364"/>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61"/>
        <w:gridCol w:w="6954"/>
      </w:tblGrid>
      <w:tr w14:paraId="52635BF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tcBorders>
              <w:tl2br w:val="nil"/>
              <w:tr2bl w:val="nil"/>
            </w:tcBorders>
            <w:shd w:val="clear" w:color="auto" w:fill="538135" w:themeFill="accent6" w:themeFillShade="BF"/>
            <w:vAlign w:val="center"/>
          </w:tcPr>
          <w:p w14:paraId="0D6F21D5">
            <w:pPr>
              <w:pStyle w:val="149"/>
              <w:wordWrap/>
              <w:rPr>
                <w:b/>
                <w:bCs/>
                <w:i w:val="0"/>
                <w:iCs w:val="0"/>
              </w:rPr>
            </w:pPr>
            <w:r>
              <w:rPr>
                <w:rFonts w:hint="eastAsia"/>
                <w:b/>
                <w:bCs/>
                <w:i w:val="0"/>
                <w:iCs w:val="0"/>
              </w:rPr>
              <w:t>标题项</w:t>
            </w:r>
          </w:p>
        </w:tc>
        <w:tc>
          <w:tcPr>
            <w:tcW w:w="6967" w:type="dxa"/>
            <w:tcBorders>
              <w:tl2br w:val="nil"/>
              <w:tr2bl w:val="nil"/>
            </w:tcBorders>
            <w:shd w:val="clear" w:color="auto" w:fill="538135" w:themeFill="accent6" w:themeFillShade="BF"/>
            <w:vAlign w:val="center"/>
          </w:tcPr>
          <w:p w14:paraId="7B71A8BD">
            <w:pPr>
              <w:pStyle w:val="149"/>
              <w:wordWrap/>
              <w:rPr>
                <w:b/>
                <w:bCs/>
                <w:i w:val="0"/>
                <w:iCs w:val="0"/>
              </w:rPr>
            </w:pPr>
            <w:r>
              <w:rPr>
                <w:rFonts w:hint="eastAsia"/>
                <w:b/>
                <w:bCs/>
                <w:i w:val="0"/>
                <w:iCs w:val="0"/>
              </w:rPr>
              <w:t>说明</w:t>
            </w:r>
          </w:p>
        </w:tc>
      </w:tr>
      <w:tr w14:paraId="5F4730B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48CCC02B">
            <w:pPr>
              <w:pStyle w:val="150"/>
            </w:pPr>
            <w:r>
              <w:rPr>
                <w:rFonts w:hint="eastAsia"/>
              </w:rPr>
              <w:t>启用</w:t>
            </w:r>
          </w:p>
        </w:tc>
        <w:tc>
          <w:tcPr>
            <w:tcW w:w="6967" w:type="dxa"/>
            <w:shd w:val="clear" w:color="auto" w:fill="auto"/>
          </w:tcPr>
          <w:p w14:paraId="71F5017E">
            <w:pPr>
              <w:pStyle w:val="150"/>
            </w:pPr>
            <w:r>
              <w:rPr>
                <w:rFonts w:hint="eastAsia"/>
              </w:rPr>
              <w:t>勾选</w:t>
            </w:r>
            <w:r>
              <w:t>为启用，不勾选为禁用</w:t>
            </w:r>
            <w:r>
              <w:rPr>
                <w:rFonts w:hint="eastAsia"/>
              </w:rPr>
              <w:t>。</w:t>
            </w:r>
          </w:p>
        </w:tc>
      </w:tr>
      <w:tr w14:paraId="7775A9D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4925A724">
            <w:pPr>
              <w:pStyle w:val="150"/>
            </w:pPr>
            <w:r>
              <w:rPr>
                <w:rFonts w:hint="eastAsia"/>
              </w:rPr>
              <w:t>IP/域名/</w:t>
            </w:r>
            <w:r>
              <w:t>MAC</w:t>
            </w:r>
          </w:p>
        </w:tc>
        <w:tc>
          <w:tcPr>
            <w:tcW w:w="6967" w:type="dxa"/>
            <w:shd w:val="clear" w:color="auto" w:fill="auto"/>
          </w:tcPr>
          <w:p w14:paraId="4489D9CF">
            <w:pPr>
              <w:pStyle w:val="150"/>
            </w:pPr>
            <w:r>
              <w:rPr>
                <w:rFonts w:hint="eastAsia"/>
              </w:rPr>
              <w:t>黑名单对应的IP、域名或MAC地址：支持IPv4和IPv6，</w:t>
            </w:r>
            <w:r>
              <w:t>3-255 字符，例如：</w:t>
            </w:r>
            <w:r>
              <w:rPr>
                <w:rFonts w:hint="eastAsia"/>
              </w:rPr>
              <w:t>192.168.1.1或2000::1或example.com 或 00:11:22:33:44:55)</w:t>
            </w:r>
          </w:p>
        </w:tc>
      </w:tr>
      <w:tr w14:paraId="3BDAB4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7801C6E4">
            <w:pPr>
              <w:pStyle w:val="150"/>
            </w:pPr>
            <w:r>
              <w:rPr>
                <w:rFonts w:hint="eastAsia"/>
              </w:rPr>
              <w:t>生命周期</w:t>
            </w:r>
          </w:p>
        </w:tc>
        <w:tc>
          <w:tcPr>
            <w:tcW w:w="6967" w:type="dxa"/>
            <w:shd w:val="clear" w:color="auto" w:fill="auto"/>
          </w:tcPr>
          <w:p w14:paraId="773809BE">
            <w:pPr>
              <w:pStyle w:val="150"/>
            </w:pPr>
            <w:r>
              <w:t>黑名单的生效时间</w:t>
            </w:r>
            <w:r>
              <w:rPr>
                <w:rFonts w:hint="eastAsia"/>
              </w:rPr>
              <w:t>。</w:t>
            </w:r>
          </w:p>
        </w:tc>
      </w:tr>
      <w:tr w14:paraId="159A110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50399A68">
            <w:pPr>
              <w:pStyle w:val="150"/>
            </w:pPr>
            <w:r>
              <w:rPr>
                <w:rFonts w:hint="eastAsia"/>
              </w:rPr>
              <w:t>剩余时间</w:t>
            </w:r>
          </w:p>
        </w:tc>
        <w:tc>
          <w:tcPr>
            <w:tcW w:w="6967" w:type="dxa"/>
            <w:shd w:val="clear" w:color="auto" w:fill="auto"/>
          </w:tcPr>
          <w:p w14:paraId="4CE55927">
            <w:pPr>
              <w:pStyle w:val="150"/>
            </w:pPr>
            <w:r>
              <w:t>黑名单还有多长时间失效</w:t>
            </w:r>
            <w:r>
              <w:rPr>
                <w:rFonts w:hint="eastAsia"/>
              </w:rPr>
              <w:t>。</w:t>
            </w:r>
          </w:p>
        </w:tc>
      </w:tr>
      <w:tr w14:paraId="79C04D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528CD811">
            <w:pPr>
              <w:pStyle w:val="150"/>
            </w:pPr>
            <w:r>
              <w:rPr>
                <w:rFonts w:hint="eastAsia"/>
              </w:rPr>
              <w:t>添加</w:t>
            </w:r>
            <w:r>
              <w:t>方式</w:t>
            </w:r>
          </w:p>
        </w:tc>
        <w:tc>
          <w:tcPr>
            <w:tcW w:w="6967" w:type="dxa"/>
            <w:shd w:val="clear" w:color="auto" w:fill="auto"/>
          </w:tcPr>
          <w:p w14:paraId="0049F4CC">
            <w:pPr>
              <w:pStyle w:val="150"/>
            </w:pPr>
            <w:r>
              <w:rPr>
                <w:rFonts w:hint="eastAsia"/>
              </w:rPr>
              <w:t>有</w:t>
            </w:r>
            <w:r>
              <w:t>多种添加方式</w:t>
            </w:r>
            <w:r>
              <w:rPr>
                <w:rFonts w:hint="eastAsia"/>
              </w:rPr>
              <w:t>：</w:t>
            </w:r>
          </w:p>
          <w:p w14:paraId="3040E9D0">
            <w:pPr>
              <w:pStyle w:val="150"/>
            </w:pPr>
            <w:r>
              <w:rPr>
                <w:rFonts w:hint="eastAsia"/>
              </w:rPr>
              <w:t>手动</w:t>
            </w:r>
            <w:r>
              <w:t>添加</w:t>
            </w:r>
            <w:r>
              <w:rPr>
                <w:rFonts w:hint="eastAsia"/>
              </w:rPr>
              <w:t>；</w:t>
            </w:r>
          </w:p>
          <w:p w14:paraId="455690C7">
            <w:pPr>
              <w:pStyle w:val="150"/>
            </w:pPr>
            <w:r>
              <w:t>API</w:t>
            </w:r>
            <w:r>
              <w:rPr>
                <w:rFonts w:hint="eastAsia"/>
              </w:rPr>
              <w:t>添加；</w:t>
            </w:r>
          </w:p>
          <w:p w14:paraId="24FCFDB5">
            <w:pPr>
              <w:pStyle w:val="150"/>
            </w:pPr>
            <w:r>
              <w:rPr>
                <w:rFonts w:hint="eastAsia"/>
              </w:rPr>
              <w:t>自定义</w:t>
            </w:r>
            <w:r>
              <w:t>添加方式</w:t>
            </w:r>
            <w:r>
              <w:rPr>
                <w:rFonts w:hint="eastAsia"/>
              </w:rPr>
              <w:t>(通过restful api添加</w:t>
            </w:r>
            <w:r>
              <w:t>时候</w:t>
            </w:r>
            <w:r>
              <w:rPr>
                <w:rFonts w:hint="eastAsia"/>
              </w:rPr>
              <w:t>适用)；</w:t>
            </w:r>
          </w:p>
          <w:p w14:paraId="189DD34F">
            <w:pPr>
              <w:pStyle w:val="150"/>
            </w:pPr>
            <w:r>
              <w:rPr>
                <w:rFonts w:hint="eastAsia"/>
              </w:rPr>
              <w:t>端口</w:t>
            </w:r>
            <w:r>
              <w:t>扫描防护</w:t>
            </w:r>
            <w:r>
              <w:rPr>
                <w:rFonts w:hint="eastAsia"/>
              </w:rPr>
              <w:t>/</w:t>
            </w:r>
            <w:r>
              <w:t>IP</w:t>
            </w:r>
            <w:r>
              <w:rPr>
                <w:rFonts w:hint="eastAsia"/>
              </w:rPr>
              <w:t>扫描</w:t>
            </w:r>
            <w:r>
              <w:t>防护</w:t>
            </w:r>
            <w:r>
              <w:rPr>
                <w:rFonts w:hint="eastAsia"/>
              </w:rPr>
              <w:t>/</w:t>
            </w:r>
            <w:r>
              <w:t>IPS</w:t>
            </w:r>
            <w:r>
              <w:rPr>
                <w:rFonts w:hint="eastAsia"/>
              </w:rPr>
              <w:t>/防</w:t>
            </w:r>
            <w:r>
              <w:t>暴力破解</w:t>
            </w:r>
            <w:r>
              <w:rPr>
                <w:rFonts w:hint="eastAsia"/>
              </w:rPr>
              <w:t>/</w:t>
            </w:r>
            <w:r>
              <w:t>CC</w:t>
            </w:r>
            <w:r>
              <w:rPr>
                <w:rFonts w:hint="eastAsia"/>
              </w:rPr>
              <w:t>攻击</w:t>
            </w:r>
            <w:r>
              <w:t>防护</w:t>
            </w:r>
            <w:r>
              <w:rPr>
                <w:rFonts w:hint="eastAsia"/>
              </w:rPr>
              <w:t>/</w:t>
            </w:r>
            <w:r>
              <w:t>DNS</w:t>
            </w:r>
            <w:r>
              <w:rPr>
                <w:rFonts w:hint="eastAsia"/>
              </w:rPr>
              <w:t>隧道/导入/</w:t>
            </w:r>
            <w:r>
              <w:t>API</w:t>
            </w:r>
            <w:r>
              <w:rPr>
                <w:rFonts w:hint="eastAsia"/>
              </w:rPr>
              <w:t>添加/安全</w:t>
            </w:r>
            <w:r>
              <w:t>分析</w:t>
            </w:r>
            <w:r>
              <w:rPr>
                <w:rFonts w:hint="eastAsia"/>
              </w:rPr>
              <w:t>。</w:t>
            </w:r>
          </w:p>
        </w:tc>
      </w:tr>
      <w:tr w14:paraId="563CB5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61614C85">
            <w:pPr>
              <w:pStyle w:val="150"/>
            </w:pPr>
            <w:r>
              <w:rPr>
                <w:rFonts w:hint="eastAsia"/>
              </w:rPr>
              <w:t>状态</w:t>
            </w:r>
          </w:p>
        </w:tc>
        <w:tc>
          <w:tcPr>
            <w:tcW w:w="6967" w:type="dxa"/>
            <w:shd w:val="clear" w:color="auto" w:fill="auto"/>
          </w:tcPr>
          <w:p w14:paraId="6CC17F47">
            <w:pPr>
              <w:pStyle w:val="150"/>
            </w:pPr>
            <w:r>
              <w:rPr>
                <w:rFonts w:hint="eastAsia"/>
              </w:rPr>
              <w:t>生效</w:t>
            </w:r>
            <w:r>
              <w:t>或</w:t>
            </w:r>
            <w:r>
              <w:rPr>
                <w:rFonts w:hint="eastAsia"/>
              </w:rPr>
              <w:t>失效。</w:t>
            </w:r>
          </w:p>
        </w:tc>
      </w:tr>
      <w:tr w14:paraId="71F3B71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720774B3">
            <w:pPr>
              <w:pStyle w:val="150"/>
            </w:pPr>
            <w:r>
              <w:rPr>
                <w:rFonts w:hint="eastAsia"/>
              </w:rPr>
              <w:t>管理地址</w:t>
            </w:r>
          </w:p>
        </w:tc>
        <w:tc>
          <w:tcPr>
            <w:tcW w:w="6967" w:type="dxa"/>
            <w:shd w:val="clear" w:color="auto" w:fill="auto"/>
          </w:tcPr>
          <w:p w14:paraId="2314D9C9">
            <w:pPr>
              <w:pStyle w:val="150"/>
            </w:pPr>
            <w:r>
              <w:rPr>
                <w:rFonts w:hint="eastAsia"/>
              </w:rPr>
              <w:t>管理员的管理地址，只有在这个范围内的地址才能通过此管理员来管理设备。</w:t>
            </w:r>
          </w:p>
        </w:tc>
      </w:tr>
      <w:tr w14:paraId="073FF6E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2DC369E9">
            <w:pPr>
              <w:pStyle w:val="150"/>
            </w:pPr>
            <w:r>
              <w:rPr>
                <w:rFonts w:hint="eastAsia"/>
              </w:rPr>
              <w:t>操作</w:t>
            </w:r>
          </w:p>
        </w:tc>
        <w:tc>
          <w:tcPr>
            <w:tcW w:w="6967" w:type="dxa"/>
            <w:shd w:val="clear" w:color="auto" w:fill="auto"/>
          </w:tcPr>
          <w:p w14:paraId="3CC2DBFF">
            <w:pPr>
              <w:pStyle w:val="150"/>
            </w:pPr>
            <w:r>
              <w:fldChar w:fldCharType="begin"/>
            </w:r>
            <w:r>
              <w:instrText xml:space="preserve"> HYPERLINK "http://10.0.163.51/webui/?g=sys_admin_edit&amp;name=admin" </w:instrText>
            </w:r>
            <w:r>
              <w:fldChar w:fldCharType="separate"/>
            </w:r>
            <w:r>
              <w:rPr>
                <w:rFonts w:ascii="Tahoma" w:hAnsi="Tahoma" w:cs="Tahoma"/>
                <w:color w:val="417AB6"/>
                <w:shd w:val="clear" w:color="auto" w:fill="FFFFFF"/>
              </w:rPr>
              <w:drawing>
                <wp:inline distT="0" distB="0" distL="114300" distR="114300">
                  <wp:extent cx="152400" cy="152400"/>
                  <wp:effectExtent l="0" t="0" r="0" b="0"/>
                  <wp:docPr id="2824" name="图片 1" descr="http://10.0.163.51/webui/images/basic/icons/icon_edit.gif">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4" name="图片 1" descr="http://10.0.163.51/webui/images/basic/icons/icon_edit.gif"/>
                          <pic:cNvPicPr>
                            <a:picLocks noChangeAspect="1"/>
                          </pic:cNvPicPr>
                        </pic:nvPicPr>
                        <pic:blipFill>
                          <a:blip r:embed="rId66"/>
                          <a:stretch>
                            <a:fillRect/>
                          </a:stretch>
                        </pic:blipFill>
                        <pic:spPr>
                          <a:xfrm>
                            <a:off x="0" y="0"/>
                            <a:ext cx="152400" cy="152400"/>
                          </a:xfrm>
                          <a:prstGeom prst="rect">
                            <a:avLst/>
                          </a:prstGeom>
                          <a:noFill/>
                          <a:ln>
                            <a:noFill/>
                          </a:ln>
                        </pic:spPr>
                      </pic:pic>
                    </a:graphicData>
                  </a:graphic>
                </wp:inline>
              </w:drawing>
            </w:r>
            <w:r>
              <w:rPr>
                <w:rFonts w:ascii="Tahoma" w:hAnsi="Tahoma" w:cs="Tahoma"/>
                <w:color w:val="417AB6"/>
                <w:shd w:val="clear" w:color="auto" w:fill="FFFFFF"/>
              </w:rPr>
              <w:fldChar w:fldCharType="end"/>
            </w:r>
            <w:r>
              <w:rPr>
                <w:rFonts w:hint="eastAsia"/>
              </w:rPr>
              <w:t>：</w:t>
            </w:r>
            <w:r>
              <w:t>编辑</w:t>
            </w:r>
            <w:r>
              <w:rPr>
                <w:rFonts w:hint="eastAsia"/>
              </w:rPr>
              <w:t>黑名单</w:t>
            </w:r>
            <w:r>
              <w:t>配置</w:t>
            </w:r>
            <w:r>
              <w:rPr>
                <w:rFonts w:hint="eastAsia"/>
              </w:rPr>
              <w:t>。</w:t>
            </w:r>
          </w:p>
          <w:p w14:paraId="1A7EA300">
            <w:pPr>
              <w:pStyle w:val="150"/>
            </w:pPr>
            <w:r>
              <w:rPr>
                <w:rFonts w:ascii="Tahoma" w:hAnsi="Tahoma" w:cs="Tahoma"/>
                <w:color w:val="0000FF"/>
                <w:shd w:val="clear" w:color="auto" w:fill="DFE8F6"/>
              </w:rPr>
              <w:drawing>
                <wp:inline distT="0" distB="0" distL="0" distR="0">
                  <wp:extent cx="152400" cy="152400"/>
                  <wp:effectExtent l="0" t="0" r="0" b="0"/>
                  <wp:docPr id="2826" name="图片 2826" descr="http://10.0.163.51/webui/images/basic/icons/icon_del.gif">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6" name="图片 2826" descr="http://10.0.163.51/webui/images/basic/icons/icon_del.gi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152400" cy="152400"/>
                          </a:xfrm>
                          <a:prstGeom prst="rect">
                            <a:avLst/>
                          </a:prstGeom>
                          <a:noFill/>
                          <a:ln>
                            <a:noFill/>
                          </a:ln>
                        </pic:spPr>
                      </pic:pic>
                    </a:graphicData>
                  </a:graphic>
                </wp:inline>
              </w:drawing>
            </w:r>
            <w:r>
              <w:rPr>
                <w:rFonts w:hint="eastAsia"/>
              </w:rPr>
              <w:t>：删除黑名单。</w:t>
            </w:r>
          </w:p>
        </w:tc>
      </w:tr>
    </w:tbl>
    <w:p w14:paraId="3BF04686"/>
    <w:p w14:paraId="0BCE6284">
      <w:pPr>
        <w:pStyle w:val="202"/>
        <w:rPr>
          <w:lang w:eastAsia="zh-CN"/>
        </w:rPr>
      </w:pPr>
      <w:r>
        <w:rPr>
          <w:rFonts w:hint="eastAsia"/>
          <w:lang w:eastAsia="zh-CN"/>
        </w:rPr>
        <w:t>点击“新建”按钮，进入黑名单配置</w:t>
      </w:r>
      <w:r>
        <w:rPr>
          <w:lang w:eastAsia="zh-CN"/>
        </w:rPr>
        <w:t>页面</w:t>
      </w:r>
      <w:r>
        <w:rPr>
          <w:rFonts w:hint="eastAsia"/>
          <w:lang w:eastAsia="zh-CN"/>
        </w:rPr>
        <w:t>，如</w:t>
      </w:r>
      <w:r>
        <w:rPr>
          <w:color w:val="0000FF"/>
          <w:u w:val="single"/>
        </w:rPr>
        <w:fldChar w:fldCharType="begin"/>
      </w:r>
      <w:r>
        <w:rPr>
          <w:lang w:eastAsia="zh-CN"/>
        </w:rPr>
        <w:instrText xml:space="preserve"> </w:instrText>
      </w:r>
      <w:r>
        <w:rPr>
          <w:rFonts w:hint="eastAsia"/>
          <w:lang w:eastAsia="zh-CN"/>
        </w:rPr>
        <w:instrText xml:space="preserve">REF _Ref393800714 \r \h</w:instrText>
      </w:r>
      <w:r>
        <w:rPr>
          <w:lang w:eastAsia="zh-CN"/>
        </w:rPr>
        <w:instrText xml:space="preserve"> </w:instrText>
      </w:r>
      <w:r>
        <w:rPr>
          <w:color w:val="0000FF"/>
          <w:u w:val="single"/>
        </w:rPr>
        <w:fldChar w:fldCharType="separate"/>
      </w:r>
      <w:r>
        <w:rPr>
          <w:rFonts w:hint="eastAsia"/>
          <w:lang w:eastAsia="zh-CN"/>
        </w:rPr>
        <w:t>图4-11</w:t>
      </w:r>
      <w:r>
        <w:rPr>
          <w:color w:val="0000FF"/>
          <w:u w:val="single"/>
        </w:rPr>
        <w:fldChar w:fldCharType="end"/>
      </w:r>
      <w:r>
        <w:rPr>
          <w:rFonts w:hint="eastAsia"/>
          <w:lang w:eastAsia="zh-CN"/>
        </w:rPr>
        <w:t>所示。各个配置项的说明如</w:t>
      </w:r>
      <w:r>
        <w:fldChar w:fldCharType="begin"/>
      </w:r>
      <w:r>
        <w:rPr>
          <w:lang w:eastAsia="zh-CN"/>
        </w:rPr>
        <w:instrText xml:space="preserve"> </w:instrText>
      </w:r>
      <w:r>
        <w:rPr>
          <w:rFonts w:hint="eastAsia"/>
          <w:lang w:eastAsia="zh-CN"/>
        </w:rPr>
        <w:instrText xml:space="preserve">REF _Ref162269387 \r \h</w:instrText>
      </w:r>
      <w:r>
        <w:rPr>
          <w:lang w:eastAsia="zh-CN"/>
        </w:rPr>
        <w:instrText xml:space="preserve"> </w:instrText>
      </w:r>
      <w:r>
        <w:fldChar w:fldCharType="separate"/>
      </w:r>
      <w:r>
        <w:rPr>
          <w:rFonts w:hint="eastAsia"/>
          <w:lang w:eastAsia="zh-CN"/>
        </w:rPr>
        <w:t>表4-1</w:t>
      </w:r>
      <w:r>
        <w:fldChar w:fldCharType="end"/>
      </w:r>
      <w:r>
        <w:rPr>
          <w:rFonts w:hint="eastAsia"/>
          <w:lang w:eastAsia="zh-CN"/>
        </w:rPr>
        <w:t>所示。</w:t>
      </w:r>
    </w:p>
    <w:p w14:paraId="07A621A5">
      <w:pPr>
        <w:pStyle w:val="188"/>
      </w:pPr>
      <w:bookmarkStart w:id="365" w:name="_Toc141874390"/>
      <w:bookmarkStart w:id="366" w:name="_Ref393800714"/>
      <w:r>
        <w:rPr>
          <w:rFonts w:hint="eastAsia"/>
        </w:rPr>
        <w:t>黑名单添加页面</w:t>
      </w:r>
      <w:bookmarkEnd w:id="365"/>
      <w:bookmarkEnd w:id="366"/>
    </w:p>
    <w:p w14:paraId="0B65798E">
      <w:pPr>
        <w:spacing w:before="79" w:after="79"/>
      </w:pPr>
      <w:r>
        <w:drawing>
          <wp:inline distT="0" distB="0" distL="114300" distR="114300">
            <wp:extent cx="5400040" cy="1283970"/>
            <wp:effectExtent l="0" t="0" r="0" b="0"/>
            <wp:docPr id="984"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图片 48"/>
                    <pic:cNvPicPr>
                      <a:picLocks noChangeAspect="1"/>
                    </pic:cNvPicPr>
                  </pic:nvPicPr>
                  <pic:blipFill>
                    <a:blip r:embed="rId69"/>
                    <a:stretch>
                      <a:fillRect/>
                    </a:stretch>
                  </pic:blipFill>
                  <pic:spPr>
                    <a:xfrm>
                      <a:off x="0" y="0"/>
                      <a:ext cx="5400040" cy="1284388"/>
                    </a:xfrm>
                    <a:prstGeom prst="rect">
                      <a:avLst/>
                    </a:prstGeom>
                    <a:noFill/>
                    <a:ln>
                      <a:noFill/>
                    </a:ln>
                  </pic:spPr>
                </pic:pic>
              </a:graphicData>
            </a:graphic>
          </wp:inline>
        </w:drawing>
      </w:r>
    </w:p>
    <w:p w14:paraId="4EF5026B"/>
    <w:p w14:paraId="286AA7CD">
      <w:pPr>
        <w:pStyle w:val="183"/>
      </w:pPr>
      <w:bookmarkStart w:id="367" w:name="_Toc141875375"/>
      <w:bookmarkStart w:id="368" w:name="_Ref162269387"/>
      <w:r>
        <w:rPr>
          <w:rFonts w:hint="eastAsia"/>
        </w:rPr>
        <w:t>黑名单配置说明</w:t>
      </w:r>
      <w:bookmarkEnd w:id="367"/>
      <w:bookmarkEnd w:id="368"/>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647"/>
        <w:gridCol w:w="7367"/>
      </w:tblGrid>
      <w:tr w14:paraId="04D0D9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47" w:type="dxa"/>
            <w:tcBorders>
              <w:tl2br w:val="nil"/>
              <w:tr2bl w:val="nil"/>
            </w:tcBorders>
            <w:shd w:val="clear" w:color="auto" w:fill="538135" w:themeFill="accent6" w:themeFillShade="BF"/>
            <w:vAlign w:val="center"/>
          </w:tcPr>
          <w:p w14:paraId="1EB430A7">
            <w:pPr>
              <w:pStyle w:val="149"/>
              <w:wordWrap/>
              <w:rPr>
                <w:b/>
                <w:bCs/>
                <w:i w:val="0"/>
                <w:iCs w:val="0"/>
              </w:rPr>
            </w:pPr>
            <w:r>
              <w:rPr>
                <w:rFonts w:hint="eastAsia"/>
                <w:b/>
                <w:bCs/>
                <w:i w:val="0"/>
                <w:iCs w:val="0"/>
              </w:rPr>
              <w:t>配置项</w:t>
            </w:r>
          </w:p>
        </w:tc>
        <w:tc>
          <w:tcPr>
            <w:tcW w:w="7367" w:type="dxa"/>
            <w:tcBorders>
              <w:tl2br w:val="nil"/>
              <w:tr2bl w:val="nil"/>
            </w:tcBorders>
            <w:shd w:val="clear" w:color="auto" w:fill="538135" w:themeFill="accent6" w:themeFillShade="BF"/>
            <w:vAlign w:val="center"/>
          </w:tcPr>
          <w:p w14:paraId="01BB2D98">
            <w:pPr>
              <w:pStyle w:val="149"/>
              <w:wordWrap/>
              <w:rPr>
                <w:b/>
                <w:bCs/>
                <w:i w:val="0"/>
                <w:iCs w:val="0"/>
              </w:rPr>
            </w:pPr>
            <w:r>
              <w:rPr>
                <w:rFonts w:hint="eastAsia"/>
                <w:b/>
                <w:bCs/>
                <w:i w:val="0"/>
                <w:iCs w:val="0"/>
              </w:rPr>
              <w:t>说明</w:t>
            </w:r>
          </w:p>
        </w:tc>
      </w:tr>
      <w:tr w14:paraId="5B8F69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47" w:type="dxa"/>
            <w:shd w:val="clear" w:color="auto" w:fill="auto"/>
          </w:tcPr>
          <w:p w14:paraId="5B27FBE5">
            <w:pPr>
              <w:pStyle w:val="150"/>
            </w:pPr>
            <w:r>
              <w:t>启用</w:t>
            </w:r>
          </w:p>
        </w:tc>
        <w:tc>
          <w:tcPr>
            <w:tcW w:w="7367" w:type="dxa"/>
            <w:shd w:val="clear" w:color="auto" w:fill="auto"/>
          </w:tcPr>
          <w:p w14:paraId="27F776A5">
            <w:pPr>
              <w:pStyle w:val="150"/>
            </w:pPr>
            <w:r>
              <w:rPr>
                <w:rFonts w:hint="eastAsia"/>
              </w:rPr>
              <w:t>勾选启用后黑名单生效，默认是勾选状态。</w:t>
            </w:r>
          </w:p>
        </w:tc>
      </w:tr>
      <w:tr w14:paraId="5D6EAD3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47" w:type="dxa"/>
            <w:shd w:val="clear" w:color="auto" w:fill="auto"/>
          </w:tcPr>
          <w:p w14:paraId="27C24634">
            <w:pPr>
              <w:pStyle w:val="150"/>
            </w:pPr>
            <w:r>
              <w:rPr>
                <w:rFonts w:hint="eastAsia"/>
              </w:rPr>
              <w:t>源IP</w:t>
            </w:r>
          </w:p>
        </w:tc>
        <w:tc>
          <w:tcPr>
            <w:tcW w:w="7367" w:type="dxa"/>
            <w:shd w:val="clear" w:color="auto" w:fill="auto"/>
          </w:tcPr>
          <w:p w14:paraId="630BF97A">
            <w:pPr>
              <w:pStyle w:val="150"/>
              <w:rPr>
                <w:color w:val="333333"/>
              </w:rPr>
            </w:pPr>
            <w:r>
              <w:rPr>
                <w:rFonts w:hint="eastAsia"/>
              </w:rPr>
              <w:t>加入黑名单的IP地址、域名或MAC地址，地址可输入IPv4地址或IPv6地址，范围为3~255字符，例如：192.168.1.1或2000::1或example.com 或 00:11:22:33:44:55</w:t>
            </w:r>
          </w:p>
        </w:tc>
      </w:tr>
      <w:tr w14:paraId="5BDD53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47" w:type="dxa"/>
            <w:shd w:val="clear" w:color="auto" w:fill="auto"/>
          </w:tcPr>
          <w:p w14:paraId="79F6EB8B">
            <w:pPr>
              <w:pStyle w:val="150"/>
            </w:pPr>
            <w:r>
              <w:rPr>
                <w:rFonts w:hint="eastAsia"/>
              </w:rPr>
              <w:t>生命周期</w:t>
            </w:r>
          </w:p>
        </w:tc>
        <w:tc>
          <w:tcPr>
            <w:tcW w:w="7367" w:type="dxa"/>
            <w:shd w:val="clear" w:color="auto" w:fill="auto"/>
          </w:tcPr>
          <w:p w14:paraId="10B71CEC">
            <w:pPr>
              <w:pStyle w:val="150"/>
              <w:rPr>
                <w:color w:val="333333"/>
              </w:rPr>
            </w:pPr>
            <w:r>
              <w:rPr>
                <w:rFonts w:hint="eastAsia"/>
              </w:rPr>
              <w:t>加入黑名单的时长。可以单击下拉框选择预定义值，或者输入自定义秒数，输入范围1-2592000秒。</w:t>
            </w:r>
          </w:p>
        </w:tc>
      </w:tr>
    </w:tbl>
    <w:p w14:paraId="54C96C86"/>
    <w:p w14:paraId="4E554258">
      <w:r>
        <w:rPr>
          <w:rFonts w:hint="eastAsia"/>
        </w:rPr>
        <w:t>可以结合某些防攻击模块使用全局黑名单实现更好的防护效果。例如：在扫描攻击防御模块启用了“加入黑名单”选项，设备检测到扫描攻击的时候，会自动将扫描攻击的源IP地址加入到全局黑名单中。</w:t>
      </w:r>
    </w:p>
    <w:p w14:paraId="37DF18DD">
      <w:pPr>
        <w:pStyle w:val="202"/>
        <w:rPr>
          <w:lang w:eastAsia="zh-CN"/>
        </w:rPr>
      </w:pPr>
      <w:r>
        <w:rPr>
          <w:rFonts w:hint="eastAsia"/>
          <w:lang w:eastAsia="zh-CN"/>
        </w:rPr>
        <w:t>勾选“XFF匹配”，可以开启黑名单匹配XFF字段内容功能，默认为关闭。</w:t>
      </w:r>
    </w:p>
    <w:p w14:paraId="04C9A989">
      <w:r>
        <w:rPr>
          <w:rFonts w:hint="eastAsia"/>
        </w:rPr>
        <w:t>启用后，如果IP黑名单匹配上了HTTP报文中的X-Forwarded-For字段内的IP地址，此报文会被阻断。最多支持匹配XFF中最原始五级IP的匹配。</w:t>
      </w:r>
    </w:p>
    <w:p w14:paraId="477998AD">
      <w:pPr>
        <w:pStyle w:val="6"/>
      </w:pPr>
      <w:bookmarkStart w:id="369" w:name="_Toc474250122"/>
      <w:bookmarkStart w:id="370" w:name="_Toc23152848"/>
      <w:bookmarkStart w:id="371" w:name="_Toc15485084"/>
      <w:bookmarkStart w:id="372" w:name="_Toc12353897"/>
      <w:bookmarkStart w:id="373" w:name="_Toc172218553"/>
      <w:r>
        <w:rPr>
          <w:rFonts w:hint="eastAsia"/>
        </w:rPr>
        <w:t>黑名单</w:t>
      </w:r>
      <w:bookmarkEnd w:id="369"/>
      <w:bookmarkEnd w:id="370"/>
      <w:bookmarkEnd w:id="371"/>
      <w:bookmarkEnd w:id="372"/>
      <w:r>
        <w:rPr>
          <w:rFonts w:hint="eastAsia"/>
        </w:rPr>
        <w:t>导入导出</w:t>
      </w:r>
      <w:bookmarkEnd w:id="373"/>
    </w:p>
    <w:p w14:paraId="1EE30F9F">
      <w:r>
        <w:rPr>
          <w:rFonts w:hint="eastAsia"/>
        </w:rPr>
        <w:t>通过菜单“数据中心&gt;系统监控&gt;黑名单记录</w:t>
      </w:r>
      <w:r>
        <w:t>&gt;</w:t>
      </w:r>
      <w:r>
        <w:rPr>
          <w:rFonts w:hint="eastAsia"/>
        </w:rPr>
        <w:t>黑名单”，进入黑名单显示界面。点击“导出”按钮，可以将黑名单信息导出为csv文件，如</w:t>
      </w:r>
      <w:r>
        <w:fldChar w:fldCharType="begin"/>
      </w:r>
      <w:r>
        <w:instrText xml:space="preserve"> </w:instrText>
      </w:r>
      <w:r>
        <w:rPr>
          <w:rFonts w:hint="eastAsia"/>
        </w:rPr>
        <w:instrText xml:space="preserve">REF _Ref40342089 \r \h</w:instrText>
      </w:r>
      <w:r>
        <w:instrText xml:space="preserve"> </w:instrText>
      </w:r>
      <w:r>
        <w:fldChar w:fldCharType="separate"/>
      </w:r>
      <w:r>
        <w:rPr>
          <w:rFonts w:hint="eastAsia"/>
        </w:rPr>
        <w:t>图4-12</w:t>
      </w:r>
      <w:r>
        <w:fldChar w:fldCharType="end"/>
      </w:r>
      <w:r>
        <w:rPr>
          <w:rFonts w:hint="eastAsia"/>
        </w:rPr>
        <w:t>所示。</w:t>
      </w:r>
    </w:p>
    <w:p w14:paraId="07DB1A63">
      <w:pPr>
        <w:pStyle w:val="188"/>
      </w:pPr>
      <w:bookmarkStart w:id="374" w:name="_Ref407444488"/>
      <w:bookmarkStart w:id="375" w:name="_Ref40342089"/>
      <w:bookmarkStart w:id="376" w:name="_Toc141874391"/>
      <w:r>
        <w:rPr>
          <w:rFonts w:hint="eastAsia"/>
        </w:rPr>
        <w:t>黑名单</w:t>
      </w:r>
      <w:bookmarkEnd w:id="374"/>
      <w:r>
        <w:rPr>
          <w:rFonts w:hint="eastAsia"/>
        </w:rPr>
        <w:t>导出文件</w:t>
      </w:r>
      <w:bookmarkEnd w:id="375"/>
      <w:bookmarkEnd w:id="376"/>
    </w:p>
    <w:p w14:paraId="7B8FF059">
      <w:pPr>
        <w:spacing w:before="79" w:after="79"/>
      </w:pPr>
      <w:r>
        <w:drawing>
          <wp:inline distT="0" distB="0" distL="0" distR="0">
            <wp:extent cx="5400040" cy="2736215"/>
            <wp:effectExtent l="0" t="0" r="0" b="6985"/>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70"/>
                    <a:stretch>
                      <a:fillRect/>
                    </a:stretch>
                  </pic:blipFill>
                  <pic:spPr>
                    <a:xfrm>
                      <a:off x="0" y="0"/>
                      <a:ext cx="5400040" cy="2736494"/>
                    </a:xfrm>
                    <a:prstGeom prst="rect">
                      <a:avLst/>
                    </a:prstGeom>
                  </pic:spPr>
                </pic:pic>
              </a:graphicData>
            </a:graphic>
          </wp:inline>
        </w:drawing>
      </w:r>
    </w:p>
    <w:p w14:paraId="5C0482DD">
      <w:r>
        <w:rPr>
          <w:rFonts w:hint="eastAsia"/>
        </w:rPr>
        <w:t>可以在导出的csv文件中录入需要导入的黑名单信息，录入完成后保存。</w:t>
      </w:r>
    </w:p>
    <w:p w14:paraId="341D2DEE">
      <w:pPr>
        <w:pStyle w:val="183"/>
      </w:pPr>
      <w:bookmarkStart w:id="377" w:name="_Toc141875376"/>
      <w:r>
        <w:t>黑名单导出文件字段说明</w:t>
      </w:r>
      <w:bookmarkEnd w:id="377"/>
    </w:p>
    <w:tbl>
      <w:tblPr>
        <w:tblStyle w:val="173"/>
        <w:tblW w:w="793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92"/>
        <w:gridCol w:w="5846"/>
      </w:tblGrid>
      <w:tr w14:paraId="4196AA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318" w:type="pct"/>
            <w:tcBorders>
              <w:tl2br w:val="nil"/>
              <w:tr2bl w:val="nil"/>
            </w:tcBorders>
            <w:shd w:val="clear" w:color="auto" w:fill="538135" w:themeFill="accent6" w:themeFillShade="BF"/>
            <w:vAlign w:val="center"/>
          </w:tcPr>
          <w:p w14:paraId="5E77CE8A">
            <w:pPr>
              <w:pStyle w:val="149"/>
              <w:wordWrap/>
              <w:rPr>
                <w:b/>
                <w:bCs/>
                <w:i w:val="0"/>
                <w:iCs w:val="0"/>
              </w:rPr>
            </w:pPr>
            <w:r>
              <w:rPr>
                <w:b/>
                <w:bCs/>
                <w:i w:val="0"/>
                <w:iCs w:val="0"/>
              </w:rPr>
              <w:t>配置项</w:t>
            </w:r>
          </w:p>
        </w:tc>
        <w:tc>
          <w:tcPr>
            <w:tcW w:w="3682" w:type="pct"/>
            <w:tcBorders>
              <w:tl2br w:val="nil"/>
              <w:tr2bl w:val="nil"/>
            </w:tcBorders>
            <w:shd w:val="clear" w:color="auto" w:fill="538135" w:themeFill="accent6" w:themeFillShade="BF"/>
            <w:vAlign w:val="center"/>
          </w:tcPr>
          <w:p w14:paraId="353B5E1F">
            <w:pPr>
              <w:pStyle w:val="149"/>
              <w:wordWrap/>
              <w:rPr>
                <w:b/>
                <w:bCs/>
                <w:i w:val="0"/>
                <w:iCs w:val="0"/>
              </w:rPr>
            </w:pPr>
            <w:r>
              <w:rPr>
                <w:b/>
                <w:bCs/>
                <w:i w:val="0"/>
                <w:iCs w:val="0"/>
              </w:rPr>
              <w:t>说明</w:t>
            </w:r>
          </w:p>
        </w:tc>
      </w:tr>
      <w:tr w14:paraId="197CE4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318" w:type="pct"/>
            <w:shd w:val="clear" w:color="auto" w:fill="auto"/>
          </w:tcPr>
          <w:p w14:paraId="4C25FE29">
            <w:pPr>
              <w:pStyle w:val="150"/>
            </w:pPr>
            <w:r>
              <w:rPr>
                <w:rFonts w:hint="eastAsia"/>
              </w:rPr>
              <w:t>IP</w:t>
            </w:r>
            <w:r>
              <w:t>/Domain/MAC</w:t>
            </w:r>
          </w:p>
        </w:tc>
        <w:tc>
          <w:tcPr>
            <w:tcW w:w="3682" w:type="pct"/>
            <w:shd w:val="clear" w:color="auto" w:fill="auto"/>
          </w:tcPr>
          <w:p w14:paraId="689439DE">
            <w:pPr>
              <w:pStyle w:val="150"/>
            </w:pPr>
            <w:r>
              <w:t>加入黑名单的</w:t>
            </w:r>
            <w:r>
              <w:rPr>
                <w:rFonts w:hint="eastAsia"/>
              </w:rPr>
              <w:t>IP地址、域名或MAC地址</w:t>
            </w:r>
            <w:r>
              <w:t>，需要输入合法的IP</w:t>
            </w:r>
            <w:r>
              <w:rPr>
                <w:rFonts w:hint="eastAsia"/>
              </w:rPr>
              <w:t>、</w:t>
            </w:r>
            <w:r>
              <w:t>MAC</w:t>
            </w:r>
            <w:r>
              <w:rPr>
                <w:rFonts w:hint="eastAsia"/>
              </w:rPr>
              <w:t>地址或域名格式</w:t>
            </w:r>
            <w:r>
              <w:t>，不能为空。</w:t>
            </w:r>
          </w:p>
        </w:tc>
      </w:tr>
      <w:tr w14:paraId="7D6E13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318" w:type="pct"/>
            <w:shd w:val="clear" w:color="auto" w:fill="auto"/>
          </w:tcPr>
          <w:p w14:paraId="675F5656">
            <w:pPr>
              <w:pStyle w:val="150"/>
            </w:pPr>
            <w:r>
              <w:t>Enable</w:t>
            </w:r>
          </w:p>
        </w:tc>
        <w:tc>
          <w:tcPr>
            <w:tcW w:w="3682" w:type="pct"/>
            <w:shd w:val="clear" w:color="auto" w:fill="auto"/>
          </w:tcPr>
          <w:p w14:paraId="4F8005DF">
            <w:pPr>
              <w:pStyle w:val="150"/>
            </w:pPr>
            <w:r>
              <w:t>黑名单策略启用/禁用的开关，必须输入enable或disable（enable为启用，disable为禁用），不能为空。</w:t>
            </w:r>
          </w:p>
        </w:tc>
      </w:tr>
      <w:tr w14:paraId="2571C2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318" w:type="pct"/>
            <w:shd w:val="clear" w:color="auto" w:fill="auto"/>
          </w:tcPr>
          <w:p w14:paraId="02F5C19F">
            <w:pPr>
              <w:pStyle w:val="150"/>
            </w:pPr>
            <w:r>
              <w:t>Age</w:t>
            </w:r>
          </w:p>
        </w:tc>
        <w:tc>
          <w:tcPr>
            <w:tcW w:w="3682" w:type="pct"/>
            <w:shd w:val="clear" w:color="auto" w:fill="auto"/>
          </w:tcPr>
          <w:p w14:paraId="2911A849">
            <w:pPr>
              <w:pStyle w:val="150"/>
            </w:pPr>
            <w:r>
              <w:t>生命周期，即对应IP地址加入黑名单的时长。单位为秒，范围为1-2592000秒，不能为空。</w:t>
            </w:r>
          </w:p>
        </w:tc>
      </w:tr>
    </w:tbl>
    <w:p w14:paraId="184CF6DF"/>
    <w:p w14:paraId="5BA77C09">
      <w:r>
        <w:rPr>
          <w:rFonts w:hint="eastAsia"/>
        </w:rPr>
        <w:t>单击“导入”按钮，弹出黑名单导入页面，单击“选择文件”按钮选择修改后的csv文件，并勾选选项“替换”或“跳过”，单击“上传”按钮即可将单名单信息导入到系统中。</w:t>
      </w:r>
    </w:p>
    <w:p w14:paraId="434E59DC">
      <w:pPr>
        <w:pStyle w:val="188"/>
      </w:pPr>
      <w:bookmarkStart w:id="378" w:name="_Toc141874392"/>
      <w:r>
        <w:rPr>
          <w:rFonts w:hint="eastAsia"/>
        </w:rPr>
        <w:t>黑名单导入页面</w:t>
      </w:r>
      <w:bookmarkEnd w:id="378"/>
    </w:p>
    <w:p w14:paraId="2FDA18AD">
      <w:pPr>
        <w:spacing w:before="79" w:after="79"/>
      </w:pPr>
      <w:r>
        <w:drawing>
          <wp:inline distT="0" distB="0" distL="0" distR="0">
            <wp:extent cx="4257675" cy="1940560"/>
            <wp:effectExtent l="0" t="0" r="0" b="2540"/>
            <wp:docPr id="1802027889" name="图片 1802027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89" name="图片 1802027889"/>
                    <pic:cNvPicPr>
                      <a:picLocks noChangeAspect="1"/>
                    </pic:cNvPicPr>
                  </pic:nvPicPr>
                  <pic:blipFill>
                    <a:blip r:embed="rId71"/>
                    <a:stretch>
                      <a:fillRect/>
                    </a:stretch>
                  </pic:blipFill>
                  <pic:spPr>
                    <a:xfrm>
                      <a:off x="0" y="0"/>
                      <a:ext cx="4269951" cy="1946595"/>
                    </a:xfrm>
                    <a:prstGeom prst="rect">
                      <a:avLst/>
                    </a:prstGeom>
                  </pic:spPr>
                </pic:pic>
              </a:graphicData>
            </a:graphic>
          </wp:inline>
        </w:drawing>
      </w:r>
    </w:p>
    <w:p w14:paraId="5CF170D3"/>
    <w:p w14:paraId="35822F89">
      <w:pPr>
        <w:pStyle w:val="183"/>
      </w:pPr>
      <w:bookmarkStart w:id="379" w:name="_Toc141875377"/>
      <w:r>
        <w:t>黑名单导入页面详细说明</w:t>
      </w:r>
      <w:bookmarkEnd w:id="379"/>
    </w:p>
    <w:tbl>
      <w:tblPr>
        <w:tblStyle w:val="173"/>
        <w:tblW w:w="793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381"/>
        <w:gridCol w:w="5557"/>
      </w:tblGrid>
      <w:tr w14:paraId="0F39E9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500" w:type="pct"/>
            <w:tcBorders>
              <w:tl2br w:val="nil"/>
              <w:tr2bl w:val="nil"/>
            </w:tcBorders>
            <w:shd w:val="clear" w:color="auto" w:fill="538135" w:themeFill="accent6" w:themeFillShade="BF"/>
            <w:vAlign w:val="center"/>
          </w:tcPr>
          <w:p w14:paraId="5E666F4A">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b w:val="0"/>
                <w:bCs w:val="0"/>
                <w:i w:val="0"/>
                <w:iCs w:val="0"/>
                <w:color w:val="FFFFFF" w:themeColor="background1"/>
                <w14:textFill>
                  <w14:solidFill>
                    <w14:schemeClr w14:val="bg1"/>
                  </w14:solidFill>
                </w14:textFill>
              </w:rPr>
              <w:t>参数</w:t>
            </w:r>
          </w:p>
        </w:tc>
        <w:tc>
          <w:tcPr>
            <w:tcW w:w="3500" w:type="pct"/>
            <w:tcBorders>
              <w:tl2br w:val="nil"/>
              <w:tr2bl w:val="nil"/>
            </w:tcBorders>
            <w:shd w:val="clear" w:color="auto" w:fill="538135" w:themeFill="accent6" w:themeFillShade="BF"/>
            <w:vAlign w:val="center"/>
          </w:tcPr>
          <w:p w14:paraId="1AC83F87">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b w:val="0"/>
                <w:bCs w:val="0"/>
                <w:i w:val="0"/>
                <w:iCs w:val="0"/>
                <w:color w:val="FFFFFF" w:themeColor="background1"/>
                <w14:textFill>
                  <w14:solidFill>
                    <w14:schemeClr w14:val="bg1"/>
                  </w14:solidFill>
                </w14:textFill>
              </w:rPr>
              <w:t>说明</w:t>
            </w:r>
          </w:p>
        </w:tc>
      </w:tr>
      <w:tr w14:paraId="4983EB1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500" w:type="pct"/>
            <w:shd w:val="clear" w:color="auto" w:fill="auto"/>
          </w:tcPr>
          <w:p w14:paraId="3BB12440">
            <w:pPr>
              <w:pStyle w:val="186"/>
              <w:widowControl w:val="0"/>
              <w:spacing w:line="240" w:lineRule="auto"/>
              <w:ind w:firstLine="0"/>
              <w:jc w:val="left"/>
            </w:pPr>
            <w:r>
              <w:t>上传文件名称</w:t>
            </w:r>
          </w:p>
        </w:tc>
        <w:tc>
          <w:tcPr>
            <w:tcW w:w="3500" w:type="pct"/>
            <w:shd w:val="clear" w:color="auto" w:fill="auto"/>
          </w:tcPr>
          <w:p w14:paraId="15C88ADD">
            <w:pPr>
              <w:pStyle w:val="186"/>
              <w:widowControl w:val="0"/>
              <w:spacing w:line="240" w:lineRule="auto"/>
              <w:ind w:firstLine="0"/>
              <w:jc w:val="left"/>
            </w:pPr>
            <w:r>
              <w:t>选择本地已经录入黑名单的模板文件。</w:t>
            </w:r>
          </w:p>
        </w:tc>
      </w:tr>
      <w:tr w14:paraId="6B55FE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500" w:type="pct"/>
            <w:shd w:val="clear" w:color="auto" w:fill="auto"/>
          </w:tcPr>
          <w:p w14:paraId="64DDE083">
            <w:pPr>
              <w:pStyle w:val="186"/>
              <w:widowControl w:val="0"/>
              <w:spacing w:line="240" w:lineRule="auto"/>
              <w:ind w:firstLine="0"/>
              <w:jc w:val="left"/>
            </w:pPr>
            <w:r>
              <w:t>替换</w:t>
            </w:r>
          </w:p>
        </w:tc>
        <w:tc>
          <w:tcPr>
            <w:tcW w:w="3500" w:type="pct"/>
            <w:shd w:val="clear" w:color="auto" w:fill="auto"/>
          </w:tcPr>
          <w:p w14:paraId="2EFAECAA">
            <w:pPr>
              <w:pStyle w:val="186"/>
              <w:widowControl w:val="0"/>
              <w:spacing w:line="240" w:lineRule="auto"/>
              <w:ind w:firstLine="0"/>
              <w:jc w:val="left"/>
            </w:pPr>
            <w:r>
              <w:t>勾选后，导入的黑名单会覆盖已经存在的数据。</w:t>
            </w:r>
          </w:p>
        </w:tc>
      </w:tr>
      <w:tr w14:paraId="52AF14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500" w:type="pct"/>
            <w:shd w:val="clear" w:color="auto" w:fill="auto"/>
          </w:tcPr>
          <w:p w14:paraId="5D202F18">
            <w:pPr>
              <w:pStyle w:val="186"/>
              <w:widowControl w:val="0"/>
              <w:spacing w:line="240" w:lineRule="auto"/>
              <w:ind w:firstLine="0"/>
              <w:jc w:val="left"/>
            </w:pPr>
            <w:r>
              <w:t>跳过</w:t>
            </w:r>
          </w:p>
        </w:tc>
        <w:tc>
          <w:tcPr>
            <w:tcW w:w="3500" w:type="pct"/>
            <w:shd w:val="clear" w:color="auto" w:fill="auto"/>
          </w:tcPr>
          <w:p w14:paraId="36BB8376">
            <w:pPr>
              <w:pStyle w:val="186"/>
              <w:widowControl w:val="0"/>
              <w:spacing w:line="240" w:lineRule="auto"/>
              <w:ind w:firstLine="0"/>
              <w:jc w:val="left"/>
            </w:pPr>
            <w:r>
              <w:t>勾选后，录入的黑名单会跳过已经存在的记录。</w:t>
            </w:r>
          </w:p>
        </w:tc>
      </w:tr>
    </w:tbl>
    <w:p w14:paraId="21A86837"/>
    <w:p w14:paraId="54B2C9B7">
      <w:pPr>
        <w:pStyle w:val="5"/>
      </w:pPr>
      <w:bookmarkStart w:id="380" w:name="_Toc194080611"/>
      <w:bookmarkStart w:id="381" w:name="_Toc196727944"/>
      <w:bookmarkStart w:id="382" w:name="_Ref184235908"/>
      <w:r>
        <w:rPr>
          <w:rFonts w:hint="eastAsia"/>
        </w:rPr>
        <w:t>SSL</w:t>
      </w:r>
      <w:r>
        <w:t xml:space="preserve"> VPN</w:t>
      </w:r>
      <w:r>
        <w:rPr>
          <w:rFonts w:hint="eastAsia"/>
        </w:rPr>
        <w:t>在线用户</w:t>
      </w:r>
      <w:bookmarkEnd w:id="336"/>
      <w:bookmarkEnd w:id="337"/>
      <w:bookmarkEnd w:id="338"/>
      <w:bookmarkEnd w:id="339"/>
      <w:bookmarkEnd w:id="340"/>
      <w:bookmarkEnd w:id="341"/>
      <w:bookmarkEnd w:id="342"/>
      <w:bookmarkEnd w:id="343"/>
      <w:bookmarkEnd w:id="344"/>
      <w:bookmarkEnd w:id="345"/>
      <w:bookmarkEnd w:id="380"/>
      <w:bookmarkEnd w:id="381"/>
      <w:bookmarkEnd w:id="382"/>
    </w:p>
    <w:p w14:paraId="69F1531C">
      <w:r>
        <w:rPr>
          <w:rFonts w:hint="eastAsia"/>
        </w:rPr>
        <w:t>在导航栏中选择“</w:t>
      </w:r>
      <w:r>
        <w:t>数据中心&gt;系统监控&gt;SSL VPN</w:t>
      </w:r>
      <w:r>
        <w:rPr>
          <w:rFonts w:hint="eastAsia"/>
        </w:rPr>
        <w:t>在线用户”，进入在线用户显示页面。页面中显示了已经拨入成功的SSL</w:t>
      </w:r>
      <w:r>
        <w:t xml:space="preserve"> </w:t>
      </w:r>
      <w:r>
        <w:rPr>
          <w:rFonts w:hint="eastAsia"/>
        </w:rPr>
        <w:t>VPN用户。</w:t>
      </w:r>
    </w:p>
    <w:p w14:paraId="6A0E4D02">
      <w:pPr>
        <w:pStyle w:val="188"/>
      </w:pPr>
      <w:bookmarkStart w:id="383" w:name="_Toc141874393"/>
      <w:r>
        <w:rPr>
          <w:rFonts w:hint="eastAsia"/>
        </w:rPr>
        <w:t>SSL</w:t>
      </w:r>
      <w:r>
        <w:t xml:space="preserve"> VPN</w:t>
      </w:r>
      <w:r>
        <w:rPr>
          <w:rFonts w:hint="eastAsia"/>
        </w:rPr>
        <w:t>在线用户显示页面</w:t>
      </w:r>
      <w:bookmarkEnd w:id="383"/>
    </w:p>
    <w:p w14:paraId="41AD3EE3">
      <w:pPr>
        <w:spacing w:before="79" w:after="79"/>
      </w:pPr>
      <w:r>
        <w:drawing>
          <wp:inline distT="0" distB="0" distL="0" distR="0">
            <wp:extent cx="5353050" cy="603885"/>
            <wp:effectExtent l="0" t="0" r="0" b="5715"/>
            <wp:docPr id="3100" name="图片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0" name="图片 3100"/>
                    <pic:cNvPicPr>
                      <a:picLocks noChangeAspect="1"/>
                    </pic:cNvPicPr>
                  </pic:nvPicPr>
                  <pic:blipFill>
                    <a:blip r:embed="rId72"/>
                    <a:stretch>
                      <a:fillRect/>
                    </a:stretch>
                  </pic:blipFill>
                  <pic:spPr>
                    <a:xfrm>
                      <a:off x="0" y="0"/>
                      <a:ext cx="5455070" cy="615739"/>
                    </a:xfrm>
                    <a:prstGeom prst="rect">
                      <a:avLst/>
                    </a:prstGeom>
                  </pic:spPr>
                </pic:pic>
              </a:graphicData>
            </a:graphic>
          </wp:inline>
        </w:drawing>
      </w:r>
    </w:p>
    <w:p w14:paraId="2E52594A"/>
    <w:p w14:paraId="28384905">
      <w:pPr>
        <w:pStyle w:val="183"/>
      </w:pPr>
      <w:bookmarkStart w:id="384" w:name="_Toc141875378"/>
      <w:r>
        <w:t>SSL VPN</w:t>
      </w:r>
      <w:r>
        <w:rPr>
          <w:rFonts w:hint="eastAsia"/>
        </w:rPr>
        <w:t>在线用户显示页面的详细说明</w:t>
      </w:r>
      <w:bookmarkEnd w:id="384"/>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65"/>
        <w:gridCol w:w="6949"/>
      </w:tblGrid>
      <w:tr w14:paraId="4A57E9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tcBorders>
              <w:tl2br w:val="nil"/>
              <w:tr2bl w:val="nil"/>
            </w:tcBorders>
            <w:shd w:val="clear" w:color="auto" w:fill="538135" w:themeFill="accent6" w:themeFillShade="BF"/>
            <w:vAlign w:val="center"/>
          </w:tcPr>
          <w:p w14:paraId="12561631">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949" w:type="dxa"/>
            <w:tcBorders>
              <w:tl2br w:val="nil"/>
              <w:tr2bl w:val="nil"/>
            </w:tcBorders>
            <w:shd w:val="clear" w:color="auto" w:fill="538135" w:themeFill="accent6" w:themeFillShade="BF"/>
            <w:vAlign w:val="center"/>
          </w:tcPr>
          <w:p w14:paraId="0B9E1352">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EA62E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2997ADF8">
            <w:pPr>
              <w:pStyle w:val="186"/>
              <w:widowControl w:val="0"/>
              <w:spacing w:line="240" w:lineRule="auto"/>
              <w:ind w:firstLine="0"/>
              <w:jc w:val="left"/>
            </w:pPr>
            <w:r>
              <w:rPr>
                <w:rFonts w:hint="eastAsia"/>
              </w:rPr>
              <w:t>名称</w:t>
            </w:r>
          </w:p>
        </w:tc>
        <w:tc>
          <w:tcPr>
            <w:tcW w:w="6949" w:type="dxa"/>
            <w:shd w:val="clear" w:color="auto" w:fill="auto"/>
          </w:tcPr>
          <w:p w14:paraId="3AF9DD28">
            <w:pPr>
              <w:pStyle w:val="186"/>
              <w:widowControl w:val="0"/>
              <w:spacing w:line="240" w:lineRule="auto"/>
              <w:ind w:firstLine="0"/>
              <w:jc w:val="left"/>
            </w:pPr>
            <w:r>
              <w:rPr>
                <w:rFonts w:hint="eastAsia"/>
              </w:rPr>
              <w:t>SSL</w:t>
            </w:r>
            <w:r>
              <w:t xml:space="preserve"> </w:t>
            </w:r>
            <w:r>
              <w:rPr>
                <w:rFonts w:hint="eastAsia"/>
              </w:rPr>
              <w:t>VPN拨入用户的名称。</w:t>
            </w:r>
          </w:p>
        </w:tc>
      </w:tr>
      <w:tr w14:paraId="5F785C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6843B532">
            <w:pPr>
              <w:pStyle w:val="186"/>
              <w:widowControl w:val="0"/>
              <w:spacing w:line="240" w:lineRule="auto"/>
              <w:ind w:firstLine="0"/>
              <w:jc w:val="left"/>
            </w:pPr>
            <w:r>
              <w:rPr>
                <w:rFonts w:hint="eastAsia"/>
              </w:rPr>
              <w:t>源IP</w:t>
            </w:r>
          </w:p>
        </w:tc>
        <w:tc>
          <w:tcPr>
            <w:tcW w:w="6949" w:type="dxa"/>
            <w:shd w:val="clear" w:color="auto" w:fill="auto"/>
          </w:tcPr>
          <w:p w14:paraId="088B34E1">
            <w:pPr>
              <w:pStyle w:val="186"/>
              <w:widowControl w:val="0"/>
              <w:spacing w:line="240" w:lineRule="auto"/>
              <w:ind w:firstLine="0"/>
              <w:jc w:val="left"/>
            </w:pPr>
            <w:r>
              <w:rPr>
                <w:rFonts w:hint="eastAsia"/>
              </w:rPr>
              <w:t>SSL</w:t>
            </w:r>
            <w:r>
              <w:t xml:space="preserve"> </w:t>
            </w:r>
            <w:r>
              <w:rPr>
                <w:rFonts w:hint="eastAsia"/>
              </w:rPr>
              <w:t>VPN拨入用户的源IP：一般是SSL</w:t>
            </w:r>
            <w:r>
              <w:t xml:space="preserve"> </w:t>
            </w:r>
            <w:r>
              <w:rPr>
                <w:rFonts w:hint="eastAsia"/>
              </w:rPr>
              <w:t>VPN拨入用户公网出口IP地址</w:t>
            </w:r>
          </w:p>
        </w:tc>
      </w:tr>
      <w:tr w14:paraId="6B4C14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2791CAFD">
            <w:pPr>
              <w:pStyle w:val="186"/>
              <w:widowControl w:val="0"/>
              <w:spacing w:line="240" w:lineRule="auto"/>
              <w:ind w:firstLine="0"/>
              <w:jc w:val="left"/>
            </w:pPr>
            <w:r>
              <w:rPr>
                <w:rFonts w:hint="eastAsia"/>
              </w:rPr>
              <w:t>源端口</w:t>
            </w:r>
          </w:p>
        </w:tc>
        <w:tc>
          <w:tcPr>
            <w:tcW w:w="6949" w:type="dxa"/>
            <w:shd w:val="clear" w:color="auto" w:fill="auto"/>
          </w:tcPr>
          <w:p w14:paraId="1F250C0D">
            <w:pPr>
              <w:pStyle w:val="186"/>
              <w:widowControl w:val="0"/>
              <w:spacing w:line="240" w:lineRule="auto"/>
              <w:ind w:firstLine="0"/>
              <w:jc w:val="left"/>
            </w:pPr>
            <w:r>
              <w:rPr>
                <w:rFonts w:hint="eastAsia"/>
              </w:rPr>
              <w:t>SSL</w:t>
            </w:r>
            <w:r>
              <w:t xml:space="preserve"> </w:t>
            </w:r>
            <w:r>
              <w:rPr>
                <w:rFonts w:hint="eastAsia"/>
              </w:rPr>
              <w:t>VPN拨入用户的源端口。</w:t>
            </w:r>
          </w:p>
        </w:tc>
      </w:tr>
      <w:tr w14:paraId="365D90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60C61020">
            <w:pPr>
              <w:pStyle w:val="186"/>
              <w:widowControl w:val="0"/>
              <w:spacing w:line="240" w:lineRule="auto"/>
              <w:ind w:firstLine="0"/>
              <w:jc w:val="left"/>
            </w:pPr>
            <w:r>
              <w:rPr>
                <w:rFonts w:hint="eastAsia"/>
              </w:rPr>
              <w:t>虚拟IP</w:t>
            </w:r>
          </w:p>
        </w:tc>
        <w:tc>
          <w:tcPr>
            <w:tcW w:w="6949" w:type="dxa"/>
            <w:shd w:val="clear" w:color="auto" w:fill="auto"/>
          </w:tcPr>
          <w:p w14:paraId="296582F4">
            <w:pPr>
              <w:pStyle w:val="186"/>
              <w:widowControl w:val="0"/>
              <w:spacing w:line="240" w:lineRule="auto"/>
              <w:ind w:firstLine="0"/>
              <w:jc w:val="left"/>
            </w:pPr>
            <w:r>
              <w:rPr>
                <w:rFonts w:hint="eastAsia"/>
              </w:rPr>
              <w:t>SSL</w:t>
            </w:r>
            <w:r>
              <w:t xml:space="preserve"> </w:t>
            </w:r>
            <w:r>
              <w:rPr>
                <w:rFonts w:hint="eastAsia"/>
              </w:rPr>
              <w:t>VPN拨入用户分配到IP地址。</w:t>
            </w:r>
          </w:p>
        </w:tc>
      </w:tr>
      <w:tr w14:paraId="79E3844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3E8216A1">
            <w:pPr>
              <w:pStyle w:val="186"/>
              <w:widowControl w:val="0"/>
              <w:spacing w:line="240" w:lineRule="auto"/>
              <w:ind w:firstLine="0"/>
              <w:jc w:val="left"/>
            </w:pPr>
            <w:r>
              <w:rPr>
                <w:rFonts w:hint="eastAsia"/>
              </w:rPr>
              <w:t>发送字节数</w:t>
            </w:r>
          </w:p>
        </w:tc>
        <w:tc>
          <w:tcPr>
            <w:tcW w:w="6949" w:type="dxa"/>
            <w:shd w:val="clear" w:color="auto" w:fill="auto"/>
          </w:tcPr>
          <w:p w14:paraId="1FAAE36D">
            <w:pPr>
              <w:pStyle w:val="186"/>
              <w:widowControl w:val="0"/>
              <w:spacing w:line="240" w:lineRule="auto"/>
              <w:ind w:firstLine="0"/>
              <w:jc w:val="left"/>
            </w:pPr>
            <w:r>
              <w:rPr>
                <w:rFonts w:hint="eastAsia"/>
              </w:rPr>
              <w:t>统计SSL</w:t>
            </w:r>
            <w:r>
              <w:t xml:space="preserve"> </w:t>
            </w:r>
            <w:r>
              <w:rPr>
                <w:rFonts w:hint="eastAsia"/>
              </w:rPr>
              <w:t>VPN拨入用户发送字节数。</w:t>
            </w:r>
          </w:p>
        </w:tc>
      </w:tr>
      <w:tr w14:paraId="200DDF1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28562355">
            <w:pPr>
              <w:pStyle w:val="186"/>
              <w:widowControl w:val="0"/>
              <w:spacing w:line="240" w:lineRule="auto"/>
              <w:ind w:firstLine="0"/>
              <w:jc w:val="left"/>
            </w:pPr>
            <w:r>
              <w:rPr>
                <w:rFonts w:hint="eastAsia"/>
              </w:rPr>
              <w:t>接收字节数</w:t>
            </w:r>
          </w:p>
        </w:tc>
        <w:tc>
          <w:tcPr>
            <w:tcW w:w="6949" w:type="dxa"/>
            <w:shd w:val="clear" w:color="auto" w:fill="auto"/>
          </w:tcPr>
          <w:p w14:paraId="0B964CD3">
            <w:pPr>
              <w:pStyle w:val="186"/>
              <w:widowControl w:val="0"/>
              <w:spacing w:line="240" w:lineRule="auto"/>
              <w:ind w:firstLine="0"/>
              <w:jc w:val="left"/>
            </w:pPr>
            <w:r>
              <w:rPr>
                <w:rFonts w:hint="eastAsia"/>
              </w:rPr>
              <w:t>统计SSL</w:t>
            </w:r>
            <w:r>
              <w:t xml:space="preserve"> </w:t>
            </w:r>
            <w:r>
              <w:rPr>
                <w:rFonts w:hint="eastAsia"/>
              </w:rPr>
              <w:t>VPN拨入用户接收字节数。</w:t>
            </w:r>
          </w:p>
        </w:tc>
      </w:tr>
      <w:tr w14:paraId="12C4B1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4F3373A7">
            <w:pPr>
              <w:pStyle w:val="186"/>
              <w:widowControl w:val="0"/>
              <w:spacing w:line="240" w:lineRule="auto"/>
              <w:ind w:firstLine="0"/>
              <w:jc w:val="left"/>
            </w:pPr>
            <w:r>
              <w:rPr>
                <w:rFonts w:hint="eastAsia"/>
              </w:rPr>
              <w:t>登录时间</w:t>
            </w:r>
          </w:p>
        </w:tc>
        <w:tc>
          <w:tcPr>
            <w:tcW w:w="6949" w:type="dxa"/>
            <w:shd w:val="clear" w:color="auto" w:fill="auto"/>
          </w:tcPr>
          <w:p w14:paraId="03E8BDC4">
            <w:pPr>
              <w:pStyle w:val="186"/>
              <w:widowControl w:val="0"/>
              <w:spacing w:line="240" w:lineRule="auto"/>
              <w:ind w:firstLine="0"/>
              <w:jc w:val="left"/>
            </w:pPr>
            <w:r>
              <w:rPr>
                <w:rFonts w:hint="eastAsia"/>
              </w:rPr>
              <w:t>SSL</w:t>
            </w:r>
            <w:r>
              <w:t xml:space="preserve"> </w:t>
            </w:r>
            <w:r>
              <w:rPr>
                <w:rFonts w:hint="eastAsia"/>
              </w:rPr>
              <w:t>VPN用户登录成功时间。</w:t>
            </w:r>
          </w:p>
        </w:tc>
      </w:tr>
      <w:tr w14:paraId="7E843A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1ED9E579">
            <w:pPr>
              <w:pStyle w:val="186"/>
              <w:widowControl w:val="0"/>
              <w:spacing w:line="240" w:lineRule="auto"/>
              <w:ind w:firstLine="0"/>
              <w:jc w:val="left"/>
            </w:pPr>
            <w:r>
              <w:rPr>
                <w:rFonts w:hint="eastAsia"/>
              </w:rPr>
              <w:t>在线时长</w:t>
            </w:r>
          </w:p>
        </w:tc>
        <w:tc>
          <w:tcPr>
            <w:tcW w:w="6949" w:type="dxa"/>
            <w:shd w:val="clear" w:color="auto" w:fill="auto"/>
          </w:tcPr>
          <w:p w14:paraId="28451D5D">
            <w:pPr>
              <w:pStyle w:val="186"/>
              <w:widowControl w:val="0"/>
              <w:spacing w:line="240" w:lineRule="auto"/>
              <w:ind w:firstLine="0"/>
              <w:jc w:val="left"/>
            </w:pPr>
            <w:r>
              <w:rPr>
                <w:rFonts w:hint="eastAsia"/>
              </w:rPr>
              <w:t>SSL</w:t>
            </w:r>
            <w:r>
              <w:t xml:space="preserve"> </w:t>
            </w:r>
            <w:r>
              <w:rPr>
                <w:rFonts w:hint="eastAsia"/>
              </w:rPr>
              <w:t>VPN用户拨入后在线时长。</w:t>
            </w:r>
          </w:p>
        </w:tc>
      </w:tr>
      <w:tr w14:paraId="1FE987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31C21F92">
            <w:pPr>
              <w:pStyle w:val="186"/>
              <w:widowControl w:val="0"/>
              <w:spacing w:line="240" w:lineRule="auto"/>
              <w:ind w:firstLine="0"/>
              <w:jc w:val="left"/>
            </w:pPr>
            <w:r>
              <w:rPr>
                <w:rFonts w:hint="eastAsia"/>
              </w:rPr>
              <w:t>状态</w:t>
            </w:r>
          </w:p>
        </w:tc>
        <w:tc>
          <w:tcPr>
            <w:tcW w:w="6949" w:type="dxa"/>
            <w:shd w:val="clear" w:color="auto" w:fill="auto"/>
          </w:tcPr>
          <w:p w14:paraId="7F41F1E3">
            <w:pPr>
              <w:pStyle w:val="186"/>
              <w:widowControl w:val="0"/>
              <w:spacing w:line="240" w:lineRule="auto"/>
              <w:ind w:firstLine="0"/>
              <w:jc w:val="left"/>
            </w:pPr>
            <w:r>
              <w:rPr>
                <w:rFonts w:hint="eastAsia"/>
              </w:rPr>
              <w:t>SSL</w:t>
            </w:r>
            <w:r>
              <w:t xml:space="preserve"> </w:t>
            </w:r>
            <w:r>
              <w:rPr>
                <w:rFonts w:hint="eastAsia"/>
              </w:rPr>
              <w:t>VPN拨入用户状态展示</w:t>
            </w:r>
          </w:p>
        </w:tc>
      </w:tr>
      <w:tr w14:paraId="0F0053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5CF0D12D">
            <w:pPr>
              <w:pStyle w:val="186"/>
              <w:widowControl w:val="0"/>
              <w:spacing w:line="240" w:lineRule="auto"/>
              <w:ind w:firstLine="0"/>
              <w:jc w:val="left"/>
            </w:pPr>
            <w:r>
              <w:rPr>
                <w:rFonts w:hint="eastAsia"/>
              </w:rPr>
              <w:t>操作</w:t>
            </w:r>
          </w:p>
        </w:tc>
        <w:tc>
          <w:tcPr>
            <w:tcW w:w="6949" w:type="dxa"/>
            <w:shd w:val="clear" w:color="auto" w:fill="auto"/>
          </w:tcPr>
          <w:p w14:paraId="1D95984C">
            <w:pPr>
              <w:pStyle w:val="186"/>
              <w:widowControl w:val="0"/>
              <w:spacing w:line="240" w:lineRule="auto"/>
              <w:ind w:firstLine="0"/>
              <w:jc w:val="left"/>
            </w:pPr>
            <w:r>
              <w:rPr>
                <w:rFonts w:hint="eastAsia"/>
              </w:rPr>
              <w:t>可以对相应SSL</w:t>
            </w:r>
            <w:r>
              <w:t xml:space="preserve"> </w:t>
            </w:r>
            <w:r>
              <w:rPr>
                <w:rFonts w:hint="eastAsia"/>
              </w:rPr>
              <w:t>VPN拨入用户进行的操作。</w:t>
            </w:r>
          </w:p>
        </w:tc>
      </w:tr>
    </w:tbl>
    <w:p w14:paraId="1A8209AF"/>
    <w:p w14:paraId="09BA393F">
      <w:r>
        <w:rPr>
          <w:rFonts w:hint="eastAsia"/>
        </w:rPr>
        <w:t>在线用户显示页面，点击</w:t>
      </w:r>
      <w:r>
        <w:t>&lt;</w:t>
      </w:r>
      <w:r>
        <w:rPr>
          <w:rFonts w:hint="eastAsia"/>
        </w:rPr>
        <w:t>强制注销</w:t>
      </w:r>
      <w:r>
        <w:t>&gt;</w:t>
      </w:r>
      <w:r>
        <w:rPr>
          <w:rFonts w:hint="eastAsia"/>
        </w:rPr>
        <w:t>按钮，可以将对应在线用户进行注销。如</w:t>
      </w:r>
      <w:r>
        <w:rPr>
          <w:color w:val="0000FF"/>
          <w:u w:val="single"/>
        </w:rPr>
        <w:fldChar w:fldCharType="begin"/>
      </w:r>
      <w:r>
        <w:rPr>
          <w:color w:val="0000FF"/>
          <w:u w:val="single"/>
        </w:rPr>
        <w:instrText xml:space="preserve"> REF _Ref4416694 \r \h </w:instrText>
      </w:r>
      <w:r>
        <w:rPr>
          <w:color w:val="0000FF"/>
          <w:u w:val="single"/>
        </w:rPr>
        <w:fldChar w:fldCharType="separate"/>
      </w:r>
      <w:r>
        <w:rPr>
          <w:rFonts w:hint="eastAsia"/>
          <w:color w:val="0000FF"/>
          <w:u w:val="single"/>
        </w:rPr>
        <w:t>图4-15</w:t>
      </w:r>
      <w:r>
        <w:rPr>
          <w:color w:val="0000FF"/>
          <w:u w:val="single"/>
        </w:rPr>
        <w:fldChar w:fldCharType="end"/>
      </w:r>
      <w:r>
        <w:rPr>
          <w:rFonts w:hint="eastAsia"/>
        </w:rPr>
        <w:t>所示</w:t>
      </w:r>
    </w:p>
    <w:p w14:paraId="4832E1FB">
      <w:pPr>
        <w:pStyle w:val="188"/>
      </w:pPr>
      <w:bookmarkStart w:id="385" w:name="_Ref4416694"/>
      <w:bookmarkStart w:id="386" w:name="_Toc141874394"/>
      <w:r>
        <w:rPr>
          <w:rFonts w:hint="eastAsia"/>
        </w:rPr>
        <w:t>在线用户注销</w:t>
      </w:r>
      <w:bookmarkEnd w:id="385"/>
      <w:bookmarkEnd w:id="386"/>
    </w:p>
    <w:p w14:paraId="63142795">
      <w:pPr>
        <w:spacing w:before="79" w:after="79"/>
      </w:pPr>
      <w:r>
        <w:drawing>
          <wp:inline distT="0" distB="0" distL="0" distR="0">
            <wp:extent cx="5238750" cy="641985"/>
            <wp:effectExtent l="0" t="0" r="0" b="5715"/>
            <wp:docPr id="3101" name="图片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 name="图片 3101"/>
                    <pic:cNvPicPr>
                      <a:picLocks noChangeAspect="1"/>
                    </pic:cNvPicPr>
                  </pic:nvPicPr>
                  <pic:blipFill>
                    <a:blip r:embed="rId73"/>
                    <a:stretch>
                      <a:fillRect/>
                    </a:stretch>
                  </pic:blipFill>
                  <pic:spPr>
                    <a:xfrm>
                      <a:off x="0" y="0"/>
                      <a:ext cx="5289915" cy="648686"/>
                    </a:xfrm>
                    <a:prstGeom prst="rect">
                      <a:avLst/>
                    </a:prstGeom>
                  </pic:spPr>
                </pic:pic>
              </a:graphicData>
            </a:graphic>
          </wp:inline>
        </w:drawing>
      </w:r>
    </w:p>
    <w:p w14:paraId="173F7153"/>
    <w:p w14:paraId="77EB29BB">
      <w:r>
        <w:rPr>
          <w:rFonts w:hint="eastAsia"/>
        </w:rPr>
        <w:t>在线用户显示页面，点击</w:t>
      </w:r>
      <w:r>
        <w:t>&lt;</w:t>
      </w:r>
      <w:r>
        <w:rPr>
          <w:rFonts w:hint="eastAsia"/>
        </w:rPr>
        <w:t>冻结</w:t>
      </w:r>
      <w:r>
        <w:t>&gt;</w:t>
      </w:r>
      <w:r>
        <w:rPr>
          <w:rFonts w:hint="eastAsia"/>
        </w:rPr>
        <w:t>按钮，可以将对应的在线用户进行冻结。如</w:t>
      </w:r>
      <w:r>
        <w:rPr>
          <w:color w:val="0000FF"/>
          <w:u w:val="single"/>
        </w:rPr>
        <w:fldChar w:fldCharType="begin"/>
      </w:r>
      <w:r>
        <w:rPr>
          <w:color w:val="0000FF"/>
          <w:u w:val="single"/>
        </w:rPr>
        <w:instrText xml:space="preserve"> REF _Ref4416709 \r \h </w:instrText>
      </w:r>
      <w:r>
        <w:rPr>
          <w:color w:val="0000FF"/>
          <w:u w:val="single"/>
        </w:rPr>
        <w:fldChar w:fldCharType="separate"/>
      </w:r>
      <w:r>
        <w:rPr>
          <w:rFonts w:hint="eastAsia"/>
          <w:color w:val="0000FF"/>
          <w:u w:val="single"/>
        </w:rPr>
        <w:t>图4-16</w:t>
      </w:r>
      <w:r>
        <w:rPr>
          <w:color w:val="0000FF"/>
          <w:u w:val="single"/>
        </w:rPr>
        <w:fldChar w:fldCharType="end"/>
      </w:r>
      <w:r>
        <w:rPr>
          <w:rFonts w:hint="eastAsia"/>
        </w:rPr>
        <w:t>所示</w:t>
      </w:r>
    </w:p>
    <w:p w14:paraId="13ACEE10">
      <w:pPr>
        <w:pStyle w:val="188"/>
      </w:pPr>
      <w:bookmarkStart w:id="387" w:name="_Ref4416709"/>
      <w:bookmarkStart w:id="388" w:name="_Toc141874395"/>
      <w:r>
        <w:rPr>
          <w:rFonts w:hint="eastAsia"/>
        </w:rPr>
        <w:t>在线用户冻结</w:t>
      </w:r>
      <w:bookmarkEnd w:id="387"/>
      <w:bookmarkEnd w:id="388"/>
    </w:p>
    <w:p w14:paraId="6C358A7E">
      <w:pPr>
        <w:spacing w:before="79" w:after="79"/>
      </w:pPr>
      <w:r>
        <w:drawing>
          <wp:inline distT="0" distB="0" distL="0" distR="0">
            <wp:extent cx="5409565" cy="664845"/>
            <wp:effectExtent l="0" t="0" r="635" b="1905"/>
            <wp:docPr id="3102" name="图片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 name="图片 3102"/>
                    <pic:cNvPicPr>
                      <a:picLocks noChangeAspect="1"/>
                    </pic:cNvPicPr>
                  </pic:nvPicPr>
                  <pic:blipFill>
                    <a:blip r:embed="rId74"/>
                    <a:stretch>
                      <a:fillRect/>
                    </a:stretch>
                  </pic:blipFill>
                  <pic:spPr>
                    <a:xfrm>
                      <a:off x="0" y="0"/>
                      <a:ext cx="5464943" cy="671850"/>
                    </a:xfrm>
                    <a:prstGeom prst="rect">
                      <a:avLst/>
                    </a:prstGeom>
                  </pic:spPr>
                </pic:pic>
              </a:graphicData>
            </a:graphic>
          </wp:inline>
        </w:drawing>
      </w:r>
    </w:p>
    <w:p w14:paraId="5D0EE3D4">
      <w:r>
        <w:rPr>
          <w:rFonts w:hint="eastAsia"/>
        </w:rPr>
        <w:t>在线用户显示页面，点击</w:t>
      </w:r>
      <w:r>
        <w:t>&lt;</w:t>
      </w:r>
      <w:r>
        <w:rPr>
          <w:rFonts w:hint="eastAsia"/>
        </w:rPr>
        <w:t>解除冻结</w:t>
      </w:r>
      <w:r>
        <w:t>&gt;</w:t>
      </w:r>
      <w:r>
        <w:rPr>
          <w:rFonts w:hint="eastAsia"/>
        </w:rPr>
        <w:t>按钮，可以将对应的已冻结用户解除冻结。如</w:t>
      </w:r>
      <w:r>
        <w:rPr>
          <w:color w:val="0000FF"/>
          <w:u w:val="single"/>
        </w:rPr>
        <w:fldChar w:fldCharType="begin"/>
      </w:r>
      <w:r>
        <w:rPr>
          <w:color w:val="0000FF"/>
          <w:u w:val="single"/>
        </w:rPr>
        <w:instrText xml:space="preserve"> REF _Ref4416725 \r \h </w:instrText>
      </w:r>
      <w:r>
        <w:rPr>
          <w:color w:val="0000FF"/>
          <w:u w:val="single"/>
        </w:rPr>
        <w:fldChar w:fldCharType="separate"/>
      </w:r>
      <w:r>
        <w:rPr>
          <w:rFonts w:hint="eastAsia"/>
          <w:color w:val="0000FF"/>
          <w:u w:val="single"/>
        </w:rPr>
        <w:t>图4-17</w:t>
      </w:r>
      <w:r>
        <w:rPr>
          <w:color w:val="0000FF"/>
          <w:u w:val="single"/>
        </w:rPr>
        <w:fldChar w:fldCharType="end"/>
      </w:r>
      <w:r>
        <w:rPr>
          <w:rFonts w:hint="eastAsia"/>
        </w:rPr>
        <w:t>所示</w:t>
      </w:r>
    </w:p>
    <w:p w14:paraId="1F473720">
      <w:pPr>
        <w:pStyle w:val="188"/>
      </w:pPr>
      <w:bookmarkStart w:id="389" w:name="_Toc141874396"/>
      <w:bookmarkStart w:id="390" w:name="_Ref4416725"/>
      <w:r>
        <w:rPr>
          <w:rFonts w:hint="eastAsia"/>
        </w:rPr>
        <w:t>在线用户解除冻结</w:t>
      </w:r>
      <w:bookmarkEnd w:id="389"/>
      <w:bookmarkEnd w:id="390"/>
    </w:p>
    <w:p w14:paraId="0A1A8AD0">
      <w:pPr>
        <w:spacing w:before="79" w:after="79"/>
      </w:pPr>
      <w:r>
        <w:drawing>
          <wp:inline distT="0" distB="0" distL="0" distR="0">
            <wp:extent cx="5409565" cy="623570"/>
            <wp:effectExtent l="0" t="0" r="635" b="5080"/>
            <wp:docPr id="3103" name="图片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 name="图片 3103"/>
                    <pic:cNvPicPr>
                      <a:picLocks noChangeAspect="1"/>
                    </pic:cNvPicPr>
                  </pic:nvPicPr>
                  <pic:blipFill>
                    <a:blip r:embed="rId75"/>
                    <a:stretch>
                      <a:fillRect/>
                    </a:stretch>
                  </pic:blipFill>
                  <pic:spPr>
                    <a:xfrm>
                      <a:off x="0" y="0"/>
                      <a:ext cx="5502059" cy="634744"/>
                    </a:xfrm>
                    <a:prstGeom prst="rect">
                      <a:avLst/>
                    </a:prstGeom>
                  </pic:spPr>
                </pic:pic>
              </a:graphicData>
            </a:graphic>
          </wp:inline>
        </w:drawing>
      </w:r>
    </w:p>
    <w:p w14:paraId="374C0C47">
      <w:pPr>
        <w:pStyle w:val="5"/>
      </w:pPr>
      <w:bookmarkStart w:id="391" w:name="_Toc141873251"/>
      <w:bookmarkStart w:id="392" w:name="_Toc99561301"/>
      <w:bookmarkStart w:id="393" w:name="_Toc142400764"/>
      <w:bookmarkStart w:id="394" w:name="_Toc172217975"/>
      <w:bookmarkStart w:id="395" w:name="_Toc194080612"/>
      <w:bookmarkStart w:id="396" w:name="_Toc196727945"/>
      <w:r>
        <w:rPr>
          <w:rFonts w:hint="eastAsia"/>
        </w:rPr>
        <w:t>实时流速监控</w:t>
      </w:r>
      <w:bookmarkEnd w:id="346"/>
      <w:bookmarkEnd w:id="347"/>
      <w:bookmarkEnd w:id="348"/>
      <w:bookmarkEnd w:id="349"/>
      <w:bookmarkEnd w:id="350"/>
      <w:bookmarkEnd w:id="391"/>
      <w:bookmarkEnd w:id="392"/>
      <w:bookmarkEnd w:id="393"/>
      <w:bookmarkEnd w:id="394"/>
      <w:bookmarkEnd w:id="395"/>
      <w:bookmarkEnd w:id="396"/>
    </w:p>
    <w:p w14:paraId="7B7FDAE7">
      <w:pPr>
        <w:pStyle w:val="6"/>
      </w:pPr>
      <w:bookmarkStart w:id="397" w:name="_Toc11342774"/>
      <w:r>
        <w:rPr>
          <w:rFonts w:hint="eastAsia"/>
        </w:rPr>
        <w:t>用户实时流速</w:t>
      </w:r>
      <w:bookmarkEnd w:id="397"/>
    </w:p>
    <w:p w14:paraId="72FDCB52">
      <w:r>
        <w:rPr>
          <w:rFonts w:hint="eastAsia"/>
        </w:rPr>
        <w:t>在导航栏中选择“数据中心&gt;系统监控&gt;实时流速监控”进入用户实时流速页面，如</w:t>
      </w:r>
      <w:r>
        <w:fldChar w:fldCharType="begin"/>
      </w:r>
      <w:r>
        <w:instrText xml:space="preserve"> REF _Ref4490540 \r \h </w:instrText>
      </w:r>
      <w:r>
        <w:fldChar w:fldCharType="separate"/>
      </w:r>
      <w:r>
        <w:rPr>
          <w:rFonts w:hint="eastAsia"/>
        </w:rPr>
        <w:t>图4-18</w:t>
      </w:r>
      <w:r>
        <w:fldChar w:fldCharType="end"/>
      </w:r>
      <w:r>
        <w:rPr>
          <w:rFonts w:hint="eastAsia"/>
        </w:rPr>
        <w:t>所示。</w:t>
      </w:r>
    </w:p>
    <w:p w14:paraId="0D6E0F4A">
      <w:pPr>
        <w:pStyle w:val="188"/>
      </w:pPr>
      <w:bookmarkStart w:id="398" w:name="_Ref4490540"/>
      <w:bookmarkStart w:id="399" w:name="_Toc141874397"/>
      <w:r>
        <w:rPr>
          <w:rFonts w:hint="eastAsia"/>
        </w:rPr>
        <w:t>用户实时流速</w:t>
      </w:r>
      <w:bookmarkEnd w:id="398"/>
      <w:bookmarkEnd w:id="399"/>
    </w:p>
    <w:p w14:paraId="524D3F28">
      <w:pPr>
        <w:spacing w:before="79" w:after="79"/>
      </w:pPr>
      <w:r>
        <w:drawing>
          <wp:inline distT="0" distB="0" distL="114300" distR="114300">
            <wp:extent cx="5400040" cy="1777365"/>
            <wp:effectExtent l="0" t="0" r="0" b="0"/>
            <wp:docPr id="98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图片 49"/>
                    <pic:cNvPicPr>
                      <a:picLocks noChangeAspect="1"/>
                    </pic:cNvPicPr>
                  </pic:nvPicPr>
                  <pic:blipFill>
                    <a:blip r:embed="rId76"/>
                    <a:stretch>
                      <a:fillRect/>
                    </a:stretch>
                  </pic:blipFill>
                  <pic:spPr>
                    <a:xfrm>
                      <a:off x="0" y="0"/>
                      <a:ext cx="5400040" cy="1777776"/>
                    </a:xfrm>
                    <a:prstGeom prst="rect">
                      <a:avLst/>
                    </a:prstGeom>
                    <a:noFill/>
                    <a:ln>
                      <a:noFill/>
                    </a:ln>
                  </pic:spPr>
                </pic:pic>
              </a:graphicData>
            </a:graphic>
          </wp:inline>
        </w:drawing>
      </w:r>
    </w:p>
    <w:p w14:paraId="787CC0FD"/>
    <w:p w14:paraId="6504937B">
      <w:r>
        <w:rPr>
          <w:rFonts w:hint="eastAsia"/>
        </w:rPr>
        <w:t>对设备用户实时流速的详细说明如</w:t>
      </w:r>
      <w:r>
        <w:fldChar w:fldCharType="begin"/>
      </w:r>
      <w:r>
        <w:instrText xml:space="preserve"> REF _Ref4490559 \r \h </w:instrText>
      </w:r>
      <w:r>
        <w:fldChar w:fldCharType="separate"/>
      </w:r>
      <w:r>
        <w:rPr>
          <w:rFonts w:hint="eastAsia"/>
        </w:rPr>
        <w:t>表4-1</w:t>
      </w:r>
      <w:r>
        <w:fldChar w:fldCharType="end"/>
      </w:r>
      <w:r>
        <w:rPr>
          <w:rFonts w:hint="eastAsia"/>
        </w:rPr>
        <w:t>所示。</w:t>
      </w:r>
    </w:p>
    <w:p w14:paraId="7B9AD356">
      <w:pPr>
        <w:pStyle w:val="183"/>
      </w:pPr>
      <w:bookmarkStart w:id="400" w:name="_Toc141875379"/>
      <w:bookmarkStart w:id="401" w:name="_Ref4490559"/>
      <w:r>
        <w:rPr>
          <w:rFonts w:hint="eastAsia"/>
        </w:rPr>
        <w:t>用户实时流速说明</w:t>
      </w:r>
      <w:bookmarkEnd w:id="400"/>
      <w:bookmarkEnd w:id="401"/>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85"/>
        <w:gridCol w:w="6529"/>
      </w:tblGrid>
      <w:tr w14:paraId="35431A3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tcBorders>
              <w:tl2br w:val="nil"/>
              <w:tr2bl w:val="nil"/>
            </w:tcBorders>
            <w:shd w:val="clear" w:color="auto" w:fill="538135" w:themeFill="accent6" w:themeFillShade="BF"/>
            <w:vAlign w:val="center"/>
          </w:tcPr>
          <w:p w14:paraId="7DAA7B88">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29" w:type="dxa"/>
            <w:tcBorders>
              <w:tl2br w:val="nil"/>
              <w:tr2bl w:val="nil"/>
            </w:tcBorders>
            <w:shd w:val="clear" w:color="auto" w:fill="538135" w:themeFill="accent6" w:themeFillShade="BF"/>
            <w:vAlign w:val="center"/>
          </w:tcPr>
          <w:p w14:paraId="105202D3">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934265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6A518758">
            <w:pPr>
              <w:pStyle w:val="186"/>
              <w:widowControl w:val="0"/>
              <w:spacing w:line="240" w:lineRule="auto"/>
              <w:ind w:firstLine="0"/>
              <w:jc w:val="left"/>
            </w:pPr>
            <w:r>
              <w:rPr>
                <w:rFonts w:hint="eastAsia"/>
              </w:rPr>
              <w:t>用户名</w:t>
            </w:r>
          </w:p>
        </w:tc>
        <w:tc>
          <w:tcPr>
            <w:tcW w:w="6529" w:type="dxa"/>
            <w:shd w:val="clear" w:color="auto" w:fill="auto"/>
          </w:tcPr>
          <w:p w14:paraId="54C2333A">
            <w:pPr>
              <w:pStyle w:val="186"/>
              <w:widowControl w:val="0"/>
              <w:spacing w:line="240" w:lineRule="auto"/>
              <w:ind w:firstLine="0"/>
              <w:jc w:val="left"/>
            </w:pPr>
            <w:r>
              <w:rPr>
                <w:rFonts w:hint="eastAsia"/>
              </w:rPr>
              <w:t>通过设备上网的用户名称</w:t>
            </w:r>
          </w:p>
        </w:tc>
      </w:tr>
      <w:tr w14:paraId="559C24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20B0A603">
            <w:pPr>
              <w:pStyle w:val="186"/>
              <w:widowControl w:val="0"/>
              <w:spacing w:line="240" w:lineRule="auto"/>
              <w:ind w:firstLine="0"/>
              <w:jc w:val="left"/>
            </w:pPr>
            <w:r>
              <w:rPr>
                <w:rFonts w:hint="eastAsia"/>
              </w:rPr>
              <w:t>所属组</w:t>
            </w:r>
          </w:p>
        </w:tc>
        <w:tc>
          <w:tcPr>
            <w:tcW w:w="6529" w:type="dxa"/>
            <w:shd w:val="clear" w:color="auto" w:fill="auto"/>
          </w:tcPr>
          <w:p w14:paraId="33DD8DF8">
            <w:pPr>
              <w:pStyle w:val="186"/>
              <w:widowControl w:val="0"/>
              <w:spacing w:line="240" w:lineRule="auto"/>
              <w:ind w:firstLine="0"/>
              <w:jc w:val="left"/>
            </w:pPr>
            <w:r>
              <w:rPr>
                <w:rFonts w:hint="eastAsia"/>
              </w:rPr>
              <w:t>通过设备上网的用户所属的组</w:t>
            </w:r>
          </w:p>
        </w:tc>
      </w:tr>
      <w:tr w14:paraId="4BA402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623158A8">
            <w:pPr>
              <w:pStyle w:val="186"/>
              <w:widowControl w:val="0"/>
              <w:spacing w:line="240" w:lineRule="auto"/>
              <w:ind w:firstLine="0"/>
              <w:jc w:val="left"/>
              <w:rPr>
                <w:rFonts w:ascii="宋体" w:hAnsi="宋体"/>
              </w:rPr>
            </w:pPr>
            <w:r>
              <w:rPr>
                <w:rFonts w:hint="eastAsia"/>
              </w:rPr>
              <w:t>上行速率</w:t>
            </w:r>
          </w:p>
        </w:tc>
        <w:tc>
          <w:tcPr>
            <w:tcW w:w="6529" w:type="dxa"/>
            <w:shd w:val="clear" w:color="auto" w:fill="auto"/>
          </w:tcPr>
          <w:p w14:paraId="1A22FF2C">
            <w:pPr>
              <w:pStyle w:val="186"/>
              <w:widowControl w:val="0"/>
              <w:spacing w:line="240" w:lineRule="auto"/>
              <w:ind w:firstLine="0"/>
              <w:jc w:val="left"/>
              <w:rPr>
                <w:rFonts w:ascii="宋体" w:hAnsi="宋体"/>
              </w:rPr>
            </w:pPr>
            <w:r>
              <w:rPr>
                <w:rFonts w:hint="eastAsia"/>
              </w:rPr>
              <w:t>显示该用户当前上行流速大小</w:t>
            </w:r>
          </w:p>
        </w:tc>
      </w:tr>
      <w:tr w14:paraId="595579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6DF3F486">
            <w:pPr>
              <w:pStyle w:val="186"/>
              <w:widowControl w:val="0"/>
              <w:spacing w:line="240" w:lineRule="auto"/>
              <w:ind w:firstLine="0"/>
              <w:jc w:val="left"/>
            </w:pPr>
            <w:r>
              <w:rPr>
                <w:rFonts w:hint="eastAsia"/>
              </w:rPr>
              <w:t>下行速率</w:t>
            </w:r>
          </w:p>
        </w:tc>
        <w:tc>
          <w:tcPr>
            <w:tcW w:w="6529" w:type="dxa"/>
            <w:shd w:val="clear" w:color="auto" w:fill="auto"/>
          </w:tcPr>
          <w:p w14:paraId="42F8AEC4">
            <w:pPr>
              <w:pStyle w:val="186"/>
              <w:widowControl w:val="0"/>
              <w:spacing w:line="240" w:lineRule="auto"/>
              <w:ind w:firstLine="0"/>
              <w:jc w:val="left"/>
            </w:pPr>
            <w:r>
              <w:rPr>
                <w:rFonts w:hint="eastAsia"/>
              </w:rPr>
              <w:t>显示该用户当前下行流速大小</w:t>
            </w:r>
          </w:p>
        </w:tc>
      </w:tr>
      <w:tr w14:paraId="1E349A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3F18B914">
            <w:pPr>
              <w:pStyle w:val="186"/>
              <w:widowControl w:val="0"/>
              <w:spacing w:line="240" w:lineRule="auto"/>
              <w:ind w:firstLine="0"/>
              <w:jc w:val="left"/>
            </w:pPr>
            <w:r>
              <w:rPr>
                <w:rFonts w:hint="eastAsia"/>
              </w:rPr>
              <w:t>总流速</w:t>
            </w:r>
          </w:p>
        </w:tc>
        <w:tc>
          <w:tcPr>
            <w:tcW w:w="6529" w:type="dxa"/>
            <w:shd w:val="clear" w:color="auto" w:fill="auto"/>
          </w:tcPr>
          <w:p w14:paraId="32811CA4">
            <w:pPr>
              <w:pStyle w:val="186"/>
              <w:widowControl w:val="0"/>
              <w:spacing w:line="240" w:lineRule="auto"/>
              <w:ind w:firstLine="0"/>
              <w:jc w:val="left"/>
            </w:pPr>
            <w:r>
              <w:rPr>
                <w:rFonts w:hint="eastAsia"/>
              </w:rPr>
              <w:t>显示该用户当前上下行总流速大小</w:t>
            </w:r>
          </w:p>
        </w:tc>
      </w:tr>
      <w:tr w14:paraId="2720E5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6313CDDC">
            <w:pPr>
              <w:pStyle w:val="186"/>
              <w:widowControl w:val="0"/>
              <w:spacing w:line="240" w:lineRule="auto"/>
              <w:ind w:firstLine="0"/>
              <w:jc w:val="left"/>
            </w:pPr>
            <w:r>
              <w:rPr>
                <w:rFonts w:hint="eastAsia"/>
              </w:rPr>
              <w:t>当前会话数</w:t>
            </w:r>
          </w:p>
        </w:tc>
        <w:tc>
          <w:tcPr>
            <w:tcW w:w="6529" w:type="dxa"/>
            <w:shd w:val="clear" w:color="auto" w:fill="auto"/>
          </w:tcPr>
          <w:p w14:paraId="09CD6178">
            <w:pPr>
              <w:pStyle w:val="186"/>
              <w:widowControl w:val="0"/>
              <w:spacing w:line="240" w:lineRule="auto"/>
              <w:ind w:firstLine="0"/>
              <w:jc w:val="left"/>
            </w:pPr>
            <w:r>
              <w:rPr>
                <w:rFonts w:hint="eastAsia"/>
              </w:rPr>
              <w:t>显示该用户当前会话数</w:t>
            </w:r>
          </w:p>
        </w:tc>
      </w:tr>
    </w:tbl>
    <w:p w14:paraId="340A8BDA"/>
    <w:p w14:paraId="13A3F6DA">
      <w:r>
        <w:rPr>
          <w:rFonts w:hint="eastAsia"/>
        </w:rPr>
        <w:t>点击“用户实时流速”里面的用户名列里面的用户名称，进入对应用户流量详细信息页面，如</w:t>
      </w:r>
      <w:r>
        <w:fldChar w:fldCharType="begin"/>
      </w:r>
      <w:r>
        <w:instrText xml:space="preserve"> </w:instrText>
      </w:r>
      <w:r>
        <w:rPr>
          <w:rFonts w:hint="eastAsia"/>
        </w:rPr>
        <w:instrText xml:space="preserve">REF _Ref5211324 \r \h</w:instrText>
      </w:r>
      <w:r>
        <w:instrText xml:space="preserve"> </w:instrText>
      </w:r>
      <w:r>
        <w:fldChar w:fldCharType="separate"/>
      </w:r>
      <w:r>
        <w:rPr>
          <w:rFonts w:hint="eastAsia"/>
        </w:rPr>
        <w:t>图3-14</w:t>
      </w:r>
      <w:r>
        <w:fldChar w:fldCharType="end"/>
      </w:r>
      <w:r>
        <w:t>所示</w:t>
      </w:r>
      <w:r>
        <w:rPr>
          <w:rFonts w:hint="eastAsia"/>
        </w:rPr>
        <w:t>。</w:t>
      </w:r>
    </w:p>
    <w:p w14:paraId="1441B5B5">
      <w:pPr>
        <w:pStyle w:val="6"/>
      </w:pPr>
      <w:bookmarkStart w:id="402" w:name="_Toc4491532"/>
      <w:bookmarkEnd w:id="402"/>
      <w:bookmarkStart w:id="403" w:name="_Toc4742848"/>
      <w:bookmarkEnd w:id="403"/>
      <w:bookmarkStart w:id="404" w:name="_Toc5126237"/>
      <w:bookmarkEnd w:id="404"/>
      <w:bookmarkStart w:id="405" w:name="_Toc5208329"/>
      <w:bookmarkEnd w:id="405"/>
      <w:bookmarkStart w:id="406" w:name="_Toc5181451"/>
      <w:bookmarkEnd w:id="406"/>
      <w:bookmarkStart w:id="407" w:name="_Toc5182424"/>
      <w:bookmarkEnd w:id="407"/>
      <w:bookmarkStart w:id="408" w:name="_Toc11342775"/>
      <w:r>
        <w:rPr>
          <w:rFonts w:hint="eastAsia"/>
        </w:rPr>
        <w:t>应用实时流速</w:t>
      </w:r>
      <w:bookmarkEnd w:id="408"/>
    </w:p>
    <w:p w14:paraId="37E4902F">
      <w:r>
        <w:rPr>
          <w:rFonts w:hint="eastAsia"/>
        </w:rPr>
        <w:t>在导航栏中选择“数据中心&gt;系统监控&gt;实时流速监控”进入应用实时流速页面，如</w:t>
      </w:r>
      <w:r>
        <w:rPr>
          <w:color w:val="0000FF"/>
          <w:u w:val="single"/>
        </w:rPr>
        <w:fldChar w:fldCharType="begin"/>
      </w:r>
      <w:r>
        <w:rPr>
          <w:color w:val="0000FF"/>
          <w:u w:val="single"/>
        </w:rPr>
        <w:instrText xml:space="preserve"> REF _Ref4490615 \r \h </w:instrText>
      </w:r>
      <w:r>
        <w:rPr>
          <w:color w:val="0000FF"/>
          <w:u w:val="single"/>
        </w:rPr>
        <w:fldChar w:fldCharType="separate"/>
      </w:r>
      <w:r>
        <w:rPr>
          <w:rFonts w:hint="eastAsia"/>
          <w:color w:val="0000FF"/>
          <w:u w:val="single"/>
        </w:rPr>
        <w:t>图4-19</w:t>
      </w:r>
      <w:r>
        <w:rPr>
          <w:color w:val="0000FF"/>
          <w:u w:val="single"/>
        </w:rPr>
        <w:fldChar w:fldCharType="end"/>
      </w:r>
      <w:r>
        <w:rPr>
          <w:rFonts w:hint="eastAsia"/>
        </w:rPr>
        <w:t>所示。</w:t>
      </w:r>
    </w:p>
    <w:p w14:paraId="567C3417">
      <w:pPr>
        <w:pStyle w:val="188"/>
      </w:pPr>
      <w:bookmarkStart w:id="409" w:name="_Ref4490615"/>
      <w:bookmarkStart w:id="410" w:name="_Toc141874398"/>
      <w:r>
        <w:rPr>
          <w:rFonts w:hint="eastAsia"/>
        </w:rPr>
        <w:t>应用实时流速</w:t>
      </w:r>
      <w:bookmarkEnd w:id="409"/>
      <w:bookmarkEnd w:id="410"/>
    </w:p>
    <w:p w14:paraId="75E72819">
      <w:pPr>
        <w:spacing w:before="79" w:after="79"/>
      </w:pPr>
      <w:r>
        <w:drawing>
          <wp:inline distT="0" distB="0" distL="0" distR="0">
            <wp:extent cx="5124450" cy="1901190"/>
            <wp:effectExtent l="0" t="0" r="0" b="3810"/>
            <wp:docPr id="1802027895" name="图片 1802027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95" name="图片 1802027895"/>
                    <pic:cNvPicPr>
                      <a:picLocks noChangeAspect="1"/>
                    </pic:cNvPicPr>
                  </pic:nvPicPr>
                  <pic:blipFill>
                    <a:blip r:embed="rId77"/>
                    <a:stretch>
                      <a:fillRect/>
                    </a:stretch>
                  </pic:blipFill>
                  <pic:spPr>
                    <a:xfrm>
                      <a:off x="0" y="0"/>
                      <a:ext cx="5143159" cy="1908610"/>
                    </a:xfrm>
                    <a:prstGeom prst="rect">
                      <a:avLst/>
                    </a:prstGeom>
                  </pic:spPr>
                </pic:pic>
              </a:graphicData>
            </a:graphic>
          </wp:inline>
        </w:drawing>
      </w:r>
    </w:p>
    <w:p w14:paraId="3FFA4DCE"/>
    <w:p w14:paraId="0087A218">
      <w:r>
        <w:rPr>
          <w:rFonts w:hint="eastAsia"/>
        </w:rPr>
        <w:t>对设备应用实时流速的详细说明如</w:t>
      </w:r>
      <w:r>
        <w:fldChar w:fldCharType="begin"/>
      </w:r>
      <w:r>
        <w:instrText xml:space="preserve"> REF _Ref4490636 \r \h </w:instrText>
      </w:r>
      <w:r>
        <w:fldChar w:fldCharType="separate"/>
      </w:r>
      <w:r>
        <w:rPr>
          <w:rFonts w:hint="eastAsia"/>
        </w:rPr>
        <w:t>表4-1</w:t>
      </w:r>
      <w:r>
        <w:fldChar w:fldCharType="end"/>
      </w:r>
      <w:r>
        <w:rPr>
          <w:rFonts w:hint="eastAsia"/>
        </w:rPr>
        <w:t>所示。</w:t>
      </w:r>
    </w:p>
    <w:p w14:paraId="6E62266B">
      <w:pPr>
        <w:pStyle w:val="183"/>
      </w:pPr>
      <w:bookmarkStart w:id="411" w:name="_Ref4490636"/>
      <w:bookmarkStart w:id="412" w:name="_Toc141875380"/>
      <w:r>
        <w:rPr>
          <w:rFonts w:hint="eastAsia"/>
        </w:rPr>
        <w:t>应用实时流速说明</w:t>
      </w:r>
      <w:bookmarkEnd w:id="411"/>
      <w:bookmarkEnd w:id="412"/>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85"/>
        <w:gridCol w:w="6529"/>
      </w:tblGrid>
      <w:tr w14:paraId="0AC787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tcBorders>
              <w:tl2br w:val="nil"/>
              <w:tr2bl w:val="nil"/>
            </w:tcBorders>
            <w:shd w:val="clear" w:color="auto" w:fill="538135" w:themeFill="accent6" w:themeFillShade="BF"/>
            <w:vAlign w:val="center"/>
          </w:tcPr>
          <w:p w14:paraId="4668BD73">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29" w:type="dxa"/>
            <w:tcBorders>
              <w:tl2br w:val="nil"/>
              <w:tr2bl w:val="nil"/>
            </w:tcBorders>
            <w:shd w:val="clear" w:color="auto" w:fill="538135" w:themeFill="accent6" w:themeFillShade="BF"/>
            <w:vAlign w:val="center"/>
          </w:tcPr>
          <w:p w14:paraId="3B38BD6B">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70C09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23983EAE">
            <w:pPr>
              <w:pStyle w:val="186"/>
              <w:widowControl w:val="0"/>
              <w:spacing w:line="240" w:lineRule="auto"/>
              <w:ind w:firstLine="0"/>
              <w:jc w:val="left"/>
            </w:pPr>
            <w:r>
              <w:rPr>
                <w:rFonts w:hint="eastAsia"/>
              </w:rPr>
              <w:t>应用名</w:t>
            </w:r>
          </w:p>
        </w:tc>
        <w:tc>
          <w:tcPr>
            <w:tcW w:w="6529" w:type="dxa"/>
            <w:shd w:val="clear" w:color="auto" w:fill="auto"/>
          </w:tcPr>
          <w:p w14:paraId="22A96172">
            <w:pPr>
              <w:pStyle w:val="186"/>
              <w:widowControl w:val="0"/>
              <w:spacing w:line="240" w:lineRule="auto"/>
              <w:ind w:firstLine="0"/>
              <w:jc w:val="left"/>
            </w:pPr>
            <w:r>
              <w:rPr>
                <w:rFonts w:hint="eastAsia"/>
              </w:rPr>
              <w:t>应用名称</w:t>
            </w:r>
          </w:p>
        </w:tc>
      </w:tr>
      <w:tr w14:paraId="246FC3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03E046C7">
            <w:pPr>
              <w:pStyle w:val="186"/>
              <w:widowControl w:val="0"/>
              <w:spacing w:line="240" w:lineRule="auto"/>
              <w:ind w:firstLine="0"/>
              <w:jc w:val="left"/>
            </w:pPr>
            <w:r>
              <w:rPr>
                <w:rFonts w:hint="eastAsia"/>
              </w:rPr>
              <w:t>上行速率</w:t>
            </w:r>
          </w:p>
        </w:tc>
        <w:tc>
          <w:tcPr>
            <w:tcW w:w="6529" w:type="dxa"/>
            <w:shd w:val="clear" w:color="auto" w:fill="auto"/>
          </w:tcPr>
          <w:p w14:paraId="4E080334">
            <w:pPr>
              <w:pStyle w:val="186"/>
              <w:widowControl w:val="0"/>
              <w:spacing w:line="240" w:lineRule="auto"/>
              <w:ind w:firstLine="0"/>
              <w:jc w:val="left"/>
            </w:pPr>
            <w:r>
              <w:rPr>
                <w:rFonts w:hint="eastAsia"/>
              </w:rPr>
              <w:t>显示该应用当前上行流速大小</w:t>
            </w:r>
          </w:p>
        </w:tc>
      </w:tr>
      <w:tr w14:paraId="3073E3B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6EAF9906">
            <w:pPr>
              <w:pStyle w:val="186"/>
              <w:widowControl w:val="0"/>
              <w:spacing w:line="240" w:lineRule="auto"/>
              <w:ind w:firstLine="0"/>
              <w:jc w:val="left"/>
            </w:pPr>
            <w:r>
              <w:rPr>
                <w:rFonts w:hint="eastAsia"/>
              </w:rPr>
              <w:t>下行速率</w:t>
            </w:r>
          </w:p>
        </w:tc>
        <w:tc>
          <w:tcPr>
            <w:tcW w:w="6529" w:type="dxa"/>
            <w:shd w:val="clear" w:color="auto" w:fill="auto"/>
          </w:tcPr>
          <w:p w14:paraId="618E7037">
            <w:pPr>
              <w:pStyle w:val="186"/>
              <w:widowControl w:val="0"/>
              <w:spacing w:line="240" w:lineRule="auto"/>
              <w:ind w:firstLine="0"/>
              <w:jc w:val="left"/>
            </w:pPr>
            <w:r>
              <w:rPr>
                <w:rFonts w:hint="eastAsia"/>
              </w:rPr>
              <w:t>显示该应用当前下行流速大小</w:t>
            </w:r>
          </w:p>
        </w:tc>
      </w:tr>
      <w:tr w14:paraId="1186BE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68F2E4D9">
            <w:pPr>
              <w:pStyle w:val="186"/>
              <w:widowControl w:val="0"/>
              <w:spacing w:line="240" w:lineRule="auto"/>
              <w:ind w:firstLine="0"/>
              <w:jc w:val="left"/>
            </w:pPr>
            <w:r>
              <w:rPr>
                <w:rFonts w:hint="eastAsia"/>
              </w:rPr>
              <w:t>总流速</w:t>
            </w:r>
          </w:p>
        </w:tc>
        <w:tc>
          <w:tcPr>
            <w:tcW w:w="6529" w:type="dxa"/>
            <w:shd w:val="clear" w:color="auto" w:fill="auto"/>
          </w:tcPr>
          <w:p w14:paraId="49425A15">
            <w:pPr>
              <w:pStyle w:val="186"/>
              <w:widowControl w:val="0"/>
              <w:spacing w:line="240" w:lineRule="auto"/>
              <w:ind w:firstLine="0"/>
              <w:jc w:val="left"/>
            </w:pPr>
            <w:r>
              <w:rPr>
                <w:rFonts w:hint="eastAsia"/>
              </w:rPr>
              <w:t>显示该应用当前上下行总流速大小</w:t>
            </w:r>
          </w:p>
        </w:tc>
      </w:tr>
      <w:tr w14:paraId="7BBD65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7938E468">
            <w:pPr>
              <w:pStyle w:val="186"/>
              <w:widowControl w:val="0"/>
              <w:spacing w:line="240" w:lineRule="auto"/>
              <w:ind w:firstLine="0"/>
              <w:jc w:val="left"/>
            </w:pPr>
            <w:r>
              <w:rPr>
                <w:rFonts w:hint="eastAsia"/>
              </w:rPr>
              <w:t>当前会话数</w:t>
            </w:r>
          </w:p>
        </w:tc>
        <w:tc>
          <w:tcPr>
            <w:tcW w:w="6529" w:type="dxa"/>
            <w:shd w:val="clear" w:color="auto" w:fill="auto"/>
          </w:tcPr>
          <w:p w14:paraId="169F639E">
            <w:pPr>
              <w:pStyle w:val="186"/>
              <w:widowControl w:val="0"/>
              <w:spacing w:line="240" w:lineRule="auto"/>
              <w:ind w:firstLine="0"/>
              <w:jc w:val="left"/>
            </w:pPr>
            <w:r>
              <w:rPr>
                <w:rFonts w:hint="eastAsia"/>
              </w:rPr>
              <w:t>显示该应用当前会话数</w:t>
            </w:r>
          </w:p>
        </w:tc>
      </w:tr>
    </w:tbl>
    <w:p w14:paraId="2BE666C5"/>
    <w:p w14:paraId="41016038">
      <w:r>
        <w:rPr>
          <w:rFonts w:hint="eastAsia"/>
        </w:rPr>
        <w:t>点击“应用实时流速”列表应用名列的应用名称，进入对应应用流量显示的详细页面，如</w:t>
      </w:r>
      <w:r>
        <w:fldChar w:fldCharType="begin"/>
      </w:r>
      <w:r>
        <w:instrText xml:space="preserve"> REF _Ref4490715 \r \h </w:instrText>
      </w:r>
      <w:r>
        <w:fldChar w:fldCharType="separate"/>
      </w:r>
      <w:r>
        <w:rPr>
          <w:rFonts w:hint="eastAsia"/>
        </w:rPr>
        <w:t>图4-20</w:t>
      </w:r>
      <w:r>
        <w:fldChar w:fldCharType="end"/>
      </w:r>
      <w:r>
        <w:rPr>
          <w:rFonts w:hint="eastAsia"/>
        </w:rPr>
        <w:t>所示。</w:t>
      </w:r>
    </w:p>
    <w:p w14:paraId="6CD51736">
      <w:pPr>
        <w:pStyle w:val="188"/>
      </w:pPr>
      <w:bookmarkStart w:id="413" w:name="_Ref4490715"/>
      <w:bookmarkStart w:id="414" w:name="_Toc141874399"/>
      <w:r>
        <w:rPr>
          <w:rFonts w:hint="eastAsia"/>
        </w:rPr>
        <w:t>单个应用统计详细信息</w:t>
      </w:r>
      <w:bookmarkEnd w:id="413"/>
      <w:bookmarkEnd w:id="414"/>
    </w:p>
    <w:p w14:paraId="45E86EC6">
      <w:pPr>
        <w:spacing w:before="79" w:after="79"/>
      </w:pPr>
      <w:r>
        <w:drawing>
          <wp:inline distT="0" distB="0" distL="0" distR="0">
            <wp:extent cx="4953000" cy="1791970"/>
            <wp:effectExtent l="0" t="0" r="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78"/>
                    <a:stretch>
                      <a:fillRect/>
                    </a:stretch>
                  </pic:blipFill>
                  <pic:spPr>
                    <a:xfrm>
                      <a:off x="0" y="0"/>
                      <a:ext cx="5002440" cy="1810199"/>
                    </a:xfrm>
                    <a:prstGeom prst="rect">
                      <a:avLst/>
                    </a:prstGeom>
                  </pic:spPr>
                </pic:pic>
              </a:graphicData>
            </a:graphic>
          </wp:inline>
        </w:drawing>
      </w:r>
    </w:p>
    <w:p w14:paraId="00EE7B06">
      <w:pPr>
        <w:spacing w:before="79" w:after="79"/>
      </w:pPr>
      <w:r>
        <w:drawing>
          <wp:inline distT="0" distB="0" distL="0" distR="0">
            <wp:extent cx="5019675" cy="1975485"/>
            <wp:effectExtent l="0" t="0" r="0" b="571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79"/>
                    <a:stretch>
                      <a:fillRect/>
                    </a:stretch>
                  </pic:blipFill>
                  <pic:spPr>
                    <a:xfrm>
                      <a:off x="0" y="0"/>
                      <a:ext cx="5035035" cy="1981837"/>
                    </a:xfrm>
                    <a:prstGeom prst="rect">
                      <a:avLst/>
                    </a:prstGeom>
                  </pic:spPr>
                </pic:pic>
              </a:graphicData>
            </a:graphic>
          </wp:inline>
        </w:drawing>
      </w:r>
    </w:p>
    <w:p w14:paraId="57F24788"/>
    <w:p w14:paraId="04AF08A6">
      <w:r>
        <w:rPr>
          <w:rFonts w:hint="eastAsia"/>
        </w:rPr>
        <w:t>对单个应用流量统计的详细说明如</w:t>
      </w:r>
      <w:r>
        <w:fldChar w:fldCharType="begin"/>
      </w:r>
      <w:r>
        <w:instrText xml:space="preserve"> REF _Ref4491330 \r \h </w:instrText>
      </w:r>
      <w:r>
        <w:fldChar w:fldCharType="separate"/>
      </w:r>
      <w:r>
        <w:rPr>
          <w:rFonts w:hint="eastAsia"/>
        </w:rPr>
        <w:t>表4-1</w:t>
      </w:r>
      <w:r>
        <w:fldChar w:fldCharType="end"/>
      </w:r>
      <w:r>
        <w:rPr>
          <w:rFonts w:hint="eastAsia"/>
        </w:rPr>
        <w:t>所示。</w:t>
      </w:r>
    </w:p>
    <w:p w14:paraId="49EB77E2">
      <w:pPr>
        <w:pStyle w:val="183"/>
      </w:pPr>
      <w:bookmarkStart w:id="415" w:name="_Toc141875381"/>
      <w:bookmarkStart w:id="416" w:name="_Ref4491330"/>
      <w:r>
        <w:rPr>
          <w:rFonts w:hint="eastAsia"/>
        </w:rPr>
        <w:t>单个应用流量统计说明</w:t>
      </w:r>
      <w:bookmarkEnd w:id="415"/>
      <w:bookmarkEnd w:id="416"/>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85"/>
        <w:gridCol w:w="6529"/>
      </w:tblGrid>
      <w:tr w14:paraId="7AD29B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tcBorders>
              <w:tl2br w:val="nil"/>
              <w:tr2bl w:val="nil"/>
            </w:tcBorders>
            <w:shd w:val="clear" w:color="auto" w:fill="538135" w:themeFill="accent6" w:themeFillShade="BF"/>
            <w:vAlign w:val="center"/>
          </w:tcPr>
          <w:p w14:paraId="6963000D">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29" w:type="dxa"/>
            <w:tcBorders>
              <w:tl2br w:val="nil"/>
              <w:tr2bl w:val="nil"/>
            </w:tcBorders>
            <w:shd w:val="clear" w:color="auto" w:fill="538135" w:themeFill="accent6" w:themeFillShade="BF"/>
            <w:vAlign w:val="center"/>
          </w:tcPr>
          <w:p w14:paraId="1605E298">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71876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7CB615CA">
            <w:pPr>
              <w:pStyle w:val="186"/>
              <w:widowControl w:val="0"/>
              <w:spacing w:line="240" w:lineRule="auto"/>
              <w:ind w:firstLine="0"/>
              <w:jc w:val="left"/>
            </w:pPr>
            <w:r>
              <w:rPr>
                <w:rFonts w:hint="eastAsia"/>
              </w:rPr>
              <w:t>用户名</w:t>
            </w:r>
          </w:p>
        </w:tc>
        <w:tc>
          <w:tcPr>
            <w:tcW w:w="6529" w:type="dxa"/>
            <w:shd w:val="clear" w:color="auto" w:fill="auto"/>
          </w:tcPr>
          <w:p w14:paraId="706ED619">
            <w:pPr>
              <w:pStyle w:val="186"/>
              <w:widowControl w:val="0"/>
              <w:spacing w:line="240" w:lineRule="auto"/>
              <w:ind w:firstLine="0"/>
              <w:jc w:val="left"/>
            </w:pPr>
            <w:r>
              <w:rPr>
                <w:rFonts w:hint="eastAsia"/>
              </w:rPr>
              <w:t>用户名称</w:t>
            </w:r>
          </w:p>
        </w:tc>
      </w:tr>
      <w:tr w14:paraId="76BE8E1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308E36A6">
            <w:pPr>
              <w:pStyle w:val="186"/>
              <w:widowControl w:val="0"/>
              <w:spacing w:line="240" w:lineRule="auto"/>
              <w:ind w:firstLine="0"/>
              <w:jc w:val="left"/>
            </w:pPr>
            <w:r>
              <w:rPr>
                <w:rFonts w:hint="eastAsia"/>
              </w:rPr>
              <w:t>上行速率</w:t>
            </w:r>
          </w:p>
        </w:tc>
        <w:tc>
          <w:tcPr>
            <w:tcW w:w="6529" w:type="dxa"/>
            <w:shd w:val="clear" w:color="auto" w:fill="auto"/>
          </w:tcPr>
          <w:p w14:paraId="5AD349AE">
            <w:pPr>
              <w:pStyle w:val="186"/>
              <w:widowControl w:val="0"/>
              <w:spacing w:line="240" w:lineRule="auto"/>
              <w:ind w:firstLine="0"/>
              <w:jc w:val="left"/>
            </w:pPr>
            <w:r>
              <w:rPr>
                <w:rFonts w:hint="eastAsia"/>
              </w:rPr>
              <w:t>应用的单个用户上行速率</w:t>
            </w:r>
          </w:p>
        </w:tc>
      </w:tr>
      <w:tr w14:paraId="5F33C9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075D3E08">
            <w:pPr>
              <w:pStyle w:val="186"/>
              <w:widowControl w:val="0"/>
              <w:spacing w:line="240" w:lineRule="auto"/>
              <w:ind w:firstLine="0"/>
              <w:jc w:val="left"/>
            </w:pPr>
            <w:r>
              <w:rPr>
                <w:rFonts w:hint="eastAsia"/>
              </w:rPr>
              <w:t>下行速率</w:t>
            </w:r>
          </w:p>
        </w:tc>
        <w:tc>
          <w:tcPr>
            <w:tcW w:w="6529" w:type="dxa"/>
            <w:shd w:val="clear" w:color="auto" w:fill="auto"/>
          </w:tcPr>
          <w:p w14:paraId="1F216531">
            <w:pPr>
              <w:pStyle w:val="186"/>
              <w:widowControl w:val="0"/>
              <w:spacing w:line="240" w:lineRule="auto"/>
              <w:ind w:firstLine="0"/>
              <w:jc w:val="left"/>
            </w:pPr>
            <w:r>
              <w:rPr>
                <w:rFonts w:hint="eastAsia"/>
              </w:rPr>
              <w:t>应用的单个用户下行速率</w:t>
            </w:r>
          </w:p>
        </w:tc>
      </w:tr>
      <w:tr w14:paraId="6E28754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60CD4A50">
            <w:pPr>
              <w:pStyle w:val="186"/>
              <w:widowControl w:val="0"/>
              <w:spacing w:line="240" w:lineRule="auto"/>
              <w:ind w:firstLine="0"/>
              <w:jc w:val="left"/>
            </w:pPr>
            <w:r>
              <w:rPr>
                <w:rFonts w:hint="eastAsia"/>
              </w:rPr>
              <w:t>总流量</w:t>
            </w:r>
          </w:p>
        </w:tc>
        <w:tc>
          <w:tcPr>
            <w:tcW w:w="6529" w:type="dxa"/>
            <w:shd w:val="clear" w:color="auto" w:fill="auto"/>
          </w:tcPr>
          <w:p w14:paraId="3EA8D60D">
            <w:pPr>
              <w:pStyle w:val="186"/>
              <w:widowControl w:val="0"/>
              <w:spacing w:line="240" w:lineRule="auto"/>
              <w:ind w:firstLine="0"/>
              <w:jc w:val="left"/>
            </w:pPr>
            <w:r>
              <w:rPr>
                <w:rFonts w:hint="eastAsia"/>
              </w:rPr>
              <w:t>应用的单个用户上下行总速率</w:t>
            </w:r>
          </w:p>
        </w:tc>
      </w:tr>
      <w:tr w14:paraId="7545369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21282CB7">
            <w:pPr>
              <w:pStyle w:val="186"/>
              <w:widowControl w:val="0"/>
              <w:spacing w:line="240" w:lineRule="auto"/>
              <w:ind w:firstLine="0"/>
              <w:jc w:val="left"/>
            </w:pPr>
            <w:r>
              <w:rPr>
                <w:rFonts w:hint="eastAsia"/>
              </w:rPr>
              <w:t>当前会话数</w:t>
            </w:r>
          </w:p>
        </w:tc>
        <w:tc>
          <w:tcPr>
            <w:tcW w:w="6529" w:type="dxa"/>
            <w:shd w:val="clear" w:color="auto" w:fill="auto"/>
          </w:tcPr>
          <w:p w14:paraId="1D482F24">
            <w:pPr>
              <w:pStyle w:val="186"/>
              <w:widowControl w:val="0"/>
              <w:spacing w:line="240" w:lineRule="auto"/>
              <w:ind w:firstLine="0"/>
              <w:jc w:val="left"/>
            </w:pPr>
            <w:r>
              <w:rPr>
                <w:rFonts w:hint="eastAsia"/>
              </w:rPr>
              <w:t>应用的单个用户当前会话数</w:t>
            </w:r>
          </w:p>
        </w:tc>
      </w:tr>
    </w:tbl>
    <w:p w14:paraId="7B4B453E">
      <w:bookmarkStart w:id="417" w:name="_Toc11342776"/>
    </w:p>
    <w:p w14:paraId="11AC635F">
      <w:pPr>
        <w:pStyle w:val="5"/>
      </w:pPr>
      <w:bookmarkStart w:id="418" w:name="_Toc196727946"/>
      <w:bookmarkStart w:id="419" w:name="_Toc58505560"/>
      <w:bookmarkStart w:id="420" w:name="_Toc194080613"/>
      <w:bookmarkStart w:id="421" w:name="_Toc58603598"/>
      <w:bookmarkStart w:id="422" w:name="_Toc70414995"/>
      <w:bookmarkStart w:id="423" w:name="_Toc172218387"/>
      <w:bookmarkStart w:id="424" w:name="_Toc142400765"/>
      <w:bookmarkStart w:id="425" w:name="_Toc99561302"/>
      <w:bookmarkStart w:id="426" w:name="_Toc141873252"/>
      <w:r>
        <w:rPr>
          <w:rFonts w:hint="eastAsia"/>
        </w:rPr>
        <w:t>终端资产管理</w:t>
      </w:r>
      <w:bookmarkEnd w:id="418"/>
      <w:bookmarkEnd w:id="419"/>
      <w:bookmarkEnd w:id="420"/>
      <w:bookmarkEnd w:id="421"/>
      <w:bookmarkEnd w:id="422"/>
      <w:bookmarkEnd w:id="423"/>
      <w:bookmarkEnd w:id="424"/>
      <w:bookmarkEnd w:id="425"/>
      <w:bookmarkEnd w:id="426"/>
    </w:p>
    <w:p w14:paraId="1D6CF321">
      <w:pPr>
        <w:pStyle w:val="6"/>
      </w:pPr>
      <w:bookmarkStart w:id="427" w:name="_Toc58505561"/>
      <w:bookmarkStart w:id="428" w:name="_Toc15462110"/>
      <w:bookmarkStart w:id="429" w:name="_Toc58603599"/>
      <w:bookmarkStart w:id="430" w:name="_Toc70414996"/>
      <w:bookmarkStart w:id="431" w:name="_Toc172218388"/>
      <w:r>
        <w:rPr>
          <w:rFonts w:hint="eastAsia"/>
        </w:rPr>
        <w:t>概述</w:t>
      </w:r>
      <w:bookmarkEnd w:id="427"/>
      <w:bookmarkEnd w:id="428"/>
      <w:bookmarkEnd w:id="429"/>
      <w:bookmarkEnd w:id="430"/>
      <w:bookmarkEnd w:id="431"/>
    </w:p>
    <w:p w14:paraId="77B7F4A1">
      <w:r>
        <w:rPr>
          <w:rFonts w:hint="eastAsia"/>
        </w:rPr>
        <w:t>随着物联网的不断普及与应用，网络中接入</w:t>
      </w:r>
      <w:r>
        <w:t>终端类型呈现多样化和复杂化的发展趋势</w:t>
      </w:r>
      <w:r>
        <w:rPr>
          <w:rFonts w:hint="eastAsia"/>
        </w:rPr>
        <w:t>，大量不同类型的终端接入到网络中，给内网的资产管理带来很大难度。此外，物联网设备普遍存在安全漏洞，容易被非法利用发起网络攻击，以及终端设备违规接入等问题，给内网带来极大的安全隐患。</w:t>
      </w:r>
      <w:r>
        <w:t>因此</w:t>
      </w:r>
      <w:r>
        <w:rPr>
          <w:rFonts w:hint="eastAsia"/>
        </w:rPr>
        <w:t>，</w:t>
      </w:r>
      <w:r>
        <w:t>需要对网络中的终端进行有效的安全管控</w:t>
      </w:r>
      <w:r>
        <w:rPr>
          <w:rFonts w:hint="eastAsia"/>
        </w:rPr>
        <w:t>，确保</w:t>
      </w:r>
      <w:r>
        <w:t>接入终端的安全</w:t>
      </w:r>
      <w:r>
        <w:rPr>
          <w:rFonts w:hint="eastAsia"/>
        </w:rPr>
        <w:t>、</w:t>
      </w:r>
      <w:r>
        <w:t>可控</w:t>
      </w:r>
      <w:r>
        <w:rPr>
          <w:rFonts w:hint="eastAsia"/>
        </w:rPr>
        <w:t>，从而保障网络资产的安全与稳定。</w:t>
      </w:r>
    </w:p>
    <w:p w14:paraId="6730B4CE">
      <w:r>
        <w:rPr>
          <w:rFonts w:hint="eastAsia"/>
        </w:rPr>
        <w:t>设备的终端资产管理功能，支持以资产为核心的安全监控和分析，通过资产梳理、主动风险发现、被动流量检测，帮助用户构建对</w:t>
      </w:r>
      <w:r>
        <w:t>IT</w:t>
      </w:r>
      <w:r>
        <w:rPr>
          <w:rFonts w:hint="eastAsia"/>
        </w:rPr>
        <w:t>资产实现多维度的安全分析监控。</w:t>
      </w:r>
    </w:p>
    <w:p w14:paraId="52952777">
      <w:pPr>
        <w:pStyle w:val="7"/>
      </w:pPr>
      <w:r>
        <w:t>终端资产管理的主要功能</w:t>
      </w:r>
      <w:r>
        <w:rPr>
          <w:rFonts w:hint="eastAsia"/>
        </w:rPr>
        <w:t>如下：</w:t>
      </w:r>
    </w:p>
    <w:p w14:paraId="3F17D7E6">
      <w:pPr>
        <w:pStyle w:val="202"/>
        <w:rPr>
          <w:lang w:eastAsia="zh-CN"/>
        </w:rPr>
      </w:pPr>
      <w:r>
        <w:rPr>
          <w:rFonts w:hint="eastAsia"/>
          <w:lang w:eastAsia="zh-CN"/>
        </w:rPr>
        <w:t>设备通过终端识别特征库对终端特征进行分析提取，识别终端信息，并支持特征库的在线自动升级和离线升级。</w:t>
      </w:r>
    </w:p>
    <w:p w14:paraId="10C259F7">
      <w:pPr>
        <w:pStyle w:val="202"/>
        <w:rPr>
          <w:lang w:eastAsia="zh-CN"/>
        </w:rPr>
      </w:pPr>
      <w:r>
        <w:rPr>
          <w:rFonts w:hint="eastAsia"/>
          <w:lang w:eastAsia="zh-CN"/>
        </w:rPr>
        <w:t>在终端资产列表中展示网络中终端的类型、操作系统等终端信息。</w:t>
      </w:r>
    </w:p>
    <w:p w14:paraId="0B02102E">
      <w:pPr>
        <w:pStyle w:val="202"/>
        <w:rPr>
          <w:lang w:eastAsia="zh-CN"/>
        </w:rPr>
      </w:pPr>
      <w:r>
        <w:rPr>
          <w:rFonts w:hint="eastAsia"/>
          <w:lang w:eastAsia="zh-CN"/>
        </w:rPr>
        <w:t>企业应根据自身业务需求和网络安全状况，制定合适的终端准入安全策略，确保终端设备满足企业网络安全要求。</w:t>
      </w:r>
    </w:p>
    <w:p w14:paraId="69337812">
      <w:pPr>
        <w:pStyle w:val="202"/>
        <w:rPr>
          <w:lang w:eastAsia="zh-CN"/>
        </w:rPr>
      </w:pPr>
      <w:r>
        <w:rPr>
          <w:lang w:eastAsia="zh-CN"/>
        </w:rPr>
        <w:t>可以基于识别出的终端信息</w:t>
      </w:r>
      <w:r>
        <w:rPr>
          <w:rFonts w:hint="eastAsia"/>
          <w:lang w:eastAsia="zh-CN"/>
        </w:rPr>
        <w:t>，指定相应的控制策略和审计策略，对终端设备进行安全管控。</w:t>
      </w:r>
    </w:p>
    <w:p w14:paraId="76922FB0">
      <w:r>
        <w:t>终端资产识别支持主动扫描和被动分析流量识别</w:t>
      </w:r>
      <w:r>
        <w:rPr>
          <w:rFonts w:hint="eastAsia"/>
        </w:rPr>
        <w:t>：</w:t>
      </w:r>
    </w:p>
    <w:p w14:paraId="613C7B61">
      <w:pPr>
        <w:pStyle w:val="162"/>
      </w:pPr>
      <w:r>
        <w:rPr>
          <w:rFonts w:hint="eastAsia"/>
        </w:rPr>
        <w:t>主动扫描识别：设备通过NMAP扫描终端，基于终端响应信息和终端特征库进行识别，主动发现资产，可以将扫描结果同步到资产信息中。</w:t>
      </w:r>
    </w:p>
    <w:p w14:paraId="68562F99">
      <w:pPr>
        <w:pStyle w:val="162"/>
      </w:pPr>
      <w:r>
        <w:rPr>
          <w:rFonts w:hint="eastAsia"/>
        </w:rPr>
        <w:t>被动流量识别：设备通过被动分析监控网段中的流量，并结合终端识别特征库，识别流量中的终端信息。支持基于DHCP协议进行识别。</w:t>
      </w:r>
    </w:p>
    <w:p w14:paraId="660C7B7F">
      <w:pPr>
        <w:pStyle w:val="7"/>
      </w:pPr>
      <w:r>
        <w:rPr>
          <w:rFonts w:hint="eastAsia"/>
        </w:rPr>
        <w:t>资产管理的配置思路如下：</w:t>
      </w:r>
    </w:p>
    <w:p w14:paraId="07EAA5E2">
      <w:pPr>
        <w:pStyle w:val="202"/>
        <w:numPr>
          <w:ilvl w:val="7"/>
          <w:numId w:val="21"/>
        </w:numPr>
        <w:rPr>
          <w:lang w:eastAsia="zh-CN"/>
        </w:rPr>
      </w:pPr>
      <w:r>
        <w:rPr>
          <w:rFonts w:hint="eastAsia"/>
          <w:lang w:eastAsia="zh-CN"/>
        </w:rPr>
        <w:t>开启终端资产识别和流量识别。</w:t>
      </w:r>
    </w:p>
    <w:p w14:paraId="4FEA9469">
      <w:pPr>
        <w:pStyle w:val="202"/>
      </w:pPr>
      <w:r>
        <w:rPr>
          <w:rFonts w:hint="eastAsia"/>
        </w:rPr>
        <w:t>配置扫描识别网段。</w:t>
      </w:r>
    </w:p>
    <w:p w14:paraId="754C5AA8">
      <w:pPr>
        <w:pStyle w:val="202"/>
        <w:rPr>
          <w:lang w:eastAsia="zh-CN"/>
        </w:rPr>
      </w:pPr>
      <w:r>
        <w:rPr>
          <w:rFonts w:hint="eastAsia"/>
          <w:lang w:eastAsia="zh-CN"/>
        </w:rPr>
        <w:t>如需开启主动扫描识别终端资产，需到端口扫描界面配置扫描任务，同时开启资产同步。</w:t>
      </w:r>
    </w:p>
    <w:p w14:paraId="0D3EC90F"/>
    <w:p w14:paraId="3CB3F8D3">
      <w:pPr>
        <w:pStyle w:val="6"/>
      </w:pPr>
      <w:r>
        <w:rPr>
          <w:rFonts w:hint="eastAsia"/>
        </w:rPr>
        <w:t>配置终端资产</w:t>
      </w:r>
    </w:p>
    <w:p w14:paraId="5F5D8F37">
      <w:pPr>
        <w:pStyle w:val="202"/>
      </w:pPr>
      <w:r>
        <w:t>查看终端资产信息</w:t>
      </w:r>
    </w:p>
    <w:p w14:paraId="234C25A5">
      <w:r>
        <w:rPr>
          <w:rFonts w:hint="eastAsia"/>
        </w:rPr>
        <w:t>通过菜单“数据中心 &gt; 系统监控 &gt; 终端资产管理”，进入终端资产管理页面，如</w:t>
      </w:r>
      <w:r>
        <w:fldChar w:fldCharType="begin"/>
      </w:r>
      <w:r>
        <w:instrText xml:space="preserve"> </w:instrText>
      </w:r>
      <w:r>
        <w:rPr>
          <w:rFonts w:hint="eastAsia"/>
        </w:rPr>
        <w:instrText xml:space="preserve">REF _Ref509590766 \r \h</w:instrText>
      </w:r>
      <w:r>
        <w:instrText xml:space="preserve"> </w:instrText>
      </w:r>
      <w:r>
        <w:fldChar w:fldCharType="separate"/>
      </w:r>
      <w:r>
        <w:rPr>
          <w:rFonts w:hint="eastAsia"/>
        </w:rPr>
        <w:t>图4-21</w:t>
      </w:r>
      <w:r>
        <w:fldChar w:fldCharType="end"/>
      </w:r>
      <w:r>
        <w:rPr>
          <w:rFonts w:hint="eastAsia"/>
        </w:rPr>
        <w:t>所示界面。可查看设备上识别到的所有终端资产信息。</w:t>
      </w:r>
    </w:p>
    <w:p w14:paraId="3B4CFDAA">
      <w:r>
        <w:rPr>
          <w:rFonts w:hint="eastAsia"/>
        </w:rPr>
        <w:t>页面左侧以树状结构展示终端资产类型，终端资产类型包括物联网终端、PC、移动终端、网络设备等，点击</w:t>
      </w:r>
      <w:r>
        <w:drawing>
          <wp:inline distT="0" distB="0" distL="0" distR="0">
            <wp:extent cx="133350" cy="114300"/>
            <wp:effectExtent l="0" t="0" r="0" b="0"/>
            <wp:docPr id="1802027902" name="图片 1802027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902" name="图片 1802027902"/>
                    <pic:cNvPicPr>
                      <a:picLocks noChangeAspect="1"/>
                    </pic:cNvPicPr>
                  </pic:nvPicPr>
                  <pic:blipFill>
                    <a:blip r:embed="rId80"/>
                    <a:stretch>
                      <a:fillRect/>
                    </a:stretch>
                  </pic:blipFill>
                  <pic:spPr>
                    <a:xfrm>
                      <a:off x="0" y="0"/>
                      <a:ext cx="133939" cy="114805"/>
                    </a:xfrm>
                    <a:prstGeom prst="rect">
                      <a:avLst/>
                    </a:prstGeom>
                  </pic:spPr>
                </pic:pic>
              </a:graphicData>
            </a:graphic>
          </wp:inline>
        </w:drawing>
      </w:r>
      <w:r>
        <w:rPr>
          <w:rFonts w:hint="eastAsia"/>
        </w:rPr>
        <w:t>可以展开查看该类型的子分类。</w:t>
      </w:r>
    </w:p>
    <w:p w14:paraId="13AC2A9E">
      <w:r>
        <w:rPr>
          <w:rFonts w:hint="eastAsia"/>
        </w:rPr>
        <w:t>在树状结构中点击资产类型，在页面右侧列表可查看对应的资产信息，</w:t>
      </w:r>
      <w:r>
        <w:t>主要包括资产IP地址</w:t>
      </w:r>
      <w:r>
        <w:rPr>
          <w:rFonts w:hint="eastAsia"/>
        </w:rPr>
        <w:t>、用户、终端</w:t>
      </w:r>
      <w:r>
        <w:t>类型</w:t>
      </w:r>
      <w:r>
        <w:rPr>
          <w:rFonts w:hint="eastAsia"/>
        </w:rPr>
        <w:t>、操作</w:t>
      </w:r>
      <w:r>
        <w:t>系统</w:t>
      </w:r>
      <w:r>
        <w:rPr>
          <w:rFonts w:hint="eastAsia"/>
        </w:rPr>
        <w:t>、</w:t>
      </w:r>
      <w:r>
        <w:t>可用服务</w:t>
      </w:r>
      <w:r>
        <w:rPr>
          <w:rFonts w:hint="eastAsia"/>
        </w:rPr>
        <w:t>、</w:t>
      </w:r>
      <w:r>
        <w:t>终端类型等</w:t>
      </w:r>
      <w:r>
        <w:rPr>
          <w:rFonts w:hint="eastAsia"/>
        </w:rPr>
        <w:t>，并</w:t>
      </w:r>
      <w:r>
        <w:t>支持导入</w:t>
      </w:r>
      <w:r>
        <w:rPr>
          <w:rFonts w:hint="eastAsia"/>
        </w:rPr>
        <w:t>、</w:t>
      </w:r>
      <w:r>
        <w:t>导出资产信息</w:t>
      </w:r>
      <w:r>
        <w:rPr>
          <w:rFonts w:hint="eastAsia"/>
        </w:rPr>
        <w:t>。</w:t>
      </w:r>
    </w:p>
    <w:p w14:paraId="4EEBAA4B">
      <w:pPr>
        <w:pStyle w:val="188"/>
      </w:pPr>
      <w:bookmarkStart w:id="432" w:name="_Toc421279040"/>
      <w:bookmarkStart w:id="433" w:name="_Ref509590766"/>
      <w:bookmarkStart w:id="434" w:name="_Toc141874400"/>
      <w:r>
        <w:rPr>
          <w:rFonts w:hint="eastAsia"/>
        </w:rPr>
        <w:t>终端资产管理</w:t>
      </w:r>
      <w:bookmarkEnd w:id="432"/>
      <w:bookmarkEnd w:id="433"/>
      <w:bookmarkEnd w:id="434"/>
    </w:p>
    <w:p w14:paraId="41F0D03E">
      <w:pPr>
        <w:pStyle w:val="175"/>
      </w:pPr>
      <w:r>
        <w:drawing>
          <wp:inline distT="0" distB="0" distL="0" distR="0">
            <wp:extent cx="5667375" cy="1753235"/>
            <wp:effectExtent l="0" t="0" r="0" b="0"/>
            <wp:docPr id="1802027878" name="图片 1802027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78" name="图片 1802027878"/>
                    <pic:cNvPicPr>
                      <a:picLocks noChangeAspect="1"/>
                    </pic:cNvPicPr>
                  </pic:nvPicPr>
                  <pic:blipFill>
                    <a:blip r:embed="rId81"/>
                    <a:stretch>
                      <a:fillRect/>
                    </a:stretch>
                  </pic:blipFill>
                  <pic:spPr>
                    <a:xfrm>
                      <a:off x="0" y="0"/>
                      <a:ext cx="5671791" cy="1754672"/>
                    </a:xfrm>
                    <a:prstGeom prst="rect">
                      <a:avLst/>
                    </a:prstGeom>
                  </pic:spPr>
                </pic:pic>
              </a:graphicData>
            </a:graphic>
          </wp:inline>
        </w:drawing>
      </w:r>
    </w:p>
    <w:p w14:paraId="4E71C1ED"/>
    <w:p w14:paraId="7D296E0C">
      <w:r>
        <w:t>点击</w:t>
      </w:r>
      <w:r>
        <w:rPr>
          <w:rFonts w:hint="eastAsia"/>
        </w:rPr>
        <w:t>“同步策略状态”可以同步资产IP所对应的控制策略ID。系统会根据资产IP地址对控制策略中的源IP进行匹配，一旦命中控制策略就会将命中的策略ID同步到资产管理列表中。同步成功后，点击资产管理列表中对应的控制策略ID，即可查看对应的控制策略信息；如果未匹配任何控制策略，则资产中对应的控制策略会显示为“无策略”；如果未同步成功，则显示“待同步”。</w:t>
      </w:r>
    </w:p>
    <w:p w14:paraId="396FB11B">
      <w:bookmarkStart w:id="435" w:name="_Toc141874401"/>
      <w:r>
        <w:rPr>
          <w:rFonts w:hint="eastAsia"/>
        </w:rPr>
        <w:t>在操作栏单击</w:t>
      </w:r>
      <w:r>
        <w:drawing>
          <wp:inline distT="0" distB="0" distL="0" distR="0">
            <wp:extent cx="171450" cy="152400"/>
            <wp:effectExtent l="0" t="0" r="0" b="0"/>
            <wp:docPr id="1802027903" name="图片 1802027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903" name="图片 1802027903"/>
                    <pic:cNvPicPr>
                      <a:picLocks noChangeAspect="1"/>
                    </pic:cNvPicPr>
                  </pic:nvPicPr>
                  <pic:blipFill>
                    <a:blip r:embed="rId82"/>
                    <a:stretch>
                      <a:fillRect/>
                    </a:stretch>
                  </pic:blipFill>
                  <pic:spPr>
                    <a:xfrm>
                      <a:off x="0" y="0"/>
                      <a:ext cx="173381" cy="154116"/>
                    </a:xfrm>
                    <a:prstGeom prst="rect">
                      <a:avLst/>
                    </a:prstGeom>
                  </pic:spPr>
                </pic:pic>
              </a:graphicData>
            </a:graphic>
          </wp:inline>
        </w:drawing>
      </w:r>
      <w:r>
        <w:rPr>
          <w:rFonts w:hint="eastAsia"/>
        </w:rPr>
        <w:t>可查看对应资产的详细信息。</w:t>
      </w:r>
      <w:bookmarkEnd w:id="435"/>
    </w:p>
    <w:p w14:paraId="0CEA1E45">
      <w:r>
        <w:rPr>
          <w:rFonts w:hint="eastAsia"/>
        </w:rPr>
        <w:t>如果识别出资产的可用服务后，在资产管理列表中点击对应的资产IP，可以查看资产可用服务的详细信息，如下图所示。</w:t>
      </w:r>
    </w:p>
    <w:p w14:paraId="0C97FF28">
      <w:pPr>
        <w:pStyle w:val="188"/>
      </w:pPr>
      <w:bookmarkStart w:id="436" w:name="_Toc141874402"/>
      <w:r>
        <w:rPr>
          <w:rFonts w:hint="eastAsia"/>
        </w:rPr>
        <w:t>资产详细信息页面</w:t>
      </w:r>
      <w:bookmarkEnd w:id="436"/>
    </w:p>
    <w:p w14:paraId="3E245CF3">
      <w:pPr>
        <w:spacing w:before="79" w:after="79"/>
      </w:pPr>
      <w:r>
        <w:drawing>
          <wp:inline distT="0" distB="0" distL="0" distR="0">
            <wp:extent cx="5486400" cy="2370455"/>
            <wp:effectExtent l="0" t="0" r="0" b="0"/>
            <wp:docPr id="1534582017" name="图片 153458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17" name="图片 1534582017"/>
                    <pic:cNvPicPr>
                      <a:picLocks noChangeAspect="1"/>
                    </pic:cNvPicPr>
                  </pic:nvPicPr>
                  <pic:blipFill>
                    <a:blip r:embed="rId83"/>
                    <a:stretch>
                      <a:fillRect/>
                    </a:stretch>
                  </pic:blipFill>
                  <pic:spPr>
                    <a:xfrm>
                      <a:off x="0" y="0"/>
                      <a:ext cx="5492635" cy="2373361"/>
                    </a:xfrm>
                    <a:prstGeom prst="rect">
                      <a:avLst/>
                    </a:prstGeom>
                  </pic:spPr>
                </pic:pic>
              </a:graphicData>
            </a:graphic>
          </wp:inline>
        </w:drawing>
      </w:r>
    </w:p>
    <w:p w14:paraId="140EB1B1">
      <w:pPr>
        <w:pStyle w:val="202"/>
      </w:pPr>
      <w:r>
        <w:rPr>
          <w:rFonts w:hint="eastAsia"/>
        </w:rPr>
        <w:t>新建资产</w:t>
      </w:r>
    </w:p>
    <w:p w14:paraId="12C39DDC">
      <w:r>
        <w:rPr>
          <w:rFonts w:hint="eastAsia"/>
        </w:rPr>
        <w:t>进入“数据中心 &gt; 系统监控 &gt; 终端资产管理”，单击“新建”可以手动添加资产信息。添加后资产列表中的来源显示为“手动添加”。</w:t>
      </w:r>
    </w:p>
    <w:p w14:paraId="758BAA21">
      <w:pPr>
        <w:pStyle w:val="188"/>
      </w:pPr>
      <w:r>
        <w:rPr>
          <w:rFonts w:hint="eastAsia"/>
        </w:rPr>
        <w:t>新建资产信息页面</w:t>
      </w:r>
    </w:p>
    <w:p w14:paraId="0A0AB073">
      <w:pPr>
        <w:pStyle w:val="175"/>
      </w:pPr>
      <w:r>
        <w:drawing>
          <wp:inline distT="0" distB="0" distL="0" distR="0">
            <wp:extent cx="5448300" cy="3361055"/>
            <wp:effectExtent l="0" t="0" r="0"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icPr>
                  <pic:blipFill>
                    <a:blip r:embed="rId84"/>
                    <a:stretch>
                      <a:fillRect/>
                    </a:stretch>
                  </pic:blipFill>
                  <pic:spPr>
                    <a:xfrm>
                      <a:off x="0" y="0"/>
                      <a:ext cx="5451892" cy="3363668"/>
                    </a:xfrm>
                    <a:prstGeom prst="rect">
                      <a:avLst/>
                    </a:prstGeom>
                  </pic:spPr>
                </pic:pic>
              </a:graphicData>
            </a:graphic>
          </wp:inline>
        </w:drawing>
      </w:r>
    </w:p>
    <w:p w14:paraId="571FD403"/>
    <w:p w14:paraId="7B1565AE">
      <w:pPr>
        <w:pStyle w:val="183"/>
      </w:pPr>
      <w:r>
        <w:rPr>
          <w:rFonts w:hint="eastAsia"/>
        </w:rPr>
        <w:t>资产</w:t>
      </w:r>
      <w:r>
        <w:t>信息</w:t>
      </w:r>
      <w:r>
        <w:rPr>
          <w:rFonts w:hint="eastAsia"/>
        </w:rPr>
        <w:t>详细配置说明</w:t>
      </w:r>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639"/>
        <w:gridCol w:w="7375"/>
      </w:tblGrid>
      <w:tr w14:paraId="529168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tcBorders>
              <w:tl2br w:val="nil"/>
              <w:tr2bl w:val="nil"/>
            </w:tcBorders>
            <w:shd w:val="clear" w:color="auto" w:fill="538135" w:themeFill="accent6" w:themeFillShade="BF"/>
            <w:vAlign w:val="center"/>
          </w:tcPr>
          <w:p w14:paraId="7EEAC84E">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b w:val="0"/>
                <w:bCs w:val="0"/>
                <w:i w:val="0"/>
                <w:iCs w:val="0"/>
                <w:color w:val="FFFFFF" w:themeColor="background1"/>
                <w14:textFill>
                  <w14:solidFill>
                    <w14:schemeClr w14:val="bg1"/>
                  </w14:solidFill>
                </w14:textFill>
              </w:rPr>
              <w:t>参数</w:t>
            </w:r>
          </w:p>
        </w:tc>
        <w:tc>
          <w:tcPr>
            <w:tcW w:w="7375" w:type="dxa"/>
            <w:tcBorders>
              <w:tl2br w:val="nil"/>
              <w:tr2bl w:val="nil"/>
            </w:tcBorders>
            <w:shd w:val="clear" w:color="auto" w:fill="538135" w:themeFill="accent6" w:themeFillShade="BF"/>
            <w:vAlign w:val="center"/>
          </w:tcPr>
          <w:p w14:paraId="10136188">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b w:val="0"/>
                <w:bCs w:val="0"/>
                <w:i w:val="0"/>
                <w:iCs w:val="0"/>
                <w:color w:val="FFFFFF" w:themeColor="background1"/>
                <w14:textFill>
                  <w14:solidFill>
                    <w14:schemeClr w14:val="bg1"/>
                  </w14:solidFill>
                </w14:textFill>
              </w:rPr>
              <w:t>说明</w:t>
            </w:r>
          </w:p>
        </w:tc>
      </w:tr>
      <w:tr w14:paraId="6DB061D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2F5D75FA">
            <w:pPr>
              <w:pStyle w:val="186"/>
              <w:widowControl w:val="0"/>
              <w:spacing w:line="240" w:lineRule="auto"/>
              <w:ind w:firstLine="0"/>
              <w:jc w:val="left"/>
            </w:pPr>
            <w:r>
              <w:rPr>
                <w:rFonts w:hint="eastAsia"/>
              </w:rPr>
              <w:t>资产IP</w:t>
            </w:r>
          </w:p>
        </w:tc>
        <w:tc>
          <w:tcPr>
            <w:tcW w:w="7375" w:type="dxa"/>
            <w:shd w:val="clear" w:color="auto" w:fill="auto"/>
          </w:tcPr>
          <w:p w14:paraId="2F83C885">
            <w:pPr>
              <w:pStyle w:val="186"/>
              <w:widowControl w:val="0"/>
              <w:spacing w:line="240" w:lineRule="auto"/>
              <w:ind w:firstLine="0"/>
              <w:jc w:val="left"/>
            </w:pPr>
            <w:r>
              <w:rPr>
                <w:rFonts w:hint="eastAsia"/>
              </w:rPr>
              <w:t>资产IP地址，支持IPv4/IPv6地址。</w:t>
            </w:r>
          </w:p>
        </w:tc>
      </w:tr>
      <w:tr w14:paraId="2D49B5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22A678E8">
            <w:pPr>
              <w:pStyle w:val="186"/>
              <w:widowControl w:val="0"/>
              <w:spacing w:line="240" w:lineRule="auto"/>
              <w:ind w:firstLine="0"/>
              <w:jc w:val="left"/>
            </w:pPr>
            <w:r>
              <w:rPr>
                <w:rFonts w:hint="eastAsia"/>
              </w:rPr>
              <w:t>资产描述</w:t>
            </w:r>
          </w:p>
        </w:tc>
        <w:tc>
          <w:tcPr>
            <w:tcW w:w="7375" w:type="dxa"/>
            <w:shd w:val="clear" w:color="auto" w:fill="auto"/>
          </w:tcPr>
          <w:p w14:paraId="6779233C">
            <w:pPr>
              <w:pStyle w:val="186"/>
              <w:widowControl w:val="0"/>
              <w:spacing w:line="240" w:lineRule="auto"/>
              <w:ind w:firstLine="0"/>
              <w:jc w:val="left"/>
            </w:pPr>
            <w:r>
              <w:rPr>
                <w:rFonts w:hint="eastAsia"/>
              </w:rPr>
              <w:t>资产</w:t>
            </w:r>
            <w:r>
              <w:t>的描述信息</w:t>
            </w:r>
            <w:r>
              <w:rPr>
                <w:rFonts w:hint="eastAsia"/>
              </w:rPr>
              <w:t>（可选）</w:t>
            </w:r>
          </w:p>
        </w:tc>
      </w:tr>
      <w:tr w14:paraId="141BF60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7FC5B1C3">
            <w:pPr>
              <w:pStyle w:val="186"/>
              <w:widowControl w:val="0"/>
              <w:spacing w:line="240" w:lineRule="auto"/>
              <w:ind w:firstLine="0"/>
              <w:jc w:val="left"/>
            </w:pPr>
            <w:r>
              <w:rPr>
                <w:rFonts w:hint="eastAsia"/>
              </w:rPr>
              <w:t>用户</w:t>
            </w:r>
          </w:p>
        </w:tc>
        <w:tc>
          <w:tcPr>
            <w:tcW w:w="7375" w:type="dxa"/>
            <w:shd w:val="clear" w:color="auto" w:fill="auto"/>
          </w:tcPr>
          <w:p w14:paraId="5E418F1B">
            <w:pPr>
              <w:pStyle w:val="186"/>
              <w:widowControl w:val="0"/>
              <w:spacing w:line="240" w:lineRule="auto"/>
              <w:ind w:firstLine="0"/>
              <w:jc w:val="left"/>
            </w:pPr>
            <w:r>
              <w:rPr>
                <w:rFonts w:hint="eastAsia"/>
              </w:rPr>
              <w:t>资产所属用户（可选）</w:t>
            </w:r>
          </w:p>
        </w:tc>
      </w:tr>
      <w:tr w14:paraId="61A6F6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0FB9F749">
            <w:pPr>
              <w:pStyle w:val="186"/>
              <w:widowControl w:val="0"/>
              <w:spacing w:line="240" w:lineRule="auto"/>
              <w:ind w:firstLine="0"/>
              <w:jc w:val="left"/>
            </w:pPr>
            <w:r>
              <w:t>部门</w:t>
            </w:r>
          </w:p>
        </w:tc>
        <w:tc>
          <w:tcPr>
            <w:tcW w:w="7375" w:type="dxa"/>
            <w:shd w:val="clear" w:color="auto" w:fill="auto"/>
          </w:tcPr>
          <w:p w14:paraId="6C505A59">
            <w:pPr>
              <w:pStyle w:val="186"/>
              <w:widowControl w:val="0"/>
              <w:spacing w:line="240" w:lineRule="auto"/>
              <w:ind w:firstLine="0"/>
              <w:jc w:val="left"/>
            </w:pPr>
            <w:r>
              <w:rPr>
                <w:rFonts w:hint="eastAsia"/>
              </w:rPr>
              <w:t>资产所属用户的部门（可选）</w:t>
            </w:r>
          </w:p>
        </w:tc>
      </w:tr>
      <w:tr w14:paraId="10964D0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5D44C0DE">
            <w:pPr>
              <w:pStyle w:val="186"/>
              <w:widowControl w:val="0"/>
              <w:spacing w:line="240" w:lineRule="auto"/>
              <w:ind w:firstLine="0"/>
              <w:jc w:val="left"/>
            </w:pPr>
            <w:r>
              <w:rPr>
                <w:rFonts w:hint="eastAsia"/>
              </w:rPr>
              <w:t>重要度</w:t>
            </w:r>
          </w:p>
        </w:tc>
        <w:tc>
          <w:tcPr>
            <w:tcW w:w="7375" w:type="dxa"/>
            <w:shd w:val="clear" w:color="auto" w:fill="auto"/>
          </w:tcPr>
          <w:p w14:paraId="31A7E203">
            <w:pPr>
              <w:pStyle w:val="186"/>
              <w:widowControl w:val="0"/>
              <w:spacing w:line="240" w:lineRule="auto"/>
              <w:ind w:firstLine="0"/>
              <w:jc w:val="left"/>
            </w:pPr>
            <w:r>
              <w:rPr>
                <w:rFonts w:hint="eastAsia"/>
              </w:rPr>
              <w:t>选择资产的重要度，可选普通资产和核心资产。</w:t>
            </w:r>
          </w:p>
        </w:tc>
      </w:tr>
      <w:tr w14:paraId="328CC8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7114F6E0">
            <w:pPr>
              <w:pStyle w:val="186"/>
              <w:widowControl w:val="0"/>
              <w:spacing w:line="240" w:lineRule="auto"/>
              <w:ind w:firstLine="0"/>
              <w:jc w:val="left"/>
            </w:pPr>
            <w:r>
              <w:rPr>
                <w:rFonts w:hint="eastAsia"/>
              </w:rPr>
              <w:t>操作系统</w:t>
            </w:r>
          </w:p>
        </w:tc>
        <w:tc>
          <w:tcPr>
            <w:tcW w:w="7375" w:type="dxa"/>
            <w:shd w:val="clear" w:color="auto" w:fill="auto"/>
          </w:tcPr>
          <w:p w14:paraId="4C4FF592">
            <w:pPr>
              <w:pStyle w:val="186"/>
              <w:widowControl w:val="0"/>
              <w:spacing w:line="240" w:lineRule="auto"/>
              <w:ind w:firstLine="0"/>
              <w:jc w:val="left"/>
            </w:pPr>
            <w:r>
              <w:rPr>
                <w:rFonts w:hint="eastAsia"/>
              </w:rPr>
              <w:t>选择该资产使用的操作系统。</w:t>
            </w:r>
          </w:p>
        </w:tc>
      </w:tr>
    </w:tbl>
    <w:p w14:paraId="5DE7E333"/>
    <w:p w14:paraId="2404039B">
      <w:pPr>
        <w:pStyle w:val="6"/>
      </w:pPr>
      <w:bookmarkStart w:id="437" w:name="_Toc15060491"/>
      <w:bookmarkEnd w:id="437"/>
      <w:bookmarkStart w:id="438" w:name="_Toc15462113"/>
      <w:bookmarkEnd w:id="438"/>
      <w:bookmarkStart w:id="439" w:name="_Toc15060510"/>
      <w:bookmarkEnd w:id="439"/>
      <w:bookmarkStart w:id="440" w:name="_Toc15060493"/>
      <w:bookmarkEnd w:id="440"/>
      <w:bookmarkStart w:id="441" w:name="_Toc15060511"/>
      <w:bookmarkEnd w:id="441"/>
      <w:bookmarkStart w:id="442" w:name="_Toc15462133"/>
      <w:bookmarkEnd w:id="442"/>
      <w:bookmarkStart w:id="443" w:name="_Toc15060512"/>
      <w:bookmarkEnd w:id="443"/>
      <w:bookmarkStart w:id="444" w:name="_Toc15060494"/>
      <w:bookmarkEnd w:id="444"/>
      <w:bookmarkStart w:id="445" w:name="_Toc15060492"/>
      <w:bookmarkEnd w:id="445"/>
      <w:bookmarkStart w:id="446" w:name="_Toc15060509"/>
      <w:bookmarkEnd w:id="446"/>
      <w:bookmarkStart w:id="447" w:name="_Toc15462114"/>
      <w:bookmarkEnd w:id="447"/>
      <w:bookmarkStart w:id="448" w:name="_Toc15462134"/>
      <w:bookmarkEnd w:id="448"/>
      <w:bookmarkStart w:id="449" w:name="_Toc15060513"/>
      <w:bookmarkEnd w:id="449"/>
      <w:bookmarkStart w:id="450" w:name="_Toc15462135"/>
      <w:bookmarkEnd w:id="450"/>
      <w:bookmarkStart w:id="451" w:name="_Toc15462131"/>
      <w:bookmarkEnd w:id="451"/>
      <w:bookmarkStart w:id="452" w:name="_Toc15462116"/>
      <w:bookmarkEnd w:id="452"/>
      <w:bookmarkStart w:id="453" w:name="_Toc15462115"/>
      <w:bookmarkEnd w:id="453"/>
      <w:bookmarkStart w:id="454" w:name="_Toc15060495"/>
      <w:bookmarkEnd w:id="454"/>
      <w:bookmarkStart w:id="455" w:name="_Toc15462117"/>
      <w:bookmarkEnd w:id="455"/>
      <w:bookmarkStart w:id="456" w:name="_Toc15462132"/>
      <w:bookmarkEnd w:id="456"/>
      <w:bookmarkStart w:id="457" w:name="_Toc15060508"/>
      <w:bookmarkEnd w:id="457"/>
      <w:bookmarkStart w:id="458" w:name="_Toc15462130"/>
      <w:bookmarkEnd w:id="458"/>
      <w:bookmarkStart w:id="459" w:name="_Toc15462148"/>
      <w:bookmarkEnd w:id="459"/>
      <w:bookmarkStart w:id="460" w:name="_Toc15462150"/>
      <w:bookmarkEnd w:id="460"/>
      <w:bookmarkStart w:id="461" w:name="_Toc15462147"/>
      <w:bookmarkEnd w:id="461"/>
      <w:bookmarkStart w:id="462" w:name="_Toc15462149"/>
      <w:bookmarkEnd w:id="462"/>
      <w:bookmarkStart w:id="463" w:name="_Toc15462137"/>
      <w:bookmarkEnd w:id="463"/>
      <w:bookmarkStart w:id="464" w:name="_Toc15060516"/>
      <w:bookmarkEnd w:id="464"/>
      <w:bookmarkStart w:id="465" w:name="_Toc15060517"/>
      <w:bookmarkEnd w:id="465"/>
      <w:bookmarkStart w:id="466" w:name="_Toc15462139"/>
      <w:bookmarkEnd w:id="466"/>
      <w:bookmarkStart w:id="467" w:name="_Toc15060520"/>
      <w:bookmarkEnd w:id="467"/>
      <w:bookmarkStart w:id="468" w:name="_Toc15060514"/>
      <w:bookmarkEnd w:id="468"/>
      <w:bookmarkStart w:id="469" w:name="_Toc15462142"/>
      <w:bookmarkEnd w:id="469"/>
      <w:bookmarkStart w:id="470" w:name="_Toc15462143"/>
      <w:bookmarkEnd w:id="470"/>
      <w:bookmarkStart w:id="471" w:name="_Toc15060522"/>
      <w:bookmarkEnd w:id="471"/>
      <w:bookmarkStart w:id="472" w:name="_Toc15462144"/>
      <w:bookmarkEnd w:id="472"/>
      <w:bookmarkStart w:id="473" w:name="_Toc15060518"/>
      <w:bookmarkEnd w:id="473"/>
      <w:bookmarkStart w:id="474" w:name="_Toc15060519"/>
      <w:bookmarkEnd w:id="474"/>
      <w:bookmarkStart w:id="475" w:name="_Toc15060521"/>
      <w:bookmarkEnd w:id="475"/>
      <w:bookmarkStart w:id="476" w:name="_Toc15462138"/>
      <w:bookmarkEnd w:id="476"/>
      <w:bookmarkStart w:id="477" w:name="_Toc15462141"/>
      <w:bookmarkEnd w:id="477"/>
      <w:bookmarkStart w:id="478" w:name="_Toc15462146"/>
      <w:bookmarkEnd w:id="478"/>
      <w:bookmarkStart w:id="479" w:name="_Toc15060525"/>
      <w:bookmarkEnd w:id="479"/>
      <w:bookmarkStart w:id="480" w:name="_Toc15060527"/>
      <w:bookmarkEnd w:id="480"/>
      <w:bookmarkStart w:id="481" w:name="_Toc15060529"/>
      <w:bookmarkEnd w:id="481"/>
      <w:bookmarkStart w:id="482" w:name="_Toc15060524"/>
      <w:bookmarkEnd w:id="482"/>
      <w:bookmarkStart w:id="483" w:name="_Toc15462151"/>
      <w:bookmarkEnd w:id="483"/>
      <w:bookmarkStart w:id="484" w:name="_Toc15060526"/>
      <w:bookmarkEnd w:id="484"/>
      <w:bookmarkStart w:id="485" w:name="_Toc15462136"/>
      <w:bookmarkEnd w:id="485"/>
      <w:bookmarkStart w:id="486" w:name="_Toc15060515"/>
      <w:bookmarkEnd w:id="486"/>
      <w:bookmarkStart w:id="487" w:name="_Toc15060523"/>
      <w:bookmarkEnd w:id="487"/>
      <w:bookmarkStart w:id="488" w:name="_Toc15462145"/>
      <w:bookmarkEnd w:id="488"/>
      <w:bookmarkStart w:id="489" w:name="_Toc15060528"/>
      <w:bookmarkEnd w:id="489"/>
      <w:bookmarkStart w:id="490" w:name="_Toc15462140"/>
      <w:bookmarkEnd w:id="490"/>
      <w:bookmarkStart w:id="491" w:name="_Toc15462159"/>
      <w:bookmarkEnd w:id="491"/>
      <w:bookmarkStart w:id="492" w:name="_Toc15060544"/>
      <w:bookmarkEnd w:id="492"/>
      <w:bookmarkStart w:id="493" w:name="_Toc15462166"/>
      <w:bookmarkEnd w:id="493"/>
      <w:bookmarkStart w:id="494" w:name="_Toc15060545"/>
      <w:bookmarkEnd w:id="494"/>
      <w:bookmarkStart w:id="495" w:name="_Toc15060538"/>
      <w:bookmarkEnd w:id="495"/>
      <w:bookmarkStart w:id="496" w:name="_Toc15462162"/>
      <w:bookmarkEnd w:id="496"/>
      <w:bookmarkStart w:id="497" w:name="_Toc15060543"/>
      <w:bookmarkEnd w:id="497"/>
      <w:bookmarkStart w:id="498" w:name="_Toc15462167"/>
      <w:bookmarkEnd w:id="498"/>
      <w:bookmarkStart w:id="499" w:name="_Toc15462153"/>
      <w:bookmarkEnd w:id="499"/>
      <w:bookmarkStart w:id="500" w:name="_Toc15060534"/>
      <w:bookmarkEnd w:id="500"/>
      <w:bookmarkStart w:id="501" w:name="_Toc15462157"/>
      <w:bookmarkEnd w:id="501"/>
      <w:bookmarkStart w:id="502" w:name="_Toc15060530"/>
      <w:bookmarkEnd w:id="502"/>
      <w:bookmarkStart w:id="503" w:name="_Toc15462152"/>
      <w:bookmarkEnd w:id="503"/>
      <w:bookmarkStart w:id="504" w:name="_Toc15060536"/>
      <w:bookmarkEnd w:id="504"/>
      <w:bookmarkStart w:id="505" w:name="_Toc15060535"/>
      <w:bookmarkEnd w:id="505"/>
      <w:bookmarkStart w:id="506" w:name="_Toc15462163"/>
      <w:bookmarkEnd w:id="506"/>
      <w:bookmarkStart w:id="507" w:name="_Toc15060533"/>
      <w:bookmarkEnd w:id="507"/>
      <w:bookmarkStart w:id="508" w:name="_Toc15462155"/>
      <w:bookmarkEnd w:id="508"/>
      <w:bookmarkStart w:id="509" w:name="_Toc15462160"/>
      <w:bookmarkEnd w:id="509"/>
      <w:bookmarkStart w:id="510" w:name="_Toc15060532"/>
      <w:bookmarkEnd w:id="510"/>
      <w:bookmarkStart w:id="511" w:name="_Toc15462154"/>
      <w:bookmarkEnd w:id="511"/>
      <w:bookmarkStart w:id="512" w:name="_Toc15060539"/>
      <w:bookmarkEnd w:id="512"/>
      <w:bookmarkStart w:id="513" w:name="_Toc15462158"/>
      <w:bookmarkEnd w:id="513"/>
      <w:bookmarkStart w:id="514" w:name="_Toc15060537"/>
      <w:bookmarkEnd w:id="514"/>
      <w:bookmarkStart w:id="515" w:name="_Toc15060540"/>
      <w:bookmarkEnd w:id="515"/>
      <w:bookmarkStart w:id="516" w:name="_Toc15060541"/>
      <w:bookmarkEnd w:id="516"/>
      <w:bookmarkStart w:id="517" w:name="_Toc15462156"/>
      <w:bookmarkEnd w:id="517"/>
      <w:bookmarkStart w:id="518" w:name="_Toc15060542"/>
      <w:bookmarkEnd w:id="518"/>
      <w:bookmarkStart w:id="519" w:name="_Toc15060531"/>
      <w:bookmarkEnd w:id="519"/>
      <w:bookmarkStart w:id="520" w:name="_Toc15462164"/>
      <w:bookmarkEnd w:id="520"/>
      <w:bookmarkStart w:id="521" w:name="_Toc15462161"/>
      <w:bookmarkEnd w:id="521"/>
      <w:bookmarkStart w:id="522" w:name="_Toc15462165"/>
      <w:bookmarkEnd w:id="522"/>
      <w:bookmarkStart w:id="523" w:name="_Toc15462173"/>
      <w:bookmarkEnd w:id="523"/>
      <w:bookmarkStart w:id="524" w:name="_Toc15060547"/>
      <w:bookmarkEnd w:id="524"/>
      <w:bookmarkStart w:id="525" w:name="_Toc15060552"/>
      <w:bookmarkEnd w:id="525"/>
      <w:bookmarkStart w:id="526" w:name="_Toc15462177"/>
      <w:bookmarkEnd w:id="526"/>
      <w:bookmarkStart w:id="527" w:name="_Toc15060548"/>
      <w:bookmarkEnd w:id="527"/>
      <w:bookmarkStart w:id="528" w:name="_Toc15462169"/>
      <w:bookmarkEnd w:id="528"/>
      <w:bookmarkStart w:id="529" w:name="_Toc15462168"/>
      <w:bookmarkEnd w:id="529"/>
      <w:bookmarkStart w:id="530" w:name="_Toc15462175"/>
      <w:bookmarkEnd w:id="530"/>
      <w:bookmarkStart w:id="531" w:name="_Toc15060555"/>
      <w:bookmarkEnd w:id="531"/>
      <w:bookmarkStart w:id="532" w:name="_Toc15060550"/>
      <w:bookmarkEnd w:id="532"/>
      <w:bookmarkStart w:id="533" w:name="_Toc15060546"/>
      <w:bookmarkEnd w:id="533"/>
      <w:bookmarkStart w:id="534" w:name="_Toc15462171"/>
      <w:bookmarkEnd w:id="534"/>
      <w:bookmarkStart w:id="535" w:name="_Toc15462174"/>
      <w:bookmarkEnd w:id="535"/>
      <w:bookmarkStart w:id="536" w:name="_Toc15060553"/>
      <w:bookmarkEnd w:id="536"/>
      <w:bookmarkStart w:id="537" w:name="_Toc15060554"/>
      <w:bookmarkEnd w:id="537"/>
      <w:bookmarkStart w:id="538" w:name="_Toc15462170"/>
      <w:bookmarkEnd w:id="538"/>
      <w:bookmarkStart w:id="539" w:name="_Toc15060556"/>
      <w:bookmarkEnd w:id="539"/>
      <w:bookmarkStart w:id="540" w:name="_Toc15462178"/>
      <w:bookmarkEnd w:id="540"/>
      <w:bookmarkStart w:id="541" w:name="_Toc15060557"/>
      <w:bookmarkEnd w:id="541"/>
      <w:bookmarkStart w:id="542" w:name="_Toc15462179"/>
      <w:bookmarkEnd w:id="542"/>
      <w:bookmarkStart w:id="543" w:name="_Toc15060558"/>
      <w:bookmarkEnd w:id="543"/>
      <w:bookmarkStart w:id="544" w:name="_Toc15060577"/>
      <w:bookmarkEnd w:id="544"/>
      <w:bookmarkStart w:id="545" w:name="_Toc15060551"/>
      <w:bookmarkEnd w:id="545"/>
      <w:bookmarkStart w:id="546" w:name="_Toc15462176"/>
      <w:bookmarkEnd w:id="546"/>
      <w:bookmarkStart w:id="547" w:name="_Toc15060549"/>
      <w:bookmarkEnd w:id="547"/>
      <w:bookmarkStart w:id="548" w:name="_Toc15462180"/>
      <w:bookmarkEnd w:id="548"/>
      <w:bookmarkStart w:id="549" w:name="_Toc15462199"/>
      <w:bookmarkEnd w:id="549"/>
      <w:bookmarkStart w:id="550" w:name="_Toc15060578"/>
      <w:bookmarkEnd w:id="550"/>
      <w:bookmarkStart w:id="551" w:name="_Toc15462200"/>
      <w:bookmarkEnd w:id="551"/>
      <w:bookmarkStart w:id="552" w:name="_Toc15462172"/>
      <w:bookmarkEnd w:id="552"/>
      <w:bookmarkStart w:id="553" w:name="_Toc15060579"/>
      <w:bookmarkEnd w:id="553"/>
      <w:bookmarkStart w:id="554" w:name="_Toc15462201"/>
      <w:bookmarkEnd w:id="554"/>
      <w:bookmarkStart w:id="555" w:name="_Toc15462202"/>
      <w:bookmarkEnd w:id="555"/>
      <w:bookmarkStart w:id="556" w:name="_Toc15462203"/>
      <w:bookmarkEnd w:id="556"/>
      <w:bookmarkStart w:id="557" w:name="_Toc15060581"/>
      <w:bookmarkEnd w:id="557"/>
      <w:bookmarkStart w:id="558" w:name="_Toc15060580"/>
      <w:bookmarkEnd w:id="558"/>
      <w:bookmarkStart w:id="559" w:name="_Toc15462204"/>
      <w:bookmarkStart w:id="560" w:name="_Toc495418697"/>
      <w:bookmarkStart w:id="561" w:name="_Toc58603601"/>
      <w:bookmarkStart w:id="562" w:name="_Toc510628153"/>
      <w:bookmarkStart w:id="563" w:name="_Toc381019108"/>
      <w:bookmarkStart w:id="564" w:name="_Toc373335730"/>
      <w:bookmarkStart w:id="565" w:name="_Toc70414998"/>
      <w:bookmarkStart w:id="566" w:name="_Toc436123122"/>
      <w:bookmarkStart w:id="567" w:name="_Toc404075377"/>
      <w:bookmarkStart w:id="568" w:name="_Toc58505563"/>
      <w:r>
        <w:rPr>
          <w:rFonts w:hint="eastAsia"/>
        </w:rPr>
        <w:t>配置终端资产识别设定</w:t>
      </w:r>
      <w:bookmarkEnd w:id="559"/>
      <w:bookmarkEnd w:id="560"/>
      <w:bookmarkEnd w:id="561"/>
      <w:bookmarkEnd w:id="562"/>
      <w:bookmarkEnd w:id="563"/>
      <w:bookmarkEnd w:id="564"/>
      <w:bookmarkEnd w:id="565"/>
      <w:bookmarkEnd w:id="566"/>
      <w:bookmarkEnd w:id="567"/>
      <w:bookmarkEnd w:id="568"/>
    </w:p>
    <w:p w14:paraId="490B1040">
      <w:r>
        <w:rPr>
          <w:rFonts w:hint="eastAsia"/>
        </w:rPr>
        <w:t>通过菜单“数据中心 &gt; 系统监控 &gt; 终端资产管理 &gt;</w:t>
      </w:r>
      <w:r>
        <w:t xml:space="preserve"> 终端</w:t>
      </w:r>
      <w:r>
        <w:rPr>
          <w:rFonts w:hint="eastAsia"/>
        </w:rPr>
        <w:t>资产识别设定”，进入终端资产识别设定页面，如</w:t>
      </w:r>
      <w:r>
        <w:fldChar w:fldCharType="begin"/>
      </w:r>
      <w:r>
        <w:instrText xml:space="preserve"> </w:instrText>
      </w:r>
      <w:r>
        <w:rPr>
          <w:rFonts w:hint="eastAsia"/>
        </w:rPr>
        <w:instrText xml:space="preserve">REF _Ref509929455 \r \h</w:instrText>
      </w:r>
      <w:r>
        <w:instrText xml:space="preserve"> </w:instrText>
      </w:r>
      <w:r>
        <w:fldChar w:fldCharType="separate"/>
      </w:r>
      <w:r>
        <w:rPr>
          <w:rFonts w:hint="eastAsia"/>
        </w:rPr>
        <w:t>图4-24</w:t>
      </w:r>
      <w:r>
        <w:fldChar w:fldCharType="end"/>
      </w:r>
      <w:r>
        <w:t>所示</w:t>
      </w:r>
      <w:r>
        <w:rPr>
          <w:rFonts w:hint="eastAsia"/>
        </w:rPr>
        <w:t>。</w:t>
      </w:r>
    </w:p>
    <w:p w14:paraId="487B30E8">
      <w:pPr>
        <w:pStyle w:val="188"/>
      </w:pPr>
      <w:bookmarkStart w:id="569" w:name="_Ref509929455"/>
      <w:bookmarkStart w:id="570" w:name="_Toc141874403"/>
      <w:bookmarkStart w:id="571" w:name="_Toc421279051"/>
      <w:r>
        <w:rPr>
          <w:rFonts w:hint="eastAsia"/>
        </w:rPr>
        <w:t>终端资产识别设定</w:t>
      </w:r>
      <w:bookmarkEnd w:id="569"/>
      <w:bookmarkEnd w:id="570"/>
      <w:bookmarkEnd w:id="571"/>
      <w:r>
        <w:rPr>
          <w:rFonts w:hint="eastAsia"/>
        </w:rPr>
        <w:t>配置页面</w:t>
      </w:r>
    </w:p>
    <w:p w14:paraId="390FFCF6">
      <w:pPr>
        <w:spacing w:before="79" w:after="79"/>
      </w:pPr>
      <w:r>
        <w:drawing>
          <wp:inline distT="0" distB="0" distL="0" distR="0">
            <wp:extent cx="4867275" cy="5169535"/>
            <wp:effectExtent l="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85"/>
                    <a:stretch>
                      <a:fillRect/>
                    </a:stretch>
                  </pic:blipFill>
                  <pic:spPr>
                    <a:xfrm>
                      <a:off x="0" y="0"/>
                      <a:ext cx="4872697" cy="5175503"/>
                    </a:xfrm>
                    <a:prstGeom prst="rect">
                      <a:avLst/>
                    </a:prstGeom>
                  </pic:spPr>
                </pic:pic>
              </a:graphicData>
            </a:graphic>
          </wp:inline>
        </w:drawing>
      </w:r>
    </w:p>
    <w:p w14:paraId="35684A8D"/>
    <w:p w14:paraId="7D00CD40">
      <w:pPr>
        <w:pStyle w:val="183"/>
      </w:pPr>
      <w:bookmarkStart w:id="572" w:name="_Toc141875383"/>
      <w:bookmarkStart w:id="573" w:name="_Ref509929896"/>
      <w:r>
        <w:rPr>
          <w:rFonts w:hint="eastAsia"/>
        </w:rPr>
        <w:t>终端资产识别设定配置项含义描述表</w:t>
      </w:r>
      <w:bookmarkEnd w:id="572"/>
      <w:bookmarkEnd w:id="573"/>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76"/>
        <w:gridCol w:w="6638"/>
      </w:tblGrid>
      <w:tr w14:paraId="3032D20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tcBorders>
              <w:tl2br w:val="nil"/>
              <w:tr2bl w:val="nil"/>
            </w:tcBorders>
            <w:shd w:val="clear" w:color="auto" w:fill="538135" w:themeFill="accent6" w:themeFillShade="BF"/>
            <w:vAlign w:val="center"/>
          </w:tcPr>
          <w:p w14:paraId="22CEFBC6">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b w:val="0"/>
                <w:bCs w:val="0"/>
                <w:i w:val="0"/>
                <w:iCs w:val="0"/>
                <w:color w:val="FFFFFF" w:themeColor="background1"/>
                <w14:textFill>
                  <w14:solidFill>
                    <w14:schemeClr w14:val="bg1"/>
                  </w14:solidFill>
                </w14:textFill>
              </w:rPr>
              <w:t>参数</w:t>
            </w:r>
          </w:p>
        </w:tc>
        <w:tc>
          <w:tcPr>
            <w:tcW w:w="6638" w:type="dxa"/>
            <w:tcBorders>
              <w:tl2br w:val="nil"/>
              <w:tr2bl w:val="nil"/>
            </w:tcBorders>
            <w:shd w:val="clear" w:color="auto" w:fill="538135" w:themeFill="accent6" w:themeFillShade="BF"/>
            <w:vAlign w:val="center"/>
          </w:tcPr>
          <w:p w14:paraId="799DA794">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b w:val="0"/>
                <w:bCs w:val="0"/>
                <w:i w:val="0"/>
                <w:iCs w:val="0"/>
                <w:color w:val="FFFFFF" w:themeColor="background1"/>
                <w14:textFill>
                  <w14:solidFill>
                    <w14:schemeClr w14:val="bg1"/>
                  </w14:solidFill>
                </w14:textFill>
              </w:rPr>
              <w:t>说明</w:t>
            </w:r>
          </w:p>
        </w:tc>
      </w:tr>
      <w:tr w14:paraId="1EE8E9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28AF1FF2">
            <w:pPr>
              <w:pStyle w:val="186"/>
              <w:widowControl w:val="0"/>
              <w:spacing w:line="240" w:lineRule="auto"/>
              <w:ind w:firstLine="0"/>
              <w:jc w:val="left"/>
            </w:pPr>
            <w:r>
              <w:rPr>
                <w:rFonts w:hint="eastAsia"/>
              </w:rPr>
              <w:t>开启</w:t>
            </w:r>
          </w:p>
        </w:tc>
        <w:tc>
          <w:tcPr>
            <w:tcW w:w="6638" w:type="dxa"/>
            <w:shd w:val="clear" w:color="auto" w:fill="auto"/>
          </w:tcPr>
          <w:p w14:paraId="61694780">
            <w:pPr>
              <w:pStyle w:val="186"/>
              <w:widowControl w:val="0"/>
              <w:spacing w:line="240" w:lineRule="auto"/>
              <w:ind w:firstLine="0"/>
              <w:jc w:val="left"/>
            </w:pPr>
            <w:r>
              <w:rPr>
                <w:rFonts w:hint="eastAsia"/>
              </w:rPr>
              <w:t>开启资产识别功能</w:t>
            </w:r>
          </w:p>
        </w:tc>
      </w:tr>
      <w:tr w14:paraId="642E6FE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684D9C41">
            <w:pPr>
              <w:pStyle w:val="186"/>
              <w:widowControl w:val="0"/>
              <w:spacing w:line="240" w:lineRule="auto"/>
              <w:ind w:firstLine="0"/>
              <w:jc w:val="left"/>
            </w:pPr>
            <w:r>
              <w:rPr>
                <w:rFonts w:hint="eastAsia"/>
              </w:rPr>
              <w:t>地址项目</w:t>
            </w:r>
          </w:p>
        </w:tc>
        <w:tc>
          <w:tcPr>
            <w:tcW w:w="6638" w:type="dxa"/>
            <w:shd w:val="clear" w:color="auto" w:fill="auto"/>
          </w:tcPr>
          <w:p w14:paraId="0470530B">
            <w:pPr>
              <w:pStyle w:val="186"/>
              <w:widowControl w:val="0"/>
              <w:spacing w:line="240" w:lineRule="auto"/>
              <w:ind w:firstLine="0"/>
              <w:jc w:val="left"/>
            </w:pPr>
            <w:r>
              <w:rPr>
                <w:rFonts w:hint="eastAsia"/>
              </w:rPr>
              <w:t>支持资产按照子网地址、范围地址和主机地址等方式添加，可输入IPv</w:t>
            </w:r>
            <w:r>
              <w:t>4地址</w:t>
            </w:r>
            <w:r>
              <w:rPr>
                <w:rFonts w:hint="eastAsia"/>
              </w:rPr>
              <w:t>或</w:t>
            </w:r>
            <w:r>
              <w:t>IPv6地址</w:t>
            </w:r>
            <w:r>
              <w:rPr>
                <w:rFonts w:hint="eastAsia"/>
              </w:rPr>
              <w:t>，</w:t>
            </w:r>
            <w:r>
              <w:t>最多可配置</w:t>
            </w:r>
            <w:r>
              <w:rPr>
                <w:rFonts w:hint="eastAsia"/>
              </w:rPr>
              <w:t>5</w:t>
            </w:r>
            <w:r>
              <w:t>0条</w:t>
            </w:r>
            <w:r>
              <w:rPr>
                <w:rFonts w:hint="eastAsia"/>
              </w:rPr>
              <w:t>。建议设置为全部内网IP地址。</w:t>
            </w:r>
          </w:p>
        </w:tc>
      </w:tr>
      <w:tr w14:paraId="564E09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64883035">
            <w:pPr>
              <w:pStyle w:val="186"/>
              <w:widowControl w:val="0"/>
              <w:spacing w:line="240" w:lineRule="auto"/>
              <w:ind w:firstLine="0"/>
              <w:jc w:val="left"/>
            </w:pPr>
            <w:r>
              <w:rPr>
                <w:rFonts w:hint="eastAsia"/>
              </w:rPr>
              <w:t>排除地址</w:t>
            </w:r>
          </w:p>
        </w:tc>
        <w:tc>
          <w:tcPr>
            <w:tcW w:w="6638" w:type="dxa"/>
            <w:shd w:val="clear" w:color="auto" w:fill="auto"/>
          </w:tcPr>
          <w:p w14:paraId="57AE570A">
            <w:pPr>
              <w:pStyle w:val="186"/>
              <w:widowControl w:val="0"/>
              <w:spacing w:line="240" w:lineRule="auto"/>
              <w:ind w:firstLine="0"/>
              <w:jc w:val="left"/>
            </w:pPr>
            <w:r>
              <w:rPr>
                <w:rFonts w:hint="eastAsia"/>
              </w:rPr>
              <w:t>排除识别资产的地址，对于排除地址范围的资产不执行资产识别。</w:t>
            </w:r>
          </w:p>
        </w:tc>
      </w:tr>
      <w:tr w14:paraId="26B301E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0AC1F3F0">
            <w:pPr>
              <w:pStyle w:val="186"/>
              <w:widowControl w:val="0"/>
              <w:spacing w:line="240" w:lineRule="auto"/>
              <w:ind w:firstLine="0"/>
              <w:jc w:val="left"/>
            </w:pPr>
            <w:r>
              <w:rPr>
                <w:rFonts w:hint="eastAsia"/>
              </w:rPr>
              <w:t>流量识别资产</w:t>
            </w:r>
          </w:p>
        </w:tc>
        <w:tc>
          <w:tcPr>
            <w:tcW w:w="6638" w:type="dxa"/>
            <w:shd w:val="clear" w:color="auto" w:fill="auto"/>
          </w:tcPr>
          <w:p w14:paraId="4DB7FEB3">
            <w:pPr>
              <w:pStyle w:val="186"/>
              <w:widowControl w:val="0"/>
              <w:spacing w:line="240" w:lineRule="auto"/>
              <w:ind w:firstLine="0"/>
              <w:jc w:val="left"/>
            </w:pPr>
            <w:r>
              <w:rPr>
                <w:rFonts w:hint="eastAsia"/>
              </w:rPr>
              <w:t>勾选后开启被动分析识别功能。</w:t>
            </w:r>
          </w:p>
        </w:tc>
      </w:tr>
      <w:tr w14:paraId="114E62B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3C5DC654">
            <w:pPr>
              <w:pStyle w:val="186"/>
              <w:widowControl w:val="0"/>
              <w:spacing w:line="240" w:lineRule="auto"/>
              <w:ind w:firstLine="0"/>
              <w:jc w:val="left"/>
            </w:pPr>
            <w:r>
              <w:rPr>
                <w:rFonts w:hint="eastAsia"/>
              </w:rPr>
              <w:t>已添加服务标识</w:t>
            </w:r>
          </w:p>
        </w:tc>
        <w:tc>
          <w:tcPr>
            <w:tcW w:w="6638" w:type="dxa"/>
            <w:shd w:val="clear" w:color="auto" w:fill="auto"/>
          </w:tcPr>
          <w:p w14:paraId="748E4733">
            <w:pPr>
              <w:pStyle w:val="186"/>
              <w:widowControl w:val="0"/>
              <w:spacing w:line="240" w:lineRule="auto"/>
              <w:ind w:firstLine="0"/>
              <w:jc w:val="left"/>
            </w:pPr>
            <w:r>
              <w:rPr>
                <w:rFonts w:hint="eastAsia"/>
              </w:rPr>
              <w:t>添加HTTP首部中的set-cookie关键字信息，进行资产识别时将利用这些关键字确定资产中的服务信息。</w:t>
            </w:r>
          </w:p>
        </w:tc>
      </w:tr>
      <w:tr w14:paraId="7F8868D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072D0130">
            <w:pPr>
              <w:pStyle w:val="186"/>
              <w:widowControl w:val="0"/>
              <w:spacing w:line="240" w:lineRule="auto"/>
              <w:ind w:firstLine="0"/>
              <w:jc w:val="left"/>
            </w:pPr>
            <w:r>
              <w:rPr>
                <w:rFonts w:hint="eastAsia"/>
              </w:rPr>
              <w:t>过滤未识别终端资产</w:t>
            </w:r>
          </w:p>
        </w:tc>
        <w:tc>
          <w:tcPr>
            <w:tcW w:w="6638" w:type="dxa"/>
            <w:shd w:val="clear" w:color="auto" w:fill="auto"/>
          </w:tcPr>
          <w:p w14:paraId="64933C97">
            <w:pPr>
              <w:pStyle w:val="186"/>
              <w:widowControl w:val="0"/>
              <w:spacing w:line="240" w:lineRule="auto"/>
              <w:ind w:firstLine="0"/>
              <w:jc w:val="left"/>
            </w:pPr>
            <w:r>
              <w:rPr>
                <w:rFonts w:hint="eastAsia"/>
              </w:rPr>
              <w:t>开启后展示列表只展示识别到终端类型的资产信息，删除未识别到具体终端类型且通过流量方式识别到的资产。</w:t>
            </w:r>
          </w:p>
        </w:tc>
      </w:tr>
      <w:tr w14:paraId="47BC494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2F2BB15D">
            <w:pPr>
              <w:pStyle w:val="186"/>
              <w:widowControl w:val="0"/>
              <w:spacing w:line="240" w:lineRule="auto"/>
              <w:ind w:firstLine="0"/>
              <w:jc w:val="left"/>
            </w:pPr>
            <w:r>
              <w:rPr>
                <w:rFonts w:hint="eastAsia"/>
              </w:rPr>
              <w:t>自动删除离线终端</w:t>
            </w:r>
          </w:p>
        </w:tc>
        <w:tc>
          <w:tcPr>
            <w:tcW w:w="6638" w:type="dxa"/>
            <w:shd w:val="clear" w:color="auto" w:fill="auto"/>
          </w:tcPr>
          <w:p w14:paraId="3A4016ED">
            <w:pPr>
              <w:pStyle w:val="186"/>
              <w:widowControl w:val="0"/>
              <w:spacing w:line="240" w:lineRule="auto"/>
              <w:ind w:firstLine="0"/>
              <w:jc w:val="left"/>
            </w:pPr>
            <w:r>
              <w:rPr>
                <w:rFonts w:hint="eastAsia"/>
              </w:rPr>
              <w:t>勾选开启自动删除离线终端功能，离线天数可自定义配置，时间范围为30-180天。当终端离线天数超过该配置时间，会被自动删除。</w:t>
            </w:r>
          </w:p>
        </w:tc>
      </w:tr>
    </w:tbl>
    <w:p w14:paraId="1D541810"/>
    <w:p w14:paraId="3E2BED89">
      <w:pPr>
        <w:pStyle w:val="5"/>
      </w:pPr>
      <w:bookmarkStart w:id="574" w:name="_Toc142400766"/>
      <w:bookmarkStart w:id="575" w:name="_Toc194080614"/>
      <w:bookmarkStart w:id="576" w:name="_Toc99561303"/>
      <w:bookmarkStart w:id="577" w:name="_Toc172217976"/>
      <w:bookmarkStart w:id="578" w:name="_Toc141873253"/>
      <w:bookmarkStart w:id="579" w:name="_Toc196727947"/>
      <w:bookmarkStart w:id="580" w:name="_Toc141873254"/>
      <w:bookmarkStart w:id="581" w:name="_Toc40275818"/>
      <w:bookmarkStart w:id="582" w:name="_Toc142400767"/>
      <w:bookmarkStart w:id="583" w:name="_Toc15484617"/>
      <w:bookmarkStart w:id="584" w:name="_Toc99561304"/>
      <w:bookmarkStart w:id="585" w:name="_Toc172217977"/>
      <w:bookmarkStart w:id="586" w:name="_Toc23152385"/>
      <w:r>
        <w:t>故障监控中心</w:t>
      </w:r>
      <w:bookmarkEnd w:id="574"/>
      <w:bookmarkEnd w:id="575"/>
      <w:bookmarkEnd w:id="576"/>
      <w:bookmarkEnd w:id="577"/>
      <w:bookmarkEnd w:id="578"/>
      <w:bookmarkEnd w:id="579"/>
    </w:p>
    <w:p w14:paraId="364484CD">
      <w:pPr>
        <w:pStyle w:val="6"/>
      </w:pPr>
      <w:r>
        <w:rPr>
          <w:rFonts w:hint="eastAsia"/>
        </w:rPr>
        <w:t>单用户检测</w:t>
      </w:r>
    </w:p>
    <w:p w14:paraId="7DA772C1">
      <w:r>
        <w:t>当设备管理员需要了解某个终端用户或IP的网络状况而又不便于操作这个终端时，可以使用单用户检测功能探测终端网络状况，便于网络维护和管理。主要检测内容包括通用及自定义地址DNS测试、并发连接测试、通用及自定义地址带宽测试、终端性能测试等。</w:t>
      </w:r>
    </w:p>
    <w:p w14:paraId="1BEA3E7E">
      <w:r>
        <w:rPr>
          <w:rFonts w:hint="eastAsia"/>
        </w:rPr>
        <w:t>通过</w:t>
      </w:r>
      <w:r>
        <w:t>菜单</w:t>
      </w:r>
      <w:r>
        <w:rPr>
          <w:rFonts w:hint="eastAsia"/>
        </w:rPr>
        <w:t>“</w:t>
      </w:r>
      <w:r>
        <w:t>数据中心 &gt; 系统监控 &gt; 故障监控中心</w:t>
      </w:r>
      <w:r>
        <w:rPr>
          <w:rFonts w:hint="eastAsia"/>
        </w:rPr>
        <w:t>”</w:t>
      </w:r>
      <w:r>
        <w:t>，进入单用户检测页面，如</w:t>
      </w:r>
      <w:r>
        <w:fldChar w:fldCharType="begin"/>
      </w:r>
      <w:r>
        <w:instrText xml:space="preserve"> REF _Ref38381915 \r \h </w:instrText>
      </w:r>
      <w:r>
        <w:fldChar w:fldCharType="separate"/>
      </w:r>
      <w:r>
        <w:rPr>
          <w:rFonts w:hint="eastAsia"/>
        </w:rPr>
        <w:t>图4-25</w:t>
      </w:r>
      <w:r>
        <w:fldChar w:fldCharType="end"/>
      </w:r>
      <w:r>
        <w:t>所示。</w:t>
      </w:r>
    </w:p>
    <w:p w14:paraId="046C1C4D">
      <w:pPr>
        <w:pStyle w:val="188"/>
      </w:pPr>
      <w:bookmarkStart w:id="587" w:name="_Ref38381915"/>
      <w:bookmarkStart w:id="588" w:name="_Toc141874408"/>
      <w:r>
        <w:t>单用户检测页面</w:t>
      </w:r>
      <w:bookmarkEnd w:id="587"/>
      <w:bookmarkEnd w:id="588"/>
    </w:p>
    <w:p w14:paraId="4286761D">
      <w:pPr>
        <w:pStyle w:val="175"/>
      </w:pPr>
      <w:r>
        <w:drawing>
          <wp:inline distT="0" distB="0" distL="0" distR="0">
            <wp:extent cx="4724400" cy="1767205"/>
            <wp:effectExtent l="0" t="0" r="0" b="4445"/>
            <wp:docPr id="3051" name="图片 3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1" name="图片 3051"/>
                    <pic:cNvPicPr>
                      <a:picLocks noChangeAspect="1"/>
                    </pic:cNvPicPr>
                  </pic:nvPicPr>
                  <pic:blipFill>
                    <a:blip r:embed="rId86"/>
                    <a:stretch>
                      <a:fillRect/>
                    </a:stretch>
                  </pic:blipFill>
                  <pic:spPr>
                    <a:xfrm>
                      <a:off x="0" y="0"/>
                      <a:ext cx="4738638" cy="1773089"/>
                    </a:xfrm>
                    <a:prstGeom prst="rect">
                      <a:avLst/>
                    </a:prstGeom>
                  </pic:spPr>
                </pic:pic>
              </a:graphicData>
            </a:graphic>
          </wp:inline>
        </w:drawing>
      </w:r>
    </w:p>
    <w:p w14:paraId="3B6DFC98"/>
    <w:p w14:paraId="058026B1">
      <w:r>
        <w:t>监测对象可以配置为IP地址（匿名用户使用）或者用户名，配置匿名用户时必须为在线用户；也可以单击“选择用户”从用户组或属性组中选择单个用户，如</w:t>
      </w:r>
      <w:r>
        <w:fldChar w:fldCharType="begin"/>
      </w:r>
      <w:r>
        <w:instrText xml:space="preserve"> REF _Ref38381945 \r \h </w:instrText>
      </w:r>
      <w:r>
        <w:fldChar w:fldCharType="separate"/>
      </w:r>
      <w:r>
        <w:rPr>
          <w:rFonts w:hint="eastAsia"/>
        </w:rPr>
        <w:t>图4-26</w:t>
      </w:r>
      <w:r>
        <w:fldChar w:fldCharType="end"/>
      </w:r>
      <w:r>
        <w:t>所示。</w:t>
      </w:r>
    </w:p>
    <w:p w14:paraId="2059151E">
      <w:pPr>
        <w:pStyle w:val="188"/>
      </w:pPr>
      <w:bookmarkStart w:id="589" w:name="_Ref38381945"/>
      <w:bookmarkStart w:id="590" w:name="_Toc141874409"/>
      <w:r>
        <w:t>单用户选择</w:t>
      </w:r>
      <w:bookmarkEnd w:id="589"/>
      <w:bookmarkEnd w:id="590"/>
    </w:p>
    <w:p w14:paraId="148BD7F3">
      <w:pPr>
        <w:spacing w:before="79" w:after="79"/>
      </w:pPr>
      <w:r>
        <w:drawing>
          <wp:inline distT="0" distB="0" distL="0" distR="0">
            <wp:extent cx="5400040" cy="2460625"/>
            <wp:effectExtent l="0" t="0" r="0" b="0"/>
            <wp:docPr id="3053" name="图片 3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3" name="图片 3053"/>
                    <pic:cNvPicPr>
                      <a:picLocks noChangeAspect="1"/>
                    </pic:cNvPicPr>
                  </pic:nvPicPr>
                  <pic:blipFill>
                    <a:blip r:embed="rId87"/>
                    <a:stretch>
                      <a:fillRect/>
                    </a:stretch>
                  </pic:blipFill>
                  <pic:spPr>
                    <a:xfrm>
                      <a:off x="0" y="0"/>
                      <a:ext cx="5400040" cy="2460625"/>
                    </a:xfrm>
                    <a:prstGeom prst="rect">
                      <a:avLst/>
                    </a:prstGeom>
                  </pic:spPr>
                </pic:pic>
              </a:graphicData>
            </a:graphic>
          </wp:inline>
        </w:drawing>
      </w:r>
    </w:p>
    <w:p w14:paraId="53E833A8"/>
    <w:p w14:paraId="0E129E95">
      <w:r>
        <w:t>在单用户检测页面，单击监测地址后面的“设置”，进入监测地址配置界面，如</w:t>
      </w:r>
      <w:r>
        <w:fldChar w:fldCharType="begin"/>
      </w:r>
      <w:r>
        <w:instrText xml:space="preserve"> REF _Ref38381952 \r \h </w:instrText>
      </w:r>
      <w:r>
        <w:fldChar w:fldCharType="separate"/>
      </w:r>
      <w:r>
        <w:rPr>
          <w:rFonts w:hint="eastAsia"/>
        </w:rPr>
        <w:t>图4-27</w:t>
      </w:r>
      <w:r>
        <w:fldChar w:fldCharType="end"/>
      </w:r>
      <w:r>
        <w:t>所示。</w:t>
      </w:r>
    </w:p>
    <w:p w14:paraId="7B5A78D7">
      <w:pPr>
        <w:pStyle w:val="188"/>
      </w:pPr>
      <w:bookmarkStart w:id="591" w:name="_Toc141874410"/>
      <w:bookmarkStart w:id="592" w:name="_Ref38381952"/>
      <w:r>
        <w:t>监测地址配置界面</w:t>
      </w:r>
      <w:bookmarkEnd w:id="591"/>
      <w:bookmarkEnd w:id="592"/>
    </w:p>
    <w:p w14:paraId="58DAD195">
      <w:pPr>
        <w:spacing w:before="79" w:after="79"/>
      </w:pPr>
      <w:r>
        <w:drawing>
          <wp:inline distT="0" distB="0" distL="0" distR="0">
            <wp:extent cx="3781425" cy="3677920"/>
            <wp:effectExtent l="0" t="0" r="0" b="0"/>
            <wp:docPr id="3055" name="图片 3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 name="图片 3055"/>
                    <pic:cNvPicPr>
                      <a:picLocks noChangeAspect="1"/>
                    </pic:cNvPicPr>
                  </pic:nvPicPr>
                  <pic:blipFill>
                    <a:blip r:embed="rId88"/>
                    <a:stretch>
                      <a:fillRect/>
                    </a:stretch>
                  </pic:blipFill>
                  <pic:spPr>
                    <a:xfrm>
                      <a:off x="0" y="0"/>
                      <a:ext cx="3787684" cy="3684456"/>
                    </a:xfrm>
                    <a:prstGeom prst="rect">
                      <a:avLst/>
                    </a:prstGeom>
                  </pic:spPr>
                </pic:pic>
              </a:graphicData>
            </a:graphic>
          </wp:inline>
        </w:drawing>
      </w:r>
    </w:p>
    <w:p w14:paraId="5DA7162C"/>
    <w:p w14:paraId="6E0A760A">
      <w:r>
        <w:t>监测地址配置界面参数如</w:t>
      </w:r>
      <w:r>
        <w:fldChar w:fldCharType="begin"/>
      </w:r>
      <w:r>
        <w:instrText xml:space="preserve"> REF _Ref38381958 \r \h </w:instrText>
      </w:r>
      <w:r>
        <w:fldChar w:fldCharType="separate"/>
      </w:r>
      <w:r>
        <w:rPr>
          <w:rFonts w:hint="eastAsia"/>
        </w:rPr>
        <w:t>表4-1</w:t>
      </w:r>
      <w:r>
        <w:fldChar w:fldCharType="end"/>
      </w:r>
      <w:r>
        <w:t>所示。</w:t>
      </w:r>
    </w:p>
    <w:p w14:paraId="225F5898">
      <w:pPr>
        <w:pStyle w:val="183"/>
      </w:pPr>
      <w:bookmarkStart w:id="593" w:name="_Ref38381958"/>
      <w:bookmarkStart w:id="594" w:name="_Toc141875384"/>
      <w:r>
        <w:t>监测地址配置参数说明</w:t>
      </w:r>
      <w:bookmarkEnd w:id="593"/>
      <w:bookmarkEnd w:id="594"/>
    </w:p>
    <w:tbl>
      <w:tblPr>
        <w:tblStyle w:val="173"/>
        <w:tblW w:w="500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708"/>
        <w:gridCol w:w="6534"/>
      </w:tblGrid>
      <w:tr w14:paraId="6A23BC7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465" w:type="pct"/>
            <w:tcBorders>
              <w:tl2br w:val="nil"/>
              <w:tr2bl w:val="nil"/>
            </w:tcBorders>
            <w:shd w:val="clear" w:color="auto" w:fill="538135" w:themeFill="accent6" w:themeFillShade="BF"/>
            <w:vAlign w:val="center"/>
          </w:tcPr>
          <w:p w14:paraId="3ED6758B">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b w:val="0"/>
                <w:bCs w:val="0"/>
                <w:i w:val="0"/>
                <w:iCs w:val="0"/>
                <w:color w:val="FFFFFF" w:themeColor="background1"/>
                <w14:textFill>
                  <w14:solidFill>
                    <w14:schemeClr w14:val="bg1"/>
                  </w14:solidFill>
                </w14:textFill>
              </w:rPr>
              <w:t>参数</w:t>
            </w:r>
          </w:p>
        </w:tc>
        <w:tc>
          <w:tcPr>
            <w:tcW w:w="3535" w:type="pct"/>
            <w:tcBorders>
              <w:tl2br w:val="nil"/>
              <w:tr2bl w:val="nil"/>
            </w:tcBorders>
            <w:shd w:val="clear" w:color="auto" w:fill="538135" w:themeFill="accent6" w:themeFillShade="BF"/>
            <w:vAlign w:val="center"/>
          </w:tcPr>
          <w:p w14:paraId="4468236C">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b w:val="0"/>
                <w:bCs w:val="0"/>
                <w:i w:val="0"/>
                <w:iCs w:val="0"/>
                <w:color w:val="FFFFFF" w:themeColor="background1"/>
                <w14:textFill>
                  <w14:solidFill>
                    <w14:schemeClr w14:val="bg1"/>
                  </w14:solidFill>
                </w14:textFill>
              </w:rPr>
              <w:t>说明</w:t>
            </w:r>
          </w:p>
        </w:tc>
      </w:tr>
      <w:tr w14:paraId="6C48CA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465" w:type="pct"/>
            <w:shd w:val="clear" w:color="auto" w:fill="auto"/>
          </w:tcPr>
          <w:p w14:paraId="780270C7">
            <w:pPr>
              <w:pStyle w:val="186"/>
              <w:widowControl w:val="0"/>
              <w:spacing w:line="240" w:lineRule="auto"/>
              <w:ind w:firstLine="0"/>
              <w:jc w:val="left"/>
            </w:pPr>
            <w:r>
              <w:t>终端页面重定向</w:t>
            </w:r>
          </w:p>
        </w:tc>
        <w:tc>
          <w:tcPr>
            <w:tcW w:w="3535" w:type="pct"/>
            <w:shd w:val="clear" w:color="auto" w:fill="auto"/>
          </w:tcPr>
          <w:p w14:paraId="10AD880B">
            <w:pPr>
              <w:pStyle w:val="186"/>
              <w:widowControl w:val="0"/>
              <w:spacing w:line="240" w:lineRule="auto"/>
              <w:ind w:firstLine="0"/>
              <w:jc w:val="left"/>
            </w:pPr>
            <w:r>
              <w:t>重定向至测试页面的终端页面。可选择访问百度时（news.baidu.com）重定向至测试页面，也可以选择访问所有Web页面时重定向至测试页面。</w:t>
            </w:r>
          </w:p>
        </w:tc>
      </w:tr>
      <w:tr w14:paraId="232CC5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465" w:type="pct"/>
            <w:shd w:val="clear" w:color="auto" w:fill="auto"/>
          </w:tcPr>
          <w:p w14:paraId="3F86415E">
            <w:pPr>
              <w:pStyle w:val="186"/>
              <w:widowControl w:val="0"/>
              <w:spacing w:line="240" w:lineRule="auto"/>
              <w:ind w:firstLine="0"/>
              <w:jc w:val="left"/>
            </w:pPr>
            <w:r>
              <w:t>监测地址</w:t>
            </w:r>
          </w:p>
        </w:tc>
        <w:tc>
          <w:tcPr>
            <w:tcW w:w="3535" w:type="pct"/>
            <w:shd w:val="clear" w:color="auto" w:fill="auto"/>
          </w:tcPr>
          <w:p w14:paraId="1C8698FA">
            <w:pPr>
              <w:pStyle w:val="186"/>
              <w:widowControl w:val="0"/>
              <w:spacing w:line="240" w:lineRule="auto"/>
              <w:ind w:firstLine="0"/>
              <w:jc w:val="left"/>
            </w:pPr>
            <w:r>
              <w:t>需要对终端用户进行网络监测的地址，作为DNS、并发连接、带宽测试使用。可以使用内置监测地址库，也可以自定义。</w:t>
            </w:r>
          </w:p>
          <w:p w14:paraId="72A782E3">
            <w:pPr>
              <w:pStyle w:val="186"/>
              <w:widowControl w:val="0"/>
              <w:spacing w:line="240" w:lineRule="auto"/>
              <w:ind w:firstLine="0"/>
              <w:jc w:val="left"/>
            </w:pPr>
            <w:r>
              <w:t>如果用户访问内置网不通，可以配置自定义监测地址。</w:t>
            </w:r>
          </w:p>
          <w:p w14:paraId="1F553707">
            <w:pPr>
              <w:pStyle w:val="186"/>
              <w:widowControl w:val="0"/>
              <w:spacing w:line="240" w:lineRule="auto"/>
              <w:ind w:firstLine="0"/>
              <w:jc w:val="left"/>
            </w:pPr>
            <w:r>
              <w:t>自定义监测地址格式支持域名、域名+端口、不带路径的URL（例：www.example.com、www.example.com:8080、http://www.example.com）一行支持一个域名，回车换行，最多支持8个。</w:t>
            </w:r>
          </w:p>
        </w:tc>
      </w:tr>
    </w:tbl>
    <w:p w14:paraId="0790AF2A"/>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57433EDC">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70C28A05">
            <w:pPr>
              <w:pStyle w:val="150"/>
              <w:adjustRightInd w:val="0"/>
              <w:snapToGrid w:val="0"/>
              <w:rPr>
                <w:color w:val="auto"/>
              </w:rPr>
            </w:pPr>
            <w:r>
              <w:rPr>
                <w:color w:val="auto"/>
              </w:rPr>
              <w:drawing>
                <wp:inline distT="0" distB="0" distL="0" distR="0">
                  <wp:extent cx="283210" cy="283210"/>
                  <wp:effectExtent l="0" t="0" r="2540" b="254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0C55E96B">
            <w:pPr>
              <w:pStyle w:val="150"/>
              <w:numPr>
                <w:ilvl w:val="0"/>
                <w:numId w:val="22"/>
              </w:numPr>
              <w:adjustRightInd w:val="0"/>
              <w:snapToGrid w:val="0"/>
              <w:rPr>
                <w:color w:val="auto"/>
              </w:rPr>
            </w:pPr>
            <w:r>
              <w:rPr>
                <w:rFonts w:hint="eastAsia"/>
                <w:color w:val="auto"/>
              </w:rPr>
              <w:t>自定义监测地址不支持https网站。</w:t>
            </w:r>
          </w:p>
          <w:p w14:paraId="56E86192">
            <w:pPr>
              <w:pStyle w:val="150"/>
              <w:numPr>
                <w:ilvl w:val="0"/>
                <w:numId w:val="22"/>
              </w:numPr>
              <w:adjustRightInd w:val="0"/>
              <w:snapToGrid w:val="0"/>
              <w:rPr>
                <w:color w:val="auto"/>
              </w:rPr>
            </w:pPr>
            <w:r>
              <w:rPr>
                <w:rFonts w:hint="eastAsia"/>
                <w:color w:val="auto"/>
              </w:rPr>
              <w:t>如果多个终端使用同一个认证用户上网，终端都会推送测试页面，但只能监测一个终端。</w:t>
            </w:r>
          </w:p>
          <w:p w14:paraId="424474D7">
            <w:pPr>
              <w:pStyle w:val="150"/>
              <w:numPr>
                <w:ilvl w:val="0"/>
                <w:numId w:val="22"/>
              </w:numPr>
              <w:adjustRightInd w:val="0"/>
              <w:snapToGrid w:val="0"/>
              <w:rPr>
                <w:color w:val="auto"/>
              </w:rPr>
            </w:pPr>
            <w:r>
              <w:rPr>
                <w:rFonts w:hint="eastAsia"/>
                <w:color w:val="auto"/>
              </w:rPr>
              <w:t>若探测用户名为IP地址，则只针对此IP地址的用户进行单用户检测，不会检测此IP地址的匿名用户。</w:t>
            </w:r>
          </w:p>
        </w:tc>
      </w:tr>
    </w:tbl>
    <w:p w14:paraId="059AF06F"/>
    <w:p w14:paraId="24069384">
      <w:r>
        <w:t>单击“开始监测”按钮，设备端会显示正在等待终端用户访问，如</w:t>
      </w:r>
      <w:r>
        <w:fldChar w:fldCharType="begin"/>
      </w:r>
      <w:r>
        <w:instrText xml:space="preserve"> REF _Ref38381968 \r \h </w:instrText>
      </w:r>
      <w:r>
        <w:fldChar w:fldCharType="separate"/>
      </w:r>
      <w:r>
        <w:rPr>
          <w:rFonts w:hint="eastAsia"/>
        </w:rPr>
        <w:t>图4-28</w:t>
      </w:r>
      <w:r>
        <w:fldChar w:fldCharType="end"/>
      </w:r>
      <w:r>
        <w:t>所示。</w:t>
      </w:r>
    </w:p>
    <w:p w14:paraId="2B55E37B">
      <w:pPr>
        <w:pStyle w:val="188"/>
      </w:pPr>
      <w:bookmarkStart w:id="595" w:name="_Ref38381968"/>
      <w:bookmarkStart w:id="596" w:name="_Toc141874411"/>
      <w:r>
        <w:t>开始监测界面</w:t>
      </w:r>
      <w:bookmarkEnd w:id="595"/>
      <w:bookmarkEnd w:id="596"/>
    </w:p>
    <w:p w14:paraId="1904A5D3">
      <w:pPr>
        <w:spacing w:before="79" w:after="79"/>
      </w:pPr>
      <w:r>
        <w:drawing>
          <wp:inline distT="0" distB="0" distL="0" distR="0">
            <wp:extent cx="4772025" cy="2343150"/>
            <wp:effectExtent l="0" t="0" r="0" b="0"/>
            <wp:docPr id="3059" name="图片 3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9" name="图片 3059"/>
                    <pic:cNvPicPr>
                      <a:picLocks noChangeAspect="1"/>
                    </pic:cNvPicPr>
                  </pic:nvPicPr>
                  <pic:blipFill>
                    <a:blip r:embed="rId89"/>
                    <a:stretch>
                      <a:fillRect/>
                    </a:stretch>
                  </pic:blipFill>
                  <pic:spPr>
                    <a:xfrm>
                      <a:off x="0" y="0"/>
                      <a:ext cx="4781884" cy="2348206"/>
                    </a:xfrm>
                    <a:prstGeom prst="rect">
                      <a:avLst/>
                    </a:prstGeom>
                  </pic:spPr>
                </pic:pic>
              </a:graphicData>
            </a:graphic>
          </wp:inline>
        </w:drawing>
      </w:r>
    </w:p>
    <w:p w14:paraId="625A55B5"/>
    <w:p w14:paraId="3E96FA96">
      <w:r>
        <w:t>开始监测后，如果用户终端一直无请求，则5分钟后设备端页面会提示用户测试超时；单击“取消监测”可以停止监测。</w:t>
      </w:r>
    </w:p>
    <w:p w14:paraId="411833AB">
      <w:r>
        <w:t>如果用户终端开启测试，测试完成后设备端页面会显示最终测试结果，若测试质量差，会显示网络诊断信息。</w:t>
      </w:r>
    </w:p>
    <w:p w14:paraId="58830588">
      <w:pPr>
        <w:pStyle w:val="6"/>
      </w:pPr>
      <w:bookmarkStart w:id="597" w:name="_Toc143095999"/>
      <w:r>
        <w:rPr>
          <w:rFonts w:hint="eastAsia"/>
        </w:rPr>
        <w:t>网络故障排查</w:t>
      </w:r>
      <w:bookmarkEnd w:id="597"/>
    </w:p>
    <w:p w14:paraId="35780727">
      <w:r>
        <w:rPr>
          <w:rFonts w:hint="eastAsia"/>
        </w:rPr>
        <w:t>在导航栏中选择“数据中心 &gt; 系统监控 &gt;</w:t>
      </w:r>
      <w:r>
        <w:t xml:space="preserve"> </w:t>
      </w:r>
      <w:r>
        <w:rPr>
          <w:rFonts w:hint="eastAsia"/>
        </w:rPr>
        <w:t>故障监控中心”，选择“网络故障排查”页签，查看设备转发流量以及异常事件情况，如</w:t>
      </w:r>
      <w:r>
        <w:fldChar w:fldCharType="begin"/>
      </w:r>
      <w:r>
        <w:instrText xml:space="preserve"> </w:instrText>
      </w:r>
      <w:r>
        <w:rPr>
          <w:rFonts w:hint="eastAsia"/>
        </w:rPr>
        <w:instrText xml:space="preserve">REF _Ref143093606 \r \h</w:instrText>
      </w:r>
      <w:r>
        <w:instrText xml:space="preserve"> </w:instrText>
      </w:r>
      <w:r>
        <w:fldChar w:fldCharType="separate"/>
      </w:r>
      <w:r>
        <w:rPr>
          <w:rFonts w:hint="eastAsia"/>
        </w:rPr>
        <w:t>图4-29</w:t>
      </w:r>
      <w:r>
        <w:fldChar w:fldCharType="end"/>
      </w:r>
      <w:r>
        <w:rPr>
          <w:rFonts w:hint="eastAsia"/>
        </w:rPr>
        <w:t>所示。</w:t>
      </w:r>
    </w:p>
    <w:p w14:paraId="58B7275A">
      <w:r>
        <w:rPr>
          <w:rFonts w:hint="eastAsia"/>
        </w:rPr>
        <w:t>设备整机流量波形图可展示最近一小时、最近一天、最近一周的整机流量趋势。</w:t>
      </w:r>
    </w:p>
    <w:p w14:paraId="056D8CC7">
      <w:r>
        <w:t>选择时间</w:t>
      </w:r>
      <w:r>
        <w:rPr>
          <w:rFonts w:hint="eastAsia"/>
        </w:rPr>
        <w:t>，</w:t>
      </w:r>
      <w:r>
        <w:t>可查看所选日期的异常事件情况</w:t>
      </w:r>
      <w:r>
        <w:rPr>
          <w:rFonts w:hint="eastAsia"/>
        </w:rPr>
        <w:t>，</w:t>
      </w:r>
      <w:r>
        <w:t>默认显示系统当天的异常事件情况</w:t>
      </w:r>
      <w:r>
        <w:rPr>
          <w:rFonts w:hint="eastAsia"/>
        </w:rPr>
        <w:t>。如</w:t>
      </w:r>
      <w:r>
        <w:fldChar w:fldCharType="begin"/>
      </w:r>
      <w:r>
        <w:instrText xml:space="preserve"> </w:instrText>
      </w:r>
      <w:r>
        <w:rPr>
          <w:rFonts w:hint="eastAsia"/>
        </w:rPr>
        <w:instrText xml:space="preserve">REF _Ref143094634 \r \h</w:instrText>
      </w:r>
      <w:r>
        <w:instrText xml:space="preserve"> </w:instrText>
      </w:r>
      <w:r>
        <w:fldChar w:fldCharType="separate"/>
      </w:r>
      <w:r>
        <w:rPr>
          <w:rFonts w:hint="eastAsia"/>
        </w:rPr>
        <w:t>图4-30</w:t>
      </w:r>
      <w:r>
        <w:fldChar w:fldCharType="end"/>
      </w:r>
      <w:r>
        <w:t>所示</w:t>
      </w:r>
      <w:r>
        <w:rPr>
          <w:rFonts w:hint="eastAsia"/>
        </w:rPr>
        <w:t>。</w:t>
      </w:r>
      <w:r>
        <w:t>单击页签可查看以下异常事件日志</w:t>
      </w:r>
      <w:r>
        <w:rPr>
          <w:rFonts w:hint="eastAsia"/>
        </w:rPr>
        <w:t>：</w:t>
      </w:r>
    </w:p>
    <w:p w14:paraId="56BE630B">
      <w:pPr>
        <w:pStyle w:val="162"/>
      </w:pPr>
      <w:r>
        <w:rPr>
          <w:rFonts w:hint="eastAsia"/>
        </w:rPr>
        <w:t>内网DOS事件：显示DOS攻击产生的日志，需要在设备上开启DOS攻击防护功能。</w:t>
      </w:r>
    </w:p>
    <w:p w14:paraId="60EA720A">
      <w:pPr>
        <w:pStyle w:val="162"/>
      </w:pPr>
      <w:r>
        <w:rPr>
          <w:rFonts w:hint="eastAsia"/>
        </w:rPr>
        <w:t>网口丢包事件：显示网口丢包事件产生的日志。</w:t>
      </w:r>
    </w:p>
    <w:p w14:paraId="1D25C9B1">
      <w:pPr>
        <w:pStyle w:val="162"/>
      </w:pPr>
      <w:r>
        <w:rPr>
          <w:rFonts w:hint="eastAsia"/>
        </w:rPr>
        <w:t>ARP</w:t>
      </w:r>
      <w:r>
        <w:t>/ND</w:t>
      </w:r>
      <w:r>
        <w:rPr>
          <w:rFonts w:hint="eastAsia"/>
        </w:rPr>
        <w:t>异常事件：显示安全防护日志中ARP和ND攻击产生日志，需要在设备上开启ARP/ND攻击防护功能。</w:t>
      </w:r>
    </w:p>
    <w:p w14:paraId="4DB75FE5">
      <w:pPr>
        <w:pStyle w:val="162"/>
      </w:pPr>
      <w:r>
        <w:rPr>
          <w:rFonts w:hint="eastAsia"/>
        </w:rPr>
        <w:t>流量告警事件：显示系统告警日志中整机流量告警记录。</w:t>
      </w:r>
    </w:p>
    <w:p w14:paraId="0EE6B0CE"/>
    <w:p w14:paraId="431995CB">
      <w:pPr>
        <w:pStyle w:val="188"/>
      </w:pPr>
      <w:bookmarkStart w:id="598" w:name="_Ref143093606"/>
      <w:r>
        <w:rPr>
          <w:rFonts w:hint="eastAsia"/>
        </w:rPr>
        <w:t>网络故障排查页面</w:t>
      </w:r>
      <w:bookmarkEnd w:id="598"/>
    </w:p>
    <w:p w14:paraId="4794671C">
      <w:pPr>
        <w:pStyle w:val="175"/>
      </w:pPr>
      <w:r>
        <w:drawing>
          <wp:inline distT="0" distB="0" distL="0" distR="0">
            <wp:extent cx="5391150" cy="3994150"/>
            <wp:effectExtent l="0" t="0" r="0" b="635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90"/>
                    <a:stretch>
                      <a:fillRect/>
                    </a:stretch>
                  </pic:blipFill>
                  <pic:spPr>
                    <a:xfrm>
                      <a:off x="0" y="0"/>
                      <a:ext cx="5395727" cy="3997954"/>
                    </a:xfrm>
                    <a:prstGeom prst="rect">
                      <a:avLst/>
                    </a:prstGeom>
                  </pic:spPr>
                </pic:pic>
              </a:graphicData>
            </a:graphic>
          </wp:inline>
        </w:drawing>
      </w:r>
    </w:p>
    <w:p w14:paraId="23447943"/>
    <w:p w14:paraId="14ECBBE3">
      <w:pPr>
        <w:pStyle w:val="188"/>
      </w:pPr>
      <w:bookmarkStart w:id="599" w:name="_Ref143094634"/>
      <w:r>
        <w:rPr>
          <w:rFonts w:hint="eastAsia"/>
        </w:rPr>
        <w:t>网络故障排查-异常事件页面</w:t>
      </w:r>
      <w:bookmarkEnd w:id="599"/>
    </w:p>
    <w:p w14:paraId="58F09DF3">
      <w:pPr>
        <w:pStyle w:val="175"/>
      </w:pPr>
      <w:r>
        <w:drawing>
          <wp:inline distT="0" distB="0" distL="0" distR="0">
            <wp:extent cx="5654040" cy="2468880"/>
            <wp:effectExtent l="0" t="0" r="3810" b="762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91"/>
                    <a:stretch>
                      <a:fillRect/>
                    </a:stretch>
                  </pic:blipFill>
                  <pic:spPr>
                    <a:xfrm>
                      <a:off x="0" y="0"/>
                      <a:ext cx="5664689" cy="2473563"/>
                    </a:xfrm>
                    <a:prstGeom prst="rect">
                      <a:avLst/>
                    </a:prstGeom>
                  </pic:spPr>
                </pic:pic>
              </a:graphicData>
            </a:graphic>
          </wp:inline>
        </w:drawing>
      </w:r>
    </w:p>
    <w:p w14:paraId="21E84CBE"/>
    <w:p w14:paraId="67D4EA37">
      <w:pPr>
        <w:pStyle w:val="6"/>
      </w:pPr>
      <w:bookmarkStart w:id="600" w:name="_Toc143096000"/>
      <w:r>
        <w:rPr>
          <w:rFonts w:hint="eastAsia"/>
        </w:rPr>
        <w:t>解密策略故障排查</w:t>
      </w:r>
      <w:bookmarkEnd w:id="600"/>
    </w:p>
    <w:p w14:paraId="6E2A2DF9">
      <w:r>
        <w:rPr>
          <w:rFonts w:hint="eastAsia"/>
        </w:rPr>
        <w:t>设备支持解密策略故障排查功能，可以根据准入客户端的安装情况、证书安装情况、异常详情来定位故障信息。</w:t>
      </w:r>
    </w:p>
    <w:p w14:paraId="63329C2C">
      <w:r>
        <w:rPr>
          <w:rFonts w:hint="eastAsia"/>
        </w:rPr>
        <w:t>在导航栏中选择“数据中心 &gt; 系统监控 &gt;</w:t>
      </w:r>
      <w:r>
        <w:t xml:space="preserve"> </w:t>
      </w:r>
      <w:r>
        <w:rPr>
          <w:rFonts w:hint="eastAsia"/>
        </w:rPr>
        <w:t>故障监控中心”，选择“解密策略故障排查”页签，可以查看客户端匹配的解密策略信息，客户端SSL解密证书安装情况，如</w:t>
      </w:r>
      <w:r>
        <w:t>下图</w:t>
      </w:r>
      <w:r>
        <w:rPr>
          <w:rFonts w:hint="eastAsia"/>
        </w:rPr>
        <w:t>所示。</w:t>
      </w:r>
    </w:p>
    <w:p w14:paraId="279E216C">
      <w:pPr>
        <w:pStyle w:val="188"/>
      </w:pPr>
      <w:r>
        <w:rPr>
          <w:rFonts w:hint="eastAsia"/>
        </w:rPr>
        <w:t>解密策略故障排查页面</w:t>
      </w:r>
    </w:p>
    <w:p w14:paraId="7874F31D">
      <w:pPr>
        <w:pStyle w:val="175"/>
      </w:pPr>
      <w:r>
        <w:drawing>
          <wp:inline distT="0" distB="0" distL="0" distR="0">
            <wp:extent cx="6120765" cy="1063625"/>
            <wp:effectExtent l="0" t="0" r="0" b="3175"/>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92"/>
                    <a:stretch>
                      <a:fillRect/>
                    </a:stretch>
                  </pic:blipFill>
                  <pic:spPr>
                    <a:xfrm>
                      <a:off x="0" y="0"/>
                      <a:ext cx="6120765" cy="1063625"/>
                    </a:xfrm>
                    <a:prstGeom prst="rect">
                      <a:avLst/>
                    </a:prstGeom>
                  </pic:spPr>
                </pic:pic>
              </a:graphicData>
            </a:graphic>
          </wp:inline>
        </w:drawing>
      </w:r>
    </w:p>
    <w:p w14:paraId="399F994B">
      <w:pPr>
        <w:pStyle w:val="6"/>
      </w:pPr>
      <w:r>
        <w:rPr>
          <w:rFonts w:hint="eastAsia"/>
        </w:rPr>
        <w:t>用户认证故障排查</w:t>
      </w:r>
    </w:p>
    <w:p w14:paraId="3AC8B288">
      <w:r>
        <w:rPr>
          <w:rFonts w:hint="eastAsia"/>
        </w:rPr>
        <w:t>配置用户认证策略后，当用户上网认证失败时，在设备上可以查看认证失败信息以及错误原因和建议等详细信息，用于排查定位用户认证失败的故障情况。</w:t>
      </w:r>
    </w:p>
    <w:p w14:paraId="4075CE8B">
      <w:r>
        <w:rPr>
          <w:rFonts w:hint="eastAsia"/>
        </w:rPr>
        <w:t>在导航栏中选择“数据中心 &gt; 系统监控 &gt;</w:t>
      </w:r>
      <w:r>
        <w:t xml:space="preserve"> </w:t>
      </w:r>
      <w:r>
        <w:rPr>
          <w:rFonts w:hint="eastAsia"/>
        </w:rPr>
        <w:t>故障监控中心”，选择“用户认证故障排查”页签，可以查看用户认证失败的信息，包括请求时间、用户名、IP地址、认证策略名称及错误详情等，如</w:t>
      </w:r>
      <w:r>
        <w:t>下图</w:t>
      </w:r>
      <w:r>
        <w:rPr>
          <w:rFonts w:hint="eastAsia"/>
        </w:rPr>
        <w:t>所示。</w:t>
      </w:r>
    </w:p>
    <w:p w14:paraId="02817AC0">
      <w:pPr>
        <w:pStyle w:val="188"/>
      </w:pPr>
      <w:r>
        <w:rPr>
          <w:rFonts w:hint="eastAsia"/>
        </w:rPr>
        <w:t>用户认证故障排查</w:t>
      </w:r>
      <w:r>
        <w:t>页面</w:t>
      </w:r>
    </w:p>
    <w:p w14:paraId="3C4EB978">
      <w:pPr>
        <w:pStyle w:val="175"/>
      </w:pPr>
      <w:r>
        <w:drawing>
          <wp:inline distT="0" distB="0" distL="114300" distR="114300">
            <wp:extent cx="5723255" cy="733425"/>
            <wp:effectExtent l="0" t="0" r="0" b="0"/>
            <wp:docPr id="153458203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35" name="图片 22"/>
                    <pic:cNvPicPr>
                      <a:picLocks noChangeAspect="1"/>
                    </pic:cNvPicPr>
                  </pic:nvPicPr>
                  <pic:blipFill>
                    <a:blip r:embed="rId93"/>
                    <a:stretch>
                      <a:fillRect/>
                    </a:stretch>
                  </pic:blipFill>
                  <pic:spPr>
                    <a:xfrm>
                      <a:off x="0" y="0"/>
                      <a:ext cx="5731061" cy="734423"/>
                    </a:xfrm>
                    <a:prstGeom prst="rect">
                      <a:avLst/>
                    </a:prstGeom>
                    <a:noFill/>
                    <a:ln>
                      <a:noFill/>
                    </a:ln>
                  </pic:spPr>
                </pic:pic>
              </a:graphicData>
            </a:graphic>
          </wp:inline>
        </w:drawing>
      </w:r>
    </w:p>
    <w:p w14:paraId="332E0065"/>
    <w:p w14:paraId="06D1FE55">
      <w:pPr>
        <w:pStyle w:val="6"/>
      </w:pPr>
      <w:r>
        <w:rPr>
          <w:rFonts w:hint="eastAsia"/>
        </w:rPr>
        <w:t>WEB访问质量监控</w:t>
      </w:r>
    </w:p>
    <w:p w14:paraId="4116BBF9">
      <w:r>
        <w:rPr>
          <w:rFonts w:hint="eastAsia"/>
        </w:rPr>
        <w:t>设备支持对内网用户WEB访问质量进行评估，生成网络质量基础指标数据，并对整天的网络进行评估，并以列表形式展示访问质量差的用户名单。主要功能如下：</w:t>
      </w:r>
    </w:p>
    <w:p w14:paraId="20362909">
      <w:pPr>
        <w:pStyle w:val="162"/>
      </w:pPr>
      <w:r>
        <w:rPr>
          <w:rFonts w:hint="eastAsia"/>
        </w:rPr>
        <w:t>WEB访问质量统计：</w:t>
      </w:r>
    </w:p>
    <w:p w14:paraId="58D0EF1F">
      <w:pPr>
        <w:pStyle w:val="293"/>
        <w:tabs>
          <w:tab w:val="left" w:pos="2973"/>
          <w:tab w:val="clear" w:pos="2409"/>
        </w:tabs>
        <w:ind w:left="1418"/>
      </w:pPr>
      <w:r>
        <w:rPr>
          <w:rFonts w:hint="eastAsia"/>
        </w:rPr>
        <w:t>根据TCP三次握手报文交互获取客户端时延、服务端时延，根据HTTP、HTTPS和DNS报文交互获取应用时延。</w:t>
      </w:r>
    </w:p>
    <w:p w14:paraId="62726295">
      <w:pPr>
        <w:pStyle w:val="293"/>
        <w:tabs>
          <w:tab w:val="left" w:pos="2973"/>
          <w:tab w:val="clear" w:pos="2409"/>
        </w:tabs>
        <w:ind w:left="1418"/>
      </w:pPr>
      <w:r>
        <w:rPr>
          <w:rFonts w:hint="eastAsia"/>
        </w:rPr>
        <w:t>以5分钟为周期基于用户统计客户端时延、服务端时延、应用时延三个指标，从而计算出用户的平均网络时延。</w:t>
      </w:r>
    </w:p>
    <w:p w14:paraId="593CE4AA">
      <w:pPr>
        <w:pStyle w:val="293"/>
        <w:tabs>
          <w:tab w:val="left" w:pos="2973"/>
          <w:tab w:val="clear" w:pos="2409"/>
        </w:tabs>
        <w:ind w:left="1418"/>
      </w:pPr>
      <w:r>
        <w:rPr>
          <w:rFonts w:hint="eastAsia"/>
        </w:rPr>
        <w:t>将平均时延与阈值进行比较，统计出上网快用户和上网慢用户，根据上网快慢用户的比例分析当前5分钟的网络质量结果，结果分为：优、良、差三个类别。</w:t>
      </w:r>
    </w:p>
    <w:p w14:paraId="101D353D">
      <w:pPr>
        <w:ind w:left="908" w:firstLine="226"/>
      </w:pPr>
      <w:r>
        <w:rPr>
          <w:rFonts w:hint="eastAsia"/>
        </w:rPr>
        <w:t>客户时延、服务时延、应用时延，任意一项超过时延阈值则被评估为慢用户，默认阈值如下：</w:t>
      </w:r>
    </w:p>
    <w:p w14:paraId="4B9012B7">
      <w:pPr>
        <w:pStyle w:val="293"/>
        <w:tabs>
          <w:tab w:val="left" w:pos="2973"/>
          <w:tab w:val="clear" w:pos="2409"/>
        </w:tabs>
        <w:ind w:left="1418"/>
      </w:pPr>
      <w:r>
        <w:rPr>
          <w:rFonts w:hint="eastAsia"/>
        </w:rPr>
        <w:t>客户端时延阈值：60ms</w:t>
      </w:r>
    </w:p>
    <w:p w14:paraId="712AE11A">
      <w:pPr>
        <w:pStyle w:val="293"/>
        <w:tabs>
          <w:tab w:val="left" w:pos="2973"/>
          <w:tab w:val="clear" w:pos="2409"/>
        </w:tabs>
        <w:ind w:left="1418"/>
      </w:pPr>
      <w:r>
        <w:rPr>
          <w:rFonts w:hint="eastAsia"/>
        </w:rPr>
        <w:t>服务端时延阈值：60ms</w:t>
      </w:r>
    </w:p>
    <w:p w14:paraId="150A8E7F">
      <w:pPr>
        <w:pStyle w:val="293"/>
        <w:tabs>
          <w:tab w:val="left" w:pos="2973"/>
          <w:tab w:val="clear" w:pos="2409"/>
        </w:tabs>
        <w:ind w:left="1418"/>
      </w:pPr>
      <w:r>
        <w:rPr>
          <w:rFonts w:hint="eastAsia"/>
        </w:rPr>
        <w:t>应用时延阈值：180ms</w:t>
      </w:r>
    </w:p>
    <w:p w14:paraId="51094EEA">
      <w:pPr>
        <w:pStyle w:val="162"/>
      </w:pPr>
      <w:r>
        <w:rPr>
          <w:rFonts w:hint="eastAsia"/>
        </w:rPr>
        <w:t>网络诊断结果：根据单位时间内分析的用户网络质量结果，对全天网络质量进行评估，结果分为优和差两种。当全天质量差的时间累积超过设定的标准时长，判断为全天网络质量差。</w:t>
      </w:r>
    </w:p>
    <w:p w14:paraId="6D254A5C">
      <w:pPr>
        <w:pStyle w:val="162"/>
      </w:pPr>
      <w:r>
        <w:rPr>
          <w:rFonts w:hint="eastAsia"/>
        </w:rPr>
        <w:t>上网慢用户列表：通过列表展示客户端时延、服务端时延、应用时延指标有一项大于阈值的用户信息。</w:t>
      </w:r>
    </w:p>
    <w:p w14:paraId="4AA2A614">
      <w:pPr>
        <w:pStyle w:val="162"/>
      </w:pPr>
      <w:r>
        <w:rPr>
          <w:rFonts w:hint="eastAsia"/>
        </w:rPr>
        <w:t>质量定义：可以定义实时用户网络质量和全天网络质量的评估标准，根据定义分析单位时间用户网络质量的优中差及全天网络质量。</w:t>
      </w:r>
    </w:p>
    <w:p w14:paraId="5CCA3471"/>
    <w:p w14:paraId="544AB176">
      <w:pPr>
        <w:pStyle w:val="162"/>
      </w:pPr>
      <w:r>
        <w:rPr>
          <w:rFonts w:hint="eastAsia"/>
        </w:rPr>
        <w:t>Web页面配置如下：</w:t>
      </w:r>
    </w:p>
    <w:p w14:paraId="5086D09C">
      <w:pPr>
        <w:pStyle w:val="202"/>
        <w:rPr>
          <w:lang w:eastAsia="zh-CN"/>
        </w:rPr>
      </w:pPr>
      <w:r>
        <w:rPr>
          <w:rFonts w:hint="eastAsia"/>
          <w:lang w:eastAsia="zh-CN"/>
        </w:rPr>
        <w:t>查看WEB访问质量监控</w:t>
      </w:r>
    </w:p>
    <w:p w14:paraId="5EFDDB38">
      <w:r>
        <w:rPr>
          <w:rFonts w:hint="eastAsia"/>
        </w:rPr>
        <w:t>在导航栏中选择“数据中心 &gt; 系统监控 &gt; 故障监控中心”，选择“WEB访问质量监控”页签，进入“WEB访问质量监控”页面，如</w:t>
      </w:r>
      <w:r>
        <w:t>下图</w:t>
      </w:r>
      <w:r>
        <w:rPr>
          <w:rFonts w:hint="eastAsia"/>
        </w:rPr>
        <w:t>所示。勾选“WEB访问质量监控”后开启WEB访问质量检测功能，开启后可以查看统计日期当天2</w:t>
      </w:r>
      <w:r>
        <w:t>4</w:t>
      </w:r>
      <w:r>
        <w:rPr>
          <w:rFonts w:hint="eastAsia"/>
        </w:rPr>
        <w:t>小时的Web访问质量趋势图，趋势图上展示统计周期内上网快用户数及上网慢用户数。</w:t>
      </w:r>
    </w:p>
    <w:p w14:paraId="74CEBB1F"/>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480EAF12">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35EE80E5">
            <w:pPr>
              <w:pStyle w:val="150"/>
              <w:adjustRightInd w:val="0"/>
              <w:snapToGrid w:val="0"/>
              <w:rPr>
                <w:color w:val="auto"/>
              </w:rPr>
            </w:pPr>
            <w:r>
              <w:rPr>
                <w:color w:val="auto"/>
              </w:rPr>
              <w:drawing>
                <wp:inline distT="0" distB="0" distL="0" distR="0">
                  <wp:extent cx="283210" cy="283210"/>
                  <wp:effectExtent l="0" t="0" r="2540" b="254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5A88F742">
            <w:pPr>
              <w:pStyle w:val="150"/>
              <w:numPr>
                <w:ilvl w:val="0"/>
                <w:numId w:val="22"/>
              </w:numPr>
              <w:adjustRightInd w:val="0"/>
              <w:snapToGrid w:val="0"/>
              <w:rPr>
                <w:color w:val="auto"/>
              </w:rPr>
            </w:pPr>
            <w:r>
              <w:rPr>
                <w:rFonts w:hint="eastAsia"/>
                <w:color w:val="auto"/>
              </w:rPr>
              <w:t>WEB访问质量趋势图上展示的各个统计周期的数据为当前统计时间前5分钟的数据。</w:t>
            </w:r>
          </w:p>
          <w:p w14:paraId="538287A7">
            <w:pPr>
              <w:pStyle w:val="150"/>
              <w:numPr>
                <w:ilvl w:val="0"/>
                <w:numId w:val="22"/>
              </w:numPr>
              <w:adjustRightInd w:val="0"/>
              <w:snapToGrid w:val="0"/>
              <w:rPr>
                <w:color w:val="auto"/>
              </w:rPr>
            </w:pPr>
            <w:r>
              <w:rPr>
                <w:rFonts w:hint="eastAsia"/>
                <w:color w:val="auto"/>
              </w:rPr>
              <w:t>在线用户小于10W时使用寄存器触发，无论前5分钟的用户在当前5分钟是否有流量均统计，如0:00-4:59时间段的数据在5:00-9:59时间段统计，0:00-4:59时间段的数据显示在图0:00的位置。</w:t>
            </w:r>
          </w:p>
          <w:p w14:paraId="54D9F166">
            <w:pPr>
              <w:pStyle w:val="150"/>
              <w:numPr>
                <w:ilvl w:val="0"/>
                <w:numId w:val="22"/>
              </w:numPr>
              <w:adjustRightInd w:val="0"/>
              <w:snapToGrid w:val="0"/>
              <w:rPr>
                <w:color w:val="auto"/>
              </w:rPr>
            </w:pPr>
            <w:r>
              <w:rPr>
                <w:rFonts w:hint="eastAsia"/>
                <w:color w:val="auto"/>
              </w:rPr>
              <w:t>在线用户大于10W时使用流量触发，只有前5分钟的用户在当前5分钟有流量时才统计，如0:00-4:59时间段的用户在5:00-9:59时间段产生流量则统计产生了流量的用户数据，0:00-4:59时间段的数据显示在图0:00的位置。</w:t>
            </w:r>
          </w:p>
        </w:tc>
      </w:tr>
    </w:tbl>
    <w:p w14:paraId="2829CC4A"/>
    <w:p w14:paraId="668F0B5F">
      <w:pPr>
        <w:pStyle w:val="162"/>
      </w:pPr>
      <w:r>
        <w:rPr>
          <w:rFonts w:hint="eastAsia"/>
        </w:rPr>
        <w:t>鼠标移到趋势图上，可以查看当前时间段的网络质量、上网快用户和上网慢用户数。</w:t>
      </w:r>
    </w:p>
    <w:p w14:paraId="18B42936">
      <w:pPr>
        <w:pStyle w:val="162"/>
      </w:pPr>
      <w:r>
        <w:rPr>
          <w:rFonts w:hint="eastAsia"/>
        </w:rPr>
        <w:t>在网络诊断分析结果栏，可以查看全天网络质量分析的结果，包括优和差，以及全天网络质量差的分析结果。</w:t>
      </w:r>
    </w:p>
    <w:p w14:paraId="529DAD18">
      <w:pPr>
        <w:pStyle w:val="162"/>
      </w:pPr>
      <w:r>
        <w:rPr>
          <w:rFonts w:hint="eastAsia"/>
        </w:rPr>
        <w:t>可查看上网慢用户列表，可支持根据用户名、IP及所属组进行查询。单击WEB访问质量统计趋势图，可以查看当前所选时间段上网慢用户列表。</w:t>
      </w:r>
    </w:p>
    <w:p w14:paraId="06065F91">
      <w:pPr>
        <w:pStyle w:val="188"/>
      </w:pPr>
      <w:r>
        <w:rPr>
          <w:rFonts w:hint="eastAsia"/>
        </w:rPr>
        <w:t>WEB访问质量监控</w:t>
      </w:r>
      <w:r>
        <w:t>页面</w:t>
      </w:r>
    </w:p>
    <w:p w14:paraId="3D8CFC17">
      <w:pPr>
        <w:pStyle w:val="175"/>
      </w:pPr>
      <w:r>
        <w:drawing>
          <wp:inline distT="0" distB="0" distL="114300" distR="114300">
            <wp:extent cx="5648325" cy="2857500"/>
            <wp:effectExtent l="0" t="0" r="3175" b="0"/>
            <wp:docPr id="15345820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36" name="图片 1"/>
                    <pic:cNvPicPr>
                      <a:picLocks noChangeAspect="1"/>
                    </pic:cNvPicPr>
                  </pic:nvPicPr>
                  <pic:blipFill>
                    <a:blip r:embed="rId94"/>
                    <a:stretch>
                      <a:fillRect/>
                    </a:stretch>
                  </pic:blipFill>
                  <pic:spPr>
                    <a:xfrm>
                      <a:off x="0" y="0"/>
                      <a:ext cx="5648325" cy="2857500"/>
                    </a:xfrm>
                    <a:prstGeom prst="rect">
                      <a:avLst/>
                    </a:prstGeom>
                    <a:noFill/>
                    <a:ln>
                      <a:noFill/>
                    </a:ln>
                  </pic:spPr>
                </pic:pic>
              </a:graphicData>
            </a:graphic>
          </wp:inline>
        </w:drawing>
      </w:r>
    </w:p>
    <w:p w14:paraId="64AFE3F5"/>
    <w:p w14:paraId="4AC91388">
      <w:pPr>
        <w:pStyle w:val="202"/>
        <w:rPr>
          <w:lang w:eastAsia="zh-CN"/>
        </w:rPr>
      </w:pPr>
      <w:r>
        <w:rPr>
          <w:rFonts w:hint="eastAsia"/>
          <w:lang w:eastAsia="zh-CN"/>
        </w:rPr>
        <w:t>点击“质量定义”按钮，打开质量定义对话框，可定义实时质量及全天质量。</w:t>
      </w:r>
    </w:p>
    <w:p w14:paraId="1EFF26F8">
      <w:pPr>
        <w:pStyle w:val="188"/>
      </w:pPr>
      <w:r>
        <w:rPr>
          <w:rFonts w:hint="eastAsia"/>
        </w:rPr>
        <w:t>质量定义</w:t>
      </w:r>
      <w:r>
        <w:t>页面</w:t>
      </w:r>
    </w:p>
    <w:p w14:paraId="3D86B469">
      <w:pPr>
        <w:pStyle w:val="175"/>
      </w:pPr>
      <w:r>
        <w:drawing>
          <wp:inline distT="0" distB="0" distL="114300" distR="114300">
            <wp:extent cx="3835400" cy="2559050"/>
            <wp:effectExtent l="0" t="0" r="0" b="6350"/>
            <wp:docPr id="15345820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37" name="图片 2"/>
                    <pic:cNvPicPr>
                      <a:picLocks noChangeAspect="1"/>
                    </pic:cNvPicPr>
                  </pic:nvPicPr>
                  <pic:blipFill>
                    <a:blip r:embed="rId95"/>
                    <a:stretch>
                      <a:fillRect/>
                    </a:stretch>
                  </pic:blipFill>
                  <pic:spPr>
                    <a:xfrm>
                      <a:off x="0" y="0"/>
                      <a:ext cx="3835400" cy="2559050"/>
                    </a:xfrm>
                    <a:prstGeom prst="rect">
                      <a:avLst/>
                    </a:prstGeom>
                    <a:noFill/>
                    <a:ln>
                      <a:noFill/>
                    </a:ln>
                  </pic:spPr>
                </pic:pic>
              </a:graphicData>
            </a:graphic>
          </wp:inline>
        </w:drawing>
      </w:r>
    </w:p>
    <w:p w14:paraId="73C40273"/>
    <w:p w14:paraId="419EDB9B">
      <w:r>
        <w:rPr>
          <w:rFonts w:hint="eastAsia"/>
        </w:rPr>
        <w:t>页面的详细说明如下表所示。</w:t>
      </w:r>
    </w:p>
    <w:p w14:paraId="065B9D75">
      <w:pPr>
        <w:pStyle w:val="183"/>
      </w:pPr>
      <w:r>
        <w:rPr>
          <w:rFonts w:hint="eastAsia"/>
        </w:rPr>
        <w:t>用户组新建页面详细说明</w:t>
      </w:r>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53174BE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tcBorders>
              <w:tl2br w:val="nil"/>
              <w:tr2bl w:val="nil"/>
            </w:tcBorders>
            <w:shd w:val="clear" w:color="auto" w:fill="538135" w:themeFill="accent6" w:themeFillShade="BF"/>
            <w:vAlign w:val="center"/>
          </w:tcPr>
          <w:p w14:paraId="03B4444F">
            <w:pPr>
              <w:pStyle w:val="149"/>
              <w:wordWrap/>
              <w:rPr>
                <w:b/>
                <w:bCs/>
                <w:i w:val="0"/>
                <w:iCs w:val="0"/>
              </w:rPr>
            </w:pPr>
            <w:r>
              <w:rPr>
                <w:rFonts w:hint="eastAsia"/>
                <w:b/>
                <w:bCs/>
                <w:i w:val="0"/>
                <w:iCs w:val="0"/>
              </w:rPr>
              <w:t>项目</w:t>
            </w:r>
          </w:p>
        </w:tc>
        <w:tc>
          <w:tcPr>
            <w:tcW w:w="6816" w:type="dxa"/>
            <w:tcBorders>
              <w:tl2br w:val="nil"/>
              <w:tr2bl w:val="nil"/>
            </w:tcBorders>
            <w:shd w:val="clear" w:color="auto" w:fill="538135" w:themeFill="accent6" w:themeFillShade="BF"/>
            <w:vAlign w:val="center"/>
          </w:tcPr>
          <w:p w14:paraId="35AD4405">
            <w:pPr>
              <w:pStyle w:val="149"/>
              <w:wordWrap/>
              <w:rPr>
                <w:b/>
                <w:bCs/>
                <w:i w:val="0"/>
                <w:iCs w:val="0"/>
              </w:rPr>
            </w:pPr>
            <w:r>
              <w:rPr>
                <w:rFonts w:hint="eastAsia"/>
                <w:b/>
                <w:bCs/>
                <w:i w:val="0"/>
                <w:iCs w:val="0"/>
              </w:rPr>
              <w:t>说明</w:t>
            </w:r>
          </w:p>
        </w:tc>
      </w:tr>
      <w:tr w14:paraId="3FE9CB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3FC8DAAE">
            <w:pPr>
              <w:pStyle w:val="186"/>
              <w:widowControl w:val="0"/>
              <w:spacing w:line="240" w:lineRule="auto"/>
              <w:ind w:firstLine="0"/>
              <w:jc w:val="left"/>
            </w:pPr>
            <w:r>
              <w:rPr>
                <w:rFonts w:hint="eastAsia"/>
              </w:rPr>
              <w:t>优</w:t>
            </w:r>
          </w:p>
        </w:tc>
        <w:tc>
          <w:tcPr>
            <w:tcW w:w="6816" w:type="dxa"/>
            <w:shd w:val="clear" w:color="auto" w:fill="auto"/>
          </w:tcPr>
          <w:p w14:paraId="177A0A4C">
            <w:pPr>
              <w:pStyle w:val="186"/>
              <w:widowControl w:val="0"/>
              <w:spacing w:line="240" w:lineRule="auto"/>
              <w:ind w:firstLine="0"/>
              <w:jc w:val="left"/>
            </w:pPr>
            <w:r>
              <w:rPr>
                <w:rFonts w:hint="eastAsia"/>
              </w:rPr>
              <w:t>上网快用户大于该值为优。</w:t>
            </w:r>
          </w:p>
        </w:tc>
      </w:tr>
      <w:tr w14:paraId="619CDA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0725F35F">
            <w:pPr>
              <w:pStyle w:val="186"/>
              <w:widowControl w:val="0"/>
              <w:spacing w:line="240" w:lineRule="auto"/>
              <w:ind w:firstLine="0"/>
              <w:jc w:val="left"/>
            </w:pPr>
            <w:r>
              <w:rPr>
                <w:rFonts w:hint="eastAsia"/>
              </w:rPr>
              <w:t>差</w:t>
            </w:r>
          </w:p>
        </w:tc>
        <w:tc>
          <w:tcPr>
            <w:tcW w:w="6816" w:type="dxa"/>
            <w:shd w:val="clear" w:color="auto" w:fill="auto"/>
          </w:tcPr>
          <w:p w14:paraId="55F636B0">
            <w:pPr>
              <w:pStyle w:val="186"/>
              <w:widowControl w:val="0"/>
              <w:spacing w:line="240" w:lineRule="auto"/>
              <w:ind w:firstLine="0"/>
              <w:jc w:val="left"/>
            </w:pPr>
            <w:r>
              <w:rPr>
                <w:rFonts w:hint="eastAsia"/>
              </w:rPr>
              <w:t>上网慢用户大于该值为慢。</w:t>
            </w:r>
          </w:p>
        </w:tc>
      </w:tr>
      <w:tr w14:paraId="3E0B9D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5967DAF4">
            <w:pPr>
              <w:pStyle w:val="186"/>
              <w:widowControl w:val="0"/>
              <w:spacing w:line="240" w:lineRule="auto"/>
              <w:ind w:firstLine="0"/>
              <w:jc w:val="left"/>
            </w:pPr>
            <w:r>
              <w:rPr>
                <w:rFonts w:hint="eastAsia"/>
              </w:rPr>
              <w:t>活跃用户</w:t>
            </w:r>
          </w:p>
        </w:tc>
        <w:tc>
          <w:tcPr>
            <w:tcW w:w="6816" w:type="dxa"/>
            <w:shd w:val="clear" w:color="auto" w:fill="auto"/>
          </w:tcPr>
          <w:p w14:paraId="0047B5BC">
            <w:pPr>
              <w:pStyle w:val="186"/>
              <w:widowControl w:val="0"/>
              <w:spacing w:line="240" w:lineRule="auto"/>
              <w:ind w:firstLine="0"/>
              <w:jc w:val="left"/>
            </w:pPr>
            <w:r>
              <w:rPr>
                <w:rFonts w:hint="eastAsia"/>
              </w:rPr>
              <w:t>活跃用户大于该值，统计网络质量。</w:t>
            </w:r>
          </w:p>
          <w:p w14:paraId="5A13A0C5">
            <w:pPr>
              <w:pStyle w:val="186"/>
              <w:widowControl w:val="0"/>
              <w:spacing w:line="240" w:lineRule="auto"/>
              <w:ind w:firstLine="0"/>
              <w:jc w:val="left"/>
            </w:pPr>
            <w:r>
              <w:rPr>
                <w:rFonts w:hint="eastAsia"/>
              </w:rPr>
              <w:t>活跃用户指单位时间内（5分钟）有过访问网站操作，且产生足够信息量的有效用户。默认10人，可输入1</w:t>
            </w:r>
            <w:r>
              <w:t>-</w:t>
            </w:r>
            <w:r>
              <w:rPr>
                <w:rFonts w:hint="eastAsia"/>
              </w:rPr>
              <w:t>100之间的数字。</w:t>
            </w:r>
          </w:p>
        </w:tc>
      </w:tr>
      <w:tr w14:paraId="5099A5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5EAA04B8">
            <w:pPr>
              <w:pStyle w:val="186"/>
              <w:widowControl w:val="0"/>
              <w:spacing w:line="240" w:lineRule="auto"/>
              <w:ind w:firstLine="0"/>
              <w:jc w:val="left"/>
            </w:pPr>
            <w:r>
              <w:rPr>
                <w:rFonts w:hint="eastAsia"/>
              </w:rPr>
              <w:t>全天质量差的定义</w:t>
            </w:r>
          </w:p>
        </w:tc>
        <w:tc>
          <w:tcPr>
            <w:tcW w:w="6816" w:type="dxa"/>
            <w:shd w:val="clear" w:color="auto" w:fill="auto"/>
          </w:tcPr>
          <w:p w14:paraId="3B83F6A3">
            <w:pPr>
              <w:pStyle w:val="186"/>
              <w:widowControl w:val="0"/>
              <w:spacing w:line="240" w:lineRule="auto"/>
              <w:ind w:firstLine="0"/>
              <w:jc w:val="left"/>
            </w:pPr>
            <w:r>
              <w:rPr>
                <w:rFonts w:hint="eastAsia"/>
              </w:rPr>
              <w:t>当全天质量差的时间累积超过N分钟时，判断为全天网络质量差。默认30分钟，可输入1</w:t>
            </w:r>
            <w:r>
              <w:t>-</w:t>
            </w:r>
            <w:r>
              <w:rPr>
                <w:rFonts w:hint="eastAsia"/>
              </w:rPr>
              <w:t>300之间的数字。</w:t>
            </w:r>
          </w:p>
        </w:tc>
      </w:tr>
    </w:tbl>
    <w:p w14:paraId="31695B3E"/>
    <w:p w14:paraId="31DE226E">
      <w:pPr>
        <w:pStyle w:val="4"/>
      </w:pPr>
      <w:bookmarkStart w:id="601" w:name="_Toc194080615"/>
      <w:bookmarkStart w:id="602" w:name="_Toc196727948"/>
      <w:r>
        <w:rPr>
          <w:rFonts w:hint="eastAsia"/>
        </w:rPr>
        <w:t>数据分析</w:t>
      </w:r>
      <w:bookmarkEnd w:id="417"/>
      <w:bookmarkEnd w:id="580"/>
      <w:bookmarkEnd w:id="581"/>
      <w:bookmarkEnd w:id="582"/>
      <w:bookmarkEnd w:id="583"/>
      <w:bookmarkEnd w:id="584"/>
      <w:bookmarkEnd w:id="585"/>
      <w:bookmarkEnd w:id="586"/>
      <w:bookmarkEnd w:id="601"/>
      <w:bookmarkEnd w:id="602"/>
    </w:p>
    <w:p w14:paraId="31DBA5B0">
      <w:pPr>
        <w:pStyle w:val="5"/>
      </w:pPr>
      <w:bookmarkStart w:id="603" w:name="_Toc23152386"/>
      <w:bookmarkStart w:id="604" w:name="_Toc142400768"/>
      <w:bookmarkStart w:id="605" w:name="_Toc11342777"/>
      <w:bookmarkStart w:id="606" w:name="_Toc196727949"/>
      <w:bookmarkStart w:id="607" w:name="_Toc15484618"/>
      <w:bookmarkStart w:id="608" w:name="_Toc141873255"/>
      <w:bookmarkStart w:id="609" w:name="_Toc40275819"/>
      <w:bookmarkStart w:id="610" w:name="_Toc172217978"/>
      <w:bookmarkStart w:id="611" w:name="_Toc99561305"/>
      <w:bookmarkStart w:id="612" w:name="_Toc194080616"/>
      <w:r>
        <w:rPr>
          <w:rFonts w:hint="eastAsia"/>
        </w:rPr>
        <w:t>数据分析简介</w:t>
      </w:r>
      <w:bookmarkEnd w:id="603"/>
      <w:bookmarkEnd w:id="604"/>
      <w:bookmarkEnd w:id="605"/>
      <w:bookmarkEnd w:id="606"/>
      <w:bookmarkEnd w:id="607"/>
      <w:bookmarkEnd w:id="608"/>
      <w:bookmarkEnd w:id="609"/>
      <w:bookmarkEnd w:id="610"/>
      <w:bookmarkEnd w:id="611"/>
      <w:bookmarkEnd w:id="612"/>
    </w:p>
    <w:p w14:paraId="52700E9A">
      <w:r>
        <w:rPr>
          <w:rFonts w:hint="eastAsia"/>
        </w:rPr>
        <w:t>数据分析是对系统应用及设备流量等产生的数据进行统计分析，包括用户流量统计、应用流量统计、用户信息中心、设备流量统计、设备健康统计、会话监控统计和数据库日志统计。</w:t>
      </w:r>
    </w:p>
    <w:p w14:paraId="2FED1698">
      <w:pPr>
        <w:pStyle w:val="162"/>
      </w:pPr>
      <w:r>
        <w:rPr>
          <w:rFonts w:hint="eastAsia"/>
        </w:rPr>
        <w:t>用户流量统计以柱状图、表格形式展示用户流量信息。</w:t>
      </w:r>
    </w:p>
    <w:p w14:paraId="3588873B">
      <w:pPr>
        <w:pStyle w:val="162"/>
      </w:pPr>
      <w:r>
        <w:rPr>
          <w:rFonts w:hint="eastAsia"/>
        </w:rPr>
        <w:t>应用流量统计以趋势图、饼状图、表格形式展示应用流量信息。</w:t>
      </w:r>
    </w:p>
    <w:p w14:paraId="51B8BD3F">
      <w:pPr>
        <w:pStyle w:val="162"/>
      </w:pPr>
      <w:r>
        <w:rPr>
          <w:rFonts w:hint="eastAsia"/>
        </w:rPr>
        <w:t>用户信息中心包含用户日志统计、用户访问网站分析、用户轨迹时光轴等信息。</w:t>
      </w:r>
    </w:p>
    <w:p w14:paraId="3740F96C">
      <w:pPr>
        <w:pStyle w:val="162"/>
      </w:pPr>
      <w:r>
        <w:rPr>
          <w:rFonts w:hint="eastAsia"/>
        </w:rPr>
        <w:t>设备流量统计可以显示指定条件下设备流量信息。</w:t>
      </w:r>
    </w:p>
    <w:p w14:paraId="52AD6E6A">
      <w:pPr>
        <w:pStyle w:val="162"/>
      </w:pPr>
      <w:r>
        <w:rPr>
          <w:rFonts w:hint="eastAsia"/>
        </w:rPr>
        <w:t>设备健康统计可以显示整机转发流量、会话数、cpu、内存使用等信息。</w:t>
      </w:r>
    </w:p>
    <w:p w14:paraId="6271AB9A">
      <w:pPr>
        <w:pStyle w:val="162"/>
      </w:pPr>
      <w:r>
        <w:rPr>
          <w:rFonts w:hint="eastAsia"/>
        </w:rPr>
        <w:t>会话监控统计可以显示设备会话统计、会话排名、会话监控等信息。</w:t>
      </w:r>
    </w:p>
    <w:p w14:paraId="3DD11DA5">
      <w:pPr>
        <w:pStyle w:val="162"/>
      </w:pPr>
      <w:r>
        <w:rPr>
          <w:rFonts w:hint="eastAsia"/>
        </w:rPr>
        <w:t>数据库日志统计：显示现网中数据库日志的统计信息。</w:t>
      </w:r>
    </w:p>
    <w:p w14:paraId="1A6B0F98">
      <w:pPr>
        <w:pStyle w:val="5"/>
      </w:pPr>
      <w:bookmarkStart w:id="613" w:name="_Toc40275820"/>
      <w:bookmarkStart w:id="614" w:name="_Toc194080617"/>
      <w:bookmarkStart w:id="615" w:name="_Toc99561306"/>
      <w:bookmarkStart w:id="616" w:name="_Toc141873256"/>
      <w:bookmarkStart w:id="617" w:name="_Toc196727950"/>
      <w:bookmarkStart w:id="618" w:name="_Toc11342778"/>
      <w:bookmarkStart w:id="619" w:name="_Toc15484619"/>
      <w:bookmarkStart w:id="620" w:name="_Toc23152387"/>
      <w:bookmarkStart w:id="621" w:name="_Toc142400769"/>
      <w:bookmarkStart w:id="622" w:name="_Toc172217979"/>
      <w:r>
        <w:rPr>
          <w:rFonts w:hint="eastAsia"/>
        </w:rPr>
        <w:t>用户流量统计</w:t>
      </w:r>
      <w:bookmarkEnd w:id="613"/>
      <w:bookmarkEnd w:id="614"/>
      <w:bookmarkEnd w:id="615"/>
      <w:bookmarkEnd w:id="616"/>
      <w:bookmarkEnd w:id="617"/>
      <w:bookmarkEnd w:id="618"/>
      <w:bookmarkEnd w:id="619"/>
      <w:bookmarkEnd w:id="620"/>
      <w:bookmarkEnd w:id="621"/>
      <w:bookmarkEnd w:id="622"/>
    </w:p>
    <w:p w14:paraId="18420D18">
      <w:r>
        <w:rPr>
          <w:rFonts w:hint="eastAsia"/>
        </w:rPr>
        <w:t>在导航栏中选择“数据中心&gt;数据分析&gt;用户流量统计”</w:t>
      </w:r>
      <w:r>
        <w:t>进入用户流量</w:t>
      </w:r>
      <w:r>
        <w:rPr>
          <w:rFonts w:hint="eastAsia"/>
        </w:rPr>
        <w:t>统计</w:t>
      </w:r>
      <w:r>
        <w:t>页面</w:t>
      </w:r>
      <w:r>
        <w:rPr>
          <w:rFonts w:hint="eastAsia"/>
        </w:rPr>
        <w:t>，如</w:t>
      </w:r>
      <w:r>
        <w:rPr>
          <w:color w:val="0000FF"/>
          <w:u w:val="single"/>
        </w:rPr>
        <w:fldChar w:fldCharType="begin"/>
      </w:r>
      <w:r>
        <w:instrText xml:space="preserve"> </w:instrText>
      </w:r>
      <w:r>
        <w:rPr>
          <w:rFonts w:hint="eastAsia"/>
        </w:rPr>
        <w:instrText xml:space="preserve">REF _Ref15477324 \r \h</w:instrText>
      </w:r>
      <w:r>
        <w:instrText xml:space="preserve"> </w:instrText>
      </w:r>
      <w:r>
        <w:rPr>
          <w:color w:val="0000FF"/>
          <w:u w:val="single"/>
        </w:rPr>
        <w:fldChar w:fldCharType="separate"/>
      </w:r>
      <w:r>
        <w:rPr>
          <w:rFonts w:hint="eastAsia"/>
        </w:rPr>
        <w:t>图4-35</w:t>
      </w:r>
      <w:r>
        <w:rPr>
          <w:color w:val="0000FF"/>
          <w:u w:val="single"/>
        </w:rPr>
        <w:fldChar w:fldCharType="end"/>
      </w:r>
      <w:r>
        <w:t>所示</w:t>
      </w:r>
      <w:r>
        <w:rPr>
          <w:rFonts w:hint="eastAsia"/>
        </w:rPr>
        <w:t>。</w:t>
      </w:r>
    </w:p>
    <w:p w14:paraId="38FD0126">
      <w:pPr>
        <w:pStyle w:val="188"/>
      </w:pPr>
      <w:bookmarkStart w:id="623" w:name="_Ref15477324"/>
      <w:bookmarkStart w:id="624" w:name="_Toc141874412"/>
      <w:r>
        <w:rPr>
          <w:rFonts w:hint="eastAsia"/>
        </w:rPr>
        <w:t>用户流量统计</w:t>
      </w:r>
      <w:bookmarkEnd w:id="623"/>
      <w:bookmarkEnd w:id="624"/>
    </w:p>
    <w:p w14:paraId="5D21E7D1">
      <w:pPr>
        <w:spacing w:before="79" w:after="79"/>
      </w:pPr>
      <w:r>
        <w:t xml:space="preserve">  </w:t>
      </w:r>
      <w:r>
        <w:drawing>
          <wp:inline distT="0" distB="0" distL="0" distR="0">
            <wp:extent cx="5095875" cy="2317750"/>
            <wp:effectExtent l="0" t="0" r="0" b="63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96"/>
                    <a:stretch>
                      <a:fillRect/>
                    </a:stretch>
                  </pic:blipFill>
                  <pic:spPr>
                    <a:xfrm>
                      <a:off x="0" y="0"/>
                      <a:ext cx="5123068" cy="2330600"/>
                    </a:xfrm>
                    <a:prstGeom prst="rect">
                      <a:avLst/>
                    </a:prstGeom>
                  </pic:spPr>
                </pic:pic>
              </a:graphicData>
            </a:graphic>
          </wp:inline>
        </w:drawing>
      </w:r>
    </w:p>
    <w:p w14:paraId="78C73508">
      <w:pPr>
        <w:spacing w:before="79" w:after="79"/>
      </w:pPr>
      <w:r>
        <w:drawing>
          <wp:inline distT="0" distB="0" distL="0" distR="0">
            <wp:extent cx="4981575" cy="164084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97"/>
                    <a:stretch>
                      <a:fillRect/>
                    </a:stretch>
                  </pic:blipFill>
                  <pic:spPr>
                    <a:xfrm>
                      <a:off x="0" y="0"/>
                      <a:ext cx="4987945" cy="1642984"/>
                    </a:xfrm>
                    <a:prstGeom prst="rect">
                      <a:avLst/>
                    </a:prstGeom>
                  </pic:spPr>
                </pic:pic>
              </a:graphicData>
            </a:graphic>
          </wp:inline>
        </w:drawing>
      </w:r>
    </w:p>
    <w:p w14:paraId="0D4A7AA1"/>
    <w:p w14:paraId="7D4F3CBD">
      <w:r>
        <w:rPr>
          <w:rFonts w:hint="eastAsia"/>
        </w:rPr>
        <w:t>对用户流量统计的详细说明如</w:t>
      </w:r>
      <w:r>
        <w:rPr>
          <w:color w:val="0000FF"/>
          <w:u w:val="single"/>
        </w:rPr>
        <w:fldChar w:fldCharType="begin"/>
      </w:r>
      <w:r>
        <w:instrText xml:space="preserve"> </w:instrText>
      </w:r>
      <w:r>
        <w:rPr>
          <w:rFonts w:hint="eastAsia"/>
        </w:rPr>
        <w:instrText xml:space="preserve">REF _Ref15477331 \r \h</w:instrText>
      </w:r>
      <w:r>
        <w:instrText xml:space="preserve"> </w:instrText>
      </w:r>
      <w:r>
        <w:rPr>
          <w:color w:val="0000FF"/>
          <w:u w:val="single"/>
        </w:rPr>
        <w:fldChar w:fldCharType="separate"/>
      </w:r>
      <w:r>
        <w:rPr>
          <w:rFonts w:hint="eastAsia"/>
        </w:rPr>
        <w:t>表4-1</w:t>
      </w:r>
      <w:r>
        <w:rPr>
          <w:color w:val="0000FF"/>
          <w:u w:val="single"/>
        </w:rPr>
        <w:fldChar w:fldCharType="end"/>
      </w:r>
      <w:r>
        <w:rPr>
          <w:rFonts w:hint="eastAsia"/>
        </w:rPr>
        <w:t>所示。</w:t>
      </w:r>
    </w:p>
    <w:p w14:paraId="63DA1F16">
      <w:pPr>
        <w:pStyle w:val="183"/>
      </w:pPr>
      <w:bookmarkStart w:id="625" w:name="_Toc141875385"/>
      <w:bookmarkStart w:id="626" w:name="_Ref15477331"/>
      <w:r>
        <w:rPr>
          <w:rFonts w:hint="eastAsia"/>
        </w:rPr>
        <w:t>用户流量</w:t>
      </w:r>
      <w:r>
        <w:t>说明</w:t>
      </w:r>
      <w:bookmarkEnd w:id="625"/>
      <w:bookmarkEnd w:id="626"/>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85"/>
        <w:gridCol w:w="6529"/>
      </w:tblGrid>
      <w:tr w14:paraId="642542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41E775B8">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42" w:type="dxa"/>
            <w:tcBorders>
              <w:tl2br w:val="nil"/>
              <w:tr2bl w:val="nil"/>
            </w:tcBorders>
            <w:shd w:val="clear" w:color="auto" w:fill="538135" w:themeFill="accent6" w:themeFillShade="BF"/>
            <w:vAlign w:val="center"/>
          </w:tcPr>
          <w:p w14:paraId="679BEECE">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E87FE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046D92A4">
            <w:pPr>
              <w:pStyle w:val="186"/>
              <w:widowControl w:val="0"/>
              <w:spacing w:line="240" w:lineRule="auto"/>
              <w:ind w:firstLine="0"/>
              <w:jc w:val="left"/>
            </w:pPr>
            <w:r>
              <w:rPr>
                <w:rFonts w:hint="eastAsia"/>
              </w:rPr>
              <w:t>统计时间</w:t>
            </w:r>
          </w:p>
        </w:tc>
        <w:tc>
          <w:tcPr>
            <w:tcW w:w="6542" w:type="dxa"/>
            <w:shd w:val="clear" w:color="auto" w:fill="auto"/>
          </w:tcPr>
          <w:p w14:paraId="7A9F4B0E">
            <w:pPr>
              <w:pStyle w:val="186"/>
              <w:widowControl w:val="0"/>
              <w:spacing w:line="240" w:lineRule="auto"/>
              <w:ind w:firstLine="0"/>
              <w:jc w:val="left"/>
            </w:pPr>
            <w:r>
              <w:rPr>
                <w:rFonts w:hint="eastAsia"/>
              </w:rPr>
              <w:t>设定流量显示的时间跨度，可选的值有：</w:t>
            </w:r>
          </w:p>
          <w:p w14:paraId="4C0F621A">
            <w:pPr>
              <w:pStyle w:val="186"/>
              <w:widowControl w:val="0"/>
              <w:spacing w:line="240" w:lineRule="auto"/>
              <w:ind w:firstLine="0"/>
              <w:jc w:val="left"/>
            </w:pPr>
            <w:r>
              <w:rPr>
                <w:rFonts w:hint="eastAsia"/>
              </w:rPr>
              <w:t>最近一小时</w:t>
            </w:r>
          </w:p>
          <w:p w14:paraId="05336FC4">
            <w:pPr>
              <w:pStyle w:val="186"/>
              <w:widowControl w:val="0"/>
              <w:spacing w:line="240" w:lineRule="auto"/>
              <w:ind w:firstLine="0"/>
              <w:jc w:val="left"/>
            </w:pPr>
            <w:r>
              <w:rPr>
                <w:rFonts w:hint="eastAsia"/>
              </w:rPr>
              <w:t>最近一天</w:t>
            </w:r>
          </w:p>
          <w:p w14:paraId="21537065">
            <w:pPr>
              <w:pStyle w:val="186"/>
              <w:widowControl w:val="0"/>
              <w:spacing w:line="240" w:lineRule="auto"/>
              <w:ind w:firstLine="0"/>
              <w:jc w:val="left"/>
            </w:pPr>
            <w:r>
              <w:rPr>
                <w:rFonts w:hint="eastAsia"/>
              </w:rPr>
              <w:t>最近一周</w:t>
            </w:r>
          </w:p>
          <w:p w14:paraId="190BA364">
            <w:pPr>
              <w:pStyle w:val="186"/>
              <w:widowControl w:val="0"/>
              <w:spacing w:line="240" w:lineRule="auto"/>
              <w:ind w:firstLine="0"/>
              <w:jc w:val="left"/>
            </w:pPr>
            <w:r>
              <w:rPr>
                <w:rFonts w:hint="eastAsia"/>
              </w:rPr>
              <w:t>缺省情况下，显示最近一小时的用户流量统计</w:t>
            </w:r>
          </w:p>
        </w:tc>
      </w:tr>
      <w:tr w14:paraId="314AED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248F4FE">
            <w:pPr>
              <w:pStyle w:val="186"/>
              <w:widowControl w:val="0"/>
              <w:spacing w:line="240" w:lineRule="auto"/>
              <w:ind w:firstLine="0"/>
              <w:jc w:val="left"/>
            </w:pPr>
            <w:r>
              <w:rPr>
                <w:rFonts w:hint="eastAsia"/>
              </w:rPr>
              <w:t>过滤条件</w:t>
            </w:r>
          </w:p>
        </w:tc>
        <w:tc>
          <w:tcPr>
            <w:tcW w:w="6542" w:type="dxa"/>
            <w:shd w:val="clear" w:color="auto" w:fill="auto"/>
          </w:tcPr>
          <w:p w14:paraId="73EBA197">
            <w:pPr>
              <w:pStyle w:val="186"/>
              <w:widowControl w:val="0"/>
              <w:spacing w:line="240" w:lineRule="auto"/>
              <w:ind w:firstLine="0"/>
              <w:jc w:val="left"/>
            </w:pPr>
            <w:r>
              <w:rPr>
                <w:rFonts w:hint="eastAsia"/>
              </w:rPr>
              <w:t>过滤显示流量的方向，可选的值有：</w:t>
            </w:r>
          </w:p>
          <w:p w14:paraId="31A31EA9">
            <w:pPr>
              <w:pStyle w:val="186"/>
              <w:widowControl w:val="0"/>
              <w:spacing w:line="240" w:lineRule="auto"/>
              <w:ind w:firstLine="0"/>
              <w:jc w:val="left"/>
            </w:pPr>
            <w:r>
              <w:rPr>
                <w:rFonts w:hint="eastAsia"/>
              </w:rPr>
              <w:t>双向</w:t>
            </w:r>
          </w:p>
          <w:p w14:paraId="59DBF629">
            <w:pPr>
              <w:pStyle w:val="186"/>
              <w:widowControl w:val="0"/>
              <w:spacing w:line="240" w:lineRule="auto"/>
              <w:ind w:firstLine="0"/>
              <w:jc w:val="left"/>
            </w:pPr>
            <w:r>
              <w:rPr>
                <w:rFonts w:hint="eastAsia"/>
              </w:rPr>
              <w:t>上行</w:t>
            </w:r>
          </w:p>
          <w:p w14:paraId="667F68A5">
            <w:pPr>
              <w:pStyle w:val="186"/>
              <w:widowControl w:val="0"/>
              <w:spacing w:line="240" w:lineRule="auto"/>
              <w:ind w:firstLine="0"/>
              <w:jc w:val="left"/>
            </w:pPr>
            <w:r>
              <w:rPr>
                <w:rFonts w:hint="eastAsia"/>
              </w:rPr>
              <w:t>下行</w:t>
            </w:r>
          </w:p>
          <w:p w14:paraId="40DE7568">
            <w:pPr>
              <w:pStyle w:val="186"/>
              <w:widowControl w:val="0"/>
              <w:spacing w:line="240" w:lineRule="auto"/>
              <w:ind w:firstLine="0"/>
              <w:jc w:val="left"/>
            </w:pPr>
            <w:r>
              <w:rPr>
                <w:rFonts w:hint="eastAsia"/>
              </w:rPr>
              <w:t>缺省情况下，显示双向的用户流量统计</w:t>
            </w:r>
          </w:p>
        </w:tc>
      </w:tr>
      <w:tr w14:paraId="04AA6D2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276BB84">
            <w:pPr>
              <w:pStyle w:val="186"/>
              <w:widowControl w:val="0"/>
              <w:spacing w:line="240" w:lineRule="auto"/>
              <w:ind w:firstLine="0"/>
              <w:jc w:val="left"/>
            </w:pPr>
            <w:r>
              <w:rPr>
                <w:rFonts w:hint="eastAsia"/>
              </w:rPr>
              <w:t>刷新数据</w:t>
            </w:r>
          </w:p>
        </w:tc>
        <w:tc>
          <w:tcPr>
            <w:tcW w:w="6542" w:type="dxa"/>
            <w:shd w:val="clear" w:color="auto" w:fill="auto"/>
          </w:tcPr>
          <w:p w14:paraId="40046BDA">
            <w:pPr>
              <w:pStyle w:val="186"/>
              <w:widowControl w:val="0"/>
              <w:spacing w:line="240" w:lineRule="auto"/>
              <w:ind w:firstLine="0"/>
              <w:jc w:val="left"/>
            </w:pPr>
            <w:r>
              <w:rPr>
                <w:rFonts w:hint="eastAsia"/>
              </w:rPr>
              <w:t>立即刷新显示的统计统计数据</w:t>
            </w:r>
          </w:p>
        </w:tc>
      </w:tr>
      <w:tr w14:paraId="7D71708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192B2F2B">
            <w:pPr>
              <w:pStyle w:val="186"/>
              <w:widowControl w:val="0"/>
              <w:spacing w:line="240" w:lineRule="auto"/>
              <w:ind w:firstLine="0"/>
              <w:jc w:val="left"/>
            </w:pPr>
            <w:r>
              <w:rPr>
                <w:rFonts w:hint="eastAsia"/>
              </w:rPr>
              <w:t>用户名</w:t>
            </w:r>
          </w:p>
        </w:tc>
        <w:tc>
          <w:tcPr>
            <w:tcW w:w="6542" w:type="dxa"/>
            <w:shd w:val="clear" w:color="auto" w:fill="auto"/>
          </w:tcPr>
          <w:p w14:paraId="28BD339A">
            <w:pPr>
              <w:pStyle w:val="186"/>
              <w:widowControl w:val="0"/>
              <w:spacing w:line="240" w:lineRule="auto"/>
              <w:ind w:firstLine="0"/>
              <w:jc w:val="left"/>
            </w:pPr>
            <w:r>
              <w:rPr>
                <w:rFonts w:hint="eastAsia"/>
              </w:rPr>
              <w:t>用户的名称</w:t>
            </w:r>
          </w:p>
        </w:tc>
      </w:tr>
      <w:tr w14:paraId="5E518F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03F63C11">
            <w:pPr>
              <w:pStyle w:val="186"/>
              <w:widowControl w:val="0"/>
              <w:spacing w:line="240" w:lineRule="auto"/>
              <w:ind w:firstLine="0"/>
              <w:jc w:val="left"/>
            </w:pPr>
            <w:r>
              <w:rPr>
                <w:rFonts w:hint="eastAsia"/>
              </w:rPr>
              <w:t>上行流量</w:t>
            </w:r>
          </w:p>
        </w:tc>
        <w:tc>
          <w:tcPr>
            <w:tcW w:w="6542" w:type="dxa"/>
            <w:shd w:val="clear" w:color="auto" w:fill="auto"/>
          </w:tcPr>
          <w:p w14:paraId="186B1000">
            <w:pPr>
              <w:pStyle w:val="186"/>
              <w:widowControl w:val="0"/>
              <w:spacing w:line="240" w:lineRule="auto"/>
              <w:ind w:firstLine="0"/>
              <w:jc w:val="left"/>
            </w:pPr>
            <w:r>
              <w:rPr>
                <w:rFonts w:hint="eastAsia"/>
              </w:rPr>
              <w:t>用户的上行流量</w:t>
            </w:r>
          </w:p>
        </w:tc>
      </w:tr>
      <w:tr w14:paraId="1239CE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A07FBA6">
            <w:pPr>
              <w:pStyle w:val="186"/>
              <w:widowControl w:val="0"/>
              <w:spacing w:line="240" w:lineRule="auto"/>
              <w:ind w:firstLine="0"/>
              <w:jc w:val="left"/>
            </w:pPr>
            <w:r>
              <w:rPr>
                <w:rFonts w:hint="eastAsia"/>
              </w:rPr>
              <w:t>下行流量</w:t>
            </w:r>
          </w:p>
        </w:tc>
        <w:tc>
          <w:tcPr>
            <w:tcW w:w="6542" w:type="dxa"/>
            <w:shd w:val="clear" w:color="auto" w:fill="auto"/>
          </w:tcPr>
          <w:p w14:paraId="1F4E19A0">
            <w:pPr>
              <w:pStyle w:val="186"/>
              <w:widowControl w:val="0"/>
              <w:spacing w:line="240" w:lineRule="auto"/>
              <w:ind w:firstLine="0"/>
              <w:jc w:val="left"/>
            </w:pPr>
            <w:r>
              <w:rPr>
                <w:rFonts w:hint="eastAsia"/>
              </w:rPr>
              <w:t>用户的下行流量</w:t>
            </w:r>
          </w:p>
        </w:tc>
      </w:tr>
      <w:tr w14:paraId="7DF679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4EB74AED">
            <w:pPr>
              <w:pStyle w:val="186"/>
              <w:widowControl w:val="0"/>
              <w:spacing w:line="240" w:lineRule="auto"/>
              <w:ind w:firstLine="0"/>
              <w:jc w:val="left"/>
            </w:pPr>
            <w:r>
              <w:rPr>
                <w:rFonts w:hint="eastAsia"/>
              </w:rPr>
              <w:t>总流量</w:t>
            </w:r>
          </w:p>
        </w:tc>
        <w:tc>
          <w:tcPr>
            <w:tcW w:w="6542" w:type="dxa"/>
            <w:shd w:val="clear" w:color="auto" w:fill="auto"/>
          </w:tcPr>
          <w:p w14:paraId="68C2384B">
            <w:pPr>
              <w:pStyle w:val="186"/>
              <w:widowControl w:val="0"/>
              <w:spacing w:line="240" w:lineRule="auto"/>
              <w:ind w:firstLine="0"/>
              <w:jc w:val="left"/>
            </w:pPr>
            <w:r>
              <w:rPr>
                <w:rFonts w:hint="eastAsia"/>
              </w:rPr>
              <w:t>用户的上行流量流量总和</w:t>
            </w:r>
          </w:p>
        </w:tc>
      </w:tr>
    </w:tbl>
    <w:p w14:paraId="738EBF76"/>
    <w:p w14:paraId="465406AE">
      <w:r>
        <w:rPr>
          <w:rFonts w:hint="eastAsia"/>
        </w:rPr>
        <w:t>点击“用户统计详细信息”表格里面的用户名列里面的用户名称，进入对应用户详细流量统计的页面，如</w:t>
      </w:r>
      <w:r>
        <w:rPr>
          <w:color w:val="0000FF"/>
          <w:u w:val="single"/>
        </w:rPr>
        <w:fldChar w:fldCharType="begin"/>
      </w:r>
      <w:r>
        <w:instrText xml:space="preserve"> </w:instrText>
      </w:r>
      <w:r>
        <w:rPr>
          <w:rFonts w:hint="eastAsia"/>
        </w:rPr>
        <w:instrText xml:space="preserve">REF _Ref15477347 \r \h</w:instrText>
      </w:r>
      <w:r>
        <w:instrText xml:space="preserve"> </w:instrText>
      </w:r>
      <w:r>
        <w:rPr>
          <w:color w:val="0000FF"/>
          <w:u w:val="single"/>
        </w:rPr>
        <w:fldChar w:fldCharType="separate"/>
      </w:r>
      <w:r>
        <w:rPr>
          <w:rFonts w:hint="eastAsia"/>
        </w:rPr>
        <w:t>图4-36</w:t>
      </w:r>
      <w:r>
        <w:rPr>
          <w:color w:val="0000FF"/>
          <w:u w:val="single"/>
        </w:rPr>
        <w:fldChar w:fldCharType="end"/>
      </w:r>
      <w:r>
        <w:rPr>
          <w:rFonts w:hint="eastAsia"/>
        </w:rPr>
        <w:t>所示。</w:t>
      </w:r>
    </w:p>
    <w:p w14:paraId="209121F2">
      <w:pPr>
        <w:pStyle w:val="188"/>
      </w:pPr>
      <w:bookmarkStart w:id="627" w:name="_Toc141874413"/>
      <w:bookmarkStart w:id="628" w:name="_Ref15477347"/>
      <w:r>
        <w:rPr>
          <w:rFonts w:hint="eastAsia"/>
        </w:rPr>
        <w:t>单个用户流量统计信息</w:t>
      </w:r>
      <w:bookmarkEnd w:id="627"/>
      <w:bookmarkEnd w:id="628"/>
    </w:p>
    <w:p w14:paraId="7AD0077E">
      <w:pPr>
        <w:spacing w:before="79" w:after="79"/>
      </w:pPr>
      <w:r>
        <w:drawing>
          <wp:inline distT="0" distB="0" distL="0" distR="0">
            <wp:extent cx="4762500" cy="2872740"/>
            <wp:effectExtent l="0" t="0" r="0" b="381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98"/>
                    <a:stretch>
                      <a:fillRect/>
                    </a:stretch>
                  </pic:blipFill>
                  <pic:spPr>
                    <a:xfrm>
                      <a:off x="0" y="0"/>
                      <a:ext cx="4775844" cy="2881162"/>
                    </a:xfrm>
                    <a:prstGeom prst="rect">
                      <a:avLst/>
                    </a:prstGeom>
                  </pic:spPr>
                </pic:pic>
              </a:graphicData>
            </a:graphic>
          </wp:inline>
        </w:drawing>
      </w:r>
    </w:p>
    <w:p w14:paraId="19BC7106"/>
    <w:p w14:paraId="6D48BD95">
      <w:r>
        <w:rPr>
          <w:rFonts w:hint="eastAsia"/>
        </w:rPr>
        <w:t>单个用户的流量统计的详细说明如</w:t>
      </w:r>
      <w:r>
        <w:rPr>
          <w:color w:val="0000FF"/>
          <w:u w:val="single"/>
        </w:rPr>
        <w:fldChar w:fldCharType="begin"/>
      </w:r>
      <w:r>
        <w:instrText xml:space="preserve"> </w:instrText>
      </w:r>
      <w:r>
        <w:rPr>
          <w:rFonts w:hint="eastAsia"/>
        </w:rPr>
        <w:instrText xml:space="preserve">REF _Ref15477353 \r \h</w:instrText>
      </w:r>
      <w:r>
        <w:instrText xml:space="preserve"> </w:instrText>
      </w:r>
      <w:r>
        <w:rPr>
          <w:color w:val="0000FF"/>
          <w:u w:val="single"/>
        </w:rPr>
        <w:fldChar w:fldCharType="separate"/>
      </w:r>
      <w:r>
        <w:rPr>
          <w:rFonts w:hint="eastAsia"/>
        </w:rPr>
        <w:t>表4-1</w:t>
      </w:r>
      <w:r>
        <w:rPr>
          <w:color w:val="0000FF"/>
          <w:u w:val="single"/>
        </w:rPr>
        <w:fldChar w:fldCharType="end"/>
      </w:r>
      <w:r>
        <w:rPr>
          <w:rFonts w:hint="eastAsia"/>
        </w:rPr>
        <w:t>所示。</w:t>
      </w:r>
    </w:p>
    <w:p w14:paraId="1A9DE522">
      <w:pPr>
        <w:pStyle w:val="183"/>
      </w:pPr>
      <w:bookmarkStart w:id="629" w:name="_Ref15477353"/>
      <w:bookmarkStart w:id="630" w:name="_Toc141875386"/>
      <w:r>
        <w:rPr>
          <w:rFonts w:hint="eastAsia"/>
        </w:rPr>
        <w:t>单个用户流量统计说明</w:t>
      </w:r>
      <w:bookmarkEnd w:id="629"/>
      <w:bookmarkEnd w:id="630"/>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85"/>
        <w:gridCol w:w="6529"/>
      </w:tblGrid>
      <w:tr w14:paraId="68F364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366C0153">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42" w:type="dxa"/>
            <w:tcBorders>
              <w:tl2br w:val="nil"/>
              <w:tr2bl w:val="nil"/>
            </w:tcBorders>
            <w:shd w:val="clear" w:color="auto" w:fill="538135" w:themeFill="accent6" w:themeFillShade="BF"/>
            <w:vAlign w:val="center"/>
          </w:tcPr>
          <w:p w14:paraId="687B9AED">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11063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5C6D97E8">
            <w:pPr>
              <w:pStyle w:val="186"/>
              <w:widowControl w:val="0"/>
              <w:spacing w:line="240" w:lineRule="auto"/>
              <w:ind w:firstLine="0"/>
              <w:jc w:val="left"/>
            </w:pPr>
            <w:r>
              <w:rPr>
                <w:rFonts w:hint="eastAsia"/>
              </w:rPr>
              <w:t>应用名</w:t>
            </w:r>
          </w:p>
        </w:tc>
        <w:tc>
          <w:tcPr>
            <w:tcW w:w="6542" w:type="dxa"/>
            <w:shd w:val="clear" w:color="auto" w:fill="auto"/>
          </w:tcPr>
          <w:p w14:paraId="73697DEA">
            <w:pPr>
              <w:pStyle w:val="186"/>
              <w:widowControl w:val="0"/>
              <w:spacing w:line="240" w:lineRule="auto"/>
              <w:ind w:firstLine="0"/>
              <w:jc w:val="left"/>
            </w:pPr>
            <w:r>
              <w:rPr>
                <w:rFonts w:hint="eastAsia"/>
              </w:rPr>
              <w:t>应用的名称</w:t>
            </w:r>
          </w:p>
        </w:tc>
      </w:tr>
      <w:tr w14:paraId="694E55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5CCC025D">
            <w:pPr>
              <w:pStyle w:val="186"/>
              <w:widowControl w:val="0"/>
              <w:spacing w:line="240" w:lineRule="auto"/>
              <w:ind w:firstLine="0"/>
              <w:jc w:val="left"/>
            </w:pPr>
            <w:r>
              <w:rPr>
                <w:rFonts w:hint="eastAsia"/>
              </w:rPr>
              <w:t>上行流量</w:t>
            </w:r>
          </w:p>
        </w:tc>
        <w:tc>
          <w:tcPr>
            <w:tcW w:w="6542" w:type="dxa"/>
            <w:shd w:val="clear" w:color="auto" w:fill="auto"/>
          </w:tcPr>
          <w:p w14:paraId="19839DED">
            <w:pPr>
              <w:pStyle w:val="186"/>
              <w:widowControl w:val="0"/>
              <w:spacing w:line="240" w:lineRule="auto"/>
              <w:ind w:firstLine="0"/>
              <w:jc w:val="left"/>
            </w:pPr>
            <w:r>
              <w:rPr>
                <w:rFonts w:hint="eastAsia"/>
              </w:rPr>
              <w:t>用户的单个应用的上行流量</w:t>
            </w:r>
          </w:p>
        </w:tc>
      </w:tr>
      <w:tr w14:paraId="392F6EE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D2F351E">
            <w:pPr>
              <w:pStyle w:val="186"/>
              <w:widowControl w:val="0"/>
              <w:spacing w:line="240" w:lineRule="auto"/>
              <w:ind w:firstLine="0"/>
              <w:jc w:val="left"/>
            </w:pPr>
            <w:r>
              <w:rPr>
                <w:rFonts w:hint="eastAsia"/>
              </w:rPr>
              <w:t>下行流量</w:t>
            </w:r>
          </w:p>
        </w:tc>
        <w:tc>
          <w:tcPr>
            <w:tcW w:w="6542" w:type="dxa"/>
            <w:shd w:val="clear" w:color="auto" w:fill="auto"/>
          </w:tcPr>
          <w:p w14:paraId="1715C4E6">
            <w:pPr>
              <w:pStyle w:val="186"/>
              <w:widowControl w:val="0"/>
              <w:spacing w:line="240" w:lineRule="auto"/>
              <w:ind w:firstLine="0"/>
              <w:jc w:val="left"/>
            </w:pPr>
            <w:r>
              <w:rPr>
                <w:rFonts w:hint="eastAsia"/>
              </w:rPr>
              <w:t>用户的单个应用的下行流量</w:t>
            </w:r>
          </w:p>
        </w:tc>
      </w:tr>
      <w:tr w14:paraId="6522C1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6BBEEC29">
            <w:pPr>
              <w:pStyle w:val="186"/>
              <w:widowControl w:val="0"/>
              <w:spacing w:line="240" w:lineRule="auto"/>
              <w:ind w:firstLine="0"/>
              <w:jc w:val="left"/>
            </w:pPr>
            <w:r>
              <w:rPr>
                <w:rFonts w:hint="eastAsia"/>
              </w:rPr>
              <w:t>总流量</w:t>
            </w:r>
          </w:p>
        </w:tc>
        <w:tc>
          <w:tcPr>
            <w:tcW w:w="6542" w:type="dxa"/>
            <w:shd w:val="clear" w:color="auto" w:fill="auto"/>
          </w:tcPr>
          <w:p w14:paraId="1676C2FB">
            <w:pPr>
              <w:pStyle w:val="186"/>
              <w:widowControl w:val="0"/>
              <w:spacing w:line="240" w:lineRule="auto"/>
              <w:ind w:firstLine="0"/>
              <w:jc w:val="left"/>
            </w:pPr>
            <w:r>
              <w:rPr>
                <w:rFonts w:hint="eastAsia"/>
              </w:rPr>
              <w:t>用户的单个应用的上下行总流量</w:t>
            </w:r>
          </w:p>
        </w:tc>
      </w:tr>
    </w:tbl>
    <w:p w14:paraId="01725655"/>
    <w:p w14:paraId="1A66A178">
      <w:pPr>
        <w:pStyle w:val="5"/>
      </w:pPr>
      <w:bookmarkStart w:id="631" w:name="_Toc40275821"/>
      <w:bookmarkStart w:id="632" w:name="_Toc142400770"/>
      <w:bookmarkStart w:id="633" w:name="_Toc172217980"/>
      <w:bookmarkStart w:id="634" w:name="_Toc194080618"/>
      <w:bookmarkStart w:id="635" w:name="_Toc196727951"/>
      <w:bookmarkStart w:id="636" w:name="_Toc15484620"/>
      <w:bookmarkStart w:id="637" w:name="_Toc141873257"/>
      <w:bookmarkStart w:id="638" w:name="_Toc99561307"/>
      <w:bookmarkStart w:id="639" w:name="_Toc11342779"/>
      <w:bookmarkStart w:id="640" w:name="_Toc23152388"/>
      <w:r>
        <w:rPr>
          <w:rFonts w:hint="eastAsia"/>
        </w:rPr>
        <w:t>应用</w:t>
      </w:r>
      <w:r>
        <w:t>流量</w:t>
      </w:r>
      <w:r>
        <w:rPr>
          <w:rFonts w:hint="eastAsia"/>
        </w:rPr>
        <w:t>统计</w:t>
      </w:r>
      <w:bookmarkEnd w:id="631"/>
      <w:bookmarkEnd w:id="632"/>
      <w:bookmarkEnd w:id="633"/>
      <w:bookmarkEnd w:id="634"/>
      <w:bookmarkEnd w:id="635"/>
      <w:bookmarkEnd w:id="636"/>
      <w:bookmarkEnd w:id="637"/>
      <w:bookmarkEnd w:id="638"/>
      <w:bookmarkEnd w:id="639"/>
      <w:bookmarkEnd w:id="640"/>
    </w:p>
    <w:p w14:paraId="6E4D40F9">
      <w:r>
        <w:rPr>
          <w:rFonts w:hint="eastAsia"/>
        </w:rPr>
        <w:t>在导航栏中选择“数据中心&gt;数据分析&gt;应用流量统计”</w:t>
      </w:r>
      <w:r>
        <w:t>进入</w:t>
      </w:r>
      <w:r>
        <w:rPr>
          <w:rFonts w:hint="eastAsia"/>
        </w:rPr>
        <w:t>应用</w:t>
      </w:r>
      <w:r>
        <w:t>流量</w:t>
      </w:r>
      <w:r>
        <w:rPr>
          <w:rFonts w:hint="eastAsia"/>
        </w:rPr>
        <w:t>统计</w:t>
      </w:r>
      <w:r>
        <w:t>显示页面</w:t>
      </w:r>
      <w:r>
        <w:rPr>
          <w:rFonts w:hint="eastAsia"/>
        </w:rPr>
        <w:t>，如</w:t>
      </w:r>
      <w:r>
        <w:rPr>
          <w:color w:val="0000FF"/>
          <w:u w:val="single"/>
        </w:rPr>
        <w:fldChar w:fldCharType="begin"/>
      </w:r>
      <w:r>
        <w:instrText xml:space="preserve"> </w:instrText>
      </w:r>
      <w:r>
        <w:rPr>
          <w:rFonts w:hint="eastAsia"/>
        </w:rPr>
        <w:instrText xml:space="preserve">REF _Ref15477360 \r \h</w:instrText>
      </w:r>
      <w:r>
        <w:instrText xml:space="preserve"> </w:instrText>
      </w:r>
      <w:r>
        <w:rPr>
          <w:color w:val="0000FF"/>
          <w:u w:val="single"/>
        </w:rPr>
        <w:fldChar w:fldCharType="separate"/>
      </w:r>
      <w:r>
        <w:rPr>
          <w:rFonts w:hint="eastAsia"/>
        </w:rPr>
        <w:t>图4-37</w:t>
      </w:r>
      <w:r>
        <w:rPr>
          <w:color w:val="0000FF"/>
          <w:u w:val="single"/>
        </w:rPr>
        <w:fldChar w:fldCharType="end"/>
      </w:r>
      <w:r>
        <w:t>所示</w:t>
      </w:r>
      <w:r>
        <w:rPr>
          <w:rFonts w:hint="eastAsia"/>
        </w:rPr>
        <w:t>。向下拖动下拉按钮，显示最近一段时间的总流量占比图，如</w:t>
      </w:r>
      <w:r>
        <w:rPr>
          <w:color w:val="0000FF"/>
          <w:u w:val="single"/>
        </w:rPr>
        <w:fldChar w:fldCharType="begin"/>
      </w:r>
      <w:r>
        <w:instrText xml:space="preserve"> </w:instrText>
      </w:r>
      <w:r>
        <w:rPr>
          <w:rFonts w:hint="eastAsia"/>
        </w:rPr>
        <w:instrText xml:space="preserve">REF _Ref15477366 \r \h</w:instrText>
      </w:r>
      <w:r>
        <w:instrText xml:space="preserve"> </w:instrText>
      </w:r>
      <w:r>
        <w:rPr>
          <w:color w:val="0000FF"/>
          <w:u w:val="single"/>
        </w:rPr>
        <w:fldChar w:fldCharType="separate"/>
      </w:r>
      <w:r>
        <w:rPr>
          <w:rFonts w:hint="eastAsia"/>
        </w:rPr>
        <w:t>图4-38</w:t>
      </w:r>
      <w:r>
        <w:rPr>
          <w:color w:val="0000FF"/>
          <w:u w:val="single"/>
        </w:rPr>
        <w:fldChar w:fldCharType="end"/>
      </w:r>
      <w:r>
        <w:rPr>
          <w:rFonts w:hint="eastAsia"/>
        </w:rPr>
        <w:t>所示。页面最下方是应用统计详细信息，如</w:t>
      </w:r>
      <w:r>
        <w:rPr>
          <w:color w:val="0000FF"/>
          <w:u w:val="single"/>
        </w:rPr>
        <w:fldChar w:fldCharType="begin"/>
      </w:r>
      <w:r>
        <w:instrText xml:space="preserve"> </w:instrText>
      </w:r>
      <w:r>
        <w:rPr>
          <w:rFonts w:hint="eastAsia"/>
        </w:rPr>
        <w:instrText xml:space="preserve">REF _Ref15477373 \r \h</w:instrText>
      </w:r>
      <w:r>
        <w:instrText xml:space="preserve"> </w:instrText>
      </w:r>
      <w:r>
        <w:rPr>
          <w:color w:val="0000FF"/>
          <w:u w:val="single"/>
        </w:rPr>
        <w:fldChar w:fldCharType="separate"/>
      </w:r>
      <w:r>
        <w:rPr>
          <w:rFonts w:hint="eastAsia"/>
        </w:rPr>
        <w:t>图4-39</w:t>
      </w:r>
      <w:r>
        <w:rPr>
          <w:color w:val="0000FF"/>
          <w:u w:val="single"/>
        </w:rPr>
        <w:fldChar w:fldCharType="end"/>
      </w:r>
      <w:r>
        <w:rPr>
          <w:rFonts w:hint="eastAsia"/>
        </w:rPr>
        <w:t>所示。</w:t>
      </w:r>
    </w:p>
    <w:p w14:paraId="24C287A2">
      <w:pPr>
        <w:pStyle w:val="188"/>
      </w:pPr>
      <w:bookmarkStart w:id="641" w:name="_Toc141874414"/>
      <w:bookmarkStart w:id="642" w:name="_Ref15477360"/>
      <w:r>
        <w:rPr>
          <w:rFonts w:hint="eastAsia"/>
        </w:rPr>
        <w:t>应用流量统计趋势</w:t>
      </w:r>
      <w:bookmarkEnd w:id="641"/>
      <w:bookmarkEnd w:id="642"/>
    </w:p>
    <w:p w14:paraId="55DA14C3">
      <w:pPr>
        <w:spacing w:before="79" w:after="79"/>
      </w:pPr>
      <w:r>
        <w:t xml:space="preserve"> </w:t>
      </w:r>
      <w:r>
        <w:drawing>
          <wp:inline distT="0" distB="0" distL="0" distR="0">
            <wp:extent cx="4714875" cy="2049145"/>
            <wp:effectExtent l="0" t="0" r="0" b="825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99"/>
                    <a:stretch>
                      <a:fillRect/>
                    </a:stretch>
                  </pic:blipFill>
                  <pic:spPr>
                    <a:xfrm>
                      <a:off x="0" y="0"/>
                      <a:ext cx="4766190" cy="2071826"/>
                    </a:xfrm>
                    <a:prstGeom prst="rect">
                      <a:avLst/>
                    </a:prstGeom>
                  </pic:spPr>
                </pic:pic>
              </a:graphicData>
            </a:graphic>
          </wp:inline>
        </w:drawing>
      </w:r>
    </w:p>
    <w:p w14:paraId="2A5B5E8C"/>
    <w:p w14:paraId="0E46F54F">
      <w:pPr>
        <w:pStyle w:val="188"/>
      </w:pPr>
      <w:bookmarkStart w:id="643" w:name="_Ref15477366"/>
      <w:bookmarkStart w:id="644" w:name="_Toc141874415"/>
      <w:r>
        <w:rPr>
          <w:rFonts w:hint="eastAsia"/>
        </w:rPr>
        <w:t>应用流量占比</w:t>
      </w:r>
      <w:bookmarkEnd w:id="643"/>
      <w:bookmarkEnd w:id="644"/>
    </w:p>
    <w:p w14:paraId="533D8003">
      <w:pPr>
        <w:spacing w:before="79" w:after="79"/>
      </w:pPr>
      <w:r>
        <w:drawing>
          <wp:inline distT="0" distB="0" distL="0" distR="0">
            <wp:extent cx="4114800" cy="2264410"/>
            <wp:effectExtent l="0" t="0" r="0" b="254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00" cstate="print"/>
                    <a:stretch>
                      <a:fillRect/>
                    </a:stretch>
                  </pic:blipFill>
                  <pic:spPr>
                    <a:xfrm>
                      <a:off x="0" y="0"/>
                      <a:ext cx="4149322" cy="2283567"/>
                    </a:xfrm>
                    <a:prstGeom prst="rect">
                      <a:avLst/>
                    </a:prstGeom>
                  </pic:spPr>
                </pic:pic>
              </a:graphicData>
            </a:graphic>
          </wp:inline>
        </w:drawing>
      </w:r>
    </w:p>
    <w:p w14:paraId="7964C249"/>
    <w:p w14:paraId="297E6A80">
      <w:pPr>
        <w:pStyle w:val="188"/>
      </w:pPr>
      <w:bookmarkStart w:id="645" w:name="_Ref15477373"/>
      <w:bookmarkStart w:id="646" w:name="_Toc141874416"/>
      <w:r>
        <w:rPr>
          <w:rFonts w:hint="eastAsia"/>
        </w:rPr>
        <w:t>应用统计显示详细信息</w:t>
      </w:r>
      <w:bookmarkEnd w:id="645"/>
      <w:bookmarkEnd w:id="646"/>
    </w:p>
    <w:p w14:paraId="71C86D44">
      <w:pPr>
        <w:spacing w:before="79" w:after="79"/>
      </w:pPr>
      <w:r>
        <w:drawing>
          <wp:inline distT="0" distB="0" distL="0" distR="0">
            <wp:extent cx="4810125" cy="2271395"/>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01" cstate="print"/>
                    <a:srcRect b="19161"/>
                    <a:stretch>
                      <a:fillRect/>
                    </a:stretch>
                  </pic:blipFill>
                  <pic:spPr>
                    <a:xfrm>
                      <a:off x="0" y="0"/>
                      <a:ext cx="4827096" cy="2279462"/>
                    </a:xfrm>
                    <a:prstGeom prst="rect">
                      <a:avLst/>
                    </a:prstGeom>
                    <a:ln>
                      <a:noFill/>
                    </a:ln>
                  </pic:spPr>
                </pic:pic>
              </a:graphicData>
            </a:graphic>
          </wp:inline>
        </w:drawing>
      </w:r>
    </w:p>
    <w:p w14:paraId="3114AF75"/>
    <w:p w14:paraId="019BE8C2">
      <w:r>
        <w:rPr>
          <w:rFonts w:hint="eastAsia"/>
        </w:rPr>
        <w:t>对应用流量统计的详细说明如</w:t>
      </w:r>
      <w:r>
        <w:rPr>
          <w:color w:val="0000FF"/>
          <w:u w:val="single"/>
        </w:rPr>
        <w:fldChar w:fldCharType="begin"/>
      </w:r>
      <w:r>
        <w:instrText xml:space="preserve"> </w:instrText>
      </w:r>
      <w:r>
        <w:rPr>
          <w:rFonts w:hint="eastAsia"/>
        </w:rPr>
        <w:instrText xml:space="preserve">REF _Ref15477385 \r \h</w:instrText>
      </w:r>
      <w:r>
        <w:instrText xml:space="preserve"> </w:instrText>
      </w:r>
      <w:r>
        <w:rPr>
          <w:color w:val="0000FF"/>
          <w:u w:val="single"/>
        </w:rPr>
        <w:fldChar w:fldCharType="separate"/>
      </w:r>
      <w:r>
        <w:rPr>
          <w:rFonts w:hint="eastAsia"/>
        </w:rPr>
        <w:t>表4-1</w:t>
      </w:r>
      <w:r>
        <w:rPr>
          <w:color w:val="0000FF"/>
          <w:u w:val="single"/>
        </w:rPr>
        <w:fldChar w:fldCharType="end"/>
      </w:r>
      <w:r>
        <w:rPr>
          <w:rFonts w:hint="eastAsia"/>
        </w:rPr>
        <w:t>所示。</w:t>
      </w:r>
    </w:p>
    <w:p w14:paraId="553D185E">
      <w:pPr>
        <w:pStyle w:val="183"/>
      </w:pPr>
      <w:bookmarkStart w:id="647" w:name="_Toc141875387"/>
      <w:bookmarkStart w:id="648" w:name="_Ref15477385"/>
      <w:r>
        <w:rPr>
          <w:rFonts w:hint="eastAsia"/>
        </w:rPr>
        <w:t>应用流量统计</w:t>
      </w:r>
      <w:r>
        <w:t>说明</w:t>
      </w:r>
      <w:bookmarkEnd w:id="647"/>
      <w:bookmarkEnd w:id="648"/>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85"/>
        <w:gridCol w:w="6529"/>
      </w:tblGrid>
      <w:tr w14:paraId="6F8879C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23DCA957">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42" w:type="dxa"/>
            <w:tcBorders>
              <w:tl2br w:val="nil"/>
              <w:tr2bl w:val="nil"/>
            </w:tcBorders>
            <w:shd w:val="clear" w:color="auto" w:fill="538135" w:themeFill="accent6" w:themeFillShade="BF"/>
            <w:vAlign w:val="center"/>
          </w:tcPr>
          <w:p w14:paraId="63592FB7">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C998D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61B41876">
            <w:pPr>
              <w:pStyle w:val="186"/>
              <w:widowControl w:val="0"/>
              <w:spacing w:line="240" w:lineRule="auto"/>
              <w:ind w:firstLine="0"/>
              <w:jc w:val="left"/>
            </w:pPr>
            <w:r>
              <w:rPr>
                <w:rFonts w:hint="eastAsia"/>
              </w:rPr>
              <w:t>统计时间</w:t>
            </w:r>
          </w:p>
        </w:tc>
        <w:tc>
          <w:tcPr>
            <w:tcW w:w="6542" w:type="dxa"/>
            <w:shd w:val="clear" w:color="auto" w:fill="auto"/>
          </w:tcPr>
          <w:p w14:paraId="551B52FD">
            <w:pPr>
              <w:pStyle w:val="186"/>
              <w:widowControl w:val="0"/>
              <w:spacing w:line="240" w:lineRule="auto"/>
              <w:ind w:firstLine="0"/>
              <w:jc w:val="left"/>
            </w:pPr>
            <w:r>
              <w:rPr>
                <w:rFonts w:hint="eastAsia"/>
              </w:rPr>
              <w:t>设定流量显示的时间跨度，可选的值有：</w:t>
            </w:r>
          </w:p>
          <w:p w14:paraId="144B91E0">
            <w:pPr>
              <w:pStyle w:val="207"/>
            </w:pPr>
            <w:r>
              <w:rPr>
                <w:rFonts w:hint="eastAsia"/>
              </w:rPr>
              <w:t>最近一小时</w:t>
            </w:r>
          </w:p>
          <w:p w14:paraId="3227E94F">
            <w:pPr>
              <w:pStyle w:val="207"/>
            </w:pPr>
            <w:r>
              <w:rPr>
                <w:rFonts w:hint="eastAsia"/>
              </w:rPr>
              <w:t>最近一天</w:t>
            </w:r>
          </w:p>
          <w:p w14:paraId="402E589C">
            <w:pPr>
              <w:pStyle w:val="207"/>
            </w:pPr>
            <w:r>
              <w:rPr>
                <w:rFonts w:hint="eastAsia"/>
              </w:rPr>
              <w:t>最近一周</w:t>
            </w:r>
          </w:p>
          <w:p w14:paraId="4D0A3B80">
            <w:pPr>
              <w:pStyle w:val="186"/>
              <w:widowControl w:val="0"/>
              <w:spacing w:line="240" w:lineRule="auto"/>
              <w:ind w:firstLine="0"/>
              <w:jc w:val="left"/>
            </w:pPr>
            <w:r>
              <w:rPr>
                <w:rFonts w:hint="eastAsia"/>
              </w:rPr>
              <w:t>缺省情况下，显示最近一小时的应用流量统计</w:t>
            </w:r>
          </w:p>
        </w:tc>
      </w:tr>
      <w:tr w14:paraId="5429C88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49DF8F9C">
            <w:pPr>
              <w:pStyle w:val="186"/>
              <w:widowControl w:val="0"/>
              <w:spacing w:line="240" w:lineRule="auto"/>
              <w:ind w:firstLine="0"/>
              <w:jc w:val="left"/>
            </w:pPr>
            <w:r>
              <w:rPr>
                <w:rFonts w:hint="eastAsia"/>
              </w:rPr>
              <w:t>过滤条件</w:t>
            </w:r>
          </w:p>
        </w:tc>
        <w:tc>
          <w:tcPr>
            <w:tcW w:w="6542" w:type="dxa"/>
            <w:shd w:val="clear" w:color="auto" w:fill="auto"/>
          </w:tcPr>
          <w:p w14:paraId="2095287E">
            <w:pPr>
              <w:pStyle w:val="186"/>
              <w:widowControl w:val="0"/>
              <w:spacing w:line="240" w:lineRule="auto"/>
              <w:ind w:firstLine="0"/>
              <w:jc w:val="left"/>
            </w:pPr>
            <w:r>
              <w:rPr>
                <w:rFonts w:hint="eastAsia"/>
              </w:rPr>
              <w:t>过滤显示流量的方向，可选的值有：</w:t>
            </w:r>
          </w:p>
          <w:p w14:paraId="153F34EE">
            <w:pPr>
              <w:pStyle w:val="207"/>
            </w:pPr>
            <w:r>
              <w:rPr>
                <w:rFonts w:hint="eastAsia"/>
              </w:rPr>
              <w:t>双向</w:t>
            </w:r>
          </w:p>
          <w:p w14:paraId="34DE490E">
            <w:pPr>
              <w:pStyle w:val="207"/>
            </w:pPr>
            <w:r>
              <w:rPr>
                <w:rFonts w:hint="eastAsia"/>
              </w:rPr>
              <w:t>上行</w:t>
            </w:r>
          </w:p>
          <w:p w14:paraId="4EA57993">
            <w:pPr>
              <w:pStyle w:val="207"/>
            </w:pPr>
            <w:r>
              <w:rPr>
                <w:rFonts w:hint="eastAsia"/>
              </w:rPr>
              <w:t>下行</w:t>
            </w:r>
          </w:p>
          <w:p w14:paraId="3D35CDED">
            <w:pPr>
              <w:pStyle w:val="186"/>
              <w:widowControl w:val="0"/>
              <w:spacing w:line="240" w:lineRule="auto"/>
              <w:ind w:firstLine="0"/>
              <w:jc w:val="left"/>
            </w:pPr>
            <w:r>
              <w:rPr>
                <w:rFonts w:hint="eastAsia"/>
              </w:rPr>
              <w:t>缺省情况下，显示双向的应用流量统计</w:t>
            </w:r>
          </w:p>
        </w:tc>
      </w:tr>
      <w:tr w14:paraId="197DC7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61FF9FB0">
            <w:pPr>
              <w:pStyle w:val="186"/>
              <w:widowControl w:val="0"/>
              <w:spacing w:line="240" w:lineRule="auto"/>
              <w:ind w:firstLine="0"/>
              <w:jc w:val="left"/>
            </w:pPr>
            <w:r>
              <w:rPr>
                <w:rFonts w:hint="eastAsia"/>
              </w:rPr>
              <w:t>刷新数据</w:t>
            </w:r>
          </w:p>
        </w:tc>
        <w:tc>
          <w:tcPr>
            <w:tcW w:w="6542" w:type="dxa"/>
            <w:shd w:val="clear" w:color="auto" w:fill="auto"/>
          </w:tcPr>
          <w:p w14:paraId="269E144E">
            <w:pPr>
              <w:pStyle w:val="186"/>
              <w:widowControl w:val="0"/>
              <w:spacing w:line="240" w:lineRule="auto"/>
              <w:ind w:firstLine="0"/>
              <w:jc w:val="left"/>
            </w:pPr>
            <w:r>
              <w:rPr>
                <w:rFonts w:hint="eastAsia"/>
              </w:rPr>
              <w:t>立即刷新应用流量统计信息</w:t>
            </w:r>
          </w:p>
        </w:tc>
      </w:tr>
    </w:tbl>
    <w:p w14:paraId="0955D1CB"/>
    <w:p w14:paraId="3C5E0328">
      <w:r>
        <w:rPr>
          <w:rFonts w:hint="eastAsia"/>
        </w:rPr>
        <w:t>对应用统计详细信息的说明如</w:t>
      </w:r>
      <w:r>
        <w:rPr>
          <w:color w:val="0000FF"/>
          <w:u w:val="single"/>
        </w:rPr>
        <w:fldChar w:fldCharType="begin"/>
      </w:r>
      <w:r>
        <w:instrText xml:space="preserve"> </w:instrText>
      </w:r>
      <w:r>
        <w:rPr>
          <w:rFonts w:hint="eastAsia"/>
        </w:rPr>
        <w:instrText xml:space="preserve">REF _Ref15477391 \r \h</w:instrText>
      </w:r>
      <w:r>
        <w:instrText xml:space="preserve"> </w:instrText>
      </w:r>
      <w:r>
        <w:rPr>
          <w:color w:val="0000FF"/>
          <w:u w:val="single"/>
        </w:rPr>
        <w:fldChar w:fldCharType="separate"/>
      </w:r>
      <w:r>
        <w:rPr>
          <w:rFonts w:hint="eastAsia"/>
        </w:rPr>
        <w:t>表4-2</w:t>
      </w:r>
      <w:r>
        <w:rPr>
          <w:color w:val="0000FF"/>
          <w:u w:val="single"/>
        </w:rPr>
        <w:fldChar w:fldCharType="end"/>
      </w:r>
      <w:r>
        <w:rPr>
          <w:rFonts w:hint="eastAsia"/>
        </w:rPr>
        <w:t>所示。</w:t>
      </w:r>
    </w:p>
    <w:p w14:paraId="7DABE806">
      <w:pPr>
        <w:pStyle w:val="183"/>
      </w:pPr>
      <w:bookmarkStart w:id="649" w:name="_Toc141875388"/>
      <w:bookmarkStart w:id="650" w:name="_Ref15477391"/>
      <w:r>
        <w:rPr>
          <w:rFonts w:hint="eastAsia"/>
        </w:rPr>
        <w:t>应用统计详细信息说明</w:t>
      </w:r>
      <w:bookmarkEnd w:id="649"/>
      <w:bookmarkEnd w:id="650"/>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85"/>
        <w:gridCol w:w="6529"/>
      </w:tblGrid>
      <w:tr w14:paraId="19A16C9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46F12DDB">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42" w:type="dxa"/>
            <w:tcBorders>
              <w:tl2br w:val="nil"/>
              <w:tr2bl w:val="nil"/>
            </w:tcBorders>
            <w:shd w:val="clear" w:color="auto" w:fill="538135" w:themeFill="accent6" w:themeFillShade="BF"/>
            <w:vAlign w:val="center"/>
          </w:tcPr>
          <w:p w14:paraId="2D79182E">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684096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60CF8218">
            <w:pPr>
              <w:pStyle w:val="186"/>
              <w:widowControl w:val="0"/>
              <w:spacing w:line="240" w:lineRule="auto"/>
              <w:ind w:firstLine="0"/>
              <w:jc w:val="left"/>
            </w:pPr>
            <w:r>
              <w:rPr>
                <w:rFonts w:hint="eastAsia"/>
              </w:rPr>
              <w:t>应用名</w:t>
            </w:r>
          </w:p>
        </w:tc>
        <w:tc>
          <w:tcPr>
            <w:tcW w:w="6542" w:type="dxa"/>
            <w:shd w:val="clear" w:color="auto" w:fill="auto"/>
          </w:tcPr>
          <w:p w14:paraId="13BEB720">
            <w:pPr>
              <w:pStyle w:val="186"/>
              <w:widowControl w:val="0"/>
              <w:spacing w:line="240" w:lineRule="auto"/>
              <w:ind w:firstLine="0"/>
              <w:jc w:val="left"/>
            </w:pPr>
            <w:r>
              <w:rPr>
                <w:rFonts w:hint="eastAsia"/>
              </w:rPr>
              <w:t>应用的名称</w:t>
            </w:r>
          </w:p>
        </w:tc>
      </w:tr>
      <w:tr w14:paraId="5E63577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6268EEBC">
            <w:pPr>
              <w:pStyle w:val="186"/>
              <w:widowControl w:val="0"/>
              <w:spacing w:line="240" w:lineRule="auto"/>
              <w:ind w:firstLine="0"/>
              <w:jc w:val="left"/>
            </w:pPr>
            <w:r>
              <w:rPr>
                <w:rFonts w:hint="eastAsia"/>
              </w:rPr>
              <w:t>上行流量</w:t>
            </w:r>
          </w:p>
        </w:tc>
        <w:tc>
          <w:tcPr>
            <w:tcW w:w="6542" w:type="dxa"/>
            <w:shd w:val="clear" w:color="auto" w:fill="auto"/>
          </w:tcPr>
          <w:p w14:paraId="6E9B7EFB">
            <w:pPr>
              <w:pStyle w:val="186"/>
              <w:widowControl w:val="0"/>
              <w:spacing w:line="240" w:lineRule="auto"/>
              <w:ind w:firstLine="0"/>
              <w:jc w:val="left"/>
            </w:pPr>
            <w:r>
              <w:rPr>
                <w:rFonts w:hint="eastAsia"/>
              </w:rPr>
              <w:t>应用的上行流量</w:t>
            </w:r>
          </w:p>
        </w:tc>
      </w:tr>
      <w:tr w14:paraId="55F6B44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41F9334">
            <w:pPr>
              <w:pStyle w:val="186"/>
              <w:widowControl w:val="0"/>
              <w:spacing w:line="240" w:lineRule="auto"/>
              <w:ind w:firstLine="0"/>
              <w:jc w:val="left"/>
            </w:pPr>
            <w:r>
              <w:rPr>
                <w:rFonts w:hint="eastAsia"/>
              </w:rPr>
              <w:t>下行流量</w:t>
            </w:r>
          </w:p>
        </w:tc>
        <w:tc>
          <w:tcPr>
            <w:tcW w:w="6542" w:type="dxa"/>
            <w:shd w:val="clear" w:color="auto" w:fill="auto"/>
          </w:tcPr>
          <w:p w14:paraId="6A5EE7FD">
            <w:pPr>
              <w:pStyle w:val="186"/>
              <w:widowControl w:val="0"/>
              <w:spacing w:line="240" w:lineRule="auto"/>
              <w:ind w:firstLine="0"/>
              <w:jc w:val="left"/>
            </w:pPr>
            <w:r>
              <w:rPr>
                <w:rFonts w:hint="eastAsia"/>
              </w:rPr>
              <w:t>应用的下行流量</w:t>
            </w:r>
          </w:p>
        </w:tc>
      </w:tr>
      <w:tr w14:paraId="38D3D46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46F83D9">
            <w:pPr>
              <w:pStyle w:val="186"/>
              <w:widowControl w:val="0"/>
              <w:spacing w:line="240" w:lineRule="auto"/>
              <w:ind w:firstLine="0"/>
              <w:jc w:val="left"/>
            </w:pPr>
            <w:r>
              <w:rPr>
                <w:rFonts w:hint="eastAsia"/>
              </w:rPr>
              <w:t>总流量</w:t>
            </w:r>
          </w:p>
        </w:tc>
        <w:tc>
          <w:tcPr>
            <w:tcW w:w="6542" w:type="dxa"/>
            <w:shd w:val="clear" w:color="auto" w:fill="auto"/>
          </w:tcPr>
          <w:p w14:paraId="75221D88">
            <w:pPr>
              <w:pStyle w:val="186"/>
              <w:widowControl w:val="0"/>
              <w:spacing w:line="240" w:lineRule="auto"/>
              <w:ind w:firstLine="0"/>
              <w:jc w:val="left"/>
            </w:pPr>
            <w:r>
              <w:rPr>
                <w:rFonts w:hint="eastAsia"/>
              </w:rPr>
              <w:t>应用的总流量</w:t>
            </w:r>
          </w:p>
        </w:tc>
      </w:tr>
    </w:tbl>
    <w:p w14:paraId="31895AB3"/>
    <w:p w14:paraId="7D695D97">
      <w:r>
        <w:rPr>
          <w:rFonts w:hint="eastAsia"/>
        </w:rPr>
        <w:t>点击“应用统计详细信息”表格里面应用名列的应用名称，进入对应应用流量显示的详细页面，如</w:t>
      </w:r>
      <w:r>
        <w:rPr>
          <w:color w:val="0000FF"/>
          <w:u w:val="single"/>
        </w:rPr>
        <w:fldChar w:fldCharType="begin"/>
      </w:r>
      <w:r>
        <w:instrText xml:space="preserve"> </w:instrText>
      </w:r>
      <w:r>
        <w:rPr>
          <w:rFonts w:hint="eastAsia"/>
        </w:rPr>
        <w:instrText xml:space="preserve">REF _Ref15477397 \r \h</w:instrText>
      </w:r>
      <w:r>
        <w:instrText xml:space="preserve"> </w:instrText>
      </w:r>
      <w:r>
        <w:rPr>
          <w:color w:val="0000FF"/>
          <w:u w:val="single"/>
        </w:rPr>
        <w:fldChar w:fldCharType="separate"/>
      </w:r>
      <w:r>
        <w:rPr>
          <w:rFonts w:hint="eastAsia"/>
        </w:rPr>
        <w:t>图4-40</w:t>
      </w:r>
      <w:r>
        <w:rPr>
          <w:color w:val="0000FF"/>
          <w:u w:val="single"/>
        </w:rPr>
        <w:fldChar w:fldCharType="end"/>
      </w:r>
      <w:r>
        <w:rPr>
          <w:rFonts w:hint="eastAsia"/>
        </w:rPr>
        <w:t>所示。</w:t>
      </w:r>
    </w:p>
    <w:p w14:paraId="4E385E85">
      <w:pPr>
        <w:pStyle w:val="188"/>
      </w:pPr>
      <w:bookmarkStart w:id="651" w:name="_Toc141874417"/>
      <w:bookmarkStart w:id="652" w:name="_Ref15477397"/>
      <w:r>
        <w:rPr>
          <w:rFonts w:hint="eastAsia"/>
        </w:rPr>
        <w:t>单个应用统计详细信息</w:t>
      </w:r>
      <w:bookmarkEnd w:id="651"/>
      <w:bookmarkEnd w:id="652"/>
    </w:p>
    <w:p w14:paraId="638EE71C">
      <w:pPr>
        <w:spacing w:before="79" w:after="79"/>
      </w:pPr>
      <w:r>
        <w:t xml:space="preserve"> </w:t>
      </w:r>
      <w:r>
        <w:drawing>
          <wp:inline distT="0" distB="0" distL="0" distR="0">
            <wp:extent cx="5086350" cy="2225675"/>
            <wp:effectExtent l="0" t="0" r="0" b="3175"/>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pic:cNvPicPr>
                  </pic:nvPicPr>
                  <pic:blipFill>
                    <a:blip r:embed="rId102"/>
                    <a:stretch>
                      <a:fillRect/>
                    </a:stretch>
                  </pic:blipFill>
                  <pic:spPr>
                    <a:xfrm>
                      <a:off x="0" y="0"/>
                      <a:ext cx="5124951" cy="2242665"/>
                    </a:xfrm>
                    <a:prstGeom prst="rect">
                      <a:avLst/>
                    </a:prstGeom>
                  </pic:spPr>
                </pic:pic>
              </a:graphicData>
            </a:graphic>
          </wp:inline>
        </w:drawing>
      </w:r>
    </w:p>
    <w:p w14:paraId="7C45125B"/>
    <w:p w14:paraId="00DE3090">
      <w:r>
        <w:rPr>
          <w:rFonts w:hint="eastAsia"/>
        </w:rPr>
        <w:t>对单个应用流量统计的详细说明如</w:t>
      </w:r>
      <w:r>
        <w:rPr>
          <w:color w:val="0000FF"/>
          <w:u w:val="single"/>
        </w:rPr>
        <w:fldChar w:fldCharType="begin"/>
      </w:r>
      <w:r>
        <w:instrText xml:space="preserve"> </w:instrText>
      </w:r>
      <w:r>
        <w:rPr>
          <w:rFonts w:hint="eastAsia"/>
        </w:rPr>
        <w:instrText xml:space="preserve">REF _Ref15477402 \r \h</w:instrText>
      </w:r>
      <w:r>
        <w:instrText xml:space="preserve"> </w:instrText>
      </w:r>
      <w:r>
        <w:rPr>
          <w:color w:val="0000FF"/>
          <w:u w:val="single"/>
        </w:rPr>
        <w:fldChar w:fldCharType="separate"/>
      </w:r>
      <w:r>
        <w:rPr>
          <w:rFonts w:hint="eastAsia"/>
        </w:rPr>
        <w:t>表4-1</w:t>
      </w:r>
      <w:r>
        <w:rPr>
          <w:color w:val="0000FF"/>
          <w:u w:val="single"/>
        </w:rPr>
        <w:fldChar w:fldCharType="end"/>
      </w:r>
      <w:r>
        <w:rPr>
          <w:rFonts w:hint="eastAsia"/>
        </w:rPr>
        <w:t>所示。</w:t>
      </w:r>
    </w:p>
    <w:p w14:paraId="66F9AF65">
      <w:pPr>
        <w:pStyle w:val="183"/>
      </w:pPr>
      <w:bookmarkStart w:id="653" w:name="_Toc141875389"/>
      <w:bookmarkStart w:id="654" w:name="_Ref15477402"/>
      <w:r>
        <w:rPr>
          <w:rFonts w:hint="eastAsia"/>
        </w:rPr>
        <w:t>单个应用流量统计说明</w:t>
      </w:r>
      <w:bookmarkEnd w:id="653"/>
      <w:bookmarkEnd w:id="654"/>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85"/>
        <w:gridCol w:w="6529"/>
      </w:tblGrid>
      <w:tr w14:paraId="747658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13CAA08B">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42" w:type="dxa"/>
            <w:tcBorders>
              <w:tl2br w:val="nil"/>
              <w:tr2bl w:val="nil"/>
            </w:tcBorders>
            <w:shd w:val="clear" w:color="auto" w:fill="538135" w:themeFill="accent6" w:themeFillShade="BF"/>
            <w:vAlign w:val="center"/>
          </w:tcPr>
          <w:p w14:paraId="5F7DB42F">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088C1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B1CB08D">
            <w:pPr>
              <w:pStyle w:val="186"/>
              <w:widowControl w:val="0"/>
              <w:spacing w:line="240" w:lineRule="auto"/>
              <w:ind w:firstLine="0"/>
              <w:jc w:val="left"/>
            </w:pPr>
            <w:r>
              <w:rPr>
                <w:rFonts w:hint="eastAsia"/>
              </w:rPr>
              <w:t>用户名</w:t>
            </w:r>
          </w:p>
        </w:tc>
        <w:tc>
          <w:tcPr>
            <w:tcW w:w="6542" w:type="dxa"/>
            <w:shd w:val="clear" w:color="auto" w:fill="auto"/>
          </w:tcPr>
          <w:p w14:paraId="16AE1C84">
            <w:pPr>
              <w:pStyle w:val="186"/>
              <w:widowControl w:val="0"/>
              <w:spacing w:line="240" w:lineRule="auto"/>
              <w:ind w:firstLine="0"/>
              <w:jc w:val="left"/>
            </w:pPr>
            <w:r>
              <w:rPr>
                <w:rFonts w:hint="eastAsia"/>
              </w:rPr>
              <w:t>用户名称</w:t>
            </w:r>
          </w:p>
        </w:tc>
      </w:tr>
      <w:tr w14:paraId="21DC36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0968CC26">
            <w:pPr>
              <w:pStyle w:val="186"/>
              <w:widowControl w:val="0"/>
              <w:spacing w:line="240" w:lineRule="auto"/>
              <w:ind w:firstLine="0"/>
              <w:jc w:val="left"/>
            </w:pPr>
            <w:r>
              <w:rPr>
                <w:rFonts w:hint="eastAsia"/>
              </w:rPr>
              <w:t>上行流量</w:t>
            </w:r>
          </w:p>
        </w:tc>
        <w:tc>
          <w:tcPr>
            <w:tcW w:w="6542" w:type="dxa"/>
            <w:shd w:val="clear" w:color="auto" w:fill="auto"/>
          </w:tcPr>
          <w:p w14:paraId="146C82A2">
            <w:pPr>
              <w:pStyle w:val="186"/>
              <w:widowControl w:val="0"/>
              <w:spacing w:line="240" w:lineRule="auto"/>
              <w:ind w:firstLine="0"/>
              <w:jc w:val="left"/>
            </w:pPr>
            <w:r>
              <w:rPr>
                <w:rFonts w:hint="eastAsia"/>
              </w:rPr>
              <w:t>用户的单个应用上行流量</w:t>
            </w:r>
          </w:p>
        </w:tc>
      </w:tr>
      <w:tr w14:paraId="793CF7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1823A871">
            <w:pPr>
              <w:pStyle w:val="186"/>
              <w:widowControl w:val="0"/>
              <w:spacing w:line="240" w:lineRule="auto"/>
              <w:ind w:firstLine="0"/>
              <w:jc w:val="left"/>
            </w:pPr>
            <w:r>
              <w:rPr>
                <w:rFonts w:hint="eastAsia"/>
              </w:rPr>
              <w:t>下行流量</w:t>
            </w:r>
          </w:p>
        </w:tc>
        <w:tc>
          <w:tcPr>
            <w:tcW w:w="6542" w:type="dxa"/>
            <w:shd w:val="clear" w:color="auto" w:fill="auto"/>
          </w:tcPr>
          <w:p w14:paraId="2B01A5A8">
            <w:pPr>
              <w:pStyle w:val="186"/>
              <w:widowControl w:val="0"/>
              <w:spacing w:line="240" w:lineRule="auto"/>
              <w:ind w:firstLine="0"/>
              <w:jc w:val="left"/>
            </w:pPr>
            <w:r>
              <w:rPr>
                <w:rFonts w:hint="eastAsia"/>
              </w:rPr>
              <w:t>用户的单个应用下行流量</w:t>
            </w:r>
          </w:p>
        </w:tc>
      </w:tr>
      <w:tr w14:paraId="75D628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32E138FA">
            <w:pPr>
              <w:pStyle w:val="186"/>
              <w:widowControl w:val="0"/>
              <w:spacing w:line="240" w:lineRule="auto"/>
              <w:ind w:firstLine="0"/>
              <w:jc w:val="left"/>
            </w:pPr>
            <w:r>
              <w:rPr>
                <w:rFonts w:hint="eastAsia"/>
              </w:rPr>
              <w:t>总流量</w:t>
            </w:r>
          </w:p>
        </w:tc>
        <w:tc>
          <w:tcPr>
            <w:tcW w:w="6542" w:type="dxa"/>
            <w:shd w:val="clear" w:color="auto" w:fill="auto"/>
          </w:tcPr>
          <w:p w14:paraId="0553AB10">
            <w:pPr>
              <w:pStyle w:val="186"/>
              <w:widowControl w:val="0"/>
              <w:spacing w:line="240" w:lineRule="auto"/>
              <w:ind w:firstLine="0"/>
              <w:jc w:val="left"/>
            </w:pPr>
            <w:r>
              <w:rPr>
                <w:rFonts w:hint="eastAsia"/>
              </w:rPr>
              <w:t>用户的单个用上下行总流量</w:t>
            </w:r>
          </w:p>
        </w:tc>
      </w:tr>
    </w:tbl>
    <w:p w14:paraId="33ECFB11"/>
    <w:p w14:paraId="25689577">
      <w:pPr>
        <w:pStyle w:val="5"/>
      </w:pPr>
      <w:bookmarkStart w:id="655" w:name="_Toc15484621"/>
      <w:bookmarkStart w:id="656" w:name="_Toc194080619"/>
      <w:bookmarkStart w:id="657" w:name="_Toc23152389"/>
      <w:bookmarkStart w:id="658" w:name="_Toc141873258"/>
      <w:bookmarkStart w:id="659" w:name="_Toc172217981"/>
      <w:bookmarkStart w:id="660" w:name="_Toc40275822"/>
      <w:bookmarkStart w:id="661" w:name="_Toc142400771"/>
      <w:bookmarkStart w:id="662" w:name="_Toc196727952"/>
      <w:bookmarkStart w:id="663" w:name="_Toc99561308"/>
      <w:bookmarkStart w:id="664" w:name="_Toc11342780"/>
      <w:r>
        <w:rPr>
          <w:rFonts w:hint="eastAsia"/>
        </w:rPr>
        <w:t>用户信息中心</w:t>
      </w:r>
      <w:bookmarkEnd w:id="655"/>
      <w:bookmarkEnd w:id="656"/>
      <w:bookmarkEnd w:id="657"/>
      <w:bookmarkEnd w:id="658"/>
      <w:bookmarkEnd w:id="659"/>
      <w:bookmarkEnd w:id="660"/>
      <w:bookmarkEnd w:id="661"/>
      <w:bookmarkEnd w:id="662"/>
      <w:bookmarkEnd w:id="663"/>
      <w:bookmarkEnd w:id="664"/>
    </w:p>
    <w:p w14:paraId="383ACB5A">
      <w:r>
        <w:rPr>
          <w:rFonts w:hint="eastAsia"/>
        </w:rPr>
        <w:t>在导航栏中选择“数据中心&gt;数据分析&gt;用户信息中心”</w:t>
      </w:r>
      <w:r>
        <w:t>进入</w:t>
      </w:r>
      <w:r>
        <w:rPr>
          <w:rFonts w:hint="eastAsia"/>
        </w:rPr>
        <w:t>用户信息中心显示</w:t>
      </w:r>
      <w:r>
        <w:t>界面</w:t>
      </w:r>
      <w:r>
        <w:rPr>
          <w:rFonts w:hint="eastAsia"/>
        </w:rPr>
        <w:t>，如</w:t>
      </w:r>
      <w:r>
        <w:rPr>
          <w:color w:val="0000FF"/>
          <w:u w:val="single"/>
        </w:rPr>
        <w:fldChar w:fldCharType="begin"/>
      </w:r>
      <w:r>
        <w:instrText xml:space="preserve"> </w:instrText>
      </w:r>
      <w:r>
        <w:rPr>
          <w:rFonts w:hint="eastAsia"/>
        </w:rPr>
        <w:instrText xml:space="preserve">REF _Ref15477410 \r \h</w:instrText>
      </w:r>
      <w:r>
        <w:instrText xml:space="preserve"> </w:instrText>
      </w:r>
      <w:r>
        <w:rPr>
          <w:color w:val="0000FF"/>
          <w:u w:val="single"/>
        </w:rPr>
        <w:fldChar w:fldCharType="separate"/>
      </w:r>
      <w:r>
        <w:rPr>
          <w:rFonts w:hint="eastAsia"/>
        </w:rPr>
        <w:t>图4-41</w:t>
      </w:r>
      <w:r>
        <w:rPr>
          <w:color w:val="0000FF"/>
          <w:u w:val="single"/>
        </w:rPr>
        <w:fldChar w:fldCharType="end"/>
      </w:r>
      <w:r>
        <w:rPr>
          <w:rFonts w:hint="eastAsia"/>
        </w:rPr>
        <w:t>所示。</w:t>
      </w:r>
    </w:p>
    <w:p w14:paraId="4297FC5C">
      <w:pPr>
        <w:pStyle w:val="188"/>
      </w:pPr>
      <w:bookmarkStart w:id="665" w:name="_Toc141874418"/>
      <w:bookmarkStart w:id="666" w:name="_Ref15477410"/>
      <w:r>
        <w:rPr>
          <w:rFonts w:hint="eastAsia"/>
        </w:rPr>
        <w:t>用户信息中心</w:t>
      </w:r>
      <w:bookmarkEnd w:id="665"/>
      <w:bookmarkEnd w:id="666"/>
    </w:p>
    <w:p w14:paraId="5BB925E5">
      <w:pPr>
        <w:spacing w:before="79" w:after="79"/>
      </w:pPr>
      <w:r>
        <w:drawing>
          <wp:inline distT="0" distB="0" distL="0" distR="0">
            <wp:extent cx="5133975" cy="2336800"/>
            <wp:effectExtent l="0" t="0" r="0" b="635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03"/>
                    <a:stretch>
                      <a:fillRect/>
                    </a:stretch>
                  </pic:blipFill>
                  <pic:spPr>
                    <a:xfrm>
                      <a:off x="0" y="0"/>
                      <a:ext cx="5156365" cy="2347353"/>
                    </a:xfrm>
                    <a:prstGeom prst="rect">
                      <a:avLst/>
                    </a:prstGeom>
                  </pic:spPr>
                </pic:pic>
              </a:graphicData>
            </a:graphic>
          </wp:inline>
        </w:drawing>
      </w:r>
    </w:p>
    <w:p w14:paraId="68EF9F2D"/>
    <w:p w14:paraId="4BBA6B25">
      <w:r>
        <w:rPr>
          <w:rFonts w:hint="eastAsia"/>
        </w:rPr>
        <w:t>对用户信息中心的详细说明如</w:t>
      </w:r>
      <w:r>
        <w:rPr>
          <w:color w:val="0000FF"/>
          <w:u w:val="single"/>
        </w:rPr>
        <w:fldChar w:fldCharType="begin"/>
      </w:r>
      <w:r>
        <w:instrText xml:space="preserve"> </w:instrText>
      </w:r>
      <w:r>
        <w:rPr>
          <w:rFonts w:hint="eastAsia"/>
        </w:rPr>
        <w:instrText xml:space="preserve">REF _Ref15477415 \r \h</w:instrText>
      </w:r>
      <w:r>
        <w:instrText xml:space="preserve"> </w:instrText>
      </w:r>
      <w:r>
        <w:rPr>
          <w:color w:val="0000FF"/>
          <w:u w:val="single"/>
        </w:rPr>
        <w:fldChar w:fldCharType="separate"/>
      </w:r>
      <w:r>
        <w:rPr>
          <w:rFonts w:hint="eastAsia"/>
        </w:rPr>
        <w:t>表4-1</w:t>
      </w:r>
      <w:r>
        <w:rPr>
          <w:color w:val="0000FF"/>
          <w:u w:val="single"/>
        </w:rPr>
        <w:fldChar w:fldCharType="end"/>
      </w:r>
      <w:r>
        <w:rPr>
          <w:rFonts w:hint="eastAsia"/>
        </w:rPr>
        <w:t>所示。</w:t>
      </w:r>
    </w:p>
    <w:p w14:paraId="49AD5690">
      <w:pPr>
        <w:pStyle w:val="183"/>
      </w:pPr>
      <w:bookmarkStart w:id="667" w:name="_Toc141875390"/>
      <w:bookmarkStart w:id="668" w:name="_Ref15477415"/>
      <w:r>
        <w:rPr>
          <w:rFonts w:hint="eastAsia"/>
        </w:rPr>
        <w:t>用户信息中心</w:t>
      </w:r>
      <w:r>
        <w:t>说明</w:t>
      </w:r>
      <w:bookmarkEnd w:id="667"/>
      <w:bookmarkEnd w:id="668"/>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85"/>
        <w:gridCol w:w="6529"/>
      </w:tblGrid>
      <w:tr w14:paraId="6FFC427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19DEB046">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42" w:type="dxa"/>
            <w:tcBorders>
              <w:tl2br w:val="nil"/>
              <w:tr2bl w:val="nil"/>
            </w:tcBorders>
            <w:shd w:val="clear" w:color="auto" w:fill="538135" w:themeFill="accent6" w:themeFillShade="BF"/>
            <w:vAlign w:val="center"/>
          </w:tcPr>
          <w:p w14:paraId="0F1D3EBB">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E6B38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3B8F4B84">
            <w:pPr>
              <w:pStyle w:val="186"/>
              <w:widowControl w:val="0"/>
              <w:spacing w:line="240" w:lineRule="auto"/>
              <w:ind w:firstLine="0"/>
              <w:jc w:val="left"/>
            </w:pPr>
            <w:r>
              <w:rPr>
                <w:rFonts w:hint="eastAsia"/>
              </w:rPr>
              <w:t>选择日期</w:t>
            </w:r>
          </w:p>
        </w:tc>
        <w:tc>
          <w:tcPr>
            <w:tcW w:w="6542" w:type="dxa"/>
            <w:shd w:val="clear" w:color="auto" w:fill="auto"/>
          </w:tcPr>
          <w:p w14:paraId="0350D0E9">
            <w:pPr>
              <w:pStyle w:val="186"/>
              <w:widowControl w:val="0"/>
              <w:spacing w:line="240" w:lineRule="auto"/>
              <w:ind w:firstLine="0"/>
              <w:jc w:val="left"/>
            </w:pPr>
            <w:r>
              <w:rPr>
                <w:rFonts w:hint="eastAsia"/>
              </w:rPr>
              <w:t>缺省情况，显示当天用户的基本日志量的信息。</w:t>
            </w:r>
          </w:p>
        </w:tc>
      </w:tr>
      <w:tr w14:paraId="6CED9F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02703A72">
            <w:pPr>
              <w:pStyle w:val="186"/>
              <w:widowControl w:val="0"/>
              <w:spacing w:line="240" w:lineRule="auto"/>
              <w:ind w:firstLine="0"/>
              <w:jc w:val="left"/>
            </w:pPr>
            <w:r>
              <w:rPr>
                <w:rFonts w:hint="eastAsia"/>
              </w:rPr>
              <w:t>用户过滤</w:t>
            </w:r>
          </w:p>
        </w:tc>
        <w:tc>
          <w:tcPr>
            <w:tcW w:w="6542" w:type="dxa"/>
            <w:shd w:val="clear" w:color="auto" w:fill="auto"/>
          </w:tcPr>
          <w:p w14:paraId="267EE395">
            <w:pPr>
              <w:pStyle w:val="186"/>
              <w:widowControl w:val="0"/>
              <w:spacing w:line="240" w:lineRule="auto"/>
              <w:ind w:firstLine="0"/>
              <w:jc w:val="left"/>
            </w:pPr>
            <w:r>
              <w:rPr>
                <w:rFonts w:hint="eastAsia"/>
              </w:rPr>
              <w:t>输入用户名关键字，展现经过滤的用户信息列表。</w:t>
            </w:r>
          </w:p>
        </w:tc>
      </w:tr>
      <w:tr w14:paraId="05C9522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30CD035">
            <w:pPr>
              <w:pStyle w:val="186"/>
              <w:widowControl w:val="0"/>
              <w:spacing w:line="240" w:lineRule="auto"/>
              <w:ind w:firstLine="0"/>
              <w:jc w:val="left"/>
            </w:pPr>
            <w:r>
              <w:rPr>
                <w:rFonts w:hint="eastAsia"/>
              </w:rPr>
              <w:t>用户名</w:t>
            </w:r>
          </w:p>
        </w:tc>
        <w:tc>
          <w:tcPr>
            <w:tcW w:w="6542" w:type="dxa"/>
            <w:shd w:val="clear" w:color="auto" w:fill="auto"/>
          </w:tcPr>
          <w:p w14:paraId="4D9C71DF">
            <w:pPr>
              <w:pStyle w:val="186"/>
              <w:widowControl w:val="0"/>
              <w:spacing w:line="240" w:lineRule="auto"/>
              <w:ind w:firstLine="0"/>
              <w:jc w:val="left"/>
            </w:pPr>
            <w:r>
              <w:rPr>
                <w:rFonts w:hint="eastAsia"/>
              </w:rPr>
              <w:t>用户名称</w:t>
            </w:r>
          </w:p>
        </w:tc>
      </w:tr>
      <w:tr w14:paraId="76ED65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1761695A">
            <w:pPr>
              <w:pStyle w:val="186"/>
              <w:widowControl w:val="0"/>
              <w:spacing w:line="240" w:lineRule="auto"/>
              <w:ind w:firstLine="0"/>
              <w:jc w:val="left"/>
            </w:pPr>
            <w:r>
              <w:rPr>
                <w:rFonts w:hint="eastAsia"/>
              </w:rPr>
              <w:t>用户组</w:t>
            </w:r>
          </w:p>
        </w:tc>
        <w:tc>
          <w:tcPr>
            <w:tcW w:w="6542" w:type="dxa"/>
            <w:shd w:val="clear" w:color="auto" w:fill="auto"/>
          </w:tcPr>
          <w:p w14:paraId="0F136A9B">
            <w:pPr>
              <w:pStyle w:val="186"/>
              <w:widowControl w:val="0"/>
              <w:spacing w:line="240" w:lineRule="auto"/>
              <w:ind w:firstLine="0"/>
              <w:jc w:val="left"/>
            </w:pPr>
            <w:r>
              <w:rPr>
                <w:rFonts w:hint="eastAsia"/>
              </w:rPr>
              <w:t>用户所属用户组</w:t>
            </w:r>
          </w:p>
        </w:tc>
      </w:tr>
      <w:tr w14:paraId="799507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0C623527">
            <w:pPr>
              <w:pStyle w:val="186"/>
              <w:widowControl w:val="0"/>
              <w:spacing w:line="240" w:lineRule="auto"/>
              <w:ind w:firstLine="0"/>
              <w:jc w:val="left"/>
              <w:rPr>
                <w:rFonts w:ascii="宋体" w:hAnsi="宋体"/>
              </w:rPr>
            </w:pPr>
            <w:r>
              <w:rPr>
                <w:rFonts w:hint="eastAsia"/>
              </w:rPr>
              <w:t>IM聊天</w:t>
            </w:r>
          </w:p>
        </w:tc>
        <w:tc>
          <w:tcPr>
            <w:tcW w:w="6542" w:type="dxa"/>
            <w:shd w:val="clear" w:color="auto" w:fill="auto"/>
          </w:tcPr>
          <w:p w14:paraId="2E9DDF87">
            <w:pPr>
              <w:pStyle w:val="186"/>
              <w:widowControl w:val="0"/>
              <w:spacing w:line="240" w:lineRule="auto"/>
              <w:ind w:firstLine="0"/>
              <w:jc w:val="left"/>
            </w:pPr>
            <w:r>
              <w:rPr>
                <w:rFonts w:hint="eastAsia"/>
              </w:rPr>
              <w:t>IM聊天日志的条数目</w:t>
            </w:r>
          </w:p>
        </w:tc>
      </w:tr>
      <w:tr w14:paraId="11F5A54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653B47DF">
            <w:pPr>
              <w:pStyle w:val="186"/>
              <w:widowControl w:val="0"/>
              <w:spacing w:line="240" w:lineRule="auto"/>
              <w:ind w:firstLine="0"/>
              <w:jc w:val="left"/>
            </w:pPr>
            <w:r>
              <w:rPr>
                <w:rFonts w:hint="eastAsia"/>
              </w:rPr>
              <w:t>社区</w:t>
            </w:r>
          </w:p>
        </w:tc>
        <w:tc>
          <w:tcPr>
            <w:tcW w:w="6542" w:type="dxa"/>
            <w:shd w:val="clear" w:color="auto" w:fill="auto"/>
          </w:tcPr>
          <w:p w14:paraId="2E4115FF">
            <w:pPr>
              <w:pStyle w:val="186"/>
              <w:widowControl w:val="0"/>
              <w:spacing w:line="240" w:lineRule="auto"/>
              <w:ind w:firstLine="0"/>
              <w:jc w:val="left"/>
            </w:pPr>
            <w:r>
              <w:rPr>
                <w:rFonts w:hint="eastAsia"/>
              </w:rPr>
              <w:t>社区日志的条目数</w:t>
            </w:r>
          </w:p>
        </w:tc>
      </w:tr>
      <w:tr w14:paraId="0897F1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17D1DC13">
            <w:pPr>
              <w:pStyle w:val="186"/>
              <w:widowControl w:val="0"/>
              <w:spacing w:line="240" w:lineRule="auto"/>
              <w:ind w:firstLine="0"/>
              <w:jc w:val="left"/>
            </w:pPr>
            <w:r>
              <w:rPr>
                <w:rFonts w:hint="eastAsia"/>
              </w:rPr>
              <w:t>搜索引擎</w:t>
            </w:r>
          </w:p>
        </w:tc>
        <w:tc>
          <w:tcPr>
            <w:tcW w:w="6542" w:type="dxa"/>
            <w:shd w:val="clear" w:color="auto" w:fill="auto"/>
          </w:tcPr>
          <w:p w14:paraId="68F48B7C">
            <w:pPr>
              <w:pStyle w:val="186"/>
              <w:widowControl w:val="0"/>
              <w:spacing w:line="240" w:lineRule="auto"/>
              <w:ind w:firstLine="0"/>
              <w:jc w:val="left"/>
            </w:pPr>
            <w:r>
              <w:rPr>
                <w:rFonts w:hint="eastAsia"/>
              </w:rPr>
              <w:t>搜索引擎日志的条目数</w:t>
            </w:r>
          </w:p>
        </w:tc>
      </w:tr>
      <w:tr w14:paraId="1B3023F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48292827">
            <w:pPr>
              <w:pStyle w:val="186"/>
              <w:widowControl w:val="0"/>
              <w:spacing w:line="240" w:lineRule="auto"/>
              <w:ind w:firstLine="0"/>
              <w:jc w:val="left"/>
            </w:pPr>
            <w:r>
              <w:rPr>
                <w:rFonts w:hint="eastAsia"/>
              </w:rPr>
              <w:t>文件传输</w:t>
            </w:r>
          </w:p>
        </w:tc>
        <w:tc>
          <w:tcPr>
            <w:tcW w:w="6542" w:type="dxa"/>
            <w:shd w:val="clear" w:color="auto" w:fill="auto"/>
          </w:tcPr>
          <w:p w14:paraId="6DF64133">
            <w:pPr>
              <w:pStyle w:val="186"/>
              <w:widowControl w:val="0"/>
              <w:spacing w:line="240" w:lineRule="auto"/>
              <w:ind w:firstLine="0"/>
              <w:jc w:val="left"/>
            </w:pPr>
            <w:r>
              <w:rPr>
                <w:rFonts w:hint="eastAsia"/>
              </w:rPr>
              <w:t>文件传输日志的条目数</w:t>
            </w:r>
          </w:p>
        </w:tc>
      </w:tr>
      <w:tr w14:paraId="41CE0F8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0E1481A">
            <w:pPr>
              <w:pStyle w:val="186"/>
              <w:widowControl w:val="0"/>
              <w:spacing w:line="240" w:lineRule="auto"/>
              <w:ind w:firstLine="0"/>
              <w:jc w:val="left"/>
            </w:pPr>
            <w:r>
              <w:rPr>
                <w:rFonts w:hint="eastAsia"/>
              </w:rPr>
              <w:t>邮件</w:t>
            </w:r>
          </w:p>
        </w:tc>
        <w:tc>
          <w:tcPr>
            <w:tcW w:w="6542" w:type="dxa"/>
            <w:shd w:val="clear" w:color="auto" w:fill="auto"/>
          </w:tcPr>
          <w:p w14:paraId="7D97C0D8">
            <w:pPr>
              <w:pStyle w:val="186"/>
              <w:widowControl w:val="0"/>
              <w:spacing w:line="240" w:lineRule="auto"/>
              <w:ind w:firstLine="0"/>
              <w:jc w:val="left"/>
            </w:pPr>
            <w:r>
              <w:rPr>
                <w:rFonts w:hint="eastAsia"/>
              </w:rPr>
              <w:t>邮件收发记录日志的条目数</w:t>
            </w:r>
          </w:p>
        </w:tc>
      </w:tr>
      <w:tr w14:paraId="52FD55E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1936D85C">
            <w:pPr>
              <w:pStyle w:val="186"/>
              <w:widowControl w:val="0"/>
              <w:spacing w:line="240" w:lineRule="auto"/>
              <w:ind w:firstLine="0"/>
              <w:jc w:val="left"/>
            </w:pPr>
            <w:r>
              <w:rPr>
                <w:rFonts w:hint="eastAsia"/>
              </w:rPr>
              <w:t>网络娱乐</w:t>
            </w:r>
          </w:p>
        </w:tc>
        <w:tc>
          <w:tcPr>
            <w:tcW w:w="6542" w:type="dxa"/>
            <w:shd w:val="clear" w:color="auto" w:fill="auto"/>
          </w:tcPr>
          <w:p w14:paraId="6816EFE0">
            <w:pPr>
              <w:pStyle w:val="186"/>
              <w:widowControl w:val="0"/>
              <w:spacing w:line="240" w:lineRule="auto"/>
              <w:ind w:firstLine="0"/>
              <w:jc w:val="left"/>
            </w:pPr>
            <w:r>
              <w:rPr>
                <w:rFonts w:hint="eastAsia"/>
              </w:rPr>
              <w:t>网络娱乐应用日志的条目数</w:t>
            </w:r>
          </w:p>
        </w:tc>
      </w:tr>
      <w:tr w14:paraId="3B426AC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5BD4ECC9">
            <w:pPr>
              <w:pStyle w:val="186"/>
              <w:widowControl w:val="0"/>
              <w:spacing w:line="240" w:lineRule="auto"/>
              <w:ind w:firstLine="0"/>
              <w:jc w:val="left"/>
            </w:pPr>
            <w:r>
              <w:rPr>
                <w:rFonts w:hint="eastAsia"/>
              </w:rPr>
              <w:t>其他</w:t>
            </w:r>
          </w:p>
        </w:tc>
        <w:tc>
          <w:tcPr>
            <w:tcW w:w="6542" w:type="dxa"/>
            <w:shd w:val="clear" w:color="auto" w:fill="auto"/>
          </w:tcPr>
          <w:p w14:paraId="128CB683">
            <w:pPr>
              <w:pStyle w:val="186"/>
              <w:widowControl w:val="0"/>
              <w:spacing w:line="240" w:lineRule="auto"/>
              <w:ind w:firstLine="0"/>
              <w:jc w:val="left"/>
            </w:pPr>
            <w:r>
              <w:rPr>
                <w:rFonts w:hint="eastAsia"/>
              </w:rPr>
              <w:t>其他应用的日志条目数</w:t>
            </w:r>
          </w:p>
        </w:tc>
      </w:tr>
      <w:tr w14:paraId="1D4AFC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E061333">
            <w:pPr>
              <w:pStyle w:val="186"/>
              <w:widowControl w:val="0"/>
              <w:spacing w:line="240" w:lineRule="auto"/>
              <w:ind w:firstLine="0"/>
              <w:jc w:val="left"/>
            </w:pPr>
            <w:r>
              <w:rPr>
                <w:rFonts w:hint="eastAsia"/>
              </w:rPr>
              <w:t>网站访问</w:t>
            </w:r>
          </w:p>
        </w:tc>
        <w:tc>
          <w:tcPr>
            <w:tcW w:w="6542" w:type="dxa"/>
            <w:shd w:val="clear" w:color="auto" w:fill="auto"/>
          </w:tcPr>
          <w:p w14:paraId="4A1B885C">
            <w:pPr>
              <w:pStyle w:val="186"/>
              <w:widowControl w:val="0"/>
              <w:spacing w:line="240" w:lineRule="auto"/>
              <w:ind w:firstLine="0"/>
              <w:jc w:val="left"/>
            </w:pPr>
            <w:r>
              <w:rPr>
                <w:rFonts w:hint="eastAsia"/>
              </w:rPr>
              <w:t>访问网站记录的日志条目数</w:t>
            </w:r>
          </w:p>
        </w:tc>
      </w:tr>
    </w:tbl>
    <w:p w14:paraId="60C8745C"/>
    <w:p w14:paraId="0524C8EA">
      <w:r>
        <w:rPr>
          <w:rFonts w:hint="eastAsia"/>
        </w:rPr>
        <w:t>在用户中心的用户基础信息列表，选择某个用户进入该用户的用户数据中心页面。</w:t>
      </w:r>
    </w:p>
    <w:p w14:paraId="6F3C642A">
      <w:pPr>
        <w:pStyle w:val="6"/>
        <w:numPr>
          <w:ilvl w:val="3"/>
          <w:numId w:val="23"/>
        </w:numPr>
      </w:pPr>
      <w:bookmarkStart w:id="669" w:name="_Toc11342781"/>
      <w:r>
        <w:rPr>
          <w:rFonts w:hint="eastAsia"/>
        </w:rPr>
        <w:t>虚拟用户身份</w:t>
      </w:r>
      <w:bookmarkEnd w:id="669"/>
    </w:p>
    <w:p w14:paraId="7ADB9112">
      <w:r>
        <w:rPr>
          <w:rFonts w:hint="eastAsia"/>
        </w:rPr>
        <w:t>用户中心的虚拟用户身份信息如</w:t>
      </w:r>
      <w:r>
        <w:rPr>
          <w:color w:val="0000FF"/>
          <w:u w:val="single"/>
        </w:rPr>
        <w:fldChar w:fldCharType="begin"/>
      </w:r>
      <w:r>
        <w:instrText xml:space="preserve"> </w:instrText>
      </w:r>
      <w:r>
        <w:rPr>
          <w:rFonts w:hint="eastAsia"/>
        </w:rPr>
        <w:instrText xml:space="preserve">REF _Ref15477422 \r \h</w:instrText>
      </w:r>
      <w:r>
        <w:instrText xml:space="preserve"> </w:instrText>
      </w:r>
      <w:r>
        <w:rPr>
          <w:color w:val="0000FF"/>
          <w:u w:val="single"/>
        </w:rPr>
        <w:fldChar w:fldCharType="separate"/>
      </w:r>
      <w:r>
        <w:rPr>
          <w:rFonts w:hint="eastAsia"/>
        </w:rPr>
        <w:t>图4-42</w:t>
      </w:r>
      <w:r>
        <w:rPr>
          <w:color w:val="0000FF"/>
          <w:u w:val="single"/>
        </w:rPr>
        <w:fldChar w:fldCharType="end"/>
      </w:r>
      <w:r>
        <w:rPr>
          <w:rFonts w:hint="eastAsia"/>
        </w:rPr>
        <w:t>所示。</w:t>
      </w:r>
    </w:p>
    <w:p w14:paraId="54595C72"/>
    <w:p w14:paraId="033C5377">
      <w:pPr>
        <w:pStyle w:val="188"/>
      </w:pPr>
      <w:bookmarkStart w:id="670" w:name="_Ref15477422"/>
      <w:bookmarkStart w:id="671" w:name="_Toc141874419"/>
      <w:r>
        <w:rPr>
          <w:rFonts w:hint="eastAsia"/>
        </w:rPr>
        <w:t>虚拟用户身份</w:t>
      </w:r>
      <w:bookmarkEnd w:id="670"/>
      <w:bookmarkEnd w:id="671"/>
    </w:p>
    <w:p w14:paraId="3C5AABBC">
      <w:pPr>
        <w:spacing w:before="79" w:after="79"/>
      </w:pPr>
      <w:r>
        <w:drawing>
          <wp:inline distT="0" distB="0" distL="0" distR="0">
            <wp:extent cx="5143500" cy="2373630"/>
            <wp:effectExtent l="0" t="0" r="0" b="762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104"/>
                    <a:stretch>
                      <a:fillRect/>
                    </a:stretch>
                  </pic:blipFill>
                  <pic:spPr>
                    <a:xfrm>
                      <a:off x="0" y="0"/>
                      <a:ext cx="5152590" cy="2378241"/>
                    </a:xfrm>
                    <a:prstGeom prst="rect">
                      <a:avLst/>
                    </a:prstGeom>
                  </pic:spPr>
                </pic:pic>
              </a:graphicData>
            </a:graphic>
          </wp:inline>
        </w:drawing>
      </w:r>
    </w:p>
    <w:p w14:paraId="7D7B2B47"/>
    <w:p w14:paraId="79384DC8">
      <w:r>
        <w:rPr>
          <w:rFonts w:hint="eastAsia"/>
        </w:rPr>
        <w:t>对虚拟用户身份信息的详细说明</w:t>
      </w:r>
      <w:r>
        <w:rPr>
          <w:color w:val="0000FF"/>
          <w:u w:val="single"/>
        </w:rPr>
        <w:fldChar w:fldCharType="begin"/>
      </w:r>
      <w:r>
        <w:instrText xml:space="preserve"> </w:instrText>
      </w:r>
      <w:r>
        <w:rPr>
          <w:rFonts w:hint="eastAsia"/>
        </w:rPr>
        <w:instrText xml:space="preserve">REF _Ref15477426 \r \h</w:instrText>
      </w:r>
      <w:r>
        <w:instrText xml:space="preserve"> </w:instrText>
      </w:r>
      <w:r>
        <w:rPr>
          <w:color w:val="0000FF"/>
          <w:u w:val="single"/>
        </w:rPr>
        <w:fldChar w:fldCharType="separate"/>
      </w:r>
      <w:r>
        <w:rPr>
          <w:rFonts w:hint="eastAsia"/>
        </w:rPr>
        <w:t>表4-1</w:t>
      </w:r>
      <w:r>
        <w:rPr>
          <w:color w:val="0000FF"/>
          <w:u w:val="single"/>
        </w:rPr>
        <w:fldChar w:fldCharType="end"/>
      </w:r>
      <w:r>
        <w:rPr>
          <w:rFonts w:hint="eastAsia"/>
        </w:rPr>
        <w:t>所示。</w:t>
      </w:r>
    </w:p>
    <w:p w14:paraId="000CEFC4">
      <w:pPr>
        <w:pStyle w:val="183"/>
      </w:pPr>
      <w:bookmarkStart w:id="672" w:name="_Ref15477426"/>
      <w:bookmarkStart w:id="673" w:name="_Toc141875391"/>
      <w:r>
        <w:rPr>
          <w:rFonts w:hint="eastAsia"/>
        </w:rPr>
        <w:t>虚拟用户身份信息说明</w:t>
      </w:r>
      <w:bookmarkEnd w:id="672"/>
      <w:bookmarkEnd w:id="673"/>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85"/>
        <w:gridCol w:w="6529"/>
      </w:tblGrid>
      <w:tr w14:paraId="2DA386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0B56DA4B">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42" w:type="dxa"/>
            <w:tcBorders>
              <w:tl2br w:val="nil"/>
              <w:tr2bl w:val="nil"/>
            </w:tcBorders>
            <w:shd w:val="clear" w:color="auto" w:fill="538135" w:themeFill="accent6" w:themeFillShade="BF"/>
            <w:vAlign w:val="center"/>
          </w:tcPr>
          <w:p w14:paraId="1E01298B">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88923C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575E996">
            <w:pPr>
              <w:pStyle w:val="186"/>
              <w:widowControl w:val="0"/>
              <w:spacing w:line="240" w:lineRule="auto"/>
              <w:ind w:firstLine="0"/>
              <w:jc w:val="left"/>
            </w:pPr>
            <w:r>
              <w:rPr>
                <w:rFonts w:hint="eastAsia"/>
              </w:rPr>
              <w:t>用户</w:t>
            </w:r>
          </w:p>
        </w:tc>
        <w:tc>
          <w:tcPr>
            <w:tcW w:w="6542" w:type="dxa"/>
            <w:shd w:val="clear" w:color="auto" w:fill="auto"/>
          </w:tcPr>
          <w:p w14:paraId="478F1E45">
            <w:pPr>
              <w:pStyle w:val="186"/>
              <w:widowControl w:val="0"/>
              <w:spacing w:line="240" w:lineRule="auto"/>
              <w:ind w:firstLine="0"/>
              <w:jc w:val="left"/>
            </w:pPr>
            <w:r>
              <w:rPr>
                <w:rFonts w:hint="eastAsia"/>
              </w:rPr>
              <w:t>用户名称</w:t>
            </w:r>
          </w:p>
        </w:tc>
      </w:tr>
      <w:tr w14:paraId="233DD10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02EFDB6">
            <w:pPr>
              <w:pStyle w:val="186"/>
              <w:widowControl w:val="0"/>
              <w:spacing w:line="240" w:lineRule="auto"/>
              <w:ind w:firstLine="0"/>
              <w:jc w:val="left"/>
            </w:pPr>
            <w:r>
              <w:rPr>
                <w:rFonts w:hint="eastAsia"/>
              </w:rPr>
              <w:t>所属组</w:t>
            </w:r>
          </w:p>
        </w:tc>
        <w:tc>
          <w:tcPr>
            <w:tcW w:w="6542" w:type="dxa"/>
            <w:shd w:val="clear" w:color="auto" w:fill="auto"/>
          </w:tcPr>
          <w:p w14:paraId="45C7F639">
            <w:pPr>
              <w:pStyle w:val="186"/>
              <w:widowControl w:val="0"/>
              <w:spacing w:line="240" w:lineRule="auto"/>
              <w:ind w:firstLine="0"/>
              <w:jc w:val="left"/>
            </w:pPr>
            <w:r>
              <w:rPr>
                <w:rFonts w:hint="eastAsia"/>
              </w:rPr>
              <w:t>用户所属的组</w:t>
            </w:r>
          </w:p>
        </w:tc>
      </w:tr>
      <w:tr w14:paraId="2C4BDF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15880D93">
            <w:pPr>
              <w:pStyle w:val="186"/>
              <w:widowControl w:val="0"/>
              <w:spacing w:line="240" w:lineRule="auto"/>
              <w:ind w:firstLine="0"/>
              <w:jc w:val="left"/>
            </w:pPr>
            <w:r>
              <w:rPr>
                <w:rFonts w:hint="eastAsia"/>
              </w:rPr>
              <w:t>在线时长</w:t>
            </w:r>
          </w:p>
        </w:tc>
        <w:tc>
          <w:tcPr>
            <w:tcW w:w="6542" w:type="dxa"/>
            <w:shd w:val="clear" w:color="auto" w:fill="auto"/>
          </w:tcPr>
          <w:p w14:paraId="1F7D7DB2">
            <w:pPr>
              <w:pStyle w:val="186"/>
              <w:widowControl w:val="0"/>
              <w:spacing w:line="240" w:lineRule="auto"/>
              <w:ind w:firstLine="0"/>
              <w:jc w:val="left"/>
            </w:pPr>
            <w:r>
              <w:rPr>
                <w:rFonts w:hint="eastAsia"/>
              </w:rPr>
              <w:t>用户在线累计时间</w:t>
            </w:r>
          </w:p>
        </w:tc>
      </w:tr>
    </w:tbl>
    <w:p w14:paraId="75C8D535"/>
    <w:p w14:paraId="34A8518F">
      <w:pPr>
        <w:pStyle w:val="6"/>
      </w:pPr>
      <w:bookmarkStart w:id="674" w:name="_Toc11342782"/>
      <w:r>
        <w:rPr>
          <w:rFonts w:hint="eastAsia"/>
        </w:rPr>
        <w:t>用户日志统计</w:t>
      </w:r>
      <w:bookmarkEnd w:id="674"/>
    </w:p>
    <w:p w14:paraId="384DA5CE">
      <w:r>
        <w:rPr>
          <w:rFonts w:hint="eastAsia"/>
        </w:rPr>
        <w:t>用户中心的用户日志数统计</w:t>
      </w:r>
      <w:r>
        <w:rPr>
          <w:color w:val="0000FF"/>
          <w:u w:val="single"/>
        </w:rPr>
        <w:fldChar w:fldCharType="begin"/>
      </w:r>
      <w:r>
        <w:instrText xml:space="preserve"> </w:instrText>
      </w:r>
      <w:r>
        <w:rPr>
          <w:rFonts w:hint="eastAsia"/>
        </w:rPr>
        <w:instrText xml:space="preserve">REF _Ref15477434 \r \h</w:instrText>
      </w:r>
      <w:r>
        <w:instrText xml:space="preserve"> </w:instrText>
      </w:r>
      <w:r>
        <w:rPr>
          <w:color w:val="0000FF"/>
          <w:u w:val="single"/>
        </w:rPr>
        <w:fldChar w:fldCharType="separate"/>
      </w:r>
      <w:r>
        <w:rPr>
          <w:rFonts w:hint="eastAsia"/>
        </w:rPr>
        <w:t>图4-43</w:t>
      </w:r>
      <w:r>
        <w:rPr>
          <w:color w:val="0000FF"/>
          <w:u w:val="single"/>
        </w:rPr>
        <w:fldChar w:fldCharType="end"/>
      </w:r>
      <w:r>
        <w:rPr>
          <w:rFonts w:hint="eastAsia"/>
        </w:rPr>
        <w:t>所示。</w:t>
      </w:r>
    </w:p>
    <w:p w14:paraId="15DE94EC">
      <w:pPr>
        <w:pStyle w:val="188"/>
      </w:pPr>
      <w:bookmarkStart w:id="675" w:name="_Ref15477434"/>
      <w:bookmarkStart w:id="676" w:name="_Toc141874420"/>
      <w:r>
        <w:rPr>
          <w:rFonts w:hint="eastAsia"/>
        </w:rPr>
        <w:t>用户日志统计</w:t>
      </w:r>
      <w:bookmarkEnd w:id="675"/>
      <w:bookmarkEnd w:id="676"/>
    </w:p>
    <w:p w14:paraId="1703E758">
      <w:pPr>
        <w:spacing w:before="79" w:after="79"/>
      </w:pPr>
      <w:r>
        <w:drawing>
          <wp:inline distT="0" distB="0" distL="0" distR="0">
            <wp:extent cx="4248150" cy="209804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105"/>
                    <a:stretch>
                      <a:fillRect/>
                    </a:stretch>
                  </pic:blipFill>
                  <pic:spPr>
                    <a:xfrm>
                      <a:off x="0" y="0"/>
                      <a:ext cx="4263184" cy="2105551"/>
                    </a:xfrm>
                    <a:prstGeom prst="rect">
                      <a:avLst/>
                    </a:prstGeom>
                  </pic:spPr>
                </pic:pic>
              </a:graphicData>
            </a:graphic>
          </wp:inline>
        </w:drawing>
      </w:r>
    </w:p>
    <w:p w14:paraId="0BCEEAFF"/>
    <w:p w14:paraId="1C19EBD1">
      <w:r>
        <w:rPr>
          <w:rFonts w:hint="eastAsia"/>
        </w:rPr>
        <w:t>对用户日志数量统计图的详细说明如</w:t>
      </w:r>
      <w:r>
        <w:fldChar w:fldCharType="begin"/>
      </w:r>
      <w:r>
        <w:instrText xml:space="preserve"> </w:instrText>
      </w:r>
      <w:r>
        <w:rPr>
          <w:rFonts w:hint="eastAsia"/>
        </w:rPr>
        <w:instrText xml:space="preserve">REF _Ref15477453 \r \h</w:instrText>
      </w:r>
      <w:r>
        <w:instrText xml:space="preserve"> </w:instrText>
      </w:r>
      <w:r>
        <w:fldChar w:fldCharType="separate"/>
      </w:r>
      <w:r>
        <w:rPr>
          <w:rFonts w:hint="eastAsia"/>
        </w:rPr>
        <w:t>表4-1</w:t>
      </w:r>
      <w:r>
        <w:fldChar w:fldCharType="end"/>
      </w:r>
      <w:r>
        <w:rPr>
          <w:rFonts w:hint="eastAsia"/>
        </w:rPr>
        <w:t>所示。</w:t>
      </w:r>
    </w:p>
    <w:p w14:paraId="297866BA">
      <w:pPr>
        <w:pStyle w:val="183"/>
      </w:pPr>
      <w:bookmarkStart w:id="677" w:name="_Ref15477453"/>
      <w:bookmarkStart w:id="678" w:name="_Toc141875392"/>
      <w:r>
        <w:rPr>
          <w:rFonts w:hint="eastAsia"/>
        </w:rPr>
        <w:t>用户日志统计说明</w:t>
      </w:r>
      <w:bookmarkEnd w:id="677"/>
      <w:bookmarkEnd w:id="678"/>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85"/>
        <w:gridCol w:w="6529"/>
      </w:tblGrid>
      <w:tr w14:paraId="2F1A5F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0B09B116">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42" w:type="dxa"/>
            <w:tcBorders>
              <w:tl2br w:val="nil"/>
              <w:tr2bl w:val="nil"/>
            </w:tcBorders>
            <w:shd w:val="clear" w:color="auto" w:fill="538135" w:themeFill="accent6" w:themeFillShade="BF"/>
            <w:vAlign w:val="center"/>
          </w:tcPr>
          <w:p w14:paraId="0DDB3F5C">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F2ECB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1DDCC3B">
            <w:pPr>
              <w:pStyle w:val="186"/>
              <w:widowControl w:val="0"/>
              <w:spacing w:line="240" w:lineRule="auto"/>
              <w:ind w:firstLine="0"/>
              <w:jc w:val="left"/>
            </w:pPr>
            <w:r>
              <w:rPr>
                <w:rFonts w:hint="eastAsia"/>
              </w:rPr>
              <w:t>IM聊天</w:t>
            </w:r>
          </w:p>
        </w:tc>
        <w:tc>
          <w:tcPr>
            <w:tcW w:w="6542" w:type="dxa"/>
            <w:shd w:val="clear" w:color="auto" w:fill="auto"/>
          </w:tcPr>
          <w:p w14:paraId="54F0A675">
            <w:pPr>
              <w:pStyle w:val="186"/>
              <w:widowControl w:val="0"/>
              <w:spacing w:line="240" w:lineRule="auto"/>
              <w:ind w:firstLine="0"/>
              <w:jc w:val="left"/>
            </w:pPr>
            <w:r>
              <w:rPr>
                <w:rFonts w:hint="eastAsia"/>
              </w:rPr>
              <w:t>当天该用户产生的IM聊天日志条数</w:t>
            </w:r>
          </w:p>
        </w:tc>
      </w:tr>
      <w:tr w14:paraId="4DCF45B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31322379">
            <w:pPr>
              <w:pStyle w:val="186"/>
              <w:widowControl w:val="0"/>
              <w:spacing w:line="240" w:lineRule="auto"/>
              <w:ind w:firstLine="0"/>
              <w:jc w:val="left"/>
            </w:pPr>
            <w:r>
              <w:rPr>
                <w:rFonts w:hint="eastAsia"/>
              </w:rPr>
              <w:t>社区</w:t>
            </w:r>
          </w:p>
        </w:tc>
        <w:tc>
          <w:tcPr>
            <w:tcW w:w="6542" w:type="dxa"/>
            <w:shd w:val="clear" w:color="auto" w:fill="auto"/>
          </w:tcPr>
          <w:p w14:paraId="6B87A4EF">
            <w:pPr>
              <w:pStyle w:val="186"/>
              <w:widowControl w:val="0"/>
              <w:spacing w:line="240" w:lineRule="auto"/>
              <w:ind w:firstLine="0"/>
              <w:jc w:val="left"/>
            </w:pPr>
            <w:r>
              <w:rPr>
                <w:rFonts w:hint="eastAsia"/>
              </w:rPr>
              <w:t>当天该用户产生的社区日志条数</w:t>
            </w:r>
          </w:p>
        </w:tc>
      </w:tr>
      <w:tr w14:paraId="069821E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3B2055A">
            <w:pPr>
              <w:pStyle w:val="186"/>
              <w:widowControl w:val="0"/>
              <w:spacing w:line="240" w:lineRule="auto"/>
              <w:ind w:firstLine="0"/>
              <w:jc w:val="left"/>
            </w:pPr>
            <w:r>
              <w:rPr>
                <w:rFonts w:hint="eastAsia"/>
              </w:rPr>
              <w:t>搜索引擎</w:t>
            </w:r>
          </w:p>
        </w:tc>
        <w:tc>
          <w:tcPr>
            <w:tcW w:w="6542" w:type="dxa"/>
            <w:shd w:val="clear" w:color="auto" w:fill="auto"/>
          </w:tcPr>
          <w:p w14:paraId="7F8403F1">
            <w:pPr>
              <w:pStyle w:val="186"/>
              <w:widowControl w:val="0"/>
              <w:spacing w:line="240" w:lineRule="auto"/>
              <w:ind w:firstLine="0"/>
              <w:jc w:val="left"/>
            </w:pPr>
            <w:r>
              <w:rPr>
                <w:rFonts w:hint="eastAsia"/>
              </w:rPr>
              <w:t>当天该用户产生的搜索引擎日志条数</w:t>
            </w:r>
          </w:p>
        </w:tc>
      </w:tr>
      <w:tr w14:paraId="169782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15584274">
            <w:pPr>
              <w:pStyle w:val="186"/>
              <w:widowControl w:val="0"/>
              <w:spacing w:line="240" w:lineRule="auto"/>
              <w:ind w:firstLine="0"/>
              <w:jc w:val="left"/>
            </w:pPr>
            <w:r>
              <w:rPr>
                <w:rFonts w:hint="eastAsia"/>
              </w:rPr>
              <w:t>文件传输</w:t>
            </w:r>
          </w:p>
        </w:tc>
        <w:tc>
          <w:tcPr>
            <w:tcW w:w="6542" w:type="dxa"/>
            <w:shd w:val="clear" w:color="auto" w:fill="auto"/>
          </w:tcPr>
          <w:p w14:paraId="75FA18D4">
            <w:pPr>
              <w:pStyle w:val="186"/>
              <w:widowControl w:val="0"/>
              <w:spacing w:line="240" w:lineRule="auto"/>
              <w:ind w:firstLine="0"/>
              <w:jc w:val="left"/>
            </w:pPr>
            <w:r>
              <w:rPr>
                <w:rFonts w:hint="eastAsia"/>
              </w:rPr>
              <w:t>当天该用户产生的文件传输日志条数</w:t>
            </w:r>
          </w:p>
        </w:tc>
      </w:tr>
      <w:tr w14:paraId="3E1184F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4D69568E">
            <w:pPr>
              <w:pStyle w:val="186"/>
              <w:widowControl w:val="0"/>
              <w:spacing w:line="240" w:lineRule="auto"/>
              <w:ind w:firstLine="0"/>
              <w:jc w:val="left"/>
            </w:pPr>
            <w:r>
              <w:rPr>
                <w:rFonts w:hint="eastAsia"/>
              </w:rPr>
              <w:t>邮件</w:t>
            </w:r>
          </w:p>
        </w:tc>
        <w:tc>
          <w:tcPr>
            <w:tcW w:w="6542" w:type="dxa"/>
            <w:shd w:val="clear" w:color="auto" w:fill="auto"/>
          </w:tcPr>
          <w:p w14:paraId="5D2A627F">
            <w:pPr>
              <w:pStyle w:val="186"/>
              <w:widowControl w:val="0"/>
              <w:spacing w:line="240" w:lineRule="auto"/>
              <w:ind w:firstLine="0"/>
              <w:jc w:val="left"/>
            </w:pPr>
            <w:r>
              <w:rPr>
                <w:rFonts w:hint="eastAsia"/>
              </w:rPr>
              <w:t>当天该用户产生的邮件日志条数</w:t>
            </w:r>
          </w:p>
        </w:tc>
      </w:tr>
      <w:tr w14:paraId="28338F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4126E7F9">
            <w:pPr>
              <w:pStyle w:val="186"/>
              <w:widowControl w:val="0"/>
              <w:spacing w:line="240" w:lineRule="auto"/>
              <w:ind w:firstLine="0"/>
              <w:jc w:val="left"/>
            </w:pPr>
            <w:r>
              <w:rPr>
                <w:rFonts w:hint="eastAsia"/>
              </w:rPr>
              <w:t>网络娱乐</w:t>
            </w:r>
          </w:p>
        </w:tc>
        <w:tc>
          <w:tcPr>
            <w:tcW w:w="6542" w:type="dxa"/>
            <w:shd w:val="clear" w:color="auto" w:fill="auto"/>
          </w:tcPr>
          <w:p w14:paraId="0C9E190C">
            <w:pPr>
              <w:pStyle w:val="186"/>
              <w:widowControl w:val="0"/>
              <w:spacing w:line="240" w:lineRule="auto"/>
              <w:ind w:firstLine="0"/>
              <w:jc w:val="left"/>
            </w:pPr>
            <w:r>
              <w:rPr>
                <w:rFonts w:hint="eastAsia"/>
              </w:rPr>
              <w:t>当天该用户产生的网络娱乐日志条数</w:t>
            </w:r>
          </w:p>
        </w:tc>
      </w:tr>
      <w:tr w14:paraId="42DF56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5D211014">
            <w:pPr>
              <w:pStyle w:val="186"/>
              <w:widowControl w:val="0"/>
              <w:spacing w:line="240" w:lineRule="auto"/>
              <w:ind w:firstLine="0"/>
              <w:jc w:val="left"/>
            </w:pPr>
            <w:r>
              <w:rPr>
                <w:rFonts w:hint="eastAsia"/>
              </w:rPr>
              <w:t>其他</w:t>
            </w:r>
          </w:p>
        </w:tc>
        <w:tc>
          <w:tcPr>
            <w:tcW w:w="6542" w:type="dxa"/>
            <w:shd w:val="clear" w:color="auto" w:fill="auto"/>
          </w:tcPr>
          <w:p w14:paraId="5872B039">
            <w:pPr>
              <w:pStyle w:val="186"/>
              <w:widowControl w:val="0"/>
              <w:spacing w:line="240" w:lineRule="auto"/>
              <w:ind w:firstLine="0"/>
              <w:jc w:val="left"/>
            </w:pPr>
            <w:r>
              <w:rPr>
                <w:rFonts w:hint="eastAsia"/>
              </w:rPr>
              <w:t>当天该用户产生的其他日志条数</w:t>
            </w:r>
          </w:p>
        </w:tc>
      </w:tr>
    </w:tbl>
    <w:p w14:paraId="0CFA8DB1"/>
    <w:p w14:paraId="031A6465">
      <w:pPr>
        <w:pStyle w:val="6"/>
      </w:pPr>
      <w:bookmarkStart w:id="679" w:name="_Toc11342783"/>
      <w:r>
        <w:rPr>
          <w:rFonts w:hint="eastAsia"/>
        </w:rPr>
        <w:t>应用流量比例</w:t>
      </w:r>
      <w:bookmarkEnd w:id="679"/>
    </w:p>
    <w:p w14:paraId="268A26CC">
      <w:r>
        <w:rPr>
          <w:rFonts w:hint="eastAsia"/>
        </w:rPr>
        <w:t>用户中心的应用流量比例如</w:t>
      </w:r>
      <w:r>
        <w:rPr>
          <w:color w:val="0000FF"/>
          <w:u w:val="single"/>
        </w:rPr>
        <w:fldChar w:fldCharType="begin"/>
      </w:r>
      <w:r>
        <w:instrText xml:space="preserve"> </w:instrText>
      </w:r>
      <w:r>
        <w:rPr>
          <w:rFonts w:hint="eastAsia"/>
        </w:rPr>
        <w:instrText xml:space="preserve">REF _Ref15477457 \r \h</w:instrText>
      </w:r>
      <w:r>
        <w:instrText xml:space="preserve"> </w:instrText>
      </w:r>
      <w:r>
        <w:rPr>
          <w:color w:val="0000FF"/>
          <w:u w:val="single"/>
        </w:rPr>
        <w:fldChar w:fldCharType="separate"/>
      </w:r>
      <w:r>
        <w:rPr>
          <w:rFonts w:hint="eastAsia"/>
        </w:rPr>
        <w:t>图4-44</w:t>
      </w:r>
      <w:r>
        <w:rPr>
          <w:color w:val="0000FF"/>
          <w:u w:val="single"/>
        </w:rPr>
        <w:fldChar w:fldCharType="end"/>
      </w:r>
      <w:r>
        <w:rPr>
          <w:rFonts w:hint="eastAsia"/>
        </w:rPr>
        <w:t>所示。</w:t>
      </w:r>
    </w:p>
    <w:p w14:paraId="1CFF2B1E">
      <w:pPr>
        <w:pStyle w:val="188"/>
      </w:pPr>
      <w:bookmarkStart w:id="680" w:name="_Ref15477457"/>
      <w:bookmarkStart w:id="681" w:name="_Toc141874421"/>
      <w:r>
        <w:rPr>
          <w:rFonts w:hint="eastAsia"/>
        </w:rPr>
        <w:t>应用流量比例</w:t>
      </w:r>
      <w:bookmarkEnd w:id="680"/>
      <w:bookmarkEnd w:id="681"/>
    </w:p>
    <w:p w14:paraId="0425E190">
      <w:pPr>
        <w:spacing w:before="79" w:after="79"/>
      </w:pPr>
      <w:r>
        <w:drawing>
          <wp:inline distT="0" distB="0" distL="0" distR="0">
            <wp:extent cx="4419600" cy="255524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06"/>
                    <a:stretch>
                      <a:fillRect/>
                    </a:stretch>
                  </pic:blipFill>
                  <pic:spPr>
                    <a:xfrm>
                      <a:off x="0" y="0"/>
                      <a:ext cx="4469538" cy="2584697"/>
                    </a:xfrm>
                    <a:prstGeom prst="rect">
                      <a:avLst/>
                    </a:prstGeom>
                  </pic:spPr>
                </pic:pic>
              </a:graphicData>
            </a:graphic>
          </wp:inline>
        </w:drawing>
      </w:r>
    </w:p>
    <w:p w14:paraId="3C4B059D"/>
    <w:p w14:paraId="252329A2">
      <w:r>
        <w:rPr>
          <w:rFonts w:hint="eastAsia"/>
        </w:rPr>
        <w:t>对应用流量比例统计的说明，表框右上角显示该用户当天的总流量，饼图展示该用户当天应用类流量的占比。</w:t>
      </w:r>
    </w:p>
    <w:p w14:paraId="5100FE46">
      <w:pPr>
        <w:pStyle w:val="6"/>
      </w:pPr>
      <w:bookmarkStart w:id="682" w:name="_Toc11342784"/>
      <w:r>
        <w:rPr>
          <w:rFonts w:hint="eastAsia"/>
        </w:rPr>
        <w:t>用户-访问网站分析</w:t>
      </w:r>
      <w:bookmarkEnd w:id="682"/>
    </w:p>
    <w:p w14:paraId="2E2795C7">
      <w:r>
        <w:rPr>
          <w:rFonts w:hint="eastAsia"/>
        </w:rPr>
        <w:t>用户中心的用户-访问网站分析如</w:t>
      </w:r>
      <w:r>
        <w:rPr>
          <w:color w:val="0000FF"/>
          <w:u w:val="single"/>
        </w:rPr>
        <w:fldChar w:fldCharType="begin"/>
      </w:r>
      <w:r>
        <w:instrText xml:space="preserve"> </w:instrText>
      </w:r>
      <w:r>
        <w:rPr>
          <w:rFonts w:hint="eastAsia"/>
        </w:rPr>
        <w:instrText xml:space="preserve">REF _Ref15477464 \r \h</w:instrText>
      </w:r>
      <w:r>
        <w:instrText xml:space="preserve"> </w:instrText>
      </w:r>
      <w:r>
        <w:rPr>
          <w:color w:val="0000FF"/>
          <w:u w:val="single"/>
        </w:rPr>
        <w:fldChar w:fldCharType="separate"/>
      </w:r>
      <w:r>
        <w:rPr>
          <w:rFonts w:hint="eastAsia"/>
        </w:rPr>
        <w:t>图4-45</w:t>
      </w:r>
      <w:r>
        <w:rPr>
          <w:color w:val="0000FF"/>
          <w:u w:val="single"/>
        </w:rPr>
        <w:fldChar w:fldCharType="end"/>
      </w:r>
      <w:r>
        <w:rPr>
          <w:rFonts w:hint="eastAsia"/>
        </w:rPr>
        <w:t>所示</w:t>
      </w:r>
    </w:p>
    <w:p w14:paraId="3FA9BEAC">
      <w:pPr>
        <w:pStyle w:val="188"/>
      </w:pPr>
      <w:bookmarkStart w:id="683" w:name="_Ref15477464"/>
      <w:bookmarkStart w:id="684" w:name="_Toc141874422"/>
      <w:r>
        <w:rPr>
          <w:rFonts w:hint="eastAsia"/>
        </w:rPr>
        <w:t>用户-访问网站分析</w:t>
      </w:r>
      <w:bookmarkEnd w:id="683"/>
      <w:bookmarkEnd w:id="684"/>
    </w:p>
    <w:p w14:paraId="6E049BFB">
      <w:pPr>
        <w:spacing w:before="79" w:after="79"/>
      </w:pPr>
      <w:r>
        <w:drawing>
          <wp:inline distT="0" distB="0" distL="0" distR="0">
            <wp:extent cx="4667250" cy="2875915"/>
            <wp:effectExtent l="0" t="0" r="0" b="63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107"/>
                    <a:stretch>
                      <a:fillRect/>
                    </a:stretch>
                  </pic:blipFill>
                  <pic:spPr>
                    <a:xfrm>
                      <a:off x="0" y="0"/>
                      <a:ext cx="4676281" cy="2881511"/>
                    </a:xfrm>
                    <a:prstGeom prst="rect">
                      <a:avLst/>
                    </a:prstGeom>
                  </pic:spPr>
                </pic:pic>
              </a:graphicData>
            </a:graphic>
          </wp:inline>
        </w:drawing>
      </w:r>
    </w:p>
    <w:p w14:paraId="41E0E1AC"/>
    <w:p w14:paraId="6B3E5621">
      <w:r>
        <w:rPr>
          <w:rFonts w:hint="eastAsia"/>
        </w:rPr>
        <w:t>用户-访问网站分析的饼图主要展示该用户当天访问不同类型网站的比例。</w:t>
      </w:r>
    </w:p>
    <w:p w14:paraId="517B173D">
      <w:pPr>
        <w:pStyle w:val="6"/>
      </w:pPr>
      <w:bookmarkStart w:id="685" w:name="_Toc11342785"/>
      <w:r>
        <w:rPr>
          <w:rFonts w:hint="eastAsia"/>
        </w:rPr>
        <w:t>用户轨迹时光轴</w:t>
      </w:r>
      <w:bookmarkEnd w:id="685"/>
    </w:p>
    <w:p w14:paraId="7A3764AF">
      <w:r>
        <w:rPr>
          <w:rFonts w:hint="eastAsia"/>
        </w:rPr>
        <w:t>用户中心的用户轨迹时光轴展示如</w:t>
      </w:r>
      <w:r>
        <w:rPr>
          <w:color w:val="0000FF"/>
          <w:u w:val="single"/>
        </w:rPr>
        <w:fldChar w:fldCharType="begin"/>
      </w:r>
      <w:r>
        <w:instrText xml:space="preserve"> </w:instrText>
      </w:r>
      <w:r>
        <w:rPr>
          <w:rFonts w:hint="eastAsia"/>
        </w:rPr>
        <w:instrText xml:space="preserve">REF _Ref15477470 \r \h</w:instrText>
      </w:r>
      <w:r>
        <w:instrText xml:space="preserve"> </w:instrText>
      </w:r>
      <w:r>
        <w:rPr>
          <w:color w:val="0000FF"/>
          <w:u w:val="single"/>
        </w:rPr>
        <w:fldChar w:fldCharType="separate"/>
      </w:r>
      <w:r>
        <w:rPr>
          <w:rFonts w:hint="eastAsia"/>
        </w:rPr>
        <w:t>图4-46</w:t>
      </w:r>
      <w:r>
        <w:rPr>
          <w:color w:val="0000FF"/>
          <w:u w:val="single"/>
        </w:rPr>
        <w:fldChar w:fldCharType="end"/>
      </w:r>
      <w:r>
        <w:rPr>
          <w:rFonts w:hint="eastAsia"/>
        </w:rPr>
        <w:t>所示</w:t>
      </w:r>
    </w:p>
    <w:p w14:paraId="3A1E927F">
      <w:pPr>
        <w:pStyle w:val="188"/>
      </w:pPr>
      <w:bookmarkStart w:id="686" w:name="_Toc141874423"/>
      <w:bookmarkStart w:id="687" w:name="_Ref15477470"/>
      <w:r>
        <w:rPr>
          <w:rFonts w:hint="eastAsia"/>
        </w:rPr>
        <w:t>用户轨迹时光轴</w:t>
      </w:r>
      <w:bookmarkEnd w:id="686"/>
      <w:bookmarkEnd w:id="687"/>
    </w:p>
    <w:p w14:paraId="41E6F4F8">
      <w:pPr>
        <w:spacing w:before="79" w:after="79"/>
      </w:pPr>
      <w:r>
        <w:drawing>
          <wp:inline distT="0" distB="0" distL="0" distR="0">
            <wp:extent cx="2457450" cy="3359150"/>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108"/>
                    <a:stretch>
                      <a:fillRect/>
                    </a:stretch>
                  </pic:blipFill>
                  <pic:spPr>
                    <a:xfrm>
                      <a:off x="0" y="0"/>
                      <a:ext cx="2466422" cy="3372029"/>
                    </a:xfrm>
                    <a:prstGeom prst="rect">
                      <a:avLst/>
                    </a:prstGeom>
                  </pic:spPr>
                </pic:pic>
              </a:graphicData>
            </a:graphic>
          </wp:inline>
        </w:drawing>
      </w:r>
    </w:p>
    <w:p w14:paraId="545097F9"/>
    <w:p w14:paraId="32E3090B">
      <w:r>
        <w:rPr>
          <w:rFonts w:hint="eastAsia"/>
        </w:rPr>
        <w:t>用户轨迹时光轴主要展现该用户当天的主要网络行为事件。时光轴左侧表示用户核心事件触发的时间点，右侧展示用户核心事件的具体内容。</w:t>
      </w:r>
    </w:p>
    <w:p w14:paraId="4ADEBFD1">
      <w:pPr>
        <w:pStyle w:val="5"/>
      </w:pPr>
      <w:bookmarkStart w:id="688" w:name="_Toc142400772"/>
      <w:bookmarkStart w:id="689" w:name="_Toc23152390"/>
      <w:bookmarkStart w:id="690" w:name="_Toc40275823"/>
      <w:bookmarkStart w:id="691" w:name="_Toc194080620"/>
      <w:bookmarkStart w:id="692" w:name="_Toc15484622"/>
      <w:bookmarkStart w:id="693" w:name="_Toc196727953"/>
      <w:bookmarkStart w:id="694" w:name="_Toc141873259"/>
      <w:bookmarkStart w:id="695" w:name="_Toc172217982"/>
      <w:bookmarkStart w:id="696" w:name="_Toc11342786"/>
      <w:bookmarkStart w:id="697" w:name="_Toc99561309"/>
      <w:r>
        <w:rPr>
          <w:rFonts w:hint="eastAsia"/>
        </w:rPr>
        <w:t>设备流量统计</w:t>
      </w:r>
      <w:bookmarkEnd w:id="688"/>
      <w:bookmarkEnd w:id="689"/>
      <w:bookmarkEnd w:id="690"/>
      <w:bookmarkEnd w:id="691"/>
      <w:bookmarkEnd w:id="692"/>
      <w:bookmarkEnd w:id="693"/>
      <w:bookmarkEnd w:id="694"/>
      <w:bookmarkEnd w:id="695"/>
      <w:bookmarkEnd w:id="696"/>
      <w:bookmarkEnd w:id="697"/>
    </w:p>
    <w:p w14:paraId="5E718014">
      <w:r>
        <w:rPr>
          <w:rFonts w:hint="eastAsia"/>
        </w:rPr>
        <w:t>在导航栏中选择“数据中心&gt;数据分析&gt;设备流量统计”进入设备流量统计页面，如</w:t>
      </w:r>
      <w:r>
        <w:rPr>
          <w:color w:val="0000FF"/>
          <w:u w:val="single"/>
        </w:rPr>
        <w:fldChar w:fldCharType="begin"/>
      </w:r>
      <w:r>
        <w:instrText xml:space="preserve"> </w:instrText>
      </w:r>
      <w:r>
        <w:rPr>
          <w:rFonts w:hint="eastAsia"/>
        </w:rPr>
        <w:instrText xml:space="preserve">REF _Ref15477481 \r \h</w:instrText>
      </w:r>
      <w:r>
        <w:instrText xml:space="preserve"> </w:instrText>
      </w:r>
      <w:r>
        <w:rPr>
          <w:color w:val="0000FF"/>
          <w:u w:val="single"/>
        </w:rPr>
        <w:fldChar w:fldCharType="separate"/>
      </w:r>
      <w:r>
        <w:rPr>
          <w:rFonts w:hint="eastAsia"/>
        </w:rPr>
        <w:t>图4-47</w:t>
      </w:r>
      <w:r>
        <w:rPr>
          <w:color w:val="0000FF"/>
          <w:u w:val="single"/>
        </w:rPr>
        <w:fldChar w:fldCharType="end"/>
      </w:r>
      <w:r>
        <w:rPr>
          <w:rFonts w:hint="eastAsia"/>
        </w:rPr>
        <w:t>所示。</w:t>
      </w:r>
    </w:p>
    <w:p w14:paraId="434B6039">
      <w:pPr>
        <w:pStyle w:val="188"/>
      </w:pPr>
      <w:bookmarkStart w:id="698" w:name="_Ref15477481"/>
      <w:bookmarkStart w:id="699" w:name="_Toc141874424"/>
      <w:r>
        <w:rPr>
          <w:rFonts w:hint="eastAsia"/>
        </w:rPr>
        <w:t>设备流量统计详细信息</w:t>
      </w:r>
      <w:bookmarkEnd w:id="698"/>
      <w:bookmarkEnd w:id="699"/>
    </w:p>
    <w:p w14:paraId="3DB74632">
      <w:pPr>
        <w:spacing w:before="79" w:after="79"/>
      </w:pPr>
      <w:r>
        <w:t xml:space="preserve"> </w:t>
      </w:r>
      <w:r>
        <w:drawing>
          <wp:inline distT="0" distB="0" distL="0" distR="0">
            <wp:extent cx="4638675" cy="249936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09"/>
                    <a:stretch>
                      <a:fillRect/>
                    </a:stretch>
                  </pic:blipFill>
                  <pic:spPr>
                    <a:xfrm>
                      <a:off x="0" y="0"/>
                      <a:ext cx="4645644" cy="2503317"/>
                    </a:xfrm>
                    <a:prstGeom prst="rect">
                      <a:avLst/>
                    </a:prstGeom>
                  </pic:spPr>
                </pic:pic>
              </a:graphicData>
            </a:graphic>
          </wp:inline>
        </w:drawing>
      </w:r>
    </w:p>
    <w:p w14:paraId="3B0CBDB0"/>
    <w:p w14:paraId="72D5D463">
      <w:r>
        <w:rPr>
          <w:rFonts w:hint="eastAsia"/>
        </w:rPr>
        <w:t>对设备流量统计的详细说明如</w:t>
      </w:r>
      <w:r>
        <w:rPr>
          <w:color w:val="0000FF"/>
          <w:u w:val="single"/>
        </w:rPr>
        <w:fldChar w:fldCharType="begin"/>
      </w:r>
      <w:r>
        <w:instrText xml:space="preserve"> </w:instrText>
      </w:r>
      <w:r>
        <w:rPr>
          <w:rFonts w:hint="eastAsia"/>
        </w:rPr>
        <w:instrText xml:space="preserve">REF _Ref15477520 \r \h</w:instrText>
      </w:r>
      <w:r>
        <w:instrText xml:space="preserve"> </w:instrText>
      </w:r>
      <w:r>
        <w:rPr>
          <w:color w:val="0000FF"/>
          <w:u w:val="single"/>
        </w:rPr>
        <w:fldChar w:fldCharType="separate"/>
      </w:r>
      <w:r>
        <w:rPr>
          <w:rFonts w:hint="eastAsia"/>
        </w:rPr>
        <w:t>表4-1</w:t>
      </w:r>
      <w:r>
        <w:rPr>
          <w:color w:val="0000FF"/>
          <w:u w:val="single"/>
        </w:rPr>
        <w:fldChar w:fldCharType="end"/>
      </w:r>
      <w:r>
        <w:rPr>
          <w:rFonts w:hint="eastAsia"/>
        </w:rPr>
        <w:t>所示。</w:t>
      </w:r>
    </w:p>
    <w:p w14:paraId="1041D6CC">
      <w:pPr>
        <w:pStyle w:val="183"/>
      </w:pPr>
      <w:bookmarkStart w:id="700" w:name="_Ref15477520"/>
      <w:bookmarkStart w:id="701" w:name="_Toc141875393"/>
      <w:r>
        <w:rPr>
          <w:rFonts w:hint="eastAsia"/>
        </w:rPr>
        <w:t>设备流量统计说明</w:t>
      </w:r>
      <w:bookmarkEnd w:id="700"/>
      <w:bookmarkEnd w:id="701"/>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86"/>
        <w:gridCol w:w="6528"/>
      </w:tblGrid>
      <w:tr w14:paraId="377BD1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48DA1B43">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42" w:type="dxa"/>
            <w:tcBorders>
              <w:tl2br w:val="nil"/>
              <w:tr2bl w:val="nil"/>
            </w:tcBorders>
            <w:shd w:val="clear" w:color="auto" w:fill="538135" w:themeFill="accent6" w:themeFillShade="BF"/>
            <w:vAlign w:val="center"/>
          </w:tcPr>
          <w:p w14:paraId="7254BA4B">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F0A4B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4117DAE">
            <w:pPr>
              <w:pStyle w:val="186"/>
              <w:widowControl w:val="0"/>
              <w:spacing w:line="240" w:lineRule="auto"/>
              <w:ind w:firstLine="0"/>
              <w:jc w:val="left"/>
            </w:pPr>
            <w:r>
              <w:rPr>
                <w:rFonts w:hint="eastAsia"/>
              </w:rPr>
              <w:t>统计时间</w:t>
            </w:r>
          </w:p>
        </w:tc>
        <w:tc>
          <w:tcPr>
            <w:tcW w:w="6542" w:type="dxa"/>
            <w:shd w:val="clear" w:color="auto" w:fill="auto"/>
          </w:tcPr>
          <w:p w14:paraId="4E0F4EA2">
            <w:pPr>
              <w:pStyle w:val="186"/>
              <w:widowControl w:val="0"/>
              <w:spacing w:line="240" w:lineRule="auto"/>
              <w:ind w:firstLine="0"/>
              <w:jc w:val="left"/>
            </w:pPr>
            <w:r>
              <w:rPr>
                <w:rFonts w:hint="eastAsia"/>
              </w:rPr>
              <w:t>设定流量显示的时间跨度，可选的值有：</w:t>
            </w:r>
          </w:p>
          <w:p w14:paraId="3C486F33">
            <w:pPr>
              <w:pStyle w:val="207"/>
            </w:pPr>
            <w:r>
              <w:rPr>
                <w:rFonts w:hint="eastAsia"/>
              </w:rPr>
              <w:t>最近一小时</w:t>
            </w:r>
          </w:p>
          <w:p w14:paraId="41DEC2E8">
            <w:pPr>
              <w:pStyle w:val="207"/>
            </w:pPr>
            <w:r>
              <w:rPr>
                <w:rFonts w:hint="eastAsia"/>
              </w:rPr>
              <w:t>最近一天</w:t>
            </w:r>
          </w:p>
          <w:p w14:paraId="19E80DC8">
            <w:pPr>
              <w:pStyle w:val="207"/>
            </w:pPr>
            <w:r>
              <w:rPr>
                <w:rFonts w:hint="eastAsia"/>
              </w:rPr>
              <w:t>最近一周</w:t>
            </w:r>
          </w:p>
          <w:p w14:paraId="766580C7">
            <w:pPr>
              <w:pStyle w:val="186"/>
              <w:widowControl w:val="0"/>
              <w:spacing w:line="240" w:lineRule="auto"/>
              <w:ind w:firstLine="0"/>
              <w:jc w:val="left"/>
            </w:pPr>
            <w:r>
              <w:rPr>
                <w:rFonts w:hint="eastAsia"/>
              </w:rPr>
              <w:t>缺省情况下，显示最近一小时的用户流量统计</w:t>
            </w:r>
          </w:p>
        </w:tc>
      </w:tr>
      <w:tr w14:paraId="57757AB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38F7B04D">
            <w:pPr>
              <w:pStyle w:val="186"/>
              <w:widowControl w:val="0"/>
              <w:spacing w:line="240" w:lineRule="auto"/>
              <w:ind w:firstLine="0"/>
              <w:jc w:val="left"/>
            </w:pPr>
            <w:r>
              <w:rPr>
                <w:rFonts w:hint="eastAsia"/>
              </w:rPr>
              <w:t>过滤条件</w:t>
            </w:r>
          </w:p>
        </w:tc>
        <w:tc>
          <w:tcPr>
            <w:tcW w:w="6542" w:type="dxa"/>
            <w:shd w:val="clear" w:color="auto" w:fill="auto"/>
          </w:tcPr>
          <w:p w14:paraId="11333FF5">
            <w:pPr>
              <w:pStyle w:val="186"/>
              <w:widowControl w:val="0"/>
              <w:spacing w:line="240" w:lineRule="auto"/>
              <w:ind w:firstLine="0"/>
              <w:jc w:val="left"/>
            </w:pPr>
            <w:r>
              <w:rPr>
                <w:rFonts w:hint="eastAsia"/>
              </w:rPr>
              <w:t>过滤显示流量的接口，可选值有：</w:t>
            </w:r>
          </w:p>
          <w:p w14:paraId="76296681">
            <w:pPr>
              <w:pStyle w:val="207"/>
            </w:pPr>
            <w:r>
              <w:rPr>
                <w:rFonts w:hint="eastAsia"/>
              </w:rPr>
              <w:t>整机转发流量</w:t>
            </w:r>
          </w:p>
          <w:p w14:paraId="2D4E4E29">
            <w:pPr>
              <w:pStyle w:val="207"/>
            </w:pPr>
            <w:r>
              <w:rPr>
                <w:rFonts w:hint="eastAsia"/>
              </w:rPr>
              <w:t>特定某个接口的流量</w:t>
            </w:r>
          </w:p>
          <w:p w14:paraId="301958EE">
            <w:pPr>
              <w:pStyle w:val="186"/>
              <w:widowControl w:val="0"/>
              <w:spacing w:line="240" w:lineRule="auto"/>
              <w:ind w:firstLine="0"/>
              <w:jc w:val="left"/>
            </w:pPr>
            <w:r>
              <w:rPr>
                <w:rFonts w:hint="eastAsia"/>
              </w:rPr>
              <w:t>缺省情况下，显示整机转发流量的统计</w:t>
            </w:r>
          </w:p>
        </w:tc>
      </w:tr>
      <w:tr w14:paraId="1EC93CD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50F20A5C">
            <w:pPr>
              <w:pStyle w:val="186"/>
              <w:widowControl w:val="0"/>
              <w:spacing w:line="240" w:lineRule="auto"/>
              <w:ind w:firstLine="0"/>
              <w:jc w:val="left"/>
            </w:pPr>
            <w:r>
              <w:rPr>
                <w:rFonts w:hint="eastAsia"/>
              </w:rPr>
              <w:t>刷新数据</w:t>
            </w:r>
          </w:p>
        </w:tc>
        <w:tc>
          <w:tcPr>
            <w:tcW w:w="6542" w:type="dxa"/>
            <w:shd w:val="clear" w:color="auto" w:fill="auto"/>
          </w:tcPr>
          <w:p w14:paraId="70844EA0">
            <w:pPr>
              <w:pStyle w:val="186"/>
              <w:widowControl w:val="0"/>
              <w:spacing w:line="240" w:lineRule="auto"/>
              <w:ind w:firstLine="0"/>
              <w:jc w:val="left"/>
            </w:pPr>
            <w:r>
              <w:rPr>
                <w:rFonts w:hint="eastAsia"/>
              </w:rPr>
              <w:t>立即刷新显示的统计数据</w:t>
            </w:r>
          </w:p>
        </w:tc>
      </w:tr>
      <w:tr w14:paraId="1E7243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93019E4">
            <w:pPr>
              <w:pStyle w:val="186"/>
              <w:widowControl w:val="0"/>
              <w:spacing w:line="240" w:lineRule="auto"/>
              <w:ind w:firstLine="0"/>
              <w:jc w:val="left"/>
            </w:pPr>
            <w:r>
              <w:rPr>
                <w:rFonts w:hint="eastAsia"/>
              </w:rPr>
              <w:t>上行、下行</w:t>
            </w:r>
          </w:p>
        </w:tc>
        <w:tc>
          <w:tcPr>
            <w:tcW w:w="6542" w:type="dxa"/>
            <w:shd w:val="clear" w:color="auto" w:fill="auto"/>
          </w:tcPr>
          <w:p w14:paraId="355DF720">
            <w:pPr>
              <w:pStyle w:val="186"/>
              <w:widowControl w:val="0"/>
              <w:spacing w:line="240" w:lineRule="auto"/>
              <w:ind w:firstLine="0"/>
              <w:jc w:val="left"/>
            </w:pPr>
            <w:r>
              <w:rPr>
                <w:rFonts w:hint="eastAsia"/>
              </w:rPr>
              <w:t>不同显色显示设备的上下行流量，点击可以在现实上显示/取消显示该项流量</w:t>
            </w:r>
          </w:p>
          <w:p w14:paraId="70DE6269">
            <w:pPr>
              <w:pStyle w:val="186"/>
              <w:widowControl w:val="0"/>
              <w:spacing w:line="240" w:lineRule="auto"/>
              <w:ind w:firstLine="0"/>
              <w:jc w:val="left"/>
            </w:pPr>
            <w:r>
              <w:rPr>
                <w:rFonts w:hint="eastAsia"/>
              </w:rPr>
              <w:t>缺省情况下，上下行流量都显示</w:t>
            </w:r>
          </w:p>
        </w:tc>
      </w:tr>
    </w:tbl>
    <w:p w14:paraId="2095E678"/>
    <w:p w14:paraId="31B73B33">
      <w:pPr>
        <w:pStyle w:val="5"/>
      </w:pPr>
      <w:bookmarkStart w:id="702" w:name="_Toc141873260"/>
      <w:bookmarkStart w:id="703" w:name="_Toc142400773"/>
      <w:bookmarkStart w:id="704" w:name="_Toc11342787"/>
      <w:bookmarkStart w:id="705" w:name="_Toc23152391"/>
      <w:bookmarkStart w:id="706" w:name="_Toc40275824"/>
      <w:bookmarkStart w:id="707" w:name="_Toc196727954"/>
      <w:bookmarkStart w:id="708" w:name="_Toc172217983"/>
      <w:bookmarkStart w:id="709" w:name="_Toc15484623"/>
      <w:bookmarkStart w:id="710" w:name="_Toc194080621"/>
      <w:bookmarkStart w:id="711" w:name="_Toc99561310"/>
      <w:r>
        <w:rPr>
          <w:rFonts w:hint="eastAsia"/>
        </w:rPr>
        <w:t>设备健康统计</w:t>
      </w:r>
      <w:bookmarkEnd w:id="702"/>
      <w:bookmarkEnd w:id="703"/>
      <w:bookmarkEnd w:id="704"/>
      <w:bookmarkEnd w:id="705"/>
      <w:bookmarkEnd w:id="706"/>
      <w:bookmarkEnd w:id="707"/>
      <w:bookmarkEnd w:id="708"/>
      <w:bookmarkEnd w:id="709"/>
      <w:bookmarkEnd w:id="710"/>
      <w:bookmarkEnd w:id="711"/>
    </w:p>
    <w:p w14:paraId="5D66D071">
      <w:r>
        <w:rPr>
          <w:rFonts w:hint="eastAsia"/>
        </w:rPr>
        <w:t>在导航栏中选择“数据中心&gt;数据分析&gt;设备健康统计”进入设备健康统计页面，如</w:t>
      </w:r>
      <w:r>
        <w:rPr>
          <w:color w:val="0000FF"/>
          <w:u w:val="single"/>
        </w:rPr>
        <w:fldChar w:fldCharType="begin"/>
      </w:r>
      <w:r>
        <w:instrText xml:space="preserve"> </w:instrText>
      </w:r>
      <w:r>
        <w:rPr>
          <w:rFonts w:hint="eastAsia"/>
        </w:rPr>
        <w:instrText xml:space="preserve">REF _Ref15477488 \r \h</w:instrText>
      </w:r>
      <w:r>
        <w:instrText xml:space="preserve"> </w:instrText>
      </w:r>
      <w:r>
        <w:rPr>
          <w:color w:val="0000FF"/>
          <w:u w:val="single"/>
        </w:rPr>
        <w:fldChar w:fldCharType="separate"/>
      </w:r>
      <w:r>
        <w:rPr>
          <w:rFonts w:hint="eastAsia"/>
        </w:rPr>
        <w:t>图4-48</w:t>
      </w:r>
      <w:r>
        <w:rPr>
          <w:color w:val="0000FF"/>
          <w:u w:val="single"/>
        </w:rPr>
        <w:fldChar w:fldCharType="end"/>
      </w:r>
      <w:r>
        <w:rPr>
          <w:rFonts w:hint="eastAsia"/>
        </w:rPr>
        <w:t>所示。</w:t>
      </w:r>
    </w:p>
    <w:p w14:paraId="4C5772BD">
      <w:pPr>
        <w:pStyle w:val="188"/>
      </w:pPr>
      <w:bookmarkStart w:id="712" w:name="_Ref15477488"/>
      <w:bookmarkStart w:id="713" w:name="_Toc141874425"/>
      <w:r>
        <w:rPr>
          <w:rFonts w:hint="eastAsia"/>
        </w:rPr>
        <w:t>设备健康统计详细信息</w:t>
      </w:r>
      <w:bookmarkEnd w:id="712"/>
      <w:bookmarkEnd w:id="713"/>
    </w:p>
    <w:p w14:paraId="51D9A7E2">
      <w:pPr>
        <w:spacing w:before="79" w:after="79"/>
      </w:pPr>
      <w:r>
        <w:drawing>
          <wp:inline distT="0" distB="0" distL="0" distR="0">
            <wp:extent cx="4962525" cy="2527935"/>
            <wp:effectExtent l="0" t="0" r="0" b="571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110"/>
                    <a:stretch>
                      <a:fillRect/>
                    </a:stretch>
                  </pic:blipFill>
                  <pic:spPr>
                    <a:xfrm>
                      <a:off x="0" y="0"/>
                      <a:ext cx="4987576" cy="2541133"/>
                    </a:xfrm>
                    <a:prstGeom prst="rect">
                      <a:avLst/>
                    </a:prstGeom>
                  </pic:spPr>
                </pic:pic>
              </a:graphicData>
            </a:graphic>
          </wp:inline>
        </w:drawing>
      </w:r>
    </w:p>
    <w:p w14:paraId="260A602C">
      <w:pPr>
        <w:spacing w:before="79" w:after="79"/>
      </w:pPr>
      <w:r>
        <w:drawing>
          <wp:inline distT="0" distB="0" distL="0" distR="0">
            <wp:extent cx="4819650" cy="2137410"/>
            <wp:effectExtent l="0" t="0" r="0" b="0"/>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90"/>
                    <pic:cNvPicPr>
                      <a:picLocks noChangeAspect="1"/>
                    </pic:cNvPicPr>
                  </pic:nvPicPr>
                  <pic:blipFill>
                    <a:blip r:embed="rId111"/>
                    <a:stretch>
                      <a:fillRect/>
                    </a:stretch>
                  </pic:blipFill>
                  <pic:spPr>
                    <a:xfrm>
                      <a:off x="0" y="0"/>
                      <a:ext cx="4848427" cy="2150330"/>
                    </a:xfrm>
                    <a:prstGeom prst="rect">
                      <a:avLst/>
                    </a:prstGeom>
                  </pic:spPr>
                </pic:pic>
              </a:graphicData>
            </a:graphic>
          </wp:inline>
        </w:drawing>
      </w:r>
    </w:p>
    <w:p w14:paraId="77182E01">
      <w:pPr>
        <w:spacing w:before="79" w:after="79"/>
      </w:pPr>
      <w:r>
        <w:drawing>
          <wp:inline distT="0" distB="0" distL="0" distR="0">
            <wp:extent cx="4905375" cy="2016125"/>
            <wp:effectExtent l="0" t="0" r="0" b="317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112"/>
                    <a:stretch>
                      <a:fillRect/>
                    </a:stretch>
                  </pic:blipFill>
                  <pic:spPr>
                    <a:xfrm>
                      <a:off x="0" y="0"/>
                      <a:ext cx="4935338" cy="2028615"/>
                    </a:xfrm>
                    <a:prstGeom prst="rect">
                      <a:avLst/>
                    </a:prstGeom>
                  </pic:spPr>
                </pic:pic>
              </a:graphicData>
            </a:graphic>
          </wp:inline>
        </w:drawing>
      </w:r>
    </w:p>
    <w:p w14:paraId="75A9DB24"/>
    <w:p w14:paraId="1048DACF">
      <w:r>
        <w:rPr>
          <w:rFonts w:hint="eastAsia"/>
        </w:rPr>
        <w:t>对设备健康统计的详细说明如</w:t>
      </w:r>
      <w:r>
        <w:rPr>
          <w:color w:val="0000FF"/>
          <w:u w:val="single"/>
        </w:rPr>
        <w:fldChar w:fldCharType="begin"/>
      </w:r>
      <w:r>
        <w:instrText xml:space="preserve"> </w:instrText>
      </w:r>
      <w:r>
        <w:rPr>
          <w:rFonts w:hint="eastAsia"/>
        </w:rPr>
        <w:instrText xml:space="preserve">REF _Ref15477497 \r \h</w:instrText>
      </w:r>
      <w:r>
        <w:instrText xml:space="preserve"> </w:instrText>
      </w:r>
      <w:r>
        <w:rPr>
          <w:color w:val="0000FF"/>
          <w:u w:val="single"/>
        </w:rPr>
        <w:fldChar w:fldCharType="separate"/>
      </w:r>
      <w:r>
        <w:rPr>
          <w:rFonts w:hint="eastAsia"/>
        </w:rPr>
        <w:t>表4-1</w:t>
      </w:r>
      <w:r>
        <w:rPr>
          <w:color w:val="0000FF"/>
          <w:u w:val="single"/>
        </w:rPr>
        <w:fldChar w:fldCharType="end"/>
      </w:r>
      <w:r>
        <w:rPr>
          <w:rFonts w:hint="eastAsia"/>
        </w:rPr>
        <w:t>所示。</w:t>
      </w:r>
    </w:p>
    <w:p w14:paraId="55FEEBDF">
      <w:pPr>
        <w:pStyle w:val="183"/>
      </w:pPr>
      <w:bookmarkStart w:id="714" w:name="_Toc141875394"/>
      <w:bookmarkStart w:id="715" w:name="_Ref15477497"/>
      <w:r>
        <w:rPr>
          <w:rFonts w:hint="eastAsia"/>
        </w:rPr>
        <w:t>设备健康统计说明</w:t>
      </w:r>
      <w:bookmarkEnd w:id="714"/>
      <w:bookmarkEnd w:id="715"/>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86"/>
        <w:gridCol w:w="6528"/>
      </w:tblGrid>
      <w:tr w14:paraId="68DAFC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2FABBE74">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42" w:type="dxa"/>
            <w:tcBorders>
              <w:tl2br w:val="nil"/>
              <w:tr2bl w:val="nil"/>
            </w:tcBorders>
            <w:shd w:val="clear" w:color="auto" w:fill="538135" w:themeFill="accent6" w:themeFillShade="BF"/>
            <w:vAlign w:val="center"/>
          </w:tcPr>
          <w:p w14:paraId="6AB625F4">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235DA6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340AF6D7">
            <w:pPr>
              <w:pStyle w:val="186"/>
              <w:widowControl w:val="0"/>
              <w:spacing w:line="240" w:lineRule="auto"/>
              <w:ind w:firstLine="0"/>
              <w:jc w:val="left"/>
            </w:pPr>
            <w:r>
              <w:rPr>
                <w:rFonts w:hint="eastAsia"/>
              </w:rPr>
              <w:t>统计时间</w:t>
            </w:r>
          </w:p>
        </w:tc>
        <w:tc>
          <w:tcPr>
            <w:tcW w:w="6542" w:type="dxa"/>
            <w:shd w:val="clear" w:color="auto" w:fill="auto"/>
          </w:tcPr>
          <w:p w14:paraId="23AC71AB">
            <w:pPr>
              <w:pStyle w:val="186"/>
              <w:widowControl w:val="0"/>
              <w:spacing w:line="240" w:lineRule="auto"/>
              <w:ind w:firstLine="0"/>
              <w:jc w:val="left"/>
            </w:pPr>
            <w:r>
              <w:rPr>
                <w:rFonts w:hint="eastAsia"/>
              </w:rPr>
              <w:t>设定健康统计显示的时间维度，可选的值有：</w:t>
            </w:r>
          </w:p>
          <w:p w14:paraId="2991859D">
            <w:pPr>
              <w:pStyle w:val="207"/>
            </w:pPr>
            <w:r>
              <w:rPr>
                <w:rFonts w:hint="eastAsia"/>
              </w:rPr>
              <w:t>最近1小时</w:t>
            </w:r>
          </w:p>
          <w:p w14:paraId="4EBF9F5E">
            <w:pPr>
              <w:pStyle w:val="207"/>
            </w:pPr>
            <w:r>
              <w:rPr>
                <w:rFonts w:hint="eastAsia"/>
              </w:rPr>
              <w:t>最近4小时</w:t>
            </w:r>
          </w:p>
          <w:p w14:paraId="2851AFFE">
            <w:pPr>
              <w:pStyle w:val="207"/>
            </w:pPr>
            <w:r>
              <w:rPr>
                <w:rFonts w:hint="eastAsia"/>
              </w:rPr>
              <w:t>最近1天</w:t>
            </w:r>
          </w:p>
          <w:p w14:paraId="60D96AC1">
            <w:pPr>
              <w:pStyle w:val="207"/>
            </w:pPr>
            <w:r>
              <w:rPr>
                <w:rFonts w:hint="eastAsia"/>
              </w:rPr>
              <w:t>最近1周</w:t>
            </w:r>
          </w:p>
          <w:p w14:paraId="0FE152E5">
            <w:pPr>
              <w:pStyle w:val="186"/>
              <w:widowControl w:val="0"/>
              <w:spacing w:line="240" w:lineRule="auto"/>
              <w:ind w:firstLine="0"/>
              <w:jc w:val="left"/>
            </w:pPr>
            <w:r>
              <w:rPr>
                <w:rFonts w:hint="eastAsia"/>
              </w:rPr>
              <w:t>缺省情况下，显示最近1小时的设备健康统计数据。</w:t>
            </w:r>
          </w:p>
        </w:tc>
      </w:tr>
      <w:tr w14:paraId="5B6E0CE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709937C">
            <w:pPr>
              <w:pStyle w:val="186"/>
              <w:widowControl w:val="0"/>
              <w:spacing w:line="240" w:lineRule="auto"/>
              <w:ind w:firstLine="0"/>
              <w:jc w:val="left"/>
            </w:pPr>
            <w:r>
              <w:rPr>
                <w:rFonts w:hint="eastAsia"/>
              </w:rPr>
              <w:t>刷新数据</w:t>
            </w:r>
          </w:p>
        </w:tc>
        <w:tc>
          <w:tcPr>
            <w:tcW w:w="6542" w:type="dxa"/>
            <w:shd w:val="clear" w:color="auto" w:fill="auto"/>
          </w:tcPr>
          <w:p w14:paraId="456C00F8">
            <w:pPr>
              <w:pStyle w:val="186"/>
              <w:widowControl w:val="0"/>
              <w:spacing w:line="240" w:lineRule="auto"/>
              <w:ind w:firstLine="0"/>
              <w:jc w:val="left"/>
            </w:pPr>
            <w:r>
              <w:rPr>
                <w:rFonts w:hint="eastAsia"/>
              </w:rPr>
              <w:t>立即刷新显示的所有健康统计项的统计数据</w:t>
            </w:r>
          </w:p>
        </w:tc>
      </w:tr>
      <w:tr w14:paraId="10289F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7F2A9FB">
            <w:pPr>
              <w:pStyle w:val="186"/>
              <w:widowControl w:val="0"/>
              <w:spacing w:line="240" w:lineRule="auto"/>
              <w:ind w:firstLine="0"/>
              <w:jc w:val="left"/>
            </w:pPr>
            <w:r>
              <w:rPr>
                <w:rFonts w:hint="eastAsia"/>
              </w:rPr>
              <w:t>每幅图的刷新图标</w:t>
            </w:r>
          </w:p>
        </w:tc>
        <w:tc>
          <w:tcPr>
            <w:tcW w:w="6542" w:type="dxa"/>
            <w:shd w:val="clear" w:color="auto" w:fill="auto"/>
          </w:tcPr>
          <w:p w14:paraId="236FB968">
            <w:pPr>
              <w:pStyle w:val="186"/>
              <w:widowControl w:val="0"/>
              <w:spacing w:line="240" w:lineRule="auto"/>
              <w:ind w:firstLine="0"/>
              <w:jc w:val="left"/>
            </w:pPr>
            <w:r>
              <w:rPr>
                <w:rFonts w:hint="eastAsia"/>
              </w:rPr>
              <w:t>立即刷新健康统计当前项的显示的统计数据</w:t>
            </w:r>
          </w:p>
        </w:tc>
      </w:tr>
      <w:tr w14:paraId="68F17F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017FA21A">
            <w:pPr>
              <w:pStyle w:val="186"/>
              <w:widowControl w:val="0"/>
              <w:spacing w:line="240" w:lineRule="auto"/>
              <w:ind w:firstLine="0"/>
              <w:jc w:val="left"/>
            </w:pPr>
            <w:r>
              <w:rPr>
                <w:rFonts w:hint="eastAsia"/>
              </w:rPr>
              <w:t>整机转发流量</w:t>
            </w:r>
          </w:p>
        </w:tc>
        <w:tc>
          <w:tcPr>
            <w:tcW w:w="6542" w:type="dxa"/>
            <w:shd w:val="clear" w:color="auto" w:fill="auto"/>
          </w:tcPr>
          <w:p w14:paraId="187A7A0B">
            <w:pPr>
              <w:pStyle w:val="186"/>
              <w:widowControl w:val="0"/>
              <w:spacing w:line="240" w:lineRule="auto"/>
              <w:ind w:firstLine="0"/>
              <w:jc w:val="left"/>
            </w:pPr>
            <w:r>
              <w:rPr>
                <w:rFonts w:hint="eastAsia"/>
              </w:rPr>
              <w:t>设备整机的吞吐量曲线图，点击图下的上下行图标，可以选择：</w:t>
            </w:r>
          </w:p>
          <w:p w14:paraId="2DA8AD1F">
            <w:pPr>
              <w:pStyle w:val="207"/>
              <w:rPr>
                <w:lang w:eastAsia="zh-CN"/>
              </w:rPr>
            </w:pPr>
            <w:r>
              <w:rPr>
                <w:rFonts w:hint="eastAsia"/>
                <w:lang w:eastAsia="zh-CN"/>
              </w:rPr>
              <w:t>上行：设备外网口的发包流量统计。</w:t>
            </w:r>
          </w:p>
          <w:p w14:paraId="3B065B49">
            <w:pPr>
              <w:pStyle w:val="207"/>
              <w:rPr>
                <w:lang w:eastAsia="zh-CN"/>
              </w:rPr>
            </w:pPr>
            <w:r>
              <w:rPr>
                <w:rFonts w:hint="eastAsia"/>
                <w:lang w:eastAsia="zh-CN"/>
              </w:rPr>
              <w:t>下行：设备内网口的发包流量统计。</w:t>
            </w:r>
          </w:p>
          <w:p w14:paraId="7DE8D99E">
            <w:pPr>
              <w:pStyle w:val="186"/>
              <w:widowControl w:val="0"/>
              <w:spacing w:line="240" w:lineRule="auto"/>
              <w:ind w:firstLine="0"/>
              <w:jc w:val="left"/>
              <w:rPr>
                <w:rFonts w:ascii="宋体" w:hAnsi="宋体"/>
              </w:rPr>
            </w:pPr>
            <w:r>
              <w:rPr>
                <w:rFonts w:hint="eastAsia"/>
              </w:rPr>
              <w:t>缺省状态下，显示上行和下行。</w:t>
            </w:r>
          </w:p>
        </w:tc>
      </w:tr>
      <w:tr w14:paraId="775EA3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13BC04AA">
            <w:pPr>
              <w:pStyle w:val="186"/>
              <w:widowControl w:val="0"/>
              <w:spacing w:line="240" w:lineRule="auto"/>
              <w:ind w:firstLine="0"/>
              <w:jc w:val="left"/>
            </w:pPr>
            <w:r>
              <w:rPr>
                <w:rFonts w:hint="eastAsia"/>
              </w:rPr>
              <w:t>健康统计-会话数</w:t>
            </w:r>
          </w:p>
        </w:tc>
        <w:tc>
          <w:tcPr>
            <w:tcW w:w="6542" w:type="dxa"/>
            <w:shd w:val="clear" w:color="auto" w:fill="auto"/>
          </w:tcPr>
          <w:p w14:paraId="2F0BA80E">
            <w:pPr>
              <w:pStyle w:val="186"/>
              <w:widowControl w:val="0"/>
              <w:spacing w:line="240" w:lineRule="auto"/>
              <w:ind w:firstLine="0"/>
              <w:jc w:val="left"/>
            </w:pPr>
            <w:r>
              <w:rPr>
                <w:rFonts w:hint="eastAsia"/>
              </w:rPr>
              <w:t>设备的会话数统计，点击图下的允许会话数和阻断会话数图标可以选择：</w:t>
            </w:r>
          </w:p>
          <w:p w14:paraId="6D3AE0B3">
            <w:pPr>
              <w:pStyle w:val="207"/>
              <w:rPr>
                <w:lang w:eastAsia="zh-CN"/>
              </w:rPr>
            </w:pPr>
            <w:r>
              <w:rPr>
                <w:rFonts w:hint="eastAsia"/>
                <w:lang w:eastAsia="zh-CN"/>
              </w:rPr>
              <w:t>允许会话数：设备允许创建的会话数。</w:t>
            </w:r>
          </w:p>
          <w:p w14:paraId="06CB150A">
            <w:pPr>
              <w:pStyle w:val="207"/>
              <w:rPr>
                <w:lang w:eastAsia="zh-CN"/>
              </w:rPr>
            </w:pPr>
            <w:r>
              <w:rPr>
                <w:rFonts w:hint="eastAsia"/>
                <w:lang w:eastAsia="zh-CN"/>
              </w:rPr>
              <w:t>阻断会话数：设备因各种原因被阻断的会话。</w:t>
            </w:r>
          </w:p>
          <w:p w14:paraId="37F2C439">
            <w:pPr>
              <w:pStyle w:val="186"/>
              <w:widowControl w:val="0"/>
              <w:spacing w:line="240" w:lineRule="auto"/>
              <w:ind w:firstLine="0"/>
              <w:jc w:val="left"/>
            </w:pPr>
            <w:r>
              <w:rPr>
                <w:rFonts w:hint="eastAsia"/>
              </w:rPr>
              <w:t>缺省情况下，显示允许和阻断会话数。</w:t>
            </w:r>
          </w:p>
        </w:tc>
      </w:tr>
      <w:tr w14:paraId="353B43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04AA120B">
            <w:pPr>
              <w:pStyle w:val="186"/>
              <w:widowControl w:val="0"/>
              <w:spacing w:line="240" w:lineRule="auto"/>
              <w:ind w:firstLine="0"/>
              <w:jc w:val="left"/>
            </w:pPr>
            <w:r>
              <w:rPr>
                <w:rFonts w:hint="eastAsia"/>
              </w:rPr>
              <w:t>健康统计-CPU（百分比）</w:t>
            </w:r>
          </w:p>
        </w:tc>
        <w:tc>
          <w:tcPr>
            <w:tcW w:w="6542" w:type="dxa"/>
            <w:shd w:val="clear" w:color="auto" w:fill="auto"/>
          </w:tcPr>
          <w:p w14:paraId="0B82D53D">
            <w:pPr>
              <w:pStyle w:val="186"/>
              <w:widowControl w:val="0"/>
              <w:spacing w:line="240" w:lineRule="auto"/>
              <w:ind w:firstLine="0"/>
              <w:jc w:val="left"/>
            </w:pPr>
            <w:r>
              <w:rPr>
                <w:rFonts w:hint="eastAsia"/>
              </w:rPr>
              <w:t>显示设备的CPU使用率，以百分比显示。</w:t>
            </w:r>
          </w:p>
        </w:tc>
      </w:tr>
      <w:tr w14:paraId="47F5DB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3D8DE4A7">
            <w:pPr>
              <w:pStyle w:val="186"/>
              <w:widowControl w:val="0"/>
              <w:spacing w:line="240" w:lineRule="auto"/>
              <w:ind w:firstLine="0"/>
              <w:jc w:val="left"/>
            </w:pPr>
            <w:r>
              <w:rPr>
                <w:rFonts w:hint="eastAsia"/>
              </w:rPr>
              <w:t>健康统计-MEM（百分比）</w:t>
            </w:r>
          </w:p>
        </w:tc>
        <w:tc>
          <w:tcPr>
            <w:tcW w:w="6542" w:type="dxa"/>
            <w:shd w:val="clear" w:color="auto" w:fill="auto"/>
          </w:tcPr>
          <w:p w14:paraId="0789AE71">
            <w:pPr>
              <w:pStyle w:val="186"/>
              <w:widowControl w:val="0"/>
              <w:spacing w:line="240" w:lineRule="auto"/>
              <w:ind w:firstLine="0"/>
              <w:jc w:val="left"/>
            </w:pPr>
            <w:r>
              <w:rPr>
                <w:rFonts w:hint="eastAsia"/>
              </w:rPr>
              <w:t>显示设备的内存使用情况，以百分比显示。</w:t>
            </w:r>
          </w:p>
        </w:tc>
      </w:tr>
      <w:tr w14:paraId="49FA63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3DEDBFCD">
            <w:pPr>
              <w:pStyle w:val="186"/>
              <w:widowControl w:val="0"/>
              <w:spacing w:line="240" w:lineRule="auto"/>
              <w:ind w:firstLine="0"/>
              <w:jc w:val="left"/>
            </w:pPr>
            <w:r>
              <w:rPr>
                <w:rFonts w:hint="eastAsia"/>
              </w:rPr>
              <w:t>健康统计-会话信息</w:t>
            </w:r>
          </w:p>
        </w:tc>
        <w:tc>
          <w:tcPr>
            <w:tcW w:w="6542" w:type="dxa"/>
            <w:shd w:val="clear" w:color="auto" w:fill="auto"/>
          </w:tcPr>
          <w:p w14:paraId="64E3F1B7">
            <w:pPr>
              <w:pStyle w:val="186"/>
              <w:widowControl w:val="0"/>
              <w:spacing w:line="240" w:lineRule="auto"/>
              <w:ind w:firstLine="0"/>
              <w:jc w:val="left"/>
            </w:pPr>
            <w:r>
              <w:rPr>
                <w:rFonts w:hint="eastAsia"/>
              </w:rPr>
              <w:t>设备的会话信息统计，点击图下的当前会话数和新增会话数图标可以选择：</w:t>
            </w:r>
          </w:p>
          <w:p w14:paraId="17BCD5F2">
            <w:pPr>
              <w:pStyle w:val="207"/>
              <w:rPr>
                <w:lang w:eastAsia="zh-CN"/>
              </w:rPr>
            </w:pPr>
            <w:r>
              <w:rPr>
                <w:rFonts w:hint="eastAsia"/>
                <w:lang w:eastAsia="zh-CN"/>
              </w:rPr>
              <w:t>当前会话数：设备当前已创建的会话数。</w:t>
            </w:r>
          </w:p>
          <w:p w14:paraId="42685DEF">
            <w:pPr>
              <w:pStyle w:val="207"/>
              <w:rPr>
                <w:lang w:eastAsia="zh-CN"/>
              </w:rPr>
            </w:pPr>
            <w:r>
              <w:rPr>
                <w:rFonts w:hint="eastAsia"/>
                <w:lang w:eastAsia="zh-CN"/>
              </w:rPr>
              <w:t>新增会话数：设备当前新增的会话。</w:t>
            </w:r>
          </w:p>
          <w:p w14:paraId="38E87C6E">
            <w:pPr>
              <w:pStyle w:val="186"/>
              <w:widowControl w:val="0"/>
              <w:spacing w:line="240" w:lineRule="auto"/>
              <w:ind w:firstLine="0"/>
              <w:jc w:val="left"/>
            </w:pPr>
            <w:r>
              <w:rPr>
                <w:rFonts w:hint="eastAsia"/>
              </w:rPr>
              <w:t>缺省情况下，显示当前会话数、当前新增会话数和当前总会话数。</w:t>
            </w:r>
          </w:p>
        </w:tc>
      </w:tr>
    </w:tbl>
    <w:p w14:paraId="25C0448F"/>
    <w:p w14:paraId="5C12F5A5">
      <w:r>
        <w:rPr>
          <w:rFonts w:hint="eastAsia"/>
        </w:rPr>
        <w:t>点击“导出”按钮，可以导出设备一周内的详细健康统计信息，导出设置页面如</w:t>
      </w:r>
      <w:r>
        <w:fldChar w:fldCharType="begin"/>
      </w:r>
      <w:r>
        <w:instrText xml:space="preserve"> </w:instrText>
      </w:r>
      <w:r>
        <w:rPr>
          <w:rFonts w:hint="eastAsia"/>
        </w:rPr>
        <w:instrText xml:space="preserve">REF _Ref15477543 \r \h</w:instrText>
      </w:r>
      <w:r>
        <w:instrText xml:space="preserve"> </w:instrText>
      </w:r>
      <w:r>
        <w:fldChar w:fldCharType="separate"/>
      </w:r>
      <w:r>
        <w:rPr>
          <w:rFonts w:hint="eastAsia"/>
        </w:rPr>
        <w:t>图4-49</w:t>
      </w:r>
      <w:r>
        <w:fldChar w:fldCharType="end"/>
      </w:r>
      <w:r>
        <w:rPr>
          <w:rFonts w:hint="eastAsia"/>
        </w:rPr>
        <w:t>所示，导出的数据表格如</w:t>
      </w:r>
      <w:r>
        <w:fldChar w:fldCharType="begin"/>
      </w:r>
      <w:r>
        <w:instrText xml:space="preserve"> </w:instrText>
      </w:r>
      <w:r>
        <w:rPr>
          <w:rFonts w:hint="eastAsia"/>
        </w:rPr>
        <w:instrText xml:space="preserve">REF _Ref15477548 \r \h</w:instrText>
      </w:r>
      <w:r>
        <w:instrText xml:space="preserve"> </w:instrText>
      </w:r>
      <w:r>
        <w:fldChar w:fldCharType="separate"/>
      </w:r>
      <w:r>
        <w:rPr>
          <w:rFonts w:hint="eastAsia"/>
        </w:rPr>
        <w:t>图4-50</w:t>
      </w:r>
      <w:r>
        <w:fldChar w:fldCharType="end"/>
      </w:r>
      <w:r>
        <w:rPr>
          <w:rFonts w:hint="eastAsia"/>
        </w:rPr>
        <w:t>所示。</w:t>
      </w:r>
    </w:p>
    <w:p w14:paraId="5E6690A8">
      <w:pPr>
        <w:pStyle w:val="188"/>
      </w:pPr>
      <w:bookmarkStart w:id="716" w:name="_Ref15477543"/>
      <w:bookmarkStart w:id="717" w:name="_Toc141874426"/>
      <w:r>
        <w:rPr>
          <w:rFonts w:hint="eastAsia"/>
        </w:rPr>
        <w:t>设备将康统计信息导出页面</w:t>
      </w:r>
      <w:bookmarkEnd w:id="716"/>
      <w:bookmarkEnd w:id="717"/>
    </w:p>
    <w:p w14:paraId="1FC87571">
      <w:pPr>
        <w:spacing w:before="79" w:after="79"/>
      </w:pPr>
      <w:r>
        <w:drawing>
          <wp:inline distT="0" distB="0" distL="0" distR="0">
            <wp:extent cx="3971925" cy="3706495"/>
            <wp:effectExtent l="0" t="0" r="0" b="825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13"/>
                    <a:stretch>
                      <a:fillRect/>
                    </a:stretch>
                  </pic:blipFill>
                  <pic:spPr>
                    <a:xfrm>
                      <a:off x="0" y="0"/>
                      <a:ext cx="3973019" cy="3707598"/>
                    </a:xfrm>
                    <a:prstGeom prst="rect">
                      <a:avLst/>
                    </a:prstGeom>
                  </pic:spPr>
                </pic:pic>
              </a:graphicData>
            </a:graphic>
          </wp:inline>
        </w:drawing>
      </w:r>
    </w:p>
    <w:p w14:paraId="1DDD285B">
      <w:pPr>
        <w:pStyle w:val="188"/>
      </w:pPr>
      <w:r>
        <w:rPr>
          <w:rFonts w:hint="eastAsia"/>
        </w:rPr>
        <w:t xml:space="preserve"> </w:t>
      </w:r>
      <w:bookmarkStart w:id="718" w:name="_Toc141874427"/>
      <w:bookmarkStart w:id="719" w:name="_Ref15477548"/>
      <w:r>
        <w:rPr>
          <w:rFonts w:hint="eastAsia"/>
        </w:rPr>
        <w:t>导出的数据表格</w:t>
      </w:r>
      <w:bookmarkEnd w:id="718"/>
      <w:bookmarkEnd w:id="719"/>
    </w:p>
    <w:p w14:paraId="4861F8AF">
      <w:pPr>
        <w:spacing w:before="79" w:after="79"/>
      </w:pPr>
      <w:r>
        <w:drawing>
          <wp:inline distT="0" distB="0" distL="0" distR="0">
            <wp:extent cx="5486400" cy="1539240"/>
            <wp:effectExtent l="0" t="0" r="0" b="3810"/>
            <wp:docPr id="39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92"/>
                    <pic:cNvPicPr>
                      <a:picLocks noChangeAspect="1"/>
                    </pic:cNvPicPr>
                  </pic:nvPicPr>
                  <pic:blipFill>
                    <a:blip r:embed="rId114"/>
                    <a:stretch>
                      <a:fillRect/>
                    </a:stretch>
                  </pic:blipFill>
                  <pic:spPr>
                    <a:xfrm>
                      <a:off x="0" y="0"/>
                      <a:ext cx="5486400" cy="1539240"/>
                    </a:xfrm>
                    <a:prstGeom prst="rect">
                      <a:avLst/>
                    </a:prstGeom>
                  </pic:spPr>
                </pic:pic>
              </a:graphicData>
            </a:graphic>
          </wp:inline>
        </w:drawing>
      </w:r>
    </w:p>
    <w:p w14:paraId="772CC747">
      <w:r>
        <w:rPr>
          <w:rFonts w:hint="eastAsia"/>
        </w:rPr>
        <w:t>对导出页面阈值的设置详细说明如</w:t>
      </w:r>
      <w:r>
        <w:fldChar w:fldCharType="begin"/>
      </w:r>
      <w:r>
        <w:instrText xml:space="preserve"> </w:instrText>
      </w:r>
      <w:r>
        <w:rPr>
          <w:rFonts w:hint="eastAsia"/>
        </w:rPr>
        <w:instrText xml:space="preserve">REF _Ref15477565 \r \h</w:instrText>
      </w:r>
      <w:r>
        <w:instrText xml:space="preserve"> </w:instrText>
      </w:r>
      <w:r>
        <w:fldChar w:fldCharType="separate"/>
      </w:r>
      <w:r>
        <w:rPr>
          <w:rFonts w:hint="eastAsia"/>
        </w:rPr>
        <w:t>表4-1</w:t>
      </w:r>
      <w:r>
        <w:fldChar w:fldCharType="end"/>
      </w:r>
      <w:r>
        <w:rPr>
          <w:rFonts w:hint="eastAsia"/>
        </w:rPr>
        <w:t>所示。</w:t>
      </w:r>
    </w:p>
    <w:p w14:paraId="0BE5F332">
      <w:pPr>
        <w:pStyle w:val="183"/>
      </w:pPr>
      <w:bookmarkStart w:id="720" w:name="_Ref15477565"/>
      <w:bookmarkStart w:id="721" w:name="_Toc141875395"/>
      <w:r>
        <w:rPr>
          <w:rFonts w:hint="eastAsia"/>
        </w:rPr>
        <w:t>阈值设置说明</w:t>
      </w:r>
      <w:bookmarkEnd w:id="720"/>
      <w:bookmarkEnd w:id="721"/>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86"/>
        <w:gridCol w:w="6528"/>
      </w:tblGrid>
      <w:tr w14:paraId="4B8713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6" w:type="dxa"/>
            <w:tcBorders>
              <w:tl2br w:val="nil"/>
              <w:tr2bl w:val="nil"/>
            </w:tcBorders>
            <w:shd w:val="clear" w:color="auto" w:fill="538135" w:themeFill="accent6" w:themeFillShade="BF"/>
            <w:vAlign w:val="center"/>
          </w:tcPr>
          <w:p w14:paraId="0FAF7725">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28" w:type="dxa"/>
            <w:tcBorders>
              <w:tl2br w:val="nil"/>
              <w:tr2bl w:val="nil"/>
            </w:tcBorders>
            <w:shd w:val="clear" w:color="auto" w:fill="538135" w:themeFill="accent6" w:themeFillShade="BF"/>
            <w:vAlign w:val="center"/>
          </w:tcPr>
          <w:p w14:paraId="597A7FD6">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AE1DA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6" w:type="dxa"/>
            <w:shd w:val="clear" w:color="auto" w:fill="auto"/>
          </w:tcPr>
          <w:p w14:paraId="181072C0">
            <w:pPr>
              <w:pStyle w:val="186"/>
              <w:widowControl w:val="0"/>
              <w:spacing w:line="240" w:lineRule="auto"/>
              <w:ind w:firstLine="0"/>
              <w:jc w:val="left"/>
            </w:pPr>
            <w:r>
              <w:t>整机流量</w:t>
            </w:r>
          </w:p>
        </w:tc>
        <w:tc>
          <w:tcPr>
            <w:tcW w:w="6528" w:type="dxa"/>
            <w:shd w:val="clear" w:color="auto" w:fill="auto"/>
          </w:tcPr>
          <w:p w14:paraId="4A0EF535">
            <w:pPr>
              <w:pStyle w:val="186"/>
              <w:widowControl w:val="0"/>
              <w:spacing w:line="240" w:lineRule="auto"/>
              <w:ind w:firstLine="0"/>
              <w:jc w:val="left"/>
            </w:pPr>
            <w:r>
              <w:rPr>
                <w:rFonts w:hint="eastAsia"/>
              </w:rPr>
              <w:t>默认勾选，阈值为0，即全部导出，最大值为10G。</w:t>
            </w:r>
          </w:p>
        </w:tc>
      </w:tr>
      <w:tr w14:paraId="3EF20F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6" w:type="dxa"/>
            <w:shd w:val="clear" w:color="auto" w:fill="auto"/>
          </w:tcPr>
          <w:p w14:paraId="05900D2D">
            <w:pPr>
              <w:pStyle w:val="186"/>
              <w:widowControl w:val="0"/>
              <w:spacing w:line="240" w:lineRule="auto"/>
              <w:ind w:firstLine="0"/>
              <w:jc w:val="left"/>
            </w:pPr>
            <w:r>
              <w:rPr>
                <w:rFonts w:hint="eastAsia"/>
              </w:rPr>
              <w:t>会话允许/阻断</w:t>
            </w:r>
          </w:p>
        </w:tc>
        <w:tc>
          <w:tcPr>
            <w:tcW w:w="6528" w:type="dxa"/>
            <w:shd w:val="clear" w:color="auto" w:fill="auto"/>
          </w:tcPr>
          <w:p w14:paraId="02562C67">
            <w:pPr>
              <w:pStyle w:val="186"/>
              <w:widowControl w:val="0"/>
              <w:spacing w:line="240" w:lineRule="auto"/>
              <w:ind w:firstLine="0"/>
              <w:jc w:val="left"/>
            </w:pPr>
            <w:r>
              <w:rPr>
                <w:rFonts w:hint="eastAsia"/>
              </w:rPr>
              <w:t>默认勾选，阈值为0，即全部导出，最大值为30w条。</w:t>
            </w:r>
          </w:p>
        </w:tc>
      </w:tr>
      <w:tr w14:paraId="4E6C4D0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6" w:type="dxa"/>
            <w:shd w:val="clear" w:color="auto" w:fill="auto"/>
          </w:tcPr>
          <w:p w14:paraId="674DA33F">
            <w:pPr>
              <w:pStyle w:val="186"/>
              <w:widowControl w:val="0"/>
              <w:spacing w:line="240" w:lineRule="auto"/>
              <w:ind w:firstLine="0"/>
              <w:jc w:val="left"/>
            </w:pPr>
            <w:r>
              <w:rPr>
                <w:rFonts w:hint="eastAsia"/>
              </w:rPr>
              <w:t>CPU百分比</w:t>
            </w:r>
          </w:p>
        </w:tc>
        <w:tc>
          <w:tcPr>
            <w:tcW w:w="6528" w:type="dxa"/>
            <w:shd w:val="clear" w:color="auto" w:fill="auto"/>
          </w:tcPr>
          <w:p w14:paraId="287C94FC">
            <w:pPr>
              <w:pStyle w:val="186"/>
              <w:widowControl w:val="0"/>
              <w:spacing w:line="240" w:lineRule="auto"/>
              <w:ind w:firstLine="0"/>
              <w:jc w:val="left"/>
            </w:pPr>
            <w:r>
              <w:rPr>
                <w:rFonts w:hint="eastAsia"/>
              </w:rPr>
              <w:t>默认勾选，阈值为0，即全部导出，最大值为100%。</w:t>
            </w:r>
          </w:p>
        </w:tc>
      </w:tr>
      <w:tr w14:paraId="71E443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6" w:type="dxa"/>
            <w:shd w:val="clear" w:color="auto" w:fill="auto"/>
          </w:tcPr>
          <w:p w14:paraId="2BD307D1">
            <w:pPr>
              <w:pStyle w:val="186"/>
              <w:widowControl w:val="0"/>
              <w:spacing w:line="240" w:lineRule="auto"/>
              <w:ind w:firstLine="0"/>
              <w:jc w:val="left"/>
            </w:pPr>
            <w:r>
              <w:rPr>
                <w:rFonts w:hint="eastAsia"/>
              </w:rPr>
              <w:t>内存百分比</w:t>
            </w:r>
          </w:p>
        </w:tc>
        <w:tc>
          <w:tcPr>
            <w:tcW w:w="6528" w:type="dxa"/>
            <w:shd w:val="clear" w:color="auto" w:fill="auto"/>
          </w:tcPr>
          <w:p w14:paraId="59DF9858">
            <w:pPr>
              <w:pStyle w:val="186"/>
              <w:widowControl w:val="0"/>
              <w:spacing w:line="240" w:lineRule="auto"/>
              <w:ind w:firstLine="0"/>
              <w:jc w:val="left"/>
              <w:rPr>
                <w:rFonts w:ascii="宋体" w:hAnsi="宋体"/>
              </w:rPr>
            </w:pPr>
            <w:r>
              <w:rPr>
                <w:rFonts w:hint="eastAsia"/>
              </w:rPr>
              <w:t>默认勾选，阈值为0，即全部导出，最大值为100%。</w:t>
            </w:r>
          </w:p>
        </w:tc>
      </w:tr>
      <w:tr w14:paraId="19EEB0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6" w:type="dxa"/>
            <w:shd w:val="clear" w:color="auto" w:fill="auto"/>
          </w:tcPr>
          <w:p w14:paraId="5CF9D127">
            <w:pPr>
              <w:pStyle w:val="186"/>
              <w:widowControl w:val="0"/>
              <w:spacing w:line="240" w:lineRule="auto"/>
              <w:ind w:firstLine="0"/>
              <w:jc w:val="left"/>
            </w:pPr>
            <w:r>
              <w:rPr>
                <w:rFonts w:hint="eastAsia"/>
              </w:rPr>
              <w:t>会话数</w:t>
            </w:r>
          </w:p>
        </w:tc>
        <w:tc>
          <w:tcPr>
            <w:tcW w:w="6528" w:type="dxa"/>
            <w:shd w:val="clear" w:color="auto" w:fill="auto"/>
          </w:tcPr>
          <w:p w14:paraId="76D9BB2D">
            <w:pPr>
              <w:pStyle w:val="186"/>
              <w:widowControl w:val="0"/>
              <w:spacing w:line="240" w:lineRule="auto"/>
              <w:ind w:firstLine="0"/>
              <w:jc w:val="left"/>
            </w:pPr>
            <w:r>
              <w:rPr>
                <w:rFonts w:hint="eastAsia"/>
              </w:rPr>
              <w:t>默认勾选，阈值为0，即全部导出，最大值为30w条。</w:t>
            </w:r>
          </w:p>
        </w:tc>
      </w:tr>
    </w:tbl>
    <w:p w14:paraId="7500667B"/>
    <w:p w14:paraId="2B68729F">
      <w:pPr>
        <w:pStyle w:val="5"/>
      </w:pPr>
      <w:bookmarkStart w:id="722" w:name="_Toc15484624"/>
      <w:bookmarkStart w:id="723" w:name="_Toc11342788"/>
      <w:bookmarkStart w:id="724" w:name="_Toc23152392"/>
      <w:bookmarkStart w:id="725" w:name="_Toc194080622"/>
      <w:bookmarkStart w:id="726" w:name="_Toc99561311"/>
      <w:bookmarkStart w:id="727" w:name="_Toc172217984"/>
      <w:bookmarkStart w:id="728" w:name="_Toc141873261"/>
      <w:bookmarkStart w:id="729" w:name="_Toc142400774"/>
      <w:bookmarkStart w:id="730" w:name="_Toc196727955"/>
      <w:bookmarkStart w:id="731" w:name="_Toc40275825"/>
      <w:r>
        <w:rPr>
          <w:rFonts w:hint="eastAsia"/>
        </w:rPr>
        <w:t>会话监控统计</w:t>
      </w:r>
      <w:bookmarkEnd w:id="722"/>
      <w:bookmarkEnd w:id="723"/>
      <w:bookmarkEnd w:id="724"/>
      <w:bookmarkEnd w:id="725"/>
      <w:bookmarkEnd w:id="726"/>
      <w:bookmarkEnd w:id="727"/>
      <w:bookmarkEnd w:id="728"/>
      <w:bookmarkEnd w:id="729"/>
      <w:bookmarkEnd w:id="730"/>
      <w:bookmarkEnd w:id="731"/>
    </w:p>
    <w:p w14:paraId="61021401">
      <w:pPr>
        <w:pStyle w:val="6"/>
      </w:pPr>
      <w:bookmarkStart w:id="732" w:name="_Toc11342789"/>
      <w:r>
        <w:rPr>
          <w:rFonts w:hint="eastAsia"/>
        </w:rPr>
        <w:t>会话统计</w:t>
      </w:r>
      <w:bookmarkEnd w:id="732"/>
    </w:p>
    <w:p w14:paraId="27C646D4">
      <w:r>
        <w:rPr>
          <w:rFonts w:hint="eastAsia"/>
        </w:rPr>
        <w:t>通过菜单“数据中心&gt;数据分析&gt;会话监控</w:t>
      </w:r>
      <w:r>
        <w:t>统计&gt;</w:t>
      </w:r>
      <w:r>
        <w:rPr>
          <w:rFonts w:hint="eastAsia"/>
        </w:rPr>
        <w:t>会话</w:t>
      </w:r>
      <w:r>
        <w:t>统计</w:t>
      </w:r>
      <w:r>
        <w:rPr>
          <w:rFonts w:hint="eastAsia"/>
        </w:rPr>
        <w:t>”，进入如</w:t>
      </w:r>
      <w:r>
        <w:rPr>
          <w:color w:val="0000FF"/>
          <w:u w:val="single"/>
        </w:rPr>
        <w:fldChar w:fldCharType="begin"/>
      </w:r>
      <w:r>
        <w:instrText xml:space="preserve"> </w:instrText>
      </w:r>
      <w:r>
        <w:rPr>
          <w:rFonts w:hint="eastAsia"/>
        </w:rPr>
        <w:instrText xml:space="preserve">REF _Ref15477572 \r \h</w:instrText>
      </w:r>
      <w:r>
        <w:instrText xml:space="preserve"> </w:instrText>
      </w:r>
      <w:r>
        <w:rPr>
          <w:color w:val="0000FF"/>
          <w:u w:val="single"/>
        </w:rPr>
        <w:fldChar w:fldCharType="separate"/>
      </w:r>
      <w:r>
        <w:rPr>
          <w:rFonts w:hint="eastAsia"/>
        </w:rPr>
        <w:t>图4-51</w:t>
      </w:r>
      <w:r>
        <w:rPr>
          <w:color w:val="0000FF"/>
          <w:u w:val="single"/>
        </w:rPr>
        <w:fldChar w:fldCharType="end"/>
      </w:r>
      <w:r>
        <w:rPr>
          <w:rFonts w:hint="eastAsia"/>
        </w:rPr>
        <w:t>所示页面。在</w:t>
      </w:r>
      <w:r>
        <w:t>该页面可以查看会话</w:t>
      </w:r>
      <w:r>
        <w:rPr>
          <w:rFonts w:hint="eastAsia"/>
        </w:rPr>
        <w:t>相关</w:t>
      </w:r>
      <w:r>
        <w:t>统计信息</w:t>
      </w:r>
      <w:r>
        <w:rPr>
          <w:rFonts w:hint="eastAsia"/>
        </w:rPr>
        <w:t>。</w:t>
      </w:r>
    </w:p>
    <w:p w14:paraId="7C97EC08">
      <w:pPr>
        <w:pStyle w:val="188"/>
      </w:pPr>
      <w:bookmarkStart w:id="733" w:name="_Ref15477572"/>
      <w:bookmarkStart w:id="734" w:name="_Toc141874428"/>
      <w:r>
        <w:rPr>
          <w:rFonts w:hint="eastAsia"/>
        </w:rPr>
        <w:t>会话</w:t>
      </w:r>
      <w:r>
        <w:t>统计页面</w:t>
      </w:r>
      <w:bookmarkEnd w:id="733"/>
      <w:bookmarkEnd w:id="734"/>
    </w:p>
    <w:p w14:paraId="6B46F7DF">
      <w:pPr>
        <w:spacing w:before="79" w:after="79"/>
      </w:pPr>
      <w:r>
        <w:drawing>
          <wp:inline distT="0" distB="0" distL="0" distR="0">
            <wp:extent cx="5267325" cy="1769745"/>
            <wp:effectExtent l="0" t="0" r="0" b="190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115"/>
                    <a:stretch>
                      <a:fillRect/>
                    </a:stretch>
                  </pic:blipFill>
                  <pic:spPr>
                    <a:xfrm>
                      <a:off x="0" y="0"/>
                      <a:ext cx="5299600" cy="1780828"/>
                    </a:xfrm>
                    <a:prstGeom prst="rect">
                      <a:avLst/>
                    </a:prstGeom>
                  </pic:spPr>
                </pic:pic>
              </a:graphicData>
            </a:graphic>
          </wp:inline>
        </w:drawing>
      </w:r>
    </w:p>
    <w:p w14:paraId="1CA027B7">
      <w:pPr>
        <w:spacing w:before="79" w:after="79"/>
      </w:pPr>
      <w:r>
        <w:drawing>
          <wp:inline distT="0" distB="0" distL="0" distR="0">
            <wp:extent cx="5276850" cy="2526030"/>
            <wp:effectExtent l="0" t="0" r="0" b="762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16"/>
                    <a:stretch>
                      <a:fillRect/>
                    </a:stretch>
                  </pic:blipFill>
                  <pic:spPr>
                    <a:xfrm>
                      <a:off x="0" y="0"/>
                      <a:ext cx="5307924" cy="2541350"/>
                    </a:xfrm>
                    <a:prstGeom prst="rect">
                      <a:avLst/>
                    </a:prstGeom>
                  </pic:spPr>
                </pic:pic>
              </a:graphicData>
            </a:graphic>
          </wp:inline>
        </w:drawing>
      </w:r>
    </w:p>
    <w:p w14:paraId="3F554EBE">
      <w:r>
        <w:rPr>
          <w:rFonts w:hint="eastAsia"/>
        </w:rPr>
        <w:t>会话统计详细</w:t>
      </w:r>
      <w:r>
        <w:t>说明</w:t>
      </w:r>
      <w:r>
        <w:rPr>
          <w:rFonts w:hint="eastAsia"/>
        </w:rPr>
        <w:t>如</w:t>
      </w:r>
      <w:r>
        <w:rPr>
          <w:color w:val="0000FF"/>
          <w:u w:val="single"/>
        </w:rPr>
        <w:fldChar w:fldCharType="begin"/>
      </w:r>
      <w:r>
        <w:instrText xml:space="preserve"> </w:instrText>
      </w:r>
      <w:r>
        <w:rPr>
          <w:rFonts w:hint="eastAsia"/>
        </w:rPr>
        <w:instrText xml:space="preserve">REF _Ref15477581 \r \h</w:instrText>
      </w:r>
      <w:r>
        <w:instrText xml:space="preserve"> </w:instrText>
      </w:r>
      <w:r>
        <w:rPr>
          <w:color w:val="0000FF"/>
          <w:u w:val="single"/>
        </w:rPr>
        <w:fldChar w:fldCharType="separate"/>
      </w:r>
      <w:r>
        <w:rPr>
          <w:rFonts w:hint="eastAsia"/>
        </w:rPr>
        <w:t>表4-1</w:t>
      </w:r>
      <w:r>
        <w:rPr>
          <w:color w:val="0000FF"/>
          <w:u w:val="single"/>
        </w:rPr>
        <w:fldChar w:fldCharType="end"/>
      </w:r>
      <w:r>
        <w:rPr>
          <w:rFonts w:hint="eastAsia"/>
        </w:rPr>
        <w:t>所示。</w:t>
      </w:r>
    </w:p>
    <w:p w14:paraId="46BAA09F">
      <w:pPr>
        <w:pStyle w:val="183"/>
      </w:pPr>
      <w:bookmarkStart w:id="735" w:name="_Ref15477581"/>
      <w:bookmarkStart w:id="736" w:name="_Toc141875396"/>
      <w:r>
        <w:rPr>
          <w:rFonts w:hint="eastAsia"/>
        </w:rPr>
        <w:t>会话</w:t>
      </w:r>
      <w:r>
        <w:t>统计详细说明</w:t>
      </w:r>
      <w:r>
        <w:rPr>
          <w:rFonts w:hint="eastAsia"/>
        </w:rPr>
        <w:t>表</w:t>
      </w:r>
      <w:bookmarkEnd w:id="735"/>
      <w:bookmarkEnd w:id="736"/>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44"/>
        <w:gridCol w:w="6670"/>
      </w:tblGrid>
      <w:tr w14:paraId="2B1BB9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tcBorders>
              <w:tl2br w:val="nil"/>
              <w:tr2bl w:val="nil"/>
            </w:tcBorders>
            <w:shd w:val="clear" w:color="auto" w:fill="538135" w:themeFill="accent6" w:themeFillShade="BF"/>
            <w:vAlign w:val="center"/>
          </w:tcPr>
          <w:p w14:paraId="00B0C630">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70" w:type="dxa"/>
            <w:tcBorders>
              <w:tl2br w:val="nil"/>
              <w:tr2bl w:val="nil"/>
            </w:tcBorders>
            <w:shd w:val="clear" w:color="auto" w:fill="538135" w:themeFill="accent6" w:themeFillShade="BF"/>
            <w:vAlign w:val="center"/>
          </w:tcPr>
          <w:p w14:paraId="18AFCB6C">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06003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61AC9709">
            <w:pPr>
              <w:pStyle w:val="186"/>
              <w:widowControl w:val="0"/>
              <w:spacing w:line="240" w:lineRule="auto"/>
              <w:ind w:firstLine="0"/>
              <w:jc w:val="left"/>
            </w:pPr>
            <w:r>
              <w:rPr>
                <w:rFonts w:hint="eastAsia"/>
              </w:rPr>
              <w:t>会话数</w:t>
            </w:r>
          </w:p>
        </w:tc>
        <w:tc>
          <w:tcPr>
            <w:tcW w:w="6670" w:type="dxa"/>
            <w:shd w:val="clear" w:color="auto" w:fill="auto"/>
          </w:tcPr>
          <w:p w14:paraId="352B120B">
            <w:pPr>
              <w:pStyle w:val="186"/>
              <w:widowControl w:val="0"/>
              <w:spacing w:line="240" w:lineRule="auto"/>
              <w:ind w:firstLine="0"/>
              <w:jc w:val="left"/>
            </w:pPr>
            <w:r>
              <w:rPr>
                <w:rFonts w:hint="eastAsia"/>
              </w:rPr>
              <w:t>统计设备</w:t>
            </w:r>
            <w:r>
              <w:t>当前的总会话数</w:t>
            </w:r>
            <w:r>
              <w:rPr>
                <w:rFonts w:hint="eastAsia"/>
              </w:rPr>
              <w:t>以及</w:t>
            </w:r>
            <w:r>
              <w:t>新增会话数，通过</w:t>
            </w:r>
            <w:r>
              <w:rPr>
                <w:rFonts w:hint="eastAsia"/>
              </w:rPr>
              <w:t>曲线</w:t>
            </w:r>
            <w:r>
              <w:t>进行展示</w:t>
            </w:r>
            <w:r>
              <w:rPr>
                <w:rFonts w:hint="eastAsia"/>
              </w:rPr>
              <w:t>。</w:t>
            </w:r>
          </w:p>
        </w:tc>
      </w:tr>
      <w:tr w14:paraId="66FE1A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0E609430">
            <w:pPr>
              <w:pStyle w:val="186"/>
              <w:widowControl w:val="0"/>
              <w:spacing w:line="240" w:lineRule="auto"/>
              <w:ind w:firstLine="0"/>
              <w:jc w:val="left"/>
            </w:pPr>
            <w:r>
              <w:rPr>
                <w:rFonts w:hint="eastAsia"/>
              </w:rPr>
              <w:t>历史会话</w:t>
            </w:r>
            <w:r>
              <w:t>统计</w:t>
            </w:r>
          </w:p>
        </w:tc>
        <w:tc>
          <w:tcPr>
            <w:tcW w:w="6670" w:type="dxa"/>
            <w:shd w:val="clear" w:color="auto" w:fill="auto"/>
          </w:tcPr>
          <w:p w14:paraId="2A219FD9">
            <w:pPr>
              <w:pStyle w:val="186"/>
              <w:widowControl w:val="0"/>
              <w:spacing w:line="240" w:lineRule="auto"/>
              <w:ind w:firstLine="0"/>
              <w:jc w:val="left"/>
            </w:pPr>
            <w:r>
              <w:rPr>
                <w:rFonts w:hint="eastAsia"/>
              </w:rPr>
              <w:t>统计</w:t>
            </w:r>
            <w:r>
              <w:t>设备上</w:t>
            </w:r>
            <w:r>
              <w:rPr>
                <w:rFonts w:hint="eastAsia"/>
              </w:rPr>
              <w:t>最近</w:t>
            </w:r>
            <w:r>
              <w:t>一段时间</w:t>
            </w:r>
            <w:r>
              <w:rPr>
                <w:rFonts w:hint="eastAsia"/>
              </w:rPr>
              <w:t>（最近1小时</w:t>
            </w:r>
            <w:r>
              <w:t>、最近</w:t>
            </w:r>
            <w:r>
              <w:rPr>
                <w:rFonts w:hint="eastAsia"/>
              </w:rPr>
              <w:t>1天</w:t>
            </w:r>
            <w:r>
              <w:t>、最近1</w:t>
            </w:r>
            <w:r>
              <w:rPr>
                <w:rFonts w:hint="eastAsia"/>
              </w:rPr>
              <w:t>周）的</w:t>
            </w:r>
            <w:r>
              <w:t>历史会话数，以</w:t>
            </w:r>
            <w:r>
              <w:rPr>
                <w:rFonts w:hint="eastAsia"/>
              </w:rPr>
              <w:t>TCP、UDP、</w:t>
            </w:r>
            <w:r>
              <w:t>其他维度进行统计，通过趋势图进行展示</w:t>
            </w:r>
            <w:r>
              <w:rPr>
                <w:rFonts w:hint="eastAsia"/>
              </w:rPr>
              <w:t>。</w:t>
            </w:r>
          </w:p>
        </w:tc>
      </w:tr>
      <w:tr w14:paraId="70FF90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3D44E1D5">
            <w:pPr>
              <w:pStyle w:val="186"/>
              <w:widowControl w:val="0"/>
              <w:spacing w:line="240" w:lineRule="auto"/>
              <w:ind w:firstLine="0"/>
              <w:jc w:val="left"/>
            </w:pPr>
            <w:r>
              <w:rPr>
                <w:rFonts w:hint="eastAsia"/>
              </w:rPr>
              <w:t>会话</w:t>
            </w:r>
            <w:r>
              <w:t>源目标排名</w:t>
            </w:r>
          </w:p>
        </w:tc>
        <w:tc>
          <w:tcPr>
            <w:tcW w:w="6670" w:type="dxa"/>
            <w:shd w:val="clear" w:color="auto" w:fill="auto"/>
          </w:tcPr>
          <w:p w14:paraId="16986FA3">
            <w:pPr>
              <w:pStyle w:val="186"/>
              <w:widowControl w:val="0"/>
              <w:spacing w:line="240" w:lineRule="auto"/>
              <w:ind w:firstLine="0"/>
              <w:jc w:val="left"/>
            </w:pPr>
            <w:r>
              <w:t>基于源地址排名的</w:t>
            </w:r>
            <w:r>
              <w:rPr>
                <w:rFonts w:hint="eastAsia"/>
              </w:rPr>
              <w:t>TOP20会话数</w:t>
            </w:r>
            <w:r>
              <w:t>排名</w:t>
            </w:r>
            <w:r>
              <w:rPr>
                <w:rFonts w:hint="eastAsia"/>
              </w:rPr>
              <w:t>。</w:t>
            </w:r>
          </w:p>
        </w:tc>
      </w:tr>
      <w:tr w14:paraId="266D62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17478DF6">
            <w:pPr>
              <w:pStyle w:val="186"/>
              <w:widowControl w:val="0"/>
              <w:spacing w:line="240" w:lineRule="auto"/>
              <w:ind w:firstLine="0"/>
              <w:jc w:val="left"/>
            </w:pPr>
            <w:r>
              <w:rPr>
                <w:rFonts w:hint="eastAsia"/>
              </w:rPr>
              <w:t>会话</w:t>
            </w:r>
            <w:r>
              <w:t>目的目标排名</w:t>
            </w:r>
          </w:p>
        </w:tc>
        <w:tc>
          <w:tcPr>
            <w:tcW w:w="6670" w:type="dxa"/>
            <w:shd w:val="clear" w:color="auto" w:fill="auto"/>
          </w:tcPr>
          <w:p w14:paraId="2F1DD47C">
            <w:pPr>
              <w:pStyle w:val="186"/>
              <w:widowControl w:val="0"/>
              <w:spacing w:line="240" w:lineRule="auto"/>
              <w:ind w:firstLine="0"/>
              <w:jc w:val="left"/>
            </w:pPr>
            <w:r>
              <w:rPr>
                <w:rFonts w:hint="eastAsia"/>
              </w:rPr>
              <w:t>基于目的</w:t>
            </w:r>
            <w:r>
              <w:t>地址排名的</w:t>
            </w:r>
            <w:r>
              <w:rPr>
                <w:rFonts w:hint="eastAsia"/>
              </w:rPr>
              <w:t>TOP20会话</w:t>
            </w:r>
            <w:r>
              <w:t>数排名</w:t>
            </w:r>
            <w:r>
              <w:rPr>
                <w:rFonts w:hint="eastAsia"/>
              </w:rPr>
              <w:t>。</w:t>
            </w:r>
          </w:p>
        </w:tc>
      </w:tr>
    </w:tbl>
    <w:p w14:paraId="4D733BF1"/>
    <w:p w14:paraId="58CF699C">
      <w:pPr>
        <w:pStyle w:val="6"/>
      </w:pPr>
      <w:bookmarkStart w:id="737" w:name="_Toc11342790"/>
      <w:r>
        <w:rPr>
          <w:rFonts w:hint="eastAsia"/>
        </w:rPr>
        <w:t>会话排名</w:t>
      </w:r>
      <w:bookmarkEnd w:id="737"/>
    </w:p>
    <w:p w14:paraId="28137671">
      <w:r>
        <w:rPr>
          <w:rFonts w:hint="eastAsia"/>
        </w:rPr>
        <w:t>通过菜单“数据中心&gt;数据分析&gt;会话</w:t>
      </w:r>
      <w:r>
        <w:t>监控统计&gt;</w:t>
      </w:r>
      <w:r>
        <w:rPr>
          <w:rFonts w:hint="eastAsia"/>
        </w:rPr>
        <w:t>会话</w:t>
      </w:r>
      <w:r>
        <w:t>排名</w:t>
      </w:r>
      <w:r>
        <w:rPr>
          <w:rFonts w:hint="eastAsia"/>
        </w:rPr>
        <w:t>”，进入如</w:t>
      </w:r>
      <w:r>
        <w:rPr>
          <w:color w:val="0000FF"/>
          <w:u w:val="single"/>
        </w:rPr>
        <w:fldChar w:fldCharType="begin"/>
      </w:r>
      <w:r>
        <w:instrText xml:space="preserve"> </w:instrText>
      </w:r>
      <w:r>
        <w:rPr>
          <w:rFonts w:hint="eastAsia"/>
        </w:rPr>
        <w:instrText xml:space="preserve">REF _Ref15477588 \r \h</w:instrText>
      </w:r>
      <w:r>
        <w:instrText xml:space="preserve"> </w:instrText>
      </w:r>
      <w:r>
        <w:rPr>
          <w:color w:val="0000FF"/>
          <w:u w:val="single"/>
        </w:rPr>
        <w:fldChar w:fldCharType="separate"/>
      </w:r>
      <w:r>
        <w:rPr>
          <w:rFonts w:hint="eastAsia"/>
        </w:rPr>
        <w:t>图4-52</w:t>
      </w:r>
      <w:r>
        <w:rPr>
          <w:color w:val="0000FF"/>
          <w:u w:val="single"/>
        </w:rPr>
        <w:fldChar w:fldCharType="end"/>
      </w:r>
      <w:r>
        <w:rPr>
          <w:rFonts w:hint="eastAsia"/>
        </w:rPr>
        <w:t>所示页面。在</w:t>
      </w:r>
      <w:r>
        <w:t>该页面可以</w:t>
      </w:r>
      <w:r>
        <w:rPr>
          <w:rFonts w:hint="eastAsia"/>
        </w:rPr>
        <w:t>基于</w:t>
      </w:r>
      <w:r>
        <w:t>条件查看基于源地址、目的地址、目的端口排名的会话</w:t>
      </w:r>
      <w:r>
        <w:rPr>
          <w:rFonts w:hint="eastAsia"/>
        </w:rPr>
        <w:t>。</w:t>
      </w:r>
    </w:p>
    <w:p w14:paraId="0DB38EB1">
      <w:pPr>
        <w:pStyle w:val="188"/>
      </w:pPr>
      <w:bookmarkStart w:id="738" w:name="_Ref15477588"/>
      <w:bookmarkStart w:id="739" w:name="_Toc141874429"/>
      <w:r>
        <w:rPr>
          <w:rFonts w:hint="eastAsia"/>
        </w:rPr>
        <w:t>会话</w:t>
      </w:r>
      <w:r>
        <w:t>排名页面</w:t>
      </w:r>
      <w:bookmarkEnd w:id="738"/>
      <w:bookmarkEnd w:id="739"/>
    </w:p>
    <w:p w14:paraId="3C75D446">
      <w:pPr>
        <w:spacing w:before="79" w:after="79"/>
      </w:pPr>
      <w:r>
        <w:drawing>
          <wp:inline distT="0" distB="0" distL="0" distR="0">
            <wp:extent cx="5153025" cy="167894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117"/>
                    <a:stretch>
                      <a:fillRect/>
                    </a:stretch>
                  </pic:blipFill>
                  <pic:spPr>
                    <a:xfrm>
                      <a:off x="0" y="0"/>
                      <a:ext cx="5180359" cy="1688091"/>
                    </a:xfrm>
                    <a:prstGeom prst="rect">
                      <a:avLst/>
                    </a:prstGeom>
                  </pic:spPr>
                </pic:pic>
              </a:graphicData>
            </a:graphic>
          </wp:inline>
        </w:drawing>
      </w:r>
    </w:p>
    <w:p w14:paraId="0F5D4F35"/>
    <w:p w14:paraId="09B46C90">
      <w:r>
        <w:rPr>
          <w:rFonts w:hint="eastAsia"/>
        </w:rPr>
        <w:t>点击页面上的</w:t>
      </w:r>
      <w:r>
        <w:t>&lt;</w:t>
      </w:r>
      <w:r>
        <w:rPr>
          <w:rFonts w:hint="eastAsia"/>
        </w:rPr>
        <w:t>查询</w:t>
      </w:r>
      <w:r>
        <w:t>&gt;</w:t>
      </w:r>
      <w:r>
        <w:rPr>
          <w:rFonts w:hint="eastAsia"/>
        </w:rPr>
        <w:t>按钮，可以</w:t>
      </w:r>
      <w:r>
        <w:t>基于</w:t>
      </w:r>
      <w:r>
        <w:rPr>
          <w:rFonts w:hint="eastAsia"/>
        </w:rPr>
        <w:t>会话</w:t>
      </w:r>
      <w:r>
        <w:t>统计</w:t>
      </w:r>
      <w:r>
        <w:rPr>
          <w:rFonts w:hint="eastAsia"/>
        </w:rPr>
        <w:t>过滤</w:t>
      </w:r>
      <w:r>
        <w:t>条件</w:t>
      </w:r>
      <w:r>
        <w:rPr>
          <w:rFonts w:hint="eastAsia"/>
        </w:rPr>
        <w:t>查询</w:t>
      </w:r>
      <w:r>
        <w:t>会话</w:t>
      </w:r>
      <w:r>
        <w:rPr>
          <w:rFonts w:hint="eastAsia"/>
        </w:rPr>
        <w:t>排名。查询页面如</w:t>
      </w:r>
      <w:r>
        <w:rPr>
          <w:color w:val="0000FF"/>
          <w:u w:val="single"/>
        </w:rPr>
        <w:fldChar w:fldCharType="begin"/>
      </w:r>
      <w:r>
        <w:instrText xml:space="preserve"> </w:instrText>
      </w:r>
      <w:r>
        <w:rPr>
          <w:rFonts w:hint="eastAsia"/>
        </w:rPr>
        <w:instrText xml:space="preserve">REF _Ref15477594 \r \h</w:instrText>
      </w:r>
      <w:r>
        <w:instrText xml:space="preserve"> </w:instrText>
      </w:r>
      <w:r>
        <w:rPr>
          <w:color w:val="0000FF"/>
          <w:u w:val="single"/>
        </w:rPr>
        <w:fldChar w:fldCharType="separate"/>
      </w:r>
      <w:r>
        <w:rPr>
          <w:rFonts w:hint="eastAsia"/>
        </w:rPr>
        <w:t>图4-53</w:t>
      </w:r>
      <w:r>
        <w:rPr>
          <w:color w:val="0000FF"/>
          <w:u w:val="single"/>
        </w:rPr>
        <w:fldChar w:fldCharType="end"/>
      </w:r>
      <w:r>
        <w:rPr>
          <w:rFonts w:hint="eastAsia"/>
        </w:rPr>
        <w:t>所示。</w:t>
      </w:r>
    </w:p>
    <w:p w14:paraId="69B58EA7">
      <w:pPr>
        <w:pStyle w:val="188"/>
      </w:pPr>
      <w:bookmarkStart w:id="740" w:name="_Toc141874430"/>
      <w:bookmarkStart w:id="741" w:name="_Ref15477594"/>
      <w:r>
        <w:rPr>
          <w:rFonts w:hint="eastAsia"/>
        </w:rPr>
        <w:t>会话</w:t>
      </w:r>
      <w:r>
        <w:t>排名查询页面</w:t>
      </w:r>
      <w:bookmarkEnd w:id="740"/>
      <w:bookmarkEnd w:id="741"/>
    </w:p>
    <w:p w14:paraId="752E7B4D">
      <w:pPr>
        <w:spacing w:before="79" w:after="79"/>
      </w:pPr>
      <w:r>
        <w:drawing>
          <wp:inline distT="0" distB="0" distL="0" distR="0">
            <wp:extent cx="4500245" cy="1841500"/>
            <wp:effectExtent l="0" t="0" r="0" b="6350"/>
            <wp:docPr id="395" name="图片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95"/>
                    <pic:cNvPicPr>
                      <a:picLocks noChangeAspect="1"/>
                    </pic:cNvPicPr>
                  </pic:nvPicPr>
                  <pic:blipFill>
                    <a:blip r:embed="rId118"/>
                    <a:stretch>
                      <a:fillRect/>
                    </a:stretch>
                  </pic:blipFill>
                  <pic:spPr>
                    <a:xfrm>
                      <a:off x="0" y="0"/>
                      <a:ext cx="4504155" cy="1843017"/>
                    </a:xfrm>
                    <a:prstGeom prst="rect">
                      <a:avLst/>
                    </a:prstGeom>
                  </pic:spPr>
                </pic:pic>
              </a:graphicData>
            </a:graphic>
          </wp:inline>
        </w:drawing>
      </w:r>
    </w:p>
    <w:p w14:paraId="133D22A0"/>
    <w:p w14:paraId="2B660C19">
      <w:r>
        <w:rPr>
          <w:rFonts w:hint="eastAsia"/>
        </w:rPr>
        <w:t>会话</w:t>
      </w:r>
      <w:r>
        <w:t>排名</w:t>
      </w:r>
      <w:r>
        <w:rPr>
          <w:rFonts w:hint="eastAsia"/>
        </w:rPr>
        <w:t>详细说明如</w:t>
      </w:r>
      <w:r>
        <w:t>表</w:t>
      </w:r>
      <w:r>
        <w:fldChar w:fldCharType="begin"/>
      </w:r>
      <w:r>
        <w:instrText xml:space="preserve"> REF _Ref15477602 \r \h </w:instrText>
      </w:r>
      <w:r>
        <w:fldChar w:fldCharType="separate"/>
      </w:r>
      <w:r>
        <w:rPr>
          <w:rFonts w:hint="eastAsia"/>
        </w:rPr>
        <w:t>表4-1</w:t>
      </w:r>
      <w:r>
        <w:fldChar w:fldCharType="end"/>
      </w:r>
      <w:r>
        <w:t>所示。</w:t>
      </w:r>
    </w:p>
    <w:p w14:paraId="04EAE8DD">
      <w:pPr>
        <w:pStyle w:val="183"/>
      </w:pPr>
      <w:bookmarkStart w:id="742" w:name="_Ref15477602"/>
      <w:bookmarkStart w:id="743" w:name="_Toc141875397"/>
      <w:r>
        <w:rPr>
          <w:rFonts w:hint="eastAsia"/>
        </w:rPr>
        <w:t>会话</w:t>
      </w:r>
      <w:r>
        <w:t>排名详细说明表</w:t>
      </w:r>
      <w:bookmarkEnd w:id="742"/>
      <w:bookmarkEnd w:id="743"/>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639"/>
        <w:gridCol w:w="7375"/>
      </w:tblGrid>
      <w:tr w14:paraId="59A1F39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tcBorders>
              <w:tl2br w:val="nil"/>
              <w:tr2bl w:val="nil"/>
            </w:tcBorders>
            <w:shd w:val="clear" w:color="auto" w:fill="538135" w:themeFill="accent6" w:themeFillShade="BF"/>
            <w:vAlign w:val="center"/>
          </w:tcPr>
          <w:p w14:paraId="42F4083A">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375" w:type="dxa"/>
            <w:tcBorders>
              <w:tl2br w:val="nil"/>
              <w:tr2bl w:val="nil"/>
            </w:tcBorders>
            <w:shd w:val="clear" w:color="auto" w:fill="538135" w:themeFill="accent6" w:themeFillShade="BF"/>
            <w:vAlign w:val="center"/>
          </w:tcPr>
          <w:p w14:paraId="26EC7DC7">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7453DA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3509C4F6">
            <w:pPr>
              <w:pStyle w:val="186"/>
              <w:widowControl w:val="0"/>
              <w:spacing w:line="240" w:lineRule="auto"/>
              <w:ind w:firstLine="0"/>
              <w:jc w:val="left"/>
            </w:pPr>
            <w:r>
              <w:rPr>
                <w:rFonts w:hint="eastAsia"/>
              </w:rPr>
              <w:t>统计类型</w:t>
            </w:r>
          </w:p>
        </w:tc>
        <w:tc>
          <w:tcPr>
            <w:tcW w:w="7375" w:type="dxa"/>
            <w:shd w:val="clear" w:color="auto" w:fill="auto"/>
          </w:tcPr>
          <w:p w14:paraId="52D5EF8D">
            <w:pPr>
              <w:pStyle w:val="186"/>
              <w:widowControl w:val="0"/>
              <w:spacing w:line="240" w:lineRule="auto"/>
              <w:ind w:firstLine="0"/>
              <w:jc w:val="left"/>
            </w:pPr>
            <w:r>
              <w:rPr>
                <w:rFonts w:hint="eastAsia"/>
              </w:rPr>
              <w:t>统计</w:t>
            </w:r>
            <w:r>
              <w:t>类型主要有源地址、目的地址、目的端口三个维度进行统计</w:t>
            </w:r>
            <w:r>
              <w:rPr>
                <w:rFonts w:hint="eastAsia"/>
              </w:rPr>
              <w:t>，</w:t>
            </w:r>
            <w:r>
              <w:t>默认是源地址维度统计</w:t>
            </w:r>
            <w:r>
              <w:rPr>
                <w:rFonts w:hint="eastAsia"/>
              </w:rPr>
              <w:t>。</w:t>
            </w:r>
          </w:p>
        </w:tc>
      </w:tr>
      <w:tr w14:paraId="4C2F53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4FEF5825">
            <w:pPr>
              <w:pStyle w:val="186"/>
              <w:widowControl w:val="0"/>
              <w:spacing w:line="240" w:lineRule="auto"/>
              <w:ind w:firstLine="0"/>
              <w:jc w:val="left"/>
            </w:pPr>
            <w:r>
              <w:rPr>
                <w:rFonts w:hint="eastAsia"/>
              </w:rPr>
              <w:t>统计值</w:t>
            </w:r>
          </w:p>
        </w:tc>
        <w:tc>
          <w:tcPr>
            <w:tcW w:w="7375" w:type="dxa"/>
            <w:shd w:val="clear" w:color="auto" w:fill="auto"/>
          </w:tcPr>
          <w:p w14:paraId="2C156779">
            <w:pPr>
              <w:pStyle w:val="186"/>
              <w:widowControl w:val="0"/>
              <w:spacing w:line="240" w:lineRule="auto"/>
              <w:ind w:firstLine="0"/>
              <w:jc w:val="left"/>
            </w:pPr>
            <w:r>
              <w:rPr>
                <w:rFonts w:hint="eastAsia"/>
              </w:rPr>
              <w:t>基于</w:t>
            </w:r>
            <w:r>
              <w:t>统计类型查询TOP N</w:t>
            </w:r>
            <w:r>
              <w:rPr>
                <w:rFonts w:hint="eastAsia"/>
              </w:rPr>
              <w:t>的</w:t>
            </w:r>
            <w:r>
              <w:t>会话排名</w:t>
            </w:r>
            <w:r>
              <w:rPr>
                <w:rFonts w:hint="eastAsia"/>
              </w:rPr>
              <w:t>上</w:t>
            </w:r>
            <w:r>
              <w:t>的具体会话</w:t>
            </w:r>
            <w:r>
              <w:rPr>
                <w:rFonts w:hint="eastAsia"/>
              </w:rPr>
              <w:t>IP地址。</w:t>
            </w:r>
          </w:p>
        </w:tc>
      </w:tr>
      <w:tr w14:paraId="48BFD8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4E993389">
            <w:pPr>
              <w:pStyle w:val="186"/>
              <w:widowControl w:val="0"/>
              <w:spacing w:line="240" w:lineRule="auto"/>
              <w:ind w:firstLine="0"/>
              <w:jc w:val="left"/>
            </w:pPr>
            <w:r>
              <w:rPr>
                <w:rFonts w:hint="eastAsia"/>
              </w:rPr>
              <w:t>连接数</w:t>
            </w:r>
          </w:p>
        </w:tc>
        <w:tc>
          <w:tcPr>
            <w:tcW w:w="7375" w:type="dxa"/>
            <w:shd w:val="clear" w:color="auto" w:fill="auto"/>
          </w:tcPr>
          <w:p w14:paraId="665AE995">
            <w:pPr>
              <w:pStyle w:val="186"/>
              <w:widowControl w:val="0"/>
              <w:spacing w:line="240" w:lineRule="auto"/>
              <w:ind w:firstLine="0"/>
              <w:jc w:val="left"/>
            </w:pPr>
            <w:r>
              <w:rPr>
                <w:rFonts w:hint="eastAsia"/>
              </w:rPr>
              <w:t>会话上</w:t>
            </w:r>
            <w:r>
              <w:t>对应的连接</w:t>
            </w:r>
            <w:r>
              <w:rPr>
                <w:rFonts w:hint="eastAsia"/>
              </w:rPr>
              <w:t>个数</w:t>
            </w:r>
            <w:r>
              <w:t>。</w:t>
            </w:r>
          </w:p>
        </w:tc>
      </w:tr>
      <w:tr w14:paraId="1BCDE9D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02E7BBF1">
            <w:pPr>
              <w:pStyle w:val="186"/>
              <w:widowControl w:val="0"/>
              <w:spacing w:line="240" w:lineRule="auto"/>
              <w:ind w:firstLine="0"/>
              <w:jc w:val="left"/>
            </w:pPr>
            <w:r>
              <w:rPr>
                <w:rFonts w:hint="eastAsia"/>
              </w:rPr>
              <w:t>会话</w:t>
            </w:r>
            <w:r>
              <w:t>过滤</w:t>
            </w:r>
          </w:p>
        </w:tc>
        <w:tc>
          <w:tcPr>
            <w:tcW w:w="7375" w:type="dxa"/>
            <w:shd w:val="clear" w:color="auto" w:fill="auto"/>
          </w:tcPr>
          <w:p w14:paraId="0F21B949">
            <w:pPr>
              <w:pStyle w:val="186"/>
              <w:widowControl w:val="0"/>
              <w:spacing w:line="240" w:lineRule="auto"/>
              <w:ind w:firstLine="0"/>
              <w:jc w:val="left"/>
            </w:pPr>
            <w:r>
              <w:rPr>
                <w:rFonts w:hint="eastAsia"/>
              </w:rPr>
              <w:t>点击</w:t>
            </w:r>
            <w:r>
              <w:t>会话过滤可以直接查看该会话的详细会话列表，直接跳转到会话监控页面展示。</w:t>
            </w:r>
          </w:p>
        </w:tc>
      </w:tr>
    </w:tbl>
    <w:p w14:paraId="45915A37"/>
    <w:p w14:paraId="743EB9C8">
      <w:pPr>
        <w:pStyle w:val="6"/>
      </w:pPr>
      <w:bookmarkStart w:id="744" w:name="_Toc11342791"/>
      <w:r>
        <w:rPr>
          <w:rFonts w:hint="eastAsia"/>
        </w:rPr>
        <w:t>会话</w:t>
      </w:r>
      <w:r>
        <w:t>监控</w:t>
      </w:r>
      <w:bookmarkEnd w:id="744"/>
    </w:p>
    <w:p w14:paraId="256A2AA3">
      <w:r>
        <w:rPr>
          <w:rFonts w:hint="eastAsia"/>
        </w:rPr>
        <w:t>通过菜单“数据中心&gt;数据分析&gt;会话</w:t>
      </w:r>
      <w:r>
        <w:t>监控统计&gt;</w:t>
      </w:r>
      <w:r>
        <w:rPr>
          <w:rFonts w:hint="eastAsia"/>
        </w:rPr>
        <w:t>会话监控”，进入如</w:t>
      </w:r>
      <w:r>
        <w:rPr>
          <w:color w:val="0000FF"/>
          <w:u w:val="single"/>
        </w:rPr>
        <w:fldChar w:fldCharType="begin"/>
      </w:r>
      <w:r>
        <w:instrText xml:space="preserve"> </w:instrText>
      </w:r>
      <w:r>
        <w:rPr>
          <w:rFonts w:hint="eastAsia"/>
        </w:rPr>
        <w:instrText xml:space="preserve">REF _Ref15477610 \r \h</w:instrText>
      </w:r>
      <w:r>
        <w:instrText xml:space="preserve"> </w:instrText>
      </w:r>
      <w:r>
        <w:rPr>
          <w:color w:val="0000FF"/>
          <w:u w:val="single"/>
        </w:rPr>
        <w:fldChar w:fldCharType="separate"/>
      </w:r>
      <w:r>
        <w:rPr>
          <w:rFonts w:hint="eastAsia"/>
        </w:rPr>
        <w:t>图4-54</w:t>
      </w:r>
      <w:r>
        <w:rPr>
          <w:color w:val="0000FF"/>
          <w:u w:val="single"/>
        </w:rPr>
        <w:fldChar w:fldCharType="end"/>
      </w:r>
      <w:r>
        <w:rPr>
          <w:rFonts w:hint="eastAsia"/>
        </w:rPr>
        <w:t>所示页面。在</w:t>
      </w:r>
      <w:r>
        <w:t>该页面可以</w:t>
      </w:r>
      <w:r>
        <w:rPr>
          <w:rFonts w:hint="eastAsia"/>
        </w:rPr>
        <w:t>查看</w:t>
      </w:r>
      <w:r>
        <w:t>设备上的详细会话，</w:t>
      </w:r>
      <w:r>
        <w:rPr>
          <w:rFonts w:hint="eastAsia"/>
        </w:rPr>
        <w:t>也</w:t>
      </w:r>
      <w:r>
        <w:t>可以根据指定</w:t>
      </w:r>
      <w:r>
        <w:rPr>
          <w:rFonts w:hint="eastAsia"/>
        </w:rPr>
        <w:t>条件</w:t>
      </w:r>
      <w:r>
        <w:t>查询会话信息</w:t>
      </w:r>
      <w:r>
        <w:rPr>
          <w:rFonts w:hint="eastAsia"/>
        </w:rPr>
        <w:t>。</w:t>
      </w:r>
    </w:p>
    <w:p w14:paraId="74F28827">
      <w:pPr>
        <w:pStyle w:val="188"/>
      </w:pPr>
      <w:bookmarkStart w:id="745" w:name="_Ref15477610"/>
      <w:bookmarkStart w:id="746" w:name="_Toc141874431"/>
      <w:r>
        <w:rPr>
          <w:rFonts w:hint="eastAsia"/>
        </w:rPr>
        <w:t>会话</w:t>
      </w:r>
      <w:r>
        <w:t>监控</w:t>
      </w:r>
      <w:r>
        <w:rPr>
          <w:rFonts w:hint="eastAsia"/>
        </w:rPr>
        <w:t>页面</w:t>
      </w:r>
      <w:bookmarkEnd w:id="745"/>
      <w:bookmarkEnd w:id="746"/>
    </w:p>
    <w:p w14:paraId="175E3150">
      <w:pPr>
        <w:spacing w:before="79" w:after="79"/>
      </w:pPr>
      <w:r>
        <w:drawing>
          <wp:inline distT="0" distB="0" distL="0" distR="0">
            <wp:extent cx="5238750" cy="1710055"/>
            <wp:effectExtent l="0" t="0" r="0" b="4445"/>
            <wp:docPr id="396"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6"/>
                    <pic:cNvPicPr>
                      <a:picLocks noChangeAspect="1"/>
                    </pic:cNvPicPr>
                  </pic:nvPicPr>
                  <pic:blipFill>
                    <a:blip r:embed="rId119"/>
                    <a:stretch>
                      <a:fillRect/>
                    </a:stretch>
                  </pic:blipFill>
                  <pic:spPr>
                    <a:xfrm>
                      <a:off x="0" y="0"/>
                      <a:ext cx="5286764" cy="1726056"/>
                    </a:xfrm>
                    <a:prstGeom prst="rect">
                      <a:avLst/>
                    </a:prstGeom>
                  </pic:spPr>
                </pic:pic>
              </a:graphicData>
            </a:graphic>
          </wp:inline>
        </w:drawing>
      </w:r>
    </w:p>
    <w:p w14:paraId="13968855"/>
    <w:p w14:paraId="10F8D62F">
      <w:r>
        <w:rPr>
          <w:rFonts w:hint="eastAsia"/>
        </w:rPr>
        <w:t>会话</w:t>
      </w:r>
      <w:r>
        <w:t>监控</w:t>
      </w:r>
      <w:r>
        <w:rPr>
          <w:rFonts w:hint="eastAsia"/>
        </w:rPr>
        <w:t>页面默认</w:t>
      </w:r>
      <w:r>
        <w:t>会话列展示项详细说明如</w:t>
      </w:r>
      <w:r>
        <w:rPr>
          <w:color w:val="0000FF"/>
          <w:u w:val="single"/>
        </w:rPr>
        <w:fldChar w:fldCharType="begin"/>
      </w:r>
      <w:r>
        <w:instrText xml:space="preserve"> REF _Ref15477615 \r \h </w:instrText>
      </w:r>
      <w:r>
        <w:rPr>
          <w:color w:val="0000FF"/>
          <w:u w:val="single"/>
        </w:rPr>
        <w:fldChar w:fldCharType="separate"/>
      </w:r>
      <w:r>
        <w:rPr>
          <w:rFonts w:hint="eastAsia"/>
        </w:rPr>
        <w:t>表4-1</w:t>
      </w:r>
      <w:r>
        <w:rPr>
          <w:color w:val="0000FF"/>
          <w:u w:val="single"/>
        </w:rPr>
        <w:fldChar w:fldCharType="end"/>
      </w:r>
      <w:r>
        <w:t>所示。</w:t>
      </w:r>
    </w:p>
    <w:p w14:paraId="353D907B">
      <w:pPr>
        <w:pStyle w:val="183"/>
      </w:pPr>
      <w:bookmarkStart w:id="747" w:name="_Toc141875398"/>
      <w:bookmarkStart w:id="748" w:name="_Ref15477615"/>
      <w:r>
        <w:rPr>
          <w:rFonts w:hint="eastAsia"/>
        </w:rPr>
        <w:t>会话</w:t>
      </w:r>
      <w:r>
        <w:t>监控页面默认</w:t>
      </w:r>
      <w:r>
        <w:rPr>
          <w:rFonts w:hint="eastAsia"/>
        </w:rPr>
        <w:t>会话</w:t>
      </w:r>
      <w:r>
        <w:t>列展示项</w:t>
      </w:r>
      <w:r>
        <w:rPr>
          <w:rFonts w:hint="eastAsia"/>
        </w:rPr>
        <w:t>详细</w:t>
      </w:r>
      <w:r>
        <w:t>说明表</w:t>
      </w:r>
      <w:bookmarkEnd w:id="747"/>
      <w:bookmarkEnd w:id="748"/>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065"/>
        <w:gridCol w:w="6949"/>
      </w:tblGrid>
      <w:tr w14:paraId="1B31284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tcBorders>
              <w:tl2br w:val="nil"/>
              <w:tr2bl w:val="nil"/>
            </w:tcBorders>
            <w:shd w:val="clear" w:color="auto" w:fill="538135" w:themeFill="accent6" w:themeFillShade="BF"/>
            <w:vAlign w:val="center"/>
          </w:tcPr>
          <w:p w14:paraId="15DC9C7F">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949" w:type="dxa"/>
            <w:tcBorders>
              <w:tl2br w:val="nil"/>
              <w:tr2bl w:val="nil"/>
            </w:tcBorders>
            <w:shd w:val="clear" w:color="auto" w:fill="538135" w:themeFill="accent6" w:themeFillShade="BF"/>
            <w:vAlign w:val="center"/>
          </w:tcPr>
          <w:p w14:paraId="4B6C777F">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8D76B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47E380F7">
            <w:pPr>
              <w:pStyle w:val="186"/>
              <w:widowControl w:val="0"/>
              <w:spacing w:line="240" w:lineRule="auto"/>
              <w:ind w:firstLine="0"/>
              <w:jc w:val="left"/>
            </w:pPr>
            <w:r>
              <w:rPr>
                <w:rFonts w:hint="eastAsia"/>
              </w:rPr>
              <w:t>用户</w:t>
            </w:r>
          </w:p>
        </w:tc>
        <w:tc>
          <w:tcPr>
            <w:tcW w:w="6949" w:type="dxa"/>
            <w:shd w:val="clear" w:color="auto" w:fill="auto"/>
          </w:tcPr>
          <w:p w14:paraId="7DD754A6">
            <w:pPr>
              <w:pStyle w:val="186"/>
              <w:widowControl w:val="0"/>
              <w:spacing w:line="240" w:lineRule="auto"/>
              <w:ind w:firstLine="0"/>
              <w:jc w:val="left"/>
            </w:pPr>
            <w:r>
              <w:rPr>
                <w:rFonts w:hint="eastAsia"/>
              </w:rPr>
              <w:t>用户</w:t>
            </w:r>
            <w:r>
              <w:t>组织</w:t>
            </w:r>
            <w:r>
              <w:rPr>
                <w:rFonts w:hint="eastAsia"/>
              </w:rPr>
              <w:t>结构</w:t>
            </w:r>
            <w:r>
              <w:t>上对应的用户名</w:t>
            </w:r>
            <w:r>
              <w:rPr>
                <w:rFonts w:hint="eastAsia"/>
              </w:rPr>
              <w:t>，</w:t>
            </w:r>
            <w:r>
              <w:t>如用户</w:t>
            </w:r>
            <w:r>
              <w:rPr>
                <w:rFonts w:hint="eastAsia"/>
              </w:rPr>
              <w:t>不在</w:t>
            </w:r>
            <w:r>
              <w:t>识别范围内，</w:t>
            </w:r>
            <w:r>
              <w:rPr>
                <w:rFonts w:hint="eastAsia"/>
              </w:rPr>
              <w:t>此项显示</w:t>
            </w:r>
            <w:r>
              <w:t>为空</w:t>
            </w:r>
            <w:r>
              <w:rPr>
                <w:rFonts w:hint="eastAsia"/>
              </w:rPr>
              <w:t>。</w:t>
            </w:r>
          </w:p>
        </w:tc>
      </w:tr>
      <w:tr w14:paraId="088FBDE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0B349599">
            <w:pPr>
              <w:pStyle w:val="186"/>
              <w:widowControl w:val="0"/>
              <w:spacing w:line="240" w:lineRule="auto"/>
              <w:ind w:firstLine="0"/>
              <w:jc w:val="left"/>
            </w:pPr>
            <w:r>
              <w:rPr>
                <w:rFonts w:hint="eastAsia"/>
              </w:rPr>
              <w:t>用户组</w:t>
            </w:r>
          </w:p>
        </w:tc>
        <w:tc>
          <w:tcPr>
            <w:tcW w:w="6949" w:type="dxa"/>
            <w:shd w:val="clear" w:color="auto" w:fill="auto"/>
          </w:tcPr>
          <w:p w14:paraId="7B5BB731">
            <w:pPr>
              <w:pStyle w:val="186"/>
              <w:widowControl w:val="0"/>
              <w:spacing w:line="240" w:lineRule="auto"/>
              <w:ind w:firstLine="0"/>
              <w:jc w:val="left"/>
            </w:pPr>
            <w:r>
              <w:rPr>
                <w:rFonts w:hint="eastAsia"/>
              </w:rPr>
              <w:t>用户</w:t>
            </w:r>
            <w:r>
              <w:t>组织</w:t>
            </w:r>
            <w:r>
              <w:rPr>
                <w:rFonts w:hint="eastAsia"/>
              </w:rPr>
              <w:t>结构</w:t>
            </w:r>
            <w:r>
              <w:t>上对应的用户组</w:t>
            </w:r>
            <w:r>
              <w:rPr>
                <w:rFonts w:hint="eastAsia"/>
              </w:rPr>
              <w:t>，</w:t>
            </w:r>
            <w:r>
              <w:t>如用户</w:t>
            </w:r>
            <w:r>
              <w:rPr>
                <w:rFonts w:hint="eastAsia"/>
              </w:rPr>
              <w:t>不在</w:t>
            </w:r>
            <w:r>
              <w:t>识别范围内，</w:t>
            </w:r>
            <w:r>
              <w:rPr>
                <w:rFonts w:hint="eastAsia"/>
              </w:rPr>
              <w:t>此项显示</w:t>
            </w:r>
            <w:r>
              <w:t>为空</w:t>
            </w:r>
            <w:r>
              <w:rPr>
                <w:rFonts w:hint="eastAsia"/>
              </w:rPr>
              <w:t>。</w:t>
            </w:r>
          </w:p>
        </w:tc>
      </w:tr>
      <w:tr w14:paraId="1FDE335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0D740395">
            <w:pPr>
              <w:pStyle w:val="186"/>
              <w:widowControl w:val="0"/>
              <w:spacing w:line="240" w:lineRule="auto"/>
              <w:ind w:firstLine="0"/>
              <w:jc w:val="left"/>
            </w:pPr>
            <w:r>
              <w:rPr>
                <w:rFonts w:hint="eastAsia"/>
              </w:rPr>
              <w:t>源地址</w:t>
            </w:r>
          </w:p>
        </w:tc>
        <w:tc>
          <w:tcPr>
            <w:tcW w:w="6949" w:type="dxa"/>
            <w:shd w:val="clear" w:color="auto" w:fill="auto"/>
          </w:tcPr>
          <w:p w14:paraId="36BA305D">
            <w:pPr>
              <w:pStyle w:val="186"/>
              <w:widowControl w:val="0"/>
              <w:spacing w:line="240" w:lineRule="auto"/>
              <w:ind w:firstLine="0"/>
              <w:jc w:val="left"/>
            </w:pPr>
            <w:r>
              <w:rPr>
                <w:rFonts w:hint="eastAsia"/>
              </w:rPr>
              <w:t>会话发起方IP地址或根据识别</w:t>
            </w:r>
            <w:r>
              <w:t>范围</w:t>
            </w:r>
            <w:r>
              <w:rPr>
                <w:rFonts w:hint="eastAsia"/>
              </w:rPr>
              <w:t>配置确定的源IP地址</w:t>
            </w:r>
            <w:r>
              <w:t>。</w:t>
            </w:r>
          </w:p>
        </w:tc>
      </w:tr>
      <w:tr w14:paraId="7C5F0A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2A640BA9">
            <w:pPr>
              <w:pStyle w:val="186"/>
              <w:widowControl w:val="0"/>
              <w:spacing w:line="240" w:lineRule="auto"/>
              <w:ind w:firstLine="0"/>
              <w:jc w:val="left"/>
            </w:pPr>
            <w:r>
              <w:rPr>
                <w:rFonts w:hint="eastAsia"/>
              </w:rPr>
              <w:t>源端口</w:t>
            </w:r>
          </w:p>
        </w:tc>
        <w:tc>
          <w:tcPr>
            <w:tcW w:w="6949" w:type="dxa"/>
            <w:shd w:val="clear" w:color="auto" w:fill="auto"/>
          </w:tcPr>
          <w:p w14:paraId="5B202CAF">
            <w:pPr>
              <w:pStyle w:val="186"/>
              <w:widowControl w:val="0"/>
              <w:spacing w:line="240" w:lineRule="auto"/>
              <w:ind w:firstLine="0"/>
              <w:jc w:val="left"/>
            </w:pPr>
            <w:r>
              <w:rPr>
                <w:rFonts w:hint="eastAsia"/>
              </w:rPr>
              <w:t>与</w:t>
            </w:r>
            <w:r>
              <w:t>源地址同一方的端口。</w:t>
            </w:r>
          </w:p>
        </w:tc>
      </w:tr>
      <w:tr w14:paraId="64AC7B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652A0F53">
            <w:pPr>
              <w:pStyle w:val="186"/>
              <w:widowControl w:val="0"/>
              <w:spacing w:line="240" w:lineRule="auto"/>
              <w:ind w:firstLine="0"/>
              <w:jc w:val="left"/>
            </w:pPr>
            <w:r>
              <w:rPr>
                <w:rFonts w:hint="eastAsia"/>
              </w:rPr>
              <w:t>目的</w:t>
            </w:r>
            <w:r>
              <w:t>地址</w:t>
            </w:r>
          </w:p>
        </w:tc>
        <w:tc>
          <w:tcPr>
            <w:tcW w:w="6949" w:type="dxa"/>
            <w:shd w:val="clear" w:color="auto" w:fill="auto"/>
          </w:tcPr>
          <w:p w14:paraId="199ADA11">
            <w:pPr>
              <w:pStyle w:val="186"/>
              <w:widowControl w:val="0"/>
              <w:spacing w:line="240" w:lineRule="auto"/>
              <w:ind w:firstLine="0"/>
              <w:jc w:val="left"/>
            </w:pPr>
            <w:r>
              <w:rPr>
                <w:rFonts w:hint="eastAsia"/>
              </w:rPr>
              <w:t>会话</w:t>
            </w:r>
            <w:r>
              <w:t>响应方</w:t>
            </w:r>
            <w:r>
              <w:rPr>
                <w:rFonts w:hint="eastAsia"/>
              </w:rPr>
              <w:t>IP地址</w:t>
            </w:r>
            <w:r>
              <w:t>或</w:t>
            </w:r>
            <w:r>
              <w:rPr>
                <w:rFonts w:hint="eastAsia"/>
              </w:rPr>
              <w:t>根据</w:t>
            </w:r>
            <w:r>
              <w:t>识别范围配置确定的</w:t>
            </w:r>
            <w:r>
              <w:rPr>
                <w:rFonts w:hint="eastAsia"/>
              </w:rPr>
              <w:t>目的IP地址</w:t>
            </w:r>
            <w:r>
              <w:t>。</w:t>
            </w:r>
          </w:p>
        </w:tc>
      </w:tr>
      <w:tr w14:paraId="443937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4814F3E1">
            <w:pPr>
              <w:pStyle w:val="186"/>
              <w:widowControl w:val="0"/>
              <w:spacing w:line="240" w:lineRule="auto"/>
              <w:ind w:firstLine="0"/>
              <w:jc w:val="left"/>
            </w:pPr>
            <w:r>
              <w:rPr>
                <w:rFonts w:hint="eastAsia"/>
              </w:rPr>
              <w:t>目的</w:t>
            </w:r>
            <w:r>
              <w:t>端口</w:t>
            </w:r>
          </w:p>
        </w:tc>
        <w:tc>
          <w:tcPr>
            <w:tcW w:w="6949" w:type="dxa"/>
            <w:shd w:val="clear" w:color="auto" w:fill="auto"/>
          </w:tcPr>
          <w:p w14:paraId="66DCEB3B">
            <w:pPr>
              <w:pStyle w:val="186"/>
              <w:widowControl w:val="0"/>
              <w:spacing w:line="240" w:lineRule="auto"/>
              <w:ind w:firstLine="0"/>
              <w:jc w:val="left"/>
            </w:pPr>
            <w:r>
              <w:rPr>
                <w:rFonts w:hint="eastAsia"/>
              </w:rPr>
              <w:t>与</w:t>
            </w:r>
            <w:r>
              <w:t>目的地址同一方的端口</w:t>
            </w:r>
            <w:r>
              <w:rPr>
                <w:rFonts w:hint="eastAsia"/>
              </w:rPr>
              <w:t>。</w:t>
            </w:r>
          </w:p>
        </w:tc>
      </w:tr>
      <w:tr w14:paraId="24B626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6208DBDA">
            <w:pPr>
              <w:pStyle w:val="186"/>
              <w:widowControl w:val="0"/>
              <w:spacing w:line="240" w:lineRule="auto"/>
              <w:ind w:firstLine="0"/>
              <w:jc w:val="left"/>
            </w:pPr>
            <w:r>
              <w:rPr>
                <w:rFonts w:hint="eastAsia"/>
              </w:rPr>
              <w:t>协议</w:t>
            </w:r>
          </w:p>
        </w:tc>
        <w:tc>
          <w:tcPr>
            <w:tcW w:w="6949" w:type="dxa"/>
            <w:shd w:val="clear" w:color="auto" w:fill="auto"/>
          </w:tcPr>
          <w:p w14:paraId="08E718FC">
            <w:pPr>
              <w:pStyle w:val="186"/>
              <w:widowControl w:val="0"/>
              <w:spacing w:line="240" w:lineRule="auto"/>
              <w:ind w:firstLine="0"/>
              <w:jc w:val="left"/>
            </w:pPr>
            <w:r>
              <w:t>IP</w:t>
            </w:r>
            <w:r>
              <w:rPr>
                <w:rFonts w:hint="eastAsia"/>
              </w:rPr>
              <w:t>协议号，</w:t>
            </w:r>
            <w:r>
              <w:t>TCP/UDP/ICMP/IGMP</w:t>
            </w:r>
            <w:r>
              <w:rPr>
                <w:rFonts w:hint="eastAsia"/>
              </w:rPr>
              <w:t>，如果有其他的协议，直接显示协议号。</w:t>
            </w:r>
          </w:p>
        </w:tc>
      </w:tr>
      <w:tr w14:paraId="7122CF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7AEC39B9">
            <w:pPr>
              <w:pStyle w:val="186"/>
              <w:widowControl w:val="0"/>
              <w:spacing w:line="240" w:lineRule="auto"/>
              <w:ind w:firstLine="0"/>
              <w:jc w:val="left"/>
            </w:pPr>
            <w:r>
              <w:rPr>
                <w:rFonts w:hint="eastAsia"/>
              </w:rPr>
              <w:t>类型</w:t>
            </w:r>
          </w:p>
        </w:tc>
        <w:tc>
          <w:tcPr>
            <w:tcW w:w="6949" w:type="dxa"/>
            <w:shd w:val="clear" w:color="auto" w:fill="auto"/>
          </w:tcPr>
          <w:p w14:paraId="536F5528">
            <w:pPr>
              <w:pStyle w:val="186"/>
              <w:widowControl w:val="0"/>
              <w:spacing w:line="240" w:lineRule="auto"/>
              <w:ind w:firstLine="0"/>
              <w:jc w:val="left"/>
            </w:pPr>
            <w:r>
              <w:rPr>
                <w:rFonts w:hint="eastAsia"/>
              </w:rPr>
              <w:t>会话</w:t>
            </w:r>
            <w:r>
              <w:t>连接类型，主要有半连接和全连接两种</w:t>
            </w:r>
            <w:r>
              <w:rPr>
                <w:rFonts w:hint="eastAsia"/>
              </w:rPr>
              <w:t>。</w:t>
            </w:r>
          </w:p>
        </w:tc>
      </w:tr>
      <w:tr w14:paraId="3A3C8E3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5F811CE7">
            <w:pPr>
              <w:pStyle w:val="186"/>
              <w:widowControl w:val="0"/>
              <w:spacing w:line="240" w:lineRule="auto"/>
              <w:ind w:firstLine="0"/>
              <w:jc w:val="left"/>
            </w:pPr>
            <w:r>
              <w:rPr>
                <w:rFonts w:hint="eastAsia"/>
              </w:rPr>
              <w:t>应用</w:t>
            </w:r>
          </w:p>
        </w:tc>
        <w:tc>
          <w:tcPr>
            <w:tcW w:w="6949" w:type="dxa"/>
            <w:shd w:val="clear" w:color="auto" w:fill="auto"/>
          </w:tcPr>
          <w:p w14:paraId="773EAB3F">
            <w:pPr>
              <w:pStyle w:val="186"/>
              <w:widowControl w:val="0"/>
              <w:spacing w:line="240" w:lineRule="auto"/>
              <w:ind w:firstLine="0"/>
              <w:jc w:val="left"/>
            </w:pPr>
            <w:r>
              <w:rPr>
                <w:rFonts w:hint="eastAsia"/>
              </w:rPr>
              <w:t>应用识别模块审计到会话访问的应用。</w:t>
            </w:r>
          </w:p>
        </w:tc>
      </w:tr>
      <w:tr w14:paraId="2AFC02C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4028B769">
            <w:pPr>
              <w:pStyle w:val="186"/>
              <w:widowControl w:val="0"/>
              <w:spacing w:line="240" w:lineRule="auto"/>
              <w:ind w:firstLine="0"/>
              <w:jc w:val="left"/>
            </w:pPr>
            <w:r>
              <w:rPr>
                <w:rFonts w:hint="eastAsia"/>
              </w:rPr>
              <w:t>发送</w:t>
            </w:r>
            <w:r>
              <w:t>流量</w:t>
            </w:r>
          </w:p>
        </w:tc>
        <w:tc>
          <w:tcPr>
            <w:tcW w:w="6949" w:type="dxa"/>
            <w:shd w:val="clear" w:color="auto" w:fill="auto"/>
          </w:tcPr>
          <w:p w14:paraId="75111267">
            <w:pPr>
              <w:pStyle w:val="186"/>
              <w:widowControl w:val="0"/>
              <w:spacing w:line="240" w:lineRule="auto"/>
              <w:ind w:firstLine="0"/>
              <w:jc w:val="left"/>
            </w:pPr>
            <w:r>
              <w:rPr>
                <w:rFonts w:hint="eastAsia"/>
              </w:rPr>
              <w:t>会话发送的字节</w:t>
            </w:r>
            <w:r>
              <w:t>。</w:t>
            </w:r>
          </w:p>
        </w:tc>
      </w:tr>
      <w:tr w14:paraId="3ACEF65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2102CABC">
            <w:pPr>
              <w:pStyle w:val="186"/>
              <w:widowControl w:val="0"/>
              <w:spacing w:line="240" w:lineRule="auto"/>
              <w:ind w:firstLine="0"/>
              <w:jc w:val="left"/>
            </w:pPr>
            <w:r>
              <w:rPr>
                <w:rFonts w:hint="eastAsia"/>
              </w:rPr>
              <w:t>接收</w:t>
            </w:r>
            <w:r>
              <w:t>流量</w:t>
            </w:r>
          </w:p>
        </w:tc>
        <w:tc>
          <w:tcPr>
            <w:tcW w:w="6949" w:type="dxa"/>
            <w:shd w:val="clear" w:color="auto" w:fill="auto"/>
          </w:tcPr>
          <w:p w14:paraId="03284440">
            <w:pPr>
              <w:pStyle w:val="186"/>
              <w:widowControl w:val="0"/>
              <w:spacing w:line="240" w:lineRule="auto"/>
              <w:ind w:firstLine="0"/>
              <w:jc w:val="left"/>
            </w:pPr>
            <w:r>
              <w:rPr>
                <w:rFonts w:hint="eastAsia"/>
              </w:rPr>
              <w:t>会话接收的</w:t>
            </w:r>
            <w:r>
              <w:t>字节。</w:t>
            </w:r>
          </w:p>
        </w:tc>
      </w:tr>
      <w:tr w14:paraId="7096E6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30CD05BB">
            <w:pPr>
              <w:pStyle w:val="186"/>
              <w:widowControl w:val="0"/>
              <w:spacing w:line="240" w:lineRule="auto"/>
              <w:ind w:firstLine="0"/>
              <w:jc w:val="left"/>
            </w:pPr>
            <w:r>
              <w:rPr>
                <w:rFonts w:hint="eastAsia"/>
              </w:rPr>
              <w:t>总</w:t>
            </w:r>
            <w:r>
              <w:t>流量</w:t>
            </w:r>
          </w:p>
        </w:tc>
        <w:tc>
          <w:tcPr>
            <w:tcW w:w="6949" w:type="dxa"/>
            <w:shd w:val="clear" w:color="auto" w:fill="auto"/>
          </w:tcPr>
          <w:p w14:paraId="4461A229">
            <w:pPr>
              <w:pStyle w:val="186"/>
              <w:widowControl w:val="0"/>
              <w:spacing w:line="240" w:lineRule="auto"/>
              <w:ind w:firstLine="0"/>
              <w:jc w:val="left"/>
            </w:pPr>
            <w:r>
              <w:rPr>
                <w:rFonts w:hint="eastAsia"/>
              </w:rPr>
              <w:t>会话从建立开始到目前为止的发送流量和接收流量之和。</w:t>
            </w:r>
          </w:p>
        </w:tc>
      </w:tr>
      <w:tr w14:paraId="4176FD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6821DDA7">
            <w:pPr>
              <w:pStyle w:val="186"/>
              <w:widowControl w:val="0"/>
              <w:spacing w:line="240" w:lineRule="auto"/>
              <w:ind w:firstLine="0"/>
              <w:jc w:val="left"/>
            </w:pPr>
            <w:r>
              <w:rPr>
                <w:rFonts w:hint="eastAsia"/>
              </w:rPr>
              <w:t>创建</w:t>
            </w:r>
            <w:r>
              <w:t>时间</w:t>
            </w:r>
          </w:p>
        </w:tc>
        <w:tc>
          <w:tcPr>
            <w:tcW w:w="6949" w:type="dxa"/>
            <w:shd w:val="clear" w:color="auto" w:fill="auto"/>
          </w:tcPr>
          <w:p w14:paraId="76414813">
            <w:pPr>
              <w:pStyle w:val="186"/>
              <w:widowControl w:val="0"/>
              <w:spacing w:line="240" w:lineRule="auto"/>
              <w:ind w:firstLine="0"/>
              <w:jc w:val="left"/>
            </w:pPr>
            <w:r>
              <w:rPr>
                <w:rFonts w:hint="eastAsia"/>
              </w:rPr>
              <w:t>会话</w:t>
            </w:r>
            <w:r>
              <w:t>创建的时间。</w:t>
            </w:r>
          </w:p>
        </w:tc>
      </w:tr>
    </w:tbl>
    <w:p w14:paraId="0CD9E17D"/>
    <w:p w14:paraId="1DAC2D9D">
      <w:r>
        <w:rPr>
          <w:rFonts w:hint="eastAsia"/>
        </w:rPr>
        <w:t>会话</w:t>
      </w:r>
      <w:r>
        <w:t>监控查询</w:t>
      </w:r>
    </w:p>
    <w:p w14:paraId="715E9229">
      <w:r>
        <w:rPr>
          <w:rFonts w:hint="eastAsia"/>
        </w:rPr>
        <w:t>会话监控</w:t>
      </w:r>
      <w:r>
        <w:t>下拉框查询</w:t>
      </w:r>
      <w:r>
        <w:rPr>
          <w:rFonts w:hint="eastAsia"/>
        </w:rPr>
        <w:t>，下拉选中某个字段，就会作为过滤条件，过滤出满足条件的所有会话信息。过滤条件有</w:t>
      </w:r>
      <w:r>
        <w:t>TCP</w:t>
      </w:r>
      <w:r>
        <w:rPr>
          <w:rFonts w:hint="eastAsia"/>
        </w:rPr>
        <w:t>、</w:t>
      </w:r>
      <w:r>
        <w:t>UDP</w:t>
      </w:r>
      <w:r>
        <w:rPr>
          <w:rFonts w:hint="eastAsia"/>
        </w:rPr>
        <w:t>、</w:t>
      </w:r>
      <w:r>
        <w:t>ICMP</w:t>
      </w:r>
      <w:r>
        <w:rPr>
          <w:rFonts w:hint="eastAsia"/>
        </w:rPr>
        <w:t>、其他协议、组播、广播、全连接、半连接、本地连接、长连接、允许、拒绝、</w:t>
      </w:r>
      <w:r>
        <w:t>SNAT</w:t>
      </w:r>
      <w:r>
        <w:rPr>
          <w:rFonts w:hint="eastAsia"/>
        </w:rPr>
        <w:t>，</w:t>
      </w:r>
      <w:r>
        <w:t>DNAT</w:t>
      </w:r>
      <w:r>
        <w:rPr>
          <w:rFonts w:hint="eastAsia"/>
        </w:rPr>
        <w:t>。默认是无任何过滤条件的。会话时长超过半个小时的就标记为长连接。如</w:t>
      </w:r>
      <w:r>
        <w:rPr>
          <w:color w:val="0000FF"/>
          <w:u w:val="single"/>
        </w:rPr>
        <w:fldChar w:fldCharType="begin"/>
      </w:r>
      <w:r>
        <w:instrText xml:space="preserve"> </w:instrText>
      </w:r>
      <w:r>
        <w:rPr>
          <w:rFonts w:hint="eastAsia"/>
        </w:rPr>
        <w:instrText xml:space="preserve">REF _Ref15477622 \r \h</w:instrText>
      </w:r>
      <w:r>
        <w:instrText xml:space="preserve"> </w:instrText>
      </w:r>
      <w:r>
        <w:rPr>
          <w:color w:val="0000FF"/>
          <w:u w:val="single"/>
        </w:rPr>
        <w:fldChar w:fldCharType="separate"/>
      </w:r>
      <w:r>
        <w:rPr>
          <w:rFonts w:hint="eastAsia"/>
        </w:rPr>
        <w:t>图4-55</w:t>
      </w:r>
      <w:r>
        <w:rPr>
          <w:color w:val="0000FF"/>
          <w:u w:val="single"/>
        </w:rPr>
        <w:fldChar w:fldCharType="end"/>
      </w:r>
      <w:r>
        <w:t>所示，默认显示</w:t>
      </w:r>
      <w:r>
        <w:rPr>
          <w:rFonts w:hint="eastAsia"/>
        </w:rPr>
        <w:t>所有</w:t>
      </w:r>
      <w:r>
        <w:t>条件的会话信息。</w:t>
      </w:r>
    </w:p>
    <w:p w14:paraId="541A1C97">
      <w:pPr>
        <w:pStyle w:val="188"/>
      </w:pPr>
      <w:bookmarkStart w:id="749" w:name="_Toc141874432"/>
      <w:bookmarkStart w:id="750" w:name="_Ref15477622"/>
      <w:r>
        <w:rPr>
          <w:rFonts w:hint="eastAsia"/>
        </w:rPr>
        <w:t>会话</w:t>
      </w:r>
      <w:r>
        <w:t>监控下拉框查询</w:t>
      </w:r>
      <w:bookmarkEnd w:id="749"/>
      <w:bookmarkEnd w:id="750"/>
    </w:p>
    <w:p w14:paraId="08C7A3B3">
      <w:pPr>
        <w:spacing w:before="79" w:after="79"/>
      </w:pPr>
      <w:r>
        <w:drawing>
          <wp:inline distT="0" distB="0" distL="0" distR="0">
            <wp:extent cx="2428875" cy="2352675"/>
            <wp:effectExtent l="0" t="0" r="0" b="9525"/>
            <wp:docPr id="397"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7"/>
                    <pic:cNvPicPr>
                      <a:picLocks noChangeAspect="1"/>
                    </pic:cNvPicPr>
                  </pic:nvPicPr>
                  <pic:blipFill>
                    <a:blip r:embed="rId120"/>
                    <a:stretch>
                      <a:fillRect/>
                    </a:stretch>
                  </pic:blipFill>
                  <pic:spPr>
                    <a:xfrm>
                      <a:off x="0" y="0"/>
                      <a:ext cx="2432968" cy="2356674"/>
                    </a:xfrm>
                    <a:prstGeom prst="rect">
                      <a:avLst/>
                    </a:prstGeom>
                  </pic:spPr>
                </pic:pic>
              </a:graphicData>
            </a:graphic>
          </wp:inline>
        </w:drawing>
      </w:r>
    </w:p>
    <w:p w14:paraId="6DDFD182"/>
    <w:p w14:paraId="3E754D01">
      <w:r>
        <w:rPr>
          <w:rFonts w:hint="eastAsia"/>
        </w:rPr>
        <w:t>搜索</w:t>
      </w:r>
      <w:r>
        <w:t>框查询，</w:t>
      </w:r>
      <w:r>
        <w:rPr>
          <w:rFonts w:hint="eastAsia"/>
        </w:rPr>
        <w:t>如</w:t>
      </w:r>
      <w:r>
        <w:rPr>
          <w:u w:val="single"/>
        </w:rPr>
        <w:fldChar w:fldCharType="begin"/>
      </w:r>
      <w:r>
        <w:instrText xml:space="preserve"> </w:instrText>
      </w:r>
      <w:r>
        <w:rPr>
          <w:rFonts w:hint="eastAsia"/>
        </w:rPr>
        <w:instrText xml:space="preserve">REF _Ref15477630 \r \h</w:instrText>
      </w:r>
      <w:r>
        <w:instrText xml:space="preserve"> </w:instrText>
      </w:r>
      <w:r>
        <w:rPr>
          <w:u w:val="single"/>
        </w:rPr>
        <w:fldChar w:fldCharType="separate"/>
      </w:r>
      <w:r>
        <w:rPr>
          <w:rFonts w:hint="eastAsia"/>
        </w:rPr>
        <w:t>图4-56</w:t>
      </w:r>
      <w:r>
        <w:rPr>
          <w:u w:val="single"/>
        </w:rPr>
        <w:fldChar w:fldCharType="end"/>
      </w:r>
      <w:r>
        <w:t>所示。</w:t>
      </w:r>
      <w:r>
        <w:rPr>
          <w:rFonts w:hint="eastAsia"/>
        </w:rPr>
        <w:t>可以点击会话表中的某个或者某些字段，进行精确搜索；也可以输入</w:t>
      </w:r>
      <w:r>
        <w:t>关键字</w:t>
      </w:r>
      <w:r>
        <w:rPr>
          <w:rFonts w:hint="eastAsia"/>
        </w:rPr>
        <w:t>进行模糊搜索。</w:t>
      </w:r>
    </w:p>
    <w:p w14:paraId="3518050B">
      <w:pPr>
        <w:pStyle w:val="188"/>
      </w:pPr>
      <w:bookmarkStart w:id="751" w:name="_Toc141874433"/>
      <w:bookmarkStart w:id="752" w:name="_Ref15477630"/>
      <w:r>
        <w:rPr>
          <w:rFonts w:hint="eastAsia"/>
        </w:rPr>
        <w:t>搜索</w:t>
      </w:r>
      <w:r>
        <w:t>框查询</w:t>
      </w:r>
      <w:bookmarkEnd w:id="751"/>
      <w:bookmarkEnd w:id="752"/>
    </w:p>
    <w:p w14:paraId="75863D20">
      <w:pPr>
        <w:spacing w:before="79" w:after="79"/>
      </w:pPr>
      <w:r>
        <w:drawing>
          <wp:inline distT="0" distB="0" distL="0" distR="0">
            <wp:extent cx="5153025" cy="837565"/>
            <wp:effectExtent l="0" t="0" r="0" b="63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121"/>
                    <a:stretch>
                      <a:fillRect/>
                    </a:stretch>
                  </pic:blipFill>
                  <pic:spPr>
                    <a:xfrm>
                      <a:off x="0" y="0"/>
                      <a:ext cx="5218640" cy="848388"/>
                    </a:xfrm>
                    <a:prstGeom prst="rect">
                      <a:avLst/>
                    </a:prstGeom>
                  </pic:spPr>
                </pic:pic>
              </a:graphicData>
            </a:graphic>
          </wp:inline>
        </w:drawing>
      </w:r>
    </w:p>
    <w:p w14:paraId="39E3F56D"/>
    <w:p w14:paraId="794B39BA">
      <w:r>
        <w:rPr>
          <w:rFonts w:hint="eastAsia"/>
        </w:rPr>
        <w:t>精确搜索可以点击：用户，用户组，源地址，目的地址，目的端口，协议，连接类型，应用。如</w:t>
      </w:r>
      <w:r>
        <w:rPr>
          <w:u w:val="single"/>
        </w:rPr>
        <w:fldChar w:fldCharType="begin"/>
      </w:r>
      <w:r>
        <w:instrText xml:space="preserve"> </w:instrText>
      </w:r>
      <w:r>
        <w:rPr>
          <w:rFonts w:hint="eastAsia"/>
        </w:rPr>
        <w:instrText xml:space="preserve">REF _Ref15477638 \r \h</w:instrText>
      </w:r>
      <w:r>
        <w:instrText xml:space="preserve"> </w:instrText>
      </w:r>
      <w:r>
        <w:rPr>
          <w:u w:val="single"/>
        </w:rPr>
        <w:fldChar w:fldCharType="separate"/>
      </w:r>
      <w:r>
        <w:rPr>
          <w:rFonts w:hint="eastAsia"/>
        </w:rPr>
        <w:t>图4-57</w:t>
      </w:r>
      <w:r>
        <w:rPr>
          <w:u w:val="single"/>
        </w:rPr>
        <w:fldChar w:fldCharType="end"/>
      </w:r>
      <w:r>
        <w:t>所示，</w:t>
      </w:r>
      <w:r>
        <w:rPr>
          <w:rFonts w:hint="eastAsia"/>
        </w:rPr>
        <w:t>点击</w:t>
      </w:r>
      <w:r>
        <w:t>对应列就可以精确查询到</w:t>
      </w:r>
      <w:r>
        <w:rPr>
          <w:rFonts w:hint="eastAsia"/>
        </w:rPr>
        <w:t>相关</w:t>
      </w:r>
      <w:r>
        <w:t>会话信息。</w:t>
      </w:r>
    </w:p>
    <w:p w14:paraId="55F27A52">
      <w:pPr>
        <w:pStyle w:val="188"/>
      </w:pPr>
      <w:bookmarkStart w:id="753" w:name="_Toc141874434"/>
      <w:bookmarkStart w:id="754" w:name="_Ref15477638"/>
      <w:r>
        <w:rPr>
          <w:rFonts w:hint="eastAsia"/>
        </w:rPr>
        <w:t>搜索框</w:t>
      </w:r>
      <w:r>
        <w:t>精确查询</w:t>
      </w:r>
      <w:bookmarkEnd w:id="753"/>
      <w:bookmarkEnd w:id="754"/>
    </w:p>
    <w:p w14:paraId="524B8F67">
      <w:pPr>
        <w:spacing w:before="79" w:after="79"/>
      </w:pPr>
      <w:r>
        <w:drawing>
          <wp:inline distT="0" distB="0" distL="0" distR="0">
            <wp:extent cx="5267325" cy="880745"/>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pic:cNvPicPr>
                  </pic:nvPicPr>
                  <pic:blipFill>
                    <a:blip r:embed="rId122"/>
                    <a:stretch>
                      <a:fillRect/>
                    </a:stretch>
                  </pic:blipFill>
                  <pic:spPr>
                    <a:xfrm>
                      <a:off x="0" y="0"/>
                      <a:ext cx="5377211" cy="899270"/>
                    </a:xfrm>
                    <a:prstGeom prst="rect">
                      <a:avLst/>
                    </a:prstGeom>
                  </pic:spPr>
                </pic:pic>
              </a:graphicData>
            </a:graphic>
          </wp:inline>
        </w:drawing>
      </w:r>
    </w:p>
    <w:p w14:paraId="37C946AC"/>
    <w:p w14:paraId="3FA90FAC">
      <w:r>
        <w:rPr>
          <w:rFonts w:hint="eastAsia"/>
        </w:rPr>
        <w:t>模糊搜索匹配：用户，用户组，源地址，目的地址，协议，应用。如</w:t>
      </w:r>
      <w:r>
        <w:rPr>
          <w:u w:val="single"/>
        </w:rPr>
        <w:fldChar w:fldCharType="begin"/>
      </w:r>
      <w:r>
        <w:instrText xml:space="preserve"> </w:instrText>
      </w:r>
      <w:r>
        <w:rPr>
          <w:rFonts w:hint="eastAsia"/>
        </w:rPr>
        <w:instrText xml:space="preserve">REF _Ref15477646 \r \h</w:instrText>
      </w:r>
      <w:r>
        <w:instrText xml:space="preserve"> </w:instrText>
      </w:r>
      <w:r>
        <w:rPr>
          <w:u w:val="single"/>
        </w:rPr>
        <w:fldChar w:fldCharType="separate"/>
      </w:r>
      <w:r>
        <w:rPr>
          <w:rFonts w:hint="eastAsia"/>
        </w:rPr>
        <w:t>图4-58</w:t>
      </w:r>
      <w:r>
        <w:rPr>
          <w:u w:val="single"/>
        </w:rPr>
        <w:fldChar w:fldCharType="end"/>
      </w:r>
      <w:r>
        <w:t>所示，直接在搜索框上输入</w:t>
      </w:r>
      <w:r>
        <w:rPr>
          <w:rFonts w:hint="eastAsia"/>
        </w:rPr>
        <w:t>查询</w:t>
      </w:r>
      <w:r>
        <w:t>关键字就能模糊匹配到</w:t>
      </w:r>
      <w:r>
        <w:rPr>
          <w:rFonts w:hint="eastAsia"/>
        </w:rPr>
        <w:t>相关</w:t>
      </w:r>
      <w:r>
        <w:t>会话信息。</w:t>
      </w:r>
    </w:p>
    <w:p w14:paraId="53CB157F">
      <w:pPr>
        <w:pStyle w:val="188"/>
      </w:pPr>
      <w:bookmarkStart w:id="755" w:name="_Ref15477646"/>
      <w:bookmarkStart w:id="756" w:name="_Toc141874435"/>
      <w:r>
        <w:rPr>
          <w:rFonts w:hint="eastAsia"/>
        </w:rPr>
        <w:t>搜索</w:t>
      </w:r>
      <w:r>
        <w:t>框模糊查询</w:t>
      </w:r>
      <w:bookmarkEnd w:id="755"/>
      <w:bookmarkEnd w:id="756"/>
    </w:p>
    <w:p w14:paraId="31048513">
      <w:pPr>
        <w:spacing w:before="79" w:after="79"/>
      </w:pPr>
      <w:r>
        <w:drawing>
          <wp:inline distT="0" distB="0" distL="0" distR="0">
            <wp:extent cx="5172075" cy="1160780"/>
            <wp:effectExtent l="0" t="0" r="0" b="127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123"/>
                    <a:stretch>
                      <a:fillRect/>
                    </a:stretch>
                  </pic:blipFill>
                  <pic:spPr>
                    <a:xfrm>
                      <a:off x="0" y="0"/>
                      <a:ext cx="5216574" cy="1171145"/>
                    </a:xfrm>
                    <a:prstGeom prst="rect">
                      <a:avLst/>
                    </a:prstGeom>
                  </pic:spPr>
                </pic:pic>
              </a:graphicData>
            </a:graphic>
          </wp:inline>
        </w:drawing>
      </w:r>
    </w:p>
    <w:p w14:paraId="1571FEE0"/>
    <w:p w14:paraId="514B8A1A">
      <w:r>
        <w:rPr>
          <w:rFonts w:hint="eastAsia"/>
        </w:rPr>
        <w:t>会话</w:t>
      </w:r>
      <w:r>
        <w:t>监控列展示</w:t>
      </w:r>
    </w:p>
    <w:p w14:paraId="59FDE029">
      <w:r>
        <w:rPr>
          <w:rFonts w:hint="eastAsia"/>
        </w:rPr>
        <w:t>会话</w:t>
      </w:r>
      <w:r>
        <w:t>监控页面默认展示</w:t>
      </w:r>
      <w:r>
        <w:rPr>
          <w:rFonts w:hint="eastAsia"/>
        </w:rPr>
        <w:t>了</w:t>
      </w:r>
      <w:r>
        <w:t>常用的列，</w:t>
      </w:r>
      <w:r>
        <w:rPr>
          <w:rFonts w:hint="eastAsia"/>
        </w:rPr>
        <w:t>还有</w:t>
      </w:r>
      <w:r>
        <w:t>部分未进行展示</w:t>
      </w:r>
      <w:r>
        <w:rPr>
          <w:rFonts w:hint="eastAsia"/>
        </w:rPr>
        <w:t>，</w:t>
      </w:r>
      <w:r>
        <w:t>需要</w:t>
      </w:r>
      <w:r>
        <w:rPr>
          <w:rFonts w:hint="eastAsia"/>
        </w:rPr>
        <w:t>在</w:t>
      </w:r>
      <w:r>
        <w:t>会话监控页面</w:t>
      </w:r>
      <w:r>
        <w:rPr>
          <w:rFonts w:hint="eastAsia"/>
        </w:rPr>
        <w:t>任意</w:t>
      </w:r>
      <w:r>
        <w:t>标题</w:t>
      </w:r>
      <w:r>
        <w:rPr>
          <w:rFonts w:hint="eastAsia"/>
        </w:rPr>
        <w:t>列</w:t>
      </w:r>
      <w:r>
        <w:t>上有倒三角</w:t>
      </w:r>
      <w:r>
        <w:rPr>
          <w:rFonts w:hint="eastAsia"/>
        </w:rPr>
        <w:t>图标</w:t>
      </w:r>
      <w:r>
        <w:t>出现的时候点击</w:t>
      </w:r>
      <w:r>
        <w:rPr>
          <w:rFonts w:hint="eastAsia"/>
        </w:rPr>
        <w:t>倒三角就能</w:t>
      </w:r>
      <w:r>
        <w:t>选择</w:t>
      </w:r>
      <w:r>
        <w:rPr>
          <w:rFonts w:hint="eastAsia"/>
        </w:rPr>
        <w:t>未</w:t>
      </w:r>
      <w:r>
        <w:t>展示的</w:t>
      </w:r>
      <w:r>
        <w:rPr>
          <w:rFonts w:hint="eastAsia"/>
        </w:rPr>
        <w:t>列信息</w:t>
      </w:r>
      <w:r>
        <w:t>。如</w:t>
      </w:r>
      <w:r>
        <w:rPr>
          <w:color w:val="0000FF"/>
          <w:u w:val="single"/>
        </w:rPr>
        <w:fldChar w:fldCharType="begin"/>
      </w:r>
      <w:r>
        <w:instrText xml:space="preserve"> REF _Ref15477652 \r \h </w:instrText>
      </w:r>
      <w:r>
        <w:rPr>
          <w:color w:val="0000FF"/>
          <w:u w:val="single"/>
        </w:rPr>
        <w:fldChar w:fldCharType="separate"/>
      </w:r>
      <w:r>
        <w:rPr>
          <w:rFonts w:hint="eastAsia"/>
        </w:rPr>
        <w:t>图4-59</w:t>
      </w:r>
      <w:r>
        <w:rPr>
          <w:color w:val="0000FF"/>
          <w:u w:val="single"/>
        </w:rPr>
        <w:fldChar w:fldCharType="end"/>
      </w:r>
      <w:r>
        <w:t>所示。</w:t>
      </w:r>
    </w:p>
    <w:p w14:paraId="7B8D6121">
      <w:pPr>
        <w:pStyle w:val="188"/>
      </w:pPr>
      <w:bookmarkStart w:id="757" w:name="_Ref15477652"/>
      <w:bookmarkStart w:id="758" w:name="_Toc141874436"/>
      <w:r>
        <w:rPr>
          <w:rFonts w:hint="eastAsia"/>
        </w:rPr>
        <w:t>选择</w:t>
      </w:r>
      <w:r>
        <w:t>会话监控列展示</w:t>
      </w:r>
      <w:bookmarkEnd w:id="757"/>
      <w:bookmarkEnd w:id="758"/>
    </w:p>
    <w:p w14:paraId="79D41FD4">
      <w:pPr>
        <w:spacing w:before="79" w:after="79"/>
      </w:pPr>
      <w:r>
        <w:drawing>
          <wp:inline distT="0" distB="0" distL="0" distR="0">
            <wp:extent cx="5286375" cy="1109345"/>
            <wp:effectExtent l="0" t="0" r="0" b="0"/>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pic:cNvPicPr>
                      <a:picLocks noChangeAspect="1"/>
                    </pic:cNvPicPr>
                  </pic:nvPicPr>
                  <pic:blipFill>
                    <a:blip r:embed="rId124"/>
                    <a:stretch>
                      <a:fillRect/>
                    </a:stretch>
                  </pic:blipFill>
                  <pic:spPr>
                    <a:xfrm>
                      <a:off x="0" y="0"/>
                      <a:ext cx="5317021" cy="1115918"/>
                    </a:xfrm>
                    <a:prstGeom prst="rect">
                      <a:avLst/>
                    </a:prstGeom>
                  </pic:spPr>
                </pic:pic>
              </a:graphicData>
            </a:graphic>
          </wp:inline>
        </w:drawing>
      </w:r>
    </w:p>
    <w:p w14:paraId="59D5F722"/>
    <w:p w14:paraId="0076BB95">
      <w:r>
        <w:rPr>
          <w:rFonts w:hint="eastAsia"/>
        </w:rPr>
        <w:t>点击</w:t>
      </w:r>
      <w:r>
        <w:t>倒三角之后，</w:t>
      </w:r>
      <w:r>
        <w:rPr>
          <w:rFonts w:hint="eastAsia"/>
        </w:rPr>
        <w:t>可以看到会话</w:t>
      </w:r>
      <w:r>
        <w:t>监控页面上会话相关的所有列，</w:t>
      </w:r>
      <w:r>
        <w:rPr>
          <w:rFonts w:hint="eastAsia"/>
        </w:rPr>
        <w:t>如</w:t>
      </w:r>
      <w:r>
        <w:rPr>
          <w:color w:val="0000FF"/>
          <w:u w:val="single"/>
        </w:rPr>
        <w:fldChar w:fldCharType="begin"/>
      </w:r>
      <w:r>
        <w:instrText xml:space="preserve"> </w:instrText>
      </w:r>
      <w:r>
        <w:rPr>
          <w:rFonts w:hint="eastAsia"/>
        </w:rPr>
        <w:instrText xml:space="preserve">REF _Ref15477660 \r \h</w:instrText>
      </w:r>
      <w:r>
        <w:instrText xml:space="preserve"> </w:instrText>
      </w:r>
      <w:r>
        <w:rPr>
          <w:color w:val="0000FF"/>
          <w:u w:val="single"/>
        </w:rPr>
        <w:fldChar w:fldCharType="separate"/>
      </w:r>
      <w:r>
        <w:rPr>
          <w:rFonts w:hint="eastAsia"/>
        </w:rPr>
        <w:t>图4-60</w:t>
      </w:r>
      <w:r>
        <w:rPr>
          <w:color w:val="0000FF"/>
          <w:u w:val="single"/>
        </w:rPr>
        <w:fldChar w:fldCharType="end"/>
      </w:r>
      <w:r>
        <w:t>所示。</w:t>
      </w:r>
    </w:p>
    <w:p w14:paraId="6606E9A4">
      <w:pPr>
        <w:pStyle w:val="188"/>
      </w:pPr>
      <w:bookmarkStart w:id="759" w:name="_Ref15477660"/>
      <w:bookmarkStart w:id="760" w:name="_Toc141874437"/>
      <w:r>
        <w:rPr>
          <w:rFonts w:hint="eastAsia"/>
        </w:rPr>
        <w:t>会话</w:t>
      </w:r>
      <w:r>
        <w:t>监控列选择</w:t>
      </w:r>
      <w:bookmarkEnd w:id="759"/>
      <w:bookmarkEnd w:id="760"/>
    </w:p>
    <w:p w14:paraId="323E205B">
      <w:pPr>
        <w:spacing w:before="79" w:after="79"/>
      </w:pPr>
      <w:r>
        <w:drawing>
          <wp:inline distT="0" distB="0" distL="0" distR="0">
            <wp:extent cx="2085975" cy="3335020"/>
            <wp:effectExtent l="0" t="0" r="0" b="0"/>
            <wp:docPr id="399" name="图片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99"/>
                    <pic:cNvPicPr>
                      <a:picLocks noChangeAspect="1"/>
                    </pic:cNvPicPr>
                  </pic:nvPicPr>
                  <pic:blipFill>
                    <a:blip r:embed="rId125"/>
                    <a:stretch>
                      <a:fillRect/>
                    </a:stretch>
                  </pic:blipFill>
                  <pic:spPr>
                    <a:xfrm>
                      <a:off x="0" y="0"/>
                      <a:ext cx="2111167" cy="3375853"/>
                    </a:xfrm>
                    <a:prstGeom prst="rect">
                      <a:avLst/>
                    </a:prstGeom>
                  </pic:spPr>
                </pic:pic>
              </a:graphicData>
            </a:graphic>
          </wp:inline>
        </w:drawing>
      </w:r>
    </w:p>
    <w:p w14:paraId="146C17F5">
      <w:pPr>
        <w:pStyle w:val="5"/>
      </w:pPr>
      <w:bookmarkStart w:id="761" w:name="_Toc196727956"/>
      <w:bookmarkStart w:id="762" w:name="_Toc194080623"/>
      <w:bookmarkStart w:id="763" w:name="_Toc173428193"/>
      <w:bookmarkStart w:id="764" w:name="_Toc174642493"/>
      <w:r>
        <w:rPr>
          <w:rFonts w:hint="eastAsia"/>
        </w:rPr>
        <w:t>数据库日志统计</w:t>
      </w:r>
      <w:bookmarkEnd w:id="761"/>
      <w:bookmarkEnd w:id="762"/>
      <w:bookmarkEnd w:id="763"/>
      <w:bookmarkEnd w:id="764"/>
    </w:p>
    <w:p w14:paraId="11DFBDC4">
      <w:r>
        <w:rPr>
          <w:rFonts w:hint="eastAsia"/>
        </w:rPr>
        <w:t>在导航栏中选择“数据中心 &gt;</w:t>
      </w:r>
      <w:r>
        <w:t xml:space="preserve"> </w:t>
      </w:r>
      <w:r>
        <w:rPr>
          <w:rFonts w:hint="eastAsia"/>
        </w:rPr>
        <w:t xml:space="preserve">数据分析 </w:t>
      </w:r>
      <w:r>
        <w:t xml:space="preserve">&gt; </w:t>
      </w:r>
      <w:r>
        <w:rPr>
          <w:rFonts w:hint="eastAsia"/>
        </w:rPr>
        <w:t>数据库日志统计”进入数据库日志统计，如下图所示。开启数据统计功能后，可以查看现网中数据库日志的统计信息，包括使用的数据库类型、操作的类型、以及操作数据库的用户等。详细配置请参见“审计策略”中的“数据库审计”相关配置。</w:t>
      </w:r>
    </w:p>
    <w:p w14:paraId="4F7FBEAD">
      <w:pPr>
        <w:pStyle w:val="188"/>
      </w:pPr>
      <w:r>
        <w:rPr>
          <w:rFonts w:hint="eastAsia"/>
        </w:rPr>
        <w:t>数据库日志统计页面</w:t>
      </w:r>
    </w:p>
    <w:p w14:paraId="72C2CEB5">
      <w:pPr>
        <w:pStyle w:val="175"/>
      </w:pPr>
      <w:r>
        <w:drawing>
          <wp:inline distT="0" distB="0" distL="0" distR="0">
            <wp:extent cx="5715000" cy="2799080"/>
            <wp:effectExtent l="0" t="0" r="0" b="1270"/>
            <wp:docPr id="625" name="图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图片 625"/>
                    <pic:cNvPicPr>
                      <a:picLocks noChangeAspect="1"/>
                    </pic:cNvPicPr>
                  </pic:nvPicPr>
                  <pic:blipFill>
                    <a:blip r:embed="rId126"/>
                    <a:stretch>
                      <a:fillRect/>
                    </a:stretch>
                  </pic:blipFill>
                  <pic:spPr>
                    <a:xfrm>
                      <a:off x="0" y="0"/>
                      <a:ext cx="5719894" cy="2801496"/>
                    </a:xfrm>
                    <a:prstGeom prst="rect">
                      <a:avLst/>
                    </a:prstGeom>
                  </pic:spPr>
                </pic:pic>
              </a:graphicData>
            </a:graphic>
          </wp:inline>
        </w:drawing>
      </w:r>
    </w:p>
    <w:p w14:paraId="3680EA1E">
      <w:r>
        <w:rPr>
          <w:rFonts w:hint="eastAsia"/>
        </w:rPr>
        <w:t>可选择统计的时间，查看所选日期的数据库统计信息。</w:t>
      </w:r>
    </w:p>
    <w:p w14:paraId="0AA25E30">
      <w:r>
        <w:rPr>
          <w:rFonts w:hint="eastAsia"/>
        </w:rPr>
        <w:t>在统计列表中，可查看每个用户对数据库操作次数的统计结果，以及各个数据库操作类型的次数统计。在“源地址”中单击用户源地址可查看该用户在统计日期内所有的数据库操作日志信息，包括数据库类型、SQL语句、日志级别等，单击“详细”可查看日志的详细信息。</w:t>
      </w:r>
    </w:p>
    <w:p w14:paraId="12041063">
      <w:pPr>
        <w:pStyle w:val="188"/>
      </w:pPr>
      <w:r>
        <w:rPr>
          <w:rFonts w:hint="eastAsia"/>
        </w:rPr>
        <w:t>用户数据库日志统计信息</w:t>
      </w:r>
    </w:p>
    <w:p w14:paraId="40F55B3D">
      <w:pPr>
        <w:pStyle w:val="175"/>
      </w:pPr>
      <w:r>
        <w:drawing>
          <wp:inline distT="0" distB="0" distL="0" distR="0">
            <wp:extent cx="5854065" cy="1154430"/>
            <wp:effectExtent l="0" t="0" r="0" b="7620"/>
            <wp:docPr id="627" name="图片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图片 627"/>
                    <pic:cNvPicPr>
                      <a:picLocks noChangeAspect="1"/>
                    </pic:cNvPicPr>
                  </pic:nvPicPr>
                  <pic:blipFill>
                    <a:blip r:embed="rId127"/>
                    <a:stretch>
                      <a:fillRect/>
                    </a:stretch>
                  </pic:blipFill>
                  <pic:spPr>
                    <a:xfrm>
                      <a:off x="0" y="0"/>
                      <a:ext cx="5871818" cy="1158038"/>
                    </a:xfrm>
                    <a:prstGeom prst="rect">
                      <a:avLst/>
                    </a:prstGeom>
                  </pic:spPr>
                </pic:pic>
              </a:graphicData>
            </a:graphic>
          </wp:inline>
        </w:drawing>
      </w:r>
    </w:p>
    <w:p w14:paraId="1FBA129F">
      <w:pPr>
        <w:pStyle w:val="5"/>
      </w:pPr>
      <w:bookmarkStart w:id="765" w:name="_Toc196727957"/>
      <w:bookmarkStart w:id="766" w:name="_Toc193446697"/>
      <w:bookmarkStart w:id="767" w:name="_Toc194080624"/>
      <w:r>
        <w:rPr>
          <w:rFonts w:hint="eastAsia"/>
        </w:rPr>
        <w:t>违规用户检查统计</w:t>
      </w:r>
      <w:bookmarkEnd w:id="765"/>
      <w:bookmarkEnd w:id="766"/>
      <w:bookmarkEnd w:id="767"/>
    </w:p>
    <w:p w14:paraId="406920F9">
      <w:r>
        <w:rPr>
          <w:rFonts w:hint="eastAsia"/>
        </w:rPr>
        <w:t>在导航栏中选择“数据中心 &gt;</w:t>
      </w:r>
      <w:r>
        <w:t xml:space="preserve"> </w:t>
      </w:r>
      <w:r>
        <w:rPr>
          <w:rFonts w:hint="eastAsia"/>
        </w:rPr>
        <w:t xml:space="preserve">数据分析 </w:t>
      </w:r>
      <w:r>
        <w:t xml:space="preserve">&gt; </w:t>
      </w:r>
      <w:r>
        <w:rPr>
          <w:rFonts w:hint="eastAsia"/>
        </w:rPr>
        <w:t>违规用户检查统计”，进入违规用户检查统计页面。</w:t>
      </w:r>
    </w:p>
    <w:p w14:paraId="1C22C7AD">
      <w:r>
        <w:rPr>
          <w:rFonts w:hint="eastAsia"/>
        </w:rPr>
        <w:t>开启违规统计开关，且配置应用控制策略（选择应用，处理动作配置为阻断），在统计的时间内产生阻断的应用控制日志后，可以查看终端违规用户检查的统计信息。以用户为维度进行统计，柱状图展示违规次数的TOP</w:t>
      </w:r>
      <w:r>
        <w:t>10</w:t>
      </w:r>
      <w:r>
        <w:rPr>
          <w:rFonts w:hint="eastAsia"/>
        </w:rPr>
        <w:t>统计信息，包括违规用户及违规次数；列表中展示违规次数的TOP</w:t>
      </w:r>
      <w:r>
        <w:t>100</w:t>
      </w:r>
      <w:r>
        <w:rPr>
          <w:rFonts w:hint="eastAsia"/>
        </w:rPr>
        <w:t>统计信息，包括违规用户、命中次数、开始/结束时间等。</w:t>
      </w:r>
    </w:p>
    <w:p w14:paraId="7D52FBCE">
      <w:r>
        <w:rPr>
          <w:rFonts w:hint="eastAsia"/>
        </w:rPr>
        <w:t>详细配置请参见“控制策略”中的“应用控制”的相关配置。</w:t>
      </w:r>
    </w:p>
    <w:p w14:paraId="7393045F">
      <w:pPr>
        <w:pStyle w:val="188"/>
      </w:pPr>
      <w:bookmarkStart w:id="768" w:name="_Toc193447399"/>
      <w:r>
        <w:rPr>
          <w:rFonts w:hint="eastAsia"/>
        </w:rPr>
        <w:t>违规用户检查统计页面</w:t>
      </w:r>
      <w:bookmarkEnd w:id="768"/>
    </w:p>
    <w:p w14:paraId="6A1B9823">
      <w:pPr>
        <w:pStyle w:val="175"/>
      </w:pPr>
      <w:r>
        <w:drawing>
          <wp:inline distT="0" distB="0" distL="0" distR="0">
            <wp:extent cx="5400040" cy="2729865"/>
            <wp:effectExtent l="0" t="0" r="0" b="0"/>
            <wp:docPr id="602" name="图片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图片 602"/>
                    <pic:cNvPicPr>
                      <a:picLocks noChangeAspect="1"/>
                    </pic:cNvPicPr>
                  </pic:nvPicPr>
                  <pic:blipFill>
                    <a:blip r:embed="rId128"/>
                    <a:stretch>
                      <a:fillRect/>
                    </a:stretch>
                  </pic:blipFill>
                  <pic:spPr>
                    <a:xfrm>
                      <a:off x="0" y="0"/>
                      <a:ext cx="5400040" cy="2730254"/>
                    </a:xfrm>
                    <a:prstGeom prst="rect">
                      <a:avLst/>
                    </a:prstGeom>
                  </pic:spPr>
                </pic:pic>
              </a:graphicData>
            </a:graphic>
          </wp:inline>
        </w:drawing>
      </w:r>
    </w:p>
    <w:p w14:paraId="3FA858A5">
      <w:r>
        <w:rPr>
          <w:rFonts w:hint="eastAsia"/>
        </w:rPr>
        <w:t>统计时间可选择“最近一天”、“最近一周”、“最近一月”以及自定义。</w:t>
      </w:r>
    </w:p>
    <w:p w14:paraId="385D9B4B">
      <w:r>
        <w:rPr>
          <w:rFonts w:hint="eastAsia"/>
        </w:rPr>
        <w:t>点击违规用户的名称，可以查看该用户访问应用的详细信息，如下图所示。</w:t>
      </w:r>
    </w:p>
    <w:p w14:paraId="7A1B4E8E">
      <w:pPr>
        <w:pStyle w:val="188"/>
      </w:pPr>
      <w:bookmarkStart w:id="769" w:name="_Toc193447400"/>
      <w:r>
        <w:rPr>
          <w:rFonts w:hint="eastAsia"/>
        </w:rPr>
        <w:t>违规用户详细信息</w:t>
      </w:r>
      <w:bookmarkEnd w:id="769"/>
    </w:p>
    <w:p w14:paraId="04A19447">
      <w:pPr>
        <w:pStyle w:val="175"/>
      </w:pPr>
      <w:r>
        <w:drawing>
          <wp:inline distT="0" distB="0" distL="0" distR="0">
            <wp:extent cx="5400040" cy="762635"/>
            <wp:effectExtent l="0" t="0" r="0" b="0"/>
            <wp:docPr id="606" name="图片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图片 606"/>
                    <pic:cNvPicPr>
                      <a:picLocks noChangeAspect="1"/>
                    </pic:cNvPicPr>
                  </pic:nvPicPr>
                  <pic:blipFill>
                    <a:blip r:embed="rId129"/>
                    <a:stretch>
                      <a:fillRect/>
                    </a:stretch>
                  </pic:blipFill>
                  <pic:spPr>
                    <a:xfrm>
                      <a:off x="0" y="0"/>
                      <a:ext cx="5400040" cy="762635"/>
                    </a:xfrm>
                    <a:prstGeom prst="rect">
                      <a:avLst/>
                    </a:prstGeom>
                  </pic:spPr>
                </pic:pic>
              </a:graphicData>
            </a:graphic>
          </wp:inline>
        </w:drawing>
      </w:r>
    </w:p>
    <w:p w14:paraId="45C2107B"/>
    <w:p w14:paraId="40FF0A5D">
      <w:pPr>
        <w:pStyle w:val="5"/>
      </w:pPr>
      <w:bookmarkStart w:id="770" w:name="_Toc193446698"/>
      <w:bookmarkStart w:id="771" w:name="_Toc194080625"/>
      <w:bookmarkStart w:id="772" w:name="_Toc196727958"/>
      <w:r>
        <w:rPr>
          <w:rFonts w:hint="eastAsia"/>
        </w:rPr>
        <w:t>违规应用检查统计</w:t>
      </w:r>
      <w:bookmarkEnd w:id="770"/>
      <w:bookmarkEnd w:id="771"/>
      <w:bookmarkEnd w:id="772"/>
    </w:p>
    <w:p w14:paraId="133D56CC">
      <w:r>
        <w:rPr>
          <w:rFonts w:hint="eastAsia"/>
        </w:rPr>
        <w:t>在导航栏中选择“数据中心 &gt;</w:t>
      </w:r>
      <w:r>
        <w:t xml:space="preserve"> </w:t>
      </w:r>
      <w:r>
        <w:rPr>
          <w:rFonts w:hint="eastAsia"/>
        </w:rPr>
        <w:t xml:space="preserve">数据分析 </w:t>
      </w:r>
      <w:r>
        <w:t xml:space="preserve">&gt; </w:t>
      </w:r>
      <w:r>
        <w:rPr>
          <w:rFonts w:hint="eastAsia"/>
        </w:rPr>
        <w:t>违规应用检查统计”，进入违规应用检查统计页面。</w:t>
      </w:r>
    </w:p>
    <w:p w14:paraId="33378EC0">
      <w:r>
        <w:rPr>
          <w:rFonts w:hint="eastAsia"/>
        </w:rPr>
        <w:t>开启违规统计开关，且配置应用控制策略（选择应用，处理动作配置为阻断），在统计的时间内产生阻断的应用控制日志后，可以查看终端违规应用检查的统计信息。以应用为维度进行统计，柱状图展示违规次数的TOP</w:t>
      </w:r>
      <w:r>
        <w:t>10</w:t>
      </w:r>
      <w:r>
        <w:rPr>
          <w:rFonts w:hint="eastAsia"/>
        </w:rPr>
        <w:t>统计信息，包括违规应用及违规次数；列表中展示违规次数的TOP</w:t>
      </w:r>
      <w:r>
        <w:t>100</w:t>
      </w:r>
      <w:r>
        <w:rPr>
          <w:rFonts w:hint="eastAsia"/>
        </w:rPr>
        <w:t>统计信息，包括违规应用、应用类别、命中次数、开始/结束时间等。</w:t>
      </w:r>
    </w:p>
    <w:p w14:paraId="756C2FE4">
      <w:r>
        <w:rPr>
          <w:rFonts w:hint="eastAsia"/>
        </w:rPr>
        <w:t>详细配置请参见“控制策略”中的“应用控制”的相关配置。</w:t>
      </w:r>
    </w:p>
    <w:p w14:paraId="52763D5B">
      <w:pPr>
        <w:pStyle w:val="188"/>
      </w:pPr>
      <w:bookmarkStart w:id="773" w:name="_Toc193447401"/>
      <w:r>
        <w:rPr>
          <w:rFonts w:hint="eastAsia"/>
        </w:rPr>
        <w:t>违规应用检查统计页面</w:t>
      </w:r>
      <w:bookmarkEnd w:id="773"/>
    </w:p>
    <w:p w14:paraId="1D1CABE5">
      <w:pPr>
        <w:pStyle w:val="175"/>
      </w:pPr>
      <w:r>
        <w:drawing>
          <wp:inline distT="0" distB="0" distL="0" distR="0">
            <wp:extent cx="5400040" cy="2698115"/>
            <wp:effectExtent l="0" t="0" r="0" b="6985"/>
            <wp:docPr id="609" name="图片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609"/>
                    <pic:cNvPicPr>
                      <a:picLocks noChangeAspect="1"/>
                    </pic:cNvPicPr>
                  </pic:nvPicPr>
                  <pic:blipFill>
                    <a:blip r:embed="rId130"/>
                    <a:stretch>
                      <a:fillRect/>
                    </a:stretch>
                  </pic:blipFill>
                  <pic:spPr>
                    <a:xfrm>
                      <a:off x="0" y="0"/>
                      <a:ext cx="5400040" cy="2698218"/>
                    </a:xfrm>
                    <a:prstGeom prst="rect">
                      <a:avLst/>
                    </a:prstGeom>
                  </pic:spPr>
                </pic:pic>
              </a:graphicData>
            </a:graphic>
          </wp:inline>
        </w:drawing>
      </w:r>
    </w:p>
    <w:p w14:paraId="6FFB2FE1">
      <w:r>
        <w:rPr>
          <w:rFonts w:hint="eastAsia"/>
        </w:rPr>
        <w:t>统计时间可选择“最近一天”、“最近一周”、“最近一月”以及自定义。</w:t>
      </w:r>
    </w:p>
    <w:p w14:paraId="1268B3B7">
      <w:r>
        <w:rPr>
          <w:rFonts w:hint="eastAsia"/>
        </w:rPr>
        <w:t>点击应用名称，可以查看访问该应用的详细信息，如下图所示。</w:t>
      </w:r>
    </w:p>
    <w:p w14:paraId="55C33963">
      <w:pPr>
        <w:pStyle w:val="188"/>
      </w:pPr>
      <w:bookmarkStart w:id="774" w:name="_Toc193447402"/>
      <w:r>
        <w:rPr>
          <w:rFonts w:hint="eastAsia"/>
        </w:rPr>
        <w:t>违规应用详细信息</w:t>
      </w:r>
      <w:bookmarkEnd w:id="774"/>
    </w:p>
    <w:p w14:paraId="3D7D76DD">
      <w:pPr>
        <w:pStyle w:val="175"/>
      </w:pPr>
      <w:r>
        <w:drawing>
          <wp:inline distT="0" distB="0" distL="0" distR="0">
            <wp:extent cx="5400040" cy="1337945"/>
            <wp:effectExtent l="0" t="0" r="0" b="0"/>
            <wp:docPr id="618" name="图片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图片 618"/>
                    <pic:cNvPicPr>
                      <a:picLocks noChangeAspect="1"/>
                    </pic:cNvPicPr>
                  </pic:nvPicPr>
                  <pic:blipFill>
                    <a:blip r:embed="rId131"/>
                    <a:stretch>
                      <a:fillRect/>
                    </a:stretch>
                  </pic:blipFill>
                  <pic:spPr>
                    <a:xfrm>
                      <a:off x="0" y="0"/>
                      <a:ext cx="5400040" cy="1337945"/>
                    </a:xfrm>
                    <a:prstGeom prst="rect">
                      <a:avLst/>
                    </a:prstGeom>
                  </pic:spPr>
                </pic:pic>
              </a:graphicData>
            </a:graphic>
          </wp:inline>
        </w:drawing>
      </w:r>
    </w:p>
    <w:p w14:paraId="3CB07844">
      <w:pPr>
        <w:spacing w:before="79" w:after="79"/>
      </w:pPr>
    </w:p>
    <w:p w14:paraId="5902A47D">
      <w:pPr>
        <w:pStyle w:val="4"/>
      </w:pPr>
      <w:bookmarkStart w:id="775" w:name="_Toc23152393"/>
      <w:bookmarkStart w:id="776" w:name="_Toc99561312"/>
      <w:bookmarkStart w:id="777" w:name="_Toc40275826"/>
      <w:bookmarkStart w:id="778" w:name="_Toc141873262"/>
      <w:bookmarkStart w:id="779" w:name="_Toc194080626"/>
      <w:bookmarkStart w:id="780" w:name="_Toc15484625"/>
      <w:bookmarkStart w:id="781" w:name="_Toc172217985"/>
      <w:bookmarkStart w:id="782" w:name="_Toc196727959"/>
      <w:bookmarkStart w:id="783" w:name="_Toc142400775"/>
      <w:r>
        <w:rPr>
          <w:rFonts w:hint="eastAsia"/>
        </w:rPr>
        <w:t>安全分析</w:t>
      </w:r>
      <w:bookmarkEnd w:id="775"/>
      <w:bookmarkEnd w:id="776"/>
      <w:bookmarkEnd w:id="777"/>
      <w:bookmarkEnd w:id="778"/>
      <w:bookmarkEnd w:id="779"/>
      <w:bookmarkEnd w:id="780"/>
      <w:bookmarkEnd w:id="781"/>
      <w:bookmarkEnd w:id="782"/>
      <w:bookmarkEnd w:id="783"/>
    </w:p>
    <w:p w14:paraId="556D3CCE">
      <w:pPr>
        <w:pStyle w:val="5"/>
      </w:pPr>
      <w:bookmarkStart w:id="784" w:name="_Toc15484626"/>
      <w:bookmarkStart w:id="785" w:name="_Toc142400776"/>
      <w:bookmarkStart w:id="786" w:name="_Toc172217986"/>
      <w:bookmarkStart w:id="787" w:name="_Toc40275827"/>
      <w:bookmarkStart w:id="788" w:name="_Toc141873263"/>
      <w:bookmarkStart w:id="789" w:name="_Toc194080627"/>
      <w:bookmarkStart w:id="790" w:name="_Toc23152394"/>
      <w:bookmarkStart w:id="791" w:name="_Toc99561313"/>
      <w:bookmarkStart w:id="792" w:name="_Toc196727960"/>
      <w:r>
        <w:rPr>
          <w:rFonts w:hint="eastAsia"/>
        </w:rPr>
        <w:t>安全分析简介</w:t>
      </w:r>
      <w:bookmarkEnd w:id="784"/>
      <w:bookmarkEnd w:id="785"/>
      <w:bookmarkEnd w:id="786"/>
      <w:bookmarkEnd w:id="787"/>
      <w:bookmarkEnd w:id="788"/>
      <w:bookmarkEnd w:id="789"/>
      <w:bookmarkEnd w:id="790"/>
      <w:bookmarkEnd w:id="791"/>
      <w:bookmarkEnd w:id="792"/>
    </w:p>
    <w:p w14:paraId="5AC28C2B">
      <w:r>
        <w:rPr>
          <w:rFonts w:hint="eastAsia"/>
        </w:rPr>
        <w:t>安全分析是对安全功能（I</w:t>
      </w:r>
      <w:r>
        <w:t>PS</w:t>
      </w:r>
      <w:r>
        <w:rPr>
          <w:rFonts w:hint="eastAsia"/>
        </w:rPr>
        <w:t>、AV、WEB防护、安全防护、端口扫描等）、资产等数据进行统计分析，包括安全事件分析、资产安全分析、WEB防护分析、挖矿检测分析、翻墙行为分析等。</w:t>
      </w:r>
    </w:p>
    <w:p w14:paraId="74882596">
      <w:pPr>
        <w:pStyle w:val="162"/>
      </w:pPr>
      <w:r>
        <w:rPr>
          <w:rFonts w:hint="eastAsia"/>
        </w:rPr>
        <w:t>安全事件分析：以柱状图、地域分布图、表格形式展示攻击源信息。</w:t>
      </w:r>
    </w:p>
    <w:p w14:paraId="2616CEC6">
      <w:pPr>
        <w:pStyle w:val="162"/>
      </w:pPr>
      <w:r>
        <w:rPr>
          <w:rFonts w:hint="eastAsia"/>
        </w:rPr>
        <w:t>资产安全分析：展示设备上所有资产的安全威胁分析，包括风险级别、操作系统、攻击链等详细信息。</w:t>
      </w:r>
    </w:p>
    <w:p w14:paraId="54074F54">
      <w:pPr>
        <w:pStyle w:val="162"/>
      </w:pPr>
      <w:r>
        <w:rPr>
          <w:rFonts w:hint="eastAsia"/>
        </w:rPr>
        <w:t>WEB防护分析：以柱状图、饼状图、趋势图形式分别展示规则防护和高级防护信息。</w:t>
      </w:r>
    </w:p>
    <w:p w14:paraId="75E6ECC9">
      <w:pPr>
        <w:pStyle w:val="162"/>
      </w:pPr>
      <w:r>
        <w:rPr>
          <w:rFonts w:hint="eastAsia"/>
        </w:rPr>
        <w:t>挖矿检测分析：可展示挖矿类型分布、挖矿主机TOP信息及挖矿日志数据。</w:t>
      </w:r>
    </w:p>
    <w:p w14:paraId="3716D647">
      <w:pPr>
        <w:pStyle w:val="162"/>
      </w:pPr>
      <w:r>
        <w:rPr>
          <w:rFonts w:hint="eastAsia"/>
        </w:rPr>
        <w:t>翻墙行为分析：展示设备识别到翻墙应用的</w:t>
      </w:r>
      <w:r>
        <w:t>TOP</w:t>
      </w:r>
      <w:r>
        <w:rPr>
          <w:rFonts w:hint="eastAsia"/>
        </w:rPr>
        <w:t>用户、用户组，以及使用较多的</w:t>
      </w:r>
      <w:r>
        <w:t>TOP</w:t>
      </w:r>
      <w:r>
        <w:rPr>
          <w:rFonts w:hint="eastAsia"/>
        </w:rPr>
        <w:t>翻墙应用软件。</w:t>
      </w:r>
    </w:p>
    <w:p w14:paraId="022733FE">
      <w:pPr>
        <w:pStyle w:val="5"/>
      </w:pPr>
      <w:bookmarkStart w:id="793" w:name="_Toc162341877"/>
      <w:bookmarkEnd w:id="793"/>
      <w:bookmarkStart w:id="794" w:name="_Toc162361865"/>
      <w:bookmarkEnd w:id="794"/>
      <w:bookmarkStart w:id="795" w:name="_Toc162341159"/>
      <w:bookmarkEnd w:id="795"/>
      <w:bookmarkStart w:id="796" w:name="_Toc162353308"/>
      <w:bookmarkEnd w:id="796"/>
      <w:bookmarkStart w:id="797" w:name="_Toc162362594"/>
      <w:bookmarkEnd w:id="797"/>
      <w:bookmarkStart w:id="798" w:name="_Toc196727961"/>
      <w:bookmarkStart w:id="799" w:name="_Toc194080628"/>
      <w:bookmarkStart w:id="800" w:name="_Toc23152395"/>
      <w:bookmarkStart w:id="801" w:name="_Toc99561314"/>
      <w:bookmarkStart w:id="802" w:name="_Toc15484627"/>
      <w:bookmarkStart w:id="803" w:name="_Toc141873264"/>
      <w:bookmarkStart w:id="804" w:name="_Toc142400777"/>
      <w:bookmarkStart w:id="805" w:name="_Toc172217987"/>
      <w:bookmarkStart w:id="806" w:name="_Toc40275828"/>
      <w:r>
        <w:rPr>
          <w:rFonts w:hint="eastAsia"/>
        </w:rPr>
        <w:t>安全事件分析</w:t>
      </w:r>
      <w:bookmarkEnd w:id="798"/>
      <w:bookmarkEnd w:id="799"/>
      <w:bookmarkEnd w:id="800"/>
      <w:bookmarkEnd w:id="801"/>
      <w:bookmarkEnd w:id="802"/>
      <w:bookmarkEnd w:id="803"/>
      <w:bookmarkEnd w:id="804"/>
      <w:bookmarkEnd w:id="805"/>
      <w:bookmarkEnd w:id="806"/>
    </w:p>
    <w:p w14:paraId="350254B7">
      <w:r>
        <w:rPr>
          <w:rFonts w:hint="eastAsia"/>
        </w:rPr>
        <w:t>在导航栏中选择“数据中心&gt;安全分析&gt;安全事件分析”</w:t>
      </w:r>
      <w:r>
        <w:t>进入</w:t>
      </w:r>
      <w:r>
        <w:rPr>
          <w:rFonts w:hint="eastAsia"/>
        </w:rPr>
        <w:t>安全事件分析</w:t>
      </w:r>
      <w:r>
        <w:t>页面</w:t>
      </w:r>
      <w:r>
        <w:rPr>
          <w:rFonts w:hint="eastAsia"/>
        </w:rPr>
        <w:t>，包括攻击源地域分布、风险级别、攻击次数等，如</w:t>
      </w:r>
      <w:r>
        <w:rPr>
          <w:color w:val="0000FF"/>
          <w:u w:val="single"/>
        </w:rPr>
        <w:fldChar w:fldCharType="begin"/>
      </w:r>
      <w:r>
        <w:instrText xml:space="preserve"> </w:instrText>
      </w:r>
      <w:r>
        <w:rPr>
          <w:rFonts w:hint="eastAsia"/>
        </w:rPr>
        <w:instrText xml:space="preserve">REF _Ref15390026 \r \h</w:instrText>
      </w:r>
      <w:r>
        <w:instrText xml:space="preserve"> </w:instrText>
      </w:r>
      <w:r>
        <w:rPr>
          <w:color w:val="0000FF"/>
          <w:u w:val="single"/>
        </w:rPr>
        <w:fldChar w:fldCharType="separate"/>
      </w:r>
      <w:r>
        <w:rPr>
          <w:rFonts w:hint="eastAsia"/>
        </w:rPr>
        <w:t>图4-67</w:t>
      </w:r>
      <w:r>
        <w:rPr>
          <w:color w:val="0000FF"/>
          <w:u w:val="single"/>
        </w:rPr>
        <w:fldChar w:fldCharType="end"/>
      </w:r>
      <w:r>
        <w:t>所示</w:t>
      </w:r>
      <w:r>
        <w:rPr>
          <w:rFonts w:hint="eastAsia"/>
        </w:rPr>
        <w:t>。</w:t>
      </w:r>
    </w:p>
    <w:p w14:paraId="3578C83A">
      <w:pPr>
        <w:pStyle w:val="188"/>
      </w:pPr>
      <w:bookmarkStart w:id="807" w:name="_Ref15390026"/>
      <w:bookmarkStart w:id="808" w:name="_Toc141874438"/>
      <w:r>
        <w:rPr>
          <w:rFonts w:hint="eastAsia"/>
        </w:rPr>
        <w:t>安全事件分析</w:t>
      </w:r>
      <w:bookmarkEnd w:id="807"/>
      <w:bookmarkEnd w:id="808"/>
    </w:p>
    <w:p w14:paraId="75A61815">
      <w:pPr>
        <w:spacing w:before="79" w:after="79"/>
      </w:pPr>
      <w:r>
        <w:drawing>
          <wp:inline distT="0" distB="0" distL="0" distR="0">
            <wp:extent cx="5172075" cy="2914015"/>
            <wp:effectExtent l="0" t="0" r="0" b="635"/>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pic:cNvPicPr>
                      <a:picLocks noChangeAspect="1"/>
                    </pic:cNvPicPr>
                  </pic:nvPicPr>
                  <pic:blipFill>
                    <a:blip r:embed="rId132"/>
                    <a:stretch>
                      <a:fillRect/>
                    </a:stretch>
                  </pic:blipFill>
                  <pic:spPr>
                    <a:xfrm>
                      <a:off x="0" y="0"/>
                      <a:ext cx="5178117" cy="2917867"/>
                    </a:xfrm>
                    <a:prstGeom prst="rect">
                      <a:avLst/>
                    </a:prstGeom>
                  </pic:spPr>
                </pic:pic>
              </a:graphicData>
            </a:graphic>
          </wp:inline>
        </w:drawing>
      </w:r>
    </w:p>
    <w:p w14:paraId="7FF6D49D"/>
    <w:p w14:paraId="3B4775F5">
      <w:r>
        <w:rPr>
          <w:rFonts w:hint="eastAsia"/>
        </w:rPr>
        <w:t>对安全事件分析的详细说明如</w:t>
      </w:r>
      <w:r>
        <w:rPr>
          <w:color w:val="0000FF"/>
          <w:u w:val="single"/>
        </w:rPr>
        <w:fldChar w:fldCharType="begin"/>
      </w:r>
      <w:r>
        <w:instrText xml:space="preserve"> </w:instrText>
      </w:r>
      <w:r>
        <w:rPr>
          <w:rFonts w:hint="eastAsia"/>
        </w:rPr>
        <w:instrText xml:space="preserve">REF _Ref15390032 \r \h</w:instrText>
      </w:r>
      <w:r>
        <w:instrText xml:space="preserve"> </w:instrText>
      </w:r>
      <w:r>
        <w:rPr>
          <w:color w:val="0000FF"/>
          <w:u w:val="single"/>
        </w:rPr>
        <w:fldChar w:fldCharType="separate"/>
      </w:r>
      <w:r>
        <w:rPr>
          <w:rFonts w:hint="eastAsia"/>
        </w:rPr>
        <w:t>表4-1</w:t>
      </w:r>
      <w:r>
        <w:rPr>
          <w:color w:val="0000FF"/>
          <w:u w:val="single"/>
        </w:rPr>
        <w:fldChar w:fldCharType="end"/>
      </w:r>
      <w:r>
        <w:rPr>
          <w:rFonts w:hint="eastAsia"/>
        </w:rPr>
        <w:t>所示。</w:t>
      </w:r>
    </w:p>
    <w:p w14:paraId="3F8519A3">
      <w:pPr>
        <w:pStyle w:val="183"/>
      </w:pPr>
      <w:bookmarkStart w:id="809" w:name="_Ref15390032"/>
      <w:bookmarkStart w:id="810" w:name="_Toc141875399"/>
      <w:r>
        <w:rPr>
          <w:rFonts w:hint="eastAsia"/>
        </w:rPr>
        <w:t>用户流量</w:t>
      </w:r>
      <w:r>
        <w:t>说明</w:t>
      </w:r>
      <w:bookmarkEnd w:id="809"/>
      <w:bookmarkEnd w:id="810"/>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86"/>
        <w:gridCol w:w="6528"/>
      </w:tblGrid>
      <w:tr w14:paraId="35BFE9F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70354FB0">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42" w:type="dxa"/>
            <w:tcBorders>
              <w:tl2br w:val="nil"/>
              <w:tr2bl w:val="nil"/>
            </w:tcBorders>
            <w:shd w:val="clear" w:color="auto" w:fill="538135" w:themeFill="accent6" w:themeFillShade="BF"/>
            <w:vAlign w:val="center"/>
          </w:tcPr>
          <w:p w14:paraId="483F0C19">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77BDE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1E80264A">
            <w:pPr>
              <w:pStyle w:val="186"/>
              <w:widowControl w:val="0"/>
              <w:spacing w:line="240" w:lineRule="auto"/>
              <w:ind w:firstLine="0"/>
              <w:jc w:val="left"/>
            </w:pPr>
            <w:r>
              <w:rPr>
                <w:rFonts w:hint="eastAsia"/>
              </w:rPr>
              <w:t>统计时间</w:t>
            </w:r>
          </w:p>
        </w:tc>
        <w:tc>
          <w:tcPr>
            <w:tcW w:w="6542" w:type="dxa"/>
            <w:shd w:val="clear" w:color="auto" w:fill="auto"/>
          </w:tcPr>
          <w:p w14:paraId="3549B223">
            <w:pPr>
              <w:pStyle w:val="186"/>
              <w:widowControl w:val="0"/>
              <w:spacing w:line="240" w:lineRule="auto"/>
              <w:ind w:firstLine="0"/>
              <w:jc w:val="left"/>
            </w:pPr>
            <w:r>
              <w:rPr>
                <w:rFonts w:hint="eastAsia"/>
              </w:rPr>
              <w:t>设定显示的时间跨度，可选的值有：</w:t>
            </w:r>
          </w:p>
          <w:p w14:paraId="6743A69B">
            <w:pPr>
              <w:pStyle w:val="207"/>
            </w:pPr>
            <w:r>
              <w:rPr>
                <w:rFonts w:hint="eastAsia"/>
              </w:rPr>
              <w:t>最近一天</w:t>
            </w:r>
          </w:p>
          <w:p w14:paraId="295B637F">
            <w:pPr>
              <w:pStyle w:val="207"/>
            </w:pPr>
            <w:r>
              <w:rPr>
                <w:rFonts w:hint="eastAsia"/>
              </w:rPr>
              <w:t>最近一周</w:t>
            </w:r>
          </w:p>
          <w:p w14:paraId="3204DB26">
            <w:pPr>
              <w:pStyle w:val="207"/>
            </w:pPr>
            <w:r>
              <w:rPr>
                <w:rFonts w:hint="eastAsia"/>
              </w:rPr>
              <w:t>最近一月</w:t>
            </w:r>
          </w:p>
          <w:p w14:paraId="7F581CBD">
            <w:pPr>
              <w:pStyle w:val="207"/>
            </w:pPr>
            <w:r>
              <w:rPr>
                <w:rFonts w:hint="eastAsia"/>
              </w:rPr>
              <w:t>自定义时间</w:t>
            </w:r>
          </w:p>
          <w:p w14:paraId="725379FD">
            <w:pPr>
              <w:pStyle w:val="186"/>
              <w:widowControl w:val="0"/>
              <w:spacing w:line="240" w:lineRule="auto"/>
              <w:ind w:firstLine="0"/>
              <w:jc w:val="left"/>
            </w:pPr>
            <w:r>
              <w:rPr>
                <w:rFonts w:hint="eastAsia"/>
              </w:rPr>
              <w:t>缺省情况下，显示最近一月的安全事件分析。</w:t>
            </w:r>
          </w:p>
        </w:tc>
      </w:tr>
      <w:tr w14:paraId="0204A3C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36142E51">
            <w:pPr>
              <w:pStyle w:val="186"/>
              <w:widowControl w:val="0"/>
              <w:spacing w:line="240" w:lineRule="auto"/>
              <w:ind w:firstLine="0"/>
              <w:jc w:val="left"/>
            </w:pPr>
            <w:r>
              <w:rPr>
                <w:rFonts w:hint="eastAsia"/>
              </w:rPr>
              <w:t>攻击源TOP</w:t>
            </w:r>
          </w:p>
        </w:tc>
        <w:tc>
          <w:tcPr>
            <w:tcW w:w="6542" w:type="dxa"/>
            <w:shd w:val="clear" w:color="auto" w:fill="auto"/>
          </w:tcPr>
          <w:p w14:paraId="3F41B464">
            <w:pPr>
              <w:pStyle w:val="186"/>
              <w:widowControl w:val="0"/>
              <w:spacing w:line="240" w:lineRule="auto"/>
              <w:ind w:firstLine="0"/>
              <w:jc w:val="left"/>
            </w:pPr>
            <w:r>
              <w:rPr>
                <w:rFonts w:hint="eastAsia"/>
              </w:rPr>
              <w:t>过滤显示TOP攻击源地址，可选的值有：</w:t>
            </w:r>
          </w:p>
          <w:p w14:paraId="56B2276F">
            <w:pPr>
              <w:pStyle w:val="207"/>
            </w:pPr>
            <w:r>
              <w:rPr>
                <w:rFonts w:hint="eastAsia"/>
              </w:rPr>
              <w:t>1</w:t>
            </w:r>
            <w:r>
              <w:t>0</w:t>
            </w:r>
          </w:p>
          <w:p w14:paraId="0B9FB5A1">
            <w:pPr>
              <w:pStyle w:val="207"/>
            </w:pPr>
            <w:r>
              <w:rPr>
                <w:rFonts w:hint="eastAsia"/>
              </w:rPr>
              <w:t>5</w:t>
            </w:r>
            <w:r>
              <w:t>0</w:t>
            </w:r>
          </w:p>
          <w:p w14:paraId="09078EF9">
            <w:pPr>
              <w:pStyle w:val="186"/>
              <w:widowControl w:val="0"/>
              <w:spacing w:line="240" w:lineRule="auto"/>
              <w:ind w:firstLine="0"/>
              <w:jc w:val="left"/>
            </w:pPr>
            <w:r>
              <w:rPr>
                <w:rFonts w:hint="eastAsia"/>
              </w:rPr>
              <w:t>缺省情况下，显示TOP</w:t>
            </w:r>
            <w:r>
              <w:t>10</w:t>
            </w:r>
            <w:r>
              <w:rPr>
                <w:rFonts w:hint="eastAsia"/>
              </w:rPr>
              <w:t>的攻击源。</w:t>
            </w:r>
          </w:p>
        </w:tc>
      </w:tr>
      <w:tr w14:paraId="3C9116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070AC68F">
            <w:pPr>
              <w:pStyle w:val="186"/>
              <w:widowControl w:val="0"/>
              <w:spacing w:line="240" w:lineRule="auto"/>
              <w:ind w:firstLine="0"/>
              <w:jc w:val="left"/>
            </w:pPr>
            <w:r>
              <w:rPr>
                <w:rFonts w:hint="eastAsia"/>
              </w:rPr>
              <w:t>查询</w:t>
            </w:r>
          </w:p>
        </w:tc>
        <w:tc>
          <w:tcPr>
            <w:tcW w:w="6542" w:type="dxa"/>
            <w:shd w:val="clear" w:color="auto" w:fill="auto"/>
          </w:tcPr>
          <w:p w14:paraId="43700C35">
            <w:pPr>
              <w:pStyle w:val="186"/>
              <w:widowControl w:val="0"/>
              <w:spacing w:line="240" w:lineRule="auto"/>
              <w:ind w:firstLine="0"/>
              <w:jc w:val="left"/>
            </w:pPr>
            <w:r>
              <w:rPr>
                <w:rFonts w:hint="eastAsia"/>
              </w:rPr>
              <w:t>点击查询，可以根据时间、级别、事件类型、攻击源、归属地、攻击目的进行组合查询。</w:t>
            </w:r>
          </w:p>
        </w:tc>
      </w:tr>
      <w:tr w14:paraId="7EE1D15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5257572">
            <w:pPr>
              <w:pStyle w:val="186"/>
              <w:widowControl w:val="0"/>
              <w:spacing w:line="240" w:lineRule="auto"/>
              <w:ind w:firstLine="0"/>
              <w:jc w:val="left"/>
            </w:pPr>
            <w:r>
              <w:rPr>
                <w:rFonts w:hint="eastAsia"/>
              </w:rPr>
              <w:t>攻击源</w:t>
            </w:r>
          </w:p>
        </w:tc>
        <w:tc>
          <w:tcPr>
            <w:tcW w:w="6542" w:type="dxa"/>
            <w:shd w:val="clear" w:color="auto" w:fill="auto"/>
          </w:tcPr>
          <w:p w14:paraId="29175342">
            <w:pPr>
              <w:pStyle w:val="186"/>
              <w:widowControl w:val="0"/>
              <w:spacing w:line="240" w:lineRule="auto"/>
              <w:ind w:firstLine="0"/>
              <w:jc w:val="left"/>
            </w:pPr>
            <w:r>
              <w:rPr>
                <w:rFonts w:hint="eastAsia"/>
              </w:rPr>
              <w:t>显示攻击地址。</w:t>
            </w:r>
          </w:p>
        </w:tc>
      </w:tr>
      <w:tr w14:paraId="562146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38289939">
            <w:pPr>
              <w:pStyle w:val="186"/>
              <w:widowControl w:val="0"/>
              <w:spacing w:line="240" w:lineRule="auto"/>
              <w:ind w:firstLine="0"/>
              <w:jc w:val="left"/>
            </w:pPr>
            <w:r>
              <w:rPr>
                <w:rFonts w:hint="eastAsia"/>
              </w:rPr>
              <w:t>归属地址</w:t>
            </w:r>
          </w:p>
        </w:tc>
        <w:tc>
          <w:tcPr>
            <w:tcW w:w="6542" w:type="dxa"/>
            <w:shd w:val="clear" w:color="auto" w:fill="auto"/>
          </w:tcPr>
          <w:p w14:paraId="088AF68D">
            <w:pPr>
              <w:pStyle w:val="186"/>
              <w:widowControl w:val="0"/>
              <w:spacing w:line="240" w:lineRule="auto"/>
              <w:ind w:firstLine="0"/>
              <w:jc w:val="left"/>
            </w:pPr>
            <w:r>
              <w:rPr>
                <w:rFonts w:hint="eastAsia"/>
              </w:rPr>
              <w:t>显示攻击地址所属归属地。</w:t>
            </w:r>
          </w:p>
        </w:tc>
      </w:tr>
      <w:tr w14:paraId="128FB7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55A24C2B">
            <w:pPr>
              <w:pStyle w:val="186"/>
              <w:widowControl w:val="0"/>
              <w:spacing w:line="240" w:lineRule="auto"/>
              <w:ind w:firstLine="0"/>
              <w:jc w:val="left"/>
            </w:pPr>
            <w:r>
              <w:rPr>
                <w:rFonts w:hint="eastAsia"/>
              </w:rPr>
              <w:t>级别</w:t>
            </w:r>
          </w:p>
        </w:tc>
        <w:tc>
          <w:tcPr>
            <w:tcW w:w="6542" w:type="dxa"/>
            <w:shd w:val="clear" w:color="auto" w:fill="auto"/>
          </w:tcPr>
          <w:p w14:paraId="4E50F339">
            <w:pPr>
              <w:pStyle w:val="186"/>
              <w:widowControl w:val="0"/>
              <w:spacing w:line="240" w:lineRule="auto"/>
              <w:ind w:firstLine="0"/>
              <w:jc w:val="left"/>
            </w:pPr>
            <w:r>
              <w:rPr>
                <w:rFonts w:hint="eastAsia"/>
              </w:rPr>
              <w:t>显示攻击源级别，且支持按照级别进行排序展示。</w:t>
            </w:r>
          </w:p>
        </w:tc>
      </w:tr>
      <w:tr w14:paraId="67E5D4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E75575C">
            <w:pPr>
              <w:pStyle w:val="186"/>
              <w:widowControl w:val="0"/>
              <w:spacing w:line="240" w:lineRule="auto"/>
              <w:ind w:firstLine="0"/>
              <w:jc w:val="left"/>
            </w:pPr>
            <w:r>
              <w:rPr>
                <w:rFonts w:hint="eastAsia"/>
              </w:rPr>
              <w:t>攻击次数</w:t>
            </w:r>
          </w:p>
        </w:tc>
        <w:tc>
          <w:tcPr>
            <w:tcW w:w="6542" w:type="dxa"/>
            <w:shd w:val="clear" w:color="auto" w:fill="auto"/>
          </w:tcPr>
          <w:p w14:paraId="66A520BD">
            <w:pPr>
              <w:pStyle w:val="186"/>
              <w:widowControl w:val="0"/>
              <w:spacing w:line="240" w:lineRule="auto"/>
              <w:ind w:firstLine="0"/>
              <w:jc w:val="left"/>
            </w:pPr>
            <w:r>
              <w:rPr>
                <w:rFonts w:hint="eastAsia"/>
              </w:rPr>
              <w:t>显示攻击源攻击次数，且支持按照攻击次数进行排序展示。</w:t>
            </w:r>
          </w:p>
        </w:tc>
      </w:tr>
      <w:tr w14:paraId="679DA1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727ED8E">
            <w:pPr>
              <w:pStyle w:val="186"/>
              <w:widowControl w:val="0"/>
              <w:spacing w:line="240" w:lineRule="auto"/>
              <w:ind w:firstLine="0"/>
              <w:jc w:val="left"/>
            </w:pPr>
            <w:r>
              <w:rPr>
                <w:rFonts w:hint="eastAsia"/>
              </w:rPr>
              <w:t>开始时间</w:t>
            </w:r>
          </w:p>
        </w:tc>
        <w:tc>
          <w:tcPr>
            <w:tcW w:w="6542" w:type="dxa"/>
            <w:shd w:val="clear" w:color="auto" w:fill="auto"/>
          </w:tcPr>
          <w:p w14:paraId="51D15B05">
            <w:pPr>
              <w:pStyle w:val="186"/>
              <w:widowControl w:val="0"/>
              <w:spacing w:line="240" w:lineRule="auto"/>
              <w:ind w:firstLine="0"/>
              <w:jc w:val="left"/>
            </w:pPr>
            <w:r>
              <w:rPr>
                <w:rFonts w:hint="eastAsia"/>
              </w:rPr>
              <w:t>攻击源第一次记录日志的时间。</w:t>
            </w:r>
          </w:p>
        </w:tc>
      </w:tr>
      <w:tr w14:paraId="20AD729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53C93A3">
            <w:pPr>
              <w:pStyle w:val="186"/>
              <w:widowControl w:val="0"/>
              <w:spacing w:line="240" w:lineRule="auto"/>
              <w:ind w:firstLine="0"/>
              <w:jc w:val="left"/>
            </w:pPr>
            <w:r>
              <w:rPr>
                <w:rFonts w:hint="eastAsia"/>
              </w:rPr>
              <w:t>结束时间</w:t>
            </w:r>
          </w:p>
        </w:tc>
        <w:tc>
          <w:tcPr>
            <w:tcW w:w="6542" w:type="dxa"/>
            <w:shd w:val="clear" w:color="auto" w:fill="auto"/>
          </w:tcPr>
          <w:p w14:paraId="1FF8A3B7">
            <w:pPr>
              <w:pStyle w:val="186"/>
              <w:widowControl w:val="0"/>
              <w:spacing w:line="240" w:lineRule="auto"/>
              <w:ind w:firstLine="0"/>
              <w:jc w:val="left"/>
            </w:pPr>
            <w:r>
              <w:rPr>
                <w:rFonts w:hint="eastAsia"/>
              </w:rPr>
              <w:t>攻击源最近一次记录日志的时间。</w:t>
            </w:r>
          </w:p>
        </w:tc>
      </w:tr>
      <w:tr w14:paraId="4E6DF1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391276F5">
            <w:pPr>
              <w:pStyle w:val="186"/>
              <w:widowControl w:val="0"/>
              <w:spacing w:line="240" w:lineRule="auto"/>
              <w:ind w:firstLine="0"/>
              <w:jc w:val="left"/>
            </w:pPr>
            <w:r>
              <w:rPr>
                <w:rFonts w:hint="eastAsia"/>
              </w:rPr>
              <w:t>操作</w:t>
            </w:r>
          </w:p>
        </w:tc>
        <w:tc>
          <w:tcPr>
            <w:tcW w:w="6542" w:type="dxa"/>
            <w:shd w:val="clear" w:color="auto" w:fill="auto"/>
          </w:tcPr>
          <w:p w14:paraId="146A55E5">
            <w:pPr>
              <w:pStyle w:val="186"/>
              <w:widowControl w:val="0"/>
              <w:spacing w:line="240" w:lineRule="auto"/>
              <w:ind w:firstLine="0"/>
              <w:jc w:val="left"/>
            </w:pPr>
            <w:r>
              <w:rPr>
                <w:rFonts w:hint="eastAsia"/>
              </w:rPr>
              <w:t>点击加入黑名单，可将此攻击源永久加入黑名单。</w:t>
            </w:r>
          </w:p>
        </w:tc>
      </w:tr>
    </w:tbl>
    <w:p w14:paraId="6ACB4EE0"/>
    <w:p w14:paraId="149DD24D">
      <w:r>
        <w:rPr>
          <w:rFonts w:hint="eastAsia"/>
        </w:rPr>
        <w:t>点击“安全事件分析”表格里面的攻击源列里面的IP地址，进入对应攻击源详细统计的页面，如</w:t>
      </w:r>
      <w:r>
        <w:rPr>
          <w:color w:val="0000FF"/>
          <w:u w:val="single"/>
        </w:rPr>
        <w:fldChar w:fldCharType="begin"/>
      </w:r>
      <w:r>
        <w:instrText xml:space="preserve"> </w:instrText>
      </w:r>
      <w:r>
        <w:rPr>
          <w:rFonts w:hint="eastAsia"/>
        </w:rPr>
        <w:instrText xml:space="preserve">REF _Ref15390039 \r \h</w:instrText>
      </w:r>
      <w:r>
        <w:instrText xml:space="preserve"> </w:instrText>
      </w:r>
      <w:r>
        <w:rPr>
          <w:color w:val="0000FF"/>
          <w:u w:val="single"/>
        </w:rPr>
        <w:fldChar w:fldCharType="separate"/>
      </w:r>
      <w:r>
        <w:rPr>
          <w:rFonts w:hint="eastAsia"/>
        </w:rPr>
        <w:t>图4-68</w:t>
      </w:r>
      <w:r>
        <w:rPr>
          <w:color w:val="0000FF"/>
          <w:u w:val="single"/>
        </w:rPr>
        <w:fldChar w:fldCharType="end"/>
      </w:r>
      <w:r>
        <w:rPr>
          <w:rFonts w:hint="eastAsia"/>
        </w:rPr>
        <w:t>所示。</w:t>
      </w:r>
    </w:p>
    <w:p w14:paraId="05998F3F">
      <w:pPr>
        <w:pStyle w:val="188"/>
      </w:pPr>
      <w:bookmarkStart w:id="811" w:name="_Toc141874439"/>
      <w:bookmarkStart w:id="812" w:name="_Ref15390039"/>
      <w:r>
        <w:rPr>
          <w:rFonts w:hint="eastAsia"/>
        </w:rPr>
        <w:t>单个攻击源详细统计</w:t>
      </w:r>
      <w:bookmarkEnd w:id="811"/>
      <w:bookmarkEnd w:id="812"/>
    </w:p>
    <w:p w14:paraId="6F190AFF">
      <w:pPr>
        <w:spacing w:before="79" w:after="79"/>
      </w:pPr>
      <w:r>
        <w:t xml:space="preserve"> </w:t>
      </w:r>
      <w:r>
        <w:drawing>
          <wp:inline distT="0" distB="0" distL="0" distR="0">
            <wp:extent cx="5305425" cy="1518285"/>
            <wp:effectExtent l="0" t="0" r="0" b="5715"/>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pic:cNvPicPr>
                  </pic:nvPicPr>
                  <pic:blipFill>
                    <a:blip r:embed="rId133"/>
                    <a:stretch>
                      <a:fillRect/>
                    </a:stretch>
                  </pic:blipFill>
                  <pic:spPr>
                    <a:xfrm>
                      <a:off x="0" y="0"/>
                      <a:ext cx="5367701" cy="1536413"/>
                    </a:xfrm>
                    <a:prstGeom prst="rect">
                      <a:avLst/>
                    </a:prstGeom>
                  </pic:spPr>
                </pic:pic>
              </a:graphicData>
            </a:graphic>
          </wp:inline>
        </w:drawing>
      </w:r>
    </w:p>
    <w:p w14:paraId="2EC7D1CC"/>
    <w:p w14:paraId="42C84E02">
      <w:r>
        <w:rPr>
          <w:rFonts w:hint="eastAsia"/>
        </w:rPr>
        <w:t>单个攻击源详细统计的详细说明如</w:t>
      </w:r>
      <w:r>
        <w:rPr>
          <w:color w:val="0000FF"/>
          <w:u w:val="single"/>
        </w:rPr>
        <w:fldChar w:fldCharType="begin"/>
      </w:r>
      <w:r>
        <w:instrText xml:space="preserve"> </w:instrText>
      </w:r>
      <w:r>
        <w:rPr>
          <w:rFonts w:hint="eastAsia"/>
        </w:rPr>
        <w:instrText xml:space="preserve">REF _Ref15390042 \r \h</w:instrText>
      </w:r>
      <w:r>
        <w:instrText xml:space="preserve"> </w:instrText>
      </w:r>
      <w:r>
        <w:rPr>
          <w:color w:val="0000FF"/>
          <w:u w:val="single"/>
        </w:rPr>
        <w:fldChar w:fldCharType="separate"/>
      </w:r>
      <w:r>
        <w:rPr>
          <w:rFonts w:hint="eastAsia"/>
        </w:rPr>
        <w:t>表4-1</w:t>
      </w:r>
      <w:r>
        <w:rPr>
          <w:color w:val="0000FF"/>
          <w:u w:val="single"/>
        </w:rPr>
        <w:fldChar w:fldCharType="end"/>
      </w:r>
      <w:r>
        <w:rPr>
          <w:rFonts w:hint="eastAsia"/>
        </w:rPr>
        <w:t>所示。</w:t>
      </w:r>
    </w:p>
    <w:p w14:paraId="196586D5">
      <w:pPr>
        <w:pStyle w:val="183"/>
      </w:pPr>
      <w:bookmarkStart w:id="813" w:name="_Ref15390042"/>
      <w:bookmarkStart w:id="814" w:name="_Toc141875400"/>
      <w:r>
        <w:rPr>
          <w:rFonts w:hint="eastAsia"/>
        </w:rPr>
        <w:t>单个用户流量统计说明</w:t>
      </w:r>
      <w:bookmarkEnd w:id="813"/>
      <w:bookmarkEnd w:id="814"/>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85"/>
        <w:gridCol w:w="6529"/>
      </w:tblGrid>
      <w:tr w14:paraId="59D3DE3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tcBorders>
              <w:tl2br w:val="nil"/>
              <w:tr2bl w:val="nil"/>
            </w:tcBorders>
            <w:shd w:val="clear" w:color="auto" w:fill="538135" w:themeFill="accent6" w:themeFillShade="BF"/>
            <w:vAlign w:val="center"/>
          </w:tcPr>
          <w:p w14:paraId="66F266A1">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29" w:type="dxa"/>
            <w:tcBorders>
              <w:tl2br w:val="nil"/>
              <w:tr2bl w:val="nil"/>
            </w:tcBorders>
            <w:shd w:val="clear" w:color="auto" w:fill="538135" w:themeFill="accent6" w:themeFillShade="BF"/>
            <w:vAlign w:val="center"/>
          </w:tcPr>
          <w:p w14:paraId="7C5812BD">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A59427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300099B5">
            <w:pPr>
              <w:pStyle w:val="186"/>
              <w:widowControl w:val="0"/>
              <w:spacing w:line="240" w:lineRule="auto"/>
              <w:ind w:firstLine="0"/>
              <w:jc w:val="left"/>
            </w:pPr>
            <w:r>
              <w:rPr>
                <w:rFonts w:hint="eastAsia"/>
              </w:rPr>
              <w:t>统计时间</w:t>
            </w:r>
          </w:p>
        </w:tc>
        <w:tc>
          <w:tcPr>
            <w:tcW w:w="6529" w:type="dxa"/>
            <w:shd w:val="clear" w:color="auto" w:fill="auto"/>
          </w:tcPr>
          <w:p w14:paraId="2215714C">
            <w:pPr>
              <w:pStyle w:val="186"/>
              <w:widowControl w:val="0"/>
              <w:spacing w:line="240" w:lineRule="auto"/>
              <w:ind w:firstLine="0"/>
              <w:jc w:val="left"/>
            </w:pPr>
            <w:r>
              <w:rPr>
                <w:rFonts w:hint="eastAsia"/>
              </w:rPr>
              <w:t>设定显示的时间跨度，可选的值有：</w:t>
            </w:r>
          </w:p>
          <w:p w14:paraId="2BA84175">
            <w:pPr>
              <w:pStyle w:val="207"/>
            </w:pPr>
            <w:r>
              <w:rPr>
                <w:rFonts w:hint="eastAsia"/>
              </w:rPr>
              <w:t>最近一天</w:t>
            </w:r>
          </w:p>
          <w:p w14:paraId="70E3FEF7">
            <w:pPr>
              <w:pStyle w:val="207"/>
            </w:pPr>
            <w:r>
              <w:rPr>
                <w:rFonts w:hint="eastAsia"/>
              </w:rPr>
              <w:t>最近一周</w:t>
            </w:r>
          </w:p>
          <w:p w14:paraId="75B94549">
            <w:pPr>
              <w:pStyle w:val="207"/>
            </w:pPr>
            <w:r>
              <w:rPr>
                <w:rFonts w:hint="eastAsia"/>
              </w:rPr>
              <w:t>最近一月</w:t>
            </w:r>
          </w:p>
          <w:p w14:paraId="5FA3EF96">
            <w:pPr>
              <w:pStyle w:val="207"/>
            </w:pPr>
            <w:r>
              <w:rPr>
                <w:rFonts w:hint="eastAsia"/>
              </w:rPr>
              <w:t>自定义时间</w:t>
            </w:r>
          </w:p>
          <w:p w14:paraId="2F2B4741">
            <w:pPr>
              <w:pStyle w:val="186"/>
              <w:widowControl w:val="0"/>
              <w:spacing w:line="240" w:lineRule="auto"/>
              <w:ind w:firstLine="0"/>
              <w:jc w:val="left"/>
            </w:pPr>
            <w:r>
              <w:rPr>
                <w:rFonts w:hint="eastAsia"/>
              </w:rPr>
              <w:t>缺省情况下，显示自定义时间的攻击源详细统计。</w:t>
            </w:r>
          </w:p>
        </w:tc>
      </w:tr>
      <w:tr w14:paraId="142901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3D576509">
            <w:pPr>
              <w:pStyle w:val="186"/>
              <w:widowControl w:val="0"/>
              <w:spacing w:line="240" w:lineRule="auto"/>
              <w:ind w:firstLine="0"/>
              <w:jc w:val="left"/>
            </w:pPr>
            <w:r>
              <w:rPr>
                <w:rFonts w:hint="eastAsia"/>
              </w:rPr>
              <w:t>攻击链</w:t>
            </w:r>
          </w:p>
        </w:tc>
        <w:tc>
          <w:tcPr>
            <w:tcW w:w="6529" w:type="dxa"/>
            <w:shd w:val="clear" w:color="auto" w:fill="auto"/>
          </w:tcPr>
          <w:p w14:paraId="5CCBDEA3">
            <w:pPr>
              <w:pStyle w:val="186"/>
              <w:widowControl w:val="0"/>
              <w:spacing w:line="240" w:lineRule="auto"/>
              <w:ind w:firstLine="0"/>
              <w:jc w:val="left"/>
            </w:pPr>
            <w:r>
              <w:rPr>
                <w:rFonts w:hint="eastAsia"/>
              </w:rPr>
              <w:t>点击不同阶段的攻击链，可以过滤展示此阶段产生的日志。</w:t>
            </w:r>
          </w:p>
        </w:tc>
      </w:tr>
      <w:tr w14:paraId="3933639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042320D8">
            <w:pPr>
              <w:pStyle w:val="186"/>
              <w:widowControl w:val="0"/>
              <w:spacing w:line="240" w:lineRule="auto"/>
              <w:ind w:firstLine="0"/>
              <w:jc w:val="left"/>
            </w:pPr>
            <w:r>
              <w:rPr>
                <w:rFonts w:hint="eastAsia"/>
              </w:rPr>
              <w:t>查询</w:t>
            </w:r>
          </w:p>
        </w:tc>
        <w:tc>
          <w:tcPr>
            <w:tcW w:w="6529" w:type="dxa"/>
            <w:shd w:val="clear" w:color="auto" w:fill="auto"/>
          </w:tcPr>
          <w:p w14:paraId="52AFB158">
            <w:pPr>
              <w:pStyle w:val="186"/>
              <w:widowControl w:val="0"/>
              <w:spacing w:line="240" w:lineRule="auto"/>
              <w:ind w:firstLine="0"/>
              <w:jc w:val="left"/>
            </w:pPr>
            <w:r>
              <w:rPr>
                <w:rFonts w:hint="eastAsia"/>
              </w:rPr>
              <w:t>点击查询，可以根据时间、级别、事件类型、攻击源、归属地、攻击目的进行组合查询。</w:t>
            </w:r>
          </w:p>
        </w:tc>
      </w:tr>
      <w:tr w14:paraId="049638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03819EC3">
            <w:pPr>
              <w:pStyle w:val="186"/>
              <w:widowControl w:val="0"/>
              <w:spacing w:line="240" w:lineRule="auto"/>
              <w:ind w:firstLine="0"/>
              <w:jc w:val="left"/>
            </w:pPr>
            <w:r>
              <w:rPr>
                <w:rFonts w:hint="eastAsia"/>
              </w:rPr>
              <w:t>时间</w:t>
            </w:r>
          </w:p>
        </w:tc>
        <w:tc>
          <w:tcPr>
            <w:tcW w:w="6529" w:type="dxa"/>
            <w:shd w:val="clear" w:color="auto" w:fill="auto"/>
          </w:tcPr>
          <w:p w14:paraId="1EB443B5">
            <w:pPr>
              <w:pStyle w:val="186"/>
              <w:widowControl w:val="0"/>
              <w:spacing w:line="240" w:lineRule="auto"/>
              <w:ind w:firstLine="0"/>
              <w:jc w:val="left"/>
            </w:pPr>
            <w:r>
              <w:rPr>
                <w:rFonts w:hint="eastAsia"/>
              </w:rPr>
              <w:t>日志记录时间。</w:t>
            </w:r>
          </w:p>
        </w:tc>
      </w:tr>
      <w:tr w14:paraId="3CC60CE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11FB52CC">
            <w:pPr>
              <w:pStyle w:val="186"/>
              <w:widowControl w:val="0"/>
              <w:spacing w:line="240" w:lineRule="auto"/>
              <w:ind w:firstLine="0"/>
              <w:jc w:val="left"/>
            </w:pPr>
            <w:r>
              <w:rPr>
                <w:rFonts w:hint="eastAsia"/>
              </w:rPr>
              <w:t>级别</w:t>
            </w:r>
          </w:p>
        </w:tc>
        <w:tc>
          <w:tcPr>
            <w:tcW w:w="6529" w:type="dxa"/>
            <w:shd w:val="clear" w:color="auto" w:fill="auto"/>
          </w:tcPr>
          <w:p w14:paraId="71A407A4">
            <w:pPr>
              <w:pStyle w:val="186"/>
              <w:widowControl w:val="0"/>
              <w:spacing w:line="240" w:lineRule="auto"/>
              <w:ind w:firstLine="0"/>
              <w:jc w:val="left"/>
            </w:pPr>
            <w:r>
              <w:rPr>
                <w:rFonts w:hint="eastAsia"/>
              </w:rPr>
              <w:t>日志记录级别。</w:t>
            </w:r>
          </w:p>
        </w:tc>
      </w:tr>
      <w:tr w14:paraId="78B135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14E8AF3D">
            <w:pPr>
              <w:pStyle w:val="186"/>
              <w:widowControl w:val="0"/>
              <w:spacing w:line="240" w:lineRule="auto"/>
              <w:ind w:firstLine="0"/>
              <w:jc w:val="left"/>
            </w:pPr>
            <w:r>
              <w:rPr>
                <w:rFonts w:hint="eastAsia"/>
              </w:rPr>
              <w:t>攻击目的</w:t>
            </w:r>
          </w:p>
        </w:tc>
        <w:tc>
          <w:tcPr>
            <w:tcW w:w="6529" w:type="dxa"/>
            <w:shd w:val="clear" w:color="auto" w:fill="auto"/>
          </w:tcPr>
          <w:p w14:paraId="3D978409">
            <w:pPr>
              <w:pStyle w:val="186"/>
              <w:widowControl w:val="0"/>
              <w:spacing w:line="240" w:lineRule="auto"/>
              <w:ind w:firstLine="0"/>
              <w:jc w:val="left"/>
            </w:pPr>
            <w:r>
              <w:rPr>
                <w:rFonts w:hint="eastAsia"/>
              </w:rPr>
              <w:t>被攻击地址。</w:t>
            </w:r>
          </w:p>
        </w:tc>
      </w:tr>
      <w:tr w14:paraId="09B724D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414CD6CA">
            <w:pPr>
              <w:pStyle w:val="186"/>
              <w:widowControl w:val="0"/>
              <w:spacing w:line="240" w:lineRule="auto"/>
              <w:ind w:firstLine="0"/>
              <w:jc w:val="left"/>
            </w:pPr>
            <w:r>
              <w:rPr>
                <w:rFonts w:hint="eastAsia"/>
              </w:rPr>
              <w:t>检测模块</w:t>
            </w:r>
          </w:p>
        </w:tc>
        <w:tc>
          <w:tcPr>
            <w:tcW w:w="6529" w:type="dxa"/>
            <w:shd w:val="clear" w:color="auto" w:fill="auto"/>
          </w:tcPr>
          <w:p w14:paraId="3BD8DD86">
            <w:pPr>
              <w:pStyle w:val="186"/>
              <w:widowControl w:val="0"/>
              <w:spacing w:line="240" w:lineRule="auto"/>
              <w:ind w:firstLine="0"/>
              <w:jc w:val="left"/>
            </w:pPr>
            <w:r>
              <w:rPr>
                <w:rFonts w:hint="eastAsia"/>
              </w:rPr>
              <w:t>攻击检测模块。</w:t>
            </w:r>
          </w:p>
        </w:tc>
      </w:tr>
      <w:tr w14:paraId="738636B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520DFB31">
            <w:pPr>
              <w:pStyle w:val="186"/>
              <w:widowControl w:val="0"/>
              <w:spacing w:line="240" w:lineRule="auto"/>
              <w:ind w:firstLine="0"/>
              <w:jc w:val="left"/>
            </w:pPr>
            <w:r>
              <w:rPr>
                <w:rFonts w:hint="eastAsia"/>
              </w:rPr>
              <w:t>事件类型</w:t>
            </w:r>
          </w:p>
        </w:tc>
        <w:tc>
          <w:tcPr>
            <w:tcW w:w="6529" w:type="dxa"/>
            <w:shd w:val="clear" w:color="auto" w:fill="auto"/>
          </w:tcPr>
          <w:p w14:paraId="7D6A5685">
            <w:pPr>
              <w:pStyle w:val="186"/>
              <w:widowControl w:val="0"/>
              <w:spacing w:line="240" w:lineRule="auto"/>
              <w:ind w:firstLine="0"/>
              <w:jc w:val="left"/>
            </w:pPr>
            <w:r>
              <w:rPr>
                <w:rFonts w:hint="eastAsia"/>
              </w:rPr>
              <w:t>攻击日志所属的事件类型。</w:t>
            </w:r>
          </w:p>
        </w:tc>
      </w:tr>
      <w:tr w14:paraId="0706E7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7EEDAA79">
            <w:pPr>
              <w:pStyle w:val="186"/>
              <w:widowControl w:val="0"/>
              <w:spacing w:line="240" w:lineRule="auto"/>
              <w:ind w:firstLine="0"/>
              <w:jc w:val="left"/>
            </w:pPr>
            <w:r>
              <w:rPr>
                <w:rFonts w:hint="eastAsia"/>
              </w:rPr>
              <w:t>事件名称</w:t>
            </w:r>
          </w:p>
        </w:tc>
        <w:tc>
          <w:tcPr>
            <w:tcW w:w="6529" w:type="dxa"/>
            <w:shd w:val="clear" w:color="auto" w:fill="auto"/>
          </w:tcPr>
          <w:p w14:paraId="7EB1D35F">
            <w:pPr>
              <w:pStyle w:val="186"/>
              <w:widowControl w:val="0"/>
              <w:spacing w:line="240" w:lineRule="auto"/>
              <w:ind w:firstLine="0"/>
              <w:jc w:val="left"/>
            </w:pPr>
            <w:r>
              <w:rPr>
                <w:rFonts w:hint="eastAsia"/>
              </w:rPr>
              <w:t>事件类型的描述。</w:t>
            </w:r>
          </w:p>
        </w:tc>
      </w:tr>
      <w:tr w14:paraId="38D25A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2EF02E81">
            <w:pPr>
              <w:pStyle w:val="186"/>
              <w:widowControl w:val="0"/>
              <w:spacing w:line="240" w:lineRule="auto"/>
              <w:ind w:firstLine="0"/>
              <w:jc w:val="left"/>
            </w:pPr>
            <w:r>
              <w:rPr>
                <w:rFonts w:hint="eastAsia"/>
              </w:rPr>
              <w:t>行为</w:t>
            </w:r>
          </w:p>
        </w:tc>
        <w:tc>
          <w:tcPr>
            <w:tcW w:w="6529" w:type="dxa"/>
            <w:shd w:val="clear" w:color="auto" w:fill="auto"/>
          </w:tcPr>
          <w:p w14:paraId="4F34D4BE">
            <w:pPr>
              <w:pStyle w:val="186"/>
              <w:widowControl w:val="0"/>
              <w:spacing w:line="240" w:lineRule="auto"/>
              <w:ind w:firstLine="0"/>
              <w:jc w:val="left"/>
            </w:pPr>
            <w:r>
              <w:rPr>
                <w:rFonts w:hint="eastAsia"/>
              </w:rPr>
              <w:t>显示此攻击的处理动作。</w:t>
            </w:r>
          </w:p>
        </w:tc>
      </w:tr>
      <w:tr w14:paraId="5F34402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78EAE77D">
            <w:pPr>
              <w:pStyle w:val="186"/>
              <w:widowControl w:val="0"/>
              <w:spacing w:line="240" w:lineRule="auto"/>
              <w:ind w:firstLine="0"/>
              <w:jc w:val="left"/>
            </w:pPr>
            <w:r>
              <w:rPr>
                <w:rFonts w:hint="eastAsia"/>
              </w:rPr>
              <w:t>操作</w:t>
            </w:r>
          </w:p>
        </w:tc>
        <w:tc>
          <w:tcPr>
            <w:tcW w:w="6529" w:type="dxa"/>
            <w:shd w:val="clear" w:color="auto" w:fill="auto"/>
          </w:tcPr>
          <w:p w14:paraId="66BF97ED">
            <w:pPr>
              <w:pStyle w:val="186"/>
              <w:widowControl w:val="0"/>
              <w:spacing w:line="240" w:lineRule="auto"/>
              <w:ind w:firstLine="0"/>
              <w:jc w:val="left"/>
            </w:pPr>
            <w:r>
              <w:rPr>
                <w:rFonts w:hint="eastAsia"/>
              </w:rPr>
              <w:t>点击详细，展示详细的匹配信息和事件信息。</w:t>
            </w:r>
          </w:p>
        </w:tc>
      </w:tr>
    </w:tbl>
    <w:p w14:paraId="728D1471"/>
    <w:p w14:paraId="295626D1">
      <w:pPr>
        <w:pStyle w:val="5"/>
      </w:pPr>
      <w:bookmarkStart w:id="815" w:name="_Toc70415023"/>
      <w:bookmarkStart w:id="816" w:name="_Toc99561315"/>
      <w:bookmarkStart w:id="817" w:name="_Toc194080629"/>
      <w:bookmarkStart w:id="818" w:name="_Toc142400778"/>
      <w:bookmarkStart w:id="819" w:name="_Toc172217988"/>
      <w:bookmarkStart w:id="820" w:name="_Toc141873265"/>
      <w:bookmarkStart w:id="821" w:name="_Toc58603626"/>
      <w:bookmarkStart w:id="822" w:name="_Toc196727962"/>
      <w:bookmarkStart w:id="823" w:name="_Toc58505588"/>
      <w:r>
        <w:rPr>
          <w:rFonts w:hint="eastAsia"/>
        </w:rPr>
        <w:t>资产安全分析</w:t>
      </w:r>
      <w:bookmarkEnd w:id="815"/>
      <w:bookmarkEnd w:id="816"/>
      <w:bookmarkEnd w:id="817"/>
      <w:bookmarkEnd w:id="818"/>
      <w:bookmarkEnd w:id="819"/>
      <w:bookmarkEnd w:id="820"/>
      <w:bookmarkEnd w:id="821"/>
      <w:bookmarkEnd w:id="822"/>
      <w:bookmarkEnd w:id="823"/>
    </w:p>
    <w:p w14:paraId="691BEBD3">
      <w:r>
        <w:rPr>
          <w:rFonts w:hint="eastAsia"/>
        </w:rPr>
        <w:t>在导航栏中选择“数据中心&gt;安全分析&gt;资产安全分析”</w:t>
      </w:r>
      <w:r>
        <w:t>进入</w:t>
      </w:r>
      <w:r>
        <w:rPr>
          <w:rFonts w:hint="eastAsia"/>
        </w:rPr>
        <w:t>资产安全分析</w:t>
      </w:r>
      <w:r>
        <w:t>显示页面</w:t>
      </w:r>
      <w:r>
        <w:rPr>
          <w:rFonts w:hint="eastAsia"/>
        </w:rPr>
        <w:t>，可以查看设备上所有资产的安全威胁分析，包括风险级别、操作系统、攻击链等详细信息。如</w:t>
      </w:r>
      <w:r>
        <w:rPr>
          <w:color w:val="0000FF"/>
          <w:u w:val="single"/>
        </w:rPr>
        <w:fldChar w:fldCharType="begin"/>
      </w:r>
      <w:r>
        <w:instrText xml:space="preserve"> </w:instrText>
      </w:r>
      <w:r>
        <w:rPr>
          <w:rFonts w:hint="eastAsia"/>
        </w:rPr>
        <w:instrText xml:space="preserve">REF _Ref15390049 \r \h</w:instrText>
      </w:r>
      <w:r>
        <w:instrText xml:space="preserve"> </w:instrText>
      </w:r>
      <w:r>
        <w:rPr>
          <w:color w:val="0000FF"/>
          <w:u w:val="single"/>
        </w:rPr>
        <w:fldChar w:fldCharType="separate"/>
      </w:r>
      <w:r>
        <w:rPr>
          <w:rFonts w:hint="eastAsia"/>
        </w:rPr>
        <w:t>图4-69</w:t>
      </w:r>
      <w:r>
        <w:rPr>
          <w:color w:val="0000FF"/>
          <w:u w:val="single"/>
        </w:rPr>
        <w:fldChar w:fldCharType="end"/>
      </w:r>
      <w:r>
        <w:t>所示</w:t>
      </w:r>
      <w:r>
        <w:rPr>
          <w:rFonts w:hint="eastAsia"/>
        </w:rPr>
        <w:t>。</w:t>
      </w:r>
    </w:p>
    <w:p w14:paraId="6F32FDED">
      <w:pPr>
        <w:pStyle w:val="188"/>
      </w:pPr>
      <w:bookmarkStart w:id="824" w:name="_Toc141874440"/>
      <w:bookmarkStart w:id="825" w:name="_Ref15390049"/>
      <w:r>
        <w:rPr>
          <w:rFonts w:hint="eastAsia"/>
        </w:rPr>
        <w:t>资产安全分析</w:t>
      </w:r>
      <w:bookmarkEnd w:id="824"/>
      <w:bookmarkEnd w:id="825"/>
    </w:p>
    <w:p w14:paraId="12446C1B">
      <w:pPr>
        <w:spacing w:before="79" w:after="79"/>
      </w:pPr>
      <w:r>
        <w:drawing>
          <wp:inline distT="0" distB="0" distL="0" distR="0">
            <wp:extent cx="5448300" cy="2900045"/>
            <wp:effectExtent l="0" t="0" r="0" b="0"/>
            <wp:docPr id="2827" name="图片 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7" name="图片 2827"/>
                    <pic:cNvPicPr>
                      <a:picLocks noChangeAspect="1"/>
                    </pic:cNvPicPr>
                  </pic:nvPicPr>
                  <pic:blipFill>
                    <a:blip r:embed="rId134"/>
                    <a:stretch>
                      <a:fillRect/>
                    </a:stretch>
                  </pic:blipFill>
                  <pic:spPr>
                    <a:xfrm>
                      <a:off x="0" y="0"/>
                      <a:ext cx="5454267" cy="2903397"/>
                    </a:xfrm>
                    <a:prstGeom prst="rect">
                      <a:avLst/>
                    </a:prstGeom>
                  </pic:spPr>
                </pic:pic>
              </a:graphicData>
            </a:graphic>
          </wp:inline>
        </w:drawing>
      </w:r>
    </w:p>
    <w:p w14:paraId="65F3F6C9"/>
    <w:p w14:paraId="5B4F78F3">
      <w:r>
        <w:rPr>
          <w:rFonts w:hint="eastAsia"/>
        </w:rPr>
        <w:t>对资产安全分析的详细说明如</w:t>
      </w:r>
      <w:r>
        <w:rPr>
          <w:color w:val="0000FF"/>
          <w:u w:val="single"/>
        </w:rPr>
        <w:fldChar w:fldCharType="begin"/>
      </w:r>
      <w:r>
        <w:instrText xml:space="preserve"> </w:instrText>
      </w:r>
      <w:r>
        <w:rPr>
          <w:rFonts w:hint="eastAsia"/>
        </w:rPr>
        <w:instrText xml:space="preserve">REF _Ref15390053 \r \h</w:instrText>
      </w:r>
      <w:r>
        <w:instrText xml:space="preserve"> </w:instrText>
      </w:r>
      <w:r>
        <w:rPr>
          <w:color w:val="0000FF"/>
          <w:u w:val="single"/>
        </w:rPr>
        <w:fldChar w:fldCharType="separate"/>
      </w:r>
      <w:r>
        <w:rPr>
          <w:rFonts w:hint="eastAsia"/>
        </w:rPr>
        <w:t>表4-1</w:t>
      </w:r>
      <w:r>
        <w:rPr>
          <w:color w:val="0000FF"/>
          <w:u w:val="single"/>
        </w:rPr>
        <w:fldChar w:fldCharType="end"/>
      </w:r>
      <w:r>
        <w:rPr>
          <w:rFonts w:hint="eastAsia"/>
        </w:rPr>
        <w:t>所示。</w:t>
      </w:r>
    </w:p>
    <w:p w14:paraId="12DFECC1">
      <w:pPr>
        <w:pStyle w:val="183"/>
      </w:pPr>
      <w:bookmarkStart w:id="826" w:name="_Ref15390053"/>
      <w:bookmarkStart w:id="827" w:name="_Toc141875401"/>
      <w:r>
        <w:rPr>
          <w:rFonts w:hint="eastAsia"/>
        </w:rPr>
        <w:t>资产安全分析统计</w:t>
      </w:r>
      <w:r>
        <w:t>说明</w:t>
      </w:r>
      <w:bookmarkEnd w:id="826"/>
      <w:bookmarkEnd w:id="827"/>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214"/>
        <w:gridCol w:w="7800"/>
      </w:tblGrid>
      <w:tr w14:paraId="496B853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214" w:type="dxa"/>
            <w:tcBorders>
              <w:tl2br w:val="nil"/>
              <w:tr2bl w:val="nil"/>
            </w:tcBorders>
            <w:shd w:val="clear" w:color="auto" w:fill="538135" w:themeFill="accent6" w:themeFillShade="BF"/>
            <w:vAlign w:val="center"/>
          </w:tcPr>
          <w:p w14:paraId="338A5FDC">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800" w:type="dxa"/>
            <w:tcBorders>
              <w:tl2br w:val="nil"/>
              <w:tr2bl w:val="nil"/>
            </w:tcBorders>
            <w:shd w:val="clear" w:color="auto" w:fill="538135" w:themeFill="accent6" w:themeFillShade="BF"/>
            <w:vAlign w:val="center"/>
          </w:tcPr>
          <w:p w14:paraId="5E8C5A27">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61C897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214" w:type="dxa"/>
            <w:shd w:val="clear" w:color="auto" w:fill="auto"/>
          </w:tcPr>
          <w:p w14:paraId="3CE1D91C">
            <w:pPr>
              <w:pStyle w:val="186"/>
              <w:widowControl w:val="0"/>
              <w:spacing w:line="240" w:lineRule="auto"/>
              <w:ind w:firstLine="0"/>
              <w:jc w:val="left"/>
            </w:pPr>
            <w:r>
              <w:rPr>
                <w:rFonts w:hint="eastAsia"/>
              </w:rPr>
              <w:t>重置风险</w:t>
            </w:r>
          </w:p>
        </w:tc>
        <w:tc>
          <w:tcPr>
            <w:tcW w:w="7800" w:type="dxa"/>
            <w:shd w:val="clear" w:color="auto" w:fill="auto"/>
          </w:tcPr>
          <w:p w14:paraId="3F52CA02">
            <w:pPr>
              <w:pStyle w:val="186"/>
              <w:widowControl w:val="0"/>
              <w:spacing w:line="240" w:lineRule="auto"/>
              <w:ind w:firstLine="0"/>
              <w:jc w:val="left"/>
            </w:pPr>
            <w:r>
              <w:rPr>
                <w:rFonts w:hint="eastAsia"/>
              </w:rPr>
              <w:t>支持单个或批量进行资产风险重置</w:t>
            </w:r>
          </w:p>
        </w:tc>
      </w:tr>
      <w:tr w14:paraId="2283F0F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214" w:type="dxa"/>
            <w:shd w:val="clear" w:color="auto" w:fill="auto"/>
          </w:tcPr>
          <w:p w14:paraId="6FD272CB">
            <w:pPr>
              <w:pStyle w:val="186"/>
              <w:widowControl w:val="0"/>
              <w:spacing w:line="240" w:lineRule="auto"/>
              <w:ind w:firstLine="0"/>
              <w:jc w:val="left"/>
            </w:pPr>
            <w:r>
              <w:rPr>
                <w:rFonts w:hint="eastAsia"/>
              </w:rPr>
              <w:t>查询</w:t>
            </w:r>
          </w:p>
        </w:tc>
        <w:tc>
          <w:tcPr>
            <w:tcW w:w="7800" w:type="dxa"/>
            <w:shd w:val="clear" w:color="auto" w:fill="auto"/>
          </w:tcPr>
          <w:p w14:paraId="778ACA68">
            <w:pPr>
              <w:pStyle w:val="186"/>
              <w:widowControl w:val="0"/>
              <w:spacing w:line="240" w:lineRule="auto"/>
              <w:ind w:firstLine="0"/>
              <w:jc w:val="left"/>
            </w:pPr>
            <w:r>
              <w:rPr>
                <w:rFonts w:hint="eastAsia"/>
              </w:rPr>
              <w:t>点击查询，可以根据资产IP、风险级别、资产描述、用户、部门、重要度、操作系统、状态进行组合查询</w:t>
            </w:r>
          </w:p>
        </w:tc>
      </w:tr>
      <w:tr w14:paraId="0972EA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214" w:type="dxa"/>
            <w:shd w:val="clear" w:color="auto" w:fill="auto"/>
          </w:tcPr>
          <w:p w14:paraId="3ABF1C73">
            <w:pPr>
              <w:pStyle w:val="186"/>
              <w:widowControl w:val="0"/>
              <w:spacing w:line="240" w:lineRule="auto"/>
              <w:ind w:firstLine="0"/>
              <w:jc w:val="left"/>
            </w:pPr>
            <w:r>
              <w:rPr>
                <w:rFonts w:hint="eastAsia"/>
              </w:rPr>
              <w:t>资产IP</w:t>
            </w:r>
          </w:p>
        </w:tc>
        <w:tc>
          <w:tcPr>
            <w:tcW w:w="7800" w:type="dxa"/>
            <w:shd w:val="clear" w:color="auto" w:fill="auto"/>
          </w:tcPr>
          <w:p w14:paraId="50B34BE1">
            <w:pPr>
              <w:pStyle w:val="186"/>
              <w:widowControl w:val="0"/>
              <w:spacing w:line="240" w:lineRule="auto"/>
              <w:ind w:firstLine="0"/>
              <w:jc w:val="left"/>
            </w:pPr>
            <w:r>
              <w:rPr>
                <w:rFonts w:hint="eastAsia"/>
              </w:rPr>
              <w:t>资产IP地址</w:t>
            </w:r>
          </w:p>
        </w:tc>
      </w:tr>
      <w:tr w14:paraId="00E6B43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214" w:type="dxa"/>
            <w:shd w:val="clear" w:color="auto" w:fill="auto"/>
          </w:tcPr>
          <w:p w14:paraId="189562F4">
            <w:pPr>
              <w:pStyle w:val="186"/>
              <w:widowControl w:val="0"/>
              <w:spacing w:line="240" w:lineRule="auto"/>
              <w:ind w:firstLine="0"/>
              <w:jc w:val="left"/>
            </w:pPr>
            <w:r>
              <w:rPr>
                <w:rFonts w:hint="eastAsia"/>
              </w:rPr>
              <w:t>资产描述</w:t>
            </w:r>
          </w:p>
        </w:tc>
        <w:tc>
          <w:tcPr>
            <w:tcW w:w="7800" w:type="dxa"/>
            <w:shd w:val="clear" w:color="auto" w:fill="auto"/>
          </w:tcPr>
          <w:p w14:paraId="3601DF77">
            <w:pPr>
              <w:pStyle w:val="186"/>
              <w:widowControl w:val="0"/>
              <w:spacing w:line="240" w:lineRule="auto"/>
              <w:ind w:firstLine="0"/>
              <w:jc w:val="left"/>
            </w:pPr>
            <w:r>
              <w:rPr>
                <w:rFonts w:hint="eastAsia"/>
              </w:rPr>
              <w:t>资产的描述</w:t>
            </w:r>
          </w:p>
        </w:tc>
      </w:tr>
      <w:tr w14:paraId="1247E75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214" w:type="dxa"/>
            <w:shd w:val="clear" w:color="auto" w:fill="auto"/>
          </w:tcPr>
          <w:p w14:paraId="2D9D8A76">
            <w:pPr>
              <w:pStyle w:val="186"/>
              <w:widowControl w:val="0"/>
              <w:spacing w:line="240" w:lineRule="auto"/>
              <w:ind w:firstLine="0"/>
              <w:jc w:val="left"/>
            </w:pPr>
            <w:r>
              <w:rPr>
                <w:rFonts w:hint="eastAsia"/>
              </w:rPr>
              <w:t>用户</w:t>
            </w:r>
          </w:p>
        </w:tc>
        <w:tc>
          <w:tcPr>
            <w:tcW w:w="7800" w:type="dxa"/>
            <w:shd w:val="clear" w:color="auto" w:fill="auto"/>
          </w:tcPr>
          <w:p w14:paraId="0FD5A5D7">
            <w:pPr>
              <w:pStyle w:val="186"/>
              <w:widowControl w:val="0"/>
              <w:spacing w:line="240" w:lineRule="auto"/>
              <w:ind w:firstLine="0"/>
              <w:jc w:val="left"/>
            </w:pPr>
            <w:r>
              <w:rPr>
                <w:rFonts w:hint="eastAsia"/>
              </w:rPr>
              <w:t>资产IP所属用户</w:t>
            </w:r>
          </w:p>
        </w:tc>
      </w:tr>
      <w:tr w14:paraId="39FEE7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214" w:type="dxa"/>
            <w:shd w:val="clear" w:color="auto" w:fill="auto"/>
          </w:tcPr>
          <w:p w14:paraId="6B828F3D">
            <w:pPr>
              <w:pStyle w:val="186"/>
              <w:widowControl w:val="0"/>
              <w:spacing w:line="240" w:lineRule="auto"/>
              <w:ind w:firstLine="0"/>
              <w:jc w:val="left"/>
            </w:pPr>
            <w:r>
              <w:rPr>
                <w:rFonts w:hint="eastAsia"/>
              </w:rPr>
              <w:t>部门</w:t>
            </w:r>
          </w:p>
        </w:tc>
        <w:tc>
          <w:tcPr>
            <w:tcW w:w="7800" w:type="dxa"/>
            <w:shd w:val="clear" w:color="auto" w:fill="auto"/>
          </w:tcPr>
          <w:p w14:paraId="0ABE1A2D">
            <w:pPr>
              <w:pStyle w:val="186"/>
              <w:widowControl w:val="0"/>
              <w:spacing w:line="240" w:lineRule="auto"/>
              <w:ind w:firstLine="0"/>
              <w:jc w:val="left"/>
            </w:pPr>
            <w:r>
              <w:rPr>
                <w:rFonts w:hint="eastAsia"/>
              </w:rPr>
              <w:t>资产IP所属部门</w:t>
            </w:r>
          </w:p>
        </w:tc>
      </w:tr>
      <w:tr w14:paraId="708DD14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214" w:type="dxa"/>
            <w:shd w:val="clear" w:color="auto" w:fill="auto"/>
          </w:tcPr>
          <w:p w14:paraId="030C609A">
            <w:pPr>
              <w:pStyle w:val="186"/>
              <w:widowControl w:val="0"/>
              <w:spacing w:line="240" w:lineRule="auto"/>
              <w:ind w:firstLine="0"/>
              <w:jc w:val="left"/>
            </w:pPr>
            <w:r>
              <w:rPr>
                <w:rFonts w:hint="eastAsia"/>
              </w:rPr>
              <w:t>风险级别</w:t>
            </w:r>
          </w:p>
        </w:tc>
        <w:tc>
          <w:tcPr>
            <w:tcW w:w="7800" w:type="dxa"/>
            <w:shd w:val="clear" w:color="auto" w:fill="auto"/>
          </w:tcPr>
          <w:p w14:paraId="0CE2B6DC">
            <w:pPr>
              <w:pStyle w:val="186"/>
              <w:widowControl w:val="0"/>
              <w:spacing w:line="240" w:lineRule="auto"/>
              <w:ind w:firstLine="0"/>
              <w:jc w:val="left"/>
            </w:pPr>
            <w:r>
              <w:rPr>
                <w:rFonts w:hint="eastAsia"/>
              </w:rPr>
              <w:t>显示风险级别</w:t>
            </w:r>
          </w:p>
        </w:tc>
      </w:tr>
      <w:tr w14:paraId="20559A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214" w:type="dxa"/>
            <w:shd w:val="clear" w:color="auto" w:fill="auto"/>
          </w:tcPr>
          <w:p w14:paraId="0BA20925">
            <w:pPr>
              <w:pStyle w:val="186"/>
              <w:widowControl w:val="0"/>
              <w:spacing w:line="240" w:lineRule="auto"/>
              <w:ind w:firstLine="0"/>
              <w:jc w:val="left"/>
            </w:pPr>
            <w:r>
              <w:rPr>
                <w:rFonts w:hint="eastAsia"/>
              </w:rPr>
              <w:t>重要度</w:t>
            </w:r>
          </w:p>
        </w:tc>
        <w:tc>
          <w:tcPr>
            <w:tcW w:w="7800" w:type="dxa"/>
            <w:shd w:val="clear" w:color="auto" w:fill="auto"/>
          </w:tcPr>
          <w:p w14:paraId="624586EA">
            <w:pPr>
              <w:pStyle w:val="186"/>
              <w:widowControl w:val="0"/>
              <w:spacing w:line="240" w:lineRule="auto"/>
              <w:ind w:firstLine="0"/>
              <w:jc w:val="left"/>
            </w:pPr>
            <w:r>
              <w:rPr>
                <w:rFonts w:hint="eastAsia"/>
              </w:rPr>
              <w:t>显示资产的重要度</w:t>
            </w:r>
          </w:p>
        </w:tc>
      </w:tr>
      <w:tr w14:paraId="572A35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214" w:type="dxa"/>
            <w:shd w:val="clear" w:color="auto" w:fill="auto"/>
          </w:tcPr>
          <w:p w14:paraId="0F232B04">
            <w:pPr>
              <w:pStyle w:val="186"/>
              <w:widowControl w:val="0"/>
              <w:spacing w:line="240" w:lineRule="auto"/>
              <w:ind w:firstLine="0"/>
              <w:jc w:val="left"/>
            </w:pPr>
            <w:r>
              <w:rPr>
                <w:rFonts w:hint="eastAsia"/>
              </w:rPr>
              <w:t>操作系统</w:t>
            </w:r>
          </w:p>
        </w:tc>
        <w:tc>
          <w:tcPr>
            <w:tcW w:w="7800" w:type="dxa"/>
            <w:shd w:val="clear" w:color="auto" w:fill="auto"/>
          </w:tcPr>
          <w:p w14:paraId="5335EF4D">
            <w:pPr>
              <w:pStyle w:val="186"/>
              <w:widowControl w:val="0"/>
              <w:spacing w:line="240" w:lineRule="auto"/>
              <w:ind w:firstLine="0"/>
              <w:jc w:val="left"/>
            </w:pPr>
            <w:r>
              <w:rPr>
                <w:rFonts w:hint="eastAsia"/>
              </w:rPr>
              <w:t>显示资产的操作系统</w:t>
            </w:r>
          </w:p>
        </w:tc>
      </w:tr>
      <w:tr w14:paraId="304C89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214" w:type="dxa"/>
            <w:shd w:val="clear" w:color="auto" w:fill="auto"/>
          </w:tcPr>
          <w:p w14:paraId="094C1DD3">
            <w:pPr>
              <w:pStyle w:val="186"/>
              <w:widowControl w:val="0"/>
              <w:spacing w:line="240" w:lineRule="auto"/>
              <w:ind w:firstLine="0"/>
              <w:jc w:val="left"/>
            </w:pPr>
            <w:r>
              <w:rPr>
                <w:rFonts w:hint="eastAsia"/>
              </w:rPr>
              <w:t>来源</w:t>
            </w:r>
          </w:p>
        </w:tc>
        <w:tc>
          <w:tcPr>
            <w:tcW w:w="7800" w:type="dxa"/>
            <w:shd w:val="clear" w:color="auto" w:fill="auto"/>
          </w:tcPr>
          <w:p w14:paraId="4820E05F">
            <w:pPr>
              <w:pStyle w:val="186"/>
              <w:widowControl w:val="0"/>
              <w:spacing w:line="240" w:lineRule="auto"/>
              <w:ind w:firstLine="0"/>
              <w:jc w:val="left"/>
            </w:pPr>
            <w:r>
              <w:rPr>
                <w:rFonts w:hint="eastAsia"/>
              </w:rPr>
              <w:t>资产来源，有三种：流量发现、端口扫描、手工配置</w:t>
            </w:r>
          </w:p>
        </w:tc>
      </w:tr>
      <w:tr w14:paraId="17EC5F7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214" w:type="dxa"/>
            <w:shd w:val="clear" w:color="auto" w:fill="auto"/>
          </w:tcPr>
          <w:p w14:paraId="0347EB22">
            <w:pPr>
              <w:pStyle w:val="186"/>
              <w:widowControl w:val="0"/>
              <w:spacing w:line="240" w:lineRule="auto"/>
              <w:ind w:firstLine="0"/>
              <w:jc w:val="left"/>
            </w:pPr>
            <w:r>
              <w:rPr>
                <w:rFonts w:hint="eastAsia"/>
              </w:rPr>
              <w:t>状态</w:t>
            </w:r>
          </w:p>
        </w:tc>
        <w:tc>
          <w:tcPr>
            <w:tcW w:w="7800" w:type="dxa"/>
            <w:shd w:val="clear" w:color="auto" w:fill="auto"/>
          </w:tcPr>
          <w:p w14:paraId="7914396F">
            <w:pPr>
              <w:pStyle w:val="186"/>
              <w:widowControl w:val="0"/>
              <w:spacing w:line="240" w:lineRule="auto"/>
              <w:ind w:firstLine="0"/>
              <w:jc w:val="left"/>
            </w:pPr>
            <w:r>
              <w:rPr>
                <w:rFonts w:hint="eastAsia"/>
              </w:rPr>
              <w:t>资产状态，活跃代表资产在线，空闲代表资产离线</w:t>
            </w:r>
          </w:p>
        </w:tc>
      </w:tr>
      <w:tr w14:paraId="067B9B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214" w:type="dxa"/>
            <w:shd w:val="clear" w:color="auto" w:fill="auto"/>
          </w:tcPr>
          <w:p w14:paraId="62177102">
            <w:pPr>
              <w:pStyle w:val="186"/>
              <w:widowControl w:val="0"/>
              <w:spacing w:line="240" w:lineRule="auto"/>
              <w:ind w:firstLine="0"/>
              <w:jc w:val="left"/>
            </w:pPr>
            <w:r>
              <w:rPr>
                <w:rFonts w:hint="eastAsia"/>
              </w:rPr>
              <w:t>操作</w:t>
            </w:r>
          </w:p>
        </w:tc>
        <w:tc>
          <w:tcPr>
            <w:tcW w:w="7800" w:type="dxa"/>
            <w:shd w:val="clear" w:color="auto" w:fill="auto"/>
          </w:tcPr>
          <w:p w14:paraId="38574194">
            <w:pPr>
              <w:pStyle w:val="186"/>
              <w:widowControl w:val="0"/>
              <w:spacing w:line="240" w:lineRule="auto"/>
              <w:ind w:firstLine="0"/>
              <w:jc w:val="left"/>
            </w:pPr>
            <w:r>
              <w:rPr>
                <w:rFonts w:hint="eastAsia"/>
              </w:rPr>
              <w:t>展示此资产的风险总览和攻击链</w:t>
            </w:r>
          </w:p>
        </w:tc>
      </w:tr>
    </w:tbl>
    <w:p w14:paraId="4EFC7046"/>
    <w:p w14:paraId="456C1B59">
      <w:r>
        <w:rPr>
          <w:rFonts w:hint="eastAsia"/>
        </w:rPr>
        <w:t>点击“资产安全分析”表格里面操作列的风险总览，进入对应风险总览显示的详细页面，如</w:t>
      </w:r>
      <w:r>
        <w:fldChar w:fldCharType="begin"/>
      </w:r>
      <w:r>
        <w:instrText xml:space="preserve"> </w:instrText>
      </w:r>
      <w:r>
        <w:rPr>
          <w:rFonts w:hint="eastAsia"/>
        </w:rPr>
        <w:instrText xml:space="preserve">REF _Ref15390137 \r \h</w:instrText>
      </w:r>
      <w:r>
        <w:instrText xml:space="preserve"> </w:instrText>
      </w:r>
      <w:r>
        <w:fldChar w:fldCharType="separate"/>
      </w:r>
      <w:r>
        <w:rPr>
          <w:rFonts w:hint="eastAsia"/>
        </w:rPr>
        <w:t>图4-70</w:t>
      </w:r>
      <w:r>
        <w:fldChar w:fldCharType="end"/>
      </w:r>
      <w:r>
        <w:rPr>
          <w:rFonts w:hint="eastAsia"/>
        </w:rPr>
        <w:t>所示。</w:t>
      </w:r>
    </w:p>
    <w:p w14:paraId="5F621114">
      <w:pPr>
        <w:pStyle w:val="188"/>
      </w:pPr>
      <w:bookmarkStart w:id="828" w:name="_Toc141874441"/>
      <w:bookmarkStart w:id="829" w:name="_Ref15390137"/>
      <w:r>
        <w:rPr>
          <w:rFonts w:hint="eastAsia"/>
        </w:rPr>
        <w:t>风险总览显示页面</w:t>
      </w:r>
      <w:bookmarkEnd w:id="828"/>
      <w:bookmarkEnd w:id="829"/>
    </w:p>
    <w:p w14:paraId="50360DBF">
      <w:pPr>
        <w:spacing w:before="79" w:after="79"/>
      </w:pPr>
      <w:r>
        <w:drawing>
          <wp:inline distT="0" distB="0" distL="0" distR="0">
            <wp:extent cx="5591175" cy="2332990"/>
            <wp:effectExtent l="0" t="0" r="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pic:cNvPicPr>
                  </pic:nvPicPr>
                  <pic:blipFill>
                    <a:blip r:embed="rId135"/>
                    <a:stretch>
                      <a:fillRect/>
                    </a:stretch>
                  </pic:blipFill>
                  <pic:spPr>
                    <a:xfrm>
                      <a:off x="0" y="0"/>
                      <a:ext cx="5613118" cy="2342730"/>
                    </a:xfrm>
                    <a:prstGeom prst="rect">
                      <a:avLst/>
                    </a:prstGeom>
                  </pic:spPr>
                </pic:pic>
              </a:graphicData>
            </a:graphic>
          </wp:inline>
        </w:drawing>
      </w:r>
    </w:p>
    <w:p w14:paraId="44BA3E4A"/>
    <w:p w14:paraId="37F477EC">
      <w:r>
        <w:rPr>
          <w:rFonts w:hint="eastAsia"/>
        </w:rPr>
        <w:t>对风险总览详细信息的说明如</w:t>
      </w:r>
      <w:r>
        <w:rPr>
          <w:color w:val="0000FF"/>
          <w:u w:val="single"/>
        </w:rPr>
        <w:fldChar w:fldCharType="begin"/>
      </w:r>
      <w:r>
        <w:instrText xml:space="preserve"> </w:instrText>
      </w:r>
      <w:r>
        <w:rPr>
          <w:rFonts w:hint="eastAsia"/>
        </w:rPr>
        <w:instrText xml:space="preserve">REF _Ref15390142 \r \h</w:instrText>
      </w:r>
      <w:r>
        <w:instrText xml:space="preserve"> </w:instrText>
      </w:r>
      <w:r>
        <w:rPr>
          <w:color w:val="0000FF"/>
          <w:u w:val="single"/>
        </w:rPr>
        <w:fldChar w:fldCharType="separate"/>
      </w:r>
      <w:r>
        <w:rPr>
          <w:rFonts w:hint="eastAsia"/>
        </w:rPr>
        <w:t>表4-1</w:t>
      </w:r>
      <w:r>
        <w:rPr>
          <w:color w:val="0000FF"/>
          <w:u w:val="single"/>
        </w:rPr>
        <w:fldChar w:fldCharType="end"/>
      </w:r>
      <w:r>
        <w:rPr>
          <w:rFonts w:hint="eastAsia"/>
        </w:rPr>
        <w:t>所示。</w:t>
      </w:r>
    </w:p>
    <w:p w14:paraId="38A966CF">
      <w:pPr>
        <w:pStyle w:val="183"/>
      </w:pPr>
      <w:bookmarkStart w:id="830" w:name="_Toc141875402"/>
      <w:bookmarkStart w:id="831" w:name="_Ref15390142"/>
      <w:r>
        <w:rPr>
          <w:rFonts w:hint="eastAsia"/>
        </w:rPr>
        <w:t>应用统计详细信息说明</w:t>
      </w:r>
      <w:bookmarkEnd w:id="830"/>
      <w:bookmarkEnd w:id="831"/>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356"/>
        <w:gridCol w:w="7658"/>
      </w:tblGrid>
      <w:tr w14:paraId="205B20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356" w:type="dxa"/>
            <w:tcBorders>
              <w:tl2br w:val="nil"/>
              <w:tr2bl w:val="nil"/>
            </w:tcBorders>
            <w:shd w:val="clear" w:color="auto" w:fill="538135" w:themeFill="accent6" w:themeFillShade="BF"/>
            <w:vAlign w:val="center"/>
          </w:tcPr>
          <w:p w14:paraId="55D9F761">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658" w:type="dxa"/>
            <w:tcBorders>
              <w:tl2br w:val="nil"/>
              <w:tr2bl w:val="nil"/>
            </w:tcBorders>
            <w:shd w:val="clear" w:color="auto" w:fill="538135" w:themeFill="accent6" w:themeFillShade="BF"/>
            <w:vAlign w:val="center"/>
          </w:tcPr>
          <w:p w14:paraId="25F41876">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01BD0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356" w:type="dxa"/>
            <w:shd w:val="clear" w:color="auto" w:fill="auto"/>
          </w:tcPr>
          <w:p w14:paraId="62FFE8C7">
            <w:pPr>
              <w:pStyle w:val="186"/>
              <w:widowControl w:val="0"/>
              <w:spacing w:line="240" w:lineRule="auto"/>
              <w:ind w:firstLine="0"/>
              <w:jc w:val="left"/>
            </w:pPr>
            <w:r>
              <w:rPr>
                <w:rFonts w:hint="eastAsia"/>
              </w:rPr>
              <w:t>基本信息</w:t>
            </w:r>
          </w:p>
        </w:tc>
        <w:tc>
          <w:tcPr>
            <w:tcW w:w="7658" w:type="dxa"/>
            <w:shd w:val="clear" w:color="auto" w:fill="auto"/>
          </w:tcPr>
          <w:p w14:paraId="0E91F2C9">
            <w:pPr>
              <w:pStyle w:val="186"/>
              <w:widowControl w:val="0"/>
              <w:spacing w:line="240" w:lineRule="auto"/>
              <w:ind w:firstLine="0"/>
              <w:jc w:val="left"/>
            </w:pPr>
            <w:r>
              <w:rPr>
                <w:rFonts w:hint="eastAsia"/>
              </w:rPr>
              <w:t>展示资产IP、用户、部门、重要度、风险级别、操作系统和受攻击总数信息</w:t>
            </w:r>
          </w:p>
        </w:tc>
      </w:tr>
      <w:tr w14:paraId="0CA727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356" w:type="dxa"/>
            <w:shd w:val="clear" w:color="auto" w:fill="auto"/>
          </w:tcPr>
          <w:p w14:paraId="1614E38A">
            <w:pPr>
              <w:pStyle w:val="186"/>
              <w:widowControl w:val="0"/>
              <w:spacing w:line="240" w:lineRule="auto"/>
              <w:ind w:firstLine="0"/>
              <w:jc w:val="left"/>
            </w:pPr>
            <w:r>
              <w:rPr>
                <w:rFonts w:hint="eastAsia"/>
              </w:rPr>
              <w:t>攻击趋势</w:t>
            </w:r>
          </w:p>
        </w:tc>
        <w:tc>
          <w:tcPr>
            <w:tcW w:w="7658" w:type="dxa"/>
            <w:shd w:val="clear" w:color="auto" w:fill="auto"/>
          </w:tcPr>
          <w:p w14:paraId="3A69EC9D">
            <w:pPr>
              <w:pStyle w:val="186"/>
              <w:widowControl w:val="0"/>
              <w:spacing w:line="240" w:lineRule="auto"/>
              <w:ind w:firstLine="0"/>
              <w:jc w:val="left"/>
            </w:pPr>
            <w:r>
              <w:rPr>
                <w:rFonts w:hint="eastAsia"/>
              </w:rPr>
              <w:t>以趋势图方式展示资产受不同类型攻击的趋势</w:t>
            </w:r>
          </w:p>
        </w:tc>
      </w:tr>
      <w:tr w14:paraId="522589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356" w:type="dxa"/>
            <w:shd w:val="clear" w:color="auto" w:fill="auto"/>
          </w:tcPr>
          <w:p w14:paraId="03AF3C2B">
            <w:pPr>
              <w:pStyle w:val="186"/>
              <w:widowControl w:val="0"/>
              <w:spacing w:line="240" w:lineRule="auto"/>
              <w:ind w:firstLine="0"/>
              <w:jc w:val="left"/>
            </w:pPr>
            <w:r>
              <w:rPr>
                <w:rFonts w:hint="eastAsia"/>
              </w:rPr>
              <w:t>攻击日志统计</w:t>
            </w:r>
          </w:p>
        </w:tc>
        <w:tc>
          <w:tcPr>
            <w:tcW w:w="7658" w:type="dxa"/>
            <w:shd w:val="clear" w:color="auto" w:fill="auto"/>
          </w:tcPr>
          <w:p w14:paraId="74A3FCC8">
            <w:pPr>
              <w:pStyle w:val="186"/>
              <w:widowControl w:val="0"/>
              <w:spacing w:line="240" w:lineRule="auto"/>
              <w:ind w:firstLine="0"/>
              <w:jc w:val="left"/>
            </w:pPr>
            <w:r>
              <w:rPr>
                <w:rFonts w:hint="eastAsia"/>
              </w:rPr>
              <w:t>以饼状图方式展示资产受不同类型攻击的占比</w:t>
            </w:r>
          </w:p>
        </w:tc>
      </w:tr>
      <w:tr w14:paraId="3E5D447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356" w:type="dxa"/>
            <w:shd w:val="clear" w:color="auto" w:fill="auto"/>
          </w:tcPr>
          <w:p w14:paraId="051BD59A">
            <w:pPr>
              <w:pStyle w:val="186"/>
              <w:widowControl w:val="0"/>
              <w:spacing w:line="240" w:lineRule="auto"/>
              <w:ind w:firstLine="0"/>
              <w:jc w:val="left"/>
            </w:pPr>
            <w:r>
              <w:rPr>
                <w:rFonts w:hint="eastAsia"/>
              </w:rPr>
              <w:t>查询</w:t>
            </w:r>
          </w:p>
        </w:tc>
        <w:tc>
          <w:tcPr>
            <w:tcW w:w="7658" w:type="dxa"/>
            <w:shd w:val="clear" w:color="auto" w:fill="auto"/>
          </w:tcPr>
          <w:p w14:paraId="17DE1877">
            <w:pPr>
              <w:pStyle w:val="186"/>
              <w:widowControl w:val="0"/>
              <w:spacing w:line="240" w:lineRule="auto"/>
              <w:ind w:firstLine="0"/>
              <w:jc w:val="left"/>
            </w:pPr>
            <w:r>
              <w:rPr>
                <w:rFonts w:hint="eastAsia"/>
              </w:rPr>
              <w:t>点击查询，可以根据时间、级别、攻击者地址、事件来源、事件类型进行组合查询</w:t>
            </w:r>
          </w:p>
        </w:tc>
      </w:tr>
      <w:tr w14:paraId="5EA391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356" w:type="dxa"/>
            <w:shd w:val="clear" w:color="auto" w:fill="auto"/>
          </w:tcPr>
          <w:p w14:paraId="1B17EAF6">
            <w:pPr>
              <w:pStyle w:val="186"/>
              <w:widowControl w:val="0"/>
              <w:spacing w:line="240" w:lineRule="auto"/>
              <w:ind w:firstLine="0"/>
              <w:jc w:val="left"/>
            </w:pPr>
            <w:r>
              <w:rPr>
                <w:rFonts w:hint="eastAsia"/>
              </w:rPr>
              <w:t>攻击者地址</w:t>
            </w:r>
          </w:p>
        </w:tc>
        <w:tc>
          <w:tcPr>
            <w:tcW w:w="7658" w:type="dxa"/>
            <w:shd w:val="clear" w:color="auto" w:fill="auto"/>
          </w:tcPr>
          <w:p w14:paraId="7F9DAA84">
            <w:pPr>
              <w:pStyle w:val="186"/>
              <w:widowControl w:val="0"/>
              <w:spacing w:line="240" w:lineRule="auto"/>
              <w:ind w:firstLine="0"/>
              <w:jc w:val="left"/>
            </w:pPr>
            <w:r>
              <w:rPr>
                <w:rFonts w:hint="eastAsia"/>
              </w:rPr>
              <w:t>展示攻击者地址</w:t>
            </w:r>
          </w:p>
        </w:tc>
      </w:tr>
      <w:tr w14:paraId="4824C5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356" w:type="dxa"/>
            <w:shd w:val="clear" w:color="auto" w:fill="auto"/>
          </w:tcPr>
          <w:p w14:paraId="44090611">
            <w:pPr>
              <w:pStyle w:val="186"/>
              <w:widowControl w:val="0"/>
              <w:spacing w:line="240" w:lineRule="auto"/>
              <w:ind w:firstLine="0"/>
              <w:jc w:val="left"/>
            </w:pPr>
            <w:r>
              <w:rPr>
                <w:rFonts w:hint="eastAsia"/>
              </w:rPr>
              <w:t>归属地</w:t>
            </w:r>
          </w:p>
        </w:tc>
        <w:tc>
          <w:tcPr>
            <w:tcW w:w="7658" w:type="dxa"/>
            <w:shd w:val="clear" w:color="auto" w:fill="auto"/>
          </w:tcPr>
          <w:p w14:paraId="293A99A3">
            <w:pPr>
              <w:pStyle w:val="186"/>
              <w:widowControl w:val="0"/>
              <w:spacing w:line="240" w:lineRule="auto"/>
              <w:ind w:firstLine="0"/>
              <w:jc w:val="left"/>
            </w:pPr>
            <w:r>
              <w:rPr>
                <w:rFonts w:hint="eastAsia"/>
              </w:rPr>
              <w:t>攻击者地址所属地区</w:t>
            </w:r>
          </w:p>
        </w:tc>
      </w:tr>
      <w:tr w14:paraId="2E53DA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356" w:type="dxa"/>
            <w:shd w:val="clear" w:color="auto" w:fill="auto"/>
          </w:tcPr>
          <w:p w14:paraId="45B6BDD0">
            <w:pPr>
              <w:pStyle w:val="186"/>
              <w:widowControl w:val="0"/>
              <w:spacing w:line="240" w:lineRule="auto"/>
              <w:ind w:firstLine="0"/>
              <w:jc w:val="left"/>
            </w:pPr>
            <w:r>
              <w:rPr>
                <w:rFonts w:hint="eastAsia"/>
              </w:rPr>
              <w:t>级别</w:t>
            </w:r>
          </w:p>
        </w:tc>
        <w:tc>
          <w:tcPr>
            <w:tcW w:w="7658" w:type="dxa"/>
            <w:shd w:val="clear" w:color="auto" w:fill="auto"/>
          </w:tcPr>
          <w:p w14:paraId="0E9CBEE4">
            <w:pPr>
              <w:pStyle w:val="186"/>
              <w:widowControl w:val="0"/>
              <w:spacing w:line="240" w:lineRule="auto"/>
              <w:ind w:firstLine="0"/>
              <w:jc w:val="left"/>
            </w:pPr>
            <w:r>
              <w:rPr>
                <w:rFonts w:hint="eastAsia"/>
              </w:rPr>
              <w:t>攻击日志记录级别</w:t>
            </w:r>
          </w:p>
        </w:tc>
      </w:tr>
      <w:tr w14:paraId="730336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356" w:type="dxa"/>
            <w:shd w:val="clear" w:color="auto" w:fill="auto"/>
          </w:tcPr>
          <w:p w14:paraId="61F786B0">
            <w:pPr>
              <w:pStyle w:val="186"/>
              <w:widowControl w:val="0"/>
              <w:spacing w:line="240" w:lineRule="auto"/>
              <w:ind w:firstLine="0"/>
              <w:jc w:val="left"/>
            </w:pPr>
            <w:r>
              <w:rPr>
                <w:rFonts w:hint="eastAsia"/>
              </w:rPr>
              <w:t>事件类型</w:t>
            </w:r>
          </w:p>
        </w:tc>
        <w:tc>
          <w:tcPr>
            <w:tcW w:w="7658" w:type="dxa"/>
            <w:shd w:val="clear" w:color="auto" w:fill="auto"/>
          </w:tcPr>
          <w:p w14:paraId="6FF70838">
            <w:pPr>
              <w:pStyle w:val="186"/>
              <w:widowControl w:val="0"/>
              <w:spacing w:line="240" w:lineRule="auto"/>
              <w:ind w:firstLine="0"/>
              <w:jc w:val="left"/>
            </w:pPr>
            <w:r>
              <w:rPr>
                <w:rFonts w:hint="eastAsia"/>
              </w:rPr>
              <w:t>展示此资产被同一攻击者攻击而产生的攻击日志事件类型描述</w:t>
            </w:r>
          </w:p>
        </w:tc>
      </w:tr>
      <w:tr w14:paraId="08DE29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356" w:type="dxa"/>
            <w:shd w:val="clear" w:color="auto" w:fill="auto"/>
          </w:tcPr>
          <w:p w14:paraId="5D608DDA">
            <w:pPr>
              <w:pStyle w:val="186"/>
              <w:widowControl w:val="0"/>
              <w:spacing w:line="240" w:lineRule="auto"/>
              <w:ind w:firstLine="0"/>
              <w:jc w:val="left"/>
            </w:pPr>
            <w:r>
              <w:rPr>
                <w:rFonts w:hint="eastAsia"/>
              </w:rPr>
              <w:t>事件条数</w:t>
            </w:r>
          </w:p>
        </w:tc>
        <w:tc>
          <w:tcPr>
            <w:tcW w:w="7658" w:type="dxa"/>
            <w:shd w:val="clear" w:color="auto" w:fill="auto"/>
          </w:tcPr>
          <w:p w14:paraId="5C2EC23B">
            <w:pPr>
              <w:pStyle w:val="186"/>
              <w:widowControl w:val="0"/>
              <w:spacing w:line="240" w:lineRule="auto"/>
              <w:ind w:firstLine="0"/>
              <w:jc w:val="left"/>
            </w:pPr>
            <w:r>
              <w:rPr>
                <w:rFonts w:hint="eastAsia"/>
              </w:rPr>
              <w:t>展示此资产被同一攻击者攻击而产生的攻击日志汇总条数</w:t>
            </w:r>
          </w:p>
        </w:tc>
      </w:tr>
      <w:tr w14:paraId="41C22FB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356" w:type="dxa"/>
            <w:shd w:val="clear" w:color="auto" w:fill="auto"/>
          </w:tcPr>
          <w:p w14:paraId="4DF290D1">
            <w:pPr>
              <w:pStyle w:val="186"/>
              <w:widowControl w:val="0"/>
              <w:spacing w:line="240" w:lineRule="auto"/>
              <w:ind w:firstLine="0"/>
              <w:jc w:val="left"/>
            </w:pPr>
            <w:r>
              <w:rPr>
                <w:rFonts w:hint="eastAsia"/>
              </w:rPr>
              <w:t>时间</w:t>
            </w:r>
          </w:p>
        </w:tc>
        <w:tc>
          <w:tcPr>
            <w:tcW w:w="7658" w:type="dxa"/>
            <w:shd w:val="clear" w:color="auto" w:fill="auto"/>
          </w:tcPr>
          <w:p w14:paraId="6DAA8521">
            <w:pPr>
              <w:pStyle w:val="186"/>
              <w:widowControl w:val="0"/>
              <w:spacing w:line="240" w:lineRule="auto"/>
              <w:ind w:firstLine="0"/>
              <w:jc w:val="left"/>
            </w:pPr>
            <w:r>
              <w:rPr>
                <w:rFonts w:hint="eastAsia"/>
              </w:rPr>
              <w:t>展示此资产被同一攻击者攻击而第一条日志时间和最近一条日志的时间</w:t>
            </w:r>
          </w:p>
        </w:tc>
      </w:tr>
    </w:tbl>
    <w:p w14:paraId="51AD222C"/>
    <w:p w14:paraId="7A04CFA4">
      <w:r>
        <w:rPr>
          <w:rFonts w:hint="eastAsia"/>
        </w:rPr>
        <w:t>点击“资产安全分析”表格里面操作列的攻击链，进入对应攻击链显示的详细页面，如</w:t>
      </w:r>
      <w:r>
        <w:rPr>
          <w:color w:val="0000FF"/>
          <w:u w:val="single"/>
        </w:rPr>
        <w:fldChar w:fldCharType="begin"/>
      </w:r>
      <w:r>
        <w:instrText xml:space="preserve"> </w:instrText>
      </w:r>
      <w:r>
        <w:rPr>
          <w:rFonts w:hint="eastAsia"/>
        </w:rPr>
        <w:instrText xml:space="preserve">REF _Ref15390150 \r \h</w:instrText>
      </w:r>
      <w:r>
        <w:instrText xml:space="preserve"> </w:instrText>
      </w:r>
      <w:r>
        <w:rPr>
          <w:color w:val="0000FF"/>
          <w:u w:val="single"/>
        </w:rPr>
        <w:fldChar w:fldCharType="separate"/>
      </w:r>
      <w:r>
        <w:rPr>
          <w:rFonts w:hint="eastAsia"/>
        </w:rPr>
        <w:t>图4-71</w:t>
      </w:r>
      <w:r>
        <w:rPr>
          <w:color w:val="0000FF"/>
          <w:u w:val="single"/>
        </w:rPr>
        <w:fldChar w:fldCharType="end"/>
      </w:r>
      <w:r>
        <w:rPr>
          <w:rFonts w:hint="eastAsia"/>
        </w:rPr>
        <w:t>所示。</w:t>
      </w:r>
    </w:p>
    <w:p w14:paraId="259EC8BB">
      <w:pPr>
        <w:pStyle w:val="188"/>
      </w:pPr>
      <w:bookmarkStart w:id="832" w:name="_Toc141874442"/>
      <w:bookmarkStart w:id="833" w:name="_Ref15390150"/>
      <w:r>
        <w:rPr>
          <w:rFonts w:hint="eastAsia"/>
        </w:rPr>
        <w:t>攻击链统计详细信息</w:t>
      </w:r>
      <w:bookmarkEnd w:id="832"/>
      <w:bookmarkEnd w:id="833"/>
    </w:p>
    <w:p w14:paraId="5787750A">
      <w:pPr>
        <w:spacing w:before="79" w:after="79"/>
      </w:pPr>
      <w:r>
        <w:drawing>
          <wp:inline distT="0" distB="0" distL="0" distR="0">
            <wp:extent cx="5615940" cy="1674495"/>
            <wp:effectExtent l="0" t="0" r="3810" b="1905"/>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136"/>
                    <a:stretch>
                      <a:fillRect/>
                    </a:stretch>
                  </pic:blipFill>
                  <pic:spPr>
                    <a:xfrm>
                      <a:off x="0" y="0"/>
                      <a:ext cx="5616000" cy="1675071"/>
                    </a:xfrm>
                    <a:prstGeom prst="rect">
                      <a:avLst/>
                    </a:prstGeom>
                  </pic:spPr>
                </pic:pic>
              </a:graphicData>
            </a:graphic>
          </wp:inline>
        </w:drawing>
      </w:r>
    </w:p>
    <w:p w14:paraId="02A1E8F0"/>
    <w:p w14:paraId="1871ECAC">
      <w:r>
        <w:rPr>
          <w:rFonts w:hint="eastAsia"/>
        </w:rPr>
        <w:t>对攻击链统计的详细说明如</w:t>
      </w:r>
      <w:r>
        <w:rPr>
          <w:color w:val="0000FF"/>
          <w:u w:val="single"/>
        </w:rPr>
        <w:fldChar w:fldCharType="begin"/>
      </w:r>
      <w:r>
        <w:instrText xml:space="preserve"> </w:instrText>
      </w:r>
      <w:r>
        <w:rPr>
          <w:rFonts w:hint="eastAsia"/>
        </w:rPr>
        <w:instrText xml:space="preserve">REF _Ref15390156 \r \h</w:instrText>
      </w:r>
      <w:r>
        <w:instrText xml:space="preserve"> </w:instrText>
      </w:r>
      <w:r>
        <w:rPr>
          <w:color w:val="0000FF"/>
          <w:u w:val="single"/>
        </w:rPr>
        <w:fldChar w:fldCharType="separate"/>
      </w:r>
      <w:r>
        <w:rPr>
          <w:rFonts w:hint="eastAsia"/>
        </w:rPr>
        <w:t>表4-1</w:t>
      </w:r>
      <w:r>
        <w:rPr>
          <w:color w:val="0000FF"/>
          <w:u w:val="single"/>
        </w:rPr>
        <w:fldChar w:fldCharType="end"/>
      </w:r>
      <w:r>
        <w:rPr>
          <w:rFonts w:hint="eastAsia"/>
        </w:rPr>
        <w:t>所示。</w:t>
      </w:r>
    </w:p>
    <w:p w14:paraId="65913FC7">
      <w:pPr>
        <w:pStyle w:val="183"/>
      </w:pPr>
      <w:bookmarkStart w:id="834" w:name="_Ref15390156"/>
      <w:bookmarkStart w:id="835" w:name="_Toc141875403"/>
      <w:r>
        <w:rPr>
          <w:rFonts w:hint="eastAsia"/>
        </w:rPr>
        <w:t>单个应用流量统计说明</w:t>
      </w:r>
      <w:bookmarkEnd w:id="834"/>
      <w:bookmarkEnd w:id="835"/>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356"/>
        <w:gridCol w:w="7658"/>
      </w:tblGrid>
      <w:tr w14:paraId="346B80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356" w:type="dxa"/>
            <w:tcBorders>
              <w:tl2br w:val="nil"/>
              <w:tr2bl w:val="nil"/>
            </w:tcBorders>
            <w:shd w:val="clear" w:color="auto" w:fill="538135" w:themeFill="accent6" w:themeFillShade="BF"/>
            <w:vAlign w:val="center"/>
          </w:tcPr>
          <w:p w14:paraId="1048961B">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658" w:type="dxa"/>
            <w:tcBorders>
              <w:tl2br w:val="nil"/>
              <w:tr2bl w:val="nil"/>
            </w:tcBorders>
            <w:shd w:val="clear" w:color="auto" w:fill="538135" w:themeFill="accent6" w:themeFillShade="BF"/>
            <w:vAlign w:val="center"/>
          </w:tcPr>
          <w:p w14:paraId="4BB330FF">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71E7BD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356" w:type="dxa"/>
            <w:shd w:val="clear" w:color="auto" w:fill="auto"/>
          </w:tcPr>
          <w:p w14:paraId="1B29BA20">
            <w:pPr>
              <w:pStyle w:val="186"/>
              <w:widowControl w:val="0"/>
              <w:spacing w:line="240" w:lineRule="auto"/>
              <w:ind w:firstLine="0"/>
              <w:jc w:val="left"/>
            </w:pPr>
            <w:r>
              <w:rPr>
                <w:rFonts w:hint="eastAsia"/>
              </w:rPr>
              <w:t>攻击链</w:t>
            </w:r>
          </w:p>
        </w:tc>
        <w:tc>
          <w:tcPr>
            <w:tcW w:w="7658" w:type="dxa"/>
            <w:shd w:val="clear" w:color="auto" w:fill="auto"/>
          </w:tcPr>
          <w:p w14:paraId="2AD614C6">
            <w:pPr>
              <w:pStyle w:val="186"/>
              <w:widowControl w:val="0"/>
              <w:spacing w:line="240" w:lineRule="auto"/>
              <w:ind w:firstLine="0"/>
              <w:jc w:val="left"/>
            </w:pPr>
            <w:r>
              <w:rPr>
                <w:rFonts w:hint="eastAsia"/>
              </w:rPr>
              <w:t>点击不同阶段的攻击链，可以过滤展示此阶段产生的日志</w:t>
            </w:r>
          </w:p>
        </w:tc>
      </w:tr>
      <w:tr w14:paraId="1F08B3C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356" w:type="dxa"/>
            <w:shd w:val="clear" w:color="auto" w:fill="auto"/>
          </w:tcPr>
          <w:p w14:paraId="626870EE">
            <w:pPr>
              <w:pStyle w:val="186"/>
              <w:widowControl w:val="0"/>
              <w:spacing w:line="240" w:lineRule="auto"/>
              <w:ind w:firstLine="0"/>
              <w:jc w:val="left"/>
            </w:pPr>
            <w:r>
              <w:rPr>
                <w:rFonts w:hint="eastAsia"/>
              </w:rPr>
              <w:t>查询</w:t>
            </w:r>
          </w:p>
        </w:tc>
        <w:tc>
          <w:tcPr>
            <w:tcW w:w="7658" w:type="dxa"/>
            <w:shd w:val="clear" w:color="auto" w:fill="auto"/>
          </w:tcPr>
          <w:p w14:paraId="5BC13B31">
            <w:pPr>
              <w:pStyle w:val="186"/>
              <w:widowControl w:val="0"/>
              <w:spacing w:line="240" w:lineRule="auto"/>
              <w:ind w:firstLine="0"/>
              <w:jc w:val="left"/>
            </w:pPr>
            <w:r>
              <w:rPr>
                <w:rFonts w:hint="eastAsia"/>
              </w:rPr>
              <w:t>点击查询，可以根据时间、级别、攻击源、事件来源、事件类型、事件名称进行组合查询</w:t>
            </w:r>
          </w:p>
        </w:tc>
      </w:tr>
      <w:tr w14:paraId="0F08628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356" w:type="dxa"/>
            <w:shd w:val="clear" w:color="auto" w:fill="auto"/>
          </w:tcPr>
          <w:p w14:paraId="2BE48446">
            <w:pPr>
              <w:pStyle w:val="186"/>
              <w:widowControl w:val="0"/>
              <w:spacing w:line="240" w:lineRule="auto"/>
              <w:ind w:firstLine="0"/>
              <w:jc w:val="left"/>
            </w:pPr>
            <w:r>
              <w:rPr>
                <w:rFonts w:hint="eastAsia"/>
              </w:rPr>
              <w:t>时间</w:t>
            </w:r>
          </w:p>
        </w:tc>
        <w:tc>
          <w:tcPr>
            <w:tcW w:w="7658" w:type="dxa"/>
            <w:shd w:val="clear" w:color="auto" w:fill="auto"/>
          </w:tcPr>
          <w:p w14:paraId="78B33BC1">
            <w:pPr>
              <w:pStyle w:val="186"/>
              <w:widowControl w:val="0"/>
              <w:spacing w:line="240" w:lineRule="auto"/>
              <w:ind w:firstLine="0"/>
              <w:jc w:val="left"/>
            </w:pPr>
            <w:r>
              <w:rPr>
                <w:rFonts w:hint="eastAsia"/>
              </w:rPr>
              <w:t>日志记录时间</w:t>
            </w:r>
          </w:p>
        </w:tc>
      </w:tr>
      <w:tr w14:paraId="6355C98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356" w:type="dxa"/>
            <w:shd w:val="clear" w:color="auto" w:fill="auto"/>
          </w:tcPr>
          <w:p w14:paraId="4FB7F7C2">
            <w:pPr>
              <w:pStyle w:val="186"/>
              <w:widowControl w:val="0"/>
              <w:spacing w:line="240" w:lineRule="auto"/>
              <w:ind w:firstLine="0"/>
              <w:jc w:val="left"/>
            </w:pPr>
            <w:r>
              <w:rPr>
                <w:rFonts w:hint="eastAsia"/>
              </w:rPr>
              <w:t>级别</w:t>
            </w:r>
          </w:p>
        </w:tc>
        <w:tc>
          <w:tcPr>
            <w:tcW w:w="7658" w:type="dxa"/>
            <w:shd w:val="clear" w:color="auto" w:fill="auto"/>
          </w:tcPr>
          <w:p w14:paraId="5FA8A1D8">
            <w:pPr>
              <w:pStyle w:val="186"/>
              <w:widowControl w:val="0"/>
              <w:spacing w:line="240" w:lineRule="auto"/>
              <w:ind w:firstLine="0"/>
              <w:jc w:val="left"/>
            </w:pPr>
            <w:r>
              <w:rPr>
                <w:rFonts w:hint="eastAsia"/>
              </w:rPr>
              <w:t>日志记录级别</w:t>
            </w:r>
          </w:p>
        </w:tc>
      </w:tr>
      <w:tr w14:paraId="5B1914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356" w:type="dxa"/>
            <w:shd w:val="clear" w:color="auto" w:fill="auto"/>
          </w:tcPr>
          <w:p w14:paraId="6D218673">
            <w:pPr>
              <w:pStyle w:val="186"/>
              <w:widowControl w:val="0"/>
              <w:spacing w:line="240" w:lineRule="auto"/>
              <w:ind w:firstLine="0"/>
              <w:jc w:val="left"/>
            </w:pPr>
            <w:r>
              <w:rPr>
                <w:rFonts w:hint="eastAsia"/>
              </w:rPr>
              <w:t>攻击源</w:t>
            </w:r>
          </w:p>
        </w:tc>
        <w:tc>
          <w:tcPr>
            <w:tcW w:w="7658" w:type="dxa"/>
            <w:shd w:val="clear" w:color="auto" w:fill="auto"/>
          </w:tcPr>
          <w:p w14:paraId="3A2FE962">
            <w:pPr>
              <w:pStyle w:val="186"/>
              <w:widowControl w:val="0"/>
              <w:spacing w:line="240" w:lineRule="auto"/>
              <w:ind w:firstLine="0"/>
              <w:jc w:val="left"/>
            </w:pPr>
            <w:r>
              <w:rPr>
                <w:rFonts w:hint="eastAsia"/>
              </w:rPr>
              <w:t>攻击者地址</w:t>
            </w:r>
          </w:p>
        </w:tc>
      </w:tr>
      <w:tr w14:paraId="7BBBE6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356" w:type="dxa"/>
            <w:shd w:val="clear" w:color="auto" w:fill="auto"/>
          </w:tcPr>
          <w:p w14:paraId="6C4622B1">
            <w:pPr>
              <w:pStyle w:val="186"/>
              <w:widowControl w:val="0"/>
              <w:spacing w:line="240" w:lineRule="auto"/>
              <w:ind w:firstLine="0"/>
              <w:jc w:val="left"/>
            </w:pPr>
            <w:r>
              <w:rPr>
                <w:rFonts w:hint="eastAsia"/>
              </w:rPr>
              <w:t>检测模块</w:t>
            </w:r>
          </w:p>
        </w:tc>
        <w:tc>
          <w:tcPr>
            <w:tcW w:w="7658" w:type="dxa"/>
            <w:shd w:val="clear" w:color="auto" w:fill="auto"/>
          </w:tcPr>
          <w:p w14:paraId="59ADCDC5">
            <w:pPr>
              <w:pStyle w:val="186"/>
              <w:widowControl w:val="0"/>
              <w:spacing w:line="240" w:lineRule="auto"/>
              <w:ind w:firstLine="0"/>
              <w:jc w:val="left"/>
            </w:pPr>
            <w:r>
              <w:rPr>
                <w:rFonts w:hint="eastAsia"/>
              </w:rPr>
              <w:t>攻击检测模块</w:t>
            </w:r>
          </w:p>
        </w:tc>
      </w:tr>
      <w:tr w14:paraId="3F767D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356" w:type="dxa"/>
            <w:shd w:val="clear" w:color="auto" w:fill="auto"/>
          </w:tcPr>
          <w:p w14:paraId="7297865C">
            <w:pPr>
              <w:pStyle w:val="186"/>
              <w:widowControl w:val="0"/>
              <w:spacing w:line="240" w:lineRule="auto"/>
              <w:ind w:firstLine="0"/>
              <w:jc w:val="left"/>
            </w:pPr>
            <w:r>
              <w:rPr>
                <w:rFonts w:hint="eastAsia"/>
              </w:rPr>
              <w:t>事件类型</w:t>
            </w:r>
          </w:p>
        </w:tc>
        <w:tc>
          <w:tcPr>
            <w:tcW w:w="7658" w:type="dxa"/>
            <w:shd w:val="clear" w:color="auto" w:fill="auto"/>
          </w:tcPr>
          <w:p w14:paraId="3A0A7D52">
            <w:pPr>
              <w:pStyle w:val="186"/>
              <w:widowControl w:val="0"/>
              <w:spacing w:line="240" w:lineRule="auto"/>
              <w:ind w:firstLine="0"/>
              <w:jc w:val="left"/>
            </w:pPr>
            <w:r>
              <w:rPr>
                <w:rFonts w:hint="eastAsia"/>
              </w:rPr>
              <w:t>攻击日志所属的事件类型</w:t>
            </w:r>
          </w:p>
        </w:tc>
      </w:tr>
      <w:tr w14:paraId="780D989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356" w:type="dxa"/>
            <w:shd w:val="clear" w:color="auto" w:fill="auto"/>
          </w:tcPr>
          <w:p w14:paraId="3FA7E90F">
            <w:pPr>
              <w:pStyle w:val="186"/>
              <w:widowControl w:val="0"/>
              <w:spacing w:line="240" w:lineRule="auto"/>
              <w:ind w:firstLine="0"/>
              <w:jc w:val="left"/>
            </w:pPr>
            <w:r>
              <w:rPr>
                <w:rFonts w:hint="eastAsia"/>
              </w:rPr>
              <w:t>事件名称</w:t>
            </w:r>
          </w:p>
        </w:tc>
        <w:tc>
          <w:tcPr>
            <w:tcW w:w="7658" w:type="dxa"/>
            <w:shd w:val="clear" w:color="auto" w:fill="auto"/>
          </w:tcPr>
          <w:p w14:paraId="27A4CB07">
            <w:pPr>
              <w:pStyle w:val="186"/>
              <w:widowControl w:val="0"/>
              <w:spacing w:line="240" w:lineRule="auto"/>
              <w:ind w:firstLine="0"/>
              <w:jc w:val="left"/>
            </w:pPr>
            <w:r>
              <w:rPr>
                <w:rFonts w:hint="eastAsia"/>
              </w:rPr>
              <w:t>事件类型的描述</w:t>
            </w:r>
          </w:p>
        </w:tc>
      </w:tr>
      <w:tr w14:paraId="0B7553B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356" w:type="dxa"/>
            <w:shd w:val="clear" w:color="auto" w:fill="auto"/>
          </w:tcPr>
          <w:p w14:paraId="3CA2E863">
            <w:pPr>
              <w:pStyle w:val="186"/>
              <w:widowControl w:val="0"/>
              <w:spacing w:line="240" w:lineRule="auto"/>
              <w:ind w:firstLine="0"/>
              <w:jc w:val="left"/>
            </w:pPr>
            <w:r>
              <w:rPr>
                <w:rFonts w:hint="eastAsia"/>
              </w:rPr>
              <w:t>行为</w:t>
            </w:r>
          </w:p>
        </w:tc>
        <w:tc>
          <w:tcPr>
            <w:tcW w:w="7658" w:type="dxa"/>
            <w:shd w:val="clear" w:color="auto" w:fill="auto"/>
          </w:tcPr>
          <w:p w14:paraId="50BA0597">
            <w:pPr>
              <w:pStyle w:val="186"/>
              <w:widowControl w:val="0"/>
              <w:spacing w:line="240" w:lineRule="auto"/>
              <w:ind w:firstLine="0"/>
              <w:jc w:val="left"/>
            </w:pPr>
            <w:r>
              <w:rPr>
                <w:rFonts w:hint="eastAsia"/>
              </w:rPr>
              <w:t>显示此攻击的处理动作</w:t>
            </w:r>
          </w:p>
        </w:tc>
      </w:tr>
      <w:tr w14:paraId="4F364B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356" w:type="dxa"/>
            <w:shd w:val="clear" w:color="auto" w:fill="auto"/>
          </w:tcPr>
          <w:p w14:paraId="2F194F80">
            <w:pPr>
              <w:pStyle w:val="186"/>
              <w:widowControl w:val="0"/>
              <w:spacing w:line="240" w:lineRule="auto"/>
              <w:ind w:firstLine="0"/>
              <w:jc w:val="left"/>
            </w:pPr>
            <w:r>
              <w:rPr>
                <w:rFonts w:hint="eastAsia"/>
              </w:rPr>
              <w:t>操作</w:t>
            </w:r>
          </w:p>
        </w:tc>
        <w:tc>
          <w:tcPr>
            <w:tcW w:w="7658" w:type="dxa"/>
            <w:shd w:val="clear" w:color="auto" w:fill="auto"/>
          </w:tcPr>
          <w:p w14:paraId="790BA7EE">
            <w:pPr>
              <w:pStyle w:val="186"/>
              <w:widowControl w:val="0"/>
              <w:spacing w:line="240" w:lineRule="auto"/>
              <w:ind w:firstLine="0"/>
              <w:jc w:val="left"/>
            </w:pPr>
            <w:r>
              <w:rPr>
                <w:rFonts w:hint="eastAsia"/>
              </w:rPr>
              <w:t>点击详细，展示详细的匹配信息和事件信息</w:t>
            </w:r>
          </w:p>
        </w:tc>
      </w:tr>
    </w:tbl>
    <w:p w14:paraId="044697A8"/>
    <w:p w14:paraId="2334C733">
      <w:pPr>
        <w:pStyle w:val="5"/>
      </w:pPr>
      <w:bookmarkStart w:id="836" w:name="_Toc172217989"/>
      <w:bookmarkStart w:id="837" w:name="_Toc141873266"/>
      <w:bookmarkStart w:id="838" w:name="_Toc142400779"/>
      <w:bookmarkStart w:id="839" w:name="_Toc194080630"/>
      <w:bookmarkStart w:id="840" w:name="_Toc196727963"/>
      <w:bookmarkStart w:id="841" w:name="_Toc99561316"/>
      <w:bookmarkStart w:id="842" w:name="_Toc40275830"/>
      <w:bookmarkStart w:id="843" w:name="_Toc15484629"/>
      <w:bookmarkStart w:id="844" w:name="_Toc23152397"/>
      <w:r>
        <w:rPr>
          <w:rFonts w:hint="eastAsia"/>
        </w:rPr>
        <w:t>WEB防护分析</w:t>
      </w:r>
      <w:bookmarkEnd w:id="836"/>
      <w:bookmarkEnd w:id="837"/>
      <w:bookmarkEnd w:id="838"/>
      <w:bookmarkEnd w:id="839"/>
      <w:bookmarkEnd w:id="840"/>
      <w:bookmarkEnd w:id="841"/>
      <w:bookmarkEnd w:id="842"/>
      <w:bookmarkEnd w:id="843"/>
      <w:bookmarkEnd w:id="844"/>
    </w:p>
    <w:p w14:paraId="3ACAA7B9">
      <w:r>
        <w:rPr>
          <w:rFonts w:hint="eastAsia"/>
        </w:rPr>
        <w:t>在导航栏中选择“数据中心&gt;安全分析&gt;WEB防护分析”</w:t>
      </w:r>
      <w:r>
        <w:t>进入</w:t>
      </w:r>
      <w:r>
        <w:rPr>
          <w:rFonts w:hint="eastAsia"/>
        </w:rPr>
        <w:t>规则防护显示</w:t>
      </w:r>
      <w:r>
        <w:t>界面</w:t>
      </w:r>
      <w:r>
        <w:rPr>
          <w:rFonts w:hint="eastAsia"/>
        </w:rPr>
        <w:t>，如</w:t>
      </w:r>
      <w:r>
        <w:rPr>
          <w:color w:val="0000FF"/>
          <w:u w:val="single"/>
        </w:rPr>
        <w:fldChar w:fldCharType="begin"/>
      </w:r>
      <w:r>
        <w:instrText xml:space="preserve"> </w:instrText>
      </w:r>
      <w:r>
        <w:rPr>
          <w:rFonts w:hint="eastAsia"/>
        </w:rPr>
        <w:instrText xml:space="preserve">REF _Ref15390162 \r \h</w:instrText>
      </w:r>
      <w:r>
        <w:instrText xml:space="preserve"> </w:instrText>
      </w:r>
      <w:r>
        <w:rPr>
          <w:color w:val="0000FF"/>
          <w:u w:val="single"/>
        </w:rPr>
        <w:fldChar w:fldCharType="separate"/>
      </w:r>
      <w:r>
        <w:rPr>
          <w:rFonts w:hint="eastAsia"/>
        </w:rPr>
        <w:t>图4-72</w:t>
      </w:r>
      <w:r>
        <w:rPr>
          <w:color w:val="0000FF"/>
          <w:u w:val="single"/>
        </w:rPr>
        <w:fldChar w:fldCharType="end"/>
      </w:r>
      <w:r>
        <w:rPr>
          <w:rFonts w:hint="eastAsia"/>
        </w:rPr>
        <w:t>所示。</w:t>
      </w:r>
    </w:p>
    <w:p w14:paraId="0B9146E4">
      <w:pPr>
        <w:pStyle w:val="188"/>
      </w:pPr>
      <w:bookmarkStart w:id="845" w:name="_Ref15390162"/>
      <w:bookmarkStart w:id="846" w:name="_Toc141874443"/>
      <w:r>
        <w:rPr>
          <w:rFonts w:hint="eastAsia"/>
        </w:rPr>
        <w:t>规则防护</w:t>
      </w:r>
      <w:bookmarkEnd w:id="845"/>
      <w:bookmarkEnd w:id="846"/>
    </w:p>
    <w:p w14:paraId="5F5954C5">
      <w:pPr>
        <w:spacing w:before="79" w:after="79"/>
      </w:pPr>
      <w:r>
        <w:drawing>
          <wp:inline distT="0" distB="0" distL="0" distR="0">
            <wp:extent cx="5172075" cy="2171065"/>
            <wp:effectExtent l="0" t="0" r="0" b="63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137"/>
                    <a:stretch>
                      <a:fillRect/>
                    </a:stretch>
                  </pic:blipFill>
                  <pic:spPr>
                    <a:xfrm>
                      <a:off x="0" y="0"/>
                      <a:ext cx="5211204" cy="2187959"/>
                    </a:xfrm>
                    <a:prstGeom prst="rect">
                      <a:avLst/>
                    </a:prstGeom>
                  </pic:spPr>
                </pic:pic>
              </a:graphicData>
            </a:graphic>
          </wp:inline>
        </w:drawing>
      </w:r>
    </w:p>
    <w:p w14:paraId="0115EF66"/>
    <w:p w14:paraId="418DC9C3">
      <w:r>
        <w:rPr>
          <w:rFonts w:hint="eastAsia"/>
        </w:rPr>
        <w:t>对规则防护的详细说明如</w:t>
      </w:r>
      <w:r>
        <w:rPr>
          <w:color w:val="0000FF"/>
          <w:u w:val="single"/>
        </w:rPr>
        <w:fldChar w:fldCharType="begin"/>
      </w:r>
      <w:r>
        <w:instrText xml:space="preserve"> </w:instrText>
      </w:r>
      <w:r>
        <w:rPr>
          <w:rFonts w:hint="eastAsia"/>
        </w:rPr>
        <w:instrText xml:space="preserve">REF _Ref15390168 \r \h</w:instrText>
      </w:r>
      <w:r>
        <w:instrText xml:space="preserve"> </w:instrText>
      </w:r>
      <w:r>
        <w:rPr>
          <w:color w:val="0000FF"/>
          <w:u w:val="single"/>
        </w:rPr>
        <w:fldChar w:fldCharType="separate"/>
      </w:r>
      <w:r>
        <w:rPr>
          <w:rFonts w:hint="eastAsia"/>
        </w:rPr>
        <w:t>表4-1</w:t>
      </w:r>
      <w:r>
        <w:rPr>
          <w:color w:val="0000FF"/>
          <w:u w:val="single"/>
        </w:rPr>
        <w:fldChar w:fldCharType="end"/>
      </w:r>
      <w:r>
        <w:rPr>
          <w:rFonts w:hint="eastAsia"/>
        </w:rPr>
        <w:t>所示。</w:t>
      </w:r>
    </w:p>
    <w:p w14:paraId="77821009">
      <w:pPr>
        <w:pStyle w:val="183"/>
      </w:pPr>
      <w:bookmarkStart w:id="847" w:name="_Toc141875404"/>
      <w:bookmarkStart w:id="848" w:name="_Ref15390168"/>
      <w:r>
        <w:rPr>
          <w:rFonts w:hint="eastAsia"/>
        </w:rPr>
        <w:t>规则防护详细</w:t>
      </w:r>
      <w:r>
        <w:t>说明</w:t>
      </w:r>
      <w:bookmarkEnd w:id="847"/>
      <w:bookmarkEnd w:id="848"/>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85"/>
        <w:gridCol w:w="6529"/>
      </w:tblGrid>
      <w:tr w14:paraId="1251D67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tcBorders>
              <w:tl2br w:val="nil"/>
              <w:tr2bl w:val="nil"/>
            </w:tcBorders>
            <w:shd w:val="clear" w:color="auto" w:fill="538135" w:themeFill="accent6" w:themeFillShade="BF"/>
            <w:vAlign w:val="center"/>
          </w:tcPr>
          <w:p w14:paraId="53AE188A">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29" w:type="dxa"/>
            <w:tcBorders>
              <w:tl2br w:val="nil"/>
              <w:tr2bl w:val="nil"/>
            </w:tcBorders>
            <w:shd w:val="clear" w:color="auto" w:fill="538135" w:themeFill="accent6" w:themeFillShade="BF"/>
            <w:vAlign w:val="center"/>
          </w:tcPr>
          <w:p w14:paraId="58F035EE">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E7038E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689D2F07">
            <w:pPr>
              <w:pStyle w:val="186"/>
              <w:widowControl w:val="0"/>
              <w:spacing w:line="240" w:lineRule="auto"/>
              <w:ind w:firstLine="0"/>
              <w:jc w:val="left"/>
            </w:pPr>
            <w:r>
              <w:rPr>
                <w:rFonts w:hint="eastAsia"/>
              </w:rPr>
              <w:t>统计时间</w:t>
            </w:r>
          </w:p>
        </w:tc>
        <w:tc>
          <w:tcPr>
            <w:tcW w:w="6529" w:type="dxa"/>
            <w:shd w:val="clear" w:color="auto" w:fill="auto"/>
          </w:tcPr>
          <w:p w14:paraId="7122084A">
            <w:pPr>
              <w:pStyle w:val="186"/>
              <w:widowControl w:val="0"/>
              <w:spacing w:line="240" w:lineRule="auto"/>
              <w:ind w:firstLine="0"/>
              <w:jc w:val="left"/>
            </w:pPr>
            <w:r>
              <w:rPr>
                <w:rFonts w:hint="eastAsia"/>
              </w:rPr>
              <w:t>设定显示的时间跨度，可选的值有：</w:t>
            </w:r>
          </w:p>
          <w:p w14:paraId="41A4FC8A">
            <w:pPr>
              <w:pStyle w:val="207"/>
            </w:pPr>
            <w:r>
              <w:rPr>
                <w:rFonts w:hint="eastAsia"/>
              </w:rPr>
              <w:t>最近一天</w:t>
            </w:r>
          </w:p>
          <w:p w14:paraId="71790522">
            <w:pPr>
              <w:pStyle w:val="207"/>
            </w:pPr>
            <w:r>
              <w:rPr>
                <w:rFonts w:hint="eastAsia"/>
              </w:rPr>
              <w:t>最近一周</w:t>
            </w:r>
          </w:p>
          <w:p w14:paraId="4AC6E2BC">
            <w:pPr>
              <w:pStyle w:val="207"/>
            </w:pPr>
            <w:r>
              <w:rPr>
                <w:rFonts w:hint="eastAsia"/>
              </w:rPr>
              <w:t>最近一月</w:t>
            </w:r>
          </w:p>
          <w:p w14:paraId="4AF52A07">
            <w:pPr>
              <w:pStyle w:val="207"/>
            </w:pPr>
            <w:r>
              <w:rPr>
                <w:rFonts w:hint="eastAsia"/>
              </w:rPr>
              <w:t>自定义时间</w:t>
            </w:r>
          </w:p>
          <w:p w14:paraId="3A5A1F51">
            <w:pPr>
              <w:pStyle w:val="186"/>
              <w:widowControl w:val="0"/>
              <w:spacing w:line="240" w:lineRule="auto"/>
              <w:ind w:firstLine="0"/>
              <w:jc w:val="left"/>
            </w:pPr>
            <w:r>
              <w:rPr>
                <w:rFonts w:hint="eastAsia"/>
              </w:rPr>
              <w:t>缺省情况下，显示最近一月的规则防护统计。</w:t>
            </w:r>
          </w:p>
        </w:tc>
      </w:tr>
      <w:tr w14:paraId="5568E90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22448F0D">
            <w:pPr>
              <w:pStyle w:val="186"/>
              <w:widowControl w:val="0"/>
              <w:spacing w:line="240" w:lineRule="auto"/>
              <w:ind w:firstLine="0"/>
              <w:jc w:val="left"/>
            </w:pPr>
            <w:r>
              <w:rPr>
                <w:rFonts w:hint="eastAsia"/>
              </w:rPr>
              <w:t>攻击类型分布</w:t>
            </w:r>
          </w:p>
        </w:tc>
        <w:tc>
          <w:tcPr>
            <w:tcW w:w="6529" w:type="dxa"/>
            <w:shd w:val="clear" w:color="auto" w:fill="auto"/>
          </w:tcPr>
          <w:p w14:paraId="3B30ACFB">
            <w:pPr>
              <w:pStyle w:val="186"/>
              <w:widowControl w:val="0"/>
              <w:spacing w:line="240" w:lineRule="auto"/>
              <w:ind w:firstLine="0"/>
              <w:jc w:val="left"/>
            </w:pPr>
            <w:r>
              <w:rPr>
                <w:rFonts w:hint="eastAsia"/>
              </w:rPr>
              <w:t>以饼状图的方式展示TOP</w:t>
            </w:r>
            <w:r>
              <w:t>5</w:t>
            </w:r>
            <w:r>
              <w:rPr>
                <w:rFonts w:hint="eastAsia"/>
              </w:rPr>
              <w:t>+其他的攻击类型占比。</w:t>
            </w:r>
          </w:p>
        </w:tc>
      </w:tr>
      <w:tr w14:paraId="5E62FF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34C1B00E">
            <w:pPr>
              <w:pStyle w:val="186"/>
              <w:widowControl w:val="0"/>
              <w:spacing w:line="240" w:lineRule="auto"/>
              <w:ind w:firstLine="0"/>
              <w:jc w:val="left"/>
            </w:pPr>
            <w:r>
              <w:rPr>
                <w:rFonts w:hint="eastAsia"/>
              </w:rPr>
              <w:t>被攻击URL</w:t>
            </w:r>
            <w:r>
              <w:t xml:space="preserve"> </w:t>
            </w:r>
            <w:r>
              <w:rPr>
                <w:rFonts w:hint="eastAsia"/>
              </w:rPr>
              <w:t>TOP</w:t>
            </w:r>
            <w:r>
              <w:t>10</w:t>
            </w:r>
          </w:p>
        </w:tc>
        <w:tc>
          <w:tcPr>
            <w:tcW w:w="6529" w:type="dxa"/>
            <w:shd w:val="clear" w:color="auto" w:fill="auto"/>
          </w:tcPr>
          <w:p w14:paraId="058BC721">
            <w:pPr>
              <w:pStyle w:val="186"/>
              <w:widowControl w:val="0"/>
              <w:spacing w:line="240" w:lineRule="auto"/>
              <w:ind w:firstLine="0"/>
              <w:jc w:val="left"/>
            </w:pPr>
            <w:r>
              <w:rPr>
                <w:rFonts w:hint="eastAsia"/>
              </w:rPr>
              <w:t>以柱状图的方式展示TOP</w:t>
            </w:r>
            <w:r>
              <w:t>10</w:t>
            </w:r>
            <w:r>
              <w:rPr>
                <w:rFonts w:hint="eastAsia"/>
              </w:rPr>
              <w:t>的被攻击URL数据。</w:t>
            </w:r>
          </w:p>
        </w:tc>
      </w:tr>
    </w:tbl>
    <w:p w14:paraId="16FA3C86"/>
    <w:p w14:paraId="18F09701">
      <w:r>
        <w:rPr>
          <w:rFonts w:hint="eastAsia"/>
        </w:rPr>
        <w:t>在导航栏中选择“数据中心&gt;安全分析&gt;WEB防护分析”</w:t>
      </w:r>
      <w:r>
        <w:t>进入</w:t>
      </w:r>
      <w:r>
        <w:rPr>
          <w:rFonts w:hint="eastAsia"/>
        </w:rPr>
        <w:t>规则防护显示</w:t>
      </w:r>
      <w:r>
        <w:t>界面</w:t>
      </w:r>
      <w:r>
        <w:rPr>
          <w:rFonts w:hint="eastAsia"/>
        </w:rPr>
        <w:t>，点击高级防护，进入高级防护显示页面，如</w:t>
      </w:r>
      <w:r>
        <w:rPr>
          <w:color w:val="0000FF"/>
          <w:u w:val="single"/>
        </w:rPr>
        <w:fldChar w:fldCharType="begin"/>
      </w:r>
      <w:r>
        <w:instrText xml:space="preserve"> </w:instrText>
      </w:r>
      <w:r>
        <w:rPr>
          <w:rFonts w:hint="eastAsia"/>
        </w:rPr>
        <w:instrText xml:space="preserve">REF _Ref15390176 \r \h</w:instrText>
      </w:r>
      <w:r>
        <w:instrText xml:space="preserve"> </w:instrText>
      </w:r>
      <w:r>
        <w:rPr>
          <w:color w:val="0000FF"/>
          <w:u w:val="single"/>
        </w:rPr>
        <w:fldChar w:fldCharType="separate"/>
      </w:r>
      <w:r>
        <w:rPr>
          <w:rFonts w:hint="eastAsia"/>
        </w:rPr>
        <w:t>图4-73</w:t>
      </w:r>
      <w:r>
        <w:rPr>
          <w:color w:val="0000FF"/>
          <w:u w:val="single"/>
        </w:rPr>
        <w:fldChar w:fldCharType="end"/>
      </w:r>
      <w:r>
        <w:rPr>
          <w:rFonts w:hint="eastAsia"/>
        </w:rPr>
        <w:t>所示。</w:t>
      </w:r>
    </w:p>
    <w:p w14:paraId="60DDCF49">
      <w:pPr>
        <w:pStyle w:val="188"/>
      </w:pPr>
      <w:bookmarkStart w:id="849" w:name="_Ref15390176"/>
      <w:bookmarkStart w:id="850" w:name="_Toc141874444"/>
      <w:r>
        <w:rPr>
          <w:rFonts w:hint="eastAsia"/>
        </w:rPr>
        <w:t>高级防护</w:t>
      </w:r>
      <w:bookmarkEnd w:id="849"/>
      <w:bookmarkEnd w:id="850"/>
    </w:p>
    <w:p w14:paraId="38662020">
      <w:pPr>
        <w:spacing w:before="79" w:after="79"/>
      </w:pPr>
      <w:r>
        <w:drawing>
          <wp:inline distT="0" distB="0" distL="0" distR="0">
            <wp:extent cx="5153025" cy="2535555"/>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38"/>
                    <a:stretch>
                      <a:fillRect/>
                    </a:stretch>
                  </pic:blipFill>
                  <pic:spPr>
                    <a:xfrm>
                      <a:off x="0" y="0"/>
                      <a:ext cx="5166312" cy="2542154"/>
                    </a:xfrm>
                    <a:prstGeom prst="rect">
                      <a:avLst/>
                    </a:prstGeom>
                  </pic:spPr>
                </pic:pic>
              </a:graphicData>
            </a:graphic>
          </wp:inline>
        </w:drawing>
      </w:r>
    </w:p>
    <w:p w14:paraId="40EB4816"/>
    <w:p w14:paraId="1D395361">
      <w:r>
        <w:rPr>
          <w:rFonts w:hint="eastAsia"/>
        </w:rPr>
        <w:t>对高级防护的详细说明如</w:t>
      </w:r>
      <w:r>
        <w:rPr>
          <w:color w:val="0000FF"/>
          <w:u w:val="single"/>
        </w:rPr>
        <w:fldChar w:fldCharType="begin"/>
      </w:r>
      <w:r>
        <w:instrText xml:space="preserve"> </w:instrText>
      </w:r>
      <w:r>
        <w:rPr>
          <w:rFonts w:hint="eastAsia"/>
        </w:rPr>
        <w:instrText xml:space="preserve">REF _Ref15390181 \r \h</w:instrText>
      </w:r>
      <w:r>
        <w:instrText xml:space="preserve"> </w:instrText>
      </w:r>
      <w:r>
        <w:rPr>
          <w:color w:val="0000FF"/>
          <w:u w:val="single"/>
        </w:rPr>
        <w:fldChar w:fldCharType="separate"/>
      </w:r>
      <w:r>
        <w:rPr>
          <w:rFonts w:hint="eastAsia"/>
        </w:rPr>
        <w:t>表4-1</w:t>
      </w:r>
      <w:r>
        <w:rPr>
          <w:color w:val="0000FF"/>
          <w:u w:val="single"/>
        </w:rPr>
        <w:fldChar w:fldCharType="end"/>
      </w:r>
      <w:r>
        <w:rPr>
          <w:rFonts w:hint="eastAsia"/>
        </w:rPr>
        <w:t>所示。</w:t>
      </w:r>
    </w:p>
    <w:p w14:paraId="3B406C7B">
      <w:pPr>
        <w:pStyle w:val="183"/>
      </w:pPr>
      <w:bookmarkStart w:id="851" w:name="_Ref15390181"/>
      <w:bookmarkStart w:id="852" w:name="_Toc141875405"/>
      <w:r>
        <w:rPr>
          <w:rFonts w:hint="eastAsia"/>
        </w:rPr>
        <w:t>高级防护详细</w:t>
      </w:r>
      <w:r>
        <w:t>说明</w:t>
      </w:r>
      <w:bookmarkEnd w:id="851"/>
      <w:bookmarkEnd w:id="852"/>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85"/>
        <w:gridCol w:w="6529"/>
      </w:tblGrid>
      <w:tr w14:paraId="120BCD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tcBorders>
              <w:tl2br w:val="nil"/>
              <w:tr2bl w:val="nil"/>
            </w:tcBorders>
            <w:shd w:val="clear" w:color="auto" w:fill="538135" w:themeFill="accent6" w:themeFillShade="BF"/>
            <w:vAlign w:val="center"/>
          </w:tcPr>
          <w:p w14:paraId="318E8606">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29" w:type="dxa"/>
            <w:tcBorders>
              <w:tl2br w:val="nil"/>
              <w:tr2bl w:val="nil"/>
            </w:tcBorders>
            <w:shd w:val="clear" w:color="auto" w:fill="538135" w:themeFill="accent6" w:themeFillShade="BF"/>
            <w:vAlign w:val="center"/>
          </w:tcPr>
          <w:p w14:paraId="43B857C4">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8B047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69E6C645">
            <w:pPr>
              <w:pStyle w:val="186"/>
              <w:widowControl w:val="0"/>
              <w:spacing w:line="240" w:lineRule="auto"/>
              <w:ind w:firstLine="0"/>
              <w:jc w:val="left"/>
            </w:pPr>
            <w:r>
              <w:rPr>
                <w:rFonts w:hint="eastAsia"/>
              </w:rPr>
              <w:t>防护策略</w:t>
            </w:r>
          </w:p>
        </w:tc>
        <w:tc>
          <w:tcPr>
            <w:tcW w:w="6529" w:type="dxa"/>
            <w:shd w:val="clear" w:color="auto" w:fill="auto"/>
          </w:tcPr>
          <w:p w14:paraId="55513D7A">
            <w:pPr>
              <w:pStyle w:val="186"/>
              <w:widowControl w:val="0"/>
              <w:spacing w:line="240" w:lineRule="auto"/>
              <w:ind w:firstLine="0"/>
              <w:jc w:val="left"/>
            </w:pPr>
            <w:r>
              <w:rPr>
                <w:rFonts w:hint="eastAsia"/>
              </w:rPr>
              <w:t>根据防护策略过滤展示数据，默认展示所有防护策略的数据。</w:t>
            </w:r>
          </w:p>
        </w:tc>
      </w:tr>
      <w:tr w14:paraId="57FAF0C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0DA7DC6D">
            <w:pPr>
              <w:pStyle w:val="186"/>
              <w:widowControl w:val="0"/>
              <w:spacing w:line="240" w:lineRule="auto"/>
              <w:ind w:firstLine="0"/>
              <w:jc w:val="left"/>
            </w:pPr>
            <w:r>
              <w:rPr>
                <w:rFonts w:hint="eastAsia"/>
              </w:rPr>
              <w:t>统计时间</w:t>
            </w:r>
          </w:p>
        </w:tc>
        <w:tc>
          <w:tcPr>
            <w:tcW w:w="6529" w:type="dxa"/>
            <w:shd w:val="clear" w:color="auto" w:fill="auto"/>
          </w:tcPr>
          <w:p w14:paraId="7BBFE8DB">
            <w:pPr>
              <w:pStyle w:val="186"/>
              <w:widowControl w:val="0"/>
              <w:spacing w:line="240" w:lineRule="auto"/>
              <w:ind w:firstLine="0"/>
              <w:jc w:val="left"/>
            </w:pPr>
            <w:r>
              <w:rPr>
                <w:rFonts w:hint="eastAsia"/>
              </w:rPr>
              <w:t>设定显示的时间跨度，可选的值有：</w:t>
            </w:r>
          </w:p>
          <w:p w14:paraId="0C5520A8">
            <w:pPr>
              <w:pStyle w:val="207"/>
            </w:pPr>
            <w:r>
              <w:rPr>
                <w:rFonts w:hint="eastAsia"/>
              </w:rPr>
              <w:t>最近一天</w:t>
            </w:r>
          </w:p>
          <w:p w14:paraId="38D293B0">
            <w:pPr>
              <w:pStyle w:val="207"/>
            </w:pPr>
            <w:r>
              <w:rPr>
                <w:rFonts w:hint="eastAsia"/>
              </w:rPr>
              <w:t>最近一周</w:t>
            </w:r>
          </w:p>
          <w:p w14:paraId="0178ABCC">
            <w:pPr>
              <w:pStyle w:val="207"/>
            </w:pPr>
            <w:r>
              <w:rPr>
                <w:rFonts w:hint="eastAsia"/>
              </w:rPr>
              <w:t>最近一月</w:t>
            </w:r>
          </w:p>
          <w:p w14:paraId="0D6350F5">
            <w:pPr>
              <w:pStyle w:val="207"/>
            </w:pPr>
            <w:r>
              <w:rPr>
                <w:rFonts w:hint="eastAsia"/>
              </w:rPr>
              <w:t>自定义时间</w:t>
            </w:r>
          </w:p>
          <w:p w14:paraId="3625820D">
            <w:pPr>
              <w:pStyle w:val="186"/>
              <w:widowControl w:val="0"/>
              <w:spacing w:line="240" w:lineRule="auto"/>
              <w:ind w:firstLine="0"/>
              <w:jc w:val="left"/>
            </w:pPr>
            <w:r>
              <w:rPr>
                <w:rFonts w:hint="eastAsia"/>
              </w:rPr>
              <w:t>缺省情况下，显示最近一月的高级防护统计。</w:t>
            </w:r>
          </w:p>
        </w:tc>
      </w:tr>
      <w:tr w14:paraId="0CEF0E7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50F48997">
            <w:pPr>
              <w:pStyle w:val="186"/>
              <w:widowControl w:val="0"/>
              <w:spacing w:line="240" w:lineRule="auto"/>
              <w:ind w:firstLine="0"/>
              <w:jc w:val="left"/>
            </w:pPr>
            <w:r>
              <w:rPr>
                <w:rFonts w:hint="eastAsia"/>
              </w:rPr>
              <w:t>精确访问控制</w:t>
            </w:r>
          </w:p>
        </w:tc>
        <w:tc>
          <w:tcPr>
            <w:tcW w:w="6529" w:type="dxa"/>
            <w:shd w:val="clear" w:color="auto" w:fill="auto"/>
          </w:tcPr>
          <w:p w14:paraId="504F4AA2">
            <w:pPr>
              <w:pStyle w:val="186"/>
              <w:widowControl w:val="0"/>
              <w:spacing w:line="240" w:lineRule="auto"/>
              <w:ind w:firstLine="0"/>
              <w:jc w:val="left"/>
            </w:pPr>
            <w:r>
              <w:rPr>
                <w:rFonts w:hint="eastAsia"/>
              </w:rPr>
              <w:t>以趋势图的方式展示精确访问控制策略命中趋势。</w:t>
            </w:r>
          </w:p>
        </w:tc>
      </w:tr>
      <w:tr w14:paraId="5AA2C0E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4A0A5DAB">
            <w:pPr>
              <w:pStyle w:val="186"/>
              <w:widowControl w:val="0"/>
              <w:spacing w:line="240" w:lineRule="auto"/>
              <w:ind w:firstLine="0"/>
              <w:jc w:val="left"/>
            </w:pPr>
            <w:r>
              <w:rPr>
                <w:rFonts w:hint="eastAsia"/>
              </w:rPr>
              <w:t>防盗链</w:t>
            </w:r>
          </w:p>
        </w:tc>
        <w:tc>
          <w:tcPr>
            <w:tcW w:w="6529" w:type="dxa"/>
            <w:shd w:val="clear" w:color="auto" w:fill="auto"/>
          </w:tcPr>
          <w:p w14:paraId="0AB847AF">
            <w:pPr>
              <w:pStyle w:val="186"/>
              <w:widowControl w:val="0"/>
              <w:spacing w:line="240" w:lineRule="auto"/>
              <w:ind w:firstLine="0"/>
              <w:jc w:val="left"/>
            </w:pPr>
            <w:r>
              <w:rPr>
                <w:rFonts w:hint="eastAsia"/>
              </w:rPr>
              <w:t>以趋势图的方式展示防盗链策略命中趋势。</w:t>
            </w:r>
          </w:p>
        </w:tc>
      </w:tr>
      <w:tr w14:paraId="0F08F3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30CECD23">
            <w:pPr>
              <w:pStyle w:val="186"/>
              <w:widowControl w:val="0"/>
              <w:spacing w:line="240" w:lineRule="auto"/>
              <w:ind w:firstLine="0"/>
              <w:jc w:val="left"/>
            </w:pPr>
            <w:r>
              <w:rPr>
                <w:rFonts w:hint="eastAsia"/>
              </w:rPr>
              <w:t>CSRF攻击防护</w:t>
            </w:r>
          </w:p>
        </w:tc>
        <w:tc>
          <w:tcPr>
            <w:tcW w:w="6529" w:type="dxa"/>
            <w:shd w:val="clear" w:color="auto" w:fill="auto"/>
          </w:tcPr>
          <w:p w14:paraId="08A0772F">
            <w:pPr>
              <w:pStyle w:val="186"/>
              <w:widowControl w:val="0"/>
              <w:spacing w:line="240" w:lineRule="auto"/>
              <w:ind w:firstLine="0"/>
              <w:jc w:val="left"/>
            </w:pPr>
            <w:r>
              <w:rPr>
                <w:rFonts w:hint="eastAsia"/>
              </w:rPr>
              <w:t>以趋势图的方式展示CSRF攻击防护策略命中趋势。</w:t>
            </w:r>
          </w:p>
        </w:tc>
      </w:tr>
      <w:tr w14:paraId="719323B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657D11DA">
            <w:pPr>
              <w:pStyle w:val="186"/>
              <w:widowControl w:val="0"/>
              <w:spacing w:line="240" w:lineRule="auto"/>
              <w:ind w:firstLine="0"/>
              <w:jc w:val="left"/>
            </w:pPr>
            <w:r>
              <w:rPr>
                <w:rFonts w:hint="eastAsia"/>
              </w:rPr>
              <w:t>CC攻击防护</w:t>
            </w:r>
          </w:p>
        </w:tc>
        <w:tc>
          <w:tcPr>
            <w:tcW w:w="6529" w:type="dxa"/>
            <w:shd w:val="clear" w:color="auto" w:fill="auto"/>
          </w:tcPr>
          <w:p w14:paraId="0A22BC01">
            <w:pPr>
              <w:pStyle w:val="186"/>
              <w:widowControl w:val="0"/>
              <w:spacing w:line="240" w:lineRule="auto"/>
              <w:ind w:firstLine="0"/>
              <w:jc w:val="left"/>
            </w:pPr>
            <w:r>
              <w:rPr>
                <w:rFonts w:hint="eastAsia"/>
              </w:rPr>
              <w:t>以趋势图的方式展示CC攻击防护策略命中趋势。</w:t>
            </w:r>
          </w:p>
        </w:tc>
      </w:tr>
      <w:tr w14:paraId="6B7EEAD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85" w:type="dxa"/>
            <w:shd w:val="clear" w:color="auto" w:fill="auto"/>
          </w:tcPr>
          <w:p w14:paraId="34CEFE66">
            <w:pPr>
              <w:pStyle w:val="186"/>
              <w:widowControl w:val="0"/>
              <w:spacing w:line="240" w:lineRule="auto"/>
              <w:ind w:firstLine="0"/>
              <w:jc w:val="left"/>
            </w:pPr>
            <w:r>
              <w:rPr>
                <w:rFonts w:hint="eastAsia"/>
              </w:rPr>
              <w:t>被攻击URL</w:t>
            </w:r>
            <w:r>
              <w:t xml:space="preserve"> </w:t>
            </w:r>
            <w:r>
              <w:rPr>
                <w:rFonts w:hint="eastAsia"/>
              </w:rPr>
              <w:t>TOP</w:t>
            </w:r>
            <w:r>
              <w:t>10</w:t>
            </w:r>
          </w:p>
        </w:tc>
        <w:tc>
          <w:tcPr>
            <w:tcW w:w="6529" w:type="dxa"/>
            <w:shd w:val="clear" w:color="auto" w:fill="auto"/>
          </w:tcPr>
          <w:p w14:paraId="040268E6">
            <w:pPr>
              <w:pStyle w:val="186"/>
              <w:widowControl w:val="0"/>
              <w:spacing w:line="240" w:lineRule="auto"/>
              <w:ind w:firstLine="0"/>
              <w:jc w:val="left"/>
            </w:pPr>
            <w:r>
              <w:rPr>
                <w:rFonts w:hint="eastAsia"/>
              </w:rPr>
              <w:t>以柱状图的方式展示TOP</w:t>
            </w:r>
            <w:r>
              <w:t>10</w:t>
            </w:r>
            <w:r>
              <w:rPr>
                <w:rFonts w:hint="eastAsia"/>
              </w:rPr>
              <w:t>的被攻击URL数据。</w:t>
            </w:r>
          </w:p>
        </w:tc>
      </w:tr>
    </w:tbl>
    <w:p w14:paraId="7F04F9AC"/>
    <w:p w14:paraId="28F17EC6">
      <w:pPr>
        <w:pStyle w:val="5"/>
      </w:pPr>
      <w:bookmarkStart w:id="853" w:name="_Toc196727964"/>
      <w:bookmarkStart w:id="854" w:name="_Toc160610329"/>
      <w:bookmarkStart w:id="855" w:name="_Toc172217991"/>
      <w:bookmarkStart w:id="856" w:name="_Toc194080632"/>
      <w:bookmarkStart w:id="857" w:name="_Toc58603584"/>
      <w:bookmarkStart w:id="858" w:name="_Toc393274136"/>
      <w:bookmarkStart w:id="859" w:name="_Toc99561317"/>
      <w:bookmarkStart w:id="860" w:name="_Toc141873267"/>
      <w:bookmarkStart w:id="861" w:name="_Toc15484631"/>
      <w:bookmarkStart w:id="862" w:name="_Toc15402495"/>
      <w:bookmarkStart w:id="863" w:name="_Toc23152398"/>
      <w:bookmarkStart w:id="864" w:name="_Toc51612897"/>
      <w:bookmarkStart w:id="865" w:name="_Toc142400780"/>
      <w:bookmarkStart w:id="866" w:name="_Toc41650666"/>
      <w:bookmarkStart w:id="867" w:name="_Toc15484630"/>
      <w:bookmarkStart w:id="868" w:name="_Toc79070791"/>
      <w:bookmarkStart w:id="869" w:name="_Toc70414981"/>
      <w:bookmarkStart w:id="870" w:name="_Toc58505546"/>
      <w:bookmarkStart w:id="871" w:name="_Toc474250160"/>
      <w:bookmarkStart w:id="872" w:name="_Toc40275831"/>
      <w:r>
        <w:rPr>
          <w:rFonts w:hint="eastAsia"/>
        </w:rPr>
        <w:t>挖矿检测分析</w:t>
      </w:r>
      <w:bookmarkEnd w:id="853"/>
      <w:bookmarkEnd w:id="854"/>
      <w:bookmarkEnd w:id="855"/>
      <w:bookmarkEnd w:id="856"/>
    </w:p>
    <w:p w14:paraId="539940AE">
      <w:r>
        <w:rPr>
          <w:rFonts w:hint="eastAsia"/>
        </w:rPr>
        <w:t>挖矿引发的网络威胁越来越多，国家政策对挖矿行为监管也越来越严。恶意挖矿造成的最直接的影响就是耗电，造成网络拥堵。由于挖矿程序会消耗大量的CPU或GPU资源，占用大量的系统资源和网络资源，其可能造成系统运行卡顿，系统或在线服务运行状态异常，造成内部网络拥堵，严重的可能造成线上业务和在线服务的拒绝服务，以及对使用相关服务的用户造成安全风险。</w:t>
      </w:r>
    </w:p>
    <w:p w14:paraId="39532961">
      <w:r>
        <w:rPr>
          <w:rFonts w:hint="eastAsia"/>
        </w:rPr>
        <w:t>设备支持挖矿检测分析功能，基于应用控制策略及入侵防御所产生的挖矿类日志进行汇聚，对具体挖矿行为进行分析，并以可视化图表的形式呈现挖矿检测的分析结果。</w:t>
      </w:r>
    </w:p>
    <w:p w14:paraId="466743BB">
      <w:r>
        <w:rPr>
          <w:rFonts w:hint="eastAsia"/>
        </w:rPr>
        <w:t>在导航栏中选择“数据中心&gt;安全分析&gt;安全事件分析”进入安全事件分析页面，如果未开启挖矿检测分析功能，系统会弹出提示页面，点击开启按钮即可开启此功能，如</w:t>
      </w:r>
      <w:r>
        <w:fldChar w:fldCharType="begin"/>
      </w:r>
      <w:r>
        <w:instrText xml:space="preserve"> </w:instrText>
      </w:r>
      <w:r>
        <w:rPr>
          <w:rFonts w:hint="eastAsia"/>
        </w:rPr>
        <w:instrText xml:space="preserve">REF _Ref157707534 \r \h</w:instrText>
      </w:r>
      <w:r>
        <w:instrText xml:space="preserve"> </w:instrText>
      </w:r>
      <w:r>
        <w:fldChar w:fldCharType="separate"/>
      </w:r>
      <w:r>
        <w:rPr>
          <w:rFonts w:hint="eastAsia"/>
        </w:rPr>
        <w:t>图4-74</w:t>
      </w:r>
      <w:r>
        <w:fldChar w:fldCharType="end"/>
      </w:r>
      <w:r>
        <w:t>所示</w:t>
      </w:r>
      <w:r>
        <w:rPr>
          <w:rFonts w:hint="eastAsia"/>
        </w:rPr>
        <w:t>。</w:t>
      </w:r>
    </w:p>
    <w:p w14:paraId="029E4071">
      <w:r>
        <w:rPr>
          <w:rFonts w:hint="eastAsia"/>
        </w:rPr>
        <w:t>该页面可以展示挖矿类型分布、挖矿主机TOP及挖矿日志信息，并支持按时间段（天、周、月、自定义）进行查询。</w:t>
      </w:r>
    </w:p>
    <w:p w14:paraId="0C1AEAEC">
      <w:pPr>
        <w:pStyle w:val="162"/>
      </w:pPr>
      <w:r>
        <w:t>挖矿类型分布</w:t>
      </w:r>
      <w:r>
        <w:rPr>
          <w:rFonts w:hint="eastAsia"/>
        </w:rPr>
        <w:t>：饼图显示挖矿类型分布，点击饼图中的区域可以查看对应的日志信息；挖矿分析类型主要有挖矿和虚拟货币两种类型。</w:t>
      </w:r>
    </w:p>
    <w:p w14:paraId="7FB3183B">
      <w:pPr>
        <w:pStyle w:val="162"/>
      </w:pPr>
      <w:r>
        <w:rPr>
          <w:rFonts w:hint="eastAsia"/>
        </w:rPr>
        <w:t>挖矿主机TOP：条形图显示出现次数位于前10的挖矿主机IP，点击条形图区域可以查看对应的日志列表。</w:t>
      </w:r>
    </w:p>
    <w:p w14:paraId="14B57E9F">
      <w:pPr>
        <w:pStyle w:val="162"/>
      </w:pPr>
      <w:r>
        <w:rPr>
          <w:rFonts w:hint="eastAsia"/>
        </w:rPr>
        <w:t>挖矿日志信息：以列表显示挖矿日志数据，列表中包含挖矿主机IP、风险级别、挖矿类型、命中次数、开始时间、结束时间等。点击挖矿主机的IP地址，可以查看来自相同挖矿主机IP的挖矿日志数据；点击“加入黑名单”可以将挖矿主机IP加入黑名单。</w:t>
      </w:r>
    </w:p>
    <w:p w14:paraId="11C75362">
      <w:pPr>
        <w:pStyle w:val="188"/>
      </w:pPr>
      <w:bookmarkStart w:id="873" w:name="_Ref157707534"/>
      <w:r>
        <w:t>挖矿检测分析页面</w:t>
      </w:r>
      <w:bookmarkEnd w:id="873"/>
    </w:p>
    <w:p w14:paraId="26D6A43B">
      <w:pPr>
        <w:pStyle w:val="175"/>
      </w:pPr>
      <w:r>
        <w:drawing>
          <wp:inline distT="0" distB="0" distL="0" distR="0">
            <wp:extent cx="5048250" cy="2268220"/>
            <wp:effectExtent l="0" t="0" r="0" b="0"/>
            <wp:docPr id="980337386" name="图片 980337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337386" name="图片 980337386"/>
                    <pic:cNvPicPr>
                      <a:picLocks noChangeAspect="1"/>
                    </pic:cNvPicPr>
                  </pic:nvPicPr>
                  <pic:blipFill>
                    <a:blip r:embed="rId139"/>
                    <a:stretch>
                      <a:fillRect/>
                    </a:stretch>
                  </pic:blipFill>
                  <pic:spPr>
                    <a:xfrm>
                      <a:off x="0" y="0"/>
                      <a:ext cx="5055610" cy="2271589"/>
                    </a:xfrm>
                    <a:prstGeom prst="rect">
                      <a:avLst/>
                    </a:prstGeom>
                  </pic:spPr>
                </pic:pic>
              </a:graphicData>
            </a:graphic>
          </wp:inline>
        </w:drawing>
      </w:r>
    </w:p>
    <w:p w14:paraId="136725CE"/>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058C8D7A">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4446E0D7">
            <w:pPr>
              <w:pStyle w:val="150"/>
              <w:adjustRightInd w:val="0"/>
              <w:snapToGrid w:val="0"/>
              <w:rPr>
                <w:color w:val="auto"/>
              </w:rPr>
            </w:pPr>
            <w:r>
              <w:rPr>
                <w:color w:val="auto"/>
              </w:rPr>
              <w:drawing>
                <wp:inline distT="0" distB="0" distL="0" distR="0">
                  <wp:extent cx="283210" cy="283210"/>
                  <wp:effectExtent l="0" t="0" r="2540" b="254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65528C65">
            <w:pPr>
              <w:pStyle w:val="207"/>
              <w:adjustRightInd w:val="0"/>
              <w:snapToGrid w:val="0"/>
              <w:rPr>
                <w:color w:val="auto"/>
                <w:lang w:eastAsia="zh-CN"/>
              </w:rPr>
            </w:pPr>
            <w:r>
              <w:rPr>
                <w:rFonts w:hint="eastAsia"/>
                <w:color w:val="auto"/>
                <w:lang w:eastAsia="zh-CN"/>
              </w:rPr>
              <w:t>开启挖矿检测分析功能，需要配置入侵防御策略及应用控制策略，在控制策略的应用过滤中添加应用分类为虚拟货币的应用，以产生入侵防御日志及应用控制日志。详细配置请参考“入侵防御”及“控制策略”章节。</w:t>
            </w:r>
          </w:p>
          <w:p w14:paraId="2EDD943C">
            <w:pPr>
              <w:pStyle w:val="207"/>
              <w:adjustRightInd w:val="0"/>
              <w:snapToGrid w:val="0"/>
              <w:rPr>
                <w:color w:val="auto"/>
                <w:lang w:eastAsia="zh-CN"/>
              </w:rPr>
            </w:pPr>
            <w:r>
              <w:rPr>
                <w:rFonts w:hint="eastAsia"/>
                <w:color w:val="auto"/>
                <w:lang w:eastAsia="zh-CN"/>
              </w:rPr>
              <w:t>挖矿分析结果中有数据的情况下不建议对日志进行删除操作，会影响数据查看详情里字段内容展示。</w:t>
            </w:r>
          </w:p>
        </w:tc>
      </w:tr>
    </w:tbl>
    <w:p w14:paraId="00648FD1">
      <w:pPr>
        <w:jc w:val="left"/>
      </w:pPr>
    </w:p>
    <w:p w14:paraId="2CEE03DE">
      <w:pPr>
        <w:pStyle w:val="5"/>
      </w:pPr>
      <w:bookmarkStart w:id="874" w:name="_Toc196727965"/>
      <w:bookmarkStart w:id="875" w:name="_Toc194080633"/>
      <w:r>
        <w:rPr>
          <w:rFonts w:hint="eastAsia"/>
        </w:rPr>
        <w:t>翻墙行为分析</w:t>
      </w:r>
      <w:bookmarkEnd w:id="874"/>
      <w:bookmarkEnd w:id="875"/>
    </w:p>
    <w:p w14:paraId="4217254E">
      <w:r>
        <w:rPr>
          <w:rFonts w:hint="eastAsia"/>
        </w:rPr>
        <w:t>在导航栏中选择“数据中心</w:t>
      </w:r>
      <w:r>
        <w:t>&gt;</w:t>
      </w:r>
      <w:r>
        <w:rPr>
          <w:rFonts w:hint="eastAsia"/>
        </w:rPr>
        <w:t>安全分析</w:t>
      </w:r>
      <w:r>
        <w:t>&gt;</w:t>
      </w:r>
      <w:r>
        <w:rPr>
          <w:rFonts w:hint="eastAsia"/>
        </w:rPr>
        <w:t>翻墙行为分析”进入翻墙行为分析分析页面，点击“安全分析”开关即可开启翻墙行为分析功能，可以查看到使用翻墙应用的</w:t>
      </w:r>
      <w:r>
        <w:t>TOP</w:t>
      </w:r>
      <w:r>
        <w:rPr>
          <w:rFonts w:hint="eastAsia"/>
        </w:rPr>
        <w:t>用户、用户组，以及使用较多的</w:t>
      </w:r>
      <w:r>
        <w:t>TOP</w:t>
      </w:r>
      <w:r>
        <w:rPr>
          <w:rFonts w:hint="eastAsia"/>
        </w:rPr>
        <w:t>翻墙应用软件，如</w:t>
      </w:r>
      <w:r>
        <w:fldChar w:fldCharType="begin"/>
      </w:r>
      <w:r>
        <w:instrText xml:space="preserve"> </w:instrText>
      </w:r>
      <w:r>
        <w:rPr>
          <w:rFonts w:hint="eastAsia"/>
        </w:rPr>
        <w:instrText xml:space="preserve">REF _Ref174954246 \r \h</w:instrText>
      </w:r>
      <w:r>
        <w:instrText xml:space="preserve"> </w:instrText>
      </w:r>
      <w:r>
        <w:fldChar w:fldCharType="separate"/>
      </w:r>
      <w:r>
        <w:rPr>
          <w:rFonts w:hint="eastAsia"/>
        </w:rPr>
        <w:t>图4-75</w:t>
      </w:r>
      <w:r>
        <w:fldChar w:fldCharType="end"/>
      </w:r>
      <w:r>
        <w:rPr>
          <w:rFonts w:hint="eastAsia"/>
        </w:rPr>
        <w:t>所示。详细配置请参见“防翻墙配置”章节。</w:t>
      </w:r>
    </w:p>
    <w:p w14:paraId="0CFEF868">
      <w:r>
        <w:rPr>
          <w:rFonts w:hint="eastAsia"/>
        </w:rPr>
        <w:t>页面主要展示内容如下：</w:t>
      </w:r>
    </w:p>
    <w:p w14:paraId="2C8C63CE">
      <w:pPr>
        <w:pStyle w:val="162"/>
      </w:pPr>
      <w:r>
        <w:rPr>
          <w:rFonts w:hint="eastAsia"/>
        </w:rPr>
        <w:t>翻墙日志数量最多的用户</w:t>
      </w:r>
      <w:r>
        <w:t>TOP10</w:t>
      </w:r>
      <w:r>
        <w:rPr>
          <w:rFonts w:hint="eastAsia"/>
        </w:rPr>
        <w:t>，通过条形图展示。</w:t>
      </w:r>
    </w:p>
    <w:p w14:paraId="20DDAE41">
      <w:pPr>
        <w:pStyle w:val="162"/>
      </w:pPr>
      <w:r>
        <w:rPr>
          <w:rFonts w:hint="eastAsia"/>
        </w:rPr>
        <w:t>翻墙日志数量最多的应用</w:t>
      </w:r>
      <w:r>
        <w:t>TOP10</w:t>
      </w:r>
      <w:r>
        <w:rPr>
          <w:rFonts w:hint="eastAsia"/>
        </w:rPr>
        <w:t>，通过条形图展示。</w:t>
      </w:r>
    </w:p>
    <w:p w14:paraId="7372B3F9">
      <w:pPr>
        <w:pStyle w:val="162"/>
      </w:pPr>
      <w:r>
        <w:rPr>
          <w:rFonts w:hint="eastAsia"/>
        </w:rPr>
        <w:t>代理服务器所属地域统计，可选择</w:t>
      </w:r>
      <w:r>
        <w:t>TOP10</w:t>
      </w:r>
      <w:r>
        <w:rPr>
          <w:rFonts w:hint="eastAsia"/>
        </w:rPr>
        <w:t>或</w:t>
      </w:r>
      <w:r>
        <w:t>TOP50</w:t>
      </w:r>
      <w:r>
        <w:rPr>
          <w:rFonts w:hint="eastAsia"/>
        </w:rPr>
        <w:t>，通过条形图展示。</w:t>
      </w:r>
    </w:p>
    <w:p w14:paraId="126F58C9">
      <w:pPr>
        <w:pStyle w:val="162"/>
      </w:pPr>
      <w:r>
        <w:rPr>
          <w:rFonts w:hint="eastAsia"/>
        </w:rPr>
        <w:t>按照源地址对数据进行汇聚并展示统计结果列表，源地址支持下钻。默认按照风险级别由高到低的顺序排序，在此基础上，再按照翻墙次数降序展示。</w:t>
      </w:r>
    </w:p>
    <w:p w14:paraId="54ADDE47"/>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0EB45DD5">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2086C62A">
            <w:pPr>
              <w:pStyle w:val="150"/>
              <w:adjustRightInd w:val="0"/>
              <w:snapToGrid w:val="0"/>
              <w:rPr>
                <w:color w:val="auto"/>
              </w:rPr>
            </w:pPr>
            <w:r>
              <w:rPr>
                <w:color w:val="auto"/>
              </w:rPr>
              <w:drawing>
                <wp:inline distT="0" distB="0" distL="0" distR="0">
                  <wp:extent cx="283210" cy="283210"/>
                  <wp:effectExtent l="0" t="0" r="2540" b="254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08B123BA">
            <w:pPr>
              <w:pStyle w:val="150"/>
              <w:adjustRightInd w:val="0"/>
              <w:snapToGrid w:val="0"/>
              <w:rPr>
                <w:color w:val="auto"/>
              </w:rPr>
            </w:pPr>
            <w:r>
              <w:rPr>
                <w:rFonts w:hint="eastAsia"/>
                <w:color w:val="auto"/>
              </w:rPr>
              <w:t>翻墙行为分析功能只支持带有硬盘的设备。</w:t>
            </w:r>
          </w:p>
        </w:tc>
      </w:tr>
    </w:tbl>
    <w:p w14:paraId="05251D9D"/>
    <w:p w14:paraId="7BEDD2CB">
      <w:pPr>
        <w:pStyle w:val="188"/>
      </w:pPr>
      <w:bookmarkStart w:id="876" w:name="_Ref174954246"/>
      <w:r>
        <w:rPr>
          <w:rFonts w:hint="eastAsia"/>
        </w:rPr>
        <w:t>翻墙行为分析页面</w:t>
      </w:r>
      <w:bookmarkEnd w:id="876"/>
    </w:p>
    <w:p w14:paraId="6DBCAFE0">
      <w:pPr>
        <w:pStyle w:val="175"/>
      </w:pPr>
      <w:r>
        <w:drawing>
          <wp:inline distT="0" distB="0" distL="0" distR="0">
            <wp:extent cx="5372100" cy="4143375"/>
            <wp:effectExtent l="0" t="0" r="0" b="9525"/>
            <wp:docPr id="1534582030" name="图片 153458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30" name="图片 153458203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a:xfrm>
                      <a:off x="0" y="0"/>
                      <a:ext cx="5372100" cy="4143375"/>
                    </a:xfrm>
                    <a:prstGeom prst="rect">
                      <a:avLst/>
                    </a:prstGeom>
                    <a:noFill/>
                    <a:ln>
                      <a:noFill/>
                    </a:ln>
                  </pic:spPr>
                </pic:pic>
              </a:graphicData>
            </a:graphic>
          </wp:inline>
        </w:drawing>
      </w:r>
    </w:p>
    <w:p w14:paraId="7AB42792"/>
    <w:p w14:paraId="6C5F0E56">
      <w:r>
        <w:rPr>
          <w:rFonts w:hint="eastAsia"/>
        </w:rPr>
        <w:t>风险级别，包括高、中和低三种，翻墙次数大于</w:t>
      </w:r>
      <w:r>
        <w:t>200</w:t>
      </w:r>
      <w:r>
        <w:rPr>
          <w:rFonts w:hint="eastAsia"/>
        </w:rPr>
        <w:t>的，为高风险；翻墙次数大于</w:t>
      </w:r>
      <w:r>
        <w:t>100</w:t>
      </w:r>
      <w:r>
        <w:rPr>
          <w:rFonts w:hint="eastAsia"/>
        </w:rPr>
        <w:t>且小于等于</w:t>
      </w:r>
      <w:r>
        <w:t>200</w:t>
      </w:r>
      <w:r>
        <w:rPr>
          <w:rFonts w:hint="eastAsia"/>
        </w:rPr>
        <w:t>的，为中风险；翻墙次数小于等于</w:t>
      </w:r>
      <w:r>
        <w:t>100</w:t>
      </w:r>
      <w:r>
        <w:rPr>
          <w:rFonts w:hint="eastAsia"/>
        </w:rPr>
        <w:t>的，为低风险。</w:t>
      </w:r>
    </w:p>
    <w:p w14:paraId="15B5F4A7">
      <w:r>
        <w:rPr>
          <w:rFonts w:hint="eastAsia"/>
        </w:rPr>
        <w:t>在“操作”中单击“加入黑名单”，可以将所选源地址加入到黑名单列表，生命周期默认为</w:t>
      </w:r>
      <w:r>
        <w:t>1</w:t>
      </w:r>
      <w:r>
        <w:rPr>
          <w:rFonts w:hint="eastAsia"/>
        </w:rPr>
        <w:t>天，添加方式为“翻墙行为分析”，如下图所示。</w:t>
      </w:r>
    </w:p>
    <w:p w14:paraId="00776471">
      <w:pPr>
        <w:pStyle w:val="188"/>
      </w:pPr>
      <w:r>
        <w:rPr>
          <w:rFonts w:hint="eastAsia"/>
        </w:rPr>
        <w:t>翻墙行为用户加入黑名单</w:t>
      </w:r>
    </w:p>
    <w:p w14:paraId="7F54F83F">
      <w:r>
        <w:drawing>
          <wp:inline distT="0" distB="0" distL="0" distR="0">
            <wp:extent cx="6115050" cy="771525"/>
            <wp:effectExtent l="0" t="0" r="0" b="9525"/>
            <wp:docPr id="576" name="图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57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a:xfrm>
                      <a:off x="0" y="0"/>
                      <a:ext cx="6115050" cy="771525"/>
                    </a:xfrm>
                    <a:prstGeom prst="rect">
                      <a:avLst/>
                    </a:prstGeom>
                    <a:noFill/>
                    <a:ln>
                      <a:noFill/>
                    </a:ln>
                  </pic:spPr>
                </pic:pic>
              </a:graphicData>
            </a:graphic>
          </wp:inline>
        </w:drawing>
      </w:r>
    </w:p>
    <w:p w14:paraId="79C487BD">
      <w:r>
        <w:rPr>
          <w:rFonts w:hint="eastAsia"/>
        </w:rPr>
        <w:t>在“源地址”中单击</w:t>
      </w:r>
      <w:r>
        <w:t>IP</w:t>
      </w:r>
      <w:r>
        <w:rPr>
          <w:rFonts w:hint="eastAsia"/>
        </w:rPr>
        <w:t>地址，可查看该地址用户的翻墙行为日志信息。</w:t>
      </w:r>
    </w:p>
    <w:p w14:paraId="039856F9">
      <w:pPr>
        <w:pStyle w:val="188"/>
      </w:pPr>
      <w:r>
        <w:rPr>
          <w:rFonts w:hint="eastAsia"/>
        </w:rPr>
        <w:t>源地址翻墙行为日志信息</w:t>
      </w:r>
    </w:p>
    <w:p w14:paraId="064D44EF">
      <w:r>
        <w:drawing>
          <wp:inline distT="0" distB="0" distL="0" distR="0">
            <wp:extent cx="5629275" cy="1085850"/>
            <wp:effectExtent l="0" t="0" r="9525" b="0"/>
            <wp:docPr id="577"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57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a:xfrm>
                      <a:off x="0" y="0"/>
                      <a:ext cx="5629275" cy="1085850"/>
                    </a:xfrm>
                    <a:prstGeom prst="rect">
                      <a:avLst/>
                    </a:prstGeom>
                    <a:noFill/>
                    <a:ln>
                      <a:noFill/>
                    </a:ln>
                  </pic:spPr>
                </pic:pic>
              </a:graphicData>
            </a:graphic>
          </wp:inline>
        </w:drawing>
      </w:r>
    </w:p>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p w14:paraId="5D5A3A52">
      <w:pPr>
        <w:pStyle w:val="4"/>
      </w:pPr>
      <w:bookmarkStart w:id="877" w:name="_Toc162341884"/>
      <w:bookmarkEnd w:id="877"/>
      <w:bookmarkStart w:id="878" w:name="_Toc162353315"/>
      <w:bookmarkEnd w:id="878"/>
      <w:bookmarkStart w:id="879" w:name="_Toc162361872"/>
      <w:bookmarkEnd w:id="879"/>
      <w:bookmarkStart w:id="880" w:name="_Toc162362601"/>
      <w:bookmarkEnd w:id="880"/>
      <w:bookmarkStart w:id="881" w:name="_Toc162341166"/>
      <w:bookmarkEnd w:id="881"/>
      <w:bookmarkStart w:id="882" w:name="_Toc12464105"/>
      <w:bookmarkStart w:id="883" w:name="_Toc15484674"/>
      <w:bookmarkStart w:id="884" w:name="_Toc99561362"/>
      <w:bookmarkStart w:id="885" w:name="_Toc40275873"/>
      <w:bookmarkStart w:id="886" w:name="_Toc196727966"/>
      <w:bookmarkStart w:id="887" w:name="_Toc142400828"/>
      <w:bookmarkStart w:id="888" w:name="_Toc23152440"/>
      <w:bookmarkStart w:id="889" w:name="_Toc172218014"/>
      <w:bookmarkStart w:id="890" w:name="_Toc141873312"/>
      <w:bookmarkStart w:id="891" w:name="_Toc194080634"/>
      <w:r>
        <w:rPr>
          <w:rFonts w:hint="eastAsia"/>
        </w:rPr>
        <w:t>统计</w:t>
      </w:r>
      <w:r>
        <w:t>报表</w:t>
      </w:r>
      <w:bookmarkEnd w:id="882"/>
      <w:bookmarkEnd w:id="883"/>
      <w:bookmarkEnd w:id="884"/>
      <w:bookmarkEnd w:id="885"/>
      <w:bookmarkEnd w:id="886"/>
      <w:bookmarkEnd w:id="887"/>
      <w:bookmarkEnd w:id="888"/>
      <w:bookmarkEnd w:id="889"/>
      <w:bookmarkEnd w:id="890"/>
      <w:bookmarkEnd w:id="891"/>
    </w:p>
    <w:p w14:paraId="697C5027">
      <w:pPr>
        <w:pStyle w:val="5"/>
      </w:pPr>
      <w:bookmarkStart w:id="892" w:name="_Toc23152441"/>
      <w:bookmarkStart w:id="893" w:name="_Toc40275874"/>
      <w:bookmarkStart w:id="894" w:name="_Toc142400829"/>
      <w:bookmarkStart w:id="895" w:name="_Toc141873313"/>
      <w:bookmarkStart w:id="896" w:name="_Toc99561363"/>
      <w:bookmarkStart w:id="897" w:name="_Toc194080635"/>
      <w:bookmarkStart w:id="898" w:name="_Toc172218015"/>
      <w:bookmarkStart w:id="899" w:name="_Toc15484675"/>
      <w:bookmarkStart w:id="900" w:name="_Toc12464106"/>
      <w:bookmarkStart w:id="901" w:name="_Toc196727967"/>
      <w:r>
        <w:rPr>
          <w:rFonts w:hint="eastAsia"/>
        </w:rPr>
        <w:t>简介</w:t>
      </w:r>
      <w:bookmarkEnd w:id="892"/>
      <w:bookmarkEnd w:id="893"/>
      <w:bookmarkEnd w:id="894"/>
      <w:bookmarkEnd w:id="895"/>
      <w:bookmarkEnd w:id="896"/>
      <w:bookmarkEnd w:id="897"/>
      <w:bookmarkEnd w:id="898"/>
      <w:bookmarkEnd w:id="899"/>
      <w:bookmarkEnd w:id="900"/>
      <w:bookmarkEnd w:id="901"/>
    </w:p>
    <w:p w14:paraId="611BC561">
      <w:r>
        <w:rPr>
          <w:rFonts w:hint="eastAsia"/>
        </w:rPr>
        <w:t>统计报表</w:t>
      </w:r>
      <w:r>
        <w:t>模块可以对</w:t>
      </w:r>
      <w:r>
        <w:rPr>
          <w:rFonts w:hint="eastAsia"/>
        </w:rPr>
        <w:t>设备健康状态、</w:t>
      </w:r>
      <w:r>
        <w:t>用户上网行为、网络质量、网络</w:t>
      </w:r>
      <w:r>
        <w:rPr>
          <w:rFonts w:hint="eastAsia"/>
        </w:rPr>
        <w:t>安全</w:t>
      </w:r>
      <w:r>
        <w:t>不同维度进行统计，将统计的数据以报表的格式</w:t>
      </w:r>
      <w:r>
        <w:rPr>
          <w:rFonts w:hint="eastAsia"/>
        </w:rPr>
        <w:t>定时</w:t>
      </w:r>
      <w:r>
        <w:t>生成</w:t>
      </w:r>
      <w:r>
        <w:rPr>
          <w:rFonts w:hint="eastAsia"/>
        </w:rPr>
        <w:t>发送</w:t>
      </w:r>
      <w:r>
        <w:t>给管理员。</w:t>
      </w:r>
      <w:r>
        <w:rPr>
          <w:rFonts w:hint="eastAsia"/>
        </w:rPr>
        <w:t>统计</w:t>
      </w:r>
      <w:r>
        <w:t>报表主要</w:t>
      </w:r>
      <w:r>
        <w:rPr>
          <w:rFonts w:hint="eastAsia"/>
        </w:rPr>
        <w:t>包括</w:t>
      </w:r>
      <w:r>
        <w:t>报表管理、数据统计、配置管理三大模块。</w:t>
      </w:r>
    </w:p>
    <w:p w14:paraId="016FF295">
      <w:pPr>
        <w:pStyle w:val="162"/>
      </w:pPr>
      <w:r>
        <w:rPr>
          <w:rFonts w:hint="eastAsia"/>
        </w:rPr>
        <w:t>报表</w:t>
      </w:r>
      <w:r>
        <w:t>管理</w:t>
      </w:r>
      <w:r>
        <w:rPr>
          <w:rFonts w:hint="eastAsia"/>
        </w:rPr>
        <w:t>主要</w:t>
      </w:r>
      <w:r>
        <w:t>配置报表任务并查看历史报表信息</w:t>
      </w:r>
      <w:r>
        <w:rPr>
          <w:rFonts w:hint="eastAsia"/>
        </w:rPr>
        <w:t>。</w:t>
      </w:r>
    </w:p>
    <w:p w14:paraId="3EB9F786">
      <w:pPr>
        <w:pStyle w:val="162"/>
      </w:pPr>
      <w:r>
        <w:rPr>
          <w:rFonts w:hint="eastAsia"/>
        </w:rPr>
        <w:t>数据</w:t>
      </w:r>
      <w:r>
        <w:t>统计主要</w:t>
      </w:r>
      <w:r>
        <w:rPr>
          <w:rFonts w:hint="eastAsia"/>
        </w:rPr>
        <w:t>对</w:t>
      </w:r>
      <w:r>
        <w:t>用户上网</w:t>
      </w:r>
      <w:r>
        <w:rPr>
          <w:rFonts w:hint="eastAsia"/>
        </w:rPr>
        <w:t>审计</w:t>
      </w:r>
      <w:r>
        <w:t>相关行为数据进行统计</w:t>
      </w:r>
      <w:r>
        <w:rPr>
          <w:rFonts w:hint="eastAsia"/>
        </w:rPr>
        <w:t>。</w:t>
      </w:r>
    </w:p>
    <w:p w14:paraId="7F59AEC3">
      <w:pPr>
        <w:pStyle w:val="162"/>
      </w:pPr>
      <w:r>
        <w:rPr>
          <w:rFonts w:hint="eastAsia"/>
        </w:rPr>
        <w:t>配置</w:t>
      </w:r>
      <w:r>
        <w:t>管理</w:t>
      </w:r>
      <w:r>
        <w:rPr>
          <w:rFonts w:hint="eastAsia"/>
        </w:rPr>
        <w:t>主要</w:t>
      </w:r>
      <w:r>
        <w:t>对</w:t>
      </w:r>
      <w:r>
        <w:rPr>
          <w:rFonts w:hint="eastAsia"/>
        </w:rPr>
        <w:t>报表中</w:t>
      </w:r>
      <w:r>
        <w:t>使用磁盘</w:t>
      </w:r>
      <w:r>
        <w:rPr>
          <w:rFonts w:hint="eastAsia"/>
        </w:rPr>
        <w:t>管理</w:t>
      </w:r>
      <w:r>
        <w:t>以及报表管理相关参数进行设置</w:t>
      </w:r>
      <w:r>
        <w:rPr>
          <w:rFonts w:hint="eastAsia"/>
        </w:rPr>
        <w:t>。</w:t>
      </w:r>
    </w:p>
    <w:p w14:paraId="2E926767">
      <w:pPr>
        <w:pStyle w:val="5"/>
      </w:pPr>
      <w:bookmarkStart w:id="902" w:name="_Toc40275875"/>
      <w:bookmarkStart w:id="903" w:name="_Toc99561364"/>
      <w:bookmarkStart w:id="904" w:name="_Toc12464107"/>
      <w:bookmarkStart w:id="905" w:name="_Toc15484676"/>
      <w:bookmarkStart w:id="906" w:name="_Toc23152442"/>
      <w:bookmarkStart w:id="907" w:name="_Toc142400830"/>
      <w:bookmarkStart w:id="908" w:name="_Toc194080636"/>
      <w:bookmarkStart w:id="909" w:name="_Toc141873314"/>
      <w:bookmarkStart w:id="910" w:name="_Toc196727968"/>
      <w:bookmarkStart w:id="911" w:name="_Toc172218016"/>
      <w:r>
        <w:rPr>
          <w:rFonts w:hint="eastAsia"/>
        </w:rPr>
        <w:t>报表管理</w:t>
      </w:r>
      <w:bookmarkEnd w:id="902"/>
      <w:bookmarkEnd w:id="903"/>
      <w:bookmarkEnd w:id="904"/>
      <w:bookmarkEnd w:id="905"/>
      <w:bookmarkEnd w:id="906"/>
      <w:bookmarkEnd w:id="907"/>
      <w:bookmarkEnd w:id="908"/>
      <w:bookmarkEnd w:id="909"/>
      <w:bookmarkEnd w:id="910"/>
      <w:bookmarkEnd w:id="911"/>
    </w:p>
    <w:p w14:paraId="419597EF">
      <w:r>
        <w:rPr>
          <w:rFonts w:hint="eastAsia"/>
        </w:rPr>
        <w:t>通过菜单“数据</w:t>
      </w:r>
      <w:r>
        <w:t xml:space="preserve">中心 &gt; </w:t>
      </w:r>
      <w:r>
        <w:rPr>
          <w:rFonts w:hint="eastAsia"/>
        </w:rPr>
        <w:t>统计</w:t>
      </w:r>
      <w:r>
        <w:t xml:space="preserve">报表 &gt; </w:t>
      </w:r>
      <w:r>
        <w:rPr>
          <w:rFonts w:hint="eastAsia"/>
        </w:rPr>
        <w:t>报表</w:t>
      </w:r>
      <w:r>
        <w:t>管理</w:t>
      </w:r>
      <w:r>
        <w:rPr>
          <w:rFonts w:hint="eastAsia"/>
        </w:rPr>
        <w:t>”，进入如</w:t>
      </w:r>
      <w:r>
        <w:fldChar w:fldCharType="begin"/>
      </w:r>
      <w:r>
        <w:instrText xml:space="preserve"> </w:instrText>
      </w:r>
      <w:r>
        <w:rPr>
          <w:rFonts w:hint="eastAsia"/>
        </w:rPr>
        <w:instrText xml:space="preserve">REF _Ref141453566 \r \h</w:instrText>
      </w:r>
      <w:r>
        <w:instrText xml:space="preserve"> </w:instrText>
      </w:r>
      <w:r>
        <w:fldChar w:fldCharType="separate"/>
      </w:r>
      <w:r>
        <w:rPr>
          <w:rFonts w:hint="eastAsia"/>
        </w:rPr>
        <w:t>图4-78</w:t>
      </w:r>
      <w:r>
        <w:fldChar w:fldCharType="end"/>
      </w:r>
      <w:r>
        <w:rPr>
          <w:rFonts w:hint="eastAsia"/>
        </w:rPr>
        <w:t>所示页面。在该页面上可以配置报表</w:t>
      </w:r>
      <w:r>
        <w:t>任务</w:t>
      </w:r>
      <w:r>
        <w:rPr>
          <w:rFonts w:hint="eastAsia"/>
        </w:rPr>
        <w:t>的相关功能。</w:t>
      </w:r>
    </w:p>
    <w:p w14:paraId="22F28A89">
      <w:pPr>
        <w:pStyle w:val="188"/>
      </w:pPr>
      <w:bookmarkStart w:id="912" w:name="_Toc141874527"/>
      <w:bookmarkStart w:id="913" w:name="_Ref141453566"/>
      <w:r>
        <w:rPr>
          <w:rFonts w:hint="eastAsia"/>
        </w:rPr>
        <w:t>报表</w:t>
      </w:r>
      <w:r>
        <w:t>管理</w:t>
      </w:r>
      <w:r>
        <w:rPr>
          <w:rFonts w:hint="eastAsia"/>
        </w:rPr>
        <w:t>页面</w:t>
      </w:r>
      <w:bookmarkEnd w:id="912"/>
      <w:bookmarkEnd w:id="913"/>
    </w:p>
    <w:p w14:paraId="4DB97406">
      <w:pPr>
        <w:spacing w:before="79" w:after="79"/>
      </w:pPr>
      <w:r>
        <w:drawing>
          <wp:inline distT="0" distB="0" distL="0" distR="0">
            <wp:extent cx="5743575" cy="1083945"/>
            <wp:effectExtent l="0" t="0" r="0" b="1905"/>
            <wp:docPr id="3215" name="图片 3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5" name="图片 3215"/>
                    <pic:cNvPicPr>
                      <a:picLocks noChangeAspect="1"/>
                    </pic:cNvPicPr>
                  </pic:nvPicPr>
                  <pic:blipFill>
                    <a:blip r:embed="rId143"/>
                    <a:stretch>
                      <a:fillRect/>
                    </a:stretch>
                  </pic:blipFill>
                  <pic:spPr>
                    <a:xfrm>
                      <a:off x="0" y="0"/>
                      <a:ext cx="5828244" cy="1100467"/>
                    </a:xfrm>
                    <a:prstGeom prst="rect">
                      <a:avLst/>
                    </a:prstGeom>
                  </pic:spPr>
                </pic:pic>
              </a:graphicData>
            </a:graphic>
          </wp:inline>
        </w:drawing>
      </w:r>
    </w:p>
    <w:p w14:paraId="5EA4E43E"/>
    <w:p w14:paraId="76D50519">
      <w:r>
        <w:rPr>
          <w:rFonts w:hint="eastAsia"/>
        </w:rPr>
        <w:t>报表</w:t>
      </w:r>
      <w:r>
        <w:t>管理详细说明如</w:t>
      </w:r>
      <w:r>
        <w:fldChar w:fldCharType="begin"/>
      </w:r>
      <w:r>
        <w:instrText xml:space="preserve"> REF _Ref4434486 \r \h </w:instrText>
      </w:r>
      <w:r>
        <w:fldChar w:fldCharType="separate"/>
      </w:r>
      <w:r>
        <w:rPr>
          <w:rFonts w:hint="eastAsia"/>
        </w:rPr>
        <w:t>表4-1</w:t>
      </w:r>
      <w:r>
        <w:fldChar w:fldCharType="end"/>
      </w:r>
      <w:r>
        <w:t>所示。</w:t>
      </w:r>
    </w:p>
    <w:p w14:paraId="65318378">
      <w:pPr>
        <w:pStyle w:val="183"/>
      </w:pPr>
      <w:bookmarkStart w:id="914" w:name="_Ref4434486"/>
      <w:bookmarkStart w:id="915" w:name="_Toc141875463"/>
      <w:r>
        <w:rPr>
          <w:rFonts w:hint="eastAsia"/>
        </w:rPr>
        <w:t>报表</w:t>
      </w:r>
      <w:r>
        <w:t>管理</w:t>
      </w:r>
      <w:r>
        <w:rPr>
          <w:rFonts w:hint="eastAsia"/>
        </w:rPr>
        <w:t>详细</w:t>
      </w:r>
      <w:r>
        <w:t>说明</w:t>
      </w:r>
      <w:bookmarkEnd w:id="914"/>
      <w:bookmarkEnd w:id="915"/>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673"/>
        <w:gridCol w:w="7341"/>
      </w:tblGrid>
      <w:tr w14:paraId="2D0F82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73" w:type="dxa"/>
            <w:tcBorders>
              <w:tl2br w:val="nil"/>
              <w:tr2bl w:val="nil"/>
            </w:tcBorders>
            <w:shd w:val="clear" w:color="auto" w:fill="538135" w:themeFill="accent6" w:themeFillShade="BF"/>
            <w:vAlign w:val="center"/>
          </w:tcPr>
          <w:p w14:paraId="378D884F">
            <w:pPr>
              <w:pStyle w:val="149"/>
              <w:wordWrap/>
              <w:rPr>
                <w:b/>
                <w:bCs/>
                <w:i w:val="0"/>
                <w:iCs w:val="0"/>
              </w:rPr>
            </w:pPr>
            <w:r>
              <w:rPr>
                <w:rFonts w:hint="eastAsia"/>
                <w:b/>
                <w:bCs/>
                <w:i w:val="0"/>
                <w:iCs w:val="0"/>
              </w:rPr>
              <w:t>标题项</w:t>
            </w:r>
          </w:p>
        </w:tc>
        <w:tc>
          <w:tcPr>
            <w:tcW w:w="7341" w:type="dxa"/>
            <w:tcBorders>
              <w:tl2br w:val="nil"/>
              <w:tr2bl w:val="nil"/>
            </w:tcBorders>
            <w:shd w:val="clear" w:color="auto" w:fill="538135" w:themeFill="accent6" w:themeFillShade="BF"/>
            <w:vAlign w:val="center"/>
          </w:tcPr>
          <w:p w14:paraId="4BB2FFE3">
            <w:pPr>
              <w:pStyle w:val="149"/>
              <w:wordWrap/>
              <w:rPr>
                <w:b/>
                <w:bCs/>
                <w:i w:val="0"/>
                <w:iCs w:val="0"/>
              </w:rPr>
            </w:pPr>
            <w:r>
              <w:rPr>
                <w:rFonts w:hint="eastAsia"/>
                <w:b/>
                <w:bCs/>
                <w:i w:val="0"/>
                <w:iCs w:val="0"/>
              </w:rPr>
              <w:t>说明</w:t>
            </w:r>
          </w:p>
        </w:tc>
      </w:tr>
      <w:tr w14:paraId="3DF614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73" w:type="dxa"/>
            <w:shd w:val="clear" w:color="auto" w:fill="auto"/>
          </w:tcPr>
          <w:p w14:paraId="47089D32">
            <w:pPr>
              <w:pStyle w:val="186"/>
              <w:widowControl w:val="0"/>
              <w:spacing w:line="240" w:lineRule="auto"/>
              <w:ind w:firstLine="0"/>
              <w:jc w:val="left"/>
            </w:pPr>
            <w:r>
              <w:rPr>
                <w:rFonts w:hint="eastAsia"/>
              </w:rPr>
              <w:t>名称</w:t>
            </w:r>
          </w:p>
        </w:tc>
        <w:tc>
          <w:tcPr>
            <w:tcW w:w="7341" w:type="dxa"/>
            <w:shd w:val="clear" w:color="auto" w:fill="auto"/>
          </w:tcPr>
          <w:p w14:paraId="30837396">
            <w:pPr>
              <w:pStyle w:val="186"/>
              <w:widowControl w:val="0"/>
              <w:spacing w:line="240" w:lineRule="auto"/>
              <w:ind w:firstLine="0"/>
              <w:jc w:val="left"/>
            </w:pPr>
            <w:r>
              <w:rPr>
                <w:rFonts w:hint="eastAsia"/>
              </w:rPr>
              <w:t>创建</w:t>
            </w:r>
            <w:r>
              <w:t>报表任务的名称</w:t>
            </w:r>
            <w:r>
              <w:rPr>
                <w:rFonts w:hint="eastAsia"/>
              </w:rPr>
              <w:t>。</w:t>
            </w:r>
          </w:p>
        </w:tc>
      </w:tr>
      <w:tr w14:paraId="151777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73" w:type="dxa"/>
            <w:shd w:val="clear" w:color="auto" w:fill="auto"/>
          </w:tcPr>
          <w:p w14:paraId="248F088C">
            <w:pPr>
              <w:pStyle w:val="186"/>
              <w:widowControl w:val="0"/>
              <w:spacing w:line="240" w:lineRule="auto"/>
              <w:ind w:firstLine="0"/>
              <w:jc w:val="left"/>
            </w:pPr>
            <w:r>
              <w:rPr>
                <w:rFonts w:hint="eastAsia"/>
              </w:rPr>
              <w:t>状态</w:t>
            </w:r>
          </w:p>
        </w:tc>
        <w:tc>
          <w:tcPr>
            <w:tcW w:w="7341" w:type="dxa"/>
            <w:shd w:val="clear" w:color="auto" w:fill="auto"/>
          </w:tcPr>
          <w:p w14:paraId="1E479AE8">
            <w:pPr>
              <w:pStyle w:val="186"/>
              <w:widowControl w:val="0"/>
              <w:spacing w:line="240" w:lineRule="auto"/>
              <w:ind w:firstLine="0"/>
              <w:jc w:val="left"/>
            </w:pPr>
            <w:r>
              <w:rPr>
                <w:rFonts w:hint="eastAsia"/>
              </w:rPr>
              <w:t>状态有</w:t>
            </w:r>
            <w:r>
              <w:t>启用和禁用两种：</w:t>
            </w:r>
          </w:p>
          <w:p w14:paraId="3C0E8B07">
            <w:pPr>
              <w:pStyle w:val="186"/>
              <w:widowControl w:val="0"/>
              <w:spacing w:line="240" w:lineRule="auto"/>
              <w:ind w:firstLine="0"/>
              <w:jc w:val="left"/>
            </w:pPr>
            <w:r>
              <w:rPr>
                <w:color w:val="417AB6"/>
                <w:shd w:val="clear" w:color="auto" w:fill="FFFFFF"/>
              </w:rPr>
              <w:drawing>
                <wp:inline distT="0" distB="0" distL="0" distR="0">
                  <wp:extent cx="152400" cy="152400"/>
                  <wp:effectExtent l="0" t="0" r="0" b="0"/>
                  <wp:docPr id="3216" name="图片 3216" descr="http://90.90.1.36/webui/images/default/icons/icon_enable.gif">
                    <a:hlinkClick xmlns:a="http://schemas.openxmlformats.org/drawingml/2006/main" r:id="rId67" tooltip="&quot;点击更改状态&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6" name="图片 3216" descr="http://90.90.1.36/webui/images/default/icons/icon_enable.gif"/>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a:xfrm>
                            <a:off x="0" y="0"/>
                            <a:ext cx="152400" cy="152400"/>
                          </a:xfrm>
                          <a:prstGeom prst="rect">
                            <a:avLst/>
                          </a:prstGeom>
                          <a:noFill/>
                          <a:ln>
                            <a:noFill/>
                          </a:ln>
                        </pic:spPr>
                      </pic:pic>
                    </a:graphicData>
                  </a:graphic>
                </wp:inline>
              </w:drawing>
            </w:r>
            <w:r>
              <w:rPr>
                <w:rFonts w:hint="eastAsia"/>
              </w:rPr>
              <w:t>表示</w:t>
            </w:r>
            <w:r>
              <w:t>启用</w:t>
            </w:r>
            <w:r>
              <w:rPr>
                <w:rFonts w:hint="eastAsia"/>
              </w:rPr>
              <w:t>；</w:t>
            </w:r>
          </w:p>
          <w:p w14:paraId="14F84FBB">
            <w:pPr>
              <w:pStyle w:val="186"/>
              <w:widowControl w:val="0"/>
              <w:spacing w:line="240" w:lineRule="auto"/>
              <w:ind w:firstLine="0"/>
              <w:jc w:val="left"/>
            </w:pPr>
            <w:r>
              <w:rPr>
                <w:color w:val="417AB6"/>
                <w:shd w:val="clear" w:color="auto" w:fill="FFFFFF"/>
              </w:rPr>
              <w:drawing>
                <wp:inline distT="0" distB="0" distL="0" distR="0">
                  <wp:extent cx="152400" cy="152400"/>
                  <wp:effectExtent l="0" t="0" r="0" b="0"/>
                  <wp:docPr id="3217" name="图片 3217" descr="http://90.90.1.36/webui/images/default/icons/icon_disable.gif">
                    <a:hlinkClick xmlns:a="http://schemas.openxmlformats.org/drawingml/2006/main" r:id="rId67" tooltip="&quot;点击更改状态&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7" name="图片 3217" descr="http://90.90.1.36/webui/images/default/icons/icon_disable.gif"/>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a:xfrm>
                            <a:off x="0" y="0"/>
                            <a:ext cx="152400" cy="152400"/>
                          </a:xfrm>
                          <a:prstGeom prst="rect">
                            <a:avLst/>
                          </a:prstGeom>
                          <a:noFill/>
                          <a:ln>
                            <a:noFill/>
                          </a:ln>
                        </pic:spPr>
                      </pic:pic>
                    </a:graphicData>
                  </a:graphic>
                </wp:inline>
              </w:drawing>
            </w:r>
            <w:r>
              <w:rPr>
                <w:rFonts w:hint="eastAsia"/>
              </w:rPr>
              <w:t>表示</w:t>
            </w:r>
            <w:r>
              <w:t>禁用</w:t>
            </w:r>
            <w:r>
              <w:rPr>
                <w:rFonts w:hint="eastAsia"/>
              </w:rPr>
              <w:t>。</w:t>
            </w:r>
          </w:p>
        </w:tc>
      </w:tr>
      <w:tr w14:paraId="419660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73" w:type="dxa"/>
            <w:shd w:val="clear" w:color="auto" w:fill="auto"/>
          </w:tcPr>
          <w:p w14:paraId="4055F66B">
            <w:pPr>
              <w:pStyle w:val="186"/>
              <w:widowControl w:val="0"/>
              <w:spacing w:line="240" w:lineRule="auto"/>
              <w:ind w:firstLine="0"/>
              <w:jc w:val="left"/>
            </w:pPr>
            <w:r>
              <w:rPr>
                <w:rFonts w:hint="eastAsia"/>
              </w:rPr>
              <w:t>创建</w:t>
            </w:r>
            <w:r>
              <w:t>时间</w:t>
            </w:r>
          </w:p>
        </w:tc>
        <w:tc>
          <w:tcPr>
            <w:tcW w:w="7341" w:type="dxa"/>
            <w:shd w:val="clear" w:color="auto" w:fill="auto"/>
          </w:tcPr>
          <w:p w14:paraId="3CDB3BEA">
            <w:pPr>
              <w:pStyle w:val="186"/>
              <w:widowControl w:val="0"/>
              <w:spacing w:line="240" w:lineRule="auto"/>
              <w:ind w:firstLine="0"/>
              <w:jc w:val="left"/>
            </w:pPr>
            <w:r>
              <w:rPr>
                <w:rFonts w:hint="eastAsia"/>
              </w:rPr>
              <w:t>创建</w:t>
            </w:r>
            <w:r>
              <w:t>报表</w:t>
            </w:r>
            <w:r>
              <w:rPr>
                <w:rFonts w:hint="eastAsia"/>
              </w:rPr>
              <w:t>任务</w:t>
            </w:r>
            <w:r>
              <w:t>的时间</w:t>
            </w:r>
            <w:r>
              <w:rPr>
                <w:rFonts w:hint="eastAsia"/>
              </w:rPr>
              <w:t>。</w:t>
            </w:r>
          </w:p>
        </w:tc>
      </w:tr>
      <w:tr w14:paraId="5FE785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73" w:type="dxa"/>
            <w:shd w:val="clear" w:color="auto" w:fill="auto"/>
          </w:tcPr>
          <w:p w14:paraId="40F040C5">
            <w:pPr>
              <w:pStyle w:val="186"/>
              <w:widowControl w:val="0"/>
              <w:spacing w:line="240" w:lineRule="auto"/>
              <w:ind w:firstLine="0"/>
              <w:jc w:val="left"/>
            </w:pPr>
            <w:r>
              <w:rPr>
                <w:rFonts w:hint="eastAsia"/>
              </w:rPr>
              <w:t>历史</w:t>
            </w:r>
            <w:r>
              <w:t>报表</w:t>
            </w:r>
          </w:p>
        </w:tc>
        <w:tc>
          <w:tcPr>
            <w:tcW w:w="7341" w:type="dxa"/>
            <w:shd w:val="clear" w:color="auto" w:fill="auto"/>
          </w:tcPr>
          <w:p w14:paraId="5BF1A22D">
            <w:pPr>
              <w:pStyle w:val="186"/>
              <w:widowControl w:val="0"/>
              <w:spacing w:line="240" w:lineRule="auto"/>
              <w:ind w:firstLine="0"/>
              <w:jc w:val="left"/>
            </w:pPr>
            <w:r>
              <w:rPr>
                <w:rFonts w:hint="eastAsia"/>
              </w:rPr>
              <w:t>报表</w:t>
            </w:r>
            <w:r>
              <w:t>任务</w:t>
            </w:r>
            <w:r>
              <w:rPr>
                <w:rFonts w:hint="eastAsia"/>
              </w:rPr>
              <w:t>生成</w:t>
            </w:r>
            <w:r>
              <w:t>的历史报表，点击数字可直接跳转到历史报表中查看具体生成的历史报表</w:t>
            </w:r>
            <w:r>
              <w:rPr>
                <w:rFonts w:hint="eastAsia"/>
              </w:rPr>
              <w:t>。</w:t>
            </w:r>
          </w:p>
        </w:tc>
      </w:tr>
      <w:tr w14:paraId="3DF96B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73" w:type="dxa"/>
            <w:shd w:val="clear" w:color="auto" w:fill="auto"/>
          </w:tcPr>
          <w:p w14:paraId="4FFFCB7C">
            <w:pPr>
              <w:pStyle w:val="186"/>
              <w:widowControl w:val="0"/>
              <w:spacing w:line="240" w:lineRule="auto"/>
              <w:ind w:firstLine="0"/>
              <w:jc w:val="left"/>
            </w:pPr>
            <w:r>
              <w:rPr>
                <w:rFonts w:hint="eastAsia"/>
              </w:rPr>
              <w:t>报表类型</w:t>
            </w:r>
          </w:p>
        </w:tc>
        <w:tc>
          <w:tcPr>
            <w:tcW w:w="7341" w:type="dxa"/>
            <w:shd w:val="clear" w:color="auto" w:fill="auto"/>
          </w:tcPr>
          <w:p w14:paraId="232E3023">
            <w:pPr>
              <w:pStyle w:val="186"/>
              <w:widowControl w:val="0"/>
              <w:spacing w:line="240" w:lineRule="auto"/>
              <w:ind w:firstLine="0"/>
              <w:jc w:val="left"/>
            </w:pPr>
            <w:r>
              <w:rPr>
                <w:rFonts w:hint="eastAsia"/>
              </w:rPr>
              <w:t>报表</w:t>
            </w:r>
            <w:r>
              <w:t>类型有日报表、周报表、月报表、单次报表四种类型</w:t>
            </w:r>
            <w:r>
              <w:rPr>
                <w:rFonts w:hint="eastAsia"/>
              </w:rPr>
              <w:t>。</w:t>
            </w:r>
          </w:p>
        </w:tc>
      </w:tr>
      <w:tr w14:paraId="2A3757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73" w:type="dxa"/>
            <w:shd w:val="clear" w:color="auto" w:fill="auto"/>
          </w:tcPr>
          <w:p w14:paraId="249493D4">
            <w:pPr>
              <w:pStyle w:val="186"/>
              <w:widowControl w:val="0"/>
              <w:spacing w:line="240" w:lineRule="auto"/>
              <w:ind w:firstLine="0"/>
              <w:jc w:val="left"/>
            </w:pPr>
            <w:r>
              <w:rPr>
                <w:rFonts w:hint="eastAsia"/>
              </w:rPr>
              <w:t>统计</w:t>
            </w:r>
            <w:r>
              <w:t>时间</w:t>
            </w:r>
          </w:p>
        </w:tc>
        <w:tc>
          <w:tcPr>
            <w:tcW w:w="7341" w:type="dxa"/>
            <w:shd w:val="clear" w:color="auto" w:fill="auto"/>
          </w:tcPr>
          <w:p w14:paraId="72F7DF1D">
            <w:pPr>
              <w:pStyle w:val="186"/>
              <w:widowControl w:val="0"/>
              <w:spacing w:line="240" w:lineRule="auto"/>
              <w:ind w:firstLine="0"/>
              <w:jc w:val="left"/>
            </w:pPr>
            <w:r>
              <w:rPr>
                <w:rFonts w:hint="eastAsia"/>
              </w:rPr>
              <w:t>生成</w:t>
            </w:r>
            <w:r>
              <w:t>报表</w:t>
            </w:r>
            <w:r>
              <w:rPr>
                <w:rFonts w:hint="eastAsia"/>
              </w:rPr>
              <w:t>汇聚</w:t>
            </w:r>
            <w:r>
              <w:t>数据的时间范围</w:t>
            </w:r>
            <w:r>
              <w:rPr>
                <w:rFonts w:hint="eastAsia"/>
              </w:rPr>
              <w:t>。</w:t>
            </w:r>
          </w:p>
        </w:tc>
      </w:tr>
      <w:tr w14:paraId="037FAB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73" w:type="dxa"/>
            <w:shd w:val="clear" w:color="auto" w:fill="auto"/>
          </w:tcPr>
          <w:p w14:paraId="2814FB6D">
            <w:pPr>
              <w:pStyle w:val="186"/>
              <w:widowControl w:val="0"/>
              <w:spacing w:line="240" w:lineRule="auto"/>
              <w:ind w:firstLine="0"/>
              <w:jc w:val="left"/>
            </w:pPr>
            <w:r>
              <w:rPr>
                <w:rFonts w:hint="eastAsia"/>
              </w:rPr>
              <w:t>报表</w:t>
            </w:r>
            <w:r>
              <w:t>格式</w:t>
            </w:r>
          </w:p>
        </w:tc>
        <w:tc>
          <w:tcPr>
            <w:tcW w:w="7341" w:type="dxa"/>
            <w:shd w:val="clear" w:color="auto" w:fill="auto"/>
          </w:tcPr>
          <w:p w14:paraId="47FE57EB">
            <w:pPr>
              <w:pStyle w:val="186"/>
              <w:widowControl w:val="0"/>
              <w:spacing w:line="240" w:lineRule="auto"/>
              <w:ind w:firstLine="0"/>
              <w:jc w:val="left"/>
            </w:pPr>
            <w:r>
              <w:rPr>
                <w:rFonts w:hint="eastAsia"/>
              </w:rPr>
              <w:t>报表</w:t>
            </w:r>
            <w:r>
              <w:t>格式支持</w:t>
            </w:r>
            <w:r>
              <w:rPr>
                <w:rFonts w:hint="eastAsia"/>
              </w:rPr>
              <w:t>HTML和PDF两种</w:t>
            </w:r>
            <w:r>
              <w:t>格式，</w:t>
            </w:r>
            <w:r>
              <w:rPr>
                <w:rFonts w:hint="eastAsia"/>
              </w:rPr>
              <w:t>1G内存</w:t>
            </w:r>
            <w:r>
              <w:t>设备只</w:t>
            </w:r>
            <w:r>
              <w:rPr>
                <w:rFonts w:hint="eastAsia"/>
              </w:rPr>
              <w:t>支持HTML格式。</w:t>
            </w:r>
          </w:p>
        </w:tc>
      </w:tr>
      <w:tr w14:paraId="045547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73" w:type="dxa"/>
            <w:shd w:val="clear" w:color="auto" w:fill="auto"/>
          </w:tcPr>
          <w:p w14:paraId="53E76653">
            <w:pPr>
              <w:pStyle w:val="186"/>
              <w:widowControl w:val="0"/>
              <w:spacing w:line="240" w:lineRule="auto"/>
              <w:ind w:firstLine="0"/>
              <w:jc w:val="left"/>
            </w:pPr>
            <w:r>
              <w:rPr>
                <w:rFonts w:hint="eastAsia"/>
              </w:rPr>
              <w:t>外发</w:t>
            </w:r>
            <w:r>
              <w:t>方式</w:t>
            </w:r>
          </w:p>
        </w:tc>
        <w:tc>
          <w:tcPr>
            <w:tcW w:w="7341" w:type="dxa"/>
            <w:shd w:val="clear" w:color="auto" w:fill="auto"/>
          </w:tcPr>
          <w:p w14:paraId="6F4D5225">
            <w:pPr>
              <w:pStyle w:val="186"/>
              <w:widowControl w:val="0"/>
              <w:spacing w:line="240" w:lineRule="auto"/>
              <w:ind w:firstLine="0"/>
              <w:jc w:val="left"/>
            </w:pPr>
            <w:r>
              <w:rPr>
                <w:rFonts w:hint="eastAsia"/>
              </w:rPr>
              <w:t>外发</w:t>
            </w:r>
            <w:r>
              <w:t>方式</w:t>
            </w:r>
            <w:r>
              <w:rPr>
                <w:rFonts w:hint="eastAsia"/>
              </w:rPr>
              <w:t>支持FTP和</w:t>
            </w:r>
            <w:r>
              <w:t>邮件两种方式</w:t>
            </w:r>
            <w:r>
              <w:rPr>
                <w:rFonts w:hint="eastAsia"/>
              </w:rPr>
              <w:t>，</w:t>
            </w:r>
            <w:r>
              <w:t>邮件外发设备上需要配置</w:t>
            </w:r>
            <w:r>
              <w:rPr>
                <w:rFonts w:hint="eastAsia"/>
              </w:rPr>
              <w:t>DNS服务器</w:t>
            </w:r>
            <w:r>
              <w:t>地址</w:t>
            </w:r>
            <w:r>
              <w:rPr>
                <w:rFonts w:hint="eastAsia"/>
              </w:rPr>
              <w:t>；</w:t>
            </w:r>
            <w:r>
              <w:t>两者都不选，则不外发。</w:t>
            </w:r>
          </w:p>
        </w:tc>
      </w:tr>
    </w:tbl>
    <w:p w14:paraId="5692E5D5"/>
    <w:p w14:paraId="5C87F3BE">
      <w:r>
        <w:rPr>
          <w:rFonts w:hint="eastAsia"/>
        </w:rPr>
        <w:t>点击&lt;新建&gt;按钮</w:t>
      </w:r>
      <w:r>
        <w:t>，可以</w:t>
      </w:r>
      <w:r>
        <w:rPr>
          <w:rFonts w:hint="eastAsia"/>
        </w:rPr>
        <w:t>按</w:t>
      </w:r>
      <w:r>
        <w:t>需求创建报表任务，如</w:t>
      </w:r>
      <w:r>
        <w:fldChar w:fldCharType="begin"/>
      </w:r>
      <w:r>
        <w:instrText xml:space="preserve"> REF _Ref4434501 \r \h </w:instrText>
      </w:r>
      <w:r>
        <w:fldChar w:fldCharType="separate"/>
      </w:r>
      <w:r>
        <w:rPr>
          <w:rFonts w:hint="eastAsia"/>
        </w:rPr>
        <w:t>图4-79</w:t>
      </w:r>
      <w:r>
        <w:fldChar w:fldCharType="end"/>
      </w:r>
      <w:r>
        <w:t>所示。</w:t>
      </w:r>
    </w:p>
    <w:p w14:paraId="669EB848">
      <w:pPr>
        <w:pStyle w:val="188"/>
      </w:pPr>
      <w:bookmarkStart w:id="916" w:name="_Ref4434501"/>
      <w:bookmarkStart w:id="917" w:name="_Toc141874528"/>
      <w:r>
        <w:rPr>
          <w:rFonts w:hint="eastAsia"/>
        </w:rPr>
        <w:t>新建报表</w:t>
      </w:r>
      <w:r>
        <w:t>任务</w:t>
      </w:r>
      <w:bookmarkEnd w:id="916"/>
      <w:bookmarkEnd w:id="917"/>
    </w:p>
    <w:p w14:paraId="72109073">
      <w:pPr>
        <w:spacing w:before="79" w:after="79"/>
      </w:pPr>
      <w:r>
        <w:drawing>
          <wp:inline distT="0" distB="0" distL="114300" distR="114300">
            <wp:extent cx="5400040" cy="2679065"/>
            <wp:effectExtent l="0" t="0" r="0" b="6985"/>
            <wp:docPr id="51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52"/>
                    <pic:cNvPicPr>
                      <a:picLocks noChangeAspect="1"/>
                    </pic:cNvPicPr>
                  </pic:nvPicPr>
                  <pic:blipFill>
                    <a:blip r:embed="rId146"/>
                    <a:stretch>
                      <a:fillRect/>
                    </a:stretch>
                  </pic:blipFill>
                  <pic:spPr>
                    <a:xfrm>
                      <a:off x="0" y="0"/>
                      <a:ext cx="5400040" cy="2679550"/>
                    </a:xfrm>
                    <a:prstGeom prst="rect">
                      <a:avLst/>
                    </a:prstGeom>
                    <a:noFill/>
                    <a:ln>
                      <a:noFill/>
                    </a:ln>
                  </pic:spPr>
                </pic:pic>
              </a:graphicData>
            </a:graphic>
          </wp:inline>
        </w:drawing>
      </w:r>
    </w:p>
    <w:p w14:paraId="00827402">
      <w:pPr>
        <w:spacing w:before="79" w:after="79"/>
      </w:pPr>
      <w:r>
        <w:drawing>
          <wp:inline distT="0" distB="0" distL="0" distR="0">
            <wp:extent cx="5505450" cy="4323080"/>
            <wp:effectExtent l="0" t="0" r="0" b="1270"/>
            <wp:docPr id="3219" name="图片 3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9" name="图片 3219"/>
                    <pic:cNvPicPr>
                      <a:picLocks noChangeAspect="1"/>
                    </pic:cNvPicPr>
                  </pic:nvPicPr>
                  <pic:blipFill>
                    <a:blip r:embed="rId147"/>
                    <a:stretch>
                      <a:fillRect/>
                    </a:stretch>
                  </pic:blipFill>
                  <pic:spPr>
                    <a:xfrm>
                      <a:off x="0" y="0"/>
                      <a:ext cx="5524031" cy="4337731"/>
                    </a:xfrm>
                    <a:prstGeom prst="rect">
                      <a:avLst/>
                    </a:prstGeom>
                  </pic:spPr>
                </pic:pic>
              </a:graphicData>
            </a:graphic>
          </wp:inline>
        </w:drawing>
      </w:r>
    </w:p>
    <w:p w14:paraId="27A91751"/>
    <w:p w14:paraId="1CF046CF">
      <w:r>
        <w:rPr>
          <w:rFonts w:hint="eastAsia"/>
        </w:rPr>
        <w:t>新建</w:t>
      </w:r>
      <w:r>
        <w:t>报表任务</w:t>
      </w:r>
      <w:r>
        <w:rPr>
          <w:rFonts w:hint="eastAsia"/>
        </w:rPr>
        <w:t>详细</w:t>
      </w:r>
      <w:r>
        <w:t>说明如</w:t>
      </w:r>
      <w:r>
        <w:fldChar w:fldCharType="begin"/>
      </w:r>
      <w:r>
        <w:instrText xml:space="preserve"> REF _Ref4434519 \r \h </w:instrText>
      </w:r>
      <w:r>
        <w:fldChar w:fldCharType="separate"/>
      </w:r>
      <w:r>
        <w:rPr>
          <w:rFonts w:hint="eastAsia"/>
        </w:rPr>
        <w:t>表4-1</w:t>
      </w:r>
      <w:r>
        <w:fldChar w:fldCharType="end"/>
      </w:r>
      <w:r>
        <w:t>所示。</w:t>
      </w:r>
    </w:p>
    <w:p w14:paraId="48D94402">
      <w:pPr>
        <w:pStyle w:val="183"/>
      </w:pPr>
      <w:bookmarkStart w:id="918" w:name="_Ref4434519"/>
      <w:bookmarkStart w:id="919" w:name="_Toc141875464"/>
      <w:r>
        <w:rPr>
          <w:rFonts w:hint="eastAsia"/>
        </w:rPr>
        <w:t>新建</w:t>
      </w:r>
      <w:r>
        <w:t>报表任务详细说明</w:t>
      </w:r>
      <w:bookmarkEnd w:id="918"/>
      <w:bookmarkEnd w:id="919"/>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673"/>
        <w:gridCol w:w="7341"/>
      </w:tblGrid>
      <w:tr w14:paraId="306C5C6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73" w:type="dxa"/>
            <w:tcBorders>
              <w:tl2br w:val="nil"/>
              <w:tr2bl w:val="nil"/>
            </w:tcBorders>
            <w:shd w:val="clear" w:color="auto" w:fill="538135" w:themeFill="accent6" w:themeFillShade="BF"/>
            <w:vAlign w:val="center"/>
          </w:tcPr>
          <w:p w14:paraId="5212E9E3">
            <w:pPr>
              <w:pStyle w:val="149"/>
              <w:wordWrap/>
              <w:rPr>
                <w:b/>
                <w:bCs/>
                <w:i w:val="0"/>
                <w:iCs w:val="0"/>
              </w:rPr>
            </w:pPr>
            <w:r>
              <w:rPr>
                <w:rFonts w:hint="eastAsia"/>
                <w:b/>
                <w:bCs/>
                <w:i w:val="0"/>
                <w:iCs w:val="0"/>
              </w:rPr>
              <w:t>标题项</w:t>
            </w:r>
          </w:p>
        </w:tc>
        <w:tc>
          <w:tcPr>
            <w:tcW w:w="7341" w:type="dxa"/>
            <w:tcBorders>
              <w:tl2br w:val="nil"/>
              <w:tr2bl w:val="nil"/>
            </w:tcBorders>
            <w:shd w:val="clear" w:color="auto" w:fill="538135" w:themeFill="accent6" w:themeFillShade="BF"/>
            <w:vAlign w:val="center"/>
          </w:tcPr>
          <w:p w14:paraId="3AA393DD">
            <w:pPr>
              <w:pStyle w:val="149"/>
              <w:wordWrap/>
              <w:rPr>
                <w:b/>
                <w:bCs/>
                <w:i w:val="0"/>
                <w:iCs w:val="0"/>
              </w:rPr>
            </w:pPr>
            <w:r>
              <w:rPr>
                <w:rFonts w:hint="eastAsia"/>
                <w:b/>
                <w:bCs/>
                <w:i w:val="0"/>
                <w:iCs w:val="0"/>
              </w:rPr>
              <w:t>说明</w:t>
            </w:r>
          </w:p>
        </w:tc>
      </w:tr>
      <w:tr w14:paraId="6340CFE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73" w:type="dxa"/>
            <w:shd w:val="clear" w:color="auto" w:fill="auto"/>
          </w:tcPr>
          <w:p w14:paraId="4822A4F4">
            <w:pPr>
              <w:pStyle w:val="186"/>
              <w:widowControl w:val="0"/>
              <w:spacing w:line="240" w:lineRule="auto"/>
              <w:ind w:firstLine="0"/>
              <w:jc w:val="left"/>
            </w:pPr>
            <w:r>
              <w:rPr>
                <w:rFonts w:hint="eastAsia"/>
              </w:rPr>
              <w:t>是否启用</w:t>
            </w:r>
          </w:p>
        </w:tc>
        <w:tc>
          <w:tcPr>
            <w:tcW w:w="7341" w:type="dxa"/>
            <w:shd w:val="clear" w:color="auto" w:fill="auto"/>
          </w:tcPr>
          <w:p w14:paraId="741EF8EF">
            <w:pPr>
              <w:pStyle w:val="186"/>
              <w:widowControl w:val="0"/>
              <w:spacing w:line="240" w:lineRule="auto"/>
              <w:ind w:firstLine="0"/>
              <w:jc w:val="left"/>
            </w:pPr>
            <w:r>
              <w:rPr>
                <w:rFonts w:hint="eastAsia"/>
              </w:rPr>
              <w:t>创建</w:t>
            </w:r>
            <w:r>
              <w:t>的报表任务是否启用，勾选表示启用，不勾选表示</w:t>
            </w:r>
            <w:r>
              <w:rPr>
                <w:rFonts w:hint="eastAsia"/>
              </w:rPr>
              <w:t>禁用</w:t>
            </w:r>
            <w:r>
              <w:t>。</w:t>
            </w:r>
          </w:p>
        </w:tc>
      </w:tr>
      <w:tr w14:paraId="10674C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73" w:type="dxa"/>
            <w:shd w:val="clear" w:color="auto" w:fill="auto"/>
          </w:tcPr>
          <w:p w14:paraId="48758E8A">
            <w:pPr>
              <w:pStyle w:val="186"/>
              <w:widowControl w:val="0"/>
              <w:spacing w:line="240" w:lineRule="auto"/>
              <w:ind w:firstLine="0"/>
              <w:jc w:val="left"/>
            </w:pPr>
            <w:r>
              <w:rPr>
                <w:rFonts w:hint="eastAsia"/>
              </w:rPr>
              <w:t>报表</w:t>
            </w:r>
            <w:r>
              <w:t>名称</w:t>
            </w:r>
          </w:p>
        </w:tc>
        <w:tc>
          <w:tcPr>
            <w:tcW w:w="7341" w:type="dxa"/>
            <w:shd w:val="clear" w:color="auto" w:fill="auto"/>
          </w:tcPr>
          <w:p w14:paraId="60EA1CFF">
            <w:pPr>
              <w:pStyle w:val="186"/>
              <w:widowControl w:val="0"/>
              <w:spacing w:line="240" w:lineRule="auto"/>
              <w:ind w:firstLine="0"/>
              <w:jc w:val="left"/>
            </w:pPr>
            <w:r>
              <w:rPr>
                <w:rFonts w:hint="eastAsia"/>
              </w:rPr>
              <w:t>创建</w:t>
            </w:r>
            <w:r>
              <w:t>报表任务的名称</w:t>
            </w:r>
            <w:r>
              <w:rPr>
                <w:rFonts w:hint="eastAsia"/>
              </w:rPr>
              <w:t>，1~63字符。。</w:t>
            </w:r>
          </w:p>
        </w:tc>
      </w:tr>
      <w:tr w14:paraId="406B0A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73" w:type="dxa"/>
            <w:shd w:val="clear" w:color="auto" w:fill="auto"/>
          </w:tcPr>
          <w:p w14:paraId="65FA89CC">
            <w:pPr>
              <w:pStyle w:val="186"/>
              <w:widowControl w:val="0"/>
              <w:spacing w:line="240" w:lineRule="auto"/>
              <w:ind w:firstLine="0"/>
              <w:jc w:val="left"/>
            </w:pPr>
            <w:r>
              <w:rPr>
                <w:rFonts w:hint="eastAsia"/>
              </w:rPr>
              <w:t>报表类型</w:t>
            </w:r>
          </w:p>
        </w:tc>
        <w:tc>
          <w:tcPr>
            <w:tcW w:w="7341" w:type="dxa"/>
            <w:shd w:val="clear" w:color="auto" w:fill="auto"/>
          </w:tcPr>
          <w:p w14:paraId="578546D4">
            <w:pPr>
              <w:pStyle w:val="186"/>
              <w:widowControl w:val="0"/>
              <w:spacing w:line="240" w:lineRule="auto"/>
              <w:ind w:firstLine="0"/>
              <w:jc w:val="left"/>
            </w:pPr>
            <w:r>
              <w:rPr>
                <w:rFonts w:hint="eastAsia"/>
              </w:rPr>
              <w:t>报表</w:t>
            </w:r>
            <w:r>
              <w:t>类型主要包括日报表、周报表、月报表、单次报表四种类型。</w:t>
            </w:r>
          </w:p>
          <w:p w14:paraId="2EFB0630">
            <w:pPr>
              <w:pStyle w:val="186"/>
              <w:widowControl w:val="0"/>
              <w:spacing w:line="240" w:lineRule="auto"/>
              <w:ind w:firstLine="0"/>
              <w:jc w:val="left"/>
            </w:pPr>
            <w:r>
              <w:rPr>
                <w:rFonts w:hint="eastAsia"/>
              </w:rPr>
              <w:t>日</w:t>
            </w:r>
            <w:r>
              <w:t>报表：</w:t>
            </w:r>
            <w:r>
              <w:rPr>
                <w:rFonts w:hint="eastAsia"/>
              </w:rPr>
              <w:t>每天汇聚</w:t>
            </w:r>
            <w:r>
              <w:t>统计生成</w:t>
            </w:r>
            <w:r>
              <w:rPr>
                <w:rFonts w:hint="eastAsia"/>
              </w:rPr>
              <w:t>一个</w:t>
            </w:r>
            <w:r>
              <w:t>报表；</w:t>
            </w:r>
          </w:p>
          <w:p w14:paraId="6F292ABD">
            <w:pPr>
              <w:pStyle w:val="186"/>
              <w:widowControl w:val="0"/>
              <w:spacing w:line="240" w:lineRule="auto"/>
              <w:ind w:firstLine="0"/>
              <w:jc w:val="left"/>
            </w:pPr>
            <w:r>
              <w:rPr>
                <w:rFonts w:hint="eastAsia"/>
              </w:rPr>
              <w:t>周</w:t>
            </w:r>
            <w:r>
              <w:t>报表：每周汇聚统计生成一个报表；</w:t>
            </w:r>
          </w:p>
          <w:p w14:paraId="1959838F">
            <w:pPr>
              <w:pStyle w:val="186"/>
              <w:widowControl w:val="0"/>
              <w:spacing w:line="240" w:lineRule="auto"/>
              <w:ind w:firstLine="0"/>
              <w:jc w:val="left"/>
            </w:pPr>
            <w:r>
              <w:rPr>
                <w:rFonts w:hint="eastAsia"/>
              </w:rPr>
              <w:t>月</w:t>
            </w:r>
            <w:r>
              <w:t>报表：每月汇聚统计生成一个报表；</w:t>
            </w:r>
          </w:p>
          <w:p w14:paraId="1A18B1D5">
            <w:pPr>
              <w:pStyle w:val="186"/>
              <w:widowControl w:val="0"/>
              <w:spacing w:line="240" w:lineRule="auto"/>
              <w:ind w:firstLine="0"/>
              <w:jc w:val="left"/>
            </w:pPr>
            <w:r>
              <w:rPr>
                <w:rFonts w:hint="eastAsia"/>
              </w:rPr>
              <w:t>单次</w:t>
            </w:r>
            <w:r>
              <w:t>报表：</w:t>
            </w:r>
            <w:r>
              <w:rPr>
                <w:rFonts w:hint="eastAsia"/>
              </w:rPr>
              <w:t>按</w:t>
            </w:r>
            <w:r>
              <w:t>指定</w:t>
            </w:r>
            <w:r>
              <w:rPr>
                <w:rFonts w:hint="eastAsia"/>
              </w:rPr>
              <w:t>统计</w:t>
            </w:r>
            <w:r>
              <w:t>时间生成一个报表</w:t>
            </w:r>
            <w:r>
              <w:rPr>
                <w:rFonts w:hint="eastAsia"/>
              </w:rPr>
              <w:t>。</w:t>
            </w:r>
          </w:p>
        </w:tc>
      </w:tr>
      <w:tr w14:paraId="158CB2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73" w:type="dxa"/>
            <w:shd w:val="clear" w:color="auto" w:fill="auto"/>
          </w:tcPr>
          <w:p w14:paraId="65846D13">
            <w:pPr>
              <w:pStyle w:val="186"/>
              <w:widowControl w:val="0"/>
              <w:spacing w:line="240" w:lineRule="auto"/>
              <w:ind w:firstLine="0"/>
              <w:jc w:val="left"/>
            </w:pPr>
            <w:r>
              <w:rPr>
                <w:rFonts w:hint="eastAsia"/>
              </w:rPr>
              <w:t>统计时间</w:t>
            </w:r>
          </w:p>
        </w:tc>
        <w:tc>
          <w:tcPr>
            <w:tcW w:w="7341" w:type="dxa"/>
            <w:shd w:val="clear" w:color="auto" w:fill="auto"/>
          </w:tcPr>
          <w:p w14:paraId="24596BE3">
            <w:pPr>
              <w:pStyle w:val="186"/>
              <w:widowControl w:val="0"/>
              <w:spacing w:line="240" w:lineRule="auto"/>
              <w:ind w:firstLine="0"/>
              <w:jc w:val="left"/>
            </w:pPr>
            <w:r>
              <w:rPr>
                <w:rFonts w:hint="eastAsia"/>
              </w:rPr>
              <w:t>生成</w:t>
            </w:r>
            <w:r>
              <w:t>报表</w:t>
            </w:r>
            <w:r>
              <w:rPr>
                <w:rFonts w:hint="eastAsia"/>
              </w:rPr>
              <w:t>汇聚</w:t>
            </w:r>
            <w:r>
              <w:t>数据的时间范围</w:t>
            </w:r>
            <w:r>
              <w:rPr>
                <w:rFonts w:hint="eastAsia"/>
              </w:rPr>
              <w:t>。</w:t>
            </w:r>
          </w:p>
        </w:tc>
      </w:tr>
      <w:tr w14:paraId="7CFD80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73" w:type="dxa"/>
            <w:shd w:val="clear" w:color="auto" w:fill="auto"/>
          </w:tcPr>
          <w:p w14:paraId="519DBE26">
            <w:pPr>
              <w:pStyle w:val="186"/>
              <w:widowControl w:val="0"/>
              <w:spacing w:line="240" w:lineRule="auto"/>
              <w:ind w:firstLine="0"/>
              <w:jc w:val="left"/>
            </w:pPr>
            <w:r>
              <w:rPr>
                <w:rFonts w:hint="eastAsia"/>
              </w:rPr>
              <w:t>报表</w:t>
            </w:r>
            <w:r>
              <w:t>格式</w:t>
            </w:r>
          </w:p>
        </w:tc>
        <w:tc>
          <w:tcPr>
            <w:tcW w:w="7341" w:type="dxa"/>
            <w:shd w:val="clear" w:color="auto" w:fill="auto"/>
          </w:tcPr>
          <w:p w14:paraId="2B948D4D">
            <w:pPr>
              <w:pStyle w:val="186"/>
              <w:widowControl w:val="0"/>
              <w:spacing w:line="240" w:lineRule="auto"/>
              <w:ind w:firstLine="0"/>
              <w:jc w:val="left"/>
            </w:pPr>
            <w:r>
              <w:rPr>
                <w:rFonts w:hint="eastAsia"/>
              </w:rPr>
              <w:t>报表</w:t>
            </w:r>
            <w:r>
              <w:t>格式支持</w:t>
            </w:r>
            <w:r>
              <w:rPr>
                <w:rFonts w:hint="eastAsia"/>
              </w:rPr>
              <w:t>HTML和PDF两种</w:t>
            </w:r>
            <w:r>
              <w:t>格式，</w:t>
            </w:r>
            <w:r>
              <w:rPr>
                <w:rFonts w:hint="eastAsia"/>
              </w:rPr>
              <w:t>1G内存</w:t>
            </w:r>
            <w:r>
              <w:t>设备只</w:t>
            </w:r>
            <w:r>
              <w:rPr>
                <w:rFonts w:hint="eastAsia"/>
              </w:rPr>
              <w:t>支持HTML格式。</w:t>
            </w:r>
          </w:p>
        </w:tc>
      </w:tr>
      <w:tr w14:paraId="79EAAD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73" w:type="dxa"/>
            <w:shd w:val="clear" w:color="auto" w:fill="auto"/>
          </w:tcPr>
          <w:p w14:paraId="2428BAC5">
            <w:pPr>
              <w:pStyle w:val="186"/>
              <w:widowControl w:val="0"/>
              <w:spacing w:line="240" w:lineRule="auto"/>
              <w:ind w:firstLine="0"/>
              <w:jc w:val="left"/>
            </w:pPr>
            <w:r>
              <w:rPr>
                <w:rFonts w:hint="eastAsia"/>
              </w:rPr>
              <w:t>外发</w:t>
            </w:r>
            <w:r>
              <w:t>方式</w:t>
            </w:r>
          </w:p>
        </w:tc>
        <w:tc>
          <w:tcPr>
            <w:tcW w:w="7341" w:type="dxa"/>
            <w:shd w:val="clear" w:color="auto" w:fill="auto"/>
          </w:tcPr>
          <w:p w14:paraId="4991D023">
            <w:pPr>
              <w:pStyle w:val="186"/>
              <w:widowControl w:val="0"/>
              <w:spacing w:line="240" w:lineRule="auto"/>
              <w:ind w:firstLine="0"/>
              <w:jc w:val="left"/>
            </w:pPr>
            <w:r>
              <w:rPr>
                <w:rFonts w:hint="eastAsia"/>
              </w:rPr>
              <w:t>外发</w:t>
            </w:r>
            <w:r>
              <w:t>方式</w:t>
            </w:r>
            <w:r>
              <w:rPr>
                <w:rFonts w:hint="eastAsia"/>
              </w:rPr>
              <w:t>支持FTP和</w:t>
            </w:r>
            <w:r>
              <w:t>邮件两种方式</w:t>
            </w:r>
            <w:r>
              <w:rPr>
                <w:rFonts w:hint="eastAsia"/>
              </w:rPr>
              <w:t>，</w:t>
            </w:r>
            <w:r>
              <w:t>邮件外发设备上需要配置</w:t>
            </w:r>
            <w:r>
              <w:rPr>
                <w:rFonts w:hint="eastAsia"/>
              </w:rPr>
              <w:t>DNS服务器</w:t>
            </w:r>
            <w:r>
              <w:t>地址</w:t>
            </w:r>
            <w:r>
              <w:rPr>
                <w:rFonts w:hint="eastAsia"/>
              </w:rPr>
              <w:t>；</w:t>
            </w:r>
            <w:r>
              <w:t>两者都不选，则不外发。</w:t>
            </w:r>
          </w:p>
        </w:tc>
      </w:tr>
      <w:tr w14:paraId="0AA894A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73" w:type="dxa"/>
            <w:shd w:val="clear" w:color="auto" w:fill="auto"/>
          </w:tcPr>
          <w:p w14:paraId="3B1D3814">
            <w:pPr>
              <w:pStyle w:val="186"/>
              <w:widowControl w:val="0"/>
              <w:spacing w:line="240" w:lineRule="auto"/>
              <w:ind w:firstLine="0"/>
              <w:jc w:val="left"/>
            </w:pPr>
            <w:r>
              <w:rPr>
                <w:rFonts w:hint="eastAsia"/>
              </w:rPr>
              <w:t>外发</w:t>
            </w:r>
            <w:r>
              <w:t>后删除</w:t>
            </w:r>
          </w:p>
        </w:tc>
        <w:tc>
          <w:tcPr>
            <w:tcW w:w="7341" w:type="dxa"/>
            <w:shd w:val="clear" w:color="auto" w:fill="auto"/>
          </w:tcPr>
          <w:p w14:paraId="6AFD18AD">
            <w:pPr>
              <w:pStyle w:val="186"/>
              <w:widowControl w:val="0"/>
              <w:spacing w:line="240" w:lineRule="auto"/>
              <w:ind w:firstLine="0"/>
              <w:jc w:val="left"/>
            </w:pPr>
            <w:r>
              <w:rPr>
                <w:rFonts w:hint="eastAsia"/>
              </w:rPr>
              <w:t>报表</w:t>
            </w:r>
            <w:r>
              <w:t>外发成功之后，将本地</w:t>
            </w:r>
            <w:r>
              <w:rPr>
                <w:rFonts w:hint="eastAsia"/>
              </w:rPr>
              <w:t>生成</w:t>
            </w:r>
            <w:r>
              <w:t>的历史报表删除，减少磁盘占用空间，如果同时配置了</w:t>
            </w:r>
            <w:r>
              <w:rPr>
                <w:rFonts w:hint="eastAsia"/>
              </w:rPr>
              <w:t>FTP和</w:t>
            </w:r>
            <w:r>
              <w:t>邮件外发，其中一个外发失败，将不会删除</w:t>
            </w:r>
            <w:r>
              <w:rPr>
                <w:rFonts w:hint="eastAsia"/>
              </w:rPr>
              <w:t>该</w:t>
            </w:r>
            <w:r>
              <w:t>报表对应生成的历史报表。</w:t>
            </w:r>
          </w:p>
        </w:tc>
      </w:tr>
      <w:tr w14:paraId="1FD9007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73" w:type="dxa"/>
            <w:shd w:val="clear" w:color="auto" w:fill="auto"/>
          </w:tcPr>
          <w:p w14:paraId="005B31B9">
            <w:pPr>
              <w:pStyle w:val="186"/>
              <w:widowControl w:val="0"/>
              <w:spacing w:line="240" w:lineRule="auto"/>
              <w:ind w:firstLine="0"/>
              <w:jc w:val="left"/>
            </w:pPr>
            <w:r>
              <w:rPr>
                <w:rFonts w:hint="eastAsia"/>
              </w:rPr>
              <w:t>外发</w:t>
            </w:r>
            <w:r>
              <w:t>邮箱</w:t>
            </w:r>
          </w:p>
        </w:tc>
        <w:tc>
          <w:tcPr>
            <w:tcW w:w="7341" w:type="dxa"/>
            <w:shd w:val="clear" w:color="auto" w:fill="auto"/>
          </w:tcPr>
          <w:p w14:paraId="458F2707">
            <w:pPr>
              <w:pStyle w:val="186"/>
              <w:widowControl w:val="0"/>
              <w:spacing w:line="240" w:lineRule="auto"/>
              <w:ind w:firstLine="0"/>
              <w:jc w:val="left"/>
            </w:pPr>
            <w:r>
              <w:rPr>
                <w:rFonts w:hint="eastAsia"/>
              </w:rPr>
              <w:t>收件邮箱</w:t>
            </w:r>
            <w:r>
              <w:t>地址</w:t>
            </w:r>
            <w:r>
              <w:rPr>
                <w:rFonts w:hint="eastAsia"/>
              </w:rPr>
              <w:t>，</w:t>
            </w:r>
            <w:r>
              <w:t>最多配置</w:t>
            </w:r>
            <w:r>
              <w:rPr>
                <w:rFonts w:hint="eastAsia"/>
              </w:rPr>
              <w:t>32个</w:t>
            </w:r>
            <w:r>
              <w:t>，多个邮箱</w:t>
            </w:r>
            <w:r>
              <w:rPr>
                <w:rFonts w:hint="eastAsia"/>
              </w:rPr>
              <w:t>用</w:t>
            </w:r>
            <w:r>
              <w:t>换行</w:t>
            </w:r>
            <w:r>
              <w:rPr>
                <w:rFonts w:hint="eastAsia"/>
              </w:rPr>
              <w:t>区分</w:t>
            </w:r>
            <w:r>
              <w:t>。</w:t>
            </w:r>
          </w:p>
        </w:tc>
      </w:tr>
      <w:tr w14:paraId="2307F33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73" w:type="dxa"/>
            <w:shd w:val="clear" w:color="auto" w:fill="auto"/>
          </w:tcPr>
          <w:p w14:paraId="62F319E3">
            <w:pPr>
              <w:pStyle w:val="186"/>
              <w:widowControl w:val="0"/>
              <w:spacing w:line="240" w:lineRule="auto"/>
              <w:ind w:firstLine="0"/>
              <w:jc w:val="left"/>
            </w:pPr>
            <w:r>
              <w:rPr>
                <w:rFonts w:hint="eastAsia"/>
              </w:rPr>
              <w:t>报表</w:t>
            </w:r>
            <w:r>
              <w:t>模板</w:t>
            </w:r>
          </w:p>
        </w:tc>
        <w:tc>
          <w:tcPr>
            <w:tcW w:w="7341" w:type="dxa"/>
            <w:shd w:val="clear" w:color="auto" w:fill="auto"/>
          </w:tcPr>
          <w:p w14:paraId="2334F8B3">
            <w:pPr>
              <w:pStyle w:val="186"/>
              <w:widowControl w:val="0"/>
              <w:spacing w:line="240" w:lineRule="auto"/>
              <w:ind w:firstLine="0"/>
              <w:jc w:val="left"/>
            </w:pPr>
            <w:r>
              <w:rPr>
                <w:rFonts w:hint="eastAsia"/>
              </w:rPr>
              <w:t>自定义</w:t>
            </w:r>
            <w:r>
              <w:t>报表模板需要根据需求选择下面的订阅项目</w:t>
            </w:r>
            <w:r>
              <w:rPr>
                <w:rFonts w:hint="eastAsia"/>
              </w:rPr>
              <w:t>；</w:t>
            </w:r>
          </w:p>
          <w:p w14:paraId="4235BFB2">
            <w:pPr>
              <w:pStyle w:val="186"/>
              <w:widowControl w:val="0"/>
              <w:spacing w:line="240" w:lineRule="auto"/>
              <w:ind w:firstLine="0"/>
              <w:jc w:val="left"/>
            </w:pPr>
            <w:r>
              <w:rPr>
                <w:rFonts w:hint="eastAsia"/>
              </w:rPr>
              <w:t>预定义</w:t>
            </w:r>
            <w:r>
              <w:t>模板，主要包括</w:t>
            </w:r>
            <w:r>
              <w:rPr>
                <w:rFonts w:hint="eastAsia"/>
              </w:rPr>
              <w:t>网络</w:t>
            </w:r>
            <w:r>
              <w:t>概况、工作效率、数据统计三大模板。</w:t>
            </w:r>
          </w:p>
        </w:tc>
      </w:tr>
    </w:tbl>
    <w:p w14:paraId="030B7ABA"/>
    <w:p w14:paraId="6A6FE5F1">
      <w:r>
        <w:rPr>
          <w:rFonts w:hint="eastAsia"/>
        </w:rPr>
        <w:t>通过</w:t>
      </w:r>
      <w:r>
        <w:t>菜单</w:t>
      </w:r>
      <w:r>
        <w:rPr>
          <w:rFonts w:hint="eastAsia"/>
        </w:rPr>
        <w:t>“数据</w:t>
      </w:r>
      <w:r>
        <w:t>中心&gt;</w:t>
      </w:r>
      <w:r>
        <w:rPr>
          <w:rFonts w:hint="eastAsia"/>
        </w:rPr>
        <w:t>统计</w:t>
      </w:r>
      <w:r>
        <w:t>报表</w:t>
      </w:r>
      <w:r>
        <w:rPr>
          <w:rFonts w:hint="eastAsia"/>
        </w:rPr>
        <w:t>&gt;历史</w:t>
      </w:r>
      <w:r>
        <w:t>报表</w:t>
      </w:r>
      <w:r>
        <w:rPr>
          <w:rFonts w:hint="eastAsia"/>
        </w:rPr>
        <w:t>”，</w:t>
      </w:r>
      <w:r>
        <w:t>进入如</w:t>
      </w:r>
      <w:r>
        <w:rPr>
          <w:color w:val="0000FF"/>
        </w:rPr>
        <w:fldChar w:fldCharType="begin"/>
      </w:r>
      <w:r>
        <w:rPr>
          <w:color w:val="0000FF"/>
        </w:rPr>
        <w:instrText xml:space="preserve"> REF _Ref4434542 \r \h </w:instrText>
      </w:r>
      <w:r>
        <w:rPr>
          <w:color w:val="0000FF"/>
        </w:rPr>
        <w:fldChar w:fldCharType="separate"/>
      </w:r>
      <w:r>
        <w:rPr>
          <w:rFonts w:hint="eastAsia"/>
          <w:color w:val="0000FF"/>
        </w:rPr>
        <w:t>图4-80</w:t>
      </w:r>
      <w:r>
        <w:rPr>
          <w:color w:val="0000FF"/>
        </w:rPr>
        <w:fldChar w:fldCharType="end"/>
      </w:r>
      <w:r>
        <w:t>所示页面，在该页面上可以</w:t>
      </w:r>
      <w:r>
        <w:rPr>
          <w:rFonts w:hint="eastAsia"/>
        </w:rPr>
        <w:t>查看</w:t>
      </w:r>
      <w:r>
        <w:t>已经生成的历史报表</w:t>
      </w:r>
      <w:r>
        <w:rPr>
          <w:rFonts w:hint="eastAsia"/>
        </w:rPr>
        <w:t>。</w:t>
      </w:r>
    </w:p>
    <w:p w14:paraId="61D54D7B">
      <w:pPr>
        <w:pStyle w:val="188"/>
      </w:pPr>
      <w:bookmarkStart w:id="920" w:name="_Toc141874529"/>
      <w:bookmarkStart w:id="921" w:name="_Ref4434542"/>
      <w:r>
        <w:rPr>
          <w:rFonts w:hint="eastAsia"/>
        </w:rPr>
        <w:t>历史</w:t>
      </w:r>
      <w:r>
        <w:t>报表</w:t>
      </w:r>
      <w:bookmarkEnd w:id="920"/>
      <w:bookmarkEnd w:id="921"/>
    </w:p>
    <w:p w14:paraId="4F0A4CFC">
      <w:pPr>
        <w:spacing w:before="79" w:after="79"/>
      </w:pPr>
      <w:r>
        <w:drawing>
          <wp:inline distT="0" distB="0" distL="0" distR="0">
            <wp:extent cx="5657850" cy="1763395"/>
            <wp:effectExtent l="0" t="0" r="0" b="8255"/>
            <wp:docPr id="3220" name="图片 3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0" name="图片 3220"/>
                    <pic:cNvPicPr>
                      <a:picLocks noChangeAspect="1"/>
                    </pic:cNvPicPr>
                  </pic:nvPicPr>
                  <pic:blipFill>
                    <a:blip r:embed="rId148"/>
                    <a:stretch>
                      <a:fillRect/>
                    </a:stretch>
                  </pic:blipFill>
                  <pic:spPr>
                    <a:xfrm>
                      <a:off x="0" y="0"/>
                      <a:ext cx="5687551" cy="1773118"/>
                    </a:xfrm>
                    <a:prstGeom prst="rect">
                      <a:avLst/>
                    </a:prstGeom>
                  </pic:spPr>
                </pic:pic>
              </a:graphicData>
            </a:graphic>
          </wp:inline>
        </w:drawing>
      </w:r>
    </w:p>
    <w:p w14:paraId="59384F90"/>
    <w:p w14:paraId="6051365B">
      <w:r>
        <w:rPr>
          <w:rFonts w:hint="eastAsia"/>
        </w:rPr>
        <w:t>历史</w:t>
      </w:r>
      <w:r>
        <w:t>报表</w:t>
      </w:r>
      <w:r>
        <w:rPr>
          <w:rFonts w:hint="eastAsia"/>
        </w:rPr>
        <w:t>参数</w:t>
      </w:r>
      <w:r>
        <w:t>详细说明如</w:t>
      </w:r>
      <w:r>
        <w:fldChar w:fldCharType="begin"/>
      </w:r>
      <w:r>
        <w:instrText xml:space="preserve"> REF _Ref4434559 \r \h </w:instrText>
      </w:r>
      <w:r>
        <w:fldChar w:fldCharType="separate"/>
      </w:r>
      <w:r>
        <w:rPr>
          <w:rFonts w:hint="eastAsia"/>
        </w:rPr>
        <w:t>表4-1</w:t>
      </w:r>
      <w:r>
        <w:fldChar w:fldCharType="end"/>
      </w:r>
      <w:r>
        <w:t>所示。</w:t>
      </w:r>
    </w:p>
    <w:p w14:paraId="269F223E">
      <w:pPr>
        <w:pStyle w:val="183"/>
      </w:pPr>
      <w:bookmarkStart w:id="922" w:name="_Toc141875465"/>
      <w:bookmarkStart w:id="923" w:name="_Ref4434559"/>
      <w:r>
        <w:rPr>
          <w:rFonts w:hint="eastAsia"/>
        </w:rPr>
        <w:t>历史</w:t>
      </w:r>
      <w:r>
        <w:t>报表详细说明</w:t>
      </w:r>
      <w:bookmarkEnd w:id="922"/>
      <w:bookmarkEnd w:id="923"/>
    </w:p>
    <w:tbl>
      <w:tblPr>
        <w:tblStyle w:val="173"/>
        <w:tblW w:w="890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815"/>
        <w:gridCol w:w="7087"/>
      </w:tblGrid>
      <w:tr w14:paraId="1B1525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15" w:type="dxa"/>
            <w:tcBorders>
              <w:tl2br w:val="nil"/>
              <w:tr2bl w:val="nil"/>
            </w:tcBorders>
            <w:shd w:val="clear" w:color="auto" w:fill="538135" w:themeFill="accent6" w:themeFillShade="BF"/>
            <w:vAlign w:val="center"/>
          </w:tcPr>
          <w:p w14:paraId="41F16E8E">
            <w:pPr>
              <w:pStyle w:val="149"/>
              <w:wordWrap/>
              <w:rPr>
                <w:b/>
                <w:bCs/>
                <w:i w:val="0"/>
                <w:iCs w:val="0"/>
              </w:rPr>
            </w:pPr>
            <w:r>
              <w:rPr>
                <w:rFonts w:hint="eastAsia"/>
                <w:b/>
                <w:bCs/>
                <w:i w:val="0"/>
                <w:iCs w:val="0"/>
              </w:rPr>
              <w:t>标题项</w:t>
            </w:r>
          </w:p>
        </w:tc>
        <w:tc>
          <w:tcPr>
            <w:tcW w:w="7087" w:type="dxa"/>
            <w:tcBorders>
              <w:tl2br w:val="nil"/>
              <w:tr2bl w:val="nil"/>
            </w:tcBorders>
            <w:shd w:val="clear" w:color="auto" w:fill="538135" w:themeFill="accent6" w:themeFillShade="BF"/>
            <w:vAlign w:val="center"/>
          </w:tcPr>
          <w:p w14:paraId="662B02BE">
            <w:pPr>
              <w:pStyle w:val="149"/>
              <w:wordWrap/>
              <w:rPr>
                <w:b/>
                <w:bCs/>
                <w:i w:val="0"/>
                <w:iCs w:val="0"/>
              </w:rPr>
            </w:pPr>
            <w:r>
              <w:rPr>
                <w:rFonts w:hint="eastAsia"/>
                <w:b/>
                <w:bCs/>
                <w:i w:val="0"/>
                <w:iCs w:val="0"/>
              </w:rPr>
              <w:t>说明</w:t>
            </w:r>
          </w:p>
        </w:tc>
      </w:tr>
      <w:tr w14:paraId="16A717D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15" w:type="dxa"/>
            <w:shd w:val="clear" w:color="auto" w:fill="auto"/>
          </w:tcPr>
          <w:p w14:paraId="155E40A3">
            <w:pPr>
              <w:pStyle w:val="186"/>
              <w:widowControl w:val="0"/>
              <w:spacing w:line="240" w:lineRule="auto"/>
              <w:ind w:firstLine="0"/>
              <w:jc w:val="left"/>
            </w:pPr>
            <w:r>
              <w:rPr>
                <w:rFonts w:hint="eastAsia"/>
              </w:rPr>
              <w:t>名称</w:t>
            </w:r>
          </w:p>
        </w:tc>
        <w:tc>
          <w:tcPr>
            <w:tcW w:w="7087" w:type="dxa"/>
            <w:shd w:val="clear" w:color="auto" w:fill="auto"/>
          </w:tcPr>
          <w:p w14:paraId="5BE260C4">
            <w:pPr>
              <w:pStyle w:val="186"/>
              <w:widowControl w:val="0"/>
              <w:spacing w:line="240" w:lineRule="auto"/>
              <w:ind w:firstLine="0"/>
              <w:jc w:val="left"/>
            </w:pPr>
            <w:r>
              <w:rPr>
                <w:rFonts w:hint="eastAsia"/>
              </w:rPr>
              <w:t>生成</w:t>
            </w:r>
            <w:r>
              <w:t>报表的名称，</w:t>
            </w:r>
            <w:r>
              <w:rPr>
                <w:rFonts w:hint="eastAsia"/>
              </w:rPr>
              <w:t>以</w:t>
            </w:r>
            <w:r>
              <w:t>创建</w:t>
            </w:r>
            <w:r>
              <w:rPr>
                <w:rFonts w:hint="eastAsia"/>
              </w:rPr>
              <w:t>报表</w:t>
            </w:r>
            <w:r>
              <w:t>任务名称+</w:t>
            </w:r>
            <w:r>
              <w:rPr>
                <w:rFonts w:hint="eastAsia"/>
              </w:rPr>
              <w:t>生成</w:t>
            </w:r>
            <w:r>
              <w:t>报表的时间组合生成</w:t>
            </w:r>
            <w:r>
              <w:rPr>
                <w:rFonts w:hint="eastAsia"/>
              </w:rPr>
              <w:t>。</w:t>
            </w:r>
          </w:p>
        </w:tc>
      </w:tr>
      <w:tr w14:paraId="1EA5B7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15" w:type="dxa"/>
            <w:shd w:val="clear" w:color="auto" w:fill="auto"/>
          </w:tcPr>
          <w:p w14:paraId="234A8EBD">
            <w:pPr>
              <w:pStyle w:val="186"/>
              <w:widowControl w:val="0"/>
              <w:spacing w:line="240" w:lineRule="auto"/>
              <w:ind w:firstLine="0"/>
              <w:jc w:val="left"/>
            </w:pPr>
            <w:r>
              <w:rPr>
                <w:rFonts w:hint="eastAsia"/>
              </w:rPr>
              <w:t>FTP外发状态</w:t>
            </w:r>
          </w:p>
        </w:tc>
        <w:tc>
          <w:tcPr>
            <w:tcW w:w="7087" w:type="dxa"/>
            <w:shd w:val="clear" w:color="auto" w:fill="auto"/>
          </w:tcPr>
          <w:p w14:paraId="7E52B742">
            <w:pPr>
              <w:pStyle w:val="186"/>
              <w:widowControl w:val="0"/>
              <w:spacing w:line="240" w:lineRule="auto"/>
              <w:ind w:firstLine="0"/>
              <w:jc w:val="left"/>
            </w:pPr>
            <w:r>
              <w:rPr>
                <w:rFonts w:hint="eastAsia"/>
              </w:rPr>
              <w:t>配置FTP外发</w:t>
            </w:r>
            <w:r>
              <w:t>，状态有发送成功，发送失败两种</w:t>
            </w:r>
            <w:r>
              <w:rPr>
                <w:rFonts w:hint="eastAsia"/>
              </w:rPr>
              <w:t>。</w:t>
            </w:r>
          </w:p>
          <w:p w14:paraId="464D4D92">
            <w:pPr>
              <w:pStyle w:val="186"/>
              <w:widowControl w:val="0"/>
              <w:spacing w:line="240" w:lineRule="auto"/>
              <w:ind w:firstLine="0"/>
              <w:jc w:val="left"/>
            </w:pPr>
            <w:r>
              <w:rPr>
                <w:rFonts w:hint="eastAsia"/>
              </w:rPr>
              <w:t>不</w:t>
            </w:r>
            <w:r>
              <w:t>配置</w:t>
            </w:r>
            <w:r>
              <w:rPr>
                <w:rFonts w:hint="eastAsia"/>
              </w:rPr>
              <w:t>FTP外发</w:t>
            </w:r>
            <w:r>
              <w:t>，</w:t>
            </w:r>
            <w:r>
              <w:rPr>
                <w:rFonts w:hint="eastAsia"/>
              </w:rPr>
              <w:t>状态</w:t>
            </w:r>
            <w:r>
              <w:t>显示为未启用</w:t>
            </w:r>
            <w:r>
              <w:rPr>
                <w:rFonts w:hint="eastAsia"/>
              </w:rPr>
              <w:t>FTP外发。</w:t>
            </w:r>
          </w:p>
        </w:tc>
      </w:tr>
      <w:tr w14:paraId="2E476F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15" w:type="dxa"/>
            <w:shd w:val="clear" w:color="auto" w:fill="auto"/>
          </w:tcPr>
          <w:p w14:paraId="568809AF">
            <w:pPr>
              <w:pStyle w:val="186"/>
              <w:widowControl w:val="0"/>
              <w:spacing w:line="240" w:lineRule="auto"/>
              <w:ind w:firstLine="0"/>
              <w:jc w:val="left"/>
            </w:pPr>
            <w:r>
              <w:rPr>
                <w:rFonts w:hint="eastAsia"/>
              </w:rPr>
              <w:t>EMAIL外发</w:t>
            </w:r>
            <w:r>
              <w:t>状态</w:t>
            </w:r>
          </w:p>
        </w:tc>
        <w:tc>
          <w:tcPr>
            <w:tcW w:w="7087" w:type="dxa"/>
            <w:shd w:val="clear" w:color="auto" w:fill="auto"/>
          </w:tcPr>
          <w:p w14:paraId="3BE867D9">
            <w:pPr>
              <w:pStyle w:val="186"/>
              <w:widowControl w:val="0"/>
              <w:spacing w:line="240" w:lineRule="auto"/>
              <w:ind w:firstLine="0"/>
              <w:jc w:val="left"/>
            </w:pPr>
            <w:r>
              <w:rPr>
                <w:rFonts w:hint="eastAsia"/>
              </w:rPr>
              <w:t>配置邮件外发</w:t>
            </w:r>
            <w:r>
              <w:t>，状态有发送成功，发送失败两种</w:t>
            </w:r>
            <w:r>
              <w:rPr>
                <w:rFonts w:hint="eastAsia"/>
              </w:rPr>
              <w:t>。</w:t>
            </w:r>
          </w:p>
          <w:p w14:paraId="5DE4D189">
            <w:pPr>
              <w:pStyle w:val="186"/>
              <w:widowControl w:val="0"/>
              <w:spacing w:line="240" w:lineRule="auto"/>
              <w:ind w:firstLine="0"/>
              <w:jc w:val="left"/>
            </w:pPr>
            <w:r>
              <w:rPr>
                <w:rFonts w:hint="eastAsia"/>
              </w:rPr>
              <w:t>不</w:t>
            </w:r>
            <w:r>
              <w:t>配置</w:t>
            </w:r>
            <w:r>
              <w:rPr>
                <w:rFonts w:hint="eastAsia"/>
              </w:rPr>
              <w:t>邮件外发</w:t>
            </w:r>
            <w:r>
              <w:t>，</w:t>
            </w:r>
            <w:r>
              <w:rPr>
                <w:rFonts w:hint="eastAsia"/>
              </w:rPr>
              <w:t>状态</w:t>
            </w:r>
            <w:r>
              <w:t>显示为未启用</w:t>
            </w:r>
            <w:r>
              <w:rPr>
                <w:rFonts w:hint="eastAsia"/>
              </w:rPr>
              <w:t>E</w:t>
            </w:r>
            <w:r>
              <w:t>mail</w:t>
            </w:r>
            <w:r>
              <w:rPr>
                <w:rFonts w:hint="eastAsia"/>
              </w:rPr>
              <w:t>外发。</w:t>
            </w:r>
          </w:p>
        </w:tc>
      </w:tr>
      <w:tr w14:paraId="38B97DD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15" w:type="dxa"/>
            <w:shd w:val="clear" w:color="auto" w:fill="auto"/>
          </w:tcPr>
          <w:p w14:paraId="05904F72">
            <w:pPr>
              <w:pStyle w:val="186"/>
              <w:widowControl w:val="0"/>
              <w:spacing w:line="240" w:lineRule="auto"/>
              <w:ind w:firstLine="0"/>
              <w:jc w:val="left"/>
            </w:pPr>
            <w:r>
              <w:rPr>
                <w:rFonts w:hint="eastAsia"/>
              </w:rPr>
              <w:t>报表类型</w:t>
            </w:r>
          </w:p>
        </w:tc>
        <w:tc>
          <w:tcPr>
            <w:tcW w:w="7087" w:type="dxa"/>
            <w:shd w:val="clear" w:color="auto" w:fill="auto"/>
          </w:tcPr>
          <w:p w14:paraId="0C447141">
            <w:pPr>
              <w:pStyle w:val="186"/>
              <w:widowControl w:val="0"/>
              <w:spacing w:line="240" w:lineRule="auto"/>
              <w:ind w:firstLine="0"/>
              <w:jc w:val="left"/>
            </w:pPr>
            <w:r>
              <w:rPr>
                <w:rFonts w:hint="eastAsia"/>
              </w:rPr>
              <w:t>报表</w:t>
            </w:r>
            <w:r>
              <w:t>类型有日报表、周报表、月报表、单次报表四种类型</w:t>
            </w:r>
            <w:r>
              <w:rPr>
                <w:rFonts w:hint="eastAsia"/>
              </w:rPr>
              <w:t>。</w:t>
            </w:r>
          </w:p>
        </w:tc>
      </w:tr>
      <w:tr w14:paraId="535EB97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15" w:type="dxa"/>
            <w:shd w:val="clear" w:color="auto" w:fill="auto"/>
          </w:tcPr>
          <w:p w14:paraId="3F1E6A6A">
            <w:pPr>
              <w:pStyle w:val="186"/>
              <w:widowControl w:val="0"/>
              <w:spacing w:line="240" w:lineRule="auto"/>
              <w:ind w:firstLine="0"/>
              <w:jc w:val="left"/>
            </w:pPr>
            <w:r>
              <w:rPr>
                <w:rFonts w:hint="eastAsia"/>
              </w:rPr>
              <w:t>时间</w:t>
            </w:r>
            <w:r>
              <w:t>对象</w:t>
            </w:r>
          </w:p>
        </w:tc>
        <w:tc>
          <w:tcPr>
            <w:tcW w:w="7087" w:type="dxa"/>
            <w:shd w:val="clear" w:color="auto" w:fill="auto"/>
          </w:tcPr>
          <w:p w14:paraId="0CE54A44">
            <w:pPr>
              <w:pStyle w:val="186"/>
              <w:widowControl w:val="0"/>
              <w:spacing w:line="240" w:lineRule="auto"/>
              <w:ind w:firstLine="0"/>
              <w:jc w:val="left"/>
            </w:pPr>
            <w:r>
              <w:rPr>
                <w:rFonts w:hint="eastAsia"/>
              </w:rPr>
              <w:t>生成</w:t>
            </w:r>
            <w:r>
              <w:t>报表</w:t>
            </w:r>
            <w:r>
              <w:rPr>
                <w:rFonts w:hint="eastAsia"/>
              </w:rPr>
              <w:t>汇聚</w:t>
            </w:r>
            <w:r>
              <w:t>数据的时间范围</w:t>
            </w:r>
            <w:r>
              <w:rPr>
                <w:rFonts w:hint="eastAsia"/>
              </w:rPr>
              <w:t>。</w:t>
            </w:r>
          </w:p>
        </w:tc>
      </w:tr>
      <w:tr w14:paraId="5117C8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15" w:type="dxa"/>
            <w:shd w:val="clear" w:color="auto" w:fill="auto"/>
          </w:tcPr>
          <w:p w14:paraId="73FCFA5E">
            <w:pPr>
              <w:pStyle w:val="186"/>
              <w:widowControl w:val="0"/>
              <w:spacing w:line="240" w:lineRule="auto"/>
              <w:ind w:firstLine="0"/>
              <w:jc w:val="left"/>
            </w:pPr>
            <w:r>
              <w:rPr>
                <w:rFonts w:hint="eastAsia"/>
              </w:rPr>
              <w:t>报表</w:t>
            </w:r>
            <w:r>
              <w:t>格式</w:t>
            </w:r>
          </w:p>
        </w:tc>
        <w:tc>
          <w:tcPr>
            <w:tcW w:w="7087" w:type="dxa"/>
            <w:shd w:val="clear" w:color="auto" w:fill="auto"/>
          </w:tcPr>
          <w:p w14:paraId="4B1DCB94">
            <w:pPr>
              <w:pStyle w:val="186"/>
              <w:widowControl w:val="0"/>
              <w:spacing w:line="240" w:lineRule="auto"/>
              <w:ind w:firstLine="0"/>
              <w:jc w:val="left"/>
            </w:pPr>
            <w:r>
              <w:rPr>
                <w:rFonts w:hint="eastAsia"/>
              </w:rPr>
              <w:t>报表</w:t>
            </w:r>
            <w:r>
              <w:t>格式支持</w:t>
            </w:r>
            <w:r>
              <w:rPr>
                <w:rFonts w:hint="eastAsia"/>
              </w:rPr>
              <w:t>HTML和PDF两种</w:t>
            </w:r>
            <w:r>
              <w:t>格式，</w:t>
            </w:r>
            <w:r>
              <w:rPr>
                <w:rFonts w:hint="eastAsia"/>
              </w:rPr>
              <w:t>1G内存</w:t>
            </w:r>
            <w:r>
              <w:t>设备只</w:t>
            </w:r>
            <w:r>
              <w:rPr>
                <w:rFonts w:hint="eastAsia"/>
              </w:rPr>
              <w:t>支持HTML格式。</w:t>
            </w:r>
          </w:p>
        </w:tc>
      </w:tr>
      <w:tr w14:paraId="368478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15" w:type="dxa"/>
            <w:shd w:val="clear" w:color="auto" w:fill="auto"/>
          </w:tcPr>
          <w:p w14:paraId="18647766">
            <w:pPr>
              <w:pStyle w:val="186"/>
              <w:widowControl w:val="0"/>
              <w:spacing w:line="240" w:lineRule="auto"/>
              <w:ind w:firstLine="0"/>
              <w:jc w:val="left"/>
            </w:pPr>
            <w:r>
              <w:rPr>
                <w:rFonts w:hint="eastAsia"/>
              </w:rPr>
              <w:t>文件大小</w:t>
            </w:r>
          </w:p>
        </w:tc>
        <w:tc>
          <w:tcPr>
            <w:tcW w:w="7087" w:type="dxa"/>
            <w:shd w:val="clear" w:color="auto" w:fill="auto"/>
          </w:tcPr>
          <w:p w14:paraId="61453162">
            <w:pPr>
              <w:pStyle w:val="186"/>
              <w:widowControl w:val="0"/>
              <w:spacing w:line="240" w:lineRule="auto"/>
              <w:ind w:firstLine="0"/>
              <w:jc w:val="left"/>
            </w:pPr>
            <w:r>
              <w:rPr>
                <w:rFonts w:hint="eastAsia"/>
              </w:rPr>
              <w:t>生成</w:t>
            </w:r>
            <w:r>
              <w:t>报表</w:t>
            </w:r>
            <w:r>
              <w:rPr>
                <w:rFonts w:hint="eastAsia"/>
              </w:rPr>
              <w:t>文件</w:t>
            </w:r>
            <w:r>
              <w:t>的大小</w:t>
            </w:r>
            <w:r>
              <w:rPr>
                <w:rFonts w:hint="eastAsia"/>
              </w:rPr>
              <w:t>，</w:t>
            </w:r>
            <w:r>
              <w:t>以字节为单位。</w:t>
            </w:r>
          </w:p>
        </w:tc>
      </w:tr>
    </w:tbl>
    <w:p w14:paraId="1316A3A0"/>
    <w:p w14:paraId="668FE0A1">
      <w:pPr>
        <w:pStyle w:val="5"/>
      </w:pPr>
      <w:bookmarkStart w:id="924" w:name="_Toc12464108"/>
      <w:bookmarkStart w:id="925" w:name="_Toc15484677"/>
      <w:bookmarkStart w:id="926" w:name="_Toc194080637"/>
      <w:bookmarkStart w:id="927" w:name="_Toc23152443"/>
      <w:bookmarkStart w:id="928" w:name="_Toc142400831"/>
      <w:bookmarkStart w:id="929" w:name="_Toc99561365"/>
      <w:bookmarkStart w:id="930" w:name="_Toc196727969"/>
      <w:bookmarkStart w:id="931" w:name="_Toc141873315"/>
      <w:bookmarkStart w:id="932" w:name="_Toc172218017"/>
      <w:bookmarkStart w:id="933" w:name="_Toc40275876"/>
      <w:r>
        <w:rPr>
          <w:rFonts w:hint="eastAsia"/>
        </w:rPr>
        <w:t>数据统计</w:t>
      </w:r>
      <w:bookmarkEnd w:id="924"/>
      <w:bookmarkEnd w:id="925"/>
      <w:bookmarkEnd w:id="926"/>
      <w:bookmarkEnd w:id="927"/>
      <w:bookmarkEnd w:id="928"/>
      <w:bookmarkEnd w:id="929"/>
      <w:bookmarkEnd w:id="930"/>
      <w:bookmarkEnd w:id="931"/>
      <w:bookmarkEnd w:id="932"/>
      <w:bookmarkEnd w:id="933"/>
    </w:p>
    <w:p w14:paraId="38A96079">
      <w:r>
        <w:rPr>
          <w:rFonts w:hint="eastAsia"/>
        </w:rPr>
        <w:t>通过菜单“数据</w:t>
      </w:r>
      <w:r>
        <w:t xml:space="preserve">中心 &gt; </w:t>
      </w:r>
      <w:r>
        <w:rPr>
          <w:rFonts w:hint="eastAsia"/>
        </w:rPr>
        <w:t>统计</w:t>
      </w:r>
      <w:r>
        <w:t xml:space="preserve">报表 &gt; </w:t>
      </w:r>
      <w:r>
        <w:rPr>
          <w:rFonts w:hint="eastAsia"/>
        </w:rPr>
        <w:t>数据</w:t>
      </w:r>
      <w:r>
        <w:t>统计</w:t>
      </w:r>
      <w:r>
        <w:rPr>
          <w:rFonts w:hint="eastAsia"/>
        </w:rPr>
        <w:t>”，进入如</w:t>
      </w:r>
      <w:r>
        <w:rPr>
          <w:color w:val="0000FF"/>
        </w:rPr>
        <w:fldChar w:fldCharType="begin"/>
      </w:r>
      <w:r>
        <w:rPr>
          <w:color w:val="0000FF"/>
        </w:rPr>
        <w:instrText xml:space="preserve"> </w:instrText>
      </w:r>
      <w:r>
        <w:rPr>
          <w:rFonts w:hint="eastAsia"/>
          <w:color w:val="0000FF"/>
        </w:rPr>
        <w:instrText xml:space="preserve">REF _Ref4434579 \r \h</w:instrText>
      </w:r>
      <w:r>
        <w:rPr>
          <w:color w:val="0000FF"/>
        </w:rPr>
        <w:instrText xml:space="preserve"> </w:instrText>
      </w:r>
      <w:r>
        <w:rPr>
          <w:color w:val="0000FF"/>
        </w:rPr>
        <w:fldChar w:fldCharType="separate"/>
      </w:r>
      <w:r>
        <w:rPr>
          <w:rFonts w:hint="eastAsia"/>
          <w:color w:val="0000FF"/>
        </w:rPr>
        <w:t>图4-81</w:t>
      </w:r>
      <w:r>
        <w:rPr>
          <w:color w:val="0000FF"/>
        </w:rPr>
        <w:fldChar w:fldCharType="end"/>
      </w:r>
      <w:r>
        <w:rPr>
          <w:rFonts w:hint="eastAsia"/>
        </w:rPr>
        <w:t>所示页面。在该页面上可以查看用户</w:t>
      </w:r>
      <w:r>
        <w:t>上网行为各项数据统计</w:t>
      </w:r>
      <w:r>
        <w:rPr>
          <w:rFonts w:hint="eastAsia"/>
        </w:rPr>
        <w:t>。该</w:t>
      </w:r>
      <w:r>
        <w:t>数据统计依赖于</w:t>
      </w:r>
      <w:r>
        <w:rPr>
          <w:rFonts w:hint="eastAsia"/>
        </w:rPr>
        <w:t>审计策略，</w:t>
      </w:r>
      <w:r>
        <w:t>主要由</w:t>
      </w:r>
      <w:r>
        <w:rPr>
          <w:rFonts w:hint="eastAsia"/>
        </w:rPr>
        <w:t>内网</w:t>
      </w:r>
      <w:r>
        <w:t>用户访问外网时上网行为的统计数据汇聚而成。</w:t>
      </w:r>
    </w:p>
    <w:p w14:paraId="54E6CF95">
      <w:pPr>
        <w:pStyle w:val="188"/>
      </w:pPr>
      <w:bookmarkStart w:id="934" w:name="_Ref4434579"/>
      <w:bookmarkStart w:id="935" w:name="_Toc141874530"/>
      <w:r>
        <w:rPr>
          <w:rFonts w:hint="eastAsia"/>
        </w:rPr>
        <w:t>数据</w:t>
      </w:r>
      <w:r>
        <w:t>统计</w:t>
      </w:r>
      <w:bookmarkEnd w:id="934"/>
      <w:bookmarkEnd w:id="935"/>
    </w:p>
    <w:p w14:paraId="35B667DD">
      <w:pPr>
        <w:spacing w:before="79" w:after="79"/>
      </w:pPr>
      <w:r>
        <w:drawing>
          <wp:inline distT="0" distB="0" distL="0" distR="0">
            <wp:extent cx="5724525" cy="3401060"/>
            <wp:effectExtent l="0" t="0" r="0" b="8890"/>
            <wp:docPr id="3221" name="图片 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1" name="图片 3221"/>
                    <pic:cNvPicPr>
                      <a:picLocks noChangeAspect="1"/>
                    </pic:cNvPicPr>
                  </pic:nvPicPr>
                  <pic:blipFill>
                    <a:blip r:embed="rId149"/>
                    <a:stretch>
                      <a:fillRect/>
                    </a:stretch>
                  </pic:blipFill>
                  <pic:spPr>
                    <a:xfrm>
                      <a:off x="0" y="0"/>
                      <a:ext cx="5735710" cy="3407864"/>
                    </a:xfrm>
                    <a:prstGeom prst="rect">
                      <a:avLst/>
                    </a:prstGeom>
                  </pic:spPr>
                </pic:pic>
              </a:graphicData>
            </a:graphic>
          </wp:inline>
        </w:drawing>
      </w:r>
    </w:p>
    <w:p w14:paraId="31BB4FDE"/>
    <w:p w14:paraId="79F3D588">
      <w:r>
        <w:rPr>
          <w:rFonts w:hint="eastAsia"/>
        </w:rPr>
        <w:t>数据</w:t>
      </w:r>
      <w:r>
        <w:t>统计以</w:t>
      </w:r>
      <w:r>
        <w:rPr>
          <w:rFonts w:hint="eastAsia"/>
        </w:rPr>
        <w:t>上网</w:t>
      </w:r>
      <w:r>
        <w:t>行为维度和用户维度分别进行</w:t>
      </w:r>
      <w:r>
        <w:rPr>
          <w:rFonts w:hint="eastAsia"/>
        </w:rPr>
        <w:t>统计</w:t>
      </w:r>
      <w:r>
        <w:t>数据</w:t>
      </w:r>
      <w:r>
        <w:rPr>
          <w:rFonts w:hint="eastAsia"/>
        </w:rPr>
        <w:t>，以</w:t>
      </w:r>
      <w:r>
        <w:t>上网行为维度统计数据通过柱状图显示，</w:t>
      </w:r>
      <w:r>
        <w:rPr>
          <w:rFonts w:hint="eastAsia"/>
        </w:rPr>
        <w:t>以</w:t>
      </w:r>
      <w:r>
        <w:t>用户维度统计数据通过列表方式显示。</w:t>
      </w:r>
    </w:p>
    <w:p w14:paraId="1A53B31A">
      <w:pPr>
        <w:pStyle w:val="5"/>
      </w:pPr>
      <w:bookmarkStart w:id="936" w:name="_Toc12464109"/>
      <w:bookmarkStart w:id="937" w:name="_Toc15484678"/>
      <w:bookmarkStart w:id="938" w:name="_Toc99561366"/>
      <w:bookmarkStart w:id="939" w:name="_Toc194080638"/>
      <w:bookmarkStart w:id="940" w:name="_Toc196727970"/>
      <w:bookmarkStart w:id="941" w:name="_Toc172218018"/>
      <w:bookmarkStart w:id="942" w:name="_Toc40275877"/>
      <w:bookmarkStart w:id="943" w:name="_Toc142400832"/>
      <w:bookmarkStart w:id="944" w:name="_Toc23152444"/>
      <w:bookmarkStart w:id="945" w:name="_Toc141873316"/>
      <w:r>
        <w:rPr>
          <w:rFonts w:hint="eastAsia"/>
        </w:rPr>
        <w:t>配置</w:t>
      </w:r>
      <w:r>
        <w:t>管理</w:t>
      </w:r>
      <w:bookmarkEnd w:id="936"/>
      <w:bookmarkEnd w:id="937"/>
      <w:bookmarkEnd w:id="938"/>
      <w:bookmarkEnd w:id="939"/>
      <w:bookmarkEnd w:id="940"/>
      <w:bookmarkEnd w:id="941"/>
      <w:bookmarkEnd w:id="942"/>
      <w:bookmarkEnd w:id="943"/>
      <w:bookmarkEnd w:id="944"/>
      <w:bookmarkEnd w:id="945"/>
    </w:p>
    <w:p w14:paraId="180AA71E">
      <w:pPr>
        <w:pStyle w:val="6"/>
      </w:pPr>
      <w:bookmarkStart w:id="946" w:name="_Toc172218019"/>
      <w:bookmarkStart w:id="947" w:name="_Toc142400833"/>
      <w:bookmarkStart w:id="948" w:name="_Toc99561367"/>
      <w:bookmarkStart w:id="949" w:name="_Toc141873317"/>
      <w:r>
        <w:t>报表配置</w:t>
      </w:r>
      <w:bookmarkEnd w:id="946"/>
      <w:bookmarkEnd w:id="947"/>
      <w:bookmarkEnd w:id="948"/>
      <w:bookmarkEnd w:id="949"/>
    </w:p>
    <w:p w14:paraId="6BB9E5FD">
      <w:r>
        <w:rPr>
          <w:rFonts w:hint="eastAsia"/>
        </w:rPr>
        <w:t>通过菜单“数据</w:t>
      </w:r>
      <w:r>
        <w:t xml:space="preserve">中心 &gt; </w:t>
      </w:r>
      <w:r>
        <w:rPr>
          <w:rFonts w:hint="eastAsia"/>
        </w:rPr>
        <w:t>统计</w:t>
      </w:r>
      <w:r>
        <w:t xml:space="preserve">报表 &gt; </w:t>
      </w:r>
      <w:r>
        <w:rPr>
          <w:rFonts w:hint="eastAsia"/>
        </w:rPr>
        <w:t>配置</w:t>
      </w:r>
      <w:r>
        <w:t>管理</w:t>
      </w:r>
      <w:r>
        <w:rPr>
          <w:rFonts w:hint="eastAsia"/>
        </w:rPr>
        <w:t>”，进入如</w:t>
      </w:r>
      <w:r>
        <w:rPr>
          <w:color w:val="0000FF"/>
          <w:u w:val="single"/>
        </w:rPr>
        <w:fldChar w:fldCharType="begin"/>
      </w:r>
      <w:r>
        <w:rPr>
          <w:color w:val="0000FF"/>
        </w:rPr>
        <w:instrText xml:space="preserve"> </w:instrText>
      </w:r>
      <w:r>
        <w:rPr>
          <w:rFonts w:hint="eastAsia"/>
          <w:color w:val="0000FF"/>
        </w:rPr>
        <w:instrText xml:space="preserve">REF _Ref4434598 \r \h</w:instrText>
      </w:r>
      <w:r>
        <w:rPr>
          <w:color w:val="0000FF"/>
        </w:rPr>
        <w:instrText xml:space="preserve"> </w:instrText>
      </w:r>
      <w:r>
        <w:rPr>
          <w:color w:val="0000FF"/>
          <w:u w:val="single"/>
        </w:rPr>
        <w:fldChar w:fldCharType="separate"/>
      </w:r>
      <w:r>
        <w:rPr>
          <w:rFonts w:hint="eastAsia"/>
          <w:color w:val="0000FF"/>
        </w:rPr>
        <w:t>图4-82</w:t>
      </w:r>
      <w:r>
        <w:rPr>
          <w:color w:val="0000FF"/>
          <w:u w:val="single"/>
        </w:rPr>
        <w:fldChar w:fldCharType="end"/>
      </w:r>
      <w:r>
        <w:rPr>
          <w:rFonts w:hint="eastAsia"/>
        </w:rPr>
        <w:t>所示页面。在该页面上配置</w:t>
      </w:r>
      <w:r>
        <w:t>磁盘</w:t>
      </w:r>
      <w:r>
        <w:rPr>
          <w:rFonts w:hint="eastAsia"/>
        </w:rPr>
        <w:t>管理</w:t>
      </w:r>
      <w:r>
        <w:t>和报表管理相关参数</w:t>
      </w:r>
      <w:r>
        <w:rPr>
          <w:rFonts w:hint="eastAsia"/>
        </w:rPr>
        <w:t>项。</w:t>
      </w:r>
    </w:p>
    <w:p w14:paraId="55B90EAC">
      <w:pPr>
        <w:pStyle w:val="188"/>
      </w:pPr>
      <w:bookmarkStart w:id="950" w:name="_Toc141874531"/>
      <w:bookmarkStart w:id="951" w:name="_Ref4434598"/>
      <w:r>
        <w:rPr>
          <w:rFonts w:hint="eastAsia"/>
        </w:rPr>
        <w:t>报表</w:t>
      </w:r>
      <w:r>
        <w:t>配置管理页面</w:t>
      </w:r>
      <w:bookmarkEnd w:id="950"/>
      <w:bookmarkEnd w:id="951"/>
    </w:p>
    <w:p w14:paraId="3774CEC0">
      <w:pPr>
        <w:spacing w:before="79" w:after="79"/>
      </w:pPr>
      <w:r>
        <w:drawing>
          <wp:inline distT="0" distB="0" distL="0" distR="0">
            <wp:extent cx="4886325" cy="3990975"/>
            <wp:effectExtent l="0" t="0" r="0" b="9525"/>
            <wp:docPr id="3222" name="图片 3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2" name="图片 3222"/>
                    <pic:cNvPicPr>
                      <a:picLocks noChangeAspect="1"/>
                    </pic:cNvPicPr>
                  </pic:nvPicPr>
                  <pic:blipFill>
                    <a:blip r:embed="rId150"/>
                    <a:stretch>
                      <a:fillRect/>
                    </a:stretch>
                  </pic:blipFill>
                  <pic:spPr>
                    <a:xfrm>
                      <a:off x="0" y="0"/>
                      <a:ext cx="4898635" cy="4001644"/>
                    </a:xfrm>
                    <a:prstGeom prst="rect">
                      <a:avLst/>
                    </a:prstGeom>
                  </pic:spPr>
                </pic:pic>
              </a:graphicData>
            </a:graphic>
          </wp:inline>
        </w:drawing>
      </w:r>
    </w:p>
    <w:p w14:paraId="172C75AB"/>
    <w:p w14:paraId="1FAAD366">
      <w:r>
        <w:rPr>
          <w:rFonts w:hint="eastAsia"/>
        </w:rPr>
        <w:t>报表配置</w:t>
      </w:r>
      <w:r>
        <w:t>管理页面详细参数说明如</w:t>
      </w:r>
      <w:r>
        <w:fldChar w:fldCharType="begin"/>
      </w:r>
      <w:r>
        <w:instrText xml:space="preserve"> REF _Ref4434616 \r \h </w:instrText>
      </w:r>
      <w:r>
        <w:fldChar w:fldCharType="separate"/>
      </w:r>
      <w:r>
        <w:rPr>
          <w:rFonts w:hint="eastAsia"/>
        </w:rPr>
        <w:t>表4-1</w:t>
      </w:r>
      <w:r>
        <w:fldChar w:fldCharType="end"/>
      </w:r>
      <w:r>
        <w:t>所示。</w:t>
      </w:r>
    </w:p>
    <w:p w14:paraId="777CC552">
      <w:pPr>
        <w:pStyle w:val="183"/>
      </w:pPr>
      <w:bookmarkStart w:id="952" w:name="_Ref4434616"/>
      <w:bookmarkStart w:id="953" w:name="_Toc141875466"/>
      <w:r>
        <w:rPr>
          <w:rFonts w:hint="eastAsia"/>
        </w:rPr>
        <w:t>报表</w:t>
      </w:r>
      <w:r>
        <w:t>配置管理页面</w:t>
      </w:r>
      <w:r>
        <w:rPr>
          <w:rFonts w:hint="eastAsia"/>
        </w:rPr>
        <w:t>详细</w:t>
      </w:r>
      <w:r>
        <w:t>说明</w:t>
      </w:r>
      <w:bookmarkEnd w:id="952"/>
      <w:bookmarkEnd w:id="953"/>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957"/>
        <w:gridCol w:w="7057"/>
      </w:tblGrid>
      <w:tr w14:paraId="03EAD8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57" w:type="dxa"/>
            <w:tcBorders>
              <w:tl2br w:val="nil"/>
              <w:tr2bl w:val="nil"/>
            </w:tcBorders>
            <w:shd w:val="clear" w:color="auto" w:fill="538135" w:themeFill="accent6" w:themeFillShade="BF"/>
            <w:vAlign w:val="center"/>
          </w:tcPr>
          <w:p w14:paraId="08AACFC1">
            <w:pPr>
              <w:pStyle w:val="149"/>
              <w:wordWrap/>
              <w:rPr>
                <w:b/>
                <w:bCs/>
                <w:i w:val="0"/>
                <w:iCs w:val="0"/>
              </w:rPr>
            </w:pPr>
            <w:r>
              <w:rPr>
                <w:rFonts w:hint="eastAsia"/>
                <w:b/>
                <w:bCs/>
                <w:i w:val="0"/>
                <w:iCs w:val="0"/>
              </w:rPr>
              <w:t>标题项</w:t>
            </w:r>
          </w:p>
        </w:tc>
        <w:tc>
          <w:tcPr>
            <w:tcW w:w="7057" w:type="dxa"/>
            <w:tcBorders>
              <w:tl2br w:val="nil"/>
              <w:tr2bl w:val="nil"/>
            </w:tcBorders>
            <w:shd w:val="clear" w:color="auto" w:fill="538135" w:themeFill="accent6" w:themeFillShade="BF"/>
            <w:vAlign w:val="center"/>
          </w:tcPr>
          <w:p w14:paraId="1BF0E76C">
            <w:pPr>
              <w:pStyle w:val="149"/>
              <w:wordWrap/>
              <w:rPr>
                <w:b/>
                <w:bCs/>
                <w:i w:val="0"/>
                <w:iCs w:val="0"/>
              </w:rPr>
            </w:pPr>
            <w:r>
              <w:rPr>
                <w:rFonts w:hint="eastAsia"/>
                <w:b/>
                <w:bCs/>
                <w:i w:val="0"/>
                <w:iCs w:val="0"/>
              </w:rPr>
              <w:t>说明</w:t>
            </w:r>
          </w:p>
        </w:tc>
      </w:tr>
      <w:tr w14:paraId="4DB4DD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57" w:type="dxa"/>
            <w:shd w:val="clear" w:color="auto" w:fill="auto"/>
          </w:tcPr>
          <w:p w14:paraId="63835E09">
            <w:pPr>
              <w:pStyle w:val="186"/>
              <w:widowControl w:val="0"/>
              <w:spacing w:line="240" w:lineRule="auto"/>
              <w:ind w:firstLine="0"/>
              <w:jc w:val="left"/>
            </w:pPr>
            <w:r>
              <w:rPr>
                <w:rFonts w:hint="eastAsia"/>
              </w:rPr>
              <w:t>数据采集</w:t>
            </w:r>
          </w:p>
        </w:tc>
        <w:tc>
          <w:tcPr>
            <w:tcW w:w="7057" w:type="dxa"/>
            <w:shd w:val="clear" w:color="auto" w:fill="auto"/>
          </w:tcPr>
          <w:p w14:paraId="41BB68EB">
            <w:pPr>
              <w:pStyle w:val="186"/>
              <w:widowControl w:val="0"/>
              <w:spacing w:line="240" w:lineRule="auto"/>
              <w:ind w:firstLine="0"/>
              <w:jc w:val="left"/>
            </w:pPr>
            <w:r>
              <w:rPr>
                <w:rFonts w:hint="eastAsia"/>
              </w:rPr>
              <w:t>数据统计功能的开关，默认关闭</w:t>
            </w:r>
          </w:p>
        </w:tc>
      </w:tr>
      <w:tr w14:paraId="7333D56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57" w:type="dxa"/>
            <w:shd w:val="clear" w:color="auto" w:fill="auto"/>
          </w:tcPr>
          <w:p w14:paraId="2EA476CA">
            <w:pPr>
              <w:pStyle w:val="186"/>
              <w:widowControl w:val="0"/>
              <w:spacing w:line="240" w:lineRule="auto"/>
              <w:ind w:firstLine="0"/>
              <w:jc w:val="left"/>
            </w:pPr>
            <w:r>
              <w:rPr>
                <w:rFonts w:hint="eastAsia"/>
              </w:rPr>
              <w:t>报表空间</w:t>
            </w:r>
          </w:p>
        </w:tc>
        <w:tc>
          <w:tcPr>
            <w:tcW w:w="7057" w:type="dxa"/>
            <w:shd w:val="clear" w:color="auto" w:fill="auto"/>
          </w:tcPr>
          <w:p w14:paraId="766DF3ED">
            <w:pPr>
              <w:pStyle w:val="186"/>
              <w:widowControl w:val="0"/>
              <w:spacing w:line="240" w:lineRule="auto"/>
              <w:ind w:firstLine="0"/>
              <w:jc w:val="left"/>
            </w:pPr>
            <w:r>
              <w:rPr>
                <w:rFonts w:hint="eastAsia"/>
              </w:rPr>
              <w:t>报表</w:t>
            </w:r>
            <w:r>
              <w:t>模块所使用的磁盘空间大小</w:t>
            </w:r>
            <w:r>
              <w:rPr>
                <w:rFonts w:hint="eastAsia"/>
              </w:rPr>
              <w:t>，</w:t>
            </w:r>
            <w:r>
              <w:t>推荐不超过磁盘空间的</w:t>
            </w:r>
            <w:r>
              <w:rPr>
                <w:rFonts w:hint="eastAsia"/>
              </w:rPr>
              <w:t>15</w:t>
            </w:r>
            <w:r>
              <w:t>%</w:t>
            </w:r>
            <w:r>
              <w:rPr>
                <w:rFonts w:hint="eastAsia"/>
              </w:rPr>
              <w:t>。</w:t>
            </w:r>
          </w:p>
        </w:tc>
      </w:tr>
      <w:tr w14:paraId="53495B2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57" w:type="dxa"/>
            <w:shd w:val="clear" w:color="auto" w:fill="auto"/>
          </w:tcPr>
          <w:p w14:paraId="268F2956">
            <w:pPr>
              <w:pStyle w:val="186"/>
              <w:widowControl w:val="0"/>
              <w:spacing w:line="240" w:lineRule="auto"/>
              <w:ind w:firstLine="0"/>
              <w:jc w:val="left"/>
            </w:pPr>
            <w:r>
              <w:rPr>
                <w:rFonts w:hint="eastAsia"/>
              </w:rPr>
              <w:t>报表归档</w:t>
            </w:r>
          </w:p>
        </w:tc>
        <w:tc>
          <w:tcPr>
            <w:tcW w:w="7057" w:type="dxa"/>
            <w:shd w:val="clear" w:color="auto" w:fill="auto"/>
          </w:tcPr>
          <w:p w14:paraId="5D319C63">
            <w:pPr>
              <w:pStyle w:val="186"/>
              <w:widowControl w:val="0"/>
              <w:spacing w:line="240" w:lineRule="auto"/>
              <w:ind w:firstLine="0"/>
              <w:jc w:val="left"/>
            </w:pPr>
            <w:r>
              <w:rPr>
                <w:rFonts w:hint="eastAsia"/>
              </w:rPr>
              <w:t>报表</w:t>
            </w:r>
            <w:r>
              <w:t>阈值大小，当报表</w:t>
            </w:r>
            <w:r>
              <w:rPr>
                <w:rFonts w:hint="eastAsia"/>
              </w:rPr>
              <w:t>文件总体</w:t>
            </w:r>
            <w:r>
              <w:t>大小达到</w:t>
            </w:r>
            <w:r>
              <w:rPr>
                <w:rFonts w:hint="eastAsia"/>
              </w:rPr>
              <w:t>报表</w:t>
            </w:r>
            <w:r>
              <w:t>空间</w:t>
            </w:r>
            <w:r>
              <w:rPr>
                <w:rFonts w:hint="eastAsia"/>
              </w:rPr>
              <w:t>设置</w:t>
            </w:r>
            <w:r>
              <w:t>大小的归档百分比之后，将会删除最开始</w:t>
            </w:r>
            <w:r>
              <w:rPr>
                <w:rFonts w:hint="eastAsia"/>
              </w:rPr>
              <w:t>生成</w:t>
            </w:r>
            <w:r>
              <w:t>的</w:t>
            </w:r>
            <w:r>
              <w:rPr>
                <w:rFonts w:hint="eastAsia"/>
              </w:rPr>
              <w:t>历史</w:t>
            </w:r>
            <w:r>
              <w:t>报表文件，</w:t>
            </w:r>
            <w:r>
              <w:rPr>
                <w:rFonts w:hint="eastAsia"/>
              </w:rPr>
              <w:t>删除</w:t>
            </w:r>
            <w:r>
              <w:t>报表文件数减少到</w:t>
            </w:r>
            <w:r>
              <w:rPr>
                <w:rFonts w:hint="eastAsia"/>
              </w:rPr>
              <w:t>小于</w:t>
            </w:r>
            <w:r>
              <w:t>归档值之后不再删除</w:t>
            </w:r>
            <w:r>
              <w:rPr>
                <w:rFonts w:hint="eastAsia"/>
              </w:rPr>
              <w:t>。</w:t>
            </w:r>
          </w:p>
        </w:tc>
      </w:tr>
      <w:tr w14:paraId="7B7024C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57" w:type="dxa"/>
            <w:shd w:val="clear" w:color="auto" w:fill="auto"/>
          </w:tcPr>
          <w:p w14:paraId="4039E0AC">
            <w:pPr>
              <w:pStyle w:val="186"/>
              <w:widowControl w:val="0"/>
              <w:spacing w:line="240" w:lineRule="auto"/>
              <w:ind w:firstLine="0"/>
              <w:jc w:val="left"/>
            </w:pPr>
            <w:r>
              <w:rPr>
                <w:rFonts w:hint="eastAsia"/>
              </w:rPr>
              <w:t>报表排名</w:t>
            </w:r>
            <w:r>
              <w:t>用户数</w:t>
            </w:r>
          </w:p>
        </w:tc>
        <w:tc>
          <w:tcPr>
            <w:tcW w:w="7057" w:type="dxa"/>
            <w:shd w:val="clear" w:color="auto" w:fill="auto"/>
          </w:tcPr>
          <w:p w14:paraId="076CFE9B">
            <w:pPr>
              <w:pStyle w:val="186"/>
              <w:widowControl w:val="0"/>
              <w:spacing w:line="240" w:lineRule="auto"/>
              <w:ind w:firstLine="0"/>
              <w:jc w:val="left"/>
            </w:pPr>
            <w:r>
              <w:rPr>
                <w:rFonts w:hint="eastAsia"/>
              </w:rPr>
              <w:t>报表</w:t>
            </w:r>
            <w:r>
              <w:t>任务中对用户数排名默认</w:t>
            </w:r>
            <w:r>
              <w:rPr>
                <w:rFonts w:hint="eastAsia"/>
              </w:rPr>
              <w:t>统计TOP50的</w:t>
            </w:r>
            <w:r>
              <w:t>用户数据</w:t>
            </w:r>
            <w:r>
              <w:rPr>
                <w:rFonts w:hint="eastAsia"/>
              </w:rPr>
              <w:t>，</w:t>
            </w:r>
            <w:r>
              <w:t>根据需求修改，最大配置</w:t>
            </w:r>
            <w:r>
              <w:rPr>
                <w:rFonts w:hint="eastAsia"/>
              </w:rPr>
              <w:t>300。</w:t>
            </w:r>
          </w:p>
        </w:tc>
      </w:tr>
      <w:tr w14:paraId="6EE55DB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57" w:type="dxa"/>
            <w:shd w:val="clear" w:color="auto" w:fill="auto"/>
          </w:tcPr>
          <w:p w14:paraId="1840918F">
            <w:pPr>
              <w:pStyle w:val="186"/>
              <w:widowControl w:val="0"/>
              <w:spacing w:line="240" w:lineRule="auto"/>
              <w:ind w:firstLine="0"/>
              <w:jc w:val="left"/>
            </w:pPr>
            <w:r>
              <w:rPr>
                <w:rFonts w:hint="eastAsia"/>
              </w:rPr>
              <w:t>周起始日</w:t>
            </w:r>
          </w:p>
        </w:tc>
        <w:tc>
          <w:tcPr>
            <w:tcW w:w="7057" w:type="dxa"/>
            <w:shd w:val="clear" w:color="auto" w:fill="auto"/>
          </w:tcPr>
          <w:p w14:paraId="001CE0B6">
            <w:pPr>
              <w:pStyle w:val="186"/>
              <w:widowControl w:val="0"/>
              <w:spacing w:line="240" w:lineRule="auto"/>
              <w:ind w:firstLine="0"/>
              <w:jc w:val="left"/>
            </w:pPr>
            <w:r>
              <w:rPr>
                <w:rFonts w:hint="eastAsia"/>
              </w:rPr>
              <w:t>此项仅</w:t>
            </w:r>
            <w:r>
              <w:t>对周报表任务有效，周起始日默认</w:t>
            </w:r>
            <w:r>
              <w:rPr>
                <w:rFonts w:hint="eastAsia"/>
              </w:rPr>
              <w:t>以</w:t>
            </w:r>
            <w:r>
              <w:t>周日开始</w:t>
            </w:r>
            <w:r>
              <w:rPr>
                <w:rFonts w:hint="eastAsia"/>
              </w:rPr>
              <w:t>。</w:t>
            </w:r>
          </w:p>
        </w:tc>
      </w:tr>
    </w:tbl>
    <w:p w14:paraId="704906C7"/>
    <w:p w14:paraId="3C95EBAA">
      <w:pPr>
        <w:pStyle w:val="6"/>
      </w:pPr>
      <w:bookmarkStart w:id="954" w:name="_Toc99561368"/>
      <w:bookmarkStart w:id="955" w:name="_Toc38264391"/>
      <w:bookmarkStart w:id="956" w:name="_Toc141873318"/>
      <w:bookmarkStart w:id="957" w:name="_ZH-CN_TOPIC_0237988356-chtext"/>
      <w:bookmarkStart w:id="958" w:name="_Toc172218020"/>
      <w:bookmarkStart w:id="959" w:name="_Toc142400834"/>
      <w:r>
        <w:t>IPS业务系统管理</w:t>
      </w:r>
      <w:bookmarkEnd w:id="954"/>
      <w:bookmarkEnd w:id="955"/>
      <w:bookmarkEnd w:id="956"/>
      <w:bookmarkEnd w:id="957"/>
      <w:bookmarkEnd w:id="958"/>
      <w:bookmarkEnd w:id="959"/>
    </w:p>
    <w:p w14:paraId="5E7EBDD6">
      <w:pPr>
        <w:pStyle w:val="202"/>
      </w:pPr>
      <w:r>
        <w:t>简介</w:t>
      </w:r>
    </w:p>
    <w:p w14:paraId="3F4595DB">
      <w:r>
        <w:t>系统可以根据配置的业务系统和内容生成IPS网络安全分析报表，通过对业务和用户的受攻击、威胁情况进行统计分析，为用户提供详细、多维度的安全分析统计报告。报表内容包括威胁分布、攻击趋势、攻击源TOP、攻击目的TOP、日志级别分布、IPS事件TOP、攻击协议分布。</w:t>
      </w:r>
    </w:p>
    <w:p w14:paraId="6B92C79A">
      <w:r>
        <w:t>针对业务系统的安全分析就是对发生在该业务系统的网络范围内的攻击进行统计分析，输出报表。IPS业务系统管理用于配置网络中业务系统和IP的对应关系，可以对内网区域进行标识和逻辑划分，针对每个业务系统输出报表，内容包括排名、业务系统、攻击次数、占比等。</w:t>
      </w:r>
    </w:p>
    <w:p w14:paraId="79003F00">
      <w:r>
        <w:t>一个业务系统可以是一个或者多个IP网段，同一个报表任务中的不同业务系统IP不可冲突。</w:t>
      </w:r>
    </w:p>
    <w:p w14:paraId="197DDE1C">
      <w:pPr>
        <w:pStyle w:val="202"/>
      </w:pPr>
      <w:r>
        <w:rPr>
          <w:rFonts w:hint="eastAsia"/>
        </w:rPr>
        <w:t>IPS业务系统管理</w:t>
      </w:r>
    </w:p>
    <w:p w14:paraId="0CBE9C6F">
      <w:r>
        <w:t>通过菜单“数据中心 &gt; 统计报表 &gt; 配置管理 &gt; IPS业务系统管理”，即可进入IPS业务系统管理配置界面，配置IPS业务系统信息，如</w:t>
      </w:r>
      <w:r>
        <w:fldChar w:fldCharType="begin"/>
      </w:r>
      <w:r>
        <w:instrText xml:space="preserve">REF _ref34562107 \r \h</w:instrText>
      </w:r>
      <w:r>
        <w:fldChar w:fldCharType="separate"/>
      </w:r>
      <w:r>
        <w:rPr>
          <w:rFonts w:hint="eastAsia"/>
        </w:rPr>
        <w:t>图4-83</w:t>
      </w:r>
      <w:r>
        <w:fldChar w:fldCharType="end"/>
      </w:r>
      <w:r>
        <w:t>所示。</w:t>
      </w:r>
    </w:p>
    <w:p w14:paraId="07841403"/>
    <w:p w14:paraId="710067B7">
      <w:pPr>
        <w:pStyle w:val="188"/>
      </w:pPr>
      <w:bookmarkStart w:id="960" w:name="_ref34562107"/>
      <w:bookmarkEnd w:id="960"/>
      <w:bookmarkStart w:id="961" w:name="_Toc141874532"/>
      <w:r>
        <w:t>IPS业务系统管理页面</w:t>
      </w:r>
      <w:bookmarkEnd w:id="961"/>
    </w:p>
    <w:p w14:paraId="3797D343">
      <w:r>
        <w:drawing>
          <wp:inline distT="0" distB="0" distL="0" distR="0">
            <wp:extent cx="5400040" cy="812165"/>
            <wp:effectExtent l="0" t="0" r="0" b="6985"/>
            <wp:docPr id="3071" name="图片 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1" name="图片 3071"/>
                    <pic:cNvPicPr>
                      <a:picLocks noChangeAspect="1"/>
                    </pic:cNvPicPr>
                  </pic:nvPicPr>
                  <pic:blipFill>
                    <a:blip r:embed="rId151"/>
                    <a:stretch>
                      <a:fillRect/>
                    </a:stretch>
                  </pic:blipFill>
                  <pic:spPr>
                    <a:xfrm>
                      <a:off x="0" y="0"/>
                      <a:ext cx="5400040" cy="812165"/>
                    </a:xfrm>
                    <a:prstGeom prst="rect">
                      <a:avLst/>
                    </a:prstGeom>
                  </pic:spPr>
                </pic:pic>
              </a:graphicData>
            </a:graphic>
          </wp:inline>
        </w:drawing>
      </w:r>
    </w:p>
    <w:p w14:paraId="56908DE0"/>
    <w:p w14:paraId="029FB0BB">
      <w:r>
        <w:t>IPS业务系统管理参数说明如</w:t>
      </w:r>
      <w:r>
        <w:fldChar w:fldCharType="begin"/>
      </w:r>
      <w:r>
        <w:instrText xml:space="preserve">REF _table42463071 \r \h</w:instrText>
      </w:r>
      <w:r>
        <w:fldChar w:fldCharType="separate"/>
      </w:r>
      <w:r>
        <w:rPr>
          <w:rFonts w:hint="eastAsia"/>
        </w:rPr>
        <w:t>表4-1</w:t>
      </w:r>
      <w:r>
        <w:fldChar w:fldCharType="end"/>
      </w:r>
      <w:r>
        <w:t>所示。</w:t>
      </w:r>
    </w:p>
    <w:p w14:paraId="434BAE0E">
      <w:pPr>
        <w:pStyle w:val="183"/>
      </w:pPr>
      <w:bookmarkStart w:id="962" w:name="_table42463071"/>
      <w:bookmarkEnd w:id="962"/>
      <w:bookmarkStart w:id="963" w:name="_Toc141875467"/>
      <w:r>
        <w:t>IPS业务系统管理参数说明</w:t>
      </w:r>
      <w:bookmarkEnd w:id="963"/>
    </w:p>
    <w:tbl>
      <w:tblPr>
        <w:tblStyle w:val="173"/>
        <w:tblW w:w="793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669"/>
        <w:gridCol w:w="6269"/>
      </w:tblGrid>
      <w:tr w14:paraId="207A77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51" w:type="pct"/>
            <w:tcBorders>
              <w:tl2br w:val="nil"/>
              <w:tr2bl w:val="nil"/>
            </w:tcBorders>
            <w:shd w:val="clear" w:color="auto" w:fill="538135" w:themeFill="accent6" w:themeFillShade="BF"/>
            <w:vAlign w:val="center"/>
          </w:tcPr>
          <w:p w14:paraId="49612ACD">
            <w:pPr>
              <w:pStyle w:val="149"/>
              <w:wordWrap/>
              <w:rPr>
                <w:b/>
                <w:bCs/>
                <w:i w:val="0"/>
                <w:iCs w:val="0"/>
              </w:rPr>
            </w:pPr>
            <w:r>
              <w:rPr>
                <w:b/>
                <w:bCs/>
                <w:i w:val="0"/>
                <w:iCs w:val="0"/>
              </w:rPr>
              <w:t>参数</w:t>
            </w:r>
          </w:p>
        </w:tc>
        <w:tc>
          <w:tcPr>
            <w:tcW w:w="3949" w:type="pct"/>
            <w:tcBorders>
              <w:tl2br w:val="nil"/>
              <w:tr2bl w:val="nil"/>
            </w:tcBorders>
            <w:shd w:val="clear" w:color="auto" w:fill="538135" w:themeFill="accent6" w:themeFillShade="BF"/>
            <w:vAlign w:val="center"/>
          </w:tcPr>
          <w:p w14:paraId="2FB3D18A">
            <w:pPr>
              <w:pStyle w:val="149"/>
              <w:wordWrap/>
              <w:rPr>
                <w:b/>
                <w:bCs/>
                <w:i w:val="0"/>
                <w:iCs w:val="0"/>
              </w:rPr>
            </w:pPr>
            <w:r>
              <w:rPr>
                <w:b/>
                <w:bCs/>
                <w:i w:val="0"/>
                <w:iCs w:val="0"/>
              </w:rPr>
              <w:t>说明</w:t>
            </w:r>
          </w:p>
        </w:tc>
      </w:tr>
      <w:tr w14:paraId="2951B3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51" w:type="pct"/>
            <w:shd w:val="clear" w:color="auto" w:fill="auto"/>
          </w:tcPr>
          <w:p w14:paraId="154801BC">
            <w:pPr>
              <w:pStyle w:val="186"/>
              <w:widowControl w:val="0"/>
              <w:spacing w:line="240" w:lineRule="auto"/>
              <w:ind w:firstLine="0"/>
              <w:jc w:val="left"/>
            </w:pPr>
            <w:r>
              <w:t>创建时间</w:t>
            </w:r>
          </w:p>
        </w:tc>
        <w:tc>
          <w:tcPr>
            <w:tcW w:w="3949" w:type="pct"/>
            <w:shd w:val="clear" w:color="auto" w:fill="auto"/>
          </w:tcPr>
          <w:p w14:paraId="067749AA">
            <w:pPr>
              <w:pStyle w:val="186"/>
              <w:widowControl w:val="0"/>
              <w:spacing w:line="240" w:lineRule="auto"/>
              <w:ind w:firstLine="0"/>
              <w:jc w:val="left"/>
            </w:pPr>
            <w:r>
              <w:t>创建IPS业务系统管理配置策略的时间.</w:t>
            </w:r>
          </w:p>
        </w:tc>
      </w:tr>
      <w:tr w14:paraId="60F149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51" w:type="pct"/>
            <w:shd w:val="clear" w:color="auto" w:fill="auto"/>
          </w:tcPr>
          <w:p w14:paraId="3E5A9787">
            <w:pPr>
              <w:pStyle w:val="186"/>
              <w:widowControl w:val="0"/>
              <w:spacing w:line="240" w:lineRule="auto"/>
              <w:ind w:firstLine="0"/>
              <w:jc w:val="left"/>
            </w:pPr>
            <w:r>
              <w:t>业务系统名称</w:t>
            </w:r>
          </w:p>
        </w:tc>
        <w:tc>
          <w:tcPr>
            <w:tcW w:w="3949" w:type="pct"/>
            <w:shd w:val="clear" w:color="auto" w:fill="auto"/>
          </w:tcPr>
          <w:p w14:paraId="3473FE58">
            <w:pPr>
              <w:pStyle w:val="186"/>
              <w:widowControl w:val="0"/>
              <w:spacing w:line="240" w:lineRule="auto"/>
              <w:ind w:firstLine="0"/>
              <w:jc w:val="left"/>
            </w:pPr>
            <w:r>
              <w:t>创建IPS业务系统管理配置的名称.</w:t>
            </w:r>
          </w:p>
        </w:tc>
      </w:tr>
      <w:tr w14:paraId="350172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51" w:type="pct"/>
            <w:shd w:val="clear" w:color="auto" w:fill="auto"/>
          </w:tcPr>
          <w:p w14:paraId="23A99438">
            <w:pPr>
              <w:pStyle w:val="186"/>
              <w:widowControl w:val="0"/>
              <w:spacing w:line="240" w:lineRule="auto"/>
              <w:ind w:firstLine="0"/>
              <w:jc w:val="left"/>
            </w:pPr>
            <w:r>
              <w:t>业务系统IP</w:t>
            </w:r>
          </w:p>
        </w:tc>
        <w:tc>
          <w:tcPr>
            <w:tcW w:w="3949" w:type="pct"/>
            <w:shd w:val="clear" w:color="auto" w:fill="auto"/>
          </w:tcPr>
          <w:p w14:paraId="3BA7F226">
            <w:pPr>
              <w:pStyle w:val="186"/>
              <w:widowControl w:val="0"/>
              <w:spacing w:line="240" w:lineRule="auto"/>
              <w:ind w:firstLine="0"/>
              <w:jc w:val="left"/>
            </w:pPr>
            <w:r>
              <w:t>创建IPS业务系统管理配置添加的IP地址.</w:t>
            </w:r>
          </w:p>
        </w:tc>
      </w:tr>
      <w:tr w14:paraId="284AF7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51" w:type="pct"/>
            <w:shd w:val="clear" w:color="auto" w:fill="auto"/>
          </w:tcPr>
          <w:p w14:paraId="138F722D">
            <w:pPr>
              <w:pStyle w:val="186"/>
              <w:widowControl w:val="0"/>
              <w:spacing w:line="240" w:lineRule="auto"/>
              <w:ind w:firstLine="0"/>
              <w:jc w:val="left"/>
            </w:pPr>
            <w:r>
              <w:t>是否使用</w:t>
            </w:r>
          </w:p>
        </w:tc>
        <w:tc>
          <w:tcPr>
            <w:tcW w:w="3949" w:type="pct"/>
            <w:shd w:val="clear" w:color="auto" w:fill="auto"/>
          </w:tcPr>
          <w:p w14:paraId="011BF321">
            <w:pPr>
              <w:pStyle w:val="186"/>
              <w:widowControl w:val="0"/>
              <w:spacing w:line="240" w:lineRule="auto"/>
              <w:ind w:firstLine="0"/>
              <w:jc w:val="left"/>
            </w:pPr>
            <w:r>
              <w:t>IPS业务系统被报表任务引用的状态，被引用显示已使用，未引用则显示未使用</w:t>
            </w:r>
            <w:r>
              <w:rPr>
                <w:rFonts w:hint="eastAsia"/>
              </w:rPr>
              <w:t>。</w:t>
            </w:r>
          </w:p>
        </w:tc>
      </w:tr>
      <w:tr w14:paraId="78838A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51" w:type="pct"/>
            <w:shd w:val="clear" w:color="auto" w:fill="auto"/>
          </w:tcPr>
          <w:p w14:paraId="5EF6908A">
            <w:pPr>
              <w:pStyle w:val="186"/>
              <w:widowControl w:val="0"/>
              <w:spacing w:line="240" w:lineRule="auto"/>
              <w:ind w:firstLine="0"/>
              <w:jc w:val="left"/>
            </w:pPr>
            <w:r>
              <w:t>操作</w:t>
            </w:r>
          </w:p>
        </w:tc>
        <w:tc>
          <w:tcPr>
            <w:tcW w:w="3949" w:type="pct"/>
            <w:shd w:val="clear" w:color="auto" w:fill="auto"/>
          </w:tcPr>
          <w:p w14:paraId="3413D949">
            <w:pPr>
              <w:pStyle w:val="186"/>
              <w:widowControl w:val="0"/>
              <w:spacing w:line="240" w:lineRule="auto"/>
              <w:ind w:firstLine="0"/>
              <w:jc w:val="left"/>
            </w:pPr>
            <w:r>
              <w:t>此项仅对未引用的IPS业务系统进行编辑操作</w:t>
            </w:r>
            <w:r>
              <w:rPr>
                <w:rFonts w:hint="eastAsia"/>
              </w:rPr>
              <w:t>。</w:t>
            </w:r>
          </w:p>
        </w:tc>
      </w:tr>
    </w:tbl>
    <w:p w14:paraId="6974A166"/>
    <w:p w14:paraId="3A60AC08">
      <w:pPr>
        <w:pStyle w:val="202"/>
      </w:pPr>
      <w:r>
        <w:rPr>
          <w:rFonts w:hint="eastAsia"/>
        </w:rPr>
        <w:t>新建IPS业务系统</w:t>
      </w:r>
    </w:p>
    <w:p w14:paraId="29B490EA">
      <w:r>
        <w:rPr>
          <w:rFonts w:hint="eastAsia"/>
        </w:rPr>
        <w:t>单击“新建”按钮，可以创建IPS业务系统，</w:t>
      </w:r>
      <w:r>
        <w:t>如</w:t>
      </w:r>
      <w:r>
        <w:fldChar w:fldCharType="begin"/>
      </w:r>
      <w:r>
        <w:instrText xml:space="preserve">REF _ref34562124 \r \h</w:instrText>
      </w:r>
      <w:r>
        <w:fldChar w:fldCharType="separate"/>
      </w:r>
      <w:r>
        <w:rPr>
          <w:rFonts w:hint="eastAsia"/>
        </w:rPr>
        <w:t>图4-84</w:t>
      </w:r>
      <w:r>
        <w:fldChar w:fldCharType="end"/>
      </w:r>
      <w:r>
        <w:t>所示。</w:t>
      </w:r>
    </w:p>
    <w:p w14:paraId="0F282AF7"/>
    <w:p w14:paraId="130503ED">
      <w:pPr>
        <w:pStyle w:val="188"/>
      </w:pPr>
      <w:bookmarkStart w:id="964" w:name="_ref34562124"/>
      <w:bookmarkEnd w:id="964"/>
      <w:bookmarkStart w:id="965" w:name="_Toc141874533"/>
      <w:r>
        <w:t>新建IPS业务系统管理</w:t>
      </w:r>
      <w:bookmarkEnd w:id="965"/>
    </w:p>
    <w:p w14:paraId="4274456F">
      <w:r>
        <w:drawing>
          <wp:inline distT="0" distB="0" distL="114300" distR="114300">
            <wp:extent cx="5400040" cy="3331845"/>
            <wp:effectExtent l="0" t="0" r="0" b="1905"/>
            <wp:docPr id="99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图片 53"/>
                    <pic:cNvPicPr>
                      <a:picLocks noChangeAspect="1"/>
                    </pic:cNvPicPr>
                  </pic:nvPicPr>
                  <pic:blipFill>
                    <a:blip r:embed="rId152"/>
                    <a:stretch>
                      <a:fillRect/>
                    </a:stretch>
                  </pic:blipFill>
                  <pic:spPr>
                    <a:xfrm>
                      <a:off x="0" y="0"/>
                      <a:ext cx="5400040" cy="3331940"/>
                    </a:xfrm>
                    <a:prstGeom prst="rect">
                      <a:avLst/>
                    </a:prstGeom>
                    <a:noFill/>
                    <a:ln>
                      <a:noFill/>
                    </a:ln>
                  </pic:spPr>
                </pic:pic>
              </a:graphicData>
            </a:graphic>
          </wp:inline>
        </w:drawing>
      </w:r>
    </w:p>
    <w:p w14:paraId="01987EDB"/>
    <w:p w14:paraId="52474EA1">
      <w:pPr>
        <w:pStyle w:val="183"/>
      </w:pPr>
      <w:bookmarkStart w:id="966" w:name="_table46623327"/>
      <w:bookmarkEnd w:id="966"/>
      <w:bookmarkStart w:id="967" w:name="_Toc141875468"/>
      <w:r>
        <w:t>新建IPS业务系统管理配置参数说明</w:t>
      </w:r>
      <w:bookmarkEnd w:id="967"/>
    </w:p>
    <w:tbl>
      <w:tblPr>
        <w:tblStyle w:val="173"/>
        <w:tblW w:w="793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381"/>
        <w:gridCol w:w="5557"/>
      </w:tblGrid>
      <w:tr w14:paraId="08A290B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500" w:type="pct"/>
            <w:tcBorders>
              <w:tl2br w:val="nil"/>
              <w:tr2bl w:val="nil"/>
            </w:tcBorders>
            <w:shd w:val="clear" w:color="auto" w:fill="538135" w:themeFill="accent6" w:themeFillShade="BF"/>
            <w:vAlign w:val="center"/>
          </w:tcPr>
          <w:p w14:paraId="14A063BD">
            <w:pPr>
              <w:pStyle w:val="149"/>
              <w:wordWrap/>
              <w:rPr>
                <w:b/>
                <w:bCs/>
                <w:i w:val="0"/>
                <w:iCs w:val="0"/>
              </w:rPr>
            </w:pPr>
            <w:r>
              <w:rPr>
                <w:b/>
                <w:bCs/>
                <w:i w:val="0"/>
                <w:iCs w:val="0"/>
              </w:rPr>
              <w:t>参数</w:t>
            </w:r>
          </w:p>
        </w:tc>
        <w:tc>
          <w:tcPr>
            <w:tcW w:w="3500" w:type="pct"/>
            <w:tcBorders>
              <w:tl2br w:val="nil"/>
              <w:tr2bl w:val="nil"/>
            </w:tcBorders>
            <w:shd w:val="clear" w:color="auto" w:fill="538135" w:themeFill="accent6" w:themeFillShade="BF"/>
            <w:vAlign w:val="center"/>
          </w:tcPr>
          <w:p w14:paraId="681F0227">
            <w:pPr>
              <w:pStyle w:val="149"/>
              <w:wordWrap/>
              <w:rPr>
                <w:b/>
                <w:bCs/>
                <w:i w:val="0"/>
                <w:iCs w:val="0"/>
              </w:rPr>
            </w:pPr>
            <w:r>
              <w:rPr>
                <w:b/>
                <w:bCs/>
                <w:i w:val="0"/>
                <w:iCs w:val="0"/>
              </w:rPr>
              <w:t>说明</w:t>
            </w:r>
          </w:p>
        </w:tc>
      </w:tr>
      <w:tr w14:paraId="53726AF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500" w:type="pct"/>
            <w:shd w:val="clear" w:color="auto" w:fill="auto"/>
          </w:tcPr>
          <w:p w14:paraId="5F96DB07">
            <w:pPr>
              <w:pStyle w:val="186"/>
              <w:widowControl w:val="0"/>
              <w:spacing w:line="240" w:lineRule="auto"/>
              <w:ind w:firstLine="0"/>
              <w:jc w:val="left"/>
            </w:pPr>
            <w:r>
              <w:t>业务系统名称</w:t>
            </w:r>
          </w:p>
        </w:tc>
        <w:tc>
          <w:tcPr>
            <w:tcW w:w="3500" w:type="pct"/>
            <w:shd w:val="clear" w:color="auto" w:fill="auto"/>
          </w:tcPr>
          <w:p w14:paraId="395D82DF">
            <w:pPr>
              <w:pStyle w:val="186"/>
              <w:widowControl w:val="0"/>
              <w:spacing w:line="240" w:lineRule="auto"/>
              <w:ind w:firstLine="0"/>
              <w:jc w:val="left"/>
            </w:pPr>
            <w:r>
              <w:t>创建IPS业务系统管理配置的名称。</w:t>
            </w:r>
          </w:p>
        </w:tc>
      </w:tr>
      <w:tr w14:paraId="463300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500" w:type="pct"/>
            <w:shd w:val="clear" w:color="auto" w:fill="auto"/>
          </w:tcPr>
          <w:p w14:paraId="677F8523">
            <w:pPr>
              <w:pStyle w:val="186"/>
              <w:widowControl w:val="0"/>
              <w:spacing w:line="240" w:lineRule="auto"/>
              <w:ind w:firstLine="0"/>
              <w:jc w:val="left"/>
            </w:pPr>
            <w:r>
              <w:t>业务系统IP</w:t>
            </w:r>
          </w:p>
        </w:tc>
        <w:tc>
          <w:tcPr>
            <w:tcW w:w="3500" w:type="pct"/>
            <w:shd w:val="clear" w:color="auto" w:fill="auto"/>
          </w:tcPr>
          <w:p w14:paraId="22237B04">
            <w:pPr>
              <w:pStyle w:val="186"/>
              <w:widowControl w:val="0"/>
              <w:spacing w:line="240" w:lineRule="auto"/>
              <w:ind w:firstLine="0"/>
              <w:jc w:val="left"/>
            </w:pPr>
            <w:r>
              <w:t>创建IPS业务系统管理配置添加的IP地址，IP地址格式支持：子网地址、范围地址和主机地址三种。</w:t>
            </w:r>
          </w:p>
        </w:tc>
      </w:tr>
      <w:tr w14:paraId="0FD9A29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500" w:type="pct"/>
            <w:shd w:val="clear" w:color="auto" w:fill="auto"/>
          </w:tcPr>
          <w:p w14:paraId="2D98A3E4">
            <w:pPr>
              <w:pStyle w:val="186"/>
              <w:widowControl w:val="0"/>
              <w:spacing w:line="240" w:lineRule="auto"/>
              <w:ind w:firstLine="0"/>
              <w:jc w:val="left"/>
            </w:pPr>
            <w:r>
              <w:t>已添加项目</w:t>
            </w:r>
          </w:p>
        </w:tc>
        <w:tc>
          <w:tcPr>
            <w:tcW w:w="3500" w:type="pct"/>
            <w:shd w:val="clear" w:color="auto" w:fill="auto"/>
          </w:tcPr>
          <w:p w14:paraId="53D43A9E">
            <w:pPr>
              <w:pStyle w:val="186"/>
              <w:widowControl w:val="0"/>
              <w:spacing w:line="240" w:lineRule="auto"/>
              <w:ind w:firstLine="0"/>
              <w:jc w:val="left"/>
            </w:pPr>
            <w:r>
              <w:t>已添加的IP地址。</w:t>
            </w:r>
          </w:p>
        </w:tc>
      </w:tr>
    </w:tbl>
    <w:p w14:paraId="2B3FDAAB"/>
    <w:p w14:paraId="4BB49B1A">
      <w:pPr>
        <w:pStyle w:val="202"/>
      </w:pPr>
      <w:r>
        <w:rPr>
          <w:rFonts w:hint="eastAsia"/>
        </w:rPr>
        <w:t>配置报表</w:t>
      </w:r>
    </w:p>
    <w:p w14:paraId="6AAF0B23">
      <w:r>
        <w:t>通过菜单“数据中心 &gt; 统计报表 &gt; 报表管理”，进入报表管理页面，新建或编辑管理报表，选择“自定义报表模板”，在订阅项目中单击选择“IPS网络安全分析”，弹出“IPS网络安全分析”界面，如</w:t>
      </w:r>
      <w:r>
        <w:fldChar w:fldCharType="begin"/>
      </w:r>
      <w:r>
        <w:instrText xml:space="preserve"> REF _Ref38356322 \r \h </w:instrText>
      </w:r>
      <w:r>
        <w:fldChar w:fldCharType="separate"/>
      </w:r>
      <w:r>
        <w:rPr>
          <w:rFonts w:hint="eastAsia"/>
        </w:rPr>
        <w:t>图4-85</w:t>
      </w:r>
      <w:r>
        <w:fldChar w:fldCharType="end"/>
      </w:r>
      <w:r>
        <w:t>所示。勾选“业务系统分布”，单击“请选择业务系统”，选择要生成报表的业务系统，如</w:t>
      </w:r>
      <w:r>
        <w:fldChar w:fldCharType="begin"/>
      </w:r>
      <w:r>
        <w:instrText xml:space="preserve"> REF _Ref38356329 \r \h </w:instrText>
      </w:r>
      <w:r>
        <w:fldChar w:fldCharType="separate"/>
      </w:r>
      <w:r>
        <w:rPr>
          <w:rFonts w:hint="eastAsia"/>
        </w:rPr>
        <w:t>图4-86</w:t>
      </w:r>
      <w:r>
        <w:fldChar w:fldCharType="end"/>
      </w:r>
      <w:r>
        <w:t>所示。</w:t>
      </w:r>
      <w:r>
        <w:rPr>
          <w:rFonts w:hint="eastAsia"/>
        </w:rPr>
        <w:t>单击“提交”按钮完成配置。</w:t>
      </w:r>
    </w:p>
    <w:p w14:paraId="584B1D9F">
      <w:pPr>
        <w:pStyle w:val="188"/>
      </w:pPr>
      <w:bookmarkStart w:id="968" w:name="_Ref38356322"/>
      <w:bookmarkStart w:id="969" w:name="_Toc141874534"/>
      <w:r>
        <w:t>设置IPS</w:t>
      </w:r>
      <w:bookmarkEnd w:id="968"/>
      <w:r>
        <w:t>网络安全分析报表</w:t>
      </w:r>
      <w:bookmarkEnd w:id="969"/>
    </w:p>
    <w:p w14:paraId="54BC49C8">
      <w:r>
        <w:drawing>
          <wp:inline distT="0" distB="0" distL="0" distR="0">
            <wp:extent cx="4800600" cy="2800350"/>
            <wp:effectExtent l="0" t="0" r="0" b="0"/>
            <wp:docPr id="3065" name="图片 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5" name="图片 306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a:xfrm>
                      <a:off x="0" y="0"/>
                      <a:ext cx="4800600" cy="2800350"/>
                    </a:xfrm>
                    <a:prstGeom prst="rect">
                      <a:avLst/>
                    </a:prstGeom>
                    <a:noFill/>
                    <a:ln>
                      <a:noFill/>
                    </a:ln>
                  </pic:spPr>
                </pic:pic>
              </a:graphicData>
            </a:graphic>
          </wp:inline>
        </w:drawing>
      </w:r>
    </w:p>
    <w:p w14:paraId="56676282"/>
    <w:p w14:paraId="573B01CC">
      <w:pPr>
        <w:pStyle w:val="188"/>
      </w:pPr>
      <w:bookmarkStart w:id="970" w:name="_Ref38356329"/>
      <w:bookmarkStart w:id="971" w:name="_Toc141874535"/>
      <w:r>
        <w:t>选择IPS业务系统</w:t>
      </w:r>
      <w:bookmarkEnd w:id="970"/>
      <w:bookmarkEnd w:id="971"/>
    </w:p>
    <w:p w14:paraId="0DC0D085">
      <w:r>
        <w:drawing>
          <wp:inline distT="0" distB="0" distL="0" distR="0">
            <wp:extent cx="2705100" cy="2095500"/>
            <wp:effectExtent l="0" t="0" r="0" b="0"/>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402"/>
                    <pic:cNvPicPr>
                      <a:picLocks noChangeAspect="1" noChangeArrowheads="1"/>
                    </pic:cNvPicPr>
                  </pic:nvPicPr>
                  <pic:blipFill>
                    <a:blip r:embed="rId154">
                      <a:extLst>
                        <a:ext uri="{28A0092B-C50C-407E-A947-70E740481C1C}">
                          <a14:useLocalDpi xmlns:a14="http://schemas.microsoft.com/office/drawing/2010/main" val="0"/>
                        </a:ext>
                      </a:extLst>
                    </a:blip>
                    <a:srcRect l="24802" r="18849"/>
                    <a:stretch>
                      <a:fillRect/>
                    </a:stretch>
                  </pic:blipFill>
                  <pic:spPr>
                    <a:xfrm>
                      <a:off x="0" y="0"/>
                      <a:ext cx="2705100" cy="2095500"/>
                    </a:xfrm>
                    <a:prstGeom prst="rect">
                      <a:avLst/>
                    </a:prstGeom>
                    <a:noFill/>
                    <a:ln>
                      <a:noFill/>
                    </a:ln>
                  </pic:spPr>
                </pic:pic>
              </a:graphicData>
            </a:graphic>
          </wp:inline>
        </w:drawing>
      </w:r>
    </w:p>
    <w:p w14:paraId="390C36E3">
      <w:pPr>
        <w:jc w:val="left"/>
      </w:pPr>
      <w:r>
        <w:br w:type="page"/>
      </w:r>
    </w:p>
    <w:p w14:paraId="24A281A0">
      <w:pPr>
        <w:pStyle w:val="3"/>
      </w:pPr>
      <w:bookmarkStart w:id="972" w:name="_Toc196727971"/>
      <w:bookmarkStart w:id="973" w:name="_Toc172217993"/>
      <w:bookmarkStart w:id="974" w:name="_Toc194080639"/>
      <w:bookmarkStart w:id="975" w:name="_Toc15484919"/>
      <w:bookmarkStart w:id="976" w:name="_Toc23152683"/>
      <w:bookmarkStart w:id="977" w:name="_Toc40276116"/>
      <w:bookmarkStart w:id="978" w:name="_Toc99561755"/>
      <w:bookmarkStart w:id="979" w:name="_Toc141873624"/>
      <w:bookmarkStart w:id="980" w:name="_Toc172218402"/>
      <w:bookmarkStart w:id="981" w:name="_Toc142401141"/>
      <w:bookmarkStart w:id="982" w:name="_Toc6235052"/>
      <w:bookmarkStart w:id="983" w:name="_Toc474250065"/>
      <w:bookmarkStart w:id="984" w:name="_Toc15484681"/>
      <w:bookmarkStart w:id="985" w:name="_Toc99561371"/>
      <w:bookmarkStart w:id="986" w:name="_Toc141873319"/>
      <w:bookmarkStart w:id="987" w:name="_Toc142400835"/>
      <w:bookmarkStart w:id="988" w:name="_Toc23152447"/>
      <w:bookmarkStart w:id="989" w:name="_Toc172218021"/>
      <w:bookmarkStart w:id="990" w:name="_Toc40275880"/>
      <w:r>
        <w:rPr>
          <w:rFonts w:hint="eastAsia"/>
        </w:rPr>
        <w:t>日志</w:t>
      </w:r>
      <w:bookmarkEnd w:id="972"/>
      <w:bookmarkEnd w:id="973"/>
      <w:bookmarkEnd w:id="974"/>
    </w:p>
    <w:p w14:paraId="0953A4D4">
      <w:pPr>
        <w:pStyle w:val="5"/>
      </w:pPr>
      <w:bookmarkStart w:id="991" w:name="_Toc393274137"/>
      <w:bookmarkStart w:id="992" w:name="_Toc99561318"/>
      <w:bookmarkStart w:id="993" w:name="_Toc474250161"/>
      <w:bookmarkStart w:id="994" w:name="_Toc23152399"/>
      <w:bookmarkStart w:id="995" w:name="_Toc141873268"/>
      <w:bookmarkStart w:id="996" w:name="_Toc194080640"/>
      <w:bookmarkStart w:id="997" w:name="_Toc15484632"/>
      <w:bookmarkStart w:id="998" w:name="_Toc40275832"/>
      <w:bookmarkStart w:id="999" w:name="_Toc15402496"/>
      <w:bookmarkStart w:id="1000" w:name="_Toc172217994"/>
      <w:bookmarkStart w:id="1001" w:name="_Toc142400781"/>
      <w:bookmarkStart w:id="1002" w:name="_Toc196727972"/>
      <w:r>
        <w:rPr>
          <w:rFonts w:hint="eastAsia"/>
        </w:rPr>
        <w:t>日志概述</w:t>
      </w:r>
      <w:bookmarkEnd w:id="991"/>
      <w:bookmarkEnd w:id="992"/>
      <w:bookmarkEnd w:id="993"/>
      <w:bookmarkEnd w:id="994"/>
      <w:bookmarkEnd w:id="995"/>
      <w:bookmarkEnd w:id="996"/>
      <w:bookmarkEnd w:id="997"/>
      <w:bookmarkEnd w:id="998"/>
      <w:bookmarkEnd w:id="999"/>
      <w:bookmarkEnd w:id="1000"/>
      <w:bookmarkEnd w:id="1001"/>
      <w:bookmarkEnd w:id="1002"/>
    </w:p>
    <w:p w14:paraId="68E71A5A">
      <w:r>
        <w:rPr>
          <w:rFonts w:hint="eastAsia"/>
        </w:rPr>
        <w:t>日志是设备在运行过程中输出的信息，通过查看日志，管理员可以实时了解网络中各种业务的运行状态，掌握设备上各个功能模块的运行情况。</w:t>
      </w:r>
    </w:p>
    <w:p w14:paraId="04EAD786">
      <w:pPr>
        <w:pStyle w:val="6"/>
      </w:pPr>
      <w:bookmarkStart w:id="1003" w:name="_Toc141873269"/>
      <w:bookmarkStart w:id="1004" w:name="_Toc142400782"/>
      <w:bookmarkStart w:id="1005" w:name="_Toc172217995"/>
      <w:bookmarkStart w:id="1006" w:name="_Toc474250162"/>
      <w:bookmarkStart w:id="1007" w:name="_Toc15402497"/>
      <w:bookmarkStart w:id="1008" w:name="_Toc393274138"/>
      <w:bookmarkStart w:id="1009" w:name="_Toc15484633"/>
      <w:bookmarkStart w:id="1010" w:name="_Toc40275833"/>
      <w:bookmarkStart w:id="1011" w:name="_Toc23152400"/>
      <w:bookmarkStart w:id="1012" w:name="_Toc99561319"/>
      <w:r>
        <w:rPr>
          <w:rFonts w:hint="eastAsia"/>
        </w:rPr>
        <w:t>日志的类型</w:t>
      </w:r>
      <w:bookmarkEnd w:id="1003"/>
      <w:bookmarkEnd w:id="1004"/>
      <w:bookmarkEnd w:id="1005"/>
      <w:bookmarkEnd w:id="1006"/>
      <w:bookmarkEnd w:id="1007"/>
      <w:bookmarkEnd w:id="1008"/>
      <w:bookmarkEnd w:id="1009"/>
      <w:bookmarkEnd w:id="1010"/>
      <w:bookmarkEnd w:id="1011"/>
      <w:bookmarkEnd w:id="1012"/>
    </w:p>
    <w:p w14:paraId="405AE794">
      <w:r>
        <w:rPr>
          <w:rFonts w:hint="eastAsia"/>
        </w:rPr>
        <w:t>日志功能记录并输出各种日志信息，分别是系统日志、控制日志、审计日志、安全日志和终端日志。详细分类如</w:t>
      </w:r>
      <w:r>
        <w:rPr>
          <w:color w:val="0000FF"/>
          <w:u w:val="single"/>
        </w:rPr>
        <w:fldChar w:fldCharType="begin"/>
      </w:r>
      <w:r>
        <w:rPr>
          <w:color w:val="0000FF"/>
          <w:u w:val="single"/>
        </w:rPr>
        <w:instrText xml:space="preserve"> REF _Ref391712790 \r \h  \* MERGEFORMAT </w:instrText>
      </w:r>
      <w:r>
        <w:rPr>
          <w:color w:val="0000FF"/>
          <w:u w:val="single"/>
        </w:rPr>
        <w:fldChar w:fldCharType="separate"/>
      </w:r>
      <w:r>
        <w:rPr>
          <w:rFonts w:hint="eastAsia"/>
          <w:color w:val="0000FF"/>
          <w:u w:val="single"/>
        </w:rPr>
        <w:t>表5-1</w:t>
      </w:r>
      <w:r>
        <w:rPr>
          <w:color w:val="0000FF"/>
          <w:u w:val="single"/>
        </w:rPr>
        <w:fldChar w:fldCharType="end"/>
      </w:r>
      <w:r>
        <w:rPr>
          <w:rFonts w:hint="eastAsia"/>
        </w:rPr>
        <w:t>所示。</w:t>
      </w:r>
    </w:p>
    <w:p w14:paraId="7A72DF92">
      <w:pPr>
        <w:pStyle w:val="183"/>
      </w:pPr>
      <w:bookmarkStart w:id="1013" w:name="_Ref391712790"/>
      <w:bookmarkStart w:id="1014" w:name="_Toc141875406"/>
      <w:r>
        <w:rPr>
          <w:rFonts w:hint="eastAsia"/>
        </w:rPr>
        <w:t>日志分类</w:t>
      </w:r>
      <w:bookmarkEnd w:id="1013"/>
      <w:bookmarkEnd w:id="1014"/>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327"/>
        <w:gridCol w:w="1735"/>
        <w:gridCol w:w="5952"/>
      </w:tblGrid>
      <w:tr w14:paraId="6D130C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tcBorders>
              <w:tl2br w:val="nil"/>
              <w:tr2bl w:val="nil"/>
            </w:tcBorders>
            <w:shd w:val="clear" w:color="auto" w:fill="538135" w:themeFill="accent6" w:themeFillShade="BF"/>
            <w:vAlign w:val="center"/>
          </w:tcPr>
          <w:p w14:paraId="23F7D6D5">
            <w:pPr>
              <w:pStyle w:val="149"/>
              <w:wordWrap/>
              <w:rPr>
                <w:b/>
                <w:bCs/>
                <w:i w:val="0"/>
                <w:iCs w:val="0"/>
              </w:rPr>
            </w:pPr>
            <w:r>
              <w:rPr>
                <w:rFonts w:hint="eastAsia"/>
                <w:b/>
                <w:bCs/>
                <w:i w:val="0"/>
                <w:iCs w:val="0"/>
              </w:rPr>
              <w:t>日志分类</w:t>
            </w:r>
          </w:p>
        </w:tc>
        <w:tc>
          <w:tcPr>
            <w:tcW w:w="1735" w:type="dxa"/>
            <w:tcBorders>
              <w:tl2br w:val="nil"/>
              <w:tr2bl w:val="nil"/>
            </w:tcBorders>
            <w:shd w:val="clear" w:color="auto" w:fill="538135" w:themeFill="accent6" w:themeFillShade="BF"/>
            <w:vAlign w:val="center"/>
          </w:tcPr>
          <w:p w14:paraId="75F96757">
            <w:pPr>
              <w:pStyle w:val="149"/>
              <w:wordWrap/>
              <w:rPr>
                <w:b/>
                <w:bCs/>
                <w:i w:val="0"/>
                <w:iCs w:val="0"/>
              </w:rPr>
            </w:pPr>
            <w:r>
              <w:rPr>
                <w:rFonts w:hint="eastAsia"/>
                <w:b/>
                <w:bCs/>
                <w:i w:val="0"/>
                <w:iCs w:val="0"/>
              </w:rPr>
              <w:t>日志名称</w:t>
            </w:r>
          </w:p>
        </w:tc>
        <w:tc>
          <w:tcPr>
            <w:tcW w:w="5952" w:type="dxa"/>
            <w:tcBorders>
              <w:tl2br w:val="nil"/>
              <w:tr2bl w:val="nil"/>
            </w:tcBorders>
            <w:shd w:val="clear" w:color="auto" w:fill="538135" w:themeFill="accent6" w:themeFillShade="BF"/>
            <w:vAlign w:val="center"/>
          </w:tcPr>
          <w:p w14:paraId="7BFE7D1F">
            <w:pPr>
              <w:pStyle w:val="149"/>
              <w:wordWrap/>
              <w:rPr>
                <w:b/>
                <w:bCs/>
                <w:i w:val="0"/>
                <w:iCs w:val="0"/>
              </w:rPr>
            </w:pPr>
            <w:r>
              <w:rPr>
                <w:rFonts w:hint="eastAsia"/>
                <w:b/>
                <w:bCs/>
                <w:i w:val="0"/>
                <w:iCs w:val="0"/>
              </w:rPr>
              <w:t>描述</w:t>
            </w:r>
          </w:p>
        </w:tc>
      </w:tr>
      <w:tr w14:paraId="5C9388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vMerge w:val="restart"/>
            <w:shd w:val="clear" w:color="auto" w:fill="auto"/>
          </w:tcPr>
          <w:p w14:paraId="0ED9C016">
            <w:pPr>
              <w:pStyle w:val="186"/>
              <w:widowControl w:val="0"/>
              <w:spacing w:line="240" w:lineRule="auto"/>
              <w:ind w:firstLine="0"/>
              <w:jc w:val="left"/>
            </w:pPr>
            <w:r>
              <w:rPr>
                <w:rFonts w:hint="eastAsia"/>
              </w:rPr>
              <w:t>系统日志</w:t>
            </w:r>
          </w:p>
        </w:tc>
        <w:tc>
          <w:tcPr>
            <w:tcW w:w="1735" w:type="dxa"/>
            <w:shd w:val="clear" w:color="auto" w:fill="auto"/>
          </w:tcPr>
          <w:p w14:paraId="52AAB5E0">
            <w:pPr>
              <w:pStyle w:val="186"/>
              <w:widowControl w:val="0"/>
              <w:spacing w:line="240" w:lineRule="auto"/>
              <w:ind w:firstLine="0"/>
              <w:jc w:val="left"/>
            </w:pPr>
            <w:r>
              <w:rPr>
                <w:rFonts w:hint="eastAsia"/>
              </w:rPr>
              <w:t>系统日志</w:t>
            </w:r>
          </w:p>
        </w:tc>
        <w:tc>
          <w:tcPr>
            <w:tcW w:w="5952" w:type="dxa"/>
            <w:shd w:val="clear" w:color="auto" w:fill="auto"/>
          </w:tcPr>
          <w:p w14:paraId="7A1040D1">
            <w:pPr>
              <w:pStyle w:val="186"/>
              <w:widowControl w:val="0"/>
              <w:spacing w:line="240" w:lineRule="auto"/>
              <w:ind w:firstLine="0"/>
              <w:jc w:val="left"/>
            </w:pPr>
            <w:r>
              <w:rPr>
                <w:rFonts w:hint="eastAsia"/>
              </w:rPr>
              <w:t>系统状态，如接口</w:t>
            </w:r>
            <w:r>
              <w:t>up</w:t>
            </w:r>
            <w:r>
              <w:rPr>
                <w:rFonts w:hint="eastAsia"/>
              </w:rPr>
              <w:t>、</w:t>
            </w:r>
            <w:r>
              <w:t>down</w:t>
            </w:r>
            <w:r>
              <w:rPr>
                <w:rFonts w:hint="eastAsia"/>
              </w:rPr>
              <w:t>事件。</w:t>
            </w:r>
          </w:p>
        </w:tc>
      </w:tr>
      <w:tr w14:paraId="0C5577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vMerge w:val="continue"/>
            <w:shd w:val="clear" w:color="auto" w:fill="auto"/>
          </w:tcPr>
          <w:p w14:paraId="22D89F11">
            <w:pPr>
              <w:pStyle w:val="186"/>
              <w:widowControl w:val="0"/>
              <w:spacing w:line="240" w:lineRule="auto"/>
              <w:ind w:firstLine="0"/>
              <w:jc w:val="left"/>
            </w:pPr>
          </w:p>
        </w:tc>
        <w:tc>
          <w:tcPr>
            <w:tcW w:w="1735" w:type="dxa"/>
            <w:shd w:val="clear" w:color="auto" w:fill="auto"/>
          </w:tcPr>
          <w:p w14:paraId="6B5B184E">
            <w:pPr>
              <w:pStyle w:val="186"/>
              <w:widowControl w:val="0"/>
              <w:spacing w:line="240" w:lineRule="auto"/>
              <w:ind w:firstLine="0"/>
              <w:jc w:val="left"/>
            </w:pPr>
            <w:r>
              <w:rPr>
                <w:rFonts w:hint="eastAsia"/>
              </w:rPr>
              <w:t>操作日志</w:t>
            </w:r>
          </w:p>
        </w:tc>
        <w:tc>
          <w:tcPr>
            <w:tcW w:w="5952" w:type="dxa"/>
            <w:shd w:val="clear" w:color="auto" w:fill="auto"/>
          </w:tcPr>
          <w:p w14:paraId="20C04CF8">
            <w:pPr>
              <w:pStyle w:val="186"/>
              <w:widowControl w:val="0"/>
              <w:spacing w:line="240" w:lineRule="auto"/>
              <w:ind w:firstLine="0"/>
              <w:jc w:val="left"/>
            </w:pPr>
            <w:r>
              <w:rPr>
                <w:rFonts w:hint="eastAsia"/>
              </w:rPr>
              <w:t>对系统执行的各类操作信息，如删除控制策略。</w:t>
            </w:r>
          </w:p>
        </w:tc>
      </w:tr>
      <w:tr w14:paraId="07AEBE9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vMerge w:val="restart"/>
            <w:shd w:val="clear" w:color="auto" w:fill="auto"/>
          </w:tcPr>
          <w:p w14:paraId="45D52B55">
            <w:pPr>
              <w:pStyle w:val="186"/>
              <w:widowControl w:val="0"/>
              <w:spacing w:line="240" w:lineRule="auto"/>
              <w:ind w:firstLine="0"/>
              <w:jc w:val="left"/>
            </w:pPr>
            <w:r>
              <w:t>控制日志</w:t>
            </w:r>
          </w:p>
        </w:tc>
        <w:tc>
          <w:tcPr>
            <w:tcW w:w="1735" w:type="dxa"/>
            <w:shd w:val="clear" w:color="auto" w:fill="auto"/>
          </w:tcPr>
          <w:p w14:paraId="1DEC3592">
            <w:pPr>
              <w:pStyle w:val="186"/>
              <w:widowControl w:val="0"/>
              <w:spacing w:line="240" w:lineRule="auto"/>
              <w:ind w:firstLine="0"/>
              <w:jc w:val="left"/>
            </w:pPr>
            <w:r>
              <w:rPr>
                <w:rFonts w:hint="eastAsia"/>
              </w:rPr>
              <w:t>应用控制日志</w:t>
            </w:r>
          </w:p>
        </w:tc>
        <w:tc>
          <w:tcPr>
            <w:tcW w:w="5952" w:type="dxa"/>
            <w:shd w:val="clear" w:color="auto" w:fill="auto"/>
          </w:tcPr>
          <w:p w14:paraId="09CFE5C7">
            <w:pPr>
              <w:pStyle w:val="186"/>
              <w:widowControl w:val="0"/>
              <w:spacing w:line="240" w:lineRule="auto"/>
              <w:ind w:firstLine="0"/>
              <w:jc w:val="left"/>
            </w:pPr>
            <w:r>
              <w:t>应用控制策略产生的日志</w:t>
            </w:r>
            <w:r>
              <w:rPr>
                <w:rFonts w:hint="eastAsia"/>
              </w:rPr>
              <w:t>。</w:t>
            </w:r>
          </w:p>
        </w:tc>
      </w:tr>
      <w:tr w14:paraId="15F846E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vMerge w:val="continue"/>
            <w:shd w:val="clear" w:color="auto" w:fill="auto"/>
          </w:tcPr>
          <w:p w14:paraId="55D167CA">
            <w:pPr>
              <w:pStyle w:val="186"/>
              <w:widowControl w:val="0"/>
              <w:spacing w:line="240" w:lineRule="auto"/>
              <w:ind w:firstLine="0"/>
              <w:jc w:val="left"/>
            </w:pPr>
          </w:p>
        </w:tc>
        <w:tc>
          <w:tcPr>
            <w:tcW w:w="1735" w:type="dxa"/>
            <w:shd w:val="clear" w:color="auto" w:fill="auto"/>
          </w:tcPr>
          <w:p w14:paraId="5D87832D">
            <w:pPr>
              <w:pStyle w:val="186"/>
              <w:widowControl w:val="0"/>
              <w:spacing w:line="240" w:lineRule="auto"/>
              <w:ind w:firstLine="0"/>
              <w:jc w:val="left"/>
            </w:pPr>
            <w:r>
              <w:rPr>
                <w:rFonts w:hint="eastAsia"/>
              </w:rPr>
              <w:t>恶意</w:t>
            </w:r>
            <w:r>
              <w:t>URL</w:t>
            </w:r>
            <w:r>
              <w:rPr>
                <w:rFonts w:hint="eastAsia"/>
              </w:rPr>
              <w:t>日志</w:t>
            </w:r>
          </w:p>
        </w:tc>
        <w:tc>
          <w:tcPr>
            <w:tcW w:w="5952" w:type="dxa"/>
            <w:shd w:val="clear" w:color="auto" w:fill="auto"/>
          </w:tcPr>
          <w:p w14:paraId="32C04A89">
            <w:pPr>
              <w:pStyle w:val="186"/>
              <w:widowControl w:val="0"/>
              <w:spacing w:line="240" w:lineRule="auto"/>
              <w:ind w:firstLine="0"/>
              <w:jc w:val="left"/>
            </w:pPr>
            <w:r>
              <w:rPr>
                <w:rFonts w:hint="eastAsia"/>
              </w:rPr>
              <w:t>访问恶意网站产生的日志。</w:t>
            </w:r>
          </w:p>
        </w:tc>
      </w:tr>
      <w:tr w14:paraId="785F29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vMerge w:val="restart"/>
            <w:shd w:val="clear" w:color="auto" w:fill="auto"/>
          </w:tcPr>
          <w:p w14:paraId="70C503A7">
            <w:pPr>
              <w:pStyle w:val="186"/>
              <w:widowControl w:val="0"/>
              <w:spacing w:line="240" w:lineRule="auto"/>
              <w:ind w:firstLine="0"/>
              <w:jc w:val="left"/>
            </w:pPr>
            <w:r>
              <w:rPr>
                <w:rFonts w:hint="eastAsia"/>
              </w:rPr>
              <w:t>安全日志</w:t>
            </w:r>
          </w:p>
        </w:tc>
        <w:tc>
          <w:tcPr>
            <w:tcW w:w="1735" w:type="dxa"/>
            <w:shd w:val="clear" w:color="auto" w:fill="auto"/>
          </w:tcPr>
          <w:p w14:paraId="512A018C">
            <w:pPr>
              <w:pStyle w:val="186"/>
              <w:widowControl w:val="0"/>
              <w:spacing w:line="240" w:lineRule="auto"/>
              <w:ind w:firstLine="0"/>
              <w:jc w:val="left"/>
            </w:pPr>
            <w:r>
              <w:rPr>
                <w:rFonts w:hint="eastAsia"/>
              </w:rPr>
              <w:t>入侵防御日志</w:t>
            </w:r>
          </w:p>
        </w:tc>
        <w:tc>
          <w:tcPr>
            <w:tcW w:w="5952" w:type="dxa"/>
            <w:shd w:val="clear" w:color="auto" w:fill="auto"/>
          </w:tcPr>
          <w:p w14:paraId="538A36A5">
            <w:pPr>
              <w:pStyle w:val="186"/>
              <w:widowControl w:val="0"/>
              <w:spacing w:line="240" w:lineRule="auto"/>
              <w:ind w:firstLine="0"/>
              <w:jc w:val="left"/>
            </w:pPr>
            <w:r>
              <w:rPr>
                <w:rFonts w:hint="eastAsia"/>
              </w:rPr>
              <w:t>入侵检测策略产生的日志。</w:t>
            </w:r>
          </w:p>
        </w:tc>
      </w:tr>
      <w:tr w14:paraId="041BF54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vMerge w:val="continue"/>
            <w:shd w:val="clear" w:color="auto" w:fill="auto"/>
          </w:tcPr>
          <w:p w14:paraId="75BB0633">
            <w:pPr>
              <w:pStyle w:val="186"/>
              <w:widowControl w:val="0"/>
              <w:spacing w:line="240" w:lineRule="auto"/>
              <w:ind w:firstLine="0"/>
              <w:jc w:val="left"/>
            </w:pPr>
          </w:p>
        </w:tc>
        <w:tc>
          <w:tcPr>
            <w:tcW w:w="1735" w:type="dxa"/>
            <w:shd w:val="clear" w:color="auto" w:fill="auto"/>
          </w:tcPr>
          <w:p w14:paraId="22E9B98E">
            <w:pPr>
              <w:pStyle w:val="186"/>
              <w:widowControl w:val="0"/>
              <w:spacing w:line="240" w:lineRule="auto"/>
              <w:ind w:firstLine="0"/>
              <w:jc w:val="left"/>
            </w:pPr>
            <w:r>
              <w:rPr>
                <w:rFonts w:hint="eastAsia"/>
              </w:rPr>
              <w:t>安全防护日志</w:t>
            </w:r>
          </w:p>
        </w:tc>
        <w:tc>
          <w:tcPr>
            <w:tcW w:w="5952" w:type="dxa"/>
            <w:shd w:val="clear" w:color="auto" w:fill="auto"/>
          </w:tcPr>
          <w:p w14:paraId="7B804D21">
            <w:pPr>
              <w:pStyle w:val="186"/>
              <w:widowControl w:val="0"/>
              <w:spacing w:line="240" w:lineRule="auto"/>
              <w:ind w:firstLine="0"/>
              <w:jc w:val="left"/>
            </w:pPr>
            <w:r>
              <w:rPr>
                <w:rFonts w:hint="eastAsia"/>
              </w:rPr>
              <w:t>网络层攻击防护产生的日志，如异常包攻击、扫描攻击、Flood攻击、ARP攻击、ND攻击产生的日志。</w:t>
            </w:r>
          </w:p>
        </w:tc>
      </w:tr>
      <w:tr w14:paraId="52CA3BE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vMerge w:val="continue"/>
            <w:shd w:val="clear" w:color="auto" w:fill="auto"/>
          </w:tcPr>
          <w:p w14:paraId="3F9E972A">
            <w:pPr>
              <w:pStyle w:val="186"/>
              <w:widowControl w:val="0"/>
              <w:spacing w:line="240" w:lineRule="auto"/>
              <w:ind w:firstLine="0"/>
              <w:jc w:val="left"/>
            </w:pPr>
          </w:p>
        </w:tc>
        <w:tc>
          <w:tcPr>
            <w:tcW w:w="1735" w:type="dxa"/>
            <w:shd w:val="clear" w:color="auto" w:fill="auto"/>
          </w:tcPr>
          <w:p w14:paraId="4219FA54">
            <w:pPr>
              <w:pStyle w:val="186"/>
              <w:widowControl w:val="0"/>
              <w:spacing w:line="240" w:lineRule="auto"/>
              <w:ind w:firstLine="0"/>
              <w:jc w:val="left"/>
            </w:pPr>
            <w:r>
              <w:rPr>
                <w:rFonts w:hint="eastAsia"/>
              </w:rPr>
              <w:t>病毒防护日志</w:t>
            </w:r>
          </w:p>
        </w:tc>
        <w:tc>
          <w:tcPr>
            <w:tcW w:w="5952" w:type="dxa"/>
            <w:shd w:val="clear" w:color="auto" w:fill="auto"/>
          </w:tcPr>
          <w:p w14:paraId="79A53AB5">
            <w:pPr>
              <w:pStyle w:val="186"/>
              <w:widowControl w:val="0"/>
              <w:spacing w:line="240" w:lineRule="auto"/>
              <w:ind w:firstLine="0"/>
              <w:jc w:val="left"/>
            </w:pPr>
            <w:r>
              <w:rPr>
                <w:rFonts w:hint="eastAsia"/>
              </w:rPr>
              <w:t>病毒防护策略产生的日志。</w:t>
            </w:r>
          </w:p>
        </w:tc>
      </w:tr>
      <w:tr w14:paraId="34308E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vMerge w:val="continue"/>
            <w:shd w:val="clear" w:color="auto" w:fill="auto"/>
          </w:tcPr>
          <w:p w14:paraId="3369A47A">
            <w:pPr>
              <w:pStyle w:val="186"/>
              <w:widowControl w:val="0"/>
              <w:spacing w:line="240" w:lineRule="auto"/>
              <w:ind w:firstLine="0"/>
              <w:jc w:val="left"/>
            </w:pPr>
          </w:p>
        </w:tc>
        <w:tc>
          <w:tcPr>
            <w:tcW w:w="1735" w:type="dxa"/>
            <w:shd w:val="clear" w:color="auto" w:fill="auto"/>
          </w:tcPr>
          <w:p w14:paraId="76D7AAB1">
            <w:pPr>
              <w:pStyle w:val="186"/>
              <w:widowControl w:val="0"/>
              <w:spacing w:line="240" w:lineRule="auto"/>
              <w:ind w:firstLine="0"/>
              <w:jc w:val="left"/>
            </w:pPr>
            <w:r>
              <w:t>WEB</w:t>
            </w:r>
            <w:r>
              <w:rPr>
                <w:rFonts w:hint="eastAsia"/>
              </w:rPr>
              <w:t>防护日志</w:t>
            </w:r>
          </w:p>
        </w:tc>
        <w:tc>
          <w:tcPr>
            <w:tcW w:w="5952" w:type="dxa"/>
            <w:shd w:val="clear" w:color="auto" w:fill="auto"/>
          </w:tcPr>
          <w:p w14:paraId="4ABC485A">
            <w:pPr>
              <w:pStyle w:val="186"/>
              <w:widowControl w:val="0"/>
              <w:spacing w:line="240" w:lineRule="auto"/>
              <w:ind w:firstLine="0"/>
              <w:jc w:val="left"/>
            </w:pPr>
            <w:r>
              <w:rPr>
                <w:rFonts w:hint="eastAsia"/>
              </w:rPr>
              <w:t>Web防护策略中精准访问控制和规则防护策略产生的日志。</w:t>
            </w:r>
          </w:p>
        </w:tc>
      </w:tr>
      <w:tr w14:paraId="516C21F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vMerge w:val="continue"/>
            <w:shd w:val="clear" w:color="auto" w:fill="auto"/>
          </w:tcPr>
          <w:p w14:paraId="45E5C340">
            <w:pPr>
              <w:pStyle w:val="186"/>
              <w:widowControl w:val="0"/>
              <w:spacing w:line="240" w:lineRule="auto"/>
              <w:ind w:firstLine="0"/>
              <w:jc w:val="left"/>
            </w:pPr>
          </w:p>
        </w:tc>
        <w:tc>
          <w:tcPr>
            <w:tcW w:w="1735" w:type="dxa"/>
            <w:shd w:val="clear" w:color="auto" w:fill="auto"/>
          </w:tcPr>
          <w:p w14:paraId="1A80379B">
            <w:pPr>
              <w:pStyle w:val="186"/>
              <w:widowControl w:val="0"/>
              <w:spacing w:line="240" w:lineRule="auto"/>
              <w:ind w:firstLine="0"/>
              <w:jc w:val="left"/>
            </w:pPr>
            <w:r>
              <w:rPr>
                <w:rFonts w:hint="eastAsia"/>
              </w:rPr>
              <w:t>行为模型日志</w:t>
            </w:r>
          </w:p>
        </w:tc>
        <w:tc>
          <w:tcPr>
            <w:tcW w:w="5952" w:type="dxa"/>
            <w:shd w:val="clear" w:color="auto" w:fill="auto"/>
          </w:tcPr>
          <w:p w14:paraId="43E2087B">
            <w:pPr>
              <w:pStyle w:val="186"/>
              <w:widowControl w:val="0"/>
              <w:spacing w:line="240" w:lineRule="auto"/>
              <w:ind w:firstLine="0"/>
              <w:jc w:val="left"/>
            </w:pPr>
            <w:r>
              <w:rPr>
                <w:rFonts w:hint="eastAsia"/>
              </w:rPr>
              <w:t>行为模型策略产生的日志。</w:t>
            </w:r>
          </w:p>
        </w:tc>
      </w:tr>
      <w:tr w14:paraId="7F0AA08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vMerge w:val="continue"/>
            <w:shd w:val="clear" w:color="auto" w:fill="auto"/>
          </w:tcPr>
          <w:p w14:paraId="3C60AF71">
            <w:pPr>
              <w:pStyle w:val="186"/>
              <w:widowControl w:val="0"/>
              <w:spacing w:line="240" w:lineRule="auto"/>
              <w:ind w:firstLine="0"/>
              <w:jc w:val="left"/>
            </w:pPr>
          </w:p>
        </w:tc>
        <w:tc>
          <w:tcPr>
            <w:tcW w:w="1735" w:type="dxa"/>
            <w:shd w:val="clear" w:color="auto" w:fill="auto"/>
          </w:tcPr>
          <w:p w14:paraId="6437554B">
            <w:pPr>
              <w:pStyle w:val="186"/>
              <w:widowControl w:val="0"/>
              <w:spacing w:line="240" w:lineRule="auto"/>
              <w:ind w:firstLine="0"/>
              <w:jc w:val="left"/>
            </w:pPr>
            <w:r>
              <w:rPr>
                <w:rFonts w:hint="eastAsia"/>
              </w:rPr>
              <w:t>防暴力破解日志</w:t>
            </w:r>
          </w:p>
        </w:tc>
        <w:tc>
          <w:tcPr>
            <w:tcW w:w="5952" w:type="dxa"/>
            <w:shd w:val="clear" w:color="auto" w:fill="auto"/>
          </w:tcPr>
          <w:p w14:paraId="39D016E2">
            <w:pPr>
              <w:pStyle w:val="186"/>
              <w:widowControl w:val="0"/>
              <w:spacing w:line="240" w:lineRule="auto"/>
              <w:ind w:firstLine="0"/>
              <w:jc w:val="left"/>
            </w:pPr>
            <w:r>
              <w:rPr>
                <w:rFonts w:hint="eastAsia"/>
              </w:rPr>
              <w:t>防暴力破解策略产生的日志。</w:t>
            </w:r>
          </w:p>
        </w:tc>
      </w:tr>
      <w:tr w14:paraId="0E3633E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vMerge w:val="continue"/>
            <w:shd w:val="clear" w:color="auto" w:fill="auto"/>
          </w:tcPr>
          <w:p w14:paraId="55BC9535">
            <w:pPr>
              <w:pStyle w:val="186"/>
              <w:widowControl w:val="0"/>
              <w:spacing w:line="240" w:lineRule="auto"/>
              <w:ind w:firstLine="0"/>
              <w:jc w:val="left"/>
            </w:pPr>
          </w:p>
        </w:tc>
        <w:tc>
          <w:tcPr>
            <w:tcW w:w="1735" w:type="dxa"/>
            <w:shd w:val="clear" w:color="auto" w:fill="auto"/>
          </w:tcPr>
          <w:p w14:paraId="3EB5075E">
            <w:pPr>
              <w:pStyle w:val="186"/>
              <w:widowControl w:val="0"/>
              <w:spacing w:line="240" w:lineRule="auto"/>
              <w:ind w:firstLine="0"/>
              <w:jc w:val="left"/>
            </w:pPr>
            <w:r>
              <w:rPr>
                <w:rFonts w:hint="eastAsia"/>
              </w:rPr>
              <w:t>弱密码防护日志</w:t>
            </w:r>
          </w:p>
        </w:tc>
        <w:tc>
          <w:tcPr>
            <w:tcW w:w="5952" w:type="dxa"/>
            <w:shd w:val="clear" w:color="auto" w:fill="auto"/>
          </w:tcPr>
          <w:p w14:paraId="41E87751">
            <w:pPr>
              <w:pStyle w:val="186"/>
              <w:widowControl w:val="0"/>
              <w:spacing w:line="240" w:lineRule="auto"/>
              <w:ind w:firstLine="0"/>
              <w:jc w:val="left"/>
            </w:pPr>
            <w:r>
              <w:rPr>
                <w:rFonts w:hint="eastAsia"/>
              </w:rPr>
              <w:t>弱密码防护策略产生的日志。</w:t>
            </w:r>
          </w:p>
        </w:tc>
      </w:tr>
      <w:tr w14:paraId="154ACE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vMerge w:val="continue"/>
            <w:shd w:val="clear" w:color="auto" w:fill="auto"/>
          </w:tcPr>
          <w:p w14:paraId="5072A1E0">
            <w:pPr>
              <w:pStyle w:val="186"/>
              <w:widowControl w:val="0"/>
              <w:spacing w:line="240" w:lineRule="auto"/>
              <w:ind w:firstLine="0"/>
              <w:jc w:val="left"/>
            </w:pPr>
          </w:p>
        </w:tc>
        <w:tc>
          <w:tcPr>
            <w:tcW w:w="1735" w:type="dxa"/>
            <w:shd w:val="clear" w:color="auto" w:fill="auto"/>
          </w:tcPr>
          <w:p w14:paraId="58B8F09B">
            <w:pPr>
              <w:pStyle w:val="186"/>
              <w:widowControl w:val="0"/>
              <w:spacing w:line="240" w:lineRule="auto"/>
              <w:ind w:firstLine="0"/>
              <w:jc w:val="left"/>
            </w:pPr>
            <w:r>
              <w:rPr>
                <w:rFonts w:hint="eastAsia"/>
              </w:rPr>
              <w:t>非法外联防护日志</w:t>
            </w:r>
          </w:p>
        </w:tc>
        <w:tc>
          <w:tcPr>
            <w:tcW w:w="5952" w:type="dxa"/>
            <w:shd w:val="clear" w:color="auto" w:fill="auto"/>
          </w:tcPr>
          <w:p w14:paraId="49F3492B">
            <w:pPr>
              <w:pStyle w:val="186"/>
              <w:widowControl w:val="0"/>
              <w:spacing w:line="240" w:lineRule="auto"/>
              <w:ind w:firstLine="0"/>
              <w:jc w:val="left"/>
            </w:pPr>
            <w:r>
              <w:rPr>
                <w:rFonts w:hint="eastAsia"/>
              </w:rPr>
              <w:t>非法外联防护策略产生的日志。</w:t>
            </w:r>
          </w:p>
        </w:tc>
      </w:tr>
      <w:tr w14:paraId="656BF1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vMerge w:val="restart"/>
            <w:shd w:val="clear" w:color="auto" w:fill="auto"/>
          </w:tcPr>
          <w:p w14:paraId="60664432">
            <w:pPr>
              <w:pStyle w:val="186"/>
              <w:widowControl w:val="0"/>
              <w:spacing w:line="240" w:lineRule="auto"/>
              <w:ind w:firstLine="0"/>
              <w:jc w:val="left"/>
            </w:pPr>
            <w:r>
              <w:rPr>
                <w:rFonts w:hint="eastAsia"/>
              </w:rPr>
              <w:t>审计日志</w:t>
            </w:r>
          </w:p>
        </w:tc>
        <w:tc>
          <w:tcPr>
            <w:tcW w:w="1735" w:type="dxa"/>
            <w:shd w:val="clear" w:color="auto" w:fill="auto"/>
          </w:tcPr>
          <w:p w14:paraId="4E531093">
            <w:pPr>
              <w:pStyle w:val="186"/>
              <w:widowControl w:val="0"/>
              <w:spacing w:line="240" w:lineRule="auto"/>
              <w:ind w:firstLine="0"/>
              <w:jc w:val="left"/>
            </w:pPr>
            <w:r>
              <w:t>访问网站日志</w:t>
            </w:r>
          </w:p>
        </w:tc>
        <w:tc>
          <w:tcPr>
            <w:tcW w:w="5952" w:type="dxa"/>
            <w:shd w:val="clear" w:color="auto" w:fill="auto"/>
          </w:tcPr>
          <w:p w14:paraId="63AFAC25">
            <w:pPr>
              <w:pStyle w:val="186"/>
              <w:widowControl w:val="0"/>
              <w:spacing w:line="240" w:lineRule="auto"/>
              <w:ind w:firstLine="0"/>
              <w:jc w:val="left"/>
            </w:pPr>
            <w:r>
              <w:rPr>
                <w:rFonts w:hint="eastAsia"/>
              </w:rPr>
              <w:t>访问网站产生的日志。</w:t>
            </w:r>
          </w:p>
        </w:tc>
      </w:tr>
      <w:tr w14:paraId="2826CD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vMerge w:val="continue"/>
            <w:shd w:val="clear" w:color="auto" w:fill="auto"/>
          </w:tcPr>
          <w:p w14:paraId="792F5BFC">
            <w:pPr>
              <w:pStyle w:val="186"/>
              <w:widowControl w:val="0"/>
              <w:spacing w:line="240" w:lineRule="auto"/>
              <w:ind w:firstLine="0"/>
              <w:jc w:val="left"/>
            </w:pPr>
          </w:p>
        </w:tc>
        <w:tc>
          <w:tcPr>
            <w:tcW w:w="1735" w:type="dxa"/>
            <w:shd w:val="clear" w:color="auto" w:fill="auto"/>
          </w:tcPr>
          <w:p w14:paraId="28E8D406">
            <w:pPr>
              <w:pStyle w:val="186"/>
              <w:widowControl w:val="0"/>
              <w:spacing w:line="240" w:lineRule="auto"/>
              <w:ind w:firstLine="0"/>
              <w:jc w:val="left"/>
            </w:pPr>
            <w:r>
              <w:t>IM</w:t>
            </w:r>
            <w:r>
              <w:rPr>
                <w:rFonts w:hint="eastAsia"/>
              </w:rPr>
              <w:t>聊天软件日志</w:t>
            </w:r>
          </w:p>
        </w:tc>
        <w:tc>
          <w:tcPr>
            <w:tcW w:w="5952" w:type="dxa"/>
            <w:shd w:val="clear" w:color="auto" w:fill="auto"/>
          </w:tcPr>
          <w:p w14:paraId="071ABF3A">
            <w:pPr>
              <w:pStyle w:val="186"/>
              <w:widowControl w:val="0"/>
              <w:spacing w:line="240" w:lineRule="auto"/>
              <w:ind w:firstLine="0"/>
              <w:jc w:val="left"/>
            </w:pPr>
            <w:r>
              <w:t xml:space="preserve">使用IM </w:t>
            </w:r>
            <w:r>
              <w:rPr>
                <w:rFonts w:hint="eastAsia"/>
              </w:rPr>
              <w:t>即时通讯工具，如</w:t>
            </w:r>
            <w:r>
              <w:t>QQ</w:t>
            </w:r>
            <w:r>
              <w:rPr>
                <w:rFonts w:hint="eastAsia"/>
              </w:rPr>
              <w:t>、</w:t>
            </w:r>
            <w:r>
              <w:t>MSN</w:t>
            </w:r>
            <w:r>
              <w:rPr>
                <w:rFonts w:hint="eastAsia"/>
              </w:rPr>
              <w:t>等产生的日志。</w:t>
            </w:r>
          </w:p>
        </w:tc>
      </w:tr>
      <w:tr w14:paraId="7FEC5F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vMerge w:val="continue"/>
            <w:shd w:val="clear" w:color="auto" w:fill="auto"/>
          </w:tcPr>
          <w:p w14:paraId="73B0ACCB">
            <w:pPr>
              <w:pStyle w:val="186"/>
              <w:widowControl w:val="0"/>
              <w:spacing w:line="240" w:lineRule="auto"/>
              <w:ind w:firstLine="0"/>
              <w:jc w:val="left"/>
            </w:pPr>
          </w:p>
        </w:tc>
        <w:tc>
          <w:tcPr>
            <w:tcW w:w="1735" w:type="dxa"/>
            <w:shd w:val="clear" w:color="auto" w:fill="auto"/>
          </w:tcPr>
          <w:p w14:paraId="5BE1EAB8">
            <w:pPr>
              <w:pStyle w:val="186"/>
              <w:widowControl w:val="0"/>
              <w:spacing w:line="240" w:lineRule="auto"/>
              <w:ind w:firstLine="0"/>
              <w:jc w:val="left"/>
            </w:pPr>
            <w:r>
              <w:rPr>
                <w:rFonts w:hint="eastAsia"/>
              </w:rPr>
              <w:t>社区日志</w:t>
            </w:r>
          </w:p>
        </w:tc>
        <w:tc>
          <w:tcPr>
            <w:tcW w:w="5952" w:type="dxa"/>
            <w:shd w:val="clear" w:color="auto" w:fill="auto"/>
          </w:tcPr>
          <w:p w14:paraId="04F6822B">
            <w:pPr>
              <w:pStyle w:val="186"/>
              <w:widowControl w:val="0"/>
              <w:spacing w:line="240" w:lineRule="auto"/>
              <w:ind w:firstLine="0"/>
              <w:jc w:val="left"/>
            </w:pPr>
            <w:r>
              <w:rPr>
                <w:rFonts w:hint="eastAsia"/>
              </w:rPr>
              <w:t>浏览网络社区，微博、论坛时产生的的日志。</w:t>
            </w:r>
          </w:p>
        </w:tc>
      </w:tr>
      <w:tr w14:paraId="0EDD4E9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vMerge w:val="continue"/>
            <w:shd w:val="clear" w:color="auto" w:fill="auto"/>
          </w:tcPr>
          <w:p w14:paraId="2A1D32DA">
            <w:pPr>
              <w:pStyle w:val="186"/>
              <w:widowControl w:val="0"/>
              <w:spacing w:line="240" w:lineRule="auto"/>
              <w:ind w:firstLine="0"/>
              <w:jc w:val="left"/>
            </w:pPr>
          </w:p>
        </w:tc>
        <w:tc>
          <w:tcPr>
            <w:tcW w:w="1735" w:type="dxa"/>
            <w:shd w:val="clear" w:color="auto" w:fill="auto"/>
          </w:tcPr>
          <w:p w14:paraId="3D3491D0">
            <w:pPr>
              <w:pStyle w:val="186"/>
              <w:widowControl w:val="0"/>
              <w:spacing w:line="240" w:lineRule="auto"/>
              <w:ind w:firstLine="0"/>
              <w:jc w:val="left"/>
            </w:pPr>
            <w:r>
              <w:rPr>
                <w:rFonts w:hint="eastAsia"/>
              </w:rPr>
              <w:t>搜索引擎日志</w:t>
            </w:r>
          </w:p>
        </w:tc>
        <w:tc>
          <w:tcPr>
            <w:tcW w:w="5952" w:type="dxa"/>
            <w:shd w:val="clear" w:color="auto" w:fill="auto"/>
          </w:tcPr>
          <w:p w14:paraId="24CAB061">
            <w:pPr>
              <w:pStyle w:val="186"/>
              <w:widowControl w:val="0"/>
              <w:spacing w:line="240" w:lineRule="auto"/>
              <w:ind w:firstLine="0"/>
              <w:jc w:val="left"/>
            </w:pPr>
            <w:r>
              <w:rPr>
                <w:rFonts w:hint="eastAsia"/>
              </w:rPr>
              <w:t>搜索引擎产生的日志。</w:t>
            </w:r>
          </w:p>
        </w:tc>
      </w:tr>
      <w:tr w14:paraId="0E3FB3E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vMerge w:val="continue"/>
            <w:shd w:val="clear" w:color="auto" w:fill="auto"/>
          </w:tcPr>
          <w:p w14:paraId="5B1C7FB2">
            <w:pPr>
              <w:pStyle w:val="186"/>
              <w:widowControl w:val="0"/>
              <w:spacing w:line="240" w:lineRule="auto"/>
              <w:ind w:firstLine="0"/>
              <w:jc w:val="left"/>
            </w:pPr>
          </w:p>
        </w:tc>
        <w:tc>
          <w:tcPr>
            <w:tcW w:w="1735" w:type="dxa"/>
            <w:shd w:val="clear" w:color="auto" w:fill="auto"/>
          </w:tcPr>
          <w:p w14:paraId="6F5BBA22">
            <w:pPr>
              <w:pStyle w:val="186"/>
              <w:widowControl w:val="0"/>
              <w:spacing w:line="240" w:lineRule="auto"/>
              <w:ind w:firstLine="0"/>
              <w:jc w:val="left"/>
            </w:pPr>
            <w:r>
              <w:rPr>
                <w:rFonts w:hint="eastAsia"/>
              </w:rPr>
              <w:t>邮件日志</w:t>
            </w:r>
          </w:p>
        </w:tc>
        <w:tc>
          <w:tcPr>
            <w:tcW w:w="5952" w:type="dxa"/>
            <w:shd w:val="clear" w:color="auto" w:fill="auto"/>
          </w:tcPr>
          <w:p w14:paraId="2D00AED4">
            <w:pPr>
              <w:pStyle w:val="186"/>
              <w:widowControl w:val="0"/>
              <w:spacing w:line="240" w:lineRule="auto"/>
              <w:ind w:firstLine="0"/>
              <w:jc w:val="left"/>
            </w:pPr>
            <w:r>
              <w:rPr>
                <w:rFonts w:hint="eastAsia"/>
              </w:rPr>
              <w:t>收发邮件时产生的的日志。</w:t>
            </w:r>
          </w:p>
        </w:tc>
      </w:tr>
      <w:tr w14:paraId="1D8308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vMerge w:val="continue"/>
            <w:shd w:val="clear" w:color="auto" w:fill="auto"/>
          </w:tcPr>
          <w:p w14:paraId="3CE4E022">
            <w:pPr>
              <w:pStyle w:val="186"/>
              <w:widowControl w:val="0"/>
              <w:spacing w:line="240" w:lineRule="auto"/>
              <w:ind w:firstLine="0"/>
              <w:jc w:val="left"/>
            </w:pPr>
          </w:p>
        </w:tc>
        <w:tc>
          <w:tcPr>
            <w:tcW w:w="1735" w:type="dxa"/>
            <w:shd w:val="clear" w:color="auto" w:fill="auto"/>
          </w:tcPr>
          <w:p w14:paraId="33775BEF">
            <w:pPr>
              <w:pStyle w:val="186"/>
              <w:widowControl w:val="0"/>
              <w:spacing w:line="240" w:lineRule="auto"/>
              <w:ind w:firstLine="0"/>
              <w:jc w:val="left"/>
            </w:pPr>
            <w:r>
              <w:rPr>
                <w:rFonts w:hint="eastAsia"/>
              </w:rPr>
              <w:t>文件传输日志</w:t>
            </w:r>
            <w:r>
              <w:t xml:space="preserve"> </w:t>
            </w:r>
          </w:p>
        </w:tc>
        <w:tc>
          <w:tcPr>
            <w:tcW w:w="5952" w:type="dxa"/>
            <w:shd w:val="clear" w:color="auto" w:fill="auto"/>
          </w:tcPr>
          <w:p w14:paraId="050EA2AA">
            <w:pPr>
              <w:pStyle w:val="186"/>
              <w:widowControl w:val="0"/>
              <w:spacing w:line="240" w:lineRule="auto"/>
              <w:ind w:firstLine="0"/>
              <w:jc w:val="left"/>
            </w:pPr>
            <w:r>
              <w:rPr>
                <w:rFonts w:hint="eastAsia"/>
              </w:rPr>
              <w:t>使用FTP等工具传输文件时产生的日志。</w:t>
            </w:r>
          </w:p>
        </w:tc>
      </w:tr>
      <w:tr w14:paraId="654073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vMerge w:val="continue"/>
            <w:shd w:val="clear" w:color="auto" w:fill="auto"/>
          </w:tcPr>
          <w:p w14:paraId="46DBD8EB">
            <w:pPr>
              <w:pStyle w:val="186"/>
              <w:widowControl w:val="0"/>
              <w:spacing w:line="240" w:lineRule="auto"/>
              <w:ind w:firstLine="0"/>
              <w:jc w:val="left"/>
            </w:pPr>
          </w:p>
        </w:tc>
        <w:tc>
          <w:tcPr>
            <w:tcW w:w="1735" w:type="dxa"/>
            <w:shd w:val="clear" w:color="auto" w:fill="auto"/>
          </w:tcPr>
          <w:p w14:paraId="7B1D7DAB">
            <w:pPr>
              <w:pStyle w:val="186"/>
              <w:widowControl w:val="0"/>
              <w:spacing w:line="240" w:lineRule="auto"/>
              <w:ind w:firstLine="0"/>
              <w:jc w:val="left"/>
            </w:pPr>
            <w:r>
              <w:rPr>
                <w:rFonts w:hint="eastAsia"/>
              </w:rPr>
              <w:t>娱乐</w:t>
            </w:r>
            <w:r>
              <w:t>/</w:t>
            </w:r>
            <w:r>
              <w:rPr>
                <w:rFonts w:hint="eastAsia"/>
              </w:rPr>
              <w:t>股票日志</w:t>
            </w:r>
          </w:p>
        </w:tc>
        <w:tc>
          <w:tcPr>
            <w:tcW w:w="5952" w:type="dxa"/>
            <w:shd w:val="clear" w:color="auto" w:fill="auto"/>
          </w:tcPr>
          <w:p w14:paraId="356B0235">
            <w:pPr>
              <w:pStyle w:val="186"/>
              <w:widowControl w:val="0"/>
              <w:spacing w:line="240" w:lineRule="auto"/>
              <w:ind w:firstLine="0"/>
              <w:jc w:val="left"/>
            </w:pPr>
            <w:r>
              <w:rPr>
                <w:rFonts w:hint="eastAsia"/>
              </w:rPr>
              <w:t>访问娱乐、股票等网站或应用时产生的的日志。</w:t>
            </w:r>
          </w:p>
        </w:tc>
      </w:tr>
      <w:tr w14:paraId="77C696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vMerge w:val="continue"/>
            <w:shd w:val="clear" w:color="auto" w:fill="auto"/>
          </w:tcPr>
          <w:p w14:paraId="748CDA6D">
            <w:pPr>
              <w:pStyle w:val="186"/>
              <w:widowControl w:val="0"/>
              <w:spacing w:line="240" w:lineRule="auto"/>
              <w:ind w:firstLine="0"/>
              <w:jc w:val="left"/>
            </w:pPr>
          </w:p>
        </w:tc>
        <w:tc>
          <w:tcPr>
            <w:tcW w:w="1735" w:type="dxa"/>
            <w:shd w:val="clear" w:color="auto" w:fill="auto"/>
          </w:tcPr>
          <w:p w14:paraId="5AA47EF5">
            <w:pPr>
              <w:pStyle w:val="186"/>
              <w:widowControl w:val="0"/>
              <w:spacing w:line="240" w:lineRule="auto"/>
              <w:ind w:firstLine="0"/>
              <w:jc w:val="left"/>
            </w:pPr>
            <w:r>
              <w:rPr>
                <w:rFonts w:hint="eastAsia"/>
              </w:rPr>
              <w:t>协议审计日志</w:t>
            </w:r>
          </w:p>
        </w:tc>
        <w:tc>
          <w:tcPr>
            <w:tcW w:w="5952" w:type="dxa"/>
            <w:shd w:val="clear" w:color="auto" w:fill="auto"/>
          </w:tcPr>
          <w:p w14:paraId="73A7647A">
            <w:pPr>
              <w:pStyle w:val="186"/>
              <w:widowControl w:val="0"/>
              <w:spacing w:line="240" w:lineRule="auto"/>
              <w:ind w:firstLine="0"/>
              <w:jc w:val="left"/>
            </w:pPr>
            <w:r>
              <w:rPr>
                <w:rFonts w:hint="eastAsia"/>
              </w:rPr>
              <w:t>使用FTP等基础网络协议的日志。</w:t>
            </w:r>
          </w:p>
        </w:tc>
      </w:tr>
      <w:tr w14:paraId="18D7F5D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vMerge w:val="continue"/>
            <w:shd w:val="clear" w:color="auto" w:fill="auto"/>
          </w:tcPr>
          <w:p w14:paraId="188C7C92">
            <w:pPr>
              <w:pStyle w:val="186"/>
              <w:widowControl w:val="0"/>
              <w:spacing w:line="240" w:lineRule="auto"/>
              <w:ind w:firstLine="0"/>
              <w:jc w:val="left"/>
            </w:pPr>
          </w:p>
        </w:tc>
        <w:tc>
          <w:tcPr>
            <w:tcW w:w="1735" w:type="dxa"/>
            <w:shd w:val="clear" w:color="auto" w:fill="auto"/>
          </w:tcPr>
          <w:p w14:paraId="6093B2CC">
            <w:pPr>
              <w:pStyle w:val="186"/>
              <w:widowControl w:val="0"/>
              <w:spacing w:line="240" w:lineRule="auto"/>
              <w:ind w:firstLine="0"/>
              <w:jc w:val="left"/>
            </w:pPr>
            <w:r>
              <w:rPr>
                <w:rFonts w:hint="eastAsia"/>
              </w:rPr>
              <w:t>数据库审计日志</w:t>
            </w:r>
          </w:p>
        </w:tc>
        <w:tc>
          <w:tcPr>
            <w:tcW w:w="5952" w:type="dxa"/>
            <w:shd w:val="clear" w:color="auto" w:fill="auto"/>
          </w:tcPr>
          <w:p w14:paraId="1D3F1A12">
            <w:pPr>
              <w:pStyle w:val="186"/>
              <w:widowControl w:val="0"/>
              <w:spacing w:line="240" w:lineRule="auto"/>
              <w:ind w:firstLine="0"/>
              <w:jc w:val="left"/>
            </w:pPr>
            <w:r>
              <w:rPr>
                <w:rFonts w:hint="eastAsia"/>
              </w:rPr>
              <w:t>用户操作数据库行为产生的日志。</w:t>
            </w:r>
          </w:p>
        </w:tc>
      </w:tr>
      <w:tr w14:paraId="71041A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vMerge w:val="continue"/>
            <w:shd w:val="clear" w:color="auto" w:fill="auto"/>
          </w:tcPr>
          <w:p w14:paraId="2FFEEFA8">
            <w:pPr>
              <w:pStyle w:val="186"/>
              <w:widowControl w:val="0"/>
              <w:spacing w:line="240" w:lineRule="auto"/>
              <w:ind w:firstLine="0"/>
              <w:jc w:val="left"/>
            </w:pPr>
          </w:p>
        </w:tc>
        <w:tc>
          <w:tcPr>
            <w:tcW w:w="1735" w:type="dxa"/>
            <w:shd w:val="clear" w:color="auto" w:fill="auto"/>
          </w:tcPr>
          <w:p w14:paraId="623CBC7F">
            <w:pPr>
              <w:pStyle w:val="186"/>
              <w:widowControl w:val="0"/>
              <w:spacing w:line="240" w:lineRule="auto"/>
              <w:ind w:firstLine="0"/>
              <w:jc w:val="left"/>
            </w:pPr>
            <w:r>
              <w:rPr>
                <w:rFonts w:hint="eastAsia"/>
              </w:rPr>
              <w:t>其他应用日志</w:t>
            </w:r>
          </w:p>
        </w:tc>
        <w:tc>
          <w:tcPr>
            <w:tcW w:w="5952" w:type="dxa"/>
            <w:shd w:val="clear" w:color="auto" w:fill="auto"/>
          </w:tcPr>
          <w:p w14:paraId="4F184461">
            <w:pPr>
              <w:pStyle w:val="186"/>
              <w:widowControl w:val="0"/>
              <w:spacing w:line="240" w:lineRule="auto"/>
              <w:ind w:firstLine="0"/>
              <w:jc w:val="left"/>
            </w:pPr>
            <w:r>
              <w:rPr>
                <w:rFonts w:hint="eastAsia"/>
              </w:rPr>
              <w:t>其它类型的应用日志，如使用</w:t>
            </w:r>
            <w:r>
              <w:t>P2P</w:t>
            </w:r>
            <w:r>
              <w:rPr>
                <w:rFonts w:hint="eastAsia"/>
              </w:rPr>
              <w:t>、网银等应用产生的日志。</w:t>
            </w:r>
          </w:p>
        </w:tc>
      </w:tr>
      <w:tr w14:paraId="21DE42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vMerge w:val="restart"/>
            <w:shd w:val="clear" w:color="auto" w:fill="auto"/>
          </w:tcPr>
          <w:p w14:paraId="4585E579">
            <w:pPr>
              <w:pStyle w:val="186"/>
              <w:widowControl w:val="0"/>
              <w:spacing w:line="240" w:lineRule="auto"/>
              <w:ind w:firstLine="0"/>
              <w:jc w:val="left"/>
            </w:pPr>
            <w:r>
              <w:t>终端日志</w:t>
            </w:r>
          </w:p>
        </w:tc>
        <w:tc>
          <w:tcPr>
            <w:tcW w:w="1735" w:type="dxa"/>
            <w:shd w:val="clear" w:color="auto" w:fill="auto"/>
          </w:tcPr>
          <w:p w14:paraId="3CC11E1C">
            <w:pPr>
              <w:pStyle w:val="186"/>
              <w:widowControl w:val="0"/>
              <w:spacing w:line="240" w:lineRule="auto"/>
              <w:ind w:firstLine="0"/>
              <w:jc w:val="left"/>
            </w:pPr>
            <w:r>
              <w:rPr>
                <w:rFonts w:hint="eastAsia"/>
              </w:rPr>
              <w:t>用户上下线日志</w:t>
            </w:r>
          </w:p>
        </w:tc>
        <w:tc>
          <w:tcPr>
            <w:tcW w:w="5952" w:type="dxa"/>
            <w:shd w:val="clear" w:color="auto" w:fill="auto"/>
          </w:tcPr>
          <w:p w14:paraId="57ACF921">
            <w:pPr>
              <w:pStyle w:val="186"/>
              <w:widowControl w:val="0"/>
              <w:spacing w:line="240" w:lineRule="auto"/>
              <w:ind w:firstLine="0"/>
              <w:jc w:val="left"/>
            </w:pPr>
            <w:r>
              <w:t>认证用户上下线的日志</w:t>
            </w:r>
            <w:r>
              <w:rPr>
                <w:rFonts w:hint="eastAsia"/>
              </w:rPr>
              <w:t>。</w:t>
            </w:r>
          </w:p>
        </w:tc>
      </w:tr>
      <w:tr w14:paraId="292F0A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vMerge w:val="continue"/>
            <w:shd w:val="clear" w:color="auto" w:fill="auto"/>
          </w:tcPr>
          <w:p w14:paraId="66A913D7">
            <w:pPr>
              <w:pStyle w:val="186"/>
              <w:widowControl w:val="0"/>
              <w:spacing w:line="240" w:lineRule="auto"/>
              <w:ind w:firstLine="0"/>
              <w:jc w:val="left"/>
            </w:pPr>
          </w:p>
        </w:tc>
        <w:tc>
          <w:tcPr>
            <w:tcW w:w="1735" w:type="dxa"/>
            <w:shd w:val="clear" w:color="auto" w:fill="auto"/>
          </w:tcPr>
          <w:p w14:paraId="7F6B10EB">
            <w:pPr>
              <w:pStyle w:val="186"/>
              <w:widowControl w:val="0"/>
              <w:spacing w:line="240" w:lineRule="auto"/>
              <w:ind w:firstLine="0"/>
              <w:jc w:val="left"/>
            </w:pPr>
            <w:r>
              <w:rPr>
                <w:rFonts w:hint="eastAsia"/>
              </w:rPr>
              <w:t>共享接入日志</w:t>
            </w:r>
          </w:p>
        </w:tc>
        <w:tc>
          <w:tcPr>
            <w:tcW w:w="5952" w:type="dxa"/>
            <w:shd w:val="clear" w:color="auto" w:fill="auto"/>
          </w:tcPr>
          <w:p w14:paraId="49750434">
            <w:pPr>
              <w:pStyle w:val="186"/>
              <w:widowControl w:val="0"/>
              <w:spacing w:line="240" w:lineRule="auto"/>
              <w:ind w:firstLine="0"/>
              <w:jc w:val="left"/>
            </w:pPr>
            <w:r>
              <w:rPr>
                <w:rFonts w:hint="eastAsia"/>
              </w:rPr>
              <w:t>共享上网被</w:t>
            </w:r>
            <w:r>
              <w:t>惩罚阻断或限速的日志</w:t>
            </w:r>
            <w:r>
              <w:rPr>
                <w:rFonts w:hint="eastAsia"/>
              </w:rPr>
              <w:t>。</w:t>
            </w:r>
          </w:p>
        </w:tc>
      </w:tr>
      <w:tr w14:paraId="1C75D8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vMerge w:val="continue"/>
            <w:shd w:val="clear" w:color="auto" w:fill="auto"/>
          </w:tcPr>
          <w:p w14:paraId="0CA128F5">
            <w:pPr>
              <w:pStyle w:val="186"/>
              <w:widowControl w:val="0"/>
              <w:spacing w:line="240" w:lineRule="auto"/>
              <w:ind w:firstLine="0"/>
              <w:jc w:val="left"/>
            </w:pPr>
          </w:p>
        </w:tc>
        <w:tc>
          <w:tcPr>
            <w:tcW w:w="1735" w:type="dxa"/>
            <w:shd w:val="clear" w:color="auto" w:fill="auto"/>
          </w:tcPr>
          <w:p w14:paraId="1DACF421">
            <w:pPr>
              <w:pStyle w:val="186"/>
              <w:widowControl w:val="0"/>
              <w:spacing w:line="240" w:lineRule="auto"/>
              <w:ind w:firstLine="0"/>
              <w:jc w:val="left"/>
            </w:pPr>
            <w:r>
              <w:rPr>
                <w:rFonts w:hint="eastAsia"/>
              </w:rPr>
              <w:t>移动终端日志</w:t>
            </w:r>
          </w:p>
        </w:tc>
        <w:tc>
          <w:tcPr>
            <w:tcW w:w="5952" w:type="dxa"/>
            <w:shd w:val="clear" w:color="auto" w:fill="auto"/>
          </w:tcPr>
          <w:p w14:paraId="0F1E6783">
            <w:pPr>
              <w:pStyle w:val="186"/>
              <w:widowControl w:val="0"/>
              <w:spacing w:line="240" w:lineRule="auto"/>
              <w:ind w:firstLine="0"/>
              <w:jc w:val="left"/>
            </w:pPr>
            <w:r>
              <w:t>移动终端接入的</w:t>
            </w:r>
            <w:r>
              <w:rPr>
                <w:rFonts w:hint="eastAsia"/>
              </w:rPr>
              <w:t>日志。</w:t>
            </w:r>
          </w:p>
        </w:tc>
      </w:tr>
      <w:tr w14:paraId="286D09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vMerge w:val="continue"/>
            <w:shd w:val="clear" w:color="auto" w:fill="auto"/>
          </w:tcPr>
          <w:p w14:paraId="6FEDF476">
            <w:pPr>
              <w:pStyle w:val="186"/>
              <w:widowControl w:val="0"/>
              <w:spacing w:line="240" w:lineRule="auto"/>
              <w:ind w:firstLine="0"/>
              <w:jc w:val="left"/>
            </w:pPr>
          </w:p>
        </w:tc>
        <w:tc>
          <w:tcPr>
            <w:tcW w:w="1735" w:type="dxa"/>
            <w:shd w:val="clear" w:color="auto" w:fill="auto"/>
          </w:tcPr>
          <w:p w14:paraId="16C8443D">
            <w:pPr>
              <w:pStyle w:val="186"/>
              <w:widowControl w:val="0"/>
              <w:spacing w:line="240" w:lineRule="auto"/>
              <w:ind w:firstLine="0"/>
              <w:jc w:val="left"/>
            </w:pPr>
            <w:r>
              <w:rPr>
                <w:rFonts w:hint="eastAsia"/>
              </w:rPr>
              <w:t>流量限额日志</w:t>
            </w:r>
          </w:p>
        </w:tc>
        <w:tc>
          <w:tcPr>
            <w:tcW w:w="5952" w:type="dxa"/>
            <w:shd w:val="clear" w:color="auto" w:fill="auto"/>
          </w:tcPr>
          <w:p w14:paraId="1BEE84E5">
            <w:pPr>
              <w:pStyle w:val="186"/>
              <w:widowControl w:val="0"/>
              <w:spacing w:line="240" w:lineRule="auto"/>
              <w:ind w:firstLine="0"/>
              <w:jc w:val="left"/>
            </w:pPr>
            <w:r>
              <w:t>用户流量限额策略产生的日志</w:t>
            </w:r>
            <w:r>
              <w:rPr>
                <w:rFonts w:hint="eastAsia"/>
              </w:rPr>
              <w:t>。</w:t>
            </w:r>
          </w:p>
        </w:tc>
      </w:tr>
      <w:tr w14:paraId="3F9B291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vMerge w:val="continue"/>
            <w:shd w:val="clear" w:color="auto" w:fill="auto"/>
          </w:tcPr>
          <w:p w14:paraId="7A134CB1">
            <w:pPr>
              <w:pStyle w:val="186"/>
              <w:widowControl w:val="0"/>
              <w:spacing w:line="240" w:lineRule="auto"/>
              <w:ind w:firstLine="0"/>
              <w:jc w:val="left"/>
            </w:pPr>
          </w:p>
        </w:tc>
        <w:tc>
          <w:tcPr>
            <w:tcW w:w="1735" w:type="dxa"/>
            <w:shd w:val="clear" w:color="auto" w:fill="auto"/>
          </w:tcPr>
          <w:p w14:paraId="51721B89">
            <w:pPr>
              <w:pStyle w:val="186"/>
              <w:widowControl w:val="0"/>
              <w:spacing w:line="240" w:lineRule="auto"/>
              <w:ind w:firstLine="0"/>
              <w:jc w:val="left"/>
            </w:pPr>
            <w:r>
              <w:rPr>
                <w:rFonts w:hint="eastAsia"/>
              </w:rPr>
              <w:t>DDI终端用户日志</w:t>
            </w:r>
          </w:p>
        </w:tc>
        <w:tc>
          <w:tcPr>
            <w:tcW w:w="5952" w:type="dxa"/>
            <w:shd w:val="clear" w:color="auto" w:fill="auto"/>
          </w:tcPr>
          <w:p w14:paraId="21972CB7">
            <w:pPr>
              <w:pStyle w:val="186"/>
              <w:widowControl w:val="0"/>
              <w:spacing w:line="240" w:lineRule="auto"/>
              <w:ind w:firstLine="0"/>
              <w:jc w:val="left"/>
            </w:pPr>
            <w:r>
              <w:rPr>
                <w:rFonts w:hint="eastAsia"/>
              </w:rPr>
              <w:t>当开启DDI终端用户同步，DDI设备将终端上下线信息同步给设备后会产生DDI终端用户日志。</w:t>
            </w:r>
          </w:p>
        </w:tc>
      </w:tr>
      <w:tr w14:paraId="6F48EE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vMerge w:val="continue"/>
            <w:shd w:val="clear" w:color="auto" w:fill="auto"/>
          </w:tcPr>
          <w:p w14:paraId="3E83610B">
            <w:pPr>
              <w:pStyle w:val="186"/>
              <w:widowControl w:val="0"/>
              <w:spacing w:line="240" w:lineRule="auto"/>
              <w:ind w:firstLine="0"/>
              <w:jc w:val="left"/>
            </w:pPr>
          </w:p>
        </w:tc>
        <w:tc>
          <w:tcPr>
            <w:tcW w:w="1735" w:type="dxa"/>
            <w:shd w:val="clear" w:color="auto" w:fill="auto"/>
          </w:tcPr>
          <w:p w14:paraId="512EC41A">
            <w:pPr>
              <w:pStyle w:val="186"/>
              <w:widowControl w:val="0"/>
              <w:spacing w:line="240" w:lineRule="auto"/>
              <w:ind w:firstLine="0"/>
              <w:jc w:val="left"/>
            </w:pPr>
            <w:r>
              <w:rPr>
                <w:rFonts w:hint="eastAsia"/>
              </w:rPr>
              <w:t>用户自注册日志</w:t>
            </w:r>
          </w:p>
        </w:tc>
        <w:tc>
          <w:tcPr>
            <w:tcW w:w="5952" w:type="dxa"/>
            <w:shd w:val="clear" w:color="auto" w:fill="auto"/>
          </w:tcPr>
          <w:p w14:paraId="0A2602DF">
            <w:pPr>
              <w:pStyle w:val="186"/>
              <w:widowControl w:val="0"/>
              <w:spacing w:line="240" w:lineRule="auto"/>
              <w:ind w:firstLine="0"/>
              <w:jc w:val="left"/>
            </w:pPr>
            <w:r>
              <w:rPr>
                <w:rFonts w:hint="eastAsia"/>
              </w:rPr>
              <w:t>本地Web认证启用自注册后，终端用户在自注册页面提交注册申请产生的日志，以及管理员对自注册申请进行审批产生的日志。</w:t>
            </w:r>
          </w:p>
        </w:tc>
      </w:tr>
      <w:tr w14:paraId="472292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vMerge w:val="restart"/>
            <w:shd w:val="clear" w:color="auto" w:fill="auto"/>
          </w:tcPr>
          <w:p w14:paraId="5BEA7F72">
            <w:pPr>
              <w:pStyle w:val="186"/>
              <w:widowControl w:val="0"/>
              <w:spacing w:line="240" w:lineRule="auto"/>
              <w:ind w:firstLine="0"/>
              <w:jc w:val="left"/>
            </w:pPr>
            <w:r>
              <w:rPr>
                <w:rFonts w:hint="eastAsia"/>
              </w:rPr>
              <w:t>终端准入</w:t>
            </w:r>
            <w:r>
              <w:t>日志</w:t>
            </w:r>
          </w:p>
        </w:tc>
        <w:tc>
          <w:tcPr>
            <w:tcW w:w="1735" w:type="dxa"/>
            <w:shd w:val="clear" w:color="auto" w:fill="auto"/>
          </w:tcPr>
          <w:p w14:paraId="4E282E47">
            <w:pPr>
              <w:pStyle w:val="186"/>
              <w:widowControl w:val="0"/>
              <w:spacing w:line="240" w:lineRule="auto"/>
              <w:ind w:firstLine="0"/>
              <w:jc w:val="left"/>
            </w:pPr>
            <w:r>
              <w:rPr>
                <w:rFonts w:hint="eastAsia"/>
              </w:rPr>
              <w:t>聊天日志</w:t>
            </w:r>
          </w:p>
        </w:tc>
        <w:tc>
          <w:tcPr>
            <w:tcW w:w="5952" w:type="dxa"/>
            <w:shd w:val="clear" w:color="auto" w:fill="auto"/>
          </w:tcPr>
          <w:p w14:paraId="768428EA">
            <w:pPr>
              <w:pStyle w:val="186"/>
              <w:widowControl w:val="0"/>
              <w:spacing w:line="240" w:lineRule="auto"/>
              <w:ind w:firstLine="0"/>
              <w:jc w:val="left"/>
            </w:pPr>
            <w:r>
              <w:rPr>
                <w:rFonts w:hint="eastAsia"/>
              </w:rPr>
              <w:t>客户端审计开启聊天审计后，设备记录终端客户使用聊天工具聊天的日志。</w:t>
            </w:r>
          </w:p>
        </w:tc>
      </w:tr>
      <w:tr w14:paraId="77F3AA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vMerge w:val="continue"/>
            <w:shd w:val="clear" w:color="auto" w:fill="auto"/>
          </w:tcPr>
          <w:p w14:paraId="14488AC8">
            <w:pPr>
              <w:pStyle w:val="186"/>
              <w:widowControl w:val="0"/>
              <w:spacing w:line="240" w:lineRule="auto"/>
              <w:ind w:firstLine="0"/>
              <w:jc w:val="left"/>
            </w:pPr>
          </w:p>
        </w:tc>
        <w:tc>
          <w:tcPr>
            <w:tcW w:w="1735" w:type="dxa"/>
            <w:shd w:val="clear" w:color="auto" w:fill="auto"/>
          </w:tcPr>
          <w:p w14:paraId="3E00E0A4">
            <w:pPr>
              <w:pStyle w:val="186"/>
              <w:widowControl w:val="0"/>
              <w:spacing w:line="240" w:lineRule="auto"/>
              <w:ind w:firstLine="0"/>
              <w:jc w:val="left"/>
            </w:pPr>
            <w:r>
              <w:rPr>
                <w:rFonts w:hint="eastAsia"/>
              </w:rPr>
              <w:t>浏览器日志</w:t>
            </w:r>
          </w:p>
        </w:tc>
        <w:tc>
          <w:tcPr>
            <w:tcW w:w="5952" w:type="dxa"/>
            <w:shd w:val="clear" w:color="auto" w:fill="auto"/>
          </w:tcPr>
          <w:p w14:paraId="42B6C014">
            <w:pPr>
              <w:pStyle w:val="186"/>
              <w:widowControl w:val="0"/>
              <w:spacing w:line="240" w:lineRule="auto"/>
              <w:ind w:firstLine="0"/>
              <w:jc w:val="left"/>
            </w:pPr>
            <w:r>
              <w:rPr>
                <w:rFonts w:hint="eastAsia"/>
              </w:rPr>
              <w:t>客户端审计开启浏览器上网审计后，设备记录终端客户浏览网页的日志。</w:t>
            </w:r>
          </w:p>
        </w:tc>
      </w:tr>
      <w:tr w14:paraId="405899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vMerge w:val="continue"/>
            <w:shd w:val="clear" w:color="auto" w:fill="auto"/>
          </w:tcPr>
          <w:p w14:paraId="59E33459">
            <w:pPr>
              <w:pStyle w:val="186"/>
              <w:widowControl w:val="0"/>
              <w:spacing w:line="240" w:lineRule="auto"/>
              <w:ind w:firstLine="0"/>
              <w:jc w:val="left"/>
            </w:pPr>
          </w:p>
        </w:tc>
        <w:tc>
          <w:tcPr>
            <w:tcW w:w="1735" w:type="dxa"/>
            <w:shd w:val="clear" w:color="auto" w:fill="auto"/>
          </w:tcPr>
          <w:p w14:paraId="7C5C12AB">
            <w:pPr>
              <w:pStyle w:val="186"/>
              <w:widowControl w:val="0"/>
              <w:spacing w:line="240" w:lineRule="auto"/>
              <w:ind w:firstLine="0"/>
              <w:jc w:val="left"/>
            </w:pPr>
            <w:r>
              <w:rPr>
                <w:rFonts w:hint="eastAsia"/>
              </w:rPr>
              <w:t>邮件日志</w:t>
            </w:r>
          </w:p>
        </w:tc>
        <w:tc>
          <w:tcPr>
            <w:tcW w:w="5952" w:type="dxa"/>
            <w:shd w:val="clear" w:color="auto" w:fill="auto"/>
          </w:tcPr>
          <w:p w14:paraId="7345303D">
            <w:pPr>
              <w:pStyle w:val="186"/>
              <w:widowControl w:val="0"/>
              <w:spacing w:line="240" w:lineRule="auto"/>
              <w:ind w:firstLine="0"/>
              <w:jc w:val="left"/>
            </w:pPr>
            <w:r>
              <w:rPr>
                <w:rFonts w:hint="eastAsia"/>
              </w:rPr>
              <w:t>客户端审计开启邮件审计后，设备记录终端客户使用邮件的日志。</w:t>
            </w:r>
          </w:p>
        </w:tc>
      </w:tr>
      <w:tr w14:paraId="1EFFBC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vMerge w:val="continue"/>
            <w:shd w:val="clear" w:color="auto" w:fill="auto"/>
          </w:tcPr>
          <w:p w14:paraId="220F7C39">
            <w:pPr>
              <w:pStyle w:val="186"/>
              <w:widowControl w:val="0"/>
              <w:spacing w:line="240" w:lineRule="auto"/>
              <w:ind w:firstLine="0"/>
              <w:jc w:val="left"/>
            </w:pPr>
          </w:p>
        </w:tc>
        <w:tc>
          <w:tcPr>
            <w:tcW w:w="1735" w:type="dxa"/>
            <w:shd w:val="clear" w:color="auto" w:fill="auto"/>
          </w:tcPr>
          <w:p w14:paraId="471D5AE4">
            <w:pPr>
              <w:pStyle w:val="186"/>
              <w:widowControl w:val="0"/>
              <w:spacing w:line="240" w:lineRule="auto"/>
              <w:ind w:firstLine="0"/>
              <w:jc w:val="left"/>
            </w:pPr>
            <w:r>
              <w:rPr>
                <w:rFonts w:hint="eastAsia"/>
              </w:rPr>
              <w:t>USB事件日志</w:t>
            </w:r>
          </w:p>
        </w:tc>
        <w:tc>
          <w:tcPr>
            <w:tcW w:w="5952" w:type="dxa"/>
            <w:shd w:val="clear" w:color="auto" w:fill="auto"/>
          </w:tcPr>
          <w:p w14:paraId="4C34C1E8">
            <w:pPr>
              <w:pStyle w:val="186"/>
              <w:widowControl w:val="0"/>
              <w:spacing w:line="240" w:lineRule="auto"/>
              <w:ind w:firstLine="0"/>
              <w:jc w:val="left"/>
            </w:pPr>
            <w:r>
              <w:rPr>
                <w:rFonts w:hint="eastAsia"/>
              </w:rPr>
              <w:t>客户端审计开启USB审计后，设备记录终端客户使用USB设备的日志。</w:t>
            </w:r>
          </w:p>
        </w:tc>
      </w:tr>
      <w:tr w14:paraId="1F73D94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vMerge w:val="continue"/>
            <w:shd w:val="clear" w:color="auto" w:fill="auto"/>
          </w:tcPr>
          <w:p w14:paraId="53EB43BC">
            <w:pPr>
              <w:pStyle w:val="186"/>
              <w:widowControl w:val="0"/>
              <w:spacing w:line="240" w:lineRule="auto"/>
              <w:ind w:firstLine="0"/>
              <w:jc w:val="left"/>
            </w:pPr>
          </w:p>
        </w:tc>
        <w:tc>
          <w:tcPr>
            <w:tcW w:w="1735" w:type="dxa"/>
            <w:shd w:val="clear" w:color="auto" w:fill="auto"/>
          </w:tcPr>
          <w:p w14:paraId="0392635C">
            <w:pPr>
              <w:pStyle w:val="186"/>
              <w:widowControl w:val="0"/>
              <w:spacing w:line="240" w:lineRule="auto"/>
              <w:ind w:firstLine="0"/>
              <w:jc w:val="left"/>
            </w:pPr>
            <w:r>
              <w:rPr>
                <w:rFonts w:hint="eastAsia"/>
              </w:rPr>
              <w:t>进程列表日志</w:t>
            </w:r>
          </w:p>
        </w:tc>
        <w:tc>
          <w:tcPr>
            <w:tcW w:w="5952" w:type="dxa"/>
            <w:shd w:val="clear" w:color="auto" w:fill="auto"/>
          </w:tcPr>
          <w:p w14:paraId="21FA6EA8">
            <w:pPr>
              <w:pStyle w:val="186"/>
              <w:widowControl w:val="0"/>
              <w:spacing w:line="240" w:lineRule="auto"/>
              <w:ind w:firstLine="0"/>
              <w:jc w:val="left"/>
            </w:pPr>
            <w:r>
              <w:rPr>
                <w:rFonts w:hint="eastAsia"/>
              </w:rPr>
              <w:t>启客户端审计开启进程列表审计后，设备记录终端PC进程列表的日志。</w:t>
            </w:r>
          </w:p>
        </w:tc>
      </w:tr>
      <w:tr w14:paraId="1FB3DD7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shd w:val="clear" w:color="auto" w:fill="auto"/>
          </w:tcPr>
          <w:p w14:paraId="3A63661D">
            <w:pPr>
              <w:pStyle w:val="186"/>
              <w:widowControl w:val="0"/>
              <w:spacing w:line="240" w:lineRule="auto"/>
              <w:ind w:firstLine="0"/>
              <w:jc w:val="left"/>
            </w:pPr>
            <w:r>
              <w:rPr>
                <w:rFonts w:hint="eastAsia"/>
              </w:rPr>
              <w:t>系统会话日志</w:t>
            </w:r>
          </w:p>
        </w:tc>
        <w:tc>
          <w:tcPr>
            <w:tcW w:w="1735" w:type="dxa"/>
            <w:shd w:val="clear" w:color="auto" w:fill="auto"/>
          </w:tcPr>
          <w:p w14:paraId="125140E7">
            <w:pPr>
              <w:pStyle w:val="186"/>
              <w:widowControl w:val="0"/>
              <w:spacing w:line="240" w:lineRule="auto"/>
              <w:ind w:firstLine="0"/>
              <w:jc w:val="left"/>
            </w:pPr>
            <w:r>
              <w:rPr>
                <w:rFonts w:hint="eastAsia"/>
              </w:rPr>
              <w:t>系统会话日志</w:t>
            </w:r>
          </w:p>
        </w:tc>
        <w:tc>
          <w:tcPr>
            <w:tcW w:w="5952" w:type="dxa"/>
            <w:shd w:val="clear" w:color="auto" w:fill="auto"/>
          </w:tcPr>
          <w:p w14:paraId="523393A4">
            <w:pPr>
              <w:pStyle w:val="186"/>
              <w:widowControl w:val="0"/>
              <w:spacing w:line="240" w:lineRule="auto"/>
              <w:ind w:firstLine="0"/>
              <w:jc w:val="left"/>
            </w:pPr>
            <w:r>
              <w:rPr>
                <w:rFonts w:hint="eastAsia"/>
              </w:rPr>
              <w:t>设备根据系统会话日志设定的匹配条件，记录系统产生会话的日志信息。</w:t>
            </w:r>
          </w:p>
        </w:tc>
      </w:tr>
      <w:tr w14:paraId="498192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27" w:type="dxa"/>
            <w:shd w:val="clear" w:color="auto" w:fill="auto"/>
          </w:tcPr>
          <w:p w14:paraId="5244AEE5">
            <w:pPr>
              <w:pStyle w:val="186"/>
              <w:widowControl w:val="0"/>
              <w:spacing w:line="240" w:lineRule="auto"/>
              <w:ind w:firstLine="0"/>
              <w:jc w:val="left"/>
            </w:pPr>
            <w:r>
              <w:rPr>
                <w:rFonts w:hint="eastAsia"/>
              </w:rPr>
              <w:t>翻墙控制日志</w:t>
            </w:r>
          </w:p>
        </w:tc>
        <w:tc>
          <w:tcPr>
            <w:tcW w:w="1735" w:type="dxa"/>
            <w:shd w:val="clear" w:color="auto" w:fill="auto"/>
          </w:tcPr>
          <w:p w14:paraId="2FF660A8">
            <w:pPr>
              <w:pStyle w:val="186"/>
              <w:widowControl w:val="0"/>
              <w:spacing w:line="240" w:lineRule="auto"/>
              <w:ind w:firstLine="0"/>
              <w:jc w:val="left"/>
            </w:pPr>
            <w:r>
              <w:rPr>
                <w:rFonts w:hint="eastAsia"/>
              </w:rPr>
              <w:t>翻墙控制日志</w:t>
            </w:r>
          </w:p>
        </w:tc>
        <w:tc>
          <w:tcPr>
            <w:tcW w:w="5952" w:type="dxa"/>
            <w:shd w:val="clear" w:color="auto" w:fill="auto"/>
          </w:tcPr>
          <w:p w14:paraId="19E6E23A">
            <w:pPr>
              <w:pStyle w:val="186"/>
              <w:widowControl w:val="0"/>
              <w:spacing w:line="240" w:lineRule="auto"/>
              <w:ind w:firstLine="0"/>
              <w:jc w:val="left"/>
            </w:pPr>
            <w:r>
              <w:rPr>
                <w:rFonts w:hint="eastAsia"/>
              </w:rPr>
              <w:t>当内网用户通过翻墙软件访问外网时，设备上记录识别到的翻墙控制日志。</w:t>
            </w:r>
          </w:p>
        </w:tc>
      </w:tr>
    </w:tbl>
    <w:p w14:paraId="0AE5CFBF"/>
    <w:p w14:paraId="2D5F8963">
      <w:pPr>
        <w:pStyle w:val="6"/>
      </w:pPr>
      <w:bookmarkStart w:id="1015" w:name="_Toc393274139"/>
      <w:bookmarkStart w:id="1016" w:name="_Toc15402498"/>
      <w:bookmarkStart w:id="1017" w:name="_Toc141873270"/>
      <w:bookmarkStart w:id="1018" w:name="_Toc142400783"/>
      <w:bookmarkStart w:id="1019" w:name="_Toc15484634"/>
      <w:bookmarkStart w:id="1020" w:name="_Toc172217996"/>
      <w:bookmarkStart w:id="1021" w:name="_Toc40275834"/>
      <w:bookmarkStart w:id="1022" w:name="_Toc23152401"/>
      <w:bookmarkStart w:id="1023" w:name="_Toc99561320"/>
      <w:bookmarkStart w:id="1024" w:name="_Toc474250163"/>
      <w:r>
        <w:rPr>
          <w:rFonts w:hint="eastAsia"/>
        </w:rPr>
        <w:t>日志的等级</w:t>
      </w:r>
      <w:bookmarkEnd w:id="1015"/>
      <w:bookmarkEnd w:id="1016"/>
      <w:bookmarkEnd w:id="1017"/>
      <w:bookmarkEnd w:id="1018"/>
      <w:bookmarkEnd w:id="1019"/>
      <w:bookmarkEnd w:id="1020"/>
      <w:bookmarkEnd w:id="1021"/>
      <w:bookmarkEnd w:id="1022"/>
      <w:bookmarkEnd w:id="1023"/>
      <w:bookmarkEnd w:id="1024"/>
    </w:p>
    <w:p w14:paraId="45265AE1">
      <w:r>
        <w:rPr>
          <w:rFonts w:hint="eastAsia"/>
        </w:rPr>
        <w:t>日志信息是根据日志信息的严重程度区分的，根据严重程度不同，日志的严重等级可以分为</w:t>
      </w:r>
      <w:r>
        <w:t>8</w:t>
      </w:r>
      <w:r>
        <w:rPr>
          <w:rFonts w:hint="eastAsia"/>
        </w:rPr>
        <w:t>级，日志的级别如</w:t>
      </w:r>
      <w:r>
        <w:rPr>
          <w:color w:val="0000FF"/>
          <w:u w:val="single"/>
        </w:rPr>
        <w:fldChar w:fldCharType="begin"/>
      </w:r>
      <w:r>
        <w:rPr>
          <w:color w:val="0000FF"/>
          <w:u w:val="single"/>
        </w:rPr>
        <w:instrText xml:space="preserve"> REF _Ref391713877 \r \h </w:instrText>
      </w:r>
      <w:r>
        <w:rPr>
          <w:color w:val="0000FF"/>
          <w:u w:val="single"/>
        </w:rPr>
        <w:fldChar w:fldCharType="separate"/>
      </w:r>
      <w:r>
        <w:rPr>
          <w:rFonts w:hint="eastAsia"/>
          <w:color w:val="0000FF"/>
          <w:u w:val="single"/>
        </w:rPr>
        <w:t>表5-1</w:t>
      </w:r>
      <w:r>
        <w:rPr>
          <w:color w:val="0000FF"/>
          <w:u w:val="single"/>
        </w:rPr>
        <w:fldChar w:fldCharType="end"/>
      </w:r>
      <w:r>
        <w:rPr>
          <w:rFonts w:hint="eastAsia"/>
        </w:rPr>
        <w:t>所示。</w:t>
      </w:r>
    </w:p>
    <w:p w14:paraId="6B794141">
      <w:pPr>
        <w:pStyle w:val="183"/>
      </w:pPr>
      <w:bookmarkStart w:id="1025" w:name="_Ref391713877"/>
      <w:bookmarkStart w:id="1026" w:name="_Toc141875407"/>
      <w:r>
        <w:rPr>
          <w:rFonts w:hint="eastAsia"/>
        </w:rPr>
        <w:t>日志的级别</w:t>
      </w:r>
      <w:bookmarkEnd w:id="1025"/>
      <w:bookmarkEnd w:id="1026"/>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835"/>
        <w:gridCol w:w="1619"/>
        <w:gridCol w:w="4560"/>
      </w:tblGrid>
      <w:tr w14:paraId="65D15B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234" w:type="dxa"/>
            <w:tcBorders>
              <w:tl2br w:val="nil"/>
              <w:tr2bl w:val="nil"/>
            </w:tcBorders>
            <w:shd w:val="clear" w:color="auto" w:fill="538135" w:themeFill="accent6" w:themeFillShade="BF"/>
            <w:vAlign w:val="center"/>
          </w:tcPr>
          <w:p w14:paraId="25C93A73">
            <w:pPr>
              <w:pStyle w:val="149"/>
              <w:wordWrap/>
              <w:rPr>
                <w:b/>
                <w:bCs/>
                <w:i w:val="0"/>
                <w:iCs w:val="0"/>
              </w:rPr>
            </w:pPr>
            <w:r>
              <w:rPr>
                <w:rFonts w:hint="eastAsia"/>
                <w:b/>
                <w:bCs/>
                <w:i w:val="0"/>
                <w:iCs w:val="0"/>
              </w:rPr>
              <w:t>级别</w:t>
            </w:r>
          </w:p>
        </w:tc>
        <w:tc>
          <w:tcPr>
            <w:tcW w:w="1276" w:type="dxa"/>
            <w:tcBorders>
              <w:tl2br w:val="nil"/>
              <w:tr2bl w:val="nil"/>
            </w:tcBorders>
            <w:shd w:val="clear" w:color="auto" w:fill="538135" w:themeFill="accent6" w:themeFillShade="BF"/>
            <w:vAlign w:val="center"/>
          </w:tcPr>
          <w:p w14:paraId="33D40D8B">
            <w:pPr>
              <w:pStyle w:val="149"/>
              <w:wordWrap/>
              <w:rPr>
                <w:b/>
                <w:bCs/>
                <w:i w:val="0"/>
                <w:iCs w:val="0"/>
              </w:rPr>
            </w:pPr>
            <w:r>
              <w:rPr>
                <w:rFonts w:hint="eastAsia"/>
                <w:b/>
                <w:bCs/>
                <w:i w:val="0"/>
                <w:iCs w:val="0"/>
              </w:rPr>
              <w:t>级别号</w:t>
            </w:r>
          </w:p>
        </w:tc>
        <w:tc>
          <w:tcPr>
            <w:tcW w:w="3594" w:type="dxa"/>
            <w:tcBorders>
              <w:tl2br w:val="nil"/>
              <w:tr2bl w:val="nil"/>
            </w:tcBorders>
            <w:shd w:val="clear" w:color="auto" w:fill="538135" w:themeFill="accent6" w:themeFillShade="BF"/>
            <w:vAlign w:val="center"/>
          </w:tcPr>
          <w:p w14:paraId="69185713">
            <w:pPr>
              <w:pStyle w:val="149"/>
              <w:wordWrap/>
              <w:rPr>
                <w:b/>
                <w:bCs/>
                <w:i w:val="0"/>
                <w:iCs w:val="0"/>
              </w:rPr>
            </w:pPr>
            <w:r>
              <w:rPr>
                <w:rFonts w:hint="eastAsia"/>
                <w:b/>
                <w:bCs/>
                <w:i w:val="0"/>
                <w:iCs w:val="0"/>
              </w:rPr>
              <w:t>描述</w:t>
            </w:r>
          </w:p>
        </w:tc>
      </w:tr>
      <w:tr w14:paraId="489C10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234" w:type="dxa"/>
            <w:shd w:val="clear" w:color="auto" w:fill="auto"/>
          </w:tcPr>
          <w:p w14:paraId="2BC26B20">
            <w:pPr>
              <w:pStyle w:val="186"/>
              <w:widowControl w:val="0"/>
              <w:spacing w:line="240" w:lineRule="auto"/>
              <w:ind w:firstLine="0"/>
              <w:jc w:val="left"/>
            </w:pPr>
            <w:r>
              <w:rPr>
                <w:rFonts w:hint="eastAsia"/>
              </w:rPr>
              <w:t>紧急（</w:t>
            </w:r>
            <w:r>
              <w:t>emergencies</w:t>
            </w:r>
            <w:r>
              <w:rPr>
                <w:rFonts w:hint="eastAsia"/>
              </w:rPr>
              <w:t>）</w:t>
            </w:r>
          </w:p>
        </w:tc>
        <w:tc>
          <w:tcPr>
            <w:tcW w:w="1276" w:type="dxa"/>
            <w:shd w:val="clear" w:color="auto" w:fill="auto"/>
          </w:tcPr>
          <w:p w14:paraId="5C947447">
            <w:pPr>
              <w:pStyle w:val="186"/>
              <w:widowControl w:val="0"/>
              <w:spacing w:line="240" w:lineRule="auto"/>
              <w:ind w:firstLine="0"/>
              <w:jc w:val="left"/>
            </w:pPr>
            <w:r>
              <w:t>0</w:t>
            </w:r>
          </w:p>
        </w:tc>
        <w:tc>
          <w:tcPr>
            <w:tcW w:w="3594" w:type="dxa"/>
            <w:shd w:val="clear" w:color="auto" w:fill="auto"/>
          </w:tcPr>
          <w:p w14:paraId="463DB6D6">
            <w:pPr>
              <w:pStyle w:val="186"/>
              <w:widowControl w:val="0"/>
              <w:spacing w:line="240" w:lineRule="auto"/>
              <w:ind w:firstLine="0"/>
              <w:jc w:val="left"/>
            </w:pPr>
            <w:r>
              <w:rPr>
                <w:rFonts w:hint="eastAsia"/>
              </w:rPr>
              <w:t>系统不可用信息</w:t>
            </w:r>
          </w:p>
        </w:tc>
      </w:tr>
      <w:tr w14:paraId="2E4586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234" w:type="dxa"/>
            <w:shd w:val="clear" w:color="auto" w:fill="auto"/>
          </w:tcPr>
          <w:p w14:paraId="26421E21">
            <w:pPr>
              <w:pStyle w:val="186"/>
              <w:widowControl w:val="0"/>
              <w:spacing w:line="240" w:lineRule="auto"/>
              <w:ind w:firstLine="0"/>
              <w:jc w:val="left"/>
            </w:pPr>
            <w:r>
              <w:rPr>
                <w:rFonts w:hint="eastAsia"/>
              </w:rPr>
              <w:t>警报（</w:t>
            </w:r>
            <w:r>
              <w:t>alerts</w:t>
            </w:r>
            <w:r>
              <w:rPr>
                <w:rFonts w:hint="eastAsia"/>
              </w:rPr>
              <w:t>）</w:t>
            </w:r>
          </w:p>
        </w:tc>
        <w:tc>
          <w:tcPr>
            <w:tcW w:w="1276" w:type="dxa"/>
            <w:shd w:val="clear" w:color="auto" w:fill="auto"/>
          </w:tcPr>
          <w:p w14:paraId="518A9D25">
            <w:pPr>
              <w:pStyle w:val="186"/>
              <w:widowControl w:val="0"/>
              <w:spacing w:line="240" w:lineRule="auto"/>
              <w:ind w:firstLine="0"/>
              <w:jc w:val="left"/>
            </w:pPr>
            <w:r>
              <w:t>1</w:t>
            </w:r>
          </w:p>
        </w:tc>
        <w:tc>
          <w:tcPr>
            <w:tcW w:w="3594" w:type="dxa"/>
            <w:shd w:val="clear" w:color="auto" w:fill="auto"/>
          </w:tcPr>
          <w:p w14:paraId="4DBB8762">
            <w:pPr>
              <w:pStyle w:val="186"/>
              <w:widowControl w:val="0"/>
              <w:spacing w:line="240" w:lineRule="auto"/>
              <w:ind w:firstLine="0"/>
              <w:jc w:val="left"/>
            </w:pPr>
            <w:r>
              <w:rPr>
                <w:rFonts w:hint="eastAsia"/>
              </w:rPr>
              <w:t>需要立即处理的信息，如设备收到攻击等</w:t>
            </w:r>
          </w:p>
        </w:tc>
      </w:tr>
      <w:tr w14:paraId="739F7B5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234" w:type="dxa"/>
            <w:shd w:val="clear" w:color="auto" w:fill="auto"/>
          </w:tcPr>
          <w:p w14:paraId="3C45DCC7">
            <w:pPr>
              <w:pStyle w:val="186"/>
              <w:widowControl w:val="0"/>
              <w:spacing w:line="240" w:lineRule="auto"/>
              <w:ind w:firstLine="0"/>
              <w:jc w:val="left"/>
            </w:pPr>
            <w:r>
              <w:rPr>
                <w:rFonts w:hint="eastAsia"/>
              </w:rPr>
              <w:t>严重（</w:t>
            </w:r>
            <w:r>
              <w:t>critical</w:t>
            </w:r>
            <w:r>
              <w:rPr>
                <w:rFonts w:hint="eastAsia"/>
              </w:rPr>
              <w:t>）</w:t>
            </w:r>
          </w:p>
        </w:tc>
        <w:tc>
          <w:tcPr>
            <w:tcW w:w="1276" w:type="dxa"/>
            <w:shd w:val="clear" w:color="auto" w:fill="auto"/>
          </w:tcPr>
          <w:p w14:paraId="5F3396EE">
            <w:pPr>
              <w:pStyle w:val="186"/>
              <w:widowControl w:val="0"/>
              <w:spacing w:line="240" w:lineRule="auto"/>
              <w:ind w:firstLine="0"/>
              <w:jc w:val="left"/>
            </w:pPr>
            <w:r>
              <w:t>2</w:t>
            </w:r>
          </w:p>
        </w:tc>
        <w:tc>
          <w:tcPr>
            <w:tcW w:w="3594" w:type="dxa"/>
            <w:shd w:val="clear" w:color="auto" w:fill="auto"/>
          </w:tcPr>
          <w:p w14:paraId="59322417">
            <w:pPr>
              <w:pStyle w:val="186"/>
              <w:widowControl w:val="0"/>
              <w:spacing w:line="240" w:lineRule="auto"/>
              <w:ind w:firstLine="0"/>
              <w:jc w:val="left"/>
            </w:pPr>
            <w:r>
              <w:rPr>
                <w:rFonts w:hint="eastAsia"/>
              </w:rPr>
              <w:t>危机的信息，如硬件出错</w:t>
            </w:r>
          </w:p>
        </w:tc>
      </w:tr>
      <w:tr w14:paraId="53D681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234" w:type="dxa"/>
            <w:shd w:val="clear" w:color="auto" w:fill="auto"/>
          </w:tcPr>
          <w:p w14:paraId="484AC105">
            <w:pPr>
              <w:pStyle w:val="186"/>
              <w:widowControl w:val="0"/>
              <w:spacing w:line="240" w:lineRule="auto"/>
              <w:ind w:firstLine="0"/>
              <w:jc w:val="left"/>
            </w:pPr>
            <w:r>
              <w:rPr>
                <w:rFonts w:hint="eastAsia"/>
              </w:rPr>
              <w:t>错误（</w:t>
            </w:r>
            <w:r>
              <w:t>errors</w:t>
            </w:r>
            <w:r>
              <w:rPr>
                <w:rFonts w:hint="eastAsia"/>
              </w:rPr>
              <w:t>）</w:t>
            </w:r>
          </w:p>
        </w:tc>
        <w:tc>
          <w:tcPr>
            <w:tcW w:w="1276" w:type="dxa"/>
            <w:shd w:val="clear" w:color="auto" w:fill="auto"/>
          </w:tcPr>
          <w:p w14:paraId="76DBBA8C">
            <w:pPr>
              <w:pStyle w:val="186"/>
              <w:widowControl w:val="0"/>
              <w:spacing w:line="240" w:lineRule="auto"/>
              <w:ind w:firstLine="0"/>
              <w:jc w:val="left"/>
            </w:pPr>
            <w:r>
              <w:t>3</w:t>
            </w:r>
          </w:p>
        </w:tc>
        <w:tc>
          <w:tcPr>
            <w:tcW w:w="3594" w:type="dxa"/>
            <w:shd w:val="clear" w:color="auto" w:fill="auto"/>
          </w:tcPr>
          <w:p w14:paraId="669095FA">
            <w:pPr>
              <w:pStyle w:val="186"/>
              <w:widowControl w:val="0"/>
              <w:spacing w:line="240" w:lineRule="auto"/>
              <w:ind w:firstLine="0"/>
              <w:jc w:val="left"/>
            </w:pPr>
            <w:r>
              <w:rPr>
                <w:rFonts w:hint="eastAsia"/>
              </w:rPr>
              <w:t>错误信息</w:t>
            </w:r>
          </w:p>
        </w:tc>
      </w:tr>
      <w:tr w14:paraId="1E7115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234" w:type="dxa"/>
            <w:shd w:val="clear" w:color="auto" w:fill="auto"/>
          </w:tcPr>
          <w:p w14:paraId="6729172A">
            <w:pPr>
              <w:pStyle w:val="186"/>
              <w:widowControl w:val="0"/>
              <w:spacing w:line="240" w:lineRule="auto"/>
              <w:ind w:firstLine="0"/>
              <w:jc w:val="left"/>
            </w:pPr>
            <w:r>
              <w:rPr>
                <w:rFonts w:hint="eastAsia"/>
              </w:rPr>
              <w:t>警告（</w:t>
            </w:r>
            <w:r>
              <w:t>warnings</w:t>
            </w:r>
            <w:r>
              <w:rPr>
                <w:rFonts w:hint="eastAsia"/>
              </w:rPr>
              <w:t>）</w:t>
            </w:r>
          </w:p>
        </w:tc>
        <w:tc>
          <w:tcPr>
            <w:tcW w:w="1276" w:type="dxa"/>
            <w:shd w:val="clear" w:color="auto" w:fill="auto"/>
          </w:tcPr>
          <w:p w14:paraId="2E6A98D3">
            <w:pPr>
              <w:pStyle w:val="186"/>
              <w:widowControl w:val="0"/>
              <w:spacing w:line="240" w:lineRule="auto"/>
              <w:ind w:firstLine="0"/>
              <w:jc w:val="left"/>
            </w:pPr>
            <w:r>
              <w:t>4</w:t>
            </w:r>
          </w:p>
        </w:tc>
        <w:tc>
          <w:tcPr>
            <w:tcW w:w="3594" w:type="dxa"/>
            <w:shd w:val="clear" w:color="auto" w:fill="auto"/>
          </w:tcPr>
          <w:p w14:paraId="4A75A613">
            <w:pPr>
              <w:pStyle w:val="186"/>
              <w:widowControl w:val="0"/>
              <w:spacing w:line="240" w:lineRule="auto"/>
              <w:ind w:firstLine="0"/>
              <w:jc w:val="left"/>
            </w:pPr>
            <w:r>
              <w:rPr>
                <w:rFonts w:hint="eastAsia"/>
              </w:rPr>
              <w:t>报警信息</w:t>
            </w:r>
          </w:p>
        </w:tc>
      </w:tr>
      <w:tr w14:paraId="5E0D6D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234" w:type="dxa"/>
            <w:shd w:val="clear" w:color="auto" w:fill="auto"/>
          </w:tcPr>
          <w:p w14:paraId="734FA700">
            <w:pPr>
              <w:pStyle w:val="186"/>
              <w:widowControl w:val="0"/>
              <w:spacing w:line="240" w:lineRule="auto"/>
              <w:ind w:firstLine="0"/>
              <w:jc w:val="left"/>
            </w:pPr>
            <w:r>
              <w:rPr>
                <w:rFonts w:hint="eastAsia"/>
              </w:rPr>
              <w:t>通告（</w:t>
            </w:r>
            <w:r>
              <w:t>notifications</w:t>
            </w:r>
            <w:r>
              <w:rPr>
                <w:rFonts w:hint="eastAsia"/>
              </w:rPr>
              <w:t>）</w:t>
            </w:r>
          </w:p>
        </w:tc>
        <w:tc>
          <w:tcPr>
            <w:tcW w:w="1276" w:type="dxa"/>
            <w:shd w:val="clear" w:color="auto" w:fill="auto"/>
          </w:tcPr>
          <w:p w14:paraId="51C691E0">
            <w:pPr>
              <w:pStyle w:val="186"/>
              <w:widowControl w:val="0"/>
              <w:spacing w:line="240" w:lineRule="auto"/>
              <w:ind w:firstLine="0"/>
              <w:jc w:val="left"/>
            </w:pPr>
            <w:r>
              <w:t>5</w:t>
            </w:r>
          </w:p>
        </w:tc>
        <w:tc>
          <w:tcPr>
            <w:tcW w:w="3594" w:type="dxa"/>
            <w:shd w:val="clear" w:color="auto" w:fill="auto"/>
          </w:tcPr>
          <w:p w14:paraId="49D72759">
            <w:pPr>
              <w:pStyle w:val="186"/>
              <w:widowControl w:val="0"/>
              <w:spacing w:line="240" w:lineRule="auto"/>
              <w:ind w:firstLine="0"/>
              <w:jc w:val="left"/>
            </w:pPr>
            <w:r>
              <w:rPr>
                <w:rFonts w:hint="eastAsia"/>
              </w:rPr>
              <w:t>非错误信息，但需要特殊处理</w:t>
            </w:r>
          </w:p>
        </w:tc>
      </w:tr>
      <w:tr w14:paraId="3C588F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234" w:type="dxa"/>
            <w:shd w:val="clear" w:color="auto" w:fill="auto"/>
          </w:tcPr>
          <w:p w14:paraId="442FB8F9">
            <w:pPr>
              <w:pStyle w:val="186"/>
              <w:widowControl w:val="0"/>
              <w:spacing w:line="240" w:lineRule="auto"/>
              <w:ind w:firstLine="0"/>
              <w:jc w:val="left"/>
            </w:pPr>
            <w:r>
              <w:rPr>
                <w:rFonts w:hint="eastAsia"/>
              </w:rPr>
              <w:t>信息（</w:t>
            </w:r>
            <w:r>
              <w:t>informational</w:t>
            </w:r>
            <w:r>
              <w:rPr>
                <w:rFonts w:hint="eastAsia"/>
              </w:rPr>
              <w:t>）</w:t>
            </w:r>
          </w:p>
        </w:tc>
        <w:tc>
          <w:tcPr>
            <w:tcW w:w="1276" w:type="dxa"/>
            <w:shd w:val="clear" w:color="auto" w:fill="auto"/>
          </w:tcPr>
          <w:p w14:paraId="75D7F5A1">
            <w:pPr>
              <w:pStyle w:val="186"/>
              <w:widowControl w:val="0"/>
              <w:spacing w:line="240" w:lineRule="auto"/>
              <w:ind w:firstLine="0"/>
              <w:jc w:val="left"/>
            </w:pPr>
            <w:r>
              <w:t>6</w:t>
            </w:r>
          </w:p>
        </w:tc>
        <w:tc>
          <w:tcPr>
            <w:tcW w:w="3594" w:type="dxa"/>
            <w:shd w:val="clear" w:color="auto" w:fill="auto"/>
          </w:tcPr>
          <w:p w14:paraId="78F72522">
            <w:pPr>
              <w:pStyle w:val="186"/>
              <w:widowControl w:val="0"/>
              <w:spacing w:line="240" w:lineRule="auto"/>
              <w:ind w:firstLine="0"/>
              <w:jc w:val="left"/>
            </w:pPr>
            <w:r>
              <w:rPr>
                <w:rFonts w:hint="eastAsia"/>
              </w:rPr>
              <w:t>通知信息</w:t>
            </w:r>
          </w:p>
        </w:tc>
      </w:tr>
      <w:tr w14:paraId="3A7F4F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234" w:type="dxa"/>
            <w:shd w:val="clear" w:color="auto" w:fill="auto"/>
          </w:tcPr>
          <w:p w14:paraId="2C7694C4">
            <w:pPr>
              <w:pStyle w:val="186"/>
              <w:widowControl w:val="0"/>
              <w:spacing w:line="240" w:lineRule="auto"/>
              <w:ind w:firstLine="0"/>
              <w:jc w:val="left"/>
            </w:pPr>
            <w:r>
              <w:rPr>
                <w:rFonts w:hint="eastAsia"/>
              </w:rPr>
              <w:t>调试</w:t>
            </w:r>
            <w:r>
              <w:t>(debug)</w:t>
            </w:r>
          </w:p>
        </w:tc>
        <w:tc>
          <w:tcPr>
            <w:tcW w:w="1276" w:type="dxa"/>
            <w:shd w:val="clear" w:color="auto" w:fill="auto"/>
          </w:tcPr>
          <w:p w14:paraId="5C35DF25">
            <w:pPr>
              <w:pStyle w:val="186"/>
              <w:widowControl w:val="0"/>
              <w:spacing w:line="240" w:lineRule="auto"/>
              <w:ind w:firstLine="0"/>
              <w:jc w:val="left"/>
            </w:pPr>
            <w:r>
              <w:t>7</w:t>
            </w:r>
          </w:p>
        </w:tc>
        <w:tc>
          <w:tcPr>
            <w:tcW w:w="3594" w:type="dxa"/>
            <w:shd w:val="clear" w:color="auto" w:fill="auto"/>
          </w:tcPr>
          <w:p w14:paraId="19BE7446">
            <w:pPr>
              <w:pStyle w:val="186"/>
              <w:widowControl w:val="0"/>
              <w:spacing w:line="240" w:lineRule="auto"/>
              <w:ind w:firstLine="0"/>
              <w:jc w:val="left"/>
            </w:pPr>
            <w:r>
              <w:rPr>
                <w:rFonts w:hint="eastAsia"/>
              </w:rPr>
              <w:t>一般作为模块内部调试信息用</w:t>
            </w:r>
          </w:p>
        </w:tc>
      </w:tr>
    </w:tbl>
    <w:p w14:paraId="410BC3E9">
      <w:pPr>
        <w:pStyle w:val="6"/>
      </w:pPr>
      <w:bookmarkStart w:id="1027" w:name="_Toc393274140"/>
      <w:bookmarkStart w:id="1028" w:name="_Toc388624184"/>
      <w:bookmarkStart w:id="1029" w:name="_Toc15402499"/>
      <w:bookmarkStart w:id="1030" w:name="_Toc141873271"/>
      <w:bookmarkStart w:id="1031" w:name="_Toc40275835"/>
      <w:bookmarkStart w:id="1032" w:name="_Toc142400784"/>
      <w:bookmarkStart w:id="1033" w:name="_Toc474250164"/>
      <w:bookmarkStart w:id="1034" w:name="_Toc172217997"/>
      <w:bookmarkStart w:id="1035" w:name="_Toc23152402"/>
      <w:bookmarkStart w:id="1036" w:name="_Toc15484635"/>
      <w:bookmarkStart w:id="1037" w:name="_Toc99561321"/>
      <w:bookmarkStart w:id="1038" w:name="_Toc388610080"/>
      <w:r>
        <w:rPr>
          <w:rFonts w:hint="eastAsia"/>
        </w:rPr>
        <w:t>日志信息输出</w:t>
      </w:r>
      <w:bookmarkEnd w:id="1027"/>
      <w:bookmarkEnd w:id="1028"/>
      <w:bookmarkEnd w:id="1029"/>
      <w:bookmarkEnd w:id="1030"/>
      <w:bookmarkEnd w:id="1031"/>
      <w:bookmarkEnd w:id="1032"/>
      <w:bookmarkEnd w:id="1033"/>
      <w:bookmarkEnd w:id="1034"/>
      <w:bookmarkEnd w:id="1035"/>
      <w:bookmarkEnd w:id="1036"/>
      <w:bookmarkEnd w:id="1037"/>
      <w:bookmarkEnd w:id="1038"/>
    </w:p>
    <w:p w14:paraId="7B67A572">
      <w:r>
        <w:rPr>
          <w:rFonts w:hint="eastAsia"/>
        </w:rPr>
        <w:t>日志信息可以输出到不同的目的地，支持以下几种日志信息输出目的地，用户可以根据自己的需要指定。具体的日志输出如</w:t>
      </w:r>
      <w:r>
        <w:rPr>
          <w:color w:val="0000FF"/>
          <w:u w:val="single"/>
        </w:rPr>
        <w:fldChar w:fldCharType="begin"/>
      </w:r>
      <w:r>
        <w:rPr>
          <w:color w:val="0000FF"/>
          <w:u w:val="single"/>
        </w:rPr>
        <w:instrText xml:space="preserve"> REF _Ref391714064 \r \h </w:instrText>
      </w:r>
      <w:r>
        <w:rPr>
          <w:color w:val="0000FF"/>
          <w:u w:val="single"/>
        </w:rPr>
        <w:fldChar w:fldCharType="separate"/>
      </w:r>
      <w:r>
        <w:rPr>
          <w:rFonts w:hint="eastAsia"/>
          <w:color w:val="0000FF"/>
          <w:u w:val="single"/>
        </w:rPr>
        <w:t>表5-1</w:t>
      </w:r>
      <w:r>
        <w:rPr>
          <w:color w:val="0000FF"/>
          <w:u w:val="single"/>
        </w:rPr>
        <w:fldChar w:fldCharType="end"/>
      </w:r>
      <w:r>
        <w:rPr>
          <w:rFonts w:hint="eastAsia"/>
        </w:rPr>
        <w:t>所示。</w:t>
      </w:r>
    </w:p>
    <w:p w14:paraId="52430485">
      <w:pPr>
        <w:pStyle w:val="183"/>
      </w:pPr>
      <w:bookmarkStart w:id="1039" w:name="_Ref391714064"/>
      <w:bookmarkStart w:id="1040" w:name="_Toc141875408"/>
      <w:r>
        <w:rPr>
          <w:rFonts w:hint="eastAsia"/>
        </w:rPr>
        <w:t>日志信息输出</w:t>
      </w:r>
      <w:bookmarkEnd w:id="1039"/>
      <w:bookmarkEnd w:id="1040"/>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835"/>
        <w:gridCol w:w="6179"/>
      </w:tblGrid>
      <w:tr w14:paraId="3CCF710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68" w:hRule="atLeast"/>
        </w:trPr>
        <w:tc>
          <w:tcPr>
            <w:tcW w:w="2234" w:type="dxa"/>
            <w:tcBorders>
              <w:tl2br w:val="nil"/>
              <w:tr2bl w:val="nil"/>
            </w:tcBorders>
            <w:shd w:val="clear" w:color="auto" w:fill="538135" w:themeFill="accent6" w:themeFillShade="BF"/>
            <w:vAlign w:val="center"/>
          </w:tcPr>
          <w:p w14:paraId="701130C4">
            <w:pPr>
              <w:pStyle w:val="149"/>
              <w:wordWrap/>
              <w:rPr>
                <w:rFonts w:cs="宋体"/>
                <w:b/>
                <w:bCs/>
                <w:i w:val="0"/>
                <w:iCs w:val="0"/>
              </w:rPr>
            </w:pPr>
            <w:r>
              <w:rPr>
                <w:rFonts w:hint="eastAsia"/>
                <w:b/>
                <w:bCs/>
                <w:i w:val="0"/>
                <w:iCs w:val="0"/>
              </w:rPr>
              <w:t>目的地</w:t>
            </w:r>
          </w:p>
        </w:tc>
        <w:tc>
          <w:tcPr>
            <w:tcW w:w="4870" w:type="dxa"/>
            <w:tcBorders>
              <w:tl2br w:val="nil"/>
              <w:tr2bl w:val="nil"/>
            </w:tcBorders>
            <w:shd w:val="clear" w:color="auto" w:fill="538135" w:themeFill="accent6" w:themeFillShade="BF"/>
            <w:vAlign w:val="center"/>
          </w:tcPr>
          <w:p w14:paraId="5E88AFDC">
            <w:pPr>
              <w:pStyle w:val="149"/>
              <w:wordWrap/>
              <w:rPr>
                <w:rFonts w:cs="宋体"/>
                <w:b/>
                <w:bCs/>
                <w:i w:val="0"/>
                <w:iCs w:val="0"/>
              </w:rPr>
            </w:pPr>
            <w:r>
              <w:rPr>
                <w:rFonts w:hint="eastAsia"/>
                <w:b/>
                <w:bCs/>
                <w:i w:val="0"/>
                <w:iCs w:val="0"/>
              </w:rPr>
              <w:t>描述</w:t>
            </w:r>
          </w:p>
        </w:tc>
      </w:tr>
      <w:tr w14:paraId="5A8EECB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234" w:type="dxa"/>
            <w:shd w:val="clear" w:color="auto" w:fill="auto"/>
          </w:tcPr>
          <w:p w14:paraId="7D30C94D">
            <w:pPr>
              <w:pStyle w:val="186"/>
              <w:widowControl w:val="0"/>
              <w:spacing w:line="240" w:lineRule="auto"/>
              <w:ind w:firstLine="0"/>
              <w:jc w:val="left"/>
            </w:pPr>
            <w:r>
              <w:t>server</w:t>
            </w:r>
          </w:p>
        </w:tc>
        <w:tc>
          <w:tcPr>
            <w:tcW w:w="4870" w:type="dxa"/>
            <w:shd w:val="clear" w:color="auto" w:fill="auto"/>
          </w:tcPr>
          <w:p w14:paraId="53A7770C">
            <w:pPr>
              <w:pStyle w:val="186"/>
              <w:widowControl w:val="0"/>
              <w:spacing w:line="240" w:lineRule="auto"/>
              <w:ind w:firstLine="0"/>
              <w:jc w:val="left"/>
            </w:pPr>
            <w:r>
              <w:rPr>
                <w:rFonts w:hint="eastAsia"/>
              </w:rPr>
              <w:t>系统可以将日志发向</w:t>
            </w:r>
            <w:r>
              <w:t>syslog</w:t>
            </w:r>
            <w:r>
              <w:rPr>
                <w:rFonts w:hint="eastAsia"/>
              </w:rPr>
              <w:t>服务器</w:t>
            </w:r>
          </w:p>
        </w:tc>
      </w:tr>
      <w:tr w14:paraId="37D8B8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234" w:type="dxa"/>
            <w:shd w:val="clear" w:color="auto" w:fill="auto"/>
          </w:tcPr>
          <w:p w14:paraId="381CDF49">
            <w:pPr>
              <w:pStyle w:val="186"/>
              <w:widowControl w:val="0"/>
              <w:spacing w:line="240" w:lineRule="auto"/>
              <w:ind w:firstLine="0"/>
              <w:jc w:val="left"/>
            </w:pPr>
            <w:r>
              <w:t>local</w:t>
            </w:r>
          </w:p>
        </w:tc>
        <w:tc>
          <w:tcPr>
            <w:tcW w:w="4870" w:type="dxa"/>
            <w:shd w:val="clear" w:color="auto" w:fill="auto"/>
          </w:tcPr>
          <w:p w14:paraId="46AEB814">
            <w:pPr>
              <w:pStyle w:val="186"/>
              <w:widowControl w:val="0"/>
              <w:spacing w:line="240" w:lineRule="auto"/>
              <w:ind w:firstLine="0"/>
              <w:jc w:val="left"/>
            </w:pPr>
            <w:r>
              <w:rPr>
                <w:rFonts w:hint="eastAsia"/>
              </w:rPr>
              <w:t>默认情况下，系统将日志记录在本地数据库</w:t>
            </w:r>
          </w:p>
        </w:tc>
      </w:tr>
    </w:tbl>
    <w:p w14:paraId="10373D2A">
      <w:bookmarkStart w:id="1041" w:name="_Toc497292417"/>
      <w:bookmarkEnd w:id="1041"/>
      <w:bookmarkStart w:id="1042" w:name="_Toc15401171"/>
      <w:bookmarkEnd w:id="1042"/>
      <w:bookmarkStart w:id="1043" w:name="_Toc497292416"/>
      <w:bookmarkEnd w:id="1043"/>
    </w:p>
    <w:p w14:paraId="323224D0">
      <w:pPr>
        <w:pStyle w:val="5"/>
      </w:pPr>
      <w:bookmarkStart w:id="1044" w:name="_Toc474250165"/>
      <w:bookmarkStart w:id="1045" w:name="_Toc194080641"/>
      <w:bookmarkStart w:id="1046" w:name="_Toc143011029"/>
      <w:bookmarkStart w:id="1047" w:name="_Toc172217998"/>
      <w:bookmarkStart w:id="1048" w:name="_Toc196727973"/>
      <w:r>
        <w:rPr>
          <w:rFonts w:hint="eastAsia"/>
        </w:rPr>
        <w:t>配置日志服务器</w:t>
      </w:r>
      <w:bookmarkEnd w:id="1044"/>
      <w:bookmarkEnd w:id="1045"/>
      <w:bookmarkEnd w:id="1046"/>
      <w:bookmarkEnd w:id="1047"/>
      <w:bookmarkEnd w:id="1048"/>
    </w:p>
    <w:p w14:paraId="48BB0E03">
      <w:r>
        <w:rPr>
          <w:rFonts w:hint="eastAsia"/>
        </w:rPr>
        <w:t>为减轻设备自身的存储压力，管理员可以配置日志服务器，将日志发送到指定的Syslog服务器。</w:t>
      </w:r>
    </w:p>
    <w:p w14:paraId="4B1569BF">
      <w:r>
        <w:rPr>
          <w:rFonts w:hint="eastAsia"/>
        </w:rPr>
        <w:t>还可同时配置日志服务器接收日志信息的端口号（该值需要和日志服务器的设置一致，缺省为514）。如果设备侧配置的日志服务器接收日志信息的端口号与日志服务器侧不一致，则日志服务器将无法接收日志信息。</w:t>
      </w:r>
    </w:p>
    <w:p w14:paraId="0F86AA5E">
      <w:r>
        <w:rPr>
          <w:rFonts w:hint="eastAsia"/>
        </w:rPr>
        <w:t>点击“系统管理 &gt; 系统设定 &gt; 日志设定</w:t>
      </w:r>
      <w:r>
        <w:t xml:space="preserve"> &gt; </w:t>
      </w:r>
      <w:r>
        <w:rPr>
          <w:rFonts w:hint="eastAsia"/>
        </w:rPr>
        <w:t>日志服务器”，进入日志服务器的配置页面，如</w:t>
      </w:r>
      <w:r>
        <w:rPr>
          <w:color w:val="0000FF"/>
          <w:u w:val="single"/>
        </w:rPr>
        <w:fldChar w:fldCharType="begin"/>
      </w:r>
      <w:r>
        <w:rPr>
          <w:color w:val="0000FF"/>
          <w:u w:val="single"/>
        </w:rPr>
        <w:instrText xml:space="preserve">  REF _Ref393274964 \r \h  \* MERGEFORMAT </w:instrText>
      </w:r>
      <w:r>
        <w:rPr>
          <w:color w:val="0000FF"/>
          <w:u w:val="single"/>
        </w:rPr>
        <w:fldChar w:fldCharType="separate"/>
      </w:r>
      <w:r>
        <w:rPr>
          <w:rFonts w:hint="eastAsia"/>
          <w:color w:val="0000FF"/>
          <w:u w:val="single"/>
        </w:rPr>
        <w:t>图5-1</w:t>
      </w:r>
      <w:r>
        <w:rPr>
          <w:color w:val="0000FF"/>
          <w:u w:val="single"/>
        </w:rPr>
        <w:fldChar w:fldCharType="end"/>
      </w:r>
      <w:r>
        <w:rPr>
          <w:rFonts w:hint="eastAsia"/>
        </w:rPr>
        <w:t>所示。</w:t>
      </w:r>
    </w:p>
    <w:p w14:paraId="3C4293CB">
      <w:pPr>
        <w:pStyle w:val="188"/>
      </w:pPr>
      <w:bookmarkStart w:id="1049" w:name="_Ref393274964"/>
      <w:r>
        <w:rPr>
          <w:rFonts w:hint="eastAsia"/>
        </w:rPr>
        <w:t>日志服务器配置</w:t>
      </w:r>
      <w:bookmarkEnd w:id="1049"/>
    </w:p>
    <w:p w14:paraId="612C9CB3">
      <w:pPr>
        <w:pStyle w:val="175"/>
      </w:pPr>
      <w:r>
        <w:drawing>
          <wp:inline distT="0" distB="0" distL="0" distR="0">
            <wp:extent cx="5400040" cy="4860925"/>
            <wp:effectExtent l="0" t="0" r="0" b="0"/>
            <wp:docPr id="619" name="图片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619"/>
                    <pic:cNvPicPr>
                      <a:picLocks noChangeAspect="1"/>
                    </pic:cNvPicPr>
                  </pic:nvPicPr>
                  <pic:blipFill>
                    <a:blip r:embed="rId155"/>
                    <a:stretch>
                      <a:fillRect/>
                    </a:stretch>
                  </pic:blipFill>
                  <pic:spPr>
                    <a:xfrm>
                      <a:off x="0" y="0"/>
                      <a:ext cx="5400040" cy="4860925"/>
                    </a:xfrm>
                    <a:prstGeom prst="rect">
                      <a:avLst/>
                    </a:prstGeom>
                  </pic:spPr>
                </pic:pic>
              </a:graphicData>
            </a:graphic>
          </wp:inline>
        </w:drawing>
      </w:r>
    </w:p>
    <w:p w14:paraId="07846396"/>
    <w:p w14:paraId="7CED1BD3">
      <w:r>
        <w:rPr>
          <w:rFonts w:hint="eastAsia"/>
        </w:rPr>
        <w:t>日志服务器的详细配置表如</w:t>
      </w:r>
      <w:r>
        <w:rPr>
          <w:color w:val="0000FF"/>
          <w:u w:val="single"/>
        </w:rPr>
        <w:fldChar w:fldCharType="begin"/>
      </w:r>
      <w:r>
        <w:rPr>
          <w:color w:val="0000FF"/>
          <w:u w:val="single"/>
        </w:rPr>
        <w:instrText xml:space="preserve">  REF _Ref393371360 \r \h  \* MERGEFORMAT </w:instrText>
      </w:r>
      <w:r>
        <w:rPr>
          <w:color w:val="0000FF"/>
          <w:u w:val="single"/>
        </w:rPr>
        <w:fldChar w:fldCharType="separate"/>
      </w:r>
      <w:r>
        <w:rPr>
          <w:rFonts w:hint="eastAsia"/>
          <w:color w:val="0000FF"/>
          <w:u w:val="single"/>
        </w:rPr>
        <w:t>表5-1</w:t>
      </w:r>
      <w:r>
        <w:rPr>
          <w:color w:val="0000FF"/>
          <w:u w:val="single"/>
        </w:rPr>
        <w:fldChar w:fldCharType="end"/>
      </w:r>
      <w:r>
        <w:rPr>
          <w:rFonts w:hint="eastAsia"/>
        </w:rPr>
        <w:t>所示：</w:t>
      </w:r>
    </w:p>
    <w:p w14:paraId="2F515F8B">
      <w:pPr>
        <w:pStyle w:val="183"/>
      </w:pPr>
      <w:bookmarkStart w:id="1050" w:name="_Ref393371360"/>
      <w:r>
        <w:rPr>
          <w:rFonts w:hint="eastAsia"/>
        </w:rPr>
        <w:t>日志服务器的详细配置</w:t>
      </w:r>
      <w:bookmarkEnd w:id="1050"/>
    </w:p>
    <w:tbl>
      <w:tblPr>
        <w:tblStyle w:val="173"/>
        <w:tblW w:w="898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60"/>
        <w:gridCol w:w="6922"/>
      </w:tblGrid>
      <w:tr w14:paraId="3A28A2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060" w:type="dxa"/>
            <w:tcBorders>
              <w:tl2br w:val="nil"/>
              <w:tr2bl w:val="nil"/>
            </w:tcBorders>
            <w:shd w:val="clear" w:color="auto" w:fill="538135" w:themeFill="accent6" w:themeFillShade="BF"/>
            <w:vAlign w:val="center"/>
          </w:tcPr>
          <w:p w14:paraId="5FCB34EE">
            <w:pPr>
              <w:pStyle w:val="149"/>
              <w:wordWrap/>
              <w:rPr>
                <w:b/>
                <w:bCs/>
                <w:i w:val="0"/>
                <w:iCs w:val="0"/>
              </w:rPr>
            </w:pPr>
            <w:r>
              <w:rPr>
                <w:rFonts w:hint="eastAsia"/>
                <w:b/>
                <w:bCs/>
                <w:i w:val="0"/>
                <w:iCs w:val="0"/>
              </w:rPr>
              <w:t>配置项</w:t>
            </w:r>
          </w:p>
        </w:tc>
        <w:tc>
          <w:tcPr>
            <w:tcW w:w="6922" w:type="dxa"/>
            <w:tcBorders>
              <w:tl2br w:val="nil"/>
              <w:tr2bl w:val="nil"/>
            </w:tcBorders>
            <w:shd w:val="clear" w:color="auto" w:fill="538135" w:themeFill="accent6" w:themeFillShade="BF"/>
            <w:vAlign w:val="center"/>
          </w:tcPr>
          <w:p w14:paraId="11BA7BB6">
            <w:pPr>
              <w:pStyle w:val="149"/>
              <w:wordWrap/>
              <w:rPr>
                <w:b/>
                <w:bCs/>
                <w:i w:val="0"/>
                <w:iCs w:val="0"/>
              </w:rPr>
            </w:pPr>
            <w:r>
              <w:rPr>
                <w:rFonts w:hint="eastAsia"/>
                <w:b/>
                <w:bCs/>
                <w:i w:val="0"/>
                <w:iCs w:val="0"/>
              </w:rPr>
              <w:t>说明</w:t>
            </w:r>
          </w:p>
        </w:tc>
      </w:tr>
      <w:tr w14:paraId="365455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060" w:type="dxa"/>
            <w:shd w:val="clear" w:color="auto" w:fill="auto"/>
          </w:tcPr>
          <w:p w14:paraId="43E16C03">
            <w:pPr>
              <w:pStyle w:val="186"/>
              <w:widowControl w:val="0"/>
              <w:spacing w:line="240" w:lineRule="auto"/>
              <w:ind w:firstLine="0"/>
              <w:jc w:val="left"/>
            </w:pPr>
            <w:r>
              <w:rPr>
                <w:rFonts w:hint="eastAsia"/>
              </w:rPr>
              <w:t>启用</w:t>
            </w:r>
          </w:p>
        </w:tc>
        <w:tc>
          <w:tcPr>
            <w:tcW w:w="6922" w:type="dxa"/>
            <w:shd w:val="clear" w:color="auto" w:fill="auto"/>
          </w:tcPr>
          <w:p w14:paraId="39F9919F">
            <w:pPr>
              <w:pStyle w:val="186"/>
              <w:widowControl w:val="0"/>
              <w:spacing w:line="240" w:lineRule="auto"/>
              <w:ind w:firstLine="0"/>
              <w:jc w:val="left"/>
            </w:pPr>
            <w:r>
              <w:rPr>
                <w:rFonts w:hint="eastAsia"/>
              </w:rPr>
              <w:t>开启或关闭日志服务器。如关闭，日志将存储在设备的本地硬盘。</w:t>
            </w:r>
          </w:p>
        </w:tc>
      </w:tr>
      <w:tr w14:paraId="69A522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060" w:type="dxa"/>
            <w:shd w:val="clear" w:color="auto" w:fill="auto"/>
          </w:tcPr>
          <w:p w14:paraId="5C52C10E">
            <w:pPr>
              <w:pStyle w:val="186"/>
              <w:widowControl w:val="0"/>
              <w:spacing w:line="240" w:lineRule="auto"/>
              <w:ind w:firstLine="0"/>
              <w:jc w:val="left"/>
            </w:pPr>
            <w:r>
              <w:rPr>
                <w:rFonts w:hint="eastAsia"/>
              </w:rPr>
              <w:t>日志类型</w:t>
            </w:r>
          </w:p>
        </w:tc>
        <w:tc>
          <w:tcPr>
            <w:tcW w:w="6922" w:type="dxa"/>
            <w:shd w:val="clear" w:color="auto" w:fill="auto"/>
          </w:tcPr>
          <w:p w14:paraId="6DC52FC4">
            <w:pPr>
              <w:pStyle w:val="186"/>
              <w:widowControl w:val="0"/>
              <w:spacing w:line="240" w:lineRule="auto"/>
              <w:ind w:firstLine="0"/>
              <w:jc w:val="left"/>
            </w:pPr>
            <w:r>
              <w:rPr>
                <w:rFonts w:hint="eastAsia"/>
              </w:rPr>
              <w:t>点击选择发送Syslog日志的格式：支持默认格式、国网Ⅱ型装置格式（南瑞）、国网Ⅱ型装置格式（标准）和国网Ⅰ型装置格式（许继）。</w:t>
            </w:r>
          </w:p>
          <w:p w14:paraId="40C671CE">
            <w:pPr>
              <w:pStyle w:val="207"/>
              <w:numPr>
                <w:ilvl w:val="0"/>
                <w:numId w:val="24"/>
              </w:numPr>
              <w:rPr>
                <w:lang w:eastAsia="zh-CN"/>
              </w:rPr>
            </w:pPr>
            <w:r>
              <w:rPr>
                <w:rFonts w:hint="eastAsia"/>
                <w:lang w:eastAsia="zh-CN"/>
              </w:rPr>
              <w:t>设备默认以“默认格式”发送；</w:t>
            </w:r>
          </w:p>
          <w:p w14:paraId="1808D291">
            <w:pPr>
              <w:pStyle w:val="207"/>
              <w:numPr>
                <w:ilvl w:val="0"/>
                <w:numId w:val="24"/>
              </w:numPr>
              <w:rPr>
                <w:lang w:eastAsia="zh-CN"/>
              </w:rPr>
            </w:pPr>
            <w:r>
              <w:rPr>
                <w:rFonts w:hint="eastAsia"/>
                <w:lang w:eastAsia="zh-CN"/>
              </w:rPr>
              <w:t>选择“国网Ⅱ型装置格式（南瑞）”后，设备按照南瑞平台电力日志格式发送syslog日志。</w:t>
            </w:r>
          </w:p>
          <w:p w14:paraId="2582B947">
            <w:pPr>
              <w:pStyle w:val="207"/>
              <w:numPr>
                <w:ilvl w:val="0"/>
                <w:numId w:val="24"/>
              </w:numPr>
              <w:rPr>
                <w:lang w:eastAsia="zh-CN"/>
              </w:rPr>
            </w:pPr>
            <w:r>
              <w:rPr>
                <w:rFonts w:hint="eastAsia"/>
                <w:lang w:eastAsia="zh-CN"/>
              </w:rPr>
              <w:t>选择“国网Ⅱ型装置格式（标准）”后，设备按照科东及标准平台电力日志格式发送SYSLOG日志。</w:t>
            </w:r>
          </w:p>
          <w:p w14:paraId="230A9FE7">
            <w:pPr>
              <w:pStyle w:val="207"/>
              <w:numPr>
                <w:ilvl w:val="0"/>
                <w:numId w:val="24"/>
              </w:numPr>
              <w:rPr>
                <w:lang w:eastAsia="zh-CN"/>
              </w:rPr>
            </w:pPr>
            <w:r>
              <w:rPr>
                <w:rFonts w:hint="eastAsia"/>
                <w:lang w:eastAsia="zh-CN"/>
              </w:rPr>
              <w:t>选择“国网Ⅰ型装置格式（许继）”后，设备按照国网（许继）电力日志格式发送SYSLOG日志。</w:t>
            </w:r>
          </w:p>
        </w:tc>
      </w:tr>
      <w:tr w14:paraId="661D00D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060" w:type="dxa"/>
            <w:shd w:val="clear" w:color="auto" w:fill="auto"/>
          </w:tcPr>
          <w:p w14:paraId="7F36FF66">
            <w:pPr>
              <w:pStyle w:val="186"/>
              <w:widowControl w:val="0"/>
              <w:spacing w:line="240" w:lineRule="auto"/>
              <w:ind w:firstLine="0"/>
              <w:jc w:val="left"/>
            </w:pPr>
            <w:r>
              <w:rPr>
                <w:rFonts w:hint="eastAsia"/>
              </w:rPr>
              <w:t>服务器配置</w:t>
            </w:r>
          </w:p>
        </w:tc>
        <w:tc>
          <w:tcPr>
            <w:tcW w:w="6922" w:type="dxa"/>
            <w:shd w:val="clear" w:color="auto" w:fill="auto"/>
          </w:tcPr>
          <w:p w14:paraId="7BF0F612">
            <w:pPr>
              <w:pStyle w:val="186"/>
              <w:widowControl w:val="0"/>
              <w:spacing w:line="240" w:lineRule="auto"/>
              <w:ind w:firstLine="0"/>
              <w:jc w:val="left"/>
            </w:pPr>
            <w:r>
              <w:rPr>
                <w:rFonts w:hint="eastAsia"/>
              </w:rPr>
              <w:t>最多可设置三台服务器。</w:t>
            </w:r>
          </w:p>
        </w:tc>
      </w:tr>
      <w:tr w14:paraId="7180FE3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060" w:type="dxa"/>
            <w:shd w:val="clear" w:color="auto" w:fill="auto"/>
          </w:tcPr>
          <w:p w14:paraId="01B6B631">
            <w:pPr>
              <w:pStyle w:val="186"/>
              <w:widowControl w:val="0"/>
              <w:spacing w:line="240" w:lineRule="auto"/>
              <w:ind w:firstLine="0"/>
              <w:jc w:val="left"/>
            </w:pPr>
            <w:r>
              <w:rPr>
                <w:rFonts w:hint="eastAsia"/>
              </w:rPr>
              <w:t>I</w:t>
            </w:r>
            <w:r>
              <w:t>P</w:t>
            </w:r>
            <w:r>
              <w:rPr>
                <w:rFonts w:hint="eastAsia"/>
              </w:rPr>
              <w:t>地址</w:t>
            </w:r>
          </w:p>
        </w:tc>
        <w:tc>
          <w:tcPr>
            <w:tcW w:w="6922" w:type="dxa"/>
            <w:shd w:val="clear" w:color="auto" w:fill="auto"/>
          </w:tcPr>
          <w:p w14:paraId="5978271A">
            <w:pPr>
              <w:pStyle w:val="186"/>
              <w:widowControl w:val="0"/>
              <w:spacing w:line="240" w:lineRule="auto"/>
              <w:ind w:firstLine="0"/>
              <w:jc w:val="left"/>
            </w:pPr>
            <w:r>
              <w:rPr>
                <w:rFonts w:hint="eastAsia"/>
              </w:rPr>
              <w:t>设置日志服务器的I</w:t>
            </w:r>
            <w:r>
              <w:t>P</w:t>
            </w:r>
            <w:r>
              <w:rPr>
                <w:rFonts w:hint="eastAsia"/>
              </w:rPr>
              <w:t>地址，</w:t>
            </w:r>
            <w:r>
              <w:t>支持IPv4</w:t>
            </w:r>
            <w:r>
              <w:rPr>
                <w:rFonts w:hint="eastAsia"/>
              </w:rPr>
              <w:t>及</w:t>
            </w:r>
            <w:r>
              <w:t>IPv6</w:t>
            </w:r>
            <w:r>
              <w:rPr>
                <w:rFonts w:hint="eastAsia"/>
              </w:rPr>
              <w:t>地址。</w:t>
            </w:r>
          </w:p>
        </w:tc>
      </w:tr>
      <w:tr w14:paraId="76A5095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060" w:type="dxa"/>
            <w:shd w:val="clear" w:color="auto" w:fill="auto"/>
          </w:tcPr>
          <w:p w14:paraId="7CA578CA">
            <w:pPr>
              <w:pStyle w:val="186"/>
              <w:widowControl w:val="0"/>
              <w:spacing w:line="240" w:lineRule="auto"/>
              <w:ind w:firstLine="0"/>
              <w:jc w:val="left"/>
            </w:pPr>
            <w:r>
              <w:rPr>
                <w:rFonts w:hint="eastAsia"/>
              </w:rPr>
              <w:t>蝶式交换算法</w:t>
            </w:r>
          </w:p>
        </w:tc>
        <w:tc>
          <w:tcPr>
            <w:tcW w:w="6922" w:type="dxa"/>
            <w:shd w:val="clear" w:color="auto" w:fill="auto"/>
          </w:tcPr>
          <w:p w14:paraId="7317E47A">
            <w:pPr>
              <w:pStyle w:val="186"/>
              <w:widowControl w:val="0"/>
              <w:spacing w:line="240" w:lineRule="auto"/>
              <w:ind w:firstLine="0"/>
              <w:jc w:val="left"/>
            </w:pPr>
            <w:r>
              <w:rPr>
                <w:rFonts w:hint="eastAsia"/>
              </w:rPr>
              <w:t>勾选复选框加密日志，防止传输过程中出现信息泄露。日志加密功能需结合第三方数据中心，发送给标准日志服务器时无需启用。</w:t>
            </w:r>
          </w:p>
        </w:tc>
      </w:tr>
      <w:tr w14:paraId="121A90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060" w:type="dxa"/>
            <w:shd w:val="clear" w:color="auto" w:fill="auto"/>
          </w:tcPr>
          <w:p w14:paraId="34643389">
            <w:pPr>
              <w:pStyle w:val="186"/>
              <w:widowControl w:val="0"/>
              <w:spacing w:line="240" w:lineRule="auto"/>
              <w:ind w:firstLine="0"/>
              <w:jc w:val="left"/>
            </w:pPr>
            <w:r>
              <w:rPr>
                <w:rFonts w:hint="eastAsia"/>
              </w:rPr>
              <w:t>端口</w:t>
            </w:r>
          </w:p>
        </w:tc>
        <w:tc>
          <w:tcPr>
            <w:tcW w:w="6922" w:type="dxa"/>
            <w:shd w:val="clear" w:color="auto" w:fill="auto"/>
          </w:tcPr>
          <w:p w14:paraId="0319DC06">
            <w:pPr>
              <w:pStyle w:val="186"/>
              <w:widowControl w:val="0"/>
              <w:spacing w:line="240" w:lineRule="auto"/>
              <w:ind w:firstLine="0"/>
              <w:jc w:val="left"/>
            </w:pPr>
            <w:r>
              <w:rPr>
                <w:rFonts w:hint="eastAsia"/>
              </w:rPr>
              <w:t>日志服务器的端口号。</w:t>
            </w:r>
          </w:p>
        </w:tc>
      </w:tr>
      <w:tr w14:paraId="40771C5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060" w:type="dxa"/>
            <w:shd w:val="clear" w:color="auto" w:fill="auto"/>
          </w:tcPr>
          <w:p w14:paraId="2015DDBB">
            <w:pPr>
              <w:pStyle w:val="186"/>
              <w:widowControl w:val="0"/>
              <w:spacing w:line="240" w:lineRule="auto"/>
              <w:ind w:firstLine="0"/>
              <w:jc w:val="left"/>
            </w:pPr>
            <w:r>
              <w:rPr>
                <w:rFonts w:hint="eastAsia"/>
              </w:rPr>
              <w:t>发送接口</w:t>
            </w:r>
          </w:p>
        </w:tc>
        <w:tc>
          <w:tcPr>
            <w:tcW w:w="6922" w:type="dxa"/>
            <w:shd w:val="clear" w:color="auto" w:fill="auto"/>
          </w:tcPr>
          <w:p w14:paraId="01E81B97">
            <w:pPr>
              <w:pStyle w:val="186"/>
              <w:widowControl w:val="0"/>
              <w:spacing w:line="240" w:lineRule="auto"/>
              <w:ind w:firstLine="0"/>
              <w:jc w:val="left"/>
            </w:pPr>
            <w:r>
              <w:rPr>
                <w:rFonts w:hint="eastAsia"/>
              </w:rPr>
              <w:t>指定日志从设备发送到</w:t>
            </w:r>
            <w:r>
              <w:t>S</w:t>
            </w:r>
            <w:r>
              <w:rPr>
                <w:rFonts w:hint="eastAsia"/>
              </w:rPr>
              <w:t>yslog服务器使用的接口。</w:t>
            </w:r>
          </w:p>
        </w:tc>
      </w:tr>
      <w:tr w14:paraId="17E3A9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060" w:type="dxa"/>
            <w:shd w:val="clear" w:color="auto" w:fill="auto"/>
          </w:tcPr>
          <w:p w14:paraId="3487F195">
            <w:pPr>
              <w:pStyle w:val="186"/>
              <w:widowControl w:val="0"/>
              <w:spacing w:line="240" w:lineRule="auto"/>
              <w:ind w:firstLine="0"/>
              <w:jc w:val="left"/>
            </w:pPr>
            <w:r>
              <w:rPr>
                <w:rFonts w:hint="eastAsia"/>
              </w:rPr>
              <w:t>源地址</w:t>
            </w:r>
          </w:p>
        </w:tc>
        <w:tc>
          <w:tcPr>
            <w:tcW w:w="6922" w:type="dxa"/>
            <w:shd w:val="clear" w:color="auto" w:fill="auto"/>
          </w:tcPr>
          <w:p w14:paraId="5E4BAAC8">
            <w:pPr>
              <w:pStyle w:val="186"/>
              <w:widowControl w:val="0"/>
              <w:spacing w:line="240" w:lineRule="auto"/>
              <w:ind w:firstLine="0"/>
              <w:jc w:val="left"/>
            </w:pPr>
            <w:r>
              <w:rPr>
                <w:rFonts w:hint="eastAsia"/>
              </w:rPr>
              <w:t>设置日志的源I</w:t>
            </w:r>
            <w:r>
              <w:t>P</w:t>
            </w:r>
            <w:r>
              <w:rPr>
                <w:rFonts w:hint="eastAsia"/>
              </w:rPr>
              <w:t>地址。如无特殊需求，请勿设置此选项，系统将自动选择。在配置有V</w:t>
            </w:r>
            <w:r>
              <w:t>PN</w:t>
            </w:r>
            <w:r>
              <w:rPr>
                <w:rFonts w:hint="eastAsia"/>
              </w:rPr>
              <w:t>的情况下，如需通过V</w:t>
            </w:r>
            <w:r>
              <w:t>PN</w:t>
            </w:r>
            <w:r>
              <w:rPr>
                <w:rFonts w:hint="eastAsia"/>
              </w:rPr>
              <w:t>隧道发送日志，可将源I</w:t>
            </w:r>
            <w:r>
              <w:t>P</w:t>
            </w:r>
            <w:r>
              <w:rPr>
                <w:rFonts w:hint="eastAsia"/>
              </w:rPr>
              <w:t>地址设置为隧道接口的I</w:t>
            </w:r>
            <w:r>
              <w:t>P</w:t>
            </w:r>
            <w:r>
              <w:rPr>
                <w:rFonts w:hint="eastAsia"/>
              </w:rPr>
              <w:t>地址。</w:t>
            </w:r>
          </w:p>
        </w:tc>
      </w:tr>
    </w:tbl>
    <w:p w14:paraId="13F21936"/>
    <w:p w14:paraId="49BDF6A5">
      <w:pPr>
        <w:pStyle w:val="5"/>
      </w:pPr>
      <w:bookmarkStart w:id="1051" w:name="_Toc143011030"/>
      <w:bookmarkStart w:id="1052" w:name="_Toc196727974"/>
      <w:bookmarkStart w:id="1053" w:name="_Toc474250166"/>
      <w:bookmarkStart w:id="1054" w:name="_Ref167388332"/>
      <w:bookmarkStart w:id="1055" w:name="_Toc194080642"/>
      <w:bookmarkStart w:id="1056" w:name="_Toc172217999"/>
      <w:r>
        <w:rPr>
          <w:rFonts w:hint="eastAsia"/>
        </w:rPr>
        <w:t>配置日志过滤</w:t>
      </w:r>
      <w:bookmarkEnd w:id="1051"/>
      <w:bookmarkEnd w:id="1052"/>
      <w:bookmarkEnd w:id="1053"/>
      <w:bookmarkEnd w:id="1054"/>
      <w:bookmarkEnd w:id="1055"/>
      <w:bookmarkEnd w:id="1056"/>
    </w:p>
    <w:p w14:paraId="17AC0377">
      <w:r>
        <w:rPr>
          <w:rFonts w:hint="eastAsia"/>
        </w:rPr>
        <w:t>日志过滤的功能是对已经产生的日志进行过滤，包括以下功能：</w:t>
      </w:r>
    </w:p>
    <w:p w14:paraId="3D0DB8CF">
      <w:pPr>
        <w:pStyle w:val="162"/>
      </w:pPr>
      <w:r>
        <w:rPr>
          <w:rFonts w:hint="eastAsia"/>
        </w:rPr>
        <w:t>已经产生的日志是否记录在本地。</w:t>
      </w:r>
    </w:p>
    <w:p w14:paraId="5277A91A">
      <w:pPr>
        <w:pStyle w:val="162"/>
      </w:pPr>
      <w:r>
        <w:rPr>
          <w:rFonts w:hint="eastAsia"/>
        </w:rPr>
        <w:t>哪种级别以上的日志，发送给远端的日志服务器。</w:t>
      </w:r>
    </w:p>
    <w:p w14:paraId="539F245C">
      <w:r>
        <w:rPr>
          <w:rFonts w:hint="eastAsia"/>
        </w:rPr>
        <w:t>点击“系统管理 &gt; 系统设定 &gt; 日志设定</w:t>
      </w:r>
      <w:r>
        <w:t xml:space="preserve"> &gt; </w:t>
      </w:r>
      <w:r>
        <w:rPr>
          <w:rFonts w:hint="eastAsia"/>
        </w:rPr>
        <w:t>日志过滤”，进入日志过滤的配置页面，如</w:t>
      </w:r>
      <w:r>
        <w:rPr>
          <w:color w:val="0000FF"/>
          <w:u w:val="single"/>
        </w:rPr>
        <w:fldChar w:fldCharType="begin"/>
      </w:r>
      <w:r>
        <w:rPr>
          <w:color w:val="0000FF"/>
          <w:u w:val="single"/>
        </w:rPr>
        <w:instrText xml:space="preserve">  REF _Ref393275704 \r \h  \* MERGEFORMAT </w:instrText>
      </w:r>
      <w:r>
        <w:rPr>
          <w:color w:val="0000FF"/>
          <w:u w:val="single"/>
        </w:rPr>
        <w:fldChar w:fldCharType="separate"/>
      </w:r>
      <w:r>
        <w:rPr>
          <w:rFonts w:hint="eastAsia"/>
          <w:color w:val="0000FF"/>
          <w:u w:val="single"/>
        </w:rPr>
        <w:t>图5-2</w:t>
      </w:r>
      <w:r>
        <w:rPr>
          <w:color w:val="0000FF"/>
          <w:u w:val="single"/>
        </w:rPr>
        <w:fldChar w:fldCharType="end"/>
      </w:r>
      <w:r>
        <w:rPr>
          <w:rFonts w:hint="eastAsia"/>
        </w:rPr>
        <w:t>所示：</w:t>
      </w:r>
    </w:p>
    <w:p w14:paraId="1B42B611">
      <w:pPr>
        <w:pStyle w:val="188"/>
      </w:pPr>
      <w:bookmarkStart w:id="1057" w:name="_Ref393275704"/>
      <w:r>
        <w:rPr>
          <w:rFonts w:hint="eastAsia"/>
        </w:rPr>
        <w:t>日志过滤配置</w:t>
      </w:r>
      <w:bookmarkEnd w:id="1057"/>
    </w:p>
    <w:p w14:paraId="694F5914">
      <w:pPr>
        <w:pStyle w:val="175"/>
      </w:pPr>
      <w:r>
        <w:drawing>
          <wp:inline distT="0" distB="0" distL="0" distR="0">
            <wp:extent cx="4552950" cy="4677410"/>
            <wp:effectExtent l="0" t="0" r="0" b="8890"/>
            <wp:docPr id="3269" name="图片 3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9" name="图片 3269"/>
                    <pic:cNvPicPr>
                      <a:picLocks noChangeAspect="1"/>
                    </pic:cNvPicPr>
                  </pic:nvPicPr>
                  <pic:blipFill>
                    <a:blip r:embed="rId156"/>
                    <a:stretch>
                      <a:fillRect/>
                    </a:stretch>
                  </pic:blipFill>
                  <pic:spPr>
                    <a:xfrm>
                      <a:off x="0" y="0"/>
                      <a:ext cx="4556176" cy="4681009"/>
                    </a:xfrm>
                    <a:prstGeom prst="rect">
                      <a:avLst/>
                    </a:prstGeom>
                  </pic:spPr>
                </pic:pic>
              </a:graphicData>
            </a:graphic>
          </wp:inline>
        </w:drawing>
      </w:r>
    </w:p>
    <w:p w14:paraId="2419493B"/>
    <w:p w14:paraId="791B24A9">
      <w:r>
        <w:rPr>
          <w:rFonts w:hint="eastAsia"/>
        </w:rPr>
        <w:t>日志过滤的详细配置如下表所示：</w:t>
      </w:r>
    </w:p>
    <w:p w14:paraId="215A6B7F">
      <w:pPr>
        <w:pStyle w:val="183"/>
      </w:pPr>
      <w:r>
        <w:rPr>
          <w:rFonts w:hint="eastAsia"/>
        </w:rPr>
        <w:t>日志过滤详细配置</w:t>
      </w:r>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90"/>
        <w:gridCol w:w="6524"/>
      </w:tblGrid>
      <w:tr w14:paraId="46C27E0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490" w:type="dxa"/>
            <w:tcBorders>
              <w:tl2br w:val="nil"/>
              <w:tr2bl w:val="nil"/>
            </w:tcBorders>
            <w:shd w:val="clear" w:color="auto" w:fill="538135" w:themeFill="accent6" w:themeFillShade="BF"/>
            <w:vAlign w:val="center"/>
          </w:tcPr>
          <w:p w14:paraId="24DAA39B">
            <w:pPr>
              <w:pStyle w:val="149"/>
              <w:wordWrap/>
              <w:rPr>
                <w:b/>
                <w:bCs/>
                <w:i w:val="0"/>
                <w:iCs w:val="0"/>
              </w:rPr>
            </w:pPr>
            <w:r>
              <w:rPr>
                <w:rFonts w:hint="eastAsia"/>
                <w:b/>
                <w:bCs/>
                <w:i w:val="0"/>
                <w:iCs w:val="0"/>
              </w:rPr>
              <w:t>配置项</w:t>
            </w:r>
          </w:p>
        </w:tc>
        <w:tc>
          <w:tcPr>
            <w:tcW w:w="6524" w:type="dxa"/>
            <w:tcBorders>
              <w:tl2br w:val="nil"/>
              <w:tr2bl w:val="nil"/>
            </w:tcBorders>
            <w:shd w:val="clear" w:color="auto" w:fill="538135" w:themeFill="accent6" w:themeFillShade="BF"/>
            <w:vAlign w:val="center"/>
          </w:tcPr>
          <w:p w14:paraId="72C33B2F">
            <w:pPr>
              <w:pStyle w:val="149"/>
              <w:wordWrap/>
              <w:rPr>
                <w:b/>
                <w:bCs/>
                <w:i w:val="0"/>
                <w:iCs w:val="0"/>
              </w:rPr>
            </w:pPr>
            <w:r>
              <w:rPr>
                <w:rFonts w:hint="eastAsia"/>
                <w:b/>
                <w:bCs/>
                <w:i w:val="0"/>
                <w:iCs w:val="0"/>
              </w:rPr>
              <w:t>说明</w:t>
            </w:r>
          </w:p>
        </w:tc>
      </w:tr>
      <w:tr w14:paraId="57342B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490" w:type="dxa"/>
            <w:shd w:val="clear" w:color="auto" w:fill="auto"/>
          </w:tcPr>
          <w:p w14:paraId="2E698113">
            <w:pPr>
              <w:pStyle w:val="186"/>
              <w:keepNext/>
              <w:widowControl w:val="0"/>
              <w:spacing w:line="240" w:lineRule="auto"/>
              <w:ind w:firstLine="0"/>
              <w:jc w:val="left"/>
            </w:pPr>
            <w:r>
              <w:rPr>
                <w:rFonts w:hint="eastAsia"/>
              </w:rPr>
              <w:t>本地日志</w:t>
            </w:r>
          </w:p>
        </w:tc>
        <w:tc>
          <w:tcPr>
            <w:tcW w:w="6524" w:type="dxa"/>
            <w:shd w:val="clear" w:color="auto" w:fill="auto"/>
          </w:tcPr>
          <w:p w14:paraId="20898807">
            <w:pPr>
              <w:pStyle w:val="186"/>
              <w:keepNext/>
              <w:widowControl w:val="0"/>
              <w:spacing w:line="240" w:lineRule="auto"/>
              <w:ind w:firstLine="0"/>
              <w:jc w:val="left"/>
            </w:pPr>
            <w:r>
              <w:rPr>
                <w:rFonts w:hint="eastAsia"/>
              </w:rPr>
              <w:t>配置是否记录本地日志</w:t>
            </w:r>
          </w:p>
        </w:tc>
      </w:tr>
      <w:tr w14:paraId="124606E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490" w:type="dxa"/>
            <w:shd w:val="clear" w:color="auto" w:fill="auto"/>
          </w:tcPr>
          <w:p w14:paraId="07631452">
            <w:pPr>
              <w:pStyle w:val="186"/>
              <w:keepNext/>
              <w:widowControl w:val="0"/>
              <w:spacing w:line="240" w:lineRule="auto"/>
              <w:ind w:firstLine="0"/>
              <w:jc w:val="left"/>
            </w:pPr>
            <w:r>
              <w:t>Server</w:t>
            </w:r>
            <w:r>
              <w:rPr>
                <w:rFonts w:hint="eastAsia"/>
              </w:rPr>
              <w:t>日志</w:t>
            </w:r>
          </w:p>
        </w:tc>
        <w:tc>
          <w:tcPr>
            <w:tcW w:w="6524" w:type="dxa"/>
            <w:shd w:val="clear" w:color="auto" w:fill="auto"/>
          </w:tcPr>
          <w:p w14:paraId="7F0F356C">
            <w:pPr>
              <w:pStyle w:val="186"/>
              <w:keepNext/>
              <w:widowControl w:val="0"/>
              <w:spacing w:line="240" w:lineRule="auto"/>
              <w:ind w:firstLine="0"/>
              <w:jc w:val="left"/>
            </w:pPr>
            <w:r>
              <w:rPr>
                <w:rFonts w:hint="eastAsia"/>
              </w:rPr>
              <w:t>配置日志是否发送到日志服务器</w:t>
            </w:r>
          </w:p>
          <w:p w14:paraId="058173D0">
            <w:pPr>
              <w:pStyle w:val="207"/>
              <w:rPr>
                <w:lang w:eastAsia="zh-CN"/>
              </w:rPr>
            </w:pPr>
            <w:r>
              <w:rPr>
                <w:rFonts w:hint="eastAsia"/>
                <w:lang w:eastAsia="zh-CN"/>
              </w:rPr>
              <w:t>不发送表示不发送到日志服务器</w:t>
            </w:r>
          </w:p>
          <w:p w14:paraId="5244A48A">
            <w:pPr>
              <w:pStyle w:val="207"/>
              <w:rPr>
                <w:lang w:eastAsia="zh-CN"/>
              </w:rPr>
            </w:pPr>
            <w:r>
              <w:rPr>
                <w:rFonts w:hint="eastAsia"/>
                <w:lang w:eastAsia="zh-CN"/>
              </w:rPr>
              <w:t>发送，发送指定级别的日志到日志服务器，全部级别发送所有的日志到日志服务器</w:t>
            </w:r>
          </w:p>
          <w:p w14:paraId="2E6921E4">
            <w:pPr>
              <w:pStyle w:val="186"/>
              <w:keepNext/>
              <w:widowControl w:val="0"/>
              <w:spacing w:line="240" w:lineRule="auto"/>
              <w:ind w:firstLine="0"/>
              <w:jc w:val="left"/>
            </w:pPr>
            <w:r>
              <w:rPr>
                <w:rFonts w:hint="eastAsia"/>
              </w:rPr>
              <w:t>缺省情况下，本地不记录会话日志和</w:t>
            </w:r>
            <w:r>
              <w:t>NAT</w:t>
            </w:r>
            <w:r>
              <w:rPr>
                <w:rFonts w:hint="eastAsia"/>
              </w:rPr>
              <w:t>，其它类型的日志本地会记录，对发送到远端的日志不做过滤</w:t>
            </w:r>
          </w:p>
        </w:tc>
      </w:tr>
    </w:tbl>
    <w:p w14:paraId="238405BE"/>
    <w:p w14:paraId="1ADD0F7C">
      <w:pPr>
        <w:pStyle w:val="5"/>
      </w:pPr>
      <w:bookmarkStart w:id="1058" w:name="_Toc172218000"/>
      <w:bookmarkStart w:id="1059" w:name="_Toc196727975"/>
      <w:bookmarkStart w:id="1060" w:name="_Toc194080643"/>
      <w:bookmarkStart w:id="1061" w:name="_Toc143011031"/>
      <w:r>
        <w:rPr>
          <w:rFonts w:hint="eastAsia"/>
        </w:rPr>
        <w:t>配置日志保存期限</w:t>
      </w:r>
      <w:bookmarkEnd w:id="1058"/>
      <w:bookmarkEnd w:id="1059"/>
      <w:bookmarkEnd w:id="1060"/>
      <w:bookmarkEnd w:id="1061"/>
    </w:p>
    <w:p w14:paraId="2DA7CA23">
      <w:r>
        <w:rPr>
          <w:rFonts w:hint="eastAsia"/>
        </w:rPr>
        <w:t>选择“系统管理&gt;系统设定</w:t>
      </w:r>
      <w:r>
        <w:t>&gt;</w:t>
      </w:r>
      <w:r>
        <w:rPr>
          <w:rFonts w:hint="eastAsia"/>
        </w:rPr>
        <w:t>日志设定</w:t>
      </w:r>
      <w:r>
        <w:t>&gt;</w:t>
      </w:r>
      <w:r>
        <w:rPr>
          <w:rFonts w:hint="eastAsia"/>
        </w:rPr>
        <w:t>日志保存期限”，可以设置日志保存的期限。</w:t>
      </w:r>
    </w:p>
    <w:p w14:paraId="19025C23">
      <w:pPr>
        <w:pStyle w:val="188"/>
      </w:pPr>
      <w:r>
        <w:rPr>
          <w:rFonts w:hint="eastAsia"/>
        </w:rPr>
        <w:t>日志保存期限设定</w:t>
      </w:r>
    </w:p>
    <w:p w14:paraId="0A955FC5">
      <w:r>
        <w:drawing>
          <wp:inline distT="0" distB="0" distL="0" distR="0">
            <wp:extent cx="3533775" cy="2541270"/>
            <wp:effectExtent l="0" t="0" r="0" b="0"/>
            <wp:docPr id="1802027890" name="图片 1802027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90" name="图片 1802027890"/>
                    <pic:cNvPicPr>
                      <a:picLocks noChangeAspect="1"/>
                    </pic:cNvPicPr>
                  </pic:nvPicPr>
                  <pic:blipFill>
                    <a:blip r:embed="rId157"/>
                    <a:stretch>
                      <a:fillRect/>
                    </a:stretch>
                  </pic:blipFill>
                  <pic:spPr>
                    <a:xfrm>
                      <a:off x="0" y="0"/>
                      <a:ext cx="3542712" cy="2548266"/>
                    </a:xfrm>
                    <a:prstGeom prst="rect">
                      <a:avLst/>
                    </a:prstGeom>
                  </pic:spPr>
                </pic:pic>
              </a:graphicData>
            </a:graphic>
          </wp:inline>
        </w:drawing>
      </w:r>
    </w:p>
    <w:p w14:paraId="1F87ACC2">
      <w:pPr>
        <w:pStyle w:val="5"/>
      </w:pPr>
      <w:bookmarkStart w:id="1062" w:name="_Toc143011032"/>
      <w:bookmarkStart w:id="1063" w:name="_Ref143006872"/>
      <w:bookmarkStart w:id="1064" w:name="_Toc196727976"/>
      <w:bookmarkStart w:id="1065" w:name="_Toc172218001"/>
      <w:bookmarkStart w:id="1066" w:name="_Toc194080644"/>
      <w:r>
        <w:rPr>
          <w:rFonts w:hint="eastAsia"/>
        </w:rPr>
        <w:t>系统会话日志设定</w:t>
      </w:r>
      <w:bookmarkEnd w:id="1062"/>
      <w:bookmarkEnd w:id="1063"/>
      <w:bookmarkEnd w:id="1064"/>
      <w:bookmarkEnd w:id="1065"/>
      <w:bookmarkEnd w:id="1066"/>
    </w:p>
    <w:p w14:paraId="32FB5E0D">
      <w:r>
        <w:rPr>
          <w:rFonts w:hint="eastAsia"/>
          <w:bCs/>
        </w:rPr>
        <w:t>在菜单栏选择“</w:t>
      </w:r>
      <w:r>
        <w:rPr>
          <w:rFonts w:hint="eastAsia"/>
          <w:b/>
        </w:rPr>
        <w:t>系统管理&gt;系统设定&gt;日志设定&gt;会话日志设定</w:t>
      </w:r>
      <w:r>
        <w:rPr>
          <w:rFonts w:hint="eastAsia"/>
        </w:rPr>
        <w:t>”进入</w:t>
      </w:r>
      <w:r>
        <w:rPr>
          <w:rFonts w:hint="eastAsia"/>
          <w:b/>
        </w:rPr>
        <w:t>会话日志设定</w:t>
      </w:r>
      <w:r>
        <w:rPr>
          <w:rFonts w:hint="eastAsia"/>
        </w:rPr>
        <w:t>配置页面，勾选所要记录的会话日志类型，包括会话创建日志，会话结束日志、长连接会话日志及DNS会话日志；选择匹配条件，点击&lt;</w:t>
      </w:r>
      <w:r>
        <w:rPr>
          <w:rFonts w:hint="eastAsia"/>
          <w:b/>
          <w:bCs/>
        </w:rPr>
        <w:t>提交</w:t>
      </w:r>
      <w:r>
        <w:t>&gt;</w:t>
      </w:r>
      <w:r>
        <w:rPr>
          <w:rFonts w:hint="eastAsia"/>
        </w:rPr>
        <w:t>。</w:t>
      </w:r>
    </w:p>
    <w:p w14:paraId="7053EED0">
      <w:pPr>
        <w:pStyle w:val="175"/>
        <w:rPr>
          <w:rFonts w:eastAsia="方正兰亭黑简体" w:cs="Cambria"/>
          <w:szCs w:val="21"/>
        </w:rPr>
      </w:pPr>
      <w:r>
        <w:drawing>
          <wp:inline distT="0" distB="0" distL="0" distR="0">
            <wp:extent cx="5400040" cy="2384425"/>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158"/>
                    <a:stretch>
                      <a:fillRect/>
                    </a:stretch>
                  </pic:blipFill>
                  <pic:spPr>
                    <a:xfrm>
                      <a:off x="0" y="0"/>
                      <a:ext cx="5400040" cy="2384425"/>
                    </a:xfrm>
                    <a:prstGeom prst="rect">
                      <a:avLst/>
                    </a:prstGeom>
                  </pic:spPr>
                </pic:pic>
              </a:graphicData>
            </a:graphic>
          </wp:inline>
        </w:drawing>
      </w:r>
    </w:p>
    <w:p w14:paraId="5EFD9673">
      <w:pPr>
        <w:snapToGrid w:val="0"/>
        <w:spacing w:after="60"/>
        <w:contextualSpacing/>
        <w:jc w:val="center"/>
        <w:rPr>
          <w:rFonts w:eastAsia="方正兰亭黑简体" w:cs="Cambria"/>
          <w:szCs w:val="21"/>
        </w:rPr>
      </w:pPr>
    </w:p>
    <w:p w14:paraId="4181A167">
      <w:r>
        <w:rPr>
          <w:rFonts w:hint="eastAsia"/>
        </w:rPr>
        <w:t>详细配置请参见下表。</w:t>
      </w:r>
    </w:p>
    <w:tbl>
      <w:tblPr>
        <w:tblStyle w:val="173"/>
        <w:tblW w:w="964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60"/>
        <w:gridCol w:w="7588"/>
      </w:tblGrid>
      <w:tr w14:paraId="4B1C32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blHeader/>
        </w:trPr>
        <w:tc>
          <w:tcPr>
            <w:tcW w:w="2060" w:type="dxa"/>
            <w:tcBorders>
              <w:tl2br w:val="nil"/>
              <w:tr2bl w:val="nil"/>
            </w:tcBorders>
            <w:shd w:val="clear" w:color="auto" w:fill="538135" w:themeFill="accent6" w:themeFillShade="BF"/>
            <w:vAlign w:val="center"/>
          </w:tcPr>
          <w:p w14:paraId="2519CE47">
            <w:pPr>
              <w:pStyle w:val="149"/>
              <w:wordWrap/>
              <w:rPr>
                <w:b/>
                <w:bCs/>
                <w:i w:val="0"/>
                <w:iCs w:val="0"/>
              </w:rPr>
            </w:pPr>
            <w:r>
              <w:rPr>
                <w:rFonts w:hint="eastAsia"/>
                <w:b/>
                <w:bCs/>
                <w:i w:val="0"/>
                <w:iCs w:val="0"/>
              </w:rPr>
              <w:t>配置项</w:t>
            </w:r>
          </w:p>
        </w:tc>
        <w:tc>
          <w:tcPr>
            <w:tcW w:w="7588" w:type="dxa"/>
            <w:tcBorders>
              <w:tl2br w:val="nil"/>
              <w:tr2bl w:val="nil"/>
            </w:tcBorders>
            <w:shd w:val="clear" w:color="auto" w:fill="538135" w:themeFill="accent6" w:themeFillShade="BF"/>
            <w:vAlign w:val="center"/>
          </w:tcPr>
          <w:p w14:paraId="6A0B35CF">
            <w:pPr>
              <w:pStyle w:val="149"/>
              <w:wordWrap/>
              <w:rPr>
                <w:b/>
                <w:bCs/>
                <w:i w:val="0"/>
                <w:iCs w:val="0"/>
              </w:rPr>
            </w:pPr>
            <w:r>
              <w:rPr>
                <w:rFonts w:hint="eastAsia"/>
                <w:b/>
                <w:bCs/>
                <w:i w:val="0"/>
                <w:iCs w:val="0"/>
              </w:rPr>
              <w:t>说明</w:t>
            </w:r>
          </w:p>
        </w:tc>
      </w:tr>
      <w:tr w14:paraId="696AEF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060" w:type="dxa"/>
            <w:shd w:val="clear" w:color="auto" w:fill="auto"/>
          </w:tcPr>
          <w:p w14:paraId="13DD3097">
            <w:pPr>
              <w:pStyle w:val="186"/>
              <w:widowControl w:val="0"/>
              <w:spacing w:line="240" w:lineRule="auto"/>
              <w:ind w:firstLine="0"/>
              <w:jc w:val="left"/>
              <w:rPr>
                <w:szCs w:val="24"/>
              </w:rPr>
            </w:pPr>
            <w:r>
              <w:rPr>
                <w:szCs w:val="24"/>
              </w:rPr>
              <w:t>会话创建日志</w:t>
            </w:r>
          </w:p>
        </w:tc>
        <w:tc>
          <w:tcPr>
            <w:tcW w:w="7588" w:type="dxa"/>
            <w:shd w:val="clear" w:color="auto" w:fill="auto"/>
          </w:tcPr>
          <w:p w14:paraId="279DBD11">
            <w:pPr>
              <w:pStyle w:val="186"/>
              <w:widowControl w:val="0"/>
              <w:spacing w:line="240" w:lineRule="auto"/>
              <w:ind w:firstLine="0"/>
              <w:jc w:val="left"/>
              <w:rPr>
                <w:szCs w:val="24"/>
              </w:rPr>
            </w:pPr>
            <w:r>
              <w:rPr>
                <w:szCs w:val="24"/>
              </w:rPr>
              <w:t>勾选后记录会话创建日志</w:t>
            </w:r>
            <w:r>
              <w:rPr>
                <w:rFonts w:hint="eastAsia"/>
                <w:szCs w:val="24"/>
              </w:rPr>
              <w:t>。</w:t>
            </w:r>
          </w:p>
        </w:tc>
      </w:tr>
      <w:tr w14:paraId="1C4E304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060" w:type="dxa"/>
            <w:shd w:val="clear" w:color="auto" w:fill="auto"/>
          </w:tcPr>
          <w:p w14:paraId="46635538">
            <w:pPr>
              <w:pStyle w:val="186"/>
              <w:widowControl w:val="0"/>
              <w:spacing w:line="240" w:lineRule="auto"/>
              <w:ind w:firstLine="0"/>
              <w:jc w:val="left"/>
              <w:rPr>
                <w:szCs w:val="24"/>
              </w:rPr>
            </w:pPr>
            <w:r>
              <w:rPr>
                <w:szCs w:val="24"/>
              </w:rPr>
              <w:t>会话结束日志</w:t>
            </w:r>
          </w:p>
        </w:tc>
        <w:tc>
          <w:tcPr>
            <w:tcW w:w="7588" w:type="dxa"/>
            <w:shd w:val="clear" w:color="auto" w:fill="auto"/>
          </w:tcPr>
          <w:p w14:paraId="6BC91597">
            <w:pPr>
              <w:pStyle w:val="186"/>
              <w:widowControl w:val="0"/>
              <w:spacing w:line="240" w:lineRule="auto"/>
              <w:ind w:firstLine="0"/>
              <w:jc w:val="left"/>
              <w:rPr>
                <w:szCs w:val="24"/>
              </w:rPr>
            </w:pPr>
            <w:r>
              <w:rPr>
                <w:szCs w:val="24"/>
              </w:rPr>
              <w:t>勾选后记录会话结束日志</w:t>
            </w:r>
            <w:r>
              <w:rPr>
                <w:rFonts w:hint="eastAsia"/>
                <w:szCs w:val="24"/>
              </w:rPr>
              <w:t>。</w:t>
            </w:r>
          </w:p>
        </w:tc>
      </w:tr>
      <w:tr w14:paraId="7C93D1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060" w:type="dxa"/>
            <w:shd w:val="clear" w:color="auto" w:fill="auto"/>
          </w:tcPr>
          <w:p w14:paraId="7E9FC9EB">
            <w:pPr>
              <w:pStyle w:val="186"/>
              <w:widowControl w:val="0"/>
              <w:spacing w:line="240" w:lineRule="auto"/>
              <w:ind w:firstLine="0"/>
              <w:jc w:val="left"/>
              <w:rPr>
                <w:szCs w:val="24"/>
              </w:rPr>
            </w:pPr>
            <w:r>
              <w:rPr>
                <w:szCs w:val="24"/>
              </w:rPr>
              <w:t>长连接会话日志</w:t>
            </w:r>
          </w:p>
        </w:tc>
        <w:tc>
          <w:tcPr>
            <w:tcW w:w="7588" w:type="dxa"/>
            <w:shd w:val="clear" w:color="auto" w:fill="auto"/>
          </w:tcPr>
          <w:p w14:paraId="5312354E">
            <w:pPr>
              <w:pStyle w:val="186"/>
              <w:widowControl w:val="0"/>
              <w:spacing w:line="240" w:lineRule="auto"/>
              <w:ind w:firstLine="0"/>
              <w:jc w:val="left"/>
              <w:rPr>
                <w:szCs w:val="24"/>
              </w:rPr>
            </w:pPr>
            <w:r>
              <w:rPr>
                <w:szCs w:val="24"/>
              </w:rPr>
              <w:t>勾选后记录长连接会话日志</w:t>
            </w:r>
            <w:r>
              <w:rPr>
                <w:rFonts w:hint="eastAsia"/>
                <w:szCs w:val="24"/>
              </w:rPr>
              <w:t>。</w:t>
            </w:r>
          </w:p>
        </w:tc>
      </w:tr>
      <w:tr w14:paraId="7023AD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060" w:type="dxa"/>
            <w:shd w:val="clear" w:color="auto" w:fill="auto"/>
          </w:tcPr>
          <w:p w14:paraId="4DE343A3">
            <w:pPr>
              <w:pStyle w:val="186"/>
              <w:widowControl w:val="0"/>
              <w:spacing w:line="240" w:lineRule="auto"/>
              <w:ind w:firstLine="0"/>
              <w:jc w:val="left"/>
              <w:rPr>
                <w:szCs w:val="24"/>
              </w:rPr>
            </w:pPr>
            <w:r>
              <w:rPr>
                <w:rFonts w:hint="eastAsia"/>
                <w:szCs w:val="24"/>
              </w:rPr>
              <w:t>长连接会话日志间隔</w:t>
            </w:r>
          </w:p>
        </w:tc>
        <w:tc>
          <w:tcPr>
            <w:tcW w:w="7588" w:type="dxa"/>
            <w:shd w:val="clear" w:color="auto" w:fill="auto"/>
          </w:tcPr>
          <w:p w14:paraId="22A6B2BC">
            <w:pPr>
              <w:pStyle w:val="186"/>
              <w:widowControl w:val="0"/>
              <w:spacing w:line="240" w:lineRule="auto"/>
              <w:ind w:firstLine="0"/>
              <w:jc w:val="left"/>
              <w:rPr>
                <w:szCs w:val="24"/>
              </w:rPr>
            </w:pPr>
            <w:r>
              <w:rPr>
                <w:rFonts w:hint="eastAsia"/>
                <w:szCs w:val="24"/>
              </w:rPr>
              <w:t>设置记录长连接会话日志的时间间隔，取值范围是1-60分钟，默认是5分钟。</w:t>
            </w:r>
          </w:p>
        </w:tc>
      </w:tr>
      <w:tr w14:paraId="321E0BD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060" w:type="dxa"/>
            <w:shd w:val="clear" w:color="auto" w:fill="auto"/>
          </w:tcPr>
          <w:p w14:paraId="23B325B1">
            <w:pPr>
              <w:pStyle w:val="186"/>
              <w:widowControl w:val="0"/>
              <w:spacing w:line="240" w:lineRule="auto"/>
              <w:ind w:firstLine="0"/>
              <w:jc w:val="left"/>
              <w:rPr>
                <w:szCs w:val="24"/>
              </w:rPr>
            </w:pPr>
            <w:r>
              <w:rPr>
                <w:szCs w:val="24"/>
              </w:rPr>
              <w:t>DNS会话日志</w:t>
            </w:r>
          </w:p>
        </w:tc>
        <w:tc>
          <w:tcPr>
            <w:tcW w:w="7588" w:type="dxa"/>
            <w:shd w:val="clear" w:color="auto" w:fill="auto"/>
          </w:tcPr>
          <w:p w14:paraId="2AB9B9EA">
            <w:pPr>
              <w:pStyle w:val="186"/>
              <w:widowControl w:val="0"/>
              <w:spacing w:line="240" w:lineRule="auto"/>
              <w:ind w:firstLine="0"/>
              <w:jc w:val="left"/>
              <w:rPr>
                <w:szCs w:val="24"/>
              </w:rPr>
            </w:pPr>
            <w:r>
              <w:rPr>
                <w:szCs w:val="24"/>
              </w:rPr>
              <w:t>勾选后记录DNS会话日志</w:t>
            </w:r>
            <w:r>
              <w:rPr>
                <w:rFonts w:hint="eastAsia"/>
                <w:szCs w:val="24"/>
              </w:rPr>
              <w:t>。</w:t>
            </w:r>
          </w:p>
        </w:tc>
      </w:tr>
      <w:tr w14:paraId="7F9BFE5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060" w:type="dxa"/>
            <w:shd w:val="clear" w:color="auto" w:fill="auto"/>
          </w:tcPr>
          <w:p w14:paraId="45B91C09">
            <w:pPr>
              <w:pStyle w:val="186"/>
              <w:widowControl w:val="0"/>
              <w:spacing w:line="240" w:lineRule="auto"/>
              <w:ind w:firstLine="0"/>
              <w:jc w:val="left"/>
              <w:rPr>
                <w:szCs w:val="24"/>
              </w:rPr>
            </w:pPr>
            <w:r>
              <w:rPr>
                <w:rFonts w:hint="eastAsia"/>
                <w:szCs w:val="24"/>
              </w:rPr>
              <w:t>匹配条件</w:t>
            </w:r>
          </w:p>
        </w:tc>
        <w:tc>
          <w:tcPr>
            <w:tcW w:w="7588" w:type="dxa"/>
            <w:shd w:val="clear" w:color="auto" w:fill="auto"/>
          </w:tcPr>
          <w:p w14:paraId="69755272">
            <w:pPr>
              <w:pStyle w:val="186"/>
              <w:widowControl w:val="0"/>
              <w:spacing w:line="240" w:lineRule="auto"/>
              <w:ind w:firstLine="0"/>
              <w:jc w:val="left"/>
              <w:rPr>
                <w:szCs w:val="24"/>
              </w:rPr>
            </w:pPr>
            <w:r>
              <w:rPr>
                <w:rFonts w:hint="eastAsia"/>
                <w:szCs w:val="24"/>
              </w:rPr>
              <w:t>设置会话日志的匹配条件，根据匹配条件记录会话日志数据。匹配条件可以为源地址/端口、目的地址/端口及协议类型。</w:t>
            </w:r>
          </w:p>
          <w:p w14:paraId="54E8BCB3">
            <w:pPr>
              <w:pStyle w:val="186"/>
              <w:widowControl w:val="0"/>
              <w:spacing w:line="240" w:lineRule="auto"/>
              <w:ind w:firstLine="0"/>
              <w:jc w:val="left"/>
              <w:rPr>
                <w:szCs w:val="24"/>
              </w:rPr>
            </w:pPr>
            <w:r>
              <w:rPr>
                <w:szCs w:val="24"/>
              </w:rPr>
              <w:t>协议类型可以选择TCP</w:t>
            </w:r>
            <w:r>
              <w:rPr>
                <w:rFonts w:hint="eastAsia"/>
                <w:szCs w:val="24"/>
              </w:rPr>
              <w:t>、</w:t>
            </w:r>
            <w:r>
              <w:rPr>
                <w:szCs w:val="24"/>
              </w:rPr>
              <w:t>UDP</w:t>
            </w:r>
            <w:r>
              <w:rPr>
                <w:rFonts w:hint="eastAsia"/>
                <w:szCs w:val="24"/>
              </w:rPr>
              <w:t>、</w:t>
            </w:r>
            <w:r>
              <w:rPr>
                <w:szCs w:val="24"/>
              </w:rPr>
              <w:t>ICMP</w:t>
            </w:r>
            <w:r>
              <w:rPr>
                <w:rFonts w:hint="eastAsia"/>
                <w:szCs w:val="24"/>
              </w:rPr>
              <w:t>、</w:t>
            </w:r>
            <w:r>
              <w:rPr>
                <w:szCs w:val="24"/>
              </w:rPr>
              <w:t>ICMP6</w:t>
            </w:r>
            <w:r>
              <w:rPr>
                <w:rFonts w:hint="eastAsia"/>
                <w:szCs w:val="24"/>
              </w:rPr>
              <w:t>、</w:t>
            </w:r>
            <w:r>
              <w:rPr>
                <w:szCs w:val="24"/>
              </w:rPr>
              <w:t>IGMP等</w:t>
            </w:r>
            <w:r>
              <w:rPr>
                <w:rFonts w:hint="eastAsia"/>
                <w:szCs w:val="24"/>
              </w:rPr>
              <w:t>。</w:t>
            </w:r>
          </w:p>
        </w:tc>
      </w:tr>
    </w:tbl>
    <w:p w14:paraId="1E7904E2">
      <w:pPr>
        <w:spacing w:before="156" w:beforeLines="50" w:after="156" w:afterLines="50" w:line="288" w:lineRule="auto"/>
        <w:rPr>
          <w:rFonts w:eastAsia="方正兰亭黑简体" w:cs="Times New Roman"/>
          <w:szCs w:val="24"/>
        </w:rPr>
      </w:pPr>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7E15002E">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14AD5624">
            <w:pPr>
              <w:pStyle w:val="150"/>
              <w:adjustRightInd w:val="0"/>
              <w:snapToGrid w:val="0"/>
              <w:rPr>
                <w:color w:val="auto"/>
              </w:rPr>
            </w:pPr>
            <w:r>
              <w:rPr>
                <w:color w:val="auto"/>
              </w:rPr>
              <w:drawing>
                <wp:inline distT="0" distB="0" distL="0" distR="0">
                  <wp:extent cx="283210" cy="283210"/>
                  <wp:effectExtent l="0" t="0" r="2540" b="254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58CE5162">
            <w:pPr>
              <w:pStyle w:val="150"/>
              <w:adjustRightInd w:val="0"/>
              <w:snapToGrid w:val="0"/>
              <w:rPr>
                <w:color w:val="auto"/>
              </w:rPr>
            </w:pPr>
            <w:r>
              <w:rPr>
                <w:rFonts w:hint="eastAsia"/>
                <w:color w:val="auto"/>
              </w:rPr>
              <w:t>系统会话日志一般数量很大，易达到日志性能瓶颈，请配置条件记录所关注的会话日志。</w:t>
            </w:r>
          </w:p>
        </w:tc>
      </w:tr>
    </w:tbl>
    <w:p w14:paraId="3CAFA1C5"/>
    <w:p w14:paraId="38DDC6E7">
      <w:pPr>
        <w:pStyle w:val="5"/>
      </w:pPr>
      <w:bookmarkStart w:id="1067" w:name="_Toc143011033"/>
      <w:bookmarkStart w:id="1068" w:name="_Toc196727977"/>
      <w:bookmarkStart w:id="1069" w:name="_Toc172218002"/>
      <w:bookmarkStart w:id="1070" w:name="_Toc194080645"/>
      <w:bookmarkStart w:id="1071" w:name="_Toc474250168"/>
      <w:r>
        <w:t>日志信息查询</w:t>
      </w:r>
      <w:bookmarkEnd w:id="1067"/>
      <w:bookmarkEnd w:id="1068"/>
      <w:bookmarkEnd w:id="1069"/>
      <w:bookmarkEnd w:id="1070"/>
    </w:p>
    <w:bookmarkEnd w:id="1071"/>
    <w:p w14:paraId="2F245892">
      <w:pPr>
        <w:pStyle w:val="6"/>
      </w:pPr>
      <w:bookmarkStart w:id="1072" w:name="_Toc143011034"/>
      <w:bookmarkStart w:id="1073" w:name="_Toc474250169"/>
      <w:bookmarkStart w:id="1074" w:name="_Toc172218003"/>
      <w:r>
        <w:rPr>
          <w:rFonts w:hint="eastAsia"/>
        </w:rPr>
        <w:t>系统日志</w:t>
      </w:r>
      <w:bookmarkEnd w:id="1072"/>
      <w:bookmarkEnd w:id="1073"/>
      <w:bookmarkEnd w:id="1074"/>
    </w:p>
    <w:p w14:paraId="2066ABE9">
      <w:r>
        <w:rPr>
          <w:rFonts w:hint="eastAsia"/>
        </w:rPr>
        <w:t>系统日志记录系统的状态信息，比如接口的</w:t>
      </w:r>
      <w:r>
        <w:t>up/ down</w:t>
      </w:r>
      <w:r>
        <w:rPr>
          <w:rFonts w:hint="eastAsia"/>
        </w:rPr>
        <w:t>、管理的登录、退出等。点击“数据中心 &gt; 日志中心 &gt; 系统日志”，进入系统日志的查询界面，如</w:t>
      </w:r>
      <w:r>
        <w:rPr>
          <w:color w:val="0000FF"/>
          <w:u w:val="single"/>
        </w:rPr>
        <w:fldChar w:fldCharType="begin"/>
      </w:r>
      <w:r>
        <w:rPr>
          <w:color w:val="0000FF"/>
          <w:u w:val="single"/>
        </w:rPr>
        <w:instrText xml:space="preserve">  REF _Ref393371580 \r \h  \* MERGEFORMAT </w:instrText>
      </w:r>
      <w:r>
        <w:rPr>
          <w:color w:val="0000FF"/>
          <w:u w:val="single"/>
        </w:rPr>
        <w:fldChar w:fldCharType="separate"/>
      </w:r>
      <w:r>
        <w:rPr>
          <w:rFonts w:hint="eastAsia"/>
          <w:color w:val="0000FF"/>
          <w:u w:val="single"/>
        </w:rPr>
        <w:t>图5-4</w:t>
      </w:r>
      <w:r>
        <w:rPr>
          <w:color w:val="0000FF"/>
          <w:u w:val="single"/>
        </w:rPr>
        <w:fldChar w:fldCharType="end"/>
      </w:r>
      <w:r>
        <w:rPr>
          <w:rFonts w:hint="eastAsia"/>
        </w:rPr>
        <w:t>所示。</w:t>
      </w:r>
    </w:p>
    <w:p w14:paraId="1DDDDF71">
      <w:pPr>
        <w:pStyle w:val="188"/>
      </w:pPr>
      <w:bookmarkStart w:id="1075" w:name="_Ref393371580"/>
      <w:r>
        <w:rPr>
          <w:rFonts w:hint="eastAsia"/>
        </w:rPr>
        <w:t>系统日志查询页面</w:t>
      </w:r>
      <w:bookmarkEnd w:id="1075"/>
    </w:p>
    <w:p w14:paraId="63D1A4B3">
      <w:pPr>
        <w:pStyle w:val="175"/>
      </w:pPr>
      <w:r>
        <w:drawing>
          <wp:inline distT="0" distB="0" distL="0" distR="0">
            <wp:extent cx="5181600" cy="1357630"/>
            <wp:effectExtent l="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159"/>
                    <a:stretch>
                      <a:fillRect/>
                    </a:stretch>
                  </pic:blipFill>
                  <pic:spPr>
                    <a:xfrm>
                      <a:off x="0" y="0"/>
                      <a:ext cx="5204588" cy="1364184"/>
                    </a:xfrm>
                    <a:prstGeom prst="rect">
                      <a:avLst/>
                    </a:prstGeom>
                  </pic:spPr>
                </pic:pic>
              </a:graphicData>
            </a:graphic>
          </wp:inline>
        </w:drawing>
      </w:r>
    </w:p>
    <w:p w14:paraId="7CA85F22"/>
    <w:p w14:paraId="6256A212">
      <w:pPr>
        <w:pStyle w:val="6"/>
      </w:pPr>
      <w:bookmarkStart w:id="1076" w:name="_Toc143011035"/>
      <w:bookmarkStart w:id="1077" w:name="_Toc474250170"/>
      <w:bookmarkStart w:id="1078" w:name="_Toc172218004"/>
      <w:r>
        <w:rPr>
          <w:rFonts w:hint="eastAsia"/>
        </w:rPr>
        <w:t>操作日志</w:t>
      </w:r>
      <w:bookmarkEnd w:id="1076"/>
      <w:bookmarkEnd w:id="1077"/>
      <w:bookmarkEnd w:id="1078"/>
    </w:p>
    <w:p w14:paraId="30947D28">
      <w:r>
        <w:rPr>
          <w:rFonts w:hint="eastAsia"/>
        </w:rPr>
        <w:t>操作日志记录着管理员对系统的操作，比如操作管理员、操作员IP、操作详细信息等。点击“数据中心 &gt; 日志中心 &gt; 操作日志”，进入操作日志的查询界面，如</w:t>
      </w:r>
      <w:r>
        <w:rPr>
          <w:color w:val="0000FF"/>
          <w:u w:val="single"/>
        </w:rPr>
        <w:fldChar w:fldCharType="begin"/>
      </w:r>
      <w:r>
        <w:rPr>
          <w:color w:val="0000FF"/>
          <w:u w:val="single"/>
        </w:rPr>
        <w:instrText xml:space="preserve">  REF _Ref393371663 \r \h  \* MERGEFORMAT </w:instrText>
      </w:r>
      <w:r>
        <w:rPr>
          <w:color w:val="0000FF"/>
          <w:u w:val="single"/>
        </w:rPr>
        <w:fldChar w:fldCharType="separate"/>
      </w:r>
      <w:r>
        <w:rPr>
          <w:rFonts w:hint="eastAsia"/>
          <w:color w:val="0000FF"/>
          <w:u w:val="single"/>
        </w:rPr>
        <w:t>图5-5</w:t>
      </w:r>
      <w:r>
        <w:rPr>
          <w:color w:val="0000FF"/>
          <w:u w:val="single"/>
        </w:rPr>
        <w:fldChar w:fldCharType="end"/>
      </w:r>
      <w:r>
        <w:rPr>
          <w:rFonts w:hint="eastAsia"/>
        </w:rPr>
        <w:t>所示。</w:t>
      </w:r>
    </w:p>
    <w:p w14:paraId="4B924198">
      <w:pPr>
        <w:pStyle w:val="188"/>
      </w:pPr>
      <w:bookmarkStart w:id="1079" w:name="_Ref393371663"/>
      <w:r>
        <w:rPr>
          <w:rFonts w:hint="eastAsia"/>
        </w:rPr>
        <w:t>操作日志查询界面</w:t>
      </w:r>
      <w:bookmarkEnd w:id="1079"/>
    </w:p>
    <w:p w14:paraId="44EB4ACC">
      <w:pPr>
        <w:pStyle w:val="175"/>
      </w:pPr>
      <w:r>
        <w:drawing>
          <wp:inline distT="0" distB="0" distL="0" distR="0">
            <wp:extent cx="5419725" cy="1663065"/>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160"/>
                    <a:stretch>
                      <a:fillRect/>
                    </a:stretch>
                  </pic:blipFill>
                  <pic:spPr>
                    <a:xfrm>
                      <a:off x="0" y="0"/>
                      <a:ext cx="5464577" cy="1677158"/>
                    </a:xfrm>
                    <a:prstGeom prst="rect">
                      <a:avLst/>
                    </a:prstGeom>
                  </pic:spPr>
                </pic:pic>
              </a:graphicData>
            </a:graphic>
          </wp:inline>
        </w:drawing>
      </w:r>
    </w:p>
    <w:p w14:paraId="11A14124"/>
    <w:p w14:paraId="724CAB10">
      <w:pPr>
        <w:pStyle w:val="6"/>
      </w:pPr>
      <w:bookmarkStart w:id="1080" w:name="_Toc172218005"/>
      <w:bookmarkStart w:id="1081" w:name="_Toc143011036"/>
      <w:bookmarkStart w:id="1082" w:name="_Toc474250171"/>
      <w:r>
        <w:t>控制</w:t>
      </w:r>
      <w:r>
        <w:rPr>
          <w:rFonts w:hint="eastAsia"/>
        </w:rPr>
        <w:t>日志查询</w:t>
      </w:r>
      <w:bookmarkEnd w:id="1080"/>
      <w:bookmarkEnd w:id="1081"/>
      <w:bookmarkEnd w:id="1082"/>
    </w:p>
    <w:p w14:paraId="024B6C5E">
      <w:pPr>
        <w:pStyle w:val="202"/>
      </w:pPr>
      <w:bookmarkStart w:id="1083" w:name="_Toc474250175"/>
      <w:r>
        <w:t>应用控制</w:t>
      </w:r>
      <w:r>
        <w:rPr>
          <w:rFonts w:hint="eastAsia"/>
        </w:rPr>
        <w:t>日志</w:t>
      </w:r>
    </w:p>
    <w:p w14:paraId="228906D3">
      <w:r>
        <w:rPr>
          <w:rFonts w:hint="eastAsia"/>
        </w:rPr>
        <w:t>应用控制日志记录着应用控制策略产生的日志。通过“策略配置 &gt; 控制策略”，创建“应用过滤”或者“URL控制”策略，且在“系统管理 &gt; 系统设定 &gt; 日志设定 &gt; 日志过滤”中，配置发送或记录“应用控制日志”。当通过设备的流量匹配到应用控制策略时，将会产生应用控制日志信息。详细配置请参见“控制策略”章节。</w:t>
      </w:r>
    </w:p>
    <w:p w14:paraId="7DD79ABA">
      <w:r>
        <w:rPr>
          <w:rFonts w:hint="eastAsia"/>
        </w:rPr>
        <w:t xml:space="preserve">点击“数据中心 &gt; 日志中心 &gt; </w:t>
      </w:r>
      <w:r>
        <w:t>控制</w:t>
      </w:r>
      <w:r>
        <w:rPr>
          <w:rFonts w:hint="eastAsia"/>
        </w:rPr>
        <w:t>日志 &gt;</w:t>
      </w:r>
      <w:r>
        <w:t xml:space="preserve"> </w:t>
      </w:r>
      <w:r>
        <w:rPr>
          <w:rFonts w:hint="eastAsia"/>
        </w:rPr>
        <w:t>应用控制日志”，进入应用控制日志的查询界面，如</w:t>
      </w:r>
      <w:r>
        <w:rPr>
          <w:color w:val="0000FF"/>
          <w:u w:val="single"/>
        </w:rPr>
        <w:fldChar w:fldCharType="begin"/>
      </w:r>
      <w:r>
        <w:rPr>
          <w:color w:val="0000FF"/>
          <w:u w:val="single"/>
        </w:rPr>
        <w:instrText xml:space="preserve">  REF _Ref5726495 \r \h  \* MERGEFORMAT </w:instrText>
      </w:r>
      <w:r>
        <w:rPr>
          <w:color w:val="0000FF"/>
          <w:u w:val="single"/>
        </w:rPr>
        <w:fldChar w:fldCharType="separate"/>
      </w:r>
      <w:r>
        <w:rPr>
          <w:rFonts w:hint="eastAsia"/>
          <w:color w:val="0000FF"/>
          <w:u w:val="single"/>
        </w:rPr>
        <w:t>图5-6</w:t>
      </w:r>
      <w:r>
        <w:rPr>
          <w:color w:val="0000FF"/>
          <w:u w:val="single"/>
        </w:rPr>
        <w:fldChar w:fldCharType="end"/>
      </w:r>
      <w:r>
        <w:rPr>
          <w:rFonts w:hint="eastAsia"/>
        </w:rPr>
        <w:t>所示。</w:t>
      </w:r>
    </w:p>
    <w:p w14:paraId="5357CCC0">
      <w:pPr>
        <w:pStyle w:val="188"/>
      </w:pPr>
      <w:bookmarkStart w:id="1084" w:name="_Ref5726495"/>
      <w:r>
        <w:rPr>
          <w:rFonts w:hint="eastAsia"/>
        </w:rPr>
        <w:t>应用控制日志查询页面</w:t>
      </w:r>
      <w:bookmarkEnd w:id="1084"/>
    </w:p>
    <w:p w14:paraId="6A56D344">
      <w:pPr>
        <w:pStyle w:val="175"/>
      </w:pPr>
      <w:r>
        <w:drawing>
          <wp:inline distT="0" distB="0" distL="0" distR="0">
            <wp:extent cx="5400040" cy="1544955"/>
            <wp:effectExtent l="0" t="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161"/>
                    <a:stretch>
                      <a:fillRect/>
                    </a:stretch>
                  </pic:blipFill>
                  <pic:spPr>
                    <a:xfrm>
                      <a:off x="0" y="0"/>
                      <a:ext cx="5400040" cy="1544955"/>
                    </a:xfrm>
                    <a:prstGeom prst="rect">
                      <a:avLst/>
                    </a:prstGeom>
                  </pic:spPr>
                </pic:pic>
              </a:graphicData>
            </a:graphic>
          </wp:inline>
        </w:drawing>
      </w:r>
    </w:p>
    <w:p w14:paraId="1FF3B8AA"/>
    <w:p w14:paraId="640006E1">
      <w:r>
        <w:rPr>
          <w:rFonts w:hint="eastAsia"/>
        </w:rPr>
        <w:t>点击对应应用控制日志的</w:t>
      </w:r>
      <w:r>
        <w:t>&lt;</w:t>
      </w:r>
      <w:r>
        <w:rPr>
          <w:rFonts w:hint="eastAsia"/>
        </w:rPr>
        <w:t>详细</w:t>
      </w:r>
      <w:r>
        <w:t>&gt;</w:t>
      </w:r>
      <w:r>
        <w:rPr>
          <w:rFonts w:hint="eastAsia"/>
        </w:rPr>
        <w:t>按钮，可以查看日志的详细信息，如</w:t>
      </w:r>
      <w:r>
        <w:rPr>
          <w:color w:val="0000FF"/>
          <w:u w:val="single"/>
        </w:rPr>
        <w:fldChar w:fldCharType="begin"/>
      </w:r>
      <w:r>
        <w:rPr>
          <w:color w:val="0000FF"/>
          <w:u w:val="single"/>
        </w:rPr>
        <w:instrText xml:space="preserve">  REF _Ref5718983 \r \h  \* MERGEFORMAT </w:instrText>
      </w:r>
      <w:r>
        <w:rPr>
          <w:color w:val="0000FF"/>
          <w:u w:val="single"/>
        </w:rPr>
        <w:fldChar w:fldCharType="separate"/>
      </w:r>
      <w:r>
        <w:rPr>
          <w:rFonts w:hint="eastAsia"/>
          <w:color w:val="0000FF"/>
          <w:u w:val="single"/>
        </w:rPr>
        <w:t>图5-7</w:t>
      </w:r>
      <w:r>
        <w:rPr>
          <w:color w:val="0000FF"/>
          <w:u w:val="single"/>
        </w:rPr>
        <w:fldChar w:fldCharType="end"/>
      </w:r>
      <w:r>
        <w:t>所示</w:t>
      </w:r>
      <w:r>
        <w:rPr>
          <w:rFonts w:hint="eastAsia"/>
        </w:rPr>
        <w:t>。</w:t>
      </w:r>
      <w:r>
        <w:t>在日志详情的下方</w:t>
      </w:r>
      <w:r>
        <w:rPr>
          <w:rFonts w:hint="eastAsia"/>
        </w:rPr>
        <w:t>，点击&lt;上一条</w:t>
      </w:r>
      <w:r>
        <w:t>&gt;</w:t>
      </w:r>
      <w:r>
        <w:rPr>
          <w:rFonts w:hint="eastAsia"/>
        </w:rPr>
        <w:t>、&lt;下一条</w:t>
      </w:r>
      <w:r>
        <w:t>&gt;可以切换到上一条</w:t>
      </w:r>
      <w:r>
        <w:rPr>
          <w:rFonts w:hint="eastAsia"/>
        </w:rPr>
        <w:t>或下一条日志的详情界面。</w:t>
      </w:r>
    </w:p>
    <w:p w14:paraId="7014DD9F">
      <w:pPr>
        <w:pStyle w:val="188"/>
      </w:pPr>
      <w:bookmarkStart w:id="1085" w:name="_Ref5718983"/>
      <w:r>
        <w:rPr>
          <w:rFonts w:hint="eastAsia"/>
        </w:rPr>
        <w:t>应用控制日志详情</w:t>
      </w:r>
      <w:bookmarkEnd w:id="1085"/>
    </w:p>
    <w:p w14:paraId="6B870E93">
      <w:pPr>
        <w:pStyle w:val="175"/>
      </w:pPr>
      <w:r>
        <w:drawing>
          <wp:inline distT="0" distB="0" distL="0" distR="0">
            <wp:extent cx="4743450" cy="3628390"/>
            <wp:effectExtent l="0" t="0" r="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pic:cNvPicPr>
                  </pic:nvPicPr>
                  <pic:blipFill>
                    <a:blip r:embed="rId162"/>
                    <a:stretch>
                      <a:fillRect/>
                    </a:stretch>
                  </pic:blipFill>
                  <pic:spPr>
                    <a:xfrm>
                      <a:off x="0" y="0"/>
                      <a:ext cx="4746756" cy="3631514"/>
                    </a:xfrm>
                    <a:prstGeom prst="rect">
                      <a:avLst/>
                    </a:prstGeom>
                  </pic:spPr>
                </pic:pic>
              </a:graphicData>
            </a:graphic>
          </wp:inline>
        </w:drawing>
      </w:r>
    </w:p>
    <w:p w14:paraId="37471A4F"/>
    <w:p w14:paraId="3DC91ABF">
      <w:r>
        <w:rPr>
          <w:rFonts w:hint="eastAsia"/>
        </w:rPr>
        <w:t>点击</w:t>
      </w:r>
      <w:r>
        <w:t>&lt;</w:t>
      </w:r>
      <w:r>
        <w:rPr>
          <w:rFonts w:hint="eastAsia"/>
        </w:rPr>
        <w:t>查询</w:t>
      </w:r>
      <w:r>
        <w:t>&gt;</w:t>
      </w:r>
      <w:r>
        <w:rPr>
          <w:rFonts w:hint="eastAsia"/>
        </w:rPr>
        <w:t>按钮，可以查看根据设定的条件，查询关心的日志。</w:t>
      </w:r>
    </w:p>
    <w:p w14:paraId="6713E741">
      <w:pPr>
        <w:pStyle w:val="202"/>
      </w:pPr>
      <w:r>
        <w:rPr>
          <w:rFonts w:hint="eastAsia"/>
        </w:rPr>
        <w:t>恶意</w:t>
      </w:r>
      <w:r>
        <w:t>URL</w:t>
      </w:r>
      <w:r>
        <w:rPr>
          <w:rFonts w:hint="eastAsia"/>
        </w:rPr>
        <w:t>日志</w:t>
      </w:r>
      <w:bookmarkEnd w:id="1083"/>
    </w:p>
    <w:p w14:paraId="019B889A">
      <w:r>
        <w:rPr>
          <w:rFonts w:hint="eastAsia"/>
        </w:rPr>
        <w:t>恶意</w:t>
      </w:r>
      <w:r>
        <w:t>URL</w:t>
      </w:r>
      <w:r>
        <w:rPr>
          <w:rFonts w:hint="eastAsia"/>
        </w:rPr>
        <w:t>日志记录着访问恶意网站的信息，包括用户IP、MAC，访问的源地址、目的地址、网站名称、URL名称以及用户的终端信息等。通过“策略配置 &gt; 控制策略”，创建“恶意URL”过滤策略，且在“系统管理 &gt; 系统设定 &gt; 日志设定 &gt; 日志过滤”中，配置发送或记录“恶意URL日志”。当通过设备的流量匹配到恶意URL策略时，将会产生应用控制日志信息。</w:t>
      </w:r>
    </w:p>
    <w:p w14:paraId="46D42335">
      <w:r>
        <w:rPr>
          <w:rFonts w:hint="eastAsia"/>
        </w:rPr>
        <w:t xml:space="preserve">点击“数据中心 &gt; 日志中心 &gt; </w:t>
      </w:r>
      <w:r>
        <w:t>控制</w:t>
      </w:r>
      <w:r>
        <w:rPr>
          <w:rFonts w:hint="eastAsia"/>
        </w:rPr>
        <w:t>日志</w:t>
      </w:r>
      <w:r>
        <w:t xml:space="preserve"> &gt; </w:t>
      </w:r>
      <w:r>
        <w:rPr>
          <w:rFonts w:hint="eastAsia"/>
        </w:rPr>
        <w:t>恶意</w:t>
      </w:r>
      <w:r>
        <w:t>URL</w:t>
      </w:r>
      <w:r>
        <w:rPr>
          <w:rFonts w:hint="eastAsia"/>
        </w:rPr>
        <w:t>日志”，进入恶意</w:t>
      </w:r>
      <w:r>
        <w:t>URL</w:t>
      </w:r>
      <w:r>
        <w:rPr>
          <w:rFonts w:hint="eastAsia"/>
        </w:rPr>
        <w:t>的查询界面，如</w:t>
      </w:r>
      <w:r>
        <w:rPr>
          <w:color w:val="0000FF"/>
          <w:u w:val="single"/>
        </w:rPr>
        <w:fldChar w:fldCharType="begin"/>
      </w:r>
      <w:r>
        <w:rPr>
          <w:color w:val="0000FF"/>
          <w:u w:val="single"/>
        </w:rPr>
        <w:instrText xml:space="preserve">  REF _Ref393371848 \r \h  \* MERGEFORMAT </w:instrText>
      </w:r>
      <w:r>
        <w:rPr>
          <w:color w:val="0000FF"/>
          <w:u w:val="single"/>
        </w:rPr>
        <w:fldChar w:fldCharType="separate"/>
      </w:r>
      <w:r>
        <w:rPr>
          <w:rFonts w:hint="eastAsia"/>
          <w:color w:val="0000FF"/>
          <w:u w:val="single"/>
        </w:rPr>
        <w:t>图5-8</w:t>
      </w:r>
      <w:r>
        <w:rPr>
          <w:color w:val="0000FF"/>
          <w:u w:val="single"/>
        </w:rPr>
        <w:fldChar w:fldCharType="end"/>
      </w:r>
      <w:r>
        <w:rPr>
          <w:rFonts w:hint="eastAsia"/>
        </w:rPr>
        <w:t>所示。</w:t>
      </w:r>
    </w:p>
    <w:p w14:paraId="535788FD">
      <w:pPr>
        <w:pStyle w:val="188"/>
      </w:pPr>
      <w:bookmarkStart w:id="1086" w:name="_Ref393371848"/>
      <w:r>
        <w:rPr>
          <w:rFonts w:hint="eastAsia"/>
        </w:rPr>
        <w:t>恶意</w:t>
      </w:r>
      <w:r>
        <w:t>URL</w:t>
      </w:r>
      <w:r>
        <w:rPr>
          <w:rFonts w:hint="eastAsia"/>
        </w:rPr>
        <w:t>日志查询页面</w:t>
      </w:r>
      <w:bookmarkEnd w:id="1086"/>
    </w:p>
    <w:p w14:paraId="602F23F4">
      <w:pPr>
        <w:pStyle w:val="175"/>
      </w:pPr>
      <w:r>
        <w:drawing>
          <wp:inline distT="0" distB="0" distL="0" distR="0">
            <wp:extent cx="5400040" cy="1659255"/>
            <wp:effectExtent l="0" t="0" r="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163"/>
                    <a:stretch>
                      <a:fillRect/>
                    </a:stretch>
                  </pic:blipFill>
                  <pic:spPr>
                    <a:xfrm>
                      <a:off x="0" y="0"/>
                      <a:ext cx="5400040" cy="1659255"/>
                    </a:xfrm>
                    <a:prstGeom prst="rect">
                      <a:avLst/>
                    </a:prstGeom>
                  </pic:spPr>
                </pic:pic>
              </a:graphicData>
            </a:graphic>
          </wp:inline>
        </w:drawing>
      </w:r>
    </w:p>
    <w:p w14:paraId="0B8343E0"/>
    <w:p w14:paraId="45CFA1FF">
      <w:r>
        <w:rPr>
          <w:rFonts w:hint="eastAsia"/>
        </w:rPr>
        <w:t>点击</w:t>
      </w:r>
      <w:r>
        <w:t>&lt;</w:t>
      </w:r>
      <w:r>
        <w:rPr>
          <w:rFonts w:hint="eastAsia"/>
        </w:rPr>
        <w:t>查询</w:t>
      </w:r>
      <w:r>
        <w:t>&gt;</w:t>
      </w:r>
      <w:r>
        <w:rPr>
          <w:rFonts w:hint="eastAsia"/>
        </w:rPr>
        <w:t>按钮之后，可以查询符合设置条件的日志。</w:t>
      </w:r>
    </w:p>
    <w:p w14:paraId="49868143">
      <w:pPr>
        <w:pStyle w:val="6"/>
      </w:pPr>
      <w:bookmarkStart w:id="1087" w:name="_Toc474250173"/>
      <w:bookmarkStart w:id="1088" w:name="_Toc172218006"/>
      <w:bookmarkStart w:id="1089" w:name="_Toc143011037"/>
      <w:r>
        <w:rPr>
          <w:rFonts w:hint="eastAsia"/>
        </w:rPr>
        <w:t>审计日志查询</w:t>
      </w:r>
      <w:bookmarkEnd w:id="1087"/>
      <w:bookmarkEnd w:id="1088"/>
      <w:bookmarkEnd w:id="1089"/>
    </w:p>
    <w:p w14:paraId="4819C812">
      <w:r>
        <w:rPr>
          <w:rFonts w:hint="eastAsia"/>
        </w:rPr>
        <w:t>审计日志主要记录用户访问各种网站的应用情况。根据应用类型的不同，将应用审计日志分为访问网站日志、IM聊天软件日志、社区日志、搜索引擎日志、邮件日志、文件传输日志、娱乐/股票日志、协议审计日志、数据库审计日志以及其他应用日志。</w:t>
      </w:r>
    </w:p>
    <w:p w14:paraId="201D477D">
      <w:r>
        <w:rPr>
          <w:rFonts w:hint="eastAsia"/>
        </w:rPr>
        <w:t>通过“策略配置 &gt; 审计策略”，创建审计策略，通过“系统管理 &gt;日志设定&gt;日志过滤”，在“上网行为日志”中，配置记录或发送的审计日志类别。当通过设备的流量匹配到审计策略时，根据访问网站的应用类型，产生对应的审计日志信息。详细配置请参见“审计策略”章节。</w:t>
      </w:r>
    </w:p>
    <w:p w14:paraId="1E4C3DEF">
      <w:pPr>
        <w:pStyle w:val="202"/>
      </w:pPr>
      <w:bookmarkStart w:id="1090" w:name="_Toc474250174"/>
      <w:r>
        <w:rPr>
          <w:rFonts w:hint="eastAsia"/>
        </w:rPr>
        <w:t>访问网站日志</w:t>
      </w:r>
      <w:bookmarkEnd w:id="1090"/>
    </w:p>
    <w:p w14:paraId="6DF0C427">
      <w:r>
        <w:rPr>
          <w:rFonts w:hint="eastAsia"/>
        </w:rPr>
        <w:t>访问网站日志记录用户访问合法网站的信息，包括访问网站的URL的分类、链接、标题、时间，以及用户的IP、MAC等信息。</w:t>
      </w:r>
    </w:p>
    <w:p w14:paraId="48A1ED33">
      <w:r>
        <w:rPr>
          <w:rFonts w:hint="eastAsia"/>
        </w:rPr>
        <w:t>点击“数据中心 &gt; 日志中心 &gt; 审计日志</w:t>
      </w:r>
      <w:r>
        <w:t xml:space="preserve"> &gt; </w:t>
      </w:r>
      <w:r>
        <w:rPr>
          <w:rFonts w:hint="eastAsia"/>
        </w:rPr>
        <w:t>访问网站日志”，进入访问网站日志的查询界面，如</w:t>
      </w:r>
      <w:r>
        <w:rPr>
          <w:color w:val="0000FF"/>
          <w:u w:val="single"/>
        </w:rPr>
        <w:fldChar w:fldCharType="begin"/>
      </w:r>
      <w:r>
        <w:rPr>
          <w:color w:val="0000FF"/>
          <w:u w:val="single"/>
        </w:rPr>
        <w:instrText xml:space="preserve">  REF _Ref393371780 \r \h  \* MERGEFORMAT </w:instrText>
      </w:r>
      <w:r>
        <w:rPr>
          <w:color w:val="0000FF"/>
          <w:u w:val="single"/>
        </w:rPr>
        <w:fldChar w:fldCharType="separate"/>
      </w:r>
      <w:r>
        <w:rPr>
          <w:rFonts w:hint="eastAsia"/>
          <w:color w:val="0000FF"/>
          <w:u w:val="single"/>
        </w:rPr>
        <w:t>图5-9</w:t>
      </w:r>
      <w:r>
        <w:rPr>
          <w:color w:val="0000FF"/>
          <w:u w:val="single"/>
        </w:rPr>
        <w:fldChar w:fldCharType="end"/>
      </w:r>
      <w:r>
        <w:rPr>
          <w:rFonts w:hint="eastAsia"/>
        </w:rPr>
        <w:t>所示。</w:t>
      </w:r>
    </w:p>
    <w:p w14:paraId="0715A010">
      <w:pPr>
        <w:pStyle w:val="188"/>
      </w:pPr>
      <w:bookmarkStart w:id="1091" w:name="_Ref393371780"/>
      <w:r>
        <w:rPr>
          <w:rFonts w:hint="eastAsia"/>
        </w:rPr>
        <w:t>访问网站日志查询页面</w:t>
      </w:r>
      <w:bookmarkEnd w:id="1091"/>
    </w:p>
    <w:p w14:paraId="63AA33D1">
      <w:pPr>
        <w:pStyle w:val="175"/>
      </w:pPr>
      <w:r>
        <w:drawing>
          <wp:inline distT="0" distB="0" distL="0" distR="0">
            <wp:extent cx="5486400" cy="1341755"/>
            <wp:effectExtent l="0" t="0" r="0" b="0"/>
            <wp:docPr id="1802027891" name="图片 1802027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91" name="图片 1802027891"/>
                    <pic:cNvPicPr>
                      <a:picLocks noChangeAspect="1"/>
                    </pic:cNvPicPr>
                  </pic:nvPicPr>
                  <pic:blipFill>
                    <a:blip r:embed="rId164"/>
                    <a:stretch>
                      <a:fillRect/>
                    </a:stretch>
                  </pic:blipFill>
                  <pic:spPr>
                    <a:xfrm>
                      <a:off x="0" y="0"/>
                      <a:ext cx="5498242" cy="1345042"/>
                    </a:xfrm>
                    <a:prstGeom prst="rect">
                      <a:avLst/>
                    </a:prstGeom>
                  </pic:spPr>
                </pic:pic>
              </a:graphicData>
            </a:graphic>
          </wp:inline>
        </w:drawing>
      </w:r>
    </w:p>
    <w:p w14:paraId="1392C700"/>
    <w:p w14:paraId="00E8F7F6">
      <w:r>
        <w:rPr>
          <w:rFonts w:hint="eastAsia"/>
        </w:rPr>
        <w:t>点击对应访问网站日志的</w:t>
      </w:r>
      <w:r>
        <w:t>&lt;</w:t>
      </w:r>
      <w:r>
        <w:rPr>
          <w:rFonts w:hint="eastAsia"/>
        </w:rPr>
        <w:t>详细</w:t>
      </w:r>
      <w:r>
        <w:t>&gt;</w:t>
      </w:r>
      <w:r>
        <w:rPr>
          <w:rFonts w:hint="eastAsia"/>
        </w:rPr>
        <w:t>按钮，可以查看日志的详细信息，如</w:t>
      </w:r>
      <w:r>
        <w:rPr>
          <w:color w:val="0000FF"/>
          <w:u w:val="single"/>
        </w:rPr>
        <w:fldChar w:fldCharType="begin"/>
      </w:r>
      <w:r>
        <w:rPr>
          <w:color w:val="0000FF"/>
          <w:u w:val="single"/>
        </w:rPr>
        <w:instrText xml:space="preserve">  REF _Ref5719372 \r \h  \* MERGEFORMAT </w:instrText>
      </w:r>
      <w:r>
        <w:rPr>
          <w:color w:val="0000FF"/>
          <w:u w:val="single"/>
        </w:rPr>
        <w:fldChar w:fldCharType="separate"/>
      </w:r>
      <w:r>
        <w:rPr>
          <w:rFonts w:hint="eastAsia"/>
          <w:color w:val="0000FF"/>
          <w:u w:val="single"/>
        </w:rPr>
        <w:t>图5-10</w:t>
      </w:r>
      <w:r>
        <w:rPr>
          <w:color w:val="0000FF"/>
          <w:u w:val="single"/>
        </w:rPr>
        <w:fldChar w:fldCharType="end"/>
      </w:r>
      <w:r>
        <w:t>所示</w:t>
      </w:r>
      <w:r>
        <w:rPr>
          <w:rFonts w:hint="eastAsia"/>
        </w:rPr>
        <w:t>。</w:t>
      </w:r>
      <w:r>
        <w:t>在日志详情的下方</w:t>
      </w:r>
      <w:r>
        <w:rPr>
          <w:rFonts w:hint="eastAsia"/>
        </w:rPr>
        <w:t>，点击&lt;上一条</w:t>
      </w:r>
      <w:r>
        <w:t>&gt;</w:t>
      </w:r>
      <w:r>
        <w:rPr>
          <w:rFonts w:hint="eastAsia"/>
        </w:rPr>
        <w:t>、&lt;下一条</w:t>
      </w:r>
      <w:r>
        <w:t>&gt;可以切换到上一条</w:t>
      </w:r>
      <w:r>
        <w:rPr>
          <w:rFonts w:hint="eastAsia"/>
        </w:rPr>
        <w:t>或下一条日志的详情界面。</w:t>
      </w:r>
    </w:p>
    <w:p w14:paraId="047D4B3F">
      <w:pPr>
        <w:pStyle w:val="188"/>
      </w:pPr>
      <w:bookmarkStart w:id="1092" w:name="_Ref5719372"/>
      <w:r>
        <w:rPr>
          <w:rFonts w:hint="eastAsia"/>
        </w:rPr>
        <w:t>访问网站日志详情</w:t>
      </w:r>
      <w:bookmarkEnd w:id="1092"/>
    </w:p>
    <w:p w14:paraId="55BC702D">
      <w:pPr>
        <w:pStyle w:val="175"/>
      </w:pPr>
      <w:r>
        <w:drawing>
          <wp:inline distT="0" distB="0" distL="0" distR="0">
            <wp:extent cx="4695825" cy="3622040"/>
            <wp:effectExtent l="0" t="0" r="0" b="0"/>
            <wp:docPr id="1802027892" name="图片 1802027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92" name="图片 1802027892"/>
                    <pic:cNvPicPr>
                      <a:picLocks noChangeAspect="1"/>
                    </pic:cNvPicPr>
                  </pic:nvPicPr>
                  <pic:blipFill>
                    <a:blip r:embed="rId165"/>
                    <a:stretch>
                      <a:fillRect/>
                    </a:stretch>
                  </pic:blipFill>
                  <pic:spPr>
                    <a:xfrm>
                      <a:off x="0" y="0"/>
                      <a:ext cx="4698360" cy="3624199"/>
                    </a:xfrm>
                    <a:prstGeom prst="rect">
                      <a:avLst/>
                    </a:prstGeom>
                  </pic:spPr>
                </pic:pic>
              </a:graphicData>
            </a:graphic>
          </wp:inline>
        </w:drawing>
      </w:r>
    </w:p>
    <w:p w14:paraId="39284DD7"/>
    <w:p w14:paraId="5A3F0360">
      <w:r>
        <w:rPr>
          <w:rFonts w:hint="eastAsia"/>
        </w:rPr>
        <w:t>点击</w:t>
      </w:r>
      <w:r>
        <w:t>&lt;</w:t>
      </w:r>
      <w:r>
        <w:rPr>
          <w:rFonts w:hint="eastAsia"/>
        </w:rPr>
        <w:t>查询</w:t>
      </w:r>
      <w:r>
        <w:t>&gt;</w:t>
      </w:r>
      <w:r>
        <w:rPr>
          <w:rFonts w:hint="eastAsia"/>
        </w:rPr>
        <w:t>按钮之后，可以查询符合设置条件的日志。</w:t>
      </w:r>
    </w:p>
    <w:p w14:paraId="3E7164A6">
      <w:pPr>
        <w:pStyle w:val="202"/>
      </w:pPr>
      <w:bookmarkStart w:id="1093" w:name="_Toc5726428"/>
      <w:bookmarkEnd w:id="1093"/>
      <w:bookmarkStart w:id="1094" w:name="_Toc474250177"/>
      <w:r>
        <w:t>IM</w:t>
      </w:r>
      <w:r>
        <w:rPr>
          <w:rFonts w:hint="eastAsia"/>
        </w:rPr>
        <w:t>聊天软件日志</w:t>
      </w:r>
      <w:bookmarkEnd w:id="1094"/>
    </w:p>
    <w:p w14:paraId="1F2F07ED">
      <w:r>
        <w:t>IM</w:t>
      </w:r>
      <w:r>
        <w:rPr>
          <w:rFonts w:hint="eastAsia"/>
        </w:rPr>
        <w:t>聊天软件日志记录着</w:t>
      </w:r>
      <w:r>
        <w:t>IM</w:t>
      </w:r>
      <w:r>
        <w:rPr>
          <w:rFonts w:hint="eastAsia"/>
        </w:rPr>
        <w:t>聊天软件使用相关的信息，点击“数据中心 &gt; 日志中心 &gt; 审计日志 &gt;</w:t>
      </w:r>
      <w:r>
        <w:t xml:space="preserve"> IM</w:t>
      </w:r>
      <w:r>
        <w:rPr>
          <w:rFonts w:hint="eastAsia"/>
        </w:rPr>
        <w:t>聊天软件日志”，进入</w:t>
      </w:r>
      <w:r>
        <w:t>IM</w:t>
      </w:r>
      <w:r>
        <w:rPr>
          <w:rFonts w:hint="eastAsia"/>
        </w:rPr>
        <w:t>聊天软件日志的查询界面，如</w:t>
      </w:r>
      <w:r>
        <w:rPr>
          <w:color w:val="0000FF"/>
          <w:u w:val="single"/>
        </w:rPr>
        <w:fldChar w:fldCharType="begin"/>
      </w:r>
      <w:r>
        <w:rPr>
          <w:color w:val="0000FF"/>
          <w:u w:val="single"/>
        </w:rPr>
        <w:instrText xml:space="preserve">  REF _Ref393351672 \r \h  \* MERGEFORMAT </w:instrText>
      </w:r>
      <w:r>
        <w:rPr>
          <w:color w:val="0000FF"/>
          <w:u w:val="single"/>
        </w:rPr>
        <w:fldChar w:fldCharType="separate"/>
      </w:r>
      <w:r>
        <w:rPr>
          <w:rFonts w:hint="eastAsia"/>
          <w:color w:val="0000FF"/>
          <w:u w:val="single"/>
        </w:rPr>
        <w:t>图5-11</w:t>
      </w:r>
      <w:r>
        <w:rPr>
          <w:color w:val="0000FF"/>
          <w:u w:val="single"/>
        </w:rPr>
        <w:fldChar w:fldCharType="end"/>
      </w:r>
      <w:r>
        <w:rPr>
          <w:rFonts w:hint="eastAsia"/>
        </w:rPr>
        <w:t>所示。</w:t>
      </w:r>
    </w:p>
    <w:p w14:paraId="6A4FDDD8">
      <w:pPr>
        <w:pStyle w:val="188"/>
      </w:pPr>
      <w:bookmarkStart w:id="1095" w:name="_Ref393351672"/>
      <w:r>
        <w:t>IM</w:t>
      </w:r>
      <w:r>
        <w:rPr>
          <w:rFonts w:hint="eastAsia"/>
        </w:rPr>
        <w:t>聊天软件日志查询页面</w:t>
      </w:r>
      <w:bookmarkEnd w:id="1095"/>
    </w:p>
    <w:p w14:paraId="14FEA401">
      <w:pPr>
        <w:pStyle w:val="175"/>
      </w:pPr>
      <w:r>
        <w:drawing>
          <wp:inline distT="0" distB="0" distL="0" distR="0">
            <wp:extent cx="5625465" cy="1469390"/>
            <wp:effectExtent l="0" t="0" r="0" b="0"/>
            <wp:docPr id="3153" name="图片 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3" name="图片 3153"/>
                    <pic:cNvPicPr>
                      <a:picLocks noChangeAspect="1"/>
                    </pic:cNvPicPr>
                  </pic:nvPicPr>
                  <pic:blipFill>
                    <a:blip r:embed="rId166"/>
                    <a:stretch>
                      <a:fillRect/>
                    </a:stretch>
                  </pic:blipFill>
                  <pic:spPr>
                    <a:xfrm>
                      <a:off x="0" y="0"/>
                      <a:ext cx="5636908" cy="1472532"/>
                    </a:xfrm>
                    <a:prstGeom prst="rect">
                      <a:avLst/>
                    </a:prstGeom>
                  </pic:spPr>
                </pic:pic>
              </a:graphicData>
            </a:graphic>
          </wp:inline>
        </w:drawing>
      </w:r>
    </w:p>
    <w:p w14:paraId="07E6697F"/>
    <w:p w14:paraId="2D69EA48">
      <w:r>
        <w:rPr>
          <w:rFonts w:hint="eastAsia"/>
        </w:rPr>
        <w:t>点击对应IM聊天日志的</w:t>
      </w:r>
      <w:r>
        <w:t>&lt;</w:t>
      </w:r>
      <w:r>
        <w:rPr>
          <w:rFonts w:hint="eastAsia"/>
        </w:rPr>
        <w:t>详细</w:t>
      </w:r>
      <w:r>
        <w:t>&gt;</w:t>
      </w:r>
      <w:r>
        <w:rPr>
          <w:rFonts w:hint="eastAsia"/>
        </w:rPr>
        <w:t>按钮，可以查看日志的详细信息，如</w:t>
      </w:r>
      <w:r>
        <w:rPr>
          <w:color w:val="0000FF"/>
          <w:u w:val="single"/>
        </w:rPr>
        <w:fldChar w:fldCharType="begin"/>
      </w:r>
      <w:r>
        <w:rPr>
          <w:color w:val="0000FF"/>
          <w:u w:val="single"/>
        </w:rPr>
        <w:instrText xml:space="preserve">  REF _Ref5719611 \r \h  \* MERGEFORMAT </w:instrText>
      </w:r>
      <w:r>
        <w:rPr>
          <w:color w:val="0000FF"/>
          <w:u w:val="single"/>
        </w:rPr>
        <w:fldChar w:fldCharType="separate"/>
      </w:r>
      <w:r>
        <w:rPr>
          <w:rFonts w:hint="eastAsia"/>
          <w:color w:val="0000FF"/>
          <w:u w:val="single"/>
        </w:rPr>
        <w:t>图5-12</w:t>
      </w:r>
      <w:r>
        <w:rPr>
          <w:color w:val="0000FF"/>
          <w:u w:val="single"/>
        </w:rPr>
        <w:fldChar w:fldCharType="end"/>
      </w:r>
      <w:r>
        <w:t>所示</w:t>
      </w:r>
      <w:r>
        <w:rPr>
          <w:rFonts w:hint="eastAsia"/>
        </w:rPr>
        <w:t>。</w:t>
      </w:r>
      <w:r>
        <w:t>在日志详情的下方</w:t>
      </w:r>
      <w:r>
        <w:rPr>
          <w:rFonts w:hint="eastAsia"/>
        </w:rPr>
        <w:t>，点击&lt;上一条</w:t>
      </w:r>
      <w:r>
        <w:t>&gt;</w:t>
      </w:r>
      <w:r>
        <w:rPr>
          <w:rFonts w:hint="eastAsia"/>
        </w:rPr>
        <w:t>、&lt;下一条</w:t>
      </w:r>
      <w:r>
        <w:t>&gt;可以切换到上一条</w:t>
      </w:r>
      <w:r>
        <w:rPr>
          <w:rFonts w:hint="eastAsia"/>
        </w:rPr>
        <w:t>或下一条日志的详情界面。</w:t>
      </w:r>
    </w:p>
    <w:p w14:paraId="534D8806">
      <w:pPr>
        <w:pStyle w:val="188"/>
      </w:pPr>
      <w:bookmarkStart w:id="1096" w:name="_Ref5719611"/>
      <w:r>
        <w:rPr>
          <w:rFonts w:hint="eastAsia"/>
        </w:rPr>
        <w:t>IM聊天软件日志详情</w:t>
      </w:r>
      <w:bookmarkEnd w:id="1096"/>
    </w:p>
    <w:p w14:paraId="60682D0A">
      <w:pPr>
        <w:pStyle w:val="175"/>
      </w:pPr>
      <w:r>
        <w:drawing>
          <wp:inline distT="0" distB="0" distL="0" distR="0">
            <wp:extent cx="4743450" cy="3647440"/>
            <wp:effectExtent l="0" t="0" r="0" b="0"/>
            <wp:docPr id="3155" name="图片 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5" name="图片 3155"/>
                    <pic:cNvPicPr>
                      <a:picLocks noChangeAspect="1"/>
                    </pic:cNvPicPr>
                  </pic:nvPicPr>
                  <pic:blipFill>
                    <a:blip r:embed="rId167"/>
                    <a:stretch>
                      <a:fillRect/>
                    </a:stretch>
                  </pic:blipFill>
                  <pic:spPr>
                    <a:xfrm>
                      <a:off x="0" y="0"/>
                      <a:ext cx="4746067" cy="3649589"/>
                    </a:xfrm>
                    <a:prstGeom prst="rect">
                      <a:avLst/>
                    </a:prstGeom>
                  </pic:spPr>
                </pic:pic>
              </a:graphicData>
            </a:graphic>
          </wp:inline>
        </w:drawing>
      </w:r>
    </w:p>
    <w:p w14:paraId="1794B0D4"/>
    <w:p w14:paraId="3E506079">
      <w:r>
        <w:rPr>
          <w:rFonts w:hint="eastAsia"/>
        </w:rPr>
        <w:t>点击</w:t>
      </w:r>
      <w:r>
        <w:t>&lt;</w:t>
      </w:r>
      <w:r>
        <w:rPr>
          <w:rFonts w:hint="eastAsia"/>
        </w:rPr>
        <w:t>查询</w:t>
      </w:r>
      <w:r>
        <w:t>&gt;</w:t>
      </w:r>
      <w:r>
        <w:rPr>
          <w:rFonts w:hint="eastAsia"/>
        </w:rPr>
        <w:t>按钮之后，可以查询符合设置的条件的日志。</w:t>
      </w:r>
    </w:p>
    <w:p w14:paraId="2C91E949">
      <w:pPr>
        <w:pStyle w:val="202"/>
      </w:pPr>
      <w:bookmarkStart w:id="1097" w:name="_Toc474250178"/>
      <w:r>
        <w:rPr>
          <w:rFonts w:hint="eastAsia"/>
        </w:rPr>
        <w:t>社区日志</w:t>
      </w:r>
      <w:bookmarkEnd w:id="1097"/>
    </w:p>
    <w:p w14:paraId="74AF5B80">
      <w:r>
        <w:rPr>
          <w:rFonts w:hint="eastAsia"/>
        </w:rPr>
        <w:t>社区日志记录着微博、</w:t>
      </w:r>
      <w:r>
        <w:t>BBS</w:t>
      </w:r>
      <w:r>
        <w:rPr>
          <w:rFonts w:hint="eastAsia"/>
        </w:rPr>
        <w:t>、博客等网络社区相关的信息，点击“数据中心 &gt; 日志中心 &gt; 审计日志 &gt;</w:t>
      </w:r>
      <w:r>
        <w:t xml:space="preserve"> </w:t>
      </w:r>
      <w:r>
        <w:rPr>
          <w:rFonts w:hint="eastAsia"/>
        </w:rPr>
        <w:t>社区日志”，进入社区日志的查询界面，如</w:t>
      </w:r>
      <w:r>
        <w:rPr>
          <w:color w:val="0000FF"/>
          <w:u w:val="single"/>
        </w:rPr>
        <w:fldChar w:fldCharType="begin"/>
      </w:r>
      <w:r>
        <w:rPr>
          <w:color w:val="0000FF"/>
          <w:u w:val="single"/>
        </w:rPr>
        <w:instrText xml:space="preserve">  REF _Ref393352987 \r \h  \* MERGEFORMAT </w:instrText>
      </w:r>
      <w:r>
        <w:rPr>
          <w:color w:val="0000FF"/>
          <w:u w:val="single"/>
        </w:rPr>
        <w:fldChar w:fldCharType="separate"/>
      </w:r>
      <w:r>
        <w:rPr>
          <w:rFonts w:hint="eastAsia"/>
          <w:color w:val="0000FF"/>
          <w:u w:val="single"/>
        </w:rPr>
        <w:t>图5-13</w:t>
      </w:r>
      <w:r>
        <w:rPr>
          <w:color w:val="0000FF"/>
          <w:u w:val="single"/>
        </w:rPr>
        <w:fldChar w:fldCharType="end"/>
      </w:r>
      <w:r>
        <w:rPr>
          <w:rFonts w:hint="eastAsia"/>
        </w:rPr>
        <w:t>所示。</w:t>
      </w:r>
    </w:p>
    <w:p w14:paraId="0656305E">
      <w:pPr>
        <w:pStyle w:val="188"/>
      </w:pPr>
      <w:bookmarkStart w:id="1098" w:name="_Ref393352987"/>
      <w:r>
        <w:rPr>
          <w:rFonts w:hint="eastAsia"/>
        </w:rPr>
        <w:t>社区日志查询页面</w:t>
      </w:r>
      <w:bookmarkEnd w:id="1098"/>
    </w:p>
    <w:p w14:paraId="338A4B29">
      <w:pPr>
        <w:pStyle w:val="175"/>
      </w:pPr>
      <w:r>
        <w:drawing>
          <wp:inline distT="0" distB="0" distL="0" distR="0">
            <wp:extent cx="5511165" cy="1435100"/>
            <wp:effectExtent l="0" t="0" r="0" b="0"/>
            <wp:docPr id="3156" name="图片 3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6" name="图片 3156"/>
                    <pic:cNvPicPr>
                      <a:picLocks noChangeAspect="1"/>
                    </pic:cNvPicPr>
                  </pic:nvPicPr>
                  <pic:blipFill>
                    <a:blip r:embed="rId168"/>
                    <a:stretch>
                      <a:fillRect/>
                    </a:stretch>
                  </pic:blipFill>
                  <pic:spPr>
                    <a:xfrm>
                      <a:off x="0" y="0"/>
                      <a:ext cx="5521069" cy="1437689"/>
                    </a:xfrm>
                    <a:prstGeom prst="rect">
                      <a:avLst/>
                    </a:prstGeom>
                  </pic:spPr>
                </pic:pic>
              </a:graphicData>
            </a:graphic>
          </wp:inline>
        </w:drawing>
      </w:r>
    </w:p>
    <w:p w14:paraId="5B722289"/>
    <w:p w14:paraId="44A3B5EA">
      <w:r>
        <w:rPr>
          <w:rFonts w:hint="eastAsia"/>
        </w:rPr>
        <w:t>点击对应社区日志的</w:t>
      </w:r>
      <w:r>
        <w:t>&lt;</w:t>
      </w:r>
      <w:r>
        <w:rPr>
          <w:rFonts w:hint="eastAsia"/>
        </w:rPr>
        <w:t>详细</w:t>
      </w:r>
      <w:r>
        <w:t>&gt;</w:t>
      </w:r>
      <w:r>
        <w:rPr>
          <w:rFonts w:hint="eastAsia"/>
        </w:rPr>
        <w:t>按钮，可以查看日志的详细信息，如</w:t>
      </w:r>
      <w:r>
        <w:rPr>
          <w:color w:val="0000FF"/>
          <w:u w:val="single"/>
        </w:rPr>
        <w:fldChar w:fldCharType="begin"/>
      </w:r>
      <w:r>
        <w:rPr>
          <w:color w:val="0000FF"/>
          <w:u w:val="single"/>
        </w:rPr>
        <w:instrText xml:space="preserve">  REF _Ref5720346 \r \h  \* MERGEFORMAT </w:instrText>
      </w:r>
      <w:r>
        <w:rPr>
          <w:color w:val="0000FF"/>
          <w:u w:val="single"/>
        </w:rPr>
        <w:fldChar w:fldCharType="separate"/>
      </w:r>
      <w:r>
        <w:rPr>
          <w:rFonts w:hint="eastAsia"/>
          <w:color w:val="0000FF"/>
          <w:u w:val="single"/>
        </w:rPr>
        <w:t>图5-14</w:t>
      </w:r>
      <w:r>
        <w:rPr>
          <w:color w:val="0000FF"/>
          <w:u w:val="single"/>
        </w:rPr>
        <w:fldChar w:fldCharType="end"/>
      </w:r>
      <w:r>
        <w:t>所示</w:t>
      </w:r>
      <w:r>
        <w:rPr>
          <w:rFonts w:hint="eastAsia"/>
        </w:rPr>
        <w:t>。</w:t>
      </w:r>
      <w:r>
        <w:t>在日志详情的下方</w:t>
      </w:r>
      <w:r>
        <w:rPr>
          <w:rFonts w:hint="eastAsia"/>
        </w:rPr>
        <w:t>，点击&lt;上一条</w:t>
      </w:r>
      <w:r>
        <w:t>&gt;</w:t>
      </w:r>
      <w:r>
        <w:rPr>
          <w:rFonts w:hint="eastAsia"/>
        </w:rPr>
        <w:t>、&lt;下一条</w:t>
      </w:r>
      <w:r>
        <w:t>&gt;可以切换到上一条</w:t>
      </w:r>
      <w:r>
        <w:rPr>
          <w:rFonts w:hint="eastAsia"/>
        </w:rPr>
        <w:t>或下一条日志的详情界面。</w:t>
      </w:r>
    </w:p>
    <w:p w14:paraId="5786AB2C">
      <w:pPr>
        <w:pStyle w:val="188"/>
      </w:pPr>
      <w:bookmarkStart w:id="1099" w:name="_Ref5720346"/>
      <w:r>
        <w:rPr>
          <w:rFonts w:hint="eastAsia"/>
        </w:rPr>
        <w:t>社区日志详情</w:t>
      </w:r>
      <w:bookmarkEnd w:id="1099"/>
    </w:p>
    <w:p w14:paraId="646196AA">
      <w:pPr>
        <w:pStyle w:val="175"/>
      </w:pPr>
      <w:r>
        <w:drawing>
          <wp:inline distT="0" distB="0" distL="0" distR="0">
            <wp:extent cx="4848225" cy="3743960"/>
            <wp:effectExtent l="0" t="0" r="0" b="8890"/>
            <wp:docPr id="3157" name="图片 3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7" name="图片 3157"/>
                    <pic:cNvPicPr>
                      <a:picLocks noChangeAspect="1"/>
                    </pic:cNvPicPr>
                  </pic:nvPicPr>
                  <pic:blipFill>
                    <a:blip r:embed="rId169"/>
                    <a:stretch>
                      <a:fillRect/>
                    </a:stretch>
                  </pic:blipFill>
                  <pic:spPr>
                    <a:xfrm>
                      <a:off x="0" y="0"/>
                      <a:ext cx="4851168" cy="3746771"/>
                    </a:xfrm>
                    <a:prstGeom prst="rect">
                      <a:avLst/>
                    </a:prstGeom>
                  </pic:spPr>
                </pic:pic>
              </a:graphicData>
            </a:graphic>
          </wp:inline>
        </w:drawing>
      </w:r>
    </w:p>
    <w:p w14:paraId="0EDDF63D"/>
    <w:p w14:paraId="743C4D03">
      <w:pPr>
        <w:pStyle w:val="202"/>
      </w:pPr>
      <w:bookmarkStart w:id="1100" w:name="_Toc474250179"/>
      <w:r>
        <w:rPr>
          <w:rFonts w:hint="eastAsia"/>
        </w:rPr>
        <w:t>搜索引擎日志</w:t>
      </w:r>
      <w:bookmarkEnd w:id="1100"/>
    </w:p>
    <w:p w14:paraId="48635789">
      <w:r>
        <w:rPr>
          <w:rFonts w:hint="eastAsia"/>
        </w:rPr>
        <w:t>搜索引擎日志记录着搜索引擎使用的信息，点击“数据中心 &gt; 日志中心 &gt; 审计日志 &gt;</w:t>
      </w:r>
      <w:r>
        <w:t xml:space="preserve"> </w:t>
      </w:r>
      <w:r>
        <w:rPr>
          <w:rFonts w:hint="eastAsia"/>
        </w:rPr>
        <w:t>搜索引擎日志”，进入搜索引擎日志的查询界面，如</w:t>
      </w:r>
      <w:r>
        <w:rPr>
          <w:color w:val="0000FF"/>
          <w:u w:val="single"/>
        </w:rPr>
        <w:fldChar w:fldCharType="begin"/>
      </w:r>
      <w:r>
        <w:rPr>
          <w:color w:val="0000FF"/>
          <w:u w:val="single"/>
        </w:rPr>
        <w:instrText xml:space="preserve">  REF _Ref393372237 \r \h  \* MERGEFORMAT </w:instrText>
      </w:r>
      <w:r>
        <w:rPr>
          <w:color w:val="0000FF"/>
          <w:u w:val="single"/>
        </w:rPr>
        <w:fldChar w:fldCharType="separate"/>
      </w:r>
      <w:r>
        <w:rPr>
          <w:rFonts w:hint="eastAsia"/>
          <w:color w:val="0000FF"/>
          <w:u w:val="single"/>
        </w:rPr>
        <w:t>图5-15</w:t>
      </w:r>
      <w:r>
        <w:rPr>
          <w:color w:val="0000FF"/>
          <w:u w:val="single"/>
        </w:rPr>
        <w:fldChar w:fldCharType="end"/>
      </w:r>
      <w:r>
        <w:rPr>
          <w:rFonts w:hint="eastAsia"/>
        </w:rPr>
        <w:t>所示。</w:t>
      </w:r>
    </w:p>
    <w:p w14:paraId="26220EE5">
      <w:pPr>
        <w:pStyle w:val="188"/>
      </w:pPr>
      <w:bookmarkStart w:id="1101" w:name="_Ref393372237"/>
      <w:r>
        <w:rPr>
          <w:rFonts w:hint="eastAsia"/>
        </w:rPr>
        <w:t>搜索引擎日志查询页面</w:t>
      </w:r>
      <w:bookmarkEnd w:id="1101"/>
    </w:p>
    <w:p w14:paraId="03A21ECB">
      <w:pPr>
        <w:pStyle w:val="175"/>
      </w:pPr>
      <w:r>
        <w:drawing>
          <wp:inline distT="0" distB="0" distL="0" distR="0">
            <wp:extent cx="5587365" cy="1423670"/>
            <wp:effectExtent l="0" t="0" r="0" b="5080"/>
            <wp:docPr id="3158" name="图片 3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8" name="图片 3158"/>
                    <pic:cNvPicPr>
                      <a:picLocks noChangeAspect="1"/>
                    </pic:cNvPicPr>
                  </pic:nvPicPr>
                  <pic:blipFill>
                    <a:blip r:embed="rId170"/>
                    <a:stretch>
                      <a:fillRect/>
                    </a:stretch>
                  </pic:blipFill>
                  <pic:spPr>
                    <a:xfrm>
                      <a:off x="0" y="0"/>
                      <a:ext cx="5598413" cy="1427046"/>
                    </a:xfrm>
                    <a:prstGeom prst="rect">
                      <a:avLst/>
                    </a:prstGeom>
                  </pic:spPr>
                </pic:pic>
              </a:graphicData>
            </a:graphic>
          </wp:inline>
        </w:drawing>
      </w:r>
    </w:p>
    <w:p w14:paraId="7D83FCAD"/>
    <w:p w14:paraId="4B817C1F">
      <w:r>
        <w:rPr>
          <w:rFonts w:hint="eastAsia"/>
        </w:rPr>
        <w:t>点击对应日志的</w:t>
      </w:r>
      <w:r>
        <w:t>&lt;</w:t>
      </w:r>
      <w:r>
        <w:rPr>
          <w:rFonts w:hint="eastAsia"/>
        </w:rPr>
        <w:t>详细</w:t>
      </w:r>
      <w:r>
        <w:t>&gt;</w:t>
      </w:r>
      <w:r>
        <w:rPr>
          <w:rFonts w:hint="eastAsia"/>
        </w:rPr>
        <w:t>按钮，可以查看日志的详细信息，如</w:t>
      </w:r>
      <w:r>
        <w:rPr>
          <w:color w:val="0000FF"/>
          <w:u w:val="single"/>
        </w:rPr>
        <w:fldChar w:fldCharType="begin"/>
      </w:r>
      <w:r>
        <w:rPr>
          <w:color w:val="0000FF"/>
          <w:u w:val="single"/>
        </w:rPr>
        <w:instrText xml:space="preserve">  REF _Ref5721856 \r \h  \* MERGEFORMAT </w:instrText>
      </w:r>
      <w:r>
        <w:rPr>
          <w:color w:val="0000FF"/>
          <w:u w:val="single"/>
        </w:rPr>
        <w:fldChar w:fldCharType="separate"/>
      </w:r>
      <w:r>
        <w:rPr>
          <w:rFonts w:hint="eastAsia"/>
          <w:color w:val="0000FF"/>
          <w:u w:val="single"/>
        </w:rPr>
        <w:t>图5-16</w:t>
      </w:r>
      <w:r>
        <w:rPr>
          <w:color w:val="0000FF"/>
          <w:u w:val="single"/>
        </w:rPr>
        <w:fldChar w:fldCharType="end"/>
      </w:r>
      <w:r>
        <w:t>所示</w:t>
      </w:r>
      <w:r>
        <w:rPr>
          <w:rFonts w:hint="eastAsia"/>
        </w:rPr>
        <w:t>。</w:t>
      </w:r>
      <w:r>
        <w:t>在日志详情的下方</w:t>
      </w:r>
      <w:r>
        <w:rPr>
          <w:rFonts w:hint="eastAsia"/>
        </w:rPr>
        <w:t>，点击&lt;上一条</w:t>
      </w:r>
      <w:r>
        <w:t>&gt;</w:t>
      </w:r>
      <w:r>
        <w:rPr>
          <w:rFonts w:hint="eastAsia"/>
        </w:rPr>
        <w:t>、&lt;下一条</w:t>
      </w:r>
      <w:r>
        <w:t>&gt;可以切换到上一条</w:t>
      </w:r>
      <w:r>
        <w:rPr>
          <w:rFonts w:hint="eastAsia"/>
        </w:rPr>
        <w:t>或下一条日志的详情界面。</w:t>
      </w:r>
    </w:p>
    <w:p w14:paraId="41839418">
      <w:pPr>
        <w:pStyle w:val="188"/>
      </w:pPr>
      <w:bookmarkStart w:id="1102" w:name="_Ref5721856"/>
      <w:r>
        <w:rPr>
          <w:rFonts w:hint="eastAsia"/>
        </w:rPr>
        <w:t>搜索引擎日志详情</w:t>
      </w:r>
      <w:bookmarkEnd w:id="1102"/>
    </w:p>
    <w:p w14:paraId="6FD52698">
      <w:pPr>
        <w:pStyle w:val="175"/>
      </w:pPr>
      <w:r>
        <w:drawing>
          <wp:inline distT="0" distB="0" distL="0" distR="0">
            <wp:extent cx="5038725" cy="3861435"/>
            <wp:effectExtent l="0" t="0" r="0" b="5715"/>
            <wp:docPr id="3159" name="图片 3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9" name="图片 3159"/>
                    <pic:cNvPicPr>
                      <a:picLocks noChangeAspect="1"/>
                    </pic:cNvPicPr>
                  </pic:nvPicPr>
                  <pic:blipFill>
                    <a:blip r:embed="rId171"/>
                    <a:stretch>
                      <a:fillRect/>
                    </a:stretch>
                  </pic:blipFill>
                  <pic:spPr>
                    <a:xfrm>
                      <a:off x="0" y="0"/>
                      <a:ext cx="5042107" cy="3864203"/>
                    </a:xfrm>
                    <a:prstGeom prst="rect">
                      <a:avLst/>
                    </a:prstGeom>
                  </pic:spPr>
                </pic:pic>
              </a:graphicData>
            </a:graphic>
          </wp:inline>
        </w:drawing>
      </w:r>
    </w:p>
    <w:p w14:paraId="5F36992A"/>
    <w:p w14:paraId="4C9EDB84">
      <w:pPr>
        <w:pStyle w:val="202"/>
      </w:pPr>
      <w:bookmarkStart w:id="1103" w:name="_Toc474250180"/>
      <w:r>
        <w:rPr>
          <w:rFonts w:hint="eastAsia"/>
        </w:rPr>
        <w:t>邮件日志</w:t>
      </w:r>
      <w:bookmarkEnd w:id="1103"/>
    </w:p>
    <w:p w14:paraId="05582914">
      <w:r>
        <w:rPr>
          <w:rFonts w:hint="eastAsia"/>
        </w:rPr>
        <w:t>邮件日志记录通过</w:t>
      </w:r>
      <w:r>
        <w:t>SMTP</w:t>
      </w:r>
      <w:r>
        <w:rPr>
          <w:rFonts w:hint="eastAsia"/>
        </w:rPr>
        <w:t>、</w:t>
      </w:r>
      <w:r>
        <w:t>IMAP</w:t>
      </w:r>
      <w:r>
        <w:rPr>
          <w:rFonts w:hint="eastAsia"/>
        </w:rPr>
        <w:t>、</w:t>
      </w:r>
      <w:r>
        <w:t>POP3</w:t>
      </w:r>
      <w:r>
        <w:rPr>
          <w:rFonts w:hint="eastAsia"/>
        </w:rPr>
        <w:t>收发邮件的信息，点击“数据中心 &gt; 日志中心 &gt; 审计日志 &gt;</w:t>
      </w:r>
      <w:r>
        <w:t xml:space="preserve"> </w:t>
      </w:r>
      <w:r>
        <w:rPr>
          <w:rFonts w:hint="eastAsia"/>
        </w:rPr>
        <w:t>邮件日志”，进入邮件日志的查询界面，如</w:t>
      </w:r>
      <w:r>
        <w:rPr>
          <w:color w:val="0000FF"/>
          <w:u w:val="single"/>
        </w:rPr>
        <w:fldChar w:fldCharType="begin"/>
      </w:r>
      <w:r>
        <w:rPr>
          <w:color w:val="0000FF"/>
          <w:u w:val="single"/>
        </w:rPr>
        <w:instrText xml:space="preserve">  REF _Ref393370958 \r \h  \* MERGEFORMAT </w:instrText>
      </w:r>
      <w:r>
        <w:rPr>
          <w:color w:val="0000FF"/>
          <w:u w:val="single"/>
        </w:rPr>
        <w:fldChar w:fldCharType="separate"/>
      </w:r>
      <w:r>
        <w:rPr>
          <w:rFonts w:hint="eastAsia"/>
          <w:color w:val="0000FF"/>
          <w:u w:val="single"/>
        </w:rPr>
        <w:t>图5-17</w:t>
      </w:r>
      <w:r>
        <w:rPr>
          <w:color w:val="0000FF"/>
          <w:u w:val="single"/>
        </w:rPr>
        <w:fldChar w:fldCharType="end"/>
      </w:r>
      <w:r>
        <w:rPr>
          <w:rFonts w:hint="eastAsia"/>
        </w:rPr>
        <w:t>所示。</w:t>
      </w:r>
    </w:p>
    <w:p w14:paraId="222C9ABE">
      <w:pPr>
        <w:pStyle w:val="188"/>
      </w:pPr>
      <w:bookmarkStart w:id="1104" w:name="_Ref393370958"/>
      <w:r>
        <w:rPr>
          <w:rFonts w:hint="eastAsia"/>
        </w:rPr>
        <w:t>邮件日志查询页面</w:t>
      </w:r>
      <w:bookmarkEnd w:id="1104"/>
    </w:p>
    <w:p w14:paraId="24392086">
      <w:pPr>
        <w:pStyle w:val="175"/>
      </w:pPr>
      <w:r>
        <w:drawing>
          <wp:inline distT="0" distB="0" distL="0" distR="0">
            <wp:extent cx="5682615" cy="1275715"/>
            <wp:effectExtent l="0" t="0" r="0" b="635"/>
            <wp:docPr id="3160" name="图片 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0" name="图片 3160"/>
                    <pic:cNvPicPr>
                      <a:picLocks noChangeAspect="1"/>
                    </pic:cNvPicPr>
                  </pic:nvPicPr>
                  <pic:blipFill>
                    <a:blip r:embed="rId172"/>
                    <a:stretch>
                      <a:fillRect/>
                    </a:stretch>
                  </pic:blipFill>
                  <pic:spPr>
                    <a:xfrm>
                      <a:off x="0" y="0"/>
                      <a:ext cx="5701359" cy="1279981"/>
                    </a:xfrm>
                    <a:prstGeom prst="rect">
                      <a:avLst/>
                    </a:prstGeom>
                  </pic:spPr>
                </pic:pic>
              </a:graphicData>
            </a:graphic>
          </wp:inline>
        </w:drawing>
      </w:r>
    </w:p>
    <w:p w14:paraId="3EA182AE"/>
    <w:p w14:paraId="551F2A6C">
      <w:pPr>
        <w:pStyle w:val="202"/>
      </w:pPr>
      <w:bookmarkStart w:id="1105" w:name="_Toc474250181"/>
      <w:r>
        <w:rPr>
          <w:rFonts w:hint="eastAsia"/>
        </w:rPr>
        <w:t>文件传输日志</w:t>
      </w:r>
      <w:bookmarkEnd w:id="1105"/>
    </w:p>
    <w:p w14:paraId="27AB4994">
      <w:r>
        <w:rPr>
          <w:rFonts w:hint="eastAsia"/>
        </w:rPr>
        <w:t>命令日志记录网盘和</w:t>
      </w:r>
      <w:r>
        <w:t>FTP</w:t>
      </w:r>
      <w:r>
        <w:rPr>
          <w:rFonts w:hint="eastAsia"/>
        </w:rPr>
        <w:t>、</w:t>
      </w:r>
      <w:r>
        <w:t>telnet</w:t>
      </w:r>
      <w:r>
        <w:rPr>
          <w:rFonts w:hint="eastAsia"/>
        </w:rPr>
        <w:t>使用的信息，点击“数据中心 &gt; 日志中心 &gt; 审计日志 &gt;</w:t>
      </w:r>
      <w:r>
        <w:t xml:space="preserve"> </w:t>
      </w:r>
      <w:r>
        <w:rPr>
          <w:rFonts w:hint="eastAsia"/>
        </w:rPr>
        <w:t>文件传输日志”，进入文件传输日志的查询界面，如</w:t>
      </w:r>
      <w:r>
        <w:rPr>
          <w:color w:val="0000FF"/>
          <w:u w:val="single"/>
        </w:rPr>
        <w:fldChar w:fldCharType="begin"/>
      </w:r>
      <w:r>
        <w:rPr>
          <w:color w:val="0000FF"/>
          <w:u w:val="single"/>
        </w:rPr>
        <w:instrText xml:space="preserve">  REF _Ref393355417 \r \h  \* MERGEFORMAT </w:instrText>
      </w:r>
      <w:r>
        <w:rPr>
          <w:color w:val="0000FF"/>
          <w:u w:val="single"/>
        </w:rPr>
        <w:fldChar w:fldCharType="separate"/>
      </w:r>
      <w:r>
        <w:rPr>
          <w:rFonts w:hint="eastAsia"/>
          <w:color w:val="0000FF"/>
          <w:u w:val="single"/>
        </w:rPr>
        <w:t>图5-18</w:t>
      </w:r>
      <w:r>
        <w:rPr>
          <w:color w:val="0000FF"/>
          <w:u w:val="single"/>
        </w:rPr>
        <w:fldChar w:fldCharType="end"/>
      </w:r>
      <w:r>
        <w:rPr>
          <w:rFonts w:hint="eastAsia"/>
        </w:rPr>
        <w:t>所示。</w:t>
      </w:r>
    </w:p>
    <w:p w14:paraId="71326C28">
      <w:pPr>
        <w:pStyle w:val="188"/>
      </w:pPr>
      <w:bookmarkStart w:id="1106" w:name="_Ref393355417"/>
      <w:r>
        <w:rPr>
          <w:rFonts w:hint="eastAsia"/>
        </w:rPr>
        <w:t>文件传输日志查询页面</w:t>
      </w:r>
      <w:bookmarkEnd w:id="1106"/>
    </w:p>
    <w:p w14:paraId="366C3FFB">
      <w:pPr>
        <w:pStyle w:val="175"/>
      </w:pPr>
      <w:r>
        <w:drawing>
          <wp:inline distT="0" distB="0" distL="0" distR="0">
            <wp:extent cx="5654040" cy="1278255"/>
            <wp:effectExtent l="0" t="0" r="3810" b="0"/>
            <wp:docPr id="3161" name="图片 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1" name="图片 3161"/>
                    <pic:cNvPicPr>
                      <a:picLocks noChangeAspect="1"/>
                    </pic:cNvPicPr>
                  </pic:nvPicPr>
                  <pic:blipFill>
                    <a:blip r:embed="rId173"/>
                    <a:stretch>
                      <a:fillRect/>
                    </a:stretch>
                  </pic:blipFill>
                  <pic:spPr>
                    <a:xfrm>
                      <a:off x="0" y="0"/>
                      <a:ext cx="5677510" cy="1284051"/>
                    </a:xfrm>
                    <a:prstGeom prst="rect">
                      <a:avLst/>
                    </a:prstGeom>
                  </pic:spPr>
                </pic:pic>
              </a:graphicData>
            </a:graphic>
          </wp:inline>
        </w:drawing>
      </w:r>
    </w:p>
    <w:p w14:paraId="71DF46FD"/>
    <w:p w14:paraId="1DB34AB4">
      <w:r>
        <w:rPr>
          <w:rFonts w:hint="eastAsia"/>
        </w:rPr>
        <w:t>点击对应日志的</w:t>
      </w:r>
      <w:r>
        <w:t>&lt;</w:t>
      </w:r>
      <w:r>
        <w:rPr>
          <w:rFonts w:hint="eastAsia"/>
        </w:rPr>
        <w:t>详细</w:t>
      </w:r>
      <w:r>
        <w:t>&gt;</w:t>
      </w:r>
      <w:r>
        <w:rPr>
          <w:rFonts w:hint="eastAsia"/>
        </w:rPr>
        <w:t>按钮，可以查看日志的详细信息，如</w:t>
      </w:r>
      <w:r>
        <w:rPr>
          <w:color w:val="0000FF"/>
          <w:u w:val="single"/>
        </w:rPr>
        <w:fldChar w:fldCharType="begin"/>
      </w:r>
      <w:r>
        <w:rPr>
          <w:color w:val="0000FF"/>
          <w:u w:val="single"/>
        </w:rPr>
        <w:instrText xml:space="preserve">  REF _Ref5726699 \r \h  \* MERGEFORMAT </w:instrText>
      </w:r>
      <w:r>
        <w:rPr>
          <w:color w:val="0000FF"/>
          <w:u w:val="single"/>
        </w:rPr>
        <w:fldChar w:fldCharType="separate"/>
      </w:r>
      <w:r>
        <w:rPr>
          <w:rFonts w:hint="eastAsia"/>
          <w:color w:val="0000FF"/>
          <w:u w:val="single"/>
        </w:rPr>
        <w:t>图5-19</w:t>
      </w:r>
      <w:r>
        <w:rPr>
          <w:color w:val="0000FF"/>
          <w:u w:val="single"/>
        </w:rPr>
        <w:fldChar w:fldCharType="end"/>
      </w:r>
      <w:r>
        <w:t>所示</w:t>
      </w:r>
      <w:r>
        <w:rPr>
          <w:rFonts w:hint="eastAsia"/>
        </w:rPr>
        <w:t>。</w:t>
      </w:r>
      <w:r>
        <w:t>在日志详情的下方</w:t>
      </w:r>
      <w:r>
        <w:rPr>
          <w:rFonts w:hint="eastAsia"/>
        </w:rPr>
        <w:t>，点击&lt;上一条</w:t>
      </w:r>
      <w:r>
        <w:t>&gt;</w:t>
      </w:r>
      <w:r>
        <w:rPr>
          <w:rFonts w:hint="eastAsia"/>
        </w:rPr>
        <w:t>、&lt;下一条</w:t>
      </w:r>
      <w:r>
        <w:t>&gt;可以切换到上一条</w:t>
      </w:r>
      <w:r>
        <w:rPr>
          <w:rFonts w:hint="eastAsia"/>
        </w:rPr>
        <w:t>或下一条日志的详情界面。</w:t>
      </w:r>
    </w:p>
    <w:p w14:paraId="0245995C">
      <w:pPr>
        <w:pStyle w:val="188"/>
      </w:pPr>
      <w:bookmarkStart w:id="1107" w:name="_Ref5726699"/>
      <w:r>
        <w:rPr>
          <w:rFonts w:hint="eastAsia"/>
        </w:rPr>
        <w:t>文件传输日志详情</w:t>
      </w:r>
      <w:bookmarkEnd w:id="1107"/>
    </w:p>
    <w:p w14:paraId="43191A37">
      <w:pPr>
        <w:pStyle w:val="175"/>
      </w:pPr>
      <w:r>
        <w:drawing>
          <wp:inline distT="0" distB="0" distL="0" distR="0">
            <wp:extent cx="4991100" cy="3840480"/>
            <wp:effectExtent l="0" t="0" r="0" b="7620"/>
            <wp:docPr id="3162" name="图片 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2" name="图片 3162"/>
                    <pic:cNvPicPr>
                      <a:picLocks noChangeAspect="1"/>
                    </pic:cNvPicPr>
                  </pic:nvPicPr>
                  <pic:blipFill>
                    <a:blip r:embed="rId174"/>
                    <a:stretch>
                      <a:fillRect/>
                    </a:stretch>
                  </pic:blipFill>
                  <pic:spPr>
                    <a:xfrm>
                      <a:off x="0" y="0"/>
                      <a:ext cx="4999315" cy="3846902"/>
                    </a:xfrm>
                    <a:prstGeom prst="rect">
                      <a:avLst/>
                    </a:prstGeom>
                  </pic:spPr>
                </pic:pic>
              </a:graphicData>
            </a:graphic>
          </wp:inline>
        </w:drawing>
      </w:r>
    </w:p>
    <w:p w14:paraId="350F87E0"/>
    <w:p w14:paraId="2FDC6954">
      <w:pPr>
        <w:pStyle w:val="202"/>
      </w:pPr>
      <w:bookmarkStart w:id="1108" w:name="_Toc474250182"/>
      <w:r>
        <w:rPr>
          <w:rFonts w:hint="eastAsia"/>
        </w:rPr>
        <w:t>娱乐</w:t>
      </w:r>
      <w:r>
        <w:t>/</w:t>
      </w:r>
      <w:r>
        <w:rPr>
          <w:rFonts w:hint="eastAsia"/>
        </w:rPr>
        <w:t>股票日志</w:t>
      </w:r>
      <w:bookmarkEnd w:id="1108"/>
    </w:p>
    <w:p w14:paraId="35C183E6">
      <w:r>
        <w:rPr>
          <w:rFonts w:hint="eastAsia"/>
        </w:rPr>
        <w:t>娱乐</w:t>
      </w:r>
      <w:r>
        <w:t>/</w:t>
      </w:r>
      <w:r>
        <w:rPr>
          <w:rFonts w:hint="eastAsia"/>
        </w:rPr>
        <w:t>股票日志记录用户上网娱乐信息，如看视频、玩在线游戏、听音乐、炒股等行为，点击“数据中心 &gt; 日志中心 &gt; 审计日志 &gt;</w:t>
      </w:r>
      <w:r>
        <w:t xml:space="preserve"> </w:t>
      </w:r>
      <w:r>
        <w:rPr>
          <w:rFonts w:hint="eastAsia"/>
        </w:rPr>
        <w:t>娱乐</w:t>
      </w:r>
      <w:r>
        <w:t>/</w:t>
      </w:r>
      <w:r>
        <w:rPr>
          <w:rFonts w:hint="eastAsia"/>
        </w:rPr>
        <w:t>股票日志”，进入娱乐</w:t>
      </w:r>
      <w:r>
        <w:t>/</w:t>
      </w:r>
      <w:r>
        <w:rPr>
          <w:rFonts w:hint="eastAsia"/>
        </w:rPr>
        <w:t>股票日志的查询界面，如</w:t>
      </w:r>
      <w:r>
        <w:rPr>
          <w:color w:val="0000FF"/>
          <w:u w:val="single"/>
        </w:rPr>
        <w:fldChar w:fldCharType="begin"/>
      </w:r>
      <w:r>
        <w:rPr>
          <w:color w:val="0000FF"/>
          <w:u w:val="single"/>
        </w:rPr>
        <w:instrText xml:space="preserve">  REF _Ref415230711 \r \h  \* MERGEFORMAT </w:instrText>
      </w:r>
      <w:r>
        <w:rPr>
          <w:color w:val="0000FF"/>
          <w:u w:val="single"/>
        </w:rPr>
        <w:fldChar w:fldCharType="separate"/>
      </w:r>
      <w:r>
        <w:rPr>
          <w:rFonts w:hint="eastAsia"/>
          <w:color w:val="0000FF"/>
          <w:u w:val="single"/>
        </w:rPr>
        <w:t>图5-20</w:t>
      </w:r>
      <w:r>
        <w:rPr>
          <w:color w:val="0000FF"/>
          <w:u w:val="single"/>
        </w:rPr>
        <w:fldChar w:fldCharType="end"/>
      </w:r>
      <w:r>
        <w:rPr>
          <w:rFonts w:hint="eastAsia"/>
        </w:rPr>
        <w:t>所示。</w:t>
      </w:r>
    </w:p>
    <w:p w14:paraId="5BEDD3DD">
      <w:pPr>
        <w:pStyle w:val="188"/>
      </w:pPr>
      <w:bookmarkStart w:id="1109" w:name="_Ref415230711"/>
      <w:r>
        <w:rPr>
          <w:rFonts w:hint="eastAsia"/>
        </w:rPr>
        <w:t>娱乐</w:t>
      </w:r>
      <w:r>
        <w:t>/</w:t>
      </w:r>
      <w:r>
        <w:rPr>
          <w:rFonts w:hint="eastAsia"/>
        </w:rPr>
        <w:t>股票日志查询页面</w:t>
      </w:r>
      <w:bookmarkEnd w:id="1109"/>
    </w:p>
    <w:p w14:paraId="4DE59FCC">
      <w:pPr>
        <w:pStyle w:val="175"/>
      </w:pPr>
      <w:r>
        <w:drawing>
          <wp:inline distT="0" distB="0" distL="0" distR="0">
            <wp:extent cx="5520690" cy="1402080"/>
            <wp:effectExtent l="0" t="0" r="3810" b="7620"/>
            <wp:docPr id="3163" name="图片 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3" name="图片 3163"/>
                    <pic:cNvPicPr>
                      <a:picLocks noChangeAspect="1"/>
                    </pic:cNvPicPr>
                  </pic:nvPicPr>
                  <pic:blipFill>
                    <a:blip r:embed="rId175"/>
                    <a:stretch>
                      <a:fillRect/>
                    </a:stretch>
                  </pic:blipFill>
                  <pic:spPr>
                    <a:xfrm>
                      <a:off x="0" y="0"/>
                      <a:ext cx="5528904" cy="1404166"/>
                    </a:xfrm>
                    <a:prstGeom prst="rect">
                      <a:avLst/>
                    </a:prstGeom>
                  </pic:spPr>
                </pic:pic>
              </a:graphicData>
            </a:graphic>
          </wp:inline>
        </w:drawing>
      </w:r>
    </w:p>
    <w:p w14:paraId="7D303F21"/>
    <w:p w14:paraId="3EF2D604">
      <w:pPr>
        <w:pStyle w:val="202"/>
      </w:pPr>
      <w:r>
        <w:rPr>
          <w:rFonts w:hint="eastAsia"/>
        </w:rPr>
        <w:t>协议审计日志</w:t>
      </w:r>
    </w:p>
    <w:p w14:paraId="05092934">
      <w:r>
        <w:rPr>
          <w:rFonts w:hint="eastAsia"/>
        </w:rPr>
        <w:t>协议审计日志记录基础网络协议的信息，如账号、文件名、命令操作等行为，点击“数据中心 &gt; 日志中心 &gt; 审计日志 &gt;协议审计日志”，进入娱乐</w:t>
      </w:r>
      <w:r>
        <w:t>/</w:t>
      </w:r>
      <w:r>
        <w:rPr>
          <w:rFonts w:hint="eastAsia"/>
        </w:rPr>
        <w:t>股票日志的查询界面，如下图所示。</w:t>
      </w:r>
    </w:p>
    <w:p w14:paraId="4B7E69E2">
      <w:pPr>
        <w:pStyle w:val="188"/>
      </w:pPr>
      <w:r>
        <w:rPr>
          <w:rFonts w:hint="eastAsia"/>
        </w:rPr>
        <w:t>娱乐</w:t>
      </w:r>
      <w:r>
        <w:t>/</w:t>
      </w:r>
      <w:r>
        <w:rPr>
          <w:rFonts w:hint="eastAsia"/>
        </w:rPr>
        <w:t>股票日志查询页面</w:t>
      </w:r>
    </w:p>
    <w:p w14:paraId="4BB0F392">
      <w:pPr>
        <w:pStyle w:val="175"/>
      </w:pPr>
      <w:r>
        <w:drawing>
          <wp:inline distT="0" distB="0" distL="0" distR="0">
            <wp:extent cx="5692140" cy="1289685"/>
            <wp:effectExtent l="0" t="0" r="3810" b="5715"/>
            <wp:docPr id="3164" name="图片 3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4" name="图片 3164"/>
                    <pic:cNvPicPr>
                      <a:picLocks noChangeAspect="1"/>
                    </pic:cNvPicPr>
                  </pic:nvPicPr>
                  <pic:blipFill>
                    <a:blip r:embed="rId176"/>
                    <a:stretch>
                      <a:fillRect/>
                    </a:stretch>
                  </pic:blipFill>
                  <pic:spPr>
                    <a:xfrm>
                      <a:off x="0" y="0"/>
                      <a:ext cx="5708510" cy="1294024"/>
                    </a:xfrm>
                    <a:prstGeom prst="rect">
                      <a:avLst/>
                    </a:prstGeom>
                  </pic:spPr>
                </pic:pic>
              </a:graphicData>
            </a:graphic>
          </wp:inline>
        </w:drawing>
      </w:r>
    </w:p>
    <w:p w14:paraId="5E7CF42A">
      <w:pPr>
        <w:pStyle w:val="202"/>
      </w:pPr>
      <w:r>
        <w:rPr>
          <w:rFonts w:hint="eastAsia"/>
        </w:rPr>
        <w:t>数据库审计日志</w:t>
      </w:r>
    </w:p>
    <w:p w14:paraId="7AAFDE13">
      <w:r>
        <w:rPr>
          <w:rFonts w:hint="eastAsia"/>
        </w:rPr>
        <w:t>数据库审计日志记录用户操作数据库行为产生的日志信息。</w:t>
      </w:r>
    </w:p>
    <w:p w14:paraId="47E7718B">
      <w:r>
        <w:rPr>
          <w:rFonts w:hint="eastAsia"/>
        </w:rPr>
        <w:t>通过“策略配置 &gt; 审计策略”，配置数据库审计策略，在“系统管理&gt;系统设定&gt;日志设定&gt;日志过滤”中，配置记录“数据库审计日志”后，当内网用户通过设备连接审计的数据库对象，并操作数据库语句时，匹配到配置的数据库审计策略，设备上可产生相关的数据库审计日志。详细配置请参见“审计策略”章节。</w:t>
      </w:r>
    </w:p>
    <w:p w14:paraId="14FBB80B">
      <w:r>
        <w:rPr>
          <w:rFonts w:hint="eastAsia"/>
        </w:rPr>
        <w:t>选择“数据中心 &gt; 日志中心 &gt; 审计日志 &gt;数据库审计日志”，可以查看用户操作数据库的详细日志信息，如下图所示。</w:t>
      </w:r>
    </w:p>
    <w:p w14:paraId="17D0299B">
      <w:pPr>
        <w:pStyle w:val="188"/>
      </w:pPr>
      <w:r>
        <w:rPr>
          <w:rFonts w:hint="eastAsia"/>
        </w:rPr>
        <w:t>数据库审计日志查询页面</w:t>
      </w:r>
    </w:p>
    <w:p w14:paraId="27D8EE36">
      <w:pPr>
        <w:pStyle w:val="175"/>
      </w:pPr>
      <w:r>
        <w:drawing>
          <wp:inline distT="0" distB="0" distL="0" distR="0">
            <wp:extent cx="5520690" cy="1078865"/>
            <wp:effectExtent l="0" t="0" r="3810" b="6985"/>
            <wp:docPr id="628" name="图片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图片 628"/>
                    <pic:cNvPicPr>
                      <a:picLocks noChangeAspect="1"/>
                    </pic:cNvPicPr>
                  </pic:nvPicPr>
                  <pic:blipFill>
                    <a:blip r:embed="rId177"/>
                    <a:stretch>
                      <a:fillRect/>
                    </a:stretch>
                  </pic:blipFill>
                  <pic:spPr>
                    <a:xfrm>
                      <a:off x="0" y="0"/>
                      <a:ext cx="5532393" cy="1081339"/>
                    </a:xfrm>
                    <a:prstGeom prst="rect">
                      <a:avLst/>
                    </a:prstGeom>
                  </pic:spPr>
                </pic:pic>
              </a:graphicData>
            </a:graphic>
          </wp:inline>
        </w:drawing>
      </w:r>
    </w:p>
    <w:p w14:paraId="48374B5C"/>
    <w:p w14:paraId="0C52D5AD">
      <w:pPr>
        <w:pStyle w:val="202"/>
      </w:pPr>
      <w:bookmarkStart w:id="1110" w:name="_Toc474250183"/>
      <w:r>
        <w:rPr>
          <w:rFonts w:hint="eastAsia"/>
        </w:rPr>
        <w:t>其它应用日志</w:t>
      </w:r>
      <w:bookmarkEnd w:id="1110"/>
    </w:p>
    <w:p w14:paraId="60DC0BBD">
      <w:r>
        <w:rPr>
          <w:rFonts w:hint="eastAsia"/>
        </w:rPr>
        <w:t>其它应用日志是除了聊天软件、社区、邮件、搜索引擎、命令之外的应用审计日志，点击“数据中心 &gt; 日志中心 &gt; 审计日志 &gt;</w:t>
      </w:r>
      <w:r>
        <w:t xml:space="preserve"> </w:t>
      </w:r>
      <w:r>
        <w:rPr>
          <w:rFonts w:hint="eastAsia"/>
        </w:rPr>
        <w:t>其它应用日志”，进入其它应用日志的查询界面，如</w:t>
      </w:r>
      <w:r>
        <w:rPr>
          <w:color w:val="0000FF"/>
          <w:u w:val="single"/>
        </w:rPr>
        <w:fldChar w:fldCharType="begin"/>
      </w:r>
      <w:r>
        <w:rPr>
          <w:color w:val="0000FF"/>
          <w:u w:val="single"/>
        </w:rPr>
        <w:instrText xml:space="preserve">  REF _Ref393357308 \r \h  \* MERGEFORMAT </w:instrText>
      </w:r>
      <w:r>
        <w:rPr>
          <w:color w:val="0000FF"/>
          <w:u w:val="single"/>
        </w:rPr>
        <w:fldChar w:fldCharType="separate"/>
      </w:r>
      <w:r>
        <w:rPr>
          <w:rFonts w:hint="eastAsia"/>
          <w:color w:val="0000FF"/>
          <w:u w:val="single"/>
        </w:rPr>
        <w:t>图5-23</w:t>
      </w:r>
      <w:r>
        <w:rPr>
          <w:color w:val="0000FF"/>
          <w:u w:val="single"/>
        </w:rPr>
        <w:fldChar w:fldCharType="end"/>
      </w:r>
      <w:r>
        <w:rPr>
          <w:rFonts w:hint="eastAsia"/>
        </w:rPr>
        <w:t>所示。</w:t>
      </w:r>
    </w:p>
    <w:p w14:paraId="74BB2CD8">
      <w:pPr>
        <w:pStyle w:val="188"/>
      </w:pPr>
      <w:bookmarkStart w:id="1111" w:name="_Ref393357308"/>
      <w:r>
        <w:rPr>
          <w:rFonts w:hint="eastAsia"/>
        </w:rPr>
        <w:t>其它应用日志查询页面</w:t>
      </w:r>
      <w:bookmarkEnd w:id="1111"/>
    </w:p>
    <w:p w14:paraId="4BB45CD8">
      <w:pPr>
        <w:pStyle w:val="175"/>
      </w:pPr>
      <w:r>
        <w:drawing>
          <wp:inline distT="0" distB="0" distL="0" distR="0">
            <wp:extent cx="5434965" cy="1252855"/>
            <wp:effectExtent l="0" t="0" r="0" b="4445"/>
            <wp:docPr id="3166" name="图片 3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6" name="图片 3166"/>
                    <pic:cNvPicPr>
                      <a:picLocks noChangeAspect="1"/>
                    </pic:cNvPicPr>
                  </pic:nvPicPr>
                  <pic:blipFill>
                    <a:blip r:embed="rId178"/>
                    <a:stretch>
                      <a:fillRect/>
                    </a:stretch>
                  </pic:blipFill>
                  <pic:spPr>
                    <a:xfrm>
                      <a:off x="0" y="0"/>
                      <a:ext cx="5453007" cy="1257603"/>
                    </a:xfrm>
                    <a:prstGeom prst="rect">
                      <a:avLst/>
                    </a:prstGeom>
                  </pic:spPr>
                </pic:pic>
              </a:graphicData>
            </a:graphic>
          </wp:inline>
        </w:drawing>
      </w:r>
    </w:p>
    <w:p w14:paraId="615AA667"/>
    <w:p w14:paraId="6DAEB8BF">
      <w:pPr>
        <w:pStyle w:val="6"/>
      </w:pPr>
      <w:bookmarkStart w:id="1112" w:name="_Toc143011038"/>
      <w:bookmarkStart w:id="1113" w:name="_Toc172218007"/>
      <w:r>
        <w:rPr>
          <w:rFonts w:hint="eastAsia"/>
        </w:rPr>
        <w:t>安全日志查询</w:t>
      </w:r>
      <w:bookmarkEnd w:id="1112"/>
      <w:bookmarkEnd w:id="1113"/>
    </w:p>
    <w:p w14:paraId="62F276D7">
      <w:pPr>
        <w:pStyle w:val="202"/>
      </w:pPr>
      <w:bookmarkStart w:id="1114" w:name="_Toc15402517"/>
      <w:r>
        <w:rPr>
          <w:rFonts w:hint="eastAsia"/>
        </w:rPr>
        <w:t>入侵</w:t>
      </w:r>
      <w:r>
        <w:rPr>
          <w:rFonts w:hint="eastAsia"/>
          <w:lang w:eastAsia="zh-CN"/>
        </w:rPr>
        <w:t>防御</w:t>
      </w:r>
      <w:r>
        <w:rPr>
          <w:rFonts w:hint="eastAsia"/>
        </w:rPr>
        <w:t>日志</w:t>
      </w:r>
      <w:bookmarkEnd w:id="1114"/>
    </w:p>
    <w:p w14:paraId="0AC5EEE6">
      <w:r>
        <w:t>入侵日志</w:t>
      </w:r>
    </w:p>
    <w:p w14:paraId="666AAA65">
      <w:r>
        <w:rPr>
          <w:rFonts w:hint="eastAsia"/>
        </w:rPr>
        <w:t>入侵防御日志记录着针对网络的IPS攻击的日志。通过“策略配置 &gt; 控制策略”，配置“入侵防御”策略，选择规则模板，并勾选相应选项；在“系统管理 &gt; 系统设定 &gt; 日志设定 &gt; 日志过滤”中，配置发送或记录“安全日志 &gt; IPS日志”。当通过设备的流量命中了配置的入侵防御策略，将会产生入侵日志信息。详细配置请参见“入侵防御”章节。</w:t>
      </w:r>
    </w:p>
    <w:p w14:paraId="2517D16A">
      <w:r>
        <w:rPr>
          <w:rFonts w:hint="eastAsia"/>
        </w:rPr>
        <w:t>点击“数据中心 &gt; 日志中心 &gt;</w:t>
      </w:r>
      <w:r>
        <w:t xml:space="preserve"> </w:t>
      </w:r>
      <w:r>
        <w:rPr>
          <w:rFonts w:hint="eastAsia"/>
        </w:rPr>
        <w:t>安全日志 &gt;</w:t>
      </w:r>
      <w:r>
        <w:t xml:space="preserve"> </w:t>
      </w:r>
      <w:r>
        <w:rPr>
          <w:rFonts w:hint="eastAsia"/>
        </w:rPr>
        <w:t>入侵防御日志”，进入入侵防御日志的查询界面，如</w:t>
      </w:r>
      <w:r>
        <w:fldChar w:fldCharType="begin"/>
      </w:r>
      <w:r>
        <w:instrText xml:space="preserve"> </w:instrText>
      </w:r>
      <w:r>
        <w:rPr>
          <w:rFonts w:hint="eastAsia"/>
        </w:rPr>
        <w:instrText xml:space="preserve">REF _Ref15401391 \r \h</w:instrText>
      </w:r>
      <w:r>
        <w:instrText xml:space="preserve"> </w:instrText>
      </w:r>
      <w:r>
        <w:fldChar w:fldCharType="separate"/>
      </w:r>
      <w:r>
        <w:rPr>
          <w:rFonts w:hint="eastAsia"/>
        </w:rPr>
        <w:t>图5-24</w:t>
      </w:r>
      <w:r>
        <w:fldChar w:fldCharType="end"/>
      </w:r>
      <w:r>
        <w:rPr>
          <w:rFonts w:hint="eastAsia"/>
        </w:rPr>
        <w:t>所示。</w:t>
      </w:r>
    </w:p>
    <w:p w14:paraId="1DC9987E">
      <w:pPr>
        <w:pStyle w:val="188"/>
      </w:pPr>
      <w:bookmarkStart w:id="1115" w:name="_Ref15401391"/>
      <w:r>
        <w:rPr>
          <w:rFonts w:hint="eastAsia"/>
        </w:rPr>
        <w:t>入侵防御日志查询页面</w:t>
      </w:r>
      <w:bookmarkEnd w:id="1115"/>
    </w:p>
    <w:p w14:paraId="59EBCA1A">
      <w:pPr>
        <w:pStyle w:val="175"/>
      </w:pPr>
      <w:r>
        <w:drawing>
          <wp:inline distT="0" distB="0" distL="0" distR="0">
            <wp:extent cx="5734050" cy="1329690"/>
            <wp:effectExtent l="0" t="0" r="0" b="3810"/>
            <wp:docPr id="1802027893" name="图片 1802027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93" name="图片 1802027893"/>
                    <pic:cNvPicPr>
                      <a:picLocks noChangeAspect="1"/>
                    </pic:cNvPicPr>
                  </pic:nvPicPr>
                  <pic:blipFill>
                    <a:blip r:embed="rId179"/>
                    <a:stretch>
                      <a:fillRect/>
                    </a:stretch>
                  </pic:blipFill>
                  <pic:spPr>
                    <a:xfrm>
                      <a:off x="0" y="0"/>
                      <a:ext cx="5742515" cy="1332116"/>
                    </a:xfrm>
                    <a:prstGeom prst="rect">
                      <a:avLst/>
                    </a:prstGeom>
                  </pic:spPr>
                </pic:pic>
              </a:graphicData>
            </a:graphic>
          </wp:inline>
        </w:drawing>
      </w:r>
    </w:p>
    <w:p w14:paraId="45B5275A"/>
    <w:p w14:paraId="51B394B7">
      <w:r>
        <w:rPr>
          <w:rFonts w:hint="eastAsia"/>
        </w:rPr>
        <w:t>点击</w:t>
      </w:r>
      <w:r>
        <w:t>&lt;</w:t>
      </w:r>
      <w:r>
        <w:rPr>
          <w:rFonts w:hint="eastAsia"/>
        </w:rPr>
        <w:t>查询</w:t>
      </w:r>
      <w:r>
        <w:t>&gt;</w:t>
      </w:r>
      <w:r>
        <w:rPr>
          <w:rFonts w:hint="eastAsia"/>
        </w:rPr>
        <w:t>按钮之后，可以查询符合设置条件的日志。</w:t>
      </w:r>
    </w:p>
    <w:p w14:paraId="715D1555">
      <w:r>
        <w:rPr>
          <w:rFonts w:hint="eastAsia"/>
        </w:rPr>
        <w:t>日志聚合</w:t>
      </w:r>
    </w:p>
    <w:p w14:paraId="1B084A74">
      <w:r>
        <w:rPr>
          <w:rFonts w:hint="eastAsia"/>
        </w:rPr>
        <w:t>IPS入侵日志支持聚合，系统可将符合聚合规则（协议ID相同、特征规则ID相同）的日志信息进行聚合，从而减少日志数量，避免日志服务器接受冗余的日志信息。系统仅支持聚合由IPS功能所产生的日志信息。聚合的前提条件是特征规则ID、应用必须相同，然后根据聚合方式进行聚合。该功能默认为关闭状态。</w:t>
      </w:r>
    </w:p>
    <w:p w14:paraId="281CFF43">
      <w:r>
        <w:rPr>
          <w:rFonts w:hint="eastAsia"/>
        </w:rPr>
        <w:t>点击“数据中心&gt;日志中心&gt;安全日志&gt;入侵防御日志&gt;日志聚合”进入日志聚合配置界面，可选择不聚合、按规则聚合、按源IP聚合、按目的IP聚合、按源目的IP聚合5种日志聚合方式。详细配置请参考“入侵防御”章节。</w:t>
      </w:r>
    </w:p>
    <w:p w14:paraId="7B796CE0">
      <w:pPr>
        <w:pStyle w:val="188"/>
      </w:pPr>
      <w:r>
        <w:rPr>
          <w:rFonts w:hint="eastAsia"/>
        </w:rPr>
        <w:t>日志聚合页面</w:t>
      </w:r>
    </w:p>
    <w:p w14:paraId="7C52CEC6">
      <w:r>
        <w:drawing>
          <wp:inline distT="0" distB="0" distL="0" distR="0">
            <wp:extent cx="3456940" cy="1685290"/>
            <wp:effectExtent l="0" t="0" r="0" b="0"/>
            <wp:docPr id="3138" name="图片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8" name="图片 3138"/>
                    <pic:cNvPicPr>
                      <a:picLocks noChangeAspect="1"/>
                    </pic:cNvPicPr>
                  </pic:nvPicPr>
                  <pic:blipFill>
                    <a:blip r:embed="rId180"/>
                    <a:stretch>
                      <a:fillRect/>
                    </a:stretch>
                  </pic:blipFill>
                  <pic:spPr>
                    <a:xfrm>
                      <a:off x="0" y="0"/>
                      <a:ext cx="3457143" cy="1685714"/>
                    </a:xfrm>
                    <a:prstGeom prst="rect">
                      <a:avLst/>
                    </a:prstGeom>
                  </pic:spPr>
                </pic:pic>
              </a:graphicData>
            </a:graphic>
          </wp:inline>
        </w:drawing>
      </w:r>
    </w:p>
    <w:p w14:paraId="0FD37672"/>
    <w:p w14:paraId="3E73B846">
      <w:pPr>
        <w:pStyle w:val="183"/>
      </w:pPr>
      <w:r>
        <w:rPr>
          <w:rFonts w:hint="eastAsia"/>
        </w:rPr>
        <w:t>日志聚合参数说明</w:t>
      </w:r>
    </w:p>
    <w:tbl>
      <w:tblPr>
        <w:tblStyle w:val="173"/>
        <w:tblW w:w="793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469"/>
        <w:gridCol w:w="6469"/>
      </w:tblGrid>
      <w:tr w14:paraId="23E64D2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5" w:type="pct"/>
            <w:tcBorders>
              <w:tl2br w:val="nil"/>
              <w:tr2bl w:val="nil"/>
            </w:tcBorders>
            <w:shd w:val="clear" w:color="auto" w:fill="538135" w:themeFill="accent6" w:themeFillShade="BF"/>
            <w:vAlign w:val="center"/>
          </w:tcPr>
          <w:p w14:paraId="78712C7E">
            <w:pPr>
              <w:pStyle w:val="149"/>
              <w:wordWrap/>
              <w:rPr>
                <w:b/>
                <w:bCs/>
                <w:i w:val="0"/>
                <w:iCs w:val="0"/>
              </w:rPr>
            </w:pPr>
            <w:r>
              <w:rPr>
                <w:b/>
                <w:bCs/>
                <w:i w:val="0"/>
                <w:iCs w:val="0"/>
              </w:rPr>
              <w:t>参数</w:t>
            </w:r>
          </w:p>
        </w:tc>
        <w:tc>
          <w:tcPr>
            <w:tcW w:w="4075" w:type="pct"/>
            <w:tcBorders>
              <w:tl2br w:val="nil"/>
              <w:tr2bl w:val="nil"/>
            </w:tcBorders>
            <w:shd w:val="clear" w:color="auto" w:fill="538135" w:themeFill="accent6" w:themeFillShade="BF"/>
            <w:vAlign w:val="center"/>
          </w:tcPr>
          <w:p w14:paraId="28C4E086">
            <w:pPr>
              <w:pStyle w:val="149"/>
              <w:wordWrap/>
              <w:rPr>
                <w:b/>
                <w:bCs/>
                <w:i w:val="0"/>
                <w:iCs w:val="0"/>
              </w:rPr>
            </w:pPr>
            <w:r>
              <w:rPr>
                <w:b/>
                <w:bCs/>
                <w:i w:val="0"/>
                <w:iCs w:val="0"/>
              </w:rPr>
              <w:t>说明</w:t>
            </w:r>
          </w:p>
        </w:tc>
      </w:tr>
      <w:tr w14:paraId="2F46088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5" w:type="pct"/>
            <w:shd w:val="clear" w:color="auto" w:fill="auto"/>
          </w:tcPr>
          <w:p w14:paraId="552B5851">
            <w:pPr>
              <w:pStyle w:val="186"/>
              <w:widowControl w:val="0"/>
              <w:spacing w:line="240" w:lineRule="auto"/>
              <w:ind w:firstLine="0"/>
              <w:jc w:val="left"/>
            </w:pPr>
            <w:r>
              <w:t>不聚合</w:t>
            </w:r>
          </w:p>
        </w:tc>
        <w:tc>
          <w:tcPr>
            <w:tcW w:w="4075" w:type="pct"/>
            <w:shd w:val="clear" w:color="auto" w:fill="auto"/>
          </w:tcPr>
          <w:p w14:paraId="7AE7F244">
            <w:pPr>
              <w:pStyle w:val="186"/>
              <w:widowControl w:val="0"/>
              <w:spacing w:line="240" w:lineRule="auto"/>
              <w:ind w:firstLine="0"/>
              <w:jc w:val="left"/>
            </w:pPr>
            <w:r>
              <w:t>默认不聚合。</w:t>
            </w:r>
          </w:p>
        </w:tc>
      </w:tr>
      <w:tr w14:paraId="494D14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5" w:type="pct"/>
            <w:shd w:val="clear" w:color="auto" w:fill="auto"/>
          </w:tcPr>
          <w:p w14:paraId="2CC2C7CA">
            <w:pPr>
              <w:pStyle w:val="186"/>
              <w:widowControl w:val="0"/>
              <w:spacing w:line="240" w:lineRule="auto"/>
              <w:ind w:firstLine="0"/>
              <w:jc w:val="left"/>
            </w:pPr>
            <w:r>
              <w:t>按照规则聚合</w:t>
            </w:r>
          </w:p>
        </w:tc>
        <w:tc>
          <w:tcPr>
            <w:tcW w:w="4075" w:type="pct"/>
            <w:shd w:val="clear" w:color="auto" w:fill="auto"/>
          </w:tcPr>
          <w:p w14:paraId="47775D8F">
            <w:pPr>
              <w:pStyle w:val="186"/>
              <w:widowControl w:val="0"/>
              <w:spacing w:line="240" w:lineRule="auto"/>
              <w:ind w:firstLine="0"/>
              <w:jc w:val="left"/>
            </w:pPr>
            <w:r>
              <w:t>是指一段时间之内相同规则ID、相同应用的事件只会产生一条日志。</w:t>
            </w:r>
          </w:p>
        </w:tc>
      </w:tr>
      <w:tr w14:paraId="6000C8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5" w:type="pct"/>
            <w:shd w:val="clear" w:color="auto" w:fill="auto"/>
          </w:tcPr>
          <w:p w14:paraId="2D0E211B">
            <w:pPr>
              <w:pStyle w:val="186"/>
              <w:widowControl w:val="0"/>
              <w:spacing w:line="240" w:lineRule="auto"/>
              <w:ind w:firstLine="0"/>
              <w:jc w:val="left"/>
            </w:pPr>
            <w:r>
              <w:t>按源IP聚合</w:t>
            </w:r>
          </w:p>
        </w:tc>
        <w:tc>
          <w:tcPr>
            <w:tcW w:w="4075" w:type="pct"/>
            <w:shd w:val="clear" w:color="auto" w:fill="auto"/>
          </w:tcPr>
          <w:p w14:paraId="1218E473">
            <w:pPr>
              <w:pStyle w:val="186"/>
              <w:widowControl w:val="0"/>
              <w:spacing w:line="240" w:lineRule="auto"/>
              <w:ind w:firstLine="0"/>
              <w:jc w:val="left"/>
            </w:pPr>
            <w:r>
              <w:t>是指一段时间之内相同源IP、相同规则ID、相同应用的事件只会产生一条日志。</w:t>
            </w:r>
          </w:p>
        </w:tc>
      </w:tr>
      <w:tr w14:paraId="40AA531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5" w:type="pct"/>
            <w:shd w:val="clear" w:color="auto" w:fill="auto"/>
          </w:tcPr>
          <w:p w14:paraId="1926FC97">
            <w:pPr>
              <w:pStyle w:val="186"/>
              <w:widowControl w:val="0"/>
              <w:spacing w:line="240" w:lineRule="auto"/>
              <w:ind w:firstLine="0"/>
              <w:jc w:val="left"/>
            </w:pPr>
            <w:r>
              <w:t>按目的IP聚合</w:t>
            </w:r>
          </w:p>
        </w:tc>
        <w:tc>
          <w:tcPr>
            <w:tcW w:w="4075" w:type="pct"/>
            <w:shd w:val="clear" w:color="auto" w:fill="auto"/>
          </w:tcPr>
          <w:p w14:paraId="07B4DDB6">
            <w:pPr>
              <w:pStyle w:val="186"/>
              <w:widowControl w:val="0"/>
              <w:spacing w:line="240" w:lineRule="auto"/>
              <w:ind w:firstLine="0"/>
              <w:jc w:val="left"/>
            </w:pPr>
            <w:r>
              <w:t>是指一段时间之内相同目的IP、相同规则ID、相同应用的事件只会产生一条日志。</w:t>
            </w:r>
          </w:p>
        </w:tc>
      </w:tr>
      <w:tr w14:paraId="7664352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5" w:type="pct"/>
            <w:shd w:val="clear" w:color="auto" w:fill="auto"/>
          </w:tcPr>
          <w:p w14:paraId="6141F670">
            <w:pPr>
              <w:pStyle w:val="186"/>
              <w:widowControl w:val="0"/>
              <w:spacing w:line="240" w:lineRule="auto"/>
              <w:ind w:firstLine="0"/>
              <w:jc w:val="left"/>
            </w:pPr>
            <w:r>
              <w:t>按源目IP聚合</w:t>
            </w:r>
          </w:p>
        </w:tc>
        <w:tc>
          <w:tcPr>
            <w:tcW w:w="4075" w:type="pct"/>
            <w:shd w:val="clear" w:color="auto" w:fill="auto"/>
          </w:tcPr>
          <w:p w14:paraId="3A980E2A">
            <w:pPr>
              <w:pStyle w:val="186"/>
              <w:widowControl w:val="0"/>
              <w:spacing w:line="240" w:lineRule="auto"/>
              <w:ind w:firstLine="0"/>
              <w:jc w:val="left"/>
            </w:pPr>
            <w:r>
              <w:t>是指一段时间之内相同源IP、相同目的IP、相同规则ID、相同应用的事件只会产生一条日志。</w:t>
            </w:r>
          </w:p>
        </w:tc>
      </w:tr>
    </w:tbl>
    <w:p w14:paraId="7D58E9F8"/>
    <w:p w14:paraId="5714BB37">
      <w:pPr>
        <w:pStyle w:val="183"/>
      </w:pPr>
      <w:r>
        <w:rPr>
          <w:rFonts w:hint="eastAsia"/>
        </w:rPr>
        <w:t>告警规则</w:t>
      </w:r>
    </w:p>
    <w:p w14:paraId="515F0B04">
      <w:r>
        <w:rPr>
          <w:rFonts w:hint="eastAsia"/>
        </w:rPr>
        <w:t>告警规则主要针对记录IPS攻击的日志按照匹配条件进行syslog或者邮件告警。点击“数据中心 &gt; 日志中心 &gt;</w:t>
      </w:r>
      <w:r>
        <w:t xml:space="preserve"> </w:t>
      </w:r>
      <w:r>
        <w:rPr>
          <w:rFonts w:hint="eastAsia"/>
        </w:rPr>
        <w:t>安全日志 &gt;</w:t>
      </w:r>
      <w:r>
        <w:t xml:space="preserve"> </w:t>
      </w:r>
      <w:r>
        <w:rPr>
          <w:rFonts w:hint="eastAsia"/>
        </w:rPr>
        <w:t>入侵防御日志&gt;告警规则”，点击“新建”按钮进入告警规则的配置界面，如</w:t>
      </w:r>
      <w:r>
        <w:fldChar w:fldCharType="begin"/>
      </w:r>
      <w:r>
        <w:instrText xml:space="preserve"> </w:instrText>
      </w:r>
      <w:r>
        <w:rPr>
          <w:rFonts w:hint="eastAsia"/>
        </w:rPr>
        <w:instrText xml:space="preserve">REF _Ref15401395 \r \h</w:instrText>
      </w:r>
      <w:r>
        <w:instrText xml:space="preserve"> </w:instrText>
      </w:r>
      <w:r>
        <w:fldChar w:fldCharType="separate"/>
      </w:r>
      <w:r>
        <w:rPr>
          <w:rFonts w:hint="eastAsia"/>
        </w:rPr>
        <w:t>图5-26</w:t>
      </w:r>
      <w:r>
        <w:fldChar w:fldCharType="end"/>
      </w:r>
      <w:r>
        <w:rPr>
          <w:rFonts w:hint="eastAsia"/>
        </w:rPr>
        <w:t>所示。</w:t>
      </w:r>
    </w:p>
    <w:p w14:paraId="463670B8">
      <w:pPr>
        <w:pStyle w:val="188"/>
      </w:pPr>
      <w:bookmarkStart w:id="1116" w:name="_Ref15401395"/>
      <w:r>
        <w:rPr>
          <w:rFonts w:hint="eastAsia"/>
        </w:rPr>
        <w:t>告警规则页面</w:t>
      </w:r>
      <w:bookmarkEnd w:id="1116"/>
    </w:p>
    <w:p w14:paraId="318F1BA3">
      <w:pPr>
        <w:pStyle w:val="175"/>
      </w:pPr>
      <w:r>
        <w:drawing>
          <wp:inline distT="0" distB="0" distL="0" distR="0">
            <wp:extent cx="5534025" cy="1079500"/>
            <wp:effectExtent l="0" t="0" r="0" b="635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181"/>
                    <a:stretch>
                      <a:fillRect/>
                    </a:stretch>
                  </pic:blipFill>
                  <pic:spPr>
                    <a:xfrm>
                      <a:off x="0" y="0"/>
                      <a:ext cx="5549599" cy="1082975"/>
                    </a:xfrm>
                    <a:prstGeom prst="rect">
                      <a:avLst/>
                    </a:prstGeom>
                  </pic:spPr>
                </pic:pic>
              </a:graphicData>
            </a:graphic>
          </wp:inline>
        </w:drawing>
      </w:r>
    </w:p>
    <w:p w14:paraId="5A23F90E"/>
    <w:p w14:paraId="31167ACF">
      <w:pPr>
        <w:pStyle w:val="183"/>
      </w:pPr>
      <w:bookmarkStart w:id="1117" w:name="_Ref15401396"/>
      <w:r>
        <w:rPr>
          <w:rFonts w:hint="eastAsia"/>
        </w:rPr>
        <w:t>入侵检测告警规则</w:t>
      </w:r>
      <w:bookmarkEnd w:id="1117"/>
      <w:r>
        <w:rPr>
          <w:rFonts w:hint="eastAsia"/>
        </w:rPr>
        <w:t>界面详细说明</w:t>
      </w:r>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781"/>
        <w:gridCol w:w="7233"/>
      </w:tblGrid>
      <w:tr w14:paraId="50445E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tcBorders>
              <w:tl2br w:val="nil"/>
              <w:tr2bl w:val="nil"/>
            </w:tcBorders>
            <w:shd w:val="clear" w:color="auto" w:fill="538135" w:themeFill="accent6" w:themeFillShade="BF"/>
            <w:vAlign w:val="center"/>
          </w:tcPr>
          <w:p w14:paraId="4672202E">
            <w:pPr>
              <w:pStyle w:val="149"/>
              <w:wordWrap/>
              <w:rPr>
                <w:b/>
                <w:bCs/>
                <w:i w:val="0"/>
                <w:iCs w:val="0"/>
              </w:rPr>
            </w:pPr>
            <w:r>
              <w:rPr>
                <w:rFonts w:hint="eastAsia"/>
                <w:b/>
                <w:bCs/>
                <w:i w:val="0"/>
                <w:iCs w:val="0"/>
              </w:rPr>
              <w:t>配置项</w:t>
            </w:r>
          </w:p>
        </w:tc>
        <w:tc>
          <w:tcPr>
            <w:tcW w:w="7233" w:type="dxa"/>
            <w:tcBorders>
              <w:tl2br w:val="nil"/>
              <w:tr2bl w:val="nil"/>
            </w:tcBorders>
            <w:shd w:val="clear" w:color="auto" w:fill="538135" w:themeFill="accent6" w:themeFillShade="BF"/>
            <w:vAlign w:val="center"/>
          </w:tcPr>
          <w:p w14:paraId="23495B68">
            <w:pPr>
              <w:pStyle w:val="149"/>
              <w:wordWrap/>
              <w:rPr>
                <w:b/>
                <w:bCs/>
                <w:i w:val="0"/>
                <w:iCs w:val="0"/>
              </w:rPr>
            </w:pPr>
            <w:r>
              <w:rPr>
                <w:rFonts w:hint="eastAsia"/>
                <w:b/>
                <w:bCs/>
                <w:i w:val="0"/>
                <w:iCs w:val="0"/>
              </w:rPr>
              <w:t>说明</w:t>
            </w:r>
          </w:p>
        </w:tc>
      </w:tr>
      <w:tr w14:paraId="2E01E55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69E3832C">
            <w:pPr>
              <w:pStyle w:val="186"/>
              <w:widowControl w:val="0"/>
              <w:spacing w:line="240" w:lineRule="auto"/>
              <w:ind w:firstLine="0"/>
              <w:jc w:val="left"/>
            </w:pPr>
            <w:r>
              <w:rPr>
                <w:rFonts w:hint="eastAsia"/>
              </w:rPr>
              <w:t>新建</w:t>
            </w:r>
          </w:p>
        </w:tc>
        <w:tc>
          <w:tcPr>
            <w:tcW w:w="7233" w:type="dxa"/>
            <w:shd w:val="clear" w:color="auto" w:fill="auto"/>
          </w:tcPr>
          <w:p w14:paraId="582C13D6">
            <w:pPr>
              <w:pStyle w:val="186"/>
              <w:widowControl w:val="0"/>
              <w:spacing w:line="240" w:lineRule="auto"/>
              <w:ind w:firstLine="0"/>
              <w:jc w:val="left"/>
            </w:pPr>
            <w:r>
              <w:rPr>
                <w:rFonts w:hint="eastAsia"/>
              </w:rPr>
              <w:t>新建入侵检测告警规则</w:t>
            </w:r>
          </w:p>
        </w:tc>
      </w:tr>
      <w:tr w14:paraId="6E10133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19C70F79">
            <w:pPr>
              <w:pStyle w:val="186"/>
              <w:widowControl w:val="0"/>
              <w:spacing w:line="240" w:lineRule="auto"/>
              <w:ind w:firstLine="0"/>
              <w:jc w:val="left"/>
            </w:pPr>
            <w:r>
              <w:rPr>
                <w:rFonts w:hint="eastAsia"/>
              </w:rPr>
              <w:t>删除</w:t>
            </w:r>
          </w:p>
        </w:tc>
        <w:tc>
          <w:tcPr>
            <w:tcW w:w="7233" w:type="dxa"/>
            <w:shd w:val="clear" w:color="auto" w:fill="auto"/>
          </w:tcPr>
          <w:p w14:paraId="04A94D88">
            <w:pPr>
              <w:pStyle w:val="186"/>
              <w:widowControl w:val="0"/>
              <w:spacing w:line="240" w:lineRule="auto"/>
              <w:ind w:firstLine="0"/>
              <w:jc w:val="left"/>
            </w:pPr>
            <w:r>
              <w:rPr>
                <w:rFonts w:hint="eastAsia"/>
              </w:rPr>
              <w:t>删除入侵检测告警规则</w:t>
            </w:r>
          </w:p>
        </w:tc>
      </w:tr>
      <w:tr w14:paraId="7AC92F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79BD7F97">
            <w:pPr>
              <w:pStyle w:val="186"/>
              <w:widowControl w:val="0"/>
              <w:spacing w:line="240" w:lineRule="auto"/>
              <w:ind w:firstLine="0"/>
              <w:jc w:val="left"/>
            </w:pPr>
            <w:r>
              <w:rPr>
                <w:rFonts w:hint="eastAsia"/>
              </w:rPr>
              <w:t>清除</w:t>
            </w:r>
          </w:p>
        </w:tc>
        <w:tc>
          <w:tcPr>
            <w:tcW w:w="7233" w:type="dxa"/>
            <w:shd w:val="clear" w:color="auto" w:fill="auto"/>
          </w:tcPr>
          <w:p w14:paraId="75D4ABA1">
            <w:pPr>
              <w:pStyle w:val="186"/>
              <w:widowControl w:val="0"/>
              <w:spacing w:line="240" w:lineRule="auto"/>
              <w:ind w:firstLine="0"/>
              <w:jc w:val="left"/>
            </w:pPr>
            <w:r>
              <w:rPr>
                <w:rFonts w:hint="eastAsia"/>
              </w:rPr>
              <w:t>清除入侵检测告警规则命中次数统计及日志</w:t>
            </w:r>
          </w:p>
        </w:tc>
      </w:tr>
      <w:tr w14:paraId="600DBF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132A973E">
            <w:pPr>
              <w:pStyle w:val="186"/>
              <w:widowControl w:val="0"/>
              <w:spacing w:line="240" w:lineRule="auto"/>
              <w:ind w:firstLine="0"/>
              <w:jc w:val="left"/>
            </w:pPr>
            <w:r>
              <w:rPr>
                <w:rFonts w:hint="eastAsia"/>
              </w:rPr>
              <w:t>启用</w:t>
            </w:r>
          </w:p>
        </w:tc>
        <w:tc>
          <w:tcPr>
            <w:tcW w:w="7233" w:type="dxa"/>
            <w:shd w:val="clear" w:color="auto" w:fill="auto"/>
          </w:tcPr>
          <w:p w14:paraId="63F8EFA0">
            <w:pPr>
              <w:pStyle w:val="186"/>
              <w:widowControl w:val="0"/>
              <w:spacing w:line="240" w:lineRule="auto"/>
              <w:ind w:firstLine="0"/>
              <w:jc w:val="left"/>
            </w:pPr>
            <w:r>
              <w:rPr>
                <w:rFonts w:hint="eastAsia"/>
              </w:rPr>
              <w:t>启用入侵检测告警规则</w:t>
            </w:r>
          </w:p>
        </w:tc>
      </w:tr>
      <w:tr w14:paraId="4F8A89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0A7CD8DC">
            <w:pPr>
              <w:pStyle w:val="186"/>
              <w:widowControl w:val="0"/>
              <w:spacing w:line="240" w:lineRule="auto"/>
              <w:ind w:firstLine="0"/>
              <w:jc w:val="left"/>
            </w:pPr>
            <w:r>
              <w:rPr>
                <w:rFonts w:hint="eastAsia"/>
              </w:rPr>
              <w:t>禁用</w:t>
            </w:r>
          </w:p>
        </w:tc>
        <w:tc>
          <w:tcPr>
            <w:tcW w:w="7233" w:type="dxa"/>
            <w:shd w:val="clear" w:color="auto" w:fill="auto"/>
          </w:tcPr>
          <w:p w14:paraId="729815D5">
            <w:pPr>
              <w:pStyle w:val="186"/>
              <w:widowControl w:val="0"/>
              <w:spacing w:line="240" w:lineRule="auto"/>
              <w:ind w:firstLine="0"/>
              <w:jc w:val="left"/>
            </w:pPr>
            <w:r>
              <w:rPr>
                <w:rFonts w:hint="eastAsia"/>
              </w:rPr>
              <w:t>禁用入侵检测告警规则</w:t>
            </w:r>
          </w:p>
        </w:tc>
      </w:tr>
      <w:tr w14:paraId="531563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10BBC7D4">
            <w:pPr>
              <w:pStyle w:val="186"/>
              <w:widowControl w:val="0"/>
              <w:spacing w:line="240" w:lineRule="auto"/>
              <w:ind w:firstLine="0"/>
              <w:jc w:val="left"/>
            </w:pPr>
            <w:r>
              <w:rPr>
                <w:rFonts w:hint="eastAsia"/>
              </w:rPr>
              <w:t>状态</w:t>
            </w:r>
          </w:p>
        </w:tc>
        <w:tc>
          <w:tcPr>
            <w:tcW w:w="7233" w:type="dxa"/>
            <w:shd w:val="clear" w:color="auto" w:fill="auto"/>
          </w:tcPr>
          <w:p w14:paraId="0EEDC7C4">
            <w:pPr>
              <w:pStyle w:val="186"/>
              <w:widowControl w:val="0"/>
              <w:spacing w:line="240" w:lineRule="auto"/>
              <w:ind w:firstLine="0"/>
              <w:jc w:val="left"/>
            </w:pPr>
            <w:r>
              <w:rPr>
                <w:rFonts w:hint="eastAsia"/>
              </w:rPr>
              <w:t>显示告警规则启用或禁用状态</w:t>
            </w:r>
          </w:p>
        </w:tc>
      </w:tr>
      <w:tr w14:paraId="72A88E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7686A491">
            <w:pPr>
              <w:pStyle w:val="186"/>
              <w:widowControl w:val="0"/>
              <w:spacing w:line="240" w:lineRule="auto"/>
              <w:ind w:firstLine="0"/>
              <w:jc w:val="left"/>
            </w:pPr>
            <w:r>
              <w:rPr>
                <w:rFonts w:hint="eastAsia"/>
              </w:rPr>
              <w:t>规则名称</w:t>
            </w:r>
          </w:p>
        </w:tc>
        <w:tc>
          <w:tcPr>
            <w:tcW w:w="7233" w:type="dxa"/>
            <w:shd w:val="clear" w:color="auto" w:fill="auto"/>
          </w:tcPr>
          <w:p w14:paraId="2664589F">
            <w:pPr>
              <w:pStyle w:val="207"/>
              <w:numPr>
                <w:ilvl w:val="0"/>
                <w:numId w:val="24"/>
              </w:numPr>
              <w:rPr>
                <w:lang w:eastAsia="zh-CN"/>
              </w:rPr>
            </w:pPr>
            <w:r>
              <w:rPr>
                <w:rFonts w:hint="eastAsia"/>
                <w:lang w:eastAsia="zh-CN"/>
              </w:rPr>
              <w:t>自定义的告警规则名称</w:t>
            </w:r>
          </w:p>
        </w:tc>
      </w:tr>
      <w:tr w14:paraId="198EE99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47763E31">
            <w:pPr>
              <w:pStyle w:val="186"/>
              <w:widowControl w:val="0"/>
              <w:spacing w:line="240" w:lineRule="auto"/>
              <w:ind w:firstLine="0"/>
              <w:jc w:val="left"/>
            </w:pPr>
            <w:r>
              <w:rPr>
                <w:rFonts w:hint="eastAsia"/>
              </w:rPr>
              <w:t>事件类型</w:t>
            </w:r>
          </w:p>
        </w:tc>
        <w:tc>
          <w:tcPr>
            <w:tcW w:w="7233" w:type="dxa"/>
            <w:shd w:val="clear" w:color="auto" w:fill="auto"/>
          </w:tcPr>
          <w:p w14:paraId="1E3CB23F">
            <w:pPr>
              <w:pStyle w:val="186"/>
              <w:widowControl w:val="0"/>
              <w:spacing w:line="240" w:lineRule="auto"/>
              <w:ind w:firstLine="0"/>
              <w:jc w:val="left"/>
            </w:pPr>
            <w:r>
              <w:rPr>
                <w:rFonts w:hint="eastAsia"/>
              </w:rPr>
              <w:t>IPS事件类型</w:t>
            </w:r>
          </w:p>
        </w:tc>
      </w:tr>
      <w:tr w14:paraId="070CA50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1AA30884">
            <w:pPr>
              <w:pStyle w:val="186"/>
              <w:widowControl w:val="0"/>
              <w:spacing w:line="240" w:lineRule="auto"/>
              <w:ind w:firstLine="0"/>
              <w:jc w:val="left"/>
            </w:pPr>
            <w:r>
              <w:rPr>
                <w:rFonts w:hint="eastAsia"/>
              </w:rPr>
              <w:t>动作</w:t>
            </w:r>
          </w:p>
        </w:tc>
        <w:tc>
          <w:tcPr>
            <w:tcW w:w="7233" w:type="dxa"/>
            <w:shd w:val="clear" w:color="auto" w:fill="auto"/>
          </w:tcPr>
          <w:p w14:paraId="7B8A6333">
            <w:pPr>
              <w:pStyle w:val="186"/>
              <w:widowControl w:val="0"/>
              <w:spacing w:line="240" w:lineRule="auto"/>
              <w:ind w:firstLine="0"/>
              <w:jc w:val="left"/>
            </w:pPr>
            <w:r>
              <w:rPr>
                <w:rFonts w:hint="eastAsia"/>
              </w:rPr>
              <w:t>IPS事件处理行为，包括允许和拒绝</w:t>
            </w:r>
          </w:p>
        </w:tc>
      </w:tr>
      <w:tr w14:paraId="7974A14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0B2396A6">
            <w:pPr>
              <w:pStyle w:val="186"/>
              <w:widowControl w:val="0"/>
              <w:spacing w:line="240" w:lineRule="auto"/>
              <w:ind w:firstLine="0"/>
              <w:jc w:val="left"/>
            </w:pPr>
            <w:r>
              <w:rPr>
                <w:rFonts w:hint="eastAsia"/>
              </w:rPr>
              <w:t>告警方式</w:t>
            </w:r>
          </w:p>
        </w:tc>
        <w:tc>
          <w:tcPr>
            <w:tcW w:w="7233" w:type="dxa"/>
            <w:shd w:val="clear" w:color="auto" w:fill="auto"/>
          </w:tcPr>
          <w:p w14:paraId="6F570C02">
            <w:pPr>
              <w:pStyle w:val="186"/>
              <w:widowControl w:val="0"/>
              <w:spacing w:line="240" w:lineRule="auto"/>
              <w:ind w:firstLine="0"/>
              <w:jc w:val="left"/>
            </w:pPr>
            <w:r>
              <w:rPr>
                <w:rFonts w:hint="eastAsia"/>
              </w:rPr>
              <w:t>支持syslog和邮件两种告警方式</w:t>
            </w:r>
          </w:p>
        </w:tc>
      </w:tr>
      <w:tr w14:paraId="40E557A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0A5C5167">
            <w:pPr>
              <w:pStyle w:val="186"/>
              <w:widowControl w:val="0"/>
              <w:spacing w:line="240" w:lineRule="auto"/>
              <w:ind w:firstLine="0"/>
              <w:jc w:val="left"/>
            </w:pPr>
            <w:r>
              <w:rPr>
                <w:rFonts w:hint="eastAsia"/>
              </w:rPr>
              <w:t>级别</w:t>
            </w:r>
          </w:p>
        </w:tc>
        <w:tc>
          <w:tcPr>
            <w:tcW w:w="7233" w:type="dxa"/>
            <w:shd w:val="clear" w:color="auto" w:fill="auto"/>
          </w:tcPr>
          <w:p w14:paraId="12AB94D8">
            <w:pPr>
              <w:pStyle w:val="186"/>
              <w:widowControl w:val="0"/>
              <w:spacing w:line="240" w:lineRule="auto"/>
              <w:ind w:firstLine="0"/>
              <w:jc w:val="left"/>
            </w:pPr>
            <w:r>
              <w:rPr>
                <w:rFonts w:hint="eastAsia"/>
              </w:rPr>
              <w:t>根据严重程度的不同，日志分为以下几个级别：</w:t>
            </w:r>
          </w:p>
          <w:p w14:paraId="5B79CD54">
            <w:pPr>
              <w:pStyle w:val="207"/>
            </w:pPr>
            <w:r>
              <w:rPr>
                <w:rFonts w:hint="eastAsia"/>
              </w:rPr>
              <w:t>信息</w:t>
            </w:r>
          </w:p>
          <w:p w14:paraId="6AC6E575">
            <w:pPr>
              <w:pStyle w:val="207"/>
            </w:pPr>
            <w:r>
              <w:rPr>
                <w:rFonts w:hint="eastAsia"/>
              </w:rPr>
              <w:t>通知</w:t>
            </w:r>
          </w:p>
          <w:p w14:paraId="6B5DA074">
            <w:pPr>
              <w:pStyle w:val="207"/>
            </w:pPr>
            <w:r>
              <w:rPr>
                <w:rFonts w:hint="eastAsia"/>
              </w:rPr>
              <w:t>警告</w:t>
            </w:r>
          </w:p>
          <w:p w14:paraId="01E1722A">
            <w:pPr>
              <w:pStyle w:val="207"/>
            </w:pPr>
            <w:r>
              <w:rPr>
                <w:rFonts w:hint="eastAsia"/>
              </w:rPr>
              <w:t>告警</w:t>
            </w:r>
          </w:p>
        </w:tc>
      </w:tr>
      <w:tr w14:paraId="0AEA315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39606375">
            <w:pPr>
              <w:pStyle w:val="186"/>
              <w:widowControl w:val="0"/>
              <w:spacing w:line="240" w:lineRule="auto"/>
              <w:ind w:firstLine="0"/>
              <w:jc w:val="left"/>
            </w:pPr>
            <w:r>
              <w:rPr>
                <w:rFonts w:hint="eastAsia"/>
              </w:rPr>
              <w:t>频率</w:t>
            </w:r>
            <w:r>
              <w:t>(</w:t>
            </w:r>
            <w:r>
              <w:rPr>
                <w:rFonts w:hint="eastAsia"/>
              </w:rPr>
              <w:t>秒</w:t>
            </w:r>
            <w:r>
              <w:t>)</w:t>
            </w:r>
          </w:p>
        </w:tc>
        <w:tc>
          <w:tcPr>
            <w:tcW w:w="7233" w:type="dxa"/>
            <w:shd w:val="clear" w:color="auto" w:fill="auto"/>
          </w:tcPr>
          <w:p w14:paraId="41D45C6A">
            <w:pPr>
              <w:pStyle w:val="186"/>
              <w:widowControl w:val="0"/>
              <w:spacing w:line="240" w:lineRule="auto"/>
              <w:ind w:firstLine="0"/>
              <w:jc w:val="left"/>
            </w:pPr>
            <w:r>
              <w:rPr>
                <w:rFonts w:hint="eastAsia"/>
              </w:rPr>
              <w:t>告警检测的时间阈值</w:t>
            </w:r>
          </w:p>
        </w:tc>
      </w:tr>
      <w:tr w14:paraId="756625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5573A07C">
            <w:pPr>
              <w:pStyle w:val="186"/>
              <w:widowControl w:val="0"/>
              <w:spacing w:line="240" w:lineRule="auto"/>
              <w:ind w:firstLine="0"/>
              <w:jc w:val="left"/>
            </w:pPr>
            <w:r>
              <w:rPr>
                <w:rFonts w:hint="eastAsia"/>
              </w:rPr>
              <w:t>日志条数</w:t>
            </w:r>
          </w:p>
        </w:tc>
        <w:tc>
          <w:tcPr>
            <w:tcW w:w="7233" w:type="dxa"/>
            <w:shd w:val="clear" w:color="auto" w:fill="auto"/>
          </w:tcPr>
          <w:p w14:paraId="4FE092A2">
            <w:pPr>
              <w:pStyle w:val="186"/>
              <w:widowControl w:val="0"/>
              <w:spacing w:line="240" w:lineRule="auto"/>
              <w:ind w:firstLine="0"/>
              <w:jc w:val="left"/>
            </w:pPr>
            <w:r>
              <w:rPr>
                <w:rFonts w:hint="eastAsia"/>
              </w:rPr>
              <w:t>告警检测的IPS日志条数阈值</w:t>
            </w:r>
          </w:p>
        </w:tc>
      </w:tr>
      <w:tr w14:paraId="11733B5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6AC002A3">
            <w:pPr>
              <w:pStyle w:val="186"/>
              <w:widowControl w:val="0"/>
              <w:spacing w:line="240" w:lineRule="auto"/>
              <w:ind w:firstLine="0"/>
              <w:jc w:val="left"/>
            </w:pPr>
            <w:r>
              <w:rPr>
                <w:rFonts w:hint="eastAsia"/>
              </w:rPr>
              <w:t>命中次数</w:t>
            </w:r>
          </w:p>
        </w:tc>
        <w:tc>
          <w:tcPr>
            <w:tcW w:w="7233" w:type="dxa"/>
            <w:shd w:val="clear" w:color="auto" w:fill="auto"/>
          </w:tcPr>
          <w:p w14:paraId="6332083F">
            <w:pPr>
              <w:pStyle w:val="186"/>
              <w:widowControl w:val="0"/>
              <w:spacing w:line="240" w:lineRule="auto"/>
              <w:ind w:firstLine="0"/>
              <w:jc w:val="left"/>
            </w:pPr>
            <w:r>
              <w:rPr>
                <w:rFonts w:hint="eastAsia"/>
              </w:rPr>
              <w:t>告警检测命中次数统计</w:t>
            </w:r>
          </w:p>
        </w:tc>
      </w:tr>
    </w:tbl>
    <w:p w14:paraId="0CB86C60"/>
    <w:p w14:paraId="1A224457">
      <w:pPr>
        <w:pStyle w:val="202"/>
      </w:pPr>
      <w:bookmarkStart w:id="1118" w:name="_Toc15402519"/>
      <w:r>
        <w:rPr>
          <w:rFonts w:hint="eastAsia"/>
        </w:rPr>
        <w:t>安全防护日志</w:t>
      </w:r>
    </w:p>
    <w:p w14:paraId="2FA4908D">
      <w:r>
        <w:rPr>
          <w:rFonts w:hint="eastAsia"/>
        </w:rPr>
        <w:t>安全防护日志记录着针对网络层攻击的安全防护产生的日志。在“策略配置 &gt; 安全设置 &gt; 安全防护”中，配置“ARP/ND攻击防护/异常包攻击防御/DOS攻击防护”，且在“系统管理&gt; 系统设定 &gt; 日志设定 &gt; 日志过滤 &gt; 安全日志”中，配置记录或发送对应的日志类别。当通过设备的流量命中了配置的安全防护策略，检测到网络攻击，将会产生对应的安全防护日志信息。详情请参见“安全防护”章节。</w:t>
      </w:r>
    </w:p>
    <w:p w14:paraId="574A4DFC">
      <w:r>
        <w:rPr>
          <w:rFonts w:hint="eastAsia"/>
        </w:rPr>
        <w:t>点击“数据中心 &gt; 日志中心 &gt; 安全日志 &gt;</w:t>
      </w:r>
      <w:r>
        <w:t xml:space="preserve"> </w:t>
      </w:r>
      <w:r>
        <w:rPr>
          <w:rFonts w:hint="eastAsia"/>
        </w:rPr>
        <w:t>安全防护日志”，进入安全防护日志的查询界面，如</w:t>
      </w:r>
      <w:r>
        <w:rPr>
          <w:color w:val="0000FF"/>
          <w:u w:val="single"/>
        </w:rPr>
        <w:fldChar w:fldCharType="begin"/>
      </w:r>
      <w:r>
        <w:instrText xml:space="preserve"> </w:instrText>
      </w:r>
      <w:r>
        <w:rPr>
          <w:rFonts w:hint="eastAsia"/>
        </w:rPr>
        <w:instrText xml:space="preserve">REF _Ref28011904 \r \h</w:instrText>
      </w:r>
      <w:r>
        <w:instrText xml:space="preserve"> </w:instrText>
      </w:r>
      <w:r>
        <w:rPr>
          <w:color w:val="0000FF"/>
          <w:u w:val="single"/>
        </w:rPr>
        <w:fldChar w:fldCharType="separate"/>
      </w:r>
      <w:r>
        <w:rPr>
          <w:rFonts w:hint="eastAsia"/>
        </w:rPr>
        <w:t>图5-27</w:t>
      </w:r>
      <w:r>
        <w:rPr>
          <w:color w:val="0000FF"/>
          <w:u w:val="single"/>
        </w:rPr>
        <w:fldChar w:fldCharType="end"/>
      </w:r>
      <w:r>
        <w:rPr>
          <w:rFonts w:hint="eastAsia"/>
        </w:rPr>
        <w:t>所示。</w:t>
      </w:r>
    </w:p>
    <w:p w14:paraId="589E9171">
      <w:pPr>
        <w:pStyle w:val="188"/>
      </w:pPr>
      <w:bookmarkStart w:id="1119" w:name="_Ref28011904"/>
      <w:r>
        <w:rPr>
          <w:rFonts w:hint="eastAsia"/>
        </w:rPr>
        <w:t>安全防护日志查询页面</w:t>
      </w:r>
      <w:bookmarkEnd w:id="1119"/>
    </w:p>
    <w:p w14:paraId="563E6E2C">
      <w:pPr>
        <w:pStyle w:val="175"/>
      </w:pPr>
      <w:r>
        <w:drawing>
          <wp:inline distT="0" distB="0" distL="0" distR="0">
            <wp:extent cx="5400040" cy="1740535"/>
            <wp:effectExtent l="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182"/>
                    <a:stretch>
                      <a:fillRect/>
                    </a:stretch>
                  </pic:blipFill>
                  <pic:spPr>
                    <a:xfrm>
                      <a:off x="0" y="0"/>
                      <a:ext cx="5400040" cy="1740535"/>
                    </a:xfrm>
                    <a:prstGeom prst="rect">
                      <a:avLst/>
                    </a:prstGeom>
                  </pic:spPr>
                </pic:pic>
              </a:graphicData>
            </a:graphic>
          </wp:inline>
        </w:drawing>
      </w:r>
    </w:p>
    <w:p w14:paraId="34156AD2"/>
    <w:p w14:paraId="34AFD627">
      <w:r>
        <w:rPr>
          <w:rFonts w:hint="eastAsia"/>
        </w:rPr>
        <w:t>点击</w:t>
      </w:r>
      <w:r>
        <w:t>&lt;</w:t>
      </w:r>
      <w:r>
        <w:rPr>
          <w:rFonts w:hint="eastAsia"/>
        </w:rPr>
        <w:t>查询</w:t>
      </w:r>
      <w:r>
        <w:t>&gt;</w:t>
      </w:r>
      <w:r>
        <w:rPr>
          <w:rFonts w:hint="eastAsia"/>
        </w:rPr>
        <w:t>按钮之后，可以查询符合设置条件的日志。</w:t>
      </w:r>
    </w:p>
    <w:p w14:paraId="58B7642B">
      <w:pPr>
        <w:pStyle w:val="202"/>
      </w:pPr>
      <w:r>
        <w:rPr>
          <w:rFonts w:hint="eastAsia"/>
        </w:rPr>
        <w:t>病毒防护日志</w:t>
      </w:r>
    </w:p>
    <w:p w14:paraId="0E8AA2D6">
      <w:r>
        <w:rPr>
          <w:rFonts w:hint="eastAsia"/>
        </w:rPr>
        <w:t>病毒防护日志记录着针对网络的AV攻击的日志。通过“策略配置 &gt; 控制策略”，启用“病毒防护”策略，选择防护项目，并勾选“日志”；在“系统管理&gt; 系统设定 &gt; 日志设定 &gt; 日志过滤”中，配置发送或记录“安全日志 &gt; AV日志”。当通过设备的流量命中了配置的病毒防护策略，检测到病毒攻击，将会产生病毒防护日志信息。详情请参见“病毒防护”章节。</w:t>
      </w:r>
    </w:p>
    <w:p w14:paraId="77959DB7">
      <w:r>
        <w:rPr>
          <w:rFonts w:hint="eastAsia"/>
        </w:rPr>
        <w:t>点击“数据中心 &gt; 日志中心 &gt;</w:t>
      </w:r>
      <w:r>
        <w:t xml:space="preserve"> </w:t>
      </w:r>
      <w:r>
        <w:rPr>
          <w:rFonts w:hint="eastAsia"/>
        </w:rPr>
        <w:t>安全日志 &gt;</w:t>
      </w:r>
      <w:r>
        <w:t xml:space="preserve"> </w:t>
      </w:r>
      <w:r>
        <w:rPr>
          <w:rFonts w:hint="eastAsia"/>
        </w:rPr>
        <w:t>病毒防护日志”，进入病毒防护日志的查询界面，如下图所示。</w:t>
      </w:r>
    </w:p>
    <w:p w14:paraId="41D07B9A">
      <w:pPr>
        <w:pStyle w:val="188"/>
      </w:pPr>
      <w:r>
        <w:rPr>
          <w:rFonts w:hint="eastAsia"/>
        </w:rPr>
        <w:t>病毒防护日志查询页面</w:t>
      </w:r>
    </w:p>
    <w:p w14:paraId="7622A22D">
      <w:pPr>
        <w:pStyle w:val="175"/>
      </w:pPr>
      <w:r>
        <w:drawing>
          <wp:inline distT="0" distB="0" distL="0" distR="0">
            <wp:extent cx="6120765" cy="1554480"/>
            <wp:effectExtent l="0" t="0" r="0" b="7620"/>
            <wp:docPr id="604" name="图片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604"/>
                    <pic:cNvPicPr>
                      <a:picLocks noChangeAspect="1"/>
                    </pic:cNvPicPr>
                  </pic:nvPicPr>
                  <pic:blipFill>
                    <a:blip r:embed="rId183"/>
                    <a:stretch>
                      <a:fillRect/>
                    </a:stretch>
                  </pic:blipFill>
                  <pic:spPr>
                    <a:xfrm>
                      <a:off x="0" y="0"/>
                      <a:ext cx="6120765" cy="1554480"/>
                    </a:xfrm>
                    <a:prstGeom prst="rect">
                      <a:avLst/>
                    </a:prstGeom>
                  </pic:spPr>
                </pic:pic>
              </a:graphicData>
            </a:graphic>
          </wp:inline>
        </w:drawing>
      </w:r>
    </w:p>
    <w:p w14:paraId="29B49362"/>
    <w:p w14:paraId="0F86D3F9">
      <w:r>
        <w:rPr>
          <w:rFonts w:hint="eastAsia"/>
        </w:rPr>
        <w:t>点击</w:t>
      </w:r>
      <w:r>
        <w:t>&lt;</w:t>
      </w:r>
      <w:r>
        <w:rPr>
          <w:rFonts w:hint="eastAsia"/>
        </w:rPr>
        <w:t>查询</w:t>
      </w:r>
      <w:r>
        <w:t>&gt;</w:t>
      </w:r>
      <w:r>
        <w:rPr>
          <w:rFonts w:hint="eastAsia"/>
        </w:rPr>
        <w:t>按钮之后，可以查询符合设置条件的日志。</w:t>
      </w:r>
    </w:p>
    <w:p w14:paraId="427EA1DE">
      <w:pPr>
        <w:pStyle w:val="202"/>
      </w:pPr>
      <w:bookmarkStart w:id="1120" w:name="_Toc15402520"/>
      <w:r>
        <w:rPr>
          <w:rFonts w:hint="eastAsia"/>
        </w:rPr>
        <w:t>WEB防护日志</w:t>
      </w:r>
    </w:p>
    <w:p w14:paraId="0F149426">
      <w:pPr>
        <w:pStyle w:val="183"/>
      </w:pPr>
      <w:r>
        <w:rPr>
          <w:rFonts w:hint="eastAsia"/>
        </w:rPr>
        <w:t>规则防护日志</w:t>
      </w:r>
      <w:bookmarkEnd w:id="1120"/>
    </w:p>
    <w:p w14:paraId="238428C2">
      <w:r>
        <w:rPr>
          <w:rFonts w:hint="eastAsia"/>
        </w:rPr>
        <w:t>WEB防护日志记录着针对网络的WEB攻击行为。点击“数据中心 &gt; 日志中心 &gt;</w:t>
      </w:r>
      <w:r>
        <w:t xml:space="preserve"> </w:t>
      </w:r>
      <w:r>
        <w:rPr>
          <w:rFonts w:hint="eastAsia"/>
        </w:rPr>
        <w:t>安全日志 &gt;</w:t>
      </w:r>
      <w:r>
        <w:t xml:space="preserve"> </w:t>
      </w:r>
      <w:r>
        <w:rPr>
          <w:rFonts w:hint="eastAsia"/>
        </w:rPr>
        <w:t>WEB防护日志”，进入WEB防护日志的查询界面，如</w:t>
      </w:r>
      <w:r>
        <w:fldChar w:fldCharType="begin"/>
      </w:r>
      <w:r>
        <w:instrText xml:space="preserve"> </w:instrText>
      </w:r>
      <w:r>
        <w:rPr>
          <w:rFonts w:hint="eastAsia"/>
        </w:rPr>
        <w:instrText xml:space="preserve">REF _Ref15401470 \r \h</w:instrText>
      </w:r>
      <w:r>
        <w:instrText xml:space="preserve"> </w:instrText>
      </w:r>
      <w:r>
        <w:fldChar w:fldCharType="separate"/>
      </w:r>
      <w:r>
        <w:rPr>
          <w:rFonts w:hint="eastAsia"/>
        </w:rPr>
        <w:t>图5-29</w:t>
      </w:r>
      <w:r>
        <w:fldChar w:fldCharType="end"/>
      </w:r>
      <w:r>
        <w:rPr>
          <w:rFonts w:hint="eastAsia"/>
        </w:rPr>
        <w:t>所示。</w:t>
      </w:r>
    </w:p>
    <w:p w14:paraId="201C61BC">
      <w:pPr>
        <w:pStyle w:val="188"/>
      </w:pPr>
      <w:bookmarkStart w:id="1121" w:name="_Ref15401470"/>
      <w:r>
        <w:rPr>
          <w:rFonts w:hint="eastAsia"/>
        </w:rPr>
        <w:t>规则防护日志查询页面</w:t>
      </w:r>
      <w:bookmarkEnd w:id="1121"/>
    </w:p>
    <w:p w14:paraId="7BDE392B">
      <w:pPr>
        <w:pStyle w:val="175"/>
      </w:pPr>
      <w:r>
        <w:drawing>
          <wp:inline distT="0" distB="0" distL="0" distR="0">
            <wp:extent cx="5711190" cy="1243330"/>
            <wp:effectExtent l="0" t="0" r="381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184"/>
                    <a:stretch>
                      <a:fillRect/>
                    </a:stretch>
                  </pic:blipFill>
                  <pic:spPr>
                    <a:xfrm>
                      <a:off x="0" y="0"/>
                      <a:ext cx="5719513" cy="1245488"/>
                    </a:xfrm>
                    <a:prstGeom prst="rect">
                      <a:avLst/>
                    </a:prstGeom>
                  </pic:spPr>
                </pic:pic>
              </a:graphicData>
            </a:graphic>
          </wp:inline>
        </w:drawing>
      </w:r>
    </w:p>
    <w:p w14:paraId="17441897"/>
    <w:p w14:paraId="2A7016F9">
      <w:r>
        <w:rPr>
          <w:rFonts w:hint="eastAsia"/>
        </w:rPr>
        <w:t>点击</w:t>
      </w:r>
      <w:r>
        <w:t>&lt;</w:t>
      </w:r>
      <w:r>
        <w:rPr>
          <w:rFonts w:hint="eastAsia"/>
        </w:rPr>
        <w:t>查询</w:t>
      </w:r>
      <w:r>
        <w:t>&gt;</w:t>
      </w:r>
      <w:r>
        <w:rPr>
          <w:rFonts w:hint="eastAsia"/>
        </w:rPr>
        <w:t>按钮之后，可以查询符合设置条件的日志。</w:t>
      </w:r>
    </w:p>
    <w:p w14:paraId="6862B916">
      <w:r>
        <w:rPr>
          <w:rFonts w:hint="eastAsia"/>
        </w:rPr>
        <w:t>WEB高级防护日志记录着针对网络的高级防护攻击行为。点击“数据中心 &gt; 日志中心 &gt;</w:t>
      </w:r>
      <w:r>
        <w:t xml:space="preserve"> </w:t>
      </w:r>
      <w:r>
        <w:rPr>
          <w:rFonts w:hint="eastAsia"/>
        </w:rPr>
        <w:t>安全日志 &gt;</w:t>
      </w:r>
      <w:r>
        <w:t xml:space="preserve"> </w:t>
      </w:r>
      <w:r>
        <w:rPr>
          <w:rFonts w:hint="eastAsia"/>
        </w:rPr>
        <w:t>WEB防护日志&gt;高级防护日志”，进入高级防护日志的查询界面，如</w:t>
      </w:r>
      <w:r>
        <w:fldChar w:fldCharType="begin"/>
      </w:r>
      <w:r>
        <w:instrText xml:space="preserve"> </w:instrText>
      </w:r>
      <w:r>
        <w:rPr>
          <w:rFonts w:hint="eastAsia"/>
        </w:rPr>
        <w:instrText xml:space="preserve">REF _Ref15401550 \r \h</w:instrText>
      </w:r>
      <w:r>
        <w:instrText xml:space="preserve"> </w:instrText>
      </w:r>
      <w:r>
        <w:fldChar w:fldCharType="separate"/>
      </w:r>
      <w:r>
        <w:rPr>
          <w:rFonts w:hint="eastAsia"/>
        </w:rPr>
        <w:t>图5-30</w:t>
      </w:r>
      <w:r>
        <w:fldChar w:fldCharType="end"/>
      </w:r>
      <w:r>
        <w:rPr>
          <w:rFonts w:hint="eastAsia"/>
        </w:rPr>
        <w:t>所示。</w:t>
      </w:r>
    </w:p>
    <w:p w14:paraId="2E635E0E">
      <w:pPr>
        <w:pStyle w:val="188"/>
      </w:pPr>
      <w:bookmarkStart w:id="1122" w:name="_Ref15401550"/>
      <w:r>
        <w:rPr>
          <w:rFonts w:hint="eastAsia"/>
        </w:rPr>
        <w:t>高级防护日志查询页面</w:t>
      </w:r>
      <w:bookmarkEnd w:id="1122"/>
    </w:p>
    <w:p w14:paraId="351C097E">
      <w:pPr>
        <w:pStyle w:val="175"/>
      </w:pPr>
      <w:r>
        <w:drawing>
          <wp:inline distT="0" distB="0" distL="0" distR="0">
            <wp:extent cx="6120765" cy="1555115"/>
            <wp:effectExtent l="0" t="0" r="0" b="6985"/>
            <wp:docPr id="3171" name="图片 3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1" name="图片 3171"/>
                    <pic:cNvPicPr>
                      <a:picLocks noChangeAspect="1"/>
                    </pic:cNvPicPr>
                  </pic:nvPicPr>
                  <pic:blipFill>
                    <a:blip r:embed="rId185"/>
                    <a:stretch>
                      <a:fillRect/>
                    </a:stretch>
                  </pic:blipFill>
                  <pic:spPr>
                    <a:xfrm>
                      <a:off x="0" y="0"/>
                      <a:ext cx="6120765" cy="1555115"/>
                    </a:xfrm>
                    <a:prstGeom prst="rect">
                      <a:avLst/>
                    </a:prstGeom>
                  </pic:spPr>
                </pic:pic>
              </a:graphicData>
            </a:graphic>
          </wp:inline>
        </w:drawing>
      </w:r>
    </w:p>
    <w:p w14:paraId="0FA4E86A"/>
    <w:p w14:paraId="4474E27B">
      <w:r>
        <w:rPr>
          <w:rFonts w:hint="eastAsia"/>
        </w:rPr>
        <w:t>点击</w:t>
      </w:r>
      <w:r>
        <w:t>&lt;</w:t>
      </w:r>
      <w:r>
        <w:rPr>
          <w:rFonts w:hint="eastAsia"/>
        </w:rPr>
        <w:t>查询</w:t>
      </w:r>
      <w:r>
        <w:t>&gt;</w:t>
      </w:r>
      <w:r>
        <w:rPr>
          <w:rFonts w:hint="eastAsia"/>
        </w:rPr>
        <w:t>按钮之后，可以查询符合设置条件的日志。</w:t>
      </w:r>
    </w:p>
    <w:p w14:paraId="53215675">
      <w:pPr>
        <w:pStyle w:val="202"/>
      </w:pPr>
      <w:r>
        <w:rPr>
          <w:rFonts w:hint="eastAsia"/>
        </w:rPr>
        <w:t>防暴力破解日志</w:t>
      </w:r>
    </w:p>
    <w:p w14:paraId="40FEB52C">
      <w:r>
        <w:rPr>
          <w:rFonts w:hint="eastAsia"/>
        </w:rPr>
        <w:t>防暴力破解日志记录着针对网络的防暴力破解攻击行为。点击“数据中心 &gt; 日志中心 &gt;</w:t>
      </w:r>
      <w:r>
        <w:t xml:space="preserve"> </w:t>
      </w:r>
      <w:r>
        <w:rPr>
          <w:rFonts w:hint="eastAsia"/>
        </w:rPr>
        <w:t>安全日志 &gt;</w:t>
      </w:r>
      <w:r>
        <w:t xml:space="preserve"> </w:t>
      </w:r>
      <w:r>
        <w:rPr>
          <w:rFonts w:hint="eastAsia"/>
        </w:rPr>
        <w:t>防暴力破解日志”，进入防暴力破解日志的查询界面，如</w:t>
      </w:r>
      <w:r>
        <w:fldChar w:fldCharType="begin"/>
      </w:r>
      <w:r>
        <w:instrText xml:space="preserve"> </w:instrText>
      </w:r>
      <w:r>
        <w:rPr>
          <w:rFonts w:hint="eastAsia"/>
        </w:rPr>
        <w:instrText xml:space="preserve">REF _Ref15402270 \r \h</w:instrText>
      </w:r>
      <w:r>
        <w:instrText xml:space="preserve"> </w:instrText>
      </w:r>
      <w:r>
        <w:fldChar w:fldCharType="separate"/>
      </w:r>
      <w:r>
        <w:rPr>
          <w:rFonts w:hint="eastAsia"/>
        </w:rPr>
        <w:t>图5-31</w:t>
      </w:r>
      <w:r>
        <w:fldChar w:fldCharType="end"/>
      </w:r>
      <w:r>
        <w:rPr>
          <w:rFonts w:hint="eastAsia"/>
        </w:rPr>
        <w:t>所示。</w:t>
      </w:r>
    </w:p>
    <w:p w14:paraId="06793DB1">
      <w:pPr>
        <w:pStyle w:val="188"/>
      </w:pPr>
      <w:bookmarkStart w:id="1123" w:name="_Ref15402270"/>
      <w:r>
        <w:rPr>
          <w:rFonts w:hint="eastAsia"/>
        </w:rPr>
        <w:t>防暴力破解日志查询页面</w:t>
      </w:r>
      <w:bookmarkEnd w:id="1123"/>
    </w:p>
    <w:p w14:paraId="74406792">
      <w:pPr>
        <w:pStyle w:val="175"/>
      </w:pPr>
      <w:r>
        <w:drawing>
          <wp:inline distT="0" distB="0" distL="0" distR="0">
            <wp:extent cx="6120765" cy="1589405"/>
            <wp:effectExtent l="0" t="0" r="0" b="0"/>
            <wp:docPr id="3172" name="图片 3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2" name="图片 3172"/>
                    <pic:cNvPicPr>
                      <a:picLocks noChangeAspect="1"/>
                    </pic:cNvPicPr>
                  </pic:nvPicPr>
                  <pic:blipFill>
                    <a:blip r:embed="rId186"/>
                    <a:stretch>
                      <a:fillRect/>
                    </a:stretch>
                  </pic:blipFill>
                  <pic:spPr>
                    <a:xfrm>
                      <a:off x="0" y="0"/>
                      <a:ext cx="6120765" cy="1589405"/>
                    </a:xfrm>
                    <a:prstGeom prst="rect">
                      <a:avLst/>
                    </a:prstGeom>
                  </pic:spPr>
                </pic:pic>
              </a:graphicData>
            </a:graphic>
          </wp:inline>
        </w:drawing>
      </w:r>
    </w:p>
    <w:p w14:paraId="65D235B0"/>
    <w:p w14:paraId="4C627F46">
      <w:r>
        <w:rPr>
          <w:rFonts w:hint="eastAsia"/>
        </w:rPr>
        <w:t>点击</w:t>
      </w:r>
      <w:r>
        <w:t>&lt;</w:t>
      </w:r>
      <w:r>
        <w:rPr>
          <w:rFonts w:hint="eastAsia"/>
        </w:rPr>
        <w:t>查询</w:t>
      </w:r>
      <w:r>
        <w:t>&gt;</w:t>
      </w:r>
      <w:r>
        <w:rPr>
          <w:rFonts w:hint="eastAsia"/>
        </w:rPr>
        <w:t>按钮之后，可以查询符合设置条件的日志。</w:t>
      </w:r>
    </w:p>
    <w:p w14:paraId="79B96E34">
      <w:pPr>
        <w:pStyle w:val="202"/>
      </w:pPr>
      <w:bookmarkStart w:id="1124" w:name="_Toc15402526"/>
      <w:r>
        <w:rPr>
          <w:rFonts w:hint="eastAsia"/>
        </w:rPr>
        <w:t>弱密码防护日志</w:t>
      </w:r>
      <w:bookmarkEnd w:id="1124"/>
    </w:p>
    <w:p w14:paraId="59C5AF8F">
      <w:r>
        <w:rPr>
          <w:rFonts w:hint="eastAsia"/>
        </w:rPr>
        <w:t>弱密码防护日志记录着针对网络的弱密码防护行为。点击“数据中心 &gt; 日志中心 &gt;</w:t>
      </w:r>
      <w:r>
        <w:t xml:space="preserve"> </w:t>
      </w:r>
      <w:r>
        <w:rPr>
          <w:rFonts w:hint="eastAsia"/>
        </w:rPr>
        <w:t>安全日志 &gt;</w:t>
      </w:r>
      <w:r>
        <w:t xml:space="preserve"> </w:t>
      </w:r>
      <w:r>
        <w:rPr>
          <w:rFonts w:hint="eastAsia"/>
        </w:rPr>
        <w:t>弱密码防护日志”，进入弱密码防护日志的查询界面，如</w:t>
      </w:r>
      <w:r>
        <w:fldChar w:fldCharType="begin"/>
      </w:r>
      <w:r>
        <w:instrText xml:space="preserve"> </w:instrText>
      </w:r>
      <w:r>
        <w:rPr>
          <w:rFonts w:hint="eastAsia"/>
        </w:rPr>
        <w:instrText xml:space="preserve">REF _Ref15402330 \r \h</w:instrText>
      </w:r>
      <w:r>
        <w:instrText xml:space="preserve"> </w:instrText>
      </w:r>
      <w:r>
        <w:fldChar w:fldCharType="separate"/>
      </w:r>
      <w:r>
        <w:rPr>
          <w:rFonts w:hint="eastAsia"/>
        </w:rPr>
        <w:t>图5-32</w:t>
      </w:r>
      <w:r>
        <w:fldChar w:fldCharType="end"/>
      </w:r>
      <w:r>
        <w:rPr>
          <w:rFonts w:hint="eastAsia"/>
        </w:rPr>
        <w:t>所示。</w:t>
      </w:r>
    </w:p>
    <w:p w14:paraId="0FECE5BB">
      <w:pPr>
        <w:pStyle w:val="188"/>
      </w:pPr>
      <w:bookmarkStart w:id="1125" w:name="_Ref15402330"/>
      <w:r>
        <w:rPr>
          <w:rFonts w:hint="eastAsia"/>
        </w:rPr>
        <w:t>弱密码防护日志查询页面</w:t>
      </w:r>
      <w:bookmarkEnd w:id="1125"/>
    </w:p>
    <w:p w14:paraId="0E35F62D">
      <w:pPr>
        <w:pStyle w:val="175"/>
      </w:pPr>
      <w:r>
        <w:drawing>
          <wp:inline distT="0" distB="0" distL="0" distR="0">
            <wp:extent cx="6120765" cy="1735455"/>
            <wp:effectExtent l="0" t="0" r="0" b="0"/>
            <wp:docPr id="3173" name="图片 3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3" name="图片 3173"/>
                    <pic:cNvPicPr>
                      <a:picLocks noChangeAspect="1"/>
                    </pic:cNvPicPr>
                  </pic:nvPicPr>
                  <pic:blipFill>
                    <a:blip r:embed="rId187"/>
                    <a:stretch>
                      <a:fillRect/>
                    </a:stretch>
                  </pic:blipFill>
                  <pic:spPr>
                    <a:xfrm>
                      <a:off x="0" y="0"/>
                      <a:ext cx="6120765" cy="1735455"/>
                    </a:xfrm>
                    <a:prstGeom prst="rect">
                      <a:avLst/>
                    </a:prstGeom>
                  </pic:spPr>
                </pic:pic>
              </a:graphicData>
            </a:graphic>
          </wp:inline>
        </w:drawing>
      </w:r>
    </w:p>
    <w:p w14:paraId="4731DB83"/>
    <w:p w14:paraId="5EBF0F26">
      <w:r>
        <w:rPr>
          <w:rFonts w:hint="eastAsia"/>
        </w:rPr>
        <w:t>点击</w:t>
      </w:r>
      <w:r>
        <w:t>&lt;</w:t>
      </w:r>
      <w:r>
        <w:rPr>
          <w:rFonts w:hint="eastAsia"/>
        </w:rPr>
        <w:t>查询</w:t>
      </w:r>
      <w:r>
        <w:t>&gt;</w:t>
      </w:r>
      <w:r>
        <w:rPr>
          <w:rFonts w:hint="eastAsia"/>
        </w:rPr>
        <w:t>按钮之后，可以查询符合设置条件的日志。</w:t>
      </w:r>
    </w:p>
    <w:p w14:paraId="62B5077C">
      <w:pPr>
        <w:pStyle w:val="202"/>
      </w:pPr>
      <w:bookmarkStart w:id="1126" w:name="_Toc15402525"/>
      <w:bookmarkStart w:id="1127" w:name="_Toc15402524"/>
      <w:r>
        <w:rPr>
          <w:rFonts w:hint="eastAsia"/>
        </w:rPr>
        <w:t>行为模型日志</w:t>
      </w:r>
    </w:p>
    <w:p w14:paraId="55ED025A">
      <w:r>
        <w:rPr>
          <w:rFonts w:hint="eastAsia"/>
        </w:rPr>
        <w:t>行为模型日志记录着针对网络的行为模型攻击行为。在“策略配置 &gt; 安全设置 &gt; 安全防护 &gt; 行为模型”中，配置，开启DNS隧道检测，且勾选“日志”。当检测出来隧道攻击后，设备将会产生行为模型日志。详情请参见“安全防护”章节。</w:t>
      </w:r>
    </w:p>
    <w:p w14:paraId="00801C87">
      <w:r>
        <w:rPr>
          <w:rFonts w:hint="eastAsia"/>
        </w:rPr>
        <w:t>点击“数据中心 &gt; 日志中心 &gt;</w:t>
      </w:r>
      <w:r>
        <w:t xml:space="preserve"> </w:t>
      </w:r>
      <w:r>
        <w:rPr>
          <w:rFonts w:hint="eastAsia"/>
        </w:rPr>
        <w:t>安全日志 &gt;</w:t>
      </w:r>
      <w:r>
        <w:t xml:space="preserve"> </w:t>
      </w:r>
      <w:r>
        <w:rPr>
          <w:rFonts w:hint="eastAsia"/>
        </w:rPr>
        <w:t>行为模型日志”，进入行为模型日志的查询界面，如</w:t>
      </w:r>
      <w:r>
        <w:fldChar w:fldCharType="begin"/>
      </w:r>
      <w:r>
        <w:instrText xml:space="preserve"> </w:instrText>
      </w:r>
      <w:r>
        <w:rPr>
          <w:rFonts w:hint="eastAsia"/>
        </w:rPr>
        <w:instrText xml:space="preserve">REF _Ref15401778 \r \h</w:instrText>
      </w:r>
      <w:r>
        <w:instrText xml:space="preserve"> </w:instrText>
      </w:r>
      <w:r>
        <w:fldChar w:fldCharType="separate"/>
      </w:r>
      <w:r>
        <w:rPr>
          <w:rFonts w:hint="eastAsia"/>
        </w:rPr>
        <w:t>图5-33</w:t>
      </w:r>
      <w:r>
        <w:fldChar w:fldCharType="end"/>
      </w:r>
      <w:r>
        <w:rPr>
          <w:rFonts w:hint="eastAsia"/>
        </w:rPr>
        <w:t>所示。</w:t>
      </w:r>
    </w:p>
    <w:p w14:paraId="4DD314C0">
      <w:pPr>
        <w:pStyle w:val="188"/>
      </w:pPr>
      <w:bookmarkStart w:id="1128" w:name="_Ref15401778"/>
      <w:r>
        <w:rPr>
          <w:rFonts w:hint="eastAsia"/>
        </w:rPr>
        <w:t>行为模型日志查询页面</w:t>
      </w:r>
      <w:bookmarkEnd w:id="1128"/>
    </w:p>
    <w:p w14:paraId="35CFDBF3">
      <w:pPr>
        <w:pStyle w:val="175"/>
      </w:pPr>
      <w:r>
        <w:drawing>
          <wp:inline distT="0" distB="0" distL="0" distR="0">
            <wp:extent cx="6120765" cy="1588135"/>
            <wp:effectExtent l="0" t="0" r="0" b="0"/>
            <wp:docPr id="3174" name="图片 3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 name="图片 3174"/>
                    <pic:cNvPicPr>
                      <a:picLocks noChangeAspect="1"/>
                    </pic:cNvPicPr>
                  </pic:nvPicPr>
                  <pic:blipFill>
                    <a:blip r:embed="rId188"/>
                    <a:stretch>
                      <a:fillRect/>
                    </a:stretch>
                  </pic:blipFill>
                  <pic:spPr>
                    <a:xfrm>
                      <a:off x="0" y="0"/>
                      <a:ext cx="6120765" cy="1588135"/>
                    </a:xfrm>
                    <a:prstGeom prst="rect">
                      <a:avLst/>
                    </a:prstGeom>
                  </pic:spPr>
                </pic:pic>
              </a:graphicData>
            </a:graphic>
          </wp:inline>
        </w:drawing>
      </w:r>
    </w:p>
    <w:p w14:paraId="0235C230"/>
    <w:p w14:paraId="636754CC">
      <w:r>
        <w:rPr>
          <w:rFonts w:hint="eastAsia"/>
        </w:rPr>
        <w:t>点击</w:t>
      </w:r>
      <w:r>
        <w:t>&lt;</w:t>
      </w:r>
      <w:r>
        <w:rPr>
          <w:rFonts w:hint="eastAsia"/>
        </w:rPr>
        <w:t>查询</w:t>
      </w:r>
      <w:r>
        <w:t>&gt;</w:t>
      </w:r>
      <w:r>
        <w:rPr>
          <w:rFonts w:hint="eastAsia"/>
        </w:rPr>
        <w:t>按钮之后，可以查询符合设置条件的日志。</w:t>
      </w:r>
    </w:p>
    <w:bookmarkEnd w:id="1126"/>
    <w:bookmarkEnd w:id="1127"/>
    <w:p w14:paraId="0E2CFA25">
      <w:pPr>
        <w:pStyle w:val="202"/>
      </w:pPr>
      <w:bookmarkStart w:id="1129" w:name="_Toc15402527"/>
      <w:r>
        <w:rPr>
          <w:rFonts w:hint="eastAsia"/>
        </w:rPr>
        <w:t>非法外联防护日志</w:t>
      </w:r>
      <w:bookmarkEnd w:id="1129"/>
    </w:p>
    <w:p w14:paraId="6E85145D">
      <w:r>
        <w:rPr>
          <w:rFonts w:hint="eastAsia"/>
        </w:rPr>
        <w:t>非法外联防护日志记录着针对网络的非法外联防护攻击行为。点击“数据中心 &gt; 日志中心 &gt;</w:t>
      </w:r>
      <w:r>
        <w:t xml:space="preserve"> </w:t>
      </w:r>
      <w:r>
        <w:rPr>
          <w:rFonts w:hint="eastAsia"/>
        </w:rPr>
        <w:t>安全日志 &gt;非法外联防护日志”，进入非法外联防护日志的查询界面，如</w:t>
      </w:r>
      <w:r>
        <w:fldChar w:fldCharType="begin"/>
      </w:r>
      <w:r>
        <w:instrText xml:space="preserve"> </w:instrText>
      </w:r>
      <w:r>
        <w:rPr>
          <w:rFonts w:hint="eastAsia"/>
        </w:rPr>
        <w:instrText xml:space="preserve">REF _Ref15402381 \r \h</w:instrText>
      </w:r>
      <w:r>
        <w:instrText xml:space="preserve"> </w:instrText>
      </w:r>
      <w:r>
        <w:fldChar w:fldCharType="separate"/>
      </w:r>
      <w:r>
        <w:rPr>
          <w:rFonts w:hint="eastAsia"/>
        </w:rPr>
        <w:t>图5-34</w:t>
      </w:r>
      <w:r>
        <w:fldChar w:fldCharType="end"/>
      </w:r>
      <w:r>
        <w:rPr>
          <w:rFonts w:hint="eastAsia"/>
        </w:rPr>
        <w:t>所示。</w:t>
      </w:r>
    </w:p>
    <w:p w14:paraId="026B1319">
      <w:pPr>
        <w:pStyle w:val="188"/>
      </w:pPr>
      <w:bookmarkStart w:id="1130" w:name="_Ref15402381"/>
      <w:r>
        <w:rPr>
          <w:rFonts w:hint="eastAsia"/>
        </w:rPr>
        <w:t>非法外联防护日志查询页面</w:t>
      </w:r>
      <w:bookmarkEnd w:id="1130"/>
    </w:p>
    <w:p w14:paraId="60C85B5B">
      <w:pPr>
        <w:pStyle w:val="175"/>
      </w:pPr>
      <w:r>
        <w:drawing>
          <wp:inline distT="0" distB="0" distL="0" distR="0">
            <wp:extent cx="5796915" cy="1506855"/>
            <wp:effectExtent l="0" t="0" r="0" b="0"/>
            <wp:docPr id="3175" name="图片 3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 name="图片 3175"/>
                    <pic:cNvPicPr>
                      <a:picLocks noChangeAspect="1"/>
                    </pic:cNvPicPr>
                  </pic:nvPicPr>
                  <pic:blipFill>
                    <a:blip r:embed="rId189"/>
                    <a:stretch>
                      <a:fillRect/>
                    </a:stretch>
                  </pic:blipFill>
                  <pic:spPr>
                    <a:xfrm>
                      <a:off x="0" y="0"/>
                      <a:ext cx="5811830" cy="1510992"/>
                    </a:xfrm>
                    <a:prstGeom prst="rect">
                      <a:avLst/>
                    </a:prstGeom>
                  </pic:spPr>
                </pic:pic>
              </a:graphicData>
            </a:graphic>
          </wp:inline>
        </w:drawing>
      </w:r>
    </w:p>
    <w:p w14:paraId="01659186"/>
    <w:p w14:paraId="308C7588">
      <w:r>
        <w:rPr>
          <w:rFonts w:hint="eastAsia"/>
        </w:rPr>
        <w:t>点击</w:t>
      </w:r>
      <w:r>
        <w:t>&lt;</w:t>
      </w:r>
      <w:r>
        <w:rPr>
          <w:rFonts w:hint="eastAsia"/>
        </w:rPr>
        <w:t>查询</w:t>
      </w:r>
      <w:r>
        <w:t>&gt;</w:t>
      </w:r>
      <w:r>
        <w:rPr>
          <w:rFonts w:hint="eastAsia"/>
        </w:rPr>
        <w:t>按钮之后，可以查询符合设置条件的日志。</w:t>
      </w:r>
    </w:p>
    <w:bookmarkEnd w:id="1118"/>
    <w:p w14:paraId="7E8A90C9">
      <w:pPr>
        <w:pStyle w:val="6"/>
      </w:pPr>
      <w:bookmarkStart w:id="1131" w:name="_Toc143011039"/>
      <w:bookmarkStart w:id="1132" w:name="_Toc172218008"/>
      <w:r>
        <w:t>终端日志</w:t>
      </w:r>
      <w:bookmarkEnd w:id="1131"/>
      <w:bookmarkEnd w:id="1132"/>
    </w:p>
    <w:p w14:paraId="24E17272">
      <w:pPr>
        <w:pStyle w:val="202"/>
      </w:pPr>
      <w:r>
        <w:rPr>
          <w:rFonts w:hint="eastAsia"/>
        </w:rPr>
        <w:t>共享接入日志</w:t>
      </w:r>
    </w:p>
    <w:p w14:paraId="77F049F7">
      <w:r>
        <w:rPr>
          <w:rFonts w:hint="eastAsia"/>
        </w:rPr>
        <w:t>通过“策略配置 &gt; 共享接入管理”开启用户共享检测，并选择“发送日志”在“系统管理 &gt; 系统设定 &gt; 日志设定 &gt; 日志过滤”中，配置发送“共享接入日志”。当设备检测到用户在PC启用共享上网功能，接入多个移动终端上网，达到共享接入移动终端阈值被阻断或限速时，将会产生对应的共享接入日志信息。详细配置请参见“共享接入管理”章节。</w:t>
      </w:r>
    </w:p>
    <w:p w14:paraId="58527EAB">
      <w:r>
        <w:rPr>
          <w:rFonts w:hint="eastAsia"/>
        </w:rPr>
        <w:t>选择“数据中心 &gt; 日志中心 &gt; 终端日志</w:t>
      </w:r>
      <w:r>
        <w:t xml:space="preserve"> &gt; </w:t>
      </w:r>
      <w:r>
        <w:rPr>
          <w:rFonts w:hint="eastAsia"/>
        </w:rPr>
        <w:t>共享</w:t>
      </w:r>
      <w:r>
        <w:t>接入</w:t>
      </w:r>
      <w:r>
        <w:rPr>
          <w:rFonts w:hint="eastAsia"/>
        </w:rPr>
        <w:t>日志”，进入共享</w:t>
      </w:r>
      <w:r>
        <w:t>接入</w:t>
      </w:r>
      <w:r>
        <w:rPr>
          <w:rFonts w:hint="eastAsia"/>
        </w:rPr>
        <w:t>日志页面，可以查看设备监控共享上网被</w:t>
      </w:r>
      <w:r>
        <w:t>惩罚阻断或限速的日志</w:t>
      </w:r>
      <w:r>
        <w:rPr>
          <w:rFonts w:hint="eastAsia"/>
        </w:rPr>
        <w:t>。</w:t>
      </w:r>
    </w:p>
    <w:p w14:paraId="6FD23C5C">
      <w:pPr>
        <w:pStyle w:val="188"/>
      </w:pPr>
      <w:r>
        <w:rPr>
          <w:rFonts w:hint="eastAsia"/>
        </w:rPr>
        <w:t>共享</w:t>
      </w:r>
      <w:r>
        <w:t>接入</w:t>
      </w:r>
      <w:r>
        <w:rPr>
          <w:rFonts w:hint="eastAsia"/>
        </w:rPr>
        <w:t>日志</w:t>
      </w:r>
    </w:p>
    <w:p w14:paraId="6F62983E">
      <w:pPr>
        <w:pStyle w:val="175"/>
      </w:pPr>
      <w:r>
        <w:drawing>
          <wp:inline distT="0" distB="0" distL="0" distR="0">
            <wp:extent cx="5577840" cy="1459865"/>
            <wp:effectExtent l="0" t="0" r="3810" b="6985"/>
            <wp:docPr id="3176" name="图片 3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6" name="图片 3176"/>
                    <pic:cNvPicPr>
                      <a:picLocks noChangeAspect="1"/>
                    </pic:cNvPicPr>
                  </pic:nvPicPr>
                  <pic:blipFill>
                    <a:blip r:embed="rId190"/>
                    <a:stretch>
                      <a:fillRect/>
                    </a:stretch>
                  </pic:blipFill>
                  <pic:spPr>
                    <a:xfrm>
                      <a:off x="0" y="0"/>
                      <a:ext cx="5589195" cy="1462967"/>
                    </a:xfrm>
                    <a:prstGeom prst="rect">
                      <a:avLst/>
                    </a:prstGeom>
                  </pic:spPr>
                </pic:pic>
              </a:graphicData>
            </a:graphic>
          </wp:inline>
        </w:drawing>
      </w:r>
    </w:p>
    <w:p w14:paraId="3477886C"/>
    <w:p w14:paraId="68B9617C">
      <w:pPr>
        <w:pStyle w:val="202"/>
      </w:pPr>
      <w:r>
        <w:t>用户上下线日志</w:t>
      </w:r>
    </w:p>
    <w:p w14:paraId="2ADDD27A">
      <w:r>
        <w:rPr>
          <w:rFonts w:hint="eastAsia"/>
        </w:rPr>
        <w:t>用户上下线日志记录认证用户上下线的日志信息，如果配置了用户认证策略，且在“系统管理 &gt; 系统设定 &gt; 日志设定 &gt; 日志过滤”中，配置发送或记录“用户上下线日志”。当用户通过对应的认证方式认证上线或下线时，将会产生相关的用户上下线日志信息。</w:t>
      </w:r>
    </w:p>
    <w:p w14:paraId="1AE05289">
      <w:r>
        <w:rPr>
          <w:rFonts w:hint="eastAsia"/>
        </w:rPr>
        <w:t xml:space="preserve">点击“数据中心 &gt; 日志中心 &gt; </w:t>
      </w:r>
      <w:r>
        <w:t>终端日志</w:t>
      </w:r>
      <w:r>
        <w:rPr>
          <w:rFonts w:hint="eastAsia"/>
        </w:rPr>
        <w:t xml:space="preserve"> &gt; 用户上下线日志”，进入用户上下线日志日志的查询界面，如</w:t>
      </w:r>
      <w:r>
        <w:rPr>
          <w:color w:val="0000FF"/>
          <w:u w:val="single"/>
        </w:rPr>
        <w:fldChar w:fldCharType="begin"/>
      </w:r>
      <w:r>
        <w:rPr>
          <w:color w:val="0000FF"/>
          <w:u w:val="single"/>
        </w:rPr>
        <w:instrText xml:space="preserve">  REF _Ref5725091 \r \h  \* MERGEFORMAT </w:instrText>
      </w:r>
      <w:r>
        <w:rPr>
          <w:color w:val="0000FF"/>
          <w:u w:val="single"/>
        </w:rPr>
        <w:fldChar w:fldCharType="separate"/>
      </w:r>
      <w:r>
        <w:rPr>
          <w:rFonts w:hint="eastAsia"/>
          <w:color w:val="0000FF"/>
          <w:u w:val="single"/>
        </w:rPr>
        <w:t>图5-36</w:t>
      </w:r>
      <w:r>
        <w:rPr>
          <w:color w:val="0000FF"/>
          <w:u w:val="single"/>
        </w:rPr>
        <w:fldChar w:fldCharType="end"/>
      </w:r>
      <w:r>
        <w:rPr>
          <w:rFonts w:hint="eastAsia"/>
        </w:rPr>
        <w:t>所示。</w:t>
      </w:r>
    </w:p>
    <w:p w14:paraId="2ACB1ECC">
      <w:pPr>
        <w:pStyle w:val="188"/>
      </w:pPr>
      <w:bookmarkStart w:id="1133" w:name="_Ref5725091"/>
      <w:r>
        <w:rPr>
          <w:rFonts w:hint="eastAsia"/>
        </w:rPr>
        <w:t>用户上下线日志查询页面</w:t>
      </w:r>
      <w:bookmarkEnd w:id="1133"/>
    </w:p>
    <w:p w14:paraId="4D694775">
      <w:pPr>
        <w:pStyle w:val="175"/>
      </w:pPr>
      <w:r>
        <w:drawing>
          <wp:inline distT="0" distB="0" distL="0" distR="0">
            <wp:extent cx="5400040" cy="1144270"/>
            <wp:effectExtent l="0" t="0" r="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191"/>
                    <a:stretch>
                      <a:fillRect/>
                    </a:stretch>
                  </pic:blipFill>
                  <pic:spPr>
                    <a:xfrm>
                      <a:off x="0" y="0"/>
                      <a:ext cx="5400040" cy="1144270"/>
                    </a:xfrm>
                    <a:prstGeom prst="rect">
                      <a:avLst/>
                    </a:prstGeom>
                  </pic:spPr>
                </pic:pic>
              </a:graphicData>
            </a:graphic>
          </wp:inline>
        </w:drawing>
      </w:r>
    </w:p>
    <w:p w14:paraId="5AE73B0E"/>
    <w:p w14:paraId="73D162F9">
      <w:r>
        <w:rPr>
          <w:rFonts w:hint="eastAsia"/>
        </w:rPr>
        <w:t>点击</w:t>
      </w:r>
      <w:r>
        <w:t>&lt;</w:t>
      </w:r>
      <w:r>
        <w:rPr>
          <w:rFonts w:hint="eastAsia"/>
        </w:rPr>
        <w:t>查询</w:t>
      </w:r>
      <w:r>
        <w:t>&gt;</w:t>
      </w:r>
      <w:r>
        <w:rPr>
          <w:rFonts w:hint="eastAsia"/>
        </w:rPr>
        <w:t>按钮之后，可以查询符合设置条件的日志。</w:t>
      </w:r>
    </w:p>
    <w:p w14:paraId="42CED0F6">
      <w:pPr>
        <w:pStyle w:val="202"/>
      </w:pPr>
      <w:r>
        <w:rPr>
          <w:rFonts w:hint="eastAsia"/>
        </w:rPr>
        <w:t>移动终端日志</w:t>
      </w:r>
    </w:p>
    <w:p w14:paraId="1333336E">
      <w:r>
        <w:rPr>
          <w:rFonts w:hint="eastAsia"/>
        </w:rPr>
        <w:t>通过“策略配置 &gt; 移动终端管理 &gt; 终端接入配置”配置启用移动终端管理，在“系统管理 &gt; 系统设定 &gt; 日志设定 &gt; 日志过滤”中，配置发送或记录“移动终端日志”。当设备检测到用户上网流量中有移动终端流量时，将会产生相关的移动终端日志信息。详细配置请参见“移动终端管理”章节。</w:t>
      </w:r>
    </w:p>
    <w:p w14:paraId="2E48B012">
      <w:r>
        <w:rPr>
          <w:rFonts w:hint="eastAsia"/>
        </w:rPr>
        <w:t>通过菜单“数据中心 &gt; 日志中心 &gt; 终端日志</w:t>
      </w:r>
      <w:r>
        <w:t xml:space="preserve"> &gt; </w:t>
      </w:r>
      <w:r>
        <w:rPr>
          <w:rFonts w:hint="eastAsia"/>
        </w:rPr>
        <w:t>移动终端日志”，进入如</w:t>
      </w:r>
      <w:r>
        <w:rPr>
          <w:color w:val="0000FF"/>
          <w:u w:val="single"/>
        </w:rPr>
        <w:fldChar w:fldCharType="begin"/>
      </w:r>
      <w:r>
        <w:rPr>
          <w:color w:val="0000FF"/>
          <w:u w:val="single"/>
        </w:rPr>
        <w:instrText xml:space="preserve">  REF _Ref5726806 \r \h  \* MERGEFORMAT </w:instrText>
      </w:r>
      <w:r>
        <w:rPr>
          <w:color w:val="0000FF"/>
          <w:u w:val="single"/>
        </w:rPr>
        <w:fldChar w:fldCharType="separate"/>
      </w:r>
      <w:r>
        <w:rPr>
          <w:rFonts w:hint="eastAsia"/>
          <w:color w:val="0000FF"/>
          <w:u w:val="single"/>
        </w:rPr>
        <w:t>图5-37</w:t>
      </w:r>
      <w:r>
        <w:rPr>
          <w:color w:val="0000FF"/>
          <w:u w:val="single"/>
        </w:rPr>
        <w:fldChar w:fldCharType="end"/>
      </w:r>
      <w:r>
        <w:rPr>
          <w:rFonts w:hint="eastAsia"/>
        </w:rPr>
        <w:t>所示页面。在该页面上可以查看移动终端接入</w:t>
      </w:r>
      <w:r>
        <w:t>的日志信息</w:t>
      </w:r>
      <w:r>
        <w:rPr>
          <w:rFonts w:hint="eastAsia"/>
        </w:rPr>
        <w:t>。</w:t>
      </w:r>
    </w:p>
    <w:p w14:paraId="3597635A">
      <w:pPr>
        <w:pStyle w:val="188"/>
      </w:pPr>
      <w:bookmarkStart w:id="1134" w:name="_Ref5726806"/>
      <w:r>
        <w:rPr>
          <w:rFonts w:hint="eastAsia"/>
        </w:rPr>
        <w:t>移动终端日志</w:t>
      </w:r>
      <w:bookmarkEnd w:id="1134"/>
    </w:p>
    <w:p w14:paraId="0BCB521C">
      <w:pPr>
        <w:pStyle w:val="175"/>
      </w:pPr>
      <w:r>
        <w:drawing>
          <wp:inline distT="0" distB="0" distL="0" distR="0">
            <wp:extent cx="5400040" cy="1144270"/>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191"/>
                    <a:stretch>
                      <a:fillRect/>
                    </a:stretch>
                  </pic:blipFill>
                  <pic:spPr>
                    <a:xfrm>
                      <a:off x="0" y="0"/>
                      <a:ext cx="5400040" cy="1144270"/>
                    </a:xfrm>
                    <a:prstGeom prst="rect">
                      <a:avLst/>
                    </a:prstGeom>
                  </pic:spPr>
                </pic:pic>
              </a:graphicData>
            </a:graphic>
          </wp:inline>
        </w:drawing>
      </w:r>
    </w:p>
    <w:p w14:paraId="1219AA8E"/>
    <w:p w14:paraId="7DB0CDC4">
      <w:pPr>
        <w:pStyle w:val="202"/>
      </w:pPr>
      <w:r>
        <w:rPr>
          <w:rFonts w:hint="eastAsia"/>
        </w:rPr>
        <w:t>流量限额日志</w:t>
      </w:r>
    </w:p>
    <w:p w14:paraId="02D2E3A6">
      <w:r>
        <w:rPr>
          <w:rFonts w:hint="eastAsia"/>
        </w:rPr>
        <w:t>流量限额日志是记录对用户流量或时长进行限制的日志。通过“策略配置 &gt; 用户限额策略”配置限额策略，在“系统管理 &gt; 系统设定 &gt; 日志设定 &gt; 日志过滤”中，配置记录或发送“流量限额日志”。当设备检测到用户上网的流量达到限额阈值时，将会产生相关的流量限额日志信息。详细配置请参见“限额策略”章节。</w:t>
      </w:r>
    </w:p>
    <w:p w14:paraId="6F740C20">
      <w:r>
        <w:rPr>
          <w:rFonts w:hint="eastAsia"/>
        </w:rPr>
        <w:t>通过菜单“数据中心 &gt; 日志中心 &gt; 终端日志</w:t>
      </w:r>
      <w:r>
        <w:t xml:space="preserve"> &gt; </w:t>
      </w:r>
      <w:r>
        <w:rPr>
          <w:rFonts w:hint="eastAsia"/>
        </w:rPr>
        <w:t>流量限额日志”，进入流量限额日志页面。在该页面上可以查看用户流量限额策略产生</w:t>
      </w:r>
      <w:r>
        <w:t>的日志信息</w:t>
      </w:r>
      <w:r>
        <w:rPr>
          <w:rFonts w:hint="eastAsia"/>
        </w:rPr>
        <w:t>。</w:t>
      </w:r>
    </w:p>
    <w:p w14:paraId="52022A00">
      <w:pPr>
        <w:pStyle w:val="188"/>
      </w:pPr>
      <w:r>
        <w:rPr>
          <w:rFonts w:hint="eastAsia"/>
        </w:rPr>
        <w:t>流量限额日志</w:t>
      </w:r>
    </w:p>
    <w:p w14:paraId="38123504">
      <w:pPr>
        <w:pStyle w:val="175"/>
      </w:pPr>
      <w:r>
        <w:drawing>
          <wp:inline distT="0" distB="0" distL="0" distR="0">
            <wp:extent cx="6120765" cy="1517650"/>
            <wp:effectExtent l="0" t="0" r="0" b="6350"/>
            <wp:docPr id="3179" name="图片 3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 name="图片 3179"/>
                    <pic:cNvPicPr>
                      <a:picLocks noChangeAspect="1"/>
                    </pic:cNvPicPr>
                  </pic:nvPicPr>
                  <pic:blipFill>
                    <a:blip r:embed="rId192"/>
                    <a:stretch>
                      <a:fillRect/>
                    </a:stretch>
                  </pic:blipFill>
                  <pic:spPr>
                    <a:xfrm>
                      <a:off x="0" y="0"/>
                      <a:ext cx="6120765" cy="1517650"/>
                    </a:xfrm>
                    <a:prstGeom prst="rect">
                      <a:avLst/>
                    </a:prstGeom>
                  </pic:spPr>
                </pic:pic>
              </a:graphicData>
            </a:graphic>
          </wp:inline>
        </w:drawing>
      </w:r>
    </w:p>
    <w:p w14:paraId="2D88AD53">
      <w:pPr>
        <w:pStyle w:val="202"/>
      </w:pPr>
      <w:bookmarkStart w:id="1135" w:name="_Toc256000065"/>
      <w:bookmarkStart w:id="1136" w:name="_ZH-CN_TOPIC_0000001372409420-chtext"/>
      <w:r>
        <w:t>DDI终端用户日志</w:t>
      </w:r>
      <w:bookmarkEnd w:id="1135"/>
      <w:bookmarkEnd w:id="1136"/>
    </w:p>
    <w:p w14:paraId="6F6E1EF1">
      <w:r>
        <w:t>进入“用户管理 &gt; 认证管理 &gt; 高级选项 &gt; 第三方用户同步 &gt; 其它用户同步”，勾选DDI终端用户启用（此功能依赖于第三方DDI服务器，需要服务器将终端型号信息同步给设备），当开启DDI终端用户同步，DDI设备将终端上下线信息同步给设备后会产生DDI终端用户日志。</w:t>
      </w:r>
    </w:p>
    <w:p w14:paraId="6EA602ED">
      <w:r>
        <w:t>选择“数据中心 &gt; 日志中心 &gt; 终端日志 &gt; DDI终端用户日志”，即可进入DDI终端用户日志。</w:t>
      </w:r>
    </w:p>
    <w:p w14:paraId="71CB3634">
      <w:pPr>
        <w:pStyle w:val="188"/>
      </w:pPr>
      <w:r>
        <w:t>DDI终端用户日志</w:t>
      </w:r>
    </w:p>
    <w:p w14:paraId="1BEB6FB0">
      <w:pPr>
        <w:pStyle w:val="175"/>
      </w:pPr>
      <w:r>
        <w:drawing>
          <wp:inline distT="0" distB="0" distL="0" distR="0">
            <wp:extent cx="4829175" cy="923925"/>
            <wp:effectExtent l="0" t="0" r="9525" b="9525"/>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193"/>
                    <a:stretch>
                      <a:fillRect/>
                    </a:stretch>
                  </pic:blipFill>
                  <pic:spPr>
                    <a:xfrm>
                      <a:off x="0" y="0"/>
                      <a:ext cx="4829175" cy="923925"/>
                    </a:xfrm>
                    <a:prstGeom prst="rect">
                      <a:avLst/>
                    </a:prstGeom>
                  </pic:spPr>
                </pic:pic>
              </a:graphicData>
            </a:graphic>
          </wp:inline>
        </w:drawing>
      </w:r>
    </w:p>
    <w:p w14:paraId="32288416"/>
    <w:p w14:paraId="57600EF7">
      <w:pPr>
        <w:pStyle w:val="202"/>
      </w:pPr>
      <w:bookmarkStart w:id="1137" w:name="_Toc256000066"/>
      <w:bookmarkStart w:id="1138" w:name="_ZH-CN_TOPIC_0000001422849393-chtext"/>
      <w:r>
        <w:t>用户自注册日志</w:t>
      </w:r>
      <w:bookmarkEnd w:id="1137"/>
      <w:bookmarkEnd w:id="1138"/>
    </w:p>
    <w:p w14:paraId="1B2B04CE">
      <w:r>
        <w:t>用户自注册日志包括用户注册申请日志和用户注册审批日志，记录本地Web认证启用户自注册后，终端用户在自注册页面提交注册申请产生的日志，以及管理员对自注册申请进行审批产生的日志。</w:t>
      </w:r>
    </w:p>
    <w:p w14:paraId="5C641BF7">
      <w:r>
        <w:t>选择“数据中心 &gt; 日志中心 &gt; 终端日志 &gt; 用户自注册日志”，即可进入用户自注册日志。</w:t>
      </w:r>
    </w:p>
    <w:p w14:paraId="0791B75D">
      <w:pPr>
        <w:pStyle w:val="188"/>
      </w:pPr>
      <w:r>
        <w:t>用户自注册日志</w:t>
      </w:r>
    </w:p>
    <w:p w14:paraId="7C341C16">
      <w:pPr>
        <w:pStyle w:val="175"/>
      </w:pPr>
      <w:r>
        <w:drawing>
          <wp:inline distT="0" distB="0" distL="0" distR="0">
            <wp:extent cx="6120130" cy="666750"/>
            <wp:effectExtent l="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194"/>
                    <a:stretch>
                      <a:fillRect/>
                    </a:stretch>
                  </pic:blipFill>
                  <pic:spPr>
                    <a:xfrm>
                      <a:off x="0" y="0"/>
                      <a:ext cx="6120130" cy="666750"/>
                    </a:xfrm>
                    <a:prstGeom prst="rect">
                      <a:avLst/>
                    </a:prstGeom>
                  </pic:spPr>
                </pic:pic>
              </a:graphicData>
            </a:graphic>
          </wp:inline>
        </w:drawing>
      </w:r>
    </w:p>
    <w:p w14:paraId="3A1AC7BA">
      <w:pPr>
        <w:pStyle w:val="6"/>
      </w:pPr>
      <w:bookmarkStart w:id="1139" w:name="_Toc142400821"/>
      <w:bookmarkStart w:id="1140" w:name="_Toc143011042"/>
      <w:bookmarkStart w:id="1141" w:name="_Toc172218010"/>
      <w:r>
        <w:t>系统会话日志</w:t>
      </w:r>
      <w:bookmarkEnd w:id="1139"/>
      <w:bookmarkEnd w:id="1140"/>
      <w:bookmarkEnd w:id="1141"/>
    </w:p>
    <w:p w14:paraId="306CF4FA">
      <w:r>
        <w:rPr>
          <w:rFonts w:hint="eastAsia"/>
        </w:rPr>
        <w:t>选择“系统设定</w:t>
      </w:r>
      <w:r>
        <w:t>&gt;</w:t>
      </w:r>
      <w:r>
        <w:rPr>
          <w:rFonts w:hint="eastAsia"/>
        </w:rPr>
        <w:t>日志设定&gt;会话日志设定”设置会话日志，详细配置请参见</w:t>
      </w:r>
      <w:r>
        <w:fldChar w:fldCharType="begin"/>
      </w:r>
      <w:r>
        <w:instrText xml:space="preserve"> </w:instrText>
      </w:r>
      <w:r>
        <w:rPr>
          <w:rFonts w:hint="eastAsia"/>
        </w:rPr>
        <w:instrText xml:space="preserve">REF _Ref143006872 \h</w:instrText>
      </w:r>
      <w:r>
        <w:instrText xml:space="preserve"> </w:instrText>
      </w:r>
      <w:r>
        <w:fldChar w:fldCharType="separate"/>
      </w:r>
      <w:r>
        <w:rPr>
          <w:rFonts w:hint="eastAsia"/>
        </w:rPr>
        <w:t>系统会话日志设定</w:t>
      </w:r>
      <w:r>
        <w:fldChar w:fldCharType="end"/>
      </w:r>
      <w:r>
        <w:rPr>
          <w:rFonts w:hint="eastAsia"/>
        </w:rPr>
        <w:t>。</w:t>
      </w:r>
    </w:p>
    <w:p w14:paraId="5EFEDC75">
      <w:r>
        <w:rPr>
          <w:rFonts w:hint="eastAsia"/>
        </w:rPr>
        <w:t>设置系统会话日志的匹配条件后，通过终端发送匹配条件的数据，设备上会记录系统产生会话的日志信息，通过菜单“数据中心 &gt;  日志中心&gt;</w:t>
      </w:r>
      <w:r>
        <w:t xml:space="preserve"> </w:t>
      </w:r>
      <w:r>
        <w:rPr>
          <w:rFonts w:hint="eastAsia"/>
        </w:rPr>
        <w:t>会话日志”查看设备记录的会话日志，如</w:t>
      </w:r>
      <w:r>
        <w:t>下图所示</w:t>
      </w:r>
      <w:r>
        <w:rPr>
          <w:rFonts w:hint="eastAsia"/>
        </w:rPr>
        <w:t>。</w:t>
      </w:r>
    </w:p>
    <w:p w14:paraId="725C52D6">
      <w:pPr>
        <w:pStyle w:val="188"/>
      </w:pPr>
      <w:bookmarkStart w:id="1142" w:name="_Ref392841548"/>
      <w:r>
        <w:rPr>
          <w:rFonts w:hint="eastAsia"/>
        </w:rPr>
        <w:t>会话日志查看</w:t>
      </w:r>
    </w:p>
    <w:bookmarkEnd w:id="1142"/>
    <w:p w14:paraId="5AE2CFE1">
      <w:pPr>
        <w:pStyle w:val="175"/>
      </w:pPr>
      <w:r>
        <w:drawing>
          <wp:inline distT="0" distB="0" distL="0" distR="0">
            <wp:extent cx="5400040" cy="1424940"/>
            <wp:effectExtent l="0" t="0" r="0" b="381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195"/>
                    <a:stretch>
                      <a:fillRect/>
                    </a:stretch>
                  </pic:blipFill>
                  <pic:spPr>
                    <a:xfrm>
                      <a:off x="0" y="0"/>
                      <a:ext cx="5400040" cy="1424940"/>
                    </a:xfrm>
                    <a:prstGeom prst="rect">
                      <a:avLst/>
                    </a:prstGeom>
                  </pic:spPr>
                </pic:pic>
              </a:graphicData>
            </a:graphic>
          </wp:inline>
        </w:drawing>
      </w:r>
    </w:p>
    <w:p w14:paraId="4A4DD98F">
      <w:pPr>
        <w:pStyle w:val="6"/>
      </w:pPr>
      <w:bookmarkStart w:id="1143" w:name="_Toc529430984"/>
      <w:bookmarkStart w:id="1144" w:name="_Toc143011043"/>
      <w:bookmarkStart w:id="1145" w:name="_Toc172218011"/>
      <w:r>
        <w:rPr>
          <w:rFonts w:hint="eastAsia"/>
        </w:rPr>
        <w:t>终端准入</w:t>
      </w:r>
      <w:r>
        <w:t>日志</w:t>
      </w:r>
    </w:p>
    <w:p w14:paraId="27A00F3A">
      <w:r>
        <w:rPr>
          <w:rFonts w:hint="eastAsia"/>
        </w:rPr>
        <w:t>设备与与插件对接，通过给终端推送插件，让终端安装</w:t>
      </w:r>
      <w:r>
        <w:t>插件</w:t>
      </w:r>
      <w:r>
        <w:rPr>
          <w:rFonts w:hint="eastAsia"/>
        </w:rPr>
        <w:t>的</w:t>
      </w:r>
      <w:r>
        <w:t>方式，</w:t>
      </w:r>
      <w:r>
        <w:rPr>
          <w:rFonts w:hint="eastAsia"/>
        </w:rPr>
        <w:t>实现对用户</w:t>
      </w:r>
      <w:r>
        <w:t>终端</w:t>
      </w:r>
      <w:r>
        <w:rPr>
          <w:rFonts w:hint="eastAsia"/>
        </w:rPr>
        <w:t>的</w:t>
      </w:r>
      <w:r>
        <w:t>行为审计</w:t>
      </w:r>
      <w:r>
        <w:rPr>
          <w:rFonts w:hint="eastAsia"/>
        </w:rPr>
        <w:t>。终端准入</w:t>
      </w:r>
      <w:r>
        <w:t>日志记录</w:t>
      </w:r>
      <w:r>
        <w:rPr>
          <w:rFonts w:hint="eastAsia"/>
        </w:rPr>
        <w:t>终端准入</w:t>
      </w:r>
      <w:r>
        <w:t>审计产生</w:t>
      </w:r>
      <w:r>
        <w:rPr>
          <w:rFonts w:hint="eastAsia"/>
        </w:rPr>
        <w:t>的</w:t>
      </w:r>
      <w:r>
        <w:t>日志</w:t>
      </w:r>
      <w:r>
        <w:rPr>
          <w:rFonts w:hint="eastAsia"/>
        </w:rPr>
        <w:t>，包括聊天日志、浏览器日志、邮件日志、USB事件日志、进程列表日志，如下图所示。详细配置请参见“终端准入管理”章节。</w:t>
      </w:r>
    </w:p>
    <w:p w14:paraId="4274FA76">
      <w:pPr>
        <w:pStyle w:val="188"/>
      </w:pPr>
      <w:r>
        <w:rPr>
          <w:rFonts w:hint="eastAsia"/>
        </w:rPr>
        <w:t>终端准入-聊天日志</w:t>
      </w:r>
    </w:p>
    <w:p w14:paraId="1CB96B45">
      <w:pPr>
        <w:pStyle w:val="175"/>
      </w:pPr>
      <w:r>
        <w:drawing>
          <wp:inline distT="0" distB="0" distL="0" distR="0">
            <wp:extent cx="6120765" cy="938530"/>
            <wp:effectExtent l="0" t="0" r="0" b="0"/>
            <wp:docPr id="632" name="图片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图片 632"/>
                    <pic:cNvPicPr>
                      <a:picLocks noChangeAspect="1"/>
                    </pic:cNvPicPr>
                  </pic:nvPicPr>
                  <pic:blipFill>
                    <a:blip r:embed="rId196"/>
                    <a:stretch>
                      <a:fillRect/>
                    </a:stretch>
                  </pic:blipFill>
                  <pic:spPr>
                    <a:xfrm>
                      <a:off x="0" y="0"/>
                      <a:ext cx="6120765" cy="938530"/>
                    </a:xfrm>
                    <a:prstGeom prst="rect">
                      <a:avLst/>
                    </a:prstGeom>
                  </pic:spPr>
                </pic:pic>
              </a:graphicData>
            </a:graphic>
          </wp:inline>
        </w:drawing>
      </w:r>
    </w:p>
    <w:p w14:paraId="1054E6D9"/>
    <w:p w14:paraId="2428CFD3">
      <w:r>
        <w:rPr>
          <w:rFonts w:hint="eastAsia"/>
        </w:rPr>
        <w:t>点击“下载”可以将传送</w:t>
      </w:r>
      <w:r>
        <w:t>的文件</w:t>
      </w:r>
      <w:r>
        <w:rPr>
          <w:rFonts w:hint="eastAsia"/>
        </w:rPr>
        <w:t>和</w:t>
      </w:r>
      <w:r>
        <w:t>图片下载到本地。</w:t>
      </w:r>
    </w:p>
    <w:p w14:paraId="4CB9A5F2">
      <w:r>
        <w:t>点击</w:t>
      </w:r>
      <w:r>
        <w:rPr>
          <w:rFonts w:hint="eastAsia"/>
        </w:rPr>
        <w:t>“详细”进行</w:t>
      </w:r>
      <w:r>
        <w:t>查看</w:t>
      </w:r>
      <w:r>
        <w:rPr>
          <w:rFonts w:hint="eastAsia"/>
        </w:rPr>
        <w:t>聊天</w:t>
      </w:r>
      <w:r>
        <w:t>的内容</w:t>
      </w:r>
      <w:r>
        <w:rPr>
          <w:rFonts w:hint="eastAsia"/>
        </w:rPr>
        <w:t>。</w:t>
      </w:r>
    </w:p>
    <w:p w14:paraId="09201C05">
      <w:r>
        <w:rPr>
          <w:rFonts w:hint="eastAsia"/>
        </w:rPr>
        <w:t>点击&lt;查询&gt;按钮，可以根据设定的条件，查询关心的日志。</w:t>
      </w:r>
    </w:p>
    <w:p w14:paraId="2FDF9CE5">
      <w:pPr>
        <w:pStyle w:val="6"/>
      </w:pPr>
      <w:r>
        <w:rPr>
          <w:rFonts w:hint="eastAsia"/>
        </w:rPr>
        <w:t>翻墙控制</w:t>
      </w:r>
      <w:r>
        <w:t>日志</w:t>
      </w:r>
    </w:p>
    <w:p w14:paraId="3092D60F">
      <w:r>
        <w:rPr>
          <w:rFonts w:hint="eastAsia"/>
        </w:rPr>
        <w:t>通过“策略配置 &gt;</w:t>
      </w:r>
      <w:r>
        <w:t xml:space="preserve"> </w:t>
      </w:r>
      <w:r>
        <w:rPr>
          <w:rFonts w:hint="eastAsia"/>
        </w:rPr>
        <w:t>防翻墙配置”启用防翻墙配置，且勾选“日志”，在“系统管理 &gt; 系统设定 &gt; 日志设定 &gt; 日志过滤”中，配置记录“翻墙控制日志”。当内网用户通过翻墙软件访问外网时可以识别到对应翻墙应用，设备上会产生识别到的翻墙控制日志。详细配置请参见“防翻墙配置”章节。</w:t>
      </w:r>
    </w:p>
    <w:p w14:paraId="0C2AC143">
      <w:r>
        <w:rPr>
          <w:rFonts w:hint="eastAsia"/>
        </w:rPr>
        <w:t>通过菜单“数据中心 &gt; 日志中心 &gt; 安全日志</w:t>
      </w:r>
      <w:r>
        <w:t xml:space="preserve"> &gt; </w:t>
      </w:r>
      <w:r>
        <w:rPr>
          <w:rFonts w:hint="eastAsia"/>
        </w:rPr>
        <w:t>翻墙控制日志”，查看识别到的翻墙日志信息，如下图所示。</w:t>
      </w:r>
    </w:p>
    <w:p w14:paraId="5F44E993">
      <w:pPr>
        <w:pStyle w:val="188"/>
      </w:pPr>
      <w:r>
        <w:rPr>
          <w:rFonts w:hint="eastAsia"/>
        </w:rPr>
        <w:t>翻墙控制日志</w:t>
      </w:r>
    </w:p>
    <w:p w14:paraId="71C19C1E">
      <w:pPr>
        <w:pStyle w:val="175"/>
      </w:pPr>
      <w:r>
        <w:drawing>
          <wp:inline distT="0" distB="0" distL="0" distR="0">
            <wp:extent cx="5619750" cy="1726565"/>
            <wp:effectExtent l="0" t="0" r="0" b="6985"/>
            <wp:docPr id="633"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633"/>
                    <pic:cNvPicPr>
                      <a:picLocks noChangeAspect="1"/>
                    </pic:cNvPicPr>
                  </pic:nvPicPr>
                  <pic:blipFill>
                    <a:blip r:embed="rId197"/>
                    <a:stretch>
                      <a:fillRect/>
                    </a:stretch>
                  </pic:blipFill>
                  <pic:spPr>
                    <a:xfrm>
                      <a:off x="0" y="0"/>
                      <a:ext cx="5625898" cy="1728800"/>
                    </a:xfrm>
                    <a:prstGeom prst="rect">
                      <a:avLst/>
                    </a:prstGeom>
                  </pic:spPr>
                </pic:pic>
              </a:graphicData>
            </a:graphic>
          </wp:inline>
        </w:drawing>
      </w:r>
    </w:p>
    <w:p w14:paraId="2B8F246F"/>
    <w:p w14:paraId="2D7581C7">
      <w:pPr>
        <w:pStyle w:val="5"/>
      </w:pPr>
      <w:bookmarkStart w:id="1146" w:name="_Toc194080646"/>
      <w:bookmarkStart w:id="1147" w:name="_Toc196727978"/>
      <w:r>
        <w:rPr>
          <w:rFonts w:hint="eastAsia"/>
        </w:rPr>
        <w:t>日志导出</w:t>
      </w:r>
      <w:bookmarkEnd w:id="1143"/>
      <w:bookmarkEnd w:id="1144"/>
      <w:bookmarkEnd w:id="1145"/>
      <w:bookmarkEnd w:id="1146"/>
      <w:bookmarkEnd w:id="1147"/>
    </w:p>
    <w:p w14:paraId="100085C3">
      <w:bookmarkStart w:id="1148" w:name="_Toc391916150"/>
      <w:r>
        <w:rPr>
          <w:rFonts w:hint="eastAsia"/>
        </w:rPr>
        <w:t>日志支持导出功能，可以直接导出全部查询结果的日志数据，也可以输入查询条件后，导出过滤后的日志数据。</w:t>
      </w:r>
    </w:p>
    <w:p w14:paraId="7F1854D7">
      <w:r>
        <w:rPr>
          <w:rFonts w:hint="eastAsia"/>
        </w:rPr>
        <w:t>不查询直接导出：导出所有日志数据。最多支持导出100万条数据（即如果日志量超过100万条，则导出最近的100万条日志），最多导出180天的数据（即如果日志量跨度超过180天，则导出最近的180天的日志）。</w:t>
      </w:r>
    </w:p>
    <w:p w14:paraId="637BB57D">
      <w:r>
        <w:t>查询后导出</w:t>
      </w:r>
      <w:r>
        <w:rPr>
          <w:rFonts w:hint="eastAsia"/>
        </w:rPr>
        <w:t>：导出经过查询后的日志数据。最多支持导出100万条数据。</w:t>
      </w:r>
    </w:p>
    <w:p w14:paraId="1BEE6024">
      <w:r>
        <w:t>以</w:t>
      </w:r>
      <w:r>
        <w:rPr>
          <w:rFonts w:hint="eastAsia"/>
        </w:rPr>
        <w:t>“访问网站日志”为例，</w:t>
      </w:r>
      <w:bookmarkEnd w:id="1148"/>
      <w:r>
        <w:rPr>
          <w:rFonts w:hint="eastAsia"/>
        </w:rPr>
        <w:t>日志导出的步骤如下：</w:t>
      </w:r>
    </w:p>
    <w:p w14:paraId="22EB15DA">
      <w:pPr>
        <w:pStyle w:val="202"/>
        <w:rPr>
          <w:lang w:eastAsia="zh-CN"/>
        </w:rPr>
      </w:pPr>
      <w:r>
        <w:rPr>
          <w:rFonts w:hint="eastAsia"/>
          <w:lang w:eastAsia="zh-CN"/>
        </w:rPr>
        <w:t>在导航栏中选择“数据中心&gt;日志中心&gt;审计日志&gt;访问网站日志”，进入访问网站日志页面，如下图所示。</w:t>
      </w:r>
    </w:p>
    <w:p w14:paraId="2FB21EB1">
      <w:pPr>
        <w:pStyle w:val="188"/>
      </w:pPr>
      <w:r>
        <w:rPr>
          <w:rFonts w:hint="eastAsia"/>
        </w:rPr>
        <w:t>访问网站日志页面</w:t>
      </w:r>
    </w:p>
    <w:p w14:paraId="5F50459D">
      <w:pPr>
        <w:pStyle w:val="175"/>
      </w:pPr>
      <w:r>
        <w:drawing>
          <wp:inline distT="0" distB="0" distL="0" distR="0">
            <wp:extent cx="5615940" cy="1596390"/>
            <wp:effectExtent l="0" t="0" r="3810" b="3810"/>
            <wp:docPr id="3181" name="图片 3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1" name="图片 3181"/>
                    <pic:cNvPicPr>
                      <a:picLocks noChangeAspect="1"/>
                    </pic:cNvPicPr>
                  </pic:nvPicPr>
                  <pic:blipFill>
                    <a:blip r:embed="rId198"/>
                    <a:stretch>
                      <a:fillRect/>
                    </a:stretch>
                  </pic:blipFill>
                  <pic:spPr>
                    <a:xfrm>
                      <a:off x="0" y="0"/>
                      <a:ext cx="5631999" cy="1601547"/>
                    </a:xfrm>
                    <a:prstGeom prst="rect">
                      <a:avLst/>
                    </a:prstGeom>
                  </pic:spPr>
                </pic:pic>
              </a:graphicData>
            </a:graphic>
          </wp:inline>
        </w:drawing>
      </w:r>
    </w:p>
    <w:p w14:paraId="258B85A8"/>
    <w:p w14:paraId="74934DE7">
      <w:pPr>
        <w:pStyle w:val="202"/>
        <w:rPr>
          <w:lang w:eastAsia="zh-CN"/>
        </w:rPr>
      </w:pPr>
      <w:r>
        <w:rPr>
          <w:rFonts w:hint="eastAsia"/>
          <w:lang w:eastAsia="zh-CN"/>
        </w:rPr>
        <w:t>（可选）</w:t>
      </w:r>
      <w:r>
        <w:rPr>
          <w:lang w:eastAsia="zh-CN"/>
        </w:rPr>
        <w:t>单击</w:t>
      </w:r>
      <w:r>
        <w:rPr>
          <w:rFonts w:hint="eastAsia"/>
          <w:lang w:eastAsia="zh-CN"/>
        </w:rPr>
        <w:t>&lt;查询&gt;，弹出“日志过滤”页面，输入要查询的条件。</w:t>
      </w:r>
    </w:p>
    <w:p w14:paraId="522088E2">
      <w:pPr>
        <w:pStyle w:val="188"/>
      </w:pPr>
      <w:r>
        <w:rPr>
          <w:rFonts w:hint="eastAsia"/>
        </w:rPr>
        <w:t>日志过滤页面</w:t>
      </w:r>
    </w:p>
    <w:p w14:paraId="45302A95">
      <w:pPr>
        <w:pStyle w:val="175"/>
      </w:pPr>
      <w:r>
        <w:drawing>
          <wp:inline distT="0" distB="0" distL="0" distR="0">
            <wp:extent cx="3733800" cy="3908425"/>
            <wp:effectExtent l="0" t="0" r="0" b="0"/>
            <wp:docPr id="3182" name="图片 3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2" name="图片 3182"/>
                    <pic:cNvPicPr>
                      <a:picLocks noChangeAspect="1"/>
                    </pic:cNvPicPr>
                  </pic:nvPicPr>
                  <pic:blipFill>
                    <a:blip r:embed="rId199"/>
                    <a:stretch>
                      <a:fillRect/>
                    </a:stretch>
                  </pic:blipFill>
                  <pic:spPr>
                    <a:xfrm>
                      <a:off x="0" y="0"/>
                      <a:ext cx="3738982" cy="3914127"/>
                    </a:xfrm>
                    <a:prstGeom prst="rect">
                      <a:avLst/>
                    </a:prstGeom>
                  </pic:spPr>
                </pic:pic>
              </a:graphicData>
            </a:graphic>
          </wp:inline>
        </w:drawing>
      </w:r>
    </w:p>
    <w:p w14:paraId="63DE5FDB"/>
    <w:p w14:paraId="65104A92">
      <w:r>
        <w:rPr>
          <w:rFonts w:hint="eastAsia"/>
        </w:rPr>
        <w:t>单击&lt;查询&gt;后，显示查询后的日志结果信息，如下图所示。</w:t>
      </w:r>
    </w:p>
    <w:p w14:paraId="3D09A01A">
      <w:pPr>
        <w:pStyle w:val="188"/>
      </w:pPr>
      <w:r>
        <w:rPr>
          <w:rFonts w:hint="eastAsia"/>
        </w:rPr>
        <w:t>日志查询结果页面</w:t>
      </w:r>
    </w:p>
    <w:p w14:paraId="354FCFDA">
      <w:pPr>
        <w:pStyle w:val="175"/>
      </w:pPr>
      <w:r>
        <w:drawing>
          <wp:inline distT="0" distB="0" distL="0" distR="0">
            <wp:extent cx="5323205" cy="1504950"/>
            <wp:effectExtent l="0" t="0" r="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200"/>
                    <a:stretch>
                      <a:fillRect/>
                    </a:stretch>
                  </pic:blipFill>
                  <pic:spPr>
                    <a:xfrm>
                      <a:off x="0" y="0"/>
                      <a:ext cx="5326685" cy="1505884"/>
                    </a:xfrm>
                    <a:prstGeom prst="rect">
                      <a:avLst/>
                    </a:prstGeom>
                  </pic:spPr>
                </pic:pic>
              </a:graphicData>
            </a:graphic>
          </wp:inline>
        </w:drawing>
      </w:r>
    </w:p>
    <w:p w14:paraId="51E59FD5"/>
    <w:p w14:paraId="71318CB6">
      <w:pPr>
        <w:pStyle w:val="202"/>
        <w:rPr>
          <w:lang w:eastAsia="zh-CN"/>
        </w:rPr>
      </w:pPr>
      <w:r>
        <w:rPr>
          <w:lang w:eastAsia="zh-CN"/>
        </w:rPr>
        <w:t>单击</w:t>
      </w:r>
      <w:r>
        <w:rPr>
          <w:rFonts w:hint="eastAsia"/>
          <w:lang w:eastAsia="zh-CN"/>
        </w:rPr>
        <w:t>&lt;导出&gt;，可以在弹出的过滤框中设置加密密码，如</w:t>
      </w:r>
      <w:r>
        <w:fldChar w:fldCharType="begin"/>
      </w:r>
      <w:r>
        <w:rPr>
          <w:lang w:eastAsia="zh-CN"/>
        </w:rPr>
        <w:instrText xml:space="preserve"> </w:instrText>
      </w:r>
      <w:r>
        <w:rPr>
          <w:rFonts w:hint="eastAsia"/>
          <w:lang w:eastAsia="zh-CN"/>
        </w:rPr>
        <w:instrText xml:space="preserve">REF _Ref5871666 \r \h</w:instrText>
      </w:r>
      <w:r>
        <w:rPr>
          <w:lang w:eastAsia="zh-CN"/>
        </w:rPr>
        <w:instrText xml:space="preserve"> </w:instrText>
      </w:r>
      <w:r>
        <w:fldChar w:fldCharType="separate"/>
      </w:r>
      <w:r>
        <w:rPr>
          <w:rFonts w:hint="eastAsia"/>
          <w:lang w:eastAsia="zh-CN"/>
        </w:rPr>
        <w:t>图5-47</w:t>
      </w:r>
      <w:r>
        <w:fldChar w:fldCharType="end"/>
      </w:r>
      <w:r>
        <w:rPr>
          <w:lang w:eastAsia="zh-CN"/>
        </w:rPr>
        <w:t>所示</w:t>
      </w:r>
      <w:r>
        <w:rPr>
          <w:rFonts w:hint="eastAsia"/>
          <w:lang w:eastAsia="zh-CN"/>
        </w:rPr>
        <w:t>；单击&lt;导出&gt;，即可将导出的日志压缩包下载到本地，导出的文件如</w:t>
      </w:r>
      <w:r>
        <w:fldChar w:fldCharType="begin"/>
      </w:r>
      <w:r>
        <w:rPr>
          <w:lang w:eastAsia="zh-CN"/>
        </w:rPr>
        <w:instrText xml:space="preserve"> </w:instrText>
      </w:r>
      <w:r>
        <w:rPr>
          <w:rFonts w:hint="eastAsia"/>
          <w:lang w:eastAsia="zh-CN"/>
        </w:rPr>
        <w:instrText xml:space="preserve">REF _Ref143009479 \r \h</w:instrText>
      </w:r>
      <w:r>
        <w:rPr>
          <w:lang w:eastAsia="zh-CN"/>
        </w:rPr>
        <w:instrText xml:space="preserve"> </w:instrText>
      </w:r>
      <w:r>
        <w:fldChar w:fldCharType="separate"/>
      </w:r>
      <w:r>
        <w:rPr>
          <w:rFonts w:hint="eastAsia"/>
          <w:lang w:eastAsia="zh-CN"/>
        </w:rPr>
        <w:t>图5-48</w:t>
      </w:r>
      <w:r>
        <w:fldChar w:fldCharType="end"/>
      </w:r>
      <w:r>
        <w:rPr>
          <w:lang w:eastAsia="zh-CN"/>
        </w:rPr>
        <w:t>所示</w:t>
      </w:r>
      <w:r>
        <w:rPr>
          <w:rFonts w:hint="eastAsia"/>
          <w:lang w:eastAsia="zh-CN"/>
        </w:rPr>
        <w:t>。</w:t>
      </w:r>
    </w:p>
    <w:p w14:paraId="14F01642">
      <w:pPr>
        <w:pStyle w:val="188"/>
      </w:pPr>
      <w:bookmarkStart w:id="1149" w:name="_Ref5871666"/>
      <w:r>
        <w:rPr>
          <w:rFonts w:hint="eastAsia"/>
        </w:rPr>
        <w:t>导出过滤</w:t>
      </w:r>
      <w:bookmarkEnd w:id="1149"/>
    </w:p>
    <w:p w14:paraId="5992AA6E">
      <w:pPr>
        <w:pStyle w:val="175"/>
      </w:pPr>
      <w:r>
        <w:drawing>
          <wp:inline distT="0" distB="0" distL="0" distR="0">
            <wp:extent cx="4314825" cy="2127885"/>
            <wp:effectExtent l="0" t="0" r="0" b="5715"/>
            <wp:docPr id="3186" name="图片 3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6" name="图片 3186"/>
                    <pic:cNvPicPr>
                      <a:picLocks noChangeAspect="1"/>
                    </pic:cNvPicPr>
                  </pic:nvPicPr>
                  <pic:blipFill>
                    <a:blip r:embed="rId201"/>
                    <a:stretch>
                      <a:fillRect/>
                    </a:stretch>
                  </pic:blipFill>
                  <pic:spPr>
                    <a:xfrm>
                      <a:off x="0" y="0"/>
                      <a:ext cx="4320803" cy="2131150"/>
                    </a:xfrm>
                    <a:prstGeom prst="rect">
                      <a:avLst/>
                    </a:prstGeom>
                  </pic:spPr>
                </pic:pic>
              </a:graphicData>
            </a:graphic>
          </wp:inline>
        </w:drawing>
      </w:r>
    </w:p>
    <w:p w14:paraId="6AA13099"/>
    <w:p w14:paraId="44D25A56">
      <w:pPr>
        <w:pStyle w:val="188"/>
      </w:pPr>
      <w:bookmarkStart w:id="1150" w:name="_Ref143009479"/>
      <w:r>
        <w:rPr>
          <w:rFonts w:hint="eastAsia"/>
        </w:rPr>
        <w:t>导出日志文件</w:t>
      </w:r>
      <w:bookmarkEnd w:id="1150"/>
    </w:p>
    <w:p w14:paraId="54E07FA4">
      <w:r>
        <w:drawing>
          <wp:inline distT="0" distB="0" distL="0" distR="0">
            <wp:extent cx="2200275" cy="238125"/>
            <wp:effectExtent l="0" t="0" r="9525" b="9525"/>
            <wp:docPr id="3187" name="图片 3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图片 3187"/>
                    <pic:cNvPicPr>
                      <a:picLocks noChangeAspect="1"/>
                    </pic:cNvPicPr>
                  </pic:nvPicPr>
                  <pic:blipFill>
                    <a:blip r:embed="rId202"/>
                    <a:srcRect b="21875"/>
                    <a:stretch>
                      <a:fillRect/>
                    </a:stretch>
                  </pic:blipFill>
                  <pic:spPr>
                    <a:xfrm>
                      <a:off x="0" y="0"/>
                      <a:ext cx="2200275" cy="238125"/>
                    </a:xfrm>
                    <a:prstGeom prst="rect">
                      <a:avLst/>
                    </a:prstGeom>
                    <a:ln>
                      <a:noFill/>
                    </a:ln>
                  </pic:spPr>
                </pic:pic>
              </a:graphicData>
            </a:graphic>
          </wp:inline>
        </w:drawing>
      </w:r>
    </w:p>
    <w:p w14:paraId="438D8DB8"/>
    <w:p w14:paraId="2882AF33">
      <w:pPr>
        <w:pStyle w:val="202"/>
        <w:rPr>
          <w:lang w:eastAsia="zh-CN"/>
        </w:rPr>
      </w:pPr>
      <w:r>
        <w:rPr>
          <w:rFonts w:hint="eastAsia"/>
          <w:lang w:eastAsia="zh-CN"/>
        </w:rPr>
        <w:t>将导出的日志文件解压缩（如果设置了加密密码，解压缩时需输入导出时设置的加密密码），压缩后的日志文件为CSV文件，如</w:t>
      </w:r>
      <w:r>
        <w:fldChar w:fldCharType="begin"/>
      </w:r>
      <w:r>
        <w:rPr>
          <w:lang w:eastAsia="zh-CN"/>
        </w:rPr>
        <w:instrText xml:space="preserve">  REF _Ref5871671 \r \h  \* MERGEFORMAT </w:instrText>
      </w:r>
      <w:r>
        <w:fldChar w:fldCharType="separate"/>
      </w:r>
      <w:r>
        <w:rPr>
          <w:rFonts w:hint="eastAsia"/>
          <w:lang w:eastAsia="zh-CN"/>
        </w:rPr>
        <w:t>图5-49</w:t>
      </w:r>
      <w:r>
        <w:fldChar w:fldCharType="end"/>
      </w:r>
      <w:r>
        <w:rPr>
          <w:lang w:eastAsia="zh-CN"/>
        </w:rPr>
        <w:t>所示</w:t>
      </w:r>
      <w:r>
        <w:rPr>
          <w:rFonts w:hint="eastAsia"/>
          <w:lang w:eastAsia="zh-CN"/>
        </w:rPr>
        <w:t>。</w:t>
      </w:r>
    </w:p>
    <w:p w14:paraId="38880BD3">
      <w:pPr>
        <w:pStyle w:val="188"/>
      </w:pPr>
      <w:bookmarkStart w:id="1151" w:name="_Ref5871671"/>
      <w:r>
        <w:rPr>
          <w:rFonts w:hint="eastAsia"/>
        </w:rPr>
        <w:t>审计日志导出的文件</w:t>
      </w:r>
      <w:bookmarkEnd w:id="1151"/>
    </w:p>
    <w:p w14:paraId="563A5E64">
      <w:pPr>
        <w:pStyle w:val="175"/>
      </w:pPr>
      <w:r>
        <w:drawing>
          <wp:inline distT="0" distB="0" distL="0" distR="0">
            <wp:extent cx="2286000" cy="1038225"/>
            <wp:effectExtent l="0" t="0" r="0" b="9525"/>
            <wp:docPr id="3188" name="图片 3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8" name="图片 3188"/>
                    <pic:cNvPicPr>
                      <a:picLocks noChangeAspect="1"/>
                    </pic:cNvPicPr>
                  </pic:nvPicPr>
                  <pic:blipFill>
                    <a:blip r:embed="rId203"/>
                    <a:srcRect r="5512"/>
                    <a:stretch>
                      <a:fillRect/>
                    </a:stretch>
                  </pic:blipFill>
                  <pic:spPr>
                    <a:xfrm>
                      <a:off x="0" y="0"/>
                      <a:ext cx="2286000" cy="1038225"/>
                    </a:xfrm>
                    <a:prstGeom prst="rect">
                      <a:avLst/>
                    </a:prstGeom>
                    <a:ln>
                      <a:noFill/>
                    </a:ln>
                  </pic:spPr>
                </pic:pic>
              </a:graphicData>
            </a:graphic>
          </wp:inline>
        </w:drawing>
      </w:r>
    </w:p>
    <w:p w14:paraId="1843F9C6">
      <w:r>
        <w:drawing>
          <wp:inline distT="0" distB="0" distL="0" distR="0">
            <wp:extent cx="6120765" cy="906780"/>
            <wp:effectExtent l="0" t="0" r="0" b="7620"/>
            <wp:docPr id="3189" name="图片 3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9" name="图片 3189"/>
                    <pic:cNvPicPr>
                      <a:picLocks noChangeAspect="1"/>
                    </pic:cNvPicPr>
                  </pic:nvPicPr>
                  <pic:blipFill>
                    <a:blip r:embed="rId204"/>
                    <a:stretch>
                      <a:fillRect/>
                    </a:stretch>
                  </pic:blipFill>
                  <pic:spPr>
                    <a:xfrm>
                      <a:off x="0" y="0"/>
                      <a:ext cx="6120765" cy="906780"/>
                    </a:xfrm>
                    <a:prstGeom prst="rect">
                      <a:avLst/>
                    </a:prstGeom>
                  </pic:spPr>
                </pic:pic>
              </a:graphicData>
            </a:graphic>
          </wp:inline>
        </w:drawing>
      </w:r>
    </w:p>
    <w:p w14:paraId="02D1D36F"/>
    <w:p w14:paraId="46A90D22">
      <w:pPr>
        <w:pStyle w:val="5"/>
      </w:pPr>
      <w:bookmarkStart w:id="1152" w:name="_Toc174973141"/>
      <w:bookmarkEnd w:id="1152"/>
      <w:bookmarkStart w:id="1153" w:name="_XX配置举例一"/>
      <w:bookmarkEnd w:id="1153"/>
      <w:bookmarkStart w:id="1154" w:name="_Toc194080647"/>
      <w:bookmarkStart w:id="1155" w:name="_Toc393274146"/>
      <w:bookmarkStart w:id="1156" w:name="_Toc474250185"/>
      <w:bookmarkStart w:id="1157" w:name="_Toc172218013"/>
      <w:bookmarkStart w:id="1158" w:name="_Toc196727979"/>
      <w:bookmarkStart w:id="1159" w:name="_Toc143011045"/>
      <w:r>
        <w:rPr>
          <w:rFonts w:hint="eastAsia"/>
        </w:rPr>
        <w:t>日志典型配置举例</w:t>
      </w:r>
      <w:bookmarkEnd w:id="1154"/>
      <w:bookmarkEnd w:id="1155"/>
      <w:bookmarkEnd w:id="1156"/>
      <w:bookmarkEnd w:id="1157"/>
      <w:bookmarkEnd w:id="1158"/>
      <w:bookmarkEnd w:id="1159"/>
    </w:p>
    <w:p w14:paraId="5E69B9F4">
      <w:pPr>
        <w:pStyle w:val="6"/>
      </w:pPr>
      <w:r>
        <w:rPr>
          <w:rFonts w:hint="eastAsia"/>
        </w:rPr>
        <w:t>组网需求</w:t>
      </w:r>
    </w:p>
    <w:p w14:paraId="190FA600">
      <w:pPr>
        <w:pStyle w:val="162"/>
      </w:pPr>
      <w:r>
        <w:rPr>
          <w:rFonts w:hint="eastAsia"/>
        </w:rPr>
        <w:t>配置一台日志服务器接收日志，</w:t>
      </w:r>
      <w:r>
        <w:rPr>
          <w:rStyle w:val="206"/>
          <w:lang w:eastAsia="zh-CN"/>
        </w:rPr>
        <w:t>IP</w:t>
      </w:r>
      <w:r>
        <w:rPr>
          <w:rStyle w:val="206"/>
          <w:rFonts w:hint="eastAsia"/>
          <w:lang w:eastAsia="zh-CN"/>
        </w:rPr>
        <w:t>地址是</w:t>
      </w:r>
      <w:r>
        <w:rPr>
          <w:rStyle w:val="206"/>
          <w:lang w:eastAsia="zh-CN"/>
        </w:rPr>
        <w:t>192.168.1.73</w:t>
      </w:r>
      <w:r>
        <w:rPr>
          <w:rStyle w:val="206"/>
          <w:rFonts w:hint="eastAsia"/>
          <w:lang w:eastAsia="zh-CN"/>
        </w:rPr>
        <w:t>，端口是</w:t>
      </w:r>
      <w:r>
        <w:rPr>
          <w:rStyle w:val="206"/>
          <w:lang w:eastAsia="zh-CN"/>
        </w:rPr>
        <w:t>9988</w:t>
      </w:r>
      <w:r>
        <w:rPr>
          <w:rFonts w:hint="eastAsia"/>
        </w:rPr>
        <w:t>。</w:t>
      </w:r>
    </w:p>
    <w:p w14:paraId="0860181C">
      <w:pPr>
        <w:pStyle w:val="162"/>
      </w:pPr>
      <w:r>
        <w:rPr>
          <w:rFonts w:hint="eastAsia"/>
        </w:rPr>
        <w:t>配置本地不记录操作日志，并且将告警级别以上的操作日志发送到日志服务器。</w:t>
      </w:r>
    </w:p>
    <w:p w14:paraId="69898FEF">
      <w:pPr>
        <w:pStyle w:val="6"/>
      </w:pPr>
      <w:r>
        <w:rPr>
          <w:rFonts w:hint="eastAsia"/>
        </w:rPr>
        <w:t>组网图</w:t>
      </w:r>
    </w:p>
    <w:p w14:paraId="5D63B2A4">
      <w:pPr>
        <w:pStyle w:val="188"/>
      </w:pPr>
      <w:r>
        <w:rPr>
          <w:rFonts w:hint="eastAsia"/>
        </w:rPr>
        <w:t>配置日志组网图</w:t>
      </w:r>
    </w:p>
    <w:p w14:paraId="54C93038">
      <w:pPr>
        <w:pStyle w:val="175"/>
      </w:pPr>
      <w:r>
        <w:t xml:space="preserve"> </w:t>
      </w:r>
      <w:r>
        <w:drawing>
          <wp:inline distT="0" distB="0" distL="0" distR="0">
            <wp:extent cx="4258310" cy="2195830"/>
            <wp:effectExtent l="0" t="0" r="889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05"/>
                    <a:stretch>
                      <a:fillRect/>
                    </a:stretch>
                  </pic:blipFill>
                  <pic:spPr>
                    <a:xfrm>
                      <a:off x="0" y="0"/>
                      <a:ext cx="4258800" cy="2196000"/>
                    </a:xfrm>
                    <a:prstGeom prst="rect">
                      <a:avLst/>
                    </a:prstGeom>
                  </pic:spPr>
                </pic:pic>
              </a:graphicData>
            </a:graphic>
          </wp:inline>
        </w:drawing>
      </w:r>
    </w:p>
    <w:p w14:paraId="454BAABC"/>
    <w:p w14:paraId="02E1D8B3">
      <w:pPr>
        <w:pStyle w:val="6"/>
      </w:pPr>
      <w:r>
        <w:rPr>
          <w:rFonts w:hint="eastAsia"/>
        </w:rPr>
        <w:t>配置步骤</w:t>
      </w:r>
    </w:p>
    <w:p w14:paraId="2D42FBCF">
      <w:pPr>
        <w:pStyle w:val="202"/>
        <w:rPr>
          <w:lang w:eastAsia="zh-CN"/>
        </w:rPr>
      </w:pPr>
      <w:r>
        <w:rPr>
          <w:rFonts w:hint="eastAsia"/>
          <w:lang w:eastAsia="zh-CN"/>
        </w:rPr>
        <w:t>配置日志服务器，点击“系统管理 &gt; 系统设定 &gt; 日志设定</w:t>
      </w:r>
      <w:r>
        <w:rPr>
          <w:lang w:eastAsia="zh-CN"/>
        </w:rPr>
        <w:t xml:space="preserve"> &gt; </w:t>
      </w:r>
      <w:r>
        <w:rPr>
          <w:rFonts w:hint="eastAsia"/>
          <w:lang w:eastAsia="zh-CN"/>
        </w:rPr>
        <w:t>日志服务器”，进入日志服务器的配置页面，日志服务器的</w:t>
      </w:r>
      <w:r>
        <w:rPr>
          <w:lang w:eastAsia="zh-CN"/>
        </w:rPr>
        <w:t>IP</w:t>
      </w:r>
      <w:r>
        <w:rPr>
          <w:rFonts w:hint="eastAsia"/>
          <w:lang w:eastAsia="zh-CN"/>
        </w:rPr>
        <w:t>为</w:t>
      </w:r>
      <w:r>
        <w:rPr>
          <w:lang w:eastAsia="zh-CN"/>
        </w:rPr>
        <w:t>192.168.1.73</w:t>
      </w:r>
      <w:r>
        <w:rPr>
          <w:rFonts w:hint="eastAsia"/>
          <w:lang w:eastAsia="zh-CN"/>
        </w:rPr>
        <w:t>，端口为</w:t>
      </w:r>
      <w:r>
        <w:rPr>
          <w:lang w:eastAsia="zh-CN"/>
        </w:rPr>
        <w:t>9988</w:t>
      </w:r>
      <w:r>
        <w:rPr>
          <w:rFonts w:hint="eastAsia"/>
          <w:lang w:eastAsia="zh-CN"/>
        </w:rPr>
        <w:t>，并勾选启用，如</w:t>
      </w:r>
      <w:r>
        <w:rPr>
          <w:color w:val="0000FF"/>
          <w:u w:val="single"/>
        </w:rPr>
        <w:fldChar w:fldCharType="begin"/>
      </w:r>
      <w:r>
        <w:rPr>
          <w:color w:val="0000FF"/>
          <w:u w:val="single"/>
          <w:lang w:eastAsia="zh-CN"/>
        </w:rPr>
        <w:instrText xml:space="preserve">  REF _Ref393287206 \r \h  \* MERGEFORMAT </w:instrText>
      </w:r>
      <w:r>
        <w:rPr>
          <w:color w:val="0000FF"/>
          <w:u w:val="single"/>
        </w:rPr>
        <w:fldChar w:fldCharType="separate"/>
      </w:r>
      <w:r>
        <w:rPr>
          <w:rFonts w:hint="eastAsia"/>
          <w:color w:val="0000FF"/>
          <w:u w:val="single"/>
          <w:lang w:eastAsia="zh-CN"/>
        </w:rPr>
        <w:t>图5-51</w:t>
      </w:r>
      <w:r>
        <w:rPr>
          <w:color w:val="0000FF"/>
          <w:u w:val="single"/>
        </w:rPr>
        <w:fldChar w:fldCharType="end"/>
      </w:r>
      <w:r>
        <w:rPr>
          <w:rFonts w:hint="eastAsia"/>
          <w:lang w:eastAsia="zh-CN"/>
        </w:rPr>
        <w:t>所示。点击</w:t>
      </w:r>
      <w:r>
        <w:rPr>
          <w:lang w:eastAsia="zh-CN"/>
        </w:rPr>
        <w:t>&lt;</w:t>
      </w:r>
      <w:r>
        <w:rPr>
          <w:rFonts w:hint="eastAsia"/>
          <w:lang w:eastAsia="zh-CN"/>
        </w:rPr>
        <w:t>提交</w:t>
      </w:r>
      <w:r>
        <w:rPr>
          <w:lang w:eastAsia="zh-CN"/>
        </w:rPr>
        <w:t>&gt;</w:t>
      </w:r>
      <w:r>
        <w:rPr>
          <w:rFonts w:hint="eastAsia"/>
          <w:lang w:eastAsia="zh-CN"/>
        </w:rPr>
        <w:t>按钮，完成日志服务器的配置。</w:t>
      </w:r>
    </w:p>
    <w:p w14:paraId="7DC2F131">
      <w:pPr>
        <w:pStyle w:val="188"/>
      </w:pPr>
      <w:bookmarkStart w:id="1160" w:name="_Ref393287206"/>
      <w:bookmarkEnd w:id="1160"/>
      <w:r>
        <w:rPr>
          <w:rFonts w:hint="eastAsia"/>
        </w:rPr>
        <w:t>配置日志服务器</w:t>
      </w:r>
    </w:p>
    <w:p w14:paraId="3AABD019">
      <w:pPr>
        <w:pStyle w:val="175"/>
      </w:pPr>
      <w:r>
        <w:drawing>
          <wp:inline distT="0" distB="0" distL="0" distR="0">
            <wp:extent cx="4663440" cy="4134485"/>
            <wp:effectExtent l="0" t="0" r="3810" b="0"/>
            <wp:docPr id="3191" name="图片 3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 name="图片 3191"/>
                    <pic:cNvPicPr>
                      <a:picLocks noChangeAspect="1"/>
                    </pic:cNvPicPr>
                  </pic:nvPicPr>
                  <pic:blipFill>
                    <a:blip r:embed="rId206"/>
                    <a:stretch>
                      <a:fillRect/>
                    </a:stretch>
                  </pic:blipFill>
                  <pic:spPr>
                    <a:xfrm>
                      <a:off x="0" y="0"/>
                      <a:ext cx="4668912" cy="4139487"/>
                    </a:xfrm>
                    <a:prstGeom prst="rect">
                      <a:avLst/>
                    </a:prstGeom>
                  </pic:spPr>
                </pic:pic>
              </a:graphicData>
            </a:graphic>
          </wp:inline>
        </w:drawing>
      </w:r>
    </w:p>
    <w:p w14:paraId="00DEB02B">
      <w:pPr>
        <w:pStyle w:val="202"/>
        <w:rPr>
          <w:lang w:eastAsia="zh-CN"/>
        </w:rPr>
      </w:pPr>
      <w:r>
        <w:rPr>
          <w:rFonts w:hint="eastAsia"/>
          <w:lang w:eastAsia="zh-CN"/>
        </w:rPr>
        <w:t>点击“系统管理 &gt; 系统设定 &gt; 日志设定</w:t>
      </w:r>
      <w:r>
        <w:rPr>
          <w:lang w:eastAsia="zh-CN"/>
        </w:rPr>
        <w:t xml:space="preserve"> &gt; </w:t>
      </w:r>
      <w:r>
        <w:rPr>
          <w:rFonts w:hint="eastAsia"/>
          <w:lang w:eastAsia="zh-CN"/>
        </w:rPr>
        <w:t>日志过滤”，进入日志过滤的配置页面，将操作日志后面的本地日志改为不记录，</w:t>
      </w:r>
      <w:r>
        <w:rPr>
          <w:lang w:eastAsia="zh-CN"/>
        </w:rPr>
        <w:t>Server</w:t>
      </w:r>
      <w:r>
        <w:rPr>
          <w:rFonts w:hint="eastAsia"/>
          <w:lang w:eastAsia="zh-CN"/>
        </w:rPr>
        <w:t>日志改为发送，告警，如</w:t>
      </w:r>
      <w:r>
        <w:rPr>
          <w:color w:val="0000FF"/>
          <w:u w:val="single"/>
        </w:rPr>
        <w:fldChar w:fldCharType="begin"/>
      </w:r>
      <w:r>
        <w:rPr>
          <w:color w:val="0000FF"/>
          <w:u w:val="single"/>
          <w:lang w:eastAsia="zh-CN"/>
        </w:rPr>
        <w:instrText xml:space="preserve"> REF _Ref393287725 \r \h  \* MERGEFORMAT </w:instrText>
      </w:r>
      <w:r>
        <w:rPr>
          <w:color w:val="0000FF"/>
          <w:u w:val="single"/>
        </w:rPr>
        <w:fldChar w:fldCharType="separate"/>
      </w:r>
      <w:r>
        <w:rPr>
          <w:rFonts w:hint="eastAsia"/>
          <w:color w:val="0000FF"/>
          <w:u w:val="single"/>
          <w:lang w:eastAsia="zh-CN"/>
        </w:rPr>
        <w:t>图5-52</w:t>
      </w:r>
      <w:r>
        <w:rPr>
          <w:color w:val="0000FF"/>
          <w:u w:val="single"/>
        </w:rPr>
        <w:fldChar w:fldCharType="end"/>
      </w:r>
      <w:r>
        <w:rPr>
          <w:rFonts w:hint="eastAsia"/>
          <w:lang w:eastAsia="zh-CN"/>
        </w:rPr>
        <w:t>所示。点击</w:t>
      </w:r>
      <w:r>
        <w:rPr>
          <w:lang w:eastAsia="zh-CN"/>
        </w:rPr>
        <w:t>&lt;</w:t>
      </w:r>
      <w:r>
        <w:rPr>
          <w:rFonts w:hint="eastAsia"/>
          <w:lang w:eastAsia="zh-CN"/>
        </w:rPr>
        <w:t>提交</w:t>
      </w:r>
      <w:r>
        <w:rPr>
          <w:lang w:eastAsia="zh-CN"/>
        </w:rPr>
        <w:t>&gt;</w:t>
      </w:r>
      <w:r>
        <w:rPr>
          <w:rFonts w:hint="eastAsia"/>
          <w:lang w:eastAsia="zh-CN"/>
        </w:rPr>
        <w:t>按钮，完成日志过滤的配置</w:t>
      </w:r>
    </w:p>
    <w:p w14:paraId="7A191432">
      <w:pPr>
        <w:pStyle w:val="188"/>
      </w:pPr>
      <w:bookmarkStart w:id="1161" w:name="_Ref393287725"/>
      <w:r>
        <w:rPr>
          <w:rFonts w:hint="eastAsia"/>
        </w:rPr>
        <w:t>日志过滤配置界面</w:t>
      </w:r>
      <w:bookmarkEnd w:id="1161"/>
    </w:p>
    <w:p w14:paraId="2F28B34F">
      <w:pPr>
        <w:pStyle w:val="175"/>
      </w:pPr>
      <w:r>
        <w:drawing>
          <wp:inline distT="0" distB="0" distL="0" distR="0">
            <wp:extent cx="4476750" cy="2198370"/>
            <wp:effectExtent l="0" t="0" r="0" b="0"/>
            <wp:docPr id="3214" name="图片 3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4" name="图片 3214"/>
                    <pic:cNvPicPr>
                      <a:picLocks noChangeAspect="1"/>
                    </pic:cNvPicPr>
                  </pic:nvPicPr>
                  <pic:blipFill>
                    <a:blip r:embed="rId207"/>
                    <a:stretch>
                      <a:fillRect/>
                    </a:stretch>
                  </pic:blipFill>
                  <pic:spPr>
                    <a:xfrm>
                      <a:off x="0" y="0"/>
                      <a:ext cx="4523361" cy="2221557"/>
                    </a:xfrm>
                    <a:prstGeom prst="rect">
                      <a:avLst/>
                    </a:prstGeom>
                  </pic:spPr>
                </pic:pic>
              </a:graphicData>
            </a:graphic>
          </wp:inline>
        </w:drawing>
      </w:r>
    </w:p>
    <w:p w14:paraId="3AE816BD">
      <w:pPr>
        <w:pStyle w:val="6"/>
      </w:pPr>
      <w:r>
        <w:rPr>
          <w:rFonts w:hint="eastAsia"/>
        </w:rPr>
        <w:t>验证配置</w:t>
      </w:r>
    </w:p>
    <w:p w14:paraId="74BD31D7">
      <w:r>
        <w:rPr>
          <w:rFonts w:hint="eastAsia"/>
        </w:rPr>
        <w:t>执行告警级别以上的操作，不能从本地查询到操作日志，可以从日志服务器上查询到操作日志。</w:t>
      </w:r>
      <w:r>
        <w:br w:type="page"/>
      </w:r>
    </w:p>
    <w:p w14:paraId="192DF580">
      <w:pPr>
        <w:pStyle w:val="3"/>
      </w:pPr>
      <w:bookmarkStart w:id="1162" w:name="_Toc196727980"/>
      <w:bookmarkStart w:id="1163" w:name="_Toc194080648"/>
      <w:r>
        <w:rPr>
          <w:rFonts w:hint="eastAsia"/>
        </w:rPr>
        <w:t>接口配置</w:t>
      </w:r>
      <w:bookmarkEnd w:id="1162"/>
      <w:bookmarkEnd w:id="1163"/>
    </w:p>
    <w:p w14:paraId="132FF4A9">
      <w:pPr>
        <w:pStyle w:val="4"/>
      </w:pPr>
      <w:bookmarkStart w:id="1164" w:name="_Toc99561372"/>
      <w:bookmarkStart w:id="1165" w:name="_Toc23152448"/>
      <w:bookmarkStart w:id="1166" w:name="_Toc172218022"/>
      <w:bookmarkStart w:id="1167" w:name="_Toc142400836"/>
      <w:bookmarkStart w:id="1168" w:name="_Toc40275881"/>
      <w:bookmarkStart w:id="1169" w:name="_Toc194080649"/>
      <w:bookmarkStart w:id="1170" w:name="_Toc196727981"/>
      <w:bookmarkStart w:id="1171" w:name="_Toc15484682"/>
      <w:bookmarkStart w:id="1172" w:name="_Toc141873320"/>
      <w:bookmarkStart w:id="1173" w:name="_Toc474249885"/>
      <w:r>
        <w:rPr>
          <w:rFonts w:hint="eastAsia"/>
        </w:rPr>
        <w:t>物理接口配置</w:t>
      </w:r>
      <w:bookmarkEnd w:id="1164"/>
      <w:bookmarkEnd w:id="1165"/>
      <w:bookmarkEnd w:id="1166"/>
      <w:bookmarkEnd w:id="1167"/>
      <w:bookmarkEnd w:id="1168"/>
      <w:bookmarkEnd w:id="1169"/>
      <w:bookmarkEnd w:id="1170"/>
      <w:bookmarkEnd w:id="1171"/>
      <w:bookmarkEnd w:id="1172"/>
      <w:bookmarkEnd w:id="1173"/>
    </w:p>
    <w:p w14:paraId="31C9C3F9">
      <w:pPr>
        <w:pStyle w:val="5"/>
      </w:pPr>
      <w:bookmarkStart w:id="1174" w:name="_RIP的工作机制"/>
      <w:bookmarkEnd w:id="1174"/>
      <w:bookmarkStart w:id="1175" w:name="_Toc254612534"/>
      <w:bookmarkStart w:id="1176" w:name="_Toc474249886"/>
      <w:bookmarkStart w:id="1177" w:name="_Toc206573915"/>
      <w:bookmarkStart w:id="1178" w:name="_Toc131579945"/>
      <w:bookmarkStart w:id="1179" w:name="_Toc99561373"/>
      <w:bookmarkStart w:id="1180" w:name="_Toc196727982"/>
      <w:bookmarkStart w:id="1181" w:name="_Toc15484683"/>
      <w:bookmarkStart w:id="1182" w:name="_Toc40275882"/>
      <w:bookmarkStart w:id="1183" w:name="_Toc23152449"/>
      <w:bookmarkStart w:id="1184" w:name="_Toc141873321"/>
      <w:bookmarkStart w:id="1185" w:name="_Toc142400837"/>
      <w:bookmarkStart w:id="1186" w:name="_Toc172218023"/>
      <w:bookmarkStart w:id="1187" w:name="_Toc194080650"/>
      <w:r>
        <w:rPr>
          <w:rFonts w:hint="eastAsia"/>
        </w:rPr>
        <w:t>概述</w:t>
      </w:r>
      <w:bookmarkEnd w:id="1175"/>
      <w:bookmarkEnd w:id="1176"/>
      <w:bookmarkEnd w:id="1177"/>
      <w:bookmarkEnd w:id="1178"/>
      <w:bookmarkEnd w:id="1179"/>
      <w:bookmarkEnd w:id="1180"/>
      <w:bookmarkEnd w:id="1181"/>
      <w:bookmarkEnd w:id="1182"/>
      <w:bookmarkEnd w:id="1183"/>
      <w:bookmarkEnd w:id="1184"/>
      <w:bookmarkEnd w:id="1185"/>
      <w:bookmarkEnd w:id="1186"/>
      <w:bookmarkEnd w:id="1187"/>
    </w:p>
    <w:p w14:paraId="246FF35D">
      <w:pPr>
        <w:pStyle w:val="183"/>
      </w:pPr>
      <w:bookmarkStart w:id="1188" w:name="_Toc141875469"/>
      <w:r>
        <w:t>物理</w:t>
      </w:r>
      <w:r>
        <w:rPr>
          <w:rFonts w:hint="eastAsia"/>
        </w:rPr>
        <w:t>接口缺省配置</w:t>
      </w:r>
      <w:bookmarkEnd w:id="1188"/>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217"/>
        <w:gridCol w:w="2720"/>
        <w:gridCol w:w="4077"/>
      </w:tblGrid>
      <w:tr w14:paraId="0EF1570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tcBorders>
              <w:tl2br w:val="nil"/>
              <w:tr2bl w:val="nil"/>
            </w:tcBorders>
            <w:shd w:val="clear" w:color="auto" w:fill="538135" w:themeFill="accent6" w:themeFillShade="BF"/>
            <w:vAlign w:val="center"/>
          </w:tcPr>
          <w:p w14:paraId="75D7EA55">
            <w:pPr>
              <w:pStyle w:val="149"/>
              <w:wordWrap/>
              <w:rPr>
                <w:b/>
                <w:bCs/>
                <w:i w:val="0"/>
                <w:iCs w:val="0"/>
              </w:rPr>
            </w:pPr>
            <w:r>
              <w:rPr>
                <w:rFonts w:hint="eastAsia"/>
                <w:b/>
                <w:bCs/>
                <w:i w:val="0"/>
                <w:iCs w:val="0"/>
              </w:rPr>
              <w:t>内容</w:t>
            </w:r>
          </w:p>
        </w:tc>
        <w:tc>
          <w:tcPr>
            <w:tcW w:w="2706" w:type="dxa"/>
            <w:tcBorders>
              <w:tl2br w:val="nil"/>
              <w:tr2bl w:val="nil"/>
            </w:tcBorders>
            <w:shd w:val="clear" w:color="auto" w:fill="538135" w:themeFill="accent6" w:themeFillShade="BF"/>
            <w:vAlign w:val="center"/>
          </w:tcPr>
          <w:p w14:paraId="7745BDE1">
            <w:pPr>
              <w:pStyle w:val="149"/>
              <w:wordWrap/>
              <w:rPr>
                <w:b/>
                <w:bCs/>
                <w:i w:val="0"/>
                <w:iCs w:val="0"/>
              </w:rPr>
            </w:pPr>
            <w:r>
              <w:rPr>
                <w:rFonts w:hint="eastAsia"/>
                <w:b/>
                <w:bCs/>
                <w:i w:val="0"/>
                <w:iCs w:val="0"/>
              </w:rPr>
              <w:t>缺省设置</w:t>
            </w:r>
          </w:p>
        </w:tc>
        <w:tc>
          <w:tcPr>
            <w:tcW w:w="4056" w:type="dxa"/>
            <w:tcBorders>
              <w:tl2br w:val="nil"/>
              <w:tr2bl w:val="nil"/>
            </w:tcBorders>
            <w:shd w:val="clear" w:color="auto" w:fill="538135" w:themeFill="accent6" w:themeFillShade="BF"/>
            <w:vAlign w:val="center"/>
          </w:tcPr>
          <w:p w14:paraId="49925C72">
            <w:pPr>
              <w:pStyle w:val="149"/>
              <w:wordWrap/>
              <w:rPr>
                <w:b/>
                <w:bCs/>
                <w:i w:val="0"/>
                <w:iCs w:val="0"/>
              </w:rPr>
            </w:pPr>
            <w:r>
              <w:rPr>
                <w:rFonts w:hint="eastAsia"/>
                <w:b/>
                <w:bCs/>
                <w:i w:val="0"/>
                <w:iCs w:val="0"/>
              </w:rPr>
              <w:t>备注</w:t>
            </w:r>
          </w:p>
        </w:tc>
      </w:tr>
      <w:tr w14:paraId="1C87D9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5BA5A587">
            <w:pPr>
              <w:pStyle w:val="186"/>
              <w:widowControl w:val="0"/>
              <w:spacing w:line="240" w:lineRule="auto"/>
              <w:ind w:firstLine="0"/>
              <w:jc w:val="left"/>
            </w:pPr>
            <w:r>
              <w:rPr>
                <w:rFonts w:hint="eastAsia"/>
              </w:rPr>
              <w:t>端口自协商配置</w:t>
            </w:r>
          </w:p>
        </w:tc>
        <w:tc>
          <w:tcPr>
            <w:tcW w:w="2706" w:type="dxa"/>
            <w:shd w:val="clear" w:color="auto" w:fill="auto"/>
          </w:tcPr>
          <w:p w14:paraId="7CCC0607">
            <w:pPr>
              <w:pStyle w:val="186"/>
              <w:widowControl w:val="0"/>
              <w:spacing w:line="240" w:lineRule="auto"/>
              <w:ind w:firstLine="0"/>
              <w:jc w:val="left"/>
              <w:rPr>
                <w:i/>
              </w:rPr>
            </w:pPr>
            <w:r>
              <w:rPr>
                <w:rFonts w:hint="eastAsia"/>
              </w:rPr>
              <w:t>on</w:t>
            </w:r>
          </w:p>
        </w:tc>
        <w:tc>
          <w:tcPr>
            <w:tcW w:w="4056" w:type="dxa"/>
            <w:shd w:val="clear" w:color="auto" w:fill="auto"/>
          </w:tcPr>
          <w:p w14:paraId="3A104084">
            <w:pPr>
              <w:pStyle w:val="186"/>
              <w:widowControl w:val="0"/>
              <w:spacing w:line="240" w:lineRule="auto"/>
              <w:ind w:firstLine="0"/>
              <w:jc w:val="left"/>
            </w:pPr>
            <w:r>
              <w:rPr>
                <w:rFonts w:hint="eastAsia"/>
              </w:rPr>
              <w:t>可以更改设置</w:t>
            </w:r>
          </w:p>
        </w:tc>
      </w:tr>
      <w:tr w14:paraId="3D1ABB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22A0896C">
            <w:pPr>
              <w:pStyle w:val="186"/>
              <w:widowControl w:val="0"/>
              <w:spacing w:line="240" w:lineRule="auto"/>
              <w:ind w:firstLine="0"/>
              <w:jc w:val="left"/>
            </w:pPr>
            <w:r>
              <w:rPr>
                <w:rFonts w:hint="eastAsia"/>
              </w:rPr>
              <w:t>端口MTU</w:t>
            </w:r>
          </w:p>
        </w:tc>
        <w:tc>
          <w:tcPr>
            <w:tcW w:w="2706" w:type="dxa"/>
            <w:shd w:val="clear" w:color="auto" w:fill="auto"/>
          </w:tcPr>
          <w:p w14:paraId="03C4B8F3">
            <w:pPr>
              <w:pStyle w:val="186"/>
              <w:widowControl w:val="0"/>
              <w:spacing w:line="240" w:lineRule="auto"/>
              <w:ind w:firstLine="0"/>
              <w:jc w:val="left"/>
            </w:pPr>
            <w:r>
              <w:rPr>
                <w:rFonts w:hint="eastAsia"/>
              </w:rPr>
              <w:t>1500</w:t>
            </w:r>
          </w:p>
        </w:tc>
        <w:tc>
          <w:tcPr>
            <w:tcW w:w="4056" w:type="dxa"/>
            <w:shd w:val="clear" w:color="auto" w:fill="auto"/>
          </w:tcPr>
          <w:p w14:paraId="2CF7E50C">
            <w:pPr>
              <w:pStyle w:val="186"/>
              <w:widowControl w:val="0"/>
              <w:spacing w:line="240" w:lineRule="auto"/>
              <w:ind w:firstLine="0"/>
              <w:jc w:val="left"/>
            </w:pPr>
            <w:r>
              <w:rPr>
                <w:rFonts w:hint="eastAsia"/>
              </w:rPr>
              <w:t>可以更改设置</w:t>
            </w:r>
          </w:p>
        </w:tc>
      </w:tr>
      <w:tr w14:paraId="107DEC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459CC0CB">
            <w:pPr>
              <w:pStyle w:val="186"/>
              <w:widowControl w:val="0"/>
              <w:spacing w:line="240" w:lineRule="auto"/>
              <w:ind w:firstLine="0"/>
              <w:jc w:val="left"/>
            </w:pPr>
            <w:r>
              <w:rPr>
                <w:rFonts w:hint="eastAsia"/>
              </w:rPr>
              <w:t>端口管理状态</w:t>
            </w:r>
          </w:p>
        </w:tc>
        <w:tc>
          <w:tcPr>
            <w:tcW w:w="2706" w:type="dxa"/>
            <w:shd w:val="clear" w:color="auto" w:fill="auto"/>
          </w:tcPr>
          <w:p w14:paraId="299CF328">
            <w:pPr>
              <w:pStyle w:val="186"/>
              <w:widowControl w:val="0"/>
              <w:spacing w:line="240" w:lineRule="auto"/>
              <w:ind w:firstLine="0"/>
              <w:jc w:val="left"/>
            </w:pPr>
            <w:r>
              <w:rPr>
                <w:rFonts w:hint="eastAsia"/>
              </w:rPr>
              <w:t>no shutdown</w:t>
            </w:r>
          </w:p>
        </w:tc>
        <w:tc>
          <w:tcPr>
            <w:tcW w:w="4056" w:type="dxa"/>
            <w:shd w:val="clear" w:color="auto" w:fill="auto"/>
          </w:tcPr>
          <w:p w14:paraId="0528FCFB">
            <w:pPr>
              <w:pStyle w:val="186"/>
              <w:widowControl w:val="0"/>
              <w:spacing w:line="240" w:lineRule="auto"/>
              <w:ind w:firstLine="0"/>
              <w:jc w:val="left"/>
            </w:pPr>
            <w:r>
              <w:rPr>
                <w:rFonts w:hint="eastAsia"/>
              </w:rPr>
              <w:t>可以更改设置</w:t>
            </w:r>
          </w:p>
        </w:tc>
      </w:tr>
    </w:tbl>
    <w:p w14:paraId="49E875A6"/>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3560DBC6">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50938D9A">
            <w:pPr>
              <w:pStyle w:val="150"/>
              <w:adjustRightInd w:val="0"/>
              <w:snapToGrid w:val="0"/>
              <w:rPr>
                <w:color w:val="auto"/>
              </w:rPr>
            </w:pPr>
            <w:r>
              <w:rPr>
                <w:color w:val="auto"/>
              </w:rPr>
              <w:drawing>
                <wp:inline distT="0" distB="0" distL="0" distR="0">
                  <wp:extent cx="283210" cy="283210"/>
                  <wp:effectExtent l="0" t="0" r="2540" b="254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1EED4A99">
            <w:pPr>
              <w:pStyle w:val="207"/>
              <w:adjustRightInd w:val="0"/>
              <w:snapToGrid w:val="0"/>
              <w:rPr>
                <w:color w:val="auto"/>
                <w:lang w:eastAsia="zh-CN"/>
              </w:rPr>
            </w:pPr>
            <w:r>
              <w:rPr>
                <w:rFonts w:hint="eastAsia"/>
                <w:color w:val="auto"/>
                <w:lang w:eastAsia="zh-CN"/>
              </w:rPr>
              <w:t>物理接口在设备启动的时候就已经创建，不支持在设备运行过程中创建或者删除。</w:t>
            </w:r>
          </w:p>
          <w:p w14:paraId="47AC3B04">
            <w:pPr>
              <w:pStyle w:val="207"/>
              <w:adjustRightInd w:val="0"/>
              <w:snapToGrid w:val="0"/>
              <w:rPr>
                <w:color w:val="auto"/>
                <w:lang w:eastAsia="zh-CN"/>
              </w:rPr>
            </w:pPr>
            <w:r>
              <w:rPr>
                <w:rFonts w:hint="eastAsia"/>
                <w:color w:val="auto"/>
                <w:lang w:eastAsia="zh-CN"/>
              </w:rPr>
              <w:t>可以通过修改以太网的端口的配置来改变物理接口的运行方式。</w:t>
            </w:r>
          </w:p>
        </w:tc>
      </w:tr>
    </w:tbl>
    <w:p w14:paraId="687AC1A0"/>
    <w:p w14:paraId="486305A5">
      <w:pPr>
        <w:pStyle w:val="5"/>
      </w:pPr>
      <w:bookmarkStart w:id="1189" w:name="_Toc141873322"/>
      <w:bookmarkStart w:id="1190" w:name="_Toc142400838"/>
      <w:bookmarkStart w:id="1191" w:name="_Toc172218024"/>
      <w:bookmarkStart w:id="1192" w:name="_Toc196727983"/>
      <w:bookmarkStart w:id="1193" w:name="_Toc194080651"/>
      <w:r>
        <w:rPr>
          <w:rFonts w:hint="eastAsia"/>
        </w:rPr>
        <w:t>查看物理接口</w:t>
      </w:r>
      <w:bookmarkEnd w:id="1189"/>
      <w:bookmarkEnd w:id="1190"/>
      <w:bookmarkEnd w:id="1191"/>
      <w:bookmarkEnd w:id="1192"/>
      <w:bookmarkEnd w:id="1193"/>
    </w:p>
    <w:p w14:paraId="19DC61B6">
      <w:r>
        <w:rPr>
          <w:rFonts w:hint="eastAsia"/>
        </w:rPr>
        <w:t>如</w:t>
      </w:r>
      <w:r>
        <w:rPr>
          <w:color w:val="0000FF"/>
          <w:u w:val="single"/>
        </w:rPr>
        <w:fldChar w:fldCharType="begin"/>
      </w:r>
      <w:r>
        <w:rPr>
          <w:color w:val="0000FF"/>
          <w:u w:val="single"/>
        </w:rPr>
        <w:instrText xml:space="preserve"> REF _Ref393120861 \r \h </w:instrText>
      </w:r>
      <w:r>
        <w:rPr>
          <w:color w:val="0000FF"/>
          <w:u w:val="single"/>
        </w:rPr>
        <w:fldChar w:fldCharType="separate"/>
      </w:r>
      <w:r>
        <w:rPr>
          <w:rFonts w:hint="eastAsia"/>
          <w:color w:val="0000FF"/>
          <w:u w:val="single"/>
        </w:rPr>
        <w:t>图6-1</w:t>
      </w:r>
      <w:r>
        <w:rPr>
          <w:color w:val="0000FF"/>
          <w:u w:val="single"/>
        </w:rPr>
        <w:fldChar w:fldCharType="end"/>
      </w:r>
      <w:r>
        <w:rPr>
          <w:rFonts w:hint="eastAsia"/>
        </w:rPr>
        <w:t>所示，点击导航栏中的“网络配置 &gt; 接口配置 &gt;</w:t>
      </w:r>
      <w:r>
        <w:t xml:space="preserve"> </w:t>
      </w:r>
      <w:r>
        <w:rPr>
          <w:rFonts w:hint="eastAsia"/>
        </w:rPr>
        <w:t>物理接口”，进入物理接口的显示界面。</w:t>
      </w:r>
    </w:p>
    <w:p w14:paraId="6BC12B77">
      <w:pPr>
        <w:pStyle w:val="188"/>
      </w:pPr>
      <w:bookmarkStart w:id="1194" w:name="_Ref393120861"/>
      <w:bookmarkStart w:id="1195" w:name="_Toc141874536"/>
      <w:r>
        <w:rPr>
          <w:rFonts w:hint="eastAsia"/>
        </w:rPr>
        <w:t>物理接口显示界面</w:t>
      </w:r>
      <w:bookmarkEnd w:id="1194"/>
      <w:r>
        <w:t xml:space="preserve"> </w:t>
      </w:r>
    </w:p>
    <w:p w14:paraId="369D43A2">
      <w:pPr>
        <w:pStyle w:val="175"/>
      </w:pPr>
      <w:r>
        <w:drawing>
          <wp:inline distT="0" distB="0" distL="0" distR="0">
            <wp:extent cx="5652135" cy="922020"/>
            <wp:effectExtent l="0" t="0" r="5715"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208"/>
                    <a:stretch>
                      <a:fillRect/>
                    </a:stretch>
                  </pic:blipFill>
                  <pic:spPr>
                    <a:xfrm>
                      <a:off x="0" y="0"/>
                      <a:ext cx="5688611" cy="928331"/>
                    </a:xfrm>
                    <a:prstGeom prst="rect">
                      <a:avLst/>
                    </a:prstGeom>
                  </pic:spPr>
                </pic:pic>
              </a:graphicData>
            </a:graphic>
          </wp:inline>
        </w:drawing>
      </w:r>
      <w:bookmarkEnd w:id="1195"/>
    </w:p>
    <w:p w14:paraId="4A386063"/>
    <w:p w14:paraId="6FD69B31">
      <w:pPr>
        <w:pStyle w:val="5"/>
      </w:pPr>
      <w:bookmarkStart w:id="1196" w:name="_Toc23152451"/>
      <w:bookmarkStart w:id="1197" w:name="_Toc40275884"/>
      <w:bookmarkStart w:id="1198" w:name="_Toc142400839"/>
      <w:bookmarkStart w:id="1199" w:name="_Toc194080652"/>
      <w:bookmarkStart w:id="1200" w:name="_Toc141873323"/>
      <w:bookmarkStart w:id="1201" w:name="_Toc196727984"/>
      <w:bookmarkStart w:id="1202" w:name="_Toc474249888"/>
      <w:bookmarkStart w:id="1203" w:name="_Toc15484685"/>
      <w:bookmarkStart w:id="1204" w:name="_Toc172218025"/>
      <w:bookmarkStart w:id="1205" w:name="_Toc99561375"/>
      <w:r>
        <w:rPr>
          <w:rFonts w:hint="eastAsia"/>
        </w:rPr>
        <w:t>修改物理接口</w:t>
      </w:r>
      <w:bookmarkEnd w:id="1196"/>
      <w:bookmarkEnd w:id="1197"/>
      <w:bookmarkEnd w:id="1198"/>
      <w:bookmarkEnd w:id="1199"/>
      <w:bookmarkEnd w:id="1200"/>
      <w:bookmarkEnd w:id="1201"/>
      <w:bookmarkEnd w:id="1202"/>
      <w:bookmarkEnd w:id="1203"/>
      <w:bookmarkEnd w:id="1204"/>
      <w:bookmarkEnd w:id="1205"/>
    </w:p>
    <w:p w14:paraId="170C8FDA">
      <w:r>
        <w:rPr>
          <w:rFonts w:hint="eastAsia"/>
        </w:rPr>
        <w:t>点击</w:t>
      </w:r>
      <w:r>
        <w:fldChar w:fldCharType="begin"/>
      </w:r>
      <w:r>
        <w:instrText xml:space="preserve"> REF _Ref392768987 \r \h </w:instrText>
      </w:r>
      <w:r>
        <w:fldChar w:fldCharType="separate"/>
      </w:r>
      <w:r>
        <w:rPr>
          <w:rFonts w:hint="eastAsia"/>
        </w:rPr>
        <w:t>图6-2</w:t>
      </w:r>
      <w:r>
        <w:fldChar w:fldCharType="end"/>
      </w:r>
      <w:r>
        <w:rPr>
          <w:rFonts w:hint="eastAsia"/>
        </w:rPr>
        <w:t>物理口显示界面中，对应接口下的</w:t>
      </w:r>
      <w:r>
        <w:drawing>
          <wp:inline distT="0" distB="0" distL="0" distR="0">
            <wp:extent cx="123825" cy="123825"/>
            <wp:effectExtent l="0" t="0" r="0" b="0"/>
            <wp:docPr id="493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2" name="图片 1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a:xfrm>
                      <a:off x="0" y="0"/>
                      <a:ext cx="123825" cy="123825"/>
                    </a:xfrm>
                    <a:prstGeom prst="rect">
                      <a:avLst/>
                    </a:prstGeom>
                    <a:noFill/>
                    <a:ln>
                      <a:noFill/>
                    </a:ln>
                  </pic:spPr>
                </pic:pic>
              </a:graphicData>
            </a:graphic>
          </wp:inline>
        </w:drawing>
      </w:r>
      <w:r>
        <w:rPr>
          <w:rFonts w:hint="eastAsia"/>
        </w:rPr>
        <w:t>图标修改对应接口的配置，用户可通过修改接口配置更改其运行方式。</w:t>
      </w:r>
    </w:p>
    <w:p w14:paraId="57F76B25">
      <w:pPr>
        <w:pStyle w:val="188"/>
      </w:pPr>
      <w:bookmarkStart w:id="1206" w:name="_Ref392768987"/>
      <w:bookmarkStart w:id="1207" w:name="_Toc141874537"/>
      <w:r>
        <w:rPr>
          <w:rFonts w:hint="eastAsia"/>
        </w:rPr>
        <w:t>物理口配置界面</w:t>
      </w:r>
      <w:bookmarkEnd w:id="1206"/>
      <w:bookmarkEnd w:id="1207"/>
    </w:p>
    <w:p w14:paraId="49D6592F">
      <w:r>
        <w:drawing>
          <wp:inline distT="0" distB="0" distL="0" distR="0">
            <wp:extent cx="5623560" cy="3726815"/>
            <wp:effectExtent l="0" t="0" r="0" b="6985"/>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210"/>
                    <a:stretch>
                      <a:fillRect/>
                    </a:stretch>
                  </pic:blipFill>
                  <pic:spPr>
                    <a:xfrm>
                      <a:off x="0" y="0"/>
                      <a:ext cx="5641364" cy="3738669"/>
                    </a:xfrm>
                    <a:prstGeom prst="rect">
                      <a:avLst/>
                    </a:prstGeom>
                  </pic:spPr>
                </pic:pic>
              </a:graphicData>
            </a:graphic>
          </wp:inline>
        </w:drawing>
      </w:r>
    </w:p>
    <w:p w14:paraId="07EEB8E7"/>
    <w:p w14:paraId="6C383993">
      <w:pPr>
        <w:pStyle w:val="188"/>
      </w:pPr>
      <w:bookmarkStart w:id="1208" w:name="_Toc141874538"/>
      <w:r>
        <w:rPr>
          <w:rFonts w:hint="eastAsia"/>
        </w:rPr>
        <w:t>物理口高级配置界面</w:t>
      </w:r>
      <w:bookmarkEnd w:id="1208"/>
    </w:p>
    <w:p w14:paraId="4405BD6E">
      <w:r>
        <w:drawing>
          <wp:inline distT="0" distB="0" distL="0" distR="0">
            <wp:extent cx="5270500" cy="1746250"/>
            <wp:effectExtent l="0" t="0" r="6350" b="635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211"/>
                    <a:stretch>
                      <a:fillRect/>
                    </a:stretch>
                  </pic:blipFill>
                  <pic:spPr>
                    <a:xfrm>
                      <a:off x="0" y="0"/>
                      <a:ext cx="5298445" cy="1755705"/>
                    </a:xfrm>
                    <a:prstGeom prst="rect">
                      <a:avLst/>
                    </a:prstGeom>
                  </pic:spPr>
                </pic:pic>
              </a:graphicData>
            </a:graphic>
          </wp:inline>
        </w:drawing>
      </w:r>
    </w:p>
    <w:p w14:paraId="2B40F6B6">
      <w:pPr>
        <w:pStyle w:val="183"/>
      </w:pPr>
      <w:bookmarkStart w:id="1209" w:name="_Toc141875470"/>
      <w:r>
        <w:rPr>
          <w:rFonts w:hint="eastAsia"/>
        </w:rPr>
        <w:t>物理接口配置详细描述表</w:t>
      </w:r>
      <w:bookmarkEnd w:id="1209"/>
    </w:p>
    <w:tbl>
      <w:tblPr>
        <w:tblStyle w:val="173"/>
        <w:tblW w:w="964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238"/>
        <w:gridCol w:w="8410"/>
      </w:tblGrid>
      <w:tr w14:paraId="304787C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238" w:type="dxa"/>
            <w:tcBorders>
              <w:tl2br w:val="nil"/>
              <w:tr2bl w:val="nil"/>
            </w:tcBorders>
            <w:shd w:val="clear" w:color="auto" w:fill="538135" w:themeFill="accent6" w:themeFillShade="BF"/>
            <w:vAlign w:val="center"/>
          </w:tcPr>
          <w:p w14:paraId="76455E1C">
            <w:pPr>
              <w:pStyle w:val="149"/>
              <w:wordWrap/>
              <w:rPr>
                <w:b/>
                <w:bCs/>
                <w:i w:val="0"/>
                <w:iCs w:val="0"/>
              </w:rPr>
            </w:pPr>
            <w:r>
              <w:rPr>
                <w:rFonts w:hint="eastAsia"/>
                <w:b/>
                <w:bCs/>
                <w:i w:val="0"/>
                <w:iCs w:val="0"/>
              </w:rPr>
              <w:t>配置项</w:t>
            </w:r>
          </w:p>
        </w:tc>
        <w:tc>
          <w:tcPr>
            <w:tcW w:w="8410" w:type="dxa"/>
            <w:tcBorders>
              <w:tl2br w:val="nil"/>
              <w:tr2bl w:val="nil"/>
            </w:tcBorders>
            <w:shd w:val="clear" w:color="auto" w:fill="538135" w:themeFill="accent6" w:themeFillShade="BF"/>
            <w:vAlign w:val="center"/>
          </w:tcPr>
          <w:p w14:paraId="5E3848A3">
            <w:pPr>
              <w:pStyle w:val="149"/>
              <w:wordWrap/>
              <w:rPr>
                <w:b/>
                <w:bCs/>
                <w:i w:val="0"/>
                <w:iCs w:val="0"/>
              </w:rPr>
            </w:pPr>
            <w:r>
              <w:rPr>
                <w:rFonts w:hint="eastAsia"/>
                <w:b/>
                <w:bCs/>
                <w:i w:val="0"/>
                <w:iCs w:val="0"/>
              </w:rPr>
              <w:t>说明</w:t>
            </w:r>
          </w:p>
        </w:tc>
      </w:tr>
      <w:tr w14:paraId="431E94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30" w:hRule="atLeast"/>
        </w:trPr>
        <w:tc>
          <w:tcPr>
            <w:tcW w:w="9648" w:type="dxa"/>
            <w:gridSpan w:val="2"/>
            <w:shd w:val="clear" w:color="auto" w:fill="auto"/>
          </w:tcPr>
          <w:p w14:paraId="4330D315">
            <w:pPr>
              <w:pStyle w:val="186"/>
              <w:widowControl w:val="0"/>
              <w:spacing w:line="240" w:lineRule="auto"/>
              <w:ind w:firstLine="0"/>
              <w:jc w:val="left"/>
            </w:pPr>
            <w:r>
              <w:rPr>
                <w:rFonts w:hint="eastAsia"/>
              </w:rPr>
              <w:t>基本配置</w:t>
            </w:r>
          </w:p>
        </w:tc>
      </w:tr>
      <w:tr w14:paraId="62624C1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238" w:type="dxa"/>
            <w:shd w:val="clear" w:color="auto" w:fill="auto"/>
          </w:tcPr>
          <w:p w14:paraId="073EB9CA">
            <w:pPr>
              <w:pStyle w:val="186"/>
              <w:widowControl w:val="0"/>
              <w:spacing w:line="240" w:lineRule="auto"/>
              <w:ind w:firstLine="0"/>
              <w:jc w:val="left"/>
            </w:pPr>
            <w:r>
              <w:rPr>
                <w:rFonts w:hint="eastAsia"/>
              </w:rPr>
              <w:t>名称</w:t>
            </w:r>
          </w:p>
        </w:tc>
        <w:tc>
          <w:tcPr>
            <w:tcW w:w="8410" w:type="dxa"/>
            <w:shd w:val="clear" w:color="auto" w:fill="auto"/>
          </w:tcPr>
          <w:p w14:paraId="0C6A3AE6">
            <w:pPr>
              <w:pStyle w:val="186"/>
              <w:widowControl w:val="0"/>
              <w:spacing w:line="240" w:lineRule="auto"/>
              <w:ind w:firstLine="0"/>
              <w:jc w:val="left"/>
            </w:pPr>
            <w:r>
              <w:rPr>
                <w:rFonts w:hint="eastAsia"/>
              </w:rPr>
              <w:t>展示物理接口的名称及</w:t>
            </w:r>
            <w:r>
              <w:t>MAC</w:t>
            </w:r>
            <w:r>
              <w:rPr>
                <w:rFonts w:hint="eastAsia"/>
              </w:rPr>
              <w:t>地址。设备出厂时已经完成设置，无法修改。</w:t>
            </w:r>
          </w:p>
        </w:tc>
      </w:tr>
      <w:tr w14:paraId="4649A5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238" w:type="dxa"/>
            <w:shd w:val="clear" w:color="auto" w:fill="auto"/>
          </w:tcPr>
          <w:p w14:paraId="700DF395">
            <w:pPr>
              <w:pStyle w:val="186"/>
              <w:widowControl w:val="0"/>
              <w:spacing w:line="240" w:lineRule="auto"/>
              <w:ind w:firstLine="0"/>
              <w:jc w:val="left"/>
            </w:pPr>
            <w:r>
              <w:rPr>
                <w:rFonts w:hint="eastAsia"/>
              </w:rPr>
              <w:t>描述</w:t>
            </w:r>
          </w:p>
        </w:tc>
        <w:tc>
          <w:tcPr>
            <w:tcW w:w="8410" w:type="dxa"/>
            <w:shd w:val="clear" w:color="auto" w:fill="auto"/>
          </w:tcPr>
          <w:p w14:paraId="6246842D">
            <w:pPr>
              <w:pStyle w:val="186"/>
              <w:widowControl w:val="0"/>
              <w:spacing w:line="240" w:lineRule="auto"/>
              <w:ind w:firstLine="0"/>
              <w:jc w:val="left"/>
            </w:pPr>
            <w:r>
              <w:rPr>
                <w:rFonts w:hint="eastAsia"/>
              </w:rPr>
              <w:t>用户可根据需要添加接口的描述信息，</w:t>
            </w:r>
            <w:r>
              <w:t>0~127</w:t>
            </w:r>
            <w:r>
              <w:rPr>
                <w:rFonts w:hint="eastAsia"/>
              </w:rPr>
              <w:t>个字符。</w:t>
            </w:r>
          </w:p>
        </w:tc>
      </w:tr>
      <w:tr w14:paraId="580CFD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238" w:type="dxa"/>
            <w:shd w:val="clear" w:color="auto" w:fill="auto"/>
          </w:tcPr>
          <w:p w14:paraId="12653324">
            <w:pPr>
              <w:pStyle w:val="186"/>
              <w:widowControl w:val="0"/>
              <w:spacing w:line="240" w:lineRule="auto"/>
              <w:ind w:firstLine="0"/>
              <w:jc w:val="left"/>
            </w:pPr>
            <w:r>
              <w:rPr>
                <w:rFonts w:hint="eastAsia"/>
              </w:rPr>
              <w:t>启用</w:t>
            </w:r>
          </w:p>
        </w:tc>
        <w:tc>
          <w:tcPr>
            <w:tcW w:w="8410" w:type="dxa"/>
            <w:shd w:val="clear" w:color="auto" w:fill="auto"/>
          </w:tcPr>
          <w:p w14:paraId="4F67B163">
            <w:pPr>
              <w:pStyle w:val="186"/>
              <w:widowControl w:val="0"/>
              <w:spacing w:line="240" w:lineRule="auto"/>
              <w:ind w:firstLine="0"/>
              <w:jc w:val="left"/>
            </w:pPr>
            <w:r>
              <w:rPr>
                <w:rFonts w:hint="eastAsia"/>
              </w:rPr>
              <w:t>选中复选框启用该接口。</w:t>
            </w:r>
          </w:p>
        </w:tc>
      </w:tr>
      <w:tr w14:paraId="5767ED7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66" w:hRule="atLeast"/>
        </w:trPr>
        <w:tc>
          <w:tcPr>
            <w:tcW w:w="1238" w:type="dxa"/>
            <w:vMerge w:val="restart"/>
            <w:shd w:val="clear" w:color="auto" w:fill="auto"/>
          </w:tcPr>
          <w:p w14:paraId="05651B59">
            <w:pPr>
              <w:pStyle w:val="186"/>
              <w:widowControl w:val="0"/>
              <w:spacing w:line="240" w:lineRule="auto"/>
              <w:ind w:firstLine="0"/>
              <w:jc w:val="left"/>
            </w:pPr>
            <w:r>
              <w:rPr>
                <w:rFonts w:hint="eastAsia"/>
              </w:rPr>
              <w:t>I</w:t>
            </w:r>
            <w:r>
              <w:t>P</w:t>
            </w:r>
            <w:r>
              <w:rPr>
                <w:rFonts w:hint="eastAsia"/>
              </w:rPr>
              <w:t>类型</w:t>
            </w:r>
          </w:p>
        </w:tc>
        <w:tc>
          <w:tcPr>
            <w:tcW w:w="8410" w:type="dxa"/>
            <w:shd w:val="clear" w:color="auto" w:fill="auto"/>
          </w:tcPr>
          <w:p w14:paraId="12D6D9A3">
            <w:pPr>
              <w:pStyle w:val="186"/>
              <w:widowControl w:val="0"/>
              <w:spacing w:line="240" w:lineRule="auto"/>
              <w:ind w:firstLine="0"/>
              <w:jc w:val="left"/>
            </w:pPr>
            <w:r>
              <w:rPr>
                <w:rFonts w:hint="eastAsia"/>
              </w:rPr>
              <w:t>为接口配置I</w:t>
            </w:r>
            <w:r>
              <w:t>P</w:t>
            </w:r>
            <w:r>
              <w:rPr>
                <w:rFonts w:hint="eastAsia"/>
              </w:rPr>
              <w:t>地址，支持I</w:t>
            </w:r>
            <w:r>
              <w:t>P</w:t>
            </w:r>
            <w:r>
              <w:rPr>
                <w:rFonts w:hint="eastAsia"/>
              </w:rPr>
              <w:t>v</w:t>
            </w:r>
            <w:r>
              <w:t>4</w:t>
            </w:r>
            <w:r>
              <w:rPr>
                <w:rFonts w:hint="eastAsia"/>
              </w:rPr>
              <w:t>和I</w:t>
            </w:r>
            <w:r>
              <w:t>P</w:t>
            </w:r>
            <w:r>
              <w:rPr>
                <w:rFonts w:hint="eastAsia"/>
              </w:rPr>
              <w:t>v</w:t>
            </w:r>
            <w:r>
              <w:t>6</w:t>
            </w:r>
            <w:r>
              <w:rPr>
                <w:rFonts w:hint="eastAsia"/>
              </w:rPr>
              <w:t>两种地址类型。选择页签配置对应的I</w:t>
            </w:r>
            <w:r>
              <w:t>P</w:t>
            </w:r>
            <w:r>
              <w:rPr>
                <w:rFonts w:hint="eastAsia"/>
              </w:rPr>
              <w:t>地址。</w:t>
            </w:r>
          </w:p>
        </w:tc>
      </w:tr>
      <w:tr w14:paraId="520995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78" w:hRule="atLeast"/>
        </w:trPr>
        <w:tc>
          <w:tcPr>
            <w:tcW w:w="1238" w:type="dxa"/>
            <w:vMerge w:val="continue"/>
            <w:shd w:val="clear" w:color="auto" w:fill="auto"/>
          </w:tcPr>
          <w:p w14:paraId="490D2733">
            <w:pPr>
              <w:pStyle w:val="186"/>
              <w:widowControl w:val="0"/>
              <w:spacing w:line="240" w:lineRule="auto"/>
              <w:ind w:firstLine="0"/>
              <w:jc w:val="left"/>
            </w:pPr>
          </w:p>
        </w:tc>
        <w:tc>
          <w:tcPr>
            <w:tcW w:w="8410" w:type="dxa"/>
            <w:shd w:val="clear" w:color="auto" w:fill="auto"/>
          </w:tcPr>
          <w:p w14:paraId="18A5A1E0">
            <w:pPr>
              <w:pStyle w:val="186"/>
              <w:widowControl w:val="0"/>
              <w:spacing w:line="240" w:lineRule="auto"/>
              <w:ind w:firstLine="0"/>
              <w:jc w:val="left"/>
            </w:pPr>
            <w:r>
              <w:rPr>
                <w:rFonts w:hint="eastAsia"/>
              </w:rPr>
              <w:t>I</w:t>
            </w:r>
            <w:r>
              <w:t>P</w:t>
            </w:r>
            <w:r>
              <w:rPr>
                <w:rFonts w:hint="eastAsia"/>
              </w:rPr>
              <w:t>v</w:t>
            </w:r>
            <w:r>
              <w:t>4</w:t>
            </w:r>
            <w:r>
              <w:rPr>
                <w:rFonts w:hint="eastAsia"/>
              </w:rPr>
              <w:t>：支持三种地址模式，分别为静态地址、D</w:t>
            </w:r>
            <w:r>
              <w:t>HCP</w:t>
            </w:r>
            <w:r>
              <w:rPr>
                <w:rFonts w:hint="eastAsia"/>
              </w:rPr>
              <w:t>和P</w:t>
            </w:r>
            <w:r>
              <w:t>PPoE</w:t>
            </w:r>
            <w:r>
              <w:rPr>
                <w:rFonts w:hint="eastAsia"/>
              </w:rPr>
              <w:t>。</w:t>
            </w:r>
          </w:p>
          <w:p w14:paraId="253FD9C1">
            <w:pPr>
              <w:pStyle w:val="207"/>
              <w:numPr>
                <w:ilvl w:val="0"/>
                <w:numId w:val="24"/>
              </w:numPr>
              <w:rPr>
                <w:lang w:eastAsia="zh-CN"/>
              </w:rPr>
            </w:pPr>
            <w:r>
              <w:rPr>
                <w:rFonts w:hint="eastAsia"/>
                <w:lang w:eastAsia="zh-CN"/>
              </w:rPr>
              <w:t>静态地址：手动指定静态的接口主I</w:t>
            </w:r>
            <w:r>
              <w:rPr>
                <w:lang w:eastAsia="zh-CN"/>
              </w:rPr>
              <w:t>P</w:t>
            </w:r>
            <w:r>
              <w:rPr>
                <w:rFonts w:hint="eastAsia"/>
                <w:lang w:eastAsia="zh-CN"/>
              </w:rPr>
              <w:t>地址和掩码及从属I</w:t>
            </w:r>
            <w:r>
              <w:rPr>
                <w:lang w:eastAsia="zh-CN"/>
              </w:rPr>
              <w:t>P</w:t>
            </w:r>
            <w:r>
              <w:rPr>
                <w:rFonts w:hint="eastAsia"/>
                <w:lang w:eastAsia="zh-CN"/>
              </w:rPr>
              <w:t>地址和掩码，如</w:t>
            </w:r>
            <w:r>
              <w:rPr>
                <w:lang w:eastAsia="zh-CN"/>
              </w:rPr>
              <w:t>192.168.1.1/24</w:t>
            </w:r>
            <w:r>
              <w:rPr>
                <w:rFonts w:hint="eastAsia"/>
                <w:lang w:eastAsia="zh-CN"/>
              </w:rPr>
              <w:t>，这种模式可以避免I</w:t>
            </w:r>
            <w:r>
              <w:rPr>
                <w:lang w:eastAsia="zh-CN"/>
              </w:rPr>
              <w:t>P</w:t>
            </w:r>
            <w:r>
              <w:rPr>
                <w:rFonts w:hint="eastAsia"/>
                <w:lang w:eastAsia="zh-CN"/>
              </w:rPr>
              <w:t>地址发生变化。主地址是接口的主要通信地址，优先级最高；从属IP地址是接口第二优先级的通信地址。如果设备接口主地址无法与接口网关通信，会依次轮询确认从属IP是否可以与接口网关通信。</w:t>
            </w:r>
          </w:p>
          <w:p w14:paraId="1D91909D">
            <w:pPr>
              <w:pStyle w:val="207"/>
              <w:numPr>
                <w:ilvl w:val="0"/>
                <w:numId w:val="24"/>
              </w:numPr>
            </w:pPr>
            <w:r>
              <w:rPr>
                <w:rFonts w:hint="eastAsia"/>
                <w:lang w:eastAsia="zh-CN"/>
              </w:rPr>
              <w:t>D</w:t>
            </w:r>
            <w:r>
              <w:rPr>
                <w:lang w:eastAsia="zh-CN"/>
              </w:rPr>
              <w:t>HCP</w:t>
            </w:r>
            <w:r>
              <w:rPr>
                <w:rFonts w:hint="eastAsia"/>
                <w:lang w:eastAsia="zh-CN"/>
              </w:rPr>
              <w:t>：将物理接口配置为D</w:t>
            </w:r>
            <w:r>
              <w:rPr>
                <w:lang w:eastAsia="zh-CN"/>
              </w:rPr>
              <w:t>HCP</w:t>
            </w:r>
            <w:r>
              <w:rPr>
                <w:rFonts w:hint="eastAsia"/>
                <w:lang w:eastAsia="zh-CN"/>
              </w:rPr>
              <w:t>客户端，自动从D</w:t>
            </w:r>
            <w:r>
              <w:rPr>
                <w:lang w:eastAsia="zh-CN"/>
              </w:rPr>
              <w:t>HCP</w:t>
            </w:r>
            <w:r>
              <w:rPr>
                <w:rFonts w:hint="eastAsia"/>
                <w:lang w:eastAsia="zh-CN"/>
              </w:rPr>
              <w:t>服务器获取I</w:t>
            </w:r>
            <w:r>
              <w:rPr>
                <w:lang w:eastAsia="zh-CN"/>
              </w:rPr>
              <w:t>P</w:t>
            </w:r>
            <w:r>
              <w:rPr>
                <w:rFonts w:hint="eastAsia"/>
                <w:lang w:eastAsia="zh-CN"/>
              </w:rPr>
              <w:t>地址。</w:t>
            </w:r>
            <w:r>
              <w:t>DHCP</w:t>
            </w:r>
            <w:r>
              <w:rPr>
                <w:rFonts w:hint="eastAsia"/>
              </w:rPr>
              <w:t>是</w:t>
            </w:r>
            <w:r>
              <w:t>动态主机配置协议（Dynamic Host Configuration Protocol）的缩写</w:t>
            </w:r>
            <w:r>
              <w:rPr>
                <w:rFonts w:hint="eastAsia"/>
              </w:rPr>
              <w:t>，</w:t>
            </w:r>
            <w:r>
              <w:t>能够自动为</w:t>
            </w:r>
            <w:r>
              <w:rPr>
                <w:rFonts w:hint="eastAsia"/>
              </w:rPr>
              <w:t>客户端</w:t>
            </w:r>
            <w:r>
              <w:t>分配适当的IP地址以及相关网络参数，从而</w:t>
            </w:r>
            <w:r>
              <w:rPr>
                <w:rFonts w:hint="eastAsia"/>
              </w:rPr>
              <w:t>简化</w:t>
            </w:r>
            <w:r>
              <w:t>网络管理。</w:t>
            </w:r>
          </w:p>
          <w:p w14:paraId="7465A628">
            <w:pPr>
              <w:pStyle w:val="207"/>
              <w:numPr>
                <w:ilvl w:val="0"/>
                <w:numId w:val="24"/>
              </w:numPr>
              <w:rPr>
                <w:lang w:eastAsia="zh-CN"/>
              </w:rPr>
            </w:pPr>
            <w:r>
              <w:rPr>
                <w:rFonts w:hint="eastAsia"/>
                <w:lang w:eastAsia="zh-CN"/>
              </w:rPr>
              <w:t>接口主地址：展示D</w:t>
            </w:r>
            <w:r>
              <w:rPr>
                <w:lang w:eastAsia="zh-CN"/>
              </w:rPr>
              <w:t>HCP</w:t>
            </w:r>
            <w:r>
              <w:rPr>
                <w:rFonts w:hint="eastAsia"/>
                <w:lang w:eastAsia="zh-CN"/>
              </w:rPr>
              <w:t>服务器为该接口分配的</w:t>
            </w:r>
            <w:r>
              <w:rPr>
                <w:lang w:eastAsia="zh-CN"/>
              </w:rPr>
              <w:t>IP</w:t>
            </w:r>
            <w:r>
              <w:rPr>
                <w:rFonts w:hint="eastAsia"/>
                <w:lang w:eastAsia="zh-CN"/>
              </w:rPr>
              <w:t>地址。</w:t>
            </w:r>
          </w:p>
          <w:p w14:paraId="7AA4458A">
            <w:pPr>
              <w:pStyle w:val="207"/>
              <w:numPr>
                <w:ilvl w:val="0"/>
                <w:numId w:val="24"/>
              </w:numPr>
              <w:rPr>
                <w:lang w:eastAsia="zh-CN"/>
              </w:rPr>
            </w:pPr>
            <w:r>
              <w:rPr>
                <w:rFonts w:hint="eastAsia"/>
                <w:lang w:eastAsia="zh-CN"/>
              </w:rPr>
              <w:t>优先级：配置D</w:t>
            </w:r>
            <w:r>
              <w:rPr>
                <w:lang w:eastAsia="zh-CN"/>
              </w:rPr>
              <w:t>HCP</w:t>
            </w:r>
            <w:r>
              <w:rPr>
                <w:rFonts w:hint="eastAsia"/>
                <w:lang w:eastAsia="zh-CN"/>
              </w:rPr>
              <w:t>优先级，范围1</w:t>
            </w:r>
            <w:r>
              <w:rPr>
                <w:lang w:eastAsia="zh-CN"/>
              </w:rPr>
              <w:t>~255</w:t>
            </w:r>
            <w:r>
              <w:rPr>
                <w:rFonts w:hint="eastAsia"/>
                <w:lang w:eastAsia="zh-CN"/>
              </w:rPr>
              <w:t>，</w:t>
            </w:r>
            <w:r>
              <w:rPr>
                <w:lang w:eastAsia="zh-CN"/>
              </w:rPr>
              <w:t>数字越</w:t>
            </w:r>
            <w:r>
              <w:rPr>
                <w:rFonts w:hint="eastAsia"/>
                <w:lang w:eastAsia="zh-CN"/>
              </w:rPr>
              <w:t>小</w:t>
            </w:r>
            <w:r>
              <w:rPr>
                <w:lang w:eastAsia="zh-CN"/>
              </w:rPr>
              <w:t>，优先级越高</w:t>
            </w:r>
            <w:r>
              <w:rPr>
                <w:rFonts w:hint="eastAsia"/>
                <w:lang w:eastAsia="zh-CN"/>
              </w:rPr>
              <w:t>，即系统优先分配优先级数值小的D</w:t>
            </w:r>
            <w:r>
              <w:rPr>
                <w:lang w:eastAsia="zh-CN"/>
              </w:rPr>
              <w:t>HCP</w:t>
            </w:r>
            <w:r>
              <w:rPr>
                <w:rFonts w:hint="eastAsia"/>
                <w:lang w:eastAsia="zh-CN"/>
              </w:rPr>
              <w:t>地址</w:t>
            </w:r>
            <w:r>
              <w:rPr>
                <w:lang w:eastAsia="zh-CN"/>
              </w:rPr>
              <w:t>。</w:t>
            </w:r>
          </w:p>
          <w:p w14:paraId="0B0CA676">
            <w:pPr>
              <w:pStyle w:val="207"/>
              <w:numPr>
                <w:ilvl w:val="0"/>
                <w:numId w:val="24"/>
              </w:numPr>
              <w:rPr>
                <w:lang w:eastAsia="zh-CN"/>
              </w:rPr>
            </w:pPr>
            <w:r>
              <w:rPr>
                <w:lang w:eastAsia="zh-CN"/>
              </w:rPr>
              <w:t>DHCP</w:t>
            </w:r>
            <w:r>
              <w:rPr>
                <w:rFonts w:hint="eastAsia"/>
                <w:lang w:eastAsia="zh-CN"/>
              </w:rPr>
              <w:t>属性：选择是否利用D</w:t>
            </w:r>
            <w:r>
              <w:rPr>
                <w:lang w:eastAsia="zh-CN"/>
              </w:rPr>
              <w:t>HCP</w:t>
            </w:r>
            <w:r>
              <w:rPr>
                <w:rFonts w:hint="eastAsia"/>
                <w:lang w:eastAsia="zh-CN"/>
              </w:rPr>
              <w:t>信息自动更新网关的默认路由或D</w:t>
            </w:r>
            <w:r>
              <w:rPr>
                <w:lang w:eastAsia="zh-CN"/>
              </w:rPr>
              <w:t>NS</w:t>
            </w:r>
            <w:r>
              <w:rPr>
                <w:rFonts w:hint="eastAsia"/>
                <w:lang w:eastAsia="zh-CN"/>
              </w:rPr>
              <w:t>服务器。</w:t>
            </w:r>
          </w:p>
          <w:p w14:paraId="7F5AC2EC">
            <w:pPr>
              <w:pStyle w:val="207"/>
              <w:numPr>
                <w:ilvl w:val="0"/>
                <w:numId w:val="24"/>
              </w:numPr>
            </w:pPr>
            <w:r>
              <w:t>PPPoE</w:t>
            </w:r>
            <w:r>
              <w:rPr>
                <w:rFonts w:hint="eastAsia"/>
              </w:rPr>
              <w:t>：将物理接口配置为P</w:t>
            </w:r>
            <w:r>
              <w:t>PPoE</w:t>
            </w:r>
            <w:r>
              <w:rPr>
                <w:rFonts w:hint="eastAsia"/>
              </w:rPr>
              <w:t>客户端。</w:t>
            </w:r>
            <w:r>
              <w:t>PPPoE是以太网上点对点协议（Point-to-Point Protocol over Ethernet）的缩写</w:t>
            </w:r>
            <w:r>
              <w:rPr>
                <w:rFonts w:hint="eastAsia"/>
              </w:rPr>
              <w:t>，</w:t>
            </w:r>
            <w:r>
              <w:t>在</w:t>
            </w:r>
            <w:r>
              <w:rPr>
                <w:rFonts w:hint="eastAsia"/>
              </w:rPr>
              <w:t>为客户端</w:t>
            </w:r>
            <w:r>
              <w:t>分配IP地址的同时，可以对客户端进行接入控制、验证以及计费</w:t>
            </w:r>
            <w:r>
              <w:rPr>
                <w:rFonts w:hint="eastAsia"/>
              </w:rPr>
              <w:t>。</w:t>
            </w:r>
          </w:p>
          <w:p w14:paraId="57F4D191">
            <w:pPr>
              <w:pStyle w:val="207"/>
              <w:numPr>
                <w:ilvl w:val="0"/>
                <w:numId w:val="24"/>
              </w:numPr>
              <w:rPr>
                <w:lang w:eastAsia="zh-CN"/>
              </w:rPr>
            </w:pPr>
            <w:r>
              <w:rPr>
                <w:rFonts w:hint="eastAsia"/>
                <w:lang w:eastAsia="zh-CN"/>
              </w:rPr>
              <w:t>接口主地址：展示</w:t>
            </w:r>
            <w:r>
              <w:rPr>
                <w:lang w:eastAsia="zh-CN"/>
              </w:rPr>
              <w:t>PPPoE</w:t>
            </w:r>
            <w:r>
              <w:rPr>
                <w:rFonts w:hint="eastAsia"/>
                <w:lang w:eastAsia="zh-CN"/>
              </w:rPr>
              <w:t>服务器为该接口分配的</w:t>
            </w:r>
            <w:r>
              <w:rPr>
                <w:lang w:eastAsia="zh-CN"/>
              </w:rPr>
              <w:t>IP</w:t>
            </w:r>
            <w:r>
              <w:rPr>
                <w:rFonts w:hint="eastAsia"/>
                <w:lang w:eastAsia="zh-CN"/>
              </w:rPr>
              <w:t>地址。</w:t>
            </w:r>
          </w:p>
          <w:p w14:paraId="66188F00">
            <w:pPr>
              <w:pStyle w:val="207"/>
              <w:numPr>
                <w:ilvl w:val="0"/>
                <w:numId w:val="24"/>
              </w:numPr>
              <w:rPr>
                <w:lang w:eastAsia="zh-CN"/>
              </w:rPr>
            </w:pPr>
            <w:r>
              <w:rPr>
                <w:rFonts w:hint="eastAsia"/>
                <w:lang w:eastAsia="zh-CN"/>
              </w:rPr>
              <w:t>用户名：</w:t>
            </w:r>
            <w:r>
              <w:rPr>
                <w:lang w:eastAsia="zh-CN"/>
              </w:rPr>
              <w:t>PPPoE</w:t>
            </w:r>
            <w:r>
              <w:rPr>
                <w:rFonts w:hint="eastAsia"/>
                <w:lang w:eastAsia="zh-CN"/>
              </w:rPr>
              <w:t>拨号的用户名，通常由I</w:t>
            </w:r>
            <w:r>
              <w:rPr>
                <w:lang w:eastAsia="zh-CN"/>
              </w:rPr>
              <w:t>SP</w:t>
            </w:r>
            <w:r>
              <w:rPr>
                <w:rFonts w:hint="eastAsia"/>
                <w:lang w:eastAsia="zh-CN"/>
              </w:rPr>
              <w:t>服务商提供。</w:t>
            </w:r>
          </w:p>
          <w:p w14:paraId="5732DF58">
            <w:pPr>
              <w:pStyle w:val="207"/>
              <w:numPr>
                <w:ilvl w:val="0"/>
                <w:numId w:val="24"/>
              </w:numPr>
              <w:rPr>
                <w:lang w:eastAsia="zh-CN"/>
              </w:rPr>
            </w:pPr>
            <w:r>
              <w:rPr>
                <w:rFonts w:hint="eastAsia"/>
                <w:lang w:eastAsia="zh-CN"/>
              </w:rPr>
              <w:t>密码：</w:t>
            </w:r>
            <w:r>
              <w:rPr>
                <w:lang w:eastAsia="zh-CN"/>
              </w:rPr>
              <w:t>PPPoE</w:t>
            </w:r>
            <w:r>
              <w:rPr>
                <w:rFonts w:hint="eastAsia"/>
                <w:lang w:eastAsia="zh-CN"/>
              </w:rPr>
              <w:t>拨号的密码，通常由I</w:t>
            </w:r>
            <w:r>
              <w:rPr>
                <w:lang w:eastAsia="zh-CN"/>
              </w:rPr>
              <w:t>SP</w:t>
            </w:r>
            <w:r>
              <w:rPr>
                <w:rFonts w:hint="eastAsia"/>
                <w:lang w:eastAsia="zh-CN"/>
              </w:rPr>
              <w:t>服务商提供。</w:t>
            </w:r>
          </w:p>
          <w:p w14:paraId="55AF25D5">
            <w:pPr>
              <w:pStyle w:val="207"/>
              <w:numPr>
                <w:ilvl w:val="0"/>
                <w:numId w:val="24"/>
              </w:numPr>
              <w:rPr>
                <w:lang w:eastAsia="zh-CN"/>
              </w:rPr>
            </w:pPr>
            <w:r>
              <w:rPr>
                <w:rFonts w:hint="eastAsia"/>
                <w:lang w:eastAsia="zh-CN"/>
              </w:rPr>
              <w:t>优先级：配置</w:t>
            </w:r>
            <w:r>
              <w:rPr>
                <w:lang w:eastAsia="zh-CN"/>
              </w:rPr>
              <w:t>PPPoE</w:t>
            </w:r>
            <w:r>
              <w:rPr>
                <w:rFonts w:hint="eastAsia"/>
                <w:lang w:eastAsia="zh-CN"/>
              </w:rPr>
              <w:t>优先级，范围1~</w:t>
            </w:r>
            <w:r>
              <w:rPr>
                <w:lang w:eastAsia="zh-CN"/>
              </w:rPr>
              <w:t>255</w:t>
            </w:r>
            <w:r>
              <w:rPr>
                <w:rFonts w:hint="eastAsia"/>
                <w:lang w:eastAsia="zh-CN"/>
              </w:rPr>
              <w:t>，</w:t>
            </w:r>
            <w:r>
              <w:rPr>
                <w:lang w:eastAsia="zh-CN"/>
              </w:rPr>
              <w:t>数字越</w:t>
            </w:r>
            <w:r>
              <w:rPr>
                <w:rFonts w:hint="eastAsia"/>
                <w:lang w:eastAsia="zh-CN"/>
              </w:rPr>
              <w:t>小</w:t>
            </w:r>
            <w:r>
              <w:rPr>
                <w:lang w:eastAsia="zh-CN"/>
              </w:rPr>
              <w:t>，优先级越高</w:t>
            </w:r>
            <w:r>
              <w:rPr>
                <w:rFonts w:hint="eastAsia"/>
                <w:lang w:eastAsia="zh-CN"/>
              </w:rPr>
              <w:t>，即系统优先分配优先级数值小的</w:t>
            </w:r>
            <w:r>
              <w:rPr>
                <w:lang w:eastAsia="zh-CN"/>
              </w:rPr>
              <w:t>PPPoE</w:t>
            </w:r>
            <w:r>
              <w:rPr>
                <w:rFonts w:hint="eastAsia"/>
                <w:lang w:eastAsia="zh-CN"/>
              </w:rPr>
              <w:t>地址</w:t>
            </w:r>
            <w:r>
              <w:rPr>
                <w:lang w:eastAsia="zh-CN"/>
              </w:rPr>
              <w:t>。</w:t>
            </w:r>
          </w:p>
          <w:p w14:paraId="3B4B47AD">
            <w:pPr>
              <w:pStyle w:val="207"/>
              <w:numPr>
                <w:ilvl w:val="0"/>
                <w:numId w:val="24"/>
              </w:numPr>
              <w:rPr>
                <w:lang w:eastAsia="zh-CN"/>
              </w:rPr>
            </w:pPr>
            <w:r>
              <w:rPr>
                <w:lang w:eastAsia="zh-CN"/>
              </w:rPr>
              <w:t>PPPoE</w:t>
            </w:r>
            <w:r>
              <w:rPr>
                <w:rFonts w:hint="eastAsia"/>
                <w:lang w:eastAsia="zh-CN"/>
              </w:rPr>
              <w:t>属性：选择是否利用</w:t>
            </w:r>
            <w:r>
              <w:rPr>
                <w:lang w:eastAsia="zh-CN"/>
              </w:rPr>
              <w:t>PPPoE</w:t>
            </w:r>
            <w:r>
              <w:rPr>
                <w:rFonts w:hint="eastAsia"/>
                <w:lang w:eastAsia="zh-CN"/>
              </w:rPr>
              <w:t>信息自动更新网关的默认路由或D</w:t>
            </w:r>
            <w:r>
              <w:rPr>
                <w:lang w:eastAsia="zh-CN"/>
              </w:rPr>
              <w:t>NS</w:t>
            </w:r>
            <w:r>
              <w:rPr>
                <w:rFonts w:hint="eastAsia"/>
                <w:lang w:eastAsia="zh-CN"/>
              </w:rPr>
              <w:t>服务器。</w:t>
            </w:r>
          </w:p>
        </w:tc>
      </w:tr>
      <w:tr w14:paraId="6A658E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77" w:hRule="atLeast"/>
        </w:trPr>
        <w:tc>
          <w:tcPr>
            <w:tcW w:w="1238" w:type="dxa"/>
            <w:vMerge w:val="continue"/>
            <w:shd w:val="clear" w:color="auto" w:fill="auto"/>
          </w:tcPr>
          <w:p w14:paraId="54C7D75E">
            <w:pPr>
              <w:pStyle w:val="186"/>
              <w:widowControl w:val="0"/>
              <w:spacing w:line="240" w:lineRule="auto"/>
              <w:ind w:firstLine="0"/>
              <w:jc w:val="left"/>
            </w:pPr>
          </w:p>
        </w:tc>
        <w:tc>
          <w:tcPr>
            <w:tcW w:w="8410" w:type="dxa"/>
            <w:shd w:val="clear" w:color="auto" w:fill="auto"/>
          </w:tcPr>
          <w:p w14:paraId="119E09F1">
            <w:pPr>
              <w:pStyle w:val="186"/>
              <w:widowControl w:val="0"/>
              <w:spacing w:line="240" w:lineRule="auto"/>
              <w:ind w:firstLine="0"/>
              <w:jc w:val="left"/>
            </w:pPr>
            <w:r>
              <w:rPr>
                <w:rFonts w:hint="eastAsia"/>
              </w:rPr>
              <w:t>I</w:t>
            </w:r>
            <w:r>
              <w:t>P</w:t>
            </w:r>
            <w:r>
              <w:rPr>
                <w:rFonts w:hint="eastAsia"/>
              </w:rPr>
              <w:t>v</w:t>
            </w:r>
            <w:r>
              <w:t>6</w:t>
            </w:r>
            <w:r>
              <w:rPr>
                <w:rFonts w:hint="eastAsia"/>
              </w:rPr>
              <w:t>：支持四种地址模式，分别为静态地址、DHCP、PPPoE和ND-RA。</w:t>
            </w:r>
          </w:p>
          <w:p w14:paraId="76F01F64">
            <w:pPr>
              <w:pStyle w:val="207"/>
              <w:numPr>
                <w:ilvl w:val="0"/>
                <w:numId w:val="24"/>
              </w:numPr>
              <w:rPr>
                <w:lang w:eastAsia="zh-CN"/>
              </w:rPr>
            </w:pPr>
            <w:r>
              <w:rPr>
                <w:rFonts w:hint="eastAsia"/>
                <w:lang w:eastAsia="zh-CN"/>
              </w:rPr>
              <w:t>静态地址模式：用户需手动添加接口主地址及从属地址，如</w:t>
            </w:r>
            <w:r>
              <w:rPr>
                <w:lang w:eastAsia="zh-CN"/>
              </w:rPr>
              <w:t>FEC0::1/64</w:t>
            </w:r>
            <w:r>
              <w:rPr>
                <w:rFonts w:hint="eastAsia"/>
                <w:lang w:eastAsia="zh-CN"/>
              </w:rPr>
              <w:t>。主地址是接口的主要通信地址，优先级最高；从属IP地址是接口第二优先级的通信地址。如果设备接口主地址无法与接口网关通信，会依次轮询确认从属IP是否可以与接口网关通信。勾选启用</w:t>
            </w:r>
            <w:r>
              <w:rPr>
                <w:lang w:eastAsia="zh-CN"/>
              </w:rPr>
              <w:t>EUI-64</w:t>
            </w:r>
            <w:r>
              <w:rPr>
                <w:rFonts w:hint="eastAsia"/>
                <w:lang w:eastAsia="zh-CN"/>
              </w:rPr>
              <w:t>复选框启用</w:t>
            </w:r>
            <w:r>
              <w:rPr>
                <w:lang w:eastAsia="zh-CN"/>
              </w:rPr>
              <w:t>EUI-64</w:t>
            </w:r>
            <w:r>
              <w:rPr>
                <w:rFonts w:hint="eastAsia"/>
                <w:lang w:eastAsia="zh-CN"/>
              </w:rPr>
              <w:t>。启用后，如果接口没有配置DHCP服务器，将会自动配置IP</w:t>
            </w:r>
            <w:r>
              <w:rPr>
                <w:lang w:eastAsia="zh-CN"/>
              </w:rPr>
              <w:t>v</w:t>
            </w:r>
            <w:r>
              <w:rPr>
                <w:rFonts w:hint="eastAsia"/>
                <w:lang w:eastAsia="zh-CN"/>
              </w:rPr>
              <w:t>6地址。EUI-64的构造规则是根据接口的MAC地址加上固定的前缀成一个IP</w:t>
            </w:r>
            <w:r>
              <w:rPr>
                <w:lang w:eastAsia="zh-CN"/>
              </w:rPr>
              <w:t>v</w:t>
            </w:r>
            <w:r>
              <w:rPr>
                <w:rFonts w:hint="eastAsia"/>
                <w:lang w:eastAsia="zh-CN"/>
              </w:rPr>
              <w:t>6地址：自动将48位以太网MAC地址扩展到64位，再组合一个64位的I</w:t>
            </w:r>
            <w:r>
              <w:rPr>
                <w:lang w:eastAsia="zh-CN"/>
              </w:rPr>
              <w:t>P</w:t>
            </w:r>
            <w:r>
              <w:rPr>
                <w:rFonts w:hint="eastAsia"/>
                <w:lang w:eastAsia="zh-CN"/>
              </w:rPr>
              <w:t>v6地址前缀组成一个IP</w:t>
            </w:r>
            <w:r>
              <w:rPr>
                <w:lang w:eastAsia="zh-CN"/>
              </w:rPr>
              <w:t>v</w:t>
            </w:r>
            <w:r>
              <w:rPr>
                <w:rFonts w:hint="eastAsia"/>
                <w:lang w:eastAsia="zh-CN"/>
              </w:rPr>
              <w:t>6地址。</w:t>
            </w:r>
          </w:p>
          <w:p w14:paraId="74F12C0C">
            <w:pPr>
              <w:pStyle w:val="207"/>
              <w:numPr>
                <w:ilvl w:val="0"/>
                <w:numId w:val="24"/>
              </w:numPr>
              <w:rPr>
                <w:lang w:eastAsia="zh-CN"/>
              </w:rPr>
            </w:pPr>
            <w:r>
              <w:rPr>
                <w:rFonts w:hint="eastAsia"/>
                <w:lang w:eastAsia="zh-CN"/>
              </w:rPr>
              <w:t>DHCP：将物理接口配置为DHCP客户端，自动从DHCP服务器获取到IPv6地址。</w:t>
            </w:r>
          </w:p>
          <w:p w14:paraId="6333B7C7">
            <w:pPr>
              <w:pStyle w:val="207"/>
              <w:numPr>
                <w:ilvl w:val="0"/>
                <w:numId w:val="24"/>
              </w:numPr>
            </w:pPr>
            <w:r>
              <w:rPr>
                <w:rFonts w:hint="eastAsia"/>
              </w:rPr>
              <w:t>PPPOE：将物理接口配置为P</w:t>
            </w:r>
            <w:r>
              <w:t>PPoE</w:t>
            </w:r>
            <w:r>
              <w:rPr>
                <w:rFonts w:hint="eastAsia"/>
              </w:rPr>
              <w:t>客户端。</w:t>
            </w:r>
          </w:p>
          <w:p w14:paraId="521E2B07">
            <w:pPr>
              <w:pStyle w:val="207"/>
              <w:numPr>
                <w:ilvl w:val="0"/>
                <w:numId w:val="24"/>
              </w:numPr>
              <w:rPr>
                <w:lang w:eastAsia="zh-CN"/>
              </w:rPr>
            </w:pPr>
            <w:r>
              <w:rPr>
                <w:rFonts w:hint="eastAsia"/>
                <w:lang w:eastAsia="zh-CN"/>
              </w:rPr>
              <w:t>ND-RA：设备可以通过ND邻居发现模式从支持IPv6 ND邻居发现的路由器获取地址。将物理接口配置为ND-RA。接口可以发送RS，通过路由器回应的RA报文获取到IPv6地址。</w:t>
            </w:r>
          </w:p>
        </w:tc>
      </w:tr>
      <w:tr w14:paraId="03DCD9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9648" w:type="dxa"/>
            <w:gridSpan w:val="2"/>
            <w:shd w:val="clear" w:color="auto" w:fill="auto"/>
          </w:tcPr>
          <w:p w14:paraId="5510E2E2">
            <w:pPr>
              <w:pStyle w:val="186"/>
              <w:widowControl w:val="0"/>
              <w:spacing w:line="240" w:lineRule="auto"/>
              <w:ind w:firstLine="0"/>
              <w:jc w:val="left"/>
            </w:pPr>
            <w:r>
              <w:rPr>
                <w:rFonts w:hint="eastAsia"/>
              </w:rPr>
              <w:t>高级配置</w:t>
            </w:r>
          </w:p>
        </w:tc>
      </w:tr>
      <w:tr w14:paraId="1D7182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238" w:type="dxa"/>
            <w:shd w:val="clear" w:color="auto" w:fill="auto"/>
          </w:tcPr>
          <w:p w14:paraId="4A9CAEA5">
            <w:pPr>
              <w:pStyle w:val="186"/>
              <w:widowControl w:val="0"/>
              <w:spacing w:line="240" w:lineRule="auto"/>
              <w:ind w:firstLine="0"/>
              <w:jc w:val="left"/>
            </w:pPr>
            <w:r>
              <w:rPr>
                <w:rFonts w:hint="eastAsia"/>
              </w:rPr>
              <w:t>管理方式</w:t>
            </w:r>
          </w:p>
        </w:tc>
        <w:tc>
          <w:tcPr>
            <w:tcW w:w="8410" w:type="dxa"/>
            <w:shd w:val="clear" w:color="auto" w:fill="auto"/>
          </w:tcPr>
          <w:p w14:paraId="77E4BE9D">
            <w:pPr>
              <w:pStyle w:val="186"/>
              <w:widowControl w:val="0"/>
              <w:spacing w:line="240" w:lineRule="auto"/>
              <w:ind w:firstLine="0"/>
              <w:jc w:val="left"/>
            </w:pPr>
            <w:r>
              <w:rPr>
                <w:rFonts w:hint="eastAsia"/>
              </w:rPr>
              <w:t>勾选复选框配置是否允许用户通过</w:t>
            </w:r>
            <w:r>
              <w:t>HTTPS</w:t>
            </w:r>
            <w:r>
              <w:rPr>
                <w:rFonts w:hint="eastAsia"/>
              </w:rPr>
              <w:t>、HTTP、</w:t>
            </w:r>
            <w:r>
              <w:t>SSH</w:t>
            </w:r>
            <w:r>
              <w:rPr>
                <w:rFonts w:hint="eastAsia"/>
              </w:rPr>
              <w:t>、</w:t>
            </w:r>
            <w:r>
              <w:t>Telnet</w:t>
            </w:r>
            <w:r>
              <w:rPr>
                <w:rFonts w:hint="eastAsia"/>
              </w:rPr>
              <w:t>、</w:t>
            </w:r>
            <w:r>
              <w:t>P</w:t>
            </w:r>
            <w:r>
              <w:rPr>
                <w:rFonts w:hint="eastAsia"/>
              </w:rPr>
              <w:t>ing、</w:t>
            </w:r>
            <w:r>
              <w:t>Center-monitor</w:t>
            </w:r>
            <w:r>
              <w:rPr>
                <w:rFonts w:hint="eastAsia"/>
              </w:rPr>
              <w:t>等服务管理接口。</w:t>
            </w:r>
          </w:p>
        </w:tc>
      </w:tr>
      <w:tr w14:paraId="67463F4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238" w:type="dxa"/>
            <w:shd w:val="clear" w:color="auto" w:fill="auto"/>
          </w:tcPr>
          <w:p w14:paraId="26AC0146">
            <w:pPr>
              <w:pStyle w:val="186"/>
              <w:widowControl w:val="0"/>
              <w:spacing w:line="240" w:lineRule="auto"/>
              <w:ind w:firstLine="0"/>
              <w:jc w:val="left"/>
            </w:pPr>
            <w:r>
              <w:rPr>
                <w:rFonts w:hint="eastAsia"/>
              </w:rPr>
              <w:t>协商模式</w:t>
            </w:r>
          </w:p>
        </w:tc>
        <w:tc>
          <w:tcPr>
            <w:tcW w:w="8410" w:type="dxa"/>
            <w:shd w:val="clear" w:color="auto" w:fill="auto"/>
          </w:tcPr>
          <w:p w14:paraId="2FB99E2B">
            <w:pPr>
              <w:pStyle w:val="186"/>
              <w:widowControl w:val="0"/>
              <w:spacing w:line="240" w:lineRule="auto"/>
              <w:ind w:firstLine="0"/>
              <w:jc w:val="left"/>
            </w:pPr>
            <w:r>
              <w:rPr>
                <w:rFonts w:hint="eastAsia"/>
              </w:rPr>
              <w:t>选择网络通讯两端接口的参数协商模式。</w:t>
            </w:r>
          </w:p>
          <w:p w14:paraId="7EF592E3">
            <w:pPr>
              <w:pStyle w:val="207"/>
              <w:numPr>
                <w:ilvl w:val="0"/>
                <w:numId w:val="24"/>
              </w:numPr>
              <w:rPr>
                <w:lang w:eastAsia="zh-CN"/>
              </w:rPr>
            </w:pPr>
            <w:r>
              <w:rPr>
                <w:rFonts w:hint="eastAsia"/>
                <w:lang w:eastAsia="zh-CN"/>
              </w:rPr>
              <w:t>自动：接口根据另一端设备的连接速度和双工模式，自动将其速度调节到最高的公共水平，即线路两端具有的最快速度和双工模式。</w:t>
            </w:r>
          </w:p>
          <w:p w14:paraId="2E11024E">
            <w:pPr>
              <w:pStyle w:val="207"/>
              <w:numPr>
                <w:ilvl w:val="0"/>
                <w:numId w:val="24"/>
              </w:numPr>
              <w:rPr>
                <w:lang w:eastAsia="zh-CN"/>
              </w:rPr>
            </w:pPr>
            <w:r>
              <w:rPr>
                <w:rFonts w:hint="eastAsia"/>
                <w:lang w:eastAsia="zh-CN"/>
              </w:rPr>
              <w:t>强制：手动设置接口的速率和双工模式。通讯双方接口的参数设置必须一致，否则会导致无法正常工作。</w:t>
            </w:r>
          </w:p>
          <w:p w14:paraId="5D923D48">
            <w:pPr>
              <w:pStyle w:val="207"/>
              <w:numPr>
                <w:ilvl w:val="0"/>
                <w:numId w:val="24"/>
              </w:numPr>
              <w:rPr>
                <w:lang w:eastAsia="zh-CN"/>
              </w:rPr>
            </w:pPr>
            <w:r>
              <w:rPr>
                <w:rFonts w:hint="eastAsia"/>
                <w:lang w:eastAsia="zh-CN"/>
              </w:rPr>
              <w:t>速率：设置接口的的传输速率，百兆接口可选1</w:t>
            </w:r>
            <w:r>
              <w:rPr>
                <w:lang w:eastAsia="zh-CN"/>
              </w:rPr>
              <w:t>0M</w:t>
            </w:r>
            <w:r>
              <w:rPr>
                <w:rFonts w:hint="eastAsia"/>
                <w:lang w:eastAsia="zh-CN"/>
              </w:rPr>
              <w:t>或1</w:t>
            </w:r>
            <w:r>
              <w:rPr>
                <w:lang w:eastAsia="zh-CN"/>
              </w:rPr>
              <w:t>00M</w:t>
            </w:r>
            <w:r>
              <w:rPr>
                <w:rFonts w:hint="eastAsia"/>
                <w:lang w:eastAsia="zh-CN"/>
              </w:rPr>
              <w:t>，千兆接口可选1</w:t>
            </w:r>
            <w:r>
              <w:rPr>
                <w:lang w:eastAsia="zh-CN"/>
              </w:rPr>
              <w:t>0M</w:t>
            </w:r>
            <w:r>
              <w:rPr>
                <w:rFonts w:hint="eastAsia"/>
                <w:lang w:eastAsia="zh-CN"/>
              </w:rPr>
              <w:t>、1</w:t>
            </w:r>
            <w:r>
              <w:rPr>
                <w:lang w:eastAsia="zh-CN"/>
              </w:rPr>
              <w:t>00M</w:t>
            </w:r>
            <w:r>
              <w:rPr>
                <w:rFonts w:hint="eastAsia"/>
                <w:lang w:eastAsia="zh-CN"/>
              </w:rPr>
              <w:t>或1</w:t>
            </w:r>
            <w:r>
              <w:rPr>
                <w:lang w:eastAsia="zh-CN"/>
              </w:rPr>
              <w:t>000M</w:t>
            </w:r>
            <w:r>
              <w:rPr>
                <w:rFonts w:hint="eastAsia"/>
                <w:lang w:eastAsia="zh-CN"/>
              </w:rPr>
              <w:t>。（注意：光口无法强制设置速率）</w:t>
            </w:r>
          </w:p>
          <w:p w14:paraId="4E45CFEB">
            <w:pPr>
              <w:pStyle w:val="207"/>
              <w:numPr>
                <w:ilvl w:val="0"/>
                <w:numId w:val="24"/>
              </w:numPr>
            </w:pPr>
            <w:r>
              <w:rPr>
                <w:rFonts w:hint="eastAsia"/>
                <w:lang w:eastAsia="zh-CN"/>
              </w:rPr>
              <w:t>双工模式：设置接口的双工工作模式，有全双工和半双工两种模式（系统不支持1</w:t>
            </w:r>
            <w:r>
              <w:rPr>
                <w:lang w:eastAsia="zh-CN"/>
              </w:rPr>
              <w:t>000M</w:t>
            </w:r>
            <w:r>
              <w:rPr>
                <w:rFonts w:hint="eastAsia"/>
                <w:lang w:eastAsia="zh-CN"/>
              </w:rPr>
              <w:t>的半双工工作模式）。全双工模式下，接口可以同时收发数据；半双工模式下，接收和发送数据不能同时进行。</w:t>
            </w:r>
            <w:r>
              <w:rPr>
                <w:rFonts w:hint="eastAsia"/>
              </w:rPr>
              <w:t>（注意：光口无法强制设置双工模式）</w:t>
            </w:r>
          </w:p>
        </w:tc>
      </w:tr>
      <w:tr w14:paraId="26AC13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238" w:type="dxa"/>
            <w:shd w:val="clear" w:color="auto" w:fill="auto"/>
          </w:tcPr>
          <w:p w14:paraId="0CF5E5D4">
            <w:pPr>
              <w:pStyle w:val="186"/>
              <w:widowControl w:val="0"/>
              <w:spacing w:line="240" w:lineRule="auto"/>
              <w:ind w:firstLine="0"/>
              <w:jc w:val="left"/>
            </w:pPr>
            <w:r>
              <w:rPr>
                <w:rFonts w:hint="eastAsia"/>
              </w:rPr>
              <w:t>M</w:t>
            </w:r>
            <w:r>
              <w:t>TU</w:t>
            </w:r>
          </w:p>
        </w:tc>
        <w:tc>
          <w:tcPr>
            <w:tcW w:w="8410" w:type="dxa"/>
            <w:shd w:val="clear" w:color="auto" w:fill="auto"/>
          </w:tcPr>
          <w:p w14:paraId="507EAC7D">
            <w:pPr>
              <w:pStyle w:val="186"/>
              <w:widowControl w:val="0"/>
              <w:spacing w:line="240" w:lineRule="auto"/>
              <w:ind w:firstLine="0"/>
              <w:jc w:val="left"/>
            </w:pPr>
            <w:r>
              <w:rPr>
                <w:rFonts w:hint="eastAsia"/>
              </w:rPr>
              <w:t>指定接口可发送数据帧的最大长度，1</w:t>
            </w:r>
            <w:r>
              <w:t>280</w:t>
            </w:r>
            <w:r>
              <w:rPr>
                <w:rFonts w:hint="eastAsia"/>
              </w:rPr>
              <w:t>~</w:t>
            </w:r>
            <w:r>
              <w:t>1500</w:t>
            </w:r>
            <w:r>
              <w:rPr>
                <w:rFonts w:hint="eastAsia"/>
              </w:rPr>
              <w:t>字节。</w:t>
            </w:r>
          </w:p>
        </w:tc>
      </w:tr>
      <w:tr w14:paraId="15D007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238" w:type="dxa"/>
            <w:shd w:val="clear" w:color="auto" w:fill="auto"/>
          </w:tcPr>
          <w:p w14:paraId="326C326E">
            <w:pPr>
              <w:pStyle w:val="186"/>
              <w:widowControl w:val="0"/>
              <w:spacing w:line="240" w:lineRule="auto"/>
              <w:ind w:firstLine="0"/>
              <w:jc w:val="left"/>
            </w:pPr>
            <w:r>
              <w:rPr>
                <w:rFonts w:hint="eastAsia"/>
              </w:rPr>
              <w:t>接口属性</w:t>
            </w:r>
          </w:p>
        </w:tc>
        <w:tc>
          <w:tcPr>
            <w:tcW w:w="8410" w:type="dxa"/>
            <w:shd w:val="clear" w:color="auto" w:fill="auto"/>
          </w:tcPr>
          <w:p w14:paraId="7BD7832B">
            <w:pPr>
              <w:pStyle w:val="186"/>
              <w:widowControl w:val="0"/>
              <w:spacing w:line="240" w:lineRule="auto"/>
              <w:ind w:firstLine="0"/>
              <w:jc w:val="left"/>
            </w:pPr>
            <w:r>
              <w:rPr>
                <w:rFonts w:hint="eastAsia"/>
              </w:rPr>
              <w:t>指定接口为内网口或外网口，用于流量上行/下行统计。</w:t>
            </w:r>
          </w:p>
        </w:tc>
      </w:tr>
    </w:tbl>
    <w:p w14:paraId="68B5DAFC"/>
    <w:p w14:paraId="239EDB9A">
      <w:pPr>
        <w:pStyle w:val="4"/>
      </w:pPr>
      <w:bookmarkStart w:id="1210" w:name="_Toc497226480"/>
      <w:bookmarkEnd w:id="1210"/>
      <w:bookmarkStart w:id="1211" w:name="_Toc497226484"/>
      <w:bookmarkEnd w:id="1211"/>
      <w:bookmarkStart w:id="1212" w:name="_Toc15484689"/>
      <w:bookmarkStart w:id="1213" w:name="_Toc23152455"/>
      <w:bookmarkStart w:id="1214" w:name="_Toc40275888"/>
      <w:bookmarkStart w:id="1215" w:name="_Toc474249892"/>
      <w:bookmarkStart w:id="1216" w:name="_Toc142400840"/>
      <w:bookmarkStart w:id="1217" w:name="_Toc194080653"/>
      <w:bookmarkStart w:id="1218" w:name="_Toc172218026"/>
      <w:bookmarkStart w:id="1219" w:name="_Toc196727985"/>
      <w:bookmarkStart w:id="1220" w:name="_Toc99561379"/>
      <w:bookmarkStart w:id="1221" w:name="_Toc141873324"/>
      <w:r>
        <w:t>子</w:t>
      </w:r>
      <w:r>
        <w:rPr>
          <w:rFonts w:hint="eastAsia"/>
        </w:rPr>
        <w:t>接口配置</w:t>
      </w:r>
      <w:bookmarkEnd w:id="1212"/>
      <w:bookmarkEnd w:id="1213"/>
      <w:bookmarkEnd w:id="1214"/>
      <w:bookmarkEnd w:id="1215"/>
      <w:bookmarkEnd w:id="1216"/>
      <w:bookmarkEnd w:id="1217"/>
      <w:bookmarkEnd w:id="1218"/>
      <w:bookmarkEnd w:id="1219"/>
      <w:bookmarkEnd w:id="1220"/>
      <w:bookmarkEnd w:id="1221"/>
    </w:p>
    <w:p w14:paraId="205B658F">
      <w:pPr>
        <w:pStyle w:val="5"/>
      </w:pPr>
      <w:bookmarkStart w:id="1222" w:name="_Toc474249893"/>
      <w:bookmarkStart w:id="1223" w:name="_Toc15484690"/>
      <w:bookmarkStart w:id="1224" w:name="_Toc23152456"/>
      <w:bookmarkStart w:id="1225" w:name="_Toc142400841"/>
      <w:bookmarkStart w:id="1226" w:name="_Toc196727986"/>
      <w:bookmarkStart w:id="1227" w:name="_Toc194080654"/>
      <w:bookmarkStart w:id="1228" w:name="_Toc40275889"/>
      <w:bookmarkStart w:id="1229" w:name="_Toc141873325"/>
      <w:bookmarkStart w:id="1230" w:name="_Toc99561380"/>
      <w:bookmarkStart w:id="1231" w:name="_Toc172218027"/>
      <w:r>
        <w:t>子接口</w:t>
      </w:r>
      <w:r>
        <w:rPr>
          <w:rFonts w:hint="eastAsia"/>
        </w:rPr>
        <w:t>概述</w:t>
      </w:r>
      <w:bookmarkEnd w:id="1222"/>
      <w:bookmarkEnd w:id="1223"/>
      <w:bookmarkEnd w:id="1224"/>
      <w:bookmarkEnd w:id="1225"/>
      <w:bookmarkEnd w:id="1226"/>
      <w:bookmarkEnd w:id="1227"/>
      <w:bookmarkEnd w:id="1228"/>
      <w:bookmarkEnd w:id="1229"/>
      <w:bookmarkEnd w:id="1230"/>
      <w:bookmarkEnd w:id="1231"/>
    </w:p>
    <w:p w14:paraId="6D53E4C8">
      <w:r>
        <w:rPr>
          <w:rFonts w:hint="eastAsia"/>
        </w:rPr>
        <w:t>在一个物理局域网内，通过对端口的划分，将局域网内的设备分割为几个各自独立的群组，群组内部的设备之间可以自由地通讯，而当分属不同群组的设备要进行通讯时，必须进行三层的路由转发；通过这种方式，一个物理局域网就如同被划分为几个相互隔离的局域网，这些不同的群组就称为虚拟局域网（</w:t>
      </w:r>
      <w:r>
        <w:t>VLAN</w:t>
      </w:r>
      <w:r>
        <w:rPr>
          <w:rFonts w:hint="eastAsia"/>
        </w:rPr>
        <w:t>）。</w:t>
      </w:r>
    </w:p>
    <w:p w14:paraId="467CB196">
      <w:r>
        <w:t>VLAN</w:t>
      </w:r>
      <w:r>
        <w:rPr>
          <w:rFonts w:hint="eastAsia"/>
        </w:rPr>
        <w:t>接口是一种三层模式下的虚拟接口，主要用于实现</w:t>
      </w:r>
      <w:r>
        <w:t>VLAN</w:t>
      </w:r>
      <w:r>
        <w:rPr>
          <w:rFonts w:hint="eastAsia"/>
        </w:rPr>
        <w:t>间的三层互通。它不作为物理实体存在于设备上。每个</w:t>
      </w:r>
      <w:r>
        <w:t>VLAN</w:t>
      </w:r>
      <w:r>
        <w:rPr>
          <w:rFonts w:hint="eastAsia"/>
        </w:rPr>
        <w:t>对应一个</w:t>
      </w:r>
      <w:r>
        <w:t>VLAN</w:t>
      </w:r>
      <w:r>
        <w:rPr>
          <w:rFonts w:hint="eastAsia"/>
        </w:rPr>
        <w:t>接口，该</w:t>
      </w:r>
      <w:r>
        <w:t>VLAN</w:t>
      </w:r>
      <w:r>
        <w:rPr>
          <w:rFonts w:hint="eastAsia"/>
        </w:rPr>
        <w:t>接口可以为本</w:t>
      </w:r>
      <w:r>
        <w:t>VLAN</w:t>
      </w:r>
      <w:r>
        <w:rPr>
          <w:rFonts w:hint="eastAsia"/>
        </w:rPr>
        <w:t>内端口收到的报文进行网络层转发操作。</w:t>
      </w:r>
    </w:p>
    <w:p w14:paraId="38B594BE">
      <w:r>
        <w:t>VLAN</w:t>
      </w:r>
      <w:r>
        <w:rPr>
          <w:rFonts w:hint="eastAsia"/>
        </w:rPr>
        <w:t>接口是虚端口，可以根据需要创建，同时也可以把不需要的</w:t>
      </w:r>
      <w:r>
        <w:t>VLAN</w:t>
      </w:r>
      <w:r>
        <w:rPr>
          <w:rFonts w:hint="eastAsia"/>
        </w:rPr>
        <w:t>接口删除。</w:t>
      </w:r>
    </w:p>
    <w:p w14:paraId="29182147">
      <w:pPr>
        <w:pStyle w:val="5"/>
      </w:pPr>
      <w:bookmarkStart w:id="1232" w:name="_Toc474249894"/>
      <w:bookmarkStart w:id="1233" w:name="_Toc15484691"/>
      <w:bookmarkStart w:id="1234" w:name="_Toc172218028"/>
      <w:bookmarkStart w:id="1235" w:name="_Toc141873326"/>
      <w:bookmarkStart w:id="1236" w:name="_Toc194080655"/>
      <w:bookmarkStart w:id="1237" w:name="_Toc196727987"/>
      <w:bookmarkStart w:id="1238" w:name="_Toc23152457"/>
      <w:bookmarkStart w:id="1239" w:name="_Toc99561381"/>
      <w:bookmarkStart w:id="1240" w:name="_Toc40275890"/>
      <w:bookmarkStart w:id="1241" w:name="_Toc142400842"/>
      <w:r>
        <w:t>新建子</w:t>
      </w:r>
      <w:r>
        <w:rPr>
          <w:rFonts w:hint="eastAsia"/>
        </w:rPr>
        <w:t>接口</w:t>
      </w:r>
      <w:bookmarkEnd w:id="1232"/>
      <w:bookmarkEnd w:id="1233"/>
      <w:bookmarkEnd w:id="1234"/>
      <w:bookmarkEnd w:id="1235"/>
      <w:bookmarkEnd w:id="1236"/>
      <w:bookmarkEnd w:id="1237"/>
      <w:bookmarkEnd w:id="1238"/>
      <w:bookmarkEnd w:id="1239"/>
      <w:bookmarkEnd w:id="1240"/>
      <w:bookmarkEnd w:id="1241"/>
    </w:p>
    <w:p w14:paraId="1DC17BFC">
      <w:r>
        <w:rPr>
          <w:rFonts w:hint="eastAsia"/>
        </w:rPr>
        <w:t>如</w:t>
      </w:r>
      <w:r>
        <w:rPr>
          <w:color w:val="0000FF"/>
          <w:u w:val="single"/>
        </w:rPr>
        <w:fldChar w:fldCharType="begin"/>
      </w:r>
      <w:r>
        <w:rPr>
          <w:color w:val="0000FF"/>
          <w:u w:val="single"/>
        </w:rPr>
        <w:instrText xml:space="preserve"> REF _Ref407450817 \r \h </w:instrText>
      </w:r>
      <w:r>
        <w:rPr>
          <w:color w:val="0000FF"/>
          <w:u w:val="single"/>
        </w:rPr>
        <w:fldChar w:fldCharType="separate"/>
      </w:r>
      <w:r>
        <w:rPr>
          <w:rFonts w:hint="eastAsia"/>
          <w:color w:val="0000FF"/>
          <w:u w:val="single"/>
        </w:rPr>
        <w:t>图6-4</w:t>
      </w:r>
      <w:r>
        <w:rPr>
          <w:color w:val="0000FF"/>
          <w:u w:val="single"/>
        </w:rPr>
        <w:fldChar w:fldCharType="end"/>
      </w:r>
      <w:r>
        <w:rPr>
          <w:rFonts w:hint="eastAsia"/>
        </w:rPr>
        <w:t>所示，通过菜单“网络配置 &gt; 接口配置 &gt;</w:t>
      </w:r>
      <w:r>
        <w:t xml:space="preserve"> </w:t>
      </w:r>
      <w:r>
        <w:rPr>
          <w:rFonts w:hint="eastAsia"/>
        </w:rPr>
        <w:t>子接口”使用该功能。点击网络子接口显示界面中的</w:t>
      </w:r>
      <w:r>
        <w:t>&lt;</w:t>
      </w:r>
      <w:r>
        <w:rPr>
          <w:rFonts w:hint="eastAsia"/>
        </w:rPr>
        <w:t>新建</w:t>
      </w:r>
      <w:r>
        <w:t>&gt;</w:t>
      </w:r>
      <w:r>
        <w:rPr>
          <w:rFonts w:hint="eastAsia"/>
        </w:rPr>
        <w:t>按钮，切换到子接口创建页面。</w:t>
      </w:r>
    </w:p>
    <w:p w14:paraId="22BE2833">
      <w:pPr>
        <w:pStyle w:val="188"/>
      </w:pPr>
      <w:bookmarkStart w:id="1242" w:name="_Ref407450817"/>
      <w:bookmarkStart w:id="1243" w:name="_Toc141874539"/>
      <w:r>
        <w:rPr>
          <w:rFonts w:hint="eastAsia"/>
        </w:rPr>
        <w:t>VLAN接口创建界面</w:t>
      </w:r>
      <w:bookmarkEnd w:id="1242"/>
      <w:bookmarkEnd w:id="1243"/>
    </w:p>
    <w:p w14:paraId="7418E219">
      <w:r>
        <w:drawing>
          <wp:inline distT="0" distB="0" distL="0" distR="0">
            <wp:extent cx="5400040" cy="4826635"/>
            <wp:effectExtent l="0" t="0" r="0" b="0"/>
            <wp:docPr id="4928" name="图片 4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8" name="图片 4928"/>
                    <pic:cNvPicPr>
                      <a:picLocks noChangeAspect="1"/>
                    </pic:cNvPicPr>
                  </pic:nvPicPr>
                  <pic:blipFill>
                    <a:blip r:embed="rId212"/>
                    <a:stretch>
                      <a:fillRect/>
                    </a:stretch>
                  </pic:blipFill>
                  <pic:spPr>
                    <a:xfrm>
                      <a:off x="0" y="0"/>
                      <a:ext cx="5400040" cy="4826867"/>
                    </a:xfrm>
                    <a:prstGeom prst="rect">
                      <a:avLst/>
                    </a:prstGeom>
                  </pic:spPr>
                </pic:pic>
              </a:graphicData>
            </a:graphic>
          </wp:inline>
        </w:drawing>
      </w:r>
    </w:p>
    <w:p w14:paraId="79A6D469"/>
    <w:p w14:paraId="102FBFC0">
      <w:pPr>
        <w:pStyle w:val="183"/>
      </w:pPr>
      <w:bookmarkStart w:id="1244" w:name="_Toc141875471"/>
      <w:r>
        <w:rPr>
          <w:rFonts w:hint="eastAsia"/>
        </w:rPr>
        <w:t>配置说明</w:t>
      </w:r>
      <w:bookmarkEnd w:id="1244"/>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506"/>
        <w:gridCol w:w="7508"/>
      </w:tblGrid>
      <w:tr w14:paraId="7EA06D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tcBorders>
              <w:tl2br w:val="nil"/>
              <w:tr2bl w:val="nil"/>
            </w:tcBorders>
            <w:shd w:val="clear" w:color="auto" w:fill="538135" w:themeFill="accent6" w:themeFillShade="BF"/>
            <w:vAlign w:val="center"/>
          </w:tcPr>
          <w:p w14:paraId="12DBE91E">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7470" w:type="dxa"/>
            <w:tcBorders>
              <w:tl2br w:val="nil"/>
              <w:tr2bl w:val="nil"/>
            </w:tcBorders>
            <w:shd w:val="clear" w:color="auto" w:fill="538135" w:themeFill="accent6" w:themeFillShade="BF"/>
            <w:vAlign w:val="center"/>
          </w:tcPr>
          <w:p w14:paraId="198AD880">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6C262A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6B99BB9B">
            <w:pPr>
              <w:pStyle w:val="186"/>
              <w:widowControl w:val="0"/>
              <w:spacing w:line="240" w:lineRule="auto"/>
              <w:ind w:firstLine="0"/>
              <w:jc w:val="left"/>
            </w:pPr>
            <w:r>
              <w:rPr>
                <w:rFonts w:hint="eastAsia"/>
              </w:rPr>
              <w:t>名称</w:t>
            </w:r>
          </w:p>
        </w:tc>
        <w:tc>
          <w:tcPr>
            <w:tcW w:w="7470" w:type="dxa"/>
            <w:shd w:val="clear" w:color="auto" w:fill="auto"/>
          </w:tcPr>
          <w:p w14:paraId="03BF2385">
            <w:pPr>
              <w:pStyle w:val="186"/>
              <w:widowControl w:val="0"/>
              <w:spacing w:line="240" w:lineRule="auto"/>
              <w:ind w:firstLine="0"/>
              <w:jc w:val="left"/>
            </w:pPr>
            <w:r>
              <w:rPr>
                <w:rFonts w:hint="eastAsia"/>
              </w:rPr>
              <w:t>指定子接口的名称，格式为：物理接口+ID，例如：GE0.1，ID值范围1~4094。</w:t>
            </w:r>
          </w:p>
        </w:tc>
      </w:tr>
      <w:tr w14:paraId="4401EA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7A50A458">
            <w:pPr>
              <w:pStyle w:val="186"/>
              <w:widowControl w:val="0"/>
              <w:spacing w:line="240" w:lineRule="auto"/>
              <w:ind w:firstLine="0"/>
              <w:jc w:val="left"/>
            </w:pPr>
            <w:r>
              <w:rPr>
                <w:rFonts w:hint="eastAsia"/>
              </w:rPr>
              <w:t>描述</w:t>
            </w:r>
          </w:p>
        </w:tc>
        <w:tc>
          <w:tcPr>
            <w:tcW w:w="7470" w:type="dxa"/>
            <w:shd w:val="clear" w:color="auto" w:fill="auto"/>
          </w:tcPr>
          <w:p w14:paraId="02BDBCD5">
            <w:pPr>
              <w:pStyle w:val="186"/>
              <w:widowControl w:val="0"/>
              <w:spacing w:line="240" w:lineRule="auto"/>
              <w:ind w:firstLine="0"/>
              <w:jc w:val="left"/>
            </w:pPr>
            <w:r>
              <w:rPr>
                <w:rFonts w:hint="eastAsia"/>
              </w:rPr>
              <w:t>接口描述</w:t>
            </w:r>
          </w:p>
        </w:tc>
      </w:tr>
      <w:tr w14:paraId="6FDB80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188A6603">
            <w:pPr>
              <w:pStyle w:val="186"/>
              <w:widowControl w:val="0"/>
              <w:spacing w:line="240" w:lineRule="auto"/>
              <w:ind w:firstLine="0"/>
              <w:jc w:val="left"/>
            </w:pPr>
            <w:r>
              <w:rPr>
                <w:rFonts w:hint="eastAsia"/>
              </w:rPr>
              <w:t>启用</w:t>
            </w:r>
          </w:p>
        </w:tc>
        <w:tc>
          <w:tcPr>
            <w:tcW w:w="7470" w:type="dxa"/>
            <w:shd w:val="clear" w:color="auto" w:fill="auto"/>
          </w:tcPr>
          <w:p w14:paraId="10783D7C">
            <w:pPr>
              <w:pStyle w:val="186"/>
              <w:widowControl w:val="0"/>
              <w:spacing w:line="240" w:lineRule="auto"/>
              <w:ind w:firstLine="0"/>
              <w:jc w:val="left"/>
            </w:pPr>
            <w:r>
              <w:rPr>
                <w:rFonts w:hint="eastAsia"/>
              </w:rPr>
              <w:t>是否允许启用VLAN接口，缺省情况下为启用</w:t>
            </w:r>
          </w:p>
        </w:tc>
      </w:tr>
      <w:tr w14:paraId="1656351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52EF18B6">
            <w:pPr>
              <w:pStyle w:val="186"/>
              <w:widowControl w:val="0"/>
              <w:spacing w:line="240" w:lineRule="auto"/>
              <w:ind w:firstLine="0"/>
              <w:jc w:val="left"/>
            </w:pPr>
            <w:r>
              <w:rPr>
                <w:rFonts w:hint="eastAsia"/>
              </w:rPr>
              <w:t>IP类型</w:t>
            </w:r>
          </w:p>
        </w:tc>
        <w:tc>
          <w:tcPr>
            <w:tcW w:w="7470" w:type="dxa"/>
            <w:shd w:val="clear" w:color="auto" w:fill="auto"/>
          </w:tcPr>
          <w:p w14:paraId="3993D290">
            <w:pPr>
              <w:pStyle w:val="186"/>
              <w:widowControl w:val="0"/>
              <w:spacing w:line="240" w:lineRule="auto"/>
              <w:ind w:firstLine="0"/>
              <w:jc w:val="left"/>
            </w:pPr>
            <w:r>
              <w:rPr>
                <w:rFonts w:hint="eastAsia"/>
              </w:rPr>
              <w:t>IPv4地址和IPv6地址</w:t>
            </w:r>
          </w:p>
          <w:p w14:paraId="7701ACFC">
            <w:pPr>
              <w:pStyle w:val="186"/>
              <w:widowControl w:val="0"/>
              <w:spacing w:line="240" w:lineRule="auto"/>
              <w:ind w:firstLine="0"/>
              <w:jc w:val="left"/>
            </w:pPr>
            <w:r>
              <w:rPr>
                <w:rFonts w:hint="eastAsia"/>
              </w:rPr>
              <w:t>点击相应的标签，配置对应类型的IP地址</w:t>
            </w:r>
          </w:p>
        </w:tc>
      </w:tr>
      <w:tr w14:paraId="4CDC677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04404CDD">
            <w:pPr>
              <w:pStyle w:val="186"/>
              <w:widowControl w:val="0"/>
              <w:spacing w:line="240" w:lineRule="auto"/>
              <w:ind w:firstLine="0"/>
              <w:jc w:val="left"/>
            </w:pPr>
            <w:r>
              <w:rPr>
                <w:rFonts w:hint="eastAsia"/>
              </w:rPr>
              <w:t>地址模式</w:t>
            </w:r>
          </w:p>
        </w:tc>
        <w:tc>
          <w:tcPr>
            <w:tcW w:w="7470" w:type="dxa"/>
            <w:shd w:val="clear" w:color="auto" w:fill="auto"/>
          </w:tcPr>
          <w:p w14:paraId="31D17E06">
            <w:pPr>
              <w:pStyle w:val="186"/>
              <w:widowControl w:val="0"/>
              <w:spacing w:line="240" w:lineRule="auto"/>
              <w:ind w:firstLine="0"/>
              <w:jc w:val="left"/>
            </w:pPr>
            <w:r>
              <w:rPr>
                <w:rFonts w:hint="eastAsia"/>
              </w:rPr>
              <w:t>子接口的IPv4地址也可以通过以下三种方式获取：静态配置、</w:t>
            </w:r>
            <w:r>
              <w:t>DHCP</w:t>
            </w:r>
            <w:r>
              <w:rPr>
                <w:rFonts w:hint="eastAsia"/>
              </w:rPr>
              <w:t>、</w:t>
            </w:r>
            <w:r>
              <w:t>PPPoE</w:t>
            </w:r>
            <w:r>
              <w:rPr>
                <w:rFonts w:hint="eastAsia"/>
              </w:rPr>
              <w:t>方式，具体配置可以参考物理端口配置</w:t>
            </w:r>
          </w:p>
        </w:tc>
      </w:tr>
      <w:tr w14:paraId="0FAEEEF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3E797441">
            <w:pPr>
              <w:pStyle w:val="186"/>
              <w:widowControl w:val="0"/>
              <w:spacing w:line="240" w:lineRule="auto"/>
              <w:ind w:firstLine="0"/>
              <w:jc w:val="left"/>
            </w:pPr>
            <w:r>
              <w:rPr>
                <w:rFonts w:hint="eastAsia"/>
              </w:rPr>
              <w:t>管理方式</w:t>
            </w:r>
          </w:p>
        </w:tc>
        <w:tc>
          <w:tcPr>
            <w:tcW w:w="7470" w:type="dxa"/>
            <w:shd w:val="clear" w:color="auto" w:fill="auto"/>
          </w:tcPr>
          <w:p w14:paraId="546DB468">
            <w:pPr>
              <w:pStyle w:val="186"/>
              <w:widowControl w:val="0"/>
              <w:spacing w:line="240" w:lineRule="auto"/>
              <w:ind w:firstLine="0"/>
              <w:jc w:val="left"/>
            </w:pPr>
            <w:r>
              <w:rPr>
                <w:rFonts w:hint="eastAsia"/>
              </w:rPr>
              <w:t>配置端口是否允许</w:t>
            </w:r>
            <w:r>
              <w:t>HTTPS</w:t>
            </w:r>
            <w:r>
              <w:rPr>
                <w:rFonts w:hint="eastAsia"/>
              </w:rPr>
              <w:t>、</w:t>
            </w:r>
            <w:r>
              <w:t>HTTP</w:t>
            </w:r>
            <w:r>
              <w:rPr>
                <w:rFonts w:hint="eastAsia"/>
              </w:rPr>
              <w:t>、</w:t>
            </w:r>
            <w:r>
              <w:t>SSH</w:t>
            </w:r>
            <w:r>
              <w:rPr>
                <w:rFonts w:hint="eastAsia"/>
              </w:rPr>
              <w:t>、</w:t>
            </w:r>
            <w:r>
              <w:t>Telnet</w:t>
            </w:r>
            <w:r>
              <w:rPr>
                <w:rFonts w:hint="eastAsia"/>
              </w:rPr>
              <w:t>、</w:t>
            </w:r>
            <w:r>
              <w:t>PING</w:t>
            </w:r>
            <w:r>
              <w:rPr>
                <w:rFonts w:hint="eastAsia"/>
              </w:rPr>
              <w:t>等管理服务</w:t>
            </w:r>
          </w:p>
        </w:tc>
      </w:tr>
      <w:tr w14:paraId="4DC6EFB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45127D3B">
            <w:pPr>
              <w:pStyle w:val="186"/>
              <w:widowControl w:val="0"/>
              <w:spacing w:line="240" w:lineRule="auto"/>
              <w:ind w:firstLine="0"/>
              <w:jc w:val="left"/>
            </w:pPr>
            <w:r>
              <w:rPr>
                <w:rFonts w:hint="eastAsia"/>
              </w:rPr>
              <w:t>MTU</w:t>
            </w:r>
          </w:p>
        </w:tc>
        <w:tc>
          <w:tcPr>
            <w:tcW w:w="7470" w:type="dxa"/>
            <w:shd w:val="clear" w:color="auto" w:fill="auto"/>
          </w:tcPr>
          <w:p w14:paraId="715B11CE">
            <w:pPr>
              <w:pStyle w:val="186"/>
              <w:widowControl w:val="0"/>
              <w:spacing w:line="240" w:lineRule="auto"/>
              <w:ind w:firstLine="0"/>
              <w:jc w:val="left"/>
            </w:pPr>
            <w:r>
              <w:rPr>
                <w:rFonts w:hint="eastAsia"/>
              </w:rPr>
              <w:t>接口发送报文的最大长度，缺省为</w:t>
            </w:r>
            <w:r>
              <w:t>1500</w:t>
            </w:r>
            <w:r>
              <w:rPr>
                <w:rFonts w:hint="eastAsia"/>
              </w:rPr>
              <w:t>，单位为字节</w:t>
            </w:r>
          </w:p>
        </w:tc>
      </w:tr>
    </w:tbl>
    <w:p w14:paraId="63E71E43"/>
    <w:p w14:paraId="3480E7ED">
      <w:pPr>
        <w:pStyle w:val="5"/>
      </w:pPr>
      <w:bookmarkStart w:id="1245" w:name="_Toc40275892"/>
      <w:bookmarkStart w:id="1246" w:name="_Toc474249896"/>
      <w:bookmarkStart w:id="1247" w:name="_Toc15484693"/>
      <w:bookmarkStart w:id="1248" w:name="_Toc172218029"/>
      <w:bookmarkStart w:id="1249" w:name="_Toc194080656"/>
      <w:bookmarkStart w:id="1250" w:name="_Toc23152459"/>
      <w:bookmarkStart w:id="1251" w:name="_Toc196727988"/>
      <w:bookmarkStart w:id="1252" w:name="_Toc141873327"/>
      <w:bookmarkStart w:id="1253" w:name="_Toc142400843"/>
      <w:bookmarkStart w:id="1254" w:name="_Toc99561383"/>
      <w:r>
        <w:t>修改子</w:t>
      </w:r>
      <w:r>
        <w:rPr>
          <w:rFonts w:hint="eastAsia"/>
        </w:rPr>
        <w:t>接口</w:t>
      </w:r>
      <w:bookmarkEnd w:id="1245"/>
      <w:bookmarkEnd w:id="1246"/>
      <w:bookmarkEnd w:id="1247"/>
      <w:bookmarkEnd w:id="1248"/>
      <w:bookmarkEnd w:id="1249"/>
      <w:bookmarkEnd w:id="1250"/>
      <w:bookmarkEnd w:id="1251"/>
      <w:bookmarkEnd w:id="1252"/>
      <w:bookmarkEnd w:id="1253"/>
      <w:bookmarkEnd w:id="1254"/>
    </w:p>
    <w:p w14:paraId="504E450A">
      <w:r>
        <w:rPr>
          <w:rFonts w:hint="eastAsia"/>
        </w:rPr>
        <w:t>如</w:t>
      </w:r>
      <w:r>
        <w:rPr>
          <w:color w:val="0000FF"/>
          <w:u w:val="single"/>
        </w:rPr>
        <w:fldChar w:fldCharType="begin"/>
      </w:r>
      <w:r>
        <w:rPr>
          <w:color w:val="0000FF"/>
          <w:u w:val="single"/>
        </w:rPr>
        <w:instrText xml:space="preserve"> REF _Ref407450867 \r \h </w:instrText>
      </w:r>
      <w:r>
        <w:rPr>
          <w:color w:val="0000FF"/>
          <w:u w:val="single"/>
        </w:rPr>
        <w:fldChar w:fldCharType="separate"/>
      </w:r>
      <w:r>
        <w:rPr>
          <w:rFonts w:hint="eastAsia"/>
          <w:color w:val="0000FF"/>
          <w:u w:val="single"/>
        </w:rPr>
        <w:t>图6-5</w:t>
      </w:r>
      <w:r>
        <w:rPr>
          <w:color w:val="0000FF"/>
          <w:u w:val="single"/>
        </w:rPr>
        <w:fldChar w:fldCharType="end"/>
      </w:r>
      <w:r>
        <w:rPr>
          <w:rFonts w:hint="eastAsia"/>
        </w:rPr>
        <w:t>所示，通过菜单“网络配置 &gt; 接口配置 &gt;</w:t>
      </w:r>
      <w:r>
        <w:t xml:space="preserve"> </w:t>
      </w:r>
      <w:r>
        <w:rPr>
          <w:rFonts w:hint="eastAsia"/>
        </w:rPr>
        <w:t>子接口”使用该功能。点击网络子接口显示页面的编辑图标，切换到编辑页面。编辑子接口的相关信息（名称不可修改），点击&lt;提交&gt;即可修改子接口。</w:t>
      </w:r>
    </w:p>
    <w:p w14:paraId="65BB7795">
      <w:pPr>
        <w:pStyle w:val="188"/>
      </w:pPr>
      <w:bookmarkStart w:id="1255" w:name="_Ref407450867"/>
      <w:bookmarkStart w:id="1256" w:name="_Toc141874540"/>
      <w:r>
        <w:t>子</w:t>
      </w:r>
      <w:r>
        <w:rPr>
          <w:rFonts w:hint="eastAsia"/>
        </w:rPr>
        <w:t>接口编辑界面</w:t>
      </w:r>
      <w:bookmarkEnd w:id="1255"/>
      <w:bookmarkEnd w:id="1256"/>
    </w:p>
    <w:p w14:paraId="63E77EFF">
      <w:r>
        <w:drawing>
          <wp:inline distT="0" distB="0" distL="0" distR="0">
            <wp:extent cx="5648325" cy="3985260"/>
            <wp:effectExtent l="0" t="0" r="0" b="0"/>
            <wp:docPr id="4971" name="图片 4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1" name="图片 4971"/>
                    <pic:cNvPicPr>
                      <a:picLocks noChangeAspect="1"/>
                    </pic:cNvPicPr>
                  </pic:nvPicPr>
                  <pic:blipFill>
                    <a:blip r:embed="rId213"/>
                    <a:stretch>
                      <a:fillRect/>
                    </a:stretch>
                  </pic:blipFill>
                  <pic:spPr>
                    <a:xfrm>
                      <a:off x="0" y="0"/>
                      <a:ext cx="5652761" cy="3989011"/>
                    </a:xfrm>
                    <a:prstGeom prst="rect">
                      <a:avLst/>
                    </a:prstGeom>
                  </pic:spPr>
                </pic:pic>
              </a:graphicData>
            </a:graphic>
          </wp:inline>
        </w:drawing>
      </w:r>
    </w:p>
    <w:p w14:paraId="42FFDDBE"/>
    <w:p w14:paraId="6CEAAB72">
      <w:pPr>
        <w:pStyle w:val="5"/>
      </w:pPr>
      <w:bookmarkStart w:id="1257" w:name="_Toc474249897"/>
      <w:bookmarkStart w:id="1258" w:name="_Toc15484694"/>
      <w:bookmarkStart w:id="1259" w:name="_Toc196727989"/>
      <w:bookmarkStart w:id="1260" w:name="_Toc99561384"/>
      <w:bookmarkStart w:id="1261" w:name="_Toc23152460"/>
      <w:bookmarkStart w:id="1262" w:name="_Toc194080657"/>
      <w:bookmarkStart w:id="1263" w:name="_Toc141873328"/>
      <w:bookmarkStart w:id="1264" w:name="_Toc40275893"/>
      <w:bookmarkStart w:id="1265" w:name="_Toc142400844"/>
      <w:bookmarkStart w:id="1266" w:name="_Toc172218030"/>
      <w:r>
        <w:t>删除子</w:t>
      </w:r>
      <w:r>
        <w:rPr>
          <w:rFonts w:hint="eastAsia"/>
        </w:rPr>
        <w:t>接口</w:t>
      </w:r>
      <w:bookmarkEnd w:id="1257"/>
      <w:bookmarkEnd w:id="1258"/>
      <w:bookmarkEnd w:id="1259"/>
      <w:bookmarkEnd w:id="1260"/>
      <w:bookmarkEnd w:id="1261"/>
      <w:bookmarkEnd w:id="1262"/>
      <w:bookmarkEnd w:id="1263"/>
      <w:bookmarkEnd w:id="1264"/>
      <w:bookmarkEnd w:id="1265"/>
      <w:bookmarkEnd w:id="1266"/>
    </w:p>
    <w:p w14:paraId="01C02410">
      <w:r>
        <w:rPr>
          <w:rFonts w:hint="eastAsia"/>
        </w:rPr>
        <w:t>在子接口列表中点击操作列中的</w:t>
      </w:r>
      <w:r>
        <w:drawing>
          <wp:inline distT="0" distB="0" distL="0" distR="0">
            <wp:extent cx="180975" cy="180975"/>
            <wp:effectExtent l="0" t="0" r="0" b="0"/>
            <wp:docPr id="78" name="图片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39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a:xfrm>
                      <a:off x="0" y="0"/>
                      <a:ext cx="180975" cy="180975"/>
                    </a:xfrm>
                    <a:prstGeom prst="rect">
                      <a:avLst/>
                    </a:prstGeom>
                    <a:noFill/>
                    <a:ln>
                      <a:noFill/>
                    </a:ln>
                  </pic:spPr>
                </pic:pic>
              </a:graphicData>
            </a:graphic>
          </wp:inline>
        </w:drawing>
      </w:r>
      <w:r>
        <w:rPr>
          <w:rFonts w:hint="eastAsia"/>
        </w:rPr>
        <w:t>图标，在弹出的对话框中点击&lt;确定</w:t>
      </w:r>
      <w:r>
        <w:t>&gt;</w:t>
      </w:r>
      <w:r>
        <w:rPr>
          <w:rFonts w:hint="eastAsia"/>
        </w:rPr>
        <w:t>即可删除子接口。</w:t>
      </w:r>
    </w:p>
    <w:p w14:paraId="43341FCD">
      <w:pPr>
        <w:pStyle w:val="188"/>
      </w:pPr>
      <w:bookmarkStart w:id="1267" w:name="_Toc141874541"/>
      <w:r>
        <w:rPr>
          <w:rFonts w:hint="eastAsia"/>
        </w:rPr>
        <w:t>删除子接口</w:t>
      </w:r>
      <w:bookmarkEnd w:id="1267"/>
    </w:p>
    <w:p w14:paraId="41B4D8D6">
      <w:pPr>
        <w:spacing w:before="79" w:after="79"/>
      </w:pPr>
      <w:r>
        <w:drawing>
          <wp:inline distT="0" distB="0" distL="0" distR="0">
            <wp:extent cx="5400040" cy="787400"/>
            <wp:effectExtent l="0" t="0" r="0" b="0"/>
            <wp:docPr id="4929" name="图片 4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9" name="图片 4929"/>
                    <pic:cNvPicPr>
                      <a:picLocks noChangeAspect="1"/>
                    </pic:cNvPicPr>
                  </pic:nvPicPr>
                  <pic:blipFill>
                    <a:blip r:embed="rId215"/>
                    <a:stretch>
                      <a:fillRect/>
                    </a:stretch>
                  </pic:blipFill>
                  <pic:spPr>
                    <a:xfrm>
                      <a:off x="0" y="0"/>
                      <a:ext cx="5400040" cy="787763"/>
                    </a:xfrm>
                    <a:prstGeom prst="rect">
                      <a:avLst/>
                    </a:prstGeom>
                  </pic:spPr>
                </pic:pic>
              </a:graphicData>
            </a:graphic>
          </wp:inline>
        </w:drawing>
      </w:r>
    </w:p>
    <w:p w14:paraId="51EF60A9">
      <w:pPr>
        <w:pStyle w:val="4"/>
      </w:pPr>
      <w:bookmarkStart w:id="1268" w:name="_Toc15484695"/>
      <w:bookmarkStart w:id="1269" w:name="_Toc23152461"/>
      <w:bookmarkStart w:id="1270" w:name="_Toc99561385"/>
      <w:bookmarkStart w:id="1271" w:name="_Toc142400845"/>
      <w:bookmarkStart w:id="1272" w:name="_Toc172218031"/>
      <w:bookmarkStart w:id="1273" w:name="_Toc141873329"/>
      <w:bookmarkStart w:id="1274" w:name="_Toc40275894"/>
      <w:bookmarkStart w:id="1275" w:name="_Toc474249898"/>
      <w:bookmarkStart w:id="1276" w:name="_Toc196727990"/>
      <w:bookmarkStart w:id="1277" w:name="_Toc194080658"/>
      <w:r>
        <w:rPr>
          <w:rFonts w:hint="eastAsia"/>
        </w:rPr>
        <w:t>网桥接口配置</w:t>
      </w:r>
      <w:bookmarkEnd w:id="1268"/>
      <w:bookmarkEnd w:id="1269"/>
      <w:bookmarkEnd w:id="1270"/>
      <w:bookmarkEnd w:id="1271"/>
      <w:bookmarkEnd w:id="1272"/>
      <w:bookmarkEnd w:id="1273"/>
      <w:bookmarkEnd w:id="1274"/>
      <w:bookmarkEnd w:id="1275"/>
      <w:bookmarkEnd w:id="1276"/>
      <w:bookmarkEnd w:id="1277"/>
    </w:p>
    <w:p w14:paraId="675C01D8">
      <w:pPr>
        <w:pStyle w:val="5"/>
      </w:pPr>
      <w:bookmarkStart w:id="1278" w:name="_Toc194080659"/>
      <w:bookmarkStart w:id="1279" w:name="_Toc196727991"/>
      <w:bookmarkStart w:id="1280" w:name="_Toc172218032"/>
      <w:bookmarkStart w:id="1281" w:name="_Toc142400846"/>
      <w:bookmarkStart w:id="1282" w:name="_Toc23152462"/>
      <w:bookmarkStart w:id="1283" w:name="_Toc141873330"/>
      <w:bookmarkStart w:id="1284" w:name="_Toc99561386"/>
      <w:bookmarkStart w:id="1285" w:name="_Toc15484696"/>
      <w:bookmarkStart w:id="1286" w:name="_Toc474249899"/>
      <w:bookmarkStart w:id="1287" w:name="_Toc40275895"/>
      <w:r>
        <w:rPr>
          <w:rFonts w:hint="eastAsia"/>
        </w:rPr>
        <w:t>桥接口概述</w:t>
      </w:r>
      <w:bookmarkEnd w:id="1278"/>
      <w:bookmarkEnd w:id="1279"/>
      <w:bookmarkEnd w:id="1280"/>
      <w:bookmarkEnd w:id="1281"/>
      <w:bookmarkEnd w:id="1282"/>
      <w:bookmarkEnd w:id="1283"/>
      <w:bookmarkEnd w:id="1284"/>
      <w:bookmarkEnd w:id="1285"/>
      <w:bookmarkEnd w:id="1286"/>
      <w:bookmarkEnd w:id="1287"/>
    </w:p>
    <w:p w14:paraId="4FBF9C20">
      <w:r>
        <w:rPr>
          <w:rFonts w:hint="eastAsia"/>
        </w:rPr>
        <w:t>透明网桥使用方便，易于安装。当桥接入互连的局域网内，就能运行。它不会影响现存的局域网，原有的软硬件无须改变，也不要设置地址开关和加载路径选择表参数，对于用户来说，该网桥是透明的，即该网桥进入或离开整个网络，用户感觉不到设备的存在。</w:t>
      </w:r>
    </w:p>
    <w:p w14:paraId="04D55D9B">
      <w:pPr>
        <w:pStyle w:val="5"/>
      </w:pPr>
      <w:bookmarkStart w:id="1288" w:name="_Toc142400847"/>
      <w:bookmarkStart w:id="1289" w:name="_Toc194080660"/>
      <w:bookmarkStart w:id="1290" w:name="_Toc196727992"/>
      <w:bookmarkStart w:id="1291" w:name="_Toc141873331"/>
      <w:bookmarkStart w:id="1292" w:name="_Toc172218033"/>
      <w:bookmarkStart w:id="1293" w:name="_Toc15484697"/>
      <w:bookmarkStart w:id="1294" w:name="_Toc40275896"/>
      <w:bookmarkStart w:id="1295" w:name="_Toc23152463"/>
      <w:bookmarkStart w:id="1296" w:name="_Toc474249900"/>
      <w:bookmarkStart w:id="1297" w:name="_Toc99561387"/>
      <w:r>
        <w:rPr>
          <w:rFonts w:hint="eastAsia"/>
        </w:rPr>
        <w:t>查看网桥接口</w:t>
      </w:r>
      <w:bookmarkEnd w:id="1288"/>
      <w:bookmarkEnd w:id="1289"/>
      <w:bookmarkEnd w:id="1290"/>
      <w:bookmarkEnd w:id="1291"/>
      <w:bookmarkEnd w:id="1292"/>
    </w:p>
    <w:p w14:paraId="0874BEF5">
      <w:r>
        <w:rPr>
          <w:rFonts w:hint="eastAsia"/>
        </w:rPr>
        <w:t>如下图所示，通过菜单“网络配置&gt;接口配置</w:t>
      </w:r>
      <w:r>
        <w:t>&gt;</w:t>
      </w:r>
      <w:r>
        <w:rPr>
          <w:rFonts w:hint="eastAsia"/>
        </w:rPr>
        <w:t>网桥接口”使用该功能。</w:t>
      </w:r>
    </w:p>
    <w:p w14:paraId="01CE6099">
      <w:pPr>
        <w:pStyle w:val="188"/>
      </w:pPr>
      <w:bookmarkStart w:id="1298" w:name="_Toc141874542"/>
      <w:r>
        <w:rPr>
          <w:rFonts w:hint="eastAsia"/>
        </w:rPr>
        <w:t>桥接口显示界面</w:t>
      </w:r>
      <w:bookmarkEnd w:id="1298"/>
    </w:p>
    <w:p w14:paraId="655C8BC5">
      <w:r>
        <w:drawing>
          <wp:inline distT="0" distB="0" distL="0" distR="0">
            <wp:extent cx="5772150" cy="971550"/>
            <wp:effectExtent l="0" t="0" r="0" b="0"/>
            <wp:docPr id="4933" name="图片 4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3" name="图片 4933"/>
                    <pic:cNvPicPr>
                      <a:picLocks noChangeAspect="1"/>
                    </pic:cNvPicPr>
                  </pic:nvPicPr>
                  <pic:blipFill>
                    <a:blip r:embed="rId216"/>
                    <a:stretch>
                      <a:fillRect/>
                    </a:stretch>
                  </pic:blipFill>
                  <pic:spPr>
                    <a:xfrm>
                      <a:off x="0" y="0"/>
                      <a:ext cx="5786118" cy="974258"/>
                    </a:xfrm>
                    <a:prstGeom prst="rect">
                      <a:avLst/>
                    </a:prstGeom>
                  </pic:spPr>
                </pic:pic>
              </a:graphicData>
            </a:graphic>
          </wp:inline>
        </w:drawing>
      </w:r>
    </w:p>
    <w:p w14:paraId="2A6AFBA2"/>
    <w:p w14:paraId="65443204">
      <w:pPr>
        <w:pStyle w:val="5"/>
      </w:pPr>
      <w:bookmarkStart w:id="1299" w:name="_Toc141873332"/>
      <w:bookmarkStart w:id="1300" w:name="_Toc142400848"/>
      <w:bookmarkStart w:id="1301" w:name="_Toc172218034"/>
      <w:bookmarkStart w:id="1302" w:name="_Toc194080661"/>
      <w:bookmarkStart w:id="1303" w:name="_Toc196727993"/>
      <w:r>
        <w:rPr>
          <w:rFonts w:hint="eastAsia"/>
        </w:rPr>
        <w:t>创建网桥接口</w:t>
      </w:r>
      <w:bookmarkEnd w:id="1293"/>
      <w:bookmarkEnd w:id="1294"/>
      <w:bookmarkEnd w:id="1295"/>
      <w:bookmarkEnd w:id="1296"/>
      <w:bookmarkEnd w:id="1297"/>
      <w:bookmarkEnd w:id="1299"/>
      <w:bookmarkEnd w:id="1300"/>
      <w:bookmarkEnd w:id="1301"/>
      <w:bookmarkEnd w:id="1302"/>
      <w:bookmarkEnd w:id="1303"/>
    </w:p>
    <w:p w14:paraId="043FBE31">
      <w:r>
        <w:rPr>
          <w:rFonts w:hint="eastAsia"/>
        </w:rPr>
        <w:t>如</w:t>
      </w:r>
      <w:r>
        <w:rPr>
          <w:color w:val="0000FF"/>
          <w:u w:val="single"/>
        </w:rPr>
        <w:fldChar w:fldCharType="begin"/>
      </w:r>
      <w:r>
        <w:rPr>
          <w:color w:val="0000FF"/>
          <w:u w:val="single"/>
        </w:rPr>
        <w:instrText xml:space="preserve"> REF _Ref407451025 \r \h </w:instrText>
      </w:r>
      <w:r>
        <w:rPr>
          <w:color w:val="0000FF"/>
          <w:u w:val="single"/>
        </w:rPr>
        <w:fldChar w:fldCharType="separate"/>
      </w:r>
      <w:r>
        <w:rPr>
          <w:rFonts w:hint="eastAsia"/>
          <w:color w:val="0000FF"/>
          <w:u w:val="single"/>
        </w:rPr>
        <w:t>图6-8</w:t>
      </w:r>
      <w:r>
        <w:rPr>
          <w:color w:val="0000FF"/>
          <w:u w:val="single"/>
        </w:rPr>
        <w:fldChar w:fldCharType="end"/>
      </w:r>
      <w:r>
        <w:rPr>
          <w:rFonts w:hint="eastAsia"/>
        </w:rPr>
        <w:t>所示，通过菜单“网络配置 &gt; 接口配置 &gt;</w:t>
      </w:r>
      <w:r>
        <w:t xml:space="preserve"> </w:t>
      </w:r>
      <w:r>
        <w:rPr>
          <w:rFonts w:hint="eastAsia"/>
        </w:rPr>
        <w:t>网桥接口”使用该功能。点击</w:t>
      </w:r>
      <w:r>
        <w:t>&lt;</w:t>
      </w:r>
      <w:r>
        <w:rPr>
          <w:rFonts w:hint="eastAsia"/>
        </w:rPr>
        <w:t>新建</w:t>
      </w:r>
      <w:r>
        <w:t>&gt;</w:t>
      </w:r>
      <w:r>
        <w:rPr>
          <w:rFonts w:hint="eastAsia"/>
        </w:rPr>
        <w:t>按钮，切换到网桥接口新建界面。</w:t>
      </w:r>
    </w:p>
    <w:p w14:paraId="1C6FFF25">
      <w:pPr>
        <w:pStyle w:val="188"/>
      </w:pPr>
      <w:bookmarkStart w:id="1304" w:name="_Toc141874543"/>
      <w:bookmarkStart w:id="1305" w:name="_Ref407451025"/>
      <w:r>
        <w:rPr>
          <w:rFonts w:hint="eastAsia"/>
        </w:rPr>
        <w:t>桥接口新建界面</w:t>
      </w:r>
      <w:bookmarkEnd w:id="1304"/>
      <w:bookmarkEnd w:id="1305"/>
    </w:p>
    <w:p w14:paraId="0F9C01C4">
      <w:r>
        <w:t xml:space="preserve"> </w:t>
      </w:r>
      <w:r>
        <w:drawing>
          <wp:inline distT="0" distB="0" distL="0" distR="0">
            <wp:extent cx="5686425" cy="4879340"/>
            <wp:effectExtent l="0" t="0" r="0" b="0"/>
            <wp:docPr id="403"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3"/>
                    <pic:cNvPicPr>
                      <a:picLocks noChangeAspect="1"/>
                    </pic:cNvPicPr>
                  </pic:nvPicPr>
                  <pic:blipFill>
                    <a:blip r:embed="rId217"/>
                    <a:stretch>
                      <a:fillRect/>
                    </a:stretch>
                  </pic:blipFill>
                  <pic:spPr>
                    <a:xfrm>
                      <a:off x="0" y="0"/>
                      <a:ext cx="5691334" cy="4883600"/>
                    </a:xfrm>
                    <a:prstGeom prst="rect">
                      <a:avLst/>
                    </a:prstGeom>
                  </pic:spPr>
                </pic:pic>
              </a:graphicData>
            </a:graphic>
          </wp:inline>
        </w:drawing>
      </w:r>
    </w:p>
    <w:p w14:paraId="6EFC6F14"/>
    <w:p w14:paraId="653E38EA">
      <w:pPr>
        <w:pStyle w:val="183"/>
      </w:pPr>
      <w:bookmarkStart w:id="1306" w:name="_Toc141875472"/>
      <w:r>
        <w:rPr>
          <w:rFonts w:hint="eastAsia"/>
        </w:rPr>
        <w:t>配置说明</w:t>
      </w:r>
      <w:bookmarkEnd w:id="1306"/>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506"/>
        <w:gridCol w:w="7508"/>
      </w:tblGrid>
      <w:tr w14:paraId="11A0969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tcBorders>
              <w:tl2br w:val="nil"/>
              <w:tr2bl w:val="nil"/>
            </w:tcBorders>
            <w:shd w:val="clear" w:color="auto" w:fill="538135" w:themeFill="accent6" w:themeFillShade="BF"/>
            <w:vAlign w:val="center"/>
          </w:tcPr>
          <w:p w14:paraId="1F1A6385">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7470" w:type="dxa"/>
            <w:tcBorders>
              <w:tl2br w:val="nil"/>
              <w:tr2bl w:val="nil"/>
            </w:tcBorders>
            <w:shd w:val="clear" w:color="auto" w:fill="538135" w:themeFill="accent6" w:themeFillShade="BF"/>
            <w:vAlign w:val="center"/>
          </w:tcPr>
          <w:p w14:paraId="5268981E">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86B27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58BDAA3E">
            <w:pPr>
              <w:pStyle w:val="186"/>
              <w:widowControl w:val="0"/>
              <w:spacing w:line="240" w:lineRule="auto"/>
              <w:ind w:firstLine="0"/>
              <w:jc w:val="left"/>
            </w:pPr>
            <w:r>
              <w:rPr>
                <w:rFonts w:hint="eastAsia"/>
              </w:rPr>
              <w:t>名称</w:t>
            </w:r>
          </w:p>
        </w:tc>
        <w:tc>
          <w:tcPr>
            <w:tcW w:w="7470" w:type="dxa"/>
            <w:shd w:val="clear" w:color="auto" w:fill="auto"/>
          </w:tcPr>
          <w:p w14:paraId="7F38FDBD">
            <w:pPr>
              <w:pStyle w:val="186"/>
              <w:widowControl w:val="0"/>
              <w:spacing w:line="240" w:lineRule="auto"/>
              <w:ind w:firstLine="0"/>
              <w:jc w:val="left"/>
            </w:pPr>
            <w:r>
              <w:rPr>
                <w:rFonts w:hint="eastAsia"/>
              </w:rPr>
              <w:t>桥接口名称bvi+id，id可选为0~255</w:t>
            </w:r>
          </w:p>
        </w:tc>
      </w:tr>
      <w:tr w14:paraId="052B1A8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51C822EE">
            <w:pPr>
              <w:pStyle w:val="186"/>
              <w:widowControl w:val="0"/>
              <w:spacing w:line="240" w:lineRule="auto"/>
              <w:ind w:firstLine="0"/>
              <w:jc w:val="left"/>
            </w:pPr>
            <w:r>
              <w:rPr>
                <w:rFonts w:hint="eastAsia"/>
              </w:rPr>
              <w:t>描述</w:t>
            </w:r>
          </w:p>
        </w:tc>
        <w:tc>
          <w:tcPr>
            <w:tcW w:w="7470" w:type="dxa"/>
            <w:shd w:val="clear" w:color="auto" w:fill="auto"/>
          </w:tcPr>
          <w:p w14:paraId="05F0E26D">
            <w:pPr>
              <w:pStyle w:val="186"/>
              <w:widowControl w:val="0"/>
              <w:spacing w:line="240" w:lineRule="auto"/>
              <w:ind w:firstLine="0"/>
              <w:jc w:val="left"/>
            </w:pPr>
            <w:r>
              <w:rPr>
                <w:rFonts w:hint="eastAsia"/>
              </w:rPr>
              <w:t>接口描述</w:t>
            </w:r>
          </w:p>
        </w:tc>
      </w:tr>
      <w:tr w14:paraId="78190B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61A5B051">
            <w:pPr>
              <w:pStyle w:val="186"/>
              <w:widowControl w:val="0"/>
              <w:spacing w:line="240" w:lineRule="auto"/>
              <w:ind w:firstLine="0"/>
              <w:jc w:val="left"/>
            </w:pPr>
            <w:r>
              <w:rPr>
                <w:rFonts w:hint="eastAsia"/>
              </w:rPr>
              <w:t>网桥可选接口</w:t>
            </w:r>
          </w:p>
        </w:tc>
        <w:tc>
          <w:tcPr>
            <w:tcW w:w="7470" w:type="dxa"/>
            <w:shd w:val="clear" w:color="auto" w:fill="auto"/>
          </w:tcPr>
          <w:p w14:paraId="2C69F642">
            <w:pPr>
              <w:pStyle w:val="186"/>
              <w:widowControl w:val="0"/>
              <w:spacing w:line="240" w:lineRule="auto"/>
              <w:ind w:firstLine="0"/>
              <w:jc w:val="left"/>
            </w:pPr>
            <w:r>
              <w:rPr>
                <w:rFonts w:hint="eastAsia"/>
              </w:rPr>
              <w:t>可加入桥接口的接口，包括没有子接口的物理接口和新建的子接口</w:t>
            </w:r>
          </w:p>
        </w:tc>
      </w:tr>
      <w:tr w14:paraId="472D337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73E8AE24">
            <w:pPr>
              <w:pStyle w:val="186"/>
              <w:widowControl w:val="0"/>
              <w:spacing w:line="240" w:lineRule="auto"/>
              <w:ind w:firstLine="0"/>
              <w:jc w:val="left"/>
            </w:pPr>
            <w:r>
              <w:rPr>
                <w:rFonts w:hint="eastAsia"/>
              </w:rPr>
              <w:t>启用</w:t>
            </w:r>
          </w:p>
        </w:tc>
        <w:tc>
          <w:tcPr>
            <w:tcW w:w="7470" w:type="dxa"/>
            <w:shd w:val="clear" w:color="auto" w:fill="auto"/>
          </w:tcPr>
          <w:p w14:paraId="406D9656">
            <w:pPr>
              <w:pStyle w:val="186"/>
              <w:widowControl w:val="0"/>
              <w:spacing w:line="240" w:lineRule="auto"/>
              <w:ind w:firstLine="0"/>
              <w:jc w:val="left"/>
            </w:pPr>
            <w:r>
              <w:rPr>
                <w:rFonts w:hint="eastAsia"/>
              </w:rPr>
              <w:t>是否允许启用桥接口，缺省情况下为启用</w:t>
            </w:r>
          </w:p>
        </w:tc>
      </w:tr>
      <w:tr w14:paraId="30112E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2C1B337E">
            <w:pPr>
              <w:pStyle w:val="186"/>
              <w:widowControl w:val="0"/>
              <w:spacing w:line="240" w:lineRule="auto"/>
              <w:ind w:firstLine="0"/>
              <w:jc w:val="left"/>
            </w:pPr>
            <w:r>
              <w:rPr>
                <w:rFonts w:hint="eastAsia"/>
              </w:rPr>
              <w:t>IP类型</w:t>
            </w:r>
          </w:p>
        </w:tc>
        <w:tc>
          <w:tcPr>
            <w:tcW w:w="7470" w:type="dxa"/>
            <w:shd w:val="clear" w:color="auto" w:fill="auto"/>
          </w:tcPr>
          <w:p w14:paraId="2A934084">
            <w:pPr>
              <w:pStyle w:val="186"/>
              <w:widowControl w:val="0"/>
              <w:spacing w:line="240" w:lineRule="auto"/>
              <w:ind w:firstLine="0"/>
              <w:jc w:val="left"/>
            </w:pPr>
            <w:r>
              <w:rPr>
                <w:rFonts w:hint="eastAsia"/>
              </w:rPr>
              <w:t>IPv4地址和IPv6地址</w:t>
            </w:r>
          </w:p>
          <w:p w14:paraId="6E1ED653">
            <w:pPr>
              <w:pStyle w:val="186"/>
              <w:widowControl w:val="0"/>
              <w:spacing w:line="240" w:lineRule="auto"/>
              <w:ind w:firstLine="0"/>
              <w:jc w:val="left"/>
            </w:pPr>
            <w:r>
              <w:rPr>
                <w:rFonts w:hint="eastAsia"/>
              </w:rPr>
              <w:t>点击相应的标签，配置对应类型的IP地址</w:t>
            </w:r>
          </w:p>
        </w:tc>
      </w:tr>
      <w:tr w14:paraId="136904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1E266B11">
            <w:pPr>
              <w:pStyle w:val="186"/>
              <w:widowControl w:val="0"/>
              <w:spacing w:line="240" w:lineRule="auto"/>
              <w:ind w:firstLine="0"/>
              <w:jc w:val="left"/>
            </w:pPr>
            <w:r>
              <w:rPr>
                <w:rFonts w:hint="eastAsia"/>
              </w:rPr>
              <w:t>地址模式</w:t>
            </w:r>
          </w:p>
        </w:tc>
        <w:tc>
          <w:tcPr>
            <w:tcW w:w="7470" w:type="dxa"/>
            <w:shd w:val="clear" w:color="auto" w:fill="auto"/>
          </w:tcPr>
          <w:p w14:paraId="42E62D6A">
            <w:pPr>
              <w:pStyle w:val="186"/>
              <w:widowControl w:val="0"/>
              <w:spacing w:line="240" w:lineRule="auto"/>
              <w:ind w:firstLine="0"/>
              <w:jc w:val="left"/>
            </w:pPr>
            <w:r>
              <w:rPr>
                <w:rFonts w:hint="eastAsia"/>
              </w:rPr>
              <w:t>网桥接口的IPv4地址也可以通过以下三种方式获取：静态配置、</w:t>
            </w:r>
            <w:r>
              <w:t>DHCP</w:t>
            </w:r>
            <w:r>
              <w:rPr>
                <w:rFonts w:hint="eastAsia"/>
              </w:rPr>
              <w:t>、</w:t>
            </w:r>
            <w:r>
              <w:t>PPPoE</w:t>
            </w:r>
            <w:r>
              <w:rPr>
                <w:rFonts w:hint="eastAsia"/>
              </w:rPr>
              <w:t>方式，具体配置可以参考物理端口配置</w:t>
            </w:r>
          </w:p>
        </w:tc>
      </w:tr>
      <w:tr w14:paraId="3EAE41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3EEC6575">
            <w:pPr>
              <w:pStyle w:val="186"/>
              <w:widowControl w:val="0"/>
              <w:spacing w:line="240" w:lineRule="auto"/>
              <w:ind w:firstLine="0"/>
              <w:jc w:val="left"/>
            </w:pPr>
            <w:r>
              <w:rPr>
                <w:rFonts w:hint="eastAsia"/>
              </w:rPr>
              <w:t>管理方式</w:t>
            </w:r>
          </w:p>
        </w:tc>
        <w:tc>
          <w:tcPr>
            <w:tcW w:w="7470" w:type="dxa"/>
            <w:shd w:val="clear" w:color="auto" w:fill="auto"/>
          </w:tcPr>
          <w:p w14:paraId="0DFD04CF">
            <w:pPr>
              <w:pStyle w:val="186"/>
              <w:widowControl w:val="0"/>
              <w:spacing w:line="240" w:lineRule="auto"/>
              <w:ind w:firstLine="0"/>
              <w:jc w:val="left"/>
            </w:pPr>
            <w:r>
              <w:rPr>
                <w:rFonts w:hint="eastAsia"/>
              </w:rPr>
              <w:t>配置端口是否允许</w:t>
            </w:r>
            <w:r>
              <w:t>HTTPS</w:t>
            </w:r>
            <w:r>
              <w:rPr>
                <w:rFonts w:hint="eastAsia"/>
              </w:rPr>
              <w:t>、</w:t>
            </w:r>
            <w:r>
              <w:t>HTTP</w:t>
            </w:r>
            <w:r>
              <w:rPr>
                <w:rFonts w:hint="eastAsia"/>
              </w:rPr>
              <w:t>、</w:t>
            </w:r>
            <w:r>
              <w:t>SSH</w:t>
            </w:r>
            <w:r>
              <w:rPr>
                <w:rFonts w:hint="eastAsia"/>
              </w:rPr>
              <w:t>、</w:t>
            </w:r>
            <w:r>
              <w:t>Telnet</w:t>
            </w:r>
            <w:r>
              <w:rPr>
                <w:rFonts w:hint="eastAsia"/>
              </w:rPr>
              <w:t>、</w:t>
            </w:r>
            <w:r>
              <w:t>PING</w:t>
            </w:r>
            <w:r>
              <w:rPr>
                <w:rFonts w:hint="eastAsia"/>
              </w:rPr>
              <w:t>等管理服务</w:t>
            </w:r>
          </w:p>
        </w:tc>
      </w:tr>
      <w:tr w14:paraId="2FD64B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3E1C762E">
            <w:pPr>
              <w:pStyle w:val="186"/>
              <w:widowControl w:val="0"/>
              <w:spacing w:line="240" w:lineRule="auto"/>
              <w:ind w:firstLine="0"/>
              <w:jc w:val="left"/>
            </w:pPr>
            <w:r>
              <w:rPr>
                <w:rFonts w:hint="eastAsia"/>
              </w:rPr>
              <w:t>MTU</w:t>
            </w:r>
          </w:p>
        </w:tc>
        <w:tc>
          <w:tcPr>
            <w:tcW w:w="7470" w:type="dxa"/>
            <w:shd w:val="clear" w:color="auto" w:fill="auto"/>
          </w:tcPr>
          <w:p w14:paraId="64EE94FB">
            <w:pPr>
              <w:pStyle w:val="186"/>
              <w:widowControl w:val="0"/>
              <w:spacing w:line="240" w:lineRule="auto"/>
              <w:ind w:firstLine="0"/>
              <w:jc w:val="left"/>
            </w:pPr>
            <w:r>
              <w:rPr>
                <w:rFonts w:hint="eastAsia"/>
              </w:rPr>
              <w:t>接口发送报文的最大长度，缺省为</w:t>
            </w:r>
            <w:r>
              <w:t>1500</w:t>
            </w:r>
            <w:r>
              <w:rPr>
                <w:rFonts w:hint="eastAsia"/>
              </w:rPr>
              <w:t>，单位为字节</w:t>
            </w:r>
          </w:p>
        </w:tc>
      </w:tr>
    </w:tbl>
    <w:p w14:paraId="4B2CC9A0"/>
    <w:p w14:paraId="103FCDE1">
      <w:pPr>
        <w:pStyle w:val="5"/>
      </w:pPr>
      <w:bookmarkStart w:id="1307" w:name="_Toc474249902"/>
      <w:bookmarkStart w:id="1308" w:name="_Toc15484699"/>
      <w:bookmarkStart w:id="1309" w:name="_Toc23152465"/>
      <w:bookmarkStart w:id="1310" w:name="_Toc40275898"/>
      <w:bookmarkStart w:id="1311" w:name="_Toc99561389"/>
      <w:bookmarkStart w:id="1312" w:name="_Toc141873333"/>
      <w:bookmarkStart w:id="1313" w:name="_Toc194080662"/>
      <w:bookmarkStart w:id="1314" w:name="_Toc172218035"/>
      <w:bookmarkStart w:id="1315" w:name="_Toc196727994"/>
      <w:bookmarkStart w:id="1316" w:name="_Toc142400849"/>
      <w:r>
        <w:rPr>
          <w:rFonts w:hint="eastAsia"/>
        </w:rPr>
        <w:t>修改网桥接口</w:t>
      </w:r>
      <w:bookmarkEnd w:id="1307"/>
      <w:bookmarkEnd w:id="1308"/>
      <w:bookmarkEnd w:id="1309"/>
      <w:bookmarkEnd w:id="1310"/>
      <w:bookmarkEnd w:id="1311"/>
      <w:bookmarkEnd w:id="1312"/>
      <w:bookmarkEnd w:id="1313"/>
      <w:bookmarkEnd w:id="1314"/>
      <w:bookmarkEnd w:id="1315"/>
      <w:bookmarkEnd w:id="1316"/>
    </w:p>
    <w:p w14:paraId="7AC9E08A">
      <w:r>
        <w:rPr>
          <w:rFonts w:hint="eastAsia"/>
        </w:rPr>
        <w:t>如</w:t>
      </w:r>
      <w:r>
        <w:rPr>
          <w:color w:val="0000FF"/>
          <w:u w:val="single"/>
        </w:rPr>
        <w:fldChar w:fldCharType="begin"/>
      </w:r>
      <w:r>
        <w:rPr>
          <w:color w:val="0000FF"/>
          <w:u w:val="single"/>
        </w:rPr>
        <w:instrText xml:space="preserve"> REF _Ref407451058 \r \h </w:instrText>
      </w:r>
      <w:r>
        <w:rPr>
          <w:color w:val="0000FF"/>
          <w:u w:val="single"/>
        </w:rPr>
        <w:fldChar w:fldCharType="separate"/>
      </w:r>
      <w:r>
        <w:rPr>
          <w:rFonts w:hint="eastAsia"/>
          <w:color w:val="0000FF"/>
          <w:u w:val="single"/>
        </w:rPr>
        <w:t>图6-9</w:t>
      </w:r>
      <w:r>
        <w:rPr>
          <w:color w:val="0000FF"/>
          <w:u w:val="single"/>
        </w:rPr>
        <w:fldChar w:fldCharType="end"/>
      </w:r>
      <w:r>
        <w:rPr>
          <w:rFonts w:hint="eastAsia"/>
        </w:rPr>
        <w:t>所示，通过菜单“网络配置&gt;接口配置</w:t>
      </w:r>
      <w:r>
        <w:t>&gt;</w:t>
      </w:r>
      <w:r>
        <w:rPr>
          <w:rFonts w:hint="eastAsia"/>
        </w:rPr>
        <w:t>网桥接口”使用该功能。点击网桥接口显示页面的编辑图标，切换到编辑页面。</w:t>
      </w:r>
    </w:p>
    <w:p w14:paraId="2DB809FE">
      <w:pPr>
        <w:pStyle w:val="188"/>
      </w:pPr>
      <w:bookmarkStart w:id="1317" w:name="_Toc141874544"/>
      <w:bookmarkStart w:id="1318" w:name="_Ref407451058"/>
      <w:r>
        <w:rPr>
          <w:rFonts w:hint="eastAsia"/>
        </w:rPr>
        <w:t>网桥接口编辑界面</w:t>
      </w:r>
      <w:bookmarkEnd w:id="1317"/>
      <w:bookmarkEnd w:id="1318"/>
    </w:p>
    <w:p w14:paraId="0864127E">
      <w:r>
        <w:drawing>
          <wp:inline distT="0" distB="0" distL="0" distR="0">
            <wp:extent cx="5343525" cy="4495165"/>
            <wp:effectExtent l="0" t="0" r="0" b="63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218"/>
                    <a:stretch>
                      <a:fillRect/>
                    </a:stretch>
                  </pic:blipFill>
                  <pic:spPr>
                    <a:xfrm>
                      <a:off x="0" y="0"/>
                      <a:ext cx="5348413" cy="4499459"/>
                    </a:xfrm>
                    <a:prstGeom prst="rect">
                      <a:avLst/>
                    </a:prstGeom>
                  </pic:spPr>
                </pic:pic>
              </a:graphicData>
            </a:graphic>
          </wp:inline>
        </w:drawing>
      </w:r>
    </w:p>
    <w:p w14:paraId="02262E9D"/>
    <w:p w14:paraId="0DD6F16A">
      <w:pPr>
        <w:pStyle w:val="5"/>
      </w:pPr>
      <w:bookmarkStart w:id="1319" w:name="_Toc142400850"/>
      <w:bookmarkStart w:id="1320" w:name="_Toc172218036"/>
      <w:bookmarkStart w:id="1321" w:name="_Toc194080663"/>
      <w:bookmarkStart w:id="1322" w:name="_Toc196727995"/>
      <w:bookmarkStart w:id="1323" w:name="_Toc474249903"/>
      <w:bookmarkStart w:id="1324" w:name="_Toc15484700"/>
      <w:bookmarkStart w:id="1325" w:name="_Toc23152466"/>
      <w:bookmarkStart w:id="1326" w:name="_Toc40275899"/>
      <w:bookmarkStart w:id="1327" w:name="_Toc99561390"/>
      <w:bookmarkStart w:id="1328" w:name="_Toc141873334"/>
      <w:r>
        <w:rPr>
          <w:rFonts w:hint="eastAsia"/>
        </w:rPr>
        <w:t>删除网桥接口</w:t>
      </w:r>
      <w:bookmarkEnd w:id="1319"/>
      <w:bookmarkEnd w:id="1320"/>
      <w:bookmarkEnd w:id="1321"/>
      <w:bookmarkEnd w:id="1322"/>
      <w:bookmarkEnd w:id="1323"/>
      <w:bookmarkEnd w:id="1324"/>
      <w:bookmarkEnd w:id="1325"/>
      <w:bookmarkEnd w:id="1326"/>
      <w:bookmarkEnd w:id="1327"/>
      <w:bookmarkEnd w:id="1328"/>
    </w:p>
    <w:p w14:paraId="09F821B7">
      <w:r>
        <w:rPr>
          <w:rFonts w:hint="eastAsia"/>
        </w:rPr>
        <w:t>通过菜单“网络配置 &gt; 接口配置 &gt;</w:t>
      </w:r>
      <w:r>
        <w:t xml:space="preserve"> </w:t>
      </w:r>
      <w:r>
        <w:rPr>
          <w:rFonts w:hint="eastAsia"/>
        </w:rPr>
        <w:t>网桥接口”使用该功能。点击网桥接口显示页面的删除图标，删除桥接口。</w:t>
      </w:r>
    </w:p>
    <w:p w14:paraId="0F32286C">
      <w:pPr>
        <w:pStyle w:val="4"/>
      </w:pPr>
      <w:bookmarkStart w:id="1329" w:name="_Toc142400851"/>
      <w:bookmarkStart w:id="1330" w:name="_Toc141873335"/>
      <w:bookmarkStart w:id="1331" w:name="_Toc172218037"/>
      <w:bookmarkStart w:id="1332" w:name="_Toc194080664"/>
      <w:bookmarkStart w:id="1333" w:name="_Toc196727996"/>
      <w:bookmarkStart w:id="1334" w:name="_Toc134301032"/>
      <w:r>
        <w:rPr>
          <w:rFonts w:hint="eastAsia"/>
        </w:rPr>
        <w:t>配置VLAN允许范围</w:t>
      </w:r>
      <w:bookmarkEnd w:id="1329"/>
      <w:bookmarkEnd w:id="1330"/>
      <w:bookmarkEnd w:id="1331"/>
      <w:bookmarkEnd w:id="1332"/>
      <w:bookmarkEnd w:id="1333"/>
      <w:bookmarkEnd w:id="1334"/>
    </w:p>
    <w:p w14:paraId="124580E4">
      <w:pPr>
        <w:pStyle w:val="5"/>
      </w:pPr>
      <w:bookmarkStart w:id="1335" w:name="_Toc172218038"/>
      <w:bookmarkStart w:id="1336" w:name="_Toc196727997"/>
      <w:bookmarkStart w:id="1337" w:name="_Toc141873336"/>
      <w:bookmarkStart w:id="1338" w:name="_Toc134301033"/>
      <w:bookmarkStart w:id="1339" w:name="_Toc142400852"/>
      <w:bookmarkStart w:id="1340" w:name="_Toc194080665"/>
      <w:r>
        <w:t>简介</w:t>
      </w:r>
      <w:bookmarkEnd w:id="1335"/>
      <w:bookmarkEnd w:id="1336"/>
      <w:bookmarkEnd w:id="1337"/>
      <w:bookmarkEnd w:id="1338"/>
      <w:bookmarkEnd w:id="1339"/>
      <w:bookmarkEnd w:id="1340"/>
    </w:p>
    <w:p w14:paraId="0F6E7383">
      <w:r>
        <w:rPr>
          <w:rFonts w:hint="eastAsia"/>
        </w:rPr>
        <w:t>随着网络规模的扩大，网络中的广播也随之加大，会加重交换机的负担，甚至可能导致死机。VLAN（虚拟局域网技术）可以将一个大的网络划分为若干个小的局域网，从而控制广播流量。</w:t>
      </w:r>
    </w:p>
    <w:p w14:paraId="1B522369">
      <w:pPr>
        <w:spacing w:before="120" w:after="120"/>
      </w:pPr>
      <w:r>
        <w:rPr>
          <w:rFonts w:cs="Cambria"/>
        </w:rPr>
        <w:t>设备可以针对</w:t>
      </w:r>
      <w:r>
        <w:rPr>
          <w:rFonts w:hint="eastAsia"/>
        </w:rPr>
        <w:t>添加到桥中的物理接口配置VLAN范围，主要功能如下：</w:t>
      </w:r>
    </w:p>
    <w:p w14:paraId="39253D2D">
      <w:r>
        <w:rPr>
          <w:rFonts w:hint="eastAsia"/>
        </w:rPr>
        <w:t>如果配置了VLAN，当收到tag报文，只有满足VLAN范围才允许通过并做进一步处理。否则drop掉。</w:t>
      </w:r>
    </w:p>
    <w:p w14:paraId="64A8AC81">
      <w:r>
        <w:rPr>
          <w:rFonts w:hint="eastAsia"/>
        </w:rPr>
        <w:t>如果收到的是untag报文，不做VLAN范围的校验，不受限制。</w:t>
      </w:r>
    </w:p>
    <w:p w14:paraId="35EEC3CE">
      <w:r>
        <w:rPr>
          <w:rFonts w:hint="eastAsia"/>
        </w:rPr>
        <w:t>.桥转发阶段还会根据转发口配置的VLAN范围进行校验。具体校验逻辑与收包口相同。</w:t>
      </w:r>
    </w:p>
    <w:p w14:paraId="23DA81BE">
      <w:pPr>
        <w:spacing w:before="120" w:after="120"/>
      </w:pPr>
      <w:r>
        <w:rPr>
          <w:rFonts w:hint="eastAsia"/>
        </w:rPr>
        <w:t>主要应用场景如下：</w:t>
      </w:r>
    </w:p>
    <w:p w14:paraId="10B00994">
      <w:r>
        <w:rPr>
          <w:rFonts w:hint="eastAsia" w:cs="Cambria"/>
          <w:b/>
        </w:rPr>
        <w:t>场景一：</w:t>
      </w:r>
      <w:r>
        <w:rPr>
          <w:rFonts w:hint="eastAsia"/>
        </w:rPr>
        <w:t>下行两个接口都配置相同的Vlan ID，此时仅VLANID在允许范围内的二层报文可以被转发。其他VLAN ID的报文不能通过。</w:t>
      </w:r>
    </w:p>
    <w:p w14:paraId="4C6C250B">
      <w:r>
        <w:rPr>
          <w:rFonts w:hint="eastAsia" w:cs="Cambria"/>
          <w:b/>
        </w:rPr>
        <w:t>场景二：</w:t>
      </w:r>
      <w:r>
        <w:rPr>
          <w:rFonts w:hint="eastAsia"/>
        </w:rPr>
        <w:t>将多个接口加入同一个网桥中，根据VLAN划分出的广播域，进行转发的限制。</w:t>
      </w:r>
    </w:p>
    <w:p w14:paraId="6BD5EC43">
      <w:pPr>
        <w:pStyle w:val="5"/>
      </w:pPr>
      <w:bookmarkStart w:id="1341" w:name="_Toc142400853"/>
      <w:bookmarkStart w:id="1342" w:name="_Toc141873337"/>
      <w:bookmarkStart w:id="1343" w:name="_Toc194080666"/>
      <w:bookmarkStart w:id="1344" w:name="_Toc196727998"/>
      <w:bookmarkStart w:id="1345" w:name="_Toc172218039"/>
      <w:bookmarkStart w:id="1346" w:name="_Toc134301034"/>
      <w:r>
        <w:t>配置</w:t>
      </w:r>
      <w:r>
        <w:rPr>
          <w:rFonts w:hint="eastAsia"/>
        </w:rPr>
        <w:t>VLAN允许范围</w:t>
      </w:r>
      <w:bookmarkEnd w:id="1341"/>
      <w:bookmarkEnd w:id="1342"/>
      <w:bookmarkEnd w:id="1343"/>
      <w:bookmarkEnd w:id="1344"/>
      <w:bookmarkEnd w:id="1345"/>
      <w:bookmarkEnd w:id="1346"/>
    </w:p>
    <w:p w14:paraId="08D5BB4E">
      <w:r>
        <w:rPr>
          <w:rFonts w:hint="eastAsia"/>
        </w:rPr>
        <w:t>通过菜单“网络配置 &gt; 接口配置 &gt;</w:t>
      </w:r>
      <w:r>
        <w:t xml:space="preserve"> </w:t>
      </w:r>
      <w:r>
        <w:rPr>
          <w:rFonts w:hint="eastAsia"/>
        </w:rPr>
        <w:t>网桥接口”，点击&lt;</w:t>
      </w:r>
      <w:r>
        <w:rPr>
          <w:rFonts w:hint="eastAsia"/>
          <w:b/>
        </w:rPr>
        <w:t>新建</w:t>
      </w:r>
      <w:r>
        <w:rPr>
          <w:rFonts w:hint="eastAsia"/>
        </w:rPr>
        <w:t>&gt;，</w:t>
      </w:r>
      <w:r>
        <w:t>将相关接口加入</w:t>
      </w:r>
      <w:r>
        <w:rPr>
          <w:rFonts w:hint="eastAsia"/>
        </w:rPr>
        <w:t>网桥，</w:t>
      </w:r>
      <w:r>
        <w:t>点击</w:t>
      </w:r>
      <w:r>
        <w:rPr>
          <w:rFonts w:hint="eastAsia"/>
        </w:rPr>
        <w:t>&lt;提交&gt;。</w:t>
      </w:r>
    </w:p>
    <w:p w14:paraId="0A7F67A5">
      <w:pPr>
        <w:pStyle w:val="188"/>
      </w:pPr>
      <w:bookmarkStart w:id="1347" w:name="_Toc141874545"/>
      <w:r>
        <w:rPr>
          <w:rFonts w:hint="eastAsia"/>
        </w:rPr>
        <w:t>配置桥接口</w:t>
      </w:r>
      <w:bookmarkEnd w:id="1347"/>
    </w:p>
    <w:p w14:paraId="54B7E348">
      <w:pPr>
        <w:spacing w:before="79" w:after="79"/>
        <w:rPr>
          <w:rFonts w:cs="Cambria"/>
        </w:rPr>
      </w:pPr>
      <w:r>
        <w:drawing>
          <wp:inline distT="0" distB="0" distL="0" distR="0">
            <wp:extent cx="5000625" cy="3481705"/>
            <wp:effectExtent l="0" t="0" r="0" b="4445"/>
            <wp:docPr id="64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图片 34"/>
                    <pic:cNvPicPr>
                      <a:picLocks noChangeAspect="1"/>
                    </pic:cNvPicPr>
                  </pic:nvPicPr>
                  <pic:blipFill>
                    <a:blip r:embed="rId219">
                      <a:extLst>
                        <a:ext uri="{28A0092B-C50C-407E-A947-70E740481C1C}">
                          <a14:useLocalDpi xmlns:a14="http://schemas.microsoft.com/office/drawing/2010/main" val="0"/>
                        </a:ext>
                      </a:extLst>
                    </a:blip>
                    <a:stretch>
                      <a:fillRect/>
                    </a:stretch>
                  </pic:blipFill>
                  <pic:spPr>
                    <a:xfrm>
                      <a:off x="0" y="0"/>
                      <a:ext cx="5001447" cy="3482631"/>
                    </a:xfrm>
                    <a:prstGeom prst="rect">
                      <a:avLst/>
                    </a:prstGeom>
                    <a:noFill/>
                    <a:ln>
                      <a:noFill/>
                    </a:ln>
                  </pic:spPr>
                </pic:pic>
              </a:graphicData>
            </a:graphic>
          </wp:inline>
        </w:drawing>
      </w:r>
    </w:p>
    <w:p w14:paraId="2D971FCB">
      <w:r>
        <w:rPr>
          <w:rFonts w:hint="eastAsia"/>
        </w:rPr>
        <w:t>加入</w:t>
      </w:r>
      <w:r>
        <w:t>网桥的接口</w:t>
      </w:r>
      <w:r>
        <w:rPr>
          <w:rFonts w:hint="eastAsia"/>
        </w:rPr>
        <w:t>变为</w:t>
      </w:r>
      <w:r>
        <w:t>Switch状态</w:t>
      </w:r>
      <w:r>
        <w:rPr>
          <w:rFonts w:hint="eastAsia"/>
        </w:rPr>
        <w:t>，在接口配置页面选择物理接口页签，编辑加入网桥后</w:t>
      </w:r>
      <w:r>
        <w:t>S</w:t>
      </w:r>
      <w:r>
        <w:rPr>
          <w:rFonts w:hint="eastAsia"/>
        </w:rPr>
        <w:t>witch模式的物理接口，进入接口编辑界面，设置vlan允许范围。默认为1-4094，相当于any。</w:t>
      </w:r>
    </w:p>
    <w:p w14:paraId="19AB7209">
      <w:pPr>
        <w:pStyle w:val="188"/>
      </w:pPr>
      <w:bookmarkStart w:id="1348" w:name="_Toc141874546"/>
      <w:r>
        <w:rPr>
          <w:rFonts w:hint="eastAsia"/>
        </w:rPr>
        <w:t>配置VLAN允许范围</w:t>
      </w:r>
      <w:bookmarkEnd w:id="1348"/>
    </w:p>
    <w:p w14:paraId="61427B17">
      <w:pPr>
        <w:pStyle w:val="373"/>
        <w:spacing w:after="156"/>
        <w:rPr>
          <w:rFonts w:ascii="Times New Roman" w:hAnsi="Times New Roman" w:cs="Cambria"/>
          <w:szCs w:val="21"/>
        </w:rPr>
      </w:pPr>
    </w:p>
    <w:p w14:paraId="4E79078F">
      <w:pPr>
        <w:spacing w:before="79" w:after="79"/>
      </w:pPr>
      <w:r>
        <w:drawing>
          <wp:inline distT="0" distB="0" distL="114300" distR="114300">
            <wp:extent cx="5476875" cy="2385695"/>
            <wp:effectExtent l="0" t="0" r="0" b="0"/>
            <wp:docPr id="81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图片 35"/>
                    <pic:cNvPicPr>
                      <a:picLocks noChangeAspect="1"/>
                    </pic:cNvPicPr>
                  </pic:nvPicPr>
                  <pic:blipFill>
                    <a:blip r:embed="rId220"/>
                    <a:stretch>
                      <a:fillRect/>
                    </a:stretch>
                  </pic:blipFill>
                  <pic:spPr>
                    <a:xfrm>
                      <a:off x="0" y="0"/>
                      <a:ext cx="5479012" cy="2387223"/>
                    </a:xfrm>
                    <a:prstGeom prst="rect">
                      <a:avLst/>
                    </a:prstGeom>
                    <a:noFill/>
                    <a:ln>
                      <a:noFill/>
                    </a:ln>
                  </pic:spPr>
                </pic:pic>
              </a:graphicData>
            </a:graphic>
          </wp:inline>
        </w:drawing>
      </w:r>
    </w:p>
    <w:p w14:paraId="1423C980">
      <w:r>
        <w:rPr>
          <w:rFonts w:hint="eastAsia"/>
        </w:rPr>
        <w:t>编辑相关信息，点击&lt;提交</w:t>
      </w:r>
      <w:r>
        <w:t>&gt;</w:t>
      </w:r>
      <w:r>
        <w:rPr>
          <w:rFonts w:hint="eastAsia"/>
        </w:rPr>
        <w:t>。</w:t>
      </w:r>
    </w:p>
    <w:p w14:paraId="3BF5F117">
      <w:pPr>
        <w:pStyle w:val="4"/>
      </w:pPr>
      <w:bookmarkStart w:id="1349" w:name="_Toc40275900"/>
      <w:bookmarkStart w:id="1350" w:name="_Toc99561391"/>
      <w:bookmarkStart w:id="1351" w:name="_Toc141873338"/>
      <w:bookmarkStart w:id="1352" w:name="_Toc23152467"/>
      <w:bookmarkStart w:id="1353" w:name="_Toc142400854"/>
      <w:bookmarkStart w:id="1354" w:name="_Toc172218040"/>
      <w:bookmarkStart w:id="1355" w:name="_Toc474249904"/>
      <w:bookmarkStart w:id="1356" w:name="_Toc15484701"/>
      <w:bookmarkStart w:id="1357" w:name="_Toc194080667"/>
      <w:bookmarkStart w:id="1358" w:name="_Toc196727999"/>
      <w:r>
        <w:rPr>
          <w:rFonts w:hint="eastAsia"/>
        </w:rPr>
        <w:t>聚合接口配置</w:t>
      </w:r>
      <w:bookmarkEnd w:id="1349"/>
      <w:bookmarkEnd w:id="1350"/>
      <w:bookmarkEnd w:id="1351"/>
      <w:bookmarkEnd w:id="1352"/>
      <w:bookmarkEnd w:id="1353"/>
      <w:bookmarkEnd w:id="1354"/>
      <w:bookmarkEnd w:id="1355"/>
      <w:bookmarkEnd w:id="1356"/>
      <w:bookmarkEnd w:id="1357"/>
      <w:bookmarkEnd w:id="1358"/>
    </w:p>
    <w:p w14:paraId="652EE508">
      <w:pPr>
        <w:pStyle w:val="5"/>
      </w:pPr>
      <w:bookmarkStart w:id="1359" w:name="_Toc23152468"/>
      <w:bookmarkStart w:id="1360" w:name="_Toc474249905"/>
      <w:bookmarkStart w:id="1361" w:name="_Toc142400855"/>
      <w:bookmarkStart w:id="1362" w:name="_Toc194080668"/>
      <w:bookmarkStart w:id="1363" w:name="_Toc141873339"/>
      <w:bookmarkStart w:id="1364" w:name="_Toc15484702"/>
      <w:bookmarkStart w:id="1365" w:name="_Toc40275901"/>
      <w:bookmarkStart w:id="1366" w:name="_Toc196728000"/>
      <w:bookmarkStart w:id="1367" w:name="_Toc172218041"/>
      <w:bookmarkStart w:id="1368" w:name="_Toc99561392"/>
      <w:r>
        <w:rPr>
          <w:rFonts w:hint="eastAsia"/>
        </w:rPr>
        <w:t>接口聚合概述</w:t>
      </w:r>
      <w:bookmarkEnd w:id="1359"/>
      <w:bookmarkEnd w:id="1360"/>
      <w:bookmarkEnd w:id="1361"/>
      <w:bookmarkEnd w:id="1362"/>
      <w:bookmarkEnd w:id="1363"/>
      <w:bookmarkEnd w:id="1364"/>
      <w:bookmarkEnd w:id="1365"/>
      <w:bookmarkEnd w:id="1366"/>
      <w:bookmarkEnd w:id="1367"/>
      <w:bookmarkEnd w:id="1368"/>
    </w:p>
    <w:p w14:paraId="53155067">
      <w:r>
        <w:rPr>
          <w:rFonts w:hint="eastAsia"/>
        </w:rPr>
        <w:t>接口汇聚，就是通过配置软件的设置，将</w:t>
      </w:r>
      <w:r>
        <w:t>2</w:t>
      </w:r>
      <w:r>
        <w:rPr>
          <w:rFonts w:hint="eastAsia"/>
        </w:rPr>
        <w:t>个或多个物理端口组合在一起成为一条逻辑的路径从而增加在交换机和网络节点之间的带宽，将属于这几个端口的带宽合并，给端口提供一个几倍于独立端口的独享的高带宽。将多个物理链路捆绑在一起后，不但提升了整个网络的带宽，而且数据还可以同时经由被绑定的多个物理链路传输，具有链路冗余的作用，在网络出现故障或其他原因断开其中一条或多条链路时，剩下的链路还可以工作。</w:t>
      </w:r>
    </w:p>
    <w:p w14:paraId="73BA59DB">
      <w:pPr>
        <w:pStyle w:val="5"/>
      </w:pPr>
      <w:bookmarkStart w:id="1369" w:name="_Toc474249907"/>
      <w:bookmarkStart w:id="1370" w:name="_Toc194080669"/>
      <w:bookmarkStart w:id="1371" w:name="_Toc23152470"/>
      <w:bookmarkStart w:id="1372" w:name="_Toc99561394"/>
      <w:bookmarkStart w:id="1373" w:name="_Toc172218042"/>
      <w:bookmarkStart w:id="1374" w:name="_Toc40275903"/>
      <w:bookmarkStart w:id="1375" w:name="_Toc141873340"/>
      <w:bookmarkStart w:id="1376" w:name="_Toc142400856"/>
      <w:bookmarkStart w:id="1377" w:name="_Toc15484704"/>
      <w:bookmarkStart w:id="1378" w:name="_Toc196728001"/>
      <w:r>
        <w:rPr>
          <w:rFonts w:hint="eastAsia"/>
        </w:rPr>
        <w:t>查看聚合接口</w:t>
      </w:r>
      <w:bookmarkEnd w:id="1369"/>
      <w:bookmarkEnd w:id="1370"/>
      <w:bookmarkEnd w:id="1371"/>
      <w:bookmarkEnd w:id="1372"/>
      <w:bookmarkEnd w:id="1373"/>
      <w:bookmarkEnd w:id="1374"/>
      <w:bookmarkEnd w:id="1375"/>
      <w:bookmarkEnd w:id="1376"/>
      <w:bookmarkEnd w:id="1377"/>
      <w:bookmarkEnd w:id="1378"/>
    </w:p>
    <w:p w14:paraId="4F16099D">
      <w:r>
        <w:rPr>
          <w:rFonts w:hint="eastAsia"/>
        </w:rPr>
        <w:t>如</w:t>
      </w:r>
      <w:r>
        <w:fldChar w:fldCharType="begin"/>
      </w:r>
      <w:r>
        <w:instrText xml:space="preserve"> REF _Ref392835476 \r \h </w:instrText>
      </w:r>
      <w:r>
        <w:fldChar w:fldCharType="separate"/>
      </w:r>
      <w:r>
        <w:rPr>
          <w:rFonts w:hint="eastAsia"/>
        </w:rPr>
        <w:t>图6-12</w:t>
      </w:r>
      <w:r>
        <w:fldChar w:fldCharType="end"/>
      </w:r>
      <w:r>
        <w:rPr>
          <w:rFonts w:hint="eastAsia"/>
        </w:rPr>
        <w:t>所示，通过菜单“网络配置&gt;接口配置</w:t>
      </w:r>
      <w:r>
        <w:t>&gt;</w:t>
      </w:r>
      <w:r>
        <w:rPr>
          <w:rFonts w:hint="eastAsia"/>
        </w:rPr>
        <w:t>聚合接口”使用该功能。</w:t>
      </w:r>
    </w:p>
    <w:p w14:paraId="1B7BAAF9">
      <w:pPr>
        <w:pStyle w:val="188"/>
      </w:pPr>
      <w:bookmarkStart w:id="1379" w:name="_Ref392835476"/>
      <w:bookmarkStart w:id="1380" w:name="_Toc141874547"/>
      <w:r>
        <w:rPr>
          <w:rFonts w:hint="eastAsia"/>
        </w:rPr>
        <w:t>聚合接口显示界面</w:t>
      </w:r>
      <w:bookmarkEnd w:id="1379"/>
      <w:bookmarkEnd w:id="1380"/>
    </w:p>
    <w:p w14:paraId="725ACB40">
      <w:r>
        <w:drawing>
          <wp:inline distT="0" distB="0" distL="0" distR="0">
            <wp:extent cx="5685155" cy="610235"/>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221"/>
                    <a:srcRect t="31892"/>
                    <a:stretch>
                      <a:fillRect/>
                    </a:stretch>
                  </pic:blipFill>
                  <pic:spPr>
                    <a:xfrm>
                      <a:off x="0" y="0"/>
                      <a:ext cx="5733821" cy="615413"/>
                    </a:xfrm>
                    <a:prstGeom prst="rect">
                      <a:avLst/>
                    </a:prstGeom>
                    <a:ln>
                      <a:noFill/>
                    </a:ln>
                  </pic:spPr>
                </pic:pic>
              </a:graphicData>
            </a:graphic>
          </wp:inline>
        </w:drawing>
      </w:r>
    </w:p>
    <w:p w14:paraId="20344A51"/>
    <w:p w14:paraId="1113C6D7">
      <w:pPr>
        <w:pStyle w:val="5"/>
      </w:pPr>
      <w:bookmarkStart w:id="1381" w:name="_Toc141873341"/>
      <w:bookmarkStart w:id="1382" w:name="_Toc23152471"/>
      <w:bookmarkStart w:id="1383" w:name="_Toc474249908"/>
      <w:bookmarkStart w:id="1384" w:name="_Toc196728002"/>
      <w:bookmarkStart w:id="1385" w:name="_Toc172218043"/>
      <w:bookmarkStart w:id="1386" w:name="_Toc99561395"/>
      <w:bookmarkStart w:id="1387" w:name="_Toc15484705"/>
      <w:bookmarkStart w:id="1388" w:name="_Toc194080670"/>
      <w:bookmarkStart w:id="1389" w:name="_Toc40275904"/>
      <w:bookmarkStart w:id="1390" w:name="_Toc142400857"/>
      <w:r>
        <w:rPr>
          <w:rFonts w:hint="eastAsia"/>
        </w:rPr>
        <w:t>新建聚合接口</w:t>
      </w:r>
      <w:bookmarkEnd w:id="1381"/>
      <w:bookmarkEnd w:id="1382"/>
      <w:bookmarkEnd w:id="1383"/>
      <w:bookmarkEnd w:id="1384"/>
      <w:bookmarkEnd w:id="1385"/>
      <w:bookmarkEnd w:id="1386"/>
      <w:bookmarkEnd w:id="1387"/>
      <w:bookmarkEnd w:id="1388"/>
      <w:bookmarkEnd w:id="1389"/>
      <w:bookmarkEnd w:id="1390"/>
    </w:p>
    <w:p w14:paraId="3EBFEF89">
      <w:r>
        <w:rPr>
          <w:rFonts w:hint="eastAsia"/>
        </w:rPr>
        <w:t>通过菜单“网络配置 &gt; 接口配置 &gt;</w:t>
      </w:r>
      <w:r>
        <w:t xml:space="preserve"> </w:t>
      </w:r>
      <w:r>
        <w:rPr>
          <w:rFonts w:hint="eastAsia"/>
        </w:rPr>
        <w:t>聚合接口”使用该功能。点击&lt;新建&gt;，编辑相关信息，点击&lt;提交&gt;。</w:t>
      </w:r>
    </w:p>
    <w:p w14:paraId="645534E8">
      <w:pPr>
        <w:pStyle w:val="188"/>
      </w:pPr>
      <w:bookmarkStart w:id="1391" w:name="_Ref407451191"/>
      <w:bookmarkStart w:id="1392" w:name="_Toc141874548"/>
      <w:r>
        <w:rPr>
          <w:rFonts w:hint="eastAsia"/>
        </w:rPr>
        <w:t>聚合接口编辑界面</w:t>
      </w:r>
      <w:bookmarkEnd w:id="1391"/>
      <w:bookmarkEnd w:id="1392"/>
    </w:p>
    <w:p w14:paraId="33DB95D4">
      <w:r>
        <w:drawing>
          <wp:inline distT="0" distB="0" distL="0" distR="0">
            <wp:extent cx="5400040" cy="4479925"/>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222"/>
                    <a:stretch>
                      <a:fillRect/>
                    </a:stretch>
                  </pic:blipFill>
                  <pic:spPr>
                    <a:xfrm>
                      <a:off x="0" y="0"/>
                      <a:ext cx="5400040" cy="4479925"/>
                    </a:xfrm>
                    <a:prstGeom prst="rect">
                      <a:avLst/>
                    </a:prstGeom>
                  </pic:spPr>
                </pic:pic>
              </a:graphicData>
            </a:graphic>
          </wp:inline>
        </w:drawing>
      </w:r>
    </w:p>
    <w:p w14:paraId="0A0FAEED">
      <w:pPr>
        <w:pStyle w:val="183"/>
      </w:pPr>
      <w:bookmarkStart w:id="1393" w:name="_Toc141875473"/>
      <w:r>
        <w:t>聚合接口的详细配置说明</w:t>
      </w:r>
      <w:bookmarkEnd w:id="1393"/>
    </w:p>
    <w:tbl>
      <w:tblPr>
        <w:tblStyle w:val="173"/>
        <w:tblW w:w="500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468"/>
        <w:gridCol w:w="7774"/>
      </w:tblGrid>
      <w:tr w14:paraId="5281450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794" w:type="pct"/>
            <w:tcBorders>
              <w:tl2br w:val="nil"/>
              <w:tr2bl w:val="nil"/>
            </w:tcBorders>
            <w:shd w:val="clear" w:color="auto" w:fill="538135" w:themeFill="accent6" w:themeFillShade="BF"/>
            <w:vAlign w:val="center"/>
          </w:tcPr>
          <w:p w14:paraId="16B66376">
            <w:pPr>
              <w:pStyle w:val="186"/>
              <w:widowControl w:val="0"/>
              <w:wordWrap/>
              <w:spacing w:line="240" w:lineRule="auto"/>
              <w:ind w:firstLine="0"/>
              <w:jc w:val="center"/>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4206" w:type="pct"/>
            <w:tcBorders>
              <w:tl2br w:val="nil"/>
              <w:tr2bl w:val="nil"/>
            </w:tcBorders>
            <w:shd w:val="clear" w:color="auto" w:fill="538135" w:themeFill="accent6" w:themeFillShade="BF"/>
            <w:vAlign w:val="center"/>
          </w:tcPr>
          <w:p w14:paraId="6E126388">
            <w:pPr>
              <w:pStyle w:val="186"/>
              <w:widowControl w:val="0"/>
              <w:wordWrap/>
              <w:spacing w:line="240" w:lineRule="auto"/>
              <w:ind w:firstLine="0"/>
              <w:jc w:val="center"/>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66E15A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5000" w:type="pct"/>
            <w:gridSpan w:val="2"/>
            <w:shd w:val="clear" w:color="auto" w:fill="auto"/>
          </w:tcPr>
          <w:p w14:paraId="4442EC3F">
            <w:pPr>
              <w:pStyle w:val="186"/>
              <w:widowControl w:val="0"/>
              <w:spacing w:line="240" w:lineRule="auto"/>
              <w:ind w:firstLine="0"/>
              <w:jc w:val="left"/>
            </w:pPr>
            <w:r>
              <w:rPr>
                <w:rFonts w:hint="eastAsia"/>
              </w:rPr>
              <w:t>基本配置</w:t>
            </w:r>
          </w:p>
        </w:tc>
      </w:tr>
      <w:tr w14:paraId="4F35059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794" w:type="pct"/>
            <w:shd w:val="clear" w:color="auto" w:fill="auto"/>
          </w:tcPr>
          <w:p w14:paraId="5840E581">
            <w:pPr>
              <w:pStyle w:val="186"/>
              <w:widowControl w:val="0"/>
              <w:spacing w:line="240" w:lineRule="auto"/>
              <w:ind w:firstLine="0"/>
              <w:jc w:val="left"/>
            </w:pPr>
            <w:r>
              <w:rPr>
                <w:rFonts w:hint="eastAsia"/>
              </w:rPr>
              <w:t>名称</w:t>
            </w:r>
          </w:p>
        </w:tc>
        <w:tc>
          <w:tcPr>
            <w:tcW w:w="4206" w:type="pct"/>
            <w:shd w:val="clear" w:color="auto" w:fill="auto"/>
          </w:tcPr>
          <w:p w14:paraId="4CB17728">
            <w:pPr>
              <w:pStyle w:val="186"/>
              <w:widowControl w:val="0"/>
              <w:spacing w:line="240" w:lineRule="auto"/>
              <w:ind w:firstLine="0"/>
              <w:jc w:val="left"/>
            </w:pPr>
            <w:r>
              <w:rPr>
                <w:rFonts w:hint="eastAsia"/>
              </w:rPr>
              <w:t>指定聚合接口的名称，格式为：a</w:t>
            </w:r>
            <w:r>
              <w:t>gg</w:t>
            </w:r>
            <w:r>
              <w:rPr>
                <w:rFonts w:hint="eastAsia"/>
              </w:rPr>
              <w:t>+</w:t>
            </w:r>
            <w:r>
              <w:t>ID</w:t>
            </w:r>
            <w:r>
              <w:rPr>
                <w:rFonts w:hint="eastAsia"/>
              </w:rPr>
              <w:t>，例如：agg</w:t>
            </w:r>
            <w:r>
              <w:t>1</w:t>
            </w:r>
            <w:r>
              <w:rPr>
                <w:rFonts w:hint="eastAsia"/>
              </w:rPr>
              <w:t>，I</w:t>
            </w:r>
            <w:r>
              <w:t>D</w:t>
            </w:r>
            <w:r>
              <w:rPr>
                <w:rFonts w:hint="eastAsia"/>
              </w:rPr>
              <w:t>的取值范围为0~</w:t>
            </w:r>
            <w:r>
              <w:t>255</w:t>
            </w:r>
            <w:r>
              <w:rPr>
                <w:rFonts w:hint="eastAsia"/>
              </w:rPr>
              <w:t>。</w:t>
            </w:r>
          </w:p>
        </w:tc>
      </w:tr>
      <w:tr w14:paraId="65CC2F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794" w:type="pct"/>
            <w:shd w:val="clear" w:color="auto" w:fill="auto"/>
          </w:tcPr>
          <w:p w14:paraId="40240CFB">
            <w:pPr>
              <w:pStyle w:val="186"/>
              <w:widowControl w:val="0"/>
              <w:spacing w:line="240" w:lineRule="auto"/>
              <w:ind w:firstLine="0"/>
              <w:jc w:val="left"/>
            </w:pPr>
            <w:r>
              <w:rPr>
                <w:rFonts w:hint="eastAsia"/>
              </w:rPr>
              <w:t>描述</w:t>
            </w:r>
          </w:p>
        </w:tc>
        <w:tc>
          <w:tcPr>
            <w:tcW w:w="4206" w:type="pct"/>
            <w:shd w:val="clear" w:color="auto" w:fill="auto"/>
          </w:tcPr>
          <w:p w14:paraId="4212C995">
            <w:pPr>
              <w:pStyle w:val="186"/>
              <w:widowControl w:val="0"/>
              <w:spacing w:line="240" w:lineRule="auto"/>
              <w:ind w:firstLine="0"/>
              <w:jc w:val="left"/>
            </w:pPr>
            <w:r>
              <w:rPr>
                <w:rFonts w:hint="eastAsia"/>
              </w:rPr>
              <w:t>可根据需要添加接口的描述信息，0~</w:t>
            </w:r>
            <w:r>
              <w:t>127</w:t>
            </w:r>
            <w:r>
              <w:rPr>
                <w:rFonts w:hint="eastAsia"/>
              </w:rPr>
              <w:t>个字符。</w:t>
            </w:r>
          </w:p>
        </w:tc>
      </w:tr>
      <w:tr w14:paraId="553000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794" w:type="pct"/>
            <w:shd w:val="clear" w:color="auto" w:fill="auto"/>
          </w:tcPr>
          <w:p w14:paraId="65398C5C">
            <w:pPr>
              <w:pStyle w:val="186"/>
              <w:widowControl w:val="0"/>
              <w:spacing w:line="240" w:lineRule="auto"/>
              <w:ind w:firstLine="0"/>
              <w:jc w:val="left"/>
            </w:pPr>
            <w:r>
              <w:rPr>
                <w:rFonts w:hint="eastAsia"/>
              </w:rPr>
              <w:t>接口列表</w:t>
            </w:r>
          </w:p>
        </w:tc>
        <w:tc>
          <w:tcPr>
            <w:tcW w:w="4206" w:type="pct"/>
            <w:shd w:val="clear" w:color="auto" w:fill="auto"/>
          </w:tcPr>
          <w:p w14:paraId="6BCA912B">
            <w:pPr>
              <w:pStyle w:val="186"/>
              <w:widowControl w:val="0"/>
              <w:spacing w:line="240" w:lineRule="auto"/>
              <w:ind w:firstLine="0"/>
              <w:jc w:val="left"/>
            </w:pPr>
            <w:r>
              <w:rPr>
                <w:rFonts w:hint="eastAsia"/>
              </w:rPr>
              <w:t>选择绑定的接口，只能为物理接口。</w:t>
            </w:r>
          </w:p>
        </w:tc>
      </w:tr>
      <w:tr w14:paraId="0A29A47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794" w:type="pct"/>
            <w:shd w:val="clear" w:color="auto" w:fill="auto"/>
          </w:tcPr>
          <w:p w14:paraId="2D80CB6D">
            <w:pPr>
              <w:pStyle w:val="186"/>
              <w:widowControl w:val="0"/>
              <w:spacing w:line="240" w:lineRule="auto"/>
              <w:ind w:firstLine="0"/>
              <w:jc w:val="left"/>
            </w:pPr>
            <w:r>
              <w:rPr>
                <w:rFonts w:hint="eastAsia"/>
              </w:rPr>
              <w:t>启用</w:t>
            </w:r>
          </w:p>
        </w:tc>
        <w:tc>
          <w:tcPr>
            <w:tcW w:w="4206" w:type="pct"/>
            <w:shd w:val="clear" w:color="auto" w:fill="auto"/>
          </w:tcPr>
          <w:p w14:paraId="4108D03E">
            <w:pPr>
              <w:pStyle w:val="186"/>
              <w:widowControl w:val="0"/>
              <w:spacing w:line="240" w:lineRule="auto"/>
              <w:ind w:firstLine="0"/>
              <w:jc w:val="left"/>
            </w:pPr>
            <w:r>
              <w:rPr>
                <w:rFonts w:hint="eastAsia"/>
              </w:rPr>
              <w:t>勾选复选框启用该接口。</w:t>
            </w:r>
          </w:p>
        </w:tc>
      </w:tr>
      <w:tr w14:paraId="675AFE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75" w:hRule="atLeast"/>
        </w:trPr>
        <w:tc>
          <w:tcPr>
            <w:tcW w:w="794" w:type="pct"/>
            <w:shd w:val="clear" w:color="auto" w:fill="auto"/>
          </w:tcPr>
          <w:p w14:paraId="7A97C0DF">
            <w:pPr>
              <w:pStyle w:val="186"/>
              <w:widowControl w:val="0"/>
              <w:spacing w:line="240" w:lineRule="auto"/>
              <w:ind w:firstLine="0"/>
              <w:jc w:val="left"/>
            </w:pPr>
            <w:r>
              <w:rPr>
                <w:rFonts w:hint="eastAsia"/>
              </w:rPr>
              <w:t>I</w:t>
            </w:r>
            <w:r>
              <w:t>P</w:t>
            </w:r>
            <w:r>
              <w:rPr>
                <w:rFonts w:hint="eastAsia"/>
              </w:rPr>
              <w:t>类型</w:t>
            </w:r>
          </w:p>
        </w:tc>
        <w:tc>
          <w:tcPr>
            <w:tcW w:w="4206" w:type="pct"/>
            <w:shd w:val="clear" w:color="auto" w:fill="auto"/>
          </w:tcPr>
          <w:p w14:paraId="2ACF2213">
            <w:pPr>
              <w:pStyle w:val="186"/>
              <w:widowControl w:val="0"/>
              <w:spacing w:line="240" w:lineRule="auto"/>
              <w:ind w:firstLine="0"/>
              <w:jc w:val="left"/>
            </w:pPr>
            <w:r>
              <w:rPr>
                <w:rFonts w:hint="eastAsia"/>
              </w:rPr>
              <w:t>为接口配置I</w:t>
            </w:r>
            <w:r>
              <w:t>P</w:t>
            </w:r>
            <w:r>
              <w:rPr>
                <w:rFonts w:hint="eastAsia"/>
              </w:rPr>
              <w:t>地址，请参考</w:t>
            </w:r>
            <w:r>
              <w:fldChar w:fldCharType="begin"/>
            </w:r>
            <w:r>
              <w:instrText xml:space="preserve"> HYPERLINK \l "物理接口" </w:instrText>
            </w:r>
            <w:r>
              <w:fldChar w:fldCharType="separate"/>
            </w:r>
            <w:r>
              <w:rPr>
                <w:rFonts w:hint="eastAsia"/>
                <w:color w:val="0000FF"/>
                <w:u w:val="single"/>
              </w:rPr>
              <w:t>物理接口</w:t>
            </w:r>
            <w:r>
              <w:rPr>
                <w:rFonts w:hint="eastAsia"/>
                <w:color w:val="0000FF"/>
                <w:u w:val="single"/>
              </w:rPr>
              <w:fldChar w:fldCharType="end"/>
            </w:r>
            <w:r>
              <w:rPr>
                <w:rFonts w:hint="eastAsia"/>
              </w:rPr>
              <w:t>I</w:t>
            </w:r>
            <w:r>
              <w:t>P</w:t>
            </w:r>
            <w:r>
              <w:rPr>
                <w:rFonts w:hint="eastAsia"/>
              </w:rPr>
              <w:t>地址配置方式。</w:t>
            </w:r>
          </w:p>
        </w:tc>
      </w:tr>
      <w:tr w14:paraId="14393C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5000" w:type="pct"/>
            <w:gridSpan w:val="2"/>
            <w:shd w:val="clear" w:color="auto" w:fill="auto"/>
          </w:tcPr>
          <w:p w14:paraId="28E27F45">
            <w:pPr>
              <w:pStyle w:val="186"/>
              <w:widowControl w:val="0"/>
              <w:spacing w:line="240" w:lineRule="auto"/>
              <w:ind w:firstLine="0"/>
              <w:jc w:val="left"/>
            </w:pPr>
            <w:r>
              <w:rPr>
                <w:rFonts w:hint="eastAsia"/>
              </w:rPr>
              <w:t>属性设定</w:t>
            </w:r>
          </w:p>
        </w:tc>
      </w:tr>
      <w:tr w14:paraId="1540A0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794" w:type="pct"/>
            <w:shd w:val="clear" w:color="auto" w:fill="auto"/>
          </w:tcPr>
          <w:p w14:paraId="72DF64C8">
            <w:pPr>
              <w:pStyle w:val="186"/>
              <w:widowControl w:val="0"/>
              <w:spacing w:line="240" w:lineRule="auto"/>
              <w:ind w:firstLine="0"/>
              <w:jc w:val="left"/>
            </w:pPr>
            <w:r>
              <w:rPr>
                <w:rFonts w:hint="eastAsia"/>
              </w:rPr>
              <w:t>管理方式</w:t>
            </w:r>
          </w:p>
        </w:tc>
        <w:tc>
          <w:tcPr>
            <w:tcW w:w="4206" w:type="pct"/>
            <w:shd w:val="clear" w:color="auto" w:fill="auto"/>
          </w:tcPr>
          <w:p w14:paraId="7F2A4FB4">
            <w:pPr>
              <w:pStyle w:val="186"/>
              <w:widowControl w:val="0"/>
              <w:spacing w:line="240" w:lineRule="auto"/>
              <w:ind w:firstLine="0"/>
              <w:jc w:val="left"/>
            </w:pPr>
            <w:r>
              <w:rPr>
                <w:rFonts w:hint="eastAsia"/>
              </w:rPr>
              <w:t>勾选复选框配置是否允许用户通过</w:t>
            </w:r>
            <w:r>
              <w:t>HTTPS</w:t>
            </w:r>
            <w:r>
              <w:rPr>
                <w:rFonts w:hint="eastAsia"/>
              </w:rPr>
              <w:t>、</w:t>
            </w:r>
            <w:r>
              <w:t>SSH</w:t>
            </w:r>
            <w:r>
              <w:rPr>
                <w:rFonts w:hint="eastAsia"/>
              </w:rPr>
              <w:t>、</w:t>
            </w:r>
            <w:r>
              <w:t>Telnet</w:t>
            </w:r>
            <w:r>
              <w:rPr>
                <w:rFonts w:hint="eastAsia"/>
              </w:rPr>
              <w:t>、</w:t>
            </w:r>
            <w:r>
              <w:t>P</w:t>
            </w:r>
            <w:r>
              <w:rPr>
                <w:rFonts w:hint="eastAsia"/>
              </w:rPr>
              <w:t>ing、</w:t>
            </w:r>
            <w:r>
              <w:t>Center-monitor</w:t>
            </w:r>
            <w:r>
              <w:rPr>
                <w:rFonts w:hint="eastAsia"/>
              </w:rPr>
              <w:t>等服务管理接口。</w:t>
            </w:r>
          </w:p>
        </w:tc>
      </w:tr>
      <w:tr w14:paraId="0DBC44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794" w:type="pct"/>
            <w:shd w:val="clear" w:color="auto" w:fill="auto"/>
          </w:tcPr>
          <w:p w14:paraId="6B63E966">
            <w:pPr>
              <w:pStyle w:val="186"/>
              <w:widowControl w:val="0"/>
              <w:spacing w:line="240" w:lineRule="auto"/>
              <w:ind w:firstLine="0"/>
              <w:jc w:val="left"/>
            </w:pPr>
            <w:r>
              <w:rPr>
                <w:rFonts w:hint="eastAsia"/>
              </w:rPr>
              <w:t>M</w:t>
            </w:r>
            <w:r>
              <w:t>TU</w:t>
            </w:r>
          </w:p>
        </w:tc>
        <w:tc>
          <w:tcPr>
            <w:tcW w:w="4206" w:type="pct"/>
            <w:shd w:val="clear" w:color="auto" w:fill="auto"/>
          </w:tcPr>
          <w:p w14:paraId="72FDCD5C">
            <w:pPr>
              <w:pStyle w:val="186"/>
              <w:widowControl w:val="0"/>
              <w:spacing w:line="240" w:lineRule="auto"/>
              <w:ind w:firstLine="0"/>
              <w:jc w:val="left"/>
            </w:pPr>
            <w:r>
              <w:rPr>
                <w:rFonts w:hint="eastAsia"/>
              </w:rPr>
              <w:t>指定接口可发送数据帧的最大长度，1</w:t>
            </w:r>
            <w:r>
              <w:t>280</w:t>
            </w:r>
            <w:r>
              <w:rPr>
                <w:rFonts w:hint="eastAsia"/>
              </w:rPr>
              <w:t>~</w:t>
            </w:r>
            <w:r>
              <w:t>1500</w:t>
            </w:r>
            <w:r>
              <w:rPr>
                <w:rFonts w:hint="eastAsia"/>
              </w:rPr>
              <w:t>字节。</w:t>
            </w:r>
          </w:p>
        </w:tc>
      </w:tr>
      <w:tr w14:paraId="0E8A40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794" w:type="pct"/>
            <w:shd w:val="clear" w:color="auto" w:fill="auto"/>
          </w:tcPr>
          <w:p w14:paraId="0A99C2C6">
            <w:pPr>
              <w:pStyle w:val="186"/>
              <w:widowControl w:val="0"/>
              <w:spacing w:line="240" w:lineRule="auto"/>
              <w:ind w:firstLine="0"/>
              <w:jc w:val="left"/>
            </w:pPr>
            <w:r>
              <w:rPr>
                <w:rFonts w:hint="eastAsia"/>
              </w:rPr>
              <w:t>负载分担</w:t>
            </w:r>
          </w:p>
        </w:tc>
        <w:tc>
          <w:tcPr>
            <w:tcW w:w="4206" w:type="pct"/>
            <w:shd w:val="clear" w:color="auto" w:fill="auto"/>
          </w:tcPr>
          <w:p w14:paraId="47D1C9BF">
            <w:pPr>
              <w:pStyle w:val="186"/>
              <w:widowControl w:val="0"/>
              <w:spacing w:line="240" w:lineRule="auto"/>
              <w:ind w:firstLine="0"/>
              <w:jc w:val="left"/>
            </w:pPr>
            <w:r>
              <w:rPr>
                <w:rFonts w:hint="eastAsia"/>
              </w:rPr>
              <w:t>选择聚合口接口分流方式：</w:t>
            </w:r>
          </w:p>
          <w:p w14:paraId="5635777B">
            <w:pPr>
              <w:pStyle w:val="186"/>
              <w:widowControl w:val="0"/>
              <w:spacing w:line="240" w:lineRule="auto"/>
              <w:ind w:firstLine="0"/>
              <w:jc w:val="left"/>
            </w:pPr>
            <w:r>
              <w:rPr>
                <w:rFonts w:hint="eastAsia"/>
              </w:rPr>
              <w:t>逐流分担：基于源I</w:t>
            </w:r>
            <w:r>
              <w:t>P</w:t>
            </w:r>
            <w:r>
              <w:rPr>
                <w:rFonts w:hint="eastAsia"/>
              </w:rPr>
              <w:t>、源端口、目的IP、目的端口计算HASH值，计算出对应的端口索引，从该端口索引发报文。可保证同一条流都从一个出口转发，避免出现乱序现象。</w:t>
            </w:r>
          </w:p>
          <w:p w14:paraId="5C359461">
            <w:pPr>
              <w:pStyle w:val="186"/>
              <w:widowControl w:val="0"/>
              <w:spacing w:line="240" w:lineRule="auto"/>
              <w:ind w:firstLine="0"/>
              <w:jc w:val="left"/>
            </w:pPr>
            <w:r>
              <w:rPr>
                <w:rFonts w:hint="eastAsia"/>
              </w:rPr>
              <w:t>逐包分担：基于报文进行轮询转发，可保证聚合口下各个接口之间分流更加均匀。</w:t>
            </w:r>
          </w:p>
        </w:tc>
      </w:tr>
      <w:tr w14:paraId="71C4A31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794" w:type="pct"/>
            <w:shd w:val="clear" w:color="auto" w:fill="auto"/>
          </w:tcPr>
          <w:p w14:paraId="68CFD07B">
            <w:pPr>
              <w:pStyle w:val="186"/>
              <w:widowControl w:val="0"/>
              <w:spacing w:line="240" w:lineRule="auto"/>
              <w:ind w:firstLine="0"/>
              <w:jc w:val="left"/>
            </w:pPr>
            <w:r>
              <w:rPr>
                <w:rFonts w:hint="eastAsia"/>
              </w:rPr>
              <w:t>模式</w:t>
            </w:r>
          </w:p>
        </w:tc>
        <w:tc>
          <w:tcPr>
            <w:tcW w:w="4206" w:type="pct"/>
            <w:shd w:val="clear" w:color="auto" w:fill="auto"/>
          </w:tcPr>
          <w:p w14:paraId="077DFAD8">
            <w:pPr>
              <w:pStyle w:val="186"/>
              <w:widowControl w:val="0"/>
              <w:spacing w:line="240" w:lineRule="auto"/>
              <w:ind w:firstLine="0"/>
              <w:jc w:val="left"/>
            </w:pPr>
            <w:r>
              <w:rPr>
                <w:rFonts w:hint="eastAsia"/>
              </w:rPr>
              <w:t>聚合口工作模式，分为手工模式和LACP模式。</w:t>
            </w:r>
          </w:p>
          <w:p w14:paraId="070CE320">
            <w:pPr>
              <w:pStyle w:val="186"/>
              <w:widowControl w:val="0"/>
              <w:spacing w:line="240" w:lineRule="auto"/>
              <w:ind w:firstLine="0"/>
              <w:jc w:val="left"/>
            </w:pPr>
            <w:r>
              <w:rPr>
                <w:rFonts w:hint="eastAsia"/>
              </w:rPr>
              <w:t>手工：成员接口的加入和离开由手工来配置。</w:t>
            </w:r>
          </w:p>
          <w:p w14:paraId="1471EE03">
            <w:pPr>
              <w:pStyle w:val="186"/>
              <w:widowControl w:val="0"/>
              <w:spacing w:line="240" w:lineRule="auto"/>
              <w:ind w:firstLine="0"/>
              <w:jc w:val="left"/>
            </w:pPr>
            <w:r>
              <w:t>LACP</w:t>
            </w:r>
            <w:r>
              <w:rPr>
                <w:rFonts w:hint="eastAsia"/>
              </w:rPr>
              <w:t>：</w:t>
            </w:r>
            <w:r>
              <w:t>Link Aggregation Control Protocol</w:t>
            </w:r>
            <w:r>
              <w:rPr>
                <w:rFonts w:hint="eastAsia"/>
              </w:rPr>
              <w:t>，根据自身配置自动形成聚合链路，在聚合条件发生变化时自动调整聚合状态。</w:t>
            </w:r>
          </w:p>
        </w:tc>
      </w:tr>
      <w:tr w14:paraId="1FCAB3F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794" w:type="pct"/>
            <w:shd w:val="clear" w:color="auto" w:fill="auto"/>
          </w:tcPr>
          <w:p w14:paraId="1FB14D19">
            <w:pPr>
              <w:pStyle w:val="186"/>
              <w:widowControl w:val="0"/>
              <w:spacing w:line="240" w:lineRule="auto"/>
              <w:ind w:firstLine="0"/>
              <w:jc w:val="left"/>
            </w:pPr>
            <w:r>
              <w:rPr>
                <w:rFonts w:hint="eastAsia"/>
              </w:rPr>
              <w:t>LACP优先级</w:t>
            </w:r>
          </w:p>
        </w:tc>
        <w:tc>
          <w:tcPr>
            <w:tcW w:w="4206" w:type="pct"/>
            <w:shd w:val="clear" w:color="auto" w:fill="auto"/>
          </w:tcPr>
          <w:p w14:paraId="6FE78448">
            <w:pPr>
              <w:pStyle w:val="186"/>
              <w:widowControl w:val="0"/>
              <w:spacing w:line="240" w:lineRule="auto"/>
              <w:ind w:firstLine="0"/>
              <w:jc w:val="left"/>
            </w:pPr>
            <w:r>
              <w:rPr>
                <w:rFonts w:hint="eastAsia"/>
              </w:rPr>
              <w:t>范围为0~65535，默认值为32678。</w:t>
            </w:r>
          </w:p>
        </w:tc>
      </w:tr>
      <w:tr w14:paraId="511873A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794" w:type="pct"/>
            <w:shd w:val="clear" w:color="auto" w:fill="auto"/>
          </w:tcPr>
          <w:p w14:paraId="3E661312">
            <w:pPr>
              <w:pStyle w:val="186"/>
              <w:widowControl w:val="0"/>
              <w:spacing w:line="240" w:lineRule="auto"/>
              <w:ind w:firstLine="0"/>
              <w:jc w:val="left"/>
            </w:pPr>
            <w:r>
              <w:rPr>
                <w:rFonts w:hint="eastAsia"/>
              </w:rPr>
              <w:t>LACP超时模式</w:t>
            </w:r>
          </w:p>
        </w:tc>
        <w:tc>
          <w:tcPr>
            <w:tcW w:w="4206" w:type="pct"/>
            <w:shd w:val="clear" w:color="auto" w:fill="auto"/>
          </w:tcPr>
          <w:p w14:paraId="6CF6704E">
            <w:pPr>
              <w:pStyle w:val="186"/>
              <w:widowControl w:val="0"/>
              <w:spacing w:line="240" w:lineRule="auto"/>
              <w:ind w:firstLine="0"/>
              <w:jc w:val="left"/>
            </w:pPr>
            <w:r>
              <w:rPr>
                <w:rFonts w:hint="eastAsia"/>
              </w:rPr>
              <w:t>聚合接口接收LACP协议报文的超时时间。</w:t>
            </w:r>
          </w:p>
          <w:p w14:paraId="453F4736">
            <w:pPr>
              <w:pStyle w:val="186"/>
              <w:widowControl w:val="0"/>
              <w:spacing w:line="240" w:lineRule="auto"/>
              <w:ind w:firstLine="0"/>
              <w:jc w:val="left"/>
            </w:pPr>
            <w:r>
              <w:rPr>
                <w:rFonts w:hint="eastAsia"/>
              </w:rPr>
              <w:t>快速：指定LACP模式下聚合接口接收报文的超时时间是3秒。选择“快速”时，对端发送</w:t>
            </w:r>
            <w:r>
              <w:t>LACP</w:t>
            </w:r>
            <w:r>
              <w:rPr>
                <w:rFonts w:hint="eastAsia"/>
              </w:rPr>
              <w:t>报文的周期是</w:t>
            </w:r>
            <w:r>
              <w:t>1</w:t>
            </w:r>
            <w:r>
              <w:rPr>
                <w:rFonts w:hint="eastAsia"/>
              </w:rPr>
              <w:t>秒，响应性能好，但占用系统资源相对“慢速”较大。</w:t>
            </w:r>
          </w:p>
          <w:p w14:paraId="279BCB98">
            <w:pPr>
              <w:pStyle w:val="186"/>
              <w:widowControl w:val="0"/>
              <w:spacing w:line="240" w:lineRule="auto"/>
              <w:ind w:firstLine="0"/>
              <w:jc w:val="left"/>
            </w:pPr>
            <w:r>
              <w:rPr>
                <w:rFonts w:hint="eastAsia"/>
              </w:rPr>
              <w:t>慢速：指定LACP模式下聚合接口接收报文的超时时间为90秒。选择“慢速”时，对端发送</w:t>
            </w:r>
            <w:r>
              <w:t>LACP</w:t>
            </w:r>
            <w:r>
              <w:rPr>
                <w:rFonts w:hint="eastAsia"/>
              </w:rPr>
              <w:t>报文的周期是</w:t>
            </w:r>
            <w:r>
              <w:t>30</w:t>
            </w:r>
            <w:r>
              <w:rPr>
                <w:rFonts w:hint="eastAsia"/>
              </w:rPr>
              <w:t>秒，响应性能较“快速”低一些，但占用系统资源比较少。</w:t>
            </w:r>
          </w:p>
          <w:p w14:paraId="1EDE4C0E">
            <w:pPr>
              <w:pStyle w:val="186"/>
              <w:widowControl w:val="0"/>
              <w:spacing w:line="240" w:lineRule="auto"/>
              <w:ind w:firstLine="0"/>
              <w:jc w:val="left"/>
            </w:pPr>
            <w:r>
              <w:rPr>
                <w:rFonts w:hint="eastAsia"/>
              </w:rPr>
              <w:t>两端配置的超时时间可以不一致，但为了便于维护，建议用户配置一致的LACP协议报文超时时间，默认为“慢速”。</w:t>
            </w:r>
          </w:p>
        </w:tc>
      </w:tr>
      <w:tr w14:paraId="542624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794" w:type="pct"/>
            <w:shd w:val="clear" w:color="auto" w:fill="auto"/>
          </w:tcPr>
          <w:p w14:paraId="32199AD8">
            <w:pPr>
              <w:pStyle w:val="186"/>
              <w:widowControl w:val="0"/>
              <w:spacing w:line="240" w:lineRule="auto"/>
              <w:ind w:firstLine="0"/>
              <w:jc w:val="left"/>
            </w:pPr>
            <w:r>
              <w:rPr>
                <w:rFonts w:hint="eastAsia"/>
              </w:rPr>
              <w:t>最大链路数</w:t>
            </w:r>
          </w:p>
        </w:tc>
        <w:tc>
          <w:tcPr>
            <w:tcW w:w="4206" w:type="pct"/>
            <w:shd w:val="clear" w:color="auto" w:fill="auto"/>
          </w:tcPr>
          <w:p w14:paraId="1B562DC2">
            <w:pPr>
              <w:pStyle w:val="186"/>
              <w:widowControl w:val="0"/>
              <w:spacing w:line="240" w:lineRule="auto"/>
              <w:ind w:firstLine="0"/>
              <w:jc w:val="left"/>
            </w:pPr>
            <w:r>
              <w:rPr>
                <w:rFonts w:hint="eastAsia"/>
              </w:rPr>
              <w:t>链路聚合组活动接口数目的上限阈值，取值范围是1～32，默认为32。</w:t>
            </w:r>
          </w:p>
        </w:tc>
      </w:tr>
      <w:tr w14:paraId="26F955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794" w:type="pct"/>
            <w:shd w:val="clear" w:color="auto" w:fill="auto"/>
          </w:tcPr>
          <w:p w14:paraId="56501EDF">
            <w:pPr>
              <w:pStyle w:val="186"/>
              <w:widowControl w:val="0"/>
              <w:spacing w:line="240" w:lineRule="auto"/>
              <w:ind w:firstLine="0"/>
              <w:jc w:val="left"/>
            </w:pPr>
            <w:r>
              <w:rPr>
                <w:rFonts w:hint="eastAsia"/>
              </w:rPr>
              <w:t>最小链路数</w:t>
            </w:r>
          </w:p>
        </w:tc>
        <w:tc>
          <w:tcPr>
            <w:tcW w:w="4206" w:type="pct"/>
            <w:shd w:val="clear" w:color="auto" w:fill="auto"/>
          </w:tcPr>
          <w:p w14:paraId="5ABD3078">
            <w:pPr>
              <w:pStyle w:val="186"/>
              <w:widowControl w:val="0"/>
              <w:spacing w:line="240" w:lineRule="auto"/>
              <w:ind w:firstLine="0"/>
              <w:jc w:val="left"/>
            </w:pPr>
            <w:r>
              <w:rPr>
                <w:rFonts w:hint="eastAsia"/>
              </w:rPr>
              <w:t>链路聚合组活动接口数目的下限阈值，取值范围是1～8，默认为1。</w:t>
            </w:r>
          </w:p>
        </w:tc>
      </w:tr>
    </w:tbl>
    <w:p w14:paraId="464529D6"/>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7AF1BF20">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6DD8F4CF">
            <w:pPr>
              <w:pStyle w:val="150"/>
              <w:adjustRightInd w:val="0"/>
              <w:snapToGrid w:val="0"/>
              <w:rPr>
                <w:color w:val="auto"/>
              </w:rPr>
            </w:pPr>
            <w:bookmarkStart w:id="1394" w:name="OLE_LINK11"/>
            <w:bookmarkStart w:id="1395" w:name="OLE_LINK12"/>
            <w:r>
              <w:rPr>
                <w:color w:val="auto"/>
              </w:rPr>
              <w:drawing>
                <wp:inline distT="0" distB="0" distL="0" distR="0">
                  <wp:extent cx="283210" cy="283210"/>
                  <wp:effectExtent l="0" t="0" r="2540" b="254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42208565">
            <w:pPr>
              <w:pStyle w:val="207"/>
              <w:adjustRightInd w:val="0"/>
              <w:snapToGrid w:val="0"/>
              <w:rPr>
                <w:color w:val="auto"/>
                <w:lang w:eastAsia="zh-CN"/>
              </w:rPr>
            </w:pPr>
            <w:r>
              <w:rPr>
                <w:rFonts w:hint="eastAsia"/>
                <w:color w:val="auto"/>
                <w:lang w:eastAsia="zh-CN"/>
              </w:rPr>
              <w:t>与支持LACP协议的设备对接时，建议使用静态LACP模式。LACP静态聚合组指由人工手动创建，但由运行在链路两端的系统上的LACP协议完成链路聚合控制的聚合组。</w:t>
            </w:r>
          </w:p>
          <w:p w14:paraId="74AA553F">
            <w:pPr>
              <w:pStyle w:val="207"/>
              <w:adjustRightInd w:val="0"/>
              <w:snapToGrid w:val="0"/>
              <w:rPr>
                <w:color w:val="auto"/>
                <w:lang w:eastAsia="zh-CN"/>
              </w:rPr>
            </w:pPr>
            <w:r>
              <w:rPr>
                <w:rFonts w:hint="eastAsia"/>
                <w:color w:val="auto"/>
                <w:lang w:eastAsia="zh-CN"/>
              </w:rPr>
              <w:t>与不支持LACP协议的设备对接时，必须设置聚合组类型为手工聚合。手工聚合组指由人工手动创建和完成链路聚合控制的聚合组。如果聚合组类型为手工聚合，成员链路单向故障（如以太网光口某一方向断纤）或物理线路位置连接错误时，业务的发送端不能检测到该故障。</w:t>
            </w:r>
          </w:p>
          <w:p w14:paraId="3734AD86">
            <w:pPr>
              <w:pStyle w:val="207"/>
              <w:adjustRightInd w:val="0"/>
              <w:snapToGrid w:val="0"/>
              <w:rPr>
                <w:color w:val="auto"/>
                <w:lang w:eastAsia="zh-CN"/>
              </w:rPr>
            </w:pPr>
            <w:r>
              <w:rPr>
                <w:rFonts w:hint="eastAsia"/>
                <w:color w:val="auto"/>
                <w:lang w:eastAsia="zh-CN"/>
              </w:rPr>
              <w:t>静态LACP可与动态LACP协议对接。</w:t>
            </w:r>
          </w:p>
        </w:tc>
      </w:tr>
      <w:bookmarkEnd w:id="1394"/>
      <w:bookmarkEnd w:id="1395"/>
    </w:tbl>
    <w:p w14:paraId="00488079"/>
    <w:p w14:paraId="7875441F">
      <w:pPr>
        <w:pStyle w:val="4"/>
      </w:pPr>
      <w:bookmarkStart w:id="1396" w:name="_Toc15484707"/>
      <w:bookmarkStart w:id="1397" w:name="_Toc40275906"/>
      <w:bookmarkStart w:id="1398" w:name="_Toc23152473"/>
      <w:bookmarkStart w:id="1399" w:name="_Toc99561397"/>
      <w:bookmarkStart w:id="1400" w:name="_Toc141873342"/>
      <w:bookmarkStart w:id="1401" w:name="_Toc474249910"/>
      <w:bookmarkStart w:id="1402" w:name="_Toc142400858"/>
      <w:bookmarkStart w:id="1403" w:name="_Toc172218044"/>
      <w:bookmarkStart w:id="1404" w:name="_Toc194080671"/>
      <w:bookmarkStart w:id="1405" w:name="_Toc196728003"/>
      <w:r>
        <w:rPr>
          <w:rFonts w:hint="eastAsia"/>
        </w:rPr>
        <w:t>隧道接口配置</w:t>
      </w:r>
      <w:bookmarkEnd w:id="1396"/>
      <w:bookmarkEnd w:id="1397"/>
      <w:bookmarkEnd w:id="1398"/>
      <w:bookmarkEnd w:id="1399"/>
      <w:bookmarkEnd w:id="1400"/>
      <w:bookmarkEnd w:id="1401"/>
      <w:bookmarkEnd w:id="1402"/>
      <w:bookmarkEnd w:id="1403"/>
      <w:bookmarkEnd w:id="1404"/>
      <w:bookmarkEnd w:id="1405"/>
    </w:p>
    <w:p w14:paraId="45C352DF">
      <w:pPr>
        <w:pStyle w:val="5"/>
      </w:pPr>
      <w:bookmarkStart w:id="1406" w:name="_Toc474249911"/>
      <w:bookmarkStart w:id="1407" w:name="_Toc23152474"/>
      <w:bookmarkStart w:id="1408" w:name="_Toc15484708"/>
      <w:bookmarkStart w:id="1409" w:name="_Toc172218045"/>
      <w:bookmarkStart w:id="1410" w:name="_Toc142400859"/>
      <w:bookmarkStart w:id="1411" w:name="_Toc194080672"/>
      <w:bookmarkStart w:id="1412" w:name="_Toc196728004"/>
      <w:bookmarkStart w:id="1413" w:name="_Toc99561398"/>
      <w:bookmarkStart w:id="1414" w:name="_Toc40275907"/>
      <w:bookmarkStart w:id="1415" w:name="_Toc141873343"/>
      <w:r>
        <w:rPr>
          <w:rFonts w:hint="eastAsia"/>
        </w:rPr>
        <w:t>隧道接口概述</w:t>
      </w:r>
      <w:bookmarkEnd w:id="1406"/>
      <w:bookmarkEnd w:id="1407"/>
      <w:bookmarkEnd w:id="1408"/>
      <w:bookmarkEnd w:id="1409"/>
      <w:bookmarkEnd w:id="1410"/>
      <w:bookmarkEnd w:id="1411"/>
      <w:bookmarkEnd w:id="1412"/>
      <w:bookmarkEnd w:id="1413"/>
      <w:bookmarkEnd w:id="1414"/>
      <w:bookmarkEnd w:id="1415"/>
    </w:p>
    <w:p w14:paraId="714F15BE">
      <w:r>
        <w:rPr>
          <w:rFonts w:hint="eastAsia"/>
        </w:rPr>
        <w:t>隧道接口用于创建加密通道，数据通过隧道接口进出加密通道。通过隧道传递的数据可以是不同协议的数据帧或包，隧道协议将这些据帧或包重新封装在新的包头中发送，被封装的数据包在隧道的两个端点之间通过公共互联网络进行路由，到达网络终点后数据将被解包并转发到最终目的地。整个传递过程中，被封装的数据包在公共互联网络上传输时所经过的逻辑路径称为隧道。</w:t>
      </w:r>
    </w:p>
    <w:p w14:paraId="020206F9">
      <w:r>
        <w:rPr>
          <w:rFonts w:hint="eastAsia"/>
        </w:rPr>
        <w:t>目前设备支持四种隧道接口：SSLVPN隧道接口、GRE隧道接口、IPsec隧道接口、IPv6隧道接口。</w:t>
      </w:r>
    </w:p>
    <w:p w14:paraId="22D23622">
      <w:pPr>
        <w:pStyle w:val="5"/>
      </w:pPr>
      <w:bookmarkStart w:id="1416" w:name="_Toc40275908"/>
      <w:bookmarkStart w:id="1417" w:name="_Toc99561399"/>
      <w:bookmarkStart w:id="1418" w:name="_Toc15484709"/>
      <w:bookmarkStart w:id="1419" w:name="_Toc474249912"/>
      <w:bookmarkStart w:id="1420" w:name="_Toc23152475"/>
      <w:bookmarkStart w:id="1421" w:name="_Toc142400860"/>
      <w:bookmarkStart w:id="1422" w:name="_Toc196728005"/>
      <w:bookmarkStart w:id="1423" w:name="_Toc141873344"/>
      <w:bookmarkStart w:id="1424" w:name="_Toc172218046"/>
      <w:bookmarkStart w:id="1425" w:name="_Toc194080673"/>
      <w:r>
        <w:rPr>
          <w:rFonts w:hint="eastAsia"/>
        </w:rPr>
        <w:t>查看</w:t>
      </w:r>
      <w:bookmarkEnd w:id="1416"/>
      <w:bookmarkEnd w:id="1417"/>
      <w:bookmarkEnd w:id="1418"/>
      <w:bookmarkEnd w:id="1419"/>
      <w:bookmarkEnd w:id="1420"/>
      <w:bookmarkStart w:id="1426" w:name="_Toc99561400"/>
      <w:bookmarkStart w:id="1427" w:name="_Toc23152476"/>
      <w:bookmarkStart w:id="1428" w:name="_Toc40275909"/>
      <w:bookmarkStart w:id="1429" w:name="_Toc15484710"/>
      <w:bookmarkStart w:id="1430" w:name="_Toc474249913"/>
      <w:r>
        <w:rPr>
          <w:rFonts w:hint="eastAsia"/>
        </w:rPr>
        <w:t>隧道接口</w:t>
      </w:r>
      <w:bookmarkEnd w:id="1421"/>
      <w:bookmarkEnd w:id="1422"/>
      <w:bookmarkEnd w:id="1423"/>
      <w:bookmarkEnd w:id="1424"/>
      <w:bookmarkEnd w:id="1425"/>
      <w:bookmarkEnd w:id="1426"/>
      <w:bookmarkEnd w:id="1427"/>
      <w:bookmarkEnd w:id="1428"/>
      <w:bookmarkEnd w:id="1429"/>
      <w:bookmarkEnd w:id="1430"/>
    </w:p>
    <w:p w14:paraId="75736841">
      <w:r>
        <w:rPr>
          <w:rFonts w:hint="eastAsia"/>
        </w:rPr>
        <w:t>如</w:t>
      </w:r>
      <w:r>
        <w:fldChar w:fldCharType="begin"/>
      </w:r>
      <w:r>
        <w:instrText xml:space="preserve"> REF _Ref458612821 \r \h </w:instrText>
      </w:r>
      <w:r>
        <w:fldChar w:fldCharType="separate"/>
      </w:r>
      <w:r>
        <w:rPr>
          <w:rFonts w:hint="eastAsia"/>
        </w:rPr>
        <w:t>图6-14</w:t>
      </w:r>
      <w:r>
        <w:fldChar w:fldCharType="end"/>
      </w:r>
      <w:r>
        <w:rPr>
          <w:rFonts w:hint="eastAsia"/>
        </w:rPr>
        <w:t>所示，通过菜单“网络配置&gt;接口配置</w:t>
      </w:r>
      <w:r>
        <w:t>&gt;</w:t>
      </w:r>
      <w:r>
        <w:rPr>
          <w:rFonts w:hint="eastAsia"/>
        </w:rPr>
        <w:t>隧道接口” 查看设备上的所有隧道接口及其状态信息。</w:t>
      </w:r>
    </w:p>
    <w:p w14:paraId="67737567">
      <w:pPr>
        <w:pStyle w:val="188"/>
      </w:pPr>
      <w:bookmarkStart w:id="1431" w:name="_Ref458612821"/>
      <w:bookmarkStart w:id="1432" w:name="_Toc141874549"/>
      <w:r>
        <w:rPr>
          <w:rFonts w:hint="eastAsia"/>
        </w:rPr>
        <w:t>隧道接口显示界面</w:t>
      </w:r>
      <w:bookmarkEnd w:id="1431"/>
      <w:bookmarkEnd w:id="1432"/>
    </w:p>
    <w:p w14:paraId="536BF0EB">
      <w:r>
        <w:drawing>
          <wp:inline distT="0" distB="0" distL="114300" distR="114300">
            <wp:extent cx="5400040" cy="906780"/>
            <wp:effectExtent l="0" t="0" r="0" b="7620"/>
            <wp:docPr id="82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图片 38"/>
                    <pic:cNvPicPr>
                      <a:picLocks noChangeAspect="1"/>
                    </pic:cNvPicPr>
                  </pic:nvPicPr>
                  <pic:blipFill>
                    <a:blip r:embed="rId223"/>
                    <a:stretch>
                      <a:fillRect/>
                    </a:stretch>
                  </pic:blipFill>
                  <pic:spPr>
                    <a:xfrm>
                      <a:off x="0" y="0"/>
                      <a:ext cx="5400040" cy="906928"/>
                    </a:xfrm>
                    <a:prstGeom prst="rect">
                      <a:avLst/>
                    </a:prstGeom>
                    <a:noFill/>
                    <a:ln>
                      <a:noFill/>
                    </a:ln>
                  </pic:spPr>
                </pic:pic>
              </a:graphicData>
            </a:graphic>
          </wp:inline>
        </w:drawing>
      </w:r>
    </w:p>
    <w:p w14:paraId="6F0654EA">
      <w:pPr>
        <w:pStyle w:val="5"/>
      </w:pPr>
      <w:bookmarkStart w:id="1433" w:name="_Toc196728006"/>
      <w:bookmarkStart w:id="1434" w:name="_Toc142400861"/>
      <w:bookmarkStart w:id="1435" w:name="_Toc194080674"/>
      <w:bookmarkStart w:id="1436" w:name="_Toc141873345"/>
      <w:bookmarkStart w:id="1437" w:name="_Toc172218047"/>
      <w:r>
        <w:rPr>
          <w:rFonts w:hint="eastAsia"/>
        </w:rPr>
        <w:t>新建隧道接口</w:t>
      </w:r>
      <w:bookmarkEnd w:id="1433"/>
      <w:bookmarkEnd w:id="1434"/>
      <w:bookmarkEnd w:id="1435"/>
      <w:bookmarkEnd w:id="1436"/>
      <w:bookmarkEnd w:id="1437"/>
    </w:p>
    <w:p w14:paraId="60F48446">
      <w:r>
        <w:rPr>
          <w:rFonts w:hint="eastAsia"/>
        </w:rPr>
        <w:t>通过菜单“网络配置&gt;接口配置</w:t>
      </w:r>
      <w:r>
        <w:t>&gt;</w:t>
      </w:r>
      <w:r>
        <w:rPr>
          <w:rFonts w:hint="eastAsia"/>
        </w:rPr>
        <w:t>隧道接口”，点击&lt;新建&gt;，编辑相关信息，点击&lt;提交&gt;。</w:t>
      </w:r>
    </w:p>
    <w:p w14:paraId="1F836798">
      <w:pPr>
        <w:pStyle w:val="188"/>
      </w:pPr>
      <w:bookmarkStart w:id="1438" w:name="_Toc141874550"/>
      <w:r>
        <w:rPr>
          <w:rFonts w:hint="eastAsia"/>
        </w:rPr>
        <w:t>新建隧道接口</w:t>
      </w:r>
      <w:bookmarkEnd w:id="1438"/>
    </w:p>
    <w:p w14:paraId="0F29F6DB">
      <w:pPr>
        <w:spacing w:before="79" w:after="79"/>
      </w:pPr>
      <w:r>
        <w:drawing>
          <wp:inline distT="0" distB="0" distL="0" distR="0">
            <wp:extent cx="5400040" cy="480314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224"/>
                    <a:stretch>
                      <a:fillRect/>
                    </a:stretch>
                  </pic:blipFill>
                  <pic:spPr>
                    <a:xfrm>
                      <a:off x="0" y="0"/>
                      <a:ext cx="5400040" cy="4803140"/>
                    </a:xfrm>
                    <a:prstGeom prst="rect">
                      <a:avLst/>
                    </a:prstGeom>
                  </pic:spPr>
                </pic:pic>
              </a:graphicData>
            </a:graphic>
          </wp:inline>
        </w:drawing>
      </w:r>
    </w:p>
    <w:p w14:paraId="57EFF1B8"/>
    <w:p w14:paraId="2B190898">
      <w:pPr>
        <w:pStyle w:val="183"/>
      </w:pPr>
      <w:bookmarkStart w:id="1439" w:name="_Toc141875474"/>
      <w:r>
        <w:rPr>
          <w:rFonts w:hint="eastAsia"/>
        </w:rPr>
        <w:t>隧道接口配置说明</w:t>
      </w:r>
      <w:bookmarkEnd w:id="1439"/>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506"/>
        <w:gridCol w:w="7508"/>
      </w:tblGrid>
      <w:tr w14:paraId="404A2C5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06" w:type="dxa"/>
            <w:tcBorders>
              <w:tl2br w:val="nil"/>
              <w:tr2bl w:val="nil"/>
            </w:tcBorders>
            <w:shd w:val="clear" w:color="auto" w:fill="538135" w:themeFill="accent6" w:themeFillShade="BF"/>
            <w:vAlign w:val="center"/>
          </w:tcPr>
          <w:p w14:paraId="7A6B8682">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7508" w:type="dxa"/>
            <w:tcBorders>
              <w:tl2br w:val="nil"/>
              <w:tr2bl w:val="nil"/>
            </w:tcBorders>
            <w:shd w:val="clear" w:color="auto" w:fill="538135" w:themeFill="accent6" w:themeFillShade="BF"/>
            <w:vAlign w:val="center"/>
          </w:tcPr>
          <w:p w14:paraId="0A141A86">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52DF9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06" w:type="dxa"/>
            <w:shd w:val="clear" w:color="auto" w:fill="auto"/>
          </w:tcPr>
          <w:p w14:paraId="7894F9FF">
            <w:pPr>
              <w:pStyle w:val="186"/>
              <w:widowControl w:val="0"/>
              <w:spacing w:line="240" w:lineRule="auto"/>
              <w:ind w:firstLine="0"/>
              <w:jc w:val="left"/>
            </w:pPr>
            <w:r>
              <w:rPr>
                <w:rFonts w:hint="eastAsia"/>
              </w:rPr>
              <w:t>名称</w:t>
            </w:r>
          </w:p>
        </w:tc>
        <w:tc>
          <w:tcPr>
            <w:tcW w:w="7508" w:type="dxa"/>
            <w:shd w:val="clear" w:color="auto" w:fill="auto"/>
          </w:tcPr>
          <w:p w14:paraId="0647A267">
            <w:pPr>
              <w:pStyle w:val="186"/>
              <w:widowControl w:val="0"/>
              <w:spacing w:line="240" w:lineRule="auto"/>
              <w:ind w:firstLine="0"/>
              <w:jc w:val="left"/>
            </w:pPr>
            <w:r>
              <w:rPr>
                <w:rFonts w:hint="eastAsia"/>
              </w:rPr>
              <w:t>隧道接口的名称。已创建的隧道接口，此处无法修改。</w:t>
            </w:r>
          </w:p>
        </w:tc>
      </w:tr>
      <w:tr w14:paraId="657D69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06" w:type="dxa"/>
            <w:shd w:val="clear" w:color="auto" w:fill="auto"/>
          </w:tcPr>
          <w:p w14:paraId="4FBBF554">
            <w:pPr>
              <w:pStyle w:val="186"/>
              <w:widowControl w:val="0"/>
              <w:spacing w:line="240" w:lineRule="auto"/>
              <w:ind w:firstLine="0"/>
              <w:jc w:val="left"/>
            </w:pPr>
            <w:r>
              <w:rPr>
                <w:rFonts w:hint="eastAsia"/>
              </w:rPr>
              <w:t>描述</w:t>
            </w:r>
          </w:p>
        </w:tc>
        <w:tc>
          <w:tcPr>
            <w:tcW w:w="7508" w:type="dxa"/>
            <w:shd w:val="clear" w:color="auto" w:fill="auto"/>
          </w:tcPr>
          <w:p w14:paraId="78BF7F23">
            <w:pPr>
              <w:pStyle w:val="186"/>
              <w:widowControl w:val="0"/>
              <w:spacing w:line="240" w:lineRule="auto"/>
              <w:ind w:firstLine="0"/>
              <w:jc w:val="left"/>
            </w:pPr>
            <w:r>
              <w:rPr>
                <w:rFonts w:hint="eastAsia"/>
              </w:rPr>
              <w:t>接口描述</w:t>
            </w:r>
          </w:p>
        </w:tc>
      </w:tr>
      <w:tr w14:paraId="6F11D5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06" w:type="dxa"/>
            <w:shd w:val="clear" w:color="auto" w:fill="auto"/>
          </w:tcPr>
          <w:p w14:paraId="1755D85C">
            <w:pPr>
              <w:pStyle w:val="186"/>
              <w:widowControl w:val="0"/>
              <w:spacing w:line="240" w:lineRule="auto"/>
              <w:ind w:firstLine="0"/>
              <w:jc w:val="left"/>
            </w:pPr>
            <w:r>
              <w:rPr>
                <w:rFonts w:hint="eastAsia"/>
              </w:rPr>
              <w:t>模式</w:t>
            </w:r>
          </w:p>
        </w:tc>
        <w:tc>
          <w:tcPr>
            <w:tcW w:w="7508" w:type="dxa"/>
            <w:shd w:val="clear" w:color="auto" w:fill="auto"/>
          </w:tcPr>
          <w:p w14:paraId="5359EF6D">
            <w:pPr>
              <w:pStyle w:val="186"/>
              <w:widowControl w:val="0"/>
              <w:spacing w:line="240" w:lineRule="auto"/>
              <w:ind w:firstLine="0"/>
              <w:jc w:val="left"/>
            </w:pPr>
            <w:r>
              <w:rPr>
                <w:rFonts w:hint="eastAsia"/>
              </w:rPr>
              <w:t>隧道接口模式，包括GRE、IPsec、IPv6、SSLVPN四种模式。</w:t>
            </w:r>
          </w:p>
          <w:p w14:paraId="3C4316AB">
            <w:pPr>
              <w:pStyle w:val="186"/>
              <w:widowControl w:val="0"/>
              <w:spacing w:line="240" w:lineRule="auto"/>
              <w:ind w:firstLine="0"/>
              <w:jc w:val="left"/>
            </w:pPr>
            <w:r>
              <w:rPr>
                <w:rFonts w:hint="eastAsia"/>
              </w:rPr>
              <w:t>GRE是“通用路由封装协议”的缩写，提供了将一种协议的报文封装在另一种协议报文中的机制，使报文能在异种网络中传输，这个传输的通道称为GRE隧道。</w:t>
            </w:r>
          </w:p>
          <w:p w14:paraId="74C97170">
            <w:pPr>
              <w:pStyle w:val="186"/>
              <w:widowControl w:val="0"/>
              <w:spacing w:line="240" w:lineRule="auto"/>
              <w:ind w:firstLine="0"/>
              <w:jc w:val="left"/>
            </w:pPr>
            <w:r>
              <w:rPr>
                <w:rFonts w:hint="eastAsia"/>
              </w:rPr>
              <w:t>有关IPsec和IPv6隧道的更多信息，请参见配置IPsec隧道接口和IPv6隧道。</w:t>
            </w:r>
          </w:p>
        </w:tc>
      </w:tr>
      <w:tr w14:paraId="55A579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06" w:type="dxa"/>
            <w:shd w:val="clear" w:color="auto" w:fill="auto"/>
          </w:tcPr>
          <w:p w14:paraId="1A305E9D">
            <w:pPr>
              <w:pStyle w:val="186"/>
              <w:widowControl w:val="0"/>
              <w:spacing w:line="240" w:lineRule="auto"/>
              <w:ind w:firstLine="0"/>
              <w:jc w:val="left"/>
            </w:pPr>
            <w:r>
              <w:rPr>
                <w:rFonts w:hint="eastAsia"/>
              </w:rPr>
              <w:t>GRE源类型</w:t>
            </w:r>
          </w:p>
        </w:tc>
        <w:tc>
          <w:tcPr>
            <w:tcW w:w="7508" w:type="dxa"/>
            <w:shd w:val="clear" w:color="auto" w:fill="auto"/>
          </w:tcPr>
          <w:p w14:paraId="4CAA61B6">
            <w:pPr>
              <w:pStyle w:val="186"/>
              <w:widowControl w:val="0"/>
              <w:spacing w:line="240" w:lineRule="auto"/>
              <w:ind w:firstLine="0"/>
              <w:jc w:val="left"/>
            </w:pPr>
            <w:r>
              <w:rPr>
                <w:rFonts w:hint="eastAsia"/>
              </w:rPr>
              <w:t>选择IP或接口。</w:t>
            </w:r>
          </w:p>
          <w:p w14:paraId="3F735131">
            <w:pPr>
              <w:pStyle w:val="186"/>
              <w:widowControl w:val="0"/>
              <w:spacing w:line="240" w:lineRule="auto"/>
              <w:ind w:firstLine="0"/>
              <w:jc w:val="left"/>
            </w:pPr>
            <w:r>
              <w:rPr>
                <w:rFonts w:hint="eastAsia"/>
              </w:rPr>
              <w:t>GRE源IP：配置隧道源IP地址，必须为本地接口配置的IP地址。</w:t>
            </w:r>
          </w:p>
          <w:p w14:paraId="45FEA8FB">
            <w:pPr>
              <w:pStyle w:val="186"/>
              <w:widowControl w:val="0"/>
              <w:spacing w:line="240" w:lineRule="auto"/>
              <w:ind w:firstLine="0"/>
              <w:jc w:val="left"/>
            </w:pPr>
            <w:r>
              <w:rPr>
                <w:rFonts w:hint="eastAsia"/>
              </w:rPr>
              <w:t>接口：指定接口自动获取接口下IP地址。</w:t>
            </w:r>
          </w:p>
        </w:tc>
      </w:tr>
      <w:tr w14:paraId="503BE78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06" w:type="dxa"/>
            <w:shd w:val="clear" w:color="auto" w:fill="auto"/>
          </w:tcPr>
          <w:p w14:paraId="482F448D">
            <w:pPr>
              <w:pStyle w:val="186"/>
              <w:widowControl w:val="0"/>
              <w:spacing w:line="240" w:lineRule="auto"/>
              <w:ind w:firstLine="0"/>
              <w:jc w:val="left"/>
            </w:pPr>
            <w:r>
              <w:rPr>
                <w:rFonts w:hint="eastAsia"/>
              </w:rPr>
              <w:t>GRE目的IP</w:t>
            </w:r>
          </w:p>
        </w:tc>
        <w:tc>
          <w:tcPr>
            <w:tcW w:w="7508" w:type="dxa"/>
            <w:shd w:val="clear" w:color="auto" w:fill="auto"/>
          </w:tcPr>
          <w:p w14:paraId="5865B0C9">
            <w:pPr>
              <w:pStyle w:val="186"/>
              <w:widowControl w:val="0"/>
              <w:spacing w:line="240" w:lineRule="auto"/>
              <w:ind w:firstLine="0"/>
              <w:jc w:val="left"/>
            </w:pPr>
            <w:r>
              <w:rPr>
                <w:rFonts w:hint="eastAsia"/>
              </w:rPr>
              <w:t>配置隧道外层封装的对端IP地址。</w:t>
            </w:r>
          </w:p>
        </w:tc>
      </w:tr>
      <w:tr w14:paraId="373B044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06" w:type="dxa"/>
            <w:shd w:val="clear" w:color="auto" w:fill="auto"/>
          </w:tcPr>
          <w:p w14:paraId="252D53EC">
            <w:pPr>
              <w:pStyle w:val="186"/>
              <w:widowControl w:val="0"/>
              <w:spacing w:line="240" w:lineRule="auto"/>
              <w:ind w:firstLine="0"/>
              <w:jc w:val="left"/>
            </w:pPr>
            <w:r>
              <w:rPr>
                <w:rFonts w:hint="eastAsia"/>
              </w:rPr>
              <w:t>GRE密钥</w:t>
            </w:r>
          </w:p>
        </w:tc>
        <w:tc>
          <w:tcPr>
            <w:tcW w:w="7508" w:type="dxa"/>
            <w:shd w:val="clear" w:color="auto" w:fill="auto"/>
          </w:tcPr>
          <w:p w14:paraId="56F95B93">
            <w:pPr>
              <w:pStyle w:val="186"/>
              <w:widowControl w:val="0"/>
              <w:spacing w:line="240" w:lineRule="auto"/>
              <w:ind w:firstLine="0"/>
              <w:jc w:val="left"/>
            </w:pPr>
            <w:r>
              <w:rPr>
                <w:rFonts w:hint="eastAsia"/>
              </w:rPr>
              <w:t>GRE隧道密钥，隧道两端必须配置一致。</w:t>
            </w:r>
          </w:p>
        </w:tc>
      </w:tr>
      <w:tr w14:paraId="51B602F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06" w:type="dxa"/>
            <w:shd w:val="clear" w:color="auto" w:fill="auto"/>
          </w:tcPr>
          <w:p w14:paraId="6E1EC9AA">
            <w:pPr>
              <w:pStyle w:val="186"/>
              <w:widowControl w:val="0"/>
              <w:spacing w:line="240" w:lineRule="auto"/>
              <w:ind w:firstLine="0"/>
              <w:jc w:val="left"/>
            </w:pPr>
            <w:r>
              <w:rPr>
                <w:rFonts w:hint="eastAsia"/>
              </w:rPr>
              <w:t>报文校验和</w:t>
            </w:r>
          </w:p>
        </w:tc>
        <w:tc>
          <w:tcPr>
            <w:tcW w:w="7508" w:type="dxa"/>
            <w:shd w:val="clear" w:color="auto" w:fill="auto"/>
          </w:tcPr>
          <w:p w14:paraId="2E2B645D">
            <w:pPr>
              <w:pStyle w:val="186"/>
              <w:widowControl w:val="0"/>
              <w:spacing w:line="240" w:lineRule="auto"/>
              <w:ind w:firstLine="0"/>
              <w:jc w:val="left"/>
            </w:pPr>
            <w:r>
              <w:rPr>
                <w:rFonts w:hint="eastAsia"/>
              </w:rPr>
              <w:t>勾选后启用GRE校验和检查。</w:t>
            </w:r>
          </w:p>
        </w:tc>
      </w:tr>
      <w:tr w14:paraId="0AA147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06" w:type="dxa"/>
            <w:shd w:val="clear" w:color="auto" w:fill="auto"/>
          </w:tcPr>
          <w:p w14:paraId="4E9C02D6">
            <w:pPr>
              <w:pStyle w:val="186"/>
              <w:widowControl w:val="0"/>
              <w:spacing w:line="240" w:lineRule="auto"/>
              <w:ind w:firstLine="0"/>
              <w:jc w:val="left"/>
            </w:pPr>
            <w:r>
              <w:rPr>
                <w:rFonts w:hint="eastAsia"/>
              </w:rPr>
              <w:t>启用</w:t>
            </w:r>
          </w:p>
        </w:tc>
        <w:tc>
          <w:tcPr>
            <w:tcW w:w="7508" w:type="dxa"/>
            <w:shd w:val="clear" w:color="auto" w:fill="auto"/>
          </w:tcPr>
          <w:p w14:paraId="5225AE6C">
            <w:pPr>
              <w:pStyle w:val="186"/>
              <w:widowControl w:val="0"/>
              <w:spacing w:line="240" w:lineRule="auto"/>
              <w:ind w:firstLine="0"/>
              <w:jc w:val="left"/>
            </w:pPr>
            <w:r>
              <w:rPr>
                <w:rFonts w:hint="eastAsia"/>
              </w:rPr>
              <w:t>是否允许启用</w:t>
            </w:r>
            <w:r>
              <w:t>该</w:t>
            </w:r>
            <w:r>
              <w:rPr>
                <w:rFonts w:hint="eastAsia"/>
              </w:rPr>
              <w:t>接口，缺省情况下为启用</w:t>
            </w:r>
          </w:p>
        </w:tc>
      </w:tr>
      <w:tr w14:paraId="4F3882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06" w:type="dxa"/>
            <w:shd w:val="clear" w:color="auto" w:fill="auto"/>
          </w:tcPr>
          <w:p w14:paraId="68425EF5">
            <w:pPr>
              <w:pStyle w:val="186"/>
              <w:widowControl w:val="0"/>
              <w:spacing w:line="240" w:lineRule="auto"/>
              <w:ind w:firstLine="0"/>
              <w:jc w:val="left"/>
            </w:pPr>
            <w:r>
              <w:rPr>
                <w:rFonts w:hint="eastAsia"/>
              </w:rPr>
              <w:t>IP类型</w:t>
            </w:r>
          </w:p>
        </w:tc>
        <w:tc>
          <w:tcPr>
            <w:tcW w:w="7508" w:type="dxa"/>
            <w:shd w:val="clear" w:color="auto" w:fill="auto"/>
          </w:tcPr>
          <w:p w14:paraId="5541D770">
            <w:pPr>
              <w:pStyle w:val="186"/>
              <w:widowControl w:val="0"/>
              <w:spacing w:line="240" w:lineRule="auto"/>
              <w:ind w:firstLine="0"/>
              <w:jc w:val="left"/>
            </w:pPr>
            <w:r>
              <w:rPr>
                <w:rFonts w:hint="eastAsia"/>
              </w:rPr>
              <w:t>IPv4地址和IPv6地址</w:t>
            </w:r>
          </w:p>
          <w:p w14:paraId="59F2B5E2">
            <w:pPr>
              <w:pStyle w:val="186"/>
              <w:widowControl w:val="0"/>
              <w:spacing w:line="240" w:lineRule="auto"/>
              <w:ind w:firstLine="0"/>
              <w:jc w:val="left"/>
            </w:pPr>
            <w:r>
              <w:rPr>
                <w:rFonts w:hint="eastAsia"/>
              </w:rPr>
              <w:t>点击相应的标签，配置对应类型的IP地址。请参考物理接口IP地址配置方式。</w:t>
            </w:r>
          </w:p>
        </w:tc>
      </w:tr>
      <w:tr w14:paraId="320C8B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06" w:type="dxa"/>
            <w:shd w:val="clear" w:color="auto" w:fill="auto"/>
          </w:tcPr>
          <w:p w14:paraId="4602D606">
            <w:pPr>
              <w:pStyle w:val="186"/>
              <w:widowControl w:val="0"/>
              <w:spacing w:line="240" w:lineRule="auto"/>
              <w:ind w:firstLine="0"/>
              <w:jc w:val="left"/>
            </w:pPr>
            <w:r>
              <w:rPr>
                <w:rFonts w:hint="eastAsia"/>
              </w:rPr>
              <w:t>地址模式</w:t>
            </w:r>
          </w:p>
        </w:tc>
        <w:tc>
          <w:tcPr>
            <w:tcW w:w="7508" w:type="dxa"/>
            <w:shd w:val="clear" w:color="auto" w:fill="auto"/>
          </w:tcPr>
          <w:p w14:paraId="75D9728D">
            <w:pPr>
              <w:pStyle w:val="186"/>
              <w:widowControl w:val="0"/>
              <w:spacing w:line="240" w:lineRule="auto"/>
              <w:ind w:firstLine="0"/>
              <w:jc w:val="left"/>
            </w:pPr>
            <w:r>
              <w:rPr>
                <w:rFonts w:hint="eastAsia"/>
              </w:rPr>
              <w:t>隧道接口的IPv4地址或IPV6地址只能通过静态配置</w:t>
            </w:r>
          </w:p>
        </w:tc>
      </w:tr>
      <w:tr w14:paraId="0BDDE6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06" w:type="dxa"/>
            <w:shd w:val="clear" w:color="auto" w:fill="auto"/>
          </w:tcPr>
          <w:p w14:paraId="2647E69B">
            <w:pPr>
              <w:pStyle w:val="186"/>
              <w:widowControl w:val="0"/>
              <w:spacing w:line="240" w:lineRule="auto"/>
              <w:ind w:firstLine="0"/>
              <w:jc w:val="left"/>
            </w:pPr>
            <w:r>
              <w:rPr>
                <w:rFonts w:hint="eastAsia"/>
              </w:rPr>
              <w:t>管理方式</w:t>
            </w:r>
          </w:p>
        </w:tc>
        <w:tc>
          <w:tcPr>
            <w:tcW w:w="7508" w:type="dxa"/>
            <w:shd w:val="clear" w:color="auto" w:fill="auto"/>
          </w:tcPr>
          <w:p w14:paraId="2F668A8C">
            <w:pPr>
              <w:pStyle w:val="186"/>
              <w:widowControl w:val="0"/>
              <w:spacing w:line="240" w:lineRule="auto"/>
              <w:ind w:firstLine="0"/>
              <w:jc w:val="left"/>
            </w:pPr>
            <w:r>
              <w:rPr>
                <w:rFonts w:hint="eastAsia"/>
              </w:rPr>
              <w:t>配置端口是否允许</w:t>
            </w:r>
            <w:r>
              <w:t>HTTPS</w:t>
            </w:r>
            <w:r>
              <w:rPr>
                <w:rFonts w:hint="eastAsia"/>
              </w:rPr>
              <w:t>、</w:t>
            </w:r>
            <w:r>
              <w:t>HTTP</w:t>
            </w:r>
            <w:r>
              <w:rPr>
                <w:rFonts w:hint="eastAsia"/>
              </w:rPr>
              <w:t>、</w:t>
            </w:r>
            <w:r>
              <w:t>SSH</w:t>
            </w:r>
            <w:r>
              <w:rPr>
                <w:rFonts w:hint="eastAsia"/>
              </w:rPr>
              <w:t>、</w:t>
            </w:r>
            <w:r>
              <w:t>Telnet</w:t>
            </w:r>
            <w:r>
              <w:rPr>
                <w:rFonts w:hint="eastAsia"/>
              </w:rPr>
              <w:t>、</w:t>
            </w:r>
            <w:r>
              <w:t>PING</w:t>
            </w:r>
            <w:r>
              <w:rPr>
                <w:rFonts w:hint="eastAsia"/>
              </w:rPr>
              <w:t>等管理服务</w:t>
            </w:r>
          </w:p>
        </w:tc>
      </w:tr>
      <w:tr w14:paraId="5E32F87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06" w:type="dxa"/>
            <w:shd w:val="clear" w:color="auto" w:fill="auto"/>
          </w:tcPr>
          <w:p w14:paraId="5AD59F26">
            <w:pPr>
              <w:pStyle w:val="186"/>
              <w:widowControl w:val="0"/>
              <w:spacing w:line="240" w:lineRule="auto"/>
              <w:ind w:firstLine="0"/>
              <w:jc w:val="left"/>
            </w:pPr>
            <w:r>
              <w:rPr>
                <w:rFonts w:hint="eastAsia"/>
              </w:rPr>
              <w:t>MTU</w:t>
            </w:r>
          </w:p>
        </w:tc>
        <w:tc>
          <w:tcPr>
            <w:tcW w:w="7508" w:type="dxa"/>
            <w:shd w:val="clear" w:color="auto" w:fill="auto"/>
          </w:tcPr>
          <w:p w14:paraId="50476678">
            <w:pPr>
              <w:pStyle w:val="186"/>
              <w:widowControl w:val="0"/>
              <w:spacing w:line="240" w:lineRule="auto"/>
              <w:ind w:firstLine="0"/>
              <w:jc w:val="left"/>
            </w:pPr>
            <w:r>
              <w:rPr>
                <w:rFonts w:hint="eastAsia"/>
              </w:rPr>
              <w:t>接口发送报文的最大长度，IPSEC隧道缺省为</w:t>
            </w:r>
            <w:r>
              <w:t>1</w:t>
            </w:r>
            <w:r>
              <w:rPr>
                <w:rFonts w:hint="eastAsia"/>
              </w:rPr>
              <w:t>42</w:t>
            </w:r>
            <w:r>
              <w:t>0</w:t>
            </w:r>
            <w:r>
              <w:rPr>
                <w:rFonts w:hint="eastAsia"/>
              </w:rPr>
              <w:t>，GRE隧道缺省为1476，IPv6隧道缺省为1480，单位为字节</w:t>
            </w:r>
          </w:p>
        </w:tc>
      </w:tr>
    </w:tbl>
    <w:p w14:paraId="6473A6A7"/>
    <w:p w14:paraId="43CD4D4D">
      <w:pPr>
        <w:pStyle w:val="4"/>
      </w:pPr>
      <w:bookmarkStart w:id="1440" w:name="_Toc194080675"/>
      <w:bookmarkStart w:id="1441" w:name="_Toc142400862"/>
      <w:bookmarkStart w:id="1442" w:name="_Toc172218048"/>
      <w:bookmarkStart w:id="1443" w:name="_Toc141873346"/>
      <w:bookmarkStart w:id="1444" w:name="_Toc196728007"/>
      <w:bookmarkStart w:id="1445" w:name="_Toc99561402"/>
      <w:bookmarkStart w:id="1446" w:name="_Toc474249915"/>
      <w:bookmarkStart w:id="1447" w:name="_Toc40275911"/>
      <w:bookmarkStart w:id="1448" w:name="_Toc23152478"/>
      <w:bookmarkStart w:id="1449" w:name="_Toc15484712"/>
      <w:r>
        <w:rPr>
          <w:rFonts w:hint="eastAsia"/>
        </w:rPr>
        <w:t>无线接口配置</w:t>
      </w:r>
      <w:bookmarkEnd w:id="1440"/>
      <w:bookmarkEnd w:id="1441"/>
      <w:bookmarkEnd w:id="1442"/>
      <w:bookmarkEnd w:id="1443"/>
      <w:bookmarkEnd w:id="1444"/>
      <w:bookmarkEnd w:id="1445"/>
      <w:bookmarkEnd w:id="1446"/>
      <w:bookmarkEnd w:id="1447"/>
      <w:bookmarkEnd w:id="1448"/>
      <w:bookmarkEnd w:id="1449"/>
    </w:p>
    <w:p w14:paraId="361B6DBF">
      <w:pPr>
        <w:pStyle w:val="5"/>
      </w:pPr>
      <w:bookmarkStart w:id="1450" w:name="_Toc142400863"/>
      <w:bookmarkStart w:id="1451" w:name="_Toc172218049"/>
      <w:bookmarkStart w:id="1452" w:name="_Toc194080676"/>
      <w:bookmarkStart w:id="1453" w:name="_Toc141873347"/>
      <w:bookmarkStart w:id="1454" w:name="_Toc196728008"/>
      <w:bookmarkStart w:id="1455" w:name="_Toc99561403"/>
      <w:bookmarkStart w:id="1456" w:name="_Toc474249916"/>
      <w:bookmarkStart w:id="1457" w:name="_Toc23152479"/>
      <w:bookmarkStart w:id="1458" w:name="_Toc40275912"/>
      <w:bookmarkStart w:id="1459" w:name="_Toc15484713"/>
      <w:r>
        <w:rPr>
          <w:rFonts w:hint="eastAsia"/>
        </w:rPr>
        <w:t>无线接口概述</w:t>
      </w:r>
      <w:bookmarkEnd w:id="1450"/>
      <w:bookmarkEnd w:id="1451"/>
      <w:bookmarkEnd w:id="1452"/>
      <w:bookmarkEnd w:id="1453"/>
      <w:bookmarkEnd w:id="1454"/>
      <w:bookmarkEnd w:id="1455"/>
      <w:bookmarkEnd w:id="1456"/>
      <w:bookmarkEnd w:id="1457"/>
      <w:bookmarkEnd w:id="1458"/>
      <w:bookmarkEnd w:id="1459"/>
    </w:p>
    <w:p w14:paraId="554E0C01">
      <w:r>
        <w:rPr>
          <w:rFonts w:hint="eastAsia"/>
        </w:rPr>
        <w:t>无线接口做为设备的外置接口，支持通过插</w:t>
      </w:r>
      <w:r>
        <w:t>4G</w:t>
      </w:r>
      <w:r>
        <w:rPr>
          <w:rFonts w:hint="eastAsia"/>
        </w:rPr>
        <w:t>网卡的方式，让设备接入网络，为上网需求量较少或者没有条件架设有线设施的用户解决访问网络的需求。</w:t>
      </w:r>
    </w:p>
    <w:p w14:paraId="2E2F777A">
      <w:pPr>
        <w:pStyle w:val="5"/>
      </w:pPr>
      <w:bookmarkStart w:id="1460" w:name="_Toc474249917"/>
      <w:bookmarkStart w:id="1461" w:name="_Toc15484714"/>
      <w:bookmarkStart w:id="1462" w:name="_Toc40275913"/>
      <w:bookmarkStart w:id="1463" w:name="_Toc141873348"/>
      <w:bookmarkStart w:id="1464" w:name="_Toc23152480"/>
      <w:bookmarkStart w:id="1465" w:name="_Toc99561404"/>
      <w:bookmarkStart w:id="1466" w:name="_Toc196728009"/>
      <w:bookmarkStart w:id="1467" w:name="_Toc172218050"/>
      <w:bookmarkStart w:id="1468" w:name="_Toc142400864"/>
      <w:bookmarkStart w:id="1469" w:name="_Toc194080677"/>
      <w:r>
        <w:rPr>
          <w:rFonts w:hint="eastAsia"/>
        </w:rPr>
        <w:t>无线接口创建</w:t>
      </w:r>
      <w:bookmarkEnd w:id="1460"/>
      <w:bookmarkEnd w:id="1461"/>
      <w:bookmarkEnd w:id="1462"/>
      <w:bookmarkEnd w:id="1463"/>
      <w:bookmarkEnd w:id="1464"/>
      <w:bookmarkEnd w:id="1465"/>
      <w:bookmarkEnd w:id="1466"/>
      <w:bookmarkEnd w:id="1467"/>
      <w:bookmarkEnd w:id="1468"/>
      <w:bookmarkEnd w:id="1469"/>
    </w:p>
    <w:p w14:paraId="6E07597C">
      <w:r>
        <w:rPr>
          <w:rFonts w:hint="eastAsia"/>
        </w:rPr>
        <w:t>设备</w:t>
      </w:r>
      <w:r>
        <w:t>USB</w:t>
      </w:r>
      <w:r>
        <w:rPr>
          <w:rFonts w:hint="eastAsia"/>
        </w:rPr>
        <w:t>口插上</w:t>
      </w:r>
      <w:r>
        <w:t>4G</w:t>
      </w:r>
      <w:r>
        <w:rPr>
          <w:rFonts w:hint="eastAsia"/>
        </w:rPr>
        <w:t>网卡后自动创建，无需人为创建。</w:t>
      </w:r>
    </w:p>
    <w:p w14:paraId="2B00E5E8">
      <w:pPr>
        <w:pStyle w:val="5"/>
      </w:pPr>
      <w:bookmarkStart w:id="1470" w:name="_Toc474249918"/>
      <w:bookmarkStart w:id="1471" w:name="_Toc15484715"/>
      <w:bookmarkStart w:id="1472" w:name="_Toc99561405"/>
      <w:bookmarkStart w:id="1473" w:name="_Toc172218051"/>
      <w:bookmarkStart w:id="1474" w:name="_Toc196728010"/>
      <w:bookmarkStart w:id="1475" w:name="_Toc23152481"/>
      <w:bookmarkStart w:id="1476" w:name="_Toc194080678"/>
      <w:bookmarkStart w:id="1477" w:name="_Toc40275914"/>
      <w:bookmarkStart w:id="1478" w:name="_Toc141873349"/>
      <w:bookmarkStart w:id="1479" w:name="_Toc142400865"/>
      <w:r>
        <w:rPr>
          <w:rFonts w:hint="eastAsia"/>
        </w:rPr>
        <w:t>查看无线接口</w:t>
      </w:r>
      <w:bookmarkEnd w:id="1470"/>
      <w:bookmarkEnd w:id="1471"/>
      <w:bookmarkEnd w:id="1472"/>
      <w:bookmarkEnd w:id="1473"/>
      <w:bookmarkEnd w:id="1474"/>
      <w:bookmarkEnd w:id="1475"/>
      <w:bookmarkEnd w:id="1476"/>
      <w:bookmarkEnd w:id="1477"/>
      <w:bookmarkEnd w:id="1478"/>
      <w:bookmarkEnd w:id="1479"/>
    </w:p>
    <w:p w14:paraId="5C80B27F">
      <w:r>
        <w:rPr>
          <w:rFonts w:hint="eastAsia"/>
        </w:rPr>
        <w:t>如</w:t>
      </w:r>
      <w:r>
        <w:fldChar w:fldCharType="begin"/>
      </w:r>
      <w:r>
        <w:instrText xml:space="preserve"> REF _Ref458612866 \r \h </w:instrText>
      </w:r>
      <w:r>
        <w:fldChar w:fldCharType="separate"/>
      </w:r>
      <w:r>
        <w:rPr>
          <w:rFonts w:hint="eastAsia"/>
        </w:rPr>
        <w:t>图6-16</w:t>
      </w:r>
      <w:r>
        <w:fldChar w:fldCharType="end"/>
      </w:r>
      <w:r>
        <w:rPr>
          <w:rFonts w:hint="eastAsia"/>
        </w:rPr>
        <w:t>所示，通过菜单“网络配置&gt;接口配置</w:t>
      </w:r>
      <w:r>
        <w:t>&gt;</w:t>
      </w:r>
      <w:r>
        <w:rPr>
          <w:rFonts w:hint="eastAsia"/>
        </w:rPr>
        <w:t>无线接口”使用该功能。</w:t>
      </w:r>
    </w:p>
    <w:p w14:paraId="504C9B56">
      <w:pPr>
        <w:pStyle w:val="188"/>
      </w:pPr>
      <w:bookmarkStart w:id="1480" w:name="_Toc141874551"/>
      <w:bookmarkStart w:id="1481" w:name="_Ref458612866"/>
      <w:r>
        <w:rPr>
          <w:rFonts w:hint="eastAsia"/>
        </w:rPr>
        <w:t>无线接口显示界面</w:t>
      </w:r>
      <w:bookmarkEnd w:id="1480"/>
      <w:bookmarkEnd w:id="1481"/>
    </w:p>
    <w:p w14:paraId="25F00CFB">
      <w:r>
        <w:drawing>
          <wp:inline distT="0" distB="0" distL="0" distR="0">
            <wp:extent cx="5686425" cy="810895"/>
            <wp:effectExtent l="0" t="0" r="0" b="825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225"/>
                    <a:stretch>
                      <a:fillRect/>
                    </a:stretch>
                  </pic:blipFill>
                  <pic:spPr>
                    <a:xfrm>
                      <a:off x="0" y="0"/>
                      <a:ext cx="5741957" cy="819089"/>
                    </a:xfrm>
                    <a:prstGeom prst="rect">
                      <a:avLst/>
                    </a:prstGeom>
                  </pic:spPr>
                </pic:pic>
              </a:graphicData>
            </a:graphic>
          </wp:inline>
        </w:drawing>
      </w:r>
    </w:p>
    <w:p w14:paraId="052ED1C1"/>
    <w:p w14:paraId="7031810C">
      <w:pPr>
        <w:pStyle w:val="5"/>
      </w:pPr>
      <w:bookmarkStart w:id="1482" w:name="_Toc141873350"/>
      <w:bookmarkStart w:id="1483" w:name="_Toc474249919"/>
      <w:bookmarkStart w:id="1484" w:name="_Toc23152482"/>
      <w:bookmarkStart w:id="1485" w:name="_Toc142400866"/>
      <w:bookmarkStart w:id="1486" w:name="_Toc172218052"/>
      <w:bookmarkStart w:id="1487" w:name="_Toc40275915"/>
      <w:bookmarkStart w:id="1488" w:name="_Toc15484716"/>
      <w:bookmarkStart w:id="1489" w:name="_Toc99561406"/>
      <w:bookmarkStart w:id="1490" w:name="_Toc196728011"/>
      <w:bookmarkStart w:id="1491" w:name="_Toc194080679"/>
      <w:r>
        <w:rPr>
          <w:rFonts w:hint="eastAsia"/>
        </w:rPr>
        <w:t>修改无线接口</w:t>
      </w:r>
      <w:bookmarkEnd w:id="1482"/>
      <w:bookmarkEnd w:id="1483"/>
      <w:bookmarkEnd w:id="1484"/>
      <w:bookmarkEnd w:id="1485"/>
      <w:bookmarkEnd w:id="1486"/>
      <w:bookmarkEnd w:id="1487"/>
      <w:bookmarkEnd w:id="1488"/>
      <w:bookmarkEnd w:id="1489"/>
      <w:bookmarkEnd w:id="1490"/>
      <w:bookmarkEnd w:id="1491"/>
    </w:p>
    <w:p w14:paraId="3630A272">
      <w:r>
        <w:rPr>
          <w:rFonts w:hint="eastAsia"/>
        </w:rPr>
        <w:t>如</w:t>
      </w:r>
      <w:r>
        <w:fldChar w:fldCharType="begin"/>
      </w:r>
      <w:r>
        <w:instrText xml:space="preserve"> REF _Ref458612894 \r \h </w:instrText>
      </w:r>
      <w:r>
        <w:fldChar w:fldCharType="separate"/>
      </w:r>
      <w:r>
        <w:rPr>
          <w:rFonts w:hint="eastAsia"/>
        </w:rPr>
        <w:t>图6-17</w:t>
      </w:r>
      <w:r>
        <w:fldChar w:fldCharType="end"/>
      </w:r>
      <w:r>
        <w:rPr>
          <w:rFonts w:hint="eastAsia"/>
        </w:rPr>
        <w:t>所示，通过菜单“网络配置 &gt; 接口配置 &gt;</w:t>
      </w:r>
      <w:r>
        <w:t xml:space="preserve"> </w:t>
      </w:r>
      <w:r>
        <w:rPr>
          <w:rFonts w:hint="eastAsia"/>
        </w:rPr>
        <w:t>无线接口”使用该功能。点击</w:t>
      </w:r>
      <w:r>
        <w:rPr>
          <w:sz w:val="20"/>
        </w:rPr>
        <w:fldChar w:fldCharType="begin"/>
      </w:r>
      <w:r>
        <w:rPr>
          <w:sz w:val="20"/>
        </w:rPr>
        <w:instrText xml:space="preserve"> REF _Ref458612866 \r \h </w:instrText>
      </w:r>
      <w:r>
        <w:rPr>
          <w:sz w:val="20"/>
        </w:rPr>
        <w:fldChar w:fldCharType="separate"/>
      </w:r>
      <w:r>
        <w:rPr>
          <w:rFonts w:hint="eastAsia"/>
          <w:sz w:val="20"/>
        </w:rPr>
        <w:t>图6-16</w:t>
      </w:r>
      <w:r>
        <w:rPr>
          <w:sz w:val="20"/>
        </w:rPr>
        <w:fldChar w:fldCharType="end"/>
      </w:r>
      <w:r>
        <w:t>无线</w:t>
      </w:r>
      <w:r>
        <w:rPr>
          <w:rFonts w:hint="eastAsia"/>
        </w:rPr>
        <w:t>接口显示页面的编辑图标，切换到编辑页面。</w:t>
      </w:r>
    </w:p>
    <w:p w14:paraId="02D4B746">
      <w:pPr>
        <w:pStyle w:val="188"/>
      </w:pPr>
      <w:bookmarkStart w:id="1492" w:name="_Ref458612894"/>
      <w:bookmarkStart w:id="1493" w:name="_Toc141874552"/>
      <w:r>
        <w:rPr>
          <w:rFonts w:hint="eastAsia"/>
        </w:rPr>
        <w:t>无线接口编辑界面</w:t>
      </w:r>
      <w:bookmarkEnd w:id="1492"/>
      <w:bookmarkEnd w:id="1493"/>
    </w:p>
    <w:p w14:paraId="3587B353">
      <w:r>
        <w:drawing>
          <wp:inline distT="0" distB="0" distL="0" distR="0">
            <wp:extent cx="3749675" cy="4772025"/>
            <wp:effectExtent l="0" t="0" r="3175"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226"/>
                    <a:stretch>
                      <a:fillRect/>
                    </a:stretch>
                  </pic:blipFill>
                  <pic:spPr>
                    <a:xfrm>
                      <a:off x="0" y="0"/>
                      <a:ext cx="3759453" cy="4784041"/>
                    </a:xfrm>
                    <a:prstGeom prst="rect">
                      <a:avLst/>
                    </a:prstGeom>
                  </pic:spPr>
                </pic:pic>
              </a:graphicData>
            </a:graphic>
          </wp:inline>
        </w:drawing>
      </w:r>
    </w:p>
    <w:p w14:paraId="31F74827"/>
    <w:p w14:paraId="7697D835">
      <w:pPr>
        <w:pStyle w:val="183"/>
      </w:pPr>
      <w:bookmarkStart w:id="1494" w:name="_Toc141875475"/>
      <w:r>
        <w:rPr>
          <w:rFonts w:hint="eastAsia"/>
        </w:rPr>
        <w:t>配置说明</w:t>
      </w:r>
      <w:bookmarkEnd w:id="1494"/>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506"/>
        <w:gridCol w:w="7508"/>
      </w:tblGrid>
      <w:tr w14:paraId="41FA48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20" w:hRule="atLeast"/>
        </w:trPr>
        <w:tc>
          <w:tcPr>
            <w:tcW w:w="1498" w:type="dxa"/>
            <w:tcBorders>
              <w:tl2br w:val="nil"/>
              <w:tr2bl w:val="nil"/>
            </w:tcBorders>
            <w:shd w:val="clear" w:color="auto" w:fill="538135" w:themeFill="accent6" w:themeFillShade="BF"/>
            <w:vAlign w:val="center"/>
          </w:tcPr>
          <w:p w14:paraId="3A4E5381">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7470" w:type="dxa"/>
            <w:tcBorders>
              <w:tl2br w:val="nil"/>
              <w:tr2bl w:val="nil"/>
            </w:tcBorders>
            <w:shd w:val="clear" w:color="auto" w:fill="538135" w:themeFill="accent6" w:themeFillShade="BF"/>
            <w:vAlign w:val="center"/>
          </w:tcPr>
          <w:p w14:paraId="69E64537">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0229D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39BCBB42">
            <w:pPr>
              <w:pStyle w:val="186"/>
              <w:widowControl w:val="0"/>
              <w:spacing w:line="240" w:lineRule="auto"/>
              <w:ind w:firstLine="0"/>
              <w:jc w:val="left"/>
            </w:pPr>
            <w:r>
              <w:rPr>
                <w:rFonts w:hint="eastAsia"/>
              </w:rPr>
              <w:t>厂商</w:t>
            </w:r>
          </w:p>
        </w:tc>
        <w:tc>
          <w:tcPr>
            <w:tcW w:w="7470" w:type="dxa"/>
            <w:shd w:val="clear" w:color="auto" w:fill="auto"/>
          </w:tcPr>
          <w:p w14:paraId="18689B83">
            <w:pPr>
              <w:pStyle w:val="186"/>
              <w:widowControl w:val="0"/>
              <w:spacing w:line="240" w:lineRule="auto"/>
              <w:ind w:firstLine="0"/>
              <w:jc w:val="left"/>
            </w:pPr>
            <w:r>
              <w:rPr>
                <w:rFonts w:hint="eastAsia"/>
              </w:rPr>
              <w:t>4G网卡所属厂商</w:t>
            </w:r>
          </w:p>
        </w:tc>
      </w:tr>
      <w:tr w14:paraId="4ACF34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4AFFFD3A">
            <w:pPr>
              <w:pStyle w:val="186"/>
              <w:widowControl w:val="0"/>
              <w:spacing w:line="240" w:lineRule="auto"/>
              <w:ind w:firstLine="0"/>
              <w:jc w:val="left"/>
            </w:pPr>
            <w:r>
              <w:rPr>
                <w:rFonts w:hint="eastAsia"/>
              </w:rPr>
              <w:t>接口名称</w:t>
            </w:r>
          </w:p>
        </w:tc>
        <w:tc>
          <w:tcPr>
            <w:tcW w:w="7470" w:type="dxa"/>
            <w:shd w:val="clear" w:color="auto" w:fill="auto"/>
          </w:tcPr>
          <w:p w14:paraId="59A284D8">
            <w:pPr>
              <w:pStyle w:val="186"/>
              <w:widowControl w:val="0"/>
              <w:spacing w:line="240" w:lineRule="auto"/>
              <w:ind w:firstLine="0"/>
              <w:jc w:val="left"/>
            </w:pPr>
            <w:r>
              <w:rPr>
                <w:rFonts w:hint="eastAsia"/>
              </w:rPr>
              <w:t>接口名称，自动生成</w:t>
            </w:r>
          </w:p>
        </w:tc>
      </w:tr>
      <w:tr w14:paraId="4771F73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0A1CF647">
            <w:pPr>
              <w:pStyle w:val="186"/>
              <w:widowControl w:val="0"/>
              <w:spacing w:line="240" w:lineRule="auto"/>
              <w:ind w:firstLine="0"/>
              <w:jc w:val="left"/>
            </w:pPr>
            <w:r>
              <w:rPr>
                <w:rFonts w:hint="eastAsia"/>
              </w:rPr>
              <w:t>MAC地址</w:t>
            </w:r>
          </w:p>
        </w:tc>
        <w:tc>
          <w:tcPr>
            <w:tcW w:w="7470" w:type="dxa"/>
            <w:shd w:val="clear" w:color="auto" w:fill="auto"/>
          </w:tcPr>
          <w:p w14:paraId="1420BFFD">
            <w:pPr>
              <w:pStyle w:val="186"/>
              <w:widowControl w:val="0"/>
              <w:spacing w:line="240" w:lineRule="auto"/>
              <w:ind w:firstLine="0"/>
              <w:jc w:val="left"/>
            </w:pPr>
            <w:r>
              <w:rPr>
                <w:rFonts w:hint="eastAsia"/>
              </w:rPr>
              <w:t>4G网卡MAC地址</w:t>
            </w:r>
            <w:r>
              <w:t xml:space="preserve"> </w:t>
            </w:r>
          </w:p>
        </w:tc>
      </w:tr>
      <w:tr w14:paraId="2EEF5C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7A26F769">
            <w:pPr>
              <w:pStyle w:val="186"/>
              <w:widowControl w:val="0"/>
              <w:spacing w:line="240" w:lineRule="auto"/>
              <w:ind w:firstLine="0"/>
              <w:jc w:val="left"/>
            </w:pPr>
            <w:r>
              <w:rPr>
                <w:rFonts w:hint="eastAsia"/>
              </w:rPr>
              <w:t>IP地址</w:t>
            </w:r>
          </w:p>
        </w:tc>
        <w:tc>
          <w:tcPr>
            <w:tcW w:w="7470" w:type="dxa"/>
            <w:shd w:val="clear" w:color="auto" w:fill="auto"/>
          </w:tcPr>
          <w:p w14:paraId="43EE7AF2">
            <w:pPr>
              <w:pStyle w:val="186"/>
              <w:widowControl w:val="0"/>
              <w:spacing w:line="240" w:lineRule="auto"/>
              <w:ind w:firstLine="0"/>
              <w:jc w:val="left"/>
            </w:pPr>
            <w:r>
              <w:rPr>
                <w:rFonts w:hint="eastAsia"/>
              </w:rPr>
              <w:t>4G接口IP地址，自动获取</w:t>
            </w:r>
          </w:p>
        </w:tc>
      </w:tr>
      <w:tr w14:paraId="391D3F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2FCAB160">
            <w:pPr>
              <w:pStyle w:val="186"/>
              <w:widowControl w:val="0"/>
              <w:spacing w:line="240" w:lineRule="auto"/>
              <w:ind w:firstLine="0"/>
              <w:jc w:val="left"/>
            </w:pPr>
            <w:r>
              <w:rPr>
                <w:rFonts w:hint="eastAsia"/>
              </w:rPr>
              <w:t>地址类型</w:t>
            </w:r>
          </w:p>
        </w:tc>
        <w:tc>
          <w:tcPr>
            <w:tcW w:w="7470" w:type="dxa"/>
            <w:shd w:val="clear" w:color="auto" w:fill="auto"/>
          </w:tcPr>
          <w:p w14:paraId="0E038BF7">
            <w:pPr>
              <w:pStyle w:val="186"/>
              <w:widowControl w:val="0"/>
              <w:spacing w:line="240" w:lineRule="auto"/>
              <w:ind w:firstLine="0"/>
              <w:jc w:val="left"/>
            </w:pPr>
            <w:r>
              <w:t>D</w:t>
            </w:r>
            <w:r>
              <w:rPr>
                <w:rFonts w:hint="eastAsia"/>
              </w:rPr>
              <w:t>HCP获取，无法修改</w:t>
            </w:r>
          </w:p>
        </w:tc>
      </w:tr>
      <w:tr w14:paraId="7ED99B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32113147">
            <w:pPr>
              <w:pStyle w:val="186"/>
              <w:widowControl w:val="0"/>
              <w:spacing w:line="240" w:lineRule="auto"/>
              <w:ind w:firstLine="0"/>
              <w:jc w:val="left"/>
            </w:pPr>
            <w:r>
              <w:rPr>
                <w:rFonts w:hint="eastAsia"/>
              </w:rPr>
              <w:t>网关</w:t>
            </w:r>
          </w:p>
        </w:tc>
        <w:tc>
          <w:tcPr>
            <w:tcW w:w="7470" w:type="dxa"/>
            <w:shd w:val="clear" w:color="auto" w:fill="auto"/>
          </w:tcPr>
          <w:p w14:paraId="589C4A42">
            <w:pPr>
              <w:pStyle w:val="186"/>
              <w:widowControl w:val="0"/>
              <w:spacing w:line="240" w:lineRule="auto"/>
              <w:ind w:firstLine="0"/>
              <w:jc w:val="left"/>
            </w:pPr>
            <w:r>
              <w:rPr>
                <w:rFonts w:hint="eastAsia"/>
              </w:rPr>
              <w:t>下一跳地址，通过DHCP方式自动获取</w:t>
            </w:r>
          </w:p>
        </w:tc>
      </w:tr>
      <w:tr w14:paraId="0E10363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7D22AE9D">
            <w:pPr>
              <w:pStyle w:val="186"/>
              <w:widowControl w:val="0"/>
              <w:spacing w:line="240" w:lineRule="auto"/>
              <w:ind w:firstLine="0"/>
              <w:jc w:val="left"/>
            </w:pPr>
            <w:r>
              <w:rPr>
                <w:rFonts w:hint="eastAsia"/>
              </w:rPr>
              <w:t>DNS</w:t>
            </w:r>
          </w:p>
        </w:tc>
        <w:tc>
          <w:tcPr>
            <w:tcW w:w="7470" w:type="dxa"/>
            <w:shd w:val="clear" w:color="auto" w:fill="auto"/>
          </w:tcPr>
          <w:p w14:paraId="3691AFC0">
            <w:pPr>
              <w:pStyle w:val="186"/>
              <w:widowControl w:val="0"/>
              <w:spacing w:line="240" w:lineRule="auto"/>
              <w:ind w:firstLine="0"/>
              <w:jc w:val="left"/>
            </w:pPr>
            <w:r>
              <w:rPr>
                <w:rFonts w:hint="eastAsia"/>
              </w:rPr>
              <w:t>DNS地址，通过DHCP方式自动获取</w:t>
            </w:r>
          </w:p>
        </w:tc>
      </w:tr>
      <w:tr w14:paraId="28C83A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1EFB9652">
            <w:pPr>
              <w:pStyle w:val="186"/>
              <w:widowControl w:val="0"/>
              <w:spacing w:line="240" w:lineRule="auto"/>
              <w:ind w:firstLine="0"/>
              <w:jc w:val="left"/>
            </w:pPr>
            <w:r>
              <w:rPr>
                <w:rFonts w:hint="eastAsia"/>
              </w:rPr>
              <w:t>启用</w:t>
            </w:r>
          </w:p>
        </w:tc>
        <w:tc>
          <w:tcPr>
            <w:tcW w:w="7470" w:type="dxa"/>
            <w:shd w:val="clear" w:color="auto" w:fill="auto"/>
          </w:tcPr>
          <w:p w14:paraId="34C29B2F">
            <w:pPr>
              <w:pStyle w:val="186"/>
              <w:widowControl w:val="0"/>
              <w:spacing w:line="240" w:lineRule="auto"/>
              <w:ind w:firstLine="0"/>
              <w:jc w:val="left"/>
            </w:pPr>
            <w:r>
              <w:rPr>
                <w:rFonts w:hint="eastAsia"/>
              </w:rPr>
              <w:t>是否允许启用无线接口，缺省情况下为启用</w:t>
            </w:r>
          </w:p>
        </w:tc>
      </w:tr>
      <w:tr w14:paraId="64D9B0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2470BEB0">
            <w:pPr>
              <w:pStyle w:val="186"/>
              <w:widowControl w:val="0"/>
              <w:spacing w:line="240" w:lineRule="auto"/>
              <w:ind w:firstLine="0"/>
              <w:jc w:val="left"/>
            </w:pPr>
            <w:r>
              <w:rPr>
                <w:rFonts w:hint="eastAsia"/>
              </w:rPr>
              <w:t>更新网关</w:t>
            </w:r>
          </w:p>
        </w:tc>
        <w:tc>
          <w:tcPr>
            <w:tcW w:w="7470" w:type="dxa"/>
            <w:shd w:val="clear" w:color="auto" w:fill="auto"/>
          </w:tcPr>
          <w:p w14:paraId="14503A4F">
            <w:pPr>
              <w:pStyle w:val="186"/>
              <w:widowControl w:val="0"/>
              <w:spacing w:line="240" w:lineRule="auto"/>
              <w:ind w:firstLine="0"/>
              <w:jc w:val="left"/>
            </w:pPr>
            <w:r>
              <w:rPr>
                <w:rFonts w:hint="eastAsia"/>
              </w:rPr>
              <w:t>勾选复选框允许利用DHCP信息自动生成默认路由</w:t>
            </w:r>
          </w:p>
        </w:tc>
      </w:tr>
      <w:tr w14:paraId="2004073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0E51591B">
            <w:pPr>
              <w:pStyle w:val="186"/>
              <w:widowControl w:val="0"/>
              <w:spacing w:line="240" w:lineRule="auto"/>
              <w:ind w:firstLine="0"/>
              <w:jc w:val="left"/>
            </w:pPr>
            <w:r>
              <w:rPr>
                <w:rFonts w:hint="eastAsia"/>
              </w:rPr>
              <w:t>更新DNS</w:t>
            </w:r>
          </w:p>
        </w:tc>
        <w:tc>
          <w:tcPr>
            <w:tcW w:w="7470" w:type="dxa"/>
            <w:shd w:val="clear" w:color="auto" w:fill="auto"/>
          </w:tcPr>
          <w:p w14:paraId="61D413AF">
            <w:pPr>
              <w:pStyle w:val="186"/>
              <w:widowControl w:val="0"/>
              <w:spacing w:line="240" w:lineRule="auto"/>
              <w:ind w:firstLine="0"/>
              <w:jc w:val="left"/>
            </w:pPr>
            <w:r>
              <w:rPr>
                <w:rFonts w:hint="eastAsia"/>
              </w:rPr>
              <w:t>勾选复选框允许利用DHCP信息自动获取DNS服务器信息</w:t>
            </w:r>
          </w:p>
        </w:tc>
      </w:tr>
      <w:tr w14:paraId="233B825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55961010">
            <w:pPr>
              <w:pStyle w:val="186"/>
              <w:widowControl w:val="0"/>
              <w:spacing w:line="240" w:lineRule="auto"/>
              <w:ind w:firstLine="0"/>
              <w:jc w:val="left"/>
            </w:pPr>
            <w:r>
              <w:rPr>
                <w:rFonts w:hint="eastAsia"/>
              </w:rPr>
              <w:t>权重</w:t>
            </w:r>
          </w:p>
        </w:tc>
        <w:tc>
          <w:tcPr>
            <w:tcW w:w="7470" w:type="dxa"/>
            <w:shd w:val="clear" w:color="auto" w:fill="auto"/>
          </w:tcPr>
          <w:p w14:paraId="78F32767">
            <w:pPr>
              <w:pStyle w:val="186"/>
              <w:widowControl w:val="0"/>
              <w:spacing w:line="240" w:lineRule="auto"/>
              <w:ind w:firstLine="0"/>
              <w:jc w:val="left"/>
            </w:pPr>
            <w:r>
              <w:rPr>
                <w:rFonts w:hint="eastAsia"/>
              </w:rPr>
              <w:t>指定路由权重，权重值1~20。如果存在多条默认路由，系统会按照权重值比例分配流量</w:t>
            </w:r>
          </w:p>
        </w:tc>
      </w:tr>
      <w:tr w14:paraId="3DE160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3D044169">
            <w:pPr>
              <w:pStyle w:val="186"/>
              <w:widowControl w:val="0"/>
              <w:spacing w:line="240" w:lineRule="auto"/>
              <w:ind w:firstLine="0"/>
              <w:jc w:val="left"/>
            </w:pPr>
            <w:r>
              <w:rPr>
                <w:rFonts w:hint="eastAsia"/>
              </w:rPr>
              <w:t>MTU</w:t>
            </w:r>
          </w:p>
        </w:tc>
        <w:tc>
          <w:tcPr>
            <w:tcW w:w="7470" w:type="dxa"/>
            <w:shd w:val="clear" w:color="auto" w:fill="auto"/>
          </w:tcPr>
          <w:p w14:paraId="674E3202">
            <w:pPr>
              <w:pStyle w:val="186"/>
              <w:widowControl w:val="0"/>
              <w:spacing w:line="240" w:lineRule="auto"/>
              <w:ind w:firstLine="0"/>
              <w:jc w:val="left"/>
            </w:pPr>
            <w:r>
              <w:rPr>
                <w:rFonts w:hint="eastAsia"/>
              </w:rPr>
              <w:t>接口发送数据帧的最大长度，缺省为1500，单位为字节</w:t>
            </w:r>
          </w:p>
        </w:tc>
      </w:tr>
    </w:tbl>
    <w:p w14:paraId="0A4F4028">
      <w:bookmarkStart w:id="1495" w:name="_Toc492491227"/>
      <w:bookmarkStart w:id="1496" w:name="_Toc494180338"/>
    </w:p>
    <w:p w14:paraId="1D5D07E3">
      <w:pPr>
        <w:pStyle w:val="4"/>
      </w:pPr>
      <w:bookmarkStart w:id="1497" w:name="_Toc196728012"/>
      <w:bookmarkStart w:id="1498" w:name="_Toc172218053"/>
      <w:bookmarkStart w:id="1499" w:name="_Toc142400867"/>
      <w:bookmarkStart w:id="1500" w:name="_Toc99561407"/>
      <w:bookmarkStart w:id="1501" w:name="_Toc141873351"/>
      <w:bookmarkStart w:id="1502" w:name="_Toc194080680"/>
      <w:bookmarkStart w:id="1503" w:name="_Toc15484717"/>
      <w:bookmarkStart w:id="1504" w:name="_Toc40275916"/>
      <w:bookmarkStart w:id="1505" w:name="_Toc23152483"/>
      <w:r>
        <w:rPr>
          <w:rFonts w:hint="eastAsia"/>
        </w:rPr>
        <w:t>配置安全域</w:t>
      </w:r>
      <w:bookmarkEnd w:id="1495"/>
      <w:bookmarkEnd w:id="1496"/>
      <w:bookmarkEnd w:id="1497"/>
      <w:bookmarkEnd w:id="1498"/>
      <w:bookmarkEnd w:id="1499"/>
      <w:bookmarkEnd w:id="1500"/>
      <w:bookmarkEnd w:id="1501"/>
      <w:bookmarkEnd w:id="1502"/>
      <w:bookmarkEnd w:id="1503"/>
      <w:bookmarkEnd w:id="1504"/>
      <w:bookmarkEnd w:id="1505"/>
    </w:p>
    <w:p w14:paraId="150462A3">
      <w:pPr>
        <w:pStyle w:val="5"/>
      </w:pPr>
      <w:bookmarkStart w:id="1506" w:name="_Toc40275917"/>
      <w:bookmarkStart w:id="1507" w:name="_Toc172218054"/>
      <w:bookmarkStart w:id="1508" w:name="_Toc492491228"/>
      <w:bookmarkStart w:id="1509" w:name="_Toc142400868"/>
      <w:bookmarkStart w:id="1510" w:name="_Toc196728013"/>
      <w:bookmarkStart w:id="1511" w:name="_Toc23152484"/>
      <w:bookmarkStart w:id="1512" w:name="_Toc99561408"/>
      <w:bookmarkStart w:id="1513" w:name="_Toc141873352"/>
      <w:bookmarkStart w:id="1514" w:name="_Toc15484718"/>
      <w:bookmarkStart w:id="1515" w:name="_Toc194080681"/>
      <w:r>
        <w:rPr>
          <w:rFonts w:hint="eastAsia"/>
        </w:rPr>
        <w:t>背景信息</w:t>
      </w:r>
      <w:bookmarkEnd w:id="1506"/>
      <w:bookmarkEnd w:id="1507"/>
      <w:bookmarkEnd w:id="1508"/>
      <w:bookmarkEnd w:id="1509"/>
      <w:bookmarkEnd w:id="1510"/>
      <w:bookmarkEnd w:id="1511"/>
      <w:bookmarkEnd w:id="1512"/>
      <w:bookmarkEnd w:id="1513"/>
      <w:bookmarkEnd w:id="1514"/>
      <w:bookmarkEnd w:id="1515"/>
    </w:p>
    <w:p w14:paraId="6448D284">
      <w:r>
        <w:rPr>
          <w:rFonts w:hint="eastAsia"/>
        </w:rPr>
        <w:t>安全区域（</w:t>
      </w:r>
      <w:r>
        <w:t>Security Zone</w:t>
      </w:r>
      <w:r>
        <w:rPr>
          <w:rFonts w:hint="eastAsia"/>
        </w:rPr>
        <w:t>）简称区域（</w:t>
      </w:r>
      <w:r>
        <w:t>Zone</w:t>
      </w:r>
      <w:r>
        <w:rPr>
          <w:rFonts w:hint="eastAsia"/>
        </w:rPr>
        <w:t>），是设备所引入的一个安全概念，一个安全域是若干接口所连网络的集合，这些网络中的用户具有相同的安全属性，安全策略可以基于安全区域实施。</w:t>
      </w:r>
    </w:p>
    <w:p w14:paraId="58C100D9">
      <w:r>
        <w:rPr>
          <w:rFonts w:hint="eastAsia"/>
        </w:rPr>
        <w:t>设备默认有trust、untrust、DMZ三个开启域内端口互通的空安全域，将接口加入安全域后，可以更加方便地在策略里进行引用。</w:t>
      </w:r>
    </w:p>
    <w:p w14:paraId="7F4A5813">
      <w:pPr>
        <w:pStyle w:val="5"/>
      </w:pPr>
      <w:bookmarkStart w:id="1516" w:name="_Toc142400869"/>
      <w:bookmarkStart w:id="1517" w:name="_Toc196728014"/>
      <w:bookmarkStart w:id="1518" w:name="_Toc172218055"/>
      <w:bookmarkStart w:id="1519" w:name="_Toc194080682"/>
      <w:bookmarkStart w:id="1520" w:name="_Toc141873353"/>
      <w:bookmarkStart w:id="1521" w:name="_Toc15484719"/>
      <w:bookmarkStart w:id="1522" w:name="_Toc23152485"/>
      <w:bookmarkStart w:id="1523" w:name="_Toc40275918"/>
      <w:bookmarkStart w:id="1524" w:name="_Toc99561409"/>
      <w:r>
        <w:rPr>
          <w:rFonts w:hint="eastAsia"/>
        </w:rPr>
        <w:t>查看安全域</w:t>
      </w:r>
      <w:bookmarkEnd w:id="1516"/>
      <w:bookmarkEnd w:id="1517"/>
      <w:bookmarkEnd w:id="1518"/>
      <w:bookmarkEnd w:id="1519"/>
      <w:bookmarkEnd w:id="1520"/>
    </w:p>
    <w:p w14:paraId="6221C989">
      <w:r>
        <w:rPr>
          <w:rFonts w:hint="eastAsia"/>
        </w:rPr>
        <w:t>如下图所示，通过菜单“网络配置&gt;接口配置</w:t>
      </w:r>
      <w:r>
        <w:t>&gt;</w:t>
      </w:r>
      <w:r>
        <w:rPr>
          <w:rFonts w:hint="eastAsia"/>
        </w:rPr>
        <w:t>安全域”使用该功能。</w:t>
      </w:r>
    </w:p>
    <w:p w14:paraId="453D77B1">
      <w:pPr>
        <w:pStyle w:val="188"/>
      </w:pPr>
      <w:bookmarkStart w:id="1525" w:name="_Toc141874553"/>
      <w:r>
        <w:rPr>
          <w:rFonts w:hint="eastAsia"/>
        </w:rPr>
        <w:t>安全域的显示</w:t>
      </w:r>
      <w:bookmarkEnd w:id="1525"/>
    </w:p>
    <w:p w14:paraId="6225A2DB">
      <w:r>
        <w:drawing>
          <wp:inline distT="0" distB="0" distL="0" distR="0">
            <wp:extent cx="5686425" cy="1329055"/>
            <wp:effectExtent l="0" t="0" r="0" b="4445"/>
            <wp:docPr id="1802027901" name="图片 1802027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901" name="图片 1802027901"/>
                    <pic:cNvPicPr>
                      <a:picLocks noChangeAspect="1"/>
                    </pic:cNvPicPr>
                  </pic:nvPicPr>
                  <pic:blipFill>
                    <a:blip r:embed="rId227"/>
                    <a:stretch>
                      <a:fillRect/>
                    </a:stretch>
                  </pic:blipFill>
                  <pic:spPr>
                    <a:xfrm>
                      <a:off x="0" y="0"/>
                      <a:ext cx="5688171" cy="1329541"/>
                    </a:xfrm>
                    <a:prstGeom prst="rect">
                      <a:avLst/>
                    </a:prstGeom>
                  </pic:spPr>
                </pic:pic>
              </a:graphicData>
            </a:graphic>
          </wp:inline>
        </w:drawing>
      </w:r>
    </w:p>
    <w:p w14:paraId="58E5986E"/>
    <w:p w14:paraId="7B158AE0">
      <w:pPr>
        <w:pStyle w:val="5"/>
      </w:pPr>
      <w:bookmarkStart w:id="1526" w:name="_Toc141873354"/>
      <w:bookmarkStart w:id="1527" w:name="_Toc142400870"/>
      <w:bookmarkStart w:id="1528" w:name="_Toc194080683"/>
      <w:bookmarkStart w:id="1529" w:name="_Toc196728015"/>
      <w:bookmarkStart w:id="1530" w:name="_Toc172218056"/>
      <w:r>
        <w:rPr>
          <w:rFonts w:hint="eastAsia"/>
        </w:rPr>
        <w:t>创建安全域</w:t>
      </w:r>
      <w:bookmarkEnd w:id="1521"/>
      <w:bookmarkEnd w:id="1522"/>
      <w:bookmarkEnd w:id="1523"/>
      <w:bookmarkEnd w:id="1524"/>
      <w:bookmarkEnd w:id="1526"/>
      <w:bookmarkEnd w:id="1527"/>
      <w:bookmarkEnd w:id="1528"/>
      <w:bookmarkEnd w:id="1529"/>
      <w:bookmarkEnd w:id="1530"/>
    </w:p>
    <w:p w14:paraId="047DA831">
      <w:r>
        <w:rPr>
          <w:rFonts w:hint="eastAsia"/>
        </w:rPr>
        <w:t>通过菜单“网络配置&gt;接口配置</w:t>
      </w:r>
      <w:r>
        <w:t>&gt;</w:t>
      </w:r>
      <w:r>
        <w:rPr>
          <w:rFonts w:hint="eastAsia"/>
        </w:rPr>
        <w:t>安全域”使用该功能。单击“新建”进入安全域创建界面。</w:t>
      </w:r>
    </w:p>
    <w:p w14:paraId="63AA1A2B">
      <w:pPr>
        <w:pStyle w:val="188"/>
      </w:pPr>
      <w:bookmarkStart w:id="1531" w:name="_Toc141874554"/>
      <w:r>
        <w:rPr>
          <w:rFonts w:hint="eastAsia"/>
        </w:rPr>
        <w:t>配置安全域界面</w:t>
      </w:r>
      <w:bookmarkEnd w:id="1531"/>
    </w:p>
    <w:p w14:paraId="0FBAD092">
      <w:r>
        <w:drawing>
          <wp:inline distT="0" distB="0" distL="0" distR="0">
            <wp:extent cx="5400040" cy="3007360"/>
            <wp:effectExtent l="0" t="0" r="0" b="2540"/>
            <wp:docPr id="4935" name="图片 4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5" name="图片 4935"/>
                    <pic:cNvPicPr>
                      <a:picLocks noChangeAspect="1"/>
                    </pic:cNvPicPr>
                  </pic:nvPicPr>
                  <pic:blipFill>
                    <a:blip r:embed="rId228"/>
                    <a:stretch>
                      <a:fillRect/>
                    </a:stretch>
                  </pic:blipFill>
                  <pic:spPr>
                    <a:xfrm>
                      <a:off x="0" y="0"/>
                      <a:ext cx="5400040" cy="3007617"/>
                    </a:xfrm>
                    <a:prstGeom prst="rect">
                      <a:avLst/>
                    </a:prstGeom>
                  </pic:spPr>
                </pic:pic>
              </a:graphicData>
            </a:graphic>
          </wp:inline>
        </w:drawing>
      </w:r>
    </w:p>
    <w:p w14:paraId="0CE02890"/>
    <w:p w14:paraId="0E80E6A5">
      <w:pPr>
        <w:pStyle w:val="183"/>
      </w:pPr>
      <w:bookmarkStart w:id="1532" w:name="_Toc141875476"/>
      <w:r>
        <w:rPr>
          <w:rFonts w:hint="eastAsia"/>
        </w:rPr>
        <w:t>配置安全域的参数</w:t>
      </w:r>
      <w:bookmarkEnd w:id="1532"/>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33"/>
        <w:gridCol w:w="6981"/>
      </w:tblGrid>
      <w:tr w14:paraId="6A70A86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34" w:type="dxa"/>
            <w:tcBorders>
              <w:tl2br w:val="nil"/>
              <w:tr2bl w:val="nil"/>
            </w:tcBorders>
            <w:shd w:val="clear" w:color="auto" w:fill="538135" w:themeFill="accent6" w:themeFillShade="BF"/>
            <w:vAlign w:val="center"/>
          </w:tcPr>
          <w:p w14:paraId="021D029D">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参数</w:t>
            </w:r>
          </w:p>
        </w:tc>
        <w:tc>
          <w:tcPr>
            <w:tcW w:w="6299" w:type="dxa"/>
            <w:tcBorders>
              <w:tl2br w:val="nil"/>
              <w:tr2bl w:val="nil"/>
            </w:tcBorders>
            <w:shd w:val="clear" w:color="auto" w:fill="538135" w:themeFill="accent6" w:themeFillShade="BF"/>
            <w:vAlign w:val="center"/>
          </w:tcPr>
          <w:p w14:paraId="2DF9FD21">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r>
              <w:rPr>
                <w:b w:val="0"/>
                <w:bCs w:val="0"/>
                <w:i w:val="0"/>
                <w:iCs w:val="0"/>
                <w:color w:val="FFFFFF" w:themeColor="background1"/>
                <w14:textFill>
                  <w14:solidFill>
                    <w14:schemeClr w14:val="bg1"/>
                  </w14:solidFill>
                </w14:textFill>
              </w:rPr>
              <w:tab/>
            </w:r>
          </w:p>
        </w:tc>
      </w:tr>
      <w:tr w14:paraId="0D575E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34" w:type="dxa"/>
            <w:shd w:val="clear" w:color="auto" w:fill="auto"/>
          </w:tcPr>
          <w:p w14:paraId="7EF8E728">
            <w:pPr>
              <w:pStyle w:val="186"/>
              <w:widowControl w:val="0"/>
              <w:spacing w:line="240" w:lineRule="auto"/>
              <w:ind w:firstLine="0"/>
              <w:jc w:val="left"/>
            </w:pPr>
            <w:r>
              <w:rPr>
                <w:rFonts w:hint="eastAsia"/>
              </w:rPr>
              <w:t>名称</w:t>
            </w:r>
          </w:p>
        </w:tc>
        <w:tc>
          <w:tcPr>
            <w:tcW w:w="6299" w:type="dxa"/>
            <w:shd w:val="clear" w:color="auto" w:fill="auto"/>
          </w:tcPr>
          <w:p w14:paraId="2DC8D9C6">
            <w:pPr>
              <w:pStyle w:val="186"/>
              <w:widowControl w:val="0"/>
              <w:spacing w:line="240" w:lineRule="auto"/>
              <w:ind w:firstLine="0"/>
              <w:jc w:val="left"/>
            </w:pPr>
            <w:r>
              <w:rPr>
                <w:rFonts w:hint="eastAsia"/>
              </w:rPr>
              <w:t>安全域的名称。安全区域名称一旦设定，不允许更改。</w:t>
            </w:r>
          </w:p>
        </w:tc>
      </w:tr>
      <w:tr w14:paraId="0FAB341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34" w:type="dxa"/>
            <w:shd w:val="clear" w:color="auto" w:fill="auto"/>
          </w:tcPr>
          <w:p w14:paraId="6BD78283">
            <w:pPr>
              <w:pStyle w:val="186"/>
              <w:widowControl w:val="0"/>
              <w:spacing w:line="240" w:lineRule="auto"/>
              <w:ind w:firstLine="0"/>
              <w:jc w:val="left"/>
            </w:pPr>
            <w:r>
              <w:rPr>
                <w:rFonts w:hint="eastAsia"/>
              </w:rPr>
              <w:t>域内接口间访问</w:t>
            </w:r>
          </w:p>
        </w:tc>
        <w:tc>
          <w:tcPr>
            <w:tcW w:w="6299" w:type="dxa"/>
            <w:shd w:val="clear" w:color="auto" w:fill="auto"/>
          </w:tcPr>
          <w:p w14:paraId="45B6C4DD">
            <w:pPr>
              <w:pStyle w:val="186"/>
              <w:widowControl w:val="0"/>
              <w:spacing w:line="240" w:lineRule="auto"/>
              <w:ind w:firstLine="0"/>
              <w:jc w:val="left"/>
            </w:pPr>
            <w:r>
              <w:rPr>
                <w:rFonts w:hint="eastAsia"/>
              </w:rPr>
              <w:t>控制域内接口能否互访，默认不允许互访。</w:t>
            </w:r>
          </w:p>
        </w:tc>
      </w:tr>
      <w:tr w14:paraId="1AF74D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34" w:type="dxa"/>
            <w:shd w:val="clear" w:color="auto" w:fill="auto"/>
          </w:tcPr>
          <w:p w14:paraId="35F94B97">
            <w:pPr>
              <w:pStyle w:val="186"/>
              <w:widowControl w:val="0"/>
              <w:spacing w:line="240" w:lineRule="auto"/>
              <w:ind w:firstLine="0"/>
              <w:jc w:val="left"/>
            </w:pPr>
            <w:r>
              <w:rPr>
                <w:rFonts w:hint="eastAsia"/>
              </w:rPr>
              <w:t>安全域可选接口</w:t>
            </w:r>
          </w:p>
        </w:tc>
        <w:tc>
          <w:tcPr>
            <w:tcW w:w="6299" w:type="dxa"/>
            <w:shd w:val="clear" w:color="auto" w:fill="auto"/>
          </w:tcPr>
          <w:p w14:paraId="37D5AA69">
            <w:pPr>
              <w:pStyle w:val="186"/>
              <w:widowControl w:val="0"/>
              <w:spacing w:line="240" w:lineRule="auto"/>
              <w:ind w:firstLine="0"/>
              <w:jc w:val="left"/>
            </w:pPr>
            <w:r>
              <w:rPr>
                <w:rFonts w:hint="eastAsia"/>
              </w:rPr>
              <w:t>左侧为可选加入安全域的接口。</w:t>
            </w:r>
          </w:p>
        </w:tc>
      </w:tr>
      <w:tr w14:paraId="2A9BE7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34" w:type="dxa"/>
            <w:shd w:val="clear" w:color="auto" w:fill="auto"/>
          </w:tcPr>
          <w:p w14:paraId="1C6D61F0">
            <w:pPr>
              <w:pStyle w:val="186"/>
              <w:widowControl w:val="0"/>
              <w:spacing w:line="240" w:lineRule="auto"/>
              <w:ind w:firstLine="0"/>
              <w:jc w:val="left"/>
            </w:pPr>
            <w:r>
              <w:rPr>
                <w:rFonts w:hint="eastAsia"/>
              </w:rPr>
              <w:t>安全域已选接口</w:t>
            </w:r>
          </w:p>
        </w:tc>
        <w:tc>
          <w:tcPr>
            <w:tcW w:w="6299" w:type="dxa"/>
            <w:shd w:val="clear" w:color="auto" w:fill="auto"/>
          </w:tcPr>
          <w:p w14:paraId="2B5302B7">
            <w:pPr>
              <w:pStyle w:val="186"/>
              <w:widowControl w:val="0"/>
              <w:spacing w:line="240" w:lineRule="auto"/>
              <w:ind w:firstLine="0"/>
              <w:jc w:val="left"/>
            </w:pPr>
            <w:r>
              <w:rPr>
                <w:rFonts w:hint="eastAsia"/>
              </w:rPr>
              <w:t>右侧为已选的安全域接口。</w:t>
            </w:r>
          </w:p>
        </w:tc>
      </w:tr>
    </w:tbl>
    <w:p w14:paraId="3A1645E1">
      <w:bookmarkStart w:id="1533" w:name="OLE_LINK20"/>
    </w:p>
    <w:bookmarkEnd w:id="1533"/>
    <w:p w14:paraId="0383AB20">
      <w:pPr>
        <w:pStyle w:val="4"/>
      </w:pPr>
      <w:bookmarkStart w:id="1534" w:name="_Toc15484723"/>
      <w:bookmarkStart w:id="1535" w:name="_Toc196728016"/>
      <w:bookmarkStart w:id="1536" w:name="_Toc40275922"/>
      <w:bookmarkStart w:id="1537" w:name="_Toc172218057"/>
      <w:bookmarkStart w:id="1538" w:name="_Toc99561413"/>
      <w:bookmarkStart w:id="1539" w:name="_Toc142400871"/>
      <w:bookmarkStart w:id="1540" w:name="_Toc194080684"/>
      <w:bookmarkStart w:id="1541" w:name="_Toc23152489"/>
      <w:bookmarkStart w:id="1542" w:name="_Toc141873355"/>
      <w:r>
        <w:rPr>
          <w:rFonts w:hint="eastAsia"/>
        </w:rPr>
        <w:t>配置虚拟网线</w:t>
      </w:r>
      <w:bookmarkEnd w:id="1534"/>
      <w:bookmarkEnd w:id="1535"/>
      <w:bookmarkEnd w:id="1536"/>
      <w:bookmarkEnd w:id="1537"/>
      <w:bookmarkEnd w:id="1538"/>
      <w:bookmarkEnd w:id="1539"/>
      <w:bookmarkEnd w:id="1540"/>
      <w:bookmarkEnd w:id="1541"/>
      <w:bookmarkEnd w:id="1542"/>
    </w:p>
    <w:p w14:paraId="6D488AB1">
      <w:pPr>
        <w:pStyle w:val="5"/>
      </w:pPr>
      <w:bookmarkStart w:id="1543" w:name="_Toc142400872"/>
      <w:bookmarkStart w:id="1544" w:name="_Toc172218058"/>
      <w:bookmarkStart w:id="1545" w:name="_Toc99561414"/>
      <w:bookmarkStart w:id="1546" w:name="_Toc196728017"/>
      <w:bookmarkStart w:id="1547" w:name="_Toc40275923"/>
      <w:bookmarkStart w:id="1548" w:name="_Toc141873356"/>
      <w:bookmarkStart w:id="1549" w:name="_Toc23152490"/>
      <w:bookmarkStart w:id="1550" w:name="_Toc15484724"/>
      <w:bookmarkStart w:id="1551" w:name="_Toc194080685"/>
      <w:r>
        <w:rPr>
          <w:rFonts w:hint="eastAsia"/>
        </w:rPr>
        <w:t>背景信息</w:t>
      </w:r>
      <w:bookmarkEnd w:id="1543"/>
      <w:bookmarkEnd w:id="1544"/>
      <w:bookmarkEnd w:id="1545"/>
      <w:bookmarkEnd w:id="1546"/>
      <w:bookmarkEnd w:id="1547"/>
      <w:bookmarkEnd w:id="1548"/>
      <w:bookmarkEnd w:id="1549"/>
      <w:bookmarkEnd w:id="1550"/>
      <w:bookmarkEnd w:id="1551"/>
    </w:p>
    <w:p w14:paraId="12FD9E9E">
      <w:pPr>
        <w:rPr>
          <w:rFonts w:asciiTheme="minorEastAsia" w:hAnsiTheme="minorEastAsia"/>
        </w:rPr>
      </w:pPr>
      <w:r>
        <w:rPr>
          <w:rFonts w:hint="eastAsia"/>
        </w:rPr>
        <w:t>信息与网络安全被越来越多的客户认知，越来越多的客户在实际网络拓扑中部署安全设备，传统的部署方式需要对客户的网络拓扑比较了解，甚至需要更改网络设备的配置，虚拟网线方式提供一种无感知方式，不需要客户对原有的网络拓扑做任何更改，虽然桥接方式也可以满足一部分要求，但虚拟网线免去了</w:t>
      </w:r>
      <w:r>
        <w:t>MAC</w:t>
      </w:r>
      <w:r>
        <w:rPr>
          <w:rFonts w:hint="eastAsia"/>
        </w:rPr>
        <w:t>学习和二层交换，避免了因</w:t>
      </w:r>
      <w:r>
        <w:t>MAC</w:t>
      </w:r>
      <w:r>
        <w:rPr>
          <w:rFonts w:hint="eastAsia"/>
        </w:rPr>
        <w:t>错乱导致的问题，同时虚拟线相比于传统的桥接方式效率更高。此外虚拟网线还附加了端口联动和</w:t>
      </w:r>
      <w:r>
        <w:t>vlan</w:t>
      </w:r>
      <w:r>
        <w:rPr>
          <w:rFonts w:hint="eastAsia"/>
        </w:rPr>
        <w:t>过滤功能以此来满足透明接入的实际需求。</w:t>
      </w:r>
    </w:p>
    <w:p w14:paraId="26BABFAF">
      <w:pPr>
        <w:pStyle w:val="5"/>
      </w:pPr>
      <w:bookmarkStart w:id="1552" w:name="_Toc196728018"/>
      <w:bookmarkStart w:id="1553" w:name="_Toc23152492"/>
      <w:bookmarkStart w:id="1554" w:name="_Toc194080686"/>
      <w:bookmarkStart w:id="1555" w:name="_Toc141873357"/>
      <w:bookmarkStart w:id="1556" w:name="_Toc15484726"/>
      <w:bookmarkStart w:id="1557" w:name="_Toc40275925"/>
      <w:bookmarkStart w:id="1558" w:name="_Toc99561416"/>
      <w:bookmarkStart w:id="1559" w:name="_Toc172218059"/>
      <w:bookmarkStart w:id="1560" w:name="_Toc142400873"/>
      <w:bookmarkStart w:id="1561" w:name="_Toc15484725"/>
      <w:bookmarkStart w:id="1562" w:name="_Toc23152491"/>
      <w:bookmarkStart w:id="1563" w:name="_Toc40275924"/>
      <w:bookmarkStart w:id="1564" w:name="_Toc99561415"/>
      <w:r>
        <w:rPr>
          <w:rFonts w:hint="eastAsia"/>
        </w:rPr>
        <w:t>查看虚拟网线</w:t>
      </w:r>
      <w:bookmarkEnd w:id="1552"/>
      <w:bookmarkEnd w:id="1553"/>
      <w:bookmarkEnd w:id="1554"/>
      <w:bookmarkEnd w:id="1555"/>
      <w:bookmarkEnd w:id="1556"/>
      <w:bookmarkEnd w:id="1557"/>
      <w:bookmarkEnd w:id="1558"/>
      <w:bookmarkEnd w:id="1559"/>
      <w:bookmarkEnd w:id="1560"/>
    </w:p>
    <w:p w14:paraId="65585D76">
      <w:r>
        <w:rPr>
          <w:rFonts w:hint="eastAsia"/>
        </w:rPr>
        <w:t>如</w:t>
      </w:r>
      <w:r>
        <w:fldChar w:fldCharType="begin"/>
      </w:r>
      <w:r>
        <w:instrText xml:space="preserve"> </w:instrText>
      </w:r>
      <w:r>
        <w:rPr>
          <w:rFonts w:hint="eastAsia"/>
        </w:rPr>
        <w:instrText xml:space="preserve">REF _Ref4679333 \r \h</w:instrText>
      </w:r>
      <w:r>
        <w:instrText xml:space="preserve"> </w:instrText>
      </w:r>
      <w:r>
        <w:fldChar w:fldCharType="separate"/>
      </w:r>
      <w:r>
        <w:rPr>
          <w:rFonts w:hint="eastAsia"/>
        </w:rPr>
        <w:t>图6-20</w:t>
      </w:r>
      <w:r>
        <w:fldChar w:fldCharType="end"/>
      </w:r>
      <w:r>
        <w:rPr>
          <w:rFonts w:hint="eastAsia"/>
        </w:rPr>
        <w:t>所示，通过菜单“网络配置&gt;接口配置</w:t>
      </w:r>
      <w:r>
        <w:t>&gt;</w:t>
      </w:r>
      <w:r>
        <w:rPr>
          <w:rFonts w:hint="eastAsia"/>
        </w:rPr>
        <w:t>虚拟网线”查看设备上的所有虚拟网线及其状态信息。</w:t>
      </w:r>
    </w:p>
    <w:p w14:paraId="0A065D40">
      <w:pPr>
        <w:pStyle w:val="188"/>
      </w:pPr>
      <w:bookmarkStart w:id="1565" w:name="_Toc141874555"/>
      <w:bookmarkStart w:id="1566" w:name="_Ref4679333"/>
      <w:r>
        <w:rPr>
          <w:rFonts w:hint="eastAsia"/>
        </w:rPr>
        <w:t>虚拟网线的显示</w:t>
      </w:r>
      <w:bookmarkEnd w:id="1565"/>
      <w:bookmarkEnd w:id="1566"/>
    </w:p>
    <w:p w14:paraId="31340A83">
      <w:r>
        <w:drawing>
          <wp:inline distT="0" distB="0" distL="0" distR="0">
            <wp:extent cx="5400040" cy="1266825"/>
            <wp:effectExtent l="0" t="0" r="0" b="9525"/>
            <wp:docPr id="4937" name="图片 4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7" name="图片 4937"/>
                    <pic:cNvPicPr>
                      <a:picLocks noChangeAspect="1"/>
                    </pic:cNvPicPr>
                  </pic:nvPicPr>
                  <pic:blipFill>
                    <a:blip r:embed="rId229"/>
                    <a:stretch>
                      <a:fillRect/>
                    </a:stretch>
                  </pic:blipFill>
                  <pic:spPr>
                    <a:xfrm>
                      <a:off x="0" y="0"/>
                      <a:ext cx="5400040" cy="1266837"/>
                    </a:xfrm>
                    <a:prstGeom prst="rect">
                      <a:avLst/>
                    </a:prstGeom>
                  </pic:spPr>
                </pic:pic>
              </a:graphicData>
            </a:graphic>
          </wp:inline>
        </w:drawing>
      </w:r>
    </w:p>
    <w:p w14:paraId="34840826"/>
    <w:p w14:paraId="48397B5C">
      <w:pPr>
        <w:pStyle w:val="5"/>
      </w:pPr>
      <w:bookmarkStart w:id="1567" w:name="_Toc141873358"/>
      <w:bookmarkStart w:id="1568" w:name="_Toc194080687"/>
      <w:bookmarkStart w:id="1569" w:name="_Toc142400874"/>
      <w:bookmarkStart w:id="1570" w:name="_Toc172218060"/>
      <w:bookmarkStart w:id="1571" w:name="_Toc196728019"/>
      <w:r>
        <w:rPr>
          <w:rFonts w:hint="eastAsia"/>
        </w:rPr>
        <w:t>新建虚拟网线</w:t>
      </w:r>
      <w:bookmarkEnd w:id="1561"/>
      <w:bookmarkEnd w:id="1562"/>
      <w:bookmarkEnd w:id="1563"/>
      <w:bookmarkEnd w:id="1564"/>
      <w:bookmarkEnd w:id="1567"/>
      <w:bookmarkEnd w:id="1568"/>
      <w:bookmarkEnd w:id="1569"/>
      <w:bookmarkEnd w:id="1570"/>
      <w:bookmarkEnd w:id="1571"/>
    </w:p>
    <w:p w14:paraId="603E654B">
      <w:r>
        <w:rPr>
          <w:rFonts w:hint="eastAsia"/>
        </w:rPr>
        <w:t>如</w:t>
      </w:r>
      <w:r>
        <w:fldChar w:fldCharType="begin"/>
      </w:r>
      <w:r>
        <w:instrText xml:space="preserve"> </w:instrText>
      </w:r>
      <w:r>
        <w:rPr>
          <w:rFonts w:hint="eastAsia"/>
        </w:rPr>
        <w:instrText xml:space="preserve">REF _Ref4679317 \r \h</w:instrText>
      </w:r>
      <w:r>
        <w:instrText xml:space="preserve"> </w:instrText>
      </w:r>
      <w:r>
        <w:fldChar w:fldCharType="separate"/>
      </w:r>
      <w:r>
        <w:rPr>
          <w:rFonts w:hint="eastAsia"/>
        </w:rPr>
        <w:t>图6-21</w:t>
      </w:r>
      <w:r>
        <w:fldChar w:fldCharType="end"/>
      </w:r>
      <w:r>
        <w:rPr>
          <w:rFonts w:hint="eastAsia"/>
        </w:rPr>
        <w:t>所示，通过菜单“网络配置&gt;接口配置</w:t>
      </w:r>
      <w:r>
        <w:t>&gt;</w:t>
      </w:r>
      <w:r>
        <w:rPr>
          <w:rFonts w:hint="eastAsia"/>
        </w:rPr>
        <w:t>虚拟网线”使用该功能。单击“新建”进入虚拟网线创建界面。</w:t>
      </w:r>
    </w:p>
    <w:p w14:paraId="54C0C529">
      <w:pPr>
        <w:pStyle w:val="188"/>
      </w:pPr>
      <w:bookmarkStart w:id="1572" w:name="_Toc141874556"/>
      <w:bookmarkStart w:id="1573" w:name="_Ref4679317"/>
      <w:r>
        <w:rPr>
          <w:rFonts w:hint="eastAsia"/>
        </w:rPr>
        <w:t>配置虚拟网线界面</w:t>
      </w:r>
      <w:bookmarkEnd w:id="1572"/>
      <w:bookmarkEnd w:id="1573"/>
    </w:p>
    <w:p w14:paraId="0258AAB6">
      <w:r>
        <w:drawing>
          <wp:inline distT="0" distB="0" distL="0" distR="0">
            <wp:extent cx="5400040" cy="1904365"/>
            <wp:effectExtent l="0" t="0" r="0" b="635"/>
            <wp:docPr id="4938" name="图片 4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8" name="图片 4938"/>
                    <pic:cNvPicPr>
                      <a:picLocks noChangeAspect="1"/>
                    </pic:cNvPicPr>
                  </pic:nvPicPr>
                  <pic:blipFill>
                    <a:blip r:embed="rId230"/>
                    <a:stretch>
                      <a:fillRect/>
                    </a:stretch>
                  </pic:blipFill>
                  <pic:spPr>
                    <a:xfrm>
                      <a:off x="0" y="0"/>
                      <a:ext cx="5400040" cy="1904974"/>
                    </a:xfrm>
                    <a:prstGeom prst="rect">
                      <a:avLst/>
                    </a:prstGeom>
                  </pic:spPr>
                </pic:pic>
              </a:graphicData>
            </a:graphic>
          </wp:inline>
        </w:drawing>
      </w:r>
    </w:p>
    <w:p w14:paraId="1E99C26A"/>
    <w:p w14:paraId="0BC41C21">
      <w:pPr>
        <w:pStyle w:val="183"/>
      </w:pPr>
      <w:bookmarkStart w:id="1574" w:name="_Toc141875477"/>
      <w:r>
        <w:rPr>
          <w:rFonts w:hint="eastAsia"/>
        </w:rPr>
        <w:t>配置虚拟网线的参数</w:t>
      </w:r>
      <w:bookmarkEnd w:id="1574"/>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33"/>
        <w:gridCol w:w="6981"/>
      </w:tblGrid>
      <w:tr w14:paraId="0EEE28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34" w:type="dxa"/>
            <w:tcBorders>
              <w:tl2br w:val="nil"/>
              <w:tr2bl w:val="nil"/>
            </w:tcBorders>
            <w:shd w:val="clear" w:color="auto" w:fill="538135" w:themeFill="accent6" w:themeFillShade="BF"/>
            <w:vAlign w:val="center"/>
          </w:tcPr>
          <w:p w14:paraId="7D77CA44">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参数</w:t>
            </w:r>
          </w:p>
        </w:tc>
        <w:tc>
          <w:tcPr>
            <w:tcW w:w="6299" w:type="dxa"/>
            <w:tcBorders>
              <w:tl2br w:val="nil"/>
              <w:tr2bl w:val="nil"/>
            </w:tcBorders>
            <w:shd w:val="clear" w:color="auto" w:fill="538135" w:themeFill="accent6" w:themeFillShade="BF"/>
            <w:vAlign w:val="center"/>
          </w:tcPr>
          <w:p w14:paraId="7797A051">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r>
              <w:rPr>
                <w:b w:val="0"/>
                <w:bCs w:val="0"/>
                <w:i w:val="0"/>
                <w:iCs w:val="0"/>
                <w:color w:val="FFFFFF" w:themeColor="background1"/>
                <w14:textFill>
                  <w14:solidFill>
                    <w14:schemeClr w14:val="bg1"/>
                  </w14:solidFill>
                </w14:textFill>
              </w:rPr>
              <w:tab/>
            </w:r>
          </w:p>
        </w:tc>
      </w:tr>
      <w:tr w14:paraId="6784377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34" w:type="dxa"/>
            <w:shd w:val="clear" w:color="auto" w:fill="auto"/>
          </w:tcPr>
          <w:p w14:paraId="61A5F746">
            <w:pPr>
              <w:pStyle w:val="186"/>
              <w:widowControl w:val="0"/>
              <w:spacing w:line="240" w:lineRule="auto"/>
              <w:ind w:firstLine="0"/>
              <w:jc w:val="left"/>
            </w:pPr>
            <w:r>
              <w:rPr>
                <w:rFonts w:hint="eastAsia"/>
              </w:rPr>
              <w:t>名称</w:t>
            </w:r>
          </w:p>
        </w:tc>
        <w:tc>
          <w:tcPr>
            <w:tcW w:w="6299" w:type="dxa"/>
            <w:shd w:val="clear" w:color="auto" w:fill="auto"/>
          </w:tcPr>
          <w:p w14:paraId="370C2214">
            <w:pPr>
              <w:pStyle w:val="186"/>
              <w:widowControl w:val="0"/>
              <w:spacing w:line="240" w:lineRule="auto"/>
              <w:ind w:firstLine="0"/>
              <w:jc w:val="left"/>
            </w:pPr>
            <w:r>
              <w:rPr>
                <w:rFonts w:hint="eastAsia"/>
              </w:rPr>
              <w:t>虚拟网线的名称。虚拟网线名称一旦设定，不允许更改。</w:t>
            </w:r>
          </w:p>
        </w:tc>
      </w:tr>
      <w:tr w14:paraId="463A7E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34" w:type="dxa"/>
            <w:shd w:val="clear" w:color="auto" w:fill="auto"/>
          </w:tcPr>
          <w:p w14:paraId="56501CFA">
            <w:pPr>
              <w:pStyle w:val="186"/>
              <w:widowControl w:val="0"/>
              <w:spacing w:line="240" w:lineRule="auto"/>
              <w:ind w:firstLine="0"/>
              <w:jc w:val="left"/>
            </w:pPr>
            <w:r>
              <w:rPr>
                <w:rFonts w:hint="eastAsia"/>
              </w:rPr>
              <w:t>描述</w:t>
            </w:r>
          </w:p>
        </w:tc>
        <w:tc>
          <w:tcPr>
            <w:tcW w:w="6299" w:type="dxa"/>
            <w:shd w:val="clear" w:color="auto" w:fill="auto"/>
          </w:tcPr>
          <w:p w14:paraId="5A7499BB">
            <w:pPr>
              <w:pStyle w:val="186"/>
              <w:widowControl w:val="0"/>
              <w:spacing w:line="240" w:lineRule="auto"/>
              <w:ind w:firstLine="0"/>
              <w:jc w:val="left"/>
            </w:pPr>
            <w:r>
              <w:rPr>
                <w:rFonts w:hint="eastAsia"/>
              </w:rPr>
              <w:t>虚拟网线描述。</w:t>
            </w:r>
          </w:p>
        </w:tc>
      </w:tr>
      <w:tr w14:paraId="24FC7ED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34" w:type="dxa"/>
            <w:shd w:val="clear" w:color="auto" w:fill="auto"/>
          </w:tcPr>
          <w:p w14:paraId="4D22B024">
            <w:pPr>
              <w:pStyle w:val="186"/>
              <w:widowControl w:val="0"/>
              <w:spacing w:line="240" w:lineRule="auto"/>
              <w:ind w:firstLine="0"/>
              <w:jc w:val="left"/>
            </w:pPr>
            <w:r>
              <w:rPr>
                <w:rFonts w:hint="eastAsia"/>
              </w:rPr>
              <w:t>接口1</w:t>
            </w:r>
          </w:p>
        </w:tc>
        <w:tc>
          <w:tcPr>
            <w:tcW w:w="6299" w:type="dxa"/>
            <w:shd w:val="clear" w:color="auto" w:fill="auto"/>
          </w:tcPr>
          <w:p w14:paraId="46CC4193">
            <w:pPr>
              <w:pStyle w:val="186"/>
              <w:widowControl w:val="0"/>
              <w:spacing w:line="240" w:lineRule="auto"/>
              <w:ind w:firstLine="0"/>
              <w:jc w:val="left"/>
            </w:pPr>
            <w:r>
              <w:rPr>
                <w:rFonts w:hint="eastAsia"/>
              </w:rPr>
              <w:t>加入虚拟网线的物理接口1。</w:t>
            </w:r>
          </w:p>
        </w:tc>
      </w:tr>
      <w:tr w14:paraId="6138A46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34" w:type="dxa"/>
            <w:shd w:val="clear" w:color="auto" w:fill="auto"/>
          </w:tcPr>
          <w:p w14:paraId="059AE12A">
            <w:pPr>
              <w:pStyle w:val="186"/>
              <w:widowControl w:val="0"/>
              <w:spacing w:line="240" w:lineRule="auto"/>
              <w:ind w:firstLine="0"/>
              <w:jc w:val="left"/>
            </w:pPr>
            <w:r>
              <w:rPr>
                <w:rFonts w:hint="eastAsia"/>
              </w:rPr>
              <w:t>接口2</w:t>
            </w:r>
          </w:p>
        </w:tc>
        <w:tc>
          <w:tcPr>
            <w:tcW w:w="6299" w:type="dxa"/>
            <w:shd w:val="clear" w:color="auto" w:fill="auto"/>
          </w:tcPr>
          <w:p w14:paraId="21BCC0AE">
            <w:pPr>
              <w:pStyle w:val="186"/>
              <w:widowControl w:val="0"/>
              <w:spacing w:line="240" w:lineRule="auto"/>
              <w:ind w:firstLine="0"/>
              <w:jc w:val="left"/>
            </w:pPr>
            <w:r>
              <w:rPr>
                <w:rFonts w:hint="eastAsia"/>
              </w:rPr>
              <w:t>加入虚拟网线的物理接口</w:t>
            </w:r>
            <w:r>
              <w:t>2</w:t>
            </w:r>
            <w:r>
              <w:rPr>
                <w:rFonts w:hint="eastAsia"/>
              </w:rPr>
              <w:t>。接口1和接口2不能为同一接口。</w:t>
            </w:r>
          </w:p>
        </w:tc>
      </w:tr>
      <w:tr w14:paraId="45E9BD8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34" w:type="dxa"/>
            <w:shd w:val="clear" w:color="auto" w:fill="auto"/>
          </w:tcPr>
          <w:p w14:paraId="55090C44">
            <w:pPr>
              <w:pStyle w:val="186"/>
              <w:widowControl w:val="0"/>
              <w:spacing w:line="240" w:lineRule="auto"/>
              <w:ind w:firstLine="0"/>
              <w:jc w:val="left"/>
            </w:pPr>
            <w:r>
              <w:t>VLAN</w:t>
            </w:r>
            <w:r>
              <w:rPr>
                <w:rFonts w:hint="eastAsia"/>
              </w:rPr>
              <w:t>允许范围</w:t>
            </w:r>
          </w:p>
        </w:tc>
        <w:tc>
          <w:tcPr>
            <w:tcW w:w="6299" w:type="dxa"/>
            <w:shd w:val="clear" w:color="auto" w:fill="auto"/>
          </w:tcPr>
          <w:p w14:paraId="572873A7">
            <w:pPr>
              <w:pStyle w:val="186"/>
              <w:widowControl w:val="0"/>
              <w:spacing w:line="240" w:lineRule="auto"/>
              <w:ind w:firstLine="0"/>
              <w:jc w:val="left"/>
              <w:rPr>
                <w:rFonts w:asciiTheme="minorEastAsia" w:hAnsiTheme="minorEastAsia" w:eastAsiaTheme="minorEastAsia"/>
              </w:rPr>
            </w:pPr>
            <w:r>
              <w:rPr>
                <w:rFonts w:hint="eastAsia"/>
              </w:rPr>
              <w:t>指定允许通过虚拟网线进行通讯的VLAN ID。VLAN0表示untag报文，即不带有VLAN标签的报文。</w:t>
            </w:r>
          </w:p>
        </w:tc>
      </w:tr>
      <w:tr w14:paraId="30652CC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34" w:type="dxa"/>
            <w:shd w:val="clear" w:color="auto" w:fill="auto"/>
          </w:tcPr>
          <w:p w14:paraId="331911E1">
            <w:pPr>
              <w:pStyle w:val="186"/>
              <w:widowControl w:val="0"/>
              <w:spacing w:line="240" w:lineRule="auto"/>
              <w:ind w:firstLine="0"/>
              <w:jc w:val="left"/>
            </w:pPr>
            <w:r>
              <w:rPr>
                <w:rFonts w:hint="eastAsia"/>
              </w:rPr>
              <w:t>端口联动</w:t>
            </w:r>
          </w:p>
        </w:tc>
        <w:tc>
          <w:tcPr>
            <w:tcW w:w="6299" w:type="dxa"/>
            <w:shd w:val="clear" w:color="auto" w:fill="auto"/>
          </w:tcPr>
          <w:p w14:paraId="63CFA7CC">
            <w:pPr>
              <w:pStyle w:val="186"/>
              <w:widowControl w:val="0"/>
              <w:spacing w:line="240" w:lineRule="auto"/>
              <w:ind w:firstLine="0"/>
              <w:jc w:val="left"/>
            </w:pPr>
            <w:r>
              <w:rPr>
                <w:rFonts w:hint="eastAsia"/>
              </w:rPr>
              <w:t>勾选复选框启用端口联动功能。启用后，虚拟网线两端的接口始终保持一致状态。</w:t>
            </w:r>
          </w:p>
        </w:tc>
      </w:tr>
    </w:tbl>
    <w:p w14:paraId="3472B451"/>
    <w:p w14:paraId="2F7C56DA">
      <w:pPr>
        <w:pStyle w:val="4"/>
      </w:pPr>
      <w:bookmarkStart w:id="1575" w:name="_Toc141873359"/>
      <w:bookmarkStart w:id="1576" w:name="_Toc23152496"/>
      <w:bookmarkStart w:id="1577" w:name="_Toc474249921"/>
      <w:bookmarkStart w:id="1578" w:name="_Toc194080688"/>
      <w:bookmarkStart w:id="1579" w:name="_Toc15484730"/>
      <w:bookmarkStart w:id="1580" w:name="_Toc40275929"/>
      <w:bookmarkStart w:id="1581" w:name="_Toc99561420"/>
      <w:bookmarkStart w:id="1582" w:name="_Toc196728020"/>
      <w:bookmarkStart w:id="1583" w:name="_Toc172218061"/>
      <w:bookmarkStart w:id="1584" w:name="_Toc142400875"/>
      <w:r>
        <w:rPr>
          <w:rFonts w:hint="eastAsia"/>
        </w:rPr>
        <w:t>配置IPv6隧道接口</w:t>
      </w:r>
      <w:bookmarkEnd w:id="1575"/>
      <w:bookmarkEnd w:id="1576"/>
      <w:bookmarkEnd w:id="1577"/>
      <w:bookmarkEnd w:id="1578"/>
      <w:bookmarkEnd w:id="1579"/>
      <w:bookmarkEnd w:id="1580"/>
      <w:bookmarkEnd w:id="1581"/>
      <w:bookmarkEnd w:id="1582"/>
      <w:bookmarkEnd w:id="1583"/>
      <w:bookmarkEnd w:id="1584"/>
    </w:p>
    <w:p w14:paraId="501CB15A">
      <w:pPr>
        <w:pStyle w:val="5"/>
      </w:pPr>
      <w:bookmarkStart w:id="1585" w:name="_Toc141873360"/>
      <w:bookmarkStart w:id="1586" w:name="_Toc23152497"/>
      <w:bookmarkStart w:id="1587" w:name="_Toc474249922"/>
      <w:bookmarkStart w:id="1588" w:name="_Toc142400876"/>
      <w:bookmarkStart w:id="1589" w:name="_Toc196728021"/>
      <w:bookmarkStart w:id="1590" w:name="_Toc172218062"/>
      <w:bookmarkStart w:id="1591" w:name="_Toc99561421"/>
      <w:bookmarkStart w:id="1592" w:name="_Toc15484731"/>
      <w:bookmarkStart w:id="1593" w:name="_Toc40275930"/>
      <w:bookmarkStart w:id="1594" w:name="_Toc194080689"/>
      <w:r>
        <w:rPr>
          <w:rFonts w:hint="eastAsia"/>
        </w:rPr>
        <w:t>隧道技术概述</w:t>
      </w:r>
      <w:bookmarkEnd w:id="1585"/>
      <w:bookmarkEnd w:id="1586"/>
      <w:bookmarkEnd w:id="1587"/>
      <w:bookmarkEnd w:id="1588"/>
      <w:bookmarkEnd w:id="1589"/>
      <w:bookmarkEnd w:id="1590"/>
      <w:bookmarkEnd w:id="1591"/>
      <w:bookmarkEnd w:id="1592"/>
      <w:bookmarkEnd w:id="1593"/>
      <w:bookmarkEnd w:id="1594"/>
    </w:p>
    <w:p w14:paraId="77CCA076">
      <w:r>
        <w:rPr>
          <w:rFonts w:hint="eastAsia"/>
        </w:rPr>
        <w:t>隧道技术是一种通过互联网络基础设施在网络之间传递数据的方式。使用隧道传递的数据可以是不同协议的数据帧或包，隧道协议将这些其它协议的数据帧或包重新封装在新的包头中发送，被封装的数据包在隧道的两个端点之间通过公共互联网络进行路由，一旦到达网络终点，数据将被解包并转发到最终目的地。整个传递过程中，被封装的数据包在公共互联网络上传递时所经过的逻辑路径称为隧道。</w:t>
      </w:r>
    </w:p>
    <w:p w14:paraId="0034B5BF">
      <w:r>
        <w:rPr>
          <w:rFonts w:hint="eastAsia"/>
        </w:rPr>
        <w:t>简言之，隧道技术是指包括数据封装，传输和解包在内的全过程。</w:t>
      </w:r>
    </w:p>
    <w:p w14:paraId="012D2301">
      <w:r>
        <w:rPr>
          <w:rFonts w:hint="eastAsia"/>
        </w:rPr>
        <w:t>本设备支持两种封装模式的隧道接口：</w:t>
      </w:r>
      <w:r>
        <w:t>IPsec</w:t>
      </w:r>
      <w:r>
        <w:rPr>
          <w:rFonts w:hint="eastAsia"/>
        </w:rPr>
        <w:t>封装和</w:t>
      </w:r>
      <w:r>
        <w:t>IPv6</w:t>
      </w:r>
      <w:r>
        <w:rPr>
          <w:rFonts w:hint="eastAsia"/>
        </w:rPr>
        <w:t>封装。本章重点讲解</w:t>
      </w:r>
      <w:r>
        <w:t>IPv6</w:t>
      </w:r>
      <w:r>
        <w:rPr>
          <w:rFonts w:hint="eastAsia"/>
        </w:rPr>
        <w:t>封装模式的隧道接口，关于</w:t>
      </w:r>
      <w:r>
        <w:t>IPsec</w:t>
      </w:r>
      <w:r>
        <w:rPr>
          <w:rFonts w:hint="eastAsia"/>
        </w:rPr>
        <w:t>封装的详细介绍，请参见</w:t>
      </w:r>
      <w:r>
        <w:fldChar w:fldCharType="begin"/>
      </w:r>
      <w:r>
        <w:instrText xml:space="preserve"> </w:instrText>
      </w:r>
      <w:r>
        <w:rPr>
          <w:rFonts w:hint="eastAsia"/>
        </w:rPr>
        <w:instrText xml:space="preserve">REF _Ref392838025 \h</w:instrText>
      </w:r>
      <w:r>
        <w:instrText xml:space="preserve"> </w:instrText>
      </w:r>
      <w:r>
        <w:fldChar w:fldCharType="separate"/>
      </w:r>
      <w:r>
        <w:rPr>
          <w:rFonts w:hint="eastAsia"/>
        </w:rPr>
        <w:t>配置IPsec隧道接口</w:t>
      </w:r>
      <w:r>
        <w:fldChar w:fldCharType="end"/>
      </w:r>
      <w:r>
        <w:rPr>
          <w:rFonts w:hint="eastAsia"/>
        </w:rPr>
        <w:t>。</w:t>
      </w:r>
    </w:p>
    <w:p w14:paraId="3BA47CD6">
      <w:pPr>
        <w:pStyle w:val="5"/>
      </w:pPr>
      <w:bookmarkStart w:id="1595" w:name="_Toc23152498"/>
      <w:bookmarkStart w:id="1596" w:name="_Toc15484732"/>
      <w:bookmarkStart w:id="1597" w:name="_Toc40275931"/>
      <w:bookmarkStart w:id="1598" w:name="_Toc141873361"/>
      <w:bookmarkStart w:id="1599" w:name="_Toc194080690"/>
      <w:bookmarkStart w:id="1600" w:name="_Toc142400877"/>
      <w:bookmarkStart w:id="1601" w:name="_Toc99561422"/>
      <w:bookmarkStart w:id="1602" w:name="_Toc172218063"/>
      <w:bookmarkStart w:id="1603" w:name="_Toc196728022"/>
      <w:bookmarkStart w:id="1604" w:name="_Toc474249923"/>
      <w:r>
        <w:rPr>
          <w:rFonts w:hint="eastAsia"/>
        </w:rPr>
        <w:t>IPv6隧道接口创建</w:t>
      </w:r>
      <w:bookmarkEnd w:id="1595"/>
      <w:bookmarkEnd w:id="1596"/>
      <w:bookmarkEnd w:id="1597"/>
      <w:bookmarkEnd w:id="1598"/>
      <w:bookmarkEnd w:id="1599"/>
      <w:bookmarkEnd w:id="1600"/>
      <w:bookmarkEnd w:id="1601"/>
      <w:bookmarkEnd w:id="1602"/>
      <w:bookmarkEnd w:id="1603"/>
      <w:bookmarkEnd w:id="1604"/>
    </w:p>
    <w:p w14:paraId="3055EAAF">
      <w:r>
        <w:rPr>
          <w:rFonts w:hint="eastAsia"/>
        </w:rPr>
        <w:t>通过菜单“网络配置&gt; 基础网络&gt;IPv6网络</w:t>
      </w:r>
      <w:r>
        <w:t>&gt;IPv6</w:t>
      </w:r>
      <w:r>
        <w:rPr>
          <w:rFonts w:hint="eastAsia"/>
        </w:rPr>
        <w:t>隧道”使用该功能。如</w:t>
      </w:r>
      <w:r>
        <w:rPr>
          <w:color w:val="0000FF"/>
          <w:u w:val="single"/>
        </w:rPr>
        <w:fldChar w:fldCharType="begin"/>
      </w:r>
      <w:r>
        <w:rPr>
          <w:color w:val="0000FF"/>
          <w:u w:val="single"/>
        </w:rPr>
        <w:instrText xml:space="preserve"> </w:instrText>
      </w:r>
      <w:r>
        <w:rPr>
          <w:rFonts w:hint="eastAsia"/>
          <w:color w:val="0000FF"/>
          <w:u w:val="single"/>
        </w:rPr>
        <w:instrText xml:space="preserve">REF _Ref407451365 \r \h</w:instrText>
      </w:r>
      <w:r>
        <w:rPr>
          <w:color w:val="0000FF"/>
          <w:u w:val="single"/>
        </w:rPr>
        <w:instrText xml:space="preserve"> </w:instrText>
      </w:r>
      <w:r>
        <w:rPr>
          <w:color w:val="0000FF"/>
          <w:u w:val="single"/>
        </w:rPr>
        <w:fldChar w:fldCharType="separate"/>
      </w:r>
      <w:r>
        <w:rPr>
          <w:rFonts w:hint="eastAsia"/>
          <w:color w:val="0000FF"/>
          <w:u w:val="single"/>
        </w:rPr>
        <w:t>图6-22</w:t>
      </w:r>
      <w:r>
        <w:rPr>
          <w:color w:val="0000FF"/>
          <w:u w:val="single"/>
        </w:rPr>
        <w:fldChar w:fldCharType="end"/>
      </w:r>
      <w:r>
        <w:rPr>
          <w:rFonts w:hint="eastAsia"/>
        </w:rPr>
        <w:t>所示，点击</w:t>
      </w:r>
      <w:r>
        <w:t>&lt;</w:t>
      </w:r>
      <w:r>
        <w:rPr>
          <w:rFonts w:hint="eastAsia"/>
        </w:rPr>
        <w:t>新建</w:t>
      </w:r>
      <w:r>
        <w:t>&gt;</w:t>
      </w:r>
      <w:r>
        <w:rPr>
          <w:rFonts w:hint="eastAsia"/>
        </w:rPr>
        <w:t>按钮，切换到</w:t>
      </w:r>
      <w:r>
        <w:t>IPv6</w:t>
      </w:r>
      <w:r>
        <w:rPr>
          <w:rFonts w:hint="eastAsia"/>
        </w:rPr>
        <w:t>隧道新建界面。</w:t>
      </w:r>
    </w:p>
    <w:p w14:paraId="6B18F890">
      <w:pPr>
        <w:pStyle w:val="188"/>
      </w:pPr>
      <w:bookmarkStart w:id="1605" w:name="_Ref407451365"/>
      <w:bookmarkStart w:id="1606" w:name="_Toc141874557"/>
      <w:r>
        <w:rPr>
          <w:rFonts w:hint="eastAsia"/>
        </w:rPr>
        <w:t>IPv6隧道接口新建界面</w:t>
      </w:r>
      <w:bookmarkEnd w:id="1605"/>
      <w:bookmarkEnd w:id="1606"/>
    </w:p>
    <w:p w14:paraId="3804A6F9">
      <w:r>
        <w:t xml:space="preserve"> </w:t>
      </w:r>
      <w:r>
        <w:drawing>
          <wp:inline distT="0" distB="0" distL="0" distR="0">
            <wp:extent cx="4504690" cy="3037840"/>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231"/>
                    <a:stretch>
                      <a:fillRect/>
                    </a:stretch>
                  </pic:blipFill>
                  <pic:spPr>
                    <a:xfrm>
                      <a:off x="0" y="0"/>
                      <a:ext cx="4504762" cy="3038095"/>
                    </a:xfrm>
                    <a:prstGeom prst="rect">
                      <a:avLst/>
                    </a:prstGeom>
                  </pic:spPr>
                </pic:pic>
              </a:graphicData>
            </a:graphic>
          </wp:inline>
        </w:drawing>
      </w:r>
    </w:p>
    <w:p w14:paraId="25865F46"/>
    <w:p w14:paraId="2F01B87A">
      <w:pPr>
        <w:pStyle w:val="183"/>
      </w:pPr>
      <w:bookmarkStart w:id="1607" w:name="_Toc141875478"/>
      <w:r>
        <w:rPr>
          <w:rFonts w:hint="eastAsia"/>
        </w:rPr>
        <w:t>配置说明</w:t>
      </w:r>
      <w:bookmarkEnd w:id="1607"/>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363"/>
        <w:gridCol w:w="7651"/>
      </w:tblGrid>
      <w:tr w14:paraId="072A1B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56" w:type="dxa"/>
            <w:tcBorders>
              <w:tl2br w:val="nil"/>
              <w:tr2bl w:val="nil"/>
            </w:tcBorders>
            <w:shd w:val="clear" w:color="auto" w:fill="538135" w:themeFill="accent6" w:themeFillShade="BF"/>
            <w:vAlign w:val="center"/>
          </w:tcPr>
          <w:p w14:paraId="700EF510">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7612" w:type="dxa"/>
            <w:tcBorders>
              <w:tl2br w:val="nil"/>
              <w:tr2bl w:val="nil"/>
            </w:tcBorders>
            <w:shd w:val="clear" w:color="auto" w:fill="538135" w:themeFill="accent6" w:themeFillShade="BF"/>
            <w:vAlign w:val="center"/>
          </w:tcPr>
          <w:p w14:paraId="08DC515D">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73C83C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56" w:type="dxa"/>
            <w:shd w:val="clear" w:color="auto" w:fill="auto"/>
          </w:tcPr>
          <w:p w14:paraId="7573985A">
            <w:pPr>
              <w:pStyle w:val="186"/>
              <w:widowControl w:val="0"/>
              <w:spacing w:line="240" w:lineRule="auto"/>
              <w:ind w:firstLine="0"/>
              <w:jc w:val="left"/>
            </w:pPr>
            <w:r>
              <w:rPr>
                <w:rFonts w:hint="eastAsia"/>
              </w:rPr>
              <w:t>名称</w:t>
            </w:r>
          </w:p>
        </w:tc>
        <w:tc>
          <w:tcPr>
            <w:tcW w:w="7612" w:type="dxa"/>
            <w:shd w:val="clear" w:color="auto" w:fill="auto"/>
          </w:tcPr>
          <w:p w14:paraId="6EA8A7DC">
            <w:pPr>
              <w:pStyle w:val="186"/>
              <w:widowControl w:val="0"/>
              <w:spacing w:line="240" w:lineRule="auto"/>
              <w:ind w:firstLine="0"/>
              <w:jc w:val="left"/>
            </w:pPr>
            <w:r>
              <w:rPr>
                <w:rFonts w:hint="eastAsia"/>
              </w:rPr>
              <w:t>创建时会根据当前tunnel id的使用情况，给一个推荐的可用的tunnel id</w:t>
            </w:r>
          </w:p>
        </w:tc>
      </w:tr>
      <w:tr w14:paraId="0E50D0F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56" w:type="dxa"/>
            <w:shd w:val="clear" w:color="auto" w:fill="auto"/>
          </w:tcPr>
          <w:p w14:paraId="47994A6E">
            <w:pPr>
              <w:pStyle w:val="186"/>
              <w:widowControl w:val="0"/>
              <w:spacing w:line="240" w:lineRule="auto"/>
              <w:ind w:firstLine="0"/>
              <w:jc w:val="left"/>
            </w:pPr>
            <w:r>
              <w:rPr>
                <w:rFonts w:hint="eastAsia"/>
              </w:rPr>
              <w:t>隧道模式</w:t>
            </w:r>
          </w:p>
        </w:tc>
        <w:tc>
          <w:tcPr>
            <w:tcW w:w="7612" w:type="dxa"/>
            <w:shd w:val="clear" w:color="auto" w:fill="auto"/>
          </w:tcPr>
          <w:p w14:paraId="5EC93A92">
            <w:pPr>
              <w:pStyle w:val="186"/>
              <w:widowControl w:val="0"/>
              <w:spacing w:line="240" w:lineRule="auto"/>
              <w:ind w:firstLine="0"/>
              <w:jc w:val="left"/>
            </w:pPr>
            <w:r>
              <w:rPr>
                <w:rFonts w:hint="eastAsia"/>
              </w:rPr>
              <w:t>一共三种模式：手工隧道（manual），isatap和6to4，点击不同的单选按钮，出现不同的配置选项（上</w:t>
            </w:r>
            <w:r>
              <w:t>图</w:t>
            </w:r>
            <w:r>
              <w:rPr>
                <w:rFonts w:hint="eastAsia"/>
              </w:rPr>
              <w:t>是manual模式的配置选项）。</w:t>
            </w:r>
          </w:p>
          <w:p w14:paraId="68D8E05B">
            <w:pPr>
              <w:pStyle w:val="186"/>
              <w:widowControl w:val="0"/>
              <w:spacing w:line="240" w:lineRule="auto"/>
              <w:ind w:firstLine="0"/>
              <w:jc w:val="left"/>
            </w:pPr>
            <w:r>
              <w:rPr>
                <w:rFonts w:hint="eastAsia"/>
              </w:rPr>
              <w:t>IPv6手工隧道：手工指定隧道的源地址和目的地址。源地址是封装隧道报文时外层封装所使用的源IPv4地址或指定接口的主IP地址，目的地址是封装隧道报文时外层封装所使用的目的IPv4地址。</w:t>
            </w:r>
          </w:p>
          <w:p w14:paraId="632403C9">
            <w:pPr>
              <w:pStyle w:val="186"/>
              <w:widowControl w:val="0"/>
              <w:spacing w:line="240" w:lineRule="auto"/>
              <w:ind w:firstLine="0"/>
              <w:jc w:val="left"/>
            </w:pPr>
            <w:r>
              <w:rPr>
                <w:rFonts w:hint="eastAsia"/>
              </w:rPr>
              <w:t>IPv6 over IPv4是一种IPv6过渡机制，其机制是将IPv6 报文前封装IPv4 的报文头，通过隧道方式使IPv6报文穿越IPv4网络，实现隔离的IPv6网络互通。根据隧道终点IPv4地址的获取方式不同，IPv6 over IPv4隧道分为“手工隧道”及“自动隧道”两种类型。如果隧道的终点地址无法从IPv6报文的目的地址中自动获取，需要进行手工配置，这种隧道即为手工隧道；如果隧道的接口地址采用内嵌IPv4地址的特殊IPv6地址形式，即可以从IPv6报文的目的地址中自动获取隧道终点的IPv4地址，这种隧道即为自动隧道。本文所述的配置适用于手工隧道。</w:t>
            </w:r>
          </w:p>
          <w:p w14:paraId="77B2121A">
            <w:pPr>
              <w:pStyle w:val="186"/>
              <w:widowControl w:val="0"/>
              <w:spacing w:line="240" w:lineRule="auto"/>
              <w:ind w:firstLine="0"/>
              <w:jc w:val="left"/>
            </w:pPr>
            <w:r>
              <w:rPr>
                <w:rFonts w:hint="eastAsia"/>
              </w:rPr>
              <w:t>ISATAP：ISATAP隧道是点到点的自动隧道技术，通过在IPv6报文的目的地址中嵌入的IPv4地址，可以自动获取隧道的终点。该模式需要用户配置隧道的源地址（同手工隧道配置）和隧道接口的主IPv6地址。</w:t>
            </w:r>
          </w:p>
          <w:p w14:paraId="056D78B8">
            <w:pPr>
              <w:pStyle w:val="186"/>
              <w:widowControl w:val="0"/>
              <w:spacing w:line="240" w:lineRule="auto"/>
              <w:ind w:firstLine="0"/>
              <w:jc w:val="left"/>
            </w:pPr>
            <w:r>
              <w:rPr>
                <w:rFonts w:hint="eastAsia"/>
              </w:rPr>
              <w:t>ISATAP隧道允许通过IPv4网络上的双栈节点传输IPv6报文。支持ISATAP的双栈主机会自动在该隧道接口上生成本地链路的前缀（fe80::开头）和64位的接口标识符（::0:5EFE:X.X.X.X，其中X.X.X.X是双栈主机的IPv4单播地址)，以便与同一子网内的其他ISATAP客户机进行IPv6通讯；如果需要与其他网络的ISPTAP客户机或者IPv6网络通讯，必须通过ISATAP路由器获取全球单播地址前缀（2001:, 2002:, 3ffe:）。</w:t>
            </w:r>
          </w:p>
          <w:p w14:paraId="53BCD554">
            <w:pPr>
              <w:pStyle w:val="186"/>
              <w:widowControl w:val="0"/>
              <w:spacing w:line="240" w:lineRule="auto"/>
              <w:ind w:firstLine="0"/>
              <w:jc w:val="left"/>
            </w:pPr>
            <w:r>
              <w:rPr>
                <w:rFonts w:hint="eastAsia"/>
              </w:rPr>
              <w:t>6to4：用户只需手动指定隧道的源地址（同手工隧道配置）。每个站点必须至少有一台6to4路由器作为出入口，使用特定的地址格式（地址前缀为2002:开头）并将路由器的IPv4地址加入到IPv6地址中，因此位于不同6to4站点内的主机彼此通讯时可自动抽取IPv4地址在路由器之间建立隧道。</w:t>
            </w:r>
          </w:p>
        </w:tc>
      </w:tr>
      <w:tr w14:paraId="74C74B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56" w:type="dxa"/>
            <w:shd w:val="clear" w:color="auto" w:fill="auto"/>
          </w:tcPr>
          <w:p w14:paraId="4D6E0260">
            <w:pPr>
              <w:pStyle w:val="186"/>
              <w:widowControl w:val="0"/>
              <w:spacing w:line="240" w:lineRule="auto"/>
              <w:ind w:firstLine="0"/>
              <w:jc w:val="left"/>
            </w:pPr>
            <w:r>
              <w:rPr>
                <w:rFonts w:hint="eastAsia"/>
              </w:rPr>
              <w:t>隧道源</w:t>
            </w:r>
          </w:p>
        </w:tc>
        <w:tc>
          <w:tcPr>
            <w:tcW w:w="7612" w:type="dxa"/>
            <w:shd w:val="clear" w:color="auto" w:fill="auto"/>
          </w:tcPr>
          <w:p w14:paraId="105E0ADF">
            <w:pPr>
              <w:pStyle w:val="186"/>
              <w:widowControl w:val="0"/>
              <w:spacing w:line="240" w:lineRule="auto"/>
              <w:ind w:firstLine="0"/>
              <w:jc w:val="left"/>
            </w:pPr>
            <w:r>
              <w:rPr>
                <w:rFonts w:hint="eastAsia"/>
              </w:rPr>
              <w:t>隧道的源地址模式：</w:t>
            </w:r>
          </w:p>
          <w:p w14:paraId="02D3D95E">
            <w:pPr>
              <w:pStyle w:val="186"/>
              <w:widowControl w:val="0"/>
              <w:spacing w:line="240" w:lineRule="auto"/>
              <w:ind w:firstLine="0"/>
              <w:jc w:val="left"/>
            </w:pPr>
            <w:r>
              <w:rPr>
                <w:rFonts w:hint="eastAsia"/>
              </w:rPr>
              <w:t>选择地址模式时，使用源地址作为隧道源</w:t>
            </w:r>
          </w:p>
          <w:p w14:paraId="1446A226">
            <w:pPr>
              <w:pStyle w:val="186"/>
              <w:widowControl w:val="0"/>
              <w:spacing w:line="240" w:lineRule="auto"/>
              <w:ind w:firstLine="0"/>
              <w:jc w:val="left"/>
            </w:pPr>
            <w:r>
              <w:rPr>
                <w:rFonts w:hint="eastAsia"/>
              </w:rPr>
              <w:t>选择接口模式时，选择设备上的接口作为隧道源</w:t>
            </w:r>
          </w:p>
        </w:tc>
      </w:tr>
      <w:tr w14:paraId="31C995F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56" w:type="dxa"/>
            <w:shd w:val="clear" w:color="auto" w:fill="auto"/>
          </w:tcPr>
          <w:p w14:paraId="1CB0C05E">
            <w:pPr>
              <w:pStyle w:val="186"/>
              <w:widowControl w:val="0"/>
              <w:spacing w:line="240" w:lineRule="auto"/>
              <w:ind w:firstLine="0"/>
              <w:jc w:val="left"/>
            </w:pPr>
            <w:r>
              <w:rPr>
                <w:rFonts w:hint="eastAsia"/>
              </w:rPr>
              <w:t>隧道目的</w:t>
            </w:r>
          </w:p>
        </w:tc>
        <w:tc>
          <w:tcPr>
            <w:tcW w:w="7612" w:type="dxa"/>
            <w:shd w:val="clear" w:color="auto" w:fill="auto"/>
          </w:tcPr>
          <w:p w14:paraId="43D086A1">
            <w:pPr>
              <w:pStyle w:val="186"/>
              <w:widowControl w:val="0"/>
              <w:spacing w:line="240" w:lineRule="auto"/>
              <w:ind w:firstLine="0"/>
              <w:jc w:val="left"/>
            </w:pPr>
            <w:r>
              <w:rPr>
                <w:rFonts w:hint="eastAsia"/>
              </w:rPr>
              <w:t>隧道接口的目的地址，只有manual模式时需要填写</w:t>
            </w:r>
          </w:p>
        </w:tc>
      </w:tr>
    </w:tbl>
    <w:p w14:paraId="1D8B2FE0"/>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0EDB8FB9">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3A01C296">
            <w:pPr>
              <w:pStyle w:val="150"/>
              <w:adjustRightInd w:val="0"/>
              <w:snapToGrid w:val="0"/>
              <w:rPr>
                <w:color w:val="auto"/>
              </w:rPr>
            </w:pPr>
            <w:bookmarkStart w:id="1608" w:name="OLE_LINK13"/>
            <w:r>
              <w:rPr>
                <w:b/>
                <w:color w:val="00A0E9"/>
              </w:rPr>
              <w:drawing>
                <wp:inline distT="0" distB="0" distL="0" distR="0">
                  <wp:extent cx="260350" cy="260350"/>
                  <wp:effectExtent l="0" t="0" r="6350" b="635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0470" cy="260470"/>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2FE56835">
            <w:pPr>
              <w:pStyle w:val="150"/>
              <w:adjustRightInd w:val="0"/>
              <w:snapToGrid w:val="0"/>
              <w:rPr>
                <w:color w:val="auto"/>
              </w:rPr>
            </w:pPr>
            <w:r>
              <w:rPr>
                <w:rFonts w:hint="eastAsia"/>
                <w:color w:val="auto"/>
              </w:rPr>
              <w:t>每个接口都能分别配置不同的封装模式，但每次只能配置一种方式，且在接口创建时就指定，不能修改。</w:t>
            </w:r>
          </w:p>
        </w:tc>
      </w:tr>
      <w:bookmarkEnd w:id="1608"/>
    </w:tbl>
    <w:p w14:paraId="254269F3"/>
    <w:p w14:paraId="7FE7528F">
      <w:r>
        <w:rPr>
          <w:rFonts w:hint="eastAsia"/>
        </w:rPr>
        <w:t>如</w:t>
      </w:r>
      <w:r>
        <w:fldChar w:fldCharType="begin"/>
      </w:r>
      <w:r>
        <w:instrText xml:space="preserve"> </w:instrText>
      </w:r>
      <w:r>
        <w:rPr>
          <w:rFonts w:hint="eastAsia"/>
        </w:rPr>
        <w:instrText xml:space="preserve">REF _Ref407451384 \r \h</w:instrText>
      </w:r>
      <w:r>
        <w:instrText xml:space="preserve"> </w:instrText>
      </w:r>
      <w:r>
        <w:fldChar w:fldCharType="separate"/>
      </w:r>
      <w:r>
        <w:rPr>
          <w:rFonts w:hint="eastAsia"/>
        </w:rPr>
        <w:t>图6-23</w:t>
      </w:r>
      <w:r>
        <w:fldChar w:fldCharType="end"/>
      </w:r>
      <w:r>
        <w:t>、</w:t>
      </w:r>
      <w:r>
        <w:fldChar w:fldCharType="begin"/>
      </w:r>
      <w:r>
        <w:instrText xml:space="preserve"> REF _Ref497225859 \r \h </w:instrText>
      </w:r>
      <w:r>
        <w:fldChar w:fldCharType="separate"/>
      </w:r>
      <w:r>
        <w:rPr>
          <w:rFonts w:hint="eastAsia"/>
        </w:rPr>
        <w:t>图6-24</w:t>
      </w:r>
      <w:r>
        <w:fldChar w:fldCharType="end"/>
      </w:r>
      <w:r>
        <w:rPr>
          <w:rFonts w:hint="eastAsia"/>
        </w:rPr>
        <w:t>所示，下面是</w:t>
      </w:r>
      <w:r>
        <w:t>isatap</w:t>
      </w:r>
      <w:r>
        <w:rPr>
          <w:rFonts w:hint="eastAsia"/>
        </w:rPr>
        <w:t>和</w:t>
      </w:r>
      <w:r>
        <w:t>6to4</w:t>
      </w:r>
      <w:r>
        <w:rPr>
          <w:rFonts w:hint="eastAsia"/>
        </w:rPr>
        <w:t>的配置选项。相比</w:t>
      </w:r>
      <w:r>
        <w:t>manual</w:t>
      </w:r>
      <w:r>
        <w:rPr>
          <w:rFonts w:hint="eastAsia"/>
        </w:rPr>
        <w:t>，</w:t>
      </w:r>
      <w:r>
        <w:t>isatap</w:t>
      </w:r>
      <w:r>
        <w:rPr>
          <w:rFonts w:hint="eastAsia"/>
        </w:rPr>
        <w:t>和</w:t>
      </w:r>
      <w:r>
        <w:t>6to4</w:t>
      </w:r>
      <w:r>
        <w:rPr>
          <w:rFonts w:hint="eastAsia"/>
        </w:rPr>
        <w:t>少了隧道目的地址的配置。</w:t>
      </w:r>
    </w:p>
    <w:p w14:paraId="68573C7F">
      <w:pPr>
        <w:pStyle w:val="188"/>
      </w:pPr>
      <w:bookmarkStart w:id="1609" w:name="_Toc141874558"/>
      <w:bookmarkStart w:id="1610" w:name="_Ref407451384"/>
      <w:r>
        <w:rPr>
          <w:rFonts w:hint="eastAsia"/>
        </w:rPr>
        <w:t>隧道接口isatap模式</w:t>
      </w:r>
      <w:bookmarkEnd w:id="1609"/>
      <w:bookmarkEnd w:id="1610"/>
    </w:p>
    <w:p w14:paraId="75B8BA69">
      <w:r>
        <w:t xml:space="preserve"> </w:t>
      </w:r>
      <w:r>
        <w:drawing>
          <wp:inline distT="0" distB="0" distL="0" distR="0">
            <wp:extent cx="4685665" cy="2933065"/>
            <wp:effectExtent l="0" t="0" r="635" b="635"/>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232"/>
                    <a:stretch>
                      <a:fillRect/>
                    </a:stretch>
                  </pic:blipFill>
                  <pic:spPr>
                    <a:xfrm>
                      <a:off x="0" y="0"/>
                      <a:ext cx="4685714" cy="2933333"/>
                    </a:xfrm>
                    <a:prstGeom prst="rect">
                      <a:avLst/>
                    </a:prstGeom>
                  </pic:spPr>
                </pic:pic>
              </a:graphicData>
            </a:graphic>
          </wp:inline>
        </w:drawing>
      </w:r>
    </w:p>
    <w:p w14:paraId="4AD44C06"/>
    <w:p w14:paraId="4D756203">
      <w:pPr>
        <w:pStyle w:val="188"/>
      </w:pPr>
      <w:bookmarkStart w:id="1611" w:name="_Ref497225859"/>
      <w:bookmarkStart w:id="1612" w:name="_Toc141874559"/>
      <w:r>
        <w:rPr>
          <w:rFonts w:hint="eastAsia"/>
        </w:rPr>
        <w:t>隧道接口6to4模式</w:t>
      </w:r>
      <w:bookmarkEnd w:id="1611"/>
      <w:bookmarkEnd w:id="1612"/>
    </w:p>
    <w:p w14:paraId="2B3DF325">
      <w:r>
        <w:drawing>
          <wp:inline distT="0" distB="0" distL="0" distR="0">
            <wp:extent cx="4409440" cy="2637790"/>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233"/>
                    <a:stretch>
                      <a:fillRect/>
                    </a:stretch>
                  </pic:blipFill>
                  <pic:spPr>
                    <a:xfrm>
                      <a:off x="0" y="0"/>
                      <a:ext cx="4409524" cy="2638095"/>
                    </a:xfrm>
                    <a:prstGeom prst="rect">
                      <a:avLst/>
                    </a:prstGeom>
                  </pic:spPr>
                </pic:pic>
              </a:graphicData>
            </a:graphic>
          </wp:inline>
        </w:drawing>
      </w:r>
    </w:p>
    <w:p w14:paraId="02A5950F"/>
    <w:p w14:paraId="2553FFEC">
      <w:pPr>
        <w:pStyle w:val="5"/>
      </w:pPr>
      <w:bookmarkStart w:id="1613" w:name="_Toc474249924"/>
      <w:bookmarkStart w:id="1614" w:name="_Toc15484733"/>
      <w:bookmarkStart w:id="1615" w:name="_Toc23152499"/>
      <w:bookmarkStart w:id="1616" w:name="_Toc40275932"/>
      <w:bookmarkStart w:id="1617" w:name="_Toc141873362"/>
      <w:bookmarkStart w:id="1618" w:name="_Toc142400878"/>
      <w:bookmarkStart w:id="1619" w:name="_Toc172218064"/>
      <w:bookmarkStart w:id="1620" w:name="_Toc194080691"/>
      <w:bookmarkStart w:id="1621" w:name="_Toc196728023"/>
      <w:bookmarkStart w:id="1622" w:name="_Toc99561423"/>
      <w:r>
        <w:rPr>
          <w:rFonts w:hint="eastAsia"/>
        </w:rPr>
        <w:t>IPv6隧道接口修改</w:t>
      </w:r>
      <w:bookmarkEnd w:id="1613"/>
      <w:bookmarkEnd w:id="1614"/>
      <w:bookmarkEnd w:id="1615"/>
      <w:bookmarkEnd w:id="1616"/>
      <w:bookmarkEnd w:id="1617"/>
      <w:bookmarkEnd w:id="1618"/>
      <w:bookmarkEnd w:id="1619"/>
      <w:bookmarkEnd w:id="1620"/>
      <w:bookmarkEnd w:id="1621"/>
      <w:bookmarkEnd w:id="1622"/>
    </w:p>
    <w:p w14:paraId="228DBF4E">
      <w:r>
        <w:rPr>
          <w:rFonts w:hint="eastAsia"/>
        </w:rPr>
        <w:t>如</w:t>
      </w:r>
      <w:r>
        <w:rPr>
          <w:color w:val="0000FF"/>
          <w:u w:val="single"/>
        </w:rPr>
        <w:fldChar w:fldCharType="begin"/>
      </w:r>
      <w:r>
        <w:rPr>
          <w:color w:val="0000FF"/>
          <w:u w:val="single"/>
        </w:rPr>
        <w:instrText xml:space="preserve"> </w:instrText>
      </w:r>
      <w:r>
        <w:rPr>
          <w:rFonts w:hint="eastAsia"/>
          <w:color w:val="0000FF"/>
          <w:u w:val="single"/>
        </w:rPr>
        <w:instrText xml:space="preserve">REF _Ref407451410 \r \h</w:instrText>
      </w:r>
      <w:r>
        <w:rPr>
          <w:color w:val="0000FF"/>
          <w:u w:val="single"/>
        </w:rPr>
        <w:instrText xml:space="preserve"> </w:instrText>
      </w:r>
      <w:r>
        <w:rPr>
          <w:color w:val="0000FF"/>
          <w:u w:val="single"/>
        </w:rPr>
        <w:fldChar w:fldCharType="separate"/>
      </w:r>
      <w:r>
        <w:rPr>
          <w:rFonts w:hint="eastAsia"/>
          <w:color w:val="0000FF"/>
          <w:u w:val="single"/>
        </w:rPr>
        <w:t>图6-25</w:t>
      </w:r>
      <w:r>
        <w:rPr>
          <w:color w:val="0000FF"/>
          <w:u w:val="single"/>
        </w:rPr>
        <w:fldChar w:fldCharType="end"/>
      </w:r>
      <w:r>
        <w:rPr>
          <w:rFonts w:hint="eastAsia"/>
        </w:rPr>
        <w:t>所示，通过菜单“网络配置&gt; 基础网络</w:t>
      </w:r>
      <w:r>
        <w:t xml:space="preserve"> &gt; IPv6</w:t>
      </w:r>
      <w:r>
        <w:rPr>
          <w:rFonts w:hint="eastAsia"/>
        </w:rPr>
        <w:t>网络</w:t>
      </w:r>
      <w:r>
        <w:t xml:space="preserve"> &gt; IPv6</w:t>
      </w:r>
      <w:r>
        <w:rPr>
          <w:rFonts w:hint="eastAsia"/>
        </w:rPr>
        <w:t>隧道”使用该功能。</w:t>
      </w:r>
    </w:p>
    <w:p w14:paraId="32F0D127">
      <w:r>
        <w:rPr>
          <w:rFonts w:hint="eastAsia"/>
        </w:rPr>
        <w:t>点击选定接口的编辑按钮，切换到编辑界面。</w:t>
      </w:r>
    </w:p>
    <w:p w14:paraId="5B949963">
      <w:pPr>
        <w:pStyle w:val="188"/>
      </w:pPr>
      <w:bookmarkStart w:id="1623" w:name="_Ref407451410"/>
      <w:bookmarkStart w:id="1624" w:name="_Toc141874560"/>
      <w:r>
        <w:rPr>
          <w:rFonts w:hint="eastAsia"/>
        </w:rPr>
        <w:t>IPv6隧道接口编辑界面</w:t>
      </w:r>
      <w:bookmarkEnd w:id="1623"/>
      <w:bookmarkEnd w:id="1624"/>
    </w:p>
    <w:p w14:paraId="6ECD4B18">
      <w:r>
        <w:drawing>
          <wp:inline distT="0" distB="0" distL="0" distR="0">
            <wp:extent cx="4629150" cy="2453005"/>
            <wp:effectExtent l="0" t="0" r="0" b="4445"/>
            <wp:docPr id="4939" name="图片 4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9" name="图片 4939"/>
                    <pic:cNvPicPr>
                      <a:picLocks noChangeAspect="1"/>
                    </pic:cNvPicPr>
                  </pic:nvPicPr>
                  <pic:blipFill>
                    <a:blip r:embed="rId234"/>
                    <a:stretch>
                      <a:fillRect/>
                    </a:stretch>
                  </pic:blipFill>
                  <pic:spPr>
                    <a:xfrm>
                      <a:off x="0" y="0"/>
                      <a:ext cx="4631394" cy="2454573"/>
                    </a:xfrm>
                    <a:prstGeom prst="rect">
                      <a:avLst/>
                    </a:prstGeom>
                  </pic:spPr>
                </pic:pic>
              </a:graphicData>
            </a:graphic>
          </wp:inline>
        </w:drawing>
      </w:r>
    </w:p>
    <w:p w14:paraId="54C6D9A5"/>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4C43E502">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201AFF9F">
            <w:pPr>
              <w:pStyle w:val="150"/>
              <w:adjustRightInd w:val="0"/>
              <w:snapToGrid w:val="0"/>
              <w:rPr>
                <w:color w:val="auto"/>
              </w:rPr>
            </w:pPr>
            <w:r>
              <w:rPr>
                <w:color w:val="auto"/>
              </w:rPr>
              <w:drawing>
                <wp:inline distT="0" distB="0" distL="0" distR="0">
                  <wp:extent cx="283210" cy="283210"/>
                  <wp:effectExtent l="0" t="0" r="2540" b="254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46CD47AF">
            <w:pPr>
              <w:pStyle w:val="150"/>
              <w:adjustRightInd w:val="0"/>
              <w:snapToGrid w:val="0"/>
              <w:rPr>
                <w:color w:val="auto"/>
              </w:rPr>
            </w:pPr>
            <w:r>
              <w:rPr>
                <w:rFonts w:hint="eastAsia"/>
                <w:color w:val="auto"/>
              </w:rPr>
              <w:t>隧道接口的名称、隧道模式都不能修改，只能在创建时指定。</w:t>
            </w:r>
          </w:p>
        </w:tc>
      </w:tr>
    </w:tbl>
    <w:p w14:paraId="3C2839EF"/>
    <w:p w14:paraId="06ABDBCF"/>
    <w:p w14:paraId="0A1C4402">
      <w:pPr>
        <w:pStyle w:val="5"/>
      </w:pPr>
      <w:bookmarkStart w:id="1625" w:name="_Toc142400879"/>
      <w:bookmarkStart w:id="1626" w:name="_Toc23152500"/>
      <w:bookmarkStart w:id="1627" w:name="_Toc196728024"/>
      <w:bookmarkStart w:id="1628" w:name="_Toc15484734"/>
      <w:bookmarkStart w:id="1629" w:name="_Toc141873363"/>
      <w:bookmarkStart w:id="1630" w:name="_Toc99561424"/>
      <w:bookmarkStart w:id="1631" w:name="_Toc474249925"/>
      <w:bookmarkStart w:id="1632" w:name="_Toc194080692"/>
      <w:bookmarkStart w:id="1633" w:name="_Toc172218065"/>
      <w:bookmarkStart w:id="1634" w:name="_Toc40275933"/>
      <w:r>
        <w:rPr>
          <w:rFonts w:hint="eastAsia"/>
        </w:rPr>
        <w:t>IPv6隧道接口删除</w:t>
      </w:r>
      <w:bookmarkEnd w:id="1625"/>
      <w:bookmarkEnd w:id="1626"/>
      <w:bookmarkEnd w:id="1627"/>
      <w:bookmarkEnd w:id="1628"/>
      <w:bookmarkEnd w:id="1629"/>
      <w:bookmarkEnd w:id="1630"/>
      <w:bookmarkEnd w:id="1631"/>
      <w:bookmarkEnd w:id="1632"/>
      <w:bookmarkEnd w:id="1633"/>
      <w:bookmarkEnd w:id="1634"/>
    </w:p>
    <w:p w14:paraId="7969AFDA">
      <w:r>
        <w:rPr>
          <w:rFonts w:hint="eastAsia"/>
        </w:rPr>
        <w:t>如</w:t>
      </w:r>
      <w:r>
        <w:rPr>
          <w:color w:val="0000FF"/>
          <w:u w:val="single"/>
        </w:rPr>
        <w:fldChar w:fldCharType="begin"/>
      </w:r>
      <w:r>
        <w:rPr>
          <w:color w:val="0000FF"/>
          <w:u w:val="single"/>
        </w:rPr>
        <w:instrText xml:space="preserve"> </w:instrText>
      </w:r>
      <w:r>
        <w:rPr>
          <w:rFonts w:hint="eastAsia"/>
          <w:color w:val="0000FF"/>
          <w:u w:val="single"/>
        </w:rPr>
        <w:instrText xml:space="preserve">REF _Ref407451427 \r \h</w:instrText>
      </w:r>
      <w:r>
        <w:rPr>
          <w:color w:val="0000FF"/>
          <w:u w:val="single"/>
        </w:rPr>
        <w:instrText xml:space="preserve"> </w:instrText>
      </w:r>
      <w:r>
        <w:rPr>
          <w:color w:val="0000FF"/>
          <w:u w:val="single"/>
        </w:rPr>
        <w:fldChar w:fldCharType="separate"/>
      </w:r>
      <w:r>
        <w:rPr>
          <w:rFonts w:hint="eastAsia"/>
          <w:color w:val="0000FF"/>
          <w:u w:val="single"/>
        </w:rPr>
        <w:t>图6-26</w:t>
      </w:r>
      <w:r>
        <w:rPr>
          <w:color w:val="0000FF"/>
          <w:u w:val="single"/>
        </w:rPr>
        <w:fldChar w:fldCharType="end"/>
      </w:r>
      <w:r>
        <w:rPr>
          <w:rFonts w:hint="eastAsia"/>
        </w:rPr>
        <w:t>所示，通过菜单“网络配置 &gt; 基础网络 &gt;IPv6网络</w:t>
      </w:r>
      <w:r>
        <w:t>&gt;IPv6</w:t>
      </w:r>
      <w:r>
        <w:rPr>
          <w:rFonts w:hint="eastAsia"/>
        </w:rPr>
        <w:t>隧道”使用该功能。</w:t>
      </w:r>
    </w:p>
    <w:p w14:paraId="668C4810">
      <w:r>
        <w:rPr>
          <w:rFonts w:hint="eastAsia"/>
        </w:rPr>
        <w:t>点击删除按钮，删除选定的接口。</w:t>
      </w:r>
    </w:p>
    <w:p w14:paraId="2EB5700B">
      <w:pPr>
        <w:pStyle w:val="188"/>
      </w:pPr>
      <w:bookmarkStart w:id="1635" w:name="_Toc141874561"/>
      <w:bookmarkStart w:id="1636" w:name="_Ref407451427"/>
      <w:r>
        <w:rPr>
          <w:rFonts w:hint="eastAsia"/>
        </w:rPr>
        <w:t>IPv6隧道接口删除界面</w:t>
      </w:r>
      <w:bookmarkEnd w:id="1635"/>
      <w:bookmarkEnd w:id="1636"/>
    </w:p>
    <w:p w14:paraId="019834DC">
      <w:r>
        <w:t xml:space="preserve"> </w:t>
      </w:r>
      <w:r>
        <w:drawing>
          <wp:inline distT="0" distB="0" distL="0" distR="0">
            <wp:extent cx="5553075" cy="969010"/>
            <wp:effectExtent l="0" t="0" r="0" b="254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235"/>
                    <a:stretch>
                      <a:fillRect/>
                    </a:stretch>
                  </pic:blipFill>
                  <pic:spPr>
                    <a:xfrm>
                      <a:off x="0" y="0"/>
                      <a:ext cx="5568049" cy="972200"/>
                    </a:xfrm>
                    <a:prstGeom prst="rect">
                      <a:avLst/>
                    </a:prstGeom>
                  </pic:spPr>
                </pic:pic>
              </a:graphicData>
            </a:graphic>
          </wp:inline>
        </w:drawing>
      </w:r>
    </w:p>
    <w:p w14:paraId="2CBAD093">
      <w:pPr>
        <w:pStyle w:val="5"/>
      </w:pPr>
      <w:bookmarkStart w:id="1637" w:name="_Toc196728025"/>
      <w:bookmarkStart w:id="1638" w:name="_Ref392843947"/>
      <w:bookmarkStart w:id="1639" w:name="_Toc474249926"/>
      <w:bookmarkStart w:id="1640" w:name="_Toc142400880"/>
      <w:bookmarkStart w:id="1641" w:name="_Toc99561425"/>
      <w:bookmarkStart w:id="1642" w:name="_Toc194080693"/>
      <w:bookmarkStart w:id="1643" w:name="_Toc15484735"/>
      <w:bookmarkStart w:id="1644" w:name="_Toc141873364"/>
      <w:bookmarkStart w:id="1645" w:name="_Toc40275934"/>
      <w:bookmarkStart w:id="1646" w:name="_Toc23152501"/>
      <w:bookmarkStart w:id="1647" w:name="_Toc172218066"/>
      <w:r>
        <w:rPr>
          <w:rFonts w:hint="eastAsia"/>
        </w:rPr>
        <w:t>IPv6隧道接口属性配置</w:t>
      </w:r>
      <w:bookmarkEnd w:id="1637"/>
      <w:bookmarkEnd w:id="1638"/>
      <w:bookmarkEnd w:id="1639"/>
      <w:bookmarkEnd w:id="1640"/>
      <w:bookmarkEnd w:id="1641"/>
      <w:bookmarkEnd w:id="1642"/>
      <w:bookmarkEnd w:id="1643"/>
      <w:bookmarkEnd w:id="1644"/>
      <w:bookmarkEnd w:id="1645"/>
      <w:bookmarkEnd w:id="1646"/>
      <w:bookmarkEnd w:id="1647"/>
    </w:p>
    <w:p w14:paraId="15E063D5">
      <w:r>
        <w:rPr>
          <w:rFonts w:hint="eastAsia"/>
        </w:rPr>
        <w:t>如</w:t>
      </w:r>
      <w:r>
        <w:fldChar w:fldCharType="begin"/>
      </w:r>
      <w:r>
        <w:instrText xml:space="preserve"> </w:instrText>
      </w:r>
      <w:r>
        <w:rPr>
          <w:rFonts w:hint="eastAsia"/>
        </w:rPr>
        <w:instrText xml:space="preserve">REF _Ref407451447 \r \h</w:instrText>
      </w:r>
      <w:r>
        <w:instrText xml:space="preserve"> </w:instrText>
      </w:r>
      <w:r>
        <w:fldChar w:fldCharType="separate"/>
      </w:r>
      <w:r>
        <w:rPr>
          <w:rFonts w:hint="eastAsia"/>
        </w:rPr>
        <w:t>图6-27</w:t>
      </w:r>
      <w:r>
        <w:fldChar w:fldCharType="end"/>
      </w:r>
      <w:r>
        <w:rPr>
          <w:rFonts w:hint="eastAsia"/>
        </w:rPr>
        <w:t>所示，通过菜单“网络配置 &gt; 接口配置 &gt;</w:t>
      </w:r>
      <w:r>
        <w:t xml:space="preserve"> </w:t>
      </w:r>
      <w:r>
        <w:rPr>
          <w:rFonts w:hint="eastAsia"/>
        </w:rPr>
        <w:t>隧道接口”使用该功能。</w:t>
      </w:r>
    </w:p>
    <w:p w14:paraId="5C62A058">
      <w:r>
        <w:rPr>
          <w:rFonts w:hint="eastAsia"/>
        </w:rPr>
        <w:t>点击选定接口的</w:t>
      </w:r>
      <w:r>
        <w:t>&lt;</w:t>
      </w:r>
      <w:r>
        <w:rPr>
          <w:rFonts w:hint="eastAsia"/>
        </w:rPr>
        <w:t>编辑</w:t>
      </w:r>
      <w:r>
        <w:t>&gt;</w:t>
      </w:r>
      <w:r>
        <w:rPr>
          <w:rFonts w:hint="eastAsia"/>
        </w:rPr>
        <w:t>按钮，切换到编辑界面。</w:t>
      </w:r>
    </w:p>
    <w:p w14:paraId="4EAE3220">
      <w:pPr>
        <w:pStyle w:val="188"/>
      </w:pPr>
      <w:bookmarkStart w:id="1648" w:name="_Ref407451447"/>
      <w:bookmarkStart w:id="1649" w:name="_Toc141874562"/>
      <w:r>
        <w:rPr>
          <w:rFonts w:hint="eastAsia"/>
        </w:rPr>
        <w:t>隧道接口属性编辑界面</w:t>
      </w:r>
      <w:bookmarkEnd w:id="1648"/>
      <w:bookmarkEnd w:id="1649"/>
    </w:p>
    <w:p w14:paraId="0BC5CD85">
      <w:r>
        <w:t xml:space="preserve"> </w:t>
      </w:r>
      <w:r>
        <w:drawing>
          <wp:inline distT="0" distB="0" distL="0" distR="0">
            <wp:extent cx="4752975" cy="4298950"/>
            <wp:effectExtent l="0" t="0" r="0" b="6350"/>
            <wp:docPr id="832" name="图片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图片 832"/>
                    <pic:cNvPicPr>
                      <a:picLocks noChangeAspect="1"/>
                    </pic:cNvPicPr>
                  </pic:nvPicPr>
                  <pic:blipFill>
                    <a:blip r:embed="rId236"/>
                    <a:stretch>
                      <a:fillRect/>
                    </a:stretch>
                  </pic:blipFill>
                  <pic:spPr>
                    <a:xfrm>
                      <a:off x="0" y="0"/>
                      <a:ext cx="4757117" cy="4303070"/>
                    </a:xfrm>
                    <a:prstGeom prst="rect">
                      <a:avLst/>
                    </a:prstGeom>
                  </pic:spPr>
                </pic:pic>
              </a:graphicData>
            </a:graphic>
          </wp:inline>
        </w:drawing>
      </w:r>
    </w:p>
    <w:p w14:paraId="3E6A1D44"/>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2193C836">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69E19461">
            <w:pPr>
              <w:pStyle w:val="150"/>
              <w:adjustRightInd w:val="0"/>
              <w:snapToGrid w:val="0"/>
              <w:rPr>
                <w:color w:val="auto"/>
              </w:rPr>
            </w:pPr>
            <w:r>
              <w:rPr>
                <w:b/>
                <w:color w:val="00A0E9"/>
              </w:rPr>
              <w:drawing>
                <wp:inline distT="0" distB="0" distL="0" distR="0">
                  <wp:extent cx="260350" cy="260350"/>
                  <wp:effectExtent l="0" t="0" r="6350" b="635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0470" cy="260470"/>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0E06450D">
            <w:pPr>
              <w:pStyle w:val="150"/>
              <w:adjustRightInd w:val="0"/>
              <w:snapToGrid w:val="0"/>
              <w:rPr>
                <w:color w:val="auto"/>
              </w:rPr>
            </w:pPr>
            <w:r>
              <w:rPr>
                <w:rFonts w:hint="eastAsia"/>
                <w:color w:val="auto"/>
              </w:rPr>
              <w:t>在该页内，只能对接口相关的属性进行编辑，如IPv4/IPv6地址，MTU等。</w:t>
            </w:r>
          </w:p>
        </w:tc>
      </w:tr>
    </w:tbl>
    <w:p w14:paraId="7955B041"/>
    <w:p w14:paraId="67579E9A">
      <w:pPr>
        <w:pStyle w:val="5"/>
      </w:pPr>
      <w:bookmarkStart w:id="1650" w:name="_Toc172218067"/>
      <w:bookmarkStart w:id="1651" w:name="_Toc196728026"/>
      <w:bookmarkStart w:id="1652" w:name="_Toc40275935"/>
      <w:bookmarkStart w:id="1653" w:name="_Toc23152502"/>
      <w:bookmarkStart w:id="1654" w:name="_Toc474249927"/>
      <w:bookmarkStart w:id="1655" w:name="_Toc99561426"/>
      <w:bookmarkStart w:id="1656" w:name="_Toc142400881"/>
      <w:bookmarkStart w:id="1657" w:name="_Toc194080694"/>
      <w:bookmarkStart w:id="1658" w:name="_Toc141873365"/>
      <w:bookmarkStart w:id="1659" w:name="_Toc15484736"/>
      <w:r>
        <w:rPr>
          <w:rFonts w:hint="eastAsia"/>
        </w:rPr>
        <w:t>IPv6隧道接口配置举例</w:t>
      </w:r>
      <w:bookmarkEnd w:id="1650"/>
      <w:bookmarkEnd w:id="1651"/>
      <w:bookmarkEnd w:id="1652"/>
      <w:bookmarkEnd w:id="1653"/>
      <w:bookmarkEnd w:id="1654"/>
      <w:bookmarkEnd w:id="1655"/>
      <w:bookmarkEnd w:id="1656"/>
      <w:bookmarkEnd w:id="1657"/>
      <w:bookmarkEnd w:id="1658"/>
      <w:bookmarkEnd w:id="1659"/>
    </w:p>
    <w:p w14:paraId="276C76DA">
      <w:pPr>
        <w:pStyle w:val="6"/>
      </w:pPr>
      <w:r>
        <w:rPr>
          <w:rFonts w:hint="eastAsia"/>
        </w:rPr>
        <w:t>组网需求</w:t>
      </w:r>
    </w:p>
    <w:p w14:paraId="07185B2C">
      <w:r>
        <w:rPr>
          <w:rFonts w:hint="eastAsia"/>
        </w:rPr>
        <w:t>创建一个</w:t>
      </w:r>
      <w:r>
        <w:t>IPv6</w:t>
      </w:r>
      <w:r>
        <w:rPr>
          <w:rFonts w:hint="eastAsia"/>
        </w:rPr>
        <w:t>手工隧道接口，并设置源接口为</w:t>
      </w:r>
      <w:r>
        <w:t>ge4</w:t>
      </w:r>
      <w:r>
        <w:rPr>
          <w:rFonts w:hint="eastAsia"/>
        </w:rPr>
        <w:t>，目的地址为</w:t>
      </w:r>
      <w:r>
        <w:t>100.1.1.10</w:t>
      </w:r>
      <w:r>
        <w:rPr>
          <w:rFonts w:hint="eastAsia"/>
        </w:rPr>
        <w:t>，且给隧道接口配置</w:t>
      </w:r>
      <w:r>
        <w:t>IP</w:t>
      </w:r>
      <w:r>
        <w:rPr>
          <w:rFonts w:hint="eastAsia"/>
        </w:rPr>
        <w:t>地址为</w:t>
      </w:r>
      <w:r>
        <w:t>50.1.1.10/24</w:t>
      </w:r>
      <w:r>
        <w:rPr>
          <w:rFonts w:hint="eastAsia"/>
        </w:rPr>
        <w:t>。</w:t>
      </w:r>
    </w:p>
    <w:p w14:paraId="4C6E4F85">
      <w:pPr>
        <w:pStyle w:val="6"/>
      </w:pPr>
      <w:r>
        <w:rPr>
          <w:rFonts w:hint="eastAsia"/>
        </w:rPr>
        <w:t>配置步骤</w:t>
      </w:r>
    </w:p>
    <w:p w14:paraId="3EED856C">
      <w:pPr>
        <w:pStyle w:val="202"/>
        <w:rPr>
          <w:lang w:eastAsia="zh-CN"/>
        </w:rPr>
      </w:pPr>
      <w:r>
        <w:rPr>
          <w:rFonts w:hint="eastAsia"/>
          <w:lang w:eastAsia="zh-CN"/>
        </w:rPr>
        <w:t>如</w:t>
      </w:r>
      <w:r>
        <w:rPr>
          <w:color w:val="0000FF"/>
          <w:u w:val="single"/>
        </w:rPr>
        <w:fldChar w:fldCharType="begin"/>
      </w:r>
      <w:r>
        <w:rPr>
          <w:color w:val="0000FF"/>
          <w:u w:val="single"/>
          <w:lang w:eastAsia="zh-CN"/>
        </w:rPr>
        <w:instrText xml:space="preserve"> </w:instrText>
      </w:r>
      <w:r>
        <w:rPr>
          <w:rFonts w:hint="eastAsia"/>
          <w:color w:val="0000FF"/>
          <w:u w:val="single"/>
          <w:lang w:eastAsia="zh-CN"/>
        </w:rPr>
        <w:instrText xml:space="preserve">REF _Ref407451464 \r \h</w:instrText>
      </w:r>
      <w:r>
        <w:rPr>
          <w:color w:val="0000FF"/>
          <w:u w:val="single"/>
          <w:lang w:eastAsia="zh-CN"/>
        </w:rPr>
        <w:instrText xml:space="preserve"> </w:instrText>
      </w:r>
      <w:r>
        <w:rPr>
          <w:color w:val="0000FF"/>
          <w:u w:val="single"/>
        </w:rPr>
        <w:fldChar w:fldCharType="separate"/>
      </w:r>
      <w:r>
        <w:rPr>
          <w:rFonts w:hint="eastAsia"/>
          <w:color w:val="0000FF"/>
          <w:u w:val="single"/>
          <w:lang w:eastAsia="zh-CN"/>
        </w:rPr>
        <w:t>图6-28</w:t>
      </w:r>
      <w:r>
        <w:rPr>
          <w:color w:val="0000FF"/>
          <w:u w:val="single"/>
        </w:rPr>
        <w:fldChar w:fldCharType="end"/>
      </w:r>
      <w:r>
        <w:rPr>
          <w:rFonts w:hint="eastAsia"/>
          <w:lang w:eastAsia="zh-CN"/>
        </w:rPr>
        <w:t>所示，通过菜单“网络配置 &gt; 基础网络 &gt;IPv6网络</w:t>
      </w:r>
      <w:r>
        <w:rPr>
          <w:lang w:eastAsia="zh-CN"/>
        </w:rPr>
        <w:t>&gt;IPv6</w:t>
      </w:r>
      <w:r>
        <w:rPr>
          <w:rFonts w:hint="eastAsia"/>
          <w:lang w:eastAsia="zh-CN"/>
        </w:rPr>
        <w:t>隧道”打开显示页面，点击</w:t>
      </w:r>
      <w:r>
        <w:rPr>
          <w:lang w:eastAsia="zh-CN"/>
        </w:rPr>
        <w:t>&lt;</w:t>
      </w:r>
      <w:r>
        <w:rPr>
          <w:rFonts w:hint="eastAsia"/>
          <w:lang w:eastAsia="zh-CN"/>
        </w:rPr>
        <w:t>新建</w:t>
      </w:r>
      <w:r>
        <w:rPr>
          <w:lang w:eastAsia="zh-CN"/>
        </w:rPr>
        <w:t>&gt;</w:t>
      </w:r>
      <w:r>
        <w:rPr>
          <w:rFonts w:hint="eastAsia"/>
          <w:lang w:eastAsia="zh-CN"/>
        </w:rPr>
        <w:t>按钮，配置隧道接口的名称，隧道模式，隧道源，源接口及隧道目的。</w:t>
      </w:r>
    </w:p>
    <w:p w14:paraId="39244D7C">
      <w:pPr>
        <w:pStyle w:val="188"/>
      </w:pPr>
      <w:bookmarkStart w:id="1660" w:name="_Toc141874563"/>
      <w:bookmarkStart w:id="1661" w:name="_Ref407451464"/>
      <w:r>
        <w:rPr>
          <w:rFonts w:hint="eastAsia"/>
        </w:rPr>
        <w:t>隧道接口新建页面</w:t>
      </w:r>
      <w:bookmarkEnd w:id="1660"/>
      <w:bookmarkEnd w:id="1661"/>
    </w:p>
    <w:p w14:paraId="40BD724D">
      <w:r>
        <w:drawing>
          <wp:inline distT="0" distB="0" distL="0" distR="0">
            <wp:extent cx="4352290" cy="2923540"/>
            <wp:effectExtent l="0" t="0" r="0" b="0"/>
            <wp:docPr id="834" name="图片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图片 834"/>
                    <pic:cNvPicPr>
                      <a:picLocks noChangeAspect="1"/>
                    </pic:cNvPicPr>
                  </pic:nvPicPr>
                  <pic:blipFill>
                    <a:blip r:embed="rId237"/>
                    <a:stretch>
                      <a:fillRect/>
                    </a:stretch>
                  </pic:blipFill>
                  <pic:spPr>
                    <a:xfrm>
                      <a:off x="0" y="0"/>
                      <a:ext cx="4352381" cy="2923809"/>
                    </a:xfrm>
                    <a:prstGeom prst="rect">
                      <a:avLst/>
                    </a:prstGeom>
                  </pic:spPr>
                </pic:pic>
              </a:graphicData>
            </a:graphic>
          </wp:inline>
        </w:drawing>
      </w:r>
    </w:p>
    <w:p w14:paraId="3ED6CF29"/>
    <w:p w14:paraId="51D633E8">
      <w:pPr>
        <w:pStyle w:val="202"/>
        <w:rPr>
          <w:lang w:eastAsia="zh-CN"/>
        </w:rPr>
      </w:pPr>
      <w:r>
        <w:rPr>
          <w:rFonts w:hint="eastAsia"/>
          <w:lang w:eastAsia="zh-CN"/>
        </w:rPr>
        <w:t>如</w:t>
      </w:r>
      <w:r>
        <w:fldChar w:fldCharType="begin"/>
      </w:r>
      <w:r>
        <w:rPr>
          <w:lang w:eastAsia="zh-CN"/>
        </w:rPr>
        <w:instrText xml:space="preserve"> </w:instrText>
      </w:r>
      <w:r>
        <w:rPr>
          <w:rFonts w:hint="eastAsia"/>
          <w:lang w:eastAsia="zh-CN"/>
        </w:rPr>
        <w:instrText xml:space="preserve">REF _Ref407451479 \r \h</w:instrText>
      </w:r>
      <w:r>
        <w:rPr>
          <w:lang w:eastAsia="zh-CN"/>
        </w:rPr>
        <w:instrText xml:space="preserve"> </w:instrText>
      </w:r>
      <w:r>
        <w:fldChar w:fldCharType="separate"/>
      </w:r>
      <w:r>
        <w:rPr>
          <w:rFonts w:hint="eastAsia"/>
          <w:lang w:eastAsia="zh-CN"/>
        </w:rPr>
        <w:t>图6-29</w:t>
      </w:r>
      <w:r>
        <w:fldChar w:fldCharType="end"/>
      </w:r>
      <w:r>
        <w:rPr>
          <w:rFonts w:hint="eastAsia"/>
          <w:lang w:eastAsia="zh-CN"/>
        </w:rPr>
        <w:t>所示，点击</w:t>
      </w:r>
      <w:r>
        <w:rPr>
          <w:lang w:eastAsia="zh-CN"/>
        </w:rPr>
        <w:t>&lt;</w:t>
      </w:r>
      <w:r>
        <w:rPr>
          <w:rFonts w:hint="eastAsia"/>
          <w:lang w:eastAsia="zh-CN"/>
        </w:rPr>
        <w:t>提交</w:t>
      </w:r>
      <w:r>
        <w:rPr>
          <w:lang w:eastAsia="zh-CN"/>
        </w:rPr>
        <w:t>&gt;</w:t>
      </w:r>
      <w:r>
        <w:rPr>
          <w:rFonts w:hint="eastAsia"/>
          <w:lang w:eastAsia="zh-CN"/>
        </w:rPr>
        <w:t>按钮后，可以在显示页面中看到我们配置的隧道接口。</w:t>
      </w:r>
    </w:p>
    <w:p w14:paraId="21922738">
      <w:pPr>
        <w:pStyle w:val="188"/>
      </w:pPr>
      <w:bookmarkStart w:id="1662" w:name="_Ref407451479"/>
      <w:bookmarkStart w:id="1663" w:name="_Toc141874564"/>
      <w:r>
        <w:rPr>
          <w:rFonts w:hint="eastAsia"/>
        </w:rPr>
        <w:t>隧道接口显示</w:t>
      </w:r>
      <w:bookmarkEnd w:id="1662"/>
      <w:bookmarkEnd w:id="1663"/>
    </w:p>
    <w:p w14:paraId="7EF7644F">
      <w:r>
        <w:drawing>
          <wp:inline distT="0" distB="0" distL="0" distR="0">
            <wp:extent cx="5713095" cy="629920"/>
            <wp:effectExtent l="0" t="0" r="1905" b="0"/>
            <wp:docPr id="835" name="图片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图片 835"/>
                    <pic:cNvPicPr>
                      <a:picLocks noChangeAspect="1"/>
                    </pic:cNvPicPr>
                  </pic:nvPicPr>
                  <pic:blipFill>
                    <a:blip r:embed="rId238"/>
                    <a:srcRect t="33289"/>
                    <a:stretch>
                      <a:fillRect/>
                    </a:stretch>
                  </pic:blipFill>
                  <pic:spPr>
                    <a:xfrm>
                      <a:off x="0" y="0"/>
                      <a:ext cx="5735009" cy="632294"/>
                    </a:xfrm>
                    <a:prstGeom prst="rect">
                      <a:avLst/>
                    </a:prstGeom>
                    <a:ln>
                      <a:noFill/>
                    </a:ln>
                  </pic:spPr>
                </pic:pic>
              </a:graphicData>
            </a:graphic>
          </wp:inline>
        </w:drawing>
      </w:r>
    </w:p>
    <w:p w14:paraId="73D02A26"/>
    <w:p w14:paraId="13EDF2F6">
      <w:pPr>
        <w:pStyle w:val="202"/>
        <w:rPr>
          <w:lang w:eastAsia="zh-CN"/>
        </w:rPr>
      </w:pPr>
      <w:r>
        <w:rPr>
          <w:rFonts w:hint="eastAsia"/>
          <w:lang w:eastAsia="zh-CN"/>
        </w:rPr>
        <w:t>如</w:t>
      </w:r>
      <w:r>
        <w:rPr>
          <w:color w:val="0000FF"/>
          <w:u w:val="single"/>
        </w:rPr>
        <w:fldChar w:fldCharType="begin"/>
      </w:r>
      <w:r>
        <w:rPr>
          <w:color w:val="0000FF"/>
          <w:u w:val="single"/>
          <w:lang w:eastAsia="zh-CN"/>
        </w:rPr>
        <w:instrText xml:space="preserve"> </w:instrText>
      </w:r>
      <w:r>
        <w:rPr>
          <w:rFonts w:hint="eastAsia"/>
          <w:color w:val="0000FF"/>
          <w:u w:val="single"/>
          <w:lang w:eastAsia="zh-CN"/>
        </w:rPr>
        <w:instrText xml:space="preserve">REF _Ref407451492 \r \h</w:instrText>
      </w:r>
      <w:r>
        <w:rPr>
          <w:color w:val="0000FF"/>
          <w:u w:val="single"/>
          <w:lang w:eastAsia="zh-CN"/>
        </w:rPr>
        <w:instrText xml:space="preserve"> </w:instrText>
      </w:r>
      <w:r>
        <w:rPr>
          <w:color w:val="0000FF"/>
          <w:u w:val="single"/>
        </w:rPr>
        <w:fldChar w:fldCharType="separate"/>
      </w:r>
      <w:r>
        <w:rPr>
          <w:rFonts w:hint="eastAsia"/>
          <w:color w:val="0000FF"/>
          <w:u w:val="single"/>
          <w:lang w:eastAsia="zh-CN"/>
        </w:rPr>
        <w:t>图6-30</w:t>
      </w:r>
      <w:r>
        <w:rPr>
          <w:color w:val="0000FF"/>
          <w:u w:val="single"/>
        </w:rPr>
        <w:fldChar w:fldCharType="end"/>
      </w:r>
      <w:r>
        <w:rPr>
          <w:rFonts w:hint="eastAsia"/>
          <w:lang w:eastAsia="zh-CN"/>
        </w:rPr>
        <w:t>所示，给隧道接口配置</w:t>
      </w:r>
      <w:r>
        <w:rPr>
          <w:lang w:eastAsia="zh-CN"/>
        </w:rPr>
        <w:t>IP</w:t>
      </w:r>
      <w:r>
        <w:rPr>
          <w:rFonts w:hint="eastAsia"/>
          <w:lang w:eastAsia="zh-CN"/>
        </w:rPr>
        <w:t>地址，需要转移到接口页面中，通过菜单“网络配置&gt;接口配置</w:t>
      </w:r>
      <w:r>
        <w:rPr>
          <w:lang w:eastAsia="zh-CN"/>
        </w:rPr>
        <w:t>&gt;</w:t>
      </w:r>
      <w:r>
        <w:rPr>
          <w:rFonts w:hint="eastAsia"/>
          <w:lang w:eastAsia="zh-CN"/>
        </w:rPr>
        <w:t>隧道接口”打开显示页面，点击</w:t>
      </w:r>
      <w:r>
        <w:rPr>
          <w:lang w:eastAsia="zh-CN"/>
        </w:rPr>
        <w:t>tunnel0</w:t>
      </w:r>
      <w:r>
        <w:rPr>
          <w:rFonts w:hint="eastAsia"/>
          <w:lang w:eastAsia="zh-CN"/>
        </w:rPr>
        <w:t>接口对应的</w:t>
      </w:r>
      <w:r>
        <w:rPr>
          <w:lang w:eastAsia="zh-CN"/>
        </w:rPr>
        <w:t>&lt;</w:t>
      </w:r>
      <w:r>
        <w:rPr>
          <w:rFonts w:hint="eastAsia"/>
          <w:lang w:eastAsia="zh-CN"/>
        </w:rPr>
        <w:t>编辑</w:t>
      </w:r>
      <w:r>
        <w:rPr>
          <w:lang w:eastAsia="zh-CN"/>
        </w:rPr>
        <w:t>&gt;</w:t>
      </w:r>
      <w:r>
        <w:rPr>
          <w:rFonts w:hint="eastAsia"/>
          <w:lang w:eastAsia="zh-CN"/>
        </w:rPr>
        <w:t>按钮，打开编辑页面。</w:t>
      </w:r>
    </w:p>
    <w:p w14:paraId="2A8E8449">
      <w:pPr>
        <w:pStyle w:val="188"/>
      </w:pPr>
      <w:bookmarkStart w:id="1664" w:name="_Toc141874565"/>
      <w:bookmarkStart w:id="1665" w:name="_Ref407451492"/>
      <w:r>
        <w:rPr>
          <w:rFonts w:hint="eastAsia"/>
        </w:rPr>
        <w:t>tunnel0接口属性显示页面</w:t>
      </w:r>
      <w:bookmarkEnd w:id="1664"/>
      <w:bookmarkEnd w:id="1665"/>
    </w:p>
    <w:p w14:paraId="3875B1D9">
      <w:r>
        <w:drawing>
          <wp:inline distT="0" distB="0" distL="0" distR="0">
            <wp:extent cx="5713730" cy="427990"/>
            <wp:effectExtent l="0" t="0" r="1270" b="0"/>
            <wp:docPr id="836" name="图片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图片 836"/>
                    <pic:cNvPicPr>
                      <a:picLocks noChangeAspect="1"/>
                    </pic:cNvPicPr>
                  </pic:nvPicPr>
                  <pic:blipFill>
                    <a:blip r:embed="rId239"/>
                    <a:srcRect t="40036"/>
                    <a:stretch>
                      <a:fillRect/>
                    </a:stretch>
                  </pic:blipFill>
                  <pic:spPr>
                    <a:xfrm>
                      <a:off x="0" y="0"/>
                      <a:ext cx="5756957" cy="431202"/>
                    </a:xfrm>
                    <a:prstGeom prst="rect">
                      <a:avLst/>
                    </a:prstGeom>
                    <a:ln>
                      <a:noFill/>
                    </a:ln>
                  </pic:spPr>
                </pic:pic>
              </a:graphicData>
            </a:graphic>
          </wp:inline>
        </w:drawing>
      </w:r>
    </w:p>
    <w:p w14:paraId="163496B2"/>
    <w:p w14:paraId="7A85DB5D">
      <w:pPr>
        <w:pStyle w:val="202"/>
        <w:rPr>
          <w:lang w:eastAsia="zh-CN"/>
        </w:rPr>
      </w:pPr>
      <w:r>
        <w:rPr>
          <w:rFonts w:hint="eastAsia"/>
          <w:lang w:eastAsia="zh-CN"/>
        </w:rPr>
        <w:t>如</w:t>
      </w:r>
      <w:r>
        <w:fldChar w:fldCharType="begin"/>
      </w:r>
      <w:r>
        <w:rPr>
          <w:lang w:eastAsia="zh-CN"/>
        </w:rPr>
        <w:instrText xml:space="preserve"> </w:instrText>
      </w:r>
      <w:r>
        <w:rPr>
          <w:rFonts w:hint="eastAsia"/>
          <w:lang w:eastAsia="zh-CN"/>
        </w:rPr>
        <w:instrText xml:space="preserve">REF _Ref407451510 \r \h</w:instrText>
      </w:r>
      <w:r>
        <w:rPr>
          <w:lang w:eastAsia="zh-CN"/>
        </w:rPr>
        <w:instrText xml:space="preserve"> </w:instrText>
      </w:r>
      <w:r>
        <w:fldChar w:fldCharType="separate"/>
      </w:r>
      <w:r>
        <w:rPr>
          <w:rFonts w:hint="eastAsia"/>
          <w:lang w:eastAsia="zh-CN"/>
        </w:rPr>
        <w:t>图6-31</w:t>
      </w:r>
      <w:r>
        <w:fldChar w:fldCharType="end"/>
      </w:r>
      <w:r>
        <w:rPr>
          <w:rFonts w:hint="eastAsia"/>
          <w:lang w:eastAsia="zh-CN"/>
        </w:rPr>
        <w:t>所示，给</w:t>
      </w:r>
      <w:r>
        <w:rPr>
          <w:lang w:eastAsia="zh-CN"/>
        </w:rPr>
        <w:t>tunnel0</w:t>
      </w:r>
      <w:r>
        <w:rPr>
          <w:rFonts w:hint="eastAsia"/>
          <w:lang w:eastAsia="zh-CN"/>
        </w:rPr>
        <w:t>接口配置</w:t>
      </w:r>
      <w:r>
        <w:rPr>
          <w:lang w:eastAsia="zh-CN"/>
        </w:rPr>
        <w:t>IP</w:t>
      </w:r>
      <w:r>
        <w:rPr>
          <w:rFonts w:hint="eastAsia"/>
          <w:lang w:eastAsia="zh-CN"/>
        </w:rPr>
        <w:t>地址，点击</w:t>
      </w:r>
      <w:r>
        <w:rPr>
          <w:lang w:eastAsia="zh-CN"/>
        </w:rPr>
        <w:t>&lt;</w:t>
      </w:r>
      <w:r>
        <w:rPr>
          <w:rFonts w:hint="eastAsia"/>
          <w:lang w:eastAsia="zh-CN"/>
        </w:rPr>
        <w:t>提交</w:t>
      </w:r>
      <w:r>
        <w:rPr>
          <w:lang w:eastAsia="zh-CN"/>
        </w:rPr>
        <w:t>&gt;</w:t>
      </w:r>
      <w:r>
        <w:rPr>
          <w:rFonts w:hint="eastAsia"/>
          <w:lang w:eastAsia="zh-CN"/>
        </w:rPr>
        <w:t>按钮提交。</w:t>
      </w:r>
    </w:p>
    <w:p w14:paraId="7C3D8188">
      <w:pPr>
        <w:pStyle w:val="188"/>
      </w:pPr>
      <w:bookmarkStart w:id="1666" w:name="_Ref407451510"/>
      <w:bookmarkStart w:id="1667" w:name="_Toc141874566"/>
      <w:r>
        <w:rPr>
          <w:rFonts w:hint="eastAsia"/>
        </w:rPr>
        <w:t>tunnel接口属性配置页面</w:t>
      </w:r>
      <w:bookmarkEnd w:id="1666"/>
      <w:bookmarkEnd w:id="1667"/>
    </w:p>
    <w:p w14:paraId="5E9F3D42">
      <w:r>
        <w:drawing>
          <wp:inline distT="0" distB="0" distL="0" distR="0">
            <wp:extent cx="5534025" cy="3542030"/>
            <wp:effectExtent l="0" t="0" r="0" b="1270"/>
            <wp:docPr id="837" name="图片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图片 837"/>
                    <pic:cNvPicPr>
                      <a:picLocks noChangeAspect="1"/>
                    </pic:cNvPicPr>
                  </pic:nvPicPr>
                  <pic:blipFill>
                    <a:blip r:embed="rId240"/>
                    <a:stretch>
                      <a:fillRect/>
                    </a:stretch>
                  </pic:blipFill>
                  <pic:spPr>
                    <a:xfrm>
                      <a:off x="0" y="0"/>
                      <a:ext cx="5537109" cy="3544347"/>
                    </a:xfrm>
                    <a:prstGeom prst="rect">
                      <a:avLst/>
                    </a:prstGeom>
                  </pic:spPr>
                </pic:pic>
              </a:graphicData>
            </a:graphic>
          </wp:inline>
        </w:drawing>
      </w:r>
    </w:p>
    <w:p w14:paraId="1DFDFAC0"/>
    <w:p w14:paraId="33894F33">
      <w:pPr>
        <w:pStyle w:val="4"/>
      </w:pPr>
      <w:bookmarkStart w:id="1668" w:name="_Toc194080695"/>
      <w:bookmarkStart w:id="1669" w:name="_Toc196728027"/>
      <w:bookmarkStart w:id="1670" w:name="_Toc142400882"/>
      <w:bookmarkStart w:id="1671" w:name="_Toc172218068"/>
      <w:bookmarkStart w:id="1672" w:name="_Toc15484737"/>
      <w:bookmarkStart w:id="1673" w:name="_Toc23152503"/>
      <w:bookmarkStart w:id="1674" w:name="_Toc40275936"/>
      <w:bookmarkStart w:id="1675" w:name="_Toc99561427"/>
      <w:bookmarkStart w:id="1676" w:name="_Toc141873366"/>
      <w:bookmarkStart w:id="1677" w:name="_Ref392838025"/>
      <w:bookmarkStart w:id="1678" w:name="_Toc474249928"/>
      <w:r>
        <w:rPr>
          <w:rFonts w:hint="eastAsia"/>
        </w:rPr>
        <w:t>配置IPsec隧道接口</w:t>
      </w:r>
      <w:bookmarkEnd w:id="1668"/>
      <w:bookmarkEnd w:id="1669"/>
      <w:bookmarkEnd w:id="1670"/>
      <w:bookmarkEnd w:id="1671"/>
      <w:bookmarkEnd w:id="1672"/>
      <w:bookmarkEnd w:id="1673"/>
      <w:bookmarkEnd w:id="1674"/>
      <w:bookmarkEnd w:id="1675"/>
      <w:bookmarkEnd w:id="1676"/>
      <w:bookmarkEnd w:id="1677"/>
      <w:bookmarkEnd w:id="1678"/>
    </w:p>
    <w:p w14:paraId="35B01AE4">
      <w:pPr>
        <w:pStyle w:val="5"/>
      </w:pPr>
      <w:bookmarkStart w:id="1679" w:name="_Toc15484738"/>
      <w:bookmarkStart w:id="1680" w:name="_Toc23152504"/>
      <w:bookmarkStart w:id="1681" w:name="_Toc474249929"/>
      <w:bookmarkStart w:id="1682" w:name="_Toc194080696"/>
      <w:bookmarkStart w:id="1683" w:name="_Toc196728028"/>
      <w:bookmarkStart w:id="1684" w:name="_Toc40275937"/>
      <w:bookmarkStart w:id="1685" w:name="_Toc141873367"/>
      <w:bookmarkStart w:id="1686" w:name="_Toc142400883"/>
      <w:bookmarkStart w:id="1687" w:name="_Toc99561428"/>
      <w:bookmarkStart w:id="1688" w:name="_Toc172218069"/>
      <w:r>
        <w:rPr>
          <w:rFonts w:hint="eastAsia"/>
        </w:rPr>
        <w:t>IPsec隧道接口创建</w:t>
      </w:r>
      <w:bookmarkEnd w:id="1679"/>
      <w:bookmarkEnd w:id="1680"/>
      <w:bookmarkEnd w:id="1681"/>
      <w:bookmarkEnd w:id="1682"/>
      <w:bookmarkEnd w:id="1683"/>
      <w:bookmarkEnd w:id="1684"/>
      <w:bookmarkEnd w:id="1685"/>
      <w:bookmarkEnd w:id="1686"/>
      <w:bookmarkEnd w:id="1687"/>
      <w:bookmarkEnd w:id="1688"/>
    </w:p>
    <w:p w14:paraId="40045B9E">
      <w:r>
        <w:rPr>
          <w:rFonts w:hint="eastAsia"/>
        </w:rPr>
        <w:t>如</w:t>
      </w:r>
      <w:r>
        <w:rPr>
          <w:color w:val="0000FF"/>
          <w:u w:val="single"/>
        </w:rPr>
        <w:fldChar w:fldCharType="begin"/>
      </w:r>
      <w:r>
        <w:rPr>
          <w:color w:val="0000FF"/>
          <w:u w:val="single"/>
        </w:rPr>
        <w:instrText xml:space="preserve"> </w:instrText>
      </w:r>
      <w:r>
        <w:rPr>
          <w:rFonts w:hint="eastAsia"/>
          <w:color w:val="0000FF"/>
          <w:u w:val="single"/>
        </w:rPr>
        <w:instrText xml:space="preserve">REF _Ref407451532 \r \h</w:instrText>
      </w:r>
      <w:r>
        <w:rPr>
          <w:color w:val="0000FF"/>
          <w:u w:val="single"/>
        </w:rPr>
        <w:instrText xml:space="preserve"> </w:instrText>
      </w:r>
      <w:r>
        <w:rPr>
          <w:color w:val="0000FF"/>
          <w:u w:val="single"/>
        </w:rPr>
        <w:fldChar w:fldCharType="separate"/>
      </w:r>
      <w:r>
        <w:rPr>
          <w:rFonts w:hint="eastAsia"/>
          <w:color w:val="0000FF"/>
          <w:u w:val="single"/>
        </w:rPr>
        <w:t>图6-32</w:t>
      </w:r>
      <w:r>
        <w:rPr>
          <w:color w:val="0000FF"/>
          <w:u w:val="single"/>
        </w:rPr>
        <w:fldChar w:fldCharType="end"/>
      </w:r>
      <w:r>
        <w:rPr>
          <w:rFonts w:hint="eastAsia"/>
        </w:rPr>
        <w:t>所示，通过菜单“</w:t>
      </w:r>
      <w:r>
        <w:t>网络配置&gt;VPN&gt;IPsec-VPN&gt;IPsec第三方对接</w:t>
      </w:r>
      <w:r>
        <w:rPr>
          <w:rFonts w:hint="eastAsia"/>
        </w:rPr>
        <w:t>&gt;</w:t>
      </w:r>
      <w:r>
        <w:t>IPsec</w:t>
      </w:r>
      <w:r>
        <w:rPr>
          <w:rFonts w:hint="eastAsia"/>
        </w:rPr>
        <w:t>隧道接口”使用该功能。</w:t>
      </w:r>
    </w:p>
    <w:p w14:paraId="023B9E7C">
      <w:r>
        <w:rPr>
          <w:rFonts w:hint="eastAsia"/>
        </w:rPr>
        <w:t>点击</w:t>
      </w:r>
      <w:r>
        <w:t>&lt;</w:t>
      </w:r>
      <w:r>
        <w:rPr>
          <w:rFonts w:hint="eastAsia"/>
        </w:rPr>
        <w:t>新建</w:t>
      </w:r>
      <w:r>
        <w:t>&gt;</w:t>
      </w:r>
      <w:r>
        <w:rPr>
          <w:rFonts w:hint="eastAsia"/>
        </w:rPr>
        <w:t>按钮，切换到</w:t>
      </w:r>
      <w:r>
        <w:t>IPsec</w:t>
      </w:r>
      <w:r>
        <w:rPr>
          <w:rFonts w:hint="eastAsia"/>
        </w:rPr>
        <w:t>隧道新建界面。</w:t>
      </w:r>
    </w:p>
    <w:p w14:paraId="443BA59B">
      <w:pPr>
        <w:pStyle w:val="188"/>
      </w:pPr>
      <w:bookmarkStart w:id="1689" w:name="_Ref407451532"/>
      <w:bookmarkStart w:id="1690" w:name="_Toc141874567"/>
      <w:r>
        <w:rPr>
          <w:rFonts w:hint="eastAsia"/>
        </w:rPr>
        <w:t>IPsec隧道接口新建界面</w:t>
      </w:r>
      <w:bookmarkEnd w:id="1689"/>
      <w:bookmarkEnd w:id="1690"/>
    </w:p>
    <w:p w14:paraId="3F4D0BBE">
      <w:r>
        <w:t xml:space="preserve"> </w:t>
      </w:r>
      <w:r>
        <w:drawing>
          <wp:inline distT="0" distB="0" distL="0" distR="0">
            <wp:extent cx="5400040" cy="3343910"/>
            <wp:effectExtent l="0" t="0" r="0" b="8890"/>
            <wp:docPr id="4940" name="图片 4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0" name="图片 4940"/>
                    <pic:cNvPicPr>
                      <a:picLocks noChangeAspect="1"/>
                    </pic:cNvPicPr>
                  </pic:nvPicPr>
                  <pic:blipFill>
                    <a:blip r:embed="rId241"/>
                    <a:stretch>
                      <a:fillRect/>
                    </a:stretch>
                  </pic:blipFill>
                  <pic:spPr>
                    <a:xfrm>
                      <a:off x="0" y="0"/>
                      <a:ext cx="5400040" cy="3344349"/>
                    </a:xfrm>
                    <a:prstGeom prst="rect">
                      <a:avLst/>
                    </a:prstGeom>
                  </pic:spPr>
                </pic:pic>
              </a:graphicData>
            </a:graphic>
          </wp:inline>
        </w:drawing>
      </w:r>
    </w:p>
    <w:p w14:paraId="09C8601A"/>
    <w:p w14:paraId="671B8462">
      <w:pPr>
        <w:pStyle w:val="183"/>
      </w:pPr>
      <w:bookmarkStart w:id="1691" w:name="_Toc141875479"/>
      <w:r>
        <w:rPr>
          <w:rFonts w:hint="eastAsia"/>
        </w:rPr>
        <w:t>配置说明</w:t>
      </w:r>
      <w:bookmarkEnd w:id="1691"/>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506"/>
        <w:gridCol w:w="7508"/>
      </w:tblGrid>
      <w:tr w14:paraId="034EE7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tcBorders>
              <w:tl2br w:val="nil"/>
              <w:tr2bl w:val="nil"/>
            </w:tcBorders>
            <w:shd w:val="clear" w:color="auto" w:fill="538135" w:themeFill="accent6" w:themeFillShade="BF"/>
            <w:vAlign w:val="center"/>
          </w:tcPr>
          <w:p w14:paraId="25B2939F">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7470" w:type="dxa"/>
            <w:tcBorders>
              <w:tl2br w:val="nil"/>
              <w:tr2bl w:val="nil"/>
            </w:tcBorders>
            <w:shd w:val="clear" w:color="auto" w:fill="538135" w:themeFill="accent6" w:themeFillShade="BF"/>
            <w:vAlign w:val="center"/>
          </w:tcPr>
          <w:p w14:paraId="4ED60371">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1C485E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0509B2D4">
            <w:pPr>
              <w:pStyle w:val="186"/>
              <w:widowControl w:val="0"/>
              <w:spacing w:line="240" w:lineRule="auto"/>
              <w:ind w:firstLine="0"/>
              <w:jc w:val="left"/>
            </w:pPr>
            <w:r>
              <w:rPr>
                <w:rFonts w:hint="eastAsia"/>
              </w:rPr>
              <w:t>IPsec接口</w:t>
            </w:r>
          </w:p>
        </w:tc>
        <w:tc>
          <w:tcPr>
            <w:tcW w:w="7470" w:type="dxa"/>
            <w:shd w:val="clear" w:color="auto" w:fill="auto"/>
          </w:tcPr>
          <w:p w14:paraId="601E342D">
            <w:pPr>
              <w:pStyle w:val="186"/>
              <w:widowControl w:val="0"/>
              <w:spacing w:line="240" w:lineRule="auto"/>
              <w:ind w:firstLine="0"/>
              <w:jc w:val="left"/>
            </w:pPr>
            <w:r>
              <w:rPr>
                <w:rFonts w:hint="eastAsia"/>
              </w:rPr>
              <w:t>设置IPsec隧道接口的名称，tunnel+ID的形式，系统会自动推荐一个空闲的ID</w:t>
            </w:r>
          </w:p>
        </w:tc>
      </w:tr>
      <w:tr w14:paraId="2E9608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6B526248">
            <w:pPr>
              <w:pStyle w:val="186"/>
              <w:widowControl w:val="0"/>
              <w:spacing w:line="240" w:lineRule="auto"/>
              <w:ind w:firstLine="0"/>
              <w:jc w:val="left"/>
            </w:pPr>
            <w:r>
              <w:rPr>
                <w:rFonts w:hint="eastAsia"/>
              </w:rPr>
              <w:t>IPv4地址</w:t>
            </w:r>
          </w:p>
        </w:tc>
        <w:tc>
          <w:tcPr>
            <w:tcW w:w="7470" w:type="dxa"/>
            <w:shd w:val="clear" w:color="auto" w:fill="auto"/>
          </w:tcPr>
          <w:p w14:paraId="52916329">
            <w:pPr>
              <w:pStyle w:val="186"/>
              <w:widowControl w:val="0"/>
              <w:spacing w:line="240" w:lineRule="auto"/>
              <w:ind w:firstLine="0"/>
              <w:jc w:val="left"/>
            </w:pPr>
            <w:r>
              <w:rPr>
                <w:rFonts w:hint="eastAsia"/>
              </w:rPr>
              <w:t>隧道接口的IPv4或IPv6地址</w:t>
            </w:r>
          </w:p>
        </w:tc>
      </w:tr>
      <w:tr w14:paraId="6C5EFA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4CC41F27">
            <w:pPr>
              <w:pStyle w:val="186"/>
              <w:widowControl w:val="0"/>
              <w:spacing w:line="240" w:lineRule="auto"/>
              <w:ind w:firstLine="0"/>
              <w:jc w:val="left"/>
            </w:pPr>
            <w:r>
              <w:rPr>
                <w:rFonts w:hint="eastAsia"/>
              </w:rPr>
              <w:t>IPsec</w:t>
            </w:r>
          </w:p>
        </w:tc>
        <w:tc>
          <w:tcPr>
            <w:tcW w:w="7470" w:type="dxa"/>
            <w:shd w:val="clear" w:color="auto" w:fill="auto"/>
          </w:tcPr>
          <w:p w14:paraId="1AEC0A97">
            <w:pPr>
              <w:pStyle w:val="186"/>
              <w:widowControl w:val="0"/>
              <w:spacing w:line="240" w:lineRule="auto"/>
              <w:ind w:firstLine="0"/>
              <w:jc w:val="left"/>
            </w:pPr>
            <w:r>
              <w:rPr>
                <w:rFonts w:hint="eastAsia"/>
              </w:rPr>
              <w:t>选择一个已有的IPsec协商策略</w:t>
            </w:r>
          </w:p>
        </w:tc>
      </w:tr>
      <w:tr w14:paraId="50C04D7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12AF85F5">
            <w:pPr>
              <w:pStyle w:val="186"/>
              <w:widowControl w:val="0"/>
              <w:spacing w:line="240" w:lineRule="auto"/>
              <w:ind w:firstLine="0"/>
              <w:jc w:val="left"/>
            </w:pPr>
            <w:r>
              <w:rPr>
                <w:rFonts w:hint="eastAsia"/>
              </w:rPr>
              <w:t>地址项目</w:t>
            </w:r>
          </w:p>
        </w:tc>
        <w:tc>
          <w:tcPr>
            <w:tcW w:w="7470" w:type="dxa"/>
            <w:shd w:val="clear" w:color="auto" w:fill="auto"/>
          </w:tcPr>
          <w:p w14:paraId="72B2CF1C">
            <w:pPr>
              <w:pStyle w:val="186"/>
              <w:widowControl w:val="0"/>
              <w:spacing w:line="240" w:lineRule="auto"/>
              <w:ind w:firstLine="0"/>
              <w:jc w:val="left"/>
            </w:pPr>
            <w:r>
              <w:rPr>
                <w:rFonts w:hint="eastAsia"/>
              </w:rPr>
              <w:t>设置受保护的数据流范围</w:t>
            </w:r>
          </w:p>
        </w:tc>
      </w:tr>
    </w:tbl>
    <w:p w14:paraId="7C68EECC"/>
    <w:p w14:paraId="609E1220">
      <w:pPr>
        <w:pStyle w:val="5"/>
      </w:pPr>
      <w:bookmarkStart w:id="1692" w:name="_Toc23152505"/>
      <w:bookmarkStart w:id="1693" w:name="_Toc474249930"/>
      <w:bookmarkStart w:id="1694" w:name="_Toc40275938"/>
      <w:bookmarkStart w:id="1695" w:name="_Toc99561429"/>
      <w:bookmarkStart w:id="1696" w:name="_Toc141873368"/>
      <w:bookmarkStart w:id="1697" w:name="_Toc142400884"/>
      <w:bookmarkStart w:id="1698" w:name="_Toc15484739"/>
      <w:bookmarkStart w:id="1699" w:name="_Toc172218070"/>
      <w:bookmarkStart w:id="1700" w:name="_Toc194080697"/>
      <w:bookmarkStart w:id="1701" w:name="_Toc196728029"/>
      <w:r>
        <w:rPr>
          <w:rFonts w:hint="eastAsia"/>
        </w:rPr>
        <w:t>IPsec隧道接口修改</w:t>
      </w:r>
      <w:bookmarkEnd w:id="1692"/>
      <w:bookmarkEnd w:id="1693"/>
      <w:bookmarkEnd w:id="1694"/>
      <w:bookmarkEnd w:id="1695"/>
      <w:bookmarkEnd w:id="1696"/>
      <w:bookmarkEnd w:id="1697"/>
      <w:bookmarkEnd w:id="1698"/>
      <w:bookmarkEnd w:id="1699"/>
      <w:bookmarkEnd w:id="1700"/>
      <w:bookmarkEnd w:id="1701"/>
    </w:p>
    <w:p w14:paraId="2B2A45F2">
      <w:r>
        <w:rPr>
          <w:rFonts w:hint="eastAsia"/>
        </w:rPr>
        <w:t>如</w:t>
      </w:r>
      <w:r>
        <w:rPr>
          <w:color w:val="0000FF"/>
          <w:u w:val="single"/>
        </w:rPr>
        <w:fldChar w:fldCharType="begin"/>
      </w:r>
      <w:r>
        <w:rPr>
          <w:color w:val="0000FF"/>
          <w:u w:val="single"/>
        </w:rPr>
        <w:instrText xml:space="preserve"> </w:instrText>
      </w:r>
      <w:r>
        <w:rPr>
          <w:rFonts w:hint="eastAsia"/>
          <w:color w:val="0000FF"/>
          <w:u w:val="single"/>
        </w:rPr>
        <w:instrText xml:space="preserve">REF _Ref407451552 \r \h</w:instrText>
      </w:r>
      <w:r>
        <w:rPr>
          <w:color w:val="0000FF"/>
          <w:u w:val="single"/>
        </w:rPr>
        <w:instrText xml:space="preserve"> </w:instrText>
      </w:r>
      <w:r>
        <w:rPr>
          <w:color w:val="0000FF"/>
          <w:u w:val="single"/>
        </w:rPr>
        <w:fldChar w:fldCharType="separate"/>
      </w:r>
      <w:r>
        <w:rPr>
          <w:rFonts w:hint="eastAsia"/>
          <w:color w:val="0000FF"/>
          <w:u w:val="single"/>
        </w:rPr>
        <w:t>图6-33</w:t>
      </w:r>
      <w:r>
        <w:rPr>
          <w:color w:val="0000FF"/>
          <w:u w:val="single"/>
        </w:rPr>
        <w:fldChar w:fldCharType="end"/>
      </w:r>
      <w:r>
        <w:rPr>
          <w:rFonts w:hint="eastAsia"/>
        </w:rPr>
        <w:t>所示，通过菜单“</w:t>
      </w:r>
      <w:r>
        <w:t>网络配置&gt;VPN&gt;IPsec-VPN&gt; IPsec第三方对接</w:t>
      </w:r>
      <w:r>
        <w:rPr>
          <w:rFonts w:hint="eastAsia"/>
        </w:rPr>
        <w:t>&gt;</w:t>
      </w:r>
      <w:r>
        <w:t>IPsec</w:t>
      </w:r>
      <w:r>
        <w:rPr>
          <w:rFonts w:hint="eastAsia"/>
        </w:rPr>
        <w:t>隧道接口”使用该功能。</w:t>
      </w:r>
    </w:p>
    <w:p w14:paraId="0FCA131C">
      <w:r>
        <w:rPr>
          <w:rFonts w:hint="eastAsia"/>
        </w:rPr>
        <w:t>点击选定接口的</w:t>
      </w:r>
      <w:r>
        <w:t>&lt;</w:t>
      </w:r>
      <w:r>
        <w:rPr>
          <w:rFonts w:hint="eastAsia"/>
        </w:rPr>
        <w:t>编辑</w:t>
      </w:r>
      <w:r>
        <w:t>&gt;</w:t>
      </w:r>
      <w:r>
        <w:rPr>
          <w:rFonts w:hint="eastAsia"/>
        </w:rPr>
        <w:t>按钮，切换到编辑界面。</w:t>
      </w:r>
    </w:p>
    <w:p w14:paraId="564BC381">
      <w:pPr>
        <w:pStyle w:val="188"/>
      </w:pPr>
      <w:bookmarkStart w:id="1702" w:name="_Ref407451552"/>
      <w:bookmarkStart w:id="1703" w:name="_Toc141874568"/>
      <w:r>
        <w:rPr>
          <w:rFonts w:hint="eastAsia"/>
        </w:rPr>
        <w:t>IPsec隧道接口编辑界面</w:t>
      </w:r>
      <w:bookmarkEnd w:id="1702"/>
      <w:bookmarkEnd w:id="1703"/>
    </w:p>
    <w:p w14:paraId="33981DC1">
      <w:r>
        <w:t xml:space="preserve">  </w:t>
      </w:r>
      <w:r>
        <w:drawing>
          <wp:inline distT="0" distB="0" distL="0" distR="0">
            <wp:extent cx="5343525" cy="3420745"/>
            <wp:effectExtent l="0" t="0" r="0" b="8255"/>
            <wp:docPr id="839" name="图片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图片 839"/>
                    <pic:cNvPicPr>
                      <a:picLocks noChangeAspect="1"/>
                    </pic:cNvPicPr>
                  </pic:nvPicPr>
                  <pic:blipFill>
                    <a:blip r:embed="rId242"/>
                    <a:stretch>
                      <a:fillRect/>
                    </a:stretch>
                  </pic:blipFill>
                  <pic:spPr>
                    <a:xfrm>
                      <a:off x="0" y="0"/>
                      <a:ext cx="5347563" cy="3423572"/>
                    </a:xfrm>
                    <a:prstGeom prst="rect">
                      <a:avLst/>
                    </a:prstGeom>
                  </pic:spPr>
                </pic:pic>
              </a:graphicData>
            </a:graphic>
          </wp:inline>
        </w:drawing>
      </w:r>
    </w:p>
    <w:p w14:paraId="6DBA528C"/>
    <w:p w14:paraId="1FFDB21B">
      <w:pPr>
        <w:pStyle w:val="5"/>
      </w:pPr>
      <w:bookmarkStart w:id="1704" w:name="_Toc15484740"/>
      <w:bookmarkStart w:id="1705" w:name="_Toc40275939"/>
      <w:bookmarkStart w:id="1706" w:name="_Toc23152506"/>
      <w:bookmarkStart w:id="1707" w:name="_Toc99561430"/>
      <w:bookmarkStart w:id="1708" w:name="_Toc141873369"/>
      <w:bookmarkStart w:id="1709" w:name="_Toc474249931"/>
      <w:bookmarkStart w:id="1710" w:name="_Toc142400885"/>
      <w:bookmarkStart w:id="1711" w:name="_Toc196728030"/>
      <w:bookmarkStart w:id="1712" w:name="_Toc194080698"/>
      <w:bookmarkStart w:id="1713" w:name="_Toc172218071"/>
      <w:r>
        <w:rPr>
          <w:rFonts w:hint="eastAsia"/>
        </w:rPr>
        <w:t>IPsec隧道接口删除</w:t>
      </w:r>
      <w:bookmarkEnd w:id="1704"/>
      <w:bookmarkEnd w:id="1705"/>
      <w:bookmarkEnd w:id="1706"/>
      <w:bookmarkEnd w:id="1707"/>
      <w:bookmarkEnd w:id="1708"/>
      <w:bookmarkEnd w:id="1709"/>
      <w:bookmarkEnd w:id="1710"/>
      <w:bookmarkEnd w:id="1711"/>
      <w:bookmarkEnd w:id="1712"/>
      <w:bookmarkEnd w:id="1713"/>
    </w:p>
    <w:p w14:paraId="62A6895A">
      <w:r>
        <w:rPr>
          <w:rFonts w:hint="eastAsia"/>
        </w:rPr>
        <w:t>如</w:t>
      </w:r>
      <w:r>
        <w:rPr>
          <w:color w:val="0000FF"/>
          <w:u w:val="single"/>
        </w:rPr>
        <w:fldChar w:fldCharType="begin"/>
      </w:r>
      <w:r>
        <w:rPr>
          <w:color w:val="0000FF"/>
          <w:u w:val="single"/>
        </w:rPr>
        <w:instrText xml:space="preserve"> </w:instrText>
      </w:r>
      <w:r>
        <w:rPr>
          <w:rFonts w:hint="eastAsia"/>
          <w:color w:val="0000FF"/>
          <w:u w:val="single"/>
        </w:rPr>
        <w:instrText xml:space="preserve">REF _Ref407451579 \r \h</w:instrText>
      </w:r>
      <w:r>
        <w:rPr>
          <w:color w:val="0000FF"/>
          <w:u w:val="single"/>
        </w:rPr>
        <w:instrText xml:space="preserve"> </w:instrText>
      </w:r>
      <w:r>
        <w:rPr>
          <w:color w:val="0000FF"/>
          <w:u w:val="single"/>
        </w:rPr>
        <w:fldChar w:fldCharType="separate"/>
      </w:r>
      <w:r>
        <w:rPr>
          <w:rFonts w:hint="eastAsia"/>
          <w:color w:val="0000FF"/>
          <w:u w:val="single"/>
        </w:rPr>
        <w:t>图6-34</w:t>
      </w:r>
      <w:r>
        <w:rPr>
          <w:color w:val="0000FF"/>
          <w:u w:val="single"/>
        </w:rPr>
        <w:fldChar w:fldCharType="end"/>
      </w:r>
      <w:r>
        <w:rPr>
          <w:rFonts w:hint="eastAsia"/>
        </w:rPr>
        <w:t>所示，通过菜单“</w:t>
      </w:r>
      <w:r>
        <w:t>网络配置&gt;VPN&gt;IPsec-VPN&gt; IPsec第三方对接</w:t>
      </w:r>
      <w:r>
        <w:rPr>
          <w:rFonts w:hint="eastAsia"/>
        </w:rPr>
        <w:t>&gt;</w:t>
      </w:r>
      <w:r>
        <w:t>IPsec</w:t>
      </w:r>
      <w:r>
        <w:rPr>
          <w:rFonts w:hint="eastAsia"/>
        </w:rPr>
        <w:t>隧道接口”使用该功能。</w:t>
      </w:r>
    </w:p>
    <w:p w14:paraId="29F02FD7">
      <w:r>
        <w:rPr>
          <w:rFonts w:hint="eastAsia"/>
        </w:rPr>
        <w:t>点击</w:t>
      </w:r>
      <w:r>
        <w:t>&lt;</w:t>
      </w:r>
      <w:r>
        <w:rPr>
          <w:rFonts w:hint="eastAsia"/>
        </w:rPr>
        <w:t>删除</w:t>
      </w:r>
      <w:r>
        <w:t>&gt;</w:t>
      </w:r>
      <w:r>
        <w:rPr>
          <w:rFonts w:hint="eastAsia"/>
        </w:rPr>
        <w:t>按钮，删除选定的接口。</w:t>
      </w:r>
    </w:p>
    <w:p w14:paraId="7E682564">
      <w:pPr>
        <w:pStyle w:val="188"/>
      </w:pPr>
      <w:bookmarkStart w:id="1714" w:name="_Toc141874569"/>
      <w:bookmarkStart w:id="1715" w:name="_Ref407451579"/>
      <w:r>
        <w:rPr>
          <w:rFonts w:hint="eastAsia"/>
        </w:rPr>
        <w:t>IPsec隧道接口删除界面</w:t>
      </w:r>
      <w:bookmarkEnd w:id="1714"/>
      <w:bookmarkEnd w:id="1715"/>
    </w:p>
    <w:p w14:paraId="7C6F68CE">
      <w:r>
        <w:t xml:space="preserve">  </w:t>
      </w:r>
      <w:r>
        <w:drawing>
          <wp:inline distT="0" distB="0" distL="0" distR="0">
            <wp:extent cx="5610225" cy="925195"/>
            <wp:effectExtent l="0" t="0" r="0" b="8255"/>
            <wp:docPr id="840" name="图片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图片 840"/>
                    <pic:cNvPicPr>
                      <a:picLocks noChangeAspect="1"/>
                    </pic:cNvPicPr>
                  </pic:nvPicPr>
                  <pic:blipFill>
                    <a:blip r:embed="rId243"/>
                    <a:stretch>
                      <a:fillRect/>
                    </a:stretch>
                  </pic:blipFill>
                  <pic:spPr>
                    <a:xfrm>
                      <a:off x="0" y="0"/>
                      <a:ext cx="5665139" cy="934492"/>
                    </a:xfrm>
                    <a:prstGeom prst="rect">
                      <a:avLst/>
                    </a:prstGeom>
                  </pic:spPr>
                </pic:pic>
              </a:graphicData>
            </a:graphic>
          </wp:inline>
        </w:drawing>
      </w:r>
    </w:p>
    <w:p w14:paraId="5914B439"/>
    <w:p w14:paraId="0A52E59F">
      <w:pPr>
        <w:pStyle w:val="5"/>
      </w:pPr>
      <w:bookmarkStart w:id="1716" w:name="_Toc142400886"/>
      <w:bookmarkStart w:id="1717" w:name="_Toc99561431"/>
      <w:bookmarkStart w:id="1718" w:name="_Toc23152507"/>
      <w:bookmarkStart w:id="1719" w:name="_Toc194080699"/>
      <w:bookmarkStart w:id="1720" w:name="_Toc15484741"/>
      <w:bookmarkStart w:id="1721" w:name="_Toc40275940"/>
      <w:bookmarkStart w:id="1722" w:name="_Toc141873370"/>
      <w:bookmarkStart w:id="1723" w:name="_Toc196728031"/>
      <w:bookmarkStart w:id="1724" w:name="_Toc474249932"/>
      <w:bookmarkStart w:id="1725" w:name="_Toc172218072"/>
      <w:r>
        <w:rPr>
          <w:rFonts w:hint="eastAsia"/>
        </w:rPr>
        <w:t>IPsec隧道接口属性配置</w:t>
      </w:r>
      <w:bookmarkEnd w:id="1716"/>
      <w:bookmarkEnd w:id="1717"/>
      <w:bookmarkEnd w:id="1718"/>
      <w:bookmarkEnd w:id="1719"/>
      <w:bookmarkEnd w:id="1720"/>
      <w:bookmarkEnd w:id="1721"/>
      <w:bookmarkEnd w:id="1722"/>
      <w:bookmarkEnd w:id="1723"/>
      <w:bookmarkEnd w:id="1724"/>
      <w:bookmarkEnd w:id="1725"/>
    </w:p>
    <w:p w14:paraId="293FC25B">
      <w:r>
        <w:rPr>
          <w:rFonts w:hint="eastAsia"/>
        </w:rPr>
        <w:t>如</w:t>
      </w:r>
      <w:r>
        <w:fldChar w:fldCharType="begin"/>
      </w:r>
      <w:r>
        <w:instrText xml:space="preserve"> </w:instrText>
      </w:r>
      <w:r>
        <w:rPr>
          <w:rFonts w:hint="eastAsia"/>
        </w:rPr>
        <w:instrText xml:space="preserve">REF _Ref407451592 \r \h</w:instrText>
      </w:r>
      <w:r>
        <w:instrText xml:space="preserve"> </w:instrText>
      </w:r>
      <w:r>
        <w:fldChar w:fldCharType="separate"/>
      </w:r>
      <w:r>
        <w:rPr>
          <w:rFonts w:hint="eastAsia"/>
        </w:rPr>
        <w:t>图6-35</w:t>
      </w:r>
      <w:r>
        <w:fldChar w:fldCharType="end"/>
      </w:r>
      <w:r>
        <w:rPr>
          <w:rFonts w:hint="eastAsia"/>
        </w:rPr>
        <w:t>所示，通过菜单“网络配置&gt;接口配置</w:t>
      </w:r>
      <w:r>
        <w:t>&gt;</w:t>
      </w:r>
      <w:r>
        <w:rPr>
          <w:rFonts w:hint="eastAsia"/>
        </w:rPr>
        <w:t>隧道接口”使用该功能。</w:t>
      </w:r>
    </w:p>
    <w:p w14:paraId="0E0FDC60">
      <w:r>
        <w:rPr>
          <w:rFonts w:hint="eastAsia"/>
        </w:rPr>
        <w:t>点击选定接口的</w:t>
      </w:r>
      <w:r>
        <w:t>&lt;</w:t>
      </w:r>
      <w:r>
        <w:rPr>
          <w:rFonts w:hint="eastAsia"/>
        </w:rPr>
        <w:t>编辑</w:t>
      </w:r>
      <w:r>
        <w:t>&gt;</w:t>
      </w:r>
      <w:r>
        <w:rPr>
          <w:rFonts w:hint="eastAsia"/>
        </w:rPr>
        <w:t>按钮，切换到编辑界面。</w:t>
      </w:r>
    </w:p>
    <w:p w14:paraId="11861503">
      <w:pPr>
        <w:pStyle w:val="188"/>
      </w:pPr>
      <w:bookmarkStart w:id="1726" w:name="_Ref407451592"/>
      <w:bookmarkStart w:id="1727" w:name="_Toc141874570"/>
      <w:r>
        <w:rPr>
          <w:rFonts w:hint="eastAsia"/>
        </w:rPr>
        <w:t>IPsec隧道接口属性配置</w:t>
      </w:r>
      <w:bookmarkEnd w:id="1726"/>
      <w:bookmarkEnd w:id="1727"/>
    </w:p>
    <w:p w14:paraId="5FE0C82A">
      <w:r>
        <w:drawing>
          <wp:inline distT="0" distB="0" distL="0" distR="0">
            <wp:extent cx="5419725" cy="3739515"/>
            <wp:effectExtent l="0" t="0" r="0" b="0"/>
            <wp:docPr id="841" name="图片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图片 841"/>
                    <pic:cNvPicPr>
                      <a:picLocks noChangeAspect="1"/>
                    </pic:cNvPicPr>
                  </pic:nvPicPr>
                  <pic:blipFill>
                    <a:blip r:embed="rId244"/>
                    <a:stretch>
                      <a:fillRect/>
                    </a:stretch>
                  </pic:blipFill>
                  <pic:spPr>
                    <a:xfrm>
                      <a:off x="0" y="0"/>
                      <a:ext cx="5431957" cy="3748101"/>
                    </a:xfrm>
                    <a:prstGeom prst="rect">
                      <a:avLst/>
                    </a:prstGeom>
                  </pic:spPr>
                </pic:pic>
              </a:graphicData>
            </a:graphic>
          </wp:inline>
        </w:drawing>
      </w:r>
    </w:p>
    <w:p w14:paraId="4D6BD650"/>
    <w:p w14:paraId="3D0999D9">
      <w:pPr>
        <w:pStyle w:val="3"/>
      </w:pPr>
      <w:bookmarkStart w:id="1728" w:name="_Toc474249934"/>
      <w:bookmarkStart w:id="1729" w:name="_Toc6232252"/>
      <w:bookmarkStart w:id="1730" w:name="_Toc142400887"/>
      <w:bookmarkStart w:id="1731" w:name="_Toc99561433"/>
      <w:bookmarkStart w:id="1732" w:name="_Toc23152509"/>
      <w:bookmarkStart w:id="1733" w:name="_Toc15484743"/>
      <w:bookmarkStart w:id="1734" w:name="_Toc40275942"/>
      <w:bookmarkStart w:id="1735" w:name="_Toc141873371"/>
      <w:bookmarkStart w:id="1736" w:name="_Toc196728032"/>
      <w:bookmarkStart w:id="1737" w:name="_Toc194080700"/>
      <w:bookmarkStart w:id="1738" w:name="_Toc172218073"/>
      <w:r>
        <w:rPr>
          <w:rFonts w:hint="eastAsia"/>
        </w:rPr>
        <w:t>路由</w:t>
      </w:r>
      <w:bookmarkEnd w:id="1728"/>
      <w:bookmarkEnd w:id="1729"/>
      <w:r>
        <w:rPr>
          <w:rFonts w:hint="eastAsia"/>
        </w:rPr>
        <w:t>管理</w:t>
      </w:r>
      <w:bookmarkEnd w:id="1730"/>
      <w:bookmarkEnd w:id="1731"/>
      <w:bookmarkEnd w:id="1732"/>
      <w:bookmarkEnd w:id="1733"/>
      <w:bookmarkEnd w:id="1734"/>
      <w:bookmarkEnd w:id="1735"/>
      <w:r>
        <w:rPr>
          <w:rFonts w:hint="eastAsia"/>
        </w:rPr>
        <w:t>（仅支持</w:t>
      </w:r>
      <w:r>
        <w:t>Cavium</w:t>
      </w:r>
      <w:r>
        <w:rPr>
          <w:rFonts w:hint="eastAsia"/>
        </w:rPr>
        <w:t>平台硬件款型）</w:t>
      </w:r>
      <w:bookmarkEnd w:id="1736"/>
      <w:bookmarkEnd w:id="1737"/>
      <w:bookmarkEnd w:id="1738"/>
    </w:p>
    <w:p w14:paraId="345FEB0E">
      <w:pPr>
        <w:pStyle w:val="4"/>
      </w:pPr>
      <w:bookmarkStart w:id="1739" w:name="_Toc142400888"/>
      <w:bookmarkStart w:id="1740" w:name="_Toc99561434"/>
      <w:bookmarkStart w:id="1741" w:name="_Toc172218074"/>
      <w:bookmarkStart w:id="1742" w:name="_Toc15484744"/>
      <w:bookmarkStart w:id="1743" w:name="_Toc23152510"/>
      <w:bookmarkStart w:id="1744" w:name="_Toc40275943"/>
      <w:bookmarkStart w:id="1745" w:name="_Toc194080701"/>
      <w:bookmarkStart w:id="1746" w:name="_Toc141873372"/>
      <w:bookmarkStart w:id="1747" w:name="_Toc196728033"/>
      <w:r>
        <w:rPr>
          <w:rFonts w:hint="eastAsia"/>
        </w:rPr>
        <w:t>静态路由</w:t>
      </w:r>
      <w:bookmarkEnd w:id="1739"/>
      <w:bookmarkEnd w:id="1740"/>
      <w:bookmarkEnd w:id="1741"/>
      <w:bookmarkEnd w:id="1742"/>
      <w:bookmarkEnd w:id="1743"/>
      <w:bookmarkEnd w:id="1744"/>
      <w:bookmarkEnd w:id="1745"/>
      <w:bookmarkEnd w:id="1746"/>
      <w:bookmarkEnd w:id="1747"/>
    </w:p>
    <w:p w14:paraId="5EC94E07">
      <w:pPr>
        <w:pStyle w:val="5"/>
      </w:pPr>
      <w:bookmarkStart w:id="1748" w:name="_Toc172218075"/>
      <w:bookmarkStart w:id="1749" w:name="_Toc40275944"/>
      <w:bookmarkStart w:id="1750" w:name="_Toc99561435"/>
      <w:bookmarkStart w:id="1751" w:name="_Toc474249935"/>
      <w:bookmarkStart w:id="1752" w:name="_Toc142400889"/>
      <w:bookmarkStart w:id="1753" w:name="_Toc194080702"/>
      <w:bookmarkStart w:id="1754" w:name="_Toc23152511"/>
      <w:bookmarkStart w:id="1755" w:name="_Toc15484745"/>
      <w:bookmarkStart w:id="1756" w:name="_Toc141873373"/>
      <w:bookmarkStart w:id="1757" w:name="_Toc6232253"/>
      <w:bookmarkStart w:id="1758" w:name="_Toc196728034"/>
      <w:r>
        <w:rPr>
          <w:rFonts w:hint="eastAsia"/>
        </w:rPr>
        <w:t>概述</w:t>
      </w:r>
      <w:bookmarkEnd w:id="1748"/>
      <w:bookmarkEnd w:id="1749"/>
      <w:bookmarkEnd w:id="1750"/>
      <w:bookmarkEnd w:id="1751"/>
      <w:bookmarkEnd w:id="1752"/>
      <w:bookmarkEnd w:id="1753"/>
      <w:bookmarkEnd w:id="1754"/>
      <w:bookmarkEnd w:id="1755"/>
      <w:bookmarkEnd w:id="1756"/>
      <w:bookmarkEnd w:id="1757"/>
      <w:bookmarkEnd w:id="1758"/>
    </w:p>
    <w:p w14:paraId="6BC3497E">
      <w:r>
        <w:rPr>
          <w:rFonts w:hint="eastAsia"/>
        </w:rPr>
        <w:t>静态路由是在设备中设置的固定的路由。除非网络管理员干预，否则静态路由不会发生变化。由于静态路由不能对网络的改变作出反映，一般用于网络规模不大、拓扑结构固定的网络中。静态路由的优点是简单、高效、可靠。在所有的路由中，静态路由优先级最高。当动态路由与静态路由发生冲突时，以静态路由为准。</w:t>
      </w:r>
    </w:p>
    <w:p w14:paraId="3DE756A4">
      <w:pPr>
        <w:pStyle w:val="5"/>
      </w:pPr>
      <w:bookmarkStart w:id="1759" w:name="_Toc15484746"/>
      <w:bookmarkStart w:id="1760" w:name="_Toc142400890"/>
      <w:bookmarkStart w:id="1761" w:name="_Toc194080703"/>
      <w:bookmarkStart w:id="1762" w:name="_Toc23152512"/>
      <w:bookmarkStart w:id="1763" w:name="_Toc196728035"/>
      <w:bookmarkStart w:id="1764" w:name="_Toc172218076"/>
      <w:bookmarkStart w:id="1765" w:name="_Toc99561436"/>
      <w:bookmarkStart w:id="1766" w:name="_Toc6232254"/>
      <w:bookmarkStart w:id="1767" w:name="_Toc141873374"/>
      <w:bookmarkStart w:id="1768" w:name="_Toc40275945"/>
      <w:bookmarkStart w:id="1769" w:name="_Toc474249936"/>
      <w:r>
        <w:rPr>
          <w:rFonts w:hint="eastAsia"/>
        </w:rPr>
        <w:t>查看静态路由表</w:t>
      </w:r>
      <w:bookmarkEnd w:id="1759"/>
      <w:bookmarkEnd w:id="1760"/>
      <w:bookmarkEnd w:id="1761"/>
      <w:bookmarkEnd w:id="1762"/>
      <w:bookmarkEnd w:id="1763"/>
      <w:bookmarkEnd w:id="1764"/>
      <w:bookmarkEnd w:id="1765"/>
      <w:bookmarkEnd w:id="1766"/>
      <w:bookmarkEnd w:id="1767"/>
      <w:bookmarkEnd w:id="1768"/>
      <w:bookmarkEnd w:id="1769"/>
    </w:p>
    <w:p w14:paraId="6EF3B2C2">
      <w:r>
        <w:rPr>
          <w:rFonts w:hint="eastAsia"/>
        </w:rPr>
        <w:t>通过菜单“网络配置&gt; 路由管理</w:t>
      </w:r>
      <w:r>
        <w:t xml:space="preserve"> &gt; </w:t>
      </w:r>
      <w:r>
        <w:rPr>
          <w:rFonts w:hint="eastAsia"/>
        </w:rPr>
        <w:t>静态路由”，进入如</w:t>
      </w:r>
      <w:r>
        <w:fldChar w:fldCharType="begin"/>
      </w:r>
      <w:r>
        <w:instrText xml:space="preserve"> REF _Ref392837786 \r \h </w:instrText>
      </w:r>
      <w:r>
        <w:fldChar w:fldCharType="separate"/>
      </w:r>
      <w:r>
        <w:rPr>
          <w:rFonts w:hint="eastAsia"/>
        </w:rPr>
        <w:t>图7-1</w:t>
      </w:r>
      <w:r>
        <w:fldChar w:fldCharType="end"/>
      </w:r>
      <w:r>
        <w:rPr>
          <w:rFonts w:hint="eastAsia"/>
        </w:rPr>
        <w:t>所示页面。在该页面上，可以查看已经配置的静态路由信息。</w:t>
      </w:r>
    </w:p>
    <w:p w14:paraId="161DACDF">
      <w:pPr>
        <w:pStyle w:val="188"/>
      </w:pPr>
      <w:bookmarkStart w:id="1770" w:name="_Ref392837786"/>
      <w:bookmarkStart w:id="1771" w:name="_Toc141874571"/>
      <w:r>
        <w:rPr>
          <w:rFonts w:hint="eastAsia"/>
        </w:rPr>
        <w:t>静态路由表</w:t>
      </w:r>
      <w:bookmarkEnd w:id="1770"/>
      <w:bookmarkEnd w:id="1771"/>
    </w:p>
    <w:p w14:paraId="0B7DAC2D">
      <w:r>
        <w:drawing>
          <wp:inline distT="0" distB="0" distL="0" distR="0">
            <wp:extent cx="5676900" cy="1118235"/>
            <wp:effectExtent l="0" t="0" r="0" b="5715"/>
            <wp:docPr id="1285" name="图片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 name="图片 1285"/>
                    <pic:cNvPicPr>
                      <a:picLocks noChangeAspect="1"/>
                    </pic:cNvPicPr>
                  </pic:nvPicPr>
                  <pic:blipFill>
                    <a:blip r:embed="rId245"/>
                    <a:stretch>
                      <a:fillRect/>
                    </a:stretch>
                  </pic:blipFill>
                  <pic:spPr>
                    <a:xfrm>
                      <a:off x="0" y="0"/>
                      <a:ext cx="5734094" cy="1129686"/>
                    </a:xfrm>
                    <a:prstGeom prst="rect">
                      <a:avLst/>
                    </a:prstGeom>
                  </pic:spPr>
                </pic:pic>
              </a:graphicData>
            </a:graphic>
          </wp:inline>
        </w:drawing>
      </w:r>
    </w:p>
    <w:p w14:paraId="6F42E08F"/>
    <w:p w14:paraId="73ADC036">
      <w:pPr>
        <w:pStyle w:val="5"/>
      </w:pPr>
      <w:bookmarkStart w:id="1772" w:name="_Toc389749873"/>
      <w:bookmarkStart w:id="1773" w:name="_Toc6232255"/>
      <w:bookmarkStart w:id="1774" w:name="_Toc15484747"/>
      <w:bookmarkStart w:id="1775" w:name="_Toc389059130"/>
      <w:bookmarkStart w:id="1776" w:name="_Toc474249937"/>
      <w:bookmarkStart w:id="1777" w:name="_Toc99561437"/>
      <w:bookmarkStart w:id="1778" w:name="_Toc23152513"/>
      <w:bookmarkStart w:id="1779" w:name="_Toc142400891"/>
      <w:bookmarkStart w:id="1780" w:name="_Toc141873375"/>
      <w:bookmarkStart w:id="1781" w:name="_Toc194080704"/>
      <w:bookmarkStart w:id="1782" w:name="_Toc172218077"/>
      <w:bookmarkStart w:id="1783" w:name="_Toc40275946"/>
      <w:bookmarkStart w:id="1784" w:name="_Toc196728036"/>
      <w:r>
        <w:rPr>
          <w:rFonts w:hint="eastAsia"/>
        </w:rPr>
        <w:t>新建静态路由</w:t>
      </w:r>
      <w:bookmarkEnd w:id="1772"/>
      <w:bookmarkEnd w:id="1773"/>
      <w:bookmarkEnd w:id="1774"/>
      <w:bookmarkEnd w:id="1775"/>
      <w:bookmarkEnd w:id="1776"/>
      <w:bookmarkEnd w:id="1777"/>
      <w:bookmarkEnd w:id="1778"/>
      <w:bookmarkEnd w:id="1779"/>
      <w:bookmarkEnd w:id="1780"/>
      <w:bookmarkEnd w:id="1781"/>
      <w:bookmarkEnd w:id="1782"/>
      <w:bookmarkEnd w:id="1783"/>
      <w:bookmarkEnd w:id="1784"/>
    </w:p>
    <w:p w14:paraId="6BB3D7F8">
      <w:r>
        <w:rPr>
          <w:rFonts w:hint="eastAsia"/>
        </w:rPr>
        <w:t>通过点击</w:t>
      </w:r>
      <w:r>
        <w:fldChar w:fldCharType="begin"/>
      </w:r>
      <w:r>
        <w:instrText xml:space="preserve"> REF _Ref392837786 \r \h </w:instrText>
      </w:r>
      <w:r>
        <w:fldChar w:fldCharType="separate"/>
      </w:r>
      <w:r>
        <w:rPr>
          <w:rFonts w:hint="eastAsia"/>
        </w:rPr>
        <w:t>图7-1</w:t>
      </w:r>
      <w:r>
        <w:fldChar w:fldCharType="end"/>
      </w:r>
      <w:r>
        <w:rPr>
          <w:rFonts w:hint="eastAsia"/>
        </w:rPr>
        <w:t>中的“新建”，进入如</w:t>
      </w:r>
      <w:r>
        <w:fldChar w:fldCharType="begin"/>
      </w:r>
      <w:r>
        <w:instrText xml:space="preserve"> REF _Ref392776123 \r \h </w:instrText>
      </w:r>
      <w:r>
        <w:fldChar w:fldCharType="separate"/>
      </w:r>
      <w:r>
        <w:rPr>
          <w:rFonts w:hint="eastAsia"/>
        </w:rPr>
        <w:t>图7-2</w:t>
      </w:r>
      <w:r>
        <w:fldChar w:fldCharType="end"/>
      </w:r>
      <w:r>
        <w:rPr>
          <w:rFonts w:hint="eastAsia"/>
        </w:rPr>
        <w:t>所示页面。各配置项含义如</w:t>
      </w:r>
      <w:r>
        <w:fldChar w:fldCharType="begin"/>
      </w:r>
      <w:r>
        <w:instrText xml:space="preserve"> REF _Ref392776132 \r \h </w:instrText>
      </w:r>
      <w:r>
        <w:fldChar w:fldCharType="separate"/>
      </w:r>
      <w:r>
        <w:rPr>
          <w:rFonts w:hint="eastAsia"/>
        </w:rPr>
        <w:t>表7-1</w:t>
      </w:r>
      <w:r>
        <w:fldChar w:fldCharType="end"/>
      </w:r>
      <w:r>
        <w:rPr>
          <w:rFonts w:hint="eastAsia"/>
        </w:rPr>
        <w:t>所示。</w:t>
      </w:r>
    </w:p>
    <w:p w14:paraId="6D7124C6">
      <w:pPr>
        <w:pStyle w:val="188"/>
      </w:pPr>
      <w:bookmarkStart w:id="1785" w:name="_Ref392776123"/>
      <w:bookmarkStart w:id="1786" w:name="_Toc141874572"/>
      <w:r>
        <w:rPr>
          <w:rFonts w:hint="eastAsia"/>
        </w:rPr>
        <w:t>静态路由配置页面</w:t>
      </w:r>
      <w:bookmarkEnd w:id="1785"/>
      <w:bookmarkEnd w:id="1786"/>
    </w:p>
    <w:p w14:paraId="289CBE7C">
      <w:r>
        <w:drawing>
          <wp:inline distT="0" distB="0" distL="114300" distR="114300">
            <wp:extent cx="4991100" cy="2952750"/>
            <wp:effectExtent l="0" t="0" r="0" b="6350"/>
            <wp:docPr id="96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图片 46"/>
                    <pic:cNvPicPr>
                      <a:picLocks noChangeAspect="1"/>
                    </pic:cNvPicPr>
                  </pic:nvPicPr>
                  <pic:blipFill>
                    <a:blip r:embed="rId246"/>
                    <a:stretch>
                      <a:fillRect/>
                    </a:stretch>
                  </pic:blipFill>
                  <pic:spPr>
                    <a:xfrm>
                      <a:off x="0" y="0"/>
                      <a:ext cx="4991100" cy="2952750"/>
                    </a:xfrm>
                    <a:prstGeom prst="rect">
                      <a:avLst/>
                    </a:prstGeom>
                    <a:noFill/>
                    <a:ln>
                      <a:noFill/>
                    </a:ln>
                  </pic:spPr>
                </pic:pic>
              </a:graphicData>
            </a:graphic>
          </wp:inline>
        </w:drawing>
      </w:r>
    </w:p>
    <w:p w14:paraId="20446CF2"/>
    <w:p w14:paraId="7C1447D8">
      <w:pPr>
        <w:pStyle w:val="183"/>
      </w:pPr>
      <w:bookmarkStart w:id="1787" w:name="_Toc141875480"/>
      <w:bookmarkStart w:id="1788" w:name="_Ref392776132"/>
      <w:r>
        <w:rPr>
          <w:rFonts w:hint="eastAsia"/>
        </w:rPr>
        <w:t>静态路由配置项含义</w:t>
      </w:r>
      <w:bookmarkEnd w:id="1787"/>
      <w:bookmarkEnd w:id="1788"/>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3"/>
        <w:gridCol w:w="6635"/>
      </w:tblGrid>
      <w:tr w14:paraId="1A88C3C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20" w:hRule="atLeast"/>
        </w:trPr>
        <w:tc>
          <w:tcPr>
            <w:tcW w:w="2333" w:type="dxa"/>
            <w:tcBorders>
              <w:tl2br w:val="nil"/>
              <w:tr2bl w:val="nil"/>
            </w:tcBorders>
            <w:shd w:val="clear" w:color="auto" w:fill="538135" w:themeFill="accent6" w:themeFillShade="BF"/>
            <w:vAlign w:val="center"/>
          </w:tcPr>
          <w:p w14:paraId="311511B2">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35" w:type="dxa"/>
            <w:tcBorders>
              <w:tl2br w:val="nil"/>
              <w:tr2bl w:val="nil"/>
            </w:tcBorders>
            <w:shd w:val="clear" w:color="auto" w:fill="538135" w:themeFill="accent6" w:themeFillShade="BF"/>
            <w:vAlign w:val="center"/>
          </w:tcPr>
          <w:p w14:paraId="1054A69E">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E430E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0BCB94F8">
            <w:pPr>
              <w:pStyle w:val="186"/>
              <w:widowControl w:val="0"/>
              <w:spacing w:line="240" w:lineRule="auto"/>
              <w:ind w:firstLine="0"/>
              <w:jc w:val="left"/>
            </w:pPr>
            <w:r>
              <w:rPr>
                <w:rFonts w:hint="eastAsia"/>
              </w:rPr>
              <w:t>目的网段</w:t>
            </w:r>
          </w:p>
        </w:tc>
        <w:tc>
          <w:tcPr>
            <w:tcW w:w="6635" w:type="dxa"/>
            <w:shd w:val="clear" w:color="auto" w:fill="auto"/>
          </w:tcPr>
          <w:p w14:paraId="1C1EA23F">
            <w:pPr>
              <w:pStyle w:val="186"/>
              <w:widowControl w:val="0"/>
              <w:spacing w:line="240" w:lineRule="auto"/>
              <w:ind w:firstLine="0"/>
              <w:jc w:val="left"/>
            </w:pPr>
            <w:r>
              <w:rPr>
                <w:rFonts w:hint="eastAsia"/>
              </w:rPr>
              <w:t>设置静态路由的目的网段</w:t>
            </w:r>
          </w:p>
        </w:tc>
      </w:tr>
      <w:tr w14:paraId="4F3F873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4D91EB86">
            <w:pPr>
              <w:pStyle w:val="186"/>
              <w:widowControl w:val="0"/>
              <w:spacing w:line="240" w:lineRule="auto"/>
              <w:ind w:firstLine="0"/>
              <w:jc w:val="left"/>
            </w:pPr>
            <w:r>
              <w:rPr>
                <w:rFonts w:hint="eastAsia"/>
              </w:rPr>
              <w:t>子网掩码</w:t>
            </w:r>
          </w:p>
        </w:tc>
        <w:tc>
          <w:tcPr>
            <w:tcW w:w="6635" w:type="dxa"/>
            <w:shd w:val="clear" w:color="auto" w:fill="auto"/>
          </w:tcPr>
          <w:p w14:paraId="72054546">
            <w:pPr>
              <w:pStyle w:val="186"/>
              <w:widowControl w:val="0"/>
              <w:spacing w:line="240" w:lineRule="auto"/>
              <w:ind w:firstLine="0"/>
              <w:jc w:val="left"/>
            </w:pPr>
            <w:r>
              <w:rPr>
                <w:rFonts w:hint="eastAsia"/>
              </w:rPr>
              <w:t>设置静态路由的网络掩码，可以输入掩码长度或者点分十进制格式的掩码</w:t>
            </w:r>
          </w:p>
        </w:tc>
      </w:tr>
      <w:tr w14:paraId="6ADC90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53331B53">
            <w:pPr>
              <w:pStyle w:val="186"/>
              <w:widowControl w:val="0"/>
              <w:spacing w:line="240" w:lineRule="auto"/>
              <w:ind w:firstLine="0"/>
              <w:jc w:val="left"/>
            </w:pPr>
            <w:r>
              <w:rPr>
                <w:rFonts w:hint="eastAsia"/>
              </w:rPr>
              <w:t>下一跳</w:t>
            </w:r>
          </w:p>
        </w:tc>
        <w:tc>
          <w:tcPr>
            <w:tcW w:w="6635" w:type="dxa"/>
            <w:shd w:val="clear" w:color="auto" w:fill="auto"/>
          </w:tcPr>
          <w:p w14:paraId="6AAC30E4">
            <w:pPr>
              <w:pStyle w:val="186"/>
              <w:widowControl w:val="0"/>
              <w:spacing w:line="240" w:lineRule="auto"/>
              <w:ind w:firstLine="0"/>
              <w:jc w:val="left"/>
            </w:pPr>
            <w:r>
              <w:rPr>
                <w:rFonts w:hint="eastAsia"/>
              </w:rPr>
              <w:t>设置静态路由的下一跳的IP地址</w:t>
            </w:r>
          </w:p>
        </w:tc>
      </w:tr>
      <w:tr w14:paraId="331AFF7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2AA7A56D">
            <w:pPr>
              <w:pStyle w:val="186"/>
              <w:widowControl w:val="0"/>
              <w:spacing w:line="240" w:lineRule="auto"/>
              <w:ind w:firstLine="0"/>
              <w:jc w:val="left"/>
            </w:pPr>
            <w:r>
              <w:rPr>
                <w:rFonts w:hint="eastAsia"/>
              </w:rPr>
              <w:t>出接口</w:t>
            </w:r>
          </w:p>
        </w:tc>
        <w:tc>
          <w:tcPr>
            <w:tcW w:w="6635" w:type="dxa"/>
            <w:shd w:val="clear" w:color="auto" w:fill="auto"/>
          </w:tcPr>
          <w:p w14:paraId="7C82193D">
            <w:pPr>
              <w:pStyle w:val="186"/>
              <w:widowControl w:val="0"/>
              <w:spacing w:line="240" w:lineRule="auto"/>
              <w:ind w:firstLine="0"/>
              <w:jc w:val="left"/>
            </w:pPr>
            <w:r>
              <w:rPr>
                <w:rFonts w:hint="eastAsia"/>
              </w:rPr>
              <w:t>设置静态路由的出接口</w:t>
            </w:r>
          </w:p>
          <w:p w14:paraId="260F46C7">
            <w:pPr>
              <w:pStyle w:val="186"/>
              <w:widowControl w:val="0"/>
              <w:spacing w:line="240" w:lineRule="auto"/>
              <w:ind w:firstLine="0"/>
              <w:jc w:val="left"/>
            </w:pPr>
            <w:r>
              <w:rPr>
                <w:rFonts w:hint="eastAsia"/>
              </w:rPr>
              <w:t>下一跳和出接口只能二选一</w:t>
            </w:r>
          </w:p>
        </w:tc>
      </w:tr>
      <w:tr w14:paraId="0E05C61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2DC70A11">
            <w:pPr>
              <w:pStyle w:val="186"/>
              <w:widowControl w:val="0"/>
              <w:spacing w:line="240" w:lineRule="auto"/>
              <w:ind w:firstLine="0"/>
              <w:jc w:val="left"/>
            </w:pPr>
            <w:r>
              <w:rPr>
                <w:rFonts w:hint="eastAsia"/>
              </w:rPr>
              <w:t>权重</w:t>
            </w:r>
          </w:p>
        </w:tc>
        <w:tc>
          <w:tcPr>
            <w:tcW w:w="6635" w:type="dxa"/>
            <w:shd w:val="clear" w:color="auto" w:fill="auto"/>
          </w:tcPr>
          <w:p w14:paraId="47D9EA7E">
            <w:pPr>
              <w:pStyle w:val="186"/>
              <w:widowControl w:val="0"/>
              <w:spacing w:line="240" w:lineRule="auto"/>
              <w:ind w:firstLine="0"/>
              <w:jc w:val="left"/>
            </w:pPr>
            <w:r>
              <w:rPr>
                <w:rFonts w:hint="eastAsia"/>
              </w:rPr>
              <w:t>设置静态路由的权重，取值范围1~255。如果存在多个下一跳负载均衡，权重越大，该条路由命中的概率就越大。</w:t>
            </w:r>
          </w:p>
        </w:tc>
      </w:tr>
      <w:tr w14:paraId="3182FE9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0E8CD319">
            <w:pPr>
              <w:pStyle w:val="186"/>
              <w:widowControl w:val="0"/>
              <w:spacing w:line="240" w:lineRule="auto"/>
              <w:ind w:firstLine="0"/>
              <w:jc w:val="left"/>
            </w:pPr>
            <w:r>
              <w:rPr>
                <w:rFonts w:hint="eastAsia"/>
              </w:rPr>
              <w:t>距离</w:t>
            </w:r>
          </w:p>
        </w:tc>
        <w:tc>
          <w:tcPr>
            <w:tcW w:w="6635" w:type="dxa"/>
            <w:shd w:val="clear" w:color="auto" w:fill="auto"/>
          </w:tcPr>
          <w:p w14:paraId="4B8B13CA">
            <w:pPr>
              <w:pStyle w:val="186"/>
              <w:widowControl w:val="0"/>
              <w:spacing w:line="240" w:lineRule="auto"/>
              <w:ind w:firstLine="0"/>
              <w:jc w:val="left"/>
            </w:pPr>
            <w:r>
              <w:rPr>
                <w:rFonts w:hint="eastAsia"/>
              </w:rPr>
              <w:t>指定静态路由的管理距离，取值范围1~255。管理距离是指路由协议的路由可信度。每种路由协议按可靠性从高到低依次分配一个信任等级，这个信任等级就叫管理距离。正常情况下，管理距离越小，优先级就越高，也就是可信度越高。对于两种不同的路由协议到同一个目的地的路由信息，路由器会优先选择管理距离小的路由。</w:t>
            </w:r>
          </w:p>
        </w:tc>
      </w:tr>
      <w:tr w14:paraId="272BEE0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096D5793">
            <w:pPr>
              <w:pStyle w:val="186"/>
              <w:widowControl w:val="0"/>
              <w:spacing w:line="240" w:lineRule="auto"/>
              <w:ind w:firstLine="0"/>
              <w:jc w:val="left"/>
            </w:pPr>
            <w:r>
              <w:rPr>
                <w:rFonts w:hint="eastAsia"/>
              </w:rPr>
              <w:t>地址探测</w:t>
            </w:r>
          </w:p>
        </w:tc>
        <w:tc>
          <w:tcPr>
            <w:tcW w:w="6635" w:type="dxa"/>
            <w:shd w:val="clear" w:color="auto" w:fill="auto"/>
          </w:tcPr>
          <w:p w14:paraId="42C553C8">
            <w:pPr>
              <w:pStyle w:val="186"/>
              <w:widowControl w:val="0"/>
              <w:spacing w:line="240" w:lineRule="auto"/>
              <w:ind w:firstLine="0"/>
              <w:jc w:val="left"/>
            </w:pPr>
            <w:r>
              <w:rPr>
                <w:rFonts w:hint="eastAsia"/>
              </w:rPr>
              <w:t>设置与静态路由联动的地址探测，将探测到的路由信息添加到路由表。有关地址探测的更多信息，请参考地址探测。</w:t>
            </w:r>
          </w:p>
        </w:tc>
      </w:tr>
    </w:tbl>
    <w:p w14:paraId="5B578298">
      <w:bookmarkStart w:id="1789" w:name="_Toc474249938"/>
    </w:p>
    <w:p w14:paraId="4739EB51">
      <w:pPr>
        <w:pStyle w:val="5"/>
      </w:pPr>
      <w:bookmarkStart w:id="1790" w:name="_Toc142400892"/>
      <w:bookmarkStart w:id="1791" w:name="_Toc141873376"/>
      <w:bookmarkStart w:id="1792" w:name="_Toc172218078"/>
      <w:bookmarkStart w:id="1793" w:name="_Toc194080705"/>
      <w:bookmarkStart w:id="1794" w:name="_Toc196728037"/>
      <w:r>
        <w:rPr>
          <w:rFonts w:hint="eastAsia"/>
        </w:rPr>
        <w:t>启用或禁用静态路由</w:t>
      </w:r>
      <w:bookmarkEnd w:id="1790"/>
      <w:bookmarkEnd w:id="1791"/>
      <w:bookmarkEnd w:id="1792"/>
      <w:bookmarkEnd w:id="1793"/>
      <w:bookmarkEnd w:id="1794"/>
    </w:p>
    <w:p w14:paraId="1405640F">
      <w:r>
        <w:rPr>
          <w:rFonts w:hint="eastAsia"/>
        </w:rPr>
        <w:t>勾选启用状态为“启用”的路由表项，点击&lt;禁用</w:t>
      </w:r>
      <w:r>
        <w:t>&gt;</w:t>
      </w:r>
      <w:r>
        <w:rPr>
          <w:rFonts w:hint="eastAsia"/>
        </w:rPr>
        <w:t>，在弹出的对话框中点击&lt;确定</w:t>
      </w:r>
      <w:r>
        <w:t>&gt;</w:t>
      </w:r>
      <w:r>
        <w:rPr>
          <w:rFonts w:hint="eastAsia"/>
        </w:rPr>
        <w:t>可禁用选择的路由表项；勾选启用状态为“禁用”的路由表项，点击&lt;启用</w:t>
      </w:r>
      <w:r>
        <w:t>&gt;</w:t>
      </w:r>
      <w:r>
        <w:rPr>
          <w:rFonts w:hint="eastAsia"/>
        </w:rPr>
        <w:t>，在弹出的对话框中点击&lt;确定</w:t>
      </w:r>
      <w:r>
        <w:t>&gt;</w:t>
      </w:r>
      <w:r>
        <w:rPr>
          <w:rFonts w:hint="eastAsia"/>
        </w:rPr>
        <w:t>可启用选择的路由表项。</w:t>
      </w:r>
    </w:p>
    <w:p w14:paraId="2DDC60ED">
      <w:pPr>
        <w:pStyle w:val="188"/>
      </w:pPr>
      <w:bookmarkStart w:id="1795" w:name="_Toc141874573"/>
      <w:r>
        <w:rPr>
          <w:rFonts w:hint="eastAsia"/>
        </w:rPr>
        <w:t>启用或禁用静态路由</w:t>
      </w:r>
      <w:bookmarkEnd w:id="1795"/>
    </w:p>
    <w:p w14:paraId="7A7F36E4">
      <w:pPr>
        <w:pStyle w:val="373"/>
        <w:spacing w:before="120" w:after="120"/>
        <w:rPr>
          <w:rFonts w:ascii="Times New Roman" w:hAnsi="Times New Roman"/>
        </w:rPr>
      </w:pPr>
      <w:r>
        <w:rPr>
          <w:rFonts w:ascii="Times New Roman" w:hAnsi="Times New Roman"/>
        </w:rPr>
        <w:drawing>
          <wp:inline distT="0" distB="0" distL="0" distR="0">
            <wp:extent cx="6124575" cy="1304925"/>
            <wp:effectExtent l="0" t="0" r="0" b="0"/>
            <wp:docPr id="201" name="图片 3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3450"/>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a:xfrm>
                      <a:off x="0" y="0"/>
                      <a:ext cx="6124575" cy="1304925"/>
                    </a:xfrm>
                    <a:prstGeom prst="rect">
                      <a:avLst/>
                    </a:prstGeom>
                    <a:noFill/>
                    <a:ln>
                      <a:noFill/>
                    </a:ln>
                  </pic:spPr>
                </pic:pic>
              </a:graphicData>
            </a:graphic>
          </wp:inline>
        </w:drawing>
      </w:r>
    </w:p>
    <w:p w14:paraId="7D69BE03"/>
    <w:bookmarkEnd w:id="1789"/>
    <w:p w14:paraId="5CAB7C96">
      <w:pPr>
        <w:pStyle w:val="4"/>
      </w:pPr>
      <w:bookmarkStart w:id="1796" w:name="_Toc40275948"/>
      <w:bookmarkStart w:id="1797" w:name="_Toc474249951"/>
      <w:bookmarkStart w:id="1798" w:name="_Toc529430317"/>
      <w:bookmarkStart w:id="1799" w:name="_Toc15484749"/>
      <w:bookmarkStart w:id="1800" w:name="_Toc23152515"/>
      <w:bookmarkStart w:id="1801" w:name="_Toc141873377"/>
      <w:bookmarkStart w:id="1802" w:name="_Toc142400893"/>
      <w:bookmarkStart w:id="1803" w:name="_Toc172218079"/>
      <w:bookmarkStart w:id="1804" w:name="_Toc99561439"/>
      <w:bookmarkStart w:id="1805" w:name="_Toc194080706"/>
      <w:bookmarkStart w:id="1806" w:name="_Toc196728038"/>
      <w:bookmarkStart w:id="1807" w:name="_Toc474249940"/>
      <w:bookmarkStart w:id="1808" w:name="_Toc529430302"/>
      <w:r>
        <w:rPr>
          <w:rFonts w:hint="eastAsia"/>
        </w:rPr>
        <w:t>RIP</w:t>
      </w:r>
      <w:bookmarkEnd w:id="1796"/>
      <w:bookmarkEnd w:id="1797"/>
      <w:bookmarkEnd w:id="1798"/>
      <w:bookmarkEnd w:id="1799"/>
      <w:bookmarkEnd w:id="1800"/>
      <w:bookmarkEnd w:id="1801"/>
      <w:bookmarkEnd w:id="1802"/>
      <w:bookmarkEnd w:id="1803"/>
      <w:bookmarkEnd w:id="1804"/>
      <w:bookmarkEnd w:id="1805"/>
      <w:bookmarkEnd w:id="1806"/>
    </w:p>
    <w:p w14:paraId="39D77E4E">
      <w:pPr>
        <w:pStyle w:val="5"/>
      </w:pPr>
      <w:bookmarkStart w:id="1809" w:name="_Toc529430318"/>
      <w:bookmarkStart w:id="1810" w:name="_Toc99561440"/>
      <w:bookmarkStart w:id="1811" w:name="_Toc23152516"/>
      <w:bookmarkStart w:id="1812" w:name="_Toc142400894"/>
      <w:bookmarkStart w:id="1813" w:name="_Toc172218080"/>
      <w:bookmarkStart w:id="1814" w:name="_Toc474249952"/>
      <w:bookmarkStart w:id="1815" w:name="_Toc40275949"/>
      <w:bookmarkStart w:id="1816" w:name="_Toc141873378"/>
      <w:bookmarkStart w:id="1817" w:name="_Toc15484750"/>
      <w:bookmarkStart w:id="1818" w:name="_Toc196728039"/>
      <w:bookmarkStart w:id="1819" w:name="_Toc194080707"/>
      <w:r>
        <w:rPr>
          <w:rFonts w:hint="eastAsia"/>
        </w:rPr>
        <w:t>RIP概述</w:t>
      </w:r>
      <w:bookmarkEnd w:id="1809"/>
      <w:bookmarkEnd w:id="1810"/>
      <w:bookmarkEnd w:id="1811"/>
      <w:bookmarkEnd w:id="1812"/>
      <w:bookmarkEnd w:id="1813"/>
      <w:bookmarkEnd w:id="1814"/>
      <w:bookmarkEnd w:id="1815"/>
      <w:bookmarkEnd w:id="1816"/>
      <w:bookmarkEnd w:id="1817"/>
      <w:bookmarkEnd w:id="1818"/>
      <w:bookmarkEnd w:id="1819"/>
    </w:p>
    <w:p w14:paraId="1B153AD3">
      <w:r>
        <w:rPr>
          <w:rFonts w:hint="eastAsia"/>
        </w:rPr>
        <w:t>本节介绍配置RIP所需要理解的知识，具体包括：</w:t>
      </w:r>
    </w:p>
    <w:p w14:paraId="187E64E1">
      <w:pPr>
        <w:pStyle w:val="162"/>
      </w:pPr>
      <w:r>
        <w:rPr>
          <w:rFonts w:hint="eastAsia"/>
        </w:rPr>
        <w:t>RIP的工作机制</w:t>
      </w:r>
    </w:p>
    <w:p w14:paraId="43F0D65E">
      <w:pPr>
        <w:pStyle w:val="162"/>
      </w:pPr>
      <w:r>
        <w:rPr>
          <w:rFonts w:hint="eastAsia"/>
        </w:rPr>
        <w:t>RIP的版本</w:t>
      </w:r>
    </w:p>
    <w:p w14:paraId="095CAAB2">
      <w:pPr>
        <w:pStyle w:val="162"/>
      </w:pPr>
      <w:r>
        <w:rPr>
          <w:rFonts w:hint="eastAsia"/>
        </w:rPr>
        <w:t>协议规范</w:t>
      </w:r>
    </w:p>
    <w:p w14:paraId="430D1A46">
      <w:r>
        <w:t>RIP</w:t>
      </w:r>
      <w:r>
        <w:rPr>
          <w:rFonts w:hint="eastAsia"/>
        </w:rPr>
        <w:t>（</w:t>
      </w:r>
      <w:r>
        <w:t>Routing Information Protocol</w:t>
      </w:r>
      <w:r>
        <w:rPr>
          <w:rFonts w:hint="eastAsia"/>
        </w:rPr>
        <w:t>，路由信息协议）是一种较为简单的内部网关协议（Interior Gateway Protocol，IGP）</w:t>
      </w:r>
      <w:bookmarkStart w:id="1820" w:name="_Hlt17013124"/>
      <w:bookmarkEnd w:id="1820"/>
      <w:r>
        <w:rPr>
          <w:rFonts w:hint="eastAsia"/>
        </w:rPr>
        <w:t>，主要用于规模较小的网络中，比如校园网以及结构较简单的地区性网络。对于更为复杂的环境和大型网络，一般不使用</w:t>
      </w:r>
      <w:r>
        <w:t>RIP</w:t>
      </w:r>
      <w:r>
        <w:rPr>
          <w:rFonts w:hint="eastAsia"/>
        </w:rPr>
        <w:t>。由于RIP的实现较为简单，在配置和维护管理方面也远比OSPF和IS-IS容易，因此在实际组网中仍有广泛的应用。</w:t>
      </w:r>
    </w:p>
    <w:p w14:paraId="68B5BE54">
      <w:pPr>
        <w:pStyle w:val="5"/>
      </w:pPr>
      <w:bookmarkStart w:id="1821" w:name="_Toc63758204"/>
      <w:bookmarkStart w:id="1822" w:name="_Toc94328352"/>
      <w:bookmarkStart w:id="1823" w:name="_Toc317669389"/>
      <w:bookmarkStart w:id="1824" w:name="_Toc34636704"/>
      <w:bookmarkStart w:id="1825" w:name="_Toc23152517"/>
      <w:bookmarkStart w:id="1826" w:name="_Toc142400895"/>
      <w:bookmarkStart w:id="1827" w:name="_Toc391920535"/>
      <w:bookmarkStart w:id="1828" w:name="_Toc99561441"/>
      <w:bookmarkStart w:id="1829" w:name="_Toc15484751"/>
      <w:bookmarkStart w:id="1830" w:name="_Toc194080708"/>
      <w:bookmarkStart w:id="1831" w:name="_Toc172218081"/>
      <w:bookmarkStart w:id="1832" w:name="_Toc529430319"/>
      <w:bookmarkStart w:id="1833" w:name="_Toc196728040"/>
      <w:bookmarkStart w:id="1834" w:name="_Toc474249953"/>
      <w:bookmarkStart w:id="1835" w:name="_Toc40275950"/>
      <w:bookmarkStart w:id="1836" w:name="_Toc141873379"/>
      <w:r>
        <w:rPr>
          <w:rFonts w:hint="eastAsia"/>
        </w:rPr>
        <w:t>RIP的工作机制</w:t>
      </w:r>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p>
    <w:p w14:paraId="1F53809F">
      <w:pPr>
        <w:pStyle w:val="6"/>
      </w:pPr>
      <w:r>
        <w:rPr>
          <w:rFonts w:hint="eastAsia"/>
        </w:rPr>
        <w:t>RIP的基本概念</w:t>
      </w:r>
    </w:p>
    <w:p w14:paraId="617A2103">
      <w:r>
        <w:t>RIP</w:t>
      </w:r>
      <w:r>
        <w:rPr>
          <w:rFonts w:hint="eastAsia"/>
        </w:rPr>
        <w:t>协议是基于</w:t>
      </w:r>
      <w:r>
        <w:t>D-V</w:t>
      </w:r>
      <w:r>
        <w:rPr>
          <w:rFonts w:hint="eastAsia"/>
        </w:rPr>
        <w:t>算法（又称为</w:t>
      </w:r>
      <w:r>
        <w:t>Bellman-Ford</w:t>
      </w:r>
      <w:r>
        <w:rPr>
          <w:rFonts w:hint="eastAsia"/>
        </w:rPr>
        <w:t>算法）的内部动态路由协议，简称</w:t>
      </w:r>
      <w:r>
        <w:t>IGP</w:t>
      </w:r>
      <w:r>
        <w:rPr>
          <w:rFonts w:hint="eastAsia"/>
        </w:rPr>
        <w:t>（</w:t>
      </w:r>
      <w:r>
        <w:t>Interior Gateway Protocol</w:t>
      </w:r>
      <w:r>
        <w:rPr>
          <w:rFonts w:hint="eastAsia"/>
        </w:rPr>
        <w:t>），它通过</w:t>
      </w:r>
      <w:r>
        <w:t>UDP</w:t>
      </w:r>
      <w:r>
        <w:rPr>
          <w:rFonts w:hint="eastAsia"/>
        </w:rPr>
        <w:t>数据报交换路由信息。</w:t>
      </w:r>
      <w:r>
        <w:t>D-V</w:t>
      </w:r>
      <w:r>
        <w:rPr>
          <w:rFonts w:hint="eastAsia"/>
        </w:rPr>
        <w:t>算法又称为距离向量算法，这种算法在</w:t>
      </w:r>
      <w:r>
        <w:t>ARPARNET</w:t>
      </w:r>
      <w:r>
        <w:rPr>
          <w:rFonts w:hint="eastAsia"/>
        </w:rPr>
        <w:t>早期就用于计算机网络的路由的计算。</w:t>
      </w:r>
      <w:r>
        <w:t>RIP</w:t>
      </w:r>
      <w:r>
        <w:rPr>
          <w:rFonts w:hint="eastAsia"/>
        </w:rPr>
        <w:t>协议在目前已成为路由器、主机路由信息传递的标准之一，是最广泛使用的</w:t>
      </w:r>
      <w:r>
        <w:t>IGP</w:t>
      </w:r>
      <w:r>
        <w:rPr>
          <w:rFonts w:hint="eastAsia"/>
        </w:rPr>
        <w:t>之一，被大多数</w:t>
      </w:r>
      <w:r>
        <w:t>IP</w:t>
      </w:r>
      <w:r>
        <w:rPr>
          <w:rFonts w:hint="eastAsia"/>
        </w:rPr>
        <w:t>路由器商业卖主广泛使用。</w:t>
      </w:r>
      <w:r>
        <w:t xml:space="preserve"> RIP</w:t>
      </w:r>
      <w:r>
        <w:rPr>
          <w:rFonts w:hint="eastAsia"/>
        </w:rPr>
        <w:t>协议被设计用于使用同种技术的中型网络，因此适应于大多数的校园网和使用速率变化不是很大的地区性网络。对于更复杂的环境，一般不使用</w:t>
      </w:r>
      <w:r>
        <w:t>RIP</w:t>
      </w:r>
      <w:r>
        <w:rPr>
          <w:rFonts w:hint="eastAsia"/>
        </w:rPr>
        <w:t>协议。</w:t>
      </w:r>
    </w:p>
    <w:p w14:paraId="25515459">
      <w:r>
        <w:t>RIP</w:t>
      </w:r>
      <w:r>
        <w:rPr>
          <w:rFonts w:hint="eastAsia"/>
        </w:rPr>
        <w:t>协议使用跳数来衡量到达信宿机的距离，并称为路由权，</w:t>
      </w:r>
      <w:r>
        <w:t xml:space="preserve"> RIP</w:t>
      </w:r>
      <w:r>
        <w:rPr>
          <w:rFonts w:hint="eastAsia"/>
        </w:rPr>
        <w:t>协议使用两种形式的报文：</w:t>
      </w:r>
      <w:r>
        <w:t xml:space="preserve"> </w:t>
      </w:r>
      <w:r>
        <w:rPr>
          <w:rFonts w:hint="eastAsia"/>
        </w:rPr>
        <w:t>路径信息请求报文和路径信息响应报文。在路由器端口第一次启动时，将会发送请求报文。路径信息响应报文包含了实际的路由信息，以每</w:t>
      </w:r>
      <w:r>
        <w:t>30</w:t>
      </w:r>
      <w:r>
        <w:rPr>
          <w:rFonts w:hint="eastAsia"/>
        </w:rPr>
        <w:t>秒的间隔发送给相邻端口。在</w:t>
      </w:r>
      <w:r>
        <w:t>RIP</w:t>
      </w:r>
      <w:r>
        <w:rPr>
          <w:rFonts w:hint="eastAsia"/>
        </w:rPr>
        <w:t>协议中，还使用了水平分割、毒性逆转机制来防止路由环路的形成，并且使用触发更新和路由超时机制确保路由的正确性。</w:t>
      </w:r>
    </w:p>
    <w:p w14:paraId="3C1D8F28">
      <w:pPr>
        <w:pStyle w:val="6"/>
      </w:pPr>
      <w:bookmarkStart w:id="1837" w:name="_Toc34636705"/>
      <w:bookmarkStart w:id="1838" w:name="_Toc63758205"/>
      <w:r>
        <w:t>RIP</w:t>
      </w:r>
      <w:r>
        <w:rPr>
          <w:rFonts w:hint="eastAsia"/>
        </w:rPr>
        <w:t>的启动和运行过程</w:t>
      </w:r>
      <w:bookmarkEnd w:id="1837"/>
      <w:bookmarkEnd w:id="1838"/>
    </w:p>
    <w:p w14:paraId="5509CD8B">
      <w:r>
        <w:t>RIP</w:t>
      </w:r>
      <w:r>
        <w:rPr>
          <w:rFonts w:hint="eastAsia"/>
        </w:rPr>
        <w:t>启动和运行的整个过程可描述如下：</w:t>
      </w:r>
    </w:p>
    <w:p w14:paraId="741F296E">
      <w:r>
        <w:rPr>
          <w:rFonts w:hint="eastAsia"/>
        </w:rPr>
        <w:t>路由器启动</w:t>
      </w:r>
      <w:r>
        <w:t>RIP</w:t>
      </w:r>
      <w:r>
        <w:rPr>
          <w:rFonts w:hint="eastAsia"/>
        </w:rPr>
        <w:t>后，便会向相邻的路由器发送请求报文（Request message），相邻的RIP路由器收到请求报文后，响应该请求，回送包含本地路由表信息的响应报文（Response message）。</w:t>
      </w:r>
    </w:p>
    <w:p w14:paraId="6A855C4A">
      <w:r>
        <w:rPr>
          <w:rFonts w:hint="eastAsia"/>
        </w:rPr>
        <w:t>路由器收到响应报文后，修改本地路由表，同时向相邻路由器发送触发修改报文，广播路由修改信息。相邻路由器收到触发修改报文后，又向其各自的相邻路由器发送触发修改报文。在一连串的触发修改广播后，各路由器都能得到并保持最新的路由信息。</w:t>
      </w:r>
    </w:p>
    <w:p w14:paraId="1932827D">
      <w:r>
        <w:t>RIP</w:t>
      </w:r>
      <w:r>
        <w:rPr>
          <w:rFonts w:hint="eastAsia"/>
        </w:rPr>
        <w:t>采用老化机制对超时的路由进行老化处理，以保证路由的实时性和有效性。因此，</w:t>
      </w:r>
      <w:r>
        <w:t>RIP</w:t>
      </w:r>
      <w:r>
        <w:rPr>
          <w:rFonts w:hint="eastAsia"/>
        </w:rPr>
        <w:t>每隔一定时间周期性的向邻居路由器发布本地的路由表，相邻路由器在收到报文后，对其本地路由进行更新。所有RIP路由器都会重复此过程。</w:t>
      </w:r>
    </w:p>
    <w:p w14:paraId="41C4B5B3">
      <w:pPr>
        <w:pStyle w:val="6"/>
      </w:pPr>
      <w:r>
        <w:rPr>
          <w:rFonts w:hint="eastAsia"/>
        </w:rPr>
        <w:t>防止路由循环</w:t>
      </w:r>
    </w:p>
    <w:p w14:paraId="327B6806">
      <w:r>
        <w:rPr>
          <w:rFonts w:hint="eastAsia"/>
        </w:rPr>
        <w:t>RIP是一种基于D-V算法的路由协议，由于它向邻居通告的是自己的路由表，存在路由循环的可能性。</w:t>
      </w:r>
    </w:p>
    <w:p w14:paraId="43527968">
      <w:r>
        <w:rPr>
          <w:rFonts w:hint="eastAsia"/>
        </w:rPr>
        <w:t>RIP通过以下机制来避免路由环路的产生：</w:t>
      </w:r>
    </w:p>
    <w:p w14:paraId="4E0872B5">
      <w:r>
        <w:rPr>
          <w:rFonts w:hint="eastAsia"/>
        </w:rPr>
        <w:t>水平分割（Split Horizon）：RIP从某个接口学到的路由，不会从该接口再发回给邻居路由器。这样不但减少了带宽消耗，还可以防止路由循环。</w:t>
      </w:r>
    </w:p>
    <w:p w14:paraId="3525611F">
      <w:r>
        <w:rPr>
          <w:rFonts w:hint="eastAsia"/>
        </w:rPr>
        <w:t>毒性逆转（Poison Reverse）：RIP从某个接口学到路由后，将该路由的开销设置为16（不可达），并从原接口发回邻居路由器。利用这种方式，可以清除对方路由表中的无用信息。</w:t>
      </w:r>
    </w:p>
    <w:p w14:paraId="760BB428">
      <w:pPr>
        <w:pStyle w:val="5"/>
      </w:pPr>
      <w:bookmarkStart w:id="1839" w:name="_RIP的版本"/>
      <w:bookmarkEnd w:id="1839"/>
      <w:bookmarkStart w:id="1840" w:name="_Toc94328353"/>
      <w:bookmarkStart w:id="1841" w:name="_Toc206573916"/>
      <w:bookmarkStart w:id="1842" w:name="_Toc529430320"/>
      <w:bookmarkStart w:id="1843" w:name="_Toc131579946"/>
      <w:bookmarkStart w:id="1844" w:name="_Toc254612535"/>
      <w:bookmarkStart w:id="1845" w:name="_Toc317669390"/>
      <w:bookmarkStart w:id="1846" w:name="_Toc391920536"/>
      <w:bookmarkStart w:id="1847" w:name="_Toc474249954"/>
      <w:bookmarkStart w:id="1848" w:name="_Toc15484752"/>
      <w:bookmarkStart w:id="1849" w:name="_Toc23152518"/>
      <w:bookmarkStart w:id="1850" w:name="_Toc40275951"/>
      <w:bookmarkStart w:id="1851" w:name="_Toc142400896"/>
      <w:bookmarkStart w:id="1852" w:name="_Toc99561442"/>
      <w:bookmarkStart w:id="1853" w:name="_Toc194080709"/>
      <w:bookmarkStart w:id="1854" w:name="_Toc141873380"/>
      <w:bookmarkStart w:id="1855" w:name="_Toc172218082"/>
      <w:bookmarkStart w:id="1856" w:name="_Toc196728041"/>
      <w:r>
        <w:rPr>
          <w:rFonts w:hint="eastAsia"/>
        </w:rPr>
        <w:t>RIP的版本</w:t>
      </w:r>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p>
    <w:p w14:paraId="3A0B50D4">
      <w:r>
        <w:rPr>
          <w:rFonts w:hint="eastAsia"/>
        </w:rPr>
        <w:t>RIP有两个版本：RIP-1和RIP-2。</w:t>
      </w:r>
    </w:p>
    <w:p w14:paraId="5F2896E0">
      <w:pPr>
        <w:pStyle w:val="162"/>
      </w:pPr>
      <w:r>
        <w:rPr>
          <w:rFonts w:hint="eastAsia"/>
        </w:rPr>
        <w:t>RIP-1是有类别路由协议（Classful Routing Protocol），它只支持以广播方式发布协议报文。RIP-1的协议报文中没有携带掩码信息，它只能识别A、B、C类这样的自然网段的路由，因此RIP-1无法支持路由聚合，也不支持不连续子网（Discontiguous Subnet）。</w:t>
      </w:r>
    </w:p>
    <w:p w14:paraId="3331029E">
      <w:pPr>
        <w:pStyle w:val="162"/>
      </w:pPr>
      <w:r>
        <w:rPr>
          <w:rFonts w:hint="eastAsia"/>
        </w:rPr>
        <w:t>RIP-2是一种无分类路由协议（Classless Routing Protocol），与RIP-1相比，它有以下优势：</w:t>
      </w:r>
    </w:p>
    <w:p w14:paraId="7A3E28CF">
      <w:r>
        <w:rPr>
          <w:rFonts w:hint="eastAsia"/>
        </w:rPr>
        <w:t>支持外部路由标记（Route Tag），可以在路由策略中根据Tag对路由进行灵活的控制。</w:t>
      </w:r>
    </w:p>
    <w:p w14:paraId="3DB07CFE">
      <w:r>
        <w:rPr>
          <w:rFonts w:hint="eastAsia"/>
        </w:rPr>
        <w:t>报文中携带掩码信息，支持路由聚合和CIDR（Classless Inter-Domain Routing）。</w:t>
      </w:r>
    </w:p>
    <w:p w14:paraId="36B7F66A">
      <w:r>
        <w:rPr>
          <w:rFonts w:hint="eastAsia"/>
        </w:rPr>
        <w:t>支持指定下一跳，在广播网上可以选择到最优下一跳地址。</w:t>
      </w:r>
    </w:p>
    <w:p w14:paraId="4A7507B0">
      <w:r>
        <w:rPr>
          <w:rFonts w:hint="eastAsia"/>
        </w:rPr>
        <w:t>支持组播路由发送更新报文，减少资源消耗。</w:t>
      </w:r>
    </w:p>
    <w:p w14:paraId="06B4DA36">
      <w:r>
        <w:rPr>
          <w:rFonts w:hint="eastAsia"/>
        </w:rPr>
        <w:t>支持对协议报文进行验证，并提供明文验证和MD5验证两种方式，增强安全性。</w:t>
      </w:r>
    </w:p>
    <w:p w14:paraId="64B7257A">
      <w:bookmarkStart w:id="1857" w:name="_协议规范（如果没有可以裁减）"/>
      <w:bookmarkEnd w:id="1857"/>
      <w:bookmarkStart w:id="1858" w:name="_协议规范"/>
      <w:bookmarkEnd w:id="1858"/>
      <w:bookmarkStart w:id="1859" w:name="_Toc94328357"/>
      <w:bookmarkStart w:id="1860" w:name="_Toc254612539"/>
      <w:bookmarkStart w:id="1861" w:name="_Toc317669394"/>
      <w:bookmarkStart w:id="1862" w:name="_Toc206573920"/>
      <w:bookmarkStart w:id="1863" w:name="_Toc131579950"/>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41D06BEC">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56D4B71D">
            <w:pPr>
              <w:pStyle w:val="150"/>
              <w:adjustRightInd w:val="0"/>
              <w:snapToGrid w:val="0"/>
              <w:rPr>
                <w:color w:val="auto"/>
              </w:rPr>
            </w:pPr>
            <w:r>
              <w:rPr>
                <w:b/>
                <w:color w:val="auto"/>
              </w:rPr>
              <w:drawing>
                <wp:inline distT="0" distB="0" distL="0" distR="0">
                  <wp:extent cx="283210" cy="283210"/>
                  <wp:effectExtent l="0" t="0" r="2540" b="254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3981C0DB">
            <w:pPr>
              <w:pStyle w:val="150"/>
              <w:adjustRightInd w:val="0"/>
              <w:snapToGrid w:val="0"/>
              <w:rPr>
                <w:color w:val="auto"/>
              </w:rPr>
            </w:pPr>
            <w:r>
              <w:rPr>
                <w:rFonts w:hint="eastAsia"/>
                <w:color w:val="auto"/>
              </w:rPr>
              <w:t>RIP-2有两种报文传送方式：广播方式和组播方式，缺省将采用组播方式发送报文，使用的组播地址为224.0.0.9。当接口运行RIP-2广播方式时，也可接收RIP-1的报文。</w:t>
            </w:r>
          </w:p>
        </w:tc>
      </w:tr>
    </w:tbl>
    <w:p w14:paraId="50AF0E51"/>
    <w:p w14:paraId="6125A1D8">
      <w:pPr>
        <w:pStyle w:val="5"/>
      </w:pPr>
      <w:bookmarkStart w:id="1864" w:name="_Toc40275952"/>
      <w:bookmarkStart w:id="1865" w:name="_Toc99561443"/>
      <w:bookmarkStart w:id="1866" w:name="_Toc529430321"/>
      <w:bookmarkStart w:id="1867" w:name="_Toc172218083"/>
      <w:bookmarkStart w:id="1868" w:name="_Toc194080710"/>
      <w:bookmarkStart w:id="1869" w:name="_Toc474249955"/>
      <w:bookmarkStart w:id="1870" w:name="_Toc15484753"/>
      <w:bookmarkStart w:id="1871" w:name="_Toc23152519"/>
      <w:bookmarkStart w:id="1872" w:name="_Toc141873381"/>
      <w:bookmarkStart w:id="1873" w:name="_Toc142400897"/>
      <w:bookmarkStart w:id="1874" w:name="_Toc196728042"/>
      <w:bookmarkStart w:id="1875" w:name="_Toc391920537"/>
      <w:r>
        <w:rPr>
          <w:rFonts w:hint="eastAsia"/>
        </w:rPr>
        <w:t>协议规范</w:t>
      </w:r>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p>
    <w:p w14:paraId="7BBEC437">
      <w:r>
        <w:rPr>
          <w:rFonts w:hint="eastAsia"/>
        </w:rPr>
        <w:t>与RIP相关的协议规范有：</w:t>
      </w:r>
    </w:p>
    <w:p w14:paraId="607A6FA2">
      <w:pPr>
        <w:pStyle w:val="162"/>
      </w:pPr>
      <w:r>
        <w:rPr>
          <w:rFonts w:hint="eastAsia"/>
        </w:rPr>
        <w:t>RFC1058：</w:t>
      </w:r>
      <w:r>
        <w:t>Routing Information Protocol</w:t>
      </w:r>
    </w:p>
    <w:p w14:paraId="54198B38">
      <w:pPr>
        <w:pStyle w:val="162"/>
      </w:pPr>
      <w:r>
        <w:rPr>
          <w:rFonts w:hint="eastAsia"/>
        </w:rPr>
        <w:t>RFC1723：</w:t>
      </w:r>
      <w:r>
        <w:t>RIP Version 2 - Carrying Additional Information</w:t>
      </w:r>
    </w:p>
    <w:p w14:paraId="72FEB65D">
      <w:pPr>
        <w:pStyle w:val="162"/>
      </w:pPr>
      <w:r>
        <w:rPr>
          <w:rFonts w:hint="eastAsia"/>
        </w:rPr>
        <w:t>RFC1721：</w:t>
      </w:r>
      <w:r>
        <w:t>RIP Version 2 Protocol Analysis</w:t>
      </w:r>
    </w:p>
    <w:p w14:paraId="30A6F184">
      <w:pPr>
        <w:pStyle w:val="162"/>
      </w:pPr>
      <w:r>
        <w:rPr>
          <w:rFonts w:hint="eastAsia"/>
        </w:rPr>
        <w:t>RFC1722：</w:t>
      </w:r>
      <w:r>
        <w:t>RIP Version 2 Protocol Applicability Statement</w:t>
      </w:r>
    </w:p>
    <w:p w14:paraId="0F8C25CE">
      <w:pPr>
        <w:pStyle w:val="162"/>
      </w:pPr>
      <w:r>
        <w:rPr>
          <w:rFonts w:hint="eastAsia"/>
        </w:rPr>
        <w:t>RFC1724：</w:t>
      </w:r>
      <w:r>
        <w:t>RIP Version 2 MIB Extension</w:t>
      </w:r>
    </w:p>
    <w:p w14:paraId="0E9302F1">
      <w:pPr>
        <w:pStyle w:val="162"/>
      </w:pPr>
      <w:r>
        <w:t>RFC2082</w:t>
      </w:r>
      <w:r>
        <w:rPr>
          <w:rFonts w:hint="eastAsia"/>
        </w:rPr>
        <w:t>：</w:t>
      </w:r>
      <w:r>
        <w:t>RIP-2 MD5 Authentication</w:t>
      </w:r>
    </w:p>
    <w:p w14:paraId="38E48662">
      <w:pPr>
        <w:pStyle w:val="162"/>
      </w:pPr>
      <w:r>
        <w:rPr>
          <w:rFonts w:hint="eastAsia"/>
        </w:rPr>
        <w:t>RFC2091：</w:t>
      </w:r>
      <w:r>
        <w:t>Triggered Extensions to RIP to Support Demand Circuits</w:t>
      </w:r>
      <w:r>
        <w:rPr>
          <w:rFonts w:hint="eastAsia"/>
        </w:rPr>
        <w:t>RIP</w:t>
      </w:r>
    </w:p>
    <w:p w14:paraId="3204253C">
      <w:pPr>
        <w:pStyle w:val="5"/>
      </w:pPr>
      <w:bookmarkStart w:id="1876" w:name="_Toc142400898"/>
      <w:bookmarkStart w:id="1877" w:name="_Toc194080711"/>
      <w:bookmarkStart w:id="1878" w:name="_Toc529430322"/>
      <w:bookmarkStart w:id="1879" w:name="_Toc474249956"/>
      <w:bookmarkStart w:id="1880" w:name="_Toc99561444"/>
      <w:bookmarkStart w:id="1881" w:name="_Toc40275953"/>
      <w:bookmarkStart w:id="1882" w:name="_Toc196728043"/>
      <w:bookmarkStart w:id="1883" w:name="_Toc172218084"/>
      <w:bookmarkStart w:id="1884" w:name="_Toc141873382"/>
      <w:bookmarkStart w:id="1885" w:name="_Toc23152520"/>
      <w:bookmarkStart w:id="1886" w:name="_Toc15484754"/>
      <w:r>
        <w:rPr>
          <w:rFonts w:hint="eastAsia"/>
        </w:rPr>
        <w:t>全局设定</w:t>
      </w:r>
      <w:bookmarkEnd w:id="1876"/>
      <w:bookmarkEnd w:id="1877"/>
      <w:bookmarkEnd w:id="1878"/>
      <w:bookmarkEnd w:id="1879"/>
      <w:bookmarkEnd w:id="1880"/>
      <w:bookmarkEnd w:id="1881"/>
      <w:bookmarkEnd w:id="1882"/>
      <w:bookmarkEnd w:id="1883"/>
      <w:bookmarkEnd w:id="1884"/>
      <w:bookmarkEnd w:id="1885"/>
      <w:bookmarkEnd w:id="1886"/>
    </w:p>
    <w:p w14:paraId="64153B26">
      <w:r>
        <w:rPr>
          <w:rFonts w:hint="eastAsia"/>
        </w:rPr>
        <w:t>通过菜单“网络配置&gt;路由管理 &gt;</w:t>
      </w:r>
      <w:r>
        <w:t xml:space="preserve"> </w:t>
      </w:r>
      <w:r>
        <w:rPr>
          <w:rFonts w:hint="eastAsia"/>
        </w:rPr>
        <w:t>RIP”，进入如</w:t>
      </w:r>
      <w:r>
        <w:rPr>
          <w:color w:val="0000FF"/>
          <w:u w:val="single"/>
        </w:rPr>
        <w:fldChar w:fldCharType="begin"/>
      </w:r>
      <w:r>
        <w:rPr>
          <w:color w:val="0000FF"/>
          <w:u w:val="single"/>
        </w:rPr>
        <w:instrText xml:space="preserve"> </w:instrText>
      </w:r>
      <w:r>
        <w:rPr>
          <w:rFonts w:hint="eastAsia"/>
          <w:color w:val="0000FF"/>
          <w:u w:val="single"/>
        </w:rPr>
        <w:instrText xml:space="preserve">REF _Ref392859938 \r \h</w:instrText>
      </w:r>
      <w:r>
        <w:rPr>
          <w:color w:val="0000FF"/>
          <w:u w:val="single"/>
        </w:rPr>
        <w:instrText xml:space="preserve"> </w:instrText>
      </w:r>
      <w:r>
        <w:rPr>
          <w:color w:val="0000FF"/>
          <w:u w:val="single"/>
        </w:rPr>
        <w:fldChar w:fldCharType="separate"/>
      </w:r>
      <w:r>
        <w:rPr>
          <w:rFonts w:hint="eastAsia"/>
          <w:color w:val="0000FF"/>
          <w:u w:val="single"/>
        </w:rPr>
        <w:t>图7-4</w:t>
      </w:r>
      <w:r>
        <w:rPr>
          <w:color w:val="0000FF"/>
          <w:u w:val="single"/>
        </w:rPr>
        <w:fldChar w:fldCharType="end"/>
      </w:r>
      <w:r>
        <w:rPr>
          <w:rFonts w:hint="eastAsia"/>
        </w:rPr>
        <w:t>所示页面。在</w:t>
      </w:r>
      <w:r>
        <w:t>该页面上，</w:t>
      </w:r>
      <w:r>
        <w:rPr>
          <w:rFonts w:hint="eastAsia"/>
        </w:rPr>
        <w:t>可以配置RIP协议收发报文的版本、RIP定时器及路由重发布信息。</w:t>
      </w:r>
    </w:p>
    <w:p w14:paraId="1D8AFE2B">
      <w:pPr>
        <w:pStyle w:val="188"/>
      </w:pPr>
      <w:bookmarkStart w:id="1887" w:name="_Ref392859938"/>
      <w:bookmarkStart w:id="1888" w:name="_Toc141874574"/>
      <w:r>
        <w:rPr>
          <w:rFonts w:hint="eastAsia"/>
        </w:rPr>
        <w:t>RIP全局设置</w:t>
      </w:r>
      <w:bookmarkEnd w:id="1887"/>
      <w:bookmarkEnd w:id="1888"/>
    </w:p>
    <w:p w14:paraId="78457788">
      <w:r>
        <w:drawing>
          <wp:inline distT="0" distB="0" distL="114300" distR="114300">
            <wp:extent cx="5073650" cy="3835400"/>
            <wp:effectExtent l="0" t="0" r="6350" b="0"/>
            <wp:docPr id="96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图片 49"/>
                    <pic:cNvPicPr>
                      <a:picLocks noChangeAspect="1"/>
                    </pic:cNvPicPr>
                  </pic:nvPicPr>
                  <pic:blipFill>
                    <a:blip r:embed="rId248"/>
                    <a:stretch>
                      <a:fillRect/>
                    </a:stretch>
                  </pic:blipFill>
                  <pic:spPr>
                    <a:xfrm>
                      <a:off x="0" y="0"/>
                      <a:ext cx="5073650" cy="3835400"/>
                    </a:xfrm>
                    <a:prstGeom prst="rect">
                      <a:avLst/>
                    </a:prstGeom>
                    <a:noFill/>
                    <a:ln>
                      <a:noFill/>
                    </a:ln>
                  </pic:spPr>
                </pic:pic>
              </a:graphicData>
            </a:graphic>
          </wp:inline>
        </w:drawing>
      </w:r>
    </w:p>
    <w:p w14:paraId="1C079A4A"/>
    <w:p w14:paraId="6AB6C25A">
      <w:pPr>
        <w:pStyle w:val="183"/>
      </w:pPr>
      <w:bookmarkStart w:id="1889" w:name="_Toc141875481"/>
      <w:r>
        <w:rPr>
          <w:rFonts w:hint="eastAsia"/>
        </w:rPr>
        <w:t>RIP设定页面各配置项说明</w:t>
      </w:r>
      <w:bookmarkEnd w:id="1889"/>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4"/>
        <w:gridCol w:w="6634"/>
      </w:tblGrid>
      <w:tr w14:paraId="4693D99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4" w:type="dxa"/>
            <w:tcBorders>
              <w:tl2br w:val="nil"/>
              <w:tr2bl w:val="nil"/>
            </w:tcBorders>
            <w:shd w:val="clear" w:color="auto" w:fill="538135" w:themeFill="accent6" w:themeFillShade="BF"/>
            <w:vAlign w:val="center"/>
          </w:tcPr>
          <w:p w14:paraId="004ADCC0">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34" w:type="dxa"/>
            <w:tcBorders>
              <w:tl2br w:val="nil"/>
              <w:tr2bl w:val="nil"/>
            </w:tcBorders>
            <w:shd w:val="clear" w:color="auto" w:fill="538135" w:themeFill="accent6" w:themeFillShade="BF"/>
            <w:vAlign w:val="center"/>
          </w:tcPr>
          <w:p w14:paraId="5303745C">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7CDA4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4" w:type="dxa"/>
            <w:shd w:val="clear" w:color="auto" w:fill="auto"/>
          </w:tcPr>
          <w:p w14:paraId="311075B7">
            <w:pPr>
              <w:pStyle w:val="186"/>
              <w:widowControl w:val="0"/>
              <w:spacing w:line="240" w:lineRule="auto"/>
              <w:ind w:firstLine="0"/>
              <w:jc w:val="left"/>
            </w:pPr>
            <w:r>
              <w:rPr>
                <w:rFonts w:hint="eastAsia"/>
              </w:rPr>
              <w:t>启用</w:t>
            </w:r>
          </w:p>
        </w:tc>
        <w:tc>
          <w:tcPr>
            <w:tcW w:w="6634" w:type="dxa"/>
            <w:shd w:val="clear" w:color="auto" w:fill="auto"/>
          </w:tcPr>
          <w:p w14:paraId="5F80B5DC">
            <w:pPr>
              <w:pStyle w:val="186"/>
              <w:widowControl w:val="0"/>
              <w:spacing w:line="240" w:lineRule="auto"/>
              <w:ind w:firstLine="0"/>
              <w:jc w:val="left"/>
            </w:pPr>
            <w:r>
              <w:rPr>
                <w:rFonts w:hint="eastAsia"/>
              </w:rPr>
              <w:t>选择是否启用RIP协议。</w:t>
            </w:r>
          </w:p>
        </w:tc>
      </w:tr>
      <w:tr w14:paraId="238501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4" w:type="dxa"/>
            <w:shd w:val="clear" w:color="auto" w:fill="auto"/>
          </w:tcPr>
          <w:p w14:paraId="573035BB">
            <w:pPr>
              <w:pStyle w:val="186"/>
              <w:widowControl w:val="0"/>
              <w:spacing w:line="240" w:lineRule="auto"/>
              <w:ind w:firstLine="0"/>
              <w:jc w:val="left"/>
            </w:pPr>
            <w:r>
              <w:rPr>
                <w:rFonts w:hint="eastAsia"/>
              </w:rPr>
              <w:t>RIP版本</w:t>
            </w:r>
          </w:p>
        </w:tc>
        <w:tc>
          <w:tcPr>
            <w:tcW w:w="6634" w:type="dxa"/>
            <w:shd w:val="clear" w:color="auto" w:fill="auto"/>
          </w:tcPr>
          <w:p w14:paraId="6F8A30F4">
            <w:pPr>
              <w:pStyle w:val="186"/>
              <w:widowControl w:val="0"/>
              <w:spacing w:line="240" w:lineRule="auto"/>
              <w:ind w:firstLine="0"/>
              <w:jc w:val="left"/>
            </w:pPr>
            <w:r>
              <w:rPr>
                <w:rFonts w:hint="eastAsia"/>
              </w:rPr>
              <w:t>设置要使用的RIP版本，推荐使用版本2。</w:t>
            </w:r>
          </w:p>
        </w:tc>
      </w:tr>
      <w:tr w14:paraId="434B45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4" w:type="dxa"/>
            <w:shd w:val="clear" w:color="auto" w:fill="auto"/>
          </w:tcPr>
          <w:p w14:paraId="409DCEDE">
            <w:pPr>
              <w:pStyle w:val="186"/>
              <w:widowControl w:val="0"/>
              <w:spacing w:line="240" w:lineRule="auto"/>
              <w:ind w:firstLine="0"/>
              <w:jc w:val="left"/>
            </w:pPr>
            <w:r>
              <w:rPr>
                <w:rFonts w:hint="eastAsia"/>
              </w:rPr>
              <w:t>向外发布缺省路由</w:t>
            </w:r>
          </w:p>
        </w:tc>
        <w:tc>
          <w:tcPr>
            <w:tcW w:w="6634" w:type="dxa"/>
            <w:shd w:val="clear" w:color="auto" w:fill="auto"/>
          </w:tcPr>
          <w:p w14:paraId="0115FB03">
            <w:pPr>
              <w:pStyle w:val="186"/>
              <w:widowControl w:val="0"/>
              <w:spacing w:line="240" w:lineRule="auto"/>
              <w:ind w:firstLine="0"/>
              <w:jc w:val="left"/>
            </w:pPr>
            <w:r>
              <w:rPr>
                <w:rFonts w:hint="eastAsia"/>
              </w:rPr>
              <w:t>设置是否将缺省路由发布到其它使用RIP协议的路由器。默认情况下，RIP协议不发送缺省路由。</w:t>
            </w:r>
          </w:p>
        </w:tc>
      </w:tr>
      <w:tr w14:paraId="0B37C0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4" w:type="dxa"/>
            <w:shd w:val="clear" w:color="auto" w:fill="auto"/>
          </w:tcPr>
          <w:p w14:paraId="39C2C882">
            <w:pPr>
              <w:pStyle w:val="186"/>
              <w:widowControl w:val="0"/>
              <w:spacing w:line="240" w:lineRule="auto"/>
              <w:ind w:firstLine="0"/>
              <w:jc w:val="left"/>
            </w:pPr>
            <w:r>
              <w:rPr>
                <w:rFonts w:hint="eastAsia"/>
              </w:rPr>
              <w:t>RIP定时器</w:t>
            </w:r>
          </w:p>
        </w:tc>
        <w:tc>
          <w:tcPr>
            <w:tcW w:w="6634" w:type="dxa"/>
            <w:shd w:val="clear" w:color="auto" w:fill="auto"/>
          </w:tcPr>
          <w:p w14:paraId="0092F727">
            <w:pPr>
              <w:pStyle w:val="186"/>
              <w:widowControl w:val="0"/>
              <w:spacing w:line="240" w:lineRule="auto"/>
              <w:ind w:firstLine="0"/>
              <w:jc w:val="left"/>
            </w:pPr>
            <w:r>
              <w:rPr>
                <w:rFonts w:hint="eastAsia"/>
              </w:rPr>
              <w:t>更新：设置向所有邻居发送全部RIP路由所间隔的时间，单位为秒。</w:t>
            </w:r>
          </w:p>
          <w:p w14:paraId="21203111">
            <w:pPr>
              <w:pStyle w:val="186"/>
              <w:widowControl w:val="0"/>
              <w:spacing w:line="240" w:lineRule="auto"/>
              <w:ind w:firstLine="0"/>
              <w:jc w:val="left"/>
            </w:pPr>
            <w:r>
              <w:rPr>
                <w:rFonts w:hint="eastAsia"/>
              </w:rPr>
              <w:t>超时：设置RIP协议的超时时间，单位为秒。如果一条路由在到达超时时间后仍未收到更新信息，该路由的度量就会被标记为16，表示不可达路由。</w:t>
            </w:r>
          </w:p>
          <w:p w14:paraId="6B071EDC">
            <w:pPr>
              <w:pStyle w:val="186"/>
              <w:widowControl w:val="0"/>
              <w:spacing w:line="240" w:lineRule="auto"/>
              <w:ind w:firstLine="0"/>
              <w:jc w:val="left"/>
            </w:pPr>
            <w:r>
              <w:rPr>
                <w:rFonts w:hint="eastAsia"/>
              </w:rPr>
              <w:t>失效：设置RIP协议的失效时间，单位为秒。度量被标记为16的不可达路由会被一直发布到其它RIP协议路由，如果到达失效时间该路由仍未被更新，将会从RIP路由信息表中删除。</w:t>
            </w:r>
          </w:p>
        </w:tc>
      </w:tr>
      <w:tr w14:paraId="48859B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4" w:type="dxa"/>
            <w:shd w:val="clear" w:color="auto" w:fill="auto"/>
          </w:tcPr>
          <w:p w14:paraId="74DD86AF">
            <w:pPr>
              <w:pStyle w:val="186"/>
              <w:widowControl w:val="0"/>
              <w:spacing w:line="240" w:lineRule="auto"/>
              <w:ind w:firstLine="0"/>
              <w:jc w:val="left"/>
            </w:pPr>
            <w:r>
              <w:rPr>
                <w:rFonts w:hint="eastAsia"/>
              </w:rPr>
              <w:t>路由重发布</w:t>
            </w:r>
          </w:p>
        </w:tc>
        <w:tc>
          <w:tcPr>
            <w:tcW w:w="6634" w:type="dxa"/>
            <w:shd w:val="clear" w:color="auto" w:fill="auto"/>
          </w:tcPr>
          <w:p w14:paraId="7184E227">
            <w:pPr>
              <w:pStyle w:val="186"/>
              <w:widowControl w:val="0"/>
              <w:spacing w:line="240" w:lineRule="auto"/>
              <w:ind w:firstLine="0"/>
              <w:jc w:val="left"/>
            </w:pPr>
            <w:r>
              <w:rPr>
                <w:rFonts w:hint="eastAsia"/>
              </w:rPr>
              <w:t>直连路由：设置是否通过RIP协议重发布设备通过直连网络学习到的路由信息，并设置所要学习的直连路由的跳数。</w:t>
            </w:r>
          </w:p>
          <w:p w14:paraId="11E4F8AB">
            <w:pPr>
              <w:pStyle w:val="186"/>
              <w:widowControl w:val="0"/>
              <w:spacing w:line="240" w:lineRule="auto"/>
              <w:ind w:firstLine="0"/>
              <w:jc w:val="left"/>
            </w:pPr>
            <w:r>
              <w:rPr>
                <w:rFonts w:hint="eastAsia"/>
              </w:rPr>
              <w:t>静态路由：设置是否通过RIP协议重发布设备学习到的静态路由信息，并设置所要学习的静态路由的跳数。</w:t>
            </w:r>
          </w:p>
          <w:p w14:paraId="18246D66">
            <w:pPr>
              <w:pStyle w:val="186"/>
              <w:widowControl w:val="0"/>
              <w:spacing w:line="240" w:lineRule="auto"/>
              <w:ind w:firstLine="0"/>
              <w:jc w:val="left"/>
            </w:pPr>
            <w:r>
              <w:rPr>
                <w:rFonts w:hint="eastAsia"/>
              </w:rPr>
              <w:t>OSPF跳数：设置是否通过RIP协议重发布设备通过OSPF协议学习到的路由信息，并设置所要学习的OSPF路由的跳数。</w:t>
            </w:r>
          </w:p>
        </w:tc>
      </w:tr>
    </w:tbl>
    <w:p w14:paraId="489DEA61"/>
    <w:p w14:paraId="6D356274">
      <w:pPr>
        <w:pStyle w:val="5"/>
      </w:pPr>
      <w:bookmarkStart w:id="1890" w:name="_Toc99561445"/>
      <w:bookmarkStart w:id="1891" w:name="_Toc142400899"/>
      <w:bookmarkStart w:id="1892" w:name="_Toc474249957"/>
      <w:bookmarkStart w:id="1893" w:name="_Toc23152521"/>
      <w:bookmarkStart w:id="1894" w:name="_Toc40275954"/>
      <w:bookmarkStart w:id="1895" w:name="_Toc15484755"/>
      <w:bookmarkStart w:id="1896" w:name="_Toc141873383"/>
      <w:bookmarkStart w:id="1897" w:name="_Toc196728044"/>
      <w:bookmarkStart w:id="1898" w:name="_Toc529430323"/>
      <w:bookmarkStart w:id="1899" w:name="_Toc194080712"/>
      <w:bookmarkStart w:id="1900" w:name="_Toc172218085"/>
      <w:r>
        <w:rPr>
          <w:rFonts w:hint="eastAsia"/>
        </w:rPr>
        <w:t>RIP网络配置</w:t>
      </w:r>
      <w:bookmarkEnd w:id="1890"/>
      <w:bookmarkEnd w:id="1891"/>
      <w:bookmarkEnd w:id="1892"/>
      <w:bookmarkEnd w:id="1893"/>
      <w:bookmarkEnd w:id="1894"/>
      <w:bookmarkEnd w:id="1895"/>
      <w:bookmarkEnd w:id="1896"/>
      <w:bookmarkEnd w:id="1897"/>
      <w:bookmarkEnd w:id="1898"/>
      <w:bookmarkEnd w:id="1899"/>
      <w:bookmarkEnd w:id="1900"/>
    </w:p>
    <w:p w14:paraId="340EE677">
      <w:pPr>
        <w:numPr>
          <w:ilvl w:val="8"/>
          <w:numId w:val="25"/>
        </w:numPr>
        <w:spacing w:before="158" w:after="158" w:line="240" w:lineRule="auto"/>
        <w:ind w:left="0" w:firstLine="420"/>
      </w:pPr>
      <w:r>
        <w:rPr>
          <w:rFonts w:hint="eastAsia"/>
        </w:rPr>
        <w:t>通过点击</w:t>
      </w:r>
      <w:r>
        <w:fldChar w:fldCharType="begin"/>
      </w:r>
      <w:r>
        <w:instrText xml:space="preserve"> </w:instrText>
      </w:r>
      <w:r>
        <w:rPr>
          <w:rFonts w:hint="eastAsia"/>
        </w:rPr>
        <w:instrText xml:space="preserve">REF _Ref392859938 \r \h</w:instrText>
      </w:r>
      <w:r>
        <w:instrText xml:space="preserve"> </w:instrText>
      </w:r>
      <w:r>
        <w:fldChar w:fldCharType="separate"/>
      </w:r>
      <w:r>
        <w:rPr>
          <w:rFonts w:hint="eastAsia"/>
        </w:rPr>
        <w:t>图7-4</w:t>
      </w:r>
      <w:r>
        <w:fldChar w:fldCharType="end"/>
      </w:r>
      <w:r>
        <w:rPr>
          <w:rFonts w:hint="eastAsia"/>
        </w:rPr>
        <w:t>中的“RIP网络”，进入如</w:t>
      </w:r>
      <w:r>
        <w:fldChar w:fldCharType="begin"/>
      </w:r>
      <w:r>
        <w:instrText xml:space="preserve"> </w:instrText>
      </w:r>
      <w:r>
        <w:rPr>
          <w:rFonts w:hint="eastAsia"/>
        </w:rPr>
        <w:instrText xml:space="preserve">REF _Ref392858156 \r \h</w:instrText>
      </w:r>
      <w:r>
        <w:instrText xml:space="preserve"> </w:instrText>
      </w:r>
      <w:r>
        <w:fldChar w:fldCharType="separate"/>
      </w:r>
      <w:r>
        <w:rPr>
          <w:rFonts w:hint="eastAsia"/>
        </w:rPr>
        <w:t>图7-5</w:t>
      </w:r>
      <w:r>
        <w:fldChar w:fldCharType="end"/>
      </w:r>
      <w:r>
        <w:rPr>
          <w:rFonts w:hint="eastAsia"/>
        </w:rPr>
        <w:t>所示页面。该页显示了已经配置的RIP网络，在该页也可以删除已经配置的RIP网络。</w:t>
      </w:r>
    </w:p>
    <w:p w14:paraId="3AAC337B">
      <w:pPr>
        <w:pStyle w:val="188"/>
      </w:pPr>
      <w:bookmarkStart w:id="1901" w:name="_Ref392858156"/>
      <w:bookmarkStart w:id="1902" w:name="_Toc141874575"/>
      <w:r>
        <w:rPr>
          <w:rFonts w:hint="eastAsia"/>
        </w:rPr>
        <w:t>RIP网络</w:t>
      </w:r>
      <w:bookmarkEnd w:id="1901"/>
      <w:r>
        <w:rPr>
          <w:rFonts w:hint="eastAsia"/>
        </w:rPr>
        <w:t>显示界面</w:t>
      </w:r>
      <w:bookmarkEnd w:id="1902"/>
    </w:p>
    <w:p w14:paraId="7B3FBDC3">
      <w:r>
        <w:drawing>
          <wp:inline distT="0" distB="0" distL="0" distR="0">
            <wp:extent cx="5400675" cy="1047115"/>
            <wp:effectExtent l="0" t="0" r="0" b="635"/>
            <wp:docPr id="1318" name="图片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 name="图片 1318"/>
                    <pic:cNvPicPr>
                      <a:picLocks noChangeAspect="1"/>
                    </pic:cNvPicPr>
                  </pic:nvPicPr>
                  <pic:blipFill>
                    <a:blip r:embed="rId249"/>
                    <a:stretch>
                      <a:fillRect/>
                    </a:stretch>
                  </pic:blipFill>
                  <pic:spPr>
                    <a:xfrm>
                      <a:off x="0" y="0"/>
                      <a:ext cx="5414250" cy="1049822"/>
                    </a:xfrm>
                    <a:prstGeom prst="rect">
                      <a:avLst/>
                    </a:prstGeom>
                  </pic:spPr>
                </pic:pic>
              </a:graphicData>
            </a:graphic>
          </wp:inline>
        </w:drawing>
      </w:r>
    </w:p>
    <w:p w14:paraId="575FD800"/>
    <w:p w14:paraId="12EE6313">
      <w:pPr>
        <w:numPr>
          <w:ilvl w:val="8"/>
          <w:numId w:val="25"/>
        </w:numPr>
        <w:spacing w:before="158" w:after="158" w:line="240" w:lineRule="auto"/>
        <w:ind w:left="0" w:firstLine="420"/>
      </w:pPr>
      <w:r>
        <w:rPr>
          <w:rFonts w:hint="eastAsia"/>
        </w:rPr>
        <w:t>点击</w:t>
      </w:r>
      <w:r>
        <w:fldChar w:fldCharType="begin"/>
      </w:r>
      <w:r>
        <w:instrText xml:space="preserve"> </w:instrText>
      </w:r>
      <w:r>
        <w:rPr>
          <w:rFonts w:hint="eastAsia"/>
        </w:rPr>
        <w:instrText xml:space="preserve">REF _Ref392858156 \r \h</w:instrText>
      </w:r>
      <w:r>
        <w:instrText xml:space="preserve"> </w:instrText>
      </w:r>
      <w:r>
        <w:fldChar w:fldCharType="separate"/>
      </w:r>
      <w:r>
        <w:rPr>
          <w:rFonts w:hint="eastAsia"/>
        </w:rPr>
        <w:t>图7-5</w:t>
      </w:r>
      <w:r>
        <w:fldChar w:fldCharType="end"/>
      </w:r>
      <w:r>
        <w:rPr>
          <w:rFonts w:hint="eastAsia"/>
        </w:rPr>
        <w:t>中的&lt;新建&gt;按钮，进入如</w:t>
      </w:r>
      <w:r>
        <w:fldChar w:fldCharType="begin"/>
      </w:r>
      <w:r>
        <w:instrText xml:space="preserve"> </w:instrText>
      </w:r>
      <w:r>
        <w:rPr>
          <w:rFonts w:hint="eastAsia"/>
        </w:rPr>
        <w:instrText xml:space="preserve">REF _Ref393732594 \r \h</w:instrText>
      </w:r>
      <w:r>
        <w:instrText xml:space="preserve"> </w:instrText>
      </w:r>
      <w:r>
        <w:fldChar w:fldCharType="separate"/>
      </w:r>
      <w:r>
        <w:rPr>
          <w:rFonts w:hint="eastAsia"/>
        </w:rPr>
        <w:t>图7-6</w:t>
      </w:r>
      <w:r>
        <w:fldChar w:fldCharType="end"/>
      </w:r>
      <w:r>
        <w:rPr>
          <w:rFonts w:hint="eastAsia"/>
        </w:rPr>
        <w:t>所示页面，在该页填入要发布的RIP网络，点击&lt;提交&gt;按钮，完成RIP网络的配置。</w:t>
      </w:r>
    </w:p>
    <w:p w14:paraId="5E5B9908">
      <w:pPr>
        <w:pStyle w:val="188"/>
      </w:pPr>
      <w:bookmarkStart w:id="1903" w:name="_Ref393732594"/>
      <w:bookmarkStart w:id="1904" w:name="_Toc141874576"/>
      <w:r>
        <w:rPr>
          <w:rFonts w:hint="eastAsia"/>
        </w:rPr>
        <w:t>RIP网络配置</w:t>
      </w:r>
      <w:bookmarkEnd w:id="1903"/>
      <w:r>
        <w:rPr>
          <w:rFonts w:hint="eastAsia"/>
        </w:rPr>
        <w:t>界面</w:t>
      </w:r>
      <w:bookmarkEnd w:id="1904"/>
    </w:p>
    <w:p w14:paraId="7B0AAC88">
      <w:r>
        <w:drawing>
          <wp:inline distT="0" distB="0" distL="0" distR="0">
            <wp:extent cx="5400040" cy="1674495"/>
            <wp:effectExtent l="0" t="0" r="0" b="1905"/>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pic:cNvPicPr>
                  </pic:nvPicPr>
                  <pic:blipFill>
                    <a:blip r:embed="rId250"/>
                    <a:stretch>
                      <a:fillRect/>
                    </a:stretch>
                  </pic:blipFill>
                  <pic:spPr>
                    <a:xfrm>
                      <a:off x="0" y="0"/>
                      <a:ext cx="5400040" cy="1674696"/>
                    </a:xfrm>
                    <a:prstGeom prst="rect">
                      <a:avLst/>
                    </a:prstGeom>
                  </pic:spPr>
                </pic:pic>
              </a:graphicData>
            </a:graphic>
          </wp:inline>
        </w:drawing>
      </w:r>
    </w:p>
    <w:p w14:paraId="6389DB6F"/>
    <w:p w14:paraId="3AB41F3F">
      <w:pPr>
        <w:pStyle w:val="5"/>
      </w:pPr>
      <w:bookmarkStart w:id="1905" w:name="_Toc529430324"/>
      <w:bookmarkStart w:id="1906" w:name="_Toc494180368"/>
      <w:bookmarkStart w:id="1907" w:name="_Toc15484756"/>
      <w:bookmarkStart w:id="1908" w:name="_Toc23152522"/>
      <w:bookmarkStart w:id="1909" w:name="_Toc40275955"/>
      <w:bookmarkStart w:id="1910" w:name="_Toc194080713"/>
      <w:bookmarkStart w:id="1911" w:name="_Toc142400900"/>
      <w:bookmarkStart w:id="1912" w:name="_Toc141873384"/>
      <w:bookmarkStart w:id="1913" w:name="_Toc172218086"/>
      <w:bookmarkStart w:id="1914" w:name="_Toc196728045"/>
      <w:bookmarkStart w:id="1915" w:name="_Toc99561446"/>
      <w:r>
        <w:t>RIPKeychain</w:t>
      </w:r>
      <w:r>
        <w:rPr>
          <w:rFonts w:hint="eastAsia"/>
        </w:rPr>
        <w:t>配置</w:t>
      </w:r>
      <w:bookmarkEnd w:id="1905"/>
      <w:bookmarkEnd w:id="1906"/>
      <w:bookmarkEnd w:id="1907"/>
      <w:bookmarkEnd w:id="1908"/>
      <w:bookmarkEnd w:id="1909"/>
      <w:bookmarkEnd w:id="1910"/>
      <w:bookmarkEnd w:id="1911"/>
      <w:bookmarkEnd w:id="1912"/>
      <w:bookmarkEnd w:id="1913"/>
      <w:bookmarkEnd w:id="1914"/>
      <w:bookmarkEnd w:id="1915"/>
    </w:p>
    <w:p w14:paraId="2B1F7946">
      <w:r>
        <w:rPr>
          <w:rFonts w:hint="eastAsia"/>
        </w:rPr>
        <w:t>RIPv2协议支持MD5认证，RIP密钥链是使用在RIP接口上的密钥组，包括Key值和密码两部分，只有RIP通讯双方配置了相同Key值和密码的情况下，双方才可以完成认证创建邻居关系。一个密钥链中可以包含多组Key值+密码组合，只要任意一个组合匹配通过双方即可通过认证。</w:t>
      </w:r>
    </w:p>
    <w:p w14:paraId="717C2D8C">
      <w:r>
        <w:rPr>
          <w:rFonts w:hint="eastAsia"/>
        </w:rPr>
        <w:t>选择“网络配置&gt;路由管理</w:t>
      </w:r>
      <w:r>
        <w:t>&gt;RIP信息&gt;RIP Keychain</w:t>
      </w:r>
      <w:r>
        <w:rPr>
          <w:rFonts w:hint="eastAsia"/>
        </w:rPr>
        <w:t>”，单击“新建”按钮。</w:t>
      </w:r>
    </w:p>
    <w:p w14:paraId="43EC39C3">
      <w:pPr>
        <w:pStyle w:val="188"/>
      </w:pPr>
      <w:bookmarkStart w:id="1916" w:name="_Toc141874577"/>
      <w:r>
        <w:t>RIPKeychain</w:t>
      </w:r>
      <w:r>
        <w:rPr>
          <w:rFonts w:hint="eastAsia"/>
        </w:rPr>
        <w:t>配置界面</w:t>
      </w:r>
      <w:bookmarkEnd w:id="1916"/>
    </w:p>
    <w:p w14:paraId="5870C8E0">
      <w:r>
        <w:t xml:space="preserve"> </w:t>
      </w:r>
      <w:r>
        <w:drawing>
          <wp:inline distT="0" distB="0" distL="114300" distR="114300">
            <wp:extent cx="5400040" cy="2290445"/>
            <wp:effectExtent l="0" t="0" r="0" b="0"/>
            <wp:docPr id="972"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图片 53"/>
                    <pic:cNvPicPr>
                      <a:picLocks noChangeAspect="1"/>
                    </pic:cNvPicPr>
                  </pic:nvPicPr>
                  <pic:blipFill>
                    <a:blip r:embed="rId251"/>
                    <a:stretch>
                      <a:fillRect/>
                    </a:stretch>
                  </pic:blipFill>
                  <pic:spPr>
                    <a:xfrm>
                      <a:off x="0" y="0"/>
                      <a:ext cx="5400040" cy="2290688"/>
                    </a:xfrm>
                    <a:prstGeom prst="rect">
                      <a:avLst/>
                    </a:prstGeom>
                    <a:noFill/>
                    <a:ln>
                      <a:noFill/>
                    </a:ln>
                  </pic:spPr>
                </pic:pic>
              </a:graphicData>
            </a:graphic>
          </wp:inline>
        </w:drawing>
      </w:r>
    </w:p>
    <w:p w14:paraId="79D72DCF"/>
    <w:p w14:paraId="4F0568BE">
      <w:pPr>
        <w:pStyle w:val="183"/>
      </w:pPr>
      <w:bookmarkStart w:id="1917" w:name="_Toc141875482"/>
      <w:r>
        <w:t>RIPKeychain</w:t>
      </w:r>
      <w:r>
        <w:rPr>
          <w:rFonts w:hint="eastAsia"/>
        </w:rPr>
        <w:t>配置参数</w:t>
      </w:r>
      <w:bookmarkEnd w:id="1917"/>
    </w:p>
    <w:tbl>
      <w:tblPr>
        <w:tblStyle w:val="173"/>
        <w:tblW w:w="0" w:type="auto"/>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668"/>
        <w:gridCol w:w="7052"/>
      </w:tblGrid>
      <w:tr w14:paraId="6B57317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68" w:type="dxa"/>
            <w:tcBorders>
              <w:tl2br w:val="nil"/>
              <w:tr2bl w:val="nil"/>
            </w:tcBorders>
            <w:shd w:val="clear" w:color="auto" w:fill="538135" w:themeFill="accent6" w:themeFillShade="BF"/>
            <w:vAlign w:val="center"/>
          </w:tcPr>
          <w:p w14:paraId="1D901552">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参数</w:t>
            </w:r>
          </w:p>
        </w:tc>
        <w:tc>
          <w:tcPr>
            <w:tcW w:w="7052" w:type="dxa"/>
            <w:tcBorders>
              <w:tl2br w:val="nil"/>
              <w:tr2bl w:val="nil"/>
            </w:tcBorders>
            <w:shd w:val="clear" w:color="auto" w:fill="538135" w:themeFill="accent6" w:themeFillShade="BF"/>
            <w:vAlign w:val="center"/>
          </w:tcPr>
          <w:p w14:paraId="3B8EAB87">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12B88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68" w:type="dxa"/>
            <w:shd w:val="clear" w:color="auto" w:fill="auto"/>
          </w:tcPr>
          <w:p w14:paraId="0B123AEA">
            <w:pPr>
              <w:pStyle w:val="186"/>
              <w:widowControl w:val="0"/>
              <w:spacing w:line="240" w:lineRule="auto"/>
              <w:ind w:firstLine="0"/>
              <w:jc w:val="left"/>
            </w:pPr>
            <w:r>
              <w:rPr>
                <w:rFonts w:hint="eastAsia"/>
              </w:rPr>
              <w:t>名称</w:t>
            </w:r>
          </w:p>
        </w:tc>
        <w:tc>
          <w:tcPr>
            <w:tcW w:w="7052" w:type="dxa"/>
            <w:shd w:val="clear" w:color="auto" w:fill="auto"/>
          </w:tcPr>
          <w:p w14:paraId="556AE6F7">
            <w:pPr>
              <w:pStyle w:val="186"/>
              <w:widowControl w:val="0"/>
              <w:spacing w:line="240" w:lineRule="auto"/>
              <w:ind w:firstLine="0"/>
              <w:jc w:val="left"/>
            </w:pPr>
            <w:r>
              <w:rPr>
                <w:rFonts w:hint="eastAsia"/>
              </w:rPr>
              <w:t>输入RIP密钥链的名称。1~63字符。</w:t>
            </w:r>
          </w:p>
        </w:tc>
      </w:tr>
      <w:tr w14:paraId="38926E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68" w:type="dxa"/>
            <w:shd w:val="clear" w:color="auto" w:fill="auto"/>
          </w:tcPr>
          <w:p w14:paraId="7E17802D">
            <w:pPr>
              <w:pStyle w:val="186"/>
              <w:widowControl w:val="0"/>
              <w:spacing w:line="240" w:lineRule="auto"/>
              <w:ind w:firstLine="0"/>
              <w:jc w:val="left"/>
            </w:pPr>
            <w:r>
              <w:t>Key</w:t>
            </w:r>
            <w:r>
              <w:rPr>
                <w:rFonts w:hint="eastAsia"/>
              </w:rPr>
              <w:t>值</w:t>
            </w:r>
          </w:p>
        </w:tc>
        <w:tc>
          <w:tcPr>
            <w:tcW w:w="7052" w:type="dxa"/>
            <w:shd w:val="clear" w:color="auto" w:fill="auto"/>
          </w:tcPr>
          <w:p w14:paraId="669D38A1">
            <w:pPr>
              <w:pStyle w:val="186"/>
              <w:widowControl w:val="0"/>
              <w:spacing w:line="240" w:lineRule="auto"/>
              <w:ind w:firstLine="0"/>
              <w:jc w:val="left"/>
            </w:pPr>
            <w:r>
              <w:rPr>
                <w:rFonts w:hint="eastAsia"/>
              </w:rPr>
              <w:t>输入RIP密钥链的Key值，取值范围：0~2147483647，RIP两端认证时Key值需保持一致。</w:t>
            </w:r>
          </w:p>
        </w:tc>
      </w:tr>
      <w:tr w14:paraId="6B44E3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68" w:type="dxa"/>
            <w:shd w:val="clear" w:color="auto" w:fill="auto"/>
          </w:tcPr>
          <w:p w14:paraId="64ABC14D">
            <w:pPr>
              <w:pStyle w:val="186"/>
              <w:widowControl w:val="0"/>
              <w:spacing w:line="240" w:lineRule="auto"/>
              <w:ind w:firstLine="0"/>
              <w:jc w:val="left"/>
            </w:pPr>
            <w:r>
              <w:rPr>
                <w:rFonts w:hint="eastAsia"/>
              </w:rPr>
              <w:t>密码</w:t>
            </w:r>
          </w:p>
        </w:tc>
        <w:tc>
          <w:tcPr>
            <w:tcW w:w="7052" w:type="dxa"/>
            <w:shd w:val="clear" w:color="auto" w:fill="auto"/>
          </w:tcPr>
          <w:p w14:paraId="2C238F80">
            <w:pPr>
              <w:pStyle w:val="186"/>
              <w:widowControl w:val="0"/>
              <w:spacing w:line="240" w:lineRule="auto"/>
              <w:ind w:firstLine="0"/>
              <w:jc w:val="left"/>
            </w:pPr>
            <w:r>
              <w:rPr>
                <w:rFonts w:hint="eastAsia"/>
              </w:rPr>
              <w:t>输入RIP密钥链的密码，1~255字符，不支持特殊字符。RIP两端认证时密码需保持一致。</w:t>
            </w:r>
          </w:p>
        </w:tc>
      </w:tr>
    </w:tbl>
    <w:p w14:paraId="4CE752C1"/>
    <w:p w14:paraId="615EA77A">
      <w:pPr>
        <w:pStyle w:val="5"/>
      </w:pPr>
      <w:bookmarkStart w:id="1918" w:name="_Toc172218087"/>
      <w:bookmarkStart w:id="1919" w:name="_Toc529430325"/>
      <w:bookmarkStart w:id="1920" w:name="_Toc23152523"/>
      <w:bookmarkStart w:id="1921" w:name="_Toc15484757"/>
      <w:bookmarkStart w:id="1922" w:name="_Toc141873385"/>
      <w:bookmarkStart w:id="1923" w:name="_Toc40275956"/>
      <w:bookmarkStart w:id="1924" w:name="_Toc99561447"/>
      <w:bookmarkStart w:id="1925" w:name="_Toc194080714"/>
      <w:bookmarkStart w:id="1926" w:name="_Toc474249958"/>
      <w:bookmarkStart w:id="1927" w:name="_Toc142400901"/>
      <w:bookmarkStart w:id="1928" w:name="_Toc196728046"/>
      <w:r>
        <w:rPr>
          <w:rFonts w:hint="eastAsia"/>
        </w:rPr>
        <w:t>RIP接口配置</w:t>
      </w:r>
      <w:bookmarkEnd w:id="1918"/>
      <w:bookmarkEnd w:id="1919"/>
      <w:bookmarkEnd w:id="1920"/>
      <w:bookmarkEnd w:id="1921"/>
      <w:bookmarkEnd w:id="1922"/>
      <w:bookmarkEnd w:id="1923"/>
      <w:bookmarkEnd w:id="1924"/>
      <w:bookmarkEnd w:id="1925"/>
      <w:bookmarkEnd w:id="1926"/>
      <w:bookmarkEnd w:id="1927"/>
      <w:bookmarkEnd w:id="1928"/>
    </w:p>
    <w:p w14:paraId="074BECB5">
      <w:pPr>
        <w:pStyle w:val="202"/>
        <w:rPr>
          <w:lang w:eastAsia="zh-CN"/>
        </w:rPr>
      </w:pPr>
      <w:r>
        <w:rPr>
          <w:rFonts w:hint="eastAsia"/>
          <w:lang w:eastAsia="zh-CN"/>
        </w:rPr>
        <w:t>点击</w:t>
      </w:r>
      <w:r>
        <w:fldChar w:fldCharType="begin"/>
      </w:r>
      <w:r>
        <w:rPr>
          <w:lang w:eastAsia="zh-CN"/>
        </w:rPr>
        <w:instrText xml:space="preserve"> </w:instrText>
      </w:r>
      <w:r>
        <w:rPr>
          <w:rFonts w:hint="eastAsia"/>
          <w:lang w:eastAsia="zh-CN"/>
        </w:rPr>
        <w:instrText xml:space="preserve">REF _Ref392859938 \r \h</w:instrText>
      </w:r>
      <w:r>
        <w:rPr>
          <w:lang w:eastAsia="zh-CN"/>
        </w:rPr>
        <w:instrText xml:space="preserve"> </w:instrText>
      </w:r>
      <w:r>
        <w:fldChar w:fldCharType="separate"/>
      </w:r>
      <w:r>
        <w:rPr>
          <w:rFonts w:hint="eastAsia"/>
          <w:lang w:eastAsia="zh-CN"/>
        </w:rPr>
        <w:t>图7-4</w:t>
      </w:r>
      <w:r>
        <w:fldChar w:fldCharType="end"/>
      </w:r>
      <w:r>
        <w:rPr>
          <w:rFonts w:hint="eastAsia"/>
          <w:lang w:eastAsia="zh-CN"/>
        </w:rPr>
        <w:t>中的“RIP扩展”，进入所示</w:t>
      </w:r>
      <w:r>
        <w:fldChar w:fldCharType="begin"/>
      </w:r>
      <w:r>
        <w:rPr>
          <w:lang w:eastAsia="zh-CN"/>
        </w:rPr>
        <w:instrText xml:space="preserve"> </w:instrText>
      </w:r>
      <w:r>
        <w:rPr>
          <w:rFonts w:hint="eastAsia"/>
          <w:lang w:eastAsia="zh-CN"/>
        </w:rPr>
        <w:instrText xml:space="preserve">REF _Ref392860602 \r \h</w:instrText>
      </w:r>
      <w:r>
        <w:rPr>
          <w:lang w:eastAsia="zh-CN"/>
        </w:rPr>
        <w:instrText xml:space="preserve"> </w:instrText>
      </w:r>
      <w:r>
        <w:fldChar w:fldCharType="separate"/>
      </w:r>
      <w:r>
        <w:rPr>
          <w:rFonts w:hint="eastAsia"/>
          <w:lang w:eastAsia="zh-CN"/>
        </w:rPr>
        <w:t>图7-8</w:t>
      </w:r>
      <w:r>
        <w:fldChar w:fldCharType="end"/>
      </w:r>
      <w:r>
        <w:rPr>
          <w:rFonts w:hint="eastAsia"/>
          <w:lang w:eastAsia="zh-CN"/>
        </w:rPr>
        <w:t>页面。该页面显示了已经配置的接口信息，具体信息说明如</w:t>
      </w:r>
      <w:r>
        <w:fldChar w:fldCharType="begin"/>
      </w:r>
      <w:r>
        <w:rPr>
          <w:lang w:eastAsia="zh-CN"/>
        </w:rPr>
        <w:instrText xml:space="preserve"> </w:instrText>
      </w:r>
      <w:r>
        <w:rPr>
          <w:rFonts w:hint="eastAsia"/>
          <w:lang w:eastAsia="zh-CN"/>
        </w:rPr>
        <w:instrText xml:space="preserve">REF _Ref392776132 \r \h</w:instrText>
      </w:r>
      <w:r>
        <w:rPr>
          <w:lang w:eastAsia="zh-CN"/>
        </w:rPr>
        <w:instrText xml:space="preserve"> </w:instrText>
      </w:r>
      <w:r>
        <w:fldChar w:fldCharType="separate"/>
      </w:r>
      <w:r>
        <w:rPr>
          <w:rFonts w:hint="eastAsia"/>
          <w:lang w:eastAsia="zh-CN"/>
        </w:rPr>
        <w:t>表7-1</w:t>
      </w:r>
      <w:r>
        <w:fldChar w:fldCharType="end"/>
      </w:r>
      <w:r>
        <w:rPr>
          <w:rFonts w:hint="eastAsia"/>
          <w:lang w:eastAsia="zh-CN"/>
        </w:rPr>
        <w:t>所示。</w:t>
      </w:r>
    </w:p>
    <w:p w14:paraId="06C49920">
      <w:pPr>
        <w:pStyle w:val="188"/>
      </w:pPr>
      <w:bookmarkStart w:id="1929" w:name="_Ref392860602"/>
      <w:bookmarkStart w:id="1930" w:name="_Toc141874578"/>
      <w:bookmarkStart w:id="1931" w:name="_Ref392860150"/>
      <w:r>
        <w:rPr>
          <w:rFonts w:hint="eastAsia"/>
        </w:rPr>
        <w:t>RIP接口</w:t>
      </w:r>
      <w:bookmarkEnd w:id="1929"/>
      <w:bookmarkEnd w:id="1930"/>
    </w:p>
    <w:p w14:paraId="3F330B09">
      <w:r>
        <w:drawing>
          <wp:inline distT="0" distB="0" distL="0" distR="0">
            <wp:extent cx="5400040" cy="132016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252"/>
                    <a:stretch>
                      <a:fillRect/>
                    </a:stretch>
                  </pic:blipFill>
                  <pic:spPr>
                    <a:xfrm>
                      <a:off x="0" y="0"/>
                      <a:ext cx="5400040" cy="1320601"/>
                    </a:xfrm>
                    <a:prstGeom prst="rect">
                      <a:avLst/>
                    </a:prstGeom>
                  </pic:spPr>
                </pic:pic>
              </a:graphicData>
            </a:graphic>
          </wp:inline>
        </w:drawing>
      </w:r>
    </w:p>
    <w:bookmarkEnd w:id="1931"/>
    <w:p w14:paraId="243B2AC5"/>
    <w:p w14:paraId="0CE47A85">
      <w:pPr>
        <w:pStyle w:val="202"/>
        <w:rPr>
          <w:lang w:eastAsia="zh-CN"/>
        </w:rPr>
      </w:pPr>
      <w:r>
        <w:rPr>
          <w:rFonts w:hint="eastAsia"/>
          <w:lang w:eastAsia="zh-CN"/>
        </w:rPr>
        <w:t>点击</w:t>
      </w:r>
      <w:r>
        <w:fldChar w:fldCharType="begin"/>
      </w:r>
      <w:r>
        <w:rPr>
          <w:lang w:eastAsia="zh-CN"/>
        </w:rPr>
        <w:instrText xml:space="preserve"> </w:instrText>
      </w:r>
      <w:r>
        <w:rPr>
          <w:rFonts w:hint="eastAsia"/>
          <w:lang w:eastAsia="zh-CN"/>
        </w:rPr>
        <w:instrText xml:space="preserve">REF _Ref392860602 \r \h</w:instrText>
      </w:r>
      <w:r>
        <w:rPr>
          <w:lang w:eastAsia="zh-CN"/>
        </w:rPr>
        <w:instrText xml:space="preserve"> </w:instrText>
      </w:r>
      <w:r>
        <w:fldChar w:fldCharType="separate"/>
      </w:r>
      <w:r>
        <w:rPr>
          <w:rFonts w:hint="eastAsia"/>
          <w:lang w:eastAsia="zh-CN"/>
        </w:rPr>
        <w:t>图7-8</w:t>
      </w:r>
      <w:r>
        <w:fldChar w:fldCharType="end"/>
      </w:r>
      <w:r>
        <w:rPr>
          <w:rFonts w:hint="eastAsia"/>
          <w:lang w:eastAsia="zh-CN"/>
        </w:rPr>
        <w:t>中的&lt;新建&gt;按钮，进入如</w:t>
      </w:r>
      <w:r>
        <w:fldChar w:fldCharType="begin"/>
      </w:r>
      <w:r>
        <w:rPr>
          <w:lang w:eastAsia="zh-CN"/>
        </w:rPr>
        <w:instrText xml:space="preserve"> </w:instrText>
      </w:r>
      <w:r>
        <w:rPr>
          <w:rFonts w:hint="eastAsia"/>
          <w:lang w:eastAsia="zh-CN"/>
        </w:rPr>
        <w:instrText xml:space="preserve">REF _Ref497227159 \r \h</w:instrText>
      </w:r>
      <w:r>
        <w:rPr>
          <w:lang w:eastAsia="zh-CN"/>
        </w:rPr>
        <w:instrText xml:space="preserve"> </w:instrText>
      </w:r>
      <w:r>
        <w:fldChar w:fldCharType="separate"/>
      </w:r>
      <w:r>
        <w:rPr>
          <w:rFonts w:hint="eastAsia"/>
          <w:lang w:eastAsia="zh-CN"/>
        </w:rPr>
        <w:t>图7-9</w:t>
      </w:r>
      <w:r>
        <w:fldChar w:fldCharType="end"/>
      </w:r>
      <w:r>
        <w:rPr>
          <w:rFonts w:hint="eastAsia"/>
          <w:lang w:eastAsia="zh-CN"/>
        </w:rPr>
        <w:t>所示页面。该页面可以配置接口相关的RIP信息，具体信息说明如</w:t>
      </w:r>
      <w:r>
        <w:fldChar w:fldCharType="begin"/>
      </w:r>
      <w:r>
        <w:rPr>
          <w:lang w:eastAsia="zh-CN"/>
        </w:rPr>
        <w:instrText xml:space="preserve"> </w:instrText>
      </w:r>
      <w:r>
        <w:rPr>
          <w:rFonts w:hint="eastAsia"/>
          <w:lang w:eastAsia="zh-CN"/>
        </w:rPr>
        <w:instrText xml:space="preserve">REF _Ref392860758 \r \h</w:instrText>
      </w:r>
      <w:r>
        <w:rPr>
          <w:lang w:eastAsia="zh-CN"/>
        </w:rPr>
        <w:instrText xml:space="preserve"> </w:instrText>
      </w:r>
      <w:r>
        <w:fldChar w:fldCharType="separate"/>
      </w:r>
      <w:r>
        <w:rPr>
          <w:rFonts w:hint="eastAsia"/>
          <w:lang w:eastAsia="zh-CN"/>
        </w:rPr>
        <w:t>表7-1</w:t>
      </w:r>
      <w:r>
        <w:fldChar w:fldCharType="end"/>
      </w:r>
      <w:r>
        <w:rPr>
          <w:rFonts w:hint="eastAsia"/>
          <w:lang w:eastAsia="zh-CN"/>
        </w:rPr>
        <w:t>所示。</w:t>
      </w:r>
    </w:p>
    <w:p w14:paraId="343D0793">
      <w:pPr>
        <w:pStyle w:val="188"/>
      </w:pPr>
      <w:bookmarkStart w:id="1932" w:name="_Ref497227159"/>
      <w:bookmarkStart w:id="1933" w:name="_Toc141874579"/>
      <w:bookmarkStart w:id="1934" w:name="_Ref392860618"/>
      <w:r>
        <w:rPr>
          <w:rFonts w:hint="eastAsia"/>
        </w:rPr>
        <w:t>RIP接口配置</w:t>
      </w:r>
      <w:bookmarkEnd w:id="1932"/>
      <w:bookmarkEnd w:id="1933"/>
    </w:p>
    <w:bookmarkEnd w:id="1934"/>
    <w:p w14:paraId="24586247">
      <w:pPr>
        <w:pStyle w:val="175"/>
      </w:pPr>
      <w:r>
        <w:drawing>
          <wp:inline distT="0" distB="0" distL="114300" distR="114300">
            <wp:extent cx="5092700" cy="2743200"/>
            <wp:effectExtent l="0" t="0" r="0" b="0"/>
            <wp:docPr id="97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图片 55"/>
                    <pic:cNvPicPr>
                      <a:picLocks noChangeAspect="1"/>
                    </pic:cNvPicPr>
                  </pic:nvPicPr>
                  <pic:blipFill>
                    <a:blip r:embed="rId253"/>
                    <a:stretch>
                      <a:fillRect/>
                    </a:stretch>
                  </pic:blipFill>
                  <pic:spPr>
                    <a:xfrm>
                      <a:off x="0" y="0"/>
                      <a:ext cx="5092700" cy="2743200"/>
                    </a:xfrm>
                    <a:prstGeom prst="rect">
                      <a:avLst/>
                    </a:prstGeom>
                    <a:noFill/>
                    <a:ln>
                      <a:noFill/>
                    </a:ln>
                  </pic:spPr>
                </pic:pic>
              </a:graphicData>
            </a:graphic>
          </wp:inline>
        </w:drawing>
      </w:r>
    </w:p>
    <w:p w14:paraId="6DBF0965"/>
    <w:p w14:paraId="54D84C18">
      <w:pPr>
        <w:pStyle w:val="183"/>
      </w:pPr>
      <w:bookmarkStart w:id="1935" w:name="_Ref392860758"/>
      <w:bookmarkStart w:id="1936" w:name="_Toc141875483"/>
      <w:r>
        <w:rPr>
          <w:rFonts w:hint="eastAsia"/>
        </w:rPr>
        <w:t>RIP接口各项配置含义</w:t>
      </w:r>
      <w:bookmarkEnd w:id="1935"/>
      <w:bookmarkEnd w:id="1936"/>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0"/>
        <w:gridCol w:w="6638"/>
      </w:tblGrid>
      <w:tr w14:paraId="25B8EFD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tcBorders>
              <w:tl2br w:val="nil"/>
              <w:tr2bl w:val="nil"/>
            </w:tcBorders>
            <w:shd w:val="clear" w:color="auto" w:fill="538135" w:themeFill="accent6" w:themeFillShade="BF"/>
            <w:vAlign w:val="center"/>
          </w:tcPr>
          <w:p w14:paraId="08EC1DD9">
            <w:pPr>
              <w:pStyle w:val="149"/>
              <w:wordWrap/>
              <w:rPr>
                <w:b/>
                <w:bCs/>
                <w:i w:val="0"/>
                <w:iCs w:val="0"/>
              </w:rPr>
            </w:pPr>
            <w:r>
              <w:rPr>
                <w:rFonts w:hint="eastAsia"/>
                <w:b/>
                <w:bCs/>
                <w:i w:val="0"/>
                <w:iCs w:val="0"/>
              </w:rPr>
              <w:t>标题项</w:t>
            </w:r>
          </w:p>
        </w:tc>
        <w:tc>
          <w:tcPr>
            <w:tcW w:w="6684" w:type="dxa"/>
            <w:tcBorders>
              <w:tl2br w:val="nil"/>
              <w:tr2bl w:val="nil"/>
            </w:tcBorders>
            <w:shd w:val="clear" w:color="auto" w:fill="538135" w:themeFill="accent6" w:themeFillShade="BF"/>
            <w:vAlign w:val="center"/>
          </w:tcPr>
          <w:p w14:paraId="6541BB3D">
            <w:pPr>
              <w:pStyle w:val="149"/>
              <w:wordWrap/>
              <w:rPr>
                <w:b/>
                <w:bCs/>
                <w:i w:val="0"/>
                <w:iCs w:val="0"/>
              </w:rPr>
            </w:pPr>
            <w:r>
              <w:rPr>
                <w:rFonts w:hint="eastAsia"/>
                <w:b/>
                <w:bCs/>
                <w:i w:val="0"/>
                <w:iCs w:val="0"/>
              </w:rPr>
              <w:t>说明</w:t>
            </w:r>
          </w:p>
        </w:tc>
      </w:tr>
      <w:tr w14:paraId="6045C4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42D625C2">
            <w:pPr>
              <w:pStyle w:val="150"/>
            </w:pPr>
            <w:r>
              <w:rPr>
                <w:rFonts w:hint="eastAsia"/>
              </w:rPr>
              <w:t>接口</w:t>
            </w:r>
          </w:p>
        </w:tc>
        <w:tc>
          <w:tcPr>
            <w:tcW w:w="6684" w:type="dxa"/>
            <w:shd w:val="clear" w:color="auto" w:fill="auto"/>
          </w:tcPr>
          <w:p w14:paraId="2C7359B8">
            <w:pPr>
              <w:pStyle w:val="150"/>
            </w:pPr>
            <w:r>
              <w:rPr>
                <w:rFonts w:hint="eastAsia"/>
              </w:rPr>
              <w:t>选择要启用RIP协议的接口</w:t>
            </w:r>
          </w:p>
        </w:tc>
      </w:tr>
      <w:tr w14:paraId="0186B3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6F88C3B8">
            <w:pPr>
              <w:pStyle w:val="150"/>
            </w:pPr>
            <w:r>
              <w:rPr>
                <w:rFonts w:hint="eastAsia"/>
              </w:rPr>
              <w:t>发送版本</w:t>
            </w:r>
          </w:p>
        </w:tc>
        <w:tc>
          <w:tcPr>
            <w:tcW w:w="6684" w:type="dxa"/>
            <w:shd w:val="clear" w:color="auto" w:fill="auto"/>
          </w:tcPr>
          <w:p w14:paraId="6CC94C72">
            <w:pPr>
              <w:pStyle w:val="150"/>
            </w:pPr>
            <w:r>
              <w:rPr>
                <w:rFonts w:hint="eastAsia"/>
              </w:rPr>
              <w:t>设置该接口可发送的RIP协议版本</w:t>
            </w:r>
          </w:p>
        </w:tc>
      </w:tr>
      <w:tr w14:paraId="1608DD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2792498F">
            <w:pPr>
              <w:pStyle w:val="150"/>
            </w:pPr>
            <w:r>
              <w:rPr>
                <w:rFonts w:hint="eastAsia"/>
              </w:rPr>
              <w:t>接收版本</w:t>
            </w:r>
          </w:p>
        </w:tc>
        <w:tc>
          <w:tcPr>
            <w:tcW w:w="6684" w:type="dxa"/>
            <w:shd w:val="clear" w:color="auto" w:fill="auto"/>
          </w:tcPr>
          <w:p w14:paraId="321CCD9D">
            <w:pPr>
              <w:pStyle w:val="150"/>
            </w:pPr>
            <w:r>
              <w:rPr>
                <w:rFonts w:hint="eastAsia"/>
              </w:rPr>
              <w:t>设置该接口可接收的RIP协议版本</w:t>
            </w:r>
          </w:p>
        </w:tc>
      </w:tr>
      <w:tr w14:paraId="640F6E3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6D18426B">
            <w:pPr>
              <w:pStyle w:val="150"/>
            </w:pPr>
            <w:r>
              <w:rPr>
                <w:rFonts w:hint="eastAsia"/>
              </w:rPr>
              <w:t>认证方式</w:t>
            </w:r>
          </w:p>
        </w:tc>
        <w:tc>
          <w:tcPr>
            <w:tcW w:w="6684" w:type="dxa"/>
            <w:shd w:val="clear" w:color="auto" w:fill="auto"/>
          </w:tcPr>
          <w:p w14:paraId="56B8FBFE">
            <w:pPr>
              <w:pStyle w:val="150"/>
            </w:pPr>
            <w:r>
              <w:rPr>
                <w:rFonts w:hint="eastAsia"/>
              </w:rPr>
              <w:t>设置RIP协议的认证方式，可以为无认证、明文认证或MD5认证。在对安全性要求较高的网络中，建议启用RIP协议认证。认证可以提高网络的安全性，只有相互认证成功的两台路由器之间才可以传输路由信息。</w:t>
            </w:r>
          </w:p>
          <w:p w14:paraId="11A81DE9">
            <w:pPr>
              <w:pStyle w:val="150"/>
            </w:pPr>
            <w:r>
              <w:rPr>
                <w:rFonts w:hint="eastAsia"/>
              </w:rPr>
              <w:t>Text：启用明文认证方式，并指定认证使用的密钥链或密码。</w:t>
            </w:r>
          </w:p>
          <w:p w14:paraId="799036ED">
            <w:pPr>
              <w:pStyle w:val="150"/>
            </w:pPr>
            <w:r>
              <w:rPr>
                <w:rFonts w:hint="eastAsia"/>
              </w:rPr>
              <w:t>MD5：启用MD5认证方式，并指定认证使用的密钥链或密码。与明文认证方式相比，MD5认证以密文形式传输认证凭据，因此更安全。</w:t>
            </w:r>
          </w:p>
          <w:p w14:paraId="2C9826A6">
            <w:pPr>
              <w:pStyle w:val="150"/>
            </w:pPr>
            <w:r>
              <w:rPr>
                <w:rFonts w:hint="eastAsia"/>
              </w:rPr>
              <w:t>HMAC-SHA256：启用HAMC-SHA256认证方式，并指定认证使用的密钥链或密码。使用密文形式传输认证凭据，安全性更高。</w:t>
            </w:r>
          </w:p>
        </w:tc>
      </w:tr>
      <w:tr w14:paraId="2A8642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3F0431DC">
            <w:pPr>
              <w:pStyle w:val="150"/>
            </w:pPr>
            <w:r>
              <w:rPr>
                <w:rFonts w:hint="eastAsia"/>
              </w:rPr>
              <w:t>认证标记</w:t>
            </w:r>
          </w:p>
        </w:tc>
        <w:tc>
          <w:tcPr>
            <w:tcW w:w="6684" w:type="dxa"/>
            <w:shd w:val="clear" w:color="auto" w:fill="auto"/>
          </w:tcPr>
          <w:p w14:paraId="1EF9A4C2">
            <w:pPr>
              <w:pStyle w:val="150"/>
            </w:pPr>
            <w:r>
              <w:rPr>
                <w:rFonts w:hint="eastAsia"/>
              </w:rPr>
              <w:t>Keychain：RIP密钥链，详情请参见RIP Keychain。</w:t>
            </w:r>
          </w:p>
          <w:p w14:paraId="6A32662A">
            <w:pPr>
              <w:pStyle w:val="186"/>
              <w:widowControl w:val="0"/>
              <w:spacing w:line="240" w:lineRule="auto"/>
              <w:ind w:firstLine="0"/>
              <w:jc w:val="left"/>
            </w:pPr>
            <w:r>
              <w:rPr>
                <w:rFonts w:hint="eastAsia"/>
              </w:rPr>
              <w:t>密码：手动设置认证密码，1~16字符。</w:t>
            </w:r>
          </w:p>
        </w:tc>
      </w:tr>
    </w:tbl>
    <w:p w14:paraId="7BA7BDA0"/>
    <w:p w14:paraId="6D22AE6A">
      <w:pPr>
        <w:pStyle w:val="5"/>
      </w:pPr>
      <w:bookmarkStart w:id="1937" w:name="_Toc23152524"/>
      <w:bookmarkStart w:id="1938" w:name="_Toc142400902"/>
      <w:bookmarkStart w:id="1939" w:name="_Toc172218088"/>
      <w:bookmarkStart w:id="1940" w:name="_Toc15484758"/>
      <w:bookmarkStart w:id="1941" w:name="_Toc99561448"/>
      <w:bookmarkStart w:id="1942" w:name="_Toc529430327"/>
      <w:bookmarkStart w:id="1943" w:name="_Toc141873386"/>
      <w:bookmarkStart w:id="1944" w:name="_Toc474249960"/>
      <w:bookmarkStart w:id="1945" w:name="_Toc40275957"/>
      <w:bookmarkStart w:id="1946" w:name="_Toc196728047"/>
      <w:bookmarkStart w:id="1947" w:name="_Toc194080715"/>
      <w:r>
        <w:rPr>
          <w:rFonts w:hint="eastAsia"/>
        </w:rPr>
        <w:t>RIP配置举例</w:t>
      </w:r>
      <w:bookmarkEnd w:id="1937"/>
      <w:bookmarkEnd w:id="1938"/>
      <w:bookmarkEnd w:id="1939"/>
      <w:bookmarkEnd w:id="1940"/>
      <w:bookmarkEnd w:id="1941"/>
      <w:bookmarkEnd w:id="1942"/>
      <w:bookmarkEnd w:id="1943"/>
      <w:bookmarkEnd w:id="1944"/>
      <w:bookmarkEnd w:id="1945"/>
      <w:bookmarkEnd w:id="1946"/>
      <w:bookmarkEnd w:id="1947"/>
    </w:p>
    <w:p w14:paraId="668A0C1F">
      <w:pPr>
        <w:pStyle w:val="6"/>
      </w:pPr>
      <w:r>
        <w:rPr>
          <w:rFonts w:hint="eastAsia"/>
        </w:rPr>
        <w:t>组网需求</w:t>
      </w:r>
    </w:p>
    <w:p w14:paraId="58FFE597">
      <w:r>
        <w:rPr>
          <w:rFonts w:hint="eastAsia"/>
        </w:rPr>
        <w:t>按照</w:t>
      </w:r>
      <w:r>
        <w:rPr>
          <w:color w:val="0000FF"/>
          <w:u w:val="single"/>
        </w:rPr>
        <w:fldChar w:fldCharType="begin"/>
      </w:r>
      <w:r>
        <w:rPr>
          <w:color w:val="0000FF"/>
          <w:u w:val="single"/>
        </w:rPr>
        <w:instrText xml:space="preserve"> </w:instrText>
      </w:r>
      <w:r>
        <w:rPr>
          <w:rFonts w:hint="eastAsia"/>
          <w:color w:val="0000FF"/>
          <w:u w:val="single"/>
        </w:rPr>
        <w:instrText xml:space="preserve">REF _Ref392861193 \r \h</w:instrText>
      </w:r>
      <w:r>
        <w:rPr>
          <w:color w:val="0000FF"/>
          <w:u w:val="single"/>
        </w:rPr>
        <w:instrText xml:space="preserve"> </w:instrText>
      </w:r>
      <w:r>
        <w:rPr>
          <w:color w:val="0000FF"/>
          <w:u w:val="single"/>
        </w:rPr>
        <w:fldChar w:fldCharType="separate"/>
      </w:r>
      <w:r>
        <w:rPr>
          <w:rFonts w:hint="eastAsia"/>
          <w:color w:val="0000FF"/>
          <w:u w:val="single"/>
        </w:rPr>
        <w:t>图7-10</w:t>
      </w:r>
      <w:r>
        <w:rPr>
          <w:color w:val="0000FF"/>
          <w:u w:val="single"/>
        </w:rPr>
        <w:fldChar w:fldCharType="end"/>
      </w:r>
      <w:r>
        <w:rPr>
          <w:rFonts w:hint="eastAsia"/>
        </w:rPr>
        <w:t>所示，配置接口IP地址，要求设备 A在ge0和ge2接口上启用了RIP，设备B在接口ge0和ge1上启用了RIP，两个设备的互连的接口收发报文的版本都设置为2。</w:t>
      </w:r>
    </w:p>
    <w:p w14:paraId="6C17B402">
      <w:pPr>
        <w:pStyle w:val="6"/>
      </w:pPr>
      <w:r>
        <w:rPr>
          <w:rFonts w:hint="eastAsia"/>
        </w:rPr>
        <w:t>组网图</w:t>
      </w:r>
    </w:p>
    <w:p w14:paraId="6461AEFB">
      <w:pPr>
        <w:pStyle w:val="188"/>
      </w:pPr>
      <w:bookmarkStart w:id="1948" w:name="_Ref392861193"/>
      <w:bookmarkStart w:id="1949" w:name="_Toc141874580"/>
      <w:r>
        <w:rPr>
          <w:rFonts w:hint="eastAsia"/>
        </w:rPr>
        <w:t>RIP配置案例组网图</w:t>
      </w:r>
      <w:bookmarkEnd w:id="1948"/>
      <w:bookmarkEnd w:id="1949"/>
    </w:p>
    <w:p w14:paraId="1282AF93">
      <w:pPr>
        <w:spacing w:before="79" w:after="79"/>
      </w:pPr>
      <w:r>
        <w:drawing>
          <wp:inline distT="0" distB="0" distL="0" distR="0">
            <wp:extent cx="4029075" cy="2141220"/>
            <wp:effectExtent l="0" t="0" r="0" b="0"/>
            <wp:docPr id="1325" name="图片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 name="图片 1325"/>
                    <pic:cNvPicPr>
                      <a:picLocks noChangeAspect="1"/>
                    </pic:cNvPicPr>
                  </pic:nvPicPr>
                  <pic:blipFill>
                    <a:blip r:embed="rId254"/>
                    <a:stretch>
                      <a:fillRect/>
                    </a:stretch>
                  </pic:blipFill>
                  <pic:spPr>
                    <a:xfrm>
                      <a:off x="0" y="0"/>
                      <a:ext cx="4036824" cy="2145516"/>
                    </a:xfrm>
                    <a:prstGeom prst="rect">
                      <a:avLst/>
                    </a:prstGeom>
                  </pic:spPr>
                </pic:pic>
              </a:graphicData>
            </a:graphic>
          </wp:inline>
        </w:drawing>
      </w:r>
    </w:p>
    <w:p w14:paraId="3A964C75"/>
    <w:p w14:paraId="32FFE4DE">
      <w:pPr>
        <w:pStyle w:val="6"/>
      </w:pPr>
      <w:r>
        <w:rPr>
          <w:rFonts w:hint="eastAsia"/>
        </w:rPr>
        <w:t>配置步骤</w:t>
      </w:r>
    </w:p>
    <w:p w14:paraId="1DFBF39D">
      <w:pPr>
        <w:pStyle w:val="202"/>
      </w:pPr>
      <w:r>
        <w:rPr>
          <w:rFonts w:hint="eastAsia"/>
        </w:rPr>
        <w:t>按照组网图组网。</w:t>
      </w:r>
    </w:p>
    <w:p w14:paraId="65BD9524">
      <w:pPr>
        <w:pStyle w:val="202"/>
      </w:pPr>
      <w:r>
        <w:rPr>
          <w:rFonts w:hint="eastAsia"/>
        </w:rPr>
        <w:t>配置设备A</w:t>
      </w:r>
    </w:p>
    <w:p w14:paraId="350F6E61">
      <w:r>
        <w:rPr>
          <w:rFonts w:hint="eastAsia"/>
        </w:rPr>
        <w:t>通过菜单“网络配置&gt;路由管理&gt;RIP设定”，进入RIP全局配置，如</w:t>
      </w:r>
      <w:r>
        <w:rPr>
          <w:color w:val="0000FF"/>
          <w:u w:val="single"/>
        </w:rPr>
        <w:fldChar w:fldCharType="begin"/>
      </w:r>
      <w:r>
        <w:rPr>
          <w:color w:val="0000FF"/>
          <w:u w:val="single"/>
        </w:rPr>
        <w:instrText xml:space="preserve"> </w:instrText>
      </w:r>
      <w:r>
        <w:rPr>
          <w:rFonts w:hint="eastAsia"/>
          <w:color w:val="0000FF"/>
          <w:u w:val="single"/>
        </w:rPr>
        <w:instrText xml:space="preserve">REF _Ref392861559 \r \h</w:instrText>
      </w:r>
      <w:r>
        <w:rPr>
          <w:color w:val="0000FF"/>
          <w:u w:val="single"/>
        </w:rPr>
        <w:instrText xml:space="preserve"> </w:instrText>
      </w:r>
      <w:r>
        <w:rPr>
          <w:color w:val="0000FF"/>
          <w:u w:val="single"/>
        </w:rPr>
        <w:fldChar w:fldCharType="separate"/>
      </w:r>
      <w:r>
        <w:rPr>
          <w:rFonts w:hint="eastAsia"/>
          <w:color w:val="0000FF"/>
          <w:u w:val="single"/>
        </w:rPr>
        <w:t>图7-11</w:t>
      </w:r>
      <w:r>
        <w:rPr>
          <w:color w:val="0000FF"/>
          <w:u w:val="single"/>
        </w:rPr>
        <w:fldChar w:fldCharType="end"/>
      </w:r>
      <w:r>
        <w:rPr>
          <w:rFonts w:hint="eastAsia"/>
        </w:rPr>
        <w:t>所示，点击&lt;提交&gt;按钮。</w:t>
      </w:r>
    </w:p>
    <w:p w14:paraId="2C0A5316">
      <w:pPr>
        <w:pStyle w:val="188"/>
      </w:pPr>
      <w:bookmarkStart w:id="1950" w:name="_Toc141874581"/>
      <w:bookmarkStart w:id="1951" w:name="_Ref392861559"/>
      <w:r>
        <w:rPr>
          <w:rFonts w:hint="eastAsia"/>
        </w:rPr>
        <w:t>RIP全局配置</w:t>
      </w:r>
      <w:bookmarkEnd w:id="1950"/>
      <w:bookmarkEnd w:id="1951"/>
    </w:p>
    <w:p w14:paraId="23223049">
      <w:r>
        <w:t xml:space="preserve"> </w:t>
      </w:r>
      <w:r>
        <w:drawing>
          <wp:inline distT="0" distB="0" distL="114300" distR="114300">
            <wp:extent cx="5400040" cy="3680460"/>
            <wp:effectExtent l="0" t="0" r="0" b="0"/>
            <wp:docPr id="97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图片 56"/>
                    <pic:cNvPicPr>
                      <a:picLocks noChangeAspect="1"/>
                    </pic:cNvPicPr>
                  </pic:nvPicPr>
                  <pic:blipFill>
                    <a:blip r:embed="rId255"/>
                    <a:stretch>
                      <a:fillRect/>
                    </a:stretch>
                  </pic:blipFill>
                  <pic:spPr>
                    <a:xfrm>
                      <a:off x="0" y="0"/>
                      <a:ext cx="5400040" cy="3680474"/>
                    </a:xfrm>
                    <a:prstGeom prst="rect">
                      <a:avLst/>
                    </a:prstGeom>
                    <a:noFill/>
                    <a:ln>
                      <a:noFill/>
                    </a:ln>
                  </pic:spPr>
                </pic:pic>
              </a:graphicData>
            </a:graphic>
          </wp:inline>
        </w:drawing>
      </w:r>
    </w:p>
    <w:p w14:paraId="71A32A52"/>
    <w:p w14:paraId="1B9B88C6">
      <w:r>
        <w:rPr>
          <w:rFonts w:hint="eastAsia"/>
        </w:rPr>
        <w:t>选择“RIP网络”页签，点击新建，进入如</w:t>
      </w:r>
      <w:r>
        <w:fldChar w:fldCharType="begin"/>
      </w:r>
      <w:r>
        <w:instrText xml:space="preserve"> </w:instrText>
      </w:r>
      <w:r>
        <w:rPr>
          <w:rFonts w:hint="eastAsia"/>
        </w:rPr>
        <w:instrText xml:space="preserve">REF _Ref392861983 \r \h</w:instrText>
      </w:r>
      <w:r>
        <w:instrText xml:space="preserve"> </w:instrText>
      </w:r>
      <w:r>
        <w:fldChar w:fldCharType="separate"/>
      </w:r>
      <w:r>
        <w:rPr>
          <w:rFonts w:hint="eastAsia"/>
        </w:rPr>
        <w:t>图7-12</w:t>
      </w:r>
      <w:r>
        <w:fldChar w:fldCharType="end"/>
      </w:r>
      <w:r>
        <w:rPr>
          <w:rFonts w:hint="eastAsia"/>
        </w:rPr>
        <w:t>所示页面，分别配置网络202.38.168.1/24和192.168.31.225/24，并点击&lt;提交&gt;按钮。</w:t>
      </w:r>
    </w:p>
    <w:p w14:paraId="38DAC682">
      <w:pPr>
        <w:pStyle w:val="188"/>
      </w:pPr>
      <w:bookmarkStart w:id="1952" w:name="_Ref392861983"/>
      <w:bookmarkStart w:id="1953" w:name="_Toc141874582"/>
      <w:r>
        <w:rPr>
          <w:rFonts w:hint="eastAsia"/>
        </w:rPr>
        <w:t>配置RIP网络</w:t>
      </w:r>
      <w:bookmarkEnd w:id="1952"/>
      <w:bookmarkEnd w:id="1953"/>
    </w:p>
    <w:p w14:paraId="3BFE3401">
      <w:r>
        <w:drawing>
          <wp:inline distT="0" distB="0" distL="114300" distR="114300">
            <wp:extent cx="5400040" cy="1730375"/>
            <wp:effectExtent l="0" t="0" r="0" b="3175"/>
            <wp:docPr id="97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图片 57"/>
                    <pic:cNvPicPr>
                      <a:picLocks noChangeAspect="1"/>
                    </pic:cNvPicPr>
                  </pic:nvPicPr>
                  <pic:blipFill>
                    <a:blip r:embed="rId256"/>
                    <a:stretch>
                      <a:fillRect/>
                    </a:stretch>
                  </pic:blipFill>
                  <pic:spPr>
                    <a:xfrm>
                      <a:off x="0" y="0"/>
                      <a:ext cx="5400040" cy="1730539"/>
                    </a:xfrm>
                    <a:prstGeom prst="rect">
                      <a:avLst/>
                    </a:prstGeom>
                    <a:noFill/>
                    <a:ln>
                      <a:noFill/>
                    </a:ln>
                  </pic:spPr>
                </pic:pic>
              </a:graphicData>
            </a:graphic>
          </wp:inline>
        </w:drawing>
      </w:r>
    </w:p>
    <w:p w14:paraId="221DEED8">
      <w:r>
        <w:rPr>
          <w:rFonts w:hint="eastAsia"/>
        </w:rPr>
        <w:t>选择“RIP扩展”页签，点击&lt;新建&gt;，分别在ge0和ge2接口上启用RIP协议并选择版本2。</w:t>
      </w:r>
    </w:p>
    <w:p w14:paraId="71609E32">
      <w:pPr>
        <w:pStyle w:val="188"/>
      </w:pPr>
      <w:bookmarkStart w:id="1954" w:name="_Toc141874583"/>
      <w:r>
        <w:rPr>
          <w:rFonts w:hint="eastAsia"/>
        </w:rPr>
        <w:t>配置RIP接口</w:t>
      </w:r>
      <w:bookmarkEnd w:id="1954"/>
    </w:p>
    <w:p w14:paraId="22A1DA2E">
      <w:pPr>
        <w:spacing w:before="79" w:after="79"/>
      </w:pPr>
      <w:r>
        <w:drawing>
          <wp:inline distT="0" distB="0" distL="0" distR="0">
            <wp:extent cx="4562475" cy="2066925"/>
            <wp:effectExtent l="0" t="0" r="0" b="0"/>
            <wp:docPr id="404"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229"/>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a:xfrm>
                      <a:off x="0" y="0"/>
                      <a:ext cx="4562475" cy="2066925"/>
                    </a:xfrm>
                    <a:prstGeom prst="rect">
                      <a:avLst/>
                    </a:prstGeom>
                    <a:noFill/>
                    <a:ln>
                      <a:noFill/>
                    </a:ln>
                  </pic:spPr>
                </pic:pic>
              </a:graphicData>
            </a:graphic>
          </wp:inline>
        </w:drawing>
      </w:r>
    </w:p>
    <w:p w14:paraId="363BCD7C"/>
    <w:p w14:paraId="2F46DF6C">
      <w:pPr>
        <w:pStyle w:val="202"/>
      </w:pPr>
      <w:r>
        <w:rPr>
          <w:rFonts w:hint="eastAsia"/>
        </w:rPr>
        <w:t>配置设备 B</w:t>
      </w:r>
    </w:p>
    <w:p w14:paraId="4CF5EFC0">
      <w:r>
        <w:rPr>
          <w:rFonts w:hint="eastAsia"/>
        </w:rPr>
        <w:t>配置方式与设备 A相同，不再赘述。</w:t>
      </w:r>
    </w:p>
    <w:p w14:paraId="11FB7776">
      <w:pPr>
        <w:pStyle w:val="6"/>
      </w:pPr>
      <w:r>
        <w:rPr>
          <w:rFonts w:hint="eastAsia"/>
        </w:rPr>
        <w:t>验证配置</w:t>
      </w:r>
    </w:p>
    <w:p w14:paraId="7722B41E">
      <w:r>
        <w:rPr>
          <w:rFonts w:hint="eastAsia"/>
        </w:rPr>
        <w:t>在</w:t>
      </w:r>
      <w:r>
        <w:t xml:space="preserve">Host </w:t>
      </w:r>
      <w:r>
        <w:rPr>
          <w:rFonts w:hint="eastAsia"/>
        </w:rPr>
        <w:t>A上使用ping命令验证</w:t>
      </w:r>
      <w:r>
        <w:t xml:space="preserve">Host </w:t>
      </w:r>
      <w:r>
        <w:rPr>
          <w:rFonts w:hint="eastAsia"/>
        </w:rPr>
        <w:t>B可达。</w:t>
      </w:r>
    </w:p>
    <w:p w14:paraId="0964E354">
      <w:r>
        <w:br w:type="page"/>
      </w:r>
    </w:p>
    <w:p w14:paraId="7E71CDE0">
      <w:pPr>
        <w:pStyle w:val="4"/>
      </w:pPr>
      <w:bookmarkStart w:id="1955" w:name="_Toc474249961"/>
      <w:bookmarkStart w:id="1956" w:name="_Toc529430328"/>
      <w:bookmarkStart w:id="1957" w:name="_Toc15484759"/>
      <w:bookmarkStart w:id="1958" w:name="_Toc99561449"/>
      <w:bookmarkStart w:id="1959" w:name="_Toc194080716"/>
      <w:bookmarkStart w:id="1960" w:name="_Toc141873387"/>
      <w:bookmarkStart w:id="1961" w:name="_Toc196728048"/>
      <w:bookmarkStart w:id="1962" w:name="_Toc23152525"/>
      <w:bookmarkStart w:id="1963" w:name="_Toc142400903"/>
      <w:bookmarkStart w:id="1964" w:name="_Toc40275958"/>
      <w:bookmarkStart w:id="1965" w:name="_Toc172218089"/>
      <w:r>
        <w:rPr>
          <w:rFonts w:hint="eastAsia"/>
        </w:rPr>
        <w:t>OSPF</w:t>
      </w:r>
      <w:bookmarkEnd w:id="1955"/>
      <w:bookmarkEnd w:id="1956"/>
      <w:bookmarkEnd w:id="1957"/>
      <w:bookmarkEnd w:id="1958"/>
      <w:bookmarkEnd w:id="1959"/>
      <w:bookmarkEnd w:id="1960"/>
      <w:bookmarkEnd w:id="1961"/>
      <w:bookmarkEnd w:id="1962"/>
      <w:bookmarkEnd w:id="1963"/>
      <w:bookmarkEnd w:id="1964"/>
      <w:bookmarkEnd w:id="1965"/>
    </w:p>
    <w:p w14:paraId="6EF40BB3">
      <w:pPr>
        <w:pStyle w:val="5"/>
      </w:pPr>
      <w:bookmarkStart w:id="1966" w:name="_Toc194080717"/>
      <w:bookmarkStart w:id="1967" w:name="_Toc40275959"/>
      <w:bookmarkStart w:id="1968" w:name="_Toc196728049"/>
      <w:bookmarkStart w:id="1969" w:name="_Toc317669388"/>
      <w:bookmarkStart w:id="1970" w:name="_Toc15484760"/>
      <w:bookmarkStart w:id="1971" w:name="_Toc23152526"/>
      <w:bookmarkStart w:id="1972" w:name="_Toc142400904"/>
      <w:bookmarkStart w:id="1973" w:name="_Toc172218090"/>
      <w:bookmarkStart w:id="1974" w:name="_Toc391914866"/>
      <w:bookmarkStart w:id="1975" w:name="_Toc529430329"/>
      <w:bookmarkStart w:id="1976" w:name="_Toc141873388"/>
      <w:bookmarkStart w:id="1977" w:name="_Toc99561450"/>
      <w:bookmarkStart w:id="1978" w:name="_Toc474249962"/>
      <w:r>
        <w:rPr>
          <w:rFonts w:hint="eastAsia"/>
        </w:rPr>
        <w:t>OSPF简介</w:t>
      </w:r>
      <w:bookmarkEnd w:id="1966"/>
      <w:bookmarkEnd w:id="1967"/>
      <w:bookmarkEnd w:id="1968"/>
      <w:bookmarkEnd w:id="1969"/>
      <w:bookmarkEnd w:id="1970"/>
      <w:bookmarkEnd w:id="1971"/>
      <w:bookmarkEnd w:id="1972"/>
      <w:bookmarkEnd w:id="1973"/>
      <w:bookmarkEnd w:id="1974"/>
      <w:bookmarkEnd w:id="1975"/>
      <w:bookmarkEnd w:id="1976"/>
      <w:bookmarkEnd w:id="1977"/>
      <w:bookmarkEnd w:id="1978"/>
    </w:p>
    <w:p w14:paraId="2371BFA6">
      <w:r>
        <w:rPr>
          <w:rFonts w:hint="eastAsia"/>
        </w:rPr>
        <w:t>OSPF（Open Shortest Path First，开放最短路径优先）是IETF（Internet Engineering Task Force，互联网工程任务组）组织开发的一个基于链路状态的内部网关协议。目前针对IPv4协议使用的是OSPF Version 2。</w:t>
      </w:r>
    </w:p>
    <w:p w14:paraId="5DD21340">
      <w:r>
        <w:rPr>
          <w:rFonts w:hint="eastAsia"/>
        </w:rPr>
        <w:t>本节介绍配置OSPF所需要理解的知识，具体包括：</w:t>
      </w:r>
    </w:p>
    <w:p w14:paraId="5F39772F">
      <w:pPr>
        <w:pStyle w:val="162"/>
      </w:pPr>
      <w:r>
        <w:rPr>
          <w:rFonts w:hint="eastAsia"/>
        </w:rPr>
        <w:t>OSPF的特点</w:t>
      </w:r>
    </w:p>
    <w:p w14:paraId="3A9E265C">
      <w:pPr>
        <w:pStyle w:val="162"/>
      </w:pPr>
      <w:r>
        <w:rPr>
          <w:rFonts w:hint="eastAsia"/>
        </w:rPr>
        <w:t>OSPF的报文类型</w:t>
      </w:r>
    </w:p>
    <w:p w14:paraId="60325A8E">
      <w:pPr>
        <w:pStyle w:val="162"/>
      </w:pPr>
      <w:r>
        <w:rPr>
          <w:rFonts w:hint="eastAsia"/>
        </w:rPr>
        <w:t>OSPF的区域划分</w:t>
      </w:r>
    </w:p>
    <w:p w14:paraId="06C8F034">
      <w:pPr>
        <w:pStyle w:val="162"/>
      </w:pPr>
      <w:r>
        <w:rPr>
          <w:rFonts w:hint="eastAsia"/>
        </w:rPr>
        <w:t>OSPF的路由器类型</w:t>
      </w:r>
    </w:p>
    <w:p w14:paraId="65B39C9B">
      <w:pPr>
        <w:pStyle w:val="162"/>
      </w:pPr>
      <w:r>
        <w:rPr>
          <w:rFonts w:hint="eastAsia"/>
        </w:rPr>
        <w:t>OSPF的路由类型</w:t>
      </w:r>
    </w:p>
    <w:p w14:paraId="368BDC79">
      <w:pPr>
        <w:pStyle w:val="162"/>
      </w:pPr>
      <w:r>
        <w:rPr>
          <w:rFonts w:hint="eastAsia"/>
        </w:rPr>
        <w:t>OSPF的网络类型</w:t>
      </w:r>
    </w:p>
    <w:p w14:paraId="2E95D298">
      <w:pPr>
        <w:pStyle w:val="162"/>
      </w:pPr>
      <w:r>
        <w:rPr>
          <w:rFonts w:hint="eastAsia"/>
        </w:rPr>
        <w:t>OSPF的协议规范</w:t>
      </w:r>
    </w:p>
    <w:p w14:paraId="53F97933"/>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1C34B8EB">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602CD9D3">
            <w:pPr>
              <w:pStyle w:val="150"/>
              <w:adjustRightInd w:val="0"/>
              <w:snapToGrid w:val="0"/>
              <w:rPr>
                <w:color w:val="auto"/>
              </w:rPr>
            </w:pPr>
            <w:r>
              <w:rPr>
                <w:b/>
                <w:color w:val="auto"/>
              </w:rPr>
              <w:drawing>
                <wp:inline distT="0" distB="0" distL="0" distR="0">
                  <wp:extent cx="283210" cy="283210"/>
                  <wp:effectExtent l="0" t="0" r="2540" b="254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33AD58CE">
            <w:pPr>
              <w:pStyle w:val="150"/>
              <w:adjustRightInd w:val="0"/>
              <w:snapToGrid w:val="0"/>
              <w:rPr>
                <w:color w:val="auto"/>
              </w:rPr>
            </w:pPr>
            <w:r>
              <w:rPr>
                <w:rFonts w:hint="eastAsia"/>
                <w:color w:val="auto"/>
              </w:rPr>
              <w:t>本章所介绍的配置都是指OSPF version 2。</w:t>
            </w:r>
          </w:p>
        </w:tc>
      </w:tr>
    </w:tbl>
    <w:p w14:paraId="1CE28C65"/>
    <w:p w14:paraId="24AB8AD2">
      <w:pPr>
        <w:pStyle w:val="5"/>
      </w:pPr>
      <w:bookmarkStart w:id="1979" w:name="_Toc391914867"/>
      <w:bookmarkStart w:id="1980" w:name="_Toc15484761"/>
      <w:bookmarkStart w:id="1981" w:name="_Toc474249963"/>
      <w:bookmarkStart w:id="1982" w:name="_Toc529430330"/>
      <w:bookmarkStart w:id="1983" w:name="_Toc141873389"/>
      <w:bookmarkStart w:id="1984" w:name="_Toc196728050"/>
      <w:bookmarkStart w:id="1985" w:name="_Toc40275960"/>
      <w:bookmarkStart w:id="1986" w:name="_Toc172218091"/>
      <w:bookmarkStart w:id="1987" w:name="_Toc99561451"/>
      <w:bookmarkStart w:id="1988" w:name="_Toc194080718"/>
      <w:bookmarkStart w:id="1989" w:name="_Toc142400905"/>
      <w:bookmarkStart w:id="1990" w:name="_Toc23152527"/>
      <w:r>
        <w:rPr>
          <w:rFonts w:hint="eastAsia"/>
        </w:rPr>
        <w:t>OSPF的特点</w:t>
      </w:r>
      <w:bookmarkEnd w:id="1979"/>
      <w:bookmarkEnd w:id="1980"/>
      <w:bookmarkEnd w:id="1981"/>
      <w:bookmarkEnd w:id="1982"/>
      <w:bookmarkEnd w:id="1983"/>
      <w:bookmarkEnd w:id="1984"/>
      <w:bookmarkEnd w:id="1985"/>
      <w:bookmarkEnd w:id="1986"/>
      <w:bookmarkEnd w:id="1987"/>
      <w:bookmarkEnd w:id="1988"/>
      <w:bookmarkEnd w:id="1989"/>
      <w:bookmarkEnd w:id="1990"/>
    </w:p>
    <w:p w14:paraId="63F96657">
      <w:r>
        <w:t>OSPF</w:t>
      </w:r>
      <w:r>
        <w:rPr>
          <w:rFonts w:hint="eastAsia"/>
        </w:rPr>
        <w:t>具有如下特点：</w:t>
      </w:r>
    </w:p>
    <w:p w14:paraId="71D7FF74">
      <w:pPr>
        <w:pStyle w:val="162"/>
      </w:pPr>
      <w:r>
        <w:rPr>
          <w:rFonts w:hint="eastAsia"/>
        </w:rPr>
        <w:t>可适应大规模网络：支持各种规模的网络，最多可支持几百台路由器。</w:t>
      </w:r>
    </w:p>
    <w:p w14:paraId="066FFBE8">
      <w:pPr>
        <w:pStyle w:val="162"/>
      </w:pPr>
      <w:r>
        <w:rPr>
          <w:rFonts w:hint="eastAsia"/>
        </w:rPr>
        <w:t>路由变化收敛快：在网络的拓扑结构发生变化后立即发送更新报文，使这一变化在自治系统中同步。</w:t>
      </w:r>
    </w:p>
    <w:p w14:paraId="111FA304">
      <w:pPr>
        <w:pStyle w:val="162"/>
      </w:pPr>
      <w:r>
        <w:rPr>
          <w:rFonts w:hint="eastAsia"/>
        </w:rPr>
        <w:t>无路由自环：由于</w:t>
      </w:r>
      <w:r>
        <w:t>OSPF</w:t>
      </w:r>
      <w:r>
        <w:rPr>
          <w:rFonts w:hint="eastAsia"/>
        </w:rPr>
        <w:t>根据收集到的链路状态用最短路径树算法计算路由，从算法本身保证了不会生成自环路由。</w:t>
      </w:r>
    </w:p>
    <w:p w14:paraId="05BD789E">
      <w:pPr>
        <w:pStyle w:val="162"/>
      </w:pPr>
      <w:r>
        <w:rPr>
          <w:rFonts w:hint="eastAsia"/>
        </w:rPr>
        <w:t>支持区域划分：允许自治系统的网络被划分成区域来管理。路由器链路状态数据库的减小降低了内存的消耗和</w:t>
      </w:r>
      <w:r>
        <w:t>CPU</w:t>
      </w:r>
      <w:r>
        <w:rPr>
          <w:rFonts w:hint="eastAsia"/>
        </w:rPr>
        <w:t>的负担；区域间传送路由信息的减少降低了网络带宽的占用。</w:t>
      </w:r>
    </w:p>
    <w:p w14:paraId="50C906A9">
      <w:pPr>
        <w:pStyle w:val="162"/>
      </w:pPr>
      <w:r>
        <w:rPr>
          <w:rFonts w:hint="eastAsia"/>
        </w:rPr>
        <w:t>支持等价路由：支持到同一目的地址的多条等价路由。</w:t>
      </w:r>
    </w:p>
    <w:p w14:paraId="4B116340">
      <w:pPr>
        <w:pStyle w:val="162"/>
      </w:pPr>
      <w:r>
        <w:rPr>
          <w:rFonts w:hint="eastAsia"/>
        </w:rPr>
        <w:t>支持路由分级管理：使用</w:t>
      </w:r>
      <w:r>
        <w:t>4</w:t>
      </w:r>
      <w:r>
        <w:rPr>
          <w:rFonts w:hint="eastAsia"/>
        </w:rPr>
        <w:t>类不同的路由，按优先顺序来说分别是：区域内路由、区域间路由、第一类外部路由、第二类外部路由。</w:t>
      </w:r>
    </w:p>
    <w:p w14:paraId="751970A1">
      <w:pPr>
        <w:pStyle w:val="162"/>
      </w:pPr>
      <w:r>
        <w:rPr>
          <w:rFonts w:hint="eastAsia"/>
        </w:rPr>
        <w:t>支持验证：支持基于区域和接口的报文验证，以保证报文交互和路由计算的安全性。</w:t>
      </w:r>
    </w:p>
    <w:p w14:paraId="6C02BD48">
      <w:pPr>
        <w:pStyle w:val="162"/>
      </w:pPr>
      <w:r>
        <w:rPr>
          <w:rFonts w:hint="eastAsia"/>
        </w:rPr>
        <w:t>组播发送：在某些类型的链路上以组播地址发送协议报文，减少对其他设备的干扰。</w:t>
      </w:r>
    </w:p>
    <w:p w14:paraId="40246978">
      <w:pPr>
        <w:pStyle w:val="6"/>
      </w:pPr>
      <w:bookmarkStart w:id="1991" w:name="_OSPF的router-id"/>
      <w:bookmarkEnd w:id="1991"/>
      <w:bookmarkStart w:id="1992" w:name="_Ref390950645"/>
      <w:bookmarkStart w:id="1993" w:name="_Toc391914868"/>
      <w:bookmarkStart w:id="1994" w:name="_Toc474249964"/>
      <w:bookmarkStart w:id="1995" w:name="_Toc529430331"/>
      <w:r>
        <w:rPr>
          <w:rFonts w:hint="eastAsia"/>
        </w:rPr>
        <w:t>OSPF的router-id</w:t>
      </w:r>
      <w:bookmarkEnd w:id="1992"/>
      <w:bookmarkEnd w:id="1993"/>
      <w:bookmarkEnd w:id="1994"/>
      <w:bookmarkEnd w:id="1995"/>
    </w:p>
    <w:p w14:paraId="4FEEF33D">
      <w:r>
        <w:rPr>
          <w:rFonts w:hint="eastAsia"/>
        </w:rPr>
        <w:t>路由器标识是一个32位数字，使其用来独一无二的识别AS中的路由器。</w:t>
      </w:r>
    </w:p>
    <w:p w14:paraId="1CF6526A">
      <w:r>
        <w:rPr>
          <w:rFonts w:hint="eastAsia"/>
        </w:rPr>
        <w:t>OSPF协议需要路由器的Router-ID，作为本路由器在自治系统中的唯一标识。一般在协议任务启动后，会自动选出一个Router-ID。通常路由器先挑选IP地址最大的环回地址。若无环回地址，则在接口状态为up的物理接口中，选取最大的IP地址作为Router-ID。也可以指定一个Router-ID，并且指定的Router-ID优先级最高。</w:t>
      </w:r>
    </w:p>
    <w:p w14:paraId="30C46B86">
      <w:pPr>
        <w:pStyle w:val="6"/>
      </w:pPr>
      <w:bookmarkStart w:id="1996" w:name="_Toc391914869"/>
      <w:bookmarkStart w:id="1997" w:name="_Toc529430332"/>
      <w:bookmarkStart w:id="1998" w:name="_Toc474249965"/>
      <w:r>
        <w:rPr>
          <w:rFonts w:hint="eastAsia"/>
        </w:rPr>
        <w:t>OSPF的区域划分</w:t>
      </w:r>
      <w:bookmarkEnd w:id="1996"/>
      <w:bookmarkEnd w:id="1997"/>
      <w:bookmarkEnd w:id="1998"/>
    </w:p>
    <w:p w14:paraId="7A5DC44D">
      <w:r>
        <w:rPr>
          <w:rFonts w:hint="eastAsia"/>
        </w:rPr>
        <w:t>随着链路状态数据库的增大，计算SPF所需的时间也增加了，将网络分成较小的区域，并要求路由器与同一区域的路由器交换链路状态。这样传播的信息减少了。</w:t>
      </w:r>
    </w:p>
    <w:p w14:paraId="7A40A8E4">
      <w:r>
        <w:rPr>
          <w:rFonts w:hint="eastAsia"/>
        </w:rPr>
        <w:t>优点：</w:t>
      </w:r>
    </w:p>
    <w:p w14:paraId="1D9C3AD3">
      <w:pPr>
        <w:pStyle w:val="162"/>
      </w:pPr>
      <w:r>
        <w:rPr>
          <w:rFonts w:hint="eastAsia"/>
        </w:rPr>
        <w:t>降低</w:t>
      </w:r>
      <w:r>
        <w:t>CPU</w:t>
      </w:r>
      <w:r>
        <w:rPr>
          <w:rFonts w:hint="eastAsia"/>
        </w:rPr>
        <w:t>的负担；</w:t>
      </w:r>
    </w:p>
    <w:p w14:paraId="0D897E35">
      <w:pPr>
        <w:pStyle w:val="162"/>
      </w:pPr>
      <w:r>
        <w:rPr>
          <w:rFonts w:hint="eastAsia"/>
        </w:rPr>
        <w:t>减小</w:t>
      </w:r>
      <w:r>
        <w:t>LSDB</w:t>
      </w:r>
      <w:r>
        <w:rPr>
          <w:rFonts w:hint="eastAsia"/>
        </w:rPr>
        <w:t>的内存开销；</w:t>
      </w:r>
    </w:p>
    <w:p w14:paraId="6EBB6AA7">
      <w:pPr>
        <w:pStyle w:val="162"/>
      </w:pPr>
      <w:r>
        <w:t>LSA</w:t>
      </w:r>
      <w:r>
        <w:rPr>
          <w:rFonts w:hint="eastAsia"/>
        </w:rPr>
        <w:t>相关计算和</w:t>
      </w:r>
      <w:r>
        <w:t>Flooding</w:t>
      </w:r>
      <w:r>
        <w:rPr>
          <w:rFonts w:hint="eastAsia"/>
        </w:rPr>
        <w:t>负担均降低。</w:t>
      </w:r>
    </w:p>
    <w:p w14:paraId="26F779BD">
      <w:pPr>
        <w:pStyle w:val="202"/>
      </w:pPr>
      <w:r>
        <w:rPr>
          <w:rFonts w:hint="eastAsia"/>
        </w:rPr>
        <w:t>划分要求</w:t>
      </w:r>
    </w:p>
    <w:p w14:paraId="7F05FEE1">
      <w:r>
        <w:rPr>
          <w:rFonts w:hint="eastAsia"/>
        </w:rPr>
        <w:t>为了控制开销和便于管理</w:t>
      </w:r>
      <w:r>
        <w:t>OSPF</w:t>
      </w:r>
      <w:r>
        <w:rPr>
          <w:rFonts w:hint="eastAsia"/>
        </w:rPr>
        <w:t>，支持将整个自治系统划分成域来管理，并且划分为骨干域和边缘域。</w:t>
      </w:r>
    </w:p>
    <w:p w14:paraId="240FF8EC">
      <w:r>
        <w:rPr>
          <w:rFonts w:hint="eastAsia"/>
        </w:rPr>
        <w:t>原则上要求每个非骨干区域要和骨干域直接相连，骨干域要求连通性强、带宽高。</w:t>
      </w:r>
    </w:p>
    <w:p w14:paraId="13CD40E4">
      <w:r>
        <w:rPr>
          <w:rFonts w:hint="eastAsia"/>
        </w:rPr>
        <w:t>当一台路由器配置两个以上的域时，必须有一个是骨干域。</w:t>
      </w:r>
    </w:p>
    <w:p w14:paraId="443F256C">
      <w:pPr>
        <w:pStyle w:val="202"/>
      </w:pPr>
      <w:r>
        <w:rPr>
          <w:rFonts w:hint="eastAsia"/>
        </w:rPr>
        <w:t>区域类型</w:t>
      </w:r>
    </w:p>
    <w:p w14:paraId="458B7BB9">
      <w:pPr>
        <w:pStyle w:val="162"/>
      </w:pPr>
      <w:r>
        <w:rPr>
          <w:rFonts w:hint="eastAsia"/>
        </w:rPr>
        <w:t>骨干区域：所有的域间通信流量都必须通过骨干区域，非骨干区域之间不能直接交换数据包，区域0（或0.0.0.0）是骨干区域保留的区域ID号。</w:t>
      </w:r>
    </w:p>
    <w:p w14:paraId="131639BB">
      <w:pPr>
        <w:pStyle w:val="162"/>
      </w:pPr>
      <w:r>
        <w:rPr>
          <w:rFonts w:hint="eastAsia"/>
        </w:rPr>
        <w:t>标准区域：一个标准区域可以接收链路更新信息和汇总路由。</w:t>
      </w:r>
    </w:p>
    <w:p w14:paraId="56B18663">
      <w:pPr>
        <w:pStyle w:val="162"/>
      </w:pPr>
      <w:r>
        <w:rPr>
          <w:rFonts w:hint="eastAsia"/>
        </w:rPr>
        <w:t>末梢区域(stub area)：只与一个区域相连的非骨干区域，不接受外部自治系统的</w:t>
      </w:r>
      <w:r>
        <w:t>LSA</w:t>
      </w:r>
      <w:r>
        <w:rPr>
          <w:rFonts w:hint="eastAsia"/>
        </w:rPr>
        <w:t>（类型</w:t>
      </w:r>
      <w:r>
        <w:t>5</w:t>
      </w:r>
      <w:r>
        <w:rPr>
          <w:rFonts w:hint="eastAsia"/>
        </w:rPr>
        <w:t>），区域内路由器会把去往外部网络的路由基于缺省路由（目的地址是</w:t>
      </w:r>
      <w:r>
        <w:t>0.0.0.0</w:t>
      </w:r>
      <w:r>
        <w:rPr>
          <w:rFonts w:hint="eastAsia"/>
        </w:rPr>
        <w:t>）发送出去。</w:t>
      </w:r>
    </w:p>
    <w:p w14:paraId="737D5A6E">
      <w:pPr>
        <w:pStyle w:val="162"/>
      </w:pPr>
      <w:r>
        <w:rPr>
          <w:rFonts w:hint="eastAsia"/>
        </w:rPr>
        <w:t>完全末梢区域(t</w:t>
      </w:r>
      <w:r>
        <w:t xml:space="preserve">otally </w:t>
      </w:r>
      <w:r>
        <w:rPr>
          <w:rFonts w:hint="eastAsia"/>
        </w:rPr>
        <w:t>s</w:t>
      </w:r>
      <w:r>
        <w:t>tub</w:t>
      </w:r>
      <w:r>
        <w:rPr>
          <w:rFonts w:hint="eastAsia"/>
        </w:rPr>
        <w:t xml:space="preserve"> area)：不接受类型</w:t>
      </w:r>
      <w:r>
        <w:t>3</w:t>
      </w:r>
      <w:r>
        <w:rPr>
          <w:rFonts w:hint="eastAsia"/>
        </w:rPr>
        <w:t>、类型</w:t>
      </w:r>
      <w:r>
        <w:t xml:space="preserve">4 </w:t>
      </w:r>
      <w:r>
        <w:rPr>
          <w:rFonts w:hint="eastAsia"/>
        </w:rPr>
        <w:t>和类型</w:t>
      </w:r>
      <w:r>
        <w:t>5</w:t>
      </w:r>
      <w:r>
        <w:rPr>
          <w:rFonts w:hint="eastAsia"/>
        </w:rPr>
        <w:t>的</w:t>
      </w:r>
      <w:r>
        <w:t xml:space="preserve">LSA </w:t>
      </w:r>
      <w:r>
        <w:rPr>
          <w:rFonts w:hint="eastAsia"/>
        </w:rPr>
        <w:t>，区域内路由器会把去往其它区域的路由基于缺省路由（目的地址是</w:t>
      </w:r>
      <w:r>
        <w:t>0.0.0.0</w:t>
      </w:r>
      <w:r>
        <w:rPr>
          <w:rFonts w:hint="eastAsia"/>
        </w:rPr>
        <w:t>）发送出去。</w:t>
      </w:r>
    </w:p>
    <w:p w14:paraId="2B031F54">
      <w:pPr>
        <w:pStyle w:val="162"/>
      </w:pPr>
      <w:r>
        <w:rPr>
          <w:rFonts w:hint="eastAsia"/>
        </w:rPr>
        <w:t>非完全末梢区域(</w:t>
      </w:r>
      <w:r>
        <w:rPr>
          <w:bCs/>
        </w:rPr>
        <w:t>Not-so-stubby-area</w:t>
      </w:r>
      <w:r>
        <w:rPr>
          <w:rFonts w:hint="eastAsia"/>
          <w:bCs/>
        </w:rPr>
        <w:t>，</w:t>
      </w:r>
      <w:r>
        <w:rPr>
          <w:bCs/>
        </w:rPr>
        <w:t>NSSA</w:t>
      </w:r>
      <w:r>
        <w:rPr>
          <w:rFonts w:hint="eastAsia"/>
        </w:rPr>
        <w:t>)：该区域是</w:t>
      </w:r>
      <w:r>
        <w:t>Stub</w:t>
      </w:r>
      <w:r>
        <w:rPr>
          <w:rFonts w:hint="eastAsia"/>
        </w:rPr>
        <w:t>区域的变形，与</w:t>
      </w:r>
      <w:r>
        <w:t>Stub</w:t>
      </w:r>
      <w:r>
        <w:rPr>
          <w:rFonts w:hint="eastAsia"/>
        </w:rPr>
        <w:t>区域的区别在于</w:t>
      </w:r>
      <w:r>
        <w:t>NSSA</w:t>
      </w:r>
      <w:r>
        <w:rPr>
          <w:rFonts w:hint="eastAsia"/>
        </w:rPr>
        <w:t>区域允许引入自治系统外部路由，由</w:t>
      </w:r>
      <w:r>
        <w:t>ASBR</w:t>
      </w:r>
      <w:r>
        <w:rPr>
          <w:rFonts w:hint="eastAsia"/>
        </w:rPr>
        <w:t>发布</w:t>
      </w:r>
      <w:r>
        <w:t>Type7 LSA</w:t>
      </w:r>
      <w:r>
        <w:rPr>
          <w:rFonts w:hint="eastAsia"/>
        </w:rPr>
        <w:t>通告给本区域。当</w:t>
      </w:r>
      <w:r>
        <w:t>Type7 LSA</w:t>
      </w:r>
      <w:r>
        <w:rPr>
          <w:rFonts w:hint="eastAsia"/>
        </w:rPr>
        <w:t>到达</w:t>
      </w:r>
      <w:r>
        <w:t>NSSA</w:t>
      </w:r>
      <w:r>
        <w:rPr>
          <w:rFonts w:hint="eastAsia"/>
        </w:rPr>
        <w:t>的</w:t>
      </w:r>
      <w:r>
        <w:t>ABR</w:t>
      </w:r>
      <w:r>
        <w:rPr>
          <w:rFonts w:hint="eastAsia"/>
        </w:rPr>
        <w:t>时，由</w:t>
      </w:r>
      <w:r>
        <w:t>ABR</w:t>
      </w:r>
      <w:r>
        <w:rPr>
          <w:rFonts w:hint="eastAsia"/>
        </w:rPr>
        <w:t>将</w:t>
      </w:r>
      <w:r>
        <w:t>Type7 LSA</w:t>
      </w:r>
      <w:r>
        <w:rPr>
          <w:rFonts w:hint="eastAsia"/>
        </w:rPr>
        <w:t>转换成</w:t>
      </w:r>
      <w:r>
        <w:t>Type5 LSA</w:t>
      </w:r>
      <w:r>
        <w:rPr>
          <w:rFonts w:hint="eastAsia"/>
        </w:rPr>
        <w:t>，传播到其他区域。</w:t>
      </w:r>
    </w:p>
    <w:p w14:paraId="31D5AC9D">
      <w:pPr>
        <w:pStyle w:val="6"/>
      </w:pPr>
      <w:bookmarkStart w:id="1999" w:name="_Toc474249966"/>
      <w:bookmarkStart w:id="2000" w:name="_Toc529430333"/>
      <w:bookmarkStart w:id="2001" w:name="_Toc391914870"/>
      <w:r>
        <w:rPr>
          <w:rFonts w:hint="eastAsia"/>
        </w:rPr>
        <w:t>OSPF 的路由器类型</w:t>
      </w:r>
      <w:bookmarkEnd w:id="1999"/>
      <w:bookmarkEnd w:id="2000"/>
      <w:bookmarkEnd w:id="2001"/>
    </w:p>
    <w:p w14:paraId="6D4BC75E">
      <w:r>
        <w:rPr>
          <w:rFonts w:hint="eastAsia"/>
        </w:rPr>
        <w:t>OSPF路由器根据在AS中的不同位置，可以分为以下四类：</w:t>
      </w:r>
    </w:p>
    <w:p w14:paraId="0F2C542B">
      <w:pPr>
        <w:pStyle w:val="202"/>
      </w:pPr>
      <w:r>
        <w:rPr>
          <w:rFonts w:hint="eastAsia"/>
        </w:rPr>
        <w:t>区域内路由器（Internal Router）</w:t>
      </w:r>
    </w:p>
    <w:p w14:paraId="32A5A234">
      <w:r>
        <w:rPr>
          <w:rFonts w:hint="eastAsia"/>
        </w:rPr>
        <w:t>该类路由器的所有接口都属于同一个OSPF区域。</w:t>
      </w:r>
    </w:p>
    <w:p w14:paraId="174C81A8">
      <w:pPr>
        <w:pStyle w:val="202"/>
      </w:pPr>
      <w:r>
        <w:rPr>
          <w:rFonts w:hint="eastAsia"/>
        </w:rPr>
        <w:t>区域边界路由器ABR</w:t>
      </w:r>
    </w:p>
    <w:p w14:paraId="6D16B88F">
      <w:r>
        <w:rPr>
          <w:rFonts w:hint="eastAsia"/>
        </w:rPr>
        <w:t>该类路由器可以同时属于两个以上的区域，但其中一个必须是骨干区域。ABR用来连接骨干区域和非骨干区域，它与骨干区域之间既可以是物理连接，也可以是逻辑上的连接。</w:t>
      </w:r>
    </w:p>
    <w:p w14:paraId="1BB33E70">
      <w:pPr>
        <w:pStyle w:val="202"/>
      </w:pPr>
      <w:r>
        <w:rPr>
          <w:rFonts w:hint="eastAsia"/>
        </w:rPr>
        <w:t>骨干路由器（Backbone Router）</w:t>
      </w:r>
    </w:p>
    <w:p w14:paraId="466F0529">
      <w:r>
        <w:rPr>
          <w:rFonts w:hint="eastAsia"/>
        </w:rPr>
        <w:t>该类路由器至少有一个接口属于骨干区域。因此，所有的ABR和位于Area0的内部路由器都是骨干路由器。</w:t>
      </w:r>
    </w:p>
    <w:p w14:paraId="2C25D1C2">
      <w:pPr>
        <w:pStyle w:val="202"/>
        <w:rPr>
          <w:lang w:eastAsia="zh-CN"/>
        </w:rPr>
      </w:pPr>
      <w:r>
        <w:rPr>
          <w:rFonts w:hint="eastAsia"/>
          <w:lang w:eastAsia="zh-CN"/>
        </w:rPr>
        <w:t>自治系统边界路由器ASBR</w:t>
      </w:r>
    </w:p>
    <w:p w14:paraId="41ECCD7A">
      <w:r>
        <w:rPr>
          <w:rFonts w:hint="eastAsia"/>
        </w:rPr>
        <w:t>与其他AS交换路由信息的路由器称为ASBR。ASBR并不一定位于AS的边界，它有可能是区域内路由器，也有可能是ABR。只要一台OSPF路由器引入了外部路由的信息，它就成为ASBR。</w:t>
      </w:r>
    </w:p>
    <w:p w14:paraId="34939E88">
      <w:pPr>
        <w:pStyle w:val="6"/>
      </w:pPr>
      <w:bookmarkStart w:id="2002" w:name="_OSPF的路由类型"/>
      <w:bookmarkEnd w:id="2002"/>
      <w:bookmarkStart w:id="2003" w:name="_Toc474249967"/>
      <w:bookmarkStart w:id="2004" w:name="_Toc391914871"/>
      <w:bookmarkStart w:id="2005" w:name="_Toc529430334"/>
      <w:r>
        <w:rPr>
          <w:rFonts w:hint="eastAsia"/>
        </w:rPr>
        <w:t>OSPF的路由类型</w:t>
      </w:r>
      <w:bookmarkEnd w:id="2003"/>
      <w:bookmarkEnd w:id="2004"/>
      <w:bookmarkEnd w:id="2005"/>
    </w:p>
    <w:p w14:paraId="1E359FC0">
      <w:r>
        <w:rPr>
          <w:rFonts w:hint="eastAsia"/>
        </w:rPr>
        <w:t>OSPF使用4类不同的路由，按优先级由高到低排列如下：</w:t>
      </w:r>
    </w:p>
    <w:p w14:paraId="0A3E4226">
      <w:pPr>
        <w:pStyle w:val="202"/>
      </w:pPr>
      <w:r>
        <w:rPr>
          <w:rFonts w:hint="eastAsia"/>
        </w:rPr>
        <w:t>区域内路由</w:t>
      </w:r>
    </w:p>
    <w:p w14:paraId="117C6487">
      <w:pPr>
        <w:pStyle w:val="202"/>
      </w:pPr>
      <w:r>
        <w:rPr>
          <w:rFonts w:hint="eastAsia"/>
        </w:rPr>
        <w:t>区域间路由</w:t>
      </w:r>
    </w:p>
    <w:p w14:paraId="6C2955C6">
      <w:pPr>
        <w:pStyle w:val="202"/>
      </w:pPr>
      <w:r>
        <w:rPr>
          <w:rFonts w:hint="eastAsia"/>
        </w:rPr>
        <w:t>第一类外部路由</w:t>
      </w:r>
    </w:p>
    <w:p w14:paraId="08CC78C1">
      <w:pPr>
        <w:pStyle w:val="202"/>
      </w:pPr>
      <w:r>
        <w:rPr>
          <w:rFonts w:hint="eastAsia"/>
        </w:rPr>
        <w:t>第二类外部路由</w:t>
      </w:r>
    </w:p>
    <w:p w14:paraId="27414647">
      <w:r>
        <w:rPr>
          <w:rFonts w:hint="eastAsia"/>
        </w:rPr>
        <w:t>区域内和区域间路由描述自治系统内部的网络结构；外部路由则描述了如何选择到自治系统以外的路由。第一类外部路由是指接收的是IGP路由（例如RIP、STATIC），由于这类路由的可信程度较高，所以，计算出的外部路由的花费与自治系统内部的路由花费的数量级相同，并且与OSPF自身路由的花费具有可比性，即到第一类外部路由的花费值＝本路由器到相应的ASBR的花费值加ASBR到该路由目的地址的花费值。第二类外部路由器是指接收的是EGP路由，由于这类路由的可信度比较低，所以OSPF协议认为，从ASBR到自治系统之外的花费远远大于在自治系统之内到达ASBR的花费，计算路由花费时主要考虑前者。即第二类外部路由的花费值等于ASBR到该路由目的地址的花费值。如果该值相等，再考虑本路由器到相应的ASBR的花费值。</w:t>
      </w:r>
    </w:p>
    <w:p w14:paraId="0E31D42F">
      <w:pPr>
        <w:pStyle w:val="6"/>
      </w:pPr>
      <w:bookmarkStart w:id="2006" w:name="_Toc529430335"/>
      <w:bookmarkStart w:id="2007" w:name="_Toc391914872"/>
      <w:bookmarkStart w:id="2008" w:name="_Toc474249968"/>
      <w:r>
        <w:rPr>
          <w:rFonts w:hint="eastAsia"/>
        </w:rPr>
        <w:t>OSPF的网络类型</w:t>
      </w:r>
      <w:bookmarkEnd w:id="2006"/>
      <w:bookmarkEnd w:id="2007"/>
      <w:bookmarkEnd w:id="2008"/>
    </w:p>
    <w:p w14:paraId="28A5C001">
      <w:r>
        <w:rPr>
          <w:rFonts w:hint="eastAsia"/>
        </w:rPr>
        <w:t>缺省情况下，按不同介质可划分成下列三种网络：广播网络（以太网，令牌环网、FDDI），非广播多路访问网络（帧中继、X.25），点到点网络（HDLC、PPP）。对以上任一类网络都可以进行OSPF配置。可以不考虑缺省的介质类型，选择配置OSPF网络类型。利用这一点，可将非广播多路访问网络配置为广播网络，如X.25和帧中继允许OSPF在其上以广播型网络运行，这就不用再去配置邻居。可将广播网络配置为非广播多路访问网络，例如当网络中有不支持组播传送地址的路由器时。对于不具有广播和组播能力的网络，必须配置对端邻居来指定发送hello报文，并可以指定邻居的优先级和轮询时间间隔。</w:t>
      </w:r>
    </w:p>
    <w:p w14:paraId="79C3B14A">
      <w:r>
        <w:rPr>
          <w:rFonts w:hint="eastAsia"/>
        </w:rPr>
        <w:t>点到多点时具有一个或者多个邻居的编号的点到点接口，它建立多主机路由。与非广播多路访问和点到点网络相比，点到多点网络具有以下优点：一到多接口更易于配置，因为它不需要配置邻居命令，只需要一个IP子网，所以不必分配路由选择。不需要全网络拓扑结构，开销较小。</w:t>
      </w:r>
    </w:p>
    <w:p w14:paraId="6FB52422"/>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629A9040">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44F37AFB">
            <w:pPr>
              <w:pStyle w:val="150"/>
              <w:adjustRightInd w:val="0"/>
              <w:snapToGrid w:val="0"/>
              <w:rPr>
                <w:color w:val="auto"/>
              </w:rPr>
            </w:pPr>
            <w:r>
              <w:rPr>
                <w:b/>
                <w:color w:val="auto"/>
              </w:rPr>
              <w:drawing>
                <wp:inline distT="0" distB="0" distL="0" distR="0">
                  <wp:extent cx="283210" cy="283210"/>
                  <wp:effectExtent l="0" t="0" r="2540" b="254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4BC1BDC8">
            <w:pPr>
              <w:pStyle w:val="150"/>
              <w:adjustRightInd w:val="0"/>
              <w:snapToGrid w:val="0"/>
              <w:rPr>
                <w:color w:val="auto"/>
              </w:rPr>
            </w:pPr>
            <w:r>
              <w:rPr>
                <w:rFonts w:hint="eastAsia"/>
                <w:color w:val="auto"/>
              </w:rPr>
              <w:t>设备只支持广播型网络和点对点型网络。</w:t>
            </w:r>
          </w:p>
        </w:tc>
      </w:tr>
    </w:tbl>
    <w:p w14:paraId="78CEB06C"/>
    <w:p w14:paraId="1338249D">
      <w:pPr>
        <w:pStyle w:val="6"/>
      </w:pPr>
      <w:bookmarkStart w:id="2009" w:name="_Toc474249969"/>
      <w:bookmarkStart w:id="2010" w:name="_Toc529430336"/>
      <w:bookmarkStart w:id="2011" w:name="_Toc391914873"/>
      <w:r>
        <w:rPr>
          <w:rFonts w:hint="eastAsia"/>
        </w:rPr>
        <w:t>OSPF的报文类型</w:t>
      </w:r>
      <w:bookmarkEnd w:id="2009"/>
      <w:bookmarkEnd w:id="2010"/>
      <w:bookmarkEnd w:id="2011"/>
    </w:p>
    <w:p w14:paraId="6BE1630A">
      <w:r>
        <w:rPr>
          <w:rFonts w:hint="eastAsia"/>
        </w:rPr>
        <w:t>OSPF协议报文直接封装为IP报文，协议号为89。</w:t>
      </w:r>
    </w:p>
    <w:p w14:paraId="40A165D4">
      <w:r>
        <w:rPr>
          <w:rFonts w:hint="eastAsia"/>
        </w:rPr>
        <w:t>OSPF有五种类型的协议报文：</w:t>
      </w:r>
    </w:p>
    <w:p w14:paraId="0ACC3EC6">
      <w:pPr>
        <w:pStyle w:val="202"/>
        <w:rPr>
          <w:lang w:eastAsia="zh-CN"/>
        </w:rPr>
      </w:pPr>
      <w:r>
        <w:rPr>
          <w:rFonts w:hint="eastAsia"/>
          <w:lang w:eastAsia="zh-CN"/>
        </w:rPr>
        <w:t>Hello报文：发现及维持邻居关系，选举DR，BDR；</w:t>
      </w:r>
    </w:p>
    <w:p w14:paraId="5890F3B7">
      <w:pPr>
        <w:pStyle w:val="202"/>
        <w:rPr>
          <w:lang w:eastAsia="zh-CN"/>
        </w:rPr>
      </w:pPr>
      <w:r>
        <w:rPr>
          <w:rFonts w:hint="eastAsia"/>
          <w:lang w:eastAsia="zh-CN"/>
        </w:rPr>
        <w:t>DD（Database Description，数据库描述）报文：相邻路由器之间发DD报文，报告对方自己所拥有的路由信息内容，包括LSDB中每一条LSA摘要(摘要是指LSA的HEAD，通过该HEAD可以唯一标识一条LSA)，这样做的目的是为了减少路由器之间传递信息的量，因为LSA的HEAD只占一条LSA的整个数据量的一小部分。根据HEAD，对端路由器就可以判断出是否已经有了这条LSA。</w:t>
      </w:r>
    </w:p>
    <w:p w14:paraId="4BE29FC0">
      <w:pPr>
        <w:pStyle w:val="202"/>
      </w:pPr>
      <w:r>
        <w:rPr>
          <w:rFonts w:hint="eastAsia"/>
        </w:rPr>
        <w:t>LSR（Link State Request，链路状态请求）报文：向对方请求所需的LSA。两台路由器互相交换DD报文之后，得知对端的路由器有哪些LSA是本地的LSDB所缺少的，这时需要发送LSR报文向对方请求所需的LSA。</w:t>
      </w:r>
    </w:p>
    <w:p w14:paraId="501774A5">
      <w:pPr>
        <w:pStyle w:val="202"/>
      </w:pPr>
      <w:r>
        <w:rPr>
          <w:rFonts w:hint="eastAsia"/>
        </w:rPr>
        <w:t>LSU（Link State Update，链路状态更新）报文：向对方发送其所需要的LSA。</w:t>
      </w:r>
    </w:p>
    <w:p w14:paraId="2EE2CD5C">
      <w:pPr>
        <w:pStyle w:val="202"/>
      </w:pPr>
      <w:r>
        <w:rPr>
          <w:rFonts w:hint="eastAsia"/>
        </w:rPr>
        <w:t>LSAck（Link State Acknowledgment，链路状态确认）报文：用来对收到的LSA进行确认。</w:t>
      </w:r>
    </w:p>
    <w:p w14:paraId="4DED2015">
      <w:pPr>
        <w:pStyle w:val="6"/>
      </w:pPr>
      <w:bookmarkStart w:id="2012" w:name="_Toc391914874"/>
      <w:bookmarkStart w:id="2013" w:name="_Toc474249970"/>
      <w:bookmarkStart w:id="2014" w:name="_Toc529430337"/>
      <w:r>
        <w:rPr>
          <w:rFonts w:hint="eastAsia"/>
        </w:rPr>
        <w:t>协议规范</w:t>
      </w:r>
      <w:bookmarkEnd w:id="2012"/>
      <w:bookmarkEnd w:id="2013"/>
      <w:bookmarkEnd w:id="2014"/>
    </w:p>
    <w:p w14:paraId="1CF4A16B">
      <w:r>
        <w:rPr>
          <w:rFonts w:hint="eastAsia"/>
        </w:rPr>
        <w:t>与</w:t>
      </w:r>
      <w:r>
        <w:t>OSPF</w:t>
      </w:r>
      <w:r>
        <w:rPr>
          <w:rFonts w:hint="eastAsia"/>
        </w:rPr>
        <w:t>相关的协议规范有：</w:t>
      </w:r>
    </w:p>
    <w:p w14:paraId="6FE14CE7">
      <w:pPr>
        <w:pStyle w:val="162"/>
      </w:pPr>
      <w:r>
        <w:t>RFC 1765</w:t>
      </w:r>
      <w:r>
        <w:rPr>
          <w:rFonts w:hint="eastAsia"/>
        </w:rPr>
        <w:t>：</w:t>
      </w:r>
      <w:r>
        <w:t>OSPF Database Overflow</w:t>
      </w:r>
    </w:p>
    <w:p w14:paraId="31501B40">
      <w:pPr>
        <w:pStyle w:val="162"/>
      </w:pPr>
      <w:r>
        <w:t>RFC 2328</w:t>
      </w:r>
      <w:r>
        <w:rPr>
          <w:rFonts w:hint="eastAsia"/>
        </w:rPr>
        <w:t>：</w:t>
      </w:r>
      <w:r>
        <w:t>OSPF Version 2</w:t>
      </w:r>
    </w:p>
    <w:p w14:paraId="69323E4A">
      <w:pPr>
        <w:pStyle w:val="162"/>
      </w:pPr>
      <w:r>
        <w:t>RFC 3101</w:t>
      </w:r>
      <w:r>
        <w:rPr>
          <w:rFonts w:hint="eastAsia"/>
        </w:rPr>
        <w:t>：</w:t>
      </w:r>
      <w:r>
        <w:t>OSPF Not-So-Stubby Area (NSSA) Option</w:t>
      </w:r>
    </w:p>
    <w:p w14:paraId="478C8722">
      <w:pPr>
        <w:pStyle w:val="162"/>
      </w:pPr>
      <w:r>
        <w:t>RFC 3137</w:t>
      </w:r>
      <w:r>
        <w:rPr>
          <w:rFonts w:hint="eastAsia"/>
        </w:rPr>
        <w:t>：</w:t>
      </w:r>
      <w:r>
        <w:t>OSPF Stub Router Advertisement</w:t>
      </w:r>
    </w:p>
    <w:p w14:paraId="7528EC8E">
      <w:pPr>
        <w:pStyle w:val="162"/>
      </w:pPr>
      <w:r>
        <w:t>RFC 3630</w:t>
      </w:r>
      <w:r>
        <w:rPr>
          <w:rFonts w:hint="eastAsia"/>
        </w:rPr>
        <w:t>：</w:t>
      </w:r>
      <w:r>
        <w:t>Traffic Engineering Extensions to OSPF Version 2</w:t>
      </w:r>
    </w:p>
    <w:p w14:paraId="3E07EF2F">
      <w:pPr>
        <w:pStyle w:val="162"/>
      </w:pPr>
      <w:r>
        <w:t>RFC 4811</w:t>
      </w:r>
      <w:r>
        <w:rPr>
          <w:rFonts w:hint="eastAsia"/>
        </w:rPr>
        <w:t>：</w:t>
      </w:r>
      <w:r>
        <w:t>OSPF Out-of-Band LSDB Resynchronization</w:t>
      </w:r>
    </w:p>
    <w:p w14:paraId="516FB19E">
      <w:pPr>
        <w:pStyle w:val="162"/>
      </w:pPr>
      <w:r>
        <w:t>RFC 4812</w:t>
      </w:r>
      <w:r>
        <w:rPr>
          <w:rFonts w:hint="eastAsia"/>
        </w:rPr>
        <w:t>：</w:t>
      </w:r>
      <w:r>
        <w:t>OSPF Restart Signaling</w:t>
      </w:r>
    </w:p>
    <w:p w14:paraId="44FDE88B">
      <w:pPr>
        <w:pStyle w:val="162"/>
      </w:pPr>
      <w:r>
        <w:t>RFC 4813</w:t>
      </w:r>
      <w:r>
        <w:rPr>
          <w:rFonts w:hint="eastAsia"/>
        </w:rPr>
        <w:t>：</w:t>
      </w:r>
      <w:r>
        <w:t>OSPF Link-Local Signaling</w:t>
      </w:r>
    </w:p>
    <w:p w14:paraId="5BCEF6C9">
      <w:pPr>
        <w:pStyle w:val="5"/>
      </w:pPr>
      <w:bookmarkStart w:id="2015" w:name="_Toc142400906"/>
      <w:bookmarkStart w:id="2016" w:name="_Toc172218092"/>
      <w:bookmarkStart w:id="2017" w:name="_Toc474249971"/>
      <w:bookmarkStart w:id="2018" w:name="_Toc15484762"/>
      <w:bookmarkStart w:id="2019" w:name="_Toc40275961"/>
      <w:bookmarkStart w:id="2020" w:name="_Toc194080719"/>
      <w:bookmarkStart w:id="2021" w:name="_Toc529430338"/>
      <w:bookmarkStart w:id="2022" w:name="_Toc23152528"/>
      <w:bookmarkStart w:id="2023" w:name="_Toc99561452"/>
      <w:bookmarkStart w:id="2024" w:name="_Toc141873390"/>
      <w:bookmarkStart w:id="2025" w:name="_Toc196728051"/>
      <w:r>
        <w:rPr>
          <w:rFonts w:hint="eastAsia"/>
        </w:rPr>
        <w:t>OSPF配置</w:t>
      </w:r>
      <w:bookmarkEnd w:id="2015"/>
      <w:bookmarkEnd w:id="2016"/>
      <w:bookmarkEnd w:id="2017"/>
      <w:bookmarkEnd w:id="2018"/>
      <w:bookmarkEnd w:id="2019"/>
      <w:bookmarkEnd w:id="2020"/>
      <w:bookmarkEnd w:id="2021"/>
      <w:bookmarkEnd w:id="2022"/>
      <w:bookmarkEnd w:id="2023"/>
      <w:bookmarkEnd w:id="2024"/>
      <w:bookmarkEnd w:id="2025"/>
    </w:p>
    <w:p w14:paraId="2DDE5224">
      <w:r>
        <w:rPr>
          <w:rFonts w:hint="eastAsia"/>
        </w:rPr>
        <w:t>通过菜单“网络配置 &gt; 路由管理 &gt;</w:t>
      </w:r>
      <w:r>
        <w:t xml:space="preserve"> </w:t>
      </w:r>
      <w:r>
        <w:rPr>
          <w:rFonts w:hint="eastAsia"/>
        </w:rPr>
        <w:t>OSPF”，进入如</w:t>
      </w:r>
      <w:r>
        <w:fldChar w:fldCharType="begin"/>
      </w:r>
      <w:r>
        <w:instrText xml:space="preserve"> REF _Ref393732777 \r \h  \* MERGEFORMAT </w:instrText>
      </w:r>
      <w:r>
        <w:fldChar w:fldCharType="separate"/>
      </w:r>
      <w:r>
        <w:rPr>
          <w:rFonts w:hint="eastAsia"/>
        </w:rPr>
        <w:t>图7-14</w:t>
      </w:r>
      <w:r>
        <w:fldChar w:fldCharType="end"/>
      </w:r>
      <w:r>
        <w:rPr>
          <w:rFonts w:hint="eastAsia"/>
        </w:rPr>
        <w:t>所示页面。在</w:t>
      </w:r>
      <w:r>
        <w:t>该页面上，</w:t>
      </w:r>
      <w:r>
        <w:rPr>
          <w:rFonts w:hint="eastAsia"/>
        </w:rPr>
        <w:t>可以配置OSPF路由器ID、是否发布缺省路由及路由重发布信息。</w:t>
      </w:r>
    </w:p>
    <w:p w14:paraId="4501EFBE">
      <w:pPr>
        <w:pStyle w:val="188"/>
      </w:pPr>
      <w:bookmarkStart w:id="2026" w:name="_Ref393732777"/>
      <w:bookmarkStart w:id="2027" w:name="_Toc141874584"/>
      <w:r>
        <w:rPr>
          <w:rFonts w:hint="eastAsia"/>
        </w:rPr>
        <w:t>OSPF配置</w:t>
      </w:r>
      <w:bookmarkEnd w:id="2026"/>
      <w:bookmarkEnd w:id="2027"/>
    </w:p>
    <w:p w14:paraId="76571C7E">
      <w:r>
        <w:drawing>
          <wp:inline distT="0" distB="0" distL="114300" distR="114300">
            <wp:extent cx="5400040" cy="2101850"/>
            <wp:effectExtent l="0" t="0" r="0" b="0"/>
            <wp:docPr id="97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图片 59"/>
                    <pic:cNvPicPr>
                      <a:picLocks noChangeAspect="1"/>
                    </pic:cNvPicPr>
                  </pic:nvPicPr>
                  <pic:blipFill>
                    <a:blip r:embed="rId258"/>
                    <a:stretch>
                      <a:fillRect/>
                    </a:stretch>
                  </pic:blipFill>
                  <pic:spPr>
                    <a:xfrm>
                      <a:off x="0" y="0"/>
                      <a:ext cx="5400040" cy="2102289"/>
                    </a:xfrm>
                    <a:prstGeom prst="rect">
                      <a:avLst/>
                    </a:prstGeom>
                    <a:noFill/>
                    <a:ln>
                      <a:noFill/>
                    </a:ln>
                  </pic:spPr>
                </pic:pic>
              </a:graphicData>
            </a:graphic>
          </wp:inline>
        </w:drawing>
      </w:r>
    </w:p>
    <w:p w14:paraId="06ED1120"/>
    <w:p w14:paraId="4FB6BC22">
      <w:pPr>
        <w:pStyle w:val="183"/>
      </w:pPr>
      <w:bookmarkStart w:id="2028" w:name="_Toc141875484"/>
      <w:r>
        <w:rPr>
          <w:rFonts w:hint="eastAsia"/>
        </w:rPr>
        <w:t>OSPF各配置项说明</w:t>
      </w:r>
      <w:bookmarkEnd w:id="2028"/>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76"/>
        <w:gridCol w:w="6592"/>
      </w:tblGrid>
      <w:tr w14:paraId="6E6BF3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tcBorders>
              <w:tl2br w:val="nil"/>
              <w:tr2bl w:val="nil"/>
            </w:tcBorders>
            <w:shd w:val="clear" w:color="auto" w:fill="538135" w:themeFill="accent6" w:themeFillShade="BF"/>
            <w:vAlign w:val="center"/>
          </w:tcPr>
          <w:p w14:paraId="305C5771">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92" w:type="dxa"/>
            <w:tcBorders>
              <w:tl2br w:val="nil"/>
              <w:tr2bl w:val="nil"/>
            </w:tcBorders>
            <w:shd w:val="clear" w:color="auto" w:fill="538135" w:themeFill="accent6" w:themeFillShade="BF"/>
            <w:vAlign w:val="center"/>
          </w:tcPr>
          <w:p w14:paraId="619363E3">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55C77B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3E694EE4">
            <w:pPr>
              <w:pStyle w:val="186"/>
              <w:widowControl w:val="0"/>
              <w:spacing w:line="240" w:lineRule="auto"/>
              <w:ind w:firstLine="0"/>
              <w:jc w:val="left"/>
            </w:pPr>
            <w:r>
              <w:rPr>
                <w:rFonts w:hint="eastAsia"/>
              </w:rPr>
              <w:t>启用</w:t>
            </w:r>
          </w:p>
        </w:tc>
        <w:tc>
          <w:tcPr>
            <w:tcW w:w="6592" w:type="dxa"/>
            <w:shd w:val="clear" w:color="auto" w:fill="auto"/>
          </w:tcPr>
          <w:p w14:paraId="69044F20">
            <w:pPr>
              <w:pStyle w:val="186"/>
              <w:widowControl w:val="0"/>
              <w:spacing w:line="240" w:lineRule="auto"/>
              <w:ind w:firstLine="0"/>
              <w:jc w:val="left"/>
            </w:pPr>
            <w:r>
              <w:rPr>
                <w:rFonts w:hint="eastAsia"/>
              </w:rPr>
              <w:t>启用或禁用OSPF策略，勾选为启用，不勾选为禁用。禁用后会删除OSPF网络配置。</w:t>
            </w:r>
          </w:p>
        </w:tc>
      </w:tr>
      <w:tr w14:paraId="537B92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276948FA">
            <w:pPr>
              <w:pStyle w:val="186"/>
              <w:widowControl w:val="0"/>
              <w:spacing w:line="240" w:lineRule="auto"/>
              <w:ind w:firstLine="0"/>
              <w:jc w:val="left"/>
            </w:pPr>
            <w:r>
              <w:rPr>
                <w:rFonts w:hint="eastAsia"/>
              </w:rPr>
              <w:t>路由器ID</w:t>
            </w:r>
          </w:p>
        </w:tc>
        <w:tc>
          <w:tcPr>
            <w:tcW w:w="6592" w:type="dxa"/>
            <w:shd w:val="clear" w:color="auto" w:fill="auto"/>
          </w:tcPr>
          <w:p w14:paraId="0D2159B8">
            <w:pPr>
              <w:pStyle w:val="186"/>
              <w:widowControl w:val="0"/>
              <w:spacing w:line="240" w:lineRule="auto"/>
              <w:ind w:firstLine="0"/>
              <w:jc w:val="left"/>
            </w:pPr>
            <w:r>
              <w:rPr>
                <w:rFonts w:hint="eastAsia"/>
              </w:rPr>
              <w:t>OSPF路由器ID。路由ID是每个路由器在整个OSPF域中唯一标识，使用IP地址的形式表示，每台运行OSPF协议的路由器都必须拥有一个路由ID。如未指定，系统将首先挑选IP地址最大的环回地址作为路由器ID，若无环回地址，则在接口状态为up的物理接口中选取最大的IP地址作为路由器ID。</w:t>
            </w:r>
          </w:p>
        </w:tc>
      </w:tr>
      <w:tr w14:paraId="0F21410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46AF39B9">
            <w:pPr>
              <w:pStyle w:val="186"/>
              <w:widowControl w:val="0"/>
              <w:spacing w:line="240" w:lineRule="auto"/>
              <w:ind w:firstLine="0"/>
              <w:jc w:val="left"/>
            </w:pPr>
            <w:r>
              <w:rPr>
                <w:rFonts w:hint="eastAsia"/>
              </w:rPr>
              <w:t>缺省路由</w:t>
            </w:r>
          </w:p>
        </w:tc>
        <w:tc>
          <w:tcPr>
            <w:tcW w:w="6592" w:type="dxa"/>
            <w:shd w:val="clear" w:color="auto" w:fill="auto"/>
          </w:tcPr>
          <w:p w14:paraId="4B463B28">
            <w:pPr>
              <w:pStyle w:val="186"/>
              <w:widowControl w:val="0"/>
              <w:spacing w:line="240" w:lineRule="auto"/>
              <w:ind w:firstLine="0"/>
              <w:jc w:val="left"/>
            </w:pPr>
            <w:r>
              <w:rPr>
                <w:rFonts w:hint="eastAsia"/>
              </w:rPr>
              <w:t>是否发布默认路由，可选发布、不发布及强制发布。</w:t>
            </w:r>
          </w:p>
          <w:p w14:paraId="60585C46">
            <w:pPr>
              <w:pStyle w:val="186"/>
              <w:widowControl w:val="0"/>
              <w:spacing w:line="240" w:lineRule="auto"/>
              <w:ind w:firstLine="0"/>
              <w:jc w:val="left"/>
            </w:pPr>
            <w:r>
              <w:rPr>
                <w:rFonts w:hint="eastAsia"/>
              </w:rPr>
              <w:t>不发布：不发布缺省路由。</w:t>
            </w:r>
          </w:p>
          <w:p w14:paraId="38D8D51A">
            <w:pPr>
              <w:pStyle w:val="186"/>
              <w:widowControl w:val="0"/>
              <w:spacing w:line="240" w:lineRule="auto"/>
              <w:ind w:firstLine="0"/>
              <w:jc w:val="left"/>
            </w:pPr>
            <w:r>
              <w:rPr>
                <w:rFonts w:hint="eastAsia"/>
              </w:rPr>
              <w:t>发布：仅在系统中存在缺省路由的情况下才向邻居发布。这种方式主要适用于OSPF区域中存在双出口的组网，当某出口上行中断无法通过其他协议学习到默认路由时，该出口停止发布OSPF默认路由，这样就避免然将流量引导到该出口，导致不必要的带宽占用和次优路由。</w:t>
            </w:r>
          </w:p>
          <w:p w14:paraId="717420F5">
            <w:pPr>
              <w:pStyle w:val="186"/>
              <w:widowControl w:val="0"/>
              <w:spacing w:line="240" w:lineRule="auto"/>
              <w:ind w:firstLine="0"/>
              <w:jc w:val="left"/>
            </w:pPr>
            <w:r>
              <w:rPr>
                <w:rFonts w:hint="eastAsia"/>
              </w:rPr>
              <w:t>强制发布：无论系统中是否存在缺省路由，都向邻居发布一条默认路由。这种发布方式效率更高，适用于OSPF区域存在单出口的组网方式。</w:t>
            </w:r>
          </w:p>
        </w:tc>
      </w:tr>
      <w:tr w14:paraId="28AE058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09C88449">
            <w:pPr>
              <w:pStyle w:val="186"/>
              <w:widowControl w:val="0"/>
              <w:spacing w:line="240" w:lineRule="auto"/>
              <w:ind w:firstLine="0"/>
              <w:jc w:val="left"/>
            </w:pPr>
            <w:r>
              <w:rPr>
                <w:rFonts w:hint="eastAsia"/>
              </w:rPr>
              <w:t>直连路由</w:t>
            </w:r>
          </w:p>
        </w:tc>
        <w:tc>
          <w:tcPr>
            <w:tcW w:w="6592" w:type="dxa"/>
            <w:shd w:val="clear" w:color="auto" w:fill="auto"/>
          </w:tcPr>
          <w:p w14:paraId="6C8796B8">
            <w:pPr>
              <w:pStyle w:val="186"/>
              <w:widowControl w:val="0"/>
              <w:spacing w:line="240" w:lineRule="auto"/>
              <w:ind w:firstLine="0"/>
              <w:jc w:val="left"/>
            </w:pPr>
            <w:r>
              <w:rPr>
                <w:rFonts w:hint="eastAsia"/>
              </w:rPr>
              <w:t>设置是否通过OSPF协议重发布设备通过直连网络学习到的路由信息，及所学习到路由的cost值。</w:t>
            </w:r>
          </w:p>
        </w:tc>
      </w:tr>
      <w:tr w14:paraId="2E271B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37161F06">
            <w:pPr>
              <w:pStyle w:val="186"/>
              <w:widowControl w:val="0"/>
              <w:spacing w:line="240" w:lineRule="auto"/>
              <w:ind w:firstLine="0"/>
              <w:jc w:val="left"/>
            </w:pPr>
            <w:r>
              <w:rPr>
                <w:rFonts w:hint="eastAsia"/>
              </w:rPr>
              <w:t>静态路由</w:t>
            </w:r>
          </w:p>
        </w:tc>
        <w:tc>
          <w:tcPr>
            <w:tcW w:w="6592" w:type="dxa"/>
            <w:shd w:val="clear" w:color="auto" w:fill="auto"/>
          </w:tcPr>
          <w:p w14:paraId="66B0F801">
            <w:pPr>
              <w:pStyle w:val="186"/>
              <w:widowControl w:val="0"/>
              <w:spacing w:line="240" w:lineRule="auto"/>
              <w:ind w:firstLine="0"/>
              <w:jc w:val="left"/>
            </w:pPr>
            <w:r>
              <w:rPr>
                <w:rFonts w:hint="eastAsia"/>
              </w:rPr>
              <w:t>设置是否通过OSPF协议重发布设备学习到的静态路由信息，及所学习到路由的cost值。</w:t>
            </w:r>
          </w:p>
        </w:tc>
      </w:tr>
      <w:tr w14:paraId="3BD31D8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2D56CEE0">
            <w:pPr>
              <w:pStyle w:val="186"/>
              <w:widowControl w:val="0"/>
              <w:spacing w:line="240" w:lineRule="auto"/>
              <w:ind w:firstLine="0"/>
              <w:jc w:val="left"/>
            </w:pPr>
            <w:r>
              <w:rPr>
                <w:rFonts w:hint="eastAsia"/>
              </w:rPr>
              <w:t>RIP路由</w:t>
            </w:r>
          </w:p>
        </w:tc>
        <w:tc>
          <w:tcPr>
            <w:tcW w:w="6592" w:type="dxa"/>
            <w:shd w:val="clear" w:color="auto" w:fill="auto"/>
          </w:tcPr>
          <w:p w14:paraId="764B24E3">
            <w:pPr>
              <w:pStyle w:val="186"/>
              <w:widowControl w:val="0"/>
              <w:spacing w:line="240" w:lineRule="auto"/>
              <w:ind w:firstLine="0"/>
              <w:jc w:val="left"/>
            </w:pPr>
            <w:r>
              <w:rPr>
                <w:rFonts w:hint="eastAsia"/>
              </w:rPr>
              <w:t>设置是否通过OSPF协议重发布设备通过RIP协议学习到的路由信息，及所学习到路由的cost值。cost值代表重发布后路由的开销值，用于设备的路由选择，值越小优先级越高。</w:t>
            </w:r>
          </w:p>
        </w:tc>
      </w:tr>
    </w:tbl>
    <w:p w14:paraId="57185C3B"/>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0602B911">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7FC42156">
            <w:pPr>
              <w:pStyle w:val="150"/>
              <w:adjustRightInd w:val="0"/>
              <w:snapToGrid w:val="0"/>
              <w:rPr>
                <w:color w:val="auto"/>
              </w:rPr>
            </w:pPr>
            <w:r>
              <w:rPr>
                <w:b/>
                <w:color w:val="auto"/>
              </w:rPr>
              <w:drawing>
                <wp:inline distT="0" distB="0" distL="0" distR="0">
                  <wp:extent cx="283210" cy="283210"/>
                  <wp:effectExtent l="0" t="0" r="2540" b="254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72AF68D0">
            <w:pPr>
              <w:pStyle w:val="207"/>
              <w:adjustRightInd w:val="0"/>
              <w:snapToGrid w:val="0"/>
              <w:rPr>
                <w:color w:val="auto"/>
              </w:rPr>
            </w:pPr>
            <w:r>
              <w:rPr>
                <w:rFonts w:hint="eastAsia"/>
                <w:color w:val="auto"/>
              </w:rPr>
              <w:t>通常路由器先挑选IP地址最大的环回地址作为Router-ID。若无环回地址，则在接口状态为up的物理接口中，选取最大的IP地址作为Router-ID。也可以指定一个Router-ID，并且指定的Router-ID优先级最高。</w:t>
            </w:r>
          </w:p>
          <w:p w14:paraId="223FD608">
            <w:pPr>
              <w:pStyle w:val="207"/>
              <w:adjustRightInd w:val="0"/>
              <w:snapToGrid w:val="0"/>
              <w:rPr>
                <w:color w:val="auto"/>
                <w:lang w:eastAsia="zh-CN"/>
              </w:rPr>
            </w:pPr>
            <w:r>
              <w:rPr>
                <w:rFonts w:hint="eastAsia"/>
                <w:color w:val="auto"/>
                <w:lang w:eastAsia="zh-CN"/>
              </w:rPr>
              <w:t>缺省路由：如果路由表中有默认路由，并且想要发布出去，选中“发布”即可；如果路由表中没有默认路由，想要发布默认路由则需要选中“强制发布”。</w:t>
            </w:r>
          </w:p>
        </w:tc>
      </w:tr>
    </w:tbl>
    <w:p w14:paraId="398E9B05"/>
    <w:p w14:paraId="5C972AFC">
      <w:pPr>
        <w:pStyle w:val="5"/>
      </w:pPr>
      <w:bookmarkStart w:id="2029" w:name="_Toc15484763"/>
      <w:bookmarkStart w:id="2030" w:name="_Toc23152529"/>
      <w:bookmarkStart w:id="2031" w:name="_Toc40275962"/>
      <w:bookmarkStart w:id="2032" w:name="_Toc474249972"/>
      <w:bookmarkStart w:id="2033" w:name="_Toc529430339"/>
      <w:bookmarkStart w:id="2034" w:name="_Toc172218093"/>
      <w:bookmarkStart w:id="2035" w:name="_Toc141873391"/>
      <w:bookmarkStart w:id="2036" w:name="_Toc99561453"/>
      <w:bookmarkStart w:id="2037" w:name="_Toc194080720"/>
      <w:bookmarkStart w:id="2038" w:name="_Toc196728052"/>
      <w:bookmarkStart w:id="2039" w:name="_Toc142400907"/>
      <w:r>
        <w:rPr>
          <w:rFonts w:hint="eastAsia"/>
        </w:rPr>
        <w:t>OSPF网络配置</w:t>
      </w:r>
      <w:bookmarkEnd w:id="2029"/>
      <w:bookmarkEnd w:id="2030"/>
      <w:bookmarkEnd w:id="2031"/>
      <w:bookmarkEnd w:id="2032"/>
      <w:bookmarkEnd w:id="2033"/>
      <w:bookmarkEnd w:id="2034"/>
      <w:bookmarkEnd w:id="2035"/>
      <w:bookmarkEnd w:id="2036"/>
      <w:bookmarkEnd w:id="2037"/>
      <w:bookmarkEnd w:id="2038"/>
      <w:bookmarkEnd w:id="2039"/>
    </w:p>
    <w:p w14:paraId="2E58E070">
      <w:pPr>
        <w:pStyle w:val="202"/>
        <w:rPr>
          <w:lang w:eastAsia="zh-CN"/>
        </w:rPr>
      </w:pPr>
      <w:r>
        <w:rPr>
          <w:rFonts w:hint="eastAsia"/>
          <w:lang w:eastAsia="zh-CN"/>
        </w:rPr>
        <w:t>选择“</w:t>
      </w:r>
      <w:r>
        <w:rPr>
          <w:lang w:eastAsia="zh-CN"/>
        </w:rPr>
        <w:t>OSPF</w:t>
      </w:r>
      <w:r>
        <w:rPr>
          <w:rFonts w:hint="eastAsia"/>
          <w:lang w:eastAsia="zh-CN"/>
        </w:rPr>
        <w:t>网络”页签，查看设备上配置的</w:t>
      </w:r>
      <w:r>
        <w:rPr>
          <w:lang w:eastAsia="zh-CN"/>
        </w:rPr>
        <w:t>OSPF</w:t>
      </w:r>
      <w:r>
        <w:rPr>
          <w:rFonts w:hint="eastAsia"/>
          <w:lang w:eastAsia="zh-CN"/>
        </w:rPr>
        <w:t>网络信息，在该页也可以删除已经配置的</w:t>
      </w:r>
      <w:r>
        <w:rPr>
          <w:lang w:eastAsia="zh-CN"/>
        </w:rPr>
        <w:t>OSPF</w:t>
      </w:r>
      <w:r>
        <w:rPr>
          <w:rFonts w:hint="eastAsia"/>
          <w:lang w:eastAsia="zh-CN"/>
        </w:rPr>
        <w:t>网络。</w:t>
      </w:r>
    </w:p>
    <w:p w14:paraId="22A6E8D4">
      <w:pPr>
        <w:pStyle w:val="188"/>
      </w:pPr>
      <w:bookmarkStart w:id="2040" w:name="_Toc141874585"/>
      <w:r>
        <w:rPr>
          <w:rFonts w:hint="eastAsia"/>
        </w:rPr>
        <w:t>OSPF已配置网络</w:t>
      </w:r>
      <w:bookmarkEnd w:id="2040"/>
    </w:p>
    <w:p w14:paraId="783ED312">
      <w:r>
        <w:drawing>
          <wp:inline distT="0" distB="0" distL="0" distR="0">
            <wp:extent cx="5400040" cy="1010920"/>
            <wp:effectExtent l="0" t="0" r="0" b="0"/>
            <wp:docPr id="2888" name="图片 2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8" name="图片 2888"/>
                    <pic:cNvPicPr>
                      <a:picLocks noChangeAspect="1"/>
                    </pic:cNvPicPr>
                  </pic:nvPicPr>
                  <pic:blipFill>
                    <a:blip r:embed="rId259"/>
                    <a:stretch>
                      <a:fillRect/>
                    </a:stretch>
                  </pic:blipFill>
                  <pic:spPr>
                    <a:xfrm>
                      <a:off x="0" y="0"/>
                      <a:ext cx="5400040" cy="1010920"/>
                    </a:xfrm>
                    <a:prstGeom prst="rect">
                      <a:avLst/>
                    </a:prstGeom>
                  </pic:spPr>
                </pic:pic>
              </a:graphicData>
            </a:graphic>
          </wp:inline>
        </w:drawing>
      </w:r>
      <w:r>
        <w:t xml:space="preserve"> </w:t>
      </w:r>
    </w:p>
    <w:p w14:paraId="1D345360"/>
    <w:p w14:paraId="7B6F4AD6">
      <w:pPr>
        <w:pStyle w:val="202"/>
        <w:rPr>
          <w:lang w:eastAsia="zh-CN"/>
        </w:rPr>
      </w:pPr>
      <w:r>
        <w:rPr>
          <w:rFonts w:hint="eastAsia"/>
          <w:lang w:eastAsia="zh-CN"/>
        </w:rPr>
        <w:t>点击</w:t>
      </w:r>
      <w:r>
        <w:rPr>
          <w:lang w:eastAsia="zh-CN"/>
        </w:rPr>
        <w:t>&lt;</w:t>
      </w:r>
      <w:r>
        <w:rPr>
          <w:rFonts w:hint="eastAsia"/>
          <w:lang w:eastAsia="zh-CN"/>
        </w:rPr>
        <w:t>新建</w:t>
      </w:r>
      <w:r>
        <w:rPr>
          <w:lang w:eastAsia="zh-CN"/>
        </w:rPr>
        <w:t>&gt;</w:t>
      </w:r>
      <w:r>
        <w:rPr>
          <w:rFonts w:hint="eastAsia"/>
          <w:lang w:eastAsia="zh-CN"/>
        </w:rPr>
        <w:t>按钮，配置OSPF网络信息，在该页填入要发布的</w:t>
      </w:r>
      <w:r>
        <w:rPr>
          <w:lang w:eastAsia="zh-CN"/>
        </w:rPr>
        <w:t>OSPF</w:t>
      </w:r>
      <w:r>
        <w:rPr>
          <w:rFonts w:hint="eastAsia"/>
          <w:lang w:eastAsia="zh-CN"/>
        </w:rPr>
        <w:t>网络及区域。</w:t>
      </w:r>
    </w:p>
    <w:p w14:paraId="7796E016">
      <w:pPr>
        <w:pStyle w:val="188"/>
      </w:pPr>
      <w:bookmarkStart w:id="2041" w:name="_Toc141874586"/>
      <w:bookmarkStart w:id="2042" w:name="_Ref474245043"/>
      <w:r>
        <w:rPr>
          <w:rFonts w:hint="eastAsia"/>
        </w:rPr>
        <w:t>OSPF网络配置</w:t>
      </w:r>
      <w:bookmarkEnd w:id="2041"/>
      <w:bookmarkEnd w:id="2042"/>
    </w:p>
    <w:p w14:paraId="721F9F01">
      <w:r>
        <w:drawing>
          <wp:inline distT="0" distB="0" distL="0" distR="0">
            <wp:extent cx="5400040" cy="1785620"/>
            <wp:effectExtent l="0" t="0" r="0" b="508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260"/>
                    <a:stretch>
                      <a:fillRect/>
                    </a:stretch>
                  </pic:blipFill>
                  <pic:spPr>
                    <a:xfrm>
                      <a:off x="0" y="0"/>
                      <a:ext cx="5400040" cy="1786193"/>
                    </a:xfrm>
                    <a:prstGeom prst="rect">
                      <a:avLst/>
                    </a:prstGeom>
                  </pic:spPr>
                </pic:pic>
              </a:graphicData>
            </a:graphic>
          </wp:inline>
        </w:drawing>
      </w:r>
    </w:p>
    <w:p w14:paraId="4223E2AC">
      <w:pPr>
        <w:pStyle w:val="183"/>
      </w:pPr>
      <w:bookmarkStart w:id="2043" w:name="_Toc141875485"/>
      <w:r>
        <w:rPr>
          <w:rFonts w:hint="eastAsia"/>
        </w:rPr>
        <w:t>OSPF网络详细配置说明</w:t>
      </w:r>
      <w:bookmarkEnd w:id="2043"/>
    </w:p>
    <w:tbl>
      <w:tblPr>
        <w:tblStyle w:val="173"/>
        <w:tblW w:w="964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549"/>
        <w:gridCol w:w="8099"/>
      </w:tblGrid>
      <w:tr w14:paraId="3CB6AA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549" w:type="dxa"/>
            <w:tcBorders>
              <w:tl2br w:val="nil"/>
              <w:tr2bl w:val="nil"/>
            </w:tcBorders>
            <w:shd w:val="clear" w:color="auto" w:fill="538135" w:themeFill="accent6" w:themeFillShade="BF"/>
            <w:vAlign w:val="center"/>
          </w:tcPr>
          <w:p w14:paraId="75BBBD51">
            <w:pPr>
              <w:pStyle w:val="186"/>
              <w:widowControl w:val="0"/>
              <w:wordWrap/>
              <w:spacing w:line="240" w:lineRule="auto"/>
              <w:ind w:firstLine="0"/>
              <w:jc w:val="center"/>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8099" w:type="dxa"/>
            <w:tcBorders>
              <w:tl2br w:val="nil"/>
              <w:tr2bl w:val="nil"/>
            </w:tcBorders>
            <w:shd w:val="clear" w:color="auto" w:fill="538135" w:themeFill="accent6" w:themeFillShade="BF"/>
            <w:vAlign w:val="center"/>
          </w:tcPr>
          <w:p w14:paraId="3E5ACEA7">
            <w:pPr>
              <w:pStyle w:val="186"/>
              <w:widowControl w:val="0"/>
              <w:wordWrap/>
              <w:spacing w:line="240" w:lineRule="auto"/>
              <w:ind w:firstLine="0"/>
              <w:jc w:val="center"/>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6F97C8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549" w:type="dxa"/>
            <w:shd w:val="clear" w:color="auto" w:fill="auto"/>
          </w:tcPr>
          <w:p w14:paraId="46C3FF13">
            <w:pPr>
              <w:pStyle w:val="186"/>
              <w:widowControl w:val="0"/>
              <w:spacing w:line="240" w:lineRule="auto"/>
              <w:ind w:firstLine="0"/>
              <w:jc w:val="left"/>
            </w:pPr>
            <w:r>
              <w:t>IP地址/掩码</w:t>
            </w:r>
          </w:p>
        </w:tc>
        <w:tc>
          <w:tcPr>
            <w:tcW w:w="8099" w:type="dxa"/>
            <w:shd w:val="clear" w:color="auto" w:fill="auto"/>
          </w:tcPr>
          <w:p w14:paraId="681D4C00">
            <w:pPr>
              <w:pStyle w:val="186"/>
              <w:widowControl w:val="0"/>
              <w:spacing w:line="240" w:lineRule="auto"/>
              <w:ind w:firstLine="0"/>
              <w:jc w:val="left"/>
            </w:pPr>
            <w:r>
              <w:rPr>
                <w:rFonts w:hint="eastAsia"/>
              </w:rPr>
              <w:t>指定需要启用O</w:t>
            </w:r>
            <w:r>
              <w:t>SPF</w:t>
            </w:r>
            <w:r>
              <w:rPr>
                <w:rFonts w:hint="eastAsia"/>
              </w:rPr>
              <w:t>协议的网络，格式为I</w:t>
            </w:r>
            <w:r>
              <w:t>P</w:t>
            </w:r>
            <w:r>
              <w:rPr>
                <w:rFonts w:hint="eastAsia"/>
              </w:rPr>
              <w:t>地址+掩码，如1</w:t>
            </w:r>
            <w:r>
              <w:t>92.168.1.0/24</w:t>
            </w:r>
            <w:r>
              <w:rPr>
                <w:rFonts w:hint="eastAsia"/>
              </w:rPr>
              <w:t>。为避免O</w:t>
            </w:r>
            <w:r>
              <w:t>SPF</w:t>
            </w:r>
            <w:r>
              <w:rPr>
                <w:rFonts w:hint="eastAsia"/>
              </w:rPr>
              <w:t>邻居状态出现异常，建议此网段与O</w:t>
            </w:r>
            <w:r>
              <w:t>SPF</w:t>
            </w:r>
            <w:r>
              <w:rPr>
                <w:rFonts w:hint="eastAsia"/>
              </w:rPr>
              <w:t>邻居接口的网段保持一致。</w:t>
            </w:r>
          </w:p>
        </w:tc>
      </w:tr>
      <w:tr w14:paraId="76D962F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549" w:type="dxa"/>
            <w:shd w:val="clear" w:color="auto" w:fill="auto"/>
          </w:tcPr>
          <w:p w14:paraId="6C2A5F44">
            <w:pPr>
              <w:pStyle w:val="186"/>
              <w:widowControl w:val="0"/>
              <w:spacing w:line="240" w:lineRule="auto"/>
              <w:ind w:firstLine="0"/>
              <w:jc w:val="left"/>
            </w:pPr>
            <w:r>
              <w:rPr>
                <w:rFonts w:hint="eastAsia"/>
              </w:rPr>
              <w:t>区域</w:t>
            </w:r>
          </w:p>
        </w:tc>
        <w:tc>
          <w:tcPr>
            <w:tcW w:w="8099" w:type="dxa"/>
            <w:shd w:val="clear" w:color="auto" w:fill="auto"/>
          </w:tcPr>
          <w:p w14:paraId="30959DF4">
            <w:pPr>
              <w:pStyle w:val="186"/>
              <w:widowControl w:val="0"/>
              <w:spacing w:line="240" w:lineRule="auto"/>
              <w:ind w:firstLine="0"/>
              <w:jc w:val="left"/>
            </w:pPr>
            <w:r>
              <w:rPr>
                <w:rFonts w:hint="eastAsia"/>
              </w:rPr>
              <w:t>指定启用O</w:t>
            </w:r>
            <w:r>
              <w:t>SPF</w:t>
            </w:r>
            <w:r>
              <w:rPr>
                <w:rFonts w:hint="eastAsia"/>
              </w:rPr>
              <w:t>协议的区域号，格式为</w:t>
            </w:r>
            <w:r>
              <w:t>0</w:t>
            </w:r>
            <w:r>
              <w:rPr>
                <w:rFonts w:hint="eastAsia"/>
              </w:rPr>
              <w:t>~</w:t>
            </w:r>
            <w:r>
              <w:t>4,294,967,295</w:t>
            </w:r>
            <w:r>
              <w:rPr>
                <w:rFonts w:hint="eastAsia"/>
              </w:rPr>
              <w:t>之间的</w:t>
            </w:r>
            <w:r>
              <w:t>数字或IP地址</w:t>
            </w:r>
            <w:r>
              <w:rPr>
                <w:rFonts w:hint="eastAsia"/>
              </w:rPr>
              <w:t>。只有O</w:t>
            </w:r>
            <w:r>
              <w:t>SPF</w:t>
            </w:r>
            <w:r>
              <w:rPr>
                <w:rFonts w:hint="eastAsia"/>
              </w:rPr>
              <w:t>的路由器接口共享了具有相同区域号的网络时，这些路由器才可能成为邻居。</w:t>
            </w:r>
          </w:p>
        </w:tc>
      </w:tr>
    </w:tbl>
    <w:p w14:paraId="0CB7A3D0"/>
    <w:p w14:paraId="7C1407A6">
      <w:pPr>
        <w:pStyle w:val="5"/>
      </w:pPr>
      <w:bookmarkStart w:id="2044" w:name="_Toc142400908"/>
      <w:bookmarkStart w:id="2045" w:name="_Toc194080721"/>
      <w:bookmarkStart w:id="2046" w:name="_Toc99561454"/>
      <w:bookmarkStart w:id="2047" w:name="_Toc141873392"/>
      <w:bookmarkStart w:id="2048" w:name="_Toc66983707"/>
      <w:bookmarkStart w:id="2049" w:name="_Toc172218094"/>
      <w:bookmarkStart w:id="2050" w:name="_Toc196728053"/>
      <w:r>
        <w:rPr>
          <w:rFonts w:hint="eastAsia"/>
        </w:rPr>
        <w:t>区域配置</w:t>
      </w:r>
      <w:bookmarkEnd w:id="2044"/>
      <w:bookmarkEnd w:id="2045"/>
      <w:bookmarkEnd w:id="2046"/>
      <w:bookmarkEnd w:id="2047"/>
      <w:bookmarkEnd w:id="2048"/>
      <w:bookmarkEnd w:id="2049"/>
      <w:bookmarkEnd w:id="2050"/>
    </w:p>
    <w:p w14:paraId="27766823">
      <w:r>
        <w:rPr>
          <w:rFonts w:hint="eastAsia"/>
        </w:rPr>
        <w:t>选择“区域配置”页签，查看设备上已经配置的接口信息。</w:t>
      </w:r>
    </w:p>
    <w:p w14:paraId="0485D1DF">
      <w:pPr>
        <w:pStyle w:val="188"/>
      </w:pPr>
      <w:bookmarkStart w:id="2051" w:name="_Toc141874587"/>
      <w:r>
        <w:rPr>
          <w:rFonts w:hint="eastAsia"/>
        </w:rPr>
        <w:t>已经配置的区域配置</w:t>
      </w:r>
      <w:bookmarkEnd w:id="2051"/>
    </w:p>
    <w:p w14:paraId="1CD1129C">
      <w:r>
        <w:drawing>
          <wp:inline distT="0" distB="0" distL="0" distR="0">
            <wp:extent cx="5190490" cy="955675"/>
            <wp:effectExtent l="0" t="0" r="0" b="0"/>
            <wp:docPr id="2922" name="图片 2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2" name="图片 2922"/>
                    <pic:cNvPicPr>
                      <a:picLocks noChangeAspect="1"/>
                    </pic:cNvPicPr>
                  </pic:nvPicPr>
                  <pic:blipFill>
                    <a:blip r:embed="rId261"/>
                    <a:stretch>
                      <a:fillRect/>
                    </a:stretch>
                  </pic:blipFill>
                  <pic:spPr>
                    <a:xfrm>
                      <a:off x="0" y="0"/>
                      <a:ext cx="5216679" cy="960645"/>
                    </a:xfrm>
                    <a:prstGeom prst="rect">
                      <a:avLst/>
                    </a:prstGeom>
                  </pic:spPr>
                </pic:pic>
              </a:graphicData>
            </a:graphic>
          </wp:inline>
        </w:drawing>
      </w:r>
    </w:p>
    <w:p w14:paraId="1BC39FCC"/>
    <w:p w14:paraId="3AD626A2">
      <w:r>
        <w:rPr>
          <w:rFonts w:hint="eastAsia"/>
        </w:rPr>
        <w:t>点击&lt;新建&gt;，编辑相关信息，点击&lt;提交&gt;。</w:t>
      </w:r>
    </w:p>
    <w:p w14:paraId="4494E04E">
      <w:pPr>
        <w:pStyle w:val="188"/>
      </w:pPr>
      <w:bookmarkStart w:id="2052" w:name="_Toc141874588"/>
      <w:r>
        <w:t>配置OSPF区域信息</w:t>
      </w:r>
      <w:bookmarkEnd w:id="2052"/>
    </w:p>
    <w:p w14:paraId="1E6DE6CE">
      <w:pPr>
        <w:spacing w:before="79" w:after="79"/>
      </w:pPr>
      <w:r>
        <w:drawing>
          <wp:inline distT="0" distB="0" distL="114300" distR="114300">
            <wp:extent cx="5400040" cy="1870075"/>
            <wp:effectExtent l="0" t="0" r="0" b="0"/>
            <wp:docPr id="98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图片 63"/>
                    <pic:cNvPicPr>
                      <a:picLocks noChangeAspect="1"/>
                    </pic:cNvPicPr>
                  </pic:nvPicPr>
                  <pic:blipFill>
                    <a:blip r:embed="rId262"/>
                    <a:stretch>
                      <a:fillRect/>
                    </a:stretch>
                  </pic:blipFill>
                  <pic:spPr>
                    <a:xfrm>
                      <a:off x="0" y="0"/>
                      <a:ext cx="5400040" cy="1870197"/>
                    </a:xfrm>
                    <a:prstGeom prst="rect">
                      <a:avLst/>
                    </a:prstGeom>
                    <a:noFill/>
                    <a:ln>
                      <a:noFill/>
                    </a:ln>
                  </pic:spPr>
                </pic:pic>
              </a:graphicData>
            </a:graphic>
          </wp:inline>
        </w:drawing>
      </w:r>
    </w:p>
    <w:p w14:paraId="793C37D6">
      <w:pPr>
        <w:pStyle w:val="183"/>
      </w:pPr>
      <w:bookmarkStart w:id="2053" w:name="_Toc141875486"/>
      <w:r>
        <w:rPr>
          <w:rFonts w:hint="eastAsia"/>
        </w:rPr>
        <w:t>OSPF区域信息详细配置说明</w:t>
      </w:r>
      <w:bookmarkEnd w:id="2053"/>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2"/>
        <w:gridCol w:w="6636"/>
      </w:tblGrid>
      <w:tr w14:paraId="1B22BC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32" w:type="dxa"/>
            <w:tcBorders>
              <w:tl2br w:val="nil"/>
              <w:tr2bl w:val="nil"/>
            </w:tcBorders>
            <w:shd w:val="clear" w:color="auto" w:fill="538135" w:themeFill="accent6" w:themeFillShade="BF"/>
            <w:vAlign w:val="center"/>
          </w:tcPr>
          <w:p w14:paraId="16370621">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36" w:type="dxa"/>
            <w:tcBorders>
              <w:tl2br w:val="nil"/>
              <w:tr2bl w:val="nil"/>
            </w:tcBorders>
            <w:shd w:val="clear" w:color="auto" w:fill="538135" w:themeFill="accent6" w:themeFillShade="BF"/>
            <w:vAlign w:val="center"/>
          </w:tcPr>
          <w:p w14:paraId="57F2DD5A">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DF6E0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32" w:type="dxa"/>
            <w:shd w:val="clear" w:color="auto" w:fill="auto"/>
          </w:tcPr>
          <w:p w14:paraId="1EB309E1">
            <w:pPr>
              <w:pStyle w:val="186"/>
              <w:widowControl w:val="0"/>
              <w:spacing w:line="240" w:lineRule="auto"/>
              <w:ind w:firstLine="0"/>
              <w:jc w:val="left"/>
            </w:pPr>
            <w:r>
              <w:rPr>
                <w:rFonts w:hint="eastAsia"/>
              </w:rPr>
              <w:t>区域</w:t>
            </w:r>
          </w:p>
        </w:tc>
        <w:tc>
          <w:tcPr>
            <w:tcW w:w="6636" w:type="dxa"/>
            <w:shd w:val="clear" w:color="auto" w:fill="auto"/>
          </w:tcPr>
          <w:p w14:paraId="558EAFB0">
            <w:pPr>
              <w:pStyle w:val="186"/>
              <w:widowControl w:val="0"/>
              <w:spacing w:line="240" w:lineRule="auto"/>
              <w:ind w:firstLine="0"/>
              <w:jc w:val="left"/>
            </w:pPr>
            <w:r>
              <w:rPr>
                <w:rFonts w:hint="eastAsia"/>
              </w:rPr>
              <w:t>OSPF的区域</w:t>
            </w:r>
          </w:p>
        </w:tc>
      </w:tr>
      <w:tr w14:paraId="7EB269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32" w:type="dxa"/>
            <w:shd w:val="clear" w:color="auto" w:fill="auto"/>
          </w:tcPr>
          <w:p w14:paraId="63119DD2">
            <w:pPr>
              <w:pStyle w:val="186"/>
              <w:widowControl w:val="0"/>
              <w:spacing w:line="240" w:lineRule="auto"/>
              <w:ind w:firstLine="0"/>
              <w:jc w:val="left"/>
            </w:pPr>
            <w:r>
              <w:rPr>
                <w:rFonts w:hint="eastAsia"/>
              </w:rPr>
              <w:t>认证算法</w:t>
            </w:r>
          </w:p>
        </w:tc>
        <w:tc>
          <w:tcPr>
            <w:tcW w:w="6636" w:type="dxa"/>
            <w:shd w:val="clear" w:color="auto" w:fill="auto"/>
          </w:tcPr>
          <w:p w14:paraId="35E07342">
            <w:pPr>
              <w:pStyle w:val="186"/>
              <w:widowControl w:val="0"/>
              <w:spacing w:line="240" w:lineRule="auto"/>
              <w:ind w:firstLine="0"/>
              <w:jc w:val="left"/>
            </w:pPr>
            <w:r>
              <w:rPr>
                <w:rFonts w:hint="eastAsia"/>
              </w:rPr>
              <w:t>区域所使用的加密方式，加密方式只支持MD5</w:t>
            </w:r>
          </w:p>
        </w:tc>
      </w:tr>
    </w:tbl>
    <w:p w14:paraId="1D73A794"/>
    <w:p w14:paraId="78F0AC9B">
      <w:pPr>
        <w:pStyle w:val="5"/>
      </w:pPr>
      <w:bookmarkStart w:id="2054" w:name="_Toc23152530"/>
      <w:bookmarkStart w:id="2055" w:name="_Toc529430340"/>
      <w:bookmarkStart w:id="2056" w:name="_Toc194080722"/>
      <w:bookmarkStart w:id="2057" w:name="_Toc40275963"/>
      <w:bookmarkStart w:id="2058" w:name="_Toc99561455"/>
      <w:bookmarkStart w:id="2059" w:name="_Toc474249973"/>
      <w:bookmarkStart w:id="2060" w:name="_Toc141873393"/>
      <w:bookmarkStart w:id="2061" w:name="_Toc142400909"/>
      <w:bookmarkStart w:id="2062" w:name="_Toc172218095"/>
      <w:bookmarkStart w:id="2063" w:name="_Toc15484764"/>
      <w:bookmarkStart w:id="2064" w:name="_Toc196728054"/>
      <w:r>
        <w:rPr>
          <w:rFonts w:hint="eastAsia"/>
        </w:rPr>
        <w:t>OSPF接口配置</w:t>
      </w:r>
      <w:bookmarkEnd w:id="2054"/>
      <w:bookmarkEnd w:id="2055"/>
      <w:bookmarkEnd w:id="2056"/>
      <w:bookmarkEnd w:id="2057"/>
      <w:bookmarkEnd w:id="2058"/>
      <w:bookmarkEnd w:id="2059"/>
      <w:bookmarkEnd w:id="2060"/>
      <w:bookmarkEnd w:id="2061"/>
      <w:bookmarkEnd w:id="2062"/>
      <w:bookmarkEnd w:id="2063"/>
      <w:bookmarkEnd w:id="2064"/>
    </w:p>
    <w:p w14:paraId="441AC054">
      <w:pPr>
        <w:pStyle w:val="202"/>
        <w:rPr>
          <w:lang w:eastAsia="zh-CN"/>
        </w:rPr>
      </w:pPr>
      <w:r>
        <w:rPr>
          <w:rFonts w:hint="eastAsia"/>
          <w:lang w:eastAsia="zh-CN"/>
        </w:rPr>
        <w:t>选择“</w:t>
      </w:r>
      <w:r>
        <w:rPr>
          <w:lang w:eastAsia="zh-CN"/>
        </w:rPr>
        <w:t>OSPF</w:t>
      </w:r>
      <w:r>
        <w:rPr>
          <w:rFonts w:hint="eastAsia"/>
          <w:lang w:eastAsia="zh-CN"/>
        </w:rPr>
        <w:t>接口”页签，查看设备上已经配置的接口信息。</w:t>
      </w:r>
    </w:p>
    <w:p w14:paraId="51512078">
      <w:pPr>
        <w:pStyle w:val="188"/>
      </w:pPr>
      <w:bookmarkStart w:id="2065" w:name="_Ref393732847"/>
      <w:bookmarkStart w:id="2066" w:name="_Toc141874589"/>
      <w:r>
        <w:rPr>
          <w:rFonts w:hint="eastAsia"/>
        </w:rPr>
        <w:t>已经配置的接口信息</w:t>
      </w:r>
      <w:bookmarkEnd w:id="2065"/>
      <w:bookmarkEnd w:id="2066"/>
    </w:p>
    <w:p w14:paraId="30578026">
      <w:r>
        <w:drawing>
          <wp:inline distT="0" distB="0" distL="0" distR="0">
            <wp:extent cx="5400040" cy="988060"/>
            <wp:effectExtent l="0" t="0" r="0" b="2540"/>
            <wp:docPr id="2923" name="图片 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3" name="图片 2923"/>
                    <pic:cNvPicPr>
                      <a:picLocks noChangeAspect="1"/>
                    </pic:cNvPicPr>
                  </pic:nvPicPr>
                  <pic:blipFill>
                    <a:blip r:embed="rId263"/>
                    <a:stretch>
                      <a:fillRect/>
                    </a:stretch>
                  </pic:blipFill>
                  <pic:spPr>
                    <a:xfrm>
                      <a:off x="0" y="0"/>
                      <a:ext cx="5400040" cy="988060"/>
                    </a:xfrm>
                    <a:prstGeom prst="rect">
                      <a:avLst/>
                    </a:prstGeom>
                  </pic:spPr>
                </pic:pic>
              </a:graphicData>
            </a:graphic>
          </wp:inline>
        </w:drawing>
      </w:r>
    </w:p>
    <w:p w14:paraId="27DC0281"/>
    <w:p w14:paraId="3E58DA64">
      <w:pPr>
        <w:pStyle w:val="202"/>
        <w:rPr>
          <w:lang w:eastAsia="zh-CN"/>
        </w:rPr>
      </w:pPr>
      <w:r>
        <w:rPr>
          <w:rFonts w:hint="eastAsia"/>
          <w:lang w:eastAsia="zh-CN"/>
        </w:rPr>
        <w:t>点击</w:t>
      </w:r>
      <w:r>
        <w:rPr>
          <w:lang w:eastAsia="zh-CN"/>
        </w:rPr>
        <w:t>&lt;</w:t>
      </w:r>
      <w:r>
        <w:rPr>
          <w:rFonts w:hint="eastAsia"/>
          <w:lang w:eastAsia="zh-CN"/>
        </w:rPr>
        <w:t>新建</w:t>
      </w:r>
      <w:r>
        <w:rPr>
          <w:lang w:eastAsia="zh-CN"/>
        </w:rPr>
        <w:t>&gt;</w:t>
      </w:r>
      <w:r>
        <w:rPr>
          <w:rFonts w:hint="eastAsia"/>
          <w:lang w:eastAsia="zh-CN"/>
        </w:rPr>
        <w:t>按钮，配置接口相关的</w:t>
      </w:r>
      <w:r>
        <w:rPr>
          <w:lang w:eastAsia="zh-CN"/>
        </w:rPr>
        <w:t>OSPF</w:t>
      </w:r>
      <w:r>
        <w:rPr>
          <w:rFonts w:hint="eastAsia"/>
          <w:lang w:eastAsia="zh-CN"/>
        </w:rPr>
        <w:t>信息。</w:t>
      </w:r>
    </w:p>
    <w:p w14:paraId="71BF0BC3">
      <w:pPr>
        <w:pStyle w:val="188"/>
      </w:pPr>
      <w:bookmarkStart w:id="2067" w:name="_Toc141874590"/>
      <w:r>
        <w:rPr>
          <w:rFonts w:hint="eastAsia"/>
        </w:rPr>
        <w:t>OSPF接口配置</w:t>
      </w:r>
      <w:bookmarkEnd w:id="2067"/>
    </w:p>
    <w:p w14:paraId="49332516">
      <w:r>
        <w:drawing>
          <wp:inline distT="0" distB="0" distL="0" distR="0">
            <wp:extent cx="5400040" cy="3872865"/>
            <wp:effectExtent l="0" t="0" r="0" b="0"/>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05"/>
                    <pic:cNvPicPr>
                      <a:picLocks noChangeAspect="1"/>
                    </pic:cNvPicPr>
                  </pic:nvPicPr>
                  <pic:blipFill>
                    <a:blip r:embed="rId264"/>
                    <a:stretch>
                      <a:fillRect/>
                    </a:stretch>
                  </pic:blipFill>
                  <pic:spPr>
                    <a:xfrm>
                      <a:off x="0" y="0"/>
                      <a:ext cx="5400040" cy="3872903"/>
                    </a:xfrm>
                    <a:prstGeom prst="rect">
                      <a:avLst/>
                    </a:prstGeom>
                  </pic:spPr>
                </pic:pic>
              </a:graphicData>
            </a:graphic>
          </wp:inline>
        </w:drawing>
      </w:r>
    </w:p>
    <w:p w14:paraId="4A229089"/>
    <w:p w14:paraId="2B0FC5EA">
      <w:pPr>
        <w:pStyle w:val="183"/>
      </w:pPr>
      <w:bookmarkStart w:id="2068" w:name="_Toc141875488"/>
      <w:r>
        <w:rPr>
          <w:rFonts w:hint="eastAsia"/>
        </w:rPr>
        <w:t>OSPF接口各项配置含义</w:t>
      </w:r>
      <w:bookmarkEnd w:id="2068"/>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28"/>
        <w:gridCol w:w="6640"/>
      </w:tblGrid>
      <w:tr w14:paraId="219A7A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28" w:type="dxa"/>
            <w:tcBorders>
              <w:tl2br w:val="nil"/>
              <w:tr2bl w:val="nil"/>
            </w:tcBorders>
            <w:shd w:val="clear" w:color="auto" w:fill="538135" w:themeFill="accent6" w:themeFillShade="BF"/>
            <w:vAlign w:val="center"/>
          </w:tcPr>
          <w:p w14:paraId="17287C4D">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40" w:type="dxa"/>
            <w:tcBorders>
              <w:tl2br w:val="nil"/>
              <w:tr2bl w:val="nil"/>
            </w:tcBorders>
            <w:shd w:val="clear" w:color="auto" w:fill="538135" w:themeFill="accent6" w:themeFillShade="BF"/>
            <w:vAlign w:val="center"/>
          </w:tcPr>
          <w:p w14:paraId="073544BB">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1AD8A5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28" w:type="dxa"/>
            <w:shd w:val="clear" w:color="auto" w:fill="auto"/>
          </w:tcPr>
          <w:p w14:paraId="3E5E100E">
            <w:pPr>
              <w:pStyle w:val="186"/>
              <w:widowControl w:val="0"/>
              <w:spacing w:line="240" w:lineRule="auto"/>
              <w:ind w:firstLine="0"/>
              <w:jc w:val="left"/>
            </w:pPr>
            <w:r>
              <w:rPr>
                <w:rFonts w:hint="eastAsia"/>
              </w:rPr>
              <w:t>接口</w:t>
            </w:r>
          </w:p>
        </w:tc>
        <w:tc>
          <w:tcPr>
            <w:tcW w:w="6640" w:type="dxa"/>
            <w:shd w:val="clear" w:color="auto" w:fill="auto"/>
          </w:tcPr>
          <w:p w14:paraId="399AC613">
            <w:pPr>
              <w:pStyle w:val="186"/>
              <w:widowControl w:val="0"/>
              <w:spacing w:line="240" w:lineRule="auto"/>
              <w:ind w:firstLine="0"/>
              <w:jc w:val="left"/>
            </w:pPr>
            <w:r>
              <w:rPr>
                <w:rFonts w:hint="eastAsia"/>
              </w:rPr>
              <w:t>选择需要启用OSPF协议的接口</w:t>
            </w:r>
          </w:p>
        </w:tc>
      </w:tr>
      <w:tr w14:paraId="0E9E39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28" w:type="dxa"/>
            <w:shd w:val="clear" w:color="auto" w:fill="auto"/>
          </w:tcPr>
          <w:p w14:paraId="79A0F15C">
            <w:pPr>
              <w:pStyle w:val="186"/>
              <w:widowControl w:val="0"/>
              <w:spacing w:line="240" w:lineRule="auto"/>
              <w:ind w:firstLine="0"/>
              <w:jc w:val="left"/>
            </w:pPr>
            <w:r>
              <w:rPr>
                <w:rFonts w:hint="eastAsia"/>
              </w:rPr>
              <w:t>优先级</w:t>
            </w:r>
          </w:p>
        </w:tc>
        <w:tc>
          <w:tcPr>
            <w:tcW w:w="6640" w:type="dxa"/>
            <w:shd w:val="clear" w:color="auto" w:fill="auto"/>
          </w:tcPr>
          <w:p w14:paraId="2E585AC0">
            <w:pPr>
              <w:pStyle w:val="186"/>
              <w:widowControl w:val="0"/>
              <w:spacing w:line="240" w:lineRule="auto"/>
              <w:ind w:firstLine="0"/>
              <w:jc w:val="left"/>
            </w:pPr>
            <w:r>
              <w:rPr>
                <w:rFonts w:hint="eastAsia"/>
              </w:rPr>
              <w:t>设置接口的优先级，取值范围0~255。优先级为0的接口只用于接收网络中所有其他路由器的路由信息，并将收到的信息广播出去。当同一个网络的两个路由器都可作为指定路由器时，具有高优先级接口的路由器会被选中；如果接口的优先级相同，具有高路由器ID的路由器会被选中。</w:t>
            </w:r>
          </w:p>
        </w:tc>
      </w:tr>
      <w:tr w14:paraId="09AC2B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28" w:type="dxa"/>
            <w:shd w:val="clear" w:color="auto" w:fill="auto"/>
          </w:tcPr>
          <w:p w14:paraId="671AC8A7">
            <w:pPr>
              <w:pStyle w:val="186"/>
              <w:widowControl w:val="0"/>
              <w:spacing w:line="240" w:lineRule="auto"/>
              <w:ind w:firstLine="0"/>
              <w:jc w:val="left"/>
            </w:pPr>
            <w:r>
              <w:rPr>
                <w:rFonts w:hint="eastAsia"/>
              </w:rPr>
              <w:t>发送开销</w:t>
            </w:r>
          </w:p>
        </w:tc>
        <w:tc>
          <w:tcPr>
            <w:tcW w:w="6640" w:type="dxa"/>
            <w:shd w:val="clear" w:color="auto" w:fill="auto"/>
          </w:tcPr>
          <w:p w14:paraId="09908E35">
            <w:pPr>
              <w:pStyle w:val="186"/>
              <w:widowControl w:val="0"/>
              <w:spacing w:line="240" w:lineRule="auto"/>
              <w:ind w:firstLine="0"/>
              <w:jc w:val="left"/>
            </w:pPr>
            <w:r>
              <w:rPr>
                <w:rFonts w:hint="eastAsia"/>
              </w:rPr>
              <w:t>设置接口发送数据包的开销，取值范围1~65535。此值用于计算报文到达对端的开销。</w:t>
            </w:r>
          </w:p>
        </w:tc>
      </w:tr>
      <w:tr w14:paraId="0F3FFEE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28" w:type="dxa"/>
            <w:shd w:val="clear" w:color="auto" w:fill="auto"/>
          </w:tcPr>
          <w:p w14:paraId="2CFD24A3">
            <w:pPr>
              <w:pStyle w:val="186"/>
              <w:widowControl w:val="0"/>
              <w:spacing w:line="240" w:lineRule="auto"/>
              <w:ind w:firstLine="0"/>
              <w:jc w:val="left"/>
            </w:pPr>
            <w:r>
              <w:rPr>
                <w:rFonts w:hint="eastAsia"/>
              </w:rPr>
              <w:t>网络类型</w:t>
            </w:r>
          </w:p>
        </w:tc>
        <w:tc>
          <w:tcPr>
            <w:tcW w:w="6640" w:type="dxa"/>
            <w:shd w:val="clear" w:color="auto" w:fill="auto"/>
          </w:tcPr>
          <w:p w14:paraId="0673458E">
            <w:pPr>
              <w:pStyle w:val="186"/>
              <w:widowControl w:val="0"/>
              <w:spacing w:line="240" w:lineRule="auto"/>
              <w:ind w:firstLine="0"/>
              <w:jc w:val="left"/>
            </w:pPr>
            <w:r>
              <w:rPr>
                <w:rFonts w:hint="eastAsia"/>
              </w:rPr>
              <w:t>设置网络类型，包括广播、非广播、点到点（Point-to-point）以及点到多点（Point-to-multipoint） 网络类型。默认情况下，接口的网络类型为广播类型。</w:t>
            </w:r>
          </w:p>
        </w:tc>
      </w:tr>
      <w:tr w14:paraId="18ED1A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28" w:type="dxa"/>
            <w:shd w:val="clear" w:color="auto" w:fill="auto"/>
          </w:tcPr>
          <w:p w14:paraId="2521AA3F">
            <w:pPr>
              <w:pStyle w:val="186"/>
              <w:widowControl w:val="0"/>
              <w:spacing w:line="240" w:lineRule="auto"/>
              <w:ind w:firstLine="0"/>
              <w:jc w:val="left"/>
            </w:pPr>
            <w:r>
              <w:rPr>
                <w:rFonts w:hint="eastAsia"/>
              </w:rPr>
              <w:t>认证</w:t>
            </w:r>
          </w:p>
        </w:tc>
        <w:tc>
          <w:tcPr>
            <w:tcW w:w="6640" w:type="dxa"/>
            <w:shd w:val="clear" w:color="auto" w:fill="auto"/>
          </w:tcPr>
          <w:p w14:paraId="178D08AF">
            <w:pPr>
              <w:pStyle w:val="186"/>
              <w:widowControl w:val="0"/>
              <w:spacing w:line="240" w:lineRule="auto"/>
              <w:ind w:firstLine="0"/>
              <w:jc w:val="left"/>
            </w:pPr>
            <w:r>
              <w:rPr>
                <w:rFonts w:hint="eastAsia"/>
              </w:rPr>
              <w:t>设置OSPF协议的认证方式，可以为无认证、明文认证、MD5认证以及HMAC-SHA256认证。在对安全性要求较高的网络中，建议启用OSPF协议认证。认证可以提高网络的安全性，只有相互认证成功的两台路由器之间才可以传输路由信息。</w:t>
            </w:r>
          </w:p>
          <w:p w14:paraId="1892D43A">
            <w:pPr>
              <w:pStyle w:val="186"/>
              <w:widowControl w:val="0"/>
              <w:spacing w:line="240" w:lineRule="auto"/>
              <w:ind w:firstLine="0"/>
              <w:jc w:val="left"/>
            </w:pPr>
            <w:r>
              <w:rPr>
                <w:rFonts w:hint="eastAsia"/>
              </w:rPr>
              <w:t>Text：启用明文认证方式，并指定认证使用的密码。</w:t>
            </w:r>
          </w:p>
          <w:p w14:paraId="53E486D1">
            <w:pPr>
              <w:pStyle w:val="186"/>
              <w:widowControl w:val="0"/>
              <w:spacing w:line="240" w:lineRule="auto"/>
              <w:ind w:firstLine="0"/>
              <w:jc w:val="left"/>
            </w:pPr>
            <w:r>
              <w:rPr>
                <w:rFonts w:hint="eastAsia"/>
              </w:rPr>
              <w:t>MD5：启用MD5认证方式，并指定认证使用的密钥。与明文认证方式相比，MD5认证以密文形式传输认证凭据，因此更安全。</w:t>
            </w:r>
          </w:p>
          <w:p w14:paraId="0114E04A">
            <w:pPr>
              <w:pStyle w:val="186"/>
              <w:widowControl w:val="0"/>
              <w:spacing w:line="240" w:lineRule="auto"/>
              <w:ind w:firstLine="0"/>
              <w:jc w:val="left"/>
            </w:pPr>
            <w:r>
              <w:rPr>
                <w:rFonts w:hint="eastAsia"/>
              </w:rPr>
              <w:t>HMAC-SHA256：启用HMAC-SHA256认证方式，并制定认证使用的密钥。使用密文形式传输认证凭据，安全性更高。</w:t>
            </w:r>
          </w:p>
        </w:tc>
      </w:tr>
      <w:tr w14:paraId="5FD55B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28" w:type="dxa"/>
            <w:shd w:val="clear" w:color="auto" w:fill="auto"/>
          </w:tcPr>
          <w:p w14:paraId="5B233841">
            <w:pPr>
              <w:pStyle w:val="186"/>
              <w:widowControl w:val="0"/>
              <w:spacing w:line="240" w:lineRule="auto"/>
              <w:ind w:firstLine="0"/>
              <w:jc w:val="left"/>
            </w:pPr>
            <w:r>
              <w:rPr>
                <w:rFonts w:hint="eastAsia"/>
              </w:rPr>
              <w:t>计时</w:t>
            </w:r>
          </w:p>
        </w:tc>
        <w:tc>
          <w:tcPr>
            <w:tcW w:w="6640" w:type="dxa"/>
            <w:shd w:val="clear" w:color="auto" w:fill="auto"/>
          </w:tcPr>
          <w:p w14:paraId="7131E991">
            <w:pPr>
              <w:pStyle w:val="186"/>
              <w:widowControl w:val="0"/>
              <w:spacing w:line="240" w:lineRule="auto"/>
              <w:ind w:firstLine="0"/>
              <w:jc w:val="left"/>
            </w:pPr>
            <w:r>
              <w:rPr>
                <w:rFonts w:hint="eastAsia"/>
              </w:rPr>
              <w:t>设置接口计时器相关配置，包括：</w:t>
            </w:r>
          </w:p>
          <w:p w14:paraId="22DA6101">
            <w:pPr>
              <w:pStyle w:val="186"/>
              <w:widowControl w:val="0"/>
              <w:spacing w:line="240" w:lineRule="auto"/>
              <w:ind w:firstLine="0"/>
              <w:jc w:val="left"/>
            </w:pPr>
            <w:r>
              <w:rPr>
                <w:rFonts w:hint="eastAsia"/>
              </w:rPr>
              <w:t>Hello间隔：指定接口发送Hello包的时间间隔，单位为秒。启用了OSPF协议的接口会定期发送Hello包向邻居路由器更新其状态。</w:t>
            </w:r>
          </w:p>
          <w:p w14:paraId="2EC82A9F">
            <w:pPr>
              <w:pStyle w:val="186"/>
              <w:widowControl w:val="0"/>
              <w:spacing w:line="240" w:lineRule="auto"/>
              <w:ind w:firstLine="0"/>
              <w:jc w:val="left"/>
            </w:pPr>
            <w:r>
              <w:rPr>
                <w:rFonts w:hint="eastAsia"/>
              </w:rPr>
              <w:t>重传间隔：指定接口重传LSA（链路状态通告）的时间间隔，单位为秒。</w:t>
            </w:r>
          </w:p>
          <w:p w14:paraId="5017E5A2">
            <w:pPr>
              <w:pStyle w:val="186"/>
              <w:widowControl w:val="0"/>
              <w:spacing w:line="240" w:lineRule="auto"/>
              <w:ind w:firstLine="0"/>
              <w:jc w:val="left"/>
            </w:pPr>
            <w:r>
              <w:rPr>
                <w:rFonts w:hint="eastAsia"/>
              </w:rPr>
              <w:t>Dead间隔：指定接口的相邻路由失效时间，单位为秒。如果接口在指定的Dead间隔时间内没有收到对方的Hello报文，则认为对端路由器已经失效。</w:t>
            </w:r>
          </w:p>
          <w:p w14:paraId="3FD169D1">
            <w:pPr>
              <w:pStyle w:val="186"/>
              <w:widowControl w:val="0"/>
              <w:spacing w:line="240" w:lineRule="auto"/>
              <w:ind w:firstLine="0"/>
              <w:jc w:val="left"/>
            </w:pPr>
            <w:r>
              <w:rPr>
                <w:rFonts w:hint="eastAsia"/>
              </w:rPr>
              <w:t>发送延迟：指定发送链路状态更新报文的延迟时间，单位为秒。</w:t>
            </w:r>
          </w:p>
        </w:tc>
      </w:tr>
    </w:tbl>
    <w:p w14:paraId="171D8EA5"/>
    <w:p w14:paraId="63F5FD59">
      <w:pPr>
        <w:pStyle w:val="5"/>
      </w:pPr>
      <w:bookmarkStart w:id="2069" w:name="_Toc40275964"/>
      <w:bookmarkStart w:id="2070" w:name="_Toc529430342"/>
      <w:bookmarkStart w:id="2071" w:name="_Toc99561456"/>
      <w:bookmarkStart w:id="2072" w:name="_Toc194080723"/>
      <w:bookmarkStart w:id="2073" w:name="_Toc474249975"/>
      <w:bookmarkStart w:id="2074" w:name="_Toc23152531"/>
      <w:bookmarkStart w:id="2075" w:name="_Toc15484765"/>
      <w:bookmarkStart w:id="2076" w:name="_Toc172218096"/>
      <w:bookmarkStart w:id="2077" w:name="_Toc142400910"/>
      <w:bookmarkStart w:id="2078" w:name="_Toc141873394"/>
      <w:bookmarkStart w:id="2079" w:name="_Toc196728055"/>
      <w:r>
        <w:rPr>
          <w:rFonts w:hint="eastAsia"/>
        </w:rPr>
        <w:t>OSPF配置举例</w:t>
      </w:r>
      <w:bookmarkEnd w:id="2069"/>
      <w:bookmarkEnd w:id="2070"/>
      <w:bookmarkEnd w:id="2071"/>
      <w:bookmarkEnd w:id="2072"/>
      <w:bookmarkEnd w:id="2073"/>
      <w:bookmarkEnd w:id="2074"/>
      <w:bookmarkEnd w:id="2075"/>
      <w:bookmarkEnd w:id="2076"/>
      <w:bookmarkEnd w:id="2077"/>
      <w:bookmarkEnd w:id="2078"/>
      <w:bookmarkEnd w:id="2079"/>
    </w:p>
    <w:p w14:paraId="6F051C04">
      <w:pPr>
        <w:pStyle w:val="6"/>
      </w:pPr>
      <w:r>
        <w:rPr>
          <w:rFonts w:hint="eastAsia"/>
        </w:rPr>
        <w:t>组网需求</w:t>
      </w:r>
    </w:p>
    <w:p w14:paraId="3210B9BE">
      <w:r>
        <w:rPr>
          <w:rFonts w:hint="eastAsia"/>
        </w:rPr>
        <w:t>按照</w:t>
      </w:r>
      <w:r>
        <w:rPr>
          <w:color w:val="0000FF"/>
          <w:u w:val="single"/>
        </w:rPr>
        <w:fldChar w:fldCharType="begin"/>
      </w:r>
      <w:r>
        <w:rPr>
          <w:color w:val="0000FF"/>
          <w:u w:val="single"/>
        </w:rPr>
        <w:instrText xml:space="preserve"> REF _Ref392865032 \r \h  \* MERGEFORMAT </w:instrText>
      </w:r>
      <w:r>
        <w:rPr>
          <w:color w:val="0000FF"/>
          <w:u w:val="single"/>
        </w:rPr>
        <w:fldChar w:fldCharType="separate"/>
      </w:r>
      <w:r>
        <w:rPr>
          <w:rFonts w:hint="eastAsia"/>
          <w:color w:val="0000FF"/>
          <w:u w:val="single"/>
        </w:rPr>
        <w:t>图7-21</w:t>
      </w:r>
      <w:r>
        <w:rPr>
          <w:color w:val="0000FF"/>
          <w:u w:val="single"/>
        </w:rPr>
        <w:fldChar w:fldCharType="end"/>
      </w:r>
      <w:r>
        <w:rPr>
          <w:rFonts w:hint="eastAsia"/>
        </w:rPr>
        <w:t>所示，配置IP地址，要求设备 A和设备 B上启用OSPF，设备 A设备能学到192.168.1.0/24网段的路由，设备 B能学到192.168.31.0/24网段的路由。</w:t>
      </w:r>
    </w:p>
    <w:p w14:paraId="46B28444">
      <w:pPr>
        <w:pStyle w:val="6"/>
      </w:pPr>
      <w:r>
        <w:rPr>
          <w:rFonts w:hint="eastAsia"/>
        </w:rPr>
        <w:t>组网图</w:t>
      </w:r>
    </w:p>
    <w:p w14:paraId="4989012A">
      <w:pPr>
        <w:pStyle w:val="188"/>
      </w:pPr>
      <w:bookmarkStart w:id="2080" w:name="_Toc141874591"/>
      <w:bookmarkStart w:id="2081" w:name="_Ref392865032"/>
      <w:r>
        <w:rPr>
          <w:rFonts w:hint="eastAsia"/>
        </w:rPr>
        <w:t>OSPF配置案例组网图</w:t>
      </w:r>
      <w:bookmarkEnd w:id="2080"/>
      <w:bookmarkEnd w:id="2081"/>
    </w:p>
    <w:p w14:paraId="27FE87A5">
      <w:r>
        <w:drawing>
          <wp:inline distT="0" distB="0" distL="0" distR="0">
            <wp:extent cx="3943350" cy="2060575"/>
            <wp:effectExtent l="0" t="0" r="0" b="0"/>
            <wp:docPr id="1338" name="图片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 name="图片 1338"/>
                    <pic:cNvPicPr>
                      <a:picLocks noChangeAspect="1"/>
                    </pic:cNvPicPr>
                  </pic:nvPicPr>
                  <pic:blipFill>
                    <a:blip r:embed="rId265"/>
                    <a:stretch>
                      <a:fillRect/>
                    </a:stretch>
                  </pic:blipFill>
                  <pic:spPr>
                    <a:xfrm>
                      <a:off x="0" y="0"/>
                      <a:ext cx="4005295" cy="2093220"/>
                    </a:xfrm>
                    <a:prstGeom prst="rect">
                      <a:avLst/>
                    </a:prstGeom>
                  </pic:spPr>
                </pic:pic>
              </a:graphicData>
            </a:graphic>
          </wp:inline>
        </w:drawing>
      </w:r>
    </w:p>
    <w:p w14:paraId="6AA6812E"/>
    <w:p w14:paraId="10B6C36A">
      <w:pPr>
        <w:pStyle w:val="6"/>
      </w:pPr>
      <w:r>
        <w:rPr>
          <w:rFonts w:hint="eastAsia"/>
        </w:rPr>
        <w:t>配置步骤</w:t>
      </w:r>
    </w:p>
    <w:p w14:paraId="4E737D18">
      <w:pPr>
        <w:pStyle w:val="202"/>
      </w:pPr>
      <w:r>
        <w:rPr>
          <w:rFonts w:hint="eastAsia"/>
        </w:rPr>
        <w:t>按照组网图组网。</w:t>
      </w:r>
    </w:p>
    <w:p w14:paraId="3F92D56A">
      <w:pPr>
        <w:pStyle w:val="202"/>
      </w:pPr>
      <w:r>
        <w:rPr>
          <w:rFonts w:hint="eastAsia"/>
        </w:rPr>
        <w:t>配置</w:t>
      </w:r>
      <w:r>
        <w:t>设备 A</w:t>
      </w:r>
      <w:r>
        <w:rPr>
          <w:rFonts w:hint="eastAsia"/>
        </w:rPr>
        <w:t>。</w:t>
      </w:r>
    </w:p>
    <w:p w14:paraId="7F121939">
      <w:r>
        <w:rPr>
          <w:rFonts w:hint="eastAsia"/>
        </w:rPr>
        <w:t>通过菜单“网络配置 &gt; 路由管理 &gt; OSPF配置”，进入OSPF配置页面，设置相关数据，点击&lt;提交&gt;。</w:t>
      </w:r>
    </w:p>
    <w:p w14:paraId="745E981D">
      <w:pPr>
        <w:pStyle w:val="188"/>
      </w:pPr>
      <w:bookmarkStart w:id="2082" w:name="_Toc141874592"/>
      <w:r>
        <w:rPr>
          <w:rFonts w:hint="eastAsia"/>
        </w:rPr>
        <w:t>OSPF配置</w:t>
      </w:r>
      <w:bookmarkEnd w:id="2082"/>
    </w:p>
    <w:p w14:paraId="6BFE8CD7">
      <w:r>
        <w:drawing>
          <wp:inline distT="0" distB="0" distL="114300" distR="114300">
            <wp:extent cx="4791075" cy="2078355"/>
            <wp:effectExtent l="0" t="0" r="0" b="0"/>
            <wp:docPr id="29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4" name="图片 8"/>
                    <pic:cNvPicPr>
                      <a:picLocks noChangeAspect="1"/>
                    </pic:cNvPicPr>
                  </pic:nvPicPr>
                  <pic:blipFill>
                    <a:blip r:embed="rId266"/>
                    <a:srcRect b="8889"/>
                    <a:stretch>
                      <a:fillRect/>
                    </a:stretch>
                  </pic:blipFill>
                  <pic:spPr>
                    <a:xfrm>
                      <a:off x="0" y="0"/>
                      <a:ext cx="4797555" cy="2081771"/>
                    </a:xfrm>
                    <a:prstGeom prst="rect">
                      <a:avLst/>
                    </a:prstGeom>
                    <a:noFill/>
                    <a:ln>
                      <a:noFill/>
                    </a:ln>
                  </pic:spPr>
                </pic:pic>
              </a:graphicData>
            </a:graphic>
          </wp:inline>
        </w:drawing>
      </w:r>
    </w:p>
    <w:p w14:paraId="1F6DFB22">
      <w:r>
        <w:rPr>
          <w:rFonts w:hint="eastAsia"/>
        </w:rPr>
        <w:t>点击“OSPF网络”，点击新建，配置OSPF网络相关信息，并点击&lt;提交&gt;按钮。</w:t>
      </w:r>
    </w:p>
    <w:p w14:paraId="594817E6">
      <w:pPr>
        <w:pStyle w:val="188"/>
      </w:pPr>
      <w:bookmarkStart w:id="2083" w:name="_Toc141874593"/>
      <w:r>
        <w:rPr>
          <w:rFonts w:hint="eastAsia"/>
        </w:rPr>
        <w:t>配置RIP网络</w:t>
      </w:r>
      <w:bookmarkEnd w:id="2083"/>
    </w:p>
    <w:p w14:paraId="3DC9B682">
      <w:r>
        <w:drawing>
          <wp:inline distT="0" distB="0" distL="114300" distR="114300">
            <wp:extent cx="4513580" cy="1295400"/>
            <wp:effectExtent l="0" t="0" r="1270" b="0"/>
            <wp:docPr id="98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图片 67"/>
                    <pic:cNvPicPr>
                      <a:picLocks noChangeAspect="1"/>
                    </pic:cNvPicPr>
                  </pic:nvPicPr>
                  <pic:blipFill>
                    <a:blip r:embed="rId267"/>
                    <a:srcRect b="17275"/>
                    <a:stretch>
                      <a:fillRect/>
                    </a:stretch>
                  </pic:blipFill>
                  <pic:spPr>
                    <a:xfrm>
                      <a:off x="0" y="0"/>
                      <a:ext cx="4523125" cy="1298077"/>
                    </a:xfrm>
                    <a:prstGeom prst="rect">
                      <a:avLst/>
                    </a:prstGeom>
                    <a:noFill/>
                    <a:ln>
                      <a:noFill/>
                    </a:ln>
                  </pic:spPr>
                </pic:pic>
              </a:graphicData>
            </a:graphic>
          </wp:inline>
        </w:drawing>
      </w:r>
    </w:p>
    <w:p w14:paraId="7E6B7EE7">
      <w:r>
        <w:rPr>
          <w:rFonts w:hint="eastAsia"/>
        </w:rPr>
        <w:t>选择“</w:t>
      </w:r>
      <w:r>
        <w:t>OSPF</w:t>
      </w:r>
      <w:r>
        <w:rPr>
          <w:rFonts w:hint="eastAsia"/>
        </w:rPr>
        <w:t>接口”页签，参考下图进行配置，并点击&lt;提交&gt;。</w:t>
      </w:r>
    </w:p>
    <w:p w14:paraId="7CF05069">
      <w:pPr>
        <w:pStyle w:val="175"/>
        <w:rPr>
          <w:rFonts w:cs="Cambria"/>
        </w:rPr>
      </w:pPr>
      <w:r>
        <w:drawing>
          <wp:inline distT="0" distB="0" distL="114300" distR="114300">
            <wp:extent cx="5095875" cy="3004820"/>
            <wp:effectExtent l="0" t="0" r="0" b="5080"/>
            <wp:docPr id="98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图片 68"/>
                    <pic:cNvPicPr>
                      <a:picLocks noChangeAspect="1"/>
                    </pic:cNvPicPr>
                  </pic:nvPicPr>
                  <pic:blipFill>
                    <a:blip r:embed="rId268"/>
                    <a:stretch>
                      <a:fillRect/>
                    </a:stretch>
                  </pic:blipFill>
                  <pic:spPr>
                    <a:xfrm>
                      <a:off x="0" y="0"/>
                      <a:ext cx="5099006" cy="3006963"/>
                    </a:xfrm>
                    <a:prstGeom prst="rect">
                      <a:avLst/>
                    </a:prstGeom>
                    <a:noFill/>
                    <a:ln>
                      <a:noFill/>
                    </a:ln>
                  </pic:spPr>
                </pic:pic>
              </a:graphicData>
            </a:graphic>
          </wp:inline>
        </w:drawing>
      </w:r>
    </w:p>
    <w:p w14:paraId="2A49CCF3"/>
    <w:p w14:paraId="6C48430B">
      <w:pPr>
        <w:pStyle w:val="202"/>
      </w:pPr>
      <w:r>
        <w:rPr>
          <w:rFonts w:hint="eastAsia"/>
        </w:rPr>
        <w:t>配置</w:t>
      </w:r>
      <w:r>
        <w:t>设备 B</w:t>
      </w:r>
    </w:p>
    <w:p w14:paraId="2B40E2C0">
      <w:r>
        <w:rPr>
          <w:rFonts w:hint="eastAsia"/>
        </w:rPr>
        <w:t>设备 B的配置方式与设备 A相同，在此不再赘述。</w:t>
      </w:r>
    </w:p>
    <w:p w14:paraId="7347AD00">
      <w:pPr>
        <w:pStyle w:val="6"/>
      </w:pPr>
      <w:r>
        <w:rPr>
          <w:rFonts w:hint="eastAsia"/>
        </w:rPr>
        <w:t>验证配置</w:t>
      </w:r>
    </w:p>
    <w:p w14:paraId="1FC4BD42">
      <w:r>
        <w:rPr>
          <w:rFonts w:hint="eastAsia"/>
        </w:rPr>
        <w:t>在</w:t>
      </w:r>
      <w:r>
        <w:t>Host</w:t>
      </w:r>
      <w:r>
        <w:rPr>
          <w:rFonts w:hint="eastAsia"/>
        </w:rPr>
        <w:t xml:space="preserve"> A上使用ping命令验证</w:t>
      </w:r>
      <w:r>
        <w:t xml:space="preserve">Host </w:t>
      </w:r>
      <w:r>
        <w:rPr>
          <w:rFonts w:hint="eastAsia"/>
        </w:rPr>
        <w:t>B可达。</w:t>
      </w:r>
    </w:p>
    <w:p w14:paraId="599D41F3">
      <w:r>
        <w:br w:type="page"/>
      </w:r>
    </w:p>
    <w:p w14:paraId="00F7F13B">
      <w:pPr>
        <w:pStyle w:val="4"/>
      </w:pPr>
      <w:bookmarkStart w:id="2084" w:name="_Toc57897224"/>
      <w:bookmarkStart w:id="2085" w:name="_Toc66983711"/>
      <w:bookmarkStart w:id="2086" w:name="_Toc141873395"/>
      <w:bookmarkStart w:id="2087" w:name="_Toc172218097"/>
      <w:bookmarkStart w:id="2088" w:name="_Toc142400911"/>
      <w:bookmarkStart w:id="2089" w:name="_Toc194080724"/>
      <w:bookmarkStart w:id="2090" w:name="_Toc196728056"/>
      <w:bookmarkStart w:id="2091" w:name="_Toc99561457"/>
      <w:r>
        <w:rPr>
          <w:rFonts w:hint="eastAsia"/>
        </w:rPr>
        <w:t>OSPF</w:t>
      </w:r>
      <w:bookmarkEnd w:id="2084"/>
      <w:bookmarkEnd w:id="2085"/>
      <w:r>
        <w:t>6</w:t>
      </w:r>
      <w:bookmarkEnd w:id="2086"/>
      <w:bookmarkEnd w:id="2087"/>
      <w:bookmarkEnd w:id="2088"/>
      <w:bookmarkEnd w:id="2089"/>
      <w:bookmarkEnd w:id="2090"/>
      <w:bookmarkEnd w:id="2091"/>
    </w:p>
    <w:p w14:paraId="42EE11C4">
      <w:pPr>
        <w:pStyle w:val="5"/>
      </w:pPr>
      <w:bookmarkStart w:id="2092" w:name="_Toc99561458"/>
      <w:bookmarkStart w:id="2093" w:name="_Toc66983712"/>
      <w:bookmarkStart w:id="2094" w:name="_Toc141873396"/>
      <w:bookmarkStart w:id="2095" w:name="_Toc172218098"/>
      <w:bookmarkStart w:id="2096" w:name="_Toc142400912"/>
      <w:bookmarkStart w:id="2097" w:name="_Toc194080725"/>
      <w:bookmarkStart w:id="2098" w:name="_Toc196728057"/>
      <w:bookmarkStart w:id="2099" w:name="_Toc57897225"/>
      <w:r>
        <w:rPr>
          <w:rFonts w:hint="eastAsia"/>
        </w:rPr>
        <w:t>简介</w:t>
      </w:r>
      <w:bookmarkEnd w:id="2092"/>
      <w:bookmarkEnd w:id="2093"/>
      <w:bookmarkEnd w:id="2094"/>
      <w:bookmarkEnd w:id="2095"/>
      <w:bookmarkEnd w:id="2096"/>
      <w:bookmarkEnd w:id="2097"/>
      <w:bookmarkEnd w:id="2098"/>
      <w:bookmarkEnd w:id="2099"/>
    </w:p>
    <w:p w14:paraId="422C61EC">
      <w:r>
        <w:t>OSPFv3</w:t>
      </w:r>
      <w:r>
        <w:rPr>
          <w:rFonts w:hint="eastAsia"/>
        </w:rPr>
        <w:t>是运行于</w:t>
      </w:r>
      <w:r>
        <w:t>IPv6</w:t>
      </w:r>
      <w:r>
        <w:rPr>
          <w:rFonts w:hint="eastAsia"/>
        </w:rPr>
        <w:t>的</w:t>
      </w:r>
      <w:r>
        <w:t>OSPF</w:t>
      </w:r>
      <w:r>
        <w:rPr>
          <w:rFonts w:hint="eastAsia"/>
        </w:rPr>
        <w:t>路由协议（</w:t>
      </w:r>
      <w:r>
        <w:t>RFC2740</w:t>
      </w:r>
      <w:r>
        <w:rPr>
          <w:rFonts w:hint="eastAsia"/>
        </w:rPr>
        <w:t>），它在</w:t>
      </w:r>
      <w:r>
        <w:t>OSPFv2</w:t>
      </w:r>
      <w:r>
        <w:rPr>
          <w:rFonts w:hint="eastAsia"/>
        </w:rPr>
        <w:t>基础上进行了增强，是一个独立的路由协议。</w:t>
      </w:r>
    </w:p>
    <w:p w14:paraId="3BB5783F">
      <w:r>
        <w:rPr>
          <w:rFonts w:hint="eastAsia"/>
        </w:rPr>
        <w:t>OSPFv3在Hello报文、状态机、LSDB、洪泛机制和路由计算等方面的工作原理和OSPFv2保持一致。</w:t>
      </w:r>
    </w:p>
    <w:p w14:paraId="3BD2D6BD">
      <w:r>
        <w:rPr>
          <w:rFonts w:hint="eastAsia"/>
        </w:rPr>
        <w:t>OSPFv3协议把自治系统划分成逻辑意义上的一个或多个区域，通过LSA（Link State Advertisement）的形式发布路由</w:t>
      </w:r>
    </w:p>
    <w:p w14:paraId="2284DFF0">
      <w:r>
        <w:rPr>
          <w:rFonts w:hint="eastAsia"/>
        </w:rPr>
        <w:t>OSPFv3依靠在OSPFv3区域内各路由器交互OSPFv3报文来达到路由信息的统一。</w:t>
      </w:r>
    </w:p>
    <w:p w14:paraId="5E8FB468">
      <w:r>
        <w:rPr>
          <w:rFonts w:hint="eastAsia"/>
        </w:rPr>
        <w:t>OSPFv3报文封装在IPv6报文内，可以采用单播和组播的形式发送。</w:t>
      </w:r>
    </w:p>
    <w:p w14:paraId="329AA22C"/>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397862B4">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52B837D2">
            <w:pPr>
              <w:pStyle w:val="150"/>
              <w:adjustRightInd w:val="0"/>
              <w:snapToGrid w:val="0"/>
              <w:rPr>
                <w:color w:val="auto"/>
              </w:rPr>
            </w:pPr>
            <w:r>
              <w:rPr>
                <w:b/>
                <w:color w:val="auto"/>
              </w:rPr>
              <w:drawing>
                <wp:inline distT="0" distB="0" distL="0" distR="0">
                  <wp:extent cx="283210" cy="283210"/>
                  <wp:effectExtent l="0" t="0" r="2540" b="254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095C6AC3">
            <w:pPr>
              <w:pStyle w:val="150"/>
              <w:adjustRightInd w:val="0"/>
              <w:snapToGrid w:val="0"/>
              <w:rPr>
                <w:color w:val="auto"/>
              </w:rPr>
            </w:pPr>
            <w:r>
              <w:rPr>
                <w:rFonts w:hint="eastAsia"/>
                <w:color w:val="auto"/>
              </w:rPr>
              <w:t>本章所介绍的配置都是指OSPF version 3。</w:t>
            </w:r>
          </w:p>
        </w:tc>
      </w:tr>
    </w:tbl>
    <w:p w14:paraId="7ACBDF96"/>
    <w:p w14:paraId="714C33B2">
      <w:pPr>
        <w:pStyle w:val="5"/>
      </w:pPr>
      <w:bookmarkStart w:id="2100" w:name="_Toc57897226"/>
      <w:bookmarkStart w:id="2101" w:name="_Toc194080726"/>
      <w:bookmarkStart w:id="2102" w:name="_Toc66983713"/>
      <w:bookmarkStart w:id="2103" w:name="_Toc99561459"/>
      <w:bookmarkStart w:id="2104" w:name="_Toc142400913"/>
      <w:bookmarkStart w:id="2105" w:name="_Toc172218099"/>
      <w:bookmarkStart w:id="2106" w:name="_Toc196728058"/>
      <w:bookmarkStart w:id="2107" w:name="_Toc141873397"/>
      <w:r>
        <w:rPr>
          <w:rFonts w:hint="eastAsia"/>
        </w:rPr>
        <w:t>OSPFv</w:t>
      </w:r>
      <w:r>
        <w:t>6</w:t>
      </w:r>
      <w:r>
        <w:rPr>
          <w:rFonts w:hint="eastAsia"/>
        </w:rPr>
        <w:t>的特点</w:t>
      </w:r>
      <w:bookmarkEnd w:id="2100"/>
      <w:bookmarkEnd w:id="2101"/>
      <w:bookmarkEnd w:id="2102"/>
      <w:bookmarkEnd w:id="2103"/>
      <w:bookmarkEnd w:id="2104"/>
      <w:bookmarkEnd w:id="2105"/>
      <w:bookmarkEnd w:id="2106"/>
      <w:bookmarkEnd w:id="2107"/>
    </w:p>
    <w:p w14:paraId="136818F8">
      <w:r>
        <w:rPr>
          <w:rFonts w:hint="eastAsia"/>
        </w:rPr>
        <w:t>OSPF是一种链路状态路由协议。它具有标准开放、收敛迅速、无环路、便于层级化设计等众多优点。IPv4网络中广泛使用的OSPFv2协议由于在报文内</w:t>
      </w:r>
      <w:r>
        <w:t xml:space="preserve"> </w:t>
      </w:r>
      <w:r>
        <w:rPr>
          <w:rFonts w:hint="eastAsia"/>
        </w:rPr>
        <w:t>容、运行机制等方面与IPv4地址联系得过于紧密，大大制约了它的可扩展性和适应性。在IPv6环境中，为了使OSPF更好的应用，同时保留原有的众多优点，因此，在OSPFv2的基础上作了多方面的修改后产生了OSPFv3协议。</w:t>
      </w:r>
    </w:p>
    <w:p w14:paraId="1B92ABC0">
      <w:r>
        <w:rPr>
          <w:rFonts w:hint="eastAsia"/>
        </w:rPr>
        <w:t>OSPFv3相比OSPFv2作出的改进可以分为几个方面来描述。</w:t>
      </w:r>
    </w:p>
    <w:p w14:paraId="64D3AD6E">
      <w:pPr>
        <w:pStyle w:val="6"/>
      </w:pPr>
      <w:bookmarkStart w:id="2108" w:name="_Toc66983714"/>
      <w:r>
        <w:rPr>
          <w:rFonts w:hint="eastAsia"/>
        </w:rPr>
        <w:t>OSPFv</w:t>
      </w:r>
      <w:r>
        <w:t>6</w:t>
      </w:r>
      <w:r>
        <w:rPr>
          <w:rFonts w:hint="eastAsia"/>
        </w:rPr>
        <w:t>独立于网络协议</w:t>
      </w:r>
      <w:bookmarkEnd w:id="2108"/>
    </w:p>
    <w:p w14:paraId="27B13625">
      <w:pPr>
        <w:pStyle w:val="176"/>
        <w:spacing w:before="156" w:after="156"/>
      </w:pPr>
      <w:r>
        <w:rPr>
          <w:rFonts w:hint="eastAsia"/>
        </w:rPr>
        <w:t>OSPFv3基于链路运行</w:t>
      </w:r>
    </w:p>
    <w:p w14:paraId="5476F378">
      <w:r>
        <w:rPr>
          <w:rFonts w:hint="eastAsia"/>
        </w:rPr>
        <w:t>OSPFv2协议是基于子网运行的，邻居之间形成邻接关系的必要条件之一就是两端的IP地址属于同一网段而且掩码相同。而OSPFv3协议基于链路运行，与具体的IPv6地址、前缀分离开，</w:t>
      </w:r>
      <w:r>
        <w:rPr>
          <w:rFonts w:hint="eastAsia"/>
          <w:shd w:val="clear" w:color="auto" w:fill="FFFFFF"/>
        </w:rPr>
        <w:t>即使同一链路上的不同节点具有不同网段的IPv6地址时，协议也可以正常运行</w:t>
      </w:r>
      <w:r>
        <w:rPr>
          <w:rFonts w:hint="eastAsia"/>
        </w:rPr>
        <w:t>。</w:t>
      </w:r>
    </w:p>
    <w:p w14:paraId="72672E1D">
      <w:pPr>
        <w:pStyle w:val="176"/>
        <w:spacing w:before="156" w:after="156"/>
      </w:pPr>
      <w:r>
        <w:rPr>
          <w:rFonts w:hint="eastAsia"/>
        </w:rPr>
        <w:t>编址性语义的取消</w:t>
      </w:r>
    </w:p>
    <w:p w14:paraId="7B610179">
      <w:r>
        <w:rPr>
          <w:rFonts w:hint="eastAsia"/>
        </w:rPr>
        <w:t>在OSPFv2中，协议分组和LSA中的许多字段都是来自于网络上的某个IP地址、掩码或某个IP子网号。报文的数据内容决定了OSPFv2的多种机制必须基于IPv4来进行，包括邻居路由器标识、邻居建立等等。</w:t>
      </w:r>
    </w:p>
    <w:p w14:paraId="5382715F">
      <w:r>
        <w:rPr>
          <w:rFonts w:hint="eastAsia"/>
        </w:rPr>
        <w:t>在OSPFv3中取消了这些编址性语义，而只保留协议运行必须的核心内容。比如，</w:t>
      </w:r>
      <w:r>
        <w:rPr>
          <w:rFonts w:hint="eastAsia"/>
          <w:shd w:val="clear" w:color="auto" w:fill="FFFFFF"/>
        </w:rPr>
        <w:t>Router-LSA和Network-LSA中不再包含网络地址，而只用于传递拓扑信息</w:t>
      </w:r>
      <w:r>
        <w:rPr>
          <w:rFonts w:hint="eastAsia"/>
        </w:rPr>
        <w:t>；LSA的Link</w:t>
      </w:r>
      <w:r>
        <w:t xml:space="preserve"> State </w:t>
      </w:r>
      <w:r>
        <w:rPr>
          <w:rFonts w:hint="eastAsia"/>
        </w:rPr>
        <w:t>ID依然保留32位长度的IPv4地址格式，但只是一个编号，不再包含地址信息；邻居路由器，包括DR和BDR，都是用Router</w:t>
      </w:r>
      <w:r>
        <w:t xml:space="preserve"> </w:t>
      </w:r>
      <w:r>
        <w:rPr>
          <w:rFonts w:hint="eastAsia"/>
        </w:rPr>
        <w:t>ID来标识。这些保证了OSPFv3协议能够独立于网络协议运行。</w:t>
      </w:r>
    </w:p>
    <w:p w14:paraId="4E443170">
      <w:pPr>
        <w:pStyle w:val="176"/>
        <w:spacing w:before="156" w:after="156"/>
      </w:pPr>
      <w:r>
        <w:rPr>
          <w:rFonts w:hint="eastAsia"/>
        </w:rPr>
        <w:t>链路本地地址的使用</w:t>
      </w:r>
    </w:p>
    <w:p w14:paraId="29296D0E">
      <w:r>
        <w:rPr>
          <w:rFonts w:hint="eastAsia"/>
        </w:rPr>
        <w:t>OSPFv2协议要求，每一个运行OSPF的接口都必须有一个全局的IPv4地址，即使是在网络中仅仅用于传输转发的中间节点也必须如此，协议的运行和路</w:t>
      </w:r>
      <w:r>
        <w:t xml:space="preserve"> </w:t>
      </w:r>
      <w:r>
        <w:rPr>
          <w:rFonts w:hint="eastAsia"/>
        </w:rPr>
        <w:t>由的计算都依赖于这个地址。而在IPv6中，每个接口都会分配本地链路地址（link-local</w:t>
      </w:r>
      <w:r>
        <w:t xml:space="preserve"> </w:t>
      </w:r>
      <w:r>
        <w:rPr>
          <w:rFonts w:hint="eastAsia"/>
        </w:rPr>
        <w:t>address），这个地址只在本地链路有效，并不会在整个网络中传播。OSPFv3使用这个本地链路地址作为协议分组发送的源地址（虚连接除外）和路由</w:t>
      </w:r>
      <w:r>
        <w:t xml:space="preserve"> </w:t>
      </w:r>
      <w:r>
        <w:rPr>
          <w:rFonts w:hint="eastAsia"/>
        </w:rPr>
        <w:t>的下一跳，在网络规划时就不需要在大量的中间节点规划子网，同样也不需要专门配置IPv6地址。这样，一方面可以节省大量的全局地址，另一方面可以说协议的运行独立于IPv6，可以方便的对协议进行扩展，实现组播选路等其他的功能。</w:t>
      </w:r>
    </w:p>
    <w:p w14:paraId="354983FC">
      <w:pPr>
        <w:pStyle w:val="176"/>
        <w:spacing w:before="156" w:after="156"/>
      </w:pPr>
      <w:r>
        <w:rPr>
          <w:rFonts w:hint="eastAsia"/>
        </w:rPr>
        <w:t>使用专门的LSA来发布路由前缀信息</w:t>
      </w:r>
    </w:p>
    <w:p w14:paraId="6059227A">
      <w:r>
        <w:rPr>
          <w:rFonts w:hint="eastAsia"/>
        </w:rPr>
        <w:t>OSPFv2通过Router-LSA和Network-LSA来发布区域内的路由信息和计算拓扑，所以OSPFv2的拓扑结构与IPv4网络信息是密不可分的。为了改变这种状况，在OSPFv3中，Router-LSA和Network-LSA中仅保留拓扑信息；同时增加了Intra-Area-Prefix-LSA和Link-LSA，分别用于传递区域内路由前缀和传递链路范围内的IPv6前缀。拓扑信息与前缀信息的分离，使得OSPFv3的运行更加独立于网络协议。</w:t>
      </w:r>
    </w:p>
    <w:p w14:paraId="568C8A8B">
      <w:pPr>
        <w:pStyle w:val="6"/>
      </w:pPr>
      <w:bookmarkStart w:id="2109" w:name="_Toc66983715"/>
      <w:r>
        <w:rPr>
          <w:rFonts w:hint="eastAsia"/>
        </w:rPr>
        <w:t>OSPFv3的结构更加清晰</w:t>
      </w:r>
      <w:bookmarkEnd w:id="2109"/>
    </w:p>
    <w:p w14:paraId="68ABE9BC">
      <w:pPr>
        <w:pStyle w:val="176"/>
        <w:spacing w:before="156" w:after="156"/>
      </w:pPr>
      <w:r>
        <w:rPr>
          <w:rFonts w:hint="eastAsia"/>
        </w:rPr>
        <w:t>OSPFv3取消了协议报文的验证字段</w:t>
      </w:r>
    </w:p>
    <w:p w14:paraId="2632B913">
      <w:r>
        <w:rPr>
          <w:rFonts w:hint="eastAsia"/>
        </w:rPr>
        <w:t>在OSPFv2中使用了专门的验证字段。而在OSPFv3中使用IPv6标准的验证方式（IP AH和IP ESP）来保证信息传递的安全性，这样一来，既减轻了协议开销，也在一定程度上简化了协议处理流程。</w:t>
      </w:r>
    </w:p>
    <w:p w14:paraId="02F2D756">
      <w:pPr>
        <w:pStyle w:val="176"/>
        <w:spacing w:before="156" w:after="156"/>
      </w:pPr>
      <w:r>
        <w:rPr>
          <w:rFonts w:hint="eastAsia"/>
        </w:rPr>
        <w:t>OSPFv3更加明确了LSA泛洪范围</w:t>
      </w:r>
    </w:p>
    <w:p w14:paraId="393BB205">
      <w:r>
        <w:rPr>
          <w:rFonts w:hint="eastAsia"/>
        </w:rPr>
        <w:t>在OSPFv3中，明确了LSA泛洪的三种范围：本地链路范围（Link-local scope）、区域范围（Area scope）、AS范围（AS scope），并且在LS_Type中增加了专门的字段进行说明。因此，OSPFv3协议在处理LSA泛洪时不再像OSPFv2中需要根据不同的LSA类型来判断LSA泛洪的范围，而是直接根据专门的字段进行处理就可以了。</w:t>
      </w:r>
    </w:p>
    <w:p w14:paraId="42293100">
      <w:pPr>
        <w:pStyle w:val="6"/>
      </w:pPr>
      <w:bookmarkStart w:id="2110" w:name="_Toc66983716"/>
      <w:r>
        <w:rPr>
          <w:rFonts w:hint="eastAsia"/>
        </w:rPr>
        <w:t>OSPFv3的可扩展性和适应性更佳</w:t>
      </w:r>
      <w:bookmarkEnd w:id="2110"/>
    </w:p>
    <w:p w14:paraId="4149ACE9">
      <w:pPr>
        <w:pStyle w:val="176"/>
        <w:spacing w:before="156" w:after="156"/>
      </w:pPr>
      <w:r>
        <w:rPr>
          <w:rFonts w:hint="eastAsia"/>
        </w:rPr>
        <w:t>OSPFv3支持多实例</w:t>
      </w:r>
    </w:p>
    <w:p w14:paraId="427B2D4D">
      <w:r>
        <w:rPr>
          <w:rFonts w:hint="eastAsia"/>
        </w:rPr>
        <w:t>OSPFv2协议规定，不同的实例必须运行在不同的链路上。OSPFv3协议则提供了对多实例的明确支持，通过在协议报文中增加“instance ID”字段，同时规定，接收报文时对该字段进行判断，只有实例号匹配的报文才会处理，否则丢弃。这样，即使是在同一链路上也可以运行多个OSPF实例了，而且独立运行不会互相影响。</w:t>
      </w:r>
    </w:p>
    <w:p w14:paraId="0A85C7D4">
      <w:pPr>
        <w:pStyle w:val="176"/>
        <w:spacing w:before="156" w:after="156"/>
      </w:pPr>
      <w:r>
        <w:rPr>
          <w:rFonts w:hint="eastAsia"/>
        </w:rPr>
        <w:t>对未知类型LSA的处理</w:t>
      </w:r>
    </w:p>
    <w:p w14:paraId="494FD639">
      <w:r>
        <w:rPr>
          <w:rFonts w:hint="eastAsia"/>
        </w:rPr>
        <w:t>在OSPFv2中，当路由器收到自己不支持的LSA时，仅仅是作简单的丢弃处理。这样，当能力不同的路由器混合组网时，整个网络的处理能力就会受限于能力最低的路由器。最为突出的是在广播（或NBMA）网络中，如果DR不支持可选类型的LSA，则DR不能处理的LSA就不能在非DR路由器之间交互了。</w:t>
      </w:r>
    </w:p>
    <w:p w14:paraId="16DA2A1E">
      <w:r>
        <w:rPr>
          <w:rFonts w:hint="eastAsia"/>
        </w:rPr>
        <w:t>在OSPFv3中，对未知类型的LSA的处理作了新的规定：根据LSA中特定字段来进行判断，可以将其泛洪范围限定在本地链路范围内，也可以将其当作已知类型的LSA，根据其中的“泛洪范围”字段发送出去。这样一来，即使网络中某些路由器的能力有限也不会影响某些特殊LSA的传播，从而具备了更好的适应性。</w:t>
      </w:r>
    </w:p>
    <w:p w14:paraId="4A8E7978">
      <w:pPr>
        <w:pStyle w:val="5"/>
      </w:pPr>
      <w:bookmarkStart w:id="2111" w:name="_Toc141873398"/>
      <w:bookmarkStart w:id="2112" w:name="_Toc172218100"/>
      <w:bookmarkStart w:id="2113" w:name="_Toc142400914"/>
      <w:bookmarkStart w:id="2114" w:name="_Toc194080727"/>
      <w:bookmarkStart w:id="2115" w:name="_Toc57897296"/>
      <w:bookmarkStart w:id="2116" w:name="_Toc196728059"/>
      <w:bookmarkStart w:id="2117" w:name="_Toc66983717"/>
      <w:bookmarkStart w:id="2118" w:name="_Toc99561460"/>
      <w:r>
        <w:rPr>
          <w:rFonts w:hint="eastAsia"/>
        </w:rPr>
        <w:t>OSPFv</w:t>
      </w:r>
      <w:r>
        <w:t>6</w:t>
      </w:r>
      <w:r>
        <w:rPr>
          <w:rFonts w:hint="eastAsia"/>
        </w:rPr>
        <w:t>配置</w:t>
      </w:r>
      <w:bookmarkEnd w:id="2111"/>
      <w:bookmarkEnd w:id="2112"/>
      <w:bookmarkEnd w:id="2113"/>
      <w:bookmarkEnd w:id="2114"/>
      <w:bookmarkEnd w:id="2115"/>
      <w:bookmarkEnd w:id="2116"/>
      <w:bookmarkEnd w:id="2117"/>
      <w:bookmarkEnd w:id="2118"/>
    </w:p>
    <w:p w14:paraId="56D6CFC0">
      <w:r>
        <w:rPr>
          <w:rFonts w:hint="eastAsia"/>
        </w:rPr>
        <w:t>通过菜单“网络配置 &gt; 路由管理 &gt; OSPF6信息”，进入如</w:t>
      </w:r>
      <w:r>
        <w:fldChar w:fldCharType="begin"/>
      </w:r>
      <w:r>
        <w:instrText xml:space="preserve"> </w:instrText>
      </w:r>
      <w:r>
        <w:rPr>
          <w:rFonts w:hint="eastAsia"/>
        </w:rPr>
        <w:instrText xml:space="preserve">REF _Ref66983722 \r \h</w:instrText>
      </w:r>
      <w:r>
        <w:instrText xml:space="preserve"> </w:instrText>
      </w:r>
      <w:r>
        <w:fldChar w:fldCharType="separate"/>
      </w:r>
      <w:r>
        <w:rPr>
          <w:rFonts w:hint="eastAsia"/>
        </w:rPr>
        <w:t>图7-24</w:t>
      </w:r>
      <w:r>
        <w:fldChar w:fldCharType="end"/>
      </w:r>
      <w:r>
        <w:rPr>
          <w:rFonts w:hint="eastAsia"/>
        </w:rPr>
        <w:t>所示页面。在</w:t>
      </w:r>
      <w:r>
        <w:t>该页面上，</w:t>
      </w:r>
      <w:r>
        <w:rPr>
          <w:rFonts w:hint="eastAsia"/>
        </w:rPr>
        <w:t>可以配置OSPF6路由器ID、是否路由重发布信息。这些信息的详细说明如</w:t>
      </w:r>
      <w:r>
        <w:fldChar w:fldCharType="begin"/>
      </w:r>
      <w:r>
        <w:instrText xml:space="preserve"> </w:instrText>
      </w:r>
      <w:r>
        <w:rPr>
          <w:rFonts w:hint="eastAsia"/>
        </w:rPr>
        <w:instrText xml:space="preserve">REF _Ref66983754 \r \h</w:instrText>
      </w:r>
      <w:r>
        <w:instrText xml:space="preserve"> </w:instrText>
      </w:r>
      <w:r>
        <w:fldChar w:fldCharType="separate"/>
      </w:r>
      <w:r>
        <w:rPr>
          <w:rFonts w:hint="eastAsia"/>
        </w:rPr>
        <w:t>表7-1</w:t>
      </w:r>
      <w:r>
        <w:fldChar w:fldCharType="end"/>
      </w:r>
      <w:r>
        <w:rPr>
          <w:rFonts w:hint="eastAsia"/>
        </w:rPr>
        <w:t>所示。</w:t>
      </w:r>
    </w:p>
    <w:p w14:paraId="09ECECD1">
      <w:pPr>
        <w:pStyle w:val="188"/>
      </w:pPr>
      <w:bookmarkStart w:id="2119" w:name="_Ref66983722"/>
      <w:bookmarkStart w:id="2120" w:name="_Toc141874594"/>
      <w:r>
        <w:rPr>
          <w:rFonts w:hint="eastAsia"/>
        </w:rPr>
        <w:t>OSPF6配置</w:t>
      </w:r>
      <w:bookmarkEnd w:id="2119"/>
      <w:bookmarkEnd w:id="2120"/>
    </w:p>
    <w:p w14:paraId="6145CF43">
      <w:r>
        <w:drawing>
          <wp:inline distT="0" distB="0" distL="114300" distR="114300">
            <wp:extent cx="5400040" cy="1804035"/>
            <wp:effectExtent l="0" t="0" r="0" b="5715"/>
            <wp:docPr id="99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图片 78"/>
                    <pic:cNvPicPr>
                      <a:picLocks noChangeAspect="1"/>
                    </pic:cNvPicPr>
                  </pic:nvPicPr>
                  <pic:blipFill>
                    <a:blip r:embed="rId269"/>
                    <a:stretch>
                      <a:fillRect/>
                    </a:stretch>
                  </pic:blipFill>
                  <pic:spPr>
                    <a:xfrm>
                      <a:off x="0" y="0"/>
                      <a:ext cx="5400040" cy="1804497"/>
                    </a:xfrm>
                    <a:prstGeom prst="rect">
                      <a:avLst/>
                    </a:prstGeom>
                    <a:noFill/>
                    <a:ln>
                      <a:noFill/>
                    </a:ln>
                  </pic:spPr>
                </pic:pic>
              </a:graphicData>
            </a:graphic>
          </wp:inline>
        </w:drawing>
      </w:r>
    </w:p>
    <w:p w14:paraId="4E2D262A"/>
    <w:p w14:paraId="351DF785">
      <w:pPr>
        <w:pStyle w:val="183"/>
      </w:pPr>
      <w:bookmarkStart w:id="2121" w:name="_Ref66983754"/>
      <w:bookmarkStart w:id="2122" w:name="_Toc141875489"/>
      <w:r>
        <w:rPr>
          <w:rFonts w:hint="eastAsia"/>
        </w:rPr>
        <w:t>OSPF6各配置项说明</w:t>
      </w:r>
      <w:bookmarkEnd w:id="2121"/>
      <w:bookmarkEnd w:id="2122"/>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668"/>
        <w:gridCol w:w="7300"/>
      </w:tblGrid>
      <w:tr w14:paraId="11DFFF0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68" w:type="dxa"/>
            <w:tcBorders>
              <w:tl2br w:val="nil"/>
              <w:tr2bl w:val="nil"/>
            </w:tcBorders>
            <w:shd w:val="clear" w:color="auto" w:fill="538135" w:themeFill="accent6" w:themeFillShade="BF"/>
            <w:vAlign w:val="center"/>
          </w:tcPr>
          <w:p w14:paraId="59AD701F">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300" w:type="dxa"/>
            <w:tcBorders>
              <w:tl2br w:val="nil"/>
              <w:tr2bl w:val="nil"/>
            </w:tcBorders>
            <w:shd w:val="clear" w:color="auto" w:fill="538135" w:themeFill="accent6" w:themeFillShade="BF"/>
            <w:vAlign w:val="center"/>
          </w:tcPr>
          <w:p w14:paraId="6DB3480D">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54FC8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68" w:type="dxa"/>
            <w:shd w:val="clear" w:color="auto" w:fill="auto"/>
          </w:tcPr>
          <w:p w14:paraId="594877F4">
            <w:pPr>
              <w:pStyle w:val="186"/>
              <w:widowControl w:val="0"/>
              <w:spacing w:line="240" w:lineRule="auto"/>
              <w:ind w:firstLine="0"/>
              <w:jc w:val="left"/>
            </w:pPr>
            <w:r>
              <w:rPr>
                <w:rFonts w:hint="eastAsia"/>
              </w:rPr>
              <w:t>启用</w:t>
            </w:r>
          </w:p>
        </w:tc>
        <w:tc>
          <w:tcPr>
            <w:tcW w:w="7300" w:type="dxa"/>
            <w:shd w:val="clear" w:color="auto" w:fill="auto"/>
          </w:tcPr>
          <w:p w14:paraId="4C2EAA80">
            <w:pPr>
              <w:pStyle w:val="186"/>
              <w:widowControl w:val="0"/>
              <w:spacing w:line="240" w:lineRule="auto"/>
              <w:ind w:firstLine="0"/>
              <w:jc w:val="left"/>
            </w:pPr>
            <w:r>
              <w:rPr>
                <w:rFonts w:hint="eastAsia"/>
              </w:rPr>
              <w:t>启用或禁用OSPF6策略，勾选为启用，不勾选为禁用。禁用后会删除OSPF6网络和OSPF6接口配置。</w:t>
            </w:r>
          </w:p>
        </w:tc>
      </w:tr>
      <w:tr w14:paraId="47F642D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68" w:type="dxa"/>
            <w:shd w:val="clear" w:color="auto" w:fill="auto"/>
          </w:tcPr>
          <w:p w14:paraId="50D3001F">
            <w:pPr>
              <w:pStyle w:val="186"/>
              <w:widowControl w:val="0"/>
              <w:spacing w:line="240" w:lineRule="auto"/>
              <w:ind w:firstLine="0"/>
              <w:jc w:val="left"/>
            </w:pPr>
            <w:r>
              <w:rPr>
                <w:rFonts w:hint="eastAsia"/>
              </w:rPr>
              <w:t>路由器ID</w:t>
            </w:r>
          </w:p>
        </w:tc>
        <w:tc>
          <w:tcPr>
            <w:tcW w:w="7300" w:type="dxa"/>
            <w:shd w:val="clear" w:color="auto" w:fill="auto"/>
          </w:tcPr>
          <w:p w14:paraId="49B88C96">
            <w:pPr>
              <w:pStyle w:val="186"/>
              <w:widowControl w:val="0"/>
              <w:spacing w:line="240" w:lineRule="auto"/>
              <w:ind w:firstLine="0"/>
              <w:jc w:val="left"/>
            </w:pPr>
            <w:r>
              <w:rPr>
                <w:rFonts w:hint="eastAsia"/>
              </w:rPr>
              <w:t>OSPF6路由器ID</w:t>
            </w:r>
          </w:p>
        </w:tc>
      </w:tr>
      <w:tr w14:paraId="146EF75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68" w:type="dxa"/>
            <w:shd w:val="clear" w:color="auto" w:fill="auto"/>
          </w:tcPr>
          <w:p w14:paraId="4D6EFE9B">
            <w:pPr>
              <w:pStyle w:val="186"/>
              <w:widowControl w:val="0"/>
              <w:spacing w:line="240" w:lineRule="auto"/>
              <w:ind w:firstLine="0"/>
              <w:jc w:val="left"/>
            </w:pPr>
            <w:r>
              <w:rPr>
                <w:rFonts w:hint="eastAsia"/>
              </w:rPr>
              <w:t>直连路由</w:t>
            </w:r>
          </w:p>
        </w:tc>
        <w:tc>
          <w:tcPr>
            <w:tcW w:w="7300" w:type="dxa"/>
            <w:shd w:val="clear" w:color="auto" w:fill="auto"/>
          </w:tcPr>
          <w:p w14:paraId="362A6B9B">
            <w:pPr>
              <w:pStyle w:val="186"/>
              <w:widowControl w:val="0"/>
              <w:spacing w:line="240" w:lineRule="auto"/>
              <w:ind w:firstLine="0"/>
              <w:jc w:val="left"/>
            </w:pPr>
            <w:r>
              <w:rPr>
                <w:rFonts w:hint="eastAsia"/>
              </w:rPr>
              <w:t>设置是否重发布直连路由，并设置直连路由的cost</w:t>
            </w:r>
          </w:p>
        </w:tc>
      </w:tr>
      <w:tr w14:paraId="535136B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68" w:type="dxa"/>
            <w:shd w:val="clear" w:color="auto" w:fill="auto"/>
          </w:tcPr>
          <w:p w14:paraId="0013C33D">
            <w:pPr>
              <w:pStyle w:val="186"/>
              <w:widowControl w:val="0"/>
              <w:spacing w:line="240" w:lineRule="auto"/>
              <w:ind w:firstLine="0"/>
              <w:jc w:val="left"/>
            </w:pPr>
            <w:r>
              <w:rPr>
                <w:rFonts w:hint="eastAsia"/>
              </w:rPr>
              <w:t>静态路由</w:t>
            </w:r>
          </w:p>
        </w:tc>
        <w:tc>
          <w:tcPr>
            <w:tcW w:w="7300" w:type="dxa"/>
            <w:shd w:val="clear" w:color="auto" w:fill="auto"/>
          </w:tcPr>
          <w:p w14:paraId="1135AD97">
            <w:pPr>
              <w:pStyle w:val="186"/>
              <w:widowControl w:val="0"/>
              <w:spacing w:line="240" w:lineRule="auto"/>
              <w:ind w:firstLine="0"/>
              <w:jc w:val="left"/>
            </w:pPr>
            <w:r>
              <w:rPr>
                <w:rFonts w:hint="eastAsia"/>
              </w:rPr>
              <w:t>设置是否重发布静态路由，并设置静态路由的cost</w:t>
            </w:r>
          </w:p>
        </w:tc>
      </w:tr>
    </w:tbl>
    <w:p w14:paraId="6DAC450A"/>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77EC445F">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650AF397">
            <w:pPr>
              <w:pStyle w:val="150"/>
              <w:adjustRightInd w:val="0"/>
              <w:snapToGrid w:val="0"/>
              <w:rPr>
                <w:color w:val="auto"/>
              </w:rPr>
            </w:pPr>
            <w:r>
              <w:rPr>
                <w:b/>
                <w:color w:val="auto"/>
              </w:rPr>
              <w:drawing>
                <wp:inline distT="0" distB="0" distL="0" distR="0">
                  <wp:extent cx="283210" cy="283210"/>
                  <wp:effectExtent l="0" t="0" r="2540" b="254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702FE189">
            <w:pPr>
              <w:pStyle w:val="150"/>
              <w:adjustRightInd w:val="0"/>
              <w:snapToGrid w:val="0"/>
              <w:rPr>
                <w:color w:val="auto"/>
              </w:rPr>
            </w:pPr>
            <w:r>
              <w:rPr>
                <w:rFonts w:hint="eastAsia"/>
                <w:color w:val="auto"/>
              </w:rPr>
              <w:t>通常路由器先挑选IP地址最大的环回地址作为Router-ID。若无环回地址，则在接口状态为up的物理接口中，选取最大的IP地址作为Router-ID。也可以指定一个Router-ID，并且指定的Router-ID优先级最高。</w:t>
            </w:r>
          </w:p>
        </w:tc>
      </w:tr>
    </w:tbl>
    <w:p w14:paraId="534BFFA7"/>
    <w:p w14:paraId="36060B92">
      <w:pPr>
        <w:pStyle w:val="5"/>
      </w:pPr>
      <w:bookmarkStart w:id="2123" w:name="_Toc141873399"/>
      <w:bookmarkStart w:id="2124" w:name="_Toc142400915"/>
      <w:bookmarkStart w:id="2125" w:name="_Toc172218101"/>
      <w:bookmarkStart w:id="2126" w:name="_Toc194080728"/>
      <w:bookmarkStart w:id="2127" w:name="_Toc196728060"/>
      <w:bookmarkStart w:id="2128" w:name="_Toc99561461"/>
      <w:bookmarkStart w:id="2129" w:name="_Toc66983719"/>
      <w:bookmarkStart w:id="2130" w:name="_Toc57897298"/>
      <w:r>
        <w:rPr>
          <w:rFonts w:hint="eastAsia"/>
        </w:rPr>
        <w:t>OSPFv</w:t>
      </w:r>
      <w:r>
        <w:t>6</w:t>
      </w:r>
      <w:r>
        <w:rPr>
          <w:rFonts w:hint="eastAsia"/>
        </w:rPr>
        <w:t>接口配置</w:t>
      </w:r>
      <w:bookmarkEnd w:id="2123"/>
      <w:bookmarkEnd w:id="2124"/>
      <w:bookmarkEnd w:id="2125"/>
      <w:bookmarkEnd w:id="2126"/>
      <w:bookmarkEnd w:id="2127"/>
      <w:bookmarkEnd w:id="2128"/>
      <w:bookmarkEnd w:id="2129"/>
      <w:bookmarkEnd w:id="2130"/>
    </w:p>
    <w:p w14:paraId="20F6ACD8">
      <w:r>
        <w:rPr>
          <w:rFonts w:hint="eastAsia"/>
        </w:rPr>
        <w:t>点击“</w:t>
      </w:r>
      <w:r>
        <w:t>OSPF</w:t>
      </w:r>
      <w:r>
        <w:rPr>
          <w:rFonts w:hint="eastAsia"/>
        </w:rPr>
        <w:t>6接口”页签，查看</w:t>
      </w:r>
      <w:r>
        <w:t>OSPF</w:t>
      </w:r>
      <w:r>
        <w:rPr>
          <w:rFonts w:hint="eastAsia"/>
        </w:rPr>
        <w:t>6接口信息。</w:t>
      </w:r>
    </w:p>
    <w:p w14:paraId="325194EA">
      <w:pPr>
        <w:pStyle w:val="188"/>
      </w:pPr>
      <w:bookmarkStart w:id="2131" w:name="_Ref66983870"/>
      <w:bookmarkStart w:id="2132" w:name="_Toc141874595"/>
      <w:r>
        <w:rPr>
          <w:rFonts w:hint="eastAsia"/>
        </w:rPr>
        <w:t>已经配置的接口信息</w:t>
      </w:r>
      <w:bookmarkEnd w:id="2131"/>
      <w:bookmarkEnd w:id="2132"/>
    </w:p>
    <w:p w14:paraId="7ECAA28E">
      <w:r>
        <w:t xml:space="preserve"> </w:t>
      </w:r>
      <w:r>
        <w:drawing>
          <wp:inline distT="0" distB="0" distL="0" distR="0">
            <wp:extent cx="5238750" cy="890905"/>
            <wp:effectExtent l="0" t="0" r="0" b="4445"/>
            <wp:docPr id="3067" name="图片 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 name="图片 3067"/>
                    <pic:cNvPicPr>
                      <a:picLocks noChangeAspect="1"/>
                    </pic:cNvPicPr>
                  </pic:nvPicPr>
                  <pic:blipFill>
                    <a:blip r:embed="rId270"/>
                    <a:stretch>
                      <a:fillRect/>
                    </a:stretch>
                  </pic:blipFill>
                  <pic:spPr>
                    <a:xfrm>
                      <a:off x="0" y="0"/>
                      <a:ext cx="5265993" cy="896037"/>
                    </a:xfrm>
                    <a:prstGeom prst="rect">
                      <a:avLst/>
                    </a:prstGeom>
                  </pic:spPr>
                </pic:pic>
              </a:graphicData>
            </a:graphic>
          </wp:inline>
        </w:drawing>
      </w:r>
    </w:p>
    <w:p w14:paraId="3ECB21B7"/>
    <w:p w14:paraId="11D93456">
      <w:r>
        <w:rPr>
          <w:rFonts w:hint="eastAsia"/>
        </w:rPr>
        <w:t>点击</w:t>
      </w:r>
      <w:r>
        <w:t>&lt;</w:t>
      </w:r>
      <w:r>
        <w:rPr>
          <w:rFonts w:hint="eastAsia"/>
        </w:rPr>
        <w:t>新建</w:t>
      </w:r>
      <w:r>
        <w:t>&gt;</w:t>
      </w:r>
      <w:r>
        <w:rPr>
          <w:rFonts w:hint="eastAsia"/>
        </w:rPr>
        <w:t>按钮，配置接口相关的</w:t>
      </w:r>
      <w:r>
        <w:t>OSPF</w:t>
      </w:r>
      <w:r>
        <w:rPr>
          <w:rFonts w:hint="eastAsia"/>
        </w:rPr>
        <w:t>6信息。</w:t>
      </w:r>
    </w:p>
    <w:p w14:paraId="54B98C53">
      <w:pPr>
        <w:pStyle w:val="188"/>
      </w:pPr>
      <w:bookmarkStart w:id="2133" w:name="_Toc141874596"/>
      <w:r>
        <w:rPr>
          <w:rFonts w:hint="eastAsia"/>
        </w:rPr>
        <w:t>OSPF6接口配置</w:t>
      </w:r>
      <w:bookmarkEnd w:id="2133"/>
    </w:p>
    <w:p w14:paraId="6D49381F">
      <w:r>
        <w:t xml:space="preserve"> </w:t>
      </w:r>
      <w:r>
        <w:drawing>
          <wp:inline distT="0" distB="0" distL="114300" distR="114300">
            <wp:extent cx="5194300" cy="1936750"/>
            <wp:effectExtent l="0" t="0" r="0" b="6350"/>
            <wp:docPr id="99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图片 79"/>
                    <pic:cNvPicPr>
                      <a:picLocks noChangeAspect="1"/>
                    </pic:cNvPicPr>
                  </pic:nvPicPr>
                  <pic:blipFill>
                    <a:blip r:embed="rId271"/>
                    <a:stretch>
                      <a:fillRect/>
                    </a:stretch>
                  </pic:blipFill>
                  <pic:spPr>
                    <a:xfrm>
                      <a:off x="0" y="0"/>
                      <a:ext cx="5194300" cy="1936750"/>
                    </a:xfrm>
                    <a:prstGeom prst="rect">
                      <a:avLst/>
                    </a:prstGeom>
                    <a:noFill/>
                    <a:ln>
                      <a:noFill/>
                    </a:ln>
                  </pic:spPr>
                </pic:pic>
              </a:graphicData>
            </a:graphic>
          </wp:inline>
        </w:drawing>
      </w:r>
    </w:p>
    <w:p w14:paraId="2CFAF3A6"/>
    <w:p w14:paraId="326200D8">
      <w:pPr>
        <w:pStyle w:val="183"/>
      </w:pPr>
      <w:bookmarkStart w:id="2134" w:name="_Toc141875490"/>
      <w:r>
        <w:rPr>
          <w:rFonts w:hint="eastAsia"/>
        </w:rPr>
        <w:t>接口各项配置含义</w:t>
      </w:r>
      <w:bookmarkEnd w:id="2134"/>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4"/>
        <w:gridCol w:w="6634"/>
      </w:tblGrid>
      <w:tr w14:paraId="0349E8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34" w:type="dxa"/>
            <w:tcBorders>
              <w:tl2br w:val="nil"/>
              <w:tr2bl w:val="nil"/>
            </w:tcBorders>
            <w:shd w:val="clear" w:color="auto" w:fill="538135" w:themeFill="accent6" w:themeFillShade="BF"/>
            <w:vAlign w:val="center"/>
          </w:tcPr>
          <w:p w14:paraId="74C73AA1">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34" w:type="dxa"/>
            <w:tcBorders>
              <w:tl2br w:val="nil"/>
              <w:tr2bl w:val="nil"/>
            </w:tcBorders>
            <w:shd w:val="clear" w:color="auto" w:fill="538135" w:themeFill="accent6" w:themeFillShade="BF"/>
            <w:vAlign w:val="center"/>
          </w:tcPr>
          <w:p w14:paraId="1A211C5D">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3859B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34" w:type="dxa"/>
            <w:shd w:val="clear" w:color="auto" w:fill="auto"/>
          </w:tcPr>
          <w:p w14:paraId="456CA34D">
            <w:pPr>
              <w:pStyle w:val="186"/>
              <w:widowControl w:val="0"/>
              <w:spacing w:line="240" w:lineRule="auto"/>
              <w:ind w:firstLine="0"/>
              <w:jc w:val="left"/>
            </w:pPr>
            <w:r>
              <w:rPr>
                <w:rFonts w:hint="eastAsia"/>
              </w:rPr>
              <w:t>接口</w:t>
            </w:r>
          </w:p>
        </w:tc>
        <w:tc>
          <w:tcPr>
            <w:tcW w:w="6634" w:type="dxa"/>
            <w:shd w:val="clear" w:color="auto" w:fill="auto"/>
          </w:tcPr>
          <w:p w14:paraId="73C18E86">
            <w:pPr>
              <w:pStyle w:val="186"/>
              <w:widowControl w:val="0"/>
              <w:spacing w:line="240" w:lineRule="auto"/>
              <w:ind w:firstLine="0"/>
              <w:jc w:val="left"/>
            </w:pPr>
            <w:r>
              <w:rPr>
                <w:rFonts w:hint="eastAsia"/>
              </w:rPr>
              <w:t>选择要启用OSPF6协议的接口。</w:t>
            </w:r>
          </w:p>
        </w:tc>
      </w:tr>
      <w:tr w14:paraId="6C6E02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34" w:type="dxa"/>
            <w:shd w:val="clear" w:color="auto" w:fill="auto"/>
          </w:tcPr>
          <w:p w14:paraId="17A94C7E">
            <w:pPr>
              <w:pStyle w:val="186"/>
              <w:widowControl w:val="0"/>
              <w:spacing w:line="240" w:lineRule="auto"/>
              <w:ind w:firstLine="0"/>
              <w:jc w:val="left"/>
            </w:pPr>
            <w:r>
              <w:rPr>
                <w:rFonts w:hint="eastAsia"/>
              </w:rPr>
              <w:t>区域</w:t>
            </w:r>
          </w:p>
        </w:tc>
        <w:tc>
          <w:tcPr>
            <w:tcW w:w="6634" w:type="dxa"/>
            <w:shd w:val="clear" w:color="auto" w:fill="auto"/>
          </w:tcPr>
          <w:p w14:paraId="54E83CB6">
            <w:pPr>
              <w:pStyle w:val="186"/>
              <w:widowControl w:val="0"/>
              <w:spacing w:line="240" w:lineRule="auto"/>
              <w:ind w:firstLine="0"/>
              <w:jc w:val="left"/>
            </w:pPr>
            <w:r>
              <w:rPr>
                <w:rFonts w:hint="eastAsia"/>
              </w:rPr>
              <w:t>指定OSPF6区域的标识，格式为0~4,294,967,295之间的数字或IP地址。只有OSPF的路由器接口共享了具有相同区域号的网络时，这些路由器才可能成为邻居。</w:t>
            </w:r>
          </w:p>
        </w:tc>
      </w:tr>
    </w:tbl>
    <w:p w14:paraId="5354C165"/>
    <w:p w14:paraId="758C2105">
      <w:pPr>
        <w:pStyle w:val="5"/>
      </w:pPr>
      <w:bookmarkStart w:id="2135" w:name="_Toc99561462"/>
      <w:bookmarkStart w:id="2136" w:name="_Toc57897299"/>
      <w:bookmarkStart w:id="2137" w:name="_Toc194080729"/>
      <w:bookmarkStart w:id="2138" w:name="_Toc66983720"/>
      <w:bookmarkStart w:id="2139" w:name="_Toc142400916"/>
      <w:bookmarkStart w:id="2140" w:name="_Toc141873400"/>
      <w:bookmarkStart w:id="2141" w:name="_Toc172218102"/>
      <w:bookmarkStart w:id="2142" w:name="_Toc196728061"/>
      <w:r>
        <w:rPr>
          <w:rFonts w:hint="eastAsia"/>
        </w:rPr>
        <w:t>OSPFv</w:t>
      </w:r>
      <w:r>
        <w:t>6配置举例</w:t>
      </w:r>
      <w:bookmarkEnd w:id="2135"/>
      <w:bookmarkEnd w:id="2136"/>
      <w:bookmarkEnd w:id="2137"/>
      <w:bookmarkEnd w:id="2138"/>
      <w:bookmarkEnd w:id="2139"/>
      <w:bookmarkEnd w:id="2140"/>
      <w:bookmarkEnd w:id="2141"/>
      <w:bookmarkEnd w:id="2142"/>
    </w:p>
    <w:p w14:paraId="1BDBBB26">
      <w:pPr>
        <w:pStyle w:val="6"/>
      </w:pPr>
      <w:r>
        <w:rPr>
          <w:rFonts w:hint="eastAsia"/>
        </w:rPr>
        <w:t>组网需求</w:t>
      </w:r>
    </w:p>
    <w:p w14:paraId="57A75DDF">
      <w:r>
        <w:rPr>
          <w:rFonts w:hint="eastAsia"/>
        </w:rPr>
        <w:t>按照</w:t>
      </w:r>
      <w:r>
        <w:rPr>
          <w:color w:val="0000FF"/>
          <w:u w:val="single"/>
        </w:rPr>
        <w:fldChar w:fldCharType="begin"/>
      </w:r>
      <w:r>
        <w:rPr>
          <w:color w:val="0000FF"/>
          <w:u w:val="single"/>
        </w:rPr>
        <w:instrText xml:space="preserve"> REF _Ref392865032 \r \h  \* MERGEFORMAT </w:instrText>
      </w:r>
      <w:r>
        <w:rPr>
          <w:color w:val="0000FF"/>
          <w:u w:val="single"/>
        </w:rPr>
        <w:fldChar w:fldCharType="separate"/>
      </w:r>
      <w:r>
        <w:rPr>
          <w:rFonts w:hint="eastAsia"/>
          <w:color w:val="0000FF"/>
          <w:u w:val="single"/>
        </w:rPr>
        <w:t>图7-21</w:t>
      </w:r>
      <w:r>
        <w:rPr>
          <w:color w:val="0000FF"/>
          <w:u w:val="single"/>
        </w:rPr>
        <w:fldChar w:fldCharType="end"/>
      </w:r>
      <w:r>
        <w:rPr>
          <w:rFonts w:hint="eastAsia"/>
        </w:rPr>
        <w:t>所示，配置IP地址，要求设备 A和设备 B上启用OSPFv3，设备 A设备能学到5555::1/64网段的路由，设备 B能学到4444::1/64网段的路由。</w:t>
      </w:r>
    </w:p>
    <w:p w14:paraId="4AC90F46">
      <w:pPr>
        <w:pStyle w:val="6"/>
      </w:pPr>
      <w:r>
        <w:rPr>
          <w:rFonts w:hint="eastAsia"/>
        </w:rPr>
        <w:t>组网图</w:t>
      </w:r>
    </w:p>
    <w:p w14:paraId="1E5BD36A">
      <w:pPr>
        <w:pStyle w:val="188"/>
      </w:pPr>
      <w:bookmarkStart w:id="2143" w:name="_Toc141874597"/>
      <w:r>
        <w:rPr>
          <w:rFonts w:hint="eastAsia"/>
        </w:rPr>
        <w:t>OSPFv3配置案例组网图</w:t>
      </w:r>
      <w:bookmarkEnd w:id="2143"/>
    </w:p>
    <w:p w14:paraId="43CA3AF6">
      <w:pPr>
        <w:pStyle w:val="175"/>
      </w:pPr>
      <w:r>
        <w:drawing>
          <wp:inline distT="0" distB="0" distL="0" distR="0">
            <wp:extent cx="4429125" cy="2142490"/>
            <wp:effectExtent l="0" t="0" r="0" b="0"/>
            <wp:docPr id="3013" name="图片 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3" name="图片 3013"/>
                    <pic:cNvPicPr>
                      <a:picLocks noChangeAspect="1"/>
                    </pic:cNvPicPr>
                  </pic:nvPicPr>
                  <pic:blipFill>
                    <a:blip r:embed="rId272"/>
                    <a:stretch>
                      <a:fillRect/>
                    </a:stretch>
                  </pic:blipFill>
                  <pic:spPr>
                    <a:xfrm>
                      <a:off x="0" y="0"/>
                      <a:ext cx="4438589" cy="2147157"/>
                    </a:xfrm>
                    <a:prstGeom prst="rect">
                      <a:avLst/>
                    </a:prstGeom>
                  </pic:spPr>
                </pic:pic>
              </a:graphicData>
            </a:graphic>
          </wp:inline>
        </w:drawing>
      </w:r>
    </w:p>
    <w:p w14:paraId="4044C4B6"/>
    <w:p w14:paraId="293B4FB0">
      <w:pPr>
        <w:pStyle w:val="6"/>
      </w:pPr>
      <w:r>
        <w:rPr>
          <w:rFonts w:hint="eastAsia"/>
        </w:rPr>
        <w:t>配置步骤</w:t>
      </w:r>
    </w:p>
    <w:p w14:paraId="636CD70C">
      <w:pPr>
        <w:pStyle w:val="202"/>
      </w:pPr>
      <w:r>
        <w:rPr>
          <w:rFonts w:hint="eastAsia"/>
        </w:rPr>
        <w:t>按照组网图组网。</w:t>
      </w:r>
    </w:p>
    <w:p w14:paraId="6182C578">
      <w:pPr>
        <w:pStyle w:val="202"/>
      </w:pPr>
      <w:r>
        <w:rPr>
          <w:rFonts w:hint="eastAsia"/>
        </w:rPr>
        <w:t>配置</w:t>
      </w:r>
      <w:r>
        <w:t>设备 A</w:t>
      </w:r>
    </w:p>
    <w:p w14:paraId="70DE6BD3">
      <w:r>
        <w:rPr>
          <w:rFonts w:hint="eastAsia"/>
        </w:rPr>
        <w:t>通过菜单“网络配置 &gt; 路由管理 &gt; OSPF6信息”，进入OSPF6配置页面，设置相关数据，点击&lt;提交&gt;。</w:t>
      </w:r>
    </w:p>
    <w:p w14:paraId="1FDB78B0">
      <w:pPr>
        <w:pStyle w:val="188"/>
      </w:pPr>
      <w:bookmarkStart w:id="2144" w:name="_Toc141874598"/>
      <w:r>
        <w:rPr>
          <w:rFonts w:hint="eastAsia"/>
        </w:rPr>
        <w:t>OSPF6配置</w:t>
      </w:r>
      <w:bookmarkEnd w:id="2144"/>
    </w:p>
    <w:p w14:paraId="41B1B54E">
      <w:r>
        <w:drawing>
          <wp:inline distT="0" distB="0" distL="114300" distR="114300">
            <wp:extent cx="5400040" cy="1954530"/>
            <wp:effectExtent l="0" t="0" r="0" b="7620"/>
            <wp:docPr id="100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图片 81"/>
                    <pic:cNvPicPr>
                      <a:picLocks noChangeAspect="1"/>
                    </pic:cNvPicPr>
                  </pic:nvPicPr>
                  <pic:blipFill>
                    <a:blip r:embed="rId273"/>
                    <a:stretch>
                      <a:fillRect/>
                    </a:stretch>
                  </pic:blipFill>
                  <pic:spPr>
                    <a:xfrm>
                      <a:off x="0" y="0"/>
                      <a:ext cx="5400040" cy="1954984"/>
                    </a:xfrm>
                    <a:prstGeom prst="rect">
                      <a:avLst/>
                    </a:prstGeom>
                    <a:noFill/>
                    <a:ln>
                      <a:noFill/>
                    </a:ln>
                  </pic:spPr>
                </pic:pic>
              </a:graphicData>
            </a:graphic>
          </wp:inline>
        </w:drawing>
      </w:r>
    </w:p>
    <w:p w14:paraId="5985421B"/>
    <w:p w14:paraId="6845FEAA">
      <w:r>
        <w:rPr>
          <w:rFonts w:hint="eastAsia"/>
        </w:rPr>
        <w:t>通过菜单“网络配置 &gt; 路由管理 &gt; OSPF6信息”，进入OSPF</w:t>
      </w:r>
      <w:r>
        <w:t>6</w:t>
      </w:r>
      <w:r>
        <w:rPr>
          <w:rFonts w:hint="eastAsia"/>
        </w:rPr>
        <w:t>接口配置页面，点击新建，配置接口及区域，并点击&lt;提交&gt;按钮。</w:t>
      </w:r>
    </w:p>
    <w:p w14:paraId="6047BF6F">
      <w:pPr>
        <w:pStyle w:val="188"/>
      </w:pPr>
      <w:bookmarkStart w:id="2145" w:name="_Toc141874599"/>
      <w:r>
        <w:rPr>
          <w:rFonts w:hint="eastAsia"/>
        </w:rPr>
        <w:t>配置OSPF6接口</w:t>
      </w:r>
      <w:bookmarkEnd w:id="2145"/>
    </w:p>
    <w:p w14:paraId="3B87F2F2">
      <w:pPr>
        <w:pStyle w:val="175"/>
      </w:pPr>
      <w:r>
        <w:drawing>
          <wp:inline distT="0" distB="0" distL="114300" distR="114300">
            <wp:extent cx="4762500" cy="2047240"/>
            <wp:effectExtent l="0" t="0" r="0" b="0"/>
            <wp:docPr id="100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图片 84"/>
                    <pic:cNvPicPr>
                      <a:picLocks noChangeAspect="1"/>
                    </pic:cNvPicPr>
                  </pic:nvPicPr>
                  <pic:blipFill>
                    <a:blip r:embed="rId274"/>
                    <a:stretch>
                      <a:fillRect/>
                    </a:stretch>
                  </pic:blipFill>
                  <pic:spPr>
                    <a:xfrm>
                      <a:off x="0" y="0"/>
                      <a:ext cx="4767241" cy="2049855"/>
                    </a:xfrm>
                    <a:prstGeom prst="rect">
                      <a:avLst/>
                    </a:prstGeom>
                    <a:noFill/>
                    <a:ln>
                      <a:noFill/>
                    </a:ln>
                  </pic:spPr>
                </pic:pic>
              </a:graphicData>
            </a:graphic>
          </wp:inline>
        </w:drawing>
      </w:r>
    </w:p>
    <w:p w14:paraId="697FFDC9">
      <w:pPr>
        <w:pStyle w:val="175"/>
      </w:pPr>
      <w:r>
        <w:drawing>
          <wp:inline distT="0" distB="0" distL="114300" distR="114300">
            <wp:extent cx="4486275" cy="1813560"/>
            <wp:effectExtent l="0" t="0" r="0" b="0"/>
            <wp:docPr id="304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 name="图片 10"/>
                    <pic:cNvPicPr>
                      <a:picLocks noChangeAspect="1"/>
                    </pic:cNvPicPr>
                  </pic:nvPicPr>
                  <pic:blipFill>
                    <a:blip r:embed="rId275"/>
                    <a:stretch>
                      <a:fillRect/>
                    </a:stretch>
                  </pic:blipFill>
                  <pic:spPr>
                    <a:xfrm>
                      <a:off x="0" y="0"/>
                      <a:ext cx="4502515" cy="1820144"/>
                    </a:xfrm>
                    <a:prstGeom prst="rect">
                      <a:avLst/>
                    </a:prstGeom>
                    <a:noFill/>
                    <a:ln>
                      <a:noFill/>
                    </a:ln>
                  </pic:spPr>
                </pic:pic>
              </a:graphicData>
            </a:graphic>
          </wp:inline>
        </w:drawing>
      </w:r>
    </w:p>
    <w:p w14:paraId="6E37F9FC">
      <w:pPr>
        <w:pStyle w:val="202"/>
      </w:pPr>
      <w:r>
        <w:rPr>
          <w:rFonts w:hint="eastAsia"/>
        </w:rPr>
        <w:t>配置</w:t>
      </w:r>
      <w:r>
        <w:t>设备 B</w:t>
      </w:r>
    </w:p>
    <w:p w14:paraId="747E1CF3">
      <w:r>
        <w:rPr>
          <w:rFonts w:hint="eastAsia"/>
        </w:rPr>
        <w:t>设备 B的配置方式与设备 A相同，在此不再赘述。</w:t>
      </w:r>
    </w:p>
    <w:p w14:paraId="25297F67">
      <w:pPr>
        <w:pStyle w:val="6"/>
      </w:pPr>
      <w:r>
        <w:rPr>
          <w:rFonts w:hint="eastAsia"/>
        </w:rPr>
        <w:t>验证配置</w:t>
      </w:r>
    </w:p>
    <w:p w14:paraId="44096643">
      <w:r>
        <w:rPr>
          <w:rFonts w:hint="eastAsia"/>
        </w:rPr>
        <w:t>在</w:t>
      </w:r>
      <w:r>
        <w:t>Host</w:t>
      </w:r>
      <w:r>
        <w:rPr>
          <w:rFonts w:hint="eastAsia"/>
        </w:rPr>
        <w:t xml:space="preserve"> A上使用ping6命令验证</w:t>
      </w:r>
      <w:r>
        <w:t xml:space="preserve">Host </w:t>
      </w:r>
      <w:r>
        <w:rPr>
          <w:rFonts w:hint="eastAsia"/>
        </w:rPr>
        <w:t>B可达。</w:t>
      </w:r>
      <w:r>
        <w:br w:type="page"/>
      </w:r>
    </w:p>
    <w:p w14:paraId="37A4FBFF">
      <w:pPr>
        <w:pStyle w:val="4"/>
      </w:pPr>
      <w:bookmarkStart w:id="2146" w:name="_Toc15484766"/>
      <w:bookmarkStart w:id="2147" w:name="_Toc40275965"/>
      <w:bookmarkStart w:id="2148" w:name="_Toc141873401"/>
      <w:bookmarkStart w:id="2149" w:name="_Toc194080730"/>
      <w:bookmarkStart w:id="2150" w:name="_Toc23152532"/>
      <w:bookmarkStart w:id="2151" w:name="_Toc196728062"/>
      <w:bookmarkStart w:id="2152" w:name="_Toc99561463"/>
      <w:bookmarkStart w:id="2153" w:name="_Toc142400917"/>
      <w:bookmarkStart w:id="2154" w:name="_Toc172218103"/>
      <w:r>
        <w:rPr>
          <w:rFonts w:hint="eastAsia"/>
        </w:rPr>
        <w:t>策略路由</w:t>
      </w:r>
      <w:bookmarkEnd w:id="1807"/>
      <w:bookmarkEnd w:id="1808"/>
      <w:bookmarkEnd w:id="2146"/>
      <w:bookmarkEnd w:id="2147"/>
      <w:bookmarkEnd w:id="2148"/>
      <w:bookmarkEnd w:id="2149"/>
      <w:bookmarkEnd w:id="2150"/>
      <w:bookmarkEnd w:id="2151"/>
      <w:bookmarkEnd w:id="2152"/>
      <w:bookmarkEnd w:id="2153"/>
      <w:bookmarkEnd w:id="2154"/>
    </w:p>
    <w:p w14:paraId="4F642F71">
      <w:pPr>
        <w:pStyle w:val="5"/>
      </w:pPr>
      <w:bookmarkStart w:id="2155" w:name="_Toc40275966"/>
      <w:bookmarkStart w:id="2156" w:name="_Toc99561464"/>
      <w:bookmarkStart w:id="2157" w:name="_Toc141873402"/>
      <w:bookmarkStart w:id="2158" w:name="_Toc142400918"/>
      <w:bookmarkStart w:id="2159" w:name="_Toc172218104"/>
      <w:bookmarkStart w:id="2160" w:name="_Toc194080731"/>
      <w:bookmarkStart w:id="2161" w:name="_Toc196728063"/>
      <w:bookmarkStart w:id="2162" w:name="_Toc474249941"/>
      <w:bookmarkStart w:id="2163" w:name="_Toc529430303"/>
      <w:bookmarkStart w:id="2164" w:name="_Toc15484767"/>
      <w:bookmarkStart w:id="2165" w:name="_Toc23152533"/>
      <w:r>
        <w:rPr>
          <w:rFonts w:hint="eastAsia"/>
        </w:rPr>
        <w:t>概述</w:t>
      </w:r>
      <w:bookmarkEnd w:id="2155"/>
      <w:bookmarkEnd w:id="2156"/>
      <w:bookmarkEnd w:id="2157"/>
      <w:bookmarkEnd w:id="2158"/>
      <w:bookmarkEnd w:id="2159"/>
      <w:bookmarkEnd w:id="2160"/>
      <w:bookmarkEnd w:id="2161"/>
      <w:bookmarkEnd w:id="2162"/>
      <w:bookmarkEnd w:id="2163"/>
      <w:bookmarkEnd w:id="2164"/>
      <w:bookmarkEnd w:id="2165"/>
    </w:p>
    <w:p w14:paraId="517CD8AB">
      <w:r>
        <w:rPr>
          <w:rFonts w:hint="eastAsia"/>
        </w:rPr>
        <w:t>策略路由，也叫做基于策略的路由，是指在决定一个</w:t>
      </w:r>
      <w:r>
        <w:t>IP</w:t>
      </w:r>
      <w:r>
        <w:rPr>
          <w:rFonts w:hint="eastAsia"/>
        </w:rPr>
        <w:t>包的下一跳转发地址时，不是简单的根据目的或源</w:t>
      </w:r>
      <w:r>
        <w:t>IP</w:t>
      </w:r>
      <w:r>
        <w:rPr>
          <w:rFonts w:hint="eastAsia"/>
        </w:rPr>
        <w:t>地址来决定，而是综合考虑多种因素决定。它转发分组到特定网络需要基于预先配置的策略，这个策略可能指定从一个特定的网络发送的通信应该被转发到一个指定的接口。</w:t>
      </w:r>
    </w:p>
    <w:p w14:paraId="3D90F110">
      <w:pPr>
        <w:pStyle w:val="5"/>
      </w:pPr>
      <w:bookmarkStart w:id="2166" w:name="_Toc474249942"/>
      <w:bookmarkStart w:id="2167" w:name="_Toc15484768"/>
      <w:bookmarkStart w:id="2168" w:name="_Toc23152534"/>
      <w:bookmarkStart w:id="2169" w:name="_Toc529430304"/>
      <w:bookmarkStart w:id="2170" w:name="_Toc141873403"/>
      <w:bookmarkStart w:id="2171" w:name="_Toc99561465"/>
      <w:bookmarkStart w:id="2172" w:name="_Toc196728064"/>
      <w:bookmarkStart w:id="2173" w:name="_Toc194080732"/>
      <w:bookmarkStart w:id="2174" w:name="_Toc142400919"/>
      <w:bookmarkStart w:id="2175" w:name="_Toc172218105"/>
      <w:bookmarkStart w:id="2176" w:name="_Toc40275967"/>
      <w:r>
        <w:rPr>
          <w:rFonts w:hint="eastAsia"/>
        </w:rPr>
        <w:t>策略路由表</w:t>
      </w:r>
      <w:bookmarkEnd w:id="2166"/>
      <w:bookmarkEnd w:id="2167"/>
      <w:bookmarkEnd w:id="2168"/>
      <w:bookmarkEnd w:id="2169"/>
      <w:bookmarkEnd w:id="2170"/>
      <w:bookmarkEnd w:id="2171"/>
      <w:bookmarkEnd w:id="2172"/>
      <w:bookmarkEnd w:id="2173"/>
      <w:bookmarkEnd w:id="2174"/>
      <w:bookmarkEnd w:id="2175"/>
      <w:bookmarkEnd w:id="2176"/>
    </w:p>
    <w:p w14:paraId="7C7CBD96">
      <w:r>
        <w:rPr>
          <w:rFonts w:hint="eastAsia"/>
        </w:rPr>
        <w:t>通过菜单“网络配置&gt;路由管理</w:t>
      </w:r>
      <w:r>
        <w:t xml:space="preserve"> &gt; </w:t>
      </w:r>
      <w:r>
        <w:rPr>
          <w:rFonts w:hint="eastAsia"/>
        </w:rPr>
        <w:t>策略路由”，查看已经配置的策略路由信息。</w:t>
      </w:r>
    </w:p>
    <w:p w14:paraId="58822E55">
      <w:pPr>
        <w:pStyle w:val="188"/>
      </w:pPr>
      <w:bookmarkStart w:id="2177" w:name="_Toc141874600"/>
      <w:r>
        <w:rPr>
          <w:rFonts w:hint="eastAsia"/>
        </w:rPr>
        <w:t>策略路由表</w:t>
      </w:r>
      <w:bookmarkEnd w:id="2177"/>
    </w:p>
    <w:p w14:paraId="1538630D">
      <w:r>
        <w:drawing>
          <wp:inline distT="0" distB="0" distL="0" distR="0">
            <wp:extent cx="5705475" cy="747395"/>
            <wp:effectExtent l="0" t="0" r="0" b="0"/>
            <wp:docPr id="1294" name="图片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 name="图片 1294"/>
                    <pic:cNvPicPr>
                      <a:picLocks noChangeAspect="1"/>
                    </pic:cNvPicPr>
                  </pic:nvPicPr>
                  <pic:blipFill>
                    <a:blip r:embed="rId276"/>
                    <a:stretch>
                      <a:fillRect/>
                    </a:stretch>
                  </pic:blipFill>
                  <pic:spPr>
                    <a:xfrm>
                      <a:off x="0" y="0"/>
                      <a:ext cx="5717315" cy="749140"/>
                    </a:xfrm>
                    <a:prstGeom prst="rect">
                      <a:avLst/>
                    </a:prstGeom>
                  </pic:spPr>
                </pic:pic>
              </a:graphicData>
            </a:graphic>
          </wp:inline>
        </w:drawing>
      </w:r>
    </w:p>
    <w:p w14:paraId="2F3C99FA"/>
    <w:p w14:paraId="42EBE4C3">
      <w:pPr>
        <w:pStyle w:val="183"/>
      </w:pPr>
      <w:bookmarkStart w:id="2178" w:name="_Toc141875491"/>
      <w:r>
        <w:rPr>
          <w:rFonts w:hint="eastAsia"/>
        </w:rPr>
        <w:t>策略路由表的显示信息</w:t>
      </w:r>
      <w:bookmarkEnd w:id="2178"/>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192"/>
        <w:gridCol w:w="6776"/>
      </w:tblGrid>
      <w:tr w14:paraId="7EEBFD8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tcBorders>
              <w:tl2br w:val="nil"/>
              <w:tr2bl w:val="nil"/>
            </w:tcBorders>
            <w:shd w:val="clear" w:color="auto" w:fill="538135" w:themeFill="accent6" w:themeFillShade="BF"/>
            <w:vAlign w:val="center"/>
          </w:tcPr>
          <w:p w14:paraId="6EB3D79E">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826" w:type="dxa"/>
            <w:tcBorders>
              <w:tl2br w:val="nil"/>
              <w:tr2bl w:val="nil"/>
            </w:tcBorders>
            <w:shd w:val="clear" w:color="auto" w:fill="538135" w:themeFill="accent6" w:themeFillShade="BF"/>
            <w:vAlign w:val="center"/>
          </w:tcPr>
          <w:p w14:paraId="0463ACE2">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A9614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3E6A941D">
            <w:pPr>
              <w:pStyle w:val="186"/>
              <w:widowControl w:val="0"/>
              <w:spacing w:line="240" w:lineRule="auto"/>
              <w:ind w:firstLine="0"/>
              <w:jc w:val="left"/>
            </w:pPr>
            <w:r>
              <w:rPr>
                <w:rFonts w:hint="eastAsia"/>
              </w:rPr>
              <w:t>新建</w:t>
            </w:r>
          </w:p>
        </w:tc>
        <w:tc>
          <w:tcPr>
            <w:tcW w:w="6826" w:type="dxa"/>
            <w:shd w:val="clear" w:color="auto" w:fill="auto"/>
          </w:tcPr>
          <w:p w14:paraId="19C0F57A">
            <w:pPr>
              <w:pStyle w:val="186"/>
              <w:widowControl w:val="0"/>
              <w:spacing w:line="240" w:lineRule="auto"/>
              <w:ind w:firstLine="0"/>
              <w:jc w:val="left"/>
            </w:pPr>
            <w:r>
              <w:rPr>
                <w:rFonts w:hint="eastAsia"/>
              </w:rPr>
              <w:t>新建策略路由</w:t>
            </w:r>
          </w:p>
        </w:tc>
      </w:tr>
      <w:tr w14:paraId="7673FA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0A8DE791">
            <w:pPr>
              <w:pStyle w:val="186"/>
              <w:widowControl w:val="0"/>
              <w:spacing w:line="240" w:lineRule="auto"/>
              <w:ind w:firstLine="0"/>
              <w:jc w:val="left"/>
            </w:pPr>
            <w:r>
              <w:rPr>
                <w:rFonts w:hint="eastAsia"/>
              </w:rPr>
              <w:t>删除</w:t>
            </w:r>
          </w:p>
        </w:tc>
        <w:tc>
          <w:tcPr>
            <w:tcW w:w="6826" w:type="dxa"/>
            <w:shd w:val="clear" w:color="auto" w:fill="auto"/>
          </w:tcPr>
          <w:p w14:paraId="00F9490C">
            <w:pPr>
              <w:pStyle w:val="186"/>
              <w:widowControl w:val="0"/>
              <w:spacing w:line="240" w:lineRule="auto"/>
              <w:ind w:firstLine="0"/>
              <w:jc w:val="left"/>
            </w:pPr>
            <w:r>
              <w:rPr>
                <w:rFonts w:hint="eastAsia"/>
              </w:rPr>
              <w:t>删除策略路由</w:t>
            </w:r>
          </w:p>
        </w:tc>
      </w:tr>
      <w:tr w14:paraId="0FCA94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5A636901">
            <w:pPr>
              <w:pStyle w:val="186"/>
              <w:widowControl w:val="0"/>
              <w:spacing w:line="240" w:lineRule="auto"/>
              <w:ind w:firstLine="0"/>
              <w:jc w:val="left"/>
            </w:pPr>
            <w:r>
              <w:rPr>
                <w:rFonts w:hint="eastAsia"/>
              </w:rPr>
              <w:t>优先级</w:t>
            </w:r>
          </w:p>
        </w:tc>
        <w:tc>
          <w:tcPr>
            <w:tcW w:w="6826" w:type="dxa"/>
            <w:shd w:val="clear" w:color="auto" w:fill="auto"/>
          </w:tcPr>
          <w:p w14:paraId="32C0214F">
            <w:pPr>
              <w:pStyle w:val="186"/>
              <w:widowControl w:val="0"/>
              <w:spacing w:line="240" w:lineRule="auto"/>
              <w:ind w:firstLine="0"/>
              <w:jc w:val="left"/>
            </w:pPr>
            <w:r>
              <w:rPr>
                <w:rFonts w:hint="eastAsia"/>
              </w:rPr>
              <w:t>调整策略路由优先级</w:t>
            </w:r>
          </w:p>
        </w:tc>
      </w:tr>
      <w:tr w14:paraId="25FEDA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69A7A463">
            <w:pPr>
              <w:pStyle w:val="186"/>
              <w:widowControl w:val="0"/>
              <w:spacing w:line="240" w:lineRule="auto"/>
              <w:ind w:firstLine="0"/>
              <w:jc w:val="left"/>
            </w:pPr>
            <w:r>
              <w:rPr>
                <w:rFonts w:hint="eastAsia"/>
              </w:rPr>
              <w:t>ID</w:t>
            </w:r>
          </w:p>
        </w:tc>
        <w:tc>
          <w:tcPr>
            <w:tcW w:w="6826" w:type="dxa"/>
            <w:shd w:val="clear" w:color="auto" w:fill="auto"/>
          </w:tcPr>
          <w:p w14:paraId="5F5A4B12">
            <w:pPr>
              <w:pStyle w:val="186"/>
              <w:widowControl w:val="0"/>
              <w:spacing w:line="240" w:lineRule="auto"/>
              <w:ind w:firstLine="0"/>
              <w:jc w:val="left"/>
            </w:pPr>
            <w:r>
              <w:rPr>
                <w:rFonts w:hint="eastAsia"/>
              </w:rPr>
              <w:t>策略路由的ID</w:t>
            </w:r>
          </w:p>
        </w:tc>
      </w:tr>
      <w:tr w14:paraId="7DFF26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3D22FF03">
            <w:pPr>
              <w:pStyle w:val="186"/>
              <w:widowControl w:val="0"/>
              <w:spacing w:line="240" w:lineRule="auto"/>
              <w:ind w:firstLine="0"/>
              <w:jc w:val="left"/>
            </w:pPr>
            <w:r>
              <w:rPr>
                <w:rFonts w:hint="eastAsia"/>
              </w:rPr>
              <w:t>入接口</w:t>
            </w:r>
          </w:p>
        </w:tc>
        <w:tc>
          <w:tcPr>
            <w:tcW w:w="6826" w:type="dxa"/>
            <w:shd w:val="clear" w:color="auto" w:fill="auto"/>
          </w:tcPr>
          <w:p w14:paraId="029DE24C">
            <w:pPr>
              <w:pStyle w:val="186"/>
              <w:widowControl w:val="0"/>
              <w:spacing w:line="240" w:lineRule="auto"/>
              <w:ind w:firstLine="0"/>
              <w:jc w:val="left"/>
            </w:pPr>
            <w:r>
              <w:rPr>
                <w:rFonts w:hint="eastAsia"/>
              </w:rPr>
              <w:t>报文的入接口</w:t>
            </w:r>
          </w:p>
        </w:tc>
      </w:tr>
      <w:tr w14:paraId="60A74D2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407B5CA5">
            <w:pPr>
              <w:pStyle w:val="186"/>
              <w:widowControl w:val="0"/>
              <w:spacing w:line="240" w:lineRule="auto"/>
              <w:ind w:firstLine="0"/>
              <w:jc w:val="left"/>
            </w:pPr>
            <w:r>
              <w:rPr>
                <w:rFonts w:hint="eastAsia"/>
              </w:rPr>
              <w:t>源地址</w:t>
            </w:r>
          </w:p>
        </w:tc>
        <w:tc>
          <w:tcPr>
            <w:tcW w:w="6826" w:type="dxa"/>
            <w:shd w:val="clear" w:color="auto" w:fill="auto"/>
          </w:tcPr>
          <w:p w14:paraId="579DED59">
            <w:pPr>
              <w:pStyle w:val="186"/>
              <w:widowControl w:val="0"/>
              <w:spacing w:line="240" w:lineRule="auto"/>
              <w:ind w:firstLine="0"/>
              <w:jc w:val="left"/>
            </w:pPr>
            <w:r>
              <w:rPr>
                <w:rFonts w:hint="eastAsia"/>
              </w:rPr>
              <w:t>源地址对象名称，地址对象或对象组</w:t>
            </w:r>
          </w:p>
        </w:tc>
      </w:tr>
      <w:tr w14:paraId="78ACA4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0D4747CE">
            <w:pPr>
              <w:pStyle w:val="186"/>
              <w:widowControl w:val="0"/>
              <w:spacing w:line="240" w:lineRule="auto"/>
              <w:ind w:firstLine="0"/>
              <w:jc w:val="left"/>
            </w:pPr>
            <w:r>
              <w:rPr>
                <w:rFonts w:hint="eastAsia"/>
              </w:rPr>
              <w:t>目的地址</w:t>
            </w:r>
          </w:p>
        </w:tc>
        <w:tc>
          <w:tcPr>
            <w:tcW w:w="6826" w:type="dxa"/>
            <w:shd w:val="clear" w:color="auto" w:fill="auto"/>
          </w:tcPr>
          <w:p w14:paraId="029A68A1">
            <w:pPr>
              <w:pStyle w:val="186"/>
              <w:widowControl w:val="0"/>
              <w:spacing w:line="240" w:lineRule="auto"/>
              <w:ind w:firstLine="0"/>
              <w:jc w:val="left"/>
            </w:pPr>
            <w:r>
              <w:rPr>
                <w:rFonts w:hint="eastAsia"/>
              </w:rPr>
              <w:t>目的地址对象名称，地址对象或对象组</w:t>
            </w:r>
          </w:p>
        </w:tc>
      </w:tr>
      <w:tr w14:paraId="1A3A0D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1224562F">
            <w:pPr>
              <w:pStyle w:val="186"/>
              <w:widowControl w:val="0"/>
              <w:spacing w:line="240" w:lineRule="auto"/>
              <w:ind w:firstLine="0"/>
              <w:jc w:val="left"/>
            </w:pPr>
            <w:r>
              <w:rPr>
                <w:rFonts w:hint="eastAsia"/>
              </w:rPr>
              <w:t>用户</w:t>
            </w:r>
          </w:p>
        </w:tc>
        <w:tc>
          <w:tcPr>
            <w:tcW w:w="6826" w:type="dxa"/>
            <w:shd w:val="clear" w:color="auto" w:fill="auto"/>
          </w:tcPr>
          <w:p w14:paraId="170AF3DC">
            <w:pPr>
              <w:pStyle w:val="186"/>
              <w:widowControl w:val="0"/>
              <w:spacing w:line="240" w:lineRule="auto"/>
              <w:ind w:firstLine="0"/>
              <w:jc w:val="left"/>
            </w:pPr>
            <w:r>
              <w:rPr>
                <w:rFonts w:hint="eastAsia"/>
              </w:rPr>
              <w:t>用户对象名称</w:t>
            </w:r>
          </w:p>
        </w:tc>
      </w:tr>
      <w:tr w14:paraId="6B27A20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4033F544">
            <w:pPr>
              <w:pStyle w:val="186"/>
              <w:widowControl w:val="0"/>
              <w:spacing w:line="240" w:lineRule="auto"/>
              <w:ind w:firstLine="0"/>
              <w:jc w:val="left"/>
            </w:pPr>
            <w:r>
              <w:rPr>
                <w:rFonts w:hint="eastAsia"/>
              </w:rPr>
              <w:t>服务</w:t>
            </w:r>
          </w:p>
        </w:tc>
        <w:tc>
          <w:tcPr>
            <w:tcW w:w="6826" w:type="dxa"/>
            <w:shd w:val="clear" w:color="auto" w:fill="auto"/>
          </w:tcPr>
          <w:p w14:paraId="2454FAD6">
            <w:pPr>
              <w:pStyle w:val="186"/>
              <w:widowControl w:val="0"/>
              <w:spacing w:line="240" w:lineRule="auto"/>
              <w:ind w:firstLine="0"/>
              <w:jc w:val="left"/>
            </w:pPr>
            <w:r>
              <w:rPr>
                <w:rFonts w:hint="eastAsia"/>
              </w:rPr>
              <w:t>服务对象名称</w:t>
            </w:r>
          </w:p>
        </w:tc>
      </w:tr>
      <w:tr w14:paraId="7A31CC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6A7EFE64">
            <w:pPr>
              <w:pStyle w:val="186"/>
              <w:widowControl w:val="0"/>
              <w:spacing w:line="240" w:lineRule="auto"/>
              <w:ind w:firstLine="0"/>
              <w:jc w:val="left"/>
            </w:pPr>
            <w:r>
              <w:rPr>
                <w:rFonts w:hint="eastAsia"/>
              </w:rPr>
              <w:t>应用</w:t>
            </w:r>
          </w:p>
        </w:tc>
        <w:tc>
          <w:tcPr>
            <w:tcW w:w="6826" w:type="dxa"/>
            <w:shd w:val="clear" w:color="auto" w:fill="auto"/>
          </w:tcPr>
          <w:p w14:paraId="24F23040">
            <w:pPr>
              <w:pStyle w:val="186"/>
              <w:widowControl w:val="0"/>
              <w:spacing w:line="240" w:lineRule="auto"/>
              <w:ind w:firstLine="0"/>
              <w:jc w:val="left"/>
            </w:pPr>
            <w:r>
              <w:rPr>
                <w:rFonts w:hint="eastAsia"/>
              </w:rPr>
              <w:t>应用对象名称</w:t>
            </w:r>
          </w:p>
        </w:tc>
      </w:tr>
      <w:tr w14:paraId="4696F19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63844455">
            <w:pPr>
              <w:pStyle w:val="186"/>
              <w:widowControl w:val="0"/>
              <w:spacing w:line="240" w:lineRule="auto"/>
              <w:ind w:firstLine="0"/>
              <w:jc w:val="left"/>
            </w:pPr>
            <w:r>
              <w:rPr>
                <w:rFonts w:hint="eastAsia"/>
              </w:rPr>
              <w:t>下一跳/出接口</w:t>
            </w:r>
          </w:p>
        </w:tc>
        <w:tc>
          <w:tcPr>
            <w:tcW w:w="6826" w:type="dxa"/>
            <w:shd w:val="clear" w:color="auto" w:fill="auto"/>
          </w:tcPr>
          <w:p w14:paraId="643E56DB">
            <w:pPr>
              <w:pStyle w:val="186"/>
              <w:widowControl w:val="0"/>
              <w:spacing w:line="240" w:lineRule="auto"/>
              <w:ind w:firstLine="0"/>
              <w:jc w:val="left"/>
            </w:pPr>
            <w:r>
              <w:rPr>
                <w:rFonts w:hint="eastAsia"/>
              </w:rPr>
              <w:t>报文转发的下一跳/出接口</w:t>
            </w:r>
          </w:p>
        </w:tc>
      </w:tr>
      <w:tr w14:paraId="2C07A0B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27BE11A2">
            <w:pPr>
              <w:pStyle w:val="186"/>
              <w:widowControl w:val="0"/>
              <w:spacing w:line="240" w:lineRule="auto"/>
              <w:ind w:firstLine="0"/>
              <w:jc w:val="left"/>
            </w:pPr>
            <w:r>
              <w:rPr>
                <w:rFonts w:hint="eastAsia"/>
              </w:rPr>
              <w:t>操作</w:t>
            </w:r>
          </w:p>
        </w:tc>
        <w:tc>
          <w:tcPr>
            <w:tcW w:w="6826" w:type="dxa"/>
            <w:shd w:val="clear" w:color="auto" w:fill="auto"/>
          </w:tcPr>
          <w:p w14:paraId="41B7320B">
            <w:pPr>
              <w:pStyle w:val="186"/>
              <w:widowControl w:val="0"/>
              <w:spacing w:line="240" w:lineRule="auto"/>
              <w:ind w:firstLine="0"/>
              <w:jc w:val="left"/>
            </w:pPr>
            <w:r>
              <w:rPr>
                <w:rFonts w:hint="eastAsia"/>
              </w:rPr>
              <w:t>点击</w:t>
            </w:r>
            <w:r>
              <w:drawing>
                <wp:inline distT="0" distB="0" distL="0" distR="0">
                  <wp:extent cx="171450" cy="171450"/>
                  <wp:effectExtent l="0" t="0" r="0" b="0"/>
                  <wp:docPr id="1295" name="图片 1295" descr="http://192.168.1.17/webui/images/basic/icons/icon_edi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 name="图片 1295" descr="http://192.168.1.17/webui/images/basic/icons/icon_edit.gif"/>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a:xfrm>
                            <a:off x="0" y="0"/>
                            <a:ext cx="171450" cy="171450"/>
                          </a:xfrm>
                          <a:prstGeom prst="rect">
                            <a:avLst/>
                          </a:prstGeom>
                          <a:noFill/>
                          <a:ln>
                            <a:noFill/>
                          </a:ln>
                        </pic:spPr>
                      </pic:pic>
                    </a:graphicData>
                  </a:graphic>
                </wp:inline>
              </w:drawing>
            </w:r>
            <w:r>
              <w:rPr>
                <w:rFonts w:hint="eastAsia"/>
              </w:rPr>
              <w:t>可以对该条策略路由进行修改，点击</w:t>
            </w:r>
            <w:r>
              <w:drawing>
                <wp:inline distT="0" distB="0" distL="0" distR="0">
                  <wp:extent cx="171450" cy="171450"/>
                  <wp:effectExtent l="0" t="0" r="0" b="0"/>
                  <wp:docPr id="1296" name="图片 1296" descr="http://192.168.1.17/webui/images/basic/icons/icon_de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图片 1296" descr="http://192.168.1.17/webui/images/basic/icons/icon_del.gif"/>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a:xfrm>
                            <a:off x="0" y="0"/>
                            <a:ext cx="171450" cy="171450"/>
                          </a:xfrm>
                          <a:prstGeom prst="rect">
                            <a:avLst/>
                          </a:prstGeom>
                          <a:noFill/>
                          <a:ln>
                            <a:noFill/>
                          </a:ln>
                        </pic:spPr>
                      </pic:pic>
                    </a:graphicData>
                  </a:graphic>
                </wp:inline>
              </w:drawing>
            </w:r>
            <w:r>
              <w:rPr>
                <w:rFonts w:hint="eastAsia"/>
              </w:rPr>
              <w:t>可以删除该条策略路由</w:t>
            </w:r>
          </w:p>
        </w:tc>
      </w:tr>
    </w:tbl>
    <w:p w14:paraId="3BAC9831"/>
    <w:p w14:paraId="67576D3C">
      <w:pPr>
        <w:pStyle w:val="5"/>
      </w:pPr>
      <w:bookmarkStart w:id="2179" w:name="_Toc172218106"/>
      <w:bookmarkStart w:id="2180" w:name="_Toc40275968"/>
      <w:bookmarkStart w:id="2181" w:name="_Toc474249943"/>
      <w:bookmarkStart w:id="2182" w:name="_Toc194080733"/>
      <w:bookmarkStart w:id="2183" w:name="_Toc196728065"/>
      <w:bookmarkStart w:id="2184" w:name="_Toc15484769"/>
      <w:bookmarkStart w:id="2185" w:name="_Toc23152535"/>
      <w:bookmarkStart w:id="2186" w:name="_Toc99561466"/>
      <w:bookmarkStart w:id="2187" w:name="_Toc141873404"/>
      <w:bookmarkStart w:id="2188" w:name="_Toc529430305"/>
      <w:bookmarkStart w:id="2189" w:name="_Toc142400920"/>
      <w:r>
        <w:rPr>
          <w:rFonts w:hint="eastAsia"/>
        </w:rPr>
        <w:t>策略路由配置</w:t>
      </w:r>
      <w:bookmarkEnd w:id="2179"/>
      <w:bookmarkEnd w:id="2180"/>
      <w:bookmarkEnd w:id="2181"/>
      <w:bookmarkEnd w:id="2182"/>
      <w:bookmarkEnd w:id="2183"/>
      <w:bookmarkEnd w:id="2184"/>
      <w:bookmarkEnd w:id="2185"/>
      <w:bookmarkEnd w:id="2186"/>
      <w:bookmarkEnd w:id="2187"/>
      <w:bookmarkEnd w:id="2188"/>
      <w:bookmarkEnd w:id="2189"/>
    </w:p>
    <w:p w14:paraId="2006840B">
      <w:r>
        <w:rPr>
          <w:rFonts w:hint="eastAsia"/>
        </w:rPr>
        <w:t>点击“新建”，配置策略路由相关信息。</w:t>
      </w:r>
    </w:p>
    <w:p w14:paraId="35046D64">
      <w:pPr>
        <w:pStyle w:val="188"/>
      </w:pPr>
      <w:bookmarkStart w:id="2190" w:name="_Toc141874601"/>
      <w:r>
        <w:rPr>
          <w:rFonts w:hint="eastAsia"/>
        </w:rPr>
        <w:t>策略路由配置页面</w:t>
      </w:r>
      <w:bookmarkEnd w:id="2190"/>
    </w:p>
    <w:p w14:paraId="05E5758A">
      <w:r>
        <w:drawing>
          <wp:inline distT="0" distB="0" distL="114300" distR="114300">
            <wp:extent cx="5238750" cy="4373880"/>
            <wp:effectExtent l="0" t="0" r="0" b="7620"/>
            <wp:docPr id="99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图片 70"/>
                    <pic:cNvPicPr>
                      <a:picLocks noChangeAspect="1"/>
                    </pic:cNvPicPr>
                  </pic:nvPicPr>
                  <pic:blipFill>
                    <a:blip r:embed="rId279"/>
                    <a:srcRect r="19316"/>
                    <a:stretch>
                      <a:fillRect/>
                    </a:stretch>
                  </pic:blipFill>
                  <pic:spPr>
                    <a:xfrm>
                      <a:off x="0" y="0"/>
                      <a:ext cx="5242402" cy="4377217"/>
                    </a:xfrm>
                    <a:prstGeom prst="rect">
                      <a:avLst/>
                    </a:prstGeom>
                    <a:noFill/>
                    <a:ln>
                      <a:noFill/>
                    </a:ln>
                  </pic:spPr>
                </pic:pic>
              </a:graphicData>
            </a:graphic>
          </wp:inline>
        </w:drawing>
      </w:r>
    </w:p>
    <w:p w14:paraId="4EDAEB4D"/>
    <w:p w14:paraId="3F81BD58">
      <w:pPr>
        <w:pStyle w:val="183"/>
      </w:pPr>
      <w:bookmarkStart w:id="2191" w:name="_Toc141875492"/>
      <w:r>
        <w:rPr>
          <w:rFonts w:hint="eastAsia"/>
        </w:rPr>
        <w:t>策略路由配置项含义</w:t>
      </w:r>
      <w:bookmarkEnd w:id="2191"/>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489"/>
        <w:gridCol w:w="7479"/>
      </w:tblGrid>
      <w:tr w14:paraId="5495AAD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tcBorders>
              <w:tl2br w:val="nil"/>
              <w:tr2bl w:val="nil"/>
            </w:tcBorders>
            <w:shd w:val="clear" w:color="auto" w:fill="538135" w:themeFill="accent6" w:themeFillShade="BF"/>
            <w:vAlign w:val="center"/>
          </w:tcPr>
          <w:p w14:paraId="6F49A0AC">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534" w:type="dxa"/>
            <w:tcBorders>
              <w:tl2br w:val="nil"/>
              <w:tr2bl w:val="nil"/>
            </w:tcBorders>
            <w:shd w:val="clear" w:color="auto" w:fill="538135" w:themeFill="accent6" w:themeFillShade="BF"/>
            <w:vAlign w:val="center"/>
          </w:tcPr>
          <w:p w14:paraId="76A5E02A">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933AD2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0CC8A0A7">
            <w:pPr>
              <w:pStyle w:val="186"/>
              <w:widowControl w:val="0"/>
              <w:spacing w:line="240" w:lineRule="auto"/>
              <w:ind w:firstLine="0"/>
              <w:jc w:val="left"/>
            </w:pPr>
            <w:r>
              <w:rPr>
                <w:rFonts w:hint="eastAsia"/>
              </w:rPr>
              <w:t>入接口</w:t>
            </w:r>
          </w:p>
        </w:tc>
        <w:tc>
          <w:tcPr>
            <w:tcW w:w="7534" w:type="dxa"/>
            <w:shd w:val="clear" w:color="auto" w:fill="auto"/>
          </w:tcPr>
          <w:p w14:paraId="07C7DB45">
            <w:pPr>
              <w:pStyle w:val="186"/>
              <w:widowControl w:val="0"/>
              <w:spacing w:line="240" w:lineRule="auto"/>
              <w:ind w:firstLine="0"/>
              <w:jc w:val="left"/>
            </w:pPr>
            <w:r>
              <w:rPr>
                <w:rFonts w:hint="eastAsia"/>
              </w:rPr>
              <w:t>报文的入接口</w:t>
            </w:r>
          </w:p>
        </w:tc>
      </w:tr>
      <w:tr w14:paraId="15CEE8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6E875948">
            <w:pPr>
              <w:pStyle w:val="186"/>
              <w:widowControl w:val="0"/>
              <w:spacing w:line="240" w:lineRule="auto"/>
              <w:ind w:firstLine="0"/>
              <w:jc w:val="left"/>
            </w:pPr>
            <w:r>
              <w:rPr>
                <w:rFonts w:hint="eastAsia"/>
              </w:rPr>
              <w:t>源地址</w:t>
            </w:r>
          </w:p>
        </w:tc>
        <w:tc>
          <w:tcPr>
            <w:tcW w:w="7534" w:type="dxa"/>
            <w:shd w:val="clear" w:color="auto" w:fill="auto"/>
          </w:tcPr>
          <w:p w14:paraId="5979195D">
            <w:pPr>
              <w:pStyle w:val="186"/>
              <w:widowControl w:val="0"/>
              <w:spacing w:line="240" w:lineRule="auto"/>
              <w:ind w:firstLine="0"/>
              <w:jc w:val="left"/>
            </w:pPr>
            <w:r>
              <w:rPr>
                <w:rFonts w:hint="eastAsia"/>
              </w:rPr>
              <w:t>源地址对象名称，地址对象或地址对象组，后面的&lt;新建&gt;是创建地址对象/地址对象组对象</w:t>
            </w:r>
          </w:p>
        </w:tc>
      </w:tr>
      <w:tr w14:paraId="125DEF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3DBAE0BA">
            <w:pPr>
              <w:pStyle w:val="186"/>
              <w:widowControl w:val="0"/>
              <w:spacing w:line="240" w:lineRule="auto"/>
              <w:ind w:firstLine="0"/>
              <w:jc w:val="left"/>
            </w:pPr>
            <w:r>
              <w:rPr>
                <w:rFonts w:hint="eastAsia"/>
              </w:rPr>
              <w:t>目的地址</w:t>
            </w:r>
          </w:p>
        </w:tc>
        <w:tc>
          <w:tcPr>
            <w:tcW w:w="7534" w:type="dxa"/>
            <w:shd w:val="clear" w:color="auto" w:fill="auto"/>
          </w:tcPr>
          <w:p w14:paraId="454C1211">
            <w:pPr>
              <w:pStyle w:val="186"/>
              <w:widowControl w:val="0"/>
              <w:spacing w:line="240" w:lineRule="auto"/>
              <w:ind w:firstLine="0"/>
              <w:jc w:val="left"/>
            </w:pPr>
            <w:r>
              <w:rPr>
                <w:rFonts w:hint="eastAsia"/>
              </w:rPr>
              <w:t>目的地址对象名称，地址对象或地址对象组，后面的&lt;新建&gt;是创建地址对象/地址对象组对象</w:t>
            </w:r>
          </w:p>
        </w:tc>
      </w:tr>
      <w:tr w14:paraId="01BBDA4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38B97C08">
            <w:pPr>
              <w:pStyle w:val="186"/>
              <w:widowControl w:val="0"/>
              <w:spacing w:line="240" w:lineRule="auto"/>
              <w:ind w:firstLine="0"/>
              <w:jc w:val="left"/>
            </w:pPr>
            <w:r>
              <w:rPr>
                <w:rFonts w:hint="eastAsia"/>
              </w:rPr>
              <w:t>用户</w:t>
            </w:r>
          </w:p>
        </w:tc>
        <w:tc>
          <w:tcPr>
            <w:tcW w:w="7534" w:type="dxa"/>
            <w:shd w:val="clear" w:color="auto" w:fill="auto"/>
          </w:tcPr>
          <w:p w14:paraId="3ED80EC8">
            <w:pPr>
              <w:pStyle w:val="186"/>
              <w:widowControl w:val="0"/>
              <w:spacing w:line="240" w:lineRule="auto"/>
              <w:ind w:firstLine="0"/>
              <w:jc w:val="left"/>
            </w:pPr>
            <w:r>
              <w:rPr>
                <w:rFonts w:hint="eastAsia"/>
              </w:rPr>
              <w:t>用户对象名称</w:t>
            </w:r>
          </w:p>
        </w:tc>
      </w:tr>
      <w:tr w14:paraId="4E858E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1EB0FA62">
            <w:pPr>
              <w:pStyle w:val="186"/>
              <w:widowControl w:val="0"/>
              <w:spacing w:line="240" w:lineRule="auto"/>
              <w:ind w:firstLine="0"/>
              <w:jc w:val="left"/>
            </w:pPr>
            <w:r>
              <w:rPr>
                <w:rFonts w:hint="eastAsia"/>
              </w:rPr>
              <w:t>服务</w:t>
            </w:r>
          </w:p>
        </w:tc>
        <w:tc>
          <w:tcPr>
            <w:tcW w:w="7534" w:type="dxa"/>
            <w:shd w:val="clear" w:color="auto" w:fill="auto"/>
          </w:tcPr>
          <w:p w14:paraId="0682445E">
            <w:pPr>
              <w:pStyle w:val="186"/>
              <w:widowControl w:val="0"/>
              <w:spacing w:line="240" w:lineRule="auto"/>
              <w:ind w:firstLine="0"/>
              <w:jc w:val="left"/>
            </w:pPr>
            <w:r>
              <w:rPr>
                <w:rFonts w:hint="eastAsia"/>
              </w:rPr>
              <w:t>服务对象名称</w:t>
            </w:r>
          </w:p>
        </w:tc>
      </w:tr>
      <w:tr w14:paraId="1D2C7D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74BAD791">
            <w:pPr>
              <w:pStyle w:val="186"/>
              <w:widowControl w:val="0"/>
              <w:spacing w:line="240" w:lineRule="auto"/>
              <w:ind w:firstLine="0"/>
              <w:jc w:val="left"/>
            </w:pPr>
            <w:r>
              <w:rPr>
                <w:rFonts w:hint="eastAsia"/>
              </w:rPr>
              <w:t>应用</w:t>
            </w:r>
          </w:p>
        </w:tc>
        <w:tc>
          <w:tcPr>
            <w:tcW w:w="7534" w:type="dxa"/>
            <w:shd w:val="clear" w:color="auto" w:fill="auto"/>
          </w:tcPr>
          <w:p w14:paraId="3EECCACA">
            <w:pPr>
              <w:pStyle w:val="186"/>
              <w:widowControl w:val="0"/>
              <w:spacing w:line="240" w:lineRule="auto"/>
              <w:ind w:firstLine="0"/>
              <w:jc w:val="left"/>
            </w:pPr>
            <w:r>
              <w:rPr>
                <w:rFonts w:hint="eastAsia"/>
              </w:rPr>
              <w:t>应用对象名称</w:t>
            </w:r>
          </w:p>
        </w:tc>
      </w:tr>
      <w:tr w14:paraId="3CAC3FF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4EDC3F96">
            <w:pPr>
              <w:pStyle w:val="186"/>
              <w:widowControl w:val="0"/>
              <w:spacing w:line="240" w:lineRule="auto"/>
              <w:ind w:firstLine="0"/>
              <w:jc w:val="left"/>
            </w:pPr>
            <w:r>
              <w:rPr>
                <w:rFonts w:hint="eastAsia"/>
              </w:rPr>
              <w:t>时间</w:t>
            </w:r>
          </w:p>
        </w:tc>
        <w:tc>
          <w:tcPr>
            <w:tcW w:w="7534" w:type="dxa"/>
            <w:shd w:val="clear" w:color="auto" w:fill="auto"/>
          </w:tcPr>
          <w:p w14:paraId="72803CE0">
            <w:pPr>
              <w:pStyle w:val="186"/>
              <w:widowControl w:val="0"/>
              <w:spacing w:line="240" w:lineRule="auto"/>
              <w:ind w:firstLine="0"/>
              <w:jc w:val="left"/>
            </w:pPr>
            <w:r>
              <w:rPr>
                <w:rFonts w:hint="eastAsia"/>
              </w:rPr>
              <w:t xml:space="preserve"> 策略路由生效时间</w:t>
            </w:r>
          </w:p>
        </w:tc>
      </w:tr>
      <w:tr w14:paraId="28E2EF6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371F5B86">
            <w:pPr>
              <w:pStyle w:val="186"/>
              <w:widowControl w:val="0"/>
              <w:spacing w:line="240" w:lineRule="auto"/>
              <w:ind w:firstLine="0"/>
              <w:jc w:val="left"/>
            </w:pPr>
            <w:r>
              <w:rPr>
                <w:rFonts w:hint="eastAsia"/>
              </w:rPr>
              <w:t>下一跳信息</w:t>
            </w:r>
          </w:p>
        </w:tc>
        <w:tc>
          <w:tcPr>
            <w:tcW w:w="7534" w:type="dxa"/>
            <w:shd w:val="clear" w:color="auto" w:fill="auto"/>
          </w:tcPr>
          <w:p w14:paraId="4906E744">
            <w:pPr>
              <w:pStyle w:val="186"/>
              <w:widowControl w:val="0"/>
              <w:spacing w:line="240" w:lineRule="auto"/>
              <w:ind w:firstLine="0"/>
              <w:jc w:val="left"/>
            </w:pPr>
            <w:r>
              <w:rPr>
                <w:rFonts w:hint="eastAsia"/>
              </w:rPr>
              <w:t>可以选择下一跳地址，也可以选择出接口</w:t>
            </w:r>
          </w:p>
        </w:tc>
      </w:tr>
      <w:tr w14:paraId="498FEE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2506F1C6">
            <w:pPr>
              <w:pStyle w:val="186"/>
              <w:widowControl w:val="0"/>
              <w:spacing w:line="240" w:lineRule="auto"/>
              <w:ind w:firstLine="0"/>
              <w:jc w:val="left"/>
            </w:pPr>
            <w:r>
              <w:rPr>
                <w:rFonts w:hint="eastAsia"/>
              </w:rPr>
              <w:t>权重</w:t>
            </w:r>
          </w:p>
        </w:tc>
        <w:tc>
          <w:tcPr>
            <w:tcW w:w="7534" w:type="dxa"/>
            <w:shd w:val="clear" w:color="auto" w:fill="auto"/>
          </w:tcPr>
          <w:p w14:paraId="16760AFB">
            <w:pPr>
              <w:pStyle w:val="186"/>
              <w:widowControl w:val="0"/>
              <w:spacing w:line="240" w:lineRule="auto"/>
              <w:ind w:firstLine="0"/>
              <w:jc w:val="left"/>
            </w:pPr>
            <w:r>
              <w:rPr>
                <w:rFonts w:hint="eastAsia"/>
              </w:rPr>
              <w:t>该策略路由的权重值</w:t>
            </w:r>
          </w:p>
        </w:tc>
      </w:tr>
    </w:tbl>
    <w:p w14:paraId="31C4B5EC"/>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32AEA834">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26AE54E4">
            <w:pPr>
              <w:pStyle w:val="150"/>
              <w:adjustRightInd w:val="0"/>
              <w:snapToGrid w:val="0"/>
              <w:rPr>
                <w:color w:val="auto"/>
              </w:rPr>
            </w:pPr>
            <w:r>
              <w:rPr>
                <w:b/>
                <w:color w:val="auto"/>
              </w:rPr>
              <w:drawing>
                <wp:inline distT="0" distB="0" distL="0" distR="0">
                  <wp:extent cx="283210" cy="283210"/>
                  <wp:effectExtent l="0" t="0" r="2540" b="254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08FB7B1C">
            <w:pPr>
              <w:pStyle w:val="150"/>
              <w:adjustRightInd w:val="0"/>
              <w:snapToGrid w:val="0"/>
              <w:rPr>
                <w:color w:val="auto"/>
              </w:rPr>
            </w:pPr>
            <w:r>
              <w:rPr>
                <w:rFonts w:hint="eastAsia"/>
                <w:color w:val="auto"/>
              </w:rPr>
              <w:t>每创建一条策略路由后，系统都会为新建的路由自动分配一个ID，但该ID与路由匹配优先级无关。流量进入设备后，设备对策略路由表中的所有策略规则进行顺序匹配，按照匹配到的第一条策略规则对流量进行处理。用户可根据需要移动策略路由的位置来调整规则的匹配顺序。</w:t>
            </w:r>
          </w:p>
        </w:tc>
      </w:tr>
    </w:tbl>
    <w:p w14:paraId="3BCED31D"/>
    <w:p w14:paraId="0885DD93">
      <w:pPr>
        <w:pStyle w:val="5"/>
      </w:pPr>
      <w:bookmarkStart w:id="2192" w:name="_Toc529430306"/>
      <w:bookmarkStart w:id="2193" w:name="_Toc23152536"/>
      <w:bookmarkStart w:id="2194" w:name="_Toc40275969"/>
      <w:bookmarkStart w:id="2195" w:name="_Toc99561467"/>
      <w:bookmarkStart w:id="2196" w:name="_Toc142400921"/>
      <w:bookmarkStart w:id="2197" w:name="_Toc474249944"/>
      <w:bookmarkStart w:id="2198" w:name="_Toc141873405"/>
      <w:bookmarkStart w:id="2199" w:name="_Toc15484770"/>
      <w:bookmarkStart w:id="2200" w:name="_Toc172218107"/>
      <w:bookmarkStart w:id="2201" w:name="_Toc196728066"/>
      <w:bookmarkStart w:id="2202" w:name="_Toc194080734"/>
      <w:r>
        <w:rPr>
          <w:rFonts w:hint="eastAsia"/>
        </w:rPr>
        <w:t>移动策略路由</w:t>
      </w:r>
      <w:bookmarkEnd w:id="2192"/>
      <w:bookmarkEnd w:id="2193"/>
      <w:bookmarkEnd w:id="2194"/>
      <w:bookmarkEnd w:id="2195"/>
      <w:bookmarkEnd w:id="2196"/>
      <w:bookmarkEnd w:id="2197"/>
      <w:bookmarkEnd w:id="2198"/>
      <w:bookmarkEnd w:id="2199"/>
      <w:bookmarkEnd w:id="2200"/>
      <w:bookmarkEnd w:id="2201"/>
      <w:bookmarkEnd w:id="2202"/>
    </w:p>
    <w:p w14:paraId="1292024F">
      <w:r>
        <w:rPr>
          <w:rFonts w:hint="eastAsia"/>
        </w:rPr>
        <w:t>点击“优先级”，进入如</w:t>
      </w:r>
      <w:r>
        <w:fldChar w:fldCharType="begin"/>
      </w:r>
      <w:r>
        <w:instrText xml:space="preserve"> REF _Ref392844004 \r \h </w:instrText>
      </w:r>
      <w:r>
        <w:fldChar w:fldCharType="separate"/>
      </w:r>
      <w:r>
        <w:rPr>
          <w:rFonts w:hint="eastAsia"/>
        </w:rPr>
        <w:t>图7-32</w:t>
      </w:r>
      <w:r>
        <w:fldChar w:fldCharType="end"/>
      </w:r>
      <w:r>
        <w:rPr>
          <w:rFonts w:hint="eastAsia"/>
        </w:rPr>
        <w:t>所示页面。各配置项含义如</w:t>
      </w:r>
      <w:r>
        <w:fldChar w:fldCharType="begin"/>
      </w:r>
      <w:r>
        <w:instrText xml:space="preserve"> REF _Ref392844077 \r \h </w:instrText>
      </w:r>
      <w:r>
        <w:fldChar w:fldCharType="separate"/>
      </w:r>
      <w:r>
        <w:rPr>
          <w:rFonts w:hint="eastAsia"/>
        </w:rPr>
        <w:t>表7-1</w:t>
      </w:r>
      <w:r>
        <w:fldChar w:fldCharType="end"/>
      </w:r>
      <w:r>
        <w:rPr>
          <w:rFonts w:hint="eastAsia"/>
        </w:rPr>
        <w:t>所示。</w:t>
      </w:r>
    </w:p>
    <w:p w14:paraId="066F4321">
      <w:pPr>
        <w:pStyle w:val="188"/>
      </w:pPr>
      <w:bookmarkStart w:id="2203" w:name="_Ref392844004"/>
      <w:bookmarkStart w:id="2204" w:name="_Toc141874602"/>
      <w:r>
        <w:rPr>
          <w:rFonts w:hint="eastAsia"/>
        </w:rPr>
        <w:t>移动策略路由</w:t>
      </w:r>
      <w:bookmarkEnd w:id="2203"/>
      <w:bookmarkEnd w:id="2204"/>
    </w:p>
    <w:p w14:paraId="756F05D4">
      <w:r>
        <w:drawing>
          <wp:inline distT="0" distB="0" distL="0" distR="0">
            <wp:extent cx="4771390" cy="2332990"/>
            <wp:effectExtent l="0" t="0" r="0" b="0"/>
            <wp:docPr id="1298" name="图片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 name="图片 1298"/>
                    <pic:cNvPicPr>
                      <a:picLocks noChangeAspect="1"/>
                    </pic:cNvPicPr>
                  </pic:nvPicPr>
                  <pic:blipFill>
                    <a:blip r:embed="rId280"/>
                    <a:stretch>
                      <a:fillRect/>
                    </a:stretch>
                  </pic:blipFill>
                  <pic:spPr>
                    <a:xfrm>
                      <a:off x="0" y="0"/>
                      <a:ext cx="4771429" cy="2333333"/>
                    </a:xfrm>
                    <a:prstGeom prst="rect">
                      <a:avLst/>
                    </a:prstGeom>
                  </pic:spPr>
                </pic:pic>
              </a:graphicData>
            </a:graphic>
          </wp:inline>
        </w:drawing>
      </w:r>
    </w:p>
    <w:p w14:paraId="3F3F82BD"/>
    <w:p w14:paraId="028755B8">
      <w:pPr>
        <w:pStyle w:val="183"/>
      </w:pPr>
      <w:bookmarkStart w:id="2205" w:name="_Ref392844077"/>
      <w:bookmarkStart w:id="2206" w:name="_Toc141875493"/>
      <w:r>
        <w:rPr>
          <w:rFonts w:hint="eastAsia"/>
        </w:rPr>
        <w:t>移动策略路由配置项含义</w:t>
      </w:r>
      <w:bookmarkEnd w:id="2205"/>
      <w:bookmarkEnd w:id="2206"/>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3"/>
        <w:gridCol w:w="6635"/>
      </w:tblGrid>
      <w:tr w14:paraId="43A025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tcBorders>
              <w:tl2br w:val="nil"/>
              <w:tr2bl w:val="nil"/>
            </w:tcBorders>
            <w:shd w:val="clear" w:color="auto" w:fill="538135" w:themeFill="accent6" w:themeFillShade="BF"/>
            <w:vAlign w:val="center"/>
          </w:tcPr>
          <w:p w14:paraId="1CF02B25">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84" w:type="dxa"/>
            <w:tcBorders>
              <w:tl2br w:val="nil"/>
              <w:tr2bl w:val="nil"/>
            </w:tcBorders>
            <w:shd w:val="clear" w:color="auto" w:fill="538135" w:themeFill="accent6" w:themeFillShade="BF"/>
            <w:vAlign w:val="center"/>
          </w:tcPr>
          <w:p w14:paraId="44B3DFDE">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713016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71D282D6">
            <w:pPr>
              <w:pStyle w:val="186"/>
              <w:widowControl w:val="0"/>
              <w:spacing w:line="240" w:lineRule="auto"/>
              <w:ind w:firstLine="0"/>
              <w:jc w:val="left"/>
            </w:pPr>
            <w:r>
              <w:rPr>
                <w:rFonts w:hint="eastAsia"/>
              </w:rPr>
              <w:t>被移动策略ID</w:t>
            </w:r>
          </w:p>
        </w:tc>
        <w:tc>
          <w:tcPr>
            <w:tcW w:w="6684" w:type="dxa"/>
            <w:shd w:val="clear" w:color="auto" w:fill="auto"/>
          </w:tcPr>
          <w:p w14:paraId="33F24AE6">
            <w:pPr>
              <w:pStyle w:val="186"/>
              <w:widowControl w:val="0"/>
              <w:spacing w:line="240" w:lineRule="auto"/>
              <w:ind w:firstLine="0"/>
              <w:jc w:val="left"/>
            </w:pPr>
            <w:r>
              <w:rPr>
                <w:rFonts w:hint="eastAsia"/>
              </w:rPr>
              <w:t>被移动策略ID</w:t>
            </w:r>
          </w:p>
        </w:tc>
      </w:tr>
      <w:tr w14:paraId="537336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5CDAED48">
            <w:pPr>
              <w:pStyle w:val="186"/>
              <w:widowControl w:val="0"/>
              <w:spacing w:line="240" w:lineRule="auto"/>
              <w:ind w:firstLine="0"/>
              <w:jc w:val="left"/>
            </w:pPr>
            <w:r>
              <w:rPr>
                <w:rFonts w:hint="eastAsia"/>
              </w:rPr>
              <w:t>目标位置</w:t>
            </w:r>
          </w:p>
        </w:tc>
        <w:tc>
          <w:tcPr>
            <w:tcW w:w="6684" w:type="dxa"/>
            <w:shd w:val="clear" w:color="auto" w:fill="auto"/>
          </w:tcPr>
          <w:p w14:paraId="55CDCE61">
            <w:pPr>
              <w:pStyle w:val="186"/>
              <w:widowControl w:val="0"/>
              <w:spacing w:line="240" w:lineRule="auto"/>
              <w:ind w:firstLine="0"/>
              <w:jc w:val="left"/>
            </w:pPr>
            <w:r>
              <w:rPr>
                <w:rFonts w:hint="eastAsia"/>
              </w:rPr>
              <w:t>要移动到的位置，一共四个位置：策略最前、策略ID之前、策略ID之后、策略最后</w:t>
            </w:r>
          </w:p>
        </w:tc>
      </w:tr>
      <w:tr w14:paraId="7D79617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05F72ABA">
            <w:pPr>
              <w:pStyle w:val="186"/>
              <w:widowControl w:val="0"/>
              <w:spacing w:line="240" w:lineRule="auto"/>
              <w:ind w:firstLine="0"/>
              <w:jc w:val="left"/>
            </w:pPr>
            <w:r>
              <w:rPr>
                <w:rFonts w:hint="eastAsia"/>
              </w:rPr>
              <w:t>目标位置策略ID</w:t>
            </w:r>
          </w:p>
        </w:tc>
        <w:tc>
          <w:tcPr>
            <w:tcW w:w="6684" w:type="dxa"/>
            <w:shd w:val="clear" w:color="auto" w:fill="auto"/>
          </w:tcPr>
          <w:p w14:paraId="762ED39F">
            <w:pPr>
              <w:pStyle w:val="186"/>
              <w:widowControl w:val="0"/>
              <w:spacing w:line="240" w:lineRule="auto"/>
              <w:ind w:firstLine="0"/>
              <w:jc w:val="left"/>
            </w:pPr>
            <w:r>
              <w:rPr>
                <w:rFonts w:hint="eastAsia"/>
              </w:rPr>
              <w:t>目标位置策略ID</w:t>
            </w:r>
          </w:p>
        </w:tc>
      </w:tr>
    </w:tbl>
    <w:p w14:paraId="349DD373"/>
    <w:p w14:paraId="25C5B0EE">
      <w:pPr>
        <w:pStyle w:val="5"/>
      </w:pPr>
      <w:bookmarkStart w:id="2207" w:name="_Toc474249946"/>
      <w:bookmarkStart w:id="2208" w:name="_Toc40275970"/>
      <w:bookmarkStart w:id="2209" w:name="_Toc529430308"/>
      <w:bookmarkStart w:id="2210" w:name="_Toc99561468"/>
      <w:bookmarkStart w:id="2211" w:name="_Toc141873406"/>
      <w:bookmarkStart w:id="2212" w:name="_Toc142400922"/>
      <w:bookmarkStart w:id="2213" w:name="_Toc172218108"/>
      <w:bookmarkStart w:id="2214" w:name="_Toc194080735"/>
      <w:bookmarkStart w:id="2215" w:name="_Toc15484771"/>
      <w:bookmarkStart w:id="2216" w:name="_Toc23152537"/>
      <w:bookmarkStart w:id="2217" w:name="_Toc196728067"/>
      <w:r>
        <w:rPr>
          <w:rFonts w:hint="eastAsia"/>
        </w:rPr>
        <w:t>策略路由配置举例</w:t>
      </w:r>
      <w:bookmarkEnd w:id="2207"/>
      <w:bookmarkEnd w:id="2208"/>
      <w:bookmarkEnd w:id="2209"/>
      <w:bookmarkEnd w:id="2210"/>
      <w:bookmarkEnd w:id="2211"/>
      <w:bookmarkEnd w:id="2212"/>
      <w:bookmarkEnd w:id="2213"/>
      <w:bookmarkEnd w:id="2214"/>
      <w:bookmarkEnd w:id="2215"/>
      <w:bookmarkEnd w:id="2216"/>
      <w:bookmarkEnd w:id="2217"/>
    </w:p>
    <w:p w14:paraId="2C215F3F">
      <w:pPr>
        <w:pStyle w:val="6"/>
      </w:pPr>
      <w:bookmarkStart w:id="2218" w:name="_Toc529430309"/>
      <w:r>
        <w:rPr>
          <w:rFonts w:hint="eastAsia"/>
        </w:rPr>
        <w:t>组网需求</w:t>
      </w:r>
      <w:bookmarkEnd w:id="2218"/>
    </w:p>
    <w:p w14:paraId="174FC3FD">
      <w:r>
        <w:rPr>
          <w:rFonts w:hint="eastAsia"/>
        </w:rPr>
        <w:t>各设备接口及主机的</w:t>
      </w:r>
      <w:r>
        <w:t>IP</w:t>
      </w:r>
      <w:r>
        <w:rPr>
          <w:rFonts w:hint="eastAsia"/>
        </w:rPr>
        <w:t>地址和掩码如</w:t>
      </w:r>
      <w:r>
        <w:fldChar w:fldCharType="begin"/>
      </w:r>
      <w:r>
        <w:instrText xml:space="preserve"> REF _Ref392844520 \r \h </w:instrText>
      </w:r>
      <w:r>
        <w:fldChar w:fldCharType="separate"/>
      </w:r>
      <w:r>
        <w:rPr>
          <w:rFonts w:hint="eastAsia"/>
        </w:rPr>
        <w:t>图7-33</w:t>
      </w:r>
      <w:r>
        <w:fldChar w:fldCharType="end"/>
      </w:r>
      <w:r>
        <w:rPr>
          <w:rFonts w:hint="eastAsia"/>
        </w:rPr>
        <w:t>所示。</w:t>
      </w:r>
    </w:p>
    <w:p w14:paraId="6A1E7B0D">
      <w:r>
        <w:rPr>
          <w:rFonts w:hint="eastAsia"/>
        </w:rPr>
        <w:t>将来自192.168.1.0/24网段的数据包路由至设备200.0.0.2上。</w:t>
      </w:r>
    </w:p>
    <w:p w14:paraId="2E63A021">
      <w:r>
        <w:rPr>
          <w:rFonts w:hint="eastAsia"/>
        </w:rPr>
        <w:t>将来自192.168.2.0/24网段的数据包路由至设备200.0.1.2上。</w:t>
      </w:r>
    </w:p>
    <w:p w14:paraId="3F02D5E0">
      <w:r>
        <w:rPr>
          <w:rFonts w:hint="eastAsia"/>
        </w:rPr>
        <w:t>通过这样的配置可以有选择的限制不同的</w:t>
      </w:r>
      <w:r>
        <w:t>IP</w:t>
      </w:r>
      <w:r>
        <w:rPr>
          <w:rFonts w:hint="eastAsia"/>
        </w:rPr>
        <w:t>用户访问不同的网络或使用不同的网络出口。</w:t>
      </w:r>
    </w:p>
    <w:p w14:paraId="6AD3BB94">
      <w:pPr>
        <w:pStyle w:val="6"/>
      </w:pPr>
      <w:bookmarkStart w:id="2219" w:name="_Toc529430310"/>
      <w:r>
        <w:rPr>
          <w:rFonts w:hint="eastAsia"/>
        </w:rPr>
        <w:t>组网图</w:t>
      </w:r>
      <w:bookmarkEnd w:id="2219"/>
    </w:p>
    <w:p w14:paraId="57D0085D">
      <w:pPr>
        <w:pStyle w:val="188"/>
      </w:pPr>
      <w:bookmarkStart w:id="2220" w:name="_Toc141874603"/>
      <w:bookmarkStart w:id="2221" w:name="_Ref392844520"/>
      <w:r>
        <w:rPr>
          <w:rFonts w:hint="eastAsia"/>
        </w:rPr>
        <w:t>策略路由配置案例组网图</w:t>
      </w:r>
      <w:bookmarkEnd w:id="2220"/>
      <w:bookmarkEnd w:id="2221"/>
    </w:p>
    <w:p w14:paraId="62DDAB54">
      <w:r>
        <w:drawing>
          <wp:inline distT="0" distB="0" distL="0" distR="0">
            <wp:extent cx="2428240" cy="2704465"/>
            <wp:effectExtent l="0" t="0" r="0" b="635"/>
            <wp:docPr id="1299" name="图片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图片 1299"/>
                    <pic:cNvPicPr>
                      <a:picLocks noChangeAspect="1"/>
                    </pic:cNvPicPr>
                  </pic:nvPicPr>
                  <pic:blipFill>
                    <a:blip r:embed="rId281"/>
                    <a:stretch>
                      <a:fillRect/>
                    </a:stretch>
                  </pic:blipFill>
                  <pic:spPr>
                    <a:xfrm>
                      <a:off x="0" y="0"/>
                      <a:ext cx="2428571" cy="2704762"/>
                    </a:xfrm>
                    <a:prstGeom prst="rect">
                      <a:avLst/>
                    </a:prstGeom>
                  </pic:spPr>
                </pic:pic>
              </a:graphicData>
            </a:graphic>
          </wp:inline>
        </w:drawing>
      </w:r>
    </w:p>
    <w:p w14:paraId="6D02A3A8"/>
    <w:p w14:paraId="194D64B0">
      <w:pPr>
        <w:pStyle w:val="6"/>
      </w:pPr>
      <w:bookmarkStart w:id="2222" w:name="_Toc529430311"/>
      <w:r>
        <w:rPr>
          <w:rFonts w:hint="eastAsia"/>
        </w:rPr>
        <w:t>配置步骤</w:t>
      </w:r>
      <w:bookmarkEnd w:id="2222"/>
    </w:p>
    <w:p w14:paraId="491C62C4">
      <w:pPr>
        <w:pStyle w:val="202"/>
      </w:pPr>
      <w:r>
        <w:rPr>
          <w:rFonts w:hint="eastAsia"/>
        </w:rPr>
        <w:t>按照组网图组网</w:t>
      </w:r>
    </w:p>
    <w:p w14:paraId="6105E732">
      <w:pPr>
        <w:pStyle w:val="202"/>
        <w:rPr>
          <w:lang w:eastAsia="zh-CN"/>
        </w:rPr>
      </w:pPr>
      <w:r>
        <w:rPr>
          <w:rFonts w:hint="eastAsia"/>
          <w:lang w:eastAsia="zh-CN"/>
        </w:rPr>
        <w:t>通过菜单“网络配置&gt;路由管理</w:t>
      </w:r>
      <w:r>
        <w:rPr>
          <w:lang w:eastAsia="zh-CN"/>
        </w:rPr>
        <w:t xml:space="preserve">&gt; </w:t>
      </w:r>
      <w:r>
        <w:rPr>
          <w:rFonts w:hint="eastAsia"/>
          <w:lang w:eastAsia="zh-CN"/>
        </w:rPr>
        <w:t>策略路由”，点击</w:t>
      </w:r>
      <w:r>
        <w:rPr>
          <w:lang w:eastAsia="zh-CN"/>
        </w:rPr>
        <w:t>&lt;</w:t>
      </w:r>
      <w:r>
        <w:rPr>
          <w:rFonts w:hint="eastAsia"/>
          <w:lang w:eastAsia="zh-CN"/>
        </w:rPr>
        <w:t>新建</w:t>
      </w:r>
      <w:r>
        <w:rPr>
          <w:lang w:eastAsia="zh-CN"/>
        </w:rPr>
        <w:t>&gt;</w:t>
      </w:r>
      <w:r>
        <w:rPr>
          <w:rFonts w:hint="eastAsia"/>
          <w:lang w:eastAsia="zh-CN"/>
        </w:rPr>
        <w:t>，创建策略路由。</w:t>
      </w:r>
    </w:p>
    <w:p w14:paraId="3A835BE1">
      <w:pPr>
        <w:pStyle w:val="202"/>
        <w:rPr>
          <w:lang w:eastAsia="zh-CN"/>
        </w:rPr>
      </w:pPr>
      <w:r>
        <w:rPr>
          <w:rFonts w:hint="eastAsia"/>
          <w:lang w:eastAsia="zh-CN"/>
        </w:rPr>
        <w:t>点击源地址那一栏后面的</w:t>
      </w:r>
      <w:r>
        <w:rPr>
          <w:lang w:eastAsia="zh-CN"/>
        </w:rPr>
        <w:t>&lt;</w:t>
      </w:r>
      <w:r>
        <w:rPr>
          <w:rFonts w:hint="eastAsia"/>
          <w:lang w:eastAsia="zh-CN"/>
        </w:rPr>
        <w:t>新建</w:t>
      </w:r>
      <w:r>
        <w:rPr>
          <w:lang w:eastAsia="zh-CN"/>
        </w:rPr>
        <w:t>&gt;</w:t>
      </w:r>
      <w:r>
        <w:rPr>
          <w:rFonts w:hint="eastAsia"/>
          <w:lang w:eastAsia="zh-CN"/>
        </w:rPr>
        <w:t>，建立</w:t>
      </w:r>
      <w:r>
        <w:rPr>
          <w:lang w:eastAsia="zh-CN"/>
        </w:rPr>
        <w:t>192.168.1.0/24</w:t>
      </w:r>
      <w:r>
        <w:rPr>
          <w:rFonts w:hint="eastAsia"/>
          <w:lang w:eastAsia="zh-CN"/>
        </w:rPr>
        <w:t>的地址对象。</w:t>
      </w:r>
    </w:p>
    <w:p w14:paraId="5C68A419">
      <w:pPr>
        <w:pStyle w:val="188"/>
      </w:pPr>
      <w:bookmarkStart w:id="2223" w:name="_Toc141874604"/>
      <w:bookmarkStart w:id="2224" w:name="_Ref392851217"/>
      <w:r>
        <w:rPr>
          <w:rFonts w:hint="eastAsia"/>
        </w:rPr>
        <w:t>地址对象配置</w:t>
      </w:r>
      <w:bookmarkEnd w:id="2223"/>
      <w:bookmarkEnd w:id="2224"/>
    </w:p>
    <w:p w14:paraId="356C395C">
      <w:r>
        <w:drawing>
          <wp:inline distT="0" distB="0" distL="114300" distR="114300">
            <wp:extent cx="5143500" cy="3238500"/>
            <wp:effectExtent l="0" t="0" r="0" b="0"/>
            <wp:docPr id="99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图片 71"/>
                    <pic:cNvPicPr>
                      <a:picLocks noChangeAspect="1"/>
                    </pic:cNvPicPr>
                  </pic:nvPicPr>
                  <pic:blipFill>
                    <a:blip r:embed="rId282"/>
                    <a:stretch>
                      <a:fillRect/>
                    </a:stretch>
                  </pic:blipFill>
                  <pic:spPr>
                    <a:xfrm>
                      <a:off x="0" y="0"/>
                      <a:ext cx="5143500" cy="3238500"/>
                    </a:xfrm>
                    <a:prstGeom prst="rect">
                      <a:avLst/>
                    </a:prstGeom>
                    <a:noFill/>
                    <a:ln>
                      <a:noFill/>
                    </a:ln>
                  </pic:spPr>
                </pic:pic>
              </a:graphicData>
            </a:graphic>
          </wp:inline>
        </w:drawing>
      </w:r>
    </w:p>
    <w:p w14:paraId="13E155F1"/>
    <w:p w14:paraId="46AAB805">
      <w:pPr>
        <w:pStyle w:val="202"/>
        <w:rPr>
          <w:lang w:eastAsia="zh-CN"/>
        </w:rPr>
      </w:pPr>
      <w:r>
        <w:rPr>
          <w:rFonts w:hint="eastAsia"/>
          <w:lang w:eastAsia="zh-CN"/>
        </w:rPr>
        <w:t>点击</w:t>
      </w:r>
      <w:r>
        <w:rPr>
          <w:lang w:eastAsia="zh-CN"/>
        </w:rPr>
        <w:t>&lt;</w:t>
      </w:r>
      <w:r>
        <w:rPr>
          <w:rFonts w:hint="eastAsia"/>
          <w:lang w:eastAsia="zh-CN"/>
        </w:rPr>
        <w:t>提交</w:t>
      </w:r>
      <w:r>
        <w:rPr>
          <w:lang w:eastAsia="zh-CN"/>
        </w:rPr>
        <w:t>&gt;</w:t>
      </w:r>
      <w:r>
        <w:rPr>
          <w:rFonts w:hint="eastAsia"/>
          <w:lang w:eastAsia="zh-CN"/>
        </w:rPr>
        <w:t>按钮，进入策略路由配置页面，并填写下一跳信息，并点击</w:t>
      </w:r>
      <w:r>
        <w:rPr>
          <w:lang w:eastAsia="zh-CN"/>
        </w:rPr>
        <w:t>&lt;</w:t>
      </w:r>
      <w:r>
        <w:rPr>
          <w:rFonts w:hint="eastAsia"/>
          <w:lang w:eastAsia="zh-CN"/>
        </w:rPr>
        <w:t>提交</w:t>
      </w:r>
      <w:r>
        <w:rPr>
          <w:lang w:eastAsia="zh-CN"/>
        </w:rPr>
        <w:t>&gt;</w:t>
      </w:r>
      <w:r>
        <w:rPr>
          <w:rFonts w:hint="eastAsia"/>
          <w:lang w:eastAsia="zh-CN"/>
        </w:rPr>
        <w:t>按钮提交该页配置。</w:t>
      </w:r>
    </w:p>
    <w:p w14:paraId="1E627DDF">
      <w:pPr>
        <w:pStyle w:val="188"/>
      </w:pPr>
      <w:r>
        <w:rPr>
          <w:rFonts w:hint="eastAsia"/>
        </w:rPr>
        <w:tab/>
      </w:r>
      <w:bookmarkStart w:id="2225" w:name="_Toc141874605"/>
      <w:bookmarkStart w:id="2226" w:name="_Ref407804172"/>
      <w:r>
        <w:rPr>
          <w:rFonts w:hint="eastAsia"/>
        </w:rPr>
        <w:t>配置策略路由</w:t>
      </w:r>
      <w:bookmarkEnd w:id="2225"/>
      <w:bookmarkEnd w:id="2226"/>
    </w:p>
    <w:p w14:paraId="438396A0">
      <w:r>
        <w:drawing>
          <wp:inline distT="0" distB="0" distL="114300" distR="114300">
            <wp:extent cx="5400040" cy="3703320"/>
            <wp:effectExtent l="0" t="0" r="0" b="0"/>
            <wp:docPr id="99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图片 72"/>
                    <pic:cNvPicPr>
                      <a:picLocks noChangeAspect="1"/>
                    </pic:cNvPicPr>
                  </pic:nvPicPr>
                  <pic:blipFill>
                    <a:blip r:embed="rId283"/>
                    <a:stretch>
                      <a:fillRect/>
                    </a:stretch>
                  </pic:blipFill>
                  <pic:spPr>
                    <a:xfrm>
                      <a:off x="0" y="0"/>
                      <a:ext cx="5400040" cy="3703874"/>
                    </a:xfrm>
                    <a:prstGeom prst="rect">
                      <a:avLst/>
                    </a:prstGeom>
                    <a:noFill/>
                    <a:ln>
                      <a:noFill/>
                    </a:ln>
                  </pic:spPr>
                </pic:pic>
              </a:graphicData>
            </a:graphic>
          </wp:inline>
        </w:drawing>
      </w:r>
    </w:p>
    <w:p w14:paraId="2A363DF6"/>
    <w:p w14:paraId="7DF3C4EE">
      <w:pPr>
        <w:pStyle w:val="202"/>
        <w:rPr>
          <w:lang w:eastAsia="zh-CN"/>
        </w:rPr>
      </w:pPr>
      <w:r>
        <w:rPr>
          <w:rFonts w:hint="eastAsia"/>
          <w:lang w:eastAsia="zh-CN"/>
        </w:rPr>
        <w:t>同样方式配置</w:t>
      </w:r>
      <w:r>
        <w:rPr>
          <w:lang w:eastAsia="zh-CN"/>
        </w:rPr>
        <w:t>192.168.2.0/24</w:t>
      </w:r>
      <w:r>
        <w:rPr>
          <w:rFonts w:hint="eastAsia"/>
          <w:lang w:eastAsia="zh-CN"/>
        </w:rPr>
        <w:t>网段的策略路由。</w:t>
      </w:r>
    </w:p>
    <w:p w14:paraId="0BD6D201">
      <w:pPr>
        <w:pStyle w:val="6"/>
      </w:pPr>
      <w:bookmarkStart w:id="2227" w:name="_Toc529430312"/>
      <w:r>
        <w:rPr>
          <w:rFonts w:hint="eastAsia"/>
        </w:rPr>
        <w:t>验证配置</w:t>
      </w:r>
      <w:bookmarkEnd w:id="2227"/>
    </w:p>
    <w:p w14:paraId="4B43276F">
      <w:r>
        <w:rPr>
          <w:rFonts w:hint="eastAsia"/>
        </w:rPr>
        <w:t>查看策略路由表，查看是否已经有已经配置的策略路由，如下图所示。</w:t>
      </w:r>
    </w:p>
    <w:p w14:paraId="6A4CBA91">
      <w:pPr>
        <w:pStyle w:val="188"/>
      </w:pPr>
      <w:r>
        <w:rPr>
          <w:rFonts w:hint="eastAsia"/>
        </w:rPr>
        <w:tab/>
      </w:r>
      <w:bookmarkStart w:id="2228" w:name="_Ref392852090"/>
      <w:bookmarkStart w:id="2229" w:name="_Toc141874606"/>
      <w:r>
        <w:rPr>
          <w:rFonts w:hint="eastAsia"/>
        </w:rPr>
        <w:t>验证</w:t>
      </w:r>
      <w:bookmarkEnd w:id="2228"/>
      <w:r>
        <w:rPr>
          <w:rFonts w:hint="eastAsia"/>
        </w:rPr>
        <w:t>策略路由配置</w:t>
      </w:r>
      <w:bookmarkEnd w:id="2229"/>
    </w:p>
    <w:p w14:paraId="1C9E4670">
      <w:r>
        <w:drawing>
          <wp:inline distT="0" distB="0" distL="114300" distR="114300">
            <wp:extent cx="5400040" cy="1017270"/>
            <wp:effectExtent l="0" t="0" r="0" b="0"/>
            <wp:docPr id="116"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73"/>
                    <pic:cNvPicPr>
                      <a:picLocks noChangeAspect="1"/>
                    </pic:cNvPicPr>
                  </pic:nvPicPr>
                  <pic:blipFill>
                    <a:blip r:embed="rId284"/>
                    <a:stretch>
                      <a:fillRect/>
                    </a:stretch>
                  </pic:blipFill>
                  <pic:spPr>
                    <a:xfrm>
                      <a:off x="0" y="0"/>
                      <a:ext cx="5400040" cy="1017448"/>
                    </a:xfrm>
                    <a:prstGeom prst="rect">
                      <a:avLst/>
                    </a:prstGeom>
                    <a:noFill/>
                    <a:ln>
                      <a:noFill/>
                    </a:ln>
                  </pic:spPr>
                </pic:pic>
              </a:graphicData>
            </a:graphic>
          </wp:inline>
        </w:drawing>
      </w:r>
    </w:p>
    <w:p w14:paraId="5F2492A1">
      <w:pPr>
        <w:pStyle w:val="4"/>
      </w:pPr>
      <w:bookmarkStart w:id="2230" w:name="_Toc141873407"/>
      <w:bookmarkStart w:id="2231" w:name="_Toc23152538"/>
      <w:bookmarkStart w:id="2232" w:name="_Toc194080736"/>
      <w:bookmarkStart w:id="2233" w:name="_Toc196728068"/>
      <w:bookmarkStart w:id="2234" w:name="_Toc474249947"/>
      <w:bookmarkStart w:id="2235" w:name="_Toc529430313"/>
      <w:bookmarkStart w:id="2236" w:name="_Toc15484772"/>
      <w:bookmarkStart w:id="2237" w:name="_Toc40275971"/>
      <w:bookmarkStart w:id="2238" w:name="_Toc99561469"/>
      <w:bookmarkStart w:id="2239" w:name="_Toc142400923"/>
      <w:bookmarkStart w:id="2240" w:name="_Toc172218109"/>
      <w:r>
        <w:rPr>
          <w:rFonts w:hint="eastAsia"/>
        </w:rPr>
        <w:t>ISP路由</w:t>
      </w:r>
      <w:bookmarkEnd w:id="2230"/>
      <w:bookmarkEnd w:id="2231"/>
      <w:bookmarkEnd w:id="2232"/>
      <w:bookmarkEnd w:id="2233"/>
      <w:bookmarkEnd w:id="2234"/>
      <w:bookmarkEnd w:id="2235"/>
      <w:bookmarkEnd w:id="2236"/>
      <w:bookmarkEnd w:id="2237"/>
      <w:bookmarkEnd w:id="2238"/>
      <w:bookmarkEnd w:id="2239"/>
      <w:bookmarkEnd w:id="2240"/>
    </w:p>
    <w:p w14:paraId="191A1F87">
      <w:pPr>
        <w:pStyle w:val="5"/>
      </w:pPr>
      <w:bookmarkStart w:id="2241" w:name="_Toc23152539"/>
      <w:bookmarkStart w:id="2242" w:name="_Toc15484773"/>
      <w:bookmarkStart w:id="2243" w:name="_Toc40275972"/>
      <w:bookmarkStart w:id="2244" w:name="_Toc141873408"/>
      <w:bookmarkStart w:id="2245" w:name="_Toc172218110"/>
      <w:bookmarkStart w:id="2246" w:name="_Toc529430314"/>
      <w:bookmarkStart w:id="2247" w:name="_Toc194080737"/>
      <w:bookmarkStart w:id="2248" w:name="_Toc99561470"/>
      <w:bookmarkStart w:id="2249" w:name="_Toc474249948"/>
      <w:bookmarkStart w:id="2250" w:name="_Toc142400924"/>
      <w:bookmarkStart w:id="2251" w:name="_Toc196728069"/>
      <w:r>
        <w:rPr>
          <w:rFonts w:hint="eastAsia"/>
        </w:rPr>
        <w:t>概述</w:t>
      </w:r>
      <w:bookmarkEnd w:id="2241"/>
      <w:bookmarkEnd w:id="2242"/>
      <w:bookmarkEnd w:id="2243"/>
      <w:bookmarkEnd w:id="2244"/>
      <w:bookmarkEnd w:id="2245"/>
      <w:bookmarkEnd w:id="2246"/>
      <w:bookmarkEnd w:id="2247"/>
      <w:bookmarkEnd w:id="2248"/>
      <w:bookmarkEnd w:id="2249"/>
      <w:bookmarkEnd w:id="2250"/>
      <w:bookmarkEnd w:id="2251"/>
    </w:p>
    <w:p w14:paraId="1A384D3F">
      <w:r>
        <w:rPr>
          <w:rFonts w:hint="eastAsia"/>
        </w:rPr>
        <w:t>很多用户通常会申请多条线路进行流量负载均衡。然而，一般的均衡是不会根据流量的流向，做均衡的，如果网通的服务器通过电信访问，网速就会很慢。安全网关针对该问题，提供</w:t>
      </w:r>
      <w:r>
        <w:t>ISP</w:t>
      </w:r>
      <w:r>
        <w:rPr>
          <w:rFonts w:hint="eastAsia"/>
        </w:rPr>
        <w:t>路由功能，使不同</w:t>
      </w:r>
      <w:r>
        <w:t>ISP</w:t>
      </w:r>
      <w:r>
        <w:rPr>
          <w:rFonts w:hint="eastAsia"/>
        </w:rPr>
        <w:t>流量走专有路由，从而提高网络速度。</w:t>
      </w:r>
    </w:p>
    <w:p w14:paraId="7CF81D22">
      <w:pPr>
        <w:pStyle w:val="5"/>
      </w:pPr>
      <w:bookmarkStart w:id="2252" w:name="_Toc15484774"/>
      <w:bookmarkStart w:id="2253" w:name="_Toc99561471"/>
      <w:bookmarkStart w:id="2254" w:name="_Toc23152540"/>
      <w:bookmarkStart w:id="2255" w:name="_Toc529430315"/>
      <w:bookmarkStart w:id="2256" w:name="_Toc172218111"/>
      <w:bookmarkStart w:id="2257" w:name="_Toc196728070"/>
      <w:bookmarkStart w:id="2258" w:name="_Toc474249949"/>
      <w:bookmarkStart w:id="2259" w:name="_Toc141873409"/>
      <w:bookmarkStart w:id="2260" w:name="_Toc40275973"/>
      <w:bookmarkStart w:id="2261" w:name="_Toc142400925"/>
      <w:bookmarkStart w:id="2262" w:name="_Toc194080738"/>
      <w:r>
        <w:rPr>
          <w:rFonts w:hint="eastAsia"/>
        </w:rPr>
        <w:t>配置ISP地址库</w:t>
      </w:r>
      <w:bookmarkEnd w:id="2252"/>
      <w:bookmarkEnd w:id="2253"/>
      <w:bookmarkEnd w:id="2254"/>
      <w:bookmarkEnd w:id="2255"/>
      <w:bookmarkEnd w:id="2256"/>
      <w:bookmarkEnd w:id="2257"/>
      <w:bookmarkEnd w:id="2258"/>
      <w:bookmarkEnd w:id="2259"/>
      <w:bookmarkEnd w:id="2260"/>
      <w:bookmarkEnd w:id="2261"/>
      <w:bookmarkEnd w:id="2262"/>
    </w:p>
    <w:p w14:paraId="5582AAD8">
      <w:r>
        <w:rPr>
          <w:rFonts w:hint="eastAsia"/>
        </w:rPr>
        <w:t>配置</w:t>
      </w:r>
      <w:r>
        <w:t xml:space="preserve">ISP </w:t>
      </w:r>
      <w:r>
        <w:rPr>
          <w:rFonts w:hint="eastAsia"/>
        </w:rPr>
        <w:t>路由，用户首先需要将子网条目添加到一个</w:t>
      </w:r>
      <w:r>
        <w:t>ISP</w:t>
      </w:r>
      <w:r>
        <w:rPr>
          <w:rFonts w:hint="eastAsia"/>
        </w:rPr>
        <w:t>地址库，然后才可以配置以</w:t>
      </w:r>
      <w:r>
        <w:t>ISP</w:t>
      </w:r>
      <w:r>
        <w:rPr>
          <w:rFonts w:hint="eastAsia"/>
        </w:rPr>
        <w:t>地址库名称为目的地的</w:t>
      </w:r>
      <w:r>
        <w:t xml:space="preserve">ISP </w:t>
      </w:r>
      <w:r>
        <w:rPr>
          <w:rFonts w:hint="eastAsia"/>
        </w:rPr>
        <w:t>路由。用户可以自定义</w:t>
      </w:r>
      <w:r>
        <w:t>ISP</w:t>
      </w:r>
      <w:r>
        <w:rPr>
          <w:rFonts w:hint="eastAsia"/>
        </w:rPr>
        <w:t>地址库，也可以使用预定义的ISP的地址库。安全网关提供了四个预定义</w:t>
      </w:r>
      <w:r>
        <w:t xml:space="preserve">ISP </w:t>
      </w:r>
      <w:r>
        <w:rPr>
          <w:rFonts w:hint="eastAsia"/>
        </w:rPr>
        <w:t>地址库，分别是中国电信（</w:t>
      </w:r>
      <w:r>
        <w:t>China</w:t>
      </w:r>
      <w:r>
        <w:rPr>
          <w:rFonts w:hint="eastAsia"/>
        </w:rPr>
        <w:t>T</w:t>
      </w:r>
      <w:r>
        <w:t>elecom</w:t>
      </w:r>
      <w:r>
        <w:rPr>
          <w:rFonts w:hint="eastAsia"/>
        </w:rPr>
        <w:t>）、中国联通（C</w:t>
      </w:r>
      <w:r>
        <w:t>hinaunicom</w:t>
      </w:r>
      <w:r>
        <w:rPr>
          <w:rFonts w:hint="eastAsia"/>
        </w:rPr>
        <w:t>）、教育网（</w:t>
      </w:r>
      <w:r>
        <w:t>ChinaEducation</w:t>
      </w:r>
      <w:r>
        <w:rPr>
          <w:rFonts w:hint="eastAsia"/>
        </w:rPr>
        <w:t>）、中国移动（</w:t>
      </w:r>
      <w:r>
        <w:t>ChinaMobile</w:t>
      </w:r>
      <w:r>
        <w:rPr>
          <w:rFonts w:hint="eastAsia"/>
        </w:rPr>
        <w:t>）。配置步骤如下：</w:t>
      </w:r>
    </w:p>
    <w:p w14:paraId="10E1064D">
      <w:pPr>
        <w:pStyle w:val="202"/>
        <w:rPr>
          <w:lang w:eastAsia="zh-CN"/>
        </w:rPr>
      </w:pPr>
      <w:r>
        <w:rPr>
          <w:rFonts w:hint="eastAsia"/>
          <w:lang w:eastAsia="zh-CN"/>
        </w:rPr>
        <w:t>通过菜单“网络配置&gt;路由管理 &gt;</w:t>
      </w:r>
      <w:r>
        <w:rPr>
          <w:lang w:eastAsia="zh-CN"/>
        </w:rPr>
        <w:t xml:space="preserve"> </w:t>
      </w:r>
      <w:r>
        <w:rPr>
          <w:rFonts w:hint="eastAsia"/>
          <w:lang w:eastAsia="zh-CN"/>
        </w:rPr>
        <w:t>ISP路由”，可以查看预定义的ISP地址库和自定义的地址库信息。</w:t>
      </w:r>
    </w:p>
    <w:p w14:paraId="23BB65AE">
      <w:pPr>
        <w:pStyle w:val="188"/>
      </w:pPr>
      <w:bookmarkStart w:id="2263" w:name="_Ref392854206"/>
      <w:bookmarkStart w:id="2264" w:name="_Toc141874607"/>
      <w:r>
        <w:rPr>
          <w:rFonts w:hint="eastAsia"/>
        </w:rPr>
        <w:t>ISP地址库</w:t>
      </w:r>
      <w:bookmarkEnd w:id="2263"/>
      <w:bookmarkEnd w:id="2264"/>
    </w:p>
    <w:p w14:paraId="67389668">
      <w:r>
        <w:drawing>
          <wp:inline distT="0" distB="0" distL="0" distR="0">
            <wp:extent cx="5638800" cy="2136140"/>
            <wp:effectExtent l="0" t="0" r="0" b="0"/>
            <wp:docPr id="1304" name="图片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图片 1304"/>
                    <pic:cNvPicPr>
                      <a:picLocks noChangeAspect="1"/>
                    </pic:cNvPicPr>
                  </pic:nvPicPr>
                  <pic:blipFill>
                    <a:blip r:embed="rId285"/>
                    <a:stretch>
                      <a:fillRect/>
                    </a:stretch>
                  </pic:blipFill>
                  <pic:spPr>
                    <a:xfrm>
                      <a:off x="0" y="0"/>
                      <a:ext cx="5661164" cy="2144887"/>
                    </a:xfrm>
                    <a:prstGeom prst="rect">
                      <a:avLst/>
                    </a:prstGeom>
                  </pic:spPr>
                </pic:pic>
              </a:graphicData>
            </a:graphic>
          </wp:inline>
        </w:drawing>
      </w:r>
    </w:p>
    <w:p w14:paraId="00EEF797"/>
    <w:p w14:paraId="6A9D0D3B">
      <w:pPr>
        <w:pStyle w:val="202"/>
        <w:rPr>
          <w:lang w:eastAsia="zh-CN"/>
        </w:rPr>
      </w:pPr>
      <w:r>
        <w:rPr>
          <w:rFonts w:hint="eastAsia"/>
          <w:lang w:eastAsia="zh-CN"/>
        </w:rPr>
        <w:t>点击&lt;新建&gt;按钮，进入ISP地址库的配置页面。各配置项含义如</w:t>
      </w:r>
      <w:r>
        <w:fldChar w:fldCharType="begin"/>
      </w:r>
      <w:r>
        <w:rPr>
          <w:lang w:eastAsia="zh-CN"/>
        </w:rPr>
        <w:instrText xml:space="preserve"> </w:instrText>
      </w:r>
      <w:r>
        <w:rPr>
          <w:rFonts w:hint="eastAsia"/>
          <w:lang w:eastAsia="zh-CN"/>
        </w:rPr>
        <w:instrText xml:space="preserve">REF _Ref393790859 \r \h</w:instrText>
      </w:r>
      <w:r>
        <w:rPr>
          <w:lang w:eastAsia="zh-CN"/>
        </w:rPr>
        <w:instrText xml:space="preserve"> </w:instrText>
      </w:r>
      <w:r>
        <w:fldChar w:fldCharType="separate"/>
      </w:r>
      <w:r>
        <w:rPr>
          <w:rFonts w:hint="eastAsia"/>
          <w:lang w:eastAsia="zh-CN"/>
        </w:rPr>
        <w:t>表7-1</w:t>
      </w:r>
      <w:r>
        <w:fldChar w:fldCharType="end"/>
      </w:r>
      <w:r>
        <w:rPr>
          <w:rFonts w:hint="eastAsia"/>
          <w:lang w:eastAsia="zh-CN"/>
        </w:rPr>
        <w:t>所示。</w:t>
      </w:r>
    </w:p>
    <w:p w14:paraId="2611852D">
      <w:pPr>
        <w:pStyle w:val="188"/>
      </w:pPr>
      <w:bookmarkStart w:id="2265" w:name="_Ref392854634"/>
      <w:bookmarkStart w:id="2266" w:name="_Toc141874608"/>
      <w:r>
        <w:rPr>
          <w:rFonts w:hint="eastAsia"/>
        </w:rPr>
        <w:t>新建ISP地址库</w:t>
      </w:r>
      <w:bookmarkEnd w:id="2265"/>
      <w:bookmarkEnd w:id="2266"/>
    </w:p>
    <w:p w14:paraId="092ECE24">
      <w:r>
        <w:drawing>
          <wp:inline distT="0" distB="0" distL="0" distR="0">
            <wp:extent cx="5400040" cy="3047365"/>
            <wp:effectExtent l="0" t="0" r="0" b="635"/>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286"/>
                    <a:stretch>
                      <a:fillRect/>
                    </a:stretch>
                  </pic:blipFill>
                  <pic:spPr>
                    <a:xfrm>
                      <a:off x="0" y="0"/>
                      <a:ext cx="5400040" cy="3047398"/>
                    </a:xfrm>
                    <a:prstGeom prst="rect">
                      <a:avLst/>
                    </a:prstGeom>
                  </pic:spPr>
                </pic:pic>
              </a:graphicData>
            </a:graphic>
          </wp:inline>
        </w:drawing>
      </w:r>
    </w:p>
    <w:p w14:paraId="63A6F6CB"/>
    <w:p w14:paraId="1756C109">
      <w:pPr>
        <w:pStyle w:val="183"/>
      </w:pPr>
      <w:bookmarkStart w:id="2267" w:name="_Toc141875494"/>
      <w:bookmarkStart w:id="2268" w:name="_Ref393790859"/>
      <w:r>
        <w:rPr>
          <w:rFonts w:hint="eastAsia"/>
        </w:rPr>
        <w:t>ISP地址库配置项含义</w:t>
      </w:r>
      <w:bookmarkEnd w:id="2267"/>
      <w:bookmarkEnd w:id="2268"/>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384"/>
        <w:gridCol w:w="7584"/>
      </w:tblGrid>
      <w:tr w14:paraId="6774BD5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84" w:type="dxa"/>
            <w:tcBorders>
              <w:tl2br w:val="nil"/>
              <w:tr2bl w:val="nil"/>
            </w:tcBorders>
            <w:shd w:val="clear" w:color="auto" w:fill="538135" w:themeFill="accent6" w:themeFillShade="BF"/>
            <w:vAlign w:val="center"/>
          </w:tcPr>
          <w:p w14:paraId="76383056">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584" w:type="dxa"/>
            <w:tcBorders>
              <w:tl2br w:val="nil"/>
              <w:tr2bl w:val="nil"/>
            </w:tcBorders>
            <w:shd w:val="clear" w:color="auto" w:fill="538135" w:themeFill="accent6" w:themeFillShade="BF"/>
            <w:vAlign w:val="center"/>
          </w:tcPr>
          <w:p w14:paraId="64A34AAD">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6947F0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84" w:type="dxa"/>
            <w:shd w:val="clear" w:color="auto" w:fill="auto"/>
          </w:tcPr>
          <w:p w14:paraId="049195EB">
            <w:pPr>
              <w:pStyle w:val="186"/>
              <w:widowControl w:val="0"/>
              <w:spacing w:line="240" w:lineRule="auto"/>
              <w:ind w:firstLine="0"/>
              <w:jc w:val="left"/>
            </w:pPr>
            <w:r>
              <w:rPr>
                <w:rFonts w:hint="eastAsia"/>
              </w:rPr>
              <w:t>名称</w:t>
            </w:r>
          </w:p>
        </w:tc>
        <w:tc>
          <w:tcPr>
            <w:tcW w:w="7584" w:type="dxa"/>
            <w:shd w:val="clear" w:color="auto" w:fill="auto"/>
          </w:tcPr>
          <w:p w14:paraId="603118E2">
            <w:pPr>
              <w:pStyle w:val="186"/>
              <w:widowControl w:val="0"/>
              <w:spacing w:line="240" w:lineRule="auto"/>
              <w:ind w:firstLine="0"/>
              <w:jc w:val="left"/>
            </w:pPr>
            <w:r>
              <w:rPr>
                <w:rFonts w:hint="eastAsia"/>
              </w:rPr>
              <w:t>设置ISP地址库名称</w:t>
            </w:r>
          </w:p>
        </w:tc>
      </w:tr>
      <w:tr w14:paraId="2515AC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84" w:type="dxa"/>
            <w:shd w:val="clear" w:color="auto" w:fill="auto"/>
          </w:tcPr>
          <w:p w14:paraId="19D9083B">
            <w:pPr>
              <w:pStyle w:val="186"/>
              <w:widowControl w:val="0"/>
              <w:spacing w:line="240" w:lineRule="auto"/>
              <w:ind w:firstLine="0"/>
              <w:jc w:val="left"/>
            </w:pPr>
            <w:r>
              <w:rPr>
                <w:rFonts w:hint="eastAsia"/>
              </w:rPr>
              <w:t>子网</w:t>
            </w:r>
          </w:p>
        </w:tc>
        <w:tc>
          <w:tcPr>
            <w:tcW w:w="7584" w:type="dxa"/>
            <w:shd w:val="clear" w:color="auto" w:fill="auto"/>
          </w:tcPr>
          <w:p w14:paraId="361D821F">
            <w:pPr>
              <w:pStyle w:val="186"/>
              <w:widowControl w:val="0"/>
              <w:spacing w:line="240" w:lineRule="auto"/>
              <w:ind w:firstLine="0"/>
              <w:jc w:val="left"/>
            </w:pPr>
            <w:r>
              <w:rPr>
                <w:rFonts w:hint="eastAsia"/>
              </w:rPr>
              <w:t>设置ISP地址库中的子网网段，格式为：IP地址/掩码，如192.168.1.1/24。最多可添加200个子网网段。</w:t>
            </w:r>
          </w:p>
        </w:tc>
      </w:tr>
    </w:tbl>
    <w:p w14:paraId="2BBEA0E9">
      <w:bookmarkStart w:id="2269" w:name="_Toc474249950"/>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2CB9232C">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038AD9FC">
            <w:pPr>
              <w:pStyle w:val="150"/>
              <w:adjustRightInd w:val="0"/>
              <w:snapToGrid w:val="0"/>
              <w:rPr>
                <w:color w:val="auto"/>
              </w:rPr>
            </w:pPr>
            <w:r>
              <w:rPr>
                <w:b/>
                <w:color w:val="auto"/>
              </w:rPr>
              <w:drawing>
                <wp:inline distT="0" distB="0" distL="0" distR="0">
                  <wp:extent cx="283210" cy="283210"/>
                  <wp:effectExtent l="0" t="0" r="2540" b="254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6E50EB9F">
            <w:pPr>
              <w:pStyle w:val="150"/>
              <w:adjustRightInd w:val="0"/>
              <w:snapToGrid w:val="0"/>
              <w:rPr>
                <w:color w:val="auto"/>
              </w:rPr>
            </w:pPr>
            <w:r>
              <w:rPr>
                <w:rFonts w:hint="eastAsia"/>
                <w:color w:val="auto"/>
              </w:rPr>
              <w:t>用户自定义的ISP地址库名称不能与预定义的相同。</w:t>
            </w:r>
          </w:p>
          <w:p w14:paraId="316C1D9C">
            <w:pPr>
              <w:pStyle w:val="150"/>
              <w:adjustRightInd w:val="0"/>
              <w:snapToGrid w:val="0"/>
              <w:rPr>
                <w:color w:val="auto"/>
              </w:rPr>
            </w:pPr>
            <w:r>
              <w:rPr>
                <w:rFonts w:hint="eastAsia"/>
                <w:color w:val="auto"/>
              </w:rPr>
              <w:t>用户自定义的ISP地址库，每个ISP最多有200个地址网段。</w:t>
            </w:r>
          </w:p>
          <w:p w14:paraId="00D955B1">
            <w:pPr>
              <w:pStyle w:val="150"/>
              <w:adjustRightInd w:val="0"/>
              <w:snapToGrid w:val="0"/>
              <w:rPr>
                <w:color w:val="auto"/>
              </w:rPr>
            </w:pPr>
            <w:r>
              <w:rPr>
                <w:rFonts w:hint="eastAsia"/>
                <w:color w:val="auto"/>
              </w:rPr>
              <w:t>用户可以编辑自定义的ISP地址库，不可以编辑预定义的。</w:t>
            </w:r>
          </w:p>
        </w:tc>
      </w:tr>
    </w:tbl>
    <w:p w14:paraId="240EC040"/>
    <w:p w14:paraId="4B2FD9EB">
      <w:pPr>
        <w:pStyle w:val="5"/>
      </w:pPr>
      <w:bookmarkStart w:id="2270" w:name="_Toc99561472"/>
      <w:bookmarkStart w:id="2271" w:name="_Toc172218112"/>
      <w:bookmarkStart w:id="2272" w:name="_Toc194080739"/>
      <w:bookmarkStart w:id="2273" w:name="_Toc141873410"/>
      <w:bookmarkStart w:id="2274" w:name="_Toc196728071"/>
      <w:bookmarkStart w:id="2275" w:name="_Toc142400926"/>
      <w:bookmarkStart w:id="2276" w:name="_Toc40275974"/>
      <w:bookmarkStart w:id="2277" w:name="_Toc529430316"/>
      <w:bookmarkStart w:id="2278" w:name="_Toc23152541"/>
      <w:bookmarkStart w:id="2279" w:name="_Toc15484775"/>
      <w:r>
        <w:rPr>
          <w:rFonts w:hint="eastAsia"/>
        </w:rPr>
        <w:t>配置ISP路由</w:t>
      </w:r>
      <w:bookmarkEnd w:id="2269"/>
      <w:bookmarkEnd w:id="2270"/>
      <w:bookmarkEnd w:id="2271"/>
      <w:bookmarkEnd w:id="2272"/>
      <w:bookmarkEnd w:id="2273"/>
      <w:bookmarkEnd w:id="2274"/>
      <w:bookmarkEnd w:id="2275"/>
      <w:bookmarkEnd w:id="2276"/>
      <w:bookmarkEnd w:id="2277"/>
      <w:bookmarkEnd w:id="2278"/>
      <w:bookmarkEnd w:id="2279"/>
    </w:p>
    <w:p w14:paraId="05C7ECF5">
      <w:pPr>
        <w:pStyle w:val="202"/>
        <w:rPr>
          <w:lang w:eastAsia="zh-CN"/>
        </w:rPr>
      </w:pPr>
      <w:r>
        <w:rPr>
          <w:rFonts w:hint="eastAsia"/>
          <w:lang w:eastAsia="zh-CN"/>
        </w:rPr>
        <w:t>选择“ISP路由”页签，进入ISP路由页面。</w:t>
      </w:r>
    </w:p>
    <w:p w14:paraId="61DA2BA6">
      <w:pPr>
        <w:pStyle w:val="188"/>
      </w:pPr>
      <w:bookmarkStart w:id="2280" w:name="_Toc141874609"/>
      <w:r>
        <w:rPr>
          <w:rFonts w:hint="eastAsia"/>
        </w:rPr>
        <w:t>ISP路由页面</w:t>
      </w:r>
      <w:bookmarkEnd w:id="2280"/>
    </w:p>
    <w:p w14:paraId="09C96570">
      <w:r>
        <w:drawing>
          <wp:inline distT="0" distB="0" distL="0" distR="0">
            <wp:extent cx="5543550" cy="1407795"/>
            <wp:effectExtent l="0" t="0" r="0" b="1905"/>
            <wp:docPr id="1309" name="图片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 name="图片 1309"/>
                    <pic:cNvPicPr>
                      <a:picLocks noChangeAspect="1"/>
                    </pic:cNvPicPr>
                  </pic:nvPicPr>
                  <pic:blipFill>
                    <a:blip r:embed="rId287"/>
                    <a:stretch>
                      <a:fillRect/>
                    </a:stretch>
                  </pic:blipFill>
                  <pic:spPr>
                    <a:xfrm>
                      <a:off x="0" y="0"/>
                      <a:ext cx="5553977" cy="1410534"/>
                    </a:xfrm>
                    <a:prstGeom prst="rect">
                      <a:avLst/>
                    </a:prstGeom>
                  </pic:spPr>
                </pic:pic>
              </a:graphicData>
            </a:graphic>
          </wp:inline>
        </w:drawing>
      </w:r>
    </w:p>
    <w:p w14:paraId="0E451CE8"/>
    <w:p w14:paraId="0C72B1FF">
      <w:pPr>
        <w:pStyle w:val="183"/>
      </w:pPr>
      <w:bookmarkStart w:id="2281" w:name="_Toc141875495"/>
      <w:r>
        <w:rPr>
          <w:rFonts w:hint="eastAsia"/>
        </w:rPr>
        <w:t>ISP路由各项含义</w:t>
      </w:r>
      <w:bookmarkEnd w:id="2281"/>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2"/>
        <w:gridCol w:w="6636"/>
      </w:tblGrid>
      <w:tr w14:paraId="27E384E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tcBorders>
              <w:tl2br w:val="nil"/>
              <w:tr2bl w:val="nil"/>
            </w:tcBorders>
            <w:shd w:val="clear" w:color="auto" w:fill="538135" w:themeFill="accent6" w:themeFillShade="BF"/>
            <w:vAlign w:val="center"/>
          </w:tcPr>
          <w:p w14:paraId="27234294">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84" w:type="dxa"/>
            <w:tcBorders>
              <w:tl2br w:val="nil"/>
              <w:tr2bl w:val="nil"/>
            </w:tcBorders>
            <w:shd w:val="clear" w:color="auto" w:fill="538135" w:themeFill="accent6" w:themeFillShade="BF"/>
            <w:vAlign w:val="center"/>
          </w:tcPr>
          <w:p w14:paraId="0EBDF16C">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D4343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5E6EE630">
            <w:pPr>
              <w:pStyle w:val="186"/>
              <w:widowControl w:val="0"/>
              <w:spacing w:line="240" w:lineRule="auto"/>
              <w:ind w:firstLine="0"/>
              <w:jc w:val="left"/>
            </w:pPr>
            <w:r>
              <w:rPr>
                <w:rFonts w:hint="eastAsia"/>
              </w:rPr>
              <w:t>名称</w:t>
            </w:r>
          </w:p>
        </w:tc>
        <w:tc>
          <w:tcPr>
            <w:tcW w:w="6684" w:type="dxa"/>
            <w:shd w:val="clear" w:color="auto" w:fill="auto"/>
          </w:tcPr>
          <w:p w14:paraId="5F81AFD4">
            <w:pPr>
              <w:pStyle w:val="186"/>
              <w:widowControl w:val="0"/>
              <w:spacing w:line="240" w:lineRule="auto"/>
              <w:ind w:firstLine="0"/>
              <w:jc w:val="left"/>
            </w:pPr>
            <w:r>
              <w:rPr>
                <w:rFonts w:hint="eastAsia"/>
              </w:rPr>
              <w:t>ISP路由所使用地址库名称</w:t>
            </w:r>
          </w:p>
        </w:tc>
      </w:tr>
      <w:tr w14:paraId="7D4B3CB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6882D1B5">
            <w:pPr>
              <w:pStyle w:val="186"/>
              <w:widowControl w:val="0"/>
              <w:spacing w:line="240" w:lineRule="auto"/>
              <w:ind w:firstLine="0"/>
              <w:jc w:val="left"/>
            </w:pPr>
            <w:r>
              <w:rPr>
                <w:rFonts w:hint="eastAsia"/>
              </w:rPr>
              <w:t>下一跳/出接口</w:t>
            </w:r>
          </w:p>
        </w:tc>
        <w:tc>
          <w:tcPr>
            <w:tcW w:w="6684" w:type="dxa"/>
            <w:shd w:val="clear" w:color="auto" w:fill="auto"/>
          </w:tcPr>
          <w:p w14:paraId="7DB3FF04">
            <w:pPr>
              <w:pStyle w:val="186"/>
              <w:widowControl w:val="0"/>
              <w:spacing w:line="240" w:lineRule="auto"/>
              <w:ind w:firstLine="0"/>
              <w:jc w:val="left"/>
            </w:pPr>
            <w:r>
              <w:rPr>
                <w:rFonts w:hint="eastAsia"/>
              </w:rPr>
              <w:t>ISP路由的下一跳/出接口</w:t>
            </w:r>
          </w:p>
        </w:tc>
      </w:tr>
      <w:tr w14:paraId="71CFDAF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4A65AA93">
            <w:pPr>
              <w:pStyle w:val="186"/>
              <w:widowControl w:val="0"/>
              <w:spacing w:line="240" w:lineRule="auto"/>
              <w:ind w:firstLine="0"/>
              <w:jc w:val="left"/>
            </w:pPr>
            <w:r>
              <w:rPr>
                <w:rFonts w:hint="eastAsia"/>
              </w:rPr>
              <w:t>权重</w:t>
            </w:r>
          </w:p>
        </w:tc>
        <w:tc>
          <w:tcPr>
            <w:tcW w:w="6684" w:type="dxa"/>
            <w:shd w:val="clear" w:color="auto" w:fill="auto"/>
          </w:tcPr>
          <w:p w14:paraId="394D9EBF">
            <w:pPr>
              <w:pStyle w:val="186"/>
              <w:widowControl w:val="0"/>
              <w:spacing w:line="240" w:lineRule="auto"/>
              <w:ind w:firstLine="0"/>
              <w:jc w:val="left"/>
            </w:pPr>
            <w:r>
              <w:rPr>
                <w:rFonts w:hint="eastAsia"/>
              </w:rPr>
              <w:t>ISP路由的权重，范围是&lt;1-255&gt;</w:t>
            </w:r>
          </w:p>
        </w:tc>
      </w:tr>
      <w:tr w14:paraId="6E74EC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4E0FAD1D">
            <w:pPr>
              <w:pStyle w:val="186"/>
              <w:widowControl w:val="0"/>
              <w:spacing w:line="240" w:lineRule="auto"/>
              <w:ind w:firstLine="0"/>
              <w:jc w:val="left"/>
            </w:pPr>
            <w:r>
              <w:rPr>
                <w:rFonts w:hint="eastAsia"/>
              </w:rPr>
              <w:t>优先级</w:t>
            </w:r>
          </w:p>
        </w:tc>
        <w:tc>
          <w:tcPr>
            <w:tcW w:w="6684" w:type="dxa"/>
            <w:shd w:val="clear" w:color="auto" w:fill="auto"/>
          </w:tcPr>
          <w:p w14:paraId="4A710FB8">
            <w:pPr>
              <w:pStyle w:val="186"/>
              <w:widowControl w:val="0"/>
              <w:spacing w:line="240" w:lineRule="auto"/>
              <w:ind w:firstLine="0"/>
              <w:jc w:val="left"/>
            </w:pPr>
            <w:r>
              <w:rPr>
                <w:rFonts w:hint="eastAsia"/>
              </w:rPr>
              <w:t>ISP路由的优先级，范围是&lt;1-255&gt;</w:t>
            </w:r>
          </w:p>
        </w:tc>
      </w:tr>
      <w:tr w14:paraId="7EA5E35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169058E9">
            <w:pPr>
              <w:pStyle w:val="186"/>
              <w:widowControl w:val="0"/>
              <w:spacing w:line="240" w:lineRule="auto"/>
              <w:ind w:firstLine="0"/>
              <w:jc w:val="left"/>
            </w:pPr>
            <w:r>
              <w:rPr>
                <w:rFonts w:hint="eastAsia"/>
              </w:rPr>
              <w:t>地址探测</w:t>
            </w:r>
          </w:p>
        </w:tc>
        <w:tc>
          <w:tcPr>
            <w:tcW w:w="6684" w:type="dxa"/>
            <w:shd w:val="clear" w:color="auto" w:fill="auto"/>
          </w:tcPr>
          <w:p w14:paraId="3AAFA050">
            <w:pPr>
              <w:pStyle w:val="186"/>
              <w:widowControl w:val="0"/>
              <w:spacing w:line="240" w:lineRule="auto"/>
              <w:ind w:firstLine="0"/>
              <w:jc w:val="left"/>
            </w:pPr>
            <w:r>
              <w:rPr>
                <w:rFonts w:hint="eastAsia"/>
              </w:rPr>
              <w:t>和ISP路由联动的地址探测，如果已经配置和探测联动，点击地址探测名称可以修改和路由联动的地址探测</w:t>
            </w:r>
          </w:p>
        </w:tc>
      </w:tr>
      <w:tr w14:paraId="6FE9A10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3D0F8F58">
            <w:pPr>
              <w:pStyle w:val="186"/>
              <w:widowControl w:val="0"/>
              <w:spacing w:line="240" w:lineRule="auto"/>
              <w:ind w:firstLine="0"/>
              <w:jc w:val="left"/>
            </w:pPr>
            <w:r>
              <w:rPr>
                <w:rFonts w:hint="eastAsia"/>
              </w:rPr>
              <w:t>操作</w:t>
            </w:r>
          </w:p>
        </w:tc>
        <w:tc>
          <w:tcPr>
            <w:tcW w:w="6684" w:type="dxa"/>
            <w:shd w:val="clear" w:color="auto" w:fill="auto"/>
          </w:tcPr>
          <w:p w14:paraId="18FAFDDC">
            <w:pPr>
              <w:pStyle w:val="186"/>
              <w:widowControl w:val="0"/>
              <w:spacing w:line="240" w:lineRule="auto"/>
              <w:ind w:firstLine="0"/>
              <w:jc w:val="left"/>
            </w:pPr>
            <w:r>
              <w:rPr>
                <w:rFonts w:hint="eastAsia"/>
              </w:rPr>
              <w:t>点击</w:t>
            </w:r>
            <w:r>
              <w:drawing>
                <wp:inline distT="0" distB="0" distL="0" distR="0">
                  <wp:extent cx="171450" cy="171450"/>
                  <wp:effectExtent l="0" t="0" r="0" b="0"/>
                  <wp:docPr id="1310" name="图片 1310" descr="http://192.168.1.17/webui/images/basic/icons/icon_de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 name="图片 1310" descr="http://192.168.1.17/webui/images/basic/icons/icon_del.gif"/>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a:xfrm>
                            <a:off x="0" y="0"/>
                            <a:ext cx="171450" cy="171450"/>
                          </a:xfrm>
                          <a:prstGeom prst="rect">
                            <a:avLst/>
                          </a:prstGeom>
                          <a:noFill/>
                          <a:ln>
                            <a:noFill/>
                          </a:ln>
                        </pic:spPr>
                      </pic:pic>
                    </a:graphicData>
                  </a:graphic>
                </wp:inline>
              </w:drawing>
            </w:r>
            <w:r>
              <w:rPr>
                <w:rFonts w:hint="eastAsia"/>
              </w:rPr>
              <w:t>可以删除该ISP路由</w:t>
            </w:r>
          </w:p>
        </w:tc>
      </w:tr>
    </w:tbl>
    <w:p w14:paraId="70D4A8DE"/>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22504C98">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3BB467AF">
            <w:pPr>
              <w:pStyle w:val="150"/>
              <w:adjustRightInd w:val="0"/>
              <w:snapToGrid w:val="0"/>
              <w:rPr>
                <w:color w:val="auto"/>
              </w:rPr>
            </w:pPr>
            <w:r>
              <w:rPr>
                <w:b/>
                <w:color w:val="auto"/>
              </w:rPr>
              <w:drawing>
                <wp:inline distT="0" distB="0" distL="0" distR="0">
                  <wp:extent cx="283210" cy="283210"/>
                  <wp:effectExtent l="0" t="0" r="2540" b="254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1BE84E11">
            <w:pPr>
              <w:pStyle w:val="207"/>
              <w:adjustRightInd w:val="0"/>
              <w:snapToGrid w:val="0"/>
              <w:rPr>
                <w:color w:val="auto"/>
                <w:lang w:eastAsia="zh-CN"/>
              </w:rPr>
            </w:pPr>
            <w:r>
              <w:rPr>
                <w:rFonts w:hint="eastAsia"/>
                <w:color w:val="auto"/>
                <w:lang w:eastAsia="zh-CN"/>
              </w:rPr>
              <w:t>权重：在多下一跳负载均衡时，权重越大，命中的概率就越大。</w:t>
            </w:r>
          </w:p>
          <w:p w14:paraId="3A07A34A">
            <w:pPr>
              <w:pStyle w:val="207"/>
              <w:adjustRightInd w:val="0"/>
              <w:snapToGrid w:val="0"/>
              <w:rPr>
                <w:color w:val="auto"/>
                <w:lang w:eastAsia="zh-CN"/>
              </w:rPr>
            </w:pPr>
            <w:r>
              <w:rPr>
                <w:rFonts w:hint="eastAsia"/>
                <w:color w:val="auto"/>
                <w:lang w:eastAsia="zh-CN"/>
              </w:rPr>
              <w:t>距离：路由类型的优先级，该值越小，优先级越高。</w:t>
            </w:r>
          </w:p>
          <w:p w14:paraId="0306434B">
            <w:pPr>
              <w:pStyle w:val="207"/>
              <w:adjustRightInd w:val="0"/>
              <w:snapToGrid w:val="0"/>
              <w:rPr>
                <w:color w:val="auto"/>
                <w:lang w:eastAsia="zh-CN"/>
              </w:rPr>
            </w:pPr>
            <w:r>
              <w:rPr>
                <w:rFonts w:hint="eastAsia"/>
                <w:color w:val="auto"/>
                <w:lang w:eastAsia="zh-CN"/>
              </w:rPr>
              <w:t>ISP路由和静态路由的优先级相同，如果出现相同的目的网段同时同时配置ISP路由和静态路由的下一跳不同，流量负载分担。</w:t>
            </w:r>
          </w:p>
        </w:tc>
      </w:tr>
    </w:tbl>
    <w:p w14:paraId="0DD367E3"/>
    <w:p w14:paraId="0245160F">
      <w:pPr>
        <w:pStyle w:val="202"/>
        <w:rPr>
          <w:lang w:eastAsia="zh-CN"/>
        </w:rPr>
      </w:pPr>
      <w:r>
        <w:rPr>
          <w:rFonts w:hint="eastAsia"/>
          <w:lang w:eastAsia="zh-CN"/>
        </w:rPr>
        <w:t>点击&lt;新建&gt;按钮，进入ISP路由配置页面，如</w:t>
      </w:r>
      <w:r>
        <w:fldChar w:fldCharType="begin"/>
      </w:r>
      <w:r>
        <w:rPr>
          <w:lang w:eastAsia="zh-CN"/>
        </w:rPr>
        <w:instrText xml:space="preserve"> </w:instrText>
      </w:r>
      <w:r>
        <w:rPr>
          <w:rFonts w:hint="eastAsia"/>
          <w:lang w:eastAsia="zh-CN"/>
        </w:rPr>
        <w:instrText xml:space="preserve">REF _Ref396223244 \r \h</w:instrText>
      </w:r>
      <w:r>
        <w:rPr>
          <w:lang w:eastAsia="zh-CN"/>
        </w:rPr>
        <w:instrText xml:space="preserve"> </w:instrText>
      </w:r>
      <w:r>
        <w:fldChar w:fldCharType="separate"/>
      </w:r>
      <w:r>
        <w:rPr>
          <w:rFonts w:hint="eastAsia"/>
          <w:lang w:eastAsia="zh-CN"/>
        </w:rPr>
        <w:t>图7-40</w:t>
      </w:r>
      <w:r>
        <w:fldChar w:fldCharType="end"/>
      </w:r>
      <w:r>
        <w:rPr>
          <w:rFonts w:hint="eastAsia"/>
          <w:lang w:eastAsia="zh-CN"/>
        </w:rPr>
        <w:t>所示，各配置项含义如</w:t>
      </w:r>
      <w:r>
        <w:fldChar w:fldCharType="begin"/>
      </w:r>
      <w:r>
        <w:rPr>
          <w:lang w:eastAsia="zh-CN"/>
        </w:rPr>
        <w:instrText xml:space="preserve"> </w:instrText>
      </w:r>
      <w:r>
        <w:rPr>
          <w:rFonts w:hint="eastAsia"/>
          <w:lang w:eastAsia="zh-CN"/>
        </w:rPr>
        <w:instrText xml:space="preserve">REF _Ref396223257 \r \h</w:instrText>
      </w:r>
      <w:r>
        <w:rPr>
          <w:lang w:eastAsia="zh-CN"/>
        </w:rPr>
        <w:instrText xml:space="preserve"> </w:instrText>
      </w:r>
      <w:r>
        <w:fldChar w:fldCharType="separate"/>
      </w:r>
      <w:r>
        <w:rPr>
          <w:rFonts w:hint="eastAsia"/>
          <w:lang w:eastAsia="zh-CN"/>
        </w:rPr>
        <w:t>表7-1</w:t>
      </w:r>
      <w:r>
        <w:fldChar w:fldCharType="end"/>
      </w:r>
      <w:r>
        <w:rPr>
          <w:rFonts w:hint="eastAsia"/>
          <w:lang w:eastAsia="zh-CN"/>
        </w:rPr>
        <w:t>所示。</w:t>
      </w:r>
    </w:p>
    <w:p w14:paraId="2F6BF679">
      <w:pPr>
        <w:pStyle w:val="188"/>
      </w:pPr>
      <w:bookmarkStart w:id="2282" w:name="_Toc141874610"/>
      <w:bookmarkStart w:id="2283" w:name="_Ref396223244"/>
      <w:r>
        <w:rPr>
          <w:rFonts w:hint="eastAsia"/>
        </w:rPr>
        <w:t>ISP路由配置</w:t>
      </w:r>
      <w:bookmarkEnd w:id="2282"/>
      <w:bookmarkEnd w:id="2283"/>
    </w:p>
    <w:p w14:paraId="5BDB3C33">
      <w:r>
        <w:drawing>
          <wp:inline distT="0" distB="0" distL="114300" distR="114300">
            <wp:extent cx="4775200" cy="2622550"/>
            <wp:effectExtent l="0" t="0" r="0" b="6350"/>
            <wp:docPr id="99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图片 77"/>
                    <pic:cNvPicPr>
                      <a:picLocks noChangeAspect="1"/>
                    </pic:cNvPicPr>
                  </pic:nvPicPr>
                  <pic:blipFill>
                    <a:blip r:embed="rId288"/>
                    <a:stretch>
                      <a:fillRect/>
                    </a:stretch>
                  </pic:blipFill>
                  <pic:spPr>
                    <a:xfrm>
                      <a:off x="0" y="0"/>
                      <a:ext cx="4775200" cy="2622550"/>
                    </a:xfrm>
                    <a:prstGeom prst="rect">
                      <a:avLst/>
                    </a:prstGeom>
                    <a:noFill/>
                    <a:ln>
                      <a:noFill/>
                    </a:ln>
                  </pic:spPr>
                </pic:pic>
              </a:graphicData>
            </a:graphic>
          </wp:inline>
        </w:drawing>
      </w:r>
    </w:p>
    <w:p w14:paraId="04A162DF"/>
    <w:p w14:paraId="3E5ABF88">
      <w:pPr>
        <w:pStyle w:val="183"/>
      </w:pPr>
      <w:bookmarkStart w:id="2284" w:name="_Toc141875496"/>
      <w:bookmarkStart w:id="2285" w:name="_Ref396223257"/>
      <w:r>
        <w:rPr>
          <w:rFonts w:hint="eastAsia"/>
        </w:rPr>
        <w:t>ISP路由各配置项含义</w:t>
      </w:r>
      <w:bookmarkEnd w:id="2284"/>
      <w:bookmarkEnd w:id="2285"/>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3"/>
        <w:gridCol w:w="6635"/>
      </w:tblGrid>
      <w:tr w14:paraId="0F20F1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tcBorders>
              <w:tl2br w:val="nil"/>
              <w:tr2bl w:val="nil"/>
            </w:tcBorders>
            <w:shd w:val="clear" w:color="auto" w:fill="538135" w:themeFill="accent6" w:themeFillShade="BF"/>
            <w:vAlign w:val="center"/>
          </w:tcPr>
          <w:p w14:paraId="3A7298ED">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84" w:type="dxa"/>
            <w:tcBorders>
              <w:tl2br w:val="nil"/>
              <w:tr2bl w:val="nil"/>
            </w:tcBorders>
            <w:shd w:val="clear" w:color="auto" w:fill="538135" w:themeFill="accent6" w:themeFillShade="BF"/>
            <w:vAlign w:val="center"/>
          </w:tcPr>
          <w:p w14:paraId="596191BD">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F242AF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7DCE4C6E">
            <w:pPr>
              <w:pStyle w:val="186"/>
              <w:widowControl w:val="0"/>
              <w:spacing w:line="240" w:lineRule="auto"/>
              <w:ind w:firstLine="0"/>
              <w:jc w:val="left"/>
            </w:pPr>
            <w:r>
              <w:rPr>
                <w:rFonts w:hint="eastAsia"/>
              </w:rPr>
              <w:t>ISP名称</w:t>
            </w:r>
          </w:p>
        </w:tc>
        <w:tc>
          <w:tcPr>
            <w:tcW w:w="6684" w:type="dxa"/>
            <w:shd w:val="clear" w:color="auto" w:fill="auto"/>
          </w:tcPr>
          <w:p w14:paraId="6E571DEE">
            <w:pPr>
              <w:pStyle w:val="186"/>
              <w:widowControl w:val="0"/>
              <w:spacing w:line="240" w:lineRule="auto"/>
              <w:ind w:firstLine="0"/>
              <w:jc w:val="left"/>
            </w:pPr>
            <w:r>
              <w:rPr>
                <w:rFonts w:hint="eastAsia"/>
              </w:rPr>
              <w:t>ISP路由所使用地址库名称</w:t>
            </w:r>
          </w:p>
        </w:tc>
      </w:tr>
      <w:tr w14:paraId="370F204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49916182">
            <w:pPr>
              <w:pStyle w:val="186"/>
              <w:widowControl w:val="0"/>
              <w:spacing w:line="240" w:lineRule="auto"/>
              <w:ind w:firstLine="0"/>
              <w:jc w:val="left"/>
            </w:pPr>
            <w:r>
              <w:rPr>
                <w:rFonts w:hint="eastAsia"/>
              </w:rPr>
              <w:t>下一跳/出接口</w:t>
            </w:r>
          </w:p>
        </w:tc>
        <w:tc>
          <w:tcPr>
            <w:tcW w:w="6684" w:type="dxa"/>
            <w:shd w:val="clear" w:color="auto" w:fill="auto"/>
          </w:tcPr>
          <w:p w14:paraId="695683E7">
            <w:pPr>
              <w:pStyle w:val="186"/>
              <w:widowControl w:val="0"/>
              <w:spacing w:line="240" w:lineRule="auto"/>
              <w:ind w:firstLine="0"/>
              <w:jc w:val="left"/>
            </w:pPr>
            <w:r>
              <w:rPr>
                <w:rFonts w:hint="eastAsia"/>
              </w:rPr>
              <w:t>ISP路由的下一跳/出接口</w:t>
            </w:r>
          </w:p>
        </w:tc>
      </w:tr>
      <w:tr w14:paraId="72A764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5A569BE3">
            <w:pPr>
              <w:pStyle w:val="186"/>
              <w:widowControl w:val="0"/>
              <w:spacing w:line="240" w:lineRule="auto"/>
              <w:ind w:firstLine="0"/>
              <w:jc w:val="left"/>
            </w:pPr>
            <w:r>
              <w:rPr>
                <w:rFonts w:hint="eastAsia"/>
              </w:rPr>
              <w:t>权重</w:t>
            </w:r>
          </w:p>
        </w:tc>
        <w:tc>
          <w:tcPr>
            <w:tcW w:w="6684" w:type="dxa"/>
            <w:shd w:val="clear" w:color="auto" w:fill="auto"/>
          </w:tcPr>
          <w:p w14:paraId="47A7279C">
            <w:pPr>
              <w:pStyle w:val="186"/>
              <w:widowControl w:val="0"/>
              <w:spacing w:line="240" w:lineRule="auto"/>
              <w:ind w:firstLine="0"/>
              <w:jc w:val="left"/>
            </w:pPr>
            <w:r>
              <w:rPr>
                <w:rFonts w:hint="eastAsia"/>
              </w:rPr>
              <w:t>ISP路由的权重，范围是&lt;1-255&gt;</w:t>
            </w:r>
          </w:p>
        </w:tc>
      </w:tr>
      <w:tr w14:paraId="0C0D9D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1AD4456E">
            <w:pPr>
              <w:pStyle w:val="186"/>
              <w:widowControl w:val="0"/>
              <w:spacing w:line="240" w:lineRule="auto"/>
              <w:ind w:firstLine="0"/>
              <w:jc w:val="left"/>
            </w:pPr>
            <w:r>
              <w:rPr>
                <w:rFonts w:hint="eastAsia"/>
              </w:rPr>
              <w:t>优先级</w:t>
            </w:r>
          </w:p>
        </w:tc>
        <w:tc>
          <w:tcPr>
            <w:tcW w:w="6684" w:type="dxa"/>
            <w:shd w:val="clear" w:color="auto" w:fill="auto"/>
          </w:tcPr>
          <w:p w14:paraId="5C783EC9">
            <w:pPr>
              <w:pStyle w:val="186"/>
              <w:widowControl w:val="0"/>
              <w:spacing w:line="240" w:lineRule="auto"/>
              <w:ind w:firstLine="0"/>
              <w:jc w:val="left"/>
            </w:pPr>
            <w:r>
              <w:rPr>
                <w:rFonts w:hint="eastAsia"/>
              </w:rPr>
              <w:t>ISP路由的优先级，范围是&lt;1-255&gt;</w:t>
            </w:r>
          </w:p>
        </w:tc>
      </w:tr>
      <w:tr w14:paraId="349B78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0154BB39">
            <w:pPr>
              <w:pStyle w:val="186"/>
              <w:widowControl w:val="0"/>
              <w:spacing w:line="240" w:lineRule="auto"/>
              <w:ind w:firstLine="0"/>
              <w:jc w:val="left"/>
            </w:pPr>
            <w:r>
              <w:rPr>
                <w:rFonts w:hint="eastAsia"/>
              </w:rPr>
              <w:t>地址探测</w:t>
            </w:r>
          </w:p>
        </w:tc>
        <w:tc>
          <w:tcPr>
            <w:tcW w:w="6684" w:type="dxa"/>
            <w:shd w:val="clear" w:color="auto" w:fill="auto"/>
          </w:tcPr>
          <w:p w14:paraId="2A9F1954">
            <w:pPr>
              <w:pStyle w:val="186"/>
              <w:widowControl w:val="0"/>
              <w:spacing w:line="240" w:lineRule="auto"/>
              <w:ind w:firstLine="0"/>
              <w:jc w:val="left"/>
            </w:pPr>
            <w:r>
              <w:rPr>
                <w:rFonts w:hint="eastAsia"/>
              </w:rPr>
              <w:t>配置和ISP路由联动的地址探测</w:t>
            </w:r>
          </w:p>
        </w:tc>
      </w:tr>
    </w:tbl>
    <w:p w14:paraId="4B582840"/>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3ED350FF">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3325569C">
            <w:pPr>
              <w:pStyle w:val="150"/>
              <w:adjustRightInd w:val="0"/>
              <w:snapToGrid w:val="0"/>
              <w:rPr>
                <w:color w:val="auto"/>
              </w:rPr>
            </w:pPr>
            <w:r>
              <w:rPr>
                <w:b/>
                <w:color w:val="auto"/>
              </w:rPr>
              <w:drawing>
                <wp:inline distT="0" distB="0" distL="0" distR="0">
                  <wp:extent cx="283210" cy="283210"/>
                  <wp:effectExtent l="0" t="0" r="2540" b="254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2D61888D">
            <w:pPr>
              <w:pStyle w:val="207"/>
              <w:adjustRightInd w:val="0"/>
              <w:snapToGrid w:val="0"/>
              <w:rPr>
                <w:color w:val="auto"/>
                <w:lang w:eastAsia="zh-CN"/>
              </w:rPr>
            </w:pPr>
            <w:r>
              <w:rPr>
                <w:rFonts w:hint="eastAsia"/>
                <w:color w:val="auto"/>
                <w:lang w:eastAsia="zh-CN"/>
              </w:rPr>
              <w:t>权重：在多下一跳负载均衡时，权重越大，命中的概率就越大。</w:t>
            </w:r>
          </w:p>
          <w:p w14:paraId="2FFAAD33">
            <w:pPr>
              <w:pStyle w:val="207"/>
              <w:adjustRightInd w:val="0"/>
              <w:snapToGrid w:val="0"/>
              <w:rPr>
                <w:color w:val="auto"/>
                <w:lang w:eastAsia="zh-CN"/>
              </w:rPr>
            </w:pPr>
            <w:r>
              <w:rPr>
                <w:rFonts w:hint="eastAsia"/>
                <w:color w:val="auto"/>
                <w:lang w:eastAsia="zh-CN"/>
              </w:rPr>
              <w:t>距离：路由类型的优先级，该值越小，优先级越高。</w:t>
            </w:r>
          </w:p>
        </w:tc>
      </w:tr>
    </w:tbl>
    <w:p w14:paraId="5F9910FD"/>
    <w:p w14:paraId="0E2DA8E2">
      <w:pPr>
        <w:pStyle w:val="4"/>
      </w:pPr>
      <w:bookmarkStart w:id="2286" w:name="_Toc46147211"/>
      <w:bookmarkStart w:id="2287" w:name="_Toc71296328"/>
      <w:bookmarkStart w:id="2288" w:name="_Toc99561473"/>
      <w:bookmarkStart w:id="2289" w:name="_Toc141873411"/>
      <w:bookmarkStart w:id="2290" w:name="_Toc194080740"/>
      <w:bookmarkStart w:id="2291" w:name="_Toc196728072"/>
      <w:bookmarkStart w:id="2292" w:name="_Toc172218113"/>
      <w:bookmarkStart w:id="2293" w:name="_Toc142400927"/>
      <w:r>
        <w:rPr>
          <w:rFonts w:hint="eastAsia"/>
        </w:rPr>
        <w:t>BGP</w:t>
      </w:r>
      <w:bookmarkEnd w:id="2286"/>
      <w:bookmarkEnd w:id="2287"/>
      <w:bookmarkEnd w:id="2288"/>
      <w:bookmarkEnd w:id="2289"/>
      <w:bookmarkEnd w:id="2290"/>
      <w:bookmarkEnd w:id="2291"/>
      <w:bookmarkEnd w:id="2292"/>
      <w:bookmarkEnd w:id="2293"/>
    </w:p>
    <w:p w14:paraId="08B499F5">
      <w:pPr>
        <w:pStyle w:val="5"/>
      </w:pPr>
      <w:bookmarkStart w:id="2294" w:name="_Toc46147212"/>
      <w:bookmarkStart w:id="2295" w:name="_Toc71296329"/>
      <w:bookmarkStart w:id="2296" w:name="_Toc99561474"/>
      <w:bookmarkStart w:id="2297" w:name="_Toc141873412"/>
      <w:bookmarkStart w:id="2298" w:name="_Toc142400928"/>
      <w:bookmarkStart w:id="2299" w:name="_Toc196728073"/>
      <w:bookmarkStart w:id="2300" w:name="_Toc172218114"/>
      <w:bookmarkStart w:id="2301" w:name="_Toc194080741"/>
      <w:r>
        <w:rPr>
          <w:rFonts w:hint="eastAsia"/>
        </w:rPr>
        <w:t>BGP简介</w:t>
      </w:r>
      <w:bookmarkEnd w:id="2294"/>
      <w:bookmarkEnd w:id="2295"/>
      <w:bookmarkEnd w:id="2296"/>
      <w:bookmarkEnd w:id="2297"/>
      <w:bookmarkEnd w:id="2298"/>
      <w:bookmarkEnd w:id="2299"/>
      <w:bookmarkEnd w:id="2300"/>
      <w:bookmarkEnd w:id="2301"/>
    </w:p>
    <w:p w14:paraId="1382F3CB">
      <w:r>
        <w:t>BGP</w:t>
      </w:r>
      <w:r>
        <w:rPr>
          <w:rFonts w:hint="eastAsia"/>
        </w:rPr>
        <w:t>（</w:t>
      </w:r>
      <w:r>
        <w:t>Border Gateway Protocol</w:t>
      </w:r>
      <w:r>
        <w:rPr>
          <w:rFonts w:hint="eastAsia"/>
        </w:rPr>
        <w:t>，边界网关协议）是一种既可以用于不同</w:t>
      </w:r>
      <w:r>
        <w:t>AS</w:t>
      </w:r>
      <w:r>
        <w:rPr>
          <w:rFonts w:hint="eastAsia"/>
        </w:rPr>
        <w:t>（</w:t>
      </w:r>
      <w:r>
        <w:t>Autonomous System</w:t>
      </w:r>
      <w:r>
        <w:rPr>
          <w:rFonts w:hint="eastAsia"/>
        </w:rPr>
        <w:t>，自治系统）之间，又可以用于同一</w:t>
      </w:r>
      <w:r>
        <w:t>AS</w:t>
      </w:r>
      <w:r>
        <w:rPr>
          <w:rFonts w:hint="eastAsia"/>
        </w:rPr>
        <w:t>内部的动态路由协议。当</w:t>
      </w:r>
      <w:r>
        <w:t xml:space="preserve"> BGP </w:t>
      </w:r>
      <w:r>
        <w:rPr>
          <w:rFonts w:hint="eastAsia"/>
        </w:rPr>
        <w:t>运行于同一</w:t>
      </w:r>
      <w:r>
        <w:t>AS</w:t>
      </w:r>
      <w:r>
        <w:rPr>
          <w:rFonts w:hint="eastAsia"/>
        </w:rPr>
        <w:t>内部时，被称为</w:t>
      </w:r>
      <w:r>
        <w:t>IBGP</w:t>
      </w:r>
      <w:r>
        <w:rPr>
          <w:rFonts w:hint="eastAsia"/>
        </w:rPr>
        <w:t>（</w:t>
      </w:r>
      <w:r>
        <w:t>Internal BGP</w:t>
      </w:r>
      <w:r>
        <w:rPr>
          <w:rFonts w:hint="eastAsia"/>
        </w:rPr>
        <w:t>）；当</w:t>
      </w:r>
      <w:r>
        <w:t xml:space="preserve"> BGP </w:t>
      </w:r>
      <w:r>
        <w:rPr>
          <w:rFonts w:hint="eastAsia"/>
        </w:rPr>
        <w:t>运行于不同</w:t>
      </w:r>
      <w:r>
        <w:t>AS</w:t>
      </w:r>
      <w:r>
        <w:rPr>
          <w:rFonts w:hint="eastAsia"/>
        </w:rPr>
        <w:t>之间时，称为</w:t>
      </w:r>
      <w:r>
        <w:t>EBGP</w:t>
      </w:r>
      <w:r>
        <w:rPr>
          <w:rFonts w:hint="eastAsia"/>
        </w:rPr>
        <w:t>（</w:t>
      </w:r>
      <w:r>
        <w:t>External BGP</w:t>
      </w:r>
      <w:r>
        <w:rPr>
          <w:rFonts w:hint="eastAsia"/>
        </w:rPr>
        <w:t>）。</w:t>
      </w:r>
      <w:r>
        <w:t>AS</w:t>
      </w:r>
      <w:r>
        <w:rPr>
          <w:rFonts w:hint="eastAsia"/>
        </w:rPr>
        <w:t>是拥有同一选路策略，属于同一技术管理部门的一组路由器。</w:t>
      </w:r>
    </w:p>
    <w:p w14:paraId="21CF7788">
      <w:r>
        <w:rPr>
          <w:rFonts w:hint="eastAsia"/>
        </w:rPr>
        <w:t>本节介绍配置BGP所需要理解的知识，具体包括：</w:t>
      </w:r>
    </w:p>
    <w:p w14:paraId="2F296C82">
      <w:pPr>
        <w:pStyle w:val="205"/>
      </w:pPr>
      <w:r>
        <w:rPr>
          <w:rFonts w:hint="eastAsia"/>
        </w:rPr>
        <w:t>BGP的特点</w:t>
      </w:r>
      <w:r>
        <w:rPr>
          <w:rFonts w:hint="eastAsia"/>
          <w:lang w:eastAsia="zh-CN"/>
        </w:rPr>
        <w:t>。</w:t>
      </w:r>
    </w:p>
    <w:p w14:paraId="6334715E">
      <w:pPr>
        <w:pStyle w:val="205"/>
        <w:rPr>
          <w:lang w:eastAsia="zh-CN"/>
        </w:rPr>
      </w:pPr>
      <w:r>
        <w:rPr>
          <w:rFonts w:hint="eastAsia"/>
          <w:lang w:eastAsia="zh-CN"/>
        </w:rPr>
        <w:t>BGP发言者和BGP对等体。</w:t>
      </w:r>
    </w:p>
    <w:p w14:paraId="6DEE218D">
      <w:pPr>
        <w:pStyle w:val="205"/>
      </w:pPr>
      <w:r>
        <w:rPr>
          <w:rFonts w:hint="eastAsia"/>
        </w:rPr>
        <w:t>BGP的消息类型</w:t>
      </w:r>
      <w:r>
        <w:rPr>
          <w:rFonts w:hint="eastAsia"/>
          <w:lang w:eastAsia="zh-CN"/>
        </w:rPr>
        <w:t>。</w:t>
      </w:r>
    </w:p>
    <w:p w14:paraId="137E773C"/>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7C51DCD7">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6AC2F451">
            <w:pPr>
              <w:pStyle w:val="150"/>
              <w:adjustRightInd w:val="0"/>
              <w:snapToGrid w:val="0"/>
              <w:rPr>
                <w:color w:val="auto"/>
              </w:rPr>
            </w:pPr>
            <w:r>
              <w:rPr>
                <w:b/>
                <w:color w:val="auto"/>
              </w:rPr>
              <w:drawing>
                <wp:inline distT="0" distB="0" distL="0" distR="0">
                  <wp:extent cx="283210" cy="283210"/>
                  <wp:effectExtent l="0" t="0" r="2540" b="254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7A49CD31">
            <w:pPr>
              <w:pStyle w:val="150"/>
              <w:adjustRightInd w:val="0"/>
              <w:snapToGrid w:val="0"/>
              <w:rPr>
                <w:color w:val="auto"/>
              </w:rPr>
            </w:pPr>
            <w:r>
              <w:rPr>
                <w:rFonts w:hint="eastAsia"/>
                <w:color w:val="auto"/>
              </w:rPr>
              <w:t>本章所介绍的配置都是指BGP version 4。</w:t>
            </w:r>
          </w:p>
        </w:tc>
      </w:tr>
    </w:tbl>
    <w:p w14:paraId="09E75781"/>
    <w:p w14:paraId="75B10419">
      <w:pPr>
        <w:pStyle w:val="6"/>
      </w:pPr>
      <w:bookmarkStart w:id="2302" w:name="_Toc46147213"/>
      <w:bookmarkStart w:id="2303" w:name="_Toc71296330"/>
      <w:r>
        <w:rPr>
          <w:rFonts w:hint="eastAsia"/>
        </w:rPr>
        <w:t>BGP的特点</w:t>
      </w:r>
      <w:bookmarkEnd w:id="2302"/>
      <w:bookmarkEnd w:id="2303"/>
    </w:p>
    <w:p w14:paraId="22F721FA">
      <w:r>
        <w:rPr>
          <w:rFonts w:hint="eastAsia"/>
        </w:rPr>
        <w:t>BGP具有如下特点：</w:t>
      </w:r>
    </w:p>
    <w:p w14:paraId="7DDF4710">
      <w:pPr>
        <w:pStyle w:val="162"/>
      </w:pPr>
      <w:r>
        <w:rPr>
          <w:shd w:val="clear" w:color="auto" w:fill="FFFFFF"/>
        </w:rPr>
        <w:t>BGP是一种EGP（Exterior Gateway Protocol，外部网关协议），与OSPF、RIP等IGP（Interior Gateway Protocol，内部网关协议）不同，其着眼点不在于发现和计算路由，而在于控制路由的传播和选择最佳路由。</w:t>
      </w:r>
    </w:p>
    <w:p w14:paraId="79B62972">
      <w:pPr>
        <w:pStyle w:val="162"/>
      </w:pPr>
      <w:r>
        <w:rPr>
          <w:shd w:val="clear" w:color="auto" w:fill="FFFFFF"/>
        </w:rPr>
        <w:t>BGP使用TCP作为其传输层协议（端口号179），提高了协议的可靠性。</w:t>
      </w:r>
    </w:p>
    <w:p w14:paraId="5C60E556">
      <w:pPr>
        <w:pStyle w:val="162"/>
      </w:pPr>
      <w:r>
        <w:rPr>
          <w:shd w:val="clear" w:color="auto" w:fill="FFFFFF"/>
        </w:rPr>
        <w:t>BGP是一种路径矢量（Path-Vector）路由协议，它采用到达目的地址所经过的AS列表来衡量到达目的地址的距离。</w:t>
      </w:r>
    </w:p>
    <w:p w14:paraId="0C4AF5E1">
      <w:pPr>
        <w:pStyle w:val="162"/>
      </w:pPr>
      <w:r>
        <w:rPr>
          <w:shd w:val="clear" w:color="auto" w:fill="FFFFFF"/>
        </w:rPr>
        <w:t>BGP支持CIDR（Classless Inter-Domain Routing，无类域间路由）。</w:t>
      </w:r>
    </w:p>
    <w:p w14:paraId="32C75FDA">
      <w:pPr>
        <w:pStyle w:val="162"/>
      </w:pPr>
      <w:r>
        <w:rPr>
          <w:shd w:val="clear" w:color="auto" w:fill="FFFFFF"/>
        </w:rPr>
        <w:t>路由更新时，BGP只发送更新的路由，大大减少了BGP传播路由所占用的带宽，适用于在Internet上传播大量的路由信息。</w:t>
      </w:r>
    </w:p>
    <w:p w14:paraId="25B500FE">
      <w:pPr>
        <w:pStyle w:val="162"/>
      </w:pPr>
      <w:r>
        <w:rPr>
          <w:shd w:val="clear" w:color="auto" w:fill="FFFFFF"/>
        </w:rPr>
        <w:t>BGP路由通过携带AS路径信息彻底解决路由</w:t>
      </w:r>
      <w:r>
        <w:t>环</w:t>
      </w:r>
      <w:r>
        <w:rPr>
          <w:shd w:val="clear" w:color="auto" w:fill="FFFFFF"/>
        </w:rPr>
        <w:t>路问题。</w:t>
      </w:r>
    </w:p>
    <w:p w14:paraId="2BF3DF19">
      <w:pPr>
        <w:pStyle w:val="162"/>
      </w:pPr>
      <w:r>
        <w:rPr>
          <w:shd w:val="clear" w:color="auto" w:fill="FFFFFF"/>
        </w:rPr>
        <w:t>BGP提供了丰富的路由策略，能够对路由实现灵活的过滤和选择。</w:t>
      </w:r>
    </w:p>
    <w:p w14:paraId="45C29F38">
      <w:pPr>
        <w:pStyle w:val="162"/>
      </w:pPr>
      <w:r>
        <w:rPr>
          <w:shd w:val="clear" w:color="auto" w:fill="FFFFFF"/>
        </w:rPr>
        <w:t>BGP易于扩展，能够适应网络新的发展。</w:t>
      </w:r>
    </w:p>
    <w:p w14:paraId="5662F8B7">
      <w:pPr>
        <w:pStyle w:val="6"/>
      </w:pPr>
      <w:bookmarkStart w:id="2304" w:name="_Toc57997581"/>
      <w:bookmarkEnd w:id="2304"/>
      <w:bookmarkStart w:id="2305" w:name="_Toc57997582"/>
      <w:bookmarkEnd w:id="2305"/>
      <w:bookmarkStart w:id="2306" w:name="_Toc57997584"/>
      <w:bookmarkEnd w:id="2306"/>
      <w:bookmarkStart w:id="2307" w:name="_Toc57997585"/>
      <w:bookmarkEnd w:id="2307"/>
      <w:bookmarkStart w:id="2308" w:name="_Toc57997583"/>
      <w:bookmarkEnd w:id="2308"/>
      <w:bookmarkStart w:id="2309" w:name="_Toc57997587"/>
      <w:bookmarkEnd w:id="2309"/>
      <w:bookmarkStart w:id="2310" w:name="_Toc57997588"/>
      <w:bookmarkEnd w:id="2310"/>
      <w:bookmarkStart w:id="2311" w:name="_Toc57997586"/>
      <w:bookmarkEnd w:id="2311"/>
      <w:bookmarkStart w:id="2312" w:name="_Toc46147214"/>
      <w:bookmarkStart w:id="2313" w:name="_Toc71296331"/>
      <w:r>
        <w:rPr>
          <w:rFonts w:hint="eastAsia"/>
        </w:rPr>
        <w:t>BGP发言者和BGP对等体</w:t>
      </w:r>
      <w:bookmarkEnd w:id="2312"/>
      <w:bookmarkEnd w:id="2313"/>
    </w:p>
    <w:p w14:paraId="2DEC685C">
      <w:r>
        <w:rPr>
          <w:shd w:val="clear" w:color="auto" w:fill="FFFFFF"/>
          <w:lang w:bidi="ar"/>
        </w:rPr>
        <w:t>运行BGP协议的路由器称为BGP发言者。BGP发言者接收或产生路由信息，并将路由信息发布给其它BGP发言者。</w:t>
      </w:r>
    </w:p>
    <w:p w14:paraId="616C7021">
      <w:r>
        <w:rPr>
          <w:shd w:val="clear" w:color="auto" w:fill="FFFFFF"/>
          <w:lang w:bidi="ar"/>
        </w:rPr>
        <w:t>相互之间存在TCP连接、相互交换路由信息的BGP发言者互为BGP对等体。根据对等体所在的AS，对等体分为以下几种：</w:t>
      </w:r>
    </w:p>
    <w:p w14:paraId="1816929C">
      <w:pPr>
        <w:pStyle w:val="162"/>
      </w:pPr>
      <w:r>
        <w:rPr>
          <w:shd w:val="clear" w:color="auto" w:fill="FFFFFF"/>
        </w:rPr>
        <w:t>IBGP对等体：对等体与本地路由器位于同一AS。</w:t>
      </w:r>
    </w:p>
    <w:p w14:paraId="35031E60">
      <w:pPr>
        <w:pStyle w:val="162"/>
      </w:pPr>
      <w:r>
        <w:rPr>
          <w:shd w:val="clear" w:color="auto" w:fill="FFFFFF"/>
        </w:rPr>
        <w:t>EBGP对等体：对等体与本地路由器位于不同AS。</w:t>
      </w:r>
    </w:p>
    <w:p w14:paraId="53B10916">
      <w:pPr>
        <w:pStyle w:val="6"/>
      </w:pPr>
      <w:bookmarkStart w:id="2314" w:name="_Toc46147215"/>
      <w:bookmarkStart w:id="2315" w:name="_Toc71296332"/>
      <w:r>
        <w:rPr>
          <w:rFonts w:hint="eastAsia"/>
        </w:rPr>
        <w:t>BGP的消息类型</w:t>
      </w:r>
      <w:bookmarkEnd w:id="2314"/>
      <w:bookmarkEnd w:id="2315"/>
    </w:p>
    <w:p w14:paraId="49B68462">
      <w:r>
        <w:rPr>
          <w:shd w:val="clear" w:color="auto" w:fill="FFFFFF"/>
          <w:lang w:bidi="ar"/>
        </w:rPr>
        <w:t>BGP定义了以下几种消息类型：</w:t>
      </w:r>
    </w:p>
    <w:p w14:paraId="7A0172F3">
      <w:pPr>
        <w:pStyle w:val="162"/>
      </w:pPr>
      <w:r>
        <w:rPr>
          <w:shd w:val="clear" w:color="auto" w:fill="FFFFFF"/>
        </w:rPr>
        <w:t>Open：TCP连接建立后发送的第一个消息，用于在BGP对等体之间建立会话。</w:t>
      </w:r>
    </w:p>
    <w:p w14:paraId="24A3BBD5">
      <w:pPr>
        <w:pStyle w:val="162"/>
      </w:pPr>
      <w:r>
        <w:rPr>
          <w:shd w:val="clear" w:color="auto" w:fill="FFFFFF"/>
        </w:rPr>
        <w:t>Update：用于在对等体之间交换路由信息。一条Update消息可以发布具有相同路径属性的多条可达路由，也可以同时撤销多条不可达路由。</w:t>
      </w:r>
    </w:p>
    <w:p w14:paraId="38698F0E">
      <w:pPr>
        <w:pStyle w:val="162"/>
      </w:pPr>
      <w:r>
        <w:rPr>
          <w:shd w:val="clear" w:color="auto" w:fill="FFFFFF"/>
        </w:rPr>
        <w:t>Keepalive：BGP周期性地向对等体发送Keepalive消息，以保持会话的有效性。</w:t>
      </w:r>
    </w:p>
    <w:p w14:paraId="44A1DA29">
      <w:pPr>
        <w:pStyle w:val="162"/>
        <w:rPr>
          <w:color w:val="000000"/>
        </w:rPr>
      </w:pPr>
      <w:r>
        <w:rPr>
          <w:color w:val="000000"/>
          <w:shd w:val="clear" w:color="auto" w:fill="FFFFFF"/>
        </w:rPr>
        <w:t>Route-refresh：</w:t>
      </w:r>
      <w:r>
        <w:rPr>
          <w:shd w:val="clear" w:color="auto" w:fill="FFFFFF"/>
        </w:rPr>
        <w:t>用来要求对等体重新发送指定地址族的路由信息</w:t>
      </w:r>
      <w:r>
        <w:rPr>
          <w:color w:val="000000"/>
          <w:shd w:val="clear" w:color="auto" w:fill="FFFFFF"/>
        </w:rPr>
        <w:t>。</w:t>
      </w:r>
    </w:p>
    <w:p w14:paraId="103B3B14">
      <w:pPr>
        <w:pStyle w:val="162"/>
      </w:pPr>
      <w:r>
        <w:rPr>
          <w:shd w:val="clear" w:color="auto" w:fill="FFFFFF"/>
        </w:rPr>
        <w:t>Notification：当BGP检测到错误状态时，就向对等体发出Notification消息，之后BGP会话会立即中断。</w:t>
      </w:r>
    </w:p>
    <w:p w14:paraId="4B561C1F">
      <w:pPr>
        <w:pStyle w:val="5"/>
      </w:pPr>
      <w:bookmarkStart w:id="2316" w:name="_Toc57997614"/>
      <w:bookmarkEnd w:id="2316"/>
      <w:bookmarkStart w:id="2317" w:name="_Toc57997617"/>
      <w:bookmarkEnd w:id="2317"/>
      <w:bookmarkStart w:id="2318" w:name="_Toc57997597"/>
      <w:bookmarkEnd w:id="2318"/>
      <w:bookmarkStart w:id="2319" w:name="_Toc57997602"/>
      <w:bookmarkEnd w:id="2319"/>
      <w:bookmarkStart w:id="2320" w:name="_Toc57997603"/>
      <w:bookmarkEnd w:id="2320"/>
      <w:bookmarkStart w:id="2321" w:name="_Toc57997607"/>
      <w:bookmarkEnd w:id="2321"/>
      <w:bookmarkStart w:id="2322" w:name="_Toc57997618"/>
      <w:bookmarkEnd w:id="2322"/>
      <w:bookmarkStart w:id="2323" w:name="_Toc57997620"/>
      <w:bookmarkEnd w:id="2323"/>
      <w:bookmarkStart w:id="2324" w:name="_Toc57997621"/>
      <w:bookmarkEnd w:id="2324"/>
      <w:bookmarkStart w:id="2325" w:name="_Toc57997595"/>
      <w:bookmarkEnd w:id="2325"/>
      <w:bookmarkStart w:id="2326" w:name="_Toc57997615"/>
      <w:bookmarkEnd w:id="2326"/>
      <w:bookmarkStart w:id="2327" w:name="_Toc57997616"/>
      <w:bookmarkEnd w:id="2327"/>
      <w:bookmarkStart w:id="2328" w:name="_Toc57997622"/>
      <w:bookmarkEnd w:id="2328"/>
      <w:bookmarkStart w:id="2329" w:name="_Toc57997619"/>
      <w:bookmarkEnd w:id="2329"/>
      <w:bookmarkStart w:id="2330" w:name="_Toc57997594"/>
      <w:bookmarkEnd w:id="2330"/>
      <w:bookmarkStart w:id="2331" w:name="_Toc57997606"/>
      <w:bookmarkEnd w:id="2331"/>
      <w:bookmarkStart w:id="2332" w:name="_Toc57997593"/>
      <w:bookmarkEnd w:id="2332"/>
      <w:bookmarkStart w:id="2333" w:name="_Toc57997591"/>
      <w:bookmarkEnd w:id="2333"/>
      <w:bookmarkStart w:id="2334" w:name="_Toc57997596"/>
      <w:bookmarkEnd w:id="2334"/>
      <w:bookmarkStart w:id="2335" w:name="_Toc57997598"/>
      <w:bookmarkEnd w:id="2335"/>
      <w:bookmarkStart w:id="2336" w:name="_Toc57997601"/>
      <w:bookmarkEnd w:id="2336"/>
      <w:bookmarkStart w:id="2337" w:name="_Toc57997604"/>
      <w:bookmarkEnd w:id="2337"/>
      <w:bookmarkStart w:id="2338" w:name="_Toc57997605"/>
      <w:bookmarkEnd w:id="2338"/>
      <w:bookmarkStart w:id="2339" w:name="_Toc57997608"/>
      <w:bookmarkEnd w:id="2339"/>
      <w:bookmarkStart w:id="2340" w:name="_Toc57997599"/>
      <w:bookmarkEnd w:id="2340"/>
      <w:bookmarkStart w:id="2341" w:name="_Toc57997609"/>
      <w:bookmarkEnd w:id="2341"/>
      <w:bookmarkStart w:id="2342" w:name="_Toc57997611"/>
      <w:bookmarkEnd w:id="2342"/>
      <w:bookmarkStart w:id="2343" w:name="_Toc57997592"/>
      <w:bookmarkEnd w:id="2343"/>
      <w:bookmarkStart w:id="2344" w:name="_Toc57997613"/>
      <w:bookmarkEnd w:id="2344"/>
      <w:bookmarkStart w:id="2345" w:name="_Toc57997612"/>
      <w:bookmarkEnd w:id="2345"/>
      <w:bookmarkStart w:id="2346" w:name="_Toc57997600"/>
      <w:bookmarkEnd w:id="2346"/>
      <w:bookmarkStart w:id="2347" w:name="_Toc57997610"/>
      <w:bookmarkEnd w:id="2347"/>
      <w:bookmarkStart w:id="2348" w:name="_Toc57997638"/>
      <w:bookmarkEnd w:id="2348"/>
      <w:bookmarkStart w:id="2349" w:name="_Toc57997627"/>
      <w:bookmarkEnd w:id="2349"/>
      <w:bookmarkStart w:id="2350" w:name="_Toc57997643"/>
      <w:bookmarkEnd w:id="2350"/>
      <w:bookmarkStart w:id="2351" w:name="_Toc57997644"/>
      <w:bookmarkEnd w:id="2351"/>
      <w:bookmarkStart w:id="2352" w:name="_Toc57997646"/>
      <w:bookmarkEnd w:id="2352"/>
      <w:bookmarkStart w:id="2353" w:name="_Toc57997640"/>
      <w:bookmarkEnd w:id="2353"/>
      <w:bookmarkStart w:id="2354" w:name="_Toc57997642"/>
      <w:bookmarkEnd w:id="2354"/>
      <w:bookmarkStart w:id="2355" w:name="_Toc57997625"/>
      <w:bookmarkEnd w:id="2355"/>
      <w:bookmarkStart w:id="2356" w:name="_Toc57997628"/>
      <w:bookmarkEnd w:id="2356"/>
      <w:bookmarkStart w:id="2357" w:name="_Toc57997632"/>
      <w:bookmarkEnd w:id="2357"/>
      <w:bookmarkStart w:id="2358" w:name="_Toc57997636"/>
      <w:bookmarkEnd w:id="2358"/>
      <w:bookmarkStart w:id="2359" w:name="_Toc57997630"/>
      <w:bookmarkEnd w:id="2359"/>
      <w:bookmarkStart w:id="2360" w:name="_Toc57997639"/>
      <w:bookmarkEnd w:id="2360"/>
      <w:bookmarkStart w:id="2361" w:name="_Toc57997631"/>
      <w:bookmarkEnd w:id="2361"/>
      <w:bookmarkStart w:id="2362" w:name="_Toc57997633"/>
      <w:bookmarkEnd w:id="2362"/>
      <w:bookmarkStart w:id="2363" w:name="_Toc57997645"/>
      <w:bookmarkEnd w:id="2363"/>
      <w:bookmarkStart w:id="2364" w:name="_Toc57997634"/>
      <w:bookmarkEnd w:id="2364"/>
      <w:bookmarkStart w:id="2365" w:name="_Toc57997623"/>
      <w:bookmarkEnd w:id="2365"/>
      <w:bookmarkStart w:id="2366" w:name="_Toc57997629"/>
      <w:bookmarkEnd w:id="2366"/>
      <w:bookmarkStart w:id="2367" w:name="_Toc57997635"/>
      <w:bookmarkEnd w:id="2367"/>
      <w:bookmarkStart w:id="2368" w:name="_Toc57997637"/>
      <w:bookmarkEnd w:id="2368"/>
      <w:bookmarkStart w:id="2369" w:name="_Toc57997641"/>
      <w:bookmarkEnd w:id="2369"/>
      <w:bookmarkStart w:id="2370" w:name="_Toc57997624"/>
      <w:bookmarkEnd w:id="2370"/>
      <w:bookmarkStart w:id="2371" w:name="_Toc57997626"/>
      <w:bookmarkEnd w:id="2371"/>
      <w:bookmarkStart w:id="2372" w:name="_Toc46147221"/>
      <w:bookmarkStart w:id="2373" w:name="_Toc99561475"/>
      <w:bookmarkStart w:id="2374" w:name="_Toc141873413"/>
      <w:bookmarkStart w:id="2375" w:name="_Toc194080742"/>
      <w:bookmarkStart w:id="2376" w:name="_Toc196728074"/>
      <w:bookmarkStart w:id="2377" w:name="_Toc71296333"/>
      <w:bookmarkStart w:id="2378" w:name="_Toc172218115"/>
      <w:bookmarkStart w:id="2379" w:name="_Toc142400929"/>
      <w:r>
        <w:rPr>
          <w:rFonts w:hint="eastAsia"/>
        </w:rPr>
        <w:t>BGP配置</w:t>
      </w:r>
      <w:bookmarkEnd w:id="2372"/>
      <w:bookmarkEnd w:id="2373"/>
      <w:bookmarkEnd w:id="2374"/>
      <w:bookmarkEnd w:id="2375"/>
      <w:bookmarkEnd w:id="2376"/>
      <w:bookmarkEnd w:id="2377"/>
      <w:bookmarkEnd w:id="2378"/>
      <w:bookmarkEnd w:id="2379"/>
    </w:p>
    <w:p w14:paraId="4181B165">
      <w:r>
        <w:rPr>
          <w:rFonts w:hint="eastAsia"/>
        </w:rPr>
        <w:t>通过菜单“网络配置 &gt; 路由管理 &gt; BGP信息”，配置AS号和路由标识。</w:t>
      </w:r>
    </w:p>
    <w:p w14:paraId="277F4B41">
      <w:pPr>
        <w:pStyle w:val="188"/>
      </w:pPr>
      <w:bookmarkStart w:id="2380" w:name="_Ref57997692"/>
      <w:bookmarkStart w:id="2381" w:name="_Toc141874611"/>
      <w:r>
        <w:rPr>
          <w:rFonts w:hint="eastAsia"/>
        </w:rPr>
        <w:t>BGP配置</w:t>
      </w:r>
      <w:bookmarkEnd w:id="2380"/>
      <w:bookmarkEnd w:id="2381"/>
    </w:p>
    <w:p w14:paraId="5976D51A">
      <w:pPr>
        <w:pStyle w:val="175"/>
      </w:pPr>
      <w:r>
        <w:drawing>
          <wp:inline distT="0" distB="0" distL="114300" distR="114300">
            <wp:extent cx="4924425" cy="1683385"/>
            <wp:effectExtent l="0" t="0" r="0" b="0"/>
            <wp:docPr id="100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图片 85"/>
                    <pic:cNvPicPr>
                      <a:picLocks noChangeAspect="1"/>
                    </pic:cNvPicPr>
                  </pic:nvPicPr>
                  <pic:blipFill>
                    <a:blip r:embed="rId289"/>
                    <a:srcRect r="24108"/>
                    <a:stretch>
                      <a:fillRect/>
                    </a:stretch>
                  </pic:blipFill>
                  <pic:spPr>
                    <a:xfrm>
                      <a:off x="0" y="0"/>
                      <a:ext cx="4929869" cy="1685425"/>
                    </a:xfrm>
                    <a:prstGeom prst="rect">
                      <a:avLst/>
                    </a:prstGeom>
                    <a:noFill/>
                    <a:ln>
                      <a:noFill/>
                    </a:ln>
                  </pic:spPr>
                </pic:pic>
              </a:graphicData>
            </a:graphic>
          </wp:inline>
        </w:drawing>
      </w:r>
    </w:p>
    <w:p w14:paraId="3EDA3424"/>
    <w:p w14:paraId="540F1FEB">
      <w:pPr>
        <w:pStyle w:val="183"/>
      </w:pPr>
      <w:bookmarkStart w:id="2382" w:name="_Toc141875497"/>
      <w:r>
        <w:rPr>
          <w:rFonts w:hint="eastAsia"/>
        </w:rPr>
        <w:t>BGP各配置项说明</w:t>
      </w:r>
      <w:bookmarkEnd w:id="2382"/>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3267"/>
        <w:gridCol w:w="5701"/>
      </w:tblGrid>
      <w:tr w14:paraId="1584FA1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3267" w:type="dxa"/>
            <w:tcBorders>
              <w:tl2br w:val="nil"/>
              <w:tr2bl w:val="nil"/>
            </w:tcBorders>
            <w:shd w:val="clear" w:color="auto" w:fill="538135" w:themeFill="accent6" w:themeFillShade="BF"/>
            <w:vAlign w:val="center"/>
          </w:tcPr>
          <w:p w14:paraId="63486837">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5701" w:type="dxa"/>
            <w:tcBorders>
              <w:tl2br w:val="nil"/>
              <w:tr2bl w:val="nil"/>
            </w:tcBorders>
            <w:shd w:val="clear" w:color="auto" w:fill="538135" w:themeFill="accent6" w:themeFillShade="BF"/>
            <w:vAlign w:val="center"/>
          </w:tcPr>
          <w:p w14:paraId="6BD2EAC2">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A855B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3267" w:type="dxa"/>
            <w:shd w:val="clear" w:color="auto" w:fill="auto"/>
          </w:tcPr>
          <w:p w14:paraId="297AB6CC">
            <w:pPr>
              <w:pStyle w:val="186"/>
              <w:widowControl w:val="0"/>
              <w:spacing w:line="240" w:lineRule="auto"/>
              <w:ind w:firstLine="0"/>
              <w:jc w:val="left"/>
            </w:pPr>
            <w:r>
              <w:rPr>
                <w:rFonts w:hint="eastAsia"/>
              </w:rPr>
              <w:t>启用</w:t>
            </w:r>
          </w:p>
        </w:tc>
        <w:tc>
          <w:tcPr>
            <w:tcW w:w="5701" w:type="dxa"/>
            <w:shd w:val="clear" w:color="auto" w:fill="auto"/>
          </w:tcPr>
          <w:p w14:paraId="63C3684E">
            <w:pPr>
              <w:pStyle w:val="186"/>
              <w:widowControl w:val="0"/>
              <w:spacing w:line="240" w:lineRule="auto"/>
              <w:ind w:firstLine="0"/>
              <w:jc w:val="left"/>
            </w:pPr>
            <w:r>
              <w:rPr>
                <w:rFonts w:hint="eastAsia"/>
              </w:rPr>
              <w:t>启用或禁用BGP策略，勾选为启用，不勾选为禁用。禁用后会删除BGP相关配置。</w:t>
            </w:r>
          </w:p>
        </w:tc>
      </w:tr>
      <w:tr w14:paraId="1F3EF6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3267" w:type="dxa"/>
            <w:shd w:val="clear" w:color="auto" w:fill="auto"/>
          </w:tcPr>
          <w:p w14:paraId="49018AC2">
            <w:pPr>
              <w:pStyle w:val="186"/>
              <w:widowControl w:val="0"/>
              <w:spacing w:line="240" w:lineRule="auto"/>
              <w:ind w:firstLine="0"/>
              <w:jc w:val="left"/>
            </w:pPr>
            <w:r>
              <w:rPr>
                <w:rFonts w:hint="eastAsia"/>
              </w:rPr>
              <w:t>AS号</w:t>
            </w:r>
          </w:p>
        </w:tc>
        <w:tc>
          <w:tcPr>
            <w:tcW w:w="5701" w:type="dxa"/>
            <w:shd w:val="clear" w:color="auto" w:fill="auto"/>
          </w:tcPr>
          <w:p w14:paraId="5B351A4E">
            <w:pPr>
              <w:pStyle w:val="186"/>
              <w:widowControl w:val="0"/>
              <w:spacing w:line="240" w:lineRule="auto"/>
              <w:ind w:firstLine="0"/>
              <w:jc w:val="left"/>
            </w:pPr>
            <w:r>
              <w:rPr>
                <w:rFonts w:hint="eastAsia"/>
              </w:rPr>
              <w:t>自治域系统号</w:t>
            </w:r>
          </w:p>
        </w:tc>
      </w:tr>
      <w:tr w14:paraId="1E8E30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3267" w:type="dxa"/>
            <w:shd w:val="clear" w:color="auto" w:fill="auto"/>
          </w:tcPr>
          <w:p w14:paraId="4D7FC5FA">
            <w:pPr>
              <w:pStyle w:val="186"/>
              <w:widowControl w:val="0"/>
              <w:spacing w:line="240" w:lineRule="auto"/>
              <w:ind w:firstLine="0"/>
              <w:jc w:val="left"/>
            </w:pPr>
            <w:r>
              <w:rPr>
                <w:rFonts w:hint="eastAsia"/>
              </w:rPr>
              <w:t>路由标识</w:t>
            </w:r>
          </w:p>
        </w:tc>
        <w:tc>
          <w:tcPr>
            <w:tcW w:w="5701" w:type="dxa"/>
            <w:shd w:val="clear" w:color="auto" w:fill="auto"/>
          </w:tcPr>
          <w:p w14:paraId="39DAEBA0">
            <w:pPr>
              <w:pStyle w:val="186"/>
              <w:widowControl w:val="0"/>
              <w:spacing w:line="240" w:lineRule="auto"/>
              <w:ind w:firstLine="0"/>
              <w:jc w:val="left"/>
            </w:pPr>
            <w:r>
              <w:rPr>
                <w:rFonts w:hint="eastAsia"/>
              </w:rPr>
              <w:t>BGP路由器ID</w:t>
            </w:r>
          </w:p>
        </w:tc>
      </w:tr>
    </w:tbl>
    <w:p w14:paraId="4FF58306"/>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15429692">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486B9E71">
            <w:pPr>
              <w:pStyle w:val="150"/>
              <w:adjustRightInd w:val="0"/>
              <w:snapToGrid w:val="0"/>
              <w:rPr>
                <w:color w:val="auto"/>
              </w:rPr>
            </w:pPr>
            <w:r>
              <w:rPr>
                <w:b/>
                <w:color w:val="auto"/>
              </w:rPr>
              <w:drawing>
                <wp:inline distT="0" distB="0" distL="0" distR="0">
                  <wp:extent cx="283210" cy="283210"/>
                  <wp:effectExtent l="0" t="0" r="2540" b="254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63AA3F13">
            <w:pPr>
              <w:pStyle w:val="150"/>
              <w:adjustRightInd w:val="0"/>
              <w:snapToGrid w:val="0"/>
              <w:rPr>
                <w:color w:val="auto"/>
              </w:rPr>
            </w:pPr>
            <w:r>
              <w:rPr>
                <w:rFonts w:hint="eastAsia"/>
                <w:color w:val="auto"/>
              </w:rPr>
              <w:t>AS (Autonomous System number，自治域系统号)是指拥有同一选路策略，在同一技术管理部门下运行的一组路由器的集合。BGP的RFC1771里留给AS的范围是2个字节，所以AS的取值范围为1-65535，其中64512以上的为私有AS。但是鉴于IPv4地址空间不够这个前车之鉴，在RFC4893里定义了一个BGP的新功能——4字节AS（BGP Support for Four-octet AS Number，一般用M.N来描述），范围是65536-4294967295。</w:t>
            </w:r>
          </w:p>
        </w:tc>
      </w:tr>
    </w:tbl>
    <w:p w14:paraId="7CBF66EE"/>
    <w:p w14:paraId="11B5BD05">
      <w:pPr>
        <w:pStyle w:val="5"/>
      </w:pPr>
      <w:bookmarkStart w:id="2383" w:name="_Toc46147222"/>
      <w:bookmarkStart w:id="2384" w:name="_Toc71296334"/>
      <w:bookmarkStart w:id="2385" w:name="_Toc194080743"/>
      <w:bookmarkStart w:id="2386" w:name="_Toc141873414"/>
      <w:bookmarkStart w:id="2387" w:name="_Toc196728075"/>
      <w:bookmarkStart w:id="2388" w:name="_Toc142400930"/>
      <w:bookmarkStart w:id="2389" w:name="_Toc172218116"/>
      <w:bookmarkStart w:id="2390" w:name="_Toc99561476"/>
      <w:r>
        <w:rPr>
          <w:rFonts w:hint="eastAsia"/>
        </w:rPr>
        <w:t>邻居配置列表</w:t>
      </w:r>
      <w:bookmarkEnd w:id="2383"/>
      <w:bookmarkEnd w:id="2384"/>
      <w:bookmarkEnd w:id="2385"/>
      <w:bookmarkEnd w:id="2386"/>
      <w:bookmarkEnd w:id="2387"/>
      <w:bookmarkEnd w:id="2388"/>
      <w:bookmarkEnd w:id="2389"/>
      <w:bookmarkEnd w:id="2390"/>
    </w:p>
    <w:p w14:paraId="0421364C">
      <w:r>
        <w:rPr>
          <w:rFonts w:hint="eastAsia"/>
        </w:rPr>
        <w:t>点击“应用”，可以查看已经配置的邻居配置列表，在该页也可以删除已经配置的邻居配置列表，具体信息说明如</w:t>
      </w:r>
      <w:r>
        <w:fldChar w:fldCharType="begin"/>
      </w:r>
      <w:r>
        <w:instrText xml:space="preserve"> REF _Ref57997772 \r \h  \* MERGEFORMAT </w:instrText>
      </w:r>
      <w:r>
        <w:fldChar w:fldCharType="separate"/>
      </w:r>
      <w:r>
        <w:rPr>
          <w:rFonts w:hint="eastAsia"/>
        </w:rPr>
        <w:t>表7-1</w:t>
      </w:r>
      <w:r>
        <w:fldChar w:fldCharType="end"/>
      </w:r>
      <w:r>
        <w:rPr>
          <w:rFonts w:hint="eastAsia"/>
        </w:rPr>
        <w:t>所示。</w:t>
      </w:r>
    </w:p>
    <w:p w14:paraId="092CAE0C">
      <w:pPr>
        <w:pStyle w:val="188"/>
      </w:pPr>
      <w:bookmarkStart w:id="2391" w:name="_Ref57997691"/>
      <w:bookmarkStart w:id="2392" w:name="_Toc141874612"/>
      <w:r>
        <w:rPr>
          <w:rFonts w:hint="eastAsia"/>
        </w:rPr>
        <w:t>BGP已配置邻居配置列表</w:t>
      </w:r>
      <w:bookmarkEnd w:id="2391"/>
      <w:bookmarkEnd w:id="2392"/>
    </w:p>
    <w:p w14:paraId="121DAAD3">
      <w:r>
        <w:t xml:space="preserve"> </w:t>
      </w:r>
      <w:r>
        <w:drawing>
          <wp:inline distT="0" distB="0" distL="114300" distR="114300">
            <wp:extent cx="5400040" cy="3439795"/>
            <wp:effectExtent l="0" t="0" r="0" b="8255"/>
            <wp:docPr id="100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图片 86"/>
                    <pic:cNvPicPr>
                      <a:picLocks noChangeAspect="1"/>
                    </pic:cNvPicPr>
                  </pic:nvPicPr>
                  <pic:blipFill>
                    <a:blip r:embed="rId290"/>
                    <a:stretch>
                      <a:fillRect/>
                    </a:stretch>
                  </pic:blipFill>
                  <pic:spPr>
                    <a:xfrm>
                      <a:off x="0" y="0"/>
                      <a:ext cx="5400040" cy="3439984"/>
                    </a:xfrm>
                    <a:prstGeom prst="rect">
                      <a:avLst/>
                    </a:prstGeom>
                    <a:noFill/>
                    <a:ln>
                      <a:noFill/>
                    </a:ln>
                  </pic:spPr>
                </pic:pic>
              </a:graphicData>
            </a:graphic>
          </wp:inline>
        </w:drawing>
      </w:r>
      <w:r>
        <w:t xml:space="preserve"> </w:t>
      </w:r>
    </w:p>
    <w:p w14:paraId="172F176E">
      <w:pPr>
        <w:pStyle w:val="183"/>
      </w:pPr>
      <w:bookmarkStart w:id="2393" w:name="_Ref57997772"/>
      <w:bookmarkStart w:id="2394" w:name="_Toc141875498"/>
      <w:r>
        <w:rPr>
          <w:rFonts w:hint="eastAsia"/>
        </w:rPr>
        <w:t>邻居配置列表各项含义</w:t>
      </w:r>
      <w:bookmarkEnd w:id="2393"/>
      <w:bookmarkEnd w:id="2394"/>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3"/>
        <w:gridCol w:w="6635"/>
      </w:tblGrid>
      <w:tr w14:paraId="462331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tcBorders>
              <w:tl2br w:val="nil"/>
              <w:tr2bl w:val="nil"/>
            </w:tcBorders>
            <w:shd w:val="clear" w:color="auto" w:fill="538135" w:themeFill="accent6" w:themeFillShade="BF"/>
            <w:vAlign w:val="center"/>
          </w:tcPr>
          <w:p w14:paraId="04A281F9">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84" w:type="dxa"/>
            <w:tcBorders>
              <w:tl2br w:val="nil"/>
              <w:tr2bl w:val="nil"/>
            </w:tcBorders>
            <w:shd w:val="clear" w:color="auto" w:fill="538135" w:themeFill="accent6" w:themeFillShade="BF"/>
            <w:vAlign w:val="center"/>
          </w:tcPr>
          <w:p w14:paraId="6960EAF9">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87CD64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4F2208E0">
            <w:pPr>
              <w:pStyle w:val="186"/>
              <w:widowControl w:val="0"/>
              <w:spacing w:line="240" w:lineRule="auto"/>
              <w:ind w:firstLine="0"/>
              <w:jc w:val="left"/>
            </w:pPr>
            <w:r>
              <w:rPr>
                <w:rFonts w:hint="eastAsia"/>
              </w:rPr>
              <w:t>邻居IP</w:t>
            </w:r>
          </w:p>
        </w:tc>
        <w:tc>
          <w:tcPr>
            <w:tcW w:w="6684" w:type="dxa"/>
            <w:shd w:val="clear" w:color="auto" w:fill="auto"/>
          </w:tcPr>
          <w:p w14:paraId="67BB5370">
            <w:pPr>
              <w:pStyle w:val="186"/>
              <w:widowControl w:val="0"/>
              <w:spacing w:line="240" w:lineRule="auto"/>
              <w:ind w:firstLine="0"/>
              <w:jc w:val="left"/>
            </w:pPr>
            <w:r>
              <w:rPr>
                <w:rFonts w:hint="eastAsia"/>
              </w:rPr>
              <w:t>邻居的IP地址</w:t>
            </w:r>
          </w:p>
        </w:tc>
      </w:tr>
      <w:tr w14:paraId="6D00E5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0834BBBC">
            <w:pPr>
              <w:pStyle w:val="186"/>
              <w:widowControl w:val="0"/>
              <w:spacing w:line="240" w:lineRule="auto"/>
              <w:ind w:firstLine="0"/>
              <w:jc w:val="left"/>
            </w:pPr>
            <w:r>
              <w:rPr>
                <w:rFonts w:hint="eastAsia"/>
              </w:rPr>
              <w:t>AS号</w:t>
            </w:r>
          </w:p>
        </w:tc>
        <w:tc>
          <w:tcPr>
            <w:tcW w:w="6684" w:type="dxa"/>
            <w:shd w:val="clear" w:color="auto" w:fill="auto"/>
          </w:tcPr>
          <w:p w14:paraId="6A12C448">
            <w:pPr>
              <w:pStyle w:val="186"/>
              <w:widowControl w:val="0"/>
              <w:spacing w:line="240" w:lineRule="auto"/>
              <w:ind w:firstLine="0"/>
              <w:jc w:val="left"/>
            </w:pPr>
            <w:r>
              <w:rPr>
                <w:rFonts w:hint="eastAsia"/>
              </w:rPr>
              <w:t>邻居所属于的AS号</w:t>
            </w:r>
          </w:p>
        </w:tc>
      </w:tr>
      <w:tr w14:paraId="76ADE0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56792BA4">
            <w:pPr>
              <w:pStyle w:val="186"/>
              <w:widowControl w:val="0"/>
              <w:spacing w:line="240" w:lineRule="auto"/>
              <w:ind w:firstLine="0"/>
              <w:jc w:val="left"/>
            </w:pPr>
            <w:r>
              <w:rPr>
                <w:rFonts w:hint="eastAsia"/>
              </w:rPr>
              <w:t>操作</w:t>
            </w:r>
          </w:p>
        </w:tc>
        <w:tc>
          <w:tcPr>
            <w:tcW w:w="6684" w:type="dxa"/>
            <w:shd w:val="clear" w:color="auto" w:fill="auto"/>
          </w:tcPr>
          <w:p w14:paraId="018C1929">
            <w:pPr>
              <w:pStyle w:val="186"/>
              <w:widowControl w:val="0"/>
              <w:spacing w:line="240" w:lineRule="auto"/>
              <w:ind w:firstLine="0"/>
              <w:jc w:val="left"/>
            </w:pPr>
            <w:r>
              <w:rPr>
                <w:rFonts w:hint="eastAsia"/>
              </w:rPr>
              <w:t>点击</w:t>
            </w:r>
            <w:r>
              <w:drawing>
                <wp:inline distT="0" distB="0" distL="114300" distR="114300">
                  <wp:extent cx="190500" cy="200025"/>
                  <wp:effectExtent l="0" t="0" r="0" b="9525"/>
                  <wp:docPr id="27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5"/>
                          <pic:cNvPicPr>
                            <a:picLocks noChangeAspect="1"/>
                          </pic:cNvPicPr>
                        </pic:nvPicPr>
                        <pic:blipFill>
                          <a:blip r:embed="rId291"/>
                          <a:stretch>
                            <a:fillRect/>
                          </a:stretch>
                        </pic:blipFill>
                        <pic:spPr>
                          <a:xfrm>
                            <a:off x="0" y="0"/>
                            <a:ext cx="190500" cy="200025"/>
                          </a:xfrm>
                          <a:prstGeom prst="rect">
                            <a:avLst/>
                          </a:prstGeom>
                          <a:noFill/>
                          <a:ln>
                            <a:noFill/>
                          </a:ln>
                        </pic:spPr>
                      </pic:pic>
                    </a:graphicData>
                  </a:graphic>
                </wp:inline>
              </w:drawing>
            </w:r>
            <w:r>
              <w:rPr>
                <w:rFonts w:hint="eastAsia"/>
              </w:rPr>
              <w:t>可以删除该配置</w:t>
            </w:r>
          </w:p>
        </w:tc>
      </w:tr>
    </w:tbl>
    <w:p w14:paraId="078C9D4E"/>
    <w:p w14:paraId="387B5FC6">
      <w:r>
        <w:rPr>
          <w:rFonts w:hint="eastAsia"/>
        </w:rPr>
        <w:t>点击</w:t>
      </w:r>
      <w:r>
        <w:t>&lt;</w:t>
      </w:r>
      <w:r>
        <w:rPr>
          <w:rFonts w:hint="eastAsia"/>
        </w:rPr>
        <w:t>新建</w:t>
      </w:r>
      <w:r>
        <w:t>&gt;</w:t>
      </w:r>
      <w:r>
        <w:rPr>
          <w:rFonts w:hint="eastAsia"/>
        </w:rPr>
        <w:t>，填入新增的邻居配置。</w:t>
      </w:r>
    </w:p>
    <w:p w14:paraId="70160FBC">
      <w:pPr>
        <w:pStyle w:val="188"/>
      </w:pPr>
      <w:bookmarkStart w:id="2395" w:name="_Toc141874613"/>
      <w:r>
        <w:rPr>
          <w:rFonts w:hint="eastAsia"/>
        </w:rPr>
        <w:t>邻居配置列表</w:t>
      </w:r>
      <w:bookmarkEnd w:id="2395"/>
    </w:p>
    <w:p w14:paraId="19669337">
      <w:r>
        <w:t xml:space="preserve"> </w:t>
      </w:r>
      <w:r>
        <w:drawing>
          <wp:inline distT="0" distB="0" distL="114300" distR="114300">
            <wp:extent cx="5081270" cy="1809750"/>
            <wp:effectExtent l="0" t="0" r="5080" b="0"/>
            <wp:docPr id="100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图片 87"/>
                    <pic:cNvPicPr>
                      <a:picLocks noChangeAspect="1"/>
                    </pic:cNvPicPr>
                  </pic:nvPicPr>
                  <pic:blipFill>
                    <a:blip r:embed="rId292"/>
                    <a:stretch>
                      <a:fillRect/>
                    </a:stretch>
                  </pic:blipFill>
                  <pic:spPr>
                    <a:xfrm>
                      <a:off x="0" y="0"/>
                      <a:ext cx="5089390" cy="1812537"/>
                    </a:xfrm>
                    <a:prstGeom prst="rect">
                      <a:avLst/>
                    </a:prstGeom>
                    <a:noFill/>
                    <a:ln>
                      <a:noFill/>
                    </a:ln>
                  </pic:spPr>
                </pic:pic>
              </a:graphicData>
            </a:graphic>
          </wp:inline>
        </w:drawing>
      </w:r>
    </w:p>
    <w:p w14:paraId="0F2A5876"/>
    <w:p w14:paraId="6690522C">
      <w:pPr>
        <w:pStyle w:val="5"/>
      </w:pPr>
      <w:bookmarkStart w:id="2396" w:name="_Toc71296335"/>
      <w:bookmarkStart w:id="2397" w:name="_Toc194080744"/>
      <w:bookmarkStart w:id="2398" w:name="_Toc99561477"/>
      <w:bookmarkStart w:id="2399" w:name="_Toc172218117"/>
      <w:bookmarkStart w:id="2400" w:name="_Toc196728076"/>
      <w:bookmarkStart w:id="2401" w:name="_Toc141873415"/>
      <w:bookmarkStart w:id="2402" w:name="_Toc142400931"/>
      <w:bookmarkStart w:id="2403" w:name="_Toc46147223"/>
      <w:r>
        <w:rPr>
          <w:rFonts w:hint="eastAsia"/>
        </w:rPr>
        <w:t>网络配置列表</w:t>
      </w:r>
      <w:bookmarkEnd w:id="2396"/>
      <w:bookmarkEnd w:id="2397"/>
      <w:bookmarkEnd w:id="2398"/>
      <w:bookmarkEnd w:id="2399"/>
      <w:bookmarkEnd w:id="2400"/>
      <w:bookmarkEnd w:id="2401"/>
      <w:bookmarkEnd w:id="2402"/>
    </w:p>
    <w:p w14:paraId="49AD61BD">
      <w:r>
        <w:rPr>
          <w:rFonts w:hint="eastAsia"/>
        </w:rPr>
        <w:t>选择“网络配置列表”，进入如</w:t>
      </w:r>
      <w:r>
        <w:fldChar w:fldCharType="begin"/>
      </w:r>
      <w:r>
        <w:instrText xml:space="preserve"> </w:instrText>
      </w:r>
      <w:r>
        <w:rPr>
          <w:rFonts w:hint="eastAsia"/>
        </w:rPr>
        <w:instrText xml:space="preserve">REF _Ref58054127 \r \h</w:instrText>
      </w:r>
      <w:r>
        <w:instrText xml:space="preserve"> </w:instrText>
      </w:r>
      <w:r>
        <w:fldChar w:fldCharType="separate"/>
      </w:r>
      <w:r>
        <w:rPr>
          <w:rFonts w:hint="eastAsia"/>
        </w:rPr>
        <w:t>图7-44</w:t>
      </w:r>
      <w:r>
        <w:fldChar w:fldCharType="end"/>
      </w:r>
      <w:r>
        <w:rPr>
          <w:rFonts w:hint="eastAsia"/>
        </w:rPr>
        <w:t>页面。该页面显示了已经配置的网络配置列表。</w:t>
      </w:r>
    </w:p>
    <w:p w14:paraId="1B8B5DE3">
      <w:pPr>
        <w:pStyle w:val="188"/>
      </w:pPr>
      <w:bookmarkStart w:id="2404" w:name="_Ref58054127"/>
      <w:bookmarkStart w:id="2405" w:name="_Toc141874614"/>
      <w:r>
        <w:rPr>
          <w:rFonts w:hint="eastAsia"/>
        </w:rPr>
        <w:t>已经配置的网络配置列表</w:t>
      </w:r>
      <w:bookmarkEnd w:id="2404"/>
      <w:bookmarkEnd w:id="2405"/>
    </w:p>
    <w:p w14:paraId="4C9D9938">
      <w:r>
        <w:t xml:space="preserve"> </w:t>
      </w:r>
      <w:r>
        <w:drawing>
          <wp:inline distT="0" distB="0" distL="114300" distR="114300">
            <wp:extent cx="4857750" cy="3074670"/>
            <wp:effectExtent l="0" t="0" r="0" b="0"/>
            <wp:docPr id="100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 name="图片 88"/>
                    <pic:cNvPicPr>
                      <a:picLocks noChangeAspect="1"/>
                    </pic:cNvPicPr>
                  </pic:nvPicPr>
                  <pic:blipFill>
                    <a:blip r:embed="rId293"/>
                    <a:stretch>
                      <a:fillRect/>
                    </a:stretch>
                  </pic:blipFill>
                  <pic:spPr>
                    <a:xfrm>
                      <a:off x="0" y="0"/>
                      <a:ext cx="4861643" cy="3077182"/>
                    </a:xfrm>
                    <a:prstGeom prst="rect">
                      <a:avLst/>
                    </a:prstGeom>
                    <a:noFill/>
                    <a:ln>
                      <a:noFill/>
                    </a:ln>
                  </pic:spPr>
                </pic:pic>
              </a:graphicData>
            </a:graphic>
          </wp:inline>
        </w:drawing>
      </w:r>
    </w:p>
    <w:p w14:paraId="60D036F3"/>
    <w:p w14:paraId="550BC552">
      <w:r>
        <w:rPr>
          <w:rFonts w:hint="eastAsia"/>
        </w:rPr>
        <w:t>点击&lt;新建&gt;，编辑要宣告的网段（例如192.168.0.1/24），点击&lt;提交&gt;。</w:t>
      </w:r>
    </w:p>
    <w:p w14:paraId="3F9DBBAC">
      <w:pPr>
        <w:spacing w:before="79" w:after="79"/>
      </w:pPr>
      <w:r>
        <w:drawing>
          <wp:inline distT="0" distB="0" distL="114300" distR="114300">
            <wp:extent cx="5125720" cy="1876425"/>
            <wp:effectExtent l="0" t="0" r="0" b="0"/>
            <wp:docPr id="100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图片 89"/>
                    <pic:cNvPicPr>
                      <a:picLocks noChangeAspect="1"/>
                    </pic:cNvPicPr>
                  </pic:nvPicPr>
                  <pic:blipFill>
                    <a:blip r:embed="rId294"/>
                    <a:stretch>
                      <a:fillRect/>
                    </a:stretch>
                  </pic:blipFill>
                  <pic:spPr>
                    <a:xfrm>
                      <a:off x="0" y="0"/>
                      <a:ext cx="5128511" cy="1877401"/>
                    </a:xfrm>
                    <a:prstGeom prst="rect">
                      <a:avLst/>
                    </a:prstGeom>
                    <a:noFill/>
                    <a:ln>
                      <a:noFill/>
                    </a:ln>
                  </pic:spPr>
                </pic:pic>
              </a:graphicData>
            </a:graphic>
          </wp:inline>
        </w:drawing>
      </w:r>
    </w:p>
    <w:p w14:paraId="21358A01"/>
    <w:p w14:paraId="1DFC1E02">
      <w:pPr>
        <w:pStyle w:val="5"/>
      </w:pPr>
      <w:bookmarkStart w:id="2406" w:name="_Toc142400932"/>
      <w:bookmarkStart w:id="2407" w:name="_Toc99561478"/>
      <w:bookmarkStart w:id="2408" w:name="_Toc141873416"/>
      <w:bookmarkStart w:id="2409" w:name="_Toc194080745"/>
      <w:bookmarkStart w:id="2410" w:name="_Toc71296336"/>
      <w:bookmarkStart w:id="2411" w:name="_Toc172218118"/>
      <w:bookmarkStart w:id="2412" w:name="_Toc196728077"/>
      <w:r>
        <w:rPr>
          <w:rFonts w:hint="eastAsia"/>
        </w:rPr>
        <w:t>路由引入配置列表</w:t>
      </w:r>
      <w:bookmarkEnd w:id="2403"/>
      <w:bookmarkEnd w:id="2406"/>
      <w:bookmarkEnd w:id="2407"/>
      <w:bookmarkEnd w:id="2408"/>
      <w:bookmarkEnd w:id="2409"/>
      <w:bookmarkEnd w:id="2410"/>
      <w:bookmarkEnd w:id="2411"/>
      <w:bookmarkEnd w:id="2412"/>
    </w:p>
    <w:p w14:paraId="6C17FDCD">
      <w:r>
        <w:rPr>
          <w:rFonts w:hint="eastAsia"/>
        </w:rPr>
        <w:t>点击</w:t>
      </w:r>
      <w:r>
        <w:fldChar w:fldCharType="begin"/>
      </w:r>
      <w:r>
        <w:instrText xml:space="preserve"> REF _Ref58054127 \r \h  \* MERGEFORMAT </w:instrText>
      </w:r>
      <w:r>
        <w:fldChar w:fldCharType="separate"/>
      </w:r>
      <w:r>
        <w:rPr>
          <w:rFonts w:hint="eastAsia"/>
        </w:rPr>
        <w:t>图7-44</w:t>
      </w:r>
      <w:r>
        <w:fldChar w:fldCharType="end"/>
      </w:r>
      <w:r>
        <w:rPr>
          <w:rFonts w:hint="eastAsia"/>
        </w:rPr>
        <w:t>中的“路由引入配置列表”，可查看已经配置的路由引入配置列表。</w:t>
      </w:r>
    </w:p>
    <w:p w14:paraId="6F70A1D2">
      <w:pPr>
        <w:pStyle w:val="188"/>
      </w:pPr>
      <w:bookmarkStart w:id="2413" w:name="_Toc141874615"/>
      <w:r>
        <w:rPr>
          <w:rFonts w:hint="eastAsia"/>
        </w:rPr>
        <w:t>已经配置的路由引入配置列表</w:t>
      </w:r>
      <w:bookmarkEnd w:id="2413"/>
    </w:p>
    <w:p w14:paraId="4EFCFB56">
      <w:r>
        <w:drawing>
          <wp:inline distT="0" distB="0" distL="114300" distR="114300">
            <wp:extent cx="5400040" cy="3355340"/>
            <wp:effectExtent l="0" t="0" r="0" b="0"/>
            <wp:docPr id="101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图片 90"/>
                    <pic:cNvPicPr>
                      <a:picLocks noChangeAspect="1"/>
                    </pic:cNvPicPr>
                  </pic:nvPicPr>
                  <pic:blipFill>
                    <a:blip r:embed="rId295"/>
                    <a:stretch>
                      <a:fillRect/>
                    </a:stretch>
                  </pic:blipFill>
                  <pic:spPr>
                    <a:xfrm>
                      <a:off x="0" y="0"/>
                      <a:ext cx="5400040" cy="3355615"/>
                    </a:xfrm>
                    <a:prstGeom prst="rect">
                      <a:avLst/>
                    </a:prstGeom>
                    <a:noFill/>
                    <a:ln>
                      <a:noFill/>
                    </a:ln>
                  </pic:spPr>
                </pic:pic>
              </a:graphicData>
            </a:graphic>
          </wp:inline>
        </w:drawing>
      </w:r>
    </w:p>
    <w:p w14:paraId="5A42EA6E">
      <w:r>
        <w:rPr>
          <w:rFonts w:hint="eastAsia"/>
        </w:rPr>
        <w:t>点击&lt;新建&gt;，选择路由重发布（包括直连路由、静态路由、RIP路由和OSPF路由），点击&lt;提交&gt;。</w:t>
      </w:r>
    </w:p>
    <w:p w14:paraId="54287625">
      <w:pPr>
        <w:spacing w:before="79" w:after="79"/>
      </w:pPr>
      <w:r>
        <w:drawing>
          <wp:inline distT="0" distB="0" distL="114300" distR="114300">
            <wp:extent cx="5353050" cy="1924050"/>
            <wp:effectExtent l="0" t="0" r="0" b="0"/>
            <wp:docPr id="928"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图片 77"/>
                    <pic:cNvPicPr>
                      <a:picLocks noChangeAspect="1"/>
                    </pic:cNvPicPr>
                  </pic:nvPicPr>
                  <pic:blipFill>
                    <a:blip r:embed="rId296"/>
                    <a:stretch>
                      <a:fillRect/>
                    </a:stretch>
                  </pic:blipFill>
                  <pic:spPr>
                    <a:xfrm>
                      <a:off x="0" y="0"/>
                      <a:ext cx="5353050" cy="1924050"/>
                    </a:xfrm>
                    <a:prstGeom prst="rect">
                      <a:avLst/>
                    </a:prstGeom>
                    <a:noFill/>
                    <a:ln>
                      <a:noFill/>
                    </a:ln>
                  </pic:spPr>
                </pic:pic>
              </a:graphicData>
            </a:graphic>
          </wp:inline>
        </w:drawing>
      </w:r>
    </w:p>
    <w:p w14:paraId="2F4950C5">
      <w:pPr>
        <w:pStyle w:val="5"/>
      </w:pPr>
      <w:bookmarkStart w:id="2414" w:name="_Toc57997652"/>
      <w:bookmarkEnd w:id="2414"/>
      <w:bookmarkStart w:id="2415" w:name="_Toc57997651"/>
      <w:bookmarkEnd w:id="2415"/>
      <w:bookmarkStart w:id="2416" w:name="_Toc57997653"/>
      <w:bookmarkEnd w:id="2416"/>
      <w:bookmarkStart w:id="2417" w:name="_Toc57997654"/>
      <w:bookmarkEnd w:id="2417"/>
      <w:bookmarkStart w:id="2418" w:name="_Toc57997655"/>
      <w:bookmarkEnd w:id="2418"/>
      <w:bookmarkStart w:id="2419" w:name="_Toc57997686"/>
      <w:bookmarkEnd w:id="2419"/>
      <w:bookmarkStart w:id="2420" w:name="_Toc46147225"/>
      <w:bookmarkStart w:id="2421" w:name="_Toc71296337"/>
      <w:bookmarkStart w:id="2422" w:name="_Toc99561479"/>
      <w:bookmarkStart w:id="2423" w:name="_Toc141873417"/>
      <w:bookmarkStart w:id="2424" w:name="_Toc142400933"/>
      <w:bookmarkStart w:id="2425" w:name="_Toc196728078"/>
      <w:bookmarkStart w:id="2426" w:name="_Toc194080746"/>
      <w:bookmarkStart w:id="2427" w:name="_Toc172218119"/>
      <w:r>
        <w:rPr>
          <w:rFonts w:hint="eastAsia"/>
        </w:rPr>
        <w:t>BGP配置举例</w:t>
      </w:r>
      <w:bookmarkEnd w:id="2420"/>
      <w:bookmarkEnd w:id="2421"/>
      <w:bookmarkEnd w:id="2422"/>
      <w:bookmarkEnd w:id="2423"/>
      <w:bookmarkEnd w:id="2424"/>
      <w:bookmarkEnd w:id="2425"/>
      <w:bookmarkEnd w:id="2426"/>
      <w:bookmarkEnd w:id="2427"/>
    </w:p>
    <w:p w14:paraId="2AAC5B8D">
      <w:pPr>
        <w:pStyle w:val="6"/>
      </w:pPr>
      <w:bookmarkStart w:id="2428" w:name="_Toc71296338"/>
      <w:r>
        <w:rPr>
          <w:rFonts w:hint="eastAsia"/>
        </w:rPr>
        <w:t>组网需求</w:t>
      </w:r>
      <w:bookmarkEnd w:id="2428"/>
    </w:p>
    <w:p w14:paraId="3140FCBA">
      <w:r>
        <w:rPr>
          <w:rFonts w:hint="eastAsia"/>
        </w:rPr>
        <w:t>配置IP地址，要求设备 A和设备 B上启用BGP，设备 A设备能学到1.1.1.1/24网段的路由，设备 B能学到2.2.2.1/24网段的路由。</w:t>
      </w:r>
    </w:p>
    <w:p w14:paraId="252C3082">
      <w:pPr>
        <w:pStyle w:val="6"/>
      </w:pPr>
      <w:bookmarkStart w:id="2429" w:name="_Toc71296339"/>
      <w:r>
        <w:rPr>
          <w:rFonts w:hint="eastAsia"/>
        </w:rPr>
        <w:t>组网图</w:t>
      </w:r>
      <w:bookmarkEnd w:id="2429"/>
    </w:p>
    <w:p w14:paraId="2B4DA2E6">
      <w:pPr>
        <w:pStyle w:val="188"/>
      </w:pPr>
      <w:bookmarkStart w:id="2430" w:name="_Toc141874616"/>
      <w:r>
        <w:rPr>
          <w:rFonts w:hint="eastAsia"/>
        </w:rPr>
        <w:t>BGP配置案例组网图</w:t>
      </w:r>
      <w:bookmarkEnd w:id="2430"/>
    </w:p>
    <w:p w14:paraId="5C6F29D2">
      <w:r>
        <w:drawing>
          <wp:inline distT="0" distB="0" distL="0" distR="0">
            <wp:extent cx="3895725" cy="2736850"/>
            <wp:effectExtent l="0" t="0" r="0" b="635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297"/>
                    <a:stretch>
                      <a:fillRect/>
                    </a:stretch>
                  </pic:blipFill>
                  <pic:spPr>
                    <a:xfrm>
                      <a:off x="0" y="0"/>
                      <a:ext cx="3900945" cy="2741005"/>
                    </a:xfrm>
                    <a:prstGeom prst="rect">
                      <a:avLst/>
                    </a:prstGeom>
                  </pic:spPr>
                </pic:pic>
              </a:graphicData>
            </a:graphic>
          </wp:inline>
        </w:drawing>
      </w:r>
    </w:p>
    <w:p w14:paraId="2FA43615"/>
    <w:p w14:paraId="49BB8078">
      <w:pPr>
        <w:pStyle w:val="6"/>
      </w:pPr>
      <w:bookmarkStart w:id="2431" w:name="_Toc71296340"/>
      <w:r>
        <w:rPr>
          <w:rFonts w:hint="eastAsia"/>
        </w:rPr>
        <w:t>配置步骤</w:t>
      </w:r>
      <w:bookmarkEnd w:id="2431"/>
    </w:p>
    <w:p w14:paraId="393C6851">
      <w:pPr>
        <w:pStyle w:val="202"/>
      </w:pPr>
      <w:r>
        <w:rPr>
          <w:rFonts w:hint="eastAsia"/>
        </w:rPr>
        <w:t>按照组网图组网。</w:t>
      </w:r>
    </w:p>
    <w:p w14:paraId="5D7AB468">
      <w:pPr>
        <w:pStyle w:val="202"/>
      </w:pPr>
      <w:r>
        <w:rPr>
          <w:rFonts w:hint="eastAsia"/>
        </w:rPr>
        <w:t>配置</w:t>
      </w:r>
      <w:r>
        <w:t>设备 A</w:t>
      </w:r>
    </w:p>
    <w:p w14:paraId="4767D079">
      <w:r>
        <w:rPr>
          <w:rFonts w:hint="eastAsia"/>
        </w:rPr>
        <w:t>通过菜单“网络配置 &gt; 路由管理 &gt; BGP信息”，进入BGP配置页面，设置相关数据，点击&lt;提交&gt;。</w:t>
      </w:r>
    </w:p>
    <w:p w14:paraId="74B591DD">
      <w:pPr>
        <w:pStyle w:val="188"/>
      </w:pPr>
      <w:bookmarkStart w:id="2432" w:name="_Toc141874617"/>
      <w:r>
        <w:rPr>
          <w:rFonts w:hint="eastAsia"/>
        </w:rPr>
        <w:t>BGP配置</w:t>
      </w:r>
      <w:bookmarkEnd w:id="2432"/>
    </w:p>
    <w:p w14:paraId="74A9B84E">
      <w:r>
        <w:drawing>
          <wp:inline distT="0" distB="0" distL="114300" distR="114300">
            <wp:extent cx="4600575" cy="2333625"/>
            <wp:effectExtent l="0" t="0" r="9525" b="9525"/>
            <wp:docPr id="929"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图片 78"/>
                    <pic:cNvPicPr>
                      <a:picLocks noChangeAspect="1"/>
                    </pic:cNvPicPr>
                  </pic:nvPicPr>
                  <pic:blipFill>
                    <a:blip r:embed="rId298"/>
                    <a:stretch>
                      <a:fillRect/>
                    </a:stretch>
                  </pic:blipFill>
                  <pic:spPr>
                    <a:xfrm>
                      <a:off x="0" y="0"/>
                      <a:ext cx="4600575" cy="2333625"/>
                    </a:xfrm>
                    <a:prstGeom prst="rect">
                      <a:avLst/>
                    </a:prstGeom>
                    <a:noFill/>
                    <a:ln>
                      <a:noFill/>
                    </a:ln>
                  </pic:spPr>
                </pic:pic>
              </a:graphicData>
            </a:graphic>
          </wp:inline>
        </w:drawing>
      </w:r>
    </w:p>
    <w:p w14:paraId="2E106D44"/>
    <w:p w14:paraId="473C96F4">
      <w:r>
        <w:rPr>
          <w:rFonts w:hint="eastAsia"/>
        </w:rPr>
        <w:t>点击“应用”，进入如</w:t>
      </w:r>
      <w:r>
        <w:fldChar w:fldCharType="begin"/>
      </w:r>
      <w:r>
        <w:instrText xml:space="preserve"> REF _Ref58054203 \r \h  \* MERGEFORMAT </w:instrText>
      </w:r>
      <w:r>
        <w:fldChar w:fldCharType="separate"/>
      </w:r>
      <w:r>
        <w:rPr>
          <w:rFonts w:hint="eastAsia"/>
        </w:rPr>
        <w:t>图7-48</w:t>
      </w:r>
      <w:r>
        <w:fldChar w:fldCharType="end"/>
      </w:r>
      <w:r>
        <w:rPr>
          <w:rFonts w:hint="eastAsia"/>
        </w:rPr>
        <w:t>所示页面，点击新建，设置相关数据，并点击&lt;提交&gt;按钮。</w:t>
      </w:r>
    </w:p>
    <w:p w14:paraId="7A77F2E4">
      <w:pPr>
        <w:pStyle w:val="188"/>
      </w:pPr>
      <w:bookmarkStart w:id="2433" w:name="_Ref58054203"/>
      <w:bookmarkStart w:id="2434" w:name="_Toc141874618"/>
      <w:r>
        <w:rPr>
          <w:rFonts w:hint="eastAsia"/>
        </w:rPr>
        <w:t>配置邻居配置列表</w:t>
      </w:r>
      <w:bookmarkEnd w:id="2433"/>
      <w:bookmarkEnd w:id="2434"/>
    </w:p>
    <w:p w14:paraId="66AE1661">
      <w:r>
        <w:drawing>
          <wp:inline distT="0" distB="0" distL="114300" distR="114300">
            <wp:extent cx="5400040" cy="3242310"/>
            <wp:effectExtent l="0" t="0" r="0" b="0"/>
            <wp:docPr id="101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 name="图片 92"/>
                    <pic:cNvPicPr>
                      <a:picLocks noChangeAspect="1"/>
                    </pic:cNvPicPr>
                  </pic:nvPicPr>
                  <pic:blipFill>
                    <a:blip r:embed="rId299"/>
                    <a:stretch>
                      <a:fillRect/>
                    </a:stretch>
                  </pic:blipFill>
                  <pic:spPr>
                    <a:xfrm>
                      <a:off x="0" y="0"/>
                      <a:ext cx="5400040" cy="3242491"/>
                    </a:xfrm>
                    <a:prstGeom prst="rect">
                      <a:avLst/>
                    </a:prstGeom>
                    <a:noFill/>
                    <a:ln>
                      <a:noFill/>
                    </a:ln>
                  </pic:spPr>
                </pic:pic>
              </a:graphicData>
            </a:graphic>
          </wp:inline>
        </w:drawing>
      </w:r>
    </w:p>
    <w:p w14:paraId="3F9D6353"/>
    <w:p w14:paraId="13F84A10">
      <w:r>
        <w:rPr>
          <w:rFonts w:hint="eastAsia"/>
        </w:rPr>
        <w:t>点击</w:t>
      </w:r>
      <w:r>
        <w:fldChar w:fldCharType="begin"/>
      </w:r>
      <w:r>
        <w:instrText xml:space="preserve"> REF _Ref58054203 \r \h  \* MERGEFORMAT </w:instrText>
      </w:r>
      <w:r>
        <w:fldChar w:fldCharType="separate"/>
      </w:r>
      <w:r>
        <w:rPr>
          <w:rFonts w:hint="eastAsia"/>
        </w:rPr>
        <w:t>图7-48</w:t>
      </w:r>
      <w:r>
        <w:fldChar w:fldCharType="end"/>
      </w:r>
      <w:r>
        <w:rPr>
          <w:rFonts w:hint="eastAsia"/>
        </w:rPr>
        <w:t>中的“网络配置列表”，进入如</w:t>
      </w:r>
      <w:r>
        <w:fldChar w:fldCharType="begin"/>
      </w:r>
      <w:r>
        <w:instrText xml:space="preserve"> REF _Ref58054293 \r \h  \* MERGEFORMAT </w:instrText>
      </w:r>
      <w:r>
        <w:fldChar w:fldCharType="separate"/>
      </w:r>
      <w:r>
        <w:rPr>
          <w:rFonts w:hint="eastAsia"/>
        </w:rPr>
        <w:t>图7-49</w:t>
      </w:r>
      <w:r>
        <w:fldChar w:fldCharType="end"/>
      </w:r>
      <w:r>
        <w:rPr>
          <w:rFonts w:hint="eastAsia"/>
        </w:rPr>
        <w:t>所示页面，点击新建，设置相关数据，并点击&lt;提交&gt;按钮。</w:t>
      </w:r>
    </w:p>
    <w:p w14:paraId="373DF24C">
      <w:pPr>
        <w:pStyle w:val="188"/>
      </w:pPr>
      <w:bookmarkStart w:id="2435" w:name="_Toc141874619"/>
      <w:bookmarkStart w:id="2436" w:name="_Ref58054293"/>
      <w:r>
        <w:rPr>
          <w:rFonts w:hint="eastAsia"/>
        </w:rPr>
        <w:t>配置网络配置列表</w:t>
      </w:r>
      <w:bookmarkEnd w:id="2435"/>
      <w:bookmarkEnd w:id="2436"/>
    </w:p>
    <w:p w14:paraId="5E852712">
      <w:r>
        <w:drawing>
          <wp:inline distT="0" distB="0" distL="114300" distR="114300">
            <wp:extent cx="5400040" cy="3366135"/>
            <wp:effectExtent l="0" t="0" r="0" b="5715"/>
            <wp:docPr id="101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 name="图片 97"/>
                    <pic:cNvPicPr>
                      <a:picLocks noChangeAspect="1"/>
                    </pic:cNvPicPr>
                  </pic:nvPicPr>
                  <pic:blipFill>
                    <a:blip r:embed="rId300"/>
                    <a:stretch>
                      <a:fillRect/>
                    </a:stretch>
                  </pic:blipFill>
                  <pic:spPr>
                    <a:xfrm>
                      <a:off x="0" y="0"/>
                      <a:ext cx="5400040" cy="3366754"/>
                    </a:xfrm>
                    <a:prstGeom prst="rect">
                      <a:avLst/>
                    </a:prstGeom>
                    <a:noFill/>
                    <a:ln>
                      <a:noFill/>
                    </a:ln>
                  </pic:spPr>
                </pic:pic>
              </a:graphicData>
            </a:graphic>
          </wp:inline>
        </w:drawing>
      </w:r>
    </w:p>
    <w:p w14:paraId="3538D919"/>
    <w:p w14:paraId="60ED5BB6">
      <w:pPr>
        <w:pStyle w:val="202"/>
      </w:pPr>
      <w:r>
        <w:rPr>
          <w:rFonts w:hint="eastAsia"/>
        </w:rPr>
        <w:t>配置</w:t>
      </w:r>
      <w:r>
        <w:t>设备 B</w:t>
      </w:r>
    </w:p>
    <w:p w14:paraId="0CE447D6">
      <w:r>
        <w:rPr>
          <w:rFonts w:hint="eastAsia"/>
        </w:rPr>
        <w:t>通过菜单“网络配置 &gt; 路由管理 &gt; BGP信息”，进入BGP配置页面，如</w:t>
      </w:r>
      <w:r>
        <w:fldChar w:fldCharType="begin"/>
      </w:r>
      <w:r>
        <w:instrText xml:space="preserve"> REF _Ref58054328 \r \h  \* MERGEFORMAT </w:instrText>
      </w:r>
      <w:r>
        <w:fldChar w:fldCharType="separate"/>
      </w:r>
      <w:r>
        <w:rPr>
          <w:rFonts w:hint="eastAsia"/>
        </w:rPr>
        <w:t>图7-50</w:t>
      </w:r>
      <w:r>
        <w:fldChar w:fldCharType="end"/>
      </w:r>
      <w:r>
        <w:rPr>
          <w:rFonts w:hint="eastAsia"/>
        </w:rPr>
        <w:t>所示，设置相关数据，点击&lt;提交&gt;。</w:t>
      </w:r>
    </w:p>
    <w:p w14:paraId="2CA493BE">
      <w:pPr>
        <w:pStyle w:val="188"/>
      </w:pPr>
      <w:bookmarkStart w:id="2437" w:name="_Ref58054328"/>
      <w:bookmarkStart w:id="2438" w:name="_Toc141874620"/>
      <w:r>
        <w:rPr>
          <w:rFonts w:hint="eastAsia"/>
        </w:rPr>
        <w:t>BGP配置</w:t>
      </w:r>
      <w:bookmarkEnd w:id="2437"/>
      <w:bookmarkEnd w:id="2438"/>
    </w:p>
    <w:p w14:paraId="40C49FF0">
      <w:r>
        <w:drawing>
          <wp:inline distT="0" distB="0" distL="114300" distR="114300">
            <wp:extent cx="4657725" cy="2305050"/>
            <wp:effectExtent l="0" t="0" r="9525" b="0"/>
            <wp:docPr id="932"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图片 81"/>
                    <pic:cNvPicPr>
                      <a:picLocks noChangeAspect="1"/>
                    </pic:cNvPicPr>
                  </pic:nvPicPr>
                  <pic:blipFill>
                    <a:blip r:embed="rId301"/>
                    <a:stretch>
                      <a:fillRect/>
                    </a:stretch>
                  </pic:blipFill>
                  <pic:spPr>
                    <a:xfrm>
                      <a:off x="0" y="0"/>
                      <a:ext cx="4657725" cy="2305050"/>
                    </a:xfrm>
                    <a:prstGeom prst="rect">
                      <a:avLst/>
                    </a:prstGeom>
                    <a:noFill/>
                    <a:ln>
                      <a:noFill/>
                    </a:ln>
                  </pic:spPr>
                </pic:pic>
              </a:graphicData>
            </a:graphic>
          </wp:inline>
        </w:drawing>
      </w:r>
    </w:p>
    <w:p w14:paraId="523891B4"/>
    <w:p w14:paraId="5F3A8639">
      <w:r>
        <w:rPr>
          <w:rFonts w:hint="eastAsia"/>
        </w:rPr>
        <w:t>点击</w:t>
      </w:r>
      <w:r>
        <w:fldChar w:fldCharType="begin"/>
      </w:r>
      <w:r>
        <w:instrText xml:space="preserve"> REF _Ref58054328 \r \h  \* MERGEFORMAT </w:instrText>
      </w:r>
      <w:r>
        <w:fldChar w:fldCharType="separate"/>
      </w:r>
      <w:r>
        <w:rPr>
          <w:rFonts w:hint="eastAsia"/>
        </w:rPr>
        <w:t>图7-50</w:t>
      </w:r>
      <w:r>
        <w:fldChar w:fldCharType="end"/>
      </w:r>
      <w:r>
        <w:rPr>
          <w:rFonts w:hint="eastAsia"/>
        </w:rPr>
        <w:t>中的“应用”，进入如</w:t>
      </w:r>
      <w:r>
        <w:fldChar w:fldCharType="begin"/>
      </w:r>
      <w:r>
        <w:instrText xml:space="preserve"> REF _Ref58054361 \r \h  \* MERGEFORMAT </w:instrText>
      </w:r>
      <w:r>
        <w:fldChar w:fldCharType="separate"/>
      </w:r>
      <w:r>
        <w:rPr>
          <w:rFonts w:hint="eastAsia"/>
        </w:rPr>
        <w:t>图7-51</w:t>
      </w:r>
      <w:r>
        <w:fldChar w:fldCharType="end"/>
      </w:r>
      <w:r>
        <w:rPr>
          <w:rFonts w:hint="eastAsia"/>
        </w:rPr>
        <w:t>所示页面，点击新建，设置相关数据，并点击&lt;提交&gt;按钮。</w:t>
      </w:r>
    </w:p>
    <w:p w14:paraId="633C1EC2">
      <w:pPr>
        <w:pStyle w:val="188"/>
      </w:pPr>
      <w:bookmarkStart w:id="2439" w:name="_Ref58054361"/>
      <w:bookmarkStart w:id="2440" w:name="_Toc141874621"/>
      <w:r>
        <w:rPr>
          <w:rFonts w:hint="eastAsia"/>
        </w:rPr>
        <w:t>配置邻居配置列表</w:t>
      </w:r>
      <w:bookmarkEnd w:id="2439"/>
      <w:bookmarkEnd w:id="2440"/>
    </w:p>
    <w:p w14:paraId="1474E174">
      <w:r>
        <w:drawing>
          <wp:inline distT="0" distB="0" distL="114300" distR="114300">
            <wp:extent cx="5400040" cy="3384550"/>
            <wp:effectExtent l="0" t="0" r="0" b="6350"/>
            <wp:docPr id="933"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图片 82"/>
                    <pic:cNvPicPr>
                      <a:picLocks noChangeAspect="1"/>
                    </pic:cNvPicPr>
                  </pic:nvPicPr>
                  <pic:blipFill>
                    <a:blip r:embed="rId302"/>
                    <a:stretch>
                      <a:fillRect/>
                    </a:stretch>
                  </pic:blipFill>
                  <pic:spPr>
                    <a:xfrm>
                      <a:off x="0" y="0"/>
                      <a:ext cx="5400040" cy="3384982"/>
                    </a:xfrm>
                    <a:prstGeom prst="rect">
                      <a:avLst/>
                    </a:prstGeom>
                    <a:noFill/>
                    <a:ln>
                      <a:noFill/>
                    </a:ln>
                  </pic:spPr>
                </pic:pic>
              </a:graphicData>
            </a:graphic>
          </wp:inline>
        </w:drawing>
      </w:r>
    </w:p>
    <w:p w14:paraId="62F9E4F9"/>
    <w:p w14:paraId="27D20963">
      <w:r>
        <w:rPr>
          <w:rFonts w:hint="eastAsia"/>
        </w:rPr>
        <w:t>点击</w:t>
      </w:r>
      <w:r>
        <w:fldChar w:fldCharType="begin"/>
      </w:r>
      <w:r>
        <w:instrText xml:space="preserve"> REF _Ref58054361 \r \h  \* MERGEFORMAT </w:instrText>
      </w:r>
      <w:r>
        <w:fldChar w:fldCharType="separate"/>
      </w:r>
      <w:r>
        <w:rPr>
          <w:rFonts w:hint="eastAsia"/>
        </w:rPr>
        <w:t>图7-51</w:t>
      </w:r>
      <w:r>
        <w:fldChar w:fldCharType="end"/>
      </w:r>
      <w:r>
        <w:rPr>
          <w:rFonts w:hint="eastAsia"/>
        </w:rPr>
        <w:t>中的“网络配置列表”，进入如</w:t>
      </w:r>
      <w:r>
        <w:fldChar w:fldCharType="begin"/>
      </w:r>
      <w:r>
        <w:instrText xml:space="preserve"> REF _Ref58054427 \r \h  \* MERGEFORMAT </w:instrText>
      </w:r>
      <w:r>
        <w:fldChar w:fldCharType="separate"/>
      </w:r>
      <w:r>
        <w:rPr>
          <w:rFonts w:hint="eastAsia"/>
        </w:rPr>
        <w:t>图7-52</w:t>
      </w:r>
      <w:r>
        <w:fldChar w:fldCharType="end"/>
      </w:r>
      <w:r>
        <w:rPr>
          <w:rFonts w:hint="eastAsia"/>
        </w:rPr>
        <w:t>所示页面，点击新建，设置相关数据，并点击&lt;提交&gt;按钮。</w:t>
      </w:r>
    </w:p>
    <w:p w14:paraId="3FBEE824">
      <w:pPr>
        <w:pStyle w:val="188"/>
      </w:pPr>
      <w:bookmarkStart w:id="2441" w:name="_Ref58054427"/>
      <w:bookmarkStart w:id="2442" w:name="_Toc141874622"/>
      <w:r>
        <w:rPr>
          <w:rFonts w:hint="eastAsia"/>
        </w:rPr>
        <w:t>配置网络配置列表</w:t>
      </w:r>
      <w:bookmarkEnd w:id="2441"/>
      <w:bookmarkEnd w:id="2442"/>
    </w:p>
    <w:p w14:paraId="19DC8A5E">
      <w:r>
        <w:drawing>
          <wp:inline distT="0" distB="0" distL="114300" distR="114300">
            <wp:extent cx="4933950" cy="2253615"/>
            <wp:effectExtent l="0" t="0" r="0" b="0"/>
            <wp:docPr id="934"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图片 83"/>
                    <pic:cNvPicPr>
                      <a:picLocks noChangeAspect="1"/>
                    </pic:cNvPicPr>
                  </pic:nvPicPr>
                  <pic:blipFill>
                    <a:blip r:embed="rId303"/>
                    <a:srcRect b="27356"/>
                    <a:stretch>
                      <a:fillRect/>
                    </a:stretch>
                  </pic:blipFill>
                  <pic:spPr>
                    <a:xfrm>
                      <a:off x="0" y="0"/>
                      <a:ext cx="4939559" cy="2256648"/>
                    </a:xfrm>
                    <a:prstGeom prst="rect">
                      <a:avLst/>
                    </a:prstGeom>
                    <a:noFill/>
                    <a:ln>
                      <a:noFill/>
                    </a:ln>
                  </pic:spPr>
                </pic:pic>
              </a:graphicData>
            </a:graphic>
          </wp:inline>
        </w:drawing>
      </w:r>
    </w:p>
    <w:p w14:paraId="3CB4F118">
      <w:pPr>
        <w:pStyle w:val="6"/>
      </w:pPr>
      <w:bookmarkStart w:id="2443" w:name="_Toc71296341"/>
      <w:r>
        <w:rPr>
          <w:rFonts w:hint="eastAsia"/>
        </w:rPr>
        <w:t>验证配置</w:t>
      </w:r>
      <w:bookmarkEnd w:id="2443"/>
    </w:p>
    <w:p w14:paraId="704ADF84">
      <w:r>
        <w:rPr>
          <w:rFonts w:hint="eastAsia"/>
        </w:rPr>
        <w:t>在</w:t>
      </w:r>
      <w:r>
        <w:t>Host</w:t>
      </w:r>
      <w:r>
        <w:rPr>
          <w:rFonts w:hint="eastAsia"/>
        </w:rPr>
        <w:t xml:space="preserve"> A上使用ping命令验证</w:t>
      </w:r>
      <w:r>
        <w:t xml:space="preserve">Host </w:t>
      </w:r>
      <w:r>
        <w:rPr>
          <w:rFonts w:hint="eastAsia"/>
        </w:rPr>
        <w:t>B可达。</w:t>
      </w:r>
      <w:r>
        <w:br w:type="page"/>
      </w:r>
    </w:p>
    <w:p w14:paraId="036DB488">
      <w:pPr>
        <w:pStyle w:val="3"/>
      </w:pPr>
      <w:bookmarkStart w:id="2444" w:name="_Toc194080747"/>
      <w:bookmarkStart w:id="2445" w:name="_Toc196728079"/>
      <w:bookmarkStart w:id="2446" w:name="_Toc172218120"/>
      <w:r>
        <w:rPr>
          <w:rFonts w:hint="eastAsia"/>
        </w:rPr>
        <w:t>路由管理（仅支持非Cavium平台硬件款型）</w:t>
      </w:r>
      <w:bookmarkEnd w:id="2444"/>
      <w:bookmarkEnd w:id="2445"/>
      <w:bookmarkEnd w:id="2446"/>
    </w:p>
    <w:p w14:paraId="22B37656">
      <w:pPr>
        <w:pStyle w:val="4"/>
      </w:pPr>
      <w:bookmarkStart w:id="2447" w:name="_Toc194080748"/>
      <w:bookmarkStart w:id="2448" w:name="_Toc172218121"/>
      <w:bookmarkStart w:id="2449" w:name="_Toc196728080"/>
      <w:r>
        <w:rPr>
          <w:rFonts w:hint="eastAsia"/>
        </w:rPr>
        <w:t>概述</w:t>
      </w:r>
      <w:bookmarkEnd w:id="2447"/>
      <w:bookmarkEnd w:id="2448"/>
      <w:bookmarkEnd w:id="2449"/>
    </w:p>
    <w:p w14:paraId="59CF8C2B">
      <w:r>
        <w:rPr>
          <w:rFonts w:hint="eastAsia"/>
        </w:rPr>
        <w:t>路由是通过互联的网络将数据从源地址传输到目的地址的行为。通常，路由器或其他路由设备使用路由选择协议动态地发现互联网中的网络，找出最佳数据传输路径，以最高效率将数据通过网络送达到目的地址。</w:t>
      </w:r>
    </w:p>
    <w:p w14:paraId="0A41400A">
      <w:r>
        <w:rPr>
          <w:rFonts w:hint="eastAsia"/>
        </w:rPr>
        <w:t>设备不仅支持静态路由，同时也支持RIP（Routing Information Protocol）、OSPF（Open Shortest Path First）、和BGP（Border Gateway Protocol）等动态路由协议。</w:t>
      </w:r>
    </w:p>
    <w:p w14:paraId="04428120">
      <w:pPr>
        <w:pStyle w:val="5"/>
      </w:pPr>
      <w:bookmarkStart w:id="2450" w:name="_Toc196728081"/>
      <w:bookmarkStart w:id="2451" w:name="_Toc172218122"/>
      <w:bookmarkStart w:id="2452" w:name="_Toc194080749"/>
      <w:r>
        <w:rPr>
          <w:rFonts w:hint="eastAsia"/>
        </w:rPr>
        <w:t>静态路由与动态路由的区别</w:t>
      </w:r>
      <w:bookmarkEnd w:id="2450"/>
      <w:bookmarkEnd w:id="2451"/>
      <w:bookmarkEnd w:id="2452"/>
    </w:p>
    <w:p w14:paraId="066052AA">
      <w:r>
        <w:rPr>
          <w:rFonts w:hint="eastAsia"/>
        </w:rPr>
        <w:t>静态路由配置方便，对系统要求低，适用于拓扑结构简单并且稳定的小型网络。缺点是不能自动适应网络拓扑的变化，需要人工干预。</w:t>
      </w:r>
    </w:p>
    <w:p w14:paraId="384FF36A">
      <w:r>
        <w:rPr>
          <w:rFonts w:hint="eastAsia"/>
        </w:rPr>
        <w:t>动态路由协议有自己的路由算法，能够自动适应网络拓扑的变化，适用于具有一定数量三层设备的网络。缺点是配置对用户要求比较高，对系统的要求高于静态路由，并将占用一定的网络资源和系统资源。</w:t>
      </w:r>
    </w:p>
    <w:p w14:paraId="6E39F110">
      <w:pPr>
        <w:pStyle w:val="5"/>
      </w:pPr>
      <w:bookmarkStart w:id="2453" w:name="_Toc172218123"/>
      <w:bookmarkStart w:id="2454" w:name="_Toc194080750"/>
      <w:bookmarkStart w:id="2455" w:name="_Toc196728082"/>
      <w:r>
        <w:rPr>
          <w:rFonts w:hint="eastAsia"/>
        </w:rPr>
        <w:t>动态路由的分类</w:t>
      </w:r>
      <w:bookmarkEnd w:id="2453"/>
      <w:bookmarkEnd w:id="2454"/>
      <w:bookmarkEnd w:id="2455"/>
    </w:p>
    <w:p w14:paraId="3FE1DE8F">
      <w:r>
        <w:rPr>
          <w:rFonts w:hint="eastAsia"/>
        </w:rPr>
        <w:t>根据作用范围不同，路由协议可分为：</w:t>
      </w:r>
    </w:p>
    <w:p w14:paraId="5723F594">
      <w:pPr>
        <w:pStyle w:val="162"/>
      </w:pPr>
      <w:r>
        <w:rPr>
          <w:rFonts w:hint="eastAsia"/>
        </w:rPr>
        <w:t>内部网关协议IGP（Interior Gateway Protocol）：在一个自治系统内部运行。常见的IGP协议包括RIP、OSPF等。</w:t>
      </w:r>
    </w:p>
    <w:p w14:paraId="1991229C">
      <w:pPr>
        <w:pStyle w:val="162"/>
      </w:pPr>
      <w:r>
        <w:rPr>
          <w:rFonts w:hint="eastAsia"/>
        </w:rPr>
        <w:t>外部网关协议EGP（Exterior Gateway Protocol）：运行于不同自治系统之间。BGP是目前最常用的EGP协议。</w:t>
      </w:r>
    </w:p>
    <w:p w14:paraId="6FE9671A">
      <w:r>
        <w:rPr>
          <w:rFonts w:hint="eastAsia"/>
        </w:rPr>
        <w:t>根据使用算法不同，路由协议可分为：</w:t>
      </w:r>
    </w:p>
    <w:p w14:paraId="682545A2">
      <w:pPr>
        <w:pStyle w:val="162"/>
      </w:pPr>
      <w:r>
        <w:rPr>
          <w:rFonts w:hint="eastAsia"/>
        </w:rPr>
        <w:t>距离矢量协议（Distance-Vector Protocol）：包括RIP和BGP。其中，BGP也被称为路径矢量协议（Path-Vector Protocol）。</w:t>
      </w:r>
    </w:p>
    <w:p w14:paraId="78ED34FC">
      <w:pPr>
        <w:pStyle w:val="162"/>
      </w:pPr>
      <w:r>
        <w:rPr>
          <w:rFonts w:hint="eastAsia"/>
        </w:rPr>
        <w:t>链路状态协议（Link-State Protocol）：如OSPF。</w:t>
      </w:r>
    </w:p>
    <w:p w14:paraId="3F169F48">
      <w:r>
        <w:rPr>
          <w:rFonts w:hint="eastAsia"/>
        </w:rPr>
        <w:t>以上两种算法的主要区别在于发现路由和计算路由的方法不同。</w:t>
      </w:r>
    </w:p>
    <w:p w14:paraId="61E9712F">
      <w:pPr>
        <w:pStyle w:val="4"/>
      </w:pPr>
      <w:bookmarkStart w:id="2456" w:name="_Toc172218124"/>
      <w:bookmarkStart w:id="2457" w:name="_Toc194080751"/>
      <w:bookmarkStart w:id="2458" w:name="_Toc196728083"/>
      <w:r>
        <w:rPr>
          <w:rFonts w:hint="eastAsia"/>
        </w:rPr>
        <w:t>静态路由</w:t>
      </w:r>
      <w:bookmarkEnd w:id="2456"/>
      <w:bookmarkEnd w:id="2457"/>
      <w:bookmarkEnd w:id="2458"/>
    </w:p>
    <w:p w14:paraId="53A804B8">
      <w:pPr>
        <w:pStyle w:val="5"/>
      </w:pPr>
      <w:bookmarkStart w:id="2459" w:name="_Toc196728084"/>
      <w:bookmarkStart w:id="2460" w:name="_Toc172218125"/>
      <w:bookmarkStart w:id="2461" w:name="_Toc194080752"/>
      <w:r>
        <w:rPr>
          <w:rFonts w:hint="eastAsia"/>
        </w:rPr>
        <w:t>概述</w:t>
      </w:r>
      <w:bookmarkEnd w:id="2459"/>
      <w:bookmarkEnd w:id="2460"/>
      <w:bookmarkEnd w:id="2461"/>
    </w:p>
    <w:p w14:paraId="6FC9EF37">
      <w:r>
        <w:rPr>
          <w:rFonts w:hint="eastAsia"/>
        </w:rPr>
        <w:t>静态路由是用户在设备的路由表中手动添加的固定路由，适用于网络规模较小、拓扑结构固定的网络环境中。静态路由的优点是简单、高效、可靠、几乎不增加CPU负载；缺点是无法对网络结构改变做出反应，发生网络结构变化后只能在设备上手动维护路由表。在所有路由中，静态路由的优先级最高，静态路由与动态路由发生冲突时，系统会以静态路由为准。</w:t>
      </w:r>
    </w:p>
    <w:p w14:paraId="30EB1228">
      <w:pPr>
        <w:pStyle w:val="5"/>
      </w:pPr>
      <w:bookmarkStart w:id="2462" w:name="_Toc196728085"/>
      <w:bookmarkStart w:id="2463" w:name="_Toc172218126"/>
      <w:bookmarkStart w:id="2464" w:name="_Toc194080753"/>
      <w:r>
        <w:rPr>
          <w:rFonts w:hint="eastAsia"/>
        </w:rPr>
        <w:t>查看静态路由表</w:t>
      </w:r>
      <w:bookmarkEnd w:id="2462"/>
      <w:bookmarkEnd w:id="2463"/>
      <w:bookmarkEnd w:id="2464"/>
    </w:p>
    <w:p w14:paraId="45246811">
      <w:r>
        <w:rPr>
          <w:rFonts w:hint="eastAsia"/>
        </w:rPr>
        <w:t>通过菜单“网络配置&gt; 路由管理</w:t>
      </w:r>
      <w:r>
        <w:t xml:space="preserve"> &gt; </w:t>
      </w:r>
      <w:r>
        <w:rPr>
          <w:rFonts w:hint="eastAsia"/>
        </w:rPr>
        <w:t>静态路由”，可以查看已经配置的静态路由信息。</w:t>
      </w:r>
    </w:p>
    <w:p w14:paraId="20B91E5B">
      <w:pPr>
        <w:pStyle w:val="188"/>
      </w:pPr>
      <w:r>
        <w:rPr>
          <w:rFonts w:hint="eastAsia"/>
        </w:rPr>
        <w:t>静态路由表</w:t>
      </w:r>
    </w:p>
    <w:p w14:paraId="78CE5C27">
      <w:r>
        <w:drawing>
          <wp:inline distT="0" distB="0" distL="0" distR="0">
            <wp:extent cx="5676900" cy="1118235"/>
            <wp:effectExtent l="0" t="0" r="0" b="5715"/>
            <wp:docPr id="440"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440"/>
                    <pic:cNvPicPr>
                      <a:picLocks noChangeAspect="1"/>
                    </pic:cNvPicPr>
                  </pic:nvPicPr>
                  <pic:blipFill>
                    <a:blip r:embed="rId245"/>
                    <a:stretch>
                      <a:fillRect/>
                    </a:stretch>
                  </pic:blipFill>
                  <pic:spPr>
                    <a:xfrm>
                      <a:off x="0" y="0"/>
                      <a:ext cx="5734094" cy="1129686"/>
                    </a:xfrm>
                    <a:prstGeom prst="rect">
                      <a:avLst/>
                    </a:prstGeom>
                  </pic:spPr>
                </pic:pic>
              </a:graphicData>
            </a:graphic>
          </wp:inline>
        </w:drawing>
      </w:r>
    </w:p>
    <w:p w14:paraId="1FB22EDE"/>
    <w:p w14:paraId="11BCC74E">
      <w:pPr>
        <w:pStyle w:val="5"/>
      </w:pPr>
      <w:bookmarkStart w:id="2465" w:name="_Toc196728086"/>
      <w:bookmarkStart w:id="2466" w:name="_Toc172218127"/>
      <w:bookmarkStart w:id="2467" w:name="_Toc194080754"/>
      <w:r>
        <w:rPr>
          <w:rFonts w:hint="eastAsia"/>
        </w:rPr>
        <w:t>新建静态路由</w:t>
      </w:r>
      <w:bookmarkEnd w:id="2465"/>
      <w:bookmarkEnd w:id="2466"/>
      <w:bookmarkEnd w:id="2467"/>
    </w:p>
    <w:p w14:paraId="1236A7D9">
      <w:r>
        <w:rPr>
          <w:rFonts w:hint="eastAsia"/>
        </w:rPr>
        <w:t>点击“新建”，进入静态路由配置页面。</w:t>
      </w:r>
    </w:p>
    <w:p w14:paraId="55D1DF43">
      <w:pPr>
        <w:pStyle w:val="188"/>
      </w:pPr>
      <w:r>
        <w:rPr>
          <w:rFonts w:hint="eastAsia"/>
        </w:rPr>
        <w:t>静态路由配置页面</w:t>
      </w:r>
    </w:p>
    <w:p w14:paraId="6F6EE65A">
      <w:r>
        <w:drawing>
          <wp:inline distT="0" distB="0" distL="114300" distR="114300">
            <wp:extent cx="4991100" cy="2952750"/>
            <wp:effectExtent l="0" t="0" r="0" b="6350"/>
            <wp:docPr id="44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46"/>
                    <pic:cNvPicPr>
                      <a:picLocks noChangeAspect="1"/>
                    </pic:cNvPicPr>
                  </pic:nvPicPr>
                  <pic:blipFill>
                    <a:blip r:embed="rId246"/>
                    <a:stretch>
                      <a:fillRect/>
                    </a:stretch>
                  </pic:blipFill>
                  <pic:spPr>
                    <a:xfrm>
                      <a:off x="0" y="0"/>
                      <a:ext cx="4991100" cy="2952750"/>
                    </a:xfrm>
                    <a:prstGeom prst="rect">
                      <a:avLst/>
                    </a:prstGeom>
                    <a:noFill/>
                    <a:ln>
                      <a:noFill/>
                    </a:ln>
                  </pic:spPr>
                </pic:pic>
              </a:graphicData>
            </a:graphic>
          </wp:inline>
        </w:drawing>
      </w:r>
    </w:p>
    <w:p w14:paraId="0C8802CF"/>
    <w:p w14:paraId="58E07944">
      <w:pPr>
        <w:pStyle w:val="183"/>
      </w:pPr>
      <w:r>
        <w:rPr>
          <w:rFonts w:hint="eastAsia"/>
        </w:rPr>
        <w:t>静态路由配置项含义</w:t>
      </w:r>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3"/>
        <w:gridCol w:w="6635"/>
      </w:tblGrid>
      <w:tr w14:paraId="2EF932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tcBorders>
              <w:tl2br w:val="nil"/>
              <w:tr2bl w:val="nil"/>
            </w:tcBorders>
            <w:shd w:val="clear" w:color="auto" w:fill="538135" w:themeFill="accent6" w:themeFillShade="BF"/>
            <w:vAlign w:val="center"/>
          </w:tcPr>
          <w:p w14:paraId="36991D24">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35" w:type="dxa"/>
            <w:tcBorders>
              <w:tl2br w:val="nil"/>
              <w:tr2bl w:val="nil"/>
            </w:tcBorders>
            <w:shd w:val="clear" w:color="auto" w:fill="538135" w:themeFill="accent6" w:themeFillShade="BF"/>
            <w:vAlign w:val="center"/>
          </w:tcPr>
          <w:p w14:paraId="2AFFB616">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75EDD8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291F9169">
            <w:pPr>
              <w:pStyle w:val="186"/>
              <w:widowControl w:val="0"/>
              <w:spacing w:line="240" w:lineRule="auto"/>
              <w:ind w:firstLine="0"/>
              <w:jc w:val="left"/>
            </w:pPr>
            <w:r>
              <w:rPr>
                <w:rFonts w:hint="eastAsia"/>
              </w:rPr>
              <w:t>目的网段</w:t>
            </w:r>
          </w:p>
        </w:tc>
        <w:tc>
          <w:tcPr>
            <w:tcW w:w="6635" w:type="dxa"/>
            <w:shd w:val="clear" w:color="auto" w:fill="auto"/>
          </w:tcPr>
          <w:p w14:paraId="3B1A2AEF">
            <w:pPr>
              <w:pStyle w:val="186"/>
              <w:widowControl w:val="0"/>
              <w:spacing w:line="240" w:lineRule="auto"/>
              <w:ind w:firstLine="0"/>
              <w:jc w:val="left"/>
            </w:pPr>
            <w:r>
              <w:rPr>
                <w:rFonts w:hint="eastAsia"/>
              </w:rPr>
              <w:t>设置静态路由的目的网段</w:t>
            </w:r>
          </w:p>
        </w:tc>
      </w:tr>
      <w:tr w14:paraId="1F8A54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40A069D5">
            <w:pPr>
              <w:pStyle w:val="186"/>
              <w:widowControl w:val="0"/>
              <w:spacing w:line="240" w:lineRule="auto"/>
              <w:ind w:firstLine="0"/>
              <w:jc w:val="left"/>
            </w:pPr>
            <w:r>
              <w:rPr>
                <w:rFonts w:hint="eastAsia"/>
              </w:rPr>
              <w:t>子网掩码</w:t>
            </w:r>
          </w:p>
        </w:tc>
        <w:tc>
          <w:tcPr>
            <w:tcW w:w="6635" w:type="dxa"/>
            <w:shd w:val="clear" w:color="auto" w:fill="auto"/>
          </w:tcPr>
          <w:p w14:paraId="6508D96F">
            <w:pPr>
              <w:pStyle w:val="186"/>
              <w:widowControl w:val="0"/>
              <w:spacing w:line="240" w:lineRule="auto"/>
              <w:ind w:firstLine="0"/>
              <w:jc w:val="left"/>
            </w:pPr>
            <w:r>
              <w:rPr>
                <w:rFonts w:hint="eastAsia"/>
              </w:rPr>
              <w:t>设置静态路由的网络掩码，可以输入掩码长度或者点分十进制格式的掩码</w:t>
            </w:r>
          </w:p>
        </w:tc>
      </w:tr>
      <w:tr w14:paraId="091B9B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18EB2356">
            <w:pPr>
              <w:pStyle w:val="186"/>
              <w:widowControl w:val="0"/>
              <w:spacing w:line="240" w:lineRule="auto"/>
              <w:ind w:firstLine="0"/>
              <w:jc w:val="left"/>
            </w:pPr>
            <w:r>
              <w:rPr>
                <w:rFonts w:hint="eastAsia"/>
              </w:rPr>
              <w:t>下一跳</w:t>
            </w:r>
          </w:p>
        </w:tc>
        <w:tc>
          <w:tcPr>
            <w:tcW w:w="6635" w:type="dxa"/>
            <w:shd w:val="clear" w:color="auto" w:fill="auto"/>
          </w:tcPr>
          <w:p w14:paraId="0FB76147">
            <w:pPr>
              <w:pStyle w:val="186"/>
              <w:widowControl w:val="0"/>
              <w:spacing w:line="240" w:lineRule="auto"/>
              <w:ind w:firstLine="0"/>
              <w:jc w:val="left"/>
            </w:pPr>
            <w:r>
              <w:rPr>
                <w:rFonts w:hint="eastAsia"/>
              </w:rPr>
              <w:t>设置静态路由的下一跳的IP地址</w:t>
            </w:r>
          </w:p>
        </w:tc>
      </w:tr>
      <w:tr w14:paraId="627455E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03335FCF">
            <w:pPr>
              <w:pStyle w:val="186"/>
              <w:widowControl w:val="0"/>
              <w:spacing w:line="240" w:lineRule="auto"/>
              <w:ind w:firstLine="0"/>
              <w:jc w:val="left"/>
            </w:pPr>
            <w:r>
              <w:rPr>
                <w:rFonts w:hint="eastAsia"/>
              </w:rPr>
              <w:t>出接口</w:t>
            </w:r>
          </w:p>
        </w:tc>
        <w:tc>
          <w:tcPr>
            <w:tcW w:w="6635" w:type="dxa"/>
            <w:shd w:val="clear" w:color="auto" w:fill="auto"/>
          </w:tcPr>
          <w:p w14:paraId="64EF451D">
            <w:pPr>
              <w:pStyle w:val="186"/>
              <w:widowControl w:val="0"/>
              <w:spacing w:line="240" w:lineRule="auto"/>
              <w:ind w:firstLine="0"/>
              <w:jc w:val="left"/>
            </w:pPr>
            <w:r>
              <w:rPr>
                <w:rFonts w:hint="eastAsia"/>
              </w:rPr>
              <w:t>设置静态路由的出接口</w:t>
            </w:r>
          </w:p>
          <w:p w14:paraId="4A3B5D3A">
            <w:pPr>
              <w:pStyle w:val="186"/>
              <w:widowControl w:val="0"/>
              <w:spacing w:line="240" w:lineRule="auto"/>
              <w:ind w:firstLine="0"/>
              <w:jc w:val="left"/>
            </w:pPr>
            <w:r>
              <w:rPr>
                <w:rFonts w:hint="eastAsia"/>
              </w:rPr>
              <w:t>下一跳和出接口只能二选一</w:t>
            </w:r>
          </w:p>
        </w:tc>
      </w:tr>
      <w:tr w14:paraId="12185C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24117FD4">
            <w:pPr>
              <w:pStyle w:val="186"/>
              <w:widowControl w:val="0"/>
              <w:spacing w:line="240" w:lineRule="auto"/>
              <w:ind w:firstLine="0"/>
              <w:jc w:val="left"/>
            </w:pPr>
            <w:r>
              <w:rPr>
                <w:rFonts w:hint="eastAsia"/>
              </w:rPr>
              <w:t>权重</w:t>
            </w:r>
          </w:p>
        </w:tc>
        <w:tc>
          <w:tcPr>
            <w:tcW w:w="6635" w:type="dxa"/>
            <w:shd w:val="clear" w:color="auto" w:fill="auto"/>
          </w:tcPr>
          <w:p w14:paraId="4E619EDD">
            <w:pPr>
              <w:pStyle w:val="186"/>
              <w:widowControl w:val="0"/>
              <w:spacing w:line="240" w:lineRule="auto"/>
              <w:ind w:firstLine="0"/>
              <w:jc w:val="left"/>
            </w:pPr>
            <w:r>
              <w:rPr>
                <w:rFonts w:hint="eastAsia"/>
              </w:rPr>
              <w:t>设置静态路由的权重，取值范围1~255。如果存在多个下一跳负载均衡，权重越大，该条路由命中的概率就越大。</w:t>
            </w:r>
          </w:p>
        </w:tc>
      </w:tr>
      <w:tr w14:paraId="0C99CE2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4BA645E2">
            <w:pPr>
              <w:pStyle w:val="186"/>
              <w:widowControl w:val="0"/>
              <w:spacing w:line="240" w:lineRule="auto"/>
              <w:ind w:firstLine="0"/>
              <w:jc w:val="left"/>
            </w:pPr>
            <w:r>
              <w:rPr>
                <w:rFonts w:hint="eastAsia"/>
              </w:rPr>
              <w:t>距离</w:t>
            </w:r>
          </w:p>
        </w:tc>
        <w:tc>
          <w:tcPr>
            <w:tcW w:w="6635" w:type="dxa"/>
            <w:shd w:val="clear" w:color="auto" w:fill="auto"/>
          </w:tcPr>
          <w:p w14:paraId="44D3CE30">
            <w:pPr>
              <w:pStyle w:val="186"/>
              <w:widowControl w:val="0"/>
              <w:spacing w:line="240" w:lineRule="auto"/>
              <w:ind w:firstLine="0"/>
              <w:jc w:val="left"/>
            </w:pPr>
            <w:r>
              <w:rPr>
                <w:rFonts w:hint="eastAsia"/>
              </w:rPr>
              <w:t>指定静态路由的管理距离，取值范围1~255。管理距离是指路由协议的路由可信度。每种路由协议按可靠性从高到低依次分配一个信任等级，这个信任等级就叫管理距离。正常情况下，管理距离越小，优先级就越高，也就是可信度越高。对于两种不同的路由协议到同一个目的地的路由信息，路由器会优先选择管理距离小的路由。</w:t>
            </w:r>
          </w:p>
        </w:tc>
      </w:tr>
      <w:tr w14:paraId="05AF36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03873372">
            <w:pPr>
              <w:pStyle w:val="186"/>
              <w:widowControl w:val="0"/>
              <w:spacing w:line="240" w:lineRule="auto"/>
              <w:ind w:firstLine="0"/>
              <w:jc w:val="left"/>
            </w:pPr>
            <w:r>
              <w:rPr>
                <w:rFonts w:hint="eastAsia"/>
              </w:rPr>
              <w:t>地址探测</w:t>
            </w:r>
          </w:p>
        </w:tc>
        <w:tc>
          <w:tcPr>
            <w:tcW w:w="6635" w:type="dxa"/>
            <w:shd w:val="clear" w:color="auto" w:fill="auto"/>
          </w:tcPr>
          <w:p w14:paraId="74CD5E7F">
            <w:pPr>
              <w:pStyle w:val="186"/>
              <w:widowControl w:val="0"/>
              <w:spacing w:line="240" w:lineRule="auto"/>
              <w:ind w:firstLine="0"/>
              <w:jc w:val="left"/>
            </w:pPr>
            <w:r>
              <w:rPr>
                <w:rFonts w:hint="eastAsia"/>
              </w:rPr>
              <w:t>设置与静态路由联动的地址探测，将探测到的路由信息添加到路由表。有关地址探测的更多信息，请参考地址探测。</w:t>
            </w:r>
          </w:p>
        </w:tc>
      </w:tr>
    </w:tbl>
    <w:p w14:paraId="2DC243A5"/>
    <w:p w14:paraId="10A9E277">
      <w:pPr>
        <w:pStyle w:val="5"/>
      </w:pPr>
      <w:bookmarkStart w:id="2468" w:name="_Toc172218128"/>
      <w:bookmarkStart w:id="2469" w:name="_Toc194080755"/>
      <w:bookmarkStart w:id="2470" w:name="_Toc196728087"/>
      <w:r>
        <w:rPr>
          <w:rFonts w:hint="eastAsia"/>
        </w:rPr>
        <w:t>启用或禁用静态路由</w:t>
      </w:r>
      <w:bookmarkEnd w:id="2468"/>
      <w:bookmarkEnd w:id="2469"/>
      <w:bookmarkEnd w:id="2470"/>
    </w:p>
    <w:p w14:paraId="6061BAAE">
      <w:r>
        <w:rPr>
          <w:rFonts w:hint="eastAsia"/>
        </w:rPr>
        <w:t>勾选启用状态为“启用”的路由表项，点击&lt;禁用</w:t>
      </w:r>
      <w:r>
        <w:t>&gt;</w:t>
      </w:r>
      <w:r>
        <w:rPr>
          <w:rFonts w:hint="eastAsia"/>
        </w:rPr>
        <w:t>，在弹出的对话框中点击&lt;确定</w:t>
      </w:r>
      <w:r>
        <w:t>&gt;</w:t>
      </w:r>
      <w:r>
        <w:rPr>
          <w:rFonts w:hint="eastAsia"/>
        </w:rPr>
        <w:t>可禁用选择的路由表项；勾选启用状态为“禁用”的路由表项，点击&lt;启用</w:t>
      </w:r>
      <w:r>
        <w:t>&gt;</w:t>
      </w:r>
      <w:r>
        <w:rPr>
          <w:rFonts w:hint="eastAsia"/>
        </w:rPr>
        <w:t>，在弹出的对话框中点击&lt;确定</w:t>
      </w:r>
      <w:r>
        <w:t>&gt;</w:t>
      </w:r>
      <w:r>
        <w:rPr>
          <w:rFonts w:hint="eastAsia"/>
        </w:rPr>
        <w:t>可启用选择的路由表项。</w:t>
      </w:r>
    </w:p>
    <w:p w14:paraId="2043A20B">
      <w:pPr>
        <w:pStyle w:val="188"/>
      </w:pPr>
      <w:r>
        <w:rPr>
          <w:rFonts w:hint="eastAsia"/>
        </w:rPr>
        <w:t>启用或禁用静态路由</w:t>
      </w:r>
    </w:p>
    <w:p w14:paraId="5DAC4AFF">
      <w:pPr>
        <w:pStyle w:val="175"/>
      </w:pPr>
      <w:r>
        <w:drawing>
          <wp:inline distT="0" distB="0" distL="0" distR="0">
            <wp:extent cx="6124575" cy="1304925"/>
            <wp:effectExtent l="0" t="0" r="0" b="0"/>
            <wp:docPr id="446" name="图片 3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3450"/>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a:xfrm>
                      <a:off x="0" y="0"/>
                      <a:ext cx="6124575" cy="1304925"/>
                    </a:xfrm>
                    <a:prstGeom prst="rect">
                      <a:avLst/>
                    </a:prstGeom>
                    <a:noFill/>
                    <a:ln>
                      <a:noFill/>
                    </a:ln>
                  </pic:spPr>
                </pic:pic>
              </a:graphicData>
            </a:graphic>
          </wp:inline>
        </w:drawing>
      </w:r>
    </w:p>
    <w:p w14:paraId="35C61206"/>
    <w:p w14:paraId="0AAE2D8D">
      <w:pPr>
        <w:pStyle w:val="4"/>
      </w:pPr>
      <w:bookmarkStart w:id="2471" w:name="_Toc172218129"/>
      <w:bookmarkStart w:id="2472" w:name="_Toc194080756"/>
      <w:bookmarkStart w:id="2473" w:name="_Toc196728088"/>
      <w:r>
        <w:rPr>
          <w:rFonts w:hint="eastAsia"/>
        </w:rPr>
        <w:t>RIP</w:t>
      </w:r>
      <w:bookmarkEnd w:id="2471"/>
      <w:bookmarkEnd w:id="2472"/>
      <w:bookmarkEnd w:id="2473"/>
    </w:p>
    <w:p w14:paraId="571624A2">
      <w:pPr>
        <w:pStyle w:val="5"/>
      </w:pPr>
      <w:bookmarkStart w:id="2474" w:name="_Toc194080757"/>
      <w:bookmarkStart w:id="2475" w:name="_Toc196728089"/>
      <w:bookmarkStart w:id="2476" w:name="_Toc172218130"/>
      <w:r>
        <w:rPr>
          <w:rFonts w:hint="eastAsia"/>
        </w:rPr>
        <w:t>RIP简介</w:t>
      </w:r>
      <w:bookmarkEnd w:id="2474"/>
      <w:bookmarkEnd w:id="2475"/>
      <w:bookmarkEnd w:id="2476"/>
    </w:p>
    <w:p w14:paraId="07882D5A">
      <w:r>
        <w:t>RIP</w:t>
      </w:r>
      <w:r>
        <w:rPr>
          <w:rFonts w:hint="eastAsia"/>
        </w:rPr>
        <w:t>（</w:t>
      </w:r>
      <w:r>
        <w:t>Routing Information Protocol</w:t>
      </w:r>
      <w:r>
        <w:rPr>
          <w:rFonts w:hint="eastAsia"/>
        </w:rPr>
        <w:t>，路由信息协议）是一种较为简单的内部网关协议（Interior Gateway Protocol，IGP），主要用于规模较小的网络中，比如校园网以及结构较简单的地区性网络。对于更为复杂的环境和大型网络，一般不使用</w:t>
      </w:r>
      <w:r>
        <w:t>RIP</w:t>
      </w:r>
      <w:r>
        <w:rPr>
          <w:rFonts w:hint="eastAsia"/>
        </w:rPr>
        <w:t>。由于RIP的实现较为简单，在配置和维护管理方面也远比OSPF和IS-IS容易，因此在实际组网中仍有广泛的应用。</w:t>
      </w:r>
    </w:p>
    <w:p w14:paraId="0E4088A6">
      <w:pPr>
        <w:pStyle w:val="6"/>
      </w:pPr>
      <w:r>
        <w:rPr>
          <w:rFonts w:hint="eastAsia"/>
        </w:rPr>
        <w:t>RIP的工作机制</w:t>
      </w:r>
    </w:p>
    <w:p w14:paraId="5CC70F8F">
      <w:pPr>
        <w:pStyle w:val="202"/>
      </w:pPr>
      <w:r>
        <w:rPr>
          <w:rFonts w:hint="eastAsia"/>
        </w:rPr>
        <w:t>RIP的基本概念</w:t>
      </w:r>
    </w:p>
    <w:p w14:paraId="5BACD72F">
      <w:r>
        <w:t>RIP</w:t>
      </w:r>
      <w:r>
        <w:rPr>
          <w:rFonts w:hint="eastAsia"/>
        </w:rPr>
        <w:t>协议是基于</w:t>
      </w:r>
      <w:r>
        <w:t>D-V</w:t>
      </w:r>
      <w:r>
        <w:rPr>
          <w:rFonts w:hint="eastAsia"/>
        </w:rPr>
        <w:t>算法（又称为</w:t>
      </w:r>
      <w:r>
        <w:t>Bellman-Ford</w:t>
      </w:r>
      <w:r>
        <w:rPr>
          <w:rFonts w:hint="eastAsia"/>
        </w:rPr>
        <w:t>算法）的内部动态路由协议，简称</w:t>
      </w:r>
      <w:r>
        <w:t>IGP</w:t>
      </w:r>
      <w:r>
        <w:rPr>
          <w:rFonts w:hint="eastAsia"/>
        </w:rPr>
        <w:t>（</w:t>
      </w:r>
      <w:r>
        <w:t>Interior Gateway Protocol</w:t>
      </w:r>
      <w:r>
        <w:rPr>
          <w:rFonts w:hint="eastAsia"/>
        </w:rPr>
        <w:t>），它通过</w:t>
      </w:r>
      <w:r>
        <w:t>UDP</w:t>
      </w:r>
      <w:r>
        <w:rPr>
          <w:rFonts w:hint="eastAsia"/>
        </w:rPr>
        <w:t>数据报交换路由信息。</w:t>
      </w:r>
      <w:r>
        <w:t>D-V</w:t>
      </w:r>
      <w:r>
        <w:rPr>
          <w:rFonts w:hint="eastAsia"/>
        </w:rPr>
        <w:t>算法又称为距离向量算法，这种算法在</w:t>
      </w:r>
      <w:r>
        <w:t>ARPARNET</w:t>
      </w:r>
      <w:r>
        <w:rPr>
          <w:rFonts w:hint="eastAsia"/>
        </w:rPr>
        <w:t>早期就用于计算机网络的路由的计算。</w:t>
      </w:r>
      <w:r>
        <w:t>RIP</w:t>
      </w:r>
      <w:r>
        <w:rPr>
          <w:rFonts w:hint="eastAsia"/>
        </w:rPr>
        <w:t>协议在目前已成为路由器、主机路由信息传递的标准之一，是最广泛使用的</w:t>
      </w:r>
      <w:r>
        <w:t>IGP</w:t>
      </w:r>
      <w:r>
        <w:rPr>
          <w:rFonts w:hint="eastAsia"/>
        </w:rPr>
        <w:t>之一，被大多数</w:t>
      </w:r>
      <w:r>
        <w:t>IP</w:t>
      </w:r>
      <w:r>
        <w:rPr>
          <w:rFonts w:hint="eastAsia"/>
        </w:rPr>
        <w:t>路由器商业卖主广泛使用。</w:t>
      </w:r>
      <w:r>
        <w:t xml:space="preserve"> RIP</w:t>
      </w:r>
      <w:r>
        <w:rPr>
          <w:rFonts w:hint="eastAsia"/>
        </w:rPr>
        <w:t>协议被设计用于使用同种技术的中型网络，因此适应于大多数的校园网和使用速率变化不是很大的地区性网络。对于更复杂的环境，一般不使用</w:t>
      </w:r>
      <w:r>
        <w:t>RIP</w:t>
      </w:r>
      <w:r>
        <w:rPr>
          <w:rFonts w:hint="eastAsia"/>
        </w:rPr>
        <w:t>协议。</w:t>
      </w:r>
    </w:p>
    <w:p w14:paraId="10C8180B">
      <w:r>
        <w:t>RIP</w:t>
      </w:r>
      <w:r>
        <w:rPr>
          <w:rFonts w:hint="eastAsia"/>
        </w:rPr>
        <w:t>协议使用跳数来衡量到达信宿机的距离，并称为路由权，</w:t>
      </w:r>
      <w:r>
        <w:t xml:space="preserve"> RIP</w:t>
      </w:r>
      <w:r>
        <w:rPr>
          <w:rFonts w:hint="eastAsia"/>
        </w:rPr>
        <w:t>协议使用两种形式的报文：</w:t>
      </w:r>
      <w:r>
        <w:t xml:space="preserve"> </w:t>
      </w:r>
      <w:r>
        <w:rPr>
          <w:rFonts w:hint="eastAsia"/>
        </w:rPr>
        <w:t>路径信息请求报文和路径信息响应报文。在路由器端口第一次启动时，将会发送请求报文。路径信息响应报文包含了实际的路由信息，以每</w:t>
      </w:r>
      <w:r>
        <w:t>30</w:t>
      </w:r>
      <w:r>
        <w:rPr>
          <w:rFonts w:hint="eastAsia"/>
        </w:rPr>
        <w:t>秒的间隔发送给相邻端口。在</w:t>
      </w:r>
      <w:r>
        <w:t>RIP</w:t>
      </w:r>
      <w:r>
        <w:rPr>
          <w:rFonts w:hint="eastAsia"/>
        </w:rPr>
        <w:t>协议中，还使用了水平分割、毒性逆转机制来防止路由环路的形成，并且使用触发更新和路由超时机制确保路由的正确性。</w:t>
      </w:r>
    </w:p>
    <w:p w14:paraId="674F1C09">
      <w:pPr>
        <w:pStyle w:val="202"/>
        <w:rPr>
          <w:lang w:eastAsia="zh-CN"/>
        </w:rPr>
      </w:pPr>
      <w:r>
        <w:rPr>
          <w:lang w:eastAsia="zh-CN"/>
        </w:rPr>
        <w:t>RIP</w:t>
      </w:r>
      <w:r>
        <w:rPr>
          <w:rFonts w:hint="eastAsia"/>
          <w:lang w:eastAsia="zh-CN"/>
        </w:rPr>
        <w:t>的启动和运行过程</w:t>
      </w:r>
    </w:p>
    <w:p w14:paraId="60F36E64">
      <w:r>
        <w:t>RIP</w:t>
      </w:r>
      <w:r>
        <w:rPr>
          <w:rFonts w:hint="eastAsia"/>
        </w:rPr>
        <w:t>启动和运行的整个过程可描述如下：</w:t>
      </w:r>
    </w:p>
    <w:p w14:paraId="75DEEC75">
      <w:r>
        <w:rPr>
          <w:rFonts w:hint="eastAsia"/>
        </w:rPr>
        <w:t>路由器启动</w:t>
      </w:r>
      <w:r>
        <w:t>RIP</w:t>
      </w:r>
      <w:r>
        <w:rPr>
          <w:rFonts w:hint="eastAsia"/>
        </w:rPr>
        <w:t>后，便会向相邻的路由器发送请求报文（Request message），相邻的RIP路由器收到请求报文后，响应该请求，回送包含本地路由表信息的响应报文（Response message）。</w:t>
      </w:r>
    </w:p>
    <w:p w14:paraId="0422478F">
      <w:r>
        <w:rPr>
          <w:rFonts w:hint="eastAsia"/>
        </w:rPr>
        <w:t>路由器收到响应报文后，修改本地路由表，同时向相邻路由器发送触发修改报文，广播路由修改信息。相邻路由器收到触发修改报文后，又向其各自的相邻路由器发送触发修改报文。在一连串的触发修改广播后，各路由器都能得到并保持最新的路由信息。</w:t>
      </w:r>
    </w:p>
    <w:p w14:paraId="321FE096">
      <w:r>
        <w:t>RIP</w:t>
      </w:r>
      <w:r>
        <w:rPr>
          <w:rFonts w:hint="eastAsia"/>
        </w:rPr>
        <w:t>采用老化机制对超时的路由进行老化处理，以保证路由的实时性和有效性。因此，</w:t>
      </w:r>
      <w:r>
        <w:t>RIP</w:t>
      </w:r>
      <w:r>
        <w:rPr>
          <w:rFonts w:hint="eastAsia"/>
        </w:rPr>
        <w:t>每隔一定时间周期性的向邻居路由器发布本地的路由表，相邻路由器在收到报文后，对其本地路由进行更新。所有RIP路由器都会重复此过程。</w:t>
      </w:r>
    </w:p>
    <w:p w14:paraId="0BF7B7B5">
      <w:pPr>
        <w:pStyle w:val="202"/>
      </w:pPr>
      <w:r>
        <w:rPr>
          <w:rFonts w:hint="eastAsia"/>
        </w:rPr>
        <w:t>防止路由循环</w:t>
      </w:r>
    </w:p>
    <w:p w14:paraId="394F4CBB">
      <w:r>
        <w:rPr>
          <w:rFonts w:hint="eastAsia"/>
        </w:rPr>
        <w:t>RIP是一种基于D-V算法的路由协议，由于它向邻居通告的是自己的路由表，存在路由循环的可能性。</w:t>
      </w:r>
    </w:p>
    <w:p w14:paraId="323F81B1">
      <w:r>
        <w:rPr>
          <w:rFonts w:hint="eastAsia"/>
        </w:rPr>
        <w:t>RIP通过以下机制来避免路由环路的产生：</w:t>
      </w:r>
    </w:p>
    <w:p w14:paraId="495F4262">
      <w:r>
        <w:rPr>
          <w:rFonts w:hint="eastAsia"/>
        </w:rPr>
        <w:t>水平分割（Split Horizon）：RIP从某个接口学到的路由，不会从该接口再发回给邻居路由器。这样不但减少了带宽消耗，还可以防止路由循环。</w:t>
      </w:r>
    </w:p>
    <w:p w14:paraId="668296B2">
      <w:r>
        <w:rPr>
          <w:rFonts w:hint="eastAsia"/>
        </w:rPr>
        <w:t>毒性逆转（Poison Reverse）：RIP从某个接口学到路由后，将该路由的开销设置为16（不可达），并从原接口发回邻居路由器。利用这种方式，可以清除对方路由表中的无用信息。</w:t>
      </w:r>
    </w:p>
    <w:p w14:paraId="3ADC167D">
      <w:pPr>
        <w:pStyle w:val="6"/>
      </w:pPr>
      <w:r>
        <w:rPr>
          <w:rFonts w:hint="eastAsia"/>
        </w:rPr>
        <w:t>RIP的版本</w:t>
      </w:r>
    </w:p>
    <w:p w14:paraId="28577B80">
      <w:r>
        <w:rPr>
          <w:rFonts w:hint="eastAsia"/>
        </w:rPr>
        <w:t>RIP有两个版本：RIP-1和RIP-2。</w:t>
      </w:r>
    </w:p>
    <w:p w14:paraId="3F2998EB">
      <w:pPr>
        <w:pStyle w:val="162"/>
      </w:pPr>
      <w:r>
        <w:rPr>
          <w:rFonts w:hint="eastAsia"/>
        </w:rPr>
        <w:t>RIP-1是有类别路由协议（Classful Routing Protocol），它只支持以广播方式发布协议报文。RIP-1的协议报文中没有携带掩码信息，它只能识别A、B、C类这样的自然网段的路由，因此RIP-1无法支持路由聚合，也不支持不连续子网（Discontiguous Subnet）。</w:t>
      </w:r>
    </w:p>
    <w:p w14:paraId="39DC4AC9">
      <w:pPr>
        <w:pStyle w:val="162"/>
      </w:pPr>
      <w:r>
        <w:rPr>
          <w:rFonts w:hint="eastAsia"/>
        </w:rPr>
        <w:t>RIP-2是一种无分类路由协议（Classless Routing Protocol），与RIP-1相比，它有以下优势：</w:t>
      </w:r>
    </w:p>
    <w:p w14:paraId="532DCB93">
      <w:r>
        <w:rPr>
          <w:rFonts w:hint="eastAsia"/>
        </w:rPr>
        <w:t>支持外部路由标记（Route Tag），可以在路由策略中根据Tag对路由进行灵活的控制。</w:t>
      </w:r>
    </w:p>
    <w:p w14:paraId="1EE795FB">
      <w:r>
        <w:rPr>
          <w:rFonts w:hint="eastAsia"/>
        </w:rPr>
        <w:t>报文中携带掩码信息，支持路由聚合和CIDR（Classless Inter-Domain Routing）。</w:t>
      </w:r>
    </w:p>
    <w:p w14:paraId="35716DEA">
      <w:r>
        <w:rPr>
          <w:rFonts w:hint="eastAsia"/>
        </w:rPr>
        <w:t>支持指定下一跳，在广播网上可以选择到最优下一跳地址。</w:t>
      </w:r>
    </w:p>
    <w:p w14:paraId="5B927888">
      <w:r>
        <w:rPr>
          <w:rFonts w:hint="eastAsia"/>
        </w:rPr>
        <w:t>支持组播路由发送更新报文，减少资源消耗。</w:t>
      </w:r>
    </w:p>
    <w:p w14:paraId="1D26E109">
      <w:r>
        <w:rPr>
          <w:rFonts w:hint="eastAsia"/>
        </w:rPr>
        <w:t>支持对协议报文进行验证，并提供明文验证和MD5验证两种方式，增强安全性。</w:t>
      </w:r>
    </w:p>
    <w:p w14:paraId="739D500A"/>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572CD4C0">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232DFE99">
            <w:pPr>
              <w:pStyle w:val="150"/>
              <w:adjustRightInd w:val="0"/>
              <w:snapToGrid w:val="0"/>
              <w:rPr>
                <w:color w:val="auto"/>
              </w:rPr>
            </w:pPr>
            <w:r>
              <w:rPr>
                <w:b/>
                <w:color w:val="auto"/>
              </w:rPr>
              <w:drawing>
                <wp:inline distT="0" distB="0" distL="0" distR="0">
                  <wp:extent cx="283210" cy="283210"/>
                  <wp:effectExtent l="0" t="0" r="2540" b="254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368CEB54">
            <w:pPr>
              <w:pStyle w:val="150"/>
              <w:adjustRightInd w:val="0"/>
              <w:snapToGrid w:val="0"/>
              <w:rPr>
                <w:color w:val="auto"/>
              </w:rPr>
            </w:pPr>
            <w:r>
              <w:rPr>
                <w:color w:val="auto"/>
              </w:rPr>
              <w:t>RIP-2</w:t>
            </w:r>
            <w:r>
              <w:rPr>
                <w:rFonts w:hint="eastAsia"/>
                <w:color w:val="auto"/>
              </w:rPr>
              <w:t>有两种报文传送方式：广播方式和组播方式，缺省将采用组播方式发送报文，使用的组播地址为</w:t>
            </w:r>
            <w:r>
              <w:rPr>
                <w:color w:val="auto"/>
              </w:rPr>
              <w:t>224.0.0.9</w:t>
            </w:r>
            <w:r>
              <w:rPr>
                <w:rFonts w:hint="eastAsia"/>
                <w:color w:val="auto"/>
              </w:rPr>
              <w:t>。当接口运行</w:t>
            </w:r>
            <w:r>
              <w:rPr>
                <w:color w:val="auto"/>
              </w:rPr>
              <w:t>RIP-2</w:t>
            </w:r>
            <w:r>
              <w:rPr>
                <w:rFonts w:hint="eastAsia"/>
                <w:color w:val="auto"/>
              </w:rPr>
              <w:t>广播方式时，也可接收</w:t>
            </w:r>
            <w:r>
              <w:rPr>
                <w:color w:val="auto"/>
              </w:rPr>
              <w:t>RIP-1</w:t>
            </w:r>
            <w:r>
              <w:rPr>
                <w:rFonts w:hint="eastAsia"/>
                <w:color w:val="auto"/>
              </w:rPr>
              <w:t>的报文。</w:t>
            </w:r>
          </w:p>
        </w:tc>
      </w:tr>
    </w:tbl>
    <w:p w14:paraId="2CBF3937"/>
    <w:p w14:paraId="3F02C9F9">
      <w:pPr>
        <w:pStyle w:val="6"/>
      </w:pPr>
      <w:r>
        <w:rPr>
          <w:rFonts w:hint="eastAsia"/>
        </w:rPr>
        <w:t>协议规范</w:t>
      </w:r>
    </w:p>
    <w:p w14:paraId="690B2AE0">
      <w:r>
        <w:rPr>
          <w:rFonts w:hint="eastAsia"/>
        </w:rPr>
        <w:t>与RIP相关的协议规范有：</w:t>
      </w:r>
    </w:p>
    <w:p w14:paraId="6C78AFE9">
      <w:pPr>
        <w:pStyle w:val="162"/>
      </w:pPr>
      <w:r>
        <w:rPr>
          <w:rFonts w:hint="eastAsia"/>
        </w:rPr>
        <w:t>RFC1058：</w:t>
      </w:r>
      <w:r>
        <w:t>Routing Information Protocol</w:t>
      </w:r>
    </w:p>
    <w:p w14:paraId="6D0163FF">
      <w:pPr>
        <w:pStyle w:val="162"/>
      </w:pPr>
      <w:r>
        <w:rPr>
          <w:rFonts w:hint="eastAsia"/>
        </w:rPr>
        <w:t>RFC1723：</w:t>
      </w:r>
      <w:r>
        <w:t>RIP Version 2 - Carrying Additional Information</w:t>
      </w:r>
    </w:p>
    <w:p w14:paraId="69660C45">
      <w:pPr>
        <w:pStyle w:val="162"/>
      </w:pPr>
      <w:r>
        <w:rPr>
          <w:rFonts w:hint="eastAsia"/>
        </w:rPr>
        <w:t>RFC1721：</w:t>
      </w:r>
      <w:r>
        <w:t>RIP Version 2 Protocol Analysis</w:t>
      </w:r>
    </w:p>
    <w:p w14:paraId="0AF19CCB">
      <w:pPr>
        <w:pStyle w:val="162"/>
      </w:pPr>
      <w:r>
        <w:rPr>
          <w:rFonts w:hint="eastAsia"/>
        </w:rPr>
        <w:t>RFC1722：</w:t>
      </w:r>
      <w:r>
        <w:t>RIP Version 2 Protocol Applicability Statement</w:t>
      </w:r>
    </w:p>
    <w:p w14:paraId="7218D689">
      <w:pPr>
        <w:pStyle w:val="162"/>
      </w:pPr>
      <w:r>
        <w:rPr>
          <w:rFonts w:hint="eastAsia"/>
        </w:rPr>
        <w:t>RFC1724：</w:t>
      </w:r>
      <w:r>
        <w:t>RIP Version 2 MIB Extension</w:t>
      </w:r>
    </w:p>
    <w:p w14:paraId="3DEB27DA">
      <w:pPr>
        <w:pStyle w:val="162"/>
      </w:pPr>
      <w:r>
        <w:t>RFC2082</w:t>
      </w:r>
      <w:r>
        <w:rPr>
          <w:rFonts w:hint="eastAsia"/>
        </w:rPr>
        <w:t>：</w:t>
      </w:r>
      <w:r>
        <w:t>RIP-2 MD5 Authentication</w:t>
      </w:r>
    </w:p>
    <w:p w14:paraId="0164A732">
      <w:pPr>
        <w:pStyle w:val="162"/>
      </w:pPr>
      <w:r>
        <w:rPr>
          <w:rFonts w:hint="eastAsia"/>
        </w:rPr>
        <w:t>RFC2091：</w:t>
      </w:r>
      <w:r>
        <w:t>Triggered Extensions to RIP to Support Demand Circuits</w:t>
      </w:r>
      <w:r>
        <w:rPr>
          <w:rFonts w:hint="eastAsia"/>
        </w:rPr>
        <w:t>RIP</w:t>
      </w:r>
    </w:p>
    <w:p w14:paraId="0D6EEA35">
      <w:pPr>
        <w:pStyle w:val="5"/>
      </w:pPr>
      <w:bookmarkStart w:id="2477" w:name="_Toc196728090"/>
      <w:bookmarkStart w:id="2478" w:name="_Toc194080758"/>
      <w:bookmarkStart w:id="2479" w:name="_Toc172218131"/>
      <w:r>
        <w:rPr>
          <w:rFonts w:hint="eastAsia"/>
        </w:rPr>
        <w:t>配置RIP</w:t>
      </w:r>
      <w:bookmarkEnd w:id="2477"/>
      <w:bookmarkEnd w:id="2478"/>
      <w:bookmarkEnd w:id="2479"/>
    </w:p>
    <w:p w14:paraId="731B99D7">
      <w:pPr>
        <w:pStyle w:val="6"/>
      </w:pPr>
      <w:r>
        <w:rPr>
          <w:rFonts w:hint="eastAsia"/>
        </w:rPr>
        <w:t>新建RIP实例</w:t>
      </w:r>
    </w:p>
    <w:p w14:paraId="04E9C75B">
      <w:r>
        <w:rPr>
          <w:rFonts w:hint="eastAsia"/>
        </w:rPr>
        <w:t>在导航栏中选择“网络配置&gt;路由管理 &gt;</w:t>
      </w:r>
      <w:r>
        <w:t xml:space="preserve"> </w:t>
      </w:r>
      <w:r>
        <w:rPr>
          <w:rFonts w:hint="eastAsia"/>
        </w:rPr>
        <w:t>RIP信息”，进入RIP信息页面，可以查看已创建的RIP实例信息，如</w:t>
      </w:r>
      <w:r>
        <w:fldChar w:fldCharType="begin"/>
      </w:r>
      <w:r>
        <w:instrText xml:space="preserve"> </w:instrText>
      </w:r>
      <w:r>
        <w:rPr>
          <w:rFonts w:hint="eastAsia"/>
        </w:rPr>
        <w:instrText xml:space="preserve">REF _Ref170978498 \r \h</w:instrText>
      </w:r>
      <w:r>
        <w:instrText xml:space="preserve"> </w:instrText>
      </w:r>
      <w:r>
        <w:fldChar w:fldCharType="separate"/>
      </w:r>
      <w:r>
        <w:rPr>
          <w:rFonts w:hint="eastAsia"/>
        </w:rPr>
        <w:t>图8-4</w:t>
      </w:r>
      <w:r>
        <w:fldChar w:fldCharType="end"/>
      </w:r>
      <w:r>
        <w:rPr>
          <w:rFonts w:hint="eastAsia"/>
        </w:rPr>
        <w:t>所示。勾选“启用”后开启RIP路由功能，禁用会删除所有RIP实例。启用后可以新建RIP实例，如果未启用，新建时将会自动启用。</w:t>
      </w:r>
    </w:p>
    <w:p w14:paraId="17919BB1">
      <w:pPr>
        <w:pStyle w:val="188"/>
      </w:pPr>
      <w:bookmarkStart w:id="2480" w:name="_Ref170978498"/>
      <w:r>
        <w:rPr>
          <w:rFonts w:hint="eastAsia"/>
        </w:rPr>
        <w:t>RIP信息列表</w:t>
      </w:r>
      <w:bookmarkEnd w:id="2480"/>
    </w:p>
    <w:p w14:paraId="480EA087">
      <w:r>
        <w:drawing>
          <wp:inline distT="0" distB="0" distL="0" distR="0">
            <wp:extent cx="5467350" cy="1368425"/>
            <wp:effectExtent l="0" t="0" r="0" b="3175"/>
            <wp:docPr id="1534582032" name="图片 153458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32" name="图片 1534582032"/>
                    <pic:cNvPicPr>
                      <a:picLocks noChangeAspect="1"/>
                    </pic:cNvPicPr>
                  </pic:nvPicPr>
                  <pic:blipFill>
                    <a:blip r:embed="rId304"/>
                    <a:stretch>
                      <a:fillRect/>
                    </a:stretch>
                  </pic:blipFill>
                  <pic:spPr>
                    <a:xfrm>
                      <a:off x="0" y="0"/>
                      <a:ext cx="5479324" cy="1371975"/>
                    </a:xfrm>
                    <a:prstGeom prst="rect">
                      <a:avLst/>
                    </a:prstGeom>
                  </pic:spPr>
                </pic:pic>
              </a:graphicData>
            </a:graphic>
          </wp:inline>
        </w:drawing>
      </w:r>
    </w:p>
    <w:p w14:paraId="743142F7"/>
    <w:p w14:paraId="20E2FB76">
      <w:r>
        <w:rPr>
          <w:rFonts w:hint="eastAsia"/>
        </w:rPr>
        <w:t>点击&lt;新建&gt;，新建RIP实例</w:t>
      </w:r>
      <w:r>
        <w:t>，</w:t>
      </w:r>
      <w:r>
        <w:rPr>
          <w:rFonts w:hint="eastAsia"/>
        </w:rPr>
        <w:t>配置RIP协议的相关信息，点击&lt;提交&gt;。</w:t>
      </w:r>
    </w:p>
    <w:p w14:paraId="3ED5AFEA">
      <w:pPr>
        <w:pStyle w:val="188"/>
      </w:pPr>
      <w:r>
        <w:rPr>
          <w:rFonts w:hint="eastAsia"/>
        </w:rPr>
        <w:t>新建RIP信息</w:t>
      </w:r>
    </w:p>
    <w:p w14:paraId="26CA79E1">
      <w:r>
        <w:drawing>
          <wp:inline distT="0" distB="0" distL="0" distR="0">
            <wp:extent cx="5324475" cy="4580890"/>
            <wp:effectExtent l="0" t="0" r="0" b="0"/>
            <wp:docPr id="1534582031" name="图片 153458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31" name="图片 1534582031"/>
                    <pic:cNvPicPr>
                      <a:picLocks noChangeAspect="1"/>
                    </pic:cNvPicPr>
                  </pic:nvPicPr>
                  <pic:blipFill>
                    <a:blip r:embed="rId305"/>
                    <a:stretch>
                      <a:fillRect/>
                    </a:stretch>
                  </pic:blipFill>
                  <pic:spPr>
                    <a:xfrm>
                      <a:off x="0" y="0"/>
                      <a:ext cx="5328927" cy="4585343"/>
                    </a:xfrm>
                    <a:prstGeom prst="rect">
                      <a:avLst/>
                    </a:prstGeom>
                  </pic:spPr>
                </pic:pic>
              </a:graphicData>
            </a:graphic>
          </wp:inline>
        </w:drawing>
      </w:r>
    </w:p>
    <w:p w14:paraId="40B2665C"/>
    <w:p w14:paraId="170DA50D">
      <w:pPr>
        <w:pStyle w:val="183"/>
      </w:pPr>
      <w:r>
        <w:rPr>
          <w:rFonts w:hint="eastAsia"/>
        </w:rPr>
        <w:t>RIP实例配置详细信息说明</w:t>
      </w:r>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4"/>
        <w:gridCol w:w="6634"/>
      </w:tblGrid>
      <w:tr w14:paraId="208FF8D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4" w:type="dxa"/>
            <w:tcBorders>
              <w:tl2br w:val="nil"/>
              <w:tr2bl w:val="nil"/>
            </w:tcBorders>
            <w:shd w:val="clear" w:color="auto" w:fill="538135" w:themeFill="accent6" w:themeFillShade="BF"/>
            <w:vAlign w:val="center"/>
          </w:tcPr>
          <w:p w14:paraId="01819E19">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34" w:type="dxa"/>
            <w:tcBorders>
              <w:tl2br w:val="nil"/>
              <w:tr2bl w:val="nil"/>
            </w:tcBorders>
            <w:shd w:val="clear" w:color="auto" w:fill="538135" w:themeFill="accent6" w:themeFillShade="BF"/>
            <w:vAlign w:val="center"/>
          </w:tcPr>
          <w:p w14:paraId="649AC54D">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1DDB7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4" w:type="dxa"/>
            <w:shd w:val="clear" w:color="auto" w:fill="auto"/>
          </w:tcPr>
          <w:p w14:paraId="4E4AE5B7">
            <w:pPr>
              <w:pStyle w:val="186"/>
              <w:widowControl w:val="0"/>
              <w:spacing w:line="240" w:lineRule="auto"/>
              <w:ind w:firstLine="0"/>
              <w:jc w:val="left"/>
            </w:pPr>
            <w:r>
              <w:rPr>
                <w:rFonts w:hint="eastAsia"/>
              </w:rPr>
              <w:t>VRF</w:t>
            </w:r>
          </w:p>
        </w:tc>
        <w:tc>
          <w:tcPr>
            <w:tcW w:w="6634" w:type="dxa"/>
            <w:shd w:val="clear" w:color="auto" w:fill="auto"/>
          </w:tcPr>
          <w:p w14:paraId="2A5B767F">
            <w:pPr>
              <w:pStyle w:val="186"/>
              <w:widowControl w:val="0"/>
              <w:spacing w:line="240" w:lineRule="auto"/>
              <w:ind w:firstLine="0"/>
              <w:jc w:val="left"/>
            </w:pPr>
            <w:r>
              <w:rPr>
                <w:rFonts w:hint="eastAsia"/>
              </w:rPr>
              <w:t>指定RIP实例绑定的VRF。</w:t>
            </w:r>
            <w:r>
              <w:t>创建多个</w:t>
            </w:r>
            <w:r>
              <w:rPr>
                <w:rFonts w:hint="eastAsia"/>
              </w:rPr>
              <w:t>RIP</w:t>
            </w:r>
            <w:r>
              <w:t>实例时需要为每个实例绑定不同VRF使用</w:t>
            </w:r>
            <w:r>
              <w:rPr>
                <w:rFonts w:hint="eastAsia"/>
              </w:rPr>
              <w:t>，每个实例只能绑定一个VRF。</w:t>
            </w:r>
          </w:p>
        </w:tc>
      </w:tr>
      <w:tr w14:paraId="7C59759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4" w:type="dxa"/>
            <w:shd w:val="clear" w:color="auto" w:fill="auto"/>
          </w:tcPr>
          <w:p w14:paraId="01E43977">
            <w:pPr>
              <w:pStyle w:val="186"/>
              <w:widowControl w:val="0"/>
              <w:spacing w:line="240" w:lineRule="auto"/>
              <w:ind w:firstLine="0"/>
              <w:jc w:val="left"/>
            </w:pPr>
            <w:r>
              <w:rPr>
                <w:rFonts w:hint="eastAsia"/>
              </w:rPr>
              <w:t>描述</w:t>
            </w:r>
          </w:p>
        </w:tc>
        <w:tc>
          <w:tcPr>
            <w:tcW w:w="6634" w:type="dxa"/>
            <w:shd w:val="clear" w:color="auto" w:fill="auto"/>
          </w:tcPr>
          <w:p w14:paraId="2B7D2DF9">
            <w:pPr>
              <w:pStyle w:val="186"/>
              <w:widowControl w:val="0"/>
              <w:spacing w:line="240" w:lineRule="auto"/>
              <w:ind w:firstLine="0"/>
              <w:jc w:val="left"/>
            </w:pPr>
            <w:r>
              <w:rPr>
                <w:rFonts w:hint="eastAsia"/>
              </w:rPr>
              <w:t>RIP实例的描述信息。</w:t>
            </w:r>
          </w:p>
        </w:tc>
      </w:tr>
      <w:tr w14:paraId="5D0D93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4" w:type="dxa"/>
            <w:shd w:val="clear" w:color="auto" w:fill="auto"/>
          </w:tcPr>
          <w:p w14:paraId="0F00DAF4">
            <w:pPr>
              <w:pStyle w:val="186"/>
              <w:widowControl w:val="0"/>
              <w:spacing w:line="240" w:lineRule="auto"/>
              <w:ind w:firstLine="0"/>
              <w:jc w:val="left"/>
            </w:pPr>
            <w:r>
              <w:rPr>
                <w:rFonts w:hint="eastAsia"/>
              </w:rPr>
              <w:t>默认开销</w:t>
            </w:r>
          </w:p>
        </w:tc>
        <w:tc>
          <w:tcPr>
            <w:tcW w:w="6634" w:type="dxa"/>
            <w:shd w:val="clear" w:color="auto" w:fill="auto"/>
          </w:tcPr>
          <w:p w14:paraId="2EDC8601">
            <w:pPr>
              <w:pStyle w:val="186"/>
              <w:widowControl w:val="0"/>
              <w:spacing w:line="240" w:lineRule="auto"/>
              <w:ind w:firstLine="0"/>
              <w:jc w:val="left"/>
            </w:pPr>
            <w:r>
              <w:rPr>
                <w:rFonts w:hint="eastAsia"/>
              </w:rPr>
              <w:t>运行RIP协议所需的开销开销，范围1-16。</w:t>
            </w:r>
          </w:p>
        </w:tc>
      </w:tr>
      <w:tr w14:paraId="35C929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4" w:type="dxa"/>
            <w:shd w:val="clear" w:color="auto" w:fill="auto"/>
          </w:tcPr>
          <w:p w14:paraId="6CD3213F">
            <w:pPr>
              <w:pStyle w:val="186"/>
              <w:widowControl w:val="0"/>
              <w:spacing w:line="240" w:lineRule="auto"/>
              <w:ind w:firstLine="0"/>
              <w:jc w:val="left"/>
            </w:pPr>
            <w:r>
              <w:rPr>
                <w:rFonts w:hint="eastAsia"/>
              </w:rPr>
              <w:t>管理距离</w:t>
            </w:r>
          </w:p>
        </w:tc>
        <w:tc>
          <w:tcPr>
            <w:tcW w:w="6634" w:type="dxa"/>
            <w:shd w:val="clear" w:color="auto" w:fill="auto"/>
          </w:tcPr>
          <w:p w14:paraId="7AAF652B">
            <w:pPr>
              <w:pStyle w:val="186"/>
              <w:widowControl w:val="0"/>
              <w:spacing w:line="240" w:lineRule="auto"/>
              <w:ind w:firstLine="0"/>
              <w:jc w:val="left"/>
            </w:pPr>
            <w:r>
              <w:rPr>
                <w:rFonts w:hint="eastAsia"/>
              </w:rPr>
              <w:t>配置管理距离，范围1-255。</w:t>
            </w:r>
          </w:p>
        </w:tc>
      </w:tr>
      <w:tr w14:paraId="2EBABD7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4" w:type="dxa"/>
            <w:shd w:val="clear" w:color="auto" w:fill="auto"/>
          </w:tcPr>
          <w:p w14:paraId="0146BF06">
            <w:pPr>
              <w:pStyle w:val="186"/>
              <w:widowControl w:val="0"/>
              <w:spacing w:line="240" w:lineRule="auto"/>
              <w:ind w:firstLine="0"/>
              <w:jc w:val="left"/>
            </w:pPr>
            <w:r>
              <w:rPr>
                <w:rFonts w:hint="eastAsia"/>
              </w:rPr>
              <w:t>RIP版本</w:t>
            </w:r>
          </w:p>
        </w:tc>
        <w:tc>
          <w:tcPr>
            <w:tcW w:w="6634" w:type="dxa"/>
            <w:shd w:val="clear" w:color="auto" w:fill="auto"/>
          </w:tcPr>
          <w:p w14:paraId="121AF1CB">
            <w:pPr>
              <w:pStyle w:val="186"/>
              <w:widowControl w:val="0"/>
              <w:spacing w:line="240" w:lineRule="auto"/>
              <w:ind w:firstLine="0"/>
              <w:jc w:val="left"/>
            </w:pPr>
            <w:r>
              <w:rPr>
                <w:rFonts w:hint="eastAsia"/>
              </w:rPr>
              <w:t>选择RIP协议版本，推荐使用版本2。</w:t>
            </w:r>
          </w:p>
        </w:tc>
      </w:tr>
      <w:tr w14:paraId="4B22AD9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4" w:type="dxa"/>
            <w:shd w:val="clear" w:color="auto" w:fill="auto"/>
          </w:tcPr>
          <w:p w14:paraId="4D030623">
            <w:pPr>
              <w:pStyle w:val="186"/>
              <w:widowControl w:val="0"/>
              <w:spacing w:line="240" w:lineRule="auto"/>
              <w:ind w:firstLine="0"/>
              <w:jc w:val="left"/>
            </w:pPr>
            <w:r>
              <w:rPr>
                <w:rFonts w:hint="eastAsia"/>
              </w:rPr>
              <w:t>向外发布缺省路由</w:t>
            </w:r>
          </w:p>
        </w:tc>
        <w:tc>
          <w:tcPr>
            <w:tcW w:w="6634" w:type="dxa"/>
            <w:shd w:val="clear" w:color="auto" w:fill="auto"/>
          </w:tcPr>
          <w:p w14:paraId="080F39A2">
            <w:pPr>
              <w:pStyle w:val="186"/>
              <w:widowControl w:val="0"/>
              <w:spacing w:line="240" w:lineRule="auto"/>
              <w:ind w:firstLine="0"/>
              <w:jc w:val="left"/>
            </w:pPr>
            <w:r>
              <w:rPr>
                <w:rFonts w:hint="eastAsia"/>
              </w:rPr>
              <w:t>设置是否将缺省路由发布到其它使用RIP协议的路由器。默认情况下，RIP协议不发送缺省路由。</w:t>
            </w:r>
          </w:p>
        </w:tc>
      </w:tr>
      <w:tr w14:paraId="16B78DC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4" w:type="dxa"/>
            <w:shd w:val="clear" w:color="auto" w:fill="auto"/>
          </w:tcPr>
          <w:p w14:paraId="0C6ADE2A">
            <w:pPr>
              <w:pStyle w:val="186"/>
              <w:widowControl w:val="0"/>
              <w:spacing w:line="240" w:lineRule="auto"/>
              <w:ind w:firstLine="0"/>
              <w:jc w:val="left"/>
            </w:pPr>
            <w:r>
              <w:rPr>
                <w:rFonts w:hint="eastAsia"/>
              </w:rPr>
              <w:t>RIP定时器</w:t>
            </w:r>
          </w:p>
        </w:tc>
        <w:tc>
          <w:tcPr>
            <w:tcW w:w="6634" w:type="dxa"/>
            <w:shd w:val="clear" w:color="auto" w:fill="auto"/>
          </w:tcPr>
          <w:p w14:paraId="7AD9B657">
            <w:pPr>
              <w:pStyle w:val="186"/>
              <w:widowControl w:val="0"/>
              <w:spacing w:line="240" w:lineRule="auto"/>
              <w:ind w:firstLine="0"/>
              <w:jc w:val="left"/>
            </w:pPr>
            <w:r>
              <w:rPr>
                <w:rFonts w:hint="eastAsia"/>
              </w:rPr>
              <w:t>配置RIP实例定时器参数：</w:t>
            </w:r>
          </w:p>
          <w:p w14:paraId="0D351395">
            <w:pPr>
              <w:pStyle w:val="207"/>
              <w:numPr>
                <w:ilvl w:val="0"/>
                <w:numId w:val="24"/>
              </w:numPr>
              <w:rPr>
                <w:lang w:eastAsia="zh-CN"/>
              </w:rPr>
            </w:pPr>
            <w:r>
              <w:rPr>
                <w:rFonts w:hint="eastAsia"/>
                <w:lang w:eastAsia="zh-CN"/>
              </w:rPr>
              <w:t>更新：设置向所有邻居发送全部</w:t>
            </w:r>
            <w:r>
              <w:rPr>
                <w:lang w:eastAsia="zh-CN"/>
              </w:rPr>
              <w:t>RIP</w:t>
            </w:r>
            <w:r>
              <w:rPr>
                <w:rFonts w:hint="eastAsia"/>
                <w:lang w:eastAsia="zh-CN"/>
              </w:rPr>
              <w:t>路由所间隔的时间，单位为秒。</w:t>
            </w:r>
          </w:p>
          <w:p w14:paraId="483CE4DD">
            <w:pPr>
              <w:pStyle w:val="207"/>
              <w:numPr>
                <w:ilvl w:val="0"/>
                <w:numId w:val="24"/>
              </w:numPr>
              <w:rPr>
                <w:lang w:eastAsia="zh-CN"/>
              </w:rPr>
            </w:pPr>
            <w:r>
              <w:rPr>
                <w:rFonts w:hint="eastAsia"/>
                <w:lang w:eastAsia="zh-CN"/>
              </w:rPr>
              <w:t>超时：设置</w:t>
            </w:r>
            <w:r>
              <w:rPr>
                <w:lang w:eastAsia="zh-CN"/>
              </w:rPr>
              <w:t>RIP</w:t>
            </w:r>
            <w:r>
              <w:rPr>
                <w:rFonts w:hint="eastAsia"/>
                <w:lang w:eastAsia="zh-CN"/>
              </w:rPr>
              <w:t>协议的超时时间，单位为秒。如果一条路由在到达超时时间后仍未收到更新信息，该路由的度量就会被标记为</w:t>
            </w:r>
            <w:r>
              <w:rPr>
                <w:lang w:eastAsia="zh-CN"/>
              </w:rPr>
              <w:t>16</w:t>
            </w:r>
            <w:r>
              <w:rPr>
                <w:rFonts w:hint="eastAsia"/>
                <w:lang w:eastAsia="zh-CN"/>
              </w:rPr>
              <w:t>，表示不可达路由。</w:t>
            </w:r>
          </w:p>
          <w:p w14:paraId="6324D2CA">
            <w:pPr>
              <w:pStyle w:val="207"/>
              <w:numPr>
                <w:ilvl w:val="0"/>
                <w:numId w:val="24"/>
              </w:numPr>
              <w:rPr>
                <w:lang w:eastAsia="zh-CN"/>
              </w:rPr>
            </w:pPr>
            <w:r>
              <w:rPr>
                <w:rFonts w:hint="eastAsia"/>
                <w:lang w:eastAsia="zh-CN"/>
              </w:rPr>
              <w:t>失效：设置</w:t>
            </w:r>
            <w:r>
              <w:rPr>
                <w:lang w:eastAsia="zh-CN"/>
              </w:rPr>
              <w:t>RIP</w:t>
            </w:r>
            <w:r>
              <w:rPr>
                <w:rFonts w:hint="eastAsia"/>
                <w:lang w:eastAsia="zh-CN"/>
              </w:rPr>
              <w:t>协议的失效时间，单位为秒。度量被标记为</w:t>
            </w:r>
            <w:r>
              <w:rPr>
                <w:lang w:eastAsia="zh-CN"/>
              </w:rPr>
              <w:t>16</w:t>
            </w:r>
            <w:r>
              <w:rPr>
                <w:rFonts w:hint="eastAsia"/>
                <w:lang w:eastAsia="zh-CN"/>
              </w:rPr>
              <w:t>的不可达路由会被一直发布到其它</w:t>
            </w:r>
            <w:r>
              <w:rPr>
                <w:lang w:eastAsia="zh-CN"/>
              </w:rPr>
              <w:t>RIP</w:t>
            </w:r>
            <w:r>
              <w:rPr>
                <w:rFonts w:hint="eastAsia"/>
                <w:lang w:eastAsia="zh-CN"/>
              </w:rPr>
              <w:t>协议路由，如果到达失效时间该路由仍未被更新，将会从</w:t>
            </w:r>
            <w:r>
              <w:rPr>
                <w:lang w:eastAsia="zh-CN"/>
              </w:rPr>
              <w:t>RIP</w:t>
            </w:r>
            <w:r>
              <w:rPr>
                <w:rFonts w:hint="eastAsia"/>
                <w:lang w:eastAsia="zh-CN"/>
              </w:rPr>
              <w:t>路由信息表中删除。</w:t>
            </w:r>
          </w:p>
        </w:tc>
      </w:tr>
      <w:tr w14:paraId="23D608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4" w:type="dxa"/>
            <w:shd w:val="clear" w:color="auto" w:fill="auto"/>
          </w:tcPr>
          <w:p w14:paraId="1AC74245">
            <w:pPr>
              <w:pStyle w:val="186"/>
              <w:widowControl w:val="0"/>
              <w:spacing w:line="240" w:lineRule="auto"/>
              <w:ind w:firstLine="0"/>
              <w:jc w:val="left"/>
            </w:pPr>
            <w:r>
              <w:rPr>
                <w:rFonts w:hint="eastAsia"/>
              </w:rPr>
              <w:t>路由重发布</w:t>
            </w:r>
          </w:p>
        </w:tc>
        <w:tc>
          <w:tcPr>
            <w:tcW w:w="6634" w:type="dxa"/>
            <w:shd w:val="clear" w:color="auto" w:fill="auto"/>
          </w:tcPr>
          <w:p w14:paraId="69461A45">
            <w:pPr>
              <w:pStyle w:val="186"/>
              <w:widowControl w:val="0"/>
              <w:spacing w:line="240" w:lineRule="auto"/>
              <w:ind w:firstLine="0"/>
              <w:jc w:val="left"/>
            </w:pPr>
            <w:r>
              <w:rPr>
                <w:rFonts w:hint="eastAsia"/>
              </w:rPr>
              <w:t>配置RIP实例路由重发布信息：</w:t>
            </w:r>
          </w:p>
          <w:p w14:paraId="416AB4AA">
            <w:pPr>
              <w:pStyle w:val="207"/>
              <w:numPr>
                <w:ilvl w:val="0"/>
                <w:numId w:val="24"/>
              </w:numPr>
              <w:rPr>
                <w:lang w:eastAsia="zh-CN"/>
              </w:rPr>
            </w:pPr>
            <w:r>
              <w:rPr>
                <w:rFonts w:hint="eastAsia"/>
                <w:lang w:eastAsia="zh-CN"/>
              </w:rPr>
              <w:t>直连路由：设置是否通过</w:t>
            </w:r>
            <w:r>
              <w:rPr>
                <w:lang w:eastAsia="zh-CN"/>
              </w:rPr>
              <w:t>RIP</w:t>
            </w:r>
            <w:r>
              <w:rPr>
                <w:rFonts w:hint="eastAsia"/>
                <w:lang w:eastAsia="zh-CN"/>
              </w:rPr>
              <w:t>协议重发布设备通过直连网络学习到的路由信息，并设置所要学习的直连路由的跳数。</w:t>
            </w:r>
          </w:p>
          <w:p w14:paraId="35A1B14E">
            <w:pPr>
              <w:pStyle w:val="207"/>
              <w:numPr>
                <w:ilvl w:val="0"/>
                <w:numId w:val="24"/>
              </w:numPr>
              <w:rPr>
                <w:lang w:eastAsia="zh-CN"/>
              </w:rPr>
            </w:pPr>
            <w:r>
              <w:rPr>
                <w:rFonts w:hint="eastAsia"/>
                <w:lang w:eastAsia="zh-CN"/>
              </w:rPr>
              <w:t>静态路由：设置是否通过</w:t>
            </w:r>
            <w:r>
              <w:rPr>
                <w:lang w:eastAsia="zh-CN"/>
              </w:rPr>
              <w:t>RIP</w:t>
            </w:r>
            <w:r>
              <w:rPr>
                <w:rFonts w:hint="eastAsia"/>
                <w:lang w:eastAsia="zh-CN"/>
              </w:rPr>
              <w:t>协议重发布设备学习到的静态路由信息，并设置所要学习的静态路由的跳数。</w:t>
            </w:r>
          </w:p>
          <w:p w14:paraId="171BC51F">
            <w:pPr>
              <w:pStyle w:val="207"/>
              <w:numPr>
                <w:ilvl w:val="0"/>
                <w:numId w:val="24"/>
              </w:numPr>
              <w:rPr>
                <w:lang w:eastAsia="zh-CN"/>
              </w:rPr>
            </w:pPr>
            <w:r>
              <w:rPr>
                <w:lang w:eastAsia="zh-CN"/>
              </w:rPr>
              <w:t>OSPF</w:t>
            </w:r>
            <w:r>
              <w:rPr>
                <w:rFonts w:hint="eastAsia"/>
                <w:lang w:eastAsia="zh-CN"/>
              </w:rPr>
              <w:t>路由：设置是否通过</w:t>
            </w:r>
            <w:r>
              <w:rPr>
                <w:lang w:eastAsia="zh-CN"/>
              </w:rPr>
              <w:t>RIP</w:t>
            </w:r>
            <w:r>
              <w:rPr>
                <w:rFonts w:hint="eastAsia"/>
                <w:lang w:eastAsia="zh-CN"/>
              </w:rPr>
              <w:t>协议重发布设备通过</w:t>
            </w:r>
            <w:r>
              <w:rPr>
                <w:lang w:eastAsia="zh-CN"/>
              </w:rPr>
              <w:t>OSPF</w:t>
            </w:r>
            <w:r>
              <w:rPr>
                <w:rFonts w:hint="eastAsia"/>
                <w:lang w:eastAsia="zh-CN"/>
              </w:rPr>
              <w:t>协议学习到的路由信息，并设置所要学习的</w:t>
            </w:r>
            <w:r>
              <w:rPr>
                <w:lang w:eastAsia="zh-CN"/>
              </w:rPr>
              <w:t>OSPF</w:t>
            </w:r>
            <w:r>
              <w:rPr>
                <w:rFonts w:hint="eastAsia"/>
                <w:lang w:eastAsia="zh-CN"/>
              </w:rPr>
              <w:t>路由的跳数。</w:t>
            </w:r>
          </w:p>
          <w:p w14:paraId="1F65EA30">
            <w:pPr>
              <w:pStyle w:val="207"/>
              <w:numPr>
                <w:ilvl w:val="0"/>
                <w:numId w:val="24"/>
              </w:numPr>
              <w:rPr>
                <w:lang w:eastAsia="zh-CN"/>
              </w:rPr>
            </w:pPr>
            <w:r>
              <w:rPr>
                <w:rFonts w:hint="eastAsia"/>
                <w:lang w:eastAsia="zh-CN"/>
              </w:rPr>
              <w:t>BGP路由：设置是否通过</w:t>
            </w:r>
            <w:r>
              <w:rPr>
                <w:lang w:eastAsia="zh-CN"/>
              </w:rPr>
              <w:t>RIP</w:t>
            </w:r>
            <w:r>
              <w:rPr>
                <w:rFonts w:hint="eastAsia"/>
                <w:lang w:eastAsia="zh-CN"/>
              </w:rPr>
              <w:t>协议重发布设备通过BGP协议学习到的路由信息，并设置所要学习的BGP路由的跳数。</w:t>
            </w:r>
          </w:p>
        </w:tc>
      </w:tr>
    </w:tbl>
    <w:p w14:paraId="6513169C"/>
    <w:p w14:paraId="28575583">
      <w:pPr>
        <w:pStyle w:val="6"/>
      </w:pPr>
      <w:r>
        <w:rPr>
          <w:rFonts w:hint="eastAsia"/>
        </w:rPr>
        <w:t>配置RIP网络</w:t>
      </w:r>
    </w:p>
    <w:p w14:paraId="39783937">
      <w:r>
        <w:rPr>
          <w:rFonts w:hint="eastAsia"/>
        </w:rPr>
        <w:t>在RIP信息页面的RIP信息列表中，点击需要修改的RIP实例对应的“RIP网络”，查看该RIP实例中启用的RIP协议的网络信息。</w:t>
      </w:r>
    </w:p>
    <w:p w14:paraId="5437B66A">
      <w:pPr>
        <w:pStyle w:val="188"/>
      </w:pPr>
      <w:r>
        <w:rPr>
          <w:rFonts w:hint="eastAsia"/>
        </w:rPr>
        <w:t>RIP网络显示界面</w:t>
      </w:r>
    </w:p>
    <w:p w14:paraId="785DECA0">
      <w:pPr>
        <w:pStyle w:val="175"/>
      </w:pPr>
      <w:r>
        <w:t xml:space="preserve"> </w:t>
      </w:r>
      <w:r>
        <w:drawing>
          <wp:inline distT="0" distB="0" distL="0" distR="0">
            <wp:extent cx="5667375" cy="3862070"/>
            <wp:effectExtent l="0" t="0" r="0" b="5080"/>
            <wp:docPr id="1534582034" name="图片 153458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34" name="图片 1534582034"/>
                    <pic:cNvPicPr>
                      <a:picLocks noChangeAspect="1"/>
                    </pic:cNvPicPr>
                  </pic:nvPicPr>
                  <pic:blipFill>
                    <a:blip r:embed="rId306"/>
                    <a:stretch>
                      <a:fillRect/>
                    </a:stretch>
                  </pic:blipFill>
                  <pic:spPr>
                    <a:xfrm>
                      <a:off x="0" y="0"/>
                      <a:ext cx="5678429" cy="3869862"/>
                    </a:xfrm>
                    <a:prstGeom prst="rect">
                      <a:avLst/>
                    </a:prstGeom>
                  </pic:spPr>
                </pic:pic>
              </a:graphicData>
            </a:graphic>
          </wp:inline>
        </w:drawing>
      </w:r>
    </w:p>
    <w:p w14:paraId="464BBA73"/>
    <w:p w14:paraId="623C9F39">
      <w:r>
        <w:rPr>
          <w:rFonts w:hint="eastAsia"/>
        </w:rPr>
        <w:t>在RIP网络页面点击&lt;新建&gt;按钮，添加需要启用RIP协议的网络（格式为I</w:t>
      </w:r>
      <w:r>
        <w:t>Pv4</w:t>
      </w:r>
      <w:r>
        <w:rPr>
          <w:rFonts w:hint="eastAsia"/>
        </w:rPr>
        <w:t>地址/掩码，例如192.168.1.1/24），点击&lt;提交&gt;按钮，完成RIP网络的配置。</w:t>
      </w:r>
    </w:p>
    <w:p w14:paraId="4AB5388E">
      <w:pPr>
        <w:pStyle w:val="188"/>
      </w:pPr>
      <w:r>
        <w:rPr>
          <w:rFonts w:hint="eastAsia"/>
        </w:rPr>
        <w:t>RIP网络配置界面</w:t>
      </w:r>
    </w:p>
    <w:p w14:paraId="25477A2D">
      <w:pPr>
        <w:pStyle w:val="175"/>
      </w:pPr>
      <w:r>
        <w:drawing>
          <wp:inline distT="0" distB="0" distL="114300" distR="114300">
            <wp:extent cx="5334000" cy="2948940"/>
            <wp:effectExtent l="0" t="0" r="0" b="3810"/>
            <wp:docPr id="1534582039" name="图片 153458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39" name="图片 1534582039"/>
                    <pic:cNvPicPr>
                      <a:picLocks noChangeAspect="1"/>
                    </pic:cNvPicPr>
                  </pic:nvPicPr>
                  <pic:blipFill>
                    <a:blip r:embed="rId307"/>
                    <a:stretch>
                      <a:fillRect/>
                    </a:stretch>
                  </pic:blipFill>
                  <pic:spPr>
                    <a:xfrm>
                      <a:off x="0" y="0"/>
                      <a:ext cx="5338437" cy="2951939"/>
                    </a:xfrm>
                    <a:prstGeom prst="rect">
                      <a:avLst/>
                    </a:prstGeom>
                    <a:noFill/>
                    <a:ln>
                      <a:noFill/>
                    </a:ln>
                  </pic:spPr>
                </pic:pic>
              </a:graphicData>
            </a:graphic>
          </wp:inline>
        </w:drawing>
      </w:r>
    </w:p>
    <w:p w14:paraId="4226DAFA"/>
    <w:p w14:paraId="67AB7F5C">
      <w:pPr>
        <w:pStyle w:val="6"/>
      </w:pPr>
      <w:r>
        <w:rPr>
          <w:rFonts w:hint="eastAsia"/>
        </w:rPr>
        <w:t>配置</w:t>
      </w:r>
      <w:r>
        <w:t>RIPKeychain</w:t>
      </w:r>
    </w:p>
    <w:p w14:paraId="3941E4C2">
      <w:r>
        <w:rPr>
          <w:rFonts w:hint="eastAsia"/>
        </w:rPr>
        <w:t>RIPv2协议支持MD5认证，RIP密钥链是使用在RIP接口上的密钥组，包括Key值和密码两部分，只有RIP通讯双方配置了相同Key值和密码的情况下，双方才可以完成认证创建邻居关系。一个密钥链中可以包含多组Key值+密码组合，只要任意一个组合匹配通过双方即可通过认证。</w:t>
      </w:r>
    </w:p>
    <w:p w14:paraId="2FF1B561">
      <w:r>
        <w:rPr>
          <w:rFonts w:hint="eastAsia"/>
        </w:rPr>
        <w:t>选择“网络配置&gt;路由管理</w:t>
      </w:r>
      <w:r>
        <w:t>&gt;RIP信息&gt;RIP Keychain</w:t>
      </w:r>
      <w:r>
        <w:rPr>
          <w:rFonts w:hint="eastAsia"/>
        </w:rPr>
        <w:t>”，单击“新建”按钮。设置名称，编辑Key值和密码，点击&lt;添加到列表&gt;，</w:t>
      </w:r>
    </w:p>
    <w:p w14:paraId="66C807FA">
      <w:pPr>
        <w:pStyle w:val="188"/>
      </w:pPr>
      <w:r>
        <w:t>RIPKeychain</w:t>
      </w:r>
      <w:r>
        <w:rPr>
          <w:rFonts w:hint="eastAsia"/>
        </w:rPr>
        <w:t>配置界面</w:t>
      </w:r>
    </w:p>
    <w:p w14:paraId="22E6F570">
      <w:pPr>
        <w:pStyle w:val="175"/>
      </w:pPr>
      <w:r>
        <w:t xml:space="preserve">  </w:t>
      </w:r>
      <w:r>
        <w:drawing>
          <wp:inline distT="0" distB="0" distL="0" distR="0">
            <wp:extent cx="5596890" cy="2358390"/>
            <wp:effectExtent l="0" t="0" r="3810" b="3810"/>
            <wp:docPr id="1534582042" name="图片 153458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42" name="图片 1534582042"/>
                    <pic:cNvPicPr>
                      <a:picLocks noChangeAspect="1"/>
                    </pic:cNvPicPr>
                  </pic:nvPicPr>
                  <pic:blipFill>
                    <a:blip r:embed="rId308"/>
                    <a:stretch>
                      <a:fillRect/>
                    </a:stretch>
                  </pic:blipFill>
                  <pic:spPr>
                    <a:xfrm>
                      <a:off x="0" y="0"/>
                      <a:ext cx="5601681" cy="2360621"/>
                    </a:xfrm>
                    <a:prstGeom prst="rect">
                      <a:avLst/>
                    </a:prstGeom>
                  </pic:spPr>
                </pic:pic>
              </a:graphicData>
            </a:graphic>
          </wp:inline>
        </w:drawing>
      </w:r>
    </w:p>
    <w:p w14:paraId="11628795"/>
    <w:p w14:paraId="0BF813F5">
      <w:pPr>
        <w:pStyle w:val="183"/>
      </w:pPr>
      <w:r>
        <w:t>RIPKeychain</w:t>
      </w:r>
      <w:r>
        <w:rPr>
          <w:rFonts w:hint="eastAsia"/>
        </w:rPr>
        <w:t>配置参数</w:t>
      </w:r>
    </w:p>
    <w:tbl>
      <w:tblPr>
        <w:tblStyle w:val="173"/>
        <w:tblW w:w="0" w:type="auto"/>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668"/>
        <w:gridCol w:w="7052"/>
      </w:tblGrid>
      <w:tr w14:paraId="35AD54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68" w:type="dxa"/>
            <w:tcBorders>
              <w:tl2br w:val="nil"/>
              <w:tr2bl w:val="nil"/>
            </w:tcBorders>
            <w:shd w:val="clear" w:color="auto" w:fill="538135" w:themeFill="accent6" w:themeFillShade="BF"/>
            <w:vAlign w:val="center"/>
          </w:tcPr>
          <w:p w14:paraId="472253A7">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参数</w:t>
            </w:r>
          </w:p>
        </w:tc>
        <w:tc>
          <w:tcPr>
            <w:tcW w:w="7052" w:type="dxa"/>
            <w:tcBorders>
              <w:tl2br w:val="nil"/>
              <w:tr2bl w:val="nil"/>
            </w:tcBorders>
            <w:shd w:val="clear" w:color="auto" w:fill="538135" w:themeFill="accent6" w:themeFillShade="BF"/>
            <w:vAlign w:val="center"/>
          </w:tcPr>
          <w:p w14:paraId="0AF0099C">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C274C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68" w:type="dxa"/>
            <w:shd w:val="clear" w:color="auto" w:fill="auto"/>
          </w:tcPr>
          <w:p w14:paraId="558700E2">
            <w:pPr>
              <w:pStyle w:val="186"/>
              <w:widowControl w:val="0"/>
              <w:spacing w:line="240" w:lineRule="auto"/>
              <w:ind w:firstLine="0"/>
              <w:jc w:val="left"/>
            </w:pPr>
            <w:r>
              <w:rPr>
                <w:rFonts w:hint="eastAsia"/>
              </w:rPr>
              <w:t>名称</w:t>
            </w:r>
          </w:p>
        </w:tc>
        <w:tc>
          <w:tcPr>
            <w:tcW w:w="7052" w:type="dxa"/>
            <w:shd w:val="clear" w:color="auto" w:fill="auto"/>
          </w:tcPr>
          <w:p w14:paraId="3739B6D1">
            <w:pPr>
              <w:pStyle w:val="186"/>
              <w:widowControl w:val="0"/>
              <w:spacing w:line="240" w:lineRule="auto"/>
              <w:ind w:firstLine="0"/>
              <w:jc w:val="left"/>
            </w:pPr>
            <w:r>
              <w:rPr>
                <w:rFonts w:hint="eastAsia"/>
              </w:rPr>
              <w:t>输入RIP密钥链的名称。1~63字符。</w:t>
            </w:r>
          </w:p>
        </w:tc>
      </w:tr>
      <w:tr w14:paraId="1AA8D2E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68" w:type="dxa"/>
            <w:shd w:val="clear" w:color="auto" w:fill="auto"/>
          </w:tcPr>
          <w:p w14:paraId="4AA1B1BC">
            <w:pPr>
              <w:pStyle w:val="186"/>
              <w:widowControl w:val="0"/>
              <w:spacing w:line="240" w:lineRule="auto"/>
              <w:ind w:firstLine="0"/>
              <w:jc w:val="left"/>
            </w:pPr>
            <w:r>
              <w:t>Key</w:t>
            </w:r>
            <w:r>
              <w:rPr>
                <w:rFonts w:hint="eastAsia"/>
              </w:rPr>
              <w:t>值</w:t>
            </w:r>
          </w:p>
        </w:tc>
        <w:tc>
          <w:tcPr>
            <w:tcW w:w="7052" w:type="dxa"/>
            <w:shd w:val="clear" w:color="auto" w:fill="auto"/>
          </w:tcPr>
          <w:p w14:paraId="382C6844">
            <w:pPr>
              <w:pStyle w:val="186"/>
              <w:widowControl w:val="0"/>
              <w:spacing w:line="240" w:lineRule="auto"/>
              <w:ind w:firstLine="0"/>
              <w:jc w:val="left"/>
            </w:pPr>
            <w:r>
              <w:rPr>
                <w:rFonts w:hint="eastAsia"/>
              </w:rPr>
              <w:t>输入RIP密钥链的Key值，取值范围：0~2147483647，RIP两端认证时Key值需保持一致。</w:t>
            </w:r>
          </w:p>
        </w:tc>
      </w:tr>
      <w:tr w14:paraId="5D0481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68" w:type="dxa"/>
            <w:shd w:val="clear" w:color="auto" w:fill="auto"/>
          </w:tcPr>
          <w:p w14:paraId="59B04F85">
            <w:pPr>
              <w:pStyle w:val="186"/>
              <w:widowControl w:val="0"/>
              <w:spacing w:line="240" w:lineRule="auto"/>
              <w:ind w:firstLine="0"/>
              <w:jc w:val="left"/>
            </w:pPr>
            <w:r>
              <w:rPr>
                <w:rFonts w:hint="eastAsia"/>
              </w:rPr>
              <w:t>密码</w:t>
            </w:r>
          </w:p>
        </w:tc>
        <w:tc>
          <w:tcPr>
            <w:tcW w:w="7052" w:type="dxa"/>
            <w:shd w:val="clear" w:color="auto" w:fill="auto"/>
          </w:tcPr>
          <w:p w14:paraId="5BE78C76">
            <w:pPr>
              <w:pStyle w:val="186"/>
              <w:widowControl w:val="0"/>
              <w:spacing w:line="240" w:lineRule="auto"/>
              <w:ind w:firstLine="0"/>
              <w:jc w:val="left"/>
            </w:pPr>
            <w:r>
              <w:rPr>
                <w:rFonts w:hint="eastAsia"/>
              </w:rPr>
              <w:t>输入RIP密钥链的密码，1~255字符，不支持特殊字符。RIP两端认证时密码需保持一致。</w:t>
            </w:r>
          </w:p>
        </w:tc>
      </w:tr>
    </w:tbl>
    <w:p w14:paraId="10E25407"/>
    <w:p w14:paraId="55BE4238">
      <w:pPr>
        <w:pStyle w:val="6"/>
      </w:pPr>
      <w:r>
        <w:rPr>
          <w:rFonts w:hint="eastAsia"/>
        </w:rPr>
        <w:t>RIP接口配置</w:t>
      </w:r>
    </w:p>
    <w:p w14:paraId="7EFF4897">
      <w:r>
        <w:rPr>
          <w:rFonts w:hint="eastAsia"/>
        </w:rPr>
        <w:t>在RIP信息页面的RIP信息列表中，点击需要修改的RIP实例对应的“RIP接口”，查看该RIP实例中配置的RIP协议接口信息。</w:t>
      </w:r>
    </w:p>
    <w:p w14:paraId="2290B86D">
      <w:pPr>
        <w:pStyle w:val="188"/>
      </w:pPr>
      <w:r>
        <w:rPr>
          <w:rFonts w:hint="eastAsia"/>
        </w:rPr>
        <w:t>RIP接口</w:t>
      </w:r>
    </w:p>
    <w:p w14:paraId="24FFF2E9">
      <w:pPr>
        <w:pStyle w:val="175"/>
      </w:pPr>
      <w:r>
        <w:drawing>
          <wp:inline distT="0" distB="0" distL="0" distR="0">
            <wp:extent cx="5349240" cy="3781425"/>
            <wp:effectExtent l="0" t="0" r="3810" b="9525"/>
            <wp:docPr id="1534582043" name="图片 153458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43" name="图片 1534582043"/>
                    <pic:cNvPicPr>
                      <a:picLocks noChangeAspect="1"/>
                    </pic:cNvPicPr>
                  </pic:nvPicPr>
                  <pic:blipFill>
                    <a:blip r:embed="rId309"/>
                    <a:stretch>
                      <a:fillRect/>
                    </a:stretch>
                  </pic:blipFill>
                  <pic:spPr>
                    <a:xfrm>
                      <a:off x="0" y="0"/>
                      <a:ext cx="5353993" cy="3785400"/>
                    </a:xfrm>
                    <a:prstGeom prst="rect">
                      <a:avLst/>
                    </a:prstGeom>
                  </pic:spPr>
                </pic:pic>
              </a:graphicData>
            </a:graphic>
          </wp:inline>
        </w:drawing>
      </w:r>
    </w:p>
    <w:p w14:paraId="0A1688CC"/>
    <w:p w14:paraId="1D8ABDC6">
      <w:r>
        <w:rPr>
          <w:rFonts w:hint="eastAsia"/>
        </w:rPr>
        <w:t>在RIP接口页面点击&lt;新建&gt;按钮。该页面可以配置接口相关的RIP信息，具体信息说明如</w:t>
      </w:r>
      <w:r>
        <w:fldChar w:fldCharType="begin"/>
      </w:r>
      <w:r>
        <w:instrText xml:space="preserve"> </w:instrText>
      </w:r>
      <w:r>
        <w:rPr>
          <w:rFonts w:hint="eastAsia"/>
        </w:rPr>
        <w:instrText xml:space="preserve">REF _Ref392860758 \r \h</w:instrText>
      </w:r>
      <w:r>
        <w:instrText xml:space="preserve"> </w:instrText>
      </w:r>
      <w:r>
        <w:fldChar w:fldCharType="separate"/>
      </w:r>
      <w:r>
        <w:rPr>
          <w:rFonts w:hint="eastAsia"/>
        </w:rPr>
        <w:t>表7-1</w:t>
      </w:r>
      <w:r>
        <w:fldChar w:fldCharType="end"/>
      </w:r>
      <w:r>
        <w:rPr>
          <w:rFonts w:hint="eastAsia"/>
        </w:rPr>
        <w:t>所示。</w:t>
      </w:r>
    </w:p>
    <w:p w14:paraId="6E9F093A">
      <w:pPr>
        <w:pStyle w:val="188"/>
      </w:pPr>
      <w:r>
        <w:rPr>
          <w:rFonts w:hint="eastAsia"/>
        </w:rPr>
        <w:t>RIP接口配置</w:t>
      </w:r>
    </w:p>
    <w:p w14:paraId="6631EE07">
      <w:r>
        <w:drawing>
          <wp:inline distT="0" distB="0" distL="0" distR="0">
            <wp:extent cx="5490210" cy="2266950"/>
            <wp:effectExtent l="0" t="0" r="0" b="0"/>
            <wp:docPr id="1534582044" name="图片 153458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44" name="图片 1534582044"/>
                    <pic:cNvPicPr>
                      <a:picLocks noChangeAspect="1"/>
                    </pic:cNvPicPr>
                  </pic:nvPicPr>
                  <pic:blipFill>
                    <a:blip r:embed="rId310"/>
                    <a:stretch>
                      <a:fillRect/>
                    </a:stretch>
                  </pic:blipFill>
                  <pic:spPr>
                    <a:xfrm>
                      <a:off x="0" y="0"/>
                      <a:ext cx="5503822" cy="2272560"/>
                    </a:xfrm>
                    <a:prstGeom prst="rect">
                      <a:avLst/>
                    </a:prstGeom>
                  </pic:spPr>
                </pic:pic>
              </a:graphicData>
            </a:graphic>
          </wp:inline>
        </w:drawing>
      </w:r>
    </w:p>
    <w:p w14:paraId="24857B68"/>
    <w:p w14:paraId="2FDBF7BC">
      <w:pPr>
        <w:pStyle w:val="183"/>
      </w:pPr>
      <w:r>
        <w:rPr>
          <w:rFonts w:hint="eastAsia"/>
        </w:rPr>
        <w:t>RIP接口各项配置含义</w:t>
      </w:r>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29"/>
        <w:gridCol w:w="6639"/>
      </w:tblGrid>
      <w:tr w14:paraId="3EBC73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tcBorders>
              <w:tl2br w:val="nil"/>
              <w:tr2bl w:val="nil"/>
            </w:tcBorders>
            <w:shd w:val="clear" w:color="auto" w:fill="538135" w:themeFill="accent6" w:themeFillShade="BF"/>
            <w:vAlign w:val="center"/>
          </w:tcPr>
          <w:p w14:paraId="24BBAE8E">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84" w:type="dxa"/>
            <w:tcBorders>
              <w:tl2br w:val="nil"/>
              <w:tr2bl w:val="nil"/>
            </w:tcBorders>
            <w:shd w:val="clear" w:color="auto" w:fill="538135" w:themeFill="accent6" w:themeFillShade="BF"/>
            <w:vAlign w:val="center"/>
          </w:tcPr>
          <w:p w14:paraId="4F244D75">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6BCA5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5EA6A6FF">
            <w:pPr>
              <w:pStyle w:val="186"/>
              <w:widowControl w:val="0"/>
              <w:spacing w:line="240" w:lineRule="auto"/>
              <w:ind w:firstLine="0"/>
              <w:jc w:val="left"/>
            </w:pPr>
            <w:r>
              <w:rPr>
                <w:rFonts w:hint="eastAsia"/>
              </w:rPr>
              <w:t>接口</w:t>
            </w:r>
          </w:p>
        </w:tc>
        <w:tc>
          <w:tcPr>
            <w:tcW w:w="6684" w:type="dxa"/>
            <w:shd w:val="clear" w:color="auto" w:fill="auto"/>
          </w:tcPr>
          <w:p w14:paraId="3A616DC3">
            <w:pPr>
              <w:pStyle w:val="186"/>
              <w:widowControl w:val="0"/>
              <w:spacing w:line="240" w:lineRule="auto"/>
              <w:ind w:firstLine="0"/>
              <w:jc w:val="left"/>
            </w:pPr>
            <w:r>
              <w:rPr>
                <w:rFonts w:hint="eastAsia"/>
              </w:rPr>
              <w:t>选择要启用RIP协议的接口</w:t>
            </w:r>
          </w:p>
        </w:tc>
      </w:tr>
      <w:tr w14:paraId="3B41259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4E2A2E5C">
            <w:pPr>
              <w:pStyle w:val="186"/>
              <w:widowControl w:val="0"/>
              <w:spacing w:line="240" w:lineRule="auto"/>
              <w:ind w:firstLine="0"/>
              <w:jc w:val="left"/>
            </w:pPr>
            <w:r>
              <w:rPr>
                <w:rFonts w:hint="eastAsia"/>
              </w:rPr>
              <w:t>发送版本</w:t>
            </w:r>
          </w:p>
        </w:tc>
        <w:tc>
          <w:tcPr>
            <w:tcW w:w="6684" w:type="dxa"/>
            <w:shd w:val="clear" w:color="auto" w:fill="auto"/>
          </w:tcPr>
          <w:p w14:paraId="43414D59">
            <w:pPr>
              <w:pStyle w:val="186"/>
              <w:widowControl w:val="0"/>
              <w:spacing w:line="240" w:lineRule="auto"/>
              <w:ind w:firstLine="0"/>
              <w:jc w:val="left"/>
            </w:pPr>
            <w:r>
              <w:rPr>
                <w:rFonts w:hint="eastAsia"/>
              </w:rPr>
              <w:t>设置该接口可发送的RIP协议版本</w:t>
            </w:r>
          </w:p>
        </w:tc>
      </w:tr>
      <w:tr w14:paraId="47925FB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4D4B54DD">
            <w:pPr>
              <w:pStyle w:val="186"/>
              <w:widowControl w:val="0"/>
              <w:spacing w:line="240" w:lineRule="auto"/>
              <w:ind w:firstLine="0"/>
              <w:jc w:val="left"/>
            </w:pPr>
            <w:r>
              <w:rPr>
                <w:rFonts w:hint="eastAsia"/>
              </w:rPr>
              <w:t>接收版本</w:t>
            </w:r>
          </w:p>
        </w:tc>
        <w:tc>
          <w:tcPr>
            <w:tcW w:w="6684" w:type="dxa"/>
            <w:shd w:val="clear" w:color="auto" w:fill="auto"/>
          </w:tcPr>
          <w:p w14:paraId="5E0381AB">
            <w:pPr>
              <w:pStyle w:val="186"/>
              <w:widowControl w:val="0"/>
              <w:spacing w:line="240" w:lineRule="auto"/>
              <w:ind w:firstLine="0"/>
              <w:jc w:val="left"/>
            </w:pPr>
            <w:r>
              <w:rPr>
                <w:rFonts w:hint="eastAsia"/>
              </w:rPr>
              <w:t>设置该接口可接收的RIP协议版本</w:t>
            </w:r>
          </w:p>
        </w:tc>
      </w:tr>
      <w:tr w14:paraId="10F141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556F3DE8">
            <w:pPr>
              <w:pStyle w:val="186"/>
              <w:widowControl w:val="0"/>
              <w:spacing w:line="240" w:lineRule="auto"/>
              <w:ind w:firstLine="0"/>
              <w:jc w:val="left"/>
            </w:pPr>
            <w:r>
              <w:rPr>
                <w:rFonts w:hint="eastAsia"/>
              </w:rPr>
              <w:t>认证方式</w:t>
            </w:r>
          </w:p>
        </w:tc>
        <w:tc>
          <w:tcPr>
            <w:tcW w:w="6684" w:type="dxa"/>
            <w:shd w:val="clear" w:color="auto" w:fill="auto"/>
          </w:tcPr>
          <w:p w14:paraId="27A6D73B">
            <w:pPr>
              <w:pStyle w:val="186"/>
              <w:widowControl w:val="0"/>
              <w:spacing w:line="240" w:lineRule="auto"/>
              <w:ind w:firstLine="0"/>
              <w:jc w:val="left"/>
            </w:pPr>
            <w:r>
              <w:rPr>
                <w:rFonts w:hint="eastAsia"/>
              </w:rPr>
              <w:t>设置RIP协议的认证方式，可以为无认证、明文认证或MD5认证。在对安全性要求较高的网络中，建议启用RIP协议认证。认证可以提高网络的安全性，只有相互认证成功的两台路由器之间才可以传输路由信息。</w:t>
            </w:r>
          </w:p>
          <w:p w14:paraId="469BC621">
            <w:pPr>
              <w:pStyle w:val="207"/>
              <w:numPr>
                <w:ilvl w:val="0"/>
                <w:numId w:val="24"/>
              </w:numPr>
              <w:rPr>
                <w:lang w:eastAsia="zh-CN"/>
              </w:rPr>
            </w:pPr>
            <w:r>
              <w:rPr>
                <w:rFonts w:hint="eastAsia"/>
                <w:lang w:eastAsia="zh-CN"/>
              </w:rPr>
              <w:t>无：表示接口不对报文进行认证。</w:t>
            </w:r>
          </w:p>
          <w:p w14:paraId="610CB5B4">
            <w:pPr>
              <w:pStyle w:val="207"/>
              <w:numPr>
                <w:ilvl w:val="0"/>
                <w:numId w:val="24"/>
              </w:numPr>
              <w:rPr>
                <w:lang w:eastAsia="zh-CN"/>
              </w:rPr>
            </w:pPr>
            <w:r>
              <w:rPr>
                <w:rFonts w:hint="eastAsia"/>
                <w:lang w:eastAsia="zh-CN"/>
              </w:rPr>
              <w:t>Text：启用明文认证方式，并指定认证使用的密钥链或密码。</w:t>
            </w:r>
          </w:p>
          <w:p w14:paraId="3FA3B2CD">
            <w:pPr>
              <w:pStyle w:val="207"/>
              <w:numPr>
                <w:ilvl w:val="0"/>
                <w:numId w:val="24"/>
              </w:numPr>
              <w:rPr>
                <w:lang w:eastAsia="zh-CN"/>
              </w:rPr>
            </w:pPr>
            <w:r>
              <w:rPr>
                <w:rFonts w:hint="eastAsia"/>
                <w:lang w:eastAsia="zh-CN"/>
              </w:rPr>
              <w:t>MD5：启用MD5认证方式，并指定认证使用的密钥链或密码。与明文认证方式相比，MD5认证以密文形式传输认证凭据，因此更安全。</w:t>
            </w:r>
          </w:p>
          <w:p w14:paraId="060F3858">
            <w:pPr>
              <w:pStyle w:val="207"/>
              <w:numPr>
                <w:ilvl w:val="0"/>
                <w:numId w:val="24"/>
              </w:numPr>
              <w:rPr>
                <w:lang w:eastAsia="zh-CN"/>
              </w:rPr>
            </w:pPr>
            <w:r>
              <w:rPr>
                <w:rFonts w:hint="eastAsia"/>
                <w:lang w:eastAsia="zh-CN"/>
              </w:rPr>
              <w:t>HMAC-SHA256：启用HAMC-SHA256认证方式，并指定认证使用的密钥链或密码。使用密文形式传输认证凭据，安全性更高。</w:t>
            </w:r>
          </w:p>
        </w:tc>
      </w:tr>
      <w:tr w14:paraId="7AF5B10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126E0B7C">
            <w:pPr>
              <w:pStyle w:val="186"/>
              <w:widowControl w:val="0"/>
              <w:spacing w:line="240" w:lineRule="auto"/>
              <w:ind w:firstLine="0"/>
              <w:jc w:val="left"/>
            </w:pPr>
            <w:r>
              <w:rPr>
                <w:rFonts w:hint="eastAsia"/>
              </w:rPr>
              <w:t>认证标记</w:t>
            </w:r>
          </w:p>
        </w:tc>
        <w:tc>
          <w:tcPr>
            <w:tcW w:w="6684" w:type="dxa"/>
            <w:shd w:val="clear" w:color="auto" w:fill="auto"/>
          </w:tcPr>
          <w:p w14:paraId="22BB4E6B">
            <w:pPr>
              <w:pStyle w:val="186"/>
              <w:widowControl w:val="0"/>
              <w:spacing w:line="240" w:lineRule="auto"/>
              <w:ind w:firstLine="0"/>
              <w:jc w:val="left"/>
            </w:pPr>
            <w:r>
              <w:rPr>
                <w:rFonts w:hint="eastAsia"/>
              </w:rPr>
              <w:t>Keychain：RIP密钥链，详情请参见RIP Keychain。</w:t>
            </w:r>
          </w:p>
          <w:p w14:paraId="06BC2575">
            <w:pPr>
              <w:pStyle w:val="186"/>
              <w:widowControl w:val="0"/>
              <w:spacing w:line="240" w:lineRule="auto"/>
              <w:ind w:firstLine="0"/>
              <w:jc w:val="left"/>
            </w:pPr>
            <w:r>
              <w:rPr>
                <w:rFonts w:hint="eastAsia"/>
              </w:rPr>
              <w:t>密码：手动设置认证密码，1~16字符。</w:t>
            </w:r>
          </w:p>
        </w:tc>
      </w:tr>
    </w:tbl>
    <w:p w14:paraId="3E9523DF"/>
    <w:p w14:paraId="7A8E030A">
      <w:pPr>
        <w:pStyle w:val="5"/>
      </w:pPr>
      <w:bookmarkStart w:id="2481" w:name="_Toc172218132"/>
      <w:bookmarkStart w:id="2482" w:name="_Toc194080759"/>
      <w:bookmarkStart w:id="2483" w:name="_Toc196728091"/>
      <w:r>
        <w:rPr>
          <w:rFonts w:hint="eastAsia"/>
        </w:rPr>
        <w:t>RIP配置举例</w:t>
      </w:r>
      <w:bookmarkEnd w:id="2481"/>
      <w:bookmarkEnd w:id="2482"/>
      <w:bookmarkEnd w:id="2483"/>
    </w:p>
    <w:p w14:paraId="35179F74">
      <w:pPr>
        <w:pStyle w:val="6"/>
      </w:pPr>
      <w:r>
        <w:rPr>
          <w:rFonts w:hint="eastAsia"/>
        </w:rPr>
        <w:t>组网需求</w:t>
      </w:r>
    </w:p>
    <w:p w14:paraId="664CF2B0">
      <w:r>
        <w:rPr>
          <w:rFonts w:hint="eastAsia"/>
        </w:rPr>
        <w:t>如下图所示，在网络中有3台设备，设备配置接口IP地址，要求设备Device1、Device2、Device3开启RIP进程创建RIP实例，实现Device1、Device2和Device3网络互连。</w:t>
      </w:r>
    </w:p>
    <w:p w14:paraId="31074A11">
      <w:pPr>
        <w:pStyle w:val="6"/>
      </w:pPr>
      <w:r>
        <w:rPr>
          <w:rFonts w:hint="eastAsia"/>
        </w:rPr>
        <w:t>组网图</w:t>
      </w:r>
    </w:p>
    <w:p w14:paraId="7FB138E0">
      <w:pPr>
        <w:pStyle w:val="188"/>
      </w:pPr>
      <w:r>
        <w:rPr>
          <w:rFonts w:hint="eastAsia"/>
        </w:rPr>
        <w:t>RIP配置案例组网图</w:t>
      </w:r>
    </w:p>
    <w:p w14:paraId="4CDFED40">
      <w:pPr>
        <w:spacing w:before="79" w:after="79"/>
      </w:pPr>
      <w:r>
        <w:drawing>
          <wp:inline distT="0" distB="0" distL="114300" distR="114300">
            <wp:extent cx="4591050" cy="1410970"/>
            <wp:effectExtent l="0" t="0" r="0" b="0"/>
            <wp:docPr id="15345820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18" name="图片 11"/>
                    <pic:cNvPicPr>
                      <a:picLocks noChangeAspect="1"/>
                    </pic:cNvPicPr>
                  </pic:nvPicPr>
                  <pic:blipFill>
                    <a:blip r:embed="rId311"/>
                    <a:stretch>
                      <a:fillRect/>
                    </a:stretch>
                  </pic:blipFill>
                  <pic:spPr>
                    <a:xfrm>
                      <a:off x="0" y="0"/>
                      <a:ext cx="4625349" cy="1422057"/>
                    </a:xfrm>
                    <a:prstGeom prst="rect">
                      <a:avLst/>
                    </a:prstGeom>
                    <a:noFill/>
                    <a:ln>
                      <a:noFill/>
                    </a:ln>
                  </pic:spPr>
                </pic:pic>
              </a:graphicData>
            </a:graphic>
          </wp:inline>
        </w:drawing>
      </w:r>
    </w:p>
    <w:p w14:paraId="459D7E1A"/>
    <w:p w14:paraId="45FB7AB8">
      <w:pPr>
        <w:pStyle w:val="6"/>
      </w:pPr>
      <w:r>
        <w:rPr>
          <w:rFonts w:hint="eastAsia"/>
        </w:rPr>
        <w:t>配置步骤</w:t>
      </w:r>
    </w:p>
    <w:p w14:paraId="5B9FC56D">
      <w:pPr>
        <w:pStyle w:val="202"/>
      </w:pPr>
      <w:r>
        <w:rPr>
          <w:rFonts w:hint="eastAsia"/>
        </w:rPr>
        <w:t>按照组网图组网。</w:t>
      </w:r>
    </w:p>
    <w:p w14:paraId="1B65C59C">
      <w:pPr>
        <w:pStyle w:val="202"/>
      </w:pPr>
      <w:r>
        <w:rPr>
          <w:rFonts w:hint="eastAsia"/>
        </w:rPr>
        <w:t>配置Device1</w:t>
      </w:r>
    </w:p>
    <w:p w14:paraId="2A5AB170">
      <w:r>
        <w:rPr>
          <w:rFonts w:hint="eastAsia"/>
        </w:rPr>
        <w:t>进入“网络配置&gt;接口配置&gt;物理接口”，点击&lt;操作&gt;按钮，配置设备接口地址。</w:t>
      </w:r>
    </w:p>
    <w:p w14:paraId="7455DF44">
      <w:pPr>
        <w:pStyle w:val="188"/>
      </w:pPr>
      <w:r>
        <w:rPr>
          <w:rFonts w:hint="eastAsia"/>
        </w:rPr>
        <w:t>配置接口</w:t>
      </w:r>
    </w:p>
    <w:p w14:paraId="1D631BC8">
      <w:pPr>
        <w:pStyle w:val="175"/>
      </w:pPr>
      <w:r>
        <w:drawing>
          <wp:inline distT="0" distB="0" distL="114300" distR="114300">
            <wp:extent cx="4529455" cy="3333750"/>
            <wp:effectExtent l="0" t="0" r="4445" b="0"/>
            <wp:docPr id="153458204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47" name="图片 13"/>
                    <pic:cNvPicPr>
                      <a:picLocks noChangeAspect="1"/>
                    </pic:cNvPicPr>
                  </pic:nvPicPr>
                  <pic:blipFill>
                    <a:blip r:embed="rId312"/>
                    <a:stretch>
                      <a:fillRect/>
                    </a:stretch>
                  </pic:blipFill>
                  <pic:spPr>
                    <a:xfrm>
                      <a:off x="0" y="0"/>
                      <a:ext cx="4535308" cy="3337889"/>
                    </a:xfrm>
                    <a:prstGeom prst="rect">
                      <a:avLst/>
                    </a:prstGeom>
                    <a:noFill/>
                    <a:ln>
                      <a:noFill/>
                    </a:ln>
                  </pic:spPr>
                </pic:pic>
              </a:graphicData>
            </a:graphic>
          </wp:inline>
        </w:drawing>
      </w:r>
    </w:p>
    <w:p w14:paraId="7E2D86AB">
      <w:pPr>
        <w:rPr>
          <w:shd w:val="clear" w:color="auto" w:fill="FFFFFF"/>
        </w:rPr>
      </w:pPr>
      <w:r>
        <w:rPr>
          <w:rFonts w:hint="eastAsia" w:ascii="微软雅黑" w:hAnsi="微软雅黑" w:eastAsia="微软雅黑" w:cs="微软雅黑"/>
          <w:shd w:val="clear" w:color="auto" w:fill="FFFFFF"/>
        </w:rPr>
        <w:t>进入</w:t>
      </w:r>
      <w:r>
        <w:rPr>
          <w:rFonts w:eastAsia="Segoe UI"/>
          <w:shd w:val="clear" w:color="auto" w:fill="FFFFFF"/>
        </w:rPr>
        <w:t>"</w:t>
      </w:r>
      <w:r>
        <w:rPr>
          <w:rFonts w:hint="eastAsia"/>
          <w:shd w:val="clear" w:color="auto" w:fill="FFFFFF"/>
        </w:rPr>
        <w:t>网络配置</w:t>
      </w:r>
      <w:r>
        <w:rPr>
          <w:rFonts w:eastAsia="Segoe UI"/>
          <w:shd w:val="clear" w:color="auto" w:fill="FFFFFF"/>
        </w:rPr>
        <w:t xml:space="preserve">&gt; </w:t>
      </w:r>
      <w:r>
        <w:rPr>
          <w:rFonts w:hint="eastAsia"/>
          <w:shd w:val="clear" w:color="auto" w:fill="FFFFFF"/>
        </w:rPr>
        <w:t>路由管理</w:t>
      </w:r>
      <w:r>
        <w:rPr>
          <w:rFonts w:eastAsia="Segoe UI"/>
          <w:shd w:val="clear" w:color="auto" w:fill="FFFFFF"/>
        </w:rPr>
        <w:t>&gt;</w:t>
      </w:r>
      <w:r>
        <w:rPr>
          <w:rFonts w:hint="eastAsia"/>
          <w:shd w:val="clear" w:color="auto" w:fill="FFFFFF"/>
        </w:rPr>
        <w:t>RIP信息</w:t>
      </w:r>
      <w:r>
        <w:rPr>
          <w:rFonts w:eastAsia="Segoe UI"/>
          <w:shd w:val="clear" w:color="auto" w:fill="FFFFFF"/>
        </w:rPr>
        <w:t>"</w:t>
      </w:r>
      <w:r>
        <w:rPr>
          <w:rFonts w:hint="eastAsia" w:ascii="微软雅黑" w:hAnsi="微软雅黑" w:eastAsia="微软雅黑" w:cs="微软雅黑"/>
          <w:shd w:val="clear" w:color="auto" w:fill="FFFFFF"/>
        </w:rPr>
        <w:t>页面，</w:t>
      </w:r>
      <w:r>
        <w:rPr>
          <w:rFonts w:hint="eastAsia"/>
          <w:shd w:val="clear" w:color="auto" w:fill="FFFFFF"/>
        </w:rPr>
        <w:t>勾选</w:t>
      </w:r>
      <w:r>
        <w:rPr>
          <w:rFonts w:eastAsia="Segoe UI"/>
          <w:shd w:val="clear" w:color="auto" w:fill="FFFFFF"/>
        </w:rPr>
        <w:t>&lt;</w:t>
      </w:r>
      <w:r>
        <w:rPr>
          <w:rFonts w:hint="eastAsia"/>
          <w:shd w:val="clear" w:color="auto" w:fill="FFFFFF"/>
        </w:rPr>
        <w:t>启用</w:t>
      </w:r>
      <w:r>
        <w:rPr>
          <w:rFonts w:eastAsia="Segoe UI"/>
          <w:shd w:val="clear" w:color="auto" w:fill="FFFFFF"/>
        </w:rPr>
        <w:t>&gt;</w:t>
      </w:r>
      <w:r>
        <w:rPr>
          <w:rFonts w:hint="eastAsia"/>
          <w:shd w:val="clear" w:color="auto" w:fill="FFFFFF"/>
        </w:rPr>
        <w:t>开启RIP。</w:t>
      </w:r>
    </w:p>
    <w:p w14:paraId="3394451C">
      <w:pPr>
        <w:pStyle w:val="188"/>
      </w:pPr>
      <w:r>
        <w:rPr>
          <w:rFonts w:hint="eastAsia"/>
          <w:shd w:val="clear" w:color="auto" w:fill="FFFFFF"/>
        </w:rPr>
        <w:t>开启RIP</w:t>
      </w:r>
    </w:p>
    <w:p w14:paraId="5A2C07BB">
      <w:pPr>
        <w:pStyle w:val="175"/>
      </w:pPr>
      <w:r>
        <w:drawing>
          <wp:inline distT="0" distB="0" distL="114300" distR="114300">
            <wp:extent cx="6117590" cy="808990"/>
            <wp:effectExtent l="0" t="0" r="16510" b="10160"/>
            <wp:docPr id="153458204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48" name="图片 14"/>
                    <pic:cNvPicPr>
                      <a:picLocks noChangeAspect="1"/>
                    </pic:cNvPicPr>
                  </pic:nvPicPr>
                  <pic:blipFill>
                    <a:blip r:embed="rId313"/>
                    <a:stretch>
                      <a:fillRect/>
                    </a:stretch>
                  </pic:blipFill>
                  <pic:spPr>
                    <a:xfrm>
                      <a:off x="0" y="0"/>
                      <a:ext cx="6117590" cy="808990"/>
                    </a:xfrm>
                    <a:prstGeom prst="rect">
                      <a:avLst/>
                    </a:prstGeom>
                    <a:noFill/>
                    <a:ln>
                      <a:noFill/>
                    </a:ln>
                  </pic:spPr>
                </pic:pic>
              </a:graphicData>
            </a:graphic>
          </wp:inline>
        </w:drawing>
      </w:r>
    </w:p>
    <w:p w14:paraId="6631727D">
      <w:r>
        <w:rPr>
          <w:rFonts w:hint="eastAsia" w:ascii="微软雅黑" w:hAnsi="微软雅黑" w:eastAsia="微软雅黑" w:cs="微软雅黑"/>
          <w:shd w:val="clear" w:color="auto" w:fill="FFFFFF"/>
        </w:rPr>
        <w:t>进入</w:t>
      </w:r>
      <w:r>
        <w:rPr>
          <w:rFonts w:eastAsia="Segoe UI"/>
          <w:shd w:val="clear" w:color="auto" w:fill="FFFFFF"/>
        </w:rPr>
        <w:t>"</w:t>
      </w:r>
      <w:r>
        <w:rPr>
          <w:rFonts w:hint="eastAsia"/>
          <w:shd w:val="clear" w:color="auto" w:fill="FFFFFF"/>
        </w:rPr>
        <w:t>网络配置</w:t>
      </w:r>
      <w:r>
        <w:rPr>
          <w:rFonts w:eastAsia="Segoe UI"/>
          <w:shd w:val="clear" w:color="auto" w:fill="FFFFFF"/>
        </w:rPr>
        <w:t xml:space="preserve">&gt; </w:t>
      </w:r>
      <w:r>
        <w:rPr>
          <w:rFonts w:hint="eastAsia"/>
          <w:shd w:val="clear" w:color="auto" w:fill="FFFFFF"/>
        </w:rPr>
        <w:t>路由管理</w:t>
      </w:r>
      <w:r>
        <w:rPr>
          <w:rFonts w:eastAsia="Segoe UI"/>
          <w:shd w:val="clear" w:color="auto" w:fill="FFFFFF"/>
        </w:rPr>
        <w:t>&gt;</w:t>
      </w:r>
      <w:r>
        <w:rPr>
          <w:rFonts w:hint="eastAsia"/>
        </w:rPr>
        <w:t>RIP信息</w:t>
      </w:r>
      <w:r>
        <w:t>"页面，点击&lt;新建&gt;按钮，新建</w:t>
      </w:r>
      <w:r>
        <w:rPr>
          <w:rFonts w:hint="eastAsia"/>
        </w:rPr>
        <w:t>RIP实例。</w:t>
      </w:r>
    </w:p>
    <w:p w14:paraId="12021249">
      <w:pPr>
        <w:pStyle w:val="188"/>
      </w:pPr>
      <w:r>
        <w:rPr>
          <w:rFonts w:hint="eastAsia"/>
        </w:rPr>
        <w:t>新建RIP实例</w:t>
      </w:r>
    </w:p>
    <w:p w14:paraId="74842B12">
      <w:pPr>
        <w:pStyle w:val="175"/>
      </w:pPr>
      <w:r>
        <w:drawing>
          <wp:inline distT="0" distB="0" distL="114300" distR="114300">
            <wp:extent cx="5191125" cy="4848225"/>
            <wp:effectExtent l="0" t="0" r="0" b="9525"/>
            <wp:docPr id="153458204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49" name="图片 15"/>
                    <pic:cNvPicPr>
                      <a:picLocks noChangeAspect="1"/>
                    </pic:cNvPicPr>
                  </pic:nvPicPr>
                  <pic:blipFill>
                    <a:blip r:embed="rId314"/>
                    <a:stretch>
                      <a:fillRect/>
                    </a:stretch>
                  </pic:blipFill>
                  <pic:spPr>
                    <a:xfrm>
                      <a:off x="0" y="0"/>
                      <a:ext cx="5195822" cy="4853176"/>
                    </a:xfrm>
                    <a:prstGeom prst="rect">
                      <a:avLst/>
                    </a:prstGeom>
                    <a:noFill/>
                    <a:ln>
                      <a:noFill/>
                    </a:ln>
                  </pic:spPr>
                </pic:pic>
              </a:graphicData>
            </a:graphic>
          </wp:inline>
        </w:drawing>
      </w:r>
    </w:p>
    <w:p w14:paraId="0D75465B"/>
    <w:p w14:paraId="6718CB6D">
      <w:r>
        <w:rPr>
          <w:rFonts w:hint="eastAsia" w:ascii="微软雅黑" w:hAnsi="微软雅黑" w:eastAsia="微软雅黑" w:cs="微软雅黑"/>
          <w:shd w:val="clear" w:color="auto" w:fill="FFFFFF"/>
        </w:rPr>
        <w:t>进入</w:t>
      </w:r>
      <w:r>
        <w:rPr>
          <w:rFonts w:eastAsia="Segoe UI"/>
          <w:shd w:val="clear" w:color="auto" w:fill="FFFFFF"/>
        </w:rPr>
        <w:t>"</w:t>
      </w:r>
      <w:r>
        <w:rPr>
          <w:rFonts w:hint="eastAsia"/>
          <w:shd w:val="clear" w:color="auto" w:fill="FFFFFF"/>
        </w:rPr>
        <w:t>网络配置</w:t>
      </w:r>
      <w:r>
        <w:rPr>
          <w:rFonts w:eastAsia="Segoe UI"/>
          <w:shd w:val="clear" w:color="auto" w:fill="FFFFFF"/>
        </w:rPr>
        <w:t xml:space="preserve">&gt; </w:t>
      </w:r>
      <w:r>
        <w:rPr>
          <w:rFonts w:hint="eastAsia"/>
          <w:shd w:val="clear" w:color="auto" w:fill="FFFFFF"/>
        </w:rPr>
        <w:t>路由管理</w:t>
      </w:r>
      <w:r>
        <w:rPr>
          <w:rFonts w:eastAsia="Segoe UI"/>
          <w:shd w:val="clear" w:color="auto" w:fill="FFFFFF"/>
        </w:rPr>
        <w:t>&gt;</w:t>
      </w:r>
      <w:r>
        <w:rPr>
          <w:rFonts w:hint="eastAsia"/>
        </w:rPr>
        <w:t>RIP信息</w:t>
      </w:r>
      <w:r>
        <w:t>"</w:t>
      </w:r>
      <w:r>
        <w:rPr>
          <w:rFonts w:hint="eastAsia" w:cs="Times New Roman"/>
        </w:rPr>
        <w:t>页面，</w:t>
      </w:r>
      <w:r>
        <w:rPr>
          <w:rFonts w:hint="eastAsia"/>
        </w:rPr>
        <w:t>点击RIP实例对应的“RIP网络”，</w:t>
      </w:r>
      <w:r>
        <w:rPr>
          <w:rFonts w:hint="eastAsia" w:cs="Times New Roman"/>
        </w:rPr>
        <w:t>点击</w:t>
      </w:r>
      <w:r>
        <w:t>&lt;</w:t>
      </w:r>
      <w:r>
        <w:rPr>
          <w:rFonts w:hint="eastAsia" w:cs="Times New Roman"/>
        </w:rPr>
        <w:t>新建</w:t>
      </w:r>
      <w:r>
        <w:t>&gt;</w:t>
      </w:r>
      <w:r>
        <w:rPr>
          <w:rFonts w:hint="eastAsia"/>
        </w:rPr>
        <w:t>配置RIP网络。</w:t>
      </w:r>
    </w:p>
    <w:p w14:paraId="3D41018B">
      <w:pPr>
        <w:pStyle w:val="188"/>
      </w:pPr>
      <w:r>
        <w:rPr>
          <w:rFonts w:hint="eastAsia"/>
        </w:rPr>
        <w:t>新建RIP网络</w:t>
      </w:r>
    </w:p>
    <w:p w14:paraId="01E50F63">
      <w:pPr>
        <w:pStyle w:val="175"/>
      </w:pPr>
      <w:r>
        <w:drawing>
          <wp:inline distT="0" distB="0" distL="114300" distR="114300">
            <wp:extent cx="5768340" cy="1495425"/>
            <wp:effectExtent l="0" t="0" r="3810" b="0"/>
            <wp:docPr id="153458205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50" name="图片 16"/>
                    <pic:cNvPicPr>
                      <a:picLocks noChangeAspect="1"/>
                    </pic:cNvPicPr>
                  </pic:nvPicPr>
                  <pic:blipFill>
                    <a:blip r:embed="rId315"/>
                    <a:stretch>
                      <a:fillRect/>
                    </a:stretch>
                  </pic:blipFill>
                  <pic:spPr>
                    <a:xfrm>
                      <a:off x="0" y="0"/>
                      <a:ext cx="5779906" cy="1498361"/>
                    </a:xfrm>
                    <a:prstGeom prst="rect">
                      <a:avLst/>
                    </a:prstGeom>
                    <a:noFill/>
                    <a:ln>
                      <a:noFill/>
                    </a:ln>
                  </pic:spPr>
                </pic:pic>
              </a:graphicData>
            </a:graphic>
          </wp:inline>
        </w:drawing>
      </w:r>
    </w:p>
    <w:p w14:paraId="4B8BECEE">
      <w:pPr>
        <w:pStyle w:val="202"/>
      </w:pPr>
      <w:r>
        <w:rPr>
          <w:rFonts w:hint="eastAsia"/>
          <w:lang w:eastAsia="zh-CN"/>
        </w:rPr>
        <w:t>配置</w:t>
      </w:r>
      <w:r>
        <w:rPr>
          <w:rFonts w:hint="eastAsia"/>
        </w:rPr>
        <w:t>Device2、Device3</w:t>
      </w:r>
    </w:p>
    <w:p w14:paraId="520D477F">
      <w:r>
        <w:rPr>
          <w:rFonts w:hint="eastAsia"/>
        </w:rPr>
        <w:t>配置方式与Device</w:t>
      </w:r>
      <w:r>
        <w:t>1</w:t>
      </w:r>
      <w:r>
        <w:rPr>
          <w:rFonts w:hint="eastAsia"/>
        </w:rPr>
        <w:t>相同，不再赘述。</w:t>
      </w:r>
    </w:p>
    <w:p w14:paraId="6131B500">
      <w:pPr>
        <w:pStyle w:val="4"/>
      </w:pPr>
      <w:bookmarkStart w:id="2484" w:name="_Toc196728092"/>
      <w:bookmarkStart w:id="2485" w:name="_Toc172218133"/>
      <w:bookmarkStart w:id="2486" w:name="_Toc194080760"/>
      <w:r>
        <w:t>RIPng</w:t>
      </w:r>
      <w:bookmarkEnd w:id="2484"/>
      <w:bookmarkEnd w:id="2485"/>
      <w:bookmarkEnd w:id="2486"/>
    </w:p>
    <w:p w14:paraId="4AF9BA3C">
      <w:pPr>
        <w:pStyle w:val="5"/>
      </w:pPr>
      <w:bookmarkStart w:id="2487" w:name="_Toc194080761"/>
      <w:bookmarkStart w:id="2488" w:name="_Toc172218134"/>
      <w:bookmarkStart w:id="2489" w:name="_Toc196728093"/>
      <w:r>
        <w:rPr>
          <w:rFonts w:hint="eastAsia"/>
        </w:rPr>
        <w:t>RIPng简介</w:t>
      </w:r>
      <w:bookmarkEnd w:id="2487"/>
      <w:bookmarkEnd w:id="2488"/>
      <w:bookmarkEnd w:id="2489"/>
    </w:p>
    <w:p w14:paraId="696A6596">
      <w:r>
        <w:rPr>
          <w:rFonts w:hint="eastAsia"/>
        </w:rPr>
        <w:t>RIPng（RIP next generation，下一代RIP协议）是基于D-V（Distance Vector，距离矢量）算法的路由协议，用跳数来衡量到达目的主机的距离（也称为度量值或开销）。在RIPng协议中，从一个路由器到其直连网络的跳数为0，到通过另一台路由器可达的网络的跳数为1，如此类推，当跳数大于或等于16时，目的网络或主机就被定义为不可达。</w:t>
      </w:r>
    </w:p>
    <w:p w14:paraId="31C82ADF">
      <w:r>
        <w:rPr>
          <w:rFonts w:hint="eastAsia"/>
        </w:rPr>
        <w:t>RIPng是在IPv6网络中应用的RIP协议，并在原RIP协议基础上进行了一些扩展。多用于规模较小和结构较简单的IPv6网络环境中，是基于距离矢量的路由协议，使用跳数（Hop Count）来衡量到达目的地址的距离。</w:t>
      </w:r>
    </w:p>
    <w:p w14:paraId="67217EC2">
      <w:pPr>
        <w:pStyle w:val="5"/>
      </w:pPr>
      <w:bookmarkStart w:id="2490" w:name="_Toc196728094"/>
      <w:bookmarkStart w:id="2491" w:name="_Toc172218135"/>
      <w:bookmarkStart w:id="2492" w:name="_Toc194080762"/>
      <w:r>
        <w:rPr>
          <w:rFonts w:hint="eastAsia"/>
        </w:rPr>
        <w:t>配置RIPng</w:t>
      </w:r>
      <w:bookmarkEnd w:id="2490"/>
      <w:bookmarkEnd w:id="2491"/>
      <w:bookmarkEnd w:id="2492"/>
    </w:p>
    <w:p w14:paraId="0B08B8D7">
      <w:pPr>
        <w:pStyle w:val="6"/>
      </w:pPr>
      <w:r>
        <w:rPr>
          <w:rFonts w:hint="eastAsia"/>
        </w:rPr>
        <w:t>新建RIPng实例</w:t>
      </w:r>
    </w:p>
    <w:p w14:paraId="68A7B3D8">
      <w:r>
        <w:rPr>
          <w:rFonts w:hint="eastAsia"/>
        </w:rPr>
        <w:t>在导航栏中选择“网络配置&gt;路由管理 &gt;</w:t>
      </w:r>
      <w:r>
        <w:t xml:space="preserve"> </w:t>
      </w:r>
      <w:r>
        <w:rPr>
          <w:rFonts w:hint="eastAsia"/>
        </w:rPr>
        <w:t>RIP信息”，进入RIP信息页面，可以查看已创建的RIPng实例信息。勾选“启用”后开启RIPng路由功能，禁用会删除所有RIPng实例。启用后可以新建RIPng实例，如果未启用，新建时将会自动启用。</w:t>
      </w:r>
    </w:p>
    <w:p w14:paraId="04AB57F7">
      <w:pPr>
        <w:pStyle w:val="188"/>
      </w:pPr>
      <w:r>
        <w:rPr>
          <w:rFonts w:hint="eastAsia"/>
        </w:rPr>
        <w:t>RIPng信息列表</w:t>
      </w:r>
    </w:p>
    <w:p w14:paraId="3C5A40D3">
      <w:r>
        <w:drawing>
          <wp:inline distT="0" distB="0" distL="0" distR="0">
            <wp:extent cx="5267325" cy="1078230"/>
            <wp:effectExtent l="0" t="0" r="0" b="7620"/>
            <wp:docPr id="1534582053" name="图片 153458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53" name="图片 1534582053"/>
                    <pic:cNvPicPr>
                      <a:picLocks noChangeAspect="1"/>
                    </pic:cNvPicPr>
                  </pic:nvPicPr>
                  <pic:blipFill>
                    <a:blip r:embed="rId316"/>
                    <a:stretch>
                      <a:fillRect/>
                    </a:stretch>
                  </pic:blipFill>
                  <pic:spPr>
                    <a:xfrm>
                      <a:off x="0" y="0"/>
                      <a:ext cx="5305600" cy="1086186"/>
                    </a:xfrm>
                    <a:prstGeom prst="rect">
                      <a:avLst/>
                    </a:prstGeom>
                  </pic:spPr>
                </pic:pic>
              </a:graphicData>
            </a:graphic>
          </wp:inline>
        </w:drawing>
      </w:r>
    </w:p>
    <w:p w14:paraId="6D75AAED"/>
    <w:p w14:paraId="562B42DA">
      <w:r>
        <w:rPr>
          <w:rFonts w:hint="eastAsia"/>
        </w:rPr>
        <w:t>点击&lt;新建&gt;，新建RIPng实例</w:t>
      </w:r>
      <w:r>
        <w:t>，</w:t>
      </w:r>
      <w:r>
        <w:rPr>
          <w:rFonts w:hint="eastAsia"/>
        </w:rPr>
        <w:t>配置RIPng协议的相关信息，点击&lt;提交&gt;。</w:t>
      </w:r>
    </w:p>
    <w:p w14:paraId="54B08FAB">
      <w:pPr>
        <w:pStyle w:val="188"/>
      </w:pPr>
      <w:r>
        <w:rPr>
          <w:rFonts w:hint="eastAsia"/>
        </w:rPr>
        <w:t>新建RIPng信息</w:t>
      </w:r>
    </w:p>
    <w:p w14:paraId="1484713C">
      <w:pPr>
        <w:pStyle w:val="175"/>
      </w:pPr>
      <w:r>
        <w:drawing>
          <wp:inline distT="0" distB="0" distL="0" distR="0">
            <wp:extent cx="5368290" cy="4355465"/>
            <wp:effectExtent l="0" t="0" r="3810" b="6985"/>
            <wp:docPr id="1534582054" name="图片 153458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54" name="图片 1534582054"/>
                    <pic:cNvPicPr>
                      <a:picLocks noChangeAspect="1"/>
                    </pic:cNvPicPr>
                  </pic:nvPicPr>
                  <pic:blipFill>
                    <a:blip r:embed="rId317"/>
                    <a:stretch>
                      <a:fillRect/>
                    </a:stretch>
                  </pic:blipFill>
                  <pic:spPr>
                    <a:xfrm>
                      <a:off x="0" y="0"/>
                      <a:ext cx="5373019" cy="4359620"/>
                    </a:xfrm>
                    <a:prstGeom prst="rect">
                      <a:avLst/>
                    </a:prstGeom>
                  </pic:spPr>
                </pic:pic>
              </a:graphicData>
            </a:graphic>
          </wp:inline>
        </w:drawing>
      </w:r>
    </w:p>
    <w:p w14:paraId="37F8C3AB"/>
    <w:p w14:paraId="5D774BCA">
      <w:pPr>
        <w:pStyle w:val="183"/>
      </w:pPr>
      <w:r>
        <w:rPr>
          <w:rFonts w:hint="eastAsia"/>
        </w:rPr>
        <w:t>RIPng实例配置详细信息说明</w:t>
      </w:r>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4"/>
        <w:gridCol w:w="6634"/>
      </w:tblGrid>
      <w:tr w14:paraId="3FF2626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4" w:type="dxa"/>
            <w:tcBorders>
              <w:tl2br w:val="nil"/>
              <w:tr2bl w:val="nil"/>
            </w:tcBorders>
            <w:shd w:val="clear" w:color="auto" w:fill="538135" w:themeFill="accent6" w:themeFillShade="BF"/>
            <w:vAlign w:val="center"/>
          </w:tcPr>
          <w:p w14:paraId="44A367F6">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34" w:type="dxa"/>
            <w:tcBorders>
              <w:tl2br w:val="nil"/>
              <w:tr2bl w:val="nil"/>
            </w:tcBorders>
            <w:shd w:val="clear" w:color="auto" w:fill="538135" w:themeFill="accent6" w:themeFillShade="BF"/>
            <w:vAlign w:val="center"/>
          </w:tcPr>
          <w:p w14:paraId="4BD83191">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97805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4" w:type="dxa"/>
            <w:shd w:val="clear" w:color="auto" w:fill="auto"/>
          </w:tcPr>
          <w:p w14:paraId="50B65513">
            <w:pPr>
              <w:pStyle w:val="186"/>
              <w:widowControl w:val="0"/>
              <w:spacing w:line="240" w:lineRule="auto"/>
              <w:ind w:firstLine="0"/>
              <w:jc w:val="left"/>
            </w:pPr>
            <w:r>
              <w:rPr>
                <w:rFonts w:hint="eastAsia"/>
              </w:rPr>
              <w:t>VRF</w:t>
            </w:r>
          </w:p>
        </w:tc>
        <w:tc>
          <w:tcPr>
            <w:tcW w:w="6634" w:type="dxa"/>
            <w:shd w:val="clear" w:color="auto" w:fill="auto"/>
          </w:tcPr>
          <w:p w14:paraId="7DEA8833">
            <w:pPr>
              <w:pStyle w:val="186"/>
              <w:widowControl w:val="0"/>
              <w:spacing w:line="240" w:lineRule="auto"/>
              <w:ind w:firstLine="0"/>
              <w:jc w:val="left"/>
            </w:pPr>
            <w:r>
              <w:rPr>
                <w:rFonts w:hint="eastAsia"/>
              </w:rPr>
              <w:t>指定RIPng实例绑定的VRF。</w:t>
            </w:r>
            <w:r>
              <w:t>创建多个</w:t>
            </w:r>
            <w:r>
              <w:rPr>
                <w:rFonts w:hint="eastAsia"/>
              </w:rPr>
              <w:t>RIPng</w:t>
            </w:r>
            <w:r>
              <w:t>实例时需要为每个实例绑定不同VRF使用</w:t>
            </w:r>
            <w:r>
              <w:rPr>
                <w:rFonts w:hint="eastAsia"/>
              </w:rPr>
              <w:t>，每个实例只能绑定一个VRF。</w:t>
            </w:r>
          </w:p>
        </w:tc>
      </w:tr>
      <w:tr w14:paraId="7846D0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4" w:type="dxa"/>
            <w:shd w:val="clear" w:color="auto" w:fill="auto"/>
          </w:tcPr>
          <w:p w14:paraId="7C7C1FE3">
            <w:pPr>
              <w:pStyle w:val="186"/>
              <w:widowControl w:val="0"/>
              <w:spacing w:line="240" w:lineRule="auto"/>
              <w:ind w:firstLine="0"/>
              <w:jc w:val="left"/>
            </w:pPr>
            <w:r>
              <w:rPr>
                <w:rFonts w:hint="eastAsia"/>
              </w:rPr>
              <w:t>描述</w:t>
            </w:r>
          </w:p>
        </w:tc>
        <w:tc>
          <w:tcPr>
            <w:tcW w:w="6634" w:type="dxa"/>
            <w:shd w:val="clear" w:color="auto" w:fill="auto"/>
          </w:tcPr>
          <w:p w14:paraId="40E04F16">
            <w:pPr>
              <w:pStyle w:val="186"/>
              <w:widowControl w:val="0"/>
              <w:spacing w:line="240" w:lineRule="auto"/>
              <w:ind w:firstLine="0"/>
              <w:jc w:val="left"/>
            </w:pPr>
            <w:r>
              <w:rPr>
                <w:rFonts w:hint="eastAsia"/>
              </w:rPr>
              <w:t>RIPng实例的描述信息。</w:t>
            </w:r>
          </w:p>
        </w:tc>
      </w:tr>
      <w:tr w14:paraId="3DF647F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4" w:type="dxa"/>
            <w:shd w:val="clear" w:color="auto" w:fill="auto"/>
          </w:tcPr>
          <w:p w14:paraId="4FABC40D">
            <w:pPr>
              <w:pStyle w:val="186"/>
              <w:widowControl w:val="0"/>
              <w:spacing w:line="240" w:lineRule="auto"/>
              <w:ind w:firstLine="0"/>
              <w:jc w:val="left"/>
            </w:pPr>
            <w:r>
              <w:rPr>
                <w:rFonts w:hint="eastAsia"/>
              </w:rPr>
              <w:t>默认开销</w:t>
            </w:r>
          </w:p>
        </w:tc>
        <w:tc>
          <w:tcPr>
            <w:tcW w:w="6634" w:type="dxa"/>
            <w:shd w:val="clear" w:color="auto" w:fill="auto"/>
          </w:tcPr>
          <w:p w14:paraId="0B8D11F3">
            <w:pPr>
              <w:pStyle w:val="186"/>
              <w:widowControl w:val="0"/>
              <w:spacing w:line="240" w:lineRule="auto"/>
              <w:ind w:firstLine="0"/>
              <w:jc w:val="left"/>
            </w:pPr>
            <w:r>
              <w:rPr>
                <w:rFonts w:hint="eastAsia"/>
              </w:rPr>
              <w:t>运行RIPng协议所需的开销开销，范围1-16。</w:t>
            </w:r>
          </w:p>
        </w:tc>
      </w:tr>
      <w:tr w14:paraId="256EE1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4" w:type="dxa"/>
            <w:shd w:val="clear" w:color="auto" w:fill="auto"/>
          </w:tcPr>
          <w:p w14:paraId="2C344492">
            <w:pPr>
              <w:pStyle w:val="186"/>
              <w:widowControl w:val="0"/>
              <w:spacing w:line="240" w:lineRule="auto"/>
              <w:ind w:firstLine="0"/>
              <w:jc w:val="left"/>
            </w:pPr>
            <w:r>
              <w:rPr>
                <w:rFonts w:hint="eastAsia"/>
              </w:rPr>
              <w:t>向外发布缺省路由</w:t>
            </w:r>
          </w:p>
        </w:tc>
        <w:tc>
          <w:tcPr>
            <w:tcW w:w="6634" w:type="dxa"/>
            <w:shd w:val="clear" w:color="auto" w:fill="auto"/>
          </w:tcPr>
          <w:p w14:paraId="6C376D74">
            <w:pPr>
              <w:pStyle w:val="186"/>
              <w:widowControl w:val="0"/>
              <w:spacing w:line="240" w:lineRule="auto"/>
              <w:ind w:firstLine="0"/>
              <w:jc w:val="left"/>
            </w:pPr>
            <w:r>
              <w:rPr>
                <w:rFonts w:hint="eastAsia"/>
              </w:rPr>
              <w:t>设置是否将缺省路由发布到其它使用RIP协议的路由器。默认情况下，RIPng协议不发送缺省路由。</w:t>
            </w:r>
          </w:p>
        </w:tc>
      </w:tr>
      <w:tr w14:paraId="73B68C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4" w:type="dxa"/>
            <w:shd w:val="clear" w:color="auto" w:fill="auto"/>
          </w:tcPr>
          <w:p w14:paraId="29DBDCB0">
            <w:pPr>
              <w:pStyle w:val="186"/>
              <w:widowControl w:val="0"/>
              <w:spacing w:line="240" w:lineRule="auto"/>
              <w:ind w:firstLine="0"/>
              <w:jc w:val="left"/>
            </w:pPr>
            <w:r>
              <w:rPr>
                <w:rFonts w:hint="eastAsia"/>
              </w:rPr>
              <w:t>RIP定时器</w:t>
            </w:r>
          </w:p>
        </w:tc>
        <w:tc>
          <w:tcPr>
            <w:tcW w:w="6634" w:type="dxa"/>
            <w:shd w:val="clear" w:color="auto" w:fill="auto"/>
          </w:tcPr>
          <w:p w14:paraId="72AE1A03">
            <w:pPr>
              <w:pStyle w:val="186"/>
              <w:widowControl w:val="0"/>
              <w:spacing w:line="240" w:lineRule="auto"/>
              <w:ind w:firstLine="0"/>
              <w:jc w:val="left"/>
            </w:pPr>
            <w:r>
              <w:rPr>
                <w:rFonts w:hint="eastAsia"/>
              </w:rPr>
              <w:t>配置RIPng实例定时器参数：</w:t>
            </w:r>
          </w:p>
          <w:p w14:paraId="1C28C946">
            <w:pPr>
              <w:pStyle w:val="207"/>
              <w:numPr>
                <w:ilvl w:val="0"/>
                <w:numId w:val="24"/>
              </w:numPr>
              <w:rPr>
                <w:lang w:eastAsia="zh-CN"/>
              </w:rPr>
            </w:pPr>
            <w:r>
              <w:rPr>
                <w:rFonts w:hint="eastAsia"/>
                <w:lang w:eastAsia="zh-CN"/>
              </w:rPr>
              <w:t>更新：设置向所有邻居发送全部RIPng路由所间隔的时间，单位为秒。</w:t>
            </w:r>
          </w:p>
          <w:p w14:paraId="63BE305C">
            <w:pPr>
              <w:pStyle w:val="207"/>
              <w:numPr>
                <w:ilvl w:val="0"/>
                <w:numId w:val="24"/>
              </w:numPr>
              <w:rPr>
                <w:lang w:eastAsia="zh-CN"/>
              </w:rPr>
            </w:pPr>
            <w:r>
              <w:rPr>
                <w:rFonts w:hint="eastAsia"/>
                <w:lang w:eastAsia="zh-CN"/>
              </w:rPr>
              <w:t>超时：设置RIPng协议的超时时间，单位为秒。如果一条路由在到达超时时间后仍未收到更新信息，该路由的度量就会被标记为</w:t>
            </w:r>
            <w:r>
              <w:rPr>
                <w:lang w:eastAsia="zh-CN"/>
              </w:rPr>
              <w:t>16</w:t>
            </w:r>
            <w:r>
              <w:rPr>
                <w:rFonts w:hint="eastAsia"/>
                <w:lang w:eastAsia="zh-CN"/>
              </w:rPr>
              <w:t>，表示不可达路由。</w:t>
            </w:r>
          </w:p>
          <w:p w14:paraId="12522087">
            <w:pPr>
              <w:pStyle w:val="207"/>
              <w:numPr>
                <w:ilvl w:val="0"/>
                <w:numId w:val="24"/>
              </w:numPr>
              <w:rPr>
                <w:lang w:eastAsia="zh-CN"/>
              </w:rPr>
            </w:pPr>
            <w:r>
              <w:rPr>
                <w:rFonts w:hint="eastAsia"/>
                <w:lang w:eastAsia="zh-CN"/>
              </w:rPr>
              <w:t>失效：设置RIPng协议的失效时间，单位为秒。度量被标记为</w:t>
            </w:r>
            <w:r>
              <w:rPr>
                <w:lang w:eastAsia="zh-CN"/>
              </w:rPr>
              <w:t>16</w:t>
            </w:r>
            <w:r>
              <w:rPr>
                <w:rFonts w:hint="eastAsia"/>
                <w:lang w:eastAsia="zh-CN"/>
              </w:rPr>
              <w:t>的不可达路由会被一直发布到其它</w:t>
            </w:r>
            <w:r>
              <w:rPr>
                <w:lang w:eastAsia="zh-CN"/>
              </w:rPr>
              <w:t>RIP</w:t>
            </w:r>
            <w:r>
              <w:rPr>
                <w:rFonts w:hint="eastAsia"/>
                <w:lang w:eastAsia="zh-CN"/>
              </w:rPr>
              <w:t>协议路由，如果到达失效时间该路由仍未被更新，将会从</w:t>
            </w:r>
            <w:r>
              <w:rPr>
                <w:lang w:eastAsia="zh-CN"/>
              </w:rPr>
              <w:t>RIP</w:t>
            </w:r>
            <w:r>
              <w:rPr>
                <w:rFonts w:hint="eastAsia"/>
                <w:lang w:eastAsia="zh-CN"/>
              </w:rPr>
              <w:t>路由信息表中删除。</w:t>
            </w:r>
          </w:p>
        </w:tc>
      </w:tr>
      <w:tr w14:paraId="6FAE49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4" w:type="dxa"/>
            <w:shd w:val="clear" w:color="auto" w:fill="auto"/>
          </w:tcPr>
          <w:p w14:paraId="3D2A5A21">
            <w:pPr>
              <w:pStyle w:val="186"/>
              <w:widowControl w:val="0"/>
              <w:spacing w:line="240" w:lineRule="auto"/>
              <w:ind w:firstLine="0"/>
              <w:jc w:val="left"/>
            </w:pPr>
            <w:r>
              <w:rPr>
                <w:rFonts w:hint="eastAsia"/>
              </w:rPr>
              <w:t>路由重发布</w:t>
            </w:r>
          </w:p>
        </w:tc>
        <w:tc>
          <w:tcPr>
            <w:tcW w:w="6634" w:type="dxa"/>
            <w:shd w:val="clear" w:color="auto" w:fill="auto"/>
          </w:tcPr>
          <w:p w14:paraId="1CD067F3">
            <w:pPr>
              <w:pStyle w:val="186"/>
              <w:widowControl w:val="0"/>
              <w:spacing w:line="240" w:lineRule="auto"/>
              <w:ind w:firstLine="0"/>
              <w:jc w:val="left"/>
            </w:pPr>
            <w:r>
              <w:rPr>
                <w:rFonts w:hint="eastAsia"/>
              </w:rPr>
              <w:t>配置RIPng实例路由重发布信息：</w:t>
            </w:r>
          </w:p>
          <w:p w14:paraId="0230A574">
            <w:pPr>
              <w:pStyle w:val="207"/>
              <w:numPr>
                <w:ilvl w:val="0"/>
                <w:numId w:val="24"/>
              </w:numPr>
              <w:rPr>
                <w:lang w:eastAsia="zh-CN"/>
              </w:rPr>
            </w:pPr>
            <w:r>
              <w:rPr>
                <w:rFonts w:hint="eastAsia"/>
                <w:lang w:eastAsia="zh-CN"/>
              </w:rPr>
              <w:t>直连路由：设置是否通过RIPng协议重发布设备通过直连网络学习到的路由信息，并设置所要学习的直连路由的跳数。</w:t>
            </w:r>
          </w:p>
          <w:p w14:paraId="1F481441">
            <w:pPr>
              <w:pStyle w:val="207"/>
              <w:numPr>
                <w:ilvl w:val="0"/>
                <w:numId w:val="24"/>
              </w:numPr>
              <w:rPr>
                <w:lang w:eastAsia="zh-CN"/>
              </w:rPr>
            </w:pPr>
            <w:r>
              <w:rPr>
                <w:rFonts w:hint="eastAsia"/>
                <w:lang w:eastAsia="zh-CN"/>
              </w:rPr>
              <w:t>静态路由：设置是否通过RIPng协议重发布设备学习到的静态路由信息，并设置所要学习的静态路由的跳数。</w:t>
            </w:r>
          </w:p>
          <w:p w14:paraId="2B3DD589">
            <w:pPr>
              <w:pStyle w:val="207"/>
              <w:numPr>
                <w:ilvl w:val="0"/>
                <w:numId w:val="24"/>
              </w:numPr>
              <w:rPr>
                <w:lang w:eastAsia="zh-CN"/>
              </w:rPr>
            </w:pPr>
            <w:r>
              <w:rPr>
                <w:rFonts w:hint="eastAsia"/>
                <w:lang w:eastAsia="zh-CN"/>
              </w:rPr>
              <w:t>OSPFv3路由：设置是否通过RIPng协议重发布设备通过</w:t>
            </w:r>
            <w:r>
              <w:rPr>
                <w:lang w:eastAsia="zh-CN"/>
              </w:rPr>
              <w:t>OSPFv3</w:t>
            </w:r>
            <w:r>
              <w:rPr>
                <w:rFonts w:hint="eastAsia"/>
                <w:lang w:eastAsia="zh-CN"/>
              </w:rPr>
              <w:t>协议学习到的路由信息，并设置所要学习的</w:t>
            </w:r>
            <w:r>
              <w:rPr>
                <w:lang w:eastAsia="zh-CN"/>
              </w:rPr>
              <w:t>OSPFv3</w:t>
            </w:r>
            <w:r>
              <w:rPr>
                <w:rFonts w:hint="eastAsia"/>
                <w:lang w:eastAsia="zh-CN"/>
              </w:rPr>
              <w:t>路由的跳数。</w:t>
            </w:r>
          </w:p>
          <w:p w14:paraId="7E35C407">
            <w:pPr>
              <w:pStyle w:val="207"/>
              <w:numPr>
                <w:ilvl w:val="0"/>
                <w:numId w:val="24"/>
              </w:numPr>
              <w:rPr>
                <w:lang w:eastAsia="zh-CN"/>
              </w:rPr>
            </w:pPr>
            <w:r>
              <w:rPr>
                <w:rFonts w:hint="eastAsia"/>
                <w:lang w:eastAsia="zh-CN"/>
              </w:rPr>
              <w:t>BGP4+路由：设置是否通过RIPng协议重发布设备通过</w:t>
            </w:r>
            <w:r>
              <w:rPr>
                <w:lang w:eastAsia="zh-CN"/>
              </w:rPr>
              <w:t>BGP4+</w:t>
            </w:r>
            <w:r>
              <w:rPr>
                <w:rFonts w:hint="eastAsia"/>
                <w:lang w:eastAsia="zh-CN"/>
              </w:rPr>
              <w:t>协议学习到的路由信息，并设置所要学习的</w:t>
            </w:r>
            <w:r>
              <w:rPr>
                <w:lang w:eastAsia="zh-CN"/>
              </w:rPr>
              <w:t>BGP4+</w:t>
            </w:r>
            <w:r>
              <w:rPr>
                <w:rFonts w:hint="eastAsia"/>
                <w:lang w:eastAsia="zh-CN"/>
              </w:rPr>
              <w:t>路由的跳数。</w:t>
            </w:r>
          </w:p>
        </w:tc>
      </w:tr>
    </w:tbl>
    <w:p w14:paraId="0C55615C"/>
    <w:p w14:paraId="4284BC72">
      <w:pPr>
        <w:pStyle w:val="6"/>
      </w:pPr>
      <w:r>
        <w:rPr>
          <w:rFonts w:hint="eastAsia"/>
        </w:rPr>
        <w:t>配置RIPng网络</w:t>
      </w:r>
    </w:p>
    <w:p w14:paraId="793E39D4">
      <w:r>
        <w:rPr>
          <w:rFonts w:hint="eastAsia"/>
        </w:rPr>
        <w:t>在RIPng信息页面的RIPng信息列表中，点击需要修改的RIPng实例对应的“RIPng网络”，查看该RIPng实例中启用的RIPng协议的网络信息。</w:t>
      </w:r>
    </w:p>
    <w:p w14:paraId="633D60BE">
      <w:pPr>
        <w:pStyle w:val="188"/>
      </w:pPr>
      <w:r>
        <w:rPr>
          <w:rFonts w:hint="eastAsia"/>
        </w:rPr>
        <w:t>RIPng网络显示界面</w:t>
      </w:r>
    </w:p>
    <w:p w14:paraId="44B53410">
      <w:pPr>
        <w:pStyle w:val="175"/>
      </w:pPr>
      <w:r>
        <w:drawing>
          <wp:inline distT="0" distB="0" distL="0" distR="0">
            <wp:extent cx="5553075" cy="1764030"/>
            <wp:effectExtent l="0" t="0" r="0" b="7620"/>
            <wp:docPr id="1534582055" name="图片 153458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55" name="图片 1534582055"/>
                    <pic:cNvPicPr>
                      <a:picLocks noChangeAspect="1"/>
                    </pic:cNvPicPr>
                  </pic:nvPicPr>
                  <pic:blipFill>
                    <a:blip r:embed="rId318"/>
                    <a:stretch>
                      <a:fillRect/>
                    </a:stretch>
                  </pic:blipFill>
                  <pic:spPr>
                    <a:xfrm>
                      <a:off x="0" y="0"/>
                      <a:ext cx="5622333" cy="1786617"/>
                    </a:xfrm>
                    <a:prstGeom prst="rect">
                      <a:avLst/>
                    </a:prstGeom>
                  </pic:spPr>
                </pic:pic>
              </a:graphicData>
            </a:graphic>
          </wp:inline>
        </w:drawing>
      </w:r>
    </w:p>
    <w:p w14:paraId="769B17E3"/>
    <w:p w14:paraId="36F043A5">
      <w:r>
        <w:rPr>
          <w:rFonts w:hint="eastAsia"/>
        </w:rPr>
        <w:t>在RIPng网络页面点击&lt;新建&gt;按钮，添加需要启用RIPng协议的网络（格式为I</w:t>
      </w:r>
      <w:r>
        <w:t>P</w:t>
      </w:r>
      <w:r>
        <w:rPr>
          <w:rFonts w:hint="eastAsia"/>
        </w:rPr>
        <w:t>v</w:t>
      </w:r>
      <w:r>
        <w:t>6</w:t>
      </w:r>
      <w:r>
        <w:rPr>
          <w:rFonts w:hint="eastAsia"/>
        </w:rPr>
        <w:t>地址/掩码，例如</w:t>
      </w:r>
      <w:r>
        <w:t>2002::1</w:t>
      </w:r>
      <w:r>
        <w:rPr>
          <w:rFonts w:hint="eastAsia"/>
        </w:rPr>
        <w:t>/</w:t>
      </w:r>
      <w:r>
        <w:t>96</w:t>
      </w:r>
      <w:r>
        <w:rPr>
          <w:rFonts w:hint="eastAsia"/>
        </w:rPr>
        <w:t>），点击&lt;提交&gt;按钮，完成RIPng网络的配置。</w:t>
      </w:r>
    </w:p>
    <w:p w14:paraId="3A5FE53D">
      <w:pPr>
        <w:pStyle w:val="188"/>
      </w:pPr>
      <w:r>
        <w:rPr>
          <w:rFonts w:hint="eastAsia"/>
        </w:rPr>
        <w:t>RIPng网络配置界面</w:t>
      </w:r>
    </w:p>
    <w:p w14:paraId="0BEA15E7">
      <w:pPr>
        <w:pStyle w:val="175"/>
      </w:pPr>
      <w:r>
        <w:drawing>
          <wp:inline distT="0" distB="0" distL="0" distR="0">
            <wp:extent cx="5673090" cy="1099820"/>
            <wp:effectExtent l="0" t="0" r="3810" b="5080"/>
            <wp:docPr id="1534582056" name="图片 153458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56" name="图片 1534582056"/>
                    <pic:cNvPicPr>
                      <a:picLocks noChangeAspect="1"/>
                    </pic:cNvPicPr>
                  </pic:nvPicPr>
                  <pic:blipFill>
                    <a:blip r:embed="rId319"/>
                    <a:stretch>
                      <a:fillRect/>
                    </a:stretch>
                  </pic:blipFill>
                  <pic:spPr>
                    <a:xfrm>
                      <a:off x="0" y="0"/>
                      <a:ext cx="5687507" cy="1102806"/>
                    </a:xfrm>
                    <a:prstGeom prst="rect">
                      <a:avLst/>
                    </a:prstGeom>
                  </pic:spPr>
                </pic:pic>
              </a:graphicData>
            </a:graphic>
          </wp:inline>
        </w:drawing>
      </w:r>
    </w:p>
    <w:p w14:paraId="2E56EFFF"/>
    <w:p w14:paraId="5841E280">
      <w:pPr>
        <w:pStyle w:val="5"/>
      </w:pPr>
      <w:bookmarkStart w:id="2493" w:name="_Toc172218136"/>
      <w:bookmarkStart w:id="2494" w:name="_Toc194080763"/>
      <w:bookmarkStart w:id="2495" w:name="_Toc196728095"/>
      <w:r>
        <w:rPr>
          <w:rFonts w:hint="eastAsia"/>
        </w:rPr>
        <w:t>RIPng配置举例</w:t>
      </w:r>
      <w:bookmarkEnd w:id="2493"/>
      <w:bookmarkEnd w:id="2494"/>
      <w:bookmarkEnd w:id="2495"/>
    </w:p>
    <w:p w14:paraId="729B32AC">
      <w:pPr>
        <w:pStyle w:val="6"/>
      </w:pPr>
      <w:r>
        <w:rPr>
          <w:rFonts w:hint="eastAsia"/>
        </w:rPr>
        <w:t>组网需求</w:t>
      </w:r>
    </w:p>
    <w:p w14:paraId="46F3D916">
      <w:r>
        <w:rPr>
          <w:rFonts w:hint="eastAsia"/>
        </w:rPr>
        <w:t>如下图所示，在网络中有3台设备，设备配置接口IP地址，要求设备Device1、Device2、Device3开启RIPng进程创建RIPng实例，实现Device1、Device2和Device3网络互连组网图。</w:t>
      </w:r>
    </w:p>
    <w:p w14:paraId="13DBEA5A">
      <w:pPr>
        <w:pStyle w:val="175"/>
      </w:pPr>
      <w:r>
        <w:drawing>
          <wp:inline distT="0" distB="0" distL="114300" distR="114300">
            <wp:extent cx="4810125" cy="1603375"/>
            <wp:effectExtent l="0" t="0" r="9525" b="0"/>
            <wp:docPr id="153458205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51" name="图片 18"/>
                    <pic:cNvPicPr>
                      <a:picLocks noChangeAspect="1"/>
                    </pic:cNvPicPr>
                  </pic:nvPicPr>
                  <pic:blipFill>
                    <a:blip r:embed="rId320"/>
                    <a:stretch>
                      <a:fillRect/>
                    </a:stretch>
                  </pic:blipFill>
                  <pic:spPr>
                    <a:xfrm>
                      <a:off x="0" y="0"/>
                      <a:ext cx="4810125" cy="1603375"/>
                    </a:xfrm>
                    <a:prstGeom prst="rect">
                      <a:avLst/>
                    </a:prstGeom>
                    <a:noFill/>
                    <a:ln>
                      <a:noFill/>
                    </a:ln>
                  </pic:spPr>
                </pic:pic>
              </a:graphicData>
            </a:graphic>
          </wp:inline>
        </w:drawing>
      </w:r>
    </w:p>
    <w:p w14:paraId="76BA2B80">
      <w:pPr>
        <w:pStyle w:val="6"/>
      </w:pPr>
      <w:r>
        <w:rPr>
          <w:rFonts w:hint="eastAsia"/>
        </w:rPr>
        <w:t>配置步骤</w:t>
      </w:r>
    </w:p>
    <w:p w14:paraId="5F23BF2A">
      <w:pPr>
        <w:pStyle w:val="202"/>
      </w:pPr>
      <w:r>
        <w:rPr>
          <w:rFonts w:hint="eastAsia"/>
        </w:rPr>
        <w:t>按照组网图组网</w:t>
      </w:r>
    </w:p>
    <w:p w14:paraId="79699D39">
      <w:pPr>
        <w:pStyle w:val="202"/>
      </w:pPr>
      <w:r>
        <w:rPr>
          <w:rFonts w:hint="eastAsia"/>
        </w:rPr>
        <w:t>配置Device</w:t>
      </w:r>
      <w:r>
        <w:t>1</w:t>
      </w:r>
    </w:p>
    <w:p w14:paraId="63C19448">
      <w:r>
        <w:rPr>
          <w:rFonts w:hint="eastAsia"/>
        </w:rPr>
        <w:t>进入“网络配置&gt;接口配置&gt;物理接口”，点击&lt;操作&gt;按钮，配置设备接口地址。</w:t>
      </w:r>
    </w:p>
    <w:p w14:paraId="146282AC">
      <w:pPr>
        <w:pStyle w:val="188"/>
      </w:pPr>
      <w:r>
        <w:rPr>
          <w:rFonts w:hint="eastAsia"/>
        </w:rPr>
        <w:t>配置接口地址</w:t>
      </w:r>
    </w:p>
    <w:p w14:paraId="223BC545">
      <w:pPr>
        <w:pStyle w:val="175"/>
      </w:pPr>
      <w:r>
        <w:drawing>
          <wp:inline distT="0" distB="0" distL="114300" distR="114300">
            <wp:extent cx="4989830" cy="3703955"/>
            <wp:effectExtent l="0" t="0" r="1270" b="0"/>
            <wp:docPr id="153458205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52" name="图片 19"/>
                    <pic:cNvPicPr>
                      <a:picLocks noChangeAspect="1"/>
                    </pic:cNvPicPr>
                  </pic:nvPicPr>
                  <pic:blipFill>
                    <a:blip r:embed="rId321"/>
                    <a:stretch>
                      <a:fillRect/>
                    </a:stretch>
                  </pic:blipFill>
                  <pic:spPr>
                    <a:xfrm>
                      <a:off x="0" y="0"/>
                      <a:ext cx="4994828" cy="3707731"/>
                    </a:xfrm>
                    <a:prstGeom prst="rect">
                      <a:avLst/>
                    </a:prstGeom>
                    <a:noFill/>
                    <a:ln>
                      <a:noFill/>
                    </a:ln>
                  </pic:spPr>
                </pic:pic>
              </a:graphicData>
            </a:graphic>
          </wp:inline>
        </w:drawing>
      </w:r>
    </w:p>
    <w:p w14:paraId="6A0BB82A">
      <w:pPr>
        <w:rPr>
          <w:shd w:val="clear" w:color="auto" w:fill="FFFFFF"/>
        </w:rPr>
      </w:pPr>
      <w:r>
        <w:rPr>
          <w:rFonts w:hint="eastAsia"/>
        </w:rPr>
        <w:t>进入</w:t>
      </w:r>
      <w:r>
        <w:rPr>
          <w:rFonts w:eastAsia="Segoe UI"/>
          <w:shd w:val="clear" w:color="auto" w:fill="FFFFFF"/>
        </w:rPr>
        <w:t>"</w:t>
      </w:r>
      <w:r>
        <w:rPr>
          <w:rFonts w:hint="eastAsia"/>
          <w:shd w:val="clear" w:color="auto" w:fill="FFFFFF"/>
        </w:rPr>
        <w:t>网络配置</w:t>
      </w:r>
      <w:r>
        <w:rPr>
          <w:rFonts w:eastAsia="Segoe UI"/>
          <w:shd w:val="clear" w:color="auto" w:fill="FFFFFF"/>
        </w:rPr>
        <w:t xml:space="preserve">&gt; </w:t>
      </w:r>
      <w:r>
        <w:rPr>
          <w:rFonts w:hint="eastAsia"/>
          <w:shd w:val="clear" w:color="auto" w:fill="FFFFFF"/>
        </w:rPr>
        <w:t>路由管理</w:t>
      </w:r>
      <w:r>
        <w:rPr>
          <w:rFonts w:eastAsia="Segoe UI"/>
          <w:shd w:val="clear" w:color="auto" w:fill="FFFFFF"/>
        </w:rPr>
        <w:t>&gt;</w:t>
      </w:r>
      <w:r>
        <w:rPr>
          <w:rFonts w:hint="eastAsia"/>
          <w:shd w:val="clear" w:color="auto" w:fill="FFFFFF"/>
        </w:rPr>
        <w:t>RIPng信息</w:t>
      </w:r>
      <w:r>
        <w:rPr>
          <w:rFonts w:eastAsia="Segoe UI"/>
          <w:shd w:val="clear" w:color="auto" w:fill="FFFFFF"/>
        </w:rPr>
        <w:t>"</w:t>
      </w:r>
      <w:r>
        <w:rPr>
          <w:rFonts w:hint="eastAsia" w:ascii="微软雅黑" w:hAnsi="微软雅黑" w:eastAsia="微软雅黑" w:cs="微软雅黑"/>
          <w:shd w:val="clear" w:color="auto" w:fill="FFFFFF"/>
        </w:rPr>
        <w:t>页面，</w:t>
      </w:r>
      <w:r>
        <w:rPr>
          <w:rFonts w:hint="eastAsia"/>
          <w:shd w:val="clear" w:color="auto" w:fill="FFFFFF"/>
        </w:rPr>
        <w:t>勾选</w:t>
      </w:r>
      <w:r>
        <w:rPr>
          <w:rFonts w:eastAsia="Segoe UI"/>
          <w:shd w:val="clear" w:color="auto" w:fill="FFFFFF"/>
        </w:rPr>
        <w:t>&lt;</w:t>
      </w:r>
      <w:r>
        <w:rPr>
          <w:rFonts w:hint="eastAsia"/>
          <w:shd w:val="clear" w:color="auto" w:fill="FFFFFF"/>
        </w:rPr>
        <w:t>启用</w:t>
      </w:r>
      <w:r>
        <w:rPr>
          <w:rFonts w:eastAsia="Segoe UI"/>
          <w:shd w:val="clear" w:color="auto" w:fill="FFFFFF"/>
        </w:rPr>
        <w:t>&gt;</w:t>
      </w:r>
      <w:r>
        <w:rPr>
          <w:rFonts w:hint="eastAsia"/>
          <w:shd w:val="clear" w:color="auto" w:fill="FFFFFF"/>
        </w:rPr>
        <w:t>开启RIPng。</w:t>
      </w:r>
    </w:p>
    <w:p w14:paraId="5EA503C4">
      <w:pPr>
        <w:pStyle w:val="188"/>
      </w:pPr>
      <w:r>
        <w:rPr>
          <w:rFonts w:hint="eastAsia"/>
          <w:shd w:val="clear" w:color="auto" w:fill="FFFFFF"/>
        </w:rPr>
        <w:t>开启RIPng</w:t>
      </w:r>
    </w:p>
    <w:p w14:paraId="7B8E4E3E">
      <w:pPr>
        <w:pStyle w:val="175"/>
      </w:pPr>
      <w:r>
        <w:drawing>
          <wp:inline distT="0" distB="0" distL="114300" distR="114300">
            <wp:extent cx="5292725" cy="770890"/>
            <wp:effectExtent l="0" t="0" r="3175" b="0"/>
            <wp:docPr id="153458205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58" name="图片 20"/>
                    <pic:cNvPicPr>
                      <a:picLocks noChangeAspect="1"/>
                    </pic:cNvPicPr>
                  </pic:nvPicPr>
                  <pic:blipFill>
                    <a:blip r:embed="rId322"/>
                    <a:stretch>
                      <a:fillRect/>
                    </a:stretch>
                  </pic:blipFill>
                  <pic:spPr>
                    <a:xfrm>
                      <a:off x="0" y="0"/>
                      <a:ext cx="5324246" cy="775542"/>
                    </a:xfrm>
                    <a:prstGeom prst="rect">
                      <a:avLst/>
                    </a:prstGeom>
                    <a:noFill/>
                    <a:ln>
                      <a:noFill/>
                    </a:ln>
                  </pic:spPr>
                </pic:pic>
              </a:graphicData>
            </a:graphic>
          </wp:inline>
        </w:drawing>
      </w:r>
    </w:p>
    <w:p w14:paraId="1D5C8AC6">
      <w:r>
        <w:rPr>
          <w:rFonts w:hint="eastAsia"/>
        </w:rPr>
        <w:t>进入</w:t>
      </w:r>
      <w:r>
        <w:t>"</w:t>
      </w:r>
      <w:r>
        <w:rPr>
          <w:rFonts w:hint="eastAsia"/>
        </w:rPr>
        <w:t>网络配置</w:t>
      </w:r>
      <w:r>
        <w:t>&gt;</w:t>
      </w:r>
      <w:r>
        <w:rPr>
          <w:rFonts w:eastAsia="Segoe UI"/>
          <w:shd w:val="clear" w:color="auto" w:fill="FFFFFF"/>
        </w:rPr>
        <w:t xml:space="preserve"> </w:t>
      </w:r>
      <w:r>
        <w:rPr>
          <w:rFonts w:hint="eastAsia"/>
          <w:shd w:val="clear" w:color="auto" w:fill="FFFFFF"/>
        </w:rPr>
        <w:t>路由管</w:t>
      </w:r>
      <w:r>
        <w:rPr>
          <w:rFonts w:hint="eastAsia"/>
        </w:rPr>
        <w:t>理</w:t>
      </w:r>
      <w:r>
        <w:t>&gt;</w:t>
      </w:r>
      <w:r>
        <w:rPr>
          <w:rFonts w:hint="eastAsia"/>
        </w:rPr>
        <w:t>RIPng信息</w:t>
      </w:r>
      <w:r>
        <w:t>"</w:t>
      </w:r>
      <w:r>
        <w:rPr>
          <w:rFonts w:hint="eastAsia"/>
        </w:rPr>
        <w:t>页面，点击</w:t>
      </w:r>
      <w:r>
        <w:t>&lt;</w:t>
      </w:r>
      <w:r>
        <w:rPr>
          <w:rFonts w:hint="eastAsia"/>
        </w:rPr>
        <w:t>新建</w:t>
      </w:r>
      <w:r>
        <w:t>&gt;</w:t>
      </w:r>
      <w:r>
        <w:rPr>
          <w:rFonts w:hint="eastAsia"/>
        </w:rPr>
        <w:t>按钮，新建RIPng实例。</w:t>
      </w:r>
    </w:p>
    <w:p w14:paraId="0244974A">
      <w:pPr>
        <w:pStyle w:val="188"/>
      </w:pPr>
      <w:r>
        <w:rPr>
          <w:rFonts w:hint="eastAsia"/>
        </w:rPr>
        <w:t>新建RIPng实例</w:t>
      </w:r>
    </w:p>
    <w:p w14:paraId="1C6C9EB1">
      <w:pPr>
        <w:pStyle w:val="175"/>
      </w:pPr>
      <w:r>
        <w:drawing>
          <wp:inline distT="0" distB="0" distL="114300" distR="114300">
            <wp:extent cx="4953000" cy="4385945"/>
            <wp:effectExtent l="0" t="0" r="0" b="0"/>
            <wp:docPr id="153458206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61" name="图片 21"/>
                    <pic:cNvPicPr>
                      <a:picLocks noChangeAspect="1"/>
                    </pic:cNvPicPr>
                  </pic:nvPicPr>
                  <pic:blipFill>
                    <a:blip r:embed="rId323"/>
                    <a:stretch>
                      <a:fillRect/>
                    </a:stretch>
                  </pic:blipFill>
                  <pic:spPr>
                    <a:xfrm>
                      <a:off x="0" y="0"/>
                      <a:ext cx="4956654" cy="4389503"/>
                    </a:xfrm>
                    <a:prstGeom prst="rect">
                      <a:avLst/>
                    </a:prstGeom>
                    <a:noFill/>
                    <a:ln>
                      <a:noFill/>
                    </a:ln>
                  </pic:spPr>
                </pic:pic>
              </a:graphicData>
            </a:graphic>
          </wp:inline>
        </w:drawing>
      </w:r>
    </w:p>
    <w:p w14:paraId="0E10B79C">
      <w:pPr>
        <w:rPr>
          <w:shd w:val="clear" w:color="auto" w:fill="FFFFFF"/>
        </w:rPr>
      </w:pPr>
      <w:r>
        <w:rPr>
          <w:rFonts w:hint="eastAsia"/>
        </w:rPr>
        <w:t>进入</w:t>
      </w:r>
      <w:r>
        <w:t>"</w:t>
      </w:r>
      <w:r>
        <w:rPr>
          <w:rFonts w:hint="eastAsia"/>
        </w:rPr>
        <w:t>网络配置</w:t>
      </w:r>
      <w:r>
        <w:t xml:space="preserve">&gt; </w:t>
      </w:r>
      <w:r>
        <w:rPr>
          <w:rFonts w:hint="eastAsia"/>
        </w:rPr>
        <w:t>路由管理</w:t>
      </w:r>
      <w:r>
        <w:t>&gt;</w:t>
      </w:r>
      <w:r>
        <w:rPr>
          <w:rFonts w:hint="eastAsia"/>
        </w:rPr>
        <w:t>RIPng信息</w:t>
      </w:r>
      <w:r>
        <w:t>"</w:t>
      </w:r>
      <w:r>
        <w:rPr>
          <w:rFonts w:hint="eastAsia"/>
        </w:rPr>
        <w:t>页面，点击RIPng实例对应的“RIPng网络”，点击</w:t>
      </w:r>
      <w:r>
        <w:t>&lt;</w:t>
      </w:r>
      <w:r>
        <w:rPr>
          <w:rFonts w:hint="eastAsia"/>
        </w:rPr>
        <w:t>新建</w:t>
      </w:r>
      <w:r>
        <w:t>&gt;</w:t>
      </w:r>
      <w:r>
        <w:rPr>
          <w:rFonts w:hint="eastAsia"/>
        </w:rPr>
        <w:t>按钮配置</w:t>
      </w:r>
      <w:r>
        <w:rPr>
          <w:rFonts w:hint="eastAsia"/>
          <w:shd w:val="clear" w:color="auto" w:fill="FFFFFF"/>
        </w:rPr>
        <w:t>RIPng网络。</w:t>
      </w:r>
    </w:p>
    <w:p w14:paraId="326094D8">
      <w:pPr>
        <w:pStyle w:val="188"/>
      </w:pPr>
      <w:r>
        <w:rPr>
          <w:rFonts w:hint="eastAsia"/>
        </w:rPr>
        <w:t>配置</w:t>
      </w:r>
      <w:r>
        <w:rPr>
          <w:rFonts w:hint="eastAsia"/>
          <w:shd w:val="clear" w:color="auto" w:fill="FFFFFF"/>
        </w:rPr>
        <w:t>RIPng网络</w:t>
      </w:r>
    </w:p>
    <w:p w14:paraId="3E3AECA6">
      <w:pPr>
        <w:pStyle w:val="175"/>
      </w:pPr>
      <w:r>
        <w:drawing>
          <wp:inline distT="0" distB="0" distL="114300" distR="114300">
            <wp:extent cx="5452745" cy="1390650"/>
            <wp:effectExtent l="0" t="0" r="0" b="0"/>
            <wp:docPr id="153458206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68" name="图片 22"/>
                    <pic:cNvPicPr>
                      <a:picLocks noChangeAspect="1"/>
                    </pic:cNvPicPr>
                  </pic:nvPicPr>
                  <pic:blipFill>
                    <a:blip r:embed="rId324"/>
                    <a:stretch>
                      <a:fillRect/>
                    </a:stretch>
                  </pic:blipFill>
                  <pic:spPr>
                    <a:xfrm>
                      <a:off x="0" y="0"/>
                      <a:ext cx="5503177" cy="1403925"/>
                    </a:xfrm>
                    <a:prstGeom prst="rect">
                      <a:avLst/>
                    </a:prstGeom>
                    <a:noFill/>
                    <a:ln>
                      <a:noFill/>
                    </a:ln>
                  </pic:spPr>
                </pic:pic>
              </a:graphicData>
            </a:graphic>
          </wp:inline>
        </w:drawing>
      </w:r>
    </w:p>
    <w:p w14:paraId="75956F66"/>
    <w:p w14:paraId="00DF86C2">
      <w:pPr>
        <w:pStyle w:val="4"/>
      </w:pPr>
      <w:bookmarkStart w:id="2496" w:name="_Toc194080764"/>
      <w:bookmarkStart w:id="2497" w:name="_Toc172218137"/>
      <w:bookmarkStart w:id="2498" w:name="_Toc196728096"/>
      <w:r>
        <w:rPr>
          <w:rFonts w:hint="eastAsia"/>
        </w:rPr>
        <w:t>OSPF</w:t>
      </w:r>
      <w:bookmarkEnd w:id="2496"/>
      <w:bookmarkEnd w:id="2497"/>
      <w:bookmarkEnd w:id="2498"/>
    </w:p>
    <w:p w14:paraId="1A4166C4">
      <w:pPr>
        <w:pStyle w:val="5"/>
      </w:pPr>
      <w:bookmarkStart w:id="2499" w:name="_Toc194080765"/>
      <w:bookmarkStart w:id="2500" w:name="_Toc172218138"/>
      <w:bookmarkStart w:id="2501" w:name="_Toc196728097"/>
      <w:r>
        <w:rPr>
          <w:rFonts w:hint="eastAsia"/>
        </w:rPr>
        <w:t>OSPF简介</w:t>
      </w:r>
      <w:bookmarkEnd w:id="2499"/>
      <w:bookmarkEnd w:id="2500"/>
      <w:bookmarkEnd w:id="2501"/>
    </w:p>
    <w:p w14:paraId="5A104013">
      <w:r>
        <w:rPr>
          <w:rFonts w:hint="eastAsia"/>
        </w:rPr>
        <w:t>OSPF（Open Shortest Path First，开放最短路径优先）是IETF（Internet Engineering Task Force，互联网工程任务组）组织开发的一个基于链路状态的内部网关协议。目前针对IPv4协议使用的是OSPF Version 2。</w:t>
      </w:r>
    </w:p>
    <w:p w14:paraId="3C76FA33">
      <w:r>
        <w:rPr>
          <w:rFonts w:hint="eastAsia"/>
        </w:rPr>
        <w:t>本节介绍配置OSPF所需要理解的知识，具体包括：</w:t>
      </w:r>
    </w:p>
    <w:p w14:paraId="3B6937DE">
      <w:pPr>
        <w:pStyle w:val="162"/>
      </w:pPr>
      <w:r>
        <w:rPr>
          <w:rFonts w:hint="eastAsia"/>
        </w:rPr>
        <w:t>OSPF的特点</w:t>
      </w:r>
    </w:p>
    <w:p w14:paraId="4E91021C">
      <w:pPr>
        <w:pStyle w:val="162"/>
      </w:pPr>
      <w:r>
        <w:rPr>
          <w:rFonts w:hint="eastAsia"/>
        </w:rPr>
        <w:t>OSPF的报文类型</w:t>
      </w:r>
    </w:p>
    <w:p w14:paraId="2C0ACA6F">
      <w:pPr>
        <w:pStyle w:val="162"/>
      </w:pPr>
      <w:r>
        <w:rPr>
          <w:rFonts w:hint="eastAsia"/>
        </w:rPr>
        <w:t>OSPF的区域划分</w:t>
      </w:r>
    </w:p>
    <w:p w14:paraId="3504CB22">
      <w:pPr>
        <w:pStyle w:val="162"/>
      </w:pPr>
      <w:r>
        <w:rPr>
          <w:rFonts w:hint="eastAsia"/>
        </w:rPr>
        <w:t>OSPF的路由器类型</w:t>
      </w:r>
    </w:p>
    <w:p w14:paraId="13F1A3C8">
      <w:pPr>
        <w:pStyle w:val="162"/>
      </w:pPr>
      <w:r>
        <w:rPr>
          <w:rFonts w:hint="eastAsia"/>
        </w:rPr>
        <w:t>OSPF的路由类型</w:t>
      </w:r>
    </w:p>
    <w:p w14:paraId="3824ED9F">
      <w:pPr>
        <w:pStyle w:val="162"/>
      </w:pPr>
      <w:r>
        <w:rPr>
          <w:rFonts w:hint="eastAsia"/>
        </w:rPr>
        <w:t>OSPF的网络类型</w:t>
      </w:r>
    </w:p>
    <w:p w14:paraId="7BBCCEEA">
      <w:pPr>
        <w:pStyle w:val="162"/>
      </w:pPr>
      <w:r>
        <w:rPr>
          <w:rFonts w:hint="eastAsia"/>
        </w:rPr>
        <w:t>OSPF的协议规范</w:t>
      </w:r>
    </w:p>
    <w:p w14:paraId="130D12FD"/>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6E1D415D">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23E27635">
            <w:pPr>
              <w:pStyle w:val="150"/>
              <w:adjustRightInd w:val="0"/>
              <w:snapToGrid w:val="0"/>
              <w:rPr>
                <w:color w:val="auto"/>
              </w:rPr>
            </w:pPr>
            <w:r>
              <w:rPr>
                <w:b/>
                <w:color w:val="auto"/>
              </w:rPr>
              <w:drawing>
                <wp:inline distT="0" distB="0" distL="0" distR="0">
                  <wp:extent cx="283210" cy="283210"/>
                  <wp:effectExtent l="0" t="0" r="2540" b="254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454"/>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41DD9EAE">
            <w:pPr>
              <w:pStyle w:val="150"/>
              <w:adjustRightInd w:val="0"/>
              <w:snapToGrid w:val="0"/>
              <w:rPr>
                <w:color w:val="auto"/>
              </w:rPr>
            </w:pPr>
            <w:r>
              <w:rPr>
                <w:rFonts w:hint="eastAsia"/>
                <w:color w:val="auto"/>
              </w:rPr>
              <w:t>本章所介绍的配置都是指OSPF version 2。</w:t>
            </w:r>
          </w:p>
        </w:tc>
      </w:tr>
    </w:tbl>
    <w:p w14:paraId="651167D0"/>
    <w:p w14:paraId="779E3445">
      <w:pPr>
        <w:pStyle w:val="5"/>
      </w:pPr>
      <w:bookmarkStart w:id="2502" w:name="_Toc196728098"/>
      <w:bookmarkStart w:id="2503" w:name="_Toc194080766"/>
      <w:bookmarkStart w:id="2504" w:name="_Toc172218139"/>
      <w:r>
        <w:rPr>
          <w:rFonts w:hint="eastAsia"/>
        </w:rPr>
        <w:t>OSPF的特点</w:t>
      </w:r>
      <w:bookmarkEnd w:id="2502"/>
      <w:bookmarkEnd w:id="2503"/>
      <w:bookmarkEnd w:id="2504"/>
    </w:p>
    <w:p w14:paraId="0B483C65">
      <w:r>
        <w:t>OSPF</w:t>
      </w:r>
      <w:r>
        <w:rPr>
          <w:rFonts w:hint="eastAsia"/>
        </w:rPr>
        <w:t>具有如下特点：</w:t>
      </w:r>
    </w:p>
    <w:p w14:paraId="6D41B5F2">
      <w:pPr>
        <w:pStyle w:val="162"/>
      </w:pPr>
      <w:r>
        <w:rPr>
          <w:rFonts w:hint="eastAsia"/>
        </w:rPr>
        <w:t>可适应大规模网络：支持各种规模的网络，最多可支持几百台路由器。</w:t>
      </w:r>
    </w:p>
    <w:p w14:paraId="0CEDFB28">
      <w:pPr>
        <w:pStyle w:val="162"/>
      </w:pPr>
      <w:r>
        <w:rPr>
          <w:rFonts w:hint="eastAsia"/>
        </w:rPr>
        <w:t>路由变化收敛快：在网络的拓扑结构发生变化后立即发送更新报文，使这一变化在自治系统中同步。</w:t>
      </w:r>
    </w:p>
    <w:p w14:paraId="20C8D2EC">
      <w:pPr>
        <w:pStyle w:val="162"/>
      </w:pPr>
      <w:r>
        <w:rPr>
          <w:rFonts w:hint="eastAsia"/>
        </w:rPr>
        <w:t>无路由自环：由于</w:t>
      </w:r>
      <w:r>
        <w:t>OSPF</w:t>
      </w:r>
      <w:r>
        <w:rPr>
          <w:rFonts w:hint="eastAsia"/>
        </w:rPr>
        <w:t>根据收集到的链路状态用最短路径树算法计算路由，从算法本身保证了不会生成自环路由。</w:t>
      </w:r>
    </w:p>
    <w:p w14:paraId="535073B6">
      <w:pPr>
        <w:pStyle w:val="162"/>
      </w:pPr>
      <w:r>
        <w:rPr>
          <w:rFonts w:hint="eastAsia"/>
        </w:rPr>
        <w:t>支持区域划分：允许自治系统的网络被划分成区域来管理。路由器链路状态数据库的减小降低了内存的消耗和</w:t>
      </w:r>
      <w:r>
        <w:t>CPU</w:t>
      </w:r>
      <w:r>
        <w:rPr>
          <w:rFonts w:hint="eastAsia"/>
        </w:rPr>
        <w:t>的负担；区域间传送路由信息的减少降低了网络带宽的占用。</w:t>
      </w:r>
    </w:p>
    <w:p w14:paraId="5073EE00">
      <w:pPr>
        <w:pStyle w:val="162"/>
      </w:pPr>
      <w:r>
        <w:rPr>
          <w:rFonts w:hint="eastAsia"/>
        </w:rPr>
        <w:t>支持等价路由：支持到同一目的地址的多条等价路由。</w:t>
      </w:r>
    </w:p>
    <w:p w14:paraId="0A7E4A86">
      <w:pPr>
        <w:pStyle w:val="162"/>
      </w:pPr>
      <w:r>
        <w:rPr>
          <w:rFonts w:hint="eastAsia"/>
        </w:rPr>
        <w:t>支持路由分级管理：使用</w:t>
      </w:r>
      <w:r>
        <w:t>4</w:t>
      </w:r>
      <w:r>
        <w:rPr>
          <w:rFonts w:hint="eastAsia"/>
        </w:rPr>
        <w:t>类不同的路由，按优先顺序来说分别是：区域内路由、区域间路由、第一类外部路由、第二类外部路由。</w:t>
      </w:r>
    </w:p>
    <w:p w14:paraId="29FDA5F6">
      <w:pPr>
        <w:pStyle w:val="162"/>
      </w:pPr>
      <w:r>
        <w:rPr>
          <w:rFonts w:hint="eastAsia"/>
        </w:rPr>
        <w:t>支持验证：支持基于区域和接口的报文验证，以保证报文交互和路由计算的安全性。</w:t>
      </w:r>
    </w:p>
    <w:p w14:paraId="02D49973">
      <w:pPr>
        <w:pStyle w:val="162"/>
      </w:pPr>
      <w:r>
        <w:rPr>
          <w:rFonts w:hint="eastAsia"/>
        </w:rPr>
        <w:t>组播发送：在某些类型的链路上以组播地址发送协议报文，减少对其他设备的干扰。</w:t>
      </w:r>
    </w:p>
    <w:p w14:paraId="310F8467">
      <w:pPr>
        <w:pStyle w:val="6"/>
      </w:pPr>
      <w:r>
        <w:rPr>
          <w:rFonts w:hint="eastAsia"/>
        </w:rPr>
        <w:t>OSPF的router-id</w:t>
      </w:r>
    </w:p>
    <w:p w14:paraId="3B574308">
      <w:r>
        <w:rPr>
          <w:rFonts w:hint="eastAsia"/>
        </w:rPr>
        <w:t>路由器标识是一个32位数字，使其用来独一无二的识别AS中的路由器。</w:t>
      </w:r>
    </w:p>
    <w:p w14:paraId="1DB34BB2">
      <w:r>
        <w:rPr>
          <w:rFonts w:hint="eastAsia"/>
        </w:rPr>
        <w:t>OSPF协议需要路由器的Router-ID，作为本路由器在自治系统中的唯一标识。一般在协议任务启动后，会自动选出一个Router-ID。通常路由器先挑选IP地址最大的环回地址。若无环回地址，则在接口状态为up的物理接口中，选取最大的IP地址作为Router-ID。也可以指定一个Router-ID，并且指定的Router-ID优先级最高。</w:t>
      </w:r>
    </w:p>
    <w:p w14:paraId="026BB194">
      <w:pPr>
        <w:pStyle w:val="6"/>
      </w:pPr>
      <w:r>
        <w:rPr>
          <w:rFonts w:hint="eastAsia"/>
        </w:rPr>
        <w:t>OSPF的区域划分</w:t>
      </w:r>
    </w:p>
    <w:p w14:paraId="788819EF">
      <w:r>
        <w:rPr>
          <w:rFonts w:hint="eastAsia"/>
        </w:rPr>
        <w:t>随着链路状态数据库的增大，计算SPF所需的时间也增加了，将网络分成较小的区域，并要求路由器与同一区域的路由器交换链路状态。这样传播的信息减少了。</w:t>
      </w:r>
    </w:p>
    <w:p w14:paraId="1857D53F">
      <w:r>
        <w:rPr>
          <w:rFonts w:hint="eastAsia"/>
        </w:rPr>
        <w:t>优点：</w:t>
      </w:r>
    </w:p>
    <w:p w14:paraId="7C9CA02F">
      <w:pPr>
        <w:pStyle w:val="162"/>
      </w:pPr>
      <w:r>
        <w:rPr>
          <w:rFonts w:hint="eastAsia"/>
        </w:rPr>
        <w:t>降低</w:t>
      </w:r>
      <w:r>
        <w:t>CPU</w:t>
      </w:r>
      <w:r>
        <w:rPr>
          <w:rFonts w:hint="eastAsia"/>
        </w:rPr>
        <w:t>的负担；</w:t>
      </w:r>
    </w:p>
    <w:p w14:paraId="1FBA2429">
      <w:pPr>
        <w:pStyle w:val="162"/>
      </w:pPr>
      <w:r>
        <w:rPr>
          <w:rFonts w:hint="eastAsia"/>
        </w:rPr>
        <w:t>减小</w:t>
      </w:r>
      <w:r>
        <w:t>LSDB</w:t>
      </w:r>
      <w:r>
        <w:rPr>
          <w:rFonts w:hint="eastAsia"/>
        </w:rPr>
        <w:t>的内存开销；</w:t>
      </w:r>
    </w:p>
    <w:p w14:paraId="430A00C0">
      <w:pPr>
        <w:pStyle w:val="162"/>
      </w:pPr>
      <w:r>
        <w:t>LSA</w:t>
      </w:r>
      <w:r>
        <w:rPr>
          <w:rFonts w:hint="eastAsia"/>
        </w:rPr>
        <w:t>相关计算和</w:t>
      </w:r>
      <w:r>
        <w:t>Flooding</w:t>
      </w:r>
      <w:r>
        <w:rPr>
          <w:rFonts w:hint="eastAsia"/>
        </w:rPr>
        <w:t>负担均降低。</w:t>
      </w:r>
    </w:p>
    <w:p w14:paraId="71CBA701">
      <w:pPr>
        <w:pStyle w:val="202"/>
      </w:pPr>
      <w:r>
        <w:rPr>
          <w:rFonts w:hint="eastAsia"/>
        </w:rPr>
        <w:t>划分要求</w:t>
      </w:r>
    </w:p>
    <w:p w14:paraId="2CD2C8BA">
      <w:r>
        <w:rPr>
          <w:rFonts w:hint="eastAsia"/>
        </w:rPr>
        <w:t>为了控制开销和便于管理</w:t>
      </w:r>
      <w:r>
        <w:t>OSPF</w:t>
      </w:r>
      <w:r>
        <w:rPr>
          <w:rFonts w:hint="eastAsia"/>
        </w:rPr>
        <w:t>，支持将整个自治系统划分成域来管理，并且划分为骨干域和边缘域。</w:t>
      </w:r>
    </w:p>
    <w:p w14:paraId="2D6B48AF">
      <w:r>
        <w:rPr>
          <w:rFonts w:hint="eastAsia"/>
        </w:rPr>
        <w:t>原则上要求每个非骨干区域要和骨干域直接相连，骨干域要求连通性强、带宽高。</w:t>
      </w:r>
    </w:p>
    <w:p w14:paraId="07D0357F">
      <w:r>
        <w:rPr>
          <w:rFonts w:hint="eastAsia"/>
        </w:rPr>
        <w:t>当一台路由器配置两个以上的域时，必须有一个是骨干域。</w:t>
      </w:r>
    </w:p>
    <w:p w14:paraId="59A10D65">
      <w:pPr>
        <w:pStyle w:val="202"/>
      </w:pPr>
      <w:r>
        <w:rPr>
          <w:rFonts w:hint="eastAsia"/>
        </w:rPr>
        <w:t>区域类型</w:t>
      </w:r>
    </w:p>
    <w:p w14:paraId="128BC7BE">
      <w:pPr>
        <w:pStyle w:val="162"/>
      </w:pPr>
      <w:r>
        <w:rPr>
          <w:rFonts w:hint="eastAsia"/>
        </w:rPr>
        <w:t>骨干区域：所有的域间通信流量都必须通过骨干区域，非骨干区域之间不能直接交换数据包，区域0（或0.0.0.0）是骨干区域保留的区域ID号。</w:t>
      </w:r>
    </w:p>
    <w:p w14:paraId="177A74A8">
      <w:pPr>
        <w:pStyle w:val="162"/>
      </w:pPr>
      <w:r>
        <w:rPr>
          <w:rFonts w:hint="eastAsia"/>
        </w:rPr>
        <w:t>标准区域：一个标准区域可以接收链路更新信息和汇总路由。</w:t>
      </w:r>
    </w:p>
    <w:p w14:paraId="4FDA0016">
      <w:pPr>
        <w:pStyle w:val="162"/>
      </w:pPr>
      <w:r>
        <w:rPr>
          <w:rFonts w:hint="eastAsia"/>
        </w:rPr>
        <w:t>末梢区域(stub area)：只与一个区域相连的非骨干区域，不接受外部自治系统的</w:t>
      </w:r>
      <w:r>
        <w:t>LSA</w:t>
      </w:r>
      <w:r>
        <w:rPr>
          <w:rFonts w:hint="eastAsia"/>
        </w:rPr>
        <w:t>（类型</w:t>
      </w:r>
      <w:r>
        <w:t>5</w:t>
      </w:r>
      <w:r>
        <w:rPr>
          <w:rFonts w:hint="eastAsia"/>
        </w:rPr>
        <w:t>），区域内路由器会把去往外部网络的路由基于缺省路由（目的地址是</w:t>
      </w:r>
      <w:r>
        <w:t>0.0.0.0</w:t>
      </w:r>
      <w:r>
        <w:rPr>
          <w:rFonts w:hint="eastAsia"/>
        </w:rPr>
        <w:t>）发送出去。</w:t>
      </w:r>
    </w:p>
    <w:p w14:paraId="79422887">
      <w:pPr>
        <w:pStyle w:val="162"/>
      </w:pPr>
      <w:r>
        <w:rPr>
          <w:rFonts w:hint="eastAsia"/>
        </w:rPr>
        <w:t>完全末梢区域(t</w:t>
      </w:r>
      <w:r>
        <w:t xml:space="preserve">otally </w:t>
      </w:r>
      <w:r>
        <w:rPr>
          <w:rFonts w:hint="eastAsia"/>
        </w:rPr>
        <w:t>s</w:t>
      </w:r>
      <w:r>
        <w:t>tub</w:t>
      </w:r>
      <w:r>
        <w:rPr>
          <w:rFonts w:hint="eastAsia"/>
        </w:rPr>
        <w:t xml:space="preserve"> area)：不接受类型</w:t>
      </w:r>
      <w:r>
        <w:t>3</w:t>
      </w:r>
      <w:r>
        <w:rPr>
          <w:rFonts w:hint="eastAsia"/>
        </w:rPr>
        <w:t>、类型</w:t>
      </w:r>
      <w:r>
        <w:t xml:space="preserve">4 </w:t>
      </w:r>
      <w:r>
        <w:rPr>
          <w:rFonts w:hint="eastAsia"/>
        </w:rPr>
        <w:t>和类型</w:t>
      </w:r>
      <w:r>
        <w:t>5</w:t>
      </w:r>
      <w:r>
        <w:rPr>
          <w:rFonts w:hint="eastAsia"/>
        </w:rPr>
        <w:t>的</w:t>
      </w:r>
      <w:r>
        <w:t xml:space="preserve">LSA </w:t>
      </w:r>
      <w:r>
        <w:rPr>
          <w:rFonts w:hint="eastAsia"/>
        </w:rPr>
        <w:t>，区域内路由器会把去往其它区域的路由基于缺省路由（目的地址是</w:t>
      </w:r>
      <w:r>
        <w:t>0.0.0.0</w:t>
      </w:r>
      <w:r>
        <w:rPr>
          <w:rFonts w:hint="eastAsia"/>
        </w:rPr>
        <w:t>）发送出去。</w:t>
      </w:r>
    </w:p>
    <w:p w14:paraId="7A19A964">
      <w:pPr>
        <w:pStyle w:val="162"/>
      </w:pPr>
      <w:r>
        <w:rPr>
          <w:rFonts w:hint="eastAsia"/>
        </w:rPr>
        <w:t>非完全末梢区域(</w:t>
      </w:r>
      <w:r>
        <w:rPr>
          <w:bCs/>
        </w:rPr>
        <w:t>Not-so-stubby-area</w:t>
      </w:r>
      <w:r>
        <w:rPr>
          <w:rFonts w:hint="eastAsia"/>
          <w:bCs/>
        </w:rPr>
        <w:t>，</w:t>
      </w:r>
      <w:r>
        <w:rPr>
          <w:bCs/>
        </w:rPr>
        <w:t>NSSA</w:t>
      </w:r>
      <w:r>
        <w:rPr>
          <w:rFonts w:hint="eastAsia"/>
        </w:rPr>
        <w:t>)：该区域是</w:t>
      </w:r>
      <w:r>
        <w:t>Stub</w:t>
      </w:r>
      <w:r>
        <w:rPr>
          <w:rFonts w:hint="eastAsia"/>
        </w:rPr>
        <w:t>区域的变形，与</w:t>
      </w:r>
      <w:r>
        <w:t>Stub</w:t>
      </w:r>
      <w:r>
        <w:rPr>
          <w:rFonts w:hint="eastAsia"/>
        </w:rPr>
        <w:t>区域的区别在于</w:t>
      </w:r>
      <w:r>
        <w:t>NSSA</w:t>
      </w:r>
      <w:r>
        <w:rPr>
          <w:rFonts w:hint="eastAsia"/>
        </w:rPr>
        <w:t>区域允许引入自治系统外部路由，由</w:t>
      </w:r>
      <w:r>
        <w:t>ASBR</w:t>
      </w:r>
      <w:r>
        <w:rPr>
          <w:rFonts w:hint="eastAsia"/>
        </w:rPr>
        <w:t>发布</w:t>
      </w:r>
      <w:r>
        <w:t>Type7 LSA</w:t>
      </w:r>
      <w:r>
        <w:rPr>
          <w:rFonts w:hint="eastAsia"/>
        </w:rPr>
        <w:t>通告给本区域。当</w:t>
      </w:r>
      <w:r>
        <w:t>Type7 LSA</w:t>
      </w:r>
      <w:r>
        <w:rPr>
          <w:rFonts w:hint="eastAsia"/>
        </w:rPr>
        <w:t>到达</w:t>
      </w:r>
      <w:r>
        <w:t>NSSA</w:t>
      </w:r>
      <w:r>
        <w:rPr>
          <w:rFonts w:hint="eastAsia"/>
        </w:rPr>
        <w:t>的</w:t>
      </w:r>
      <w:r>
        <w:t>ABR</w:t>
      </w:r>
      <w:r>
        <w:rPr>
          <w:rFonts w:hint="eastAsia"/>
        </w:rPr>
        <w:t>时，由</w:t>
      </w:r>
      <w:r>
        <w:t>ABR</w:t>
      </w:r>
      <w:r>
        <w:rPr>
          <w:rFonts w:hint="eastAsia"/>
        </w:rPr>
        <w:t>将</w:t>
      </w:r>
      <w:r>
        <w:t>Type7 LSA</w:t>
      </w:r>
      <w:r>
        <w:rPr>
          <w:rFonts w:hint="eastAsia"/>
        </w:rPr>
        <w:t>转换成</w:t>
      </w:r>
      <w:r>
        <w:t>Type5 LSA</w:t>
      </w:r>
      <w:r>
        <w:rPr>
          <w:rFonts w:hint="eastAsia"/>
        </w:rPr>
        <w:t>，传播到其他区域。</w:t>
      </w:r>
    </w:p>
    <w:p w14:paraId="45846653">
      <w:pPr>
        <w:pStyle w:val="6"/>
      </w:pPr>
      <w:r>
        <w:rPr>
          <w:rFonts w:hint="eastAsia"/>
        </w:rPr>
        <w:t>OSPF 的路由器类型</w:t>
      </w:r>
    </w:p>
    <w:p w14:paraId="035667E1">
      <w:r>
        <w:rPr>
          <w:rFonts w:hint="eastAsia"/>
        </w:rPr>
        <w:t>OSPF路由器根据在AS中的不同位置，可以分为以下四类：</w:t>
      </w:r>
    </w:p>
    <w:p w14:paraId="24DBE188">
      <w:pPr>
        <w:pStyle w:val="202"/>
      </w:pPr>
      <w:r>
        <w:rPr>
          <w:rFonts w:hint="eastAsia"/>
        </w:rPr>
        <w:t>区域内路由器（Internal Router）</w:t>
      </w:r>
    </w:p>
    <w:p w14:paraId="2267DA20">
      <w:r>
        <w:rPr>
          <w:rFonts w:hint="eastAsia"/>
        </w:rPr>
        <w:t>该类路由器的所有接口都属于同一个OSPF区域。</w:t>
      </w:r>
    </w:p>
    <w:p w14:paraId="0527CE8D">
      <w:pPr>
        <w:pStyle w:val="202"/>
      </w:pPr>
      <w:r>
        <w:rPr>
          <w:rFonts w:hint="eastAsia"/>
        </w:rPr>
        <w:t>区域边界路由器ABR</w:t>
      </w:r>
    </w:p>
    <w:p w14:paraId="632BB14A">
      <w:r>
        <w:rPr>
          <w:rFonts w:hint="eastAsia"/>
        </w:rPr>
        <w:t>该类路由器可以同时属于两个以上的区域，但其中一个必须是骨干区域。ABR用来连接骨干区域和非骨干区域，它与骨干区域之间既可以是物理连接，也可以是逻辑上的连接。</w:t>
      </w:r>
    </w:p>
    <w:p w14:paraId="1E3D5B52">
      <w:pPr>
        <w:pStyle w:val="202"/>
      </w:pPr>
      <w:r>
        <w:rPr>
          <w:rFonts w:hint="eastAsia"/>
        </w:rPr>
        <w:t>骨干路由器（Backbone Router）</w:t>
      </w:r>
    </w:p>
    <w:p w14:paraId="32E520CC">
      <w:r>
        <w:rPr>
          <w:rFonts w:hint="eastAsia"/>
        </w:rPr>
        <w:t>该类路由器至少有一个接口属于骨干区域。因此，所有的ABR和位于Area0的内部路由器都是骨干路由器。</w:t>
      </w:r>
    </w:p>
    <w:p w14:paraId="1B27FAF1">
      <w:pPr>
        <w:pStyle w:val="202"/>
        <w:rPr>
          <w:lang w:eastAsia="zh-CN"/>
        </w:rPr>
      </w:pPr>
      <w:r>
        <w:rPr>
          <w:rFonts w:hint="eastAsia"/>
          <w:lang w:eastAsia="zh-CN"/>
        </w:rPr>
        <w:t>自治系统边界路由器ASBR</w:t>
      </w:r>
    </w:p>
    <w:p w14:paraId="67D2B84E">
      <w:r>
        <w:rPr>
          <w:rFonts w:hint="eastAsia"/>
        </w:rPr>
        <w:t>与其他AS交换路由信息的路由器称为ASBR。ASBR并不一定位于AS的边界，它有可能是区域内路由器，也有可能是ABR。只要一台OSPF路由器引入了外部路由的信息，它就成为ASBR。</w:t>
      </w:r>
    </w:p>
    <w:p w14:paraId="19F5707D">
      <w:pPr>
        <w:pStyle w:val="6"/>
      </w:pPr>
      <w:r>
        <w:rPr>
          <w:rFonts w:hint="eastAsia"/>
        </w:rPr>
        <w:t>OSPF的路由类型</w:t>
      </w:r>
    </w:p>
    <w:p w14:paraId="77E93151">
      <w:r>
        <w:rPr>
          <w:rFonts w:hint="eastAsia"/>
        </w:rPr>
        <w:t>OSPF使用4类不同的路由，按优先级由高到低排列如下：</w:t>
      </w:r>
    </w:p>
    <w:p w14:paraId="4815DC53">
      <w:pPr>
        <w:pStyle w:val="202"/>
      </w:pPr>
      <w:r>
        <w:rPr>
          <w:rFonts w:hint="eastAsia"/>
        </w:rPr>
        <w:t>区域内路由</w:t>
      </w:r>
    </w:p>
    <w:p w14:paraId="09B22536">
      <w:pPr>
        <w:pStyle w:val="202"/>
      </w:pPr>
      <w:r>
        <w:rPr>
          <w:rFonts w:hint="eastAsia"/>
        </w:rPr>
        <w:t>区域间路由</w:t>
      </w:r>
    </w:p>
    <w:p w14:paraId="124A3FEB">
      <w:pPr>
        <w:pStyle w:val="202"/>
      </w:pPr>
      <w:r>
        <w:rPr>
          <w:rFonts w:hint="eastAsia"/>
        </w:rPr>
        <w:t>第一类外部路由</w:t>
      </w:r>
    </w:p>
    <w:p w14:paraId="4582CFCC">
      <w:pPr>
        <w:pStyle w:val="202"/>
      </w:pPr>
      <w:r>
        <w:rPr>
          <w:rFonts w:hint="eastAsia"/>
        </w:rPr>
        <w:t>第二类外部路由</w:t>
      </w:r>
    </w:p>
    <w:p w14:paraId="466A8C24">
      <w:r>
        <w:rPr>
          <w:rFonts w:hint="eastAsia"/>
        </w:rPr>
        <w:t>区域内和区域间路由描述自治系统内部的网络结构；外部路由则描述了如何选择到自治系统以外的路由。第一类外部路由是指接收的是IGP路由（例如RIP、STATIC），由于这类路由的可信程度较高，所以，计算出的外部路由的花费与自治系统内部的路由花费的数量级相同，并且与OSPF自身路由的花费具有可比性，即到第一类外部路由的花费值＝本路由器到相应的ASBR的花费值加ASBR到该路由目的地址的花费值。第二类外部路由器是指接收的是EGP路由，由于这类路由的可信度比较低，所以OSPF协议认为，从ASBR到自治系统之外的花费远远大于在自治系统之内到达ASBR的花费，计算路由花费时主要考虑前者。即第二类外部路由的花费值等于ASBR到该路由目的地址的花费值。如果该值相等，再考虑本路由器到相应的ASBR的花费值。</w:t>
      </w:r>
    </w:p>
    <w:p w14:paraId="008F226A">
      <w:pPr>
        <w:pStyle w:val="6"/>
      </w:pPr>
      <w:r>
        <w:rPr>
          <w:rFonts w:hint="eastAsia"/>
        </w:rPr>
        <w:t>OSPF的网络类型</w:t>
      </w:r>
    </w:p>
    <w:p w14:paraId="0E27EE1D">
      <w:r>
        <w:rPr>
          <w:rFonts w:hint="eastAsia"/>
        </w:rPr>
        <w:t>缺省情况下，按不同介质可划分成下列三种网络：广播网络（以太网，令牌环网、FDDI），非广播多路访问网络（帧中继、X.25），点到点网络（HDLC、PPP）。对以上任一类网络都可以进行OSPF配置。可以不考虑缺省的介质类型，选择配置OSPF网络类型。利用这一点，可将非广播多路访问网络配置为广播网络，如X.25和帧中继允许OSPF在其上以广播型网络运行，这就不用再去配置邻居。可将广播网络配置为非广播多路访问网络，例如当网络中有不支持组播传送地址的路由器时。对于不具有广播和组播能力的网络，必须配置对端邻居来指定发送hello报文，并可以指定邻居的优先级和轮询时间间隔。</w:t>
      </w:r>
    </w:p>
    <w:p w14:paraId="2CE68B74">
      <w:r>
        <w:rPr>
          <w:rFonts w:hint="eastAsia"/>
        </w:rPr>
        <w:t>点到多点时具有一个或者多个邻居的编号的点到点接口，它建立多主机路由。与非广播多路访问和点到点网络相比，点到多点网络具有以下优点：一到多接口更易于配置，因为它不需要配置邻居命令，只需要一个IP子网，所以不必分配路由选择。不需要全网络拓扑结构，开销较小。</w:t>
      </w:r>
    </w:p>
    <w:p w14:paraId="263B28DB"/>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3E06ACA9">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1BCADB6C">
            <w:pPr>
              <w:pStyle w:val="150"/>
              <w:adjustRightInd w:val="0"/>
              <w:snapToGrid w:val="0"/>
              <w:rPr>
                <w:color w:val="auto"/>
              </w:rPr>
            </w:pPr>
            <w:r>
              <w:rPr>
                <w:b/>
                <w:color w:val="auto"/>
              </w:rPr>
              <w:drawing>
                <wp:inline distT="0" distB="0" distL="0" distR="0">
                  <wp:extent cx="283210" cy="283210"/>
                  <wp:effectExtent l="0" t="0" r="2540" b="254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5050923A">
            <w:pPr>
              <w:pStyle w:val="150"/>
              <w:adjustRightInd w:val="0"/>
              <w:snapToGrid w:val="0"/>
              <w:rPr>
                <w:color w:val="auto"/>
              </w:rPr>
            </w:pPr>
            <w:r>
              <w:rPr>
                <w:rFonts w:hint="eastAsia"/>
                <w:color w:val="auto"/>
              </w:rPr>
              <w:t>设备只支持广播型网络和点对点型网络。</w:t>
            </w:r>
          </w:p>
        </w:tc>
      </w:tr>
    </w:tbl>
    <w:p w14:paraId="2CB19723"/>
    <w:p w14:paraId="0E1FBFC5">
      <w:pPr>
        <w:pStyle w:val="6"/>
      </w:pPr>
      <w:r>
        <w:rPr>
          <w:rFonts w:hint="eastAsia"/>
        </w:rPr>
        <w:t>OSPF的报文类型</w:t>
      </w:r>
    </w:p>
    <w:p w14:paraId="730C972B">
      <w:r>
        <w:rPr>
          <w:rFonts w:hint="eastAsia"/>
        </w:rPr>
        <w:t>OSPF协议报文直接封装为IP报文，协议号为89。</w:t>
      </w:r>
    </w:p>
    <w:p w14:paraId="45104C13">
      <w:r>
        <w:rPr>
          <w:rFonts w:hint="eastAsia"/>
        </w:rPr>
        <w:t>OSPF有五种类型的协议报文：</w:t>
      </w:r>
    </w:p>
    <w:p w14:paraId="1D434DB2">
      <w:pPr>
        <w:pStyle w:val="202"/>
        <w:rPr>
          <w:lang w:eastAsia="zh-CN"/>
        </w:rPr>
      </w:pPr>
      <w:r>
        <w:rPr>
          <w:rFonts w:hint="eastAsia"/>
          <w:lang w:eastAsia="zh-CN"/>
        </w:rPr>
        <w:t>Hello报文：发现及维持邻居关系，选举DR，BDR；</w:t>
      </w:r>
    </w:p>
    <w:p w14:paraId="3A086282">
      <w:pPr>
        <w:pStyle w:val="202"/>
        <w:rPr>
          <w:lang w:eastAsia="zh-CN"/>
        </w:rPr>
      </w:pPr>
      <w:r>
        <w:rPr>
          <w:rFonts w:hint="eastAsia"/>
          <w:lang w:eastAsia="zh-CN"/>
        </w:rPr>
        <w:t>DD（Database Description，数据库描述）报文：相邻路由器之间发DD报文，报告对方自己所拥有的路由信息内容，包括LSDB中每一条LSA摘要(摘要是指LSA的HEAD，通过该HEAD可以唯一标识一条LSA)，这样做的目的是为了减少路由器之间传递信息的量，因为LSA的HEAD只占一条LSA的整个数据量的一小部分。根据HEAD，对端路由器就可以判断出是否已经有了这条LSA。</w:t>
      </w:r>
    </w:p>
    <w:p w14:paraId="6EB7DB95">
      <w:pPr>
        <w:pStyle w:val="202"/>
      </w:pPr>
      <w:r>
        <w:rPr>
          <w:rFonts w:hint="eastAsia"/>
        </w:rPr>
        <w:t>LSR（Link State Request，链路状态请求）报文：向对方请求所需的LSA。两台路由器互相交换DD报文之后，得知对端的路由器有哪些LSA是本地的LSDB所缺少的，这时需要发送LSR报文向对方请求所需的LSA。</w:t>
      </w:r>
    </w:p>
    <w:p w14:paraId="1E6FD27A">
      <w:pPr>
        <w:pStyle w:val="202"/>
      </w:pPr>
      <w:r>
        <w:rPr>
          <w:rFonts w:hint="eastAsia"/>
        </w:rPr>
        <w:t>LSU（Link State Update，链路状态更新）报文：向对方发送其所需要的LSA。</w:t>
      </w:r>
    </w:p>
    <w:p w14:paraId="42EA42CD">
      <w:pPr>
        <w:pStyle w:val="202"/>
      </w:pPr>
      <w:r>
        <w:rPr>
          <w:rFonts w:hint="eastAsia"/>
        </w:rPr>
        <w:t>LSAck（Link State Acknowledgment，链路状态确认）报文：用来对收到的LSA进行确认。</w:t>
      </w:r>
    </w:p>
    <w:p w14:paraId="301179F5">
      <w:pPr>
        <w:pStyle w:val="6"/>
      </w:pPr>
      <w:r>
        <w:rPr>
          <w:rFonts w:hint="eastAsia"/>
        </w:rPr>
        <w:t>协议规范</w:t>
      </w:r>
    </w:p>
    <w:p w14:paraId="29806A6C">
      <w:r>
        <w:rPr>
          <w:rFonts w:hint="eastAsia"/>
        </w:rPr>
        <w:t>与</w:t>
      </w:r>
      <w:r>
        <w:t>OSPF</w:t>
      </w:r>
      <w:r>
        <w:rPr>
          <w:rFonts w:hint="eastAsia"/>
        </w:rPr>
        <w:t>相关的协议规范有：</w:t>
      </w:r>
    </w:p>
    <w:p w14:paraId="3E7F7079">
      <w:pPr>
        <w:pStyle w:val="162"/>
      </w:pPr>
      <w:r>
        <w:t>RFC 1765</w:t>
      </w:r>
      <w:r>
        <w:rPr>
          <w:rFonts w:hint="eastAsia"/>
        </w:rPr>
        <w:t>：</w:t>
      </w:r>
      <w:r>
        <w:t>OSPF Database Overflow</w:t>
      </w:r>
    </w:p>
    <w:p w14:paraId="3A0AB77C">
      <w:pPr>
        <w:pStyle w:val="162"/>
      </w:pPr>
      <w:r>
        <w:t>RFC 2328</w:t>
      </w:r>
      <w:r>
        <w:rPr>
          <w:rFonts w:hint="eastAsia"/>
        </w:rPr>
        <w:t>：</w:t>
      </w:r>
      <w:r>
        <w:t>OSPF Version 2</w:t>
      </w:r>
    </w:p>
    <w:p w14:paraId="482DEE9B">
      <w:pPr>
        <w:pStyle w:val="162"/>
      </w:pPr>
      <w:r>
        <w:t>RFC 3101</w:t>
      </w:r>
      <w:r>
        <w:rPr>
          <w:rFonts w:hint="eastAsia"/>
        </w:rPr>
        <w:t>：</w:t>
      </w:r>
      <w:r>
        <w:t>OSPF Not-So-Stubby Area (NSSA) Option</w:t>
      </w:r>
    </w:p>
    <w:p w14:paraId="252792FE">
      <w:pPr>
        <w:pStyle w:val="162"/>
      </w:pPr>
      <w:r>
        <w:t>RFC 3137</w:t>
      </w:r>
      <w:r>
        <w:rPr>
          <w:rFonts w:hint="eastAsia"/>
        </w:rPr>
        <w:t>：</w:t>
      </w:r>
      <w:r>
        <w:t>OSPF Stub Router Advertisement</w:t>
      </w:r>
    </w:p>
    <w:p w14:paraId="7A3ED636">
      <w:pPr>
        <w:pStyle w:val="162"/>
      </w:pPr>
      <w:r>
        <w:t>RFC 3630</w:t>
      </w:r>
      <w:r>
        <w:rPr>
          <w:rFonts w:hint="eastAsia"/>
        </w:rPr>
        <w:t>：</w:t>
      </w:r>
      <w:r>
        <w:t>Traffic Engineering Extensions to OSPF Version 2</w:t>
      </w:r>
    </w:p>
    <w:p w14:paraId="57ACE1CF">
      <w:pPr>
        <w:pStyle w:val="162"/>
      </w:pPr>
      <w:r>
        <w:t>RFC 4811</w:t>
      </w:r>
      <w:r>
        <w:rPr>
          <w:rFonts w:hint="eastAsia"/>
        </w:rPr>
        <w:t>：</w:t>
      </w:r>
      <w:r>
        <w:t>OSPF Out-of-Band LSDB Resynchronization</w:t>
      </w:r>
    </w:p>
    <w:p w14:paraId="1E5F9659">
      <w:pPr>
        <w:pStyle w:val="162"/>
      </w:pPr>
      <w:r>
        <w:t>RFC 4812</w:t>
      </w:r>
      <w:r>
        <w:rPr>
          <w:rFonts w:hint="eastAsia"/>
        </w:rPr>
        <w:t>：</w:t>
      </w:r>
      <w:r>
        <w:t>OSPF Restart Signaling</w:t>
      </w:r>
    </w:p>
    <w:p w14:paraId="54178722">
      <w:pPr>
        <w:pStyle w:val="162"/>
      </w:pPr>
      <w:r>
        <w:t>RFC 4813</w:t>
      </w:r>
      <w:r>
        <w:rPr>
          <w:rFonts w:hint="eastAsia"/>
        </w:rPr>
        <w:t>：</w:t>
      </w:r>
      <w:r>
        <w:t>OSPF Link-Local Signaling</w:t>
      </w:r>
    </w:p>
    <w:p w14:paraId="25A80309">
      <w:pPr>
        <w:pStyle w:val="5"/>
      </w:pPr>
      <w:bookmarkStart w:id="2505" w:name="_Toc196728099"/>
      <w:bookmarkStart w:id="2506" w:name="_Toc194080767"/>
      <w:bookmarkStart w:id="2507" w:name="_Toc172218140"/>
      <w:r>
        <w:rPr>
          <w:rFonts w:hint="eastAsia"/>
        </w:rPr>
        <w:t>OSPF配置</w:t>
      </w:r>
      <w:bookmarkEnd w:id="2505"/>
      <w:bookmarkEnd w:id="2506"/>
      <w:bookmarkEnd w:id="2507"/>
    </w:p>
    <w:p w14:paraId="39894863">
      <w:pPr>
        <w:pStyle w:val="6"/>
      </w:pPr>
      <w:r>
        <w:rPr>
          <w:rFonts w:hint="eastAsia"/>
        </w:rPr>
        <w:t>配置OSPF实例</w:t>
      </w:r>
    </w:p>
    <w:p w14:paraId="62AAC8D1">
      <w:r>
        <w:rPr>
          <w:rFonts w:hint="eastAsia"/>
        </w:rPr>
        <w:t>通过菜单“网络配置 &gt; 路由管理 &gt;</w:t>
      </w:r>
      <w:r>
        <w:t xml:space="preserve"> </w:t>
      </w:r>
      <w:r>
        <w:rPr>
          <w:rFonts w:hint="eastAsia"/>
        </w:rPr>
        <w:t>OSPF信息”，进入OSPF配置的显示界面，</w:t>
      </w:r>
      <w:r>
        <w:rPr>
          <w:rFonts w:hint="eastAsia"/>
          <w:bCs/>
        </w:rPr>
        <w:t>查看</w:t>
      </w:r>
      <w:r>
        <w:rPr>
          <w:rFonts w:hint="eastAsia"/>
        </w:rPr>
        <w:t>设备上已经配置的OSPF实例列表。勾选“启用”后开启OSPF路由功能，禁用会删除所有OSPF实例。启用后可以新建OSPF实例，如果未启用，新建时将会自动启用。</w:t>
      </w:r>
    </w:p>
    <w:p w14:paraId="4CE6E55F">
      <w:pPr>
        <w:pStyle w:val="188"/>
      </w:pPr>
      <w:r>
        <w:rPr>
          <w:rFonts w:hint="eastAsia"/>
        </w:rPr>
        <w:t>OSPF配置显示界面</w:t>
      </w:r>
    </w:p>
    <w:p w14:paraId="50FA597C">
      <w:r>
        <w:drawing>
          <wp:inline distT="0" distB="0" distL="0" distR="0">
            <wp:extent cx="5086350" cy="778510"/>
            <wp:effectExtent l="0" t="0" r="0" b="2540"/>
            <wp:docPr id="1534582057" name="图片 153458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57" name="图片 1534582057"/>
                    <pic:cNvPicPr>
                      <a:picLocks noChangeAspect="1"/>
                    </pic:cNvPicPr>
                  </pic:nvPicPr>
                  <pic:blipFill>
                    <a:blip r:embed="rId325"/>
                    <a:stretch>
                      <a:fillRect/>
                    </a:stretch>
                  </pic:blipFill>
                  <pic:spPr>
                    <a:xfrm>
                      <a:off x="0" y="0"/>
                      <a:ext cx="5103709" cy="781520"/>
                    </a:xfrm>
                    <a:prstGeom prst="rect">
                      <a:avLst/>
                    </a:prstGeom>
                  </pic:spPr>
                </pic:pic>
              </a:graphicData>
            </a:graphic>
          </wp:inline>
        </w:drawing>
      </w:r>
    </w:p>
    <w:p w14:paraId="3BA95C9F"/>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54601A67">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0AC0949A">
            <w:pPr>
              <w:pStyle w:val="150"/>
              <w:adjustRightInd w:val="0"/>
              <w:snapToGrid w:val="0"/>
              <w:rPr>
                <w:color w:val="auto"/>
              </w:rPr>
            </w:pPr>
            <w:r>
              <w:rPr>
                <w:b/>
                <w:color w:val="00A0E9"/>
              </w:rPr>
              <w:drawing>
                <wp:inline distT="0" distB="0" distL="0" distR="0">
                  <wp:extent cx="260350" cy="260350"/>
                  <wp:effectExtent l="0" t="0" r="6350" b="6350"/>
                  <wp:docPr id="626" name="图片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图片 626"/>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0470" cy="260470"/>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1911A127">
            <w:pPr>
              <w:pStyle w:val="150"/>
              <w:adjustRightInd w:val="0"/>
              <w:snapToGrid w:val="0"/>
              <w:rPr>
                <w:color w:val="auto"/>
              </w:rPr>
            </w:pPr>
            <w:r>
              <w:rPr>
                <w:rFonts w:hint="eastAsia"/>
                <w:color w:val="auto"/>
                <w:szCs w:val="18"/>
              </w:rPr>
              <w:t>创建OSPF实例后，如果关闭“启用”开关会删除所有实例和接口下OSPF相关配置</w:t>
            </w:r>
            <w:r>
              <w:rPr>
                <w:rFonts w:hint="eastAsia"/>
                <w:color w:val="auto"/>
              </w:rPr>
              <w:t>。</w:t>
            </w:r>
          </w:p>
        </w:tc>
      </w:tr>
    </w:tbl>
    <w:p w14:paraId="6A4A3214"/>
    <w:p w14:paraId="6B531A6C">
      <w:r>
        <w:rPr>
          <w:rFonts w:hint="eastAsia"/>
        </w:rPr>
        <w:t>点击&lt;新建&gt;，新建OSPF实例</w:t>
      </w:r>
      <w:r>
        <w:t>，</w:t>
      </w:r>
      <w:r>
        <w:rPr>
          <w:rFonts w:hint="eastAsia"/>
        </w:rPr>
        <w:t>配置OSPF协议的相关信息，点击&lt;提交&gt;。</w:t>
      </w:r>
    </w:p>
    <w:p w14:paraId="6E299931">
      <w:pPr>
        <w:pStyle w:val="188"/>
      </w:pPr>
      <w:r>
        <w:rPr>
          <w:rFonts w:hint="eastAsia"/>
        </w:rPr>
        <w:t>OSPF实例配置界面</w:t>
      </w:r>
    </w:p>
    <w:p w14:paraId="4CE6E5A9">
      <w:r>
        <w:drawing>
          <wp:inline distT="0" distB="0" distL="0" distR="0">
            <wp:extent cx="5482590" cy="3087370"/>
            <wp:effectExtent l="0" t="0" r="3810" b="0"/>
            <wp:docPr id="1534582060" name="图片 153458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60" name="图片 1534582060"/>
                    <pic:cNvPicPr>
                      <a:picLocks noChangeAspect="1"/>
                    </pic:cNvPicPr>
                  </pic:nvPicPr>
                  <pic:blipFill>
                    <a:blip r:embed="rId326"/>
                    <a:stretch>
                      <a:fillRect/>
                    </a:stretch>
                  </pic:blipFill>
                  <pic:spPr>
                    <a:xfrm>
                      <a:off x="0" y="0"/>
                      <a:ext cx="5486008" cy="3089330"/>
                    </a:xfrm>
                    <a:prstGeom prst="rect">
                      <a:avLst/>
                    </a:prstGeom>
                  </pic:spPr>
                </pic:pic>
              </a:graphicData>
            </a:graphic>
          </wp:inline>
        </w:drawing>
      </w:r>
    </w:p>
    <w:p w14:paraId="51055DC9"/>
    <w:p w14:paraId="55EBB63E">
      <w:pPr>
        <w:pStyle w:val="183"/>
      </w:pPr>
      <w:r>
        <w:rPr>
          <w:rFonts w:hint="eastAsia"/>
        </w:rPr>
        <w:t>OSPF各配置项说明</w:t>
      </w:r>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76"/>
        <w:gridCol w:w="6592"/>
      </w:tblGrid>
      <w:tr w14:paraId="4C5B55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tcBorders>
              <w:tl2br w:val="nil"/>
              <w:tr2bl w:val="nil"/>
            </w:tcBorders>
            <w:shd w:val="clear" w:color="auto" w:fill="538135" w:themeFill="accent6" w:themeFillShade="BF"/>
            <w:vAlign w:val="center"/>
          </w:tcPr>
          <w:p w14:paraId="4EBB5AA3">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92" w:type="dxa"/>
            <w:tcBorders>
              <w:tl2br w:val="nil"/>
              <w:tr2bl w:val="nil"/>
            </w:tcBorders>
            <w:shd w:val="clear" w:color="auto" w:fill="538135" w:themeFill="accent6" w:themeFillShade="BF"/>
            <w:vAlign w:val="center"/>
          </w:tcPr>
          <w:p w14:paraId="0491118F">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F175EC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66EAB11C">
            <w:pPr>
              <w:pStyle w:val="186"/>
              <w:widowControl w:val="0"/>
              <w:spacing w:line="240" w:lineRule="auto"/>
              <w:ind w:firstLine="0"/>
              <w:jc w:val="left"/>
            </w:pPr>
            <w:r>
              <w:rPr>
                <w:rFonts w:hint="eastAsia"/>
              </w:rPr>
              <w:t>VRF</w:t>
            </w:r>
          </w:p>
        </w:tc>
        <w:tc>
          <w:tcPr>
            <w:tcW w:w="6592" w:type="dxa"/>
            <w:shd w:val="clear" w:color="auto" w:fill="auto"/>
          </w:tcPr>
          <w:p w14:paraId="54997B2D">
            <w:pPr>
              <w:pStyle w:val="186"/>
              <w:widowControl w:val="0"/>
              <w:spacing w:line="240" w:lineRule="auto"/>
              <w:ind w:firstLine="0"/>
              <w:jc w:val="left"/>
            </w:pPr>
            <w:r>
              <w:rPr>
                <w:rFonts w:hint="eastAsia"/>
              </w:rPr>
              <w:t>指定OSPF实例绑定的VRF。</w:t>
            </w:r>
            <w:r>
              <w:t>创建多个</w:t>
            </w:r>
            <w:r>
              <w:rPr>
                <w:rFonts w:hint="eastAsia"/>
              </w:rPr>
              <w:t>OSPF</w:t>
            </w:r>
            <w:r>
              <w:t>实例时需要为每个实例绑定不同VRF使用</w:t>
            </w:r>
            <w:r>
              <w:rPr>
                <w:rFonts w:hint="eastAsia"/>
              </w:rPr>
              <w:t>，每个实例只能绑定一个VRF。</w:t>
            </w:r>
          </w:p>
        </w:tc>
      </w:tr>
      <w:tr w14:paraId="1CB5CF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5E9C455F">
            <w:pPr>
              <w:pStyle w:val="186"/>
              <w:widowControl w:val="0"/>
              <w:spacing w:line="240" w:lineRule="auto"/>
              <w:ind w:firstLine="0"/>
              <w:jc w:val="left"/>
            </w:pPr>
            <w:r>
              <w:rPr>
                <w:rFonts w:hint="eastAsia"/>
              </w:rPr>
              <w:t>描述</w:t>
            </w:r>
          </w:p>
        </w:tc>
        <w:tc>
          <w:tcPr>
            <w:tcW w:w="6592" w:type="dxa"/>
            <w:shd w:val="clear" w:color="auto" w:fill="auto"/>
          </w:tcPr>
          <w:p w14:paraId="2C1E2D1F">
            <w:pPr>
              <w:pStyle w:val="186"/>
              <w:widowControl w:val="0"/>
              <w:spacing w:line="240" w:lineRule="auto"/>
              <w:ind w:firstLine="0"/>
              <w:jc w:val="left"/>
            </w:pPr>
            <w:r>
              <w:rPr>
                <w:rFonts w:hint="eastAsia"/>
              </w:rPr>
              <w:t>OSPF实例的描述信息。</w:t>
            </w:r>
          </w:p>
        </w:tc>
      </w:tr>
      <w:tr w14:paraId="4D686C9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05E2BE1F">
            <w:pPr>
              <w:pStyle w:val="186"/>
              <w:widowControl w:val="0"/>
              <w:spacing w:line="240" w:lineRule="auto"/>
              <w:ind w:firstLine="0"/>
              <w:jc w:val="left"/>
            </w:pPr>
            <w:r>
              <w:rPr>
                <w:rFonts w:hint="eastAsia"/>
              </w:rPr>
              <w:t>管理距离</w:t>
            </w:r>
          </w:p>
        </w:tc>
        <w:tc>
          <w:tcPr>
            <w:tcW w:w="6592" w:type="dxa"/>
            <w:shd w:val="clear" w:color="auto" w:fill="auto"/>
          </w:tcPr>
          <w:p w14:paraId="66A46FF8">
            <w:pPr>
              <w:pStyle w:val="186"/>
              <w:widowControl w:val="0"/>
              <w:spacing w:line="240" w:lineRule="auto"/>
              <w:ind w:firstLine="0"/>
              <w:jc w:val="left"/>
            </w:pPr>
            <w:r>
              <w:rPr>
                <w:rFonts w:hint="eastAsia"/>
              </w:rPr>
              <w:t>OSPF实例管理距离(Distance)</w:t>
            </w:r>
          </w:p>
        </w:tc>
      </w:tr>
      <w:tr w14:paraId="714530D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3A1A9B1F">
            <w:pPr>
              <w:pStyle w:val="186"/>
              <w:widowControl w:val="0"/>
              <w:spacing w:line="240" w:lineRule="auto"/>
              <w:ind w:firstLine="0"/>
              <w:jc w:val="left"/>
            </w:pPr>
            <w:r>
              <w:rPr>
                <w:rFonts w:hint="eastAsia"/>
              </w:rPr>
              <w:t>路由器ID</w:t>
            </w:r>
          </w:p>
        </w:tc>
        <w:tc>
          <w:tcPr>
            <w:tcW w:w="6592" w:type="dxa"/>
            <w:shd w:val="clear" w:color="auto" w:fill="auto"/>
          </w:tcPr>
          <w:p w14:paraId="29BDCBEE">
            <w:pPr>
              <w:pStyle w:val="186"/>
              <w:widowControl w:val="0"/>
              <w:spacing w:line="240" w:lineRule="auto"/>
              <w:ind w:firstLine="0"/>
              <w:jc w:val="left"/>
            </w:pPr>
            <w:r>
              <w:rPr>
                <w:rFonts w:hint="eastAsia"/>
              </w:rPr>
              <w:t>OSPF路由器ID。路由ID是每个路由器在整个OSPF域中唯一标识，使用IP地址的形式表示，每台运行OSPF协议的路由器都必须拥有一个路由ID。如未指定，系统将首先挑选IP地址最大的环回地址作为路由器ID，若无环回地址，则在接口状态为up的物理接口中选取最大的IP地址作为路由器ID。</w:t>
            </w:r>
          </w:p>
        </w:tc>
      </w:tr>
      <w:tr w14:paraId="0F5584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06709276">
            <w:pPr>
              <w:pStyle w:val="186"/>
              <w:widowControl w:val="0"/>
              <w:spacing w:line="240" w:lineRule="auto"/>
              <w:ind w:firstLine="0"/>
              <w:jc w:val="left"/>
            </w:pPr>
            <w:r>
              <w:rPr>
                <w:rFonts w:hint="eastAsia"/>
              </w:rPr>
              <w:t>缺省路由</w:t>
            </w:r>
          </w:p>
        </w:tc>
        <w:tc>
          <w:tcPr>
            <w:tcW w:w="6592" w:type="dxa"/>
            <w:shd w:val="clear" w:color="auto" w:fill="auto"/>
          </w:tcPr>
          <w:p w14:paraId="27AF7C3B">
            <w:pPr>
              <w:pStyle w:val="186"/>
              <w:widowControl w:val="0"/>
              <w:spacing w:line="240" w:lineRule="auto"/>
              <w:ind w:firstLine="0"/>
              <w:jc w:val="left"/>
            </w:pPr>
            <w:r>
              <w:rPr>
                <w:rFonts w:hint="eastAsia"/>
              </w:rPr>
              <w:t>是否发布默认路由，可选发布、不发布及强制发布。</w:t>
            </w:r>
          </w:p>
          <w:p w14:paraId="123DA23A">
            <w:pPr>
              <w:pStyle w:val="207"/>
              <w:numPr>
                <w:ilvl w:val="0"/>
                <w:numId w:val="24"/>
              </w:numPr>
              <w:rPr>
                <w:lang w:eastAsia="zh-CN"/>
              </w:rPr>
            </w:pPr>
            <w:r>
              <w:rPr>
                <w:rFonts w:hint="eastAsia"/>
                <w:lang w:eastAsia="zh-CN"/>
              </w:rPr>
              <w:t>不发布：不发布缺省路由。</w:t>
            </w:r>
          </w:p>
          <w:p w14:paraId="618546C9">
            <w:pPr>
              <w:pStyle w:val="207"/>
              <w:numPr>
                <w:ilvl w:val="0"/>
                <w:numId w:val="24"/>
              </w:numPr>
              <w:rPr>
                <w:lang w:eastAsia="zh-CN"/>
              </w:rPr>
            </w:pPr>
            <w:r>
              <w:rPr>
                <w:rFonts w:hint="eastAsia"/>
                <w:lang w:eastAsia="zh-CN"/>
              </w:rPr>
              <w:t>发布：仅在系统中存在缺省路由的情况下才向邻居发布。这种方式主要适用于OSPF区域中存在双出口的组网，当某出口上行中断无法通过其他协议学习到默认路由时，该出口停止发布OSPF默认路由，这样就避免然将流量引导到该出口，导致不必要的带宽占用和次优路由。</w:t>
            </w:r>
          </w:p>
          <w:p w14:paraId="50F9844E">
            <w:pPr>
              <w:pStyle w:val="207"/>
              <w:numPr>
                <w:ilvl w:val="0"/>
                <w:numId w:val="24"/>
              </w:numPr>
              <w:rPr>
                <w:lang w:eastAsia="zh-CN"/>
              </w:rPr>
            </w:pPr>
            <w:r>
              <w:rPr>
                <w:rFonts w:hint="eastAsia"/>
                <w:lang w:eastAsia="zh-CN"/>
              </w:rPr>
              <w:t>强制发布：无论系统中是否存在缺省路由，都向邻居发布一条默认路由。这种发布方式效率更高，适用于OSPF区域存在单出口的组网方式。</w:t>
            </w:r>
          </w:p>
        </w:tc>
      </w:tr>
      <w:tr w14:paraId="16C6DB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5ED34AA3">
            <w:pPr>
              <w:pStyle w:val="186"/>
              <w:widowControl w:val="0"/>
              <w:spacing w:line="240" w:lineRule="auto"/>
              <w:ind w:firstLine="0"/>
              <w:jc w:val="left"/>
            </w:pPr>
            <w:r>
              <w:rPr>
                <w:rFonts w:hint="eastAsia"/>
              </w:rPr>
              <w:t>路由重发布</w:t>
            </w:r>
          </w:p>
        </w:tc>
        <w:tc>
          <w:tcPr>
            <w:tcW w:w="6592" w:type="dxa"/>
            <w:shd w:val="clear" w:color="auto" w:fill="auto"/>
          </w:tcPr>
          <w:p w14:paraId="6AE33D95">
            <w:pPr>
              <w:pStyle w:val="207"/>
              <w:numPr>
                <w:ilvl w:val="0"/>
                <w:numId w:val="24"/>
              </w:numPr>
              <w:rPr>
                <w:lang w:eastAsia="zh-CN"/>
              </w:rPr>
            </w:pPr>
            <w:r>
              <w:rPr>
                <w:rFonts w:hint="eastAsia"/>
                <w:lang w:eastAsia="zh-CN"/>
              </w:rPr>
              <w:t>直连路由：设置是否通过</w:t>
            </w:r>
            <w:r>
              <w:rPr>
                <w:lang w:eastAsia="zh-CN"/>
              </w:rPr>
              <w:t>OSPF</w:t>
            </w:r>
            <w:r>
              <w:rPr>
                <w:rFonts w:hint="eastAsia"/>
                <w:lang w:eastAsia="zh-CN"/>
              </w:rPr>
              <w:t>协议重发布设备通过直连网络学习到的路由信息，及所学习到路由的</w:t>
            </w:r>
            <w:r>
              <w:rPr>
                <w:lang w:eastAsia="zh-CN"/>
              </w:rPr>
              <w:t>cost</w:t>
            </w:r>
            <w:r>
              <w:rPr>
                <w:rFonts w:hint="eastAsia"/>
                <w:lang w:eastAsia="zh-CN"/>
              </w:rPr>
              <w:t>值。</w:t>
            </w:r>
          </w:p>
          <w:p w14:paraId="2ABE6C53">
            <w:pPr>
              <w:pStyle w:val="207"/>
              <w:numPr>
                <w:ilvl w:val="0"/>
                <w:numId w:val="24"/>
              </w:numPr>
              <w:rPr>
                <w:lang w:eastAsia="zh-CN"/>
              </w:rPr>
            </w:pPr>
            <w:r>
              <w:rPr>
                <w:rFonts w:hint="eastAsia"/>
                <w:lang w:eastAsia="zh-CN"/>
              </w:rPr>
              <w:t>静态路由：设置是否通过</w:t>
            </w:r>
            <w:r>
              <w:rPr>
                <w:lang w:eastAsia="zh-CN"/>
              </w:rPr>
              <w:t>OSPF</w:t>
            </w:r>
            <w:r>
              <w:rPr>
                <w:rFonts w:hint="eastAsia"/>
                <w:lang w:eastAsia="zh-CN"/>
              </w:rPr>
              <w:t>协议重发布设备学习到的静态路由信息，及所学习到路由的</w:t>
            </w:r>
            <w:r>
              <w:rPr>
                <w:lang w:eastAsia="zh-CN"/>
              </w:rPr>
              <w:t>cost</w:t>
            </w:r>
            <w:r>
              <w:rPr>
                <w:rFonts w:hint="eastAsia"/>
                <w:lang w:eastAsia="zh-CN"/>
              </w:rPr>
              <w:t>值。</w:t>
            </w:r>
          </w:p>
          <w:p w14:paraId="664E74E8">
            <w:pPr>
              <w:pStyle w:val="207"/>
              <w:numPr>
                <w:ilvl w:val="0"/>
                <w:numId w:val="24"/>
              </w:numPr>
              <w:rPr>
                <w:lang w:eastAsia="zh-CN"/>
              </w:rPr>
            </w:pPr>
            <w:r>
              <w:rPr>
                <w:lang w:eastAsia="zh-CN"/>
              </w:rPr>
              <w:t>RIP</w:t>
            </w:r>
            <w:r>
              <w:rPr>
                <w:rFonts w:hint="eastAsia"/>
                <w:lang w:eastAsia="zh-CN"/>
              </w:rPr>
              <w:t>路由：设置是否通过</w:t>
            </w:r>
            <w:r>
              <w:rPr>
                <w:lang w:eastAsia="zh-CN"/>
              </w:rPr>
              <w:t>OSPF</w:t>
            </w:r>
            <w:r>
              <w:rPr>
                <w:rFonts w:hint="eastAsia"/>
                <w:lang w:eastAsia="zh-CN"/>
              </w:rPr>
              <w:t>协议重发布设备通过</w:t>
            </w:r>
            <w:r>
              <w:rPr>
                <w:lang w:eastAsia="zh-CN"/>
              </w:rPr>
              <w:t>RIP</w:t>
            </w:r>
            <w:r>
              <w:rPr>
                <w:rFonts w:hint="eastAsia"/>
                <w:lang w:eastAsia="zh-CN"/>
              </w:rPr>
              <w:t>协议学习到的路由信息，及所学习到路由的</w:t>
            </w:r>
            <w:r>
              <w:rPr>
                <w:lang w:eastAsia="zh-CN"/>
              </w:rPr>
              <w:t>cost</w:t>
            </w:r>
            <w:r>
              <w:rPr>
                <w:rFonts w:hint="eastAsia"/>
                <w:lang w:eastAsia="zh-CN"/>
              </w:rPr>
              <w:t>值。</w:t>
            </w:r>
          </w:p>
          <w:p w14:paraId="6AE7D06E">
            <w:pPr>
              <w:pStyle w:val="207"/>
              <w:numPr>
                <w:ilvl w:val="0"/>
                <w:numId w:val="24"/>
              </w:numPr>
              <w:rPr>
                <w:lang w:eastAsia="zh-CN"/>
              </w:rPr>
            </w:pPr>
            <w:r>
              <w:rPr>
                <w:rFonts w:hint="eastAsia"/>
                <w:lang w:eastAsia="zh-CN"/>
              </w:rPr>
              <w:t>BGP路由：设置是否通过</w:t>
            </w:r>
            <w:r>
              <w:rPr>
                <w:lang w:eastAsia="zh-CN"/>
              </w:rPr>
              <w:t>OSPF</w:t>
            </w:r>
            <w:r>
              <w:rPr>
                <w:rFonts w:hint="eastAsia"/>
                <w:lang w:eastAsia="zh-CN"/>
              </w:rPr>
              <w:t>协议重发布设备学习到的BGP路由信息，及所学习到路由的</w:t>
            </w:r>
            <w:r>
              <w:rPr>
                <w:lang w:eastAsia="zh-CN"/>
              </w:rPr>
              <w:t>cost</w:t>
            </w:r>
            <w:r>
              <w:rPr>
                <w:rFonts w:hint="eastAsia"/>
                <w:lang w:eastAsia="zh-CN"/>
              </w:rPr>
              <w:t>值。</w:t>
            </w:r>
          </w:p>
          <w:p w14:paraId="5A33F83B">
            <w:pPr>
              <w:pStyle w:val="186"/>
              <w:widowControl w:val="0"/>
              <w:spacing w:line="240" w:lineRule="auto"/>
              <w:ind w:firstLine="0"/>
              <w:jc w:val="left"/>
            </w:pPr>
            <w:r>
              <w:rPr>
                <w:rFonts w:hint="eastAsia"/>
              </w:rPr>
              <w:t>cost值代表重发布后路由的开销值，用于设备的路由选择，值越小优先级越高。</w:t>
            </w:r>
          </w:p>
        </w:tc>
      </w:tr>
    </w:tbl>
    <w:p w14:paraId="7372F22A"/>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50BF42DA">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26EB49EA">
            <w:pPr>
              <w:pStyle w:val="150"/>
              <w:adjustRightInd w:val="0"/>
              <w:snapToGrid w:val="0"/>
              <w:rPr>
                <w:color w:val="auto"/>
              </w:rPr>
            </w:pPr>
            <w:r>
              <w:rPr>
                <w:b/>
                <w:color w:val="auto"/>
              </w:rPr>
              <w:drawing>
                <wp:inline distT="0" distB="0" distL="0" distR="0">
                  <wp:extent cx="283210" cy="283210"/>
                  <wp:effectExtent l="0" t="0" r="2540" b="2540"/>
                  <wp:docPr id="718" name="图片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图片 718"/>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5B2B7FFD">
            <w:pPr>
              <w:pStyle w:val="207"/>
              <w:adjustRightInd w:val="0"/>
              <w:snapToGrid w:val="0"/>
              <w:rPr>
                <w:color w:val="auto"/>
              </w:rPr>
            </w:pPr>
            <w:r>
              <w:rPr>
                <w:rFonts w:hint="eastAsia"/>
                <w:color w:val="auto"/>
              </w:rPr>
              <w:t>通常路由器先挑选IP地址最大的环回地址作为Router-ID。若无环回地址，则在接口状态为up的物理接口中，选取最大的IP地址作为Router-ID。也可以指定一个Router-ID，并且指定的Router-ID优先级最高。</w:t>
            </w:r>
          </w:p>
          <w:p w14:paraId="2B7F612A">
            <w:pPr>
              <w:pStyle w:val="207"/>
              <w:adjustRightInd w:val="0"/>
              <w:snapToGrid w:val="0"/>
              <w:rPr>
                <w:color w:val="auto"/>
                <w:lang w:eastAsia="zh-CN"/>
              </w:rPr>
            </w:pPr>
            <w:r>
              <w:rPr>
                <w:rFonts w:hint="eastAsia"/>
                <w:color w:val="auto"/>
                <w:lang w:eastAsia="zh-CN"/>
              </w:rPr>
              <w:t>缺省路由：如果路由表中有默认路由，并且想要发布出去，选中“发布”即可；如果路由表中没有默认路由，想要发布默认路由则需要选中“强制发布”。</w:t>
            </w:r>
          </w:p>
        </w:tc>
      </w:tr>
    </w:tbl>
    <w:p w14:paraId="13DC8883"/>
    <w:p w14:paraId="1BC13576">
      <w:pPr>
        <w:pStyle w:val="6"/>
      </w:pPr>
      <w:r>
        <w:rPr>
          <w:rFonts w:hint="eastAsia"/>
        </w:rPr>
        <w:t>配置OSPF网络</w:t>
      </w:r>
    </w:p>
    <w:p w14:paraId="5E2CC19D">
      <w:r>
        <w:rPr>
          <w:rFonts w:hint="eastAsia"/>
        </w:rPr>
        <w:t>在OSPF信息页面的OSPF列表中，点击需要修改的OSPF实例对应的“OSPF网络”，进入“高级配置”页面，查看该OSPF实例中配置的网络信息。</w:t>
      </w:r>
    </w:p>
    <w:p w14:paraId="760C8464">
      <w:pPr>
        <w:pStyle w:val="188"/>
      </w:pPr>
      <w:r>
        <w:rPr>
          <w:rFonts w:hint="eastAsia"/>
        </w:rPr>
        <w:t>OSPF已配置网络</w:t>
      </w:r>
    </w:p>
    <w:p w14:paraId="593FE0CB">
      <w:r>
        <w:drawing>
          <wp:inline distT="0" distB="0" distL="0" distR="0">
            <wp:extent cx="5520690" cy="1737995"/>
            <wp:effectExtent l="0" t="0" r="3810" b="0"/>
            <wp:docPr id="1534582062" name="图片 153458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62" name="图片 1534582062"/>
                    <pic:cNvPicPr>
                      <a:picLocks noChangeAspect="1"/>
                    </pic:cNvPicPr>
                  </pic:nvPicPr>
                  <pic:blipFill>
                    <a:blip r:embed="rId327"/>
                    <a:stretch>
                      <a:fillRect/>
                    </a:stretch>
                  </pic:blipFill>
                  <pic:spPr>
                    <a:xfrm>
                      <a:off x="0" y="0"/>
                      <a:ext cx="5529644" cy="1741100"/>
                    </a:xfrm>
                    <a:prstGeom prst="rect">
                      <a:avLst/>
                    </a:prstGeom>
                  </pic:spPr>
                </pic:pic>
              </a:graphicData>
            </a:graphic>
          </wp:inline>
        </w:drawing>
      </w:r>
      <w:r>
        <w:t xml:space="preserve"> </w:t>
      </w:r>
    </w:p>
    <w:p w14:paraId="029FBE51"/>
    <w:p w14:paraId="4554D27D">
      <w:r>
        <w:rPr>
          <w:rFonts w:hint="eastAsia"/>
        </w:rPr>
        <w:t>点击</w:t>
      </w:r>
      <w:r>
        <w:t>&lt;</w:t>
      </w:r>
      <w:r>
        <w:rPr>
          <w:rFonts w:hint="eastAsia"/>
        </w:rPr>
        <w:t>新建</w:t>
      </w:r>
      <w:r>
        <w:t>&gt;</w:t>
      </w:r>
      <w:r>
        <w:rPr>
          <w:rFonts w:hint="eastAsia"/>
        </w:rPr>
        <w:t>按钮，在该页填入要发布的</w:t>
      </w:r>
      <w:r>
        <w:t>OSPF</w:t>
      </w:r>
      <w:r>
        <w:rPr>
          <w:rFonts w:hint="eastAsia"/>
        </w:rPr>
        <w:t>网络及区域，点击&lt;提交&gt;。</w:t>
      </w:r>
    </w:p>
    <w:p w14:paraId="621BCD91">
      <w:pPr>
        <w:pStyle w:val="188"/>
      </w:pPr>
      <w:r>
        <w:rPr>
          <w:rFonts w:hint="eastAsia"/>
        </w:rPr>
        <w:t>OSPF网络配置</w:t>
      </w:r>
    </w:p>
    <w:p w14:paraId="5FAA2172">
      <w:r>
        <w:drawing>
          <wp:inline distT="0" distB="0" distL="0" distR="0">
            <wp:extent cx="4921885" cy="1627505"/>
            <wp:effectExtent l="0" t="0" r="0" b="0"/>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505"/>
                    <pic:cNvPicPr>
                      <a:picLocks noChangeAspect="1"/>
                    </pic:cNvPicPr>
                  </pic:nvPicPr>
                  <pic:blipFill>
                    <a:blip r:embed="rId260"/>
                    <a:stretch>
                      <a:fillRect/>
                    </a:stretch>
                  </pic:blipFill>
                  <pic:spPr>
                    <a:xfrm>
                      <a:off x="0" y="0"/>
                      <a:ext cx="4932325" cy="1631485"/>
                    </a:xfrm>
                    <a:prstGeom prst="rect">
                      <a:avLst/>
                    </a:prstGeom>
                  </pic:spPr>
                </pic:pic>
              </a:graphicData>
            </a:graphic>
          </wp:inline>
        </w:drawing>
      </w:r>
    </w:p>
    <w:p w14:paraId="1CD1F03A"/>
    <w:p w14:paraId="3CF9A46E">
      <w:pPr>
        <w:pStyle w:val="183"/>
      </w:pPr>
      <w:r>
        <w:rPr>
          <w:rFonts w:hint="eastAsia"/>
        </w:rPr>
        <w:t>OSPF网络详细配置说明</w:t>
      </w:r>
    </w:p>
    <w:tbl>
      <w:tblPr>
        <w:tblStyle w:val="173"/>
        <w:tblW w:w="964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549"/>
        <w:gridCol w:w="8099"/>
      </w:tblGrid>
      <w:tr w14:paraId="3DB0ED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549" w:type="dxa"/>
            <w:tcBorders>
              <w:tl2br w:val="nil"/>
              <w:tr2bl w:val="nil"/>
            </w:tcBorders>
            <w:shd w:val="clear" w:color="auto" w:fill="538135" w:themeFill="accent6" w:themeFillShade="BF"/>
            <w:vAlign w:val="center"/>
          </w:tcPr>
          <w:p w14:paraId="5025F51D">
            <w:pPr>
              <w:pStyle w:val="186"/>
              <w:widowControl w:val="0"/>
              <w:wordWrap/>
              <w:spacing w:line="240" w:lineRule="auto"/>
              <w:ind w:firstLine="0"/>
              <w:jc w:val="center"/>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8099" w:type="dxa"/>
            <w:tcBorders>
              <w:tl2br w:val="nil"/>
              <w:tr2bl w:val="nil"/>
            </w:tcBorders>
            <w:shd w:val="clear" w:color="auto" w:fill="538135" w:themeFill="accent6" w:themeFillShade="BF"/>
            <w:vAlign w:val="center"/>
          </w:tcPr>
          <w:p w14:paraId="5B393B9D">
            <w:pPr>
              <w:pStyle w:val="186"/>
              <w:widowControl w:val="0"/>
              <w:wordWrap/>
              <w:spacing w:line="240" w:lineRule="auto"/>
              <w:ind w:firstLine="0"/>
              <w:jc w:val="center"/>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2CF6A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549" w:type="dxa"/>
            <w:shd w:val="clear" w:color="auto" w:fill="auto"/>
          </w:tcPr>
          <w:p w14:paraId="478D4339">
            <w:pPr>
              <w:pStyle w:val="186"/>
              <w:widowControl w:val="0"/>
              <w:spacing w:line="240" w:lineRule="auto"/>
              <w:ind w:firstLine="0"/>
              <w:jc w:val="left"/>
            </w:pPr>
            <w:r>
              <w:t>IP地址/掩码</w:t>
            </w:r>
          </w:p>
        </w:tc>
        <w:tc>
          <w:tcPr>
            <w:tcW w:w="8099" w:type="dxa"/>
            <w:shd w:val="clear" w:color="auto" w:fill="auto"/>
          </w:tcPr>
          <w:p w14:paraId="1158B2C8">
            <w:pPr>
              <w:pStyle w:val="186"/>
              <w:widowControl w:val="0"/>
              <w:spacing w:line="240" w:lineRule="auto"/>
              <w:ind w:firstLine="0"/>
              <w:jc w:val="left"/>
            </w:pPr>
            <w:r>
              <w:rPr>
                <w:rFonts w:hint="eastAsia"/>
              </w:rPr>
              <w:t>指定需要启用O</w:t>
            </w:r>
            <w:r>
              <w:t>SPF</w:t>
            </w:r>
            <w:r>
              <w:rPr>
                <w:rFonts w:hint="eastAsia"/>
              </w:rPr>
              <w:t>协议的网络，格式为I</w:t>
            </w:r>
            <w:r>
              <w:t>P</w:t>
            </w:r>
            <w:r>
              <w:rPr>
                <w:rFonts w:hint="eastAsia"/>
              </w:rPr>
              <w:t>地址+掩码，如1</w:t>
            </w:r>
            <w:r>
              <w:t>92.168.1.0/24</w:t>
            </w:r>
            <w:r>
              <w:rPr>
                <w:rFonts w:hint="eastAsia"/>
              </w:rPr>
              <w:t>。为避免O</w:t>
            </w:r>
            <w:r>
              <w:t>SPF</w:t>
            </w:r>
            <w:r>
              <w:rPr>
                <w:rFonts w:hint="eastAsia"/>
              </w:rPr>
              <w:t>邻居状态出现异常，建议此网段与O</w:t>
            </w:r>
            <w:r>
              <w:t>SPF</w:t>
            </w:r>
            <w:r>
              <w:rPr>
                <w:rFonts w:hint="eastAsia"/>
              </w:rPr>
              <w:t>邻居接口的网段保持一致。</w:t>
            </w:r>
          </w:p>
        </w:tc>
      </w:tr>
      <w:tr w14:paraId="4D3851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549" w:type="dxa"/>
            <w:shd w:val="clear" w:color="auto" w:fill="auto"/>
          </w:tcPr>
          <w:p w14:paraId="3A3BC497">
            <w:pPr>
              <w:pStyle w:val="186"/>
              <w:widowControl w:val="0"/>
              <w:spacing w:line="240" w:lineRule="auto"/>
              <w:ind w:firstLine="0"/>
              <w:jc w:val="left"/>
            </w:pPr>
            <w:r>
              <w:rPr>
                <w:rFonts w:hint="eastAsia"/>
              </w:rPr>
              <w:t>区域</w:t>
            </w:r>
          </w:p>
        </w:tc>
        <w:tc>
          <w:tcPr>
            <w:tcW w:w="8099" w:type="dxa"/>
            <w:shd w:val="clear" w:color="auto" w:fill="auto"/>
          </w:tcPr>
          <w:p w14:paraId="21F19D9D">
            <w:pPr>
              <w:pStyle w:val="186"/>
              <w:widowControl w:val="0"/>
              <w:spacing w:line="240" w:lineRule="auto"/>
              <w:ind w:firstLine="0"/>
              <w:jc w:val="left"/>
            </w:pPr>
            <w:r>
              <w:rPr>
                <w:rFonts w:hint="eastAsia"/>
              </w:rPr>
              <w:t>指定启用O</w:t>
            </w:r>
            <w:r>
              <w:t>SPF</w:t>
            </w:r>
            <w:r>
              <w:rPr>
                <w:rFonts w:hint="eastAsia"/>
              </w:rPr>
              <w:t>协议的区域号，格式为</w:t>
            </w:r>
            <w:r>
              <w:t>0</w:t>
            </w:r>
            <w:r>
              <w:rPr>
                <w:rFonts w:hint="eastAsia"/>
              </w:rPr>
              <w:t>~</w:t>
            </w:r>
            <w:r>
              <w:t>4,294,967,295</w:t>
            </w:r>
            <w:r>
              <w:rPr>
                <w:rFonts w:hint="eastAsia"/>
              </w:rPr>
              <w:t>之间的</w:t>
            </w:r>
            <w:r>
              <w:t>数字或IP地址</w:t>
            </w:r>
            <w:r>
              <w:rPr>
                <w:rFonts w:hint="eastAsia"/>
              </w:rPr>
              <w:t>。只有O</w:t>
            </w:r>
            <w:r>
              <w:t>SPF</w:t>
            </w:r>
            <w:r>
              <w:rPr>
                <w:rFonts w:hint="eastAsia"/>
              </w:rPr>
              <w:t>的路由器接口共享了具有相同区域号的网络时，这些路由器才可能成为邻居。</w:t>
            </w:r>
          </w:p>
        </w:tc>
      </w:tr>
    </w:tbl>
    <w:p w14:paraId="3A4DD120"/>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2D840001">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57E49782">
            <w:pPr>
              <w:pStyle w:val="150"/>
              <w:adjustRightInd w:val="0"/>
              <w:snapToGrid w:val="0"/>
              <w:rPr>
                <w:color w:val="auto"/>
              </w:rPr>
            </w:pPr>
            <w:r>
              <w:rPr>
                <w:b/>
                <w:color w:val="auto"/>
              </w:rPr>
              <w:drawing>
                <wp:inline distT="0" distB="0" distL="0" distR="0">
                  <wp:extent cx="283210" cy="283210"/>
                  <wp:effectExtent l="0" t="0" r="2540" b="2540"/>
                  <wp:docPr id="750" name="图片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图片 750"/>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325622DB">
            <w:pPr>
              <w:pStyle w:val="150"/>
              <w:adjustRightInd w:val="0"/>
              <w:snapToGrid w:val="0"/>
              <w:rPr>
                <w:color w:val="auto"/>
              </w:rPr>
            </w:pPr>
            <w:r>
              <w:rPr>
                <w:rFonts w:hint="eastAsia"/>
                <w:color w:val="auto"/>
              </w:rPr>
              <w:t>OSPF IP地址/掩码范围需要和接口内配置的掩码范围一致。</w:t>
            </w:r>
          </w:p>
        </w:tc>
      </w:tr>
    </w:tbl>
    <w:p w14:paraId="51A782D2"/>
    <w:p w14:paraId="565C9469">
      <w:pPr>
        <w:pStyle w:val="6"/>
      </w:pPr>
      <w:r>
        <w:rPr>
          <w:rFonts w:hint="eastAsia"/>
        </w:rPr>
        <w:t>区域配置</w:t>
      </w:r>
    </w:p>
    <w:p w14:paraId="38B66D8A">
      <w:r>
        <w:rPr>
          <w:rFonts w:hint="eastAsia"/>
        </w:rPr>
        <w:t>在OSPF信息页面的OSPF列表中，点击需要修改的OSPF实例对应的“区域配置”，进入OSPF高级配置的“区域配置”界面，查看该OSPF实例中配置的区域信息。</w:t>
      </w:r>
    </w:p>
    <w:p w14:paraId="49952877">
      <w:pPr>
        <w:pStyle w:val="188"/>
      </w:pPr>
      <w:r>
        <w:rPr>
          <w:rFonts w:hint="eastAsia"/>
        </w:rPr>
        <w:t>已经配置的区域配置</w:t>
      </w:r>
    </w:p>
    <w:p w14:paraId="7A3E3531">
      <w:r>
        <w:drawing>
          <wp:inline distT="0" distB="0" distL="0" distR="0">
            <wp:extent cx="5596890" cy="1778000"/>
            <wp:effectExtent l="0" t="0" r="3810" b="0"/>
            <wp:docPr id="1534582065" name="图片 153458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65" name="图片 1534582065"/>
                    <pic:cNvPicPr>
                      <a:picLocks noChangeAspect="1"/>
                    </pic:cNvPicPr>
                  </pic:nvPicPr>
                  <pic:blipFill>
                    <a:blip r:embed="rId328"/>
                    <a:stretch>
                      <a:fillRect/>
                    </a:stretch>
                  </pic:blipFill>
                  <pic:spPr>
                    <a:xfrm>
                      <a:off x="0" y="0"/>
                      <a:ext cx="5608644" cy="1782267"/>
                    </a:xfrm>
                    <a:prstGeom prst="rect">
                      <a:avLst/>
                    </a:prstGeom>
                  </pic:spPr>
                </pic:pic>
              </a:graphicData>
            </a:graphic>
          </wp:inline>
        </w:drawing>
      </w:r>
    </w:p>
    <w:p w14:paraId="3F8BA272"/>
    <w:p w14:paraId="6AE3BCD0">
      <w:r>
        <w:rPr>
          <w:rFonts w:hint="eastAsia"/>
        </w:rPr>
        <w:t>点击&lt;新建&gt;，编辑相关信息，点击&lt;提交&gt;。</w:t>
      </w:r>
    </w:p>
    <w:p w14:paraId="3DCF69C1">
      <w:pPr>
        <w:pStyle w:val="188"/>
      </w:pPr>
      <w:r>
        <w:t>配置OSPF区域信息</w:t>
      </w:r>
    </w:p>
    <w:p w14:paraId="5918E40F">
      <w:pPr>
        <w:spacing w:before="79" w:after="79"/>
      </w:pPr>
      <w:r>
        <w:drawing>
          <wp:inline distT="0" distB="0" distL="114300" distR="114300">
            <wp:extent cx="5400040" cy="1870075"/>
            <wp:effectExtent l="0" t="0" r="0" b="0"/>
            <wp:docPr id="511"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63"/>
                    <pic:cNvPicPr>
                      <a:picLocks noChangeAspect="1"/>
                    </pic:cNvPicPr>
                  </pic:nvPicPr>
                  <pic:blipFill>
                    <a:blip r:embed="rId262"/>
                    <a:stretch>
                      <a:fillRect/>
                    </a:stretch>
                  </pic:blipFill>
                  <pic:spPr>
                    <a:xfrm>
                      <a:off x="0" y="0"/>
                      <a:ext cx="5400040" cy="1870197"/>
                    </a:xfrm>
                    <a:prstGeom prst="rect">
                      <a:avLst/>
                    </a:prstGeom>
                    <a:noFill/>
                    <a:ln>
                      <a:noFill/>
                    </a:ln>
                  </pic:spPr>
                </pic:pic>
              </a:graphicData>
            </a:graphic>
          </wp:inline>
        </w:drawing>
      </w:r>
    </w:p>
    <w:p w14:paraId="2AF1F036">
      <w:pPr>
        <w:pStyle w:val="183"/>
      </w:pPr>
      <w:r>
        <w:rPr>
          <w:rFonts w:hint="eastAsia"/>
        </w:rPr>
        <w:t>OSPF区域信息详细配置说明</w:t>
      </w:r>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2"/>
        <w:gridCol w:w="6636"/>
      </w:tblGrid>
      <w:tr w14:paraId="3AE6E5F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32" w:type="dxa"/>
            <w:tcBorders>
              <w:tl2br w:val="nil"/>
              <w:tr2bl w:val="nil"/>
            </w:tcBorders>
            <w:shd w:val="clear" w:color="auto" w:fill="538135" w:themeFill="accent6" w:themeFillShade="BF"/>
            <w:vAlign w:val="center"/>
          </w:tcPr>
          <w:p w14:paraId="1E991C83">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36" w:type="dxa"/>
            <w:tcBorders>
              <w:tl2br w:val="nil"/>
              <w:tr2bl w:val="nil"/>
            </w:tcBorders>
            <w:shd w:val="clear" w:color="auto" w:fill="538135" w:themeFill="accent6" w:themeFillShade="BF"/>
            <w:vAlign w:val="center"/>
          </w:tcPr>
          <w:p w14:paraId="72E79FB5">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C2104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32" w:type="dxa"/>
            <w:shd w:val="clear" w:color="auto" w:fill="auto"/>
          </w:tcPr>
          <w:p w14:paraId="47109D94">
            <w:pPr>
              <w:pStyle w:val="186"/>
              <w:widowControl w:val="0"/>
              <w:spacing w:line="240" w:lineRule="auto"/>
              <w:ind w:firstLine="0"/>
              <w:jc w:val="left"/>
            </w:pPr>
            <w:r>
              <w:rPr>
                <w:rFonts w:hint="eastAsia"/>
              </w:rPr>
              <w:t>区域</w:t>
            </w:r>
          </w:p>
        </w:tc>
        <w:tc>
          <w:tcPr>
            <w:tcW w:w="6636" w:type="dxa"/>
            <w:shd w:val="clear" w:color="auto" w:fill="auto"/>
          </w:tcPr>
          <w:p w14:paraId="637A0BBC">
            <w:pPr>
              <w:pStyle w:val="186"/>
              <w:widowControl w:val="0"/>
              <w:spacing w:line="240" w:lineRule="auto"/>
              <w:ind w:firstLine="0"/>
              <w:jc w:val="left"/>
            </w:pPr>
            <w:r>
              <w:rPr>
                <w:rFonts w:hint="eastAsia"/>
              </w:rPr>
              <w:t>指定OSPF区域的标识。</w:t>
            </w:r>
          </w:p>
        </w:tc>
      </w:tr>
      <w:tr w14:paraId="2DB38B5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32" w:type="dxa"/>
            <w:shd w:val="clear" w:color="auto" w:fill="auto"/>
          </w:tcPr>
          <w:p w14:paraId="79B222AD">
            <w:pPr>
              <w:pStyle w:val="186"/>
              <w:widowControl w:val="0"/>
              <w:spacing w:line="240" w:lineRule="auto"/>
              <w:ind w:firstLine="0"/>
              <w:jc w:val="left"/>
            </w:pPr>
            <w:r>
              <w:rPr>
                <w:rFonts w:hint="eastAsia"/>
              </w:rPr>
              <w:t>认证算法</w:t>
            </w:r>
          </w:p>
        </w:tc>
        <w:tc>
          <w:tcPr>
            <w:tcW w:w="6636" w:type="dxa"/>
            <w:shd w:val="clear" w:color="auto" w:fill="auto"/>
          </w:tcPr>
          <w:p w14:paraId="41E94973">
            <w:pPr>
              <w:pStyle w:val="186"/>
              <w:widowControl w:val="0"/>
              <w:spacing w:line="240" w:lineRule="auto"/>
              <w:ind w:firstLine="0"/>
              <w:jc w:val="left"/>
            </w:pPr>
            <w:r>
              <w:rPr>
                <w:rFonts w:hint="eastAsia"/>
              </w:rPr>
              <w:t>区域所使用的加密方式，支持MD5和Text。</w:t>
            </w:r>
          </w:p>
        </w:tc>
      </w:tr>
    </w:tbl>
    <w:p w14:paraId="5DBF7C6A"/>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4C1A8BC8">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50389065">
            <w:pPr>
              <w:pStyle w:val="150"/>
              <w:adjustRightInd w:val="0"/>
              <w:snapToGrid w:val="0"/>
              <w:rPr>
                <w:color w:val="auto"/>
              </w:rPr>
            </w:pPr>
            <w:r>
              <w:rPr>
                <w:b/>
                <w:color w:val="auto"/>
              </w:rPr>
              <w:drawing>
                <wp:inline distT="0" distB="0" distL="0" distR="0">
                  <wp:extent cx="283210" cy="283210"/>
                  <wp:effectExtent l="0" t="0" r="2540" b="2540"/>
                  <wp:docPr id="751" name="图片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图片 75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250857BC">
            <w:pPr>
              <w:pStyle w:val="150"/>
              <w:adjustRightInd w:val="0"/>
              <w:snapToGrid w:val="0"/>
              <w:rPr>
                <w:color w:val="auto"/>
              </w:rPr>
            </w:pPr>
            <w:r>
              <w:rPr>
                <w:rFonts w:hint="eastAsia"/>
                <w:color w:val="auto"/>
              </w:rPr>
              <w:t>如果配置了区域认证，需要到OSPF接口内配置对应的认证密钥。</w:t>
            </w:r>
          </w:p>
        </w:tc>
      </w:tr>
    </w:tbl>
    <w:p w14:paraId="7E3CBC04"/>
    <w:p w14:paraId="1614D05E">
      <w:pPr>
        <w:pStyle w:val="6"/>
      </w:pPr>
      <w:r>
        <w:rPr>
          <w:rFonts w:hint="eastAsia"/>
        </w:rPr>
        <w:t>配置OSPF接口</w:t>
      </w:r>
    </w:p>
    <w:p w14:paraId="378A622B">
      <w:r>
        <w:rPr>
          <w:rFonts w:hint="eastAsia"/>
        </w:rPr>
        <w:t>在OSPF信息页面的OSPF列表中，点击需要修改的OSPF实例对应的“OSPF接口”，进入OSPF高级配置的“OSPF接口”界面，查看该OSPF实例中配置的接口信息。</w:t>
      </w:r>
    </w:p>
    <w:p w14:paraId="52E4D20E">
      <w:pPr>
        <w:pStyle w:val="188"/>
      </w:pPr>
      <w:r>
        <w:rPr>
          <w:rFonts w:hint="eastAsia"/>
        </w:rPr>
        <w:t>已经配置的接口信息</w:t>
      </w:r>
    </w:p>
    <w:p w14:paraId="2F5B3309">
      <w:r>
        <w:drawing>
          <wp:inline distT="0" distB="0" distL="0" distR="0">
            <wp:extent cx="5568315" cy="1731010"/>
            <wp:effectExtent l="0" t="0" r="0" b="2540"/>
            <wp:docPr id="1534582066" name="图片 153458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66" name="图片 1534582066"/>
                    <pic:cNvPicPr>
                      <a:picLocks noChangeAspect="1"/>
                    </pic:cNvPicPr>
                  </pic:nvPicPr>
                  <pic:blipFill>
                    <a:blip r:embed="rId329"/>
                    <a:stretch>
                      <a:fillRect/>
                    </a:stretch>
                  </pic:blipFill>
                  <pic:spPr>
                    <a:xfrm>
                      <a:off x="0" y="0"/>
                      <a:ext cx="5574687" cy="1733306"/>
                    </a:xfrm>
                    <a:prstGeom prst="rect">
                      <a:avLst/>
                    </a:prstGeom>
                  </pic:spPr>
                </pic:pic>
              </a:graphicData>
            </a:graphic>
          </wp:inline>
        </w:drawing>
      </w:r>
    </w:p>
    <w:p w14:paraId="58C1B2D7"/>
    <w:p w14:paraId="19F6C264">
      <w:pPr>
        <w:pStyle w:val="183"/>
      </w:pPr>
      <w:r>
        <w:rPr>
          <w:rFonts w:hint="eastAsia"/>
        </w:rPr>
        <w:t>点击</w:t>
      </w:r>
      <w:r>
        <w:t>&lt;</w:t>
      </w:r>
      <w:r>
        <w:rPr>
          <w:rFonts w:hint="eastAsia"/>
        </w:rPr>
        <w:t>新建</w:t>
      </w:r>
      <w:r>
        <w:t>&gt;</w:t>
      </w:r>
      <w:r>
        <w:rPr>
          <w:rFonts w:hint="eastAsia"/>
        </w:rPr>
        <w:t>按钮，配置接口相关的</w:t>
      </w:r>
      <w:r>
        <w:t>OSPF</w:t>
      </w:r>
      <w:r>
        <w:rPr>
          <w:rFonts w:hint="eastAsia"/>
        </w:rPr>
        <w:t>信息。</w:t>
      </w:r>
    </w:p>
    <w:p w14:paraId="2A8C3977">
      <w:pPr>
        <w:pStyle w:val="188"/>
      </w:pPr>
      <w:r>
        <w:rPr>
          <w:rFonts w:hint="eastAsia"/>
        </w:rPr>
        <w:t>OSPF接口配置</w:t>
      </w:r>
    </w:p>
    <w:p w14:paraId="60855A7A">
      <w:pPr>
        <w:pStyle w:val="175"/>
      </w:pPr>
      <w:r>
        <w:drawing>
          <wp:inline distT="0" distB="0" distL="0" distR="0">
            <wp:extent cx="5324475" cy="3464560"/>
            <wp:effectExtent l="0" t="0" r="0" b="2540"/>
            <wp:docPr id="1534582067" name="图片 153458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67" name="图片 1534582067"/>
                    <pic:cNvPicPr>
                      <a:picLocks noChangeAspect="1"/>
                    </pic:cNvPicPr>
                  </pic:nvPicPr>
                  <pic:blipFill>
                    <a:blip r:embed="rId330"/>
                    <a:stretch>
                      <a:fillRect/>
                    </a:stretch>
                  </pic:blipFill>
                  <pic:spPr>
                    <a:xfrm>
                      <a:off x="0" y="0"/>
                      <a:ext cx="5328568" cy="3467245"/>
                    </a:xfrm>
                    <a:prstGeom prst="rect">
                      <a:avLst/>
                    </a:prstGeom>
                  </pic:spPr>
                </pic:pic>
              </a:graphicData>
            </a:graphic>
          </wp:inline>
        </w:drawing>
      </w:r>
    </w:p>
    <w:p w14:paraId="76ECE8C3"/>
    <w:p w14:paraId="79AA7700">
      <w:pPr>
        <w:pStyle w:val="183"/>
      </w:pPr>
      <w:r>
        <w:rPr>
          <w:rFonts w:hint="eastAsia"/>
        </w:rPr>
        <w:t>OSPF接口各项配置含义</w:t>
      </w:r>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28"/>
        <w:gridCol w:w="6640"/>
      </w:tblGrid>
      <w:tr w14:paraId="7FBAA7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28" w:type="dxa"/>
            <w:tcBorders>
              <w:tl2br w:val="nil"/>
              <w:tr2bl w:val="nil"/>
            </w:tcBorders>
            <w:shd w:val="clear" w:color="auto" w:fill="538135" w:themeFill="accent6" w:themeFillShade="BF"/>
            <w:vAlign w:val="center"/>
          </w:tcPr>
          <w:p w14:paraId="1BA42613">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40" w:type="dxa"/>
            <w:tcBorders>
              <w:tl2br w:val="nil"/>
              <w:tr2bl w:val="nil"/>
            </w:tcBorders>
            <w:shd w:val="clear" w:color="auto" w:fill="538135" w:themeFill="accent6" w:themeFillShade="BF"/>
            <w:vAlign w:val="center"/>
          </w:tcPr>
          <w:p w14:paraId="0355701C">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AA690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28" w:type="dxa"/>
            <w:shd w:val="clear" w:color="auto" w:fill="auto"/>
          </w:tcPr>
          <w:p w14:paraId="36B51454">
            <w:pPr>
              <w:pStyle w:val="186"/>
              <w:widowControl w:val="0"/>
              <w:spacing w:line="240" w:lineRule="auto"/>
              <w:ind w:firstLine="0"/>
              <w:jc w:val="left"/>
            </w:pPr>
            <w:r>
              <w:rPr>
                <w:rFonts w:hint="eastAsia"/>
              </w:rPr>
              <w:t>接口</w:t>
            </w:r>
          </w:p>
        </w:tc>
        <w:tc>
          <w:tcPr>
            <w:tcW w:w="6640" w:type="dxa"/>
            <w:shd w:val="clear" w:color="auto" w:fill="auto"/>
          </w:tcPr>
          <w:p w14:paraId="5BD9B94C">
            <w:pPr>
              <w:pStyle w:val="186"/>
              <w:widowControl w:val="0"/>
              <w:spacing w:line="240" w:lineRule="auto"/>
              <w:ind w:firstLine="0"/>
              <w:jc w:val="left"/>
            </w:pPr>
            <w:r>
              <w:rPr>
                <w:rFonts w:hint="eastAsia"/>
              </w:rPr>
              <w:t>选择需要启用OSPF协议的接口</w:t>
            </w:r>
          </w:p>
        </w:tc>
      </w:tr>
      <w:tr w14:paraId="2AF8B0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28" w:type="dxa"/>
            <w:shd w:val="clear" w:color="auto" w:fill="auto"/>
          </w:tcPr>
          <w:p w14:paraId="72F6A41B">
            <w:pPr>
              <w:pStyle w:val="186"/>
              <w:widowControl w:val="0"/>
              <w:spacing w:line="240" w:lineRule="auto"/>
              <w:ind w:firstLine="0"/>
              <w:jc w:val="left"/>
            </w:pPr>
            <w:r>
              <w:rPr>
                <w:rFonts w:hint="eastAsia"/>
              </w:rPr>
              <w:t>优先级</w:t>
            </w:r>
          </w:p>
        </w:tc>
        <w:tc>
          <w:tcPr>
            <w:tcW w:w="6640" w:type="dxa"/>
            <w:shd w:val="clear" w:color="auto" w:fill="auto"/>
          </w:tcPr>
          <w:p w14:paraId="7B0286C2">
            <w:pPr>
              <w:pStyle w:val="186"/>
              <w:widowControl w:val="0"/>
              <w:spacing w:line="240" w:lineRule="auto"/>
              <w:ind w:firstLine="0"/>
              <w:jc w:val="left"/>
            </w:pPr>
            <w:r>
              <w:rPr>
                <w:rFonts w:hint="eastAsia"/>
              </w:rPr>
              <w:t>设置接口的优先级，取值范围0~255。优先级为0的接口只用于接收网络中所有其他路由器的路由信息，并将收到的信息广播出去。当同一个网络的两个路由器都可作为指定路由器时，具有高优先级接口的路由器会被选中；如果接口的优先级相同，具有高路由器ID的路由器会被选中。</w:t>
            </w:r>
          </w:p>
        </w:tc>
      </w:tr>
      <w:tr w14:paraId="20DDAD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28" w:type="dxa"/>
            <w:shd w:val="clear" w:color="auto" w:fill="auto"/>
          </w:tcPr>
          <w:p w14:paraId="2197C0E5">
            <w:pPr>
              <w:pStyle w:val="186"/>
              <w:widowControl w:val="0"/>
              <w:spacing w:line="240" w:lineRule="auto"/>
              <w:ind w:firstLine="0"/>
              <w:jc w:val="left"/>
            </w:pPr>
            <w:r>
              <w:rPr>
                <w:rFonts w:hint="eastAsia"/>
              </w:rPr>
              <w:t>发送开销</w:t>
            </w:r>
          </w:p>
        </w:tc>
        <w:tc>
          <w:tcPr>
            <w:tcW w:w="6640" w:type="dxa"/>
            <w:shd w:val="clear" w:color="auto" w:fill="auto"/>
          </w:tcPr>
          <w:p w14:paraId="55CFD2FA">
            <w:pPr>
              <w:pStyle w:val="186"/>
              <w:widowControl w:val="0"/>
              <w:spacing w:line="240" w:lineRule="auto"/>
              <w:ind w:firstLine="0"/>
              <w:jc w:val="left"/>
            </w:pPr>
            <w:r>
              <w:rPr>
                <w:rFonts w:hint="eastAsia"/>
              </w:rPr>
              <w:t>设置接口发送数据包的开销，取值范围1~65535。此值用于计算报文到达对端的开销。</w:t>
            </w:r>
          </w:p>
        </w:tc>
      </w:tr>
      <w:tr w14:paraId="2BF55AD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28" w:type="dxa"/>
            <w:shd w:val="clear" w:color="auto" w:fill="auto"/>
          </w:tcPr>
          <w:p w14:paraId="73463740">
            <w:pPr>
              <w:pStyle w:val="186"/>
              <w:widowControl w:val="0"/>
              <w:spacing w:line="240" w:lineRule="auto"/>
              <w:ind w:firstLine="0"/>
              <w:jc w:val="left"/>
            </w:pPr>
            <w:r>
              <w:rPr>
                <w:rFonts w:hint="eastAsia"/>
              </w:rPr>
              <w:t>网络类型</w:t>
            </w:r>
          </w:p>
        </w:tc>
        <w:tc>
          <w:tcPr>
            <w:tcW w:w="6640" w:type="dxa"/>
            <w:shd w:val="clear" w:color="auto" w:fill="auto"/>
          </w:tcPr>
          <w:p w14:paraId="67C281AB">
            <w:pPr>
              <w:pStyle w:val="186"/>
              <w:widowControl w:val="0"/>
              <w:spacing w:line="240" w:lineRule="auto"/>
              <w:ind w:firstLine="0"/>
              <w:jc w:val="left"/>
            </w:pPr>
            <w:r>
              <w:rPr>
                <w:rFonts w:hint="eastAsia"/>
              </w:rPr>
              <w:t>设置网络类型，包括广播（b</w:t>
            </w:r>
            <w:r>
              <w:t>roadcast</w:t>
            </w:r>
            <w:r>
              <w:rPr>
                <w:rFonts w:hint="eastAsia"/>
              </w:rPr>
              <w:t>）、非广播（non</w:t>
            </w:r>
            <w:r>
              <w:t>-</w:t>
            </w:r>
            <w:r>
              <w:rPr>
                <w:rFonts w:hint="eastAsia" w:ascii="Helvetica" w:hAnsi="Helvetica"/>
                <w:color w:val="333333"/>
                <w:szCs w:val="21"/>
              </w:rPr>
              <w:t>b</w:t>
            </w:r>
            <w:r>
              <w:rPr>
                <w:rFonts w:ascii="Helvetica" w:hAnsi="Helvetica"/>
                <w:color w:val="333333"/>
                <w:szCs w:val="21"/>
              </w:rPr>
              <w:t>roadcast</w:t>
            </w:r>
            <w:r>
              <w:rPr>
                <w:rFonts w:hint="eastAsia"/>
              </w:rPr>
              <w:t>）、点到点（Point-to-point）以及点到多点（Point-to-multipoint） 网络类型。默认情况下，接口的网络类型为广播类型。</w:t>
            </w:r>
          </w:p>
        </w:tc>
      </w:tr>
      <w:tr w14:paraId="43CA3F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28" w:type="dxa"/>
            <w:shd w:val="clear" w:color="auto" w:fill="auto"/>
          </w:tcPr>
          <w:p w14:paraId="7EAB6650">
            <w:pPr>
              <w:pStyle w:val="186"/>
              <w:widowControl w:val="0"/>
              <w:spacing w:line="240" w:lineRule="auto"/>
              <w:ind w:firstLine="0"/>
              <w:jc w:val="left"/>
            </w:pPr>
            <w:r>
              <w:rPr>
                <w:rFonts w:hint="eastAsia"/>
              </w:rPr>
              <w:t>认证</w:t>
            </w:r>
          </w:p>
        </w:tc>
        <w:tc>
          <w:tcPr>
            <w:tcW w:w="6640" w:type="dxa"/>
            <w:shd w:val="clear" w:color="auto" w:fill="auto"/>
          </w:tcPr>
          <w:p w14:paraId="1080F457">
            <w:pPr>
              <w:pStyle w:val="186"/>
              <w:widowControl w:val="0"/>
              <w:spacing w:line="240" w:lineRule="auto"/>
              <w:ind w:firstLine="0"/>
              <w:jc w:val="left"/>
            </w:pPr>
            <w:r>
              <w:rPr>
                <w:rFonts w:hint="eastAsia"/>
              </w:rPr>
              <w:t>设置OSPF接口的认证方式，可以为无认证、明文认证、MD5认证以及HMAC-SHA256认证，认证优先级高于区域认证。在对安全性要求较高的网络中，建议启用OSPF接口认证。认证可以提高网络的安全性，只有相互认证成功的两台路由器之间才可以传输路由信息。</w:t>
            </w:r>
          </w:p>
          <w:p w14:paraId="3E2A6906">
            <w:pPr>
              <w:pStyle w:val="186"/>
              <w:widowControl w:val="0"/>
              <w:spacing w:line="240" w:lineRule="auto"/>
              <w:ind w:firstLine="0"/>
              <w:jc w:val="left"/>
            </w:pPr>
            <w:r>
              <w:rPr>
                <w:rFonts w:hint="eastAsia"/>
              </w:rPr>
              <w:t>Empty：认证方式为空</w:t>
            </w:r>
          </w:p>
          <w:p w14:paraId="7C0BE697">
            <w:pPr>
              <w:pStyle w:val="186"/>
              <w:widowControl w:val="0"/>
              <w:spacing w:line="240" w:lineRule="auto"/>
              <w:ind w:firstLine="0"/>
              <w:jc w:val="left"/>
            </w:pPr>
            <w:r>
              <w:rPr>
                <w:rFonts w:hint="eastAsia"/>
              </w:rPr>
              <w:t>None：无认证，不参与区域认证和接口认证。</w:t>
            </w:r>
          </w:p>
          <w:p w14:paraId="6F9A1FC5">
            <w:pPr>
              <w:pStyle w:val="186"/>
              <w:widowControl w:val="0"/>
              <w:spacing w:line="240" w:lineRule="auto"/>
              <w:ind w:firstLine="0"/>
              <w:jc w:val="left"/>
            </w:pPr>
            <w:r>
              <w:rPr>
                <w:rFonts w:hint="eastAsia"/>
              </w:rPr>
              <w:t>Text：启用明文认证方式，需要搭配明文密码类型认证使用。</w:t>
            </w:r>
          </w:p>
          <w:p w14:paraId="06C1BE95">
            <w:pPr>
              <w:pStyle w:val="186"/>
              <w:widowControl w:val="0"/>
              <w:spacing w:line="240" w:lineRule="auto"/>
              <w:ind w:firstLine="0"/>
              <w:jc w:val="left"/>
            </w:pPr>
            <w:r>
              <w:rPr>
                <w:rFonts w:hint="eastAsia"/>
              </w:rPr>
              <w:t>MD5：启用MD5认证方式，需要搭配MD5密码类型认证使用。与明文认证方式相比，MD5认证以密文形式传输认证凭据，因此更安全。</w:t>
            </w:r>
          </w:p>
          <w:p w14:paraId="51B910E7">
            <w:pPr>
              <w:pStyle w:val="186"/>
              <w:widowControl w:val="0"/>
              <w:spacing w:line="240" w:lineRule="auto"/>
              <w:ind w:firstLine="0"/>
              <w:jc w:val="left"/>
            </w:pPr>
            <w:r>
              <w:rPr>
                <w:rFonts w:hint="eastAsia"/>
              </w:rPr>
              <w:t>HMAC-SHA256：启用HMAC-SHA256认证方式，需要搭配HMAC-SHA256密码类型认证使用。使用密文形式传输认证凭据，安全性更高。</w:t>
            </w:r>
          </w:p>
        </w:tc>
      </w:tr>
      <w:tr w14:paraId="03514D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28" w:type="dxa"/>
            <w:shd w:val="clear" w:color="auto" w:fill="auto"/>
          </w:tcPr>
          <w:p w14:paraId="40EADDC3">
            <w:pPr>
              <w:pStyle w:val="186"/>
              <w:widowControl w:val="0"/>
              <w:spacing w:line="240" w:lineRule="auto"/>
              <w:ind w:firstLine="0"/>
              <w:jc w:val="left"/>
            </w:pPr>
            <w:r>
              <w:rPr>
                <w:rFonts w:hint="eastAsia"/>
              </w:rPr>
              <w:t>密码类型</w:t>
            </w:r>
          </w:p>
        </w:tc>
        <w:tc>
          <w:tcPr>
            <w:tcW w:w="6640" w:type="dxa"/>
            <w:shd w:val="clear" w:color="auto" w:fill="auto"/>
          </w:tcPr>
          <w:p w14:paraId="0D4A608D">
            <w:pPr>
              <w:pStyle w:val="186"/>
              <w:widowControl w:val="0"/>
              <w:spacing w:line="240" w:lineRule="auto"/>
              <w:ind w:firstLine="0"/>
              <w:jc w:val="left"/>
            </w:pPr>
            <w:r>
              <w:rPr>
                <w:rFonts w:hint="eastAsia"/>
              </w:rPr>
              <w:t>用于区域认证加密或接口认证加密，使用时密码类型需要和认证类型一致。</w:t>
            </w:r>
          </w:p>
          <w:p w14:paraId="7966CB79">
            <w:pPr>
              <w:pStyle w:val="186"/>
              <w:widowControl w:val="0"/>
              <w:spacing w:line="240" w:lineRule="auto"/>
              <w:ind w:firstLine="0"/>
              <w:jc w:val="left"/>
            </w:pPr>
            <w:r>
              <w:rPr>
                <w:rFonts w:hint="eastAsia"/>
              </w:rPr>
              <w:t>Empty：密码为空。</w:t>
            </w:r>
          </w:p>
          <w:p w14:paraId="7798E162">
            <w:pPr>
              <w:pStyle w:val="186"/>
              <w:widowControl w:val="0"/>
              <w:spacing w:line="240" w:lineRule="auto"/>
              <w:ind w:firstLine="0"/>
              <w:jc w:val="left"/>
            </w:pPr>
            <w:r>
              <w:rPr>
                <w:rFonts w:hint="eastAsia"/>
              </w:rPr>
              <w:t>Text：启用明文加密方式，并指定接口或区域的认证密码。</w:t>
            </w:r>
          </w:p>
          <w:p w14:paraId="3F0B5354">
            <w:pPr>
              <w:pStyle w:val="186"/>
              <w:widowControl w:val="0"/>
              <w:spacing w:line="240" w:lineRule="auto"/>
              <w:ind w:firstLine="0"/>
              <w:jc w:val="left"/>
            </w:pPr>
            <w:r>
              <w:rPr>
                <w:rFonts w:hint="eastAsia"/>
              </w:rPr>
              <w:t>MD5：启用MD5加密方式，并指定接口或区域认证使用的键值及密钥。与明文认证方式相比，MD5认证以密文形式传输认证凭据，因此更安全。</w:t>
            </w:r>
          </w:p>
          <w:p w14:paraId="3088988E">
            <w:pPr>
              <w:pStyle w:val="186"/>
              <w:widowControl w:val="0"/>
              <w:spacing w:line="240" w:lineRule="auto"/>
              <w:ind w:firstLine="0"/>
              <w:jc w:val="left"/>
            </w:pPr>
            <w:r>
              <w:rPr>
                <w:rFonts w:hint="eastAsia"/>
              </w:rPr>
              <w:t>HMAC-SHA256：启用HMAC-SHA256加密方式，并指定认证使用的键值及密钥。使用密文形式传输认证凭据，安全性更高。</w:t>
            </w:r>
          </w:p>
        </w:tc>
      </w:tr>
      <w:tr w14:paraId="4FFA5F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28" w:type="dxa"/>
            <w:shd w:val="clear" w:color="auto" w:fill="auto"/>
          </w:tcPr>
          <w:p w14:paraId="611D3092">
            <w:pPr>
              <w:pStyle w:val="186"/>
              <w:widowControl w:val="0"/>
              <w:spacing w:line="240" w:lineRule="auto"/>
              <w:ind w:firstLine="0"/>
              <w:jc w:val="left"/>
            </w:pPr>
            <w:r>
              <w:rPr>
                <w:rFonts w:hint="eastAsia"/>
              </w:rPr>
              <w:t>计时</w:t>
            </w:r>
          </w:p>
        </w:tc>
        <w:tc>
          <w:tcPr>
            <w:tcW w:w="6640" w:type="dxa"/>
            <w:shd w:val="clear" w:color="auto" w:fill="auto"/>
          </w:tcPr>
          <w:p w14:paraId="37DD4BA0">
            <w:pPr>
              <w:pStyle w:val="186"/>
              <w:widowControl w:val="0"/>
              <w:spacing w:line="240" w:lineRule="auto"/>
              <w:ind w:firstLine="0"/>
              <w:jc w:val="left"/>
            </w:pPr>
            <w:r>
              <w:rPr>
                <w:rFonts w:hint="eastAsia"/>
              </w:rPr>
              <w:t>设置接口计时器相关配置，包括：</w:t>
            </w:r>
          </w:p>
          <w:p w14:paraId="3FAB09E6">
            <w:pPr>
              <w:pStyle w:val="186"/>
              <w:widowControl w:val="0"/>
              <w:spacing w:line="240" w:lineRule="auto"/>
              <w:ind w:firstLine="0"/>
              <w:jc w:val="left"/>
            </w:pPr>
            <w:r>
              <w:rPr>
                <w:rFonts w:hint="eastAsia"/>
              </w:rPr>
              <w:t>Hello间隔：指定接口发送Hello包的时间间隔，单位为秒。启用了OSPF协议的接口会定期发送Hello包向邻居路由器更新其状态。</w:t>
            </w:r>
          </w:p>
          <w:p w14:paraId="1FA78F0E">
            <w:pPr>
              <w:pStyle w:val="186"/>
              <w:widowControl w:val="0"/>
              <w:spacing w:line="240" w:lineRule="auto"/>
              <w:ind w:firstLine="0"/>
              <w:jc w:val="left"/>
            </w:pPr>
            <w:r>
              <w:rPr>
                <w:rFonts w:hint="eastAsia"/>
              </w:rPr>
              <w:t>重传间隔：指定接口重传LSA（链路状态通告）的时间间隔，单位为秒。</w:t>
            </w:r>
          </w:p>
          <w:p w14:paraId="7A27BF09">
            <w:pPr>
              <w:pStyle w:val="186"/>
              <w:widowControl w:val="0"/>
              <w:spacing w:line="240" w:lineRule="auto"/>
              <w:ind w:firstLine="0"/>
              <w:jc w:val="left"/>
            </w:pPr>
            <w:r>
              <w:rPr>
                <w:rFonts w:hint="eastAsia"/>
              </w:rPr>
              <w:t>Dead间隔：指定接口的相邻路由失效时间，单位为秒。如果接口在指定的Dead间隔时间内没有收到对方的Hello报文，则认为对端路由器已经失效。</w:t>
            </w:r>
          </w:p>
          <w:p w14:paraId="61D8A9E3">
            <w:pPr>
              <w:pStyle w:val="186"/>
              <w:widowControl w:val="0"/>
              <w:spacing w:line="240" w:lineRule="auto"/>
              <w:ind w:firstLine="0"/>
              <w:jc w:val="left"/>
            </w:pPr>
            <w:r>
              <w:rPr>
                <w:rFonts w:hint="eastAsia"/>
              </w:rPr>
              <w:t>发送延迟：指定发送链路状态更新报文的延迟时间，单位为秒。</w:t>
            </w:r>
          </w:p>
        </w:tc>
      </w:tr>
    </w:tbl>
    <w:p w14:paraId="533927DD"/>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445F0608">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54973630">
            <w:pPr>
              <w:pStyle w:val="150"/>
              <w:adjustRightInd w:val="0"/>
              <w:snapToGrid w:val="0"/>
              <w:rPr>
                <w:color w:val="auto"/>
              </w:rPr>
            </w:pPr>
            <w:r>
              <w:rPr>
                <w:b/>
                <w:color w:val="auto"/>
              </w:rPr>
              <w:drawing>
                <wp:inline distT="0" distB="0" distL="0" distR="0">
                  <wp:extent cx="283210" cy="283210"/>
                  <wp:effectExtent l="0" t="0" r="2540" b="2540"/>
                  <wp:docPr id="756" name="图片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图片 75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4806B51D">
            <w:pPr>
              <w:pStyle w:val="150"/>
              <w:adjustRightInd w:val="0"/>
              <w:snapToGrid w:val="0"/>
              <w:rPr>
                <w:color w:val="auto"/>
              </w:rPr>
            </w:pPr>
            <w:r>
              <w:rPr>
                <w:rFonts w:hint="eastAsia"/>
                <w:color w:val="auto"/>
              </w:rPr>
              <w:t>如果在OSPF区域和接口下同时配置了认证模式及密码，则设备优先使用接口下的配置。</w:t>
            </w:r>
          </w:p>
        </w:tc>
      </w:tr>
    </w:tbl>
    <w:p w14:paraId="708A9B15"/>
    <w:p w14:paraId="3648DCBD">
      <w:pPr>
        <w:pStyle w:val="5"/>
      </w:pPr>
      <w:bookmarkStart w:id="2508" w:name="_Toc172218141"/>
      <w:bookmarkStart w:id="2509" w:name="_Toc194080768"/>
      <w:bookmarkStart w:id="2510" w:name="_Toc196728100"/>
      <w:r>
        <w:rPr>
          <w:rFonts w:hint="eastAsia"/>
        </w:rPr>
        <w:t>OSPF配置举例</w:t>
      </w:r>
      <w:bookmarkEnd w:id="2508"/>
      <w:bookmarkEnd w:id="2509"/>
      <w:bookmarkEnd w:id="2510"/>
    </w:p>
    <w:p w14:paraId="2449156E">
      <w:pPr>
        <w:pStyle w:val="6"/>
      </w:pPr>
      <w:r>
        <w:rPr>
          <w:rFonts w:hint="eastAsia"/>
        </w:rPr>
        <w:t>组网需求</w:t>
      </w:r>
    </w:p>
    <w:p w14:paraId="22C7DD7A">
      <w:r>
        <w:rPr>
          <w:rFonts w:hint="eastAsia"/>
        </w:rPr>
        <w:t>如下图所示，配置接口IP地址，要求设备R1和设备R2上开启OSPF进程，在R1和R2上创建OSPF实例，实例内分别配置网络10.1.14.1/24属于区域0。配置完成后，每台设备上都能看到邻接关系相互建立成功，state状态变为</w:t>
      </w:r>
      <w:r>
        <w:t>”</w:t>
      </w:r>
      <w:r>
        <w:rPr>
          <w:rFonts w:hint="eastAsia"/>
        </w:rPr>
        <w:t>full</w:t>
      </w:r>
      <w:r>
        <w:t>”</w:t>
      </w:r>
      <w:r>
        <w:rPr>
          <w:rFonts w:hint="eastAsia"/>
        </w:rPr>
        <w:t>，并且学习到路由属性为OSPF的10.1.14.0/24网段路由。</w:t>
      </w:r>
    </w:p>
    <w:p w14:paraId="688853DB">
      <w:pPr>
        <w:pStyle w:val="6"/>
      </w:pPr>
      <w:r>
        <w:rPr>
          <w:rFonts w:hint="eastAsia"/>
        </w:rPr>
        <w:t>组网图</w:t>
      </w:r>
    </w:p>
    <w:p w14:paraId="5105DDC9">
      <w:pPr>
        <w:pStyle w:val="188"/>
      </w:pPr>
      <w:r>
        <w:rPr>
          <w:rFonts w:hint="eastAsia"/>
        </w:rPr>
        <w:t>OSPF配置案例组网图</w:t>
      </w:r>
    </w:p>
    <w:p w14:paraId="691A5111">
      <w:pPr>
        <w:pStyle w:val="175"/>
      </w:pPr>
      <w:r>
        <w:drawing>
          <wp:inline distT="0" distB="0" distL="0" distR="0">
            <wp:extent cx="3114675" cy="952500"/>
            <wp:effectExtent l="0" t="0" r="9525" b="0"/>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494"/>
                    <pic:cNvPicPr>
                      <a:picLocks noChangeAspect="1"/>
                    </pic:cNvPicPr>
                  </pic:nvPicPr>
                  <pic:blipFill>
                    <a:blip r:embed="rId331"/>
                    <a:stretch>
                      <a:fillRect/>
                    </a:stretch>
                  </pic:blipFill>
                  <pic:spPr>
                    <a:xfrm>
                      <a:off x="0" y="0"/>
                      <a:ext cx="3114675" cy="952500"/>
                    </a:xfrm>
                    <a:prstGeom prst="rect">
                      <a:avLst/>
                    </a:prstGeom>
                  </pic:spPr>
                </pic:pic>
              </a:graphicData>
            </a:graphic>
          </wp:inline>
        </w:drawing>
      </w:r>
    </w:p>
    <w:p w14:paraId="31A4EC57"/>
    <w:p w14:paraId="1F0BA66A">
      <w:pPr>
        <w:pStyle w:val="6"/>
      </w:pPr>
      <w:r>
        <w:rPr>
          <w:rFonts w:hint="eastAsia"/>
        </w:rPr>
        <w:t>配置步骤</w:t>
      </w:r>
    </w:p>
    <w:p w14:paraId="1CFBFE10">
      <w:pPr>
        <w:pStyle w:val="202"/>
        <w:rPr>
          <w:lang w:eastAsia="zh-CN"/>
        </w:rPr>
      </w:pPr>
      <w:r>
        <w:rPr>
          <w:rFonts w:hint="eastAsia"/>
          <w:lang w:eastAsia="zh-CN"/>
        </w:rPr>
        <w:t>在R1开启OSPF协议开关</w:t>
      </w:r>
    </w:p>
    <w:p w14:paraId="0A4E5F38">
      <w:r>
        <w:rPr>
          <w:rFonts w:hint="eastAsia"/>
        </w:rPr>
        <w:t>通过菜单“网络配置 &gt; OSPF信息”，进入OSPF的显示界面，勾选</w:t>
      </w:r>
      <w:r>
        <w:t>&lt;</w:t>
      </w:r>
      <w:r>
        <w:rPr>
          <w:rFonts w:hint="eastAsia"/>
        </w:rPr>
        <w:t>启用</w:t>
      </w:r>
      <w:r>
        <w:t>&gt;</w:t>
      </w:r>
      <w:r>
        <w:rPr>
          <w:rFonts w:hint="eastAsia"/>
        </w:rPr>
        <w:t>按钮。</w:t>
      </w:r>
    </w:p>
    <w:p w14:paraId="7BA78BAE">
      <w:pPr>
        <w:pStyle w:val="188"/>
      </w:pPr>
      <w:r>
        <w:rPr>
          <w:rFonts w:hint="eastAsia"/>
        </w:rPr>
        <w:t>OSPF信息显示界面</w:t>
      </w:r>
    </w:p>
    <w:p w14:paraId="65A69615">
      <w:pPr>
        <w:pStyle w:val="175"/>
      </w:pPr>
      <w:r>
        <w:drawing>
          <wp:inline distT="0" distB="0" distL="0" distR="0">
            <wp:extent cx="5572125" cy="544195"/>
            <wp:effectExtent l="0" t="0" r="0" b="8255"/>
            <wp:docPr id="729" name="图片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图片 729"/>
                    <pic:cNvPicPr>
                      <a:picLocks noChangeAspect="1"/>
                    </pic:cNvPicPr>
                  </pic:nvPicPr>
                  <pic:blipFill>
                    <a:blip r:embed="rId332"/>
                    <a:stretch>
                      <a:fillRect/>
                    </a:stretch>
                  </pic:blipFill>
                  <pic:spPr>
                    <a:xfrm>
                      <a:off x="0" y="0"/>
                      <a:ext cx="5628666" cy="550079"/>
                    </a:xfrm>
                    <a:prstGeom prst="rect">
                      <a:avLst/>
                    </a:prstGeom>
                  </pic:spPr>
                </pic:pic>
              </a:graphicData>
            </a:graphic>
          </wp:inline>
        </w:drawing>
      </w:r>
    </w:p>
    <w:p w14:paraId="42D897D8"/>
    <w:p w14:paraId="0A4608BF">
      <w:pPr>
        <w:pStyle w:val="202"/>
      </w:pPr>
      <w:r>
        <w:rPr>
          <w:rFonts w:hint="eastAsia"/>
        </w:rPr>
        <w:t>在R1创建OSPF实例</w:t>
      </w:r>
    </w:p>
    <w:p w14:paraId="3BCA419B">
      <w:r>
        <w:rPr>
          <w:rFonts w:hint="eastAsia"/>
        </w:rPr>
        <w:t>通过菜单“网络配置 &gt; OSPF信息”，进入OSPF的显示界面，点击</w:t>
      </w:r>
      <w:r>
        <w:t>&lt;</w:t>
      </w:r>
      <w:r>
        <w:rPr>
          <w:rFonts w:hint="eastAsia"/>
        </w:rPr>
        <w:t>新建</w:t>
      </w:r>
      <w:r>
        <w:t>&gt;</w:t>
      </w:r>
      <w:r>
        <w:rPr>
          <w:rFonts w:hint="eastAsia"/>
        </w:rPr>
        <w:t>按钮。在弹出的界面中进行配置。</w:t>
      </w:r>
    </w:p>
    <w:p w14:paraId="5943B651">
      <w:pPr>
        <w:pStyle w:val="188"/>
      </w:pPr>
      <w:r>
        <w:rPr>
          <w:rFonts w:hint="eastAsia"/>
        </w:rPr>
        <w:t>新建OSPF实例界面</w:t>
      </w:r>
    </w:p>
    <w:p w14:paraId="15B6278E">
      <w:pPr>
        <w:pStyle w:val="175"/>
      </w:pPr>
      <w:r>
        <w:drawing>
          <wp:inline distT="0" distB="0" distL="114300" distR="114300">
            <wp:extent cx="5057775" cy="2209165"/>
            <wp:effectExtent l="0" t="0" r="0" b="635"/>
            <wp:docPr id="68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图片 11"/>
                    <pic:cNvPicPr>
                      <a:picLocks noChangeAspect="1"/>
                    </pic:cNvPicPr>
                  </pic:nvPicPr>
                  <pic:blipFill>
                    <a:blip r:embed="rId333"/>
                    <a:stretch>
                      <a:fillRect/>
                    </a:stretch>
                  </pic:blipFill>
                  <pic:spPr>
                    <a:xfrm>
                      <a:off x="0" y="0"/>
                      <a:ext cx="5063787" cy="2212186"/>
                    </a:xfrm>
                    <a:prstGeom prst="rect">
                      <a:avLst/>
                    </a:prstGeom>
                    <a:noFill/>
                    <a:ln>
                      <a:noFill/>
                    </a:ln>
                  </pic:spPr>
                </pic:pic>
              </a:graphicData>
            </a:graphic>
          </wp:inline>
        </w:drawing>
      </w:r>
    </w:p>
    <w:p w14:paraId="08183C2B">
      <w:r>
        <w:rPr>
          <w:rFonts w:hint="eastAsia"/>
        </w:rPr>
        <w:t>配置完成后，如下图所示。</w:t>
      </w:r>
    </w:p>
    <w:p w14:paraId="24C8FF56">
      <w:r>
        <w:drawing>
          <wp:inline distT="0" distB="0" distL="114300" distR="114300">
            <wp:extent cx="5799455" cy="676275"/>
            <wp:effectExtent l="0" t="0" r="0" b="0"/>
            <wp:docPr id="68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图片 22"/>
                    <pic:cNvPicPr>
                      <a:picLocks noChangeAspect="1"/>
                    </pic:cNvPicPr>
                  </pic:nvPicPr>
                  <pic:blipFill>
                    <a:blip r:embed="rId334"/>
                    <a:stretch>
                      <a:fillRect/>
                    </a:stretch>
                  </pic:blipFill>
                  <pic:spPr>
                    <a:xfrm>
                      <a:off x="0" y="0"/>
                      <a:ext cx="5870590" cy="684526"/>
                    </a:xfrm>
                    <a:prstGeom prst="rect">
                      <a:avLst/>
                    </a:prstGeom>
                    <a:noFill/>
                    <a:ln>
                      <a:noFill/>
                    </a:ln>
                  </pic:spPr>
                </pic:pic>
              </a:graphicData>
            </a:graphic>
          </wp:inline>
        </w:drawing>
      </w:r>
    </w:p>
    <w:p w14:paraId="4DF8452E">
      <w:pPr>
        <w:pStyle w:val="202"/>
      </w:pPr>
      <w:r>
        <w:rPr>
          <w:rFonts w:hint="eastAsia"/>
        </w:rPr>
        <w:t>在R1配置OSPF网络</w:t>
      </w:r>
    </w:p>
    <w:p w14:paraId="4882E5BB">
      <w:r>
        <w:rPr>
          <w:rFonts w:hint="eastAsia"/>
        </w:rPr>
        <w:t>点击OSPF显示界面中OSPF实例的</w:t>
      </w:r>
      <w:r>
        <w:t>&lt;</w:t>
      </w:r>
      <w:r>
        <w:rPr>
          <w:rFonts w:hint="eastAsia"/>
        </w:rPr>
        <w:t>OSPF网络</w:t>
      </w:r>
      <w:r>
        <w:t>&gt;</w:t>
      </w:r>
      <w:r>
        <w:rPr>
          <w:rFonts w:hint="eastAsia"/>
        </w:rPr>
        <w:t>按钮，显示OSPF高级配置界面。</w:t>
      </w:r>
    </w:p>
    <w:p w14:paraId="60B3FF9D">
      <w:r>
        <w:rPr>
          <w:rFonts w:hint="eastAsia"/>
        </w:rPr>
        <w:t>在高级配置页面中点击&lt;新建&gt;按钮，在弹出的界面中配置IP地址/掩码为10.1.14.1/24，区域为0，配置完成后点击“提交”。</w:t>
      </w:r>
    </w:p>
    <w:p w14:paraId="74620B37">
      <w:pPr>
        <w:pStyle w:val="188"/>
      </w:pPr>
      <w:r>
        <w:rPr>
          <w:rFonts w:hint="eastAsia"/>
        </w:rPr>
        <w:t>OSPF网络配置</w:t>
      </w:r>
    </w:p>
    <w:p w14:paraId="70552D5F">
      <w:pPr>
        <w:pStyle w:val="175"/>
      </w:pPr>
      <w:r>
        <w:drawing>
          <wp:inline distT="0" distB="0" distL="114300" distR="114300">
            <wp:extent cx="5276850" cy="2939415"/>
            <wp:effectExtent l="0" t="0" r="0" b="0"/>
            <wp:docPr id="68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图片 14"/>
                    <pic:cNvPicPr>
                      <a:picLocks noChangeAspect="1"/>
                    </pic:cNvPicPr>
                  </pic:nvPicPr>
                  <pic:blipFill>
                    <a:blip r:embed="rId335"/>
                    <a:stretch>
                      <a:fillRect/>
                    </a:stretch>
                  </pic:blipFill>
                  <pic:spPr>
                    <a:xfrm>
                      <a:off x="0" y="0"/>
                      <a:ext cx="5290750" cy="2947178"/>
                    </a:xfrm>
                    <a:prstGeom prst="rect">
                      <a:avLst/>
                    </a:prstGeom>
                    <a:noFill/>
                    <a:ln>
                      <a:noFill/>
                    </a:ln>
                  </pic:spPr>
                </pic:pic>
              </a:graphicData>
            </a:graphic>
          </wp:inline>
        </w:drawing>
      </w:r>
    </w:p>
    <w:p w14:paraId="0EBA810A"/>
    <w:p w14:paraId="23F502EC">
      <w:pPr>
        <w:pStyle w:val="202"/>
      </w:pPr>
      <w:r>
        <w:rPr>
          <w:rFonts w:hint="eastAsia"/>
        </w:rPr>
        <w:t>在R1配置接口地址</w:t>
      </w:r>
    </w:p>
    <w:p w14:paraId="097DEA9C">
      <w:r>
        <w:rPr>
          <w:rFonts w:hint="eastAsia"/>
        </w:rPr>
        <w:t>进入“网络配置 &gt; 接口配置”页面，选中“ge0”物理口，配置接口主地址为1</w:t>
      </w:r>
      <w:r>
        <w:t>0</w:t>
      </w:r>
      <w:r>
        <w:rPr>
          <w:rFonts w:hint="eastAsia"/>
        </w:rPr>
        <w:t>.1.1</w:t>
      </w:r>
      <w:r>
        <w:t>4</w:t>
      </w:r>
      <w:r>
        <w:rPr>
          <w:rFonts w:hint="eastAsia"/>
        </w:rPr>
        <w:t>.1/24。</w:t>
      </w:r>
    </w:p>
    <w:p w14:paraId="3E9E121A">
      <w:pPr>
        <w:pStyle w:val="188"/>
      </w:pPr>
      <w:r>
        <w:rPr>
          <w:rFonts w:hint="eastAsia"/>
        </w:rPr>
        <w:t>配置接口ge</w:t>
      </w:r>
      <w:r>
        <w:t>0</w:t>
      </w:r>
    </w:p>
    <w:p w14:paraId="51294876">
      <w:pPr>
        <w:pStyle w:val="175"/>
      </w:pPr>
      <w:r>
        <w:drawing>
          <wp:inline distT="0" distB="0" distL="114300" distR="114300">
            <wp:extent cx="4802505" cy="3891280"/>
            <wp:effectExtent l="0" t="0" r="0" b="0"/>
            <wp:docPr id="68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图片 17"/>
                    <pic:cNvPicPr>
                      <a:picLocks noChangeAspect="1"/>
                    </pic:cNvPicPr>
                  </pic:nvPicPr>
                  <pic:blipFill>
                    <a:blip r:embed="rId336"/>
                    <a:stretch>
                      <a:fillRect/>
                    </a:stretch>
                  </pic:blipFill>
                  <pic:spPr>
                    <a:xfrm>
                      <a:off x="0" y="0"/>
                      <a:ext cx="4806905" cy="3895224"/>
                    </a:xfrm>
                    <a:prstGeom prst="rect">
                      <a:avLst/>
                    </a:prstGeom>
                    <a:noFill/>
                    <a:ln>
                      <a:noFill/>
                    </a:ln>
                  </pic:spPr>
                </pic:pic>
              </a:graphicData>
            </a:graphic>
          </wp:inline>
        </w:drawing>
      </w:r>
    </w:p>
    <w:p w14:paraId="37CDA89D"/>
    <w:p w14:paraId="67CA6F64"/>
    <w:p w14:paraId="5C203FCB">
      <w:pPr>
        <w:pStyle w:val="202"/>
        <w:rPr>
          <w:lang w:eastAsia="zh-CN"/>
        </w:rPr>
      </w:pPr>
      <w:r>
        <w:rPr>
          <w:rFonts w:hint="eastAsia"/>
          <w:lang w:eastAsia="zh-CN"/>
        </w:rPr>
        <w:t>在R2开启OSPF协议开关</w:t>
      </w:r>
    </w:p>
    <w:p w14:paraId="5C3C413C">
      <w:r>
        <w:rPr>
          <w:rFonts w:hint="eastAsia"/>
        </w:rPr>
        <w:t>通过菜单“网络配置 &gt; OSPF信息”，进入OSPF的显示界面，勾选</w:t>
      </w:r>
      <w:r>
        <w:t>&lt;</w:t>
      </w:r>
      <w:r>
        <w:rPr>
          <w:rFonts w:hint="eastAsia"/>
        </w:rPr>
        <w:t>启用</w:t>
      </w:r>
      <w:r>
        <w:t>&gt;</w:t>
      </w:r>
      <w:r>
        <w:rPr>
          <w:rFonts w:hint="eastAsia"/>
        </w:rPr>
        <w:t>按钮。</w:t>
      </w:r>
    </w:p>
    <w:p w14:paraId="0E9F899F">
      <w:pPr>
        <w:pStyle w:val="202"/>
      </w:pPr>
      <w:r>
        <w:rPr>
          <w:rFonts w:hint="eastAsia"/>
        </w:rPr>
        <w:t>在R2创建OSPF实例</w:t>
      </w:r>
    </w:p>
    <w:p w14:paraId="196F3EAE">
      <w:r>
        <w:rPr>
          <w:rFonts w:hint="eastAsia"/>
        </w:rPr>
        <w:t>通过菜单“网络配置 &gt; OSPF信息”，进入OSPF的显示界面，点击</w:t>
      </w:r>
      <w:r>
        <w:t>&lt;</w:t>
      </w:r>
      <w:r>
        <w:rPr>
          <w:rFonts w:hint="eastAsia"/>
        </w:rPr>
        <w:t>新建</w:t>
      </w:r>
      <w:r>
        <w:t>&gt;</w:t>
      </w:r>
      <w:r>
        <w:rPr>
          <w:rFonts w:hint="eastAsia"/>
        </w:rPr>
        <w:t>按钮。在弹出的界面中进行配置。</w:t>
      </w:r>
    </w:p>
    <w:p w14:paraId="5BC4493D">
      <w:pPr>
        <w:pStyle w:val="188"/>
      </w:pPr>
      <w:r>
        <w:rPr>
          <w:rFonts w:hint="eastAsia"/>
        </w:rPr>
        <w:t>新建OSPF实例界面</w:t>
      </w:r>
    </w:p>
    <w:p w14:paraId="143A9390">
      <w:pPr>
        <w:pStyle w:val="175"/>
      </w:pPr>
      <w:r>
        <w:drawing>
          <wp:inline distT="0" distB="0" distL="114300" distR="114300">
            <wp:extent cx="5817235" cy="2541270"/>
            <wp:effectExtent l="0" t="0" r="0" b="0"/>
            <wp:docPr id="69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图片 11"/>
                    <pic:cNvPicPr>
                      <a:picLocks noChangeAspect="1"/>
                    </pic:cNvPicPr>
                  </pic:nvPicPr>
                  <pic:blipFill>
                    <a:blip r:embed="rId333"/>
                    <a:stretch>
                      <a:fillRect/>
                    </a:stretch>
                  </pic:blipFill>
                  <pic:spPr>
                    <a:xfrm>
                      <a:off x="0" y="0"/>
                      <a:ext cx="5823007" cy="2543862"/>
                    </a:xfrm>
                    <a:prstGeom prst="rect">
                      <a:avLst/>
                    </a:prstGeom>
                    <a:noFill/>
                    <a:ln>
                      <a:noFill/>
                    </a:ln>
                  </pic:spPr>
                </pic:pic>
              </a:graphicData>
            </a:graphic>
          </wp:inline>
        </w:drawing>
      </w:r>
    </w:p>
    <w:p w14:paraId="263BAC18">
      <w:r>
        <w:rPr>
          <w:rFonts w:hint="eastAsia"/>
        </w:rPr>
        <w:t>配置完成后，如下图所示。</w:t>
      </w:r>
    </w:p>
    <w:p w14:paraId="5A45D1B6">
      <w:pPr>
        <w:pStyle w:val="175"/>
      </w:pPr>
      <w:r>
        <w:drawing>
          <wp:inline distT="0" distB="0" distL="114300" distR="114300">
            <wp:extent cx="6113780" cy="729615"/>
            <wp:effectExtent l="0" t="0" r="12700" b="1905"/>
            <wp:docPr id="69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图片 12"/>
                    <pic:cNvPicPr>
                      <a:picLocks noChangeAspect="1"/>
                    </pic:cNvPicPr>
                  </pic:nvPicPr>
                  <pic:blipFill>
                    <a:blip r:embed="rId337"/>
                    <a:stretch>
                      <a:fillRect/>
                    </a:stretch>
                  </pic:blipFill>
                  <pic:spPr>
                    <a:xfrm>
                      <a:off x="0" y="0"/>
                      <a:ext cx="6113780" cy="729615"/>
                    </a:xfrm>
                    <a:prstGeom prst="rect">
                      <a:avLst/>
                    </a:prstGeom>
                    <a:noFill/>
                    <a:ln>
                      <a:noFill/>
                    </a:ln>
                  </pic:spPr>
                </pic:pic>
              </a:graphicData>
            </a:graphic>
          </wp:inline>
        </w:drawing>
      </w:r>
    </w:p>
    <w:p w14:paraId="438B0769"/>
    <w:p w14:paraId="47A82E3F">
      <w:pPr>
        <w:pStyle w:val="202"/>
      </w:pPr>
      <w:r>
        <w:rPr>
          <w:rFonts w:hint="eastAsia"/>
        </w:rPr>
        <w:t>在R2配置OSPF网络</w:t>
      </w:r>
    </w:p>
    <w:p w14:paraId="1A02FE55">
      <w:r>
        <w:rPr>
          <w:rFonts w:hint="eastAsia"/>
        </w:rPr>
        <w:t>点击OSPF显示界面中OSPF实例的</w:t>
      </w:r>
      <w:r>
        <w:t>&lt;</w:t>
      </w:r>
      <w:r>
        <w:rPr>
          <w:rFonts w:hint="eastAsia"/>
        </w:rPr>
        <w:t>OSPF网络</w:t>
      </w:r>
      <w:r>
        <w:t>&gt;</w:t>
      </w:r>
      <w:r>
        <w:rPr>
          <w:rFonts w:hint="eastAsia"/>
        </w:rPr>
        <w:t>按钮，显示OSPF高级配置界面。</w:t>
      </w:r>
    </w:p>
    <w:p w14:paraId="7FE3B561">
      <w:r>
        <w:rPr>
          <w:rFonts w:hint="eastAsia"/>
        </w:rPr>
        <w:t>在高级配置页面中点击&lt;新建&gt;按钮，在弹出的界面中配置IP地址/掩码为：10.1.14.2/24，区域为0。</w:t>
      </w:r>
    </w:p>
    <w:p w14:paraId="5DB23469">
      <w:pPr>
        <w:pStyle w:val="188"/>
      </w:pPr>
      <w:r>
        <w:rPr>
          <w:rFonts w:hint="eastAsia"/>
        </w:rPr>
        <w:t>OSPF网络配置</w:t>
      </w:r>
    </w:p>
    <w:p w14:paraId="189188D2">
      <w:pPr>
        <w:pStyle w:val="175"/>
      </w:pPr>
      <w:r>
        <w:drawing>
          <wp:inline distT="0" distB="0" distL="114300" distR="114300">
            <wp:extent cx="5574665" cy="3093085"/>
            <wp:effectExtent l="0" t="0" r="6985" b="0"/>
            <wp:docPr id="69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图片 23"/>
                    <pic:cNvPicPr>
                      <a:picLocks noChangeAspect="1"/>
                    </pic:cNvPicPr>
                  </pic:nvPicPr>
                  <pic:blipFill>
                    <a:blip r:embed="rId338"/>
                    <a:stretch>
                      <a:fillRect/>
                    </a:stretch>
                  </pic:blipFill>
                  <pic:spPr>
                    <a:xfrm>
                      <a:off x="0" y="0"/>
                      <a:ext cx="5580462" cy="3096395"/>
                    </a:xfrm>
                    <a:prstGeom prst="rect">
                      <a:avLst/>
                    </a:prstGeom>
                    <a:noFill/>
                    <a:ln>
                      <a:noFill/>
                    </a:ln>
                  </pic:spPr>
                </pic:pic>
              </a:graphicData>
            </a:graphic>
          </wp:inline>
        </w:drawing>
      </w:r>
    </w:p>
    <w:p w14:paraId="223AB09D"/>
    <w:p w14:paraId="40964616">
      <w:pPr>
        <w:pStyle w:val="202"/>
      </w:pPr>
      <w:r>
        <w:rPr>
          <w:rFonts w:hint="eastAsia"/>
        </w:rPr>
        <w:t>在R2配置接口地址</w:t>
      </w:r>
    </w:p>
    <w:p w14:paraId="600B85AB">
      <w:r>
        <w:rPr>
          <w:rFonts w:hint="eastAsia"/>
        </w:rPr>
        <w:t>进入“网络配置 &gt; 接口配置”页面，配置ge</w:t>
      </w:r>
      <w:r>
        <w:t>0</w:t>
      </w:r>
      <w:r>
        <w:rPr>
          <w:rFonts w:hint="eastAsia"/>
        </w:rPr>
        <w:t>接口地址为1</w:t>
      </w:r>
      <w:r>
        <w:t>0</w:t>
      </w:r>
      <w:r>
        <w:rPr>
          <w:rFonts w:hint="eastAsia"/>
        </w:rPr>
        <w:t>.1.1</w:t>
      </w:r>
      <w:r>
        <w:t>4</w:t>
      </w:r>
      <w:r>
        <w:rPr>
          <w:rFonts w:hint="eastAsia"/>
        </w:rPr>
        <w:t>.2/24，然后点击&lt;提交&gt;按钮。</w:t>
      </w:r>
    </w:p>
    <w:p w14:paraId="3513DC7F">
      <w:r>
        <w:rPr>
          <w:rFonts w:hint="eastAsia"/>
        </w:rPr>
        <w:t>图3-16配置接口</w:t>
      </w:r>
    </w:p>
    <w:p w14:paraId="55FEB2C7">
      <w:pPr>
        <w:pStyle w:val="175"/>
      </w:pPr>
      <w:r>
        <w:drawing>
          <wp:inline distT="0" distB="0" distL="114300" distR="114300">
            <wp:extent cx="5758180" cy="965200"/>
            <wp:effectExtent l="0" t="0" r="0" b="6350"/>
            <wp:docPr id="72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图片 26"/>
                    <pic:cNvPicPr>
                      <a:picLocks noChangeAspect="1"/>
                    </pic:cNvPicPr>
                  </pic:nvPicPr>
                  <pic:blipFill>
                    <a:blip r:embed="rId339"/>
                    <a:stretch>
                      <a:fillRect/>
                    </a:stretch>
                  </pic:blipFill>
                  <pic:spPr>
                    <a:xfrm>
                      <a:off x="0" y="0"/>
                      <a:ext cx="5777250" cy="968669"/>
                    </a:xfrm>
                    <a:prstGeom prst="rect">
                      <a:avLst/>
                    </a:prstGeom>
                    <a:noFill/>
                    <a:ln>
                      <a:noFill/>
                    </a:ln>
                  </pic:spPr>
                </pic:pic>
              </a:graphicData>
            </a:graphic>
          </wp:inline>
        </w:drawing>
      </w:r>
    </w:p>
    <w:p w14:paraId="271D5070"/>
    <w:p w14:paraId="2AA3B1DB">
      <w:pPr>
        <w:pStyle w:val="6"/>
      </w:pPr>
      <w:r>
        <w:rPr>
          <w:rFonts w:hint="eastAsia"/>
        </w:rPr>
        <w:t>验证配置</w:t>
      </w:r>
    </w:p>
    <w:p w14:paraId="64EAD7E0">
      <w:r>
        <w:rPr>
          <w:rFonts w:hint="eastAsia"/>
        </w:rPr>
        <w:t>查看邻居建立成功。</w:t>
      </w:r>
    </w:p>
    <w:p w14:paraId="2068AADB">
      <w:pPr>
        <w:pStyle w:val="202"/>
      </w:pPr>
      <w:r>
        <w:rPr>
          <w:rFonts w:hint="eastAsia"/>
        </w:rPr>
        <w:t>登录设备Device</w:t>
      </w:r>
      <w:r>
        <w:t>1</w:t>
      </w:r>
      <w:r>
        <w:rPr>
          <w:rFonts w:hint="eastAsia"/>
        </w:rPr>
        <w:t xml:space="preserve">的命令行界面，在enable视图下，使用 </w:t>
      </w:r>
      <w:r>
        <w:rPr>
          <w:rFonts w:hint="eastAsia"/>
          <w:lang w:eastAsia="zh-CN"/>
        </w:rPr>
        <w:t xml:space="preserve">show </w:t>
      </w:r>
      <w:r>
        <w:rPr>
          <w:rFonts w:hint="eastAsia"/>
        </w:rPr>
        <w:t>ip ospf neighbor命令查看邻居状态为“Full/DR”，邻居建立成功。</w:t>
      </w:r>
    </w:p>
    <w:p w14:paraId="6A6F5E69">
      <w:pPr>
        <w:pStyle w:val="188"/>
      </w:pPr>
      <w:r>
        <w:rPr>
          <w:rFonts w:hint="eastAsia"/>
        </w:rPr>
        <w:t>Device</w:t>
      </w:r>
      <w:r>
        <w:t>1</w:t>
      </w:r>
      <w:r>
        <w:rPr>
          <w:rFonts w:hint="eastAsia"/>
        </w:rPr>
        <w:t>邻居状态显示</w:t>
      </w:r>
    </w:p>
    <w:p w14:paraId="4D85CD97">
      <w:r>
        <w:drawing>
          <wp:inline distT="0" distB="0" distL="114300" distR="114300">
            <wp:extent cx="5572125" cy="461645"/>
            <wp:effectExtent l="0" t="0" r="0" b="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340"/>
                    <a:stretch>
                      <a:fillRect/>
                    </a:stretch>
                  </pic:blipFill>
                  <pic:spPr>
                    <a:xfrm>
                      <a:off x="0" y="0"/>
                      <a:ext cx="5613381" cy="465549"/>
                    </a:xfrm>
                    <a:prstGeom prst="rect">
                      <a:avLst/>
                    </a:prstGeom>
                    <a:noFill/>
                    <a:ln>
                      <a:noFill/>
                    </a:ln>
                  </pic:spPr>
                </pic:pic>
              </a:graphicData>
            </a:graphic>
          </wp:inline>
        </w:drawing>
      </w:r>
    </w:p>
    <w:p w14:paraId="212D05D4"/>
    <w:p w14:paraId="5745660A">
      <w:pPr>
        <w:pStyle w:val="202"/>
      </w:pPr>
      <w:r>
        <w:rPr>
          <w:rFonts w:hint="eastAsia"/>
        </w:rPr>
        <w:t>登录设备Device</w:t>
      </w:r>
      <w:r>
        <w:t>2</w:t>
      </w:r>
      <w:r>
        <w:rPr>
          <w:rFonts w:hint="eastAsia"/>
        </w:rPr>
        <w:t xml:space="preserve">的命令行界面，在enable视图下，使用 </w:t>
      </w:r>
      <w:r>
        <w:rPr>
          <w:rFonts w:hint="eastAsia"/>
          <w:lang w:eastAsia="zh-CN"/>
        </w:rPr>
        <w:t xml:space="preserve">show </w:t>
      </w:r>
      <w:r>
        <w:rPr>
          <w:rFonts w:hint="eastAsia"/>
        </w:rPr>
        <w:t>ip ospf neighbor命令查看邻居状态为“Full/ Backup”，邻居建立成功。</w:t>
      </w:r>
    </w:p>
    <w:p w14:paraId="1C68672D">
      <w:pPr>
        <w:pStyle w:val="188"/>
      </w:pPr>
      <w:r>
        <w:rPr>
          <w:rFonts w:hint="eastAsia"/>
        </w:rPr>
        <w:t>Device</w:t>
      </w:r>
      <w:r>
        <w:t>2</w:t>
      </w:r>
      <w:r>
        <w:rPr>
          <w:rFonts w:hint="eastAsia"/>
        </w:rPr>
        <w:t>邻居状态显示</w:t>
      </w:r>
    </w:p>
    <w:p w14:paraId="6C4ADF25">
      <w:r>
        <w:drawing>
          <wp:inline distT="0" distB="0" distL="114300" distR="114300">
            <wp:extent cx="5619750" cy="534670"/>
            <wp:effectExtent l="0" t="0" r="0" b="0"/>
            <wp:docPr id="2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7"/>
                    <pic:cNvPicPr>
                      <a:picLocks noChangeAspect="1"/>
                    </pic:cNvPicPr>
                  </pic:nvPicPr>
                  <pic:blipFill>
                    <a:blip r:embed="rId341"/>
                    <a:stretch>
                      <a:fillRect/>
                    </a:stretch>
                  </pic:blipFill>
                  <pic:spPr>
                    <a:xfrm>
                      <a:off x="0" y="0"/>
                      <a:ext cx="5645890" cy="537256"/>
                    </a:xfrm>
                    <a:prstGeom prst="rect">
                      <a:avLst/>
                    </a:prstGeom>
                    <a:noFill/>
                    <a:ln>
                      <a:noFill/>
                    </a:ln>
                  </pic:spPr>
                </pic:pic>
              </a:graphicData>
            </a:graphic>
          </wp:inline>
        </w:drawing>
      </w:r>
    </w:p>
    <w:p w14:paraId="0F5F7852"/>
    <w:p w14:paraId="5C97883A">
      <w:pPr>
        <w:pStyle w:val="4"/>
      </w:pPr>
      <w:bookmarkStart w:id="2511" w:name="_Toc196728101"/>
      <w:bookmarkStart w:id="2512" w:name="_Toc172218142"/>
      <w:bookmarkStart w:id="2513" w:name="_Toc194080769"/>
      <w:r>
        <w:rPr>
          <w:rFonts w:hint="eastAsia"/>
        </w:rPr>
        <w:t>OSPF</w:t>
      </w:r>
      <w:r>
        <w:t>6</w:t>
      </w:r>
      <w:bookmarkEnd w:id="2511"/>
      <w:bookmarkEnd w:id="2512"/>
      <w:bookmarkEnd w:id="2513"/>
    </w:p>
    <w:p w14:paraId="3C51F9E1">
      <w:pPr>
        <w:pStyle w:val="5"/>
      </w:pPr>
      <w:bookmarkStart w:id="2514" w:name="_Toc194080770"/>
      <w:bookmarkStart w:id="2515" w:name="_Toc172218143"/>
      <w:bookmarkStart w:id="2516" w:name="_Toc196728102"/>
      <w:r>
        <w:rPr>
          <w:rFonts w:hint="eastAsia"/>
        </w:rPr>
        <w:t>简介</w:t>
      </w:r>
      <w:bookmarkEnd w:id="2514"/>
      <w:bookmarkEnd w:id="2515"/>
      <w:bookmarkEnd w:id="2516"/>
    </w:p>
    <w:p w14:paraId="2FEBFA4A">
      <w:r>
        <w:t>OSPFv3</w:t>
      </w:r>
      <w:r>
        <w:rPr>
          <w:rFonts w:hint="eastAsia"/>
        </w:rPr>
        <w:t>是运行于</w:t>
      </w:r>
      <w:r>
        <w:t>IPv6</w:t>
      </w:r>
      <w:r>
        <w:rPr>
          <w:rFonts w:hint="eastAsia"/>
        </w:rPr>
        <w:t>的</w:t>
      </w:r>
      <w:r>
        <w:t>OSPF</w:t>
      </w:r>
      <w:r>
        <w:rPr>
          <w:rFonts w:hint="eastAsia"/>
        </w:rPr>
        <w:t>路由协议（</w:t>
      </w:r>
      <w:r>
        <w:t>RFC2740</w:t>
      </w:r>
      <w:r>
        <w:rPr>
          <w:rFonts w:hint="eastAsia"/>
        </w:rPr>
        <w:t>），它在</w:t>
      </w:r>
      <w:r>
        <w:t>OSPFv2</w:t>
      </w:r>
      <w:r>
        <w:rPr>
          <w:rFonts w:hint="eastAsia"/>
        </w:rPr>
        <w:t>基础上进行了增强，是一个独立的路由协议。</w:t>
      </w:r>
    </w:p>
    <w:p w14:paraId="0AEDC2A7">
      <w:r>
        <w:rPr>
          <w:rFonts w:hint="eastAsia"/>
        </w:rPr>
        <w:t>OSPFv3在Hello报文、状态机、LSDB、洪泛机制和路由计算等方面的工作原理和OSPFv2保持一致。</w:t>
      </w:r>
    </w:p>
    <w:p w14:paraId="5E512502">
      <w:r>
        <w:rPr>
          <w:rFonts w:hint="eastAsia"/>
        </w:rPr>
        <w:t>OSPFv3协议把自治系统划分成逻辑意义上的一个或多个区域，通过LSA（Link State Advertisement）的形式发布路由</w:t>
      </w:r>
    </w:p>
    <w:p w14:paraId="6A059B3C">
      <w:r>
        <w:rPr>
          <w:rFonts w:hint="eastAsia"/>
        </w:rPr>
        <w:t>OSPFv3依靠在OSPFv3区域内各路由器交互OSPFv3报文来达到路由信息的统一。</w:t>
      </w:r>
    </w:p>
    <w:p w14:paraId="74214102">
      <w:r>
        <w:rPr>
          <w:rFonts w:hint="eastAsia"/>
        </w:rPr>
        <w:t>OSPFv3报文封装在IPv6报文内，可以采用单播和组播的形式发送。</w:t>
      </w:r>
    </w:p>
    <w:p w14:paraId="064F5BE7"/>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662BCEDD">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4144CF30">
            <w:pPr>
              <w:pStyle w:val="150"/>
              <w:adjustRightInd w:val="0"/>
              <w:snapToGrid w:val="0"/>
              <w:rPr>
                <w:color w:val="auto"/>
              </w:rPr>
            </w:pPr>
            <w:r>
              <w:rPr>
                <w:b/>
                <w:color w:val="auto"/>
              </w:rPr>
              <w:drawing>
                <wp:inline distT="0" distB="0" distL="0" distR="0">
                  <wp:extent cx="283210" cy="283210"/>
                  <wp:effectExtent l="0" t="0" r="2540" b="2540"/>
                  <wp:docPr id="757" name="图片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图片 75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07CD330B">
            <w:pPr>
              <w:pStyle w:val="150"/>
              <w:adjustRightInd w:val="0"/>
              <w:snapToGrid w:val="0"/>
              <w:rPr>
                <w:color w:val="auto"/>
              </w:rPr>
            </w:pPr>
            <w:r>
              <w:rPr>
                <w:rFonts w:hint="eastAsia"/>
                <w:color w:val="auto"/>
              </w:rPr>
              <w:t>本章所介绍的配置都是指OSPF version 3。</w:t>
            </w:r>
          </w:p>
        </w:tc>
      </w:tr>
    </w:tbl>
    <w:p w14:paraId="4DEE9F3E"/>
    <w:p w14:paraId="2D856471">
      <w:pPr>
        <w:pStyle w:val="5"/>
      </w:pPr>
      <w:bookmarkStart w:id="2517" w:name="_Toc172218144"/>
      <w:bookmarkStart w:id="2518" w:name="_Toc194080771"/>
      <w:bookmarkStart w:id="2519" w:name="_Toc196728103"/>
      <w:r>
        <w:rPr>
          <w:rFonts w:hint="eastAsia"/>
        </w:rPr>
        <w:t>OSPFv</w:t>
      </w:r>
      <w:r>
        <w:t>6</w:t>
      </w:r>
      <w:r>
        <w:rPr>
          <w:rFonts w:hint="eastAsia"/>
        </w:rPr>
        <w:t>的特点</w:t>
      </w:r>
      <w:bookmarkEnd w:id="2517"/>
      <w:bookmarkEnd w:id="2518"/>
      <w:bookmarkEnd w:id="2519"/>
    </w:p>
    <w:p w14:paraId="716B0D61">
      <w:r>
        <w:rPr>
          <w:rFonts w:hint="eastAsia"/>
        </w:rPr>
        <w:t>OSPF是一种链路状态路由协议。它具有标准开放、收敛迅速、无环路、便于层级化设计等众多优点。IPv4网络中广泛使用的OSPFv2协议由于在报文内</w:t>
      </w:r>
      <w:r>
        <w:t xml:space="preserve"> </w:t>
      </w:r>
      <w:r>
        <w:rPr>
          <w:rFonts w:hint="eastAsia"/>
        </w:rPr>
        <w:t>容、运行机制等方面与IPv4地址联系得过于紧密，大大制约了它的可扩展性和适应性。在IPv6环境中，为了使OSPF更好的应用，同时保留原有的众多优点，因此，在OSPFv2的基础上作了多方面的修改后产生了OSPFv3协议。</w:t>
      </w:r>
    </w:p>
    <w:p w14:paraId="32ED2346">
      <w:r>
        <w:rPr>
          <w:rFonts w:hint="eastAsia"/>
        </w:rPr>
        <w:t>OSPFv3相比OSPFv2作出的改进可以分为几个方面来描述。</w:t>
      </w:r>
    </w:p>
    <w:p w14:paraId="4E6EF099">
      <w:pPr>
        <w:pStyle w:val="6"/>
      </w:pPr>
      <w:r>
        <w:rPr>
          <w:rFonts w:hint="eastAsia"/>
        </w:rPr>
        <w:t>OSPFv</w:t>
      </w:r>
      <w:r>
        <w:t>6</w:t>
      </w:r>
      <w:r>
        <w:rPr>
          <w:rFonts w:hint="eastAsia"/>
        </w:rPr>
        <w:t>独立于网络协议</w:t>
      </w:r>
    </w:p>
    <w:p w14:paraId="1110F1F4">
      <w:pPr>
        <w:pStyle w:val="162"/>
      </w:pPr>
      <w:r>
        <w:rPr>
          <w:rFonts w:hint="eastAsia"/>
        </w:rPr>
        <w:t>OSPFv3基于链路运行</w:t>
      </w:r>
    </w:p>
    <w:p w14:paraId="521EE559">
      <w:r>
        <w:rPr>
          <w:rFonts w:hint="eastAsia"/>
        </w:rPr>
        <w:t>OSPFv2协议是基于子网运行的，邻居之间形成邻接关系的必要条件之一就是两端的IP地址属于同一网段而且掩码相同。而OSPFv3协议基于链路运行，与具体的IPv6地址、前缀分离开，</w:t>
      </w:r>
      <w:r>
        <w:rPr>
          <w:rFonts w:hint="eastAsia"/>
          <w:shd w:val="clear" w:color="auto" w:fill="FFFFFF"/>
        </w:rPr>
        <w:t>即使同一链路上的不同节点具有不同网段的IPv6地址时，协议也可以正常运行</w:t>
      </w:r>
      <w:r>
        <w:rPr>
          <w:rFonts w:hint="eastAsia"/>
        </w:rPr>
        <w:t>。</w:t>
      </w:r>
    </w:p>
    <w:p w14:paraId="06515AA8">
      <w:pPr>
        <w:pStyle w:val="162"/>
      </w:pPr>
      <w:r>
        <w:rPr>
          <w:rFonts w:hint="eastAsia"/>
        </w:rPr>
        <w:t>编址性语义的取消</w:t>
      </w:r>
    </w:p>
    <w:p w14:paraId="7A0F91E8">
      <w:r>
        <w:rPr>
          <w:rFonts w:hint="eastAsia"/>
        </w:rPr>
        <w:t>在OSPFv2中，协议分组和LSA中的许多字段都是来自于网络上的某个IP地址、掩码或某个IP子网号。报文的数据内容决定了OSPFv2的多种机制必须基于IPv4来进行，包括邻居路由器标识、邻居建立等等。</w:t>
      </w:r>
    </w:p>
    <w:p w14:paraId="425D57EF">
      <w:r>
        <w:rPr>
          <w:rFonts w:hint="eastAsia"/>
        </w:rPr>
        <w:t>在OSPFv3中取消了这些编址性语义，而只保留协议运行必须的核心内容。比如，</w:t>
      </w:r>
      <w:r>
        <w:rPr>
          <w:rFonts w:hint="eastAsia"/>
          <w:shd w:val="clear" w:color="auto" w:fill="FFFFFF"/>
        </w:rPr>
        <w:t>Router-LSA和Network-LSA中不再包含网络地址，而只用于传递拓扑信息</w:t>
      </w:r>
      <w:r>
        <w:rPr>
          <w:rFonts w:hint="eastAsia"/>
        </w:rPr>
        <w:t>；LSA的Link</w:t>
      </w:r>
      <w:r>
        <w:t xml:space="preserve"> State </w:t>
      </w:r>
      <w:r>
        <w:rPr>
          <w:rFonts w:hint="eastAsia"/>
        </w:rPr>
        <w:t>ID依然保留32位长度的IPv4地址格式，但只是一个编号，不再包含地址信息；邻居路由器，包括DR和BDR，都是用Router</w:t>
      </w:r>
      <w:r>
        <w:t xml:space="preserve"> </w:t>
      </w:r>
      <w:r>
        <w:rPr>
          <w:rFonts w:hint="eastAsia"/>
        </w:rPr>
        <w:t>ID来标识。这些保证了OSPFv3协议能够独立于网络协议运行。</w:t>
      </w:r>
    </w:p>
    <w:p w14:paraId="12033FF9">
      <w:pPr>
        <w:pStyle w:val="162"/>
      </w:pPr>
      <w:r>
        <w:rPr>
          <w:rFonts w:hint="eastAsia"/>
        </w:rPr>
        <w:t>链路本地地址的使用</w:t>
      </w:r>
    </w:p>
    <w:p w14:paraId="21B9E643">
      <w:r>
        <w:rPr>
          <w:rFonts w:hint="eastAsia"/>
        </w:rPr>
        <w:t>OSPFv2协议要求，每一个运行OSPF的接口都必须有一个全局的IPv4地址，即使是在网络中仅仅用于传输转发的中间节点也必须如此，协议的运行和路</w:t>
      </w:r>
      <w:r>
        <w:t xml:space="preserve"> </w:t>
      </w:r>
      <w:r>
        <w:rPr>
          <w:rFonts w:hint="eastAsia"/>
        </w:rPr>
        <w:t>由的计算都依赖于这个地址。而在IPv6中，每个接口都会分配本地链路地址（link-local</w:t>
      </w:r>
      <w:r>
        <w:t xml:space="preserve"> </w:t>
      </w:r>
      <w:r>
        <w:rPr>
          <w:rFonts w:hint="eastAsia"/>
        </w:rPr>
        <w:t>address），这个地址只在本地链路有效，并不会在整个网络中传播。OSPFv3使用这个本地链路地址作为协议分组发送的源地址（虚连接除外）和路由</w:t>
      </w:r>
      <w:r>
        <w:t xml:space="preserve"> </w:t>
      </w:r>
      <w:r>
        <w:rPr>
          <w:rFonts w:hint="eastAsia"/>
        </w:rPr>
        <w:t>的下一跳，在网络规划时就不需要在大量的中间节点规划子网，同样也不需要专门配置IPv6地址。这样，一方面可以节省大量的全局地址，另一方面可以说协议的运行独立于IPv6，可以方便的对协议进行扩展，实现组播选路等其他的功能。</w:t>
      </w:r>
    </w:p>
    <w:p w14:paraId="73C351A8">
      <w:pPr>
        <w:pStyle w:val="162"/>
      </w:pPr>
      <w:r>
        <w:rPr>
          <w:rFonts w:hint="eastAsia"/>
        </w:rPr>
        <w:t>使用专门的LSA来发布路由前缀信息</w:t>
      </w:r>
    </w:p>
    <w:p w14:paraId="27209883">
      <w:r>
        <w:rPr>
          <w:rFonts w:hint="eastAsia"/>
        </w:rPr>
        <w:t>OSPFv2通过Router-LSA和Network-LSA来发布区域内的路由信息和计算拓扑，所以OSPFv2的拓扑结构与IPv4网络信息是密不可分的。为了改变这种状况，在OSPFv3中，Router-LSA和Network-LSA中仅保留拓扑信息；同时增加了Intra-Area-Prefix-LSA和Link-LSA，分别用于传递区域内路由前缀和传递链路范围内的IPv6前缀。拓扑信息与前缀信息的分离，使得OSPFv3的运行更加独立于网络协议。</w:t>
      </w:r>
    </w:p>
    <w:p w14:paraId="2887A472">
      <w:pPr>
        <w:pStyle w:val="6"/>
      </w:pPr>
      <w:r>
        <w:rPr>
          <w:rFonts w:hint="eastAsia"/>
        </w:rPr>
        <w:t>OSPFv3的结构更加清晰</w:t>
      </w:r>
    </w:p>
    <w:p w14:paraId="76BC6E7F">
      <w:pPr>
        <w:pStyle w:val="162"/>
      </w:pPr>
      <w:r>
        <w:rPr>
          <w:rFonts w:hint="eastAsia"/>
        </w:rPr>
        <w:t>OSPFv3取消了协议报文的验证字段</w:t>
      </w:r>
    </w:p>
    <w:p w14:paraId="35E7EA1C">
      <w:r>
        <w:rPr>
          <w:rFonts w:hint="eastAsia"/>
        </w:rPr>
        <w:t>在OSPFv2中使用了专门的验证字段。而在OSPFv3中使用IPv6标准的验证方式（IP AH和IP ESP）来保证信息传递的安全性，这样一来，既减轻了协议开销，也在一定程度上简化了协议处理流程。</w:t>
      </w:r>
    </w:p>
    <w:p w14:paraId="1D0D0446">
      <w:pPr>
        <w:pStyle w:val="162"/>
      </w:pPr>
      <w:r>
        <w:rPr>
          <w:rFonts w:hint="eastAsia"/>
        </w:rPr>
        <w:t>OSPFv3更加明确了LSA泛洪范围</w:t>
      </w:r>
    </w:p>
    <w:p w14:paraId="1769AB94">
      <w:r>
        <w:rPr>
          <w:rFonts w:hint="eastAsia"/>
        </w:rPr>
        <w:t>在OSPFv3中，明确了LSA泛洪的三种范围：本地链路范围（Link-local scope）、区域范围（Area scope）、AS范围（AS scope），并且在LS_Type中增加了专门的字段进行说明。因此，OSPFv3协议在处理LSA泛洪时不再像OSPFv2中需要根据不同的LSA类型来判断LSA泛洪的范围，而是直接根据专门的字段进行处理就可以了。</w:t>
      </w:r>
    </w:p>
    <w:p w14:paraId="4BE7FE71">
      <w:pPr>
        <w:pStyle w:val="6"/>
      </w:pPr>
      <w:r>
        <w:rPr>
          <w:rFonts w:hint="eastAsia"/>
        </w:rPr>
        <w:t>OSPFv3的可扩展性和适应性更佳</w:t>
      </w:r>
    </w:p>
    <w:p w14:paraId="1E191F4D">
      <w:pPr>
        <w:pStyle w:val="162"/>
      </w:pPr>
      <w:r>
        <w:rPr>
          <w:rFonts w:hint="eastAsia"/>
        </w:rPr>
        <w:t>OSPFv3支持多实例</w:t>
      </w:r>
    </w:p>
    <w:p w14:paraId="44D2962D">
      <w:r>
        <w:rPr>
          <w:rFonts w:hint="eastAsia"/>
        </w:rPr>
        <w:t>OSPFv2协议规定，不同的实例必须运行在不同的链路上。OSPFv3协议则提供了对多实例的明确支持，通过在协议报文中增加“instance ID”字段，同时规定，接收报文时对该字段进行判断，只有实例号匹配的报文才会处理，否则丢弃。这样，即使是在同一链路上也可以运行多个OSPF实例了，而且独立运行不会互相影响。</w:t>
      </w:r>
    </w:p>
    <w:p w14:paraId="5DD827F1">
      <w:pPr>
        <w:pStyle w:val="162"/>
      </w:pPr>
      <w:r>
        <w:rPr>
          <w:rFonts w:hint="eastAsia"/>
        </w:rPr>
        <w:t>对未知类型LSA的处理</w:t>
      </w:r>
    </w:p>
    <w:p w14:paraId="48814275">
      <w:r>
        <w:rPr>
          <w:rFonts w:hint="eastAsia"/>
        </w:rPr>
        <w:t>在OSPFv2中，当路由器收到自己不支持的LSA时，仅仅是作简单的丢弃处理。这样，当能力不同的路由器混合组网时，整个网络的处理能力就会受限于能力最低的路由器。最为突出的是在广播（或NBMA）网络中，如果DR不支持可选类型的LSA，则DR不能处理的LSA就不能在非DR路由器之间交互了。</w:t>
      </w:r>
    </w:p>
    <w:p w14:paraId="21DF70A7">
      <w:r>
        <w:rPr>
          <w:rFonts w:hint="eastAsia"/>
        </w:rPr>
        <w:t>在OSPFv3中，对未知类型的LSA的处理作了新的规定：根据LSA中特定字段来进行判断，可以将其泛洪范围限定在本地链路范围内，也可以将其当作已知类型的LSA，根据其中的“泛洪范围”字段发送出去。这样一来，即使网络中某些路由器的能力有限也不会影响某些特殊LSA的传播，从而具备了更好的适应性。</w:t>
      </w:r>
    </w:p>
    <w:p w14:paraId="13F16A99">
      <w:pPr>
        <w:pStyle w:val="5"/>
      </w:pPr>
      <w:bookmarkStart w:id="2520" w:name="_Toc172218145"/>
      <w:bookmarkStart w:id="2521" w:name="_Toc196728104"/>
      <w:bookmarkStart w:id="2522" w:name="_Toc194080772"/>
      <w:r>
        <w:rPr>
          <w:rFonts w:hint="eastAsia"/>
        </w:rPr>
        <w:t>OSPFv</w:t>
      </w:r>
      <w:r>
        <w:t>6</w:t>
      </w:r>
      <w:r>
        <w:rPr>
          <w:rFonts w:hint="eastAsia"/>
        </w:rPr>
        <w:t>配置</w:t>
      </w:r>
      <w:bookmarkEnd w:id="2520"/>
      <w:bookmarkEnd w:id="2521"/>
      <w:bookmarkEnd w:id="2522"/>
    </w:p>
    <w:p w14:paraId="2F931E57">
      <w:pPr>
        <w:pStyle w:val="6"/>
      </w:pPr>
      <w:r>
        <w:rPr>
          <w:rFonts w:hint="eastAsia"/>
        </w:rPr>
        <w:t>配置OSPF</w:t>
      </w:r>
      <w:r>
        <w:t>6</w:t>
      </w:r>
      <w:r>
        <w:rPr>
          <w:rFonts w:hint="eastAsia"/>
        </w:rPr>
        <w:t>实例</w:t>
      </w:r>
    </w:p>
    <w:p w14:paraId="39FFB045">
      <w:r>
        <w:rPr>
          <w:rFonts w:hint="eastAsia"/>
        </w:rPr>
        <w:t>通过菜单“网络配置 &gt; 路由管理 &gt;</w:t>
      </w:r>
      <w:r>
        <w:t xml:space="preserve"> </w:t>
      </w:r>
      <w:r>
        <w:rPr>
          <w:rFonts w:hint="eastAsia"/>
        </w:rPr>
        <w:t>OSPF</w:t>
      </w:r>
      <w:r>
        <w:t>6</w:t>
      </w:r>
      <w:r>
        <w:rPr>
          <w:rFonts w:hint="eastAsia"/>
        </w:rPr>
        <w:t>信息”，进入OSPF</w:t>
      </w:r>
      <w:r>
        <w:t>6</w:t>
      </w:r>
      <w:r>
        <w:rPr>
          <w:rFonts w:hint="eastAsia"/>
        </w:rPr>
        <w:t>配置的显示界面，</w:t>
      </w:r>
      <w:r>
        <w:rPr>
          <w:rFonts w:hint="eastAsia"/>
          <w:bCs/>
        </w:rPr>
        <w:t>查看</w:t>
      </w:r>
      <w:r>
        <w:rPr>
          <w:rFonts w:hint="eastAsia"/>
        </w:rPr>
        <w:t>设备上已经配置的</w:t>
      </w:r>
      <w:r>
        <w:t>OSPFv3</w:t>
      </w:r>
      <w:r>
        <w:rPr>
          <w:rFonts w:hint="eastAsia"/>
        </w:rPr>
        <w:t>实例。勾选“启用”后开启</w:t>
      </w:r>
      <w:r>
        <w:t>OSPFv3</w:t>
      </w:r>
      <w:r>
        <w:rPr>
          <w:rFonts w:hint="eastAsia"/>
        </w:rPr>
        <w:t>路由功能，禁用会删除所有</w:t>
      </w:r>
      <w:r>
        <w:t>OSPFv3</w:t>
      </w:r>
      <w:r>
        <w:rPr>
          <w:rFonts w:hint="eastAsia"/>
        </w:rPr>
        <w:t>实例。启用后可以新建</w:t>
      </w:r>
      <w:r>
        <w:t>OSPFv3</w:t>
      </w:r>
      <w:r>
        <w:rPr>
          <w:rFonts w:hint="eastAsia"/>
        </w:rPr>
        <w:t>实例，如果未启用，新建时将会自动启用。</w:t>
      </w:r>
    </w:p>
    <w:p w14:paraId="211A178B">
      <w:pPr>
        <w:pStyle w:val="188"/>
      </w:pPr>
      <w:r>
        <w:rPr>
          <w:rFonts w:hint="eastAsia"/>
        </w:rPr>
        <w:t>OSPF</w:t>
      </w:r>
      <w:r>
        <w:t>v3</w:t>
      </w:r>
      <w:r>
        <w:rPr>
          <w:rFonts w:hint="eastAsia"/>
        </w:rPr>
        <w:t>实例列表</w:t>
      </w:r>
    </w:p>
    <w:p w14:paraId="0105E61F">
      <w:r>
        <w:drawing>
          <wp:inline distT="0" distB="0" distL="0" distR="0">
            <wp:extent cx="5097780" cy="955040"/>
            <wp:effectExtent l="0" t="0" r="7620" b="0"/>
            <wp:docPr id="1534582069" name="图片 153458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69" name="图片 1534582069"/>
                    <pic:cNvPicPr>
                      <a:picLocks noChangeAspect="1"/>
                    </pic:cNvPicPr>
                  </pic:nvPicPr>
                  <pic:blipFill>
                    <a:blip r:embed="rId342"/>
                    <a:stretch>
                      <a:fillRect/>
                    </a:stretch>
                  </pic:blipFill>
                  <pic:spPr>
                    <a:xfrm>
                      <a:off x="0" y="0"/>
                      <a:ext cx="5110201" cy="957466"/>
                    </a:xfrm>
                    <a:prstGeom prst="rect">
                      <a:avLst/>
                    </a:prstGeom>
                  </pic:spPr>
                </pic:pic>
              </a:graphicData>
            </a:graphic>
          </wp:inline>
        </w:drawing>
      </w:r>
    </w:p>
    <w:p w14:paraId="5A59F6B2"/>
    <w:p w14:paraId="202FECB2"/>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70B6D8A6">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046B24A5">
            <w:pPr>
              <w:pStyle w:val="150"/>
              <w:adjustRightInd w:val="0"/>
              <w:snapToGrid w:val="0"/>
              <w:rPr>
                <w:color w:val="auto"/>
              </w:rPr>
            </w:pPr>
            <w:r>
              <w:rPr>
                <w:b/>
                <w:color w:val="00A0E9"/>
              </w:rPr>
              <w:drawing>
                <wp:inline distT="0" distB="0" distL="0" distR="0">
                  <wp:extent cx="260350" cy="260350"/>
                  <wp:effectExtent l="0" t="0" r="6350" b="6350"/>
                  <wp:docPr id="759" name="图片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图片 759"/>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0470" cy="260470"/>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1D696E3D">
            <w:pPr>
              <w:pStyle w:val="150"/>
              <w:adjustRightInd w:val="0"/>
              <w:snapToGrid w:val="0"/>
              <w:rPr>
                <w:color w:val="auto"/>
              </w:rPr>
            </w:pPr>
            <w:r>
              <w:rPr>
                <w:rFonts w:hint="eastAsia"/>
                <w:color w:val="auto"/>
              </w:rPr>
              <w:t>创建OSPFv3实例后，如果关闭“启用”开关会删除所有实例和接口下OSPFv3相关配置。</w:t>
            </w:r>
          </w:p>
        </w:tc>
      </w:tr>
    </w:tbl>
    <w:p w14:paraId="70F734F4"/>
    <w:p w14:paraId="699834DD">
      <w:r>
        <w:rPr>
          <w:rFonts w:hint="eastAsia"/>
        </w:rPr>
        <w:t>点击&lt;新建&gt;，新建OSPF</w:t>
      </w:r>
      <w:r>
        <w:t>v3</w:t>
      </w:r>
      <w:r>
        <w:rPr>
          <w:rFonts w:hint="eastAsia"/>
        </w:rPr>
        <w:t>实例</w:t>
      </w:r>
      <w:r>
        <w:t>，</w:t>
      </w:r>
      <w:r>
        <w:rPr>
          <w:rFonts w:hint="eastAsia"/>
        </w:rPr>
        <w:t>配置OSPF</w:t>
      </w:r>
      <w:r>
        <w:t>v3</w:t>
      </w:r>
      <w:r>
        <w:rPr>
          <w:rFonts w:hint="eastAsia"/>
        </w:rPr>
        <w:t>协议的相关信息，点击&lt;提交&gt;。</w:t>
      </w:r>
    </w:p>
    <w:p w14:paraId="0F30F813">
      <w:pPr>
        <w:pStyle w:val="188"/>
      </w:pPr>
      <w:r>
        <w:rPr>
          <w:rFonts w:hint="eastAsia"/>
        </w:rPr>
        <w:t>OSPF</w:t>
      </w:r>
      <w:r>
        <w:t>v3</w:t>
      </w:r>
      <w:r>
        <w:rPr>
          <w:rFonts w:hint="eastAsia"/>
        </w:rPr>
        <w:t>实例配置界面</w:t>
      </w:r>
    </w:p>
    <w:p w14:paraId="64A9B90E">
      <w:pPr>
        <w:pStyle w:val="175"/>
      </w:pPr>
      <w:r>
        <w:drawing>
          <wp:inline distT="0" distB="0" distL="0" distR="0">
            <wp:extent cx="5501640" cy="2926080"/>
            <wp:effectExtent l="0" t="0" r="3810" b="7620"/>
            <wp:docPr id="1534582072" name="图片 153458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72" name="图片 1534582072"/>
                    <pic:cNvPicPr>
                      <a:picLocks noChangeAspect="1"/>
                    </pic:cNvPicPr>
                  </pic:nvPicPr>
                  <pic:blipFill>
                    <a:blip r:embed="rId343"/>
                    <a:stretch>
                      <a:fillRect/>
                    </a:stretch>
                  </pic:blipFill>
                  <pic:spPr>
                    <a:xfrm>
                      <a:off x="0" y="0"/>
                      <a:ext cx="5505203" cy="2928226"/>
                    </a:xfrm>
                    <a:prstGeom prst="rect">
                      <a:avLst/>
                    </a:prstGeom>
                  </pic:spPr>
                </pic:pic>
              </a:graphicData>
            </a:graphic>
          </wp:inline>
        </w:drawing>
      </w:r>
    </w:p>
    <w:p w14:paraId="5E2D4B37"/>
    <w:p w14:paraId="0AAB63DC">
      <w:pPr>
        <w:pStyle w:val="183"/>
      </w:pPr>
      <w:r>
        <w:rPr>
          <w:rFonts w:hint="eastAsia"/>
        </w:rPr>
        <w:t>OSPF6各配置项说明</w:t>
      </w:r>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76"/>
        <w:gridCol w:w="6592"/>
      </w:tblGrid>
      <w:tr w14:paraId="0C4E81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tcBorders>
              <w:tl2br w:val="nil"/>
              <w:tr2bl w:val="nil"/>
            </w:tcBorders>
            <w:shd w:val="clear" w:color="auto" w:fill="538135" w:themeFill="accent6" w:themeFillShade="BF"/>
            <w:vAlign w:val="center"/>
          </w:tcPr>
          <w:p w14:paraId="6C22B175">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92" w:type="dxa"/>
            <w:tcBorders>
              <w:tl2br w:val="nil"/>
              <w:tr2bl w:val="nil"/>
            </w:tcBorders>
            <w:shd w:val="clear" w:color="auto" w:fill="538135" w:themeFill="accent6" w:themeFillShade="BF"/>
            <w:vAlign w:val="center"/>
          </w:tcPr>
          <w:p w14:paraId="09FEBABC">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B9A0D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3AB9F038">
            <w:pPr>
              <w:pStyle w:val="186"/>
              <w:widowControl w:val="0"/>
              <w:spacing w:line="240" w:lineRule="auto"/>
              <w:ind w:firstLine="0"/>
              <w:jc w:val="left"/>
            </w:pPr>
            <w:r>
              <w:rPr>
                <w:rFonts w:hint="eastAsia"/>
              </w:rPr>
              <w:t>VRF</w:t>
            </w:r>
          </w:p>
        </w:tc>
        <w:tc>
          <w:tcPr>
            <w:tcW w:w="6592" w:type="dxa"/>
            <w:shd w:val="clear" w:color="auto" w:fill="auto"/>
          </w:tcPr>
          <w:p w14:paraId="0A417109">
            <w:pPr>
              <w:pStyle w:val="186"/>
              <w:widowControl w:val="0"/>
              <w:spacing w:line="240" w:lineRule="auto"/>
              <w:ind w:firstLine="0"/>
              <w:jc w:val="left"/>
            </w:pPr>
            <w:r>
              <w:rPr>
                <w:rFonts w:hint="eastAsia"/>
              </w:rPr>
              <w:t>指定OSPF</w:t>
            </w:r>
            <w:r>
              <w:t>v3</w:t>
            </w:r>
            <w:r>
              <w:rPr>
                <w:rFonts w:hint="eastAsia"/>
              </w:rPr>
              <w:t>实例绑定的VRF。</w:t>
            </w:r>
            <w:r>
              <w:t>创建多个</w:t>
            </w:r>
            <w:r>
              <w:rPr>
                <w:rFonts w:hint="eastAsia"/>
              </w:rPr>
              <w:t>OSPF</w:t>
            </w:r>
            <w:r>
              <w:t>v3实例时需要为每个实例绑定不同VRF使用</w:t>
            </w:r>
            <w:r>
              <w:rPr>
                <w:rFonts w:hint="eastAsia"/>
              </w:rPr>
              <w:t>，每个实例只能绑定一个VRF。</w:t>
            </w:r>
          </w:p>
        </w:tc>
      </w:tr>
      <w:tr w14:paraId="145424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30117A9F">
            <w:pPr>
              <w:pStyle w:val="186"/>
              <w:widowControl w:val="0"/>
              <w:spacing w:line="240" w:lineRule="auto"/>
              <w:ind w:firstLine="0"/>
              <w:jc w:val="left"/>
            </w:pPr>
            <w:r>
              <w:rPr>
                <w:rFonts w:hint="eastAsia"/>
              </w:rPr>
              <w:t>描述</w:t>
            </w:r>
          </w:p>
        </w:tc>
        <w:tc>
          <w:tcPr>
            <w:tcW w:w="6592" w:type="dxa"/>
            <w:shd w:val="clear" w:color="auto" w:fill="auto"/>
          </w:tcPr>
          <w:p w14:paraId="299A023A">
            <w:pPr>
              <w:pStyle w:val="186"/>
              <w:widowControl w:val="0"/>
              <w:spacing w:line="240" w:lineRule="auto"/>
              <w:ind w:firstLine="0"/>
              <w:jc w:val="left"/>
            </w:pPr>
            <w:r>
              <w:rPr>
                <w:rFonts w:hint="eastAsia"/>
              </w:rPr>
              <w:t>OSPF</w:t>
            </w:r>
            <w:r>
              <w:t>v3</w:t>
            </w:r>
            <w:r>
              <w:rPr>
                <w:rFonts w:hint="eastAsia"/>
              </w:rPr>
              <w:t>实例的描述信息。</w:t>
            </w:r>
          </w:p>
        </w:tc>
      </w:tr>
      <w:tr w14:paraId="252263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7AF968F5">
            <w:pPr>
              <w:pStyle w:val="186"/>
              <w:widowControl w:val="0"/>
              <w:spacing w:line="240" w:lineRule="auto"/>
              <w:ind w:firstLine="0"/>
              <w:jc w:val="left"/>
            </w:pPr>
            <w:r>
              <w:rPr>
                <w:rFonts w:hint="eastAsia"/>
              </w:rPr>
              <w:t>管理距离</w:t>
            </w:r>
          </w:p>
        </w:tc>
        <w:tc>
          <w:tcPr>
            <w:tcW w:w="6592" w:type="dxa"/>
            <w:shd w:val="clear" w:color="auto" w:fill="auto"/>
          </w:tcPr>
          <w:p w14:paraId="4D3C80B4">
            <w:pPr>
              <w:pStyle w:val="186"/>
              <w:widowControl w:val="0"/>
              <w:spacing w:line="240" w:lineRule="auto"/>
              <w:ind w:firstLine="0"/>
              <w:jc w:val="left"/>
            </w:pPr>
            <w:r>
              <w:rPr>
                <w:rFonts w:hint="eastAsia"/>
              </w:rPr>
              <w:t>OSPF</w:t>
            </w:r>
            <w:r>
              <w:t>v3</w:t>
            </w:r>
            <w:r>
              <w:rPr>
                <w:rFonts w:hint="eastAsia"/>
              </w:rPr>
              <w:t>实例管理距离(Distance)</w:t>
            </w:r>
          </w:p>
        </w:tc>
      </w:tr>
      <w:tr w14:paraId="06E39F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334CB42C">
            <w:pPr>
              <w:pStyle w:val="186"/>
              <w:widowControl w:val="0"/>
              <w:spacing w:line="240" w:lineRule="auto"/>
              <w:ind w:firstLine="0"/>
              <w:jc w:val="left"/>
            </w:pPr>
            <w:r>
              <w:rPr>
                <w:rFonts w:hint="eastAsia"/>
              </w:rPr>
              <w:t>路由器ID</w:t>
            </w:r>
          </w:p>
        </w:tc>
        <w:tc>
          <w:tcPr>
            <w:tcW w:w="6592" w:type="dxa"/>
            <w:shd w:val="clear" w:color="auto" w:fill="auto"/>
          </w:tcPr>
          <w:p w14:paraId="20A8CD95">
            <w:pPr>
              <w:pStyle w:val="186"/>
              <w:widowControl w:val="0"/>
              <w:spacing w:line="240" w:lineRule="auto"/>
              <w:ind w:firstLine="0"/>
              <w:jc w:val="left"/>
            </w:pPr>
            <w:r>
              <w:rPr>
                <w:rFonts w:hint="eastAsia"/>
              </w:rPr>
              <w:t>OSPF</w:t>
            </w:r>
            <w:r>
              <w:t>v3</w:t>
            </w:r>
            <w:r>
              <w:rPr>
                <w:rFonts w:hint="eastAsia"/>
              </w:rPr>
              <w:t>路由器ID。路由ID是每个路由器在整个OSPF</w:t>
            </w:r>
            <w:r>
              <w:t>v3</w:t>
            </w:r>
            <w:r>
              <w:rPr>
                <w:rFonts w:hint="eastAsia"/>
              </w:rPr>
              <w:t>域中唯一标识，使用IP地址的形式表示，每台运行OSPF</w:t>
            </w:r>
            <w:r>
              <w:t>v3</w:t>
            </w:r>
            <w:r>
              <w:rPr>
                <w:rFonts w:hint="eastAsia"/>
              </w:rPr>
              <w:t>协议的路由器都必须拥有一个路由ID。如未指定，系统将首先挑选IP地址最大的环回地址作为路由器ID，若无环回地址，则在接口状态为up的物理接口中选取最大的IP地址作为路由器ID。</w:t>
            </w:r>
          </w:p>
        </w:tc>
      </w:tr>
      <w:tr w14:paraId="581388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656CB691">
            <w:pPr>
              <w:pStyle w:val="186"/>
              <w:widowControl w:val="0"/>
              <w:spacing w:line="240" w:lineRule="auto"/>
              <w:ind w:firstLine="0"/>
              <w:jc w:val="left"/>
            </w:pPr>
            <w:r>
              <w:rPr>
                <w:rFonts w:hint="eastAsia"/>
              </w:rPr>
              <w:t>路由重发布</w:t>
            </w:r>
          </w:p>
        </w:tc>
        <w:tc>
          <w:tcPr>
            <w:tcW w:w="6592" w:type="dxa"/>
            <w:shd w:val="clear" w:color="auto" w:fill="auto"/>
          </w:tcPr>
          <w:p w14:paraId="16A4CA6B">
            <w:pPr>
              <w:pStyle w:val="207"/>
              <w:numPr>
                <w:ilvl w:val="0"/>
                <w:numId w:val="24"/>
              </w:numPr>
              <w:rPr>
                <w:lang w:eastAsia="zh-CN"/>
              </w:rPr>
            </w:pPr>
            <w:r>
              <w:rPr>
                <w:rFonts w:hint="eastAsia"/>
                <w:lang w:eastAsia="zh-CN"/>
              </w:rPr>
              <w:t>直连路由：设置是否通过OSPF</w:t>
            </w:r>
            <w:r>
              <w:rPr>
                <w:lang w:eastAsia="zh-CN"/>
              </w:rPr>
              <w:t>v3</w:t>
            </w:r>
            <w:r>
              <w:rPr>
                <w:rFonts w:hint="eastAsia"/>
                <w:lang w:eastAsia="zh-CN"/>
              </w:rPr>
              <w:t>协议重发布设备通过直连网络学习到的路由信息，及所学习到路由的</w:t>
            </w:r>
            <w:r>
              <w:rPr>
                <w:lang w:eastAsia="zh-CN"/>
              </w:rPr>
              <w:t>cost</w:t>
            </w:r>
            <w:r>
              <w:rPr>
                <w:rFonts w:hint="eastAsia"/>
                <w:lang w:eastAsia="zh-CN"/>
              </w:rPr>
              <w:t>值。</w:t>
            </w:r>
          </w:p>
          <w:p w14:paraId="4AF63A5F">
            <w:pPr>
              <w:pStyle w:val="207"/>
              <w:numPr>
                <w:ilvl w:val="0"/>
                <w:numId w:val="24"/>
              </w:numPr>
              <w:rPr>
                <w:lang w:eastAsia="zh-CN"/>
              </w:rPr>
            </w:pPr>
            <w:r>
              <w:rPr>
                <w:rFonts w:hint="eastAsia"/>
                <w:lang w:eastAsia="zh-CN"/>
              </w:rPr>
              <w:t>静态路由：设置是否通过OSPF</w:t>
            </w:r>
            <w:r>
              <w:rPr>
                <w:lang w:eastAsia="zh-CN"/>
              </w:rPr>
              <w:t>v3</w:t>
            </w:r>
            <w:r>
              <w:rPr>
                <w:rFonts w:hint="eastAsia"/>
                <w:lang w:eastAsia="zh-CN"/>
              </w:rPr>
              <w:t>协议重发布设备学习到的静态路由信息，及所学习到路由的</w:t>
            </w:r>
            <w:r>
              <w:rPr>
                <w:lang w:eastAsia="zh-CN"/>
              </w:rPr>
              <w:t>cost</w:t>
            </w:r>
            <w:r>
              <w:rPr>
                <w:rFonts w:hint="eastAsia"/>
                <w:lang w:eastAsia="zh-CN"/>
              </w:rPr>
              <w:t>值。</w:t>
            </w:r>
          </w:p>
          <w:p w14:paraId="632A1DA2">
            <w:pPr>
              <w:pStyle w:val="207"/>
              <w:numPr>
                <w:ilvl w:val="0"/>
                <w:numId w:val="24"/>
              </w:numPr>
              <w:rPr>
                <w:lang w:eastAsia="zh-CN"/>
              </w:rPr>
            </w:pPr>
            <w:r>
              <w:rPr>
                <w:lang w:eastAsia="zh-CN"/>
              </w:rPr>
              <w:t>RIPng</w:t>
            </w:r>
            <w:r>
              <w:rPr>
                <w:rFonts w:hint="eastAsia"/>
                <w:lang w:eastAsia="zh-CN"/>
              </w:rPr>
              <w:t>路由：设置是否通过OSPF</w:t>
            </w:r>
            <w:r>
              <w:rPr>
                <w:lang w:eastAsia="zh-CN"/>
              </w:rPr>
              <w:t>v3</w:t>
            </w:r>
            <w:r>
              <w:rPr>
                <w:rFonts w:hint="eastAsia"/>
                <w:lang w:eastAsia="zh-CN"/>
              </w:rPr>
              <w:t>协议重发布设备通过</w:t>
            </w:r>
            <w:r>
              <w:rPr>
                <w:lang w:eastAsia="zh-CN"/>
              </w:rPr>
              <w:t>RIPng</w:t>
            </w:r>
            <w:r>
              <w:rPr>
                <w:rFonts w:hint="eastAsia"/>
                <w:lang w:eastAsia="zh-CN"/>
              </w:rPr>
              <w:t>协议学习到的路由信息，及所学习到路由的</w:t>
            </w:r>
            <w:r>
              <w:rPr>
                <w:lang w:eastAsia="zh-CN"/>
              </w:rPr>
              <w:t>cost</w:t>
            </w:r>
            <w:r>
              <w:rPr>
                <w:rFonts w:hint="eastAsia"/>
                <w:lang w:eastAsia="zh-CN"/>
              </w:rPr>
              <w:t>值。</w:t>
            </w:r>
          </w:p>
          <w:p w14:paraId="61BFC8DC">
            <w:pPr>
              <w:pStyle w:val="207"/>
              <w:numPr>
                <w:ilvl w:val="0"/>
                <w:numId w:val="24"/>
              </w:numPr>
              <w:rPr>
                <w:lang w:eastAsia="zh-CN"/>
              </w:rPr>
            </w:pPr>
            <w:r>
              <w:rPr>
                <w:lang w:eastAsia="zh-CN"/>
              </w:rPr>
              <w:t>BGP4+</w:t>
            </w:r>
            <w:r>
              <w:rPr>
                <w:rFonts w:hint="eastAsia"/>
                <w:lang w:eastAsia="zh-CN"/>
              </w:rPr>
              <w:t>路由：设置是否通过OSPF</w:t>
            </w:r>
            <w:r>
              <w:rPr>
                <w:lang w:eastAsia="zh-CN"/>
              </w:rPr>
              <w:t>v3</w:t>
            </w:r>
            <w:r>
              <w:rPr>
                <w:rFonts w:hint="eastAsia"/>
                <w:lang w:eastAsia="zh-CN"/>
              </w:rPr>
              <w:t>协议重发布设备学习到的</w:t>
            </w:r>
            <w:r>
              <w:rPr>
                <w:lang w:eastAsia="zh-CN"/>
              </w:rPr>
              <w:t>BGP4+</w:t>
            </w:r>
            <w:r>
              <w:rPr>
                <w:rFonts w:hint="eastAsia"/>
                <w:lang w:eastAsia="zh-CN"/>
              </w:rPr>
              <w:t>路由信息，及所学习到路由的</w:t>
            </w:r>
            <w:r>
              <w:rPr>
                <w:lang w:eastAsia="zh-CN"/>
              </w:rPr>
              <w:t>cost</w:t>
            </w:r>
            <w:r>
              <w:rPr>
                <w:rFonts w:hint="eastAsia"/>
                <w:lang w:eastAsia="zh-CN"/>
              </w:rPr>
              <w:t>值。</w:t>
            </w:r>
          </w:p>
          <w:p w14:paraId="1589872D">
            <w:pPr>
              <w:pStyle w:val="186"/>
              <w:widowControl w:val="0"/>
              <w:spacing w:line="240" w:lineRule="auto"/>
              <w:ind w:firstLine="0"/>
              <w:jc w:val="left"/>
            </w:pPr>
            <w:r>
              <w:rPr>
                <w:rFonts w:hint="eastAsia"/>
              </w:rPr>
              <w:t>cost值代表重发布后路由的开销值，用于设备的路由选择，值越小优先级越高。</w:t>
            </w:r>
          </w:p>
        </w:tc>
      </w:tr>
    </w:tbl>
    <w:p w14:paraId="0063286A"/>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2D771AEB">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6D9EA623">
            <w:pPr>
              <w:pStyle w:val="150"/>
              <w:adjustRightInd w:val="0"/>
              <w:snapToGrid w:val="0"/>
              <w:rPr>
                <w:color w:val="auto"/>
              </w:rPr>
            </w:pPr>
            <w:r>
              <w:rPr>
                <w:b/>
                <w:color w:val="auto"/>
              </w:rPr>
              <w:drawing>
                <wp:inline distT="0" distB="0" distL="0" distR="0">
                  <wp:extent cx="283210" cy="283210"/>
                  <wp:effectExtent l="0" t="0" r="2540" b="2540"/>
                  <wp:docPr id="777" name="图片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图片 77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7A586DBE">
            <w:pPr>
              <w:pStyle w:val="150"/>
              <w:adjustRightInd w:val="0"/>
              <w:snapToGrid w:val="0"/>
              <w:rPr>
                <w:color w:val="auto"/>
              </w:rPr>
            </w:pPr>
            <w:r>
              <w:rPr>
                <w:rFonts w:hint="eastAsia"/>
                <w:color w:val="auto"/>
              </w:rPr>
              <w:t>通常路由器先挑选IP地址最大的环回地址作为Router-ID。若无环回地址，则在接口状态为up的物理接口中，选取最大的IP地址作为Router-ID。也可以指定一个Router-ID，并且指定的Router-ID优先级最高。</w:t>
            </w:r>
          </w:p>
        </w:tc>
      </w:tr>
    </w:tbl>
    <w:p w14:paraId="2817B92C">
      <w:pPr>
        <w:pStyle w:val="6"/>
      </w:pPr>
      <w:r>
        <w:rPr>
          <w:rFonts w:hint="eastAsia"/>
        </w:rPr>
        <w:t>配置OSPFv</w:t>
      </w:r>
      <w:r>
        <w:t>6</w:t>
      </w:r>
      <w:r>
        <w:rPr>
          <w:rFonts w:hint="eastAsia"/>
        </w:rPr>
        <w:t>接口</w:t>
      </w:r>
    </w:p>
    <w:p w14:paraId="31279F1B">
      <w:r>
        <w:rPr>
          <w:rFonts w:hint="eastAsia"/>
        </w:rPr>
        <w:t>在OSPF</w:t>
      </w:r>
      <w:r>
        <w:t>6</w:t>
      </w:r>
      <w:r>
        <w:rPr>
          <w:rFonts w:hint="eastAsia"/>
        </w:rPr>
        <w:t>信息页面的列表中，点击需要修改的实例对应的“OSPF</w:t>
      </w:r>
      <w:r>
        <w:t>6</w:t>
      </w:r>
      <w:r>
        <w:rPr>
          <w:rFonts w:hint="eastAsia"/>
        </w:rPr>
        <w:t>接口”，进入OSPF</w:t>
      </w:r>
      <w:r>
        <w:t>6</w:t>
      </w:r>
      <w:r>
        <w:rPr>
          <w:rFonts w:hint="eastAsia"/>
        </w:rPr>
        <w:t>高级配置的“OSPF</w:t>
      </w:r>
      <w:r>
        <w:t>6</w:t>
      </w:r>
      <w:r>
        <w:rPr>
          <w:rFonts w:hint="eastAsia"/>
        </w:rPr>
        <w:t>接口”界面，查看该OSPF</w:t>
      </w:r>
      <w:r>
        <w:t>6</w:t>
      </w:r>
      <w:r>
        <w:rPr>
          <w:rFonts w:hint="eastAsia"/>
        </w:rPr>
        <w:t>实例中配置的接口信息。</w:t>
      </w:r>
    </w:p>
    <w:p w14:paraId="580FABA5">
      <w:pPr>
        <w:pStyle w:val="188"/>
      </w:pPr>
      <w:r>
        <w:rPr>
          <w:rFonts w:hint="eastAsia"/>
        </w:rPr>
        <w:t>已经配置的接口信息</w:t>
      </w:r>
    </w:p>
    <w:p w14:paraId="6C38B4CD">
      <w:r>
        <w:drawing>
          <wp:inline distT="0" distB="0" distL="0" distR="0">
            <wp:extent cx="5568315" cy="1838960"/>
            <wp:effectExtent l="0" t="0" r="0" b="8890"/>
            <wp:docPr id="1534582073" name="图片 153458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73" name="图片 1534582073"/>
                    <pic:cNvPicPr>
                      <a:picLocks noChangeAspect="1"/>
                    </pic:cNvPicPr>
                  </pic:nvPicPr>
                  <pic:blipFill>
                    <a:blip r:embed="rId344"/>
                    <a:stretch>
                      <a:fillRect/>
                    </a:stretch>
                  </pic:blipFill>
                  <pic:spPr>
                    <a:xfrm>
                      <a:off x="0" y="0"/>
                      <a:ext cx="5574689" cy="1841457"/>
                    </a:xfrm>
                    <a:prstGeom prst="rect">
                      <a:avLst/>
                    </a:prstGeom>
                  </pic:spPr>
                </pic:pic>
              </a:graphicData>
            </a:graphic>
          </wp:inline>
        </w:drawing>
      </w:r>
    </w:p>
    <w:p w14:paraId="567D10D6"/>
    <w:p w14:paraId="16FBBF08">
      <w:r>
        <w:rPr>
          <w:rFonts w:hint="eastAsia"/>
        </w:rPr>
        <w:t>点击</w:t>
      </w:r>
      <w:r>
        <w:t>&lt;</w:t>
      </w:r>
      <w:r>
        <w:rPr>
          <w:rFonts w:hint="eastAsia"/>
        </w:rPr>
        <w:t>新建</w:t>
      </w:r>
      <w:r>
        <w:t>&gt;</w:t>
      </w:r>
      <w:r>
        <w:rPr>
          <w:rFonts w:hint="eastAsia"/>
        </w:rPr>
        <w:t>按钮，配置接口相关的</w:t>
      </w:r>
      <w:r>
        <w:t>OSPF</w:t>
      </w:r>
      <w:r>
        <w:rPr>
          <w:rFonts w:hint="eastAsia"/>
        </w:rPr>
        <w:t>6信息。</w:t>
      </w:r>
    </w:p>
    <w:p w14:paraId="52DC4EDA">
      <w:pPr>
        <w:pStyle w:val="188"/>
      </w:pPr>
      <w:r>
        <w:rPr>
          <w:rFonts w:hint="eastAsia"/>
        </w:rPr>
        <w:t>OSPF6接口配置</w:t>
      </w:r>
    </w:p>
    <w:p w14:paraId="68C9DCD5">
      <w:r>
        <w:drawing>
          <wp:inline distT="0" distB="0" distL="0" distR="0">
            <wp:extent cx="5482590" cy="1341120"/>
            <wp:effectExtent l="0" t="0" r="3810" b="0"/>
            <wp:docPr id="1534582074" name="图片 153458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74" name="图片 1534582074"/>
                    <pic:cNvPicPr>
                      <a:picLocks noChangeAspect="1"/>
                    </pic:cNvPicPr>
                  </pic:nvPicPr>
                  <pic:blipFill>
                    <a:blip r:embed="rId345"/>
                    <a:stretch>
                      <a:fillRect/>
                    </a:stretch>
                  </pic:blipFill>
                  <pic:spPr>
                    <a:xfrm>
                      <a:off x="0" y="0"/>
                      <a:ext cx="5501632" cy="1345870"/>
                    </a:xfrm>
                    <a:prstGeom prst="rect">
                      <a:avLst/>
                    </a:prstGeom>
                  </pic:spPr>
                </pic:pic>
              </a:graphicData>
            </a:graphic>
          </wp:inline>
        </w:drawing>
      </w:r>
    </w:p>
    <w:p w14:paraId="2329B6D7"/>
    <w:p w14:paraId="12581952">
      <w:pPr>
        <w:pStyle w:val="183"/>
      </w:pPr>
      <w:r>
        <w:rPr>
          <w:rFonts w:hint="eastAsia"/>
        </w:rPr>
        <w:t>接口各项配置含义</w:t>
      </w:r>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4"/>
        <w:gridCol w:w="6634"/>
      </w:tblGrid>
      <w:tr w14:paraId="0FCA9E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34" w:type="dxa"/>
            <w:tcBorders>
              <w:tl2br w:val="nil"/>
              <w:tr2bl w:val="nil"/>
            </w:tcBorders>
            <w:shd w:val="clear" w:color="auto" w:fill="538135" w:themeFill="accent6" w:themeFillShade="BF"/>
            <w:vAlign w:val="center"/>
          </w:tcPr>
          <w:p w14:paraId="58D00FA4">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34" w:type="dxa"/>
            <w:tcBorders>
              <w:tl2br w:val="nil"/>
              <w:tr2bl w:val="nil"/>
            </w:tcBorders>
            <w:shd w:val="clear" w:color="auto" w:fill="538135" w:themeFill="accent6" w:themeFillShade="BF"/>
            <w:vAlign w:val="center"/>
          </w:tcPr>
          <w:p w14:paraId="40F4F0E7">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BA3A8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34" w:type="dxa"/>
            <w:shd w:val="clear" w:color="auto" w:fill="auto"/>
          </w:tcPr>
          <w:p w14:paraId="6B1FBFD4">
            <w:pPr>
              <w:pStyle w:val="186"/>
              <w:widowControl w:val="0"/>
              <w:spacing w:line="240" w:lineRule="auto"/>
              <w:ind w:firstLine="0"/>
              <w:jc w:val="left"/>
            </w:pPr>
            <w:r>
              <w:rPr>
                <w:rFonts w:hint="eastAsia"/>
              </w:rPr>
              <w:t>接口</w:t>
            </w:r>
          </w:p>
        </w:tc>
        <w:tc>
          <w:tcPr>
            <w:tcW w:w="6634" w:type="dxa"/>
            <w:shd w:val="clear" w:color="auto" w:fill="auto"/>
          </w:tcPr>
          <w:p w14:paraId="3C0F224D">
            <w:pPr>
              <w:pStyle w:val="186"/>
              <w:widowControl w:val="0"/>
              <w:spacing w:line="240" w:lineRule="auto"/>
              <w:ind w:firstLine="0"/>
              <w:jc w:val="left"/>
            </w:pPr>
            <w:r>
              <w:rPr>
                <w:rFonts w:hint="eastAsia"/>
              </w:rPr>
              <w:t>选择要启用OSPF6协议的接口。</w:t>
            </w:r>
          </w:p>
        </w:tc>
      </w:tr>
      <w:tr w14:paraId="194036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34" w:type="dxa"/>
            <w:shd w:val="clear" w:color="auto" w:fill="auto"/>
          </w:tcPr>
          <w:p w14:paraId="4079CB7B">
            <w:pPr>
              <w:pStyle w:val="186"/>
              <w:widowControl w:val="0"/>
              <w:spacing w:line="240" w:lineRule="auto"/>
              <w:ind w:firstLine="0"/>
              <w:jc w:val="left"/>
            </w:pPr>
            <w:r>
              <w:rPr>
                <w:rFonts w:hint="eastAsia"/>
              </w:rPr>
              <w:t>区域</w:t>
            </w:r>
          </w:p>
        </w:tc>
        <w:tc>
          <w:tcPr>
            <w:tcW w:w="6634" w:type="dxa"/>
            <w:shd w:val="clear" w:color="auto" w:fill="auto"/>
          </w:tcPr>
          <w:p w14:paraId="1B8004AE">
            <w:pPr>
              <w:pStyle w:val="186"/>
              <w:widowControl w:val="0"/>
              <w:spacing w:line="240" w:lineRule="auto"/>
              <w:ind w:firstLine="0"/>
              <w:jc w:val="left"/>
            </w:pPr>
            <w:r>
              <w:rPr>
                <w:rFonts w:hint="eastAsia"/>
              </w:rPr>
              <w:t>指定OSPF6区域的标识，格式为0~4,294,967,295之间的数字或IP地址。只有OSPF的路由器接口共享了具有相同区域号的网络时，这些路由器才可能成为邻居。</w:t>
            </w:r>
          </w:p>
        </w:tc>
      </w:tr>
    </w:tbl>
    <w:p w14:paraId="4F6EAB3D"/>
    <w:p w14:paraId="63AC2983">
      <w:pPr>
        <w:pStyle w:val="5"/>
      </w:pPr>
      <w:bookmarkStart w:id="2523" w:name="_Toc196728105"/>
      <w:bookmarkStart w:id="2524" w:name="_Toc194080773"/>
      <w:bookmarkStart w:id="2525" w:name="_Toc172218146"/>
      <w:r>
        <w:rPr>
          <w:rFonts w:hint="eastAsia"/>
        </w:rPr>
        <w:t>OSPFv</w:t>
      </w:r>
      <w:r>
        <w:t>6配置举例</w:t>
      </w:r>
      <w:bookmarkEnd w:id="2523"/>
      <w:bookmarkEnd w:id="2524"/>
      <w:bookmarkEnd w:id="2525"/>
    </w:p>
    <w:p w14:paraId="5EC16513">
      <w:pPr>
        <w:pStyle w:val="6"/>
      </w:pPr>
      <w:r>
        <w:rPr>
          <w:rFonts w:hint="eastAsia"/>
        </w:rPr>
        <w:t>组网需求</w:t>
      </w:r>
    </w:p>
    <w:p w14:paraId="3C4F659D">
      <w:r>
        <w:rPr>
          <w:rFonts w:hint="eastAsia"/>
        </w:rPr>
        <w:t>如下图所示，配置接口IP地址，要求设备R1和设备R2上开启OSPF6进程，在R1和R2上创建OSPF6实例，并在实例内添加ge0口属于区域0。配置完成后，每台设备上都能看到邻接关系相互建立成功，state状态变为</w:t>
      </w:r>
      <w:r>
        <w:t>”</w:t>
      </w:r>
      <w:r>
        <w:rPr>
          <w:rFonts w:hint="eastAsia"/>
        </w:rPr>
        <w:t>full</w:t>
      </w:r>
      <w:r>
        <w:t>”</w:t>
      </w:r>
      <w:r>
        <w:rPr>
          <w:rFonts w:hint="eastAsia"/>
        </w:rPr>
        <w:t>，并且学习到路由属性为OSPF6的2010:14::0/64网段路由。</w:t>
      </w:r>
    </w:p>
    <w:p w14:paraId="4CFA1E76">
      <w:pPr>
        <w:pStyle w:val="6"/>
      </w:pPr>
      <w:r>
        <w:rPr>
          <w:rFonts w:hint="eastAsia"/>
        </w:rPr>
        <w:t>组网图</w:t>
      </w:r>
    </w:p>
    <w:p w14:paraId="326F7A52">
      <w:pPr>
        <w:pStyle w:val="188"/>
      </w:pPr>
      <w:r>
        <w:rPr>
          <w:rFonts w:hint="eastAsia"/>
        </w:rPr>
        <w:t>OSPFv3配置举例组网图</w:t>
      </w:r>
    </w:p>
    <w:p w14:paraId="79B47361">
      <w:pPr>
        <w:pStyle w:val="175"/>
      </w:pPr>
      <w:r>
        <w:drawing>
          <wp:inline distT="0" distB="0" distL="0" distR="0">
            <wp:extent cx="3152775" cy="876300"/>
            <wp:effectExtent l="0" t="0" r="9525" b="0"/>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493"/>
                    <pic:cNvPicPr>
                      <a:picLocks noChangeAspect="1"/>
                    </pic:cNvPicPr>
                  </pic:nvPicPr>
                  <pic:blipFill>
                    <a:blip r:embed="rId346"/>
                    <a:stretch>
                      <a:fillRect/>
                    </a:stretch>
                  </pic:blipFill>
                  <pic:spPr>
                    <a:xfrm>
                      <a:off x="0" y="0"/>
                      <a:ext cx="3152775" cy="876300"/>
                    </a:xfrm>
                    <a:prstGeom prst="rect">
                      <a:avLst/>
                    </a:prstGeom>
                  </pic:spPr>
                </pic:pic>
              </a:graphicData>
            </a:graphic>
          </wp:inline>
        </w:drawing>
      </w:r>
    </w:p>
    <w:p w14:paraId="1ABB370B">
      <w:pPr>
        <w:pStyle w:val="6"/>
      </w:pPr>
      <w:r>
        <w:rPr>
          <w:rFonts w:hint="eastAsia"/>
        </w:rPr>
        <w:t>配置步骤</w:t>
      </w:r>
    </w:p>
    <w:p w14:paraId="1B3B5C91">
      <w:pPr>
        <w:pStyle w:val="202"/>
        <w:rPr>
          <w:lang w:eastAsia="zh-CN"/>
        </w:rPr>
      </w:pPr>
      <w:r>
        <w:rPr>
          <w:rFonts w:hint="eastAsia"/>
          <w:lang w:eastAsia="zh-CN"/>
        </w:rPr>
        <w:t>在R1开启OSPF6协议开关</w:t>
      </w:r>
    </w:p>
    <w:p w14:paraId="4F5AE9A9">
      <w:r>
        <w:rPr>
          <w:rFonts w:hint="eastAsia"/>
        </w:rPr>
        <w:t>通过菜单“网络配置 &gt; OSPF6信息”，进入OSPF6的显示界面，勾选</w:t>
      </w:r>
      <w:r>
        <w:t>&lt;</w:t>
      </w:r>
      <w:r>
        <w:rPr>
          <w:rFonts w:hint="eastAsia"/>
        </w:rPr>
        <w:t>启用</w:t>
      </w:r>
      <w:r>
        <w:t>&gt;</w:t>
      </w:r>
      <w:r>
        <w:rPr>
          <w:rFonts w:hint="eastAsia"/>
        </w:rPr>
        <w:t>按钮。</w:t>
      </w:r>
    </w:p>
    <w:p w14:paraId="6DC2E111">
      <w:pPr>
        <w:pStyle w:val="202"/>
      </w:pPr>
      <w:r>
        <w:rPr>
          <w:rFonts w:hint="eastAsia"/>
        </w:rPr>
        <w:t>在R1创建OSPF6实例</w:t>
      </w:r>
    </w:p>
    <w:p w14:paraId="68413FDC">
      <w:r>
        <w:rPr>
          <w:rFonts w:hint="eastAsia"/>
        </w:rPr>
        <w:t>通过菜单“网络配置 &gt; OSPF6信息”，进入OSPF6的显示界面，点击</w:t>
      </w:r>
      <w:r>
        <w:t>&lt;</w:t>
      </w:r>
      <w:r>
        <w:rPr>
          <w:rFonts w:hint="eastAsia"/>
        </w:rPr>
        <w:t>新建</w:t>
      </w:r>
      <w:r>
        <w:t>&gt;</w:t>
      </w:r>
      <w:r>
        <w:rPr>
          <w:rFonts w:hint="eastAsia"/>
        </w:rPr>
        <w:t>按钮，在弹出的界面中进行配置。</w:t>
      </w:r>
    </w:p>
    <w:p w14:paraId="2A3BD056">
      <w:pPr>
        <w:pStyle w:val="188"/>
      </w:pPr>
      <w:r>
        <w:rPr>
          <w:rFonts w:hint="eastAsia"/>
        </w:rPr>
        <w:t>新建OSPF6实例界面</w:t>
      </w:r>
    </w:p>
    <w:p w14:paraId="53B43EEB">
      <w:pPr>
        <w:pStyle w:val="175"/>
      </w:pPr>
      <w:r>
        <w:drawing>
          <wp:inline distT="0" distB="0" distL="114300" distR="114300">
            <wp:extent cx="5556885" cy="2258695"/>
            <wp:effectExtent l="0" t="0" r="5715" b="8255"/>
            <wp:docPr id="7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图片 7"/>
                    <pic:cNvPicPr>
                      <a:picLocks noChangeAspect="1"/>
                    </pic:cNvPicPr>
                  </pic:nvPicPr>
                  <pic:blipFill>
                    <a:blip r:embed="rId347"/>
                    <a:stretch>
                      <a:fillRect/>
                    </a:stretch>
                  </pic:blipFill>
                  <pic:spPr>
                    <a:xfrm>
                      <a:off x="0" y="0"/>
                      <a:ext cx="5561877" cy="2260883"/>
                    </a:xfrm>
                    <a:prstGeom prst="rect">
                      <a:avLst/>
                    </a:prstGeom>
                    <a:noFill/>
                    <a:ln>
                      <a:noFill/>
                    </a:ln>
                  </pic:spPr>
                </pic:pic>
              </a:graphicData>
            </a:graphic>
          </wp:inline>
        </w:drawing>
      </w:r>
    </w:p>
    <w:p w14:paraId="44DEA8BE"/>
    <w:p w14:paraId="2CFC6607">
      <w:r>
        <w:rPr>
          <w:rFonts w:hint="eastAsia"/>
        </w:rPr>
        <w:t>配置完成后如下图所示。</w:t>
      </w:r>
    </w:p>
    <w:p w14:paraId="69E2EEAF">
      <w:pPr>
        <w:pStyle w:val="175"/>
      </w:pPr>
      <w:r>
        <w:drawing>
          <wp:inline distT="0" distB="0" distL="114300" distR="114300">
            <wp:extent cx="5988685" cy="642620"/>
            <wp:effectExtent l="0" t="0" r="0" b="5080"/>
            <wp:docPr id="7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图片 10"/>
                    <pic:cNvPicPr>
                      <a:picLocks noChangeAspect="1"/>
                    </pic:cNvPicPr>
                  </pic:nvPicPr>
                  <pic:blipFill>
                    <a:blip r:embed="rId348"/>
                    <a:stretch>
                      <a:fillRect/>
                    </a:stretch>
                  </pic:blipFill>
                  <pic:spPr>
                    <a:xfrm>
                      <a:off x="0" y="0"/>
                      <a:ext cx="6055336" cy="649820"/>
                    </a:xfrm>
                    <a:prstGeom prst="rect">
                      <a:avLst/>
                    </a:prstGeom>
                    <a:noFill/>
                    <a:ln>
                      <a:noFill/>
                    </a:ln>
                  </pic:spPr>
                </pic:pic>
              </a:graphicData>
            </a:graphic>
          </wp:inline>
        </w:drawing>
      </w:r>
    </w:p>
    <w:p w14:paraId="41EBAF1A">
      <w:pPr>
        <w:pStyle w:val="202"/>
      </w:pPr>
      <w:r>
        <w:rPr>
          <w:rFonts w:hint="eastAsia"/>
        </w:rPr>
        <w:t>在R1配置OSPF6接口</w:t>
      </w:r>
    </w:p>
    <w:p w14:paraId="09A95822">
      <w:r>
        <w:rPr>
          <w:rFonts w:hint="eastAsia"/>
        </w:rPr>
        <w:t>点击OSPF6显示界面中OSPF6实例的</w:t>
      </w:r>
      <w:r>
        <w:t>&lt;</w:t>
      </w:r>
      <w:r>
        <w:rPr>
          <w:rFonts w:hint="eastAsia"/>
        </w:rPr>
        <w:t>OSPF6接口</w:t>
      </w:r>
      <w:r>
        <w:t>&gt;</w:t>
      </w:r>
      <w:r>
        <w:rPr>
          <w:rFonts w:hint="eastAsia"/>
        </w:rPr>
        <w:t>按钮，进入OSPF6高级配置界面。</w:t>
      </w:r>
    </w:p>
    <w:p w14:paraId="40A6C21B">
      <w:r>
        <w:rPr>
          <w:rFonts w:hint="eastAsia"/>
        </w:rPr>
        <w:t>在高级配置页面中点击&lt;新建&gt;按钮，在弹出的界面中配置接口为ge0，区域为0。</w:t>
      </w:r>
    </w:p>
    <w:p w14:paraId="587150A9">
      <w:pPr>
        <w:pStyle w:val="188"/>
      </w:pPr>
      <w:r>
        <w:rPr>
          <w:rFonts w:hint="eastAsia"/>
        </w:rPr>
        <w:t>OSPF6接口配置</w:t>
      </w:r>
    </w:p>
    <w:p w14:paraId="0E304ED8">
      <w:pPr>
        <w:pStyle w:val="175"/>
      </w:pPr>
      <w:r>
        <w:drawing>
          <wp:inline distT="0" distB="0" distL="114300" distR="114300">
            <wp:extent cx="5343525" cy="2957195"/>
            <wp:effectExtent l="0" t="0" r="0" b="0"/>
            <wp:docPr id="76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图片 12"/>
                    <pic:cNvPicPr>
                      <a:picLocks noChangeAspect="1"/>
                    </pic:cNvPicPr>
                  </pic:nvPicPr>
                  <pic:blipFill>
                    <a:blip r:embed="rId349"/>
                    <a:stretch>
                      <a:fillRect/>
                    </a:stretch>
                  </pic:blipFill>
                  <pic:spPr>
                    <a:xfrm>
                      <a:off x="0" y="0"/>
                      <a:ext cx="5352515" cy="2962443"/>
                    </a:xfrm>
                    <a:prstGeom prst="rect">
                      <a:avLst/>
                    </a:prstGeom>
                    <a:noFill/>
                    <a:ln>
                      <a:noFill/>
                    </a:ln>
                  </pic:spPr>
                </pic:pic>
              </a:graphicData>
            </a:graphic>
          </wp:inline>
        </w:drawing>
      </w:r>
    </w:p>
    <w:p w14:paraId="6E4D7A13"/>
    <w:p w14:paraId="2D51214A">
      <w:pPr>
        <w:pStyle w:val="202"/>
      </w:pPr>
      <w:r>
        <w:rPr>
          <w:rFonts w:hint="eastAsia"/>
        </w:rPr>
        <w:t>在R1配置接口地址</w:t>
      </w:r>
    </w:p>
    <w:p w14:paraId="1C76ED6D">
      <w:r>
        <w:rPr>
          <w:rFonts w:hint="eastAsia"/>
        </w:rPr>
        <w:t>进入“网络配置 &gt; 接口配置”页面，配置ge</w:t>
      </w:r>
      <w:r>
        <w:t>0</w:t>
      </w:r>
      <w:r>
        <w:rPr>
          <w:rFonts w:hint="eastAsia"/>
        </w:rPr>
        <w:t>接口主地址为2010:14::1/64。</w:t>
      </w:r>
    </w:p>
    <w:p w14:paraId="197F2466">
      <w:pPr>
        <w:pStyle w:val="188"/>
      </w:pPr>
      <w:r>
        <w:rPr>
          <w:rFonts w:hint="eastAsia"/>
        </w:rPr>
        <w:t>ge</w:t>
      </w:r>
      <w:r>
        <w:t>0</w:t>
      </w:r>
      <w:r>
        <w:rPr>
          <w:rFonts w:hint="eastAsia"/>
        </w:rPr>
        <w:t>接口配置页面</w:t>
      </w:r>
    </w:p>
    <w:p w14:paraId="3DA42091">
      <w:pPr>
        <w:pStyle w:val="175"/>
      </w:pPr>
      <w:r>
        <w:drawing>
          <wp:inline distT="0" distB="0" distL="114300" distR="114300">
            <wp:extent cx="4977765" cy="3727450"/>
            <wp:effectExtent l="0" t="0" r="0" b="6350"/>
            <wp:docPr id="77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图片 14"/>
                    <pic:cNvPicPr>
                      <a:picLocks noChangeAspect="1"/>
                    </pic:cNvPicPr>
                  </pic:nvPicPr>
                  <pic:blipFill>
                    <a:blip r:embed="rId350"/>
                    <a:stretch>
                      <a:fillRect/>
                    </a:stretch>
                  </pic:blipFill>
                  <pic:spPr>
                    <a:xfrm>
                      <a:off x="0" y="0"/>
                      <a:ext cx="4982121" cy="3731293"/>
                    </a:xfrm>
                    <a:prstGeom prst="rect">
                      <a:avLst/>
                    </a:prstGeom>
                    <a:noFill/>
                    <a:ln>
                      <a:noFill/>
                    </a:ln>
                  </pic:spPr>
                </pic:pic>
              </a:graphicData>
            </a:graphic>
          </wp:inline>
        </w:drawing>
      </w:r>
    </w:p>
    <w:p w14:paraId="5C822767"/>
    <w:p w14:paraId="082E7443">
      <w:pPr>
        <w:pStyle w:val="202"/>
        <w:rPr>
          <w:lang w:eastAsia="zh-CN"/>
        </w:rPr>
      </w:pPr>
      <w:r>
        <w:rPr>
          <w:rFonts w:hint="eastAsia"/>
          <w:lang w:eastAsia="zh-CN"/>
        </w:rPr>
        <w:t>在R2开启OSPF6协议开关</w:t>
      </w:r>
    </w:p>
    <w:p w14:paraId="792ED9A5">
      <w:r>
        <w:rPr>
          <w:rFonts w:hint="eastAsia"/>
        </w:rPr>
        <w:t>通过菜单点“网络配置 &gt; OSPF6信息”，进入OSPF6的显示界面，勾选</w:t>
      </w:r>
      <w:r>
        <w:t>&lt;</w:t>
      </w:r>
      <w:r>
        <w:rPr>
          <w:rFonts w:hint="eastAsia"/>
        </w:rPr>
        <w:t>启用</w:t>
      </w:r>
      <w:r>
        <w:t>&gt;</w:t>
      </w:r>
      <w:r>
        <w:rPr>
          <w:rFonts w:hint="eastAsia"/>
        </w:rPr>
        <w:t>按钮。</w:t>
      </w:r>
    </w:p>
    <w:p w14:paraId="15608EB2">
      <w:pPr>
        <w:pStyle w:val="202"/>
      </w:pPr>
      <w:r>
        <w:rPr>
          <w:rFonts w:hint="eastAsia"/>
        </w:rPr>
        <w:t>在R2创建OSPF6实例</w:t>
      </w:r>
    </w:p>
    <w:p w14:paraId="344F10F7">
      <w:r>
        <w:rPr>
          <w:rFonts w:hint="eastAsia"/>
        </w:rPr>
        <w:t>通过菜单“网络配置 &gt; OSPF6信息”，进入OSPF6的显示界面，点击</w:t>
      </w:r>
      <w:r>
        <w:t>&lt;</w:t>
      </w:r>
      <w:r>
        <w:rPr>
          <w:rFonts w:hint="eastAsia"/>
        </w:rPr>
        <w:t>新建</w:t>
      </w:r>
      <w:r>
        <w:t>&gt;</w:t>
      </w:r>
      <w:r>
        <w:rPr>
          <w:rFonts w:hint="eastAsia"/>
        </w:rPr>
        <w:t>按钮。在弹出的界面中配置OSPF6信息。</w:t>
      </w:r>
    </w:p>
    <w:p w14:paraId="584AA673">
      <w:pPr>
        <w:pStyle w:val="188"/>
      </w:pPr>
      <w:r>
        <w:rPr>
          <w:rFonts w:hint="eastAsia"/>
        </w:rPr>
        <w:t>新建OSPF6实例界面</w:t>
      </w:r>
    </w:p>
    <w:p w14:paraId="42E077FF">
      <w:pPr>
        <w:pStyle w:val="175"/>
      </w:pPr>
      <w:r>
        <w:drawing>
          <wp:inline distT="0" distB="0" distL="114300" distR="114300">
            <wp:extent cx="5175885" cy="2103755"/>
            <wp:effectExtent l="0" t="0" r="5715" b="0"/>
            <wp:docPr id="78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图片 7"/>
                    <pic:cNvPicPr>
                      <a:picLocks noChangeAspect="1"/>
                    </pic:cNvPicPr>
                  </pic:nvPicPr>
                  <pic:blipFill>
                    <a:blip r:embed="rId347"/>
                    <a:stretch>
                      <a:fillRect/>
                    </a:stretch>
                  </pic:blipFill>
                  <pic:spPr>
                    <a:xfrm>
                      <a:off x="0" y="0"/>
                      <a:ext cx="5183072" cy="2106900"/>
                    </a:xfrm>
                    <a:prstGeom prst="rect">
                      <a:avLst/>
                    </a:prstGeom>
                    <a:noFill/>
                    <a:ln>
                      <a:noFill/>
                    </a:ln>
                  </pic:spPr>
                </pic:pic>
              </a:graphicData>
            </a:graphic>
          </wp:inline>
        </w:drawing>
      </w:r>
    </w:p>
    <w:p w14:paraId="386852E5">
      <w:r>
        <w:rPr>
          <w:rFonts w:hint="eastAsia"/>
        </w:rPr>
        <w:t>配置完成后如下图所示。</w:t>
      </w:r>
    </w:p>
    <w:p w14:paraId="1540EC31">
      <w:pPr>
        <w:pStyle w:val="175"/>
      </w:pPr>
      <w:r>
        <w:drawing>
          <wp:inline distT="0" distB="0" distL="114300" distR="114300">
            <wp:extent cx="6115050" cy="650240"/>
            <wp:effectExtent l="0" t="0" r="11430" b="5080"/>
            <wp:docPr id="78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图片 16"/>
                    <pic:cNvPicPr>
                      <a:picLocks noChangeAspect="1"/>
                    </pic:cNvPicPr>
                  </pic:nvPicPr>
                  <pic:blipFill>
                    <a:blip r:embed="rId351"/>
                    <a:stretch>
                      <a:fillRect/>
                    </a:stretch>
                  </pic:blipFill>
                  <pic:spPr>
                    <a:xfrm>
                      <a:off x="0" y="0"/>
                      <a:ext cx="6115050" cy="650240"/>
                    </a:xfrm>
                    <a:prstGeom prst="rect">
                      <a:avLst/>
                    </a:prstGeom>
                    <a:noFill/>
                    <a:ln>
                      <a:noFill/>
                    </a:ln>
                  </pic:spPr>
                </pic:pic>
              </a:graphicData>
            </a:graphic>
          </wp:inline>
        </w:drawing>
      </w:r>
    </w:p>
    <w:p w14:paraId="76B1D4D6"/>
    <w:p w14:paraId="1F3F090F">
      <w:pPr>
        <w:pStyle w:val="202"/>
      </w:pPr>
      <w:r>
        <w:rPr>
          <w:rFonts w:hint="eastAsia"/>
        </w:rPr>
        <w:t>在R2配置OSPF6接口</w:t>
      </w:r>
    </w:p>
    <w:p w14:paraId="504B4CE7">
      <w:r>
        <w:rPr>
          <w:rFonts w:hint="eastAsia"/>
        </w:rPr>
        <w:t>点击OSPF6显示界面中OSPF6实例的</w:t>
      </w:r>
      <w:r>
        <w:t>&lt;</w:t>
      </w:r>
      <w:r>
        <w:rPr>
          <w:rFonts w:hint="eastAsia"/>
        </w:rPr>
        <w:t>OSPF6接口</w:t>
      </w:r>
      <w:r>
        <w:t>&gt;</w:t>
      </w:r>
      <w:r>
        <w:rPr>
          <w:rFonts w:hint="eastAsia"/>
        </w:rPr>
        <w:t>按钮，进入OSPF6高级配置界面。</w:t>
      </w:r>
    </w:p>
    <w:p w14:paraId="73D22C8E">
      <w:r>
        <w:rPr>
          <w:rFonts w:hint="eastAsia"/>
        </w:rPr>
        <w:t>在高级配置页面中点击&lt;新建&gt;按钮，在弹出的界面中配置接口为ge0，区域为0。</w:t>
      </w:r>
    </w:p>
    <w:p w14:paraId="61044057">
      <w:pPr>
        <w:pStyle w:val="188"/>
      </w:pPr>
      <w:r>
        <w:rPr>
          <w:rFonts w:hint="eastAsia"/>
        </w:rPr>
        <w:t>OSPF6接口配置</w:t>
      </w:r>
    </w:p>
    <w:p w14:paraId="7B253413">
      <w:pPr>
        <w:pStyle w:val="175"/>
      </w:pPr>
      <w:r>
        <w:drawing>
          <wp:inline distT="0" distB="0" distL="114300" distR="114300">
            <wp:extent cx="5114925" cy="2860675"/>
            <wp:effectExtent l="0" t="0" r="0" b="0"/>
            <wp:docPr id="79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图片 18"/>
                    <pic:cNvPicPr>
                      <a:picLocks noChangeAspect="1"/>
                    </pic:cNvPicPr>
                  </pic:nvPicPr>
                  <pic:blipFill>
                    <a:blip r:embed="rId352"/>
                    <a:stretch>
                      <a:fillRect/>
                    </a:stretch>
                  </pic:blipFill>
                  <pic:spPr>
                    <a:xfrm>
                      <a:off x="0" y="0"/>
                      <a:ext cx="5122034" cy="2864956"/>
                    </a:xfrm>
                    <a:prstGeom prst="rect">
                      <a:avLst/>
                    </a:prstGeom>
                    <a:noFill/>
                    <a:ln>
                      <a:noFill/>
                    </a:ln>
                  </pic:spPr>
                </pic:pic>
              </a:graphicData>
            </a:graphic>
          </wp:inline>
        </w:drawing>
      </w:r>
    </w:p>
    <w:p w14:paraId="5D4BC160"/>
    <w:p w14:paraId="3E465F1C">
      <w:pPr>
        <w:pStyle w:val="202"/>
      </w:pPr>
      <w:r>
        <w:rPr>
          <w:rFonts w:hint="eastAsia"/>
        </w:rPr>
        <w:t>在R2</w:t>
      </w:r>
      <w:r>
        <w:rPr>
          <w:rFonts w:hint="eastAsia"/>
          <w:lang w:eastAsia="zh-CN"/>
        </w:rPr>
        <w:t>上</w:t>
      </w:r>
      <w:r>
        <w:rPr>
          <w:rFonts w:hint="eastAsia"/>
        </w:rPr>
        <w:t>配置接口地址</w:t>
      </w:r>
    </w:p>
    <w:p w14:paraId="2CBB89D8">
      <w:r>
        <w:rPr>
          <w:rFonts w:hint="eastAsia"/>
        </w:rPr>
        <w:t>进入“网络配置 &gt; 接口配置”页面，配置ge</w:t>
      </w:r>
      <w:r>
        <w:t>0</w:t>
      </w:r>
      <w:r>
        <w:rPr>
          <w:rFonts w:hint="eastAsia"/>
        </w:rPr>
        <w:t>接口主地址为2010:14::2/64。</w:t>
      </w:r>
    </w:p>
    <w:p w14:paraId="31A3E0B0">
      <w:pPr>
        <w:pStyle w:val="175"/>
      </w:pPr>
      <w:r>
        <w:drawing>
          <wp:inline distT="0" distB="0" distL="114300" distR="114300">
            <wp:extent cx="5334000" cy="4070350"/>
            <wp:effectExtent l="0" t="0" r="0" b="6350"/>
            <wp:docPr id="79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图片 20"/>
                    <pic:cNvPicPr>
                      <a:picLocks noChangeAspect="1"/>
                    </pic:cNvPicPr>
                  </pic:nvPicPr>
                  <pic:blipFill>
                    <a:blip r:embed="rId353"/>
                    <a:stretch>
                      <a:fillRect/>
                    </a:stretch>
                  </pic:blipFill>
                  <pic:spPr>
                    <a:xfrm>
                      <a:off x="0" y="0"/>
                      <a:ext cx="5345582" cy="4079639"/>
                    </a:xfrm>
                    <a:prstGeom prst="rect">
                      <a:avLst/>
                    </a:prstGeom>
                    <a:noFill/>
                    <a:ln>
                      <a:noFill/>
                    </a:ln>
                  </pic:spPr>
                </pic:pic>
              </a:graphicData>
            </a:graphic>
          </wp:inline>
        </w:drawing>
      </w:r>
    </w:p>
    <w:p w14:paraId="5D78C0AB">
      <w:pPr>
        <w:pStyle w:val="6"/>
      </w:pPr>
      <w:r>
        <w:rPr>
          <w:rFonts w:hint="eastAsia"/>
        </w:rPr>
        <w:t>验证配置</w:t>
      </w:r>
    </w:p>
    <w:p w14:paraId="7C8438C2">
      <w:pPr>
        <w:pStyle w:val="202"/>
      </w:pPr>
      <w:r>
        <w:rPr>
          <w:rFonts w:hint="eastAsia"/>
        </w:rPr>
        <w:t>登录设备Device</w:t>
      </w:r>
      <w:r>
        <w:t>1</w:t>
      </w:r>
      <w:r>
        <w:rPr>
          <w:rFonts w:hint="eastAsia"/>
        </w:rPr>
        <w:t xml:space="preserve">的命令行界面，在enable视图下，使用 </w:t>
      </w:r>
      <w:r>
        <w:rPr>
          <w:rFonts w:hint="eastAsia"/>
          <w:lang w:eastAsia="zh-CN"/>
        </w:rPr>
        <w:t xml:space="preserve">show </w:t>
      </w:r>
      <w:r>
        <w:rPr>
          <w:rFonts w:hint="eastAsia"/>
        </w:rPr>
        <w:t>ipv6 ospf6 neighbor命令查看邻居状态为“Full/DR”，邻居建立成功。</w:t>
      </w:r>
    </w:p>
    <w:p w14:paraId="7782661B">
      <w:pPr>
        <w:pStyle w:val="188"/>
      </w:pPr>
      <w:r>
        <w:rPr>
          <w:rFonts w:hint="eastAsia"/>
        </w:rPr>
        <w:t>Device</w:t>
      </w:r>
      <w:r>
        <w:t>1</w:t>
      </w:r>
      <w:r>
        <w:rPr>
          <w:rFonts w:hint="eastAsia"/>
        </w:rPr>
        <w:t>邻居状态显示</w:t>
      </w:r>
    </w:p>
    <w:p w14:paraId="60940EEB">
      <w:r>
        <w:drawing>
          <wp:inline distT="0" distB="0" distL="114300" distR="114300">
            <wp:extent cx="5791200" cy="798195"/>
            <wp:effectExtent l="0" t="0" r="0" b="1905"/>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354"/>
                    <a:stretch>
                      <a:fillRect/>
                    </a:stretch>
                  </pic:blipFill>
                  <pic:spPr>
                    <a:xfrm>
                      <a:off x="0" y="0"/>
                      <a:ext cx="5814083" cy="801692"/>
                    </a:xfrm>
                    <a:prstGeom prst="rect">
                      <a:avLst/>
                    </a:prstGeom>
                    <a:noFill/>
                    <a:ln>
                      <a:noFill/>
                    </a:ln>
                  </pic:spPr>
                </pic:pic>
              </a:graphicData>
            </a:graphic>
          </wp:inline>
        </w:drawing>
      </w:r>
    </w:p>
    <w:p w14:paraId="37DBD848">
      <w:pPr>
        <w:pStyle w:val="202"/>
      </w:pPr>
      <w:r>
        <w:rPr>
          <w:rFonts w:hint="eastAsia"/>
        </w:rPr>
        <w:t>登录设备Device</w:t>
      </w:r>
      <w:r>
        <w:t>2</w:t>
      </w:r>
      <w:r>
        <w:rPr>
          <w:rFonts w:hint="eastAsia"/>
        </w:rPr>
        <w:t xml:space="preserve">的命令行界面，在enable视图下，使用 </w:t>
      </w:r>
      <w:r>
        <w:rPr>
          <w:rFonts w:hint="eastAsia"/>
          <w:lang w:eastAsia="zh-CN"/>
        </w:rPr>
        <w:t xml:space="preserve">show </w:t>
      </w:r>
      <w:r>
        <w:rPr>
          <w:rFonts w:hint="eastAsia"/>
        </w:rPr>
        <w:t>ipv6 ospf6 neighbor命令查看邻居状态为“Full/DR”，邻居建立成功。</w:t>
      </w:r>
    </w:p>
    <w:p w14:paraId="0805218B">
      <w:pPr>
        <w:pStyle w:val="188"/>
      </w:pPr>
      <w:r>
        <w:rPr>
          <w:rFonts w:hint="eastAsia"/>
        </w:rPr>
        <w:t>Device</w:t>
      </w:r>
      <w:r>
        <w:t>2</w:t>
      </w:r>
      <w:r>
        <w:rPr>
          <w:rFonts w:hint="eastAsia"/>
        </w:rPr>
        <w:t>邻居状态显示</w:t>
      </w:r>
    </w:p>
    <w:p w14:paraId="47E48DBD">
      <w:r>
        <w:drawing>
          <wp:inline distT="0" distB="0" distL="114300" distR="114300">
            <wp:extent cx="5743575" cy="793115"/>
            <wp:effectExtent l="0" t="0" r="0" b="6985"/>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pic:cNvPicPr>
                  </pic:nvPicPr>
                  <pic:blipFill>
                    <a:blip r:embed="rId355"/>
                    <a:stretch>
                      <a:fillRect/>
                    </a:stretch>
                  </pic:blipFill>
                  <pic:spPr>
                    <a:xfrm>
                      <a:off x="0" y="0"/>
                      <a:ext cx="5788945" cy="799697"/>
                    </a:xfrm>
                    <a:prstGeom prst="rect">
                      <a:avLst/>
                    </a:prstGeom>
                    <a:noFill/>
                    <a:ln>
                      <a:noFill/>
                    </a:ln>
                  </pic:spPr>
                </pic:pic>
              </a:graphicData>
            </a:graphic>
          </wp:inline>
        </w:drawing>
      </w:r>
    </w:p>
    <w:p w14:paraId="77622E95"/>
    <w:p w14:paraId="0CA20431">
      <w:pPr>
        <w:pStyle w:val="4"/>
      </w:pPr>
      <w:bookmarkStart w:id="2526" w:name="_Toc196728106"/>
      <w:bookmarkStart w:id="2527" w:name="_Toc194080774"/>
      <w:bookmarkStart w:id="2528" w:name="_Toc172218147"/>
      <w:r>
        <w:rPr>
          <w:rFonts w:hint="eastAsia"/>
        </w:rPr>
        <w:t>策略路由</w:t>
      </w:r>
      <w:bookmarkEnd w:id="2526"/>
      <w:bookmarkEnd w:id="2527"/>
      <w:bookmarkEnd w:id="2528"/>
    </w:p>
    <w:p w14:paraId="3E877B3B">
      <w:pPr>
        <w:pStyle w:val="5"/>
      </w:pPr>
      <w:bookmarkStart w:id="2529" w:name="_Toc194080775"/>
      <w:bookmarkStart w:id="2530" w:name="_Toc172218148"/>
      <w:bookmarkStart w:id="2531" w:name="_Toc196728107"/>
      <w:r>
        <w:rPr>
          <w:rFonts w:hint="eastAsia"/>
        </w:rPr>
        <w:t>概述</w:t>
      </w:r>
      <w:bookmarkEnd w:id="2529"/>
      <w:bookmarkEnd w:id="2530"/>
      <w:bookmarkEnd w:id="2531"/>
    </w:p>
    <w:p w14:paraId="6E8F5F72">
      <w:r>
        <w:rPr>
          <w:rFonts w:hint="eastAsia"/>
        </w:rPr>
        <w:t>策略路由，也叫做基于策略的路由，是指在决定一个</w:t>
      </w:r>
      <w:r>
        <w:t>IP</w:t>
      </w:r>
      <w:r>
        <w:rPr>
          <w:rFonts w:hint="eastAsia"/>
        </w:rPr>
        <w:t>包的下一跳转发地址时，不是简单的根据目的或源</w:t>
      </w:r>
      <w:r>
        <w:t>IP</w:t>
      </w:r>
      <w:r>
        <w:rPr>
          <w:rFonts w:hint="eastAsia"/>
        </w:rPr>
        <w:t>地址来决定，而是综合考虑多种因素决定。它转发分组到特定网络需要基于预先配置的策略，这个策略可能指定从一个特定的网络发送的通信应该被转发到一个指定的接口。</w:t>
      </w:r>
    </w:p>
    <w:p w14:paraId="0D4D9087">
      <w:pPr>
        <w:pStyle w:val="5"/>
      </w:pPr>
      <w:bookmarkStart w:id="2532" w:name="_Toc172218149"/>
      <w:bookmarkStart w:id="2533" w:name="_Toc194080776"/>
      <w:bookmarkStart w:id="2534" w:name="_Toc196728108"/>
      <w:r>
        <w:rPr>
          <w:rFonts w:hint="eastAsia"/>
        </w:rPr>
        <w:t>策略路由表</w:t>
      </w:r>
      <w:bookmarkEnd w:id="2532"/>
      <w:bookmarkEnd w:id="2533"/>
      <w:bookmarkEnd w:id="2534"/>
    </w:p>
    <w:p w14:paraId="73AE451C">
      <w:r>
        <w:rPr>
          <w:rFonts w:hint="eastAsia"/>
        </w:rPr>
        <w:t>通过菜单“网络配置&gt;路由管理</w:t>
      </w:r>
      <w:r>
        <w:t xml:space="preserve"> &gt; </w:t>
      </w:r>
      <w:r>
        <w:rPr>
          <w:rFonts w:hint="eastAsia"/>
        </w:rPr>
        <w:t>策略路由”，可以查看已经配置的策略路由信息。</w:t>
      </w:r>
    </w:p>
    <w:p w14:paraId="7F9E3A9B">
      <w:pPr>
        <w:pStyle w:val="188"/>
      </w:pPr>
      <w:r>
        <w:rPr>
          <w:rFonts w:hint="eastAsia"/>
        </w:rPr>
        <w:t>策略路由表</w:t>
      </w:r>
    </w:p>
    <w:p w14:paraId="743B3AD3">
      <w:r>
        <w:drawing>
          <wp:inline distT="0" distB="0" distL="0" distR="0">
            <wp:extent cx="5705475" cy="747395"/>
            <wp:effectExtent l="0" t="0" r="0" b="0"/>
            <wp:docPr id="547" name="图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547"/>
                    <pic:cNvPicPr>
                      <a:picLocks noChangeAspect="1"/>
                    </pic:cNvPicPr>
                  </pic:nvPicPr>
                  <pic:blipFill>
                    <a:blip r:embed="rId276"/>
                    <a:stretch>
                      <a:fillRect/>
                    </a:stretch>
                  </pic:blipFill>
                  <pic:spPr>
                    <a:xfrm>
                      <a:off x="0" y="0"/>
                      <a:ext cx="5717315" cy="749140"/>
                    </a:xfrm>
                    <a:prstGeom prst="rect">
                      <a:avLst/>
                    </a:prstGeom>
                  </pic:spPr>
                </pic:pic>
              </a:graphicData>
            </a:graphic>
          </wp:inline>
        </w:drawing>
      </w:r>
    </w:p>
    <w:p w14:paraId="1F4CADDC"/>
    <w:p w14:paraId="5BB6987A">
      <w:pPr>
        <w:pStyle w:val="183"/>
      </w:pPr>
      <w:r>
        <w:rPr>
          <w:rFonts w:hint="eastAsia"/>
        </w:rPr>
        <w:t>策略路由表的显示信息</w:t>
      </w:r>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192"/>
        <w:gridCol w:w="6776"/>
      </w:tblGrid>
      <w:tr w14:paraId="142377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tcBorders>
              <w:tl2br w:val="nil"/>
              <w:tr2bl w:val="nil"/>
            </w:tcBorders>
            <w:shd w:val="clear" w:color="auto" w:fill="538135" w:themeFill="accent6" w:themeFillShade="BF"/>
            <w:vAlign w:val="center"/>
          </w:tcPr>
          <w:p w14:paraId="07046C12">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826" w:type="dxa"/>
            <w:tcBorders>
              <w:tl2br w:val="nil"/>
              <w:tr2bl w:val="nil"/>
            </w:tcBorders>
            <w:shd w:val="clear" w:color="auto" w:fill="538135" w:themeFill="accent6" w:themeFillShade="BF"/>
            <w:vAlign w:val="center"/>
          </w:tcPr>
          <w:p w14:paraId="4FB2A9A8">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6EFFF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2FBCE6DD">
            <w:pPr>
              <w:pStyle w:val="186"/>
              <w:widowControl w:val="0"/>
              <w:spacing w:line="240" w:lineRule="auto"/>
              <w:ind w:firstLine="0"/>
              <w:jc w:val="left"/>
            </w:pPr>
            <w:r>
              <w:rPr>
                <w:rFonts w:hint="eastAsia"/>
              </w:rPr>
              <w:t>新建</w:t>
            </w:r>
          </w:p>
        </w:tc>
        <w:tc>
          <w:tcPr>
            <w:tcW w:w="6826" w:type="dxa"/>
            <w:shd w:val="clear" w:color="auto" w:fill="auto"/>
          </w:tcPr>
          <w:p w14:paraId="7CF17A5B">
            <w:pPr>
              <w:pStyle w:val="186"/>
              <w:widowControl w:val="0"/>
              <w:spacing w:line="240" w:lineRule="auto"/>
              <w:ind w:firstLine="0"/>
              <w:jc w:val="left"/>
            </w:pPr>
            <w:r>
              <w:rPr>
                <w:rFonts w:hint="eastAsia"/>
              </w:rPr>
              <w:t>新建策略路由</w:t>
            </w:r>
          </w:p>
        </w:tc>
      </w:tr>
      <w:tr w14:paraId="001C03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502D8B3D">
            <w:pPr>
              <w:pStyle w:val="186"/>
              <w:widowControl w:val="0"/>
              <w:spacing w:line="240" w:lineRule="auto"/>
              <w:ind w:firstLine="0"/>
              <w:jc w:val="left"/>
            </w:pPr>
            <w:r>
              <w:rPr>
                <w:rFonts w:hint="eastAsia"/>
              </w:rPr>
              <w:t>删除</w:t>
            </w:r>
          </w:p>
        </w:tc>
        <w:tc>
          <w:tcPr>
            <w:tcW w:w="6826" w:type="dxa"/>
            <w:shd w:val="clear" w:color="auto" w:fill="auto"/>
          </w:tcPr>
          <w:p w14:paraId="7E438A42">
            <w:pPr>
              <w:pStyle w:val="186"/>
              <w:widowControl w:val="0"/>
              <w:spacing w:line="240" w:lineRule="auto"/>
              <w:ind w:firstLine="0"/>
              <w:jc w:val="left"/>
            </w:pPr>
            <w:r>
              <w:rPr>
                <w:rFonts w:hint="eastAsia"/>
              </w:rPr>
              <w:t>删除策略路由</w:t>
            </w:r>
          </w:p>
        </w:tc>
      </w:tr>
      <w:tr w14:paraId="0033BC4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4DC9E898">
            <w:pPr>
              <w:pStyle w:val="186"/>
              <w:widowControl w:val="0"/>
              <w:spacing w:line="240" w:lineRule="auto"/>
              <w:ind w:firstLine="0"/>
              <w:jc w:val="left"/>
            </w:pPr>
            <w:r>
              <w:rPr>
                <w:rFonts w:hint="eastAsia"/>
              </w:rPr>
              <w:t>优先级</w:t>
            </w:r>
          </w:p>
        </w:tc>
        <w:tc>
          <w:tcPr>
            <w:tcW w:w="6826" w:type="dxa"/>
            <w:shd w:val="clear" w:color="auto" w:fill="auto"/>
          </w:tcPr>
          <w:p w14:paraId="55ED005C">
            <w:pPr>
              <w:pStyle w:val="186"/>
              <w:widowControl w:val="0"/>
              <w:spacing w:line="240" w:lineRule="auto"/>
              <w:ind w:firstLine="0"/>
              <w:jc w:val="left"/>
            </w:pPr>
            <w:r>
              <w:rPr>
                <w:rFonts w:hint="eastAsia"/>
              </w:rPr>
              <w:t>调整策略路由优先级</w:t>
            </w:r>
          </w:p>
        </w:tc>
      </w:tr>
      <w:tr w14:paraId="308576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5BCB27D1">
            <w:pPr>
              <w:pStyle w:val="186"/>
              <w:widowControl w:val="0"/>
              <w:spacing w:line="240" w:lineRule="auto"/>
              <w:ind w:firstLine="0"/>
              <w:jc w:val="left"/>
            </w:pPr>
            <w:r>
              <w:rPr>
                <w:rFonts w:hint="eastAsia"/>
              </w:rPr>
              <w:t>ID</w:t>
            </w:r>
          </w:p>
        </w:tc>
        <w:tc>
          <w:tcPr>
            <w:tcW w:w="6826" w:type="dxa"/>
            <w:shd w:val="clear" w:color="auto" w:fill="auto"/>
          </w:tcPr>
          <w:p w14:paraId="1BC35AF7">
            <w:pPr>
              <w:pStyle w:val="186"/>
              <w:widowControl w:val="0"/>
              <w:spacing w:line="240" w:lineRule="auto"/>
              <w:ind w:firstLine="0"/>
              <w:jc w:val="left"/>
            </w:pPr>
            <w:r>
              <w:rPr>
                <w:rFonts w:hint="eastAsia"/>
              </w:rPr>
              <w:t>策略路由的ID</w:t>
            </w:r>
          </w:p>
        </w:tc>
      </w:tr>
      <w:tr w14:paraId="69A244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0B0D71D1">
            <w:pPr>
              <w:pStyle w:val="186"/>
              <w:widowControl w:val="0"/>
              <w:spacing w:line="240" w:lineRule="auto"/>
              <w:ind w:firstLine="0"/>
              <w:jc w:val="left"/>
            </w:pPr>
            <w:r>
              <w:rPr>
                <w:rFonts w:hint="eastAsia"/>
              </w:rPr>
              <w:t>入接口</w:t>
            </w:r>
          </w:p>
        </w:tc>
        <w:tc>
          <w:tcPr>
            <w:tcW w:w="6826" w:type="dxa"/>
            <w:shd w:val="clear" w:color="auto" w:fill="auto"/>
          </w:tcPr>
          <w:p w14:paraId="1DD403CB">
            <w:pPr>
              <w:pStyle w:val="186"/>
              <w:widowControl w:val="0"/>
              <w:spacing w:line="240" w:lineRule="auto"/>
              <w:ind w:firstLine="0"/>
              <w:jc w:val="left"/>
            </w:pPr>
            <w:r>
              <w:rPr>
                <w:rFonts w:hint="eastAsia"/>
              </w:rPr>
              <w:t>报文的入接口</w:t>
            </w:r>
          </w:p>
        </w:tc>
      </w:tr>
      <w:tr w14:paraId="69BAB8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11236212">
            <w:pPr>
              <w:pStyle w:val="186"/>
              <w:widowControl w:val="0"/>
              <w:spacing w:line="240" w:lineRule="auto"/>
              <w:ind w:firstLine="0"/>
              <w:jc w:val="left"/>
            </w:pPr>
            <w:r>
              <w:rPr>
                <w:rFonts w:hint="eastAsia"/>
              </w:rPr>
              <w:t>源地址</w:t>
            </w:r>
          </w:p>
        </w:tc>
        <w:tc>
          <w:tcPr>
            <w:tcW w:w="6826" w:type="dxa"/>
            <w:shd w:val="clear" w:color="auto" w:fill="auto"/>
          </w:tcPr>
          <w:p w14:paraId="1575F813">
            <w:pPr>
              <w:pStyle w:val="186"/>
              <w:widowControl w:val="0"/>
              <w:spacing w:line="240" w:lineRule="auto"/>
              <w:ind w:firstLine="0"/>
              <w:jc w:val="left"/>
            </w:pPr>
            <w:r>
              <w:rPr>
                <w:rFonts w:hint="eastAsia"/>
              </w:rPr>
              <w:t>源地址对象名称，地址对象或对象组</w:t>
            </w:r>
          </w:p>
        </w:tc>
      </w:tr>
      <w:tr w14:paraId="4392C0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3B51AB9B">
            <w:pPr>
              <w:pStyle w:val="186"/>
              <w:widowControl w:val="0"/>
              <w:spacing w:line="240" w:lineRule="auto"/>
              <w:ind w:firstLine="0"/>
              <w:jc w:val="left"/>
            </w:pPr>
            <w:r>
              <w:rPr>
                <w:rFonts w:hint="eastAsia"/>
              </w:rPr>
              <w:t>目的地址</w:t>
            </w:r>
          </w:p>
        </w:tc>
        <w:tc>
          <w:tcPr>
            <w:tcW w:w="6826" w:type="dxa"/>
            <w:shd w:val="clear" w:color="auto" w:fill="auto"/>
          </w:tcPr>
          <w:p w14:paraId="4731262F">
            <w:pPr>
              <w:pStyle w:val="186"/>
              <w:widowControl w:val="0"/>
              <w:spacing w:line="240" w:lineRule="auto"/>
              <w:ind w:firstLine="0"/>
              <w:jc w:val="left"/>
            </w:pPr>
            <w:r>
              <w:rPr>
                <w:rFonts w:hint="eastAsia"/>
              </w:rPr>
              <w:t>目的地址对象名称，地址对象或对象组</w:t>
            </w:r>
          </w:p>
        </w:tc>
      </w:tr>
      <w:tr w14:paraId="1821CF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6FFD349F">
            <w:pPr>
              <w:pStyle w:val="186"/>
              <w:widowControl w:val="0"/>
              <w:spacing w:line="240" w:lineRule="auto"/>
              <w:ind w:firstLine="0"/>
              <w:jc w:val="left"/>
            </w:pPr>
            <w:r>
              <w:rPr>
                <w:rFonts w:hint="eastAsia"/>
              </w:rPr>
              <w:t>用户</w:t>
            </w:r>
          </w:p>
        </w:tc>
        <w:tc>
          <w:tcPr>
            <w:tcW w:w="6826" w:type="dxa"/>
            <w:shd w:val="clear" w:color="auto" w:fill="auto"/>
          </w:tcPr>
          <w:p w14:paraId="5FD8B843">
            <w:pPr>
              <w:pStyle w:val="186"/>
              <w:widowControl w:val="0"/>
              <w:spacing w:line="240" w:lineRule="auto"/>
              <w:ind w:firstLine="0"/>
              <w:jc w:val="left"/>
            </w:pPr>
            <w:r>
              <w:rPr>
                <w:rFonts w:hint="eastAsia"/>
              </w:rPr>
              <w:t>用户对象名称</w:t>
            </w:r>
          </w:p>
        </w:tc>
      </w:tr>
      <w:tr w14:paraId="52768E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6433E03D">
            <w:pPr>
              <w:pStyle w:val="186"/>
              <w:widowControl w:val="0"/>
              <w:spacing w:line="240" w:lineRule="auto"/>
              <w:ind w:firstLine="0"/>
              <w:jc w:val="left"/>
            </w:pPr>
            <w:r>
              <w:rPr>
                <w:rFonts w:hint="eastAsia"/>
              </w:rPr>
              <w:t>服务</w:t>
            </w:r>
          </w:p>
        </w:tc>
        <w:tc>
          <w:tcPr>
            <w:tcW w:w="6826" w:type="dxa"/>
            <w:shd w:val="clear" w:color="auto" w:fill="auto"/>
          </w:tcPr>
          <w:p w14:paraId="352E7621">
            <w:pPr>
              <w:pStyle w:val="186"/>
              <w:widowControl w:val="0"/>
              <w:spacing w:line="240" w:lineRule="auto"/>
              <w:ind w:firstLine="0"/>
              <w:jc w:val="left"/>
            </w:pPr>
            <w:r>
              <w:rPr>
                <w:rFonts w:hint="eastAsia"/>
              </w:rPr>
              <w:t>服务对象名称</w:t>
            </w:r>
          </w:p>
        </w:tc>
      </w:tr>
      <w:tr w14:paraId="494FF1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29338BAB">
            <w:pPr>
              <w:pStyle w:val="186"/>
              <w:widowControl w:val="0"/>
              <w:spacing w:line="240" w:lineRule="auto"/>
              <w:ind w:firstLine="0"/>
              <w:jc w:val="left"/>
            </w:pPr>
            <w:r>
              <w:rPr>
                <w:rFonts w:hint="eastAsia"/>
              </w:rPr>
              <w:t>应用</w:t>
            </w:r>
          </w:p>
        </w:tc>
        <w:tc>
          <w:tcPr>
            <w:tcW w:w="6826" w:type="dxa"/>
            <w:shd w:val="clear" w:color="auto" w:fill="auto"/>
          </w:tcPr>
          <w:p w14:paraId="3981F2E4">
            <w:pPr>
              <w:pStyle w:val="186"/>
              <w:widowControl w:val="0"/>
              <w:spacing w:line="240" w:lineRule="auto"/>
              <w:ind w:firstLine="0"/>
              <w:jc w:val="left"/>
            </w:pPr>
            <w:r>
              <w:rPr>
                <w:rFonts w:hint="eastAsia"/>
              </w:rPr>
              <w:t>应用对象名称</w:t>
            </w:r>
          </w:p>
        </w:tc>
      </w:tr>
      <w:tr w14:paraId="6F7764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1AF122E2">
            <w:pPr>
              <w:pStyle w:val="186"/>
              <w:widowControl w:val="0"/>
              <w:spacing w:line="240" w:lineRule="auto"/>
              <w:ind w:firstLine="0"/>
              <w:jc w:val="left"/>
            </w:pPr>
            <w:r>
              <w:rPr>
                <w:rFonts w:hint="eastAsia"/>
              </w:rPr>
              <w:t>下一跳/出接口</w:t>
            </w:r>
          </w:p>
        </w:tc>
        <w:tc>
          <w:tcPr>
            <w:tcW w:w="6826" w:type="dxa"/>
            <w:shd w:val="clear" w:color="auto" w:fill="auto"/>
          </w:tcPr>
          <w:p w14:paraId="2FD3E7FB">
            <w:pPr>
              <w:pStyle w:val="186"/>
              <w:widowControl w:val="0"/>
              <w:spacing w:line="240" w:lineRule="auto"/>
              <w:ind w:firstLine="0"/>
              <w:jc w:val="left"/>
            </w:pPr>
            <w:r>
              <w:rPr>
                <w:rFonts w:hint="eastAsia"/>
              </w:rPr>
              <w:t>报文转发的下一跳/出接口</w:t>
            </w:r>
          </w:p>
        </w:tc>
      </w:tr>
      <w:tr w14:paraId="4E7AAC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525CED53">
            <w:pPr>
              <w:pStyle w:val="186"/>
              <w:widowControl w:val="0"/>
              <w:spacing w:line="240" w:lineRule="auto"/>
              <w:ind w:firstLine="0"/>
              <w:jc w:val="left"/>
            </w:pPr>
            <w:r>
              <w:rPr>
                <w:rFonts w:hint="eastAsia"/>
              </w:rPr>
              <w:t>操作</w:t>
            </w:r>
          </w:p>
        </w:tc>
        <w:tc>
          <w:tcPr>
            <w:tcW w:w="6826" w:type="dxa"/>
            <w:shd w:val="clear" w:color="auto" w:fill="auto"/>
          </w:tcPr>
          <w:p w14:paraId="52096BD5">
            <w:pPr>
              <w:pStyle w:val="186"/>
              <w:widowControl w:val="0"/>
              <w:spacing w:line="240" w:lineRule="auto"/>
              <w:ind w:firstLine="0"/>
              <w:jc w:val="left"/>
            </w:pPr>
            <w:r>
              <w:rPr>
                <w:rFonts w:hint="eastAsia"/>
              </w:rPr>
              <w:t>点击</w:t>
            </w:r>
            <w:r>
              <w:drawing>
                <wp:inline distT="0" distB="0" distL="0" distR="0">
                  <wp:extent cx="171450" cy="171450"/>
                  <wp:effectExtent l="0" t="0" r="0" b="0"/>
                  <wp:docPr id="548" name="图片 548" descr="http://192.168.1.17/webui/images/basic/icons/icon_edi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548" descr="http://192.168.1.17/webui/images/basic/icons/icon_edit.gif"/>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a:xfrm>
                            <a:off x="0" y="0"/>
                            <a:ext cx="171450" cy="171450"/>
                          </a:xfrm>
                          <a:prstGeom prst="rect">
                            <a:avLst/>
                          </a:prstGeom>
                          <a:noFill/>
                          <a:ln>
                            <a:noFill/>
                          </a:ln>
                        </pic:spPr>
                      </pic:pic>
                    </a:graphicData>
                  </a:graphic>
                </wp:inline>
              </w:drawing>
            </w:r>
            <w:r>
              <w:rPr>
                <w:rFonts w:hint="eastAsia"/>
              </w:rPr>
              <w:t>可以对该条策略路由进行修改，点击</w:t>
            </w:r>
            <w:r>
              <w:drawing>
                <wp:inline distT="0" distB="0" distL="0" distR="0">
                  <wp:extent cx="171450" cy="171450"/>
                  <wp:effectExtent l="0" t="0" r="0" b="0"/>
                  <wp:docPr id="549" name="图片 549" descr="http://192.168.1.17/webui/images/basic/icons/icon_de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549" descr="http://192.168.1.17/webui/images/basic/icons/icon_del.gif"/>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a:xfrm>
                            <a:off x="0" y="0"/>
                            <a:ext cx="171450" cy="171450"/>
                          </a:xfrm>
                          <a:prstGeom prst="rect">
                            <a:avLst/>
                          </a:prstGeom>
                          <a:noFill/>
                          <a:ln>
                            <a:noFill/>
                          </a:ln>
                        </pic:spPr>
                      </pic:pic>
                    </a:graphicData>
                  </a:graphic>
                </wp:inline>
              </w:drawing>
            </w:r>
            <w:r>
              <w:rPr>
                <w:rFonts w:hint="eastAsia"/>
              </w:rPr>
              <w:t>可以删除该条策略路由</w:t>
            </w:r>
          </w:p>
        </w:tc>
      </w:tr>
    </w:tbl>
    <w:p w14:paraId="533F9B67"/>
    <w:p w14:paraId="4A39927D">
      <w:pPr>
        <w:pStyle w:val="5"/>
      </w:pPr>
      <w:bookmarkStart w:id="2535" w:name="_Toc172218150"/>
      <w:bookmarkStart w:id="2536" w:name="_Toc194080777"/>
      <w:bookmarkStart w:id="2537" w:name="_Toc196728109"/>
      <w:r>
        <w:rPr>
          <w:rFonts w:hint="eastAsia"/>
        </w:rPr>
        <w:t>策略路由配置</w:t>
      </w:r>
      <w:bookmarkEnd w:id="2535"/>
      <w:bookmarkEnd w:id="2536"/>
      <w:bookmarkEnd w:id="2537"/>
    </w:p>
    <w:p w14:paraId="1DB5979C">
      <w:r>
        <w:rPr>
          <w:rFonts w:hint="eastAsia"/>
        </w:rPr>
        <w:t>点击“新建”，进入策略路由配置页面。</w:t>
      </w:r>
    </w:p>
    <w:p w14:paraId="5A85F91D">
      <w:pPr>
        <w:pStyle w:val="188"/>
      </w:pPr>
      <w:r>
        <w:rPr>
          <w:rFonts w:hint="eastAsia"/>
        </w:rPr>
        <w:t>策略路由配置页面</w:t>
      </w:r>
    </w:p>
    <w:p w14:paraId="60B2A546">
      <w:r>
        <w:drawing>
          <wp:inline distT="0" distB="0" distL="114300" distR="114300">
            <wp:extent cx="5238750" cy="4373880"/>
            <wp:effectExtent l="0" t="0" r="0" b="7620"/>
            <wp:docPr id="551"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70"/>
                    <pic:cNvPicPr>
                      <a:picLocks noChangeAspect="1"/>
                    </pic:cNvPicPr>
                  </pic:nvPicPr>
                  <pic:blipFill>
                    <a:blip r:embed="rId279"/>
                    <a:srcRect r="19316"/>
                    <a:stretch>
                      <a:fillRect/>
                    </a:stretch>
                  </pic:blipFill>
                  <pic:spPr>
                    <a:xfrm>
                      <a:off x="0" y="0"/>
                      <a:ext cx="5242402" cy="4377217"/>
                    </a:xfrm>
                    <a:prstGeom prst="rect">
                      <a:avLst/>
                    </a:prstGeom>
                    <a:noFill/>
                    <a:ln>
                      <a:noFill/>
                    </a:ln>
                  </pic:spPr>
                </pic:pic>
              </a:graphicData>
            </a:graphic>
          </wp:inline>
        </w:drawing>
      </w:r>
    </w:p>
    <w:p w14:paraId="407B632B"/>
    <w:p w14:paraId="5898424F">
      <w:pPr>
        <w:pStyle w:val="183"/>
      </w:pPr>
      <w:r>
        <w:rPr>
          <w:rFonts w:hint="eastAsia"/>
        </w:rPr>
        <w:t>策略路由配置项含义</w:t>
      </w:r>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489"/>
        <w:gridCol w:w="7479"/>
      </w:tblGrid>
      <w:tr w14:paraId="4DBC17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tcBorders>
              <w:tl2br w:val="nil"/>
              <w:tr2bl w:val="nil"/>
            </w:tcBorders>
            <w:shd w:val="clear" w:color="auto" w:fill="538135" w:themeFill="accent6" w:themeFillShade="BF"/>
            <w:vAlign w:val="center"/>
          </w:tcPr>
          <w:p w14:paraId="6434BACC">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534" w:type="dxa"/>
            <w:tcBorders>
              <w:tl2br w:val="nil"/>
              <w:tr2bl w:val="nil"/>
            </w:tcBorders>
            <w:shd w:val="clear" w:color="auto" w:fill="538135" w:themeFill="accent6" w:themeFillShade="BF"/>
            <w:vAlign w:val="center"/>
          </w:tcPr>
          <w:p w14:paraId="55EF05BD">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1D5E57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43DE5C4C">
            <w:pPr>
              <w:pStyle w:val="186"/>
              <w:widowControl w:val="0"/>
              <w:spacing w:line="240" w:lineRule="auto"/>
              <w:ind w:firstLine="0"/>
              <w:jc w:val="left"/>
            </w:pPr>
            <w:r>
              <w:rPr>
                <w:rFonts w:hint="eastAsia"/>
              </w:rPr>
              <w:t>入接口</w:t>
            </w:r>
          </w:p>
        </w:tc>
        <w:tc>
          <w:tcPr>
            <w:tcW w:w="7534" w:type="dxa"/>
            <w:shd w:val="clear" w:color="auto" w:fill="auto"/>
          </w:tcPr>
          <w:p w14:paraId="44879E6F">
            <w:pPr>
              <w:pStyle w:val="186"/>
              <w:widowControl w:val="0"/>
              <w:spacing w:line="240" w:lineRule="auto"/>
              <w:ind w:firstLine="0"/>
              <w:jc w:val="left"/>
            </w:pPr>
            <w:r>
              <w:rPr>
                <w:rFonts w:hint="eastAsia"/>
              </w:rPr>
              <w:t>报文的入接口</w:t>
            </w:r>
          </w:p>
        </w:tc>
      </w:tr>
      <w:tr w14:paraId="09C73F5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25D0B13E">
            <w:pPr>
              <w:pStyle w:val="186"/>
              <w:widowControl w:val="0"/>
              <w:spacing w:line="240" w:lineRule="auto"/>
              <w:ind w:firstLine="0"/>
              <w:jc w:val="left"/>
            </w:pPr>
            <w:r>
              <w:rPr>
                <w:rFonts w:hint="eastAsia"/>
              </w:rPr>
              <w:t>源地址</w:t>
            </w:r>
          </w:p>
        </w:tc>
        <w:tc>
          <w:tcPr>
            <w:tcW w:w="7534" w:type="dxa"/>
            <w:shd w:val="clear" w:color="auto" w:fill="auto"/>
          </w:tcPr>
          <w:p w14:paraId="522C550A">
            <w:pPr>
              <w:pStyle w:val="186"/>
              <w:widowControl w:val="0"/>
              <w:spacing w:line="240" w:lineRule="auto"/>
              <w:ind w:firstLine="0"/>
              <w:jc w:val="left"/>
            </w:pPr>
            <w:r>
              <w:rPr>
                <w:rFonts w:hint="eastAsia"/>
              </w:rPr>
              <w:t>源地址对象名称，地址对象或地址对象组，后面的&lt;新建&gt;是创建地址对象/地址对象组对象</w:t>
            </w:r>
          </w:p>
        </w:tc>
      </w:tr>
      <w:tr w14:paraId="60DB452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3BD5DD39">
            <w:pPr>
              <w:pStyle w:val="186"/>
              <w:widowControl w:val="0"/>
              <w:spacing w:line="240" w:lineRule="auto"/>
              <w:ind w:firstLine="0"/>
              <w:jc w:val="left"/>
            </w:pPr>
            <w:r>
              <w:rPr>
                <w:rFonts w:hint="eastAsia"/>
              </w:rPr>
              <w:t>目的地址</w:t>
            </w:r>
          </w:p>
        </w:tc>
        <w:tc>
          <w:tcPr>
            <w:tcW w:w="7534" w:type="dxa"/>
            <w:shd w:val="clear" w:color="auto" w:fill="auto"/>
          </w:tcPr>
          <w:p w14:paraId="1694ADC6">
            <w:pPr>
              <w:pStyle w:val="186"/>
              <w:widowControl w:val="0"/>
              <w:spacing w:line="240" w:lineRule="auto"/>
              <w:ind w:firstLine="0"/>
              <w:jc w:val="left"/>
            </w:pPr>
            <w:r>
              <w:rPr>
                <w:rFonts w:hint="eastAsia"/>
              </w:rPr>
              <w:t>目的地址对象名称，地址对象或地址对象组，后面的&lt;新建&gt;是创建地址对象/地址对象组对象</w:t>
            </w:r>
          </w:p>
        </w:tc>
      </w:tr>
      <w:tr w14:paraId="0CEBD8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56F86977">
            <w:pPr>
              <w:pStyle w:val="186"/>
              <w:widowControl w:val="0"/>
              <w:spacing w:line="240" w:lineRule="auto"/>
              <w:ind w:firstLine="0"/>
              <w:jc w:val="left"/>
            </w:pPr>
            <w:r>
              <w:rPr>
                <w:rFonts w:hint="eastAsia"/>
              </w:rPr>
              <w:t>用户</w:t>
            </w:r>
          </w:p>
        </w:tc>
        <w:tc>
          <w:tcPr>
            <w:tcW w:w="7534" w:type="dxa"/>
            <w:shd w:val="clear" w:color="auto" w:fill="auto"/>
          </w:tcPr>
          <w:p w14:paraId="12F2EFF2">
            <w:pPr>
              <w:pStyle w:val="186"/>
              <w:widowControl w:val="0"/>
              <w:spacing w:line="240" w:lineRule="auto"/>
              <w:ind w:firstLine="0"/>
              <w:jc w:val="left"/>
            </w:pPr>
            <w:r>
              <w:rPr>
                <w:rFonts w:hint="eastAsia"/>
              </w:rPr>
              <w:t>用户对象名称</w:t>
            </w:r>
          </w:p>
        </w:tc>
      </w:tr>
      <w:tr w14:paraId="28DFA4A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4ECE3855">
            <w:pPr>
              <w:pStyle w:val="186"/>
              <w:widowControl w:val="0"/>
              <w:spacing w:line="240" w:lineRule="auto"/>
              <w:ind w:firstLine="0"/>
              <w:jc w:val="left"/>
            </w:pPr>
            <w:r>
              <w:rPr>
                <w:rFonts w:hint="eastAsia"/>
              </w:rPr>
              <w:t>服务</w:t>
            </w:r>
          </w:p>
        </w:tc>
        <w:tc>
          <w:tcPr>
            <w:tcW w:w="7534" w:type="dxa"/>
            <w:shd w:val="clear" w:color="auto" w:fill="auto"/>
          </w:tcPr>
          <w:p w14:paraId="5853FB61">
            <w:pPr>
              <w:pStyle w:val="186"/>
              <w:widowControl w:val="0"/>
              <w:spacing w:line="240" w:lineRule="auto"/>
              <w:ind w:firstLine="0"/>
              <w:jc w:val="left"/>
            </w:pPr>
            <w:r>
              <w:rPr>
                <w:rFonts w:hint="eastAsia"/>
              </w:rPr>
              <w:t>服务对象名称</w:t>
            </w:r>
          </w:p>
        </w:tc>
      </w:tr>
      <w:tr w14:paraId="551468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26BCBADE">
            <w:pPr>
              <w:pStyle w:val="186"/>
              <w:widowControl w:val="0"/>
              <w:spacing w:line="240" w:lineRule="auto"/>
              <w:ind w:firstLine="0"/>
              <w:jc w:val="left"/>
            </w:pPr>
            <w:r>
              <w:rPr>
                <w:rFonts w:hint="eastAsia"/>
              </w:rPr>
              <w:t>应用</w:t>
            </w:r>
          </w:p>
        </w:tc>
        <w:tc>
          <w:tcPr>
            <w:tcW w:w="7534" w:type="dxa"/>
            <w:shd w:val="clear" w:color="auto" w:fill="auto"/>
          </w:tcPr>
          <w:p w14:paraId="31599776">
            <w:pPr>
              <w:pStyle w:val="186"/>
              <w:widowControl w:val="0"/>
              <w:spacing w:line="240" w:lineRule="auto"/>
              <w:ind w:firstLine="0"/>
              <w:jc w:val="left"/>
            </w:pPr>
            <w:r>
              <w:rPr>
                <w:rFonts w:hint="eastAsia"/>
              </w:rPr>
              <w:t>应用对象名称</w:t>
            </w:r>
          </w:p>
        </w:tc>
      </w:tr>
      <w:tr w14:paraId="60D6B2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0AF1408A">
            <w:pPr>
              <w:pStyle w:val="186"/>
              <w:widowControl w:val="0"/>
              <w:spacing w:line="240" w:lineRule="auto"/>
              <w:ind w:firstLine="0"/>
              <w:jc w:val="left"/>
            </w:pPr>
            <w:r>
              <w:rPr>
                <w:rFonts w:hint="eastAsia"/>
              </w:rPr>
              <w:t>时间</w:t>
            </w:r>
          </w:p>
        </w:tc>
        <w:tc>
          <w:tcPr>
            <w:tcW w:w="7534" w:type="dxa"/>
            <w:shd w:val="clear" w:color="auto" w:fill="auto"/>
          </w:tcPr>
          <w:p w14:paraId="6445B251">
            <w:pPr>
              <w:pStyle w:val="186"/>
              <w:widowControl w:val="0"/>
              <w:spacing w:line="240" w:lineRule="auto"/>
              <w:ind w:firstLine="0"/>
              <w:jc w:val="left"/>
            </w:pPr>
            <w:r>
              <w:rPr>
                <w:rFonts w:hint="eastAsia"/>
              </w:rPr>
              <w:t xml:space="preserve"> 策略路由生效时间</w:t>
            </w:r>
          </w:p>
        </w:tc>
      </w:tr>
      <w:tr w14:paraId="68CE9E5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278AD9FA">
            <w:pPr>
              <w:pStyle w:val="186"/>
              <w:widowControl w:val="0"/>
              <w:spacing w:line="240" w:lineRule="auto"/>
              <w:ind w:firstLine="0"/>
              <w:jc w:val="left"/>
            </w:pPr>
            <w:r>
              <w:rPr>
                <w:rFonts w:hint="eastAsia"/>
              </w:rPr>
              <w:t>下一跳信息</w:t>
            </w:r>
          </w:p>
        </w:tc>
        <w:tc>
          <w:tcPr>
            <w:tcW w:w="7534" w:type="dxa"/>
            <w:shd w:val="clear" w:color="auto" w:fill="auto"/>
          </w:tcPr>
          <w:p w14:paraId="14D920DE">
            <w:pPr>
              <w:pStyle w:val="186"/>
              <w:widowControl w:val="0"/>
              <w:spacing w:line="240" w:lineRule="auto"/>
              <w:ind w:firstLine="0"/>
              <w:jc w:val="left"/>
            </w:pPr>
            <w:r>
              <w:rPr>
                <w:rFonts w:hint="eastAsia"/>
              </w:rPr>
              <w:t>可以选择下一跳地址，也可以选择出接口</w:t>
            </w:r>
          </w:p>
        </w:tc>
      </w:tr>
      <w:tr w14:paraId="3D2D350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599D6A90">
            <w:pPr>
              <w:pStyle w:val="186"/>
              <w:widowControl w:val="0"/>
              <w:spacing w:line="240" w:lineRule="auto"/>
              <w:ind w:firstLine="0"/>
              <w:jc w:val="left"/>
            </w:pPr>
            <w:r>
              <w:rPr>
                <w:rFonts w:hint="eastAsia"/>
              </w:rPr>
              <w:t>权重</w:t>
            </w:r>
          </w:p>
        </w:tc>
        <w:tc>
          <w:tcPr>
            <w:tcW w:w="7534" w:type="dxa"/>
            <w:shd w:val="clear" w:color="auto" w:fill="auto"/>
          </w:tcPr>
          <w:p w14:paraId="070DF2ED">
            <w:pPr>
              <w:pStyle w:val="186"/>
              <w:widowControl w:val="0"/>
              <w:spacing w:line="240" w:lineRule="auto"/>
              <w:ind w:firstLine="0"/>
              <w:jc w:val="left"/>
            </w:pPr>
            <w:r>
              <w:rPr>
                <w:rFonts w:hint="eastAsia"/>
              </w:rPr>
              <w:t>该策略路由的权重值</w:t>
            </w:r>
          </w:p>
        </w:tc>
      </w:tr>
    </w:tbl>
    <w:p w14:paraId="0A593474"/>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0BE418D0">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07745467">
            <w:pPr>
              <w:pStyle w:val="150"/>
              <w:adjustRightInd w:val="0"/>
              <w:snapToGrid w:val="0"/>
              <w:rPr>
                <w:color w:val="auto"/>
              </w:rPr>
            </w:pPr>
            <w:r>
              <w:rPr>
                <w:b/>
                <w:color w:val="auto"/>
              </w:rPr>
              <w:drawing>
                <wp:inline distT="0" distB="0" distL="0" distR="0">
                  <wp:extent cx="283210" cy="283210"/>
                  <wp:effectExtent l="0" t="0" r="2540" b="2540"/>
                  <wp:docPr id="778" name="图片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图片 778"/>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14D6B4D5">
            <w:pPr>
              <w:pStyle w:val="150"/>
              <w:adjustRightInd w:val="0"/>
              <w:snapToGrid w:val="0"/>
              <w:rPr>
                <w:color w:val="auto"/>
              </w:rPr>
            </w:pPr>
            <w:r>
              <w:rPr>
                <w:rFonts w:hint="eastAsia"/>
                <w:color w:val="auto"/>
              </w:rPr>
              <w:t>每创建一条策略路由后，系统都会为新建的路由自动分配一个ID，但该ID与路由匹配优先级无关。流量进入设备后，设备对策略路由表中的所有策略规则进行顺序匹配，按照匹配到的第一条策略规则对流量进行处理。用户可根据需要移动策略路由的位置来调整规则的匹配顺序。</w:t>
            </w:r>
          </w:p>
        </w:tc>
      </w:tr>
    </w:tbl>
    <w:p w14:paraId="39E998A6"/>
    <w:p w14:paraId="5191F1C5">
      <w:pPr>
        <w:pStyle w:val="5"/>
      </w:pPr>
      <w:bookmarkStart w:id="2538" w:name="_Toc172218151"/>
      <w:bookmarkStart w:id="2539" w:name="_Toc194080778"/>
      <w:bookmarkStart w:id="2540" w:name="_Toc196728110"/>
      <w:r>
        <w:rPr>
          <w:rFonts w:hint="eastAsia"/>
        </w:rPr>
        <w:t>移动策略路由</w:t>
      </w:r>
      <w:bookmarkEnd w:id="2538"/>
      <w:bookmarkEnd w:id="2539"/>
      <w:bookmarkEnd w:id="2540"/>
    </w:p>
    <w:p w14:paraId="66F4E7C2">
      <w:r>
        <w:rPr>
          <w:rFonts w:hint="eastAsia"/>
        </w:rPr>
        <w:t>点击“优先级”，可以设置策略路由优先级。</w:t>
      </w:r>
    </w:p>
    <w:p w14:paraId="5C6BEB78">
      <w:pPr>
        <w:pStyle w:val="188"/>
      </w:pPr>
      <w:r>
        <w:rPr>
          <w:rFonts w:hint="eastAsia"/>
        </w:rPr>
        <w:t>移动策略路由</w:t>
      </w:r>
    </w:p>
    <w:p w14:paraId="33354D4F">
      <w:r>
        <w:drawing>
          <wp:inline distT="0" distB="0" distL="0" distR="0">
            <wp:extent cx="4771390" cy="2332990"/>
            <wp:effectExtent l="0" t="0" r="0" b="0"/>
            <wp:docPr id="557" name="图片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557"/>
                    <pic:cNvPicPr>
                      <a:picLocks noChangeAspect="1"/>
                    </pic:cNvPicPr>
                  </pic:nvPicPr>
                  <pic:blipFill>
                    <a:blip r:embed="rId280"/>
                    <a:stretch>
                      <a:fillRect/>
                    </a:stretch>
                  </pic:blipFill>
                  <pic:spPr>
                    <a:xfrm>
                      <a:off x="0" y="0"/>
                      <a:ext cx="4771429" cy="2333333"/>
                    </a:xfrm>
                    <a:prstGeom prst="rect">
                      <a:avLst/>
                    </a:prstGeom>
                  </pic:spPr>
                </pic:pic>
              </a:graphicData>
            </a:graphic>
          </wp:inline>
        </w:drawing>
      </w:r>
    </w:p>
    <w:p w14:paraId="1EE3AD10"/>
    <w:p w14:paraId="1F72FEBB">
      <w:pPr>
        <w:pStyle w:val="183"/>
      </w:pPr>
      <w:r>
        <w:rPr>
          <w:rFonts w:hint="eastAsia"/>
        </w:rPr>
        <w:t>移动策略路由配置项含义</w:t>
      </w:r>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3"/>
        <w:gridCol w:w="6635"/>
      </w:tblGrid>
      <w:tr w14:paraId="0F2FC8B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tcBorders>
              <w:tl2br w:val="nil"/>
              <w:tr2bl w:val="nil"/>
            </w:tcBorders>
            <w:shd w:val="clear" w:color="auto" w:fill="538135" w:themeFill="accent6" w:themeFillShade="BF"/>
            <w:vAlign w:val="center"/>
          </w:tcPr>
          <w:p w14:paraId="19A2FD17">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84" w:type="dxa"/>
            <w:tcBorders>
              <w:tl2br w:val="nil"/>
              <w:tr2bl w:val="nil"/>
            </w:tcBorders>
            <w:shd w:val="clear" w:color="auto" w:fill="538135" w:themeFill="accent6" w:themeFillShade="BF"/>
            <w:vAlign w:val="center"/>
          </w:tcPr>
          <w:p w14:paraId="1CD414D4">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ACF6B1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37338A5E">
            <w:pPr>
              <w:pStyle w:val="186"/>
              <w:widowControl w:val="0"/>
              <w:spacing w:line="240" w:lineRule="auto"/>
              <w:ind w:firstLine="0"/>
              <w:jc w:val="left"/>
            </w:pPr>
            <w:r>
              <w:rPr>
                <w:rFonts w:hint="eastAsia"/>
              </w:rPr>
              <w:t>被移动策略ID</w:t>
            </w:r>
          </w:p>
        </w:tc>
        <w:tc>
          <w:tcPr>
            <w:tcW w:w="6684" w:type="dxa"/>
            <w:shd w:val="clear" w:color="auto" w:fill="auto"/>
          </w:tcPr>
          <w:p w14:paraId="4F4FFDFB">
            <w:pPr>
              <w:pStyle w:val="186"/>
              <w:widowControl w:val="0"/>
              <w:spacing w:line="240" w:lineRule="auto"/>
              <w:ind w:firstLine="0"/>
              <w:jc w:val="left"/>
            </w:pPr>
            <w:r>
              <w:rPr>
                <w:rFonts w:hint="eastAsia"/>
              </w:rPr>
              <w:t>被移动策略ID</w:t>
            </w:r>
          </w:p>
        </w:tc>
      </w:tr>
      <w:tr w14:paraId="244F29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124D04B7">
            <w:pPr>
              <w:pStyle w:val="186"/>
              <w:widowControl w:val="0"/>
              <w:spacing w:line="240" w:lineRule="auto"/>
              <w:ind w:firstLine="0"/>
              <w:jc w:val="left"/>
            </w:pPr>
            <w:r>
              <w:rPr>
                <w:rFonts w:hint="eastAsia"/>
              </w:rPr>
              <w:t>目标位置</w:t>
            </w:r>
          </w:p>
        </w:tc>
        <w:tc>
          <w:tcPr>
            <w:tcW w:w="6684" w:type="dxa"/>
            <w:shd w:val="clear" w:color="auto" w:fill="auto"/>
          </w:tcPr>
          <w:p w14:paraId="2FBA9767">
            <w:pPr>
              <w:pStyle w:val="186"/>
              <w:widowControl w:val="0"/>
              <w:spacing w:line="240" w:lineRule="auto"/>
              <w:ind w:firstLine="0"/>
              <w:jc w:val="left"/>
            </w:pPr>
            <w:r>
              <w:rPr>
                <w:rFonts w:hint="eastAsia"/>
              </w:rPr>
              <w:t>要移动到的位置，一共四个位置：策略最前、策略ID之前、策略ID之后、策略最后</w:t>
            </w:r>
          </w:p>
        </w:tc>
      </w:tr>
      <w:tr w14:paraId="4B355F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0C00A036">
            <w:pPr>
              <w:pStyle w:val="186"/>
              <w:widowControl w:val="0"/>
              <w:spacing w:line="240" w:lineRule="auto"/>
              <w:ind w:firstLine="0"/>
              <w:jc w:val="left"/>
            </w:pPr>
            <w:r>
              <w:rPr>
                <w:rFonts w:hint="eastAsia"/>
              </w:rPr>
              <w:t>目标位置策略ID</w:t>
            </w:r>
          </w:p>
        </w:tc>
        <w:tc>
          <w:tcPr>
            <w:tcW w:w="6684" w:type="dxa"/>
            <w:shd w:val="clear" w:color="auto" w:fill="auto"/>
          </w:tcPr>
          <w:p w14:paraId="0F0EF0B7">
            <w:pPr>
              <w:pStyle w:val="186"/>
              <w:widowControl w:val="0"/>
              <w:spacing w:line="240" w:lineRule="auto"/>
              <w:ind w:firstLine="0"/>
              <w:jc w:val="left"/>
            </w:pPr>
            <w:r>
              <w:rPr>
                <w:rFonts w:hint="eastAsia"/>
              </w:rPr>
              <w:t>目标位置策略ID</w:t>
            </w:r>
          </w:p>
        </w:tc>
      </w:tr>
    </w:tbl>
    <w:p w14:paraId="59A4E084"/>
    <w:p w14:paraId="25461247">
      <w:pPr>
        <w:pStyle w:val="5"/>
      </w:pPr>
      <w:bookmarkStart w:id="2541" w:name="_Toc194080779"/>
      <w:bookmarkStart w:id="2542" w:name="_Toc172218152"/>
      <w:bookmarkStart w:id="2543" w:name="_Toc196728111"/>
      <w:r>
        <w:rPr>
          <w:rFonts w:hint="eastAsia"/>
        </w:rPr>
        <w:t>策略路由配置举例</w:t>
      </w:r>
      <w:bookmarkEnd w:id="2541"/>
      <w:bookmarkEnd w:id="2542"/>
      <w:bookmarkEnd w:id="2543"/>
    </w:p>
    <w:p w14:paraId="0C37FDF8">
      <w:pPr>
        <w:pStyle w:val="6"/>
      </w:pPr>
      <w:r>
        <w:rPr>
          <w:rFonts w:hint="eastAsia"/>
        </w:rPr>
        <w:t>组网需求</w:t>
      </w:r>
    </w:p>
    <w:p w14:paraId="5B16D435">
      <w:r>
        <w:rPr>
          <w:rFonts w:hint="eastAsia"/>
        </w:rPr>
        <w:t>各设备接口及主机的</w:t>
      </w:r>
      <w:r>
        <w:t>IP</w:t>
      </w:r>
      <w:r>
        <w:rPr>
          <w:rFonts w:hint="eastAsia"/>
        </w:rPr>
        <w:t>地址和掩码如下图所示。</w:t>
      </w:r>
    </w:p>
    <w:p w14:paraId="15D7C92D">
      <w:r>
        <w:rPr>
          <w:rFonts w:hint="eastAsia"/>
        </w:rPr>
        <w:t>将来自192.168.1.0/24网段的数据包路由至设备200.0.0.2上。</w:t>
      </w:r>
    </w:p>
    <w:p w14:paraId="124D879C">
      <w:r>
        <w:rPr>
          <w:rFonts w:hint="eastAsia"/>
        </w:rPr>
        <w:t>将来自192.168.2.0/24网段的数据包路由至设备200.0.1.2上。</w:t>
      </w:r>
    </w:p>
    <w:p w14:paraId="4358315B">
      <w:r>
        <w:rPr>
          <w:rFonts w:hint="eastAsia"/>
        </w:rPr>
        <w:t>通过这样的配置可以有选择的限制不同的</w:t>
      </w:r>
      <w:r>
        <w:t>IP</w:t>
      </w:r>
      <w:r>
        <w:rPr>
          <w:rFonts w:hint="eastAsia"/>
        </w:rPr>
        <w:t>用户访问不同的网络或使用不同的网络出口。</w:t>
      </w:r>
    </w:p>
    <w:p w14:paraId="296A470D">
      <w:pPr>
        <w:pStyle w:val="6"/>
      </w:pPr>
      <w:r>
        <w:rPr>
          <w:rFonts w:hint="eastAsia"/>
        </w:rPr>
        <w:t>组网图</w:t>
      </w:r>
    </w:p>
    <w:p w14:paraId="6D349323">
      <w:pPr>
        <w:pStyle w:val="188"/>
      </w:pPr>
      <w:r>
        <w:rPr>
          <w:rFonts w:hint="eastAsia"/>
        </w:rPr>
        <w:t>策略路由配置案例组网图</w:t>
      </w:r>
    </w:p>
    <w:p w14:paraId="14FDA89E">
      <w:r>
        <w:drawing>
          <wp:inline distT="0" distB="0" distL="0" distR="0">
            <wp:extent cx="2428240" cy="2704465"/>
            <wp:effectExtent l="0" t="0" r="0" b="635"/>
            <wp:docPr id="559" name="图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559"/>
                    <pic:cNvPicPr>
                      <a:picLocks noChangeAspect="1"/>
                    </pic:cNvPicPr>
                  </pic:nvPicPr>
                  <pic:blipFill>
                    <a:blip r:embed="rId281"/>
                    <a:stretch>
                      <a:fillRect/>
                    </a:stretch>
                  </pic:blipFill>
                  <pic:spPr>
                    <a:xfrm>
                      <a:off x="0" y="0"/>
                      <a:ext cx="2428571" cy="2704762"/>
                    </a:xfrm>
                    <a:prstGeom prst="rect">
                      <a:avLst/>
                    </a:prstGeom>
                  </pic:spPr>
                </pic:pic>
              </a:graphicData>
            </a:graphic>
          </wp:inline>
        </w:drawing>
      </w:r>
    </w:p>
    <w:p w14:paraId="623A7576"/>
    <w:p w14:paraId="77B91551">
      <w:pPr>
        <w:pStyle w:val="6"/>
      </w:pPr>
      <w:r>
        <w:rPr>
          <w:rFonts w:hint="eastAsia"/>
        </w:rPr>
        <w:t>配置步骤</w:t>
      </w:r>
    </w:p>
    <w:p w14:paraId="1273C262">
      <w:pPr>
        <w:pStyle w:val="202"/>
      </w:pPr>
      <w:r>
        <w:rPr>
          <w:rFonts w:hint="eastAsia"/>
        </w:rPr>
        <w:t>按照组网图组网</w:t>
      </w:r>
    </w:p>
    <w:p w14:paraId="7DF4EA1D">
      <w:pPr>
        <w:pStyle w:val="202"/>
        <w:rPr>
          <w:lang w:eastAsia="zh-CN"/>
        </w:rPr>
      </w:pPr>
      <w:r>
        <w:rPr>
          <w:rFonts w:hint="eastAsia"/>
          <w:lang w:eastAsia="zh-CN"/>
        </w:rPr>
        <w:t>通过菜单“网络配置&gt;路由管理</w:t>
      </w:r>
      <w:r>
        <w:rPr>
          <w:lang w:eastAsia="zh-CN"/>
        </w:rPr>
        <w:t xml:space="preserve">&gt; </w:t>
      </w:r>
      <w:r>
        <w:rPr>
          <w:rFonts w:hint="eastAsia"/>
          <w:lang w:eastAsia="zh-CN"/>
        </w:rPr>
        <w:t>策略路由”，点击</w:t>
      </w:r>
      <w:r>
        <w:rPr>
          <w:lang w:eastAsia="zh-CN"/>
        </w:rPr>
        <w:t>&lt;</w:t>
      </w:r>
      <w:r>
        <w:rPr>
          <w:rFonts w:hint="eastAsia"/>
          <w:lang w:eastAsia="zh-CN"/>
        </w:rPr>
        <w:t>新建</w:t>
      </w:r>
      <w:r>
        <w:rPr>
          <w:lang w:eastAsia="zh-CN"/>
        </w:rPr>
        <w:t>&gt;</w:t>
      </w:r>
      <w:r>
        <w:rPr>
          <w:rFonts w:hint="eastAsia"/>
          <w:lang w:eastAsia="zh-CN"/>
        </w:rPr>
        <w:t>。</w:t>
      </w:r>
    </w:p>
    <w:p w14:paraId="37C64370">
      <w:pPr>
        <w:pStyle w:val="202"/>
        <w:rPr>
          <w:lang w:eastAsia="zh-CN"/>
        </w:rPr>
      </w:pPr>
      <w:r>
        <w:rPr>
          <w:rFonts w:hint="eastAsia"/>
          <w:lang w:eastAsia="zh-CN"/>
        </w:rPr>
        <w:t>点击源地址那一栏后面的</w:t>
      </w:r>
      <w:r>
        <w:rPr>
          <w:lang w:eastAsia="zh-CN"/>
        </w:rPr>
        <w:t>&lt;</w:t>
      </w:r>
      <w:r>
        <w:rPr>
          <w:rFonts w:hint="eastAsia"/>
          <w:lang w:eastAsia="zh-CN"/>
        </w:rPr>
        <w:t>新建</w:t>
      </w:r>
      <w:r>
        <w:rPr>
          <w:lang w:eastAsia="zh-CN"/>
        </w:rPr>
        <w:t>&gt;</w:t>
      </w:r>
      <w:r>
        <w:rPr>
          <w:rFonts w:hint="eastAsia"/>
          <w:lang w:eastAsia="zh-CN"/>
        </w:rPr>
        <w:t>，建立</w:t>
      </w:r>
      <w:r>
        <w:rPr>
          <w:lang w:eastAsia="zh-CN"/>
        </w:rPr>
        <w:t>192.168.1.0/24</w:t>
      </w:r>
      <w:r>
        <w:rPr>
          <w:rFonts w:hint="eastAsia"/>
          <w:lang w:eastAsia="zh-CN"/>
        </w:rPr>
        <w:t>的地址对象。</w:t>
      </w:r>
    </w:p>
    <w:p w14:paraId="4C15DE8D">
      <w:pPr>
        <w:pStyle w:val="188"/>
      </w:pPr>
      <w:r>
        <w:rPr>
          <w:rFonts w:hint="eastAsia"/>
        </w:rPr>
        <w:t>地址对象配置</w:t>
      </w:r>
    </w:p>
    <w:p w14:paraId="7E07B045">
      <w:r>
        <w:drawing>
          <wp:inline distT="0" distB="0" distL="114300" distR="114300">
            <wp:extent cx="5143500" cy="3238500"/>
            <wp:effectExtent l="0" t="0" r="0" b="0"/>
            <wp:docPr id="560"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71"/>
                    <pic:cNvPicPr>
                      <a:picLocks noChangeAspect="1"/>
                    </pic:cNvPicPr>
                  </pic:nvPicPr>
                  <pic:blipFill>
                    <a:blip r:embed="rId282"/>
                    <a:stretch>
                      <a:fillRect/>
                    </a:stretch>
                  </pic:blipFill>
                  <pic:spPr>
                    <a:xfrm>
                      <a:off x="0" y="0"/>
                      <a:ext cx="5143500" cy="3238500"/>
                    </a:xfrm>
                    <a:prstGeom prst="rect">
                      <a:avLst/>
                    </a:prstGeom>
                    <a:noFill/>
                    <a:ln>
                      <a:noFill/>
                    </a:ln>
                  </pic:spPr>
                </pic:pic>
              </a:graphicData>
            </a:graphic>
          </wp:inline>
        </w:drawing>
      </w:r>
    </w:p>
    <w:p w14:paraId="08023A3C"/>
    <w:p w14:paraId="5880CA51">
      <w:pPr>
        <w:pStyle w:val="202"/>
        <w:rPr>
          <w:lang w:eastAsia="zh-CN"/>
        </w:rPr>
      </w:pPr>
      <w:r>
        <w:rPr>
          <w:rFonts w:hint="eastAsia"/>
          <w:lang w:eastAsia="zh-CN"/>
        </w:rPr>
        <w:t>点击</w:t>
      </w:r>
      <w:r>
        <w:rPr>
          <w:lang w:eastAsia="zh-CN"/>
        </w:rPr>
        <w:t>&lt;</w:t>
      </w:r>
      <w:r>
        <w:rPr>
          <w:rFonts w:hint="eastAsia"/>
          <w:lang w:eastAsia="zh-CN"/>
        </w:rPr>
        <w:t>提交</w:t>
      </w:r>
      <w:r>
        <w:rPr>
          <w:lang w:eastAsia="zh-CN"/>
        </w:rPr>
        <w:t>&gt;</w:t>
      </w:r>
      <w:r>
        <w:rPr>
          <w:rFonts w:hint="eastAsia"/>
          <w:lang w:eastAsia="zh-CN"/>
        </w:rPr>
        <w:t>按钮，进入策略路由配置页面，并填写下一跳信息，并点击</w:t>
      </w:r>
      <w:r>
        <w:rPr>
          <w:lang w:eastAsia="zh-CN"/>
        </w:rPr>
        <w:t>&lt;</w:t>
      </w:r>
      <w:r>
        <w:rPr>
          <w:rFonts w:hint="eastAsia"/>
          <w:lang w:eastAsia="zh-CN"/>
        </w:rPr>
        <w:t>提交</w:t>
      </w:r>
      <w:r>
        <w:rPr>
          <w:lang w:eastAsia="zh-CN"/>
        </w:rPr>
        <w:t>&gt;</w:t>
      </w:r>
      <w:r>
        <w:rPr>
          <w:rFonts w:hint="eastAsia"/>
          <w:lang w:eastAsia="zh-CN"/>
        </w:rPr>
        <w:t>按钮提交该页配置。</w:t>
      </w:r>
    </w:p>
    <w:p w14:paraId="5FDE59F1">
      <w:pPr>
        <w:pStyle w:val="188"/>
      </w:pPr>
      <w:r>
        <w:rPr>
          <w:rFonts w:hint="eastAsia"/>
        </w:rPr>
        <w:tab/>
      </w:r>
      <w:r>
        <w:rPr>
          <w:rFonts w:hint="eastAsia"/>
        </w:rPr>
        <w:t>配置策略路由</w:t>
      </w:r>
    </w:p>
    <w:p w14:paraId="702D6E8E">
      <w:r>
        <w:drawing>
          <wp:inline distT="0" distB="0" distL="114300" distR="114300">
            <wp:extent cx="5400040" cy="3703320"/>
            <wp:effectExtent l="0" t="0" r="0" b="0"/>
            <wp:docPr id="561"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72"/>
                    <pic:cNvPicPr>
                      <a:picLocks noChangeAspect="1"/>
                    </pic:cNvPicPr>
                  </pic:nvPicPr>
                  <pic:blipFill>
                    <a:blip r:embed="rId283"/>
                    <a:stretch>
                      <a:fillRect/>
                    </a:stretch>
                  </pic:blipFill>
                  <pic:spPr>
                    <a:xfrm>
                      <a:off x="0" y="0"/>
                      <a:ext cx="5400040" cy="3703874"/>
                    </a:xfrm>
                    <a:prstGeom prst="rect">
                      <a:avLst/>
                    </a:prstGeom>
                    <a:noFill/>
                    <a:ln>
                      <a:noFill/>
                    </a:ln>
                  </pic:spPr>
                </pic:pic>
              </a:graphicData>
            </a:graphic>
          </wp:inline>
        </w:drawing>
      </w:r>
    </w:p>
    <w:p w14:paraId="19F72F08"/>
    <w:p w14:paraId="3AD3F9AF">
      <w:pPr>
        <w:pStyle w:val="202"/>
        <w:rPr>
          <w:lang w:eastAsia="zh-CN"/>
        </w:rPr>
      </w:pPr>
      <w:r>
        <w:rPr>
          <w:rFonts w:hint="eastAsia"/>
          <w:lang w:eastAsia="zh-CN"/>
        </w:rPr>
        <w:t>同样方式配置</w:t>
      </w:r>
      <w:r>
        <w:rPr>
          <w:lang w:eastAsia="zh-CN"/>
        </w:rPr>
        <w:t>192.168.2.0/24</w:t>
      </w:r>
      <w:r>
        <w:rPr>
          <w:rFonts w:hint="eastAsia"/>
          <w:lang w:eastAsia="zh-CN"/>
        </w:rPr>
        <w:t>网段的策略路由。</w:t>
      </w:r>
    </w:p>
    <w:p w14:paraId="711E75C1">
      <w:pPr>
        <w:pStyle w:val="6"/>
      </w:pPr>
      <w:r>
        <w:rPr>
          <w:rFonts w:hint="eastAsia"/>
        </w:rPr>
        <w:t>验证配置</w:t>
      </w:r>
    </w:p>
    <w:p w14:paraId="38985C62">
      <w:r>
        <w:rPr>
          <w:rFonts w:hint="eastAsia"/>
        </w:rPr>
        <w:t>查看策略路由表，查看是否已经有已经配置的策略路由，如下图所示。</w:t>
      </w:r>
    </w:p>
    <w:p w14:paraId="481CEB66">
      <w:pPr>
        <w:pStyle w:val="188"/>
      </w:pPr>
      <w:r>
        <w:rPr>
          <w:rFonts w:hint="eastAsia"/>
        </w:rPr>
        <w:tab/>
      </w:r>
      <w:r>
        <w:rPr>
          <w:rFonts w:hint="eastAsia"/>
        </w:rPr>
        <w:t>验证策略路由配置</w:t>
      </w:r>
    </w:p>
    <w:p w14:paraId="187F930E">
      <w:r>
        <w:drawing>
          <wp:inline distT="0" distB="0" distL="114300" distR="114300">
            <wp:extent cx="5400040" cy="1017270"/>
            <wp:effectExtent l="0" t="0" r="0" b="0"/>
            <wp:docPr id="562"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73"/>
                    <pic:cNvPicPr>
                      <a:picLocks noChangeAspect="1"/>
                    </pic:cNvPicPr>
                  </pic:nvPicPr>
                  <pic:blipFill>
                    <a:blip r:embed="rId284"/>
                    <a:stretch>
                      <a:fillRect/>
                    </a:stretch>
                  </pic:blipFill>
                  <pic:spPr>
                    <a:xfrm>
                      <a:off x="0" y="0"/>
                      <a:ext cx="5400040" cy="1017448"/>
                    </a:xfrm>
                    <a:prstGeom prst="rect">
                      <a:avLst/>
                    </a:prstGeom>
                    <a:noFill/>
                    <a:ln>
                      <a:noFill/>
                    </a:ln>
                  </pic:spPr>
                </pic:pic>
              </a:graphicData>
            </a:graphic>
          </wp:inline>
        </w:drawing>
      </w:r>
    </w:p>
    <w:p w14:paraId="2D286BA8">
      <w:pPr>
        <w:pStyle w:val="4"/>
      </w:pPr>
      <w:bookmarkStart w:id="2544" w:name="_Toc194080780"/>
      <w:bookmarkStart w:id="2545" w:name="_Toc196728112"/>
      <w:bookmarkStart w:id="2546" w:name="_Toc172218153"/>
      <w:r>
        <w:rPr>
          <w:rFonts w:hint="eastAsia"/>
        </w:rPr>
        <w:t>ISP路由</w:t>
      </w:r>
      <w:bookmarkEnd w:id="2544"/>
      <w:bookmarkEnd w:id="2545"/>
      <w:bookmarkEnd w:id="2546"/>
    </w:p>
    <w:p w14:paraId="02B6E4E6">
      <w:pPr>
        <w:pStyle w:val="5"/>
      </w:pPr>
      <w:bookmarkStart w:id="2547" w:name="_Toc196728113"/>
      <w:bookmarkStart w:id="2548" w:name="_Toc194080781"/>
      <w:bookmarkStart w:id="2549" w:name="_Toc172218154"/>
      <w:r>
        <w:rPr>
          <w:rFonts w:hint="eastAsia"/>
        </w:rPr>
        <w:t>概述</w:t>
      </w:r>
      <w:bookmarkEnd w:id="2547"/>
      <w:bookmarkEnd w:id="2548"/>
      <w:bookmarkEnd w:id="2549"/>
    </w:p>
    <w:p w14:paraId="3D780F5E">
      <w:r>
        <w:rPr>
          <w:rFonts w:hint="eastAsia"/>
        </w:rPr>
        <w:t>很多用户通常会申请多条线路进行流量负载均衡。然而，一般的均衡是不会根据流量的流向，做均衡的，如果网通的服务器通过电信访问，网速就会很慢。安全网关针对该问题，提供</w:t>
      </w:r>
      <w:r>
        <w:t>ISP</w:t>
      </w:r>
      <w:r>
        <w:rPr>
          <w:rFonts w:hint="eastAsia"/>
        </w:rPr>
        <w:t>路由功能，使不同</w:t>
      </w:r>
      <w:r>
        <w:t>ISP</w:t>
      </w:r>
      <w:r>
        <w:rPr>
          <w:rFonts w:hint="eastAsia"/>
        </w:rPr>
        <w:t>流量走专有路由，从而提高网络速度。</w:t>
      </w:r>
    </w:p>
    <w:p w14:paraId="41F24B63">
      <w:pPr>
        <w:pStyle w:val="5"/>
      </w:pPr>
      <w:bookmarkStart w:id="2550" w:name="_Toc172218155"/>
      <w:bookmarkStart w:id="2551" w:name="_Toc194080782"/>
      <w:bookmarkStart w:id="2552" w:name="_Toc196728114"/>
      <w:r>
        <w:rPr>
          <w:rFonts w:hint="eastAsia"/>
        </w:rPr>
        <w:t>配置ISP地址库</w:t>
      </w:r>
      <w:bookmarkEnd w:id="2550"/>
      <w:bookmarkEnd w:id="2551"/>
      <w:bookmarkEnd w:id="2552"/>
    </w:p>
    <w:p w14:paraId="0742F554">
      <w:r>
        <w:rPr>
          <w:rFonts w:hint="eastAsia"/>
        </w:rPr>
        <w:t>配置</w:t>
      </w:r>
      <w:r>
        <w:t xml:space="preserve">ISP </w:t>
      </w:r>
      <w:r>
        <w:rPr>
          <w:rFonts w:hint="eastAsia"/>
        </w:rPr>
        <w:t>路由，用户首先需要将子网条目添加到一个</w:t>
      </w:r>
      <w:r>
        <w:t>ISP</w:t>
      </w:r>
      <w:r>
        <w:rPr>
          <w:rFonts w:hint="eastAsia"/>
        </w:rPr>
        <w:t>地址库，然后才可以配置以</w:t>
      </w:r>
      <w:r>
        <w:t>ISP</w:t>
      </w:r>
      <w:r>
        <w:rPr>
          <w:rFonts w:hint="eastAsia"/>
        </w:rPr>
        <w:t>地址库名称为目的地的</w:t>
      </w:r>
      <w:r>
        <w:t xml:space="preserve">ISP </w:t>
      </w:r>
      <w:r>
        <w:rPr>
          <w:rFonts w:hint="eastAsia"/>
        </w:rPr>
        <w:t>路由。用户可以自定义</w:t>
      </w:r>
      <w:r>
        <w:t>ISP</w:t>
      </w:r>
      <w:r>
        <w:rPr>
          <w:rFonts w:hint="eastAsia"/>
        </w:rPr>
        <w:t>地址库，也可以使用预定义的ISP的地址库。安全网关提供了四个预定义</w:t>
      </w:r>
      <w:r>
        <w:t xml:space="preserve">ISP </w:t>
      </w:r>
      <w:r>
        <w:rPr>
          <w:rFonts w:hint="eastAsia"/>
        </w:rPr>
        <w:t>地址库，分别是中国电信（</w:t>
      </w:r>
      <w:r>
        <w:t>China</w:t>
      </w:r>
      <w:r>
        <w:rPr>
          <w:rFonts w:hint="eastAsia"/>
        </w:rPr>
        <w:t>T</w:t>
      </w:r>
      <w:r>
        <w:t>elecom</w:t>
      </w:r>
      <w:r>
        <w:rPr>
          <w:rFonts w:hint="eastAsia"/>
        </w:rPr>
        <w:t>）、中国联通（C</w:t>
      </w:r>
      <w:r>
        <w:t>hinaunicom</w:t>
      </w:r>
      <w:r>
        <w:rPr>
          <w:rFonts w:hint="eastAsia"/>
        </w:rPr>
        <w:t>）、教育网（</w:t>
      </w:r>
      <w:r>
        <w:t>ChinaEducation</w:t>
      </w:r>
      <w:r>
        <w:rPr>
          <w:rFonts w:hint="eastAsia"/>
        </w:rPr>
        <w:t>）、中国移动（</w:t>
      </w:r>
      <w:r>
        <w:t>ChinaMobile</w:t>
      </w:r>
      <w:r>
        <w:rPr>
          <w:rFonts w:hint="eastAsia"/>
        </w:rPr>
        <w:t>）。配置步骤如下：</w:t>
      </w:r>
    </w:p>
    <w:p w14:paraId="2ECA3B42">
      <w:pPr>
        <w:pStyle w:val="202"/>
        <w:rPr>
          <w:lang w:eastAsia="zh-CN"/>
        </w:rPr>
      </w:pPr>
      <w:r>
        <w:rPr>
          <w:rFonts w:hint="eastAsia"/>
          <w:lang w:eastAsia="zh-CN"/>
        </w:rPr>
        <w:t>通过菜单“网络配置&gt;路由管理 &gt;</w:t>
      </w:r>
      <w:r>
        <w:rPr>
          <w:lang w:eastAsia="zh-CN"/>
        </w:rPr>
        <w:t xml:space="preserve"> </w:t>
      </w:r>
      <w:r>
        <w:rPr>
          <w:rFonts w:hint="eastAsia"/>
          <w:lang w:eastAsia="zh-CN"/>
        </w:rPr>
        <w:t>ISP路由”</w:t>
      </w:r>
      <w:r>
        <w:rPr>
          <w:lang w:eastAsia="zh-CN"/>
        </w:rPr>
        <w:t>，</w:t>
      </w:r>
      <w:r>
        <w:rPr>
          <w:rFonts w:hint="eastAsia"/>
          <w:lang w:eastAsia="zh-CN"/>
        </w:rPr>
        <w:t>可以查看预定义的ISP地址库和自定义的地址库信息。</w:t>
      </w:r>
    </w:p>
    <w:p w14:paraId="1F501F1B">
      <w:pPr>
        <w:pStyle w:val="188"/>
      </w:pPr>
      <w:r>
        <w:rPr>
          <w:rFonts w:hint="eastAsia"/>
        </w:rPr>
        <w:t>ISP地址库</w:t>
      </w:r>
    </w:p>
    <w:p w14:paraId="5FC61743">
      <w:r>
        <w:drawing>
          <wp:inline distT="0" distB="0" distL="0" distR="0">
            <wp:extent cx="5638800" cy="2136140"/>
            <wp:effectExtent l="0" t="0" r="0" b="0"/>
            <wp:docPr id="563"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563"/>
                    <pic:cNvPicPr>
                      <a:picLocks noChangeAspect="1"/>
                    </pic:cNvPicPr>
                  </pic:nvPicPr>
                  <pic:blipFill>
                    <a:blip r:embed="rId285"/>
                    <a:stretch>
                      <a:fillRect/>
                    </a:stretch>
                  </pic:blipFill>
                  <pic:spPr>
                    <a:xfrm>
                      <a:off x="0" y="0"/>
                      <a:ext cx="5661164" cy="2144887"/>
                    </a:xfrm>
                    <a:prstGeom prst="rect">
                      <a:avLst/>
                    </a:prstGeom>
                  </pic:spPr>
                </pic:pic>
              </a:graphicData>
            </a:graphic>
          </wp:inline>
        </w:drawing>
      </w:r>
    </w:p>
    <w:p w14:paraId="4D7757FB"/>
    <w:p w14:paraId="76770E93">
      <w:pPr>
        <w:pStyle w:val="202"/>
        <w:rPr>
          <w:lang w:eastAsia="zh-CN"/>
        </w:rPr>
      </w:pPr>
      <w:r>
        <w:rPr>
          <w:rFonts w:hint="eastAsia"/>
          <w:lang w:eastAsia="zh-CN"/>
        </w:rPr>
        <w:t>点击&lt;新建&gt;按钮，进入ISP地址库的配置页面。</w:t>
      </w:r>
    </w:p>
    <w:p w14:paraId="507707CD">
      <w:pPr>
        <w:pStyle w:val="188"/>
      </w:pPr>
      <w:r>
        <w:rPr>
          <w:rFonts w:hint="eastAsia"/>
        </w:rPr>
        <w:t>新建ISP地址库</w:t>
      </w:r>
    </w:p>
    <w:p w14:paraId="01731A9E">
      <w:r>
        <w:drawing>
          <wp:inline distT="0" distB="0" distL="0" distR="0">
            <wp:extent cx="5400040" cy="3047365"/>
            <wp:effectExtent l="0" t="0" r="0" b="635"/>
            <wp:docPr id="564"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564"/>
                    <pic:cNvPicPr>
                      <a:picLocks noChangeAspect="1"/>
                    </pic:cNvPicPr>
                  </pic:nvPicPr>
                  <pic:blipFill>
                    <a:blip r:embed="rId286"/>
                    <a:stretch>
                      <a:fillRect/>
                    </a:stretch>
                  </pic:blipFill>
                  <pic:spPr>
                    <a:xfrm>
                      <a:off x="0" y="0"/>
                      <a:ext cx="5400040" cy="3047398"/>
                    </a:xfrm>
                    <a:prstGeom prst="rect">
                      <a:avLst/>
                    </a:prstGeom>
                  </pic:spPr>
                </pic:pic>
              </a:graphicData>
            </a:graphic>
          </wp:inline>
        </w:drawing>
      </w:r>
    </w:p>
    <w:p w14:paraId="37D0DC64"/>
    <w:p w14:paraId="62A3BC9F">
      <w:pPr>
        <w:pStyle w:val="183"/>
      </w:pPr>
      <w:r>
        <w:rPr>
          <w:rFonts w:hint="eastAsia"/>
        </w:rPr>
        <w:t>ISP地址库配置项含义</w:t>
      </w:r>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384"/>
        <w:gridCol w:w="7584"/>
      </w:tblGrid>
      <w:tr w14:paraId="3488B8B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84" w:type="dxa"/>
            <w:tcBorders>
              <w:tl2br w:val="nil"/>
              <w:tr2bl w:val="nil"/>
            </w:tcBorders>
            <w:shd w:val="clear" w:color="auto" w:fill="538135" w:themeFill="accent6" w:themeFillShade="BF"/>
            <w:vAlign w:val="center"/>
          </w:tcPr>
          <w:p w14:paraId="3E881254">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584" w:type="dxa"/>
            <w:tcBorders>
              <w:tl2br w:val="nil"/>
              <w:tr2bl w:val="nil"/>
            </w:tcBorders>
            <w:shd w:val="clear" w:color="auto" w:fill="538135" w:themeFill="accent6" w:themeFillShade="BF"/>
            <w:vAlign w:val="center"/>
          </w:tcPr>
          <w:p w14:paraId="0533EFF2">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1095F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84" w:type="dxa"/>
            <w:shd w:val="clear" w:color="auto" w:fill="auto"/>
          </w:tcPr>
          <w:p w14:paraId="7C22CE84">
            <w:pPr>
              <w:pStyle w:val="186"/>
              <w:widowControl w:val="0"/>
              <w:spacing w:line="240" w:lineRule="auto"/>
              <w:ind w:firstLine="0"/>
              <w:jc w:val="left"/>
            </w:pPr>
            <w:r>
              <w:rPr>
                <w:rFonts w:hint="eastAsia"/>
              </w:rPr>
              <w:t>名称</w:t>
            </w:r>
          </w:p>
        </w:tc>
        <w:tc>
          <w:tcPr>
            <w:tcW w:w="7584" w:type="dxa"/>
            <w:shd w:val="clear" w:color="auto" w:fill="auto"/>
          </w:tcPr>
          <w:p w14:paraId="5E59AB31">
            <w:pPr>
              <w:pStyle w:val="186"/>
              <w:widowControl w:val="0"/>
              <w:spacing w:line="240" w:lineRule="auto"/>
              <w:ind w:firstLine="0"/>
              <w:jc w:val="left"/>
            </w:pPr>
            <w:r>
              <w:rPr>
                <w:rFonts w:hint="eastAsia"/>
              </w:rPr>
              <w:t>设置ISP地址库名称</w:t>
            </w:r>
          </w:p>
        </w:tc>
      </w:tr>
      <w:tr w14:paraId="53BF37C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84" w:type="dxa"/>
            <w:shd w:val="clear" w:color="auto" w:fill="auto"/>
          </w:tcPr>
          <w:p w14:paraId="4FAC1B20">
            <w:pPr>
              <w:pStyle w:val="186"/>
              <w:widowControl w:val="0"/>
              <w:spacing w:line="240" w:lineRule="auto"/>
              <w:ind w:firstLine="0"/>
              <w:jc w:val="left"/>
            </w:pPr>
            <w:r>
              <w:rPr>
                <w:rFonts w:hint="eastAsia"/>
              </w:rPr>
              <w:t>子网</w:t>
            </w:r>
          </w:p>
        </w:tc>
        <w:tc>
          <w:tcPr>
            <w:tcW w:w="7584" w:type="dxa"/>
            <w:shd w:val="clear" w:color="auto" w:fill="auto"/>
          </w:tcPr>
          <w:p w14:paraId="18997F8E">
            <w:pPr>
              <w:pStyle w:val="186"/>
              <w:widowControl w:val="0"/>
              <w:spacing w:line="240" w:lineRule="auto"/>
              <w:ind w:firstLine="0"/>
              <w:jc w:val="left"/>
            </w:pPr>
            <w:r>
              <w:rPr>
                <w:rFonts w:hint="eastAsia"/>
              </w:rPr>
              <w:t>设置ISP地址库中的子网网段，格式为：IP地址/掩码，如192.168.1.1/24。最多可添加200个子网网段。</w:t>
            </w:r>
          </w:p>
        </w:tc>
      </w:tr>
    </w:tbl>
    <w:p w14:paraId="69CB1120"/>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7C2FAEA4">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1D283A0D">
            <w:pPr>
              <w:pStyle w:val="150"/>
              <w:adjustRightInd w:val="0"/>
              <w:snapToGrid w:val="0"/>
              <w:rPr>
                <w:color w:val="auto"/>
              </w:rPr>
            </w:pPr>
            <w:r>
              <w:rPr>
                <w:b/>
                <w:color w:val="auto"/>
              </w:rPr>
              <w:drawing>
                <wp:inline distT="0" distB="0" distL="0" distR="0">
                  <wp:extent cx="283210" cy="283210"/>
                  <wp:effectExtent l="0" t="0" r="2540" b="2540"/>
                  <wp:docPr id="779" name="图片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图片 779"/>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5C56A502">
            <w:pPr>
              <w:pStyle w:val="150"/>
              <w:adjustRightInd w:val="0"/>
              <w:snapToGrid w:val="0"/>
              <w:rPr>
                <w:color w:val="auto"/>
              </w:rPr>
            </w:pPr>
            <w:r>
              <w:rPr>
                <w:rFonts w:hint="eastAsia"/>
                <w:color w:val="auto"/>
              </w:rPr>
              <w:t>用户自定义的ISP地址库名称不能与预定义的相同。</w:t>
            </w:r>
          </w:p>
          <w:p w14:paraId="030527AE">
            <w:pPr>
              <w:pStyle w:val="150"/>
              <w:adjustRightInd w:val="0"/>
              <w:snapToGrid w:val="0"/>
              <w:rPr>
                <w:color w:val="auto"/>
              </w:rPr>
            </w:pPr>
            <w:r>
              <w:rPr>
                <w:rFonts w:hint="eastAsia"/>
                <w:color w:val="auto"/>
              </w:rPr>
              <w:t>用户自定义的ISP地址库，每个ISP最多有200个地址网段。</w:t>
            </w:r>
          </w:p>
          <w:p w14:paraId="2B47CA7C">
            <w:pPr>
              <w:pStyle w:val="150"/>
              <w:adjustRightInd w:val="0"/>
              <w:snapToGrid w:val="0"/>
              <w:rPr>
                <w:color w:val="auto"/>
              </w:rPr>
            </w:pPr>
            <w:r>
              <w:rPr>
                <w:rFonts w:hint="eastAsia"/>
                <w:color w:val="auto"/>
              </w:rPr>
              <w:t>用户可以编辑自定义的ISP地址库，不可以编辑预定义的。</w:t>
            </w:r>
          </w:p>
        </w:tc>
      </w:tr>
    </w:tbl>
    <w:p w14:paraId="69076CC9"/>
    <w:p w14:paraId="5CE54557">
      <w:pPr>
        <w:pStyle w:val="5"/>
      </w:pPr>
      <w:bookmarkStart w:id="2553" w:name="_Toc196728115"/>
      <w:bookmarkStart w:id="2554" w:name="_Toc172218156"/>
      <w:bookmarkStart w:id="2555" w:name="_Toc194080783"/>
      <w:r>
        <w:rPr>
          <w:rFonts w:hint="eastAsia"/>
        </w:rPr>
        <w:t>配置ISP路由</w:t>
      </w:r>
      <w:bookmarkEnd w:id="2553"/>
      <w:bookmarkEnd w:id="2554"/>
      <w:bookmarkEnd w:id="2555"/>
    </w:p>
    <w:p w14:paraId="62A21124">
      <w:pPr>
        <w:pStyle w:val="202"/>
        <w:rPr>
          <w:lang w:eastAsia="zh-CN"/>
        </w:rPr>
      </w:pPr>
      <w:r>
        <w:rPr>
          <w:rFonts w:hint="eastAsia"/>
          <w:lang w:eastAsia="zh-CN"/>
        </w:rPr>
        <w:t>点击“ISP路由”页签，进入ISP路由显示页面。</w:t>
      </w:r>
    </w:p>
    <w:p w14:paraId="7E78798D">
      <w:pPr>
        <w:pStyle w:val="188"/>
      </w:pPr>
      <w:r>
        <w:rPr>
          <w:rFonts w:hint="eastAsia"/>
        </w:rPr>
        <w:t>ISP路由页面</w:t>
      </w:r>
    </w:p>
    <w:p w14:paraId="6EDC1081">
      <w:r>
        <w:drawing>
          <wp:inline distT="0" distB="0" distL="0" distR="0">
            <wp:extent cx="5543550" cy="1407795"/>
            <wp:effectExtent l="0" t="0" r="0" b="1905"/>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566"/>
                    <pic:cNvPicPr>
                      <a:picLocks noChangeAspect="1"/>
                    </pic:cNvPicPr>
                  </pic:nvPicPr>
                  <pic:blipFill>
                    <a:blip r:embed="rId287"/>
                    <a:stretch>
                      <a:fillRect/>
                    </a:stretch>
                  </pic:blipFill>
                  <pic:spPr>
                    <a:xfrm>
                      <a:off x="0" y="0"/>
                      <a:ext cx="5553977" cy="1410534"/>
                    </a:xfrm>
                    <a:prstGeom prst="rect">
                      <a:avLst/>
                    </a:prstGeom>
                  </pic:spPr>
                </pic:pic>
              </a:graphicData>
            </a:graphic>
          </wp:inline>
        </w:drawing>
      </w:r>
    </w:p>
    <w:p w14:paraId="0B720F7D"/>
    <w:p w14:paraId="31C8F42B">
      <w:pPr>
        <w:pStyle w:val="183"/>
      </w:pPr>
      <w:r>
        <w:rPr>
          <w:rFonts w:hint="eastAsia"/>
        </w:rPr>
        <w:t>ISP路由各项含义</w:t>
      </w:r>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2"/>
        <w:gridCol w:w="6636"/>
      </w:tblGrid>
      <w:tr w14:paraId="36686E8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tcBorders>
              <w:tl2br w:val="nil"/>
              <w:tr2bl w:val="nil"/>
            </w:tcBorders>
            <w:shd w:val="clear" w:color="auto" w:fill="538135" w:themeFill="accent6" w:themeFillShade="BF"/>
            <w:vAlign w:val="center"/>
          </w:tcPr>
          <w:p w14:paraId="054BF396">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84" w:type="dxa"/>
            <w:tcBorders>
              <w:tl2br w:val="nil"/>
              <w:tr2bl w:val="nil"/>
            </w:tcBorders>
            <w:shd w:val="clear" w:color="auto" w:fill="538135" w:themeFill="accent6" w:themeFillShade="BF"/>
            <w:vAlign w:val="center"/>
          </w:tcPr>
          <w:p w14:paraId="4DCC6C6D">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EAFAD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5F64540E">
            <w:pPr>
              <w:pStyle w:val="186"/>
              <w:widowControl w:val="0"/>
              <w:spacing w:line="240" w:lineRule="auto"/>
              <w:ind w:firstLine="0"/>
              <w:jc w:val="left"/>
            </w:pPr>
            <w:r>
              <w:rPr>
                <w:rFonts w:hint="eastAsia"/>
              </w:rPr>
              <w:t>名称</w:t>
            </w:r>
          </w:p>
        </w:tc>
        <w:tc>
          <w:tcPr>
            <w:tcW w:w="6684" w:type="dxa"/>
            <w:shd w:val="clear" w:color="auto" w:fill="auto"/>
          </w:tcPr>
          <w:p w14:paraId="26F98D55">
            <w:pPr>
              <w:pStyle w:val="186"/>
              <w:widowControl w:val="0"/>
              <w:spacing w:line="240" w:lineRule="auto"/>
              <w:ind w:firstLine="0"/>
              <w:jc w:val="left"/>
            </w:pPr>
            <w:r>
              <w:rPr>
                <w:rFonts w:hint="eastAsia"/>
              </w:rPr>
              <w:t>ISP路由所使用地址库名称</w:t>
            </w:r>
          </w:p>
        </w:tc>
      </w:tr>
      <w:tr w14:paraId="1AD34C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44909344">
            <w:pPr>
              <w:pStyle w:val="186"/>
              <w:widowControl w:val="0"/>
              <w:spacing w:line="240" w:lineRule="auto"/>
              <w:ind w:firstLine="0"/>
              <w:jc w:val="left"/>
            </w:pPr>
            <w:r>
              <w:rPr>
                <w:rFonts w:hint="eastAsia"/>
              </w:rPr>
              <w:t>下一跳/出接口</w:t>
            </w:r>
          </w:p>
        </w:tc>
        <w:tc>
          <w:tcPr>
            <w:tcW w:w="6684" w:type="dxa"/>
            <w:shd w:val="clear" w:color="auto" w:fill="auto"/>
          </w:tcPr>
          <w:p w14:paraId="796E62DA">
            <w:pPr>
              <w:pStyle w:val="186"/>
              <w:widowControl w:val="0"/>
              <w:spacing w:line="240" w:lineRule="auto"/>
              <w:ind w:firstLine="0"/>
              <w:jc w:val="left"/>
            </w:pPr>
            <w:r>
              <w:rPr>
                <w:rFonts w:hint="eastAsia"/>
              </w:rPr>
              <w:t>ISP路由的下一跳/出接口</w:t>
            </w:r>
          </w:p>
        </w:tc>
      </w:tr>
      <w:tr w14:paraId="7B75DDA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372B3F97">
            <w:pPr>
              <w:pStyle w:val="186"/>
              <w:widowControl w:val="0"/>
              <w:spacing w:line="240" w:lineRule="auto"/>
              <w:ind w:firstLine="0"/>
              <w:jc w:val="left"/>
            </w:pPr>
            <w:r>
              <w:rPr>
                <w:rFonts w:hint="eastAsia"/>
              </w:rPr>
              <w:t>权重</w:t>
            </w:r>
          </w:p>
        </w:tc>
        <w:tc>
          <w:tcPr>
            <w:tcW w:w="6684" w:type="dxa"/>
            <w:shd w:val="clear" w:color="auto" w:fill="auto"/>
          </w:tcPr>
          <w:p w14:paraId="11336351">
            <w:pPr>
              <w:pStyle w:val="186"/>
              <w:widowControl w:val="0"/>
              <w:spacing w:line="240" w:lineRule="auto"/>
              <w:ind w:firstLine="0"/>
              <w:jc w:val="left"/>
            </w:pPr>
            <w:r>
              <w:rPr>
                <w:rFonts w:hint="eastAsia"/>
              </w:rPr>
              <w:t>ISP路由的权重，范围是&lt;1-255&gt;</w:t>
            </w:r>
          </w:p>
        </w:tc>
      </w:tr>
      <w:tr w14:paraId="065583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73C48D6E">
            <w:pPr>
              <w:pStyle w:val="186"/>
              <w:widowControl w:val="0"/>
              <w:spacing w:line="240" w:lineRule="auto"/>
              <w:ind w:firstLine="0"/>
              <w:jc w:val="left"/>
            </w:pPr>
            <w:r>
              <w:rPr>
                <w:rFonts w:hint="eastAsia"/>
              </w:rPr>
              <w:t>优先级</w:t>
            </w:r>
          </w:p>
        </w:tc>
        <w:tc>
          <w:tcPr>
            <w:tcW w:w="6684" w:type="dxa"/>
            <w:shd w:val="clear" w:color="auto" w:fill="auto"/>
          </w:tcPr>
          <w:p w14:paraId="56729F48">
            <w:pPr>
              <w:pStyle w:val="186"/>
              <w:widowControl w:val="0"/>
              <w:spacing w:line="240" w:lineRule="auto"/>
              <w:ind w:firstLine="0"/>
              <w:jc w:val="left"/>
            </w:pPr>
            <w:r>
              <w:rPr>
                <w:rFonts w:hint="eastAsia"/>
              </w:rPr>
              <w:t>ISP路由的优先级，范围是&lt;1-255&gt;</w:t>
            </w:r>
          </w:p>
        </w:tc>
      </w:tr>
      <w:tr w14:paraId="78F4C47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19ACE4A6">
            <w:pPr>
              <w:pStyle w:val="186"/>
              <w:widowControl w:val="0"/>
              <w:spacing w:line="240" w:lineRule="auto"/>
              <w:ind w:firstLine="0"/>
              <w:jc w:val="left"/>
            </w:pPr>
            <w:r>
              <w:rPr>
                <w:rFonts w:hint="eastAsia"/>
              </w:rPr>
              <w:t>地址探测</w:t>
            </w:r>
          </w:p>
        </w:tc>
        <w:tc>
          <w:tcPr>
            <w:tcW w:w="6684" w:type="dxa"/>
            <w:shd w:val="clear" w:color="auto" w:fill="auto"/>
          </w:tcPr>
          <w:p w14:paraId="18CC841B">
            <w:pPr>
              <w:pStyle w:val="186"/>
              <w:widowControl w:val="0"/>
              <w:spacing w:line="240" w:lineRule="auto"/>
              <w:ind w:firstLine="0"/>
              <w:jc w:val="left"/>
            </w:pPr>
            <w:r>
              <w:rPr>
                <w:rFonts w:hint="eastAsia"/>
              </w:rPr>
              <w:t>和ISP路由联动的地址探测，如果已经配置和探测联动，点击地址探测名称可以修改和路由联动的地址探测</w:t>
            </w:r>
          </w:p>
        </w:tc>
      </w:tr>
      <w:tr w14:paraId="0377625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61210B93">
            <w:pPr>
              <w:pStyle w:val="186"/>
              <w:widowControl w:val="0"/>
              <w:spacing w:line="240" w:lineRule="auto"/>
              <w:ind w:firstLine="0"/>
              <w:jc w:val="left"/>
            </w:pPr>
            <w:r>
              <w:rPr>
                <w:rFonts w:hint="eastAsia"/>
              </w:rPr>
              <w:t>操作</w:t>
            </w:r>
          </w:p>
        </w:tc>
        <w:tc>
          <w:tcPr>
            <w:tcW w:w="6684" w:type="dxa"/>
            <w:shd w:val="clear" w:color="auto" w:fill="auto"/>
          </w:tcPr>
          <w:p w14:paraId="4BC5EF3A">
            <w:pPr>
              <w:pStyle w:val="186"/>
              <w:widowControl w:val="0"/>
              <w:spacing w:line="240" w:lineRule="auto"/>
              <w:ind w:firstLine="0"/>
              <w:jc w:val="left"/>
            </w:pPr>
            <w:r>
              <w:rPr>
                <w:rFonts w:hint="eastAsia"/>
              </w:rPr>
              <w:t>点击</w:t>
            </w:r>
            <w:r>
              <w:drawing>
                <wp:inline distT="0" distB="0" distL="0" distR="0">
                  <wp:extent cx="171450" cy="171450"/>
                  <wp:effectExtent l="0" t="0" r="0" b="0"/>
                  <wp:docPr id="567" name="图片 567" descr="http://192.168.1.17/webui/images/basic/icons/icon_de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567" descr="http://192.168.1.17/webui/images/basic/icons/icon_del.gif"/>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a:xfrm>
                            <a:off x="0" y="0"/>
                            <a:ext cx="171450" cy="171450"/>
                          </a:xfrm>
                          <a:prstGeom prst="rect">
                            <a:avLst/>
                          </a:prstGeom>
                          <a:noFill/>
                          <a:ln>
                            <a:noFill/>
                          </a:ln>
                        </pic:spPr>
                      </pic:pic>
                    </a:graphicData>
                  </a:graphic>
                </wp:inline>
              </w:drawing>
            </w:r>
            <w:r>
              <w:rPr>
                <w:rFonts w:hint="eastAsia"/>
              </w:rPr>
              <w:t>可以删除该ISP路由</w:t>
            </w:r>
          </w:p>
        </w:tc>
      </w:tr>
    </w:tbl>
    <w:p w14:paraId="16041DB0"/>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7530C91F">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2C1D98EF">
            <w:pPr>
              <w:pStyle w:val="150"/>
              <w:adjustRightInd w:val="0"/>
              <w:snapToGrid w:val="0"/>
              <w:rPr>
                <w:color w:val="auto"/>
              </w:rPr>
            </w:pPr>
            <w:r>
              <w:rPr>
                <w:b/>
                <w:color w:val="auto"/>
              </w:rPr>
              <w:drawing>
                <wp:inline distT="0" distB="0" distL="0" distR="0">
                  <wp:extent cx="283210" cy="283210"/>
                  <wp:effectExtent l="0" t="0" r="2540" b="2540"/>
                  <wp:docPr id="783" name="图片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图片 78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5F1C203B">
            <w:pPr>
              <w:pStyle w:val="207"/>
              <w:adjustRightInd w:val="0"/>
              <w:snapToGrid w:val="0"/>
              <w:rPr>
                <w:color w:val="auto"/>
                <w:lang w:eastAsia="zh-CN"/>
              </w:rPr>
            </w:pPr>
            <w:r>
              <w:rPr>
                <w:rFonts w:hint="eastAsia"/>
                <w:color w:val="auto"/>
                <w:lang w:eastAsia="zh-CN"/>
              </w:rPr>
              <w:t>权重：在多下一跳负载均衡时，权重越大，命中的概率就越大。</w:t>
            </w:r>
          </w:p>
          <w:p w14:paraId="550D4F19">
            <w:pPr>
              <w:pStyle w:val="207"/>
              <w:adjustRightInd w:val="0"/>
              <w:snapToGrid w:val="0"/>
              <w:rPr>
                <w:color w:val="auto"/>
                <w:lang w:eastAsia="zh-CN"/>
              </w:rPr>
            </w:pPr>
            <w:r>
              <w:rPr>
                <w:rFonts w:hint="eastAsia"/>
                <w:color w:val="auto"/>
                <w:lang w:eastAsia="zh-CN"/>
              </w:rPr>
              <w:t>距离：路由类型的优先级，该值越小，优先级越高。</w:t>
            </w:r>
          </w:p>
          <w:p w14:paraId="757A703D">
            <w:pPr>
              <w:pStyle w:val="207"/>
              <w:adjustRightInd w:val="0"/>
              <w:snapToGrid w:val="0"/>
              <w:rPr>
                <w:color w:val="auto"/>
                <w:lang w:eastAsia="zh-CN"/>
              </w:rPr>
            </w:pPr>
            <w:r>
              <w:rPr>
                <w:rFonts w:hint="eastAsia"/>
                <w:color w:val="auto"/>
                <w:lang w:eastAsia="zh-CN"/>
              </w:rPr>
              <w:t>ISP路由和静态路由的优先级相同，如果出现相同的目的网段同时同时配置ISP路由和静态路由的下一跳不同，流量负载分担。</w:t>
            </w:r>
          </w:p>
        </w:tc>
      </w:tr>
    </w:tbl>
    <w:p w14:paraId="529DCD1D"/>
    <w:p w14:paraId="0AD2A2FC">
      <w:pPr>
        <w:pStyle w:val="202"/>
        <w:rPr>
          <w:lang w:eastAsia="zh-CN"/>
        </w:rPr>
      </w:pPr>
      <w:r>
        <w:rPr>
          <w:rFonts w:hint="eastAsia"/>
          <w:lang w:eastAsia="zh-CN"/>
        </w:rPr>
        <w:t>点击&lt;新建&gt;按钮，进入ISP路由配置页面。</w:t>
      </w:r>
    </w:p>
    <w:p w14:paraId="4DC36208">
      <w:pPr>
        <w:pStyle w:val="188"/>
      </w:pPr>
      <w:r>
        <w:rPr>
          <w:rFonts w:hint="eastAsia"/>
        </w:rPr>
        <w:t>ISP路由配置</w:t>
      </w:r>
    </w:p>
    <w:p w14:paraId="5B94A77E">
      <w:r>
        <w:drawing>
          <wp:inline distT="0" distB="0" distL="114300" distR="114300">
            <wp:extent cx="4775200" cy="2622550"/>
            <wp:effectExtent l="0" t="0" r="0" b="6350"/>
            <wp:docPr id="571"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77"/>
                    <pic:cNvPicPr>
                      <a:picLocks noChangeAspect="1"/>
                    </pic:cNvPicPr>
                  </pic:nvPicPr>
                  <pic:blipFill>
                    <a:blip r:embed="rId288"/>
                    <a:stretch>
                      <a:fillRect/>
                    </a:stretch>
                  </pic:blipFill>
                  <pic:spPr>
                    <a:xfrm>
                      <a:off x="0" y="0"/>
                      <a:ext cx="4775200" cy="2622550"/>
                    </a:xfrm>
                    <a:prstGeom prst="rect">
                      <a:avLst/>
                    </a:prstGeom>
                    <a:noFill/>
                    <a:ln>
                      <a:noFill/>
                    </a:ln>
                  </pic:spPr>
                </pic:pic>
              </a:graphicData>
            </a:graphic>
          </wp:inline>
        </w:drawing>
      </w:r>
    </w:p>
    <w:p w14:paraId="70EA7DC3"/>
    <w:p w14:paraId="6EE79EBE">
      <w:pPr>
        <w:pStyle w:val="183"/>
      </w:pPr>
      <w:r>
        <w:rPr>
          <w:rFonts w:hint="eastAsia"/>
        </w:rPr>
        <w:t>ISP路由各配置项含义</w:t>
      </w:r>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3"/>
        <w:gridCol w:w="6635"/>
      </w:tblGrid>
      <w:tr w14:paraId="67887E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tcBorders>
              <w:tl2br w:val="nil"/>
              <w:tr2bl w:val="nil"/>
            </w:tcBorders>
            <w:shd w:val="clear" w:color="auto" w:fill="538135" w:themeFill="accent6" w:themeFillShade="BF"/>
            <w:vAlign w:val="center"/>
          </w:tcPr>
          <w:p w14:paraId="46C1D76F">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84" w:type="dxa"/>
            <w:tcBorders>
              <w:tl2br w:val="nil"/>
              <w:tr2bl w:val="nil"/>
            </w:tcBorders>
            <w:shd w:val="clear" w:color="auto" w:fill="538135" w:themeFill="accent6" w:themeFillShade="BF"/>
            <w:vAlign w:val="center"/>
          </w:tcPr>
          <w:p w14:paraId="15729345">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F47DEC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7A6FBC88">
            <w:pPr>
              <w:pStyle w:val="186"/>
              <w:widowControl w:val="0"/>
              <w:spacing w:line="240" w:lineRule="auto"/>
              <w:ind w:firstLine="0"/>
              <w:jc w:val="left"/>
            </w:pPr>
            <w:r>
              <w:rPr>
                <w:rFonts w:hint="eastAsia"/>
              </w:rPr>
              <w:t>ISP名称</w:t>
            </w:r>
          </w:p>
        </w:tc>
        <w:tc>
          <w:tcPr>
            <w:tcW w:w="6684" w:type="dxa"/>
            <w:shd w:val="clear" w:color="auto" w:fill="auto"/>
          </w:tcPr>
          <w:p w14:paraId="2BA0B4E1">
            <w:pPr>
              <w:pStyle w:val="186"/>
              <w:widowControl w:val="0"/>
              <w:spacing w:line="240" w:lineRule="auto"/>
              <w:ind w:firstLine="0"/>
              <w:jc w:val="left"/>
            </w:pPr>
            <w:r>
              <w:rPr>
                <w:rFonts w:hint="eastAsia"/>
              </w:rPr>
              <w:t>ISP路由所使用地址库名称</w:t>
            </w:r>
          </w:p>
        </w:tc>
      </w:tr>
      <w:tr w14:paraId="08CD69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133B27C1">
            <w:pPr>
              <w:pStyle w:val="186"/>
              <w:widowControl w:val="0"/>
              <w:spacing w:line="240" w:lineRule="auto"/>
              <w:ind w:firstLine="0"/>
              <w:jc w:val="left"/>
            </w:pPr>
            <w:r>
              <w:rPr>
                <w:rFonts w:hint="eastAsia"/>
              </w:rPr>
              <w:t>下一跳/出接口</w:t>
            </w:r>
          </w:p>
        </w:tc>
        <w:tc>
          <w:tcPr>
            <w:tcW w:w="6684" w:type="dxa"/>
            <w:shd w:val="clear" w:color="auto" w:fill="auto"/>
          </w:tcPr>
          <w:p w14:paraId="5F70E350">
            <w:pPr>
              <w:pStyle w:val="186"/>
              <w:widowControl w:val="0"/>
              <w:spacing w:line="240" w:lineRule="auto"/>
              <w:ind w:firstLine="0"/>
              <w:jc w:val="left"/>
            </w:pPr>
            <w:r>
              <w:rPr>
                <w:rFonts w:hint="eastAsia"/>
              </w:rPr>
              <w:t>ISP路由的下一跳/出接口</w:t>
            </w:r>
          </w:p>
        </w:tc>
      </w:tr>
      <w:tr w14:paraId="3EA214B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4B62985A">
            <w:pPr>
              <w:pStyle w:val="186"/>
              <w:widowControl w:val="0"/>
              <w:spacing w:line="240" w:lineRule="auto"/>
              <w:ind w:firstLine="0"/>
              <w:jc w:val="left"/>
            </w:pPr>
            <w:r>
              <w:rPr>
                <w:rFonts w:hint="eastAsia"/>
              </w:rPr>
              <w:t>权重</w:t>
            </w:r>
          </w:p>
        </w:tc>
        <w:tc>
          <w:tcPr>
            <w:tcW w:w="6684" w:type="dxa"/>
            <w:shd w:val="clear" w:color="auto" w:fill="auto"/>
          </w:tcPr>
          <w:p w14:paraId="207B8B77">
            <w:pPr>
              <w:pStyle w:val="186"/>
              <w:widowControl w:val="0"/>
              <w:spacing w:line="240" w:lineRule="auto"/>
              <w:ind w:firstLine="0"/>
              <w:jc w:val="left"/>
            </w:pPr>
            <w:r>
              <w:rPr>
                <w:rFonts w:hint="eastAsia"/>
              </w:rPr>
              <w:t>ISP路由的权重，范围是&lt;1-255&gt;</w:t>
            </w:r>
          </w:p>
        </w:tc>
      </w:tr>
      <w:tr w14:paraId="396A4D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6B02A5EC">
            <w:pPr>
              <w:pStyle w:val="186"/>
              <w:widowControl w:val="0"/>
              <w:spacing w:line="240" w:lineRule="auto"/>
              <w:ind w:firstLine="0"/>
              <w:jc w:val="left"/>
            </w:pPr>
            <w:r>
              <w:rPr>
                <w:rFonts w:hint="eastAsia"/>
              </w:rPr>
              <w:t>优先级</w:t>
            </w:r>
          </w:p>
        </w:tc>
        <w:tc>
          <w:tcPr>
            <w:tcW w:w="6684" w:type="dxa"/>
            <w:shd w:val="clear" w:color="auto" w:fill="auto"/>
          </w:tcPr>
          <w:p w14:paraId="5FA433F6">
            <w:pPr>
              <w:pStyle w:val="186"/>
              <w:widowControl w:val="0"/>
              <w:spacing w:line="240" w:lineRule="auto"/>
              <w:ind w:firstLine="0"/>
              <w:jc w:val="left"/>
            </w:pPr>
            <w:r>
              <w:rPr>
                <w:rFonts w:hint="eastAsia"/>
              </w:rPr>
              <w:t>ISP路由的优先级，范围是&lt;1-255&gt;</w:t>
            </w:r>
          </w:p>
        </w:tc>
      </w:tr>
      <w:tr w14:paraId="5858C40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3E2BAE8B">
            <w:pPr>
              <w:pStyle w:val="186"/>
              <w:widowControl w:val="0"/>
              <w:spacing w:line="240" w:lineRule="auto"/>
              <w:ind w:firstLine="0"/>
              <w:jc w:val="left"/>
            </w:pPr>
            <w:r>
              <w:rPr>
                <w:rFonts w:hint="eastAsia"/>
              </w:rPr>
              <w:t>地址探测</w:t>
            </w:r>
          </w:p>
        </w:tc>
        <w:tc>
          <w:tcPr>
            <w:tcW w:w="6684" w:type="dxa"/>
            <w:shd w:val="clear" w:color="auto" w:fill="auto"/>
          </w:tcPr>
          <w:p w14:paraId="2CD3E72F">
            <w:pPr>
              <w:pStyle w:val="186"/>
              <w:widowControl w:val="0"/>
              <w:spacing w:line="240" w:lineRule="auto"/>
              <w:ind w:firstLine="0"/>
              <w:jc w:val="left"/>
            </w:pPr>
            <w:r>
              <w:rPr>
                <w:rFonts w:hint="eastAsia"/>
              </w:rPr>
              <w:t>配置和ISP路由联动的地址探测</w:t>
            </w:r>
          </w:p>
        </w:tc>
      </w:tr>
    </w:tbl>
    <w:p w14:paraId="60640A3E"/>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6277D367">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7BA3AB46">
            <w:pPr>
              <w:pStyle w:val="150"/>
              <w:adjustRightInd w:val="0"/>
              <w:snapToGrid w:val="0"/>
              <w:rPr>
                <w:color w:val="auto"/>
              </w:rPr>
            </w:pPr>
            <w:r>
              <w:rPr>
                <w:b/>
                <w:color w:val="auto"/>
              </w:rPr>
              <w:drawing>
                <wp:inline distT="0" distB="0" distL="0" distR="0">
                  <wp:extent cx="283210" cy="283210"/>
                  <wp:effectExtent l="0" t="0" r="2540" b="2540"/>
                  <wp:docPr id="792" name="图片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图片 79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5EA66288">
            <w:pPr>
              <w:pStyle w:val="207"/>
              <w:adjustRightInd w:val="0"/>
              <w:snapToGrid w:val="0"/>
              <w:rPr>
                <w:color w:val="auto"/>
                <w:lang w:eastAsia="zh-CN"/>
              </w:rPr>
            </w:pPr>
            <w:r>
              <w:rPr>
                <w:rFonts w:hint="eastAsia"/>
                <w:color w:val="auto"/>
                <w:lang w:eastAsia="zh-CN"/>
              </w:rPr>
              <w:t>权重：在多下一跳负载均衡时，权重越大，命中的概率就越大。</w:t>
            </w:r>
          </w:p>
          <w:p w14:paraId="157FCA12">
            <w:pPr>
              <w:pStyle w:val="207"/>
              <w:adjustRightInd w:val="0"/>
              <w:snapToGrid w:val="0"/>
              <w:rPr>
                <w:color w:val="auto"/>
                <w:lang w:eastAsia="zh-CN"/>
              </w:rPr>
            </w:pPr>
            <w:r>
              <w:rPr>
                <w:rFonts w:hint="eastAsia"/>
                <w:color w:val="auto"/>
                <w:lang w:eastAsia="zh-CN"/>
              </w:rPr>
              <w:t>距离：路由类型的优先级，该值越小，优先级越高。</w:t>
            </w:r>
          </w:p>
        </w:tc>
      </w:tr>
    </w:tbl>
    <w:p w14:paraId="23CF9A63"/>
    <w:p w14:paraId="6E62876D">
      <w:pPr>
        <w:pStyle w:val="4"/>
      </w:pPr>
      <w:bookmarkStart w:id="2556" w:name="_Toc172218157"/>
      <w:bookmarkStart w:id="2557" w:name="_Toc194080784"/>
      <w:bookmarkStart w:id="2558" w:name="_Toc196728116"/>
      <w:r>
        <w:rPr>
          <w:rFonts w:hint="eastAsia"/>
        </w:rPr>
        <w:t>BGP</w:t>
      </w:r>
      <w:bookmarkEnd w:id="2556"/>
      <w:bookmarkEnd w:id="2557"/>
      <w:bookmarkEnd w:id="2558"/>
    </w:p>
    <w:p w14:paraId="54F25B08">
      <w:pPr>
        <w:pStyle w:val="5"/>
      </w:pPr>
      <w:bookmarkStart w:id="2559" w:name="_Toc196728117"/>
      <w:bookmarkStart w:id="2560" w:name="_Toc194080785"/>
      <w:bookmarkStart w:id="2561" w:name="_Toc172218158"/>
      <w:r>
        <w:rPr>
          <w:rFonts w:hint="eastAsia"/>
        </w:rPr>
        <w:t>BGP简介</w:t>
      </w:r>
      <w:bookmarkEnd w:id="2559"/>
      <w:bookmarkEnd w:id="2560"/>
      <w:bookmarkEnd w:id="2561"/>
    </w:p>
    <w:p w14:paraId="709B1440">
      <w:r>
        <w:t>BGP</w:t>
      </w:r>
      <w:r>
        <w:rPr>
          <w:rFonts w:hint="eastAsia"/>
        </w:rPr>
        <w:t>（</w:t>
      </w:r>
      <w:r>
        <w:t>Border Gateway Protocol</w:t>
      </w:r>
      <w:r>
        <w:rPr>
          <w:rFonts w:hint="eastAsia"/>
        </w:rPr>
        <w:t>，边界网关协议）是一种既可以用于不同</w:t>
      </w:r>
      <w:r>
        <w:t>AS</w:t>
      </w:r>
      <w:r>
        <w:rPr>
          <w:rFonts w:hint="eastAsia"/>
        </w:rPr>
        <w:t>（</w:t>
      </w:r>
      <w:r>
        <w:t>Autonomous System</w:t>
      </w:r>
      <w:r>
        <w:rPr>
          <w:rFonts w:hint="eastAsia"/>
        </w:rPr>
        <w:t>，自治系统）之间，又可以用于同一</w:t>
      </w:r>
      <w:r>
        <w:t>AS</w:t>
      </w:r>
      <w:r>
        <w:rPr>
          <w:rFonts w:hint="eastAsia"/>
        </w:rPr>
        <w:t>内部的动态路由协议。当</w:t>
      </w:r>
      <w:r>
        <w:t xml:space="preserve"> BGP </w:t>
      </w:r>
      <w:r>
        <w:rPr>
          <w:rFonts w:hint="eastAsia"/>
        </w:rPr>
        <w:t>运行于同一</w:t>
      </w:r>
      <w:r>
        <w:t>AS</w:t>
      </w:r>
      <w:r>
        <w:rPr>
          <w:rFonts w:hint="eastAsia"/>
        </w:rPr>
        <w:t>内部时，被称为</w:t>
      </w:r>
      <w:r>
        <w:t>IBGP</w:t>
      </w:r>
      <w:r>
        <w:rPr>
          <w:rFonts w:hint="eastAsia"/>
        </w:rPr>
        <w:t>（</w:t>
      </w:r>
      <w:r>
        <w:t>Internal BGP</w:t>
      </w:r>
      <w:r>
        <w:rPr>
          <w:rFonts w:hint="eastAsia"/>
        </w:rPr>
        <w:t>）；当</w:t>
      </w:r>
      <w:r>
        <w:t xml:space="preserve"> BGP </w:t>
      </w:r>
      <w:r>
        <w:rPr>
          <w:rFonts w:hint="eastAsia"/>
        </w:rPr>
        <w:t>运行于不同</w:t>
      </w:r>
      <w:r>
        <w:t>AS</w:t>
      </w:r>
      <w:r>
        <w:rPr>
          <w:rFonts w:hint="eastAsia"/>
        </w:rPr>
        <w:t>之间时，称为</w:t>
      </w:r>
      <w:r>
        <w:t>EBGP</w:t>
      </w:r>
      <w:r>
        <w:rPr>
          <w:rFonts w:hint="eastAsia"/>
        </w:rPr>
        <w:t>（</w:t>
      </w:r>
      <w:r>
        <w:t>External BGP</w:t>
      </w:r>
      <w:r>
        <w:rPr>
          <w:rFonts w:hint="eastAsia"/>
        </w:rPr>
        <w:t>）。</w:t>
      </w:r>
      <w:r>
        <w:t>AS</w:t>
      </w:r>
      <w:r>
        <w:rPr>
          <w:rFonts w:hint="eastAsia"/>
        </w:rPr>
        <w:t>是拥有同一选路策略，属于同一技术管理部门的一组路由器。</w:t>
      </w:r>
    </w:p>
    <w:p w14:paraId="0864CCFF">
      <w:r>
        <w:rPr>
          <w:rFonts w:hint="eastAsia"/>
        </w:rPr>
        <w:t>本节介绍配置BGP所需要理解的知识，具体包括：</w:t>
      </w:r>
    </w:p>
    <w:p w14:paraId="1E18FBED">
      <w:pPr>
        <w:pStyle w:val="205"/>
      </w:pPr>
      <w:r>
        <w:rPr>
          <w:rFonts w:hint="eastAsia"/>
        </w:rPr>
        <w:t>BGP的特点</w:t>
      </w:r>
    </w:p>
    <w:p w14:paraId="3F8569CC">
      <w:pPr>
        <w:pStyle w:val="205"/>
        <w:rPr>
          <w:lang w:eastAsia="zh-CN"/>
        </w:rPr>
      </w:pPr>
      <w:r>
        <w:rPr>
          <w:rFonts w:hint="eastAsia"/>
          <w:lang w:eastAsia="zh-CN"/>
        </w:rPr>
        <w:t>BGP发言者和BGP对等体</w:t>
      </w:r>
    </w:p>
    <w:p w14:paraId="7C388183">
      <w:pPr>
        <w:pStyle w:val="205"/>
      </w:pPr>
      <w:r>
        <w:rPr>
          <w:rFonts w:hint="eastAsia"/>
        </w:rPr>
        <w:t>BGP的消息类型</w:t>
      </w:r>
    </w:p>
    <w:p w14:paraId="29665E94"/>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30078A41">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19FD62BE">
            <w:pPr>
              <w:pStyle w:val="150"/>
              <w:adjustRightInd w:val="0"/>
              <w:snapToGrid w:val="0"/>
              <w:rPr>
                <w:color w:val="auto"/>
              </w:rPr>
            </w:pPr>
            <w:r>
              <w:rPr>
                <w:b/>
                <w:color w:val="auto"/>
              </w:rPr>
              <w:drawing>
                <wp:inline distT="0" distB="0" distL="0" distR="0">
                  <wp:extent cx="283210" cy="283210"/>
                  <wp:effectExtent l="0" t="0" r="2540" b="2540"/>
                  <wp:docPr id="793" name="图片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图片 79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2E41DEA7">
            <w:pPr>
              <w:pStyle w:val="150"/>
              <w:adjustRightInd w:val="0"/>
              <w:snapToGrid w:val="0"/>
              <w:rPr>
                <w:color w:val="auto"/>
              </w:rPr>
            </w:pPr>
            <w:r>
              <w:rPr>
                <w:rFonts w:hint="eastAsia"/>
                <w:color w:val="auto"/>
              </w:rPr>
              <w:t>本章所介绍的配置都是指BGP version 4。</w:t>
            </w:r>
          </w:p>
        </w:tc>
      </w:tr>
    </w:tbl>
    <w:p w14:paraId="0424A251"/>
    <w:p w14:paraId="57471C12">
      <w:pPr>
        <w:pStyle w:val="6"/>
      </w:pPr>
      <w:r>
        <w:rPr>
          <w:rFonts w:hint="eastAsia"/>
        </w:rPr>
        <w:t>BGP的特点</w:t>
      </w:r>
    </w:p>
    <w:p w14:paraId="5E0CC33E">
      <w:r>
        <w:rPr>
          <w:rFonts w:hint="eastAsia"/>
        </w:rPr>
        <w:t>BGP具有如下特点：</w:t>
      </w:r>
    </w:p>
    <w:p w14:paraId="2AAB0029">
      <w:pPr>
        <w:pStyle w:val="162"/>
      </w:pPr>
      <w:r>
        <w:rPr>
          <w:shd w:val="clear" w:color="auto" w:fill="FFFFFF"/>
        </w:rPr>
        <w:t>BGP是一种EGP（Exterior Gateway Protocol，外部网关协议），与OSPF、RIP等IGP（Interior Gateway Protocol，内部网关协议）不同，其着眼点不在于发现和计算路由，而在于控制路由的传播和选择最佳路由。</w:t>
      </w:r>
    </w:p>
    <w:p w14:paraId="7D31E82D">
      <w:pPr>
        <w:pStyle w:val="162"/>
      </w:pPr>
      <w:r>
        <w:rPr>
          <w:shd w:val="clear" w:color="auto" w:fill="FFFFFF"/>
        </w:rPr>
        <w:t>BGP使用TCP作为其传输层协议（端口号179），提高了协议的可靠性。</w:t>
      </w:r>
    </w:p>
    <w:p w14:paraId="7EA50AE4">
      <w:pPr>
        <w:pStyle w:val="162"/>
      </w:pPr>
      <w:r>
        <w:rPr>
          <w:shd w:val="clear" w:color="auto" w:fill="FFFFFF"/>
        </w:rPr>
        <w:t>BGP是一种路径矢量（Path-Vector）路由协议，它采用到达目的地址所经过的AS列表来衡量到达目的地址的距离。</w:t>
      </w:r>
    </w:p>
    <w:p w14:paraId="1C9FD979">
      <w:pPr>
        <w:pStyle w:val="162"/>
      </w:pPr>
      <w:r>
        <w:rPr>
          <w:shd w:val="clear" w:color="auto" w:fill="FFFFFF"/>
        </w:rPr>
        <w:t>BGP支持CIDR（Classless Inter-Domain Routing，无类域间路由）。</w:t>
      </w:r>
    </w:p>
    <w:p w14:paraId="3B66A82F">
      <w:pPr>
        <w:pStyle w:val="162"/>
      </w:pPr>
      <w:r>
        <w:rPr>
          <w:shd w:val="clear" w:color="auto" w:fill="FFFFFF"/>
        </w:rPr>
        <w:t>路由更新时，BGP只发送更新的路由，大大减少了BGP传播路由所占用的带宽，适用于在Internet上传播大量的路由信息。</w:t>
      </w:r>
    </w:p>
    <w:p w14:paraId="6C4EF9E0">
      <w:pPr>
        <w:pStyle w:val="162"/>
      </w:pPr>
      <w:r>
        <w:rPr>
          <w:shd w:val="clear" w:color="auto" w:fill="FFFFFF"/>
        </w:rPr>
        <w:t>BGP路由通过携带AS路径信息彻底解决路由</w:t>
      </w:r>
      <w:r>
        <w:t>环</w:t>
      </w:r>
      <w:r>
        <w:rPr>
          <w:shd w:val="clear" w:color="auto" w:fill="FFFFFF"/>
        </w:rPr>
        <w:t>路问题。</w:t>
      </w:r>
    </w:p>
    <w:p w14:paraId="2CD4E84F">
      <w:pPr>
        <w:pStyle w:val="162"/>
      </w:pPr>
      <w:r>
        <w:rPr>
          <w:shd w:val="clear" w:color="auto" w:fill="FFFFFF"/>
        </w:rPr>
        <w:t>BGP提供了丰富的路由策略，能够对路由实现灵活的过滤和选择。</w:t>
      </w:r>
    </w:p>
    <w:p w14:paraId="7EE0E1C2">
      <w:pPr>
        <w:pStyle w:val="162"/>
      </w:pPr>
      <w:r>
        <w:rPr>
          <w:shd w:val="clear" w:color="auto" w:fill="FFFFFF"/>
        </w:rPr>
        <w:t>BGP易于扩展，能够适应网络新的发展。</w:t>
      </w:r>
    </w:p>
    <w:p w14:paraId="1441BF1F">
      <w:pPr>
        <w:pStyle w:val="6"/>
      </w:pPr>
      <w:r>
        <w:rPr>
          <w:rFonts w:hint="eastAsia"/>
        </w:rPr>
        <w:t>BGP发言者和BGP对等体</w:t>
      </w:r>
    </w:p>
    <w:p w14:paraId="394DD49D">
      <w:r>
        <w:rPr>
          <w:shd w:val="clear" w:color="auto" w:fill="FFFFFF"/>
          <w:lang w:bidi="ar"/>
        </w:rPr>
        <w:t>运行BGP协议的路由器称为BGP发言者。BGP发言者接收或产生路由信息，并将路由信息发布给其它BGP发言者。</w:t>
      </w:r>
    </w:p>
    <w:p w14:paraId="79E26865">
      <w:r>
        <w:rPr>
          <w:shd w:val="clear" w:color="auto" w:fill="FFFFFF"/>
          <w:lang w:bidi="ar"/>
        </w:rPr>
        <w:t>相互之间存在TCP连接、相互交换路由信息的BGP发言者互为BGP对等体。根据对等体所在的AS，对等体分为以下几种：</w:t>
      </w:r>
    </w:p>
    <w:p w14:paraId="7DCBD0F7">
      <w:pPr>
        <w:pStyle w:val="162"/>
      </w:pPr>
      <w:r>
        <w:rPr>
          <w:shd w:val="clear" w:color="auto" w:fill="FFFFFF"/>
        </w:rPr>
        <w:t>IBGP对等体：对等体与本地路由器位于同一AS。</w:t>
      </w:r>
    </w:p>
    <w:p w14:paraId="0F1C91B0">
      <w:pPr>
        <w:pStyle w:val="162"/>
      </w:pPr>
      <w:r>
        <w:rPr>
          <w:shd w:val="clear" w:color="auto" w:fill="FFFFFF"/>
        </w:rPr>
        <w:t>EBGP对等体：对等体与本地路由器位于不同AS。</w:t>
      </w:r>
    </w:p>
    <w:p w14:paraId="560DCD73">
      <w:pPr>
        <w:pStyle w:val="6"/>
      </w:pPr>
      <w:r>
        <w:rPr>
          <w:rFonts w:hint="eastAsia"/>
        </w:rPr>
        <w:t>BGP的消息类型</w:t>
      </w:r>
    </w:p>
    <w:p w14:paraId="6A8F9DAD">
      <w:r>
        <w:rPr>
          <w:shd w:val="clear" w:color="auto" w:fill="FFFFFF"/>
          <w:lang w:bidi="ar"/>
        </w:rPr>
        <w:t>BGP定义了以下几种消息类型：</w:t>
      </w:r>
    </w:p>
    <w:p w14:paraId="22A0DB14">
      <w:pPr>
        <w:pStyle w:val="162"/>
      </w:pPr>
      <w:r>
        <w:rPr>
          <w:shd w:val="clear" w:color="auto" w:fill="FFFFFF"/>
        </w:rPr>
        <w:t>Open：TCP连接建立后发送的第一个消息，用于在BGP对等体之间建立会话。</w:t>
      </w:r>
    </w:p>
    <w:p w14:paraId="100150F4">
      <w:pPr>
        <w:pStyle w:val="162"/>
      </w:pPr>
      <w:r>
        <w:rPr>
          <w:shd w:val="clear" w:color="auto" w:fill="FFFFFF"/>
        </w:rPr>
        <w:t>Update：用于在对等体之间交换路由信息。一条Update消息可以发布具有相同路径属性的多条可达路由，也可以同时撤销多条不可达路由。</w:t>
      </w:r>
    </w:p>
    <w:p w14:paraId="1D8B6D72">
      <w:pPr>
        <w:pStyle w:val="162"/>
      </w:pPr>
      <w:r>
        <w:rPr>
          <w:shd w:val="clear" w:color="auto" w:fill="FFFFFF"/>
        </w:rPr>
        <w:t>Keepalive：BGP周期性地向对等体发送Keepalive消息，以保持会话的有效性。</w:t>
      </w:r>
    </w:p>
    <w:p w14:paraId="08F268DD">
      <w:pPr>
        <w:pStyle w:val="162"/>
        <w:rPr>
          <w:color w:val="000000"/>
        </w:rPr>
      </w:pPr>
      <w:r>
        <w:rPr>
          <w:color w:val="000000"/>
          <w:shd w:val="clear" w:color="auto" w:fill="FFFFFF"/>
        </w:rPr>
        <w:t>Route-refresh：</w:t>
      </w:r>
      <w:r>
        <w:rPr>
          <w:shd w:val="clear" w:color="auto" w:fill="FFFFFF"/>
        </w:rPr>
        <w:t>用来要求对等体重新发送指定地址族的路由信息</w:t>
      </w:r>
      <w:r>
        <w:rPr>
          <w:color w:val="000000"/>
          <w:shd w:val="clear" w:color="auto" w:fill="FFFFFF"/>
        </w:rPr>
        <w:t>。</w:t>
      </w:r>
    </w:p>
    <w:p w14:paraId="56AD8D79">
      <w:pPr>
        <w:pStyle w:val="162"/>
      </w:pPr>
      <w:r>
        <w:rPr>
          <w:shd w:val="clear" w:color="auto" w:fill="FFFFFF"/>
        </w:rPr>
        <w:t>Notification：当BGP检测到错误状态时，就向对等体发出Notification消息，之后BGP会话会立即中断。</w:t>
      </w:r>
    </w:p>
    <w:p w14:paraId="5B1934B8">
      <w:pPr>
        <w:pStyle w:val="5"/>
      </w:pPr>
      <w:bookmarkStart w:id="2562" w:name="_Toc196728118"/>
      <w:bookmarkStart w:id="2563" w:name="_Toc172218159"/>
      <w:bookmarkStart w:id="2564" w:name="_Toc194080786"/>
      <w:r>
        <w:rPr>
          <w:rFonts w:hint="eastAsia"/>
        </w:rPr>
        <w:t>BGP配置</w:t>
      </w:r>
      <w:bookmarkEnd w:id="2562"/>
      <w:bookmarkEnd w:id="2563"/>
      <w:bookmarkEnd w:id="2564"/>
    </w:p>
    <w:p w14:paraId="710867E8">
      <w:pPr>
        <w:pStyle w:val="6"/>
      </w:pPr>
      <w:r>
        <w:rPr>
          <w:rFonts w:hint="eastAsia"/>
        </w:rPr>
        <w:t>配置BGP实例</w:t>
      </w:r>
    </w:p>
    <w:p w14:paraId="6A873327">
      <w:r>
        <w:rPr>
          <w:rFonts w:hint="eastAsia"/>
        </w:rPr>
        <w:t>通过菜单“网络配置 &gt; 路由管理 &gt; BGP信息”，进入BGP配置的显示界面，查看设备上已经配置的BGP实例。勾选“启用”后开启BGP路由功能，禁用会删除所有BGP实例。启用后可以新建BGP实例，如果未启用，新建时将会自动启用。</w:t>
      </w:r>
    </w:p>
    <w:p w14:paraId="5FC25361">
      <w:pPr>
        <w:pStyle w:val="188"/>
      </w:pPr>
      <w:r>
        <w:rPr>
          <w:rFonts w:hint="eastAsia"/>
        </w:rPr>
        <w:t>BGP信息显示页面</w:t>
      </w:r>
    </w:p>
    <w:p w14:paraId="3D05A5E0">
      <w:r>
        <w:drawing>
          <wp:inline distT="0" distB="0" distL="0" distR="0">
            <wp:extent cx="6120765" cy="787400"/>
            <wp:effectExtent l="0" t="0" r="0" b="0"/>
            <wp:docPr id="1534582041" name="图片 153458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41" name="图片 1534582041"/>
                    <pic:cNvPicPr>
                      <a:picLocks noChangeAspect="1"/>
                    </pic:cNvPicPr>
                  </pic:nvPicPr>
                  <pic:blipFill>
                    <a:blip r:embed="rId356"/>
                    <a:stretch>
                      <a:fillRect/>
                    </a:stretch>
                  </pic:blipFill>
                  <pic:spPr>
                    <a:xfrm>
                      <a:off x="0" y="0"/>
                      <a:ext cx="6120765" cy="787400"/>
                    </a:xfrm>
                    <a:prstGeom prst="rect">
                      <a:avLst/>
                    </a:prstGeom>
                  </pic:spPr>
                </pic:pic>
              </a:graphicData>
            </a:graphic>
          </wp:inline>
        </w:drawing>
      </w:r>
    </w:p>
    <w:p w14:paraId="740032EC"/>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1AA4DCFF">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515C7473">
            <w:pPr>
              <w:pStyle w:val="150"/>
              <w:adjustRightInd w:val="0"/>
              <w:snapToGrid w:val="0"/>
              <w:rPr>
                <w:color w:val="auto"/>
              </w:rPr>
            </w:pPr>
            <w:r>
              <w:rPr>
                <w:b/>
                <w:color w:val="auto"/>
              </w:rPr>
              <w:drawing>
                <wp:inline distT="0" distB="0" distL="0" distR="0">
                  <wp:extent cx="283210" cy="283210"/>
                  <wp:effectExtent l="0" t="0" r="2540" b="2540"/>
                  <wp:docPr id="800" name="图片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图片 800"/>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62EC3472">
            <w:pPr>
              <w:pStyle w:val="150"/>
              <w:adjustRightInd w:val="0"/>
              <w:snapToGrid w:val="0"/>
              <w:rPr>
                <w:color w:val="auto"/>
              </w:rPr>
            </w:pPr>
            <w:r>
              <w:rPr>
                <w:rFonts w:hint="eastAsia"/>
                <w:color w:val="auto"/>
              </w:rPr>
              <w:t>创建BGP实例后，如果关闭“启用”开关会删除所有实例和接口下BGP相关配置。</w:t>
            </w:r>
          </w:p>
        </w:tc>
      </w:tr>
    </w:tbl>
    <w:p w14:paraId="545A463F"/>
    <w:p w14:paraId="46AE6FCF">
      <w:r>
        <w:rPr>
          <w:rFonts w:hint="eastAsia"/>
        </w:rPr>
        <w:t>点击&lt;新建&gt;，新建BGP实例</w:t>
      </w:r>
      <w:r>
        <w:t>，</w:t>
      </w:r>
      <w:r>
        <w:rPr>
          <w:rFonts w:hint="eastAsia"/>
        </w:rPr>
        <w:t>配置BGP协议的相关信息，点击&lt;提交&gt;。</w:t>
      </w:r>
    </w:p>
    <w:p w14:paraId="2D043D94">
      <w:pPr>
        <w:pStyle w:val="188"/>
      </w:pPr>
      <w:r>
        <w:rPr>
          <w:rFonts w:hint="eastAsia"/>
        </w:rPr>
        <w:t>BGP实例配置界面</w:t>
      </w:r>
    </w:p>
    <w:p w14:paraId="16BB2764">
      <w:r>
        <w:drawing>
          <wp:inline distT="0" distB="0" distL="0" distR="0">
            <wp:extent cx="5644515" cy="2252345"/>
            <wp:effectExtent l="0" t="0" r="0" b="0"/>
            <wp:docPr id="1534582046" name="图片 153458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46" name="图片 1534582046"/>
                    <pic:cNvPicPr>
                      <a:picLocks noChangeAspect="1"/>
                    </pic:cNvPicPr>
                  </pic:nvPicPr>
                  <pic:blipFill>
                    <a:blip r:embed="rId357"/>
                    <a:stretch>
                      <a:fillRect/>
                    </a:stretch>
                  </pic:blipFill>
                  <pic:spPr>
                    <a:xfrm>
                      <a:off x="0" y="0"/>
                      <a:ext cx="5649419" cy="2254727"/>
                    </a:xfrm>
                    <a:prstGeom prst="rect">
                      <a:avLst/>
                    </a:prstGeom>
                  </pic:spPr>
                </pic:pic>
              </a:graphicData>
            </a:graphic>
          </wp:inline>
        </w:drawing>
      </w:r>
    </w:p>
    <w:p w14:paraId="24E2EBE4"/>
    <w:p w14:paraId="30804506">
      <w:pPr>
        <w:pStyle w:val="183"/>
      </w:pPr>
      <w:r>
        <w:rPr>
          <w:rFonts w:hint="eastAsia"/>
        </w:rPr>
        <w:t>BGP各配置项说明</w:t>
      </w:r>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3267"/>
        <w:gridCol w:w="5701"/>
      </w:tblGrid>
      <w:tr w14:paraId="7B91A30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3267" w:type="dxa"/>
            <w:tcBorders>
              <w:tl2br w:val="nil"/>
              <w:tr2bl w:val="nil"/>
            </w:tcBorders>
            <w:shd w:val="clear" w:color="auto" w:fill="538135" w:themeFill="accent6" w:themeFillShade="BF"/>
            <w:vAlign w:val="center"/>
          </w:tcPr>
          <w:p w14:paraId="43E4BDB0">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5701" w:type="dxa"/>
            <w:tcBorders>
              <w:tl2br w:val="nil"/>
              <w:tr2bl w:val="nil"/>
            </w:tcBorders>
            <w:shd w:val="clear" w:color="auto" w:fill="538135" w:themeFill="accent6" w:themeFillShade="BF"/>
            <w:vAlign w:val="center"/>
          </w:tcPr>
          <w:p w14:paraId="394DDFDB">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10D74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3267" w:type="dxa"/>
            <w:shd w:val="clear" w:color="auto" w:fill="auto"/>
          </w:tcPr>
          <w:p w14:paraId="1D276463">
            <w:pPr>
              <w:pStyle w:val="186"/>
              <w:widowControl w:val="0"/>
              <w:spacing w:line="240" w:lineRule="auto"/>
              <w:ind w:firstLine="0"/>
              <w:jc w:val="left"/>
            </w:pPr>
            <w:r>
              <w:rPr>
                <w:rFonts w:hint="eastAsia"/>
              </w:rPr>
              <w:t>VRF</w:t>
            </w:r>
          </w:p>
        </w:tc>
        <w:tc>
          <w:tcPr>
            <w:tcW w:w="5701" w:type="dxa"/>
            <w:shd w:val="clear" w:color="auto" w:fill="auto"/>
          </w:tcPr>
          <w:p w14:paraId="0B42E9BB">
            <w:pPr>
              <w:pStyle w:val="186"/>
              <w:widowControl w:val="0"/>
              <w:spacing w:line="240" w:lineRule="auto"/>
              <w:ind w:firstLine="0"/>
              <w:jc w:val="left"/>
            </w:pPr>
            <w:r>
              <w:rPr>
                <w:rFonts w:hint="eastAsia"/>
              </w:rPr>
              <w:t>指定BGP实例绑定的VRF。</w:t>
            </w:r>
            <w:r>
              <w:t>创建多个BGP实例时需要为每个实例绑定不同VRF使用</w:t>
            </w:r>
            <w:r>
              <w:rPr>
                <w:rFonts w:hint="eastAsia"/>
              </w:rPr>
              <w:t>，每个实例只能绑定一个VRF。</w:t>
            </w:r>
          </w:p>
        </w:tc>
      </w:tr>
      <w:tr w14:paraId="76AD877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3267" w:type="dxa"/>
            <w:shd w:val="clear" w:color="auto" w:fill="auto"/>
          </w:tcPr>
          <w:p w14:paraId="1C3BADAB">
            <w:pPr>
              <w:pStyle w:val="186"/>
              <w:widowControl w:val="0"/>
              <w:spacing w:line="240" w:lineRule="auto"/>
              <w:ind w:firstLine="0"/>
              <w:jc w:val="left"/>
            </w:pPr>
            <w:r>
              <w:rPr>
                <w:rFonts w:hint="eastAsia"/>
              </w:rPr>
              <w:t>描述</w:t>
            </w:r>
          </w:p>
        </w:tc>
        <w:tc>
          <w:tcPr>
            <w:tcW w:w="5701" w:type="dxa"/>
            <w:shd w:val="clear" w:color="auto" w:fill="auto"/>
          </w:tcPr>
          <w:p w14:paraId="38823810">
            <w:pPr>
              <w:pStyle w:val="186"/>
              <w:widowControl w:val="0"/>
              <w:spacing w:line="240" w:lineRule="auto"/>
              <w:ind w:firstLine="0"/>
              <w:jc w:val="left"/>
            </w:pPr>
            <w:r>
              <w:rPr>
                <w:rFonts w:hint="eastAsia"/>
              </w:rPr>
              <w:t>BGP实例的描述信息。</w:t>
            </w:r>
          </w:p>
        </w:tc>
      </w:tr>
      <w:tr w14:paraId="5052BDE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3267" w:type="dxa"/>
            <w:shd w:val="clear" w:color="auto" w:fill="auto"/>
          </w:tcPr>
          <w:p w14:paraId="7A32CF45">
            <w:pPr>
              <w:pStyle w:val="186"/>
              <w:widowControl w:val="0"/>
              <w:spacing w:line="240" w:lineRule="auto"/>
              <w:ind w:firstLine="0"/>
              <w:jc w:val="left"/>
            </w:pPr>
            <w:r>
              <w:rPr>
                <w:rFonts w:hint="eastAsia"/>
              </w:rPr>
              <w:t>AS号</w:t>
            </w:r>
          </w:p>
        </w:tc>
        <w:tc>
          <w:tcPr>
            <w:tcW w:w="5701" w:type="dxa"/>
            <w:shd w:val="clear" w:color="auto" w:fill="auto"/>
          </w:tcPr>
          <w:p w14:paraId="0A4691C4">
            <w:pPr>
              <w:pStyle w:val="186"/>
              <w:widowControl w:val="0"/>
              <w:spacing w:line="240" w:lineRule="auto"/>
              <w:ind w:firstLine="0"/>
              <w:jc w:val="left"/>
            </w:pPr>
            <w:r>
              <w:rPr>
                <w:rFonts w:hint="eastAsia"/>
              </w:rPr>
              <w:t>自治域系统号</w:t>
            </w:r>
          </w:p>
        </w:tc>
      </w:tr>
      <w:tr w14:paraId="62CD652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3267" w:type="dxa"/>
            <w:shd w:val="clear" w:color="auto" w:fill="auto"/>
          </w:tcPr>
          <w:p w14:paraId="114B4AFD">
            <w:pPr>
              <w:pStyle w:val="186"/>
              <w:widowControl w:val="0"/>
              <w:spacing w:line="240" w:lineRule="auto"/>
              <w:ind w:firstLine="0"/>
              <w:jc w:val="left"/>
            </w:pPr>
            <w:r>
              <w:rPr>
                <w:rFonts w:hint="eastAsia"/>
              </w:rPr>
              <w:t>路由标识</w:t>
            </w:r>
          </w:p>
        </w:tc>
        <w:tc>
          <w:tcPr>
            <w:tcW w:w="5701" w:type="dxa"/>
            <w:shd w:val="clear" w:color="auto" w:fill="auto"/>
          </w:tcPr>
          <w:p w14:paraId="1088951E">
            <w:pPr>
              <w:pStyle w:val="186"/>
              <w:widowControl w:val="0"/>
              <w:spacing w:line="240" w:lineRule="auto"/>
              <w:ind w:firstLine="0"/>
              <w:jc w:val="left"/>
            </w:pPr>
            <w:r>
              <w:rPr>
                <w:rFonts w:hint="eastAsia"/>
              </w:rPr>
              <w:t>BGP路由器ID</w:t>
            </w:r>
          </w:p>
        </w:tc>
      </w:tr>
    </w:tbl>
    <w:p w14:paraId="256E2245"/>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73048072">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6915AC38">
            <w:pPr>
              <w:pStyle w:val="150"/>
              <w:adjustRightInd w:val="0"/>
              <w:snapToGrid w:val="0"/>
              <w:rPr>
                <w:color w:val="auto"/>
              </w:rPr>
            </w:pPr>
            <w:r>
              <w:rPr>
                <w:b/>
                <w:color w:val="auto"/>
              </w:rPr>
              <w:drawing>
                <wp:inline distT="0" distB="0" distL="0" distR="0">
                  <wp:extent cx="283210" cy="283210"/>
                  <wp:effectExtent l="0" t="0" r="2540" b="2540"/>
                  <wp:docPr id="801" name="图片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图片 80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7F7CD501">
            <w:pPr>
              <w:pStyle w:val="150"/>
              <w:adjustRightInd w:val="0"/>
              <w:snapToGrid w:val="0"/>
              <w:rPr>
                <w:color w:val="auto"/>
              </w:rPr>
            </w:pPr>
            <w:r>
              <w:rPr>
                <w:rFonts w:hint="eastAsia"/>
                <w:color w:val="auto"/>
              </w:rPr>
              <w:t>AS (Autonomous System number，自治域系统号)是指拥有同一选路策略，在同一技术管理部门下运行的一组路由器的集合。BGP的RFC1771里留给AS的范围是2个字节，所以AS的取值范围为1-65535，其中64512以上的为私有AS。但是鉴于IPv4地址空间不够这个前车之鉴，在RFC4893里定义了一个BGP的新功能——4字节AS（BGP Support for Four-octet AS Number，一般用M.N来描述），范围是65536-4294967295。</w:t>
            </w:r>
          </w:p>
        </w:tc>
      </w:tr>
    </w:tbl>
    <w:p w14:paraId="2F5F245F"/>
    <w:p w14:paraId="0D2569A4">
      <w:pPr>
        <w:pStyle w:val="6"/>
      </w:pPr>
      <w:r>
        <w:rPr>
          <w:rFonts w:hint="eastAsia"/>
        </w:rPr>
        <w:t>新建邻居配置列表</w:t>
      </w:r>
    </w:p>
    <w:p w14:paraId="6F52715F">
      <w:r>
        <w:rPr>
          <w:rFonts w:hint="eastAsia"/>
        </w:rPr>
        <w:t>在BGP信息页面的列表中，点击需要修改的实例对应的“邻居配置列表”，进入BGP高级配置的“邻居配置列表”界面，查看该BGP实例中配置的邻居列表。</w:t>
      </w:r>
    </w:p>
    <w:p w14:paraId="48D43D93">
      <w:pPr>
        <w:pStyle w:val="188"/>
      </w:pPr>
      <w:r>
        <w:rPr>
          <w:rFonts w:hint="eastAsia"/>
        </w:rPr>
        <w:t>BGP邻居配置列表显示页面</w:t>
      </w:r>
    </w:p>
    <w:p w14:paraId="114B182E">
      <w:r>
        <w:drawing>
          <wp:inline distT="0" distB="0" distL="0" distR="0">
            <wp:extent cx="5400675" cy="1540510"/>
            <wp:effectExtent l="0" t="0" r="0" b="2540"/>
            <wp:docPr id="1534582071" name="图片 153458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71" name="图片 1534582071"/>
                    <pic:cNvPicPr>
                      <a:picLocks noChangeAspect="1"/>
                    </pic:cNvPicPr>
                  </pic:nvPicPr>
                  <pic:blipFill>
                    <a:blip r:embed="rId358"/>
                    <a:stretch>
                      <a:fillRect/>
                    </a:stretch>
                  </pic:blipFill>
                  <pic:spPr>
                    <a:xfrm>
                      <a:off x="0" y="0"/>
                      <a:ext cx="5405587" cy="1542210"/>
                    </a:xfrm>
                    <a:prstGeom prst="rect">
                      <a:avLst/>
                    </a:prstGeom>
                  </pic:spPr>
                </pic:pic>
              </a:graphicData>
            </a:graphic>
          </wp:inline>
        </w:drawing>
      </w:r>
      <w:r>
        <w:t xml:space="preserve"> </w:t>
      </w:r>
    </w:p>
    <w:p w14:paraId="08EB6625"/>
    <w:p w14:paraId="49BA4D37">
      <w:r>
        <w:rPr>
          <w:rFonts w:hint="eastAsia"/>
        </w:rPr>
        <w:t>点击</w:t>
      </w:r>
      <w:r>
        <w:t>&lt;</w:t>
      </w:r>
      <w:r>
        <w:rPr>
          <w:rFonts w:hint="eastAsia"/>
        </w:rPr>
        <w:t>新建</w:t>
      </w:r>
      <w:r>
        <w:t>&gt;</w:t>
      </w:r>
      <w:r>
        <w:rPr>
          <w:rFonts w:hint="eastAsia"/>
        </w:rPr>
        <w:t>按钮，输入新增的邻居配置，点击&lt;提交&gt;。</w:t>
      </w:r>
    </w:p>
    <w:p w14:paraId="0B312487">
      <w:pPr>
        <w:pStyle w:val="188"/>
      </w:pPr>
      <w:r>
        <w:rPr>
          <w:rFonts w:hint="eastAsia"/>
        </w:rPr>
        <w:t>邻居配置列表</w:t>
      </w:r>
    </w:p>
    <w:p w14:paraId="775317F2">
      <w:r>
        <w:drawing>
          <wp:inline distT="0" distB="0" distL="0" distR="0">
            <wp:extent cx="5305425" cy="1259840"/>
            <wp:effectExtent l="0" t="0" r="0" b="0"/>
            <wp:docPr id="1534582075" name="图片 153458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75" name="图片 1534582075"/>
                    <pic:cNvPicPr>
                      <a:picLocks noChangeAspect="1"/>
                    </pic:cNvPicPr>
                  </pic:nvPicPr>
                  <pic:blipFill>
                    <a:blip r:embed="rId359"/>
                    <a:stretch>
                      <a:fillRect/>
                    </a:stretch>
                  </pic:blipFill>
                  <pic:spPr>
                    <a:xfrm>
                      <a:off x="0" y="0"/>
                      <a:ext cx="5345461" cy="1269401"/>
                    </a:xfrm>
                    <a:prstGeom prst="rect">
                      <a:avLst/>
                    </a:prstGeom>
                  </pic:spPr>
                </pic:pic>
              </a:graphicData>
            </a:graphic>
          </wp:inline>
        </w:drawing>
      </w:r>
    </w:p>
    <w:p w14:paraId="49CA9500"/>
    <w:p w14:paraId="7BC30507">
      <w:pPr>
        <w:pStyle w:val="183"/>
      </w:pPr>
      <w:r>
        <w:rPr>
          <w:rFonts w:hint="eastAsia"/>
        </w:rPr>
        <w:t>邻居配置参数说明</w:t>
      </w:r>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3267"/>
        <w:gridCol w:w="5701"/>
      </w:tblGrid>
      <w:tr w14:paraId="28B975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3267" w:type="dxa"/>
            <w:tcBorders>
              <w:tl2br w:val="nil"/>
              <w:tr2bl w:val="nil"/>
            </w:tcBorders>
            <w:shd w:val="clear" w:color="auto" w:fill="538135" w:themeFill="accent6" w:themeFillShade="BF"/>
            <w:vAlign w:val="center"/>
          </w:tcPr>
          <w:p w14:paraId="03A4CA31">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5701" w:type="dxa"/>
            <w:tcBorders>
              <w:tl2br w:val="nil"/>
              <w:tr2bl w:val="nil"/>
            </w:tcBorders>
            <w:shd w:val="clear" w:color="auto" w:fill="538135" w:themeFill="accent6" w:themeFillShade="BF"/>
            <w:vAlign w:val="center"/>
          </w:tcPr>
          <w:p w14:paraId="63ED7BF6">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3A6FAF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3267" w:type="dxa"/>
            <w:shd w:val="clear" w:color="auto" w:fill="auto"/>
          </w:tcPr>
          <w:p w14:paraId="6DCED730">
            <w:pPr>
              <w:pStyle w:val="186"/>
              <w:widowControl w:val="0"/>
              <w:spacing w:line="240" w:lineRule="auto"/>
              <w:ind w:firstLine="0"/>
              <w:jc w:val="left"/>
            </w:pPr>
            <w:r>
              <w:rPr>
                <w:rFonts w:hint="eastAsia" w:ascii="Times New Roman" w:hAnsi="Times New Roman"/>
              </w:rPr>
              <w:t>邻居IP</w:t>
            </w:r>
          </w:p>
        </w:tc>
        <w:tc>
          <w:tcPr>
            <w:tcW w:w="5701" w:type="dxa"/>
            <w:shd w:val="clear" w:color="auto" w:fill="auto"/>
          </w:tcPr>
          <w:p w14:paraId="33223DBB">
            <w:pPr>
              <w:pStyle w:val="186"/>
              <w:widowControl w:val="0"/>
              <w:spacing w:line="240" w:lineRule="auto"/>
              <w:ind w:firstLine="0"/>
              <w:jc w:val="left"/>
            </w:pPr>
            <w:r>
              <w:rPr>
                <w:rFonts w:hint="eastAsia" w:ascii="Times New Roman" w:hAnsi="Times New Roman"/>
              </w:rPr>
              <w:t>邻居路由器的IP地址。</w:t>
            </w:r>
          </w:p>
        </w:tc>
      </w:tr>
      <w:tr w14:paraId="4BA372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3267" w:type="dxa"/>
            <w:shd w:val="clear" w:color="auto" w:fill="auto"/>
          </w:tcPr>
          <w:p w14:paraId="77F77D65">
            <w:pPr>
              <w:pStyle w:val="186"/>
              <w:widowControl w:val="0"/>
              <w:spacing w:line="240" w:lineRule="auto"/>
              <w:ind w:firstLine="0"/>
              <w:jc w:val="left"/>
            </w:pPr>
            <w:r>
              <w:rPr>
                <w:rFonts w:hint="eastAsia" w:ascii="Times New Roman" w:hAnsi="Times New Roman"/>
              </w:rPr>
              <w:t>AS号</w:t>
            </w:r>
          </w:p>
        </w:tc>
        <w:tc>
          <w:tcPr>
            <w:tcW w:w="5701" w:type="dxa"/>
            <w:shd w:val="clear" w:color="auto" w:fill="auto"/>
          </w:tcPr>
          <w:p w14:paraId="6C928273">
            <w:pPr>
              <w:pStyle w:val="186"/>
              <w:widowControl w:val="0"/>
              <w:spacing w:line="240" w:lineRule="auto"/>
              <w:ind w:firstLine="0"/>
              <w:jc w:val="left"/>
            </w:pPr>
            <w:r>
              <w:rPr>
                <w:rFonts w:hint="eastAsia" w:ascii="Times New Roman" w:hAnsi="Times New Roman"/>
              </w:rPr>
              <w:t>邻居路由器所属于的AS号。</w:t>
            </w:r>
          </w:p>
        </w:tc>
      </w:tr>
    </w:tbl>
    <w:p w14:paraId="58623665"/>
    <w:p w14:paraId="4ACDAF49">
      <w:pPr>
        <w:pStyle w:val="6"/>
      </w:pPr>
      <w:r>
        <w:rPr>
          <w:rFonts w:hint="eastAsia"/>
        </w:rPr>
        <w:t>新建网络配置列表</w:t>
      </w:r>
    </w:p>
    <w:p w14:paraId="4FCA6141">
      <w:r>
        <w:rPr>
          <w:rFonts w:hint="eastAsia"/>
        </w:rPr>
        <w:t>在BGP信息页面的列表中，点击需要修改的实例对应的“网络配置列表”，进入BGP高级配置的“网络配置列表”界面，查看该BGP实例中配置的网络列表。</w:t>
      </w:r>
    </w:p>
    <w:p w14:paraId="2201DD5F">
      <w:pPr>
        <w:pStyle w:val="188"/>
      </w:pPr>
      <w:r>
        <w:rPr>
          <w:rFonts w:hint="eastAsia"/>
        </w:rPr>
        <w:t>已经配置的网络配置列表</w:t>
      </w:r>
    </w:p>
    <w:p w14:paraId="3C96486C">
      <w:r>
        <w:drawing>
          <wp:inline distT="0" distB="0" distL="0" distR="0">
            <wp:extent cx="5266055" cy="1600200"/>
            <wp:effectExtent l="0" t="0" r="0" b="0"/>
            <wp:docPr id="1534582076" name="图片 153458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76" name="图片 1534582076"/>
                    <pic:cNvPicPr>
                      <a:picLocks noChangeAspect="1"/>
                    </pic:cNvPicPr>
                  </pic:nvPicPr>
                  <pic:blipFill>
                    <a:blip r:embed="rId360"/>
                    <a:stretch>
                      <a:fillRect/>
                    </a:stretch>
                  </pic:blipFill>
                  <pic:spPr>
                    <a:xfrm>
                      <a:off x="0" y="0"/>
                      <a:ext cx="5279476" cy="1604273"/>
                    </a:xfrm>
                    <a:prstGeom prst="rect">
                      <a:avLst/>
                    </a:prstGeom>
                  </pic:spPr>
                </pic:pic>
              </a:graphicData>
            </a:graphic>
          </wp:inline>
        </w:drawing>
      </w:r>
    </w:p>
    <w:p w14:paraId="6C6538F0">
      <w:r>
        <w:rPr>
          <w:rFonts w:hint="eastAsia"/>
        </w:rPr>
        <w:t>点击&lt;新建&gt;，配置通告到指定BGP要发送的网络，同时也可指定此网络路由的网络掩码。支持IPv4和IPv6地址。</w:t>
      </w:r>
    </w:p>
    <w:p w14:paraId="02464A00">
      <w:pPr>
        <w:pStyle w:val="188"/>
      </w:pPr>
      <w:r>
        <w:rPr>
          <w:rFonts w:hint="eastAsia"/>
        </w:rPr>
        <w:t>网络配置列表</w:t>
      </w:r>
    </w:p>
    <w:p w14:paraId="5D918A63">
      <w:pPr>
        <w:pStyle w:val="175"/>
      </w:pPr>
      <w:r>
        <w:drawing>
          <wp:inline distT="0" distB="0" distL="0" distR="0">
            <wp:extent cx="6120765" cy="1467485"/>
            <wp:effectExtent l="0" t="0" r="0" b="0"/>
            <wp:docPr id="1534582077" name="图片 153458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77" name="图片 1534582077"/>
                    <pic:cNvPicPr>
                      <a:picLocks noChangeAspect="1"/>
                    </pic:cNvPicPr>
                  </pic:nvPicPr>
                  <pic:blipFill>
                    <a:blip r:embed="rId361"/>
                    <a:stretch>
                      <a:fillRect/>
                    </a:stretch>
                  </pic:blipFill>
                  <pic:spPr>
                    <a:xfrm>
                      <a:off x="0" y="0"/>
                      <a:ext cx="6120765" cy="1467485"/>
                    </a:xfrm>
                    <a:prstGeom prst="rect">
                      <a:avLst/>
                    </a:prstGeom>
                  </pic:spPr>
                </pic:pic>
              </a:graphicData>
            </a:graphic>
          </wp:inline>
        </w:drawing>
      </w:r>
    </w:p>
    <w:p w14:paraId="5D07E732"/>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5D127E0A">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1379C796">
            <w:pPr>
              <w:pStyle w:val="150"/>
              <w:adjustRightInd w:val="0"/>
              <w:snapToGrid w:val="0"/>
              <w:rPr>
                <w:color w:val="auto"/>
              </w:rPr>
            </w:pPr>
            <w:bookmarkStart w:id="2565" w:name="OLE_LINK19"/>
            <w:bookmarkStart w:id="2566" w:name="OLE_LINK21"/>
            <w:r>
              <w:rPr>
                <w:b/>
                <w:color w:val="auto"/>
              </w:rPr>
              <w:drawing>
                <wp:inline distT="0" distB="0" distL="0" distR="0">
                  <wp:extent cx="283210" cy="283210"/>
                  <wp:effectExtent l="0" t="0" r="2540" b="2540"/>
                  <wp:docPr id="803" name="图片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图片 80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41EA858E">
            <w:pPr>
              <w:pStyle w:val="150"/>
              <w:adjustRightInd w:val="0"/>
              <w:snapToGrid w:val="0"/>
              <w:rPr>
                <w:color w:val="auto"/>
              </w:rPr>
            </w:pPr>
            <w:r>
              <w:rPr>
                <w:rFonts w:hint="eastAsia"/>
                <w:color w:val="auto"/>
              </w:rPr>
              <w:t>网络配置列表需要通告本地设备上的有效路由信息才会生效</w:t>
            </w:r>
          </w:p>
        </w:tc>
      </w:tr>
      <w:bookmarkEnd w:id="2565"/>
      <w:bookmarkEnd w:id="2566"/>
    </w:tbl>
    <w:p w14:paraId="5B461529"/>
    <w:p w14:paraId="133D4EFF">
      <w:pPr>
        <w:pStyle w:val="6"/>
      </w:pPr>
      <w:r>
        <w:rPr>
          <w:rFonts w:hint="eastAsia"/>
        </w:rPr>
        <w:t>新建路由引入配置列表</w:t>
      </w:r>
    </w:p>
    <w:p w14:paraId="320C3A58">
      <w:r>
        <w:rPr>
          <w:rFonts w:hint="eastAsia"/>
        </w:rPr>
        <w:t>BGP协议自身不能发现路由，所以需要引入其他协议的路由（如IGP或者静态路由等）注入到BGP路由表中，从而将这些路由在AS之内和AS之间传播。</w:t>
      </w:r>
    </w:p>
    <w:p w14:paraId="1A27142B">
      <w:r>
        <w:rPr>
          <w:rFonts w:hint="eastAsia"/>
        </w:rPr>
        <w:t>在BGP信息页面的列表中，点击需要修改的实例对应的“路由引入配置列表”，进入BGP高级配置的“路由引入配置列表”界面，查看该BGP实例中配置的路由引入列表。</w:t>
      </w:r>
    </w:p>
    <w:p w14:paraId="683D730F">
      <w:pPr>
        <w:pStyle w:val="188"/>
      </w:pPr>
      <w:r>
        <w:rPr>
          <w:rFonts w:hint="eastAsia"/>
        </w:rPr>
        <w:t>已经配置的路由引入配置列表</w:t>
      </w:r>
    </w:p>
    <w:p w14:paraId="1874048E">
      <w:pPr>
        <w:pStyle w:val="175"/>
      </w:pPr>
      <w:r>
        <w:drawing>
          <wp:inline distT="0" distB="0" distL="0" distR="0">
            <wp:extent cx="4943475" cy="1440180"/>
            <wp:effectExtent l="0" t="0" r="0" b="7620"/>
            <wp:docPr id="1534582079" name="图片 153458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79" name="图片 1534582079"/>
                    <pic:cNvPicPr>
                      <a:picLocks noChangeAspect="1"/>
                    </pic:cNvPicPr>
                  </pic:nvPicPr>
                  <pic:blipFill>
                    <a:blip r:embed="rId362"/>
                    <a:stretch>
                      <a:fillRect/>
                    </a:stretch>
                  </pic:blipFill>
                  <pic:spPr>
                    <a:xfrm>
                      <a:off x="0" y="0"/>
                      <a:ext cx="4963531" cy="1446474"/>
                    </a:xfrm>
                    <a:prstGeom prst="rect">
                      <a:avLst/>
                    </a:prstGeom>
                  </pic:spPr>
                </pic:pic>
              </a:graphicData>
            </a:graphic>
          </wp:inline>
        </w:drawing>
      </w:r>
    </w:p>
    <w:p w14:paraId="35DF89F6">
      <w:r>
        <w:rPr>
          <w:rFonts w:hint="eastAsia"/>
        </w:rPr>
        <w:t>点击&lt;新建&gt;，设置IPv</w:t>
      </w:r>
      <w:r>
        <w:t>4</w:t>
      </w:r>
      <w:r>
        <w:rPr>
          <w:rFonts w:hint="eastAsia"/>
        </w:rPr>
        <w:t>路由引入的协议类型，选择路由重发布（包括直连路由、静态路由、RIP路由和OSPF路由），点击&lt;提交&gt;。</w:t>
      </w:r>
    </w:p>
    <w:p w14:paraId="5BBC7C0E">
      <w:pPr>
        <w:pStyle w:val="188"/>
      </w:pPr>
      <w:r>
        <w:rPr>
          <w:rFonts w:hint="eastAsia"/>
        </w:rPr>
        <w:t>路由引入配置列表页面</w:t>
      </w:r>
    </w:p>
    <w:p w14:paraId="68F00F2F">
      <w:pPr>
        <w:pStyle w:val="175"/>
      </w:pPr>
      <w:r>
        <w:drawing>
          <wp:inline distT="0" distB="0" distL="114300" distR="114300">
            <wp:extent cx="4752975" cy="1708150"/>
            <wp:effectExtent l="0" t="0" r="0" b="6350"/>
            <wp:docPr id="1534582023"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23" name="图片 77"/>
                    <pic:cNvPicPr>
                      <a:picLocks noChangeAspect="1"/>
                    </pic:cNvPicPr>
                  </pic:nvPicPr>
                  <pic:blipFill>
                    <a:blip r:embed="rId296"/>
                    <a:stretch>
                      <a:fillRect/>
                    </a:stretch>
                  </pic:blipFill>
                  <pic:spPr>
                    <a:xfrm>
                      <a:off x="0" y="0"/>
                      <a:ext cx="4759809" cy="1710821"/>
                    </a:xfrm>
                    <a:prstGeom prst="rect">
                      <a:avLst/>
                    </a:prstGeom>
                    <a:noFill/>
                    <a:ln>
                      <a:noFill/>
                    </a:ln>
                  </pic:spPr>
                </pic:pic>
              </a:graphicData>
            </a:graphic>
          </wp:inline>
        </w:drawing>
      </w:r>
    </w:p>
    <w:p w14:paraId="5C835FB4"/>
    <w:p w14:paraId="36FB703B">
      <w:pPr>
        <w:pStyle w:val="6"/>
      </w:pPr>
      <w:r>
        <w:rPr>
          <w:rFonts w:hint="eastAsia"/>
        </w:rPr>
        <w:t>新建路由引入BGP4+配置列表</w:t>
      </w:r>
    </w:p>
    <w:p w14:paraId="670D5A3A">
      <w:r>
        <w:rPr>
          <w:rFonts w:hint="eastAsia"/>
        </w:rPr>
        <w:t>BGP4+通过引入IGP的路由信息获得AS内部的路由信息并发布给对等体。</w:t>
      </w:r>
    </w:p>
    <w:p w14:paraId="064B5843">
      <w:r>
        <w:rPr>
          <w:rFonts w:hint="eastAsia"/>
        </w:rPr>
        <w:t>在BGP信息页面的列表中，点击需要修改的实例对应的“路由引入BGP4配置列表”，进入BGP高级配置的“路由引入BGP4配置列表”界面，查看该BGP实例中配置的BGP4+路由引入列表。</w:t>
      </w:r>
    </w:p>
    <w:p w14:paraId="1385B91E">
      <w:pPr>
        <w:pStyle w:val="188"/>
      </w:pPr>
      <w:r>
        <w:rPr>
          <w:rFonts w:hint="eastAsia"/>
        </w:rPr>
        <w:t>已经配置的路由引入配置列表</w:t>
      </w:r>
    </w:p>
    <w:p w14:paraId="0C1B5EE9">
      <w:pPr>
        <w:pStyle w:val="175"/>
      </w:pPr>
      <w:r>
        <w:drawing>
          <wp:inline distT="0" distB="0" distL="0" distR="0">
            <wp:extent cx="5476875" cy="1355090"/>
            <wp:effectExtent l="0" t="0" r="0" b="0"/>
            <wp:docPr id="578"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578"/>
                    <pic:cNvPicPr>
                      <a:picLocks noChangeAspect="1"/>
                    </pic:cNvPicPr>
                  </pic:nvPicPr>
                  <pic:blipFill>
                    <a:blip r:embed="rId363"/>
                    <a:stretch>
                      <a:fillRect/>
                    </a:stretch>
                  </pic:blipFill>
                  <pic:spPr>
                    <a:xfrm>
                      <a:off x="0" y="0"/>
                      <a:ext cx="5507160" cy="1362648"/>
                    </a:xfrm>
                    <a:prstGeom prst="rect">
                      <a:avLst/>
                    </a:prstGeom>
                  </pic:spPr>
                </pic:pic>
              </a:graphicData>
            </a:graphic>
          </wp:inline>
        </w:drawing>
      </w:r>
    </w:p>
    <w:p w14:paraId="1114CE2A"/>
    <w:p w14:paraId="6635D99A">
      <w:r>
        <w:rPr>
          <w:rFonts w:hint="eastAsia"/>
        </w:rPr>
        <w:t>点击&lt;新建&gt;，设置BGP4+引入其他协议的路由，选择路由重发布（包括直连路由、静态路由、RIPng路由和OSPFv</w:t>
      </w:r>
      <w:r>
        <w:t>3</w:t>
      </w:r>
      <w:r>
        <w:rPr>
          <w:rFonts w:hint="eastAsia"/>
        </w:rPr>
        <w:t>路由），点击&lt;提交&gt;。</w:t>
      </w:r>
    </w:p>
    <w:p w14:paraId="3AE9D990">
      <w:pPr>
        <w:pStyle w:val="188"/>
      </w:pPr>
      <w:r>
        <w:rPr>
          <w:rFonts w:hint="eastAsia"/>
        </w:rPr>
        <w:t>BGP</w:t>
      </w:r>
      <w:r>
        <w:t>4+</w:t>
      </w:r>
      <w:r>
        <w:rPr>
          <w:rFonts w:hint="eastAsia"/>
        </w:rPr>
        <w:t>路由引入配置列表页面</w:t>
      </w:r>
    </w:p>
    <w:p w14:paraId="384C4361">
      <w:pPr>
        <w:pStyle w:val="175"/>
      </w:pPr>
      <w:r>
        <w:drawing>
          <wp:inline distT="0" distB="0" distL="0" distR="0">
            <wp:extent cx="5473065" cy="1378585"/>
            <wp:effectExtent l="0" t="0" r="0" b="0"/>
            <wp:docPr id="579" name="图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579"/>
                    <pic:cNvPicPr>
                      <a:picLocks noChangeAspect="1"/>
                    </pic:cNvPicPr>
                  </pic:nvPicPr>
                  <pic:blipFill>
                    <a:blip r:embed="rId364"/>
                    <a:stretch>
                      <a:fillRect/>
                    </a:stretch>
                  </pic:blipFill>
                  <pic:spPr>
                    <a:xfrm>
                      <a:off x="0" y="0"/>
                      <a:ext cx="5494722" cy="1384653"/>
                    </a:xfrm>
                    <a:prstGeom prst="rect">
                      <a:avLst/>
                    </a:prstGeom>
                  </pic:spPr>
                </pic:pic>
              </a:graphicData>
            </a:graphic>
          </wp:inline>
        </w:drawing>
      </w:r>
    </w:p>
    <w:p w14:paraId="60C1A073"/>
    <w:p w14:paraId="7F354F2A">
      <w:pPr>
        <w:pStyle w:val="5"/>
      </w:pPr>
      <w:bookmarkStart w:id="2567" w:name="_Toc172218160"/>
      <w:bookmarkStart w:id="2568" w:name="_Toc194080787"/>
      <w:bookmarkStart w:id="2569" w:name="_Toc196728119"/>
      <w:r>
        <w:rPr>
          <w:rFonts w:hint="eastAsia"/>
        </w:rPr>
        <w:t>iBGP配置举例</w:t>
      </w:r>
      <w:bookmarkEnd w:id="2567"/>
      <w:bookmarkEnd w:id="2568"/>
      <w:bookmarkEnd w:id="2569"/>
    </w:p>
    <w:p w14:paraId="3B2AF3F9">
      <w:pPr>
        <w:pStyle w:val="6"/>
      </w:pPr>
      <w:r>
        <w:rPr>
          <w:rFonts w:hint="eastAsia"/>
        </w:rPr>
        <w:t>组网需求</w:t>
      </w:r>
    </w:p>
    <w:p w14:paraId="79DE58B7">
      <w:r>
        <w:rPr>
          <w:rFonts w:hint="eastAsia"/>
        </w:rPr>
        <w:t>iBGP用于在同一个自治系统内部交换路由信息。如下图所示，在设备R1和设备R2上开启BGP进程，创建BGP实例并配置相同AS号1，在实例内配置对端接口地址为邻居，在R</w:t>
      </w:r>
      <w:r>
        <w:t>1</w:t>
      </w:r>
      <w:r>
        <w:rPr>
          <w:rFonts w:hint="eastAsia"/>
        </w:rPr>
        <w:t>与R</w:t>
      </w:r>
      <w:r>
        <w:t>2</w:t>
      </w:r>
      <w:r>
        <w:rPr>
          <w:rFonts w:hint="eastAsia"/>
        </w:rPr>
        <w:t>之间建立iBGP邻居关系。</w:t>
      </w:r>
    </w:p>
    <w:p w14:paraId="61FE6CB3">
      <w:pPr>
        <w:pStyle w:val="6"/>
      </w:pPr>
      <w:r>
        <w:rPr>
          <w:rFonts w:hint="eastAsia"/>
        </w:rPr>
        <w:t>组网图</w:t>
      </w:r>
    </w:p>
    <w:p w14:paraId="789CF18E">
      <w:pPr>
        <w:pStyle w:val="188"/>
      </w:pPr>
      <w:r>
        <w:rPr>
          <w:rFonts w:hint="eastAsia"/>
        </w:rPr>
        <w:t>iBGP配置案例组网图</w:t>
      </w:r>
    </w:p>
    <w:p w14:paraId="37EBCF52">
      <w:r>
        <w:drawing>
          <wp:inline distT="0" distB="0" distL="0" distR="0">
            <wp:extent cx="3390900" cy="1990725"/>
            <wp:effectExtent l="0" t="0" r="0" b="9525"/>
            <wp:docPr id="544" name="图片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544"/>
                    <pic:cNvPicPr>
                      <a:picLocks noChangeAspect="1"/>
                    </pic:cNvPicPr>
                  </pic:nvPicPr>
                  <pic:blipFill>
                    <a:blip r:embed="rId365"/>
                    <a:stretch>
                      <a:fillRect/>
                    </a:stretch>
                  </pic:blipFill>
                  <pic:spPr>
                    <a:xfrm>
                      <a:off x="0" y="0"/>
                      <a:ext cx="3405598" cy="1999617"/>
                    </a:xfrm>
                    <a:prstGeom prst="rect">
                      <a:avLst/>
                    </a:prstGeom>
                  </pic:spPr>
                </pic:pic>
              </a:graphicData>
            </a:graphic>
          </wp:inline>
        </w:drawing>
      </w:r>
    </w:p>
    <w:p w14:paraId="6C7D44A5"/>
    <w:p w14:paraId="1CBF4F33">
      <w:pPr>
        <w:pStyle w:val="6"/>
      </w:pPr>
      <w:r>
        <w:rPr>
          <w:rFonts w:hint="eastAsia"/>
        </w:rPr>
        <w:t>配置步骤</w:t>
      </w:r>
    </w:p>
    <w:p w14:paraId="724E28AC">
      <w:pPr>
        <w:pStyle w:val="202"/>
        <w:rPr>
          <w:lang w:eastAsia="zh-CN"/>
        </w:rPr>
      </w:pPr>
      <w:r>
        <w:rPr>
          <w:rFonts w:hint="eastAsia"/>
          <w:lang w:eastAsia="zh-CN"/>
        </w:rPr>
        <w:t>在R1开启BGP协议开关</w:t>
      </w:r>
    </w:p>
    <w:p w14:paraId="3B7B43D3">
      <w:r>
        <w:rPr>
          <w:rFonts w:hint="eastAsia"/>
        </w:rPr>
        <w:t>过菜单“网络配置 &gt; BGP信息”，进入BGP的显示界面，勾选</w:t>
      </w:r>
      <w:r>
        <w:t>&lt;</w:t>
      </w:r>
      <w:r>
        <w:rPr>
          <w:rFonts w:hint="eastAsia"/>
        </w:rPr>
        <w:t>启用</w:t>
      </w:r>
      <w:r>
        <w:t>&gt;</w:t>
      </w:r>
      <w:r>
        <w:rPr>
          <w:rFonts w:hint="eastAsia"/>
        </w:rPr>
        <w:t>按钮。</w:t>
      </w:r>
    </w:p>
    <w:p w14:paraId="02E5BA84">
      <w:pPr>
        <w:pStyle w:val="202"/>
      </w:pPr>
      <w:r>
        <w:rPr>
          <w:rFonts w:hint="eastAsia"/>
        </w:rPr>
        <w:t>在R1创建BGP实例</w:t>
      </w:r>
    </w:p>
    <w:p w14:paraId="42310AA8">
      <w:r>
        <w:rPr>
          <w:rFonts w:hint="eastAsia"/>
        </w:rPr>
        <w:t>通过菜单“网络配置 &gt; BGP信息”，进入BGP的显示界面，点击</w:t>
      </w:r>
      <w:r>
        <w:t>&lt;</w:t>
      </w:r>
      <w:r>
        <w:rPr>
          <w:rFonts w:hint="eastAsia"/>
        </w:rPr>
        <w:t>新建</w:t>
      </w:r>
      <w:r>
        <w:t>&gt;</w:t>
      </w:r>
      <w:r>
        <w:rPr>
          <w:rFonts w:hint="eastAsia"/>
        </w:rPr>
        <w:t>按钮。在弹出的界面中进行配置。</w:t>
      </w:r>
    </w:p>
    <w:p w14:paraId="6E72AB6B">
      <w:pPr>
        <w:pStyle w:val="188"/>
      </w:pPr>
      <w:r>
        <w:rPr>
          <w:rFonts w:hint="eastAsia"/>
        </w:rPr>
        <w:t>新建BGP实例界面</w:t>
      </w:r>
    </w:p>
    <w:p w14:paraId="4027174A">
      <w:pPr>
        <w:pStyle w:val="175"/>
      </w:pPr>
      <w:r>
        <w:drawing>
          <wp:inline distT="0" distB="0" distL="114300" distR="114300">
            <wp:extent cx="4676775" cy="2285365"/>
            <wp:effectExtent l="0" t="0" r="0" b="635"/>
            <wp:docPr id="84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图片 25"/>
                    <pic:cNvPicPr>
                      <a:picLocks noChangeAspect="1"/>
                    </pic:cNvPicPr>
                  </pic:nvPicPr>
                  <pic:blipFill>
                    <a:blip r:embed="rId366"/>
                    <a:stretch>
                      <a:fillRect/>
                    </a:stretch>
                  </pic:blipFill>
                  <pic:spPr>
                    <a:xfrm>
                      <a:off x="0" y="0"/>
                      <a:ext cx="4695659" cy="2294773"/>
                    </a:xfrm>
                    <a:prstGeom prst="rect">
                      <a:avLst/>
                    </a:prstGeom>
                    <a:noFill/>
                    <a:ln>
                      <a:noFill/>
                    </a:ln>
                  </pic:spPr>
                </pic:pic>
              </a:graphicData>
            </a:graphic>
          </wp:inline>
        </w:drawing>
      </w:r>
    </w:p>
    <w:p w14:paraId="36B54F9E"/>
    <w:p w14:paraId="64BC4327">
      <w:pPr>
        <w:pStyle w:val="202"/>
      </w:pPr>
      <w:r>
        <w:rPr>
          <w:rFonts w:hint="eastAsia"/>
        </w:rPr>
        <w:t>在R1配置BGP邻居</w:t>
      </w:r>
    </w:p>
    <w:p w14:paraId="25691872">
      <w:r>
        <w:rPr>
          <w:rFonts w:hint="eastAsia"/>
        </w:rPr>
        <w:t>点击BGP显示界面中BGP实例的</w:t>
      </w:r>
      <w:r>
        <w:t>&lt;</w:t>
      </w:r>
      <w:r>
        <w:rPr>
          <w:rFonts w:hint="eastAsia"/>
        </w:rPr>
        <w:t>邻居配置列表</w:t>
      </w:r>
      <w:r>
        <w:t>&gt;</w:t>
      </w:r>
      <w:r>
        <w:rPr>
          <w:rFonts w:hint="eastAsia"/>
        </w:rPr>
        <w:t>，进入BGP高级配置界面。</w:t>
      </w:r>
    </w:p>
    <w:p w14:paraId="4BDB88C2">
      <w:r>
        <w:rPr>
          <w:rFonts w:hint="eastAsia"/>
        </w:rPr>
        <w:t>在高级配置页面中点击&lt;新建&gt;按钮，在弹出的界面中配置邻居IP为10.1.14.2，AS号为1。</w:t>
      </w:r>
    </w:p>
    <w:p w14:paraId="401A4EEC">
      <w:pPr>
        <w:pStyle w:val="188"/>
      </w:pPr>
      <w:r>
        <w:rPr>
          <w:rFonts w:hint="eastAsia"/>
        </w:rPr>
        <w:t>BGP邻居配置</w:t>
      </w:r>
    </w:p>
    <w:p w14:paraId="4C528269">
      <w:pPr>
        <w:pStyle w:val="175"/>
      </w:pPr>
      <w:r>
        <w:drawing>
          <wp:inline distT="0" distB="0" distL="114300" distR="114300">
            <wp:extent cx="5238750" cy="2924810"/>
            <wp:effectExtent l="0" t="0" r="0" b="8890"/>
            <wp:docPr id="84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图片 19"/>
                    <pic:cNvPicPr>
                      <a:picLocks noChangeAspect="1"/>
                    </pic:cNvPicPr>
                  </pic:nvPicPr>
                  <pic:blipFill>
                    <a:blip r:embed="rId367"/>
                    <a:stretch>
                      <a:fillRect/>
                    </a:stretch>
                  </pic:blipFill>
                  <pic:spPr>
                    <a:xfrm>
                      <a:off x="0" y="0"/>
                      <a:ext cx="5263448" cy="2938831"/>
                    </a:xfrm>
                    <a:prstGeom prst="rect">
                      <a:avLst/>
                    </a:prstGeom>
                    <a:noFill/>
                    <a:ln>
                      <a:noFill/>
                    </a:ln>
                  </pic:spPr>
                </pic:pic>
              </a:graphicData>
            </a:graphic>
          </wp:inline>
        </w:drawing>
      </w:r>
    </w:p>
    <w:p w14:paraId="1461C559"/>
    <w:p w14:paraId="05DC9A96">
      <w:pPr>
        <w:pStyle w:val="202"/>
      </w:pPr>
      <w:r>
        <w:rPr>
          <w:rFonts w:hint="eastAsia"/>
        </w:rPr>
        <w:t>在R1配置接口地址</w:t>
      </w:r>
    </w:p>
    <w:p w14:paraId="7B232941">
      <w:r>
        <w:rPr>
          <w:rFonts w:hint="eastAsia"/>
        </w:rPr>
        <w:t>进入“网络配置 &gt; 接口配置”页面，配置ge</w:t>
      </w:r>
      <w:r>
        <w:t>0</w:t>
      </w:r>
      <w:r>
        <w:rPr>
          <w:rFonts w:hint="eastAsia"/>
        </w:rPr>
        <w:t>接口主地址为1</w:t>
      </w:r>
      <w:r>
        <w:t>0</w:t>
      </w:r>
      <w:r>
        <w:rPr>
          <w:rFonts w:hint="eastAsia"/>
        </w:rPr>
        <w:t>.1.1</w:t>
      </w:r>
      <w:r>
        <w:t>4</w:t>
      </w:r>
      <w:r>
        <w:rPr>
          <w:rFonts w:hint="eastAsia"/>
        </w:rPr>
        <w:t>.1/24，然后点击&lt;提交&gt;按钮。</w:t>
      </w:r>
    </w:p>
    <w:p w14:paraId="0EF2AEBC">
      <w:pPr>
        <w:pStyle w:val="188"/>
      </w:pPr>
      <w:r>
        <w:rPr>
          <w:rFonts w:hint="eastAsia"/>
        </w:rPr>
        <w:t>配置接口ge</w:t>
      </w:r>
      <w:r>
        <w:t>0</w:t>
      </w:r>
    </w:p>
    <w:p w14:paraId="0F260930">
      <w:pPr>
        <w:pStyle w:val="175"/>
      </w:pPr>
      <w:r>
        <w:drawing>
          <wp:inline distT="0" distB="0" distL="114300" distR="114300">
            <wp:extent cx="5048250" cy="4090670"/>
            <wp:effectExtent l="0" t="0" r="0" b="5080"/>
            <wp:docPr id="85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图片 17"/>
                    <pic:cNvPicPr>
                      <a:picLocks noChangeAspect="1"/>
                    </pic:cNvPicPr>
                  </pic:nvPicPr>
                  <pic:blipFill>
                    <a:blip r:embed="rId336"/>
                    <a:stretch>
                      <a:fillRect/>
                    </a:stretch>
                  </pic:blipFill>
                  <pic:spPr>
                    <a:xfrm>
                      <a:off x="0" y="0"/>
                      <a:ext cx="5053000" cy="4094645"/>
                    </a:xfrm>
                    <a:prstGeom prst="rect">
                      <a:avLst/>
                    </a:prstGeom>
                    <a:noFill/>
                    <a:ln>
                      <a:noFill/>
                    </a:ln>
                  </pic:spPr>
                </pic:pic>
              </a:graphicData>
            </a:graphic>
          </wp:inline>
        </w:drawing>
      </w:r>
    </w:p>
    <w:p w14:paraId="413B3454"/>
    <w:p w14:paraId="175355B5">
      <w:pPr>
        <w:pStyle w:val="202"/>
        <w:rPr>
          <w:lang w:eastAsia="zh-CN"/>
        </w:rPr>
      </w:pPr>
      <w:r>
        <w:rPr>
          <w:rFonts w:hint="eastAsia"/>
          <w:lang w:eastAsia="zh-CN"/>
        </w:rPr>
        <w:t>在R2开启BGP协议开关</w:t>
      </w:r>
    </w:p>
    <w:p w14:paraId="730BB666">
      <w:r>
        <w:rPr>
          <w:rFonts w:hint="eastAsia"/>
        </w:rPr>
        <w:t>通过菜单“网络配置 &gt; BGP信息”，进入BGP的显示界面，勾选</w:t>
      </w:r>
      <w:r>
        <w:t>&lt;</w:t>
      </w:r>
      <w:r>
        <w:rPr>
          <w:rFonts w:hint="eastAsia"/>
        </w:rPr>
        <w:t>启用</w:t>
      </w:r>
      <w:r>
        <w:t>&gt;</w:t>
      </w:r>
      <w:r>
        <w:rPr>
          <w:rFonts w:hint="eastAsia"/>
        </w:rPr>
        <w:t>按钮。</w:t>
      </w:r>
    </w:p>
    <w:p w14:paraId="2361695B">
      <w:pPr>
        <w:pStyle w:val="202"/>
      </w:pPr>
      <w:r>
        <w:rPr>
          <w:rFonts w:hint="eastAsia"/>
        </w:rPr>
        <w:t>在R2创建BGP实例</w:t>
      </w:r>
    </w:p>
    <w:p w14:paraId="6B139D1A">
      <w:r>
        <w:rPr>
          <w:rFonts w:hint="eastAsia"/>
        </w:rPr>
        <w:t>通过菜单“网络配置 &gt; BGP信息”，进入BGP的显示界面，点击</w:t>
      </w:r>
      <w:r>
        <w:t>&lt;</w:t>
      </w:r>
      <w:r>
        <w:rPr>
          <w:rFonts w:hint="eastAsia"/>
        </w:rPr>
        <w:t>新建</w:t>
      </w:r>
      <w:r>
        <w:t>&gt;</w:t>
      </w:r>
      <w:r>
        <w:rPr>
          <w:rFonts w:hint="eastAsia"/>
        </w:rPr>
        <w:t>按钮。在弹出的界面中进行配置。</w:t>
      </w:r>
    </w:p>
    <w:p w14:paraId="6A7ECE80">
      <w:pPr>
        <w:pStyle w:val="188"/>
      </w:pPr>
      <w:r>
        <w:rPr>
          <w:rFonts w:hint="eastAsia"/>
        </w:rPr>
        <w:t>新建BGP实例界面</w:t>
      </w:r>
    </w:p>
    <w:p w14:paraId="1DC4FF9C">
      <w:pPr>
        <w:pStyle w:val="175"/>
      </w:pPr>
      <w:r>
        <w:drawing>
          <wp:inline distT="0" distB="0" distL="114300" distR="114300">
            <wp:extent cx="5372100" cy="2560320"/>
            <wp:effectExtent l="0" t="0" r="7620" b="0"/>
            <wp:docPr id="85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图片 23"/>
                    <pic:cNvPicPr>
                      <a:picLocks noChangeAspect="1"/>
                    </pic:cNvPicPr>
                  </pic:nvPicPr>
                  <pic:blipFill>
                    <a:blip r:embed="rId368"/>
                    <a:stretch>
                      <a:fillRect/>
                    </a:stretch>
                  </pic:blipFill>
                  <pic:spPr>
                    <a:xfrm>
                      <a:off x="0" y="0"/>
                      <a:ext cx="5372100" cy="2560320"/>
                    </a:xfrm>
                    <a:prstGeom prst="rect">
                      <a:avLst/>
                    </a:prstGeom>
                    <a:noFill/>
                    <a:ln>
                      <a:noFill/>
                    </a:ln>
                  </pic:spPr>
                </pic:pic>
              </a:graphicData>
            </a:graphic>
          </wp:inline>
        </w:drawing>
      </w:r>
    </w:p>
    <w:p w14:paraId="298EC7DC">
      <w:pPr>
        <w:pStyle w:val="202"/>
      </w:pPr>
      <w:r>
        <w:t xml:space="preserve"> </w:t>
      </w:r>
      <w:r>
        <w:rPr>
          <w:rFonts w:hint="eastAsia"/>
        </w:rPr>
        <w:t>在R2配置BGP邻居</w:t>
      </w:r>
    </w:p>
    <w:p w14:paraId="659601A3">
      <w:r>
        <w:rPr>
          <w:rFonts w:hint="eastAsia"/>
        </w:rPr>
        <w:t>点击BGP显示界面中BGP实例的</w:t>
      </w:r>
      <w:r>
        <w:t>&lt;</w:t>
      </w:r>
      <w:r>
        <w:rPr>
          <w:rFonts w:hint="eastAsia"/>
        </w:rPr>
        <w:t>邻居配置列表</w:t>
      </w:r>
      <w:r>
        <w:t>&gt;</w:t>
      </w:r>
      <w:r>
        <w:rPr>
          <w:rFonts w:hint="eastAsia"/>
        </w:rPr>
        <w:t>，显示BGP高级配置界面。</w:t>
      </w:r>
    </w:p>
    <w:p w14:paraId="46C9A554">
      <w:r>
        <w:rPr>
          <w:rFonts w:hint="eastAsia"/>
        </w:rPr>
        <w:t>在高级配置页面中点击&lt;新建&gt;按钮，在弹出的界面中配置邻居IP为10.1.14.1，AS号为1。</w:t>
      </w:r>
    </w:p>
    <w:p w14:paraId="40D85C8F">
      <w:pPr>
        <w:pStyle w:val="188"/>
      </w:pPr>
      <w:r>
        <w:rPr>
          <w:rFonts w:hint="eastAsia"/>
        </w:rPr>
        <w:t>BGP邻居配置</w:t>
      </w:r>
    </w:p>
    <w:p w14:paraId="4763BA02">
      <w:pPr>
        <w:pStyle w:val="175"/>
      </w:pPr>
      <w:r>
        <w:drawing>
          <wp:inline distT="0" distB="0" distL="114300" distR="114300">
            <wp:extent cx="5210175" cy="2932430"/>
            <wp:effectExtent l="0" t="0" r="0" b="1270"/>
            <wp:docPr id="86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图片 27"/>
                    <pic:cNvPicPr>
                      <a:picLocks noChangeAspect="1"/>
                    </pic:cNvPicPr>
                  </pic:nvPicPr>
                  <pic:blipFill>
                    <a:blip r:embed="rId369"/>
                    <a:stretch>
                      <a:fillRect/>
                    </a:stretch>
                  </pic:blipFill>
                  <pic:spPr>
                    <a:xfrm>
                      <a:off x="0" y="0"/>
                      <a:ext cx="5219956" cy="2938088"/>
                    </a:xfrm>
                    <a:prstGeom prst="rect">
                      <a:avLst/>
                    </a:prstGeom>
                    <a:noFill/>
                    <a:ln>
                      <a:noFill/>
                    </a:ln>
                  </pic:spPr>
                </pic:pic>
              </a:graphicData>
            </a:graphic>
          </wp:inline>
        </w:drawing>
      </w:r>
    </w:p>
    <w:p w14:paraId="57E3B352"/>
    <w:p w14:paraId="55632D66">
      <w:pPr>
        <w:pStyle w:val="202"/>
      </w:pPr>
      <w:r>
        <w:rPr>
          <w:rFonts w:hint="eastAsia"/>
        </w:rPr>
        <w:t>在R2配置接口地址</w:t>
      </w:r>
    </w:p>
    <w:p w14:paraId="58D18F60">
      <w:r>
        <w:rPr>
          <w:rFonts w:hint="eastAsia"/>
        </w:rPr>
        <w:t>进入“网络配置 &gt; 接口配置”页面，配置ge</w:t>
      </w:r>
      <w:r>
        <w:t>0</w:t>
      </w:r>
      <w:r>
        <w:rPr>
          <w:rFonts w:hint="eastAsia"/>
        </w:rPr>
        <w:t>接口主地址为1</w:t>
      </w:r>
      <w:r>
        <w:t>0</w:t>
      </w:r>
      <w:r>
        <w:rPr>
          <w:rFonts w:hint="eastAsia"/>
        </w:rPr>
        <w:t>.1.1</w:t>
      </w:r>
      <w:r>
        <w:t>4</w:t>
      </w:r>
      <w:r>
        <w:rPr>
          <w:rFonts w:hint="eastAsia"/>
        </w:rPr>
        <w:t>.2/24，然后点击&lt;提交&gt;按钮。</w:t>
      </w:r>
    </w:p>
    <w:p w14:paraId="7A76303C">
      <w:pPr>
        <w:pStyle w:val="188"/>
      </w:pPr>
      <w:r>
        <w:rPr>
          <w:rFonts w:hint="eastAsia"/>
        </w:rPr>
        <w:t>物理接口编辑界面</w:t>
      </w:r>
    </w:p>
    <w:p w14:paraId="23257040">
      <w:pPr>
        <w:pStyle w:val="175"/>
      </w:pPr>
      <w:r>
        <w:drawing>
          <wp:inline distT="0" distB="0" distL="114300" distR="114300">
            <wp:extent cx="5676900" cy="4173855"/>
            <wp:effectExtent l="0" t="0" r="0" b="0"/>
            <wp:docPr id="86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 name="图片 25"/>
                    <pic:cNvPicPr>
                      <a:picLocks noChangeAspect="1"/>
                    </pic:cNvPicPr>
                  </pic:nvPicPr>
                  <pic:blipFill>
                    <a:blip r:embed="rId370"/>
                    <a:stretch>
                      <a:fillRect/>
                    </a:stretch>
                  </pic:blipFill>
                  <pic:spPr>
                    <a:xfrm>
                      <a:off x="0" y="0"/>
                      <a:ext cx="5685493" cy="4180736"/>
                    </a:xfrm>
                    <a:prstGeom prst="rect">
                      <a:avLst/>
                    </a:prstGeom>
                    <a:noFill/>
                    <a:ln>
                      <a:noFill/>
                    </a:ln>
                  </pic:spPr>
                </pic:pic>
              </a:graphicData>
            </a:graphic>
          </wp:inline>
        </w:drawing>
      </w:r>
    </w:p>
    <w:p w14:paraId="6E5003DD"/>
    <w:p w14:paraId="0EB13378">
      <w:pPr>
        <w:pStyle w:val="6"/>
      </w:pPr>
      <w:r>
        <w:rPr>
          <w:rFonts w:hint="eastAsia"/>
        </w:rPr>
        <w:t>验证配置</w:t>
      </w:r>
    </w:p>
    <w:p w14:paraId="3F103193">
      <w:r>
        <w:rPr>
          <w:rFonts w:hint="eastAsia"/>
        </w:rPr>
        <w:t>查看邻居建立成功。</w:t>
      </w:r>
    </w:p>
    <w:p w14:paraId="6B4AA9F8">
      <w:pPr>
        <w:pStyle w:val="202"/>
      </w:pPr>
      <w:r>
        <w:rPr>
          <w:rFonts w:hint="eastAsia"/>
        </w:rPr>
        <w:t>登录设备Device</w:t>
      </w:r>
      <w:r>
        <w:t>1</w:t>
      </w:r>
      <w:r>
        <w:rPr>
          <w:rFonts w:hint="eastAsia"/>
        </w:rPr>
        <w:t xml:space="preserve">的命令行界面，在enable视图下，使用 </w:t>
      </w:r>
      <w:r>
        <w:rPr>
          <w:rFonts w:hint="eastAsia"/>
          <w:lang w:eastAsia="zh-CN"/>
        </w:rPr>
        <w:t xml:space="preserve">show </w:t>
      </w:r>
      <w:r>
        <w:rPr>
          <w:rFonts w:hint="eastAsia"/>
        </w:rPr>
        <w:t>ip bgp neighbors命令查看邻居状态为“Established”，邻居建立成功。</w:t>
      </w:r>
    </w:p>
    <w:p w14:paraId="2A677992">
      <w:pPr>
        <w:pStyle w:val="188"/>
      </w:pPr>
      <w:r>
        <w:rPr>
          <w:rFonts w:hint="eastAsia"/>
        </w:rPr>
        <w:t>Device</w:t>
      </w:r>
      <w:r>
        <w:t>1</w:t>
      </w:r>
      <w:r>
        <w:rPr>
          <w:rFonts w:hint="eastAsia"/>
        </w:rPr>
        <w:t>邻居状态显示</w:t>
      </w:r>
    </w:p>
    <w:p w14:paraId="5EAF8DDC">
      <w:pPr>
        <w:pStyle w:val="175"/>
      </w:pPr>
      <w:r>
        <w:drawing>
          <wp:inline distT="0" distB="0" distL="114300" distR="114300">
            <wp:extent cx="5762625" cy="1515110"/>
            <wp:effectExtent l="0" t="0" r="0" b="8890"/>
            <wp:docPr id="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
                    <pic:cNvPicPr>
                      <a:picLocks noChangeAspect="1"/>
                    </pic:cNvPicPr>
                  </pic:nvPicPr>
                  <pic:blipFill>
                    <a:blip r:embed="rId371"/>
                    <a:stretch>
                      <a:fillRect/>
                    </a:stretch>
                  </pic:blipFill>
                  <pic:spPr>
                    <a:xfrm>
                      <a:off x="0" y="0"/>
                      <a:ext cx="5764622" cy="1515778"/>
                    </a:xfrm>
                    <a:prstGeom prst="rect">
                      <a:avLst/>
                    </a:prstGeom>
                    <a:noFill/>
                    <a:ln>
                      <a:noFill/>
                    </a:ln>
                  </pic:spPr>
                </pic:pic>
              </a:graphicData>
            </a:graphic>
          </wp:inline>
        </w:drawing>
      </w:r>
    </w:p>
    <w:p w14:paraId="0FE21721"/>
    <w:p w14:paraId="6F9DF72C">
      <w:pPr>
        <w:pStyle w:val="202"/>
      </w:pPr>
      <w:r>
        <w:rPr>
          <w:rFonts w:hint="eastAsia"/>
        </w:rPr>
        <w:t>登录设备Device</w:t>
      </w:r>
      <w:r>
        <w:t>2</w:t>
      </w:r>
      <w:r>
        <w:rPr>
          <w:rFonts w:hint="eastAsia"/>
        </w:rPr>
        <w:t xml:space="preserve">的命令行界面，在enable视图下，使用 </w:t>
      </w:r>
      <w:r>
        <w:rPr>
          <w:rFonts w:hint="eastAsia"/>
          <w:lang w:eastAsia="zh-CN"/>
        </w:rPr>
        <w:t xml:space="preserve">show </w:t>
      </w:r>
      <w:r>
        <w:rPr>
          <w:rFonts w:hint="eastAsia"/>
        </w:rPr>
        <w:t>ip bgp neighbors命令查看邻居状态为“Established”，邻居建立成功。</w:t>
      </w:r>
    </w:p>
    <w:p w14:paraId="1A2036F1">
      <w:pPr>
        <w:pStyle w:val="188"/>
      </w:pPr>
      <w:r>
        <w:rPr>
          <w:rFonts w:hint="eastAsia"/>
        </w:rPr>
        <w:t>Device</w:t>
      </w:r>
      <w:r>
        <w:t>2</w:t>
      </w:r>
      <w:r>
        <w:rPr>
          <w:rFonts w:hint="eastAsia"/>
        </w:rPr>
        <w:t>邻居状态显示</w:t>
      </w:r>
    </w:p>
    <w:p w14:paraId="60E87B03">
      <w:pPr>
        <w:pStyle w:val="175"/>
      </w:pPr>
      <w:r>
        <w:drawing>
          <wp:inline distT="0" distB="0" distL="114300" distR="114300">
            <wp:extent cx="5524500" cy="1438275"/>
            <wp:effectExtent l="0" t="0" r="0" b="9525"/>
            <wp:docPr id="13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38"/>
                    <pic:cNvPicPr>
                      <a:picLocks noChangeAspect="1"/>
                    </pic:cNvPicPr>
                  </pic:nvPicPr>
                  <pic:blipFill>
                    <a:blip r:embed="rId372"/>
                    <a:stretch>
                      <a:fillRect/>
                    </a:stretch>
                  </pic:blipFill>
                  <pic:spPr>
                    <a:xfrm>
                      <a:off x="0" y="0"/>
                      <a:ext cx="5527815" cy="1439171"/>
                    </a:xfrm>
                    <a:prstGeom prst="rect">
                      <a:avLst/>
                    </a:prstGeom>
                    <a:noFill/>
                    <a:ln>
                      <a:noFill/>
                    </a:ln>
                  </pic:spPr>
                </pic:pic>
              </a:graphicData>
            </a:graphic>
          </wp:inline>
        </w:drawing>
      </w:r>
    </w:p>
    <w:p w14:paraId="51C41C86"/>
    <w:p w14:paraId="6B8712E0">
      <w:pPr>
        <w:pStyle w:val="5"/>
      </w:pPr>
      <w:bookmarkStart w:id="2570" w:name="_Toc172218161"/>
      <w:bookmarkStart w:id="2571" w:name="_Toc194080788"/>
      <w:bookmarkStart w:id="2572" w:name="_Toc196728120"/>
      <w:r>
        <w:rPr>
          <w:rFonts w:hint="eastAsia"/>
          <w:szCs w:val="24"/>
        </w:rPr>
        <w:t>e</w:t>
      </w:r>
      <w:r>
        <w:rPr>
          <w:rFonts w:hint="eastAsia"/>
        </w:rPr>
        <w:t>BGP配置举例</w:t>
      </w:r>
      <w:bookmarkEnd w:id="2570"/>
      <w:bookmarkEnd w:id="2571"/>
      <w:bookmarkEnd w:id="2572"/>
    </w:p>
    <w:p w14:paraId="37EBFF2E">
      <w:pPr>
        <w:pStyle w:val="6"/>
      </w:pPr>
      <w:r>
        <w:rPr>
          <w:rFonts w:hint="eastAsia"/>
        </w:rPr>
        <w:t>组网需求</w:t>
      </w:r>
    </w:p>
    <w:p w14:paraId="73A95F73">
      <w:r>
        <w:rPr>
          <w:rFonts w:hint="eastAsia"/>
        </w:rPr>
        <w:t>用于在不同的自治系统之间交换路由信息。如下图所示，在设备R1和设备R2上开启BGP进程，创建BGP实例并配置不同的AS号，在实例内配置对端接口地址为邻居，在R</w:t>
      </w:r>
      <w:r>
        <w:t>1</w:t>
      </w:r>
      <w:r>
        <w:rPr>
          <w:rFonts w:hint="eastAsia"/>
        </w:rPr>
        <w:t>与R</w:t>
      </w:r>
      <w:r>
        <w:t>2</w:t>
      </w:r>
      <w:r>
        <w:rPr>
          <w:rFonts w:hint="eastAsia"/>
        </w:rPr>
        <w:t>之间建立eBGP邻居关系。</w:t>
      </w:r>
      <w:r>
        <w:t xml:space="preserve"> </w:t>
      </w:r>
    </w:p>
    <w:p w14:paraId="43BFB384">
      <w:pPr>
        <w:pStyle w:val="6"/>
      </w:pPr>
      <w:r>
        <w:rPr>
          <w:rFonts w:hint="eastAsia"/>
        </w:rPr>
        <w:t>组网图</w:t>
      </w:r>
    </w:p>
    <w:p w14:paraId="2C56A8CB">
      <w:pPr>
        <w:pStyle w:val="188"/>
      </w:pPr>
      <w:r>
        <w:rPr>
          <w:rFonts w:hint="eastAsia"/>
        </w:rPr>
        <w:t>eBGP配置案例组网图</w:t>
      </w:r>
    </w:p>
    <w:p w14:paraId="1396456C">
      <w:pPr>
        <w:pStyle w:val="175"/>
      </w:pPr>
      <w:r>
        <w:drawing>
          <wp:inline distT="0" distB="0" distL="0" distR="0">
            <wp:extent cx="3390900" cy="1456690"/>
            <wp:effectExtent l="0" t="0" r="0" b="0"/>
            <wp:docPr id="542"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542"/>
                    <pic:cNvPicPr>
                      <a:picLocks noChangeAspect="1"/>
                    </pic:cNvPicPr>
                  </pic:nvPicPr>
                  <pic:blipFill>
                    <a:blip r:embed="rId373"/>
                    <a:stretch>
                      <a:fillRect/>
                    </a:stretch>
                  </pic:blipFill>
                  <pic:spPr>
                    <a:xfrm>
                      <a:off x="0" y="0"/>
                      <a:ext cx="3401827" cy="1461655"/>
                    </a:xfrm>
                    <a:prstGeom prst="rect">
                      <a:avLst/>
                    </a:prstGeom>
                  </pic:spPr>
                </pic:pic>
              </a:graphicData>
            </a:graphic>
          </wp:inline>
        </w:drawing>
      </w:r>
    </w:p>
    <w:p w14:paraId="06F1F344">
      <w:pPr>
        <w:pStyle w:val="6"/>
      </w:pPr>
      <w:r>
        <w:rPr>
          <w:rFonts w:hint="eastAsia"/>
        </w:rPr>
        <w:t>配置步骤</w:t>
      </w:r>
    </w:p>
    <w:p w14:paraId="0B0E1F92">
      <w:pPr>
        <w:pStyle w:val="202"/>
        <w:rPr>
          <w:lang w:eastAsia="zh-CN"/>
        </w:rPr>
      </w:pPr>
      <w:r>
        <w:rPr>
          <w:rFonts w:hint="eastAsia"/>
          <w:lang w:eastAsia="zh-CN"/>
        </w:rPr>
        <w:t>在R1开启BGP协议开关</w:t>
      </w:r>
    </w:p>
    <w:p w14:paraId="37DDC96E">
      <w:r>
        <w:rPr>
          <w:rFonts w:hint="eastAsia"/>
        </w:rPr>
        <w:t>通过菜单“网络配置 &gt; BGP信息”，进入BGP的显示界面，勾选</w:t>
      </w:r>
      <w:r>
        <w:t>&lt;</w:t>
      </w:r>
      <w:r>
        <w:rPr>
          <w:rFonts w:hint="eastAsia"/>
        </w:rPr>
        <w:t>启用</w:t>
      </w:r>
      <w:r>
        <w:t>&gt;</w:t>
      </w:r>
      <w:r>
        <w:rPr>
          <w:rFonts w:hint="eastAsia"/>
        </w:rPr>
        <w:t>按钮。</w:t>
      </w:r>
    </w:p>
    <w:p w14:paraId="52854CF0">
      <w:pPr>
        <w:pStyle w:val="202"/>
      </w:pPr>
      <w:r>
        <w:rPr>
          <w:rFonts w:hint="eastAsia"/>
        </w:rPr>
        <w:t>在R1创建BGP实例</w:t>
      </w:r>
    </w:p>
    <w:p w14:paraId="5EE57411">
      <w:r>
        <w:rPr>
          <w:rFonts w:hint="eastAsia"/>
        </w:rPr>
        <w:t>通过菜单“网络配置 &gt; BGP信息”，进入BGP的显示界面，点击</w:t>
      </w:r>
      <w:r>
        <w:t>&lt;</w:t>
      </w:r>
      <w:r>
        <w:rPr>
          <w:rFonts w:hint="eastAsia"/>
        </w:rPr>
        <w:t>新建</w:t>
      </w:r>
      <w:r>
        <w:t>&gt;</w:t>
      </w:r>
      <w:r>
        <w:rPr>
          <w:rFonts w:hint="eastAsia"/>
        </w:rPr>
        <w:t>按钮。在弹出的界面中进行配置。</w:t>
      </w:r>
    </w:p>
    <w:p w14:paraId="23A2AB0F">
      <w:pPr>
        <w:pStyle w:val="188"/>
      </w:pPr>
      <w:r>
        <w:rPr>
          <w:rFonts w:hint="eastAsia"/>
        </w:rPr>
        <w:t>新建BGP实例界面</w:t>
      </w:r>
    </w:p>
    <w:p w14:paraId="32893418">
      <w:pPr>
        <w:pStyle w:val="175"/>
      </w:pPr>
      <w:r>
        <w:drawing>
          <wp:inline distT="0" distB="0" distL="114300" distR="114300">
            <wp:extent cx="4829175" cy="2359660"/>
            <wp:effectExtent l="0" t="0" r="0" b="2540"/>
            <wp:docPr id="88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图片 25"/>
                    <pic:cNvPicPr>
                      <a:picLocks noChangeAspect="1"/>
                    </pic:cNvPicPr>
                  </pic:nvPicPr>
                  <pic:blipFill>
                    <a:blip r:embed="rId366"/>
                    <a:stretch>
                      <a:fillRect/>
                    </a:stretch>
                  </pic:blipFill>
                  <pic:spPr>
                    <a:xfrm>
                      <a:off x="0" y="0"/>
                      <a:ext cx="4832460" cy="2361626"/>
                    </a:xfrm>
                    <a:prstGeom prst="rect">
                      <a:avLst/>
                    </a:prstGeom>
                    <a:noFill/>
                    <a:ln>
                      <a:noFill/>
                    </a:ln>
                  </pic:spPr>
                </pic:pic>
              </a:graphicData>
            </a:graphic>
          </wp:inline>
        </w:drawing>
      </w:r>
    </w:p>
    <w:p w14:paraId="54A047CC"/>
    <w:p w14:paraId="23EF371A">
      <w:pPr>
        <w:pStyle w:val="202"/>
      </w:pPr>
      <w:r>
        <w:rPr>
          <w:rFonts w:hint="eastAsia"/>
        </w:rPr>
        <w:t>在R1配置BGP邻居</w:t>
      </w:r>
    </w:p>
    <w:p w14:paraId="2B2199B1">
      <w:r>
        <w:rPr>
          <w:rFonts w:hint="eastAsia"/>
        </w:rPr>
        <w:t>点击BGP显示界面中BGP实例的</w:t>
      </w:r>
      <w:r>
        <w:t>&lt;</w:t>
      </w:r>
      <w:r>
        <w:rPr>
          <w:rFonts w:hint="eastAsia"/>
        </w:rPr>
        <w:t>邻居配置列表</w:t>
      </w:r>
      <w:r>
        <w:t>&gt;</w:t>
      </w:r>
      <w:r>
        <w:rPr>
          <w:rFonts w:hint="eastAsia"/>
        </w:rPr>
        <w:t>，显示BGP高级配置界面。</w:t>
      </w:r>
    </w:p>
    <w:p w14:paraId="4311EC73">
      <w:r>
        <w:rPr>
          <w:rFonts w:hint="eastAsia"/>
        </w:rPr>
        <w:t>在高级配置页面中点击&lt;新建&gt;按钮，在弹出的界面中配置邻居IP为10.1.14.2，AS号为2。</w:t>
      </w:r>
    </w:p>
    <w:p w14:paraId="21A8C6C1">
      <w:pPr>
        <w:pStyle w:val="188"/>
      </w:pPr>
      <w:r>
        <w:rPr>
          <w:rFonts w:hint="eastAsia"/>
        </w:rPr>
        <w:t>BGP邻居配置</w:t>
      </w:r>
    </w:p>
    <w:p w14:paraId="62DD9ED2">
      <w:pPr>
        <w:pStyle w:val="175"/>
      </w:pPr>
      <w:r>
        <w:drawing>
          <wp:inline distT="0" distB="0" distL="114300" distR="114300">
            <wp:extent cx="5124450" cy="2874010"/>
            <wp:effectExtent l="0" t="0" r="0" b="2540"/>
            <wp:docPr id="88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图片 34"/>
                    <pic:cNvPicPr>
                      <a:picLocks noChangeAspect="1"/>
                    </pic:cNvPicPr>
                  </pic:nvPicPr>
                  <pic:blipFill>
                    <a:blip r:embed="rId374"/>
                    <a:stretch>
                      <a:fillRect/>
                    </a:stretch>
                  </pic:blipFill>
                  <pic:spPr>
                    <a:xfrm>
                      <a:off x="0" y="0"/>
                      <a:ext cx="5127363" cy="2875923"/>
                    </a:xfrm>
                    <a:prstGeom prst="rect">
                      <a:avLst/>
                    </a:prstGeom>
                    <a:noFill/>
                    <a:ln>
                      <a:noFill/>
                    </a:ln>
                  </pic:spPr>
                </pic:pic>
              </a:graphicData>
            </a:graphic>
          </wp:inline>
        </w:drawing>
      </w:r>
    </w:p>
    <w:p w14:paraId="6B22CDC8"/>
    <w:p w14:paraId="313D5649">
      <w:pPr>
        <w:pStyle w:val="202"/>
      </w:pPr>
      <w:r>
        <w:rPr>
          <w:rFonts w:hint="eastAsia"/>
        </w:rPr>
        <w:t>在R1配置接口地址</w:t>
      </w:r>
    </w:p>
    <w:p w14:paraId="19240643">
      <w:r>
        <w:rPr>
          <w:rFonts w:hint="eastAsia"/>
        </w:rPr>
        <w:t>进入“网络配置 &gt; 接口配置”页面，配置ge</w:t>
      </w:r>
      <w:r>
        <w:t>0</w:t>
      </w:r>
      <w:r>
        <w:rPr>
          <w:rFonts w:hint="eastAsia"/>
        </w:rPr>
        <w:t>接口主地址为1</w:t>
      </w:r>
      <w:r>
        <w:t>0</w:t>
      </w:r>
      <w:r>
        <w:rPr>
          <w:rFonts w:hint="eastAsia"/>
        </w:rPr>
        <w:t>.1.1</w:t>
      </w:r>
      <w:r>
        <w:t>4</w:t>
      </w:r>
      <w:r>
        <w:rPr>
          <w:rFonts w:hint="eastAsia"/>
        </w:rPr>
        <w:t>.1/24，然后点击&lt;提交&gt;按钮。</w:t>
      </w:r>
    </w:p>
    <w:p w14:paraId="161106B8">
      <w:pPr>
        <w:pStyle w:val="202"/>
        <w:rPr>
          <w:lang w:eastAsia="zh-CN"/>
        </w:rPr>
      </w:pPr>
      <w:r>
        <w:rPr>
          <w:rFonts w:hint="eastAsia"/>
          <w:lang w:eastAsia="zh-CN"/>
        </w:rPr>
        <w:t>在R2开启BGP协议开关</w:t>
      </w:r>
    </w:p>
    <w:p w14:paraId="263B742C">
      <w:r>
        <w:rPr>
          <w:rFonts w:hint="eastAsia"/>
        </w:rPr>
        <w:t>通过菜单“网络配置 &gt; BGP信息”，进入BGP的显示界面，勾选</w:t>
      </w:r>
      <w:r>
        <w:t>&lt;</w:t>
      </w:r>
      <w:r>
        <w:rPr>
          <w:rFonts w:hint="eastAsia"/>
        </w:rPr>
        <w:t>启用</w:t>
      </w:r>
      <w:r>
        <w:t>&gt;</w:t>
      </w:r>
      <w:r>
        <w:rPr>
          <w:rFonts w:hint="eastAsia"/>
        </w:rPr>
        <w:t>按钮。</w:t>
      </w:r>
    </w:p>
    <w:p w14:paraId="51E47FB8">
      <w:pPr>
        <w:numPr>
          <w:ilvl w:val="4"/>
          <w:numId w:val="0"/>
        </w:numPr>
        <w:ind w:left="1134" w:hanging="510"/>
      </w:pPr>
      <w:r>
        <w:t>(6)</w:t>
      </w:r>
      <w:r>
        <w:rPr>
          <w:rFonts w:hint="eastAsia"/>
        </w:rPr>
        <w:t>在R2创建BGP实例</w:t>
      </w:r>
    </w:p>
    <w:p w14:paraId="4604977A">
      <w:r>
        <w:rPr>
          <w:rFonts w:hint="eastAsia"/>
        </w:rPr>
        <w:t>通过菜单“网络配置 &gt; BGP信息”，进入BGP的显示界面，点击</w:t>
      </w:r>
      <w:r>
        <w:t>&lt;</w:t>
      </w:r>
      <w:r>
        <w:rPr>
          <w:rFonts w:hint="eastAsia"/>
        </w:rPr>
        <w:t>新建</w:t>
      </w:r>
      <w:r>
        <w:t>&gt;</w:t>
      </w:r>
      <w:r>
        <w:rPr>
          <w:rFonts w:hint="eastAsia"/>
        </w:rPr>
        <w:t>按钮。在弹出的界面中进行配置。</w:t>
      </w:r>
    </w:p>
    <w:p w14:paraId="3933F0CC">
      <w:pPr>
        <w:pStyle w:val="188"/>
      </w:pPr>
      <w:r>
        <w:rPr>
          <w:rFonts w:hint="eastAsia"/>
        </w:rPr>
        <w:t>新建BGP实例界面</w:t>
      </w:r>
    </w:p>
    <w:p w14:paraId="18A994E8">
      <w:pPr>
        <w:pStyle w:val="175"/>
      </w:pPr>
      <w:r>
        <w:drawing>
          <wp:inline distT="0" distB="0" distL="114300" distR="114300">
            <wp:extent cx="5280660" cy="2552700"/>
            <wp:effectExtent l="0" t="0" r="7620" b="7620"/>
            <wp:docPr id="90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图片 31"/>
                    <pic:cNvPicPr>
                      <a:picLocks noChangeAspect="1"/>
                    </pic:cNvPicPr>
                  </pic:nvPicPr>
                  <pic:blipFill>
                    <a:blip r:embed="rId375"/>
                    <a:stretch>
                      <a:fillRect/>
                    </a:stretch>
                  </pic:blipFill>
                  <pic:spPr>
                    <a:xfrm>
                      <a:off x="0" y="0"/>
                      <a:ext cx="5280660" cy="2552700"/>
                    </a:xfrm>
                    <a:prstGeom prst="rect">
                      <a:avLst/>
                    </a:prstGeom>
                    <a:noFill/>
                    <a:ln>
                      <a:noFill/>
                    </a:ln>
                  </pic:spPr>
                </pic:pic>
              </a:graphicData>
            </a:graphic>
          </wp:inline>
        </w:drawing>
      </w:r>
    </w:p>
    <w:p w14:paraId="3CC2571B"/>
    <w:p w14:paraId="069483F3">
      <w:pPr>
        <w:pStyle w:val="202"/>
      </w:pPr>
      <w:r>
        <w:rPr>
          <w:rFonts w:hint="eastAsia"/>
        </w:rPr>
        <w:t>在R2配置BGP邻居</w:t>
      </w:r>
    </w:p>
    <w:p w14:paraId="0A96AC4A">
      <w:r>
        <w:rPr>
          <w:rFonts w:hint="eastAsia"/>
        </w:rPr>
        <w:t>点击BGP显示界面中BGP实例的</w:t>
      </w:r>
      <w:r>
        <w:t>&lt;</w:t>
      </w:r>
      <w:r>
        <w:rPr>
          <w:rFonts w:hint="eastAsia"/>
        </w:rPr>
        <w:t>邻居配置列表</w:t>
      </w:r>
      <w:r>
        <w:t>&gt;</w:t>
      </w:r>
      <w:r>
        <w:rPr>
          <w:rFonts w:hint="eastAsia"/>
        </w:rPr>
        <w:t>，显示BGP高级配置界面。</w:t>
      </w:r>
    </w:p>
    <w:p w14:paraId="515C5066">
      <w:r>
        <w:rPr>
          <w:rFonts w:hint="eastAsia"/>
        </w:rPr>
        <w:t>在高级配置页面中点击&lt;新建&gt;按钮，在弹出的界面中配置邻居IP为10.1.14.1，AS号为1。</w:t>
      </w:r>
    </w:p>
    <w:p w14:paraId="5D8537C3">
      <w:pPr>
        <w:pStyle w:val="188"/>
      </w:pPr>
      <w:r>
        <w:rPr>
          <w:rFonts w:hint="eastAsia"/>
        </w:rPr>
        <w:t>BGP邻居配置</w:t>
      </w:r>
    </w:p>
    <w:p w14:paraId="5AB92475">
      <w:pPr>
        <w:pStyle w:val="175"/>
      </w:pPr>
      <w:r>
        <w:drawing>
          <wp:inline distT="0" distB="0" distL="114300" distR="114300">
            <wp:extent cx="5191125" cy="2921635"/>
            <wp:effectExtent l="0" t="0" r="0" b="0"/>
            <wp:docPr id="90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图片 27"/>
                    <pic:cNvPicPr>
                      <a:picLocks noChangeAspect="1"/>
                    </pic:cNvPicPr>
                  </pic:nvPicPr>
                  <pic:blipFill>
                    <a:blip r:embed="rId369"/>
                    <a:stretch>
                      <a:fillRect/>
                    </a:stretch>
                  </pic:blipFill>
                  <pic:spPr>
                    <a:xfrm>
                      <a:off x="0" y="0"/>
                      <a:ext cx="5194634" cy="2923835"/>
                    </a:xfrm>
                    <a:prstGeom prst="rect">
                      <a:avLst/>
                    </a:prstGeom>
                    <a:noFill/>
                    <a:ln>
                      <a:noFill/>
                    </a:ln>
                  </pic:spPr>
                </pic:pic>
              </a:graphicData>
            </a:graphic>
          </wp:inline>
        </w:drawing>
      </w:r>
    </w:p>
    <w:p w14:paraId="0BB87692"/>
    <w:p w14:paraId="3EA97F41">
      <w:pPr>
        <w:pStyle w:val="202"/>
      </w:pPr>
      <w:r>
        <w:rPr>
          <w:rFonts w:hint="eastAsia"/>
        </w:rPr>
        <w:t>在R2配置接口地址</w:t>
      </w:r>
    </w:p>
    <w:p w14:paraId="0783ADA5">
      <w:r>
        <w:rPr>
          <w:rFonts w:hint="eastAsia"/>
        </w:rPr>
        <w:t>进入“网络配置 &gt; 接口配置”页面，配置ge</w:t>
      </w:r>
      <w:r>
        <w:t>0</w:t>
      </w:r>
      <w:r>
        <w:rPr>
          <w:rFonts w:hint="eastAsia"/>
        </w:rPr>
        <w:t>接口主地址为1</w:t>
      </w:r>
      <w:r>
        <w:t>0</w:t>
      </w:r>
      <w:r>
        <w:rPr>
          <w:rFonts w:hint="eastAsia"/>
        </w:rPr>
        <w:t>.1.1</w:t>
      </w:r>
      <w:r>
        <w:t>4</w:t>
      </w:r>
      <w:r>
        <w:rPr>
          <w:rFonts w:hint="eastAsia"/>
        </w:rPr>
        <w:t>.2/24，然后点击&lt;提交&gt;按钮。</w:t>
      </w:r>
    </w:p>
    <w:p w14:paraId="61A93BED">
      <w:pPr>
        <w:pStyle w:val="6"/>
      </w:pPr>
      <w:r>
        <w:rPr>
          <w:rFonts w:hint="eastAsia"/>
        </w:rPr>
        <w:t>验证配置</w:t>
      </w:r>
    </w:p>
    <w:p w14:paraId="346CDAA6">
      <w:pPr>
        <w:pStyle w:val="202"/>
      </w:pPr>
      <w:r>
        <w:rPr>
          <w:rFonts w:hint="eastAsia"/>
        </w:rPr>
        <w:t>在</w:t>
      </w:r>
      <w:r>
        <w:rPr>
          <w:rFonts w:hint="eastAsia"/>
          <w:lang w:eastAsia="zh-CN"/>
        </w:rPr>
        <w:t>设备</w:t>
      </w:r>
      <w:r>
        <w:rPr>
          <w:rFonts w:hint="eastAsia"/>
        </w:rPr>
        <w:t>R1</w:t>
      </w:r>
      <w:r>
        <w:rPr>
          <w:rFonts w:hint="eastAsia"/>
          <w:lang w:eastAsia="zh-CN"/>
        </w:rPr>
        <w:t>的</w:t>
      </w:r>
      <w:r>
        <w:rPr>
          <w:rFonts w:hint="eastAsia"/>
        </w:rPr>
        <w:t>命令行界面，进入enable视图使用 show ip bgp neighbors命令查看邻居状态为“Established</w:t>
      </w:r>
      <w:r>
        <w:t>”</w:t>
      </w:r>
      <w:r>
        <w:rPr>
          <w:rFonts w:hint="eastAsia"/>
        </w:rPr>
        <w:t>，邻居建立成功。</w:t>
      </w:r>
    </w:p>
    <w:p w14:paraId="4F0CED31">
      <w:pPr>
        <w:pStyle w:val="188"/>
      </w:pPr>
      <w:r>
        <w:rPr>
          <w:rFonts w:hint="eastAsia"/>
        </w:rPr>
        <w:t>R</w:t>
      </w:r>
      <w:r>
        <w:t>1</w:t>
      </w:r>
      <w:r>
        <w:rPr>
          <w:rFonts w:hint="eastAsia"/>
        </w:rPr>
        <w:t>邻居状态显示</w:t>
      </w:r>
    </w:p>
    <w:p w14:paraId="3DF4574E">
      <w:r>
        <w:drawing>
          <wp:inline distT="0" distB="0" distL="114300" distR="114300">
            <wp:extent cx="5410200" cy="1426845"/>
            <wp:effectExtent l="0" t="0" r="0" b="1905"/>
            <wp:docPr id="180202789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94" name="图片 2"/>
                    <pic:cNvPicPr>
                      <a:picLocks noChangeAspect="1"/>
                    </pic:cNvPicPr>
                  </pic:nvPicPr>
                  <pic:blipFill>
                    <a:blip r:embed="rId376"/>
                    <a:stretch>
                      <a:fillRect/>
                    </a:stretch>
                  </pic:blipFill>
                  <pic:spPr>
                    <a:xfrm>
                      <a:off x="0" y="0"/>
                      <a:ext cx="5416290" cy="1428979"/>
                    </a:xfrm>
                    <a:prstGeom prst="rect">
                      <a:avLst/>
                    </a:prstGeom>
                    <a:noFill/>
                    <a:ln>
                      <a:noFill/>
                    </a:ln>
                  </pic:spPr>
                </pic:pic>
              </a:graphicData>
            </a:graphic>
          </wp:inline>
        </w:drawing>
      </w:r>
    </w:p>
    <w:p w14:paraId="61C61164"/>
    <w:p w14:paraId="0696232A">
      <w:pPr>
        <w:pStyle w:val="202"/>
      </w:pPr>
      <w:r>
        <w:rPr>
          <w:rFonts w:hint="eastAsia"/>
        </w:rPr>
        <w:t>在R2查看邻居建立成功</w:t>
      </w:r>
    </w:p>
    <w:p w14:paraId="48CFC312">
      <w:r>
        <w:rPr>
          <w:rFonts w:hint="eastAsia"/>
        </w:rPr>
        <w:t>登录设备R2的命令行界面，进入enable视图使用 show ip bgp neighbors命令查看邻居状态为“Established”，邻居建立成功。</w:t>
      </w:r>
    </w:p>
    <w:p w14:paraId="657B67F2">
      <w:pPr>
        <w:pStyle w:val="188"/>
      </w:pPr>
      <w:r>
        <w:rPr>
          <w:rFonts w:hint="eastAsia"/>
        </w:rPr>
        <w:t>R</w:t>
      </w:r>
      <w:r>
        <w:t>2</w:t>
      </w:r>
      <w:r>
        <w:rPr>
          <w:rFonts w:hint="eastAsia"/>
        </w:rPr>
        <w:t>邻居状态显示</w:t>
      </w:r>
    </w:p>
    <w:p w14:paraId="4A4FAA05">
      <w:pPr>
        <w:pStyle w:val="175"/>
      </w:pPr>
      <w:r>
        <w:drawing>
          <wp:inline distT="0" distB="0" distL="114300" distR="114300">
            <wp:extent cx="5410200" cy="1497330"/>
            <wp:effectExtent l="0" t="0" r="0" b="7620"/>
            <wp:docPr id="180202785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56" name="图片 37"/>
                    <pic:cNvPicPr>
                      <a:picLocks noChangeAspect="1"/>
                    </pic:cNvPicPr>
                  </pic:nvPicPr>
                  <pic:blipFill>
                    <a:blip r:embed="rId377"/>
                    <a:stretch>
                      <a:fillRect/>
                    </a:stretch>
                  </pic:blipFill>
                  <pic:spPr>
                    <a:xfrm>
                      <a:off x="0" y="0"/>
                      <a:ext cx="5419927" cy="1500565"/>
                    </a:xfrm>
                    <a:prstGeom prst="rect">
                      <a:avLst/>
                    </a:prstGeom>
                    <a:noFill/>
                    <a:ln>
                      <a:noFill/>
                    </a:ln>
                  </pic:spPr>
                </pic:pic>
              </a:graphicData>
            </a:graphic>
          </wp:inline>
        </w:drawing>
      </w:r>
    </w:p>
    <w:p w14:paraId="6D3A6C5D"/>
    <w:p w14:paraId="755C10DC">
      <w:pPr>
        <w:pStyle w:val="4"/>
      </w:pPr>
      <w:bookmarkStart w:id="2573" w:name="_Toc196728121"/>
      <w:bookmarkStart w:id="2574" w:name="_Toc194080789"/>
      <w:bookmarkStart w:id="2575" w:name="_Toc172218162"/>
      <w:r>
        <w:rPr>
          <w:rFonts w:hint="eastAsia"/>
        </w:rPr>
        <w:t>BFD</w:t>
      </w:r>
      <w:bookmarkEnd w:id="2573"/>
      <w:bookmarkEnd w:id="2574"/>
      <w:bookmarkEnd w:id="2575"/>
    </w:p>
    <w:p w14:paraId="67FFC979">
      <w:r>
        <w:rPr>
          <w:rFonts w:hint="eastAsia"/>
        </w:rPr>
        <w:t>BFD（Bidirectional Forwarding Detection）为一种网络协议，用于快速检测系统之间的通信故障，并在出现故障时通知上层协议。</w:t>
      </w:r>
    </w:p>
    <w:p w14:paraId="5AE1030B">
      <w:r>
        <w:rPr>
          <w:rFonts w:hint="eastAsia"/>
        </w:rPr>
        <w:t>设备BFD主要功能如下：</w:t>
      </w:r>
    </w:p>
    <w:p w14:paraId="053E9FE8">
      <w:pPr>
        <w:pStyle w:val="162"/>
      </w:pPr>
      <w:r>
        <w:rPr>
          <w:rFonts w:hint="eastAsia"/>
        </w:rPr>
        <w:t>设备支持BFD与OSPF、OSPFv3、BGP、BGP4+及静态路由的联动。</w:t>
      </w:r>
    </w:p>
    <w:p w14:paraId="4E8931C4">
      <w:pPr>
        <w:pStyle w:val="162"/>
      </w:pPr>
      <w:r>
        <w:rPr>
          <w:rFonts w:hint="eastAsia"/>
        </w:rPr>
        <w:t>地址探测支持BFD方式探测网络链路的连通性。</w:t>
      </w:r>
    </w:p>
    <w:p w14:paraId="3FB14651">
      <w:pPr>
        <w:pStyle w:val="5"/>
      </w:pPr>
      <w:bookmarkStart w:id="2576" w:name="_Toc196728122"/>
      <w:bookmarkStart w:id="2577" w:name="_Toc172218163"/>
      <w:bookmarkStart w:id="2578" w:name="_Toc194080790"/>
      <w:r>
        <w:rPr>
          <w:rFonts w:hint="eastAsia"/>
        </w:rPr>
        <w:t>BFD原理描述</w:t>
      </w:r>
      <w:bookmarkEnd w:id="2576"/>
      <w:bookmarkEnd w:id="2577"/>
      <w:bookmarkEnd w:id="2578"/>
    </w:p>
    <w:p w14:paraId="0EE35910">
      <w:pPr>
        <w:pStyle w:val="6"/>
      </w:pPr>
      <w:r>
        <w:rPr>
          <w:rFonts w:hint="eastAsia"/>
        </w:rPr>
        <w:t>会话建立过程</w:t>
      </w:r>
    </w:p>
    <w:p w14:paraId="42DC6F30">
      <w:r>
        <w:rPr>
          <w:rFonts w:hint="eastAsia"/>
        </w:rPr>
        <w:t>BFD使用三路握手的机制来建立会话，会话建立过程如下：</w:t>
      </w:r>
    </w:p>
    <w:p w14:paraId="1DA25D01">
      <w:pPr>
        <w:pStyle w:val="202"/>
        <w:rPr>
          <w:lang w:eastAsia="zh-CN"/>
        </w:rPr>
      </w:pPr>
      <w:r>
        <w:rPr>
          <w:rFonts w:hint="eastAsia"/>
          <w:lang w:eastAsia="zh-CN"/>
        </w:rPr>
        <w:t>上层协议通过自己的Hello机制发现邻居并建立连接；</w:t>
      </w:r>
    </w:p>
    <w:p w14:paraId="78D6BDA9">
      <w:pPr>
        <w:pStyle w:val="202"/>
        <w:rPr>
          <w:lang w:eastAsia="zh-CN"/>
        </w:rPr>
      </w:pPr>
      <w:r>
        <w:rPr>
          <w:rFonts w:hint="eastAsia"/>
          <w:lang w:eastAsia="zh-CN"/>
        </w:rPr>
        <w:t xml:space="preserve">上层协议在建立了新的邻居关系时，将邻居的参数及检测参数（包括目的地址和源地址等）都通告给BFD； </w:t>
      </w:r>
    </w:p>
    <w:p w14:paraId="6136F57A">
      <w:pPr>
        <w:pStyle w:val="202"/>
        <w:rPr>
          <w:lang w:eastAsia="zh-CN"/>
        </w:rPr>
      </w:pPr>
      <w:r>
        <w:rPr>
          <w:rFonts w:hint="eastAsia"/>
          <w:lang w:eastAsia="zh-CN"/>
        </w:rPr>
        <w:t>BFD根据收到的参数进行计算并建立邻居。</w:t>
      </w:r>
    </w:p>
    <w:p w14:paraId="1474378B">
      <w:pPr>
        <w:pStyle w:val="202"/>
        <w:rPr>
          <w:lang w:eastAsia="zh-CN"/>
        </w:rPr>
      </w:pPr>
      <w:r>
        <w:rPr>
          <w:rFonts w:hint="eastAsia"/>
          <w:lang w:eastAsia="zh-CN"/>
        </w:rPr>
        <w:t>会话建立经过3次握手协议，从down状态变成up状态。</w:t>
      </w:r>
    </w:p>
    <w:p w14:paraId="49838A64"/>
    <w:p w14:paraId="5660EF53">
      <w:r>
        <w:rPr>
          <w:rFonts w:hint="eastAsia"/>
        </w:rPr>
        <w:t xml:space="preserve">当网络出现故障时： </w:t>
      </w:r>
    </w:p>
    <w:p w14:paraId="5FCA2A8D">
      <w:pPr>
        <w:pStyle w:val="202"/>
        <w:numPr>
          <w:ilvl w:val="7"/>
          <w:numId w:val="26"/>
        </w:numPr>
        <w:rPr>
          <w:lang w:eastAsia="zh-CN"/>
        </w:rPr>
      </w:pPr>
      <w:r>
        <w:rPr>
          <w:rFonts w:hint="eastAsia"/>
          <w:lang w:eastAsia="zh-CN"/>
        </w:rPr>
        <w:t xml:space="preserve">BFD检测到链路/ 网络故障； </w:t>
      </w:r>
    </w:p>
    <w:p w14:paraId="69CF5689">
      <w:pPr>
        <w:pStyle w:val="202"/>
        <w:rPr>
          <w:lang w:eastAsia="zh-CN"/>
        </w:rPr>
      </w:pPr>
      <w:r>
        <w:rPr>
          <w:rFonts w:hint="eastAsia"/>
          <w:lang w:eastAsia="zh-CN"/>
        </w:rPr>
        <w:t xml:space="preserve">拆除BFD邻居会话； </w:t>
      </w:r>
    </w:p>
    <w:p w14:paraId="5237B483">
      <w:pPr>
        <w:pStyle w:val="202"/>
        <w:rPr>
          <w:lang w:eastAsia="zh-CN"/>
        </w:rPr>
      </w:pPr>
      <w:r>
        <w:rPr>
          <w:rFonts w:hint="eastAsia"/>
          <w:lang w:eastAsia="zh-CN"/>
        </w:rPr>
        <w:t xml:space="preserve">BFD通知本地上层协议进程BFD邻居不可达； </w:t>
      </w:r>
    </w:p>
    <w:p w14:paraId="3E14F143">
      <w:pPr>
        <w:pStyle w:val="202"/>
        <w:rPr>
          <w:lang w:eastAsia="zh-CN"/>
        </w:rPr>
      </w:pPr>
      <w:r>
        <w:rPr>
          <w:rFonts w:hint="eastAsia"/>
          <w:lang w:eastAsia="zh-CN"/>
        </w:rPr>
        <w:t xml:space="preserve">本地上层协议中止上层协议邻居关系； </w:t>
      </w:r>
    </w:p>
    <w:p w14:paraId="447871DA">
      <w:pPr>
        <w:pStyle w:val="202"/>
        <w:rPr>
          <w:lang w:eastAsia="zh-CN"/>
        </w:rPr>
      </w:pPr>
      <w:r>
        <w:rPr>
          <w:rFonts w:hint="eastAsia"/>
          <w:lang w:eastAsia="zh-CN"/>
        </w:rPr>
        <w:t>如果网络中存在备用路径，路由器将选择备用路径。</w:t>
      </w:r>
    </w:p>
    <w:p w14:paraId="3BC01902">
      <w:pPr>
        <w:pStyle w:val="6"/>
      </w:pPr>
      <w:r>
        <w:rPr>
          <w:rFonts w:hint="eastAsia"/>
        </w:rPr>
        <w:t>BFD检测方式</w:t>
      </w:r>
    </w:p>
    <w:p w14:paraId="538C3353">
      <w:r>
        <w:rPr>
          <w:rFonts w:hint="eastAsia"/>
        </w:rPr>
        <w:t>BFD检测支持单跳检测和多跳检测两种方式：</w:t>
      </w:r>
    </w:p>
    <w:p w14:paraId="4499C993">
      <w:pPr>
        <w:pStyle w:val="162"/>
      </w:pPr>
      <w:r>
        <w:rPr>
          <w:rFonts w:hint="eastAsia"/>
        </w:rPr>
        <w:t>单跳检测：</w:t>
      </w:r>
    </w:p>
    <w:p w14:paraId="5AD6DEBF">
      <w:r>
        <w:rPr>
          <w:rFonts w:hint="eastAsia"/>
        </w:rPr>
        <w:t>“跳”指IP网络中的一跳，单跳检测指检测两台直连设备间转发链路的连通性。</w:t>
      </w:r>
    </w:p>
    <w:p w14:paraId="002C3722">
      <w:pPr>
        <w:pStyle w:val="162"/>
      </w:pPr>
      <w:r>
        <w:rPr>
          <w:rFonts w:hint="eastAsia"/>
        </w:rPr>
        <w:t>多跳检测：</w:t>
      </w:r>
    </w:p>
    <w:p w14:paraId="3B4BBC7D">
      <w:r>
        <w:rPr>
          <w:rFonts w:hint="eastAsia"/>
        </w:rPr>
        <w:t>多跳检测指检测两台非直连设备间任意路径的IP连通性，这些路径可能跨越很多跳，也可能在某些部分重叠。多跳检测一般用来检查两台设备间是否存在可达路由。</w:t>
      </w:r>
    </w:p>
    <w:p w14:paraId="638AD689">
      <w:pPr>
        <w:pStyle w:val="6"/>
      </w:pPr>
      <w:r>
        <w:rPr>
          <w:rFonts w:hint="eastAsia"/>
        </w:rPr>
        <w:t>BFD会话的工作方式</w:t>
      </w:r>
    </w:p>
    <w:p w14:paraId="605526CD">
      <w:r>
        <w:rPr>
          <w:rFonts w:hint="eastAsia"/>
        </w:rPr>
        <w:t xml:space="preserve">控制报文方式：链路两端会话通过控制报文交互监测链路状态。 </w:t>
      </w:r>
    </w:p>
    <w:p w14:paraId="3DBE68EE">
      <w:r>
        <w:rPr>
          <w:rFonts w:hint="eastAsia"/>
        </w:rPr>
        <w:t>BFD回声报文（Echo）方式：链路某一端通过发送Echo 报文由另一端转发回来，实现对链路的双向监测。这种模式一般用于只有一端支持BFD功能。</w:t>
      </w:r>
    </w:p>
    <w:p w14:paraId="4CCC3FDD">
      <w:pPr>
        <w:pStyle w:val="6"/>
      </w:pPr>
      <w:r>
        <w:rPr>
          <w:rFonts w:hint="eastAsia"/>
        </w:rPr>
        <w:t>BFD模式</w:t>
      </w:r>
    </w:p>
    <w:p w14:paraId="52BACD1D">
      <w:r>
        <w:rPr>
          <w:rFonts w:hint="eastAsia"/>
        </w:rPr>
        <w:t xml:space="preserve">BFD会话建立前有两种模式：主动模式和被动模式。 </w:t>
      </w:r>
    </w:p>
    <w:p w14:paraId="635BA47B">
      <w:pPr>
        <w:pStyle w:val="162"/>
      </w:pPr>
      <w:r>
        <w:rPr>
          <w:rFonts w:hint="eastAsia"/>
        </w:rPr>
        <w:t xml:space="preserve">主动模式：在建立会话前不管是否收到对端发来的BFD控制报文，都会主动发送BFD控制报文； </w:t>
      </w:r>
    </w:p>
    <w:p w14:paraId="4DC1DF72">
      <w:pPr>
        <w:pStyle w:val="162"/>
      </w:pPr>
      <w:r>
        <w:rPr>
          <w:rFonts w:hint="eastAsia"/>
        </w:rPr>
        <w:t>被动模式：在建立会话前不会主动发送BFD控制报文，直到收到对端发送来的控制报文。</w:t>
      </w:r>
    </w:p>
    <w:p w14:paraId="21A5ED4F">
      <w:r>
        <w:rPr>
          <w:rFonts w:hint="eastAsia"/>
        </w:rPr>
        <w:t xml:space="preserve">BFD会话建立后有两种模式：异步模式和查询模式通信双方要求运行在相同的模式。 </w:t>
      </w:r>
    </w:p>
    <w:p w14:paraId="758DC1D1">
      <w:pPr>
        <w:pStyle w:val="162"/>
      </w:pPr>
      <w:r>
        <w:rPr>
          <w:rFonts w:hint="eastAsia"/>
        </w:rPr>
        <w:t>异步模式：以异步模式运行的设备周期性地发送BFD控制报文，如果在检测时间内对端没有</w:t>
      </w:r>
    </w:p>
    <w:p w14:paraId="5A517220">
      <w:r>
        <w:rPr>
          <w:rFonts w:hint="eastAsia"/>
        </w:rPr>
        <w:t xml:space="preserve">收到BFD控制报文，则认为会话 down。 </w:t>
      </w:r>
    </w:p>
    <w:p w14:paraId="01941191">
      <w:pPr>
        <w:pStyle w:val="162"/>
      </w:pPr>
      <w:r>
        <w:rPr>
          <w:rFonts w:hint="eastAsia"/>
        </w:rPr>
        <w:t>查询模式：假定有一个独立的方法，确认自己和对端系统的连通性。这样，BFD会话建立后会停止周期发送BFD控制报文，除非需要显式地验证连接性。</w:t>
      </w:r>
    </w:p>
    <w:p w14:paraId="28729648">
      <w:pPr>
        <w:pStyle w:val="6"/>
      </w:pPr>
      <w:r>
        <w:rPr>
          <w:rFonts w:hint="eastAsia"/>
        </w:rPr>
        <w:t>发送周期和检测时间</w:t>
      </w:r>
    </w:p>
    <w:p w14:paraId="4EFC213F">
      <w:r>
        <w:rPr>
          <w:rFonts w:hint="eastAsia"/>
        </w:rPr>
        <w:t>BFD的发送周期和检测时间由三个值决定：</w:t>
      </w:r>
    </w:p>
    <w:p w14:paraId="3994521B">
      <w:pPr>
        <w:pStyle w:val="162"/>
      </w:pPr>
      <w:r>
        <w:rPr>
          <w:rFonts w:hint="eastAsia"/>
        </w:rPr>
        <w:t>DMTI（Desired Min Tx Interval）：本端想要采用的最短BFD控制报文发送周期。</w:t>
      </w:r>
    </w:p>
    <w:p w14:paraId="0A1E9A4C">
      <w:pPr>
        <w:pStyle w:val="162"/>
      </w:pPr>
      <w:r>
        <w:rPr>
          <w:rFonts w:hint="eastAsia"/>
        </w:rPr>
        <w:t>RMRI（Required Min Rx Interval）：本端能够支持的最短BFD控制报文接收周期。</w:t>
      </w:r>
    </w:p>
    <w:p w14:paraId="531209D5">
      <w:pPr>
        <w:pStyle w:val="162"/>
      </w:pPr>
      <w:r>
        <w:rPr>
          <w:rFonts w:hint="eastAsia"/>
        </w:rPr>
        <w:t>Detect Mult（Detect time multiplier）：检测时间倍数。</w:t>
      </w:r>
    </w:p>
    <w:p w14:paraId="7610215E"/>
    <w:p w14:paraId="63DD100D">
      <w:r>
        <w:rPr>
          <w:rFonts w:hint="eastAsia"/>
        </w:rPr>
        <w:t>对于发送周期的计算与检测模式无关，无论在那种检测模式下，由于要考虑到链路的抖动，需要一个允许的范围，其具体的计算发送如下：</w:t>
      </w:r>
    </w:p>
    <w:p w14:paraId="32BDBB22">
      <w:r>
        <w:rPr>
          <w:rFonts w:hint="eastAsia"/>
        </w:rPr>
        <w:t xml:space="preserve">如果DetectMulti为1，发送周期=(90%~70%) * max(bfd.DMTI,  接收的RMRI) ；否则，发送周期  = (100%~75%) * max(bfd.DMTI,  接收的RMRI) 。 </w:t>
      </w:r>
    </w:p>
    <w:p w14:paraId="33C0DD38">
      <w:r>
        <w:rPr>
          <w:rFonts w:hint="eastAsia"/>
        </w:rPr>
        <w:t>对于检测时间，由于BFD存在两种检测模式，所以对于这两种检测模式下相应检测时间的计算并不完全相同。由于两种检测模式下都可以使用回声功能，对于回声包的检测时间的计算草案中并没有给出，任何一种可以检测回声包丢失的机制都可以。</w:t>
      </w:r>
    </w:p>
    <w:p w14:paraId="08F38D55">
      <w:r>
        <w:rPr>
          <w:rFonts w:hint="eastAsia"/>
        </w:rPr>
        <w:t xml:space="preserve">在异步模式下，由于检测的位置是在对端，所以对端计算检测时间时需要用到本端的检测倍数，公式如下：检测时间 =  接收的远端DM * max(bfd.RMRI,接收到的DMTI) 。 </w:t>
      </w:r>
    </w:p>
    <w:p w14:paraId="02819D25">
      <w:r>
        <w:rPr>
          <w:rFonts w:hint="eastAsia"/>
        </w:rPr>
        <w:t>在查询模式下，由于检测的位置是在本端，所以本端计算检测时间时只需用本端的检测倍数，公式如下：检测时间  = bfd.DM * max(bfd.RMRI,接收到的DMTI) 。</w:t>
      </w:r>
    </w:p>
    <w:p w14:paraId="41764ED0"/>
    <w:p w14:paraId="72BA4825">
      <w:pPr>
        <w:pStyle w:val="5"/>
      </w:pPr>
      <w:bookmarkStart w:id="2579" w:name="_Toc194080791"/>
      <w:bookmarkStart w:id="2580" w:name="_Toc172218164"/>
      <w:bookmarkStart w:id="2581" w:name="_Toc196728123"/>
      <w:r>
        <w:rPr>
          <w:rFonts w:hint="eastAsia"/>
        </w:rPr>
        <w:t>配置BFD</w:t>
      </w:r>
      <w:bookmarkEnd w:id="2579"/>
      <w:bookmarkEnd w:id="2580"/>
      <w:bookmarkEnd w:id="2581"/>
    </w:p>
    <w:p w14:paraId="6F6EA854">
      <w:r>
        <w:rPr>
          <w:rFonts w:hint="eastAsia"/>
        </w:rPr>
        <w:t>设备Web管理界面支持配置地址探测BFD及静态路由BFD，其他协议需使用命令行配置。</w:t>
      </w:r>
    </w:p>
    <w:p w14:paraId="033C8625">
      <w:r>
        <w:rPr>
          <w:rFonts w:hint="eastAsia"/>
        </w:rPr>
        <w:t>地址探测BFD和静态路由BFD的配置方法如下：</w:t>
      </w:r>
    </w:p>
    <w:p w14:paraId="43F2F502">
      <w:pPr>
        <w:pStyle w:val="6"/>
      </w:pPr>
      <w:r>
        <w:rPr>
          <w:rFonts w:hint="eastAsia"/>
        </w:rPr>
        <w:t>配置地址探测BFD</w:t>
      </w:r>
    </w:p>
    <w:p w14:paraId="5AAE3714">
      <w:r>
        <w:rPr>
          <w:rFonts w:hint="eastAsia"/>
        </w:rPr>
        <w:t>进入“策略配置</w:t>
      </w:r>
      <w:r>
        <w:t xml:space="preserve">&gt; </w:t>
      </w:r>
      <w:r>
        <w:rPr>
          <w:rFonts w:hint="eastAsia"/>
        </w:rPr>
        <w:t>对象管理</w:t>
      </w:r>
      <w:r>
        <w:t>&gt;</w:t>
      </w:r>
      <w:r>
        <w:rPr>
          <w:rFonts w:hint="eastAsia"/>
        </w:rPr>
        <w:t>地址对象</w:t>
      </w:r>
      <w:r>
        <w:t>&gt;</w:t>
      </w:r>
      <w:r>
        <w:rPr>
          <w:rFonts w:hint="eastAsia"/>
        </w:rPr>
        <w:t>地址探测”页面，点击</w:t>
      </w:r>
      <w:r>
        <w:t>&lt;</w:t>
      </w:r>
      <w:r>
        <w:rPr>
          <w:rFonts w:hint="eastAsia"/>
        </w:rPr>
        <w:t>新建</w:t>
      </w:r>
      <w:r>
        <w:t>&gt;</w:t>
      </w:r>
      <w:r>
        <w:rPr>
          <w:rFonts w:hint="eastAsia"/>
        </w:rPr>
        <w:t>按钮新建地址探测，类型选择</w:t>
      </w:r>
      <w:r>
        <w:t>BFD</w:t>
      </w:r>
      <w:r>
        <w:rPr>
          <w:rFonts w:hint="eastAsia"/>
        </w:rPr>
        <w:t>，配置</w:t>
      </w:r>
      <w:r>
        <w:t>BFD</w:t>
      </w:r>
      <w:r>
        <w:rPr>
          <w:rFonts w:hint="eastAsia"/>
        </w:rPr>
        <w:t>参数后点击</w:t>
      </w:r>
      <w:r>
        <w:t>&lt;</w:t>
      </w:r>
      <w:r>
        <w:rPr>
          <w:rFonts w:hint="eastAsia"/>
        </w:rPr>
        <w:t>提交</w:t>
      </w:r>
      <w:r>
        <w:t>&gt;</w:t>
      </w:r>
      <w:r>
        <w:rPr>
          <w:rFonts w:hint="eastAsia"/>
        </w:rPr>
        <w:t>，如下图所示。</w:t>
      </w:r>
    </w:p>
    <w:p w14:paraId="6883D394">
      <w:pPr>
        <w:pStyle w:val="188"/>
      </w:pPr>
      <w:r>
        <w:rPr>
          <w:rFonts w:hint="eastAsia"/>
        </w:rPr>
        <w:t>配置地址探测BFD</w:t>
      </w:r>
    </w:p>
    <w:p w14:paraId="2458C263">
      <w:pPr>
        <w:pStyle w:val="175"/>
      </w:pPr>
      <w:r>
        <w:drawing>
          <wp:inline distT="0" distB="0" distL="114300" distR="114300">
            <wp:extent cx="4967605" cy="3658870"/>
            <wp:effectExtent l="0" t="0" r="4445" b="0"/>
            <wp:docPr id="58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9"/>
                    <pic:cNvPicPr>
                      <a:picLocks noChangeAspect="1"/>
                    </pic:cNvPicPr>
                  </pic:nvPicPr>
                  <pic:blipFill>
                    <a:blip r:embed="rId378"/>
                    <a:stretch>
                      <a:fillRect/>
                    </a:stretch>
                  </pic:blipFill>
                  <pic:spPr>
                    <a:xfrm>
                      <a:off x="0" y="0"/>
                      <a:ext cx="4972206" cy="3662862"/>
                    </a:xfrm>
                    <a:prstGeom prst="rect">
                      <a:avLst/>
                    </a:prstGeom>
                    <a:noFill/>
                    <a:ln>
                      <a:noFill/>
                    </a:ln>
                  </pic:spPr>
                </pic:pic>
              </a:graphicData>
            </a:graphic>
          </wp:inline>
        </w:drawing>
      </w:r>
    </w:p>
    <w:p w14:paraId="7C261FD6">
      <w:pPr>
        <w:pStyle w:val="183"/>
      </w:pPr>
      <w:r>
        <w:rPr>
          <w:rFonts w:hint="eastAsia"/>
        </w:rPr>
        <w:t>地址探测BFD配置详细信息描述</w:t>
      </w:r>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871"/>
        <w:gridCol w:w="7143"/>
      </w:tblGrid>
      <w:tr w14:paraId="79BC31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71" w:type="dxa"/>
            <w:tcBorders>
              <w:tl2br w:val="nil"/>
              <w:tr2bl w:val="nil"/>
            </w:tcBorders>
            <w:shd w:val="clear" w:color="auto" w:fill="538135" w:themeFill="accent6" w:themeFillShade="BF"/>
            <w:vAlign w:val="center"/>
          </w:tcPr>
          <w:p w14:paraId="5DA046B5">
            <w:pPr>
              <w:pStyle w:val="149"/>
              <w:wordWrap/>
              <w:rPr>
                <w:b/>
                <w:bCs/>
                <w:i w:val="0"/>
                <w:iCs w:val="0"/>
              </w:rPr>
            </w:pPr>
            <w:r>
              <w:rPr>
                <w:rFonts w:hint="eastAsia"/>
                <w:b/>
                <w:bCs/>
                <w:i w:val="0"/>
                <w:iCs w:val="0"/>
              </w:rPr>
              <w:t>配置项</w:t>
            </w:r>
          </w:p>
        </w:tc>
        <w:tc>
          <w:tcPr>
            <w:tcW w:w="7143" w:type="dxa"/>
            <w:tcBorders>
              <w:tl2br w:val="nil"/>
              <w:tr2bl w:val="nil"/>
            </w:tcBorders>
            <w:shd w:val="clear" w:color="auto" w:fill="538135" w:themeFill="accent6" w:themeFillShade="BF"/>
            <w:vAlign w:val="center"/>
          </w:tcPr>
          <w:p w14:paraId="68C5723B">
            <w:pPr>
              <w:pStyle w:val="149"/>
              <w:wordWrap/>
              <w:rPr>
                <w:b/>
                <w:bCs/>
                <w:i w:val="0"/>
                <w:iCs w:val="0"/>
              </w:rPr>
            </w:pPr>
            <w:r>
              <w:rPr>
                <w:rFonts w:hint="eastAsia"/>
                <w:b/>
                <w:bCs/>
                <w:i w:val="0"/>
                <w:iCs w:val="0"/>
              </w:rPr>
              <w:t>说明</w:t>
            </w:r>
          </w:p>
        </w:tc>
      </w:tr>
      <w:tr w14:paraId="4266600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71" w:type="dxa"/>
            <w:shd w:val="clear" w:color="auto" w:fill="auto"/>
          </w:tcPr>
          <w:p w14:paraId="43C4D7B1">
            <w:pPr>
              <w:pStyle w:val="186"/>
              <w:widowControl w:val="0"/>
              <w:spacing w:line="240" w:lineRule="auto"/>
              <w:ind w:firstLine="0"/>
              <w:jc w:val="left"/>
            </w:pPr>
            <w:r>
              <w:rPr>
                <w:rFonts w:hint="eastAsia"/>
              </w:rPr>
              <w:t>名称</w:t>
            </w:r>
          </w:p>
        </w:tc>
        <w:tc>
          <w:tcPr>
            <w:tcW w:w="7143" w:type="dxa"/>
            <w:shd w:val="clear" w:color="auto" w:fill="auto"/>
          </w:tcPr>
          <w:p w14:paraId="71937E6F">
            <w:pPr>
              <w:pStyle w:val="186"/>
              <w:widowControl w:val="0"/>
              <w:spacing w:line="240" w:lineRule="auto"/>
              <w:ind w:firstLine="0"/>
              <w:jc w:val="left"/>
            </w:pPr>
            <w:r>
              <w:rPr>
                <w:rFonts w:hint="eastAsia"/>
              </w:rPr>
              <w:t>配置地址探测BFD名称，可配范围</w:t>
            </w:r>
            <w:r>
              <w:t>1-63</w:t>
            </w:r>
            <w:r>
              <w:rPr>
                <w:rFonts w:hint="eastAsia"/>
              </w:rPr>
              <w:t>字符</w:t>
            </w:r>
          </w:p>
        </w:tc>
      </w:tr>
      <w:tr w14:paraId="06F92B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71" w:type="dxa"/>
            <w:shd w:val="clear" w:color="auto" w:fill="auto"/>
          </w:tcPr>
          <w:p w14:paraId="6C80037A">
            <w:pPr>
              <w:pStyle w:val="186"/>
              <w:widowControl w:val="0"/>
              <w:spacing w:line="240" w:lineRule="auto"/>
              <w:ind w:firstLine="0"/>
              <w:jc w:val="left"/>
            </w:pPr>
            <w:r>
              <w:rPr>
                <w:rFonts w:hint="eastAsia"/>
              </w:rPr>
              <w:t>探测目标</w:t>
            </w:r>
          </w:p>
        </w:tc>
        <w:tc>
          <w:tcPr>
            <w:tcW w:w="7143" w:type="dxa"/>
            <w:shd w:val="clear" w:color="auto" w:fill="auto"/>
          </w:tcPr>
          <w:p w14:paraId="06124BF8">
            <w:pPr>
              <w:pStyle w:val="186"/>
              <w:widowControl w:val="0"/>
              <w:spacing w:line="240" w:lineRule="auto"/>
              <w:ind w:firstLine="0"/>
              <w:jc w:val="left"/>
            </w:pPr>
            <w:r>
              <w:rPr>
                <w:rFonts w:hint="eastAsia"/>
              </w:rPr>
              <w:t>配置地址探测BFD目标，可配IPv4地址、IPv6地址</w:t>
            </w:r>
          </w:p>
        </w:tc>
      </w:tr>
      <w:tr w14:paraId="0220423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71" w:type="dxa"/>
            <w:shd w:val="clear" w:color="auto" w:fill="auto"/>
          </w:tcPr>
          <w:p w14:paraId="1FFD455E">
            <w:pPr>
              <w:pStyle w:val="186"/>
              <w:widowControl w:val="0"/>
              <w:spacing w:line="240" w:lineRule="auto"/>
              <w:ind w:firstLine="0"/>
              <w:jc w:val="left"/>
            </w:pPr>
            <w:r>
              <w:rPr>
                <w:rFonts w:hint="eastAsia"/>
              </w:rPr>
              <w:t>类型</w:t>
            </w:r>
          </w:p>
        </w:tc>
        <w:tc>
          <w:tcPr>
            <w:tcW w:w="7143" w:type="dxa"/>
            <w:shd w:val="clear" w:color="auto" w:fill="auto"/>
          </w:tcPr>
          <w:p w14:paraId="525AD813">
            <w:pPr>
              <w:pStyle w:val="186"/>
              <w:widowControl w:val="0"/>
              <w:spacing w:line="240" w:lineRule="auto"/>
              <w:ind w:firstLine="0"/>
              <w:jc w:val="left"/>
            </w:pPr>
            <w:r>
              <w:rPr>
                <w:rFonts w:hint="eastAsia"/>
              </w:rPr>
              <w:t>配置地址探测类型为BFD</w:t>
            </w:r>
          </w:p>
        </w:tc>
      </w:tr>
      <w:tr w14:paraId="2D1AA7C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71" w:type="dxa"/>
            <w:shd w:val="clear" w:color="auto" w:fill="auto"/>
          </w:tcPr>
          <w:p w14:paraId="2A984438">
            <w:pPr>
              <w:pStyle w:val="186"/>
              <w:widowControl w:val="0"/>
              <w:spacing w:line="240" w:lineRule="auto"/>
              <w:ind w:firstLine="0"/>
              <w:jc w:val="left"/>
            </w:pPr>
            <w:r>
              <w:rPr>
                <w:rFonts w:hint="eastAsia"/>
              </w:rPr>
              <w:t>出接口</w:t>
            </w:r>
          </w:p>
        </w:tc>
        <w:tc>
          <w:tcPr>
            <w:tcW w:w="7143" w:type="dxa"/>
            <w:shd w:val="clear" w:color="auto" w:fill="auto"/>
          </w:tcPr>
          <w:p w14:paraId="2E7DD9D6">
            <w:pPr>
              <w:pStyle w:val="186"/>
              <w:widowControl w:val="0"/>
              <w:spacing w:line="240" w:lineRule="auto"/>
              <w:ind w:firstLine="0"/>
              <w:jc w:val="left"/>
            </w:pPr>
            <w:r>
              <w:rPr>
                <w:rFonts w:hint="eastAsia"/>
              </w:rPr>
              <w:t>配置地址探测BFD路由出接口</w:t>
            </w:r>
          </w:p>
        </w:tc>
      </w:tr>
      <w:tr w14:paraId="114AB3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71" w:type="dxa"/>
            <w:shd w:val="clear" w:color="auto" w:fill="auto"/>
          </w:tcPr>
          <w:p w14:paraId="72A3709B">
            <w:pPr>
              <w:pStyle w:val="186"/>
              <w:widowControl w:val="0"/>
              <w:spacing w:line="240" w:lineRule="auto"/>
              <w:ind w:firstLine="0"/>
              <w:jc w:val="left"/>
            </w:pPr>
            <w:r>
              <w:rPr>
                <w:rFonts w:hint="eastAsia"/>
              </w:rPr>
              <w:t>本地标识符</w:t>
            </w:r>
          </w:p>
        </w:tc>
        <w:tc>
          <w:tcPr>
            <w:tcW w:w="7143" w:type="dxa"/>
            <w:shd w:val="clear" w:color="auto" w:fill="auto"/>
          </w:tcPr>
          <w:p w14:paraId="0323D90F">
            <w:pPr>
              <w:pStyle w:val="186"/>
              <w:widowControl w:val="0"/>
              <w:spacing w:line="240" w:lineRule="auto"/>
              <w:ind w:firstLine="0"/>
              <w:jc w:val="left"/>
            </w:pPr>
            <w:r>
              <w:rPr>
                <w:rFonts w:hint="eastAsia"/>
              </w:rPr>
              <w:t>配置地址探测BFD本地标识符，可配范围</w:t>
            </w:r>
            <w:r>
              <w:t>1-4095</w:t>
            </w:r>
          </w:p>
        </w:tc>
      </w:tr>
      <w:tr w14:paraId="7F888C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71" w:type="dxa"/>
            <w:shd w:val="clear" w:color="auto" w:fill="auto"/>
          </w:tcPr>
          <w:p w14:paraId="79D6C3F2">
            <w:pPr>
              <w:pStyle w:val="186"/>
              <w:widowControl w:val="0"/>
              <w:spacing w:line="240" w:lineRule="auto"/>
              <w:ind w:firstLine="0"/>
              <w:jc w:val="left"/>
            </w:pPr>
            <w:r>
              <w:rPr>
                <w:rFonts w:hint="eastAsia"/>
              </w:rPr>
              <w:t>远端标识符</w:t>
            </w:r>
          </w:p>
        </w:tc>
        <w:tc>
          <w:tcPr>
            <w:tcW w:w="7143" w:type="dxa"/>
            <w:shd w:val="clear" w:color="auto" w:fill="auto"/>
          </w:tcPr>
          <w:p w14:paraId="3F2813B3">
            <w:pPr>
              <w:pStyle w:val="186"/>
              <w:widowControl w:val="0"/>
              <w:spacing w:line="240" w:lineRule="auto"/>
              <w:ind w:firstLine="0"/>
              <w:jc w:val="left"/>
            </w:pPr>
            <w:r>
              <w:rPr>
                <w:rFonts w:hint="eastAsia"/>
              </w:rPr>
              <w:t>配置地址探测BFD远端标识符，可配范围</w:t>
            </w:r>
            <w:r>
              <w:t>1-4294967295</w:t>
            </w:r>
          </w:p>
        </w:tc>
      </w:tr>
      <w:tr w14:paraId="058DFA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71" w:type="dxa"/>
            <w:shd w:val="clear" w:color="auto" w:fill="auto"/>
          </w:tcPr>
          <w:p w14:paraId="347E0A41">
            <w:pPr>
              <w:pStyle w:val="186"/>
              <w:widowControl w:val="0"/>
              <w:spacing w:line="240" w:lineRule="auto"/>
              <w:ind w:firstLine="0"/>
              <w:jc w:val="left"/>
            </w:pPr>
            <w:r>
              <w:rPr>
                <w:rFonts w:hint="eastAsia"/>
              </w:rPr>
              <w:t>多跳检测</w:t>
            </w:r>
          </w:p>
        </w:tc>
        <w:tc>
          <w:tcPr>
            <w:tcW w:w="7143" w:type="dxa"/>
            <w:shd w:val="clear" w:color="auto" w:fill="auto"/>
          </w:tcPr>
          <w:p w14:paraId="625C2F43">
            <w:pPr>
              <w:pStyle w:val="186"/>
              <w:widowControl w:val="0"/>
              <w:spacing w:line="240" w:lineRule="auto"/>
              <w:ind w:firstLine="0"/>
              <w:jc w:val="left"/>
            </w:pPr>
            <w:r>
              <w:rPr>
                <w:rFonts w:hint="eastAsia"/>
              </w:rPr>
              <w:t>禁用</w:t>
            </w:r>
            <w:r>
              <w:t>/</w:t>
            </w:r>
            <w:r>
              <w:rPr>
                <w:rFonts w:hint="eastAsia"/>
              </w:rPr>
              <w:t>启用多跳检测</w:t>
            </w:r>
          </w:p>
        </w:tc>
      </w:tr>
      <w:tr w14:paraId="4BCA78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71" w:type="dxa"/>
            <w:shd w:val="clear" w:color="auto" w:fill="auto"/>
          </w:tcPr>
          <w:p w14:paraId="32CC0BD3">
            <w:pPr>
              <w:pStyle w:val="186"/>
              <w:widowControl w:val="0"/>
              <w:spacing w:line="240" w:lineRule="auto"/>
              <w:ind w:firstLine="0"/>
              <w:jc w:val="left"/>
            </w:pPr>
            <w:r>
              <w:rPr>
                <w:rFonts w:hint="eastAsia"/>
              </w:rPr>
              <w:t>源IP地址</w:t>
            </w:r>
          </w:p>
        </w:tc>
        <w:tc>
          <w:tcPr>
            <w:tcW w:w="7143" w:type="dxa"/>
            <w:shd w:val="clear" w:color="auto" w:fill="auto"/>
          </w:tcPr>
          <w:p w14:paraId="58EE5F4A">
            <w:pPr>
              <w:pStyle w:val="186"/>
              <w:widowControl w:val="0"/>
              <w:spacing w:line="240" w:lineRule="auto"/>
              <w:ind w:firstLine="0"/>
              <w:jc w:val="left"/>
            </w:pPr>
            <w:r>
              <w:rPr>
                <w:rFonts w:hint="eastAsia"/>
              </w:rPr>
              <w:t>配置地址探测BFD源IP地址</w:t>
            </w:r>
          </w:p>
        </w:tc>
      </w:tr>
      <w:tr w14:paraId="4EE7D2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71" w:type="dxa"/>
            <w:shd w:val="clear" w:color="auto" w:fill="auto"/>
          </w:tcPr>
          <w:p w14:paraId="3172CA1F">
            <w:pPr>
              <w:pStyle w:val="186"/>
              <w:widowControl w:val="0"/>
              <w:spacing w:line="240" w:lineRule="auto"/>
              <w:ind w:firstLine="0"/>
              <w:jc w:val="left"/>
            </w:pPr>
            <w:r>
              <w:rPr>
                <w:rFonts w:hint="eastAsia"/>
              </w:rPr>
              <w:t>发送间隔</w:t>
            </w:r>
          </w:p>
        </w:tc>
        <w:tc>
          <w:tcPr>
            <w:tcW w:w="7143" w:type="dxa"/>
            <w:shd w:val="clear" w:color="auto" w:fill="auto"/>
          </w:tcPr>
          <w:p w14:paraId="1BC0CF92">
            <w:pPr>
              <w:pStyle w:val="186"/>
              <w:widowControl w:val="0"/>
              <w:spacing w:line="240" w:lineRule="auto"/>
              <w:ind w:firstLine="0"/>
              <w:jc w:val="left"/>
            </w:pPr>
            <w:r>
              <w:rPr>
                <w:rFonts w:hint="eastAsia"/>
              </w:rPr>
              <w:t>配置地址探测BFD报文发送间隔，可配范围</w:t>
            </w:r>
            <w:r>
              <w:t xml:space="preserve">10-60000 </w:t>
            </w:r>
            <w:r>
              <w:rPr>
                <w:rFonts w:hint="eastAsia"/>
              </w:rPr>
              <w:t>毫秒</w:t>
            </w:r>
          </w:p>
        </w:tc>
      </w:tr>
      <w:tr w14:paraId="7498AE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71" w:type="dxa"/>
            <w:shd w:val="clear" w:color="auto" w:fill="auto"/>
          </w:tcPr>
          <w:p w14:paraId="2E7EB1E0">
            <w:pPr>
              <w:pStyle w:val="186"/>
              <w:widowControl w:val="0"/>
              <w:spacing w:line="240" w:lineRule="auto"/>
              <w:ind w:firstLine="0"/>
              <w:jc w:val="left"/>
            </w:pPr>
            <w:r>
              <w:rPr>
                <w:rFonts w:hint="eastAsia"/>
              </w:rPr>
              <w:t>接收间隔</w:t>
            </w:r>
          </w:p>
        </w:tc>
        <w:tc>
          <w:tcPr>
            <w:tcW w:w="7143" w:type="dxa"/>
            <w:shd w:val="clear" w:color="auto" w:fill="auto"/>
          </w:tcPr>
          <w:p w14:paraId="4D7AA1A9">
            <w:pPr>
              <w:pStyle w:val="186"/>
              <w:widowControl w:val="0"/>
              <w:spacing w:line="240" w:lineRule="auto"/>
              <w:ind w:firstLine="0"/>
              <w:jc w:val="left"/>
            </w:pPr>
            <w:r>
              <w:rPr>
                <w:rFonts w:hint="eastAsia"/>
              </w:rPr>
              <w:t>配置地址探测BFD报文接收间隔，可配范围</w:t>
            </w:r>
            <w:r>
              <w:t xml:space="preserve">10-60000 </w:t>
            </w:r>
            <w:r>
              <w:rPr>
                <w:rFonts w:hint="eastAsia"/>
              </w:rPr>
              <w:t>毫秒</w:t>
            </w:r>
          </w:p>
        </w:tc>
      </w:tr>
      <w:tr w14:paraId="40E59A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71" w:type="dxa"/>
            <w:shd w:val="clear" w:color="auto" w:fill="auto"/>
          </w:tcPr>
          <w:p w14:paraId="206E49F8">
            <w:pPr>
              <w:pStyle w:val="186"/>
              <w:widowControl w:val="0"/>
              <w:spacing w:line="240" w:lineRule="auto"/>
              <w:ind w:firstLine="0"/>
              <w:jc w:val="left"/>
            </w:pPr>
            <w:r>
              <w:rPr>
                <w:rFonts w:hint="eastAsia"/>
              </w:rPr>
              <w:t>本地检查倍数</w:t>
            </w:r>
          </w:p>
        </w:tc>
        <w:tc>
          <w:tcPr>
            <w:tcW w:w="7143" w:type="dxa"/>
            <w:shd w:val="clear" w:color="auto" w:fill="auto"/>
          </w:tcPr>
          <w:p w14:paraId="42187FA4">
            <w:pPr>
              <w:pStyle w:val="186"/>
              <w:widowControl w:val="0"/>
              <w:spacing w:line="240" w:lineRule="auto"/>
              <w:ind w:firstLine="0"/>
              <w:jc w:val="left"/>
            </w:pPr>
            <w:r>
              <w:rPr>
                <w:rFonts w:hint="eastAsia"/>
              </w:rPr>
              <w:t>配置地址探测BFD本地检查倍数，可配范围</w:t>
            </w:r>
            <w:r>
              <w:t>2-255</w:t>
            </w:r>
          </w:p>
        </w:tc>
      </w:tr>
    </w:tbl>
    <w:p w14:paraId="43663916"/>
    <w:p w14:paraId="43A8C720">
      <w:pPr>
        <w:pStyle w:val="6"/>
      </w:pPr>
      <w:r>
        <w:rPr>
          <w:rFonts w:hint="eastAsia"/>
        </w:rPr>
        <w:t>配置静态路由BFD</w:t>
      </w:r>
    </w:p>
    <w:p w14:paraId="3CEBF110">
      <w:r>
        <w:rPr>
          <w:rFonts w:hint="eastAsia"/>
        </w:rPr>
        <w:t>进入“网络配置</w:t>
      </w:r>
      <w:r>
        <w:t xml:space="preserve">&gt; </w:t>
      </w:r>
      <w:r>
        <w:rPr>
          <w:rFonts w:hint="eastAsia"/>
        </w:rPr>
        <w:t>路由管理</w:t>
      </w:r>
      <w:r>
        <w:t>&gt;</w:t>
      </w:r>
      <w:r>
        <w:rPr>
          <w:rFonts w:hint="eastAsia"/>
        </w:rPr>
        <w:t>静态路由”页面，点击</w:t>
      </w:r>
      <w:r>
        <w:t>&lt;</w:t>
      </w:r>
      <w:r>
        <w:rPr>
          <w:rFonts w:hint="eastAsia"/>
        </w:rPr>
        <w:t>新建</w:t>
      </w:r>
      <w:r>
        <w:t>&gt;</w:t>
      </w:r>
      <w:r>
        <w:rPr>
          <w:rFonts w:hint="eastAsia"/>
        </w:rPr>
        <w:t>按钮，新建静态路由并勾选“</w:t>
      </w:r>
      <w:r>
        <w:t>BFD</w:t>
      </w:r>
      <w:r>
        <w:rPr>
          <w:rFonts w:hint="eastAsia"/>
        </w:rPr>
        <w:t>”，点击</w:t>
      </w:r>
      <w:r>
        <w:t>&lt;</w:t>
      </w:r>
      <w:r>
        <w:rPr>
          <w:rFonts w:hint="eastAsia"/>
        </w:rPr>
        <w:t>提交</w:t>
      </w:r>
      <w:r>
        <w:t>&gt;</w:t>
      </w:r>
      <w:r>
        <w:rPr>
          <w:rFonts w:hint="eastAsia"/>
        </w:rPr>
        <w:t>，如下图所示。</w:t>
      </w:r>
    </w:p>
    <w:p w14:paraId="428BD5DE">
      <w:pPr>
        <w:pStyle w:val="188"/>
        <w:rPr>
          <w:rFonts w:ascii="Segoe UI" w:hAnsi="Segoe UI" w:cs="Segoe UI"/>
          <w:color w:val="172B4D"/>
          <w:szCs w:val="21"/>
          <w:shd w:val="clear" w:color="auto" w:fill="FFFFFF"/>
        </w:rPr>
      </w:pPr>
      <w:r>
        <w:rPr>
          <w:rFonts w:hint="eastAsia"/>
        </w:rPr>
        <w:t>配置静态路由BFD</w:t>
      </w:r>
    </w:p>
    <w:p w14:paraId="09988470">
      <w:pPr>
        <w:pStyle w:val="175"/>
        <w:rPr>
          <w:rFonts w:ascii="Segoe UI" w:hAnsi="Segoe UI" w:cs="Segoe UI"/>
          <w:color w:val="172B4D"/>
          <w:szCs w:val="21"/>
          <w:shd w:val="clear" w:color="auto" w:fill="FFFFFF"/>
        </w:rPr>
      </w:pPr>
      <w:r>
        <w:drawing>
          <wp:inline distT="0" distB="0" distL="114300" distR="114300">
            <wp:extent cx="4600575" cy="3312160"/>
            <wp:effectExtent l="0" t="0" r="0" b="2540"/>
            <wp:docPr id="58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10"/>
                    <pic:cNvPicPr>
                      <a:picLocks noChangeAspect="1"/>
                    </pic:cNvPicPr>
                  </pic:nvPicPr>
                  <pic:blipFill>
                    <a:blip r:embed="rId379"/>
                    <a:stretch>
                      <a:fillRect/>
                    </a:stretch>
                  </pic:blipFill>
                  <pic:spPr>
                    <a:xfrm>
                      <a:off x="0" y="0"/>
                      <a:ext cx="4608870" cy="3318501"/>
                    </a:xfrm>
                    <a:prstGeom prst="rect">
                      <a:avLst/>
                    </a:prstGeom>
                    <a:noFill/>
                    <a:ln>
                      <a:noFill/>
                    </a:ln>
                  </pic:spPr>
                </pic:pic>
              </a:graphicData>
            </a:graphic>
          </wp:inline>
        </w:drawing>
      </w:r>
    </w:p>
    <w:p w14:paraId="3B1D678C">
      <w:pPr>
        <w:pStyle w:val="22"/>
      </w:pPr>
    </w:p>
    <w:p w14:paraId="721A3BCD">
      <w:pPr>
        <w:pStyle w:val="183"/>
      </w:pPr>
      <w:r>
        <w:rPr>
          <w:rFonts w:hint="eastAsia"/>
        </w:rPr>
        <w:t>静态路由BFD配置详细信息描述</w:t>
      </w:r>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871"/>
        <w:gridCol w:w="7143"/>
      </w:tblGrid>
      <w:tr w14:paraId="4B82C75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71" w:type="dxa"/>
            <w:tcBorders>
              <w:tl2br w:val="nil"/>
              <w:tr2bl w:val="nil"/>
            </w:tcBorders>
            <w:shd w:val="clear" w:color="auto" w:fill="538135" w:themeFill="accent6" w:themeFillShade="BF"/>
            <w:vAlign w:val="center"/>
          </w:tcPr>
          <w:p w14:paraId="73750E6C">
            <w:pPr>
              <w:pStyle w:val="149"/>
              <w:wordWrap/>
              <w:rPr>
                <w:b/>
                <w:bCs/>
                <w:i w:val="0"/>
                <w:iCs w:val="0"/>
              </w:rPr>
            </w:pPr>
            <w:r>
              <w:rPr>
                <w:rFonts w:hint="eastAsia"/>
                <w:b/>
                <w:bCs/>
                <w:i w:val="0"/>
                <w:iCs w:val="0"/>
              </w:rPr>
              <w:t>配置项</w:t>
            </w:r>
          </w:p>
        </w:tc>
        <w:tc>
          <w:tcPr>
            <w:tcW w:w="7143" w:type="dxa"/>
            <w:tcBorders>
              <w:tl2br w:val="nil"/>
              <w:tr2bl w:val="nil"/>
            </w:tcBorders>
            <w:shd w:val="clear" w:color="auto" w:fill="538135" w:themeFill="accent6" w:themeFillShade="BF"/>
            <w:vAlign w:val="center"/>
          </w:tcPr>
          <w:p w14:paraId="6CB73540">
            <w:pPr>
              <w:pStyle w:val="149"/>
              <w:wordWrap/>
              <w:rPr>
                <w:b/>
                <w:bCs/>
                <w:i w:val="0"/>
                <w:iCs w:val="0"/>
              </w:rPr>
            </w:pPr>
            <w:r>
              <w:rPr>
                <w:rFonts w:hint="eastAsia"/>
                <w:b/>
                <w:bCs/>
                <w:i w:val="0"/>
                <w:iCs w:val="0"/>
              </w:rPr>
              <w:t>说明</w:t>
            </w:r>
          </w:p>
        </w:tc>
      </w:tr>
      <w:tr w14:paraId="5EC111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71" w:type="dxa"/>
            <w:shd w:val="clear" w:color="auto" w:fill="auto"/>
          </w:tcPr>
          <w:p w14:paraId="7327495F">
            <w:pPr>
              <w:pStyle w:val="186"/>
              <w:widowControl w:val="0"/>
              <w:spacing w:line="240" w:lineRule="auto"/>
              <w:ind w:firstLine="0"/>
              <w:jc w:val="left"/>
            </w:pPr>
            <w:r>
              <w:rPr>
                <w:rFonts w:hint="eastAsia"/>
              </w:rPr>
              <w:t>启用</w:t>
            </w:r>
          </w:p>
        </w:tc>
        <w:tc>
          <w:tcPr>
            <w:tcW w:w="7143" w:type="dxa"/>
            <w:shd w:val="clear" w:color="auto" w:fill="auto"/>
          </w:tcPr>
          <w:p w14:paraId="4536B4C0">
            <w:pPr>
              <w:pStyle w:val="186"/>
              <w:widowControl w:val="0"/>
              <w:spacing w:line="240" w:lineRule="auto"/>
              <w:ind w:firstLine="0"/>
              <w:jc w:val="left"/>
            </w:pPr>
            <w:r>
              <w:rPr>
                <w:rFonts w:hint="eastAsia"/>
              </w:rPr>
              <w:t>禁用/启用静态路由</w:t>
            </w:r>
          </w:p>
        </w:tc>
      </w:tr>
      <w:tr w14:paraId="70402B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71" w:type="dxa"/>
            <w:shd w:val="clear" w:color="auto" w:fill="auto"/>
          </w:tcPr>
          <w:p w14:paraId="2FCFF137">
            <w:pPr>
              <w:pStyle w:val="186"/>
              <w:widowControl w:val="0"/>
              <w:spacing w:line="240" w:lineRule="auto"/>
              <w:ind w:firstLine="0"/>
              <w:jc w:val="left"/>
            </w:pPr>
            <w:r>
              <w:rPr>
                <w:rFonts w:hint="eastAsia"/>
              </w:rPr>
              <w:t>目的地址</w:t>
            </w:r>
          </w:p>
        </w:tc>
        <w:tc>
          <w:tcPr>
            <w:tcW w:w="7143" w:type="dxa"/>
            <w:shd w:val="clear" w:color="auto" w:fill="auto"/>
          </w:tcPr>
          <w:p w14:paraId="57659CE0">
            <w:pPr>
              <w:pStyle w:val="186"/>
              <w:widowControl w:val="0"/>
              <w:spacing w:line="240" w:lineRule="auto"/>
              <w:ind w:firstLine="0"/>
              <w:jc w:val="left"/>
            </w:pPr>
            <w:r>
              <w:rPr>
                <w:rFonts w:hint="eastAsia"/>
              </w:rPr>
              <w:t>静态路由目的地址</w:t>
            </w:r>
          </w:p>
        </w:tc>
      </w:tr>
      <w:tr w14:paraId="544A0E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71" w:type="dxa"/>
            <w:shd w:val="clear" w:color="auto" w:fill="auto"/>
          </w:tcPr>
          <w:p w14:paraId="68D82758">
            <w:pPr>
              <w:pStyle w:val="186"/>
              <w:widowControl w:val="0"/>
              <w:spacing w:line="240" w:lineRule="auto"/>
              <w:ind w:firstLine="0"/>
              <w:jc w:val="left"/>
            </w:pPr>
            <w:r>
              <w:rPr>
                <w:rFonts w:hint="eastAsia"/>
              </w:rPr>
              <w:t>子网掩码</w:t>
            </w:r>
          </w:p>
        </w:tc>
        <w:tc>
          <w:tcPr>
            <w:tcW w:w="7143" w:type="dxa"/>
            <w:shd w:val="clear" w:color="auto" w:fill="auto"/>
          </w:tcPr>
          <w:p w14:paraId="476A4E49">
            <w:pPr>
              <w:pStyle w:val="186"/>
              <w:widowControl w:val="0"/>
              <w:spacing w:line="240" w:lineRule="auto"/>
              <w:ind w:firstLine="0"/>
              <w:jc w:val="left"/>
            </w:pPr>
            <w:r>
              <w:rPr>
                <w:rFonts w:hint="eastAsia"/>
              </w:rPr>
              <w:t>静态路由目的地址子网掩码</w:t>
            </w:r>
          </w:p>
        </w:tc>
      </w:tr>
      <w:tr w14:paraId="6046BE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71" w:type="dxa"/>
            <w:shd w:val="clear" w:color="auto" w:fill="auto"/>
          </w:tcPr>
          <w:p w14:paraId="382A793A">
            <w:pPr>
              <w:pStyle w:val="186"/>
              <w:widowControl w:val="0"/>
              <w:spacing w:line="240" w:lineRule="auto"/>
              <w:ind w:firstLine="0"/>
              <w:jc w:val="left"/>
            </w:pPr>
            <w:r>
              <w:rPr>
                <w:rFonts w:hint="eastAsia"/>
              </w:rPr>
              <w:t>下一跳/出接口</w:t>
            </w:r>
          </w:p>
        </w:tc>
        <w:tc>
          <w:tcPr>
            <w:tcW w:w="7143" w:type="dxa"/>
            <w:shd w:val="clear" w:color="auto" w:fill="auto"/>
          </w:tcPr>
          <w:p w14:paraId="50798095">
            <w:pPr>
              <w:pStyle w:val="186"/>
              <w:widowControl w:val="0"/>
              <w:spacing w:line="240" w:lineRule="auto"/>
              <w:ind w:firstLine="0"/>
              <w:jc w:val="left"/>
            </w:pPr>
            <w:r>
              <w:rPr>
                <w:rFonts w:hint="eastAsia"/>
              </w:rPr>
              <w:t>勾选下一跳后才可以配置BFD</w:t>
            </w:r>
          </w:p>
        </w:tc>
      </w:tr>
      <w:tr w14:paraId="3B440D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71" w:type="dxa"/>
            <w:shd w:val="clear" w:color="auto" w:fill="auto"/>
          </w:tcPr>
          <w:p w14:paraId="14F9B8D6">
            <w:pPr>
              <w:pStyle w:val="186"/>
              <w:widowControl w:val="0"/>
              <w:spacing w:line="240" w:lineRule="auto"/>
              <w:ind w:firstLine="0"/>
              <w:jc w:val="left"/>
            </w:pPr>
            <w:r>
              <w:rPr>
                <w:rFonts w:hint="eastAsia"/>
              </w:rPr>
              <w:t>下一跳</w:t>
            </w:r>
          </w:p>
        </w:tc>
        <w:tc>
          <w:tcPr>
            <w:tcW w:w="7143" w:type="dxa"/>
            <w:shd w:val="clear" w:color="auto" w:fill="auto"/>
          </w:tcPr>
          <w:p w14:paraId="4B3494FA">
            <w:pPr>
              <w:pStyle w:val="186"/>
              <w:widowControl w:val="0"/>
              <w:spacing w:line="240" w:lineRule="auto"/>
              <w:ind w:firstLine="0"/>
              <w:jc w:val="left"/>
            </w:pPr>
            <w:r>
              <w:rPr>
                <w:rFonts w:hint="eastAsia"/>
              </w:rPr>
              <w:t>静态路由下一跳地址，同时也是静态路由</w:t>
            </w:r>
            <w:r>
              <w:t>BFD</w:t>
            </w:r>
            <w:r>
              <w:rPr>
                <w:rFonts w:hint="eastAsia"/>
              </w:rPr>
              <w:t>的探测目标</w:t>
            </w:r>
          </w:p>
        </w:tc>
      </w:tr>
      <w:tr w14:paraId="5B6DA6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71" w:type="dxa"/>
            <w:shd w:val="clear" w:color="auto" w:fill="auto"/>
          </w:tcPr>
          <w:p w14:paraId="3CBCD5DF">
            <w:pPr>
              <w:pStyle w:val="186"/>
              <w:widowControl w:val="0"/>
              <w:spacing w:line="240" w:lineRule="auto"/>
              <w:ind w:firstLine="0"/>
              <w:jc w:val="left"/>
            </w:pPr>
            <w:r>
              <w:rPr>
                <w:rFonts w:hint="eastAsia"/>
              </w:rPr>
              <w:t>权重</w:t>
            </w:r>
          </w:p>
        </w:tc>
        <w:tc>
          <w:tcPr>
            <w:tcW w:w="7143" w:type="dxa"/>
            <w:shd w:val="clear" w:color="auto" w:fill="auto"/>
          </w:tcPr>
          <w:p w14:paraId="33659764">
            <w:pPr>
              <w:pStyle w:val="186"/>
              <w:widowControl w:val="0"/>
              <w:spacing w:line="240" w:lineRule="auto"/>
              <w:ind w:firstLine="0"/>
              <w:jc w:val="left"/>
            </w:pPr>
            <w:r>
              <w:rPr>
                <w:rFonts w:hint="eastAsia"/>
              </w:rPr>
              <w:t>配置权重，可配范围</w:t>
            </w:r>
            <w:r>
              <w:t>1-255</w:t>
            </w:r>
          </w:p>
        </w:tc>
      </w:tr>
      <w:tr w14:paraId="15090D7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71" w:type="dxa"/>
            <w:shd w:val="clear" w:color="auto" w:fill="auto"/>
          </w:tcPr>
          <w:p w14:paraId="18A5E225">
            <w:pPr>
              <w:pStyle w:val="186"/>
              <w:widowControl w:val="0"/>
              <w:spacing w:line="240" w:lineRule="auto"/>
              <w:ind w:firstLine="0"/>
              <w:jc w:val="left"/>
            </w:pPr>
            <w:r>
              <w:rPr>
                <w:rFonts w:hint="eastAsia"/>
              </w:rPr>
              <w:t>距离</w:t>
            </w:r>
          </w:p>
        </w:tc>
        <w:tc>
          <w:tcPr>
            <w:tcW w:w="7143" w:type="dxa"/>
            <w:shd w:val="clear" w:color="auto" w:fill="auto"/>
          </w:tcPr>
          <w:p w14:paraId="2EE151BA">
            <w:pPr>
              <w:pStyle w:val="186"/>
              <w:widowControl w:val="0"/>
              <w:spacing w:line="240" w:lineRule="auto"/>
              <w:ind w:firstLine="0"/>
              <w:jc w:val="left"/>
            </w:pPr>
            <w:r>
              <w:rPr>
                <w:rFonts w:hint="eastAsia"/>
              </w:rPr>
              <w:t>配置距离，可配范围1-255</w:t>
            </w:r>
          </w:p>
        </w:tc>
      </w:tr>
      <w:tr w14:paraId="2FA3B0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71" w:type="dxa"/>
            <w:shd w:val="clear" w:color="auto" w:fill="auto"/>
          </w:tcPr>
          <w:p w14:paraId="175626E2">
            <w:pPr>
              <w:pStyle w:val="186"/>
              <w:widowControl w:val="0"/>
              <w:spacing w:line="240" w:lineRule="auto"/>
              <w:ind w:firstLine="0"/>
              <w:jc w:val="left"/>
            </w:pPr>
            <w:r>
              <w:rPr>
                <w:rFonts w:hint="eastAsia"/>
              </w:rPr>
              <w:t>BFD</w:t>
            </w:r>
          </w:p>
        </w:tc>
        <w:tc>
          <w:tcPr>
            <w:tcW w:w="7143" w:type="dxa"/>
            <w:shd w:val="clear" w:color="auto" w:fill="auto"/>
          </w:tcPr>
          <w:p w14:paraId="5F1E7CB9">
            <w:pPr>
              <w:pStyle w:val="186"/>
              <w:widowControl w:val="0"/>
              <w:spacing w:line="240" w:lineRule="auto"/>
              <w:ind w:firstLine="0"/>
              <w:jc w:val="left"/>
            </w:pPr>
            <w:r>
              <w:rPr>
                <w:rFonts w:hint="eastAsia"/>
              </w:rPr>
              <w:t>静态路由绑定</w:t>
            </w:r>
            <w:r>
              <w:t>/</w:t>
            </w:r>
            <w:r>
              <w:rPr>
                <w:rFonts w:hint="eastAsia"/>
              </w:rPr>
              <w:t>去绑定</w:t>
            </w:r>
            <w:r>
              <w:t>BFD</w:t>
            </w:r>
            <w:r>
              <w:rPr>
                <w:rFonts w:hint="eastAsia"/>
              </w:rPr>
              <w:t>，和静态路由中的地址探测互斥</w:t>
            </w:r>
          </w:p>
        </w:tc>
      </w:tr>
      <w:tr w14:paraId="2F7C25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71" w:type="dxa"/>
            <w:shd w:val="clear" w:color="auto" w:fill="auto"/>
          </w:tcPr>
          <w:p w14:paraId="35A8C38C">
            <w:pPr>
              <w:pStyle w:val="186"/>
              <w:widowControl w:val="0"/>
              <w:spacing w:line="240" w:lineRule="auto"/>
              <w:ind w:firstLine="0"/>
              <w:jc w:val="left"/>
            </w:pPr>
            <w:r>
              <w:rPr>
                <w:rFonts w:hint="eastAsia"/>
              </w:rPr>
              <w:t>地址探测</w:t>
            </w:r>
          </w:p>
        </w:tc>
        <w:tc>
          <w:tcPr>
            <w:tcW w:w="7143" w:type="dxa"/>
            <w:shd w:val="clear" w:color="auto" w:fill="auto"/>
          </w:tcPr>
          <w:p w14:paraId="2662985E">
            <w:pPr>
              <w:pStyle w:val="186"/>
              <w:widowControl w:val="0"/>
              <w:spacing w:line="240" w:lineRule="auto"/>
              <w:ind w:firstLine="0"/>
              <w:jc w:val="left"/>
            </w:pPr>
            <w:r>
              <w:rPr>
                <w:rFonts w:hint="eastAsia"/>
              </w:rPr>
              <w:t>静态路由绑定地址探测，和静态路由</w:t>
            </w:r>
            <w:r>
              <w:t>BFD</w:t>
            </w:r>
            <w:r>
              <w:rPr>
                <w:rFonts w:hint="eastAsia"/>
              </w:rPr>
              <w:t>互斥</w:t>
            </w:r>
          </w:p>
        </w:tc>
      </w:tr>
    </w:tbl>
    <w:p w14:paraId="48A6CBA0"/>
    <w:p w14:paraId="41DE99C8">
      <w:pPr>
        <w:pStyle w:val="5"/>
      </w:pPr>
      <w:bookmarkStart w:id="2582" w:name="_Toc172218165"/>
      <w:bookmarkStart w:id="2583" w:name="_Toc194080792"/>
      <w:bookmarkStart w:id="2584" w:name="_Toc196728124"/>
      <w:r>
        <w:rPr>
          <w:rFonts w:hint="eastAsia"/>
        </w:rPr>
        <w:t>地址探测BFD配置举例</w:t>
      </w:r>
      <w:bookmarkEnd w:id="2582"/>
      <w:bookmarkEnd w:id="2583"/>
      <w:bookmarkEnd w:id="2584"/>
    </w:p>
    <w:p w14:paraId="13BE73A3">
      <w:pPr>
        <w:pStyle w:val="6"/>
      </w:pPr>
      <w:r>
        <w:rPr>
          <w:rFonts w:hint="eastAsia"/>
        </w:rPr>
        <w:t>组网需求</w:t>
      </w:r>
    </w:p>
    <w:p w14:paraId="0C66EFDC">
      <w:r>
        <w:rPr>
          <w:rFonts w:hint="eastAsia"/>
        </w:rPr>
        <w:t>在网络中有2台设备，在设备Device1和Device2上开启BFD地址探测。配置完成后，链路不通时BFD状态不活跃，链路连通时BFD状态活跃，从而实现Device1和Device2 链路连通性的BFD探测。</w:t>
      </w:r>
    </w:p>
    <w:p w14:paraId="640C94E0">
      <w:pPr>
        <w:pStyle w:val="188"/>
      </w:pPr>
      <w:r>
        <w:rPr>
          <w:rFonts w:hint="eastAsia"/>
        </w:rPr>
        <w:t>BFD配置举例组网图</w:t>
      </w:r>
    </w:p>
    <w:p w14:paraId="51B839EE">
      <w:pPr>
        <w:pStyle w:val="175"/>
      </w:pPr>
      <w:r>
        <w:drawing>
          <wp:inline distT="0" distB="0" distL="114300" distR="114300">
            <wp:extent cx="3467100" cy="1263015"/>
            <wp:effectExtent l="0" t="0" r="0" b="0"/>
            <wp:docPr id="92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图片 23"/>
                    <pic:cNvPicPr>
                      <a:picLocks noChangeAspect="1"/>
                    </pic:cNvPicPr>
                  </pic:nvPicPr>
                  <pic:blipFill>
                    <a:blip r:embed="rId380"/>
                    <a:stretch>
                      <a:fillRect/>
                    </a:stretch>
                  </pic:blipFill>
                  <pic:spPr>
                    <a:xfrm>
                      <a:off x="0" y="0"/>
                      <a:ext cx="3485495" cy="1270202"/>
                    </a:xfrm>
                    <a:prstGeom prst="rect">
                      <a:avLst/>
                    </a:prstGeom>
                    <a:noFill/>
                    <a:ln>
                      <a:noFill/>
                    </a:ln>
                  </pic:spPr>
                </pic:pic>
              </a:graphicData>
            </a:graphic>
          </wp:inline>
        </w:drawing>
      </w:r>
    </w:p>
    <w:p w14:paraId="23933029">
      <w:pPr>
        <w:pStyle w:val="6"/>
      </w:pPr>
      <w:r>
        <w:rPr>
          <w:rFonts w:hint="eastAsia"/>
        </w:rPr>
        <w:t>配置步骤</w:t>
      </w:r>
    </w:p>
    <w:p w14:paraId="60AB606C">
      <w:r>
        <w:rPr>
          <w:rFonts w:hint="eastAsia"/>
        </w:rPr>
        <w:t>配置Device1。</w:t>
      </w:r>
    </w:p>
    <w:p w14:paraId="299EECAC">
      <w:pPr>
        <w:pStyle w:val="202"/>
        <w:rPr>
          <w:lang w:eastAsia="zh-CN"/>
        </w:rPr>
      </w:pPr>
      <w:r>
        <w:rPr>
          <w:rFonts w:hint="eastAsia"/>
          <w:lang w:eastAsia="zh-CN"/>
        </w:rPr>
        <w:t>进入“网络配置&gt;接口配置&gt;物理接口”，点击&lt;操作&gt;按钮，配置设备ge</w:t>
      </w:r>
      <w:r>
        <w:rPr>
          <w:lang w:eastAsia="zh-CN"/>
        </w:rPr>
        <w:t>1</w:t>
      </w:r>
      <w:r>
        <w:rPr>
          <w:rFonts w:hint="eastAsia"/>
          <w:lang w:eastAsia="zh-CN"/>
        </w:rPr>
        <w:t>接口IP地址。</w:t>
      </w:r>
    </w:p>
    <w:p w14:paraId="50EA495E">
      <w:pPr>
        <w:pStyle w:val="175"/>
      </w:pPr>
      <w:r>
        <w:drawing>
          <wp:inline distT="0" distB="0" distL="114300" distR="114300">
            <wp:extent cx="4362450" cy="3221355"/>
            <wp:effectExtent l="0" t="0" r="0" b="0"/>
            <wp:docPr id="92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图片 24"/>
                    <pic:cNvPicPr>
                      <a:picLocks noChangeAspect="1"/>
                    </pic:cNvPicPr>
                  </pic:nvPicPr>
                  <pic:blipFill>
                    <a:blip r:embed="rId381"/>
                    <a:stretch>
                      <a:fillRect/>
                    </a:stretch>
                  </pic:blipFill>
                  <pic:spPr>
                    <a:xfrm>
                      <a:off x="0" y="0"/>
                      <a:ext cx="4367079" cy="3224843"/>
                    </a:xfrm>
                    <a:prstGeom prst="rect">
                      <a:avLst/>
                    </a:prstGeom>
                    <a:noFill/>
                    <a:ln>
                      <a:noFill/>
                    </a:ln>
                  </pic:spPr>
                </pic:pic>
              </a:graphicData>
            </a:graphic>
          </wp:inline>
        </w:drawing>
      </w:r>
    </w:p>
    <w:p w14:paraId="470D6E8B">
      <w:pPr>
        <w:pStyle w:val="202"/>
        <w:rPr>
          <w:lang w:eastAsia="zh-CN"/>
        </w:rPr>
      </w:pPr>
      <w:r>
        <w:rPr>
          <w:rFonts w:hint="eastAsia"/>
          <w:lang w:eastAsia="zh-CN"/>
        </w:rPr>
        <w:t>进入“策略配置</w:t>
      </w:r>
      <w:r>
        <w:rPr>
          <w:lang w:eastAsia="zh-CN"/>
        </w:rPr>
        <w:t xml:space="preserve">&gt; </w:t>
      </w:r>
      <w:r>
        <w:rPr>
          <w:rFonts w:hint="eastAsia"/>
          <w:lang w:eastAsia="zh-CN"/>
        </w:rPr>
        <w:t>对象管理</w:t>
      </w:r>
      <w:r>
        <w:rPr>
          <w:lang w:eastAsia="zh-CN"/>
        </w:rPr>
        <w:t>&gt;</w:t>
      </w:r>
      <w:r>
        <w:rPr>
          <w:rFonts w:hint="eastAsia"/>
          <w:lang w:eastAsia="zh-CN"/>
        </w:rPr>
        <w:t>地址对象&gt;地址探测”页面，点击</w:t>
      </w:r>
      <w:r>
        <w:rPr>
          <w:lang w:eastAsia="zh-CN"/>
        </w:rPr>
        <w:t>&lt;</w:t>
      </w:r>
      <w:r>
        <w:rPr>
          <w:rFonts w:hint="eastAsia"/>
          <w:lang w:eastAsia="zh-CN"/>
        </w:rPr>
        <w:t>新建</w:t>
      </w:r>
      <w:r>
        <w:rPr>
          <w:lang w:eastAsia="zh-CN"/>
        </w:rPr>
        <w:t>&gt;</w:t>
      </w:r>
      <w:r>
        <w:rPr>
          <w:rFonts w:hint="eastAsia"/>
          <w:lang w:eastAsia="zh-CN"/>
        </w:rPr>
        <w:t>按钮新建地址探测，类型选择BFD，配置地址探测BFD参数，探测目标为对端设备Device2的ge1口地址，本地标识符和Device2的远端标识符对应，远端标识符和Device2的本地标识符对应。</w:t>
      </w:r>
    </w:p>
    <w:p w14:paraId="6956AAB4">
      <w:pPr>
        <w:pStyle w:val="175"/>
      </w:pPr>
      <w:r>
        <w:drawing>
          <wp:inline distT="0" distB="0" distL="114300" distR="114300">
            <wp:extent cx="5381625" cy="4028440"/>
            <wp:effectExtent l="0" t="0" r="0" b="0"/>
            <wp:docPr id="92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图片 25"/>
                    <pic:cNvPicPr>
                      <a:picLocks noChangeAspect="1"/>
                    </pic:cNvPicPr>
                  </pic:nvPicPr>
                  <pic:blipFill>
                    <a:blip r:embed="rId382"/>
                    <a:stretch>
                      <a:fillRect/>
                    </a:stretch>
                  </pic:blipFill>
                  <pic:spPr>
                    <a:xfrm>
                      <a:off x="0" y="0"/>
                      <a:ext cx="5390031" cy="4035111"/>
                    </a:xfrm>
                    <a:prstGeom prst="rect">
                      <a:avLst/>
                    </a:prstGeom>
                    <a:noFill/>
                    <a:ln>
                      <a:noFill/>
                    </a:ln>
                  </pic:spPr>
                </pic:pic>
              </a:graphicData>
            </a:graphic>
          </wp:inline>
        </w:drawing>
      </w:r>
    </w:p>
    <w:p w14:paraId="3CDF9DEC"/>
    <w:p w14:paraId="69BA3B1A">
      <w:r>
        <w:rPr>
          <w:rFonts w:hint="eastAsia"/>
        </w:rPr>
        <w:t>Device</w:t>
      </w:r>
      <w:r>
        <w:t>2</w:t>
      </w:r>
      <w:r>
        <w:rPr>
          <w:rFonts w:hint="eastAsia"/>
        </w:rPr>
        <w:t>与Device</w:t>
      </w:r>
      <w:r>
        <w:t>1</w:t>
      </w:r>
      <w:r>
        <w:rPr>
          <w:rFonts w:hint="eastAsia"/>
        </w:rPr>
        <w:t>配置相同。</w:t>
      </w:r>
    </w:p>
    <w:p w14:paraId="287A4284">
      <w:pPr>
        <w:pStyle w:val="5"/>
      </w:pPr>
      <w:bookmarkStart w:id="2585" w:name="_Toc172218166"/>
      <w:bookmarkStart w:id="2586" w:name="_Toc196728125"/>
      <w:bookmarkStart w:id="2587" w:name="_Toc194080793"/>
      <w:r>
        <w:rPr>
          <w:rFonts w:hint="eastAsia"/>
        </w:rPr>
        <w:t>地址探测BFD配置举例</w:t>
      </w:r>
      <w:bookmarkEnd w:id="2585"/>
      <w:bookmarkEnd w:id="2586"/>
      <w:bookmarkEnd w:id="2587"/>
    </w:p>
    <w:p w14:paraId="75569545">
      <w:pPr>
        <w:pStyle w:val="6"/>
      </w:pPr>
      <w:r>
        <w:rPr>
          <w:rFonts w:hint="eastAsia"/>
        </w:rPr>
        <w:t>组网需求</w:t>
      </w:r>
    </w:p>
    <w:p w14:paraId="15A977AC">
      <w:r>
        <w:rPr>
          <w:rFonts w:hint="eastAsia"/>
        </w:rPr>
        <w:t>在网络中有2台设备，在Device1和Device2之间配置静态路由并与BFD绑定。配置完成后当链路故障时，设备通过BFD的毫秒级检测通知静态路由不可达，实现链路的快速检测。</w:t>
      </w:r>
    </w:p>
    <w:p w14:paraId="2160C1DA">
      <w:pPr>
        <w:pStyle w:val="188"/>
      </w:pPr>
      <w:r>
        <w:rPr>
          <w:rFonts w:hint="eastAsia"/>
        </w:rPr>
        <w:t>BFD配置举例组网图</w:t>
      </w:r>
    </w:p>
    <w:p w14:paraId="17F97CCC">
      <w:pPr>
        <w:pStyle w:val="175"/>
      </w:pPr>
      <w:r>
        <w:drawing>
          <wp:inline distT="0" distB="0" distL="114300" distR="114300">
            <wp:extent cx="3467100" cy="1263015"/>
            <wp:effectExtent l="0" t="0" r="0" b="0"/>
            <wp:docPr id="51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23"/>
                    <pic:cNvPicPr>
                      <a:picLocks noChangeAspect="1"/>
                    </pic:cNvPicPr>
                  </pic:nvPicPr>
                  <pic:blipFill>
                    <a:blip r:embed="rId380"/>
                    <a:stretch>
                      <a:fillRect/>
                    </a:stretch>
                  </pic:blipFill>
                  <pic:spPr>
                    <a:xfrm>
                      <a:off x="0" y="0"/>
                      <a:ext cx="3485495" cy="1270202"/>
                    </a:xfrm>
                    <a:prstGeom prst="rect">
                      <a:avLst/>
                    </a:prstGeom>
                    <a:noFill/>
                    <a:ln>
                      <a:noFill/>
                    </a:ln>
                  </pic:spPr>
                </pic:pic>
              </a:graphicData>
            </a:graphic>
          </wp:inline>
        </w:drawing>
      </w:r>
    </w:p>
    <w:p w14:paraId="59356537">
      <w:pPr>
        <w:pStyle w:val="6"/>
      </w:pPr>
      <w:r>
        <w:rPr>
          <w:rFonts w:hint="eastAsia"/>
        </w:rPr>
        <w:t>配置步骤</w:t>
      </w:r>
    </w:p>
    <w:p w14:paraId="7078D747">
      <w:r>
        <w:rPr>
          <w:rFonts w:hint="eastAsia"/>
        </w:rPr>
        <w:t>配置Device1。</w:t>
      </w:r>
    </w:p>
    <w:p w14:paraId="66E7B900">
      <w:pPr>
        <w:pStyle w:val="202"/>
        <w:rPr>
          <w:lang w:eastAsia="zh-CN"/>
        </w:rPr>
      </w:pPr>
      <w:r>
        <w:rPr>
          <w:rFonts w:hint="eastAsia"/>
          <w:lang w:eastAsia="zh-CN"/>
        </w:rPr>
        <w:t>进入“网络配置&gt;接口配置&gt;物理接口”，点击&lt;操作&gt;按钮，配置设备ge</w:t>
      </w:r>
      <w:r>
        <w:rPr>
          <w:lang w:eastAsia="zh-CN"/>
        </w:rPr>
        <w:t>1</w:t>
      </w:r>
      <w:r>
        <w:rPr>
          <w:rFonts w:hint="eastAsia"/>
          <w:lang w:eastAsia="zh-CN"/>
        </w:rPr>
        <w:t>接口IP地址。</w:t>
      </w:r>
    </w:p>
    <w:p w14:paraId="62B118BA">
      <w:pPr>
        <w:pStyle w:val="175"/>
      </w:pPr>
      <w:r>
        <w:drawing>
          <wp:inline distT="0" distB="0" distL="114300" distR="114300">
            <wp:extent cx="4362450" cy="3221355"/>
            <wp:effectExtent l="0" t="0" r="0" b="0"/>
            <wp:docPr id="54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24"/>
                    <pic:cNvPicPr>
                      <a:picLocks noChangeAspect="1"/>
                    </pic:cNvPicPr>
                  </pic:nvPicPr>
                  <pic:blipFill>
                    <a:blip r:embed="rId381"/>
                    <a:stretch>
                      <a:fillRect/>
                    </a:stretch>
                  </pic:blipFill>
                  <pic:spPr>
                    <a:xfrm>
                      <a:off x="0" y="0"/>
                      <a:ext cx="4367079" cy="3224843"/>
                    </a:xfrm>
                    <a:prstGeom prst="rect">
                      <a:avLst/>
                    </a:prstGeom>
                    <a:noFill/>
                    <a:ln>
                      <a:noFill/>
                    </a:ln>
                  </pic:spPr>
                </pic:pic>
              </a:graphicData>
            </a:graphic>
          </wp:inline>
        </w:drawing>
      </w:r>
    </w:p>
    <w:p w14:paraId="3F0E8EB5">
      <w:pPr>
        <w:pStyle w:val="202"/>
      </w:pPr>
      <w:r>
        <w:rPr>
          <w:rFonts w:hint="eastAsia"/>
        </w:rPr>
        <w:t>配置静态路由BFD</w:t>
      </w:r>
    </w:p>
    <w:p w14:paraId="2C858840">
      <w:r>
        <w:rPr>
          <w:rFonts w:hint="eastAsia"/>
        </w:rPr>
        <w:t>进入“网络配置&gt;接口配置&gt;物理接口”，点击&lt;操作&gt;按钮，配置设备接口IP地址。</w:t>
      </w:r>
    </w:p>
    <w:p w14:paraId="19C8D891">
      <w:r>
        <w:rPr>
          <w:rFonts w:hint="eastAsia"/>
        </w:rPr>
        <w:t>进入“网络配置</w:t>
      </w:r>
      <w:r>
        <w:t xml:space="preserve">&gt; </w:t>
      </w:r>
      <w:r>
        <w:rPr>
          <w:rFonts w:hint="eastAsia"/>
        </w:rPr>
        <w:t>路由管理</w:t>
      </w:r>
      <w:r>
        <w:t>&gt;</w:t>
      </w:r>
      <w:r>
        <w:rPr>
          <w:rFonts w:hint="eastAsia"/>
        </w:rPr>
        <w:t>静态路由”页面，点击</w:t>
      </w:r>
      <w:r>
        <w:t>&lt;</w:t>
      </w:r>
      <w:r>
        <w:rPr>
          <w:rFonts w:hint="eastAsia"/>
        </w:rPr>
        <w:t>新建</w:t>
      </w:r>
      <w:r>
        <w:t>&gt;</w:t>
      </w:r>
      <w:r>
        <w:rPr>
          <w:rFonts w:hint="eastAsia"/>
        </w:rPr>
        <w:t>按钮，配置静态路由绑定BFD，下一跳配置为Device2的ge1口地址。</w:t>
      </w:r>
    </w:p>
    <w:p w14:paraId="4928F9EF">
      <w:pPr>
        <w:pStyle w:val="175"/>
      </w:pPr>
      <w:r>
        <w:drawing>
          <wp:inline distT="0" distB="0" distL="114300" distR="114300">
            <wp:extent cx="5067300" cy="3533140"/>
            <wp:effectExtent l="0" t="0" r="0" b="0"/>
            <wp:docPr id="153458202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24" name="图片 27"/>
                    <pic:cNvPicPr>
                      <a:picLocks noChangeAspect="1"/>
                    </pic:cNvPicPr>
                  </pic:nvPicPr>
                  <pic:blipFill>
                    <a:blip r:embed="rId383"/>
                    <a:stretch>
                      <a:fillRect/>
                    </a:stretch>
                  </pic:blipFill>
                  <pic:spPr>
                    <a:xfrm>
                      <a:off x="0" y="0"/>
                      <a:ext cx="5075740" cy="3539154"/>
                    </a:xfrm>
                    <a:prstGeom prst="rect">
                      <a:avLst/>
                    </a:prstGeom>
                    <a:noFill/>
                    <a:ln>
                      <a:noFill/>
                    </a:ln>
                  </pic:spPr>
                </pic:pic>
              </a:graphicData>
            </a:graphic>
          </wp:inline>
        </w:drawing>
      </w:r>
    </w:p>
    <w:p w14:paraId="440915B3"/>
    <w:p w14:paraId="1F7A5AD5">
      <w:r>
        <w:rPr>
          <w:rFonts w:hint="eastAsia"/>
        </w:rPr>
        <w:t>Device</w:t>
      </w:r>
      <w:r>
        <w:t>2</w:t>
      </w:r>
      <w:r>
        <w:rPr>
          <w:rFonts w:hint="eastAsia"/>
        </w:rPr>
        <w:t>与Device</w:t>
      </w:r>
      <w:r>
        <w:t>1</w:t>
      </w:r>
      <w:r>
        <w:rPr>
          <w:rFonts w:hint="eastAsia"/>
        </w:rPr>
        <w:t>配置相同。</w:t>
      </w:r>
      <w:r>
        <w:br w:type="page"/>
      </w:r>
    </w:p>
    <w:p w14:paraId="4F506594">
      <w:pPr>
        <w:pStyle w:val="3"/>
      </w:pPr>
      <w:bookmarkStart w:id="2588" w:name="_Toc23152542"/>
      <w:bookmarkStart w:id="2589" w:name="_Toc141873418"/>
      <w:bookmarkStart w:id="2590" w:name="_Toc194080794"/>
      <w:bookmarkStart w:id="2591" w:name="_Toc196728126"/>
      <w:bookmarkStart w:id="2592" w:name="_Toc99561480"/>
      <w:bookmarkStart w:id="2593" w:name="_Toc142400934"/>
      <w:bookmarkStart w:id="2594" w:name="_Toc40275975"/>
      <w:bookmarkStart w:id="2595" w:name="_Toc172218167"/>
      <w:bookmarkStart w:id="2596" w:name="_Toc15484776"/>
      <w:r>
        <w:rPr>
          <w:rFonts w:hint="eastAsia"/>
        </w:rPr>
        <w:t>IPsec</w:t>
      </w:r>
      <w:bookmarkEnd w:id="2588"/>
      <w:bookmarkEnd w:id="2589"/>
      <w:bookmarkEnd w:id="2590"/>
      <w:bookmarkEnd w:id="2591"/>
      <w:bookmarkEnd w:id="2592"/>
      <w:bookmarkEnd w:id="2593"/>
      <w:bookmarkEnd w:id="2594"/>
      <w:bookmarkEnd w:id="2595"/>
      <w:bookmarkEnd w:id="2596"/>
    </w:p>
    <w:p w14:paraId="5A55BB3A">
      <w:pPr>
        <w:pStyle w:val="4"/>
      </w:pPr>
      <w:bookmarkStart w:id="2597" w:name="_Toc388630867"/>
      <w:bookmarkStart w:id="2598" w:name="_Toc12378460"/>
      <w:bookmarkStart w:id="2599" w:name="_Toc15484777"/>
      <w:bookmarkStart w:id="2600" w:name="_Toc23152543"/>
      <w:bookmarkStart w:id="2601" w:name="_Toc40275976"/>
      <w:bookmarkStart w:id="2602" w:name="_Toc141873419"/>
      <w:bookmarkStart w:id="2603" w:name="_Toc196728127"/>
      <w:bookmarkStart w:id="2604" w:name="_Toc194080795"/>
      <w:bookmarkStart w:id="2605" w:name="_Toc142400935"/>
      <w:bookmarkStart w:id="2606" w:name="_Toc99561481"/>
      <w:bookmarkStart w:id="2607" w:name="_Toc172218168"/>
      <w:r>
        <w:t>IPsec</w:t>
      </w:r>
      <w:r>
        <w:rPr>
          <w:rFonts w:hint="eastAsia"/>
        </w:rPr>
        <w:t>概述</w:t>
      </w:r>
      <w:bookmarkEnd w:id="2597"/>
      <w:bookmarkEnd w:id="2598"/>
      <w:bookmarkEnd w:id="2599"/>
      <w:bookmarkEnd w:id="2600"/>
      <w:bookmarkEnd w:id="2601"/>
      <w:bookmarkEnd w:id="2602"/>
      <w:bookmarkEnd w:id="2603"/>
      <w:bookmarkEnd w:id="2604"/>
      <w:bookmarkEnd w:id="2605"/>
      <w:bookmarkEnd w:id="2606"/>
      <w:bookmarkEnd w:id="2607"/>
    </w:p>
    <w:p w14:paraId="25FC7F75">
      <w:r>
        <w:t>IPsec</w:t>
      </w:r>
      <w:r>
        <w:rPr>
          <w:rFonts w:hint="eastAsia"/>
        </w:rPr>
        <w:t>用于保护敏感信息在</w:t>
      </w:r>
      <w:r>
        <w:t>Internet</w:t>
      </w:r>
      <w:r>
        <w:rPr>
          <w:rFonts w:hint="eastAsia"/>
        </w:rPr>
        <w:t>上传输的安全性。它在网络层对</w:t>
      </w:r>
      <w:r>
        <w:t>IP</w:t>
      </w:r>
      <w:r>
        <w:rPr>
          <w:rFonts w:hint="eastAsia"/>
        </w:rPr>
        <w:t>数据包进行加密和认证。</w:t>
      </w:r>
      <w:r>
        <w:t xml:space="preserve"> IPsec</w:t>
      </w:r>
      <w:r>
        <w:rPr>
          <w:rFonts w:hint="eastAsia"/>
        </w:rPr>
        <w:t>提供了以下网络安全服务，这些安全服务是可选的，通常情况下，本地安全策略决定了采用以下安全服务的一种或多种：</w:t>
      </w:r>
    </w:p>
    <w:p w14:paraId="62B267BF">
      <w:pPr>
        <w:pStyle w:val="162"/>
      </w:pPr>
      <w:r>
        <w:rPr>
          <w:rFonts w:hint="eastAsia"/>
        </w:rPr>
        <w:t>数据的机密性：</w:t>
      </w:r>
      <w:r>
        <w:t>IPsec</w:t>
      </w:r>
      <w:r>
        <w:rPr>
          <w:rFonts w:hint="eastAsia"/>
        </w:rPr>
        <w:t>的发送方对发给对端的数据进行加密。</w:t>
      </w:r>
    </w:p>
    <w:p w14:paraId="7142E5B9">
      <w:pPr>
        <w:pStyle w:val="162"/>
      </w:pPr>
      <w:r>
        <w:rPr>
          <w:rFonts w:hint="eastAsia"/>
        </w:rPr>
        <w:t>数据的完整性：</w:t>
      </w:r>
      <w:r>
        <w:t>IPsec</w:t>
      </w:r>
      <w:r>
        <w:rPr>
          <w:rFonts w:hint="eastAsia"/>
        </w:rPr>
        <w:t>的接收方对接收到的数据进行验证以保证数据在传送的过程中没有被修改。</w:t>
      </w:r>
    </w:p>
    <w:p w14:paraId="2E73D428">
      <w:pPr>
        <w:pStyle w:val="162"/>
      </w:pPr>
      <w:r>
        <w:rPr>
          <w:rFonts w:hint="eastAsia"/>
        </w:rPr>
        <w:t>数据来源的认证：</w:t>
      </w:r>
      <w:r>
        <w:t>IPsec</w:t>
      </w:r>
      <w:r>
        <w:rPr>
          <w:rFonts w:hint="eastAsia"/>
        </w:rPr>
        <w:t>接收方验证数据的起源。</w:t>
      </w:r>
    </w:p>
    <w:p w14:paraId="2C9ED661">
      <w:pPr>
        <w:pStyle w:val="162"/>
      </w:pPr>
      <w:r>
        <w:rPr>
          <w:rFonts w:hint="eastAsia"/>
        </w:rPr>
        <w:t>抗重播：</w:t>
      </w:r>
      <w:r>
        <w:t>IPsec</w:t>
      </w:r>
      <w:r>
        <w:rPr>
          <w:rFonts w:hint="eastAsia"/>
        </w:rPr>
        <w:t>的接收方可以检测到重播的</w:t>
      </w:r>
      <w:r>
        <w:t>IP</w:t>
      </w:r>
      <w:r>
        <w:rPr>
          <w:rFonts w:hint="eastAsia"/>
        </w:rPr>
        <w:t>包并且丢弃。</w:t>
      </w:r>
    </w:p>
    <w:p w14:paraId="64930487">
      <w:r>
        <w:rPr>
          <w:rFonts w:hint="eastAsia"/>
        </w:rPr>
        <w:t>使用</w:t>
      </w:r>
      <w:r>
        <w:t>IPsec</w:t>
      </w:r>
      <w:r>
        <w:rPr>
          <w:rFonts w:hint="eastAsia"/>
        </w:rPr>
        <w:t>可以避免数据包的监听、修改和欺骗，数据可以在不安全的公共网络环境下安全的传输，</w:t>
      </w:r>
      <w:r>
        <w:t>IPsec</w:t>
      </w:r>
      <w:r>
        <w:rPr>
          <w:rFonts w:hint="eastAsia"/>
        </w:rPr>
        <w:t>的典型运用是构建</w:t>
      </w:r>
      <w:r>
        <w:t>VPN</w:t>
      </w:r>
      <w:r>
        <w:rPr>
          <w:rFonts w:hint="eastAsia"/>
        </w:rPr>
        <w:t>。</w:t>
      </w:r>
      <w:r>
        <w:t>IPsec</w:t>
      </w:r>
      <w:r>
        <w:rPr>
          <w:rFonts w:hint="eastAsia"/>
        </w:rPr>
        <w:t>使用</w:t>
      </w:r>
      <w:r>
        <w:t xml:space="preserve"> </w:t>
      </w:r>
      <w:r>
        <w:rPr>
          <w:rFonts w:hint="eastAsia"/>
        </w:rPr>
        <w:t>“封装安全载荷（</w:t>
      </w:r>
      <w:r>
        <w:t>ESP</w:t>
      </w:r>
      <w:r>
        <w:rPr>
          <w:rFonts w:hint="eastAsia"/>
        </w:rPr>
        <w:t>）”或者“鉴别头（</w:t>
      </w:r>
      <w:r>
        <w:t>AH</w:t>
      </w:r>
      <w:r>
        <w:rPr>
          <w:rFonts w:hint="eastAsia"/>
        </w:rPr>
        <w:t>）”证明数据的起源地、保障数据的完整性以及防止相同数据包的不断重播；使用</w:t>
      </w:r>
      <w:r>
        <w:t>ESP</w:t>
      </w:r>
      <w:r>
        <w:rPr>
          <w:rFonts w:hint="eastAsia"/>
        </w:rPr>
        <w:t>保障数据的机密性。密钥管理协议称为</w:t>
      </w:r>
      <w:r>
        <w:t xml:space="preserve">ISAKMP </w:t>
      </w:r>
      <w:r>
        <w:rPr>
          <w:rFonts w:hint="eastAsia"/>
        </w:rPr>
        <w:t>，根据安全策略数据库（</w:t>
      </w:r>
      <w:r>
        <w:t>SPDB</w:t>
      </w:r>
      <w:r>
        <w:rPr>
          <w:rFonts w:hint="eastAsia"/>
        </w:rPr>
        <w:t>）随</w:t>
      </w:r>
      <w:r>
        <w:t>IPsec</w:t>
      </w:r>
      <w:r>
        <w:rPr>
          <w:rFonts w:hint="eastAsia"/>
        </w:rPr>
        <w:t>使用，用来协商安全联盟（</w:t>
      </w:r>
      <w:r>
        <w:t>SA</w:t>
      </w:r>
      <w:r>
        <w:rPr>
          <w:rFonts w:hint="eastAsia"/>
        </w:rPr>
        <w:t>）并动态的管理安全联盟数据库。</w:t>
      </w:r>
    </w:p>
    <w:p w14:paraId="77219F35">
      <w:r>
        <w:rPr>
          <w:rFonts w:hint="eastAsia"/>
        </w:rPr>
        <w:t>相关术语解释：</w:t>
      </w:r>
    </w:p>
    <w:p w14:paraId="5FE5B13C">
      <w:pPr>
        <w:pStyle w:val="162"/>
      </w:pPr>
      <w:r>
        <w:rPr>
          <w:rFonts w:hint="eastAsia"/>
        </w:rPr>
        <w:t>鉴别头（</w:t>
      </w:r>
      <w:r>
        <w:t>AH</w:t>
      </w:r>
      <w:r>
        <w:rPr>
          <w:rFonts w:hint="eastAsia"/>
        </w:rPr>
        <w:t>）：用于验证数据包的安全协议。</w:t>
      </w:r>
    </w:p>
    <w:p w14:paraId="09CD23BE">
      <w:pPr>
        <w:pStyle w:val="162"/>
      </w:pPr>
      <w:r>
        <w:rPr>
          <w:rFonts w:hint="eastAsia"/>
        </w:rPr>
        <w:t>封装安全有效载荷（</w:t>
      </w:r>
      <w:r>
        <w:t>ESP</w:t>
      </w:r>
      <w:r>
        <w:rPr>
          <w:rFonts w:hint="eastAsia"/>
        </w:rPr>
        <w:t>）：</w:t>
      </w:r>
      <w:r>
        <w:t xml:space="preserve"> </w:t>
      </w:r>
      <w:r>
        <w:rPr>
          <w:rFonts w:hint="eastAsia"/>
        </w:rPr>
        <w:t>用于加密和验证数据包的安全协议；可与</w:t>
      </w:r>
      <w:r>
        <w:t>AH</w:t>
      </w:r>
      <w:r>
        <w:rPr>
          <w:rFonts w:hint="eastAsia"/>
        </w:rPr>
        <w:t>配合工作也可以单独工作。</w:t>
      </w:r>
    </w:p>
    <w:p w14:paraId="1DE0D471">
      <w:pPr>
        <w:pStyle w:val="162"/>
      </w:pPr>
      <w:r>
        <w:rPr>
          <w:rFonts w:hint="eastAsia"/>
        </w:rPr>
        <w:t>加密算法：</w:t>
      </w:r>
      <w:r>
        <w:t>ESP</w:t>
      </w:r>
      <w:r>
        <w:rPr>
          <w:rFonts w:hint="eastAsia"/>
        </w:rPr>
        <w:t>所使用的加密算法。</w:t>
      </w:r>
    </w:p>
    <w:p w14:paraId="5542B12A">
      <w:pPr>
        <w:pStyle w:val="162"/>
      </w:pPr>
      <w:r>
        <w:rPr>
          <w:rFonts w:hint="eastAsia"/>
        </w:rPr>
        <w:t>验证算法：</w:t>
      </w:r>
      <w:r>
        <w:t>AH</w:t>
      </w:r>
      <w:r>
        <w:rPr>
          <w:rFonts w:hint="eastAsia"/>
        </w:rPr>
        <w:t>或</w:t>
      </w:r>
      <w:r>
        <w:t>ESP</w:t>
      </w:r>
      <w:r>
        <w:rPr>
          <w:rFonts w:hint="eastAsia"/>
        </w:rPr>
        <w:t>用来验证对方的验证算法。</w:t>
      </w:r>
    </w:p>
    <w:p w14:paraId="7A938859">
      <w:pPr>
        <w:pStyle w:val="162"/>
      </w:pPr>
      <w:r>
        <w:rPr>
          <w:rFonts w:hint="eastAsia"/>
        </w:rPr>
        <w:t>密钥管理：密钥管理的一组方案，其中</w:t>
      </w:r>
      <w:r>
        <w:t>IKE</w:t>
      </w:r>
      <w:r>
        <w:rPr>
          <w:rFonts w:hint="eastAsia"/>
        </w:rPr>
        <w:t>（</w:t>
      </w:r>
      <w:r>
        <w:t>Internet</w:t>
      </w:r>
      <w:r>
        <w:rPr>
          <w:rFonts w:hint="eastAsia"/>
        </w:rPr>
        <w:t>密钥交换协议）是缺省的密钥自动交换协议。</w:t>
      </w:r>
    </w:p>
    <w:p w14:paraId="08E2B459">
      <w:pPr>
        <w:pStyle w:val="4"/>
      </w:pPr>
      <w:bookmarkStart w:id="2608" w:name="_Toc99561482"/>
      <w:bookmarkStart w:id="2609" w:name="_Toc15484778"/>
      <w:bookmarkStart w:id="2610" w:name="_Toc12378461"/>
      <w:bookmarkStart w:id="2611" w:name="_Toc23152544"/>
      <w:bookmarkStart w:id="2612" w:name="_Toc40275977"/>
      <w:bookmarkStart w:id="2613" w:name="_Toc194080796"/>
      <w:bookmarkStart w:id="2614" w:name="_Toc142400936"/>
      <w:bookmarkStart w:id="2615" w:name="_Toc196728128"/>
      <w:bookmarkStart w:id="2616" w:name="_Toc141873420"/>
      <w:bookmarkStart w:id="2617" w:name="_Toc172218169"/>
      <w:r>
        <w:rPr>
          <w:rFonts w:hint="eastAsia"/>
        </w:rPr>
        <w:t>配置IPsec</w:t>
      </w:r>
      <w:bookmarkEnd w:id="2608"/>
      <w:bookmarkEnd w:id="2609"/>
      <w:bookmarkEnd w:id="2610"/>
      <w:bookmarkEnd w:id="2611"/>
      <w:bookmarkEnd w:id="2612"/>
      <w:bookmarkEnd w:id="2613"/>
      <w:bookmarkEnd w:id="2614"/>
      <w:bookmarkEnd w:id="2615"/>
      <w:bookmarkEnd w:id="2616"/>
      <w:bookmarkEnd w:id="2617"/>
    </w:p>
    <w:p w14:paraId="7C2D711A">
      <w:pPr>
        <w:pStyle w:val="5"/>
      </w:pPr>
      <w:bookmarkStart w:id="2618" w:name="_Toc141873421"/>
      <w:bookmarkStart w:id="2619" w:name="_Toc40275978"/>
      <w:bookmarkStart w:id="2620" w:name="_Toc196728129"/>
      <w:bookmarkStart w:id="2621" w:name="_Toc12378462"/>
      <w:bookmarkStart w:id="2622" w:name="_Toc194080797"/>
      <w:bookmarkStart w:id="2623" w:name="_Toc142400937"/>
      <w:bookmarkStart w:id="2624" w:name="_Toc99561483"/>
      <w:bookmarkStart w:id="2625" w:name="_Toc15484779"/>
      <w:bookmarkStart w:id="2626" w:name="_Toc23152545"/>
      <w:bookmarkStart w:id="2627" w:name="_Toc172218170"/>
      <w:r>
        <w:rPr>
          <w:rFonts w:hint="eastAsia"/>
        </w:rPr>
        <w:t>配置概述</w:t>
      </w:r>
      <w:bookmarkEnd w:id="2618"/>
      <w:bookmarkEnd w:id="2619"/>
      <w:bookmarkEnd w:id="2620"/>
      <w:bookmarkEnd w:id="2621"/>
      <w:bookmarkEnd w:id="2622"/>
      <w:bookmarkEnd w:id="2623"/>
      <w:bookmarkEnd w:id="2624"/>
      <w:bookmarkEnd w:id="2625"/>
      <w:bookmarkEnd w:id="2626"/>
      <w:bookmarkEnd w:id="2627"/>
    </w:p>
    <w:p w14:paraId="7658EA2E">
      <w:bookmarkStart w:id="2628" w:name="_Hlk389753077"/>
      <w:r>
        <w:t>IPsec</w:t>
      </w:r>
      <w:r>
        <w:rPr>
          <w:rFonts w:hint="eastAsia"/>
        </w:rPr>
        <w:t>配置的推</w:t>
      </w:r>
      <w:bookmarkEnd w:id="2628"/>
      <w:r>
        <w:rPr>
          <w:rFonts w:hint="eastAsia"/>
        </w:rPr>
        <w:t>荐步骤如</w:t>
      </w:r>
      <w:r>
        <w:fldChar w:fldCharType="begin"/>
      </w:r>
      <w:r>
        <w:instrText xml:space="preserve"> REF _Ref388782741 \r \h </w:instrText>
      </w:r>
      <w:r>
        <w:fldChar w:fldCharType="separate"/>
      </w:r>
      <w:r>
        <w:rPr>
          <w:rFonts w:hint="eastAsia"/>
        </w:rPr>
        <w:t>表9-1</w:t>
      </w:r>
      <w:r>
        <w:fldChar w:fldCharType="end"/>
      </w:r>
      <w:r>
        <w:rPr>
          <w:rFonts w:hint="eastAsia"/>
        </w:rPr>
        <w:t>所示。</w:t>
      </w:r>
    </w:p>
    <w:p w14:paraId="4C1CCABD">
      <w:pPr>
        <w:pStyle w:val="183"/>
      </w:pPr>
      <w:bookmarkStart w:id="2629" w:name="_Ref388782741"/>
      <w:bookmarkStart w:id="2630" w:name="_Toc141875499"/>
      <w:r>
        <w:t>IPsec</w:t>
      </w:r>
      <w:bookmarkStart w:id="2631" w:name="_Hlk388783348"/>
      <w:r>
        <w:rPr>
          <w:rFonts w:hint="eastAsia"/>
        </w:rPr>
        <w:t>配置</w:t>
      </w:r>
      <w:bookmarkEnd w:id="2631"/>
      <w:r>
        <w:rPr>
          <w:rFonts w:hint="eastAsia"/>
        </w:rPr>
        <w:t>的</w:t>
      </w:r>
      <w:bookmarkStart w:id="2632" w:name="_Hlk388866093"/>
      <w:r>
        <w:rPr>
          <w:rFonts w:hint="eastAsia"/>
        </w:rPr>
        <w:t>推荐步</w:t>
      </w:r>
      <w:bookmarkEnd w:id="2632"/>
      <w:r>
        <w:rPr>
          <w:rFonts w:hint="eastAsia"/>
        </w:rPr>
        <w:t>骤</w:t>
      </w:r>
      <w:bookmarkEnd w:id="2629"/>
      <w:bookmarkEnd w:id="2630"/>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3021"/>
        <w:gridCol w:w="3083"/>
        <w:gridCol w:w="2910"/>
      </w:tblGrid>
      <w:tr w14:paraId="6E24F7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3022" w:type="dxa"/>
            <w:tcBorders>
              <w:tl2br w:val="nil"/>
              <w:tr2bl w:val="nil"/>
            </w:tcBorders>
            <w:shd w:val="clear" w:color="auto" w:fill="538135" w:themeFill="accent6" w:themeFillShade="BF"/>
            <w:vAlign w:val="center"/>
          </w:tcPr>
          <w:p w14:paraId="079AA163">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配置任务</w:t>
            </w:r>
          </w:p>
        </w:tc>
        <w:tc>
          <w:tcPr>
            <w:tcW w:w="3083" w:type="dxa"/>
            <w:tcBorders>
              <w:tl2br w:val="nil"/>
              <w:tr2bl w:val="nil"/>
            </w:tcBorders>
            <w:shd w:val="clear" w:color="auto" w:fill="538135" w:themeFill="accent6" w:themeFillShade="BF"/>
            <w:vAlign w:val="center"/>
          </w:tcPr>
          <w:p w14:paraId="522DF595">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c>
          <w:tcPr>
            <w:tcW w:w="2910" w:type="dxa"/>
            <w:tcBorders>
              <w:tl2br w:val="nil"/>
              <w:tr2bl w:val="nil"/>
            </w:tcBorders>
            <w:shd w:val="clear" w:color="auto" w:fill="538135" w:themeFill="accent6" w:themeFillShade="BF"/>
            <w:vAlign w:val="center"/>
          </w:tcPr>
          <w:p w14:paraId="48332BD2">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详细配置</w:t>
            </w:r>
          </w:p>
        </w:tc>
      </w:tr>
      <w:tr w14:paraId="3D4C00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3022" w:type="dxa"/>
            <w:shd w:val="clear" w:color="auto" w:fill="auto"/>
          </w:tcPr>
          <w:p w14:paraId="1B2C2630">
            <w:pPr>
              <w:pStyle w:val="186"/>
              <w:widowControl w:val="0"/>
              <w:spacing w:line="240" w:lineRule="auto"/>
              <w:ind w:firstLine="0"/>
              <w:jc w:val="left"/>
            </w:pPr>
            <w:r>
              <w:rPr>
                <w:rFonts w:hint="eastAsia"/>
              </w:rPr>
              <w:t>配置IKE协商策略</w:t>
            </w:r>
          </w:p>
        </w:tc>
        <w:tc>
          <w:tcPr>
            <w:tcW w:w="3083" w:type="dxa"/>
            <w:shd w:val="clear" w:color="auto" w:fill="auto"/>
          </w:tcPr>
          <w:p w14:paraId="07C1BE02">
            <w:pPr>
              <w:pStyle w:val="186"/>
              <w:widowControl w:val="0"/>
              <w:spacing w:line="240" w:lineRule="auto"/>
              <w:ind w:firstLine="0"/>
              <w:jc w:val="left"/>
            </w:pPr>
            <w:r>
              <w:rPr>
                <w:rFonts w:hint="eastAsia"/>
              </w:rPr>
              <w:t>必选</w:t>
            </w:r>
          </w:p>
        </w:tc>
        <w:tc>
          <w:tcPr>
            <w:tcW w:w="2910" w:type="dxa"/>
            <w:shd w:val="clear" w:color="auto" w:fill="auto"/>
          </w:tcPr>
          <w:p w14:paraId="2EA2F98A">
            <w:pPr>
              <w:pStyle w:val="186"/>
              <w:widowControl w:val="0"/>
              <w:spacing w:line="240" w:lineRule="auto"/>
              <w:ind w:firstLine="0"/>
              <w:jc w:val="left"/>
            </w:pPr>
            <w:r>
              <w:fldChar w:fldCharType="begin"/>
            </w:r>
            <w:r>
              <w:instrText xml:space="preserve"> REF _Ref393732167 \r \h  \* MERGEFORMAT </w:instrText>
            </w:r>
            <w:r>
              <w:fldChar w:fldCharType="separate"/>
            </w:r>
            <w:r>
              <w:t>9.2.2</w:t>
            </w:r>
            <w:r>
              <w:fldChar w:fldCharType="end"/>
            </w:r>
          </w:p>
        </w:tc>
      </w:tr>
      <w:tr w14:paraId="62ACB8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3022" w:type="dxa"/>
            <w:shd w:val="clear" w:color="auto" w:fill="auto"/>
          </w:tcPr>
          <w:p w14:paraId="27B8E82F">
            <w:pPr>
              <w:pStyle w:val="186"/>
              <w:widowControl w:val="0"/>
              <w:spacing w:line="240" w:lineRule="auto"/>
              <w:ind w:firstLine="0"/>
              <w:jc w:val="left"/>
            </w:pPr>
            <w:r>
              <w:rPr>
                <w:rFonts w:hint="eastAsia"/>
              </w:rPr>
              <w:t>配置IPsec协商策略</w:t>
            </w:r>
          </w:p>
        </w:tc>
        <w:tc>
          <w:tcPr>
            <w:tcW w:w="3083" w:type="dxa"/>
            <w:shd w:val="clear" w:color="auto" w:fill="auto"/>
          </w:tcPr>
          <w:p w14:paraId="7BB00858">
            <w:pPr>
              <w:pStyle w:val="186"/>
              <w:widowControl w:val="0"/>
              <w:spacing w:line="240" w:lineRule="auto"/>
              <w:ind w:firstLine="0"/>
              <w:jc w:val="left"/>
            </w:pPr>
            <w:r>
              <w:rPr>
                <w:rFonts w:hint="eastAsia"/>
              </w:rPr>
              <w:t>必选</w:t>
            </w:r>
          </w:p>
        </w:tc>
        <w:tc>
          <w:tcPr>
            <w:tcW w:w="2910" w:type="dxa"/>
            <w:shd w:val="clear" w:color="auto" w:fill="auto"/>
          </w:tcPr>
          <w:p w14:paraId="2B3D1DCB">
            <w:pPr>
              <w:pStyle w:val="186"/>
              <w:widowControl w:val="0"/>
              <w:spacing w:line="240" w:lineRule="auto"/>
              <w:ind w:firstLine="0"/>
              <w:jc w:val="left"/>
            </w:pPr>
            <w:r>
              <w:fldChar w:fldCharType="begin"/>
            </w:r>
            <w:r>
              <w:instrText xml:space="preserve"> REF _Ref393294797 \r \h  \* MERGEFORMAT </w:instrText>
            </w:r>
            <w:r>
              <w:fldChar w:fldCharType="separate"/>
            </w:r>
            <w:r>
              <w:t>9.2.3</w:t>
            </w:r>
            <w:r>
              <w:fldChar w:fldCharType="end"/>
            </w:r>
          </w:p>
        </w:tc>
      </w:tr>
      <w:tr w14:paraId="1FCAEE7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3022" w:type="dxa"/>
            <w:shd w:val="clear" w:color="auto" w:fill="auto"/>
          </w:tcPr>
          <w:p w14:paraId="171FC8F7">
            <w:pPr>
              <w:pStyle w:val="186"/>
              <w:widowControl w:val="0"/>
              <w:spacing w:line="240" w:lineRule="auto"/>
              <w:ind w:firstLine="0"/>
              <w:jc w:val="left"/>
            </w:pPr>
            <w:r>
              <w:rPr>
                <w:rFonts w:hint="eastAsia"/>
              </w:rPr>
              <w:t>配置IPsec隧道接口</w:t>
            </w:r>
          </w:p>
        </w:tc>
        <w:tc>
          <w:tcPr>
            <w:tcW w:w="3083" w:type="dxa"/>
            <w:shd w:val="clear" w:color="auto" w:fill="auto"/>
          </w:tcPr>
          <w:p w14:paraId="396D6773">
            <w:pPr>
              <w:pStyle w:val="186"/>
              <w:widowControl w:val="0"/>
              <w:spacing w:line="240" w:lineRule="auto"/>
              <w:ind w:firstLine="0"/>
              <w:jc w:val="left"/>
            </w:pPr>
            <w:r>
              <w:rPr>
                <w:rFonts w:hint="eastAsia"/>
              </w:rPr>
              <w:t>必选</w:t>
            </w:r>
          </w:p>
        </w:tc>
        <w:tc>
          <w:tcPr>
            <w:tcW w:w="2910" w:type="dxa"/>
            <w:shd w:val="clear" w:color="auto" w:fill="auto"/>
          </w:tcPr>
          <w:p w14:paraId="352677B3">
            <w:pPr>
              <w:pStyle w:val="186"/>
              <w:widowControl w:val="0"/>
              <w:spacing w:line="240" w:lineRule="auto"/>
              <w:ind w:firstLine="0"/>
              <w:jc w:val="left"/>
            </w:pPr>
            <w:r>
              <w:fldChar w:fldCharType="begin"/>
            </w:r>
            <w:r>
              <w:instrText xml:space="preserve"> REF _Ref393294808 \r \h  \* MERGEFORMAT </w:instrText>
            </w:r>
            <w:r>
              <w:fldChar w:fldCharType="separate"/>
            </w:r>
            <w:r>
              <w:t>9.2.4</w:t>
            </w:r>
            <w:r>
              <w:fldChar w:fldCharType="end"/>
            </w:r>
          </w:p>
        </w:tc>
      </w:tr>
    </w:tbl>
    <w:p w14:paraId="472AF5F1">
      <w:bookmarkStart w:id="2633" w:name="_Ref393294776"/>
    </w:p>
    <w:p w14:paraId="5629E68E">
      <w:pPr>
        <w:pStyle w:val="5"/>
      </w:pPr>
      <w:bookmarkStart w:id="2634" w:name="_Toc23152546"/>
      <w:bookmarkStart w:id="2635" w:name="_Toc172218171"/>
      <w:bookmarkStart w:id="2636" w:name="_Toc99561484"/>
      <w:bookmarkStart w:id="2637" w:name="_Ref393732167"/>
      <w:bookmarkStart w:id="2638" w:name="_Toc15484780"/>
      <w:bookmarkStart w:id="2639" w:name="_Toc40275979"/>
      <w:bookmarkStart w:id="2640" w:name="_Toc194080798"/>
      <w:bookmarkStart w:id="2641" w:name="_Toc142400938"/>
      <w:bookmarkStart w:id="2642" w:name="_Toc141873422"/>
      <w:bookmarkStart w:id="2643" w:name="_Toc12378463"/>
      <w:bookmarkStart w:id="2644" w:name="_Toc196728130"/>
      <w:r>
        <w:t>配置IKE协商策略</w:t>
      </w:r>
      <w:bookmarkEnd w:id="2633"/>
      <w:bookmarkEnd w:id="2634"/>
      <w:bookmarkEnd w:id="2635"/>
      <w:bookmarkEnd w:id="2636"/>
      <w:bookmarkEnd w:id="2637"/>
      <w:bookmarkEnd w:id="2638"/>
      <w:bookmarkEnd w:id="2639"/>
      <w:bookmarkEnd w:id="2640"/>
      <w:bookmarkEnd w:id="2641"/>
      <w:bookmarkEnd w:id="2642"/>
      <w:bookmarkEnd w:id="2643"/>
      <w:bookmarkEnd w:id="2644"/>
    </w:p>
    <w:p w14:paraId="207EC4C8">
      <w:r>
        <w:rPr>
          <w:rFonts w:hint="eastAsia"/>
        </w:rPr>
        <w:t>在导航栏中选择“网络配置&gt;</w:t>
      </w:r>
      <w:r>
        <w:t>VPN&gt;IPsec-VPN&gt;IPsec</w:t>
      </w:r>
      <w:r>
        <w:rPr>
          <w:rFonts w:hint="eastAsia"/>
        </w:rPr>
        <w:t>第三方对接”，进入</w:t>
      </w:r>
      <w:r>
        <w:t>IPsec</w:t>
      </w:r>
      <w:r>
        <w:rPr>
          <w:rFonts w:hint="eastAsia"/>
        </w:rPr>
        <w:t>的显示页面，如</w:t>
      </w:r>
      <w:r>
        <w:rPr>
          <w:color w:val="0000FF"/>
          <w:u w:val="single"/>
        </w:rPr>
        <w:fldChar w:fldCharType="begin"/>
      </w:r>
      <w:r>
        <w:rPr>
          <w:color w:val="0000FF"/>
          <w:u w:val="single"/>
        </w:rPr>
        <w:instrText xml:space="preserve"> REF _Ref393204473 \r \h </w:instrText>
      </w:r>
      <w:r>
        <w:rPr>
          <w:color w:val="0000FF"/>
          <w:u w:val="single"/>
        </w:rPr>
        <w:fldChar w:fldCharType="separate"/>
      </w:r>
      <w:r>
        <w:rPr>
          <w:rFonts w:hint="eastAsia"/>
          <w:color w:val="0000FF"/>
          <w:u w:val="single"/>
        </w:rPr>
        <w:t>图9-1</w:t>
      </w:r>
      <w:r>
        <w:rPr>
          <w:color w:val="0000FF"/>
          <w:u w:val="single"/>
        </w:rPr>
        <w:fldChar w:fldCharType="end"/>
      </w:r>
      <w:r>
        <w:rPr>
          <w:rFonts w:hint="eastAsia"/>
        </w:rPr>
        <w:t>所示。</w:t>
      </w:r>
    </w:p>
    <w:p w14:paraId="3A4FF56A">
      <w:pPr>
        <w:pStyle w:val="188"/>
      </w:pPr>
      <w:bookmarkStart w:id="2645" w:name="_Ref393204473"/>
      <w:bookmarkStart w:id="2646" w:name="_Toc141874623"/>
      <w:r>
        <w:rPr>
          <w:rFonts w:hint="eastAsia"/>
        </w:rPr>
        <w:t>IPsec显示页面</w:t>
      </w:r>
      <w:bookmarkEnd w:id="2645"/>
      <w:bookmarkEnd w:id="2646"/>
    </w:p>
    <w:p w14:paraId="2886A54C">
      <w:pPr>
        <w:pStyle w:val="175"/>
      </w:pPr>
      <w:r>
        <w:drawing>
          <wp:inline distT="0" distB="0" distL="0" distR="0">
            <wp:extent cx="5105400" cy="3750945"/>
            <wp:effectExtent l="0" t="0" r="0" b="1905"/>
            <wp:docPr id="2985" name="图片 2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5" name="图片 2985"/>
                    <pic:cNvPicPr>
                      <a:picLocks noChangeAspect="1"/>
                    </pic:cNvPicPr>
                  </pic:nvPicPr>
                  <pic:blipFill>
                    <a:blip r:embed="rId384"/>
                    <a:stretch>
                      <a:fillRect/>
                    </a:stretch>
                  </pic:blipFill>
                  <pic:spPr>
                    <a:xfrm>
                      <a:off x="0" y="0"/>
                      <a:ext cx="5113788" cy="3757220"/>
                    </a:xfrm>
                    <a:prstGeom prst="rect">
                      <a:avLst/>
                    </a:prstGeom>
                  </pic:spPr>
                </pic:pic>
              </a:graphicData>
            </a:graphic>
          </wp:inline>
        </w:drawing>
      </w:r>
    </w:p>
    <w:p w14:paraId="50801A84"/>
    <w:p w14:paraId="5D8625D9">
      <w:r>
        <w:rPr>
          <w:rFonts w:hint="eastAsia"/>
        </w:rPr>
        <w:t>页面的详细说明如</w:t>
      </w:r>
      <w:r>
        <w:fldChar w:fldCharType="begin"/>
      </w:r>
      <w:r>
        <w:instrText xml:space="preserve"> REF _Ref393295234 \r \h </w:instrText>
      </w:r>
      <w:r>
        <w:fldChar w:fldCharType="separate"/>
      </w:r>
      <w:r>
        <w:rPr>
          <w:rFonts w:hint="eastAsia"/>
        </w:rPr>
        <w:t>表9-1</w:t>
      </w:r>
      <w:r>
        <w:fldChar w:fldCharType="end"/>
      </w:r>
      <w:r>
        <w:rPr>
          <w:rFonts w:hint="eastAsia"/>
        </w:rPr>
        <w:t>。</w:t>
      </w:r>
    </w:p>
    <w:p w14:paraId="7E66E53F">
      <w:pPr>
        <w:pStyle w:val="183"/>
      </w:pPr>
      <w:bookmarkStart w:id="2647" w:name="_Ref393295234"/>
      <w:bookmarkStart w:id="2648" w:name="_Toc141875500"/>
      <w:r>
        <w:rPr>
          <w:rFonts w:hint="eastAsia"/>
        </w:rPr>
        <w:t>IPsec显示页面的详细说明</w:t>
      </w:r>
      <w:bookmarkEnd w:id="2647"/>
      <w:bookmarkEnd w:id="2648"/>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632"/>
        <w:gridCol w:w="6382"/>
      </w:tblGrid>
      <w:tr w14:paraId="1111A4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632" w:type="dxa"/>
            <w:tcBorders>
              <w:tl2br w:val="nil"/>
              <w:tr2bl w:val="nil"/>
            </w:tcBorders>
            <w:shd w:val="clear" w:color="auto" w:fill="538135" w:themeFill="accent6" w:themeFillShade="BF"/>
            <w:vAlign w:val="center"/>
          </w:tcPr>
          <w:p w14:paraId="4C75A5E9">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383" w:type="dxa"/>
            <w:tcBorders>
              <w:tl2br w:val="nil"/>
              <w:tr2bl w:val="nil"/>
            </w:tcBorders>
            <w:shd w:val="clear" w:color="auto" w:fill="538135" w:themeFill="accent6" w:themeFillShade="BF"/>
            <w:vAlign w:val="center"/>
          </w:tcPr>
          <w:p w14:paraId="586AB795">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58EEB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632" w:type="dxa"/>
            <w:shd w:val="clear" w:color="auto" w:fill="auto"/>
          </w:tcPr>
          <w:p w14:paraId="6CD12C2B">
            <w:pPr>
              <w:pStyle w:val="186"/>
              <w:widowControl w:val="0"/>
              <w:spacing w:line="240" w:lineRule="auto"/>
              <w:ind w:firstLine="0"/>
              <w:jc w:val="left"/>
            </w:pPr>
            <w:r>
              <w:rPr>
                <w:rFonts w:hint="eastAsia"/>
              </w:rPr>
              <w:t>名称</w:t>
            </w:r>
          </w:p>
        </w:tc>
        <w:tc>
          <w:tcPr>
            <w:tcW w:w="6383" w:type="dxa"/>
            <w:shd w:val="clear" w:color="auto" w:fill="auto"/>
          </w:tcPr>
          <w:p w14:paraId="2F986CB3">
            <w:pPr>
              <w:pStyle w:val="186"/>
              <w:widowControl w:val="0"/>
              <w:spacing w:line="240" w:lineRule="auto"/>
              <w:ind w:firstLine="0"/>
              <w:jc w:val="left"/>
            </w:pPr>
            <w:r>
              <w:rPr>
                <w:rFonts w:hint="eastAsia"/>
              </w:rPr>
              <w:t>IKE</w:t>
            </w:r>
            <w:r>
              <w:t>的和对应的IPsec名称。</w:t>
            </w:r>
          </w:p>
        </w:tc>
      </w:tr>
      <w:tr w14:paraId="58693E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632" w:type="dxa"/>
            <w:shd w:val="clear" w:color="auto" w:fill="auto"/>
          </w:tcPr>
          <w:p w14:paraId="56E45A2E">
            <w:pPr>
              <w:pStyle w:val="186"/>
              <w:widowControl w:val="0"/>
              <w:spacing w:line="240" w:lineRule="auto"/>
              <w:ind w:firstLine="0"/>
              <w:jc w:val="left"/>
            </w:pPr>
            <w:r>
              <w:rPr>
                <w:rFonts w:hint="eastAsia"/>
              </w:rPr>
              <w:t>详细信息</w:t>
            </w:r>
          </w:p>
        </w:tc>
        <w:tc>
          <w:tcPr>
            <w:tcW w:w="6383" w:type="dxa"/>
            <w:shd w:val="clear" w:color="auto" w:fill="auto"/>
          </w:tcPr>
          <w:p w14:paraId="116485AF">
            <w:pPr>
              <w:pStyle w:val="186"/>
              <w:widowControl w:val="0"/>
              <w:spacing w:line="240" w:lineRule="auto"/>
              <w:ind w:firstLine="0"/>
              <w:jc w:val="left"/>
            </w:pPr>
            <w:r>
              <w:rPr>
                <w:rFonts w:hint="eastAsia"/>
              </w:rPr>
              <w:t>IKE的详细信息。</w:t>
            </w:r>
          </w:p>
        </w:tc>
      </w:tr>
      <w:tr w14:paraId="19EA2A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632" w:type="dxa"/>
            <w:shd w:val="clear" w:color="auto" w:fill="auto"/>
          </w:tcPr>
          <w:p w14:paraId="588CA9BF">
            <w:pPr>
              <w:pStyle w:val="186"/>
              <w:widowControl w:val="0"/>
              <w:spacing w:line="240" w:lineRule="auto"/>
              <w:ind w:firstLine="0"/>
              <w:jc w:val="left"/>
            </w:pPr>
            <w:r>
              <w:rPr>
                <w:rFonts w:hint="eastAsia"/>
              </w:rPr>
              <w:t>操作</w:t>
            </w:r>
          </w:p>
        </w:tc>
        <w:tc>
          <w:tcPr>
            <w:tcW w:w="6383" w:type="dxa"/>
            <w:shd w:val="clear" w:color="auto" w:fill="auto"/>
          </w:tcPr>
          <w:p w14:paraId="2758EF89">
            <w:pPr>
              <w:pStyle w:val="186"/>
              <w:widowControl w:val="0"/>
              <w:spacing w:line="240" w:lineRule="auto"/>
              <w:ind w:firstLine="0"/>
              <w:jc w:val="left"/>
            </w:pPr>
            <w:r>
              <w:rPr>
                <w:rFonts w:hint="eastAsia"/>
              </w:rPr>
              <w:t>可以对相应IPsec进行的操作。</w:t>
            </w:r>
          </w:p>
        </w:tc>
      </w:tr>
    </w:tbl>
    <w:p w14:paraId="477B6728"/>
    <w:p w14:paraId="64314192">
      <w:r>
        <w:rPr>
          <w:rFonts w:hint="eastAsia"/>
        </w:rPr>
        <w:t>单击</w:t>
      </w:r>
      <w:r>
        <w:t>&lt;</w:t>
      </w:r>
      <w:r>
        <w:rPr>
          <w:rFonts w:hint="eastAsia"/>
        </w:rPr>
        <w:t>新建</w:t>
      </w:r>
      <w:r>
        <w:t>&gt;</w:t>
      </w:r>
      <w:r>
        <w:rPr>
          <w:rFonts w:hint="eastAsia"/>
        </w:rPr>
        <w:t>按钮，在下拉菜单中选择</w:t>
      </w:r>
      <w:r>
        <w:t>&lt;</w:t>
      </w:r>
      <w:r>
        <w:rPr>
          <w:rFonts w:hint="eastAsia"/>
        </w:rPr>
        <w:t>新建</w:t>
      </w:r>
      <w:r>
        <w:t>IKE&gt;</w:t>
      </w:r>
      <w:r>
        <w:rPr>
          <w:rFonts w:hint="eastAsia"/>
        </w:rPr>
        <w:t>，或者点击对应</w:t>
      </w:r>
      <w:r>
        <w:t>IKE</w:t>
      </w:r>
      <w:r>
        <w:rPr>
          <w:rFonts w:hint="eastAsia"/>
        </w:rPr>
        <w:t>的右侧</w:t>
      </w:r>
      <w:r>
        <w:t>&lt;</w:t>
      </w:r>
      <w:r>
        <w:rPr>
          <w:rFonts w:hint="eastAsia"/>
        </w:rPr>
        <w:t>编辑</w:t>
      </w:r>
      <w:r>
        <w:t>&gt;</w:t>
      </w:r>
      <w:r>
        <w:rPr>
          <w:rFonts w:hint="eastAsia"/>
        </w:rPr>
        <w:t>按钮，进入</w:t>
      </w:r>
      <w:r>
        <w:t>IKE</w:t>
      </w:r>
      <w:r>
        <w:rPr>
          <w:rFonts w:hint="eastAsia"/>
        </w:rPr>
        <w:t>的配置页面，如</w:t>
      </w:r>
      <w:r>
        <w:rPr>
          <w:color w:val="0000FF"/>
          <w:u w:val="single"/>
        </w:rPr>
        <w:fldChar w:fldCharType="begin"/>
      </w:r>
      <w:r>
        <w:rPr>
          <w:color w:val="0000FF"/>
          <w:u w:val="single"/>
        </w:rPr>
        <w:instrText xml:space="preserve"> REF _Ref393204481 \r \h </w:instrText>
      </w:r>
      <w:r>
        <w:rPr>
          <w:color w:val="0000FF"/>
          <w:u w:val="single"/>
        </w:rPr>
        <w:fldChar w:fldCharType="separate"/>
      </w:r>
      <w:r>
        <w:rPr>
          <w:rFonts w:hint="eastAsia"/>
          <w:color w:val="0000FF"/>
          <w:u w:val="single"/>
        </w:rPr>
        <w:t>图9-2</w:t>
      </w:r>
      <w:r>
        <w:rPr>
          <w:color w:val="0000FF"/>
          <w:u w:val="single"/>
        </w:rPr>
        <w:fldChar w:fldCharType="end"/>
      </w:r>
      <w:r>
        <w:rPr>
          <w:rFonts w:hint="eastAsia"/>
        </w:rPr>
        <w:t>所示。</w:t>
      </w:r>
    </w:p>
    <w:p w14:paraId="50AD6849">
      <w:pPr>
        <w:pStyle w:val="188"/>
      </w:pPr>
      <w:bookmarkStart w:id="2649" w:name="_Ref393204481"/>
      <w:bookmarkStart w:id="2650" w:name="_Toc141874624"/>
      <w:r>
        <w:t>IKE新建页面</w:t>
      </w:r>
      <w:bookmarkEnd w:id="2649"/>
      <w:bookmarkEnd w:id="2650"/>
    </w:p>
    <w:p w14:paraId="2786A817">
      <w:r>
        <w:drawing>
          <wp:inline distT="0" distB="0" distL="114300" distR="114300">
            <wp:extent cx="4787900" cy="3022600"/>
            <wp:effectExtent l="0" t="0" r="0" b="0"/>
            <wp:docPr id="1087"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图片 166"/>
                    <pic:cNvPicPr>
                      <a:picLocks noChangeAspect="1"/>
                    </pic:cNvPicPr>
                  </pic:nvPicPr>
                  <pic:blipFill>
                    <a:blip r:embed="rId385"/>
                    <a:stretch>
                      <a:fillRect/>
                    </a:stretch>
                  </pic:blipFill>
                  <pic:spPr>
                    <a:xfrm>
                      <a:off x="0" y="0"/>
                      <a:ext cx="4787900" cy="3022600"/>
                    </a:xfrm>
                    <a:prstGeom prst="rect">
                      <a:avLst/>
                    </a:prstGeom>
                    <a:noFill/>
                    <a:ln>
                      <a:noFill/>
                    </a:ln>
                  </pic:spPr>
                </pic:pic>
              </a:graphicData>
            </a:graphic>
          </wp:inline>
        </w:drawing>
      </w:r>
    </w:p>
    <w:p w14:paraId="73EB3F96"/>
    <w:p w14:paraId="22F35767">
      <w:r>
        <w:rPr>
          <w:rFonts w:hint="eastAsia"/>
        </w:rPr>
        <w:t>页面的详细说明如</w:t>
      </w:r>
      <w:r>
        <w:fldChar w:fldCharType="begin"/>
      </w:r>
      <w:r>
        <w:instrText xml:space="preserve"> REF _Ref393112159 \r \h </w:instrText>
      </w:r>
      <w:r>
        <w:fldChar w:fldCharType="separate"/>
      </w:r>
      <w:r>
        <w:rPr>
          <w:rFonts w:hint="eastAsia"/>
        </w:rPr>
        <w:t>表9-1</w:t>
      </w:r>
      <w:r>
        <w:fldChar w:fldCharType="end"/>
      </w:r>
      <w:r>
        <w:rPr>
          <w:rFonts w:hint="eastAsia"/>
        </w:rPr>
        <w:t>所示。</w:t>
      </w:r>
    </w:p>
    <w:p w14:paraId="6C6CD246">
      <w:pPr>
        <w:pStyle w:val="183"/>
      </w:pPr>
      <w:bookmarkStart w:id="2651" w:name="_Ref393112159"/>
      <w:bookmarkStart w:id="2652" w:name="_Toc141875501"/>
      <w:r>
        <w:rPr>
          <w:rFonts w:hint="eastAsia"/>
        </w:rPr>
        <w:t>IKE配置的详细说明</w:t>
      </w:r>
      <w:bookmarkEnd w:id="2651"/>
      <w:bookmarkEnd w:id="2652"/>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3215"/>
        <w:gridCol w:w="5799"/>
      </w:tblGrid>
      <w:tr w14:paraId="2981CFF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3199" w:type="dxa"/>
            <w:tcBorders>
              <w:tl2br w:val="nil"/>
              <w:tr2bl w:val="nil"/>
            </w:tcBorders>
            <w:shd w:val="clear" w:color="auto" w:fill="538135" w:themeFill="accent6" w:themeFillShade="BF"/>
            <w:vAlign w:val="center"/>
          </w:tcPr>
          <w:p w14:paraId="25CBA8B0">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5769" w:type="dxa"/>
            <w:tcBorders>
              <w:tl2br w:val="nil"/>
              <w:tr2bl w:val="nil"/>
            </w:tcBorders>
            <w:shd w:val="clear" w:color="auto" w:fill="538135" w:themeFill="accent6" w:themeFillShade="BF"/>
            <w:vAlign w:val="center"/>
          </w:tcPr>
          <w:p w14:paraId="11133917">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4027C5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3199" w:type="dxa"/>
            <w:shd w:val="clear" w:color="auto" w:fill="auto"/>
          </w:tcPr>
          <w:p w14:paraId="741421CD">
            <w:pPr>
              <w:pStyle w:val="186"/>
              <w:widowControl w:val="0"/>
              <w:spacing w:line="240" w:lineRule="auto"/>
              <w:ind w:firstLine="0"/>
              <w:jc w:val="left"/>
            </w:pPr>
            <w:r>
              <w:rPr>
                <w:rFonts w:hint="eastAsia"/>
              </w:rPr>
              <w:t>网关</w:t>
            </w:r>
            <w:r>
              <w:t>名称</w:t>
            </w:r>
          </w:p>
        </w:tc>
        <w:tc>
          <w:tcPr>
            <w:tcW w:w="5769" w:type="dxa"/>
            <w:shd w:val="clear" w:color="auto" w:fill="auto"/>
          </w:tcPr>
          <w:p w14:paraId="4361A4F7">
            <w:pPr>
              <w:pStyle w:val="186"/>
              <w:widowControl w:val="0"/>
              <w:spacing w:line="240" w:lineRule="auto"/>
              <w:ind w:firstLine="0"/>
              <w:jc w:val="left"/>
            </w:pPr>
            <w:r>
              <w:rPr>
                <w:rFonts w:hint="eastAsia"/>
              </w:rPr>
              <w:t>IKE</w:t>
            </w:r>
            <w:r>
              <w:t>的名称</w:t>
            </w:r>
          </w:p>
        </w:tc>
      </w:tr>
      <w:tr w14:paraId="57BDEA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3199" w:type="dxa"/>
            <w:shd w:val="clear" w:color="auto" w:fill="auto"/>
          </w:tcPr>
          <w:p w14:paraId="3E69AD17">
            <w:pPr>
              <w:pStyle w:val="186"/>
              <w:widowControl w:val="0"/>
              <w:spacing w:line="240" w:lineRule="auto"/>
              <w:ind w:firstLine="0"/>
              <w:jc w:val="left"/>
            </w:pPr>
            <w:r>
              <w:rPr>
                <w:rFonts w:hint="eastAsia"/>
              </w:rPr>
              <w:t>本地源接口/本地源IP地址/无</w:t>
            </w:r>
          </w:p>
        </w:tc>
        <w:tc>
          <w:tcPr>
            <w:tcW w:w="5769" w:type="dxa"/>
            <w:shd w:val="clear" w:color="auto" w:fill="auto"/>
          </w:tcPr>
          <w:p w14:paraId="772212C2">
            <w:pPr>
              <w:pStyle w:val="186"/>
              <w:widowControl w:val="0"/>
              <w:spacing w:line="240" w:lineRule="auto"/>
              <w:ind w:firstLine="0"/>
              <w:jc w:val="left"/>
            </w:pPr>
            <w:r>
              <w:rPr>
                <w:rFonts w:hint="eastAsia"/>
              </w:rPr>
              <w:t>当有多出口时，需要指定用于建立IPsec的本端IP地址。如果指定的是本地源接口，则使用该接口上的主IP作为本端IP地址。</w:t>
            </w:r>
          </w:p>
          <w:p w14:paraId="7136A0A6">
            <w:pPr>
              <w:pStyle w:val="186"/>
              <w:widowControl w:val="0"/>
              <w:spacing w:line="240" w:lineRule="auto"/>
              <w:ind w:firstLine="0"/>
              <w:jc w:val="left"/>
            </w:pPr>
            <w:r>
              <w:rPr>
                <w:rFonts w:hint="eastAsia"/>
                <w:shd w:val="clear" w:color="auto" w:fill="FFFFFF"/>
              </w:rPr>
              <w:t>说明</w:t>
            </w:r>
            <w:r>
              <w:rPr>
                <w:shd w:val="clear" w:color="auto" w:fill="FFFFFF"/>
              </w:rPr>
              <w:t>：</w:t>
            </w:r>
            <w:r>
              <w:rPr>
                <w:rFonts w:hint="eastAsia"/>
                <w:shd w:val="clear" w:color="auto" w:fill="FFFFFF"/>
              </w:rPr>
              <w:t>对于本地源IP和无的配置，接口down无法判断要清除那个SA，所以统一处理逻辑为接口down不自动清</w:t>
            </w:r>
            <w:r>
              <w:rPr>
                <w:shd w:val="clear" w:color="auto" w:fill="FFFFFF"/>
              </w:rPr>
              <w:t>SA</w:t>
            </w:r>
            <w:r>
              <w:rPr>
                <w:rFonts w:hint="eastAsia"/>
                <w:shd w:val="clear" w:color="auto" w:fill="FFFFFF"/>
              </w:rPr>
              <w:t>，通过DPD机制来检测链路状态即可，DPD保活失败，会自动清除SA</w:t>
            </w:r>
          </w:p>
        </w:tc>
      </w:tr>
      <w:tr w14:paraId="11473B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3199" w:type="dxa"/>
            <w:shd w:val="clear" w:color="auto" w:fill="auto"/>
          </w:tcPr>
          <w:p w14:paraId="2BC7F3C6">
            <w:pPr>
              <w:pStyle w:val="186"/>
              <w:widowControl w:val="0"/>
              <w:spacing w:line="240" w:lineRule="auto"/>
              <w:ind w:firstLine="0"/>
              <w:jc w:val="left"/>
            </w:pPr>
            <w:r>
              <w:rPr>
                <w:rFonts w:hint="eastAsia"/>
              </w:rPr>
              <w:t>对端网关</w:t>
            </w:r>
          </w:p>
        </w:tc>
        <w:tc>
          <w:tcPr>
            <w:tcW w:w="5769" w:type="dxa"/>
            <w:shd w:val="clear" w:color="auto" w:fill="auto"/>
          </w:tcPr>
          <w:p w14:paraId="30DFB59E">
            <w:pPr>
              <w:pStyle w:val="186"/>
              <w:widowControl w:val="0"/>
              <w:spacing w:line="240" w:lineRule="auto"/>
              <w:ind w:firstLine="0"/>
              <w:jc w:val="left"/>
            </w:pPr>
            <w:r>
              <w:rPr>
                <w:rFonts w:hint="eastAsia"/>
              </w:rPr>
              <w:t>指定对端网关，可以有静态IP、域名、动态三种选择。</w:t>
            </w:r>
          </w:p>
        </w:tc>
      </w:tr>
      <w:tr w14:paraId="0569C9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3199" w:type="dxa"/>
            <w:shd w:val="clear" w:color="auto" w:fill="auto"/>
          </w:tcPr>
          <w:p w14:paraId="74B6F455">
            <w:pPr>
              <w:pStyle w:val="186"/>
              <w:widowControl w:val="0"/>
              <w:spacing w:line="240" w:lineRule="auto"/>
              <w:ind w:firstLine="0"/>
              <w:jc w:val="left"/>
            </w:pPr>
            <w:r>
              <w:rPr>
                <w:rFonts w:hint="eastAsia"/>
              </w:rPr>
              <w:t>IP地址/域名</w:t>
            </w:r>
          </w:p>
        </w:tc>
        <w:tc>
          <w:tcPr>
            <w:tcW w:w="5769" w:type="dxa"/>
            <w:shd w:val="clear" w:color="auto" w:fill="auto"/>
          </w:tcPr>
          <w:p w14:paraId="29C854CB">
            <w:pPr>
              <w:pStyle w:val="186"/>
              <w:widowControl w:val="0"/>
              <w:spacing w:line="240" w:lineRule="auto"/>
              <w:ind w:firstLine="0"/>
              <w:jc w:val="left"/>
            </w:pPr>
            <w:r>
              <w:rPr>
                <w:rFonts w:hint="eastAsia"/>
              </w:rPr>
              <w:t>根据对端网关选择的类型，可以输入对端网关的IP地址或者域名。</w:t>
            </w:r>
          </w:p>
        </w:tc>
      </w:tr>
      <w:tr w14:paraId="2A49BCE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3199" w:type="dxa"/>
            <w:shd w:val="clear" w:color="auto" w:fill="auto"/>
          </w:tcPr>
          <w:p w14:paraId="4667512A">
            <w:pPr>
              <w:pStyle w:val="186"/>
              <w:widowControl w:val="0"/>
              <w:spacing w:line="240" w:lineRule="auto"/>
              <w:ind w:firstLine="0"/>
              <w:jc w:val="left"/>
            </w:pPr>
            <w:r>
              <w:rPr>
                <w:rFonts w:hint="eastAsia"/>
              </w:rPr>
              <w:t>模式</w:t>
            </w:r>
          </w:p>
        </w:tc>
        <w:tc>
          <w:tcPr>
            <w:tcW w:w="5769" w:type="dxa"/>
            <w:shd w:val="clear" w:color="auto" w:fill="auto"/>
          </w:tcPr>
          <w:p w14:paraId="04A191A7">
            <w:pPr>
              <w:pStyle w:val="186"/>
              <w:widowControl w:val="0"/>
              <w:spacing w:line="240" w:lineRule="auto"/>
              <w:ind w:firstLine="0"/>
              <w:jc w:val="left"/>
            </w:pPr>
            <w:r>
              <w:rPr>
                <w:rFonts w:hint="eastAsia"/>
              </w:rPr>
              <w:t>选择IKE协商模式，分为主模式和野蛮模式。</w:t>
            </w:r>
          </w:p>
          <w:p w14:paraId="455D5B88">
            <w:pPr>
              <w:pStyle w:val="186"/>
              <w:widowControl w:val="0"/>
              <w:spacing w:line="240" w:lineRule="auto"/>
              <w:ind w:firstLine="0"/>
              <w:jc w:val="left"/>
            </w:pPr>
            <w:r>
              <w:rPr>
                <w:rFonts w:hint="eastAsia"/>
              </w:rPr>
              <w:t>主模式：IKE协商要经过三个阶段：SA交换、密钥交换、ID交换和验证，适用于两端设备的公网IP固定、且要实现设备之间点对点通讯的场景。</w:t>
            </w:r>
          </w:p>
          <w:p w14:paraId="298D3C29">
            <w:pPr>
              <w:pStyle w:val="186"/>
              <w:widowControl w:val="0"/>
              <w:spacing w:line="240" w:lineRule="auto"/>
              <w:ind w:firstLine="0"/>
              <w:jc w:val="left"/>
            </w:pPr>
            <w:r>
              <w:rPr>
                <w:rFonts w:hint="eastAsia"/>
              </w:rPr>
              <w:t>野蛮模式：IKE协商要经过两个阶段：SA交换和密钥生成、ID交换和验证，适用于中心设备的IP地址为固定地址而客户端设备的IP地址为动态地址的场景。</w:t>
            </w:r>
          </w:p>
        </w:tc>
      </w:tr>
      <w:tr w14:paraId="56CF1B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3199" w:type="dxa"/>
            <w:shd w:val="clear" w:color="auto" w:fill="auto"/>
          </w:tcPr>
          <w:p w14:paraId="69DF97E4">
            <w:pPr>
              <w:pStyle w:val="186"/>
              <w:widowControl w:val="0"/>
              <w:spacing w:line="240" w:lineRule="auto"/>
              <w:ind w:firstLine="0"/>
              <w:jc w:val="left"/>
            </w:pPr>
            <w:r>
              <w:rPr>
                <w:rFonts w:hint="eastAsia"/>
              </w:rPr>
              <w:t>认证方式</w:t>
            </w:r>
          </w:p>
        </w:tc>
        <w:tc>
          <w:tcPr>
            <w:tcW w:w="5769" w:type="dxa"/>
            <w:shd w:val="clear" w:color="auto" w:fill="auto"/>
          </w:tcPr>
          <w:p w14:paraId="41D300B6">
            <w:pPr>
              <w:pStyle w:val="186"/>
              <w:widowControl w:val="0"/>
              <w:spacing w:line="240" w:lineRule="auto"/>
              <w:ind w:firstLine="0"/>
              <w:jc w:val="left"/>
            </w:pPr>
            <w:r>
              <w:rPr>
                <w:rFonts w:hint="eastAsia"/>
              </w:rPr>
              <w:t>指定一阶段认证所采用的方式，有预共享密钥和数字证书两种选择。</w:t>
            </w:r>
          </w:p>
        </w:tc>
      </w:tr>
      <w:tr w14:paraId="736DB8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3199" w:type="dxa"/>
            <w:shd w:val="clear" w:color="auto" w:fill="auto"/>
          </w:tcPr>
          <w:p w14:paraId="6268D2EB">
            <w:pPr>
              <w:pStyle w:val="186"/>
              <w:widowControl w:val="0"/>
              <w:spacing w:line="240" w:lineRule="auto"/>
              <w:ind w:firstLine="0"/>
              <w:jc w:val="left"/>
            </w:pPr>
            <w:r>
              <w:rPr>
                <w:rFonts w:hint="eastAsia"/>
              </w:rPr>
              <w:t>预共享密钥/证书、CA证书、国密证书</w:t>
            </w:r>
          </w:p>
        </w:tc>
        <w:tc>
          <w:tcPr>
            <w:tcW w:w="5769" w:type="dxa"/>
            <w:shd w:val="clear" w:color="auto" w:fill="auto"/>
          </w:tcPr>
          <w:p w14:paraId="6A705B5C">
            <w:pPr>
              <w:pStyle w:val="186"/>
              <w:widowControl w:val="0"/>
              <w:spacing w:line="240" w:lineRule="auto"/>
              <w:ind w:firstLine="0"/>
              <w:jc w:val="left"/>
            </w:pPr>
            <w:r>
              <w:rPr>
                <w:rFonts w:hint="eastAsia"/>
              </w:rPr>
              <w:t>根据认证方式选择的类型，预共享密钥、CA证书或者国密证书。</w:t>
            </w:r>
          </w:p>
        </w:tc>
      </w:tr>
    </w:tbl>
    <w:p w14:paraId="5339DC0E"/>
    <w:p w14:paraId="6DBBD422">
      <w:r>
        <w:rPr>
          <w:rFonts w:hint="eastAsia"/>
        </w:rPr>
        <w:t>点击</w:t>
      </w:r>
      <w:r>
        <w:t>&lt;</w:t>
      </w:r>
      <w:r>
        <w:rPr>
          <w:rFonts w:hint="eastAsia"/>
        </w:rPr>
        <w:t>高级选项</w:t>
      </w:r>
      <w:r>
        <w:t>&gt;</w:t>
      </w:r>
      <w:r>
        <w:rPr>
          <w:rFonts w:hint="eastAsia"/>
        </w:rPr>
        <w:t>，可以显示出更多内容，如</w:t>
      </w:r>
      <w:r>
        <w:fldChar w:fldCharType="begin"/>
      </w:r>
      <w:r>
        <w:instrText xml:space="preserve"> REF _Ref393732295 \r \h </w:instrText>
      </w:r>
      <w:r>
        <w:fldChar w:fldCharType="separate"/>
      </w:r>
      <w:r>
        <w:rPr>
          <w:rFonts w:hint="eastAsia"/>
        </w:rPr>
        <w:t>图9-3</w:t>
      </w:r>
      <w:r>
        <w:fldChar w:fldCharType="end"/>
      </w:r>
      <w:r>
        <w:rPr>
          <w:rFonts w:hint="eastAsia"/>
        </w:rPr>
        <w:t>所示。</w:t>
      </w:r>
    </w:p>
    <w:p w14:paraId="59C60E64">
      <w:pPr>
        <w:pStyle w:val="188"/>
      </w:pPr>
      <w:bookmarkStart w:id="2653" w:name="_Ref393732295"/>
      <w:bookmarkStart w:id="2654" w:name="_Toc141874625"/>
      <w:r>
        <w:t>IKE</w:t>
      </w:r>
      <w:r>
        <w:rPr>
          <w:rFonts w:hint="eastAsia"/>
        </w:rPr>
        <w:t>新建页面高级选项</w:t>
      </w:r>
      <w:bookmarkEnd w:id="2653"/>
      <w:bookmarkEnd w:id="2654"/>
    </w:p>
    <w:p w14:paraId="1E22FDDA">
      <w:r>
        <w:drawing>
          <wp:inline distT="0" distB="0" distL="0" distR="0">
            <wp:extent cx="5400040" cy="4053840"/>
            <wp:effectExtent l="0" t="0" r="0" b="381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386"/>
                    <a:stretch>
                      <a:fillRect/>
                    </a:stretch>
                  </pic:blipFill>
                  <pic:spPr>
                    <a:xfrm>
                      <a:off x="0" y="0"/>
                      <a:ext cx="5400040" cy="4054232"/>
                    </a:xfrm>
                    <a:prstGeom prst="rect">
                      <a:avLst/>
                    </a:prstGeom>
                  </pic:spPr>
                </pic:pic>
              </a:graphicData>
            </a:graphic>
          </wp:inline>
        </w:drawing>
      </w:r>
    </w:p>
    <w:p w14:paraId="3F7160C6"/>
    <w:p w14:paraId="7B9A57D4">
      <w:r>
        <w:rPr>
          <w:rFonts w:hint="eastAsia"/>
        </w:rPr>
        <w:t>页面的详细说明如</w:t>
      </w:r>
      <w:r>
        <w:fldChar w:fldCharType="begin"/>
      </w:r>
      <w:r>
        <w:instrText xml:space="preserve"> REF _Ref393210284 \r \h </w:instrText>
      </w:r>
      <w:r>
        <w:fldChar w:fldCharType="separate"/>
      </w:r>
      <w:r>
        <w:rPr>
          <w:rFonts w:hint="eastAsia"/>
        </w:rPr>
        <w:t>表9-1</w:t>
      </w:r>
      <w:r>
        <w:fldChar w:fldCharType="end"/>
      </w:r>
      <w:r>
        <w:rPr>
          <w:rFonts w:hint="eastAsia"/>
        </w:rPr>
        <w:t>所示。</w:t>
      </w:r>
    </w:p>
    <w:p w14:paraId="6B28604A">
      <w:pPr>
        <w:pStyle w:val="183"/>
      </w:pPr>
      <w:bookmarkStart w:id="2655" w:name="_Toc141875502"/>
      <w:bookmarkStart w:id="2656" w:name="_Ref393210284"/>
      <w:r>
        <w:rPr>
          <w:rFonts w:hint="eastAsia"/>
        </w:rPr>
        <w:t>IKE配置高级选项的详细说明</w:t>
      </w:r>
      <w:bookmarkEnd w:id="2655"/>
      <w:bookmarkEnd w:id="2656"/>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781"/>
        <w:gridCol w:w="7233"/>
      </w:tblGrid>
      <w:tr w14:paraId="6A9A0C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tcBorders>
              <w:tl2br w:val="nil"/>
              <w:tr2bl w:val="nil"/>
            </w:tcBorders>
            <w:shd w:val="clear" w:color="auto" w:fill="538135" w:themeFill="accent6" w:themeFillShade="BF"/>
            <w:vAlign w:val="center"/>
          </w:tcPr>
          <w:p w14:paraId="0702F5E4">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7233" w:type="dxa"/>
            <w:tcBorders>
              <w:tl2br w:val="nil"/>
              <w:tr2bl w:val="nil"/>
            </w:tcBorders>
            <w:shd w:val="clear" w:color="auto" w:fill="538135" w:themeFill="accent6" w:themeFillShade="BF"/>
            <w:vAlign w:val="center"/>
          </w:tcPr>
          <w:p w14:paraId="179FDAD0">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16749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shd w:val="clear" w:color="auto" w:fill="auto"/>
          </w:tcPr>
          <w:p w14:paraId="32E8A5AD">
            <w:pPr>
              <w:pStyle w:val="186"/>
              <w:widowControl w:val="0"/>
              <w:spacing w:line="240" w:lineRule="auto"/>
              <w:ind w:firstLine="0"/>
              <w:jc w:val="left"/>
            </w:pPr>
            <w:r>
              <w:rPr>
                <w:rFonts w:hint="eastAsia"/>
              </w:rPr>
              <w:t>IKE协商交互方案</w:t>
            </w:r>
          </w:p>
        </w:tc>
        <w:tc>
          <w:tcPr>
            <w:tcW w:w="7233" w:type="dxa"/>
            <w:shd w:val="clear" w:color="auto" w:fill="auto"/>
          </w:tcPr>
          <w:p w14:paraId="2228BBF6">
            <w:pPr>
              <w:pStyle w:val="186"/>
              <w:widowControl w:val="0"/>
              <w:spacing w:line="240" w:lineRule="auto"/>
              <w:ind w:firstLine="0"/>
              <w:jc w:val="left"/>
            </w:pPr>
            <w:r>
              <w:rPr>
                <w:rFonts w:hint="eastAsia"/>
              </w:rPr>
              <w:t>设备目前支持以下加密算法：3DES、SM4、DES、AES（128/192/256位）。</w:t>
            </w:r>
          </w:p>
          <w:p w14:paraId="0FBF853E">
            <w:pPr>
              <w:pStyle w:val="186"/>
              <w:widowControl w:val="0"/>
              <w:spacing w:line="240" w:lineRule="auto"/>
              <w:ind w:firstLine="0"/>
              <w:jc w:val="left"/>
            </w:pPr>
            <w:r>
              <w:rPr>
                <w:rFonts w:hint="eastAsia"/>
              </w:rPr>
              <w:t>设备目前支持以下认证方式：MD5、SM3、SHA、SHA_256。</w:t>
            </w:r>
          </w:p>
        </w:tc>
      </w:tr>
      <w:tr w14:paraId="0C5828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shd w:val="clear" w:color="auto" w:fill="auto"/>
          </w:tcPr>
          <w:p w14:paraId="32882D99">
            <w:pPr>
              <w:pStyle w:val="186"/>
              <w:widowControl w:val="0"/>
              <w:spacing w:line="240" w:lineRule="auto"/>
              <w:ind w:firstLine="0"/>
              <w:jc w:val="left"/>
            </w:pPr>
            <w:r>
              <w:rPr>
                <w:rFonts w:hint="eastAsia"/>
              </w:rPr>
              <w:t>DH组</w:t>
            </w:r>
          </w:p>
        </w:tc>
        <w:tc>
          <w:tcPr>
            <w:tcW w:w="7233" w:type="dxa"/>
            <w:shd w:val="clear" w:color="auto" w:fill="auto"/>
          </w:tcPr>
          <w:p w14:paraId="2D4A096B">
            <w:pPr>
              <w:pStyle w:val="186"/>
              <w:widowControl w:val="0"/>
              <w:spacing w:line="240" w:lineRule="auto"/>
              <w:ind w:firstLine="0"/>
              <w:jc w:val="left"/>
            </w:pPr>
            <w:r>
              <w:rPr>
                <w:rFonts w:hint="eastAsia"/>
              </w:rPr>
              <w:t>指定DH交换组。</w:t>
            </w:r>
          </w:p>
        </w:tc>
      </w:tr>
      <w:tr w14:paraId="5D81F49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shd w:val="clear" w:color="auto" w:fill="auto"/>
          </w:tcPr>
          <w:p w14:paraId="2D1AC13D">
            <w:pPr>
              <w:pStyle w:val="186"/>
              <w:widowControl w:val="0"/>
              <w:spacing w:line="240" w:lineRule="auto"/>
              <w:ind w:firstLine="0"/>
              <w:jc w:val="left"/>
            </w:pPr>
            <w:r>
              <w:rPr>
                <w:rFonts w:hint="eastAsia"/>
              </w:rPr>
              <w:t>密钥周期</w:t>
            </w:r>
          </w:p>
        </w:tc>
        <w:tc>
          <w:tcPr>
            <w:tcW w:w="7233" w:type="dxa"/>
            <w:shd w:val="clear" w:color="auto" w:fill="auto"/>
          </w:tcPr>
          <w:p w14:paraId="76740F75">
            <w:pPr>
              <w:pStyle w:val="186"/>
              <w:widowControl w:val="0"/>
              <w:spacing w:line="240" w:lineRule="auto"/>
              <w:ind w:firstLine="0"/>
              <w:jc w:val="left"/>
            </w:pPr>
            <w:r>
              <w:rPr>
                <w:rFonts w:hint="eastAsia"/>
              </w:rPr>
              <w:t>设置SA第一阶段的密钥周期，单位为秒。到达密钥周期后，SA双方需要重新进行IKE协商。</w:t>
            </w:r>
          </w:p>
        </w:tc>
      </w:tr>
      <w:tr w14:paraId="6F39CA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shd w:val="clear" w:color="auto" w:fill="auto"/>
          </w:tcPr>
          <w:p w14:paraId="5D910CB6">
            <w:pPr>
              <w:pStyle w:val="186"/>
              <w:widowControl w:val="0"/>
              <w:spacing w:line="240" w:lineRule="auto"/>
              <w:ind w:firstLine="0"/>
              <w:jc w:val="left"/>
            </w:pPr>
            <w:r>
              <w:rPr>
                <w:rFonts w:hint="eastAsia"/>
              </w:rPr>
              <w:t>NAT穿越连接频率</w:t>
            </w:r>
          </w:p>
        </w:tc>
        <w:tc>
          <w:tcPr>
            <w:tcW w:w="7233" w:type="dxa"/>
            <w:shd w:val="clear" w:color="auto" w:fill="auto"/>
          </w:tcPr>
          <w:p w14:paraId="20A18360">
            <w:pPr>
              <w:pStyle w:val="186"/>
              <w:widowControl w:val="0"/>
              <w:spacing w:line="240" w:lineRule="auto"/>
              <w:ind w:firstLine="0"/>
              <w:jc w:val="left"/>
            </w:pPr>
            <w:r>
              <w:rPr>
                <w:rFonts w:hint="eastAsia"/>
              </w:rPr>
              <w:t>即在穿越NAT时，NAT会话保活报文的发送间隔。</w:t>
            </w:r>
          </w:p>
        </w:tc>
      </w:tr>
      <w:tr w14:paraId="3E5D5E4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shd w:val="clear" w:color="auto" w:fill="auto"/>
          </w:tcPr>
          <w:p w14:paraId="1728B46A">
            <w:pPr>
              <w:pStyle w:val="186"/>
              <w:widowControl w:val="0"/>
              <w:spacing w:line="240" w:lineRule="auto"/>
              <w:ind w:firstLine="0"/>
              <w:jc w:val="left"/>
            </w:pPr>
            <w:r>
              <w:rPr>
                <w:rFonts w:hint="eastAsia"/>
              </w:rPr>
              <w:t>本端ID</w:t>
            </w:r>
          </w:p>
        </w:tc>
        <w:tc>
          <w:tcPr>
            <w:tcW w:w="7233" w:type="dxa"/>
            <w:shd w:val="clear" w:color="auto" w:fill="auto"/>
          </w:tcPr>
          <w:p w14:paraId="0F9E1376">
            <w:pPr>
              <w:pStyle w:val="186"/>
              <w:widowControl w:val="0"/>
              <w:spacing w:line="240" w:lineRule="auto"/>
              <w:ind w:firstLine="0"/>
              <w:jc w:val="left"/>
            </w:pPr>
            <w:r>
              <w:rPr>
                <w:rFonts w:hint="eastAsia"/>
              </w:rPr>
              <w:t>支持IP地址，FQDN和User-FQDN三种格式。其中FQDN和User-FQDN只能用于野蛮模式。</w:t>
            </w:r>
          </w:p>
        </w:tc>
      </w:tr>
      <w:tr w14:paraId="634A4F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shd w:val="clear" w:color="auto" w:fill="auto"/>
          </w:tcPr>
          <w:p w14:paraId="1EF58290">
            <w:pPr>
              <w:pStyle w:val="186"/>
              <w:widowControl w:val="0"/>
              <w:spacing w:line="240" w:lineRule="auto"/>
              <w:ind w:firstLine="0"/>
              <w:jc w:val="left"/>
            </w:pPr>
            <w:r>
              <w:rPr>
                <w:rFonts w:hint="eastAsia"/>
              </w:rPr>
              <w:t>对端ID</w:t>
            </w:r>
          </w:p>
        </w:tc>
        <w:tc>
          <w:tcPr>
            <w:tcW w:w="7233" w:type="dxa"/>
            <w:shd w:val="clear" w:color="auto" w:fill="auto"/>
          </w:tcPr>
          <w:p w14:paraId="4B9E8276">
            <w:pPr>
              <w:pStyle w:val="186"/>
              <w:widowControl w:val="0"/>
              <w:spacing w:line="240" w:lineRule="auto"/>
              <w:ind w:firstLine="0"/>
              <w:jc w:val="left"/>
            </w:pPr>
            <w:r>
              <w:rPr>
                <w:rFonts w:hint="eastAsia"/>
              </w:rPr>
              <w:t>支持IP地址，FQDN和User-FQDN三种格式。其中FQDN和User-FQDN只能用于野蛮模式。</w:t>
            </w:r>
          </w:p>
          <w:p w14:paraId="1AFFD2E5">
            <w:pPr>
              <w:pStyle w:val="186"/>
              <w:widowControl w:val="0"/>
              <w:spacing w:line="240" w:lineRule="auto"/>
              <w:ind w:firstLine="0"/>
              <w:jc w:val="left"/>
            </w:pPr>
            <w:r>
              <w:rPr>
                <w:rFonts w:hint="eastAsia"/>
              </w:rPr>
              <w:t>用于校验对端的ID，以匹配对应的IKE。</w:t>
            </w:r>
          </w:p>
        </w:tc>
      </w:tr>
      <w:tr w14:paraId="116E967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shd w:val="clear" w:color="auto" w:fill="auto"/>
          </w:tcPr>
          <w:p w14:paraId="34D8665F">
            <w:pPr>
              <w:pStyle w:val="186"/>
              <w:widowControl w:val="0"/>
              <w:spacing w:line="240" w:lineRule="auto"/>
              <w:ind w:firstLine="0"/>
              <w:jc w:val="left"/>
            </w:pPr>
            <w:r>
              <w:rPr>
                <w:rFonts w:hint="eastAsia"/>
              </w:rPr>
              <w:t>对等体状态探测</w:t>
            </w:r>
          </w:p>
        </w:tc>
        <w:tc>
          <w:tcPr>
            <w:tcW w:w="7233" w:type="dxa"/>
            <w:shd w:val="clear" w:color="auto" w:fill="auto"/>
          </w:tcPr>
          <w:p w14:paraId="6CDC1CEE">
            <w:pPr>
              <w:pStyle w:val="186"/>
              <w:widowControl w:val="0"/>
              <w:spacing w:line="240" w:lineRule="auto"/>
              <w:ind w:firstLine="0"/>
              <w:jc w:val="left"/>
            </w:pPr>
            <w:r>
              <w:rPr>
                <w:rFonts w:hint="eastAsia"/>
              </w:rPr>
              <w:t>即DPD监测，可以开启该功能，用以探测对端的存活状况。</w:t>
            </w:r>
          </w:p>
          <w:p w14:paraId="534ECF2B">
            <w:pPr>
              <w:pStyle w:val="186"/>
              <w:widowControl w:val="0"/>
              <w:spacing w:line="240" w:lineRule="auto"/>
              <w:ind w:firstLine="0"/>
              <w:jc w:val="left"/>
            </w:pPr>
            <w:r>
              <w:rPr>
                <w:rFonts w:hint="eastAsia"/>
              </w:rPr>
              <w:t>对</w:t>
            </w:r>
            <w:r>
              <w:t>于</w:t>
            </w:r>
            <w:r>
              <w:rPr>
                <w:rFonts w:hint="eastAsia"/>
              </w:rPr>
              <w:t>IPSEC</w:t>
            </w:r>
            <w:r>
              <w:t>分支</w:t>
            </w:r>
            <w:r>
              <w:rPr>
                <w:rFonts w:hint="eastAsia"/>
              </w:rPr>
              <w:t>非常</w:t>
            </w:r>
            <w:r>
              <w:t>多的场景，</w:t>
            </w:r>
            <w:r>
              <w:rPr>
                <w:rFonts w:hint="eastAsia"/>
              </w:rPr>
              <w:t>如有</w:t>
            </w:r>
            <w:r>
              <w:t>几千</w:t>
            </w:r>
            <w:r>
              <w:rPr>
                <w:rFonts w:hint="eastAsia"/>
              </w:rPr>
              <w:t>个甚至</w:t>
            </w:r>
            <w:r>
              <w:t>上万个分支，不建议开启</w:t>
            </w:r>
            <w:r>
              <w:rPr>
                <w:rFonts w:hint="eastAsia"/>
              </w:rPr>
              <w:t>DPD检测，</w:t>
            </w:r>
            <w:r>
              <w:t>否则</w:t>
            </w:r>
            <w:r>
              <w:rPr>
                <w:rFonts w:hint="eastAsia"/>
              </w:rPr>
              <w:t>中</w:t>
            </w:r>
            <w:r>
              <w:t>心端的设备会因为</w:t>
            </w:r>
            <w:r>
              <w:rPr>
                <w:rFonts w:hint="eastAsia"/>
              </w:rPr>
              <w:t>处理</w:t>
            </w:r>
            <w:r>
              <w:t>大量</w:t>
            </w:r>
            <w:r>
              <w:rPr>
                <w:rFonts w:hint="eastAsia"/>
              </w:rPr>
              <w:t>DPD报文而</w:t>
            </w:r>
            <w:r>
              <w:t>严重消耗</w:t>
            </w:r>
            <w:r>
              <w:rPr>
                <w:rFonts w:hint="eastAsia"/>
              </w:rPr>
              <w:t>CPU资源</w:t>
            </w:r>
          </w:p>
        </w:tc>
      </w:tr>
      <w:tr w14:paraId="62C824C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shd w:val="clear" w:color="auto" w:fill="auto"/>
          </w:tcPr>
          <w:p w14:paraId="5A8E1D27">
            <w:pPr>
              <w:pStyle w:val="186"/>
              <w:widowControl w:val="0"/>
              <w:spacing w:line="240" w:lineRule="auto"/>
              <w:ind w:firstLine="0"/>
              <w:jc w:val="left"/>
            </w:pPr>
            <w:r>
              <w:t>DPD检测间隔</w:t>
            </w:r>
          </w:p>
        </w:tc>
        <w:tc>
          <w:tcPr>
            <w:tcW w:w="7233" w:type="dxa"/>
            <w:shd w:val="clear" w:color="auto" w:fill="auto"/>
          </w:tcPr>
          <w:p w14:paraId="1901528A">
            <w:pPr>
              <w:pStyle w:val="186"/>
              <w:widowControl w:val="0"/>
              <w:spacing w:line="240" w:lineRule="auto"/>
              <w:ind w:firstLine="0"/>
              <w:jc w:val="left"/>
            </w:pPr>
            <w:r>
              <w:rPr>
                <w:rFonts w:hint="eastAsia"/>
              </w:rPr>
              <w:t>发送DPD报文的间隔。</w:t>
            </w:r>
          </w:p>
        </w:tc>
      </w:tr>
      <w:tr w14:paraId="3B9B73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shd w:val="clear" w:color="auto" w:fill="auto"/>
          </w:tcPr>
          <w:p w14:paraId="33383D1D">
            <w:pPr>
              <w:pStyle w:val="186"/>
              <w:widowControl w:val="0"/>
              <w:spacing w:line="240" w:lineRule="auto"/>
              <w:ind w:firstLine="0"/>
              <w:jc w:val="left"/>
            </w:pPr>
            <w:r>
              <w:t>DPD失败重试间隔</w:t>
            </w:r>
          </w:p>
        </w:tc>
        <w:tc>
          <w:tcPr>
            <w:tcW w:w="7233" w:type="dxa"/>
            <w:shd w:val="clear" w:color="auto" w:fill="auto"/>
          </w:tcPr>
          <w:p w14:paraId="0F8D5250">
            <w:pPr>
              <w:pStyle w:val="186"/>
              <w:widowControl w:val="0"/>
              <w:spacing w:line="240" w:lineRule="auto"/>
              <w:ind w:firstLine="0"/>
              <w:jc w:val="left"/>
            </w:pPr>
            <w:r>
              <w:rPr>
                <w:rFonts w:hint="eastAsia"/>
              </w:rPr>
              <w:t>如果前一次发送的DPD报文未得到回应，则使用重试间隔来发送下一次DPD报文。一般DPD失败重试间隔小于DPD检测间隔，用于快速地确认对端是否存活。</w:t>
            </w:r>
          </w:p>
        </w:tc>
      </w:tr>
      <w:tr w14:paraId="2C79BC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shd w:val="clear" w:color="auto" w:fill="auto"/>
          </w:tcPr>
          <w:p w14:paraId="559F1E7A">
            <w:pPr>
              <w:pStyle w:val="186"/>
              <w:widowControl w:val="0"/>
              <w:spacing w:line="240" w:lineRule="auto"/>
              <w:ind w:firstLine="0"/>
              <w:jc w:val="left"/>
            </w:pPr>
            <w:r>
              <w:t>DPD失败重试次数</w:t>
            </w:r>
          </w:p>
        </w:tc>
        <w:tc>
          <w:tcPr>
            <w:tcW w:w="7233" w:type="dxa"/>
            <w:shd w:val="clear" w:color="auto" w:fill="auto"/>
          </w:tcPr>
          <w:p w14:paraId="54611BF1">
            <w:pPr>
              <w:pStyle w:val="186"/>
              <w:widowControl w:val="0"/>
              <w:spacing w:line="240" w:lineRule="auto"/>
              <w:ind w:firstLine="0"/>
              <w:jc w:val="left"/>
            </w:pPr>
            <w:r>
              <w:rPr>
                <w:rFonts w:hint="eastAsia"/>
              </w:rPr>
              <w:t>在重试了指定次数后，仍未得到对端的回应，则认为对端已断开连接。</w:t>
            </w:r>
          </w:p>
        </w:tc>
      </w:tr>
      <w:tr w14:paraId="5552909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shd w:val="clear" w:color="auto" w:fill="auto"/>
          </w:tcPr>
          <w:p w14:paraId="553E6D33">
            <w:pPr>
              <w:pStyle w:val="186"/>
              <w:widowControl w:val="0"/>
              <w:spacing w:line="240" w:lineRule="auto"/>
              <w:ind w:firstLine="0"/>
              <w:jc w:val="left"/>
            </w:pPr>
            <w:r>
              <w:rPr>
                <w:rFonts w:hint="eastAsia"/>
              </w:rPr>
              <w:t>扩展认证</w:t>
            </w:r>
          </w:p>
        </w:tc>
        <w:tc>
          <w:tcPr>
            <w:tcW w:w="7233" w:type="dxa"/>
            <w:shd w:val="clear" w:color="auto" w:fill="auto"/>
          </w:tcPr>
          <w:p w14:paraId="56F021EE">
            <w:pPr>
              <w:pStyle w:val="186"/>
              <w:widowControl w:val="0"/>
              <w:spacing w:line="240" w:lineRule="auto"/>
              <w:ind w:firstLine="0"/>
              <w:jc w:val="left"/>
            </w:pPr>
            <w:r>
              <w:rPr>
                <w:rFonts w:hint="eastAsia"/>
              </w:rPr>
              <w:t>开启该功能后，需要在用户管理页面添加用户，具体步骤可参考用户管理模块。</w:t>
            </w:r>
          </w:p>
        </w:tc>
      </w:tr>
      <w:tr w14:paraId="4514D3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shd w:val="clear" w:color="auto" w:fill="auto"/>
          </w:tcPr>
          <w:p w14:paraId="5B819E43">
            <w:pPr>
              <w:pStyle w:val="186"/>
              <w:widowControl w:val="0"/>
              <w:spacing w:line="240" w:lineRule="auto"/>
              <w:ind w:firstLine="0"/>
              <w:jc w:val="left"/>
            </w:pPr>
            <w:r>
              <w:rPr>
                <w:rFonts w:hint="eastAsia"/>
              </w:rPr>
              <w:t>模式配置</w:t>
            </w:r>
          </w:p>
        </w:tc>
        <w:tc>
          <w:tcPr>
            <w:tcW w:w="7233" w:type="dxa"/>
            <w:shd w:val="clear" w:color="auto" w:fill="auto"/>
          </w:tcPr>
          <w:p w14:paraId="16A14D07">
            <w:pPr>
              <w:pStyle w:val="186"/>
              <w:widowControl w:val="0"/>
              <w:spacing w:line="240" w:lineRule="auto"/>
              <w:ind w:firstLine="0"/>
              <w:jc w:val="left"/>
            </w:pPr>
            <w:r>
              <w:rPr>
                <w:rFonts w:hint="eastAsia"/>
              </w:rPr>
              <w:t>给远程接入的用户分配地址及下发DNS、WINS服务器。</w:t>
            </w:r>
          </w:p>
        </w:tc>
      </w:tr>
      <w:tr w14:paraId="277A58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shd w:val="clear" w:color="auto" w:fill="auto"/>
          </w:tcPr>
          <w:p w14:paraId="4B0178D6">
            <w:pPr>
              <w:pStyle w:val="186"/>
              <w:widowControl w:val="0"/>
              <w:spacing w:line="240" w:lineRule="auto"/>
              <w:ind w:firstLine="0"/>
              <w:jc w:val="left"/>
            </w:pPr>
            <w:r>
              <w:rPr>
                <w:rFonts w:hint="eastAsia"/>
              </w:rPr>
              <w:t>地址池</w:t>
            </w:r>
          </w:p>
        </w:tc>
        <w:tc>
          <w:tcPr>
            <w:tcW w:w="7233" w:type="dxa"/>
            <w:shd w:val="clear" w:color="auto" w:fill="auto"/>
          </w:tcPr>
          <w:p w14:paraId="12858635">
            <w:pPr>
              <w:pStyle w:val="186"/>
              <w:widowControl w:val="0"/>
              <w:spacing w:line="240" w:lineRule="auto"/>
              <w:ind w:firstLine="0"/>
              <w:jc w:val="left"/>
            </w:pPr>
            <w:r>
              <w:rPr>
                <w:rFonts w:hint="eastAsia"/>
              </w:rPr>
              <w:t>给远程接入的用户分配地址的地址对象。</w:t>
            </w:r>
          </w:p>
        </w:tc>
      </w:tr>
      <w:tr w14:paraId="1463204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shd w:val="clear" w:color="auto" w:fill="auto"/>
          </w:tcPr>
          <w:p w14:paraId="1B99580A">
            <w:pPr>
              <w:pStyle w:val="186"/>
              <w:widowControl w:val="0"/>
              <w:spacing w:line="240" w:lineRule="auto"/>
              <w:ind w:firstLine="0"/>
              <w:jc w:val="left"/>
            </w:pPr>
            <w:r>
              <w:rPr>
                <w:rFonts w:hint="eastAsia"/>
              </w:rPr>
              <w:t>拨号用户DNS</w:t>
            </w:r>
          </w:p>
        </w:tc>
        <w:tc>
          <w:tcPr>
            <w:tcW w:w="7233" w:type="dxa"/>
            <w:shd w:val="clear" w:color="auto" w:fill="auto"/>
          </w:tcPr>
          <w:p w14:paraId="64D32C9B">
            <w:pPr>
              <w:pStyle w:val="186"/>
              <w:widowControl w:val="0"/>
              <w:spacing w:line="240" w:lineRule="auto"/>
              <w:ind w:firstLine="0"/>
              <w:jc w:val="left"/>
            </w:pPr>
            <w:r>
              <w:rPr>
                <w:rFonts w:hint="eastAsia"/>
              </w:rPr>
              <w:t>给远程接入的用户分配的DNS。</w:t>
            </w:r>
          </w:p>
        </w:tc>
      </w:tr>
      <w:tr w14:paraId="7D2397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shd w:val="clear" w:color="auto" w:fill="auto"/>
          </w:tcPr>
          <w:p w14:paraId="39D957AC">
            <w:pPr>
              <w:pStyle w:val="186"/>
              <w:widowControl w:val="0"/>
              <w:spacing w:line="240" w:lineRule="auto"/>
              <w:ind w:firstLine="0"/>
              <w:jc w:val="left"/>
            </w:pPr>
            <w:r>
              <w:rPr>
                <w:rFonts w:hint="eastAsia"/>
              </w:rPr>
              <w:t>拨号用户WINS</w:t>
            </w:r>
          </w:p>
        </w:tc>
        <w:tc>
          <w:tcPr>
            <w:tcW w:w="7233" w:type="dxa"/>
            <w:shd w:val="clear" w:color="auto" w:fill="auto"/>
          </w:tcPr>
          <w:p w14:paraId="62053733">
            <w:pPr>
              <w:pStyle w:val="186"/>
              <w:widowControl w:val="0"/>
              <w:spacing w:line="240" w:lineRule="auto"/>
              <w:ind w:firstLine="0"/>
              <w:jc w:val="left"/>
            </w:pPr>
            <w:r>
              <w:rPr>
                <w:rFonts w:hint="eastAsia"/>
              </w:rPr>
              <w:t>给远程接入的用户分配的WINS。</w:t>
            </w:r>
          </w:p>
        </w:tc>
      </w:tr>
      <w:tr w14:paraId="30CF9C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shd w:val="clear" w:color="auto" w:fill="auto"/>
          </w:tcPr>
          <w:p w14:paraId="5988A80E">
            <w:pPr>
              <w:pStyle w:val="186"/>
              <w:widowControl w:val="0"/>
              <w:spacing w:line="240" w:lineRule="auto"/>
              <w:ind w:firstLine="0"/>
              <w:jc w:val="left"/>
            </w:pPr>
            <w:r>
              <w:rPr>
                <w:rFonts w:hint="eastAsia"/>
              </w:rPr>
              <w:t>不删除IPSec SA</w:t>
            </w:r>
          </w:p>
        </w:tc>
        <w:tc>
          <w:tcPr>
            <w:tcW w:w="7233" w:type="dxa"/>
            <w:shd w:val="clear" w:color="auto" w:fill="auto"/>
          </w:tcPr>
          <w:p w14:paraId="6AA40137">
            <w:pPr>
              <w:pStyle w:val="186"/>
              <w:widowControl w:val="0"/>
              <w:spacing w:line="240" w:lineRule="auto"/>
              <w:ind w:firstLine="0"/>
              <w:jc w:val="left"/>
            </w:pPr>
            <w:r>
              <w:rPr>
                <w:rFonts w:hint="eastAsia"/>
              </w:rPr>
              <w:t>与第三方厂商的设备对接使用，默认不需要开启。</w:t>
            </w:r>
          </w:p>
        </w:tc>
      </w:tr>
    </w:tbl>
    <w:p w14:paraId="27C348C6"/>
    <w:p w14:paraId="09CB9B44">
      <w:r>
        <w:rPr>
          <w:rFonts w:hint="eastAsia"/>
        </w:rPr>
        <w:t>输入完毕后，点击</w:t>
      </w:r>
      <w:r>
        <w:t>&lt;</w:t>
      </w:r>
      <w:r>
        <w:rPr>
          <w:rFonts w:hint="eastAsia"/>
        </w:rPr>
        <w:t>提交</w:t>
      </w:r>
      <w:r>
        <w:t>&gt;</w:t>
      </w:r>
      <w:r>
        <w:rPr>
          <w:rFonts w:hint="eastAsia"/>
        </w:rPr>
        <w:t>按钮，应用配置。</w:t>
      </w:r>
    </w:p>
    <w:p w14:paraId="6310302E">
      <w:r>
        <w:rPr>
          <w:rFonts w:hint="eastAsia"/>
        </w:rPr>
        <w:t>在</w:t>
      </w:r>
      <w:r>
        <w:t>IPsec</w:t>
      </w:r>
      <w:r>
        <w:rPr>
          <w:rFonts w:hint="eastAsia"/>
        </w:rPr>
        <w:t>显示页面，点击</w:t>
      </w:r>
      <w:r>
        <w:t>IKE</w:t>
      </w:r>
      <w:r>
        <w:rPr>
          <w:rFonts w:hint="eastAsia"/>
        </w:rPr>
        <w:t>右侧的</w:t>
      </w:r>
      <w:r>
        <w:t>&lt;</w:t>
      </w:r>
      <w:r>
        <w:rPr>
          <w:rFonts w:hint="eastAsia"/>
        </w:rPr>
        <w:t>删除</w:t>
      </w:r>
      <w:r>
        <w:t>&gt;</w:t>
      </w:r>
      <w:r>
        <w:rPr>
          <w:rFonts w:hint="eastAsia"/>
        </w:rPr>
        <w:t>按钮，可以删除对应的</w:t>
      </w:r>
      <w:r>
        <w:t>IKE</w:t>
      </w:r>
      <w:r>
        <w:rPr>
          <w:rFonts w:hint="eastAsia"/>
        </w:rPr>
        <w:t>。</w:t>
      </w:r>
    </w:p>
    <w:p w14:paraId="7F15428D">
      <w:pPr>
        <w:pStyle w:val="5"/>
      </w:pPr>
      <w:bookmarkStart w:id="2657" w:name="_Toc388630874"/>
      <w:bookmarkStart w:id="2658" w:name="_Toc23152547"/>
      <w:bookmarkStart w:id="2659" w:name="_Ref393294797"/>
      <w:bookmarkStart w:id="2660" w:name="_Toc40275980"/>
      <w:bookmarkStart w:id="2661" w:name="_Toc15484781"/>
      <w:bookmarkStart w:id="2662" w:name="_Toc99561485"/>
      <w:bookmarkStart w:id="2663" w:name="_Toc12378464"/>
      <w:bookmarkStart w:id="2664" w:name="_Toc141873423"/>
      <w:bookmarkStart w:id="2665" w:name="_Toc142400939"/>
      <w:bookmarkStart w:id="2666" w:name="_Toc172218172"/>
      <w:bookmarkStart w:id="2667" w:name="_Toc196728131"/>
      <w:bookmarkStart w:id="2668" w:name="_Toc194080799"/>
      <w:r>
        <w:rPr>
          <w:rFonts w:hint="eastAsia"/>
        </w:rPr>
        <w:t>配置</w:t>
      </w:r>
      <w:bookmarkEnd w:id="2657"/>
      <w:r>
        <w:rPr>
          <w:rFonts w:hint="eastAsia"/>
        </w:rPr>
        <w:t>IPsec协商策略</w:t>
      </w:r>
      <w:bookmarkEnd w:id="2658"/>
      <w:bookmarkEnd w:id="2659"/>
      <w:bookmarkEnd w:id="2660"/>
      <w:bookmarkEnd w:id="2661"/>
      <w:bookmarkEnd w:id="2662"/>
      <w:bookmarkEnd w:id="2663"/>
      <w:bookmarkEnd w:id="2664"/>
      <w:bookmarkEnd w:id="2665"/>
      <w:bookmarkEnd w:id="2666"/>
      <w:bookmarkEnd w:id="2667"/>
      <w:bookmarkEnd w:id="2668"/>
    </w:p>
    <w:p w14:paraId="6DA7265D">
      <w:r>
        <w:rPr>
          <w:rFonts w:hint="eastAsia"/>
        </w:rPr>
        <w:t>在导航栏中选择“</w:t>
      </w:r>
      <w:r>
        <w:t>网络配置 &gt; VPN &gt; IPsec-VPN &gt; Ipsec</w:t>
      </w:r>
      <w:r>
        <w:rPr>
          <w:rFonts w:hint="eastAsia"/>
        </w:rPr>
        <w:t>第三方对接”，进入</w:t>
      </w:r>
      <w:r>
        <w:t>IPsec</w:t>
      </w:r>
      <w:r>
        <w:rPr>
          <w:rFonts w:hint="eastAsia"/>
        </w:rPr>
        <w:t>配置的显示页面，单击</w:t>
      </w:r>
      <w:r>
        <w:t>&lt;</w:t>
      </w:r>
      <w:r>
        <w:rPr>
          <w:rFonts w:hint="eastAsia"/>
        </w:rPr>
        <w:t>新建</w:t>
      </w:r>
      <w:r>
        <w:t>IPsec&gt;</w:t>
      </w:r>
      <w:r>
        <w:rPr>
          <w:rFonts w:hint="eastAsia"/>
        </w:rPr>
        <w:t>按钮，或者点击对应</w:t>
      </w:r>
      <w:r>
        <w:t>IPsec</w:t>
      </w:r>
      <w:r>
        <w:rPr>
          <w:rFonts w:hint="eastAsia"/>
        </w:rPr>
        <w:t>的右侧</w:t>
      </w:r>
      <w:r>
        <w:t>&lt;</w:t>
      </w:r>
      <w:r>
        <w:rPr>
          <w:rFonts w:hint="eastAsia"/>
        </w:rPr>
        <w:t>编辑</w:t>
      </w:r>
      <w:r>
        <w:t>&gt;</w:t>
      </w:r>
      <w:r>
        <w:rPr>
          <w:rFonts w:hint="eastAsia"/>
        </w:rPr>
        <w:t>按钮，进入</w:t>
      </w:r>
      <w:r>
        <w:t>IPsec</w:t>
      </w:r>
      <w:r>
        <w:rPr>
          <w:rFonts w:hint="eastAsia"/>
        </w:rPr>
        <w:t>协商策略的配置页面，如</w:t>
      </w:r>
      <w:r>
        <w:rPr>
          <w:color w:val="0000FF"/>
          <w:u w:val="single"/>
        </w:rPr>
        <w:fldChar w:fldCharType="begin"/>
      </w:r>
      <w:r>
        <w:rPr>
          <w:color w:val="0000FF"/>
          <w:u w:val="single"/>
        </w:rPr>
        <w:instrText xml:space="preserve"> REF _Ref393210168 \r \h </w:instrText>
      </w:r>
      <w:r>
        <w:rPr>
          <w:color w:val="0000FF"/>
          <w:u w:val="single"/>
        </w:rPr>
        <w:fldChar w:fldCharType="separate"/>
      </w:r>
      <w:r>
        <w:rPr>
          <w:rFonts w:hint="eastAsia"/>
          <w:color w:val="0000FF"/>
          <w:u w:val="single"/>
        </w:rPr>
        <w:t>图9-4</w:t>
      </w:r>
      <w:r>
        <w:rPr>
          <w:color w:val="0000FF"/>
          <w:u w:val="single"/>
        </w:rPr>
        <w:fldChar w:fldCharType="end"/>
      </w:r>
      <w:r>
        <w:rPr>
          <w:rFonts w:hint="eastAsia"/>
        </w:rPr>
        <w:t>所示。</w:t>
      </w:r>
    </w:p>
    <w:p w14:paraId="4077A377">
      <w:pPr>
        <w:pStyle w:val="188"/>
      </w:pPr>
      <w:bookmarkStart w:id="2669" w:name="_Toc141874626"/>
      <w:bookmarkStart w:id="2670" w:name="_Ref393210168"/>
      <w:r>
        <w:rPr>
          <w:rFonts w:hint="eastAsia"/>
        </w:rPr>
        <w:t>IPsec新建页面</w:t>
      </w:r>
      <w:bookmarkEnd w:id="2669"/>
      <w:bookmarkEnd w:id="2670"/>
    </w:p>
    <w:p w14:paraId="48C6D270">
      <w:r>
        <w:drawing>
          <wp:inline distT="0" distB="0" distL="0" distR="0">
            <wp:extent cx="5400040" cy="1980565"/>
            <wp:effectExtent l="0" t="0" r="0" b="63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387"/>
                    <a:stretch>
                      <a:fillRect/>
                    </a:stretch>
                  </pic:blipFill>
                  <pic:spPr>
                    <a:xfrm>
                      <a:off x="0" y="0"/>
                      <a:ext cx="5400040" cy="1980565"/>
                    </a:xfrm>
                    <a:prstGeom prst="rect">
                      <a:avLst/>
                    </a:prstGeom>
                  </pic:spPr>
                </pic:pic>
              </a:graphicData>
            </a:graphic>
          </wp:inline>
        </w:drawing>
      </w:r>
    </w:p>
    <w:p w14:paraId="0E83F419"/>
    <w:p w14:paraId="77381BA6">
      <w:r>
        <w:rPr>
          <w:rFonts w:hint="eastAsia"/>
        </w:rPr>
        <w:t>点击下方</w:t>
      </w:r>
      <w:r>
        <w:t>&lt;</w:t>
      </w:r>
      <w:r>
        <w:rPr>
          <w:rFonts w:hint="eastAsia"/>
        </w:rPr>
        <w:t>高级选项</w:t>
      </w:r>
      <w:r>
        <w:t>&gt;</w:t>
      </w:r>
      <w:r>
        <w:rPr>
          <w:rFonts w:hint="eastAsia"/>
        </w:rPr>
        <w:t>按钮可以显示更多的配置选项，如</w:t>
      </w:r>
      <w:r>
        <w:fldChar w:fldCharType="begin"/>
      </w:r>
      <w:r>
        <w:instrText xml:space="preserve"> REF _Ref393210257 \r \h </w:instrText>
      </w:r>
      <w:r>
        <w:fldChar w:fldCharType="separate"/>
      </w:r>
      <w:r>
        <w:rPr>
          <w:rFonts w:hint="eastAsia"/>
        </w:rPr>
        <w:t>图9-5</w:t>
      </w:r>
      <w:r>
        <w:fldChar w:fldCharType="end"/>
      </w:r>
      <w:r>
        <w:rPr>
          <w:rFonts w:hint="eastAsia"/>
        </w:rPr>
        <w:t>所示。</w:t>
      </w:r>
    </w:p>
    <w:p w14:paraId="3E89B4D4">
      <w:pPr>
        <w:pStyle w:val="188"/>
      </w:pPr>
      <w:bookmarkStart w:id="2671" w:name="_Ref393210257"/>
      <w:bookmarkStart w:id="2672" w:name="_Toc141874627"/>
      <w:r>
        <w:rPr>
          <w:rFonts w:hint="eastAsia"/>
        </w:rPr>
        <w:t>IPsec协商策略详细配置页面</w:t>
      </w:r>
      <w:bookmarkEnd w:id="2671"/>
      <w:bookmarkEnd w:id="2672"/>
    </w:p>
    <w:p w14:paraId="43EAF6DE">
      <w:r>
        <w:drawing>
          <wp:inline distT="0" distB="0" distL="0" distR="0">
            <wp:extent cx="5400040" cy="3463925"/>
            <wp:effectExtent l="0" t="0" r="0" b="3175"/>
            <wp:docPr id="3283" name="图片 3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图片 3283"/>
                    <pic:cNvPicPr>
                      <a:picLocks noChangeAspect="1"/>
                    </pic:cNvPicPr>
                  </pic:nvPicPr>
                  <pic:blipFill>
                    <a:blip r:embed="rId388"/>
                    <a:stretch>
                      <a:fillRect/>
                    </a:stretch>
                  </pic:blipFill>
                  <pic:spPr>
                    <a:xfrm>
                      <a:off x="0" y="0"/>
                      <a:ext cx="5400040" cy="3463925"/>
                    </a:xfrm>
                    <a:prstGeom prst="rect">
                      <a:avLst/>
                    </a:prstGeom>
                  </pic:spPr>
                </pic:pic>
              </a:graphicData>
            </a:graphic>
          </wp:inline>
        </w:drawing>
      </w:r>
    </w:p>
    <w:p w14:paraId="280D71ED"/>
    <w:p w14:paraId="26D84B52">
      <w:r>
        <w:rPr>
          <w:rFonts w:hint="eastAsia"/>
        </w:rPr>
        <w:t>页面的详细说明如</w:t>
      </w:r>
      <w:r>
        <w:fldChar w:fldCharType="begin"/>
      </w:r>
      <w:r>
        <w:instrText xml:space="preserve"> REF _Ref393210298 \r \h </w:instrText>
      </w:r>
      <w:r>
        <w:fldChar w:fldCharType="separate"/>
      </w:r>
      <w:r>
        <w:rPr>
          <w:rFonts w:hint="eastAsia"/>
        </w:rPr>
        <w:t>表9-1</w:t>
      </w:r>
      <w:r>
        <w:fldChar w:fldCharType="end"/>
      </w:r>
      <w:r>
        <w:rPr>
          <w:rFonts w:hint="eastAsia"/>
        </w:rPr>
        <w:t>所示。</w:t>
      </w:r>
    </w:p>
    <w:p w14:paraId="52CE416F">
      <w:pPr>
        <w:pStyle w:val="183"/>
      </w:pPr>
      <w:bookmarkStart w:id="2673" w:name="_Ref393210298"/>
      <w:bookmarkStart w:id="2674" w:name="_Toc141875503"/>
      <w:r>
        <w:rPr>
          <w:rFonts w:hint="eastAsia"/>
        </w:rPr>
        <w:t>IPsec协商策略配置的详细说明</w:t>
      </w:r>
      <w:bookmarkEnd w:id="2673"/>
      <w:bookmarkEnd w:id="2674"/>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809"/>
        <w:gridCol w:w="7205"/>
      </w:tblGrid>
      <w:tr w14:paraId="52E726E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tcBorders>
              <w:tl2br w:val="nil"/>
              <w:tr2bl w:val="nil"/>
            </w:tcBorders>
            <w:shd w:val="clear" w:color="auto" w:fill="538135" w:themeFill="accent6" w:themeFillShade="BF"/>
            <w:vAlign w:val="center"/>
          </w:tcPr>
          <w:p w14:paraId="4DB12573">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7205" w:type="dxa"/>
            <w:tcBorders>
              <w:tl2br w:val="nil"/>
              <w:tr2bl w:val="nil"/>
            </w:tcBorders>
            <w:shd w:val="clear" w:color="auto" w:fill="538135" w:themeFill="accent6" w:themeFillShade="BF"/>
            <w:vAlign w:val="center"/>
          </w:tcPr>
          <w:p w14:paraId="1FF69CB9">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7ED9F58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08CCEAAE">
            <w:pPr>
              <w:pStyle w:val="186"/>
              <w:widowControl w:val="0"/>
              <w:spacing w:line="240" w:lineRule="auto"/>
              <w:ind w:firstLine="0"/>
              <w:jc w:val="left"/>
            </w:pPr>
            <w:r>
              <w:rPr>
                <w:rFonts w:hint="eastAsia"/>
              </w:rPr>
              <w:t>通道</w:t>
            </w:r>
            <w:r>
              <w:t>名称</w:t>
            </w:r>
          </w:p>
        </w:tc>
        <w:tc>
          <w:tcPr>
            <w:tcW w:w="7205" w:type="dxa"/>
            <w:shd w:val="clear" w:color="auto" w:fill="auto"/>
          </w:tcPr>
          <w:p w14:paraId="3853B881">
            <w:pPr>
              <w:pStyle w:val="186"/>
              <w:widowControl w:val="0"/>
              <w:spacing w:line="240" w:lineRule="auto"/>
              <w:ind w:firstLine="0"/>
              <w:jc w:val="left"/>
            </w:pPr>
            <w:r>
              <w:rPr>
                <w:rFonts w:hint="eastAsia"/>
              </w:rPr>
              <w:t>IPsec协商策略名称。</w:t>
            </w:r>
          </w:p>
        </w:tc>
      </w:tr>
      <w:tr w14:paraId="28C71E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0AADB6AF">
            <w:pPr>
              <w:pStyle w:val="186"/>
              <w:widowControl w:val="0"/>
              <w:spacing w:line="240" w:lineRule="auto"/>
              <w:ind w:firstLine="0"/>
              <w:jc w:val="left"/>
            </w:pPr>
            <w:r>
              <w:rPr>
                <w:rFonts w:hint="eastAsia"/>
              </w:rPr>
              <w:t>IKE</w:t>
            </w:r>
          </w:p>
        </w:tc>
        <w:tc>
          <w:tcPr>
            <w:tcW w:w="7205" w:type="dxa"/>
            <w:shd w:val="clear" w:color="auto" w:fill="auto"/>
          </w:tcPr>
          <w:p w14:paraId="4545FB51">
            <w:pPr>
              <w:pStyle w:val="186"/>
              <w:widowControl w:val="0"/>
              <w:spacing w:line="240" w:lineRule="auto"/>
              <w:ind w:firstLine="0"/>
              <w:jc w:val="left"/>
            </w:pPr>
            <w:r>
              <w:rPr>
                <w:rFonts w:hint="eastAsia"/>
              </w:rPr>
              <w:t>选择一个已经新建的IKE。</w:t>
            </w:r>
          </w:p>
        </w:tc>
      </w:tr>
      <w:tr w14:paraId="5B4A99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79EBF60A">
            <w:pPr>
              <w:pStyle w:val="186"/>
              <w:widowControl w:val="0"/>
              <w:spacing w:line="240" w:lineRule="auto"/>
              <w:ind w:firstLine="0"/>
              <w:jc w:val="left"/>
            </w:pPr>
            <w:r>
              <w:rPr>
                <w:rFonts w:hint="eastAsia"/>
              </w:rPr>
              <w:t>IPsec协商交互方案</w:t>
            </w:r>
          </w:p>
        </w:tc>
        <w:tc>
          <w:tcPr>
            <w:tcW w:w="7205" w:type="dxa"/>
            <w:shd w:val="clear" w:color="auto" w:fill="auto"/>
          </w:tcPr>
          <w:p w14:paraId="6C4AD045">
            <w:pPr>
              <w:pStyle w:val="186"/>
              <w:widowControl w:val="0"/>
              <w:spacing w:line="240" w:lineRule="auto"/>
              <w:ind w:firstLine="0"/>
              <w:jc w:val="left"/>
            </w:pPr>
            <w:r>
              <w:rPr>
                <w:rFonts w:hint="eastAsia"/>
              </w:rPr>
              <w:t>添加二阶段协商所需要的加密提案，最多可以添加</w:t>
            </w:r>
            <w:r>
              <w:t>4</w:t>
            </w:r>
            <w:r>
              <w:rPr>
                <w:rFonts w:hint="eastAsia"/>
              </w:rPr>
              <w:t>个。ESP和AH不允许全为空。</w:t>
            </w:r>
          </w:p>
          <w:p w14:paraId="0D24E3FA">
            <w:pPr>
              <w:pStyle w:val="186"/>
              <w:widowControl w:val="0"/>
              <w:spacing w:line="240" w:lineRule="auto"/>
              <w:ind w:firstLine="0"/>
              <w:jc w:val="left"/>
            </w:pPr>
            <w:r>
              <w:rPr>
                <w:rFonts w:hint="eastAsia"/>
              </w:rPr>
              <w:t>ESP只验证IP负载部分，不包括IP首部，可对数据进行加密；AH验证IP负载部分和首部，但不提供加密服务。</w:t>
            </w:r>
          </w:p>
        </w:tc>
      </w:tr>
      <w:tr w14:paraId="6D50135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57EFBFBB">
            <w:pPr>
              <w:pStyle w:val="186"/>
              <w:widowControl w:val="0"/>
              <w:spacing w:line="240" w:lineRule="auto"/>
              <w:ind w:firstLine="0"/>
              <w:jc w:val="left"/>
            </w:pPr>
            <w:r>
              <w:rPr>
                <w:rFonts w:hint="eastAsia"/>
              </w:rPr>
              <w:t>完美向前保密（PFS）</w:t>
            </w:r>
          </w:p>
        </w:tc>
        <w:tc>
          <w:tcPr>
            <w:tcW w:w="7205" w:type="dxa"/>
            <w:shd w:val="clear" w:color="auto" w:fill="auto"/>
          </w:tcPr>
          <w:p w14:paraId="239B48EB">
            <w:pPr>
              <w:pStyle w:val="186"/>
              <w:widowControl w:val="0"/>
              <w:spacing w:line="240" w:lineRule="auto"/>
              <w:ind w:firstLine="0"/>
              <w:jc w:val="left"/>
            </w:pPr>
            <w:r>
              <w:rPr>
                <w:rFonts w:hint="eastAsia"/>
              </w:rPr>
              <w:t>指定完美向前保密组。启用PFS功能后，一个密钥只能访问由它所保护的数据；用于生成密钥的元素一次一换，不能再生成其他密钥；一个密钥被破解，不影响其他密钥的安全性。</w:t>
            </w:r>
          </w:p>
          <w:p w14:paraId="17492D00">
            <w:pPr>
              <w:pStyle w:val="186"/>
              <w:widowControl w:val="0"/>
              <w:spacing w:line="240" w:lineRule="auto"/>
              <w:ind w:firstLine="0"/>
              <w:jc w:val="left"/>
            </w:pPr>
            <w:r>
              <w:rPr>
                <w:rFonts w:hint="eastAsia"/>
              </w:rPr>
              <w:t>PFS功能由DH算法提供保障，目前可选的1组、2组、5组、14组、15组、16组、18组密钥长度分别为768位、1024位、1536位、2048位、3072位、4096位、8192位。</w:t>
            </w:r>
          </w:p>
        </w:tc>
      </w:tr>
      <w:tr w14:paraId="327D5C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3403EA18">
            <w:pPr>
              <w:pStyle w:val="186"/>
              <w:widowControl w:val="0"/>
              <w:spacing w:line="240" w:lineRule="auto"/>
              <w:ind w:firstLine="0"/>
              <w:jc w:val="left"/>
            </w:pPr>
            <w:r>
              <w:rPr>
                <w:rFonts w:hint="eastAsia"/>
              </w:rPr>
              <w:t>模式</w:t>
            </w:r>
          </w:p>
        </w:tc>
        <w:tc>
          <w:tcPr>
            <w:tcW w:w="7205" w:type="dxa"/>
            <w:shd w:val="clear" w:color="auto" w:fill="auto"/>
          </w:tcPr>
          <w:p w14:paraId="153878C2">
            <w:pPr>
              <w:pStyle w:val="186"/>
              <w:widowControl w:val="0"/>
              <w:spacing w:line="240" w:lineRule="auto"/>
              <w:ind w:firstLine="0"/>
              <w:jc w:val="left"/>
            </w:pPr>
            <w:r>
              <w:rPr>
                <w:rFonts w:hint="eastAsia"/>
              </w:rPr>
              <w:t>IPSEC加密的封装模式，目前只支持隧道（tunnel）模式。</w:t>
            </w:r>
          </w:p>
        </w:tc>
      </w:tr>
      <w:tr w14:paraId="5EE01D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0E4DCE08">
            <w:pPr>
              <w:pStyle w:val="186"/>
              <w:widowControl w:val="0"/>
              <w:spacing w:line="240" w:lineRule="auto"/>
              <w:ind w:firstLine="0"/>
              <w:jc w:val="left"/>
            </w:pPr>
            <w:r>
              <w:rPr>
                <w:rFonts w:hint="eastAsia"/>
              </w:rPr>
              <w:t>密钥周期</w:t>
            </w:r>
          </w:p>
        </w:tc>
        <w:tc>
          <w:tcPr>
            <w:tcW w:w="7205" w:type="dxa"/>
            <w:shd w:val="clear" w:color="auto" w:fill="auto"/>
          </w:tcPr>
          <w:p w14:paraId="59E5C5BF">
            <w:pPr>
              <w:pStyle w:val="186"/>
              <w:widowControl w:val="0"/>
              <w:spacing w:line="240" w:lineRule="auto"/>
              <w:ind w:firstLine="0"/>
              <w:jc w:val="left"/>
            </w:pPr>
            <w:r>
              <w:rPr>
                <w:rFonts w:hint="eastAsia"/>
              </w:rPr>
              <w:t>指定IPSEC SA最大有效时间，有时间、流量、时间+流量三种选择。</w:t>
            </w:r>
          </w:p>
        </w:tc>
      </w:tr>
      <w:tr w14:paraId="1D77B1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56C98427">
            <w:pPr>
              <w:pStyle w:val="186"/>
              <w:widowControl w:val="0"/>
              <w:spacing w:line="240" w:lineRule="auto"/>
              <w:ind w:firstLine="0"/>
              <w:jc w:val="left"/>
            </w:pPr>
            <w:r>
              <w:rPr>
                <w:rFonts w:hint="eastAsia"/>
              </w:rPr>
              <w:t>自动连接</w:t>
            </w:r>
          </w:p>
        </w:tc>
        <w:tc>
          <w:tcPr>
            <w:tcW w:w="7205" w:type="dxa"/>
            <w:shd w:val="clear" w:color="auto" w:fill="auto"/>
          </w:tcPr>
          <w:p w14:paraId="0BDFA2DD">
            <w:pPr>
              <w:pStyle w:val="186"/>
              <w:widowControl w:val="0"/>
              <w:spacing w:line="240" w:lineRule="auto"/>
              <w:ind w:firstLine="0"/>
              <w:jc w:val="left"/>
            </w:pPr>
            <w:r>
              <w:rPr>
                <w:rFonts w:hint="eastAsia"/>
              </w:rPr>
              <w:t>是否开启自动连接功能，如果开启此选择需同时设定一个自动重连时间间隔。</w:t>
            </w:r>
          </w:p>
        </w:tc>
      </w:tr>
      <w:tr w14:paraId="28924E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13EDFF0A">
            <w:pPr>
              <w:pStyle w:val="186"/>
              <w:widowControl w:val="0"/>
              <w:spacing w:line="240" w:lineRule="auto"/>
              <w:ind w:firstLine="0"/>
              <w:jc w:val="left"/>
            </w:pPr>
            <w:r>
              <w:rPr>
                <w:rFonts w:hint="eastAsia"/>
              </w:rPr>
              <w:t>流量触发连接</w:t>
            </w:r>
          </w:p>
        </w:tc>
        <w:tc>
          <w:tcPr>
            <w:tcW w:w="7205" w:type="dxa"/>
            <w:shd w:val="clear" w:color="auto" w:fill="auto"/>
          </w:tcPr>
          <w:p w14:paraId="2C5DE120">
            <w:pPr>
              <w:pStyle w:val="186"/>
              <w:widowControl w:val="0"/>
              <w:spacing w:line="240" w:lineRule="auto"/>
              <w:ind w:firstLine="0"/>
              <w:jc w:val="left"/>
            </w:pPr>
            <w:r>
              <w:rPr>
                <w:rFonts w:hint="eastAsia"/>
              </w:rPr>
              <w:t>开启此功能，不会建立IPsec隧道，在有流量通过的情况，才会建立IPsec隧道。</w:t>
            </w:r>
          </w:p>
        </w:tc>
      </w:tr>
      <w:tr w14:paraId="786A07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0FE722CA">
            <w:pPr>
              <w:pStyle w:val="186"/>
              <w:widowControl w:val="0"/>
              <w:spacing w:line="240" w:lineRule="auto"/>
              <w:ind w:firstLine="0"/>
              <w:jc w:val="left"/>
            </w:pPr>
            <w:r>
              <w:rPr>
                <w:rFonts w:hint="eastAsia"/>
              </w:rPr>
              <w:t>监控链路故障自动连接</w:t>
            </w:r>
          </w:p>
        </w:tc>
        <w:tc>
          <w:tcPr>
            <w:tcW w:w="7205" w:type="dxa"/>
            <w:shd w:val="clear" w:color="auto" w:fill="auto"/>
          </w:tcPr>
          <w:p w14:paraId="312E57F4">
            <w:pPr>
              <w:pStyle w:val="186"/>
              <w:widowControl w:val="0"/>
              <w:spacing w:line="240" w:lineRule="auto"/>
              <w:ind w:firstLine="0"/>
              <w:jc w:val="left"/>
            </w:pPr>
            <w:r>
              <w:rPr>
                <w:rFonts w:hint="eastAsia"/>
              </w:rPr>
              <w:t>此功能必须设置时间为自动连接的时间；</w:t>
            </w:r>
          </w:p>
          <w:p w14:paraId="59F10ACC">
            <w:pPr>
              <w:pStyle w:val="186"/>
              <w:widowControl w:val="0"/>
              <w:spacing w:line="240" w:lineRule="auto"/>
              <w:ind w:firstLine="0"/>
              <w:jc w:val="left"/>
            </w:pPr>
            <w:r>
              <w:rPr>
                <w:rFonts w:hint="eastAsia"/>
              </w:rPr>
              <w:t>主链路：需要选择监控的主链路；</w:t>
            </w:r>
          </w:p>
          <w:p w14:paraId="0F38282D">
            <w:pPr>
              <w:pStyle w:val="186"/>
              <w:widowControl w:val="0"/>
              <w:spacing w:line="240" w:lineRule="auto"/>
              <w:ind w:firstLine="0"/>
              <w:jc w:val="left"/>
            </w:pPr>
            <w:r>
              <w:rPr>
                <w:rFonts w:hint="eastAsia"/>
              </w:rPr>
              <w:t>切换延迟时间：主链路选择后需要设置主链路故障后切换到本链路的时长。</w:t>
            </w:r>
          </w:p>
        </w:tc>
      </w:tr>
    </w:tbl>
    <w:p w14:paraId="16B5AD67"/>
    <w:p w14:paraId="52CA0063">
      <w:r>
        <w:rPr>
          <w:rFonts w:hint="eastAsia"/>
        </w:rPr>
        <w:t>输入完毕后，点击</w:t>
      </w:r>
      <w:r>
        <w:t>&lt;</w:t>
      </w:r>
      <w:r>
        <w:rPr>
          <w:rFonts w:hint="eastAsia"/>
        </w:rPr>
        <w:t>提交</w:t>
      </w:r>
      <w:r>
        <w:t>&gt;</w:t>
      </w:r>
      <w:r>
        <w:rPr>
          <w:rFonts w:hint="eastAsia"/>
        </w:rPr>
        <w:t>按钮，应用配置。</w:t>
      </w:r>
    </w:p>
    <w:p w14:paraId="2A7DCA1B">
      <w:r>
        <w:rPr>
          <w:rFonts w:hint="eastAsia"/>
        </w:rPr>
        <w:t>在</w:t>
      </w:r>
      <w:r>
        <w:t>IPsec</w:t>
      </w:r>
      <w:r>
        <w:rPr>
          <w:rFonts w:hint="eastAsia"/>
        </w:rPr>
        <w:t>显示页面，点击</w:t>
      </w:r>
      <w:r>
        <w:t>IPsec</w:t>
      </w:r>
      <w:r>
        <w:rPr>
          <w:rFonts w:hint="eastAsia"/>
        </w:rPr>
        <w:t>右侧的</w:t>
      </w:r>
      <w:r>
        <w:t>&lt;</w:t>
      </w:r>
      <w:r>
        <w:rPr>
          <w:rFonts w:hint="eastAsia"/>
        </w:rPr>
        <w:t>删除</w:t>
      </w:r>
      <w:r>
        <w:t>&gt;</w:t>
      </w:r>
      <w:r>
        <w:rPr>
          <w:rFonts w:hint="eastAsia"/>
        </w:rPr>
        <w:t>按钮，可以删除对应的</w:t>
      </w:r>
      <w:r>
        <w:t>IPsec</w:t>
      </w:r>
      <w:r>
        <w:rPr>
          <w:rFonts w:hint="eastAsia"/>
        </w:rPr>
        <w:t>。</w:t>
      </w:r>
    </w:p>
    <w:p w14:paraId="36BF361E">
      <w:pPr>
        <w:pStyle w:val="5"/>
      </w:pPr>
      <w:bookmarkStart w:id="2675" w:name="_Toc40275982"/>
      <w:bookmarkStart w:id="2676" w:name="_Toc388630878"/>
      <w:bookmarkStart w:id="2677" w:name="_Toc15484783"/>
      <w:bookmarkStart w:id="2678" w:name="_Toc23152549"/>
      <w:bookmarkStart w:id="2679" w:name="_Toc99561487"/>
      <w:bookmarkStart w:id="2680" w:name="_Toc12378466"/>
      <w:bookmarkStart w:id="2681" w:name="_Ref393294808"/>
      <w:bookmarkStart w:id="2682" w:name="_Toc141873424"/>
      <w:bookmarkStart w:id="2683" w:name="_Toc196728132"/>
      <w:bookmarkStart w:id="2684" w:name="_Toc172218173"/>
      <w:bookmarkStart w:id="2685" w:name="_Toc194080800"/>
      <w:bookmarkStart w:id="2686" w:name="_Toc142400940"/>
      <w:r>
        <w:rPr>
          <w:rFonts w:hint="eastAsia"/>
        </w:rPr>
        <w:t>配置IPsec隧道接口</w:t>
      </w:r>
      <w:bookmarkEnd w:id="2675"/>
      <w:bookmarkEnd w:id="2676"/>
      <w:bookmarkEnd w:id="2677"/>
      <w:bookmarkEnd w:id="2678"/>
      <w:bookmarkEnd w:id="2679"/>
      <w:bookmarkEnd w:id="2680"/>
      <w:bookmarkEnd w:id="2681"/>
      <w:bookmarkEnd w:id="2682"/>
      <w:bookmarkEnd w:id="2683"/>
      <w:bookmarkEnd w:id="2684"/>
      <w:bookmarkEnd w:id="2685"/>
      <w:bookmarkEnd w:id="2686"/>
      <w:r>
        <w:tab/>
      </w:r>
    </w:p>
    <w:p w14:paraId="608BDB3D">
      <w:r>
        <w:rPr>
          <w:rFonts w:hint="eastAsia"/>
        </w:rPr>
        <w:t>在导航栏中选择“</w:t>
      </w:r>
      <w:r>
        <w:t>网络配置 &gt; VPN &gt; IPsec-VPN &gt; Ipsec</w:t>
      </w:r>
      <w:r>
        <w:rPr>
          <w:rFonts w:hint="eastAsia"/>
        </w:rPr>
        <w:t xml:space="preserve">第三方对接 </w:t>
      </w:r>
      <w:r>
        <w:t>&gt; IPsec</w:t>
      </w:r>
      <w:r>
        <w:rPr>
          <w:rFonts w:hint="eastAsia"/>
        </w:rPr>
        <w:t>隧道接口”，进入</w:t>
      </w:r>
      <w:r>
        <w:t>IPsec</w:t>
      </w:r>
      <w:r>
        <w:rPr>
          <w:rFonts w:hint="eastAsia"/>
        </w:rPr>
        <w:t>隧道接口的显示页面，如</w:t>
      </w:r>
      <w:r>
        <w:rPr>
          <w:color w:val="0000FF"/>
          <w:u w:val="single"/>
        </w:rPr>
        <w:fldChar w:fldCharType="begin"/>
      </w:r>
      <w:r>
        <w:rPr>
          <w:color w:val="0000FF"/>
          <w:u w:val="single"/>
        </w:rPr>
        <w:instrText xml:space="preserve"> REF _Ref393214499 \r \h </w:instrText>
      </w:r>
      <w:r>
        <w:rPr>
          <w:color w:val="0000FF"/>
          <w:u w:val="single"/>
        </w:rPr>
        <w:fldChar w:fldCharType="separate"/>
      </w:r>
      <w:r>
        <w:rPr>
          <w:rFonts w:hint="eastAsia"/>
          <w:color w:val="0000FF"/>
          <w:u w:val="single"/>
        </w:rPr>
        <w:t>图9-6</w:t>
      </w:r>
      <w:r>
        <w:rPr>
          <w:color w:val="0000FF"/>
          <w:u w:val="single"/>
        </w:rPr>
        <w:fldChar w:fldCharType="end"/>
      </w:r>
      <w:r>
        <w:rPr>
          <w:rFonts w:hint="eastAsia"/>
        </w:rPr>
        <w:t>所示。</w:t>
      </w:r>
    </w:p>
    <w:p w14:paraId="706691CB">
      <w:pPr>
        <w:pStyle w:val="188"/>
      </w:pPr>
      <w:bookmarkStart w:id="2687" w:name="_Ref393214499"/>
      <w:bookmarkStart w:id="2688" w:name="_Toc141874628"/>
      <w:r>
        <w:rPr>
          <w:rFonts w:hint="eastAsia"/>
        </w:rPr>
        <w:t>IPsec隧道接口显示页面</w:t>
      </w:r>
      <w:bookmarkEnd w:id="2687"/>
      <w:r>
        <w:t xml:space="preserve"> </w:t>
      </w:r>
      <w:r>
        <w:drawing>
          <wp:inline distT="0" distB="0" distL="0" distR="0">
            <wp:extent cx="5524500" cy="1042035"/>
            <wp:effectExtent l="0" t="0" r="0" b="5715"/>
            <wp:docPr id="2996" name="图片 2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6" name="图片 2996"/>
                    <pic:cNvPicPr>
                      <a:picLocks noChangeAspect="1"/>
                    </pic:cNvPicPr>
                  </pic:nvPicPr>
                  <pic:blipFill>
                    <a:blip r:embed="rId389"/>
                    <a:stretch>
                      <a:fillRect/>
                    </a:stretch>
                  </pic:blipFill>
                  <pic:spPr>
                    <a:xfrm>
                      <a:off x="0" y="0"/>
                      <a:ext cx="5527188" cy="1043049"/>
                    </a:xfrm>
                    <a:prstGeom prst="rect">
                      <a:avLst/>
                    </a:prstGeom>
                  </pic:spPr>
                </pic:pic>
              </a:graphicData>
            </a:graphic>
          </wp:inline>
        </w:drawing>
      </w:r>
      <w:bookmarkEnd w:id="2688"/>
    </w:p>
    <w:p w14:paraId="29F40266"/>
    <w:p w14:paraId="110CBB08">
      <w:r>
        <w:rPr>
          <w:rFonts w:hint="eastAsia"/>
        </w:rPr>
        <w:t>页面的详细说明如</w:t>
      </w:r>
      <w:r>
        <w:fldChar w:fldCharType="begin"/>
      </w:r>
      <w:r>
        <w:instrText xml:space="preserve"> REF _Ref393214487 \r \h </w:instrText>
      </w:r>
      <w:r>
        <w:fldChar w:fldCharType="separate"/>
      </w:r>
      <w:r>
        <w:rPr>
          <w:rFonts w:hint="eastAsia"/>
        </w:rPr>
        <w:t>表9-1</w:t>
      </w:r>
      <w:r>
        <w:fldChar w:fldCharType="end"/>
      </w:r>
      <w:r>
        <w:rPr>
          <w:rFonts w:hint="eastAsia"/>
        </w:rPr>
        <w:t>。</w:t>
      </w:r>
    </w:p>
    <w:p w14:paraId="306FC952">
      <w:pPr>
        <w:pStyle w:val="183"/>
      </w:pPr>
      <w:bookmarkStart w:id="2689" w:name="_Ref393214487"/>
      <w:bookmarkStart w:id="2690" w:name="_Toc141875504"/>
      <w:r>
        <w:rPr>
          <w:rFonts w:hint="eastAsia"/>
        </w:rPr>
        <w:t>IPsec隧道接口显示页面的详细说明</w:t>
      </w:r>
      <w:bookmarkEnd w:id="2689"/>
      <w:bookmarkEnd w:id="2690"/>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632"/>
        <w:gridCol w:w="6382"/>
      </w:tblGrid>
      <w:tr w14:paraId="0BD885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632" w:type="dxa"/>
            <w:tcBorders>
              <w:tl2br w:val="nil"/>
              <w:tr2bl w:val="nil"/>
            </w:tcBorders>
            <w:shd w:val="clear" w:color="auto" w:fill="538135" w:themeFill="accent6" w:themeFillShade="BF"/>
            <w:vAlign w:val="center"/>
          </w:tcPr>
          <w:p w14:paraId="4B8B1718">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383" w:type="dxa"/>
            <w:tcBorders>
              <w:tl2br w:val="nil"/>
              <w:tr2bl w:val="nil"/>
            </w:tcBorders>
            <w:shd w:val="clear" w:color="auto" w:fill="538135" w:themeFill="accent6" w:themeFillShade="BF"/>
            <w:vAlign w:val="center"/>
          </w:tcPr>
          <w:p w14:paraId="3201D86C">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FFBA5F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632" w:type="dxa"/>
            <w:shd w:val="clear" w:color="auto" w:fill="auto"/>
          </w:tcPr>
          <w:p w14:paraId="0C947F4D">
            <w:pPr>
              <w:pStyle w:val="186"/>
              <w:widowControl w:val="0"/>
              <w:spacing w:line="240" w:lineRule="auto"/>
              <w:ind w:firstLine="0"/>
              <w:jc w:val="left"/>
            </w:pPr>
            <w:r>
              <w:rPr>
                <w:rFonts w:hint="eastAsia"/>
              </w:rPr>
              <w:t>IPsec接口</w:t>
            </w:r>
          </w:p>
        </w:tc>
        <w:tc>
          <w:tcPr>
            <w:tcW w:w="6383" w:type="dxa"/>
            <w:shd w:val="clear" w:color="auto" w:fill="auto"/>
          </w:tcPr>
          <w:p w14:paraId="37E464CC">
            <w:pPr>
              <w:pStyle w:val="186"/>
              <w:widowControl w:val="0"/>
              <w:spacing w:line="240" w:lineRule="auto"/>
              <w:ind w:firstLine="0"/>
              <w:jc w:val="left"/>
            </w:pPr>
            <w:r>
              <w:rPr>
                <w:rFonts w:hint="eastAsia"/>
              </w:rPr>
              <w:t>IPsec接口名称。</w:t>
            </w:r>
          </w:p>
        </w:tc>
      </w:tr>
      <w:tr w14:paraId="34E61C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632" w:type="dxa"/>
            <w:shd w:val="clear" w:color="auto" w:fill="auto"/>
          </w:tcPr>
          <w:p w14:paraId="041A2BD4">
            <w:pPr>
              <w:pStyle w:val="186"/>
              <w:widowControl w:val="0"/>
              <w:spacing w:line="240" w:lineRule="auto"/>
              <w:ind w:firstLine="0"/>
              <w:jc w:val="left"/>
            </w:pPr>
            <w:r>
              <w:rPr>
                <w:rFonts w:hint="eastAsia"/>
              </w:rPr>
              <w:t>IPv4地址</w:t>
            </w:r>
          </w:p>
        </w:tc>
        <w:tc>
          <w:tcPr>
            <w:tcW w:w="6383" w:type="dxa"/>
            <w:shd w:val="clear" w:color="auto" w:fill="auto"/>
          </w:tcPr>
          <w:p w14:paraId="7B10219A">
            <w:pPr>
              <w:pStyle w:val="186"/>
              <w:widowControl w:val="0"/>
              <w:spacing w:line="240" w:lineRule="auto"/>
              <w:ind w:firstLine="0"/>
              <w:jc w:val="left"/>
            </w:pPr>
            <w:r>
              <w:rPr>
                <w:rFonts w:hint="eastAsia"/>
              </w:rPr>
              <w:t>隧道接口的IPv4地址。</w:t>
            </w:r>
          </w:p>
        </w:tc>
      </w:tr>
      <w:tr w14:paraId="7DC32B4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632" w:type="dxa"/>
            <w:shd w:val="clear" w:color="auto" w:fill="auto"/>
          </w:tcPr>
          <w:p w14:paraId="7AF2DC1D">
            <w:pPr>
              <w:pStyle w:val="186"/>
              <w:widowControl w:val="0"/>
              <w:spacing w:line="240" w:lineRule="auto"/>
              <w:ind w:firstLine="0"/>
              <w:jc w:val="left"/>
            </w:pPr>
            <w:r>
              <w:rPr>
                <w:rFonts w:hint="eastAsia"/>
              </w:rPr>
              <w:t>IPsec</w:t>
            </w:r>
          </w:p>
        </w:tc>
        <w:tc>
          <w:tcPr>
            <w:tcW w:w="6383" w:type="dxa"/>
            <w:shd w:val="clear" w:color="auto" w:fill="auto"/>
          </w:tcPr>
          <w:p w14:paraId="51F34C4E">
            <w:pPr>
              <w:pStyle w:val="186"/>
              <w:widowControl w:val="0"/>
              <w:spacing w:line="240" w:lineRule="auto"/>
              <w:ind w:firstLine="0"/>
              <w:jc w:val="left"/>
            </w:pPr>
            <w:r>
              <w:rPr>
                <w:rFonts w:hint="eastAsia"/>
              </w:rPr>
              <w:t>隧道接口对应的IPsec协商策略。</w:t>
            </w:r>
          </w:p>
        </w:tc>
      </w:tr>
      <w:tr w14:paraId="3432300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632" w:type="dxa"/>
            <w:shd w:val="clear" w:color="auto" w:fill="auto"/>
          </w:tcPr>
          <w:p w14:paraId="435FD53A">
            <w:pPr>
              <w:pStyle w:val="186"/>
              <w:widowControl w:val="0"/>
              <w:spacing w:line="240" w:lineRule="auto"/>
              <w:ind w:firstLine="0"/>
              <w:jc w:val="left"/>
            </w:pPr>
            <w:r>
              <w:rPr>
                <w:rFonts w:hint="eastAsia"/>
              </w:rPr>
              <w:t>地址项目</w:t>
            </w:r>
          </w:p>
        </w:tc>
        <w:tc>
          <w:tcPr>
            <w:tcW w:w="6383" w:type="dxa"/>
            <w:shd w:val="clear" w:color="auto" w:fill="auto"/>
          </w:tcPr>
          <w:p w14:paraId="4E83DFEC">
            <w:pPr>
              <w:pStyle w:val="186"/>
              <w:widowControl w:val="0"/>
              <w:spacing w:line="240" w:lineRule="auto"/>
              <w:ind w:firstLine="0"/>
              <w:jc w:val="left"/>
            </w:pPr>
            <w:r>
              <w:rPr>
                <w:rFonts w:hint="eastAsia"/>
              </w:rPr>
              <w:t>感兴趣流对应源网段和目的网段。</w:t>
            </w:r>
          </w:p>
        </w:tc>
      </w:tr>
      <w:tr w14:paraId="730C0BE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632" w:type="dxa"/>
            <w:shd w:val="clear" w:color="auto" w:fill="auto"/>
          </w:tcPr>
          <w:p w14:paraId="04689D50">
            <w:pPr>
              <w:pStyle w:val="186"/>
              <w:widowControl w:val="0"/>
              <w:spacing w:line="240" w:lineRule="auto"/>
              <w:ind w:firstLine="0"/>
              <w:jc w:val="left"/>
            </w:pPr>
            <w:r>
              <w:rPr>
                <w:rFonts w:hint="eastAsia"/>
              </w:rPr>
              <w:t>操作</w:t>
            </w:r>
          </w:p>
        </w:tc>
        <w:tc>
          <w:tcPr>
            <w:tcW w:w="6383" w:type="dxa"/>
            <w:shd w:val="clear" w:color="auto" w:fill="auto"/>
          </w:tcPr>
          <w:p w14:paraId="3C67BEB5">
            <w:pPr>
              <w:pStyle w:val="186"/>
              <w:widowControl w:val="0"/>
              <w:spacing w:line="240" w:lineRule="auto"/>
              <w:ind w:firstLine="0"/>
              <w:jc w:val="left"/>
            </w:pPr>
            <w:r>
              <w:rPr>
                <w:rFonts w:hint="eastAsia"/>
              </w:rPr>
              <w:t>可以对相应IPsec隧道接口执行的操作。</w:t>
            </w:r>
          </w:p>
        </w:tc>
      </w:tr>
    </w:tbl>
    <w:p w14:paraId="3030A6AF"/>
    <w:p w14:paraId="5577496F">
      <w:r>
        <w:rPr>
          <w:rFonts w:hint="eastAsia"/>
        </w:rPr>
        <w:t>单击页面上方</w:t>
      </w:r>
      <w:r>
        <w:t>&lt;</w:t>
      </w:r>
      <w:r>
        <w:rPr>
          <w:rFonts w:hint="eastAsia"/>
        </w:rPr>
        <w:t>新建</w:t>
      </w:r>
      <w:r>
        <w:t>&gt;</w:t>
      </w:r>
      <w:r>
        <w:rPr>
          <w:rFonts w:hint="eastAsia"/>
        </w:rPr>
        <w:t>按钮，或者点击对应隧道接口的右侧</w:t>
      </w:r>
      <w:r>
        <w:t>&lt;</w:t>
      </w:r>
      <w:r>
        <w:rPr>
          <w:rFonts w:hint="eastAsia"/>
        </w:rPr>
        <w:t>编辑</w:t>
      </w:r>
      <w:r>
        <w:t>&gt;</w:t>
      </w:r>
      <w:r>
        <w:rPr>
          <w:rFonts w:hint="eastAsia"/>
        </w:rPr>
        <w:t>按钮，进入</w:t>
      </w:r>
      <w:r>
        <w:t>IPsec</w:t>
      </w:r>
      <w:r>
        <w:rPr>
          <w:rFonts w:hint="eastAsia"/>
        </w:rPr>
        <w:t>隧道接口的配置页面，如</w:t>
      </w:r>
      <w:r>
        <w:rPr>
          <w:color w:val="0000FF"/>
          <w:u w:val="single"/>
        </w:rPr>
        <w:fldChar w:fldCharType="begin"/>
      </w:r>
      <w:r>
        <w:rPr>
          <w:color w:val="0000FF"/>
          <w:u w:val="single"/>
        </w:rPr>
        <w:instrText xml:space="preserve"> REF _Ref393214967 \r \h </w:instrText>
      </w:r>
      <w:r>
        <w:rPr>
          <w:color w:val="0000FF"/>
          <w:u w:val="single"/>
        </w:rPr>
        <w:fldChar w:fldCharType="separate"/>
      </w:r>
      <w:r>
        <w:rPr>
          <w:rFonts w:hint="eastAsia"/>
          <w:color w:val="0000FF"/>
          <w:u w:val="single"/>
        </w:rPr>
        <w:t>图9-7</w:t>
      </w:r>
      <w:r>
        <w:rPr>
          <w:color w:val="0000FF"/>
          <w:u w:val="single"/>
        </w:rPr>
        <w:fldChar w:fldCharType="end"/>
      </w:r>
      <w:r>
        <w:rPr>
          <w:rFonts w:hint="eastAsia"/>
        </w:rPr>
        <w:t>所示。</w:t>
      </w:r>
    </w:p>
    <w:p w14:paraId="5C491A90">
      <w:pPr>
        <w:pStyle w:val="188"/>
      </w:pPr>
      <w:bookmarkStart w:id="2691" w:name="_Ref393214967"/>
      <w:bookmarkStart w:id="2692" w:name="_Toc141874629"/>
      <w:r>
        <w:t>IPsec隧道接口的新建页面</w:t>
      </w:r>
      <w:bookmarkEnd w:id="2691"/>
      <w:bookmarkEnd w:id="2692"/>
    </w:p>
    <w:p w14:paraId="7B8CEE16">
      <w:r>
        <w:drawing>
          <wp:inline distT="0" distB="0" distL="0" distR="0">
            <wp:extent cx="5400040" cy="3343910"/>
            <wp:effectExtent l="0" t="0" r="0" b="889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241"/>
                    <a:stretch>
                      <a:fillRect/>
                    </a:stretch>
                  </pic:blipFill>
                  <pic:spPr>
                    <a:xfrm>
                      <a:off x="0" y="0"/>
                      <a:ext cx="5400040" cy="3344349"/>
                    </a:xfrm>
                    <a:prstGeom prst="rect">
                      <a:avLst/>
                    </a:prstGeom>
                  </pic:spPr>
                </pic:pic>
              </a:graphicData>
            </a:graphic>
          </wp:inline>
        </w:drawing>
      </w:r>
    </w:p>
    <w:p w14:paraId="6896B1C8"/>
    <w:p w14:paraId="782F4628">
      <w:r>
        <w:rPr>
          <w:rFonts w:hint="eastAsia"/>
        </w:rPr>
        <w:t>页面的详细说明如</w:t>
      </w:r>
      <w:r>
        <w:fldChar w:fldCharType="begin"/>
      </w:r>
      <w:r>
        <w:instrText xml:space="preserve"> REF _Ref393214993 \r \h </w:instrText>
      </w:r>
      <w:r>
        <w:fldChar w:fldCharType="separate"/>
      </w:r>
      <w:r>
        <w:rPr>
          <w:rFonts w:hint="eastAsia"/>
        </w:rPr>
        <w:t>表9-1</w:t>
      </w:r>
      <w:r>
        <w:fldChar w:fldCharType="end"/>
      </w:r>
      <w:r>
        <w:rPr>
          <w:rFonts w:hint="eastAsia"/>
        </w:rPr>
        <w:t>。</w:t>
      </w:r>
    </w:p>
    <w:p w14:paraId="48A35A14">
      <w:pPr>
        <w:pStyle w:val="183"/>
      </w:pPr>
      <w:bookmarkStart w:id="2693" w:name="_Ref393214993"/>
      <w:bookmarkStart w:id="2694" w:name="_Toc141875505"/>
      <w:r>
        <w:rPr>
          <w:rFonts w:hint="eastAsia"/>
        </w:rPr>
        <w:t>IPsec隧道接口新建页面的详细说明</w:t>
      </w:r>
      <w:bookmarkEnd w:id="2693"/>
      <w:bookmarkEnd w:id="2694"/>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384"/>
        <w:gridCol w:w="7630"/>
      </w:tblGrid>
      <w:tr w14:paraId="04980C9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84" w:type="dxa"/>
            <w:tcBorders>
              <w:tl2br w:val="nil"/>
              <w:tr2bl w:val="nil"/>
            </w:tcBorders>
            <w:shd w:val="clear" w:color="auto" w:fill="538135" w:themeFill="accent6" w:themeFillShade="BF"/>
            <w:vAlign w:val="center"/>
          </w:tcPr>
          <w:p w14:paraId="3DC37A52">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7630" w:type="dxa"/>
            <w:tcBorders>
              <w:tl2br w:val="nil"/>
              <w:tr2bl w:val="nil"/>
            </w:tcBorders>
            <w:shd w:val="clear" w:color="auto" w:fill="538135" w:themeFill="accent6" w:themeFillShade="BF"/>
            <w:vAlign w:val="center"/>
          </w:tcPr>
          <w:p w14:paraId="0F387974">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36B05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84" w:type="dxa"/>
            <w:shd w:val="clear" w:color="auto" w:fill="auto"/>
          </w:tcPr>
          <w:p w14:paraId="5826DDB5">
            <w:pPr>
              <w:pStyle w:val="186"/>
              <w:widowControl w:val="0"/>
              <w:spacing w:line="240" w:lineRule="auto"/>
              <w:ind w:firstLine="0"/>
              <w:jc w:val="left"/>
            </w:pPr>
            <w:r>
              <w:rPr>
                <w:rFonts w:hint="eastAsia"/>
              </w:rPr>
              <w:t>IPsec接口</w:t>
            </w:r>
          </w:p>
        </w:tc>
        <w:tc>
          <w:tcPr>
            <w:tcW w:w="7630" w:type="dxa"/>
            <w:shd w:val="clear" w:color="auto" w:fill="auto"/>
          </w:tcPr>
          <w:p w14:paraId="66144A15">
            <w:pPr>
              <w:pStyle w:val="186"/>
              <w:widowControl w:val="0"/>
              <w:spacing w:line="240" w:lineRule="auto"/>
              <w:ind w:firstLine="0"/>
              <w:jc w:val="left"/>
            </w:pPr>
            <w:r>
              <w:rPr>
                <w:rFonts w:hint="eastAsia"/>
              </w:rPr>
              <w:t>IPsec隧道的编号，系统会自动推荐一个空闲的编号，也可自行填入。</w:t>
            </w:r>
          </w:p>
        </w:tc>
      </w:tr>
      <w:tr w14:paraId="137DF5B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84" w:type="dxa"/>
            <w:shd w:val="clear" w:color="auto" w:fill="auto"/>
          </w:tcPr>
          <w:p w14:paraId="2BD06B49">
            <w:pPr>
              <w:pStyle w:val="186"/>
              <w:widowControl w:val="0"/>
              <w:spacing w:line="240" w:lineRule="auto"/>
              <w:ind w:firstLine="0"/>
              <w:jc w:val="left"/>
            </w:pPr>
            <w:r>
              <w:rPr>
                <w:rFonts w:hint="eastAsia"/>
              </w:rPr>
              <w:t>IP地址</w:t>
            </w:r>
          </w:p>
        </w:tc>
        <w:tc>
          <w:tcPr>
            <w:tcW w:w="7630" w:type="dxa"/>
            <w:shd w:val="clear" w:color="auto" w:fill="auto"/>
          </w:tcPr>
          <w:p w14:paraId="75B09CD8">
            <w:pPr>
              <w:pStyle w:val="186"/>
              <w:widowControl w:val="0"/>
              <w:spacing w:line="240" w:lineRule="auto"/>
              <w:ind w:firstLine="0"/>
              <w:jc w:val="left"/>
            </w:pPr>
            <w:r>
              <w:rPr>
                <w:rFonts w:hint="eastAsia"/>
              </w:rPr>
              <w:t>设置隧道接口的IPv4或IPv6地址。</w:t>
            </w:r>
          </w:p>
        </w:tc>
      </w:tr>
      <w:tr w14:paraId="5E8C82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84" w:type="dxa"/>
            <w:shd w:val="clear" w:color="auto" w:fill="auto"/>
          </w:tcPr>
          <w:p w14:paraId="62475E71">
            <w:pPr>
              <w:pStyle w:val="186"/>
              <w:widowControl w:val="0"/>
              <w:spacing w:line="240" w:lineRule="auto"/>
              <w:ind w:firstLine="0"/>
              <w:jc w:val="left"/>
            </w:pPr>
            <w:r>
              <w:rPr>
                <w:rFonts w:hint="eastAsia"/>
              </w:rPr>
              <w:t>IPsec</w:t>
            </w:r>
          </w:p>
        </w:tc>
        <w:tc>
          <w:tcPr>
            <w:tcW w:w="7630" w:type="dxa"/>
            <w:shd w:val="clear" w:color="auto" w:fill="auto"/>
          </w:tcPr>
          <w:p w14:paraId="66FEF867">
            <w:pPr>
              <w:pStyle w:val="186"/>
              <w:widowControl w:val="0"/>
              <w:spacing w:line="240" w:lineRule="auto"/>
              <w:ind w:firstLine="0"/>
              <w:jc w:val="left"/>
            </w:pPr>
            <w:r>
              <w:rPr>
                <w:rFonts w:hint="eastAsia"/>
              </w:rPr>
              <w:t>指定一个已经存在的IPSEC协商策略。</w:t>
            </w:r>
          </w:p>
        </w:tc>
      </w:tr>
      <w:tr w14:paraId="40DDEAB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84" w:type="dxa"/>
            <w:shd w:val="clear" w:color="auto" w:fill="auto"/>
          </w:tcPr>
          <w:p w14:paraId="4F66FA01">
            <w:pPr>
              <w:pStyle w:val="186"/>
              <w:widowControl w:val="0"/>
              <w:spacing w:line="240" w:lineRule="auto"/>
              <w:ind w:firstLine="0"/>
              <w:jc w:val="left"/>
            </w:pPr>
            <w:r>
              <w:rPr>
                <w:rFonts w:hint="eastAsia"/>
              </w:rPr>
              <w:t>地址项目</w:t>
            </w:r>
          </w:p>
        </w:tc>
        <w:tc>
          <w:tcPr>
            <w:tcW w:w="7630" w:type="dxa"/>
            <w:shd w:val="clear" w:color="auto" w:fill="auto"/>
          </w:tcPr>
          <w:p w14:paraId="3C91CFCE">
            <w:pPr>
              <w:pStyle w:val="186"/>
              <w:widowControl w:val="0"/>
              <w:spacing w:line="240" w:lineRule="auto"/>
              <w:ind w:firstLine="0"/>
              <w:jc w:val="left"/>
            </w:pPr>
            <w:r>
              <w:rPr>
                <w:rFonts w:hint="eastAsia"/>
              </w:rPr>
              <w:t>设置感兴趣流，输入源网段和目的网段，点击&lt;添加到列表&gt;，加入下方的列表中。</w:t>
            </w:r>
          </w:p>
        </w:tc>
      </w:tr>
    </w:tbl>
    <w:p w14:paraId="1C81BF34"/>
    <w:p w14:paraId="3890F021">
      <w:r>
        <w:rPr>
          <w:rFonts w:hint="eastAsia"/>
        </w:rPr>
        <w:t>输入完毕后，点击</w:t>
      </w:r>
      <w:r>
        <w:t>&lt;</w:t>
      </w:r>
      <w:r>
        <w:rPr>
          <w:rFonts w:hint="eastAsia"/>
        </w:rPr>
        <w:t>提交</w:t>
      </w:r>
      <w:r>
        <w:t>&gt;</w:t>
      </w:r>
      <w:r>
        <w:rPr>
          <w:rFonts w:hint="eastAsia"/>
        </w:rPr>
        <w:t>按钮，应用配置。</w:t>
      </w:r>
    </w:p>
    <w:p w14:paraId="2B58EB58">
      <w:r>
        <w:rPr>
          <w:rFonts w:hint="eastAsia"/>
        </w:rPr>
        <w:t>在</w:t>
      </w:r>
      <w:r>
        <w:t>IPsec</w:t>
      </w:r>
      <w:r>
        <w:rPr>
          <w:rFonts w:hint="eastAsia"/>
        </w:rPr>
        <w:t>隧道接口显示页面，点击隧道接口右侧的</w:t>
      </w:r>
      <w:r>
        <w:t>&lt;</w:t>
      </w:r>
      <w:r>
        <w:rPr>
          <w:rFonts w:hint="eastAsia"/>
        </w:rPr>
        <w:t>删除</w:t>
      </w:r>
      <w:r>
        <w:t>&gt;</w:t>
      </w:r>
      <w:r>
        <w:rPr>
          <w:rFonts w:hint="eastAsia"/>
        </w:rPr>
        <w:t>按钮，可以删除对应的隧道接口。</w:t>
      </w:r>
    </w:p>
    <w:p w14:paraId="0D496224">
      <w:pPr>
        <w:pStyle w:val="4"/>
      </w:pPr>
      <w:bookmarkStart w:id="2695" w:name="_Toc15484784"/>
      <w:bookmarkStart w:id="2696" w:name="_Toc99561488"/>
      <w:bookmarkStart w:id="2697" w:name="_Toc194080801"/>
      <w:bookmarkStart w:id="2698" w:name="_Toc172218174"/>
      <w:bookmarkStart w:id="2699" w:name="_Toc12378467"/>
      <w:bookmarkStart w:id="2700" w:name="_Toc23152550"/>
      <w:bookmarkStart w:id="2701" w:name="_Toc142400941"/>
      <w:bookmarkStart w:id="2702" w:name="_Toc141873425"/>
      <w:bookmarkStart w:id="2703" w:name="_Toc40275983"/>
      <w:bookmarkStart w:id="2704" w:name="_Toc196728133"/>
      <w:r>
        <w:rPr>
          <w:rFonts w:hint="eastAsia"/>
        </w:rPr>
        <w:t>IPsec VPN的查看和管理</w:t>
      </w:r>
      <w:bookmarkEnd w:id="2695"/>
      <w:bookmarkEnd w:id="2696"/>
      <w:bookmarkEnd w:id="2697"/>
      <w:bookmarkEnd w:id="2698"/>
      <w:bookmarkEnd w:id="2699"/>
      <w:bookmarkEnd w:id="2700"/>
      <w:bookmarkEnd w:id="2701"/>
      <w:bookmarkEnd w:id="2702"/>
      <w:bookmarkEnd w:id="2703"/>
      <w:bookmarkEnd w:id="2704"/>
    </w:p>
    <w:p w14:paraId="5346CA61">
      <w:pPr>
        <w:pStyle w:val="5"/>
      </w:pPr>
      <w:bookmarkStart w:id="2705" w:name="_Toc142400942"/>
      <w:bookmarkStart w:id="2706" w:name="_Toc23152551"/>
      <w:bookmarkStart w:id="2707" w:name="_Toc194080802"/>
      <w:bookmarkStart w:id="2708" w:name="_Toc99561489"/>
      <w:bookmarkStart w:id="2709" w:name="_Toc141873426"/>
      <w:bookmarkStart w:id="2710" w:name="_Toc196728134"/>
      <w:bookmarkStart w:id="2711" w:name="_Toc15484785"/>
      <w:bookmarkStart w:id="2712" w:name="_Toc40275984"/>
      <w:bookmarkStart w:id="2713" w:name="_Toc172218175"/>
      <w:bookmarkStart w:id="2714" w:name="_Toc12378468"/>
      <w:r>
        <w:rPr>
          <w:rFonts w:hint="eastAsia"/>
        </w:rPr>
        <w:t>查看IPsec SA</w:t>
      </w:r>
      <w:bookmarkEnd w:id="2705"/>
      <w:bookmarkEnd w:id="2706"/>
      <w:bookmarkEnd w:id="2707"/>
      <w:bookmarkEnd w:id="2708"/>
      <w:bookmarkEnd w:id="2709"/>
      <w:bookmarkEnd w:id="2710"/>
      <w:bookmarkEnd w:id="2711"/>
      <w:bookmarkEnd w:id="2712"/>
      <w:bookmarkEnd w:id="2713"/>
      <w:bookmarkEnd w:id="2714"/>
    </w:p>
    <w:p w14:paraId="5DCEDA21">
      <w:r>
        <w:rPr>
          <w:rFonts w:hint="eastAsia"/>
        </w:rPr>
        <w:t>在导航栏中选择“</w:t>
      </w:r>
      <w:r>
        <w:t>网络配置 &gt; VPN &gt; IPsec-VPN &gt; Ipsec</w:t>
      </w:r>
      <w:r>
        <w:rPr>
          <w:rFonts w:hint="eastAsia"/>
        </w:rPr>
        <w:t xml:space="preserve">第三方对接 </w:t>
      </w:r>
      <w:r>
        <w:t>&gt; IPsec SA</w:t>
      </w:r>
      <w:r>
        <w:rPr>
          <w:rFonts w:hint="eastAsia"/>
        </w:rPr>
        <w:t>”，进入</w:t>
      </w:r>
      <w:r>
        <w:t>IPsec SA</w:t>
      </w:r>
      <w:r>
        <w:rPr>
          <w:rFonts w:hint="eastAsia"/>
        </w:rPr>
        <w:t>显示页面。页面中显示了已经新建的</w:t>
      </w:r>
      <w:r>
        <w:t>IPsec SA</w:t>
      </w:r>
      <w:r>
        <w:rPr>
          <w:rFonts w:hint="eastAsia"/>
        </w:rPr>
        <w:t>。如</w:t>
      </w:r>
      <w:r>
        <w:rPr>
          <w:color w:val="0000FF"/>
          <w:u w:val="single"/>
        </w:rPr>
        <w:fldChar w:fldCharType="begin"/>
      </w:r>
      <w:r>
        <w:rPr>
          <w:color w:val="0000FF"/>
          <w:u w:val="single"/>
        </w:rPr>
        <w:instrText xml:space="preserve"> REF _Ref393277976 \r \h </w:instrText>
      </w:r>
      <w:r>
        <w:rPr>
          <w:color w:val="0000FF"/>
          <w:u w:val="single"/>
        </w:rPr>
        <w:fldChar w:fldCharType="separate"/>
      </w:r>
      <w:r>
        <w:rPr>
          <w:rFonts w:hint="eastAsia"/>
          <w:color w:val="0000FF"/>
          <w:u w:val="single"/>
        </w:rPr>
        <w:t>图9-8</w:t>
      </w:r>
      <w:r>
        <w:rPr>
          <w:color w:val="0000FF"/>
          <w:u w:val="single"/>
        </w:rPr>
        <w:fldChar w:fldCharType="end"/>
      </w:r>
      <w:r>
        <w:rPr>
          <w:rFonts w:hint="eastAsia"/>
        </w:rPr>
        <w:t>所示。</w:t>
      </w:r>
    </w:p>
    <w:p w14:paraId="63931D98">
      <w:pPr>
        <w:pStyle w:val="188"/>
      </w:pPr>
      <w:bookmarkStart w:id="2715" w:name="_Toc141874630"/>
      <w:bookmarkStart w:id="2716" w:name="_Ref393277976"/>
      <w:r>
        <w:rPr>
          <w:rFonts w:hint="eastAsia"/>
        </w:rPr>
        <w:t>IPsec SA显示页面</w:t>
      </w:r>
      <w:bookmarkEnd w:id="2715"/>
      <w:bookmarkEnd w:id="2716"/>
    </w:p>
    <w:p w14:paraId="1DE348DB">
      <w:r>
        <w:drawing>
          <wp:inline distT="0" distB="0" distL="0" distR="0">
            <wp:extent cx="5629275" cy="676275"/>
            <wp:effectExtent l="0" t="0" r="0" b="9525"/>
            <wp:docPr id="3000" name="图片 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0" name="图片 3000"/>
                    <pic:cNvPicPr>
                      <a:picLocks noChangeAspect="1"/>
                    </pic:cNvPicPr>
                  </pic:nvPicPr>
                  <pic:blipFill>
                    <a:blip r:embed="rId390"/>
                    <a:stretch>
                      <a:fillRect/>
                    </a:stretch>
                  </pic:blipFill>
                  <pic:spPr>
                    <a:xfrm>
                      <a:off x="0" y="0"/>
                      <a:ext cx="5674607" cy="682319"/>
                    </a:xfrm>
                    <a:prstGeom prst="rect">
                      <a:avLst/>
                    </a:prstGeom>
                  </pic:spPr>
                </pic:pic>
              </a:graphicData>
            </a:graphic>
          </wp:inline>
        </w:drawing>
      </w:r>
    </w:p>
    <w:p w14:paraId="336EBDF8"/>
    <w:p w14:paraId="3A7AA6B7">
      <w:r>
        <w:rPr>
          <w:rFonts w:hint="eastAsia"/>
        </w:rPr>
        <w:t>页面的详细说明如</w:t>
      </w:r>
      <w:r>
        <w:fldChar w:fldCharType="begin"/>
      </w:r>
      <w:r>
        <w:instrText xml:space="preserve"> REF _Ref393278419 \r \h </w:instrText>
      </w:r>
      <w:r>
        <w:fldChar w:fldCharType="separate"/>
      </w:r>
      <w:r>
        <w:rPr>
          <w:rFonts w:hint="eastAsia"/>
        </w:rPr>
        <w:t>表9-1</w:t>
      </w:r>
      <w:r>
        <w:fldChar w:fldCharType="end"/>
      </w:r>
      <w:r>
        <w:rPr>
          <w:rFonts w:hint="eastAsia"/>
        </w:rPr>
        <w:t>。</w:t>
      </w:r>
    </w:p>
    <w:p w14:paraId="0E5A893C">
      <w:pPr>
        <w:pStyle w:val="183"/>
      </w:pPr>
      <w:bookmarkStart w:id="2717" w:name="_Toc141875506"/>
      <w:bookmarkStart w:id="2718" w:name="_Ref393278419"/>
      <w:r>
        <w:rPr>
          <w:rFonts w:hint="eastAsia"/>
        </w:rPr>
        <w:t>IPsec SA显示页面的详细说明</w:t>
      </w:r>
      <w:bookmarkEnd w:id="2717"/>
      <w:bookmarkEnd w:id="2718"/>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65"/>
        <w:gridCol w:w="6949"/>
      </w:tblGrid>
      <w:tr w14:paraId="1149D3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tcBorders>
              <w:tl2br w:val="nil"/>
              <w:tr2bl w:val="nil"/>
            </w:tcBorders>
            <w:shd w:val="clear" w:color="auto" w:fill="538135" w:themeFill="accent6" w:themeFillShade="BF"/>
            <w:vAlign w:val="center"/>
          </w:tcPr>
          <w:p w14:paraId="424F729A">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950" w:type="dxa"/>
            <w:tcBorders>
              <w:tl2br w:val="nil"/>
              <w:tr2bl w:val="nil"/>
            </w:tcBorders>
            <w:shd w:val="clear" w:color="auto" w:fill="538135" w:themeFill="accent6" w:themeFillShade="BF"/>
            <w:vAlign w:val="center"/>
          </w:tcPr>
          <w:p w14:paraId="7CEC536F">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9C90D6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5837E108">
            <w:pPr>
              <w:pStyle w:val="186"/>
              <w:widowControl w:val="0"/>
              <w:spacing w:line="240" w:lineRule="auto"/>
              <w:ind w:firstLine="0"/>
              <w:jc w:val="left"/>
            </w:pPr>
            <w:r>
              <w:rPr>
                <w:rFonts w:hint="eastAsia"/>
              </w:rPr>
              <w:t>名称</w:t>
            </w:r>
          </w:p>
        </w:tc>
        <w:tc>
          <w:tcPr>
            <w:tcW w:w="6950" w:type="dxa"/>
            <w:shd w:val="clear" w:color="auto" w:fill="auto"/>
          </w:tcPr>
          <w:p w14:paraId="72C0CEC3">
            <w:pPr>
              <w:pStyle w:val="186"/>
              <w:widowControl w:val="0"/>
              <w:spacing w:line="240" w:lineRule="auto"/>
              <w:ind w:firstLine="0"/>
              <w:jc w:val="left"/>
            </w:pPr>
            <w:r>
              <w:rPr>
                <w:rFonts w:hint="eastAsia"/>
              </w:rPr>
              <w:t>IPsec SA的名称。</w:t>
            </w:r>
          </w:p>
        </w:tc>
      </w:tr>
      <w:tr w14:paraId="0AA3A44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6113AD96">
            <w:pPr>
              <w:pStyle w:val="186"/>
              <w:widowControl w:val="0"/>
              <w:spacing w:line="240" w:lineRule="auto"/>
              <w:ind w:firstLine="0"/>
              <w:jc w:val="left"/>
            </w:pPr>
            <w:r>
              <w:rPr>
                <w:rFonts w:hint="eastAsia"/>
              </w:rPr>
              <w:t>对端网关</w:t>
            </w:r>
          </w:p>
        </w:tc>
        <w:tc>
          <w:tcPr>
            <w:tcW w:w="6950" w:type="dxa"/>
            <w:shd w:val="clear" w:color="auto" w:fill="auto"/>
          </w:tcPr>
          <w:p w14:paraId="4AF741C9">
            <w:pPr>
              <w:pStyle w:val="186"/>
              <w:widowControl w:val="0"/>
              <w:spacing w:line="240" w:lineRule="auto"/>
              <w:ind w:firstLine="0"/>
              <w:jc w:val="left"/>
            </w:pPr>
            <w:r>
              <w:rPr>
                <w:rFonts w:hint="eastAsia"/>
              </w:rPr>
              <w:t>IPsec SA的对端网关。</w:t>
            </w:r>
          </w:p>
        </w:tc>
      </w:tr>
      <w:tr w14:paraId="26032F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42E0D1C3">
            <w:pPr>
              <w:pStyle w:val="186"/>
              <w:widowControl w:val="0"/>
              <w:spacing w:line="240" w:lineRule="auto"/>
              <w:ind w:firstLine="0"/>
              <w:jc w:val="left"/>
            </w:pPr>
            <w:r>
              <w:rPr>
                <w:rFonts w:hint="eastAsia"/>
              </w:rPr>
              <w:t>本地网关</w:t>
            </w:r>
          </w:p>
        </w:tc>
        <w:tc>
          <w:tcPr>
            <w:tcW w:w="6950" w:type="dxa"/>
            <w:shd w:val="clear" w:color="auto" w:fill="auto"/>
          </w:tcPr>
          <w:p w14:paraId="45DC0D9E">
            <w:pPr>
              <w:pStyle w:val="186"/>
              <w:widowControl w:val="0"/>
              <w:spacing w:line="240" w:lineRule="auto"/>
              <w:ind w:firstLine="0"/>
              <w:jc w:val="left"/>
            </w:pPr>
            <w:r>
              <w:rPr>
                <w:rFonts w:hint="eastAsia"/>
              </w:rPr>
              <w:t>IPsec SA的本地网关。</w:t>
            </w:r>
          </w:p>
        </w:tc>
      </w:tr>
      <w:tr w14:paraId="1A6B88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634EB227">
            <w:pPr>
              <w:pStyle w:val="186"/>
              <w:widowControl w:val="0"/>
              <w:spacing w:line="240" w:lineRule="auto"/>
              <w:ind w:firstLine="0"/>
              <w:jc w:val="left"/>
            </w:pPr>
            <w:r>
              <w:rPr>
                <w:rFonts w:hint="eastAsia"/>
              </w:rPr>
              <w:t>状态</w:t>
            </w:r>
          </w:p>
        </w:tc>
        <w:tc>
          <w:tcPr>
            <w:tcW w:w="6950" w:type="dxa"/>
            <w:shd w:val="clear" w:color="auto" w:fill="auto"/>
          </w:tcPr>
          <w:p w14:paraId="5D156FB6">
            <w:pPr>
              <w:pStyle w:val="186"/>
              <w:widowControl w:val="0"/>
              <w:spacing w:line="240" w:lineRule="auto"/>
              <w:ind w:firstLine="0"/>
              <w:jc w:val="left"/>
            </w:pPr>
            <w:r>
              <w:rPr>
                <w:rFonts w:hint="eastAsia"/>
              </w:rPr>
              <w:t>IPsec SA的状态。</w:t>
            </w:r>
          </w:p>
        </w:tc>
      </w:tr>
      <w:tr w14:paraId="37467C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2A5C0DB1">
            <w:pPr>
              <w:pStyle w:val="186"/>
              <w:widowControl w:val="0"/>
              <w:spacing w:line="240" w:lineRule="auto"/>
              <w:ind w:firstLine="0"/>
              <w:jc w:val="left"/>
            </w:pPr>
            <w:r>
              <w:rPr>
                <w:rFonts w:hint="eastAsia"/>
              </w:rPr>
              <w:t>过期时间</w:t>
            </w:r>
          </w:p>
        </w:tc>
        <w:tc>
          <w:tcPr>
            <w:tcW w:w="6950" w:type="dxa"/>
            <w:shd w:val="clear" w:color="auto" w:fill="auto"/>
          </w:tcPr>
          <w:p w14:paraId="2885FCF8">
            <w:pPr>
              <w:pStyle w:val="186"/>
              <w:widowControl w:val="0"/>
              <w:spacing w:line="240" w:lineRule="auto"/>
              <w:ind w:firstLine="0"/>
              <w:jc w:val="left"/>
            </w:pPr>
            <w:r>
              <w:rPr>
                <w:rFonts w:hint="eastAsia"/>
              </w:rPr>
              <w:t>IPsec SA的过期时间。</w:t>
            </w:r>
          </w:p>
        </w:tc>
      </w:tr>
      <w:tr w14:paraId="042FFE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261E5741">
            <w:pPr>
              <w:pStyle w:val="186"/>
              <w:widowControl w:val="0"/>
              <w:spacing w:line="240" w:lineRule="auto"/>
              <w:ind w:firstLine="0"/>
              <w:jc w:val="left"/>
            </w:pPr>
            <w:r>
              <w:rPr>
                <w:rFonts w:hint="eastAsia"/>
              </w:rPr>
              <w:t>流量</w:t>
            </w:r>
          </w:p>
        </w:tc>
        <w:tc>
          <w:tcPr>
            <w:tcW w:w="6950" w:type="dxa"/>
            <w:shd w:val="clear" w:color="auto" w:fill="auto"/>
          </w:tcPr>
          <w:p w14:paraId="75060D0F">
            <w:pPr>
              <w:pStyle w:val="186"/>
              <w:widowControl w:val="0"/>
              <w:spacing w:line="240" w:lineRule="auto"/>
              <w:ind w:firstLine="0"/>
              <w:jc w:val="left"/>
            </w:pPr>
            <w:r>
              <w:rPr>
                <w:rFonts w:hint="eastAsia"/>
              </w:rPr>
              <w:t>IPsec SA的流量。</w:t>
            </w:r>
          </w:p>
        </w:tc>
      </w:tr>
      <w:tr w14:paraId="13F2C8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403D6696">
            <w:pPr>
              <w:pStyle w:val="186"/>
              <w:widowControl w:val="0"/>
              <w:spacing w:line="240" w:lineRule="auto"/>
              <w:ind w:firstLine="0"/>
              <w:jc w:val="left"/>
            </w:pPr>
            <w:r>
              <w:rPr>
                <w:rFonts w:hint="eastAsia"/>
              </w:rPr>
              <w:t>源网络</w:t>
            </w:r>
          </w:p>
        </w:tc>
        <w:tc>
          <w:tcPr>
            <w:tcW w:w="6950" w:type="dxa"/>
            <w:shd w:val="clear" w:color="auto" w:fill="auto"/>
          </w:tcPr>
          <w:p w14:paraId="0E95628F">
            <w:pPr>
              <w:pStyle w:val="186"/>
              <w:widowControl w:val="0"/>
              <w:spacing w:line="240" w:lineRule="auto"/>
              <w:ind w:firstLine="0"/>
              <w:jc w:val="left"/>
            </w:pPr>
            <w:r>
              <w:rPr>
                <w:rFonts w:hint="eastAsia"/>
              </w:rPr>
              <w:t>IPsec SA的源网络。</w:t>
            </w:r>
          </w:p>
        </w:tc>
      </w:tr>
      <w:tr w14:paraId="23DC4F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63F5C048">
            <w:pPr>
              <w:pStyle w:val="186"/>
              <w:widowControl w:val="0"/>
              <w:spacing w:line="240" w:lineRule="auto"/>
              <w:ind w:firstLine="0"/>
              <w:jc w:val="left"/>
            </w:pPr>
            <w:r>
              <w:rPr>
                <w:rFonts w:hint="eastAsia"/>
              </w:rPr>
              <w:t>目的网络</w:t>
            </w:r>
          </w:p>
        </w:tc>
        <w:tc>
          <w:tcPr>
            <w:tcW w:w="6950" w:type="dxa"/>
            <w:shd w:val="clear" w:color="auto" w:fill="auto"/>
          </w:tcPr>
          <w:p w14:paraId="65DE7FDE">
            <w:pPr>
              <w:pStyle w:val="186"/>
              <w:widowControl w:val="0"/>
              <w:spacing w:line="240" w:lineRule="auto"/>
              <w:ind w:firstLine="0"/>
              <w:jc w:val="left"/>
            </w:pPr>
            <w:r>
              <w:rPr>
                <w:rFonts w:hint="eastAsia"/>
              </w:rPr>
              <w:t>IPsec SA的目的网络。</w:t>
            </w:r>
          </w:p>
        </w:tc>
      </w:tr>
      <w:tr w14:paraId="4E3880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55D7326A">
            <w:pPr>
              <w:pStyle w:val="186"/>
              <w:widowControl w:val="0"/>
              <w:spacing w:line="240" w:lineRule="auto"/>
              <w:ind w:firstLine="0"/>
              <w:jc w:val="left"/>
            </w:pPr>
            <w:r>
              <w:rPr>
                <w:rFonts w:hint="eastAsia"/>
              </w:rPr>
              <w:t>操作</w:t>
            </w:r>
          </w:p>
        </w:tc>
        <w:tc>
          <w:tcPr>
            <w:tcW w:w="6950" w:type="dxa"/>
            <w:shd w:val="clear" w:color="auto" w:fill="auto"/>
          </w:tcPr>
          <w:p w14:paraId="3BB5F303">
            <w:pPr>
              <w:pStyle w:val="186"/>
              <w:widowControl w:val="0"/>
              <w:spacing w:line="240" w:lineRule="auto"/>
              <w:ind w:firstLine="0"/>
              <w:jc w:val="left"/>
            </w:pPr>
            <w:r>
              <w:rPr>
                <w:rFonts w:hint="eastAsia"/>
              </w:rPr>
              <w:t>可以对相应IPsec SA进行的操作。</w:t>
            </w:r>
          </w:p>
        </w:tc>
      </w:tr>
    </w:tbl>
    <w:p w14:paraId="68990546"/>
    <w:p w14:paraId="516C359B">
      <w:r>
        <w:rPr>
          <w:rFonts w:hint="eastAsia"/>
        </w:rPr>
        <w:t>点击页面右侧的</w:t>
      </w:r>
      <w:r>
        <w:t>&lt;</w:t>
      </w:r>
      <w:r>
        <w:rPr>
          <w:rFonts w:hint="eastAsia"/>
        </w:rPr>
        <w:t>删除</w:t>
      </w:r>
      <w:r>
        <w:t>&gt;</w:t>
      </w:r>
      <w:r>
        <w:rPr>
          <w:rFonts w:hint="eastAsia"/>
        </w:rPr>
        <w:t>按钮，可以删除对应的</w:t>
      </w:r>
      <w:r>
        <w:t>IPsec SA</w:t>
      </w:r>
      <w:r>
        <w:rPr>
          <w:rFonts w:hint="eastAsia"/>
        </w:rPr>
        <w:t>。</w:t>
      </w:r>
    </w:p>
    <w:p w14:paraId="3F5159B8">
      <w:r>
        <w:rPr>
          <w:rFonts w:hint="eastAsia"/>
        </w:rPr>
        <w:t>点击页面右侧的</w:t>
      </w:r>
      <w:r>
        <w:t>&lt;</w:t>
      </w:r>
      <w:r>
        <w:rPr>
          <w:rFonts w:hint="eastAsia"/>
        </w:rPr>
        <w:t>详细</w:t>
      </w:r>
      <w:r>
        <w:t>&gt;</w:t>
      </w:r>
      <w:r>
        <w:rPr>
          <w:rFonts w:hint="eastAsia"/>
        </w:rPr>
        <w:t>按钮，可以看到对应的</w:t>
      </w:r>
      <w:r>
        <w:t>IPsec SA</w:t>
      </w:r>
      <w:r>
        <w:rPr>
          <w:rFonts w:hint="eastAsia"/>
        </w:rPr>
        <w:t>的详细信息。</w:t>
      </w:r>
    </w:p>
    <w:p w14:paraId="2EEBBC97">
      <w:pPr>
        <w:pStyle w:val="5"/>
      </w:pPr>
      <w:bookmarkStart w:id="2719" w:name="_Toc15484786"/>
      <w:bookmarkStart w:id="2720" w:name="_Toc12378469"/>
      <w:bookmarkStart w:id="2721" w:name="_Toc141873427"/>
      <w:bookmarkStart w:id="2722" w:name="_Toc172218176"/>
      <w:bookmarkStart w:id="2723" w:name="_Toc196728135"/>
      <w:bookmarkStart w:id="2724" w:name="_Toc23152552"/>
      <w:bookmarkStart w:id="2725" w:name="_Toc194080803"/>
      <w:bookmarkStart w:id="2726" w:name="_Toc40275985"/>
      <w:bookmarkStart w:id="2727" w:name="_Toc99561490"/>
      <w:bookmarkStart w:id="2728" w:name="_Toc142400943"/>
      <w:r>
        <w:rPr>
          <w:rFonts w:hint="eastAsia"/>
        </w:rPr>
        <w:t>查看IKE SA</w:t>
      </w:r>
      <w:bookmarkEnd w:id="2719"/>
      <w:bookmarkEnd w:id="2720"/>
      <w:bookmarkEnd w:id="2721"/>
      <w:bookmarkEnd w:id="2722"/>
      <w:bookmarkEnd w:id="2723"/>
      <w:bookmarkEnd w:id="2724"/>
      <w:bookmarkEnd w:id="2725"/>
      <w:bookmarkEnd w:id="2726"/>
      <w:bookmarkEnd w:id="2727"/>
      <w:bookmarkEnd w:id="2728"/>
    </w:p>
    <w:p w14:paraId="24AEB10B">
      <w:r>
        <w:rPr>
          <w:rFonts w:hint="eastAsia"/>
        </w:rPr>
        <w:t>在导航栏中选择“</w:t>
      </w:r>
      <w:r>
        <w:t>网络配置 &gt; VPN &gt; IPsec-VPN &gt; Ipsec</w:t>
      </w:r>
      <w:r>
        <w:rPr>
          <w:rFonts w:hint="eastAsia"/>
        </w:rPr>
        <w:t xml:space="preserve">第三方对接 </w:t>
      </w:r>
      <w:r>
        <w:t>&gt; IKE SA</w:t>
      </w:r>
      <w:r>
        <w:rPr>
          <w:rFonts w:hint="eastAsia"/>
        </w:rPr>
        <w:t>”，进入</w:t>
      </w:r>
      <w:r>
        <w:t>IKE SA</w:t>
      </w:r>
      <w:r>
        <w:rPr>
          <w:rFonts w:hint="eastAsia"/>
        </w:rPr>
        <w:t>显示页面，页面中显示了已经新建的</w:t>
      </w:r>
      <w:r>
        <w:t>IKE SA</w:t>
      </w:r>
      <w:r>
        <w:rPr>
          <w:rFonts w:hint="eastAsia"/>
        </w:rPr>
        <w:t>。如</w:t>
      </w:r>
      <w:r>
        <w:rPr>
          <w:color w:val="0000FF"/>
          <w:u w:val="single"/>
        </w:rPr>
        <w:fldChar w:fldCharType="begin"/>
      </w:r>
      <w:r>
        <w:rPr>
          <w:color w:val="0000FF"/>
          <w:u w:val="single"/>
        </w:rPr>
        <w:instrText xml:space="preserve"> REF _Ref393280026 \r \h </w:instrText>
      </w:r>
      <w:r>
        <w:rPr>
          <w:color w:val="0000FF"/>
          <w:u w:val="single"/>
        </w:rPr>
        <w:fldChar w:fldCharType="separate"/>
      </w:r>
      <w:r>
        <w:rPr>
          <w:rFonts w:hint="eastAsia"/>
          <w:color w:val="0000FF"/>
          <w:u w:val="single"/>
        </w:rPr>
        <w:t>图9-9</w:t>
      </w:r>
      <w:r>
        <w:rPr>
          <w:color w:val="0000FF"/>
          <w:u w:val="single"/>
        </w:rPr>
        <w:fldChar w:fldCharType="end"/>
      </w:r>
      <w:r>
        <w:rPr>
          <w:rFonts w:hint="eastAsia"/>
        </w:rPr>
        <w:t>所示。</w:t>
      </w:r>
    </w:p>
    <w:p w14:paraId="5CCAB1B6">
      <w:pPr>
        <w:pStyle w:val="188"/>
      </w:pPr>
      <w:bookmarkStart w:id="2729" w:name="_Ref393280026"/>
      <w:bookmarkStart w:id="2730" w:name="_Toc141874631"/>
      <w:r>
        <w:rPr>
          <w:rFonts w:hint="eastAsia"/>
        </w:rPr>
        <w:t>IKE SA显示页面</w:t>
      </w:r>
      <w:bookmarkEnd w:id="2729"/>
      <w:bookmarkEnd w:id="2730"/>
    </w:p>
    <w:p w14:paraId="67106E3A">
      <w:r>
        <w:drawing>
          <wp:inline distT="0" distB="0" distL="0" distR="0">
            <wp:extent cx="5600700" cy="698500"/>
            <wp:effectExtent l="0" t="0" r="0" b="6350"/>
            <wp:docPr id="3002" name="图片 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2" name="图片 3002"/>
                    <pic:cNvPicPr>
                      <a:picLocks noChangeAspect="1"/>
                    </pic:cNvPicPr>
                  </pic:nvPicPr>
                  <pic:blipFill>
                    <a:blip r:embed="rId391"/>
                    <a:stretch>
                      <a:fillRect/>
                    </a:stretch>
                  </pic:blipFill>
                  <pic:spPr>
                    <a:xfrm>
                      <a:off x="0" y="0"/>
                      <a:ext cx="5632179" cy="702927"/>
                    </a:xfrm>
                    <a:prstGeom prst="rect">
                      <a:avLst/>
                    </a:prstGeom>
                  </pic:spPr>
                </pic:pic>
              </a:graphicData>
            </a:graphic>
          </wp:inline>
        </w:drawing>
      </w:r>
    </w:p>
    <w:p w14:paraId="7C61A279"/>
    <w:p w14:paraId="48A30261">
      <w:r>
        <w:rPr>
          <w:rFonts w:hint="eastAsia"/>
        </w:rPr>
        <w:t>页面的详细说明如</w:t>
      </w:r>
      <w:r>
        <w:fldChar w:fldCharType="begin"/>
      </w:r>
      <w:r>
        <w:instrText xml:space="preserve"> REF _Ref393280081 \r \h </w:instrText>
      </w:r>
      <w:r>
        <w:fldChar w:fldCharType="separate"/>
      </w:r>
      <w:r>
        <w:rPr>
          <w:rFonts w:hint="eastAsia"/>
        </w:rPr>
        <w:t>表9-1</w:t>
      </w:r>
      <w:r>
        <w:fldChar w:fldCharType="end"/>
      </w:r>
      <w:r>
        <w:rPr>
          <w:rFonts w:hint="eastAsia"/>
        </w:rPr>
        <w:t>。</w:t>
      </w:r>
    </w:p>
    <w:p w14:paraId="309F17FC">
      <w:pPr>
        <w:pStyle w:val="183"/>
      </w:pPr>
      <w:bookmarkStart w:id="2731" w:name="_Ref393280081"/>
      <w:bookmarkStart w:id="2732" w:name="_Toc141875507"/>
      <w:r>
        <w:rPr>
          <w:rFonts w:hint="eastAsia"/>
        </w:rPr>
        <w:t>IKE SA显示页面的详细说明</w:t>
      </w:r>
      <w:bookmarkEnd w:id="2731"/>
      <w:bookmarkEnd w:id="2732"/>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65"/>
        <w:gridCol w:w="6949"/>
      </w:tblGrid>
      <w:tr w14:paraId="1F371F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tcBorders>
              <w:tl2br w:val="nil"/>
              <w:tr2bl w:val="nil"/>
            </w:tcBorders>
            <w:shd w:val="clear" w:color="auto" w:fill="538135" w:themeFill="accent6" w:themeFillShade="BF"/>
            <w:vAlign w:val="center"/>
          </w:tcPr>
          <w:p w14:paraId="6267E2BB">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950" w:type="dxa"/>
            <w:tcBorders>
              <w:tl2br w:val="nil"/>
              <w:tr2bl w:val="nil"/>
            </w:tcBorders>
            <w:shd w:val="clear" w:color="auto" w:fill="538135" w:themeFill="accent6" w:themeFillShade="BF"/>
            <w:vAlign w:val="center"/>
          </w:tcPr>
          <w:p w14:paraId="46720503">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CDE14B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20B4E2F0">
            <w:pPr>
              <w:pStyle w:val="186"/>
              <w:widowControl w:val="0"/>
              <w:spacing w:line="240" w:lineRule="auto"/>
              <w:ind w:firstLine="0"/>
              <w:jc w:val="left"/>
            </w:pPr>
            <w:r>
              <w:rPr>
                <w:rFonts w:hint="eastAsia"/>
              </w:rPr>
              <w:t>名称</w:t>
            </w:r>
          </w:p>
        </w:tc>
        <w:tc>
          <w:tcPr>
            <w:tcW w:w="6950" w:type="dxa"/>
            <w:shd w:val="clear" w:color="auto" w:fill="auto"/>
          </w:tcPr>
          <w:p w14:paraId="5672CAE2">
            <w:pPr>
              <w:pStyle w:val="186"/>
              <w:widowControl w:val="0"/>
              <w:spacing w:line="240" w:lineRule="auto"/>
              <w:ind w:firstLine="0"/>
              <w:jc w:val="left"/>
            </w:pPr>
            <w:r>
              <w:rPr>
                <w:rFonts w:hint="eastAsia"/>
              </w:rPr>
              <w:t>IKE SA的名称。</w:t>
            </w:r>
          </w:p>
        </w:tc>
      </w:tr>
      <w:tr w14:paraId="618D171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3ECCCD47">
            <w:pPr>
              <w:pStyle w:val="186"/>
              <w:widowControl w:val="0"/>
              <w:spacing w:line="240" w:lineRule="auto"/>
              <w:ind w:firstLine="0"/>
              <w:jc w:val="left"/>
            </w:pPr>
            <w:r>
              <w:rPr>
                <w:rFonts w:hint="eastAsia"/>
              </w:rPr>
              <w:t>对端网关</w:t>
            </w:r>
          </w:p>
        </w:tc>
        <w:tc>
          <w:tcPr>
            <w:tcW w:w="6950" w:type="dxa"/>
            <w:shd w:val="clear" w:color="auto" w:fill="auto"/>
          </w:tcPr>
          <w:p w14:paraId="51EBE3C0">
            <w:pPr>
              <w:pStyle w:val="186"/>
              <w:widowControl w:val="0"/>
              <w:spacing w:line="240" w:lineRule="auto"/>
              <w:ind w:firstLine="0"/>
              <w:jc w:val="left"/>
            </w:pPr>
            <w:r>
              <w:rPr>
                <w:rFonts w:hint="eastAsia"/>
              </w:rPr>
              <w:t>IKE SA的对端网关。</w:t>
            </w:r>
          </w:p>
        </w:tc>
      </w:tr>
      <w:tr w14:paraId="411FD5F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7CBC8F9E">
            <w:pPr>
              <w:pStyle w:val="186"/>
              <w:widowControl w:val="0"/>
              <w:spacing w:line="240" w:lineRule="auto"/>
              <w:ind w:firstLine="0"/>
              <w:jc w:val="left"/>
            </w:pPr>
            <w:r>
              <w:rPr>
                <w:rFonts w:hint="eastAsia"/>
              </w:rPr>
              <w:t>本地网关</w:t>
            </w:r>
          </w:p>
        </w:tc>
        <w:tc>
          <w:tcPr>
            <w:tcW w:w="6950" w:type="dxa"/>
            <w:shd w:val="clear" w:color="auto" w:fill="auto"/>
          </w:tcPr>
          <w:p w14:paraId="68DEA9AA">
            <w:pPr>
              <w:pStyle w:val="186"/>
              <w:widowControl w:val="0"/>
              <w:spacing w:line="240" w:lineRule="auto"/>
              <w:ind w:firstLine="0"/>
              <w:jc w:val="left"/>
            </w:pPr>
            <w:r>
              <w:rPr>
                <w:rFonts w:hint="eastAsia"/>
              </w:rPr>
              <w:t>IKE SA的本地网关。</w:t>
            </w:r>
          </w:p>
        </w:tc>
      </w:tr>
      <w:tr w14:paraId="42F92E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7D60648E">
            <w:pPr>
              <w:pStyle w:val="186"/>
              <w:widowControl w:val="0"/>
              <w:spacing w:line="240" w:lineRule="auto"/>
              <w:ind w:firstLine="0"/>
              <w:jc w:val="left"/>
            </w:pPr>
            <w:r>
              <w:rPr>
                <w:rFonts w:hint="eastAsia"/>
              </w:rPr>
              <w:t>状态</w:t>
            </w:r>
          </w:p>
        </w:tc>
        <w:tc>
          <w:tcPr>
            <w:tcW w:w="6950" w:type="dxa"/>
            <w:shd w:val="clear" w:color="auto" w:fill="auto"/>
          </w:tcPr>
          <w:p w14:paraId="75FE9724">
            <w:pPr>
              <w:pStyle w:val="186"/>
              <w:widowControl w:val="0"/>
              <w:spacing w:line="240" w:lineRule="auto"/>
              <w:ind w:firstLine="0"/>
              <w:jc w:val="left"/>
            </w:pPr>
            <w:r>
              <w:rPr>
                <w:rFonts w:hint="eastAsia"/>
              </w:rPr>
              <w:t>IKE SA的状态。</w:t>
            </w:r>
          </w:p>
        </w:tc>
      </w:tr>
      <w:tr w14:paraId="0ABE55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6C6C3B33">
            <w:pPr>
              <w:pStyle w:val="186"/>
              <w:widowControl w:val="0"/>
              <w:spacing w:line="240" w:lineRule="auto"/>
              <w:ind w:firstLine="0"/>
              <w:jc w:val="left"/>
            </w:pPr>
            <w:r>
              <w:rPr>
                <w:rFonts w:hint="eastAsia"/>
              </w:rPr>
              <w:t>过期时间</w:t>
            </w:r>
          </w:p>
        </w:tc>
        <w:tc>
          <w:tcPr>
            <w:tcW w:w="6950" w:type="dxa"/>
            <w:shd w:val="clear" w:color="auto" w:fill="auto"/>
          </w:tcPr>
          <w:p w14:paraId="0F27F3BD">
            <w:pPr>
              <w:pStyle w:val="186"/>
              <w:widowControl w:val="0"/>
              <w:spacing w:line="240" w:lineRule="auto"/>
              <w:ind w:firstLine="0"/>
              <w:jc w:val="left"/>
            </w:pPr>
            <w:r>
              <w:rPr>
                <w:rFonts w:hint="eastAsia"/>
              </w:rPr>
              <w:t>IKE SA的过期时间。</w:t>
            </w:r>
          </w:p>
        </w:tc>
      </w:tr>
      <w:tr w14:paraId="6E956C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42EF7A63">
            <w:pPr>
              <w:pStyle w:val="186"/>
              <w:widowControl w:val="0"/>
              <w:spacing w:line="240" w:lineRule="auto"/>
              <w:ind w:firstLine="0"/>
              <w:jc w:val="left"/>
            </w:pPr>
            <w:r>
              <w:rPr>
                <w:rFonts w:hint="eastAsia"/>
              </w:rPr>
              <w:t>操作</w:t>
            </w:r>
          </w:p>
        </w:tc>
        <w:tc>
          <w:tcPr>
            <w:tcW w:w="6950" w:type="dxa"/>
            <w:shd w:val="clear" w:color="auto" w:fill="auto"/>
          </w:tcPr>
          <w:p w14:paraId="7836EFAB">
            <w:pPr>
              <w:pStyle w:val="186"/>
              <w:widowControl w:val="0"/>
              <w:spacing w:line="240" w:lineRule="auto"/>
              <w:ind w:firstLine="0"/>
              <w:jc w:val="left"/>
            </w:pPr>
            <w:r>
              <w:rPr>
                <w:rFonts w:hint="eastAsia"/>
              </w:rPr>
              <w:t>可以对相应IKE SA进行的操作。</w:t>
            </w:r>
          </w:p>
        </w:tc>
      </w:tr>
    </w:tbl>
    <w:p w14:paraId="757BF413"/>
    <w:p w14:paraId="2F4F63A1">
      <w:r>
        <w:rPr>
          <w:rFonts w:hint="eastAsia"/>
        </w:rPr>
        <w:t>点击页面右侧的</w:t>
      </w:r>
      <w:r>
        <w:t>&lt;</w:t>
      </w:r>
      <w:r>
        <w:rPr>
          <w:rFonts w:hint="eastAsia"/>
        </w:rPr>
        <w:t>删除</w:t>
      </w:r>
      <w:r>
        <w:t>&gt;</w:t>
      </w:r>
      <w:r>
        <w:rPr>
          <w:rFonts w:hint="eastAsia"/>
        </w:rPr>
        <w:t>按钮，可以删除对应的</w:t>
      </w:r>
      <w:r>
        <w:t>IKE SA</w:t>
      </w:r>
      <w:r>
        <w:rPr>
          <w:rFonts w:hint="eastAsia"/>
        </w:rPr>
        <w:t>。</w:t>
      </w:r>
    </w:p>
    <w:p w14:paraId="13ADF287">
      <w:pPr>
        <w:pStyle w:val="4"/>
      </w:pPr>
      <w:bookmarkStart w:id="2733" w:name="_Toc497293740"/>
      <w:bookmarkEnd w:id="2733"/>
      <w:bookmarkStart w:id="2734" w:name="_Toc141873428"/>
      <w:bookmarkStart w:id="2735" w:name="_Toc142400944"/>
      <w:bookmarkStart w:id="2736" w:name="_Toc12378480"/>
      <w:bookmarkStart w:id="2737" w:name="_Toc99561501"/>
      <w:bookmarkStart w:id="2738" w:name="_Toc172218177"/>
      <w:bookmarkStart w:id="2739" w:name="_Toc40275996"/>
      <w:bookmarkStart w:id="2740" w:name="_Toc196728136"/>
      <w:bookmarkStart w:id="2741" w:name="_Toc454962550"/>
      <w:bookmarkStart w:id="2742" w:name="_Toc23152563"/>
      <w:bookmarkStart w:id="2743" w:name="_Toc15484797"/>
      <w:bookmarkStart w:id="2744" w:name="_Toc194080804"/>
      <w:r>
        <w:rPr>
          <w:rFonts w:hint="eastAsia"/>
        </w:rPr>
        <w:t>IPsec快速配置</w:t>
      </w:r>
      <w:bookmarkEnd w:id="2734"/>
      <w:bookmarkEnd w:id="2735"/>
      <w:bookmarkEnd w:id="2736"/>
      <w:bookmarkEnd w:id="2737"/>
      <w:bookmarkEnd w:id="2738"/>
      <w:bookmarkEnd w:id="2739"/>
      <w:bookmarkEnd w:id="2740"/>
      <w:bookmarkEnd w:id="2741"/>
      <w:bookmarkEnd w:id="2742"/>
      <w:bookmarkEnd w:id="2743"/>
      <w:bookmarkEnd w:id="2744"/>
    </w:p>
    <w:p w14:paraId="133DF31F">
      <w:pPr>
        <w:pStyle w:val="5"/>
      </w:pPr>
      <w:bookmarkStart w:id="2745" w:name="_Toc141873429"/>
      <w:bookmarkStart w:id="2746" w:name="_Toc142400945"/>
      <w:bookmarkStart w:id="2747" w:name="_Toc15484798"/>
      <w:bookmarkStart w:id="2748" w:name="_Toc172218178"/>
      <w:bookmarkStart w:id="2749" w:name="_Toc40275997"/>
      <w:bookmarkStart w:id="2750" w:name="_Toc99561502"/>
      <w:bookmarkStart w:id="2751" w:name="_Toc194080805"/>
      <w:bookmarkStart w:id="2752" w:name="_Toc12378481"/>
      <w:bookmarkStart w:id="2753" w:name="_Toc23152564"/>
      <w:bookmarkStart w:id="2754" w:name="_Toc196728137"/>
      <w:bookmarkStart w:id="2755" w:name="_Toc454962551"/>
      <w:r>
        <w:t>IPsec</w:t>
      </w:r>
      <w:r>
        <w:rPr>
          <w:rFonts w:hint="eastAsia"/>
        </w:rPr>
        <w:t>快速配置概述</w:t>
      </w:r>
      <w:bookmarkEnd w:id="2745"/>
      <w:bookmarkEnd w:id="2746"/>
      <w:bookmarkEnd w:id="2747"/>
      <w:bookmarkEnd w:id="2748"/>
      <w:bookmarkEnd w:id="2749"/>
      <w:bookmarkEnd w:id="2750"/>
      <w:bookmarkEnd w:id="2751"/>
      <w:bookmarkEnd w:id="2752"/>
      <w:bookmarkEnd w:id="2753"/>
      <w:bookmarkEnd w:id="2754"/>
      <w:bookmarkEnd w:id="2755"/>
    </w:p>
    <w:p w14:paraId="4AA4AA14">
      <w:r>
        <w:rPr>
          <w:rFonts w:hint="eastAsia"/>
        </w:rPr>
        <w:t>由于连锁酒店分支机构众多，</w:t>
      </w:r>
      <w:r>
        <w:t>IPSEC VPN</w:t>
      </w:r>
      <w:r>
        <w:rPr>
          <w:rFonts w:hint="eastAsia"/>
        </w:rPr>
        <w:t>业务的部署和维护非常复杂，给管理员的工作带来非常大的挑战：“</w:t>
      </w:r>
      <w:r>
        <w:t>VPN</w:t>
      </w:r>
      <w:r>
        <w:rPr>
          <w:rFonts w:hint="eastAsia"/>
        </w:rPr>
        <w:t>业务多变，管理复杂”，现有标准</w:t>
      </w:r>
      <w:r>
        <w:t>IPSEC VPN</w:t>
      </w:r>
      <w:r>
        <w:rPr>
          <w:rFonts w:hint="eastAsia"/>
        </w:rPr>
        <w:t>的配置比较繁琐，组网变化带来的配置改动比较大。因此急需提供一种易用性更好，配置更简洁的解决方案。</w:t>
      </w:r>
      <w:r>
        <w:t xml:space="preserve">IPSEC </w:t>
      </w:r>
      <w:r>
        <w:rPr>
          <w:rFonts w:hint="eastAsia"/>
        </w:rPr>
        <w:t>快速配置就是在这样的场景下应运而生的。</w:t>
      </w:r>
    </w:p>
    <w:p w14:paraId="2A1D957D">
      <w:r>
        <w:rPr>
          <w:rFonts w:hint="eastAsia"/>
        </w:rPr>
        <w:t>按照以往</w:t>
      </w:r>
      <w:r>
        <w:t>VPN</w:t>
      </w:r>
      <w:r>
        <w:rPr>
          <w:rFonts w:hint="eastAsia"/>
        </w:rPr>
        <w:t>的配置，一个分支上线会有很多相关配置，步骤较多，且在隧道显示上也不太友好，主要表现在如下几个方面：</w:t>
      </w:r>
    </w:p>
    <w:p w14:paraId="4BFC962E">
      <w:pPr>
        <w:pStyle w:val="162"/>
      </w:pPr>
      <w:r>
        <w:rPr>
          <w:rFonts w:hint="eastAsia"/>
        </w:rPr>
        <w:t>每个分支上线都需要创建IKE、IPsec和对应的tunnel口，然后在tunnel口配置感兴趣流，和对应的tunnel路由。中心端有多少个IP，分支端就需要创建多少个IKE、IPsec</w:t>
      </w:r>
      <w:r>
        <w:t>和tunnel口及tunnel路由</w:t>
      </w:r>
      <w:r>
        <w:rPr>
          <w:rFonts w:hint="eastAsia"/>
        </w:rPr>
        <w:t>。当走IPsec隧道的网段发生变化时，我们需要同步修改对应的感兴趣流和tunnel路由。当分支特别多的时候，对于管理员来说是一项非常巨大且繁琐的工作，很容易出现配置错误，不好排查。</w:t>
      </w:r>
    </w:p>
    <w:p w14:paraId="341A3E46">
      <w:pPr>
        <w:pStyle w:val="162"/>
      </w:pPr>
      <w:r>
        <w:t>在web页面查看各隧道的流量和状态时</w:t>
      </w:r>
      <w:r>
        <w:rPr>
          <w:rFonts w:hint="eastAsia"/>
        </w:rPr>
        <w:t>，</w:t>
      </w:r>
      <w:r>
        <w:t>每个隧道只能显示本端</w:t>
      </w:r>
      <w:r>
        <w:rPr>
          <w:rFonts w:hint="eastAsia"/>
        </w:rPr>
        <w:t>IP和对端IP，却不知道这条隧道对应的哪个分支，需要根据分支和IP的对应关系，才能知道属于哪个分支。且一个分支的多个感兴趣流会显示多个SA，无法聚合，显得比较杂乱，不便查看。</w:t>
      </w:r>
    </w:p>
    <w:p w14:paraId="6DD3DBEB">
      <w:pPr>
        <w:pStyle w:val="162"/>
      </w:pPr>
      <w:r>
        <w:rPr>
          <w:rFonts w:hint="eastAsia"/>
        </w:rPr>
        <w:t>如果一个分支的私有网段和另一个分支的私有网段有冲突，如，都使用了192.168.10.1/24网段，则后上线的分支需要做NAT，转换为另外一个不冲突的网段才能正常工作。这个NAT配置需要绑定对应的隧道口，以明确只有过隧道的流量才需要转换。如果隧道口有变动，则相应的NAT配置也需要做对应变动。</w:t>
      </w:r>
    </w:p>
    <w:p w14:paraId="73A8B410">
      <w:r>
        <w:rPr>
          <w:rFonts w:hint="eastAsia"/>
        </w:rPr>
        <w:t>鉴于以上配置上的繁琐和显示上的不友好，我们要做出改进，优化连锁酒店的</w:t>
      </w:r>
      <w:r>
        <w:t>IPSEC VPN</w:t>
      </w:r>
      <w:r>
        <w:rPr>
          <w:rFonts w:hint="eastAsia"/>
        </w:rPr>
        <w:t>管理工作，尽可能地使</w:t>
      </w:r>
      <w:r>
        <w:t>VPN</w:t>
      </w:r>
      <w:r>
        <w:rPr>
          <w:rFonts w:hint="eastAsia"/>
        </w:rPr>
        <w:t>配置自动化，简单化，甚至是傻瓜化，做到“快速上线、动态适应、部署简单”。</w:t>
      </w:r>
    </w:p>
    <w:p w14:paraId="2A10C705">
      <w:r>
        <w:rPr>
          <w:rFonts w:hint="eastAsia"/>
        </w:rPr>
        <w:t>针对以上目标，</w:t>
      </w:r>
      <w:r>
        <w:t>IPSEC</w:t>
      </w:r>
      <w:r>
        <w:rPr>
          <w:rFonts w:hint="eastAsia"/>
        </w:rPr>
        <w:t>快速配置具体的改进措施如下：</w:t>
      </w:r>
    </w:p>
    <w:p w14:paraId="60AFD25F">
      <w:pPr>
        <w:pStyle w:val="162"/>
      </w:pPr>
      <w:r>
        <w:rPr>
          <w:rFonts w:hint="eastAsia"/>
        </w:rPr>
        <w:t>隐藏IKE/</w:t>
      </w:r>
      <w:r>
        <w:t>IPsec/tunnel口的创建过程</w:t>
      </w:r>
    </w:p>
    <w:p w14:paraId="54267242">
      <w:r>
        <w:t>管理员只需配置本端分支名称</w:t>
      </w:r>
      <w:r>
        <w:rPr>
          <w:rFonts w:hint="eastAsia"/>
        </w:rPr>
        <w:t>，</w:t>
      </w:r>
      <w:r>
        <w:t>对端</w:t>
      </w:r>
      <w:r>
        <w:rPr>
          <w:rFonts w:hint="eastAsia"/>
        </w:rPr>
        <w:t>IP和预共享密钥。后台根据这些配置，自动生成对应的IKE、IPsec和tunnel口，其他相关参数均使用内置的默认参数。</w:t>
      </w:r>
    </w:p>
    <w:p w14:paraId="61FA2F75">
      <w:pPr>
        <w:pStyle w:val="162"/>
      </w:pPr>
      <w:r>
        <w:t>感兴趣流不再配置</w:t>
      </w:r>
      <w:r>
        <w:rPr>
          <w:rFonts w:hint="eastAsia"/>
        </w:rPr>
        <w:t>，tunnel路由不再配置</w:t>
      </w:r>
    </w:p>
    <w:p w14:paraId="55FB8168">
      <w:r>
        <w:t>管理员只需要配置本端的保护网段</w:t>
      </w:r>
      <w:r>
        <w:rPr>
          <w:rFonts w:hint="eastAsia"/>
        </w:rPr>
        <w:t>，</w:t>
      </w:r>
      <w:r>
        <w:t>即需要走</w:t>
      </w:r>
      <w:r>
        <w:rPr>
          <w:rFonts w:hint="eastAsia"/>
        </w:rPr>
        <w:t>IPsec的源网段。对端也是如此。当两端建立起IKE后，交互各自的保护网段，形成感兴趣流，同时以对端的保护网段为目的网段，生成对应的tunnel路由。</w:t>
      </w:r>
    </w:p>
    <w:p w14:paraId="2CA04DD2">
      <w:pPr>
        <w:pStyle w:val="162"/>
      </w:pPr>
      <w:r>
        <w:t>支持多线路</w:t>
      </w:r>
      <w:r>
        <w:rPr>
          <w:rFonts w:hint="eastAsia"/>
        </w:rPr>
        <w:t>备份</w:t>
      </w:r>
    </w:p>
    <w:p w14:paraId="1CD63F5E">
      <w:r>
        <w:rPr>
          <w:rFonts w:hint="eastAsia"/>
        </w:rPr>
        <w:t>高优先级线路断开后，无缝切换到低优先级的线路；当高优先级线路恢复后，再切换回高优先级线路。</w:t>
      </w:r>
    </w:p>
    <w:p w14:paraId="6249B6F6">
      <w:pPr>
        <w:pStyle w:val="162"/>
      </w:pPr>
      <w:r>
        <w:rPr>
          <w:rFonts w:hint="eastAsia"/>
        </w:rPr>
        <w:t>NAT规则不再配置</w:t>
      </w:r>
    </w:p>
    <w:p w14:paraId="40FCF5F3">
      <w:r>
        <w:rPr>
          <w:rFonts w:hint="eastAsia"/>
        </w:rPr>
        <w:t>管理员只需要配置哪些源网段转换为哪些目的网段。后台会自动生成对应的NAT规则。</w:t>
      </w:r>
    </w:p>
    <w:p w14:paraId="43744B69">
      <w:pPr>
        <w:pStyle w:val="162"/>
      </w:pPr>
      <w:r>
        <w:rPr>
          <w:rFonts w:hint="eastAsia"/>
        </w:rPr>
        <w:t>隧道状态展示优化</w:t>
      </w:r>
    </w:p>
    <w:p w14:paraId="5F7DD6B5">
      <w:r>
        <w:rPr>
          <w:rFonts w:hint="eastAsia"/>
        </w:rPr>
        <w:t>页面显示隧道状态时，以分支名称为key，一条记录聚合显示该分支相关隧道的信息，便于查看，支持搜索。</w:t>
      </w:r>
    </w:p>
    <w:p w14:paraId="79A2B63E">
      <w:pPr>
        <w:pStyle w:val="5"/>
      </w:pPr>
      <w:bookmarkStart w:id="2756" w:name="_Toc172218179"/>
      <w:bookmarkStart w:id="2757" w:name="_Toc23152565"/>
      <w:bookmarkStart w:id="2758" w:name="_Toc15484799"/>
      <w:bookmarkStart w:id="2759" w:name="_Toc141873430"/>
      <w:bookmarkStart w:id="2760" w:name="_Toc454962552"/>
      <w:bookmarkStart w:id="2761" w:name="_Toc194080806"/>
      <w:bookmarkStart w:id="2762" w:name="_Toc99561503"/>
      <w:bookmarkStart w:id="2763" w:name="_Toc40275998"/>
      <w:bookmarkStart w:id="2764" w:name="_Toc12378482"/>
      <w:bookmarkStart w:id="2765" w:name="_Toc142400946"/>
      <w:bookmarkStart w:id="2766" w:name="_Toc196728138"/>
      <w:r>
        <w:rPr>
          <w:rFonts w:hint="eastAsia"/>
        </w:rPr>
        <w:t>创建IPsec快速配置</w:t>
      </w:r>
      <w:bookmarkEnd w:id="2756"/>
      <w:bookmarkEnd w:id="2757"/>
      <w:bookmarkEnd w:id="2758"/>
      <w:bookmarkEnd w:id="2759"/>
      <w:bookmarkEnd w:id="2760"/>
      <w:bookmarkEnd w:id="2761"/>
      <w:bookmarkEnd w:id="2762"/>
      <w:bookmarkEnd w:id="2763"/>
      <w:bookmarkEnd w:id="2764"/>
      <w:bookmarkEnd w:id="2765"/>
      <w:bookmarkEnd w:id="2766"/>
    </w:p>
    <w:p w14:paraId="72365637">
      <w:pPr>
        <w:pStyle w:val="6"/>
      </w:pPr>
      <w:bookmarkStart w:id="2767" w:name="_配置概述"/>
      <w:bookmarkEnd w:id="2767"/>
      <w:bookmarkStart w:id="2768" w:name="_Toc454962553"/>
      <w:bookmarkStart w:id="2769" w:name="_Toc12378483"/>
      <w:bookmarkStart w:id="2770" w:name="_Toc15484800"/>
      <w:bookmarkStart w:id="2771" w:name="_Toc23152566"/>
      <w:bookmarkStart w:id="2772" w:name="_Toc40275999"/>
      <w:r>
        <w:rPr>
          <w:rFonts w:hint="eastAsia"/>
        </w:rPr>
        <w:t>配置概述</w:t>
      </w:r>
      <w:bookmarkEnd w:id="2768"/>
      <w:bookmarkEnd w:id="2769"/>
      <w:bookmarkEnd w:id="2770"/>
      <w:bookmarkEnd w:id="2771"/>
      <w:bookmarkEnd w:id="2772"/>
    </w:p>
    <w:p w14:paraId="29967930">
      <w:r>
        <w:t>IPsec</w:t>
      </w:r>
      <w:r>
        <w:rPr>
          <w:rFonts w:hint="eastAsia"/>
        </w:rPr>
        <w:t>配置的推荐步骤如下表所示。</w:t>
      </w:r>
    </w:p>
    <w:p w14:paraId="0CB3EDFF">
      <w:pPr>
        <w:pStyle w:val="183"/>
      </w:pPr>
      <w:bookmarkStart w:id="2773" w:name="_Toc141875508"/>
      <w:r>
        <w:t>IPsec</w:t>
      </w:r>
      <w:r>
        <w:rPr>
          <w:rFonts w:hint="eastAsia"/>
        </w:rPr>
        <w:t>快速配置的推荐步骤</w:t>
      </w:r>
      <w:bookmarkEnd w:id="2773"/>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3021"/>
        <w:gridCol w:w="3083"/>
        <w:gridCol w:w="2910"/>
      </w:tblGrid>
      <w:tr w14:paraId="6E7AB3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3022" w:type="dxa"/>
            <w:tcBorders>
              <w:tl2br w:val="nil"/>
              <w:tr2bl w:val="nil"/>
            </w:tcBorders>
            <w:shd w:val="clear" w:color="auto" w:fill="538135" w:themeFill="accent6" w:themeFillShade="BF"/>
            <w:vAlign w:val="center"/>
          </w:tcPr>
          <w:p w14:paraId="6DBE1505">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配置任务</w:t>
            </w:r>
          </w:p>
        </w:tc>
        <w:tc>
          <w:tcPr>
            <w:tcW w:w="3083" w:type="dxa"/>
            <w:tcBorders>
              <w:tl2br w:val="nil"/>
              <w:tr2bl w:val="nil"/>
            </w:tcBorders>
            <w:shd w:val="clear" w:color="auto" w:fill="538135" w:themeFill="accent6" w:themeFillShade="BF"/>
            <w:vAlign w:val="center"/>
          </w:tcPr>
          <w:p w14:paraId="3039424D">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c>
          <w:tcPr>
            <w:tcW w:w="2910" w:type="dxa"/>
            <w:tcBorders>
              <w:tl2br w:val="nil"/>
              <w:tr2bl w:val="nil"/>
            </w:tcBorders>
            <w:shd w:val="clear" w:color="auto" w:fill="538135" w:themeFill="accent6" w:themeFillShade="BF"/>
            <w:vAlign w:val="center"/>
          </w:tcPr>
          <w:p w14:paraId="1FB14397">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详细配置</w:t>
            </w:r>
          </w:p>
        </w:tc>
      </w:tr>
      <w:tr w14:paraId="7B4E5F1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3022" w:type="dxa"/>
            <w:shd w:val="clear" w:color="auto" w:fill="auto"/>
          </w:tcPr>
          <w:p w14:paraId="7444FF74">
            <w:pPr>
              <w:pStyle w:val="186"/>
              <w:widowControl w:val="0"/>
              <w:spacing w:line="240" w:lineRule="auto"/>
              <w:ind w:firstLine="0"/>
              <w:jc w:val="left"/>
            </w:pPr>
            <w:r>
              <w:rPr>
                <w:rFonts w:hint="eastAsia"/>
              </w:rPr>
              <w:t>节点基本信息配置</w:t>
            </w:r>
          </w:p>
        </w:tc>
        <w:tc>
          <w:tcPr>
            <w:tcW w:w="3083" w:type="dxa"/>
            <w:shd w:val="clear" w:color="auto" w:fill="auto"/>
          </w:tcPr>
          <w:p w14:paraId="1608E9C6">
            <w:pPr>
              <w:pStyle w:val="186"/>
              <w:widowControl w:val="0"/>
              <w:spacing w:line="240" w:lineRule="auto"/>
              <w:ind w:firstLine="0"/>
              <w:jc w:val="left"/>
            </w:pPr>
            <w:r>
              <w:rPr>
                <w:rFonts w:hint="eastAsia"/>
              </w:rPr>
              <w:t>必选</w:t>
            </w:r>
          </w:p>
        </w:tc>
        <w:tc>
          <w:tcPr>
            <w:tcW w:w="2910" w:type="dxa"/>
            <w:shd w:val="clear" w:color="auto" w:fill="auto"/>
          </w:tcPr>
          <w:p w14:paraId="6EFD024E">
            <w:pPr>
              <w:pStyle w:val="186"/>
              <w:widowControl w:val="0"/>
              <w:spacing w:line="240" w:lineRule="auto"/>
              <w:ind w:firstLine="0"/>
              <w:jc w:val="left"/>
            </w:pPr>
            <w:r>
              <w:fldChar w:fldCharType="begin"/>
            </w:r>
            <w:r>
              <w:instrText xml:space="preserve"> REF _Ref529434042 \r \h  \* MERGEFORMAT </w:instrText>
            </w:r>
            <w:r>
              <w:fldChar w:fldCharType="separate"/>
            </w:r>
            <w:r>
              <w:t>9.4.2.2</w:t>
            </w:r>
            <w:r>
              <w:fldChar w:fldCharType="end"/>
            </w:r>
          </w:p>
        </w:tc>
      </w:tr>
      <w:tr w14:paraId="5D35223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3022" w:type="dxa"/>
            <w:shd w:val="clear" w:color="auto" w:fill="auto"/>
          </w:tcPr>
          <w:p w14:paraId="08A235BF">
            <w:pPr>
              <w:pStyle w:val="186"/>
              <w:widowControl w:val="0"/>
              <w:spacing w:line="240" w:lineRule="auto"/>
              <w:ind w:firstLine="0"/>
              <w:jc w:val="left"/>
            </w:pPr>
            <w:r>
              <w:rPr>
                <w:rFonts w:hint="eastAsia"/>
              </w:rPr>
              <w:t>保护网段配置</w:t>
            </w:r>
          </w:p>
        </w:tc>
        <w:tc>
          <w:tcPr>
            <w:tcW w:w="3083" w:type="dxa"/>
            <w:shd w:val="clear" w:color="auto" w:fill="auto"/>
          </w:tcPr>
          <w:p w14:paraId="51F48BC5">
            <w:pPr>
              <w:pStyle w:val="186"/>
              <w:widowControl w:val="0"/>
              <w:spacing w:line="240" w:lineRule="auto"/>
              <w:ind w:firstLine="0"/>
              <w:jc w:val="left"/>
            </w:pPr>
            <w:r>
              <w:rPr>
                <w:rFonts w:hint="eastAsia"/>
              </w:rPr>
              <w:t>必选</w:t>
            </w:r>
          </w:p>
        </w:tc>
        <w:tc>
          <w:tcPr>
            <w:tcW w:w="2910" w:type="dxa"/>
            <w:shd w:val="clear" w:color="auto" w:fill="auto"/>
          </w:tcPr>
          <w:p w14:paraId="2DA2E4ED">
            <w:pPr>
              <w:pStyle w:val="186"/>
              <w:widowControl w:val="0"/>
              <w:spacing w:line="240" w:lineRule="auto"/>
              <w:ind w:firstLine="0"/>
              <w:jc w:val="left"/>
            </w:pPr>
            <w:r>
              <w:fldChar w:fldCharType="begin"/>
            </w:r>
            <w:r>
              <w:instrText xml:space="preserve"> REF _Ref529434043 \r \h  \* MERGEFORMAT </w:instrText>
            </w:r>
            <w:r>
              <w:fldChar w:fldCharType="separate"/>
            </w:r>
            <w:r>
              <w:t>9.4.2.3</w:t>
            </w:r>
            <w:r>
              <w:fldChar w:fldCharType="end"/>
            </w:r>
          </w:p>
        </w:tc>
      </w:tr>
      <w:tr w14:paraId="65E8F8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3022" w:type="dxa"/>
            <w:shd w:val="clear" w:color="auto" w:fill="auto"/>
          </w:tcPr>
          <w:p w14:paraId="5A6DF104">
            <w:pPr>
              <w:pStyle w:val="186"/>
              <w:widowControl w:val="0"/>
              <w:spacing w:line="240" w:lineRule="auto"/>
              <w:ind w:firstLine="0"/>
              <w:jc w:val="left"/>
            </w:pPr>
            <w:r>
              <w:rPr>
                <w:rFonts w:hint="eastAsia"/>
              </w:rPr>
              <w:t>高级选项配置（选路策略、网段映射）</w:t>
            </w:r>
          </w:p>
        </w:tc>
        <w:tc>
          <w:tcPr>
            <w:tcW w:w="3083" w:type="dxa"/>
            <w:shd w:val="clear" w:color="auto" w:fill="auto"/>
          </w:tcPr>
          <w:p w14:paraId="46C41546">
            <w:pPr>
              <w:pStyle w:val="186"/>
              <w:widowControl w:val="0"/>
              <w:spacing w:line="240" w:lineRule="auto"/>
              <w:ind w:firstLine="0"/>
              <w:jc w:val="left"/>
            </w:pPr>
            <w:r>
              <w:rPr>
                <w:rFonts w:hint="eastAsia"/>
              </w:rPr>
              <w:t>可选</w:t>
            </w:r>
          </w:p>
        </w:tc>
        <w:tc>
          <w:tcPr>
            <w:tcW w:w="2910" w:type="dxa"/>
            <w:shd w:val="clear" w:color="auto" w:fill="auto"/>
          </w:tcPr>
          <w:p w14:paraId="6B70EAB4">
            <w:pPr>
              <w:pStyle w:val="186"/>
              <w:widowControl w:val="0"/>
              <w:spacing w:line="240" w:lineRule="auto"/>
              <w:ind w:firstLine="0"/>
              <w:jc w:val="left"/>
            </w:pPr>
            <w:r>
              <w:fldChar w:fldCharType="begin"/>
            </w:r>
            <w:r>
              <w:instrText xml:space="preserve"> REF _Ref529434044 \r \h  \* MERGEFORMAT </w:instrText>
            </w:r>
            <w:r>
              <w:fldChar w:fldCharType="separate"/>
            </w:r>
            <w:r>
              <w:t>9.4.2.4</w:t>
            </w:r>
            <w:r>
              <w:fldChar w:fldCharType="end"/>
            </w:r>
          </w:p>
        </w:tc>
      </w:tr>
    </w:tbl>
    <w:p w14:paraId="35848DEA"/>
    <w:p w14:paraId="3945281E">
      <w:pPr>
        <w:pStyle w:val="6"/>
      </w:pPr>
      <w:bookmarkStart w:id="2774" w:name="_节点基本信息配置"/>
      <w:bookmarkEnd w:id="2774"/>
      <w:bookmarkStart w:id="2775" w:name="_Toc12378484"/>
      <w:bookmarkStart w:id="2776" w:name="_Toc23152567"/>
      <w:bookmarkStart w:id="2777" w:name="_Toc40276000"/>
      <w:bookmarkStart w:id="2778" w:name="_Ref529434042"/>
      <w:bookmarkStart w:id="2779" w:name="_Toc15484801"/>
      <w:bookmarkStart w:id="2780" w:name="_Toc454962554"/>
      <w:r>
        <w:rPr>
          <w:rFonts w:hint="eastAsia"/>
        </w:rPr>
        <w:t>节点基本信息配置</w:t>
      </w:r>
      <w:bookmarkEnd w:id="2775"/>
      <w:bookmarkEnd w:id="2776"/>
      <w:bookmarkEnd w:id="2777"/>
      <w:bookmarkEnd w:id="2778"/>
      <w:bookmarkEnd w:id="2779"/>
      <w:bookmarkEnd w:id="2780"/>
    </w:p>
    <w:p w14:paraId="2D20E622">
      <w:r>
        <w:rPr>
          <w:rFonts w:hint="eastAsia"/>
        </w:rPr>
        <w:t>在导航栏中选择“网络配置&gt;</w:t>
      </w:r>
      <w:r>
        <w:t>VPN&gt;IPsec-VPN&gt;IPsec</w:t>
      </w:r>
      <w:r>
        <w:rPr>
          <w:rFonts w:hint="eastAsia"/>
        </w:rPr>
        <w:t>快速配置”，进入</w:t>
      </w:r>
      <w:r>
        <w:t>IPsec</w:t>
      </w:r>
      <w:r>
        <w:rPr>
          <w:rFonts w:hint="eastAsia"/>
        </w:rPr>
        <w:t>快速配置的显示页面，如</w:t>
      </w:r>
      <w:r>
        <w:fldChar w:fldCharType="begin"/>
      </w:r>
      <w:r>
        <w:instrText xml:space="preserve"> REF _Ref458614128 \r \h </w:instrText>
      </w:r>
      <w:r>
        <w:fldChar w:fldCharType="separate"/>
      </w:r>
      <w:r>
        <w:rPr>
          <w:rFonts w:hint="eastAsia"/>
        </w:rPr>
        <w:t>图9-10</w:t>
      </w:r>
      <w:r>
        <w:fldChar w:fldCharType="end"/>
      </w:r>
      <w:r>
        <w:rPr>
          <w:rFonts w:hint="eastAsia"/>
        </w:rPr>
        <w:t>、</w:t>
      </w:r>
      <w:r>
        <w:fldChar w:fldCharType="begin"/>
      </w:r>
      <w:r>
        <w:instrText xml:space="preserve"> REF _Ref458614131 \r \h </w:instrText>
      </w:r>
      <w:r>
        <w:fldChar w:fldCharType="separate"/>
      </w:r>
      <w:r>
        <w:rPr>
          <w:rFonts w:hint="eastAsia"/>
        </w:rPr>
        <w:t>图9-11</w:t>
      </w:r>
      <w:r>
        <w:fldChar w:fldCharType="end"/>
      </w:r>
      <w:r>
        <w:rPr>
          <w:rFonts w:hint="eastAsia"/>
        </w:rPr>
        <w:t>、</w:t>
      </w:r>
      <w:r>
        <w:fldChar w:fldCharType="begin"/>
      </w:r>
      <w:r>
        <w:instrText xml:space="preserve"> REF _Ref458614132 \r \h </w:instrText>
      </w:r>
      <w:r>
        <w:fldChar w:fldCharType="separate"/>
      </w:r>
      <w:r>
        <w:rPr>
          <w:rFonts w:hint="eastAsia"/>
        </w:rPr>
        <w:t>图9-12</w:t>
      </w:r>
      <w:r>
        <w:fldChar w:fldCharType="end"/>
      </w:r>
      <w:r>
        <w:rPr>
          <w:rFonts w:hint="eastAsia"/>
        </w:rPr>
        <w:t>所示。</w:t>
      </w:r>
    </w:p>
    <w:p w14:paraId="62297B05">
      <w:pPr>
        <w:pStyle w:val="188"/>
      </w:pPr>
      <w:bookmarkStart w:id="2781" w:name="_Ref458614128"/>
      <w:bookmarkStart w:id="2782" w:name="_Toc141874632"/>
      <w:r>
        <w:rPr>
          <w:rFonts w:hint="eastAsia"/>
        </w:rPr>
        <w:t>IPsec快速配置分支节点显示页面</w:t>
      </w:r>
      <w:bookmarkEnd w:id="2781"/>
      <w:bookmarkEnd w:id="2782"/>
    </w:p>
    <w:p w14:paraId="6C615265">
      <w:r>
        <w:drawing>
          <wp:inline distT="0" distB="0" distL="114300" distR="114300">
            <wp:extent cx="5400040" cy="4366895"/>
            <wp:effectExtent l="0" t="0" r="0" b="0"/>
            <wp:docPr id="1096"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图片 174"/>
                    <pic:cNvPicPr>
                      <a:picLocks noChangeAspect="1"/>
                    </pic:cNvPicPr>
                  </pic:nvPicPr>
                  <pic:blipFill>
                    <a:blip r:embed="rId392"/>
                    <a:stretch>
                      <a:fillRect/>
                    </a:stretch>
                  </pic:blipFill>
                  <pic:spPr>
                    <a:xfrm>
                      <a:off x="0" y="0"/>
                      <a:ext cx="5400040" cy="4366934"/>
                    </a:xfrm>
                    <a:prstGeom prst="rect">
                      <a:avLst/>
                    </a:prstGeom>
                    <a:noFill/>
                    <a:ln>
                      <a:noFill/>
                    </a:ln>
                  </pic:spPr>
                </pic:pic>
              </a:graphicData>
            </a:graphic>
          </wp:inline>
        </w:drawing>
      </w:r>
    </w:p>
    <w:p w14:paraId="6CA2D5E3"/>
    <w:p w14:paraId="3DF46691">
      <w:pPr>
        <w:pStyle w:val="188"/>
      </w:pPr>
      <w:bookmarkStart w:id="2783" w:name="_Ref458614131"/>
      <w:bookmarkStart w:id="2784" w:name="_Toc141874633"/>
      <w:r>
        <w:rPr>
          <w:rFonts w:hint="eastAsia"/>
        </w:rPr>
        <w:t>IPsec快速配置新建对端网关显示页面</w:t>
      </w:r>
      <w:bookmarkEnd w:id="2783"/>
      <w:bookmarkEnd w:id="2784"/>
    </w:p>
    <w:p w14:paraId="640FA150">
      <w:r>
        <w:drawing>
          <wp:inline distT="0" distB="0" distL="114300" distR="114300">
            <wp:extent cx="5090160" cy="2994025"/>
            <wp:effectExtent l="0" t="0" r="2540" b="3175"/>
            <wp:docPr id="1097"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图片 175"/>
                    <pic:cNvPicPr>
                      <a:picLocks noChangeAspect="1"/>
                    </pic:cNvPicPr>
                  </pic:nvPicPr>
                  <pic:blipFill>
                    <a:blip r:embed="rId393"/>
                    <a:stretch>
                      <a:fillRect/>
                    </a:stretch>
                  </pic:blipFill>
                  <pic:spPr>
                    <a:xfrm>
                      <a:off x="0" y="0"/>
                      <a:ext cx="5090160" cy="2994025"/>
                    </a:xfrm>
                    <a:prstGeom prst="rect">
                      <a:avLst/>
                    </a:prstGeom>
                    <a:noFill/>
                    <a:ln>
                      <a:noFill/>
                    </a:ln>
                  </pic:spPr>
                </pic:pic>
              </a:graphicData>
            </a:graphic>
          </wp:inline>
        </w:drawing>
      </w:r>
    </w:p>
    <w:p w14:paraId="46AC75B2"/>
    <w:p w14:paraId="612BFC43">
      <w:pPr>
        <w:pStyle w:val="188"/>
      </w:pPr>
      <w:r>
        <w:rPr>
          <w:rFonts w:hint="eastAsia"/>
        </w:rPr>
        <w:t xml:space="preserve"> </w:t>
      </w:r>
      <w:bookmarkStart w:id="2785" w:name="_Ref458614132"/>
      <w:bookmarkStart w:id="2786" w:name="_Toc141874634"/>
      <w:r>
        <w:rPr>
          <w:rFonts w:hint="eastAsia"/>
        </w:rPr>
        <w:t>IPsec快速配置中心节点显示页</w:t>
      </w:r>
      <w:bookmarkEnd w:id="2785"/>
      <w:bookmarkEnd w:id="2786"/>
    </w:p>
    <w:p w14:paraId="6F7984EE">
      <w:r>
        <w:drawing>
          <wp:inline distT="0" distB="0" distL="114300" distR="114300">
            <wp:extent cx="5057775" cy="3447415"/>
            <wp:effectExtent l="0" t="0" r="0" b="635"/>
            <wp:docPr id="1099"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图片 177"/>
                    <pic:cNvPicPr>
                      <a:picLocks noChangeAspect="1"/>
                    </pic:cNvPicPr>
                  </pic:nvPicPr>
                  <pic:blipFill>
                    <a:blip r:embed="rId394"/>
                    <a:srcRect r="7127"/>
                    <a:stretch>
                      <a:fillRect/>
                    </a:stretch>
                  </pic:blipFill>
                  <pic:spPr>
                    <a:xfrm>
                      <a:off x="0" y="0"/>
                      <a:ext cx="5063335" cy="3451780"/>
                    </a:xfrm>
                    <a:prstGeom prst="rect">
                      <a:avLst/>
                    </a:prstGeom>
                    <a:noFill/>
                    <a:ln>
                      <a:noFill/>
                    </a:ln>
                  </pic:spPr>
                </pic:pic>
              </a:graphicData>
            </a:graphic>
          </wp:inline>
        </w:drawing>
      </w:r>
    </w:p>
    <w:p w14:paraId="23EDA290"/>
    <w:p w14:paraId="6E822AC7">
      <w:r>
        <w:rPr>
          <w:rFonts w:hint="eastAsia"/>
        </w:rPr>
        <w:t>页面的详细说明如</w:t>
      </w:r>
      <w:r>
        <w:fldChar w:fldCharType="begin"/>
      </w:r>
      <w:r>
        <w:instrText xml:space="preserve"> REF _Ref458614160 \r \h </w:instrText>
      </w:r>
      <w:r>
        <w:fldChar w:fldCharType="separate"/>
      </w:r>
      <w:r>
        <w:rPr>
          <w:rFonts w:hint="eastAsia"/>
        </w:rPr>
        <w:t>表9-1</w:t>
      </w:r>
      <w:r>
        <w:fldChar w:fldCharType="end"/>
      </w:r>
      <w:r>
        <w:rPr>
          <w:rFonts w:hint="eastAsia"/>
        </w:rPr>
        <w:t>。</w:t>
      </w:r>
    </w:p>
    <w:p w14:paraId="12B0048A">
      <w:pPr>
        <w:pStyle w:val="183"/>
      </w:pPr>
      <w:bookmarkStart w:id="2787" w:name="_Ref458614160"/>
      <w:bookmarkStart w:id="2788" w:name="_Toc141875509"/>
      <w:r>
        <w:rPr>
          <w:rFonts w:hint="eastAsia"/>
        </w:rPr>
        <w:t>IPsec快速配置显示页面的详细说明</w:t>
      </w:r>
      <w:bookmarkEnd w:id="2787"/>
      <w:bookmarkEnd w:id="2788"/>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632"/>
        <w:gridCol w:w="6382"/>
      </w:tblGrid>
      <w:tr w14:paraId="3A5BF2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38" w:hRule="atLeast"/>
        </w:trPr>
        <w:tc>
          <w:tcPr>
            <w:tcW w:w="2632" w:type="dxa"/>
            <w:tcBorders>
              <w:tl2br w:val="nil"/>
              <w:tr2bl w:val="nil"/>
            </w:tcBorders>
            <w:shd w:val="clear" w:color="auto" w:fill="538135" w:themeFill="accent6" w:themeFillShade="BF"/>
            <w:vAlign w:val="center"/>
          </w:tcPr>
          <w:p w14:paraId="05AAD982">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383" w:type="dxa"/>
            <w:tcBorders>
              <w:tl2br w:val="nil"/>
              <w:tr2bl w:val="nil"/>
            </w:tcBorders>
            <w:shd w:val="clear" w:color="auto" w:fill="538135" w:themeFill="accent6" w:themeFillShade="BF"/>
            <w:vAlign w:val="center"/>
          </w:tcPr>
          <w:p w14:paraId="06670C9F">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22FDD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632" w:type="dxa"/>
            <w:shd w:val="clear" w:color="auto" w:fill="auto"/>
          </w:tcPr>
          <w:p w14:paraId="74799230">
            <w:pPr>
              <w:pStyle w:val="186"/>
              <w:widowControl w:val="0"/>
              <w:spacing w:line="240" w:lineRule="auto"/>
              <w:ind w:firstLine="0"/>
              <w:jc w:val="left"/>
            </w:pPr>
            <w:r>
              <w:rPr>
                <w:rFonts w:hint="eastAsia"/>
              </w:rPr>
              <w:t>名称</w:t>
            </w:r>
          </w:p>
        </w:tc>
        <w:tc>
          <w:tcPr>
            <w:tcW w:w="6383" w:type="dxa"/>
            <w:shd w:val="clear" w:color="auto" w:fill="auto"/>
          </w:tcPr>
          <w:p w14:paraId="76EA363E">
            <w:pPr>
              <w:pStyle w:val="186"/>
              <w:widowControl w:val="0"/>
              <w:spacing w:line="240" w:lineRule="auto"/>
              <w:ind w:firstLine="0"/>
              <w:jc w:val="left"/>
            </w:pPr>
            <w:r>
              <w:rPr>
                <w:rFonts w:hint="eastAsia"/>
              </w:rPr>
              <w:t>节点的IPSEC名称，多隧道时聚合隧道的名称显示成该名称</w:t>
            </w:r>
          </w:p>
        </w:tc>
      </w:tr>
      <w:tr w14:paraId="2E6423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632" w:type="dxa"/>
            <w:shd w:val="clear" w:color="auto" w:fill="auto"/>
          </w:tcPr>
          <w:p w14:paraId="51568C75">
            <w:pPr>
              <w:pStyle w:val="186"/>
              <w:widowControl w:val="0"/>
              <w:spacing w:line="240" w:lineRule="auto"/>
              <w:ind w:firstLine="0"/>
              <w:jc w:val="left"/>
            </w:pPr>
            <w:r>
              <w:rPr>
                <w:rFonts w:hint="eastAsia"/>
              </w:rPr>
              <w:t>节点位置</w:t>
            </w:r>
          </w:p>
        </w:tc>
        <w:tc>
          <w:tcPr>
            <w:tcW w:w="6383" w:type="dxa"/>
            <w:shd w:val="clear" w:color="auto" w:fill="auto"/>
          </w:tcPr>
          <w:p w14:paraId="005740F8">
            <w:pPr>
              <w:pStyle w:val="186"/>
              <w:widowControl w:val="0"/>
              <w:spacing w:line="240" w:lineRule="auto"/>
              <w:ind w:firstLine="0"/>
              <w:jc w:val="left"/>
            </w:pPr>
            <w:r>
              <w:rPr>
                <w:rFonts w:hint="eastAsia"/>
              </w:rPr>
              <w:t>包含分支节点、中心节点两种类型</w:t>
            </w:r>
          </w:p>
        </w:tc>
      </w:tr>
      <w:tr w14:paraId="22C8F5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632" w:type="dxa"/>
            <w:shd w:val="clear" w:color="auto" w:fill="auto"/>
          </w:tcPr>
          <w:p w14:paraId="52A3F224">
            <w:pPr>
              <w:pStyle w:val="186"/>
              <w:widowControl w:val="0"/>
              <w:spacing w:line="240" w:lineRule="auto"/>
              <w:ind w:firstLine="0"/>
              <w:jc w:val="left"/>
            </w:pPr>
            <w:r>
              <w:rPr>
                <w:rFonts w:hint="eastAsia"/>
              </w:rPr>
              <w:t>新建对端网关</w:t>
            </w:r>
          </w:p>
        </w:tc>
        <w:tc>
          <w:tcPr>
            <w:tcW w:w="6383" w:type="dxa"/>
            <w:shd w:val="clear" w:color="auto" w:fill="auto"/>
          </w:tcPr>
          <w:p w14:paraId="768D38CD">
            <w:pPr>
              <w:pStyle w:val="186"/>
              <w:widowControl w:val="0"/>
              <w:spacing w:line="240" w:lineRule="auto"/>
              <w:ind w:firstLine="0"/>
              <w:jc w:val="left"/>
            </w:pPr>
            <w:r>
              <w:rPr>
                <w:rFonts w:hint="eastAsia"/>
              </w:rPr>
              <w:t>分支对端中心节点IP配置，多隧道时配置多个IP，IP最多配置4个，每配置一个IP就会自动生成一套IKE、IPSEC、tunnel的配置</w:t>
            </w:r>
          </w:p>
        </w:tc>
      </w:tr>
      <w:tr w14:paraId="29A8719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632" w:type="dxa"/>
            <w:shd w:val="clear" w:color="auto" w:fill="auto"/>
          </w:tcPr>
          <w:p w14:paraId="1283DD5C">
            <w:pPr>
              <w:pStyle w:val="186"/>
              <w:widowControl w:val="0"/>
              <w:spacing w:line="240" w:lineRule="auto"/>
              <w:ind w:firstLine="0"/>
              <w:jc w:val="left"/>
            </w:pPr>
            <w:r>
              <w:rPr>
                <w:rFonts w:hint="eastAsia"/>
              </w:rPr>
              <w:t>本端IP配置</w:t>
            </w:r>
          </w:p>
        </w:tc>
        <w:tc>
          <w:tcPr>
            <w:tcW w:w="6383" w:type="dxa"/>
            <w:shd w:val="clear" w:color="auto" w:fill="auto"/>
          </w:tcPr>
          <w:p w14:paraId="67CFCAEA">
            <w:pPr>
              <w:pStyle w:val="186"/>
              <w:widowControl w:val="0"/>
              <w:spacing w:line="240" w:lineRule="auto"/>
              <w:ind w:firstLine="0"/>
              <w:jc w:val="left"/>
            </w:pPr>
            <w:r>
              <w:rPr>
                <w:rFonts w:hint="eastAsia"/>
              </w:rPr>
              <w:t>中心节点与分支对接的接口IP配置，多个接口配置多个IP，最多配置4个IP，每配置一个IP就会自动生成一套IKE、IPSEC、tunnel的配置</w:t>
            </w:r>
          </w:p>
        </w:tc>
      </w:tr>
      <w:tr w14:paraId="756CC7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632" w:type="dxa"/>
            <w:shd w:val="clear" w:color="auto" w:fill="auto"/>
          </w:tcPr>
          <w:p w14:paraId="3E197322">
            <w:pPr>
              <w:pStyle w:val="186"/>
              <w:widowControl w:val="0"/>
              <w:spacing w:line="240" w:lineRule="auto"/>
              <w:ind w:firstLine="0"/>
              <w:jc w:val="left"/>
            </w:pPr>
            <w:r>
              <w:rPr>
                <w:rFonts w:hint="eastAsia"/>
              </w:rPr>
              <w:t>预共享密钥</w:t>
            </w:r>
          </w:p>
        </w:tc>
        <w:tc>
          <w:tcPr>
            <w:tcW w:w="6383" w:type="dxa"/>
            <w:shd w:val="clear" w:color="auto" w:fill="auto"/>
          </w:tcPr>
          <w:p w14:paraId="7162C6AD">
            <w:pPr>
              <w:pStyle w:val="186"/>
              <w:widowControl w:val="0"/>
              <w:spacing w:line="240" w:lineRule="auto"/>
              <w:ind w:firstLine="0"/>
              <w:jc w:val="left"/>
            </w:pPr>
            <w:r>
              <w:rPr>
                <w:rFonts w:hint="eastAsia"/>
              </w:rPr>
              <w:t>用于分支和中心之间验证对端身份（长度为</w:t>
            </w:r>
            <w:r>
              <w:t>3</w:t>
            </w:r>
            <w:r>
              <w:rPr>
                <w:rFonts w:hint="eastAsia"/>
              </w:rPr>
              <w:t>-39个字符）</w:t>
            </w:r>
          </w:p>
        </w:tc>
      </w:tr>
    </w:tbl>
    <w:p w14:paraId="692295D0">
      <w:bookmarkStart w:id="2789" w:name="_Toc497293754"/>
      <w:bookmarkEnd w:id="2789"/>
      <w:bookmarkStart w:id="2790" w:name="_保护网段配置"/>
      <w:bookmarkEnd w:id="2790"/>
      <w:bookmarkStart w:id="2791" w:name="_Toc454962555"/>
    </w:p>
    <w:p w14:paraId="6EDA45DE">
      <w:pPr>
        <w:pStyle w:val="6"/>
      </w:pPr>
      <w:bookmarkStart w:id="2792" w:name="_Toc40276001"/>
      <w:bookmarkStart w:id="2793" w:name="_Toc12378485"/>
      <w:bookmarkStart w:id="2794" w:name="_Toc23152568"/>
      <w:bookmarkStart w:id="2795" w:name="_Ref529434043"/>
      <w:bookmarkStart w:id="2796" w:name="_Toc15484802"/>
      <w:r>
        <w:rPr>
          <w:rFonts w:hint="eastAsia"/>
        </w:rPr>
        <w:t>保护网段配置</w:t>
      </w:r>
      <w:bookmarkEnd w:id="2791"/>
      <w:bookmarkEnd w:id="2792"/>
      <w:bookmarkEnd w:id="2793"/>
      <w:bookmarkEnd w:id="2794"/>
      <w:bookmarkEnd w:id="2795"/>
      <w:bookmarkEnd w:id="2796"/>
    </w:p>
    <w:p w14:paraId="46B758C6">
      <w:r>
        <w:rPr>
          <w:rFonts w:hint="eastAsia"/>
        </w:rPr>
        <w:t>在导航栏中选择“</w:t>
      </w:r>
      <w:r>
        <w:t>网络配置 &gt; VPN &gt; IPsec-VPN &gt; IPsec</w:t>
      </w:r>
      <w:r>
        <w:rPr>
          <w:rFonts w:hint="eastAsia"/>
        </w:rPr>
        <w:t>快速配置”，进入</w:t>
      </w:r>
      <w:r>
        <w:t>IPsec</w:t>
      </w:r>
      <w:r>
        <w:rPr>
          <w:rFonts w:hint="eastAsia"/>
        </w:rPr>
        <w:t>保护网段的显示页面，单击</w:t>
      </w:r>
      <w:r>
        <w:t>&lt;</w:t>
      </w:r>
      <w:r>
        <w:rPr>
          <w:rFonts w:hint="eastAsia"/>
        </w:rPr>
        <w:t>保护接口</w:t>
      </w:r>
      <w:r>
        <w:t>&gt;</w:t>
      </w:r>
      <w:r>
        <w:rPr>
          <w:rFonts w:hint="eastAsia"/>
        </w:rPr>
        <w:t>按钮，在接口列表中选</w:t>
      </w:r>
      <w:r>
        <w:t>&lt;</w:t>
      </w:r>
      <w:r>
        <w:rPr>
          <w:rFonts w:hint="eastAsia"/>
        </w:rPr>
        <w:t>接口</w:t>
      </w:r>
      <w:r>
        <w:t xml:space="preserve"> &gt;</w:t>
      </w:r>
      <w:r>
        <w:rPr>
          <w:rFonts w:hint="eastAsia"/>
        </w:rPr>
        <w:t>并设置掩码，或者单击</w:t>
      </w:r>
      <w:r>
        <w:t>&lt;</w:t>
      </w:r>
      <w:r>
        <w:rPr>
          <w:rFonts w:hint="eastAsia"/>
        </w:rPr>
        <w:t>保护子网</w:t>
      </w:r>
      <w:r>
        <w:t>&gt;</w:t>
      </w:r>
      <w:r>
        <w:rPr>
          <w:rFonts w:hint="eastAsia"/>
        </w:rPr>
        <w:t>按钮，设置保护网段和掩码，如</w:t>
      </w:r>
      <w:r>
        <w:rPr>
          <w:color w:val="0000FF"/>
          <w:u w:val="single"/>
        </w:rPr>
        <w:fldChar w:fldCharType="begin"/>
      </w:r>
      <w:r>
        <w:rPr>
          <w:color w:val="0000FF"/>
          <w:u w:val="single"/>
        </w:rPr>
        <w:instrText xml:space="preserve"> REF _Ref458614182 \r \h </w:instrText>
      </w:r>
      <w:r>
        <w:rPr>
          <w:color w:val="0000FF"/>
          <w:u w:val="single"/>
        </w:rPr>
        <w:fldChar w:fldCharType="separate"/>
      </w:r>
      <w:r>
        <w:rPr>
          <w:rFonts w:hint="eastAsia"/>
          <w:color w:val="0000FF"/>
          <w:u w:val="single"/>
        </w:rPr>
        <w:t>图9-13</w:t>
      </w:r>
      <w:r>
        <w:rPr>
          <w:color w:val="0000FF"/>
          <w:u w:val="single"/>
        </w:rPr>
        <w:fldChar w:fldCharType="end"/>
      </w:r>
      <w:r>
        <w:rPr>
          <w:rFonts w:hint="eastAsia"/>
        </w:rPr>
        <w:t>所示。</w:t>
      </w:r>
    </w:p>
    <w:p w14:paraId="02D578FA">
      <w:pPr>
        <w:pStyle w:val="188"/>
      </w:pPr>
      <w:bookmarkStart w:id="2797" w:name="_Ref458614182"/>
      <w:bookmarkStart w:id="2798" w:name="_Toc141874635"/>
      <w:r>
        <w:rPr>
          <w:rFonts w:hint="eastAsia"/>
        </w:rPr>
        <w:t>IPsec保护子网配置页面</w:t>
      </w:r>
      <w:bookmarkEnd w:id="2797"/>
      <w:bookmarkEnd w:id="2798"/>
    </w:p>
    <w:p w14:paraId="528EC884">
      <w:r>
        <w:drawing>
          <wp:inline distT="0" distB="0" distL="0" distR="0">
            <wp:extent cx="5400040" cy="2272030"/>
            <wp:effectExtent l="0" t="0" r="0" b="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pic:cNvPicPr>
                      <a:picLocks noChangeAspect="1"/>
                    </pic:cNvPicPr>
                  </pic:nvPicPr>
                  <pic:blipFill>
                    <a:blip r:embed="rId395"/>
                    <a:stretch>
                      <a:fillRect/>
                    </a:stretch>
                  </pic:blipFill>
                  <pic:spPr>
                    <a:xfrm>
                      <a:off x="0" y="0"/>
                      <a:ext cx="5400040" cy="2272286"/>
                    </a:xfrm>
                    <a:prstGeom prst="rect">
                      <a:avLst/>
                    </a:prstGeom>
                  </pic:spPr>
                </pic:pic>
              </a:graphicData>
            </a:graphic>
          </wp:inline>
        </w:drawing>
      </w:r>
    </w:p>
    <w:p w14:paraId="4AAF448D"/>
    <w:p w14:paraId="40E5A279">
      <w:r>
        <w:rPr>
          <w:rFonts w:hint="eastAsia"/>
        </w:rPr>
        <w:t>点击左侧</w:t>
      </w:r>
      <w:r>
        <w:t>&lt;</w:t>
      </w:r>
      <w:r>
        <w:rPr>
          <w:rFonts w:hint="eastAsia"/>
        </w:rPr>
        <w:t>保护接口</w:t>
      </w:r>
      <w:r>
        <w:t>&gt;</w:t>
      </w:r>
      <w:r>
        <w:rPr>
          <w:rFonts w:hint="eastAsia"/>
        </w:rPr>
        <w:t>按钮可以保护接口配置选项，如</w:t>
      </w:r>
      <w:r>
        <w:fldChar w:fldCharType="begin"/>
      </w:r>
      <w:r>
        <w:instrText xml:space="preserve"> REF _Ref458614197 \r \h </w:instrText>
      </w:r>
      <w:r>
        <w:fldChar w:fldCharType="separate"/>
      </w:r>
      <w:r>
        <w:rPr>
          <w:rFonts w:hint="eastAsia"/>
        </w:rPr>
        <w:t>图9-14</w:t>
      </w:r>
      <w:r>
        <w:fldChar w:fldCharType="end"/>
      </w:r>
      <w:r>
        <w:rPr>
          <w:rFonts w:hint="eastAsia"/>
        </w:rPr>
        <w:t>所示。</w:t>
      </w:r>
    </w:p>
    <w:p w14:paraId="4496E036">
      <w:pPr>
        <w:pStyle w:val="188"/>
      </w:pPr>
      <w:bookmarkStart w:id="2799" w:name="_Ref458614197"/>
      <w:bookmarkStart w:id="2800" w:name="_Toc141874636"/>
      <w:r>
        <w:rPr>
          <w:rFonts w:hint="eastAsia"/>
        </w:rPr>
        <w:t>IPsec协商策略详细配置页面</w:t>
      </w:r>
      <w:bookmarkEnd w:id="2799"/>
      <w:bookmarkEnd w:id="2800"/>
    </w:p>
    <w:p w14:paraId="6B2452CD">
      <w:r>
        <w:drawing>
          <wp:inline distT="0" distB="0" distL="0" distR="0">
            <wp:extent cx="5400040" cy="2333625"/>
            <wp:effectExtent l="0" t="0" r="0" b="9525"/>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pic:cNvPicPr>
                  </pic:nvPicPr>
                  <pic:blipFill>
                    <a:blip r:embed="rId396"/>
                    <a:stretch>
                      <a:fillRect/>
                    </a:stretch>
                  </pic:blipFill>
                  <pic:spPr>
                    <a:xfrm>
                      <a:off x="0" y="0"/>
                      <a:ext cx="5400040" cy="2333911"/>
                    </a:xfrm>
                    <a:prstGeom prst="rect">
                      <a:avLst/>
                    </a:prstGeom>
                  </pic:spPr>
                </pic:pic>
              </a:graphicData>
            </a:graphic>
          </wp:inline>
        </w:drawing>
      </w:r>
    </w:p>
    <w:p w14:paraId="6B8984D8"/>
    <w:p w14:paraId="15BA54C6">
      <w:r>
        <w:rPr>
          <w:rFonts w:hint="eastAsia"/>
        </w:rPr>
        <w:t>页面的详细说明如</w:t>
      </w:r>
      <w:r>
        <w:fldChar w:fldCharType="begin"/>
      </w:r>
      <w:r>
        <w:instrText xml:space="preserve"> REF _Ref458614203 \r \h </w:instrText>
      </w:r>
      <w:r>
        <w:fldChar w:fldCharType="separate"/>
      </w:r>
      <w:r>
        <w:rPr>
          <w:rFonts w:hint="eastAsia"/>
        </w:rPr>
        <w:t>表9-1</w:t>
      </w:r>
      <w:r>
        <w:fldChar w:fldCharType="end"/>
      </w:r>
      <w:r>
        <w:rPr>
          <w:rFonts w:hint="eastAsia"/>
        </w:rPr>
        <w:t>所示。</w:t>
      </w:r>
    </w:p>
    <w:p w14:paraId="2852DE9D">
      <w:pPr>
        <w:pStyle w:val="183"/>
      </w:pPr>
      <w:bookmarkStart w:id="2801" w:name="_Ref458614203"/>
      <w:bookmarkStart w:id="2802" w:name="_Toc141875510"/>
      <w:r>
        <w:rPr>
          <w:rFonts w:hint="eastAsia"/>
        </w:rPr>
        <w:t>IPsec保护网段配置的详细说明</w:t>
      </w:r>
      <w:bookmarkEnd w:id="2801"/>
      <w:bookmarkEnd w:id="2802"/>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506"/>
        <w:gridCol w:w="7508"/>
      </w:tblGrid>
      <w:tr w14:paraId="5D18DF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20" w:hRule="atLeast"/>
        </w:trPr>
        <w:tc>
          <w:tcPr>
            <w:tcW w:w="1498" w:type="dxa"/>
            <w:tcBorders>
              <w:tl2br w:val="nil"/>
              <w:tr2bl w:val="nil"/>
            </w:tcBorders>
            <w:shd w:val="clear" w:color="auto" w:fill="538135" w:themeFill="accent6" w:themeFillShade="BF"/>
            <w:vAlign w:val="center"/>
          </w:tcPr>
          <w:p w14:paraId="0E32E6BC">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7470" w:type="dxa"/>
            <w:tcBorders>
              <w:tl2br w:val="nil"/>
              <w:tr2bl w:val="nil"/>
            </w:tcBorders>
            <w:shd w:val="clear" w:color="auto" w:fill="538135" w:themeFill="accent6" w:themeFillShade="BF"/>
            <w:vAlign w:val="center"/>
          </w:tcPr>
          <w:p w14:paraId="51CA6887">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487B3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1E48F6FE">
            <w:pPr>
              <w:pStyle w:val="186"/>
              <w:widowControl w:val="0"/>
              <w:spacing w:line="240" w:lineRule="auto"/>
              <w:ind w:firstLine="0"/>
              <w:jc w:val="left"/>
            </w:pPr>
            <w:r>
              <w:rPr>
                <w:rFonts w:hint="eastAsia"/>
              </w:rPr>
              <w:t>保护接口</w:t>
            </w:r>
          </w:p>
        </w:tc>
        <w:tc>
          <w:tcPr>
            <w:tcW w:w="7470" w:type="dxa"/>
            <w:shd w:val="clear" w:color="auto" w:fill="auto"/>
          </w:tcPr>
          <w:p w14:paraId="70382245">
            <w:pPr>
              <w:pStyle w:val="186"/>
              <w:widowControl w:val="0"/>
              <w:spacing w:line="240" w:lineRule="auto"/>
              <w:ind w:firstLine="0"/>
              <w:jc w:val="left"/>
            </w:pPr>
            <w:r>
              <w:rPr>
                <w:rFonts w:hint="eastAsia"/>
              </w:rPr>
              <w:t>自动根据保护接口IP及掩码生成保护网段，该网段会自动传递给对端网关，对端网关根据此保护网段自动生成相应tunnel口的路由。</w:t>
            </w:r>
          </w:p>
        </w:tc>
      </w:tr>
      <w:tr w14:paraId="086869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54FEB1EF">
            <w:pPr>
              <w:pStyle w:val="186"/>
              <w:widowControl w:val="0"/>
              <w:spacing w:line="240" w:lineRule="auto"/>
              <w:ind w:firstLine="0"/>
              <w:jc w:val="left"/>
            </w:pPr>
            <w:r>
              <w:rPr>
                <w:rFonts w:hint="eastAsia"/>
              </w:rPr>
              <w:t>保护子网</w:t>
            </w:r>
          </w:p>
        </w:tc>
        <w:tc>
          <w:tcPr>
            <w:tcW w:w="7470" w:type="dxa"/>
            <w:shd w:val="clear" w:color="auto" w:fill="auto"/>
          </w:tcPr>
          <w:p w14:paraId="49FCF5A4">
            <w:pPr>
              <w:pStyle w:val="186"/>
              <w:widowControl w:val="0"/>
              <w:spacing w:line="240" w:lineRule="auto"/>
              <w:ind w:firstLine="0"/>
              <w:jc w:val="left"/>
            </w:pPr>
            <w:r>
              <w:rPr>
                <w:rFonts w:hint="eastAsia"/>
              </w:rPr>
              <w:t>该网段会自动传递给对端网关，对端网关根据此保护网段自动生成相应tunnel口的路由。</w:t>
            </w:r>
          </w:p>
        </w:tc>
      </w:tr>
    </w:tbl>
    <w:p w14:paraId="28B4584E"/>
    <w:p w14:paraId="29AC6C73">
      <w:r>
        <w:rPr>
          <w:rFonts w:hint="eastAsia"/>
        </w:rPr>
        <w:t>输入完毕后，点击</w:t>
      </w:r>
      <w:r>
        <w:t>&lt;</w:t>
      </w:r>
      <w:r>
        <w:rPr>
          <w:rFonts w:hint="eastAsia"/>
        </w:rPr>
        <w:t>添加到列表</w:t>
      </w:r>
      <w:r>
        <w:t>&gt;</w:t>
      </w:r>
      <w:r>
        <w:rPr>
          <w:rFonts w:hint="eastAsia"/>
        </w:rPr>
        <w:t>，点击</w:t>
      </w:r>
      <w:r>
        <w:t>&lt;</w:t>
      </w:r>
      <w:r>
        <w:rPr>
          <w:rFonts w:hint="eastAsia"/>
        </w:rPr>
        <w:t>提交</w:t>
      </w:r>
      <w:r>
        <w:t>&gt;</w:t>
      </w:r>
      <w:r>
        <w:rPr>
          <w:rFonts w:hint="eastAsia"/>
        </w:rPr>
        <w:t>按钮，应用配置。</w:t>
      </w:r>
    </w:p>
    <w:p w14:paraId="56C92F86">
      <w:r>
        <w:rPr>
          <w:rFonts w:hint="eastAsia"/>
        </w:rPr>
        <w:t>在</w:t>
      </w:r>
      <w:r>
        <w:t>IPsec</w:t>
      </w:r>
      <w:r>
        <w:rPr>
          <w:rFonts w:hint="eastAsia"/>
        </w:rPr>
        <w:t>保护网段列表中，点击保护网段右侧的</w:t>
      </w:r>
      <w:r>
        <w:t>&lt;</w:t>
      </w:r>
      <w:r>
        <w:rPr>
          <w:rFonts w:hint="eastAsia"/>
        </w:rPr>
        <w:t>删除</w:t>
      </w:r>
      <w:r>
        <w:t>&gt;</w:t>
      </w:r>
      <w:r>
        <w:rPr>
          <w:rFonts w:hint="eastAsia"/>
        </w:rPr>
        <w:t>按钮，可以删除对应的保护网段，或者选中多个条目</w:t>
      </w:r>
      <w:r>
        <w:t xml:space="preserve"> </w:t>
      </w:r>
      <w:r>
        <w:rPr>
          <w:rFonts w:hint="eastAsia"/>
        </w:rPr>
        <w:t>，点击左上角的</w:t>
      </w:r>
      <w:r>
        <w:t>&lt;</w:t>
      </w:r>
      <w:r>
        <w:rPr>
          <w:rFonts w:hint="eastAsia"/>
        </w:rPr>
        <w:t>删除</w:t>
      </w:r>
      <w:r>
        <w:t>&gt;</w:t>
      </w:r>
      <w:r>
        <w:rPr>
          <w:rFonts w:hint="eastAsia"/>
        </w:rPr>
        <w:t>按钮，批量删除多个保护网段的配置。</w:t>
      </w:r>
    </w:p>
    <w:p w14:paraId="7F3106E9">
      <w:pPr>
        <w:pStyle w:val="6"/>
      </w:pPr>
      <w:bookmarkStart w:id="2803" w:name="_高级选项配置"/>
      <w:bookmarkEnd w:id="2803"/>
      <w:bookmarkStart w:id="2804" w:name="_Toc12378486"/>
      <w:bookmarkStart w:id="2805" w:name="_Toc23152569"/>
      <w:bookmarkStart w:id="2806" w:name="_Toc454962556"/>
      <w:bookmarkStart w:id="2807" w:name="_Toc40276002"/>
      <w:bookmarkStart w:id="2808" w:name="_Toc15484803"/>
      <w:bookmarkStart w:id="2809" w:name="_Ref529434044"/>
      <w:r>
        <w:rPr>
          <w:rFonts w:hint="eastAsia"/>
        </w:rPr>
        <w:t>高级选项配置</w:t>
      </w:r>
      <w:bookmarkEnd w:id="2804"/>
      <w:bookmarkEnd w:id="2805"/>
      <w:bookmarkEnd w:id="2806"/>
      <w:bookmarkEnd w:id="2807"/>
      <w:bookmarkEnd w:id="2808"/>
      <w:bookmarkEnd w:id="2809"/>
    </w:p>
    <w:p w14:paraId="16E313AE">
      <w:r>
        <w:rPr>
          <w:rFonts w:hint="eastAsia"/>
        </w:rPr>
        <w:t>在导航栏中选择“</w:t>
      </w:r>
      <w:r>
        <w:t>网络配置 &gt; VPN &gt; IPsec-VPN &gt; IPsec</w:t>
      </w:r>
      <w:r>
        <w:rPr>
          <w:rFonts w:hint="eastAsia"/>
        </w:rPr>
        <w:t>快速配置”，节类型选择</w:t>
      </w:r>
      <w:r>
        <w:t>&lt;</w:t>
      </w:r>
      <w:r>
        <w:rPr>
          <w:rFonts w:hint="eastAsia"/>
        </w:rPr>
        <w:t>分支节点</w:t>
      </w:r>
      <w:r>
        <w:t>&gt;</w:t>
      </w:r>
      <w:r>
        <w:rPr>
          <w:rFonts w:hint="eastAsia"/>
        </w:rPr>
        <w:t>，单击对端网关</w:t>
      </w:r>
      <w:r>
        <w:t>&lt;</w:t>
      </w:r>
      <w:r>
        <w:rPr>
          <w:rFonts w:hint="eastAsia"/>
        </w:rPr>
        <w:t>新建</w:t>
      </w:r>
      <w:r>
        <w:t>&gt;</w:t>
      </w:r>
      <w:r>
        <w:rPr>
          <w:rFonts w:hint="eastAsia"/>
        </w:rPr>
        <w:t>按钮，进入分支节点“高级选项配置”。如</w:t>
      </w:r>
      <w:r>
        <w:rPr>
          <w:color w:val="0000FF"/>
          <w:u w:val="single"/>
        </w:rPr>
        <w:fldChar w:fldCharType="begin"/>
      </w:r>
      <w:r>
        <w:rPr>
          <w:color w:val="0000FF"/>
          <w:u w:val="single"/>
        </w:rPr>
        <w:instrText xml:space="preserve"> REF _Ref458614205 \r \h </w:instrText>
      </w:r>
      <w:r>
        <w:rPr>
          <w:color w:val="0000FF"/>
          <w:u w:val="single"/>
        </w:rPr>
        <w:fldChar w:fldCharType="separate"/>
      </w:r>
      <w:r>
        <w:rPr>
          <w:rFonts w:hint="eastAsia"/>
          <w:color w:val="0000FF"/>
          <w:u w:val="single"/>
        </w:rPr>
        <w:t>图9-15</w:t>
      </w:r>
      <w:r>
        <w:rPr>
          <w:color w:val="0000FF"/>
          <w:u w:val="single"/>
        </w:rPr>
        <w:fldChar w:fldCharType="end"/>
      </w:r>
      <w:r>
        <w:rPr>
          <w:rFonts w:hint="eastAsia"/>
        </w:rPr>
        <w:t>所示。</w:t>
      </w:r>
    </w:p>
    <w:p w14:paraId="2076B794">
      <w:pPr>
        <w:pStyle w:val="188"/>
      </w:pPr>
      <w:bookmarkStart w:id="2810" w:name="_Toc141874637"/>
      <w:bookmarkStart w:id="2811" w:name="_Ref458614205"/>
      <w:r>
        <w:rPr>
          <w:rFonts w:hint="eastAsia"/>
        </w:rPr>
        <w:t>IPsec分支节点高级选项选路策略配置页面</w:t>
      </w:r>
      <w:bookmarkEnd w:id="2810"/>
      <w:bookmarkEnd w:id="2811"/>
    </w:p>
    <w:p w14:paraId="056D798B">
      <w:r>
        <w:drawing>
          <wp:inline distT="0" distB="0" distL="0" distR="0">
            <wp:extent cx="5400040" cy="2139950"/>
            <wp:effectExtent l="0" t="0" r="0" b="0"/>
            <wp:docPr id="419"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419"/>
                    <pic:cNvPicPr>
                      <a:picLocks noChangeAspect="1"/>
                    </pic:cNvPicPr>
                  </pic:nvPicPr>
                  <pic:blipFill>
                    <a:blip r:embed="rId397"/>
                    <a:stretch>
                      <a:fillRect/>
                    </a:stretch>
                  </pic:blipFill>
                  <pic:spPr>
                    <a:xfrm>
                      <a:off x="0" y="0"/>
                      <a:ext cx="5400040" cy="2139986"/>
                    </a:xfrm>
                    <a:prstGeom prst="rect">
                      <a:avLst/>
                    </a:prstGeom>
                  </pic:spPr>
                </pic:pic>
              </a:graphicData>
            </a:graphic>
          </wp:inline>
        </w:drawing>
      </w:r>
    </w:p>
    <w:p w14:paraId="53DC75A1"/>
    <w:p w14:paraId="4B997ACD">
      <w:r>
        <w:rPr>
          <w:rFonts w:hint="eastAsia"/>
        </w:rPr>
        <w:t>输入线路名称、线路</w:t>
      </w:r>
      <w:r>
        <w:t>IP</w:t>
      </w:r>
      <w:r>
        <w:rPr>
          <w:rFonts w:hint="eastAsia"/>
        </w:rPr>
        <w:t>，点击</w:t>
      </w:r>
      <w:r>
        <w:t>&lt;</w:t>
      </w:r>
      <w:r>
        <w:rPr>
          <w:rFonts w:hint="eastAsia"/>
        </w:rPr>
        <w:t>添加到列表</w:t>
      </w:r>
      <w:r>
        <w:t>&gt;</w:t>
      </w:r>
      <w:r>
        <w:rPr>
          <w:rFonts w:hint="eastAsia"/>
        </w:rPr>
        <w:t>，点击</w:t>
      </w:r>
      <w:r>
        <w:t>&lt;</w:t>
      </w:r>
      <w:r>
        <w:rPr>
          <w:rFonts w:hint="eastAsia"/>
        </w:rPr>
        <w:t>提交</w:t>
      </w:r>
      <w:r>
        <w:t>&gt;</w:t>
      </w:r>
      <w:r>
        <w:rPr>
          <w:rFonts w:hint="eastAsia"/>
        </w:rPr>
        <w:t>应用配置。</w:t>
      </w:r>
    </w:p>
    <w:p w14:paraId="5A08F817">
      <w:r>
        <w:rPr>
          <w:rFonts w:hint="eastAsia"/>
        </w:rPr>
        <w:t>点击右侧</w:t>
      </w:r>
      <w:r>
        <w:t>&lt;</w:t>
      </w:r>
      <w:r>
        <w:rPr>
          <w:rFonts w:hint="eastAsia"/>
        </w:rPr>
        <w:t>网段映射</w:t>
      </w:r>
      <w:r>
        <w:t>&gt;</w:t>
      </w:r>
      <w:r>
        <w:rPr>
          <w:rFonts w:hint="eastAsia"/>
        </w:rPr>
        <w:t>，进入高级选项</w:t>
      </w:r>
      <w:r>
        <w:t>-</w:t>
      </w:r>
      <w:r>
        <w:rPr>
          <w:rFonts w:hint="eastAsia"/>
        </w:rPr>
        <w:t>网段映射配置页面，如</w:t>
      </w:r>
      <w:r>
        <w:fldChar w:fldCharType="begin"/>
      </w:r>
      <w:r>
        <w:instrText xml:space="preserve"> REF _Ref458614206 \r \h </w:instrText>
      </w:r>
      <w:r>
        <w:fldChar w:fldCharType="separate"/>
      </w:r>
      <w:r>
        <w:rPr>
          <w:rFonts w:hint="eastAsia"/>
        </w:rPr>
        <w:t>图9-16</w:t>
      </w:r>
      <w:r>
        <w:fldChar w:fldCharType="end"/>
      </w:r>
      <w:r>
        <w:rPr>
          <w:rFonts w:hint="eastAsia"/>
        </w:rPr>
        <w:t>所示。</w:t>
      </w:r>
    </w:p>
    <w:p w14:paraId="25228098">
      <w:pPr>
        <w:pStyle w:val="188"/>
      </w:pPr>
      <w:bookmarkStart w:id="2812" w:name="_Ref458614206"/>
      <w:bookmarkStart w:id="2813" w:name="_Toc141874638"/>
      <w:r>
        <w:rPr>
          <w:rFonts w:hint="eastAsia"/>
        </w:rPr>
        <w:t>IPsec分支节点高级选项网段映射配置页面</w:t>
      </w:r>
      <w:bookmarkEnd w:id="2812"/>
      <w:bookmarkEnd w:id="2813"/>
    </w:p>
    <w:p w14:paraId="37AC12D2">
      <w:r>
        <w:drawing>
          <wp:inline distT="0" distB="0" distL="0" distR="0">
            <wp:extent cx="5400040" cy="2154555"/>
            <wp:effectExtent l="0" t="0" r="0" b="0"/>
            <wp:docPr id="4931" name="图片 4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1" name="图片 4931"/>
                    <pic:cNvPicPr>
                      <a:picLocks noChangeAspect="1"/>
                    </pic:cNvPicPr>
                  </pic:nvPicPr>
                  <pic:blipFill>
                    <a:blip r:embed="rId398"/>
                    <a:stretch>
                      <a:fillRect/>
                    </a:stretch>
                  </pic:blipFill>
                  <pic:spPr>
                    <a:xfrm>
                      <a:off x="0" y="0"/>
                      <a:ext cx="5400040" cy="2155156"/>
                    </a:xfrm>
                    <a:prstGeom prst="rect">
                      <a:avLst/>
                    </a:prstGeom>
                  </pic:spPr>
                </pic:pic>
              </a:graphicData>
            </a:graphic>
          </wp:inline>
        </w:drawing>
      </w:r>
    </w:p>
    <w:p w14:paraId="5F5AE6B1"/>
    <w:p w14:paraId="3D50FD6D">
      <w:r>
        <w:rPr>
          <w:rFonts w:hint="eastAsia"/>
        </w:rPr>
        <w:t>输入源网段、映射后网段，点击</w:t>
      </w:r>
      <w:r>
        <w:t>&lt;</w:t>
      </w:r>
      <w:r>
        <w:rPr>
          <w:rFonts w:hint="eastAsia"/>
        </w:rPr>
        <w:t>添加到列表</w:t>
      </w:r>
      <w:r>
        <w:t>&gt;</w:t>
      </w:r>
      <w:r>
        <w:rPr>
          <w:rFonts w:hint="eastAsia"/>
        </w:rPr>
        <w:t>，点击</w:t>
      </w:r>
      <w:r>
        <w:t>&lt;</w:t>
      </w:r>
      <w:r>
        <w:rPr>
          <w:rFonts w:hint="eastAsia"/>
        </w:rPr>
        <w:t>提交</w:t>
      </w:r>
      <w:r>
        <w:t>&gt;</w:t>
      </w:r>
      <w:r>
        <w:rPr>
          <w:rFonts w:hint="eastAsia"/>
        </w:rPr>
        <w:t>应用配置。</w:t>
      </w:r>
    </w:p>
    <w:p w14:paraId="6717125E">
      <w:r>
        <w:rPr>
          <w:rFonts w:hint="eastAsia"/>
        </w:rPr>
        <w:t>页面的详细说明如</w:t>
      </w:r>
      <w:r>
        <w:fldChar w:fldCharType="begin"/>
      </w:r>
      <w:r>
        <w:instrText xml:space="preserve"> REF _Ref458614249 \r \h </w:instrText>
      </w:r>
      <w:r>
        <w:fldChar w:fldCharType="separate"/>
      </w:r>
      <w:r>
        <w:rPr>
          <w:rFonts w:hint="eastAsia"/>
        </w:rPr>
        <w:t>表9-1</w:t>
      </w:r>
      <w:r>
        <w:fldChar w:fldCharType="end"/>
      </w:r>
      <w:r>
        <w:rPr>
          <w:rFonts w:hint="eastAsia"/>
        </w:rPr>
        <w:t>所示。</w:t>
      </w:r>
    </w:p>
    <w:p w14:paraId="7B287CD5">
      <w:pPr>
        <w:pStyle w:val="183"/>
      </w:pPr>
      <w:bookmarkStart w:id="2814" w:name="_Ref458614249"/>
      <w:bookmarkStart w:id="2815" w:name="_Toc141875511"/>
      <w:r>
        <w:rPr>
          <w:rFonts w:hint="eastAsia"/>
        </w:rPr>
        <w:t>IPsec高级选项的详细说明</w:t>
      </w:r>
      <w:bookmarkEnd w:id="2814"/>
      <w:bookmarkEnd w:id="2815"/>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65"/>
        <w:gridCol w:w="6949"/>
      </w:tblGrid>
      <w:tr w14:paraId="42202D3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tcBorders>
              <w:tl2br w:val="nil"/>
              <w:tr2bl w:val="nil"/>
            </w:tcBorders>
            <w:shd w:val="clear" w:color="auto" w:fill="538135" w:themeFill="accent6" w:themeFillShade="BF"/>
            <w:vAlign w:val="center"/>
          </w:tcPr>
          <w:p w14:paraId="5B49EBAB">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950" w:type="dxa"/>
            <w:tcBorders>
              <w:tl2br w:val="nil"/>
              <w:tr2bl w:val="nil"/>
            </w:tcBorders>
            <w:shd w:val="clear" w:color="auto" w:fill="538135" w:themeFill="accent6" w:themeFillShade="BF"/>
            <w:vAlign w:val="center"/>
          </w:tcPr>
          <w:p w14:paraId="3DE2D55D">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76A07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6774A945">
            <w:pPr>
              <w:pStyle w:val="186"/>
              <w:widowControl w:val="0"/>
              <w:spacing w:line="240" w:lineRule="auto"/>
              <w:ind w:firstLine="0"/>
              <w:jc w:val="left"/>
            </w:pPr>
            <w:r>
              <w:rPr>
                <w:rFonts w:hint="eastAsia"/>
              </w:rPr>
              <w:t>选路策略</w:t>
            </w:r>
          </w:p>
        </w:tc>
        <w:tc>
          <w:tcPr>
            <w:tcW w:w="6950" w:type="dxa"/>
            <w:shd w:val="clear" w:color="auto" w:fill="auto"/>
          </w:tcPr>
          <w:p w14:paraId="018E9EAD">
            <w:pPr>
              <w:pStyle w:val="186"/>
              <w:widowControl w:val="0"/>
              <w:spacing w:line="240" w:lineRule="auto"/>
              <w:ind w:firstLine="0"/>
              <w:jc w:val="left"/>
            </w:pPr>
            <w:r>
              <w:rPr>
                <w:rFonts w:hint="eastAsia"/>
              </w:rPr>
              <w:t>选路策略中的线路顺序决定了不同隧道的路由优先级，规格支持配置4条线路。</w:t>
            </w:r>
          </w:p>
        </w:tc>
      </w:tr>
      <w:tr w14:paraId="3E4743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19BAED3E">
            <w:pPr>
              <w:pStyle w:val="186"/>
              <w:widowControl w:val="0"/>
              <w:spacing w:line="240" w:lineRule="auto"/>
              <w:ind w:firstLine="0"/>
              <w:jc w:val="left"/>
            </w:pPr>
            <w:r>
              <w:rPr>
                <w:rFonts w:hint="eastAsia"/>
              </w:rPr>
              <w:t>线路名称</w:t>
            </w:r>
          </w:p>
        </w:tc>
        <w:tc>
          <w:tcPr>
            <w:tcW w:w="6950" w:type="dxa"/>
            <w:shd w:val="clear" w:color="auto" w:fill="auto"/>
          </w:tcPr>
          <w:p w14:paraId="332C1C52">
            <w:pPr>
              <w:pStyle w:val="186"/>
              <w:widowControl w:val="0"/>
              <w:spacing w:line="240" w:lineRule="auto"/>
              <w:ind w:firstLine="0"/>
              <w:jc w:val="left"/>
            </w:pPr>
            <w:r>
              <w:rPr>
                <w:rFonts w:hint="eastAsia"/>
              </w:rPr>
              <w:t>设置线路名称。</w:t>
            </w:r>
          </w:p>
        </w:tc>
      </w:tr>
      <w:tr w14:paraId="5B2FD0E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4EF4FA1C">
            <w:pPr>
              <w:pStyle w:val="186"/>
              <w:widowControl w:val="0"/>
              <w:spacing w:line="240" w:lineRule="auto"/>
              <w:ind w:firstLine="0"/>
              <w:jc w:val="left"/>
            </w:pPr>
            <w:r>
              <w:rPr>
                <w:rFonts w:hint="eastAsia"/>
              </w:rPr>
              <w:t>线路IP</w:t>
            </w:r>
          </w:p>
        </w:tc>
        <w:tc>
          <w:tcPr>
            <w:tcW w:w="6950" w:type="dxa"/>
            <w:shd w:val="clear" w:color="auto" w:fill="auto"/>
          </w:tcPr>
          <w:p w14:paraId="272BED00">
            <w:pPr>
              <w:pStyle w:val="186"/>
              <w:widowControl w:val="0"/>
              <w:spacing w:line="240" w:lineRule="auto"/>
              <w:ind w:firstLine="0"/>
              <w:jc w:val="left"/>
            </w:pPr>
            <w:r>
              <w:rPr>
                <w:rFonts w:hint="eastAsia"/>
              </w:rPr>
              <w:t>设置线路对应的IP，线路IP必须在对端网关IP中。</w:t>
            </w:r>
          </w:p>
        </w:tc>
      </w:tr>
      <w:tr w14:paraId="790005F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546DCE5C">
            <w:pPr>
              <w:pStyle w:val="186"/>
              <w:widowControl w:val="0"/>
              <w:spacing w:line="240" w:lineRule="auto"/>
              <w:ind w:firstLine="0"/>
              <w:jc w:val="left"/>
            </w:pPr>
            <w:r>
              <w:rPr>
                <w:rFonts w:hint="eastAsia"/>
              </w:rPr>
              <w:t>网段映射</w:t>
            </w:r>
          </w:p>
        </w:tc>
        <w:tc>
          <w:tcPr>
            <w:tcW w:w="6950" w:type="dxa"/>
            <w:shd w:val="clear" w:color="auto" w:fill="auto"/>
          </w:tcPr>
          <w:p w14:paraId="13929237">
            <w:pPr>
              <w:pStyle w:val="186"/>
              <w:widowControl w:val="0"/>
              <w:spacing w:line="240" w:lineRule="auto"/>
              <w:ind w:firstLine="0"/>
              <w:jc w:val="left"/>
            </w:pPr>
            <w:r>
              <w:rPr>
                <w:rFonts w:hint="eastAsia"/>
              </w:rPr>
              <w:t>一对一NAT映射，源网段和映射后网段掩码必须一致，按照IP的顺序进行一对一映射，最多支持32个网段映射。</w:t>
            </w:r>
          </w:p>
        </w:tc>
      </w:tr>
      <w:tr w14:paraId="3AD129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10F0F713">
            <w:pPr>
              <w:pStyle w:val="186"/>
              <w:widowControl w:val="0"/>
              <w:spacing w:line="240" w:lineRule="auto"/>
              <w:ind w:firstLine="0"/>
              <w:jc w:val="left"/>
            </w:pPr>
            <w:r>
              <w:rPr>
                <w:rFonts w:hint="eastAsia"/>
              </w:rPr>
              <w:t>源网段</w:t>
            </w:r>
          </w:p>
        </w:tc>
        <w:tc>
          <w:tcPr>
            <w:tcW w:w="6950" w:type="dxa"/>
            <w:shd w:val="clear" w:color="auto" w:fill="auto"/>
          </w:tcPr>
          <w:p w14:paraId="07434595">
            <w:pPr>
              <w:pStyle w:val="186"/>
              <w:widowControl w:val="0"/>
              <w:spacing w:line="240" w:lineRule="auto"/>
              <w:ind w:firstLine="0"/>
              <w:jc w:val="left"/>
            </w:pPr>
            <w:r>
              <w:rPr>
                <w:rFonts w:hint="eastAsia"/>
              </w:rPr>
              <w:t>映射前源网段。</w:t>
            </w:r>
          </w:p>
        </w:tc>
      </w:tr>
      <w:tr w14:paraId="35856B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051F47A9">
            <w:pPr>
              <w:pStyle w:val="186"/>
              <w:widowControl w:val="0"/>
              <w:spacing w:line="240" w:lineRule="auto"/>
              <w:ind w:firstLine="0"/>
              <w:jc w:val="left"/>
            </w:pPr>
            <w:r>
              <w:rPr>
                <w:rFonts w:hint="eastAsia"/>
              </w:rPr>
              <w:t>映射后网段</w:t>
            </w:r>
          </w:p>
        </w:tc>
        <w:tc>
          <w:tcPr>
            <w:tcW w:w="6950" w:type="dxa"/>
            <w:shd w:val="clear" w:color="auto" w:fill="auto"/>
          </w:tcPr>
          <w:p w14:paraId="1C0CE3A1">
            <w:pPr>
              <w:pStyle w:val="186"/>
              <w:widowControl w:val="0"/>
              <w:spacing w:line="240" w:lineRule="auto"/>
              <w:ind w:firstLine="0"/>
              <w:jc w:val="left"/>
            </w:pPr>
            <w:r>
              <w:rPr>
                <w:rFonts w:hint="eastAsia"/>
              </w:rPr>
              <w:t>映射后目的网段，在对端网关看到的保护网段是映射后网段。</w:t>
            </w:r>
          </w:p>
        </w:tc>
      </w:tr>
    </w:tbl>
    <w:p w14:paraId="5A68000D"/>
    <w:p w14:paraId="62D6CD02">
      <w:r>
        <w:rPr>
          <w:rFonts w:hint="eastAsia"/>
        </w:rPr>
        <w:t>说明：中心节点高线选项配置只有网段映射，没有选路策略，选路策略只需在分支节点配置，分支节点配置的选路策略会自动同步给中心节点。</w:t>
      </w:r>
    </w:p>
    <w:p w14:paraId="6583C135">
      <w:pPr>
        <w:pStyle w:val="5"/>
      </w:pPr>
      <w:bookmarkStart w:id="2816" w:name="_Toc196728139"/>
      <w:bookmarkStart w:id="2817" w:name="_Toc194080807"/>
      <w:bookmarkStart w:id="2818" w:name="_Toc15484805"/>
      <w:bookmarkStart w:id="2819" w:name="_Toc142400947"/>
      <w:bookmarkStart w:id="2820" w:name="_Toc40276004"/>
      <w:bookmarkStart w:id="2821" w:name="_Toc99561504"/>
      <w:bookmarkStart w:id="2822" w:name="_Toc454962558"/>
      <w:bookmarkStart w:id="2823" w:name="_Toc141873431"/>
      <w:bookmarkStart w:id="2824" w:name="_Toc172218180"/>
      <w:bookmarkStart w:id="2825" w:name="_Toc12378488"/>
      <w:bookmarkStart w:id="2826" w:name="_Toc23152571"/>
      <w:r>
        <w:rPr>
          <w:rFonts w:hint="eastAsia"/>
        </w:rPr>
        <w:t>查看IPsec监控</w:t>
      </w:r>
      <w:bookmarkEnd w:id="2816"/>
      <w:bookmarkEnd w:id="2817"/>
      <w:bookmarkEnd w:id="2818"/>
      <w:bookmarkEnd w:id="2819"/>
      <w:bookmarkEnd w:id="2820"/>
      <w:bookmarkEnd w:id="2821"/>
      <w:bookmarkEnd w:id="2822"/>
      <w:bookmarkEnd w:id="2823"/>
      <w:bookmarkEnd w:id="2824"/>
      <w:bookmarkEnd w:id="2825"/>
      <w:bookmarkEnd w:id="2826"/>
    </w:p>
    <w:p w14:paraId="0A97F549">
      <w:r>
        <w:rPr>
          <w:rFonts w:hint="eastAsia"/>
        </w:rPr>
        <w:t>在导航栏中选择“</w:t>
      </w:r>
      <w:r>
        <w:t>网络配置 &gt; VPN &gt; IPsec-VPN</w:t>
      </w:r>
      <w:r>
        <w:rPr>
          <w:rFonts w:hint="eastAsia"/>
        </w:rPr>
        <w:t>快速配置</w:t>
      </w:r>
      <w:r>
        <w:t xml:space="preserve"> &gt; IPsec </w:t>
      </w:r>
      <w:r>
        <w:rPr>
          <w:rFonts w:hint="eastAsia"/>
        </w:rPr>
        <w:t>监控”，进入</w:t>
      </w:r>
      <w:r>
        <w:t>IPsec</w:t>
      </w:r>
      <w:r>
        <w:rPr>
          <w:rFonts w:hint="eastAsia"/>
        </w:rPr>
        <w:t>监控显示页面。页面中显示了通过快速配置方式创建的IPsec VPN的详细信息。如</w:t>
      </w:r>
      <w:r>
        <w:rPr>
          <w:color w:val="0000FF"/>
          <w:u w:val="single"/>
        </w:rPr>
        <w:fldChar w:fldCharType="begin"/>
      </w:r>
      <w:r>
        <w:rPr>
          <w:color w:val="0000FF"/>
          <w:u w:val="single"/>
        </w:rPr>
        <w:instrText xml:space="preserve"> REF _Ref458614250 \r \h </w:instrText>
      </w:r>
      <w:r>
        <w:rPr>
          <w:color w:val="0000FF"/>
          <w:u w:val="single"/>
        </w:rPr>
        <w:fldChar w:fldCharType="separate"/>
      </w:r>
      <w:r>
        <w:rPr>
          <w:rFonts w:hint="eastAsia"/>
          <w:color w:val="0000FF"/>
          <w:u w:val="single"/>
        </w:rPr>
        <w:t>图9-17</w:t>
      </w:r>
      <w:r>
        <w:rPr>
          <w:color w:val="0000FF"/>
          <w:u w:val="single"/>
        </w:rPr>
        <w:fldChar w:fldCharType="end"/>
      </w:r>
      <w:r>
        <w:rPr>
          <w:rFonts w:hint="eastAsia"/>
        </w:rPr>
        <w:t>所示。</w:t>
      </w:r>
    </w:p>
    <w:p w14:paraId="02A99BA2">
      <w:pPr>
        <w:pStyle w:val="188"/>
      </w:pPr>
      <w:bookmarkStart w:id="2827" w:name="_Ref458614250"/>
      <w:bookmarkStart w:id="2828" w:name="_Toc141874639"/>
      <w:r>
        <w:rPr>
          <w:rFonts w:hint="eastAsia"/>
        </w:rPr>
        <w:t>IPsec监控显示页面</w:t>
      </w:r>
      <w:bookmarkEnd w:id="2827"/>
      <w:bookmarkEnd w:id="2828"/>
    </w:p>
    <w:p w14:paraId="3FC44C7A">
      <w:r>
        <w:drawing>
          <wp:inline distT="0" distB="0" distL="0" distR="0">
            <wp:extent cx="5753100" cy="591820"/>
            <wp:effectExtent l="0" t="0" r="0" b="0"/>
            <wp:docPr id="3076" name="图片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图片 3076"/>
                    <pic:cNvPicPr>
                      <a:picLocks noChangeAspect="1"/>
                    </pic:cNvPicPr>
                  </pic:nvPicPr>
                  <pic:blipFill>
                    <a:blip r:embed="rId399"/>
                    <a:stretch>
                      <a:fillRect/>
                    </a:stretch>
                  </pic:blipFill>
                  <pic:spPr>
                    <a:xfrm>
                      <a:off x="0" y="0"/>
                      <a:ext cx="5892130" cy="606390"/>
                    </a:xfrm>
                    <a:prstGeom prst="rect">
                      <a:avLst/>
                    </a:prstGeom>
                  </pic:spPr>
                </pic:pic>
              </a:graphicData>
            </a:graphic>
          </wp:inline>
        </w:drawing>
      </w:r>
    </w:p>
    <w:p w14:paraId="68B6A7C2"/>
    <w:p w14:paraId="424E9A3D">
      <w:r>
        <w:rPr>
          <w:rFonts w:hint="eastAsia"/>
        </w:rPr>
        <w:t>页面的详细说明如</w:t>
      </w:r>
      <w:r>
        <w:fldChar w:fldCharType="begin"/>
      </w:r>
      <w:r>
        <w:instrText xml:space="preserve"> REF _Ref458614253 \r \h </w:instrText>
      </w:r>
      <w:r>
        <w:fldChar w:fldCharType="separate"/>
      </w:r>
      <w:r>
        <w:rPr>
          <w:rFonts w:hint="eastAsia"/>
        </w:rPr>
        <w:t>表9-1</w:t>
      </w:r>
      <w:r>
        <w:fldChar w:fldCharType="end"/>
      </w:r>
      <w:r>
        <w:rPr>
          <w:rFonts w:hint="eastAsia"/>
        </w:rPr>
        <w:t>。</w:t>
      </w:r>
    </w:p>
    <w:p w14:paraId="5C7FEB0D">
      <w:pPr>
        <w:pStyle w:val="183"/>
      </w:pPr>
      <w:bookmarkStart w:id="2829" w:name="_Ref458614253"/>
      <w:bookmarkStart w:id="2830" w:name="_Toc141875512"/>
      <w:r>
        <w:rPr>
          <w:rFonts w:hint="eastAsia"/>
        </w:rPr>
        <w:t>IPsec监控显示页面的详细说明</w:t>
      </w:r>
      <w:bookmarkEnd w:id="2829"/>
      <w:bookmarkEnd w:id="2830"/>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65"/>
        <w:gridCol w:w="6949"/>
      </w:tblGrid>
      <w:tr w14:paraId="0E803E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tcBorders>
              <w:tl2br w:val="nil"/>
              <w:tr2bl w:val="nil"/>
            </w:tcBorders>
            <w:shd w:val="clear" w:color="auto" w:fill="538135" w:themeFill="accent6" w:themeFillShade="BF"/>
            <w:vAlign w:val="center"/>
          </w:tcPr>
          <w:p w14:paraId="32694A35">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950" w:type="dxa"/>
            <w:tcBorders>
              <w:tl2br w:val="nil"/>
              <w:tr2bl w:val="nil"/>
            </w:tcBorders>
            <w:shd w:val="clear" w:color="auto" w:fill="538135" w:themeFill="accent6" w:themeFillShade="BF"/>
            <w:vAlign w:val="center"/>
          </w:tcPr>
          <w:p w14:paraId="0C50B018">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BF7EE0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68DFB858">
            <w:pPr>
              <w:pStyle w:val="186"/>
              <w:widowControl w:val="0"/>
              <w:spacing w:line="240" w:lineRule="auto"/>
              <w:ind w:firstLine="0"/>
              <w:jc w:val="left"/>
            </w:pPr>
            <w:r>
              <w:rPr>
                <w:rFonts w:hint="eastAsia"/>
              </w:rPr>
              <w:t>名称</w:t>
            </w:r>
          </w:p>
        </w:tc>
        <w:tc>
          <w:tcPr>
            <w:tcW w:w="6950" w:type="dxa"/>
            <w:shd w:val="clear" w:color="auto" w:fill="auto"/>
          </w:tcPr>
          <w:p w14:paraId="69AFE52D">
            <w:pPr>
              <w:pStyle w:val="186"/>
              <w:widowControl w:val="0"/>
              <w:spacing w:line="240" w:lineRule="auto"/>
              <w:ind w:firstLine="0"/>
              <w:jc w:val="left"/>
            </w:pPr>
            <w:r>
              <w:rPr>
                <w:rFonts w:hint="eastAsia"/>
              </w:rPr>
              <w:t>对端IPSEC名称。</w:t>
            </w:r>
          </w:p>
        </w:tc>
      </w:tr>
      <w:tr w14:paraId="606BCD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1174487C">
            <w:pPr>
              <w:pStyle w:val="186"/>
              <w:widowControl w:val="0"/>
              <w:spacing w:line="240" w:lineRule="auto"/>
              <w:ind w:firstLine="0"/>
              <w:jc w:val="left"/>
            </w:pPr>
            <w:r>
              <w:rPr>
                <w:rFonts w:hint="eastAsia"/>
              </w:rPr>
              <w:t>状态</w:t>
            </w:r>
          </w:p>
        </w:tc>
        <w:tc>
          <w:tcPr>
            <w:tcW w:w="6950" w:type="dxa"/>
            <w:shd w:val="clear" w:color="auto" w:fill="auto"/>
          </w:tcPr>
          <w:p w14:paraId="350D75C5">
            <w:pPr>
              <w:pStyle w:val="186"/>
              <w:widowControl w:val="0"/>
              <w:spacing w:line="240" w:lineRule="auto"/>
              <w:ind w:firstLine="0"/>
              <w:jc w:val="left"/>
            </w:pPr>
            <w:r>
              <w:rPr>
                <w:rFonts w:hint="eastAsia"/>
              </w:rPr>
              <w:t>IPSEC SA状态。</w:t>
            </w:r>
          </w:p>
        </w:tc>
      </w:tr>
      <w:tr w14:paraId="0C4DF9E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22AFC86F">
            <w:pPr>
              <w:pStyle w:val="186"/>
              <w:widowControl w:val="0"/>
              <w:spacing w:line="240" w:lineRule="auto"/>
              <w:ind w:firstLine="0"/>
              <w:jc w:val="left"/>
            </w:pPr>
            <w:r>
              <w:rPr>
                <w:rFonts w:hint="eastAsia"/>
              </w:rPr>
              <w:t>流量（入/出）</w:t>
            </w:r>
          </w:p>
        </w:tc>
        <w:tc>
          <w:tcPr>
            <w:tcW w:w="6950" w:type="dxa"/>
            <w:shd w:val="clear" w:color="auto" w:fill="auto"/>
          </w:tcPr>
          <w:p w14:paraId="4CA90C69">
            <w:pPr>
              <w:pStyle w:val="186"/>
              <w:widowControl w:val="0"/>
              <w:spacing w:line="240" w:lineRule="auto"/>
              <w:ind w:firstLine="0"/>
              <w:jc w:val="left"/>
            </w:pPr>
            <w:r>
              <w:rPr>
                <w:rFonts w:hint="eastAsia"/>
              </w:rPr>
              <w:t>聚合隧道的双向总流量。</w:t>
            </w:r>
          </w:p>
        </w:tc>
      </w:tr>
      <w:tr w14:paraId="190D0B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2679D483">
            <w:pPr>
              <w:pStyle w:val="186"/>
              <w:widowControl w:val="0"/>
              <w:spacing w:line="240" w:lineRule="auto"/>
              <w:ind w:firstLine="0"/>
              <w:jc w:val="left"/>
            </w:pPr>
            <w:r>
              <w:rPr>
                <w:rFonts w:hint="eastAsia"/>
              </w:rPr>
              <w:t>对端内网地址</w:t>
            </w:r>
          </w:p>
        </w:tc>
        <w:tc>
          <w:tcPr>
            <w:tcW w:w="6950" w:type="dxa"/>
            <w:shd w:val="clear" w:color="auto" w:fill="auto"/>
          </w:tcPr>
          <w:p w14:paraId="2ADA7025">
            <w:pPr>
              <w:pStyle w:val="186"/>
              <w:widowControl w:val="0"/>
              <w:spacing w:line="240" w:lineRule="auto"/>
              <w:ind w:firstLine="0"/>
              <w:jc w:val="left"/>
            </w:pPr>
            <w:r>
              <w:rPr>
                <w:rFonts w:hint="eastAsia"/>
              </w:rPr>
              <w:t>对端保护网段。</w:t>
            </w:r>
          </w:p>
        </w:tc>
      </w:tr>
      <w:tr w14:paraId="328FFA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246C6E8C">
            <w:pPr>
              <w:pStyle w:val="186"/>
              <w:widowControl w:val="0"/>
              <w:spacing w:line="240" w:lineRule="auto"/>
              <w:ind w:firstLine="0"/>
              <w:jc w:val="left"/>
            </w:pPr>
            <w:r>
              <w:rPr>
                <w:rFonts w:hint="eastAsia"/>
              </w:rPr>
              <w:t>隧道数</w:t>
            </w:r>
          </w:p>
        </w:tc>
        <w:tc>
          <w:tcPr>
            <w:tcW w:w="6950" w:type="dxa"/>
            <w:shd w:val="clear" w:color="auto" w:fill="auto"/>
          </w:tcPr>
          <w:p w14:paraId="6ED9BF62">
            <w:pPr>
              <w:pStyle w:val="186"/>
              <w:widowControl w:val="0"/>
              <w:spacing w:line="240" w:lineRule="auto"/>
              <w:ind w:firstLine="0"/>
              <w:jc w:val="left"/>
            </w:pPr>
            <w:r>
              <w:rPr>
                <w:rFonts w:hint="eastAsia"/>
              </w:rPr>
              <w:t>分支与中心设备之间建立的隧道数量计数。</w:t>
            </w:r>
          </w:p>
        </w:tc>
      </w:tr>
      <w:tr w14:paraId="3DF8310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587F6500">
            <w:pPr>
              <w:pStyle w:val="186"/>
              <w:widowControl w:val="0"/>
              <w:spacing w:line="240" w:lineRule="auto"/>
              <w:ind w:firstLine="0"/>
              <w:jc w:val="left"/>
            </w:pPr>
            <w:r>
              <w:rPr>
                <w:rFonts w:hint="eastAsia"/>
              </w:rPr>
              <w:t>接入时间</w:t>
            </w:r>
          </w:p>
        </w:tc>
        <w:tc>
          <w:tcPr>
            <w:tcW w:w="6950" w:type="dxa"/>
            <w:shd w:val="clear" w:color="auto" w:fill="auto"/>
          </w:tcPr>
          <w:p w14:paraId="2A529A5A">
            <w:pPr>
              <w:pStyle w:val="186"/>
              <w:widowControl w:val="0"/>
              <w:spacing w:line="240" w:lineRule="auto"/>
              <w:ind w:firstLine="0"/>
              <w:jc w:val="left"/>
            </w:pPr>
            <w:r>
              <w:rPr>
                <w:rFonts w:hint="eastAsia"/>
              </w:rPr>
              <w:t>隧道建立时间。</w:t>
            </w:r>
          </w:p>
        </w:tc>
      </w:tr>
      <w:tr w14:paraId="2E024E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757CEA0C">
            <w:pPr>
              <w:pStyle w:val="186"/>
              <w:widowControl w:val="0"/>
              <w:spacing w:line="240" w:lineRule="auto"/>
              <w:ind w:firstLine="0"/>
              <w:jc w:val="left"/>
            </w:pPr>
            <w:r>
              <w:rPr>
                <w:rFonts w:hint="eastAsia"/>
              </w:rPr>
              <w:t>操作</w:t>
            </w:r>
          </w:p>
        </w:tc>
        <w:tc>
          <w:tcPr>
            <w:tcW w:w="6950" w:type="dxa"/>
            <w:shd w:val="clear" w:color="auto" w:fill="auto"/>
          </w:tcPr>
          <w:p w14:paraId="542BC3C5">
            <w:pPr>
              <w:pStyle w:val="186"/>
              <w:widowControl w:val="0"/>
              <w:spacing w:line="240" w:lineRule="auto"/>
              <w:ind w:firstLine="0"/>
              <w:jc w:val="left"/>
            </w:pPr>
            <w:r>
              <w:rPr>
                <w:rFonts w:hint="eastAsia"/>
              </w:rPr>
              <w:t>点击</w:t>
            </w:r>
            <w:r>
              <w:drawing>
                <wp:inline distT="0" distB="0" distL="0" distR="0">
                  <wp:extent cx="171450" cy="153035"/>
                  <wp:effectExtent l="0" t="0" r="0" b="0"/>
                  <wp:docPr id="3077" name="图片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图片 3077"/>
                          <pic:cNvPicPr>
                            <a:picLocks noChangeAspect="1"/>
                          </pic:cNvPicPr>
                        </pic:nvPicPr>
                        <pic:blipFill>
                          <a:blip r:embed="rId400"/>
                          <a:srcRect l="17323" t="14972" r="20111" b="20207"/>
                          <a:stretch>
                            <a:fillRect/>
                          </a:stretch>
                        </pic:blipFill>
                        <pic:spPr>
                          <a:xfrm>
                            <a:off x="0" y="0"/>
                            <a:ext cx="172822" cy="154353"/>
                          </a:xfrm>
                          <a:prstGeom prst="rect">
                            <a:avLst/>
                          </a:prstGeom>
                          <a:ln>
                            <a:noFill/>
                          </a:ln>
                        </pic:spPr>
                      </pic:pic>
                    </a:graphicData>
                  </a:graphic>
                </wp:inline>
              </w:drawing>
            </w:r>
            <w:r>
              <w:rPr>
                <w:rFonts w:hint="eastAsia"/>
              </w:rPr>
              <w:t>可删除聚合隧道。</w:t>
            </w:r>
          </w:p>
        </w:tc>
      </w:tr>
    </w:tbl>
    <w:p w14:paraId="29915B8E"/>
    <w:p w14:paraId="4872111B">
      <w:r>
        <w:rPr>
          <w:rFonts w:hint="eastAsia"/>
        </w:rPr>
        <w:t>点击聚合隧道左侧的</w:t>
      </w:r>
      <w:r>
        <w:drawing>
          <wp:inline distT="0" distB="0" distL="0" distR="0">
            <wp:extent cx="247650" cy="209550"/>
            <wp:effectExtent l="0" t="0" r="0" b="0"/>
            <wp:docPr id="3078" name="图片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图片 3078"/>
                    <pic:cNvPicPr>
                      <a:picLocks noChangeAspect="1"/>
                    </pic:cNvPicPr>
                  </pic:nvPicPr>
                  <pic:blipFill>
                    <a:blip r:embed="rId401"/>
                    <a:stretch>
                      <a:fillRect/>
                    </a:stretch>
                  </pic:blipFill>
                  <pic:spPr>
                    <a:xfrm>
                      <a:off x="0" y="0"/>
                      <a:ext cx="247650" cy="209550"/>
                    </a:xfrm>
                    <a:prstGeom prst="rect">
                      <a:avLst/>
                    </a:prstGeom>
                  </pic:spPr>
                </pic:pic>
              </a:graphicData>
            </a:graphic>
          </wp:inline>
        </w:drawing>
      </w:r>
      <w:r>
        <w:rPr>
          <w:rFonts w:hint="eastAsia"/>
        </w:rPr>
        <w:t>按钮，可以展开显示各隧道的详细情况，如</w:t>
      </w:r>
      <w:r>
        <w:fldChar w:fldCharType="begin"/>
      </w:r>
      <w:r>
        <w:instrText xml:space="preserve"> REF _Ref458614254 \r \h </w:instrText>
      </w:r>
      <w:r>
        <w:fldChar w:fldCharType="separate"/>
      </w:r>
      <w:r>
        <w:rPr>
          <w:rFonts w:hint="eastAsia"/>
        </w:rPr>
        <w:t>图9-18</w:t>
      </w:r>
      <w:r>
        <w:fldChar w:fldCharType="end"/>
      </w:r>
      <w:r>
        <w:rPr>
          <w:rFonts w:hint="eastAsia"/>
        </w:rPr>
        <w:t>所示。</w:t>
      </w:r>
    </w:p>
    <w:p w14:paraId="5B070D54">
      <w:pPr>
        <w:pStyle w:val="188"/>
      </w:pPr>
      <w:bookmarkStart w:id="2831" w:name="_Toc141874640"/>
      <w:bookmarkEnd w:id="2831"/>
      <w:bookmarkStart w:id="2832" w:name="_Ref458614254"/>
    </w:p>
    <w:bookmarkEnd w:id="2832"/>
    <w:p w14:paraId="38972529">
      <w:r>
        <w:drawing>
          <wp:inline distT="0" distB="0" distL="0" distR="0">
            <wp:extent cx="5530850" cy="1163320"/>
            <wp:effectExtent l="19050" t="19050" r="12700" b="17780"/>
            <wp:docPr id="3079" name="图片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图片 3079"/>
                    <pic:cNvPicPr>
                      <a:picLocks noChangeAspect="1"/>
                    </pic:cNvPicPr>
                  </pic:nvPicPr>
                  <pic:blipFill>
                    <a:blip r:embed="rId402"/>
                    <a:stretch>
                      <a:fillRect/>
                    </a:stretch>
                  </pic:blipFill>
                  <pic:spPr>
                    <a:xfrm>
                      <a:off x="0" y="0"/>
                      <a:ext cx="5531323" cy="1163882"/>
                    </a:xfrm>
                    <a:prstGeom prst="rect">
                      <a:avLst/>
                    </a:prstGeom>
                    <a:ln>
                      <a:solidFill>
                        <a:schemeClr val="tx1"/>
                      </a:solidFill>
                    </a:ln>
                  </pic:spPr>
                </pic:pic>
              </a:graphicData>
            </a:graphic>
          </wp:inline>
        </w:drawing>
      </w:r>
    </w:p>
    <w:p w14:paraId="197960FA"/>
    <w:p w14:paraId="608A0A72">
      <w:r>
        <w:rPr>
          <w:rFonts w:hint="eastAsia"/>
        </w:rPr>
        <w:t>页面的详细说明如</w:t>
      </w:r>
      <w:r>
        <w:fldChar w:fldCharType="begin"/>
      </w:r>
      <w:r>
        <w:instrText xml:space="preserve"> REF _Ref458614256 \r \h </w:instrText>
      </w:r>
      <w:r>
        <w:fldChar w:fldCharType="separate"/>
      </w:r>
      <w:r>
        <w:rPr>
          <w:rFonts w:hint="eastAsia"/>
        </w:rPr>
        <w:t>表9-1</w:t>
      </w:r>
      <w:r>
        <w:fldChar w:fldCharType="end"/>
      </w:r>
      <w:r>
        <w:rPr>
          <w:rFonts w:hint="eastAsia"/>
        </w:rPr>
        <w:t>。</w:t>
      </w:r>
    </w:p>
    <w:p w14:paraId="2ABF9706">
      <w:pPr>
        <w:pStyle w:val="183"/>
      </w:pPr>
      <w:bookmarkStart w:id="2833" w:name="_Toc141875513"/>
      <w:bookmarkStart w:id="2834" w:name="_Ref458614256"/>
      <w:r>
        <w:rPr>
          <w:rFonts w:hint="eastAsia"/>
        </w:rPr>
        <w:t>IPsec监控显示页面的详细说明</w:t>
      </w:r>
      <w:bookmarkEnd w:id="2833"/>
      <w:bookmarkEnd w:id="2834"/>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65"/>
        <w:gridCol w:w="6949"/>
      </w:tblGrid>
      <w:tr w14:paraId="17ECF97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tcBorders>
              <w:tl2br w:val="nil"/>
              <w:tr2bl w:val="nil"/>
            </w:tcBorders>
            <w:shd w:val="clear" w:color="auto" w:fill="538135" w:themeFill="accent6" w:themeFillShade="BF"/>
            <w:vAlign w:val="center"/>
          </w:tcPr>
          <w:p w14:paraId="13119255">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950" w:type="dxa"/>
            <w:tcBorders>
              <w:tl2br w:val="nil"/>
              <w:tr2bl w:val="nil"/>
            </w:tcBorders>
            <w:shd w:val="clear" w:color="auto" w:fill="538135" w:themeFill="accent6" w:themeFillShade="BF"/>
            <w:vAlign w:val="center"/>
          </w:tcPr>
          <w:p w14:paraId="24276F7E">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68FD39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792BD32C">
            <w:pPr>
              <w:pStyle w:val="186"/>
              <w:widowControl w:val="0"/>
              <w:spacing w:line="240" w:lineRule="auto"/>
              <w:ind w:firstLine="0"/>
              <w:jc w:val="left"/>
            </w:pPr>
            <w:r>
              <w:rPr>
                <w:rFonts w:hint="eastAsia"/>
              </w:rPr>
              <w:t>隧道名称</w:t>
            </w:r>
          </w:p>
        </w:tc>
        <w:tc>
          <w:tcPr>
            <w:tcW w:w="6950" w:type="dxa"/>
            <w:shd w:val="clear" w:color="auto" w:fill="auto"/>
          </w:tcPr>
          <w:p w14:paraId="215149FB">
            <w:pPr>
              <w:pStyle w:val="186"/>
              <w:widowControl w:val="0"/>
              <w:spacing w:line="240" w:lineRule="auto"/>
              <w:ind w:firstLine="0"/>
              <w:jc w:val="left"/>
            </w:pPr>
            <w:r>
              <w:rPr>
                <w:rFonts w:hint="eastAsia"/>
              </w:rPr>
              <w:t>隧道名称，显示为分支端配置的选路策略中的线路名称。</w:t>
            </w:r>
          </w:p>
        </w:tc>
      </w:tr>
      <w:tr w14:paraId="3FDAAA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16B409B1">
            <w:pPr>
              <w:pStyle w:val="186"/>
              <w:widowControl w:val="0"/>
              <w:spacing w:line="240" w:lineRule="auto"/>
              <w:ind w:firstLine="0"/>
              <w:jc w:val="left"/>
            </w:pPr>
            <w:r>
              <w:rPr>
                <w:rFonts w:hint="eastAsia"/>
              </w:rPr>
              <w:t>状态</w:t>
            </w:r>
          </w:p>
        </w:tc>
        <w:tc>
          <w:tcPr>
            <w:tcW w:w="6950" w:type="dxa"/>
            <w:shd w:val="clear" w:color="auto" w:fill="auto"/>
          </w:tcPr>
          <w:p w14:paraId="13E47EA1">
            <w:pPr>
              <w:pStyle w:val="186"/>
              <w:widowControl w:val="0"/>
              <w:spacing w:line="240" w:lineRule="auto"/>
              <w:ind w:firstLine="0"/>
              <w:jc w:val="left"/>
            </w:pPr>
            <w:r>
              <w:rPr>
                <w:rFonts w:hint="eastAsia"/>
              </w:rPr>
              <w:t>隧道IPSEC SA状态。</w:t>
            </w:r>
          </w:p>
        </w:tc>
      </w:tr>
      <w:tr w14:paraId="240031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42C12E57">
            <w:pPr>
              <w:pStyle w:val="186"/>
              <w:widowControl w:val="0"/>
              <w:spacing w:line="240" w:lineRule="auto"/>
              <w:ind w:firstLine="0"/>
              <w:jc w:val="left"/>
            </w:pPr>
            <w:r>
              <w:rPr>
                <w:rFonts w:hint="eastAsia"/>
              </w:rPr>
              <w:t>流量（入/出）</w:t>
            </w:r>
          </w:p>
        </w:tc>
        <w:tc>
          <w:tcPr>
            <w:tcW w:w="6950" w:type="dxa"/>
            <w:shd w:val="clear" w:color="auto" w:fill="auto"/>
          </w:tcPr>
          <w:p w14:paraId="081B8D16">
            <w:pPr>
              <w:pStyle w:val="186"/>
              <w:widowControl w:val="0"/>
              <w:spacing w:line="240" w:lineRule="auto"/>
              <w:ind w:firstLine="0"/>
              <w:jc w:val="left"/>
            </w:pPr>
            <w:r>
              <w:rPr>
                <w:rFonts w:hint="eastAsia"/>
              </w:rPr>
              <w:t>隧道的双向流量统计。</w:t>
            </w:r>
          </w:p>
        </w:tc>
      </w:tr>
      <w:tr w14:paraId="2B2EA2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3674F16C">
            <w:pPr>
              <w:pStyle w:val="186"/>
              <w:widowControl w:val="0"/>
              <w:spacing w:line="240" w:lineRule="auto"/>
              <w:ind w:firstLine="0"/>
              <w:jc w:val="left"/>
            </w:pPr>
            <w:r>
              <w:rPr>
                <w:rFonts w:hint="eastAsia"/>
              </w:rPr>
              <w:t>优先级</w:t>
            </w:r>
          </w:p>
        </w:tc>
        <w:tc>
          <w:tcPr>
            <w:tcW w:w="6950" w:type="dxa"/>
            <w:shd w:val="clear" w:color="auto" w:fill="auto"/>
          </w:tcPr>
          <w:p w14:paraId="3F5E995F">
            <w:pPr>
              <w:pStyle w:val="186"/>
              <w:widowControl w:val="0"/>
              <w:spacing w:line="240" w:lineRule="auto"/>
              <w:ind w:firstLine="0"/>
              <w:jc w:val="left"/>
            </w:pPr>
            <w:r>
              <w:rPr>
                <w:rFonts w:hint="eastAsia"/>
              </w:rPr>
              <w:t>隧道优先级，多隧道备份时流量优先走优先级数值小的隧道，其他隧道做备份。</w:t>
            </w:r>
          </w:p>
        </w:tc>
      </w:tr>
      <w:tr w14:paraId="22737D7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372B9BFB">
            <w:pPr>
              <w:pStyle w:val="186"/>
              <w:widowControl w:val="0"/>
              <w:spacing w:line="240" w:lineRule="auto"/>
              <w:ind w:firstLine="0"/>
              <w:jc w:val="left"/>
            </w:pPr>
            <w:r>
              <w:rPr>
                <w:rFonts w:hint="eastAsia"/>
              </w:rPr>
              <w:t>隧道数</w:t>
            </w:r>
          </w:p>
        </w:tc>
        <w:tc>
          <w:tcPr>
            <w:tcW w:w="6950" w:type="dxa"/>
            <w:shd w:val="clear" w:color="auto" w:fill="auto"/>
          </w:tcPr>
          <w:p w14:paraId="1F0BCAE5">
            <w:pPr>
              <w:pStyle w:val="186"/>
              <w:widowControl w:val="0"/>
              <w:spacing w:line="240" w:lineRule="auto"/>
              <w:ind w:firstLine="0"/>
              <w:jc w:val="left"/>
            </w:pPr>
            <w:r>
              <w:rPr>
                <w:rFonts w:hint="eastAsia"/>
              </w:rPr>
              <w:t>分支与中心设备之间建立的隧道数量计数。</w:t>
            </w:r>
          </w:p>
        </w:tc>
      </w:tr>
      <w:tr w14:paraId="3834129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43A0587A">
            <w:pPr>
              <w:pStyle w:val="186"/>
              <w:widowControl w:val="0"/>
              <w:spacing w:line="240" w:lineRule="auto"/>
              <w:ind w:firstLine="0"/>
              <w:jc w:val="left"/>
            </w:pPr>
            <w:r>
              <w:rPr>
                <w:rFonts w:hint="eastAsia"/>
              </w:rPr>
              <w:t>本端公网地址</w:t>
            </w:r>
          </w:p>
        </w:tc>
        <w:tc>
          <w:tcPr>
            <w:tcW w:w="6950" w:type="dxa"/>
            <w:shd w:val="clear" w:color="auto" w:fill="auto"/>
          </w:tcPr>
          <w:p w14:paraId="796F26E5">
            <w:pPr>
              <w:pStyle w:val="186"/>
              <w:widowControl w:val="0"/>
              <w:spacing w:line="240" w:lineRule="auto"/>
              <w:ind w:firstLine="0"/>
              <w:jc w:val="left"/>
            </w:pPr>
            <w:r>
              <w:rPr>
                <w:rFonts w:hint="eastAsia"/>
              </w:rPr>
              <w:t>隧道本端的公网地址。</w:t>
            </w:r>
          </w:p>
        </w:tc>
      </w:tr>
      <w:tr w14:paraId="0FFE2D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40B9AD7A">
            <w:pPr>
              <w:pStyle w:val="186"/>
              <w:widowControl w:val="0"/>
              <w:spacing w:line="240" w:lineRule="auto"/>
              <w:ind w:firstLine="0"/>
              <w:jc w:val="left"/>
            </w:pPr>
            <w:r>
              <w:rPr>
                <w:rFonts w:hint="eastAsia"/>
              </w:rPr>
              <w:t>对端公网地址</w:t>
            </w:r>
          </w:p>
        </w:tc>
        <w:tc>
          <w:tcPr>
            <w:tcW w:w="6950" w:type="dxa"/>
            <w:shd w:val="clear" w:color="auto" w:fill="auto"/>
          </w:tcPr>
          <w:p w14:paraId="2E4108DF">
            <w:pPr>
              <w:pStyle w:val="186"/>
              <w:widowControl w:val="0"/>
              <w:spacing w:line="240" w:lineRule="auto"/>
              <w:ind w:firstLine="0"/>
              <w:jc w:val="left"/>
            </w:pPr>
            <w:r>
              <w:rPr>
                <w:rFonts w:hint="eastAsia"/>
              </w:rPr>
              <w:t>隧道对端的公网地址。</w:t>
            </w:r>
          </w:p>
        </w:tc>
      </w:tr>
      <w:tr w14:paraId="1708CEB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2533B70F">
            <w:pPr>
              <w:pStyle w:val="186"/>
              <w:widowControl w:val="0"/>
              <w:spacing w:line="240" w:lineRule="auto"/>
              <w:ind w:firstLine="0"/>
              <w:jc w:val="left"/>
            </w:pPr>
            <w:r>
              <w:rPr>
                <w:rFonts w:hint="eastAsia"/>
              </w:rPr>
              <w:t>接入时间</w:t>
            </w:r>
          </w:p>
        </w:tc>
        <w:tc>
          <w:tcPr>
            <w:tcW w:w="6950" w:type="dxa"/>
            <w:shd w:val="clear" w:color="auto" w:fill="auto"/>
          </w:tcPr>
          <w:p w14:paraId="4C028082">
            <w:pPr>
              <w:pStyle w:val="186"/>
              <w:widowControl w:val="0"/>
              <w:spacing w:line="240" w:lineRule="auto"/>
              <w:ind w:firstLine="0"/>
              <w:jc w:val="left"/>
            </w:pPr>
            <w:r>
              <w:rPr>
                <w:rFonts w:hint="eastAsia"/>
              </w:rPr>
              <w:t>隧道建立时间。</w:t>
            </w:r>
          </w:p>
        </w:tc>
      </w:tr>
    </w:tbl>
    <w:p w14:paraId="47EE69D7"/>
    <w:p w14:paraId="205F3B84">
      <w:pPr>
        <w:pStyle w:val="5"/>
      </w:pPr>
      <w:bookmarkStart w:id="2835" w:name="_Toc172218181"/>
      <w:bookmarkStart w:id="2836" w:name="_Toc15484806"/>
      <w:bookmarkStart w:id="2837" w:name="_Toc12378489"/>
      <w:bookmarkStart w:id="2838" w:name="_Toc23152572"/>
      <w:bookmarkStart w:id="2839" w:name="_Toc40276005"/>
      <w:bookmarkStart w:id="2840" w:name="_Toc141873432"/>
      <w:bookmarkStart w:id="2841" w:name="_Toc99561505"/>
      <w:bookmarkStart w:id="2842" w:name="_Toc454962559"/>
      <w:bookmarkStart w:id="2843" w:name="_Toc142400948"/>
      <w:bookmarkStart w:id="2844" w:name="_Toc196728140"/>
      <w:bookmarkStart w:id="2845" w:name="_Toc194080808"/>
      <w:r>
        <w:rPr>
          <w:rFonts w:hint="eastAsia"/>
        </w:rPr>
        <w:t>IPSec快速配置举例</w:t>
      </w:r>
      <w:bookmarkEnd w:id="2835"/>
      <w:bookmarkEnd w:id="2836"/>
      <w:bookmarkEnd w:id="2837"/>
      <w:bookmarkEnd w:id="2838"/>
      <w:bookmarkEnd w:id="2839"/>
      <w:bookmarkEnd w:id="2840"/>
      <w:bookmarkEnd w:id="2841"/>
      <w:bookmarkEnd w:id="2842"/>
      <w:bookmarkEnd w:id="2843"/>
      <w:bookmarkEnd w:id="2844"/>
      <w:bookmarkEnd w:id="2845"/>
    </w:p>
    <w:p w14:paraId="007B0BB4">
      <w:pPr>
        <w:pStyle w:val="6"/>
      </w:pPr>
      <w:bookmarkStart w:id="2846" w:name="_Toc12378490"/>
      <w:bookmarkStart w:id="2847" w:name="_Toc454962560"/>
      <w:bookmarkStart w:id="2848" w:name="_Toc15484807"/>
      <w:bookmarkStart w:id="2849" w:name="_Toc23152573"/>
      <w:bookmarkStart w:id="2850" w:name="_Toc40276006"/>
      <w:r>
        <w:t>组网需求</w:t>
      </w:r>
      <w:bookmarkEnd w:id="2846"/>
      <w:bookmarkEnd w:id="2847"/>
      <w:bookmarkEnd w:id="2848"/>
      <w:bookmarkEnd w:id="2849"/>
      <w:bookmarkEnd w:id="2850"/>
    </w:p>
    <w:p w14:paraId="0B7C9637">
      <w:r>
        <w:rPr>
          <w:rFonts w:hint="eastAsia"/>
        </w:rPr>
        <w:t>如下</w:t>
      </w:r>
      <w:r>
        <w:rPr>
          <w:color w:val="0000FF"/>
          <w:u w:val="single"/>
        </w:rPr>
        <w:fldChar w:fldCharType="begin"/>
      </w:r>
      <w:r>
        <w:rPr>
          <w:color w:val="0000FF"/>
          <w:u w:val="single"/>
        </w:rPr>
        <w:instrText xml:space="preserve"> REF _Ref458614318 \r \h </w:instrText>
      </w:r>
      <w:r>
        <w:rPr>
          <w:color w:val="0000FF"/>
          <w:u w:val="single"/>
        </w:rPr>
        <w:fldChar w:fldCharType="separate"/>
      </w:r>
      <w:r>
        <w:rPr>
          <w:rFonts w:hint="eastAsia"/>
          <w:color w:val="0000FF"/>
          <w:u w:val="single"/>
        </w:rPr>
        <w:t>图9-19</w:t>
      </w:r>
      <w:r>
        <w:rPr>
          <w:color w:val="0000FF"/>
          <w:u w:val="single"/>
        </w:rPr>
        <w:fldChar w:fldCharType="end"/>
      </w:r>
      <w:r>
        <w:rPr>
          <w:rFonts w:hint="eastAsia"/>
        </w:rPr>
        <w:t>所示，在</w:t>
      </w:r>
      <w:r>
        <w:t xml:space="preserve">设备 A </w:t>
      </w:r>
      <w:r>
        <w:rPr>
          <w:rFonts w:hint="eastAsia"/>
        </w:rPr>
        <w:t>和</w:t>
      </w:r>
      <w:r>
        <w:t>设备 B</w:t>
      </w:r>
      <w:r>
        <w:rPr>
          <w:rFonts w:hint="eastAsia"/>
        </w:rPr>
        <w:t>之间建立两个安全隧道，对</w:t>
      </w:r>
      <w:r>
        <w:t xml:space="preserve">Host A </w:t>
      </w:r>
      <w:r>
        <w:rPr>
          <w:rFonts w:hint="eastAsia"/>
        </w:rPr>
        <w:t>代表的子网（</w:t>
      </w:r>
      <w:r>
        <w:t>2.2.2.0/24</w:t>
      </w:r>
      <w:r>
        <w:rPr>
          <w:rFonts w:hint="eastAsia"/>
        </w:rPr>
        <w:t>）与</w:t>
      </w:r>
      <w:r>
        <w:t xml:space="preserve">Host B </w:t>
      </w:r>
      <w:r>
        <w:rPr>
          <w:rFonts w:hint="eastAsia"/>
        </w:rPr>
        <w:t>代表的子网（</w:t>
      </w:r>
      <w:r>
        <w:t>13.13.13.0/24</w:t>
      </w:r>
      <w:r>
        <w:rPr>
          <w:rFonts w:hint="eastAsia"/>
        </w:rPr>
        <w:t>）之间的数据流进行安全保护，同时实现隧道备份。</w:t>
      </w:r>
    </w:p>
    <w:p w14:paraId="459B7AB2">
      <w:pPr>
        <w:pStyle w:val="6"/>
      </w:pPr>
      <w:bookmarkStart w:id="2851" w:name="_Toc15484808"/>
      <w:bookmarkStart w:id="2852" w:name="_Toc12378491"/>
      <w:bookmarkStart w:id="2853" w:name="_Toc454962561"/>
      <w:bookmarkStart w:id="2854" w:name="_Toc23152574"/>
      <w:bookmarkStart w:id="2855" w:name="_Toc40276007"/>
      <w:r>
        <w:rPr>
          <w:rFonts w:hint="eastAsia"/>
        </w:rPr>
        <w:t>组网图</w:t>
      </w:r>
      <w:bookmarkEnd w:id="2851"/>
      <w:bookmarkEnd w:id="2852"/>
      <w:bookmarkEnd w:id="2853"/>
      <w:bookmarkEnd w:id="2854"/>
      <w:bookmarkEnd w:id="2855"/>
    </w:p>
    <w:p w14:paraId="78BEE546">
      <w:pPr>
        <w:pStyle w:val="188"/>
      </w:pPr>
      <w:bookmarkStart w:id="2856" w:name="_Ref458614318"/>
      <w:bookmarkStart w:id="2857" w:name="_Toc141874641"/>
      <w:r>
        <w:t>IPsec举例组网图</w:t>
      </w:r>
      <w:bookmarkEnd w:id="2856"/>
      <w:bookmarkEnd w:id="2857"/>
    </w:p>
    <w:p w14:paraId="4E6EB872">
      <w:pPr>
        <w:spacing w:before="79" w:after="79"/>
      </w:pPr>
      <w:r>
        <w:drawing>
          <wp:inline distT="0" distB="0" distL="0" distR="0">
            <wp:extent cx="3994150" cy="2257425"/>
            <wp:effectExtent l="0" t="0" r="6350" b="0"/>
            <wp:docPr id="3080" name="图片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 name="图片 3080"/>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a:xfrm>
                      <a:off x="0" y="0"/>
                      <a:ext cx="3997469" cy="2258987"/>
                    </a:xfrm>
                    <a:prstGeom prst="rect">
                      <a:avLst/>
                    </a:prstGeom>
                    <a:noFill/>
                    <a:ln>
                      <a:noFill/>
                    </a:ln>
                  </pic:spPr>
                </pic:pic>
              </a:graphicData>
            </a:graphic>
          </wp:inline>
        </w:drawing>
      </w:r>
    </w:p>
    <w:p w14:paraId="08A6DDBC">
      <w:pPr>
        <w:pStyle w:val="6"/>
      </w:pPr>
      <w:bookmarkStart w:id="2858" w:name="_Toc497293762"/>
      <w:bookmarkEnd w:id="2858"/>
      <w:bookmarkStart w:id="2859" w:name="_Toc12378492"/>
      <w:bookmarkStart w:id="2860" w:name="_Toc454962562"/>
      <w:bookmarkStart w:id="2861" w:name="_Toc15484809"/>
      <w:bookmarkStart w:id="2862" w:name="_Toc40276008"/>
      <w:bookmarkStart w:id="2863" w:name="_Toc23152575"/>
      <w:r>
        <w:rPr>
          <w:rFonts w:hint="eastAsia"/>
        </w:rPr>
        <w:t>配置步骤</w:t>
      </w:r>
      <w:bookmarkEnd w:id="2859"/>
      <w:bookmarkEnd w:id="2860"/>
      <w:bookmarkEnd w:id="2861"/>
      <w:bookmarkEnd w:id="2862"/>
      <w:bookmarkEnd w:id="2863"/>
    </w:p>
    <w:p w14:paraId="0495337E">
      <w:pPr>
        <w:pStyle w:val="202"/>
        <w:rPr>
          <w:lang w:eastAsia="zh-CN"/>
        </w:rPr>
      </w:pPr>
      <w:r>
        <w:rPr>
          <w:rFonts w:hint="eastAsia"/>
          <w:lang w:eastAsia="zh-CN"/>
        </w:rPr>
        <w:t>中心设备IPSEC快速配置</w:t>
      </w:r>
    </w:p>
    <w:p w14:paraId="6AE5131B">
      <w:r>
        <w:rPr>
          <w:rFonts w:hint="eastAsia"/>
        </w:rPr>
        <w:t>对</w:t>
      </w:r>
      <w:r>
        <w:t>设备 A</w:t>
      </w:r>
      <w:r>
        <w:rPr>
          <w:rFonts w:hint="eastAsia"/>
        </w:rPr>
        <w:t>的</w:t>
      </w:r>
      <w:r>
        <w:t>IPSEC</w:t>
      </w:r>
      <w:r>
        <w:rPr>
          <w:rFonts w:hint="eastAsia"/>
        </w:rPr>
        <w:t>配置如</w:t>
      </w:r>
      <w:r>
        <w:fldChar w:fldCharType="begin"/>
      </w:r>
      <w:r>
        <w:instrText xml:space="preserve"> REF _Ref458614320 \r \h </w:instrText>
      </w:r>
      <w:r>
        <w:fldChar w:fldCharType="separate"/>
      </w:r>
      <w:r>
        <w:rPr>
          <w:rFonts w:hint="eastAsia"/>
        </w:rPr>
        <w:t>图9-20</w:t>
      </w:r>
      <w:r>
        <w:fldChar w:fldCharType="end"/>
      </w:r>
      <w:r>
        <w:rPr>
          <w:rFonts w:hint="eastAsia"/>
        </w:rPr>
        <w:t>所示。</w:t>
      </w:r>
    </w:p>
    <w:p w14:paraId="711AE4B2">
      <w:pPr>
        <w:pStyle w:val="188"/>
      </w:pPr>
      <w:bookmarkStart w:id="2864" w:name="_Ref458614320"/>
      <w:bookmarkStart w:id="2865" w:name="_Toc141874642"/>
      <w:r>
        <w:rPr>
          <w:rFonts w:hint="eastAsia"/>
        </w:rPr>
        <w:t>设备 A的IPSEC快速配置</w:t>
      </w:r>
      <w:bookmarkEnd w:id="2864"/>
      <w:bookmarkEnd w:id="2865"/>
    </w:p>
    <w:p w14:paraId="2FC48477">
      <w:r>
        <w:drawing>
          <wp:inline distT="0" distB="0" distL="114300" distR="114300">
            <wp:extent cx="5400040" cy="3502660"/>
            <wp:effectExtent l="0" t="0" r="0" b="2540"/>
            <wp:docPr id="1101"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 name="图片 179"/>
                    <pic:cNvPicPr>
                      <a:picLocks noChangeAspect="1"/>
                    </pic:cNvPicPr>
                  </pic:nvPicPr>
                  <pic:blipFill>
                    <a:blip r:embed="rId404"/>
                    <a:srcRect r="6123"/>
                    <a:stretch>
                      <a:fillRect/>
                    </a:stretch>
                  </pic:blipFill>
                  <pic:spPr>
                    <a:xfrm>
                      <a:off x="0" y="0"/>
                      <a:ext cx="5400040" cy="3502713"/>
                    </a:xfrm>
                    <a:prstGeom prst="rect">
                      <a:avLst/>
                    </a:prstGeom>
                    <a:noFill/>
                    <a:ln>
                      <a:noFill/>
                    </a:ln>
                  </pic:spPr>
                </pic:pic>
              </a:graphicData>
            </a:graphic>
          </wp:inline>
        </w:drawing>
      </w:r>
    </w:p>
    <w:p w14:paraId="211A9031"/>
    <w:p w14:paraId="131A5BCE">
      <w:pPr>
        <w:pStyle w:val="202"/>
        <w:rPr>
          <w:lang w:eastAsia="zh-CN"/>
        </w:rPr>
      </w:pPr>
      <w:r>
        <w:rPr>
          <w:rFonts w:hint="eastAsia"/>
          <w:lang w:eastAsia="zh-CN"/>
        </w:rPr>
        <w:t>分支设备IPSEC快速配置</w:t>
      </w:r>
    </w:p>
    <w:p w14:paraId="7540A38E">
      <w:r>
        <w:rPr>
          <w:rFonts w:hint="eastAsia"/>
        </w:rPr>
        <w:t>对</w:t>
      </w:r>
      <w:r>
        <w:t>设备 B</w:t>
      </w:r>
      <w:r>
        <w:rPr>
          <w:rFonts w:hint="eastAsia"/>
        </w:rPr>
        <w:t>的</w:t>
      </w:r>
      <w:r>
        <w:t>IPSEC</w:t>
      </w:r>
      <w:r>
        <w:rPr>
          <w:rFonts w:hint="eastAsia"/>
        </w:rPr>
        <w:t>快速配置如</w:t>
      </w:r>
      <w:r>
        <w:fldChar w:fldCharType="begin"/>
      </w:r>
      <w:r>
        <w:instrText xml:space="preserve"> REF _Ref458614321 \r \h </w:instrText>
      </w:r>
      <w:r>
        <w:fldChar w:fldCharType="separate"/>
      </w:r>
      <w:r>
        <w:rPr>
          <w:rFonts w:hint="eastAsia"/>
        </w:rPr>
        <w:t>图9-21</w:t>
      </w:r>
      <w:r>
        <w:fldChar w:fldCharType="end"/>
      </w:r>
      <w:r>
        <w:rPr>
          <w:rFonts w:hint="eastAsia"/>
        </w:rPr>
        <w:t>、</w:t>
      </w:r>
      <w:r>
        <w:fldChar w:fldCharType="begin"/>
      </w:r>
      <w:r>
        <w:instrText xml:space="preserve"> REF _Ref458614322 \r \h </w:instrText>
      </w:r>
      <w:r>
        <w:fldChar w:fldCharType="separate"/>
      </w:r>
      <w:r>
        <w:rPr>
          <w:rFonts w:hint="eastAsia"/>
        </w:rPr>
        <w:t>图9-22</w:t>
      </w:r>
      <w:r>
        <w:fldChar w:fldCharType="end"/>
      </w:r>
      <w:r>
        <w:rPr>
          <w:rFonts w:hint="eastAsia"/>
        </w:rPr>
        <w:t>所示。</w:t>
      </w:r>
    </w:p>
    <w:p w14:paraId="4BCF87DB">
      <w:pPr>
        <w:pStyle w:val="188"/>
      </w:pPr>
      <w:bookmarkStart w:id="2866" w:name="_Ref458614321"/>
      <w:bookmarkStart w:id="2867" w:name="_Toc141874643"/>
      <w:r>
        <w:rPr>
          <w:rFonts w:hint="eastAsia"/>
        </w:rPr>
        <w:t>设备 B的ISPEC快速配置</w:t>
      </w:r>
      <w:bookmarkEnd w:id="2866"/>
      <w:bookmarkEnd w:id="2867"/>
    </w:p>
    <w:p w14:paraId="739BAD67">
      <w:pPr>
        <w:spacing w:before="79" w:after="79"/>
      </w:pPr>
      <w:r>
        <w:drawing>
          <wp:inline distT="0" distB="0" distL="114300" distR="114300">
            <wp:extent cx="4762500" cy="4019550"/>
            <wp:effectExtent l="0" t="0" r="0" b="0"/>
            <wp:docPr id="1102"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 name="图片 180"/>
                    <pic:cNvPicPr>
                      <a:picLocks noChangeAspect="1"/>
                    </pic:cNvPicPr>
                  </pic:nvPicPr>
                  <pic:blipFill>
                    <a:blip r:embed="rId405"/>
                    <a:srcRect r="10529"/>
                    <a:stretch>
                      <a:fillRect/>
                    </a:stretch>
                  </pic:blipFill>
                  <pic:spPr>
                    <a:xfrm>
                      <a:off x="0" y="0"/>
                      <a:ext cx="4777904" cy="4033105"/>
                    </a:xfrm>
                    <a:prstGeom prst="rect">
                      <a:avLst/>
                    </a:prstGeom>
                    <a:noFill/>
                    <a:ln>
                      <a:noFill/>
                    </a:ln>
                  </pic:spPr>
                </pic:pic>
              </a:graphicData>
            </a:graphic>
          </wp:inline>
        </w:drawing>
      </w:r>
    </w:p>
    <w:p w14:paraId="3658483F"/>
    <w:p w14:paraId="73D86E3A">
      <w:pPr>
        <w:pStyle w:val="188"/>
      </w:pPr>
      <w:bookmarkStart w:id="2868" w:name="_Ref458614322"/>
      <w:bookmarkStart w:id="2869" w:name="_Toc141874644"/>
      <w:r>
        <w:rPr>
          <w:rFonts w:hint="eastAsia"/>
        </w:rPr>
        <w:t>设备 B选路策略配置</w:t>
      </w:r>
      <w:bookmarkEnd w:id="2868"/>
      <w:bookmarkEnd w:id="2869"/>
    </w:p>
    <w:p w14:paraId="5109A300">
      <w:r>
        <w:drawing>
          <wp:inline distT="0" distB="0" distL="114300" distR="114300">
            <wp:extent cx="5400040" cy="3314700"/>
            <wp:effectExtent l="0" t="0" r="0" b="0"/>
            <wp:docPr id="1105"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 name="图片 183"/>
                    <pic:cNvPicPr>
                      <a:picLocks noChangeAspect="1"/>
                    </pic:cNvPicPr>
                  </pic:nvPicPr>
                  <pic:blipFill>
                    <a:blip r:embed="rId406"/>
                    <a:stretch>
                      <a:fillRect/>
                    </a:stretch>
                  </pic:blipFill>
                  <pic:spPr>
                    <a:xfrm>
                      <a:off x="0" y="0"/>
                      <a:ext cx="5400040" cy="3314998"/>
                    </a:xfrm>
                    <a:prstGeom prst="rect">
                      <a:avLst/>
                    </a:prstGeom>
                    <a:noFill/>
                    <a:ln>
                      <a:noFill/>
                    </a:ln>
                  </pic:spPr>
                </pic:pic>
              </a:graphicData>
            </a:graphic>
          </wp:inline>
        </w:drawing>
      </w:r>
    </w:p>
    <w:p w14:paraId="79BF219F">
      <w:pPr>
        <w:pStyle w:val="6"/>
      </w:pPr>
      <w:bookmarkStart w:id="2870" w:name="_Toc497293764"/>
      <w:bookmarkEnd w:id="2870"/>
      <w:bookmarkStart w:id="2871" w:name="_Toc40276009"/>
      <w:bookmarkStart w:id="2872" w:name="_Toc12378493"/>
      <w:bookmarkStart w:id="2873" w:name="_Toc454962563"/>
      <w:bookmarkStart w:id="2874" w:name="_Toc15484810"/>
      <w:bookmarkStart w:id="2875" w:name="_Toc23152576"/>
      <w:r>
        <w:rPr>
          <w:rFonts w:hint="eastAsia"/>
        </w:rPr>
        <w:t>验证配置结果</w:t>
      </w:r>
      <w:bookmarkEnd w:id="2871"/>
      <w:bookmarkEnd w:id="2872"/>
      <w:bookmarkEnd w:id="2873"/>
      <w:bookmarkEnd w:id="2874"/>
      <w:bookmarkEnd w:id="2875"/>
    </w:p>
    <w:p w14:paraId="3479BCCF">
      <w:r>
        <w:rPr>
          <w:rFonts w:hint="eastAsia"/>
        </w:rPr>
        <w:t>在导航栏中选择“</w:t>
      </w:r>
      <w:r>
        <w:t>网络配置 &gt; VPN &gt; IPsec-VPN &gt;IPsec</w:t>
      </w:r>
      <w:r>
        <w:rPr>
          <w:rFonts w:hint="eastAsia"/>
        </w:rPr>
        <w:t>快速配置</w:t>
      </w:r>
      <w:r>
        <w:t xml:space="preserve">&gt; IPsec </w:t>
      </w:r>
      <w:r>
        <w:rPr>
          <w:rFonts w:hint="eastAsia"/>
        </w:rPr>
        <w:t>监控”，查看隧道建立状态。</w:t>
      </w:r>
    </w:p>
    <w:p w14:paraId="3D4D2857">
      <w:pPr>
        <w:pStyle w:val="188"/>
      </w:pPr>
      <w:bookmarkStart w:id="2876" w:name="_Toc141874645"/>
      <w:bookmarkStart w:id="2877" w:name="_Ref458614323"/>
      <w:r>
        <w:t xml:space="preserve">设备 </w:t>
      </w:r>
      <w:r>
        <w:rPr>
          <w:rFonts w:hint="eastAsia"/>
        </w:rPr>
        <w:t>A的IPsec监控</w:t>
      </w:r>
      <w:bookmarkEnd w:id="2876"/>
      <w:bookmarkEnd w:id="2877"/>
    </w:p>
    <w:p w14:paraId="541174F6">
      <w:r>
        <w:drawing>
          <wp:inline distT="0" distB="0" distL="114300" distR="114300">
            <wp:extent cx="5400040" cy="1128395"/>
            <wp:effectExtent l="0" t="0" r="0" b="0"/>
            <wp:docPr id="1127"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图片 205"/>
                    <pic:cNvPicPr>
                      <a:picLocks noChangeAspect="1"/>
                    </pic:cNvPicPr>
                  </pic:nvPicPr>
                  <pic:blipFill>
                    <a:blip r:embed="rId407"/>
                    <a:stretch>
                      <a:fillRect/>
                    </a:stretch>
                  </pic:blipFill>
                  <pic:spPr>
                    <a:xfrm>
                      <a:off x="0" y="0"/>
                      <a:ext cx="5400040" cy="1128442"/>
                    </a:xfrm>
                    <a:prstGeom prst="rect">
                      <a:avLst/>
                    </a:prstGeom>
                    <a:noFill/>
                    <a:ln>
                      <a:noFill/>
                    </a:ln>
                  </pic:spPr>
                </pic:pic>
              </a:graphicData>
            </a:graphic>
          </wp:inline>
        </w:drawing>
      </w:r>
    </w:p>
    <w:p w14:paraId="3CC0D5A9"/>
    <w:p w14:paraId="4CD19B7F">
      <w:pPr>
        <w:pStyle w:val="188"/>
      </w:pPr>
      <w:bookmarkStart w:id="2878" w:name="_Ref458614324"/>
      <w:bookmarkStart w:id="2879" w:name="_Toc141874646"/>
      <w:r>
        <w:t xml:space="preserve">设备 </w:t>
      </w:r>
      <w:r>
        <w:rPr>
          <w:rFonts w:hint="eastAsia"/>
        </w:rPr>
        <w:t>B的IPsec 监控</w:t>
      </w:r>
      <w:bookmarkEnd w:id="2878"/>
      <w:bookmarkEnd w:id="2879"/>
    </w:p>
    <w:p w14:paraId="20472E95">
      <w:r>
        <w:drawing>
          <wp:inline distT="0" distB="0" distL="114300" distR="114300">
            <wp:extent cx="5400040" cy="1160145"/>
            <wp:effectExtent l="0" t="0" r="0" b="1905"/>
            <wp:docPr id="1128"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图片 206"/>
                    <pic:cNvPicPr>
                      <a:picLocks noChangeAspect="1"/>
                    </pic:cNvPicPr>
                  </pic:nvPicPr>
                  <pic:blipFill>
                    <a:blip r:embed="rId408"/>
                    <a:stretch>
                      <a:fillRect/>
                    </a:stretch>
                  </pic:blipFill>
                  <pic:spPr>
                    <a:xfrm>
                      <a:off x="0" y="0"/>
                      <a:ext cx="5400040" cy="1160395"/>
                    </a:xfrm>
                    <a:prstGeom prst="rect">
                      <a:avLst/>
                    </a:prstGeom>
                    <a:noFill/>
                    <a:ln>
                      <a:noFill/>
                    </a:ln>
                  </pic:spPr>
                </pic:pic>
              </a:graphicData>
            </a:graphic>
          </wp:inline>
        </w:drawing>
      </w:r>
      <w:r>
        <w:br w:type="page"/>
      </w:r>
    </w:p>
    <w:p w14:paraId="65D2BCA1">
      <w:pPr>
        <w:pStyle w:val="3"/>
      </w:pPr>
      <w:bookmarkStart w:id="2880" w:name="_Toc12452297"/>
      <w:bookmarkStart w:id="2881" w:name="_Toc23152584"/>
      <w:bookmarkStart w:id="2882" w:name="_Toc40276017"/>
      <w:bookmarkStart w:id="2883" w:name="_Toc15484818"/>
      <w:bookmarkStart w:id="2884" w:name="_Toc141873433"/>
      <w:bookmarkStart w:id="2885" w:name="_Toc194080809"/>
      <w:bookmarkStart w:id="2886" w:name="_Toc196728141"/>
      <w:bookmarkStart w:id="2887" w:name="_Toc99561510"/>
      <w:bookmarkStart w:id="2888" w:name="_Toc172218182"/>
      <w:bookmarkStart w:id="2889" w:name="_Toc142400949"/>
      <w:r>
        <w:t>SSL VPN</w:t>
      </w:r>
      <w:bookmarkEnd w:id="2880"/>
      <w:bookmarkEnd w:id="2881"/>
      <w:bookmarkEnd w:id="2882"/>
      <w:bookmarkEnd w:id="2883"/>
      <w:bookmarkEnd w:id="2884"/>
      <w:bookmarkEnd w:id="2885"/>
      <w:bookmarkEnd w:id="2886"/>
      <w:bookmarkEnd w:id="2887"/>
      <w:bookmarkEnd w:id="2888"/>
      <w:bookmarkEnd w:id="2889"/>
    </w:p>
    <w:p w14:paraId="609B56A9">
      <w:pPr>
        <w:pStyle w:val="4"/>
      </w:pPr>
      <w:bookmarkStart w:id="2890" w:name="_Toc15484819"/>
      <w:bookmarkStart w:id="2891" w:name="_Toc142400950"/>
      <w:bookmarkStart w:id="2892" w:name="_Toc172218183"/>
      <w:bookmarkStart w:id="2893" w:name="_Toc141873434"/>
      <w:bookmarkStart w:id="2894" w:name="_Toc194080810"/>
      <w:bookmarkStart w:id="2895" w:name="_Toc12452298"/>
      <w:bookmarkStart w:id="2896" w:name="_Toc99561511"/>
      <w:bookmarkStart w:id="2897" w:name="_Toc23152585"/>
      <w:bookmarkStart w:id="2898" w:name="_Toc40276018"/>
      <w:bookmarkStart w:id="2899" w:name="_Toc196728142"/>
      <w:r>
        <w:t>SSL VPN</w:t>
      </w:r>
      <w:r>
        <w:rPr>
          <w:rFonts w:hint="eastAsia"/>
        </w:rPr>
        <w:t>概述</w:t>
      </w:r>
      <w:bookmarkEnd w:id="2890"/>
      <w:bookmarkEnd w:id="2891"/>
      <w:bookmarkEnd w:id="2892"/>
      <w:bookmarkEnd w:id="2893"/>
      <w:bookmarkEnd w:id="2894"/>
      <w:bookmarkEnd w:id="2895"/>
      <w:bookmarkEnd w:id="2896"/>
      <w:bookmarkEnd w:id="2897"/>
      <w:bookmarkEnd w:id="2898"/>
      <w:bookmarkEnd w:id="2899"/>
    </w:p>
    <w:p w14:paraId="425879FF">
      <w:r>
        <w:t>SSL VPN指的是基于</w:t>
      </w:r>
      <w:r>
        <w:fldChar w:fldCharType="begin"/>
      </w:r>
      <w:r>
        <w:instrText xml:space="preserve"> HYPERLINK "https://baike.baidu.com/item/%E5%AE%89%E5%85%A8%E5%A5%97%E6%8E%A5%E5%B1%82%E5%8D%8F%E8%AE%AE" \t "_blank" </w:instrText>
      </w:r>
      <w:r>
        <w:fldChar w:fldCharType="separate"/>
      </w:r>
      <w:r>
        <w:t>安全套接层协议</w:t>
      </w:r>
      <w:r>
        <w:fldChar w:fldCharType="end"/>
      </w:r>
      <w:r>
        <w:t>(Security Socket Layer-SSL)建立远程安全访问通道的VPN技术。它是近年来兴起的VPN技术，其应用随着Web的普及和电子商务、</w:t>
      </w:r>
      <w:r>
        <w:fldChar w:fldCharType="begin"/>
      </w:r>
      <w:r>
        <w:instrText xml:space="preserve"> HYPERLINK "https://baike.baidu.com/item/%E8%BF%9C%E7%A8%8B%E5%8A%9E%E5%85%AC/1702668" \t "_blank" </w:instrText>
      </w:r>
      <w:r>
        <w:fldChar w:fldCharType="separate"/>
      </w:r>
      <w:r>
        <w:t>远程办公</w:t>
      </w:r>
      <w:r>
        <w:fldChar w:fldCharType="end"/>
      </w:r>
      <w:r>
        <w:t>的兴起而发展迅速。</w:t>
      </w:r>
    </w:p>
    <w:p w14:paraId="574CF4FE">
      <w:r>
        <w:t>SSL协议主要是由</w:t>
      </w:r>
      <w:r>
        <w:fldChar w:fldCharType="begin"/>
      </w:r>
      <w:r>
        <w:instrText xml:space="preserve"> HYPERLINK "https://baike.baidu.com/item/SSL/320778" \t "_blank" </w:instrText>
      </w:r>
      <w:r>
        <w:fldChar w:fldCharType="separate"/>
      </w:r>
      <w:r>
        <w:t>SSL</w:t>
      </w:r>
      <w:r>
        <w:fldChar w:fldCharType="end"/>
      </w:r>
      <w:r>
        <w:t>记录协议和</w:t>
      </w:r>
      <w:r>
        <w:fldChar w:fldCharType="begin"/>
      </w:r>
      <w:r>
        <w:instrText xml:space="preserve"> HYPERLINK "https://baike.baidu.com/item/%E6%8F%A1%E6%89%8B%E5%8D%8F%E8%AE%AE" \t "_blank" </w:instrText>
      </w:r>
      <w:r>
        <w:fldChar w:fldCharType="separate"/>
      </w:r>
      <w:r>
        <w:t>握手协议</w:t>
      </w:r>
      <w:r>
        <w:fldChar w:fldCharType="end"/>
      </w:r>
      <w:r>
        <w:t>组成，它们共同为应用访问连接提供认证、加密和防篡改功能。SSL握手协议相对于IPSEC协议体系中的IKE(互联网</w:t>
      </w:r>
      <w:r>
        <w:fldChar w:fldCharType="begin"/>
      </w:r>
      <w:r>
        <w:instrText xml:space="preserve"> HYPERLINK "https://baike.baidu.com/item/%E5%AF%86%E9%92%A5" \t "_blank" </w:instrText>
      </w:r>
      <w:r>
        <w:fldChar w:fldCharType="separate"/>
      </w:r>
      <w:r>
        <w:t>密钥</w:t>
      </w:r>
      <w:r>
        <w:fldChar w:fldCharType="end"/>
      </w:r>
      <w:r>
        <w:t>交换协议)协议，主要是用于服务器和客户之间的相互认证，协商</w:t>
      </w:r>
      <w:r>
        <w:fldChar w:fldCharType="begin"/>
      </w:r>
      <w:r>
        <w:instrText xml:space="preserve"> HYPERLINK "https://baike.baidu.com/item/%E5%8A%A0%E5%AF%86%E7%AE%97%E6%B3%95" \t "_blank" </w:instrText>
      </w:r>
      <w:r>
        <w:fldChar w:fldCharType="separate"/>
      </w:r>
      <w:r>
        <w:t>加密算法</w:t>
      </w:r>
      <w:r>
        <w:fldChar w:fldCharType="end"/>
      </w:r>
      <w:r>
        <w:t>和MAC(Message Authentication Code-消息认证码)算法，用于生成在SSL记录协议中使用的加密和认证密钥。</w:t>
      </w:r>
      <w:r>
        <w:fldChar w:fldCharType="begin"/>
      </w:r>
      <w:r>
        <w:instrText xml:space="preserve"> HYPERLINK "https://baike.baidu.com/item/SSL/320778" \t "_blank" </w:instrText>
      </w:r>
      <w:r>
        <w:fldChar w:fldCharType="separate"/>
      </w:r>
      <w:r>
        <w:t>SSL</w:t>
      </w:r>
      <w:r>
        <w:fldChar w:fldCharType="end"/>
      </w:r>
      <w:r>
        <w:t>记录协议是为各种应用协议提供基本的安全服务，类似于IPSEC的传输模式，应用程序消息参照</w:t>
      </w:r>
      <w:r>
        <w:fldChar w:fldCharType="begin"/>
      </w:r>
      <w:r>
        <w:instrText xml:space="preserve"> HYPERLINK "https://baike.baidu.com/item/MTU/508920" \t "_blank" </w:instrText>
      </w:r>
      <w:r>
        <w:fldChar w:fldCharType="separate"/>
      </w:r>
      <w:r>
        <w:t>MTU</w:t>
      </w:r>
      <w:r>
        <w:fldChar w:fldCharType="end"/>
      </w:r>
      <w:r>
        <w:t>(</w:t>
      </w:r>
      <w:r>
        <w:fldChar w:fldCharType="begin"/>
      </w:r>
      <w:r>
        <w:instrText xml:space="preserve"> HYPERLINK "https://baike.baidu.com/item/%E6%9C%80%E5%A4%A7%E4%BC%A0%E8%BE%93%E5%8D%95%E5%85%83" \t "_blank" </w:instrText>
      </w:r>
      <w:r>
        <w:fldChar w:fldCharType="separate"/>
      </w:r>
      <w:r>
        <w:t>最大传输单元</w:t>
      </w:r>
      <w:r>
        <w:fldChar w:fldCharType="end"/>
      </w:r>
      <w:r>
        <w:t>)被分割成可治理的</w:t>
      </w:r>
      <w:r>
        <w:fldChar w:fldCharType="begin"/>
      </w:r>
      <w:r>
        <w:instrText xml:space="preserve"> HYPERLINK "https://baike.baidu.com/item/%E6%95%B0%E6%8D%AE%E5%9D%97" \t "_blank" </w:instrText>
      </w:r>
      <w:r>
        <w:fldChar w:fldCharType="separate"/>
      </w:r>
      <w:r>
        <w:t>数据块</w:t>
      </w:r>
      <w:r>
        <w:fldChar w:fldCharType="end"/>
      </w:r>
      <w:r>
        <w:t>(可进行</w:t>
      </w:r>
      <w:r>
        <w:fldChar w:fldCharType="begin"/>
      </w:r>
      <w:r>
        <w:instrText xml:space="preserve"> HYPERLINK "https://baike.baidu.com/item/%E6%95%B0%E6%8D%AE%E5%8E%8B%E7%BC%A9/5198909" \t "_blank" </w:instrText>
      </w:r>
      <w:r>
        <w:fldChar w:fldCharType="separate"/>
      </w:r>
      <w:r>
        <w:t>数据压缩</w:t>
      </w:r>
      <w:r>
        <w:fldChar w:fldCharType="end"/>
      </w:r>
      <w:r>
        <w:t>处理)，并产生一个MAC信息，加密后插入新的报头，最后在</w:t>
      </w:r>
      <w:r>
        <w:fldChar w:fldCharType="begin"/>
      </w:r>
      <w:r>
        <w:instrText xml:space="preserve"> HYPERLINK "https://baike.baidu.com/item/TCP/33012" \t "_blank" </w:instrText>
      </w:r>
      <w:r>
        <w:fldChar w:fldCharType="separate"/>
      </w:r>
      <w:r>
        <w:t>TCP</w:t>
      </w:r>
      <w:r>
        <w:fldChar w:fldCharType="end"/>
      </w:r>
      <w:r>
        <w:t>中加以传输;接收端将收到的</w:t>
      </w:r>
      <w:r>
        <w:fldChar w:fldCharType="begin"/>
      </w:r>
      <w:r>
        <w:instrText xml:space="preserve"> HYPERLINK "https://baike.baidu.com/item/%E6%95%B0%E6%8D%AE%E8%A7%A3%E5%AF%86" \t "_blank" </w:instrText>
      </w:r>
      <w:r>
        <w:fldChar w:fldCharType="separate"/>
      </w:r>
      <w:r>
        <w:t>数据解密</w:t>
      </w:r>
      <w:r>
        <w:fldChar w:fldCharType="end"/>
      </w:r>
      <w:r>
        <w:t>，做身份验证(MAC认证)、</w:t>
      </w:r>
      <w:r>
        <w:fldChar w:fldCharType="begin"/>
      </w:r>
      <w:r>
        <w:instrText xml:space="preserve"> HYPERLINK "https://baike.baidu.com/item/%E8%A7%A3%E5%8E%8B%E7%BC%A9" \t "_blank" </w:instrText>
      </w:r>
      <w:r>
        <w:fldChar w:fldCharType="separate"/>
      </w:r>
      <w:r>
        <w:t>解压缩</w:t>
      </w:r>
      <w:r>
        <w:fldChar w:fldCharType="end"/>
      </w:r>
      <w:r>
        <w:t>、重组</w:t>
      </w:r>
      <w:r>
        <w:fldChar w:fldCharType="begin"/>
      </w:r>
      <w:r>
        <w:instrText xml:space="preserve"> HYPERLINK "https://baike.baidu.com/item/%E6%95%B0%E6%8D%AE%E6%8A%A5/2194617" \t "_blank" </w:instrText>
      </w:r>
      <w:r>
        <w:fldChar w:fldCharType="separate"/>
      </w:r>
      <w:r>
        <w:t>数据报</w:t>
      </w:r>
      <w:r>
        <w:fldChar w:fldCharType="end"/>
      </w:r>
      <w:r>
        <w:t>然后交给应用协议进行处理。实际上就是在</w:t>
      </w:r>
      <w:r>
        <w:fldChar w:fldCharType="begin"/>
      </w:r>
      <w:r>
        <w:instrText xml:space="preserve"> HYPERLINK "https://baike.baidu.com/item/%E5%BA%94%E7%94%A8%E5%B1%82" \t "_blank" </w:instrText>
      </w:r>
      <w:r>
        <w:fldChar w:fldCharType="separate"/>
      </w:r>
      <w:r>
        <w:t>应用层</w:t>
      </w:r>
      <w:r>
        <w:fldChar w:fldCharType="end"/>
      </w:r>
      <w:r>
        <w:t>和</w:t>
      </w:r>
      <w:r>
        <w:fldChar w:fldCharType="begin"/>
      </w:r>
      <w:r>
        <w:instrText xml:space="preserve"> HYPERLINK "https://baike.baidu.com/item/%E4%BC%A0%E8%BE%93%E5%B1%82" \t "_blank" </w:instrText>
      </w:r>
      <w:r>
        <w:fldChar w:fldCharType="separate"/>
      </w:r>
      <w:r>
        <w:t>传输层</w:t>
      </w:r>
      <w:r>
        <w:fldChar w:fldCharType="end"/>
      </w:r>
      <w:r>
        <w:t>之间加入了一个数据处理层，和传统的网络</w:t>
      </w:r>
      <w:r>
        <w:fldChar w:fldCharType="begin"/>
      </w:r>
      <w:r>
        <w:instrText xml:space="preserve"> HYPERLINK "https://baike.baidu.com/item/%E5%A5%97%E6%8E%A5%E5%AD%97" \t "_blank" </w:instrText>
      </w:r>
      <w:r>
        <w:fldChar w:fldCharType="separate"/>
      </w:r>
      <w:r>
        <w:t>套接字</w:t>
      </w:r>
      <w:r>
        <w:fldChar w:fldCharType="end"/>
      </w:r>
      <w:r>
        <w:t>模型在同一层次，这也就是</w:t>
      </w:r>
      <w:r>
        <w:fldChar w:fldCharType="begin"/>
      </w:r>
      <w:r>
        <w:instrText xml:space="preserve"> HYPERLINK "https://baike.baidu.com/item/%E5%AE%89%E5%85%A8%E5%A5%97%E6%8E%A5%E5%B1%82" \t "_blank" </w:instrText>
      </w:r>
      <w:r>
        <w:fldChar w:fldCharType="separate"/>
      </w:r>
      <w:r>
        <w:t>安全套接层</w:t>
      </w:r>
      <w:r>
        <w:fldChar w:fldCharType="end"/>
      </w:r>
      <w:r>
        <w:t>的由来。</w:t>
      </w:r>
    </w:p>
    <w:p w14:paraId="3E5F8772">
      <w:pPr>
        <w:pStyle w:val="4"/>
      </w:pPr>
      <w:bookmarkStart w:id="2900" w:name="_Toc172218184"/>
      <w:bookmarkStart w:id="2901" w:name="_Toc194080811"/>
      <w:bookmarkStart w:id="2902" w:name="_Toc196728143"/>
      <w:bookmarkStart w:id="2903" w:name="_Toc153817155"/>
      <w:r>
        <w:rPr>
          <w:rFonts w:hint="eastAsia"/>
        </w:rPr>
        <w:t>使用限制</w:t>
      </w:r>
      <w:bookmarkEnd w:id="2900"/>
      <w:bookmarkEnd w:id="2901"/>
      <w:bookmarkEnd w:id="2902"/>
      <w:bookmarkEnd w:id="2903"/>
    </w:p>
    <w:p w14:paraId="71DBEBB7">
      <w:pPr>
        <w:widowControl/>
        <w:numPr>
          <w:ilvl w:val="4"/>
          <w:numId w:val="27"/>
        </w:numPr>
        <w:spacing w:before="40" w:after="40" w:line="240" w:lineRule="auto"/>
      </w:pPr>
      <w:r>
        <w:rPr>
          <w:rFonts w:hint="eastAsia"/>
        </w:rPr>
        <w:t>SSL VPN功能支持Windows7和Windows10操作系统，以及Android6.0以上的移动端，暂不支持苹果iOS、Mac OS系统和Linux操作系统。</w:t>
      </w:r>
    </w:p>
    <w:p w14:paraId="1CEEBA60">
      <w:pPr>
        <w:widowControl/>
        <w:numPr>
          <w:ilvl w:val="4"/>
          <w:numId w:val="27"/>
        </w:numPr>
        <w:spacing w:before="40" w:after="40" w:line="240" w:lineRule="auto"/>
      </w:pPr>
      <w:r>
        <w:rPr>
          <w:rFonts w:hint="eastAsia"/>
        </w:rPr>
        <w:t>SSL</w:t>
      </w:r>
      <w:r>
        <w:t xml:space="preserve"> VPN的最大并发用户数与授权有关，系统</w:t>
      </w:r>
      <w:r>
        <w:rPr>
          <w:rFonts w:hint="eastAsia"/>
        </w:rPr>
        <w:t>默认支持</w:t>
      </w:r>
      <w:r>
        <w:t>同时接入的</w:t>
      </w:r>
      <w:r>
        <w:rPr>
          <w:rFonts w:hint="eastAsia"/>
        </w:rPr>
        <w:t>最大用户数为1</w:t>
      </w:r>
      <w:r>
        <w:t>0个</w:t>
      </w:r>
      <w:r>
        <w:rPr>
          <w:rFonts w:hint="eastAsia"/>
        </w:rPr>
        <w:t>。</w:t>
      </w:r>
    </w:p>
    <w:p w14:paraId="0D70C820">
      <w:pPr>
        <w:pStyle w:val="4"/>
      </w:pPr>
      <w:bookmarkStart w:id="2904" w:name="_Toc162341312"/>
      <w:bookmarkEnd w:id="2904"/>
      <w:bookmarkStart w:id="2905" w:name="_Toc162342030"/>
      <w:bookmarkEnd w:id="2905"/>
      <w:bookmarkStart w:id="2906" w:name="_Toc162362747"/>
      <w:bookmarkEnd w:id="2906"/>
      <w:bookmarkStart w:id="2907" w:name="_Toc162353461"/>
      <w:bookmarkEnd w:id="2907"/>
      <w:bookmarkStart w:id="2908" w:name="_Toc162362018"/>
      <w:bookmarkEnd w:id="2908"/>
      <w:bookmarkStart w:id="2909" w:name="_Toc15484820"/>
      <w:bookmarkStart w:id="2910" w:name="_Toc141873435"/>
      <w:bookmarkStart w:id="2911" w:name="_Toc194080812"/>
      <w:bookmarkStart w:id="2912" w:name="_Toc196728144"/>
      <w:bookmarkStart w:id="2913" w:name="_Toc142400951"/>
      <w:bookmarkStart w:id="2914" w:name="_Toc23152586"/>
      <w:bookmarkStart w:id="2915" w:name="_Toc40276019"/>
      <w:bookmarkStart w:id="2916" w:name="_Toc99561512"/>
      <w:bookmarkStart w:id="2917" w:name="_Toc172218185"/>
      <w:bookmarkStart w:id="2918" w:name="_Toc12452299"/>
      <w:r>
        <w:rPr>
          <w:rFonts w:hint="eastAsia"/>
        </w:rPr>
        <w:t>配置SSL</w:t>
      </w:r>
      <w:r>
        <w:t xml:space="preserve"> </w:t>
      </w:r>
      <w:r>
        <w:rPr>
          <w:rFonts w:hint="eastAsia"/>
        </w:rPr>
        <w:t>VPN</w:t>
      </w:r>
      <w:bookmarkEnd w:id="2909"/>
      <w:bookmarkEnd w:id="2910"/>
      <w:bookmarkEnd w:id="2911"/>
      <w:bookmarkEnd w:id="2912"/>
      <w:bookmarkEnd w:id="2913"/>
      <w:bookmarkEnd w:id="2914"/>
      <w:bookmarkEnd w:id="2915"/>
      <w:bookmarkEnd w:id="2916"/>
      <w:bookmarkEnd w:id="2917"/>
      <w:bookmarkEnd w:id="2918"/>
    </w:p>
    <w:p w14:paraId="3ABA1F89">
      <w:pPr>
        <w:pStyle w:val="5"/>
      </w:pPr>
      <w:bookmarkStart w:id="2919" w:name="_Toc12452300"/>
      <w:bookmarkStart w:id="2920" w:name="_Toc40276020"/>
      <w:bookmarkStart w:id="2921" w:name="_Toc15484821"/>
      <w:bookmarkStart w:id="2922" w:name="_Toc23152587"/>
      <w:bookmarkStart w:id="2923" w:name="_Toc99561513"/>
      <w:bookmarkStart w:id="2924" w:name="_Toc141873436"/>
      <w:bookmarkStart w:id="2925" w:name="_Toc196728145"/>
      <w:bookmarkStart w:id="2926" w:name="_Toc194080813"/>
      <w:bookmarkStart w:id="2927" w:name="_Toc142400952"/>
      <w:bookmarkStart w:id="2928" w:name="_Toc172218186"/>
      <w:r>
        <w:rPr>
          <w:rFonts w:hint="eastAsia"/>
        </w:rPr>
        <w:t>配置概述</w:t>
      </w:r>
      <w:bookmarkEnd w:id="2919"/>
      <w:bookmarkEnd w:id="2920"/>
      <w:bookmarkEnd w:id="2921"/>
      <w:bookmarkEnd w:id="2922"/>
      <w:bookmarkEnd w:id="2923"/>
      <w:bookmarkEnd w:id="2924"/>
      <w:bookmarkEnd w:id="2925"/>
      <w:bookmarkEnd w:id="2926"/>
      <w:bookmarkEnd w:id="2927"/>
      <w:bookmarkEnd w:id="2928"/>
    </w:p>
    <w:p w14:paraId="11588F2F">
      <w:r>
        <w:rPr>
          <w:rFonts w:hint="eastAsia"/>
        </w:rPr>
        <w:t>SSL</w:t>
      </w:r>
      <w:r>
        <w:t xml:space="preserve"> </w:t>
      </w:r>
      <w:r>
        <w:rPr>
          <w:rFonts w:hint="eastAsia"/>
        </w:rPr>
        <w:t>VPN配置的推荐步骤如下表所示。</w:t>
      </w:r>
    </w:p>
    <w:p w14:paraId="0D79AB56">
      <w:pPr>
        <w:pStyle w:val="183"/>
      </w:pPr>
      <w:bookmarkStart w:id="2929" w:name="_Toc141875514"/>
      <w:r>
        <w:t>IPsec</w:t>
      </w:r>
      <w:r>
        <w:rPr>
          <w:rFonts w:hint="eastAsia"/>
        </w:rPr>
        <w:t>配置的推荐步骤</w:t>
      </w:r>
      <w:bookmarkEnd w:id="2929"/>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3021"/>
        <w:gridCol w:w="3083"/>
        <w:gridCol w:w="2910"/>
      </w:tblGrid>
      <w:tr w14:paraId="21182A3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3021" w:type="dxa"/>
            <w:tcBorders>
              <w:tl2br w:val="nil"/>
              <w:tr2bl w:val="nil"/>
            </w:tcBorders>
            <w:shd w:val="clear" w:color="auto" w:fill="538135" w:themeFill="accent6" w:themeFillShade="BF"/>
            <w:vAlign w:val="center"/>
          </w:tcPr>
          <w:p w14:paraId="0FAEAAA2">
            <w:pPr>
              <w:pStyle w:val="149"/>
              <w:wordWrap/>
              <w:rPr>
                <w:b/>
                <w:bCs/>
                <w:i w:val="0"/>
                <w:iCs w:val="0"/>
              </w:rPr>
            </w:pPr>
            <w:r>
              <w:rPr>
                <w:rFonts w:hint="eastAsia"/>
                <w:b/>
                <w:bCs/>
                <w:i w:val="0"/>
                <w:iCs w:val="0"/>
              </w:rPr>
              <w:t>配置任务</w:t>
            </w:r>
          </w:p>
        </w:tc>
        <w:tc>
          <w:tcPr>
            <w:tcW w:w="3083" w:type="dxa"/>
            <w:tcBorders>
              <w:tl2br w:val="nil"/>
              <w:tr2bl w:val="nil"/>
            </w:tcBorders>
            <w:shd w:val="clear" w:color="auto" w:fill="538135" w:themeFill="accent6" w:themeFillShade="BF"/>
            <w:vAlign w:val="center"/>
          </w:tcPr>
          <w:p w14:paraId="3AD4B8A8">
            <w:pPr>
              <w:pStyle w:val="149"/>
              <w:wordWrap/>
              <w:rPr>
                <w:b/>
                <w:bCs/>
                <w:i w:val="0"/>
                <w:iCs w:val="0"/>
              </w:rPr>
            </w:pPr>
            <w:r>
              <w:rPr>
                <w:rFonts w:hint="eastAsia"/>
                <w:b/>
                <w:bCs/>
                <w:i w:val="0"/>
                <w:iCs w:val="0"/>
              </w:rPr>
              <w:t>说明</w:t>
            </w:r>
          </w:p>
        </w:tc>
        <w:tc>
          <w:tcPr>
            <w:tcW w:w="2910" w:type="dxa"/>
            <w:tcBorders>
              <w:tl2br w:val="nil"/>
              <w:tr2bl w:val="nil"/>
            </w:tcBorders>
            <w:shd w:val="clear" w:color="auto" w:fill="538135" w:themeFill="accent6" w:themeFillShade="BF"/>
            <w:vAlign w:val="center"/>
          </w:tcPr>
          <w:p w14:paraId="0DBCDA87">
            <w:pPr>
              <w:pStyle w:val="149"/>
              <w:wordWrap/>
              <w:rPr>
                <w:b/>
                <w:bCs/>
                <w:i w:val="0"/>
                <w:iCs w:val="0"/>
              </w:rPr>
            </w:pPr>
            <w:r>
              <w:rPr>
                <w:rFonts w:hint="eastAsia"/>
                <w:b/>
                <w:bCs/>
                <w:i w:val="0"/>
                <w:iCs w:val="0"/>
              </w:rPr>
              <w:t>详细配置</w:t>
            </w:r>
          </w:p>
        </w:tc>
      </w:tr>
      <w:tr w14:paraId="7C48E4E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3021" w:type="dxa"/>
            <w:shd w:val="clear" w:color="auto" w:fill="auto"/>
          </w:tcPr>
          <w:p w14:paraId="37172F4E">
            <w:pPr>
              <w:pStyle w:val="186"/>
              <w:widowControl w:val="0"/>
              <w:spacing w:line="240" w:lineRule="auto"/>
              <w:ind w:firstLine="0"/>
              <w:jc w:val="left"/>
            </w:pPr>
            <w:r>
              <w:rPr>
                <w:rFonts w:hint="eastAsia"/>
              </w:rPr>
              <w:t>配置用户/用户组</w:t>
            </w:r>
          </w:p>
        </w:tc>
        <w:tc>
          <w:tcPr>
            <w:tcW w:w="3083" w:type="dxa"/>
            <w:shd w:val="clear" w:color="auto" w:fill="auto"/>
          </w:tcPr>
          <w:p w14:paraId="0F7EA233">
            <w:pPr>
              <w:pStyle w:val="186"/>
              <w:widowControl w:val="0"/>
              <w:spacing w:line="240" w:lineRule="auto"/>
              <w:ind w:firstLine="0"/>
              <w:jc w:val="left"/>
            </w:pPr>
            <w:r>
              <w:rPr>
                <w:rFonts w:hint="eastAsia"/>
              </w:rPr>
              <w:t>必选</w:t>
            </w:r>
          </w:p>
        </w:tc>
        <w:tc>
          <w:tcPr>
            <w:tcW w:w="2910" w:type="dxa"/>
            <w:shd w:val="clear" w:color="auto" w:fill="auto"/>
          </w:tcPr>
          <w:p w14:paraId="0821305C">
            <w:pPr>
              <w:pStyle w:val="186"/>
              <w:widowControl w:val="0"/>
              <w:spacing w:line="240" w:lineRule="auto"/>
              <w:ind w:firstLine="0"/>
              <w:jc w:val="left"/>
              <w:rPr>
                <w:color w:val="0000FF"/>
                <w:u w:val="single"/>
              </w:rPr>
            </w:pPr>
            <w:r>
              <w:t>详见</w:t>
            </w:r>
            <w:r>
              <w:rPr>
                <w:rFonts w:hint="eastAsia"/>
              </w:rPr>
              <w:t>“</w:t>
            </w:r>
            <w:r>
              <w:t>用户</w:t>
            </w:r>
            <w:r>
              <w:rPr>
                <w:rFonts w:hint="eastAsia"/>
              </w:rPr>
              <w:t>和</w:t>
            </w:r>
            <w:r>
              <w:t>用户认证</w:t>
            </w:r>
            <w:r>
              <w:rPr>
                <w:rFonts w:hint="eastAsia"/>
              </w:rPr>
              <w:t>”章节</w:t>
            </w:r>
          </w:p>
        </w:tc>
      </w:tr>
      <w:tr w14:paraId="37FAA5E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3021" w:type="dxa"/>
            <w:shd w:val="clear" w:color="auto" w:fill="auto"/>
          </w:tcPr>
          <w:p w14:paraId="13817311">
            <w:pPr>
              <w:pStyle w:val="186"/>
              <w:widowControl w:val="0"/>
              <w:spacing w:line="240" w:lineRule="auto"/>
              <w:ind w:firstLine="0"/>
              <w:jc w:val="left"/>
            </w:pPr>
            <w:r>
              <w:rPr>
                <w:rFonts w:hint="eastAsia"/>
              </w:rPr>
              <w:t>配置SSL</w:t>
            </w:r>
            <w:r>
              <w:t xml:space="preserve"> </w:t>
            </w:r>
            <w:r>
              <w:rPr>
                <w:rFonts w:hint="eastAsia"/>
              </w:rPr>
              <w:t>VPN资源</w:t>
            </w:r>
          </w:p>
        </w:tc>
        <w:tc>
          <w:tcPr>
            <w:tcW w:w="3083" w:type="dxa"/>
            <w:shd w:val="clear" w:color="auto" w:fill="auto"/>
          </w:tcPr>
          <w:p w14:paraId="6828193B">
            <w:pPr>
              <w:pStyle w:val="186"/>
              <w:widowControl w:val="0"/>
              <w:spacing w:line="240" w:lineRule="auto"/>
              <w:ind w:firstLine="0"/>
              <w:jc w:val="left"/>
            </w:pPr>
            <w:r>
              <w:rPr>
                <w:rFonts w:hint="eastAsia"/>
              </w:rPr>
              <w:t>必选</w:t>
            </w:r>
          </w:p>
        </w:tc>
        <w:tc>
          <w:tcPr>
            <w:tcW w:w="2910" w:type="dxa"/>
            <w:shd w:val="clear" w:color="auto" w:fill="auto"/>
          </w:tcPr>
          <w:p w14:paraId="655CE644">
            <w:pPr>
              <w:pStyle w:val="186"/>
              <w:widowControl w:val="0"/>
              <w:spacing w:line="240" w:lineRule="auto"/>
              <w:ind w:firstLine="0"/>
              <w:jc w:val="left"/>
            </w:pPr>
            <w:r>
              <w:fldChar w:fldCharType="begin"/>
            </w:r>
            <w:r>
              <w:instrText xml:space="preserve"> REF _Ref4416346 \r \h  \* MERGEFORMAT </w:instrText>
            </w:r>
            <w:r>
              <w:fldChar w:fldCharType="separate"/>
            </w:r>
            <w:r>
              <w:t>10.3.2</w:t>
            </w:r>
            <w:r>
              <w:fldChar w:fldCharType="end"/>
            </w:r>
          </w:p>
        </w:tc>
      </w:tr>
      <w:tr w14:paraId="2200850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3021" w:type="dxa"/>
            <w:shd w:val="clear" w:color="auto" w:fill="auto"/>
          </w:tcPr>
          <w:p w14:paraId="25BA8726">
            <w:pPr>
              <w:pStyle w:val="186"/>
              <w:widowControl w:val="0"/>
              <w:spacing w:line="240" w:lineRule="auto"/>
              <w:ind w:firstLine="0"/>
              <w:jc w:val="left"/>
            </w:pPr>
            <w:r>
              <w:rPr>
                <w:rFonts w:hint="eastAsia"/>
              </w:rPr>
              <w:t>配置SSL</w:t>
            </w:r>
            <w:r>
              <w:t xml:space="preserve"> </w:t>
            </w:r>
            <w:r>
              <w:rPr>
                <w:rFonts w:hint="eastAsia"/>
              </w:rPr>
              <w:t>VPN门户网站</w:t>
            </w:r>
          </w:p>
        </w:tc>
        <w:tc>
          <w:tcPr>
            <w:tcW w:w="3083" w:type="dxa"/>
            <w:shd w:val="clear" w:color="auto" w:fill="auto"/>
          </w:tcPr>
          <w:p w14:paraId="7FDF918C">
            <w:pPr>
              <w:pStyle w:val="186"/>
              <w:widowControl w:val="0"/>
              <w:spacing w:line="240" w:lineRule="auto"/>
              <w:ind w:firstLine="0"/>
              <w:jc w:val="left"/>
            </w:pPr>
            <w:r>
              <w:rPr>
                <w:rFonts w:hint="eastAsia"/>
              </w:rPr>
              <w:t>必选</w:t>
            </w:r>
          </w:p>
        </w:tc>
        <w:tc>
          <w:tcPr>
            <w:tcW w:w="2910" w:type="dxa"/>
            <w:shd w:val="clear" w:color="auto" w:fill="auto"/>
          </w:tcPr>
          <w:p w14:paraId="3EDF9268">
            <w:pPr>
              <w:pStyle w:val="186"/>
              <w:widowControl w:val="0"/>
              <w:spacing w:line="240" w:lineRule="auto"/>
              <w:ind w:firstLine="0"/>
              <w:jc w:val="left"/>
            </w:pPr>
            <w:r>
              <w:fldChar w:fldCharType="begin"/>
            </w:r>
            <w:r>
              <w:instrText xml:space="preserve"> REF _Ref4416389 \r \h  \* MERGEFORMAT </w:instrText>
            </w:r>
            <w:r>
              <w:fldChar w:fldCharType="separate"/>
            </w:r>
            <w:r>
              <w:t>10.3.6</w:t>
            </w:r>
            <w:r>
              <w:fldChar w:fldCharType="end"/>
            </w:r>
          </w:p>
        </w:tc>
      </w:tr>
      <w:tr w14:paraId="6E8672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3021" w:type="dxa"/>
            <w:shd w:val="clear" w:color="auto" w:fill="auto"/>
          </w:tcPr>
          <w:p w14:paraId="08FB86C8">
            <w:pPr>
              <w:pStyle w:val="186"/>
              <w:widowControl w:val="0"/>
              <w:spacing w:line="240" w:lineRule="auto"/>
              <w:ind w:firstLine="0"/>
              <w:jc w:val="left"/>
            </w:pPr>
            <w:r>
              <w:rPr>
                <w:rFonts w:hint="eastAsia"/>
              </w:rPr>
              <w:t>配置SSL</w:t>
            </w:r>
            <w:r>
              <w:t xml:space="preserve"> </w:t>
            </w:r>
            <w:r>
              <w:rPr>
                <w:rFonts w:hint="eastAsia"/>
              </w:rPr>
              <w:t>VPN策略</w:t>
            </w:r>
          </w:p>
        </w:tc>
        <w:tc>
          <w:tcPr>
            <w:tcW w:w="3083" w:type="dxa"/>
            <w:shd w:val="clear" w:color="auto" w:fill="auto"/>
          </w:tcPr>
          <w:p w14:paraId="346E4D18">
            <w:pPr>
              <w:pStyle w:val="186"/>
              <w:widowControl w:val="0"/>
              <w:spacing w:line="240" w:lineRule="auto"/>
              <w:ind w:firstLine="0"/>
              <w:jc w:val="left"/>
            </w:pPr>
            <w:r>
              <w:rPr>
                <w:rFonts w:hint="eastAsia"/>
              </w:rPr>
              <w:t>可选</w:t>
            </w:r>
          </w:p>
        </w:tc>
        <w:tc>
          <w:tcPr>
            <w:tcW w:w="2910" w:type="dxa"/>
            <w:shd w:val="clear" w:color="auto" w:fill="auto"/>
          </w:tcPr>
          <w:p w14:paraId="06907288">
            <w:pPr>
              <w:pStyle w:val="186"/>
              <w:widowControl w:val="0"/>
              <w:spacing w:line="240" w:lineRule="auto"/>
              <w:ind w:firstLine="0"/>
              <w:jc w:val="left"/>
            </w:pPr>
            <w:r>
              <w:fldChar w:fldCharType="begin"/>
            </w:r>
            <w:r>
              <w:instrText xml:space="preserve"> REF _Ref4416404 \r \h  \* MERGEFORMAT </w:instrText>
            </w:r>
            <w:r>
              <w:fldChar w:fldCharType="separate"/>
            </w:r>
            <w:r>
              <w:t>10.3.8</w:t>
            </w:r>
            <w:r>
              <w:fldChar w:fldCharType="end"/>
            </w:r>
          </w:p>
        </w:tc>
      </w:tr>
      <w:tr w14:paraId="13F1AE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3021" w:type="dxa"/>
            <w:shd w:val="clear" w:color="auto" w:fill="auto"/>
          </w:tcPr>
          <w:p w14:paraId="36E70AFC">
            <w:pPr>
              <w:pStyle w:val="186"/>
              <w:widowControl w:val="0"/>
              <w:spacing w:line="240" w:lineRule="auto"/>
              <w:ind w:firstLine="0"/>
              <w:jc w:val="left"/>
            </w:pPr>
            <w:r>
              <w:rPr>
                <w:rFonts w:hint="eastAsia"/>
              </w:rPr>
              <w:t>配置SSL</w:t>
            </w:r>
            <w:r>
              <w:t xml:space="preserve"> </w:t>
            </w:r>
            <w:r>
              <w:rPr>
                <w:rFonts w:hint="eastAsia"/>
              </w:rPr>
              <w:t>VPN</w:t>
            </w:r>
            <w:r>
              <w:t xml:space="preserve"> </w:t>
            </w:r>
            <w:r>
              <w:rPr>
                <w:rFonts w:hint="eastAsia"/>
              </w:rPr>
              <w:t>全局配置</w:t>
            </w:r>
          </w:p>
        </w:tc>
        <w:tc>
          <w:tcPr>
            <w:tcW w:w="3083" w:type="dxa"/>
            <w:shd w:val="clear" w:color="auto" w:fill="auto"/>
          </w:tcPr>
          <w:p w14:paraId="589D3066">
            <w:pPr>
              <w:pStyle w:val="186"/>
              <w:widowControl w:val="0"/>
              <w:spacing w:line="240" w:lineRule="auto"/>
              <w:ind w:firstLine="0"/>
              <w:jc w:val="left"/>
            </w:pPr>
            <w:r>
              <w:rPr>
                <w:rFonts w:hint="eastAsia"/>
              </w:rPr>
              <w:t>必选</w:t>
            </w:r>
          </w:p>
        </w:tc>
        <w:tc>
          <w:tcPr>
            <w:tcW w:w="2910" w:type="dxa"/>
            <w:shd w:val="clear" w:color="auto" w:fill="auto"/>
          </w:tcPr>
          <w:p w14:paraId="2156A481">
            <w:pPr>
              <w:pStyle w:val="186"/>
              <w:widowControl w:val="0"/>
              <w:spacing w:line="240" w:lineRule="auto"/>
              <w:ind w:firstLine="0"/>
              <w:jc w:val="left"/>
            </w:pPr>
            <w:r>
              <w:fldChar w:fldCharType="begin"/>
            </w:r>
            <w:r>
              <w:instrText xml:space="preserve"> REF _Ref4416415 \r \h  \* MERGEFORMAT </w:instrText>
            </w:r>
            <w:r>
              <w:fldChar w:fldCharType="separate"/>
            </w:r>
            <w:r>
              <w:t>10.3.2</w:t>
            </w:r>
            <w:r>
              <w:fldChar w:fldCharType="end"/>
            </w:r>
          </w:p>
        </w:tc>
      </w:tr>
      <w:tr w14:paraId="40E78A2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3021" w:type="dxa"/>
            <w:shd w:val="clear" w:color="auto" w:fill="auto"/>
          </w:tcPr>
          <w:p w14:paraId="39BF27FB">
            <w:pPr>
              <w:pStyle w:val="186"/>
              <w:widowControl w:val="0"/>
              <w:spacing w:line="240" w:lineRule="auto"/>
              <w:ind w:firstLine="0"/>
              <w:jc w:val="left"/>
            </w:pPr>
            <w:r>
              <w:rPr>
                <w:rFonts w:hint="eastAsia" w:ascii="宋体" w:hAnsi="宋体" w:cs="宋体"/>
              </w:rPr>
              <w:t>配置</w:t>
            </w:r>
            <w:r>
              <w:rPr>
                <w:rFonts w:hint="eastAsia"/>
              </w:rPr>
              <w:t>SSL</w:t>
            </w:r>
            <w:r>
              <w:t xml:space="preserve"> </w:t>
            </w:r>
            <w:r>
              <w:rPr>
                <w:rFonts w:hint="eastAsia"/>
              </w:rPr>
              <w:t xml:space="preserve">VPN </w:t>
            </w:r>
            <w:r>
              <w:t>IP</w:t>
            </w:r>
            <w:r>
              <w:rPr>
                <w:rFonts w:hint="eastAsia" w:ascii="宋体" w:hAnsi="宋体" w:cs="宋体"/>
              </w:rPr>
              <w:t>用户绑定</w:t>
            </w:r>
          </w:p>
        </w:tc>
        <w:tc>
          <w:tcPr>
            <w:tcW w:w="3083" w:type="dxa"/>
            <w:shd w:val="clear" w:color="auto" w:fill="auto"/>
          </w:tcPr>
          <w:p w14:paraId="756DA1B8">
            <w:pPr>
              <w:pStyle w:val="186"/>
              <w:widowControl w:val="0"/>
              <w:spacing w:line="240" w:lineRule="auto"/>
              <w:ind w:firstLine="0"/>
              <w:jc w:val="left"/>
            </w:pPr>
            <w:r>
              <w:rPr>
                <w:rFonts w:hint="eastAsia" w:ascii="宋体" w:hAnsi="宋体" w:cs="宋体"/>
              </w:rPr>
              <w:t>可选</w:t>
            </w:r>
          </w:p>
        </w:tc>
        <w:tc>
          <w:tcPr>
            <w:tcW w:w="2910" w:type="dxa"/>
            <w:shd w:val="clear" w:color="auto" w:fill="auto"/>
          </w:tcPr>
          <w:p w14:paraId="09E2125F">
            <w:pPr>
              <w:pStyle w:val="186"/>
              <w:widowControl w:val="0"/>
              <w:spacing w:line="240" w:lineRule="auto"/>
              <w:ind w:firstLine="0"/>
              <w:jc w:val="left"/>
            </w:pPr>
            <w:r>
              <w:fldChar w:fldCharType="begin"/>
            </w:r>
            <w:r>
              <w:instrText xml:space="preserve"> REF _Ref162272983 \r \h  \* MERGEFORMAT </w:instrText>
            </w:r>
            <w:r>
              <w:fldChar w:fldCharType="separate"/>
            </w:r>
            <w:r>
              <w:t>10.3.3</w:t>
            </w:r>
            <w:r>
              <w:fldChar w:fldCharType="end"/>
            </w:r>
          </w:p>
        </w:tc>
      </w:tr>
      <w:tr w14:paraId="4D3968F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3021" w:type="dxa"/>
            <w:shd w:val="clear" w:color="auto" w:fill="auto"/>
          </w:tcPr>
          <w:p w14:paraId="0DAC94A7">
            <w:pPr>
              <w:pStyle w:val="186"/>
              <w:widowControl w:val="0"/>
              <w:spacing w:line="240" w:lineRule="auto"/>
              <w:ind w:firstLine="0"/>
              <w:jc w:val="left"/>
            </w:pPr>
            <w:r>
              <w:rPr>
                <w:rFonts w:hint="eastAsia"/>
              </w:rPr>
              <w:t>配置SSL</w:t>
            </w:r>
            <w:r>
              <w:t xml:space="preserve"> </w:t>
            </w:r>
            <w:r>
              <w:rPr>
                <w:rFonts w:hint="eastAsia"/>
              </w:rPr>
              <w:t>VPN安全设置</w:t>
            </w:r>
          </w:p>
        </w:tc>
        <w:tc>
          <w:tcPr>
            <w:tcW w:w="3083" w:type="dxa"/>
            <w:shd w:val="clear" w:color="auto" w:fill="auto"/>
          </w:tcPr>
          <w:p w14:paraId="30CF75E7">
            <w:pPr>
              <w:pStyle w:val="186"/>
              <w:widowControl w:val="0"/>
              <w:spacing w:line="240" w:lineRule="auto"/>
              <w:ind w:firstLine="0"/>
              <w:jc w:val="left"/>
            </w:pPr>
            <w:r>
              <w:rPr>
                <w:rFonts w:hint="eastAsia"/>
              </w:rPr>
              <w:t>可选</w:t>
            </w:r>
          </w:p>
        </w:tc>
        <w:tc>
          <w:tcPr>
            <w:tcW w:w="2910" w:type="dxa"/>
            <w:shd w:val="clear" w:color="auto" w:fill="auto"/>
          </w:tcPr>
          <w:p w14:paraId="21EAF157">
            <w:pPr>
              <w:pStyle w:val="186"/>
              <w:widowControl w:val="0"/>
              <w:spacing w:line="240" w:lineRule="auto"/>
              <w:ind w:firstLine="0"/>
              <w:jc w:val="left"/>
            </w:pPr>
            <w:r>
              <w:fldChar w:fldCharType="begin"/>
            </w:r>
            <w:r>
              <w:instrText xml:space="preserve"> REF _Ref4416426 \r \h  \* MERGEFORMAT </w:instrText>
            </w:r>
            <w:r>
              <w:fldChar w:fldCharType="separate"/>
            </w:r>
            <w:r>
              <w:t>10.3.4</w:t>
            </w:r>
            <w:r>
              <w:fldChar w:fldCharType="end"/>
            </w:r>
          </w:p>
        </w:tc>
      </w:tr>
    </w:tbl>
    <w:p w14:paraId="2E7C2405"/>
    <w:p w14:paraId="6B7EA350">
      <w:pPr>
        <w:pStyle w:val="5"/>
      </w:pPr>
      <w:bookmarkStart w:id="2930" w:name="_Toc194080814"/>
      <w:bookmarkStart w:id="2931" w:name="_Toc15484825"/>
      <w:bookmarkStart w:id="2932" w:name="_Toc12452304"/>
      <w:bookmarkStart w:id="2933" w:name="_Toc23152591"/>
      <w:bookmarkStart w:id="2934" w:name="_Toc141873437"/>
      <w:bookmarkStart w:id="2935" w:name="_Toc172218187"/>
      <w:bookmarkStart w:id="2936" w:name="_Ref4416415"/>
      <w:bookmarkStart w:id="2937" w:name="_Toc142400953"/>
      <w:bookmarkStart w:id="2938" w:name="_Toc40276024"/>
      <w:bookmarkStart w:id="2939" w:name="_Toc99561517"/>
      <w:bookmarkStart w:id="2940" w:name="_Toc196728146"/>
      <w:bookmarkStart w:id="2941" w:name="_Toc12452301"/>
      <w:bookmarkStart w:id="2942" w:name="_Toc23152588"/>
      <w:bookmarkStart w:id="2943" w:name="_Toc15484822"/>
      <w:bookmarkStart w:id="2944" w:name="_Toc40276021"/>
      <w:bookmarkStart w:id="2945" w:name="_Ref4416346"/>
      <w:bookmarkStart w:id="2946" w:name="_Toc99561514"/>
      <w:r>
        <w:rPr>
          <w:rFonts w:hint="eastAsia"/>
        </w:rPr>
        <w:t>配置SSL</w:t>
      </w:r>
      <w:r>
        <w:t xml:space="preserve"> </w:t>
      </w:r>
      <w:r>
        <w:rPr>
          <w:rFonts w:hint="eastAsia"/>
        </w:rPr>
        <w:t>VPN全局配置</w:t>
      </w:r>
      <w:bookmarkEnd w:id="2930"/>
      <w:bookmarkEnd w:id="2931"/>
      <w:bookmarkEnd w:id="2932"/>
      <w:bookmarkEnd w:id="2933"/>
      <w:bookmarkEnd w:id="2934"/>
      <w:bookmarkEnd w:id="2935"/>
      <w:bookmarkEnd w:id="2936"/>
      <w:bookmarkEnd w:id="2937"/>
      <w:bookmarkEnd w:id="2938"/>
      <w:bookmarkEnd w:id="2939"/>
      <w:bookmarkEnd w:id="2940"/>
    </w:p>
    <w:p w14:paraId="744C298C">
      <w:r>
        <w:rPr>
          <w:rFonts w:hint="eastAsia"/>
        </w:rPr>
        <w:t>在导航栏中选择“网络配置 &gt; VPN &gt; SSL VPN</w:t>
      </w:r>
      <w:r>
        <w:t xml:space="preserve"> &gt; </w:t>
      </w:r>
      <w:r>
        <w:rPr>
          <w:rFonts w:hint="eastAsia"/>
        </w:rPr>
        <w:t>全局配置”，进入全局配置的配置页面。如下图所示。</w:t>
      </w:r>
    </w:p>
    <w:p w14:paraId="28E2D8DF">
      <w:pPr>
        <w:pStyle w:val="188"/>
      </w:pPr>
      <w:bookmarkStart w:id="2947" w:name="_Toc141874647"/>
      <w:r>
        <w:rPr>
          <w:rFonts w:hint="eastAsia"/>
        </w:rPr>
        <w:t>全局配置页面</w:t>
      </w:r>
      <w:bookmarkEnd w:id="2947"/>
    </w:p>
    <w:p w14:paraId="21A6A3FA">
      <w:pPr>
        <w:spacing w:before="79" w:after="79"/>
      </w:pPr>
      <w:r>
        <w:drawing>
          <wp:inline distT="0" distB="0" distL="114300" distR="114300">
            <wp:extent cx="4257675" cy="4881245"/>
            <wp:effectExtent l="0" t="0" r="0" b="0"/>
            <wp:docPr id="1108"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图片 186"/>
                    <pic:cNvPicPr>
                      <a:picLocks noChangeAspect="1"/>
                    </pic:cNvPicPr>
                  </pic:nvPicPr>
                  <pic:blipFill>
                    <a:blip r:embed="rId409"/>
                    <a:srcRect r="15792"/>
                    <a:stretch>
                      <a:fillRect/>
                    </a:stretch>
                  </pic:blipFill>
                  <pic:spPr>
                    <a:xfrm>
                      <a:off x="0" y="0"/>
                      <a:ext cx="4264981" cy="4889787"/>
                    </a:xfrm>
                    <a:prstGeom prst="rect">
                      <a:avLst/>
                    </a:prstGeom>
                    <a:noFill/>
                    <a:ln>
                      <a:noFill/>
                    </a:ln>
                  </pic:spPr>
                </pic:pic>
              </a:graphicData>
            </a:graphic>
          </wp:inline>
        </w:drawing>
      </w:r>
    </w:p>
    <w:p w14:paraId="00807258">
      <w:r>
        <w:rPr>
          <w:rFonts w:hint="eastAsia"/>
        </w:rPr>
        <w:t>页面的详细说明如</w:t>
      </w:r>
      <w:r>
        <w:fldChar w:fldCharType="begin"/>
      </w:r>
      <w:r>
        <w:instrText xml:space="preserve"> REF _Ref393214038 \r \h </w:instrText>
      </w:r>
      <w:r>
        <w:fldChar w:fldCharType="separate"/>
      </w:r>
      <w:r>
        <w:rPr>
          <w:rFonts w:hint="eastAsia"/>
        </w:rPr>
        <w:t>表10-1</w:t>
      </w:r>
      <w:r>
        <w:fldChar w:fldCharType="end"/>
      </w:r>
      <w:r>
        <w:rPr>
          <w:rFonts w:hint="eastAsia"/>
        </w:rPr>
        <w:t>。</w:t>
      </w:r>
    </w:p>
    <w:p w14:paraId="5AAF388A">
      <w:pPr>
        <w:pStyle w:val="183"/>
      </w:pPr>
      <w:bookmarkStart w:id="2948" w:name="_Ref393214038"/>
      <w:bookmarkStart w:id="2949" w:name="_Toc141875515"/>
      <w:r>
        <w:rPr>
          <w:rFonts w:hint="eastAsia"/>
        </w:rPr>
        <w:t>SSL</w:t>
      </w:r>
      <w:r>
        <w:t xml:space="preserve"> VPN全局</w:t>
      </w:r>
      <w:r>
        <w:rPr>
          <w:rFonts w:hint="eastAsia"/>
        </w:rPr>
        <w:t>配置的详细说明</w:t>
      </w:r>
      <w:bookmarkEnd w:id="2948"/>
      <w:bookmarkEnd w:id="2949"/>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65"/>
        <w:gridCol w:w="6949"/>
      </w:tblGrid>
      <w:tr w14:paraId="269D32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tcBorders>
              <w:tl2br w:val="nil"/>
              <w:tr2bl w:val="nil"/>
            </w:tcBorders>
            <w:shd w:val="clear" w:color="auto" w:fill="538135" w:themeFill="accent6" w:themeFillShade="BF"/>
            <w:vAlign w:val="center"/>
          </w:tcPr>
          <w:p w14:paraId="0F18E42C">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949" w:type="dxa"/>
            <w:tcBorders>
              <w:tl2br w:val="nil"/>
              <w:tr2bl w:val="nil"/>
            </w:tcBorders>
            <w:shd w:val="clear" w:color="auto" w:fill="538135" w:themeFill="accent6" w:themeFillShade="BF"/>
            <w:vAlign w:val="center"/>
          </w:tcPr>
          <w:p w14:paraId="48F6295A">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C9B84B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77A5F816">
            <w:pPr>
              <w:pStyle w:val="186"/>
              <w:widowControl w:val="0"/>
              <w:spacing w:line="240" w:lineRule="auto"/>
              <w:ind w:firstLine="0"/>
              <w:jc w:val="left"/>
            </w:pPr>
            <w:r>
              <w:rPr>
                <w:rFonts w:hint="eastAsia"/>
              </w:rPr>
              <w:t>启用</w:t>
            </w:r>
          </w:p>
        </w:tc>
        <w:tc>
          <w:tcPr>
            <w:tcW w:w="6949" w:type="dxa"/>
            <w:shd w:val="clear" w:color="auto" w:fill="auto"/>
          </w:tcPr>
          <w:p w14:paraId="352B63AC">
            <w:pPr>
              <w:pStyle w:val="186"/>
              <w:widowControl w:val="0"/>
              <w:spacing w:line="240" w:lineRule="auto"/>
              <w:ind w:firstLine="0"/>
              <w:jc w:val="left"/>
            </w:pPr>
            <w:r>
              <w:rPr>
                <w:rFonts w:hint="eastAsia"/>
              </w:rPr>
              <w:t>全局配置启用/禁用开关</w:t>
            </w:r>
          </w:p>
        </w:tc>
      </w:tr>
      <w:tr w14:paraId="1EEB55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55403CE5">
            <w:pPr>
              <w:pStyle w:val="186"/>
              <w:widowControl w:val="0"/>
              <w:spacing w:line="240" w:lineRule="auto"/>
              <w:ind w:firstLine="0"/>
              <w:jc w:val="left"/>
            </w:pPr>
            <w:r>
              <w:rPr>
                <w:rFonts w:hint="eastAsia"/>
              </w:rPr>
              <w:t>拨入接口</w:t>
            </w:r>
          </w:p>
        </w:tc>
        <w:tc>
          <w:tcPr>
            <w:tcW w:w="6949" w:type="dxa"/>
            <w:shd w:val="clear" w:color="auto" w:fill="auto"/>
          </w:tcPr>
          <w:p w14:paraId="1C6D0F29">
            <w:pPr>
              <w:pStyle w:val="186"/>
              <w:widowControl w:val="0"/>
              <w:spacing w:line="240" w:lineRule="auto"/>
              <w:ind w:firstLine="0"/>
              <w:jc w:val="left"/>
            </w:pPr>
            <w:r>
              <w:rPr>
                <w:rFonts w:hint="eastAsia"/>
              </w:rPr>
              <w:t>选择接受客户端SSL VPN拨入请求的接口（需开启SSL VPN服务），最多可选2个接口。</w:t>
            </w:r>
          </w:p>
        </w:tc>
      </w:tr>
      <w:tr w14:paraId="27FD19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454C9AF3">
            <w:pPr>
              <w:pStyle w:val="186"/>
              <w:widowControl w:val="0"/>
              <w:spacing w:line="240" w:lineRule="auto"/>
              <w:ind w:firstLine="0"/>
              <w:jc w:val="left"/>
            </w:pPr>
            <w:r>
              <w:rPr>
                <w:rFonts w:hint="eastAsia"/>
              </w:rPr>
              <w:t>SSL</w:t>
            </w:r>
            <w:r>
              <w:t xml:space="preserve"> </w:t>
            </w:r>
            <w:r>
              <w:rPr>
                <w:rFonts w:hint="eastAsia"/>
              </w:rPr>
              <w:t>VPN端口</w:t>
            </w:r>
          </w:p>
        </w:tc>
        <w:tc>
          <w:tcPr>
            <w:tcW w:w="6949" w:type="dxa"/>
            <w:shd w:val="clear" w:color="auto" w:fill="auto"/>
          </w:tcPr>
          <w:p w14:paraId="26E1300D">
            <w:pPr>
              <w:pStyle w:val="186"/>
              <w:widowControl w:val="0"/>
              <w:spacing w:line="240" w:lineRule="auto"/>
              <w:ind w:firstLine="0"/>
              <w:jc w:val="left"/>
            </w:pPr>
            <w:r>
              <w:rPr>
                <w:rFonts w:hint="eastAsia"/>
              </w:rPr>
              <w:t>SSLVPN客户端拨入端口号，默认为UDP 1194。</w:t>
            </w:r>
          </w:p>
        </w:tc>
      </w:tr>
      <w:tr w14:paraId="04D36A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33B6AF49">
            <w:pPr>
              <w:pStyle w:val="186"/>
              <w:widowControl w:val="0"/>
              <w:spacing w:line="240" w:lineRule="auto"/>
              <w:ind w:firstLine="0"/>
              <w:jc w:val="left"/>
            </w:pPr>
            <w:r>
              <w:rPr>
                <w:rFonts w:hint="eastAsia"/>
              </w:rPr>
              <w:t>全局DNS设置</w:t>
            </w:r>
          </w:p>
        </w:tc>
        <w:tc>
          <w:tcPr>
            <w:tcW w:w="6949" w:type="dxa"/>
            <w:shd w:val="clear" w:color="auto" w:fill="auto"/>
          </w:tcPr>
          <w:p w14:paraId="026F59C4">
            <w:pPr>
              <w:pStyle w:val="186"/>
              <w:widowControl w:val="0"/>
              <w:spacing w:line="240" w:lineRule="auto"/>
              <w:ind w:firstLine="0"/>
              <w:jc w:val="left"/>
            </w:pPr>
            <w:r>
              <w:rPr>
                <w:rFonts w:hint="eastAsia"/>
              </w:rPr>
              <w:t>SSLVPN客户端拨入成功，客户端获取到的DNS地址。</w:t>
            </w:r>
          </w:p>
        </w:tc>
      </w:tr>
      <w:tr w14:paraId="2A9945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3DA1EB5C">
            <w:pPr>
              <w:pStyle w:val="186"/>
              <w:widowControl w:val="0"/>
              <w:spacing w:line="240" w:lineRule="auto"/>
              <w:ind w:firstLine="0"/>
              <w:jc w:val="left"/>
            </w:pPr>
            <w:r>
              <w:rPr>
                <w:rFonts w:hint="eastAsia"/>
              </w:rPr>
              <w:t>地址池</w:t>
            </w:r>
          </w:p>
        </w:tc>
        <w:tc>
          <w:tcPr>
            <w:tcW w:w="6949" w:type="dxa"/>
            <w:shd w:val="clear" w:color="auto" w:fill="auto"/>
          </w:tcPr>
          <w:p w14:paraId="07CEFBA9">
            <w:pPr>
              <w:pStyle w:val="186"/>
              <w:widowControl w:val="0"/>
              <w:spacing w:line="240" w:lineRule="auto"/>
              <w:ind w:firstLine="0"/>
              <w:jc w:val="left"/>
            </w:pPr>
            <w:r>
              <w:rPr>
                <w:rFonts w:hint="eastAsia"/>
              </w:rPr>
              <w:t>SSLVPN客户端拨入成功，客户端分配到的IP地址。不可与设备接口的IP地址处于同一网段。客户端连接成功后，设备端将会从地址池中选择一个IP地址分配给客户端。</w:t>
            </w:r>
          </w:p>
        </w:tc>
      </w:tr>
      <w:tr w14:paraId="62C35A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550782EA">
            <w:pPr>
              <w:pStyle w:val="186"/>
              <w:widowControl w:val="0"/>
              <w:spacing w:line="240" w:lineRule="auto"/>
              <w:ind w:firstLine="0"/>
              <w:jc w:val="left"/>
            </w:pPr>
            <w:r>
              <w:rPr>
                <w:rFonts w:hint="eastAsia"/>
              </w:rPr>
              <w:t>子网路由</w:t>
            </w:r>
          </w:p>
        </w:tc>
        <w:tc>
          <w:tcPr>
            <w:tcW w:w="6949" w:type="dxa"/>
            <w:shd w:val="clear" w:color="auto" w:fill="auto"/>
          </w:tcPr>
          <w:p w14:paraId="1C361B55">
            <w:pPr>
              <w:pStyle w:val="186"/>
              <w:widowControl w:val="0"/>
              <w:spacing w:line="240" w:lineRule="auto"/>
              <w:ind w:firstLine="0"/>
              <w:jc w:val="left"/>
            </w:pPr>
            <w:r>
              <w:rPr>
                <w:rFonts w:hint="eastAsia"/>
              </w:rPr>
              <w:t>设置下发到客户端的子网路由。客户端将根据这个设置生成到达设备端的路由条目。</w:t>
            </w:r>
          </w:p>
        </w:tc>
      </w:tr>
      <w:tr w14:paraId="0730DB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7B842823">
            <w:pPr>
              <w:pStyle w:val="186"/>
              <w:widowControl w:val="0"/>
              <w:spacing w:line="240" w:lineRule="auto"/>
              <w:ind w:firstLine="0"/>
              <w:jc w:val="left"/>
            </w:pPr>
            <w:r>
              <w:rPr>
                <w:rFonts w:hint="eastAsia"/>
              </w:rPr>
              <w:t>允许多处登录</w:t>
            </w:r>
          </w:p>
        </w:tc>
        <w:tc>
          <w:tcPr>
            <w:tcW w:w="6949" w:type="dxa"/>
            <w:shd w:val="clear" w:color="auto" w:fill="auto"/>
          </w:tcPr>
          <w:p w14:paraId="1804B217">
            <w:pPr>
              <w:pStyle w:val="186"/>
              <w:widowControl w:val="0"/>
              <w:spacing w:line="240" w:lineRule="auto"/>
              <w:ind w:firstLine="0"/>
              <w:jc w:val="left"/>
            </w:pPr>
            <w:r>
              <w:rPr>
                <w:rFonts w:hint="eastAsia"/>
              </w:rPr>
              <w:t>勾选后，可支持同一个SSL</w:t>
            </w:r>
            <w:r>
              <w:t xml:space="preserve"> </w:t>
            </w:r>
            <w:r>
              <w:rPr>
                <w:rFonts w:hint="eastAsia"/>
              </w:rPr>
              <w:t>VPN用户在多地同时登录。</w:t>
            </w:r>
          </w:p>
        </w:tc>
      </w:tr>
      <w:tr w14:paraId="53C5B14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78511CA6">
            <w:pPr>
              <w:pStyle w:val="186"/>
              <w:widowControl w:val="0"/>
              <w:spacing w:line="240" w:lineRule="auto"/>
              <w:ind w:firstLine="0"/>
              <w:jc w:val="left"/>
            </w:pPr>
            <w:r>
              <w:rPr>
                <w:rFonts w:hint="eastAsia"/>
              </w:rPr>
              <w:t>证书登录</w:t>
            </w:r>
          </w:p>
        </w:tc>
        <w:tc>
          <w:tcPr>
            <w:tcW w:w="6949" w:type="dxa"/>
            <w:shd w:val="clear" w:color="auto" w:fill="auto"/>
          </w:tcPr>
          <w:p w14:paraId="5AC507B6">
            <w:pPr>
              <w:pStyle w:val="186"/>
              <w:widowControl w:val="0"/>
              <w:spacing w:line="240" w:lineRule="auto"/>
              <w:ind w:firstLine="0"/>
              <w:jc w:val="left"/>
            </w:pPr>
            <w:r>
              <w:rPr>
                <w:rFonts w:hint="eastAsia"/>
              </w:rPr>
              <w:t>勾选后启用证书认证，需要添加证书。客户端需要重新导入配置文件（在门户页面下载）。</w:t>
            </w:r>
          </w:p>
        </w:tc>
      </w:tr>
      <w:tr w14:paraId="5F924B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622DBFD0">
            <w:pPr>
              <w:pStyle w:val="186"/>
              <w:widowControl w:val="0"/>
              <w:spacing w:line="240" w:lineRule="auto"/>
              <w:ind w:firstLine="0"/>
              <w:jc w:val="left"/>
            </w:pPr>
            <w:r>
              <w:rPr>
                <w:rFonts w:hint="eastAsia"/>
              </w:rPr>
              <w:t>心跳报文间隔</w:t>
            </w:r>
          </w:p>
        </w:tc>
        <w:tc>
          <w:tcPr>
            <w:tcW w:w="6949" w:type="dxa"/>
            <w:shd w:val="clear" w:color="auto" w:fill="auto"/>
          </w:tcPr>
          <w:p w14:paraId="1024670E">
            <w:pPr>
              <w:pStyle w:val="186"/>
              <w:widowControl w:val="0"/>
              <w:spacing w:line="240" w:lineRule="auto"/>
              <w:ind w:firstLine="0"/>
              <w:jc w:val="left"/>
            </w:pPr>
            <w:r>
              <w:rPr>
                <w:rFonts w:hint="eastAsia"/>
              </w:rPr>
              <w:t>客户端和设备发送心跳报文间隔。</w:t>
            </w:r>
          </w:p>
        </w:tc>
      </w:tr>
      <w:tr w14:paraId="651FD7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0A641EB7">
            <w:pPr>
              <w:pStyle w:val="186"/>
              <w:widowControl w:val="0"/>
              <w:spacing w:line="240" w:lineRule="auto"/>
              <w:ind w:firstLine="0"/>
              <w:jc w:val="left"/>
            </w:pPr>
            <w:r>
              <w:rPr>
                <w:rFonts w:hint="eastAsia"/>
              </w:rPr>
              <w:t>心跳未反馈重连</w:t>
            </w:r>
          </w:p>
        </w:tc>
        <w:tc>
          <w:tcPr>
            <w:tcW w:w="6949" w:type="dxa"/>
            <w:shd w:val="clear" w:color="auto" w:fill="auto"/>
          </w:tcPr>
          <w:p w14:paraId="3DFB19F6">
            <w:pPr>
              <w:pStyle w:val="186"/>
              <w:widowControl w:val="0"/>
              <w:spacing w:line="240" w:lineRule="auto"/>
              <w:ind w:firstLine="0"/>
              <w:jc w:val="left"/>
            </w:pPr>
            <w:r>
              <w:rPr>
                <w:rFonts w:hint="eastAsia"/>
              </w:rPr>
              <w:t>超过设置心跳未反馈次数后客户端重连。</w:t>
            </w:r>
          </w:p>
        </w:tc>
      </w:tr>
    </w:tbl>
    <w:p w14:paraId="118D8C0C"/>
    <w:p w14:paraId="7E426785">
      <w:r>
        <w:rPr>
          <w:rFonts w:hint="eastAsia"/>
        </w:rPr>
        <w:t>输入完毕后，点击</w:t>
      </w:r>
      <w:r>
        <w:t>&lt;</w:t>
      </w:r>
      <w:r>
        <w:rPr>
          <w:rFonts w:hint="eastAsia"/>
        </w:rPr>
        <w:t>提交</w:t>
      </w:r>
      <w:r>
        <w:t>&gt;</w:t>
      </w:r>
      <w:r>
        <w:rPr>
          <w:rFonts w:hint="eastAsia"/>
        </w:rPr>
        <w:t>按钮，应用配置。</w:t>
      </w:r>
    </w:p>
    <w:p w14:paraId="548A5E3D">
      <w:pPr>
        <w:pStyle w:val="5"/>
      </w:pPr>
      <w:bookmarkStart w:id="2950" w:name="_Toc26877656"/>
      <w:bookmarkStart w:id="2951" w:name="_Toc141873438"/>
      <w:bookmarkStart w:id="2952" w:name="_Toc61022929"/>
      <w:bookmarkStart w:id="2953" w:name="_Toc194080815"/>
      <w:bookmarkStart w:id="2954" w:name="_Toc172218188"/>
      <w:bookmarkStart w:id="2955" w:name="_Toc142400954"/>
      <w:bookmarkStart w:id="2956" w:name="_Toc196728147"/>
      <w:bookmarkStart w:id="2957" w:name="_Toc46147291"/>
      <w:bookmarkStart w:id="2958" w:name="_Ref162272983"/>
      <w:bookmarkStart w:id="2959" w:name="_Toc60069460"/>
      <w:bookmarkStart w:id="2960" w:name="_Toc99561518"/>
      <w:r>
        <w:rPr>
          <w:rFonts w:hint="eastAsia"/>
        </w:rPr>
        <w:t>配置SSL</w:t>
      </w:r>
      <w:r>
        <w:t xml:space="preserve"> </w:t>
      </w:r>
      <w:r>
        <w:rPr>
          <w:rFonts w:hint="eastAsia"/>
        </w:rPr>
        <w:t>VPN</w:t>
      </w:r>
      <w:r>
        <w:t xml:space="preserve"> </w:t>
      </w:r>
      <w:r>
        <w:rPr>
          <w:rFonts w:hint="eastAsia"/>
        </w:rPr>
        <w:t>IP用户绑定</w:t>
      </w:r>
      <w:bookmarkEnd w:id="2950"/>
      <w:bookmarkEnd w:id="2951"/>
      <w:bookmarkEnd w:id="2952"/>
      <w:bookmarkEnd w:id="2953"/>
      <w:bookmarkEnd w:id="2954"/>
      <w:bookmarkEnd w:id="2955"/>
      <w:bookmarkEnd w:id="2956"/>
      <w:bookmarkEnd w:id="2957"/>
      <w:bookmarkEnd w:id="2958"/>
      <w:bookmarkEnd w:id="2959"/>
      <w:bookmarkEnd w:id="2960"/>
    </w:p>
    <w:p w14:paraId="5B4E2CFD">
      <w:r>
        <w:rPr>
          <w:rFonts w:hint="eastAsia"/>
        </w:rPr>
        <w:t>在导航栏中选择“网络配置 &gt; VPN</w:t>
      </w:r>
      <w:r>
        <w:t xml:space="preserve"> &gt; </w:t>
      </w:r>
      <w:r>
        <w:rPr>
          <w:rFonts w:hint="eastAsia"/>
        </w:rPr>
        <w:t>SSL</w:t>
      </w:r>
      <w:r>
        <w:t xml:space="preserve"> VPN &gt; </w:t>
      </w:r>
      <w:r>
        <w:rPr>
          <w:rFonts w:hint="eastAsia"/>
        </w:rPr>
        <w:t>全局配置”，选择IP</w:t>
      </w:r>
      <w:r>
        <w:t xml:space="preserve"> </w:t>
      </w:r>
      <w:r>
        <w:rPr>
          <w:rFonts w:hint="eastAsia"/>
        </w:rPr>
        <w:t>用户绑定页签，单击</w:t>
      </w:r>
      <w:r>
        <w:t>&lt;</w:t>
      </w:r>
      <w:r>
        <w:rPr>
          <w:rFonts w:hint="eastAsia"/>
        </w:rPr>
        <w:t>新建</w:t>
      </w:r>
      <w:r>
        <w:t>&gt;</w:t>
      </w:r>
      <w:r>
        <w:rPr>
          <w:rFonts w:hint="eastAsia"/>
        </w:rPr>
        <w:t>按钮，进入IP</w:t>
      </w:r>
      <w:r>
        <w:t xml:space="preserve"> </w:t>
      </w:r>
      <w:r>
        <w:rPr>
          <w:rFonts w:hint="eastAsia"/>
        </w:rPr>
        <w:t>用户绑定策略的配置页面，如</w:t>
      </w:r>
      <w:r>
        <w:fldChar w:fldCharType="begin"/>
      </w:r>
      <w:r>
        <w:instrText xml:space="preserve"> </w:instrText>
      </w:r>
      <w:r>
        <w:rPr>
          <w:rFonts w:hint="eastAsia"/>
        </w:rPr>
        <w:instrText xml:space="preserve">REF _Ref29988870 \r \h</w:instrText>
      </w:r>
      <w:r>
        <w:instrText xml:space="preserve">  \* MERGEFORMAT </w:instrText>
      </w:r>
      <w:r>
        <w:fldChar w:fldCharType="separate"/>
      </w:r>
      <w:r>
        <w:rPr>
          <w:rFonts w:hint="eastAsia"/>
        </w:rPr>
        <w:t>图10-2</w:t>
      </w:r>
      <w:r>
        <w:fldChar w:fldCharType="end"/>
      </w:r>
      <w:r>
        <w:rPr>
          <w:rFonts w:hint="eastAsia"/>
        </w:rPr>
        <w:t>所示。</w:t>
      </w:r>
    </w:p>
    <w:p w14:paraId="6120D627">
      <w:pPr>
        <w:pStyle w:val="188"/>
      </w:pPr>
      <w:bookmarkStart w:id="2961" w:name="_Ref29988870"/>
      <w:bookmarkStart w:id="2962" w:name="_Toc141874648"/>
      <w:r>
        <w:rPr>
          <w:rFonts w:hint="eastAsia"/>
        </w:rPr>
        <w:t>IP</w:t>
      </w:r>
      <w:r>
        <w:t xml:space="preserve"> </w:t>
      </w:r>
      <w:r>
        <w:rPr>
          <w:rFonts w:hint="eastAsia"/>
        </w:rPr>
        <w:t>用户绑定配置页面</w:t>
      </w:r>
      <w:bookmarkEnd w:id="2961"/>
      <w:bookmarkEnd w:id="2962"/>
    </w:p>
    <w:p w14:paraId="43C473C1">
      <w:r>
        <w:drawing>
          <wp:inline distT="0" distB="0" distL="114300" distR="114300">
            <wp:extent cx="5400040" cy="1763395"/>
            <wp:effectExtent l="0" t="0" r="0" b="8255"/>
            <wp:docPr id="1110"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图片 188"/>
                    <pic:cNvPicPr>
                      <a:picLocks noChangeAspect="1"/>
                    </pic:cNvPicPr>
                  </pic:nvPicPr>
                  <pic:blipFill>
                    <a:blip r:embed="rId410"/>
                    <a:srcRect r="5928"/>
                    <a:stretch>
                      <a:fillRect/>
                    </a:stretch>
                  </pic:blipFill>
                  <pic:spPr>
                    <a:xfrm>
                      <a:off x="0" y="0"/>
                      <a:ext cx="5400040" cy="1763655"/>
                    </a:xfrm>
                    <a:prstGeom prst="rect">
                      <a:avLst/>
                    </a:prstGeom>
                    <a:noFill/>
                    <a:ln>
                      <a:noFill/>
                    </a:ln>
                  </pic:spPr>
                </pic:pic>
              </a:graphicData>
            </a:graphic>
          </wp:inline>
        </w:drawing>
      </w:r>
    </w:p>
    <w:p w14:paraId="629987EE"/>
    <w:p w14:paraId="3700A6FA">
      <w:r>
        <w:rPr>
          <w:rFonts w:hint="eastAsia"/>
        </w:rPr>
        <w:t>页面的详细说明如</w:t>
      </w:r>
      <w:r>
        <w:t>下表所示</w:t>
      </w:r>
      <w:r>
        <w:rPr>
          <w:rFonts w:hint="eastAsia"/>
        </w:rPr>
        <w:t>。</w:t>
      </w:r>
    </w:p>
    <w:p w14:paraId="2F12A5C7">
      <w:pPr>
        <w:pStyle w:val="183"/>
      </w:pPr>
      <w:bookmarkStart w:id="2963" w:name="_Toc141875516"/>
      <w:r>
        <w:rPr>
          <w:rFonts w:hint="eastAsia"/>
        </w:rPr>
        <w:t>IP</w:t>
      </w:r>
      <w:r>
        <w:t xml:space="preserve"> </w:t>
      </w:r>
      <w:r>
        <w:rPr>
          <w:rFonts w:hint="eastAsia"/>
        </w:rPr>
        <w:t>用户绑定配置页面的详细说明</w:t>
      </w:r>
      <w:bookmarkEnd w:id="2963"/>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552"/>
        <w:gridCol w:w="7462"/>
      </w:tblGrid>
      <w:tr w14:paraId="381B20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52" w:type="dxa"/>
            <w:tcBorders>
              <w:tl2br w:val="nil"/>
              <w:tr2bl w:val="nil"/>
            </w:tcBorders>
            <w:shd w:val="clear" w:color="auto" w:fill="538135" w:themeFill="accent6" w:themeFillShade="BF"/>
            <w:vAlign w:val="center"/>
          </w:tcPr>
          <w:p w14:paraId="796E9EC7">
            <w:pPr>
              <w:pStyle w:val="149"/>
              <w:wordWrap/>
              <w:rPr>
                <w:b/>
                <w:bCs/>
                <w:i w:val="0"/>
                <w:iCs w:val="0"/>
              </w:rPr>
            </w:pPr>
            <w:r>
              <w:rPr>
                <w:rFonts w:hint="eastAsia"/>
                <w:b/>
                <w:bCs/>
                <w:i w:val="0"/>
                <w:iCs w:val="0"/>
              </w:rPr>
              <w:t>项目</w:t>
            </w:r>
          </w:p>
        </w:tc>
        <w:tc>
          <w:tcPr>
            <w:tcW w:w="7462" w:type="dxa"/>
            <w:tcBorders>
              <w:tl2br w:val="nil"/>
              <w:tr2bl w:val="nil"/>
            </w:tcBorders>
            <w:shd w:val="clear" w:color="auto" w:fill="538135" w:themeFill="accent6" w:themeFillShade="BF"/>
            <w:vAlign w:val="center"/>
          </w:tcPr>
          <w:p w14:paraId="23CE302E">
            <w:pPr>
              <w:pStyle w:val="149"/>
              <w:wordWrap/>
              <w:rPr>
                <w:b/>
                <w:bCs/>
                <w:i w:val="0"/>
                <w:iCs w:val="0"/>
              </w:rPr>
            </w:pPr>
            <w:r>
              <w:rPr>
                <w:rFonts w:hint="eastAsia"/>
                <w:b/>
                <w:bCs/>
                <w:i w:val="0"/>
                <w:iCs w:val="0"/>
              </w:rPr>
              <w:t>说明</w:t>
            </w:r>
          </w:p>
        </w:tc>
      </w:tr>
      <w:tr w14:paraId="2C0E25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52" w:type="dxa"/>
            <w:shd w:val="clear" w:color="auto" w:fill="auto"/>
          </w:tcPr>
          <w:p w14:paraId="03ADC1BB">
            <w:pPr>
              <w:pStyle w:val="186"/>
              <w:widowControl w:val="0"/>
              <w:spacing w:line="240" w:lineRule="auto"/>
              <w:ind w:firstLine="0"/>
              <w:jc w:val="left"/>
            </w:pPr>
            <w:r>
              <w:rPr>
                <w:rFonts w:hint="eastAsia"/>
              </w:rPr>
              <w:t>启用</w:t>
            </w:r>
          </w:p>
        </w:tc>
        <w:tc>
          <w:tcPr>
            <w:tcW w:w="7462" w:type="dxa"/>
            <w:shd w:val="clear" w:color="auto" w:fill="auto"/>
          </w:tcPr>
          <w:p w14:paraId="3BEDC793">
            <w:pPr>
              <w:pStyle w:val="186"/>
              <w:widowControl w:val="0"/>
              <w:spacing w:line="240" w:lineRule="auto"/>
              <w:ind w:firstLine="0"/>
              <w:jc w:val="left"/>
            </w:pPr>
            <w:r>
              <w:rPr>
                <w:rFonts w:hint="eastAsia"/>
              </w:rPr>
              <w:t>IP用户绑定功能启用/禁用开关。</w:t>
            </w:r>
          </w:p>
        </w:tc>
      </w:tr>
      <w:tr w14:paraId="77FE06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52" w:type="dxa"/>
            <w:shd w:val="clear" w:color="auto" w:fill="auto"/>
          </w:tcPr>
          <w:p w14:paraId="35BE83F7">
            <w:pPr>
              <w:pStyle w:val="186"/>
              <w:widowControl w:val="0"/>
              <w:spacing w:line="240" w:lineRule="auto"/>
              <w:ind w:firstLine="0"/>
              <w:jc w:val="left"/>
            </w:pPr>
            <w:r>
              <w:rPr>
                <w:rFonts w:hint="eastAsia"/>
              </w:rPr>
              <w:t>用户</w:t>
            </w:r>
          </w:p>
        </w:tc>
        <w:tc>
          <w:tcPr>
            <w:tcW w:w="7462" w:type="dxa"/>
            <w:shd w:val="clear" w:color="auto" w:fill="auto"/>
          </w:tcPr>
          <w:p w14:paraId="68D96B80">
            <w:pPr>
              <w:pStyle w:val="186"/>
              <w:widowControl w:val="0"/>
              <w:spacing w:line="240" w:lineRule="auto"/>
              <w:ind w:firstLine="0"/>
              <w:jc w:val="left"/>
            </w:pPr>
            <w:r>
              <w:rPr>
                <w:rFonts w:hint="eastAsia"/>
              </w:rPr>
              <w:t>绑定的用户，单击输入框或后面的&lt;选择用户</w:t>
            </w:r>
            <w:r>
              <w:t>&gt;</w:t>
            </w:r>
            <w:r>
              <w:rPr>
                <w:rFonts w:hint="eastAsia"/>
              </w:rPr>
              <w:t>，在弹出的对话框中选择用户，设置IP（同时配置IPv4和IPv6地址时，使用逗号隔开，必须是地址池中IP）。</w:t>
            </w:r>
          </w:p>
        </w:tc>
      </w:tr>
      <w:tr w14:paraId="20FD6C3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52" w:type="dxa"/>
            <w:shd w:val="clear" w:color="auto" w:fill="auto"/>
          </w:tcPr>
          <w:p w14:paraId="6746D0BC">
            <w:pPr>
              <w:pStyle w:val="186"/>
              <w:widowControl w:val="0"/>
              <w:spacing w:line="240" w:lineRule="auto"/>
              <w:ind w:firstLine="0"/>
              <w:jc w:val="left"/>
            </w:pPr>
            <w:r>
              <w:rPr>
                <w:rFonts w:hint="eastAsia"/>
              </w:rPr>
              <w:t>IP</w:t>
            </w:r>
          </w:p>
        </w:tc>
        <w:tc>
          <w:tcPr>
            <w:tcW w:w="7462" w:type="dxa"/>
            <w:shd w:val="clear" w:color="auto" w:fill="auto"/>
          </w:tcPr>
          <w:p w14:paraId="22C2A9EB">
            <w:pPr>
              <w:pStyle w:val="186"/>
              <w:widowControl w:val="0"/>
              <w:spacing w:line="240" w:lineRule="auto"/>
              <w:ind w:firstLine="0"/>
              <w:jc w:val="left"/>
            </w:pPr>
            <w:r>
              <w:rPr>
                <w:rFonts w:hint="eastAsia"/>
              </w:rPr>
              <w:t>绑定的IP地址。</w:t>
            </w:r>
          </w:p>
        </w:tc>
      </w:tr>
    </w:tbl>
    <w:p w14:paraId="352E787E"/>
    <w:p w14:paraId="52D137D0">
      <w:r>
        <w:rPr>
          <w:rFonts w:hint="eastAsia"/>
        </w:rPr>
        <w:t>输入完毕后，点击</w:t>
      </w:r>
      <w:r>
        <w:t>&lt;</w:t>
      </w:r>
      <w:r>
        <w:rPr>
          <w:rFonts w:hint="eastAsia"/>
        </w:rPr>
        <w:t>提交</w:t>
      </w:r>
      <w:r>
        <w:t>&gt;</w:t>
      </w:r>
      <w:r>
        <w:rPr>
          <w:rFonts w:hint="eastAsia"/>
        </w:rPr>
        <w:t>按钮，应用配置。</w:t>
      </w:r>
    </w:p>
    <w:p w14:paraId="3F570FB0"/>
    <w:p w14:paraId="0A01A6B6">
      <w:pPr>
        <w:pStyle w:val="5"/>
      </w:pPr>
      <w:bookmarkStart w:id="2964" w:name="_Ref4416426"/>
      <w:bookmarkStart w:id="2965" w:name="_Toc12452305"/>
      <w:bookmarkStart w:id="2966" w:name="_Toc15484826"/>
      <w:bookmarkStart w:id="2967" w:name="_Toc23152592"/>
      <w:bookmarkStart w:id="2968" w:name="_Toc40276025"/>
      <w:bookmarkStart w:id="2969" w:name="_Toc196728148"/>
      <w:bookmarkStart w:id="2970" w:name="_Toc99561519"/>
      <w:bookmarkStart w:id="2971" w:name="_Toc141873439"/>
      <w:bookmarkStart w:id="2972" w:name="_Toc172218189"/>
      <w:bookmarkStart w:id="2973" w:name="_Toc194080816"/>
      <w:bookmarkStart w:id="2974" w:name="_Toc142400955"/>
      <w:r>
        <w:rPr>
          <w:rFonts w:hint="eastAsia"/>
        </w:rPr>
        <w:t>配置SSL</w:t>
      </w:r>
      <w:r>
        <w:t xml:space="preserve"> </w:t>
      </w:r>
      <w:r>
        <w:rPr>
          <w:rFonts w:hint="eastAsia"/>
        </w:rPr>
        <w:t>VPN安全设置</w:t>
      </w:r>
      <w:bookmarkEnd w:id="2964"/>
      <w:bookmarkEnd w:id="2965"/>
      <w:bookmarkEnd w:id="2966"/>
      <w:bookmarkEnd w:id="2967"/>
      <w:bookmarkEnd w:id="2968"/>
      <w:bookmarkEnd w:id="2969"/>
      <w:bookmarkEnd w:id="2970"/>
      <w:bookmarkEnd w:id="2971"/>
      <w:bookmarkEnd w:id="2972"/>
      <w:bookmarkEnd w:id="2973"/>
      <w:bookmarkEnd w:id="2974"/>
      <w:r>
        <w:tab/>
      </w:r>
    </w:p>
    <w:p w14:paraId="7C654A70">
      <w:r>
        <w:rPr>
          <w:rFonts w:hint="eastAsia"/>
        </w:rPr>
        <w:t>在导航栏中选择“</w:t>
      </w:r>
      <w:r>
        <w:t xml:space="preserve">网络配置 &gt; VPN &gt; SSL VPN &gt; </w:t>
      </w:r>
      <w:r>
        <w:rPr>
          <w:rFonts w:hint="eastAsia"/>
        </w:rPr>
        <w:t>全局配置”，选择安全设置页签，进入安全设置配置页面，如</w:t>
      </w:r>
      <w:r>
        <w:t>下图</w:t>
      </w:r>
      <w:r>
        <w:rPr>
          <w:rFonts w:hint="eastAsia"/>
        </w:rPr>
        <w:t>所示。</w:t>
      </w:r>
    </w:p>
    <w:p w14:paraId="54E59EFA">
      <w:pPr>
        <w:pStyle w:val="188"/>
      </w:pPr>
      <w:bookmarkStart w:id="2975" w:name="_Toc141874649"/>
      <w:r>
        <w:rPr>
          <w:rFonts w:hint="eastAsia"/>
        </w:rPr>
        <w:t>安全设置配置页面</w:t>
      </w:r>
      <w:bookmarkEnd w:id="2975"/>
    </w:p>
    <w:p w14:paraId="0810B311">
      <w:r>
        <w:drawing>
          <wp:inline distT="0" distB="0" distL="114300" distR="114300">
            <wp:extent cx="3648075" cy="2851785"/>
            <wp:effectExtent l="0" t="0" r="0" b="5715"/>
            <wp:docPr id="1111"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图片 189"/>
                    <pic:cNvPicPr>
                      <a:picLocks noChangeAspect="1"/>
                    </pic:cNvPicPr>
                  </pic:nvPicPr>
                  <pic:blipFill>
                    <a:blip r:embed="rId411"/>
                    <a:stretch>
                      <a:fillRect/>
                    </a:stretch>
                  </pic:blipFill>
                  <pic:spPr>
                    <a:xfrm>
                      <a:off x="0" y="0"/>
                      <a:ext cx="3654864" cy="2857175"/>
                    </a:xfrm>
                    <a:prstGeom prst="rect">
                      <a:avLst/>
                    </a:prstGeom>
                    <a:noFill/>
                    <a:ln>
                      <a:noFill/>
                    </a:ln>
                  </pic:spPr>
                </pic:pic>
              </a:graphicData>
            </a:graphic>
          </wp:inline>
        </w:drawing>
      </w:r>
    </w:p>
    <w:p w14:paraId="03B24947"/>
    <w:p w14:paraId="69B1E1D0">
      <w:r>
        <w:rPr>
          <w:rFonts w:hint="eastAsia"/>
        </w:rPr>
        <w:t>页面的详细说明如</w:t>
      </w:r>
      <w:r>
        <w:fldChar w:fldCharType="begin"/>
      </w:r>
      <w:r>
        <w:instrText xml:space="preserve"> REF _Ref393214487 \r \h </w:instrText>
      </w:r>
      <w:r>
        <w:fldChar w:fldCharType="separate"/>
      </w:r>
      <w:r>
        <w:rPr>
          <w:rFonts w:hint="eastAsia"/>
        </w:rPr>
        <w:t>表9-1</w:t>
      </w:r>
      <w:r>
        <w:fldChar w:fldCharType="end"/>
      </w:r>
      <w:r>
        <w:rPr>
          <w:rFonts w:hint="eastAsia"/>
        </w:rPr>
        <w:t>。</w:t>
      </w:r>
    </w:p>
    <w:p w14:paraId="6830CB2A">
      <w:pPr>
        <w:pStyle w:val="183"/>
      </w:pPr>
      <w:bookmarkStart w:id="2976" w:name="_Toc141875517"/>
      <w:r>
        <w:rPr>
          <w:rFonts w:hint="eastAsia"/>
        </w:rPr>
        <w:t>安全设置配置页面的详细说明</w:t>
      </w:r>
      <w:bookmarkEnd w:id="2976"/>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632"/>
        <w:gridCol w:w="6382"/>
      </w:tblGrid>
      <w:tr w14:paraId="07C7275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632" w:type="dxa"/>
            <w:tcBorders>
              <w:tl2br w:val="nil"/>
              <w:tr2bl w:val="nil"/>
            </w:tcBorders>
            <w:shd w:val="clear" w:color="auto" w:fill="538135" w:themeFill="accent6" w:themeFillShade="BF"/>
            <w:vAlign w:val="center"/>
          </w:tcPr>
          <w:p w14:paraId="32EF0BF6">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382" w:type="dxa"/>
            <w:tcBorders>
              <w:tl2br w:val="nil"/>
              <w:tr2bl w:val="nil"/>
            </w:tcBorders>
            <w:shd w:val="clear" w:color="auto" w:fill="538135" w:themeFill="accent6" w:themeFillShade="BF"/>
            <w:vAlign w:val="center"/>
          </w:tcPr>
          <w:p w14:paraId="17AA9FF5">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A88867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632" w:type="dxa"/>
            <w:shd w:val="clear" w:color="auto" w:fill="auto"/>
          </w:tcPr>
          <w:p w14:paraId="7E3CE3F5">
            <w:pPr>
              <w:pStyle w:val="186"/>
              <w:widowControl w:val="0"/>
              <w:spacing w:line="240" w:lineRule="auto"/>
              <w:ind w:firstLine="0"/>
              <w:jc w:val="left"/>
            </w:pPr>
            <w:r>
              <w:rPr>
                <w:rFonts w:hint="eastAsia"/>
              </w:rPr>
              <w:t>防暴力破解功能</w:t>
            </w:r>
          </w:p>
        </w:tc>
        <w:tc>
          <w:tcPr>
            <w:tcW w:w="6382" w:type="dxa"/>
            <w:shd w:val="clear" w:color="auto" w:fill="auto"/>
          </w:tcPr>
          <w:p w14:paraId="0102266B">
            <w:pPr>
              <w:pStyle w:val="186"/>
              <w:widowControl w:val="0"/>
              <w:spacing w:line="240" w:lineRule="auto"/>
              <w:ind w:firstLine="0"/>
              <w:jc w:val="left"/>
            </w:pPr>
            <w:r>
              <w:rPr>
                <w:rFonts w:hint="eastAsia"/>
              </w:rPr>
              <w:t>防暴力破解功能启用/禁用开关。</w:t>
            </w:r>
          </w:p>
        </w:tc>
      </w:tr>
      <w:tr w14:paraId="007FF9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632" w:type="dxa"/>
            <w:shd w:val="clear" w:color="auto" w:fill="auto"/>
          </w:tcPr>
          <w:p w14:paraId="729AD0BA">
            <w:pPr>
              <w:pStyle w:val="186"/>
              <w:widowControl w:val="0"/>
              <w:spacing w:line="240" w:lineRule="auto"/>
              <w:ind w:firstLine="0"/>
              <w:jc w:val="left"/>
            </w:pPr>
            <w:r>
              <w:rPr>
                <w:rFonts w:hint="eastAsia"/>
              </w:rPr>
              <w:t>同名用户登录</w:t>
            </w:r>
          </w:p>
        </w:tc>
        <w:tc>
          <w:tcPr>
            <w:tcW w:w="6382" w:type="dxa"/>
            <w:shd w:val="clear" w:color="auto" w:fill="auto"/>
          </w:tcPr>
          <w:p w14:paraId="38466AE7">
            <w:pPr>
              <w:pStyle w:val="186"/>
              <w:widowControl w:val="0"/>
              <w:spacing w:line="240" w:lineRule="auto"/>
              <w:ind w:firstLine="0"/>
              <w:jc w:val="left"/>
            </w:pPr>
            <w:r>
              <w:rPr>
                <w:rFonts w:hint="eastAsia"/>
              </w:rPr>
              <w:t>同名用户登录启用/禁用开关。</w:t>
            </w:r>
          </w:p>
        </w:tc>
      </w:tr>
      <w:tr w14:paraId="2C5036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632" w:type="dxa"/>
            <w:shd w:val="clear" w:color="auto" w:fill="auto"/>
          </w:tcPr>
          <w:p w14:paraId="48865A2F">
            <w:pPr>
              <w:pStyle w:val="186"/>
              <w:widowControl w:val="0"/>
              <w:spacing w:line="240" w:lineRule="auto"/>
              <w:ind w:firstLine="0"/>
              <w:jc w:val="left"/>
            </w:pPr>
            <w:r>
              <w:rPr>
                <w:rFonts w:hint="eastAsia"/>
              </w:rPr>
              <w:t>同名用户登录连续出错</w:t>
            </w:r>
          </w:p>
        </w:tc>
        <w:tc>
          <w:tcPr>
            <w:tcW w:w="6382" w:type="dxa"/>
            <w:shd w:val="clear" w:color="auto" w:fill="auto"/>
          </w:tcPr>
          <w:p w14:paraId="653E9111">
            <w:pPr>
              <w:pStyle w:val="186"/>
              <w:widowControl w:val="0"/>
              <w:spacing w:line="240" w:lineRule="auto"/>
              <w:ind w:firstLine="0"/>
              <w:jc w:val="left"/>
            </w:pPr>
            <w:r>
              <w:rPr>
                <w:rFonts w:hint="eastAsia"/>
              </w:rPr>
              <w:t>同名用户登录连续出错次数设置。</w:t>
            </w:r>
          </w:p>
        </w:tc>
      </w:tr>
      <w:tr w14:paraId="2CFFF9F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632" w:type="dxa"/>
            <w:shd w:val="clear" w:color="auto" w:fill="auto"/>
          </w:tcPr>
          <w:p w14:paraId="1C3D5558">
            <w:pPr>
              <w:pStyle w:val="186"/>
              <w:widowControl w:val="0"/>
              <w:spacing w:line="240" w:lineRule="auto"/>
              <w:ind w:firstLine="0"/>
              <w:jc w:val="left"/>
            </w:pPr>
            <w:r>
              <w:rPr>
                <w:rFonts w:hint="eastAsia"/>
              </w:rPr>
              <w:t>同名用户登录锁定时间</w:t>
            </w:r>
          </w:p>
        </w:tc>
        <w:tc>
          <w:tcPr>
            <w:tcW w:w="6382" w:type="dxa"/>
            <w:shd w:val="clear" w:color="auto" w:fill="auto"/>
          </w:tcPr>
          <w:p w14:paraId="77FFD79F">
            <w:pPr>
              <w:pStyle w:val="186"/>
              <w:widowControl w:val="0"/>
              <w:spacing w:line="240" w:lineRule="auto"/>
              <w:ind w:firstLine="0"/>
              <w:jc w:val="left"/>
            </w:pPr>
            <w:r>
              <w:rPr>
                <w:rFonts w:hint="eastAsia"/>
              </w:rPr>
              <w:t>同名用户登录连续出错次数达到阈值后锁定时间设置。</w:t>
            </w:r>
          </w:p>
        </w:tc>
      </w:tr>
      <w:tr w14:paraId="74D1C0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632" w:type="dxa"/>
            <w:shd w:val="clear" w:color="auto" w:fill="auto"/>
          </w:tcPr>
          <w:p w14:paraId="7325D88A">
            <w:pPr>
              <w:pStyle w:val="186"/>
              <w:widowControl w:val="0"/>
              <w:spacing w:line="240" w:lineRule="auto"/>
              <w:ind w:firstLine="0"/>
              <w:jc w:val="left"/>
            </w:pPr>
            <w:r>
              <w:rPr>
                <w:rFonts w:hint="eastAsia"/>
              </w:rPr>
              <w:t>同IP用户登录</w:t>
            </w:r>
          </w:p>
        </w:tc>
        <w:tc>
          <w:tcPr>
            <w:tcW w:w="6382" w:type="dxa"/>
            <w:shd w:val="clear" w:color="auto" w:fill="auto"/>
          </w:tcPr>
          <w:p w14:paraId="0DF1157B">
            <w:pPr>
              <w:pStyle w:val="186"/>
              <w:widowControl w:val="0"/>
              <w:spacing w:line="240" w:lineRule="auto"/>
              <w:ind w:firstLine="0"/>
              <w:jc w:val="left"/>
            </w:pPr>
            <w:r>
              <w:rPr>
                <w:rFonts w:hint="eastAsia"/>
              </w:rPr>
              <w:t>同IP用户登录启用/禁用开关。</w:t>
            </w:r>
          </w:p>
        </w:tc>
      </w:tr>
      <w:tr w14:paraId="41A24B0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632" w:type="dxa"/>
            <w:shd w:val="clear" w:color="auto" w:fill="auto"/>
          </w:tcPr>
          <w:p w14:paraId="2DC5D2BE">
            <w:pPr>
              <w:pStyle w:val="186"/>
              <w:widowControl w:val="0"/>
              <w:spacing w:line="240" w:lineRule="auto"/>
              <w:ind w:firstLine="0"/>
              <w:jc w:val="left"/>
            </w:pPr>
            <w:r>
              <w:rPr>
                <w:rFonts w:hint="eastAsia"/>
              </w:rPr>
              <w:t>同IP用户登录连续出错</w:t>
            </w:r>
          </w:p>
        </w:tc>
        <w:tc>
          <w:tcPr>
            <w:tcW w:w="6382" w:type="dxa"/>
            <w:shd w:val="clear" w:color="auto" w:fill="auto"/>
          </w:tcPr>
          <w:p w14:paraId="19328197">
            <w:pPr>
              <w:pStyle w:val="186"/>
              <w:widowControl w:val="0"/>
              <w:spacing w:line="240" w:lineRule="auto"/>
              <w:ind w:firstLine="0"/>
              <w:jc w:val="left"/>
            </w:pPr>
            <w:r>
              <w:rPr>
                <w:rFonts w:hint="eastAsia"/>
              </w:rPr>
              <w:t>同一IP，用户登录连续出错次数设置。</w:t>
            </w:r>
          </w:p>
        </w:tc>
      </w:tr>
      <w:tr w14:paraId="65310F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632" w:type="dxa"/>
            <w:shd w:val="clear" w:color="auto" w:fill="auto"/>
          </w:tcPr>
          <w:p w14:paraId="0A254F32">
            <w:pPr>
              <w:pStyle w:val="186"/>
              <w:widowControl w:val="0"/>
              <w:spacing w:line="240" w:lineRule="auto"/>
              <w:ind w:firstLine="0"/>
              <w:jc w:val="left"/>
            </w:pPr>
            <w:r>
              <w:rPr>
                <w:rFonts w:hint="eastAsia"/>
              </w:rPr>
              <w:t>同IP用户登录锁定时间</w:t>
            </w:r>
          </w:p>
        </w:tc>
        <w:tc>
          <w:tcPr>
            <w:tcW w:w="6382" w:type="dxa"/>
            <w:shd w:val="clear" w:color="auto" w:fill="auto"/>
          </w:tcPr>
          <w:p w14:paraId="545BEA1C">
            <w:pPr>
              <w:pStyle w:val="186"/>
              <w:widowControl w:val="0"/>
              <w:spacing w:line="240" w:lineRule="auto"/>
              <w:ind w:firstLine="0"/>
              <w:jc w:val="left"/>
            </w:pPr>
            <w:r>
              <w:rPr>
                <w:rFonts w:hint="eastAsia"/>
              </w:rPr>
              <w:t>同一IP，用户登录连续出错次数达到阈值后锁定时间设置。</w:t>
            </w:r>
          </w:p>
        </w:tc>
      </w:tr>
    </w:tbl>
    <w:p w14:paraId="263857A9"/>
    <w:p w14:paraId="5A87B19B">
      <w:r>
        <w:rPr>
          <w:rFonts w:hint="eastAsia"/>
        </w:rPr>
        <w:t>输入完毕后，点击</w:t>
      </w:r>
      <w:r>
        <w:t>&lt;</w:t>
      </w:r>
      <w:r>
        <w:rPr>
          <w:rFonts w:hint="eastAsia"/>
        </w:rPr>
        <w:t>提交</w:t>
      </w:r>
      <w:r>
        <w:t>&gt;</w:t>
      </w:r>
      <w:r>
        <w:rPr>
          <w:rFonts w:hint="eastAsia"/>
        </w:rPr>
        <w:t>按钮，应用配置。</w:t>
      </w:r>
    </w:p>
    <w:p w14:paraId="22B55E87">
      <w:pPr>
        <w:pStyle w:val="5"/>
      </w:pPr>
      <w:bookmarkStart w:id="2977" w:name="_Toc196728149"/>
      <w:bookmarkStart w:id="2978" w:name="_Toc194080817"/>
      <w:bookmarkStart w:id="2979" w:name="_Toc142400956"/>
      <w:bookmarkStart w:id="2980" w:name="_Toc172218190"/>
      <w:bookmarkStart w:id="2981" w:name="_Toc141873440"/>
      <w:r>
        <w:rPr>
          <w:rFonts w:hint="eastAsia"/>
        </w:rPr>
        <w:t>配置SSL</w:t>
      </w:r>
      <w:r>
        <w:t xml:space="preserve"> </w:t>
      </w:r>
      <w:r>
        <w:rPr>
          <w:rFonts w:hint="eastAsia"/>
        </w:rPr>
        <w:t>VPN资源</w:t>
      </w:r>
      <w:bookmarkEnd w:id="2941"/>
      <w:bookmarkEnd w:id="2942"/>
      <w:bookmarkEnd w:id="2943"/>
      <w:bookmarkEnd w:id="2944"/>
      <w:bookmarkEnd w:id="2945"/>
      <w:bookmarkEnd w:id="2946"/>
      <w:bookmarkEnd w:id="2977"/>
      <w:bookmarkEnd w:id="2978"/>
      <w:bookmarkEnd w:id="2979"/>
      <w:bookmarkEnd w:id="2980"/>
      <w:bookmarkEnd w:id="2981"/>
    </w:p>
    <w:p w14:paraId="22F82501">
      <w:r>
        <w:rPr>
          <w:rFonts w:hint="eastAsia"/>
        </w:rPr>
        <w:t>在导航栏中选择“</w:t>
      </w:r>
      <w:r>
        <w:t xml:space="preserve">网络配置 &gt; VPN &gt; SSL VPN &gt; </w:t>
      </w:r>
      <w:r>
        <w:rPr>
          <w:rFonts w:hint="eastAsia"/>
        </w:rPr>
        <w:t>资源”，进入SSL</w:t>
      </w:r>
      <w:r>
        <w:t xml:space="preserve"> </w:t>
      </w:r>
      <w:r>
        <w:rPr>
          <w:rFonts w:hint="eastAsia"/>
        </w:rPr>
        <w:t>VPN资源配置的显示页面，单击</w:t>
      </w:r>
      <w:r>
        <w:t>&lt;</w:t>
      </w:r>
      <w:r>
        <w:rPr>
          <w:rFonts w:hint="eastAsia"/>
        </w:rPr>
        <w:t>新建</w:t>
      </w:r>
      <w:r>
        <w:t>&gt;</w:t>
      </w:r>
      <w:r>
        <w:rPr>
          <w:rFonts w:hint="eastAsia"/>
        </w:rPr>
        <w:t>按钮，或者点击对应资源的右侧</w:t>
      </w:r>
      <w:r>
        <w:t>&lt;</w:t>
      </w:r>
      <w:r>
        <w:rPr>
          <w:rFonts w:hint="eastAsia"/>
        </w:rPr>
        <w:t>编辑</w:t>
      </w:r>
      <w:r>
        <w:t>&gt;</w:t>
      </w:r>
      <w:r>
        <w:rPr>
          <w:rFonts w:hint="eastAsia"/>
        </w:rPr>
        <w:t>按钮，进入资源的配置页面，如</w:t>
      </w:r>
      <w:r>
        <w:rPr>
          <w:color w:val="0000FF"/>
          <w:u w:val="single"/>
        </w:rPr>
        <w:fldChar w:fldCharType="begin"/>
      </w:r>
      <w:r>
        <w:rPr>
          <w:color w:val="0000FF"/>
          <w:u w:val="single"/>
        </w:rPr>
        <w:instrText xml:space="preserve"> REF _Ref4416479 \r \h </w:instrText>
      </w:r>
      <w:r>
        <w:rPr>
          <w:color w:val="0000FF"/>
          <w:u w:val="single"/>
        </w:rPr>
        <w:fldChar w:fldCharType="separate"/>
      </w:r>
      <w:r>
        <w:rPr>
          <w:rFonts w:hint="eastAsia"/>
          <w:color w:val="0000FF"/>
          <w:u w:val="single"/>
        </w:rPr>
        <w:t>图10-4</w:t>
      </w:r>
      <w:r>
        <w:rPr>
          <w:color w:val="0000FF"/>
          <w:u w:val="single"/>
        </w:rPr>
        <w:fldChar w:fldCharType="end"/>
      </w:r>
      <w:r>
        <w:rPr>
          <w:rFonts w:hint="eastAsia"/>
        </w:rPr>
        <w:t>所示。</w:t>
      </w:r>
    </w:p>
    <w:p w14:paraId="24B0678A">
      <w:pPr>
        <w:pStyle w:val="188"/>
      </w:pPr>
      <w:bookmarkStart w:id="2982" w:name="_Toc141874650"/>
      <w:bookmarkStart w:id="2983" w:name="_Ref4416479"/>
      <w:r>
        <w:rPr>
          <w:rFonts w:hint="eastAsia"/>
        </w:rPr>
        <w:t>资源新建页面</w:t>
      </w:r>
      <w:bookmarkEnd w:id="2982"/>
      <w:bookmarkEnd w:id="2983"/>
    </w:p>
    <w:p w14:paraId="1E80DA3F">
      <w:r>
        <w:drawing>
          <wp:inline distT="0" distB="0" distL="0" distR="0">
            <wp:extent cx="5400040" cy="3870325"/>
            <wp:effectExtent l="0" t="0" r="0" b="0"/>
            <wp:docPr id="4941" name="图片 4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1" name="图片 4941"/>
                    <pic:cNvPicPr>
                      <a:picLocks noChangeAspect="1"/>
                    </pic:cNvPicPr>
                  </pic:nvPicPr>
                  <pic:blipFill>
                    <a:blip r:embed="rId412"/>
                    <a:stretch>
                      <a:fillRect/>
                    </a:stretch>
                  </pic:blipFill>
                  <pic:spPr>
                    <a:xfrm>
                      <a:off x="0" y="0"/>
                      <a:ext cx="5400040" cy="3870458"/>
                    </a:xfrm>
                    <a:prstGeom prst="rect">
                      <a:avLst/>
                    </a:prstGeom>
                  </pic:spPr>
                </pic:pic>
              </a:graphicData>
            </a:graphic>
          </wp:inline>
        </w:drawing>
      </w:r>
    </w:p>
    <w:p w14:paraId="504176CE"/>
    <w:p w14:paraId="7A77A775">
      <w:r>
        <w:rPr>
          <w:rFonts w:hint="eastAsia"/>
        </w:rPr>
        <w:t>页面的详细说明如</w:t>
      </w:r>
      <w:r>
        <w:fldChar w:fldCharType="begin"/>
      </w:r>
      <w:r>
        <w:instrText xml:space="preserve"> REF _Ref4416502 \r \h </w:instrText>
      </w:r>
      <w:r>
        <w:fldChar w:fldCharType="separate"/>
      </w:r>
      <w:r>
        <w:rPr>
          <w:rFonts w:hint="eastAsia"/>
        </w:rPr>
        <w:t>表10-1</w:t>
      </w:r>
      <w:r>
        <w:fldChar w:fldCharType="end"/>
      </w:r>
      <w:r>
        <w:rPr>
          <w:rFonts w:hint="eastAsia"/>
        </w:rPr>
        <w:t>所示。</w:t>
      </w:r>
    </w:p>
    <w:p w14:paraId="5B601F8D">
      <w:pPr>
        <w:pStyle w:val="183"/>
      </w:pPr>
      <w:bookmarkStart w:id="2984" w:name="_Ref4416502"/>
      <w:bookmarkStart w:id="2985" w:name="_Toc141875518"/>
      <w:r>
        <w:rPr>
          <w:rFonts w:hint="eastAsia"/>
        </w:rPr>
        <w:t>资源配置的详细说明</w:t>
      </w:r>
      <w:bookmarkEnd w:id="2984"/>
      <w:bookmarkEnd w:id="2985"/>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498"/>
        <w:gridCol w:w="7516"/>
      </w:tblGrid>
      <w:tr w14:paraId="46FF33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tcBorders>
              <w:tl2br w:val="nil"/>
              <w:tr2bl w:val="nil"/>
            </w:tcBorders>
            <w:shd w:val="clear" w:color="auto" w:fill="538135" w:themeFill="accent6" w:themeFillShade="BF"/>
            <w:vAlign w:val="center"/>
          </w:tcPr>
          <w:p w14:paraId="11A73B5E">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7516" w:type="dxa"/>
            <w:tcBorders>
              <w:tl2br w:val="nil"/>
              <w:tr2bl w:val="nil"/>
            </w:tcBorders>
            <w:shd w:val="clear" w:color="auto" w:fill="538135" w:themeFill="accent6" w:themeFillShade="BF"/>
            <w:vAlign w:val="center"/>
          </w:tcPr>
          <w:p w14:paraId="579D4224">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742C13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4762AA9D">
            <w:pPr>
              <w:pStyle w:val="186"/>
              <w:widowControl w:val="0"/>
              <w:spacing w:line="240" w:lineRule="auto"/>
              <w:ind w:firstLine="0"/>
              <w:jc w:val="left"/>
            </w:pPr>
            <w:r>
              <w:t>名称</w:t>
            </w:r>
          </w:p>
        </w:tc>
        <w:tc>
          <w:tcPr>
            <w:tcW w:w="7516" w:type="dxa"/>
            <w:shd w:val="clear" w:color="auto" w:fill="auto"/>
          </w:tcPr>
          <w:p w14:paraId="2F38207A">
            <w:pPr>
              <w:pStyle w:val="186"/>
              <w:widowControl w:val="0"/>
              <w:spacing w:line="240" w:lineRule="auto"/>
              <w:ind w:firstLine="0"/>
              <w:jc w:val="left"/>
            </w:pPr>
            <w:r>
              <w:rPr>
                <w:rFonts w:hint="eastAsia"/>
              </w:rPr>
              <w:t>资源策略名称。</w:t>
            </w:r>
          </w:p>
        </w:tc>
      </w:tr>
      <w:tr w14:paraId="3B15FB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76FA123F">
            <w:pPr>
              <w:pStyle w:val="186"/>
              <w:widowControl w:val="0"/>
              <w:spacing w:line="240" w:lineRule="auto"/>
              <w:ind w:firstLine="0"/>
              <w:jc w:val="left"/>
            </w:pPr>
            <w:r>
              <w:rPr>
                <w:rFonts w:hint="eastAsia"/>
              </w:rPr>
              <w:t>描述</w:t>
            </w:r>
          </w:p>
        </w:tc>
        <w:tc>
          <w:tcPr>
            <w:tcW w:w="7516" w:type="dxa"/>
            <w:shd w:val="clear" w:color="auto" w:fill="auto"/>
          </w:tcPr>
          <w:p w14:paraId="729AE37C">
            <w:pPr>
              <w:pStyle w:val="186"/>
              <w:widowControl w:val="0"/>
              <w:spacing w:line="240" w:lineRule="auto"/>
              <w:ind w:firstLine="0"/>
              <w:jc w:val="left"/>
            </w:pPr>
            <w:r>
              <w:rPr>
                <w:rFonts w:hint="eastAsia"/>
              </w:rPr>
              <w:t>资源策略的描述。</w:t>
            </w:r>
          </w:p>
        </w:tc>
      </w:tr>
      <w:tr w14:paraId="689EF62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55686173">
            <w:pPr>
              <w:pStyle w:val="186"/>
              <w:widowControl w:val="0"/>
              <w:spacing w:line="240" w:lineRule="auto"/>
              <w:ind w:firstLine="0"/>
              <w:jc w:val="left"/>
            </w:pPr>
            <w:r>
              <w:rPr>
                <w:rFonts w:hint="eastAsia"/>
              </w:rPr>
              <w:t>资源地址</w:t>
            </w:r>
          </w:p>
        </w:tc>
        <w:tc>
          <w:tcPr>
            <w:tcW w:w="7516" w:type="dxa"/>
            <w:shd w:val="clear" w:color="auto" w:fill="auto"/>
          </w:tcPr>
          <w:p w14:paraId="206F4B0D">
            <w:pPr>
              <w:pStyle w:val="186"/>
              <w:widowControl w:val="0"/>
              <w:spacing w:line="240" w:lineRule="auto"/>
              <w:ind w:firstLine="0"/>
              <w:jc w:val="left"/>
            </w:pPr>
            <w:r>
              <w:rPr>
                <w:rFonts w:hint="eastAsia"/>
              </w:rPr>
              <w:t>设置用户可通过SSL VPN访问的内网资源IP地址，支持IPv4和IPv6地址，最多支持32组。。</w:t>
            </w:r>
          </w:p>
        </w:tc>
      </w:tr>
      <w:tr w14:paraId="3ABF5B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355549F9">
            <w:pPr>
              <w:pStyle w:val="186"/>
              <w:widowControl w:val="0"/>
              <w:spacing w:line="240" w:lineRule="auto"/>
              <w:ind w:firstLine="0"/>
              <w:jc w:val="left"/>
            </w:pPr>
            <w:r>
              <w:rPr>
                <w:rFonts w:hint="eastAsia"/>
              </w:rPr>
              <w:t>资源类型</w:t>
            </w:r>
          </w:p>
        </w:tc>
        <w:tc>
          <w:tcPr>
            <w:tcW w:w="7516" w:type="dxa"/>
            <w:shd w:val="clear" w:color="auto" w:fill="auto"/>
          </w:tcPr>
          <w:p w14:paraId="2403A435">
            <w:pPr>
              <w:pStyle w:val="186"/>
              <w:widowControl w:val="0"/>
              <w:spacing w:line="240" w:lineRule="auto"/>
              <w:ind w:firstLine="0"/>
              <w:jc w:val="left"/>
            </w:pPr>
            <w:r>
              <w:rPr>
                <w:rFonts w:hint="eastAsia"/>
              </w:rPr>
              <w:t>设置用户可通过SSL VPN访问的内网资源类型，可以为指定的具体服务，也可以为自定义的TCP或UDP服务。any代表可以访问所有服务。</w:t>
            </w:r>
          </w:p>
        </w:tc>
      </w:tr>
    </w:tbl>
    <w:p w14:paraId="5A2313BA"/>
    <w:p w14:paraId="0EB8AA14">
      <w:r>
        <w:rPr>
          <w:rFonts w:hint="eastAsia"/>
        </w:rPr>
        <w:t>输入完毕后，点击</w:t>
      </w:r>
      <w:r>
        <w:t>&lt;</w:t>
      </w:r>
      <w:r>
        <w:rPr>
          <w:rFonts w:hint="eastAsia"/>
        </w:rPr>
        <w:t>提交</w:t>
      </w:r>
      <w:r>
        <w:t>&gt;</w:t>
      </w:r>
      <w:r>
        <w:rPr>
          <w:rFonts w:hint="eastAsia"/>
        </w:rPr>
        <w:t>按钮，应用配置。</w:t>
      </w:r>
    </w:p>
    <w:p w14:paraId="5D617D22">
      <w:r>
        <w:rPr>
          <w:rFonts w:hint="eastAsia"/>
        </w:rPr>
        <w:t>在资源显示页面，点击对应资源的</w:t>
      </w:r>
      <w:r>
        <w:t>&lt;</w:t>
      </w:r>
      <w:r>
        <w:rPr>
          <w:rFonts w:hint="eastAsia"/>
        </w:rPr>
        <w:t>删除</w:t>
      </w:r>
      <w:r>
        <w:t>&gt;</w:t>
      </w:r>
      <w:r>
        <w:rPr>
          <w:rFonts w:hint="eastAsia"/>
        </w:rPr>
        <w:t>按钮，可以删除对应的资源，如</w:t>
      </w:r>
      <w:r>
        <w:rPr>
          <w:color w:val="0000FF"/>
          <w:u w:val="single"/>
        </w:rPr>
        <w:fldChar w:fldCharType="begin"/>
      </w:r>
      <w:r>
        <w:rPr>
          <w:color w:val="0000FF"/>
          <w:u w:val="single"/>
        </w:rPr>
        <w:instrText xml:space="preserve"> REF _Ref4416549 \r \h </w:instrText>
      </w:r>
      <w:r>
        <w:rPr>
          <w:color w:val="0000FF"/>
          <w:u w:val="single"/>
        </w:rPr>
        <w:fldChar w:fldCharType="separate"/>
      </w:r>
      <w:r>
        <w:rPr>
          <w:rFonts w:hint="eastAsia"/>
          <w:color w:val="0000FF"/>
          <w:u w:val="single"/>
        </w:rPr>
        <w:t>图10-5</w:t>
      </w:r>
      <w:r>
        <w:rPr>
          <w:color w:val="0000FF"/>
          <w:u w:val="single"/>
        </w:rPr>
        <w:fldChar w:fldCharType="end"/>
      </w:r>
      <w:r>
        <w:rPr>
          <w:rFonts w:hint="eastAsia"/>
        </w:rPr>
        <w:t>所示。</w:t>
      </w:r>
    </w:p>
    <w:p w14:paraId="000A6037">
      <w:pPr>
        <w:pStyle w:val="188"/>
      </w:pPr>
      <w:bookmarkStart w:id="2986" w:name="_Toc141874651"/>
      <w:bookmarkStart w:id="2987" w:name="_Ref4416549"/>
      <w:r>
        <w:rPr>
          <w:rFonts w:hint="eastAsia"/>
        </w:rPr>
        <w:t>资源删除</w:t>
      </w:r>
      <w:bookmarkEnd w:id="2986"/>
      <w:bookmarkEnd w:id="2987"/>
    </w:p>
    <w:p w14:paraId="2919CFCF">
      <w:r>
        <w:drawing>
          <wp:inline distT="0" distB="0" distL="0" distR="0">
            <wp:extent cx="5448300" cy="1156335"/>
            <wp:effectExtent l="0" t="0" r="0" b="5715"/>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pic:cNvPicPr>
                  </pic:nvPicPr>
                  <pic:blipFill>
                    <a:blip r:embed="rId413"/>
                    <a:stretch>
                      <a:fillRect/>
                    </a:stretch>
                  </pic:blipFill>
                  <pic:spPr>
                    <a:xfrm>
                      <a:off x="0" y="0"/>
                      <a:ext cx="5463547" cy="1159715"/>
                    </a:xfrm>
                    <a:prstGeom prst="rect">
                      <a:avLst/>
                    </a:prstGeom>
                  </pic:spPr>
                </pic:pic>
              </a:graphicData>
            </a:graphic>
          </wp:inline>
        </w:drawing>
      </w:r>
    </w:p>
    <w:p w14:paraId="5E460A05"/>
    <w:p w14:paraId="3FFB56C8">
      <w:r>
        <w:rPr>
          <w:rFonts w:hint="eastAsia"/>
        </w:rPr>
        <w:t>在资源显示页面，点击</w:t>
      </w:r>
      <w:r>
        <w:t>&lt;</w:t>
      </w:r>
      <w:r>
        <w:rPr>
          <w:rFonts w:hint="eastAsia"/>
        </w:rPr>
        <w:t>导入</w:t>
      </w:r>
      <w:r>
        <w:t>&gt;&lt;</w:t>
      </w:r>
      <w:r>
        <w:rPr>
          <w:rFonts w:hint="eastAsia"/>
        </w:rPr>
        <w:t>导出</w:t>
      </w:r>
      <w:r>
        <w:t>&gt;</w:t>
      </w:r>
      <w:r>
        <w:rPr>
          <w:rFonts w:hint="eastAsia"/>
        </w:rPr>
        <w:t>按钮，可以将所有的资源导出成</w:t>
      </w:r>
      <w:r>
        <w:t>csv</w:t>
      </w:r>
      <w:r>
        <w:rPr>
          <w:rFonts w:hint="eastAsia"/>
        </w:rPr>
        <w:t>文件。点击</w:t>
      </w:r>
      <w:r>
        <w:t>&lt;</w:t>
      </w:r>
      <w:r>
        <w:rPr>
          <w:rFonts w:hint="eastAsia"/>
        </w:rPr>
        <w:t>导入</w:t>
      </w:r>
      <w:r>
        <w:t>&gt;</w:t>
      </w:r>
      <w:r>
        <w:rPr>
          <w:rFonts w:hint="eastAsia"/>
        </w:rPr>
        <w:t>按钮可以将导出的</w:t>
      </w:r>
      <w:r>
        <w:t>csv</w:t>
      </w:r>
      <w:r>
        <w:rPr>
          <w:rFonts w:hint="eastAsia"/>
        </w:rPr>
        <w:t>文件中的资源导入到系统中，如</w:t>
      </w:r>
      <w:r>
        <w:rPr>
          <w:color w:val="0000FF"/>
          <w:u w:val="single"/>
        </w:rPr>
        <w:fldChar w:fldCharType="begin"/>
      </w:r>
      <w:r>
        <w:rPr>
          <w:color w:val="0000FF"/>
          <w:u w:val="single"/>
        </w:rPr>
        <w:instrText xml:space="preserve"> REF _Ref4416569 \r \h </w:instrText>
      </w:r>
      <w:r>
        <w:rPr>
          <w:color w:val="0000FF"/>
          <w:u w:val="single"/>
        </w:rPr>
        <w:fldChar w:fldCharType="separate"/>
      </w:r>
      <w:r>
        <w:rPr>
          <w:rFonts w:hint="eastAsia"/>
          <w:color w:val="0000FF"/>
          <w:u w:val="single"/>
        </w:rPr>
        <w:t>图10-6</w:t>
      </w:r>
      <w:r>
        <w:rPr>
          <w:color w:val="0000FF"/>
          <w:u w:val="single"/>
        </w:rPr>
        <w:fldChar w:fldCharType="end"/>
      </w:r>
      <w:r>
        <w:rPr>
          <w:rFonts w:hint="eastAsia"/>
        </w:rPr>
        <w:t>所示。</w:t>
      </w:r>
    </w:p>
    <w:p w14:paraId="283CFEE4">
      <w:pPr>
        <w:pStyle w:val="188"/>
      </w:pPr>
      <w:bookmarkStart w:id="2988" w:name="_Toc141874652"/>
      <w:bookmarkStart w:id="2989" w:name="_Ref4416569"/>
      <w:r>
        <w:rPr>
          <w:rFonts w:hint="eastAsia"/>
        </w:rPr>
        <w:t>资源导入/导出</w:t>
      </w:r>
      <w:bookmarkEnd w:id="2988"/>
      <w:bookmarkEnd w:id="2989"/>
    </w:p>
    <w:p w14:paraId="470B2833">
      <w:r>
        <w:drawing>
          <wp:inline distT="0" distB="0" distL="0" distR="0">
            <wp:extent cx="5381625" cy="1123315"/>
            <wp:effectExtent l="0" t="0" r="0" b="63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414"/>
                    <a:stretch>
                      <a:fillRect/>
                    </a:stretch>
                  </pic:blipFill>
                  <pic:spPr>
                    <a:xfrm>
                      <a:off x="0" y="0"/>
                      <a:ext cx="5392654" cy="1125939"/>
                    </a:xfrm>
                    <a:prstGeom prst="rect">
                      <a:avLst/>
                    </a:prstGeom>
                  </pic:spPr>
                </pic:pic>
              </a:graphicData>
            </a:graphic>
          </wp:inline>
        </w:drawing>
      </w:r>
    </w:p>
    <w:p w14:paraId="12120F49"/>
    <w:p w14:paraId="59E1266E">
      <w:pPr>
        <w:pStyle w:val="5"/>
      </w:pPr>
      <w:bookmarkStart w:id="2990" w:name="_Toc99561515"/>
      <w:bookmarkStart w:id="2991" w:name="_Toc141873441"/>
      <w:bookmarkStart w:id="2992" w:name="_Toc15484823"/>
      <w:bookmarkStart w:id="2993" w:name="_Toc23152589"/>
      <w:bookmarkStart w:id="2994" w:name="_Toc40276022"/>
      <w:bookmarkStart w:id="2995" w:name="_Toc172218191"/>
      <w:bookmarkStart w:id="2996" w:name="_Toc12452302"/>
      <w:bookmarkStart w:id="2997" w:name="_Toc142400957"/>
      <w:bookmarkStart w:id="2998" w:name="_Toc196728150"/>
      <w:bookmarkStart w:id="2999" w:name="_Ref4416389"/>
      <w:bookmarkStart w:id="3000" w:name="_Toc194080818"/>
      <w:r>
        <w:rPr>
          <w:rFonts w:hint="eastAsia"/>
        </w:rPr>
        <w:t>配置SSL</w:t>
      </w:r>
      <w:r>
        <w:t xml:space="preserve"> </w:t>
      </w:r>
      <w:r>
        <w:rPr>
          <w:rFonts w:hint="eastAsia"/>
        </w:rPr>
        <w:t>VPN门户网站</w:t>
      </w:r>
      <w:bookmarkEnd w:id="2990"/>
      <w:bookmarkEnd w:id="2991"/>
      <w:bookmarkEnd w:id="2992"/>
      <w:bookmarkEnd w:id="2993"/>
      <w:bookmarkEnd w:id="2994"/>
      <w:bookmarkEnd w:id="2995"/>
      <w:bookmarkEnd w:id="2996"/>
      <w:bookmarkEnd w:id="2997"/>
      <w:bookmarkEnd w:id="2998"/>
      <w:bookmarkEnd w:id="2999"/>
      <w:bookmarkEnd w:id="3000"/>
    </w:p>
    <w:p w14:paraId="2D8C2BAB">
      <w:r>
        <w:rPr>
          <w:rFonts w:hint="eastAsia"/>
        </w:rPr>
        <w:t>支持用户自定义申请创建SSL VPN时所访问的门户页面，用户可在门户页面上下载SSL VPN客户端。</w:t>
      </w:r>
    </w:p>
    <w:p w14:paraId="6EB66021"/>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6821817F">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0E065421">
            <w:pPr>
              <w:pStyle w:val="150"/>
              <w:adjustRightInd w:val="0"/>
              <w:snapToGrid w:val="0"/>
              <w:rPr>
                <w:color w:val="auto"/>
              </w:rPr>
            </w:pPr>
            <w:r>
              <w:rPr>
                <w:b/>
                <w:color w:val="auto"/>
              </w:rPr>
              <w:drawing>
                <wp:inline distT="0" distB="0" distL="0" distR="0">
                  <wp:extent cx="283210" cy="283210"/>
                  <wp:effectExtent l="0" t="0" r="2540" b="2540"/>
                  <wp:docPr id="806" name="图片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图片 80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23D61CF4">
            <w:pPr>
              <w:pStyle w:val="150"/>
              <w:adjustRightInd w:val="0"/>
              <w:snapToGrid w:val="0"/>
              <w:rPr>
                <w:color w:val="auto"/>
              </w:rPr>
            </w:pPr>
            <w:r>
              <w:rPr>
                <w:rFonts w:hint="eastAsia"/>
                <w:color w:val="auto"/>
              </w:rPr>
              <w:t>门户页面的访问地址为：http://设备IP/sslvpn/portal.html。例如，设备IP地址为192.168.1.1，HTTP管理端口为8080，门户页面的访问地址为http://192.168.1.1:8080/sslvpn/portal.html</w:t>
            </w:r>
          </w:p>
        </w:tc>
      </w:tr>
    </w:tbl>
    <w:p w14:paraId="38159F22"/>
    <w:p w14:paraId="0243198D">
      <w:r>
        <w:rPr>
          <w:rFonts w:hint="eastAsia"/>
        </w:rPr>
        <w:t>在导航栏中选择“网络配置 &gt; VPN &gt; SSL VPN</w:t>
      </w:r>
      <w:r>
        <w:t xml:space="preserve"> &gt; </w:t>
      </w:r>
      <w:r>
        <w:rPr>
          <w:rFonts w:hint="eastAsia"/>
        </w:rPr>
        <w:t>资源”，选择门户网站页签，进入门户网站的配置页面，如</w:t>
      </w:r>
      <w:r>
        <w:fldChar w:fldCharType="begin"/>
      </w:r>
      <w:r>
        <w:instrText xml:space="preserve"> REF _Ref4416587 \r \h </w:instrText>
      </w:r>
      <w:r>
        <w:fldChar w:fldCharType="separate"/>
      </w:r>
      <w:r>
        <w:rPr>
          <w:rFonts w:hint="eastAsia"/>
        </w:rPr>
        <w:t>图10-7</w:t>
      </w:r>
      <w:r>
        <w:fldChar w:fldCharType="end"/>
      </w:r>
      <w:r>
        <w:rPr>
          <w:rFonts w:hint="eastAsia"/>
        </w:rPr>
        <w:t>所示。</w:t>
      </w:r>
    </w:p>
    <w:p w14:paraId="6337F63F">
      <w:pPr>
        <w:pStyle w:val="188"/>
      </w:pPr>
      <w:bookmarkStart w:id="3001" w:name="_Ref4416587"/>
      <w:bookmarkStart w:id="3002" w:name="_Toc141874653"/>
      <w:r>
        <w:rPr>
          <w:rFonts w:hint="eastAsia"/>
        </w:rPr>
        <w:t>门户网站配置页面</w:t>
      </w:r>
      <w:bookmarkEnd w:id="3001"/>
      <w:bookmarkEnd w:id="3002"/>
    </w:p>
    <w:p w14:paraId="74EEC409">
      <w:pPr>
        <w:spacing w:before="79" w:after="79"/>
      </w:pPr>
      <w:r>
        <w:drawing>
          <wp:inline distT="0" distB="0" distL="0" distR="0">
            <wp:extent cx="5486400" cy="301371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415"/>
                    <a:stretch>
                      <a:fillRect/>
                    </a:stretch>
                  </pic:blipFill>
                  <pic:spPr>
                    <a:xfrm>
                      <a:off x="0" y="0"/>
                      <a:ext cx="5490520" cy="3016424"/>
                    </a:xfrm>
                    <a:prstGeom prst="rect">
                      <a:avLst/>
                    </a:prstGeom>
                  </pic:spPr>
                </pic:pic>
              </a:graphicData>
            </a:graphic>
          </wp:inline>
        </w:drawing>
      </w:r>
    </w:p>
    <w:p w14:paraId="06E39112"/>
    <w:p w14:paraId="6341267F">
      <w:r>
        <w:rPr>
          <w:rFonts w:hint="eastAsia"/>
        </w:rPr>
        <w:t>页面的详细说明如</w:t>
      </w:r>
      <w:r>
        <w:fldChar w:fldCharType="begin"/>
      </w:r>
      <w:r>
        <w:instrText xml:space="preserve"> REF _Ref4416605 \r \h </w:instrText>
      </w:r>
      <w:r>
        <w:fldChar w:fldCharType="separate"/>
      </w:r>
      <w:r>
        <w:rPr>
          <w:rFonts w:hint="eastAsia"/>
        </w:rPr>
        <w:t>表10-1</w:t>
      </w:r>
      <w:r>
        <w:fldChar w:fldCharType="end"/>
      </w:r>
      <w:r>
        <w:rPr>
          <w:rFonts w:hint="eastAsia"/>
        </w:rPr>
        <w:t>所示。</w:t>
      </w:r>
    </w:p>
    <w:p w14:paraId="556EB080">
      <w:pPr>
        <w:pStyle w:val="183"/>
      </w:pPr>
      <w:bookmarkStart w:id="3003" w:name="_Toc141875519"/>
      <w:bookmarkStart w:id="3004" w:name="_Ref4416605"/>
      <w:r>
        <w:rPr>
          <w:rFonts w:hint="eastAsia"/>
        </w:rPr>
        <w:t>门户网站配置的详细说明</w:t>
      </w:r>
      <w:bookmarkEnd w:id="3003"/>
      <w:bookmarkEnd w:id="3004"/>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526"/>
        <w:gridCol w:w="7488"/>
      </w:tblGrid>
      <w:tr w14:paraId="54F62C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tcBorders>
              <w:tl2br w:val="nil"/>
              <w:tr2bl w:val="nil"/>
            </w:tcBorders>
            <w:shd w:val="clear" w:color="auto" w:fill="538135" w:themeFill="accent6" w:themeFillShade="BF"/>
            <w:vAlign w:val="center"/>
          </w:tcPr>
          <w:p w14:paraId="1275FA97">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7488" w:type="dxa"/>
            <w:tcBorders>
              <w:tl2br w:val="nil"/>
              <w:tr2bl w:val="nil"/>
            </w:tcBorders>
            <w:shd w:val="clear" w:color="auto" w:fill="538135" w:themeFill="accent6" w:themeFillShade="BF"/>
            <w:vAlign w:val="center"/>
          </w:tcPr>
          <w:p w14:paraId="531B2F66">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751098B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03257363">
            <w:pPr>
              <w:pStyle w:val="186"/>
              <w:widowControl w:val="0"/>
              <w:spacing w:line="240" w:lineRule="auto"/>
              <w:ind w:firstLine="0"/>
              <w:jc w:val="left"/>
            </w:pPr>
            <w:r>
              <w:rPr>
                <w:rFonts w:hint="eastAsia"/>
              </w:rPr>
              <w:t>页面标题</w:t>
            </w:r>
          </w:p>
        </w:tc>
        <w:tc>
          <w:tcPr>
            <w:tcW w:w="7488" w:type="dxa"/>
            <w:shd w:val="clear" w:color="auto" w:fill="auto"/>
          </w:tcPr>
          <w:p w14:paraId="4EC84BCB">
            <w:pPr>
              <w:pStyle w:val="186"/>
              <w:widowControl w:val="0"/>
              <w:spacing w:line="240" w:lineRule="auto"/>
              <w:ind w:firstLine="0"/>
              <w:jc w:val="left"/>
            </w:pPr>
            <w:r>
              <w:rPr>
                <w:rFonts w:hint="eastAsia"/>
              </w:rPr>
              <w:t>设置门户页面的标题内容。1~</w:t>
            </w:r>
            <w:r>
              <w:t>63</w:t>
            </w:r>
            <w:r>
              <w:rPr>
                <w:rFonts w:hint="eastAsia"/>
              </w:rPr>
              <w:t>字符。</w:t>
            </w:r>
          </w:p>
        </w:tc>
      </w:tr>
      <w:tr w14:paraId="0C5E054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18C09462">
            <w:pPr>
              <w:pStyle w:val="186"/>
              <w:widowControl w:val="0"/>
              <w:spacing w:line="240" w:lineRule="auto"/>
              <w:ind w:firstLine="0"/>
              <w:jc w:val="left"/>
            </w:pPr>
            <w:r>
              <w:rPr>
                <w:rFonts w:hint="eastAsia"/>
              </w:rPr>
              <w:t>网页logo</w:t>
            </w:r>
          </w:p>
        </w:tc>
        <w:tc>
          <w:tcPr>
            <w:tcW w:w="7488" w:type="dxa"/>
            <w:shd w:val="clear" w:color="auto" w:fill="auto"/>
          </w:tcPr>
          <w:p w14:paraId="2F0921AF">
            <w:pPr>
              <w:pStyle w:val="186"/>
              <w:widowControl w:val="0"/>
              <w:spacing w:line="240" w:lineRule="auto"/>
              <w:ind w:firstLine="0"/>
              <w:jc w:val="left"/>
            </w:pPr>
            <w:r>
              <w:rPr>
                <w:rFonts w:hint="eastAsia"/>
              </w:rPr>
              <w:t>上传显示在门户页面上的LOGO，JPG、PNG或GIF格式，文件大小不超过2MB。</w:t>
            </w:r>
          </w:p>
        </w:tc>
      </w:tr>
      <w:tr w14:paraId="24C9AF7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0DFC3774">
            <w:pPr>
              <w:pStyle w:val="186"/>
              <w:widowControl w:val="0"/>
              <w:spacing w:line="240" w:lineRule="auto"/>
              <w:ind w:firstLine="0"/>
              <w:jc w:val="left"/>
            </w:pPr>
            <w:r>
              <w:rPr>
                <w:rFonts w:hint="eastAsia"/>
              </w:rPr>
              <w:t>公告</w:t>
            </w:r>
          </w:p>
        </w:tc>
        <w:tc>
          <w:tcPr>
            <w:tcW w:w="7488" w:type="dxa"/>
            <w:shd w:val="clear" w:color="auto" w:fill="auto"/>
          </w:tcPr>
          <w:p w14:paraId="1FE81065">
            <w:pPr>
              <w:pStyle w:val="186"/>
              <w:widowControl w:val="0"/>
              <w:spacing w:line="240" w:lineRule="auto"/>
              <w:ind w:firstLine="0"/>
              <w:jc w:val="left"/>
            </w:pPr>
            <w:r>
              <w:rPr>
                <w:rFonts w:hint="eastAsia"/>
              </w:rPr>
              <w:t>设置显示在门户页面的公告内容。</w:t>
            </w:r>
          </w:p>
        </w:tc>
      </w:tr>
      <w:tr w14:paraId="2A56EB9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685D0141">
            <w:pPr>
              <w:pStyle w:val="186"/>
              <w:widowControl w:val="0"/>
              <w:spacing w:line="240" w:lineRule="auto"/>
              <w:ind w:firstLine="0"/>
              <w:jc w:val="left"/>
            </w:pPr>
            <w:r>
              <w:rPr>
                <w:rFonts w:hint="eastAsia"/>
              </w:rPr>
              <w:t>客户端下载</w:t>
            </w:r>
          </w:p>
        </w:tc>
        <w:tc>
          <w:tcPr>
            <w:tcW w:w="7488" w:type="dxa"/>
            <w:shd w:val="clear" w:color="auto" w:fill="auto"/>
          </w:tcPr>
          <w:p w14:paraId="53060E14">
            <w:pPr>
              <w:pStyle w:val="186"/>
              <w:widowControl w:val="0"/>
              <w:spacing w:line="240" w:lineRule="auto"/>
              <w:ind w:firstLine="0"/>
              <w:jc w:val="left"/>
            </w:pPr>
            <w:r>
              <w:rPr>
                <w:rFonts w:hint="eastAsia"/>
              </w:rPr>
              <w:t>设置SSL VPN客户端程序（Win32和安卓版本）的下载服务器链接地址，支持FTP和HTTP服务器。用户需自行搭建下载服务器，设备本身不提供此项服务。</w:t>
            </w:r>
          </w:p>
        </w:tc>
      </w:tr>
    </w:tbl>
    <w:p w14:paraId="6398968F"/>
    <w:p w14:paraId="6FD4C736">
      <w:r>
        <w:rPr>
          <w:rFonts w:hint="eastAsia"/>
        </w:rPr>
        <w:t>输入完毕后，点击</w:t>
      </w:r>
      <w:r>
        <w:t>&lt;</w:t>
      </w:r>
      <w:r>
        <w:rPr>
          <w:rFonts w:hint="eastAsia"/>
        </w:rPr>
        <w:t>提交</w:t>
      </w:r>
      <w:r>
        <w:t>&gt;</w:t>
      </w:r>
      <w:r>
        <w:rPr>
          <w:rFonts w:hint="eastAsia"/>
        </w:rPr>
        <w:t>按钮，应用配置。</w:t>
      </w:r>
    </w:p>
    <w:p w14:paraId="50EB4599">
      <w:pPr>
        <w:pStyle w:val="5"/>
      </w:pPr>
      <w:bookmarkStart w:id="3005" w:name="_Toc6999"/>
      <w:bookmarkStart w:id="3006" w:name="_Toc153817160"/>
      <w:bookmarkStart w:id="3007" w:name="_Toc172218192"/>
      <w:bookmarkStart w:id="3008" w:name="_Toc196728151"/>
      <w:bookmarkStart w:id="3009" w:name="_Toc194080819"/>
      <w:r>
        <w:rPr>
          <w:rFonts w:hint="eastAsia"/>
        </w:rPr>
        <w:t>下载SSL</w:t>
      </w:r>
      <w:r>
        <w:t xml:space="preserve"> VPN</w:t>
      </w:r>
      <w:bookmarkEnd w:id="3005"/>
      <w:r>
        <w:rPr>
          <w:rFonts w:hint="eastAsia"/>
        </w:rPr>
        <w:t>客户端</w:t>
      </w:r>
      <w:bookmarkEnd w:id="3006"/>
      <w:bookmarkEnd w:id="3007"/>
      <w:bookmarkEnd w:id="3008"/>
      <w:bookmarkEnd w:id="3009"/>
    </w:p>
    <w:p w14:paraId="6CD9D678">
      <w:r>
        <w:rPr>
          <w:rFonts w:hint="eastAsia"/>
        </w:rPr>
        <w:t>SSL</w:t>
      </w:r>
      <w:r>
        <w:t xml:space="preserve"> VPN</w:t>
      </w:r>
      <w:r>
        <w:rPr>
          <w:rFonts w:hint="eastAsia"/>
        </w:rPr>
        <w:t>客户端及安装手册随设备版本发布，在设备上即可下载配套客户端及配置指导。</w:t>
      </w:r>
    </w:p>
    <w:p w14:paraId="7C05BC44">
      <w:r>
        <w:rPr>
          <w:rFonts w:hint="eastAsia"/>
        </w:rPr>
        <w:t>在导航栏中选择“网络</w:t>
      </w:r>
      <w:r>
        <w:rPr>
          <w:rFonts w:ascii="微软雅黑" w:hAnsi="微软雅黑" w:eastAsia="微软雅黑" w:cs="微软雅黑"/>
          <w:color w:val="333333"/>
          <w:sz w:val="19"/>
          <w:szCs w:val="19"/>
        </w:rPr>
        <w:t>配置</w:t>
      </w:r>
      <w:r>
        <w:rPr>
          <w:rFonts w:ascii="微软雅黑" w:hAnsi="微软雅黑" w:eastAsia="微软雅黑" w:cs="微软雅黑"/>
          <w:color w:val="333333"/>
          <w:sz w:val="19"/>
          <w:szCs w:val="19"/>
          <w:shd w:val="clear" w:color="auto" w:fill="FFFFFF"/>
        </w:rPr>
        <w:t xml:space="preserve"> </w:t>
      </w:r>
      <w:r>
        <w:rPr>
          <w:rFonts w:hint="eastAsia" w:ascii="微软雅黑" w:hAnsi="微软雅黑" w:eastAsia="微软雅黑" w:cs="微软雅黑"/>
          <w:color w:val="333333"/>
          <w:sz w:val="19"/>
          <w:szCs w:val="19"/>
          <w:shd w:val="clear" w:color="auto" w:fill="FFFFFF"/>
        </w:rPr>
        <w:t>&gt;</w:t>
      </w:r>
      <w:r>
        <w:rPr>
          <w:rFonts w:ascii="微软雅黑" w:hAnsi="微软雅黑" w:eastAsia="微软雅黑" w:cs="微软雅黑"/>
          <w:color w:val="333333"/>
          <w:sz w:val="19"/>
          <w:szCs w:val="19"/>
          <w:shd w:val="clear" w:color="auto" w:fill="FFFFFF"/>
        </w:rPr>
        <w:t xml:space="preserve"> </w:t>
      </w:r>
      <w:r>
        <w:rPr>
          <w:rFonts w:hint="eastAsia" w:ascii="微软雅黑" w:hAnsi="微软雅黑" w:eastAsia="微软雅黑" w:cs="微软雅黑"/>
          <w:color w:val="333333"/>
          <w:sz w:val="19"/>
          <w:szCs w:val="19"/>
          <w:shd w:val="clear" w:color="auto" w:fill="FFFFFF"/>
        </w:rPr>
        <w:t>VPN</w:t>
      </w:r>
      <w:r>
        <w:rPr>
          <w:rFonts w:ascii="微软雅黑" w:hAnsi="微软雅黑" w:eastAsia="微软雅黑" w:cs="微软雅黑"/>
          <w:color w:val="333333"/>
          <w:sz w:val="19"/>
          <w:szCs w:val="19"/>
          <w:shd w:val="clear" w:color="auto" w:fill="FFFFFF"/>
        </w:rPr>
        <w:t xml:space="preserve"> </w:t>
      </w:r>
      <w:r>
        <w:rPr>
          <w:rFonts w:hint="eastAsia" w:ascii="微软雅黑" w:hAnsi="微软雅黑" w:eastAsia="微软雅黑" w:cs="微软雅黑"/>
          <w:color w:val="333333"/>
          <w:sz w:val="19"/>
          <w:szCs w:val="19"/>
        </w:rPr>
        <w:t>&gt;</w:t>
      </w:r>
      <w:r>
        <w:rPr>
          <w:rFonts w:ascii="微软雅黑" w:hAnsi="微软雅黑" w:eastAsia="微软雅黑" w:cs="微软雅黑"/>
          <w:color w:val="333333"/>
          <w:sz w:val="19"/>
          <w:szCs w:val="19"/>
        </w:rPr>
        <w:t xml:space="preserve"> </w:t>
      </w:r>
      <w:r>
        <w:rPr>
          <w:rFonts w:hint="eastAsia" w:ascii="微软雅黑" w:hAnsi="微软雅黑" w:eastAsia="微软雅黑" w:cs="微软雅黑"/>
          <w:color w:val="333333"/>
          <w:sz w:val="19"/>
          <w:szCs w:val="19"/>
        </w:rPr>
        <w:t>SSL</w:t>
      </w:r>
      <w:r>
        <w:rPr>
          <w:rFonts w:ascii="微软雅黑" w:hAnsi="微软雅黑" w:eastAsia="微软雅黑" w:cs="微软雅黑"/>
          <w:color w:val="333333"/>
          <w:sz w:val="19"/>
          <w:szCs w:val="19"/>
        </w:rPr>
        <w:t xml:space="preserve"> </w:t>
      </w:r>
      <w:r>
        <w:rPr>
          <w:rFonts w:hint="eastAsia" w:ascii="微软雅黑" w:hAnsi="微软雅黑" w:eastAsia="微软雅黑" w:cs="微软雅黑"/>
          <w:color w:val="333333"/>
          <w:sz w:val="19"/>
          <w:szCs w:val="19"/>
        </w:rPr>
        <w:t>VPN</w:t>
      </w:r>
      <w:r>
        <w:rPr>
          <w:rFonts w:ascii="微软雅黑" w:hAnsi="微软雅黑" w:eastAsia="微软雅黑" w:cs="微软雅黑"/>
          <w:color w:val="333333"/>
          <w:sz w:val="19"/>
          <w:szCs w:val="19"/>
        </w:rPr>
        <w:t xml:space="preserve"> </w:t>
      </w:r>
      <w:r>
        <w:rPr>
          <w:rFonts w:hint="eastAsia" w:ascii="微软雅黑" w:hAnsi="微软雅黑" w:eastAsia="微软雅黑" w:cs="微软雅黑"/>
          <w:color w:val="333333"/>
          <w:sz w:val="19"/>
          <w:szCs w:val="19"/>
        </w:rPr>
        <w:t>&gt;</w:t>
      </w:r>
      <w:r>
        <w:rPr>
          <w:rFonts w:ascii="微软雅黑" w:hAnsi="微软雅黑" w:eastAsia="微软雅黑" w:cs="微软雅黑"/>
          <w:color w:val="333333"/>
          <w:sz w:val="19"/>
          <w:szCs w:val="19"/>
        </w:rPr>
        <w:t xml:space="preserve"> </w:t>
      </w:r>
      <w:r>
        <w:rPr>
          <w:rFonts w:hint="eastAsia" w:ascii="微软雅黑" w:hAnsi="微软雅黑" w:eastAsia="微软雅黑" w:cs="微软雅黑"/>
          <w:color w:val="333333"/>
          <w:sz w:val="19"/>
          <w:szCs w:val="19"/>
        </w:rPr>
        <w:t>资源 &gt;</w:t>
      </w:r>
      <w:r>
        <w:rPr>
          <w:rFonts w:ascii="微软雅黑" w:hAnsi="微软雅黑" w:eastAsia="微软雅黑" w:cs="微软雅黑"/>
          <w:color w:val="333333"/>
          <w:sz w:val="19"/>
          <w:szCs w:val="19"/>
        </w:rPr>
        <w:t xml:space="preserve"> </w:t>
      </w:r>
      <w:r>
        <w:rPr>
          <w:rFonts w:hint="eastAsia" w:ascii="微软雅黑" w:hAnsi="微软雅黑" w:eastAsia="微软雅黑" w:cs="微软雅黑"/>
          <w:color w:val="333333"/>
          <w:sz w:val="19"/>
          <w:szCs w:val="19"/>
        </w:rPr>
        <w:t>客户端</w:t>
      </w:r>
      <w:r>
        <w:rPr>
          <w:rFonts w:hint="eastAsia"/>
        </w:rPr>
        <w:t>”，进入SSLVPN客户端下载</w:t>
      </w:r>
      <w:r>
        <w:t>页面</w:t>
      </w:r>
      <w:r>
        <w:rPr>
          <w:rFonts w:hint="eastAsia"/>
        </w:rPr>
        <w:t>，单击</w:t>
      </w:r>
      <w:r>
        <w:drawing>
          <wp:inline distT="0" distB="0" distL="0" distR="0">
            <wp:extent cx="180975" cy="133350"/>
            <wp:effectExtent l="0" t="0" r="9525" b="0"/>
            <wp:docPr id="731751047" name="图片 73175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751047" name="图片 731751047"/>
                    <pic:cNvPicPr>
                      <a:picLocks noChangeAspect="1"/>
                    </pic:cNvPicPr>
                  </pic:nvPicPr>
                  <pic:blipFill>
                    <a:blip r:embed="rId416"/>
                    <a:stretch>
                      <a:fillRect/>
                    </a:stretch>
                  </pic:blipFill>
                  <pic:spPr>
                    <a:xfrm>
                      <a:off x="0" y="0"/>
                      <a:ext cx="180975" cy="133350"/>
                    </a:xfrm>
                    <a:prstGeom prst="rect">
                      <a:avLst/>
                    </a:prstGeom>
                  </pic:spPr>
                </pic:pic>
              </a:graphicData>
            </a:graphic>
          </wp:inline>
        </w:drawing>
      </w:r>
      <w:r>
        <w:rPr>
          <w:rFonts w:hint="eastAsia"/>
        </w:rPr>
        <w:t>即可下载Windows系统、安卓系统的SSL</w:t>
      </w:r>
      <w:r>
        <w:t xml:space="preserve"> VPN</w:t>
      </w:r>
      <w:r>
        <w:rPr>
          <w:rFonts w:hint="eastAsia"/>
        </w:rPr>
        <w:t>客户端安装包及对应的安装配置指导。</w:t>
      </w:r>
    </w:p>
    <w:p w14:paraId="03147484">
      <w:r>
        <w:rPr>
          <w:rFonts w:hint="eastAsia"/>
        </w:rPr>
        <w:t>如下图所示。</w:t>
      </w:r>
    </w:p>
    <w:p w14:paraId="42C6B083">
      <w:pPr>
        <w:pStyle w:val="188"/>
      </w:pPr>
      <w:r>
        <w:rPr>
          <w:rFonts w:hint="eastAsia"/>
        </w:rPr>
        <w:t>SSLVPN客户端下载</w:t>
      </w:r>
      <w:r>
        <w:t>页面</w:t>
      </w:r>
    </w:p>
    <w:p w14:paraId="5B6E7326">
      <w:pPr>
        <w:pStyle w:val="175"/>
      </w:pPr>
      <w:r>
        <w:drawing>
          <wp:inline distT="0" distB="0" distL="0" distR="0">
            <wp:extent cx="5739130" cy="1348105"/>
            <wp:effectExtent l="0" t="0" r="0" b="4445"/>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pic:cNvPicPr>
                  </pic:nvPicPr>
                  <pic:blipFill>
                    <a:blip r:embed="rId417"/>
                    <a:stretch>
                      <a:fillRect/>
                    </a:stretch>
                  </pic:blipFill>
                  <pic:spPr>
                    <a:xfrm>
                      <a:off x="0" y="0"/>
                      <a:ext cx="5749398" cy="1351150"/>
                    </a:xfrm>
                    <a:prstGeom prst="rect">
                      <a:avLst/>
                    </a:prstGeom>
                  </pic:spPr>
                </pic:pic>
              </a:graphicData>
            </a:graphic>
          </wp:inline>
        </w:drawing>
      </w:r>
    </w:p>
    <w:p w14:paraId="37445651"/>
    <w:p w14:paraId="53B02F47">
      <w:pPr>
        <w:pStyle w:val="5"/>
      </w:pPr>
      <w:bookmarkStart w:id="3010" w:name="_Ref4416404"/>
      <w:bookmarkStart w:id="3011" w:name="_Toc12452303"/>
      <w:bookmarkStart w:id="3012" w:name="_Toc141873442"/>
      <w:bookmarkStart w:id="3013" w:name="_Toc40276023"/>
      <w:bookmarkStart w:id="3014" w:name="_Toc99561516"/>
      <w:bookmarkStart w:id="3015" w:name="_Toc196728152"/>
      <w:bookmarkStart w:id="3016" w:name="_Toc142400958"/>
      <w:bookmarkStart w:id="3017" w:name="_Toc194080820"/>
      <w:bookmarkStart w:id="3018" w:name="_Toc23152590"/>
      <w:bookmarkStart w:id="3019" w:name="_Toc172218193"/>
      <w:bookmarkStart w:id="3020" w:name="_Toc15484824"/>
      <w:r>
        <w:rPr>
          <w:rFonts w:hint="eastAsia"/>
        </w:rPr>
        <w:t>配置SSL</w:t>
      </w:r>
      <w:r>
        <w:t xml:space="preserve"> </w:t>
      </w:r>
      <w:r>
        <w:rPr>
          <w:rFonts w:hint="eastAsia"/>
        </w:rPr>
        <w:t>VPN策略</w:t>
      </w:r>
      <w:bookmarkEnd w:id="3010"/>
      <w:bookmarkEnd w:id="3011"/>
      <w:bookmarkEnd w:id="3012"/>
      <w:bookmarkEnd w:id="3013"/>
      <w:bookmarkEnd w:id="3014"/>
      <w:bookmarkEnd w:id="3015"/>
      <w:bookmarkEnd w:id="3016"/>
      <w:bookmarkEnd w:id="3017"/>
      <w:bookmarkEnd w:id="3018"/>
      <w:bookmarkEnd w:id="3019"/>
      <w:bookmarkEnd w:id="3020"/>
    </w:p>
    <w:p w14:paraId="29128612">
      <w:r>
        <w:rPr>
          <w:rFonts w:hint="eastAsia"/>
        </w:rPr>
        <w:t>在导航栏中选择“</w:t>
      </w:r>
      <w:r>
        <w:t xml:space="preserve">网络配置 &gt; VPN &gt; SSL VPN &gt; </w:t>
      </w:r>
      <w:r>
        <w:rPr>
          <w:rFonts w:hint="eastAsia"/>
        </w:rPr>
        <w:t>策略”，进入策略配置的显示页面，单击</w:t>
      </w:r>
      <w:r>
        <w:t>&lt;</w:t>
      </w:r>
      <w:r>
        <w:rPr>
          <w:rFonts w:hint="eastAsia"/>
        </w:rPr>
        <w:t>新建</w:t>
      </w:r>
      <w:r>
        <w:t>&gt;</w:t>
      </w:r>
      <w:r>
        <w:rPr>
          <w:rFonts w:hint="eastAsia"/>
        </w:rPr>
        <w:t>按钮，或者点击对应SSL</w:t>
      </w:r>
      <w:r>
        <w:t xml:space="preserve"> </w:t>
      </w:r>
      <w:r>
        <w:rPr>
          <w:rFonts w:hint="eastAsia"/>
        </w:rPr>
        <w:t>VPN策略的右侧</w:t>
      </w:r>
      <w:r>
        <w:t>&lt;</w:t>
      </w:r>
      <w:r>
        <w:rPr>
          <w:rFonts w:hint="eastAsia"/>
        </w:rPr>
        <w:t>编辑</w:t>
      </w:r>
      <w:r>
        <w:t>&gt;</w:t>
      </w:r>
      <w:r>
        <w:rPr>
          <w:rFonts w:hint="eastAsia"/>
        </w:rPr>
        <w:t>按钮，进入SSL</w:t>
      </w:r>
      <w:r>
        <w:t xml:space="preserve"> </w:t>
      </w:r>
      <w:r>
        <w:rPr>
          <w:rFonts w:hint="eastAsia"/>
        </w:rPr>
        <w:t>VPN策略的配置页面，如下图所示。</w:t>
      </w:r>
    </w:p>
    <w:p w14:paraId="46AE1AC2">
      <w:pPr>
        <w:pStyle w:val="188"/>
      </w:pPr>
      <w:bookmarkStart w:id="3021" w:name="_Toc141874654"/>
      <w:r>
        <w:rPr>
          <w:rFonts w:hint="eastAsia"/>
        </w:rPr>
        <w:t>SSL</w:t>
      </w:r>
      <w:r>
        <w:t xml:space="preserve"> </w:t>
      </w:r>
      <w:r>
        <w:rPr>
          <w:rFonts w:hint="eastAsia"/>
        </w:rPr>
        <w:t>VPN策略页面</w:t>
      </w:r>
      <w:bookmarkEnd w:id="3021"/>
    </w:p>
    <w:p w14:paraId="2045637D">
      <w:r>
        <w:drawing>
          <wp:inline distT="0" distB="0" distL="114300" distR="114300">
            <wp:extent cx="5400040" cy="3214370"/>
            <wp:effectExtent l="0" t="0" r="0" b="5080"/>
            <wp:docPr id="1116"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图片 194"/>
                    <pic:cNvPicPr>
                      <a:picLocks noChangeAspect="1"/>
                    </pic:cNvPicPr>
                  </pic:nvPicPr>
                  <pic:blipFill>
                    <a:blip r:embed="rId418"/>
                    <a:srcRect r="4229"/>
                    <a:stretch>
                      <a:fillRect/>
                    </a:stretch>
                  </pic:blipFill>
                  <pic:spPr>
                    <a:xfrm>
                      <a:off x="0" y="0"/>
                      <a:ext cx="5400040" cy="3214602"/>
                    </a:xfrm>
                    <a:prstGeom prst="rect">
                      <a:avLst/>
                    </a:prstGeom>
                    <a:noFill/>
                    <a:ln>
                      <a:noFill/>
                    </a:ln>
                  </pic:spPr>
                </pic:pic>
              </a:graphicData>
            </a:graphic>
          </wp:inline>
        </w:drawing>
      </w:r>
    </w:p>
    <w:p w14:paraId="2106722D"/>
    <w:p w14:paraId="0F56F1EE">
      <w:r>
        <w:rPr>
          <w:rFonts w:hint="eastAsia"/>
        </w:rPr>
        <w:t>页面的详细说明如下表所示。</w:t>
      </w:r>
    </w:p>
    <w:p w14:paraId="158BF92D">
      <w:pPr>
        <w:pStyle w:val="183"/>
      </w:pPr>
      <w:bookmarkStart w:id="3022" w:name="_Toc141875520"/>
      <w:r>
        <w:rPr>
          <w:rFonts w:hint="eastAsia"/>
        </w:rPr>
        <w:t>SSL</w:t>
      </w:r>
      <w:r>
        <w:t xml:space="preserve"> </w:t>
      </w:r>
      <w:r>
        <w:rPr>
          <w:rFonts w:hint="eastAsia"/>
        </w:rPr>
        <w:t>VPN策略配置的详细说明</w:t>
      </w:r>
      <w:bookmarkEnd w:id="3022"/>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65"/>
        <w:gridCol w:w="6949"/>
      </w:tblGrid>
      <w:tr w14:paraId="67E7D8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tcBorders>
              <w:tl2br w:val="nil"/>
              <w:tr2bl w:val="nil"/>
            </w:tcBorders>
            <w:shd w:val="clear" w:color="auto" w:fill="538135" w:themeFill="accent6" w:themeFillShade="BF"/>
            <w:vAlign w:val="center"/>
          </w:tcPr>
          <w:p w14:paraId="35E2F24A">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949" w:type="dxa"/>
            <w:tcBorders>
              <w:tl2br w:val="nil"/>
              <w:tr2bl w:val="nil"/>
            </w:tcBorders>
            <w:shd w:val="clear" w:color="auto" w:fill="538135" w:themeFill="accent6" w:themeFillShade="BF"/>
            <w:vAlign w:val="center"/>
          </w:tcPr>
          <w:p w14:paraId="5E75CA89">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D76970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447584BF">
            <w:pPr>
              <w:pStyle w:val="186"/>
              <w:widowControl w:val="0"/>
              <w:spacing w:line="240" w:lineRule="auto"/>
              <w:ind w:firstLine="0"/>
              <w:jc w:val="left"/>
            </w:pPr>
            <w:r>
              <w:rPr>
                <w:rFonts w:hint="eastAsia"/>
              </w:rPr>
              <w:t>启用</w:t>
            </w:r>
          </w:p>
        </w:tc>
        <w:tc>
          <w:tcPr>
            <w:tcW w:w="6949" w:type="dxa"/>
            <w:shd w:val="clear" w:color="auto" w:fill="auto"/>
          </w:tcPr>
          <w:p w14:paraId="6B725D6A">
            <w:pPr>
              <w:pStyle w:val="186"/>
              <w:widowControl w:val="0"/>
              <w:spacing w:line="240" w:lineRule="auto"/>
              <w:ind w:firstLine="0"/>
              <w:jc w:val="left"/>
            </w:pPr>
            <w:r>
              <w:rPr>
                <w:rFonts w:hint="eastAsia"/>
              </w:rPr>
              <w:t>SSL</w:t>
            </w:r>
            <w:r>
              <w:t xml:space="preserve"> </w:t>
            </w:r>
            <w:r>
              <w:rPr>
                <w:rFonts w:hint="eastAsia"/>
              </w:rPr>
              <w:t>VPN启用/禁用开</w:t>
            </w:r>
            <w:r>
              <w:t>关</w:t>
            </w:r>
            <w:r>
              <w:rPr>
                <w:rFonts w:hint="eastAsia"/>
              </w:rPr>
              <w:t>。</w:t>
            </w:r>
          </w:p>
        </w:tc>
      </w:tr>
      <w:tr w14:paraId="0EA6B8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698CDA8E">
            <w:pPr>
              <w:pStyle w:val="186"/>
              <w:widowControl w:val="0"/>
              <w:spacing w:line="240" w:lineRule="auto"/>
              <w:ind w:firstLine="0"/>
              <w:jc w:val="left"/>
            </w:pPr>
            <w:r>
              <w:rPr>
                <w:rFonts w:hint="eastAsia"/>
              </w:rPr>
              <w:t>名称</w:t>
            </w:r>
          </w:p>
        </w:tc>
        <w:tc>
          <w:tcPr>
            <w:tcW w:w="6949" w:type="dxa"/>
            <w:shd w:val="clear" w:color="auto" w:fill="auto"/>
          </w:tcPr>
          <w:p w14:paraId="5BA972D2">
            <w:pPr>
              <w:pStyle w:val="186"/>
              <w:widowControl w:val="0"/>
              <w:spacing w:line="240" w:lineRule="auto"/>
              <w:ind w:firstLine="0"/>
              <w:jc w:val="left"/>
            </w:pPr>
            <w:r>
              <w:rPr>
                <w:rFonts w:hint="eastAsia"/>
              </w:rPr>
              <w:t>SSL</w:t>
            </w:r>
            <w:r>
              <w:t xml:space="preserve"> </w:t>
            </w:r>
            <w:r>
              <w:rPr>
                <w:rFonts w:hint="eastAsia"/>
              </w:rPr>
              <w:t>VPN策略名称。</w:t>
            </w:r>
          </w:p>
        </w:tc>
      </w:tr>
      <w:tr w14:paraId="4B82C54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2CF0D6A5">
            <w:pPr>
              <w:pStyle w:val="186"/>
              <w:widowControl w:val="0"/>
              <w:spacing w:line="240" w:lineRule="auto"/>
              <w:ind w:firstLine="0"/>
              <w:jc w:val="left"/>
            </w:pPr>
            <w:r>
              <w:rPr>
                <w:rFonts w:hint="eastAsia"/>
              </w:rPr>
              <w:t>描述</w:t>
            </w:r>
          </w:p>
        </w:tc>
        <w:tc>
          <w:tcPr>
            <w:tcW w:w="6949" w:type="dxa"/>
            <w:shd w:val="clear" w:color="auto" w:fill="auto"/>
          </w:tcPr>
          <w:p w14:paraId="2E6749B1">
            <w:pPr>
              <w:pStyle w:val="186"/>
              <w:widowControl w:val="0"/>
              <w:spacing w:line="240" w:lineRule="auto"/>
              <w:ind w:firstLine="0"/>
              <w:jc w:val="left"/>
            </w:pPr>
            <w:r>
              <w:rPr>
                <w:rFonts w:hint="eastAsia"/>
              </w:rPr>
              <w:t>SSL</w:t>
            </w:r>
            <w:r>
              <w:t xml:space="preserve"> </w:t>
            </w:r>
            <w:r>
              <w:rPr>
                <w:rFonts w:hint="eastAsia"/>
              </w:rPr>
              <w:t>VPN策略描述。</w:t>
            </w:r>
          </w:p>
        </w:tc>
      </w:tr>
      <w:tr w14:paraId="25BAAF2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72D7BEB6">
            <w:pPr>
              <w:pStyle w:val="186"/>
              <w:widowControl w:val="0"/>
              <w:spacing w:line="240" w:lineRule="auto"/>
              <w:ind w:firstLine="0"/>
              <w:jc w:val="left"/>
            </w:pPr>
            <w:r>
              <w:rPr>
                <w:rFonts w:hint="eastAsia"/>
              </w:rPr>
              <w:t>用户</w:t>
            </w:r>
          </w:p>
        </w:tc>
        <w:tc>
          <w:tcPr>
            <w:tcW w:w="6949" w:type="dxa"/>
            <w:shd w:val="clear" w:color="auto" w:fill="auto"/>
          </w:tcPr>
          <w:p w14:paraId="59BC3E9B">
            <w:pPr>
              <w:pStyle w:val="186"/>
              <w:widowControl w:val="0"/>
              <w:spacing w:line="240" w:lineRule="auto"/>
              <w:ind w:firstLine="0"/>
              <w:jc w:val="left"/>
            </w:pPr>
            <w:r>
              <w:rPr>
                <w:rFonts w:hint="eastAsia"/>
              </w:rPr>
              <w:t>SSL</w:t>
            </w:r>
            <w:r>
              <w:t xml:space="preserve"> </w:t>
            </w:r>
            <w:r>
              <w:rPr>
                <w:rFonts w:hint="eastAsia"/>
              </w:rPr>
              <w:t>VPN授权登录用户。</w:t>
            </w:r>
          </w:p>
        </w:tc>
      </w:tr>
      <w:tr w14:paraId="4C09A7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05DD5145">
            <w:pPr>
              <w:pStyle w:val="186"/>
              <w:widowControl w:val="0"/>
              <w:spacing w:line="240" w:lineRule="auto"/>
              <w:ind w:firstLine="0"/>
              <w:jc w:val="left"/>
            </w:pPr>
            <w:r>
              <w:rPr>
                <w:rFonts w:hint="eastAsia"/>
              </w:rPr>
              <w:t>授权资源</w:t>
            </w:r>
          </w:p>
        </w:tc>
        <w:tc>
          <w:tcPr>
            <w:tcW w:w="6949" w:type="dxa"/>
            <w:shd w:val="clear" w:color="auto" w:fill="auto"/>
          </w:tcPr>
          <w:p w14:paraId="16837419">
            <w:pPr>
              <w:pStyle w:val="186"/>
              <w:widowControl w:val="0"/>
              <w:spacing w:line="240" w:lineRule="auto"/>
              <w:ind w:firstLine="0"/>
              <w:jc w:val="left"/>
            </w:pPr>
            <w:r>
              <w:rPr>
                <w:rFonts w:hint="eastAsia"/>
              </w:rPr>
              <w:t>SSL</w:t>
            </w:r>
            <w:r>
              <w:t xml:space="preserve"> </w:t>
            </w:r>
            <w:r>
              <w:rPr>
                <w:rFonts w:hint="eastAsia"/>
              </w:rPr>
              <w:t>VPN授权资源。</w:t>
            </w:r>
          </w:p>
        </w:tc>
      </w:tr>
      <w:tr w14:paraId="74BB21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295D010B">
            <w:pPr>
              <w:pStyle w:val="186"/>
              <w:widowControl w:val="0"/>
              <w:spacing w:line="240" w:lineRule="auto"/>
              <w:ind w:firstLine="0"/>
              <w:jc w:val="left"/>
            </w:pPr>
            <w:r>
              <w:rPr>
                <w:rFonts w:hint="eastAsia"/>
              </w:rPr>
              <w:t>拨入时间段</w:t>
            </w:r>
          </w:p>
        </w:tc>
        <w:tc>
          <w:tcPr>
            <w:tcW w:w="6949" w:type="dxa"/>
            <w:shd w:val="clear" w:color="auto" w:fill="auto"/>
          </w:tcPr>
          <w:p w14:paraId="6FFDBFFC">
            <w:pPr>
              <w:pStyle w:val="186"/>
              <w:widowControl w:val="0"/>
              <w:spacing w:line="240" w:lineRule="auto"/>
              <w:ind w:firstLine="0"/>
              <w:jc w:val="left"/>
            </w:pPr>
            <w:r>
              <w:rPr>
                <w:rFonts w:hint="eastAsia"/>
              </w:rPr>
              <w:t>SSL</w:t>
            </w:r>
            <w:r>
              <w:t xml:space="preserve"> </w:t>
            </w:r>
            <w:r>
              <w:rPr>
                <w:rFonts w:hint="eastAsia"/>
              </w:rPr>
              <w:t>VPN授权拨入时间段。即允许用户访问的内网资源。有关用户访问资源配置的更多信息，请参考SSL VPN资源。</w:t>
            </w:r>
          </w:p>
        </w:tc>
      </w:tr>
      <w:tr w14:paraId="3E9518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49F5AF11">
            <w:pPr>
              <w:pStyle w:val="186"/>
              <w:widowControl w:val="0"/>
              <w:spacing w:line="240" w:lineRule="auto"/>
              <w:ind w:firstLine="0"/>
              <w:jc w:val="left"/>
            </w:pPr>
            <w:r>
              <w:rPr>
                <w:rFonts w:hint="eastAsia"/>
              </w:rPr>
              <w:t>强制下线时间</w:t>
            </w:r>
          </w:p>
        </w:tc>
        <w:tc>
          <w:tcPr>
            <w:tcW w:w="6949" w:type="dxa"/>
            <w:shd w:val="clear" w:color="auto" w:fill="auto"/>
          </w:tcPr>
          <w:p w14:paraId="7149FDA8">
            <w:pPr>
              <w:pStyle w:val="186"/>
              <w:widowControl w:val="0"/>
              <w:spacing w:line="240" w:lineRule="auto"/>
              <w:ind w:firstLine="0"/>
              <w:jc w:val="left"/>
            </w:pPr>
            <w:r>
              <w:rPr>
                <w:rFonts w:hint="eastAsia"/>
              </w:rPr>
              <w:t>SSL</w:t>
            </w:r>
            <w:r>
              <w:t xml:space="preserve"> </w:t>
            </w:r>
            <w:r>
              <w:rPr>
                <w:rFonts w:hint="eastAsia"/>
              </w:rPr>
              <w:t>VPN用户强制下线时间。授权用户连接SSL VPN成功后，经过指定时间后会被强制下线。0表示永不下线。</w:t>
            </w:r>
          </w:p>
        </w:tc>
      </w:tr>
    </w:tbl>
    <w:p w14:paraId="78CAAA3C"/>
    <w:p w14:paraId="11F1A541">
      <w:r>
        <w:rPr>
          <w:rFonts w:hint="eastAsia"/>
        </w:rPr>
        <w:t>输入完毕后，点击</w:t>
      </w:r>
      <w:r>
        <w:t>&lt;</w:t>
      </w:r>
      <w:r>
        <w:rPr>
          <w:rFonts w:hint="eastAsia"/>
        </w:rPr>
        <w:t>提交</w:t>
      </w:r>
      <w:r>
        <w:t>&gt;</w:t>
      </w:r>
      <w:r>
        <w:rPr>
          <w:rFonts w:hint="eastAsia"/>
        </w:rPr>
        <w:t>按钮，应用配置。</w:t>
      </w:r>
    </w:p>
    <w:p w14:paraId="7E5D5FFD">
      <w:r>
        <w:rPr>
          <w:rFonts w:hint="eastAsia"/>
        </w:rPr>
        <w:t>在策略显示页面，点击对应策略的</w:t>
      </w:r>
      <w:r>
        <w:t>&lt;</w:t>
      </w:r>
      <w:r>
        <w:rPr>
          <w:rFonts w:hint="eastAsia"/>
        </w:rPr>
        <w:t>删除</w:t>
      </w:r>
      <w:r>
        <w:t>&gt;</w:t>
      </w:r>
      <w:r>
        <w:rPr>
          <w:rFonts w:hint="eastAsia"/>
        </w:rPr>
        <w:t>按钮，可以删除对应的策略。如</w:t>
      </w:r>
      <w:r>
        <w:rPr>
          <w:color w:val="0000FF"/>
          <w:u w:val="single"/>
        </w:rPr>
        <w:fldChar w:fldCharType="begin"/>
      </w:r>
      <w:r>
        <w:rPr>
          <w:color w:val="0000FF"/>
          <w:u w:val="single"/>
        </w:rPr>
        <w:instrText xml:space="preserve"> REF _Ref4416630 \r \h </w:instrText>
      </w:r>
      <w:r>
        <w:rPr>
          <w:color w:val="0000FF"/>
          <w:u w:val="single"/>
        </w:rPr>
        <w:fldChar w:fldCharType="separate"/>
      </w:r>
      <w:r>
        <w:rPr>
          <w:rFonts w:hint="eastAsia"/>
          <w:color w:val="0000FF"/>
          <w:u w:val="single"/>
        </w:rPr>
        <w:t>图10-10</w:t>
      </w:r>
      <w:r>
        <w:rPr>
          <w:color w:val="0000FF"/>
          <w:u w:val="single"/>
        </w:rPr>
        <w:fldChar w:fldCharType="end"/>
      </w:r>
      <w:r>
        <w:rPr>
          <w:rFonts w:hint="eastAsia"/>
        </w:rPr>
        <w:t>所示。</w:t>
      </w:r>
    </w:p>
    <w:p w14:paraId="5F3861A6">
      <w:pPr>
        <w:pStyle w:val="188"/>
      </w:pPr>
      <w:bookmarkStart w:id="3023" w:name="_Ref4416630"/>
      <w:bookmarkStart w:id="3024" w:name="_Toc141874655"/>
      <w:r>
        <w:rPr>
          <w:rFonts w:hint="eastAsia"/>
        </w:rPr>
        <w:t>策略删除</w:t>
      </w:r>
      <w:bookmarkEnd w:id="3023"/>
      <w:bookmarkEnd w:id="3024"/>
    </w:p>
    <w:p w14:paraId="1106F726">
      <w:r>
        <w:t xml:space="preserve"> </w:t>
      </w:r>
      <w:r>
        <w:drawing>
          <wp:inline distT="0" distB="0" distL="0" distR="0">
            <wp:extent cx="5086350" cy="977265"/>
            <wp:effectExtent l="0" t="0" r="0" b="0"/>
            <wp:docPr id="3095" name="图片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 name="图片 3095"/>
                    <pic:cNvPicPr>
                      <a:picLocks noChangeAspect="1"/>
                    </pic:cNvPicPr>
                  </pic:nvPicPr>
                  <pic:blipFill>
                    <a:blip r:embed="rId419"/>
                    <a:stretch>
                      <a:fillRect/>
                    </a:stretch>
                  </pic:blipFill>
                  <pic:spPr>
                    <a:xfrm>
                      <a:off x="0" y="0"/>
                      <a:ext cx="5160199" cy="991996"/>
                    </a:xfrm>
                    <a:prstGeom prst="rect">
                      <a:avLst/>
                    </a:prstGeom>
                  </pic:spPr>
                </pic:pic>
              </a:graphicData>
            </a:graphic>
          </wp:inline>
        </w:drawing>
      </w:r>
    </w:p>
    <w:p w14:paraId="5344181D"/>
    <w:p w14:paraId="765DE9EC">
      <w:r>
        <w:rPr>
          <w:rFonts w:hint="eastAsia"/>
        </w:rPr>
        <w:t>在资源策略显示页面，点击</w:t>
      </w:r>
      <w:r>
        <w:t>&lt;</w:t>
      </w:r>
      <w:r>
        <w:rPr>
          <w:rFonts w:hint="eastAsia"/>
        </w:rPr>
        <w:t>上移</w:t>
      </w:r>
      <w:r>
        <w:t>&gt;</w:t>
      </w:r>
      <w:r>
        <w:rPr>
          <w:rFonts w:hint="eastAsia"/>
        </w:rPr>
        <w:t>、</w:t>
      </w:r>
      <w:r>
        <w:t>&lt;</w:t>
      </w:r>
      <w:r>
        <w:rPr>
          <w:rFonts w:hint="eastAsia"/>
        </w:rPr>
        <w:t>下移</w:t>
      </w:r>
      <w:r>
        <w:t>&gt;</w:t>
      </w:r>
      <w:r>
        <w:rPr>
          <w:rFonts w:hint="eastAsia"/>
        </w:rPr>
        <w:t>按钮，可以调整策略的优先级。如</w:t>
      </w:r>
      <w:r>
        <w:rPr>
          <w:color w:val="0000FF"/>
          <w:u w:val="single"/>
        </w:rPr>
        <w:fldChar w:fldCharType="begin"/>
      </w:r>
      <w:r>
        <w:rPr>
          <w:color w:val="0000FF"/>
          <w:u w:val="single"/>
        </w:rPr>
        <w:instrText xml:space="preserve"> REF _Ref4416640 \r \h </w:instrText>
      </w:r>
      <w:r>
        <w:rPr>
          <w:color w:val="0000FF"/>
          <w:u w:val="single"/>
        </w:rPr>
        <w:fldChar w:fldCharType="separate"/>
      </w:r>
      <w:r>
        <w:rPr>
          <w:rFonts w:hint="eastAsia"/>
          <w:color w:val="0000FF"/>
          <w:u w:val="single"/>
        </w:rPr>
        <w:t>图10-11</w:t>
      </w:r>
      <w:r>
        <w:rPr>
          <w:color w:val="0000FF"/>
          <w:u w:val="single"/>
        </w:rPr>
        <w:fldChar w:fldCharType="end"/>
      </w:r>
      <w:r>
        <w:rPr>
          <w:rFonts w:hint="eastAsia"/>
        </w:rPr>
        <w:t>所示。</w:t>
      </w:r>
    </w:p>
    <w:p w14:paraId="0BE3F754">
      <w:pPr>
        <w:pStyle w:val="188"/>
      </w:pPr>
      <w:bookmarkStart w:id="3025" w:name="_Toc141874656"/>
      <w:bookmarkStart w:id="3026" w:name="_Ref4416640"/>
      <w:r>
        <w:rPr>
          <w:rFonts w:hint="eastAsia"/>
        </w:rPr>
        <w:t>策略优先级调整</w:t>
      </w:r>
      <w:bookmarkEnd w:id="3025"/>
      <w:bookmarkEnd w:id="3026"/>
    </w:p>
    <w:p w14:paraId="4393F6E8">
      <w:r>
        <w:drawing>
          <wp:inline distT="0" distB="0" distL="0" distR="0">
            <wp:extent cx="5010150" cy="1223010"/>
            <wp:effectExtent l="0" t="0" r="0" b="0"/>
            <wp:docPr id="3096" name="图片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 name="图片 3096"/>
                    <pic:cNvPicPr>
                      <a:picLocks noChangeAspect="1"/>
                    </pic:cNvPicPr>
                  </pic:nvPicPr>
                  <pic:blipFill>
                    <a:blip r:embed="rId420"/>
                    <a:stretch>
                      <a:fillRect/>
                    </a:stretch>
                  </pic:blipFill>
                  <pic:spPr>
                    <a:xfrm>
                      <a:off x="0" y="0"/>
                      <a:ext cx="5127693" cy="1252266"/>
                    </a:xfrm>
                    <a:prstGeom prst="rect">
                      <a:avLst/>
                    </a:prstGeom>
                  </pic:spPr>
                </pic:pic>
              </a:graphicData>
            </a:graphic>
          </wp:inline>
        </w:drawing>
      </w:r>
    </w:p>
    <w:p w14:paraId="1E73EE43"/>
    <w:p w14:paraId="60883ADB">
      <w:r>
        <w:rPr>
          <w:rFonts w:hint="eastAsia"/>
        </w:rPr>
        <w:t>在策略显示页面，点击</w:t>
      </w:r>
      <w:r>
        <w:t>&lt;</w:t>
      </w:r>
      <w:r>
        <w:rPr>
          <w:rFonts w:hint="eastAsia"/>
        </w:rPr>
        <w:t>导入</w:t>
      </w:r>
      <w:r>
        <w:t>&gt;&lt;</w:t>
      </w:r>
      <w:r>
        <w:rPr>
          <w:rFonts w:hint="eastAsia"/>
        </w:rPr>
        <w:t>导出</w:t>
      </w:r>
      <w:r>
        <w:t>&gt;</w:t>
      </w:r>
      <w:r>
        <w:rPr>
          <w:rFonts w:hint="eastAsia"/>
        </w:rPr>
        <w:t>按钮，可以将所有的策略导出成</w:t>
      </w:r>
      <w:r>
        <w:t>csv</w:t>
      </w:r>
      <w:r>
        <w:rPr>
          <w:rFonts w:hint="eastAsia"/>
        </w:rPr>
        <w:t>文件。点击</w:t>
      </w:r>
      <w:r>
        <w:t>&lt;</w:t>
      </w:r>
      <w:r>
        <w:rPr>
          <w:rFonts w:hint="eastAsia"/>
        </w:rPr>
        <w:t>导入</w:t>
      </w:r>
      <w:r>
        <w:t>&gt;</w:t>
      </w:r>
      <w:r>
        <w:rPr>
          <w:rFonts w:hint="eastAsia"/>
        </w:rPr>
        <w:t>按钮可以将导出的</w:t>
      </w:r>
      <w:r>
        <w:t>csv</w:t>
      </w:r>
      <w:r>
        <w:rPr>
          <w:rFonts w:hint="eastAsia"/>
        </w:rPr>
        <w:t>文件中的策略导入到系统中。如</w:t>
      </w:r>
      <w:r>
        <w:rPr>
          <w:color w:val="0000FF"/>
          <w:u w:val="single"/>
        </w:rPr>
        <w:fldChar w:fldCharType="begin"/>
      </w:r>
      <w:r>
        <w:rPr>
          <w:color w:val="0000FF"/>
          <w:u w:val="single"/>
        </w:rPr>
        <w:instrText xml:space="preserve"> REF _Ref4416656 \r \h </w:instrText>
      </w:r>
      <w:r>
        <w:rPr>
          <w:color w:val="0000FF"/>
          <w:u w:val="single"/>
        </w:rPr>
        <w:fldChar w:fldCharType="separate"/>
      </w:r>
      <w:r>
        <w:rPr>
          <w:rFonts w:hint="eastAsia"/>
          <w:color w:val="0000FF"/>
          <w:u w:val="single"/>
        </w:rPr>
        <w:t>图10-12</w:t>
      </w:r>
      <w:r>
        <w:rPr>
          <w:color w:val="0000FF"/>
          <w:u w:val="single"/>
        </w:rPr>
        <w:fldChar w:fldCharType="end"/>
      </w:r>
      <w:r>
        <w:rPr>
          <w:rFonts w:hint="eastAsia"/>
        </w:rPr>
        <w:t>所示。</w:t>
      </w:r>
    </w:p>
    <w:p w14:paraId="6546DE70">
      <w:pPr>
        <w:pStyle w:val="188"/>
      </w:pPr>
      <w:bookmarkStart w:id="3027" w:name="_Ref4416656"/>
      <w:bookmarkStart w:id="3028" w:name="_Toc141874657"/>
      <w:r>
        <w:rPr>
          <w:rFonts w:hint="eastAsia"/>
        </w:rPr>
        <w:t>策略导入/导出</w:t>
      </w:r>
      <w:bookmarkEnd w:id="3027"/>
      <w:bookmarkEnd w:id="3028"/>
    </w:p>
    <w:p w14:paraId="6AD06AB1">
      <w:r>
        <w:drawing>
          <wp:inline distT="0" distB="0" distL="0" distR="0">
            <wp:extent cx="5381625" cy="1073785"/>
            <wp:effectExtent l="0" t="0" r="0" b="0"/>
            <wp:docPr id="3097" name="图片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 name="图片 3097"/>
                    <pic:cNvPicPr>
                      <a:picLocks noChangeAspect="1"/>
                    </pic:cNvPicPr>
                  </pic:nvPicPr>
                  <pic:blipFill>
                    <a:blip r:embed="rId421"/>
                    <a:stretch>
                      <a:fillRect/>
                    </a:stretch>
                  </pic:blipFill>
                  <pic:spPr>
                    <a:xfrm>
                      <a:off x="0" y="0"/>
                      <a:ext cx="5420647" cy="1081992"/>
                    </a:xfrm>
                    <a:prstGeom prst="rect">
                      <a:avLst/>
                    </a:prstGeom>
                  </pic:spPr>
                </pic:pic>
              </a:graphicData>
            </a:graphic>
          </wp:inline>
        </w:drawing>
      </w:r>
    </w:p>
    <w:p w14:paraId="5899F9BE"/>
    <w:p w14:paraId="260EC82A">
      <w:pPr>
        <w:pStyle w:val="4"/>
      </w:pPr>
      <w:bookmarkStart w:id="3029" w:name="_Toc15484827"/>
      <w:bookmarkStart w:id="3030" w:name="_Toc99561520"/>
      <w:bookmarkStart w:id="3031" w:name="_Toc141873443"/>
      <w:bookmarkStart w:id="3032" w:name="_Toc172218194"/>
      <w:bookmarkStart w:id="3033" w:name="_Toc23152593"/>
      <w:bookmarkStart w:id="3034" w:name="_Toc196728153"/>
      <w:bookmarkStart w:id="3035" w:name="_Toc12452306"/>
      <w:bookmarkStart w:id="3036" w:name="_Toc142400959"/>
      <w:bookmarkStart w:id="3037" w:name="_Toc194080821"/>
      <w:bookmarkStart w:id="3038" w:name="_Toc40276026"/>
      <w:r>
        <w:rPr>
          <w:rFonts w:hint="eastAsia"/>
        </w:rPr>
        <w:t>SSL</w:t>
      </w:r>
      <w:r>
        <w:t xml:space="preserve"> </w:t>
      </w:r>
      <w:r>
        <w:rPr>
          <w:rFonts w:hint="eastAsia"/>
        </w:rPr>
        <w:t>VPN的查看和管理</w:t>
      </w:r>
      <w:bookmarkEnd w:id="3029"/>
      <w:bookmarkEnd w:id="3030"/>
      <w:bookmarkEnd w:id="3031"/>
      <w:bookmarkEnd w:id="3032"/>
      <w:bookmarkEnd w:id="3033"/>
      <w:bookmarkEnd w:id="3034"/>
      <w:bookmarkEnd w:id="3035"/>
      <w:bookmarkEnd w:id="3036"/>
      <w:bookmarkEnd w:id="3037"/>
      <w:bookmarkEnd w:id="3038"/>
    </w:p>
    <w:p w14:paraId="2021BA71">
      <w:r>
        <w:rPr>
          <w:rFonts w:hint="eastAsia"/>
        </w:rPr>
        <w:t>详见</w:t>
      </w:r>
      <w:r>
        <w:fldChar w:fldCharType="begin"/>
      </w:r>
      <w:r>
        <w:instrText xml:space="preserve"> </w:instrText>
      </w:r>
      <w:r>
        <w:rPr>
          <w:rFonts w:hint="eastAsia"/>
        </w:rPr>
        <w:instrText xml:space="preserve">REF _Ref184235908 \h</w:instrText>
      </w:r>
      <w:r>
        <w:instrText xml:space="preserve"> </w:instrText>
      </w:r>
      <w:r>
        <w:fldChar w:fldCharType="separate"/>
      </w:r>
      <w:r>
        <w:rPr>
          <w:rFonts w:hint="eastAsia"/>
        </w:rPr>
        <w:t>SSL</w:t>
      </w:r>
      <w:r>
        <w:t xml:space="preserve"> VPN</w:t>
      </w:r>
      <w:r>
        <w:rPr>
          <w:rFonts w:hint="eastAsia"/>
        </w:rPr>
        <w:t>在线用户</w:t>
      </w:r>
      <w:r>
        <w:fldChar w:fldCharType="end"/>
      </w:r>
      <w:r>
        <w:t xml:space="preserve"> </w:t>
      </w:r>
      <w:r>
        <w:rPr>
          <w:rFonts w:hint="eastAsia"/>
        </w:rPr>
        <w:t>章节。</w:t>
      </w:r>
    </w:p>
    <w:p w14:paraId="48FA49F5">
      <w:pPr>
        <w:pStyle w:val="4"/>
      </w:pPr>
      <w:bookmarkStart w:id="3039" w:name="_Toc142400960"/>
      <w:bookmarkStart w:id="3040" w:name="_Toc99561521"/>
      <w:bookmarkStart w:id="3041" w:name="_Toc194080822"/>
      <w:bookmarkStart w:id="3042" w:name="_Toc196728154"/>
      <w:bookmarkStart w:id="3043" w:name="_Toc97915239"/>
      <w:bookmarkStart w:id="3044" w:name="_Toc141873444"/>
      <w:bookmarkStart w:id="3045" w:name="_Toc172218195"/>
      <w:bookmarkStart w:id="3046" w:name="_Toc22635746"/>
      <w:bookmarkStart w:id="3047" w:name="_Toc26906"/>
      <w:bookmarkStart w:id="3048" w:name="_Hlk4416139"/>
      <w:r>
        <w:t>SSL VPN客户端的安装及配置</w:t>
      </w:r>
      <w:bookmarkEnd w:id="3039"/>
      <w:bookmarkEnd w:id="3040"/>
      <w:bookmarkEnd w:id="3041"/>
      <w:bookmarkEnd w:id="3042"/>
      <w:bookmarkEnd w:id="3043"/>
      <w:bookmarkEnd w:id="3044"/>
      <w:bookmarkEnd w:id="3045"/>
      <w:r>
        <w:t xml:space="preserve"> </w:t>
      </w:r>
    </w:p>
    <w:p w14:paraId="44F40BBA">
      <w:pPr>
        <w:pStyle w:val="5"/>
      </w:pPr>
      <w:bookmarkStart w:id="3049" w:name="_Toc141873445"/>
      <w:bookmarkStart w:id="3050" w:name="_Toc172218196"/>
      <w:bookmarkStart w:id="3051" w:name="_Toc97915240"/>
      <w:bookmarkStart w:id="3052" w:name="_Toc99561522"/>
      <w:bookmarkStart w:id="3053" w:name="_Toc194080823"/>
      <w:bookmarkStart w:id="3054" w:name="_Toc142400961"/>
      <w:bookmarkStart w:id="3055" w:name="_Toc196728155"/>
      <w:r>
        <w:t>SSL VPN客户端安装软件的获取</w:t>
      </w:r>
      <w:bookmarkEnd w:id="3049"/>
      <w:bookmarkEnd w:id="3050"/>
      <w:bookmarkEnd w:id="3051"/>
      <w:bookmarkEnd w:id="3052"/>
      <w:bookmarkEnd w:id="3053"/>
      <w:bookmarkEnd w:id="3054"/>
      <w:bookmarkEnd w:id="3055"/>
    </w:p>
    <w:p w14:paraId="6172C299">
      <w:r>
        <w:rPr>
          <w:rFonts w:hint="eastAsia"/>
        </w:rPr>
        <w:t>SSL</w:t>
      </w:r>
      <w:r>
        <w:t xml:space="preserve"> VPN客户端需使用与设备版本配套的安装软件</w:t>
      </w:r>
      <w:r>
        <w:rPr>
          <w:rFonts w:hint="eastAsia"/>
        </w:rPr>
        <w:t>，</w:t>
      </w:r>
      <w:r>
        <w:t>您可以</w:t>
      </w:r>
      <w:r>
        <w:rPr>
          <w:rFonts w:hint="eastAsia"/>
        </w:rPr>
        <w:t>访问</w:t>
      </w:r>
      <w:r>
        <w:t>设备的SSL VPN门户页面进行</w:t>
      </w:r>
      <w:r>
        <w:rPr>
          <w:rFonts w:hint="eastAsia"/>
        </w:rPr>
        <w:t>下载。</w:t>
      </w:r>
    </w:p>
    <w:p w14:paraId="0AA0543B">
      <w:r>
        <w:rPr>
          <w:rFonts w:hint="eastAsia"/>
        </w:rPr>
        <w:t>SSL VPN客户端软件支持win7和win10操作系统，以及Android6.0以上系统，以下分别介绍Windows系统和Android系统的客户端安装及配置方法。</w:t>
      </w:r>
    </w:p>
    <w:p w14:paraId="43CC1D72">
      <w:pPr>
        <w:pStyle w:val="5"/>
      </w:pPr>
      <w:bookmarkStart w:id="3056" w:name="_Toc194080824"/>
      <w:bookmarkStart w:id="3057" w:name="_Toc97915241"/>
      <w:bookmarkStart w:id="3058" w:name="_Toc99561523"/>
      <w:bookmarkStart w:id="3059" w:name="_Toc142400962"/>
      <w:bookmarkStart w:id="3060" w:name="_Toc172218197"/>
      <w:bookmarkStart w:id="3061" w:name="_Toc141873446"/>
      <w:bookmarkStart w:id="3062" w:name="_Toc196728156"/>
      <w:r>
        <w:rPr>
          <w:rFonts w:hint="eastAsia"/>
        </w:rPr>
        <w:t>Windows系统SSL</w:t>
      </w:r>
      <w:r>
        <w:t xml:space="preserve"> VPN</w:t>
      </w:r>
      <w:r>
        <w:rPr>
          <w:rFonts w:hint="eastAsia"/>
        </w:rPr>
        <w:t>客户端</w:t>
      </w:r>
      <w:bookmarkEnd w:id="3046"/>
      <w:r>
        <w:rPr>
          <w:rFonts w:hint="eastAsia"/>
        </w:rPr>
        <w:t>安装及配置</w:t>
      </w:r>
      <w:bookmarkEnd w:id="3047"/>
      <w:bookmarkEnd w:id="3056"/>
      <w:bookmarkEnd w:id="3057"/>
      <w:bookmarkEnd w:id="3058"/>
      <w:bookmarkEnd w:id="3059"/>
      <w:bookmarkEnd w:id="3060"/>
      <w:bookmarkEnd w:id="3061"/>
      <w:bookmarkEnd w:id="3062"/>
    </w:p>
    <w:p w14:paraId="0892793B">
      <w:pPr>
        <w:pStyle w:val="6"/>
      </w:pPr>
      <w:bookmarkStart w:id="3063" w:name="_Toc22635747"/>
      <w:bookmarkStart w:id="3064" w:name="_Toc9021"/>
      <w:r>
        <w:rPr>
          <w:rFonts w:hint="eastAsia"/>
        </w:rPr>
        <w:t>客户端安装</w:t>
      </w:r>
      <w:bookmarkEnd w:id="3063"/>
      <w:bookmarkEnd w:id="3064"/>
    </w:p>
    <w:p w14:paraId="7641859A">
      <w:pPr>
        <w:pStyle w:val="202"/>
        <w:rPr>
          <w:lang w:eastAsia="zh-CN"/>
        </w:rPr>
      </w:pPr>
      <w:r>
        <w:rPr>
          <w:rFonts w:hint="eastAsia"/>
          <w:lang w:eastAsia="zh-CN"/>
        </w:rPr>
        <w:t>下载Windows系统的SSL</w:t>
      </w:r>
      <w:r>
        <w:rPr>
          <w:lang w:eastAsia="zh-CN"/>
        </w:rPr>
        <w:t xml:space="preserve"> VPN客户端</w:t>
      </w:r>
      <w:r>
        <w:rPr>
          <w:rFonts w:hint="eastAsia"/>
          <w:lang w:eastAsia="zh-CN"/>
        </w:rPr>
        <w:t>软件并解压缩，点击运行安装程序，如下图所示。</w:t>
      </w:r>
    </w:p>
    <w:p w14:paraId="4AAF557D">
      <w:pPr>
        <w:spacing w:before="79" w:after="79"/>
      </w:pPr>
      <w:r>
        <w:drawing>
          <wp:inline distT="0" distB="0" distL="0" distR="0">
            <wp:extent cx="1466215" cy="1437640"/>
            <wp:effectExtent l="0" t="0" r="635" b="0"/>
            <wp:docPr id="365"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pic:cNvPicPr>
                      <a:picLocks noChangeAspect="1"/>
                    </pic:cNvPicPr>
                  </pic:nvPicPr>
                  <pic:blipFill>
                    <a:blip r:embed="rId422"/>
                    <a:stretch>
                      <a:fillRect/>
                    </a:stretch>
                  </pic:blipFill>
                  <pic:spPr>
                    <a:xfrm>
                      <a:off x="0" y="0"/>
                      <a:ext cx="1466667" cy="1438095"/>
                    </a:xfrm>
                    <a:prstGeom prst="rect">
                      <a:avLst/>
                    </a:prstGeom>
                  </pic:spPr>
                </pic:pic>
              </a:graphicData>
            </a:graphic>
          </wp:inline>
        </w:drawing>
      </w:r>
    </w:p>
    <w:p w14:paraId="436F6FA8"/>
    <w:p w14:paraId="251B524E">
      <w:pPr>
        <w:pStyle w:val="202"/>
        <w:rPr>
          <w:lang w:eastAsia="zh-CN"/>
        </w:rPr>
      </w:pPr>
      <w:r>
        <w:rPr>
          <w:rFonts w:hint="eastAsia"/>
          <w:lang w:eastAsia="zh-CN"/>
        </w:rPr>
        <w:t>弹出安装向导页面，点击“Next”进入下一步。</w:t>
      </w:r>
    </w:p>
    <w:p w14:paraId="24313EBF">
      <w:pPr>
        <w:spacing w:before="79" w:after="79"/>
      </w:pPr>
      <w:r>
        <w:drawing>
          <wp:inline distT="0" distB="0" distL="0" distR="0">
            <wp:extent cx="4733290" cy="3647440"/>
            <wp:effectExtent l="0" t="0" r="0" b="0"/>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pic:cNvPicPr>
                      <a:picLocks noChangeAspect="1"/>
                    </pic:cNvPicPr>
                  </pic:nvPicPr>
                  <pic:blipFill>
                    <a:blip r:embed="rId423"/>
                    <a:stretch>
                      <a:fillRect/>
                    </a:stretch>
                  </pic:blipFill>
                  <pic:spPr>
                    <a:xfrm>
                      <a:off x="0" y="0"/>
                      <a:ext cx="4733333" cy="3647619"/>
                    </a:xfrm>
                    <a:prstGeom prst="rect">
                      <a:avLst/>
                    </a:prstGeom>
                  </pic:spPr>
                </pic:pic>
              </a:graphicData>
            </a:graphic>
          </wp:inline>
        </w:drawing>
      </w:r>
    </w:p>
    <w:p w14:paraId="1040F903"/>
    <w:p w14:paraId="279D907A">
      <w:pPr>
        <w:pStyle w:val="202"/>
        <w:rPr>
          <w:lang w:eastAsia="zh-CN"/>
        </w:rPr>
      </w:pPr>
      <w:r>
        <w:rPr>
          <w:rFonts w:hint="eastAsia"/>
          <w:lang w:eastAsia="zh-CN"/>
        </w:rPr>
        <w:t>选择默认安装组件，点击“Next”进入下一步。</w:t>
      </w:r>
    </w:p>
    <w:p w14:paraId="62BC6E7C">
      <w:pPr>
        <w:spacing w:before="79" w:after="79"/>
      </w:pPr>
      <w:r>
        <w:drawing>
          <wp:inline distT="0" distB="0" distL="0" distR="0">
            <wp:extent cx="4676140" cy="3656965"/>
            <wp:effectExtent l="0" t="0" r="0" b="635"/>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pic:cNvPicPr>
                      <a:picLocks noChangeAspect="1"/>
                    </pic:cNvPicPr>
                  </pic:nvPicPr>
                  <pic:blipFill>
                    <a:blip r:embed="rId424"/>
                    <a:stretch>
                      <a:fillRect/>
                    </a:stretch>
                  </pic:blipFill>
                  <pic:spPr>
                    <a:xfrm>
                      <a:off x="0" y="0"/>
                      <a:ext cx="4676190" cy="3657143"/>
                    </a:xfrm>
                    <a:prstGeom prst="rect">
                      <a:avLst/>
                    </a:prstGeom>
                  </pic:spPr>
                </pic:pic>
              </a:graphicData>
            </a:graphic>
          </wp:inline>
        </w:drawing>
      </w:r>
    </w:p>
    <w:p w14:paraId="71E786E7"/>
    <w:p w14:paraId="5A2F2F6C">
      <w:pPr>
        <w:pStyle w:val="202"/>
        <w:rPr>
          <w:lang w:eastAsia="zh-CN"/>
        </w:rPr>
      </w:pPr>
      <w:r>
        <w:rPr>
          <w:rFonts w:hint="eastAsia"/>
          <w:lang w:eastAsia="zh-CN"/>
        </w:rPr>
        <w:t>选择安装位置，点击“Install”开始安装。</w:t>
      </w:r>
    </w:p>
    <w:p w14:paraId="5F3B2477">
      <w:pPr>
        <w:spacing w:before="79" w:after="79"/>
      </w:pPr>
      <w:r>
        <w:drawing>
          <wp:inline distT="0" distB="0" distL="0" distR="0">
            <wp:extent cx="4238625" cy="3296285"/>
            <wp:effectExtent l="0" t="0" r="0" b="0"/>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pic:cNvPicPr>
                      <a:picLocks noChangeAspect="1"/>
                    </pic:cNvPicPr>
                  </pic:nvPicPr>
                  <pic:blipFill>
                    <a:blip r:embed="rId425"/>
                    <a:stretch>
                      <a:fillRect/>
                    </a:stretch>
                  </pic:blipFill>
                  <pic:spPr>
                    <a:xfrm>
                      <a:off x="0" y="0"/>
                      <a:ext cx="4241453" cy="3298908"/>
                    </a:xfrm>
                    <a:prstGeom prst="rect">
                      <a:avLst/>
                    </a:prstGeom>
                  </pic:spPr>
                </pic:pic>
              </a:graphicData>
            </a:graphic>
          </wp:inline>
        </w:drawing>
      </w:r>
    </w:p>
    <w:p w14:paraId="7AF2C816"/>
    <w:p w14:paraId="4EF2F28C">
      <w:pPr>
        <w:pStyle w:val="202"/>
        <w:rPr>
          <w:lang w:eastAsia="zh-CN"/>
        </w:rPr>
      </w:pPr>
      <w:r>
        <w:rPr>
          <w:rFonts w:hint="eastAsia"/>
          <w:lang w:eastAsia="zh-CN"/>
        </w:rPr>
        <w:t>弹出安全提示页面，点击“安装”。</w:t>
      </w:r>
    </w:p>
    <w:p w14:paraId="594FB6C1">
      <w:pPr>
        <w:spacing w:before="79" w:after="79"/>
      </w:pPr>
      <w:r>
        <w:drawing>
          <wp:inline distT="0" distB="0" distL="0" distR="0">
            <wp:extent cx="4010025" cy="1485900"/>
            <wp:effectExtent l="0" t="0" r="0" b="0"/>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pic:cNvPicPr>
                      <a:picLocks noChangeAspect="1"/>
                    </pic:cNvPicPr>
                  </pic:nvPicPr>
                  <pic:blipFill>
                    <a:blip r:embed="rId426"/>
                    <a:stretch>
                      <a:fillRect/>
                    </a:stretch>
                  </pic:blipFill>
                  <pic:spPr>
                    <a:xfrm>
                      <a:off x="0" y="0"/>
                      <a:ext cx="4013080" cy="1487149"/>
                    </a:xfrm>
                    <a:prstGeom prst="rect">
                      <a:avLst/>
                    </a:prstGeom>
                  </pic:spPr>
                </pic:pic>
              </a:graphicData>
            </a:graphic>
          </wp:inline>
        </w:drawing>
      </w:r>
    </w:p>
    <w:p w14:paraId="6222F868">
      <w:pPr>
        <w:pStyle w:val="202"/>
      </w:pPr>
      <w:r>
        <w:rPr>
          <w:rFonts w:hint="eastAsia"/>
        </w:rPr>
        <w:t>点击“Finish”完成安装。</w:t>
      </w:r>
    </w:p>
    <w:p w14:paraId="72A09601">
      <w:pPr>
        <w:spacing w:before="79" w:after="79"/>
      </w:pPr>
      <w:r>
        <w:drawing>
          <wp:inline distT="0" distB="0" distL="0" distR="0">
            <wp:extent cx="3867150" cy="2990215"/>
            <wp:effectExtent l="0" t="0" r="0" b="635"/>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pic:cNvPicPr>
                      <a:picLocks noChangeAspect="1"/>
                    </pic:cNvPicPr>
                  </pic:nvPicPr>
                  <pic:blipFill>
                    <a:blip r:embed="rId427"/>
                    <a:stretch>
                      <a:fillRect/>
                    </a:stretch>
                  </pic:blipFill>
                  <pic:spPr>
                    <a:xfrm>
                      <a:off x="0" y="0"/>
                      <a:ext cx="3871047" cy="2993400"/>
                    </a:xfrm>
                    <a:prstGeom prst="rect">
                      <a:avLst/>
                    </a:prstGeom>
                  </pic:spPr>
                </pic:pic>
              </a:graphicData>
            </a:graphic>
          </wp:inline>
        </w:drawing>
      </w:r>
    </w:p>
    <w:p w14:paraId="15A7979B">
      <w:pPr>
        <w:pStyle w:val="6"/>
      </w:pPr>
      <w:bookmarkStart w:id="3065" w:name="_Toc17"/>
      <w:bookmarkStart w:id="3066" w:name="_Toc22635748"/>
      <w:r>
        <w:rPr>
          <w:rFonts w:hint="eastAsia"/>
        </w:rPr>
        <w:t>客户端配置</w:t>
      </w:r>
      <w:bookmarkEnd w:id="3065"/>
      <w:bookmarkEnd w:id="3066"/>
    </w:p>
    <w:p w14:paraId="596FD6DF">
      <w:pPr>
        <w:pStyle w:val="202"/>
        <w:rPr>
          <w:lang w:eastAsia="zh-CN"/>
        </w:rPr>
      </w:pPr>
      <w:r>
        <w:rPr>
          <w:rFonts w:hint="eastAsia"/>
          <w:lang w:eastAsia="zh-CN"/>
        </w:rPr>
        <w:t>运行SSL VPN客户端程序</w:t>
      </w:r>
      <w:r>
        <w:rPr>
          <w:lang w:eastAsia="zh-CN"/>
        </w:rPr>
        <w:drawing>
          <wp:inline distT="0" distB="0" distL="0" distR="0">
            <wp:extent cx="523875" cy="661670"/>
            <wp:effectExtent l="0" t="0" r="0" b="5080"/>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pic:cNvPicPr>
                      <a:picLocks noChangeAspect="1"/>
                    </pic:cNvPicPr>
                  </pic:nvPicPr>
                  <pic:blipFill>
                    <a:blip r:embed="rId428"/>
                    <a:stretch>
                      <a:fillRect/>
                    </a:stretch>
                  </pic:blipFill>
                  <pic:spPr>
                    <a:xfrm>
                      <a:off x="0" y="0"/>
                      <a:ext cx="523875" cy="661670"/>
                    </a:xfrm>
                    <a:prstGeom prst="rect">
                      <a:avLst/>
                    </a:prstGeom>
                  </pic:spPr>
                </pic:pic>
              </a:graphicData>
            </a:graphic>
          </wp:inline>
        </w:drawing>
      </w:r>
      <w:r>
        <w:rPr>
          <w:rFonts w:hint="eastAsia"/>
          <w:lang w:eastAsia="zh-CN"/>
        </w:rPr>
        <w:t>，进入增加配置文件界面，如下</w:t>
      </w:r>
      <w:r>
        <w:rPr>
          <w:lang w:eastAsia="zh-CN"/>
        </w:rPr>
        <w:t>图</w:t>
      </w:r>
      <w:r>
        <w:rPr>
          <w:rFonts w:hint="eastAsia"/>
          <w:lang w:eastAsia="zh-CN"/>
        </w:rPr>
        <w:t>所示。</w:t>
      </w:r>
    </w:p>
    <w:p w14:paraId="32930061">
      <w:pPr>
        <w:pStyle w:val="188"/>
      </w:pPr>
      <w:bookmarkStart w:id="3067" w:name="_Ref521924064"/>
      <w:bookmarkStart w:id="3068" w:name="_Toc141874658"/>
      <w:r>
        <w:rPr>
          <w:rFonts w:hint="eastAsia"/>
        </w:rPr>
        <w:t>配置</w:t>
      </w:r>
      <w:r>
        <w:t>文件页面</w:t>
      </w:r>
      <w:bookmarkEnd w:id="3067"/>
      <w:bookmarkEnd w:id="3068"/>
    </w:p>
    <w:p w14:paraId="4C825B22">
      <w:pPr>
        <w:spacing w:before="79" w:after="79"/>
      </w:pPr>
      <w:r>
        <w:drawing>
          <wp:inline distT="0" distB="0" distL="0" distR="0">
            <wp:extent cx="2457450" cy="1489075"/>
            <wp:effectExtent l="0" t="0" r="0" b="0"/>
            <wp:docPr id="383"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3"/>
                    <pic:cNvPicPr>
                      <a:picLocks noChangeAspect="1"/>
                    </pic:cNvPicPr>
                  </pic:nvPicPr>
                  <pic:blipFill>
                    <a:blip r:embed="rId429"/>
                    <a:stretch>
                      <a:fillRect/>
                    </a:stretch>
                  </pic:blipFill>
                  <pic:spPr>
                    <a:xfrm>
                      <a:off x="0" y="0"/>
                      <a:ext cx="2466665" cy="1495204"/>
                    </a:xfrm>
                    <a:prstGeom prst="rect">
                      <a:avLst/>
                    </a:prstGeom>
                  </pic:spPr>
                </pic:pic>
              </a:graphicData>
            </a:graphic>
          </wp:inline>
        </w:drawing>
      </w:r>
    </w:p>
    <w:p w14:paraId="3FEF15A5"/>
    <w:p w14:paraId="521E432A">
      <w:pPr>
        <w:pStyle w:val="183"/>
      </w:pPr>
      <w:bookmarkStart w:id="3069" w:name="_Toc141875521"/>
      <w:r>
        <w:rPr>
          <w:rFonts w:hint="eastAsia"/>
        </w:rPr>
        <w:t>配置文件界面详细描述</w:t>
      </w:r>
      <w:bookmarkEnd w:id="3069"/>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235"/>
        <w:gridCol w:w="6797"/>
      </w:tblGrid>
      <w:tr w14:paraId="6414AA8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235" w:type="dxa"/>
            <w:tcBorders>
              <w:tl2br w:val="nil"/>
              <w:tr2bl w:val="nil"/>
            </w:tcBorders>
            <w:shd w:val="clear" w:color="auto" w:fill="538135" w:themeFill="accent6" w:themeFillShade="BF"/>
            <w:vAlign w:val="center"/>
          </w:tcPr>
          <w:p w14:paraId="6E03957F">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797" w:type="dxa"/>
            <w:tcBorders>
              <w:tl2br w:val="nil"/>
              <w:tr2bl w:val="nil"/>
            </w:tcBorders>
            <w:shd w:val="clear" w:color="auto" w:fill="538135" w:themeFill="accent6" w:themeFillShade="BF"/>
            <w:vAlign w:val="center"/>
          </w:tcPr>
          <w:p w14:paraId="1A8B10EA">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A6D1DA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235" w:type="dxa"/>
            <w:shd w:val="clear" w:color="auto" w:fill="auto"/>
          </w:tcPr>
          <w:p w14:paraId="07DE44B3">
            <w:pPr>
              <w:pStyle w:val="186"/>
              <w:widowControl w:val="0"/>
              <w:spacing w:line="240" w:lineRule="auto"/>
              <w:ind w:firstLine="0"/>
              <w:jc w:val="left"/>
            </w:pPr>
            <w:r>
              <w:rPr>
                <w:rFonts w:hint="eastAsia"/>
              </w:rPr>
              <w:t>文件名</w:t>
            </w:r>
          </w:p>
        </w:tc>
        <w:tc>
          <w:tcPr>
            <w:tcW w:w="6797" w:type="dxa"/>
            <w:shd w:val="clear" w:color="auto" w:fill="auto"/>
          </w:tcPr>
          <w:p w14:paraId="74FE4A16">
            <w:pPr>
              <w:pStyle w:val="186"/>
              <w:widowControl w:val="0"/>
              <w:spacing w:line="240" w:lineRule="auto"/>
              <w:ind w:firstLine="0"/>
              <w:jc w:val="left"/>
            </w:pPr>
            <w:r>
              <w:rPr>
                <w:rFonts w:hint="eastAsia"/>
              </w:rPr>
              <w:t>添加配置文件名称，任意</w:t>
            </w:r>
          </w:p>
        </w:tc>
      </w:tr>
      <w:tr w14:paraId="5547C9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235" w:type="dxa"/>
            <w:shd w:val="clear" w:color="auto" w:fill="auto"/>
          </w:tcPr>
          <w:p w14:paraId="2716C292">
            <w:pPr>
              <w:pStyle w:val="186"/>
              <w:widowControl w:val="0"/>
              <w:spacing w:line="240" w:lineRule="auto"/>
              <w:ind w:firstLine="0"/>
              <w:jc w:val="left"/>
            </w:pPr>
            <w:r>
              <w:rPr>
                <w:rFonts w:hint="eastAsia"/>
              </w:rPr>
              <w:t>地址</w:t>
            </w:r>
          </w:p>
        </w:tc>
        <w:tc>
          <w:tcPr>
            <w:tcW w:w="6797" w:type="dxa"/>
            <w:shd w:val="clear" w:color="auto" w:fill="auto"/>
          </w:tcPr>
          <w:p w14:paraId="2F33120A">
            <w:pPr>
              <w:pStyle w:val="186"/>
              <w:widowControl w:val="0"/>
              <w:spacing w:line="240" w:lineRule="auto"/>
              <w:ind w:firstLine="0"/>
              <w:jc w:val="left"/>
            </w:pPr>
            <w:r>
              <w:t>SSL VPN</w:t>
            </w:r>
            <w:r>
              <w:rPr>
                <w:rFonts w:hint="eastAsia"/>
              </w:rPr>
              <w:t>服务器地址。请参见SSL VPN全局配置的“拨入接口”的IP地址。</w:t>
            </w:r>
          </w:p>
        </w:tc>
      </w:tr>
      <w:tr w14:paraId="5DE1CEC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235" w:type="dxa"/>
            <w:shd w:val="clear" w:color="auto" w:fill="auto"/>
          </w:tcPr>
          <w:p w14:paraId="3E0BD760">
            <w:pPr>
              <w:pStyle w:val="186"/>
              <w:widowControl w:val="0"/>
              <w:spacing w:line="240" w:lineRule="auto"/>
              <w:ind w:firstLine="0"/>
              <w:jc w:val="left"/>
            </w:pPr>
            <w:r>
              <w:rPr>
                <w:rFonts w:hint="eastAsia"/>
              </w:rPr>
              <w:t>端口</w:t>
            </w:r>
          </w:p>
        </w:tc>
        <w:tc>
          <w:tcPr>
            <w:tcW w:w="6797" w:type="dxa"/>
            <w:shd w:val="clear" w:color="auto" w:fill="auto"/>
          </w:tcPr>
          <w:p w14:paraId="67525DB5">
            <w:pPr>
              <w:pStyle w:val="186"/>
              <w:widowControl w:val="0"/>
              <w:spacing w:line="240" w:lineRule="auto"/>
              <w:ind w:firstLine="0"/>
              <w:jc w:val="left"/>
            </w:pPr>
            <w:r>
              <w:rPr>
                <w:rFonts w:hint="eastAsia"/>
              </w:rPr>
              <w:t>SSL</w:t>
            </w:r>
            <w:r>
              <w:t xml:space="preserve"> </w:t>
            </w:r>
            <w:r>
              <w:rPr>
                <w:rFonts w:hint="eastAsia"/>
              </w:rPr>
              <w:t>VPN服务端口。请参见SSL VPN全局配置的“SSL VPN端口”。</w:t>
            </w:r>
          </w:p>
        </w:tc>
      </w:tr>
    </w:tbl>
    <w:p w14:paraId="3AC79DD0"/>
    <w:p w14:paraId="16FDFA66">
      <w:pPr>
        <w:pStyle w:val="202"/>
        <w:rPr>
          <w:lang w:eastAsia="zh-CN"/>
        </w:rPr>
      </w:pPr>
      <w:r>
        <w:rPr>
          <w:rFonts w:hint="eastAsia"/>
          <w:lang w:eastAsia="zh-CN"/>
        </w:rPr>
        <w:t>添加完配置文件后，选择任务栏中的</w:t>
      </w:r>
      <w:r>
        <w:rPr>
          <w:lang w:eastAsia="zh-CN"/>
        </w:rPr>
        <w:drawing>
          <wp:inline distT="0" distB="0" distL="0" distR="0">
            <wp:extent cx="275590" cy="304165"/>
            <wp:effectExtent l="0" t="0" r="0" b="635"/>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17"/>
                    <pic:cNvPicPr>
                      <a:picLocks noChangeAspect="1"/>
                    </pic:cNvPicPr>
                  </pic:nvPicPr>
                  <pic:blipFill>
                    <a:blip r:embed="rId430"/>
                    <a:stretch>
                      <a:fillRect/>
                    </a:stretch>
                  </pic:blipFill>
                  <pic:spPr>
                    <a:xfrm>
                      <a:off x="0" y="0"/>
                      <a:ext cx="276190" cy="304762"/>
                    </a:xfrm>
                    <a:prstGeom prst="rect">
                      <a:avLst/>
                    </a:prstGeom>
                  </pic:spPr>
                </pic:pic>
              </a:graphicData>
            </a:graphic>
          </wp:inline>
        </w:drawing>
      </w:r>
      <w:r>
        <w:rPr>
          <w:rFonts w:hint="eastAsia"/>
          <w:lang w:eastAsia="zh-CN"/>
        </w:rPr>
        <w:t>图标点击右键，进行客户端连接，如下</w:t>
      </w:r>
      <w:r>
        <w:rPr>
          <w:lang w:eastAsia="zh-CN"/>
        </w:rPr>
        <w:t>图</w:t>
      </w:r>
      <w:r>
        <w:rPr>
          <w:rFonts w:hint="eastAsia"/>
          <w:lang w:eastAsia="zh-CN"/>
        </w:rPr>
        <w:t>所示。</w:t>
      </w:r>
    </w:p>
    <w:p w14:paraId="287BD99F">
      <w:pPr>
        <w:pStyle w:val="188"/>
      </w:pPr>
      <w:bookmarkStart w:id="3070" w:name="_Ref521922936"/>
      <w:bookmarkStart w:id="3071" w:name="_Toc141874659"/>
      <w:r>
        <w:rPr>
          <w:rFonts w:hint="eastAsia"/>
        </w:rPr>
        <w:t>右键</w:t>
      </w:r>
      <w:r>
        <w:t>列表</w:t>
      </w:r>
      <w:bookmarkEnd w:id="3070"/>
      <w:bookmarkEnd w:id="3071"/>
    </w:p>
    <w:p w14:paraId="325875F0">
      <w:pPr>
        <w:spacing w:before="79" w:after="79"/>
      </w:pPr>
      <w:r>
        <w:drawing>
          <wp:inline distT="0" distB="0" distL="0" distR="0">
            <wp:extent cx="1543050" cy="2743200"/>
            <wp:effectExtent l="0" t="0" r="0" b="0"/>
            <wp:docPr id="437" name="图片 437" descr="C:\Users\zuofulong.SAPLING0\Documents\Tencent Files\823386919\Image\C2C\Image2\ZSMFK@SUB@[`Z5$V}DV6HB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437" descr="C:\Users\zuofulong.SAPLING0\Documents\Tencent Files\823386919\Image\C2C\Image2\ZSMFK@SUB@[`Z5$V}DV6HBL.png"/>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a:xfrm>
                      <a:off x="0" y="0"/>
                      <a:ext cx="1544246" cy="2745326"/>
                    </a:xfrm>
                    <a:prstGeom prst="rect">
                      <a:avLst/>
                    </a:prstGeom>
                    <a:noFill/>
                    <a:ln>
                      <a:noFill/>
                    </a:ln>
                  </pic:spPr>
                </pic:pic>
              </a:graphicData>
            </a:graphic>
          </wp:inline>
        </w:drawing>
      </w:r>
    </w:p>
    <w:p w14:paraId="06B1557A"/>
    <w:p w14:paraId="5C28E244">
      <w:pPr>
        <w:pStyle w:val="183"/>
      </w:pPr>
      <w:bookmarkStart w:id="3072" w:name="_Toc141875522"/>
      <w:r>
        <w:rPr>
          <w:rFonts w:hint="eastAsia"/>
        </w:rPr>
        <w:t>客户端设置界面详细描述</w:t>
      </w:r>
      <w:bookmarkEnd w:id="3072"/>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809"/>
        <w:gridCol w:w="7223"/>
      </w:tblGrid>
      <w:tr w14:paraId="0C5FCA6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809" w:type="dxa"/>
            <w:tcBorders>
              <w:tl2br w:val="nil"/>
              <w:tr2bl w:val="nil"/>
            </w:tcBorders>
            <w:shd w:val="clear" w:color="auto" w:fill="538135" w:themeFill="accent6" w:themeFillShade="BF"/>
            <w:vAlign w:val="center"/>
          </w:tcPr>
          <w:p w14:paraId="277D2658">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223" w:type="dxa"/>
            <w:tcBorders>
              <w:tl2br w:val="nil"/>
              <w:tr2bl w:val="nil"/>
            </w:tcBorders>
            <w:shd w:val="clear" w:color="auto" w:fill="538135" w:themeFill="accent6" w:themeFillShade="BF"/>
            <w:vAlign w:val="center"/>
          </w:tcPr>
          <w:p w14:paraId="0734B711">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E1D237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809" w:type="dxa"/>
            <w:shd w:val="clear" w:color="auto" w:fill="auto"/>
          </w:tcPr>
          <w:p w14:paraId="51E40F2E">
            <w:pPr>
              <w:pStyle w:val="186"/>
              <w:widowControl w:val="0"/>
              <w:spacing w:line="240" w:lineRule="auto"/>
              <w:ind w:firstLine="0"/>
              <w:jc w:val="left"/>
            </w:pPr>
            <w:r>
              <w:rPr>
                <w:rFonts w:hint="eastAsia"/>
              </w:rPr>
              <w:t>连接</w:t>
            </w:r>
          </w:p>
        </w:tc>
        <w:tc>
          <w:tcPr>
            <w:tcW w:w="7223" w:type="dxa"/>
            <w:shd w:val="clear" w:color="auto" w:fill="auto"/>
          </w:tcPr>
          <w:p w14:paraId="35274209">
            <w:pPr>
              <w:pStyle w:val="186"/>
              <w:widowControl w:val="0"/>
              <w:spacing w:line="240" w:lineRule="auto"/>
              <w:ind w:firstLine="0"/>
              <w:jc w:val="left"/>
            </w:pPr>
            <w:r>
              <w:rPr>
                <w:rFonts w:hint="eastAsia"/>
              </w:rPr>
              <w:t>进行SSL VPN连接</w:t>
            </w:r>
          </w:p>
        </w:tc>
      </w:tr>
      <w:tr w14:paraId="2C9C92F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809" w:type="dxa"/>
            <w:shd w:val="clear" w:color="auto" w:fill="auto"/>
          </w:tcPr>
          <w:p w14:paraId="7EE58D86">
            <w:pPr>
              <w:pStyle w:val="186"/>
              <w:widowControl w:val="0"/>
              <w:spacing w:line="240" w:lineRule="auto"/>
              <w:ind w:firstLine="0"/>
              <w:jc w:val="left"/>
            </w:pPr>
            <w:r>
              <w:rPr>
                <w:rFonts w:hint="eastAsia"/>
              </w:rPr>
              <w:t>断线</w:t>
            </w:r>
          </w:p>
        </w:tc>
        <w:tc>
          <w:tcPr>
            <w:tcW w:w="7223" w:type="dxa"/>
            <w:shd w:val="clear" w:color="auto" w:fill="auto"/>
          </w:tcPr>
          <w:p w14:paraId="477347F6">
            <w:pPr>
              <w:pStyle w:val="186"/>
              <w:widowControl w:val="0"/>
              <w:spacing w:line="240" w:lineRule="auto"/>
              <w:ind w:firstLine="0"/>
              <w:jc w:val="left"/>
            </w:pPr>
            <w:r>
              <w:t>SSL VPN</w:t>
            </w:r>
            <w:r>
              <w:rPr>
                <w:rFonts w:hint="eastAsia"/>
              </w:rPr>
              <w:t>连接成功后断开</w:t>
            </w:r>
          </w:p>
        </w:tc>
      </w:tr>
      <w:tr w14:paraId="2B6A5C0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809" w:type="dxa"/>
            <w:shd w:val="clear" w:color="auto" w:fill="auto"/>
          </w:tcPr>
          <w:p w14:paraId="0DBFDFF6">
            <w:pPr>
              <w:pStyle w:val="186"/>
              <w:widowControl w:val="0"/>
              <w:spacing w:line="240" w:lineRule="auto"/>
              <w:ind w:firstLine="0"/>
              <w:jc w:val="left"/>
            </w:pPr>
            <w:r>
              <w:rPr>
                <w:rFonts w:hint="eastAsia"/>
              </w:rPr>
              <w:t>重新连接</w:t>
            </w:r>
          </w:p>
        </w:tc>
        <w:tc>
          <w:tcPr>
            <w:tcW w:w="7223" w:type="dxa"/>
            <w:shd w:val="clear" w:color="auto" w:fill="auto"/>
          </w:tcPr>
          <w:p w14:paraId="14FF9100">
            <w:pPr>
              <w:pStyle w:val="186"/>
              <w:widowControl w:val="0"/>
              <w:spacing w:line="240" w:lineRule="auto"/>
              <w:ind w:firstLine="0"/>
              <w:jc w:val="left"/>
            </w:pPr>
            <w:r>
              <w:rPr>
                <w:rFonts w:hint="eastAsia"/>
              </w:rPr>
              <w:t>SSL VPN连接成功后重连</w:t>
            </w:r>
          </w:p>
        </w:tc>
      </w:tr>
      <w:tr w14:paraId="4497F2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809" w:type="dxa"/>
            <w:shd w:val="clear" w:color="auto" w:fill="auto"/>
          </w:tcPr>
          <w:p w14:paraId="2A5A61A0">
            <w:pPr>
              <w:pStyle w:val="186"/>
              <w:widowControl w:val="0"/>
              <w:spacing w:line="240" w:lineRule="auto"/>
              <w:ind w:firstLine="0"/>
              <w:jc w:val="left"/>
            </w:pPr>
            <w:r>
              <w:rPr>
                <w:rFonts w:hint="eastAsia"/>
              </w:rPr>
              <w:t>修改密码</w:t>
            </w:r>
          </w:p>
        </w:tc>
        <w:tc>
          <w:tcPr>
            <w:tcW w:w="7223" w:type="dxa"/>
            <w:shd w:val="clear" w:color="auto" w:fill="auto"/>
          </w:tcPr>
          <w:p w14:paraId="685FF71D">
            <w:pPr>
              <w:pStyle w:val="186"/>
              <w:widowControl w:val="0"/>
              <w:spacing w:line="240" w:lineRule="auto"/>
              <w:ind w:firstLine="0"/>
              <w:jc w:val="left"/>
            </w:pPr>
            <w:r>
              <w:rPr>
                <w:rFonts w:hint="eastAsia"/>
              </w:rPr>
              <w:t>SSL VPN</w:t>
            </w:r>
            <w:r>
              <w:t>连接成功后修改登录密码</w:t>
            </w:r>
          </w:p>
        </w:tc>
      </w:tr>
      <w:tr w14:paraId="51334B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809" w:type="dxa"/>
            <w:shd w:val="clear" w:color="auto" w:fill="auto"/>
          </w:tcPr>
          <w:p w14:paraId="142C8588">
            <w:pPr>
              <w:pStyle w:val="186"/>
              <w:widowControl w:val="0"/>
              <w:spacing w:line="240" w:lineRule="auto"/>
              <w:ind w:firstLine="0"/>
              <w:jc w:val="left"/>
            </w:pPr>
            <w:r>
              <w:rPr>
                <w:rFonts w:hint="eastAsia"/>
              </w:rPr>
              <w:t>显示状态</w:t>
            </w:r>
          </w:p>
        </w:tc>
        <w:tc>
          <w:tcPr>
            <w:tcW w:w="7223" w:type="dxa"/>
            <w:shd w:val="clear" w:color="auto" w:fill="auto"/>
          </w:tcPr>
          <w:p w14:paraId="0B0B7279">
            <w:pPr>
              <w:pStyle w:val="186"/>
              <w:widowControl w:val="0"/>
              <w:spacing w:line="240" w:lineRule="auto"/>
              <w:ind w:firstLine="0"/>
              <w:jc w:val="left"/>
            </w:pPr>
            <w:r>
              <w:rPr>
                <w:rFonts w:hint="eastAsia"/>
              </w:rPr>
              <w:t>SSLPVN连接成功后点击显示状态，弹出状态框</w:t>
            </w:r>
          </w:p>
        </w:tc>
      </w:tr>
      <w:tr w14:paraId="716DC0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809" w:type="dxa"/>
            <w:shd w:val="clear" w:color="auto" w:fill="auto"/>
          </w:tcPr>
          <w:p w14:paraId="37D2E2F4">
            <w:pPr>
              <w:pStyle w:val="186"/>
              <w:widowControl w:val="0"/>
              <w:spacing w:line="240" w:lineRule="auto"/>
              <w:ind w:firstLine="0"/>
              <w:jc w:val="left"/>
            </w:pPr>
            <w:r>
              <w:rPr>
                <w:rFonts w:hint="eastAsia"/>
              </w:rPr>
              <w:t>显示记录</w:t>
            </w:r>
          </w:p>
        </w:tc>
        <w:tc>
          <w:tcPr>
            <w:tcW w:w="7223" w:type="dxa"/>
            <w:shd w:val="clear" w:color="auto" w:fill="auto"/>
          </w:tcPr>
          <w:p w14:paraId="30596B15">
            <w:pPr>
              <w:pStyle w:val="186"/>
              <w:widowControl w:val="0"/>
              <w:spacing w:line="240" w:lineRule="auto"/>
              <w:ind w:firstLine="0"/>
              <w:jc w:val="left"/>
            </w:pPr>
            <w:r>
              <w:rPr>
                <w:rFonts w:hint="eastAsia"/>
              </w:rPr>
              <w:t>点击显示记录，弹出</w:t>
            </w:r>
            <w:r>
              <w:t>SSL VPN</w:t>
            </w:r>
            <w:r>
              <w:rPr>
                <w:rFonts w:hint="eastAsia"/>
              </w:rPr>
              <w:t>连接的LOG记录</w:t>
            </w:r>
          </w:p>
        </w:tc>
      </w:tr>
      <w:tr w14:paraId="2B9F81C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809" w:type="dxa"/>
            <w:shd w:val="clear" w:color="auto" w:fill="auto"/>
          </w:tcPr>
          <w:p w14:paraId="1A732784">
            <w:pPr>
              <w:pStyle w:val="186"/>
              <w:widowControl w:val="0"/>
              <w:spacing w:line="240" w:lineRule="auto"/>
              <w:ind w:firstLine="0"/>
              <w:jc w:val="left"/>
            </w:pPr>
            <w:r>
              <w:rPr>
                <w:rFonts w:hint="eastAsia"/>
              </w:rPr>
              <w:t>编辑配置文件</w:t>
            </w:r>
          </w:p>
        </w:tc>
        <w:tc>
          <w:tcPr>
            <w:tcW w:w="7223" w:type="dxa"/>
            <w:shd w:val="clear" w:color="auto" w:fill="auto"/>
          </w:tcPr>
          <w:p w14:paraId="4EBFB56A">
            <w:pPr>
              <w:pStyle w:val="186"/>
              <w:widowControl w:val="0"/>
              <w:spacing w:line="240" w:lineRule="auto"/>
              <w:ind w:firstLine="0"/>
              <w:jc w:val="left"/>
            </w:pPr>
            <w:r>
              <w:rPr>
                <w:rFonts w:hint="eastAsia"/>
              </w:rPr>
              <w:t>进行配置文件的修改</w:t>
            </w:r>
          </w:p>
        </w:tc>
      </w:tr>
      <w:tr w14:paraId="0929B2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809" w:type="dxa"/>
            <w:shd w:val="clear" w:color="auto" w:fill="auto"/>
          </w:tcPr>
          <w:p w14:paraId="21422960">
            <w:pPr>
              <w:pStyle w:val="186"/>
              <w:widowControl w:val="0"/>
              <w:spacing w:line="240" w:lineRule="auto"/>
              <w:ind w:firstLine="0"/>
              <w:jc w:val="left"/>
            </w:pPr>
            <w:r>
              <w:rPr>
                <w:rFonts w:hint="eastAsia"/>
              </w:rPr>
              <w:t>清除保存的密码</w:t>
            </w:r>
          </w:p>
        </w:tc>
        <w:tc>
          <w:tcPr>
            <w:tcW w:w="7223" w:type="dxa"/>
            <w:shd w:val="clear" w:color="auto" w:fill="auto"/>
          </w:tcPr>
          <w:p w14:paraId="023A144E">
            <w:pPr>
              <w:pStyle w:val="186"/>
              <w:widowControl w:val="0"/>
              <w:spacing w:line="240" w:lineRule="auto"/>
              <w:ind w:firstLine="0"/>
              <w:jc w:val="left"/>
            </w:pPr>
            <w:r>
              <w:rPr>
                <w:rFonts w:hint="eastAsia"/>
              </w:rPr>
              <w:t>清除保存的SSL VPN用户密码</w:t>
            </w:r>
          </w:p>
        </w:tc>
      </w:tr>
      <w:tr w14:paraId="70B5FB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809" w:type="dxa"/>
            <w:shd w:val="clear" w:color="auto" w:fill="auto"/>
          </w:tcPr>
          <w:p w14:paraId="1FAA1622">
            <w:pPr>
              <w:pStyle w:val="186"/>
              <w:widowControl w:val="0"/>
              <w:spacing w:line="240" w:lineRule="auto"/>
              <w:ind w:firstLine="0"/>
              <w:jc w:val="left"/>
            </w:pPr>
            <w:r>
              <w:rPr>
                <w:rFonts w:hint="eastAsia"/>
              </w:rPr>
              <w:t>导入配置文件</w:t>
            </w:r>
          </w:p>
        </w:tc>
        <w:tc>
          <w:tcPr>
            <w:tcW w:w="7223" w:type="dxa"/>
            <w:shd w:val="clear" w:color="auto" w:fill="auto"/>
          </w:tcPr>
          <w:p w14:paraId="5B1FDEDF">
            <w:pPr>
              <w:pStyle w:val="186"/>
              <w:widowControl w:val="0"/>
              <w:spacing w:line="240" w:lineRule="auto"/>
              <w:ind w:firstLine="0"/>
              <w:jc w:val="left"/>
            </w:pPr>
            <w:r>
              <w:rPr>
                <w:rFonts w:hint="eastAsia"/>
              </w:rPr>
              <w:t>进行配置文件的导入</w:t>
            </w:r>
          </w:p>
        </w:tc>
      </w:tr>
      <w:tr w14:paraId="52FB019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809" w:type="dxa"/>
            <w:shd w:val="clear" w:color="auto" w:fill="auto"/>
          </w:tcPr>
          <w:p w14:paraId="10795251">
            <w:pPr>
              <w:pStyle w:val="186"/>
              <w:widowControl w:val="0"/>
              <w:spacing w:line="240" w:lineRule="auto"/>
              <w:ind w:firstLine="0"/>
              <w:jc w:val="left"/>
            </w:pPr>
            <w:r>
              <w:rPr>
                <w:rFonts w:hint="eastAsia"/>
              </w:rPr>
              <w:t>新增配置文件</w:t>
            </w:r>
          </w:p>
        </w:tc>
        <w:tc>
          <w:tcPr>
            <w:tcW w:w="7223" w:type="dxa"/>
            <w:shd w:val="clear" w:color="auto" w:fill="auto"/>
          </w:tcPr>
          <w:p w14:paraId="1957A8FF">
            <w:pPr>
              <w:pStyle w:val="186"/>
              <w:widowControl w:val="0"/>
              <w:spacing w:line="240" w:lineRule="auto"/>
              <w:ind w:firstLine="0"/>
              <w:jc w:val="left"/>
            </w:pPr>
            <w:r>
              <w:rPr>
                <w:rFonts w:hint="eastAsia"/>
              </w:rPr>
              <w:t>新建配置文件</w:t>
            </w:r>
          </w:p>
        </w:tc>
      </w:tr>
      <w:tr w14:paraId="16D678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809" w:type="dxa"/>
            <w:shd w:val="clear" w:color="auto" w:fill="auto"/>
          </w:tcPr>
          <w:p w14:paraId="027A1971">
            <w:pPr>
              <w:pStyle w:val="186"/>
              <w:widowControl w:val="0"/>
              <w:spacing w:line="240" w:lineRule="auto"/>
              <w:ind w:firstLine="0"/>
              <w:jc w:val="left"/>
            </w:pPr>
            <w:r>
              <w:rPr>
                <w:rFonts w:hint="eastAsia"/>
              </w:rPr>
              <w:t>选项</w:t>
            </w:r>
          </w:p>
        </w:tc>
        <w:tc>
          <w:tcPr>
            <w:tcW w:w="7223" w:type="dxa"/>
            <w:shd w:val="clear" w:color="auto" w:fill="auto"/>
          </w:tcPr>
          <w:p w14:paraId="212EAE03">
            <w:pPr>
              <w:pStyle w:val="186"/>
              <w:widowControl w:val="0"/>
              <w:spacing w:line="240" w:lineRule="auto"/>
              <w:ind w:firstLine="0"/>
              <w:jc w:val="left"/>
            </w:pPr>
            <w:r>
              <w:rPr>
                <w:rFonts w:hint="eastAsia"/>
              </w:rPr>
              <w:t>进行客户端的设置，包括：语言设置、开启是否自动启动、代理设置、配置文件以及log日志的目录、客户端版本信息</w:t>
            </w:r>
          </w:p>
        </w:tc>
      </w:tr>
      <w:tr w14:paraId="5455997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809" w:type="dxa"/>
            <w:shd w:val="clear" w:color="auto" w:fill="auto"/>
          </w:tcPr>
          <w:p w14:paraId="3CCBDFC2">
            <w:pPr>
              <w:pStyle w:val="186"/>
              <w:widowControl w:val="0"/>
              <w:spacing w:line="240" w:lineRule="auto"/>
              <w:ind w:firstLine="0"/>
              <w:jc w:val="left"/>
            </w:pPr>
            <w:r>
              <w:rPr>
                <w:rFonts w:hint="eastAsia"/>
              </w:rPr>
              <w:t>退出</w:t>
            </w:r>
          </w:p>
        </w:tc>
        <w:tc>
          <w:tcPr>
            <w:tcW w:w="7223" w:type="dxa"/>
            <w:shd w:val="clear" w:color="auto" w:fill="auto"/>
          </w:tcPr>
          <w:p w14:paraId="7453F7C8">
            <w:pPr>
              <w:pStyle w:val="186"/>
              <w:widowControl w:val="0"/>
              <w:spacing w:line="240" w:lineRule="auto"/>
              <w:ind w:firstLine="0"/>
              <w:jc w:val="left"/>
            </w:pPr>
            <w:r>
              <w:rPr>
                <w:rFonts w:hint="eastAsia"/>
              </w:rPr>
              <w:t>关闭客户端</w:t>
            </w:r>
          </w:p>
        </w:tc>
      </w:tr>
    </w:tbl>
    <w:p w14:paraId="72EDFE30"/>
    <w:p w14:paraId="2F3D76F8">
      <w:pPr>
        <w:pStyle w:val="202"/>
        <w:rPr>
          <w:lang w:eastAsia="zh-CN"/>
        </w:rPr>
      </w:pPr>
      <w:r>
        <w:rPr>
          <w:rFonts w:hint="eastAsia"/>
          <w:lang w:eastAsia="zh-CN"/>
        </w:rPr>
        <w:t>点击&lt;连接&gt;按钮，进行</w:t>
      </w:r>
      <w:r>
        <w:rPr>
          <w:lang w:eastAsia="zh-CN"/>
        </w:rPr>
        <w:t>SSL VPN</w:t>
      </w:r>
      <w:r>
        <w:rPr>
          <w:rFonts w:hint="eastAsia"/>
          <w:lang w:eastAsia="zh-CN"/>
        </w:rPr>
        <w:t>连接。弹出认证界面，如下</w:t>
      </w:r>
      <w:r>
        <w:rPr>
          <w:lang w:eastAsia="zh-CN"/>
        </w:rPr>
        <w:t>图</w:t>
      </w:r>
      <w:r>
        <w:rPr>
          <w:rFonts w:hint="eastAsia"/>
          <w:lang w:eastAsia="zh-CN"/>
        </w:rPr>
        <w:t>所示。</w:t>
      </w:r>
    </w:p>
    <w:p w14:paraId="6409C190">
      <w:pPr>
        <w:pStyle w:val="188"/>
      </w:pPr>
      <w:bookmarkStart w:id="3073" w:name="_Ref521922373"/>
      <w:bookmarkStart w:id="3074" w:name="_Toc141874660"/>
      <w:r>
        <w:rPr>
          <w:rFonts w:hint="eastAsia"/>
        </w:rPr>
        <w:t>认证</w:t>
      </w:r>
      <w:r>
        <w:t>界面</w:t>
      </w:r>
      <w:bookmarkEnd w:id="3073"/>
      <w:bookmarkEnd w:id="3074"/>
    </w:p>
    <w:p w14:paraId="6553975D">
      <w:pPr>
        <w:spacing w:before="79" w:after="79"/>
      </w:pPr>
      <w:r>
        <w:drawing>
          <wp:inline distT="0" distB="0" distL="0" distR="0">
            <wp:extent cx="4019550" cy="2597150"/>
            <wp:effectExtent l="0" t="0" r="0" b="0"/>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pic:cNvPicPr>
                      <a:picLocks noChangeAspect="1"/>
                    </pic:cNvPicPr>
                  </pic:nvPicPr>
                  <pic:blipFill>
                    <a:blip r:embed="rId432"/>
                    <a:stretch>
                      <a:fillRect/>
                    </a:stretch>
                  </pic:blipFill>
                  <pic:spPr>
                    <a:xfrm>
                      <a:off x="0" y="0"/>
                      <a:ext cx="4028339" cy="2603253"/>
                    </a:xfrm>
                    <a:prstGeom prst="rect">
                      <a:avLst/>
                    </a:prstGeom>
                  </pic:spPr>
                </pic:pic>
              </a:graphicData>
            </a:graphic>
          </wp:inline>
        </w:drawing>
      </w:r>
    </w:p>
    <w:p w14:paraId="52E2B3C2"/>
    <w:p w14:paraId="5E1705AC">
      <w:pPr>
        <w:pStyle w:val="183"/>
      </w:pPr>
      <w:bookmarkStart w:id="3075" w:name="_Toc141875523"/>
      <w:r>
        <w:rPr>
          <w:rFonts w:hint="eastAsia"/>
        </w:rPr>
        <w:t>认证界面详细描述</w:t>
      </w:r>
      <w:bookmarkEnd w:id="3075"/>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870"/>
        <w:gridCol w:w="6162"/>
      </w:tblGrid>
      <w:tr w14:paraId="1A8305D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870" w:type="dxa"/>
            <w:tcBorders>
              <w:tl2br w:val="nil"/>
              <w:tr2bl w:val="nil"/>
            </w:tcBorders>
            <w:shd w:val="clear" w:color="auto" w:fill="538135" w:themeFill="accent6" w:themeFillShade="BF"/>
            <w:vAlign w:val="center"/>
          </w:tcPr>
          <w:p w14:paraId="34417C6A">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162" w:type="dxa"/>
            <w:tcBorders>
              <w:tl2br w:val="nil"/>
              <w:tr2bl w:val="nil"/>
            </w:tcBorders>
            <w:shd w:val="clear" w:color="auto" w:fill="538135" w:themeFill="accent6" w:themeFillShade="BF"/>
            <w:vAlign w:val="center"/>
          </w:tcPr>
          <w:p w14:paraId="4F4EBBAF">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1B380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870" w:type="dxa"/>
            <w:shd w:val="clear" w:color="auto" w:fill="auto"/>
          </w:tcPr>
          <w:p w14:paraId="2F84A83B">
            <w:pPr>
              <w:pStyle w:val="186"/>
              <w:widowControl w:val="0"/>
              <w:spacing w:line="240" w:lineRule="auto"/>
              <w:ind w:firstLine="0"/>
              <w:jc w:val="left"/>
            </w:pPr>
            <w:r>
              <w:rPr>
                <w:rFonts w:hint="eastAsia"/>
              </w:rPr>
              <w:t>用户名</w:t>
            </w:r>
          </w:p>
        </w:tc>
        <w:tc>
          <w:tcPr>
            <w:tcW w:w="6162" w:type="dxa"/>
            <w:shd w:val="clear" w:color="auto" w:fill="auto"/>
          </w:tcPr>
          <w:p w14:paraId="0F36BB13">
            <w:pPr>
              <w:pStyle w:val="186"/>
              <w:widowControl w:val="0"/>
              <w:spacing w:line="240" w:lineRule="auto"/>
              <w:ind w:firstLine="0"/>
              <w:jc w:val="left"/>
            </w:pPr>
            <w:r>
              <w:t>SSL VPN</w:t>
            </w:r>
            <w:r>
              <w:rPr>
                <w:rFonts w:hint="eastAsia"/>
              </w:rPr>
              <w:t>登录用户名</w:t>
            </w:r>
          </w:p>
        </w:tc>
      </w:tr>
      <w:tr w14:paraId="0B60EBB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870" w:type="dxa"/>
            <w:shd w:val="clear" w:color="auto" w:fill="auto"/>
          </w:tcPr>
          <w:p w14:paraId="1E68A037">
            <w:pPr>
              <w:pStyle w:val="186"/>
              <w:widowControl w:val="0"/>
              <w:spacing w:line="240" w:lineRule="auto"/>
              <w:ind w:firstLine="0"/>
              <w:jc w:val="left"/>
            </w:pPr>
            <w:r>
              <w:rPr>
                <w:rFonts w:hint="eastAsia"/>
              </w:rPr>
              <w:t>密码</w:t>
            </w:r>
          </w:p>
        </w:tc>
        <w:tc>
          <w:tcPr>
            <w:tcW w:w="6162" w:type="dxa"/>
            <w:shd w:val="clear" w:color="auto" w:fill="auto"/>
          </w:tcPr>
          <w:p w14:paraId="2ED70ED6">
            <w:pPr>
              <w:pStyle w:val="186"/>
              <w:widowControl w:val="0"/>
              <w:spacing w:line="240" w:lineRule="auto"/>
              <w:ind w:firstLine="0"/>
              <w:jc w:val="left"/>
            </w:pPr>
            <w:r>
              <w:t>SSL VPN</w:t>
            </w:r>
            <w:r>
              <w:rPr>
                <w:rFonts w:hint="eastAsia"/>
              </w:rPr>
              <w:t>登录密码</w:t>
            </w:r>
          </w:p>
        </w:tc>
      </w:tr>
      <w:tr w14:paraId="5F12304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870" w:type="dxa"/>
            <w:shd w:val="clear" w:color="auto" w:fill="auto"/>
          </w:tcPr>
          <w:p w14:paraId="203F2891">
            <w:pPr>
              <w:pStyle w:val="186"/>
              <w:widowControl w:val="0"/>
              <w:spacing w:line="240" w:lineRule="auto"/>
              <w:ind w:firstLine="0"/>
              <w:jc w:val="left"/>
            </w:pPr>
            <w:r>
              <w:rPr>
                <w:rFonts w:hint="eastAsia"/>
              </w:rPr>
              <w:t>保存密码</w:t>
            </w:r>
          </w:p>
        </w:tc>
        <w:tc>
          <w:tcPr>
            <w:tcW w:w="6162" w:type="dxa"/>
            <w:shd w:val="clear" w:color="auto" w:fill="auto"/>
          </w:tcPr>
          <w:p w14:paraId="320403CA">
            <w:pPr>
              <w:pStyle w:val="186"/>
              <w:widowControl w:val="0"/>
              <w:spacing w:line="240" w:lineRule="auto"/>
              <w:ind w:firstLine="0"/>
              <w:jc w:val="left"/>
            </w:pPr>
            <w:r>
              <w:rPr>
                <w:rFonts w:hint="eastAsia"/>
              </w:rPr>
              <w:t>是否保存密码</w:t>
            </w:r>
          </w:p>
        </w:tc>
      </w:tr>
    </w:tbl>
    <w:p w14:paraId="57D3E498"/>
    <w:p w14:paraId="76F58743">
      <w:pPr>
        <w:pStyle w:val="202"/>
        <w:rPr>
          <w:lang w:eastAsia="zh-CN"/>
        </w:rPr>
      </w:pPr>
      <w:r>
        <w:rPr>
          <w:rFonts w:hint="eastAsia"/>
          <w:lang w:eastAsia="zh-CN"/>
        </w:rPr>
        <w:t>输入正确的用户名密码后，SSL VPN连接成功。SSL VPN连接状态如</w:t>
      </w:r>
      <w:r>
        <w:fldChar w:fldCharType="begin"/>
      </w:r>
      <w:r>
        <w:rPr>
          <w:lang w:eastAsia="zh-CN"/>
        </w:rPr>
        <w:instrText xml:space="preserve"> </w:instrText>
      </w:r>
      <w:r>
        <w:rPr>
          <w:rFonts w:hint="eastAsia"/>
          <w:lang w:eastAsia="zh-CN"/>
        </w:rPr>
        <w:instrText xml:space="preserve">REF _Ref521922338 \r \h</w:instrText>
      </w:r>
      <w:r>
        <w:rPr>
          <w:lang w:eastAsia="zh-CN"/>
        </w:rPr>
        <w:instrText xml:space="preserve"> </w:instrText>
      </w:r>
      <w:r>
        <w:fldChar w:fldCharType="separate"/>
      </w:r>
      <w:r>
        <w:rPr>
          <w:rFonts w:hint="eastAsia"/>
          <w:lang w:eastAsia="zh-CN"/>
        </w:rPr>
        <w:t>图10-16</w:t>
      </w:r>
      <w:r>
        <w:fldChar w:fldCharType="end"/>
      </w:r>
      <w:r>
        <w:rPr>
          <w:rFonts w:hint="eastAsia"/>
          <w:lang w:eastAsia="zh-CN"/>
        </w:rPr>
        <w:t>所示，</w:t>
      </w:r>
      <w:r>
        <w:rPr>
          <w:lang w:eastAsia="zh-CN"/>
        </w:rPr>
        <w:t>连接日志如</w:t>
      </w:r>
      <w:r>
        <w:fldChar w:fldCharType="begin"/>
      </w:r>
      <w:r>
        <w:rPr>
          <w:lang w:eastAsia="zh-CN"/>
        </w:rPr>
        <w:instrText xml:space="preserve"> REF _Ref521922346 \r \h </w:instrText>
      </w:r>
      <w:r>
        <w:fldChar w:fldCharType="separate"/>
      </w:r>
      <w:r>
        <w:rPr>
          <w:rFonts w:hint="eastAsia"/>
          <w:lang w:eastAsia="zh-CN"/>
        </w:rPr>
        <w:t>图10-17</w:t>
      </w:r>
      <w:r>
        <w:fldChar w:fldCharType="end"/>
      </w:r>
      <w:r>
        <w:rPr>
          <w:rFonts w:hint="eastAsia"/>
          <w:lang w:eastAsia="zh-CN"/>
        </w:rPr>
        <w:t>所示。</w:t>
      </w:r>
    </w:p>
    <w:p w14:paraId="445312B2">
      <w:pPr>
        <w:pStyle w:val="188"/>
      </w:pPr>
      <w:bookmarkStart w:id="3076" w:name="_Ref521922338"/>
      <w:bookmarkStart w:id="3077" w:name="_Toc141874661"/>
      <w:r>
        <w:rPr>
          <w:rFonts w:hint="eastAsia"/>
        </w:rPr>
        <w:t>任务栏状态</w:t>
      </w:r>
      <w:r>
        <w:t>图</w:t>
      </w:r>
      <w:bookmarkEnd w:id="3076"/>
      <w:bookmarkEnd w:id="3077"/>
    </w:p>
    <w:p w14:paraId="42010C28">
      <w:pPr>
        <w:spacing w:before="79" w:after="79"/>
      </w:pPr>
      <w:r>
        <w:drawing>
          <wp:inline distT="0" distB="0" distL="0" distR="0">
            <wp:extent cx="1837690" cy="1180465"/>
            <wp:effectExtent l="0" t="0" r="0" b="635"/>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50"/>
                    <pic:cNvPicPr>
                      <a:picLocks noChangeAspect="1"/>
                    </pic:cNvPicPr>
                  </pic:nvPicPr>
                  <pic:blipFill>
                    <a:blip r:embed="rId433"/>
                    <a:stretch>
                      <a:fillRect/>
                    </a:stretch>
                  </pic:blipFill>
                  <pic:spPr>
                    <a:xfrm>
                      <a:off x="0" y="0"/>
                      <a:ext cx="1838095" cy="1180952"/>
                    </a:xfrm>
                    <a:prstGeom prst="rect">
                      <a:avLst/>
                    </a:prstGeom>
                  </pic:spPr>
                </pic:pic>
              </a:graphicData>
            </a:graphic>
          </wp:inline>
        </w:drawing>
      </w:r>
    </w:p>
    <w:p w14:paraId="3D3C3E09"/>
    <w:p w14:paraId="4B24C180">
      <w:pPr>
        <w:pStyle w:val="188"/>
      </w:pPr>
      <w:bookmarkStart w:id="3078" w:name="_Ref521922346"/>
      <w:bookmarkStart w:id="3079" w:name="_Toc141874662"/>
      <w:r>
        <w:rPr>
          <w:rFonts w:hint="eastAsia"/>
        </w:rPr>
        <w:t>连接</w:t>
      </w:r>
      <w:r>
        <w:t>日志</w:t>
      </w:r>
      <w:bookmarkEnd w:id="3078"/>
      <w:bookmarkEnd w:id="3079"/>
    </w:p>
    <w:p w14:paraId="5C202A5C">
      <w:pPr>
        <w:spacing w:before="79" w:after="79"/>
      </w:pPr>
      <w:r>
        <w:drawing>
          <wp:inline distT="0" distB="0" distL="0" distR="0">
            <wp:extent cx="4543425" cy="2969260"/>
            <wp:effectExtent l="0" t="0" r="0" b="254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55"/>
                    <pic:cNvPicPr>
                      <a:picLocks noChangeAspect="1"/>
                    </pic:cNvPicPr>
                  </pic:nvPicPr>
                  <pic:blipFill>
                    <a:blip r:embed="rId434"/>
                    <a:stretch>
                      <a:fillRect/>
                    </a:stretch>
                  </pic:blipFill>
                  <pic:spPr>
                    <a:xfrm>
                      <a:off x="0" y="0"/>
                      <a:ext cx="4553801" cy="2976551"/>
                    </a:xfrm>
                    <a:prstGeom prst="rect">
                      <a:avLst/>
                    </a:prstGeom>
                  </pic:spPr>
                </pic:pic>
              </a:graphicData>
            </a:graphic>
          </wp:inline>
        </w:drawing>
      </w:r>
    </w:p>
    <w:bookmarkEnd w:id="3048"/>
    <w:p w14:paraId="5905E39C"/>
    <w:p w14:paraId="51F9CFDB">
      <w:pPr>
        <w:pStyle w:val="5"/>
      </w:pPr>
      <w:bookmarkStart w:id="3080" w:name="_Toc97915242"/>
      <w:bookmarkStart w:id="3081" w:name="_Toc141873447"/>
      <w:bookmarkStart w:id="3082" w:name="_Toc172218198"/>
      <w:bookmarkStart w:id="3083" w:name="_Toc194080825"/>
      <w:bookmarkStart w:id="3084" w:name="_Toc196728157"/>
      <w:bookmarkStart w:id="3085" w:name="_Toc6288"/>
      <w:bookmarkStart w:id="3086" w:name="_Toc142400963"/>
      <w:bookmarkStart w:id="3087" w:name="_Toc99561524"/>
      <w:r>
        <w:rPr>
          <w:rFonts w:hint="eastAsia"/>
        </w:rPr>
        <w:t>Android系统SSL</w:t>
      </w:r>
      <w:r>
        <w:t xml:space="preserve"> VPN</w:t>
      </w:r>
      <w:r>
        <w:rPr>
          <w:rFonts w:hint="eastAsia"/>
        </w:rPr>
        <w:t>客户端安装及配置</w:t>
      </w:r>
      <w:bookmarkEnd w:id="3080"/>
      <w:bookmarkEnd w:id="3081"/>
      <w:bookmarkEnd w:id="3082"/>
      <w:bookmarkEnd w:id="3083"/>
      <w:bookmarkEnd w:id="3084"/>
      <w:bookmarkEnd w:id="3085"/>
      <w:bookmarkEnd w:id="3086"/>
      <w:bookmarkEnd w:id="3087"/>
    </w:p>
    <w:p w14:paraId="77A7EBE2">
      <w:pPr>
        <w:pStyle w:val="6"/>
      </w:pPr>
      <w:bookmarkStart w:id="3088" w:name="_Toc4113"/>
      <w:r>
        <w:rPr>
          <w:rFonts w:hint="eastAsia"/>
        </w:rPr>
        <w:t>客户端安装</w:t>
      </w:r>
      <w:bookmarkEnd w:id="3088"/>
    </w:p>
    <w:p w14:paraId="00112974">
      <w:pPr>
        <w:pStyle w:val="202"/>
        <w:rPr>
          <w:lang w:eastAsia="zh-CN"/>
        </w:rPr>
      </w:pPr>
      <w:r>
        <w:rPr>
          <w:rFonts w:hint="eastAsia"/>
          <w:lang w:eastAsia="zh-CN"/>
        </w:rPr>
        <w:t>将Android系统的SSL</w:t>
      </w:r>
      <w:r>
        <w:rPr>
          <w:lang w:eastAsia="zh-CN"/>
        </w:rPr>
        <w:t xml:space="preserve"> VPN客户端软件</w:t>
      </w:r>
      <w:r>
        <w:rPr>
          <w:rFonts w:hint="eastAsia"/>
          <w:lang w:eastAsia="zh-CN"/>
        </w:rPr>
        <w:t>发送到手机上，点击运行安装程序。</w:t>
      </w:r>
    </w:p>
    <w:p w14:paraId="2D6FED6E">
      <w:pPr>
        <w:spacing w:before="79" w:after="79"/>
      </w:pPr>
      <w:r>
        <w:drawing>
          <wp:inline distT="0" distB="0" distL="114300" distR="114300">
            <wp:extent cx="2095500" cy="2158365"/>
            <wp:effectExtent l="0" t="0" r="0" b="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pic:cNvPicPr>
                      <a:picLocks noChangeAspect="1"/>
                    </pic:cNvPicPr>
                  </pic:nvPicPr>
                  <pic:blipFill>
                    <a:blip r:embed="rId435"/>
                    <a:stretch>
                      <a:fillRect/>
                    </a:stretch>
                  </pic:blipFill>
                  <pic:spPr>
                    <a:xfrm>
                      <a:off x="0" y="0"/>
                      <a:ext cx="2100063" cy="2163435"/>
                    </a:xfrm>
                    <a:prstGeom prst="rect">
                      <a:avLst/>
                    </a:prstGeom>
                    <a:noFill/>
                    <a:ln>
                      <a:noFill/>
                    </a:ln>
                  </pic:spPr>
                </pic:pic>
              </a:graphicData>
            </a:graphic>
          </wp:inline>
        </w:drawing>
      </w:r>
    </w:p>
    <w:p w14:paraId="39F467D5">
      <w:pPr>
        <w:spacing w:before="79" w:after="79"/>
      </w:pPr>
    </w:p>
    <w:p w14:paraId="704039CE">
      <w:pPr>
        <w:pStyle w:val="202"/>
      </w:pPr>
      <w:r>
        <w:rPr>
          <w:rFonts w:hint="eastAsia"/>
        </w:rPr>
        <w:t>选择“继续安装”。</w:t>
      </w:r>
    </w:p>
    <w:p w14:paraId="6AF69576">
      <w:pPr>
        <w:spacing w:before="79" w:after="79"/>
      </w:pPr>
      <w:r>
        <w:drawing>
          <wp:inline distT="0" distB="0" distL="114300" distR="114300">
            <wp:extent cx="1758950" cy="3676650"/>
            <wp:effectExtent l="0" t="0" r="12700" b="0"/>
            <wp:docPr id="4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2"/>
                    <pic:cNvPicPr>
                      <a:picLocks noChangeAspect="1"/>
                    </pic:cNvPicPr>
                  </pic:nvPicPr>
                  <pic:blipFill>
                    <a:blip r:embed="rId436"/>
                    <a:stretch>
                      <a:fillRect/>
                    </a:stretch>
                  </pic:blipFill>
                  <pic:spPr>
                    <a:xfrm>
                      <a:off x="0" y="0"/>
                      <a:ext cx="1758950" cy="3676650"/>
                    </a:xfrm>
                    <a:prstGeom prst="rect">
                      <a:avLst/>
                    </a:prstGeom>
                    <a:noFill/>
                    <a:ln>
                      <a:noFill/>
                    </a:ln>
                  </pic:spPr>
                </pic:pic>
              </a:graphicData>
            </a:graphic>
          </wp:inline>
        </w:drawing>
      </w:r>
    </w:p>
    <w:p w14:paraId="10D0B300"/>
    <w:p w14:paraId="316FC677">
      <w:pPr>
        <w:pStyle w:val="202"/>
      </w:pPr>
      <w:r>
        <w:rPr>
          <w:rFonts w:hint="eastAsia"/>
        </w:rPr>
        <w:t>安装成功。</w:t>
      </w:r>
    </w:p>
    <w:p w14:paraId="281D974D">
      <w:pPr>
        <w:spacing w:before="79" w:after="79"/>
      </w:pPr>
      <w:r>
        <w:drawing>
          <wp:inline distT="0" distB="0" distL="114300" distR="114300">
            <wp:extent cx="1704975" cy="1391920"/>
            <wp:effectExtent l="0" t="0" r="0" b="0"/>
            <wp:docPr id="4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3"/>
                    <pic:cNvPicPr>
                      <a:picLocks noChangeAspect="1"/>
                    </pic:cNvPicPr>
                  </pic:nvPicPr>
                  <pic:blipFill>
                    <a:blip r:embed="rId437"/>
                    <a:srcRect l="18405" t="10500" r="18126" b="1222"/>
                    <a:stretch>
                      <a:fillRect/>
                    </a:stretch>
                  </pic:blipFill>
                  <pic:spPr>
                    <a:xfrm>
                      <a:off x="0" y="0"/>
                      <a:ext cx="1712296" cy="1398405"/>
                    </a:xfrm>
                    <a:prstGeom prst="rect">
                      <a:avLst/>
                    </a:prstGeom>
                    <a:noFill/>
                    <a:ln>
                      <a:noFill/>
                    </a:ln>
                  </pic:spPr>
                </pic:pic>
              </a:graphicData>
            </a:graphic>
          </wp:inline>
        </w:drawing>
      </w:r>
    </w:p>
    <w:p w14:paraId="1242372C">
      <w:pPr>
        <w:pStyle w:val="6"/>
      </w:pPr>
      <w:bookmarkStart w:id="3089" w:name="_Toc15552"/>
      <w:r>
        <w:rPr>
          <w:rFonts w:hint="eastAsia"/>
        </w:rPr>
        <w:t>客户端配置</w:t>
      </w:r>
      <w:bookmarkEnd w:id="3089"/>
    </w:p>
    <w:p w14:paraId="114B506E">
      <w:pPr>
        <w:pStyle w:val="202"/>
        <w:rPr>
          <w:lang w:eastAsia="zh-CN"/>
        </w:rPr>
      </w:pPr>
      <w:r>
        <w:rPr>
          <w:rFonts w:hint="eastAsia"/>
          <w:lang w:eastAsia="zh-CN"/>
        </w:rPr>
        <w:t>运行SSL VPN客户端程序</w:t>
      </w:r>
      <w:r>
        <w:rPr>
          <w:lang w:eastAsia="zh-CN"/>
        </w:rPr>
        <w:drawing>
          <wp:inline distT="0" distB="0" distL="114300" distR="114300">
            <wp:extent cx="339725" cy="394970"/>
            <wp:effectExtent l="0" t="0" r="3175" b="5080"/>
            <wp:docPr id="47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
                    <pic:cNvPicPr>
                      <a:picLocks noChangeAspect="1"/>
                    </pic:cNvPicPr>
                  </pic:nvPicPr>
                  <pic:blipFill>
                    <a:blip r:embed="rId438"/>
                    <a:stretch>
                      <a:fillRect/>
                    </a:stretch>
                  </pic:blipFill>
                  <pic:spPr>
                    <a:xfrm>
                      <a:off x="0" y="0"/>
                      <a:ext cx="339725" cy="394970"/>
                    </a:xfrm>
                    <a:prstGeom prst="rect">
                      <a:avLst/>
                    </a:prstGeom>
                    <a:noFill/>
                    <a:ln>
                      <a:noFill/>
                    </a:ln>
                  </pic:spPr>
                </pic:pic>
              </a:graphicData>
            </a:graphic>
          </wp:inline>
        </w:drawing>
      </w:r>
      <w:r>
        <w:rPr>
          <w:rFonts w:hint="eastAsia"/>
          <w:lang w:eastAsia="zh-CN"/>
        </w:rPr>
        <w:t>，进入配置界面。</w:t>
      </w:r>
    </w:p>
    <w:p w14:paraId="11593D58">
      <w:pPr>
        <w:spacing w:before="79" w:after="79"/>
      </w:pPr>
      <w:r>
        <w:drawing>
          <wp:inline distT="0" distB="0" distL="114300" distR="114300">
            <wp:extent cx="2009775" cy="2999740"/>
            <wp:effectExtent l="0" t="0" r="9525" b="1016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pic:cNvPicPr>
                      <a:picLocks noChangeAspect="1"/>
                    </pic:cNvPicPr>
                  </pic:nvPicPr>
                  <pic:blipFill>
                    <a:blip r:embed="rId439"/>
                    <a:stretch>
                      <a:fillRect/>
                    </a:stretch>
                  </pic:blipFill>
                  <pic:spPr>
                    <a:xfrm>
                      <a:off x="0" y="0"/>
                      <a:ext cx="2009775" cy="2999740"/>
                    </a:xfrm>
                    <a:prstGeom prst="rect">
                      <a:avLst/>
                    </a:prstGeom>
                    <a:noFill/>
                    <a:ln>
                      <a:noFill/>
                    </a:ln>
                  </pic:spPr>
                </pic:pic>
              </a:graphicData>
            </a:graphic>
          </wp:inline>
        </w:drawing>
      </w:r>
    </w:p>
    <w:p w14:paraId="279300FB"/>
    <w:p w14:paraId="4D9976DF">
      <w:pPr>
        <w:pStyle w:val="202"/>
        <w:rPr>
          <w:lang w:eastAsia="zh-CN"/>
        </w:rPr>
      </w:pPr>
      <w:r>
        <w:rPr>
          <w:rFonts w:hint="eastAsia"/>
          <w:lang w:eastAsia="zh-CN"/>
        </w:rPr>
        <w:t>点击添加图标，添加新的VPN配置，输入配件文件的名字。</w:t>
      </w:r>
    </w:p>
    <w:p w14:paraId="1372331D">
      <w:pPr>
        <w:spacing w:before="79" w:after="79"/>
      </w:pPr>
      <w:r>
        <w:drawing>
          <wp:inline distT="0" distB="0" distL="114300" distR="114300">
            <wp:extent cx="2274570" cy="2903220"/>
            <wp:effectExtent l="0" t="0" r="11430" b="1143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73"/>
                    <pic:cNvPicPr>
                      <a:picLocks noChangeAspect="1"/>
                    </pic:cNvPicPr>
                  </pic:nvPicPr>
                  <pic:blipFill>
                    <a:blip r:embed="rId440"/>
                    <a:stretch>
                      <a:fillRect/>
                    </a:stretch>
                  </pic:blipFill>
                  <pic:spPr>
                    <a:xfrm>
                      <a:off x="0" y="0"/>
                      <a:ext cx="2274570" cy="2903220"/>
                    </a:xfrm>
                    <a:prstGeom prst="rect">
                      <a:avLst/>
                    </a:prstGeom>
                    <a:noFill/>
                    <a:ln>
                      <a:noFill/>
                    </a:ln>
                  </pic:spPr>
                </pic:pic>
              </a:graphicData>
            </a:graphic>
          </wp:inline>
        </w:drawing>
      </w:r>
    </w:p>
    <w:p w14:paraId="1F1F9ACE"/>
    <w:p w14:paraId="1A829E50">
      <w:pPr>
        <w:pStyle w:val="202"/>
        <w:rPr>
          <w:lang w:eastAsia="zh-CN"/>
        </w:rPr>
      </w:pPr>
      <w:r>
        <w:rPr>
          <w:rFonts w:hint="eastAsia"/>
          <w:lang w:eastAsia="zh-CN"/>
        </w:rPr>
        <w:t>命名完成之后，点击编辑。</w:t>
      </w:r>
    </w:p>
    <w:p w14:paraId="200035DC">
      <w:pPr>
        <w:spacing w:before="79" w:after="79"/>
      </w:pPr>
      <w:r>
        <w:drawing>
          <wp:inline distT="0" distB="0" distL="114300" distR="114300">
            <wp:extent cx="2153285" cy="1485265"/>
            <wp:effectExtent l="0" t="0" r="18415" b="635"/>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474"/>
                    <pic:cNvPicPr>
                      <a:picLocks noChangeAspect="1"/>
                    </pic:cNvPicPr>
                  </pic:nvPicPr>
                  <pic:blipFill>
                    <a:blip r:embed="rId441"/>
                    <a:stretch>
                      <a:fillRect/>
                    </a:stretch>
                  </pic:blipFill>
                  <pic:spPr>
                    <a:xfrm>
                      <a:off x="0" y="0"/>
                      <a:ext cx="2153285" cy="1485265"/>
                    </a:xfrm>
                    <a:prstGeom prst="rect">
                      <a:avLst/>
                    </a:prstGeom>
                    <a:noFill/>
                    <a:ln>
                      <a:noFill/>
                    </a:ln>
                  </pic:spPr>
                </pic:pic>
              </a:graphicData>
            </a:graphic>
          </wp:inline>
        </w:drawing>
      </w:r>
    </w:p>
    <w:p w14:paraId="431F07BF"/>
    <w:p w14:paraId="18790786">
      <w:pPr>
        <w:pStyle w:val="202"/>
        <w:rPr>
          <w:lang w:eastAsia="zh-CN"/>
        </w:rPr>
      </w:pPr>
      <w:r>
        <w:rPr>
          <w:rFonts w:hint="eastAsia"/>
          <w:lang w:eastAsia="zh-CN"/>
        </w:rPr>
        <w:t>编辑基础配置，输入用户名和密码。</w:t>
      </w:r>
    </w:p>
    <w:p w14:paraId="7622710D">
      <w:pPr>
        <w:spacing w:before="79" w:after="79"/>
      </w:pPr>
      <w:r>
        <w:drawing>
          <wp:inline distT="0" distB="0" distL="114300" distR="114300">
            <wp:extent cx="2327910" cy="4058285"/>
            <wp:effectExtent l="0" t="0" r="15240" b="18415"/>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pic:cNvPicPr>
                      <a:picLocks noChangeAspect="1"/>
                    </pic:cNvPicPr>
                  </pic:nvPicPr>
                  <pic:blipFill>
                    <a:blip r:embed="rId442"/>
                    <a:stretch>
                      <a:fillRect/>
                    </a:stretch>
                  </pic:blipFill>
                  <pic:spPr>
                    <a:xfrm>
                      <a:off x="0" y="0"/>
                      <a:ext cx="2327910" cy="4058285"/>
                    </a:xfrm>
                    <a:prstGeom prst="rect">
                      <a:avLst/>
                    </a:prstGeom>
                    <a:noFill/>
                    <a:ln>
                      <a:noFill/>
                    </a:ln>
                  </pic:spPr>
                </pic:pic>
              </a:graphicData>
            </a:graphic>
          </wp:inline>
        </w:drawing>
      </w:r>
    </w:p>
    <w:p w14:paraId="2257E39B"/>
    <w:p w14:paraId="20C369BB">
      <w:pPr>
        <w:pStyle w:val="183"/>
      </w:pPr>
      <w:bookmarkStart w:id="3090" w:name="_Toc141875524"/>
      <w:r>
        <w:rPr>
          <w:rFonts w:hint="eastAsia"/>
        </w:rPr>
        <w:t>基础配置界面详细描述</w:t>
      </w:r>
      <w:bookmarkEnd w:id="3090"/>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235"/>
        <w:gridCol w:w="6797"/>
      </w:tblGrid>
      <w:tr w14:paraId="7812E8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235" w:type="dxa"/>
            <w:tcBorders>
              <w:tl2br w:val="nil"/>
              <w:tr2bl w:val="nil"/>
            </w:tcBorders>
            <w:shd w:val="clear" w:color="auto" w:fill="538135" w:themeFill="accent6" w:themeFillShade="BF"/>
            <w:vAlign w:val="center"/>
          </w:tcPr>
          <w:p w14:paraId="03BBFC29">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797" w:type="dxa"/>
            <w:tcBorders>
              <w:tl2br w:val="nil"/>
              <w:tr2bl w:val="nil"/>
            </w:tcBorders>
            <w:shd w:val="clear" w:color="auto" w:fill="538135" w:themeFill="accent6" w:themeFillShade="BF"/>
            <w:vAlign w:val="center"/>
          </w:tcPr>
          <w:p w14:paraId="5DC56079">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49499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235" w:type="dxa"/>
            <w:shd w:val="clear" w:color="auto" w:fill="auto"/>
          </w:tcPr>
          <w:p w14:paraId="087DFC27">
            <w:pPr>
              <w:pStyle w:val="186"/>
              <w:widowControl w:val="0"/>
              <w:spacing w:line="240" w:lineRule="auto"/>
              <w:ind w:firstLine="0"/>
              <w:jc w:val="left"/>
            </w:pPr>
            <w:r>
              <w:rPr>
                <w:rFonts w:hint="eastAsia"/>
              </w:rPr>
              <w:t>用户名</w:t>
            </w:r>
          </w:p>
        </w:tc>
        <w:tc>
          <w:tcPr>
            <w:tcW w:w="6797" w:type="dxa"/>
            <w:shd w:val="clear" w:color="auto" w:fill="auto"/>
          </w:tcPr>
          <w:p w14:paraId="643F1EFC">
            <w:pPr>
              <w:pStyle w:val="186"/>
              <w:widowControl w:val="0"/>
              <w:spacing w:line="240" w:lineRule="auto"/>
              <w:ind w:firstLine="0"/>
              <w:jc w:val="left"/>
            </w:pPr>
            <w:r>
              <w:t>SSL VPN</w:t>
            </w:r>
            <w:r>
              <w:rPr>
                <w:rFonts w:hint="eastAsia"/>
              </w:rPr>
              <w:t>登录用户名</w:t>
            </w:r>
          </w:p>
        </w:tc>
      </w:tr>
      <w:tr w14:paraId="230C719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235" w:type="dxa"/>
            <w:shd w:val="clear" w:color="auto" w:fill="auto"/>
          </w:tcPr>
          <w:p w14:paraId="33E277B6">
            <w:pPr>
              <w:pStyle w:val="186"/>
              <w:widowControl w:val="0"/>
              <w:spacing w:line="240" w:lineRule="auto"/>
              <w:ind w:firstLine="0"/>
              <w:jc w:val="left"/>
            </w:pPr>
            <w:r>
              <w:rPr>
                <w:rFonts w:hint="eastAsia"/>
              </w:rPr>
              <w:t>密码</w:t>
            </w:r>
          </w:p>
        </w:tc>
        <w:tc>
          <w:tcPr>
            <w:tcW w:w="6797" w:type="dxa"/>
            <w:shd w:val="clear" w:color="auto" w:fill="auto"/>
          </w:tcPr>
          <w:p w14:paraId="12174DB2">
            <w:pPr>
              <w:pStyle w:val="186"/>
              <w:widowControl w:val="0"/>
              <w:spacing w:line="240" w:lineRule="auto"/>
              <w:ind w:firstLine="0"/>
              <w:jc w:val="left"/>
            </w:pPr>
            <w:r>
              <w:t>SSL VPN</w:t>
            </w:r>
            <w:r>
              <w:rPr>
                <w:rFonts w:hint="eastAsia"/>
              </w:rPr>
              <w:t>登录密码</w:t>
            </w:r>
          </w:p>
        </w:tc>
      </w:tr>
      <w:tr w14:paraId="06E93B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235" w:type="dxa"/>
            <w:shd w:val="clear" w:color="auto" w:fill="auto"/>
          </w:tcPr>
          <w:p w14:paraId="2F6DA197">
            <w:pPr>
              <w:pStyle w:val="186"/>
              <w:widowControl w:val="0"/>
              <w:spacing w:line="240" w:lineRule="auto"/>
              <w:ind w:firstLine="0"/>
              <w:jc w:val="left"/>
            </w:pPr>
            <w:r>
              <w:rPr>
                <w:rFonts w:hint="eastAsia"/>
              </w:rPr>
              <w:t>认证失败行为</w:t>
            </w:r>
          </w:p>
        </w:tc>
        <w:tc>
          <w:tcPr>
            <w:tcW w:w="6797" w:type="dxa"/>
            <w:shd w:val="clear" w:color="auto" w:fill="auto"/>
          </w:tcPr>
          <w:p w14:paraId="1BDCF680">
            <w:pPr>
              <w:pStyle w:val="186"/>
              <w:widowControl w:val="0"/>
              <w:spacing w:line="240" w:lineRule="auto"/>
              <w:ind w:firstLine="0"/>
              <w:jc w:val="left"/>
            </w:pPr>
            <w:r>
              <w:rPr>
                <w:rFonts w:hint="eastAsia"/>
              </w:rPr>
              <w:t>断开是否保存密码</w:t>
            </w:r>
          </w:p>
        </w:tc>
      </w:tr>
    </w:tbl>
    <w:p w14:paraId="3C98D362"/>
    <w:p w14:paraId="4DF21ED5">
      <w:pPr>
        <w:pStyle w:val="202"/>
        <w:rPr>
          <w:lang w:eastAsia="zh-CN"/>
        </w:rPr>
      </w:pPr>
      <w:r>
        <w:rPr>
          <w:rFonts w:hint="eastAsia"/>
          <w:lang w:eastAsia="zh-CN"/>
        </w:rPr>
        <w:t>编辑服务器列表，输入服务器地址和服务器端口：</w:t>
      </w:r>
    </w:p>
    <w:p w14:paraId="5C95AF1D">
      <w:pPr>
        <w:spacing w:before="79" w:after="79"/>
      </w:pPr>
      <w:r>
        <w:drawing>
          <wp:inline distT="0" distB="0" distL="114300" distR="114300">
            <wp:extent cx="2409825" cy="2397125"/>
            <wp:effectExtent l="0" t="0" r="0" b="3175"/>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pic:cNvPicPr>
                      <a:picLocks noChangeAspect="1"/>
                    </pic:cNvPicPr>
                  </pic:nvPicPr>
                  <pic:blipFill>
                    <a:blip r:embed="rId443"/>
                    <a:stretch>
                      <a:fillRect/>
                    </a:stretch>
                  </pic:blipFill>
                  <pic:spPr>
                    <a:xfrm>
                      <a:off x="0" y="0"/>
                      <a:ext cx="2414150" cy="2401617"/>
                    </a:xfrm>
                    <a:prstGeom prst="rect">
                      <a:avLst/>
                    </a:prstGeom>
                    <a:noFill/>
                    <a:ln>
                      <a:noFill/>
                    </a:ln>
                  </pic:spPr>
                </pic:pic>
              </a:graphicData>
            </a:graphic>
          </wp:inline>
        </w:drawing>
      </w:r>
    </w:p>
    <w:p w14:paraId="756BCE4A"/>
    <w:p w14:paraId="43D5D628">
      <w:pPr>
        <w:pStyle w:val="183"/>
      </w:pPr>
      <w:bookmarkStart w:id="3091" w:name="_Toc141875525"/>
      <w:r>
        <w:rPr>
          <w:rFonts w:hint="eastAsia"/>
        </w:rPr>
        <w:t>服务器列表界面详细描述</w:t>
      </w:r>
      <w:bookmarkEnd w:id="3091"/>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870"/>
        <w:gridCol w:w="6162"/>
      </w:tblGrid>
      <w:tr w14:paraId="38C498E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870" w:type="dxa"/>
            <w:tcBorders>
              <w:tl2br w:val="nil"/>
              <w:tr2bl w:val="nil"/>
            </w:tcBorders>
            <w:shd w:val="clear" w:color="auto" w:fill="538135" w:themeFill="accent6" w:themeFillShade="BF"/>
            <w:vAlign w:val="center"/>
          </w:tcPr>
          <w:p w14:paraId="7D859E4F">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162" w:type="dxa"/>
            <w:tcBorders>
              <w:tl2br w:val="nil"/>
              <w:tr2bl w:val="nil"/>
            </w:tcBorders>
            <w:shd w:val="clear" w:color="auto" w:fill="538135" w:themeFill="accent6" w:themeFillShade="BF"/>
            <w:vAlign w:val="center"/>
          </w:tcPr>
          <w:p w14:paraId="0A173E7B">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7A5FA3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870" w:type="dxa"/>
            <w:shd w:val="clear" w:color="auto" w:fill="auto"/>
          </w:tcPr>
          <w:p w14:paraId="692998F2">
            <w:pPr>
              <w:pStyle w:val="186"/>
              <w:widowControl w:val="0"/>
              <w:spacing w:line="240" w:lineRule="auto"/>
              <w:ind w:firstLine="0"/>
              <w:jc w:val="left"/>
            </w:pPr>
            <w:r>
              <w:rPr>
                <w:rFonts w:hint="eastAsia"/>
              </w:rPr>
              <w:t>服务器地址</w:t>
            </w:r>
          </w:p>
        </w:tc>
        <w:tc>
          <w:tcPr>
            <w:tcW w:w="6162" w:type="dxa"/>
            <w:shd w:val="clear" w:color="auto" w:fill="auto"/>
          </w:tcPr>
          <w:p w14:paraId="7BDD785E">
            <w:pPr>
              <w:pStyle w:val="186"/>
              <w:widowControl w:val="0"/>
              <w:spacing w:line="240" w:lineRule="auto"/>
              <w:ind w:firstLine="0"/>
              <w:jc w:val="left"/>
            </w:pPr>
            <w:r>
              <w:t>SSL VPN</w:t>
            </w:r>
            <w:r>
              <w:rPr>
                <w:rFonts w:hint="eastAsia"/>
              </w:rPr>
              <w:t>设备IP</w:t>
            </w:r>
          </w:p>
        </w:tc>
      </w:tr>
      <w:tr w14:paraId="746F84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870" w:type="dxa"/>
            <w:shd w:val="clear" w:color="auto" w:fill="auto"/>
          </w:tcPr>
          <w:p w14:paraId="41FE77E5">
            <w:pPr>
              <w:pStyle w:val="186"/>
              <w:widowControl w:val="0"/>
              <w:spacing w:line="240" w:lineRule="auto"/>
              <w:ind w:firstLine="0"/>
              <w:jc w:val="left"/>
            </w:pPr>
            <w:r>
              <w:rPr>
                <w:rFonts w:hint="eastAsia"/>
              </w:rPr>
              <w:t>服务器端口</w:t>
            </w:r>
          </w:p>
        </w:tc>
        <w:tc>
          <w:tcPr>
            <w:tcW w:w="6162" w:type="dxa"/>
            <w:shd w:val="clear" w:color="auto" w:fill="auto"/>
          </w:tcPr>
          <w:p w14:paraId="5A4A6E1F">
            <w:pPr>
              <w:pStyle w:val="186"/>
              <w:widowControl w:val="0"/>
              <w:spacing w:line="240" w:lineRule="auto"/>
              <w:ind w:firstLine="0"/>
              <w:jc w:val="left"/>
            </w:pPr>
            <w:r>
              <w:rPr>
                <w:rFonts w:hint="eastAsia"/>
              </w:rPr>
              <w:t>SSL</w:t>
            </w:r>
            <w:r>
              <w:t xml:space="preserve"> </w:t>
            </w:r>
            <w:r>
              <w:rPr>
                <w:rFonts w:hint="eastAsia"/>
              </w:rPr>
              <w:t>VPN端口</w:t>
            </w:r>
          </w:p>
        </w:tc>
      </w:tr>
    </w:tbl>
    <w:p w14:paraId="753F3D58"/>
    <w:p w14:paraId="16214FBC">
      <w:pPr>
        <w:pStyle w:val="202"/>
        <w:rPr>
          <w:lang w:eastAsia="zh-CN"/>
        </w:rPr>
      </w:pPr>
      <w:r>
        <w:rPr>
          <w:rFonts w:hint="eastAsia"/>
          <w:lang w:eastAsia="zh-CN"/>
        </w:rPr>
        <w:t>编辑允许的应用程序，默认为“VPN用于所有的应用程序，但排除选定”。</w:t>
      </w:r>
    </w:p>
    <w:p w14:paraId="16FC8F07">
      <w:pPr>
        <w:spacing w:before="79" w:after="79"/>
      </w:pPr>
      <w:r>
        <w:drawing>
          <wp:inline distT="0" distB="0" distL="114300" distR="114300">
            <wp:extent cx="2705100" cy="3284855"/>
            <wp:effectExtent l="0" t="0" r="0" b="10795"/>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458"/>
                    <pic:cNvPicPr>
                      <a:picLocks noChangeAspect="1"/>
                    </pic:cNvPicPr>
                  </pic:nvPicPr>
                  <pic:blipFill>
                    <a:blip r:embed="rId444"/>
                    <a:stretch>
                      <a:fillRect/>
                    </a:stretch>
                  </pic:blipFill>
                  <pic:spPr>
                    <a:xfrm>
                      <a:off x="0" y="0"/>
                      <a:ext cx="2705100" cy="3284855"/>
                    </a:xfrm>
                    <a:prstGeom prst="rect">
                      <a:avLst/>
                    </a:prstGeom>
                    <a:noFill/>
                    <a:ln>
                      <a:noFill/>
                    </a:ln>
                  </pic:spPr>
                </pic:pic>
              </a:graphicData>
            </a:graphic>
          </wp:inline>
        </w:drawing>
      </w:r>
    </w:p>
    <w:p w14:paraId="7207CE11"/>
    <w:p w14:paraId="307949CE">
      <w:pPr>
        <w:pStyle w:val="202"/>
        <w:rPr>
          <w:lang w:eastAsia="zh-CN"/>
        </w:rPr>
      </w:pPr>
      <w:r>
        <w:rPr>
          <w:rFonts w:hint="eastAsia"/>
          <w:lang w:eastAsia="zh-CN"/>
        </w:rPr>
        <w:t>编辑完返回上级目录，点击配置文件名称“test-sslvpn”进行连接，连接成功日志如下。</w:t>
      </w:r>
    </w:p>
    <w:p w14:paraId="38111F68">
      <w:pPr>
        <w:spacing w:before="79" w:after="79"/>
      </w:pPr>
      <w:r>
        <w:drawing>
          <wp:inline distT="0" distB="0" distL="114300" distR="114300">
            <wp:extent cx="2828925" cy="2973705"/>
            <wp:effectExtent l="0" t="0" r="0" b="0"/>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59"/>
                    <pic:cNvPicPr>
                      <a:picLocks noChangeAspect="1"/>
                    </pic:cNvPicPr>
                  </pic:nvPicPr>
                  <pic:blipFill>
                    <a:blip r:embed="rId445"/>
                    <a:stretch>
                      <a:fillRect/>
                    </a:stretch>
                  </pic:blipFill>
                  <pic:spPr>
                    <a:xfrm>
                      <a:off x="0" y="0"/>
                      <a:ext cx="2841069" cy="2986943"/>
                    </a:xfrm>
                    <a:prstGeom prst="rect">
                      <a:avLst/>
                    </a:prstGeom>
                    <a:noFill/>
                    <a:ln>
                      <a:noFill/>
                    </a:ln>
                  </pic:spPr>
                </pic:pic>
              </a:graphicData>
            </a:graphic>
          </wp:inline>
        </w:drawing>
      </w:r>
    </w:p>
    <w:p w14:paraId="03EE9BC5">
      <w:r>
        <w:rPr>
          <w:rFonts w:hint="eastAsia"/>
        </w:rPr>
        <w:t>连接成功的状态，如下图所示。</w:t>
      </w:r>
    </w:p>
    <w:p w14:paraId="73DA96E0">
      <w:pPr>
        <w:spacing w:before="79" w:after="79"/>
      </w:pPr>
      <w:r>
        <w:drawing>
          <wp:inline distT="0" distB="0" distL="114300" distR="114300">
            <wp:extent cx="3248025" cy="1245870"/>
            <wp:effectExtent l="0" t="0" r="0" b="0"/>
            <wp:docPr id="4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5"/>
                    <pic:cNvPicPr>
                      <a:picLocks noChangeAspect="1"/>
                    </pic:cNvPicPr>
                  </pic:nvPicPr>
                  <pic:blipFill>
                    <a:blip r:embed="rId446"/>
                    <a:stretch>
                      <a:fillRect/>
                    </a:stretch>
                  </pic:blipFill>
                  <pic:spPr>
                    <a:xfrm>
                      <a:off x="0" y="0"/>
                      <a:ext cx="3275696" cy="1256660"/>
                    </a:xfrm>
                    <a:prstGeom prst="rect">
                      <a:avLst/>
                    </a:prstGeom>
                    <a:noFill/>
                    <a:ln>
                      <a:noFill/>
                    </a:ln>
                  </pic:spPr>
                </pic:pic>
              </a:graphicData>
            </a:graphic>
          </wp:inline>
        </w:drawing>
      </w:r>
    </w:p>
    <w:p w14:paraId="23DB0610"/>
    <w:p w14:paraId="248462DD">
      <w:pPr>
        <w:pStyle w:val="4"/>
      </w:pPr>
      <w:bookmarkStart w:id="3092" w:name="_Toc23152595"/>
      <w:bookmarkStart w:id="3093" w:name="_Toc40276028"/>
      <w:bookmarkStart w:id="3094" w:name="_Toc12452308"/>
      <w:bookmarkStart w:id="3095" w:name="_Toc15484829"/>
      <w:bookmarkStart w:id="3096" w:name="_Toc99561525"/>
      <w:bookmarkStart w:id="3097" w:name="_Toc194080826"/>
      <w:bookmarkStart w:id="3098" w:name="_Toc141873448"/>
      <w:bookmarkStart w:id="3099" w:name="_Toc196728158"/>
      <w:bookmarkStart w:id="3100" w:name="_Toc142400964"/>
      <w:bookmarkStart w:id="3101" w:name="_Toc172218199"/>
      <w:r>
        <w:rPr>
          <w:rFonts w:hint="eastAsia"/>
        </w:rPr>
        <w:t>SSL</w:t>
      </w:r>
      <w:r>
        <w:t xml:space="preserve"> VPN</w:t>
      </w:r>
      <w:r>
        <w:rPr>
          <w:rFonts w:hint="eastAsia"/>
        </w:rPr>
        <w:t>典型配置举例</w:t>
      </w:r>
      <w:bookmarkEnd w:id="3092"/>
      <w:bookmarkEnd w:id="3093"/>
      <w:bookmarkEnd w:id="3094"/>
      <w:bookmarkEnd w:id="3095"/>
      <w:bookmarkEnd w:id="3096"/>
      <w:bookmarkEnd w:id="3097"/>
      <w:bookmarkEnd w:id="3098"/>
      <w:bookmarkEnd w:id="3099"/>
      <w:bookmarkEnd w:id="3100"/>
      <w:bookmarkEnd w:id="3101"/>
    </w:p>
    <w:p w14:paraId="05D183F7">
      <w:pPr>
        <w:pStyle w:val="5"/>
      </w:pPr>
      <w:bookmarkStart w:id="3102" w:name="_Toc15484830"/>
      <w:bookmarkStart w:id="3103" w:name="_Toc12452309"/>
      <w:bookmarkStart w:id="3104" w:name="_Toc487096989"/>
      <w:bookmarkStart w:id="3105" w:name="_Toc521676559"/>
      <w:bookmarkStart w:id="3106" w:name="_Toc524017992"/>
      <w:bookmarkStart w:id="3107" w:name="_Toc23152596"/>
      <w:bookmarkStart w:id="3108" w:name="_Toc4401422"/>
      <w:bookmarkStart w:id="3109" w:name="_Toc40276029"/>
      <w:bookmarkStart w:id="3110" w:name="_Toc99561526"/>
      <w:bookmarkStart w:id="3111" w:name="_Toc141873449"/>
      <w:bookmarkStart w:id="3112" w:name="_Toc142400965"/>
      <w:bookmarkStart w:id="3113" w:name="_Toc194080827"/>
      <w:bookmarkStart w:id="3114" w:name="_Toc196728159"/>
      <w:bookmarkStart w:id="3115" w:name="_Toc172218200"/>
      <w:r>
        <w:rPr>
          <w:rFonts w:hint="eastAsia"/>
        </w:rPr>
        <w:t>组网需求</w:t>
      </w:r>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p>
    <w:p w14:paraId="51C05FBD">
      <w:r>
        <w:rPr>
          <w:rFonts w:hint="eastAsia"/>
        </w:rPr>
        <w:t>如</w:t>
      </w:r>
      <w:r>
        <w:fldChar w:fldCharType="begin"/>
      </w:r>
      <w:r>
        <w:rPr>
          <w:color w:val="0000FF"/>
          <w:u w:val="single"/>
        </w:rPr>
        <w:instrText xml:space="preserve"> REF _Ref524018011 \r \h </w:instrText>
      </w:r>
      <w:r>
        <w:fldChar w:fldCharType="separate"/>
      </w:r>
      <w:r>
        <w:rPr>
          <w:rFonts w:hint="eastAsia"/>
          <w:color w:val="0000FF"/>
          <w:u w:val="single"/>
        </w:rPr>
        <w:t>图10-18</w:t>
      </w:r>
      <w:r>
        <w:fldChar w:fldCharType="end"/>
      </w:r>
      <w:r>
        <w:rPr>
          <w:rFonts w:hint="eastAsia"/>
        </w:rPr>
        <w:t>所示，使用设备的ge0和ge</w:t>
      </w:r>
      <w:r>
        <w:t>1接口</w:t>
      </w:r>
      <w:r>
        <w:rPr>
          <w:rFonts w:hint="eastAsia"/>
        </w:rPr>
        <w:t>以路由方式</w:t>
      </w:r>
      <w:r>
        <w:t>部署在网络中</w:t>
      </w:r>
      <w:r>
        <w:rPr>
          <w:rFonts w:hint="eastAsia"/>
        </w:rPr>
        <w:t>。</w:t>
      </w:r>
      <w:r>
        <w:t>用户希望</w:t>
      </w:r>
      <w:r>
        <w:rPr>
          <w:rFonts w:hint="eastAsia"/>
        </w:rPr>
        <w:t>设备提供SSL</w:t>
      </w:r>
      <w:r>
        <w:t xml:space="preserve"> </w:t>
      </w:r>
      <w:r>
        <w:rPr>
          <w:rFonts w:hint="eastAsia"/>
        </w:rPr>
        <w:t>VPN服务，并且限制特定的互联网用户通过SSL</w:t>
      </w:r>
      <w:r>
        <w:t xml:space="preserve"> </w:t>
      </w:r>
      <w:r>
        <w:rPr>
          <w:rFonts w:hint="eastAsia"/>
        </w:rPr>
        <w:t>VPN访问内网的</w:t>
      </w:r>
      <w:r>
        <w:t>W</w:t>
      </w:r>
      <w:r>
        <w:rPr>
          <w:rFonts w:hint="eastAsia"/>
        </w:rPr>
        <w:t>eb和</w:t>
      </w:r>
      <w:r>
        <w:t>FTP</w:t>
      </w:r>
      <w:r>
        <w:rPr>
          <w:rFonts w:hint="eastAsia"/>
        </w:rPr>
        <w:t>服务器。</w:t>
      </w:r>
      <w:bookmarkStart w:id="3116" w:name="_Ref522002423"/>
    </w:p>
    <w:p w14:paraId="5C25BAA9">
      <w:pPr>
        <w:pStyle w:val="188"/>
      </w:pPr>
      <w:bookmarkStart w:id="3117" w:name="_Ref524018011"/>
      <w:bookmarkStart w:id="3118" w:name="_Toc141874663"/>
      <w:r>
        <w:t>SSL VPN</w:t>
      </w:r>
      <w:r>
        <w:rPr>
          <w:rFonts w:hint="eastAsia"/>
        </w:rPr>
        <w:t>功能配置组网图</w:t>
      </w:r>
      <w:bookmarkEnd w:id="3117"/>
      <w:r>
        <mc:AlternateContent>
          <mc:Choice Requires="wps">
            <w:drawing>
              <wp:anchor distT="0" distB="0" distL="114300" distR="114300" simplePos="0" relativeHeight="251659264" behindDoc="0" locked="0" layoutInCell="1" allowOverlap="1">
                <wp:simplePos x="0" y="0"/>
                <wp:positionH relativeFrom="column">
                  <wp:posOffset>2527935</wp:posOffset>
                </wp:positionH>
                <wp:positionV relativeFrom="paragraph">
                  <wp:posOffset>1289685</wp:posOffset>
                </wp:positionV>
                <wp:extent cx="266700" cy="142875"/>
                <wp:effectExtent l="0" t="0" r="0" b="0"/>
                <wp:wrapNone/>
                <wp:docPr id="3089" name="Rectangle 2"/>
                <wp:cNvGraphicFramePr/>
                <a:graphic xmlns:a="http://schemas.openxmlformats.org/drawingml/2006/main">
                  <a:graphicData uri="http://schemas.microsoft.com/office/word/2010/wordprocessingShape">
                    <wps:wsp>
                      <wps:cNvSpPr>
                        <a:spLocks noChangeArrowheads="1"/>
                      </wps:cNvSpPr>
                      <wps:spPr bwMode="auto">
                        <a:xfrm>
                          <a:off x="0" y="0"/>
                          <a:ext cx="266700" cy="142875"/>
                        </a:xfrm>
                        <a:prstGeom prst="rect">
                          <a:avLst/>
                        </a:prstGeom>
                        <a:solidFill>
                          <a:srgbClr val="FFFFFF"/>
                        </a:solidFill>
                        <a:ln>
                          <a:noFill/>
                        </a:ln>
                      </wps:spPr>
                      <wps:bodyPr rot="0" vert="horz" wrap="square" lIns="91440" tIns="45720" rIns="91440" bIns="45720" anchor="t" anchorCtr="0" upright="1">
                        <a:noAutofit/>
                      </wps:bodyPr>
                    </wps:wsp>
                  </a:graphicData>
                </a:graphic>
              </wp:anchor>
            </w:drawing>
          </mc:Choice>
          <mc:Fallback>
            <w:pict>
              <v:rect id="Rectangle 2" o:spid="_x0000_s1026" o:spt="1" style="position:absolute;left:0pt;margin-left:199.05pt;margin-top:101.55pt;height:11.25pt;width:21pt;z-index:251659264;mso-width-relative:page;mso-height-relative:page;" fillcolor="#FFFFFF" filled="t" stroked="f" coordsize="21600,21600" o:gfxdata="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tVkJdgAAAALAQAADwAAAAAA&#10;AAABACAAAAAiAAAAZHJzL2Rvd25yZXYueG1sUEsBAhQAFAAAAAgAh07iQLGHsroTAgAAKwQAAA4A&#10;AAAAAAAAAQAgAAAAJwEAAGRycy9lMm9Eb2MueG1sUEsFBgAAAAAGAAYAWQEAAKwFAAAAAA==&#10;">
                <v:fill on="t" focussize="0,0"/>
                <v:stroke on="f"/>
                <v:imagedata o:title=""/>
                <o:lock v:ext="edit" aspectratio="f"/>
              </v:rect>
            </w:pict>
          </mc:Fallback>
        </mc:AlternateContent>
      </w:r>
      <w:bookmarkEnd w:id="3116"/>
      <w:bookmarkEnd w:id="3118"/>
    </w:p>
    <w:p w14:paraId="2E76DFE7">
      <w:pPr>
        <w:spacing w:before="79" w:after="79"/>
      </w:pPr>
      <w:r>
        <w:drawing>
          <wp:inline distT="0" distB="0" distL="0" distR="0">
            <wp:extent cx="2514600" cy="3232785"/>
            <wp:effectExtent l="0" t="0" r="0" b="5715"/>
            <wp:docPr id="3104" name="图片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 name="图片 3104"/>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a:xfrm>
                      <a:off x="0" y="0"/>
                      <a:ext cx="2518528" cy="3238106"/>
                    </a:xfrm>
                    <a:prstGeom prst="rect">
                      <a:avLst/>
                    </a:prstGeom>
                    <a:noFill/>
                    <a:ln>
                      <a:noFill/>
                    </a:ln>
                  </pic:spPr>
                </pic:pic>
              </a:graphicData>
            </a:graphic>
          </wp:inline>
        </w:drawing>
      </w:r>
    </w:p>
    <w:p w14:paraId="21787A16"/>
    <w:p w14:paraId="25F05750">
      <w:pPr>
        <w:pStyle w:val="5"/>
      </w:pPr>
      <w:bookmarkStart w:id="3119" w:name="_Toc487096992"/>
      <w:bookmarkStart w:id="3120" w:name="_Toc196728160"/>
      <w:bookmarkStart w:id="3121" w:name="_Toc4401424"/>
      <w:bookmarkStart w:id="3122" w:name="_Toc99561528"/>
      <w:bookmarkStart w:id="3123" w:name="_Toc172218201"/>
      <w:bookmarkStart w:id="3124" w:name="_Toc194080828"/>
      <w:bookmarkStart w:id="3125" w:name="_Toc12452311"/>
      <w:bookmarkStart w:id="3126" w:name="_Toc15484832"/>
      <w:bookmarkStart w:id="3127" w:name="_Toc142400967"/>
      <w:bookmarkStart w:id="3128" w:name="_Toc524017993"/>
      <w:bookmarkStart w:id="3129" w:name="_Toc40276031"/>
      <w:bookmarkStart w:id="3130" w:name="_Toc521676560"/>
      <w:bookmarkStart w:id="3131" w:name="_Toc23152598"/>
      <w:bookmarkStart w:id="3132" w:name="_Toc141873451"/>
      <w:r>
        <w:rPr>
          <w:rFonts w:hint="eastAsia"/>
        </w:rPr>
        <w:t>配置步骤</w:t>
      </w:r>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p>
    <w:p w14:paraId="1052702E">
      <w:pPr>
        <w:pStyle w:val="202"/>
      </w:pPr>
      <w:r>
        <w:rPr>
          <w:rFonts w:hint="eastAsia"/>
        </w:rPr>
        <w:t>配置接口</w:t>
      </w:r>
    </w:p>
    <w:p w14:paraId="45A65F90">
      <w:r>
        <w:rPr>
          <w:rFonts w:hint="eastAsia"/>
        </w:rPr>
        <w:t>如</w:t>
      </w:r>
      <w:r>
        <w:fldChar w:fldCharType="begin"/>
      </w:r>
      <w:r>
        <w:instrText xml:space="preserve"> </w:instrText>
      </w:r>
      <w:r>
        <w:rPr>
          <w:rFonts w:hint="eastAsia"/>
        </w:rPr>
        <w:instrText xml:space="preserve">REF _Ref521505108 \r \h</w:instrText>
      </w:r>
      <w:r>
        <w:instrText xml:space="preserve"> </w:instrText>
      </w:r>
      <w:r>
        <w:fldChar w:fldCharType="separate"/>
      </w:r>
      <w:r>
        <w:rPr>
          <w:rFonts w:hint="eastAsia"/>
        </w:rPr>
        <w:t>图10-19</w:t>
      </w:r>
      <w:r>
        <w:fldChar w:fldCharType="end"/>
      </w:r>
      <w:r>
        <w:rPr>
          <w:rFonts w:hint="eastAsia"/>
        </w:rPr>
        <w:t>所示，进入“网络</w:t>
      </w:r>
      <w:r>
        <w:t>配置</w:t>
      </w:r>
      <w:r>
        <w:rPr>
          <w:rFonts w:hint="eastAsia"/>
        </w:rPr>
        <w:t>&gt;接口配置&gt;物理接口”页面，点击“编辑”按钮，为ge</w:t>
      </w:r>
      <w:r>
        <w:t>0</w:t>
      </w:r>
      <w:r>
        <w:rPr>
          <w:rFonts w:hint="eastAsia"/>
        </w:rPr>
        <w:t>接口配置ip地址，并点击&lt;提交&gt;。</w:t>
      </w:r>
    </w:p>
    <w:p w14:paraId="1AAD02C3">
      <w:pPr>
        <w:pStyle w:val="188"/>
      </w:pPr>
      <w:bookmarkStart w:id="3133" w:name="_Ref521505108"/>
      <w:bookmarkStart w:id="3134" w:name="_Toc141874664"/>
      <w:r>
        <w:rPr>
          <w:rFonts w:hint="eastAsia"/>
        </w:rPr>
        <w:t>配置接口</w:t>
      </w:r>
      <w:bookmarkEnd w:id="3133"/>
      <w:bookmarkEnd w:id="3134"/>
    </w:p>
    <w:p w14:paraId="7A4FB872">
      <w:r>
        <w:drawing>
          <wp:inline distT="0" distB="0" distL="0" distR="0">
            <wp:extent cx="4295775" cy="4189095"/>
            <wp:effectExtent l="0" t="0" r="0" b="1905"/>
            <wp:docPr id="3105" name="图片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5" name="图片 3105"/>
                    <pic:cNvPicPr>
                      <a:picLocks noChangeAspect="1"/>
                    </pic:cNvPicPr>
                  </pic:nvPicPr>
                  <pic:blipFill>
                    <a:blip r:embed="rId448"/>
                    <a:stretch>
                      <a:fillRect/>
                    </a:stretch>
                  </pic:blipFill>
                  <pic:spPr>
                    <a:xfrm>
                      <a:off x="0" y="0"/>
                      <a:ext cx="4308779" cy="4202391"/>
                    </a:xfrm>
                    <a:prstGeom prst="rect">
                      <a:avLst/>
                    </a:prstGeom>
                  </pic:spPr>
                </pic:pic>
              </a:graphicData>
            </a:graphic>
          </wp:inline>
        </w:drawing>
      </w:r>
    </w:p>
    <w:p w14:paraId="5F63E3CD"/>
    <w:p w14:paraId="16270904">
      <w:pPr>
        <w:pStyle w:val="202"/>
      </w:pPr>
      <w:r>
        <w:rPr>
          <w:rFonts w:hint="eastAsia"/>
        </w:rPr>
        <w:t>配置用户</w:t>
      </w:r>
    </w:p>
    <w:p w14:paraId="72919440">
      <w:r>
        <w:rPr>
          <w:rFonts w:hint="eastAsia"/>
        </w:rPr>
        <w:t>如</w:t>
      </w:r>
      <w:r>
        <w:rPr>
          <w:color w:val="0000FF"/>
          <w:u w:val="single"/>
        </w:rPr>
        <w:fldChar w:fldCharType="begin"/>
      </w:r>
      <w:r>
        <w:rPr>
          <w:color w:val="0000FF"/>
          <w:u w:val="single"/>
        </w:rPr>
        <w:instrText xml:space="preserve"> REF _Ref522002857 \r \h </w:instrText>
      </w:r>
      <w:r>
        <w:rPr>
          <w:color w:val="0000FF"/>
          <w:u w:val="single"/>
        </w:rPr>
        <w:fldChar w:fldCharType="separate"/>
      </w:r>
      <w:r>
        <w:rPr>
          <w:rFonts w:hint="eastAsia"/>
          <w:color w:val="0000FF"/>
          <w:u w:val="single"/>
        </w:rPr>
        <w:t>图10-20</w:t>
      </w:r>
      <w:r>
        <w:rPr>
          <w:color w:val="0000FF"/>
          <w:u w:val="single"/>
        </w:rPr>
        <w:fldChar w:fldCharType="end"/>
      </w:r>
      <w:r>
        <w:rPr>
          <w:rFonts w:hint="eastAsia"/>
        </w:rPr>
        <w:t>所示，</w:t>
      </w:r>
      <w:r>
        <w:t>进入</w:t>
      </w:r>
      <w:r>
        <w:rPr>
          <w:rFonts w:hint="eastAsia"/>
        </w:rPr>
        <w:t>“</w:t>
      </w:r>
      <w:r>
        <w:t>用户管理 &gt; 用户管理</w:t>
      </w:r>
      <w:r>
        <w:rPr>
          <w:rFonts w:hint="eastAsia"/>
        </w:rPr>
        <w:t>&gt;用户组织结构”页面，</w:t>
      </w:r>
      <w:r>
        <w:t>点击</w:t>
      </w:r>
      <w:r>
        <w:rPr>
          <w:rFonts w:hint="eastAsia"/>
        </w:rPr>
        <w:t>&lt;</w:t>
      </w:r>
      <w:r>
        <w:t>新建</w:t>
      </w:r>
      <w:r>
        <w:rPr>
          <w:rFonts w:hint="eastAsia"/>
        </w:rPr>
        <w:t>&gt;按钮，新建用户“sslvpntest”，在绑定范围中添加移动终端的物理MAC地址（如果终端有多个网卡，绑定上网网卡的MAC地址），并点击&lt;提交&gt;。</w:t>
      </w:r>
    </w:p>
    <w:p w14:paraId="55F1451F">
      <w:pPr>
        <w:pStyle w:val="188"/>
      </w:pPr>
      <w:bookmarkStart w:id="3135" w:name="_Ref514774953"/>
      <w:bookmarkStart w:id="3136" w:name="_Toc141874665"/>
      <w:bookmarkStart w:id="3137" w:name="_Ref522002857"/>
      <w:r>
        <w:rPr>
          <w:rFonts w:hint="eastAsia"/>
        </w:rPr>
        <w:t>配置</w:t>
      </w:r>
      <w:bookmarkEnd w:id="3135"/>
      <w:r>
        <w:rPr>
          <w:rFonts w:hint="eastAsia"/>
        </w:rPr>
        <w:t>用户</w:t>
      </w:r>
      <w:bookmarkEnd w:id="3136"/>
      <w:bookmarkEnd w:id="3137"/>
    </w:p>
    <w:p w14:paraId="23F5A96E">
      <w:r>
        <w:drawing>
          <wp:inline distT="0" distB="0" distL="114300" distR="114300">
            <wp:extent cx="5343525" cy="5512435"/>
            <wp:effectExtent l="0" t="0" r="0" b="0"/>
            <wp:docPr id="1117"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 name="图片 195"/>
                    <pic:cNvPicPr>
                      <a:picLocks noChangeAspect="1"/>
                    </pic:cNvPicPr>
                  </pic:nvPicPr>
                  <pic:blipFill>
                    <a:blip r:embed="rId449"/>
                    <a:srcRect r="29454"/>
                    <a:stretch>
                      <a:fillRect/>
                    </a:stretch>
                  </pic:blipFill>
                  <pic:spPr>
                    <a:xfrm>
                      <a:off x="0" y="0"/>
                      <a:ext cx="5352110" cy="5521455"/>
                    </a:xfrm>
                    <a:prstGeom prst="rect">
                      <a:avLst/>
                    </a:prstGeom>
                    <a:noFill/>
                    <a:ln>
                      <a:noFill/>
                    </a:ln>
                  </pic:spPr>
                </pic:pic>
              </a:graphicData>
            </a:graphic>
          </wp:inline>
        </w:drawing>
      </w:r>
    </w:p>
    <w:p w14:paraId="22719B68"/>
    <w:p w14:paraId="7B63B254">
      <w:pPr>
        <w:pStyle w:val="202"/>
      </w:pPr>
      <w:r>
        <w:rPr>
          <w:rFonts w:hint="eastAsia"/>
        </w:rPr>
        <w:t>配置SSL</w:t>
      </w:r>
      <w:r>
        <w:t xml:space="preserve"> </w:t>
      </w:r>
      <w:r>
        <w:rPr>
          <w:rFonts w:hint="eastAsia"/>
        </w:rPr>
        <w:t>VPN全局配置</w:t>
      </w:r>
    </w:p>
    <w:p w14:paraId="3ABD40A5">
      <w:r>
        <w:rPr>
          <w:rFonts w:hint="eastAsia"/>
        </w:rPr>
        <w:t>如</w:t>
      </w:r>
      <w:r>
        <w:rPr>
          <w:color w:val="0000FF"/>
          <w:u w:val="single"/>
        </w:rPr>
        <w:fldChar w:fldCharType="begin"/>
      </w:r>
      <w:r>
        <w:rPr>
          <w:color w:val="0000FF"/>
          <w:u w:val="single"/>
        </w:rPr>
        <w:instrText xml:space="preserve"> REF _Ref521502287 \r \h </w:instrText>
      </w:r>
      <w:r>
        <w:rPr>
          <w:color w:val="0000FF"/>
          <w:u w:val="single"/>
        </w:rPr>
        <w:fldChar w:fldCharType="separate"/>
      </w:r>
      <w:r>
        <w:rPr>
          <w:rFonts w:hint="eastAsia"/>
          <w:color w:val="0000FF"/>
          <w:u w:val="single"/>
        </w:rPr>
        <w:t>图10-21</w:t>
      </w:r>
      <w:r>
        <w:rPr>
          <w:color w:val="0000FF"/>
          <w:u w:val="single"/>
        </w:rPr>
        <w:fldChar w:fldCharType="end"/>
      </w:r>
      <w:r>
        <w:rPr>
          <w:rFonts w:hint="eastAsia"/>
        </w:rPr>
        <w:t>所示，进入“网络配置&gt;VPN&gt;SSL</w:t>
      </w:r>
      <w:r>
        <w:t xml:space="preserve"> </w:t>
      </w:r>
      <w:r>
        <w:rPr>
          <w:rFonts w:hint="eastAsia"/>
        </w:rPr>
        <w:t>VPN&gt;全局配置”页面，进行SSL</w:t>
      </w:r>
      <w:r>
        <w:t xml:space="preserve"> </w:t>
      </w:r>
      <w:r>
        <w:rPr>
          <w:rFonts w:hint="eastAsia"/>
        </w:rPr>
        <w:t>VPN全局配置，并点击&lt;提交&gt;。</w:t>
      </w:r>
    </w:p>
    <w:p w14:paraId="0965C4CC">
      <w:pPr>
        <w:pStyle w:val="188"/>
      </w:pPr>
      <w:bookmarkStart w:id="3138" w:name="_Toc141874666"/>
      <w:bookmarkStart w:id="3139" w:name="_Ref521502287"/>
      <w:r>
        <w:rPr>
          <w:rFonts w:hint="eastAsia"/>
        </w:rPr>
        <w:t>配置全局配置</w:t>
      </w:r>
      <w:bookmarkEnd w:id="3138"/>
      <w:bookmarkEnd w:id="3139"/>
    </w:p>
    <w:p w14:paraId="203B8B32">
      <w:r>
        <w:drawing>
          <wp:inline distT="0" distB="0" distL="114300" distR="114300">
            <wp:extent cx="5400040" cy="5636260"/>
            <wp:effectExtent l="0" t="0" r="0" b="2540"/>
            <wp:docPr id="1118"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图片 196"/>
                    <pic:cNvPicPr>
                      <a:picLocks noChangeAspect="1"/>
                    </pic:cNvPicPr>
                  </pic:nvPicPr>
                  <pic:blipFill>
                    <a:blip r:embed="rId450"/>
                    <a:stretch>
                      <a:fillRect/>
                    </a:stretch>
                  </pic:blipFill>
                  <pic:spPr>
                    <a:xfrm>
                      <a:off x="0" y="0"/>
                      <a:ext cx="5400040" cy="5636737"/>
                    </a:xfrm>
                    <a:prstGeom prst="rect">
                      <a:avLst/>
                    </a:prstGeom>
                    <a:noFill/>
                    <a:ln>
                      <a:noFill/>
                    </a:ln>
                  </pic:spPr>
                </pic:pic>
              </a:graphicData>
            </a:graphic>
          </wp:inline>
        </w:drawing>
      </w:r>
    </w:p>
    <w:p w14:paraId="2757C2C6"/>
    <w:p w14:paraId="6CD7F5F3">
      <w:pPr>
        <w:pStyle w:val="202"/>
      </w:pPr>
      <w:r>
        <w:rPr>
          <w:rFonts w:hint="eastAsia"/>
        </w:rPr>
        <w:t>配置SSL</w:t>
      </w:r>
      <w:r>
        <w:t xml:space="preserve"> </w:t>
      </w:r>
      <w:r>
        <w:rPr>
          <w:rFonts w:hint="eastAsia"/>
        </w:rPr>
        <w:t>VPN资源</w:t>
      </w:r>
    </w:p>
    <w:p w14:paraId="34036B2E">
      <w:r>
        <w:rPr>
          <w:rFonts w:hint="eastAsia"/>
        </w:rPr>
        <w:t>如</w:t>
      </w:r>
      <w:r>
        <w:rPr>
          <w:color w:val="0000FF"/>
          <w:u w:val="single"/>
        </w:rPr>
        <w:fldChar w:fldCharType="begin"/>
      </w:r>
      <w:r>
        <w:rPr>
          <w:color w:val="0000FF"/>
          <w:u w:val="single"/>
        </w:rPr>
        <w:instrText xml:space="preserve"> REF _Ref4417242 \r \h </w:instrText>
      </w:r>
      <w:r>
        <w:rPr>
          <w:color w:val="0000FF"/>
          <w:u w:val="single"/>
        </w:rPr>
        <w:fldChar w:fldCharType="separate"/>
      </w:r>
      <w:r>
        <w:rPr>
          <w:rFonts w:hint="eastAsia"/>
          <w:color w:val="0000FF"/>
          <w:u w:val="single"/>
        </w:rPr>
        <w:t>图10-22</w:t>
      </w:r>
      <w:r>
        <w:rPr>
          <w:color w:val="0000FF"/>
          <w:u w:val="single"/>
        </w:rPr>
        <w:fldChar w:fldCharType="end"/>
      </w:r>
      <w:r>
        <w:rPr>
          <w:rFonts w:hint="eastAsia"/>
        </w:rPr>
        <w:t>和</w:t>
      </w:r>
      <w:r>
        <w:rPr>
          <w:color w:val="0000FF"/>
          <w:u w:val="single"/>
        </w:rPr>
        <w:fldChar w:fldCharType="begin"/>
      </w:r>
      <w:r>
        <w:rPr>
          <w:color w:val="0000FF"/>
          <w:u w:val="single"/>
        </w:rPr>
        <w:instrText xml:space="preserve"> REF _Ref521502321 \r \h </w:instrText>
      </w:r>
      <w:r>
        <w:rPr>
          <w:color w:val="0000FF"/>
          <w:u w:val="single"/>
        </w:rPr>
        <w:fldChar w:fldCharType="separate"/>
      </w:r>
      <w:r>
        <w:rPr>
          <w:rFonts w:hint="eastAsia"/>
          <w:color w:val="0000FF"/>
          <w:u w:val="single"/>
        </w:rPr>
        <w:t>图10-23</w:t>
      </w:r>
      <w:r>
        <w:rPr>
          <w:color w:val="0000FF"/>
          <w:u w:val="single"/>
        </w:rPr>
        <w:fldChar w:fldCharType="end"/>
      </w:r>
      <w:r>
        <w:rPr>
          <w:rFonts w:hint="eastAsia"/>
        </w:rPr>
        <w:t>所示，进入“网络配置&gt;VPN&gt;SSL</w:t>
      </w:r>
      <w:r>
        <w:t xml:space="preserve"> </w:t>
      </w:r>
      <w:r>
        <w:rPr>
          <w:rFonts w:hint="eastAsia"/>
        </w:rPr>
        <w:t>VPN&gt;资源”页面，点击“新建”按钮，进行SSL</w:t>
      </w:r>
      <w:r>
        <w:t xml:space="preserve"> </w:t>
      </w:r>
      <w:r>
        <w:rPr>
          <w:rFonts w:hint="eastAsia"/>
        </w:rPr>
        <w:t>VPN的web和ftp资源配置，并点击&lt;提交&gt;。</w:t>
      </w:r>
    </w:p>
    <w:p w14:paraId="02339FF4">
      <w:pPr>
        <w:pStyle w:val="188"/>
      </w:pPr>
      <w:bookmarkStart w:id="3140" w:name="_Ref521502310"/>
      <w:bookmarkStart w:id="3141" w:name="_Ref4417242"/>
      <w:bookmarkStart w:id="3142" w:name="_Toc141874667"/>
      <w:r>
        <w:rPr>
          <w:rFonts w:hint="eastAsia"/>
        </w:rPr>
        <w:t>配置</w:t>
      </w:r>
      <w:bookmarkEnd w:id="3140"/>
      <w:r>
        <w:rPr>
          <w:rFonts w:hint="eastAsia"/>
        </w:rPr>
        <w:t>HTTP资源</w:t>
      </w:r>
      <w:bookmarkEnd w:id="3141"/>
      <w:bookmarkEnd w:id="3142"/>
    </w:p>
    <w:p w14:paraId="118BF7C2">
      <w:r>
        <w:drawing>
          <wp:inline distT="0" distB="0" distL="114300" distR="114300">
            <wp:extent cx="5362575" cy="4406900"/>
            <wp:effectExtent l="0" t="0" r="0" b="0"/>
            <wp:docPr id="1119"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图片 197"/>
                    <pic:cNvPicPr>
                      <a:picLocks noChangeAspect="1"/>
                    </pic:cNvPicPr>
                  </pic:nvPicPr>
                  <pic:blipFill>
                    <a:blip r:embed="rId451"/>
                    <a:srcRect r="19339"/>
                    <a:stretch>
                      <a:fillRect/>
                    </a:stretch>
                  </pic:blipFill>
                  <pic:spPr>
                    <a:xfrm>
                      <a:off x="0" y="0"/>
                      <a:ext cx="5365039" cy="4409413"/>
                    </a:xfrm>
                    <a:prstGeom prst="rect">
                      <a:avLst/>
                    </a:prstGeom>
                    <a:noFill/>
                    <a:ln>
                      <a:noFill/>
                    </a:ln>
                  </pic:spPr>
                </pic:pic>
              </a:graphicData>
            </a:graphic>
          </wp:inline>
        </w:drawing>
      </w:r>
    </w:p>
    <w:p w14:paraId="41AC9616"/>
    <w:p w14:paraId="150694D9">
      <w:pPr>
        <w:pStyle w:val="188"/>
      </w:pPr>
      <w:bookmarkStart w:id="3143" w:name="_Ref521502321"/>
      <w:bookmarkStart w:id="3144" w:name="_Toc141874668"/>
      <w:r>
        <w:rPr>
          <w:rFonts w:hint="eastAsia"/>
        </w:rPr>
        <w:t>配置ftp资源</w:t>
      </w:r>
      <w:bookmarkEnd w:id="3143"/>
      <w:bookmarkEnd w:id="3144"/>
    </w:p>
    <w:p w14:paraId="38890DEB">
      <w:r>
        <w:t xml:space="preserve"> </w:t>
      </w:r>
      <w:r>
        <w:drawing>
          <wp:inline distT="0" distB="0" distL="114300" distR="114300">
            <wp:extent cx="4610100" cy="3590925"/>
            <wp:effectExtent l="0" t="0" r="0" b="9525"/>
            <wp:docPr id="1120"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图片 198"/>
                    <pic:cNvPicPr>
                      <a:picLocks noChangeAspect="1"/>
                    </pic:cNvPicPr>
                  </pic:nvPicPr>
                  <pic:blipFill>
                    <a:blip r:embed="rId452"/>
                    <a:srcRect r="9165"/>
                    <a:stretch>
                      <a:fillRect/>
                    </a:stretch>
                  </pic:blipFill>
                  <pic:spPr>
                    <a:xfrm>
                      <a:off x="0" y="0"/>
                      <a:ext cx="4616247" cy="3596310"/>
                    </a:xfrm>
                    <a:prstGeom prst="rect">
                      <a:avLst/>
                    </a:prstGeom>
                    <a:noFill/>
                    <a:ln>
                      <a:noFill/>
                    </a:ln>
                  </pic:spPr>
                </pic:pic>
              </a:graphicData>
            </a:graphic>
          </wp:inline>
        </w:drawing>
      </w:r>
    </w:p>
    <w:p w14:paraId="7CE7B5FA"/>
    <w:p w14:paraId="603D2E35">
      <w:pPr>
        <w:pStyle w:val="202"/>
      </w:pPr>
      <w:r>
        <w:rPr>
          <w:rFonts w:hint="eastAsia"/>
        </w:rPr>
        <w:t>配置SSL</w:t>
      </w:r>
      <w:r>
        <w:t xml:space="preserve"> </w:t>
      </w:r>
      <w:r>
        <w:rPr>
          <w:rFonts w:hint="eastAsia"/>
        </w:rPr>
        <w:t>VPN策略</w:t>
      </w:r>
    </w:p>
    <w:p w14:paraId="262280CC">
      <w:r>
        <w:rPr>
          <w:rFonts w:hint="eastAsia"/>
        </w:rPr>
        <w:t>如</w:t>
      </w:r>
      <w:r>
        <w:rPr>
          <w:color w:val="0000FF"/>
          <w:u w:val="single"/>
        </w:rPr>
        <w:fldChar w:fldCharType="begin"/>
      </w:r>
      <w:r>
        <w:rPr>
          <w:color w:val="0000FF"/>
          <w:u w:val="single"/>
        </w:rPr>
        <w:instrText xml:space="preserve"> REF _Ref521502358 \r \h </w:instrText>
      </w:r>
      <w:r>
        <w:rPr>
          <w:color w:val="0000FF"/>
          <w:u w:val="single"/>
        </w:rPr>
        <w:fldChar w:fldCharType="separate"/>
      </w:r>
      <w:r>
        <w:rPr>
          <w:rFonts w:hint="eastAsia"/>
          <w:color w:val="0000FF"/>
          <w:u w:val="single"/>
        </w:rPr>
        <w:t>图10-24</w:t>
      </w:r>
      <w:r>
        <w:rPr>
          <w:color w:val="0000FF"/>
          <w:u w:val="single"/>
        </w:rPr>
        <w:fldChar w:fldCharType="end"/>
      </w:r>
      <w:r>
        <w:rPr>
          <w:rFonts w:hint="eastAsia"/>
        </w:rPr>
        <w:t>所示，</w:t>
      </w:r>
      <w:r>
        <w:t>进入</w:t>
      </w:r>
      <w:r>
        <w:rPr>
          <w:rFonts w:hint="eastAsia"/>
        </w:rPr>
        <w:t>“网络配置&gt;VPN</w:t>
      </w:r>
      <w:r>
        <w:t>&gt;SSL VPN&gt;</w:t>
      </w:r>
      <w:r>
        <w:rPr>
          <w:rFonts w:hint="eastAsia"/>
        </w:rPr>
        <w:t>策略”页面，点击&lt;新建&gt;按钮，进行sslvpn的策略配置，并点击&lt;提交&gt;。</w:t>
      </w:r>
    </w:p>
    <w:p w14:paraId="14B3C7E9">
      <w:pPr>
        <w:pStyle w:val="188"/>
      </w:pPr>
      <w:bookmarkStart w:id="3145" w:name="_Ref521502358"/>
      <w:bookmarkStart w:id="3146" w:name="_Toc141874669"/>
      <w:r>
        <w:rPr>
          <w:rFonts w:hint="eastAsia"/>
        </w:rPr>
        <w:t>策略配置</w:t>
      </w:r>
      <w:bookmarkEnd w:id="3145"/>
      <w:bookmarkEnd w:id="3146"/>
    </w:p>
    <w:p w14:paraId="5008F927">
      <w:pPr>
        <w:spacing w:before="79" w:after="79"/>
      </w:pPr>
      <w:r>
        <w:drawing>
          <wp:inline distT="0" distB="0" distL="114300" distR="114300">
            <wp:extent cx="5400040" cy="3154680"/>
            <wp:effectExtent l="0" t="0" r="0" b="7620"/>
            <wp:docPr id="1121"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图片 199"/>
                    <pic:cNvPicPr>
                      <a:picLocks noChangeAspect="1"/>
                    </pic:cNvPicPr>
                  </pic:nvPicPr>
                  <pic:blipFill>
                    <a:blip r:embed="rId453"/>
                    <a:srcRect r="14512"/>
                    <a:stretch>
                      <a:fillRect/>
                    </a:stretch>
                  </pic:blipFill>
                  <pic:spPr>
                    <a:xfrm>
                      <a:off x="0" y="0"/>
                      <a:ext cx="5400040" cy="3155207"/>
                    </a:xfrm>
                    <a:prstGeom prst="rect">
                      <a:avLst/>
                    </a:prstGeom>
                    <a:noFill/>
                    <a:ln>
                      <a:noFill/>
                    </a:ln>
                  </pic:spPr>
                </pic:pic>
              </a:graphicData>
            </a:graphic>
          </wp:inline>
        </w:drawing>
      </w:r>
    </w:p>
    <w:p w14:paraId="034B4043">
      <w:pPr>
        <w:pStyle w:val="202"/>
      </w:pPr>
      <w:r>
        <w:rPr>
          <w:rFonts w:hint="eastAsia"/>
        </w:rPr>
        <w:t>配置静态路由</w:t>
      </w:r>
    </w:p>
    <w:p w14:paraId="78ECFDD0">
      <w:r>
        <w:rPr>
          <w:rFonts w:hint="eastAsia"/>
        </w:rPr>
        <w:t>如</w:t>
      </w:r>
      <w:r>
        <w:rPr>
          <w:color w:val="0000FF"/>
          <w:u w:val="single"/>
        </w:rPr>
        <w:fldChar w:fldCharType="begin"/>
      </w:r>
      <w:r>
        <w:rPr>
          <w:color w:val="0000FF"/>
          <w:u w:val="single"/>
        </w:rPr>
        <w:instrText xml:space="preserve"> REF _Ref521502391 \r \h </w:instrText>
      </w:r>
      <w:r>
        <w:rPr>
          <w:color w:val="0000FF"/>
          <w:u w:val="single"/>
        </w:rPr>
        <w:fldChar w:fldCharType="separate"/>
      </w:r>
      <w:r>
        <w:rPr>
          <w:rFonts w:hint="eastAsia"/>
          <w:color w:val="0000FF"/>
          <w:u w:val="single"/>
        </w:rPr>
        <w:t>图10-25</w:t>
      </w:r>
      <w:r>
        <w:rPr>
          <w:color w:val="0000FF"/>
          <w:u w:val="single"/>
        </w:rPr>
        <w:fldChar w:fldCharType="end"/>
      </w:r>
      <w:r>
        <w:rPr>
          <w:rFonts w:hint="eastAsia"/>
        </w:rPr>
        <w:t>所示，</w:t>
      </w:r>
      <w:r>
        <w:t>进入</w:t>
      </w:r>
      <w:r>
        <w:rPr>
          <w:rFonts w:hint="eastAsia"/>
        </w:rPr>
        <w:t>“网络配置</w:t>
      </w:r>
      <w:r>
        <w:t>&gt;</w:t>
      </w:r>
      <w:r>
        <w:rPr>
          <w:rFonts w:hint="eastAsia"/>
        </w:rPr>
        <w:t>路由管理</w:t>
      </w:r>
      <w:r>
        <w:t>&gt;</w:t>
      </w:r>
      <w:r>
        <w:rPr>
          <w:rFonts w:hint="eastAsia"/>
        </w:rPr>
        <w:t>静态路由”页面，点击&lt;新建&gt;按钮，配置一条静态路由：目的网段为服务器的网段：</w:t>
      </w:r>
      <w:r>
        <w:t>172.16.1.1</w:t>
      </w:r>
      <w:r>
        <w:rPr>
          <w:rFonts w:hint="eastAsia"/>
        </w:rPr>
        <w:t>/</w:t>
      </w:r>
      <w:r>
        <w:t>24</w:t>
      </w:r>
      <w:r>
        <w:rPr>
          <w:rFonts w:hint="eastAsia"/>
        </w:rPr>
        <w:t>，下一</w:t>
      </w:r>
      <w:r>
        <w:t>跳</w:t>
      </w:r>
      <w:r>
        <w:rPr>
          <w:rFonts w:hint="eastAsia"/>
        </w:rPr>
        <w:t>为ge</w:t>
      </w:r>
      <w:r>
        <w:t>1</w:t>
      </w:r>
      <w:r>
        <w:rPr>
          <w:rFonts w:hint="eastAsia"/>
        </w:rPr>
        <w:t>对端互联接口地址。</w:t>
      </w:r>
    </w:p>
    <w:p w14:paraId="36D20C9A">
      <w:pPr>
        <w:pStyle w:val="188"/>
      </w:pPr>
      <w:bookmarkStart w:id="3147" w:name="_Toc141874670"/>
      <w:bookmarkStart w:id="3148" w:name="_Ref521502391"/>
      <w:r>
        <w:t>配置</w:t>
      </w:r>
      <w:r>
        <w:rPr>
          <w:rFonts w:hint="eastAsia"/>
        </w:rPr>
        <w:t>静态路由</w:t>
      </w:r>
      <w:bookmarkEnd w:id="3147"/>
      <w:bookmarkEnd w:id="3148"/>
    </w:p>
    <w:p w14:paraId="333A3A0D">
      <w:pPr>
        <w:spacing w:before="79" w:after="79"/>
      </w:pPr>
      <w:r>
        <w:drawing>
          <wp:inline distT="0" distB="0" distL="114300" distR="114300">
            <wp:extent cx="4562475" cy="3329940"/>
            <wp:effectExtent l="0" t="0" r="0" b="3810"/>
            <wp:docPr id="1122"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 name="图片 200"/>
                    <pic:cNvPicPr>
                      <a:picLocks noChangeAspect="1"/>
                    </pic:cNvPicPr>
                  </pic:nvPicPr>
                  <pic:blipFill>
                    <a:blip r:embed="rId454"/>
                    <a:srcRect r="11956"/>
                    <a:stretch>
                      <a:fillRect/>
                    </a:stretch>
                  </pic:blipFill>
                  <pic:spPr>
                    <a:xfrm>
                      <a:off x="0" y="0"/>
                      <a:ext cx="4568253" cy="3334542"/>
                    </a:xfrm>
                    <a:prstGeom prst="rect">
                      <a:avLst/>
                    </a:prstGeom>
                    <a:noFill/>
                    <a:ln>
                      <a:noFill/>
                    </a:ln>
                  </pic:spPr>
                </pic:pic>
              </a:graphicData>
            </a:graphic>
          </wp:inline>
        </w:drawing>
      </w:r>
    </w:p>
    <w:p w14:paraId="5BD1D0D9">
      <w:pPr>
        <w:pStyle w:val="202"/>
        <w:rPr>
          <w:lang w:eastAsia="zh-CN"/>
        </w:rPr>
      </w:pPr>
      <w:r>
        <w:rPr>
          <w:rFonts w:hint="eastAsia"/>
          <w:lang w:eastAsia="zh-CN"/>
        </w:rPr>
        <w:t>运行S</w:t>
      </w:r>
      <w:r>
        <w:rPr>
          <w:lang w:eastAsia="zh-CN"/>
        </w:rPr>
        <w:t>SL VPN</w:t>
      </w:r>
      <w:r>
        <w:rPr>
          <w:rFonts w:hint="eastAsia"/>
          <w:lang w:eastAsia="zh-CN"/>
        </w:rPr>
        <w:t>客户端程序，进入增加配置文件界面，设置文件名、地址和端口，点击&lt;确定</w:t>
      </w:r>
      <w:r>
        <w:rPr>
          <w:lang w:eastAsia="zh-CN"/>
        </w:rPr>
        <w:t>&gt;</w:t>
      </w:r>
      <w:r>
        <w:rPr>
          <w:rFonts w:hint="eastAsia"/>
          <w:lang w:eastAsia="zh-CN"/>
        </w:rPr>
        <w:t>。</w:t>
      </w:r>
    </w:p>
    <w:p w14:paraId="1B4603A7">
      <w:pPr>
        <w:pStyle w:val="373"/>
        <w:rPr>
          <w:rFonts w:ascii="Times New Roman" w:hAnsi="Times New Roman" w:cs="Cambria"/>
          <w:szCs w:val="21"/>
        </w:rPr>
      </w:pPr>
      <w:r>
        <w:drawing>
          <wp:inline distT="0" distB="0" distL="0" distR="0">
            <wp:extent cx="2752725" cy="1676400"/>
            <wp:effectExtent l="0" t="0" r="9525" b="0"/>
            <wp:docPr id="4942" name="图片 4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2" name="图片 4942"/>
                    <pic:cNvPicPr>
                      <a:picLocks noChangeAspect="1"/>
                    </pic:cNvPicPr>
                  </pic:nvPicPr>
                  <pic:blipFill>
                    <a:blip r:embed="rId455"/>
                    <a:stretch>
                      <a:fillRect/>
                    </a:stretch>
                  </pic:blipFill>
                  <pic:spPr>
                    <a:xfrm>
                      <a:off x="0" y="0"/>
                      <a:ext cx="2752725" cy="1676400"/>
                    </a:xfrm>
                    <a:prstGeom prst="rect">
                      <a:avLst/>
                    </a:prstGeom>
                  </pic:spPr>
                </pic:pic>
              </a:graphicData>
            </a:graphic>
          </wp:inline>
        </w:drawing>
      </w:r>
    </w:p>
    <w:p w14:paraId="6806E9F1"/>
    <w:p w14:paraId="6C49BF4E">
      <w:pPr>
        <w:pStyle w:val="5"/>
      </w:pPr>
      <w:bookmarkStart w:id="3149" w:name="_Toc486945826"/>
      <w:bookmarkStart w:id="3150" w:name="_Toc490141983"/>
      <w:bookmarkStart w:id="3151" w:name="_Toc142400968"/>
      <w:bookmarkStart w:id="3152" w:name="_Toc15484833"/>
      <w:bookmarkStart w:id="3153" w:name="_Toc23152599"/>
      <w:bookmarkStart w:id="3154" w:name="_Toc99561529"/>
      <w:bookmarkStart w:id="3155" w:name="_Toc524017995"/>
      <w:bookmarkStart w:id="3156" w:name="_Toc141873452"/>
      <w:bookmarkStart w:id="3157" w:name="_Toc194080829"/>
      <w:bookmarkStart w:id="3158" w:name="_Toc172218202"/>
      <w:bookmarkStart w:id="3159" w:name="_Toc196728161"/>
      <w:bookmarkStart w:id="3160" w:name="_Toc40276032"/>
      <w:bookmarkStart w:id="3161" w:name="_Toc4401425"/>
      <w:bookmarkStart w:id="3162" w:name="_Toc521676562"/>
      <w:bookmarkStart w:id="3163" w:name="_Toc12452312"/>
      <w:r>
        <w:rPr>
          <w:rFonts w:hint="eastAsia"/>
        </w:rPr>
        <w:t>验证</w:t>
      </w:r>
      <w:bookmarkEnd w:id="3149"/>
      <w:bookmarkEnd w:id="3150"/>
      <w:r>
        <w:rPr>
          <w:rFonts w:hint="eastAsia"/>
        </w:rPr>
        <w:t>配置</w:t>
      </w:r>
      <w:bookmarkEnd w:id="3151"/>
      <w:bookmarkEnd w:id="3152"/>
      <w:bookmarkEnd w:id="3153"/>
      <w:bookmarkEnd w:id="3154"/>
      <w:bookmarkEnd w:id="3155"/>
      <w:bookmarkEnd w:id="3156"/>
      <w:bookmarkEnd w:id="3157"/>
      <w:bookmarkEnd w:id="3158"/>
      <w:bookmarkEnd w:id="3159"/>
      <w:bookmarkEnd w:id="3160"/>
      <w:bookmarkEnd w:id="3161"/>
      <w:bookmarkEnd w:id="3162"/>
      <w:bookmarkEnd w:id="3163"/>
    </w:p>
    <w:p w14:paraId="643CFDBB">
      <w:pPr>
        <w:pStyle w:val="202"/>
        <w:rPr>
          <w:lang w:eastAsia="zh-CN"/>
        </w:rPr>
      </w:pPr>
      <w:r>
        <w:rPr>
          <w:rFonts w:hint="eastAsia"/>
          <w:lang w:eastAsia="zh-CN"/>
        </w:rPr>
        <w:t>查看SSL</w:t>
      </w:r>
      <w:r>
        <w:rPr>
          <w:lang w:eastAsia="zh-CN"/>
        </w:rPr>
        <w:t xml:space="preserve"> </w:t>
      </w:r>
      <w:r>
        <w:rPr>
          <w:rFonts w:hint="eastAsia"/>
          <w:lang w:eastAsia="zh-CN"/>
        </w:rPr>
        <w:t>VPN在线用户</w:t>
      </w:r>
    </w:p>
    <w:p w14:paraId="12DEEC71">
      <w:r>
        <w:rPr>
          <w:rFonts w:hint="eastAsia"/>
        </w:rPr>
        <w:t>如</w:t>
      </w:r>
      <w:r>
        <w:rPr>
          <w:color w:val="0000FF"/>
          <w:u w:val="single"/>
        </w:rPr>
        <w:fldChar w:fldCharType="begin"/>
      </w:r>
      <w:r>
        <w:rPr>
          <w:color w:val="0000FF"/>
          <w:u w:val="single"/>
        </w:rPr>
        <w:instrText xml:space="preserve"> REF _Ref521502230 \r \h </w:instrText>
      </w:r>
      <w:r>
        <w:rPr>
          <w:color w:val="0000FF"/>
          <w:u w:val="single"/>
        </w:rPr>
        <w:fldChar w:fldCharType="separate"/>
      </w:r>
      <w:r>
        <w:rPr>
          <w:rFonts w:hint="eastAsia"/>
          <w:color w:val="0000FF"/>
          <w:u w:val="single"/>
        </w:rPr>
        <w:t>图10-26</w:t>
      </w:r>
      <w:r>
        <w:rPr>
          <w:color w:val="0000FF"/>
          <w:u w:val="single"/>
        </w:rPr>
        <w:fldChar w:fldCharType="end"/>
      </w:r>
      <w:r>
        <w:rPr>
          <w:rFonts w:hint="eastAsia"/>
        </w:rPr>
        <w:t>所示，SSL</w:t>
      </w:r>
      <w:r>
        <w:t xml:space="preserve"> </w:t>
      </w:r>
      <w:r>
        <w:rPr>
          <w:rFonts w:hint="eastAsia"/>
        </w:rPr>
        <w:t>VPN连接成功后，</w:t>
      </w:r>
      <w:r>
        <w:t>进入</w:t>
      </w:r>
      <w:r>
        <w:rPr>
          <w:rFonts w:hint="eastAsia"/>
        </w:rPr>
        <w:t>“数据中心&gt;</w:t>
      </w:r>
      <w:r>
        <w:t>系统监控&gt;SSL VPN</w:t>
      </w:r>
      <w:r>
        <w:rPr>
          <w:rFonts w:hint="eastAsia"/>
        </w:rPr>
        <w:t>在线用户”页面，查看在线用户。</w:t>
      </w:r>
    </w:p>
    <w:p w14:paraId="0D21680C">
      <w:pPr>
        <w:pStyle w:val="188"/>
      </w:pPr>
      <w:bookmarkStart w:id="3164" w:name="_Ref521502230"/>
      <w:bookmarkStart w:id="3165" w:name="_Toc141874671"/>
      <w:r>
        <w:t>SSL VPN</w:t>
      </w:r>
      <w:r>
        <w:rPr>
          <w:rFonts w:hint="eastAsia"/>
        </w:rPr>
        <w:t>在线用户</w:t>
      </w:r>
      <w:bookmarkEnd w:id="3164"/>
      <w:bookmarkEnd w:id="3165"/>
    </w:p>
    <w:p w14:paraId="55A1424A">
      <w:pPr>
        <w:spacing w:before="79" w:after="79"/>
      </w:pPr>
      <w:r>
        <w:drawing>
          <wp:inline distT="0" distB="0" distL="0" distR="0">
            <wp:extent cx="5400040" cy="1003300"/>
            <wp:effectExtent l="0" t="0" r="0" b="6350"/>
            <wp:docPr id="4943" name="图片 4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3" name="图片 4943"/>
                    <pic:cNvPicPr>
                      <a:picLocks noChangeAspect="1"/>
                    </pic:cNvPicPr>
                  </pic:nvPicPr>
                  <pic:blipFill>
                    <a:blip r:embed="rId456"/>
                    <a:stretch>
                      <a:fillRect/>
                    </a:stretch>
                  </pic:blipFill>
                  <pic:spPr>
                    <a:xfrm>
                      <a:off x="0" y="0"/>
                      <a:ext cx="5400040" cy="1003473"/>
                    </a:xfrm>
                    <a:prstGeom prst="rect">
                      <a:avLst/>
                    </a:prstGeom>
                  </pic:spPr>
                </pic:pic>
              </a:graphicData>
            </a:graphic>
          </wp:inline>
        </w:drawing>
      </w:r>
    </w:p>
    <w:p w14:paraId="2678F7FC"/>
    <w:p w14:paraId="09CE55FE">
      <w:pPr>
        <w:pStyle w:val="202"/>
      </w:pPr>
      <w:r>
        <w:rPr>
          <w:rFonts w:hint="eastAsia"/>
        </w:rPr>
        <w:t>查看客户端路由表</w:t>
      </w:r>
    </w:p>
    <w:p w14:paraId="4BC5A3C6">
      <w:r>
        <w:rPr>
          <w:rFonts w:hint="eastAsia"/>
        </w:rPr>
        <w:t>如</w:t>
      </w:r>
      <w:r>
        <w:rPr>
          <w:color w:val="0000FF"/>
          <w:u w:val="single"/>
        </w:rPr>
        <w:fldChar w:fldCharType="begin"/>
      </w:r>
      <w:r>
        <w:rPr>
          <w:color w:val="0000FF"/>
          <w:u w:val="single"/>
        </w:rPr>
        <w:instrText xml:space="preserve"> REF _Ref521502209 \r \h </w:instrText>
      </w:r>
      <w:r>
        <w:rPr>
          <w:color w:val="0000FF"/>
          <w:u w:val="single"/>
        </w:rPr>
        <w:fldChar w:fldCharType="separate"/>
      </w:r>
      <w:r>
        <w:rPr>
          <w:rFonts w:hint="eastAsia"/>
          <w:color w:val="0000FF"/>
          <w:u w:val="single"/>
        </w:rPr>
        <w:t>图10-27</w:t>
      </w:r>
      <w:r>
        <w:rPr>
          <w:color w:val="0000FF"/>
          <w:u w:val="single"/>
        </w:rPr>
        <w:fldChar w:fldCharType="end"/>
      </w:r>
      <w:r>
        <w:rPr>
          <w:rFonts w:hint="eastAsia"/>
        </w:rPr>
        <w:t>所示，SSL</w:t>
      </w:r>
      <w:r>
        <w:t xml:space="preserve"> </w:t>
      </w:r>
      <w:r>
        <w:rPr>
          <w:rFonts w:hint="eastAsia"/>
        </w:rPr>
        <w:t>VPN连接成功后，查看客户端的路由表，下发了两条路由。</w:t>
      </w:r>
    </w:p>
    <w:p w14:paraId="7828CD1A">
      <w:pPr>
        <w:pStyle w:val="188"/>
      </w:pPr>
      <w:bookmarkStart w:id="3166" w:name="_Toc141874672"/>
      <w:bookmarkStart w:id="3167" w:name="_Ref521502209"/>
      <w:r>
        <w:rPr>
          <w:rFonts w:hint="eastAsia"/>
        </w:rPr>
        <w:t>客户端路由表</w:t>
      </w:r>
      <w:bookmarkEnd w:id="3166"/>
      <w:bookmarkEnd w:id="3167"/>
    </w:p>
    <w:p w14:paraId="5051470B">
      <w:r>
        <w:drawing>
          <wp:inline distT="0" distB="0" distL="0" distR="0">
            <wp:extent cx="5368925" cy="2856230"/>
            <wp:effectExtent l="0" t="0" r="3175" b="1270"/>
            <wp:docPr id="3113" name="图片 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3" name="图片 3113"/>
                    <pic:cNvPicPr>
                      <a:picLocks noChangeAspect="1"/>
                    </pic:cNvPicPr>
                  </pic:nvPicPr>
                  <pic:blipFill>
                    <a:blip r:embed="rId457"/>
                    <a:srcRect l="880"/>
                    <a:stretch>
                      <a:fillRect/>
                    </a:stretch>
                  </pic:blipFill>
                  <pic:spPr>
                    <a:xfrm>
                      <a:off x="0" y="0"/>
                      <a:ext cx="5381759" cy="2862980"/>
                    </a:xfrm>
                    <a:prstGeom prst="rect">
                      <a:avLst/>
                    </a:prstGeom>
                    <a:ln>
                      <a:noFill/>
                    </a:ln>
                  </pic:spPr>
                </pic:pic>
              </a:graphicData>
            </a:graphic>
          </wp:inline>
        </w:drawing>
      </w:r>
    </w:p>
    <w:p w14:paraId="591F60B7"/>
    <w:p w14:paraId="23CE1FA7">
      <w:pPr>
        <w:pStyle w:val="202"/>
      </w:pPr>
      <w:r>
        <w:rPr>
          <w:rFonts w:hint="eastAsia"/>
        </w:rPr>
        <w:t>访问</w:t>
      </w:r>
      <w:r>
        <w:t>SSL VPN</w:t>
      </w:r>
      <w:r>
        <w:rPr>
          <w:rFonts w:hint="eastAsia"/>
        </w:rPr>
        <w:t>资源</w:t>
      </w:r>
    </w:p>
    <w:p w14:paraId="35A114F9">
      <w:r>
        <w:rPr>
          <w:rFonts w:hint="eastAsia"/>
        </w:rPr>
        <w:t>SSL</w:t>
      </w:r>
      <w:r>
        <w:t xml:space="preserve"> </w:t>
      </w:r>
      <w:r>
        <w:rPr>
          <w:rFonts w:hint="eastAsia"/>
        </w:rPr>
        <w:t>VPN连接成功后，访问内网的HTTP和FTP资源，能够访问成功，如</w:t>
      </w:r>
      <w:r>
        <w:fldChar w:fldCharType="begin"/>
      </w:r>
      <w:r>
        <w:instrText xml:space="preserve"> REF _Ref521505230 \r \h </w:instrText>
      </w:r>
      <w:r>
        <w:fldChar w:fldCharType="separate"/>
      </w:r>
      <w:r>
        <w:rPr>
          <w:rFonts w:hint="eastAsia"/>
        </w:rPr>
        <w:t>图10-28</w:t>
      </w:r>
      <w:r>
        <w:fldChar w:fldCharType="end"/>
      </w:r>
      <w:r>
        <w:rPr>
          <w:rFonts w:hint="eastAsia"/>
        </w:rPr>
        <w:t>和</w:t>
      </w:r>
      <w:r>
        <w:fldChar w:fldCharType="begin"/>
      </w:r>
      <w:r>
        <w:instrText xml:space="preserve"> REF _Ref521504851 \r \h </w:instrText>
      </w:r>
      <w:r>
        <w:fldChar w:fldCharType="separate"/>
      </w:r>
      <w:r>
        <w:rPr>
          <w:rFonts w:hint="eastAsia"/>
        </w:rPr>
        <w:t>图10-29</w:t>
      </w:r>
      <w:r>
        <w:fldChar w:fldCharType="end"/>
      </w:r>
      <w:r>
        <w:rPr>
          <w:rFonts w:hint="eastAsia"/>
        </w:rPr>
        <w:t>所示。</w:t>
      </w:r>
    </w:p>
    <w:p w14:paraId="7FAE5CFC">
      <w:pPr>
        <w:pStyle w:val="188"/>
      </w:pPr>
      <w:bookmarkStart w:id="3168" w:name="_Ref521505230"/>
      <w:bookmarkStart w:id="3169" w:name="_Toc141874673"/>
      <w:r>
        <w:rPr>
          <w:rFonts w:hint="eastAsia"/>
        </w:rPr>
        <w:t>访问FTP资源</w:t>
      </w:r>
      <w:bookmarkEnd w:id="3168"/>
      <w:bookmarkEnd w:id="3169"/>
    </w:p>
    <w:p w14:paraId="5F322927">
      <w:r>
        <w:drawing>
          <wp:inline distT="0" distB="0" distL="0" distR="0">
            <wp:extent cx="5450205" cy="1602740"/>
            <wp:effectExtent l="0" t="0" r="0" b="0"/>
            <wp:docPr id="3114" name="图片 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4" name="图片 3114"/>
                    <pic:cNvPicPr>
                      <a:picLocks noChangeAspect="1"/>
                    </pic:cNvPicPr>
                  </pic:nvPicPr>
                  <pic:blipFill>
                    <a:blip r:embed="rId458"/>
                    <a:stretch>
                      <a:fillRect/>
                    </a:stretch>
                  </pic:blipFill>
                  <pic:spPr>
                    <a:xfrm>
                      <a:off x="0" y="0"/>
                      <a:ext cx="5483841" cy="1612895"/>
                    </a:xfrm>
                    <a:prstGeom prst="rect">
                      <a:avLst/>
                    </a:prstGeom>
                  </pic:spPr>
                </pic:pic>
              </a:graphicData>
            </a:graphic>
          </wp:inline>
        </w:drawing>
      </w:r>
    </w:p>
    <w:p w14:paraId="2261B5E1"/>
    <w:p w14:paraId="198B441E">
      <w:pPr>
        <w:pStyle w:val="188"/>
      </w:pPr>
      <w:bookmarkStart w:id="3170" w:name="_Ref521504851"/>
      <w:bookmarkStart w:id="3171" w:name="_Toc141874674"/>
      <w:r>
        <w:rPr>
          <w:rFonts w:hint="eastAsia"/>
        </w:rPr>
        <w:t>访问HTTP资源</w:t>
      </w:r>
      <w:bookmarkEnd w:id="3170"/>
      <w:bookmarkEnd w:id="3171"/>
    </w:p>
    <w:p w14:paraId="0EC10267">
      <w:r>
        <w:t xml:space="preserve"> </w:t>
      </w:r>
      <w:r>
        <w:drawing>
          <wp:inline distT="0" distB="0" distL="0" distR="0">
            <wp:extent cx="5295900" cy="1459230"/>
            <wp:effectExtent l="0" t="0" r="0" b="7620"/>
            <wp:docPr id="3115" name="图片 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5" name="图片 3115"/>
                    <pic:cNvPicPr>
                      <a:picLocks noChangeAspect="1"/>
                    </pic:cNvPicPr>
                  </pic:nvPicPr>
                  <pic:blipFill>
                    <a:blip r:embed="rId459"/>
                    <a:stretch>
                      <a:fillRect/>
                    </a:stretch>
                  </pic:blipFill>
                  <pic:spPr>
                    <a:xfrm>
                      <a:off x="0" y="0"/>
                      <a:ext cx="5333521" cy="1469636"/>
                    </a:xfrm>
                    <a:prstGeom prst="rect">
                      <a:avLst/>
                    </a:prstGeom>
                  </pic:spPr>
                </pic:pic>
              </a:graphicData>
            </a:graphic>
          </wp:inline>
        </w:drawing>
      </w:r>
    </w:p>
    <w:p w14:paraId="1D85D22E">
      <w:r>
        <w:rPr>
          <w:rFonts w:hint="eastAsia"/>
        </w:rPr>
        <w:t>非特定终端登录SSL</w:t>
      </w:r>
      <w:r>
        <w:t xml:space="preserve"> </w:t>
      </w:r>
      <w:r>
        <w:rPr>
          <w:rFonts w:hint="eastAsia"/>
        </w:rPr>
        <w:t>VPN，输入正确的用户名和密码，也会连接失败。</w:t>
      </w:r>
    </w:p>
    <w:p w14:paraId="31DD015C">
      <w:r>
        <w:drawing>
          <wp:inline distT="0" distB="0" distL="0" distR="0">
            <wp:extent cx="4622800" cy="2724150"/>
            <wp:effectExtent l="0" t="0" r="6350" b="0"/>
            <wp:docPr id="3116" name="图片 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6" name="图片 3116"/>
                    <pic:cNvPicPr>
                      <a:picLocks noChangeAspect="1"/>
                    </pic:cNvPicPr>
                  </pic:nvPicPr>
                  <pic:blipFill>
                    <a:blip r:embed="rId460"/>
                    <a:stretch>
                      <a:fillRect/>
                    </a:stretch>
                  </pic:blipFill>
                  <pic:spPr>
                    <a:xfrm>
                      <a:off x="0" y="0"/>
                      <a:ext cx="4631787" cy="2729886"/>
                    </a:xfrm>
                    <a:prstGeom prst="rect">
                      <a:avLst/>
                    </a:prstGeom>
                  </pic:spPr>
                </pic:pic>
              </a:graphicData>
            </a:graphic>
          </wp:inline>
        </w:drawing>
      </w:r>
    </w:p>
    <w:p w14:paraId="0689E750">
      <w:r>
        <w:br w:type="page"/>
      </w:r>
    </w:p>
    <w:p w14:paraId="737BA713">
      <w:pPr>
        <w:pStyle w:val="3"/>
      </w:pPr>
      <w:bookmarkStart w:id="3172" w:name="_Toc142400969"/>
      <w:bookmarkStart w:id="3173" w:name="_Toc141873453"/>
      <w:bookmarkStart w:id="3174" w:name="_Toc172218203"/>
      <w:bookmarkStart w:id="3175" w:name="_Toc194080830"/>
      <w:bookmarkStart w:id="3176" w:name="_Toc196728162"/>
      <w:bookmarkStart w:id="3177" w:name="_Toc99561530"/>
      <w:bookmarkStart w:id="3178" w:name="_Toc6232136"/>
      <w:bookmarkStart w:id="3179" w:name="_Toc474250009"/>
      <w:bookmarkStart w:id="3180" w:name="_Toc40276033"/>
      <w:bookmarkStart w:id="3181" w:name="_Toc23152600"/>
      <w:bookmarkStart w:id="3182" w:name="_Toc15484834"/>
      <w:r>
        <w:t>基础网络</w:t>
      </w:r>
      <w:bookmarkEnd w:id="3172"/>
      <w:bookmarkEnd w:id="3173"/>
      <w:bookmarkEnd w:id="3174"/>
      <w:bookmarkEnd w:id="3175"/>
      <w:bookmarkEnd w:id="3176"/>
      <w:bookmarkEnd w:id="3177"/>
    </w:p>
    <w:p w14:paraId="69C57AE3">
      <w:pPr>
        <w:pStyle w:val="4"/>
      </w:pPr>
      <w:bookmarkStart w:id="3183" w:name="_Toc99561531"/>
      <w:bookmarkStart w:id="3184" w:name="_Toc141873454"/>
      <w:bookmarkStart w:id="3185" w:name="_Toc142400970"/>
      <w:bookmarkStart w:id="3186" w:name="_Toc172218204"/>
      <w:bookmarkStart w:id="3187" w:name="_Toc194080831"/>
      <w:bookmarkStart w:id="3188" w:name="_Toc196728163"/>
      <w:r>
        <w:rPr>
          <w:rFonts w:hint="eastAsia"/>
        </w:rPr>
        <w:t>DHCP</w:t>
      </w:r>
      <w:bookmarkEnd w:id="3178"/>
      <w:bookmarkEnd w:id="3179"/>
      <w:bookmarkEnd w:id="3180"/>
      <w:bookmarkEnd w:id="3181"/>
      <w:bookmarkEnd w:id="3182"/>
      <w:bookmarkEnd w:id="3183"/>
      <w:bookmarkEnd w:id="3184"/>
      <w:bookmarkEnd w:id="3185"/>
      <w:bookmarkEnd w:id="3186"/>
      <w:bookmarkEnd w:id="3187"/>
      <w:bookmarkEnd w:id="3188"/>
    </w:p>
    <w:p w14:paraId="58084163">
      <w:pPr>
        <w:pStyle w:val="5"/>
      </w:pPr>
      <w:bookmarkStart w:id="3189" w:name="_Toc15484835"/>
      <w:bookmarkStart w:id="3190" w:name="_Toc23152601"/>
      <w:bookmarkStart w:id="3191" w:name="_Toc6232137"/>
      <w:bookmarkStart w:id="3192" w:name="_Toc40276034"/>
      <w:bookmarkStart w:id="3193" w:name="_Toc99561532"/>
      <w:bookmarkStart w:id="3194" w:name="_Toc141873455"/>
      <w:bookmarkStart w:id="3195" w:name="_Toc142400971"/>
      <w:bookmarkStart w:id="3196" w:name="_Toc172218205"/>
      <w:bookmarkStart w:id="3197" w:name="_Toc194080832"/>
      <w:bookmarkStart w:id="3198" w:name="_Toc196728164"/>
      <w:bookmarkStart w:id="3199" w:name="_Toc474250010"/>
      <w:bookmarkStart w:id="3200" w:name="_Toc392754639"/>
      <w:r>
        <w:rPr>
          <w:rFonts w:hint="eastAsia"/>
        </w:rPr>
        <w:t>DHCP简介</w:t>
      </w:r>
      <w:bookmarkEnd w:id="3189"/>
      <w:bookmarkEnd w:id="3190"/>
      <w:bookmarkEnd w:id="3191"/>
      <w:bookmarkEnd w:id="3192"/>
      <w:bookmarkEnd w:id="3193"/>
      <w:bookmarkEnd w:id="3194"/>
      <w:bookmarkEnd w:id="3195"/>
      <w:bookmarkEnd w:id="3196"/>
      <w:bookmarkEnd w:id="3197"/>
      <w:bookmarkEnd w:id="3198"/>
      <w:bookmarkEnd w:id="3199"/>
      <w:bookmarkEnd w:id="3200"/>
    </w:p>
    <w:p w14:paraId="4FC15485">
      <w:r>
        <w:t>随着网络规模的扩大和网络复杂度的提高，网络配置越来越复杂，经常出现计算机位置变化（如便携机或无线网络）和计算机数量超过可分配的IP 地址的情况。DHCP（Dynamic Host Configuration Protocol，动态主机配置协议）就是为满足这些需求而发展起来的。</w:t>
      </w:r>
    </w:p>
    <w:p w14:paraId="46D45F30">
      <w:r>
        <w:t>与 BOOTP相比，DHCP也采用客户/服务器通信模式，由客户端向服务器提出配置申请（包括分配的IP地址、子网掩码、缺省网关等参数），服务器根据策略返回相应配置信息，两种协议的报文都采用UDP进行封装，并使用基本相同的报文结构。BOOTP运行在相对静态（每台主机都有固定的网络连接）的环境中，管理员为每台主机配置专门的BOOTP参数文件，该文件会在相当长的时间内保持不变。</w:t>
      </w:r>
    </w:p>
    <w:p w14:paraId="5C548B5A">
      <w:r>
        <w:t>DHCP从两方面对BOOTP进行了扩展：DHCP可使计算机仅用一个消息就获取它所需要的所有配置信息；DHCP允许计算机快速、动态地获取IP 地址，而不是静态为每台主机指定地址。</w:t>
      </w:r>
    </w:p>
    <w:p w14:paraId="3272F082">
      <w:pPr>
        <w:pStyle w:val="6"/>
      </w:pPr>
      <w:bookmarkStart w:id="3201" w:name="_Toc392754640"/>
      <w:bookmarkStart w:id="3202" w:name="_Toc474250011"/>
      <w:bookmarkStart w:id="3203" w:name="_Toc6232138"/>
      <w:bookmarkStart w:id="3204" w:name="_Toc23152602"/>
      <w:bookmarkStart w:id="3205" w:name="_Toc15484836"/>
      <w:bookmarkStart w:id="3206" w:name="_Toc40276035"/>
      <w:r>
        <w:rPr>
          <w:rFonts w:hint="eastAsia"/>
        </w:rPr>
        <w:t>DHCP Server</w:t>
      </w:r>
      <w:bookmarkEnd w:id="3201"/>
      <w:bookmarkEnd w:id="3202"/>
      <w:bookmarkEnd w:id="3203"/>
      <w:bookmarkEnd w:id="3204"/>
      <w:bookmarkEnd w:id="3205"/>
      <w:bookmarkEnd w:id="3206"/>
    </w:p>
    <w:p w14:paraId="7E818BE1">
      <w:r>
        <w:t>设备可以作为DHCP Server，用于实现对网络中IP地址的动态分配和集中管理。动态分配是指当DHCP客户端第一次从DHCP Server租用到IP地址后，并非永久的使用该地址，只要租约到期，客户端就要释放(Release)这个IP地址以给其它工作站使用。为了实现IP地址的动态分配，必须设置DHCP Server拥有一个IP地址范围，用来分配给用户，这个用来分配给客户端的地址范围也叫IP地址池（IP Pool）。</w:t>
      </w:r>
    </w:p>
    <w:p w14:paraId="4AE04314">
      <w:r>
        <w:t>如</w:t>
      </w:r>
      <w:r>
        <w:fldChar w:fldCharType="begin"/>
      </w:r>
      <w:r>
        <w:instrText xml:space="preserve"> REF _Ref392855762 \r \h  \* MERGEFORMAT </w:instrText>
      </w:r>
      <w:r>
        <w:fldChar w:fldCharType="separate"/>
      </w:r>
      <w:r>
        <w:rPr>
          <w:rFonts w:hint="eastAsia"/>
        </w:rPr>
        <w:t>图11-1</w:t>
      </w:r>
      <w:r>
        <w:fldChar w:fldCharType="end"/>
      </w:r>
      <w:r>
        <w:t>反映了DHCP客户端从DHCP Server申请IP地址的过程。</w:t>
      </w:r>
    </w:p>
    <w:p w14:paraId="187A3859">
      <w:pPr>
        <w:pStyle w:val="188"/>
      </w:pPr>
      <w:bookmarkStart w:id="3207" w:name="_Ref390959631"/>
      <w:bookmarkStart w:id="3208" w:name="_Ref392855762"/>
      <w:bookmarkStart w:id="3209" w:name="_Toc141874675"/>
      <w:r>
        <w:rPr>
          <w:rFonts w:hint="eastAsia"/>
        </w:rPr>
        <w:t>DHCP服务器原理</w:t>
      </w:r>
      <w:bookmarkEnd w:id="3207"/>
      <w:r>
        <w:rPr>
          <w:rFonts w:hint="eastAsia"/>
        </w:rPr>
        <w:t>图</w:t>
      </w:r>
      <w:bookmarkEnd w:id="3208"/>
      <w:bookmarkEnd w:id="3209"/>
    </w:p>
    <w:p w14:paraId="23D07F42">
      <w:pPr>
        <w:spacing w:before="79" w:after="79"/>
      </w:pPr>
      <w:r>
        <w:drawing>
          <wp:inline distT="0" distB="0" distL="0" distR="0">
            <wp:extent cx="2400300" cy="1898015"/>
            <wp:effectExtent l="0" t="0" r="0" b="6985"/>
            <wp:docPr id="895" name="图片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图片 895"/>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a:xfrm>
                      <a:off x="0" y="0"/>
                      <a:ext cx="2417447" cy="1911758"/>
                    </a:xfrm>
                    <a:prstGeom prst="rect">
                      <a:avLst/>
                    </a:prstGeom>
                    <a:noFill/>
                    <a:ln>
                      <a:noFill/>
                    </a:ln>
                  </pic:spPr>
                </pic:pic>
              </a:graphicData>
            </a:graphic>
          </wp:inline>
        </w:drawing>
      </w:r>
    </w:p>
    <w:p w14:paraId="10AEC10D"/>
    <w:p w14:paraId="1B30BA6F">
      <w:r>
        <w:t>当客户端第一次登录到网络时，它会向网络广播一个DHCP DISCOVER消息，此时由于客户端还不知道自己属于哪一个网路，所以封包的来源地址为0.0.0.0，目的地址则为255.255.255.255。</w:t>
      </w:r>
    </w:p>
    <w:p w14:paraId="376CFC55">
      <w:r>
        <w:t>由于网络上可能不止一个DHCP Server，凡是具有有效IP地址信息的DHCP Server均从各自还没有租出的地址中选择一个空闲IP，然后将该提议回应给客户端。</w:t>
      </w:r>
    </w:p>
    <w:p w14:paraId="6B1911B5">
      <w:r>
        <w:t>客户端从接收到的第一个提议中选定IP地址信息，并广播一条租用地址的消息请求。由发出该提议的DHCP Server响应该消息，确认已接受请求并开始租用。</w:t>
      </w:r>
    </w:p>
    <w:p w14:paraId="3BC93BE0">
      <w:r>
        <w:t>客户端收到确认后开始使用此地址。</w:t>
      </w:r>
    </w:p>
    <w:p w14:paraId="320AC23D">
      <w:pPr>
        <w:pStyle w:val="6"/>
      </w:pPr>
      <w:bookmarkStart w:id="3210" w:name="_Toc313060680"/>
      <w:bookmarkStart w:id="3211" w:name="_Toc221439221"/>
      <w:bookmarkStart w:id="3212" w:name="_Toc266194582"/>
      <w:bookmarkStart w:id="3213" w:name="_Toc392754641"/>
      <w:bookmarkStart w:id="3214" w:name="_Toc474250012"/>
      <w:bookmarkStart w:id="3215" w:name="_Toc6232139"/>
      <w:bookmarkStart w:id="3216" w:name="_Toc40276036"/>
      <w:bookmarkStart w:id="3217" w:name="_Toc15484837"/>
      <w:bookmarkStart w:id="3218" w:name="_Toc23152603"/>
      <w:r>
        <w:rPr>
          <w:rFonts w:hint="eastAsia"/>
        </w:rPr>
        <w:t xml:space="preserve">DHCP </w:t>
      </w:r>
      <w:bookmarkEnd w:id="3210"/>
      <w:bookmarkEnd w:id="3211"/>
      <w:bookmarkEnd w:id="3212"/>
      <w:r>
        <w:rPr>
          <w:rFonts w:hint="eastAsia"/>
        </w:rPr>
        <w:t>中继代理(Relay)</w:t>
      </w:r>
      <w:bookmarkEnd w:id="3213"/>
      <w:bookmarkEnd w:id="3214"/>
      <w:bookmarkEnd w:id="3215"/>
      <w:bookmarkEnd w:id="3216"/>
      <w:bookmarkEnd w:id="3217"/>
      <w:bookmarkEnd w:id="3218"/>
    </w:p>
    <w:p w14:paraId="61CA6B09">
      <w:r>
        <w:t>DHCP 中继代理是用来将一个网段的DHCP请求转发给其它网段的DHCP Server，由其它网段的DHCP Server分配IP地址。DHCP 中继代理存在的原因是因为DHCP客户端还没有IP环境设定，这时由DHCP Relay来接管客户的DHCP请求然后将DHCP消息传递给DHCP Server，再将DHCP服务器的应答消息传给客户端，客户端获得IP地址。当然也可以在每一个网段之中安装DHCP Server但这样的话设备成本会增加而且管理上面也比较分散。DHCP 中继代理的工作原理如</w:t>
      </w:r>
      <w:r>
        <w:rPr>
          <w:color w:val="0000FF"/>
          <w:u w:val="single"/>
        </w:rPr>
        <w:fldChar w:fldCharType="begin"/>
      </w:r>
      <w:r>
        <w:rPr>
          <w:color w:val="0000FF"/>
          <w:u w:val="single"/>
        </w:rPr>
        <w:instrText xml:space="preserve"> REF _Ref390960552 \r \h  \* MERGEFORMAT </w:instrText>
      </w:r>
      <w:r>
        <w:rPr>
          <w:color w:val="0000FF"/>
          <w:u w:val="single"/>
        </w:rPr>
        <w:fldChar w:fldCharType="separate"/>
      </w:r>
      <w:r>
        <w:rPr>
          <w:rFonts w:hint="eastAsia"/>
          <w:color w:val="0000FF"/>
          <w:u w:val="single"/>
        </w:rPr>
        <w:t>图11-2</w:t>
      </w:r>
      <w:r>
        <w:rPr>
          <w:color w:val="0000FF"/>
          <w:u w:val="single"/>
        </w:rPr>
        <w:fldChar w:fldCharType="end"/>
      </w:r>
      <w:r>
        <w:t>所示。</w:t>
      </w:r>
    </w:p>
    <w:p w14:paraId="2D79200C">
      <w:pPr>
        <w:pStyle w:val="188"/>
      </w:pPr>
      <w:bookmarkStart w:id="3219" w:name="_Toc141874676"/>
      <w:bookmarkStart w:id="3220" w:name="_Ref390960552"/>
      <w:r>
        <w:rPr>
          <w:rFonts w:hint="eastAsia"/>
        </w:rPr>
        <w:t>DHCP代理原理图</w:t>
      </w:r>
      <w:bookmarkEnd w:id="3219"/>
      <w:bookmarkEnd w:id="3220"/>
    </w:p>
    <w:p w14:paraId="1ACF35CB">
      <w:pPr>
        <w:spacing w:before="79" w:after="79"/>
      </w:pPr>
      <w:r>
        <w:drawing>
          <wp:inline distT="0" distB="0" distL="0" distR="0">
            <wp:extent cx="3181350" cy="1581150"/>
            <wp:effectExtent l="0" t="0" r="0" b="0"/>
            <wp:docPr id="1216" name="图片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 name="图片 1216"/>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a:xfrm>
                      <a:off x="0" y="0"/>
                      <a:ext cx="3181350" cy="1581150"/>
                    </a:xfrm>
                    <a:prstGeom prst="rect">
                      <a:avLst/>
                    </a:prstGeom>
                    <a:noFill/>
                    <a:ln>
                      <a:noFill/>
                    </a:ln>
                  </pic:spPr>
                </pic:pic>
              </a:graphicData>
            </a:graphic>
          </wp:inline>
        </w:drawing>
      </w:r>
    </w:p>
    <w:p w14:paraId="1A4F6086"/>
    <w:p w14:paraId="7236BBDC">
      <w:pPr>
        <w:pStyle w:val="5"/>
      </w:pPr>
      <w:bookmarkStart w:id="3221" w:name="_Toc99561533"/>
      <w:bookmarkStart w:id="3222" w:name="_Toc474250013"/>
      <w:bookmarkStart w:id="3223" w:name="_Toc23152604"/>
      <w:bookmarkStart w:id="3224" w:name="_Toc141873456"/>
      <w:bookmarkStart w:id="3225" w:name="_Toc15484838"/>
      <w:bookmarkStart w:id="3226" w:name="_Toc389059170"/>
      <w:bookmarkStart w:id="3227" w:name="_Toc194080833"/>
      <w:bookmarkStart w:id="3228" w:name="_Toc389749913"/>
      <w:bookmarkStart w:id="3229" w:name="_Toc6232140"/>
      <w:bookmarkStart w:id="3230" w:name="_Toc40276037"/>
      <w:bookmarkStart w:id="3231" w:name="_Toc142400972"/>
      <w:bookmarkStart w:id="3232" w:name="_Toc172218206"/>
      <w:bookmarkStart w:id="3233" w:name="_Toc196728165"/>
      <w:r>
        <w:rPr>
          <w:rFonts w:hint="eastAsia"/>
        </w:rPr>
        <w:t>DHCP服务</w:t>
      </w:r>
      <w:bookmarkEnd w:id="3221"/>
      <w:bookmarkEnd w:id="3222"/>
      <w:bookmarkEnd w:id="3223"/>
      <w:bookmarkEnd w:id="3224"/>
      <w:bookmarkEnd w:id="3225"/>
      <w:bookmarkEnd w:id="3226"/>
      <w:bookmarkEnd w:id="3227"/>
      <w:bookmarkEnd w:id="3228"/>
      <w:bookmarkEnd w:id="3229"/>
      <w:bookmarkEnd w:id="3230"/>
      <w:bookmarkEnd w:id="3231"/>
      <w:bookmarkEnd w:id="3232"/>
      <w:bookmarkEnd w:id="3233"/>
    </w:p>
    <w:p w14:paraId="38D1D631">
      <w:r>
        <w:t>通过菜单</w:t>
      </w:r>
      <w:r>
        <w:rPr>
          <w:rFonts w:hint="eastAsia"/>
        </w:rPr>
        <w:t>“</w:t>
      </w:r>
      <w:r>
        <w:t>网络配置 &gt; 基础网络 &gt; DHCP服务</w:t>
      </w:r>
      <w:r>
        <w:rPr>
          <w:rFonts w:hint="eastAsia"/>
        </w:rPr>
        <w:t>”</w:t>
      </w:r>
      <w:r>
        <w:t>，进入如</w:t>
      </w:r>
      <w:r>
        <w:rPr>
          <w:color w:val="0000FF"/>
          <w:u w:val="single"/>
        </w:rPr>
        <w:fldChar w:fldCharType="begin"/>
      </w:r>
      <w:r>
        <w:rPr>
          <w:color w:val="0000FF"/>
          <w:u w:val="single"/>
        </w:rPr>
        <w:instrText xml:space="preserve"> REF _Ref392856280 \r \h  \* MERGEFORMAT </w:instrText>
      </w:r>
      <w:r>
        <w:rPr>
          <w:color w:val="0000FF"/>
          <w:u w:val="single"/>
        </w:rPr>
        <w:fldChar w:fldCharType="separate"/>
      </w:r>
      <w:r>
        <w:rPr>
          <w:rFonts w:hint="eastAsia"/>
          <w:color w:val="0000FF"/>
          <w:u w:val="single"/>
        </w:rPr>
        <w:t>图11-3</w:t>
      </w:r>
      <w:r>
        <w:rPr>
          <w:color w:val="0000FF"/>
          <w:u w:val="single"/>
        </w:rPr>
        <w:fldChar w:fldCharType="end"/>
      </w:r>
      <w:r>
        <w:t>所示页面。在该页面上，可以“编辑”，设置各个接口下的DHCP服务类型。</w:t>
      </w:r>
    </w:p>
    <w:p w14:paraId="6512E599">
      <w:pPr>
        <w:pStyle w:val="188"/>
      </w:pPr>
      <w:bookmarkStart w:id="3234" w:name="_Toc141874677"/>
      <w:bookmarkStart w:id="3235" w:name="_Ref392856280"/>
      <w:r>
        <w:rPr>
          <w:rFonts w:hint="eastAsia"/>
        </w:rPr>
        <w:t>DHCP服务页面</w:t>
      </w:r>
      <w:bookmarkEnd w:id="3234"/>
      <w:bookmarkEnd w:id="3235"/>
    </w:p>
    <w:p w14:paraId="20FF0995">
      <w:pPr>
        <w:spacing w:before="79" w:after="79"/>
      </w:pPr>
      <w:r>
        <w:drawing>
          <wp:inline distT="0" distB="0" distL="0" distR="0">
            <wp:extent cx="5400040" cy="1284605"/>
            <wp:effectExtent l="0" t="0" r="0" b="0"/>
            <wp:docPr id="4944" name="图片 3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4" name="图片 3622"/>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a:xfrm>
                      <a:off x="0" y="0"/>
                      <a:ext cx="5400040" cy="1284924"/>
                    </a:xfrm>
                    <a:prstGeom prst="rect">
                      <a:avLst/>
                    </a:prstGeom>
                    <a:noFill/>
                    <a:ln>
                      <a:noFill/>
                    </a:ln>
                  </pic:spPr>
                </pic:pic>
              </a:graphicData>
            </a:graphic>
          </wp:inline>
        </w:drawing>
      </w:r>
    </w:p>
    <w:p w14:paraId="731F5B4A">
      <w:r>
        <w:t>点击&lt;编辑&gt;按钮，进入如</w:t>
      </w:r>
      <w:r>
        <w:fldChar w:fldCharType="begin"/>
      </w:r>
      <w:r>
        <w:instrText xml:space="preserve"> REF _Ref392856422 \r \h  \* MERGEFORMAT </w:instrText>
      </w:r>
      <w:r>
        <w:fldChar w:fldCharType="separate"/>
      </w:r>
      <w:r>
        <w:rPr>
          <w:rFonts w:hint="eastAsia"/>
        </w:rPr>
        <w:t>图11-4</w:t>
      </w:r>
      <w:r>
        <w:fldChar w:fldCharType="end"/>
      </w:r>
      <w:r>
        <w:t>所示的页面，进行接口下DHCP服务类型的配置。各个配置项的含义如</w:t>
      </w:r>
      <w:r>
        <w:fldChar w:fldCharType="begin"/>
      </w:r>
      <w:r>
        <w:instrText xml:space="preserve"> REF _Ref392856411 \r \h  \* MERGEFORMAT </w:instrText>
      </w:r>
      <w:r>
        <w:fldChar w:fldCharType="separate"/>
      </w:r>
      <w:r>
        <w:rPr>
          <w:rFonts w:hint="eastAsia"/>
        </w:rPr>
        <w:t>表11-1</w:t>
      </w:r>
      <w:r>
        <w:fldChar w:fldCharType="end"/>
      </w:r>
      <w:r>
        <w:t>所示。</w:t>
      </w:r>
    </w:p>
    <w:p w14:paraId="14FE0EA3">
      <w:pPr>
        <w:pStyle w:val="188"/>
      </w:pPr>
      <w:bookmarkStart w:id="3236" w:name="_Ref392856422"/>
      <w:bookmarkStart w:id="3237" w:name="_Toc141874678"/>
      <w:r>
        <w:t>接口</w:t>
      </w:r>
      <w:r>
        <w:rPr>
          <w:rFonts w:hint="eastAsia"/>
        </w:rPr>
        <w:t>DHCP服务类型配置页面</w:t>
      </w:r>
      <w:bookmarkEnd w:id="3236"/>
      <w:bookmarkEnd w:id="3237"/>
    </w:p>
    <w:p w14:paraId="7184344A">
      <w:pPr>
        <w:spacing w:before="79" w:after="79"/>
      </w:pPr>
      <w:r>
        <w:drawing>
          <wp:inline distT="0" distB="0" distL="114300" distR="114300">
            <wp:extent cx="3911600" cy="1885950"/>
            <wp:effectExtent l="0" t="0" r="0" b="6350"/>
            <wp:docPr id="101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 name="图片 99"/>
                    <pic:cNvPicPr>
                      <a:picLocks noChangeAspect="1"/>
                    </pic:cNvPicPr>
                  </pic:nvPicPr>
                  <pic:blipFill>
                    <a:blip r:embed="rId464"/>
                    <a:stretch>
                      <a:fillRect/>
                    </a:stretch>
                  </pic:blipFill>
                  <pic:spPr>
                    <a:xfrm>
                      <a:off x="0" y="0"/>
                      <a:ext cx="3911600" cy="1885950"/>
                    </a:xfrm>
                    <a:prstGeom prst="rect">
                      <a:avLst/>
                    </a:prstGeom>
                    <a:noFill/>
                    <a:ln>
                      <a:noFill/>
                    </a:ln>
                  </pic:spPr>
                </pic:pic>
              </a:graphicData>
            </a:graphic>
          </wp:inline>
        </w:drawing>
      </w:r>
    </w:p>
    <w:p w14:paraId="77D6FA1C"/>
    <w:p w14:paraId="0D45EE80">
      <w:pPr>
        <w:pStyle w:val="183"/>
      </w:pPr>
      <w:bookmarkStart w:id="3238" w:name="_Ref392856411"/>
      <w:bookmarkStart w:id="3239" w:name="_Toc141875526"/>
      <w:r>
        <w:rPr>
          <w:rFonts w:hint="eastAsia"/>
        </w:rPr>
        <w:t>DHCP服务配置项含义</w:t>
      </w:r>
      <w:bookmarkEnd w:id="3238"/>
      <w:r>
        <w:rPr>
          <w:rFonts w:hint="eastAsia"/>
        </w:rPr>
        <w:t>描述表</w:t>
      </w:r>
      <w:bookmarkEnd w:id="3239"/>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660"/>
        <w:gridCol w:w="6308"/>
      </w:tblGrid>
      <w:tr w14:paraId="125140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660" w:type="dxa"/>
            <w:tcBorders>
              <w:tl2br w:val="nil"/>
              <w:tr2bl w:val="nil"/>
            </w:tcBorders>
            <w:shd w:val="clear" w:color="auto" w:fill="538135" w:themeFill="accent6" w:themeFillShade="BF"/>
            <w:vAlign w:val="center"/>
          </w:tcPr>
          <w:p w14:paraId="4EDB4E62">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308" w:type="dxa"/>
            <w:tcBorders>
              <w:tl2br w:val="nil"/>
              <w:tr2bl w:val="nil"/>
            </w:tcBorders>
            <w:shd w:val="clear" w:color="auto" w:fill="538135" w:themeFill="accent6" w:themeFillShade="BF"/>
            <w:vAlign w:val="center"/>
          </w:tcPr>
          <w:p w14:paraId="4E5AF40C">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5D28B6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660" w:type="dxa"/>
            <w:shd w:val="clear" w:color="auto" w:fill="auto"/>
          </w:tcPr>
          <w:p w14:paraId="52172987">
            <w:pPr>
              <w:pStyle w:val="186"/>
              <w:widowControl w:val="0"/>
              <w:spacing w:line="240" w:lineRule="auto"/>
              <w:ind w:firstLine="0"/>
              <w:jc w:val="left"/>
            </w:pPr>
            <w:r>
              <w:rPr>
                <w:rFonts w:hint="eastAsia"/>
              </w:rPr>
              <w:t>接口名称</w:t>
            </w:r>
          </w:p>
        </w:tc>
        <w:tc>
          <w:tcPr>
            <w:tcW w:w="6308" w:type="dxa"/>
            <w:shd w:val="clear" w:color="auto" w:fill="auto"/>
          </w:tcPr>
          <w:p w14:paraId="5DA10891">
            <w:pPr>
              <w:pStyle w:val="186"/>
              <w:widowControl w:val="0"/>
              <w:spacing w:line="240" w:lineRule="auto"/>
              <w:ind w:firstLine="0"/>
              <w:jc w:val="left"/>
            </w:pPr>
            <w:r>
              <w:t>配置</w:t>
            </w:r>
            <w:r>
              <w:rPr>
                <w:rFonts w:hint="eastAsia"/>
              </w:rPr>
              <w:t>DHCP服务的接口名称。</w:t>
            </w:r>
          </w:p>
        </w:tc>
      </w:tr>
      <w:tr w14:paraId="45AF22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660" w:type="dxa"/>
            <w:shd w:val="clear" w:color="auto" w:fill="auto"/>
          </w:tcPr>
          <w:p w14:paraId="793BABE3">
            <w:pPr>
              <w:pStyle w:val="186"/>
              <w:widowControl w:val="0"/>
              <w:spacing w:line="240" w:lineRule="auto"/>
              <w:ind w:firstLine="0"/>
              <w:jc w:val="left"/>
            </w:pPr>
            <w:r>
              <w:rPr>
                <w:rFonts w:hint="eastAsia"/>
              </w:rPr>
              <w:t>空</w:t>
            </w:r>
          </w:p>
        </w:tc>
        <w:tc>
          <w:tcPr>
            <w:tcW w:w="6308" w:type="dxa"/>
            <w:shd w:val="clear" w:color="auto" w:fill="auto"/>
          </w:tcPr>
          <w:p w14:paraId="013E14C3">
            <w:pPr>
              <w:pStyle w:val="186"/>
              <w:widowControl w:val="0"/>
              <w:spacing w:line="240" w:lineRule="auto"/>
              <w:ind w:firstLine="0"/>
              <w:jc w:val="left"/>
            </w:pPr>
            <w:r>
              <w:t>接口不启用</w:t>
            </w:r>
            <w:r>
              <w:rPr>
                <w:rFonts w:hint="eastAsia"/>
              </w:rPr>
              <w:t>任何DHCP服务。</w:t>
            </w:r>
          </w:p>
        </w:tc>
      </w:tr>
      <w:tr w14:paraId="51F99C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660" w:type="dxa"/>
            <w:shd w:val="clear" w:color="auto" w:fill="auto"/>
          </w:tcPr>
          <w:p w14:paraId="6ACC7CE4">
            <w:pPr>
              <w:pStyle w:val="186"/>
              <w:widowControl w:val="0"/>
              <w:spacing w:line="240" w:lineRule="auto"/>
              <w:ind w:firstLine="0"/>
              <w:jc w:val="left"/>
            </w:pPr>
            <w:r>
              <w:rPr>
                <w:rFonts w:hint="eastAsia"/>
              </w:rPr>
              <w:t>DHCP中继代理</w:t>
            </w:r>
          </w:p>
        </w:tc>
        <w:tc>
          <w:tcPr>
            <w:tcW w:w="6308" w:type="dxa"/>
            <w:shd w:val="clear" w:color="auto" w:fill="auto"/>
          </w:tcPr>
          <w:p w14:paraId="41E0390E">
            <w:pPr>
              <w:pStyle w:val="186"/>
              <w:widowControl w:val="0"/>
              <w:spacing w:line="240" w:lineRule="auto"/>
              <w:ind w:firstLine="0"/>
              <w:jc w:val="left"/>
            </w:pPr>
            <w:r>
              <w:t>接口启用</w:t>
            </w:r>
            <w:r>
              <w:rPr>
                <w:rFonts w:hint="eastAsia"/>
              </w:rPr>
              <w:t>DHCP中继代理服务。</w:t>
            </w:r>
          </w:p>
        </w:tc>
      </w:tr>
      <w:tr w14:paraId="7D14CB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660" w:type="dxa"/>
            <w:shd w:val="clear" w:color="auto" w:fill="auto"/>
          </w:tcPr>
          <w:p w14:paraId="6FEB94F1">
            <w:pPr>
              <w:pStyle w:val="186"/>
              <w:widowControl w:val="0"/>
              <w:spacing w:line="240" w:lineRule="auto"/>
              <w:ind w:firstLine="0"/>
              <w:jc w:val="left"/>
            </w:pPr>
            <w:r>
              <w:rPr>
                <w:rFonts w:hint="eastAsia"/>
              </w:rPr>
              <w:t>DHCP服务器</w:t>
            </w:r>
          </w:p>
        </w:tc>
        <w:tc>
          <w:tcPr>
            <w:tcW w:w="6308" w:type="dxa"/>
            <w:shd w:val="clear" w:color="auto" w:fill="auto"/>
          </w:tcPr>
          <w:p w14:paraId="3BBDD803">
            <w:pPr>
              <w:pStyle w:val="186"/>
              <w:widowControl w:val="0"/>
              <w:spacing w:line="240" w:lineRule="auto"/>
              <w:ind w:firstLine="0"/>
              <w:jc w:val="left"/>
            </w:pPr>
            <w:r>
              <w:t>接口启用</w:t>
            </w:r>
            <w:r>
              <w:rPr>
                <w:rFonts w:hint="eastAsia"/>
              </w:rPr>
              <w:t>DHCP服务器服务。</w:t>
            </w:r>
          </w:p>
        </w:tc>
      </w:tr>
      <w:tr w14:paraId="226D36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660" w:type="dxa"/>
            <w:shd w:val="clear" w:color="auto" w:fill="auto"/>
          </w:tcPr>
          <w:p w14:paraId="21D6647F">
            <w:pPr>
              <w:pStyle w:val="186"/>
              <w:widowControl w:val="0"/>
              <w:spacing w:line="240" w:lineRule="auto"/>
              <w:ind w:firstLine="0"/>
              <w:jc w:val="left"/>
            </w:pPr>
            <w:r>
              <w:rPr>
                <w:rFonts w:hint="eastAsia"/>
              </w:rPr>
              <w:t>IPv4 服务器IP</w:t>
            </w:r>
          </w:p>
        </w:tc>
        <w:tc>
          <w:tcPr>
            <w:tcW w:w="6308" w:type="dxa"/>
            <w:shd w:val="clear" w:color="auto" w:fill="auto"/>
          </w:tcPr>
          <w:p w14:paraId="38DA1BE7">
            <w:pPr>
              <w:pStyle w:val="186"/>
              <w:widowControl w:val="0"/>
              <w:spacing w:line="240" w:lineRule="auto"/>
              <w:ind w:firstLine="0"/>
              <w:jc w:val="left"/>
            </w:pPr>
            <w:r>
              <w:rPr>
                <w:rFonts w:hint="eastAsia"/>
              </w:rPr>
              <w:t>接口启用IPv4 DHCP中继代理服务后，DHCP服务器的IP地址。</w:t>
            </w:r>
          </w:p>
        </w:tc>
      </w:tr>
      <w:tr w14:paraId="7FCD31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660" w:type="dxa"/>
            <w:shd w:val="clear" w:color="auto" w:fill="auto"/>
          </w:tcPr>
          <w:p w14:paraId="52D08E36">
            <w:pPr>
              <w:pStyle w:val="186"/>
              <w:widowControl w:val="0"/>
              <w:spacing w:line="240" w:lineRule="auto"/>
              <w:ind w:firstLine="0"/>
              <w:jc w:val="left"/>
            </w:pPr>
            <w:r>
              <w:rPr>
                <w:rFonts w:hint="eastAsia"/>
              </w:rPr>
              <w:t>DHCPv6中继代理</w:t>
            </w:r>
          </w:p>
        </w:tc>
        <w:tc>
          <w:tcPr>
            <w:tcW w:w="6308" w:type="dxa"/>
            <w:shd w:val="clear" w:color="auto" w:fill="auto"/>
          </w:tcPr>
          <w:p w14:paraId="25EC92EC">
            <w:pPr>
              <w:pStyle w:val="186"/>
              <w:widowControl w:val="0"/>
              <w:spacing w:line="240" w:lineRule="auto"/>
              <w:ind w:firstLine="0"/>
              <w:jc w:val="left"/>
            </w:pPr>
            <w:r>
              <w:rPr>
                <w:rFonts w:hint="eastAsia"/>
              </w:rPr>
              <w:t>接口启用DHCPv6中继代理服务。</w:t>
            </w:r>
          </w:p>
        </w:tc>
      </w:tr>
      <w:tr w14:paraId="58356F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660" w:type="dxa"/>
            <w:shd w:val="clear" w:color="auto" w:fill="auto"/>
          </w:tcPr>
          <w:p w14:paraId="7DEC9201">
            <w:pPr>
              <w:pStyle w:val="186"/>
              <w:widowControl w:val="0"/>
              <w:spacing w:line="240" w:lineRule="auto"/>
              <w:ind w:firstLine="0"/>
              <w:jc w:val="left"/>
            </w:pPr>
            <w:r>
              <w:rPr>
                <w:rFonts w:hint="eastAsia"/>
              </w:rPr>
              <w:t>DHCPv6服务器</w:t>
            </w:r>
          </w:p>
        </w:tc>
        <w:tc>
          <w:tcPr>
            <w:tcW w:w="6308" w:type="dxa"/>
            <w:shd w:val="clear" w:color="auto" w:fill="auto"/>
          </w:tcPr>
          <w:p w14:paraId="77AA380E">
            <w:pPr>
              <w:pStyle w:val="186"/>
              <w:widowControl w:val="0"/>
              <w:spacing w:line="240" w:lineRule="auto"/>
              <w:ind w:firstLine="0"/>
              <w:jc w:val="left"/>
            </w:pPr>
            <w:r>
              <w:rPr>
                <w:rFonts w:hint="eastAsia"/>
              </w:rPr>
              <w:t>接口启用DHCPv6服务器服务。</w:t>
            </w:r>
          </w:p>
        </w:tc>
      </w:tr>
      <w:tr w14:paraId="46D7271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660" w:type="dxa"/>
            <w:shd w:val="clear" w:color="auto" w:fill="auto"/>
          </w:tcPr>
          <w:p w14:paraId="1502F8BD">
            <w:pPr>
              <w:pStyle w:val="186"/>
              <w:widowControl w:val="0"/>
              <w:spacing w:line="240" w:lineRule="auto"/>
              <w:ind w:firstLine="0"/>
              <w:jc w:val="left"/>
            </w:pPr>
            <w:r>
              <w:rPr>
                <w:rFonts w:hint="eastAsia"/>
              </w:rPr>
              <w:t>IPv6路由通告</w:t>
            </w:r>
          </w:p>
        </w:tc>
        <w:tc>
          <w:tcPr>
            <w:tcW w:w="6308" w:type="dxa"/>
            <w:shd w:val="clear" w:color="auto" w:fill="auto"/>
          </w:tcPr>
          <w:p w14:paraId="2E0D1479">
            <w:pPr>
              <w:pStyle w:val="186"/>
              <w:widowControl w:val="0"/>
              <w:spacing w:line="240" w:lineRule="auto"/>
              <w:ind w:firstLine="0"/>
              <w:jc w:val="left"/>
            </w:pPr>
            <w:r>
              <w:rPr>
                <w:rFonts w:hint="eastAsia"/>
              </w:rPr>
              <w:t>点击此链接后直接前往IPv6路由通告页面。</w:t>
            </w:r>
          </w:p>
        </w:tc>
      </w:tr>
      <w:tr w14:paraId="46FD77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660" w:type="dxa"/>
            <w:shd w:val="clear" w:color="auto" w:fill="auto"/>
          </w:tcPr>
          <w:p w14:paraId="4702B175">
            <w:pPr>
              <w:pStyle w:val="186"/>
              <w:widowControl w:val="0"/>
              <w:spacing w:line="240" w:lineRule="auto"/>
              <w:ind w:firstLine="0"/>
              <w:jc w:val="left"/>
            </w:pPr>
            <w:r>
              <w:rPr>
                <w:rFonts w:hint="eastAsia"/>
              </w:rPr>
              <w:t>IPv6 服务器IP</w:t>
            </w:r>
          </w:p>
        </w:tc>
        <w:tc>
          <w:tcPr>
            <w:tcW w:w="6308" w:type="dxa"/>
            <w:shd w:val="clear" w:color="auto" w:fill="auto"/>
          </w:tcPr>
          <w:p w14:paraId="4D5EC020">
            <w:pPr>
              <w:pStyle w:val="186"/>
              <w:widowControl w:val="0"/>
              <w:spacing w:line="240" w:lineRule="auto"/>
              <w:ind w:firstLine="0"/>
              <w:jc w:val="left"/>
            </w:pPr>
            <w:r>
              <w:rPr>
                <w:rFonts w:hint="eastAsia"/>
              </w:rPr>
              <w:t>接口启用DHCPv6中继代理服务后，DHCP服务器的IP地址。</w:t>
            </w:r>
          </w:p>
        </w:tc>
      </w:tr>
    </w:tbl>
    <w:p w14:paraId="04E4D87B"/>
    <w:p w14:paraId="5A5195BD">
      <w:pPr>
        <w:pStyle w:val="5"/>
      </w:pPr>
      <w:bookmarkStart w:id="3240" w:name="_Toc196728166"/>
      <w:bookmarkStart w:id="3241" w:name="_Toc15484839"/>
      <w:bookmarkStart w:id="3242" w:name="_Toc40276038"/>
      <w:bookmarkStart w:id="3243" w:name="_Toc141873457"/>
      <w:bookmarkStart w:id="3244" w:name="_Toc474250014"/>
      <w:bookmarkStart w:id="3245" w:name="_Toc99561534"/>
      <w:bookmarkStart w:id="3246" w:name="_Toc194080834"/>
      <w:bookmarkStart w:id="3247" w:name="_Toc6232141"/>
      <w:bookmarkStart w:id="3248" w:name="_Toc23152605"/>
      <w:bookmarkStart w:id="3249" w:name="_Toc142400973"/>
      <w:bookmarkStart w:id="3250" w:name="_Toc172218207"/>
      <w:r>
        <w:rPr>
          <w:rFonts w:hint="eastAsia"/>
        </w:rPr>
        <w:t>DHCP服务器</w:t>
      </w:r>
      <w:bookmarkEnd w:id="3240"/>
      <w:bookmarkEnd w:id="3241"/>
      <w:bookmarkEnd w:id="3242"/>
      <w:bookmarkEnd w:id="3243"/>
      <w:bookmarkEnd w:id="3244"/>
      <w:bookmarkEnd w:id="3245"/>
      <w:bookmarkEnd w:id="3246"/>
      <w:bookmarkEnd w:id="3247"/>
      <w:bookmarkEnd w:id="3248"/>
      <w:bookmarkEnd w:id="3249"/>
      <w:bookmarkEnd w:id="3250"/>
    </w:p>
    <w:p w14:paraId="06EA5033">
      <w:r>
        <w:t>通过菜单</w:t>
      </w:r>
      <w:r>
        <w:rPr>
          <w:rFonts w:hint="eastAsia"/>
        </w:rPr>
        <w:t>“</w:t>
      </w:r>
      <w:r>
        <w:t>网络配置 &gt; 基础网络 &gt; DHCP服务 &gt; 服务器</w:t>
      </w:r>
      <w:r>
        <w:rPr>
          <w:rFonts w:hint="eastAsia"/>
        </w:rPr>
        <w:t>”</w:t>
      </w:r>
      <w:r>
        <w:t>，进入如</w:t>
      </w:r>
      <w:r>
        <w:fldChar w:fldCharType="begin"/>
      </w:r>
      <w:r>
        <w:instrText xml:space="preserve"> REF _Ref392860236 \r \h  \* MERGEFORMAT </w:instrText>
      </w:r>
      <w:r>
        <w:fldChar w:fldCharType="separate"/>
      </w:r>
      <w:r>
        <w:rPr>
          <w:rFonts w:hint="eastAsia"/>
        </w:rPr>
        <w:t>图11-5</w:t>
      </w:r>
      <w:r>
        <w:fldChar w:fldCharType="end"/>
      </w:r>
      <w:r>
        <w:t>所示页面。在该页面上可以新建、编辑、删除、浏览</w:t>
      </w:r>
      <w:r>
        <w:rPr>
          <w:rFonts w:hint="eastAsia"/>
        </w:rPr>
        <w:t>DHCPv4和DHCPv6服务器的配置</w:t>
      </w:r>
      <w:r>
        <w:t>。</w:t>
      </w:r>
    </w:p>
    <w:p w14:paraId="66137484">
      <w:pPr>
        <w:pStyle w:val="188"/>
      </w:pPr>
      <w:bookmarkStart w:id="3251" w:name="_Ref392860236"/>
      <w:bookmarkStart w:id="3252" w:name="_Toc141874679"/>
      <w:r>
        <w:t>服务器页面</w:t>
      </w:r>
      <w:bookmarkEnd w:id="3251"/>
      <w:bookmarkEnd w:id="3252"/>
    </w:p>
    <w:p w14:paraId="1369CA71">
      <w:pPr>
        <w:spacing w:before="79" w:after="79"/>
      </w:pPr>
      <w:r>
        <w:drawing>
          <wp:inline distT="0" distB="0" distL="0" distR="0">
            <wp:extent cx="5400040" cy="721360"/>
            <wp:effectExtent l="0" t="0" r="0" b="2540"/>
            <wp:docPr id="3291" name="图片 3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1" name="图片 3291"/>
                    <pic:cNvPicPr>
                      <a:picLocks noChangeAspect="1"/>
                    </pic:cNvPicPr>
                  </pic:nvPicPr>
                  <pic:blipFill>
                    <a:blip r:embed="rId465"/>
                    <a:stretch>
                      <a:fillRect/>
                    </a:stretch>
                  </pic:blipFill>
                  <pic:spPr>
                    <a:xfrm>
                      <a:off x="0" y="0"/>
                      <a:ext cx="5400040" cy="721434"/>
                    </a:xfrm>
                    <a:prstGeom prst="rect">
                      <a:avLst/>
                    </a:prstGeom>
                  </pic:spPr>
                </pic:pic>
              </a:graphicData>
            </a:graphic>
          </wp:inline>
        </w:drawing>
      </w:r>
    </w:p>
    <w:p w14:paraId="5C880666">
      <w:r>
        <w:t>在页面上点击</w:t>
      </w:r>
      <w:r>
        <w:rPr>
          <w:rFonts w:hint="eastAsia"/>
        </w:rPr>
        <w:t>“</w:t>
      </w:r>
      <w:r>
        <w:t>新建</w:t>
      </w:r>
      <w:r>
        <w:rPr>
          <w:rFonts w:hint="eastAsia"/>
        </w:rPr>
        <w:t>”</w:t>
      </w:r>
      <w:r>
        <w:t>，</w:t>
      </w:r>
      <w:r>
        <w:rPr>
          <w:rFonts w:hint="eastAsia"/>
        </w:rPr>
        <w:t>选择IPv4服务器或者IPv6服务器，</w:t>
      </w:r>
      <w:r>
        <w:t>新建页面如</w:t>
      </w:r>
      <w:r>
        <w:fldChar w:fldCharType="begin"/>
      </w:r>
      <w:r>
        <w:instrText xml:space="preserve"> REF _Ref392860501 \r \h  \* MERGEFORMAT </w:instrText>
      </w:r>
      <w:r>
        <w:fldChar w:fldCharType="separate"/>
      </w:r>
      <w:r>
        <w:rPr>
          <w:rFonts w:hint="eastAsia"/>
        </w:rPr>
        <w:t>图11-6</w:t>
      </w:r>
      <w:r>
        <w:fldChar w:fldCharType="end"/>
      </w:r>
      <w:r>
        <w:t>所示。各个配置项的含义如</w:t>
      </w:r>
      <w:r>
        <w:fldChar w:fldCharType="begin"/>
      </w:r>
      <w:r>
        <w:instrText xml:space="preserve"> REF _Ref392860509 \r \h  \* MERGEFORMAT </w:instrText>
      </w:r>
      <w:r>
        <w:fldChar w:fldCharType="separate"/>
      </w:r>
      <w:r>
        <w:rPr>
          <w:rFonts w:hint="eastAsia"/>
        </w:rPr>
        <w:t>表11-1</w:t>
      </w:r>
      <w:r>
        <w:fldChar w:fldCharType="end"/>
      </w:r>
      <w:r>
        <w:t>所示。</w:t>
      </w:r>
    </w:p>
    <w:p w14:paraId="696A5D7B">
      <w:pPr>
        <w:pStyle w:val="188"/>
      </w:pPr>
      <w:bookmarkStart w:id="3253" w:name="_Ref392860501"/>
      <w:bookmarkStart w:id="3254" w:name="_Toc141874680"/>
      <w:r>
        <w:rPr>
          <w:rFonts w:hint="eastAsia"/>
        </w:rPr>
        <w:t>DHCP服务器配置</w:t>
      </w:r>
      <w:bookmarkEnd w:id="3253"/>
      <w:bookmarkEnd w:id="3254"/>
    </w:p>
    <w:p w14:paraId="30911D23">
      <w:pPr>
        <w:spacing w:before="79" w:after="79"/>
      </w:pPr>
      <w:r>
        <w:drawing>
          <wp:inline distT="0" distB="0" distL="114300" distR="114300">
            <wp:extent cx="5400040" cy="4546600"/>
            <wp:effectExtent l="0" t="0" r="0" b="6350"/>
            <wp:docPr id="102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 name="图片 101"/>
                    <pic:cNvPicPr>
                      <a:picLocks noChangeAspect="1"/>
                    </pic:cNvPicPr>
                  </pic:nvPicPr>
                  <pic:blipFill>
                    <a:blip r:embed="rId466"/>
                    <a:stretch>
                      <a:fillRect/>
                    </a:stretch>
                  </pic:blipFill>
                  <pic:spPr>
                    <a:xfrm>
                      <a:off x="0" y="0"/>
                      <a:ext cx="5400040" cy="4546761"/>
                    </a:xfrm>
                    <a:prstGeom prst="rect">
                      <a:avLst/>
                    </a:prstGeom>
                    <a:noFill/>
                    <a:ln>
                      <a:noFill/>
                    </a:ln>
                  </pic:spPr>
                </pic:pic>
              </a:graphicData>
            </a:graphic>
          </wp:inline>
        </w:drawing>
      </w:r>
    </w:p>
    <w:p w14:paraId="4A179F4E"/>
    <w:p w14:paraId="07475A24">
      <w:pPr>
        <w:pStyle w:val="183"/>
      </w:pPr>
      <w:bookmarkStart w:id="3255" w:name="_Ref392860509"/>
      <w:bookmarkStart w:id="3256" w:name="_Toc141875527"/>
      <w:r>
        <w:rPr>
          <w:rFonts w:hint="eastAsia"/>
        </w:rPr>
        <w:t>DHCP</w:t>
      </w:r>
      <w:r>
        <w:t>v4</w:t>
      </w:r>
      <w:r>
        <w:rPr>
          <w:rFonts w:hint="eastAsia"/>
        </w:rPr>
        <w:t>服务器配置项含义</w:t>
      </w:r>
      <w:bookmarkEnd w:id="3255"/>
      <w:r>
        <w:rPr>
          <w:rFonts w:hint="eastAsia"/>
        </w:rPr>
        <w:t>描述表</w:t>
      </w:r>
      <w:bookmarkEnd w:id="3256"/>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526"/>
        <w:gridCol w:w="7442"/>
      </w:tblGrid>
      <w:tr w14:paraId="218618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tcBorders>
              <w:tl2br w:val="nil"/>
              <w:tr2bl w:val="nil"/>
            </w:tcBorders>
            <w:shd w:val="clear" w:color="auto" w:fill="538135" w:themeFill="accent6" w:themeFillShade="BF"/>
            <w:vAlign w:val="center"/>
          </w:tcPr>
          <w:p w14:paraId="5759D2A5">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442" w:type="dxa"/>
            <w:tcBorders>
              <w:tl2br w:val="nil"/>
              <w:tr2bl w:val="nil"/>
            </w:tcBorders>
            <w:shd w:val="clear" w:color="auto" w:fill="538135" w:themeFill="accent6" w:themeFillShade="BF"/>
            <w:vAlign w:val="center"/>
          </w:tcPr>
          <w:p w14:paraId="2BF2ED4B">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71E4FC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3068F646">
            <w:pPr>
              <w:pStyle w:val="186"/>
              <w:widowControl w:val="0"/>
              <w:spacing w:line="240" w:lineRule="auto"/>
              <w:ind w:firstLine="0"/>
              <w:jc w:val="left"/>
            </w:pPr>
            <w:r>
              <w:rPr>
                <w:rFonts w:hint="eastAsia"/>
              </w:rPr>
              <w:t>名称</w:t>
            </w:r>
          </w:p>
        </w:tc>
        <w:tc>
          <w:tcPr>
            <w:tcW w:w="7442" w:type="dxa"/>
            <w:shd w:val="clear" w:color="auto" w:fill="auto"/>
          </w:tcPr>
          <w:p w14:paraId="45BCAA7B">
            <w:pPr>
              <w:pStyle w:val="186"/>
              <w:widowControl w:val="0"/>
              <w:spacing w:line="240" w:lineRule="auto"/>
              <w:ind w:firstLine="0"/>
              <w:jc w:val="left"/>
            </w:pPr>
            <w:r>
              <w:rPr>
                <w:rFonts w:hint="eastAsia"/>
              </w:rPr>
              <w:t>DHCP服务器配置名称。</w:t>
            </w:r>
          </w:p>
        </w:tc>
      </w:tr>
      <w:tr w14:paraId="04FCC9D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78B240CA">
            <w:pPr>
              <w:pStyle w:val="186"/>
              <w:widowControl w:val="0"/>
              <w:spacing w:line="240" w:lineRule="auto"/>
              <w:ind w:firstLine="0"/>
              <w:jc w:val="left"/>
            </w:pPr>
            <w:r>
              <w:rPr>
                <w:rFonts w:hint="eastAsia"/>
              </w:rPr>
              <w:t>子网/掩码</w:t>
            </w:r>
          </w:p>
        </w:tc>
        <w:tc>
          <w:tcPr>
            <w:tcW w:w="7442" w:type="dxa"/>
            <w:shd w:val="clear" w:color="auto" w:fill="auto"/>
          </w:tcPr>
          <w:p w14:paraId="696C90D2">
            <w:pPr>
              <w:pStyle w:val="186"/>
              <w:widowControl w:val="0"/>
              <w:spacing w:line="240" w:lineRule="auto"/>
              <w:ind w:firstLine="0"/>
              <w:jc w:val="left"/>
            </w:pPr>
            <w:r>
              <w:rPr>
                <w:rFonts w:hint="eastAsia"/>
              </w:rPr>
              <w:t>DHCP服务器的子网和掩码。</w:t>
            </w:r>
          </w:p>
        </w:tc>
      </w:tr>
      <w:tr w14:paraId="4EF739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70D8191D">
            <w:pPr>
              <w:pStyle w:val="186"/>
              <w:widowControl w:val="0"/>
              <w:spacing w:line="240" w:lineRule="auto"/>
              <w:ind w:firstLine="0"/>
              <w:jc w:val="left"/>
            </w:pPr>
            <w:r>
              <w:t>网关</w:t>
            </w:r>
          </w:p>
        </w:tc>
        <w:tc>
          <w:tcPr>
            <w:tcW w:w="7442" w:type="dxa"/>
            <w:shd w:val="clear" w:color="auto" w:fill="auto"/>
          </w:tcPr>
          <w:p w14:paraId="2D486FD6">
            <w:pPr>
              <w:pStyle w:val="186"/>
              <w:widowControl w:val="0"/>
              <w:spacing w:line="240" w:lineRule="auto"/>
              <w:ind w:firstLine="0"/>
              <w:jc w:val="left"/>
            </w:pPr>
            <w:r>
              <w:rPr>
                <w:rFonts w:hint="eastAsia"/>
              </w:rPr>
              <w:t>设置DHCP服务器的网关IP地址，该IP地址应与启用DHCP服务器的接口IP地址处于同一网段。</w:t>
            </w:r>
          </w:p>
        </w:tc>
      </w:tr>
      <w:tr w14:paraId="47A0CF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7D70B413">
            <w:pPr>
              <w:pStyle w:val="186"/>
              <w:widowControl w:val="0"/>
              <w:spacing w:line="240" w:lineRule="auto"/>
              <w:ind w:firstLine="0"/>
              <w:jc w:val="left"/>
            </w:pPr>
            <w:r>
              <w:rPr>
                <w:rFonts w:hint="eastAsia"/>
              </w:rPr>
              <w:t>IP地址开始</w:t>
            </w:r>
          </w:p>
        </w:tc>
        <w:tc>
          <w:tcPr>
            <w:tcW w:w="7442" w:type="dxa"/>
            <w:shd w:val="clear" w:color="auto" w:fill="auto"/>
          </w:tcPr>
          <w:p w14:paraId="67B937DC">
            <w:pPr>
              <w:pStyle w:val="186"/>
              <w:widowControl w:val="0"/>
              <w:spacing w:line="240" w:lineRule="auto"/>
              <w:ind w:firstLine="0"/>
              <w:jc w:val="left"/>
            </w:pPr>
            <w:r>
              <w:rPr>
                <w:rFonts w:hint="eastAsia"/>
              </w:rPr>
              <w:t>DHCP服务器地址池的开始地址。</w:t>
            </w:r>
          </w:p>
        </w:tc>
      </w:tr>
      <w:tr w14:paraId="42567B3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7F496198">
            <w:pPr>
              <w:pStyle w:val="186"/>
              <w:widowControl w:val="0"/>
              <w:spacing w:line="240" w:lineRule="auto"/>
              <w:ind w:firstLine="0"/>
              <w:jc w:val="left"/>
            </w:pPr>
            <w:r>
              <w:rPr>
                <w:rFonts w:hint="eastAsia"/>
              </w:rPr>
              <w:t>IP地址结束</w:t>
            </w:r>
          </w:p>
        </w:tc>
        <w:tc>
          <w:tcPr>
            <w:tcW w:w="7442" w:type="dxa"/>
            <w:shd w:val="clear" w:color="auto" w:fill="auto"/>
          </w:tcPr>
          <w:p w14:paraId="3D3200D3">
            <w:pPr>
              <w:pStyle w:val="186"/>
              <w:widowControl w:val="0"/>
              <w:spacing w:line="240" w:lineRule="auto"/>
              <w:ind w:firstLine="0"/>
              <w:jc w:val="left"/>
            </w:pPr>
            <w:r>
              <w:rPr>
                <w:rFonts w:hint="eastAsia"/>
              </w:rPr>
              <w:t>DHCP服务器地址池的结束地址，DHCP服务器将会把上述IP地址范围中的IP地址分配给客户端。</w:t>
            </w:r>
          </w:p>
        </w:tc>
      </w:tr>
      <w:tr w14:paraId="59EB72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0AC0C6CB">
            <w:pPr>
              <w:pStyle w:val="186"/>
              <w:widowControl w:val="0"/>
              <w:spacing w:line="240" w:lineRule="auto"/>
              <w:ind w:firstLine="0"/>
              <w:jc w:val="left"/>
            </w:pPr>
            <w:r>
              <w:rPr>
                <w:rFonts w:hint="eastAsia"/>
              </w:rPr>
              <w:t>租约</w:t>
            </w:r>
          </w:p>
        </w:tc>
        <w:tc>
          <w:tcPr>
            <w:tcW w:w="7442" w:type="dxa"/>
            <w:shd w:val="clear" w:color="auto" w:fill="auto"/>
          </w:tcPr>
          <w:p w14:paraId="209711DF">
            <w:pPr>
              <w:pStyle w:val="186"/>
              <w:widowControl w:val="0"/>
              <w:spacing w:line="240" w:lineRule="auto"/>
              <w:ind w:firstLine="0"/>
              <w:jc w:val="left"/>
            </w:pPr>
            <w:r>
              <w:rPr>
                <w:rFonts w:hint="eastAsia"/>
              </w:rPr>
              <w:t>DHCP服务器分配的地址的租约时间：</w:t>
            </w:r>
          </w:p>
          <w:p w14:paraId="5E954D5C">
            <w:pPr>
              <w:pStyle w:val="186"/>
              <w:widowControl w:val="0"/>
              <w:spacing w:line="240" w:lineRule="auto"/>
              <w:ind w:firstLine="0"/>
              <w:jc w:val="left"/>
            </w:pPr>
            <w:r>
              <w:rPr>
                <w:rFonts w:hint="eastAsia"/>
              </w:rPr>
              <w:t>无限：DHCP服务器分配的IP地址永久有效。</w:t>
            </w:r>
          </w:p>
          <w:p w14:paraId="20C5A8DA">
            <w:pPr>
              <w:pStyle w:val="186"/>
              <w:widowControl w:val="0"/>
              <w:spacing w:line="240" w:lineRule="auto"/>
              <w:ind w:firstLine="0"/>
              <w:jc w:val="left"/>
            </w:pPr>
            <w:r>
              <w:rPr>
                <w:rFonts w:hint="eastAsia"/>
              </w:rPr>
              <w:t>有限期：配置有效时间，该时间内DHCP服务器分配的IP地址有效，租约到期后，客户端需要重新向DHCP服务器申请IP地址。</w:t>
            </w:r>
          </w:p>
        </w:tc>
      </w:tr>
      <w:tr w14:paraId="2EF52C6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388C321D">
            <w:pPr>
              <w:pStyle w:val="186"/>
              <w:widowControl w:val="0"/>
              <w:spacing w:line="240" w:lineRule="auto"/>
              <w:ind w:firstLine="0"/>
              <w:jc w:val="left"/>
            </w:pPr>
            <w:r>
              <w:rPr>
                <w:rFonts w:hint="eastAsia"/>
              </w:rPr>
              <w:t>DNS1</w:t>
            </w:r>
          </w:p>
        </w:tc>
        <w:tc>
          <w:tcPr>
            <w:tcW w:w="7442" w:type="dxa"/>
            <w:shd w:val="clear" w:color="auto" w:fill="auto"/>
          </w:tcPr>
          <w:p w14:paraId="756B42F8">
            <w:pPr>
              <w:pStyle w:val="186"/>
              <w:widowControl w:val="0"/>
              <w:spacing w:line="240" w:lineRule="auto"/>
              <w:ind w:firstLine="0"/>
              <w:jc w:val="left"/>
            </w:pPr>
            <w:r>
              <w:rPr>
                <w:rFonts w:hint="eastAsia"/>
              </w:rPr>
              <w:t>设置向DHCP客户端下发的主DNS服务器IP地址。</w:t>
            </w:r>
          </w:p>
        </w:tc>
      </w:tr>
      <w:tr w14:paraId="126E90E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0EB4BB64">
            <w:pPr>
              <w:pStyle w:val="186"/>
              <w:widowControl w:val="0"/>
              <w:spacing w:line="240" w:lineRule="auto"/>
              <w:ind w:firstLine="0"/>
              <w:jc w:val="left"/>
            </w:pPr>
            <w:r>
              <w:rPr>
                <w:rFonts w:hint="eastAsia"/>
              </w:rPr>
              <w:t>DNS2</w:t>
            </w:r>
          </w:p>
        </w:tc>
        <w:tc>
          <w:tcPr>
            <w:tcW w:w="7442" w:type="dxa"/>
            <w:shd w:val="clear" w:color="auto" w:fill="auto"/>
          </w:tcPr>
          <w:p w14:paraId="4685B49C">
            <w:pPr>
              <w:pStyle w:val="186"/>
              <w:widowControl w:val="0"/>
              <w:spacing w:line="240" w:lineRule="auto"/>
              <w:ind w:firstLine="0"/>
              <w:jc w:val="left"/>
            </w:pPr>
            <w:r>
              <w:rPr>
                <w:rFonts w:hint="eastAsia"/>
              </w:rPr>
              <w:t>设置向DHCP客户端下发的从DNS服务器IP地址。</w:t>
            </w:r>
          </w:p>
        </w:tc>
      </w:tr>
      <w:tr w14:paraId="0FE4A7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36B8B0CD">
            <w:pPr>
              <w:pStyle w:val="186"/>
              <w:widowControl w:val="0"/>
              <w:spacing w:line="240" w:lineRule="auto"/>
              <w:ind w:firstLine="0"/>
              <w:jc w:val="left"/>
            </w:pPr>
            <w:r>
              <w:rPr>
                <w:rFonts w:hint="eastAsia"/>
              </w:rPr>
              <w:t>Wins1</w:t>
            </w:r>
          </w:p>
        </w:tc>
        <w:tc>
          <w:tcPr>
            <w:tcW w:w="7442" w:type="dxa"/>
            <w:shd w:val="clear" w:color="auto" w:fill="auto"/>
          </w:tcPr>
          <w:p w14:paraId="666370A0">
            <w:pPr>
              <w:pStyle w:val="186"/>
              <w:widowControl w:val="0"/>
              <w:spacing w:line="240" w:lineRule="auto"/>
              <w:ind w:firstLine="0"/>
              <w:jc w:val="left"/>
            </w:pPr>
            <w:r>
              <w:rPr>
                <w:rFonts w:hint="eastAsia"/>
              </w:rPr>
              <w:t>设置向DHCP客户端下发的主WINS服务器IP地址。</w:t>
            </w:r>
          </w:p>
        </w:tc>
      </w:tr>
      <w:tr w14:paraId="16B956E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51F14F7D">
            <w:pPr>
              <w:pStyle w:val="186"/>
              <w:widowControl w:val="0"/>
              <w:spacing w:line="240" w:lineRule="auto"/>
              <w:ind w:firstLine="0"/>
              <w:jc w:val="left"/>
            </w:pPr>
            <w:r>
              <w:rPr>
                <w:rFonts w:hint="eastAsia"/>
              </w:rPr>
              <w:t>Wins2</w:t>
            </w:r>
          </w:p>
        </w:tc>
        <w:tc>
          <w:tcPr>
            <w:tcW w:w="7442" w:type="dxa"/>
            <w:shd w:val="clear" w:color="auto" w:fill="auto"/>
          </w:tcPr>
          <w:p w14:paraId="31835750">
            <w:pPr>
              <w:pStyle w:val="186"/>
              <w:widowControl w:val="0"/>
              <w:spacing w:line="240" w:lineRule="auto"/>
              <w:ind w:firstLine="0"/>
              <w:jc w:val="left"/>
            </w:pPr>
            <w:r>
              <w:rPr>
                <w:rFonts w:hint="eastAsia"/>
              </w:rPr>
              <w:t>设置向DHCP客户端下发的从WINS服务器IP地址。</w:t>
            </w:r>
          </w:p>
        </w:tc>
      </w:tr>
      <w:tr w14:paraId="3ADD24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5F48AB25">
            <w:pPr>
              <w:pStyle w:val="186"/>
              <w:widowControl w:val="0"/>
              <w:spacing w:line="240" w:lineRule="auto"/>
              <w:ind w:firstLine="0"/>
              <w:jc w:val="left"/>
            </w:pPr>
            <w:r>
              <w:rPr>
                <w:rFonts w:hint="eastAsia"/>
              </w:rPr>
              <w:t>域</w:t>
            </w:r>
          </w:p>
        </w:tc>
        <w:tc>
          <w:tcPr>
            <w:tcW w:w="7442" w:type="dxa"/>
            <w:shd w:val="clear" w:color="auto" w:fill="auto"/>
          </w:tcPr>
          <w:p w14:paraId="01DA9D9C">
            <w:pPr>
              <w:pStyle w:val="186"/>
              <w:widowControl w:val="0"/>
              <w:spacing w:line="240" w:lineRule="auto"/>
              <w:ind w:firstLine="0"/>
              <w:jc w:val="left"/>
            </w:pPr>
            <w:r>
              <w:rPr>
                <w:rFonts w:hint="eastAsia"/>
              </w:rPr>
              <w:t>设置DHCP客户端的域字段，客户端可获得对应的域控权限（域控权限由网络管理员在域控服务器上配置）。</w:t>
            </w:r>
          </w:p>
        </w:tc>
      </w:tr>
      <w:tr w14:paraId="3FC218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50BF6073">
            <w:pPr>
              <w:pStyle w:val="186"/>
              <w:widowControl w:val="0"/>
              <w:spacing w:line="240" w:lineRule="auto"/>
              <w:ind w:firstLine="0"/>
              <w:jc w:val="left"/>
            </w:pPr>
            <w:r>
              <w:rPr>
                <w:rFonts w:hint="eastAsia"/>
              </w:rPr>
              <w:t>AC1</w:t>
            </w:r>
          </w:p>
        </w:tc>
        <w:tc>
          <w:tcPr>
            <w:tcW w:w="7442" w:type="dxa"/>
            <w:shd w:val="clear" w:color="auto" w:fill="auto"/>
          </w:tcPr>
          <w:p w14:paraId="58E40C8B">
            <w:pPr>
              <w:pStyle w:val="186"/>
              <w:widowControl w:val="0"/>
              <w:spacing w:line="240" w:lineRule="auto"/>
              <w:ind w:firstLine="0"/>
              <w:jc w:val="left"/>
            </w:pPr>
            <w:r>
              <w:rPr>
                <w:rFonts w:hint="eastAsia"/>
              </w:rPr>
              <w:t>DHCP服务器中option43字段AC1的IP地址。Option43是DHCP通讯中的一个标准选项，用于通告AP无线控制的IP地址，获取了IP地址的AP可以主动向无线AC注册。AC1是第一个AC的地址，优先向该AC注册。</w:t>
            </w:r>
          </w:p>
        </w:tc>
      </w:tr>
      <w:tr w14:paraId="2943D59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14329E79">
            <w:pPr>
              <w:pStyle w:val="186"/>
              <w:widowControl w:val="0"/>
              <w:spacing w:line="240" w:lineRule="auto"/>
              <w:ind w:firstLine="0"/>
              <w:jc w:val="left"/>
            </w:pPr>
            <w:r>
              <w:rPr>
                <w:rFonts w:hint="eastAsia"/>
              </w:rPr>
              <w:t>AC2</w:t>
            </w:r>
          </w:p>
        </w:tc>
        <w:tc>
          <w:tcPr>
            <w:tcW w:w="7442" w:type="dxa"/>
            <w:shd w:val="clear" w:color="auto" w:fill="auto"/>
          </w:tcPr>
          <w:p w14:paraId="74F655BB">
            <w:pPr>
              <w:pStyle w:val="186"/>
              <w:widowControl w:val="0"/>
              <w:spacing w:line="240" w:lineRule="auto"/>
              <w:ind w:firstLine="0"/>
              <w:jc w:val="left"/>
            </w:pPr>
            <w:r>
              <w:rPr>
                <w:rFonts w:hint="eastAsia"/>
              </w:rPr>
              <w:t>DHCP服务器中option43字段AC2的IP地址。AC2是第二个AC的地址，AC1注册失败后向AC2注册。</w:t>
            </w:r>
          </w:p>
        </w:tc>
      </w:tr>
      <w:tr w14:paraId="417231B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2A6659BA">
            <w:pPr>
              <w:pStyle w:val="186"/>
              <w:widowControl w:val="0"/>
              <w:spacing w:line="240" w:lineRule="auto"/>
              <w:ind w:firstLine="0"/>
              <w:jc w:val="left"/>
            </w:pPr>
            <w:r>
              <w:rPr>
                <w:rFonts w:hint="eastAsia"/>
              </w:rPr>
              <w:t>选项252</w:t>
            </w:r>
          </w:p>
        </w:tc>
        <w:tc>
          <w:tcPr>
            <w:tcW w:w="7442" w:type="dxa"/>
            <w:shd w:val="clear" w:color="auto" w:fill="auto"/>
          </w:tcPr>
          <w:p w14:paraId="338CF3D0">
            <w:pPr>
              <w:pStyle w:val="186"/>
              <w:widowControl w:val="0"/>
              <w:spacing w:line="240" w:lineRule="auto"/>
              <w:ind w:firstLine="0"/>
              <w:jc w:val="left"/>
            </w:pPr>
            <w:r>
              <w:rPr>
                <w:rFonts w:hint="eastAsia"/>
              </w:rPr>
              <w:t>密钥，是可选配置，最大长度为63字符。如果配置了opt_252，DHCP服务器将在收到客户端DHCP请求时，将配置的选项252下发给客户端。</w:t>
            </w:r>
          </w:p>
        </w:tc>
      </w:tr>
      <w:tr w14:paraId="1FDEA96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54EA8B21">
            <w:pPr>
              <w:pStyle w:val="186"/>
              <w:widowControl w:val="0"/>
              <w:spacing w:line="240" w:lineRule="auto"/>
              <w:ind w:firstLine="0"/>
              <w:jc w:val="left"/>
            </w:pPr>
            <w:r>
              <w:rPr>
                <w:rFonts w:hint="eastAsia"/>
              </w:rPr>
              <w:t>选项253</w:t>
            </w:r>
          </w:p>
        </w:tc>
        <w:tc>
          <w:tcPr>
            <w:tcW w:w="7442" w:type="dxa"/>
            <w:shd w:val="clear" w:color="auto" w:fill="auto"/>
          </w:tcPr>
          <w:p w14:paraId="44E853AB">
            <w:pPr>
              <w:pStyle w:val="186"/>
              <w:widowControl w:val="0"/>
              <w:spacing w:line="240" w:lineRule="auto"/>
              <w:ind w:firstLine="0"/>
              <w:jc w:val="left"/>
            </w:pPr>
            <w:r>
              <w:rPr>
                <w:rFonts w:hint="eastAsia"/>
              </w:rPr>
              <w:t>域名，是可选配置，最大长度为63字符。如果配置了opt_253，DHCP服务器将在收到客户端DHCP请求时，将配置的选项253下发给客户端。</w:t>
            </w:r>
          </w:p>
        </w:tc>
      </w:tr>
    </w:tbl>
    <w:p w14:paraId="3C16A06D"/>
    <w:p w14:paraId="4B1549AB">
      <w:r>
        <w:t>点击&lt;提交&gt;按钮，提交配置。提交配置后可在页面上查看配置的DHCP服务器信息。</w:t>
      </w:r>
    </w:p>
    <w:p w14:paraId="0AB7F752">
      <w:pPr>
        <w:pStyle w:val="188"/>
      </w:pPr>
      <w:bookmarkStart w:id="3257" w:name="_Toc141874681"/>
      <w:bookmarkStart w:id="3258" w:name="_Ref392860713"/>
      <w:r>
        <w:rPr>
          <w:rFonts w:hint="eastAsia"/>
        </w:rPr>
        <w:t>DHCP服务器概览</w:t>
      </w:r>
      <w:bookmarkEnd w:id="3257"/>
      <w:bookmarkEnd w:id="3258"/>
    </w:p>
    <w:p w14:paraId="4E97C23B">
      <w:r>
        <w:drawing>
          <wp:inline distT="0" distB="0" distL="0" distR="0">
            <wp:extent cx="5760720" cy="558165"/>
            <wp:effectExtent l="0" t="0" r="0" b="0"/>
            <wp:docPr id="3908" name="图片 3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8" name="图片 3908"/>
                    <pic:cNvPicPr>
                      <a:picLocks noChangeAspect="1"/>
                    </pic:cNvPicPr>
                  </pic:nvPicPr>
                  <pic:blipFill>
                    <a:blip r:embed="rId467"/>
                    <a:stretch>
                      <a:fillRect/>
                    </a:stretch>
                  </pic:blipFill>
                  <pic:spPr>
                    <a:xfrm>
                      <a:off x="0" y="0"/>
                      <a:ext cx="5760720" cy="558165"/>
                    </a:xfrm>
                    <a:prstGeom prst="rect">
                      <a:avLst/>
                    </a:prstGeom>
                  </pic:spPr>
                </pic:pic>
              </a:graphicData>
            </a:graphic>
          </wp:inline>
        </w:drawing>
      </w:r>
    </w:p>
    <w:p w14:paraId="2F03292D"/>
    <w:p w14:paraId="274F71B9">
      <w:r>
        <w:t>点击&lt;编辑&gt;按钮，可对选中条目进行编辑。</w:t>
      </w:r>
    </w:p>
    <w:p w14:paraId="2DCA9FE6">
      <w:r>
        <w:t>点击&lt;删除&gt;按钮，可对选中条目进行删除。</w:t>
      </w:r>
    </w:p>
    <w:p w14:paraId="5164FE4A">
      <w:pPr>
        <w:pStyle w:val="5"/>
      </w:pPr>
      <w:bookmarkStart w:id="3259" w:name="_Toc474250015"/>
      <w:bookmarkStart w:id="3260" w:name="_Toc23152606"/>
      <w:bookmarkStart w:id="3261" w:name="_Toc15484840"/>
      <w:bookmarkStart w:id="3262" w:name="_Toc99561535"/>
      <w:bookmarkStart w:id="3263" w:name="_Toc141873458"/>
      <w:bookmarkStart w:id="3264" w:name="_Toc172218208"/>
      <w:bookmarkStart w:id="3265" w:name="_Toc40276039"/>
      <w:bookmarkStart w:id="3266" w:name="_Toc142400974"/>
      <w:bookmarkStart w:id="3267" w:name="_Toc194080835"/>
      <w:bookmarkStart w:id="3268" w:name="_Toc6232142"/>
      <w:bookmarkStart w:id="3269" w:name="_Toc196728167"/>
      <w:r>
        <w:t>排除范围</w:t>
      </w:r>
      <w:bookmarkEnd w:id="3259"/>
      <w:bookmarkEnd w:id="3260"/>
      <w:bookmarkEnd w:id="3261"/>
      <w:bookmarkEnd w:id="3262"/>
      <w:bookmarkEnd w:id="3263"/>
      <w:bookmarkEnd w:id="3264"/>
      <w:bookmarkEnd w:id="3265"/>
      <w:bookmarkEnd w:id="3266"/>
      <w:bookmarkEnd w:id="3267"/>
      <w:bookmarkEnd w:id="3268"/>
      <w:bookmarkEnd w:id="3269"/>
    </w:p>
    <w:p w14:paraId="2A7C3E84">
      <w:r>
        <w:t>通过菜单网络配置 &gt; 基础网络 &gt; DHCP服务 &gt; 排除范围”，进入如</w:t>
      </w:r>
      <w:r>
        <w:rPr>
          <w:color w:val="0000FF"/>
          <w:u w:val="single"/>
        </w:rPr>
        <w:fldChar w:fldCharType="begin"/>
      </w:r>
      <w:r>
        <w:rPr>
          <w:color w:val="0000FF"/>
          <w:u w:val="single"/>
        </w:rPr>
        <w:instrText xml:space="preserve"> REF _Ref393096069 \r \h  \* MERGEFORMAT </w:instrText>
      </w:r>
      <w:r>
        <w:rPr>
          <w:color w:val="0000FF"/>
          <w:u w:val="single"/>
        </w:rPr>
        <w:fldChar w:fldCharType="separate"/>
      </w:r>
      <w:r>
        <w:rPr>
          <w:rFonts w:hint="eastAsia"/>
          <w:color w:val="0000FF"/>
          <w:u w:val="single"/>
        </w:rPr>
        <w:t>图11-8</w:t>
      </w:r>
      <w:r>
        <w:rPr>
          <w:color w:val="0000FF"/>
          <w:u w:val="single"/>
        </w:rPr>
        <w:fldChar w:fldCharType="end"/>
      </w:r>
      <w:r>
        <w:t>所示页面。在该页面上可以新建、编辑、删除、浏览排除范围的配置。</w:t>
      </w:r>
    </w:p>
    <w:p w14:paraId="7B771B6D">
      <w:pPr>
        <w:pStyle w:val="188"/>
      </w:pPr>
      <w:bookmarkStart w:id="3270" w:name="_Toc141874682"/>
      <w:bookmarkStart w:id="3271" w:name="_Ref393096069"/>
      <w:r>
        <w:t>排除范围页面</w:t>
      </w:r>
      <w:bookmarkEnd w:id="3270"/>
      <w:bookmarkEnd w:id="3271"/>
    </w:p>
    <w:p w14:paraId="23641DC2">
      <w:r>
        <w:drawing>
          <wp:inline distT="0" distB="0" distL="0" distR="0">
            <wp:extent cx="5400040" cy="1225550"/>
            <wp:effectExtent l="0" t="0" r="0" b="0"/>
            <wp:docPr id="4945" name="图片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 name="图片 1376"/>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a:xfrm>
                      <a:off x="0" y="0"/>
                      <a:ext cx="5400040" cy="1226137"/>
                    </a:xfrm>
                    <a:prstGeom prst="rect">
                      <a:avLst/>
                    </a:prstGeom>
                    <a:noFill/>
                    <a:ln>
                      <a:noFill/>
                    </a:ln>
                  </pic:spPr>
                </pic:pic>
              </a:graphicData>
            </a:graphic>
          </wp:inline>
        </w:drawing>
      </w:r>
    </w:p>
    <w:p w14:paraId="52D66A60">
      <w:r>
        <w:t>在页面上</w:t>
      </w:r>
      <w:r>
        <w:rPr>
          <w:rFonts w:hint="eastAsia"/>
        </w:rPr>
        <w:t>点击“</w:t>
      </w:r>
      <w:r>
        <w:t>新建</w:t>
      </w:r>
      <w:r>
        <w:rPr>
          <w:rFonts w:hint="eastAsia"/>
        </w:rPr>
        <w:t>”</w:t>
      </w:r>
      <w:r>
        <w:t>，</w:t>
      </w:r>
      <w:r>
        <w:rPr>
          <w:rFonts w:hint="eastAsia"/>
        </w:rPr>
        <w:t>选择IPv4排除范围或IPv6排除范围，</w:t>
      </w:r>
      <w:r>
        <w:t>新建页面如</w:t>
      </w:r>
      <w:r>
        <w:fldChar w:fldCharType="begin"/>
      </w:r>
      <w:r>
        <w:instrText xml:space="preserve"> REF _Ref393096087 \r \h  \* MERGEFORMAT </w:instrText>
      </w:r>
      <w:r>
        <w:fldChar w:fldCharType="separate"/>
      </w:r>
      <w:r>
        <w:rPr>
          <w:rFonts w:hint="eastAsia"/>
        </w:rPr>
        <w:t>图11-9</w:t>
      </w:r>
      <w:r>
        <w:fldChar w:fldCharType="end"/>
      </w:r>
      <w:r>
        <w:t>所示。各个配置项的含义如</w:t>
      </w:r>
      <w:r>
        <w:fldChar w:fldCharType="begin"/>
      </w:r>
      <w:r>
        <w:instrText xml:space="preserve"> REF _Ref393096095 \r \h  \* MERGEFORMAT </w:instrText>
      </w:r>
      <w:r>
        <w:fldChar w:fldCharType="separate"/>
      </w:r>
      <w:r>
        <w:rPr>
          <w:rFonts w:hint="eastAsia"/>
        </w:rPr>
        <w:t>表11-1</w:t>
      </w:r>
      <w:r>
        <w:fldChar w:fldCharType="end"/>
      </w:r>
      <w:r>
        <w:t>所示。</w:t>
      </w:r>
    </w:p>
    <w:p w14:paraId="06BBC8FC">
      <w:pPr>
        <w:pStyle w:val="188"/>
      </w:pPr>
      <w:bookmarkStart w:id="3272" w:name="_Ref393096087"/>
      <w:bookmarkStart w:id="3273" w:name="_Toc141874683"/>
      <w:r>
        <w:t>新建除范围页面</w:t>
      </w:r>
      <w:bookmarkEnd w:id="3272"/>
      <w:bookmarkEnd w:id="3273"/>
    </w:p>
    <w:p w14:paraId="6D1A126F">
      <w:pPr>
        <w:spacing w:before="79" w:after="79"/>
      </w:pPr>
      <w:r>
        <w:drawing>
          <wp:inline distT="0" distB="0" distL="114300" distR="114300">
            <wp:extent cx="3321685" cy="1998345"/>
            <wp:effectExtent l="0" t="0" r="0" b="1905"/>
            <wp:docPr id="102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 name="图片 103"/>
                    <pic:cNvPicPr>
                      <a:picLocks noChangeAspect="1"/>
                    </pic:cNvPicPr>
                  </pic:nvPicPr>
                  <pic:blipFill>
                    <a:blip r:embed="rId469"/>
                    <a:srcRect r="31064"/>
                    <a:stretch>
                      <a:fillRect/>
                    </a:stretch>
                  </pic:blipFill>
                  <pic:spPr>
                    <a:xfrm>
                      <a:off x="0" y="0"/>
                      <a:ext cx="3329076" cy="2003083"/>
                    </a:xfrm>
                    <a:prstGeom prst="rect">
                      <a:avLst/>
                    </a:prstGeom>
                    <a:noFill/>
                    <a:ln>
                      <a:noFill/>
                    </a:ln>
                  </pic:spPr>
                </pic:pic>
              </a:graphicData>
            </a:graphic>
          </wp:inline>
        </w:drawing>
      </w:r>
    </w:p>
    <w:p w14:paraId="1C421095"/>
    <w:p w14:paraId="2D82D91B">
      <w:pPr>
        <w:pStyle w:val="183"/>
      </w:pPr>
      <w:bookmarkStart w:id="3274" w:name="_Ref393096095"/>
      <w:bookmarkStart w:id="3275" w:name="_Toc141875528"/>
      <w:r>
        <w:t>排除范围各个配置项的含义</w:t>
      </w:r>
      <w:bookmarkEnd w:id="3274"/>
      <w:r>
        <w:t>描述表</w:t>
      </w:r>
      <w:bookmarkEnd w:id="3275"/>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3"/>
        <w:gridCol w:w="6635"/>
      </w:tblGrid>
      <w:tr w14:paraId="2CE3CD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tcBorders>
              <w:tl2br w:val="nil"/>
              <w:tr2bl w:val="nil"/>
            </w:tcBorders>
            <w:shd w:val="clear" w:color="auto" w:fill="538135" w:themeFill="accent6" w:themeFillShade="BF"/>
            <w:vAlign w:val="center"/>
          </w:tcPr>
          <w:p w14:paraId="0FCFA466">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84" w:type="dxa"/>
            <w:tcBorders>
              <w:tl2br w:val="nil"/>
              <w:tr2bl w:val="nil"/>
            </w:tcBorders>
            <w:shd w:val="clear" w:color="auto" w:fill="538135" w:themeFill="accent6" w:themeFillShade="BF"/>
            <w:vAlign w:val="center"/>
          </w:tcPr>
          <w:p w14:paraId="2BE28A63">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1EE097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3A56849F">
            <w:pPr>
              <w:pStyle w:val="186"/>
              <w:widowControl w:val="0"/>
              <w:spacing w:line="240" w:lineRule="auto"/>
              <w:ind w:firstLine="0"/>
              <w:jc w:val="left"/>
            </w:pPr>
            <w:r>
              <w:rPr>
                <w:rFonts w:hint="eastAsia"/>
              </w:rPr>
              <w:t>起始IP</w:t>
            </w:r>
          </w:p>
        </w:tc>
        <w:tc>
          <w:tcPr>
            <w:tcW w:w="6684" w:type="dxa"/>
            <w:shd w:val="clear" w:color="auto" w:fill="auto"/>
          </w:tcPr>
          <w:p w14:paraId="242A9DA2">
            <w:pPr>
              <w:pStyle w:val="186"/>
              <w:widowControl w:val="0"/>
              <w:spacing w:line="240" w:lineRule="auto"/>
              <w:ind w:firstLine="0"/>
              <w:jc w:val="left"/>
            </w:pPr>
            <w:r>
              <w:rPr>
                <w:rFonts w:hint="eastAsia"/>
              </w:rPr>
              <w:t>排除范围的起始</w:t>
            </w:r>
            <w:r>
              <w:t>IP</w:t>
            </w:r>
            <w:r>
              <w:rPr>
                <w:rFonts w:hint="eastAsia"/>
              </w:rPr>
              <w:t>地址。</w:t>
            </w:r>
          </w:p>
        </w:tc>
      </w:tr>
      <w:tr w14:paraId="5F1A9CF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73EE3494">
            <w:pPr>
              <w:pStyle w:val="186"/>
              <w:widowControl w:val="0"/>
              <w:spacing w:line="240" w:lineRule="auto"/>
              <w:ind w:firstLine="0"/>
              <w:jc w:val="left"/>
            </w:pPr>
            <w:r>
              <w:rPr>
                <w:rFonts w:hint="eastAsia"/>
              </w:rPr>
              <w:t>结束IP</w:t>
            </w:r>
          </w:p>
        </w:tc>
        <w:tc>
          <w:tcPr>
            <w:tcW w:w="6684" w:type="dxa"/>
            <w:shd w:val="clear" w:color="auto" w:fill="auto"/>
          </w:tcPr>
          <w:p w14:paraId="146418DD">
            <w:pPr>
              <w:pStyle w:val="186"/>
              <w:widowControl w:val="0"/>
              <w:spacing w:line="240" w:lineRule="auto"/>
              <w:ind w:firstLine="0"/>
              <w:jc w:val="left"/>
            </w:pPr>
            <w:r>
              <w:rPr>
                <w:rFonts w:hint="eastAsia"/>
              </w:rPr>
              <w:t>排除范围的结束</w:t>
            </w:r>
            <w:r>
              <w:t>IP</w:t>
            </w:r>
            <w:r>
              <w:rPr>
                <w:rFonts w:hint="eastAsia"/>
              </w:rPr>
              <w:t>地址。</w:t>
            </w:r>
          </w:p>
        </w:tc>
      </w:tr>
    </w:tbl>
    <w:p w14:paraId="1B03AE68"/>
    <w:p w14:paraId="774691FC">
      <w:r>
        <w:t>点击&lt;提交&gt;，提交配置。提交配置后可在如</w:t>
      </w:r>
      <w:r>
        <w:fldChar w:fldCharType="begin"/>
      </w:r>
      <w:r>
        <w:instrText xml:space="preserve"> REF _Ref393096107 \r \h  \* MERGEFORMAT </w:instrText>
      </w:r>
      <w:r>
        <w:fldChar w:fldCharType="separate"/>
      </w:r>
      <w:r>
        <w:rPr>
          <w:rFonts w:hint="eastAsia"/>
        </w:rPr>
        <w:t>图11-10</w:t>
      </w:r>
      <w:r>
        <w:fldChar w:fldCharType="end"/>
      </w:r>
      <w:r>
        <w:t>所示的页面上查看配置的排除范围信息。</w:t>
      </w:r>
    </w:p>
    <w:p w14:paraId="695B7851">
      <w:pPr>
        <w:pStyle w:val="188"/>
      </w:pPr>
      <w:bookmarkStart w:id="3276" w:name="_Ref393096107"/>
      <w:bookmarkStart w:id="3277" w:name="_Toc141874684"/>
      <w:r>
        <w:t>排除范围页面概览</w:t>
      </w:r>
      <w:bookmarkEnd w:id="3276"/>
      <w:bookmarkEnd w:id="3277"/>
    </w:p>
    <w:p w14:paraId="75239A5B">
      <w:r>
        <w:drawing>
          <wp:inline distT="0" distB="0" distL="0" distR="0">
            <wp:extent cx="5760720" cy="558800"/>
            <wp:effectExtent l="0" t="0" r="0" b="0"/>
            <wp:docPr id="3914" name="图片 3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4" name="图片 3914"/>
                    <pic:cNvPicPr>
                      <a:picLocks noChangeAspect="1"/>
                    </pic:cNvPicPr>
                  </pic:nvPicPr>
                  <pic:blipFill>
                    <a:blip r:embed="rId470"/>
                    <a:stretch>
                      <a:fillRect/>
                    </a:stretch>
                  </pic:blipFill>
                  <pic:spPr>
                    <a:xfrm>
                      <a:off x="0" y="0"/>
                      <a:ext cx="5760720" cy="558800"/>
                    </a:xfrm>
                    <a:prstGeom prst="rect">
                      <a:avLst/>
                    </a:prstGeom>
                  </pic:spPr>
                </pic:pic>
              </a:graphicData>
            </a:graphic>
          </wp:inline>
        </w:drawing>
      </w:r>
    </w:p>
    <w:p w14:paraId="71E59A94"/>
    <w:p w14:paraId="106813FC">
      <w:r>
        <w:t>点击&lt;编辑&gt;按钮，可对选中条目进行编辑。</w:t>
      </w:r>
    </w:p>
    <w:p w14:paraId="03D35389">
      <w:r>
        <w:t>点击&lt;删除&gt;按钮，可对选中条目进行删除。</w:t>
      </w:r>
    </w:p>
    <w:p w14:paraId="5D386FF5">
      <w:pPr>
        <w:pStyle w:val="5"/>
      </w:pPr>
      <w:bookmarkStart w:id="3278" w:name="_Toc172218209"/>
      <w:bookmarkStart w:id="3279" w:name="_Toc40276040"/>
      <w:bookmarkStart w:id="3280" w:name="_Toc194080836"/>
      <w:bookmarkStart w:id="3281" w:name="_Toc6232143"/>
      <w:bookmarkStart w:id="3282" w:name="_Toc99561536"/>
      <w:bookmarkStart w:id="3283" w:name="_Toc23152607"/>
      <w:bookmarkStart w:id="3284" w:name="_Toc141873459"/>
      <w:bookmarkStart w:id="3285" w:name="_Toc142400975"/>
      <w:bookmarkStart w:id="3286" w:name="_Toc196728168"/>
      <w:bookmarkStart w:id="3287" w:name="_Toc15484841"/>
      <w:bookmarkStart w:id="3288" w:name="_Toc474250016"/>
      <w:r>
        <w:t>静态地址分配</w:t>
      </w:r>
      <w:bookmarkEnd w:id="3278"/>
      <w:bookmarkEnd w:id="3279"/>
      <w:bookmarkEnd w:id="3280"/>
      <w:bookmarkEnd w:id="3281"/>
      <w:bookmarkEnd w:id="3282"/>
      <w:bookmarkEnd w:id="3283"/>
      <w:bookmarkEnd w:id="3284"/>
      <w:bookmarkEnd w:id="3285"/>
      <w:bookmarkEnd w:id="3286"/>
      <w:bookmarkEnd w:id="3287"/>
      <w:bookmarkEnd w:id="3288"/>
    </w:p>
    <w:p w14:paraId="592BE4E4">
      <w:pPr>
        <w:pStyle w:val="6"/>
      </w:pPr>
      <w:r>
        <w:rPr>
          <w:rFonts w:hint="eastAsia"/>
        </w:rPr>
        <w:t>查看静态地址分配</w:t>
      </w:r>
    </w:p>
    <w:p w14:paraId="03F8E556">
      <w:r>
        <w:t>通过菜单网络配置 &gt; 基础网络 &gt; DHCP服务 &gt; 静态地址分配”，进入如</w:t>
      </w:r>
      <w:r>
        <w:rPr>
          <w:color w:val="0000FF"/>
          <w:u w:val="single"/>
        </w:rPr>
        <w:fldChar w:fldCharType="begin"/>
      </w:r>
      <w:r>
        <w:rPr>
          <w:color w:val="0000FF"/>
          <w:u w:val="single"/>
        </w:rPr>
        <w:instrText xml:space="preserve"> REF _Ref393097279 \r \h  \* MERGEFORMAT </w:instrText>
      </w:r>
      <w:r>
        <w:rPr>
          <w:color w:val="0000FF"/>
          <w:u w:val="single"/>
        </w:rPr>
        <w:fldChar w:fldCharType="separate"/>
      </w:r>
      <w:r>
        <w:rPr>
          <w:rFonts w:hint="eastAsia"/>
          <w:color w:val="0000FF"/>
          <w:u w:val="single"/>
        </w:rPr>
        <w:t>图11-11</w:t>
      </w:r>
      <w:r>
        <w:rPr>
          <w:color w:val="0000FF"/>
          <w:u w:val="single"/>
        </w:rPr>
        <w:fldChar w:fldCharType="end"/>
      </w:r>
      <w:r>
        <w:t>所示页面。在该页面上可以</w:t>
      </w:r>
      <w:r>
        <w:rPr>
          <w:rFonts w:hint="eastAsia"/>
        </w:rPr>
        <w:t>查看已分配的DHCP静态</w:t>
      </w:r>
      <w:r>
        <w:t>地址。</w:t>
      </w:r>
    </w:p>
    <w:p w14:paraId="7E82B3EF">
      <w:pPr>
        <w:pStyle w:val="188"/>
      </w:pPr>
      <w:bookmarkStart w:id="3289" w:name="_Ref393097279"/>
      <w:bookmarkStart w:id="3290" w:name="_Toc141874685"/>
      <w:r>
        <w:t>静态地址分配页面</w:t>
      </w:r>
      <w:bookmarkEnd w:id="3289"/>
      <w:bookmarkEnd w:id="3290"/>
    </w:p>
    <w:p w14:paraId="773DD1A8">
      <w:r>
        <w:drawing>
          <wp:inline distT="0" distB="0" distL="0" distR="0">
            <wp:extent cx="5400040" cy="998855"/>
            <wp:effectExtent l="0" t="0" r="0" b="0"/>
            <wp:docPr id="4946" name="图片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6" name="图片 1387"/>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a:xfrm>
                      <a:off x="0" y="0"/>
                      <a:ext cx="5400040" cy="999385"/>
                    </a:xfrm>
                    <a:prstGeom prst="rect">
                      <a:avLst/>
                    </a:prstGeom>
                    <a:noFill/>
                    <a:ln>
                      <a:noFill/>
                    </a:ln>
                  </pic:spPr>
                </pic:pic>
              </a:graphicData>
            </a:graphic>
          </wp:inline>
        </w:drawing>
      </w:r>
    </w:p>
    <w:p w14:paraId="19A1015C"/>
    <w:p w14:paraId="50BDEC7B">
      <w:pPr>
        <w:pStyle w:val="6"/>
      </w:pPr>
      <w:r>
        <w:rPr>
          <w:rFonts w:hint="eastAsia"/>
        </w:rPr>
        <w:t>配置IPv4静态地址</w:t>
      </w:r>
    </w:p>
    <w:p w14:paraId="2125FE28">
      <w:r>
        <w:rPr>
          <w:rFonts w:hint="eastAsia"/>
        </w:rPr>
        <w:t>在页面上点击“新建&gt;IPv4静态地址分配”</w:t>
      </w:r>
      <w:r>
        <w:t>，可以新建</w:t>
      </w:r>
      <w:r>
        <w:rPr>
          <w:rFonts w:hint="eastAsia"/>
        </w:rPr>
        <w:t>IPv</w:t>
      </w:r>
      <w:r>
        <w:t>4静态地址分配。新建页面如</w:t>
      </w:r>
      <w:r>
        <w:fldChar w:fldCharType="begin"/>
      </w:r>
      <w:r>
        <w:instrText xml:space="preserve"> REF _Ref393097299 \r \h  \* MERGEFORMAT </w:instrText>
      </w:r>
      <w:r>
        <w:fldChar w:fldCharType="separate"/>
      </w:r>
      <w:r>
        <w:rPr>
          <w:rFonts w:hint="eastAsia"/>
        </w:rPr>
        <w:t>图11-12</w:t>
      </w:r>
      <w:r>
        <w:fldChar w:fldCharType="end"/>
      </w:r>
      <w:r>
        <w:t>所示。各个配置项的含义如</w:t>
      </w:r>
      <w:r>
        <w:fldChar w:fldCharType="begin"/>
      </w:r>
      <w:r>
        <w:instrText xml:space="preserve"> REF _Ref393097308 \r \h  \* MERGEFORMAT </w:instrText>
      </w:r>
      <w:r>
        <w:fldChar w:fldCharType="separate"/>
      </w:r>
      <w:r>
        <w:rPr>
          <w:rFonts w:hint="eastAsia"/>
        </w:rPr>
        <w:t>表11-1</w:t>
      </w:r>
      <w:r>
        <w:fldChar w:fldCharType="end"/>
      </w:r>
      <w:r>
        <w:t>所示。</w:t>
      </w:r>
    </w:p>
    <w:p w14:paraId="49940558">
      <w:pPr>
        <w:pStyle w:val="188"/>
      </w:pPr>
      <w:bookmarkStart w:id="3291" w:name="_Ref393097299"/>
      <w:bookmarkStart w:id="3292" w:name="_Toc141874686"/>
      <w:r>
        <w:t>新建</w:t>
      </w:r>
      <w:r>
        <w:rPr>
          <w:rFonts w:hint="eastAsia"/>
        </w:rPr>
        <w:t>IP</w:t>
      </w:r>
      <w:r>
        <w:t>v4静态地址分配页面</w:t>
      </w:r>
      <w:bookmarkEnd w:id="3291"/>
      <w:bookmarkEnd w:id="3292"/>
    </w:p>
    <w:p w14:paraId="4E9DDF61">
      <w:r>
        <w:drawing>
          <wp:inline distT="0" distB="0" distL="0" distR="0">
            <wp:extent cx="4752975" cy="1562100"/>
            <wp:effectExtent l="0" t="0" r="0" b="0"/>
            <wp:docPr id="624" name="图片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 624"/>
                    <pic:cNvPicPr>
                      <a:picLocks noChangeAspect="1"/>
                    </pic:cNvPicPr>
                  </pic:nvPicPr>
                  <pic:blipFill>
                    <a:blip r:embed="rId472"/>
                    <a:stretch>
                      <a:fillRect/>
                    </a:stretch>
                  </pic:blipFill>
                  <pic:spPr>
                    <a:xfrm>
                      <a:off x="0" y="0"/>
                      <a:ext cx="4763198" cy="1566075"/>
                    </a:xfrm>
                    <a:prstGeom prst="rect">
                      <a:avLst/>
                    </a:prstGeom>
                  </pic:spPr>
                </pic:pic>
              </a:graphicData>
            </a:graphic>
          </wp:inline>
        </w:drawing>
      </w:r>
    </w:p>
    <w:p w14:paraId="198F60FC"/>
    <w:p w14:paraId="2C8867BC">
      <w:pPr>
        <w:pStyle w:val="183"/>
      </w:pPr>
      <w:bookmarkStart w:id="3293" w:name="_Ref393097308"/>
      <w:bookmarkStart w:id="3294" w:name="_Toc141875529"/>
      <w:r>
        <w:rPr>
          <w:rFonts w:hint="eastAsia"/>
        </w:rPr>
        <w:t>IPv</w:t>
      </w:r>
      <w:r>
        <w:t>4静态地址分配各个配置项的含义</w:t>
      </w:r>
      <w:bookmarkEnd w:id="3293"/>
      <w:r>
        <w:t>描述表</w:t>
      </w:r>
      <w:bookmarkEnd w:id="3294"/>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4"/>
        <w:gridCol w:w="6634"/>
      </w:tblGrid>
      <w:tr w14:paraId="1A3F7B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tcBorders>
              <w:tl2br w:val="nil"/>
              <w:tr2bl w:val="nil"/>
            </w:tcBorders>
            <w:shd w:val="clear" w:color="auto" w:fill="538135" w:themeFill="accent6" w:themeFillShade="BF"/>
            <w:vAlign w:val="center"/>
          </w:tcPr>
          <w:p w14:paraId="08005604">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84" w:type="dxa"/>
            <w:tcBorders>
              <w:tl2br w:val="nil"/>
              <w:tr2bl w:val="nil"/>
            </w:tcBorders>
            <w:shd w:val="clear" w:color="auto" w:fill="538135" w:themeFill="accent6" w:themeFillShade="BF"/>
            <w:vAlign w:val="center"/>
          </w:tcPr>
          <w:p w14:paraId="0FF08C35">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109CA4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10825FE3">
            <w:pPr>
              <w:pStyle w:val="186"/>
              <w:widowControl w:val="0"/>
              <w:spacing w:line="240" w:lineRule="auto"/>
              <w:ind w:firstLine="0"/>
              <w:jc w:val="left"/>
            </w:pPr>
            <w:r>
              <w:rPr>
                <w:rFonts w:hint="eastAsia"/>
              </w:rPr>
              <w:t>名称</w:t>
            </w:r>
          </w:p>
        </w:tc>
        <w:tc>
          <w:tcPr>
            <w:tcW w:w="6684" w:type="dxa"/>
            <w:shd w:val="clear" w:color="auto" w:fill="auto"/>
          </w:tcPr>
          <w:p w14:paraId="74A535B1">
            <w:pPr>
              <w:pStyle w:val="186"/>
              <w:widowControl w:val="0"/>
              <w:spacing w:line="240" w:lineRule="auto"/>
              <w:ind w:firstLine="0"/>
              <w:jc w:val="left"/>
            </w:pPr>
            <w:r>
              <w:t>静态地址分配</w:t>
            </w:r>
            <w:r>
              <w:rPr>
                <w:rFonts w:hint="eastAsia"/>
              </w:rPr>
              <w:t>的名称，可输入1到</w:t>
            </w:r>
            <w:r>
              <w:t>63</w:t>
            </w:r>
            <w:r>
              <w:rPr>
                <w:rFonts w:hint="eastAsia"/>
              </w:rPr>
              <w:t>个字符。</w:t>
            </w:r>
          </w:p>
        </w:tc>
      </w:tr>
      <w:tr w14:paraId="74958C2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6FA1CCBF">
            <w:pPr>
              <w:pStyle w:val="186"/>
              <w:widowControl w:val="0"/>
              <w:spacing w:line="240" w:lineRule="auto"/>
              <w:ind w:firstLine="0"/>
              <w:jc w:val="left"/>
            </w:pPr>
            <w:r>
              <w:rPr>
                <w:rFonts w:hint="eastAsia"/>
              </w:rPr>
              <w:t>IP地址</w:t>
            </w:r>
          </w:p>
        </w:tc>
        <w:tc>
          <w:tcPr>
            <w:tcW w:w="6684" w:type="dxa"/>
            <w:shd w:val="clear" w:color="auto" w:fill="auto"/>
          </w:tcPr>
          <w:p w14:paraId="2D38BC1E">
            <w:pPr>
              <w:pStyle w:val="186"/>
              <w:widowControl w:val="0"/>
              <w:spacing w:line="240" w:lineRule="auto"/>
              <w:ind w:firstLine="0"/>
              <w:jc w:val="left"/>
            </w:pPr>
            <w:r>
              <w:t>静态地址分配</w:t>
            </w:r>
            <w:r>
              <w:rPr>
                <w:rFonts w:hint="eastAsia"/>
              </w:rPr>
              <w:t>的IP地址。</w:t>
            </w:r>
          </w:p>
        </w:tc>
      </w:tr>
      <w:tr w14:paraId="6FD318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282EE2C1">
            <w:pPr>
              <w:pStyle w:val="186"/>
              <w:widowControl w:val="0"/>
              <w:spacing w:line="240" w:lineRule="auto"/>
              <w:ind w:firstLine="0"/>
              <w:jc w:val="left"/>
            </w:pPr>
            <w:r>
              <w:rPr>
                <w:rFonts w:hint="eastAsia"/>
              </w:rPr>
              <w:t>MAC地址</w:t>
            </w:r>
          </w:p>
        </w:tc>
        <w:tc>
          <w:tcPr>
            <w:tcW w:w="6684" w:type="dxa"/>
            <w:shd w:val="clear" w:color="auto" w:fill="auto"/>
          </w:tcPr>
          <w:p w14:paraId="29BDC248">
            <w:pPr>
              <w:pStyle w:val="186"/>
              <w:widowControl w:val="0"/>
              <w:spacing w:line="240" w:lineRule="auto"/>
              <w:ind w:firstLine="0"/>
              <w:jc w:val="left"/>
            </w:pPr>
            <w:r>
              <w:t>静态地址分配</w:t>
            </w:r>
            <w:r>
              <w:rPr>
                <w:rFonts w:hint="eastAsia"/>
              </w:rPr>
              <w:t>的MAC地址。</w:t>
            </w:r>
          </w:p>
        </w:tc>
      </w:tr>
    </w:tbl>
    <w:p w14:paraId="1060BAC1"/>
    <w:p w14:paraId="69E92B25">
      <w:r>
        <w:t>点击&lt;提交&gt;按钮，提交配置。</w:t>
      </w:r>
      <w:r>
        <w:rPr>
          <w:rFonts w:hint="eastAsia"/>
        </w:rPr>
        <w:t>提交后可在静态地址分配页面查看配置的IPv</w:t>
      </w:r>
      <w:r>
        <w:t>4</w:t>
      </w:r>
      <w:r>
        <w:rPr>
          <w:rFonts w:hint="eastAsia"/>
        </w:rPr>
        <w:t>静态地址信息，如下图所示</w:t>
      </w:r>
      <w:r>
        <w:t>。</w:t>
      </w:r>
    </w:p>
    <w:p w14:paraId="31290AA7">
      <w:pPr>
        <w:pStyle w:val="188"/>
      </w:pPr>
      <w:bookmarkStart w:id="3295" w:name="_Ref393097324"/>
      <w:bookmarkStart w:id="3296" w:name="_Toc141874687"/>
      <w:r>
        <w:rPr>
          <w:rFonts w:hint="eastAsia"/>
        </w:rPr>
        <w:t>IPv</w:t>
      </w:r>
      <w:r>
        <w:t>4</w:t>
      </w:r>
      <w:r>
        <w:rPr>
          <w:rFonts w:hint="eastAsia"/>
        </w:rPr>
        <w:t>静态地址分配</w:t>
      </w:r>
      <w:r>
        <w:t>页面概览</w:t>
      </w:r>
      <w:bookmarkEnd w:id="3295"/>
      <w:bookmarkEnd w:id="3296"/>
    </w:p>
    <w:p w14:paraId="0E8A64D7">
      <w:r>
        <w:drawing>
          <wp:inline distT="0" distB="0" distL="0" distR="0">
            <wp:extent cx="5534025" cy="1120775"/>
            <wp:effectExtent l="0" t="0" r="0" b="3175"/>
            <wp:docPr id="406"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406"/>
                    <pic:cNvPicPr>
                      <a:picLocks noChangeAspect="1"/>
                    </pic:cNvPicPr>
                  </pic:nvPicPr>
                  <pic:blipFill>
                    <a:blip r:embed="rId473"/>
                    <a:stretch>
                      <a:fillRect/>
                    </a:stretch>
                  </pic:blipFill>
                  <pic:spPr>
                    <a:xfrm>
                      <a:off x="0" y="0"/>
                      <a:ext cx="5559706" cy="1126476"/>
                    </a:xfrm>
                    <a:prstGeom prst="rect">
                      <a:avLst/>
                    </a:prstGeom>
                  </pic:spPr>
                </pic:pic>
              </a:graphicData>
            </a:graphic>
          </wp:inline>
        </w:drawing>
      </w:r>
    </w:p>
    <w:p w14:paraId="6E4B3A1C"/>
    <w:p w14:paraId="5701323E">
      <w:r>
        <w:t>点击&lt;编辑&gt;按钮，可对选中条目进行编辑。</w:t>
      </w:r>
    </w:p>
    <w:p w14:paraId="63F147EB">
      <w:r>
        <w:t>点击&lt;删除&gt;按钮，可对选中条目进行删除。</w:t>
      </w:r>
    </w:p>
    <w:p w14:paraId="3A60E294">
      <w:pPr>
        <w:pStyle w:val="6"/>
      </w:pPr>
      <w:r>
        <w:rPr>
          <w:rFonts w:hint="eastAsia"/>
        </w:rPr>
        <w:t>配置IPv</w:t>
      </w:r>
      <w:r>
        <w:t>6</w:t>
      </w:r>
      <w:r>
        <w:rPr>
          <w:rFonts w:hint="eastAsia"/>
        </w:rPr>
        <w:t>静态地址</w:t>
      </w:r>
    </w:p>
    <w:p w14:paraId="31E12A4C">
      <w:r>
        <w:rPr>
          <w:rFonts w:hint="eastAsia" w:asciiTheme="minorEastAsia" w:hAnsiTheme="minorEastAsia"/>
        </w:rPr>
        <w:t>DHCPv6服务器支持为特定客户端分配指定的IPv6地址。</w:t>
      </w:r>
      <w:r>
        <w:rPr>
          <w:rFonts w:hint="eastAsia"/>
        </w:rPr>
        <w:t>可以将客户端</w:t>
      </w:r>
      <w:r>
        <w:rPr>
          <w:rFonts w:hint="eastAsia" w:asciiTheme="minorEastAsia" w:hAnsiTheme="minorEastAsia"/>
        </w:rPr>
        <w:t>DUID、IAID与IPv6地址绑定，当</w:t>
      </w:r>
      <w:r>
        <w:rPr>
          <w:rFonts w:hint="eastAsia"/>
        </w:rPr>
        <w:t>DHCPv6服务器给客户端分配地址时，将与此客户端DUID及IAID绑定在一起的IPv6地址指定给该客户端。</w:t>
      </w:r>
    </w:p>
    <w:p w14:paraId="262079FB">
      <w:r>
        <w:rPr>
          <w:rFonts w:hint="eastAsia"/>
        </w:rPr>
        <w:t>选择“</w:t>
      </w:r>
      <w:r>
        <w:t>网络配置</w:t>
      </w:r>
      <w:r>
        <w:rPr>
          <w:rFonts w:hint="eastAsia"/>
        </w:rPr>
        <w:t xml:space="preserve"> </w:t>
      </w:r>
      <w:r>
        <w:t>&gt; 基础网络</w:t>
      </w:r>
      <w:r>
        <w:rPr>
          <w:rFonts w:hint="eastAsia"/>
        </w:rPr>
        <w:t xml:space="preserve"> </w:t>
      </w:r>
      <w:r>
        <w:t>&gt; DHCP服务 &gt; 静态地址分配</w:t>
      </w:r>
      <w:r>
        <w:rPr>
          <w:rFonts w:hint="eastAsia"/>
        </w:rPr>
        <w:t>”，点击“新建&gt;IPv</w:t>
      </w:r>
      <w:r>
        <w:t>6静态地址分配</w:t>
      </w:r>
      <w:r>
        <w:rPr>
          <w:rFonts w:hint="eastAsia"/>
        </w:rPr>
        <w:t>”，进入IPv</w:t>
      </w:r>
      <w:r>
        <w:t>6</w:t>
      </w:r>
      <w:r>
        <w:rPr>
          <w:rFonts w:hint="eastAsia"/>
        </w:rPr>
        <w:t>静态地址分配页面。</w:t>
      </w:r>
    </w:p>
    <w:p w14:paraId="46F459E4">
      <w:pPr>
        <w:pStyle w:val="188"/>
      </w:pPr>
      <w:bookmarkStart w:id="3297" w:name="_Toc193447636"/>
      <w:r>
        <w:rPr>
          <w:rFonts w:hint="eastAsia"/>
        </w:rPr>
        <w:t>IPv</w:t>
      </w:r>
      <w:r>
        <w:t>6静态地址分配页面</w:t>
      </w:r>
      <w:bookmarkEnd w:id="3297"/>
    </w:p>
    <w:p w14:paraId="27295326">
      <w:pPr>
        <w:pStyle w:val="175"/>
      </w:pPr>
      <w:r>
        <w:drawing>
          <wp:inline distT="0" distB="0" distL="0" distR="0">
            <wp:extent cx="4981575" cy="2018665"/>
            <wp:effectExtent l="0" t="0" r="0" b="635"/>
            <wp:docPr id="631" name="图片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图片 631"/>
                    <pic:cNvPicPr>
                      <a:picLocks noChangeAspect="1"/>
                    </pic:cNvPicPr>
                  </pic:nvPicPr>
                  <pic:blipFill>
                    <a:blip r:embed="rId474"/>
                    <a:stretch>
                      <a:fillRect/>
                    </a:stretch>
                  </pic:blipFill>
                  <pic:spPr>
                    <a:xfrm>
                      <a:off x="0" y="0"/>
                      <a:ext cx="4986636" cy="2021277"/>
                    </a:xfrm>
                    <a:prstGeom prst="rect">
                      <a:avLst/>
                    </a:prstGeom>
                  </pic:spPr>
                </pic:pic>
              </a:graphicData>
            </a:graphic>
          </wp:inline>
        </w:drawing>
      </w:r>
    </w:p>
    <w:p w14:paraId="7767B20B"/>
    <w:p w14:paraId="602636A5">
      <w:pPr>
        <w:pStyle w:val="183"/>
      </w:pPr>
      <w:r>
        <w:rPr>
          <w:rFonts w:hint="eastAsia"/>
        </w:rPr>
        <w:t>IPv</w:t>
      </w:r>
      <w:r>
        <w:t>6</w:t>
      </w:r>
      <w:r>
        <w:rPr>
          <w:rFonts w:hint="eastAsia"/>
        </w:rPr>
        <w:t>静态地址分配页面的详细说明</w:t>
      </w:r>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2"/>
        <w:gridCol w:w="6636"/>
      </w:tblGrid>
      <w:tr w14:paraId="1B83A3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2" w:type="dxa"/>
            <w:tcBorders>
              <w:tl2br w:val="nil"/>
              <w:tr2bl w:val="nil"/>
            </w:tcBorders>
            <w:shd w:val="clear" w:color="auto" w:fill="538135" w:themeFill="accent6" w:themeFillShade="BF"/>
            <w:vAlign w:val="center"/>
          </w:tcPr>
          <w:p w14:paraId="350B5273">
            <w:pPr>
              <w:pStyle w:val="149"/>
              <w:wordWrap/>
              <w:rPr>
                <w:b/>
                <w:bCs/>
                <w:i w:val="0"/>
                <w:iCs w:val="0"/>
              </w:rPr>
            </w:pPr>
            <w:r>
              <w:rPr>
                <w:rFonts w:hint="eastAsia"/>
                <w:b/>
                <w:bCs/>
                <w:i w:val="0"/>
                <w:iCs w:val="0"/>
              </w:rPr>
              <w:t>标题项</w:t>
            </w:r>
          </w:p>
        </w:tc>
        <w:tc>
          <w:tcPr>
            <w:tcW w:w="6636" w:type="dxa"/>
            <w:tcBorders>
              <w:tl2br w:val="nil"/>
              <w:tr2bl w:val="nil"/>
            </w:tcBorders>
            <w:shd w:val="clear" w:color="auto" w:fill="538135" w:themeFill="accent6" w:themeFillShade="BF"/>
            <w:vAlign w:val="center"/>
          </w:tcPr>
          <w:p w14:paraId="0E66DEF2">
            <w:pPr>
              <w:pStyle w:val="149"/>
              <w:wordWrap/>
              <w:rPr>
                <w:b/>
                <w:bCs/>
                <w:i w:val="0"/>
                <w:iCs w:val="0"/>
              </w:rPr>
            </w:pPr>
            <w:r>
              <w:rPr>
                <w:rFonts w:hint="eastAsia"/>
                <w:b/>
                <w:bCs/>
                <w:i w:val="0"/>
                <w:iCs w:val="0"/>
              </w:rPr>
              <w:t>说明</w:t>
            </w:r>
          </w:p>
        </w:tc>
      </w:tr>
      <w:tr w14:paraId="1D61DE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2" w:type="dxa"/>
            <w:shd w:val="clear" w:color="auto" w:fill="auto"/>
          </w:tcPr>
          <w:p w14:paraId="241A0CEA">
            <w:pPr>
              <w:pStyle w:val="186"/>
              <w:widowControl w:val="0"/>
              <w:spacing w:line="240" w:lineRule="auto"/>
              <w:ind w:firstLine="0"/>
              <w:jc w:val="left"/>
            </w:pPr>
            <w:r>
              <w:rPr>
                <w:rFonts w:hint="eastAsia"/>
              </w:rPr>
              <w:t>名称</w:t>
            </w:r>
          </w:p>
        </w:tc>
        <w:tc>
          <w:tcPr>
            <w:tcW w:w="6636" w:type="dxa"/>
            <w:shd w:val="clear" w:color="auto" w:fill="auto"/>
          </w:tcPr>
          <w:p w14:paraId="166E37DD">
            <w:pPr>
              <w:pStyle w:val="186"/>
              <w:widowControl w:val="0"/>
              <w:spacing w:line="240" w:lineRule="auto"/>
              <w:ind w:firstLine="0"/>
              <w:jc w:val="left"/>
            </w:pPr>
            <w:r>
              <w:rPr>
                <w:rFonts w:hint="eastAsia"/>
              </w:rPr>
              <w:t>DHCPv6 静态绑定的名称的名称。</w:t>
            </w:r>
          </w:p>
        </w:tc>
      </w:tr>
      <w:tr w14:paraId="40D5330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2" w:type="dxa"/>
            <w:shd w:val="clear" w:color="auto" w:fill="auto"/>
          </w:tcPr>
          <w:p w14:paraId="4E9CA81F">
            <w:pPr>
              <w:pStyle w:val="186"/>
              <w:widowControl w:val="0"/>
              <w:spacing w:line="240" w:lineRule="auto"/>
              <w:ind w:firstLine="0"/>
              <w:jc w:val="left"/>
            </w:pPr>
            <w:r>
              <w:rPr>
                <w:rFonts w:hint="eastAsia"/>
              </w:rPr>
              <w:t>IP地址</w:t>
            </w:r>
          </w:p>
        </w:tc>
        <w:tc>
          <w:tcPr>
            <w:tcW w:w="6636" w:type="dxa"/>
            <w:shd w:val="clear" w:color="auto" w:fill="auto"/>
          </w:tcPr>
          <w:p w14:paraId="6AEA7D48">
            <w:pPr>
              <w:pStyle w:val="186"/>
              <w:widowControl w:val="0"/>
              <w:spacing w:line="240" w:lineRule="auto"/>
              <w:ind w:firstLine="0"/>
              <w:jc w:val="left"/>
            </w:pPr>
            <w:r>
              <w:rPr>
                <w:rFonts w:hint="eastAsia"/>
              </w:rPr>
              <w:t>静态分配的IPv6地址。</w:t>
            </w:r>
          </w:p>
        </w:tc>
      </w:tr>
      <w:tr w14:paraId="306045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2" w:type="dxa"/>
            <w:shd w:val="clear" w:color="auto" w:fill="auto"/>
          </w:tcPr>
          <w:p w14:paraId="4E14A2AF">
            <w:pPr>
              <w:pStyle w:val="186"/>
              <w:widowControl w:val="0"/>
              <w:spacing w:line="240" w:lineRule="auto"/>
              <w:ind w:firstLine="0"/>
              <w:jc w:val="left"/>
            </w:pPr>
            <w:r>
              <w:rPr>
                <w:rFonts w:hint="eastAsia"/>
              </w:rPr>
              <w:t>DUID</w:t>
            </w:r>
          </w:p>
        </w:tc>
        <w:tc>
          <w:tcPr>
            <w:tcW w:w="6636" w:type="dxa"/>
            <w:shd w:val="clear" w:color="auto" w:fill="auto"/>
          </w:tcPr>
          <w:p w14:paraId="08B2046C">
            <w:pPr>
              <w:pStyle w:val="186"/>
              <w:widowControl w:val="0"/>
              <w:spacing w:line="240" w:lineRule="auto"/>
              <w:ind w:firstLine="0"/>
              <w:jc w:val="left"/>
            </w:pPr>
            <w:r>
              <w:rPr>
                <w:rFonts w:hint="eastAsia"/>
              </w:rPr>
              <w:t>配置与IPv6地址静态绑定的DHCPv6客户端的DUID，十六进制字符串形式，字符串长度取值范围是2～256，字符串长度为偶数位。</w:t>
            </w:r>
          </w:p>
        </w:tc>
      </w:tr>
      <w:tr w14:paraId="2F1FB4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2" w:type="dxa"/>
            <w:shd w:val="clear" w:color="auto" w:fill="auto"/>
          </w:tcPr>
          <w:p w14:paraId="78563388">
            <w:pPr>
              <w:pStyle w:val="186"/>
              <w:widowControl w:val="0"/>
              <w:spacing w:line="240" w:lineRule="auto"/>
              <w:ind w:firstLine="0"/>
              <w:jc w:val="left"/>
            </w:pPr>
            <w:r>
              <w:rPr>
                <w:rFonts w:hint="eastAsia"/>
              </w:rPr>
              <w:t>IAID</w:t>
            </w:r>
          </w:p>
        </w:tc>
        <w:tc>
          <w:tcPr>
            <w:tcW w:w="6636" w:type="dxa"/>
            <w:shd w:val="clear" w:color="auto" w:fill="auto"/>
          </w:tcPr>
          <w:p w14:paraId="1E03DCEC">
            <w:pPr>
              <w:pStyle w:val="186"/>
              <w:widowControl w:val="0"/>
              <w:spacing w:line="240" w:lineRule="auto"/>
              <w:ind w:firstLine="0"/>
              <w:jc w:val="left"/>
            </w:pPr>
            <w:r>
              <w:rPr>
                <w:rFonts w:hint="eastAsia"/>
              </w:rPr>
              <w:t>静态分配的IA标识，整数形式，取值范围1～4294967295。</w:t>
            </w:r>
          </w:p>
          <w:p w14:paraId="153F0E99">
            <w:pPr>
              <w:pStyle w:val="186"/>
              <w:widowControl w:val="0"/>
              <w:spacing w:line="240" w:lineRule="auto"/>
              <w:ind w:firstLine="0"/>
              <w:jc w:val="left"/>
            </w:pPr>
            <w:r>
              <w:rPr>
                <w:rFonts w:hint="eastAsia"/>
              </w:rPr>
              <w:t>无法得到设备的DUID和IAID时，抓包DHCPv6交互报文可获取DUID和IAID值。</w:t>
            </w:r>
          </w:p>
        </w:tc>
      </w:tr>
    </w:tbl>
    <w:p w14:paraId="6E5430E7"/>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4B1A92CE">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5010FD66">
            <w:pPr>
              <w:pStyle w:val="150"/>
              <w:adjustRightInd w:val="0"/>
              <w:snapToGrid w:val="0"/>
              <w:rPr>
                <w:color w:val="auto"/>
              </w:rPr>
            </w:pPr>
            <w:r>
              <w:rPr>
                <w:b/>
                <w:color w:val="auto"/>
              </w:rPr>
              <w:drawing>
                <wp:inline distT="0" distB="0" distL="0" distR="0">
                  <wp:extent cx="283210" cy="283210"/>
                  <wp:effectExtent l="0" t="0" r="2540" b="2540"/>
                  <wp:docPr id="807" name="图片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图片 80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1198CCEB">
            <w:pPr>
              <w:pStyle w:val="207"/>
              <w:adjustRightInd w:val="0"/>
              <w:snapToGrid w:val="0"/>
              <w:rPr>
                <w:color w:val="auto"/>
              </w:rPr>
            </w:pPr>
            <w:r>
              <w:rPr>
                <w:rFonts w:hint="eastAsia"/>
                <w:color w:val="auto"/>
              </w:rPr>
              <w:t>Windows系统可以使用ipconfig/all命令查看客户端的DUID和IAID。</w:t>
            </w:r>
          </w:p>
          <w:p w14:paraId="36D60214">
            <w:pPr>
              <w:pStyle w:val="207"/>
              <w:adjustRightInd w:val="0"/>
              <w:snapToGrid w:val="0"/>
              <w:rPr>
                <w:color w:val="auto"/>
                <w:lang w:eastAsia="zh-CN"/>
              </w:rPr>
            </w:pPr>
            <w:r>
              <w:rPr>
                <w:rFonts w:hint="eastAsia"/>
                <w:color w:val="auto"/>
                <w:lang w:eastAsia="zh-CN"/>
              </w:rPr>
              <w:t>无法得到客户端的DUID和IAID时，需要抓包DHCPv6交互报文获取DUID和IAID值</w:t>
            </w:r>
          </w:p>
        </w:tc>
      </w:tr>
    </w:tbl>
    <w:p w14:paraId="0C91C65B"/>
    <w:p w14:paraId="4F7352FF">
      <w:r>
        <w:t>点击&lt;提交&gt;，提交配置。</w:t>
      </w:r>
      <w:r>
        <w:rPr>
          <w:rFonts w:hint="eastAsia"/>
        </w:rPr>
        <w:t>提交后可在静态地址分配页面查看配置的IPv</w:t>
      </w:r>
      <w:r>
        <w:t>6</w:t>
      </w:r>
      <w:r>
        <w:rPr>
          <w:rFonts w:hint="eastAsia"/>
        </w:rPr>
        <w:t>静态地址信息</w:t>
      </w:r>
      <w:r>
        <w:t>。</w:t>
      </w:r>
    </w:p>
    <w:p w14:paraId="1643D47C">
      <w:pPr>
        <w:pStyle w:val="188"/>
      </w:pPr>
      <w:bookmarkStart w:id="3298" w:name="_Toc193447637"/>
      <w:r>
        <w:rPr>
          <w:rFonts w:hint="eastAsia"/>
        </w:rPr>
        <w:t>IPv</w:t>
      </w:r>
      <w:r>
        <w:t>6</w:t>
      </w:r>
      <w:r>
        <w:rPr>
          <w:rFonts w:hint="eastAsia"/>
        </w:rPr>
        <w:t>静态地址分配概览</w:t>
      </w:r>
      <w:r>
        <w:t>页面</w:t>
      </w:r>
      <w:bookmarkEnd w:id="3298"/>
    </w:p>
    <w:p w14:paraId="433B5657">
      <w:pPr>
        <w:pStyle w:val="175"/>
      </w:pPr>
      <w:r>
        <w:drawing>
          <wp:inline distT="0" distB="0" distL="0" distR="0">
            <wp:extent cx="5400040" cy="945515"/>
            <wp:effectExtent l="0" t="0" r="0" b="6985"/>
            <wp:docPr id="635" name="图片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图片 635"/>
                    <pic:cNvPicPr>
                      <a:picLocks noChangeAspect="1"/>
                    </pic:cNvPicPr>
                  </pic:nvPicPr>
                  <pic:blipFill>
                    <a:blip r:embed="rId475"/>
                    <a:stretch>
                      <a:fillRect/>
                    </a:stretch>
                  </pic:blipFill>
                  <pic:spPr>
                    <a:xfrm>
                      <a:off x="0" y="0"/>
                      <a:ext cx="5400040" cy="945515"/>
                    </a:xfrm>
                    <a:prstGeom prst="rect">
                      <a:avLst/>
                    </a:prstGeom>
                  </pic:spPr>
                </pic:pic>
              </a:graphicData>
            </a:graphic>
          </wp:inline>
        </w:drawing>
      </w:r>
    </w:p>
    <w:p w14:paraId="566C1169"/>
    <w:p w14:paraId="0AE4BFC4">
      <w:pPr>
        <w:pStyle w:val="5"/>
      </w:pPr>
      <w:bookmarkStart w:id="3299" w:name="_Toc23152608"/>
      <w:bookmarkStart w:id="3300" w:name="_Toc194080837"/>
      <w:bookmarkStart w:id="3301" w:name="_Toc15484842"/>
      <w:bookmarkStart w:id="3302" w:name="_Toc142400976"/>
      <w:bookmarkStart w:id="3303" w:name="_Toc141873460"/>
      <w:bookmarkStart w:id="3304" w:name="_Toc40276041"/>
      <w:bookmarkStart w:id="3305" w:name="_Toc196728169"/>
      <w:bookmarkStart w:id="3306" w:name="_Toc99561537"/>
      <w:bookmarkStart w:id="3307" w:name="_Toc6232144"/>
      <w:bookmarkStart w:id="3308" w:name="_Toc172218210"/>
      <w:bookmarkStart w:id="3309" w:name="_Toc474250017"/>
      <w:r>
        <w:rPr>
          <w:rFonts w:hint="eastAsia"/>
        </w:rPr>
        <w:t>监视器</w:t>
      </w:r>
      <w:bookmarkEnd w:id="3299"/>
      <w:bookmarkEnd w:id="3300"/>
      <w:bookmarkEnd w:id="3301"/>
      <w:bookmarkEnd w:id="3302"/>
      <w:bookmarkEnd w:id="3303"/>
      <w:bookmarkEnd w:id="3304"/>
      <w:bookmarkEnd w:id="3305"/>
      <w:bookmarkEnd w:id="3306"/>
      <w:bookmarkEnd w:id="3307"/>
      <w:bookmarkEnd w:id="3308"/>
      <w:bookmarkEnd w:id="3309"/>
    </w:p>
    <w:p w14:paraId="049D74C9">
      <w:r>
        <w:t>通过菜单网络配置 &gt; 基础网络 &gt; DHCP服务 &gt; 监视器”，进入如</w:t>
      </w:r>
      <w:r>
        <w:fldChar w:fldCharType="begin"/>
      </w:r>
      <w:r>
        <w:instrText xml:space="preserve"> REF _Ref393098130 \r \h  \* MERGEFORMAT </w:instrText>
      </w:r>
      <w:r>
        <w:fldChar w:fldCharType="separate"/>
      </w:r>
      <w:r>
        <w:rPr>
          <w:rFonts w:hint="eastAsia"/>
        </w:rPr>
        <w:t>图11-16</w:t>
      </w:r>
      <w:r>
        <w:fldChar w:fldCharType="end"/>
      </w:r>
      <w:r>
        <w:t>所示页面。在该页面上可以查看IP地址的分配使用情况。表中各项的含义如</w:t>
      </w:r>
      <w:r>
        <w:fldChar w:fldCharType="begin"/>
      </w:r>
      <w:r>
        <w:instrText xml:space="preserve"> REF _Ref393098137 \r \h  \* MERGEFORMAT </w:instrText>
      </w:r>
      <w:r>
        <w:fldChar w:fldCharType="separate"/>
      </w:r>
      <w:r>
        <w:rPr>
          <w:rFonts w:hint="eastAsia"/>
        </w:rPr>
        <w:t>表11-1</w:t>
      </w:r>
      <w:r>
        <w:fldChar w:fldCharType="end"/>
      </w:r>
      <w:r>
        <w:t>所示。</w:t>
      </w:r>
    </w:p>
    <w:p w14:paraId="2795E770">
      <w:pPr>
        <w:pStyle w:val="188"/>
      </w:pPr>
      <w:bookmarkStart w:id="3310" w:name="_Ref393098130"/>
      <w:bookmarkStart w:id="3311" w:name="_Toc141874688"/>
      <w:r>
        <w:t>监视器页面</w:t>
      </w:r>
      <w:bookmarkEnd w:id="3310"/>
      <w:bookmarkEnd w:id="3311"/>
    </w:p>
    <w:p w14:paraId="3CDC71CE">
      <w:r>
        <w:drawing>
          <wp:inline distT="0" distB="0" distL="0" distR="0">
            <wp:extent cx="5476875" cy="847725"/>
            <wp:effectExtent l="0" t="0" r="0" b="9525"/>
            <wp:docPr id="1240" name="图片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 name="图片 1240"/>
                    <pic:cNvPicPr>
                      <a:picLocks noChangeAspect="1"/>
                    </pic:cNvPicPr>
                  </pic:nvPicPr>
                  <pic:blipFill>
                    <a:blip r:embed="rId476"/>
                    <a:stretch>
                      <a:fillRect/>
                    </a:stretch>
                  </pic:blipFill>
                  <pic:spPr>
                    <a:xfrm>
                      <a:off x="0" y="0"/>
                      <a:ext cx="5510483" cy="852956"/>
                    </a:xfrm>
                    <a:prstGeom prst="rect">
                      <a:avLst/>
                    </a:prstGeom>
                  </pic:spPr>
                </pic:pic>
              </a:graphicData>
            </a:graphic>
          </wp:inline>
        </w:drawing>
      </w:r>
    </w:p>
    <w:p w14:paraId="7006B590"/>
    <w:p w14:paraId="4C704B53">
      <w:pPr>
        <w:pStyle w:val="183"/>
      </w:pPr>
      <w:bookmarkStart w:id="3312" w:name="_Toc141875530"/>
      <w:bookmarkStart w:id="3313" w:name="_Ref393098137"/>
      <w:r>
        <w:t>监视器各项含义描述表</w:t>
      </w:r>
      <w:bookmarkEnd w:id="3312"/>
      <w:bookmarkEnd w:id="3313"/>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4"/>
        <w:gridCol w:w="6634"/>
      </w:tblGrid>
      <w:tr w14:paraId="70B5D5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tcBorders>
              <w:tl2br w:val="nil"/>
              <w:tr2bl w:val="nil"/>
            </w:tcBorders>
            <w:shd w:val="clear" w:color="auto" w:fill="538135" w:themeFill="accent6" w:themeFillShade="BF"/>
            <w:vAlign w:val="center"/>
          </w:tcPr>
          <w:p w14:paraId="0B068C4B">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84" w:type="dxa"/>
            <w:tcBorders>
              <w:tl2br w:val="nil"/>
              <w:tr2bl w:val="nil"/>
            </w:tcBorders>
            <w:shd w:val="clear" w:color="auto" w:fill="538135" w:themeFill="accent6" w:themeFillShade="BF"/>
            <w:vAlign w:val="center"/>
          </w:tcPr>
          <w:p w14:paraId="1540C442">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B3AD0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0ACC217D">
            <w:pPr>
              <w:pStyle w:val="186"/>
              <w:widowControl w:val="0"/>
              <w:spacing w:line="240" w:lineRule="auto"/>
              <w:ind w:firstLine="0"/>
              <w:jc w:val="left"/>
            </w:pPr>
            <w:r>
              <w:rPr>
                <w:rFonts w:hint="eastAsia"/>
              </w:rPr>
              <w:t>IP地址</w:t>
            </w:r>
          </w:p>
        </w:tc>
        <w:tc>
          <w:tcPr>
            <w:tcW w:w="6684" w:type="dxa"/>
            <w:shd w:val="clear" w:color="auto" w:fill="auto"/>
          </w:tcPr>
          <w:p w14:paraId="542D5C4D">
            <w:pPr>
              <w:pStyle w:val="186"/>
              <w:widowControl w:val="0"/>
              <w:spacing w:line="240" w:lineRule="auto"/>
              <w:ind w:firstLine="0"/>
              <w:jc w:val="left"/>
            </w:pPr>
            <w:r>
              <w:rPr>
                <w:rFonts w:hint="eastAsia"/>
              </w:rPr>
              <w:t>已分配正在使用的IP地址。</w:t>
            </w:r>
          </w:p>
        </w:tc>
      </w:tr>
      <w:tr w14:paraId="73059B2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4A4BCFD9">
            <w:pPr>
              <w:pStyle w:val="186"/>
              <w:widowControl w:val="0"/>
              <w:spacing w:line="240" w:lineRule="auto"/>
              <w:ind w:firstLine="0"/>
              <w:jc w:val="left"/>
            </w:pPr>
            <w:r>
              <w:rPr>
                <w:rFonts w:hint="eastAsia"/>
              </w:rPr>
              <w:t>MAC地址</w:t>
            </w:r>
          </w:p>
        </w:tc>
        <w:tc>
          <w:tcPr>
            <w:tcW w:w="6684" w:type="dxa"/>
            <w:shd w:val="clear" w:color="auto" w:fill="auto"/>
          </w:tcPr>
          <w:p w14:paraId="597184EF">
            <w:pPr>
              <w:pStyle w:val="186"/>
              <w:widowControl w:val="0"/>
              <w:spacing w:line="240" w:lineRule="auto"/>
              <w:ind w:firstLine="0"/>
              <w:jc w:val="left"/>
            </w:pPr>
            <w:r>
              <w:rPr>
                <w:rFonts w:hint="eastAsia"/>
              </w:rPr>
              <w:t>已分配正在使用的IP地址对应的MAC地址。</w:t>
            </w:r>
          </w:p>
        </w:tc>
      </w:tr>
      <w:tr w14:paraId="1C5C4B4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391D9782">
            <w:pPr>
              <w:pStyle w:val="186"/>
              <w:widowControl w:val="0"/>
              <w:spacing w:line="240" w:lineRule="auto"/>
              <w:ind w:firstLine="0"/>
              <w:jc w:val="left"/>
            </w:pPr>
            <w:r>
              <w:rPr>
                <w:rFonts w:hint="eastAsia"/>
              </w:rPr>
              <w:t>开始时间</w:t>
            </w:r>
          </w:p>
        </w:tc>
        <w:tc>
          <w:tcPr>
            <w:tcW w:w="6684" w:type="dxa"/>
            <w:shd w:val="clear" w:color="auto" w:fill="auto"/>
          </w:tcPr>
          <w:p w14:paraId="3F4A3191">
            <w:pPr>
              <w:pStyle w:val="186"/>
              <w:widowControl w:val="0"/>
              <w:spacing w:line="240" w:lineRule="auto"/>
              <w:ind w:firstLine="0"/>
              <w:jc w:val="left"/>
            </w:pPr>
            <w:r>
              <w:rPr>
                <w:rFonts w:hint="eastAsia"/>
              </w:rPr>
              <w:t>已分配正在使用的IP地址的开始使用时间。</w:t>
            </w:r>
          </w:p>
        </w:tc>
      </w:tr>
      <w:tr w14:paraId="4C6D36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1BC01D0A">
            <w:pPr>
              <w:pStyle w:val="186"/>
              <w:widowControl w:val="0"/>
              <w:spacing w:line="240" w:lineRule="auto"/>
              <w:ind w:firstLine="0"/>
              <w:jc w:val="left"/>
            </w:pPr>
            <w:r>
              <w:rPr>
                <w:rFonts w:hint="eastAsia"/>
              </w:rPr>
              <w:t>结束时间</w:t>
            </w:r>
          </w:p>
        </w:tc>
        <w:tc>
          <w:tcPr>
            <w:tcW w:w="6684" w:type="dxa"/>
            <w:shd w:val="clear" w:color="auto" w:fill="auto"/>
          </w:tcPr>
          <w:p w14:paraId="3426B7FD">
            <w:pPr>
              <w:pStyle w:val="186"/>
              <w:widowControl w:val="0"/>
              <w:spacing w:line="240" w:lineRule="auto"/>
              <w:ind w:firstLine="0"/>
              <w:jc w:val="left"/>
            </w:pPr>
            <w:r>
              <w:rPr>
                <w:rFonts w:hint="eastAsia"/>
              </w:rPr>
              <w:t>已分配正在使用的IP地址的回收时间。</w:t>
            </w:r>
          </w:p>
        </w:tc>
      </w:tr>
    </w:tbl>
    <w:p w14:paraId="14E22AE0"/>
    <w:p w14:paraId="43938CFF">
      <w:r>
        <w:t>点击&lt;清除&gt;按钮，可以清除已分配的IP地址。</w:t>
      </w:r>
    </w:p>
    <w:p w14:paraId="0E94E044">
      <w:pPr>
        <w:pStyle w:val="4"/>
      </w:pPr>
      <w:bookmarkStart w:id="3314" w:name="_Toc99561539"/>
      <w:bookmarkStart w:id="3315" w:name="_Toc14951567"/>
      <w:bookmarkStart w:id="3316" w:name="_Toc142400977"/>
      <w:bookmarkStart w:id="3317" w:name="_Toc194080838"/>
      <w:bookmarkStart w:id="3318" w:name="_Toc40276045"/>
      <w:bookmarkStart w:id="3319" w:name="_Toc15484846"/>
      <w:bookmarkStart w:id="3320" w:name="_Toc474250003"/>
      <w:bookmarkStart w:id="3321" w:name="_Toc23152612"/>
      <w:bookmarkStart w:id="3322" w:name="_Toc141873461"/>
      <w:bookmarkStart w:id="3323" w:name="_Toc172218211"/>
      <w:bookmarkStart w:id="3324" w:name="_Toc196728170"/>
      <w:r>
        <w:rPr>
          <w:rFonts w:hint="eastAsia"/>
        </w:rPr>
        <w:t>DNS</w:t>
      </w:r>
      <w:bookmarkEnd w:id="3314"/>
      <w:bookmarkEnd w:id="3315"/>
      <w:bookmarkEnd w:id="3316"/>
      <w:bookmarkEnd w:id="3317"/>
      <w:bookmarkEnd w:id="3318"/>
      <w:bookmarkEnd w:id="3319"/>
      <w:bookmarkEnd w:id="3320"/>
      <w:bookmarkEnd w:id="3321"/>
      <w:bookmarkEnd w:id="3322"/>
      <w:bookmarkEnd w:id="3323"/>
      <w:bookmarkEnd w:id="3324"/>
    </w:p>
    <w:p w14:paraId="006C4B14">
      <w:pPr>
        <w:pStyle w:val="5"/>
      </w:pPr>
      <w:bookmarkStart w:id="3325" w:name="_Toc196728171"/>
      <w:bookmarkStart w:id="3326" w:name="_Toc474250004"/>
      <w:bookmarkStart w:id="3327" w:name="_Toc23152613"/>
      <w:bookmarkStart w:id="3328" w:name="_Toc141873462"/>
      <w:bookmarkStart w:id="3329" w:name="_Toc99561540"/>
      <w:bookmarkStart w:id="3330" w:name="_Toc15484847"/>
      <w:bookmarkStart w:id="3331" w:name="_Toc142400978"/>
      <w:bookmarkStart w:id="3332" w:name="_Toc194080839"/>
      <w:bookmarkStart w:id="3333" w:name="_Toc172218212"/>
      <w:bookmarkStart w:id="3334" w:name="_Toc14951568"/>
      <w:bookmarkStart w:id="3335" w:name="_Toc40276046"/>
      <w:r>
        <w:rPr>
          <w:rFonts w:hint="eastAsia"/>
        </w:rPr>
        <w:t>DNS简介</w:t>
      </w:r>
      <w:bookmarkEnd w:id="3325"/>
      <w:bookmarkEnd w:id="3326"/>
      <w:bookmarkEnd w:id="3327"/>
      <w:bookmarkEnd w:id="3328"/>
      <w:bookmarkEnd w:id="3329"/>
      <w:bookmarkEnd w:id="3330"/>
      <w:bookmarkEnd w:id="3331"/>
      <w:bookmarkEnd w:id="3332"/>
      <w:bookmarkEnd w:id="3333"/>
      <w:bookmarkEnd w:id="3334"/>
      <w:bookmarkEnd w:id="3335"/>
    </w:p>
    <w:p w14:paraId="5588DE7C">
      <w:r>
        <w:t>DNS（Domain Name System，域名系统），</w:t>
      </w:r>
      <w:r>
        <w:rPr>
          <w:rFonts w:hint="eastAsia"/>
        </w:rPr>
        <w:t>在互联网上网站域名与IP地址之间是一对一或一对多的关系。域名虽然便于记忆，但主机之间只能互相识别IP地址，域名与IP之间的转换工作称为域名解析。DNS服务用于将互联网上的网站域名解析为IP地址，使用户无需记忆可被主机直接读取的IP地址就可以方便地访问互联网</w:t>
      </w:r>
      <w:r>
        <w:t>。</w:t>
      </w:r>
    </w:p>
    <w:p w14:paraId="7ECC18EE">
      <w:r>
        <w:t>本功能具有如下功能点</w:t>
      </w:r>
      <w:r>
        <w:rPr>
          <w:rFonts w:hint="eastAsia"/>
        </w:rPr>
        <w:t>：</w:t>
      </w:r>
    </w:p>
    <w:p w14:paraId="76E55E9D">
      <w:r>
        <w:rPr>
          <w:rFonts w:hint="eastAsia"/>
        </w:rPr>
        <w:t>能够根据用户的DNS请求，从本地查找DNS缓存，然后对用户的请求做出应答。</w:t>
      </w:r>
    </w:p>
    <w:p w14:paraId="586BAC7D">
      <w:r>
        <w:rPr>
          <w:rFonts w:hint="eastAsia"/>
        </w:rPr>
        <w:t>能够向配置的远端DNS server请求，然后对用户的请求做出应答。</w:t>
      </w:r>
    </w:p>
    <w:p w14:paraId="35C51033">
      <w:r>
        <w:t>能够手动配置</w:t>
      </w:r>
      <w:r>
        <w:rPr>
          <w:rFonts w:hint="eastAsia"/>
        </w:rPr>
        <w:t>DNS域名，方便对一些IP地址的访问。</w:t>
      </w:r>
    </w:p>
    <w:p w14:paraId="640B57BB">
      <w:r>
        <w:rPr>
          <w:rFonts w:hint="eastAsia"/>
        </w:rPr>
        <w:t>能够对设备本身的DNS请求，做出DNS域名解析。</w:t>
      </w:r>
    </w:p>
    <w:p w14:paraId="5C31C9E6"/>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48B2BA98">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6EFAFB8D">
            <w:pPr>
              <w:pStyle w:val="150"/>
              <w:adjustRightInd w:val="0"/>
              <w:snapToGrid w:val="0"/>
              <w:rPr>
                <w:color w:val="auto"/>
              </w:rPr>
            </w:pPr>
            <w:r>
              <w:rPr>
                <w:b/>
                <w:color w:val="auto"/>
              </w:rPr>
              <w:drawing>
                <wp:inline distT="0" distB="0" distL="0" distR="0">
                  <wp:extent cx="283210" cy="283210"/>
                  <wp:effectExtent l="0" t="0" r="2540" b="2540"/>
                  <wp:docPr id="815" name="图片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图片 815"/>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3A401D59">
            <w:pPr>
              <w:pStyle w:val="150"/>
              <w:adjustRightInd w:val="0"/>
              <w:snapToGrid w:val="0"/>
              <w:rPr>
                <w:color w:val="auto"/>
              </w:rPr>
            </w:pPr>
            <w:r>
              <w:rPr>
                <w:rFonts w:hint="eastAsia"/>
                <w:color w:val="auto"/>
              </w:rPr>
              <w:t>DNS模块缓存数量并非无限，可缓存最多条目数根据设备自身的规格而定，并且规格中总存储条目数中，有256条，用于保存静态域名配置。</w:t>
            </w:r>
          </w:p>
        </w:tc>
      </w:tr>
    </w:tbl>
    <w:p w14:paraId="3B5C5CC8">
      <w:bookmarkStart w:id="3336" w:name="_Toc496859970"/>
      <w:bookmarkEnd w:id="3336"/>
      <w:bookmarkStart w:id="3337" w:name="_Toc496859945"/>
      <w:bookmarkEnd w:id="3337"/>
      <w:bookmarkStart w:id="3338" w:name="_Toc496859944"/>
      <w:bookmarkEnd w:id="3338"/>
      <w:bookmarkStart w:id="3339" w:name="_Toc496859946"/>
      <w:bookmarkEnd w:id="3339"/>
      <w:bookmarkStart w:id="3340" w:name="_Toc496859967"/>
      <w:bookmarkEnd w:id="3340"/>
      <w:bookmarkStart w:id="3341" w:name="_Toc496859968"/>
      <w:bookmarkEnd w:id="3341"/>
      <w:bookmarkStart w:id="3342" w:name="_Toc496859943"/>
      <w:bookmarkEnd w:id="3342"/>
      <w:bookmarkStart w:id="3343" w:name="_Toc496859948"/>
      <w:bookmarkEnd w:id="3343"/>
      <w:bookmarkStart w:id="3344" w:name="_Toc496859969"/>
      <w:bookmarkEnd w:id="3344"/>
      <w:bookmarkStart w:id="3345" w:name="_Toc496859947"/>
      <w:bookmarkEnd w:id="3345"/>
      <w:bookmarkStart w:id="3346" w:name="_Toc496859971"/>
      <w:bookmarkEnd w:id="3346"/>
      <w:bookmarkStart w:id="3347" w:name="_Toc496859976"/>
      <w:bookmarkEnd w:id="3347"/>
      <w:bookmarkStart w:id="3348" w:name="_Toc496859975"/>
      <w:bookmarkEnd w:id="3348"/>
      <w:bookmarkStart w:id="3349" w:name="_Toc496859974"/>
      <w:bookmarkEnd w:id="3349"/>
      <w:bookmarkStart w:id="3350" w:name="_Toc496859972"/>
      <w:bookmarkEnd w:id="3350"/>
      <w:bookmarkStart w:id="3351" w:name="_Toc496859973"/>
      <w:bookmarkEnd w:id="3351"/>
      <w:bookmarkStart w:id="3352" w:name="_Toc496859977"/>
      <w:bookmarkEnd w:id="3352"/>
      <w:bookmarkStart w:id="3353" w:name="_Toc493773768"/>
      <w:bookmarkStart w:id="3354" w:name="_Toc494180416"/>
    </w:p>
    <w:p w14:paraId="61604490">
      <w:r>
        <w:rPr>
          <w:rFonts w:hint="eastAsia"/>
        </w:rPr>
        <w:t>设备支持域名管理、动态缓存、特定域名、透明代理和全局代理，并支持基于匹配条件的DNS代理策略。</w:t>
      </w:r>
    </w:p>
    <w:p w14:paraId="45333555">
      <w:pPr>
        <w:pStyle w:val="5"/>
      </w:pPr>
      <w:bookmarkStart w:id="3355" w:name="_Toc194080840"/>
      <w:bookmarkStart w:id="3356" w:name="_Toc172218213"/>
      <w:bookmarkStart w:id="3357" w:name="_Toc196728172"/>
      <w:r>
        <w:t>DNS</w:t>
      </w:r>
      <w:r>
        <w:rPr>
          <w:rFonts w:hint="eastAsia"/>
        </w:rPr>
        <w:t>代理策略</w:t>
      </w:r>
      <w:bookmarkEnd w:id="3355"/>
      <w:bookmarkEnd w:id="3356"/>
      <w:bookmarkEnd w:id="3357"/>
    </w:p>
    <w:p w14:paraId="5891E2BB">
      <w:r>
        <w:rPr>
          <w:rFonts w:hint="eastAsia"/>
        </w:rPr>
        <w:t>通过DNS代理策略可以针对匹配条件的用户，执行特定的动作，进行特定的业务处理，实现精细化的DNS业务管控。而域名管理、特定域名解析及DNS透明代理针对的所有用户，优先级顺序为：DNS代理策略&gt;DNS透明代理&gt;DNS服务器。</w:t>
      </w:r>
    </w:p>
    <w:p w14:paraId="6FB40C81">
      <w:pPr>
        <w:pStyle w:val="162"/>
      </w:pPr>
      <w:r>
        <w:rPr>
          <w:rFonts w:hint="eastAsia"/>
        </w:rPr>
        <w:t>DNS代理策略的匹配条件支持用户、源目地址、时间和接口，匹配后的动作支持：放行、解析为IP、重定向至DNS服务器、重定向至制定线路和丢弃。</w:t>
      </w:r>
    </w:p>
    <w:p w14:paraId="69509245">
      <w:pPr>
        <w:pStyle w:val="162"/>
      </w:pPr>
      <w:r>
        <w:rPr>
          <w:rFonts w:hint="eastAsia"/>
        </w:rPr>
        <w:t>DNS代理策略支持透明桥模式。</w:t>
      </w:r>
    </w:p>
    <w:p w14:paraId="53084000">
      <w:r>
        <w:rPr>
          <w:rFonts w:hint="eastAsia"/>
        </w:rPr>
        <w:t>DNS代理策略的配置步骤如下：</w:t>
      </w:r>
    </w:p>
    <w:p w14:paraId="7E8C1F28">
      <w:pPr>
        <w:pStyle w:val="202"/>
        <w:rPr>
          <w:lang w:eastAsia="zh-CN"/>
        </w:rPr>
      </w:pPr>
      <w:r>
        <w:rPr>
          <w:rFonts w:hint="eastAsia"/>
          <w:lang w:eastAsia="zh-CN"/>
        </w:rPr>
        <w:t>在导航栏中选择“网络配置 &gt; 基础网络 &gt; DNS服务 &gt; DNS代理策略”，查看设备上配置的DNS代理策略。</w:t>
      </w:r>
    </w:p>
    <w:p w14:paraId="60943598">
      <w:pPr>
        <w:pStyle w:val="188"/>
      </w:pPr>
      <w:r>
        <w:rPr>
          <w:rFonts w:hint="eastAsia"/>
        </w:rPr>
        <w:t>DNS代理策略显示页面</w:t>
      </w:r>
    </w:p>
    <w:p w14:paraId="30D8EFFF">
      <w:pPr>
        <w:pStyle w:val="175"/>
      </w:pPr>
      <w:r>
        <w:drawing>
          <wp:inline distT="0" distB="0" distL="0" distR="0">
            <wp:extent cx="5600700" cy="827405"/>
            <wp:effectExtent l="0" t="0" r="0" b="0"/>
            <wp:docPr id="1296485363" name="图片 1296485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63" name="图片 1296485363"/>
                    <pic:cNvPicPr>
                      <a:picLocks noChangeAspect="1"/>
                    </pic:cNvPicPr>
                  </pic:nvPicPr>
                  <pic:blipFill>
                    <a:blip r:embed="rId477"/>
                    <a:stretch>
                      <a:fillRect/>
                    </a:stretch>
                  </pic:blipFill>
                  <pic:spPr>
                    <a:xfrm>
                      <a:off x="0" y="0"/>
                      <a:ext cx="5626767" cy="831260"/>
                    </a:xfrm>
                    <a:prstGeom prst="rect">
                      <a:avLst/>
                    </a:prstGeom>
                  </pic:spPr>
                </pic:pic>
              </a:graphicData>
            </a:graphic>
          </wp:inline>
        </w:drawing>
      </w:r>
    </w:p>
    <w:p w14:paraId="0D7BD312"/>
    <w:p w14:paraId="625D0D50">
      <w:pPr>
        <w:pStyle w:val="202"/>
        <w:rPr>
          <w:lang w:eastAsia="zh-CN"/>
        </w:rPr>
      </w:pPr>
      <w:r>
        <w:rPr>
          <w:rFonts w:hint="eastAsia"/>
          <w:lang w:eastAsia="zh-CN"/>
        </w:rPr>
        <w:t>点击&lt;新建&gt;，编辑相关信息，点击&lt;提交&gt;。</w:t>
      </w:r>
    </w:p>
    <w:p w14:paraId="26D4A39C">
      <w:pPr>
        <w:pStyle w:val="188"/>
      </w:pPr>
      <w:r>
        <w:rPr>
          <w:rFonts w:hint="eastAsia"/>
        </w:rPr>
        <w:t>DNS代理策略配置页面</w:t>
      </w:r>
    </w:p>
    <w:p w14:paraId="46956094">
      <w:r>
        <w:drawing>
          <wp:inline distT="0" distB="0" distL="0" distR="0">
            <wp:extent cx="5181600" cy="4257040"/>
            <wp:effectExtent l="0" t="0" r="0" b="0"/>
            <wp:docPr id="423"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423"/>
                    <pic:cNvPicPr>
                      <a:picLocks noChangeAspect="1"/>
                    </pic:cNvPicPr>
                  </pic:nvPicPr>
                  <pic:blipFill>
                    <a:blip r:embed="rId478"/>
                    <a:stretch>
                      <a:fillRect/>
                    </a:stretch>
                  </pic:blipFill>
                  <pic:spPr>
                    <a:xfrm>
                      <a:off x="0" y="0"/>
                      <a:ext cx="5185360" cy="4260613"/>
                    </a:xfrm>
                    <a:prstGeom prst="rect">
                      <a:avLst/>
                    </a:prstGeom>
                  </pic:spPr>
                </pic:pic>
              </a:graphicData>
            </a:graphic>
          </wp:inline>
        </w:drawing>
      </w:r>
    </w:p>
    <w:p w14:paraId="6BA6DD7D"/>
    <w:p w14:paraId="7B8BE870">
      <w:r>
        <w:rPr>
          <w:rFonts w:hint="eastAsia"/>
        </w:rPr>
        <w:t>详细配置请参见下表。</w:t>
      </w:r>
    </w:p>
    <w:p w14:paraId="4160FD69">
      <w:pPr>
        <w:pStyle w:val="183"/>
      </w:pPr>
      <w:r>
        <w:rPr>
          <w:rFonts w:hint="eastAsia"/>
        </w:rPr>
        <w:t>DNS代理策略配置详细说明</w:t>
      </w:r>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790"/>
        <w:gridCol w:w="7224"/>
      </w:tblGrid>
      <w:tr w14:paraId="22F5A53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90" w:type="dxa"/>
            <w:tcBorders>
              <w:tl2br w:val="nil"/>
              <w:tr2bl w:val="nil"/>
            </w:tcBorders>
            <w:shd w:val="clear" w:color="auto" w:fill="538135" w:themeFill="accent6" w:themeFillShade="BF"/>
            <w:vAlign w:val="center"/>
          </w:tcPr>
          <w:p w14:paraId="40E66E33">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参数</w:t>
            </w:r>
          </w:p>
        </w:tc>
        <w:tc>
          <w:tcPr>
            <w:tcW w:w="7224" w:type="dxa"/>
            <w:tcBorders>
              <w:tl2br w:val="nil"/>
              <w:tr2bl w:val="nil"/>
            </w:tcBorders>
            <w:shd w:val="clear" w:color="auto" w:fill="538135" w:themeFill="accent6" w:themeFillShade="BF"/>
            <w:vAlign w:val="center"/>
          </w:tcPr>
          <w:p w14:paraId="631E7830">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9CE094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90" w:type="dxa"/>
            <w:shd w:val="clear" w:color="auto" w:fill="auto"/>
          </w:tcPr>
          <w:p w14:paraId="44D0691A">
            <w:pPr>
              <w:pStyle w:val="186"/>
              <w:widowControl w:val="0"/>
              <w:spacing w:line="240" w:lineRule="auto"/>
              <w:ind w:firstLine="0"/>
              <w:jc w:val="left"/>
            </w:pPr>
            <w:r>
              <w:rPr>
                <w:rFonts w:hint="eastAsia"/>
              </w:rPr>
              <w:t>启用</w:t>
            </w:r>
          </w:p>
        </w:tc>
        <w:tc>
          <w:tcPr>
            <w:tcW w:w="7224" w:type="dxa"/>
            <w:shd w:val="clear" w:color="auto" w:fill="auto"/>
          </w:tcPr>
          <w:p w14:paraId="0A5CEBC8">
            <w:pPr>
              <w:pStyle w:val="186"/>
              <w:widowControl w:val="0"/>
              <w:spacing w:line="240" w:lineRule="auto"/>
              <w:ind w:firstLine="0"/>
              <w:jc w:val="left"/>
            </w:pPr>
            <w:r>
              <w:rPr>
                <w:rFonts w:hint="eastAsia"/>
              </w:rPr>
              <w:t>勾选复选框在创建完成后立即启用该条策略。</w:t>
            </w:r>
          </w:p>
        </w:tc>
      </w:tr>
      <w:tr w14:paraId="12782E3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90" w:type="dxa"/>
            <w:shd w:val="clear" w:color="auto" w:fill="auto"/>
          </w:tcPr>
          <w:p w14:paraId="60460C41">
            <w:pPr>
              <w:pStyle w:val="186"/>
              <w:widowControl w:val="0"/>
              <w:spacing w:line="240" w:lineRule="auto"/>
              <w:ind w:firstLine="0"/>
              <w:jc w:val="left"/>
            </w:pPr>
            <w:r>
              <w:rPr>
                <w:rFonts w:hint="eastAsia"/>
              </w:rPr>
              <w:t>策略名</w:t>
            </w:r>
          </w:p>
        </w:tc>
        <w:tc>
          <w:tcPr>
            <w:tcW w:w="7224" w:type="dxa"/>
            <w:shd w:val="clear" w:color="auto" w:fill="auto"/>
          </w:tcPr>
          <w:p w14:paraId="7A510D4D">
            <w:pPr>
              <w:pStyle w:val="186"/>
              <w:widowControl w:val="0"/>
              <w:spacing w:line="240" w:lineRule="auto"/>
              <w:ind w:firstLine="0"/>
              <w:jc w:val="left"/>
            </w:pPr>
            <w:r>
              <w:rPr>
                <w:rFonts w:hint="eastAsia" w:ascii="Times New Roman" w:hAnsi="Times New Roman"/>
              </w:rPr>
              <w:t>输入DNS代理策略的名称。1~</w:t>
            </w:r>
            <w:r>
              <w:rPr>
                <w:rFonts w:ascii="Times New Roman" w:hAnsi="Times New Roman"/>
              </w:rPr>
              <w:t>63</w:t>
            </w:r>
            <w:r>
              <w:rPr>
                <w:rFonts w:hint="eastAsia" w:ascii="Times New Roman" w:hAnsi="Times New Roman"/>
              </w:rPr>
              <w:t>字符。</w:t>
            </w:r>
          </w:p>
        </w:tc>
      </w:tr>
      <w:tr w14:paraId="73E764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90" w:type="dxa"/>
            <w:shd w:val="clear" w:color="auto" w:fill="auto"/>
          </w:tcPr>
          <w:p w14:paraId="27910B4F">
            <w:pPr>
              <w:pStyle w:val="186"/>
              <w:widowControl w:val="0"/>
              <w:spacing w:line="240" w:lineRule="auto"/>
              <w:ind w:firstLine="0"/>
              <w:jc w:val="left"/>
            </w:pPr>
            <w:r>
              <w:rPr>
                <w:rFonts w:hint="eastAsia"/>
              </w:rPr>
              <w:t>描述</w:t>
            </w:r>
          </w:p>
        </w:tc>
        <w:tc>
          <w:tcPr>
            <w:tcW w:w="7224" w:type="dxa"/>
            <w:shd w:val="clear" w:color="auto" w:fill="auto"/>
          </w:tcPr>
          <w:p w14:paraId="026B92B2">
            <w:pPr>
              <w:pStyle w:val="186"/>
              <w:widowControl w:val="0"/>
              <w:spacing w:line="240" w:lineRule="auto"/>
              <w:ind w:firstLine="0"/>
              <w:jc w:val="left"/>
            </w:pPr>
            <w:r>
              <w:rPr>
                <w:rFonts w:hint="eastAsia"/>
              </w:rPr>
              <w:t>输入</w:t>
            </w:r>
            <w:r>
              <w:rPr>
                <w:rFonts w:hint="eastAsia" w:ascii="Times New Roman" w:hAnsi="Times New Roman"/>
              </w:rPr>
              <w:t>DNS代理</w:t>
            </w:r>
            <w:r>
              <w:rPr>
                <w:rFonts w:hint="eastAsia"/>
              </w:rPr>
              <w:t>策略的描述信息（可选）。</w:t>
            </w:r>
          </w:p>
        </w:tc>
      </w:tr>
      <w:tr w14:paraId="54AF97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90" w:type="dxa"/>
            <w:shd w:val="clear" w:color="auto" w:fill="auto"/>
          </w:tcPr>
          <w:p w14:paraId="0F0B0253">
            <w:pPr>
              <w:pStyle w:val="186"/>
              <w:widowControl w:val="0"/>
              <w:spacing w:line="240" w:lineRule="auto"/>
              <w:ind w:firstLine="0"/>
              <w:jc w:val="left"/>
            </w:pPr>
            <w:r>
              <w:rPr>
                <w:rFonts w:hint="eastAsia"/>
              </w:rPr>
              <w:t>匹配条件</w:t>
            </w:r>
          </w:p>
        </w:tc>
        <w:tc>
          <w:tcPr>
            <w:tcW w:w="7224" w:type="dxa"/>
            <w:shd w:val="clear" w:color="auto" w:fill="auto"/>
          </w:tcPr>
          <w:p w14:paraId="3464F24F">
            <w:pPr>
              <w:pStyle w:val="186"/>
              <w:widowControl w:val="0"/>
              <w:spacing w:line="240" w:lineRule="auto"/>
              <w:ind w:firstLine="0"/>
              <w:jc w:val="left"/>
            </w:pPr>
            <w:r>
              <w:rPr>
                <w:rFonts w:hint="eastAsia"/>
              </w:rPr>
              <w:t>基于用户/用户组、源地址、目的地址、时间、入接口及访问的域名对DNS报文进行匹配，对匹配的流量执行策略中指定的动作。</w:t>
            </w:r>
          </w:p>
          <w:p w14:paraId="1FB09778">
            <w:pPr>
              <w:pStyle w:val="186"/>
              <w:widowControl w:val="0"/>
              <w:spacing w:line="240" w:lineRule="auto"/>
              <w:ind w:firstLine="0"/>
              <w:jc w:val="left"/>
            </w:pPr>
            <w:r>
              <w:rPr>
                <w:rFonts w:hint="eastAsia"/>
              </w:rPr>
              <w:t>未匹配DNS代理策略的报文，继续执行DNS透明代理和DNS服务器的处理流程。</w:t>
            </w:r>
          </w:p>
        </w:tc>
      </w:tr>
      <w:tr w14:paraId="52BC3D7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90" w:type="dxa"/>
            <w:shd w:val="clear" w:color="auto" w:fill="auto"/>
          </w:tcPr>
          <w:p w14:paraId="6F44CFB5">
            <w:pPr>
              <w:pStyle w:val="186"/>
              <w:widowControl w:val="0"/>
              <w:spacing w:line="240" w:lineRule="auto"/>
              <w:ind w:firstLine="0"/>
              <w:jc w:val="left"/>
            </w:pPr>
            <w:r>
              <w:rPr>
                <w:rFonts w:hint="eastAsia"/>
              </w:rPr>
              <w:t>执行动作</w:t>
            </w:r>
          </w:p>
        </w:tc>
        <w:tc>
          <w:tcPr>
            <w:tcW w:w="7224" w:type="dxa"/>
            <w:shd w:val="clear" w:color="auto" w:fill="auto"/>
          </w:tcPr>
          <w:p w14:paraId="3DE137FC">
            <w:pPr>
              <w:pStyle w:val="186"/>
              <w:widowControl w:val="0"/>
              <w:spacing w:line="240" w:lineRule="auto"/>
              <w:ind w:firstLine="0"/>
              <w:jc w:val="left"/>
            </w:pPr>
            <w:r>
              <w:rPr>
                <w:rFonts w:hint="eastAsia"/>
              </w:rPr>
              <w:t>匹配到DNS代理策略后执行的动作，支持以下几种：</w:t>
            </w:r>
          </w:p>
          <w:p w14:paraId="042D8150">
            <w:pPr>
              <w:pStyle w:val="207"/>
              <w:numPr>
                <w:ilvl w:val="0"/>
                <w:numId w:val="24"/>
              </w:numPr>
              <w:rPr>
                <w:lang w:eastAsia="zh-CN"/>
              </w:rPr>
            </w:pPr>
            <w:r>
              <w:rPr>
                <w:rFonts w:hint="eastAsia"/>
                <w:lang w:eastAsia="zh-CN"/>
              </w:rPr>
              <w:t>放行：对符合匹配条件的DNS报文直接路由转发（报文源目IP不变）。</w:t>
            </w:r>
          </w:p>
          <w:p w14:paraId="60C68778">
            <w:pPr>
              <w:pStyle w:val="207"/>
              <w:numPr>
                <w:ilvl w:val="0"/>
                <w:numId w:val="24"/>
              </w:numPr>
              <w:rPr>
                <w:lang w:eastAsia="zh-CN"/>
              </w:rPr>
            </w:pPr>
            <w:r>
              <w:rPr>
                <w:rFonts w:hint="eastAsia"/>
                <w:lang w:eastAsia="zh-CN"/>
              </w:rPr>
              <w:t>解析为IP：对应“域名管理”功能，解析DNS域名为指定IP。</w:t>
            </w:r>
          </w:p>
          <w:p w14:paraId="3B47E348">
            <w:pPr>
              <w:pStyle w:val="207"/>
              <w:numPr>
                <w:ilvl w:val="0"/>
                <w:numId w:val="24"/>
              </w:numPr>
              <w:rPr>
                <w:lang w:eastAsia="zh-CN"/>
              </w:rPr>
            </w:pPr>
            <w:r>
              <w:rPr>
                <w:rFonts w:hint="eastAsia"/>
                <w:lang w:eastAsia="zh-CN"/>
              </w:rPr>
              <w:t>重定向至DNS服务器：对应“特定域名解析”，指定域名使用特定的DNS服务器解析。</w:t>
            </w:r>
          </w:p>
          <w:p w14:paraId="4FE70F15">
            <w:pPr>
              <w:pStyle w:val="207"/>
              <w:numPr>
                <w:ilvl w:val="0"/>
                <w:numId w:val="24"/>
              </w:numPr>
              <w:rPr>
                <w:lang w:eastAsia="zh-CN"/>
              </w:rPr>
            </w:pPr>
            <w:r>
              <w:rPr>
                <w:rFonts w:hint="eastAsia"/>
                <w:lang w:eastAsia="zh-CN"/>
              </w:rPr>
              <w:t>重定向至指定线路：DNS透明代理，指定DNS报文的出接口</w:t>
            </w:r>
          </w:p>
          <w:p w14:paraId="6E3A6EDE">
            <w:pPr>
              <w:pStyle w:val="207"/>
              <w:numPr>
                <w:ilvl w:val="0"/>
                <w:numId w:val="24"/>
              </w:numPr>
              <w:rPr>
                <w:lang w:eastAsia="zh-CN"/>
              </w:rPr>
            </w:pPr>
            <w:r>
              <w:rPr>
                <w:rFonts w:hint="eastAsia"/>
                <w:lang w:eastAsia="zh-CN"/>
              </w:rPr>
              <w:t>丢弃：对符合匹配条件的DNS报文丢弃</w:t>
            </w:r>
          </w:p>
        </w:tc>
      </w:tr>
    </w:tbl>
    <w:p w14:paraId="1A8F2A7E"/>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4C8A1043">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08CD112C">
            <w:pPr>
              <w:pStyle w:val="150"/>
              <w:adjustRightInd w:val="0"/>
              <w:snapToGrid w:val="0"/>
              <w:rPr>
                <w:color w:val="auto"/>
              </w:rPr>
            </w:pPr>
            <w:r>
              <w:rPr>
                <w:b/>
                <w:color w:val="auto"/>
              </w:rPr>
              <w:drawing>
                <wp:inline distT="0" distB="0" distL="0" distR="0">
                  <wp:extent cx="283210" cy="283210"/>
                  <wp:effectExtent l="0" t="0" r="2540" b="2540"/>
                  <wp:docPr id="817" name="图片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图片 81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3E187D42">
            <w:pPr>
              <w:pStyle w:val="150"/>
              <w:adjustRightInd w:val="0"/>
              <w:snapToGrid w:val="0"/>
              <w:rPr>
                <w:color w:val="auto"/>
              </w:rPr>
            </w:pPr>
            <w:r>
              <w:rPr>
                <w:rFonts w:hint="eastAsia"/>
                <w:color w:val="auto"/>
              </w:rPr>
              <w:t>如果动作为为重定向至指定线路，指定线路引用的是DNS代理对象，被策略引用时，DNS代理对象里面的均衡值不生效。</w:t>
            </w:r>
          </w:p>
        </w:tc>
      </w:tr>
    </w:tbl>
    <w:p w14:paraId="0E842300"/>
    <w:p w14:paraId="7E3F68C9">
      <w:r>
        <w:rPr>
          <w:rFonts w:hint="eastAsia"/>
        </w:rPr>
        <w:t>DNS代理策略支持导入、导出功能，点击“导出”按钮可以将设备的DNS代理策略导出至本地，点击“导入”按钮，选择上传的CSV文件，可以批量导入DNS代理策略。</w:t>
      </w:r>
    </w:p>
    <w:p w14:paraId="61A3EEE6">
      <w:pPr>
        <w:pStyle w:val="188"/>
      </w:pPr>
      <w:r>
        <w:rPr>
          <w:rFonts w:hint="eastAsia"/>
        </w:rPr>
        <w:t>导入DNS代理策略页面</w:t>
      </w:r>
    </w:p>
    <w:p w14:paraId="6910EA29">
      <w:pPr>
        <w:pStyle w:val="175"/>
      </w:pPr>
      <w:r>
        <w:drawing>
          <wp:inline distT="0" distB="0" distL="0" distR="0">
            <wp:extent cx="4714875" cy="2122805"/>
            <wp:effectExtent l="0" t="0" r="0" b="0"/>
            <wp:docPr id="435" name="图片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35"/>
                    <pic:cNvPicPr>
                      <a:picLocks noChangeAspect="1"/>
                    </pic:cNvPicPr>
                  </pic:nvPicPr>
                  <pic:blipFill>
                    <a:blip r:embed="rId479"/>
                    <a:stretch>
                      <a:fillRect/>
                    </a:stretch>
                  </pic:blipFill>
                  <pic:spPr>
                    <a:xfrm>
                      <a:off x="0" y="0"/>
                      <a:ext cx="4724061" cy="2127564"/>
                    </a:xfrm>
                    <a:prstGeom prst="rect">
                      <a:avLst/>
                    </a:prstGeom>
                  </pic:spPr>
                </pic:pic>
              </a:graphicData>
            </a:graphic>
          </wp:inline>
        </w:drawing>
      </w:r>
    </w:p>
    <w:p w14:paraId="48F4035B"/>
    <w:p w14:paraId="54319971">
      <w:pPr>
        <w:pStyle w:val="5"/>
      </w:pPr>
      <w:bookmarkStart w:id="3358" w:name="_Toc141873463"/>
      <w:bookmarkStart w:id="3359" w:name="_Toc40276047"/>
      <w:bookmarkStart w:id="3360" w:name="_Toc23152614"/>
      <w:bookmarkStart w:id="3361" w:name="_Toc196728173"/>
      <w:bookmarkStart w:id="3362" w:name="_Toc14951569"/>
      <w:bookmarkStart w:id="3363" w:name="_Toc142400979"/>
      <w:bookmarkStart w:id="3364" w:name="_Toc172218214"/>
      <w:bookmarkStart w:id="3365" w:name="_Toc15484848"/>
      <w:bookmarkStart w:id="3366" w:name="_Toc194080841"/>
      <w:bookmarkStart w:id="3367" w:name="_Toc99561541"/>
      <w:r>
        <w:t>DNS</w:t>
      </w:r>
      <w:r>
        <w:rPr>
          <w:rFonts w:hint="eastAsia"/>
        </w:rPr>
        <w:t>域名管理</w:t>
      </w:r>
      <w:bookmarkEnd w:id="3353"/>
      <w:bookmarkEnd w:id="3354"/>
      <w:bookmarkEnd w:id="3358"/>
      <w:bookmarkEnd w:id="3359"/>
      <w:bookmarkEnd w:id="3360"/>
      <w:bookmarkEnd w:id="3361"/>
      <w:bookmarkEnd w:id="3362"/>
      <w:bookmarkEnd w:id="3363"/>
      <w:bookmarkEnd w:id="3364"/>
      <w:bookmarkEnd w:id="3365"/>
      <w:bookmarkEnd w:id="3366"/>
      <w:bookmarkEnd w:id="3367"/>
    </w:p>
    <w:p w14:paraId="0DD866A9">
      <w:r>
        <w:rPr>
          <w:rFonts w:hint="eastAsia"/>
        </w:rPr>
        <w:t>通过菜单“网络配置 &gt; 基础网络 &gt; DNS服务</w:t>
      </w:r>
      <w:r>
        <w:t xml:space="preserve"> &gt; </w:t>
      </w:r>
      <w:r>
        <w:rPr>
          <w:rFonts w:hint="eastAsia"/>
        </w:rPr>
        <w:t>域名管理”，进入如</w:t>
      </w:r>
      <w:r>
        <w:rPr>
          <w:color w:val="0000FF"/>
          <w:u w:val="single"/>
        </w:rPr>
        <w:fldChar w:fldCharType="begin"/>
      </w:r>
      <w:r>
        <w:rPr>
          <w:color w:val="0000FF"/>
          <w:u w:val="single"/>
        </w:rPr>
        <w:instrText xml:space="preserve"> </w:instrText>
      </w:r>
      <w:r>
        <w:rPr>
          <w:rFonts w:hint="eastAsia"/>
          <w:color w:val="0000FF"/>
          <w:u w:val="single"/>
        </w:rPr>
        <w:instrText xml:space="preserve">REF _Ref494126644 \r \h</w:instrText>
      </w:r>
      <w:r>
        <w:rPr>
          <w:color w:val="0000FF"/>
          <w:u w:val="single"/>
        </w:rPr>
        <w:instrText xml:space="preserve"> </w:instrText>
      </w:r>
      <w:r>
        <w:rPr>
          <w:color w:val="0000FF"/>
          <w:u w:val="single"/>
        </w:rPr>
        <w:fldChar w:fldCharType="separate"/>
      </w:r>
      <w:r>
        <w:rPr>
          <w:rFonts w:hint="eastAsia"/>
          <w:color w:val="0000FF"/>
          <w:u w:val="single"/>
        </w:rPr>
        <w:t>图11-20</w:t>
      </w:r>
      <w:r>
        <w:rPr>
          <w:color w:val="0000FF"/>
          <w:u w:val="single"/>
        </w:rPr>
        <w:fldChar w:fldCharType="end"/>
      </w:r>
      <w:r>
        <w:rPr>
          <w:rFonts w:hint="eastAsia"/>
        </w:rPr>
        <w:t>所示的页面。在该页面上，可以查看设备上所配置的静态域名。静态域名实现域名和IP地址的固定映射。</w:t>
      </w:r>
    </w:p>
    <w:p w14:paraId="41E7165E">
      <w:pPr>
        <w:pStyle w:val="188"/>
      </w:pPr>
      <w:bookmarkStart w:id="3368" w:name="_Toc141874689"/>
      <w:bookmarkStart w:id="3369" w:name="_Ref494126644"/>
      <w:r>
        <w:rPr>
          <w:rFonts w:hint="eastAsia"/>
        </w:rPr>
        <w:t>域名管理展示页面</w:t>
      </w:r>
      <w:bookmarkEnd w:id="3368"/>
      <w:bookmarkEnd w:id="3369"/>
    </w:p>
    <w:p w14:paraId="5951FE19">
      <w:r>
        <w:drawing>
          <wp:inline distT="0" distB="0" distL="0" distR="0">
            <wp:extent cx="5400040" cy="1042670"/>
            <wp:effectExtent l="0" t="0" r="0" b="5080"/>
            <wp:docPr id="494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7" name="图片 25"/>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a:xfrm>
                      <a:off x="0" y="0"/>
                      <a:ext cx="5400040" cy="1042998"/>
                    </a:xfrm>
                    <a:prstGeom prst="rect">
                      <a:avLst/>
                    </a:prstGeom>
                    <a:noFill/>
                    <a:ln>
                      <a:noFill/>
                    </a:ln>
                  </pic:spPr>
                </pic:pic>
              </a:graphicData>
            </a:graphic>
          </wp:inline>
        </w:drawing>
      </w:r>
    </w:p>
    <w:p w14:paraId="398DD8C7"/>
    <w:p w14:paraId="11C22004">
      <w:r>
        <w:rPr>
          <w:rFonts w:hint="eastAsia"/>
        </w:rPr>
        <w:t>单击“新建按钮”，进入如</w:t>
      </w:r>
      <w:r>
        <w:fldChar w:fldCharType="begin"/>
      </w:r>
      <w:r>
        <w:instrText xml:space="preserve"> </w:instrText>
      </w:r>
      <w:r>
        <w:rPr>
          <w:rFonts w:hint="eastAsia"/>
        </w:rPr>
        <w:instrText xml:space="preserve">REF _Ref494126651 \r \h</w:instrText>
      </w:r>
      <w:r>
        <w:instrText xml:space="preserve"> </w:instrText>
      </w:r>
      <w:r>
        <w:fldChar w:fldCharType="separate"/>
      </w:r>
      <w:r>
        <w:rPr>
          <w:rFonts w:hint="eastAsia"/>
        </w:rPr>
        <w:t>图11-21</w:t>
      </w:r>
      <w:r>
        <w:fldChar w:fldCharType="end"/>
      </w:r>
      <w:r>
        <w:rPr>
          <w:rFonts w:hint="eastAsia"/>
        </w:rPr>
        <w:t>所示的静态域名配置页面。各个配置项的含义如</w:t>
      </w:r>
      <w:r>
        <w:fldChar w:fldCharType="begin"/>
      </w:r>
      <w:r>
        <w:instrText xml:space="preserve"> </w:instrText>
      </w:r>
      <w:r>
        <w:rPr>
          <w:rFonts w:hint="eastAsia"/>
        </w:rPr>
        <w:instrText xml:space="preserve">REF _Ref494126661 \r \h</w:instrText>
      </w:r>
      <w:r>
        <w:instrText xml:space="preserve"> </w:instrText>
      </w:r>
      <w:r>
        <w:fldChar w:fldCharType="separate"/>
      </w:r>
      <w:r>
        <w:rPr>
          <w:rFonts w:hint="eastAsia"/>
        </w:rPr>
        <w:t>表11-1</w:t>
      </w:r>
      <w:r>
        <w:fldChar w:fldCharType="end"/>
      </w:r>
      <w:r>
        <w:rPr>
          <w:rFonts w:hint="eastAsia"/>
        </w:rPr>
        <w:t>所示。</w:t>
      </w:r>
    </w:p>
    <w:p w14:paraId="5F52E522">
      <w:pPr>
        <w:pStyle w:val="188"/>
      </w:pPr>
      <w:bookmarkStart w:id="3370" w:name="_Toc141874690"/>
      <w:bookmarkStart w:id="3371" w:name="_Ref494126651"/>
      <w:r>
        <w:rPr>
          <w:rFonts w:hint="eastAsia"/>
        </w:rPr>
        <w:t>域名管理配置页面</w:t>
      </w:r>
      <w:bookmarkEnd w:id="3370"/>
      <w:bookmarkEnd w:id="3371"/>
    </w:p>
    <w:p w14:paraId="0A2D4596">
      <w:pPr>
        <w:spacing w:before="79" w:after="79"/>
      </w:pPr>
      <w:r>
        <w:drawing>
          <wp:inline distT="0" distB="0" distL="114300" distR="114300">
            <wp:extent cx="4946650" cy="2705100"/>
            <wp:effectExtent l="0" t="0" r="6350" b="0"/>
            <wp:docPr id="102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图片 107"/>
                    <pic:cNvPicPr>
                      <a:picLocks noChangeAspect="1"/>
                    </pic:cNvPicPr>
                  </pic:nvPicPr>
                  <pic:blipFill>
                    <a:blip r:embed="rId481"/>
                    <a:stretch>
                      <a:fillRect/>
                    </a:stretch>
                  </pic:blipFill>
                  <pic:spPr>
                    <a:xfrm>
                      <a:off x="0" y="0"/>
                      <a:ext cx="4946650" cy="2705100"/>
                    </a:xfrm>
                    <a:prstGeom prst="rect">
                      <a:avLst/>
                    </a:prstGeom>
                    <a:noFill/>
                    <a:ln>
                      <a:noFill/>
                    </a:ln>
                  </pic:spPr>
                </pic:pic>
              </a:graphicData>
            </a:graphic>
          </wp:inline>
        </w:drawing>
      </w:r>
    </w:p>
    <w:p w14:paraId="05D3451E"/>
    <w:p w14:paraId="150F372A">
      <w:pPr>
        <w:pStyle w:val="183"/>
      </w:pPr>
      <w:bookmarkStart w:id="3372" w:name="_Ref494126661"/>
      <w:bookmarkStart w:id="3373" w:name="_Toc141875531"/>
      <w:r>
        <w:rPr>
          <w:rFonts w:hint="eastAsia"/>
        </w:rPr>
        <w:t>域名管理配置说明</w:t>
      </w:r>
      <w:bookmarkEnd w:id="3372"/>
      <w:bookmarkEnd w:id="3373"/>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790"/>
        <w:gridCol w:w="7224"/>
      </w:tblGrid>
      <w:tr w14:paraId="1AA57B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tcBorders>
              <w:tl2br w:val="nil"/>
              <w:tr2bl w:val="nil"/>
            </w:tcBorders>
            <w:shd w:val="clear" w:color="auto" w:fill="538135" w:themeFill="accent6" w:themeFillShade="BF"/>
            <w:vAlign w:val="center"/>
          </w:tcPr>
          <w:p w14:paraId="03C400A2">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参数</w:t>
            </w:r>
          </w:p>
        </w:tc>
        <w:tc>
          <w:tcPr>
            <w:tcW w:w="7189" w:type="dxa"/>
            <w:tcBorders>
              <w:tl2br w:val="nil"/>
              <w:tr2bl w:val="nil"/>
            </w:tcBorders>
            <w:shd w:val="clear" w:color="auto" w:fill="538135" w:themeFill="accent6" w:themeFillShade="BF"/>
            <w:vAlign w:val="center"/>
          </w:tcPr>
          <w:p w14:paraId="1158E713">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3B843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shd w:val="clear" w:color="auto" w:fill="auto"/>
          </w:tcPr>
          <w:p w14:paraId="597CCEED">
            <w:pPr>
              <w:pStyle w:val="186"/>
              <w:widowControl w:val="0"/>
              <w:spacing w:line="240" w:lineRule="auto"/>
              <w:ind w:firstLine="0"/>
              <w:jc w:val="left"/>
            </w:pPr>
            <w:r>
              <w:rPr>
                <w:rFonts w:hint="eastAsia"/>
              </w:rPr>
              <w:t>域名</w:t>
            </w:r>
          </w:p>
        </w:tc>
        <w:tc>
          <w:tcPr>
            <w:tcW w:w="7189" w:type="dxa"/>
            <w:shd w:val="clear" w:color="auto" w:fill="auto"/>
          </w:tcPr>
          <w:p w14:paraId="241B3B22">
            <w:pPr>
              <w:pStyle w:val="186"/>
              <w:widowControl w:val="0"/>
              <w:spacing w:line="240" w:lineRule="auto"/>
              <w:ind w:firstLine="0"/>
              <w:jc w:val="left"/>
            </w:pPr>
            <w:r>
              <w:rPr>
                <w:rFonts w:hint="eastAsia"/>
              </w:rPr>
              <w:t>静态域名信息，可以输入</w:t>
            </w:r>
            <w:r>
              <w:t>3</w:t>
            </w:r>
            <w:r>
              <w:rPr>
                <w:rFonts w:hint="eastAsia"/>
              </w:rPr>
              <w:t>到</w:t>
            </w:r>
            <w:r>
              <w:t>253</w:t>
            </w:r>
            <w:r>
              <w:rPr>
                <w:rFonts w:hint="eastAsia"/>
              </w:rPr>
              <w:t>个字符，可填入英文大小写字符、“</w:t>
            </w:r>
            <w:r>
              <w:t>-</w:t>
            </w:r>
            <w:r>
              <w:rPr>
                <w:rFonts w:hint="eastAsia"/>
              </w:rPr>
              <w:t>”、“</w:t>
            </w:r>
            <w:r>
              <w:t>.</w:t>
            </w:r>
            <w:r>
              <w:rPr>
                <w:rFonts w:hint="eastAsia"/>
              </w:rPr>
              <w:t>”，每级域名不超过</w:t>
            </w:r>
            <w:r>
              <w:t>63</w:t>
            </w:r>
            <w:r>
              <w:rPr>
                <w:rFonts w:hint="eastAsia"/>
              </w:rPr>
              <w:t>个字符。</w:t>
            </w:r>
          </w:p>
        </w:tc>
      </w:tr>
      <w:tr w14:paraId="7EC0090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shd w:val="clear" w:color="auto" w:fill="auto"/>
          </w:tcPr>
          <w:p w14:paraId="0F0039D1">
            <w:pPr>
              <w:pStyle w:val="186"/>
              <w:widowControl w:val="0"/>
              <w:spacing w:line="240" w:lineRule="auto"/>
              <w:ind w:firstLine="0"/>
              <w:jc w:val="left"/>
            </w:pPr>
            <w:r>
              <w:t>IP1</w:t>
            </w:r>
          </w:p>
        </w:tc>
        <w:tc>
          <w:tcPr>
            <w:tcW w:w="7189" w:type="dxa"/>
            <w:shd w:val="clear" w:color="auto" w:fill="auto"/>
          </w:tcPr>
          <w:p w14:paraId="16B6D2C2">
            <w:pPr>
              <w:pStyle w:val="186"/>
              <w:widowControl w:val="0"/>
              <w:spacing w:line="240" w:lineRule="auto"/>
              <w:ind w:firstLine="0"/>
              <w:jc w:val="left"/>
            </w:pPr>
            <w:r>
              <w:rPr>
                <w:rFonts w:hint="eastAsia"/>
              </w:rPr>
              <w:t>静态域名对应的第一个</w:t>
            </w:r>
            <w:r>
              <w:t>IP</w:t>
            </w:r>
            <w:r>
              <w:rPr>
                <w:rFonts w:hint="eastAsia"/>
              </w:rPr>
              <w:t>地址。</w:t>
            </w:r>
          </w:p>
        </w:tc>
      </w:tr>
      <w:tr w14:paraId="4319187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shd w:val="clear" w:color="auto" w:fill="auto"/>
          </w:tcPr>
          <w:p w14:paraId="28286136">
            <w:pPr>
              <w:pStyle w:val="186"/>
              <w:widowControl w:val="0"/>
              <w:spacing w:line="240" w:lineRule="auto"/>
              <w:ind w:firstLine="0"/>
              <w:jc w:val="left"/>
            </w:pPr>
            <w:r>
              <w:t>IP2</w:t>
            </w:r>
          </w:p>
        </w:tc>
        <w:tc>
          <w:tcPr>
            <w:tcW w:w="7189" w:type="dxa"/>
            <w:shd w:val="clear" w:color="auto" w:fill="auto"/>
          </w:tcPr>
          <w:p w14:paraId="302629A9">
            <w:pPr>
              <w:pStyle w:val="186"/>
              <w:widowControl w:val="0"/>
              <w:spacing w:line="240" w:lineRule="auto"/>
              <w:ind w:firstLine="0"/>
              <w:jc w:val="left"/>
            </w:pPr>
            <w:r>
              <w:rPr>
                <w:rFonts w:hint="eastAsia"/>
              </w:rPr>
              <w:t>静态域名对应的第二个</w:t>
            </w:r>
            <w:r>
              <w:t>IP</w:t>
            </w:r>
            <w:r>
              <w:rPr>
                <w:rFonts w:hint="eastAsia"/>
              </w:rPr>
              <w:t>地址。</w:t>
            </w:r>
          </w:p>
        </w:tc>
      </w:tr>
      <w:tr w14:paraId="251B779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shd w:val="clear" w:color="auto" w:fill="auto"/>
          </w:tcPr>
          <w:p w14:paraId="34CBEEBC">
            <w:pPr>
              <w:pStyle w:val="186"/>
              <w:widowControl w:val="0"/>
              <w:spacing w:line="240" w:lineRule="auto"/>
              <w:ind w:firstLine="0"/>
              <w:jc w:val="left"/>
            </w:pPr>
            <w:r>
              <w:rPr>
                <w:rFonts w:hint="eastAsia"/>
              </w:rPr>
              <w:t>D</w:t>
            </w:r>
            <w:r>
              <w:t>NS映射</w:t>
            </w:r>
          </w:p>
        </w:tc>
        <w:tc>
          <w:tcPr>
            <w:tcW w:w="7189" w:type="dxa"/>
            <w:shd w:val="clear" w:color="auto" w:fill="auto"/>
          </w:tcPr>
          <w:p w14:paraId="0E927EE9">
            <w:pPr>
              <w:pStyle w:val="186"/>
              <w:widowControl w:val="0"/>
              <w:spacing w:line="240" w:lineRule="auto"/>
              <w:ind w:firstLine="0"/>
              <w:jc w:val="left"/>
            </w:pPr>
            <w:r>
              <w:t>DNS Mapping功能</w:t>
            </w:r>
            <w:r>
              <w:rPr>
                <w:rFonts w:hint="eastAsia"/>
              </w:rPr>
              <w:t>，私网用户希望通过域名访问位于同一私网的内部服务器，启用后</w:t>
            </w:r>
            <w:r>
              <w:t>设备</w:t>
            </w:r>
            <w:r>
              <w:rPr>
                <w:rFonts w:hint="eastAsia"/>
              </w:rPr>
              <w:t>会直接回复静态域名配置的</w:t>
            </w:r>
            <w:r>
              <w:t>IP</w:t>
            </w:r>
            <w:r>
              <w:rPr>
                <w:rFonts w:hint="eastAsia"/>
              </w:rPr>
              <w:t>地址，无需开启</w:t>
            </w:r>
            <w:r>
              <w:t>DNS</w:t>
            </w:r>
            <w:r>
              <w:rPr>
                <w:rFonts w:hint="eastAsia"/>
              </w:rPr>
              <w:t>透明代理或</w:t>
            </w:r>
            <w:r>
              <w:t>DNS</w:t>
            </w:r>
            <w:r>
              <w:rPr>
                <w:rFonts w:hint="eastAsia"/>
              </w:rPr>
              <w:t>全局代理。</w:t>
            </w:r>
          </w:p>
        </w:tc>
      </w:tr>
      <w:tr w14:paraId="48FCDC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shd w:val="clear" w:color="auto" w:fill="auto"/>
          </w:tcPr>
          <w:p w14:paraId="29C8294F">
            <w:pPr>
              <w:pStyle w:val="186"/>
              <w:widowControl w:val="0"/>
              <w:spacing w:line="240" w:lineRule="auto"/>
              <w:ind w:firstLine="0"/>
              <w:jc w:val="left"/>
            </w:pPr>
            <w:r>
              <w:t>目标位置</w:t>
            </w:r>
          </w:p>
        </w:tc>
        <w:tc>
          <w:tcPr>
            <w:tcW w:w="7189" w:type="dxa"/>
            <w:shd w:val="clear" w:color="auto" w:fill="auto"/>
          </w:tcPr>
          <w:p w14:paraId="7EE597C8">
            <w:pPr>
              <w:pStyle w:val="186"/>
              <w:widowControl w:val="0"/>
              <w:spacing w:line="240" w:lineRule="auto"/>
              <w:ind w:firstLine="0"/>
              <w:jc w:val="left"/>
            </w:pPr>
            <w:r>
              <w:rPr>
                <w:rFonts w:hint="eastAsia"/>
              </w:rPr>
              <w:t>静态域名对应的</w:t>
            </w:r>
            <w:r>
              <w:t>目标位置</w:t>
            </w:r>
            <w:r>
              <w:rPr>
                <w:rFonts w:hint="eastAsia"/>
              </w:rPr>
              <w:t>，</w:t>
            </w:r>
            <w:r>
              <w:t>1-128</w:t>
            </w:r>
            <w:r>
              <w:rPr>
                <w:rFonts w:hint="eastAsia"/>
              </w:rPr>
              <w:t>的整数。</w:t>
            </w:r>
            <w:r>
              <w:t>可通过选择数字大小来调整静态域名位置。</w:t>
            </w:r>
          </w:p>
        </w:tc>
      </w:tr>
    </w:tbl>
    <w:p w14:paraId="27B440F2"/>
    <w:p w14:paraId="492C5D61">
      <w:pPr>
        <w:pStyle w:val="5"/>
      </w:pPr>
      <w:bookmarkStart w:id="3374" w:name="_Toc496859992"/>
      <w:bookmarkEnd w:id="3374"/>
      <w:bookmarkStart w:id="3375" w:name="_Toc496859991"/>
      <w:bookmarkEnd w:id="3375"/>
      <w:bookmarkStart w:id="3376" w:name="_Toc194080842"/>
      <w:bookmarkStart w:id="3377" w:name="_Toc493773769"/>
      <w:bookmarkStart w:id="3378" w:name="_Toc23152615"/>
      <w:bookmarkStart w:id="3379" w:name="_Toc99561542"/>
      <w:bookmarkStart w:id="3380" w:name="_Toc172218215"/>
      <w:bookmarkStart w:id="3381" w:name="_Toc141873464"/>
      <w:bookmarkStart w:id="3382" w:name="_Toc494180417"/>
      <w:bookmarkStart w:id="3383" w:name="_Toc142400980"/>
      <w:bookmarkStart w:id="3384" w:name="_Toc40276048"/>
      <w:bookmarkStart w:id="3385" w:name="_Toc196728174"/>
      <w:bookmarkStart w:id="3386" w:name="_Toc14951570"/>
      <w:bookmarkStart w:id="3387" w:name="_Toc15484849"/>
      <w:r>
        <w:rPr>
          <w:rFonts w:hint="eastAsia"/>
        </w:rPr>
        <w:t>动态缓存配置</w:t>
      </w:r>
      <w:bookmarkEnd w:id="3376"/>
      <w:bookmarkEnd w:id="3377"/>
      <w:bookmarkEnd w:id="3378"/>
      <w:bookmarkEnd w:id="3379"/>
      <w:bookmarkEnd w:id="3380"/>
      <w:bookmarkEnd w:id="3381"/>
      <w:bookmarkEnd w:id="3382"/>
      <w:bookmarkEnd w:id="3383"/>
      <w:bookmarkEnd w:id="3384"/>
      <w:bookmarkEnd w:id="3385"/>
      <w:bookmarkEnd w:id="3386"/>
      <w:bookmarkEnd w:id="3387"/>
    </w:p>
    <w:p w14:paraId="4607276F">
      <w:r>
        <w:rPr>
          <w:rFonts w:hint="eastAsia"/>
        </w:rPr>
        <w:t>用户第一次访问网站域名时，如果DNS域名成功将域名解析为IP地址，动态缓存机制会将这个结果临时储存起来，并设定一个TTL时间，在TTL时间内，用户再次访问这个网站时，系统会直接从本地缓存中将解析结果返回给用户，无需再次查询DNS服务器，这样可以加速域名解析。</w:t>
      </w:r>
    </w:p>
    <w:p w14:paraId="1B8094F5">
      <w:r>
        <w:rPr>
          <w:rFonts w:hint="eastAsia"/>
        </w:rPr>
        <w:t xml:space="preserve">通过菜单“网络配置 &gt; 基础网络 &gt; DNS服务 </w:t>
      </w:r>
      <w:r>
        <w:t xml:space="preserve"> &gt; </w:t>
      </w:r>
      <w:r>
        <w:rPr>
          <w:rFonts w:hint="eastAsia"/>
        </w:rPr>
        <w:t>动态缓存”，进入如</w:t>
      </w:r>
      <w:r>
        <w:rPr>
          <w:color w:val="0000FF"/>
          <w:u w:val="single"/>
        </w:rPr>
        <w:fldChar w:fldCharType="begin"/>
      </w:r>
      <w:r>
        <w:rPr>
          <w:color w:val="0000FF"/>
          <w:u w:val="single"/>
        </w:rPr>
        <w:instrText xml:space="preserve"> </w:instrText>
      </w:r>
      <w:r>
        <w:rPr>
          <w:rFonts w:hint="eastAsia"/>
          <w:color w:val="0000FF"/>
          <w:u w:val="single"/>
        </w:rPr>
        <w:instrText xml:space="preserve">REF _Ref494126679 \r \h</w:instrText>
      </w:r>
      <w:r>
        <w:rPr>
          <w:color w:val="0000FF"/>
          <w:u w:val="single"/>
        </w:rPr>
        <w:instrText xml:space="preserve"> </w:instrText>
      </w:r>
      <w:r>
        <w:rPr>
          <w:color w:val="0000FF"/>
          <w:u w:val="single"/>
        </w:rPr>
        <w:fldChar w:fldCharType="separate"/>
      </w:r>
      <w:r>
        <w:rPr>
          <w:rFonts w:hint="eastAsia"/>
          <w:color w:val="0000FF"/>
          <w:u w:val="single"/>
        </w:rPr>
        <w:t>图11-22</w:t>
      </w:r>
      <w:r>
        <w:rPr>
          <w:color w:val="0000FF"/>
          <w:u w:val="single"/>
        </w:rPr>
        <w:fldChar w:fldCharType="end"/>
      </w:r>
      <w:r>
        <w:rPr>
          <w:rFonts w:hint="eastAsia"/>
        </w:rPr>
        <w:t>所示的页面。在该页面上，可以开启关闭</w:t>
      </w:r>
      <w:r>
        <w:t>DNS</w:t>
      </w:r>
      <w:r>
        <w:rPr>
          <w:rFonts w:hint="eastAsia"/>
        </w:rPr>
        <w:t>动态缓存。该页面各展示项介绍见</w:t>
      </w:r>
      <w:r>
        <w:rPr>
          <w:color w:val="0000FF"/>
          <w:u w:val="single"/>
        </w:rPr>
        <w:fldChar w:fldCharType="begin"/>
      </w:r>
      <w:r>
        <w:rPr>
          <w:color w:val="0000FF"/>
          <w:u w:val="single"/>
        </w:rPr>
        <w:instrText xml:space="preserve"> </w:instrText>
      </w:r>
      <w:r>
        <w:rPr>
          <w:rFonts w:hint="eastAsia"/>
          <w:color w:val="0000FF"/>
          <w:u w:val="single"/>
        </w:rPr>
        <w:instrText xml:space="preserve">REF _Ref494126687 \r \h</w:instrText>
      </w:r>
      <w:r>
        <w:rPr>
          <w:color w:val="0000FF"/>
          <w:u w:val="single"/>
        </w:rPr>
        <w:instrText xml:space="preserve"> </w:instrText>
      </w:r>
      <w:r>
        <w:rPr>
          <w:color w:val="0000FF"/>
          <w:u w:val="single"/>
        </w:rPr>
        <w:fldChar w:fldCharType="separate"/>
      </w:r>
      <w:r>
        <w:rPr>
          <w:rFonts w:hint="eastAsia"/>
          <w:color w:val="0000FF"/>
          <w:u w:val="single"/>
        </w:rPr>
        <w:t>表11-1</w:t>
      </w:r>
      <w:r>
        <w:rPr>
          <w:color w:val="0000FF"/>
          <w:u w:val="single"/>
        </w:rPr>
        <w:fldChar w:fldCharType="end"/>
      </w:r>
      <w:r>
        <w:rPr>
          <w:rFonts w:hint="eastAsia"/>
        </w:rPr>
        <w:t>。</w:t>
      </w:r>
    </w:p>
    <w:p w14:paraId="2EDF475B">
      <w:pPr>
        <w:pStyle w:val="188"/>
      </w:pPr>
      <w:bookmarkStart w:id="3388" w:name="_Ref494126679"/>
      <w:bookmarkStart w:id="3389" w:name="_Toc141874691"/>
      <w:r>
        <w:rPr>
          <w:rFonts w:hint="eastAsia"/>
        </w:rPr>
        <w:t>动态缓存配置页面</w:t>
      </w:r>
      <w:bookmarkEnd w:id="3388"/>
      <w:bookmarkEnd w:id="3389"/>
    </w:p>
    <w:p w14:paraId="46C14B6B">
      <w:r>
        <w:drawing>
          <wp:inline distT="0" distB="0" distL="0" distR="0">
            <wp:extent cx="5400040" cy="1016000"/>
            <wp:effectExtent l="0" t="0" r="0" b="0"/>
            <wp:docPr id="4948" name="图片 3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 name="图片 3628"/>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a:xfrm>
                      <a:off x="0" y="0"/>
                      <a:ext cx="5400040" cy="1016182"/>
                    </a:xfrm>
                    <a:prstGeom prst="rect">
                      <a:avLst/>
                    </a:prstGeom>
                    <a:noFill/>
                    <a:ln>
                      <a:noFill/>
                    </a:ln>
                  </pic:spPr>
                </pic:pic>
              </a:graphicData>
            </a:graphic>
          </wp:inline>
        </w:drawing>
      </w:r>
    </w:p>
    <w:p w14:paraId="00772E27"/>
    <w:p w14:paraId="77323F51">
      <w:pPr>
        <w:pStyle w:val="183"/>
      </w:pPr>
      <w:bookmarkStart w:id="3390" w:name="_Ref494126687"/>
      <w:bookmarkStart w:id="3391" w:name="_Toc141875532"/>
      <w:r>
        <w:rPr>
          <w:rFonts w:hint="eastAsia"/>
        </w:rPr>
        <w:t>动态缓存页面介绍</w:t>
      </w:r>
      <w:bookmarkEnd w:id="3390"/>
      <w:bookmarkEnd w:id="3391"/>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639"/>
        <w:gridCol w:w="7331"/>
      </w:tblGrid>
      <w:tr w14:paraId="5FF041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tcBorders>
              <w:tl2br w:val="nil"/>
              <w:tr2bl w:val="nil"/>
            </w:tcBorders>
            <w:shd w:val="clear" w:color="auto" w:fill="538135" w:themeFill="accent6" w:themeFillShade="BF"/>
            <w:vAlign w:val="center"/>
          </w:tcPr>
          <w:p w14:paraId="5DB40C9F">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参数</w:t>
            </w:r>
          </w:p>
        </w:tc>
        <w:tc>
          <w:tcPr>
            <w:tcW w:w="7331" w:type="dxa"/>
            <w:tcBorders>
              <w:tl2br w:val="nil"/>
              <w:tr2bl w:val="nil"/>
            </w:tcBorders>
            <w:shd w:val="clear" w:color="auto" w:fill="538135" w:themeFill="accent6" w:themeFillShade="BF"/>
            <w:vAlign w:val="center"/>
          </w:tcPr>
          <w:p w14:paraId="5F55216D">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7A9A2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1F0D5205">
            <w:pPr>
              <w:pStyle w:val="186"/>
              <w:widowControl w:val="0"/>
              <w:spacing w:line="240" w:lineRule="auto"/>
              <w:ind w:firstLine="0"/>
              <w:jc w:val="left"/>
            </w:pPr>
            <w:r>
              <w:rPr>
                <w:rFonts w:hint="eastAsia"/>
              </w:rPr>
              <w:t>域名</w:t>
            </w:r>
          </w:p>
        </w:tc>
        <w:tc>
          <w:tcPr>
            <w:tcW w:w="7331" w:type="dxa"/>
            <w:shd w:val="clear" w:color="auto" w:fill="auto"/>
          </w:tcPr>
          <w:p w14:paraId="5D105C16">
            <w:pPr>
              <w:pStyle w:val="186"/>
              <w:widowControl w:val="0"/>
              <w:spacing w:line="240" w:lineRule="auto"/>
              <w:ind w:firstLine="0"/>
              <w:jc w:val="left"/>
            </w:pPr>
            <w:r>
              <w:rPr>
                <w:rFonts w:hint="eastAsia"/>
              </w:rPr>
              <w:t>设备解析成功的域名显示。</w:t>
            </w:r>
          </w:p>
        </w:tc>
      </w:tr>
      <w:tr w14:paraId="1E594A9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21D60CD3">
            <w:pPr>
              <w:pStyle w:val="186"/>
              <w:widowControl w:val="0"/>
              <w:spacing w:line="240" w:lineRule="auto"/>
              <w:ind w:firstLine="0"/>
              <w:jc w:val="left"/>
            </w:pPr>
            <w:r>
              <w:rPr>
                <w:rFonts w:hint="eastAsia"/>
              </w:rPr>
              <w:t>命中次数</w:t>
            </w:r>
          </w:p>
        </w:tc>
        <w:tc>
          <w:tcPr>
            <w:tcW w:w="7331" w:type="dxa"/>
            <w:shd w:val="clear" w:color="auto" w:fill="auto"/>
          </w:tcPr>
          <w:p w14:paraId="2BB6C967">
            <w:pPr>
              <w:pStyle w:val="186"/>
              <w:widowControl w:val="0"/>
              <w:spacing w:line="240" w:lineRule="auto"/>
              <w:ind w:firstLine="0"/>
              <w:jc w:val="left"/>
            </w:pPr>
            <w:r>
              <w:t>DNS</w:t>
            </w:r>
            <w:r>
              <w:rPr>
                <w:rFonts w:hint="eastAsia"/>
              </w:rPr>
              <w:t>记录在本生存时间内被匹配的次数。</w:t>
            </w:r>
          </w:p>
        </w:tc>
      </w:tr>
      <w:tr w14:paraId="29D9F8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3" w:hRule="atLeast"/>
        </w:trPr>
        <w:tc>
          <w:tcPr>
            <w:tcW w:w="1639" w:type="dxa"/>
            <w:shd w:val="clear" w:color="auto" w:fill="auto"/>
          </w:tcPr>
          <w:p w14:paraId="628F31FC">
            <w:pPr>
              <w:pStyle w:val="186"/>
              <w:widowControl w:val="0"/>
              <w:spacing w:line="240" w:lineRule="auto"/>
              <w:ind w:firstLine="0"/>
              <w:jc w:val="left"/>
            </w:pPr>
            <w:r>
              <w:t>TTL</w:t>
            </w:r>
          </w:p>
        </w:tc>
        <w:tc>
          <w:tcPr>
            <w:tcW w:w="7331" w:type="dxa"/>
            <w:shd w:val="clear" w:color="auto" w:fill="auto"/>
          </w:tcPr>
          <w:p w14:paraId="2A7D740E">
            <w:pPr>
              <w:pStyle w:val="186"/>
              <w:widowControl w:val="0"/>
              <w:spacing w:line="240" w:lineRule="auto"/>
              <w:ind w:firstLine="0"/>
              <w:jc w:val="left"/>
            </w:pPr>
            <w:r>
              <w:rPr>
                <w:rFonts w:hint="eastAsia"/>
              </w:rPr>
              <w:t>一条</w:t>
            </w:r>
            <w:r>
              <w:t>DNS</w:t>
            </w:r>
            <w:r>
              <w:rPr>
                <w:rFonts w:hint="eastAsia"/>
              </w:rPr>
              <w:t>记录的生存时间。</w:t>
            </w:r>
          </w:p>
        </w:tc>
      </w:tr>
      <w:tr w14:paraId="6372851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2A308780">
            <w:pPr>
              <w:pStyle w:val="186"/>
              <w:widowControl w:val="0"/>
              <w:spacing w:line="240" w:lineRule="auto"/>
              <w:ind w:firstLine="0"/>
              <w:jc w:val="left"/>
            </w:pPr>
            <w:r>
              <w:t>IP</w:t>
            </w:r>
          </w:p>
        </w:tc>
        <w:tc>
          <w:tcPr>
            <w:tcW w:w="7331" w:type="dxa"/>
            <w:shd w:val="clear" w:color="auto" w:fill="auto"/>
          </w:tcPr>
          <w:p w14:paraId="22CB11B1">
            <w:pPr>
              <w:pStyle w:val="186"/>
              <w:widowControl w:val="0"/>
              <w:spacing w:line="240" w:lineRule="auto"/>
              <w:ind w:firstLine="0"/>
              <w:jc w:val="left"/>
            </w:pPr>
            <w:r>
              <w:rPr>
                <w:rFonts w:hint="eastAsia"/>
              </w:rPr>
              <w:t>解析成功的域名对应的</w:t>
            </w:r>
            <w:r>
              <w:t>IP</w:t>
            </w:r>
            <w:r>
              <w:rPr>
                <w:rFonts w:hint="eastAsia"/>
              </w:rPr>
              <w:t>，页面支持显示</w:t>
            </w:r>
            <w:r>
              <w:t>4</w:t>
            </w:r>
            <w:r>
              <w:rPr>
                <w:rFonts w:hint="eastAsia"/>
              </w:rPr>
              <w:t>个具体</w:t>
            </w:r>
            <w:r>
              <w:t>IP</w:t>
            </w:r>
            <w:r>
              <w:rPr>
                <w:rFonts w:hint="eastAsia"/>
              </w:rPr>
              <w:t>地址，后面（）显示总的</w:t>
            </w:r>
            <w:r>
              <w:t>IP</w:t>
            </w:r>
            <w:r>
              <w:rPr>
                <w:rFonts w:hint="eastAsia"/>
              </w:rPr>
              <w:t>地址个数。</w:t>
            </w:r>
          </w:p>
        </w:tc>
      </w:tr>
    </w:tbl>
    <w:p w14:paraId="3B69DD97">
      <w:bookmarkStart w:id="3392" w:name="_Toc496859994"/>
      <w:bookmarkEnd w:id="3392"/>
    </w:p>
    <w:p w14:paraId="6766AFD6">
      <w:pPr>
        <w:pStyle w:val="5"/>
      </w:pPr>
      <w:bookmarkStart w:id="3393" w:name="_Toc496859995"/>
      <w:bookmarkEnd w:id="3393"/>
      <w:bookmarkStart w:id="3394" w:name="_Toc23152616"/>
      <w:bookmarkStart w:id="3395" w:name="_Toc493773770"/>
      <w:bookmarkStart w:id="3396" w:name="_Toc99561543"/>
      <w:bookmarkStart w:id="3397" w:name="_Toc196728175"/>
      <w:bookmarkStart w:id="3398" w:name="_Toc141873465"/>
      <w:bookmarkStart w:id="3399" w:name="_Toc494180418"/>
      <w:bookmarkStart w:id="3400" w:name="_Toc14951571"/>
      <w:bookmarkStart w:id="3401" w:name="_Toc15484850"/>
      <w:bookmarkStart w:id="3402" w:name="_Toc40276049"/>
      <w:bookmarkStart w:id="3403" w:name="_Toc142400981"/>
      <w:bookmarkStart w:id="3404" w:name="_Toc194080843"/>
      <w:bookmarkStart w:id="3405" w:name="_Toc172218216"/>
      <w:r>
        <w:rPr>
          <w:rFonts w:hint="eastAsia"/>
        </w:rPr>
        <w:t>特定域名解析配置</w:t>
      </w:r>
      <w:bookmarkEnd w:id="3394"/>
      <w:bookmarkEnd w:id="3395"/>
      <w:bookmarkEnd w:id="3396"/>
      <w:bookmarkEnd w:id="3397"/>
      <w:bookmarkEnd w:id="3398"/>
      <w:bookmarkEnd w:id="3399"/>
      <w:bookmarkEnd w:id="3400"/>
      <w:bookmarkEnd w:id="3401"/>
      <w:bookmarkEnd w:id="3402"/>
      <w:bookmarkEnd w:id="3403"/>
      <w:bookmarkEnd w:id="3404"/>
      <w:bookmarkEnd w:id="3405"/>
    </w:p>
    <w:p w14:paraId="6974979B">
      <w:r>
        <w:rPr>
          <w:rFonts w:hint="eastAsia"/>
        </w:rPr>
        <w:t>一些特殊域名使用公共的DNS服务器无法解析，需要指定特定的DNS服务器才能解。例如，域名www.baidu.com和map.baidu.com的DNS请求必须使用DNS服务器2.2.2.2进行解析，其他DNS服务器的解析结果都是错误的。</w:t>
      </w:r>
    </w:p>
    <w:p w14:paraId="38E9009B">
      <w:r>
        <w:rPr>
          <w:rFonts w:hint="eastAsia"/>
        </w:rPr>
        <w:t xml:space="preserve">通过菜单“网络管理 </w:t>
      </w:r>
      <w:r>
        <w:t>-&gt; DNS服务</w:t>
      </w:r>
      <w:r>
        <w:rPr>
          <w:rFonts w:hint="eastAsia"/>
        </w:rPr>
        <w:t xml:space="preserve"> </w:t>
      </w:r>
      <w:r>
        <w:t xml:space="preserve">-&gt; </w:t>
      </w:r>
      <w:r>
        <w:rPr>
          <w:rFonts w:hint="eastAsia"/>
        </w:rPr>
        <w:t>特定域名解析”，进入如</w:t>
      </w:r>
      <w:r>
        <w:rPr>
          <w:color w:val="0000FF"/>
          <w:u w:val="single"/>
        </w:rPr>
        <w:fldChar w:fldCharType="begin"/>
      </w:r>
      <w:r>
        <w:rPr>
          <w:color w:val="0000FF"/>
          <w:u w:val="single"/>
        </w:rPr>
        <w:instrText xml:space="preserve"> </w:instrText>
      </w:r>
      <w:r>
        <w:rPr>
          <w:rFonts w:hint="eastAsia"/>
          <w:color w:val="0000FF"/>
          <w:u w:val="single"/>
        </w:rPr>
        <w:instrText xml:space="preserve">REF _Ref494126700 \r \h</w:instrText>
      </w:r>
      <w:r>
        <w:rPr>
          <w:color w:val="0000FF"/>
          <w:u w:val="single"/>
        </w:rPr>
        <w:instrText xml:space="preserve"> </w:instrText>
      </w:r>
      <w:r>
        <w:rPr>
          <w:color w:val="0000FF"/>
          <w:u w:val="single"/>
        </w:rPr>
        <w:fldChar w:fldCharType="separate"/>
      </w:r>
      <w:r>
        <w:rPr>
          <w:rFonts w:hint="eastAsia"/>
          <w:color w:val="0000FF"/>
          <w:u w:val="single"/>
        </w:rPr>
        <w:t>图11-23</w:t>
      </w:r>
      <w:r>
        <w:rPr>
          <w:color w:val="0000FF"/>
          <w:u w:val="single"/>
        </w:rPr>
        <w:fldChar w:fldCharType="end"/>
      </w:r>
      <w:r>
        <w:rPr>
          <w:rFonts w:hint="eastAsia"/>
        </w:rPr>
        <w:t>所示的页面。在该页面上，可以新建、编辑、删除、浏览特定域名配置项。</w:t>
      </w:r>
    </w:p>
    <w:p w14:paraId="5DC91858">
      <w:pPr>
        <w:pStyle w:val="188"/>
      </w:pPr>
      <w:bookmarkStart w:id="3406" w:name="_Ref494126700"/>
      <w:bookmarkStart w:id="3407" w:name="_Toc141874692"/>
      <w:r>
        <w:rPr>
          <w:rFonts w:hint="eastAsia"/>
        </w:rPr>
        <w:t>特定域名解析展示页面</w:t>
      </w:r>
      <w:bookmarkEnd w:id="3406"/>
      <w:bookmarkEnd w:id="3407"/>
    </w:p>
    <w:p w14:paraId="06B7C03D">
      <w:r>
        <w:drawing>
          <wp:inline distT="0" distB="0" distL="0" distR="0">
            <wp:extent cx="5400040" cy="998855"/>
            <wp:effectExtent l="0" t="0" r="0" b="0"/>
            <wp:docPr id="4949" name="图片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9" name="图片 1395"/>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a:xfrm>
                      <a:off x="0" y="0"/>
                      <a:ext cx="5400040" cy="999385"/>
                    </a:xfrm>
                    <a:prstGeom prst="rect">
                      <a:avLst/>
                    </a:prstGeom>
                    <a:noFill/>
                    <a:ln>
                      <a:noFill/>
                    </a:ln>
                  </pic:spPr>
                </pic:pic>
              </a:graphicData>
            </a:graphic>
          </wp:inline>
        </w:drawing>
      </w:r>
    </w:p>
    <w:p w14:paraId="52569696"/>
    <w:p w14:paraId="5EDBDBB2">
      <w:r>
        <w:rPr>
          <w:rFonts w:hint="eastAsia"/>
        </w:rPr>
        <w:t>单击“新建按钮”，进入如</w:t>
      </w:r>
      <w:r>
        <w:fldChar w:fldCharType="begin"/>
      </w:r>
      <w:r>
        <w:instrText xml:space="preserve"> </w:instrText>
      </w:r>
      <w:r>
        <w:rPr>
          <w:rFonts w:hint="eastAsia"/>
        </w:rPr>
        <w:instrText xml:space="preserve">REF _Ref494126713 \r \h</w:instrText>
      </w:r>
      <w:r>
        <w:instrText xml:space="preserve"> </w:instrText>
      </w:r>
      <w:r>
        <w:fldChar w:fldCharType="separate"/>
      </w:r>
      <w:r>
        <w:rPr>
          <w:rFonts w:hint="eastAsia"/>
        </w:rPr>
        <w:t>图11-24</w:t>
      </w:r>
      <w:r>
        <w:fldChar w:fldCharType="end"/>
      </w:r>
      <w:r>
        <w:rPr>
          <w:rFonts w:hint="eastAsia"/>
        </w:rPr>
        <w:t>所示的特定域名配置页面。各个配置项的含义如</w:t>
      </w:r>
      <w:r>
        <w:fldChar w:fldCharType="begin"/>
      </w:r>
      <w:r>
        <w:instrText xml:space="preserve"> </w:instrText>
      </w:r>
      <w:r>
        <w:rPr>
          <w:rFonts w:hint="eastAsia"/>
        </w:rPr>
        <w:instrText xml:space="preserve">REF _Ref494126720 \r \h</w:instrText>
      </w:r>
      <w:r>
        <w:instrText xml:space="preserve"> </w:instrText>
      </w:r>
      <w:r>
        <w:fldChar w:fldCharType="separate"/>
      </w:r>
      <w:r>
        <w:rPr>
          <w:rFonts w:hint="eastAsia"/>
        </w:rPr>
        <w:t>表11-1</w:t>
      </w:r>
      <w:r>
        <w:fldChar w:fldCharType="end"/>
      </w:r>
      <w:r>
        <w:rPr>
          <w:rFonts w:hint="eastAsia"/>
        </w:rPr>
        <w:t>所示。</w:t>
      </w:r>
    </w:p>
    <w:p w14:paraId="33882863">
      <w:pPr>
        <w:pStyle w:val="188"/>
      </w:pPr>
      <w:bookmarkStart w:id="3408" w:name="_Toc141874693"/>
      <w:bookmarkStart w:id="3409" w:name="_Ref494126713"/>
      <w:r>
        <w:rPr>
          <w:rFonts w:hint="eastAsia"/>
        </w:rPr>
        <w:t>特定域名解析配置页面</w:t>
      </w:r>
      <w:bookmarkEnd w:id="3408"/>
      <w:bookmarkEnd w:id="3409"/>
    </w:p>
    <w:p w14:paraId="098226F3">
      <w:r>
        <w:drawing>
          <wp:inline distT="0" distB="0" distL="114300" distR="114300">
            <wp:extent cx="5187950" cy="2317750"/>
            <wp:effectExtent l="0" t="0" r="6350" b="6350"/>
            <wp:docPr id="103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图片 111"/>
                    <pic:cNvPicPr>
                      <a:picLocks noChangeAspect="1"/>
                    </pic:cNvPicPr>
                  </pic:nvPicPr>
                  <pic:blipFill>
                    <a:blip r:embed="rId484"/>
                    <a:stretch>
                      <a:fillRect/>
                    </a:stretch>
                  </pic:blipFill>
                  <pic:spPr>
                    <a:xfrm>
                      <a:off x="0" y="0"/>
                      <a:ext cx="5187950" cy="2317750"/>
                    </a:xfrm>
                    <a:prstGeom prst="rect">
                      <a:avLst/>
                    </a:prstGeom>
                    <a:noFill/>
                    <a:ln>
                      <a:noFill/>
                    </a:ln>
                  </pic:spPr>
                </pic:pic>
              </a:graphicData>
            </a:graphic>
          </wp:inline>
        </w:drawing>
      </w:r>
    </w:p>
    <w:p w14:paraId="611CE89B"/>
    <w:p w14:paraId="2D146238">
      <w:pPr>
        <w:pStyle w:val="183"/>
      </w:pPr>
      <w:bookmarkStart w:id="3410" w:name="_Ref494126720"/>
      <w:bookmarkStart w:id="3411" w:name="_Toc141875533"/>
      <w:r>
        <w:rPr>
          <w:rFonts w:hint="eastAsia"/>
        </w:rPr>
        <w:t>特定域名解析配置说明</w:t>
      </w:r>
      <w:bookmarkEnd w:id="3410"/>
      <w:bookmarkEnd w:id="3411"/>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639"/>
        <w:gridCol w:w="7331"/>
      </w:tblGrid>
      <w:tr w14:paraId="660818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tcBorders>
              <w:tl2br w:val="nil"/>
              <w:tr2bl w:val="nil"/>
            </w:tcBorders>
            <w:shd w:val="clear" w:color="auto" w:fill="538135" w:themeFill="accent6" w:themeFillShade="BF"/>
            <w:vAlign w:val="center"/>
          </w:tcPr>
          <w:p w14:paraId="0208C501">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参数</w:t>
            </w:r>
          </w:p>
        </w:tc>
        <w:tc>
          <w:tcPr>
            <w:tcW w:w="7331" w:type="dxa"/>
            <w:tcBorders>
              <w:tl2br w:val="nil"/>
              <w:tr2bl w:val="nil"/>
            </w:tcBorders>
            <w:shd w:val="clear" w:color="auto" w:fill="538135" w:themeFill="accent6" w:themeFillShade="BF"/>
            <w:vAlign w:val="center"/>
          </w:tcPr>
          <w:p w14:paraId="257A75DB">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756EB0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5FAB0F9C">
            <w:pPr>
              <w:pStyle w:val="186"/>
              <w:widowControl w:val="0"/>
              <w:spacing w:line="240" w:lineRule="auto"/>
              <w:ind w:firstLine="0"/>
              <w:jc w:val="left"/>
            </w:pPr>
            <w:r>
              <w:rPr>
                <w:rFonts w:hint="eastAsia"/>
              </w:rPr>
              <w:t>域名</w:t>
            </w:r>
          </w:p>
        </w:tc>
        <w:tc>
          <w:tcPr>
            <w:tcW w:w="7331" w:type="dxa"/>
            <w:shd w:val="clear" w:color="auto" w:fill="auto"/>
          </w:tcPr>
          <w:p w14:paraId="4082CFE7">
            <w:pPr>
              <w:pStyle w:val="186"/>
              <w:widowControl w:val="0"/>
              <w:spacing w:line="240" w:lineRule="auto"/>
              <w:ind w:firstLine="0"/>
              <w:jc w:val="left"/>
            </w:pPr>
            <w:r>
              <w:rPr>
                <w:rFonts w:hint="eastAsia"/>
              </w:rPr>
              <w:t>特定域名信息，可以输入</w:t>
            </w:r>
            <w:r>
              <w:t>3</w:t>
            </w:r>
            <w:r>
              <w:rPr>
                <w:rFonts w:hint="eastAsia"/>
              </w:rPr>
              <w:t>到</w:t>
            </w:r>
            <w:r>
              <w:t>253</w:t>
            </w:r>
            <w:r>
              <w:rPr>
                <w:rFonts w:hint="eastAsia"/>
              </w:rPr>
              <w:t>个字符，可填入英文大小写字符、“</w:t>
            </w:r>
            <w:r>
              <w:t>-</w:t>
            </w:r>
            <w:r>
              <w:rPr>
                <w:rFonts w:hint="eastAsia"/>
              </w:rPr>
              <w:t>”、“</w:t>
            </w:r>
            <w:r>
              <w:t>.</w:t>
            </w:r>
            <w:r>
              <w:rPr>
                <w:rFonts w:hint="eastAsia"/>
              </w:rPr>
              <w:t>”，每级域名不超过</w:t>
            </w:r>
            <w:r>
              <w:t>63</w:t>
            </w:r>
            <w:r>
              <w:rPr>
                <w:rFonts w:hint="eastAsia"/>
              </w:rPr>
              <w:t>个字符。</w:t>
            </w:r>
          </w:p>
        </w:tc>
      </w:tr>
      <w:tr w14:paraId="7B15D20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32855B8B">
            <w:pPr>
              <w:pStyle w:val="186"/>
              <w:widowControl w:val="0"/>
              <w:spacing w:line="240" w:lineRule="auto"/>
              <w:ind w:firstLine="0"/>
              <w:jc w:val="left"/>
            </w:pPr>
            <w:r>
              <w:rPr>
                <w:rFonts w:hint="eastAsia"/>
              </w:rPr>
              <w:t>主</w:t>
            </w:r>
            <w:r>
              <w:t>DNS</w:t>
            </w:r>
          </w:p>
        </w:tc>
        <w:tc>
          <w:tcPr>
            <w:tcW w:w="7331" w:type="dxa"/>
            <w:shd w:val="clear" w:color="auto" w:fill="auto"/>
          </w:tcPr>
          <w:p w14:paraId="4115C43B">
            <w:pPr>
              <w:pStyle w:val="186"/>
              <w:widowControl w:val="0"/>
              <w:spacing w:line="240" w:lineRule="auto"/>
              <w:ind w:firstLine="0"/>
              <w:jc w:val="left"/>
            </w:pPr>
            <w:r>
              <w:rPr>
                <w:rFonts w:hint="eastAsia"/>
              </w:rPr>
              <w:t>特定域名对应的第一个</w:t>
            </w:r>
            <w:r>
              <w:t>DNS</w:t>
            </w:r>
            <w:r>
              <w:rPr>
                <w:rFonts w:hint="eastAsia"/>
              </w:rPr>
              <w:t>服务器地址。</w:t>
            </w:r>
          </w:p>
        </w:tc>
      </w:tr>
      <w:tr w14:paraId="49D1C1B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0F26C157">
            <w:pPr>
              <w:pStyle w:val="186"/>
              <w:widowControl w:val="0"/>
              <w:spacing w:line="240" w:lineRule="auto"/>
              <w:ind w:firstLine="0"/>
              <w:jc w:val="left"/>
            </w:pPr>
            <w:r>
              <w:rPr>
                <w:rFonts w:hint="eastAsia"/>
              </w:rPr>
              <w:t>备</w:t>
            </w:r>
            <w:r>
              <w:t>DNS</w:t>
            </w:r>
          </w:p>
        </w:tc>
        <w:tc>
          <w:tcPr>
            <w:tcW w:w="7331" w:type="dxa"/>
            <w:shd w:val="clear" w:color="auto" w:fill="auto"/>
          </w:tcPr>
          <w:p w14:paraId="5CD3F102">
            <w:pPr>
              <w:pStyle w:val="186"/>
              <w:widowControl w:val="0"/>
              <w:spacing w:line="240" w:lineRule="auto"/>
              <w:ind w:firstLine="0"/>
              <w:jc w:val="left"/>
            </w:pPr>
            <w:r>
              <w:rPr>
                <w:rFonts w:hint="eastAsia"/>
              </w:rPr>
              <w:t>特定域名对应的第二个</w:t>
            </w:r>
            <w:r>
              <w:t>DNS</w:t>
            </w:r>
            <w:r>
              <w:rPr>
                <w:rFonts w:hint="eastAsia"/>
              </w:rPr>
              <w:t>服务器地址。</w:t>
            </w:r>
          </w:p>
        </w:tc>
      </w:tr>
      <w:tr w14:paraId="57693BC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0F01DAE9">
            <w:pPr>
              <w:pStyle w:val="186"/>
              <w:widowControl w:val="0"/>
              <w:spacing w:line="240" w:lineRule="auto"/>
              <w:ind w:firstLine="0"/>
              <w:jc w:val="left"/>
            </w:pPr>
            <w:r>
              <w:rPr>
                <w:rFonts w:hint="eastAsia"/>
              </w:rPr>
              <w:t>目标位置</w:t>
            </w:r>
          </w:p>
        </w:tc>
        <w:tc>
          <w:tcPr>
            <w:tcW w:w="7331" w:type="dxa"/>
            <w:shd w:val="clear" w:color="auto" w:fill="auto"/>
          </w:tcPr>
          <w:p w14:paraId="5537C40E">
            <w:pPr>
              <w:pStyle w:val="186"/>
              <w:widowControl w:val="0"/>
              <w:spacing w:line="240" w:lineRule="auto"/>
              <w:ind w:firstLine="0"/>
              <w:jc w:val="left"/>
            </w:pPr>
            <w:r>
              <w:rPr>
                <w:rFonts w:hint="eastAsia"/>
              </w:rPr>
              <w:t>特定域名对应的目标位置，</w:t>
            </w:r>
            <w:r>
              <w:t>1-128</w:t>
            </w:r>
            <w:r>
              <w:rPr>
                <w:rFonts w:hint="eastAsia"/>
              </w:rPr>
              <w:t>的整数。可通过选择数字大小来调整静态域名位置。</w:t>
            </w:r>
          </w:p>
        </w:tc>
      </w:tr>
    </w:tbl>
    <w:p w14:paraId="7B263FD0"/>
    <w:p w14:paraId="056B1390">
      <w:pPr>
        <w:pStyle w:val="5"/>
      </w:pPr>
      <w:bookmarkStart w:id="3412" w:name="_Toc496859997"/>
      <w:bookmarkEnd w:id="3412"/>
      <w:bookmarkStart w:id="3413" w:name="_Toc493773771"/>
      <w:bookmarkStart w:id="3414" w:name="_Toc494180419"/>
      <w:bookmarkStart w:id="3415" w:name="_Toc14951572"/>
      <w:bookmarkStart w:id="3416" w:name="_Toc15484851"/>
      <w:bookmarkStart w:id="3417" w:name="_Toc23152617"/>
      <w:bookmarkStart w:id="3418" w:name="_Toc40276050"/>
      <w:bookmarkStart w:id="3419" w:name="_Toc99561544"/>
      <w:bookmarkStart w:id="3420" w:name="_Toc196728176"/>
      <w:bookmarkStart w:id="3421" w:name="_Toc172218217"/>
      <w:bookmarkStart w:id="3422" w:name="_Toc142400982"/>
      <w:bookmarkStart w:id="3423" w:name="_Toc141873466"/>
      <w:bookmarkStart w:id="3424" w:name="_Toc194080844"/>
      <w:r>
        <w:t>DNS</w:t>
      </w:r>
      <w:r>
        <w:rPr>
          <w:rFonts w:hint="eastAsia"/>
        </w:rPr>
        <w:t>透明代理配置</w:t>
      </w:r>
      <w:bookmarkEnd w:id="3413"/>
      <w:bookmarkEnd w:id="3414"/>
      <w:bookmarkEnd w:id="3415"/>
      <w:bookmarkEnd w:id="3416"/>
      <w:bookmarkEnd w:id="3417"/>
      <w:bookmarkEnd w:id="3418"/>
      <w:bookmarkEnd w:id="3419"/>
      <w:bookmarkEnd w:id="3420"/>
      <w:bookmarkEnd w:id="3421"/>
      <w:bookmarkEnd w:id="3422"/>
      <w:bookmarkEnd w:id="3423"/>
      <w:bookmarkEnd w:id="3424"/>
    </w:p>
    <w:p w14:paraId="77DA3EAC">
      <w:r>
        <w:rPr>
          <w:rFonts w:hint="eastAsia"/>
        </w:rPr>
        <w:t>DNS透明代理可以为内网用户提供统一的无感知DNS解析服务，内网用户的所有DNS请求都会通过设备进行转发，并根据用户设定的负载均衡策略，为用户返回相应的DNS请求解析结果，实现对链路带宽资源的合理利用。</w:t>
      </w:r>
    </w:p>
    <w:p w14:paraId="0AA331A4">
      <w:r>
        <w:rPr>
          <w:rFonts w:hint="eastAsia"/>
        </w:rPr>
        <w:t xml:space="preserve">通过菜单“网络配置 &gt; 基础网络 &gt; DNS服务 </w:t>
      </w:r>
      <w:r>
        <w:t xml:space="preserve"> &gt;  DNS</w:t>
      </w:r>
      <w:r>
        <w:rPr>
          <w:rFonts w:hint="eastAsia"/>
        </w:rPr>
        <w:t>透明代理”，进入如</w:t>
      </w:r>
      <w:r>
        <w:rPr>
          <w:color w:val="0000FF"/>
          <w:u w:val="single"/>
        </w:rPr>
        <w:fldChar w:fldCharType="begin"/>
      </w:r>
      <w:r>
        <w:rPr>
          <w:color w:val="0000FF"/>
          <w:u w:val="single"/>
        </w:rPr>
        <w:instrText xml:space="preserve"> </w:instrText>
      </w:r>
      <w:r>
        <w:rPr>
          <w:rFonts w:hint="eastAsia"/>
          <w:color w:val="0000FF"/>
          <w:u w:val="single"/>
        </w:rPr>
        <w:instrText xml:space="preserve">REF _Ref494126734 \r \h</w:instrText>
      </w:r>
      <w:r>
        <w:rPr>
          <w:color w:val="0000FF"/>
          <w:u w:val="single"/>
        </w:rPr>
        <w:instrText xml:space="preserve"> </w:instrText>
      </w:r>
      <w:r>
        <w:rPr>
          <w:color w:val="0000FF"/>
          <w:u w:val="single"/>
        </w:rPr>
        <w:fldChar w:fldCharType="separate"/>
      </w:r>
      <w:r>
        <w:rPr>
          <w:rFonts w:hint="eastAsia"/>
          <w:color w:val="0000FF"/>
          <w:u w:val="single"/>
        </w:rPr>
        <w:t>图11-25</w:t>
      </w:r>
      <w:r>
        <w:rPr>
          <w:color w:val="0000FF"/>
          <w:u w:val="single"/>
        </w:rPr>
        <w:fldChar w:fldCharType="end"/>
      </w:r>
      <w:r>
        <w:rPr>
          <w:rFonts w:hint="eastAsia"/>
        </w:rPr>
        <w:t>所示的页面。在该页面上，可以新建、编辑、删除、启用、设置均衡值标准、浏览</w:t>
      </w:r>
      <w:r>
        <w:t>DNS</w:t>
      </w:r>
      <w:r>
        <w:rPr>
          <w:rFonts w:hint="eastAsia"/>
        </w:rPr>
        <w:t>透明代理配置项。</w:t>
      </w:r>
    </w:p>
    <w:p w14:paraId="31B41C72">
      <w:pPr>
        <w:pStyle w:val="188"/>
      </w:pPr>
      <w:bookmarkStart w:id="3425" w:name="_Toc141874694"/>
      <w:bookmarkStart w:id="3426" w:name="_Ref494126734"/>
      <w:r>
        <w:t>DNS</w:t>
      </w:r>
      <w:r>
        <w:rPr>
          <w:rFonts w:hint="eastAsia"/>
        </w:rPr>
        <w:t>透明代理展示页面</w:t>
      </w:r>
      <w:bookmarkEnd w:id="3425"/>
      <w:bookmarkEnd w:id="3426"/>
    </w:p>
    <w:p w14:paraId="65B42045">
      <w:r>
        <w:drawing>
          <wp:inline distT="0" distB="0" distL="0" distR="0">
            <wp:extent cx="5400040" cy="864870"/>
            <wp:effectExtent l="0" t="0" r="0" b="0"/>
            <wp:docPr id="4950" name="图片 3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0" name="图片 3632"/>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a:xfrm>
                      <a:off x="0" y="0"/>
                      <a:ext cx="5400040" cy="865014"/>
                    </a:xfrm>
                    <a:prstGeom prst="rect">
                      <a:avLst/>
                    </a:prstGeom>
                    <a:noFill/>
                    <a:ln>
                      <a:noFill/>
                    </a:ln>
                  </pic:spPr>
                </pic:pic>
              </a:graphicData>
            </a:graphic>
          </wp:inline>
        </w:drawing>
      </w:r>
    </w:p>
    <w:p w14:paraId="4A46F59F"/>
    <w:p w14:paraId="1F49A696">
      <w:r>
        <w:rPr>
          <w:rFonts w:hint="eastAsia"/>
        </w:rPr>
        <w:t>单击“新建按钮”，进入如</w:t>
      </w:r>
      <w:r>
        <w:fldChar w:fldCharType="begin"/>
      </w:r>
      <w:r>
        <w:instrText xml:space="preserve"> </w:instrText>
      </w:r>
      <w:r>
        <w:rPr>
          <w:rFonts w:hint="eastAsia"/>
        </w:rPr>
        <w:instrText xml:space="preserve">REF _Ref494126741 \r \h</w:instrText>
      </w:r>
      <w:r>
        <w:instrText xml:space="preserve"> </w:instrText>
      </w:r>
      <w:r>
        <w:fldChar w:fldCharType="separate"/>
      </w:r>
      <w:r>
        <w:rPr>
          <w:rFonts w:hint="eastAsia"/>
        </w:rPr>
        <w:t>图11-26</w:t>
      </w:r>
      <w:r>
        <w:fldChar w:fldCharType="end"/>
      </w:r>
      <w:r>
        <w:rPr>
          <w:rFonts w:hint="eastAsia"/>
        </w:rPr>
        <w:t>所示的</w:t>
      </w:r>
      <w:r>
        <w:t>DNS</w:t>
      </w:r>
      <w:r>
        <w:rPr>
          <w:rFonts w:hint="eastAsia"/>
        </w:rPr>
        <w:t>透明代理配置页面。各个配置项的含义如</w:t>
      </w:r>
      <w:r>
        <w:fldChar w:fldCharType="begin"/>
      </w:r>
      <w:r>
        <w:instrText xml:space="preserve"> </w:instrText>
      </w:r>
      <w:r>
        <w:rPr>
          <w:rFonts w:hint="eastAsia"/>
        </w:rPr>
        <w:instrText xml:space="preserve">REF _Ref494126748 \r \h</w:instrText>
      </w:r>
      <w:r>
        <w:instrText xml:space="preserve"> </w:instrText>
      </w:r>
      <w:r>
        <w:fldChar w:fldCharType="separate"/>
      </w:r>
      <w:r>
        <w:rPr>
          <w:rFonts w:hint="eastAsia"/>
        </w:rPr>
        <w:t>表11-1</w:t>
      </w:r>
      <w:r>
        <w:fldChar w:fldCharType="end"/>
      </w:r>
      <w:r>
        <w:rPr>
          <w:rFonts w:hint="eastAsia"/>
        </w:rPr>
        <w:t>所示。</w:t>
      </w:r>
    </w:p>
    <w:p w14:paraId="67888974">
      <w:pPr>
        <w:pStyle w:val="188"/>
      </w:pPr>
      <w:bookmarkStart w:id="3427" w:name="_Ref494126741"/>
      <w:bookmarkStart w:id="3428" w:name="_Toc141874695"/>
      <w:r>
        <w:t>DNS</w:t>
      </w:r>
      <w:r>
        <w:rPr>
          <w:rFonts w:hint="eastAsia"/>
        </w:rPr>
        <w:t>透明代理配置页面</w:t>
      </w:r>
      <w:bookmarkEnd w:id="3427"/>
      <w:bookmarkEnd w:id="3428"/>
    </w:p>
    <w:p w14:paraId="7C0E137C">
      <w:pPr>
        <w:spacing w:before="79" w:after="79"/>
      </w:pPr>
      <w:r>
        <w:drawing>
          <wp:inline distT="0" distB="0" distL="114300" distR="114300">
            <wp:extent cx="5400040" cy="2367915"/>
            <wp:effectExtent l="0" t="0" r="0" b="0"/>
            <wp:docPr id="103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图片 112"/>
                    <pic:cNvPicPr>
                      <a:picLocks noChangeAspect="1"/>
                    </pic:cNvPicPr>
                  </pic:nvPicPr>
                  <pic:blipFill>
                    <a:blip r:embed="rId486"/>
                    <a:stretch>
                      <a:fillRect/>
                    </a:stretch>
                  </pic:blipFill>
                  <pic:spPr>
                    <a:xfrm>
                      <a:off x="0" y="0"/>
                      <a:ext cx="5400040" cy="2368124"/>
                    </a:xfrm>
                    <a:prstGeom prst="rect">
                      <a:avLst/>
                    </a:prstGeom>
                    <a:noFill/>
                    <a:ln>
                      <a:noFill/>
                    </a:ln>
                  </pic:spPr>
                </pic:pic>
              </a:graphicData>
            </a:graphic>
          </wp:inline>
        </w:drawing>
      </w:r>
    </w:p>
    <w:p w14:paraId="430E6EE9"/>
    <w:p w14:paraId="1BC1CC05">
      <w:pPr>
        <w:pStyle w:val="183"/>
      </w:pPr>
      <w:bookmarkStart w:id="3429" w:name="_Ref494126748"/>
      <w:bookmarkStart w:id="3430" w:name="_Toc141875534"/>
      <w:r>
        <w:t>DNS</w:t>
      </w:r>
      <w:r>
        <w:rPr>
          <w:rFonts w:hint="eastAsia"/>
        </w:rPr>
        <w:t>透明代理配置说明</w:t>
      </w:r>
      <w:bookmarkEnd w:id="3429"/>
      <w:bookmarkEnd w:id="3430"/>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639"/>
        <w:gridCol w:w="7331"/>
      </w:tblGrid>
      <w:tr w14:paraId="429C0F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tcBorders>
              <w:tl2br w:val="nil"/>
              <w:tr2bl w:val="nil"/>
            </w:tcBorders>
            <w:shd w:val="clear" w:color="auto" w:fill="538135" w:themeFill="accent6" w:themeFillShade="BF"/>
            <w:vAlign w:val="center"/>
          </w:tcPr>
          <w:p w14:paraId="74BC9A74">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参数</w:t>
            </w:r>
          </w:p>
        </w:tc>
        <w:tc>
          <w:tcPr>
            <w:tcW w:w="7331" w:type="dxa"/>
            <w:tcBorders>
              <w:tl2br w:val="nil"/>
              <w:tr2bl w:val="nil"/>
            </w:tcBorders>
            <w:shd w:val="clear" w:color="auto" w:fill="538135" w:themeFill="accent6" w:themeFillShade="BF"/>
            <w:vAlign w:val="center"/>
          </w:tcPr>
          <w:p w14:paraId="027E4EA7">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3656B0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780D2E26">
            <w:pPr>
              <w:pStyle w:val="186"/>
              <w:widowControl w:val="0"/>
              <w:spacing w:line="240" w:lineRule="auto"/>
              <w:ind w:firstLine="0"/>
              <w:jc w:val="left"/>
            </w:pPr>
            <w:r>
              <w:t>DNS</w:t>
            </w:r>
            <w:r>
              <w:rPr>
                <w:rFonts w:hint="eastAsia"/>
              </w:rPr>
              <w:t>链路</w:t>
            </w:r>
          </w:p>
        </w:tc>
        <w:tc>
          <w:tcPr>
            <w:tcW w:w="7331" w:type="dxa"/>
            <w:shd w:val="clear" w:color="auto" w:fill="auto"/>
          </w:tcPr>
          <w:p w14:paraId="2CB052CE">
            <w:pPr>
              <w:pStyle w:val="186"/>
              <w:widowControl w:val="0"/>
              <w:spacing w:line="240" w:lineRule="auto"/>
              <w:ind w:firstLine="0"/>
              <w:jc w:val="left"/>
            </w:pPr>
            <w:r>
              <w:t>DNS</w:t>
            </w:r>
            <w:r>
              <w:rPr>
                <w:rFonts w:hint="eastAsia"/>
              </w:rPr>
              <w:t>出接口名称例如：</w:t>
            </w:r>
            <w:r>
              <w:t>GE0。</w:t>
            </w:r>
          </w:p>
        </w:tc>
      </w:tr>
      <w:tr w14:paraId="4D300A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64C6A162">
            <w:pPr>
              <w:pStyle w:val="186"/>
              <w:widowControl w:val="0"/>
              <w:spacing w:line="240" w:lineRule="auto"/>
              <w:ind w:firstLine="0"/>
              <w:jc w:val="left"/>
            </w:pPr>
            <w:r>
              <w:t>DNS</w:t>
            </w:r>
            <w:r>
              <w:rPr>
                <w:rFonts w:hint="eastAsia"/>
              </w:rPr>
              <w:t>链路均衡值</w:t>
            </w:r>
          </w:p>
        </w:tc>
        <w:tc>
          <w:tcPr>
            <w:tcW w:w="7331" w:type="dxa"/>
            <w:shd w:val="clear" w:color="auto" w:fill="auto"/>
          </w:tcPr>
          <w:p w14:paraId="332A2A42">
            <w:pPr>
              <w:pStyle w:val="186"/>
              <w:widowControl w:val="0"/>
              <w:spacing w:line="240" w:lineRule="auto"/>
              <w:ind w:firstLine="0"/>
              <w:jc w:val="left"/>
            </w:pPr>
            <w:r>
              <w:rPr>
                <w:rFonts w:hint="eastAsia"/>
              </w:rPr>
              <w:t>权重、优先级和流量的数值，取值范围为：</w:t>
            </w:r>
            <w:r>
              <w:t>1-100。</w:t>
            </w:r>
            <w:r>
              <w:rPr>
                <w:rFonts w:hint="eastAsia"/>
              </w:rPr>
              <w:t>用于判断链路的权重比例、优先级程度或流量比例。</w:t>
            </w:r>
          </w:p>
          <w:p w14:paraId="73A3F0E7">
            <w:pPr>
              <w:pStyle w:val="186"/>
              <w:widowControl w:val="0"/>
              <w:spacing w:line="240" w:lineRule="auto"/>
              <w:ind w:firstLine="0"/>
              <w:jc w:val="left"/>
            </w:pPr>
            <w:r>
              <w:rPr>
                <w:rFonts w:hint="eastAsia"/>
              </w:rPr>
              <w:t>对于权重负载模式，按照均衡值比例转发DNS请求。</w:t>
            </w:r>
          </w:p>
          <w:p w14:paraId="735DC055">
            <w:pPr>
              <w:pStyle w:val="186"/>
              <w:widowControl w:val="0"/>
              <w:spacing w:line="240" w:lineRule="auto"/>
              <w:ind w:firstLine="0"/>
              <w:jc w:val="left"/>
            </w:pPr>
            <w:r>
              <w:rPr>
                <w:rFonts w:hint="eastAsia"/>
              </w:rPr>
              <w:t>对于优先级负载模式，选择均衡值小的链路优先转发。</w:t>
            </w:r>
          </w:p>
          <w:p w14:paraId="6EA864CD">
            <w:pPr>
              <w:pStyle w:val="186"/>
              <w:widowControl w:val="0"/>
              <w:spacing w:line="240" w:lineRule="auto"/>
              <w:ind w:firstLine="0"/>
              <w:jc w:val="left"/>
            </w:pPr>
            <w:r>
              <w:rPr>
                <w:rFonts w:hint="eastAsia"/>
              </w:rPr>
              <w:t>对于流量负载模式，按照均衡值比例转发链路DNS流量。</w:t>
            </w:r>
          </w:p>
        </w:tc>
      </w:tr>
      <w:tr w14:paraId="755806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47071EBC">
            <w:pPr>
              <w:pStyle w:val="186"/>
              <w:widowControl w:val="0"/>
              <w:spacing w:line="240" w:lineRule="auto"/>
              <w:ind w:firstLine="0"/>
              <w:jc w:val="left"/>
            </w:pPr>
            <w:r>
              <w:t>DNS</w:t>
            </w:r>
            <w:r>
              <w:rPr>
                <w:rFonts w:hint="eastAsia"/>
              </w:rPr>
              <w:t>模式选择</w:t>
            </w:r>
          </w:p>
        </w:tc>
        <w:tc>
          <w:tcPr>
            <w:tcW w:w="7331" w:type="dxa"/>
            <w:shd w:val="clear" w:color="auto" w:fill="auto"/>
          </w:tcPr>
          <w:p w14:paraId="7732DD13">
            <w:pPr>
              <w:pStyle w:val="186"/>
              <w:widowControl w:val="0"/>
              <w:spacing w:line="240" w:lineRule="auto"/>
              <w:ind w:firstLine="0"/>
              <w:jc w:val="left"/>
            </w:pPr>
            <w:r>
              <w:rPr>
                <w:rFonts w:hint="eastAsia"/>
              </w:rPr>
              <w:t>透明代理的规则分为</w:t>
            </w:r>
            <w:r>
              <w:t>2</w:t>
            </w:r>
            <w:r>
              <w:rPr>
                <w:rFonts w:hint="eastAsia"/>
              </w:rPr>
              <w:t>种类型：手工配置和自动链路继承。手工配置是指对于配置有</w:t>
            </w:r>
            <w:r>
              <w:t>IP</w:t>
            </w:r>
            <w:r>
              <w:rPr>
                <w:rFonts w:hint="eastAsia"/>
              </w:rPr>
              <w:t>地址的三层网络接口，需要人为的配置正确的</w:t>
            </w:r>
            <w:r>
              <w:t>DNS</w:t>
            </w:r>
            <w:r>
              <w:rPr>
                <w:rFonts w:hint="eastAsia"/>
              </w:rPr>
              <w:t>服务器地址才能正常域名解析的类型。自动链路继承是指对于配置为</w:t>
            </w:r>
            <w:r>
              <w:t>DHCP</w:t>
            </w:r>
            <w:r>
              <w:rPr>
                <w:rFonts w:hint="eastAsia"/>
              </w:rPr>
              <w:t>或</w:t>
            </w:r>
            <w:r>
              <w:t>PPPOE</w:t>
            </w:r>
            <w:r>
              <w:rPr>
                <w:rFonts w:hint="eastAsia"/>
              </w:rPr>
              <w:t>类型的网络接口，既可以人为配置</w:t>
            </w:r>
            <w:r>
              <w:t>DNS</w:t>
            </w:r>
            <w:r>
              <w:rPr>
                <w:rFonts w:hint="eastAsia"/>
              </w:rPr>
              <w:t>服务器地址也可以从地址服务器端获取</w:t>
            </w:r>
            <w:r>
              <w:t>DNS</w:t>
            </w:r>
            <w:r>
              <w:rPr>
                <w:rFonts w:hint="eastAsia"/>
              </w:rPr>
              <w:t>服务器地址的类型。</w:t>
            </w:r>
          </w:p>
        </w:tc>
      </w:tr>
      <w:tr w14:paraId="05C95C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4CF9A768">
            <w:pPr>
              <w:pStyle w:val="186"/>
              <w:widowControl w:val="0"/>
              <w:spacing w:line="240" w:lineRule="auto"/>
              <w:ind w:firstLine="0"/>
              <w:jc w:val="left"/>
            </w:pPr>
            <w:r>
              <w:rPr>
                <w:rFonts w:hint="eastAsia"/>
              </w:rPr>
              <w:t>主</w:t>
            </w:r>
            <w:r>
              <w:t>DNS</w:t>
            </w:r>
          </w:p>
        </w:tc>
        <w:tc>
          <w:tcPr>
            <w:tcW w:w="7331" w:type="dxa"/>
            <w:shd w:val="clear" w:color="auto" w:fill="auto"/>
          </w:tcPr>
          <w:p w14:paraId="2098177A">
            <w:pPr>
              <w:pStyle w:val="186"/>
              <w:widowControl w:val="0"/>
              <w:spacing w:line="240" w:lineRule="auto"/>
              <w:ind w:firstLine="0"/>
              <w:jc w:val="left"/>
            </w:pPr>
            <w:r>
              <w:rPr>
                <w:rFonts w:hint="eastAsia"/>
              </w:rPr>
              <w:t>第一个</w:t>
            </w:r>
            <w:r>
              <w:t>DNS</w:t>
            </w:r>
            <w:r>
              <w:rPr>
                <w:rFonts w:hint="eastAsia"/>
              </w:rPr>
              <w:t>服务器</w:t>
            </w:r>
            <w:r>
              <w:t>IP。</w:t>
            </w:r>
          </w:p>
        </w:tc>
      </w:tr>
      <w:tr w14:paraId="6434AE0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18FC774F">
            <w:pPr>
              <w:pStyle w:val="186"/>
              <w:widowControl w:val="0"/>
              <w:spacing w:line="240" w:lineRule="auto"/>
              <w:ind w:firstLine="0"/>
              <w:jc w:val="left"/>
            </w:pPr>
            <w:r>
              <w:rPr>
                <w:rFonts w:hint="eastAsia"/>
              </w:rPr>
              <w:t>备</w:t>
            </w:r>
            <w:r>
              <w:t>DNS</w:t>
            </w:r>
          </w:p>
        </w:tc>
        <w:tc>
          <w:tcPr>
            <w:tcW w:w="7331" w:type="dxa"/>
            <w:shd w:val="clear" w:color="auto" w:fill="auto"/>
          </w:tcPr>
          <w:p w14:paraId="2879D031">
            <w:pPr>
              <w:pStyle w:val="186"/>
              <w:widowControl w:val="0"/>
              <w:spacing w:line="240" w:lineRule="auto"/>
              <w:ind w:firstLine="0"/>
              <w:jc w:val="left"/>
            </w:pPr>
            <w:r>
              <w:rPr>
                <w:rFonts w:hint="eastAsia"/>
              </w:rPr>
              <w:t>第二个</w:t>
            </w:r>
            <w:r>
              <w:t>DNS</w:t>
            </w:r>
            <w:r>
              <w:rPr>
                <w:rFonts w:hint="eastAsia"/>
              </w:rPr>
              <w:t>服务器</w:t>
            </w:r>
            <w:r>
              <w:t>IP。</w:t>
            </w:r>
          </w:p>
        </w:tc>
      </w:tr>
    </w:tbl>
    <w:p w14:paraId="54046422"/>
    <w:p w14:paraId="47824B49">
      <w:r>
        <w:rPr>
          <w:rFonts w:hint="eastAsia"/>
        </w:rPr>
        <w:t>创建DNS透明代理后，用户可以在DNS透明代理页签下勾选启用代理复选框启用DNS透明代理功能，并选择基于权重、优先级或流量三种模式转发DNS请求。</w:t>
      </w:r>
    </w:p>
    <w:p w14:paraId="6C8F0EAD">
      <w:pPr>
        <w:pStyle w:val="188"/>
      </w:pPr>
      <w:bookmarkStart w:id="3431" w:name="_Toc141874696"/>
      <w:r>
        <w:rPr>
          <w:rFonts w:hint="eastAsia"/>
        </w:rPr>
        <w:t>启用DNS透明代理</w:t>
      </w:r>
      <w:bookmarkEnd w:id="3431"/>
    </w:p>
    <w:p w14:paraId="4732F6E9">
      <w:pPr>
        <w:spacing w:before="79" w:after="79"/>
      </w:pPr>
      <w:r>
        <w:drawing>
          <wp:inline distT="0" distB="0" distL="0" distR="0">
            <wp:extent cx="5400040" cy="981710"/>
            <wp:effectExtent l="0" t="0" r="0" b="8890"/>
            <wp:docPr id="4951" name="图片 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1" name="图片 2842"/>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a:xfrm>
                      <a:off x="0" y="0"/>
                      <a:ext cx="5400040" cy="981825"/>
                    </a:xfrm>
                    <a:prstGeom prst="rect">
                      <a:avLst/>
                    </a:prstGeom>
                    <a:noFill/>
                    <a:ln>
                      <a:noFill/>
                    </a:ln>
                  </pic:spPr>
                </pic:pic>
              </a:graphicData>
            </a:graphic>
          </wp:inline>
        </w:drawing>
      </w:r>
    </w:p>
    <w:p w14:paraId="0937306D"/>
    <w:p w14:paraId="254968AB">
      <w:pPr>
        <w:pStyle w:val="183"/>
      </w:pPr>
      <w:bookmarkStart w:id="3432" w:name="_Toc141875535"/>
      <w:r>
        <w:rPr>
          <w:rFonts w:hint="eastAsia"/>
        </w:rPr>
        <w:t>DNS透明代理转发模式说明</w:t>
      </w:r>
      <w:bookmarkEnd w:id="3432"/>
    </w:p>
    <w:tbl>
      <w:tblPr>
        <w:tblStyle w:val="173"/>
        <w:tblW w:w="964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083"/>
        <w:gridCol w:w="8565"/>
      </w:tblGrid>
      <w:tr w14:paraId="5393D49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083" w:type="dxa"/>
            <w:tcBorders>
              <w:tl2br w:val="nil"/>
              <w:tr2bl w:val="nil"/>
            </w:tcBorders>
            <w:shd w:val="clear" w:color="auto" w:fill="538135" w:themeFill="accent6" w:themeFillShade="BF"/>
            <w:vAlign w:val="center"/>
          </w:tcPr>
          <w:p w14:paraId="0C411BE6">
            <w:pPr>
              <w:pStyle w:val="186"/>
              <w:widowControl w:val="0"/>
              <w:wordWrap/>
              <w:spacing w:line="240" w:lineRule="auto"/>
              <w:ind w:firstLine="0"/>
              <w:jc w:val="center"/>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8565" w:type="dxa"/>
            <w:tcBorders>
              <w:tl2br w:val="nil"/>
              <w:tr2bl w:val="nil"/>
            </w:tcBorders>
            <w:shd w:val="clear" w:color="auto" w:fill="538135" w:themeFill="accent6" w:themeFillShade="BF"/>
            <w:vAlign w:val="center"/>
          </w:tcPr>
          <w:p w14:paraId="38D80DBD">
            <w:pPr>
              <w:pStyle w:val="186"/>
              <w:widowControl w:val="0"/>
              <w:wordWrap/>
              <w:spacing w:line="240" w:lineRule="auto"/>
              <w:ind w:firstLine="0"/>
              <w:jc w:val="center"/>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27DE9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083" w:type="dxa"/>
            <w:shd w:val="clear" w:color="auto" w:fill="auto"/>
          </w:tcPr>
          <w:p w14:paraId="694E8E66">
            <w:pPr>
              <w:pStyle w:val="186"/>
              <w:widowControl w:val="0"/>
              <w:spacing w:line="240" w:lineRule="auto"/>
              <w:ind w:firstLine="0"/>
              <w:jc w:val="left"/>
            </w:pPr>
            <w:r>
              <w:rPr>
                <w:rFonts w:hint="eastAsia"/>
              </w:rPr>
              <w:t>权重</w:t>
            </w:r>
          </w:p>
        </w:tc>
        <w:tc>
          <w:tcPr>
            <w:tcW w:w="8565" w:type="dxa"/>
            <w:shd w:val="clear" w:color="auto" w:fill="auto"/>
          </w:tcPr>
          <w:p w14:paraId="05B9C316">
            <w:pPr>
              <w:pStyle w:val="186"/>
              <w:widowControl w:val="0"/>
              <w:spacing w:line="240" w:lineRule="auto"/>
              <w:ind w:firstLine="0"/>
              <w:jc w:val="left"/>
            </w:pPr>
            <w:r>
              <w:rPr>
                <w:rFonts w:hint="eastAsia"/>
              </w:rPr>
              <w:t>根据权重值的比例转发DNS请求。例如：A链路设置权重值1，B链路设置权重值2，则A和B链路的D</w:t>
            </w:r>
            <w:r>
              <w:t>NS</w:t>
            </w:r>
            <w:r>
              <w:rPr>
                <w:rFonts w:hint="eastAsia"/>
              </w:rPr>
              <w:t>请求向主备DNS服务器按照1：2比例进行转发。</w:t>
            </w:r>
          </w:p>
        </w:tc>
      </w:tr>
      <w:tr w14:paraId="12EACED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083" w:type="dxa"/>
            <w:shd w:val="clear" w:color="auto" w:fill="auto"/>
          </w:tcPr>
          <w:p w14:paraId="736B0ACD">
            <w:pPr>
              <w:pStyle w:val="186"/>
              <w:widowControl w:val="0"/>
              <w:spacing w:line="240" w:lineRule="auto"/>
              <w:ind w:firstLine="0"/>
              <w:jc w:val="left"/>
            </w:pPr>
            <w:r>
              <w:rPr>
                <w:rFonts w:hint="eastAsia"/>
              </w:rPr>
              <w:t>优先级</w:t>
            </w:r>
          </w:p>
        </w:tc>
        <w:tc>
          <w:tcPr>
            <w:tcW w:w="8565" w:type="dxa"/>
            <w:shd w:val="clear" w:color="auto" w:fill="auto"/>
          </w:tcPr>
          <w:p w14:paraId="6C8A5BA6">
            <w:pPr>
              <w:pStyle w:val="186"/>
              <w:widowControl w:val="0"/>
              <w:spacing w:line="240" w:lineRule="auto"/>
              <w:ind w:firstLine="0"/>
              <w:jc w:val="left"/>
              <w:rPr>
                <w:rFonts w:cs="方正兰亭黑简体"/>
                <w:color w:val="0070C0"/>
              </w:rPr>
            </w:pPr>
            <w:r>
              <w:rPr>
                <w:rFonts w:hint="eastAsia"/>
              </w:rPr>
              <w:t>指定DNS链路转发的先后顺序，当优先级高的DNS链路出现故障后，优先级低的DNS链路接管DNS转发请求。优先级通过均衡值体现，均衡值越小，优先级越高。例如：A链路设置均衡值1，B链路设置均衡值2，则DNS请求由A链路转发，此时链路B不转发DNS请求；当A线路发生故障后，继续由B链路转发D</w:t>
            </w:r>
            <w:r>
              <w:t>NS</w:t>
            </w:r>
            <w:r>
              <w:rPr>
                <w:rFonts w:hint="eastAsia"/>
              </w:rPr>
              <w:t>请求。</w:t>
            </w:r>
          </w:p>
        </w:tc>
      </w:tr>
      <w:tr w14:paraId="10554A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083" w:type="dxa"/>
            <w:shd w:val="clear" w:color="auto" w:fill="auto"/>
          </w:tcPr>
          <w:p w14:paraId="550DD85C">
            <w:pPr>
              <w:pStyle w:val="186"/>
              <w:widowControl w:val="0"/>
              <w:spacing w:line="240" w:lineRule="auto"/>
              <w:ind w:firstLine="0"/>
              <w:jc w:val="left"/>
            </w:pPr>
            <w:r>
              <w:rPr>
                <w:rFonts w:hint="eastAsia"/>
              </w:rPr>
              <w:t>流量</w:t>
            </w:r>
          </w:p>
        </w:tc>
        <w:tc>
          <w:tcPr>
            <w:tcW w:w="8565" w:type="dxa"/>
            <w:shd w:val="clear" w:color="auto" w:fill="auto"/>
          </w:tcPr>
          <w:p w14:paraId="0F321B7D">
            <w:pPr>
              <w:pStyle w:val="186"/>
              <w:widowControl w:val="0"/>
              <w:spacing w:line="240" w:lineRule="auto"/>
              <w:ind w:firstLine="0"/>
              <w:jc w:val="left"/>
              <w:rPr>
                <w:rFonts w:cs="方正兰亭黑简体"/>
                <w:color w:val="0070C0"/>
              </w:rPr>
            </w:pPr>
            <w:r>
              <w:rPr>
                <w:rFonts w:hint="eastAsia"/>
              </w:rPr>
              <w:t>根据均衡值设置转发DNS流量。例如：A链路均衡值为1，B链路均衡值为2，则A和B链路根据1：2比例转发DNS流量。</w:t>
            </w:r>
          </w:p>
        </w:tc>
      </w:tr>
    </w:tbl>
    <w:p w14:paraId="331CA927"/>
    <w:p w14:paraId="6D920C84">
      <w:pPr>
        <w:pStyle w:val="5"/>
      </w:pPr>
      <w:bookmarkStart w:id="3433" w:name="_Toc496859999"/>
      <w:bookmarkEnd w:id="3433"/>
      <w:bookmarkStart w:id="3434" w:name="_Toc493773772"/>
      <w:bookmarkStart w:id="3435" w:name="_Toc494180420"/>
      <w:bookmarkStart w:id="3436" w:name="_Toc172218218"/>
      <w:bookmarkStart w:id="3437" w:name="_Toc141873467"/>
      <w:bookmarkStart w:id="3438" w:name="_Toc23152618"/>
      <w:bookmarkStart w:id="3439" w:name="_Toc14951573"/>
      <w:bookmarkStart w:id="3440" w:name="_Toc196728177"/>
      <w:bookmarkStart w:id="3441" w:name="_Toc99561545"/>
      <w:bookmarkStart w:id="3442" w:name="_Toc15484852"/>
      <w:bookmarkStart w:id="3443" w:name="_Toc40276051"/>
      <w:bookmarkStart w:id="3444" w:name="_Toc194080845"/>
      <w:bookmarkStart w:id="3445" w:name="_Toc142400983"/>
      <w:r>
        <w:t>DNS</w:t>
      </w:r>
      <w:r>
        <w:rPr>
          <w:rFonts w:hint="eastAsia"/>
        </w:rPr>
        <w:t>服务器配置</w:t>
      </w:r>
      <w:bookmarkEnd w:id="3434"/>
      <w:bookmarkEnd w:id="3435"/>
      <w:bookmarkEnd w:id="3436"/>
      <w:bookmarkEnd w:id="3437"/>
      <w:bookmarkEnd w:id="3438"/>
      <w:bookmarkEnd w:id="3439"/>
      <w:bookmarkEnd w:id="3440"/>
      <w:bookmarkEnd w:id="3441"/>
      <w:bookmarkEnd w:id="3442"/>
      <w:bookmarkEnd w:id="3443"/>
      <w:bookmarkEnd w:id="3444"/>
      <w:bookmarkEnd w:id="3445"/>
    </w:p>
    <w:p w14:paraId="16F70B82">
      <w:r>
        <w:rPr>
          <w:rFonts w:hint="eastAsia"/>
        </w:rPr>
        <w:t>通过菜单“网络配置 &gt; 基础网络 &gt; DNS服务</w:t>
      </w:r>
      <w:r>
        <w:t xml:space="preserve"> -&gt; DNS</w:t>
      </w:r>
      <w:r>
        <w:rPr>
          <w:rFonts w:hint="eastAsia"/>
        </w:rPr>
        <w:t>服务器”，进入如</w:t>
      </w:r>
      <w:r>
        <w:rPr>
          <w:color w:val="0000FF"/>
          <w:u w:val="single"/>
        </w:rPr>
        <w:fldChar w:fldCharType="begin"/>
      </w:r>
      <w:r>
        <w:rPr>
          <w:color w:val="0000FF"/>
          <w:u w:val="single"/>
        </w:rPr>
        <w:instrText xml:space="preserve"> </w:instrText>
      </w:r>
      <w:r>
        <w:rPr>
          <w:rFonts w:hint="eastAsia"/>
          <w:color w:val="0000FF"/>
          <w:u w:val="single"/>
        </w:rPr>
        <w:instrText xml:space="preserve">REF _Ref494126759 \r \h</w:instrText>
      </w:r>
      <w:r>
        <w:rPr>
          <w:color w:val="0000FF"/>
          <w:u w:val="single"/>
        </w:rPr>
        <w:instrText xml:space="preserve"> </w:instrText>
      </w:r>
      <w:r>
        <w:rPr>
          <w:color w:val="0000FF"/>
          <w:u w:val="single"/>
        </w:rPr>
        <w:fldChar w:fldCharType="separate"/>
      </w:r>
      <w:r>
        <w:rPr>
          <w:rFonts w:hint="eastAsia"/>
          <w:color w:val="0000FF"/>
          <w:u w:val="single"/>
        </w:rPr>
        <w:t>图11-28</w:t>
      </w:r>
      <w:r>
        <w:rPr>
          <w:color w:val="0000FF"/>
          <w:u w:val="single"/>
        </w:rPr>
        <w:fldChar w:fldCharType="end"/>
      </w:r>
      <w:r>
        <w:rPr>
          <w:rFonts w:hint="eastAsia"/>
        </w:rPr>
        <w:t>所示的页面。在该页面上，可以启用禁用</w:t>
      </w:r>
      <w:r>
        <w:t>DNS</w:t>
      </w:r>
      <w:r>
        <w:rPr>
          <w:rFonts w:hint="eastAsia"/>
        </w:rPr>
        <w:t>代理、编辑</w:t>
      </w:r>
      <w:r>
        <w:t>DNS</w:t>
      </w:r>
      <w:r>
        <w:rPr>
          <w:rFonts w:hint="eastAsia"/>
        </w:rPr>
        <w:t>服务器配置项。无论启用或禁用，各个</w:t>
      </w:r>
      <w:r>
        <w:t>DNS</w:t>
      </w:r>
      <w:r>
        <w:rPr>
          <w:rFonts w:hint="eastAsia"/>
        </w:rPr>
        <w:t>服务器是设备本身请求域名解析的服务器地址。各个配置项的含义如</w:t>
      </w:r>
      <w:r>
        <w:rPr>
          <w:color w:val="0000FF"/>
          <w:u w:val="single"/>
        </w:rPr>
        <w:fldChar w:fldCharType="begin"/>
      </w:r>
      <w:r>
        <w:rPr>
          <w:color w:val="0000FF"/>
          <w:u w:val="single"/>
        </w:rPr>
        <w:instrText xml:space="preserve"> </w:instrText>
      </w:r>
      <w:r>
        <w:rPr>
          <w:rFonts w:hint="eastAsia"/>
          <w:color w:val="0000FF"/>
          <w:u w:val="single"/>
        </w:rPr>
        <w:instrText xml:space="preserve">REF _Ref494126766 \r \h</w:instrText>
      </w:r>
      <w:r>
        <w:rPr>
          <w:color w:val="0000FF"/>
          <w:u w:val="single"/>
        </w:rPr>
        <w:instrText xml:space="preserve"> </w:instrText>
      </w:r>
      <w:r>
        <w:rPr>
          <w:color w:val="0000FF"/>
          <w:u w:val="single"/>
        </w:rPr>
        <w:fldChar w:fldCharType="separate"/>
      </w:r>
      <w:r>
        <w:rPr>
          <w:rFonts w:hint="eastAsia"/>
          <w:color w:val="0000FF"/>
          <w:u w:val="single"/>
        </w:rPr>
        <w:t>表11-1</w:t>
      </w:r>
      <w:r>
        <w:rPr>
          <w:color w:val="0000FF"/>
          <w:u w:val="single"/>
        </w:rPr>
        <w:fldChar w:fldCharType="end"/>
      </w:r>
      <w:r>
        <w:rPr>
          <w:rFonts w:hint="eastAsia"/>
        </w:rPr>
        <w:t>所示。</w:t>
      </w:r>
    </w:p>
    <w:p w14:paraId="1E812EE7">
      <w:pPr>
        <w:pStyle w:val="188"/>
      </w:pPr>
      <w:bookmarkStart w:id="3446" w:name="_Ref494126759"/>
      <w:bookmarkStart w:id="3447" w:name="_Toc141874697"/>
      <w:r>
        <w:t>DNS</w:t>
      </w:r>
      <w:r>
        <w:rPr>
          <w:rFonts w:hint="eastAsia"/>
        </w:rPr>
        <w:t>服务器配置页面</w:t>
      </w:r>
      <w:bookmarkEnd w:id="3446"/>
      <w:bookmarkEnd w:id="3447"/>
    </w:p>
    <w:p w14:paraId="5CF121FE">
      <w:r>
        <w:drawing>
          <wp:inline distT="0" distB="0" distL="0" distR="0">
            <wp:extent cx="4786630" cy="2884805"/>
            <wp:effectExtent l="0" t="0" r="0" b="0"/>
            <wp:docPr id="4952" name="图片 4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2" name="图片 4952"/>
                    <pic:cNvPicPr>
                      <a:picLocks noChangeAspect="1"/>
                    </pic:cNvPicPr>
                  </pic:nvPicPr>
                  <pic:blipFill>
                    <a:blip r:embed="rId488"/>
                    <a:stretch>
                      <a:fillRect/>
                    </a:stretch>
                  </pic:blipFill>
                  <pic:spPr>
                    <a:xfrm>
                      <a:off x="0" y="0"/>
                      <a:ext cx="4792424" cy="2888473"/>
                    </a:xfrm>
                    <a:prstGeom prst="rect">
                      <a:avLst/>
                    </a:prstGeom>
                  </pic:spPr>
                </pic:pic>
              </a:graphicData>
            </a:graphic>
          </wp:inline>
        </w:drawing>
      </w:r>
    </w:p>
    <w:p w14:paraId="29B1F174"/>
    <w:p w14:paraId="2A88C35D">
      <w:pPr>
        <w:pStyle w:val="183"/>
      </w:pPr>
      <w:bookmarkStart w:id="3448" w:name="_Ref494126766"/>
      <w:bookmarkStart w:id="3449" w:name="_Toc141875536"/>
      <w:r>
        <w:t>DNS</w:t>
      </w:r>
      <w:r>
        <w:rPr>
          <w:rFonts w:hint="eastAsia"/>
        </w:rPr>
        <w:t>服务器配置说明</w:t>
      </w:r>
      <w:bookmarkEnd w:id="3448"/>
      <w:bookmarkEnd w:id="3449"/>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639"/>
        <w:gridCol w:w="7331"/>
      </w:tblGrid>
      <w:tr w14:paraId="7B62C14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tcBorders>
              <w:tl2br w:val="nil"/>
              <w:tr2bl w:val="nil"/>
            </w:tcBorders>
            <w:shd w:val="clear" w:color="auto" w:fill="538135" w:themeFill="accent6" w:themeFillShade="BF"/>
            <w:vAlign w:val="center"/>
          </w:tcPr>
          <w:p w14:paraId="5BBB808E">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331" w:type="dxa"/>
            <w:tcBorders>
              <w:tl2br w:val="nil"/>
              <w:tr2bl w:val="nil"/>
            </w:tcBorders>
            <w:shd w:val="clear" w:color="auto" w:fill="538135" w:themeFill="accent6" w:themeFillShade="BF"/>
            <w:vAlign w:val="center"/>
          </w:tcPr>
          <w:p w14:paraId="433FA326">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5CD4D2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29" w:hRule="atLeast"/>
        </w:trPr>
        <w:tc>
          <w:tcPr>
            <w:tcW w:w="1639" w:type="dxa"/>
            <w:shd w:val="clear" w:color="auto" w:fill="auto"/>
          </w:tcPr>
          <w:p w14:paraId="169E47F2">
            <w:pPr>
              <w:pStyle w:val="186"/>
              <w:widowControl w:val="0"/>
              <w:spacing w:line="240" w:lineRule="auto"/>
              <w:ind w:firstLine="0"/>
              <w:jc w:val="left"/>
            </w:pPr>
          </w:p>
        </w:tc>
        <w:tc>
          <w:tcPr>
            <w:tcW w:w="7331" w:type="dxa"/>
            <w:shd w:val="clear" w:color="auto" w:fill="auto"/>
          </w:tcPr>
          <w:p w14:paraId="513ABF64">
            <w:pPr>
              <w:pStyle w:val="186"/>
              <w:widowControl w:val="0"/>
              <w:spacing w:line="240" w:lineRule="auto"/>
              <w:ind w:firstLine="0"/>
              <w:jc w:val="left"/>
            </w:pPr>
            <w:r>
              <w:rPr>
                <w:rFonts w:hint="eastAsia"/>
              </w:rPr>
              <w:t>启用或关闭</w:t>
            </w:r>
            <w:r>
              <w:t>DNS</w:t>
            </w:r>
            <w:r>
              <w:rPr>
                <w:rFonts w:hint="eastAsia"/>
              </w:rPr>
              <w:t>服务，当</w:t>
            </w:r>
            <w:r>
              <w:t>PC</w:t>
            </w:r>
            <w:r>
              <w:rPr>
                <w:rFonts w:hint="eastAsia"/>
              </w:rPr>
              <w:t>的</w:t>
            </w:r>
            <w:r>
              <w:t>DNS</w:t>
            </w:r>
            <w:r>
              <w:rPr>
                <w:rFonts w:hint="eastAsia"/>
              </w:rPr>
              <w:t>指向设备时充当</w:t>
            </w:r>
            <w:r>
              <w:t>DNS</w:t>
            </w:r>
            <w:r>
              <w:rPr>
                <w:rFonts w:hint="eastAsia"/>
              </w:rPr>
              <w:t>服务器代理功能，启用该功能后，所有DNS请求都将在用户配置的DNS服务器上完成解析和响应，并完成统计和缓存。</w:t>
            </w:r>
          </w:p>
        </w:tc>
      </w:tr>
      <w:tr w14:paraId="6AE197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3" w:hRule="atLeast"/>
        </w:trPr>
        <w:tc>
          <w:tcPr>
            <w:tcW w:w="1639" w:type="dxa"/>
            <w:shd w:val="clear" w:color="auto" w:fill="auto"/>
          </w:tcPr>
          <w:p w14:paraId="401675C3">
            <w:pPr>
              <w:pStyle w:val="186"/>
              <w:widowControl w:val="0"/>
              <w:spacing w:line="240" w:lineRule="auto"/>
              <w:ind w:firstLine="0"/>
              <w:jc w:val="left"/>
            </w:pPr>
            <w:r>
              <w:t>DNS</w:t>
            </w:r>
            <w:r>
              <w:rPr>
                <w:rFonts w:hint="eastAsia"/>
              </w:rPr>
              <w:t>服务器</w:t>
            </w:r>
            <w:r>
              <w:t>1</w:t>
            </w:r>
          </w:p>
        </w:tc>
        <w:tc>
          <w:tcPr>
            <w:tcW w:w="7331" w:type="dxa"/>
            <w:shd w:val="clear" w:color="auto" w:fill="auto"/>
          </w:tcPr>
          <w:p w14:paraId="38B09F72">
            <w:pPr>
              <w:pStyle w:val="186"/>
              <w:widowControl w:val="0"/>
              <w:spacing w:line="240" w:lineRule="auto"/>
              <w:ind w:firstLine="0"/>
              <w:jc w:val="left"/>
            </w:pPr>
            <w:r>
              <w:rPr>
                <w:rFonts w:hint="eastAsia"/>
              </w:rPr>
              <w:t>远端</w:t>
            </w:r>
            <w:r>
              <w:t>DNS</w:t>
            </w:r>
            <w:r>
              <w:rPr>
                <w:rFonts w:hint="eastAsia"/>
              </w:rPr>
              <w:t>服务器</w:t>
            </w:r>
            <w:r>
              <w:t>1</w:t>
            </w:r>
            <w:r>
              <w:rPr>
                <w:rFonts w:hint="eastAsia"/>
              </w:rPr>
              <w:t>，设备第一次解析</w:t>
            </w:r>
            <w:r>
              <w:t>DNS</w:t>
            </w:r>
            <w:r>
              <w:rPr>
                <w:rFonts w:hint="eastAsia"/>
              </w:rPr>
              <w:t>请求时，将向该</w:t>
            </w:r>
            <w:r>
              <w:t>DNS</w:t>
            </w:r>
            <w:r>
              <w:rPr>
                <w:rFonts w:hint="eastAsia"/>
              </w:rPr>
              <w:t>服务器请求</w:t>
            </w:r>
          </w:p>
        </w:tc>
      </w:tr>
      <w:tr w14:paraId="2151B6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28" w:hRule="atLeast"/>
        </w:trPr>
        <w:tc>
          <w:tcPr>
            <w:tcW w:w="1639" w:type="dxa"/>
            <w:shd w:val="clear" w:color="auto" w:fill="auto"/>
          </w:tcPr>
          <w:p w14:paraId="6B80E753">
            <w:pPr>
              <w:pStyle w:val="186"/>
              <w:widowControl w:val="0"/>
              <w:spacing w:line="240" w:lineRule="auto"/>
              <w:ind w:firstLine="0"/>
              <w:jc w:val="left"/>
            </w:pPr>
            <w:r>
              <w:t>DNS</w:t>
            </w:r>
            <w:r>
              <w:rPr>
                <w:rFonts w:hint="eastAsia"/>
              </w:rPr>
              <w:t>服务器</w:t>
            </w:r>
            <w:r>
              <w:t>2</w:t>
            </w:r>
          </w:p>
        </w:tc>
        <w:tc>
          <w:tcPr>
            <w:tcW w:w="7331" w:type="dxa"/>
            <w:shd w:val="clear" w:color="auto" w:fill="auto"/>
          </w:tcPr>
          <w:p w14:paraId="4B373DFB">
            <w:pPr>
              <w:pStyle w:val="186"/>
              <w:widowControl w:val="0"/>
              <w:spacing w:line="240" w:lineRule="auto"/>
              <w:ind w:firstLine="0"/>
              <w:jc w:val="left"/>
            </w:pPr>
            <w:r>
              <w:rPr>
                <w:rFonts w:hint="eastAsia"/>
              </w:rPr>
              <w:t>远端</w:t>
            </w:r>
            <w:r>
              <w:t>DNS</w:t>
            </w:r>
            <w:r>
              <w:rPr>
                <w:rFonts w:hint="eastAsia"/>
              </w:rPr>
              <w:t>服务器</w:t>
            </w:r>
            <w:r>
              <w:t>2</w:t>
            </w:r>
            <w:r>
              <w:rPr>
                <w:rFonts w:hint="eastAsia"/>
              </w:rPr>
              <w:t>，</w:t>
            </w:r>
            <w:r>
              <w:t>DNS</w:t>
            </w:r>
            <w:r>
              <w:rPr>
                <w:rFonts w:hint="eastAsia"/>
              </w:rPr>
              <w:t>服务器</w:t>
            </w:r>
            <w:r>
              <w:t>1</w:t>
            </w:r>
            <w:r>
              <w:rPr>
                <w:rFonts w:hint="eastAsia"/>
              </w:rPr>
              <w:t>解析失败时，将向该</w:t>
            </w:r>
            <w:r>
              <w:t>DNS</w:t>
            </w:r>
            <w:r>
              <w:rPr>
                <w:rFonts w:hint="eastAsia"/>
              </w:rPr>
              <w:t>服务器请求</w:t>
            </w:r>
          </w:p>
        </w:tc>
      </w:tr>
      <w:tr w14:paraId="4C2A08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3" w:hRule="atLeast"/>
        </w:trPr>
        <w:tc>
          <w:tcPr>
            <w:tcW w:w="1639" w:type="dxa"/>
            <w:shd w:val="clear" w:color="auto" w:fill="auto"/>
          </w:tcPr>
          <w:p w14:paraId="56D3310D">
            <w:pPr>
              <w:pStyle w:val="186"/>
              <w:widowControl w:val="0"/>
              <w:spacing w:line="240" w:lineRule="auto"/>
              <w:ind w:firstLine="0"/>
              <w:jc w:val="left"/>
            </w:pPr>
            <w:r>
              <w:t>DNS</w:t>
            </w:r>
            <w:r>
              <w:rPr>
                <w:rFonts w:hint="eastAsia"/>
              </w:rPr>
              <w:t>服务器</w:t>
            </w:r>
            <w:r>
              <w:t>3</w:t>
            </w:r>
          </w:p>
        </w:tc>
        <w:tc>
          <w:tcPr>
            <w:tcW w:w="7331" w:type="dxa"/>
            <w:shd w:val="clear" w:color="auto" w:fill="auto"/>
          </w:tcPr>
          <w:p w14:paraId="7F0DB6C8">
            <w:pPr>
              <w:pStyle w:val="186"/>
              <w:widowControl w:val="0"/>
              <w:spacing w:line="240" w:lineRule="auto"/>
              <w:ind w:firstLine="0"/>
              <w:jc w:val="left"/>
            </w:pPr>
            <w:r>
              <w:rPr>
                <w:rFonts w:hint="eastAsia"/>
              </w:rPr>
              <w:t>远端</w:t>
            </w:r>
            <w:r>
              <w:t>DNS</w:t>
            </w:r>
            <w:r>
              <w:rPr>
                <w:rFonts w:hint="eastAsia"/>
              </w:rPr>
              <w:t>服务器</w:t>
            </w:r>
            <w:r>
              <w:t>3</w:t>
            </w:r>
            <w:r>
              <w:rPr>
                <w:rFonts w:hint="eastAsia"/>
              </w:rPr>
              <w:t>，</w:t>
            </w:r>
            <w:r>
              <w:t>DNS</w:t>
            </w:r>
            <w:r>
              <w:rPr>
                <w:rFonts w:hint="eastAsia"/>
              </w:rPr>
              <w:t>服务器</w:t>
            </w:r>
            <w:r>
              <w:t>1</w:t>
            </w:r>
            <w:r>
              <w:rPr>
                <w:rFonts w:hint="eastAsia"/>
              </w:rPr>
              <w:t>和</w:t>
            </w:r>
            <w:r>
              <w:t>2</w:t>
            </w:r>
            <w:r>
              <w:rPr>
                <w:rFonts w:hint="eastAsia"/>
              </w:rPr>
              <w:t>解析失败时，将向该</w:t>
            </w:r>
            <w:r>
              <w:t>DNS</w:t>
            </w:r>
            <w:r>
              <w:rPr>
                <w:rFonts w:hint="eastAsia"/>
              </w:rPr>
              <w:t>服务器请求</w:t>
            </w:r>
          </w:p>
        </w:tc>
      </w:tr>
      <w:tr w14:paraId="663FB7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3" w:hRule="atLeast"/>
        </w:trPr>
        <w:tc>
          <w:tcPr>
            <w:tcW w:w="1639" w:type="dxa"/>
            <w:shd w:val="clear" w:color="auto" w:fill="auto"/>
          </w:tcPr>
          <w:p w14:paraId="0396C04D">
            <w:pPr>
              <w:pStyle w:val="186"/>
              <w:widowControl w:val="0"/>
              <w:spacing w:line="240" w:lineRule="auto"/>
              <w:ind w:firstLine="0"/>
              <w:jc w:val="left"/>
            </w:pPr>
            <w:r>
              <w:t>DNS</w:t>
            </w:r>
            <w:r>
              <w:rPr>
                <w:rFonts w:hint="eastAsia"/>
              </w:rPr>
              <w:t>服务器</w:t>
            </w:r>
            <w:r>
              <w:t>4</w:t>
            </w:r>
          </w:p>
        </w:tc>
        <w:tc>
          <w:tcPr>
            <w:tcW w:w="7331" w:type="dxa"/>
            <w:shd w:val="clear" w:color="auto" w:fill="auto"/>
          </w:tcPr>
          <w:p w14:paraId="495BEA7E">
            <w:pPr>
              <w:pStyle w:val="186"/>
              <w:widowControl w:val="0"/>
              <w:spacing w:line="240" w:lineRule="auto"/>
              <w:ind w:firstLine="0"/>
              <w:jc w:val="left"/>
            </w:pPr>
            <w:r>
              <w:rPr>
                <w:rFonts w:hint="eastAsia"/>
              </w:rPr>
              <w:t>远端</w:t>
            </w:r>
            <w:r>
              <w:t>DNS</w:t>
            </w:r>
            <w:r>
              <w:rPr>
                <w:rFonts w:hint="eastAsia"/>
              </w:rPr>
              <w:t>服务器</w:t>
            </w:r>
            <w:r>
              <w:t>4</w:t>
            </w:r>
            <w:r>
              <w:rPr>
                <w:rFonts w:hint="eastAsia"/>
              </w:rPr>
              <w:t>，</w:t>
            </w:r>
            <w:r>
              <w:t>DNS</w:t>
            </w:r>
            <w:r>
              <w:rPr>
                <w:rFonts w:hint="eastAsia"/>
              </w:rPr>
              <w:t>服务器</w:t>
            </w:r>
            <w:r>
              <w:t>1</w:t>
            </w:r>
            <w:r>
              <w:rPr>
                <w:rFonts w:hint="eastAsia"/>
              </w:rPr>
              <w:t>、</w:t>
            </w:r>
            <w:r>
              <w:t>2</w:t>
            </w:r>
            <w:r>
              <w:rPr>
                <w:rFonts w:hint="eastAsia"/>
              </w:rPr>
              <w:t>、</w:t>
            </w:r>
            <w:r>
              <w:t>3</w:t>
            </w:r>
            <w:r>
              <w:rPr>
                <w:rFonts w:hint="eastAsia"/>
              </w:rPr>
              <w:t>解析失败时，将向该</w:t>
            </w:r>
            <w:r>
              <w:t>DNS</w:t>
            </w:r>
            <w:r>
              <w:rPr>
                <w:rFonts w:hint="eastAsia"/>
              </w:rPr>
              <w:t>服务器请求</w:t>
            </w:r>
          </w:p>
        </w:tc>
      </w:tr>
    </w:tbl>
    <w:p w14:paraId="3562CCD4"/>
    <w:p w14:paraId="2A58C38C">
      <w:pPr>
        <w:pStyle w:val="4"/>
      </w:pPr>
      <w:bookmarkStart w:id="3450" w:name="_Toc496860002"/>
      <w:bookmarkEnd w:id="3450"/>
      <w:bookmarkStart w:id="3451" w:name="_Toc496860004"/>
      <w:bookmarkEnd w:id="3451"/>
      <w:bookmarkStart w:id="3452" w:name="_Toc496860003"/>
      <w:bookmarkEnd w:id="3452"/>
      <w:bookmarkStart w:id="3453" w:name="_Toc496860001"/>
      <w:bookmarkEnd w:id="3453"/>
      <w:bookmarkStart w:id="3454" w:name="_Toc142400984"/>
      <w:bookmarkStart w:id="3455" w:name="_Toc15484855"/>
      <w:bookmarkStart w:id="3456" w:name="_Toc99561547"/>
      <w:bookmarkStart w:id="3457" w:name="_Toc529430940"/>
      <w:bookmarkStart w:id="3458" w:name="_Toc194080846"/>
      <w:bookmarkStart w:id="3459" w:name="_Toc172218219"/>
      <w:bookmarkStart w:id="3460" w:name="_Toc196728178"/>
      <w:bookmarkStart w:id="3461" w:name="_Toc141873468"/>
      <w:bookmarkStart w:id="3462" w:name="_Toc23152621"/>
      <w:bookmarkStart w:id="3463" w:name="_Toc40276054"/>
      <w:r>
        <w:rPr>
          <w:rFonts w:hint="eastAsia"/>
        </w:rPr>
        <w:t>DDNS</w:t>
      </w:r>
      <w:bookmarkEnd w:id="3454"/>
      <w:bookmarkEnd w:id="3455"/>
      <w:bookmarkEnd w:id="3456"/>
      <w:bookmarkEnd w:id="3457"/>
      <w:bookmarkEnd w:id="3458"/>
      <w:bookmarkEnd w:id="3459"/>
      <w:bookmarkEnd w:id="3460"/>
      <w:bookmarkEnd w:id="3461"/>
      <w:bookmarkEnd w:id="3462"/>
      <w:bookmarkEnd w:id="3463"/>
    </w:p>
    <w:p w14:paraId="2A52A63B">
      <w:pPr>
        <w:pStyle w:val="5"/>
      </w:pPr>
      <w:bookmarkStart w:id="3464" w:name="_Toc23152622"/>
      <w:bookmarkStart w:id="3465" w:name="_Toc172218220"/>
      <w:bookmarkStart w:id="3466" w:name="_Toc529430941"/>
      <w:bookmarkStart w:id="3467" w:name="_Toc194080847"/>
      <w:bookmarkStart w:id="3468" w:name="_Toc142400985"/>
      <w:bookmarkStart w:id="3469" w:name="_Toc196728179"/>
      <w:bookmarkStart w:id="3470" w:name="_Toc40276055"/>
      <w:bookmarkStart w:id="3471" w:name="_Toc99561548"/>
      <w:bookmarkStart w:id="3472" w:name="_Toc15484856"/>
      <w:bookmarkStart w:id="3473" w:name="_Toc141873469"/>
      <w:r>
        <w:rPr>
          <w:rFonts w:hint="eastAsia"/>
        </w:rPr>
        <w:t>DDNS简介</w:t>
      </w:r>
      <w:bookmarkEnd w:id="3464"/>
      <w:bookmarkEnd w:id="3465"/>
      <w:bookmarkEnd w:id="3466"/>
      <w:bookmarkEnd w:id="3467"/>
      <w:bookmarkEnd w:id="3468"/>
      <w:bookmarkEnd w:id="3469"/>
      <w:bookmarkEnd w:id="3470"/>
      <w:bookmarkEnd w:id="3471"/>
      <w:bookmarkEnd w:id="3472"/>
      <w:bookmarkEnd w:id="3473"/>
    </w:p>
    <w:p w14:paraId="3FBFED24">
      <w:r>
        <w:t>DDNS</w:t>
      </w:r>
      <w:r>
        <w:rPr>
          <w:rFonts w:hint="eastAsia"/>
        </w:rPr>
        <w:t>是对域名绑定的</w:t>
      </w:r>
      <w:r>
        <w:t>IP</w:t>
      </w:r>
      <w:r>
        <w:rPr>
          <w:rFonts w:hint="eastAsia"/>
        </w:rPr>
        <w:t>地址进行动态更新，解决网络中已注册域名的服务器的</w:t>
      </w:r>
      <w:r>
        <w:t>IP</w:t>
      </w:r>
      <w:r>
        <w:rPr>
          <w:rFonts w:hint="eastAsia"/>
        </w:rPr>
        <w:t>地址是动态变化的，服务器公网</w:t>
      </w:r>
      <w:r>
        <w:t>IP</w:t>
      </w:r>
      <w:r>
        <w:rPr>
          <w:rFonts w:hint="eastAsia"/>
        </w:rPr>
        <w:t>变更时，导致</w:t>
      </w:r>
      <w:r>
        <w:t>DNS</w:t>
      </w:r>
      <w:r>
        <w:rPr>
          <w:rFonts w:hint="eastAsia"/>
        </w:rPr>
        <w:t>域名服务器所绑定的该服务器的</w:t>
      </w:r>
      <w:r>
        <w:t>IP</w:t>
      </w:r>
      <w:r>
        <w:rPr>
          <w:rFonts w:hint="eastAsia"/>
        </w:rPr>
        <w:t>地址已经过时，用户通过域名方式无法正常访问该服务器的相关服务。设备开启</w:t>
      </w:r>
      <w:r>
        <w:t>DDNS</w:t>
      </w:r>
      <w:r>
        <w:rPr>
          <w:rFonts w:hint="eastAsia"/>
        </w:rPr>
        <w:t>功能后，通过更新报文把动态</w:t>
      </w:r>
      <w:r>
        <w:t>IP</w:t>
      </w:r>
      <w:r>
        <w:rPr>
          <w:rFonts w:hint="eastAsia"/>
        </w:rPr>
        <w:t>地址信息发送给位于服务商主机上的服务器程序，服务器程序负责提供</w:t>
      </w:r>
      <w:r>
        <w:t>DNS</w:t>
      </w:r>
      <w:r>
        <w:rPr>
          <w:rFonts w:hint="eastAsia"/>
        </w:rPr>
        <w:t>服务并实现动态域名解析；保证网络可以通过此域名正常访问到服务器。</w:t>
      </w:r>
    </w:p>
    <w:p w14:paraId="40F95166">
      <w:pPr>
        <w:pStyle w:val="5"/>
      </w:pPr>
      <w:bookmarkStart w:id="3474" w:name="_Toc40276056"/>
      <w:bookmarkStart w:id="3475" w:name="_Toc142400986"/>
      <w:bookmarkStart w:id="3476" w:name="_Toc194080848"/>
      <w:bookmarkStart w:id="3477" w:name="_Toc99561549"/>
      <w:bookmarkStart w:id="3478" w:name="_Toc529430942"/>
      <w:bookmarkStart w:id="3479" w:name="_Toc23152623"/>
      <w:bookmarkStart w:id="3480" w:name="_Toc141873470"/>
      <w:bookmarkStart w:id="3481" w:name="_Toc196728180"/>
      <w:bookmarkStart w:id="3482" w:name="_Toc15484857"/>
      <w:bookmarkStart w:id="3483" w:name="_Toc172218221"/>
      <w:r>
        <w:rPr>
          <w:rFonts w:hint="eastAsia"/>
        </w:rPr>
        <w:t>D</w:t>
      </w:r>
      <w:r>
        <w:t>D</w:t>
      </w:r>
      <w:r>
        <w:rPr>
          <w:rFonts w:hint="eastAsia"/>
        </w:rPr>
        <w:t>NS配置</w:t>
      </w:r>
      <w:bookmarkEnd w:id="3474"/>
      <w:bookmarkEnd w:id="3475"/>
      <w:bookmarkEnd w:id="3476"/>
      <w:bookmarkEnd w:id="3477"/>
      <w:bookmarkEnd w:id="3478"/>
      <w:bookmarkEnd w:id="3479"/>
      <w:bookmarkEnd w:id="3480"/>
      <w:bookmarkEnd w:id="3481"/>
      <w:bookmarkEnd w:id="3482"/>
      <w:bookmarkEnd w:id="3483"/>
    </w:p>
    <w:p w14:paraId="37B48F4C">
      <w:r>
        <w:rPr>
          <w:rFonts w:hint="eastAsia"/>
        </w:rPr>
        <w:t>通过菜单“网络配置 &gt; 基础网络 &gt; DDNS服务”，进入如</w:t>
      </w:r>
      <w:r>
        <w:rPr>
          <w:color w:val="0000FF"/>
          <w:u w:val="single"/>
        </w:rPr>
        <w:fldChar w:fldCharType="begin"/>
      </w:r>
      <w:r>
        <w:rPr>
          <w:color w:val="0000FF"/>
          <w:u w:val="single"/>
        </w:rPr>
        <w:instrText xml:space="preserve"> REF _Ref392852263 \r \h </w:instrText>
      </w:r>
      <w:r>
        <w:rPr>
          <w:color w:val="0000FF"/>
          <w:u w:val="single"/>
        </w:rPr>
        <w:fldChar w:fldCharType="separate"/>
      </w:r>
      <w:r>
        <w:rPr>
          <w:rFonts w:hint="eastAsia"/>
          <w:color w:val="0000FF"/>
          <w:u w:val="single"/>
        </w:rPr>
        <w:t>图11-29</w:t>
      </w:r>
      <w:r>
        <w:rPr>
          <w:color w:val="0000FF"/>
          <w:u w:val="single"/>
        </w:rPr>
        <w:fldChar w:fldCharType="end"/>
      </w:r>
      <w:r>
        <w:rPr>
          <w:rFonts w:hint="eastAsia"/>
        </w:rPr>
        <w:t>所示的页面。在该页面上，可以启用、关闭</w:t>
      </w:r>
      <w:r>
        <w:t>DDNS</w:t>
      </w:r>
      <w:r>
        <w:rPr>
          <w:rFonts w:hint="eastAsia"/>
        </w:rPr>
        <w:t>功能。</w:t>
      </w:r>
    </w:p>
    <w:p w14:paraId="24EA16E6">
      <w:pPr>
        <w:pStyle w:val="188"/>
      </w:pPr>
      <w:bookmarkStart w:id="3484" w:name="_Toc141874698"/>
      <w:bookmarkStart w:id="3485" w:name="_Ref392852476"/>
      <w:bookmarkStart w:id="3486" w:name="_Ref392852263"/>
      <w:r>
        <w:rPr>
          <w:rFonts w:hint="eastAsia"/>
        </w:rPr>
        <w:t>D</w:t>
      </w:r>
      <w:r>
        <w:t>D</w:t>
      </w:r>
      <w:r>
        <w:rPr>
          <w:rFonts w:hint="eastAsia"/>
        </w:rPr>
        <w:t>NS功能</w:t>
      </w:r>
      <w:r>
        <w:t>配置</w:t>
      </w:r>
      <w:r>
        <w:rPr>
          <w:rFonts w:hint="eastAsia"/>
        </w:rPr>
        <w:t>页面</w:t>
      </w:r>
      <w:bookmarkEnd w:id="3484"/>
      <w:bookmarkEnd w:id="3485"/>
    </w:p>
    <w:p w14:paraId="437D498D">
      <w:r>
        <w:drawing>
          <wp:inline distT="0" distB="0" distL="0" distR="0">
            <wp:extent cx="5400040" cy="704850"/>
            <wp:effectExtent l="0" t="0" r="0" b="0"/>
            <wp:docPr id="4953" name="图片 3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3" name="图片 3633"/>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a:xfrm>
                      <a:off x="0" y="0"/>
                      <a:ext cx="5400040" cy="705448"/>
                    </a:xfrm>
                    <a:prstGeom prst="rect">
                      <a:avLst/>
                    </a:prstGeom>
                    <a:noFill/>
                    <a:ln>
                      <a:noFill/>
                    </a:ln>
                  </pic:spPr>
                </pic:pic>
              </a:graphicData>
            </a:graphic>
          </wp:inline>
        </w:drawing>
      </w:r>
    </w:p>
    <w:bookmarkEnd w:id="3486"/>
    <w:p w14:paraId="387B7174"/>
    <w:p w14:paraId="72BC30B3">
      <w:r>
        <w:rPr>
          <w:rFonts w:hint="eastAsia"/>
        </w:rPr>
        <w:t>点击</w:t>
      </w:r>
      <w:r>
        <w:t>&lt;</w:t>
      </w:r>
      <w:r>
        <w:rPr>
          <w:rFonts w:hint="eastAsia"/>
        </w:rPr>
        <w:t>新建</w:t>
      </w:r>
      <w:r>
        <w:t>&gt;</w:t>
      </w:r>
      <w:r>
        <w:rPr>
          <w:rFonts w:hint="eastAsia"/>
        </w:rPr>
        <w:t>按钮，进入如</w:t>
      </w:r>
      <w:r>
        <w:fldChar w:fldCharType="begin"/>
      </w:r>
      <w:r>
        <w:instrText xml:space="preserve"> REF _Ref394739799 \r \h </w:instrText>
      </w:r>
      <w:r>
        <w:fldChar w:fldCharType="separate"/>
      </w:r>
      <w:r>
        <w:rPr>
          <w:rFonts w:hint="eastAsia"/>
        </w:rPr>
        <w:t>图11-30</w:t>
      </w:r>
      <w:r>
        <w:fldChar w:fldCharType="end"/>
      </w:r>
      <w:r>
        <w:rPr>
          <w:rFonts w:hint="eastAsia"/>
        </w:rPr>
        <w:t>所示的</w:t>
      </w:r>
      <w:r>
        <w:t>DDNS</w:t>
      </w:r>
      <w:r>
        <w:rPr>
          <w:rFonts w:hint="eastAsia"/>
        </w:rPr>
        <w:t>条目配置页面。各个配置项的含义如</w:t>
      </w:r>
      <w:r>
        <w:fldChar w:fldCharType="begin"/>
      </w:r>
      <w:r>
        <w:instrText xml:space="preserve"> REF _Ref392852551 \r \h </w:instrText>
      </w:r>
      <w:r>
        <w:fldChar w:fldCharType="separate"/>
      </w:r>
      <w:r>
        <w:rPr>
          <w:rFonts w:hint="eastAsia"/>
        </w:rPr>
        <w:t>表11-1</w:t>
      </w:r>
      <w:r>
        <w:fldChar w:fldCharType="end"/>
      </w:r>
      <w:r>
        <w:rPr>
          <w:rFonts w:hint="eastAsia"/>
        </w:rPr>
        <w:t>所示。</w:t>
      </w:r>
    </w:p>
    <w:p w14:paraId="38A540C2">
      <w:pPr>
        <w:pStyle w:val="188"/>
      </w:pPr>
      <w:bookmarkStart w:id="3487" w:name="_Ref394739799"/>
      <w:bookmarkStart w:id="3488" w:name="_Toc141874699"/>
      <w:r>
        <w:rPr>
          <w:rFonts w:hint="eastAsia"/>
        </w:rPr>
        <w:t>DDNS条目配置页面</w:t>
      </w:r>
      <w:bookmarkEnd w:id="3487"/>
      <w:bookmarkEnd w:id="3488"/>
    </w:p>
    <w:p w14:paraId="36B22486">
      <w:r>
        <w:drawing>
          <wp:inline distT="0" distB="0" distL="0" distR="0">
            <wp:extent cx="5400040" cy="3307080"/>
            <wp:effectExtent l="0" t="0" r="0" b="7620"/>
            <wp:docPr id="4954" name="图片 4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4" name="图片 4954"/>
                    <pic:cNvPicPr>
                      <a:picLocks noChangeAspect="1"/>
                    </pic:cNvPicPr>
                  </pic:nvPicPr>
                  <pic:blipFill>
                    <a:blip r:embed="rId490"/>
                    <a:stretch>
                      <a:fillRect/>
                    </a:stretch>
                  </pic:blipFill>
                  <pic:spPr>
                    <a:xfrm>
                      <a:off x="0" y="0"/>
                      <a:ext cx="5400040" cy="3307370"/>
                    </a:xfrm>
                    <a:prstGeom prst="rect">
                      <a:avLst/>
                    </a:prstGeom>
                  </pic:spPr>
                </pic:pic>
              </a:graphicData>
            </a:graphic>
          </wp:inline>
        </w:drawing>
      </w:r>
    </w:p>
    <w:p w14:paraId="6B2FFE8C"/>
    <w:p w14:paraId="2B4520D8">
      <w:pPr>
        <w:pStyle w:val="183"/>
      </w:pPr>
      <w:bookmarkStart w:id="3489" w:name="_Ref392852551"/>
      <w:bookmarkStart w:id="3490" w:name="_Toc141875537"/>
      <w:r>
        <w:rPr>
          <w:rFonts w:hint="eastAsia"/>
        </w:rPr>
        <w:t>DDNS条目配置项含义</w:t>
      </w:r>
      <w:bookmarkEnd w:id="3489"/>
      <w:bookmarkEnd w:id="3490"/>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639"/>
        <w:gridCol w:w="7375"/>
      </w:tblGrid>
      <w:tr w14:paraId="0DA3B3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tcBorders>
              <w:tl2br w:val="nil"/>
              <w:tr2bl w:val="nil"/>
            </w:tcBorders>
            <w:shd w:val="clear" w:color="auto" w:fill="538135" w:themeFill="accent6" w:themeFillShade="BF"/>
            <w:vAlign w:val="center"/>
          </w:tcPr>
          <w:p w14:paraId="1609CC2C">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375" w:type="dxa"/>
            <w:tcBorders>
              <w:tl2br w:val="nil"/>
              <w:tr2bl w:val="nil"/>
            </w:tcBorders>
            <w:shd w:val="clear" w:color="auto" w:fill="538135" w:themeFill="accent6" w:themeFillShade="BF"/>
            <w:vAlign w:val="center"/>
          </w:tcPr>
          <w:p w14:paraId="10EA7553">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34EE3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5C2E6C4B">
            <w:pPr>
              <w:pStyle w:val="186"/>
              <w:widowControl w:val="0"/>
              <w:spacing w:line="240" w:lineRule="auto"/>
              <w:ind w:firstLine="0"/>
              <w:jc w:val="left"/>
            </w:pPr>
            <w:r>
              <w:rPr>
                <w:rFonts w:hint="eastAsia"/>
              </w:rPr>
              <w:t>名称</w:t>
            </w:r>
          </w:p>
        </w:tc>
        <w:tc>
          <w:tcPr>
            <w:tcW w:w="7375" w:type="dxa"/>
            <w:shd w:val="clear" w:color="auto" w:fill="auto"/>
          </w:tcPr>
          <w:p w14:paraId="7BFD666A">
            <w:pPr>
              <w:pStyle w:val="186"/>
              <w:widowControl w:val="0"/>
              <w:spacing w:line="240" w:lineRule="auto"/>
              <w:ind w:firstLine="0"/>
              <w:jc w:val="left"/>
            </w:pPr>
            <w:r>
              <w:rPr>
                <w:rFonts w:hint="eastAsia"/>
              </w:rPr>
              <w:t>DDNS条目</w:t>
            </w:r>
            <w:r>
              <w:t>名称</w:t>
            </w:r>
            <w:r>
              <w:rPr>
                <w:rFonts w:hint="eastAsia"/>
              </w:rPr>
              <w:t>。</w:t>
            </w:r>
          </w:p>
        </w:tc>
      </w:tr>
      <w:tr w14:paraId="726C0AD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4472BEF0">
            <w:pPr>
              <w:pStyle w:val="186"/>
              <w:widowControl w:val="0"/>
              <w:spacing w:line="240" w:lineRule="auto"/>
              <w:ind w:firstLine="0"/>
              <w:jc w:val="left"/>
            </w:pPr>
            <w:r>
              <w:rPr>
                <w:rFonts w:hint="eastAsia"/>
              </w:rPr>
              <w:t>域名</w:t>
            </w:r>
          </w:p>
        </w:tc>
        <w:tc>
          <w:tcPr>
            <w:tcW w:w="7375" w:type="dxa"/>
            <w:shd w:val="clear" w:color="auto" w:fill="auto"/>
          </w:tcPr>
          <w:p w14:paraId="0113DF59">
            <w:pPr>
              <w:pStyle w:val="186"/>
              <w:widowControl w:val="0"/>
              <w:spacing w:line="240" w:lineRule="auto"/>
              <w:ind w:firstLine="0"/>
              <w:jc w:val="left"/>
            </w:pPr>
            <w:r>
              <w:rPr>
                <w:rFonts w:hint="eastAsia"/>
              </w:rPr>
              <w:t>所要更新此</w:t>
            </w:r>
            <w:r>
              <w:t>账户下的域名，</w:t>
            </w:r>
            <w:r>
              <w:rPr>
                <w:rFonts w:hint="eastAsia"/>
              </w:rPr>
              <w:t>若</w:t>
            </w:r>
            <w:r>
              <w:t>不配置则默认更新</w:t>
            </w:r>
            <w:r>
              <w:rPr>
                <w:rFonts w:hint="eastAsia"/>
              </w:rPr>
              <w:t>此账户下</w:t>
            </w:r>
            <w:r>
              <w:t>所有的域名</w:t>
            </w:r>
            <w:r>
              <w:rPr>
                <w:rFonts w:hint="eastAsia"/>
              </w:rPr>
              <w:t>。</w:t>
            </w:r>
          </w:p>
        </w:tc>
      </w:tr>
      <w:tr w14:paraId="6AE2BA7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35E9763C">
            <w:pPr>
              <w:pStyle w:val="186"/>
              <w:widowControl w:val="0"/>
              <w:spacing w:line="240" w:lineRule="auto"/>
              <w:ind w:firstLine="0"/>
              <w:jc w:val="left"/>
            </w:pPr>
            <w:r>
              <w:rPr>
                <w:rFonts w:hint="eastAsia"/>
              </w:rPr>
              <w:t>接口</w:t>
            </w:r>
          </w:p>
        </w:tc>
        <w:tc>
          <w:tcPr>
            <w:tcW w:w="7375" w:type="dxa"/>
            <w:shd w:val="clear" w:color="auto" w:fill="auto"/>
          </w:tcPr>
          <w:p w14:paraId="5869B8C8">
            <w:pPr>
              <w:pStyle w:val="186"/>
              <w:widowControl w:val="0"/>
              <w:spacing w:line="240" w:lineRule="auto"/>
              <w:ind w:firstLine="0"/>
              <w:jc w:val="left"/>
            </w:pPr>
            <w:r>
              <w:rPr>
                <w:rFonts w:hint="eastAsia"/>
              </w:rPr>
              <w:t>连接</w:t>
            </w:r>
            <w:r>
              <w:t>外网的接口</w:t>
            </w:r>
            <w:r>
              <w:rPr>
                <w:rFonts w:hint="eastAsia"/>
              </w:rPr>
              <w:t>。</w:t>
            </w:r>
          </w:p>
        </w:tc>
      </w:tr>
      <w:tr w14:paraId="3AFC632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1717E044">
            <w:pPr>
              <w:pStyle w:val="186"/>
              <w:widowControl w:val="0"/>
              <w:spacing w:line="240" w:lineRule="auto"/>
              <w:ind w:firstLine="0"/>
              <w:jc w:val="left"/>
            </w:pPr>
            <w:r>
              <w:rPr>
                <w:rFonts w:hint="eastAsia"/>
              </w:rPr>
              <w:t>服务商</w:t>
            </w:r>
          </w:p>
        </w:tc>
        <w:tc>
          <w:tcPr>
            <w:tcW w:w="7375" w:type="dxa"/>
            <w:shd w:val="clear" w:color="auto" w:fill="auto"/>
          </w:tcPr>
          <w:p w14:paraId="0A034861">
            <w:pPr>
              <w:pStyle w:val="186"/>
              <w:widowControl w:val="0"/>
              <w:spacing w:line="240" w:lineRule="auto"/>
              <w:ind w:firstLine="0"/>
              <w:jc w:val="left"/>
            </w:pPr>
            <w:r>
              <w:rPr>
                <w:rFonts w:hint="eastAsia"/>
              </w:rPr>
              <w:t>DDNS服务商，支持花生壳和阿里云。</w:t>
            </w:r>
          </w:p>
        </w:tc>
      </w:tr>
      <w:tr w14:paraId="7D5C96E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7F7434DD">
            <w:pPr>
              <w:pStyle w:val="186"/>
              <w:widowControl w:val="0"/>
              <w:spacing w:line="240" w:lineRule="auto"/>
              <w:ind w:firstLine="0"/>
              <w:jc w:val="left"/>
            </w:pPr>
            <w:r>
              <w:rPr>
                <w:rFonts w:hint="eastAsia"/>
              </w:rPr>
              <w:t>账户名</w:t>
            </w:r>
          </w:p>
        </w:tc>
        <w:tc>
          <w:tcPr>
            <w:tcW w:w="7375" w:type="dxa"/>
            <w:shd w:val="clear" w:color="auto" w:fill="auto"/>
          </w:tcPr>
          <w:p w14:paraId="281D0BDB">
            <w:pPr>
              <w:pStyle w:val="186"/>
              <w:widowControl w:val="0"/>
              <w:spacing w:line="240" w:lineRule="auto"/>
              <w:ind w:firstLine="0"/>
              <w:jc w:val="left"/>
            </w:pPr>
            <w:r>
              <w:rPr>
                <w:rFonts w:hint="eastAsia"/>
              </w:rPr>
              <w:t>在DDNS</w:t>
            </w:r>
            <w:r>
              <w:t>服务商注册的</w:t>
            </w:r>
            <w:r>
              <w:rPr>
                <w:rFonts w:hint="eastAsia"/>
              </w:rPr>
              <w:t>账</w:t>
            </w:r>
            <w:r>
              <w:t>户名</w:t>
            </w:r>
            <w:r>
              <w:rPr>
                <w:rFonts w:hint="eastAsia"/>
              </w:rPr>
              <w:t>，服务商为阿里云时，账户名需填写AccessKeyID。</w:t>
            </w:r>
          </w:p>
        </w:tc>
      </w:tr>
      <w:tr w14:paraId="0EB28A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64167E59">
            <w:pPr>
              <w:pStyle w:val="186"/>
              <w:widowControl w:val="0"/>
              <w:spacing w:line="240" w:lineRule="auto"/>
              <w:ind w:firstLine="0"/>
              <w:jc w:val="left"/>
            </w:pPr>
            <w:r>
              <w:rPr>
                <w:rFonts w:hint="eastAsia"/>
              </w:rPr>
              <w:t>账户</w:t>
            </w:r>
            <w:r>
              <w:t>密码</w:t>
            </w:r>
          </w:p>
        </w:tc>
        <w:tc>
          <w:tcPr>
            <w:tcW w:w="7375" w:type="dxa"/>
            <w:shd w:val="clear" w:color="auto" w:fill="auto"/>
          </w:tcPr>
          <w:p w14:paraId="4DFA1989">
            <w:pPr>
              <w:pStyle w:val="186"/>
              <w:widowControl w:val="0"/>
              <w:spacing w:line="240" w:lineRule="auto"/>
              <w:ind w:firstLine="0"/>
              <w:jc w:val="left"/>
            </w:pPr>
            <w:r>
              <w:rPr>
                <w:rFonts w:hint="eastAsia"/>
              </w:rPr>
              <w:t>在DDNS</w:t>
            </w:r>
            <w:r>
              <w:t>服务商注册的</w:t>
            </w:r>
            <w:r>
              <w:rPr>
                <w:rFonts w:hint="eastAsia"/>
              </w:rPr>
              <w:t>账户所</w:t>
            </w:r>
            <w:r>
              <w:t>使用的密码</w:t>
            </w:r>
            <w:r>
              <w:rPr>
                <w:rFonts w:hint="eastAsia"/>
              </w:rPr>
              <w:t>，服务商为阿里云时，账户名需填写AccessKeySecret。</w:t>
            </w:r>
          </w:p>
        </w:tc>
      </w:tr>
      <w:tr w14:paraId="0F7F12C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727C8DD0">
            <w:pPr>
              <w:pStyle w:val="186"/>
              <w:widowControl w:val="0"/>
              <w:spacing w:line="240" w:lineRule="auto"/>
              <w:ind w:firstLine="0"/>
              <w:jc w:val="left"/>
            </w:pPr>
            <w:r>
              <w:rPr>
                <w:rFonts w:hint="eastAsia"/>
              </w:rPr>
              <w:t>日志</w:t>
            </w:r>
          </w:p>
        </w:tc>
        <w:tc>
          <w:tcPr>
            <w:tcW w:w="7375" w:type="dxa"/>
            <w:shd w:val="clear" w:color="auto" w:fill="auto"/>
          </w:tcPr>
          <w:p w14:paraId="2F594A2B">
            <w:pPr>
              <w:pStyle w:val="186"/>
              <w:widowControl w:val="0"/>
              <w:spacing w:line="240" w:lineRule="auto"/>
              <w:ind w:firstLine="0"/>
              <w:jc w:val="left"/>
            </w:pPr>
            <w:r>
              <w:rPr>
                <w:rFonts w:hint="eastAsia"/>
              </w:rPr>
              <w:t>开启</w:t>
            </w:r>
            <w:r>
              <w:t>后</w:t>
            </w:r>
            <w:r>
              <w:rPr>
                <w:rFonts w:hint="eastAsia"/>
              </w:rPr>
              <w:t>发送</w:t>
            </w:r>
            <w:r>
              <w:t>系统日志</w:t>
            </w:r>
            <w:r>
              <w:rPr>
                <w:rFonts w:hint="eastAsia"/>
              </w:rPr>
              <w:t>。</w:t>
            </w:r>
          </w:p>
        </w:tc>
      </w:tr>
      <w:tr w14:paraId="694FC6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19008795">
            <w:pPr>
              <w:pStyle w:val="186"/>
              <w:widowControl w:val="0"/>
              <w:spacing w:line="240" w:lineRule="auto"/>
              <w:ind w:firstLine="0"/>
              <w:jc w:val="left"/>
            </w:pPr>
            <w:r>
              <w:rPr>
                <w:rFonts w:hint="eastAsia"/>
              </w:rPr>
              <w:t>更新</w:t>
            </w:r>
            <w:r>
              <w:t>间隔</w:t>
            </w:r>
          </w:p>
        </w:tc>
        <w:tc>
          <w:tcPr>
            <w:tcW w:w="7375" w:type="dxa"/>
            <w:shd w:val="clear" w:color="auto" w:fill="auto"/>
          </w:tcPr>
          <w:p w14:paraId="445E1B72">
            <w:pPr>
              <w:pStyle w:val="186"/>
              <w:widowControl w:val="0"/>
              <w:spacing w:line="240" w:lineRule="auto"/>
              <w:ind w:firstLine="0"/>
              <w:jc w:val="left"/>
            </w:pPr>
            <w:r>
              <w:rPr>
                <w:rFonts w:hint="eastAsia"/>
              </w:rPr>
              <w:t>更新</w:t>
            </w:r>
            <w:r>
              <w:t>报文发</w:t>
            </w:r>
            <w:r>
              <w:rPr>
                <w:rFonts w:hint="eastAsia"/>
              </w:rPr>
              <w:t>送</w:t>
            </w:r>
            <w:r>
              <w:t>的时间</w:t>
            </w:r>
            <w:r>
              <w:rPr>
                <w:rFonts w:hint="eastAsia"/>
              </w:rPr>
              <w:t>间隔</w:t>
            </w:r>
            <w:r>
              <w:t>。</w:t>
            </w:r>
          </w:p>
        </w:tc>
      </w:tr>
    </w:tbl>
    <w:p w14:paraId="348766AC"/>
    <w:p w14:paraId="497AA88E">
      <w:r>
        <w:rPr>
          <w:rFonts w:hint="eastAsia"/>
        </w:rPr>
        <w:t>配置完成后，如</w:t>
      </w:r>
      <w:r>
        <w:fldChar w:fldCharType="begin"/>
      </w:r>
      <w:r>
        <w:instrText xml:space="preserve"> REF _Ref394739799 \r \h </w:instrText>
      </w:r>
      <w:r>
        <w:fldChar w:fldCharType="separate"/>
      </w:r>
      <w:r>
        <w:rPr>
          <w:rFonts w:hint="eastAsia"/>
        </w:rPr>
        <w:t>图11-30</w:t>
      </w:r>
      <w:r>
        <w:fldChar w:fldCharType="end"/>
      </w:r>
      <w:r>
        <w:rPr>
          <w:rFonts w:hint="eastAsia"/>
        </w:rPr>
        <w:t>所示。</w:t>
      </w:r>
    </w:p>
    <w:p w14:paraId="01A121C9">
      <w:pPr>
        <w:pStyle w:val="188"/>
      </w:pPr>
      <w:bookmarkStart w:id="3491" w:name="_Toc141874700"/>
      <w:r>
        <w:rPr>
          <w:rFonts w:hint="eastAsia"/>
        </w:rPr>
        <w:t>DDNS配置完成效果</w:t>
      </w:r>
      <w:bookmarkEnd w:id="3491"/>
    </w:p>
    <w:p w14:paraId="1D99D977">
      <w:r>
        <w:drawing>
          <wp:inline distT="0" distB="0" distL="0" distR="0">
            <wp:extent cx="5438775" cy="1111250"/>
            <wp:effectExtent l="0" t="0" r="0" b="0"/>
            <wp:docPr id="1251" name="图片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图片 1251"/>
                    <pic:cNvPicPr>
                      <a:picLocks noChangeAspect="1"/>
                    </pic:cNvPicPr>
                  </pic:nvPicPr>
                  <pic:blipFill>
                    <a:blip r:embed="rId491"/>
                    <a:stretch>
                      <a:fillRect/>
                    </a:stretch>
                  </pic:blipFill>
                  <pic:spPr>
                    <a:xfrm>
                      <a:off x="0" y="0"/>
                      <a:ext cx="5449170" cy="1113691"/>
                    </a:xfrm>
                    <a:prstGeom prst="rect">
                      <a:avLst/>
                    </a:prstGeom>
                  </pic:spPr>
                </pic:pic>
              </a:graphicData>
            </a:graphic>
          </wp:inline>
        </w:drawing>
      </w:r>
    </w:p>
    <w:p w14:paraId="32385B9C"/>
    <w:p w14:paraId="371F498D">
      <w:pPr>
        <w:pStyle w:val="5"/>
      </w:pPr>
      <w:bookmarkStart w:id="3492" w:name="_Toc497924302"/>
      <w:bookmarkEnd w:id="3492"/>
      <w:bookmarkStart w:id="3493" w:name="_Toc497924299"/>
      <w:bookmarkEnd w:id="3493"/>
      <w:bookmarkStart w:id="3494" w:name="_Toc497924300"/>
      <w:bookmarkEnd w:id="3494"/>
      <w:bookmarkStart w:id="3495" w:name="_Toc497924301"/>
      <w:bookmarkEnd w:id="3495"/>
      <w:bookmarkStart w:id="3496" w:name="_Toc497924303"/>
      <w:bookmarkEnd w:id="3496"/>
      <w:bookmarkStart w:id="3497" w:name="_Toc497924304"/>
      <w:bookmarkEnd w:id="3497"/>
      <w:bookmarkStart w:id="3498" w:name="_Toc497924323"/>
      <w:bookmarkEnd w:id="3498"/>
      <w:bookmarkStart w:id="3499" w:name="_Toc497924324"/>
      <w:bookmarkEnd w:id="3499"/>
      <w:bookmarkStart w:id="3500" w:name="_Toc497924325"/>
      <w:bookmarkEnd w:id="3500"/>
      <w:bookmarkStart w:id="3501" w:name="_Toc497924326"/>
      <w:bookmarkEnd w:id="3501"/>
      <w:bookmarkStart w:id="3502" w:name="_Toc497924327"/>
      <w:bookmarkEnd w:id="3502"/>
      <w:bookmarkStart w:id="3503" w:name="_Toc497924328"/>
      <w:bookmarkEnd w:id="3503"/>
      <w:bookmarkStart w:id="3504" w:name="_Toc497924329"/>
      <w:bookmarkEnd w:id="3504"/>
      <w:bookmarkStart w:id="3505" w:name="_Toc497924350"/>
      <w:bookmarkEnd w:id="3505"/>
      <w:bookmarkStart w:id="3506" w:name="_Toc497924330"/>
      <w:bookmarkEnd w:id="3506"/>
      <w:bookmarkStart w:id="3507" w:name="_Toc497924349"/>
      <w:bookmarkEnd w:id="3507"/>
      <w:bookmarkStart w:id="3508" w:name="_Toc497924351"/>
      <w:bookmarkEnd w:id="3508"/>
      <w:bookmarkStart w:id="3509" w:name="_Toc497924352"/>
      <w:bookmarkEnd w:id="3509"/>
      <w:bookmarkStart w:id="3510" w:name="_Toc497924236"/>
      <w:bookmarkEnd w:id="3510"/>
      <w:bookmarkStart w:id="3511" w:name="_Toc497924261"/>
      <w:bookmarkEnd w:id="3511"/>
      <w:bookmarkStart w:id="3512" w:name="_Toc497924262"/>
      <w:bookmarkEnd w:id="3512"/>
      <w:bookmarkStart w:id="3513" w:name="_Toc497924264"/>
      <w:bookmarkEnd w:id="3513"/>
      <w:bookmarkStart w:id="3514" w:name="_Toc497924244"/>
      <w:bookmarkEnd w:id="3514"/>
      <w:bookmarkStart w:id="3515" w:name="_Toc497924245"/>
      <w:bookmarkEnd w:id="3515"/>
      <w:bookmarkStart w:id="3516" w:name="_Toc497924258"/>
      <w:bookmarkEnd w:id="3516"/>
      <w:bookmarkStart w:id="3517" w:name="_Toc497924238"/>
      <w:bookmarkEnd w:id="3517"/>
      <w:bookmarkStart w:id="3518" w:name="_Toc497924281"/>
      <w:bookmarkEnd w:id="3518"/>
      <w:bookmarkStart w:id="3519" w:name="_Toc497924284"/>
      <w:bookmarkEnd w:id="3519"/>
      <w:bookmarkStart w:id="3520" w:name="_Toc497924286"/>
      <w:bookmarkEnd w:id="3520"/>
      <w:bookmarkStart w:id="3521" w:name="_Toc497924285"/>
      <w:bookmarkEnd w:id="3521"/>
      <w:bookmarkStart w:id="3522" w:name="_Toc497924267"/>
      <w:bookmarkEnd w:id="3522"/>
      <w:bookmarkStart w:id="3523" w:name="_Toc497924241"/>
      <w:bookmarkEnd w:id="3523"/>
      <w:bookmarkStart w:id="3524" w:name="_Toc497924259"/>
      <w:bookmarkEnd w:id="3524"/>
      <w:bookmarkStart w:id="3525" w:name="_Toc497924268"/>
      <w:bookmarkEnd w:id="3525"/>
      <w:bookmarkStart w:id="3526" w:name="_Toc497924287"/>
      <w:bookmarkEnd w:id="3526"/>
      <w:bookmarkStart w:id="3527" w:name="_Toc497924260"/>
      <w:bookmarkEnd w:id="3527"/>
      <w:bookmarkStart w:id="3528" w:name="_Toc497924265"/>
      <w:bookmarkEnd w:id="3528"/>
      <w:bookmarkStart w:id="3529" w:name="_Toc497924237"/>
      <w:bookmarkEnd w:id="3529"/>
      <w:bookmarkStart w:id="3530" w:name="_Toc497924263"/>
      <w:bookmarkEnd w:id="3530"/>
      <w:bookmarkStart w:id="3531" w:name="_Toc497924240"/>
      <w:bookmarkEnd w:id="3531"/>
      <w:bookmarkStart w:id="3532" w:name="_Toc497924266"/>
      <w:bookmarkEnd w:id="3532"/>
      <w:bookmarkStart w:id="3533" w:name="_Toc497924239"/>
      <w:bookmarkEnd w:id="3533"/>
      <w:bookmarkStart w:id="3534" w:name="_Toc497924242"/>
      <w:bookmarkEnd w:id="3534"/>
      <w:bookmarkStart w:id="3535" w:name="_Toc497924282"/>
      <w:bookmarkEnd w:id="3535"/>
      <w:bookmarkStart w:id="3536" w:name="_Toc497924283"/>
      <w:bookmarkEnd w:id="3536"/>
      <w:bookmarkStart w:id="3537" w:name="_Toc497924243"/>
      <w:bookmarkEnd w:id="3537"/>
      <w:bookmarkStart w:id="3538" w:name="_Toc23152625"/>
      <w:bookmarkStart w:id="3539" w:name="_Toc40276058"/>
      <w:bookmarkStart w:id="3540" w:name="_Toc99561550"/>
      <w:bookmarkStart w:id="3541" w:name="_Toc141873471"/>
      <w:bookmarkStart w:id="3542" w:name="_Toc142400987"/>
      <w:bookmarkStart w:id="3543" w:name="_Toc172218222"/>
      <w:bookmarkStart w:id="3544" w:name="_Toc194080849"/>
      <w:bookmarkStart w:id="3545" w:name="_Toc196728181"/>
      <w:bookmarkStart w:id="3546" w:name="_Toc529430944"/>
      <w:bookmarkStart w:id="3547" w:name="_Toc15484859"/>
      <w:r>
        <w:rPr>
          <w:rFonts w:hint="eastAsia"/>
        </w:rPr>
        <w:t>DDNS典型配置举例</w:t>
      </w:r>
      <w:bookmarkEnd w:id="3538"/>
      <w:bookmarkEnd w:id="3539"/>
      <w:bookmarkEnd w:id="3540"/>
      <w:bookmarkEnd w:id="3541"/>
      <w:bookmarkEnd w:id="3542"/>
      <w:bookmarkEnd w:id="3543"/>
      <w:bookmarkEnd w:id="3544"/>
      <w:bookmarkEnd w:id="3545"/>
      <w:bookmarkEnd w:id="3546"/>
      <w:bookmarkEnd w:id="3547"/>
    </w:p>
    <w:p w14:paraId="46556832">
      <w:pPr>
        <w:pStyle w:val="6"/>
      </w:pPr>
      <w:r>
        <w:rPr>
          <w:rFonts w:hint="eastAsia"/>
        </w:rPr>
        <w:t>组网需求</w:t>
      </w:r>
    </w:p>
    <w:p w14:paraId="558B30B6">
      <w:r>
        <w:rPr>
          <w:rFonts w:hint="eastAsia"/>
        </w:rPr>
        <w:t>如下图所示，有一条公网</w:t>
      </w:r>
      <w:r>
        <w:t>PPPOE</w:t>
      </w:r>
      <w:r>
        <w:rPr>
          <w:rFonts w:hint="eastAsia"/>
        </w:rPr>
        <w:t>线路</w:t>
      </w:r>
      <w:r>
        <w:t>WLAN</w:t>
      </w:r>
      <w:r>
        <w:rPr>
          <w:rFonts w:hint="eastAsia"/>
        </w:rPr>
        <w:t>接口，内网服务器提供</w:t>
      </w:r>
      <w:r>
        <w:t>HTTP</w:t>
      </w:r>
      <w:r>
        <w:rPr>
          <w:rFonts w:hint="eastAsia"/>
        </w:rPr>
        <w:t>服务；具体应用需求如下：</w:t>
      </w:r>
    </w:p>
    <w:p w14:paraId="57D89B32">
      <w:r>
        <w:rPr>
          <w:rFonts w:hint="eastAsia"/>
        </w:rPr>
        <w:t>DDNS实现</w:t>
      </w:r>
      <w:r>
        <w:t>域名</w:t>
      </w:r>
      <w:r>
        <w:rPr>
          <w:rFonts w:hint="eastAsia"/>
        </w:rPr>
        <w:t>IP动态</w:t>
      </w:r>
      <w:r>
        <w:t>绑定。</w:t>
      </w:r>
    </w:p>
    <w:p w14:paraId="2BC6A847">
      <w:r>
        <w:rPr>
          <w:rFonts w:hint="eastAsia"/>
        </w:rPr>
        <w:t>目的</w:t>
      </w:r>
      <w:r>
        <w:t>NAT</w:t>
      </w:r>
      <w:r>
        <w:rPr>
          <w:rFonts w:hint="eastAsia"/>
        </w:rPr>
        <w:t>实现</w:t>
      </w:r>
      <w:r>
        <w:t>对内网服务器进行地址映射。</w:t>
      </w:r>
    </w:p>
    <w:p w14:paraId="7F3280D5">
      <w:r>
        <w:rPr>
          <w:rFonts w:hint="eastAsia"/>
        </w:rPr>
        <w:t>在WLAN接口</w:t>
      </w:r>
      <w:r>
        <w:t>公网IP变化的情况下，</w:t>
      </w:r>
      <w:r>
        <w:rPr>
          <w:rFonts w:hint="eastAsia"/>
        </w:rPr>
        <w:t>仍可通过域名</w:t>
      </w:r>
      <w:r>
        <w:t>方式正常访问内网</w:t>
      </w:r>
      <w:r>
        <w:rPr>
          <w:rFonts w:hint="eastAsia"/>
        </w:rPr>
        <w:t>HTTP服务。</w:t>
      </w:r>
    </w:p>
    <w:p w14:paraId="4F8571CD">
      <w:pPr>
        <w:pStyle w:val="188"/>
      </w:pPr>
      <w:bookmarkStart w:id="3548" w:name="_Toc141874701"/>
      <w:r>
        <w:rPr>
          <w:rFonts w:hint="eastAsia"/>
        </w:rPr>
        <w:t>组网图</w:t>
      </w:r>
      <w:bookmarkEnd w:id="3548"/>
    </w:p>
    <w:p w14:paraId="4D6B9A37">
      <w:r>
        <w:drawing>
          <wp:inline distT="0" distB="0" distL="0" distR="0">
            <wp:extent cx="5132705" cy="1199515"/>
            <wp:effectExtent l="0" t="0" r="0" b="635"/>
            <wp:docPr id="1252" name="图片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 name="图片 1252"/>
                    <pic:cNvPicPr>
                      <a:picLocks noChangeAspect="1"/>
                    </pic:cNvPicPr>
                  </pic:nvPicPr>
                  <pic:blipFill>
                    <a:blip r:embed="rId492"/>
                    <a:stretch>
                      <a:fillRect/>
                    </a:stretch>
                  </pic:blipFill>
                  <pic:spPr>
                    <a:xfrm>
                      <a:off x="0" y="0"/>
                      <a:ext cx="5133333" cy="1200000"/>
                    </a:xfrm>
                    <a:prstGeom prst="rect">
                      <a:avLst/>
                    </a:prstGeom>
                  </pic:spPr>
                </pic:pic>
              </a:graphicData>
            </a:graphic>
          </wp:inline>
        </w:drawing>
      </w:r>
    </w:p>
    <w:p w14:paraId="35EE921F">
      <w:pPr>
        <w:pStyle w:val="6"/>
      </w:pPr>
      <w:r>
        <w:rPr>
          <w:rFonts w:hint="eastAsia"/>
        </w:rPr>
        <w:t>配置思路</w:t>
      </w:r>
    </w:p>
    <w:p w14:paraId="1C688A61">
      <w:pPr>
        <w:pStyle w:val="202"/>
      </w:pPr>
      <w:r>
        <w:rPr>
          <w:rFonts w:hint="eastAsia"/>
        </w:rPr>
        <w:t>登录</w:t>
      </w:r>
      <w:r>
        <w:t>Web</w:t>
      </w:r>
      <w:r>
        <w:rPr>
          <w:rFonts w:hint="eastAsia"/>
        </w:rPr>
        <w:t>网管</w:t>
      </w:r>
    </w:p>
    <w:p w14:paraId="719159EA">
      <w:pPr>
        <w:pStyle w:val="202"/>
      </w:pPr>
      <w:r>
        <w:rPr>
          <w:rFonts w:hint="eastAsia"/>
        </w:rPr>
        <w:t>配置</w:t>
      </w:r>
      <w:r>
        <w:t>dns</w:t>
      </w:r>
      <w:r>
        <w:rPr>
          <w:rFonts w:hint="eastAsia"/>
        </w:rPr>
        <w:t>服务器</w:t>
      </w:r>
    </w:p>
    <w:p w14:paraId="70336C6D">
      <w:pPr>
        <w:pStyle w:val="202"/>
        <w:rPr>
          <w:lang w:eastAsia="zh-CN"/>
        </w:rPr>
      </w:pPr>
      <w:r>
        <w:rPr>
          <w:rFonts w:hint="eastAsia"/>
          <w:lang w:eastAsia="zh-CN"/>
        </w:rPr>
        <w:t>启用</w:t>
      </w:r>
      <w:r>
        <w:rPr>
          <w:lang w:eastAsia="zh-CN"/>
        </w:rPr>
        <w:t>DDNS</w:t>
      </w:r>
      <w:r>
        <w:rPr>
          <w:rFonts w:hint="eastAsia"/>
          <w:lang w:eastAsia="zh-CN"/>
        </w:rPr>
        <w:t>功能，配置动态域名服务</w:t>
      </w:r>
      <w:r>
        <w:rPr>
          <w:lang w:eastAsia="zh-CN"/>
        </w:rPr>
        <w:t>DDNS</w:t>
      </w:r>
    </w:p>
    <w:p w14:paraId="7FD38CB4">
      <w:pPr>
        <w:pStyle w:val="202"/>
        <w:rPr>
          <w:lang w:eastAsia="zh-CN"/>
        </w:rPr>
      </w:pPr>
      <w:r>
        <w:rPr>
          <w:rFonts w:hint="eastAsia"/>
          <w:lang w:eastAsia="zh-CN"/>
        </w:rPr>
        <w:t>配置目的</w:t>
      </w:r>
      <w:r>
        <w:rPr>
          <w:lang w:eastAsia="zh-CN"/>
        </w:rPr>
        <w:t>NAT</w:t>
      </w:r>
      <w:r>
        <w:rPr>
          <w:rFonts w:hint="eastAsia"/>
          <w:lang w:eastAsia="zh-CN"/>
        </w:rPr>
        <w:t>，将动态域名映射到内网服务器</w:t>
      </w:r>
    </w:p>
    <w:p w14:paraId="71C9C003">
      <w:pPr>
        <w:pStyle w:val="6"/>
      </w:pPr>
      <w:r>
        <w:t>配置步骤</w:t>
      </w:r>
    </w:p>
    <w:p w14:paraId="63D81F36">
      <w:pPr>
        <w:pStyle w:val="202"/>
        <w:rPr>
          <w:lang w:eastAsia="zh-CN"/>
        </w:rPr>
      </w:pPr>
      <w:r>
        <w:rPr>
          <w:rFonts w:hint="eastAsia"/>
          <w:lang w:eastAsia="zh-CN"/>
        </w:rPr>
        <w:t>配置dns</w:t>
      </w:r>
      <w:r>
        <w:rPr>
          <w:lang w:eastAsia="zh-CN"/>
        </w:rPr>
        <w:t>服务器，</w:t>
      </w:r>
      <w:r>
        <w:rPr>
          <w:rFonts w:hint="eastAsia"/>
          <w:lang w:eastAsia="zh-CN"/>
        </w:rPr>
        <w:t>保证</w:t>
      </w:r>
      <w:r>
        <w:rPr>
          <w:lang w:eastAsia="zh-CN"/>
        </w:rPr>
        <w:t>设备能够正常</w:t>
      </w:r>
      <w:r>
        <w:rPr>
          <w:rFonts w:hint="eastAsia"/>
          <w:lang w:eastAsia="zh-CN"/>
        </w:rPr>
        <w:t>进行域名</w:t>
      </w:r>
      <w:r>
        <w:rPr>
          <w:lang w:eastAsia="zh-CN"/>
        </w:rPr>
        <w:t>解析</w:t>
      </w:r>
    </w:p>
    <w:p w14:paraId="753238A6">
      <w:r>
        <w:rPr>
          <w:rFonts w:hint="eastAsia"/>
        </w:rPr>
        <w:t>如下图所示，进入左树“网络配置&gt;基础网络&gt;DNS服务</w:t>
      </w:r>
      <w:r>
        <w:t>&gt;DNS</w:t>
      </w:r>
      <w:r>
        <w:rPr>
          <w:rFonts w:hint="eastAsia"/>
        </w:rPr>
        <w:t>服务器”，配置</w:t>
      </w:r>
      <w:r>
        <w:t>DNS</w:t>
      </w:r>
      <w:r>
        <w:rPr>
          <w:rFonts w:hint="eastAsia"/>
        </w:rPr>
        <w:t>服务器为</w:t>
      </w:r>
      <w:r>
        <w:t>114.114.114.114</w:t>
      </w:r>
      <w:r>
        <w:rPr>
          <w:rFonts w:hint="eastAsia"/>
        </w:rPr>
        <w:t>，点击</w:t>
      </w:r>
      <w:r>
        <w:t>&lt;</w:t>
      </w:r>
      <w:r>
        <w:rPr>
          <w:rFonts w:hint="eastAsia"/>
        </w:rPr>
        <w:t>提交</w:t>
      </w:r>
      <w:r>
        <w:t>&gt;</w:t>
      </w:r>
      <w:r>
        <w:rPr>
          <w:rFonts w:hint="eastAsia"/>
        </w:rPr>
        <w:t>。</w:t>
      </w:r>
    </w:p>
    <w:p w14:paraId="22B436F0">
      <w:pPr>
        <w:pStyle w:val="188"/>
      </w:pPr>
      <w:bookmarkStart w:id="3549" w:name="_Toc141874702"/>
      <w:r>
        <w:rPr>
          <w:rFonts w:hint="eastAsia"/>
        </w:rPr>
        <w:t>配置dns</w:t>
      </w:r>
      <w:r>
        <w:t>服务器</w:t>
      </w:r>
      <w:bookmarkEnd w:id="3549"/>
    </w:p>
    <w:p w14:paraId="76AC47C3">
      <w:r>
        <w:drawing>
          <wp:inline distT="0" distB="0" distL="114300" distR="114300">
            <wp:extent cx="4235450" cy="2355850"/>
            <wp:effectExtent l="0" t="0" r="6350" b="6350"/>
            <wp:docPr id="103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图片 118"/>
                    <pic:cNvPicPr>
                      <a:picLocks noChangeAspect="1"/>
                    </pic:cNvPicPr>
                  </pic:nvPicPr>
                  <pic:blipFill>
                    <a:blip r:embed="rId493"/>
                    <a:stretch>
                      <a:fillRect/>
                    </a:stretch>
                  </pic:blipFill>
                  <pic:spPr>
                    <a:xfrm>
                      <a:off x="0" y="0"/>
                      <a:ext cx="4235450" cy="2355850"/>
                    </a:xfrm>
                    <a:prstGeom prst="rect">
                      <a:avLst/>
                    </a:prstGeom>
                    <a:noFill/>
                    <a:ln>
                      <a:noFill/>
                    </a:ln>
                  </pic:spPr>
                </pic:pic>
              </a:graphicData>
            </a:graphic>
          </wp:inline>
        </w:drawing>
      </w:r>
    </w:p>
    <w:p w14:paraId="4A49F4FB"/>
    <w:p w14:paraId="124825D1">
      <w:pPr>
        <w:pStyle w:val="202"/>
      </w:pPr>
      <w:r>
        <w:rPr>
          <w:rFonts w:hint="eastAsia"/>
        </w:rPr>
        <w:t>配置DDNS功能</w:t>
      </w:r>
    </w:p>
    <w:p w14:paraId="74DF743A">
      <w:r>
        <w:rPr>
          <w:rFonts w:hint="eastAsia"/>
        </w:rPr>
        <w:t>如下图所示，进入左树“网络配置&gt;基础网络&gt;DDNS服务”。勾选启用选项，点击确定。</w:t>
      </w:r>
    </w:p>
    <w:p w14:paraId="3B7AC2D7">
      <w:pPr>
        <w:pStyle w:val="188"/>
      </w:pPr>
      <w:bookmarkStart w:id="3550" w:name="_Toc141874703"/>
      <w:r>
        <w:rPr>
          <w:rFonts w:hint="eastAsia"/>
        </w:rPr>
        <w:t>启用DDNS功能</w:t>
      </w:r>
      <w:bookmarkEnd w:id="3550"/>
    </w:p>
    <w:p w14:paraId="6F918FFD">
      <w:r>
        <w:drawing>
          <wp:inline distT="0" distB="0" distL="0" distR="0">
            <wp:extent cx="5105400" cy="826770"/>
            <wp:effectExtent l="0" t="0" r="0" b="0"/>
            <wp:docPr id="1254" name="图片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 name="图片 1254"/>
                    <pic:cNvPicPr>
                      <a:picLocks noChangeAspect="1"/>
                    </pic:cNvPicPr>
                  </pic:nvPicPr>
                  <pic:blipFill>
                    <a:blip r:embed="rId494"/>
                    <a:stretch>
                      <a:fillRect/>
                    </a:stretch>
                  </pic:blipFill>
                  <pic:spPr>
                    <a:xfrm>
                      <a:off x="0" y="0"/>
                      <a:ext cx="5201102" cy="842300"/>
                    </a:xfrm>
                    <a:prstGeom prst="rect">
                      <a:avLst/>
                    </a:prstGeom>
                  </pic:spPr>
                </pic:pic>
              </a:graphicData>
            </a:graphic>
          </wp:inline>
        </w:drawing>
      </w:r>
    </w:p>
    <w:p w14:paraId="3E4DCD9A"/>
    <w:p w14:paraId="49D56DFA">
      <w:r>
        <w:rPr>
          <w:rFonts w:hint="eastAsia"/>
        </w:rPr>
        <w:t>如下图所示，进入左树“网络配置&gt;基础网络&gt;DDNS服务”。点击</w:t>
      </w:r>
      <w:r>
        <w:t>&lt;</w:t>
      </w:r>
      <w:r>
        <w:rPr>
          <w:rFonts w:hint="eastAsia"/>
        </w:rPr>
        <w:t>新建</w:t>
      </w:r>
      <w:r>
        <w:t>&gt;</w:t>
      </w:r>
      <w:r>
        <w:rPr>
          <w:rFonts w:hint="eastAsia"/>
        </w:rPr>
        <w:t>，配置名称为</w:t>
      </w:r>
      <w:r>
        <w:t>test</w:t>
      </w:r>
      <w:r>
        <w:rPr>
          <w:rFonts w:hint="eastAsia"/>
        </w:rPr>
        <w:t>，域名为</w:t>
      </w:r>
      <w:r>
        <w:t>***test.iask.in</w:t>
      </w:r>
      <w:r>
        <w:rPr>
          <w:rFonts w:hint="eastAsia"/>
        </w:rPr>
        <w:t>，接口为</w:t>
      </w:r>
      <w:r>
        <w:t>ge0</w:t>
      </w:r>
      <w:r>
        <w:rPr>
          <w:rFonts w:hint="eastAsia"/>
        </w:rPr>
        <w:t>，服务商为花生壳，更新间隔</w:t>
      </w:r>
      <w:r>
        <w:t>30</w:t>
      </w:r>
      <w:r>
        <w:rPr>
          <w:rFonts w:hint="eastAsia"/>
        </w:rPr>
        <w:t>，点击</w:t>
      </w:r>
      <w:r>
        <w:t>&lt;</w:t>
      </w:r>
      <w:r>
        <w:rPr>
          <w:rFonts w:hint="eastAsia"/>
        </w:rPr>
        <w:t>提交</w:t>
      </w:r>
      <w:r>
        <w:t>&gt;</w:t>
      </w:r>
      <w:r>
        <w:rPr>
          <w:rFonts w:hint="eastAsia"/>
        </w:rPr>
        <w:t>。</w:t>
      </w:r>
    </w:p>
    <w:p w14:paraId="1BE8F247">
      <w:pPr>
        <w:pStyle w:val="188"/>
      </w:pPr>
      <w:bookmarkStart w:id="3551" w:name="_Toc141874704"/>
      <w:r>
        <w:rPr>
          <w:rFonts w:hint="eastAsia"/>
        </w:rPr>
        <w:t>配置</w:t>
      </w:r>
      <w:r>
        <w:t>动态域名服务</w:t>
      </w:r>
      <w:r>
        <w:rPr>
          <w:rFonts w:hint="eastAsia"/>
        </w:rPr>
        <w:t>DDNS</w:t>
      </w:r>
      <w:bookmarkEnd w:id="3551"/>
    </w:p>
    <w:p w14:paraId="52A35B31">
      <w:r>
        <w:drawing>
          <wp:inline distT="0" distB="0" distL="0" distR="0">
            <wp:extent cx="5400040" cy="3354070"/>
            <wp:effectExtent l="0" t="0" r="0" b="0"/>
            <wp:docPr id="2688" name="图片 2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 name="图片 2688"/>
                    <pic:cNvPicPr>
                      <a:picLocks noChangeAspect="1"/>
                    </pic:cNvPicPr>
                  </pic:nvPicPr>
                  <pic:blipFill>
                    <a:blip r:embed="rId495"/>
                    <a:stretch>
                      <a:fillRect/>
                    </a:stretch>
                  </pic:blipFill>
                  <pic:spPr>
                    <a:xfrm>
                      <a:off x="0" y="0"/>
                      <a:ext cx="5400040" cy="3354627"/>
                    </a:xfrm>
                    <a:prstGeom prst="rect">
                      <a:avLst/>
                    </a:prstGeom>
                  </pic:spPr>
                </pic:pic>
              </a:graphicData>
            </a:graphic>
          </wp:inline>
        </w:drawing>
      </w:r>
    </w:p>
    <w:p w14:paraId="5FEE58FD"/>
    <w:p w14:paraId="55D8DB38">
      <w:r>
        <w:rPr>
          <w:rFonts w:hint="eastAsia"/>
        </w:rPr>
        <w:t>如下图所示，创建成功设备将与花生壳服务商进行连接，成功后会根据配置的更新间隔发送更新报文进行更新，并显示当前更新的公网</w:t>
      </w:r>
      <w:r>
        <w:t>IP</w:t>
      </w:r>
      <w:r>
        <w:rPr>
          <w:rFonts w:hint="eastAsia"/>
        </w:rPr>
        <w:t>地址</w:t>
      </w:r>
      <w:r>
        <w:t>。</w:t>
      </w:r>
    </w:p>
    <w:p w14:paraId="7B5ED01A">
      <w:pPr>
        <w:pStyle w:val="188"/>
      </w:pPr>
      <w:bookmarkStart w:id="3552" w:name="_Toc141874705"/>
      <w:r>
        <w:rPr>
          <w:rFonts w:hint="eastAsia"/>
        </w:rPr>
        <w:t>DDNS功能状态</w:t>
      </w:r>
      <w:r>
        <w:t>显示</w:t>
      </w:r>
      <w:bookmarkEnd w:id="3552"/>
    </w:p>
    <w:p w14:paraId="7F6270B3">
      <w:r>
        <w:drawing>
          <wp:inline distT="0" distB="0" distL="0" distR="0">
            <wp:extent cx="5400040" cy="1111885"/>
            <wp:effectExtent l="0" t="0" r="0" b="0"/>
            <wp:docPr id="859" name="图片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图片 859"/>
                    <pic:cNvPicPr>
                      <a:picLocks noChangeAspect="1"/>
                    </pic:cNvPicPr>
                  </pic:nvPicPr>
                  <pic:blipFill>
                    <a:blip r:embed="rId496"/>
                    <a:stretch>
                      <a:fillRect/>
                    </a:stretch>
                  </pic:blipFill>
                  <pic:spPr>
                    <a:xfrm>
                      <a:off x="0" y="0"/>
                      <a:ext cx="5400040" cy="1112168"/>
                    </a:xfrm>
                    <a:prstGeom prst="rect">
                      <a:avLst/>
                    </a:prstGeom>
                  </pic:spPr>
                </pic:pic>
              </a:graphicData>
            </a:graphic>
          </wp:inline>
        </w:drawing>
      </w:r>
    </w:p>
    <w:p w14:paraId="7E8A7B95"/>
    <w:p w14:paraId="21B40D60">
      <w:pPr>
        <w:pStyle w:val="202"/>
        <w:rPr>
          <w:lang w:eastAsia="zh-CN"/>
        </w:rPr>
      </w:pPr>
      <w:r>
        <w:rPr>
          <w:rFonts w:hint="eastAsia"/>
          <w:lang w:eastAsia="zh-CN"/>
        </w:rPr>
        <w:t>配置目的NAT，</w:t>
      </w:r>
      <w:r>
        <w:rPr>
          <w:lang w:eastAsia="zh-CN"/>
        </w:rPr>
        <w:t>将动态域名映射到内网服务器。</w:t>
      </w:r>
    </w:p>
    <w:p w14:paraId="1371D44D">
      <w:r>
        <w:rPr>
          <w:rFonts w:hint="eastAsia"/>
        </w:rPr>
        <w:t>如下图所示，进入左树“策略配置&gt;对象管理&gt;地址对象&gt;IP</w:t>
      </w:r>
      <w:r>
        <w:t>v4</w:t>
      </w:r>
      <w:r>
        <w:rPr>
          <w:rFonts w:hint="eastAsia"/>
        </w:rPr>
        <w:t>地址</w:t>
      </w:r>
      <w:r>
        <w:t>对象</w:t>
      </w:r>
      <w:r>
        <w:rPr>
          <w:rFonts w:hint="eastAsia"/>
        </w:rPr>
        <w:t>”。点击&lt;新建&gt;，</w:t>
      </w:r>
      <w:r>
        <w:t>配置域名为***test.iask.in</w:t>
      </w:r>
      <w:r>
        <w:rPr>
          <w:rFonts w:hint="eastAsia"/>
        </w:rPr>
        <w:t>，点击&lt;提交&gt;。</w:t>
      </w:r>
    </w:p>
    <w:p w14:paraId="10EA38D6">
      <w:pPr>
        <w:pStyle w:val="188"/>
      </w:pPr>
      <w:bookmarkStart w:id="3553" w:name="_Toc141874706"/>
      <w:r>
        <w:rPr>
          <w:rFonts w:hint="eastAsia"/>
        </w:rPr>
        <w:t>配置地址</w:t>
      </w:r>
      <w:r>
        <w:t>对象</w:t>
      </w:r>
      <w:bookmarkEnd w:id="3553"/>
    </w:p>
    <w:p w14:paraId="04931953">
      <w:r>
        <w:drawing>
          <wp:inline distT="0" distB="0" distL="0" distR="0">
            <wp:extent cx="5524500" cy="3482340"/>
            <wp:effectExtent l="0" t="0" r="0" b="3810"/>
            <wp:docPr id="1257" name="图片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 name="图片 1257"/>
                    <pic:cNvPicPr>
                      <a:picLocks noChangeAspect="1"/>
                    </pic:cNvPicPr>
                  </pic:nvPicPr>
                  <pic:blipFill>
                    <a:blip r:embed="rId497"/>
                    <a:stretch>
                      <a:fillRect/>
                    </a:stretch>
                  </pic:blipFill>
                  <pic:spPr>
                    <a:xfrm>
                      <a:off x="0" y="0"/>
                      <a:ext cx="5537477" cy="3490581"/>
                    </a:xfrm>
                    <a:prstGeom prst="rect">
                      <a:avLst/>
                    </a:prstGeom>
                  </pic:spPr>
                </pic:pic>
              </a:graphicData>
            </a:graphic>
          </wp:inline>
        </w:drawing>
      </w:r>
    </w:p>
    <w:p w14:paraId="1A3F45BE"/>
    <w:p w14:paraId="08635388">
      <w:r>
        <w:rPr>
          <w:rFonts w:hint="eastAsia"/>
        </w:rPr>
        <w:t>如下图所示，进入左树“策略配置&gt;对象管理&gt;服务对象&gt;自定义</w:t>
      </w:r>
      <w:r>
        <w:t>服务</w:t>
      </w:r>
      <w:r>
        <w:rPr>
          <w:rFonts w:hint="eastAsia"/>
        </w:rPr>
        <w:t>”。点击&lt;新建&gt;，</w:t>
      </w:r>
      <w:r>
        <w:t>配置</w:t>
      </w:r>
      <w:r>
        <w:rPr>
          <w:rFonts w:hint="eastAsia"/>
        </w:rPr>
        <w:t>名称</w:t>
      </w:r>
      <w:r>
        <w:t>为tcp65003</w:t>
      </w:r>
      <w:r>
        <w:rPr>
          <w:rFonts w:hint="eastAsia"/>
        </w:rPr>
        <w:t>，目的</w:t>
      </w:r>
      <w:r>
        <w:t>端口</w:t>
      </w:r>
      <w:r>
        <w:rPr>
          <w:rFonts w:hint="eastAsia"/>
        </w:rPr>
        <w:t>65003</w:t>
      </w:r>
      <w:r>
        <w:t>-65003</w:t>
      </w:r>
      <w:r>
        <w:rPr>
          <w:rFonts w:hint="eastAsia"/>
        </w:rPr>
        <w:t>，</w:t>
      </w:r>
      <w:r>
        <w:t>源端口</w:t>
      </w:r>
      <w:r>
        <w:rPr>
          <w:rFonts w:hint="eastAsia"/>
        </w:rPr>
        <w:t>0</w:t>
      </w:r>
      <w:r>
        <w:t>-65535</w:t>
      </w:r>
      <w:r>
        <w:rPr>
          <w:rFonts w:hint="eastAsia"/>
        </w:rPr>
        <w:t>的</w:t>
      </w:r>
      <w:r>
        <w:t>自定义服务对象</w:t>
      </w:r>
      <w:r>
        <w:rPr>
          <w:rFonts w:hint="eastAsia"/>
        </w:rPr>
        <w:t>，点击&lt;提交&gt;</w:t>
      </w:r>
      <w:r>
        <w:t>。</w:t>
      </w:r>
    </w:p>
    <w:p w14:paraId="65884326">
      <w:pPr>
        <w:pStyle w:val="188"/>
      </w:pPr>
      <w:bookmarkStart w:id="3554" w:name="_Toc141874707"/>
      <w:r>
        <w:rPr>
          <w:rFonts w:hint="eastAsia"/>
        </w:rPr>
        <w:t>配置自定义</w:t>
      </w:r>
      <w:r>
        <w:t>服务</w:t>
      </w:r>
      <w:bookmarkEnd w:id="3554"/>
    </w:p>
    <w:p w14:paraId="3784F23B">
      <w:r>
        <w:drawing>
          <wp:inline distT="0" distB="0" distL="114300" distR="114300">
            <wp:extent cx="5400040" cy="3315335"/>
            <wp:effectExtent l="0" t="0" r="0" b="0"/>
            <wp:docPr id="104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图片 122"/>
                    <pic:cNvPicPr>
                      <a:picLocks noChangeAspect="1"/>
                    </pic:cNvPicPr>
                  </pic:nvPicPr>
                  <pic:blipFill>
                    <a:blip r:embed="rId498"/>
                    <a:stretch>
                      <a:fillRect/>
                    </a:stretch>
                  </pic:blipFill>
                  <pic:spPr>
                    <a:xfrm>
                      <a:off x="0" y="0"/>
                      <a:ext cx="5400040" cy="3315916"/>
                    </a:xfrm>
                    <a:prstGeom prst="rect">
                      <a:avLst/>
                    </a:prstGeom>
                    <a:noFill/>
                    <a:ln>
                      <a:noFill/>
                    </a:ln>
                  </pic:spPr>
                </pic:pic>
              </a:graphicData>
            </a:graphic>
          </wp:inline>
        </w:drawing>
      </w:r>
    </w:p>
    <w:p w14:paraId="024D8AB8"/>
    <w:p w14:paraId="73CF5AAE">
      <w:r>
        <w:rPr>
          <w:rFonts w:hint="eastAsia"/>
        </w:rPr>
        <w:t>如下图所示，进入左树</w:t>
      </w:r>
      <w:r>
        <w:t>&gt;</w:t>
      </w:r>
      <w:r>
        <w:rPr>
          <w:rFonts w:hint="eastAsia"/>
        </w:rPr>
        <w:t>“策略配置&gt;NAT转换策略</w:t>
      </w:r>
      <w:r>
        <w:t>&gt;</w:t>
      </w:r>
      <w:r>
        <w:rPr>
          <w:rFonts w:hint="eastAsia"/>
        </w:rPr>
        <w:t>地址池”。点击</w:t>
      </w:r>
      <w:r>
        <w:t>&lt;</w:t>
      </w:r>
      <w:r>
        <w:rPr>
          <w:rFonts w:hint="eastAsia"/>
        </w:rPr>
        <w:t>新建</w:t>
      </w:r>
      <w:r>
        <w:t>&gt;</w:t>
      </w:r>
      <w:r>
        <w:rPr>
          <w:rFonts w:hint="eastAsia"/>
        </w:rPr>
        <w:t>，配置名称为</w:t>
      </w:r>
      <w:r>
        <w:t>httpserver</w:t>
      </w:r>
      <w:r>
        <w:rPr>
          <w:rFonts w:hint="eastAsia"/>
        </w:rPr>
        <w:t>，地址池的地址项目为</w:t>
      </w:r>
      <w:r>
        <w:t>192.168.2.120</w:t>
      </w:r>
      <w:r>
        <w:rPr>
          <w:rFonts w:hint="eastAsia"/>
        </w:rPr>
        <w:t>，点击</w:t>
      </w:r>
      <w:r>
        <w:t>&lt;</w:t>
      </w:r>
      <w:r>
        <w:rPr>
          <w:rFonts w:hint="eastAsia"/>
        </w:rPr>
        <w:t>提交</w:t>
      </w:r>
      <w:r>
        <w:t>&gt;</w:t>
      </w:r>
      <w:r>
        <w:rPr>
          <w:rFonts w:hint="eastAsia"/>
        </w:rPr>
        <w:t>。</w:t>
      </w:r>
    </w:p>
    <w:p w14:paraId="74D6BAFF">
      <w:pPr>
        <w:pStyle w:val="188"/>
      </w:pPr>
      <w:bookmarkStart w:id="3555" w:name="_Toc141874708"/>
      <w:r>
        <w:rPr>
          <w:rFonts w:hint="eastAsia"/>
        </w:rPr>
        <w:t>配置</w:t>
      </w:r>
      <w:r>
        <w:t>地址池</w:t>
      </w:r>
      <w:bookmarkEnd w:id="3555"/>
    </w:p>
    <w:p w14:paraId="6CD0CE3B">
      <w:r>
        <w:drawing>
          <wp:inline distT="0" distB="0" distL="114300" distR="114300">
            <wp:extent cx="5400040" cy="3368675"/>
            <wp:effectExtent l="0" t="0" r="0" b="3175"/>
            <wp:docPr id="104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图片 123"/>
                    <pic:cNvPicPr>
                      <a:picLocks noChangeAspect="1"/>
                    </pic:cNvPicPr>
                  </pic:nvPicPr>
                  <pic:blipFill>
                    <a:blip r:embed="rId499"/>
                    <a:stretch>
                      <a:fillRect/>
                    </a:stretch>
                  </pic:blipFill>
                  <pic:spPr>
                    <a:xfrm>
                      <a:off x="0" y="0"/>
                      <a:ext cx="5400040" cy="3368889"/>
                    </a:xfrm>
                    <a:prstGeom prst="rect">
                      <a:avLst/>
                    </a:prstGeom>
                    <a:noFill/>
                    <a:ln>
                      <a:noFill/>
                    </a:ln>
                  </pic:spPr>
                </pic:pic>
              </a:graphicData>
            </a:graphic>
          </wp:inline>
        </w:drawing>
      </w:r>
    </w:p>
    <w:p w14:paraId="2184A88B">
      <w:r>
        <w:rPr>
          <w:rFonts w:hint="eastAsia"/>
        </w:rPr>
        <w:t>如下图所示，进入左树</w:t>
      </w:r>
      <w:r>
        <w:t>&gt;</w:t>
      </w:r>
      <w:r>
        <w:rPr>
          <w:rFonts w:hint="eastAsia"/>
        </w:rPr>
        <w:t>“策略配置&gt;NAT转换策略</w:t>
      </w:r>
      <w:r>
        <w:t>&gt;</w:t>
      </w:r>
      <w:r>
        <w:rPr>
          <w:rFonts w:hint="eastAsia"/>
        </w:rPr>
        <w:t>目的</w:t>
      </w:r>
      <w:r>
        <w:t>NAT</w:t>
      </w:r>
      <w:r>
        <w:rPr>
          <w:rFonts w:hint="eastAsia"/>
        </w:rPr>
        <w:t>”。点击</w:t>
      </w:r>
      <w:r>
        <w:t>&lt;</w:t>
      </w:r>
      <w:r>
        <w:rPr>
          <w:rFonts w:hint="eastAsia"/>
        </w:rPr>
        <w:t>新建</w:t>
      </w:r>
      <w:r>
        <w:t>&gt;</w:t>
      </w:r>
      <w:r>
        <w:rPr>
          <w:rFonts w:hint="eastAsia"/>
        </w:rPr>
        <w:t>，配置源地址为</w:t>
      </w:r>
      <w:r>
        <w:t>any</w:t>
      </w:r>
      <w:r>
        <w:rPr>
          <w:rFonts w:hint="eastAsia"/>
        </w:rPr>
        <w:t>，目的地址为地址对象</w:t>
      </w:r>
      <w:r>
        <w:t>***test.iask.in,</w:t>
      </w:r>
      <w:r>
        <w:rPr>
          <w:rFonts w:hint="eastAsia"/>
        </w:rPr>
        <w:t>服务为自定义服务</w:t>
      </w:r>
      <w:r>
        <w:t>tcp65503,</w:t>
      </w:r>
      <w:r>
        <w:rPr>
          <w:rFonts w:hint="eastAsia"/>
        </w:rPr>
        <w:t>接口为</w:t>
      </w:r>
      <w:r>
        <w:t>ge0</w:t>
      </w:r>
      <w:r>
        <w:rPr>
          <w:rFonts w:hint="eastAsia"/>
        </w:rPr>
        <w:t>，转换后</w:t>
      </w:r>
      <w:r>
        <w:t>IP</w:t>
      </w:r>
      <w:r>
        <w:rPr>
          <w:rFonts w:hint="eastAsia"/>
        </w:rPr>
        <w:t>为</w:t>
      </w:r>
      <w:r>
        <w:t>httpserver</w:t>
      </w:r>
      <w:r>
        <w:rPr>
          <w:rFonts w:hint="eastAsia"/>
        </w:rPr>
        <w:t>，转换后端口为</w:t>
      </w:r>
      <w:r>
        <w:t>80</w:t>
      </w:r>
      <w:r>
        <w:rPr>
          <w:rFonts w:hint="eastAsia"/>
        </w:rPr>
        <w:t>，点击</w:t>
      </w:r>
      <w:r>
        <w:t>&lt;</w:t>
      </w:r>
      <w:r>
        <w:rPr>
          <w:rFonts w:hint="eastAsia"/>
        </w:rPr>
        <w:t>提交</w:t>
      </w:r>
      <w:r>
        <w:t>&gt;</w:t>
      </w:r>
      <w:r>
        <w:rPr>
          <w:rFonts w:hint="eastAsia"/>
        </w:rPr>
        <w:t>。</w:t>
      </w:r>
    </w:p>
    <w:p w14:paraId="7942A0C1">
      <w:pPr>
        <w:pStyle w:val="188"/>
      </w:pPr>
      <w:bookmarkStart w:id="3556" w:name="_Toc141874709"/>
      <w:r>
        <w:rPr>
          <w:rFonts w:hint="eastAsia"/>
        </w:rPr>
        <w:t>配置目的NAT</w:t>
      </w:r>
      <w:bookmarkEnd w:id="3556"/>
    </w:p>
    <w:p w14:paraId="0C1DF82A">
      <w:r>
        <w:drawing>
          <wp:inline distT="0" distB="0" distL="114300" distR="114300">
            <wp:extent cx="4905375" cy="3896360"/>
            <wp:effectExtent l="0" t="0" r="0" b="8890"/>
            <wp:docPr id="104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图片 124"/>
                    <pic:cNvPicPr>
                      <a:picLocks noChangeAspect="1"/>
                    </pic:cNvPicPr>
                  </pic:nvPicPr>
                  <pic:blipFill>
                    <a:blip r:embed="rId500"/>
                    <a:srcRect r="10108"/>
                    <a:stretch>
                      <a:fillRect/>
                    </a:stretch>
                  </pic:blipFill>
                  <pic:spPr>
                    <a:xfrm>
                      <a:off x="0" y="0"/>
                      <a:ext cx="4908827" cy="3899627"/>
                    </a:xfrm>
                    <a:prstGeom prst="rect">
                      <a:avLst/>
                    </a:prstGeom>
                    <a:noFill/>
                    <a:ln>
                      <a:noFill/>
                    </a:ln>
                  </pic:spPr>
                </pic:pic>
              </a:graphicData>
            </a:graphic>
          </wp:inline>
        </w:drawing>
      </w:r>
    </w:p>
    <w:p w14:paraId="74C61409"/>
    <w:p w14:paraId="6DFB809F">
      <w:pPr>
        <w:pStyle w:val="6"/>
      </w:pPr>
      <w:r>
        <w:t>验证配置</w:t>
      </w:r>
    </w:p>
    <w:p w14:paraId="64824E91">
      <w:r>
        <w:rPr>
          <w:rFonts w:hint="eastAsia"/>
        </w:rPr>
        <w:t>如下图所示，在</w:t>
      </w:r>
      <w:r>
        <w:t>Internet</w:t>
      </w:r>
      <w:r>
        <w:rPr>
          <w:rFonts w:hint="eastAsia"/>
        </w:rPr>
        <w:t>访问</w:t>
      </w:r>
      <w:r>
        <w:t>http:// ***test.iask.in:65003</w:t>
      </w:r>
      <w:r>
        <w:rPr>
          <w:rFonts w:hint="eastAsia"/>
        </w:rPr>
        <w:t>，可正常访问内网的</w:t>
      </w:r>
      <w:r>
        <w:t>HTTP</w:t>
      </w:r>
      <w:r>
        <w:rPr>
          <w:rFonts w:hint="eastAsia"/>
        </w:rPr>
        <w:t>服务器，当外网口</w:t>
      </w:r>
      <w:r>
        <w:t>IP</w:t>
      </w:r>
      <w:r>
        <w:rPr>
          <w:rFonts w:hint="eastAsia"/>
        </w:rPr>
        <w:t>地址发生变更后，通过域名访问内网</w:t>
      </w:r>
      <w:r>
        <w:t>HTTP</w:t>
      </w:r>
      <w:r>
        <w:rPr>
          <w:rFonts w:hint="eastAsia"/>
        </w:rPr>
        <w:t>服务器正常。</w:t>
      </w:r>
    </w:p>
    <w:p w14:paraId="760D05C9">
      <w:pPr>
        <w:pStyle w:val="188"/>
      </w:pPr>
      <w:bookmarkStart w:id="3557" w:name="_Toc141874710"/>
      <w:r>
        <w:rPr>
          <w:rFonts w:hint="eastAsia"/>
        </w:rPr>
        <w:t>通过域名访问内网HTTP服务器</w:t>
      </w:r>
      <w:bookmarkEnd w:id="3557"/>
    </w:p>
    <w:p w14:paraId="6CA3EC8C">
      <w:r>
        <w:drawing>
          <wp:inline distT="0" distB="0" distL="0" distR="0">
            <wp:extent cx="5486400" cy="2489200"/>
            <wp:effectExtent l="0" t="0" r="0" b="6350"/>
            <wp:docPr id="1262" name="图片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 name="图片 1262"/>
                    <pic:cNvPicPr>
                      <a:picLocks noChangeAspect="1"/>
                    </pic:cNvPicPr>
                  </pic:nvPicPr>
                  <pic:blipFill>
                    <a:blip r:embed="rId501"/>
                    <a:stretch>
                      <a:fillRect/>
                    </a:stretch>
                  </pic:blipFill>
                  <pic:spPr>
                    <a:xfrm>
                      <a:off x="0" y="0"/>
                      <a:ext cx="5486400" cy="2489200"/>
                    </a:xfrm>
                    <a:prstGeom prst="rect">
                      <a:avLst/>
                    </a:prstGeom>
                  </pic:spPr>
                </pic:pic>
              </a:graphicData>
            </a:graphic>
          </wp:inline>
        </w:drawing>
      </w:r>
    </w:p>
    <w:p w14:paraId="67B6B2DD"/>
    <w:p w14:paraId="66F8B9CD">
      <w:pPr>
        <w:pStyle w:val="4"/>
      </w:pPr>
      <w:bookmarkStart w:id="3558" w:name="_Toc23152631"/>
      <w:bookmarkStart w:id="3559" w:name="_Toc40276064"/>
      <w:bookmarkStart w:id="3560" w:name="_Toc15484865"/>
      <w:bookmarkStart w:id="3561" w:name="_Toc99561551"/>
      <w:bookmarkStart w:id="3562" w:name="_Toc141873472"/>
      <w:bookmarkStart w:id="3563" w:name="_Toc172218223"/>
      <w:bookmarkStart w:id="3564" w:name="_Toc196728182"/>
      <w:bookmarkStart w:id="3565" w:name="_Toc142400988"/>
      <w:bookmarkStart w:id="3566" w:name="_Toc194080850"/>
      <w:bookmarkStart w:id="3567" w:name="_Toc6233147"/>
      <w:r>
        <w:rPr>
          <w:rFonts w:hint="eastAsia"/>
        </w:rPr>
        <w:t>应用缓存</w:t>
      </w:r>
      <w:bookmarkEnd w:id="3558"/>
      <w:bookmarkEnd w:id="3559"/>
      <w:bookmarkEnd w:id="3560"/>
      <w:bookmarkEnd w:id="3561"/>
      <w:bookmarkEnd w:id="3562"/>
      <w:bookmarkEnd w:id="3563"/>
      <w:bookmarkEnd w:id="3564"/>
      <w:bookmarkEnd w:id="3565"/>
      <w:bookmarkEnd w:id="3566"/>
    </w:p>
    <w:p w14:paraId="6EFCCE6D">
      <w:pPr>
        <w:pStyle w:val="5"/>
      </w:pPr>
      <w:bookmarkStart w:id="3568" w:name="_Toc172218224"/>
      <w:bookmarkStart w:id="3569" w:name="_Toc15484866"/>
      <w:bookmarkStart w:id="3570" w:name="_Toc23152632"/>
      <w:bookmarkStart w:id="3571" w:name="_Toc141873473"/>
      <w:bookmarkStart w:id="3572" w:name="_Toc142400989"/>
      <w:bookmarkStart w:id="3573" w:name="_Toc6233173"/>
      <w:bookmarkStart w:id="3574" w:name="_Toc99561552"/>
      <w:bookmarkStart w:id="3575" w:name="_Toc194080851"/>
      <w:bookmarkStart w:id="3576" w:name="_Toc196728183"/>
      <w:bookmarkStart w:id="3577" w:name="_Toc40276065"/>
      <w:bookmarkStart w:id="3578" w:name="OLE_LINK103"/>
      <w:r>
        <w:rPr>
          <w:rFonts w:hint="eastAsia"/>
        </w:rPr>
        <w:t>应用缓存的精确匹配和模糊匹配区别</w:t>
      </w:r>
      <w:bookmarkEnd w:id="3568"/>
      <w:bookmarkEnd w:id="3569"/>
      <w:bookmarkEnd w:id="3570"/>
      <w:bookmarkEnd w:id="3571"/>
      <w:bookmarkEnd w:id="3572"/>
      <w:bookmarkEnd w:id="3573"/>
      <w:bookmarkEnd w:id="3574"/>
      <w:bookmarkEnd w:id="3575"/>
      <w:bookmarkEnd w:id="3576"/>
      <w:bookmarkEnd w:id="3577"/>
    </w:p>
    <w:p w14:paraId="73882D72">
      <w:r>
        <w:rPr>
          <w:rFonts w:hint="eastAsia"/>
        </w:rPr>
        <w:t>应用缓存功能，是以网络节点（比如网关设备）作为锚点，该功能的开启，首先将用户需求的应用软件（一般是用户高频使用的软件，例如：</w:t>
      </w:r>
      <w:r>
        <w:t>QQ</w:t>
      </w:r>
      <w:r>
        <w:rPr>
          <w:rFonts w:hint="eastAsia"/>
        </w:rPr>
        <w:t>、微信等）上传到该锚点。随后配置相应的</w:t>
      </w:r>
      <w:r>
        <w:t>URL</w:t>
      </w:r>
      <w:r>
        <w:rPr>
          <w:rFonts w:hint="eastAsia"/>
        </w:rPr>
        <w:t>链接并与上传的应用完成一一对应。</w:t>
      </w:r>
    </w:p>
    <w:p w14:paraId="4A446660">
      <w:r>
        <w:rPr>
          <w:rFonts w:hint="eastAsia"/>
        </w:rPr>
        <w:t>当用户接入网络发起对应用软件（例如：</w:t>
      </w:r>
      <w:r>
        <w:t>QQ</w:t>
      </w:r>
      <w:r>
        <w:rPr>
          <w:rFonts w:hint="eastAsia"/>
        </w:rPr>
        <w:t>）的下载时，则命中该锚点上的</w:t>
      </w:r>
      <w:r>
        <w:t>URL</w:t>
      </w:r>
      <w:r>
        <w:rPr>
          <w:rFonts w:hint="eastAsia"/>
        </w:rPr>
        <w:t>，则用户直接从该锚点下得该应用。</w:t>
      </w:r>
    </w:p>
    <w:p w14:paraId="3D18435F">
      <w:r>
        <w:rPr>
          <w:rFonts w:hint="eastAsia"/>
        </w:rPr>
        <w:t>对于用户来讲，通过应用缓存下载软件会比在互联网下载速度要快。</w:t>
      </w:r>
    </w:p>
    <w:p w14:paraId="66DD6CD3">
      <w:r>
        <w:rPr>
          <w:rFonts w:hint="eastAsia"/>
        </w:rPr>
        <w:t>该功能有两种配置方式分别为精确匹配和模糊匹配。</w:t>
      </w:r>
    </w:p>
    <w:p w14:paraId="57A4C845">
      <w:pPr>
        <w:pStyle w:val="202"/>
      </w:pPr>
      <w:r>
        <w:rPr>
          <w:rFonts w:hint="eastAsia"/>
        </w:rPr>
        <w:t>精确匹配</w:t>
      </w:r>
    </w:p>
    <w:p w14:paraId="67A3F54D">
      <w:r>
        <w:rPr>
          <w:rFonts w:hint="eastAsia"/>
        </w:rPr>
        <w:t>只有下载的</w:t>
      </w:r>
      <w:r>
        <w:t>http</w:t>
      </w:r>
      <w:r>
        <w:rPr>
          <w:rFonts w:hint="eastAsia"/>
        </w:rPr>
        <w:t>地址（</w:t>
      </w:r>
      <w:r>
        <w:t>URL</w:t>
      </w:r>
      <w:r>
        <w:rPr>
          <w:rFonts w:hint="eastAsia"/>
        </w:rPr>
        <w:t>）与配置的</w:t>
      </w:r>
      <w:r>
        <w:t>URL</w:t>
      </w:r>
      <w:r>
        <w:rPr>
          <w:rFonts w:hint="eastAsia"/>
        </w:rPr>
        <w:t>地址完全一致时，才会命中已经缓存在设备上的</w:t>
      </w:r>
      <w:r>
        <w:t>APP</w:t>
      </w:r>
      <w:r>
        <w:rPr>
          <w:rFonts w:hint="eastAsia"/>
        </w:rPr>
        <w:t>文件，实现</w:t>
      </w:r>
      <w:r>
        <w:t>APP</w:t>
      </w:r>
      <w:r>
        <w:rPr>
          <w:rFonts w:hint="eastAsia"/>
        </w:rPr>
        <w:t>文件加速下载的功能。</w:t>
      </w:r>
    </w:p>
    <w:p w14:paraId="18067CF1">
      <w:pPr>
        <w:pStyle w:val="202"/>
      </w:pPr>
      <w:r>
        <w:rPr>
          <w:rFonts w:hint="eastAsia"/>
        </w:rPr>
        <w:t>模糊匹配</w:t>
      </w:r>
    </w:p>
    <w:p w14:paraId="4BF3E797">
      <w:r>
        <w:rPr>
          <w:rFonts w:hint="eastAsia"/>
        </w:rPr>
        <w:t>目前市场上发现安卓应用缓存</w:t>
      </w:r>
      <w:r>
        <w:t>URL</w:t>
      </w:r>
      <w:r>
        <w:rPr>
          <w:rFonts w:hint="eastAsia"/>
        </w:rPr>
        <w:t>在变化，为了应对这种场景，可以开启模糊匹配功能。</w:t>
      </w:r>
    </w:p>
    <w:p w14:paraId="670874FA">
      <w:r>
        <w:rPr>
          <w:rFonts w:hint="eastAsia"/>
        </w:rPr>
        <w:t>截取完整</w:t>
      </w:r>
      <w:r>
        <w:t>URL</w:t>
      </w:r>
      <w:r>
        <w:rPr>
          <w:rFonts w:hint="eastAsia"/>
        </w:rPr>
        <w:t>中的部分路径（比如取用</w:t>
      </w:r>
      <w:r>
        <w:t>URL</w:t>
      </w:r>
      <w:r>
        <w:rPr>
          <w:rFonts w:hint="eastAsia"/>
        </w:rPr>
        <w:t>的</w:t>
      </w:r>
      <w:r>
        <w:t>path</w:t>
      </w:r>
      <w:r>
        <w:rPr>
          <w:rFonts w:hint="eastAsia"/>
        </w:rPr>
        <w:t>部分）作为模糊匹配的</w:t>
      </w:r>
      <w:r>
        <w:t>URL</w:t>
      </w:r>
      <w:r>
        <w:rPr>
          <w:rFonts w:hint="eastAsia"/>
        </w:rPr>
        <w:t>条件，从而达到在精确匹配的基础上进行更为宽松匹配的一种方式。</w:t>
      </w:r>
    </w:p>
    <w:p w14:paraId="4A7C94F4">
      <w:pPr>
        <w:pStyle w:val="5"/>
      </w:pPr>
      <w:bookmarkStart w:id="3579" w:name="_Toc15484867"/>
      <w:bookmarkStart w:id="3580" w:name="_Toc99561553"/>
      <w:bookmarkStart w:id="3581" w:name="_Toc172218225"/>
      <w:bookmarkStart w:id="3582" w:name="_Toc6233174"/>
      <w:bookmarkStart w:id="3583" w:name="_Toc23152633"/>
      <w:bookmarkStart w:id="3584" w:name="_Toc40276066"/>
      <w:bookmarkStart w:id="3585" w:name="_Toc196728184"/>
      <w:bookmarkStart w:id="3586" w:name="_Toc142400990"/>
      <w:bookmarkStart w:id="3587" w:name="_Toc194080852"/>
      <w:bookmarkStart w:id="3588" w:name="_Toc141873474"/>
      <w:bookmarkStart w:id="3589" w:name="OLE_LINK56"/>
      <w:bookmarkStart w:id="3590" w:name="OLE_LINK55"/>
      <w:r>
        <w:rPr>
          <w:rFonts w:hint="eastAsia"/>
        </w:rPr>
        <w:t>应用缓存</w:t>
      </w:r>
      <w:bookmarkEnd w:id="3579"/>
      <w:bookmarkEnd w:id="3580"/>
      <w:bookmarkEnd w:id="3581"/>
      <w:bookmarkEnd w:id="3582"/>
      <w:bookmarkEnd w:id="3583"/>
      <w:bookmarkEnd w:id="3584"/>
      <w:bookmarkEnd w:id="3585"/>
      <w:bookmarkEnd w:id="3586"/>
      <w:bookmarkEnd w:id="3587"/>
      <w:bookmarkEnd w:id="3588"/>
    </w:p>
    <w:bookmarkEnd w:id="3589"/>
    <w:p w14:paraId="286B3154">
      <w:bookmarkStart w:id="3591" w:name="OLE_LINK57"/>
      <w:bookmarkStart w:id="3592" w:name="OLE_LINK58"/>
      <w:r>
        <w:rPr>
          <w:rFonts w:hint="eastAsia"/>
        </w:rPr>
        <w:t>通过菜单“网络配置&gt;基础网络&gt;应用缓存”，进入如</w:t>
      </w:r>
      <w:r>
        <w:rPr>
          <w:color w:val="0000FF"/>
          <w:u w:val="single"/>
        </w:rPr>
        <w:fldChar w:fldCharType="begin"/>
      </w:r>
      <w:r>
        <w:rPr>
          <w:color w:val="0000FF"/>
          <w:u w:val="single"/>
        </w:rPr>
        <w:instrText xml:space="preserve"> </w:instrText>
      </w:r>
      <w:r>
        <w:rPr>
          <w:rFonts w:hint="eastAsia"/>
          <w:color w:val="0000FF"/>
          <w:u w:val="single"/>
        </w:rPr>
        <w:instrText xml:space="preserve">REF _Ref511049119 \r \h</w:instrText>
      </w:r>
      <w:r>
        <w:rPr>
          <w:color w:val="0000FF"/>
          <w:u w:val="single"/>
        </w:rPr>
        <w:instrText xml:space="preserve"> </w:instrText>
      </w:r>
      <w:r>
        <w:rPr>
          <w:color w:val="0000FF"/>
          <w:u w:val="single"/>
        </w:rPr>
        <w:fldChar w:fldCharType="separate"/>
      </w:r>
      <w:r>
        <w:rPr>
          <w:rFonts w:hint="eastAsia"/>
          <w:color w:val="0000FF"/>
          <w:u w:val="single"/>
        </w:rPr>
        <w:t>图11-42</w:t>
      </w:r>
      <w:r>
        <w:rPr>
          <w:color w:val="0000FF"/>
          <w:u w:val="single"/>
        </w:rPr>
        <w:fldChar w:fldCharType="end"/>
      </w:r>
      <w:r>
        <w:rPr>
          <w:rFonts w:hint="eastAsia"/>
        </w:rPr>
        <w:t>所示的页面。选择应用缓存页签，查看设备上配置的静态应用缓存及下载URL的命中情况。。</w:t>
      </w:r>
    </w:p>
    <w:p w14:paraId="33503171">
      <w:pPr>
        <w:pStyle w:val="188"/>
      </w:pPr>
      <w:bookmarkStart w:id="3593" w:name="_Ref511049119"/>
      <w:bookmarkStart w:id="3594" w:name="_Toc141874711"/>
      <w:r>
        <w:rPr>
          <w:rFonts w:hint="eastAsia"/>
        </w:rPr>
        <w:t>新建应用缓存</w:t>
      </w:r>
      <w:bookmarkEnd w:id="3593"/>
      <w:bookmarkEnd w:id="3594"/>
    </w:p>
    <w:p w14:paraId="2685924C">
      <w:r>
        <w:drawing>
          <wp:inline distT="0" distB="0" distL="0" distR="0">
            <wp:extent cx="5572125" cy="801370"/>
            <wp:effectExtent l="0" t="0" r="0" b="0"/>
            <wp:docPr id="1354" name="图片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图片 1354"/>
                    <pic:cNvPicPr>
                      <a:picLocks noChangeAspect="1"/>
                    </pic:cNvPicPr>
                  </pic:nvPicPr>
                  <pic:blipFill>
                    <a:blip r:embed="rId502"/>
                    <a:stretch>
                      <a:fillRect/>
                    </a:stretch>
                  </pic:blipFill>
                  <pic:spPr>
                    <a:xfrm>
                      <a:off x="0" y="0"/>
                      <a:ext cx="5640997" cy="811709"/>
                    </a:xfrm>
                    <a:prstGeom prst="rect">
                      <a:avLst/>
                    </a:prstGeom>
                  </pic:spPr>
                </pic:pic>
              </a:graphicData>
            </a:graphic>
          </wp:inline>
        </w:drawing>
      </w:r>
    </w:p>
    <w:p w14:paraId="6D4A23B5"/>
    <w:p w14:paraId="5048B623">
      <w:r>
        <w:rPr>
          <w:rFonts w:hint="eastAsia"/>
        </w:rPr>
        <w:t>点击&lt;新建&gt;，进入如</w:t>
      </w:r>
      <w:r>
        <w:fldChar w:fldCharType="begin"/>
      </w:r>
      <w:r>
        <w:instrText xml:space="preserve"> </w:instrText>
      </w:r>
      <w:r>
        <w:rPr>
          <w:rFonts w:hint="eastAsia"/>
        </w:rPr>
        <w:instrText xml:space="preserve">REF _Ref511049128 \r \h</w:instrText>
      </w:r>
      <w:r>
        <w:instrText xml:space="preserve"> </w:instrText>
      </w:r>
      <w:r>
        <w:fldChar w:fldCharType="separate"/>
      </w:r>
      <w:r>
        <w:rPr>
          <w:rFonts w:hint="eastAsia"/>
        </w:rPr>
        <w:t>图11-43</w:t>
      </w:r>
      <w:r>
        <w:fldChar w:fldCharType="end"/>
      </w:r>
      <w:r>
        <w:rPr>
          <w:rFonts w:hint="eastAsia"/>
        </w:rPr>
        <w:t>所示的应用缓存</w:t>
      </w:r>
      <w:r>
        <w:t>-</w:t>
      </w:r>
      <w:r>
        <w:rPr>
          <w:rFonts w:hint="eastAsia"/>
        </w:rPr>
        <w:t>精确匹配的配置页面，各个配置项的含义如</w:t>
      </w:r>
      <w:r>
        <w:fldChar w:fldCharType="begin"/>
      </w:r>
      <w:r>
        <w:instrText xml:space="preserve"> REF _Ref392851877 \r \h </w:instrText>
      </w:r>
      <w:r>
        <w:fldChar w:fldCharType="separate"/>
      </w:r>
      <w:r>
        <w:rPr>
          <w:rFonts w:hint="eastAsia"/>
        </w:rPr>
        <w:t>表17-1</w:t>
      </w:r>
      <w:r>
        <w:fldChar w:fldCharType="end"/>
      </w:r>
      <w:r>
        <w:rPr>
          <w:rFonts w:hint="eastAsia"/>
        </w:rPr>
        <w:t>所示。</w:t>
      </w:r>
    </w:p>
    <w:p w14:paraId="10803F66">
      <w:pPr>
        <w:pStyle w:val="188"/>
      </w:pPr>
      <w:bookmarkStart w:id="3595" w:name="_Toc141874712"/>
      <w:bookmarkStart w:id="3596" w:name="_Ref511049128"/>
      <w:r>
        <w:rPr>
          <w:rFonts w:hint="eastAsia"/>
        </w:rPr>
        <w:t>应用缓存配置页面</w:t>
      </w:r>
      <w:bookmarkEnd w:id="3595"/>
      <w:bookmarkEnd w:id="3596"/>
    </w:p>
    <w:p w14:paraId="230CE800">
      <w:r>
        <w:drawing>
          <wp:inline distT="0" distB="0" distL="114300" distR="114300">
            <wp:extent cx="5400040" cy="1902460"/>
            <wp:effectExtent l="0" t="0" r="0" b="2540"/>
            <wp:docPr id="104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图片 126"/>
                    <pic:cNvPicPr>
                      <a:picLocks noChangeAspect="1"/>
                    </pic:cNvPicPr>
                  </pic:nvPicPr>
                  <pic:blipFill>
                    <a:blip r:embed="rId503"/>
                    <a:stretch>
                      <a:fillRect/>
                    </a:stretch>
                  </pic:blipFill>
                  <pic:spPr>
                    <a:xfrm>
                      <a:off x="0" y="0"/>
                      <a:ext cx="5400040" cy="1902781"/>
                    </a:xfrm>
                    <a:prstGeom prst="rect">
                      <a:avLst/>
                    </a:prstGeom>
                    <a:noFill/>
                    <a:ln>
                      <a:noFill/>
                    </a:ln>
                  </pic:spPr>
                </pic:pic>
              </a:graphicData>
            </a:graphic>
          </wp:inline>
        </w:drawing>
      </w:r>
    </w:p>
    <w:p w14:paraId="412D0777"/>
    <w:p w14:paraId="7784344C">
      <w:pPr>
        <w:pStyle w:val="183"/>
      </w:pPr>
      <w:bookmarkStart w:id="3597" w:name="_Toc141875538"/>
      <w:r>
        <w:rPr>
          <w:rFonts w:hint="eastAsia"/>
        </w:rPr>
        <w:t>应用缓存配置项含义</w:t>
      </w:r>
      <w:bookmarkEnd w:id="3597"/>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201"/>
        <w:gridCol w:w="6813"/>
      </w:tblGrid>
      <w:tr w14:paraId="30052E3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206" w:type="dxa"/>
            <w:tcBorders>
              <w:tl2br w:val="nil"/>
              <w:tr2bl w:val="nil"/>
            </w:tcBorders>
            <w:shd w:val="clear" w:color="auto" w:fill="538135" w:themeFill="accent6" w:themeFillShade="BF"/>
            <w:vAlign w:val="center"/>
          </w:tcPr>
          <w:p w14:paraId="25D7402C">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826" w:type="dxa"/>
            <w:tcBorders>
              <w:tl2br w:val="nil"/>
              <w:tr2bl w:val="nil"/>
            </w:tcBorders>
            <w:shd w:val="clear" w:color="auto" w:fill="538135" w:themeFill="accent6" w:themeFillShade="BF"/>
            <w:vAlign w:val="center"/>
          </w:tcPr>
          <w:p w14:paraId="4DC59580">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BA85F7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206" w:type="dxa"/>
            <w:shd w:val="clear" w:color="auto" w:fill="auto"/>
          </w:tcPr>
          <w:p w14:paraId="51CA97DF">
            <w:pPr>
              <w:pStyle w:val="186"/>
              <w:widowControl w:val="0"/>
              <w:spacing w:line="240" w:lineRule="auto"/>
              <w:ind w:firstLine="0"/>
              <w:jc w:val="left"/>
            </w:pPr>
            <w:r>
              <w:t>模糊匹配</w:t>
            </w:r>
          </w:p>
        </w:tc>
        <w:tc>
          <w:tcPr>
            <w:tcW w:w="6826" w:type="dxa"/>
            <w:shd w:val="clear" w:color="auto" w:fill="auto"/>
          </w:tcPr>
          <w:p w14:paraId="64312013">
            <w:pPr>
              <w:pStyle w:val="186"/>
              <w:widowControl w:val="0"/>
              <w:spacing w:line="240" w:lineRule="auto"/>
              <w:ind w:firstLine="0"/>
              <w:jc w:val="left"/>
            </w:pPr>
            <w:r>
              <w:rPr>
                <w:rFonts w:hint="eastAsia"/>
              </w:rPr>
              <w:t>默认只有用户请求的应用下载URL与配置的URL地址完全一致时，才会命中已经缓存在设备上的下载文件。启用模糊匹配后，用户请求的应用下载URL只要匹配完整URL中的部分路径（如URL的path部分），就可以认定为命中并开始下载。</w:t>
            </w:r>
          </w:p>
        </w:tc>
      </w:tr>
      <w:tr w14:paraId="1C628B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206" w:type="dxa"/>
            <w:shd w:val="clear" w:color="auto" w:fill="auto"/>
          </w:tcPr>
          <w:p w14:paraId="1563BEB6">
            <w:pPr>
              <w:pStyle w:val="186"/>
              <w:widowControl w:val="0"/>
              <w:spacing w:line="240" w:lineRule="auto"/>
              <w:ind w:firstLine="0"/>
              <w:jc w:val="left"/>
            </w:pPr>
            <w:r>
              <w:rPr>
                <w:rFonts w:hint="eastAsia"/>
              </w:rPr>
              <w:t>URL</w:t>
            </w:r>
          </w:p>
        </w:tc>
        <w:tc>
          <w:tcPr>
            <w:tcW w:w="6826" w:type="dxa"/>
            <w:shd w:val="clear" w:color="auto" w:fill="auto"/>
          </w:tcPr>
          <w:p w14:paraId="2E981B78">
            <w:pPr>
              <w:pStyle w:val="186"/>
              <w:widowControl w:val="0"/>
              <w:spacing w:line="240" w:lineRule="auto"/>
              <w:ind w:firstLine="0"/>
              <w:jc w:val="left"/>
            </w:pPr>
            <w:r>
              <w:rPr>
                <w:rFonts w:hint="eastAsia"/>
              </w:rPr>
              <w:t>精确匹配的URL需要输入标准的url格式，例如：</w:t>
            </w:r>
            <w:r>
              <w:t>http://www.qq.com/qq.exe</w:t>
            </w:r>
            <w:r>
              <w:rPr>
                <w:rFonts w:hint="eastAsia"/>
              </w:rPr>
              <w:t>。目前不支持HTTPS协议。</w:t>
            </w:r>
          </w:p>
        </w:tc>
      </w:tr>
      <w:tr w14:paraId="72FB170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206" w:type="dxa"/>
            <w:shd w:val="clear" w:color="auto" w:fill="auto"/>
          </w:tcPr>
          <w:p w14:paraId="0B99528C">
            <w:pPr>
              <w:pStyle w:val="186"/>
              <w:widowControl w:val="0"/>
              <w:spacing w:line="240" w:lineRule="auto"/>
              <w:ind w:firstLine="0"/>
              <w:jc w:val="left"/>
            </w:pPr>
            <w:r>
              <w:rPr>
                <w:rFonts w:hint="eastAsia"/>
              </w:rPr>
              <w:t>上传文件名称</w:t>
            </w:r>
          </w:p>
        </w:tc>
        <w:tc>
          <w:tcPr>
            <w:tcW w:w="6826" w:type="dxa"/>
            <w:shd w:val="clear" w:color="auto" w:fill="auto"/>
          </w:tcPr>
          <w:p w14:paraId="14008500">
            <w:pPr>
              <w:pStyle w:val="186"/>
              <w:widowControl w:val="0"/>
              <w:spacing w:line="240" w:lineRule="auto"/>
              <w:ind w:firstLine="0"/>
              <w:jc w:val="left"/>
            </w:pPr>
            <w:r>
              <w:rPr>
                <w:rFonts w:hint="eastAsia"/>
              </w:rPr>
              <w:t>通过web页面导入应用缓存文件。</w:t>
            </w:r>
          </w:p>
        </w:tc>
      </w:tr>
      <w:bookmarkEnd w:id="3590"/>
      <w:bookmarkEnd w:id="3591"/>
      <w:bookmarkEnd w:id="3592"/>
    </w:tbl>
    <w:p w14:paraId="55A3E2E5"/>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59D5AE24">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659A6BF0">
            <w:pPr>
              <w:pStyle w:val="150"/>
              <w:adjustRightInd w:val="0"/>
              <w:snapToGrid w:val="0"/>
              <w:rPr>
                <w:color w:val="auto"/>
              </w:rPr>
            </w:pPr>
            <w:r>
              <w:rPr>
                <w:b/>
                <w:color w:val="auto"/>
              </w:rPr>
              <w:drawing>
                <wp:inline distT="0" distB="0" distL="0" distR="0">
                  <wp:extent cx="283210" cy="283210"/>
                  <wp:effectExtent l="0" t="0" r="2540" b="2540"/>
                  <wp:docPr id="818" name="图片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图片 818"/>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13201FB9">
            <w:pPr>
              <w:pStyle w:val="150"/>
              <w:adjustRightInd w:val="0"/>
              <w:snapToGrid w:val="0"/>
              <w:rPr>
                <w:color w:val="auto"/>
              </w:rPr>
            </w:pPr>
            <w:r>
              <w:rPr>
                <w:rFonts w:hint="eastAsia"/>
                <w:color w:val="auto"/>
              </w:rPr>
              <w:t>不勾选模糊匹配的开关（相当于精确匹配）。</w:t>
            </w:r>
          </w:p>
          <w:p w14:paraId="702BC29B">
            <w:pPr>
              <w:pStyle w:val="150"/>
              <w:adjustRightInd w:val="0"/>
              <w:snapToGrid w:val="0"/>
              <w:rPr>
                <w:color w:val="auto"/>
              </w:rPr>
            </w:pPr>
            <w:r>
              <w:rPr>
                <w:rFonts w:hint="eastAsia"/>
                <w:color w:val="auto"/>
              </w:rPr>
              <w:t>精确匹配的URL需要输入标准的url格式，例如：http://www.qq.com/qq.exe</w:t>
            </w:r>
          </w:p>
        </w:tc>
      </w:tr>
    </w:tbl>
    <w:p w14:paraId="56172DA7"/>
    <w:bookmarkEnd w:id="3578"/>
    <w:p w14:paraId="0B4440FD">
      <w:pPr>
        <w:pStyle w:val="5"/>
      </w:pPr>
      <w:bookmarkStart w:id="3598" w:name="_Toc40276072"/>
      <w:bookmarkStart w:id="3599" w:name="_Toc142400991"/>
      <w:bookmarkStart w:id="3600" w:name="_Toc196728185"/>
      <w:bookmarkStart w:id="3601" w:name="_Toc23152639"/>
      <w:bookmarkStart w:id="3602" w:name="_Toc99561558"/>
      <w:bookmarkStart w:id="3603" w:name="_Toc15484873"/>
      <w:bookmarkStart w:id="3604" w:name="_Toc141873475"/>
      <w:bookmarkStart w:id="3605" w:name="_Toc529430946"/>
      <w:bookmarkStart w:id="3606" w:name="_Toc172218226"/>
      <w:bookmarkStart w:id="3607" w:name="_Toc194080853"/>
      <w:bookmarkStart w:id="3608" w:name="_Toc6233172"/>
      <w:r>
        <w:rPr>
          <w:rFonts w:hint="eastAsia"/>
        </w:rPr>
        <w:t>APP动态缓存</w:t>
      </w:r>
      <w:bookmarkEnd w:id="3598"/>
      <w:bookmarkEnd w:id="3599"/>
      <w:bookmarkEnd w:id="3600"/>
      <w:bookmarkEnd w:id="3601"/>
      <w:bookmarkEnd w:id="3602"/>
      <w:bookmarkEnd w:id="3603"/>
      <w:bookmarkEnd w:id="3604"/>
      <w:bookmarkEnd w:id="3605"/>
      <w:bookmarkEnd w:id="3606"/>
      <w:bookmarkEnd w:id="3607"/>
    </w:p>
    <w:p w14:paraId="547DF390">
      <w:r>
        <w:rPr>
          <w:rFonts w:hint="eastAsia"/>
        </w:rPr>
        <w:t>自学习型缓存服务器是一种用来缓冲</w:t>
      </w:r>
      <w:r>
        <w:t>Internet</w:t>
      </w:r>
      <w:r>
        <w:rPr>
          <w:rFonts w:hint="eastAsia"/>
        </w:rPr>
        <w:t>数据的软件或服务器设备。它是这样实现其功能的，接受来自人们需要下载的目标（</w:t>
      </w:r>
      <w:r>
        <w:t>object</w:t>
      </w:r>
      <w:r>
        <w:rPr>
          <w:rFonts w:hint="eastAsia"/>
        </w:rPr>
        <w:t>）的请求并适当地处理这些请求。也就是说，如果一个人想下载一</w:t>
      </w:r>
      <w:r>
        <w:t>web</w:t>
      </w:r>
      <w:r>
        <w:rPr>
          <w:rFonts w:hint="eastAsia"/>
        </w:rPr>
        <w:t>页面，他请求自学习型缓存服务器为他取得这个页面。缓存服务器随之连接到远程服务器（比如：</w:t>
      </w:r>
      <w:r>
        <w:t>http</w:t>
      </w:r>
      <w:r>
        <w:rPr>
          <w:rFonts w:hint="eastAsia"/>
        </w:rPr>
        <w:t>：</w:t>
      </w:r>
      <w:r>
        <w:t>//nlanr.net/</w:t>
      </w:r>
      <w:r>
        <w:rPr>
          <w:rFonts w:hint="eastAsia"/>
        </w:rPr>
        <w:t>）并向这个页面发出请求。然后，缓存服务器不仅显式地聚集数据到客户端机器，而且同时复制一份保存在服务器设备上。当下一次有人需要同一页面时，缓存服务器就可以简单地从磁盘中读到它，那样数据立即就会传输到客户机上，从而加快访问速度，节省了网络带宽。</w:t>
      </w:r>
    </w:p>
    <w:p w14:paraId="7EF5CA5A">
      <w:pPr>
        <w:pStyle w:val="5"/>
      </w:pPr>
      <w:bookmarkStart w:id="3609" w:name="_Toc23152640"/>
      <w:bookmarkStart w:id="3610" w:name="_Toc40276073"/>
      <w:bookmarkStart w:id="3611" w:name="_Toc15484874"/>
      <w:bookmarkStart w:id="3612" w:name="_Toc196728186"/>
      <w:bookmarkStart w:id="3613" w:name="_Toc142400992"/>
      <w:bookmarkStart w:id="3614" w:name="_Toc172218227"/>
      <w:bookmarkStart w:id="3615" w:name="_Toc529430947"/>
      <w:bookmarkStart w:id="3616" w:name="_Toc99561559"/>
      <w:bookmarkStart w:id="3617" w:name="_Toc141873476"/>
      <w:bookmarkStart w:id="3618" w:name="_Toc194080854"/>
      <w:r>
        <w:rPr>
          <w:rFonts w:hint="eastAsia"/>
        </w:rPr>
        <w:t>A</w:t>
      </w:r>
      <w:r>
        <w:t>PP</w:t>
      </w:r>
      <w:r>
        <w:rPr>
          <w:rFonts w:hint="eastAsia"/>
        </w:rPr>
        <w:t>动态缓存的配置</w:t>
      </w:r>
      <w:bookmarkEnd w:id="3609"/>
      <w:bookmarkEnd w:id="3610"/>
      <w:bookmarkEnd w:id="3611"/>
      <w:bookmarkEnd w:id="3612"/>
      <w:bookmarkEnd w:id="3613"/>
      <w:bookmarkEnd w:id="3614"/>
      <w:bookmarkEnd w:id="3615"/>
      <w:bookmarkEnd w:id="3616"/>
      <w:bookmarkEnd w:id="3617"/>
      <w:bookmarkEnd w:id="3618"/>
    </w:p>
    <w:p w14:paraId="3660E63E">
      <w:r>
        <w:rPr>
          <w:rFonts w:hint="eastAsia"/>
        </w:rPr>
        <w:t>通过菜单“网络配置&gt;基础网络&gt;应用缓存</w:t>
      </w:r>
      <w:r>
        <w:t>&gt;app</w:t>
      </w:r>
      <w:r>
        <w:rPr>
          <w:rFonts w:hint="eastAsia"/>
        </w:rPr>
        <w:t>动态缓存”，进入如</w:t>
      </w:r>
      <w:r>
        <w:rPr>
          <w:color w:val="0000FF"/>
          <w:u w:val="single"/>
        </w:rPr>
        <w:fldChar w:fldCharType="begin"/>
      </w:r>
      <w:r>
        <w:rPr>
          <w:color w:val="0000FF"/>
          <w:u w:val="single"/>
        </w:rPr>
        <w:instrText xml:space="preserve"> </w:instrText>
      </w:r>
      <w:r>
        <w:rPr>
          <w:rFonts w:hint="eastAsia"/>
          <w:color w:val="0000FF"/>
          <w:u w:val="single"/>
        </w:rPr>
        <w:instrText xml:space="preserve">REF _Ref511048236 \r \h</w:instrText>
      </w:r>
      <w:r>
        <w:rPr>
          <w:color w:val="0000FF"/>
          <w:u w:val="single"/>
        </w:rPr>
        <w:instrText xml:space="preserve"> </w:instrText>
      </w:r>
      <w:r>
        <w:rPr>
          <w:color w:val="0000FF"/>
          <w:u w:val="single"/>
        </w:rPr>
        <w:fldChar w:fldCharType="separate"/>
      </w:r>
      <w:r>
        <w:rPr>
          <w:rFonts w:hint="eastAsia"/>
          <w:color w:val="0000FF"/>
          <w:u w:val="single"/>
        </w:rPr>
        <w:t>图11-44</w:t>
      </w:r>
      <w:r>
        <w:rPr>
          <w:color w:val="0000FF"/>
          <w:u w:val="single"/>
        </w:rPr>
        <w:fldChar w:fldCharType="end"/>
      </w:r>
      <w:r>
        <w:rPr>
          <w:rFonts w:hint="eastAsia"/>
        </w:rPr>
        <w:t>所示的页面。在该页面上，可以新建</w:t>
      </w:r>
      <w:r>
        <w:t>app</w:t>
      </w:r>
      <w:r>
        <w:rPr>
          <w:rFonts w:hint="eastAsia"/>
        </w:rPr>
        <w:t>动态缓存。</w:t>
      </w:r>
    </w:p>
    <w:p w14:paraId="3E6DA2A1">
      <w:pPr>
        <w:pStyle w:val="188"/>
      </w:pPr>
      <w:bookmarkStart w:id="3619" w:name="_Ref511048236"/>
      <w:bookmarkStart w:id="3620" w:name="_Toc141874713"/>
      <w:r>
        <w:rPr>
          <w:rFonts w:hint="eastAsia"/>
        </w:rPr>
        <w:t>新建app动态缓存</w:t>
      </w:r>
      <w:bookmarkEnd w:id="3619"/>
      <w:bookmarkEnd w:id="3620"/>
    </w:p>
    <w:p w14:paraId="0F04C69E">
      <w:r>
        <w:drawing>
          <wp:inline distT="0" distB="0" distL="0" distR="0">
            <wp:extent cx="5419725" cy="941705"/>
            <wp:effectExtent l="0" t="0" r="0" b="0"/>
            <wp:docPr id="1365" name="图片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 name="图片 1365"/>
                    <pic:cNvPicPr>
                      <a:picLocks noChangeAspect="1"/>
                    </pic:cNvPicPr>
                  </pic:nvPicPr>
                  <pic:blipFill>
                    <a:blip r:embed="rId504"/>
                    <a:stretch>
                      <a:fillRect/>
                    </a:stretch>
                  </pic:blipFill>
                  <pic:spPr>
                    <a:xfrm>
                      <a:off x="0" y="0"/>
                      <a:ext cx="5459804" cy="948768"/>
                    </a:xfrm>
                    <a:prstGeom prst="rect">
                      <a:avLst/>
                    </a:prstGeom>
                  </pic:spPr>
                </pic:pic>
              </a:graphicData>
            </a:graphic>
          </wp:inline>
        </w:drawing>
      </w:r>
    </w:p>
    <w:p w14:paraId="454463DB"/>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261CD35D">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6AA32C3D">
            <w:pPr>
              <w:pStyle w:val="150"/>
              <w:adjustRightInd w:val="0"/>
              <w:snapToGrid w:val="0"/>
              <w:rPr>
                <w:color w:val="auto"/>
              </w:rPr>
            </w:pPr>
            <w:bookmarkStart w:id="3621" w:name="OLE_LINK23"/>
            <w:bookmarkStart w:id="3622" w:name="OLE_LINK22"/>
            <w:r>
              <w:rPr>
                <w:b/>
                <w:color w:val="00A0E9"/>
              </w:rPr>
              <w:drawing>
                <wp:inline distT="0" distB="0" distL="0" distR="0">
                  <wp:extent cx="260350" cy="260350"/>
                  <wp:effectExtent l="0" t="0" r="6350" b="6350"/>
                  <wp:docPr id="824" name="图片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图片 82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0470" cy="260470"/>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3C51B86C">
            <w:pPr>
              <w:pStyle w:val="150"/>
              <w:adjustRightInd w:val="0"/>
              <w:snapToGrid w:val="0"/>
              <w:rPr>
                <w:color w:val="auto"/>
              </w:rPr>
            </w:pPr>
            <w:r>
              <w:rPr>
                <w:rFonts w:hint="eastAsia"/>
                <w:color w:val="auto"/>
              </w:rPr>
              <w:t>开启此功能前，请先配置dns服务器。</w:t>
            </w:r>
          </w:p>
        </w:tc>
      </w:tr>
      <w:bookmarkEnd w:id="3621"/>
      <w:bookmarkEnd w:id="3622"/>
    </w:tbl>
    <w:p w14:paraId="2C397ED4"/>
    <w:p w14:paraId="34C342D7">
      <w:r>
        <w:rPr>
          <w:rFonts w:hint="eastAsia"/>
        </w:rPr>
        <w:t>点击&lt;新建&gt;，在弹出的对话框中编辑域名（即文件下载链接），点击&lt;提交&gt;即可启用App动态缓存功能。</w:t>
      </w:r>
    </w:p>
    <w:p w14:paraId="41E7F1F2">
      <w:pPr>
        <w:pStyle w:val="188"/>
      </w:pPr>
      <w:bookmarkStart w:id="3623" w:name="_Toc141874714"/>
      <w:bookmarkStart w:id="3624" w:name="_Ref511048237"/>
      <w:r>
        <w:rPr>
          <w:rFonts w:hint="eastAsia"/>
        </w:rPr>
        <w:t>A</w:t>
      </w:r>
      <w:r>
        <w:t>PP</w:t>
      </w:r>
      <w:r>
        <w:rPr>
          <w:rFonts w:hint="eastAsia"/>
        </w:rPr>
        <w:t>动态缓存的配置页面</w:t>
      </w:r>
      <w:bookmarkEnd w:id="3623"/>
      <w:bookmarkEnd w:id="3624"/>
    </w:p>
    <w:p w14:paraId="7A39A175">
      <w:r>
        <w:drawing>
          <wp:inline distT="0" distB="0" distL="0" distR="0">
            <wp:extent cx="5400040" cy="1382395"/>
            <wp:effectExtent l="0" t="0" r="0" b="8255"/>
            <wp:docPr id="2691" name="图片 2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 name="图片 2691"/>
                    <pic:cNvPicPr>
                      <a:picLocks noChangeAspect="1"/>
                    </pic:cNvPicPr>
                  </pic:nvPicPr>
                  <pic:blipFill>
                    <a:blip r:embed="rId505"/>
                    <a:stretch>
                      <a:fillRect/>
                    </a:stretch>
                  </pic:blipFill>
                  <pic:spPr>
                    <a:xfrm>
                      <a:off x="0" y="0"/>
                      <a:ext cx="5400040" cy="1382787"/>
                    </a:xfrm>
                    <a:prstGeom prst="rect">
                      <a:avLst/>
                    </a:prstGeom>
                  </pic:spPr>
                </pic:pic>
              </a:graphicData>
            </a:graphic>
          </wp:inline>
        </w:drawing>
      </w:r>
    </w:p>
    <w:p w14:paraId="0FF40FD3"/>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0D13778D">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6F8B88FB">
            <w:pPr>
              <w:pStyle w:val="150"/>
              <w:adjustRightInd w:val="0"/>
              <w:snapToGrid w:val="0"/>
              <w:rPr>
                <w:color w:val="auto"/>
              </w:rPr>
            </w:pPr>
            <w:r>
              <w:rPr>
                <w:b/>
                <w:color w:val="auto"/>
              </w:rPr>
              <w:drawing>
                <wp:inline distT="0" distB="0" distL="0" distR="0">
                  <wp:extent cx="283210" cy="283210"/>
                  <wp:effectExtent l="0" t="0" r="2540" b="2540"/>
                  <wp:docPr id="838" name="图片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图片 838"/>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5712F37A">
            <w:pPr>
              <w:pStyle w:val="150"/>
              <w:adjustRightInd w:val="0"/>
              <w:snapToGrid w:val="0"/>
              <w:rPr>
                <w:color w:val="auto"/>
              </w:rPr>
            </w:pPr>
            <w:r>
              <w:rPr>
                <w:rFonts w:hint="eastAsia"/>
                <w:color w:val="auto"/>
              </w:rPr>
              <w:t>域名长度3-255字符，字符只能是数字，字母，’-’，每一级域名长度不超过63个字符，最后一级2-6个字符。</w:t>
            </w:r>
          </w:p>
        </w:tc>
      </w:tr>
    </w:tbl>
    <w:p w14:paraId="1460DF4B"/>
    <w:p w14:paraId="6362FDC3">
      <w:pPr>
        <w:snapToGrid w:val="0"/>
        <w:spacing w:before="312" w:beforeLines="100" w:after="120" w:line="276" w:lineRule="auto"/>
        <w:rPr>
          <w:rFonts w:cs="Cambria"/>
        </w:rPr>
      </w:pPr>
      <w:r>
        <w:rPr>
          <w:rFonts w:hint="eastAsia" w:cs="Cambria"/>
        </w:rPr>
        <w:t>配置完成后，如果有用户通过该域名成功下载了文件，点击</w:t>
      </w:r>
      <w:r>
        <w:drawing>
          <wp:inline distT="0" distB="0" distL="0" distR="0">
            <wp:extent cx="171450" cy="180975"/>
            <wp:effectExtent l="0" t="0" r="0" b="0"/>
            <wp:docPr id="4957" name="图片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7" name="图片 1143"/>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a:xfrm>
                      <a:off x="0" y="0"/>
                      <a:ext cx="171450" cy="180975"/>
                    </a:xfrm>
                    <a:prstGeom prst="rect">
                      <a:avLst/>
                    </a:prstGeom>
                    <a:noFill/>
                    <a:ln>
                      <a:noFill/>
                    </a:ln>
                  </pic:spPr>
                </pic:pic>
              </a:graphicData>
            </a:graphic>
          </wp:inline>
        </w:drawing>
      </w:r>
      <w:r>
        <w:rPr>
          <w:rFonts w:hint="eastAsia" w:cs="Cambria"/>
        </w:rPr>
        <w:t>图标即可查看设备所缓存的下载文件。</w:t>
      </w:r>
    </w:p>
    <w:p w14:paraId="67AE008C">
      <w:pPr>
        <w:pStyle w:val="188"/>
      </w:pPr>
      <w:bookmarkStart w:id="3625" w:name="_Toc141874715"/>
      <w:r>
        <w:rPr>
          <w:rFonts w:hint="eastAsia"/>
        </w:rPr>
        <w:t>查看APP动态缓存</w:t>
      </w:r>
      <w:bookmarkEnd w:id="3625"/>
    </w:p>
    <w:p w14:paraId="1957EB7B">
      <w:pPr>
        <w:spacing w:before="79" w:after="79"/>
        <w:rPr>
          <w:rFonts w:cs="Cambria"/>
        </w:rPr>
      </w:pPr>
      <w:r>
        <w:drawing>
          <wp:inline distT="0" distB="0" distL="0" distR="0">
            <wp:extent cx="6120130" cy="1274445"/>
            <wp:effectExtent l="0" t="0" r="0" b="1905"/>
            <wp:docPr id="4958" name="图片 4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8" name="图片 4958"/>
                    <pic:cNvPicPr>
                      <a:picLocks noChangeAspect="1"/>
                    </pic:cNvPicPr>
                  </pic:nvPicPr>
                  <pic:blipFill>
                    <a:blip r:embed="rId507"/>
                    <a:stretch>
                      <a:fillRect/>
                    </a:stretch>
                  </pic:blipFill>
                  <pic:spPr>
                    <a:xfrm>
                      <a:off x="0" y="0"/>
                      <a:ext cx="6120130" cy="1274445"/>
                    </a:xfrm>
                    <a:prstGeom prst="rect">
                      <a:avLst/>
                    </a:prstGeom>
                  </pic:spPr>
                </pic:pic>
              </a:graphicData>
            </a:graphic>
          </wp:inline>
        </w:drawing>
      </w:r>
    </w:p>
    <w:p w14:paraId="5CF18162"/>
    <w:bookmarkEnd w:id="3567"/>
    <w:bookmarkEnd w:id="3608"/>
    <w:p w14:paraId="37FD732E">
      <w:pPr>
        <w:pStyle w:val="4"/>
      </w:pPr>
      <w:bookmarkStart w:id="3626" w:name="_Toc15484877"/>
      <w:bookmarkStart w:id="3627" w:name="_Toc6233154"/>
      <w:bookmarkStart w:id="3628" w:name="_Toc23152643"/>
      <w:bookmarkStart w:id="3629" w:name="_Toc40276076"/>
      <w:bookmarkStart w:id="3630" w:name="_Toc99561561"/>
      <w:bookmarkStart w:id="3631" w:name="_Toc429303042"/>
      <w:bookmarkStart w:id="3632" w:name="_Toc172218228"/>
      <w:bookmarkStart w:id="3633" w:name="_Toc196728187"/>
      <w:bookmarkStart w:id="3634" w:name="_Toc142400993"/>
      <w:bookmarkStart w:id="3635" w:name="_Toc141873477"/>
      <w:bookmarkStart w:id="3636" w:name="_Toc194080855"/>
      <w:r>
        <w:rPr>
          <w:rFonts w:hint="eastAsia"/>
        </w:rPr>
        <w:t>服务质量管理</w:t>
      </w:r>
      <w:bookmarkEnd w:id="3626"/>
      <w:bookmarkEnd w:id="3627"/>
      <w:bookmarkEnd w:id="3628"/>
      <w:bookmarkEnd w:id="3629"/>
      <w:bookmarkEnd w:id="3630"/>
      <w:bookmarkEnd w:id="3631"/>
      <w:bookmarkEnd w:id="3632"/>
      <w:bookmarkEnd w:id="3633"/>
      <w:bookmarkEnd w:id="3634"/>
      <w:bookmarkEnd w:id="3635"/>
      <w:bookmarkEnd w:id="3636"/>
    </w:p>
    <w:p w14:paraId="113878BE">
      <w:pPr>
        <w:pStyle w:val="5"/>
      </w:pPr>
      <w:bookmarkStart w:id="3637" w:name="_Toc172218229"/>
      <w:bookmarkStart w:id="3638" w:name="_Toc40276077"/>
      <w:bookmarkStart w:id="3639" w:name="_Toc142400994"/>
      <w:bookmarkStart w:id="3640" w:name="_Toc194080856"/>
      <w:bookmarkStart w:id="3641" w:name="_Toc15484878"/>
      <w:bookmarkStart w:id="3642" w:name="_Toc6233155"/>
      <w:bookmarkStart w:id="3643" w:name="_Toc141873478"/>
      <w:bookmarkStart w:id="3644" w:name="_Toc196728188"/>
      <w:bookmarkStart w:id="3645" w:name="_Toc99561562"/>
      <w:bookmarkStart w:id="3646" w:name="_Toc23152644"/>
      <w:r>
        <w:rPr>
          <w:rFonts w:hint="eastAsia"/>
        </w:rPr>
        <w:t>概述</w:t>
      </w:r>
      <w:bookmarkEnd w:id="3637"/>
      <w:bookmarkEnd w:id="3638"/>
      <w:bookmarkEnd w:id="3639"/>
      <w:bookmarkEnd w:id="3640"/>
      <w:bookmarkEnd w:id="3641"/>
      <w:bookmarkEnd w:id="3642"/>
      <w:bookmarkEnd w:id="3643"/>
      <w:bookmarkEnd w:id="3644"/>
      <w:bookmarkEnd w:id="3645"/>
      <w:bookmarkEnd w:id="3646"/>
    </w:p>
    <w:p w14:paraId="3E7CBA02">
      <w:r>
        <w:rPr>
          <w:rFonts w:hint="eastAsia"/>
        </w:rPr>
        <w:t>服务质量管理是指，通过配置接口、协议、目的地址、端口号、探测间隔等信息后，由设备定时发送对应的探测报文，并解析返回的响应报文，作为一个采样点。定时对一个时间段内的采样点进行统计分析，计算出该时间段的探测成功率，和该时间段内的平均延时。再将这些统计结果，在页面中通过曲线表现出来，方便网络管理员了解当前或者过去某一个时刻的网络状况，更加方便有效的管理维护网络。</w:t>
      </w:r>
    </w:p>
    <w:p w14:paraId="51F8C647">
      <w:r>
        <w:rPr>
          <w:rFonts w:hint="eastAsia"/>
        </w:rPr>
        <w:t>本功能具有如下功能点：</w:t>
      </w:r>
    </w:p>
    <w:p w14:paraId="4FDB6CAE">
      <w:r>
        <w:rPr>
          <w:rFonts w:hint="eastAsia"/>
        </w:rPr>
        <w:t>可配置PING、DNS探测条目。</w:t>
      </w:r>
    </w:p>
    <w:p w14:paraId="2FE535B7">
      <w:r>
        <w:rPr>
          <w:rFonts w:hint="eastAsia"/>
        </w:rPr>
        <w:t>可配置TCP协议，通过配置端口号，可添加HTTP、FTP、E-mail的探测条目。</w:t>
      </w:r>
    </w:p>
    <w:p w14:paraId="074A738B">
      <w:r>
        <w:rPr>
          <w:rFonts w:hint="eastAsia"/>
        </w:rPr>
        <w:t>收集每个探测条目的请求总次数，成功总次数，计算成功比例。以10分钟为单位统计。保留一周的数据，以文件形式保存。</w:t>
      </w:r>
    </w:p>
    <w:p w14:paraId="4E3F489A">
      <w:r>
        <w:rPr>
          <w:rFonts w:hint="eastAsia"/>
        </w:rPr>
        <w:t>收集每个探测条目每次探测的延时，10分钟为单位，取平均值，保留一周的数据。</w:t>
      </w:r>
    </w:p>
    <w:p w14:paraId="6CD1231F">
      <w:r>
        <w:rPr>
          <w:rFonts w:hint="eastAsia"/>
        </w:rPr>
        <w:t>每个条目都对应有成功率曲线、延时曲线。且每条曲线可选择一天，或一周的显示周期。</w:t>
      </w:r>
    </w:p>
    <w:p w14:paraId="55AB0140"/>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11543679">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26026FA8">
            <w:pPr>
              <w:pStyle w:val="150"/>
              <w:adjustRightInd w:val="0"/>
              <w:snapToGrid w:val="0"/>
              <w:rPr>
                <w:color w:val="auto"/>
              </w:rPr>
            </w:pPr>
            <w:bookmarkStart w:id="3647" w:name="OLE_LINK24"/>
            <w:r>
              <w:rPr>
                <w:b/>
                <w:color w:val="auto"/>
              </w:rPr>
              <w:drawing>
                <wp:inline distT="0" distB="0" distL="0" distR="0">
                  <wp:extent cx="283210" cy="283210"/>
                  <wp:effectExtent l="0" t="0" r="2540" b="2540"/>
                  <wp:docPr id="843" name="图片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图片 84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4682BF55">
            <w:pPr>
              <w:pStyle w:val="150"/>
              <w:adjustRightInd w:val="0"/>
              <w:snapToGrid w:val="0"/>
              <w:rPr>
                <w:color w:val="auto"/>
              </w:rPr>
            </w:pPr>
            <w:r>
              <w:rPr>
                <w:rFonts w:hint="eastAsia"/>
                <w:color w:val="auto"/>
              </w:rPr>
              <w:t>探测间隔为可配置项，统计间隔为固定10分钟。</w:t>
            </w:r>
          </w:p>
          <w:p w14:paraId="20F2F4A0">
            <w:pPr>
              <w:pStyle w:val="150"/>
              <w:adjustRightInd w:val="0"/>
              <w:snapToGrid w:val="0"/>
              <w:rPr>
                <w:color w:val="auto"/>
              </w:rPr>
            </w:pPr>
            <w:r>
              <w:rPr>
                <w:rFonts w:hint="eastAsia"/>
                <w:color w:val="auto"/>
              </w:rPr>
              <w:t>最多可配置20个条目。</w:t>
            </w:r>
          </w:p>
          <w:p w14:paraId="46825719">
            <w:pPr>
              <w:pStyle w:val="150"/>
              <w:adjustRightInd w:val="0"/>
              <w:snapToGrid w:val="0"/>
              <w:rPr>
                <w:color w:val="auto"/>
              </w:rPr>
            </w:pPr>
            <w:r>
              <w:rPr>
                <w:rFonts w:hint="eastAsia"/>
                <w:color w:val="auto"/>
              </w:rPr>
              <w:t>最多保存一周的数据，达到数据上限后，新数据会覆盖旧数据。</w:t>
            </w:r>
          </w:p>
        </w:tc>
      </w:tr>
      <w:bookmarkEnd w:id="3647"/>
    </w:tbl>
    <w:p w14:paraId="6E5C3327"/>
    <w:p w14:paraId="1C5BC806">
      <w:pPr>
        <w:pStyle w:val="5"/>
      </w:pPr>
      <w:bookmarkStart w:id="3648" w:name="_Toc194080857"/>
      <w:bookmarkStart w:id="3649" w:name="_Toc23152645"/>
      <w:bookmarkStart w:id="3650" w:name="_Toc99561563"/>
      <w:bookmarkStart w:id="3651" w:name="_Toc141873479"/>
      <w:bookmarkStart w:id="3652" w:name="_Toc142400995"/>
      <w:bookmarkStart w:id="3653" w:name="_Toc6233156"/>
      <w:bookmarkStart w:id="3654" w:name="_Toc40276078"/>
      <w:bookmarkStart w:id="3655" w:name="_Toc15484879"/>
      <w:bookmarkStart w:id="3656" w:name="_Toc172218230"/>
      <w:bookmarkStart w:id="3657" w:name="_Toc196728189"/>
      <w:r>
        <w:rPr>
          <w:rFonts w:hint="eastAsia"/>
        </w:rPr>
        <w:t>配置</w:t>
      </w:r>
      <w:bookmarkEnd w:id="3648"/>
      <w:bookmarkEnd w:id="3649"/>
      <w:bookmarkEnd w:id="3650"/>
      <w:bookmarkEnd w:id="3651"/>
      <w:bookmarkEnd w:id="3652"/>
      <w:bookmarkEnd w:id="3653"/>
      <w:bookmarkEnd w:id="3654"/>
      <w:bookmarkEnd w:id="3655"/>
      <w:bookmarkEnd w:id="3656"/>
      <w:r>
        <w:rPr>
          <w:rFonts w:hint="eastAsia"/>
        </w:rPr>
        <w:t>服务质量管理</w:t>
      </w:r>
      <w:bookmarkEnd w:id="3657"/>
    </w:p>
    <w:p w14:paraId="08154482">
      <w:r>
        <w:rPr>
          <w:rFonts w:hint="eastAsia"/>
        </w:rPr>
        <w:t>通过菜单“网络配置 &gt; 基础网络 &gt;</w:t>
      </w:r>
      <w:r>
        <w:t xml:space="preserve"> </w:t>
      </w:r>
      <w:r>
        <w:rPr>
          <w:rFonts w:hint="eastAsia"/>
        </w:rPr>
        <w:t>服务质量管理”，进入如</w:t>
      </w:r>
      <w:r>
        <w:rPr>
          <w:color w:val="0000FF"/>
          <w:u w:val="single"/>
        </w:rPr>
        <w:fldChar w:fldCharType="begin"/>
      </w:r>
      <w:r>
        <w:rPr>
          <w:color w:val="0000FF"/>
          <w:u w:val="single"/>
        </w:rPr>
        <w:instrText xml:space="preserve"> </w:instrText>
      </w:r>
      <w:r>
        <w:rPr>
          <w:rFonts w:hint="eastAsia"/>
          <w:color w:val="0000FF"/>
          <w:u w:val="single"/>
        </w:rPr>
        <w:instrText xml:space="preserve">REF _Ref428890534 \r \h</w:instrText>
      </w:r>
      <w:r>
        <w:rPr>
          <w:color w:val="0000FF"/>
          <w:u w:val="single"/>
        </w:rPr>
        <w:instrText xml:space="preserve"> </w:instrText>
      </w:r>
      <w:r>
        <w:rPr>
          <w:color w:val="0000FF"/>
          <w:u w:val="single"/>
        </w:rPr>
        <w:fldChar w:fldCharType="separate"/>
      </w:r>
      <w:r>
        <w:rPr>
          <w:rFonts w:hint="eastAsia"/>
          <w:color w:val="0000FF"/>
          <w:u w:val="single"/>
        </w:rPr>
        <w:t>图11-47</w:t>
      </w:r>
      <w:r>
        <w:rPr>
          <w:color w:val="0000FF"/>
          <w:u w:val="single"/>
        </w:rPr>
        <w:fldChar w:fldCharType="end"/>
      </w:r>
      <w:r>
        <w:rPr>
          <w:rFonts w:hint="eastAsia"/>
        </w:rPr>
        <w:t>所示的页面。在该页面上，可以新建服务质量管理。</w:t>
      </w:r>
    </w:p>
    <w:p w14:paraId="32F1D6CA">
      <w:pPr>
        <w:pStyle w:val="188"/>
      </w:pPr>
      <w:bookmarkStart w:id="3658" w:name="_Ref428890534"/>
      <w:bookmarkStart w:id="3659" w:name="_Toc141874716"/>
      <w:r>
        <w:t>服务质量管理页面</w:t>
      </w:r>
      <w:bookmarkEnd w:id="3658"/>
      <w:bookmarkEnd w:id="3659"/>
    </w:p>
    <w:p w14:paraId="02C9D9A1">
      <w:r>
        <w:drawing>
          <wp:inline distT="0" distB="0" distL="0" distR="0">
            <wp:extent cx="5581650" cy="881380"/>
            <wp:effectExtent l="0" t="0" r="0" b="0"/>
            <wp:docPr id="1347" name="图片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 name="图片 1347"/>
                    <pic:cNvPicPr>
                      <a:picLocks noChangeAspect="1"/>
                    </pic:cNvPicPr>
                  </pic:nvPicPr>
                  <pic:blipFill>
                    <a:blip r:embed="rId508"/>
                    <a:stretch>
                      <a:fillRect/>
                    </a:stretch>
                  </pic:blipFill>
                  <pic:spPr>
                    <a:xfrm>
                      <a:off x="0" y="0"/>
                      <a:ext cx="5642382" cy="891519"/>
                    </a:xfrm>
                    <a:prstGeom prst="rect">
                      <a:avLst/>
                    </a:prstGeom>
                  </pic:spPr>
                </pic:pic>
              </a:graphicData>
            </a:graphic>
          </wp:inline>
        </w:drawing>
      </w:r>
    </w:p>
    <w:p w14:paraId="14AEAB97"/>
    <w:p w14:paraId="0BF978E2">
      <w:r>
        <w:rPr>
          <w:rFonts w:hint="eastAsia"/>
        </w:rPr>
        <w:t>点击“新建”，进入如</w:t>
      </w:r>
      <w:r>
        <w:fldChar w:fldCharType="begin"/>
      </w:r>
      <w:r>
        <w:instrText xml:space="preserve"> </w:instrText>
      </w:r>
      <w:r>
        <w:rPr>
          <w:rFonts w:hint="eastAsia"/>
        </w:rPr>
        <w:instrText xml:space="preserve">REF _Ref392851863 \r \h</w:instrText>
      </w:r>
      <w:r>
        <w:instrText xml:space="preserve"> </w:instrText>
      </w:r>
      <w:r>
        <w:fldChar w:fldCharType="separate"/>
      </w:r>
      <w:r>
        <w:rPr>
          <w:rFonts w:hint="eastAsia"/>
        </w:rPr>
        <w:t>图11-48</w:t>
      </w:r>
      <w:r>
        <w:fldChar w:fldCharType="end"/>
      </w:r>
      <w:r>
        <w:rPr>
          <w:rFonts w:hint="eastAsia"/>
        </w:rPr>
        <w:t>所示的服务质量管理配置页面。</w:t>
      </w:r>
    </w:p>
    <w:p w14:paraId="7C9F22FB">
      <w:pPr>
        <w:pStyle w:val="188"/>
      </w:pPr>
      <w:bookmarkStart w:id="3660" w:name="_Toc141874717"/>
      <w:bookmarkStart w:id="3661" w:name="_Ref392851863"/>
      <w:r>
        <w:rPr>
          <w:rFonts w:hint="eastAsia"/>
        </w:rPr>
        <w:t>服务质量管理配置页面</w:t>
      </w:r>
      <w:bookmarkEnd w:id="3660"/>
      <w:bookmarkEnd w:id="3661"/>
    </w:p>
    <w:p w14:paraId="000DEFD3">
      <w:r>
        <w:drawing>
          <wp:inline distT="0" distB="0" distL="114300" distR="114300">
            <wp:extent cx="5400040" cy="2045970"/>
            <wp:effectExtent l="0" t="0" r="0" b="0"/>
            <wp:docPr id="105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图片 130"/>
                    <pic:cNvPicPr>
                      <a:picLocks noChangeAspect="1"/>
                    </pic:cNvPicPr>
                  </pic:nvPicPr>
                  <pic:blipFill>
                    <a:blip r:embed="rId509"/>
                    <a:stretch>
                      <a:fillRect/>
                    </a:stretch>
                  </pic:blipFill>
                  <pic:spPr>
                    <a:xfrm>
                      <a:off x="0" y="0"/>
                      <a:ext cx="5400040" cy="2046153"/>
                    </a:xfrm>
                    <a:prstGeom prst="rect">
                      <a:avLst/>
                    </a:prstGeom>
                    <a:noFill/>
                    <a:ln>
                      <a:noFill/>
                    </a:ln>
                  </pic:spPr>
                </pic:pic>
              </a:graphicData>
            </a:graphic>
          </wp:inline>
        </w:drawing>
      </w:r>
    </w:p>
    <w:p w14:paraId="31B60FDA"/>
    <w:p w14:paraId="308AD964">
      <w:pPr>
        <w:pStyle w:val="183"/>
      </w:pPr>
      <w:bookmarkStart w:id="3662" w:name="_Toc141875539"/>
      <w:r>
        <w:rPr>
          <w:rFonts w:hint="eastAsia"/>
        </w:rPr>
        <w:t>服务质量管理配置项含义</w:t>
      </w:r>
      <w:bookmarkEnd w:id="3662"/>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909"/>
        <w:gridCol w:w="6105"/>
      </w:tblGrid>
      <w:tr w14:paraId="573940F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tcBorders>
              <w:tl2br w:val="nil"/>
              <w:tr2bl w:val="nil"/>
            </w:tcBorders>
            <w:shd w:val="clear" w:color="auto" w:fill="538135" w:themeFill="accent6" w:themeFillShade="BF"/>
            <w:vAlign w:val="center"/>
          </w:tcPr>
          <w:p w14:paraId="59C2A579">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117" w:type="dxa"/>
            <w:tcBorders>
              <w:tl2br w:val="nil"/>
              <w:tr2bl w:val="nil"/>
            </w:tcBorders>
            <w:shd w:val="clear" w:color="auto" w:fill="538135" w:themeFill="accent6" w:themeFillShade="BF"/>
            <w:vAlign w:val="center"/>
          </w:tcPr>
          <w:p w14:paraId="1B52EC20">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02622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4A7D5C08">
            <w:pPr>
              <w:pStyle w:val="186"/>
              <w:widowControl w:val="0"/>
              <w:spacing w:line="240" w:lineRule="auto"/>
              <w:ind w:firstLine="0"/>
              <w:jc w:val="left"/>
            </w:pPr>
            <w:r>
              <w:rPr>
                <w:rFonts w:hint="eastAsia"/>
              </w:rPr>
              <w:t>名称</w:t>
            </w:r>
          </w:p>
        </w:tc>
        <w:tc>
          <w:tcPr>
            <w:tcW w:w="6117" w:type="dxa"/>
            <w:shd w:val="clear" w:color="auto" w:fill="auto"/>
          </w:tcPr>
          <w:p w14:paraId="464069C2">
            <w:pPr>
              <w:pStyle w:val="186"/>
              <w:widowControl w:val="0"/>
              <w:spacing w:line="240" w:lineRule="auto"/>
              <w:ind w:firstLine="0"/>
              <w:jc w:val="left"/>
            </w:pPr>
            <w:r>
              <w:t>服务质量管理条目名称</w:t>
            </w:r>
          </w:p>
        </w:tc>
      </w:tr>
      <w:tr w14:paraId="1D4379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4216A3B5">
            <w:pPr>
              <w:pStyle w:val="186"/>
              <w:widowControl w:val="0"/>
              <w:spacing w:line="240" w:lineRule="auto"/>
              <w:ind w:firstLine="0"/>
              <w:jc w:val="left"/>
            </w:pPr>
            <w:r>
              <w:t>探测目标</w:t>
            </w:r>
          </w:p>
        </w:tc>
        <w:tc>
          <w:tcPr>
            <w:tcW w:w="6117" w:type="dxa"/>
            <w:shd w:val="clear" w:color="auto" w:fill="auto"/>
          </w:tcPr>
          <w:p w14:paraId="799326C6">
            <w:pPr>
              <w:pStyle w:val="186"/>
              <w:widowControl w:val="0"/>
              <w:spacing w:line="240" w:lineRule="auto"/>
              <w:ind w:firstLine="0"/>
              <w:jc w:val="left"/>
            </w:pPr>
            <w:r>
              <w:rPr>
                <w:rFonts w:hint="eastAsia"/>
              </w:rPr>
              <w:t>服务质量管理探测地址，可以为IP地址，或域名</w:t>
            </w:r>
          </w:p>
        </w:tc>
      </w:tr>
      <w:tr w14:paraId="4304575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40A5BC9E">
            <w:pPr>
              <w:pStyle w:val="186"/>
              <w:widowControl w:val="0"/>
              <w:spacing w:line="240" w:lineRule="auto"/>
              <w:ind w:firstLine="0"/>
              <w:jc w:val="left"/>
            </w:pPr>
            <w:r>
              <w:rPr>
                <w:rFonts w:hint="eastAsia"/>
              </w:rPr>
              <w:t>类型</w:t>
            </w:r>
          </w:p>
        </w:tc>
        <w:tc>
          <w:tcPr>
            <w:tcW w:w="6117" w:type="dxa"/>
            <w:shd w:val="clear" w:color="auto" w:fill="auto"/>
          </w:tcPr>
          <w:p w14:paraId="3141C3E1">
            <w:pPr>
              <w:pStyle w:val="186"/>
              <w:widowControl w:val="0"/>
              <w:spacing w:line="240" w:lineRule="auto"/>
              <w:ind w:firstLine="0"/>
              <w:jc w:val="left"/>
            </w:pPr>
            <w:r>
              <w:rPr>
                <w:rFonts w:hint="eastAsia"/>
              </w:rPr>
              <w:t>探测条目类型，可以为PING、DNS、TCP</w:t>
            </w:r>
          </w:p>
        </w:tc>
      </w:tr>
      <w:tr w14:paraId="64FFBC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1897A52F">
            <w:pPr>
              <w:pStyle w:val="186"/>
              <w:widowControl w:val="0"/>
              <w:spacing w:line="240" w:lineRule="auto"/>
              <w:ind w:firstLine="0"/>
              <w:jc w:val="left"/>
            </w:pPr>
            <w:r>
              <w:rPr>
                <w:rFonts w:hint="eastAsia"/>
              </w:rPr>
              <w:t>出接口</w:t>
            </w:r>
          </w:p>
        </w:tc>
        <w:tc>
          <w:tcPr>
            <w:tcW w:w="6117" w:type="dxa"/>
            <w:shd w:val="clear" w:color="auto" w:fill="auto"/>
          </w:tcPr>
          <w:p w14:paraId="0CA8CA3A">
            <w:pPr>
              <w:pStyle w:val="186"/>
              <w:widowControl w:val="0"/>
              <w:spacing w:line="240" w:lineRule="auto"/>
              <w:ind w:firstLine="0"/>
              <w:jc w:val="left"/>
            </w:pPr>
            <w:r>
              <w:rPr>
                <w:rFonts w:hint="eastAsia"/>
              </w:rPr>
              <w:t>探测条目的发送接口</w:t>
            </w:r>
          </w:p>
          <w:p w14:paraId="4262D7DB">
            <w:pPr>
              <w:pStyle w:val="186"/>
              <w:widowControl w:val="0"/>
              <w:spacing w:line="240" w:lineRule="auto"/>
              <w:ind w:firstLine="0"/>
              <w:jc w:val="left"/>
            </w:pPr>
            <w:r>
              <w:rPr>
                <w:rFonts w:hint="eastAsia"/>
              </w:rPr>
              <w:t>any：根据路由自动选择一个路由可达接口</w:t>
            </w:r>
          </w:p>
        </w:tc>
      </w:tr>
      <w:tr w14:paraId="437D11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41F5598A">
            <w:pPr>
              <w:pStyle w:val="186"/>
              <w:widowControl w:val="0"/>
              <w:spacing w:line="240" w:lineRule="auto"/>
              <w:ind w:firstLine="0"/>
              <w:jc w:val="left"/>
            </w:pPr>
            <w:r>
              <w:rPr>
                <w:rFonts w:hint="eastAsia"/>
              </w:rPr>
              <w:t>间隔时间</w:t>
            </w:r>
          </w:p>
        </w:tc>
        <w:tc>
          <w:tcPr>
            <w:tcW w:w="6117" w:type="dxa"/>
            <w:shd w:val="clear" w:color="auto" w:fill="auto"/>
          </w:tcPr>
          <w:p w14:paraId="7C78DB2C">
            <w:pPr>
              <w:pStyle w:val="186"/>
              <w:widowControl w:val="0"/>
              <w:spacing w:line="240" w:lineRule="auto"/>
              <w:ind w:firstLine="0"/>
              <w:jc w:val="left"/>
            </w:pPr>
            <w:r>
              <w:rPr>
                <w:rFonts w:hint="eastAsia"/>
              </w:rPr>
              <w:t>探测条目的发送间隔时间，秒为单位</w:t>
            </w:r>
          </w:p>
        </w:tc>
      </w:tr>
    </w:tbl>
    <w:p w14:paraId="300AF427"/>
    <w:p w14:paraId="2F454F57">
      <w:pPr>
        <w:pStyle w:val="4"/>
      </w:pPr>
      <w:bookmarkStart w:id="3663" w:name="_Toc497295797"/>
      <w:bookmarkEnd w:id="3663"/>
      <w:bookmarkStart w:id="3664" w:name="_Toc497295806"/>
      <w:bookmarkEnd w:id="3664"/>
      <w:bookmarkStart w:id="3665" w:name="_Toc497295807"/>
      <w:bookmarkEnd w:id="3665"/>
      <w:bookmarkStart w:id="3666" w:name="_Toc497295798"/>
      <w:bookmarkEnd w:id="3666"/>
      <w:bookmarkStart w:id="3667" w:name="_Toc497295794"/>
      <w:bookmarkEnd w:id="3667"/>
      <w:bookmarkStart w:id="3668" w:name="_Toc497295808"/>
      <w:bookmarkEnd w:id="3668"/>
      <w:bookmarkStart w:id="3669" w:name="_Toc497295795"/>
      <w:bookmarkEnd w:id="3669"/>
      <w:bookmarkStart w:id="3670" w:name="_Toc497295800"/>
      <w:bookmarkEnd w:id="3670"/>
      <w:bookmarkStart w:id="3671" w:name="_Toc497295799"/>
      <w:bookmarkEnd w:id="3671"/>
      <w:bookmarkStart w:id="3672" w:name="_Toc497295811"/>
      <w:bookmarkEnd w:id="3672"/>
      <w:bookmarkStart w:id="3673" w:name="_Toc497295812"/>
      <w:bookmarkEnd w:id="3673"/>
      <w:bookmarkStart w:id="3674" w:name="_Toc497295802"/>
      <w:bookmarkEnd w:id="3674"/>
      <w:bookmarkStart w:id="3675" w:name="_Toc497295805"/>
      <w:bookmarkEnd w:id="3675"/>
      <w:bookmarkStart w:id="3676" w:name="_Toc497295801"/>
      <w:bookmarkEnd w:id="3676"/>
      <w:bookmarkStart w:id="3677" w:name="_Toc497295810"/>
      <w:bookmarkEnd w:id="3677"/>
      <w:bookmarkStart w:id="3678" w:name="_Toc497295796"/>
      <w:bookmarkEnd w:id="3678"/>
      <w:bookmarkStart w:id="3679" w:name="_Toc497295809"/>
      <w:bookmarkEnd w:id="3679"/>
      <w:bookmarkStart w:id="3680" w:name="_Toc497295803"/>
      <w:bookmarkEnd w:id="3680"/>
      <w:bookmarkStart w:id="3681" w:name="_Toc497295804"/>
      <w:bookmarkEnd w:id="3681"/>
      <w:bookmarkStart w:id="3682" w:name="_Toc172218231"/>
      <w:bookmarkStart w:id="3683" w:name="_Toc194080858"/>
      <w:bookmarkStart w:id="3684" w:name="_Toc196728190"/>
      <w:bookmarkStart w:id="3685" w:name="_Toc15484884"/>
      <w:bookmarkStart w:id="3686" w:name="_Toc23152648"/>
      <w:bookmarkStart w:id="3687" w:name="_Toc40276081"/>
      <w:bookmarkStart w:id="3688" w:name="_Toc99561565"/>
      <w:bookmarkStart w:id="3689" w:name="_Toc141873480"/>
      <w:bookmarkStart w:id="3690" w:name="_Toc142400996"/>
      <w:r>
        <w:rPr>
          <w:rFonts w:hint="eastAsia"/>
        </w:rPr>
        <w:t>端口镜像</w:t>
      </w:r>
      <w:bookmarkEnd w:id="3682"/>
      <w:bookmarkEnd w:id="3683"/>
      <w:bookmarkEnd w:id="3684"/>
      <w:bookmarkEnd w:id="3685"/>
      <w:bookmarkEnd w:id="3686"/>
      <w:bookmarkEnd w:id="3687"/>
      <w:bookmarkEnd w:id="3688"/>
      <w:bookmarkEnd w:id="3689"/>
      <w:bookmarkEnd w:id="3690"/>
    </w:p>
    <w:p w14:paraId="110187E9">
      <w:pPr>
        <w:pStyle w:val="5"/>
      </w:pPr>
      <w:bookmarkStart w:id="3691" w:name="_Toc494295547"/>
      <w:bookmarkStart w:id="3692" w:name="_Toc15484885"/>
      <w:bookmarkStart w:id="3693" w:name="_Toc23152649"/>
      <w:bookmarkStart w:id="3694" w:name="_Toc196728191"/>
      <w:bookmarkStart w:id="3695" w:name="_Toc99561566"/>
      <w:bookmarkStart w:id="3696" w:name="_Toc194080859"/>
      <w:bookmarkStart w:id="3697" w:name="_Toc172218232"/>
      <w:bookmarkStart w:id="3698" w:name="_Toc142400997"/>
      <w:bookmarkStart w:id="3699" w:name="_Toc40276082"/>
      <w:bookmarkStart w:id="3700" w:name="_Toc141873481"/>
      <w:bookmarkStart w:id="3701" w:name="_Toc6231985"/>
      <w:r>
        <w:rPr>
          <w:rFonts w:hint="eastAsia"/>
        </w:rPr>
        <w:t>概述</w:t>
      </w:r>
      <w:bookmarkEnd w:id="3691"/>
      <w:bookmarkEnd w:id="3692"/>
      <w:bookmarkEnd w:id="3693"/>
      <w:bookmarkEnd w:id="3694"/>
      <w:bookmarkEnd w:id="3695"/>
      <w:bookmarkEnd w:id="3696"/>
      <w:bookmarkEnd w:id="3697"/>
      <w:bookmarkEnd w:id="3698"/>
      <w:bookmarkEnd w:id="3699"/>
      <w:bookmarkEnd w:id="3700"/>
      <w:bookmarkEnd w:id="3701"/>
    </w:p>
    <w:p w14:paraId="02C7BE2E">
      <w:r>
        <w:t>端口镜像（port Mirroring）功能</w:t>
      </w:r>
      <w:r>
        <w:rPr>
          <w:rFonts w:hint="eastAsia"/>
        </w:rPr>
        <w:t>是网络</w:t>
      </w:r>
      <w:r>
        <w:t>设备上常用的功能，将一个或</w:t>
      </w:r>
      <w:r>
        <w:rPr>
          <w:rFonts w:hint="eastAsia"/>
        </w:rPr>
        <w:t>多个</w:t>
      </w:r>
      <w:r>
        <w:t>端口的数据流量</w:t>
      </w:r>
      <w:r>
        <w:rPr>
          <w:rFonts w:hint="eastAsia"/>
        </w:rPr>
        <w:t>复制</w:t>
      </w:r>
      <w:r>
        <w:t>到某一个指定端口来实现对网络的</w:t>
      </w:r>
      <w:r>
        <w:rPr>
          <w:rFonts w:hint="eastAsia"/>
        </w:rPr>
        <w:t>监控</w:t>
      </w:r>
      <w:r>
        <w:t>。在不影响源端口正常吞吐流量的情况下，可以通过镜像端口对网络的流量进行监控分析</w:t>
      </w:r>
      <w:r>
        <w:rPr>
          <w:rFonts w:hint="eastAsia"/>
        </w:rPr>
        <w:t>。</w:t>
      </w:r>
    </w:p>
    <w:p w14:paraId="43D79798">
      <w:r>
        <w:t>端口镜像功能是对网络流量监控的一个有效的安全手段，对监控流量</w:t>
      </w:r>
      <w:r>
        <w:rPr>
          <w:rFonts w:hint="eastAsia"/>
        </w:rPr>
        <w:t>进行</w:t>
      </w:r>
      <w:r>
        <w:t>分析</w:t>
      </w:r>
      <w:r>
        <w:rPr>
          <w:rFonts w:hint="eastAsia"/>
        </w:rPr>
        <w:t>和</w:t>
      </w:r>
      <w:r>
        <w:t>安全性的检查，同时也能及时</w:t>
      </w:r>
      <w:r>
        <w:rPr>
          <w:rFonts w:hint="eastAsia"/>
        </w:rPr>
        <w:t>的</w:t>
      </w:r>
      <w:r>
        <w:t>在网络发生故障时进行准确的定位</w:t>
      </w:r>
      <w:r>
        <w:rPr>
          <w:rFonts w:hint="eastAsia"/>
        </w:rPr>
        <w:t>。端口</w:t>
      </w:r>
      <w:r>
        <w:t>镜像功能简单地说就是将被监控流量镜像到监控端口，以便对被监控流量进行故障定位、流量分析、流量备份等，监控端口一般直接与监控主机等相连。</w:t>
      </w:r>
      <w:r>
        <w:rPr>
          <w:rFonts w:hint="eastAsia"/>
        </w:rPr>
        <w:t>端口镜像功能</w:t>
      </w:r>
      <w:r>
        <w:t>能够</w:t>
      </w:r>
      <w:r>
        <w:rPr>
          <w:rFonts w:hint="eastAsia"/>
        </w:rPr>
        <w:t>将</w:t>
      </w:r>
      <w:r>
        <w:t>进出网络的所有</w:t>
      </w:r>
      <w:r>
        <w:rPr>
          <w:rFonts w:hint="eastAsia"/>
        </w:rPr>
        <w:t>数据包</w:t>
      </w:r>
      <w:r>
        <w:t>，供安装了监控软件的管理服务器抓取数据，如网吧</w:t>
      </w:r>
      <w:r>
        <w:rPr>
          <w:rFonts w:hint="eastAsia"/>
        </w:rPr>
        <w:t>需要</w:t>
      </w:r>
      <w:r>
        <w:t>提供此功能把数据发往公安部门审查。而企业出于信息安全、保护公司机密的需要，也迫切需要网络中有一个端口能提供这种实时监控功能。在企业中用端口镜像功能，可以很好的对企业内部的网络数据进行监控管理，在网络出现故障的时候，可以做到很好地故障定位</w:t>
      </w:r>
      <w:r>
        <w:rPr>
          <w:rFonts w:hint="eastAsia"/>
        </w:rPr>
        <w:t>。</w:t>
      </w:r>
    </w:p>
    <w:p w14:paraId="40DF747E">
      <w:r>
        <w:rPr>
          <w:rFonts w:hint="eastAsia"/>
        </w:rPr>
        <w:t>新建端口镜像的操作方法如下：</w:t>
      </w:r>
    </w:p>
    <w:p w14:paraId="5784E12F">
      <w:r>
        <w:rPr>
          <w:rFonts w:hint="eastAsia"/>
        </w:rPr>
        <w:t>通过菜单“网络配置&gt;基础网络&gt;端口镜像”，单击“新建”按钮，进入如</w:t>
      </w:r>
      <w:r>
        <w:fldChar w:fldCharType="begin"/>
      </w:r>
      <w:r>
        <w:instrText xml:space="preserve"> </w:instrText>
      </w:r>
      <w:r>
        <w:rPr>
          <w:rFonts w:hint="eastAsia"/>
        </w:rPr>
        <w:instrText xml:space="preserve">REF _Ref494445889 \r \h</w:instrText>
      </w:r>
      <w:r>
        <w:instrText xml:space="preserve"> </w:instrText>
      </w:r>
      <w:r>
        <w:fldChar w:fldCharType="separate"/>
      </w:r>
      <w:r>
        <w:rPr>
          <w:rFonts w:hint="eastAsia"/>
        </w:rPr>
        <w:t>图11-49</w:t>
      </w:r>
      <w:r>
        <w:fldChar w:fldCharType="end"/>
      </w:r>
      <w:r>
        <w:rPr>
          <w:rFonts w:hint="eastAsia"/>
        </w:rPr>
        <w:t>所示界面，在该界面，可以新建端口镜像规则，各个配置项的含义如</w:t>
      </w:r>
      <w:r>
        <w:fldChar w:fldCharType="begin"/>
      </w:r>
      <w:r>
        <w:instrText xml:space="preserve"> </w:instrText>
      </w:r>
      <w:r>
        <w:rPr>
          <w:rFonts w:hint="eastAsia"/>
        </w:rPr>
        <w:instrText xml:space="preserve">REF _Ref494445896 \r \h</w:instrText>
      </w:r>
      <w:r>
        <w:instrText xml:space="preserve"> </w:instrText>
      </w:r>
      <w:r>
        <w:fldChar w:fldCharType="separate"/>
      </w:r>
      <w:r>
        <w:rPr>
          <w:rFonts w:hint="eastAsia"/>
        </w:rPr>
        <w:t>表11-1</w:t>
      </w:r>
      <w:r>
        <w:fldChar w:fldCharType="end"/>
      </w:r>
      <w:r>
        <w:rPr>
          <w:rFonts w:hint="eastAsia"/>
        </w:rPr>
        <w:t>所示。</w:t>
      </w:r>
    </w:p>
    <w:p w14:paraId="1FBFB8FE">
      <w:pPr>
        <w:pStyle w:val="188"/>
      </w:pPr>
      <w:bookmarkStart w:id="3702" w:name="_Toc141874718"/>
      <w:bookmarkStart w:id="3703" w:name="_Ref494445889"/>
      <w:r>
        <w:rPr>
          <w:rFonts w:hint="eastAsia"/>
        </w:rPr>
        <w:t>新建端口镜像规则配置界面</w:t>
      </w:r>
      <w:bookmarkEnd w:id="3702"/>
      <w:bookmarkEnd w:id="3703"/>
    </w:p>
    <w:p w14:paraId="1928B7DA">
      <w:r>
        <w:t xml:space="preserve">  </w:t>
      </w:r>
      <w:r>
        <w:drawing>
          <wp:inline distT="0" distB="0" distL="114300" distR="114300">
            <wp:extent cx="5067300" cy="2408555"/>
            <wp:effectExtent l="0" t="0" r="0" b="0"/>
            <wp:docPr id="105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132"/>
                    <pic:cNvPicPr>
                      <a:picLocks noChangeAspect="1"/>
                    </pic:cNvPicPr>
                  </pic:nvPicPr>
                  <pic:blipFill>
                    <a:blip r:embed="rId510"/>
                    <a:srcRect r="16479"/>
                    <a:stretch>
                      <a:fillRect/>
                    </a:stretch>
                  </pic:blipFill>
                  <pic:spPr>
                    <a:xfrm>
                      <a:off x="0" y="0"/>
                      <a:ext cx="5071947" cy="2411309"/>
                    </a:xfrm>
                    <a:prstGeom prst="rect">
                      <a:avLst/>
                    </a:prstGeom>
                    <a:noFill/>
                    <a:ln>
                      <a:noFill/>
                    </a:ln>
                  </pic:spPr>
                </pic:pic>
              </a:graphicData>
            </a:graphic>
          </wp:inline>
        </w:drawing>
      </w:r>
    </w:p>
    <w:p w14:paraId="4A21D5ED"/>
    <w:p w14:paraId="0F18B3A0">
      <w:pPr>
        <w:pStyle w:val="183"/>
      </w:pPr>
      <w:bookmarkStart w:id="3704" w:name="_Ref494445896"/>
      <w:bookmarkStart w:id="3705" w:name="_Toc141875540"/>
      <w:r>
        <w:rPr>
          <w:rFonts w:hint="eastAsia"/>
        </w:rPr>
        <w:t>端口镜像规则配置项含义</w:t>
      </w:r>
      <w:bookmarkEnd w:id="3704"/>
      <w:bookmarkEnd w:id="3705"/>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436"/>
        <w:gridCol w:w="7534"/>
      </w:tblGrid>
      <w:tr w14:paraId="24A127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68" w:type="dxa"/>
            <w:tcBorders>
              <w:tl2br w:val="nil"/>
              <w:tr2bl w:val="nil"/>
            </w:tcBorders>
            <w:shd w:val="clear" w:color="auto" w:fill="538135" w:themeFill="accent6" w:themeFillShade="BF"/>
            <w:vAlign w:val="center"/>
          </w:tcPr>
          <w:p w14:paraId="41AFC263">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参数</w:t>
            </w:r>
          </w:p>
        </w:tc>
        <w:tc>
          <w:tcPr>
            <w:tcW w:w="6654" w:type="dxa"/>
            <w:tcBorders>
              <w:tl2br w:val="nil"/>
              <w:tr2bl w:val="nil"/>
            </w:tcBorders>
            <w:shd w:val="clear" w:color="auto" w:fill="538135" w:themeFill="accent6" w:themeFillShade="BF"/>
            <w:vAlign w:val="center"/>
          </w:tcPr>
          <w:p w14:paraId="0EC131D3">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9D3565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68" w:type="dxa"/>
            <w:shd w:val="clear" w:color="auto" w:fill="auto"/>
          </w:tcPr>
          <w:p w14:paraId="557BB7EA">
            <w:pPr>
              <w:pStyle w:val="186"/>
              <w:widowControl w:val="0"/>
              <w:spacing w:line="240" w:lineRule="auto"/>
              <w:ind w:firstLine="0"/>
              <w:jc w:val="left"/>
            </w:pPr>
            <w:r>
              <w:rPr>
                <w:rFonts w:hint="eastAsia"/>
              </w:rPr>
              <w:t>名称</w:t>
            </w:r>
          </w:p>
        </w:tc>
        <w:tc>
          <w:tcPr>
            <w:tcW w:w="6654" w:type="dxa"/>
            <w:shd w:val="clear" w:color="auto" w:fill="auto"/>
          </w:tcPr>
          <w:p w14:paraId="064B8253">
            <w:pPr>
              <w:pStyle w:val="186"/>
              <w:widowControl w:val="0"/>
              <w:spacing w:line="240" w:lineRule="auto"/>
              <w:ind w:firstLine="0"/>
              <w:jc w:val="left"/>
            </w:pPr>
            <w:r>
              <w:rPr>
                <w:rFonts w:hint="eastAsia"/>
              </w:rPr>
              <w:t>端口镜像规则的名称。</w:t>
            </w:r>
          </w:p>
        </w:tc>
      </w:tr>
      <w:tr w14:paraId="703C74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68" w:type="dxa"/>
            <w:shd w:val="clear" w:color="auto" w:fill="auto"/>
          </w:tcPr>
          <w:p w14:paraId="5BA4E7B4">
            <w:pPr>
              <w:pStyle w:val="186"/>
              <w:widowControl w:val="0"/>
              <w:spacing w:line="240" w:lineRule="auto"/>
              <w:ind w:firstLine="0"/>
              <w:jc w:val="left"/>
            </w:pPr>
            <w:r>
              <w:rPr>
                <w:rFonts w:hint="eastAsia"/>
              </w:rPr>
              <w:t>源接口</w:t>
            </w:r>
          </w:p>
        </w:tc>
        <w:tc>
          <w:tcPr>
            <w:tcW w:w="6654" w:type="dxa"/>
            <w:shd w:val="clear" w:color="auto" w:fill="auto"/>
          </w:tcPr>
          <w:p w14:paraId="6059CDE3">
            <w:pPr>
              <w:pStyle w:val="186"/>
              <w:widowControl w:val="0"/>
              <w:spacing w:line="240" w:lineRule="auto"/>
              <w:ind w:firstLine="0"/>
              <w:jc w:val="left"/>
            </w:pPr>
            <w:r>
              <w:rPr>
                <w:rFonts w:hint="eastAsia"/>
              </w:rPr>
              <w:t>允许把此接口的流量镜像到监控接口。</w:t>
            </w:r>
          </w:p>
        </w:tc>
      </w:tr>
      <w:tr w14:paraId="3B57EDB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68" w:type="dxa"/>
            <w:shd w:val="clear" w:color="auto" w:fill="auto"/>
          </w:tcPr>
          <w:p w14:paraId="5A3DEB58">
            <w:pPr>
              <w:pStyle w:val="186"/>
              <w:widowControl w:val="0"/>
              <w:spacing w:line="240" w:lineRule="auto"/>
              <w:ind w:firstLine="0"/>
              <w:jc w:val="left"/>
            </w:pPr>
            <w:r>
              <w:rPr>
                <w:rFonts w:hint="eastAsia"/>
              </w:rPr>
              <w:t>监控接口</w:t>
            </w:r>
          </w:p>
        </w:tc>
        <w:tc>
          <w:tcPr>
            <w:tcW w:w="6654" w:type="dxa"/>
            <w:shd w:val="clear" w:color="auto" w:fill="auto"/>
          </w:tcPr>
          <w:p w14:paraId="147A8549">
            <w:pPr>
              <w:pStyle w:val="186"/>
              <w:widowControl w:val="0"/>
              <w:spacing w:line="240" w:lineRule="auto"/>
              <w:ind w:firstLine="0"/>
              <w:jc w:val="left"/>
            </w:pPr>
            <w:r>
              <w:rPr>
                <w:rFonts w:hint="eastAsia"/>
              </w:rPr>
              <w:t>即目的接口，允许把源接口的流量镜像到的接口，不允许配置为管理口。</w:t>
            </w:r>
          </w:p>
        </w:tc>
      </w:tr>
      <w:tr w14:paraId="481756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68" w:type="dxa"/>
            <w:shd w:val="clear" w:color="auto" w:fill="auto"/>
          </w:tcPr>
          <w:p w14:paraId="3747D8DB">
            <w:pPr>
              <w:pStyle w:val="186"/>
              <w:widowControl w:val="0"/>
              <w:spacing w:line="240" w:lineRule="auto"/>
              <w:ind w:firstLine="0"/>
              <w:jc w:val="left"/>
            </w:pPr>
            <w:r>
              <w:rPr>
                <w:rFonts w:hint="eastAsia"/>
              </w:rPr>
              <w:t>规则类型</w:t>
            </w:r>
          </w:p>
        </w:tc>
        <w:tc>
          <w:tcPr>
            <w:tcW w:w="6654" w:type="dxa"/>
            <w:shd w:val="clear" w:color="auto" w:fill="auto"/>
          </w:tcPr>
          <w:p w14:paraId="5A570CB1">
            <w:pPr>
              <w:pStyle w:val="186"/>
              <w:widowControl w:val="0"/>
              <w:spacing w:line="240" w:lineRule="auto"/>
              <w:ind w:firstLine="0"/>
              <w:jc w:val="left"/>
            </w:pPr>
            <w:r>
              <w:rPr>
                <w:rFonts w:hint="eastAsia"/>
              </w:rPr>
              <w:t>根据端口镜像作用的接口模式来划分，分为以下三种类型：</w:t>
            </w:r>
          </w:p>
          <w:p w14:paraId="588ED8E9">
            <w:pPr>
              <w:pStyle w:val="186"/>
              <w:widowControl w:val="0"/>
              <w:spacing w:line="240" w:lineRule="auto"/>
              <w:ind w:firstLine="0"/>
              <w:jc w:val="left"/>
            </w:pPr>
            <w:r>
              <w:rPr>
                <w:rFonts w:hint="eastAsia"/>
              </w:rPr>
              <w:t>入流量，只对从源接口接收的流量进行镜像。</w:t>
            </w:r>
          </w:p>
          <w:p w14:paraId="7B245116">
            <w:pPr>
              <w:pStyle w:val="186"/>
              <w:widowControl w:val="0"/>
              <w:spacing w:line="240" w:lineRule="auto"/>
              <w:ind w:firstLine="0"/>
              <w:jc w:val="left"/>
            </w:pPr>
            <w:r>
              <w:rPr>
                <w:rFonts w:hint="eastAsia"/>
              </w:rPr>
              <w:t>出流量，只对从源接口发出的流量进行镜像。</w:t>
            </w:r>
          </w:p>
          <w:p w14:paraId="3B47AF28">
            <w:pPr>
              <w:pStyle w:val="186"/>
              <w:widowControl w:val="0"/>
              <w:spacing w:line="240" w:lineRule="auto"/>
              <w:ind w:firstLine="0"/>
              <w:jc w:val="left"/>
            </w:pPr>
            <w:r>
              <w:rPr>
                <w:rFonts w:hint="eastAsia"/>
              </w:rPr>
              <w:t>双向流量，对源接口接受和发出的双向流量进行镜像。</w:t>
            </w:r>
          </w:p>
        </w:tc>
      </w:tr>
    </w:tbl>
    <w:p w14:paraId="425451A7">
      <w:bookmarkStart w:id="3706" w:name="_Toc494295550"/>
    </w:p>
    <w:bookmarkEnd w:id="3706"/>
    <w:p w14:paraId="37CD584C">
      <w:pPr>
        <w:pStyle w:val="4"/>
      </w:pPr>
      <w:bookmarkStart w:id="3707" w:name="_Toc142400998"/>
      <w:bookmarkStart w:id="3708" w:name="_Toc196728192"/>
      <w:bookmarkStart w:id="3709" w:name="_Toc194080860"/>
      <w:bookmarkStart w:id="3710" w:name="_Toc12469929"/>
      <w:bookmarkStart w:id="3711" w:name="_Toc15484894"/>
      <w:bookmarkStart w:id="3712" w:name="_Toc23152658"/>
      <w:bookmarkStart w:id="3713" w:name="_Toc99561569"/>
      <w:bookmarkStart w:id="3714" w:name="_Toc172218233"/>
      <w:bookmarkStart w:id="3715" w:name="_Toc40276091"/>
      <w:bookmarkStart w:id="3716" w:name="_Toc141873482"/>
      <w:r>
        <w:rPr>
          <w:rFonts w:hint="eastAsia"/>
        </w:rPr>
        <w:t>部署方式</w:t>
      </w:r>
      <w:bookmarkEnd w:id="3707"/>
      <w:bookmarkEnd w:id="3708"/>
      <w:bookmarkEnd w:id="3709"/>
      <w:bookmarkEnd w:id="3710"/>
      <w:bookmarkEnd w:id="3711"/>
      <w:bookmarkEnd w:id="3712"/>
      <w:bookmarkEnd w:id="3713"/>
      <w:bookmarkEnd w:id="3714"/>
      <w:bookmarkEnd w:id="3715"/>
      <w:bookmarkEnd w:id="3716"/>
    </w:p>
    <w:p w14:paraId="5BC13346">
      <w:r>
        <w:rPr>
          <w:rFonts w:hint="eastAsia"/>
        </w:rPr>
        <w:t>通常情况下设备串联到网络中，以直连的方式对网络流量进行分析、控制以及转发。如果仅需要使用部分功能，如IPS、防病毒、监控等，用户可以选择旁路模式。在旁路部署模式下，设备仅对流量进行统计、扫描或记录，不进行流量转发，网络流量也不会受到设备故障的影响。因此，对于仅有审计需求的业务场景，使用旁路部署模式会更加有效。</w:t>
      </w:r>
    </w:p>
    <w:p w14:paraId="1DD8F234">
      <w:pPr>
        <w:pStyle w:val="5"/>
      </w:pPr>
      <w:bookmarkStart w:id="3717" w:name="_Toc15484895"/>
      <w:bookmarkStart w:id="3718" w:name="_Toc23152659"/>
      <w:bookmarkStart w:id="3719" w:name="_Toc12469930"/>
      <w:bookmarkStart w:id="3720" w:name="_Toc40276092"/>
      <w:bookmarkStart w:id="3721" w:name="_Toc99561570"/>
      <w:bookmarkStart w:id="3722" w:name="_Toc172218234"/>
      <w:bookmarkStart w:id="3723" w:name="_Toc142400999"/>
      <w:bookmarkStart w:id="3724" w:name="_Toc194080861"/>
      <w:bookmarkStart w:id="3725" w:name="_Toc141873483"/>
      <w:bookmarkStart w:id="3726" w:name="_Toc196728193"/>
      <w:r>
        <w:t>旁路部署</w:t>
      </w:r>
      <w:bookmarkEnd w:id="3717"/>
      <w:bookmarkEnd w:id="3718"/>
      <w:bookmarkEnd w:id="3719"/>
      <w:bookmarkEnd w:id="3720"/>
      <w:bookmarkEnd w:id="3721"/>
      <w:bookmarkEnd w:id="3722"/>
      <w:bookmarkEnd w:id="3723"/>
      <w:bookmarkEnd w:id="3724"/>
      <w:bookmarkEnd w:id="3725"/>
      <w:bookmarkEnd w:id="3726"/>
    </w:p>
    <w:p w14:paraId="26D06C57">
      <w:r>
        <w:rPr>
          <w:rFonts w:hint="eastAsia"/>
        </w:rPr>
        <w:t>通过菜单“</w:t>
      </w:r>
      <w:r>
        <w:t>网络配置</w:t>
      </w:r>
      <w:r>
        <w:rPr>
          <w:rFonts w:hint="eastAsia"/>
        </w:rPr>
        <w:t xml:space="preserve"> &gt; 基础网络</w:t>
      </w:r>
      <w:r>
        <w:t xml:space="preserve"> &gt; </w:t>
      </w:r>
      <w:r>
        <w:rPr>
          <w:rFonts w:hint="eastAsia"/>
        </w:rPr>
        <w:t>部署方式”，查看设备上的所有物理接口是否配置为旁路部署接口。在右侧启用列下勾选复选框启用旁路部署模式。</w:t>
      </w:r>
    </w:p>
    <w:p w14:paraId="24D908F8">
      <w:r>
        <w:rPr>
          <w:rFonts w:hint="eastAsia"/>
        </w:rPr>
        <w:t>启用接口旁路部署方式只对报文进行监听，不进行转发。</w:t>
      </w:r>
    </w:p>
    <w:p w14:paraId="3539D0E2">
      <w:bookmarkStart w:id="3727" w:name="_Ref5813482"/>
      <w:r>
        <w:rPr>
          <w:rFonts w:hint="eastAsia"/>
        </w:rPr>
        <w:t>旁路部署页面</w:t>
      </w:r>
      <w:bookmarkEnd w:id="3727"/>
    </w:p>
    <w:p w14:paraId="060F5030">
      <w:r>
        <w:drawing>
          <wp:inline distT="0" distB="0" distL="0" distR="0">
            <wp:extent cx="4821555" cy="3286125"/>
            <wp:effectExtent l="0" t="0" r="0" b="0"/>
            <wp:docPr id="2984" name="图片 2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4" name="图片 2984"/>
                    <pic:cNvPicPr>
                      <a:picLocks noChangeAspect="1"/>
                    </pic:cNvPicPr>
                  </pic:nvPicPr>
                  <pic:blipFill>
                    <a:blip r:embed="rId511"/>
                    <a:stretch>
                      <a:fillRect/>
                    </a:stretch>
                  </pic:blipFill>
                  <pic:spPr>
                    <a:xfrm>
                      <a:off x="0" y="0"/>
                      <a:ext cx="4834010" cy="3294388"/>
                    </a:xfrm>
                    <a:prstGeom prst="rect">
                      <a:avLst/>
                    </a:prstGeom>
                  </pic:spPr>
                </pic:pic>
              </a:graphicData>
            </a:graphic>
          </wp:inline>
        </w:drawing>
      </w:r>
    </w:p>
    <w:p w14:paraId="1483EC00">
      <w:bookmarkStart w:id="3728" w:name="_Toc497293025"/>
      <w:bookmarkEnd w:id="3728"/>
      <w:r>
        <w:rPr>
          <w:rFonts w:hint="eastAsia"/>
        </w:rPr>
        <w:t>启用了旁路部署模式的接口将会从网络中抓取流量进行统计、扫描或记录。</w:t>
      </w:r>
    </w:p>
    <w:p w14:paraId="24017612">
      <w:pPr>
        <w:pStyle w:val="5"/>
      </w:pPr>
      <w:bookmarkStart w:id="3729" w:name="_Toc5037126"/>
      <w:bookmarkStart w:id="3730" w:name="_Toc40276093"/>
      <w:bookmarkStart w:id="3731" w:name="_Toc99561571"/>
      <w:bookmarkStart w:id="3732" w:name="_Toc23152660"/>
      <w:bookmarkStart w:id="3733" w:name="_Toc141873484"/>
      <w:bookmarkStart w:id="3734" w:name="_Toc142401000"/>
      <w:bookmarkStart w:id="3735" w:name="_Toc172218235"/>
      <w:bookmarkStart w:id="3736" w:name="_Toc12469931"/>
      <w:bookmarkStart w:id="3737" w:name="_Toc15484896"/>
      <w:bookmarkStart w:id="3738" w:name="_Toc194080862"/>
      <w:bookmarkStart w:id="3739" w:name="_Toc196728194"/>
      <w:r>
        <w:rPr>
          <w:rFonts w:hint="eastAsia"/>
        </w:rPr>
        <w:t>旁路认证和阻断</w:t>
      </w:r>
      <w:bookmarkEnd w:id="3729"/>
      <w:bookmarkEnd w:id="3730"/>
      <w:bookmarkEnd w:id="3731"/>
      <w:bookmarkEnd w:id="3732"/>
      <w:bookmarkEnd w:id="3733"/>
      <w:bookmarkEnd w:id="3734"/>
      <w:bookmarkEnd w:id="3735"/>
      <w:bookmarkEnd w:id="3736"/>
      <w:bookmarkEnd w:id="3737"/>
      <w:bookmarkEnd w:id="3738"/>
      <w:bookmarkEnd w:id="3739"/>
    </w:p>
    <w:p w14:paraId="671B619C">
      <w:pPr>
        <w:pStyle w:val="6"/>
      </w:pPr>
      <w:bookmarkStart w:id="3740" w:name="_Toc5037127"/>
      <w:bookmarkStart w:id="3741" w:name="_Toc15484897"/>
      <w:bookmarkStart w:id="3742" w:name="_Toc23152661"/>
      <w:bookmarkStart w:id="3743" w:name="_Toc40276094"/>
      <w:r>
        <w:rPr>
          <w:rFonts w:hint="eastAsia"/>
        </w:rPr>
        <w:t>旁路认证和阻断</w:t>
      </w:r>
      <w:bookmarkEnd w:id="3740"/>
      <w:r>
        <w:rPr>
          <w:rFonts w:hint="eastAsia"/>
        </w:rPr>
        <w:t>概述</w:t>
      </w:r>
      <w:bookmarkEnd w:id="3741"/>
      <w:bookmarkEnd w:id="3742"/>
      <w:bookmarkEnd w:id="3743"/>
    </w:p>
    <w:p w14:paraId="207C8C0B">
      <w:r>
        <w:rPr>
          <w:rFonts w:hint="eastAsia"/>
        </w:rPr>
        <w:t>设备旁路部署时支持认证和阻断功能。旁路模式并不替换用户的路由器，也不提供任何NAT、DHCP或者DNS服务。通常部署在交换机旁边，通过镜像的方式，仅仅提供认证和阻断的功能。旁路模式不修改网络结构，不关心网络细节，关机也不掉线。</w:t>
      </w:r>
    </w:p>
    <w:p w14:paraId="65154AD3">
      <w:r>
        <w:rPr>
          <w:rFonts w:hint="eastAsia"/>
        </w:rPr>
        <w:t>适用一些密度高度集中的场所，如大型展会，大型推销活动，演唱会，火车站或者运动会等。</w:t>
      </w:r>
    </w:p>
    <w:p w14:paraId="7CE46FC5">
      <w:r>
        <w:rPr>
          <w:rFonts w:hint="eastAsia"/>
        </w:rPr>
        <w:t>对于没有认证的用户发送http</w:t>
      </w:r>
      <w:r>
        <w:t xml:space="preserve"> 302</w:t>
      </w:r>
      <w:r>
        <w:rPr>
          <w:rFonts w:hint="eastAsia"/>
        </w:rPr>
        <w:t>报文重定向。</w:t>
      </w:r>
    </w:p>
    <w:p w14:paraId="62A0C0B7">
      <w:r>
        <w:rPr>
          <w:rFonts w:hint="eastAsia"/>
        </w:rPr>
        <w:t>控制策略为拒绝时，对匹配到安全策略的T</w:t>
      </w:r>
      <w:r>
        <w:t>CP</w:t>
      </w:r>
      <w:r>
        <w:rPr>
          <w:rFonts w:hint="eastAsia"/>
        </w:rPr>
        <w:t>报文发送reset报文，阻止用户访问网络。</w:t>
      </w:r>
    </w:p>
    <w:p w14:paraId="4C0E18E7">
      <w:pPr>
        <w:pStyle w:val="6"/>
      </w:pPr>
      <w:bookmarkStart w:id="3744" w:name="_Toc3876686"/>
      <w:bookmarkEnd w:id="3744"/>
      <w:bookmarkStart w:id="3745" w:name="_Toc4691114"/>
      <w:bookmarkEnd w:id="3745"/>
      <w:bookmarkStart w:id="3746" w:name="_Toc4691175"/>
      <w:bookmarkEnd w:id="3746"/>
      <w:bookmarkStart w:id="3747" w:name="_Toc4691158"/>
      <w:bookmarkEnd w:id="3747"/>
      <w:bookmarkStart w:id="3748" w:name="_Toc3876688"/>
      <w:bookmarkEnd w:id="3748"/>
      <w:bookmarkStart w:id="3749" w:name="_Toc4750232"/>
      <w:bookmarkEnd w:id="3749"/>
      <w:bookmarkStart w:id="3750" w:name="_Toc3876687"/>
      <w:bookmarkEnd w:id="3750"/>
      <w:bookmarkStart w:id="3751" w:name="_Toc5037128"/>
      <w:bookmarkStart w:id="3752" w:name="_Toc15484898"/>
      <w:bookmarkStart w:id="3753" w:name="_Toc23152662"/>
      <w:bookmarkStart w:id="3754" w:name="_Toc40276095"/>
      <w:r>
        <w:rPr>
          <w:rFonts w:hint="eastAsia"/>
        </w:rPr>
        <w:t>配置旁路认证和阻断</w:t>
      </w:r>
      <w:bookmarkEnd w:id="3751"/>
      <w:bookmarkEnd w:id="3752"/>
      <w:bookmarkEnd w:id="3753"/>
      <w:bookmarkEnd w:id="3754"/>
    </w:p>
    <w:p w14:paraId="53DE2963">
      <w:r>
        <w:rPr>
          <w:rFonts w:hint="eastAsia"/>
        </w:rPr>
        <w:t>通过菜单“</w:t>
      </w:r>
      <w:r>
        <w:t>网络配置</w:t>
      </w:r>
      <w:r>
        <w:rPr>
          <w:rFonts w:hint="eastAsia"/>
        </w:rPr>
        <w:t xml:space="preserve"> &gt; 基础网络</w:t>
      </w:r>
      <w:r>
        <w:t xml:space="preserve"> &gt; </w:t>
      </w:r>
      <w:r>
        <w:rPr>
          <w:rFonts w:hint="eastAsia"/>
        </w:rPr>
        <w:t>部署方式 &gt;</w:t>
      </w:r>
      <w:r>
        <w:t xml:space="preserve"> </w:t>
      </w:r>
      <w:r>
        <w:rPr>
          <w:rFonts w:hint="eastAsia"/>
        </w:rPr>
        <w:t>高级配置”，进入如下图所示页面。在该页面上可以配置旁路认证和阻断相关功能。</w:t>
      </w:r>
    </w:p>
    <w:p w14:paraId="0CE6A225">
      <w:pPr>
        <w:pStyle w:val="188"/>
      </w:pPr>
      <w:r>
        <w:rPr>
          <w:rFonts w:hint="eastAsia"/>
        </w:rPr>
        <w:t>旁路认证配置页面</w:t>
      </w:r>
    </w:p>
    <w:p w14:paraId="06E71D7E">
      <w:pPr>
        <w:spacing w:before="79" w:after="79"/>
      </w:pPr>
      <w:r>
        <w:drawing>
          <wp:inline distT="0" distB="0" distL="114300" distR="114300">
            <wp:extent cx="3327400" cy="1727200"/>
            <wp:effectExtent l="0" t="0" r="0" b="0"/>
            <wp:docPr id="105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图片 135"/>
                    <pic:cNvPicPr>
                      <a:picLocks noChangeAspect="1"/>
                    </pic:cNvPicPr>
                  </pic:nvPicPr>
                  <pic:blipFill>
                    <a:blip r:embed="rId512"/>
                    <a:stretch>
                      <a:fillRect/>
                    </a:stretch>
                  </pic:blipFill>
                  <pic:spPr>
                    <a:xfrm>
                      <a:off x="0" y="0"/>
                      <a:ext cx="3327400" cy="1727200"/>
                    </a:xfrm>
                    <a:prstGeom prst="rect">
                      <a:avLst/>
                    </a:prstGeom>
                    <a:noFill/>
                    <a:ln>
                      <a:noFill/>
                    </a:ln>
                  </pic:spPr>
                </pic:pic>
              </a:graphicData>
            </a:graphic>
          </wp:inline>
        </w:drawing>
      </w:r>
    </w:p>
    <w:p w14:paraId="6B631927"/>
    <w:p w14:paraId="53C8D7B7">
      <w:pPr>
        <w:pStyle w:val="183"/>
      </w:pPr>
      <w:bookmarkStart w:id="3755" w:name="_Ref5808093"/>
      <w:r>
        <w:rPr>
          <w:rFonts w:hint="eastAsia"/>
        </w:rPr>
        <w:t>旁路认证和阻断配置项含义表</w:t>
      </w:r>
      <w:bookmarkEnd w:id="3755"/>
    </w:p>
    <w:tbl>
      <w:tblPr>
        <w:tblStyle w:val="173"/>
        <w:tblW w:w="791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248"/>
        <w:gridCol w:w="6662"/>
      </w:tblGrid>
      <w:tr w14:paraId="2F3F5F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248" w:type="dxa"/>
            <w:tcBorders>
              <w:tl2br w:val="nil"/>
              <w:tr2bl w:val="nil"/>
            </w:tcBorders>
            <w:shd w:val="clear" w:color="auto" w:fill="538135" w:themeFill="accent6" w:themeFillShade="BF"/>
            <w:vAlign w:val="center"/>
          </w:tcPr>
          <w:p w14:paraId="5B086CB5">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62" w:type="dxa"/>
            <w:tcBorders>
              <w:tl2br w:val="nil"/>
              <w:tr2bl w:val="nil"/>
            </w:tcBorders>
            <w:shd w:val="clear" w:color="auto" w:fill="538135" w:themeFill="accent6" w:themeFillShade="BF"/>
            <w:vAlign w:val="center"/>
          </w:tcPr>
          <w:p w14:paraId="6D3F44CD">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E5069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248" w:type="dxa"/>
            <w:shd w:val="clear" w:color="auto" w:fill="auto"/>
          </w:tcPr>
          <w:p w14:paraId="2D44D119">
            <w:pPr>
              <w:pStyle w:val="186"/>
              <w:widowControl w:val="0"/>
              <w:spacing w:line="240" w:lineRule="auto"/>
              <w:ind w:firstLine="0"/>
              <w:jc w:val="left"/>
            </w:pPr>
            <w:r>
              <w:rPr>
                <w:rFonts w:hint="eastAsia"/>
              </w:rPr>
              <w:t>旁路阻断</w:t>
            </w:r>
          </w:p>
        </w:tc>
        <w:tc>
          <w:tcPr>
            <w:tcW w:w="6662" w:type="dxa"/>
            <w:shd w:val="clear" w:color="auto" w:fill="auto"/>
          </w:tcPr>
          <w:p w14:paraId="4416809A">
            <w:pPr>
              <w:pStyle w:val="186"/>
              <w:widowControl w:val="0"/>
              <w:spacing w:line="240" w:lineRule="auto"/>
              <w:ind w:firstLine="0"/>
              <w:jc w:val="left"/>
            </w:pPr>
            <w:r>
              <w:rPr>
                <w:rFonts w:hint="eastAsia"/>
              </w:rPr>
              <w:t>旁路阻断开关，开启旁路阻断配合控制策略实现旁路阻断功能，默认为关闭。</w:t>
            </w:r>
          </w:p>
        </w:tc>
      </w:tr>
      <w:tr w14:paraId="437DDD2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248" w:type="dxa"/>
            <w:shd w:val="clear" w:color="auto" w:fill="auto"/>
          </w:tcPr>
          <w:p w14:paraId="5DEF90EF">
            <w:pPr>
              <w:pStyle w:val="186"/>
              <w:widowControl w:val="0"/>
              <w:spacing w:line="240" w:lineRule="auto"/>
              <w:ind w:firstLine="0"/>
              <w:jc w:val="left"/>
            </w:pPr>
            <w:r>
              <w:rPr>
                <w:rFonts w:hint="eastAsia"/>
              </w:rPr>
              <w:t>旁路认证</w:t>
            </w:r>
          </w:p>
        </w:tc>
        <w:tc>
          <w:tcPr>
            <w:tcW w:w="6662" w:type="dxa"/>
            <w:shd w:val="clear" w:color="auto" w:fill="auto"/>
          </w:tcPr>
          <w:p w14:paraId="4A97FAD0">
            <w:pPr>
              <w:pStyle w:val="186"/>
              <w:widowControl w:val="0"/>
              <w:spacing w:line="240" w:lineRule="auto"/>
              <w:ind w:firstLine="0"/>
              <w:jc w:val="left"/>
            </w:pPr>
            <w:r>
              <w:rPr>
                <w:rFonts w:hint="eastAsia"/>
              </w:rPr>
              <w:t>旁路认证开关，开启旁路认证配合用户认证实现旁路认证功能，默认为关闭</w:t>
            </w:r>
            <w:r>
              <w:t>。</w:t>
            </w:r>
          </w:p>
        </w:tc>
      </w:tr>
    </w:tbl>
    <w:p w14:paraId="4E9AB222"/>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16133715">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59E75315">
            <w:pPr>
              <w:pStyle w:val="150"/>
              <w:adjustRightInd w:val="0"/>
              <w:snapToGrid w:val="0"/>
              <w:rPr>
                <w:color w:val="auto"/>
              </w:rPr>
            </w:pPr>
            <w:r>
              <w:rPr>
                <w:b/>
                <w:color w:val="auto"/>
              </w:rPr>
              <w:drawing>
                <wp:inline distT="0" distB="0" distL="0" distR="0">
                  <wp:extent cx="283210" cy="283210"/>
                  <wp:effectExtent l="0" t="0" r="2540" b="2540"/>
                  <wp:docPr id="844" name="图片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图片 844"/>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26A254D2">
            <w:pPr>
              <w:pStyle w:val="207"/>
              <w:adjustRightInd w:val="0"/>
              <w:snapToGrid w:val="0"/>
              <w:rPr>
                <w:color w:val="auto"/>
                <w:lang w:eastAsia="zh-CN"/>
              </w:rPr>
            </w:pPr>
            <w:r>
              <w:rPr>
                <w:rFonts w:hint="eastAsia"/>
                <w:color w:val="auto"/>
                <w:lang w:eastAsia="zh-CN"/>
              </w:rPr>
              <w:t>用户认证策略和控制策略的源接口以及目的接口必须配置接收镜像流量的旁路部署接口或者是any。</w:t>
            </w:r>
          </w:p>
          <w:p w14:paraId="3C9CC233">
            <w:pPr>
              <w:pStyle w:val="207"/>
              <w:adjustRightInd w:val="0"/>
              <w:snapToGrid w:val="0"/>
              <w:rPr>
                <w:color w:val="auto"/>
                <w:lang w:eastAsia="zh-CN"/>
              </w:rPr>
            </w:pPr>
            <w:r>
              <w:rPr>
                <w:rFonts w:hint="eastAsia"/>
                <w:color w:val="auto"/>
                <w:lang w:eastAsia="zh-CN"/>
              </w:rPr>
              <w:t>旁路认证和阻断务必保证旁路设备到上网PC可达，否则功能无法使用。</w:t>
            </w:r>
          </w:p>
          <w:p w14:paraId="644A6BB7">
            <w:pPr>
              <w:pStyle w:val="207"/>
              <w:adjustRightInd w:val="0"/>
              <w:snapToGrid w:val="0"/>
              <w:rPr>
                <w:color w:val="auto"/>
                <w:lang w:eastAsia="zh-CN"/>
              </w:rPr>
            </w:pPr>
            <w:r>
              <w:rPr>
                <w:rFonts w:hint="eastAsia"/>
                <w:color w:val="auto"/>
                <w:lang w:eastAsia="zh-CN"/>
              </w:rPr>
              <w:t>旁路阻断只针对于TCP报文生效，对于UDP、ICMP等报文无法进行阻断。</w:t>
            </w:r>
          </w:p>
        </w:tc>
      </w:tr>
    </w:tbl>
    <w:p w14:paraId="7EF2A4EE"/>
    <w:p w14:paraId="3DAE42A3">
      <w:pPr>
        <w:pStyle w:val="4"/>
      </w:pPr>
      <w:bookmarkStart w:id="3756" w:name="_Toc474249976"/>
      <w:bookmarkStart w:id="3757" w:name="_Toc6237611"/>
      <w:bookmarkStart w:id="3758" w:name="_Toc15484899"/>
      <w:bookmarkStart w:id="3759" w:name="_Toc40276096"/>
      <w:bookmarkStart w:id="3760" w:name="_Toc99561573"/>
      <w:bookmarkStart w:id="3761" w:name="_Toc23152663"/>
      <w:bookmarkStart w:id="3762" w:name="_Toc141873485"/>
      <w:bookmarkStart w:id="3763" w:name="_Toc142401001"/>
      <w:bookmarkStart w:id="3764" w:name="_Toc172218236"/>
      <w:bookmarkStart w:id="3765" w:name="_Toc194080863"/>
      <w:bookmarkStart w:id="3766" w:name="_Toc196728195"/>
      <w:r>
        <w:rPr>
          <w:rFonts w:hint="eastAsia"/>
        </w:rPr>
        <w:t>VRF配置</w:t>
      </w:r>
      <w:bookmarkEnd w:id="3756"/>
      <w:bookmarkEnd w:id="3757"/>
      <w:bookmarkEnd w:id="3758"/>
      <w:bookmarkEnd w:id="3759"/>
      <w:bookmarkEnd w:id="3760"/>
      <w:bookmarkEnd w:id="3761"/>
      <w:bookmarkEnd w:id="3762"/>
      <w:bookmarkEnd w:id="3763"/>
      <w:bookmarkEnd w:id="3764"/>
      <w:bookmarkEnd w:id="3765"/>
      <w:bookmarkEnd w:id="3766"/>
    </w:p>
    <w:p w14:paraId="613F2A93">
      <w:pPr>
        <w:pStyle w:val="5"/>
      </w:pPr>
      <w:bookmarkStart w:id="3767" w:name="_Toc474249977"/>
      <w:bookmarkStart w:id="3768" w:name="_Toc141873486"/>
      <w:bookmarkStart w:id="3769" w:name="_Toc142401002"/>
      <w:bookmarkStart w:id="3770" w:name="_Toc40276097"/>
      <w:bookmarkStart w:id="3771" w:name="_Toc15484900"/>
      <w:bookmarkStart w:id="3772" w:name="_Toc172218237"/>
      <w:bookmarkStart w:id="3773" w:name="_Toc6237612"/>
      <w:bookmarkStart w:id="3774" w:name="_Toc99561574"/>
      <w:bookmarkStart w:id="3775" w:name="_Toc23152664"/>
      <w:bookmarkStart w:id="3776" w:name="_Toc194080864"/>
      <w:bookmarkStart w:id="3777" w:name="_Toc196728196"/>
      <w:r>
        <w:rPr>
          <w:rFonts w:hint="eastAsia"/>
        </w:rPr>
        <w:t>VRF简介</w:t>
      </w:r>
      <w:bookmarkEnd w:id="3767"/>
      <w:bookmarkEnd w:id="3768"/>
      <w:bookmarkEnd w:id="3769"/>
      <w:bookmarkEnd w:id="3770"/>
      <w:bookmarkEnd w:id="3771"/>
      <w:bookmarkEnd w:id="3772"/>
      <w:bookmarkEnd w:id="3773"/>
      <w:bookmarkEnd w:id="3774"/>
      <w:bookmarkEnd w:id="3775"/>
      <w:bookmarkEnd w:id="3776"/>
      <w:bookmarkEnd w:id="3777"/>
    </w:p>
    <w:p w14:paraId="4F512E8E">
      <w:r>
        <w:t>VRF</w:t>
      </w:r>
      <w:r>
        <w:rPr>
          <w:rFonts w:hint="eastAsia"/>
        </w:rPr>
        <w:t>：</w:t>
      </w:r>
      <w:r>
        <w:t>Virtual Routing Forwarding</w:t>
      </w:r>
      <w:r>
        <w:rPr>
          <w:rFonts w:hint="eastAsia"/>
        </w:rPr>
        <w:t>，</w:t>
      </w:r>
      <w:r>
        <w:t>VPN</w:t>
      </w:r>
      <w:r>
        <w:rPr>
          <w:rFonts w:hint="eastAsia"/>
        </w:rPr>
        <w:t>路由转发表，是一项计算机网络技术，它允许一个路由表的多个实例在同一时间同一个路由器共存。因为它的路由实例是独立的，可以使用相同的或者重叠的</w:t>
      </w:r>
      <w:r>
        <w:t>IP</w:t>
      </w:r>
      <w:r>
        <w:rPr>
          <w:rFonts w:hint="eastAsia"/>
        </w:rPr>
        <w:t>地址而不会产生冲突。</w:t>
      </w:r>
      <w:r>
        <w:t>VRF</w:t>
      </w:r>
      <w:r>
        <w:rPr>
          <w:rFonts w:hint="eastAsia"/>
        </w:rPr>
        <w:t>功能提供了从一台物理路由器变成多台虚拟路由器的功能。</w:t>
      </w:r>
    </w:p>
    <w:p w14:paraId="2C68AA6E"/>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6C0032E2">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416C3676">
            <w:pPr>
              <w:pStyle w:val="150"/>
              <w:adjustRightInd w:val="0"/>
              <w:snapToGrid w:val="0"/>
              <w:rPr>
                <w:color w:val="auto"/>
              </w:rPr>
            </w:pPr>
            <w:bookmarkStart w:id="3778" w:name="OLE_LINK25"/>
            <w:bookmarkStart w:id="3779" w:name="OLE_LINK26"/>
            <w:r>
              <w:rPr>
                <w:b/>
                <w:color w:val="00A0E9"/>
              </w:rPr>
              <w:drawing>
                <wp:inline distT="0" distB="0" distL="0" distR="0">
                  <wp:extent cx="260350" cy="260350"/>
                  <wp:effectExtent l="0" t="0" r="6350" b="6350"/>
                  <wp:docPr id="847" name="图片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图片 847"/>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0470" cy="260470"/>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425257D4">
            <w:pPr>
              <w:pStyle w:val="150"/>
              <w:adjustRightInd w:val="0"/>
              <w:snapToGrid w:val="0"/>
              <w:rPr>
                <w:color w:val="auto"/>
              </w:rPr>
            </w:pPr>
            <w:r>
              <w:rPr>
                <w:rFonts w:hint="eastAsia"/>
                <w:color w:val="auto"/>
              </w:rPr>
              <w:t>将接口加入VRF实例，会清除接口上已配置的IP地址，请谨慎操作。</w:t>
            </w:r>
          </w:p>
        </w:tc>
      </w:tr>
      <w:bookmarkEnd w:id="3778"/>
      <w:bookmarkEnd w:id="3779"/>
    </w:tbl>
    <w:p w14:paraId="5EA490D1"/>
    <w:p w14:paraId="465F0F09">
      <w:pPr>
        <w:pStyle w:val="5"/>
      </w:pPr>
      <w:bookmarkStart w:id="3780" w:name="_Toc6237613"/>
      <w:bookmarkStart w:id="3781" w:name="_Toc23152665"/>
      <w:bookmarkStart w:id="3782" w:name="_Toc474249978"/>
      <w:bookmarkStart w:id="3783" w:name="_Toc15484901"/>
      <w:bookmarkStart w:id="3784" w:name="_Toc99561575"/>
      <w:bookmarkStart w:id="3785" w:name="_Toc141873487"/>
      <w:bookmarkStart w:id="3786" w:name="_Toc142401003"/>
      <w:bookmarkStart w:id="3787" w:name="_Toc196728197"/>
      <w:bookmarkStart w:id="3788" w:name="_Toc172218238"/>
      <w:bookmarkStart w:id="3789" w:name="_Toc194080865"/>
      <w:bookmarkStart w:id="3790" w:name="_Toc40276098"/>
      <w:r>
        <w:rPr>
          <w:rFonts w:hint="eastAsia"/>
        </w:rPr>
        <w:t>VRF显示</w:t>
      </w:r>
      <w:bookmarkEnd w:id="3780"/>
      <w:bookmarkEnd w:id="3781"/>
      <w:bookmarkEnd w:id="3782"/>
      <w:bookmarkEnd w:id="3783"/>
      <w:bookmarkEnd w:id="3784"/>
      <w:bookmarkEnd w:id="3785"/>
      <w:bookmarkEnd w:id="3786"/>
      <w:bookmarkEnd w:id="3787"/>
      <w:bookmarkEnd w:id="3788"/>
      <w:bookmarkEnd w:id="3789"/>
      <w:bookmarkEnd w:id="3790"/>
    </w:p>
    <w:p w14:paraId="47D09447">
      <w:r>
        <w:rPr>
          <w:rFonts w:hint="eastAsia"/>
        </w:rPr>
        <w:t>通过菜单“网络配置 &gt; 基础网络 &gt; VRF配置”，进入到</w:t>
      </w:r>
      <w:r>
        <w:t>VRF</w:t>
      </w:r>
      <w:r>
        <w:rPr>
          <w:rFonts w:hint="eastAsia"/>
        </w:rPr>
        <w:t>显示界面，查看设备上配置的所有VRF。默认所有接口都属于root实例。</w:t>
      </w:r>
    </w:p>
    <w:p w14:paraId="27D530A0">
      <w:pPr>
        <w:pStyle w:val="188"/>
      </w:pPr>
      <w:bookmarkStart w:id="3791" w:name="_Ref393791670"/>
      <w:bookmarkStart w:id="3792" w:name="_Toc141874719"/>
      <w:r>
        <w:rPr>
          <w:rFonts w:hint="eastAsia"/>
        </w:rPr>
        <w:t>VRF显示界面</w:t>
      </w:r>
      <w:bookmarkEnd w:id="3791"/>
      <w:bookmarkEnd w:id="3792"/>
    </w:p>
    <w:p w14:paraId="38B732E2">
      <w:r>
        <w:drawing>
          <wp:inline distT="0" distB="0" distL="0" distR="0">
            <wp:extent cx="5400040" cy="831215"/>
            <wp:effectExtent l="0" t="0" r="0" b="6985"/>
            <wp:docPr id="4959"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9" name="图片 274"/>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a:xfrm>
                      <a:off x="0" y="0"/>
                      <a:ext cx="5400040" cy="831421"/>
                    </a:xfrm>
                    <a:prstGeom prst="rect">
                      <a:avLst/>
                    </a:prstGeom>
                    <a:noFill/>
                    <a:ln>
                      <a:noFill/>
                    </a:ln>
                  </pic:spPr>
                </pic:pic>
              </a:graphicData>
            </a:graphic>
          </wp:inline>
        </w:drawing>
      </w:r>
    </w:p>
    <w:p w14:paraId="6727C9E3"/>
    <w:p w14:paraId="7C78F5BC">
      <w:pPr>
        <w:pStyle w:val="5"/>
      </w:pPr>
      <w:bookmarkStart w:id="3793" w:name="_Toc99561576"/>
      <w:bookmarkStart w:id="3794" w:name="_Toc15484902"/>
      <w:bookmarkStart w:id="3795" w:name="_Toc172218239"/>
      <w:bookmarkStart w:id="3796" w:name="_Toc141873488"/>
      <w:bookmarkStart w:id="3797" w:name="_Toc196728198"/>
      <w:bookmarkStart w:id="3798" w:name="_Toc194080866"/>
      <w:bookmarkStart w:id="3799" w:name="_Toc142401004"/>
      <w:bookmarkStart w:id="3800" w:name="_Toc474249979"/>
      <w:bookmarkStart w:id="3801" w:name="_Toc40276099"/>
      <w:bookmarkStart w:id="3802" w:name="_Toc23152666"/>
      <w:bookmarkStart w:id="3803" w:name="_Toc6237614"/>
      <w:r>
        <w:rPr>
          <w:rFonts w:hint="eastAsia"/>
        </w:rPr>
        <w:t>VRF添加</w:t>
      </w:r>
      <w:bookmarkEnd w:id="3793"/>
      <w:bookmarkEnd w:id="3794"/>
      <w:bookmarkEnd w:id="3795"/>
      <w:bookmarkEnd w:id="3796"/>
      <w:bookmarkEnd w:id="3797"/>
      <w:bookmarkEnd w:id="3798"/>
      <w:bookmarkEnd w:id="3799"/>
      <w:bookmarkEnd w:id="3800"/>
      <w:bookmarkEnd w:id="3801"/>
      <w:bookmarkEnd w:id="3802"/>
      <w:bookmarkEnd w:id="3803"/>
    </w:p>
    <w:p w14:paraId="47781932">
      <w:r>
        <w:rPr>
          <w:rFonts w:hint="eastAsia"/>
        </w:rPr>
        <w:t>通过菜单“网络配置 &gt; 基础网络 &gt; VRF配置”，点击</w:t>
      </w:r>
      <w:r>
        <w:t>&lt;</w:t>
      </w:r>
      <w:r>
        <w:rPr>
          <w:rFonts w:hint="eastAsia"/>
        </w:rPr>
        <w:t>新建</w:t>
      </w:r>
      <w:r>
        <w:t>&gt;</w:t>
      </w:r>
      <w:r>
        <w:rPr>
          <w:rFonts w:hint="eastAsia"/>
        </w:rPr>
        <w:t>按钮，页面切换到</w:t>
      </w:r>
      <w:r>
        <w:t>VRF</w:t>
      </w:r>
      <w:r>
        <w:rPr>
          <w:rFonts w:hint="eastAsia"/>
        </w:rPr>
        <w:t>新建页面，如</w:t>
      </w:r>
      <w:r>
        <w:fldChar w:fldCharType="begin"/>
      </w:r>
      <w:r>
        <w:instrText xml:space="preserve"> REF _Ref393791710 \r \h  \* MERGEFORMAT </w:instrText>
      </w:r>
      <w:r>
        <w:fldChar w:fldCharType="separate"/>
      </w:r>
      <w:r>
        <w:rPr>
          <w:rFonts w:hint="eastAsia"/>
        </w:rPr>
        <w:t>图11-52</w:t>
      </w:r>
      <w:r>
        <w:fldChar w:fldCharType="end"/>
      </w:r>
      <w:r>
        <w:rPr>
          <w:rFonts w:hint="eastAsia"/>
        </w:rPr>
        <w:t>所示。</w:t>
      </w:r>
    </w:p>
    <w:p w14:paraId="656B5C38">
      <w:pPr>
        <w:pStyle w:val="188"/>
      </w:pPr>
      <w:bookmarkStart w:id="3804" w:name="_Ref393791710"/>
      <w:bookmarkStart w:id="3805" w:name="_Toc141874720"/>
      <w:r>
        <w:rPr>
          <w:rFonts w:hint="eastAsia"/>
        </w:rPr>
        <w:t>VRF新建界面</w:t>
      </w:r>
      <w:bookmarkEnd w:id="3804"/>
      <w:bookmarkEnd w:id="3805"/>
    </w:p>
    <w:p w14:paraId="62BDAE01">
      <w:r>
        <w:drawing>
          <wp:inline distT="0" distB="0" distL="0" distR="0">
            <wp:extent cx="5400040" cy="2747010"/>
            <wp:effectExtent l="0" t="0" r="0" b="0"/>
            <wp:docPr id="4960" name="图片 4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0" name="图片 4960"/>
                    <pic:cNvPicPr>
                      <a:picLocks noChangeAspect="1"/>
                    </pic:cNvPicPr>
                  </pic:nvPicPr>
                  <pic:blipFill>
                    <a:blip r:embed="rId514"/>
                    <a:stretch>
                      <a:fillRect/>
                    </a:stretch>
                  </pic:blipFill>
                  <pic:spPr>
                    <a:xfrm>
                      <a:off x="0" y="0"/>
                      <a:ext cx="5400040" cy="2747084"/>
                    </a:xfrm>
                    <a:prstGeom prst="rect">
                      <a:avLst/>
                    </a:prstGeom>
                  </pic:spPr>
                </pic:pic>
              </a:graphicData>
            </a:graphic>
          </wp:inline>
        </w:drawing>
      </w:r>
    </w:p>
    <w:p w14:paraId="21C93827"/>
    <w:p w14:paraId="3F7BF733">
      <w:pPr>
        <w:pStyle w:val="183"/>
      </w:pPr>
      <w:bookmarkStart w:id="3806" w:name="_Toc141875541"/>
      <w:r>
        <w:rPr>
          <w:rFonts w:hint="eastAsia"/>
        </w:rPr>
        <w:t>VRF配置说明</w:t>
      </w:r>
      <w:bookmarkEnd w:id="3806"/>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781"/>
        <w:gridCol w:w="7187"/>
      </w:tblGrid>
      <w:tr w14:paraId="173E5A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tcBorders>
              <w:tl2br w:val="nil"/>
              <w:tr2bl w:val="nil"/>
            </w:tcBorders>
            <w:shd w:val="clear" w:color="auto" w:fill="538135" w:themeFill="accent6" w:themeFillShade="BF"/>
            <w:vAlign w:val="center"/>
          </w:tcPr>
          <w:p w14:paraId="11C740DD">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7187" w:type="dxa"/>
            <w:tcBorders>
              <w:tl2br w:val="nil"/>
              <w:tr2bl w:val="nil"/>
            </w:tcBorders>
            <w:shd w:val="clear" w:color="auto" w:fill="538135" w:themeFill="accent6" w:themeFillShade="BF"/>
            <w:vAlign w:val="center"/>
          </w:tcPr>
          <w:p w14:paraId="24100FE4">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4C33B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shd w:val="clear" w:color="auto" w:fill="auto"/>
          </w:tcPr>
          <w:p w14:paraId="4E2C1EB6">
            <w:pPr>
              <w:pStyle w:val="186"/>
              <w:widowControl w:val="0"/>
              <w:spacing w:line="240" w:lineRule="auto"/>
              <w:ind w:firstLine="0"/>
              <w:jc w:val="left"/>
            </w:pPr>
            <w:r>
              <w:rPr>
                <w:rFonts w:hint="eastAsia"/>
              </w:rPr>
              <w:t>VRF名称</w:t>
            </w:r>
          </w:p>
        </w:tc>
        <w:tc>
          <w:tcPr>
            <w:tcW w:w="7187" w:type="dxa"/>
            <w:shd w:val="clear" w:color="auto" w:fill="auto"/>
          </w:tcPr>
          <w:p w14:paraId="0DA31758">
            <w:pPr>
              <w:pStyle w:val="186"/>
              <w:widowControl w:val="0"/>
              <w:spacing w:line="240" w:lineRule="auto"/>
              <w:ind w:firstLine="0"/>
              <w:jc w:val="left"/>
            </w:pPr>
            <w:r>
              <w:rPr>
                <w:rFonts w:hint="eastAsia"/>
              </w:rPr>
              <w:t>要创建的VRF名称</w:t>
            </w:r>
          </w:p>
        </w:tc>
      </w:tr>
      <w:tr w14:paraId="13DB07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shd w:val="clear" w:color="auto" w:fill="auto"/>
          </w:tcPr>
          <w:p w14:paraId="10D511E0">
            <w:pPr>
              <w:pStyle w:val="186"/>
              <w:widowControl w:val="0"/>
              <w:spacing w:line="240" w:lineRule="auto"/>
              <w:ind w:firstLine="0"/>
              <w:jc w:val="left"/>
            </w:pPr>
            <w:r>
              <w:rPr>
                <w:rFonts w:hint="eastAsia"/>
              </w:rPr>
              <w:t>接口列表</w:t>
            </w:r>
          </w:p>
        </w:tc>
        <w:tc>
          <w:tcPr>
            <w:tcW w:w="7187" w:type="dxa"/>
            <w:shd w:val="clear" w:color="auto" w:fill="auto"/>
          </w:tcPr>
          <w:p w14:paraId="591B706D">
            <w:pPr>
              <w:pStyle w:val="186"/>
              <w:widowControl w:val="0"/>
              <w:spacing w:line="240" w:lineRule="auto"/>
              <w:ind w:firstLine="0"/>
              <w:jc w:val="left"/>
            </w:pPr>
            <w:r>
              <w:rPr>
                <w:rFonts w:hint="eastAsia"/>
              </w:rPr>
              <w:t>左侧框内为可以加入这个VRF的接口的列表</w:t>
            </w:r>
          </w:p>
          <w:p w14:paraId="0CB4EC54">
            <w:pPr>
              <w:pStyle w:val="186"/>
              <w:widowControl w:val="0"/>
              <w:spacing w:line="240" w:lineRule="auto"/>
              <w:ind w:firstLine="0"/>
              <w:jc w:val="left"/>
            </w:pPr>
            <w:r>
              <w:rPr>
                <w:rFonts w:hint="eastAsia"/>
              </w:rPr>
              <w:t>右侧框内为已经加入该VRF的接口的列表</w:t>
            </w:r>
          </w:p>
        </w:tc>
      </w:tr>
    </w:tbl>
    <w:p w14:paraId="54ACD101"/>
    <w:p w14:paraId="04DAFBAB">
      <w:pPr>
        <w:pStyle w:val="4"/>
      </w:pPr>
      <w:bookmarkStart w:id="3807" w:name="_Toc40276165"/>
      <w:bookmarkStart w:id="3808" w:name="_Toc23152732"/>
      <w:bookmarkStart w:id="3809" w:name="_Toc6235115"/>
      <w:bookmarkStart w:id="3810" w:name="_Toc15484968"/>
      <w:bookmarkStart w:id="3811" w:name="_Toc196728199"/>
      <w:bookmarkStart w:id="3812" w:name="_Toc141873489"/>
      <w:bookmarkStart w:id="3813" w:name="_Toc172218240"/>
      <w:bookmarkStart w:id="3814" w:name="_Toc99561580"/>
      <w:bookmarkStart w:id="3815" w:name="_Toc142401005"/>
      <w:bookmarkStart w:id="3816" w:name="_Toc194080867"/>
      <w:r>
        <w:rPr>
          <w:rFonts w:hint="eastAsia"/>
        </w:rPr>
        <w:t>IPv6</w:t>
      </w:r>
      <w:bookmarkEnd w:id="3807"/>
      <w:bookmarkEnd w:id="3808"/>
      <w:bookmarkEnd w:id="3809"/>
      <w:bookmarkEnd w:id="3810"/>
      <w:r>
        <w:rPr>
          <w:rFonts w:hint="eastAsia"/>
        </w:rPr>
        <w:t>网络</w:t>
      </w:r>
      <w:bookmarkEnd w:id="3811"/>
      <w:bookmarkEnd w:id="3812"/>
      <w:bookmarkEnd w:id="3813"/>
      <w:bookmarkEnd w:id="3814"/>
      <w:bookmarkEnd w:id="3815"/>
      <w:bookmarkEnd w:id="3816"/>
    </w:p>
    <w:p w14:paraId="5FF57C9A">
      <w:r>
        <w:rPr>
          <w:rFonts w:hint="eastAsia"/>
        </w:rPr>
        <w:t>IPv6是Internet Protocol Version 6的缩写，是IETF组织设计的用于替代现行版本IP协议（IPv4）的下一代IP协议。IPv4地址只有32位，最大的问题在于网络地址资源有限，严重制约了互联网的应用和发展。IPv6地址为128位，不仅能解决网络地址资源数量的问题，而且支持更多的服务类型，解决了多种设备接入互联网的障碍。</w:t>
      </w:r>
    </w:p>
    <w:p w14:paraId="67BA0399">
      <w:pPr>
        <w:pStyle w:val="5"/>
      </w:pPr>
      <w:bookmarkStart w:id="3817" w:name="_Toc6235119"/>
      <w:bookmarkStart w:id="3818" w:name="_Toc15484972"/>
      <w:bookmarkStart w:id="3819" w:name="_Toc23152736"/>
      <w:bookmarkStart w:id="3820" w:name="_Toc194080868"/>
      <w:bookmarkStart w:id="3821" w:name="_Toc99561584"/>
      <w:bookmarkStart w:id="3822" w:name="_Toc196728200"/>
      <w:bookmarkStart w:id="3823" w:name="_Toc142401006"/>
      <w:bookmarkStart w:id="3824" w:name="_Toc40276169"/>
      <w:bookmarkStart w:id="3825" w:name="_Toc172218241"/>
      <w:bookmarkStart w:id="3826" w:name="_Toc141873490"/>
      <w:bookmarkStart w:id="3827" w:name="_Toc23152733"/>
      <w:bookmarkStart w:id="3828" w:name="_Toc389059522"/>
      <w:bookmarkStart w:id="3829" w:name="_Toc40276166"/>
      <w:bookmarkStart w:id="3830" w:name="_Toc15484969"/>
      <w:bookmarkStart w:id="3831" w:name="_Toc99561581"/>
      <w:bookmarkStart w:id="3832" w:name="_Toc389750217"/>
      <w:bookmarkStart w:id="3833" w:name="_Toc6235116"/>
      <w:r>
        <w:rPr>
          <w:rFonts w:hint="eastAsia"/>
        </w:rPr>
        <w:t>IPv6路由表</w:t>
      </w:r>
      <w:bookmarkEnd w:id="3817"/>
      <w:bookmarkEnd w:id="3818"/>
      <w:bookmarkEnd w:id="3819"/>
      <w:bookmarkEnd w:id="3820"/>
      <w:bookmarkEnd w:id="3821"/>
      <w:bookmarkEnd w:id="3822"/>
      <w:bookmarkEnd w:id="3823"/>
      <w:bookmarkEnd w:id="3824"/>
      <w:bookmarkEnd w:id="3825"/>
      <w:bookmarkEnd w:id="3826"/>
    </w:p>
    <w:p w14:paraId="6628F4BF">
      <w:r>
        <w:rPr>
          <w:rFonts w:hint="eastAsia"/>
        </w:rPr>
        <w:t>通过菜单“网络配置 &gt; 基础网络 &gt; IPv6网络 &gt; IPv6路由表”，进入IPv6路由表，如</w:t>
      </w:r>
      <w:r>
        <w:rPr>
          <w:color w:val="0000FF"/>
          <w:u w:val="single"/>
        </w:rPr>
        <w:fldChar w:fldCharType="begin"/>
      </w:r>
      <w:r>
        <w:rPr>
          <w:color w:val="0000FF"/>
          <w:u w:val="single"/>
        </w:rPr>
        <w:instrText xml:space="preserve"> </w:instrText>
      </w:r>
      <w:r>
        <w:rPr>
          <w:rFonts w:hint="eastAsia"/>
          <w:color w:val="0000FF"/>
          <w:u w:val="single"/>
        </w:rPr>
        <w:instrText xml:space="preserve">REF _Ref393119420 \r \h</w:instrText>
      </w:r>
      <w:r>
        <w:rPr>
          <w:color w:val="0000FF"/>
          <w:u w:val="single"/>
        </w:rPr>
        <w:instrText xml:space="preserve"> </w:instrText>
      </w:r>
      <w:r>
        <w:rPr>
          <w:color w:val="0000FF"/>
          <w:u w:val="single"/>
        </w:rPr>
        <w:fldChar w:fldCharType="separate"/>
      </w:r>
      <w:r>
        <w:rPr>
          <w:rFonts w:hint="eastAsia"/>
          <w:color w:val="0000FF"/>
          <w:u w:val="single"/>
        </w:rPr>
        <w:t>图11-53</w:t>
      </w:r>
      <w:r>
        <w:rPr>
          <w:color w:val="0000FF"/>
          <w:u w:val="single"/>
        </w:rPr>
        <w:fldChar w:fldCharType="end"/>
      </w:r>
      <w:r>
        <w:rPr>
          <w:rFonts w:hint="eastAsia"/>
        </w:rPr>
        <w:t>所示。在该页面上可以浏览所有IPv6路由。</w:t>
      </w:r>
    </w:p>
    <w:p w14:paraId="4C42405E">
      <w:pPr>
        <w:pStyle w:val="188"/>
      </w:pPr>
      <w:bookmarkStart w:id="3834" w:name="_Ref393119420"/>
      <w:bookmarkStart w:id="3835" w:name="_Toc141874721"/>
      <w:r>
        <w:rPr>
          <w:rFonts w:hint="eastAsia"/>
        </w:rPr>
        <w:t>IPv6路由表</w:t>
      </w:r>
      <w:bookmarkEnd w:id="3834"/>
      <w:bookmarkEnd w:id="3835"/>
    </w:p>
    <w:p w14:paraId="24AC2F17">
      <w:r>
        <w:drawing>
          <wp:inline distT="0" distB="0" distL="0" distR="0">
            <wp:extent cx="5543550" cy="962660"/>
            <wp:effectExtent l="0" t="0" r="0" b="8890"/>
            <wp:docPr id="1211" name="图片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 name="图片 1211"/>
                    <pic:cNvPicPr>
                      <a:picLocks noChangeAspect="1"/>
                    </pic:cNvPicPr>
                  </pic:nvPicPr>
                  <pic:blipFill>
                    <a:blip r:embed="rId515"/>
                    <a:stretch>
                      <a:fillRect/>
                    </a:stretch>
                  </pic:blipFill>
                  <pic:spPr>
                    <a:xfrm>
                      <a:off x="0" y="0"/>
                      <a:ext cx="5583900" cy="969753"/>
                    </a:xfrm>
                    <a:prstGeom prst="rect">
                      <a:avLst/>
                    </a:prstGeom>
                  </pic:spPr>
                </pic:pic>
              </a:graphicData>
            </a:graphic>
          </wp:inline>
        </w:drawing>
      </w:r>
    </w:p>
    <w:p w14:paraId="7C975021"/>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7EC7240B">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138BE0AF">
            <w:pPr>
              <w:pStyle w:val="150"/>
              <w:adjustRightInd w:val="0"/>
              <w:snapToGrid w:val="0"/>
              <w:rPr>
                <w:color w:val="auto"/>
              </w:rPr>
            </w:pPr>
            <w:r>
              <w:rPr>
                <w:b/>
                <w:color w:val="auto"/>
              </w:rPr>
              <w:drawing>
                <wp:inline distT="0" distB="0" distL="0" distR="0">
                  <wp:extent cx="283210" cy="283210"/>
                  <wp:effectExtent l="0" t="0" r="2540" b="2540"/>
                  <wp:docPr id="849" name="图片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图片 849"/>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17940E93">
            <w:pPr>
              <w:pStyle w:val="150"/>
              <w:adjustRightInd w:val="0"/>
              <w:snapToGrid w:val="0"/>
              <w:rPr>
                <w:color w:val="auto"/>
              </w:rPr>
            </w:pPr>
            <w:r>
              <w:rPr>
                <w:color w:val="auto"/>
              </w:rPr>
              <w:drawing>
                <wp:inline distT="0" distB="0" distL="0" distR="0">
                  <wp:extent cx="114300" cy="123825"/>
                  <wp:effectExtent l="0" t="0" r="0" b="0"/>
                  <wp:docPr id="851" name="图片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图片 851"/>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a:xfrm>
                            <a:off x="0" y="0"/>
                            <a:ext cx="114300" cy="123825"/>
                          </a:xfrm>
                          <a:prstGeom prst="rect">
                            <a:avLst/>
                          </a:prstGeom>
                          <a:noFill/>
                          <a:ln>
                            <a:noFill/>
                          </a:ln>
                        </pic:spPr>
                      </pic:pic>
                    </a:graphicData>
                  </a:graphic>
                </wp:inline>
              </w:drawing>
            </w:r>
            <w:r>
              <w:rPr>
                <w:rFonts w:hint="eastAsia"/>
                <w:color w:val="auto"/>
              </w:rPr>
              <w:t>：该图标表示该条静态路由有效。</w:t>
            </w:r>
          </w:p>
          <w:p w14:paraId="78375BBC">
            <w:pPr>
              <w:pStyle w:val="150"/>
              <w:adjustRightInd w:val="0"/>
              <w:snapToGrid w:val="0"/>
              <w:rPr>
                <w:color w:val="auto"/>
              </w:rPr>
            </w:pPr>
            <w:r>
              <w:rPr>
                <w:color w:val="auto"/>
              </w:rPr>
              <w:drawing>
                <wp:inline distT="0" distB="0" distL="0" distR="0">
                  <wp:extent cx="123825" cy="123825"/>
                  <wp:effectExtent l="0" t="0" r="0" b="0"/>
                  <wp:docPr id="852" name="图片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图片 852"/>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a:xfrm>
                            <a:off x="0" y="0"/>
                            <a:ext cx="123825" cy="123825"/>
                          </a:xfrm>
                          <a:prstGeom prst="rect">
                            <a:avLst/>
                          </a:prstGeom>
                          <a:noFill/>
                          <a:ln>
                            <a:noFill/>
                          </a:ln>
                        </pic:spPr>
                      </pic:pic>
                    </a:graphicData>
                  </a:graphic>
                </wp:inline>
              </w:drawing>
            </w:r>
            <w:r>
              <w:rPr>
                <w:rFonts w:hint="eastAsia"/>
                <w:color w:val="auto"/>
              </w:rPr>
              <w:t>：该图标表示该条静态路由无效。</w:t>
            </w:r>
          </w:p>
        </w:tc>
      </w:tr>
    </w:tbl>
    <w:p w14:paraId="72B87AE2"/>
    <w:p w14:paraId="2873753E">
      <w:r>
        <w:rPr>
          <w:rFonts w:hint="eastAsia"/>
        </w:rPr>
        <w:t>设备支持通过以下几种方式获取IPv6路由：</w:t>
      </w:r>
    </w:p>
    <w:p w14:paraId="7065964D">
      <w:pPr>
        <w:pStyle w:val="162"/>
      </w:pPr>
      <w:r>
        <w:rPr>
          <w:rFonts w:hint="eastAsia"/>
        </w:rPr>
        <w:t>IPv6静态路由，指定目的网段和下一跳即可生成IPv6路由</w:t>
      </w:r>
    </w:p>
    <w:p w14:paraId="0443EC75">
      <w:pPr>
        <w:pStyle w:val="162"/>
      </w:pPr>
      <w:r>
        <w:rPr>
          <w:rFonts w:hint="eastAsia"/>
        </w:rPr>
        <w:t>IPv6路由通告</w:t>
      </w:r>
    </w:p>
    <w:p w14:paraId="3CD2E7F2">
      <w:pPr>
        <w:pStyle w:val="162"/>
      </w:pPr>
      <w:r>
        <w:rPr>
          <w:rFonts w:hint="eastAsia"/>
        </w:rPr>
        <w:t>IPv6隧道，IPv6手工隧道、isatap和6to4隧道模式均会生成IPv6路由</w:t>
      </w:r>
    </w:p>
    <w:p w14:paraId="02190589">
      <w:pPr>
        <w:pStyle w:val="162"/>
      </w:pPr>
      <w:r>
        <w:rPr>
          <w:rFonts w:hint="eastAsia"/>
        </w:rPr>
        <w:t>直连路由。</w:t>
      </w:r>
    </w:p>
    <w:p w14:paraId="14F60B59"/>
    <w:p w14:paraId="3E1E201D">
      <w:pPr>
        <w:pStyle w:val="5"/>
      </w:pPr>
      <w:bookmarkStart w:id="3836" w:name="_Toc99561583"/>
      <w:bookmarkStart w:id="3837" w:name="_Toc6235118"/>
      <w:bookmarkStart w:id="3838" w:name="_Toc196728201"/>
      <w:bookmarkStart w:id="3839" w:name="_Toc389059530"/>
      <w:bookmarkStart w:id="3840" w:name="_Toc389750225"/>
      <w:bookmarkStart w:id="3841" w:name="_Toc23152735"/>
      <w:bookmarkStart w:id="3842" w:name="_Toc40276168"/>
      <w:bookmarkStart w:id="3843" w:name="_Toc141873491"/>
      <w:bookmarkStart w:id="3844" w:name="_Toc172218242"/>
      <w:bookmarkStart w:id="3845" w:name="_Toc15484971"/>
      <w:bookmarkStart w:id="3846" w:name="_Toc194080869"/>
      <w:bookmarkStart w:id="3847" w:name="_Toc142401007"/>
      <w:r>
        <w:rPr>
          <w:rFonts w:hint="eastAsia"/>
        </w:rPr>
        <w:t>IPv6静态路由</w:t>
      </w:r>
      <w:bookmarkEnd w:id="3836"/>
      <w:bookmarkEnd w:id="3837"/>
      <w:bookmarkEnd w:id="3838"/>
      <w:bookmarkEnd w:id="3839"/>
      <w:bookmarkEnd w:id="3840"/>
      <w:bookmarkEnd w:id="3841"/>
      <w:bookmarkEnd w:id="3842"/>
      <w:bookmarkEnd w:id="3843"/>
      <w:bookmarkEnd w:id="3844"/>
      <w:bookmarkEnd w:id="3845"/>
      <w:bookmarkEnd w:id="3846"/>
      <w:bookmarkEnd w:id="3847"/>
    </w:p>
    <w:p w14:paraId="24C2CDA8">
      <w:r>
        <w:rPr>
          <w:rFonts w:hint="eastAsia"/>
        </w:rPr>
        <w:t>通过菜单“网络配置 &gt; 基础网络 &gt; IPv6网络 &gt; IPv6静态路由”，进入IPv6静态路由页面，如</w:t>
      </w:r>
      <w:r>
        <w:rPr>
          <w:color w:val="0000FF"/>
          <w:u w:val="single"/>
        </w:rPr>
        <w:fldChar w:fldCharType="begin"/>
      </w:r>
      <w:r>
        <w:rPr>
          <w:color w:val="0000FF"/>
          <w:u w:val="single"/>
        </w:rPr>
        <w:instrText xml:space="preserve"> </w:instrText>
      </w:r>
      <w:r>
        <w:rPr>
          <w:rFonts w:hint="eastAsia"/>
          <w:color w:val="0000FF"/>
          <w:u w:val="single"/>
        </w:rPr>
        <w:instrText xml:space="preserve">REF _Ref393118570 \r \h</w:instrText>
      </w:r>
      <w:r>
        <w:rPr>
          <w:color w:val="0000FF"/>
          <w:u w:val="single"/>
        </w:rPr>
        <w:instrText xml:space="preserve"> </w:instrText>
      </w:r>
      <w:r>
        <w:rPr>
          <w:color w:val="0000FF"/>
          <w:u w:val="single"/>
        </w:rPr>
        <w:fldChar w:fldCharType="separate"/>
      </w:r>
      <w:r>
        <w:rPr>
          <w:rFonts w:hint="eastAsia"/>
          <w:color w:val="0000FF"/>
          <w:u w:val="single"/>
        </w:rPr>
        <w:t>图11-54</w:t>
      </w:r>
      <w:r>
        <w:rPr>
          <w:color w:val="0000FF"/>
          <w:u w:val="single"/>
        </w:rPr>
        <w:fldChar w:fldCharType="end"/>
      </w:r>
      <w:r>
        <w:rPr>
          <w:rFonts w:hint="eastAsia"/>
        </w:rPr>
        <w:t>所示。在该页面上可以新建、删除、浏览IPv6静态路由。</w:t>
      </w:r>
    </w:p>
    <w:p w14:paraId="605866B1">
      <w:pPr>
        <w:pStyle w:val="188"/>
      </w:pPr>
      <w:bookmarkStart w:id="3848" w:name="_Ref393118570"/>
      <w:bookmarkStart w:id="3849" w:name="_Toc141874722"/>
      <w:r>
        <w:rPr>
          <w:rFonts w:hint="eastAsia"/>
        </w:rPr>
        <w:t>IPv6静态路由页面</w:t>
      </w:r>
      <w:bookmarkEnd w:id="3848"/>
      <w:bookmarkEnd w:id="3849"/>
    </w:p>
    <w:p w14:paraId="3A688B23">
      <w:r>
        <w:drawing>
          <wp:inline distT="0" distB="0" distL="0" distR="0">
            <wp:extent cx="5648325" cy="748665"/>
            <wp:effectExtent l="0" t="0" r="0" b="0"/>
            <wp:docPr id="1205" name="图片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 name="图片 1205"/>
                    <pic:cNvPicPr>
                      <a:picLocks noChangeAspect="1"/>
                    </pic:cNvPicPr>
                  </pic:nvPicPr>
                  <pic:blipFill>
                    <a:blip r:embed="rId518"/>
                    <a:stretch>
                      <a:fillRect/>
                    </a:stretch>
                  </pic:blipFill>
                  <pic:spPr>
                    <a:xfrm>
                      <a:off x="0" y="0"/>
                      <a:ext cx="5691185" cy="754574"/>
                    </a:xfrm>
                    <a:prstGeom prst="rect">
                      <a:avLst/>
                    </a:prstGeom>
                  </pic:spPr>
                </pic:pic>
              </a:graphicData>
            </a:graphic>
          </wp:inline>
        </w:drawing>
      </w:r>
    </w:p>
    <w:p w14:paraId="57AE9AB3"/>
    <w:p w14:paraId="6071AED3">
      <w:r>
        <w:rPr>
          <w:rFonts w:hint="eastAsia"/>
        </w:rPr>
        <w:t>点击&lt;新建&gt;按钮，进入IPv6静态路由的新建页面，如</w:t>
      </w:r>
      <w:r>
        <w:fldChar w:fldCharType="begin"/>
      </w:r>
      <w:r>
        <w:instrText xml:space="preserve"> </w:instrText>
      </w:r>
      <w:r>
        <w:rPr>
          <w:rFonts w:hint="eastAsia"/>
        </w:rPr>
        <w:instrText xml:space="preserve">REF _Ref393118583 \r \h</w:instrText>
      </w:r>
      <w:r>
        <w:instrText xml:space="preserve"> </w:instrText>
      </w:r>
      <w:r>
        <w:fldChar w:fldCharType="separate"/>
      </w:r>
      <w:r>
        <w:rPr>
          <w:rFonts w:hint="eastAsia"/>
        </w:rPr>
        <w:t>图11-55</w:t>
      </w:r>
      <w:r>
        <w:fldChar w:fldCharType="end"/>
      </w:r>
      <w:r>
        <w:rPr>
          <w:rFonts w:hint="eastAsia"/>
        </w:rPr>
        <w:t>所示。各个配置项的含义如</w:t>
      </w:r>
      <w:r>
        <w:fldChar w:fldCharType="begin"/>
      </w:r>
      <w:r>
        <w:instrText xml:space="preserve"> </w:instrText>
      </w:r>
      <w:r>
        <w:rPr>
          <w:rFonts w:hint="eastAsia"/>
        </w:rPr>
        <w:instrText xml:space="preserve">REF _Ref393118592 \r \h</w:instrText>
      </w:r>
      <w:r>
        <w:instrText xml:space="preserve"> </w:instrText>
      </w:r>
      <w:r>
        <w:fldChar w:fldCharType="separate"/>
      </w:r>
      <w:r>
        <w:rPr>
          <w:rFonts w:hint="eastAsia"/>
        </w:rPr>
        <w:t>表11-1</w:t>
      </w:r>
      <w:r>
        <w:fldChar w:fldCharType="end"/>
      </w:r>
      <w:r>
        <w:rPr>
          <w:rFonts w:hint="eastAsia"/>
        </w:rPr>
        <w:t>所示。</w:t>
      </w:r>
    </w:p>
    <w:p w14:paraId="044CC0C7">
      <w:pPr>
        <w:pStyle w:val="188"/>
      </w:pPr>
      <w:bookmarkStart w:id="3850" w:name="_Ref393118583"/>
      <w:bookmarkStart w:id="3851" w:name="_Toc141874723"/>
      <w:r>
        <w:rPr>
          <w:rFonts w:hint="eastAsia"/>
        </w:rPr>
        <w:t>IPv6静态路由新建页面</w:t>
      </w:r>
      <w:bookmarkEnd w:id="3850"/>
      <w:bookmarkEnd w:id="3851"/>
    </w:p>
    <w:p w14:paraId="0F8C49E5">
      <w:r>
        <w:drawing>
          <wp:inline distT="0" distB="0" distL="114300" distR="114300">
            <wp:extent cx="4806950" cy="2508250"/>
            <wp:effectExtent l="0" t="0" r="6350" b="6350"/>
            <wp:docPr id="106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图片 140"/>
                    <pic:cNvPicPr>
                      <a:picLocks noChangeAspect="1"/>
                    </pic:cNvPicPr>
                  </pic:nvPicPr>
                  <pic:blipFill>
                    <a:blip r:embed="rId519"/>
                    <a:stretch>
                      <a:fillRect/>
                    </a:stretch>
                  </pic:blipFill>
                  <pic:spPr>
                    <a:xfrm>
                      <a:off x="0" y="0"/>
                      <a:ext cx="4806950" cy="2508250"/>
                    </a:xfrm>
                    <a:prstGeom prst="rect">
                      <a:avLst/>
                    </a:prstGeom>
                    <a:noFill/>
                    <a:ln>
                      <a:noFill/>
                    </a:ln>
                  </pic:spPr>
                </pic:pic>
              </a:graphicData>
            </a:graphic>
          </wp:inline>
        </w:drawing>
      </w:r>
    </w:p>
    <w:p w14:paraId="13FB8121"/>
    <w:p w14:paraId="3295858A">
      <w:pPr>
        <w:pStyle w:val="183"/>
      </w:pPr>
      <w:bookmarkStart w:id="3852" w:name="_Ref393118592"/>
      <w:bookmarkStart w:id="3853" w:name="_Toc141875542"/>
      <w:r>
        <w:rPr>
          <w:rFonts w:hint="eastAsia"/>
        </w:rPr>
        <w:t>IPv6静态路由各项配置含义描述表</w:t>
      </w:r>
      <w:bookmarkEnd w:id="3852"/>
      <w:bookmarkEnd w:id="3853"/>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627"/>
        <w:gridCol w:w="6387"/>
      </w:tblGrid>
      <w:tr w14:paraId="445398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627" w:type="dxa"/>
            <w:tcBorders>
              <w:tl2br w:val="nil"/>
              <w:tr2bl w:val="nil"/>
            </w:tcBorders>
            <w:shd w:val="clear" w:color="auto" w:fill="538135" w:themeFill="accent6" w:themeFillShade="BF"/>
            <w:vAlign w:val="center"/>
          </w:tcPr>
          <w:p w14:paraId="2D30BB9A">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387" w:type="dxa"/>
            <w:tcBorders>
              <w:tl2br w:val="nil"/>
              <w:tr2bl w:val="nil"/>
            </w:tcBorders>
            <w:shd w:val="clear" w:color="auto" w:fill="538135" w:themeFill="accent6" w:themeFillShade="BF"/>
            <w:vAlign w:val="center"/>
          </w:tcPr>
          <w:p w14:paraId="4199CCD3">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8933C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627" w:type="dxa"/>
            <w:shd w:val="clear" w:color="auto" w:fill="auto"/>
          </w:tcPr>
          <w:p w14:paraId="560430FA">
            <w:pPr>
              <w:pStyle w:val="186"/>
              <w:widowControl w:val="0"/>
              <w:spacing w:line="240" w:lineRule="auto"/>
              <w:ind w:firstLine="0"/>
              <w:jc w:val="left"/>
            </w:pPr>
            <w:r>
              <w:t>目的前缀</w:t>
            </w:r>
          </w:p>
        </w:tc>
        <w:tc>
          <w:tcPr>
            <w:tcW w:w="6387" w:type="dxa"/>
            <w:shd w:val="clear" w:color="auto" w:fill="auto"/>
          </w:tcPr>
          <w:p w14:paraId="79D7D855">
            <w:pPr>
              <w:pStyle w:val="186"/>
              <w:widowControl w:val="0"/>
              <w:spacing w:line="240" w:lineRule="auto"/>
              <w:ind w:firstLine="0"/>
              <w:jc w:val="left"/>
            </w:pPr>
            <w:r>
              <w:rPr>
                <w:rFonts w:hint="eastAsia"/>
              </w:rPr>
              <w:t>静态路由的目的网络前缀。</w:t>
            </w:r>
          </w:p>
        </w:tc>
      </w:tr>
      <w:tr w14:paraId="34B344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627" w:type="dxa"/>
            <w:shd w:val="clear" w:color="auto" w:fill="auto"/>
          </w:tcPr>
          <w:p w14:paraId="73794C29">
            <w:pPr>
              <w:pStyle w:val="186"/>
              <w:widowControl w:val="0"/>
              <w:spacing w:line="240" w:lineRule="auto"/>
              <w:ind w:firstLine="0"/>
              <w:jc w:val="left"/>
            </w:pPr>
            <w:r>
              <w:t>掩码长度</w:t>
            </w:r>
          </w:p>
        </w:tc>
        <w:tc>
          <w:tcPr>
            <w:tcW w:w="6387" w:type="dxa"/>
            <w:shd w:val="clear" w:color="auto" w:fill="auto"/>
          </w:tcPr>
          <w:p w14:paraId="0F6BC6B8">
            <w:pPr>
              <w:pStyle w:val="186"/>
              <w:widowControl w:val="0"/>
              <w:spacing w:line="240" w:lineRule="auto"/>
              <w:ind w:firstLine="0"/>
              <w:jc w:val="left"/>
            </w:pPr>
            <w:r>
              <w:rPr>
                <w:rFonts w:hint="eastAsia"/>
              </w:rPr>
              <w:t>静态路由的目的网络的前缀长度。</w:t>
            </w:r>
          </w:p>
        </w:tc>
      </w:tr>
      <w:tr w14:paraId="1155BC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627" w:type="dxa"/>
            <w:shd w:val="clear" w:color="auto" w:fill="auto"/>
          </w:tcPr>
          <w:p w14:paraId="5C4C640B">
            <w:pPr>
              <w:pStyle w:val="186"/>
              <w:widowControl w:val="0"/>
              <w:spacing w:line="240" w:lineRule="auto"/>
              <w:ind w:firstLine="0"/>
              <w:jc w:val="left"/>
            </w:pPr>
            <w:r>
              <w:t>下一跳</w:t>
            </w:r>
            <w:r>
              <w:rPr>
                <w:rFonts w:hint="eastAsia"/>
              </w:rPr>
              <w:t>/出接口</w:t>
            </w:r>
          </w:p>
        </w:tc>
        <w:tc>
          <w:tcPr>
            <w:tcW w:w="6387" w:type="dxa"/>
            <w:shd w:val="clear" w:color="auto" w:fill="auto"/>
          </w:tcPr>
          <w:p w14:paraId="79A6DC13">
            <w:pPr>
              <w:pStyle w:val="186"/>
              <w:widowControl w:val="0"/>
              <w:spacing w:line="240" w:lineRule="auto"/>
              <w:ind w:firstLine="0"/>
              <w:jc w:val="left"/>
            </w:pPr>
            <w:r>
              <w:rPr>
                <w:rFonts w:hint="eastAsia"/>
              </w:rPr>
              <w:t>静态路由的下一跳，为IP地址或接口。</w:t>
            </w:r>
          </w:p>
        </w:tc>
      </w:tr>
      <w:tr w14:paraId="5F9EE4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627" w:type="dxa"/>
            <w:shd w:val="clear" w:color="auto" w:fill="auto"/>
          </w:tcPr>
          <w:p w14:paraId="21215DDF">
            <w:pPr>
              <w:pStyle w:val="186"/>
              <w:widowControl w:val="0"/>
              <w:spacing w:line="240" w:lineRule="auto"/>
              <w:ind w:firstLine="0"/>
              <w:jc w:val="left"/>
            </w:pPr>
            <w:r>
              <w:t>下一跳</w:t>
            </w:r>
          </w:p>
        </w:tc>
        <w:tc>
          <w:tcPr>
            <w:tcW w:w="6387" w:type="dxa"/>
            <w:shd w:val="clear" w:color="auto" w:fill="auto"/>
          </w:tcPr>
          <w:p w14:paraId="181B0516">
            <w:pPr>
              <w:pStyle w:val="186"/>
              <w:widowControl w:val="0"/>
              <w:spacing w:line="240" w:lineRule="auto"/>
              <w:ind w:firstLine="0"/>
              <w:jc w:val="left"/>
            </w:pPr>
            <w:r>
              <w:rPr>
                <w:rFonts w:hint="eastAsia"/>
              </w:rPr>
              <w:t>静态路由的下一跳使用指定的地址作为网关地址。</w:t>
            </w:r>
          </w:p>
        </w:tc>
      </w:tr>
      <w:tr w14:paraId="41BAE5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627" w:type="dxa"/>
            <w:shd w:val="clear" w:color="auto" w:fill="auto"/>
          </w:tcPr>
          <w:p w14:paraId="6DC3F9D4">
            <w:pPr>
              <w:pStyle w:val="186"/>
              <w:widowControl w:val="0"/>
              <w:spacing w:line="240" w:lineRule="auto"/>
              <w:ind w:firstLine="0"/>
              <w:jc w:val="left"/>
            </w:pPr>
            <w:r>
              <w:t>出接口</w:t>
            </w:r>
          </w:p>
        </w:tc>
        <w:tc>
          <w:tcPr>
            <w:tcW w:w="6387" w:type="dxa"/>
            <w:shd w:val="clear" w:color="auto" w:fill="auto"/>
          </w:tcPr>
          <w:p w14:paraId="12542923">
            <w:pPr>
              <w:pStyle w:val="186"/>
              <w:widowControl w:val="0"/>
              <w:spacing w:line="240" w:lineRule="auto"/>
              <w:ind w:firstLine="0"/>
              <w:jc w:val="left"/>
            </w:pPr>
            <w:r>
              <w:rPr>
                <w:rFonts w:hint="eastAsia"/>
              </w:rPr>
              <w:t>静态路由的下一跳使用指定的接口作为下一跳的出接口。</w:t>
            </w:r>
          </w:p>
        </w:tc>
      </w:tr>
      <w:tr w14:paraId="3990DE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627" w:type="dxa"/>
            <w:shd w:val="clear" w:color="auto" w:fill="auto"/>
          </w:tcPr>
          <w:p w14:paraId="3A062BA5">
            <w:pPr>
              <w:pStyle w:val="186"/>
              <w:widowControl w:val="0"/>
              <w:spacing w:line="240" w:lineRule="auto"/>
              <w:ind w:firstLine="0"/>
              <w:jc w:val="left"/>
            </w:pPr>
            <w:r>
              <w:rPr>
                <w:rFonts w:hint="eastAsia"/>
              </w:rPr>
              <w:t>权重</w:t>
            </w:r>
          </w:p>
        </w:tc>
        <w:tc>
          <w:tcPr>
            <w:tcW w:w="6387" w:type="dxa"/>
            <w:shd w:val="clear" w:color="auto" w:fill="auto"/>
          </w:tcPr>
          <w:p w14:paraId="19C51A5B">
            <w:pPr>
              <w:pStyle w:val="186"/>
              <w:widowControl w:val="0"/>
              <w:spacing w:line="240" w:lineRule="auto"/>
              <w:ind w:firstLine="0"/>
              <w:jc w:val="left"/>
            </w:pPr>
            <w:r>
              <w:rPr>
                <w:rFonts w:hint="eastAsia"/>
              </w:rPr>
              <w:t>设置IPv6静态路由的权重，取值范围1~255。如果存在多个下一跳负载均衡，权重越大，该条路由命中的概率就越大。</w:t>
            </w:r>
          </w:p>
        </w:tc>
      </w:tr>
      <w:tr w14:paraId="0DEEF9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627" w:type="dxa"/>
            <w:shd w:val="clear" w:color="auto" w:fill="auto"/>
          </w:tcPr>
          <w:p w14:paraId="05B43B8E">
            <w:pPr>
              <w:pStyle w:val="186"/>
              <w:widowControl w:val="0"/>
              <w:spacing w:line="240" w:lineRule="auto"/>
              <w:ind w:firstLine="0"/>
              <w:jc w:val="left"/>
            </w:pPr>
            <w:r>
              <w:rPr>
                <w:rFonts w:hint="eastAsia"/>
              </w:rPr>
              <w:t>距离</w:t>
            </w:r>
          </w:p>
        </w:tc>
        <w:tc>
          <w:tcPr>
            <w:tcW w:w="6387" w:type="dxa"/>
            <w:shd w:val="clear" w:color="auto" w:fill="auto"/>
          </w:tcPr>
          <w:p w14:paraId="6E5D5767">
            <w:pPr>
              <w:pStyle w:val="186"/>
              <w:widowControl w:val="0"/>
              <w:spacing w:line="240" w:lineRule="auto"/>
              <w:ind w:firstLine="0"/>
              <w:jc w:val="left"/>
            </w:pPr>
            <w:r>
              <w:rPr>
                <w:rFonts w:hint="eastAsia"/>
              </w:rPr>
              <w:t>指定IPv6静态路由的管理距离，取值范围1~255。管理距离是指路由协议的路由可信度。每种路由协议按可靠性从高到低依次分配一个信任等级，这个信任等级就叫管理距离。正常情况下，管理距离越小，优先级就越高，也就是可信度越高。对于两种不同的路由协议到同一个目的地的路由信息，路由器会优先选择管理距离小的路由。</w:t>
            </w:r>
          </w:p>
        </w:tc>
      </w:tr>
    </w:tbl>
    <w:p w14:paraId="23EDA4BD"/>
    <w:p w14:paraId="6ED5AB4B">
      <w:pPr>
        <w:pStyle w:val="5"/>
      </w:pPr>
      <w:bookmarkStart w:id="3854" w:name="_Toc196728202"/>
      <w:bookmarkStart w:id="3855" w:name="_Toc172218243"/>
      <w:bookmarkStart w:id="3856" w:name="_Toc194080870"/>
      <w:bookmarkStart w:id="3857" w:name="_Toc141873492"/>
      <w:bookmarkStart w:id="3858" w:name="_Toc142401008"/>
      <w:r>
        <w:rPr>
          <w:rFonts w:hint="eastAsia"/>
        </w:rPr>
        <w:t>IPv6 路由通告</w:t>
      </w:r>
      <w:bookmarkEnd w:id="3827"/>
      <w:bookmarkEnd w:id="3828"/>
      <w:bookmarkEnd w:id="3829"/>
      <w:bookmarkEnd w:id="3830"/>
      <w:bookmarkEnd w:id="3831"/>
      <w:bookmarkEnd w:id="3832"/>
      <w:bookmarkEnd w:id="3833"/>
      <w:bookmarkEnd w:id="3854"/>
      <w:bookmarkEnd w:id="3855"/>
      <w:bookmarkEnd w:id="3856"/>
      <w:bookmarkEnd w:id="3857"/>
      <w:bookmarkEnd w:id="3858"/>
    </w:p>
    <w:p w14:paraId="161944C6">
      <w:r>
        <w:rPr>
          <w:rFonts w:hint="eastAsia"/>
        </w:rPr>
        <w:t>通过菜单“网络配置 &gt; 基础网络 &gt; IPv6网络 &gt; IPv6路由通告”，进入路由通告信息显示页面。如</w:t>
      </w:r>
      <w:r>
        <w:rPr>
          <w:color w:val="0000FF"/>
          <w:u w:val="single"/>
        </w:rPr>
        <w:fldChar w:fldCharType="begin"/>
      </w:r>
      <w:r>
        <w:rPr>
          <w:color w:val="0000FF"/>
          <w:u w:val="single"/>
        </w:rPr>
        <w:instrText xml:space="preserve"> </w:instrText>
      </w:r>
      <w:r>
        <w:rPr>
          <w:rFonts w:hint="eastAsia"/>
          <w:color w:val="0000FF"/>
          <w:u w:val="single"/>
        </w:rPr>
        <w:instrText xml:space="preserve">REF _Ref393111973 \r \h</w:instrText>
      </w:r>
      <w:r>
        <w:rPr>
          <w:color w:val="0000FF"/>
          <w:u w:val="single"/>
        </w:rPr>
        <w:instrText xml:space="preserve"> </w:instrText>
      </w:r>
      <w:r>
        <w:rPr>
          <w:color w:val="0000FF"/>
          <w:u w:val="single"/>
        </w:rPr>
        <w:fldChar w:fldCharType="separate"/>
      </w:r>
      <w:r>
        <w:rPr>
          <w:rFonts w:hint="eastAsia"/>
          <w:color w:val="0000FF"/>
          <w:u w:val="single"/>
        </w:rPr>
        <w:t>图11-56</w:t>
      </w:r>
      <w:r>
        <w:rPr>
          <w:color w:val="0000FF"/>
          <w:u w:val="single"/>
        </w:rPr>
        <w:fldChar w:fldCharType="end"/>
      </w:r>
      <w:r>
        <w:rPr>
          <w:rFonts w:hint="eastAsia"/>
        </w:rPr>
        <w:t>所示。</w:t>
      </w:r>
    </w:p>
    <w:p w14:paraId="62702264">
      <w:pPr>
        <w:pStyle w:val="188"/>
      </w:pPr>
      <w:bookmarkStart w:id="3859" w:name="_Ref393111973"/>
      <w:bookmarkStart w:id="3860" w:name="_Toc141874724"/>
      <w:r>
        <w:rPr>
          <w:rFonts w:hint="eastAsia"/>
        </w:rPr>
        <w:t>IPv6路由通告信息显示</w:t>
      </w:r>
      <w:bookmarkEnd w:id="3859"/>
      <w:bookmarkEnd w:id="3860"/>
    </w:p>
    <w:p w14:paraId="02E43498">
      <w:r>
        <w:drawing>
          <wp:inline distT="0" distB="0" distL="0" distR="0">
            <wp:extent cx="5600700" cy="2075815"/>
            <wp:effectExtent l="0" t="0" r="0" b="635"/>
            <wp:docPr id="1199" name="图片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 name="图片 1199"/>
                    <pic:cNvPicPr>
                      <a:picLocks noChangeAspect="1"/>
                    </pic:cNvPicPr>
                  </pic:nvPicPr>
                  <pic:blipFill>
                    <a:blip r:embed="rId520"/>
                    <a:stretch>
                      <a:fillRect/>
                    </a:stretch>
                  </pic:blipFill>
                  <pic:spPr>
                    <a:xfrm>
                      <a:off x="0" y="0"/>
                      <a:ext cx="5624241" cy="2084802"/>
                    </a:xfrm>
                    <a:prstGeom prst="rect">
                      <a:avLst/>
                    </a:prstGeom>
                  </pic:spPr>
                </pic:pic>
              </a:graphicData>
            </a:graphic>
          </wp:inline>
        </w:drawing>
      </w:r>
    </w:p>
    <w:p w14:paraId="07C24BAB"/>
    <w:p w14:paraId="43DD8530">
      <w:r>
        <w:rPr>
          <w:rFonts w:hint="eastAsia"/>
        </w:rPr>
        <w:t>点击&lt;编辑&gt;按钮，进入如</w:t>
      </w:r>
      <w:r>
        <w:fldChar w:fldCharType="begin"/>
      </w:r>
      <w:r>
        <w:instrText xml:space="preserve"> </w:instrText>
      </w:r>
      <w:r>
        <w:rPr>
          <w:rFonts w:hint="eastAsia"/>
        </w:rPr>
        <w:instrText xml:space="preserve">REF _Ref393115265 \r \h</w:instrText>
      </w:r>
      <w:r>
        <w:instrText xml:space="preserve"> </w:instrText>
      </w:r>
      <w:r>
        <w:fldChar w:fldCharType="separate"/>
      </w:r>
      <w:r>
        <w:rPr>
          <w:rFonts w:hint="eastAsia"/>
        </w:rPr>
        <w:t>图11-57</w:t>
      </w:r>
      <w:r>
        <w:fldChar w:fldCharType="end"/>
      </w:r>
      <w:r>
        <w:rPr>
          <w:rFonts w:hint="eastAsia"/>
        </w:rPr>
        <w:t>所示的路由通告信息配置页面。各个配置项的含义如</w:t>
      </w:r>
      <w:r>
        <w:fldChar w:fldCharType="begin"/>
      </w:r>
      <w:r>
        <w:instrText xml:space="preserve"> </w:instrText>
      </w:r>
      <w:r>
        <w:rPr>
          <w:rFonts w:hint="eastAsia"/>
        </w:rPr>
        <w:instrText xml:space="preserve">REF _Ref393115287 \r \h</w:instrText>
      </w:r>
      <w:r>
        <w:instrText xml:space="preserve"> </w:instrText>
      </w:r>
      <w:r>
        <w:fldChar w:fldCharType="separate"/>
      </w:r>
      <w:r>
        <w:rPr>
          <w:rFonts w:hint="eastAsia"/>
        </w:rPr>
        <w:t>表11-1</w:t>
      </w:r>
      <w:r>
        <w:fldChar w:fldCharType="end"/>
      </w:r>
      <w:r>
        <w:rPr>
          <w:rFonts w:hint="eastAsia"/>
        </w:rPr>
        <w:t>所示。</w:t>
      </w:r>
    </w:p>
    <w:p w14:paraId="244B5766">
      <w:pPr>
        <w:pStyle w:val="188"/>
      </w:pPr>
      <w:bookmarkStart w:id="3861" w:name="_Ref393115265"/>
      <w:bookmarkStart w:id="3862" w:name="_Toc141874725"/>
      <w:r>
        <w:t>路由通告配置页面</w:t>
      </w:r>
      <w:bookmarkEnd w:id="3861"/>
      <w:bookmarkEnd w:id="3862"/>
    </w:p>
    <w:p w14:paraId="7964ADDB">
      <w:r>
        <w:drawing>
          <wp:inline distT="0" distB="0" distL="0" distR="0">
            <wp:extent cx="5400040" cy="4816475"/>
            <wp:effectExtent l="0" t="0" r="0" b="3175"/>
            <wp:docPr id="4962" name="图片 4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2" name="图片 4962"/>
                    <pic:cNvPicPr>
                      <a:picLocks noChangeAspect="1"/>
                    </pic:cNvPicPr>
                  </pic:nvPicPr>
                  <pic:blipFill>
                    <a:blip r:embed="rId521"/>
                    <a:stretch>
                      <a:fillRect/>
                    </a:stretch>
                  </pic:blipFill>
                  <pic:spPr>
                    <a:xfrm>
                      <a:off x="0" y="0"/>
                      <a:ext cx="5400040" cy="4816782"/>
                    </a:xfrm>
                    <a:prstGeom prst="rect">
                      <a:avLst/>
                    </a:prstGeom>
                  </pic:spPr>
                </pic:pic>
              </a:graphicData>
            </a:graphic>
          </wp:inline>
        </w:drawing>
      </w:r>
    </w:p>
    <w:p w14:paraId="266EA78A"/>
    <w:p w14:paraId="7E1E3212">
      <w:pPr>
        <w:pStyle w:val="183"/>
      </w:pPr>
      <w:bookmarkStart w:id="3863" w:name="_Ref393115287"/>
      <w:bookmarkStart w:id="3864" w:name="_Toc141875543"/>
      <w:r>
        <w:t>路由通告信息配置项含义描述表</w:t>
      </w:r>
      <w:bookmarkEnd w:id="3863"/>
      <w:bookmarkEnd w:id="3864"/>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790"/>
        <w:gridCol w:w="7224"/>
      </w:tblGrid>
      <w:tr w14:paraId="6C43BFC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tcBorders>
              <w:tl2br w:val="nil"/>
              <w:tr2bl w:val="nil"/>
            </w:tcBorders>
            <w:shd w:val="clear" w:color="auto" w:fill="538135" w:themeFill="accent6" w:themeFillShade="BF"/>
            <w:vAlign w:val="center"/>
          </w:tcPr>
          <w:p w14:paraId="6773CDAE">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187" w:type="dxa"/>
            <w:tcBorders>
              <w:tl2br w:val="nil"/>
              <w:tr2bl w:val="nil"/>
            </w:tcBorders>
            <w:shd w:val="clear" w:color="auto" w:fill="538135" w:themeFill="accent6" w:themeFillShade="BF"/>
            <w:vAlign w:val="center"/>
          </w:tcPr>
          <w:p w14:paraId="60A670D7">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5D8DF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7E20D655">
            <w:pPr>
              <w:pStyle w:val="186"/>
              <w:widowControl w:val="0"/>
              <w:spacing w:line="240" w:lineRule="auto"/>
              <w:ind w:firstLine="0"/>
              <w:jc w:val="left"/>
            </w:pPr>
            <w:r>
              <w:rPr>
                <w:rFonts w:hint="eastAsia"/>
              </w:rPr>
              <w:t>接口名称</w:t>
            </w:r>
          </w:p>
        </w:tc>
        <w:tc>
          <w:tcPr>
            <w:tcW w:w="7187" w:type="dxa"/>
            <w:shd w:val="clear" w:color="auto" w:fill="auto"/>
          </w:tcPr>
          <w:p w14:paraId="4CCB7F20">
            <w:pPr>
              <w:pStyle w:val="186"/>
              <w:widowControl w:val="0"/>
              <w:spacing w:line="240" w:lineRule="auto"/>
              <w:ind w:firstLine="0"/>
              <w:jc w:val="left"/>
            </w:pPr>
            <w:r>
              <w:t>配置发布路由通告的接口名称。</w:t>
            </w:r>
          </w:p>
        </w:tc>
      </w:tr>
      <w:tr w14:paraId="7F52FBF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5BFEE754">
            <w:pPr>
              <w:pStyle w:val="186"/>
              <w:widowControl w:val="0"/>
              <w:spacing w:line="240" w:lineRule="auto"/>
              <w:ind w:firstLine="0"/>
              <w:jc w:val="left"/>
            </w:pPr>
            <w:r>
              <w:t>发布路由通告</w:t>
            </w:r>
          </w:p>
        </w:tc>
        <w:tc>
          <w:tcPr>
            <w:tcW w:w="7187" w:type="dxa"/>
            <w:shd w:val="clear" w:color="auto" w:fill="auto"/>
          </w:tcPr>
          <w:p w14:paraId="5CFD5FD9">
            <w:pPr>
              <w:pStyle w:val="186"/>
              <w:widowControl w:val="0"/>
              <w:spacing w:line="240" w:lineRule="auto"/>
              <w:ind w:firstLine="0"/>
              <w:jc w:val="left"/>
            </w:pPr>
            <w:r>
              <w:rPr>
                <w:rFonts w:hint="eastAsia"/>
              </w:rPr>
              <w:t>是否发布路由通告，如果选中，则发布，否则不发布。</w:t>
            </w:r>
          </w:p>
        </w:tc>
      </w:tr>
      <w:tr w14:paraId="2982DB0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2D9947C4">
            <w:pPr>
              <w:pStyle w:val="186"/>
              <w:widowControl w:val="0"/>
              <w:spacing w:line="240" w:lineRule="auto"/>
              <w:ind w:firstLine="0"/>
              <w:jc w:val="left"/>
            </w:pPr>
            <w:r>
              <w:t>发布间隔</w:t>
            </w:r>
          </w:p>
        </w:tc>
        <w:tc>
          <w:tcPr>
            <w:tcW w:w="7187" w:type="dxa"/>
            <w:shd w:val="clear" w:color="auto" w:fill="auto"/>
          </w:tcPr>
          <w:p w14:paraId="6C62E89E">
            <w:pPr>
              <w:pStyle w:val="186"/>
              <w:widowControl w:val="0"/>
              <w:spacing w:line="240" w:lineRule="auto"/>
              <w:ind w:firstLine="0"/>
              <w:jc w:val="left"/>
            </w:pPr>
            <w:r>
              <w:rPr>
                <w:rFonts w:hint="eastAsia"/>
              </w:rPr>
              <w:t>配置发布路由通告的最大间隔，最小间隔是最大时间间隔的三分之一。</w:t>
            </w:r>
          </w:p>
        </w:tc>
      </w:tr>
      <w:tr w14:paraId="08B71F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1C187488">
            <w:pPr>
              <w:pStyle w:val="186"/>
              <w:widowControl w:val="0"/>
              <w:spacing w:line="240" w:lineRule="auto"/>
              <w:ind w:firstLine="0"/>
              <w:jc w:val="left"/>
            </w:pPr>
            <w:r>
              <w:t>默认路由器时间</w:t>
            </w:r>
          </w:p>
        </w:tc>
        <w:tc>
          <w:tcPr>
            <w:tcW w:w="7187" w:type="dxa"/>
            <w:shd w:val="clear" w:color="auto" w:fill="auto"/>
          </w:tcPr>
          <w:p w14:paraId="713B3D9A">
            <w:pPr>
              <w:pStyle w:val="186"/>
              <w:widowControl w:val="0"/>
              <w:spacing w:line="240" w:lineRule="auto"/>
              <w:ind w:firstLine="0"/>
              <w:jc w:val="left"/>
            </w:pPr>
            <w:r>
              <w:rPr>
                <w:rFonts w:hint="eastAsia"/>
              </w:rPr>
              <w:t>PC把发布通告的路由器作为默认路由的下一跳的时间。</w:t>
            </w:r>
          </w:p>
        </w:tc>
      </w:tr>
      <w:tr w14:paraId="32AC175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74451F81">
            <w:pPr>
              <w:pStyle w:val="186"/>
              <w:widowControl w:val="0"/>
              <w:spacing w:line="240" w:lineRule="auto"/>
              <w:ind w:firstLine="0"/>
              <w:jc w:val="left"/>
            </w:pPr>
            <w:r>
              <w:t>邻居可达时间</w:t>
            </w:r>
          </w:p>
        </w:tc>
        <w:tc>
          <w:tcPr>
            <w:tcW w:w="7187" w:type="dxa"/>
            <w:shd w:val="clear" w:color="auto" w:fill="auto"/>
          </w:tcPr>
          <w:p w14:paraId="1AD684A9">
            <w:pPr>
              <w:pStyle w:val="186"/>
              <w:widowControl w:val="0"/>
              <w:spacing w:line="240" w:lineRule="auto"/>
              <w:ind w:firstLine="0"/>
              <w:jc w:val="left"/>
            </w:pPr>
            <w:r>
              <w:rPr>
                <w:rFonts w:hint="eastAsia"/>
              </w:rPr>
              <w:t>通告的邻居可达时间，如果为0，则表示路由器不指定邻居可达时间。</w:t>
            </w:r>
          </w:p>
        </w:tc>
      </w:tr>
      <w:tr w14:paraId="4E9B670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0F085D8B">
            <w:pPr>
              <w:pStyle w:val="186"/>
              <w:widowControl w:val="0"/>
              <w:spacing w:line="240" w:lineRule="auto"/>
              <w:ind w:firstLine="0"/>
              <w:jc w:val="left"/>
            </w:pPr>
            <w:r>
              <w:rPr>
                <w:rFonts w:hint="eastAsia"/>
              </w:rPr>
              <w:t>NS重传间隔</w:t>
            </w:r>
          </w:p>
        </w:tc>
        <w:tc>
          <w:tcPr>
            <w:tcW w:w="7187" w:type="dxa"/>
            <w:shd w:val="clear" w:color="auto" w:fill="auto"/>
          </w:tcPr>
          <w:p w14:paraId="4EF9576A">
            <w:pPr>
              <w:pStyle w:val="186"/>
              <w:widowControl w:val="0"/>
              <w:spacing w:line="240" w:lineRule="auto"/>
              <w:ind w:firstLine="0"/>
              <w:jc w:val="left"/>
            </w:pPr>
            <w:r>
              <w:rPr>
                <w:rFonts w:hint="eastAsia"/>
              </w:rPr>
              <w:t>通告的NS重传间隔，如果为0，则表示路由器不指定NS重传间隔。</w:t>
            </w:r>
          </w:p>
        </w:tc>
      </w:tr>
      <w:tr w14:paraId="171BF2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3ACB87FA">
            <w:pPr>
              <w:pStyle w:val="186"/>
              <w:widowControl w:val="0"/>
              <w:spacing w:line="240" w:lineRule="auto"/>
              <w:ind w:firstLine="0"/>
              <w:jc w:val="left"/>
            </w:pPr>
            <w:r>
              <w:rPr>
                <w:rFonts w:hint="eastAsia"/>
              </w:rPr>
              <w:t>MTU</w:t>
            </w:r>
          </w:p>
        </w:tc>
        <w:tc>
          <w:tcPr>
            <w:tcW w:w="7187" w:type="dxa"/>
            <w:shd w:val="clear" w:color="auto" w:fill="auto"/>
          </w:tcPr>
          <w:p w14:paraId="2D2C49E7">
            <w:pPr>
              <w:pStyle w:val="186"/>
              <w:widowControl w:val="0"/>
              <w:spacing w:line="240" w:lineRule="auto"/>
              <w:ind w:firstLine="0"/>
              <w:jc w:val="left"/>
            </w:pPr>
            <w:r>
              <w:rPr>
                <w:rFonts w:hint="eastAsia"/>
              </w:rPr>
              <w:t>通告的链路MTU值，如果为0，则表示不通告链路MTU。</w:t>
            </w:r>
          </w:p>
        </w:tc>
      </w:tr>
      <w:tr w14:paraId="5924C0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263B417B">
            <w:pPr>
              <w:pStyle w:val="186"/>
              <w:widowControl w:val="0"/>
              <w:spacing w:line="240" w:lineRule="auto"/>
              <w:ind w:firstLine="0"/>
              <w:jc w:val="left"/>
            </w:pPr>
            <w:r>
              <w:rPr>
                <w:rFonts w:hint="eastAsia"/>
              </w:rPr>
              <w:t>跳数</w:t>
            </w:r>
          </w:p>
        </w:tc>
        <w:tc>
          <w:tcPr>
            <w:tcW w:w="7187" w:type="dxa"/>
            <w:shd w:val="clear" w:color="auto" w:fill="auto"/>
          </w:tcPr>
          <w:p w14:paraId="4A4BCDD8">
            <w:pPr>
              <w:pStyle w:val="186"/>
              <w:widowControl w:val="0"/>
              <w:spacing w:line="240" w:lineRule="auto"/>
              <w:ind w:firstLine="0"/>
              <w:jc w:val="left"/>
            </w:pPr>
            <w:r>
              <w:rPr>
                <w:rFonts w:hint="eastAsia"/>
              </w:rPr>
              <w:t>通告的hop-limit值。</w:t>
            </w:r>
          </w:p>
        </w:tc>
      </w:tr>
      <w:tr w14:paraId="26D9C2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71EEFBA2">
            <w:pPr>
              <w:pStyle w:val="186"/>
              <w:widowControl w:val="0"/>
              <w:spacing w:line="240" w:lineRule="auto"/>
              <w:ind w:firstLine="0"/>
              <w:jc w:val="left"/>
            </w:pPr>
            <w:r>
              <w:rPr>
                <w:rFonts w:hint="eastAsia"/>
              </w:rPr>
              <w:t>被管理标记</w:t>
            </w:r>
          </w:p>
        </w:tc>
        <w:tc>
          <w:tcPr>
            <w:tcW w:w="7187" w:type="dxa"/>
            <w:shd w:val="clear" w:color="auto" w:fill="auto"/>
          </w:tcPr>
          <w:p w14:paraId="78386724">
            <w:pPr>
              <w:pStyle w:val="186"/>
              <w:widowControl w:val="0"/>
              <w:spacing w:line="240" w:lineRule="auto"/>
              <w:ind w:firstLine="0"/>
              <w:jc w:val="left"/>
            </w:pPr>
            <w:r>
              <w:rPr>
                <w:rFonts w:hint="eastAsia"/>
              </w:rPr>
              <w:t>如果选中被管理标记，则表示PC不使用通告的前缀进行无状态地址自动配置。</w:t>
            </w:r>
          </w:p>
        </w:tc>
      </w:tr>
      <w:tr w14:paraId="5DEB519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0B0743B4">
            <w:pPr>
              <w:pStyle w:val="186"/>
              <w:widowControl w:val="0"/>
              <w:spacing w:line="240" w:lineRule="auto"/>
              <w:ind w:firstLine="0"/>
              <w:jc w:val="left"/>
            </w:pPr>
            <w:r>
              <w:rPr>
                <w:rFonts w:hint="eastAsia"/>
              </w:rPr>
              <w:t>其他标记</w:t>
            </w:r>
          </w:p>
        </w:tc>
        <w:tc>
          <w:tcPr>
            <w:tcW w:w="7187" w:type="dxa"/>
            <w:shd w:val="clear" w:color="auto" w:fill="auto"/>
          </w:tcPr>
          <w:p w14:paraId="30BD0165">
            <w:pPr>
              <w:pStyle w:val="186"/>
              <w:widowControl w:val="0"/>
              <w:spacing w:line="240" w:lineRule="auto"/>
              <w:ind w:firstLine="0"/>
              <w:jc w:val="left"/>
            </w:pPr>
            <w:r>
              <w:rPr>
                <w:rFonts w:hint="eastAsia"/>
              </w:rPr>
              <w:t>如果选中其他配置标记，则表示PC应该向DHCPv6服务器请求DNS配置信息。</w:t>
            </w:r>
          </w:p>
        </w:tc>
      </w:tr>
    </w:tbl>
    <w:p w14:paraId="27A5D5CA"/>
    <w:p w14:paraId="2007683F">
      <w:r>
        <w:rPr>
          <w:rFonts w:hint="eastAsia"/>
        </w:rPr>
        <w:t>如需添加新的路由前缀，可点击“前缀信息配置”框中的&lt;新建&gt;按钮，进入如</w:t>
      </w:r>
      <w:r>
        <w:fldChar w:fldCharType="begin"/>
      </w:r>
      <w:r>
        <w:instrText xml:space="preserve"> </w:instrText>
      </w:r>
      <w:r>
        <w:rPr>
          <w:rFonts w:hint="eastAsia"/>
        </w:rPr>
        <w:instrText xml:space="preserve">REF _Ref393115298 \r \h</w:instrText>
      </w:r>
      <w:r>
        <w:instrText xml:space="preserve"> </w:instrText>
      </w:r>
      <w:r>
        <w:fldChar w:fldCharType="separate"/>
      </w:r>
      <w:r>
        <w:rPr>
          <w:rFonts w:hint="eastAsia"/>
        </w:rPr>
        <w:t>图11-58</w:t>
      </w:r>
      <w:r>
        <w:fldChar w:fldCharType="end"/>
      </w:r>
      <w:r>
        <w:rPr>
          <w:rFonts w:hint="eastAsia"/>
        </w:rPr>
        <w:t>所示的配置页面。通过该页面添加前缀信息，各个配置项的含义如</w:t>
      </w:r>
      <w:r>
        <w:fldChar w:fldCharType="begin"/>
      </w:r>
      <w:r>
        <w:instrText xml:space="preserve"> </w:instrText>
      </w:r>
      <w:r>
        <w:rPr>
          <w:rFonts w:hint="eastAsia"/>
        </w:rPr>
        <w:instrText xml:space="preserve">REF _Ref393115305 \r \h</w:instrText>
      </w:r>
      <w:r>
        <w:instrText xml:space="preserve"> </w:instrText>
      </w:r>
      <w:r>
        <w:fldChar w:fldCharType="separate"/>
      </w:r>
      <w:r>
        <w:rPr>
          <w:rFonts w:hint="eastAsia"/>
        </w:rPr>
        <w:t>表11-1</w:t>
      </w:r>
      <w:r>
        <w:fldChar w:fldCharType="end"/>
      </w:r>
      <w:r>
        <w:rPr>
          <w:rFonts w:hint="eastAsia"/>
        </w:rPr>
        <w:t>所示。</w:t>
      </w:r>
    </w:p>
    <w:p w14:paraId="573705C3">
      <w:pPr>
        <w:pStyle w:val="188"/>
      </w:pPr>
      <w:bookmarkStart w:id="3865" w:name="_Ref393115298"/>
      <w:bookmarkStart w:id="3866" w:name="_Toc141874726"/>
      <w:r>
        <w:rPr>
          <w:rFonts w:hint="eastAsia"/>
        </w:rPr>
        <w:t>前缀信息配置页面</w:t>
      </w:r>
      <w:bookmarkEnd w:id="3865"/>
      <w:bookmarkEnd w:id="3866"/>
    </w:p>
    <w:p w14:paraId="74E4F19D">
      <w:r>
        <w:t xml:space="preserve"> </w:t>
      </w:r>
      <w:r>
        <w:drawing>
          <wp:inline distT="0" distB="0" distL="0" distR="0">
            <wp:extent cx="4295140" cy="2437765"/>
            <wp:effectExtent l="0" t="0" r="0" b="635"/>
            <wp:docPr id="1201" name="图片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 name="图片 1201"/>
                    <pic:cNvPicPr>
                      <a:picLocks noChangeAspect="1"/>
                    </pic:cNvPicPr>
                  </pic:nvPicPr>
                  <pic:blipFill>
                    <a:blip r:embed="rId522"/>
                    <a:stretch>
                      <a:fillRect/>
                    </a:stretch>
                  </pic:blipFill>
                  <pic:spPr>
                    <a:xfrm>
                      <a:off x="0" y="0"/>
                      <a:ext cx="4295238" cy="2438095"/>
                    </a:xfrm>
                    <a:prstGeom prst="rect">
                      <a:avLst/>
                    </a:prstGeom>
                  </pic:spPr>
                </pic:pic>
              </a:graphicData>
            </a:graphic>
          </wp:inline>
        </w:drawing>
      </w:r>
    </w:p>
    <w:p w14:paraId="0E1603D5"/>
    <w:p w14:paraId="7D9DB627">
      <w:pPr>
        <w:pStyle w:val="183"/>
      </w:pPr>
      <w:bookmarkStart w:id="3867" w:name="_Toc141875544"/>
      <w:bookmarkStart w:id="3868" w:name="_Ref393115305"/>
      <w:r>
        <w:rPr>
          <w:rFonts w:hint="eastAsia"/>
        </w:rPr>
        <w:t>前缀信息各个配置项含义描述表</w:t>
      </w:r>
      <w:bookmarkEnd w:id="3867"/>
      <w:bookmarkEnd w:id="3868"/>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647"/>
        <w:gridCol w:w="7367"/>
      </w:tblGrid>
      <w:tr w14:paraId="350CE16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tcBorders>
              <w:tl2br w:val="nil"/>
              <w:tr2bl w:val="nil"/>
            </w:tcBorders>
            <w:shd w:val="clear" w:color="auto" w:fill="538135" w:themeFill="accent6" w:themeFillShade="BF"/>
            <w:vAlign w:val="center"/>
          </w:tcPr>
          <w:p w14:paraId="2661E3B7">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329" w:type="dxa"/>
            <w:tcBorders>
              <w:tl2br w:val="nil"/>
              <w:tr2bl w:val="nil"/>
            </w:tcBorders>
            <w:shd w:val="clear" w:color="auto" w:fill="538135" w:themeFill="accent6" w:themeFillShade="BF"/>
            <w:vAlign w:val="center"/>
          </w:tcPr>
          <w:p w14:paraId="1469AC8A">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C5769F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4A3114BF">
            <w:pPr>
              <w:pStyle w:val="186"/>
              <w:widowControl w:val="0"/>
              <w:spacing w:line="240" w:lineRule="auto"/>
              <w:ind w:firstLine="0"/>
              <w:jc w:val="left"/>
            </w:pPr>
            <w:r>
              <w:rPr>
                <w:rFonts w:hint="eastAsia"/>
              </w:rPr>
              <w:t>路由前缀</w:t>
            </w:r>
          </w:p>
        </w:tc>
        <w:tc>
          <w:tcPr>
            <w:tcW w:w="7329" w:type="dxa"/>
            <w:shd w:val="clear" w:color="auto" w:fill="auto"/>
          </w:tcPr>
          <w:p w14:paraId="57F5D0C8">
            <w:pPr>
              <w:pStyle w:val="186"/>
              <w:widowControl w:val="0"/>
              <w:spacing w:line="240" w:lineRule="auto"/>
              <w:ind w:firstLine="0"/>
              <w:jc w:val="left"/>
            </w:pPr>
            <w:r>
              <w:rPr>
                <w:rFonts w:hint="eastAsia"/>
              </w:rPr>
              <w:t>通告的网段前缀，PC可使用该前缀进行无状态地址自动配置。</w:t>
            </w:r>
          </w:p>
        </w:tc>
      </w:tr>
      <w:tr w14:paraId="4551B4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1089E6E1">
            <w:pPr>
              <w:pStyle w:val="186"/>
              <w:widowControl w:val="0"/>
              <w:spacing w:line="240" w:lineRule="auto"/>
              <w:ind w:firstLine="0"/>
              <w:jc w:val="left"/>
            </w:pPr>
            <w:r>
              <w:rPr>
                <w:rFonts w:hint="eastAsia"/>
              </w:rPr>
              <w:t>有效生存期</w:t>
            </w:r>
          </w:p>
        </w:tc>
        <w:tc>
          <w:tcPr>
            <w:tcW w:w="7329" w:type="dxa"/>
            <w:shd w:val="clear" w:color="auto" w:fill="auto"/>
          </w:tcPr>
          <w:p w14:paraId="156B02A8">
            <w:pPr>
              <w:pStyle w:val="186"/>
              <w:widowControl w:val="0"/>
              <w:spacing w:line="240" w:lineRule="auto"/>
              <w:ind w:firstLine="0"/>
              <w:jc w:val="left"/>
            </w:pPr>
            <w:r>
              <w:rPr>
                <w:rFonts w:hint="eastAsia"/>
              </w:rPr>
              <w:t>通过该网段前缀进行无状态地址自动配置生成地址后，该地址的有效时间。</w:t>
            </w:r>
          </w:p>
        </w:tc>
      </w:tr>
      <w:tr w14:paraId="5478E6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6A80F247">
            <w:pPr>
              <w:pStyle w:val="186"/>
              <w:widowControl w:val="0"/>
              <w:spacing w:line="240" w:lineRule="auto"/>
              <w:ind w:firstLine="0"/>
              <w:jc w:val="left"/>
            </w:pPr>
            <w:r>
              <w:rPr>
                <w:rFonts w:hint="eastAsia"/>
              </w:rPr>
              <w:t>首选生存期</w:t>
            </w:r>
          </w:p>
        </w:tc>
        <w:tc>
          <w:tcPr>
            <w:tcW w:w="7329" w:type="dxa"/>
            <w:shd w:val="clear" w:color="auto" w:fill="auto"/>
          </w:tcPr>
          <w:p w14:paraId="6FDB8B38">
            <w:pPr>
              <w:pStyle w:val="186"/>
              <w:widowControl w:val="0"/>
              <w:spacing w:line="240" w:lineRule="auto"/>
              <w:ind w:firstLine="0"/>
              <w:jc w:val="left"/>
            </w:pPr>
            <w:r>
              <w:rPr>
                <w:rFonts w:hint="eastAsia"/>
              </w:rPr>
              <w:t>通过该网段前缀进行无状态地址自动配置生成地址后，该地址的优先使用时间。</w:t>
            </w:r>
          </w:p>
        </w:tc>
      </w:tr>
      <w:tr w14:paraId="691C1E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3D1FFF36">
            <w:pPr>
              <w:pStyle w:val="186"/>
              <w:widowControl w:val="0"/>
              <w:spacing w:line="240" w:lineRule="auto"/>
              <w:ind w:firstLine="0"/>
              <w:jc w:val="left"/>
            </w:pPr>
            <w:r>
              <w:rPr>
                <w:rFonts w:hint="eastAsia"/>
              </w:rPr>
              <w:t>在链路标记</w:t>
            </w:r>
          </w:p>
        </w:tc>
        <w:tc>
          <w:tcPr>
            <w:tcW w:w="7329" w:type="dxa"/>
            <w:shd w:val="clear" w:color="auto" w:fill="auto"/>
          </w:tcPr>
          <w:p w14:paraId="0F8E81F4">
            <w:pPr>
              <w:pStyle w:val="186"/>
              <w:widowControl w:val="0"/>
              <w:spacing w:line="240" w:lineRule="auto"/>
              <w:ind w:firstLine="0"/>
              <w:jc w:val="left"/>
            </w:pPr>
            <w:r>
              <w:rPr>
                <w:rFonts w:hint="eastAsia"/>
              </w:rPr>
              <w:t>如果选中该标记，则表示可使用该前缀进行判定是否与其他主机在同一链路上。</w:t>
            </w:r>
          </w:p>
        </w:tc>
      </w:tr>
      <w:tr w14:paraId="0D66C9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76BC52BE">
            <w:pPr>
              <w:pStyle w:val="186"/>
              <w:widowControl w:val="0"/>
              <w:spacing w:line="240" w:lineRule="auto"/>
              <w:ind w:firstLine="0"/>
              <w:jc w:val="left"/>
            </w:pPr>
            <w:r>
              <w:rPr>
                <w:rFonts w:hint="eastAsia"/>
              </w:rPr>
              <w:t>自治标记</w:t>
            </w:r>
          </w:p>
        </w:tc>
        <w:tc>
          <w:tcPr>
            <w:tcW w:w="7329" w:type="dxa"/>
            <w:shd w:val="clear" w:color="auto" w:fill="auto"/>
          </w:tcPr>
          <w:p w14:paraId="31BF27CE">
            <w:pPr>
              <w:pStyle w:val="186"/>
              <w:widowControl w:val="0"/>
              <w:spacing w:line="240" w:lineRule="auto"/>
              <w:ind w:firstLine="0"/>
              <w:jc w:val="left"/>
            </w:pPr>
            <w:r>
              <w:rPr>
                <w:rFonts w:hint="eastAsia"/>
              </w:rPr>
              <w:t>如果选中该标记，则表示可使用该前缀进行无状态地址自动配置。</w:t>
            </w:r>
          </w:p>
        </w:tc>
      </w:tr>
    </w:tbl>
    <w:p w14:paraId="3B3FA34D">
      <w:bookmarkStart w:id="3869" w:name="_Toc389059525"/>
      <w:bookmarkStart w:id="3870" w:name="_Toc389750220"/>
    </w:p>
    <w:p w14:paraId="13689B6A">
      <w:pPr>
        <w:pStyle w:val="5"/>
      </w:pPr>
      <w:bookmarkStart w:id="3871" w:name="_Toc6235117"/>
      <w:bookmarkStart w:id="3872" w:name="_Toc15484970"/>
      <w:bookmarkStart w:id="3873" w:name="_Toc23152734"/>
      <w:bookmarkStart w:id="3874" w:name="_Toc40276167"/>
      <w:bookmarkStart w:id="3875" w:name="_Toc99561582"/>
      <w:bookmarkStart w:id="3876" w:name="_Toc141873493"/>
      <w:bookmarkStart w:id="3877" w:name="_Toc142401009"/>
      <w:bookmarkStart w:id="3878" w:name="_Toc196728203"/>
      <w:bookmarkStart w:id="3879" w:name="_Toc172218244"/>
      <w:bookmarkStart w:id="3880" w:name="_Toc194080871"/>
      <w:r>
        <w:rPr>
          <w:rFonts w:hint="eastAsia"/>
        </w:rPr>
        <w:t>IPv6隧道</w:t>
      </w:r>
      <w:bookmarkEnd w:id="3869"/>
      <w:bookmarkEnd w:id="3870"/>
      <w:bookmarkEnd w:id="3871"/>
      <w:bookmarkEnd w:id="3872"/>
      <w:bookmarkEnd w:id="3873"/>
      <w:bookmarkEnd w:id="3874"/>
      <w:bookmarkEnd w:id="3875"/>
      <w:bookmarkEnd w:id="3876"/>
      <w:bookmarkEnd w:id="3877"/>
      <w:bookmarkEnd w:id="3878"/>
      <w:bookmarkEnd w:id="3879"/>
      <w:bookmarkEnd w:id="3880"/>
    </w:p>
    <w:p w14:paraId="2F1EEE33">
      <w:r>
        <w:rPr>
          <w:rFonts w:hint="eastAsia"/>
        </w:rPr>
        <w:t>通过菜单“网络配置 &gt; 基础网络 &gt; IPv6网络 &gt; IPv6隧道”，进入IPv6隧道页面，如</w:t>
      </w:r>
      <w:r>
        <w:rPr>
          <w:color w:val="0000FF"/>
          <w:u w:val="single"/>
        </w:rPr>
        <w:fldChar w:fldCharType="begin"/>
      </w:r>
      <w:r>
        <w:rPr>
          <w:color w:val="0000FF"/>
          <w:u w:val="single"/>
        </w:rPr>
        <w:instrText xml:space="preserve"> </w:instrText>
      </w:r>
      <w:r>
        <w:rPr>
          <w:rFonts w:hint="eastAsia"/>
          <w:color w:val="0000FF"/>
          <w:u w:val="single"/>
        </w:rPr>
        <w:instrText xml:space="preserve">REF _Ref393117409 \r \h</w:instrText>
      </w:r>
      <w:r>
        <w:rPr>
          <w:color w:val="0000FF"/>
          <w:u w:val="single"/>
        </w:rPr>
        <w:instrText xml:space="preserve"> </w:instrText>
      </w:r>
      <w:r>
        <w:rPr>
          <w:color w:val="0000FF"/>
          <w:u w:val="single"/>
        </w:rPr>
        <w:fldChar w:fldCharType="separate"/>
      </w:r>
      <w:r>
        <w:rPr>
          <w:rFonts w:hint="eastAsia"/>
          <w:color w:val="0000FF"/>
          <w:u w:val="single"/>
        </w:rPr>
        <w:t>图11-59</w:t>
      </w:r>
      <w:r>
        <w:rPr>
          <w:color w:val="0000FF"/>
          <w:u w:val="single"/>
        </w:rPr>
        <w:fldChar w:fldCharType="end"/>
      </w:r>
      <w:r>
        <w:rPr>
          <w:rFonts w:hint="eastAsia"/>
        </w:rPr>
        <w:t>所示。在该页面上可以新建、编辑、删除、浏览IPv6隧道。</w:t>
      </w:r>
    </w:p>
    <w:p w14:paraId="50A4F950">
      <w:pPr>
        <w:pStyle w:val="188"/>
      </w:pPr>
      <w:bookmarkStart w:id="3881" w:name="_Ref393117409"/>
      <w:bookmarkStart w:id="3882" w:name="_Toc141874727"/>
      <w:r>
        <w:rPr>
          <w:rFonts w:hint="eastAsia"/>
        </w:rPr>
        <w:t>IPv6隧道概览页面</w:t>
      </w:r>
      <w:bookmarkEnd w:id="3881"/>
      <w:bookmarkEnd w:id="3882"/>
    </w:p>
    <w:p w14:paraId="63FD4348">
      <w:r>
        <w:drawing>
          <wp:inline distT="0" distB="0" distL="0" distR="0">
            <wp:extent cx="5400040" cy="704850"/>
            <wp:effectExtent l="0" t="0" r="0" b="0"/>
            <wp:docPr id="4963"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3" name="图片 309"/>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a:xfrm>
                      <a:off x="0" y="0"/>
                      <a:ext cx="5400040" cy="705448"/>
                    </a:xfrm>
                    <a:prstGeom prst="rect">
                      <a:avLst/>
                    </a:prstGeom>
                    <a:noFill/>
                    <a:ln>
                      <a:noFill/>
                    </a:ln>
                  </pic:spPr>
                </pic:pic>
              </a:graphicData>
            </a:graphic>
          </wp:inline>
        </w:drawing>
      </w:r>
    </w:p>
    <w:p w14:paraId="060B1D77"/>
    <w:p w14:paraId="73761ED1">
      <w:r>
        <w:rPr>
          <w:rFonts w:hint="eastAsia"/>
        </w:rPr>
        <w:t>点击&lt;新建&gt;按钮，进入IPv6隧道的新建页面，如</w:t>
      </w:r>
      <w:r>
        <w:fldChar w:fldCharType="begin"/>
      </w:r>
      <w:r>
        <w:instrText xml:space="preserve"> </w:instrText>
      </w:r>
      <w:r>
        <w:rPr>
          <w:rFonts w:hint="eastAsia"/>
        </w:rPr>
        <w:instrText xml:space="preserve">REF _Ref393117418 \r \h</w:instrText>
      </w:r>
      <w:r>
        <w:instrText xml:space="preserve"> </w:instrText>
      </w:r>
      <w:r>
        <w:fldChar w:fldCharType="separate"/>
      </w:r>
      <w:r>
        <w:rPr>
          <w:rFonts w:hint="eastAsia"/>
        </w:rPr>
        <w:t>图11-60</w:t>
      </w:r>
      <w:r>
        <w:fldChar w:fldCharType="end"/>
      </w:r>
      <w:r>
        <w:rPr>
          <w:rFonts w:hint="eastAsia"/>
        </w:rPr>
        <w:t>所示。各个配置项的含义如</w:t>
      </w:r>
      <w:r>
        <w:fldChar w:fldCharType="begin"/>
      </w:r>
      <w:r>
        <w:instrText xml:space="preserve"> </w:instrText>
      </w:r>
      <w:r>
        <w:rPr>
          <w:rFonts w:hint="eastAsia"/>
        </w:rPr>
        <w:instrText xml:space="preserve">REF _Ref393117426 \r \h</w:instrText>
      </w:r>
      <w:r>
        <w:instrText xml:space="preserve"> </w:instrText>
      </w:r>
      <w:r>
        <w:fldChar w:fldCharType="separate"/>
      </w:r>
      <w:r>
        <w:rPr>
          <w:rFonts w:hint="eastAsia"/>
        </w:rPr>
        <w:t>表11-1</w:t>
      </w:r>
      <w:r>
        <w:fldChar w:fldCharType="end"/>
      </w:r>
      <w:r>
        <w:rPr>
          <w:rFonts w:hint="eastAsia"/>
        </w:rPr>
        <w:t>所示。</w:t>
      </w:r>
    </w:p>
    <w:p w14:paraId="158927CC">
      <w:pPr>
        <w:pStyle w:val="188"/>
      </w:pPr>
      <w:bookmarkStart w:id="3883" w:name="_Ref393117418"/>
      <w:bookmarkStart w:id="3884" w:name="_Toc141874728"/>
      <w:r>
        <w:rPr>
          <w:rFonts w:hint="eastAsia"/>
        </w:rPr>
        <w:t>IPv6隧道新建页面</w:t>
      </w:r>
      <w:bookmarkEnd w:id="3883"/>
      <w:bookmarkEnd w:id="3884"/>
    </w:p>
    <w:p w14:paraId="49C877EE">
      <w:r>
        <w:drawing>
          <wp:inline distT="0" distB="0" distL="0" distR="0">
            <wp:extent cx="4676775" cy="2918460"/>
            <wp:effectExtent l="0" t="0" r="0" b="0"/>
            <wp:docPr id="2695" name="图片 2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5" name="图片 2695"/>
                    <pic:cNvPicPr>
                      <a:picLocks noChangeAspect="1"/>
                    </pic:cNvPicPr>
                  </pic:nvPicPr>
                  <pic:blipFill>
                    <a:blip r:embed="rId524"/>
                    <a:stretch>
                      <a:fillRect/>
                    </a:stretch>
                  </pic:blipFill>
                  <pic:spPr>
                    <a:xfrm>
                      <a:off x="0" y="0"/>
                      <a:ext cx="4679132" cy="2920125"/>
                    </a:xfrm>
                    <a:prstGeom prst="rect">
                      <a:avLst/>
                    </a:prstGeom>
                  </pic:spPr>
                </pic:pic>
              </a:graphicData>
            </a:graphic>
          </wp:inline>
        </w:drawing>
      </w:r>
    </w:p>
    <w:p w14:paraId="2AADAF7E"/>
    <w:p w14:paraId="643239EE">
      <w:pPr>
        <w:pStyle w:val="183"/>
      </w:pPr>
      <w:bookmarkStart w:id="3885" w:name="_Ref393117426"/>
      <w:bookmarkStart w:id="3886" w:name="_Toc141875545"/>
      <w:r>
        <w:rPr>
          <w:rFonts w:hint="eastAsia"/>
        </w:rPr>
        <w:t>IPv6隧道各个配置项含义描述表</w:t>
      </w:r>
      <w:bookmarkEnd w:id="3885"/>
      <w:bookmarkEnd w:id="3886"/>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506"/>
        <w:gridCol w:w="7508"/>
      </w:tblGrid>
      <w:tr w14:paraId="31B3F4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498" w:type="dxa"/>
            <w:tcBorders>
              <w:tl2br w:val="nil"/>
              <w:tr2bl w:val="nil"/>
            </w:tcBorders>
            <w:shd w:val="clear" w:color="auto" w:fill="538135" w:themeFill="accent6" w:themeFillShade="BF"/>
            <w:vAlign w:val="center"/>
          </w:tcPr>
          <w:p w14:paraId="75E55266">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470" w:type="dxa"/>
            <w:tcBorders>
              <w:tl2br w:val="nil"/>
              <w:tr2bl w:val="nil"/>
            </w:tcBorders>
            <w:shd w:val="clear" w:color="auto" w:fill="538135" w:themeFill="accent6" w:themeFillShade="BF"/>
            <w:vAlign w:val="center"/>
          </w:tcPr>
          <w:p w14:paraId="79970551">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760D5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498" w:type="dxa"/>
            <w:shd w:val="clear" w:color="auto" w:fill="auto"/>
          </w:tcPr>
          <w:p w14:paraId="5FC255FA">
            <w:pPr>
              <w:pStyle w:val="186"/>
              <w:widowControl w:val="0"/>
              <w:spacing w:line="240" w:lineRule="auto"/>
              <w:ind w:firstLine="0"/>
              <w:jc w:val="left"/>
            </w:pPr>
            <w:r>
              <w:rPr>
                <w:rFonts w:hint="eastAsia"/>
              </w:rPr>
              <w:t>名称</w:t>
            </w:r>
          </w:p>
        </w:tc>
        <w:tc>
          <w:tcPr>
            <w:tcW w:w="7470" w:type="dxa"/>
            <w:shd w:val="clear" w:color="auto" w:fill="auto"/>
          </w:tcPr>
          <w:p w14:paraId="3D692FF0">
            <w:pPr>
              <w:pStyle w:val="186"/>
              <w:widowControl w:val="0"/>
              <w:spacing w:line="240" w:lineRule="auto"/>
              <w:ind w:firstLine="0"/>
              <w:jc w:val="left"/>
            </w:pPr>
            <w:r>
              <w:rPr>
                <w:rFonts w:hint="eastAsia"/>
              </w:rPr>
              <w:t>tunnel前缀加上tunnel id即为tunnel接口的名称。</w:t>
            </w:r>
          </w:p>
        </w:tc>
      </w:tr>
      <w:tr w14:paraId="00FBDE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498" w:type="dxa"/>
            <w:shd w:val="clear" w:color="auto" w:fill="auto"/>
          </w:tcPr>
          <w:p w14:paraId="28D9CC15">
            <w:pPr>
              <w:pStyle w:val="186"/>
              <w:widowControl w:val="0"/>
              <w:spacing w:line="240" w:lineRule="auto"/>
              <w:ind w:firstLine="0"/>
              <w:jc w:val="left"/>
            </w:pPr>
            <w:r>
              <w:rPr>
                <w:rFonts w:hint="eastAsia"/>
              </w:rPr>
              <w:t>隧道模式</w:t>
            </w:r>
          </w:p>
        </w:tc>
        <w:tc>
          <w:tcPr>
            <w:tcW w:w="7470" w:type="dxa"/>
            <w:shd w:val="clear" w:color="auto" w:fill="auto"/>
          </w:tcPr>
          <w:p w14:paraId="4677073D">
            <w:pPr>
              <w:pStyle w:val="186"/>
              <w:widowControl w:val="0"/>
              <w:spacing w:line="240" w:lineRule="auto"/>
              <w:ind w:firstLine="0"/>
              <w:jc w:val="left"/>
            </w:pPr>
            <w:r>
              <w:rPr>
                <w:rFonts w:hint="eastAsia"/>
              </w:rPr>
              <w:t>该隧道采用的隧道模式，有三种模式，分别为：</w:t>
            </w:r>
          </w:p>
          <w:p w14:paraId="5F5D7F2F">
            <w:pPr>
              <w:pStyle w:val="207"/>
            </w:pPr>
            <w:r>
              <w:rPr>
                <w:rFonts w:hint="eastAsia"/>
              </w:rPr>
              <w:t>手动隧道；</w:t>
            </w:r>
          </w:p>
          <w:p w14:paraId="20E5079E">
            <w:pPr>
              <w:pStyle w:val="207"/>
            </w:pPr>
            <w:r>
              <w:rPr>
                <w:rFonts w:hint="eastAsia"/>
              </w:rPr>
              <w:t>isatap隧道；</w:t>
            </w:r>
          </w:p>
          <w:p w14:paraId="0D61EE33">
            <w:pPr>
              <w:pStyle w:val="207"/>
            </w:pPr>
            <w:r>
              <w:rPr>
                <w:rFonts w:hint="eastAsia"/>
              </w:rPr>
              <w:t>6to4隧道。</w:t>
            </w:r>
          </w:p>
        </w:tc>
      </w:tr>
      <w:tr w14:paraId="2295B9B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498" w:type="dxa"/>
            <w:shd w:val="clear" w:color="auto" w:fill="auto"/>
          </w:tcPr>
          <w:p w14:paraId="5981F25C">
            <w:pPr>
              <w:pStyle w:val="186"/>
              <w:widowControl w:val="0"/>
              <w:spacing w:line="240" w:lineRule="auto"/>
              <w:ind w:firstLine="0"/>
              <w:jc w:val="left"/>
            </w:pPr>
            <w:r>
              <w:rPr>
                <w:rFonts w:hint="eastAsia"/>
              </w:rPr>
              <w:t>隧道源</w:t>
            </w:r>
          </w:p>
        </w:tc>
        <w:tc>
          <w:tcPr>
            <w:tcW w:w="7470" w:type="dxa"/>
            <w:shd w:val="clear" w:color="auto" w:fill="auto"/>
          </w:tcPr>
          <w:p w14:paraId="693B8D43">
            <w:pPr>
              <w:pStyle w:val="186"/>
              <w:widowControl w:val="0"/>
              <w:spacing w:line="240" w:lineRule="auto"/>
              <w:ind w:firstLine="0"/>
              <w:jc w:val="left"/>
            </w:pPr>
            <w:r>
              <w:rPr>
                <w:rFonts w:hint="eastAsia"/>
              </w:rPr>
              <w:t>指定封装隧道报文时，用哪个地址作为外层的源IPv4地址。</w:t>
            </w:r>
          </w:p>
          <w:p w14:paraId="2CA7207A">
            <w:pPr>
              <w:pStyle w:val="186"/>
              <w:widowControl w:val="0"/>
              <w:spacing w:line="240" w:lineRule="auto"/>
              <w:ind w:firstLine="0"/>
              <w:jc w:val="left"/>
            </w:pPr>
            <w:r>
              <w:rPr>
                <w:rFonts w:hint="eastAsia"/>
              </w:rPr>
              <w:t>可以使用指定的地址作为隧道源地址，也可以使用某个接口的主IP地址作为隧道源地址。</w:t>
            </w:r>
          </w:p>
        </w:tc>
      </w:tr>
      <w:tr w14:paraId="01E5A7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498" w:type="dxa"/>
            <w:shd w:val="clear" w:color="auto" w:fill="auto"/>
          </w:tcPr>
          <w:p w14:paraId="65019F2E">
            <w:pPr>
              <w:pStyle w:val="186"/>
              <w:widowControl w:val="0"/>
              <w:spacing w:line="240" w:lineRule="auto"/>
              <w:ind w:firstLine="0"/>
              <w:jc w:val="left"/>
            </w:pPr>
            <w:r>
              <w:rPr>
                <w:rFonts w:hint="eastAsia"/>
              </w:rPr>
              <w:t>源地址</w:t>
            </w:r>
          </w:p>
        </w:tc>
        <w:tc>
          <w:tcPr>
            <w:tcW w:w="7470" w:type="dxa"/>
            <w:shd w:val="clear" w:color="auto" w:fill="auto"/>
          </w:tcPr>
          <w:p w14:paraId="0A44866D">
            <w:pPr>
              <w:pStyle w:val="186"/>
              <w:widowControl w:val="0"/>
              <w:spacing w:line="240" w:lineRule="auto"/>
              <w:ind w:firstLine="0"/>
              <w:jc w:val="left"/>
            </w:pPr>
            <w:r>
              <w:rPr>
                <w:rFonts w:hint="eastAsia"/>
              </w:rPr>
              <w:t>指定封装隧道报文时，作为外层封装的IPv4报文的源地址。</w:t>
            </w:r>
          </w:p>
        </w:tc>
      </w:tr>
      <w:tr w14:paraId="715893C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498" w:type="dxa"/>
            <w:shd w:val="clear" w:color="auto" w:fill="auto"/>
          </w:tcPr>
          <w:p w14:paraId="62574079">
            <w:pPr>
              <w:pStyle w:val="186"/>
              <w:widowControl w:val="0"/>
              <w:spacing w:line="240" w:lineRule="auto"/>
              <w:ind w:firstLine="0"/>
              <w:jc w:val="left"/>
            </w:pPr>
            <w:r>
              <w:rPr>
                <w:rFonts w:hint="eastAsia"/>
              </w:rPr>
              <w:t>隧道目的</w:t>
            </w:r>
          </w:p>
        </w:tc>
        <w:tc>
          <w:tcPr>
            <w:tcW w:w="7470" w:type="dxa"/>
            <w:shd w:val="clear" w:color="auto" w:fill="auto"/>
          </w:tcPr>
          <w:p w14:paraId="48514889">
            <w:pPr>
              <w:pStyle w:val="186"/>
              <w:widowControl w:val="0"/>
              <w:spacing w:line="240" w:lineRule="auto"/>
              <w:ind w:firstLine="0"/>
              <w:jc w:val="left"/>
            </w:pPr>
            <w:r>
              <w:rPr>
                <w:rFonts w:hint="eastAsia"/>
              </w:rPr>
              <w:t>指定封装隧道报文时，作为外层封装的IPv4报文的目的地址。</w:t>
            </w:r>
          </w:p>
        </w:tc>
      </w:tr>
      <w:tr w14:paraId="348E27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498" w:type="dxa"/>
            <w:shd w:val="clear" w:color="auto" w:fill="auto"/>
          </w:tcPr>
          <w:p w14:paraId="6E2AE5C1">
            <w:pPr>
              <w:pStyle w:val="186"/>
              <w:widowControl w:val="0"/>
              <w:spacing w:line="240" w:lineRule="auto"/>
              <w:ind w:firstLine="0"/>
              <w:jc w:val="left"/>
            </w:pPr>
            <w:r>
              <w:rPr>
                <w:rFonts w:hint="eastAsia"/>
              </w:rPr>
              <w:t>IPv6地址</w:t>
            </w:r>
          </w:p>
        </w:tc>
        <w:tc>
          <w:tcPr>
            <w:tcW w:w="7470" w:type="dxa"/>
            <w:shd w:val="clear" w:color="auto" w:fill="auto"/>
          </w:tcPr>
          <w:p w14:paraId="7EBD05A2">
            <w:pPr>
              <w:pStyle w:val="186"/>
              <w:widowControl w:val="0"/>
              <w:spacing w:line="240" w:lineRule="auto"/>
              <w:ind w:firstLine="0"/>
              <w:jc w:val="left"/>
            </w:pPr>
            <w:r>
              <w:rPr>
                <w:rFonts w:hint="eastAsia"/>
              </w:rPr>
              <w:t>配置隧道接口的IPv6主地址，只有隧道模式选择istap模式才需要配置。</w:t>
            </w:r>
          </w:p>
        </w:tc>
      </w:tr>
    </w:tbl>
    <w:p w14:paraId="4C7C88F8"/>
    <w:p w14:paraId="609F5FDE">
      <w:r>
        <w:rPr>
          <w:rFonts w:hint="eastAsia"/>
        </w:rPr>
        <w:t>点击&lt;提交&gt;按钮，提交配置。提交配置后可在如</w:t>
      </w:r>
      <w:r>
        <w:rPr>
          <w:color w:val="0000FF"/>
          <w:u w:val="single"/>
        </w:rPr>
        <w:fldChar w:fldCharType="begin"/>
      </w:r>
      <w:r>
        <w:rPr>
          <w:color w:val="0000FF"/>
          <w:u w:val="single"/>
        </w:rPr>
        <w:instrText xml:space="preserve"> </w:instrText>
      </w:r>
      <w:r>
        <w:rPr>
          <w:rFonts w:hint="eastAsia"/>
          <w:color w:val="0000FF"/>
          <w:u w:val="single"/>
        </w:rPr>
        <w:instrText xml:space="preserve">REF _Ref393117291 \r \h</w:instrText>
      </w:r>
      <w:r>
        <w:rPr>
          <w:color w:val="0000FF"/>
          <w:u w:val="single"/>
        </w:rPr>
        <w:instrText xml:space="preserve"> </w:instrText>
      </w:r>
      <w:r>
        <w:rPr>
          <w:color w:val="0000FF"/>
          <w:u w:val="single"/>
        </w:rPr>
        <w:fldChar w:fldCharType="separate"/>
      </w:r>
      <w:r>
        <w:rPr>
          <w:rFonts w:hint="eastAsia"/>
          <w:color w:val="0000FF"/>
          <w:u w:val="single"/>
        </w:rPr>
        <w:t>图11-61</w:t>
      </w:r>
      <w:r>
        <w:rPr>
          <w:color w:val="0000FF"/>
          <w:u w:val="single"/>
        </w:rPr>
        <w:fldChar w:fldCharType="end"/>
      </w:r>
      <w:r>
        <w:rPr>
          <w:rFonts w:hint="eastAsia"/>
        </w:rPr>
        <w:t>所示的页面上查看配置的IPv6隧道信息。</w:t>
      </w:r>
    </w:p>
    <w:p w14:paraId="5D2DB651">
      <w:pPr>
        <w:pStyle w:val="188"/>
      </w:pPr>
      <w:bookmarkStart w:id="3887" w:name="_Toc141874729"/>
      <w:bookmarkStart w:id="3888" w:name="_Ref393117291"/>
      <w:r>
        <w:rPr>
          <w:rFonts w:hint="eastAsia"/>
        </w:rPr>
        <w:t>IPv6隧道信息</w:t>
      </w:r>
      <w:bookmarkEnd w:id="3887"/>
      <w:bookmarkEnd w:id="3888"/>
    </w:p>
    <w:p w14:paraId="3DB82621">
      <w:r>
        <w:drawing>
          <wp:inline distT="0" distB="0" distL="0" distR="0">
            <wp:extent cx="5476875" cy="945515"/>
            <wp:effectExtent l="0" t="0" r="0" b="6985"/>
            <wp:docPr id="1204" name="图片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 name="图片 1204"/>
                    <pic:cNvPicPr>
                      <a:picLocks noChangeAspect="1"/>
                    </pic:cNvPicPr>
                  </pic:nvPicPr>
                  <pic:blipFill>
                    <a:blip r:embed="rId525"/>
                    <a:stretch>
                      <a:fillRect/>
                    </a:stretch>
                  </pic:blipFill>
                  <pic:spPr>
                    <a:xfrm>
                      <a:off x="0" y="0"/>
                      <a:ext cx="5485975" cy="947624"/>
                    </a:xfrm>
                    <a:prstGeom prst="rect">
                      <a:avLst/>
                    </a:prstGeom>
                  </pic:spPr>
                </pic:pic>
              </a:graphicData>
            </a:graphic>
          </wp:inline>
        </w:drawing>
      </w:r>
    </w:p>
    <w:p w14:paraId="5C9B9E9F"/>
    <w:p w14:paraId="59212369">
      <w:r>
        <w:t>点击</w:t>
      </w:r>
      <w:r>
        <w:rPr>
          <w:rFonts w:hint="eastAsia"/>
        </w:rPr>
        <w:t>&lt;编辑&gt;按钮，可对选中条目进行编辑。</w:t>
      </w:r>
    </w:p>
    <w:p w14:paraId="67585154">
      <w:r>
        <w:rPr>
          <w:rFonts w:hint="eastAsia"/>
        </w:rPr>
        <w:t>点击&lt;删除&gt;按钮，可对选中条目进行删除。</w:t>
      </w:r>
    </w:p>
    <w:p w14:paraId="4234E9B8">
      <w:pPr>
        <w:pStyle w:val="5"/>
      </w:pPr>
      <w:bookmarkStart w:id="3889" w:name="_Toc6235133"/>
      <w:bookmarkStart w:id="3890" w:name="_Toc40276183"/>
      <w:bookmarkStart w:id="3891" w:name="_Toc142401010"/>
      <w:bookmarkStart w:id="3892" w:name="_Toc15484986"/>
      <w:bookmarkStart w:id="3893" w:name="_Toc141873494"/>
      <w:bookmarkStart w:id="3894" w:name="_Toc23152750"/>
      <w:bookmarkStart w:id="3895" w:name="_Toc99561587"/>
      <w:bookmarkStart w:id="3896" w:name="_Toc172218245"/>
      <w:bookmarkStart w:id="3897" w:name="_Toc196728204"/>
      <w:bookmarkStart w:id="3898" w:name="_Toc194080872"/>
      <w:bookmarkStart w:id="3899" w:name="_Toc389750232"/>
      <w:bookmarkStart w:id="3900" w:name="_Toc389059537"/>
      <w:bookmarkStart w:id="3901" w:name="_Toc15484973"/>
      <w:bookmarkStart w:id="3902" w:name="_Toc99561585"/>
      <w:bookmarkStart w:id="3903" w:name="_Toc40276170"/>
      <w:bookmarkStart w:id="3904" w:name="_Toc23152737"/>
      <w:bookmarkStart w:id="3905" w:name="_Toc6235120"/>
      <w:r>
        <w:rPr>
          <w:rFonts w:hint="eastAsia"/>
        </w:rPr>
        <w:t>IPv6隧道配置举例</w:t>
      </w:r>
      <w:bookmarkEnd w:id="3889"/>
      <w:bookmarkEnd w:id="3890"/>
      <w:bookmarkEnd w:id="3891"/>
      <w:bookmarkEnd w:id="3892"/>
      <w:bookmarkEnd w:id="3893"/>
      <w:bookmarkEnd w:id="3894"/>
      <w:bookmarkEnd w:id="3895"/>
      <w:bookmarkEnd w:id="3896"/>
      <w:bookmarkEnd w:id="3897"/>
      <w:bookmarkEnd w:id="3898"/>
    </w:p>
    <w:p w14:paraId="02F70865">
      <w:pPr>
        <w:pStyle w:val="6"/>
      </w:pPr>
      <w:r>
        <w:rPr>
          <w:rFonts w:hint="eastAsia"/>
        </w:rPr>
        <w:t>组网需求</w:t>
      </w:r>
    </w:p>
    <w:p w14:paraId="5A09C848">
      <w:r>
        <w:rPr>
          <w:rFonts w:hint="eastAsia"/>
        </w:rPr>
        <w:t>如</w:t>
      </w:r>
      <w:r>
        <w:rPr>
          <w:color w:val="0000FF"/>
          <w:u w:val="single"/>
        </w:rPr>
        <w:fldChar w:fldCharType="begin"/>
      </w:r>
      <w:r>
        <w:rPr>
          <w:color w:val="0000FF"/>
          <w:u w:val="single"/>
        </w:rPr>
        <w:instrText xml:space="preserve"> </w:instrText>
      </w:r>
      <w:r>
        <w:rPr>
          <w:rFonts w:hint="eastAsia"/>
          <w:color w:val="0000FF"/>
          <w:u w:val="single"/>
        </w:rPr>
        <w:instrText xml:space="preserve">REF _Ref393185751 \n \h</w:instrText>
      </w:r>
      <w:r>
        <w:rPr>
          <w:color w:val="0000FF"/>
          <w:u w:val="single"/>
        </w:rPr>
        <w:instrText xml:space="preserve"> </w:instrText>
      </w:r>
      <w:r>
        <w:rPr>
          <w:color w:val="0000FF"/>
          <w:u w:val="single"/>
        </w:rPr>
        <w:fldChar w:fldCharType="separate"/>
      </w:r>
      <w:r>
        <w:rPr>
          <w:rFonts w:hint="eastAsia"/>
          <w:color w:val="0000FF"/>
          <w:u w:val="single"/>
        </w:rPr>
        <w:t>图11-62</w:t>
      </w:r>
      <w:r>
        <w:rPr>
          <w:color w:val="0000FF"/>
          <w:u w:val="single"/>
        </w:rPr>
        <w:fldChar w:fldCharType="end"/>
      </w:r>
      <w:r>
        <w:rPr>
          <w:rFonts w:hint="eastAsia"/>
        </w:rPr>
        <w:t>所示，两个IPv6网络分别通过设备 A和设备 B与IPv4网络连接，设备 A与设备 B之间路由可达，要求在设备 A和设备 B之间建立IPv6手动隧道，使两个IPv6网络可以互通。</w:t>
      </w:r>
    </w:p>
    <w:p w14:paraId="445557D6">
      <w:pPr>
        <w:pStyle w:val="6"/>
      </w:pPr>
      <w:r>
        <w:rPr>
          <w:rFonts w:hint="eastAsia"/>
        </w:rPr>
        <w:t>组网图</w:t>
      </w:r>
    </w:p>
    <w:p w14:paraId="191789E1">
      <w:pPr>
        <w:pStyle w:val="188"/>
      </w:pPr>
      <w:bookmarkStart w:id="3906" w:name="_Ref393185751"/>
      <w:bookmarkStart w:id="3907" w:name="_Toc141874730"/>
      <w:r>
        <w:rPr>
          <w:rFonts w:hint="eastAsia"/>
        </w:rPr>
        <w:t>IPv6手动隧道组网图</w:t>
      </w:r>
      <w:bookmarkEnd w:id="3906"/>
      <w:bookmarkEnd w:id="3907"/>
    </w:p>
    <w:p w14:paraId="37114E1C">
      <w:r>
        <w:drawing>
          <wp:inline distT="0" distB="0" distL="0" distR="0">
            <wp:extent cx="5437505" cy="1523365"/>
            <wp:effectExtent l="0" t="0" r="0" b="635"/>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526"/>
                    <a:stretch>
                      <a:fillRect/>
                    </a:stretch>
                  </pic:blipFill>
                  <pic:spPr>
                    <a:xfrm>
                      <a:off x="0" y="0"/>
                      <a:ext cx="5438095" cy="1523810"/>
                    </a:xfrm>
                    <a:prstGeom prst="rect">
                      <a:avLst/>
                    </a:prstGeom>
                  </pic:spPr>
                </pic:pic>
              </a:graphicData>
            </a:graphic>
          </wp:inline>
        </w:drawing>
      </w:r>
    </w:p>
    <w:p w14:paraId="2DEE6C0D"/>
    <w:p w14:paraId="2EB40D6F">
      <w:pPr>
        <w:pStyle w:val="6"/>
      </w:pPr>
      <w:r>
        <w:rPr>
          <w:rFonts w:hint="eastAsia"/>
        </w:rPr>
        <w:t>配置步骤</w:t>
      </w:r>
    </w:p>
    <w:p w14:paraId="4C742594">
      <w:pPr>
        <w:pStyle w:val="202"/>
      </w:pPr>
      <w:r>
        <w:t>按照</w:t>
      </w:r>
      <w:r>
        <w:fldChar w:fldCharType="begin"/>
      </w:r>
      <w:r>
        <w:instrText xml:space="preserve"> REF _Ref393185751 \r \h </w:instrText>
      </w:r>
      <w:r>
        <w:fldChar w:fldCharType="separate"/>
      </w:r>
      <w:r>
        <w:rPr>
          <w:rFonts w:hint="eastAsia"/>
        </w:rPr>
        <w:t>图11-62</w:t>
      </w:r>
      <w:r>
        <w:fldChar w:fldCharType="end"/>
      </w:r>
      <w:r>
        <w:t>组网</w:t>
      </w:r>
      <w:r>
        <w:rPr>
          <w:rFonts w:hint="eastAsia"/>
        </w:rPr>
        <w:t>。</w:t>
      </w:r>
    </w:p>
    <w:p w14:paraId="1ED278D5">
      <w:pPr>
        <w:pStyle w:val="202"/>
      </w:pPr>
      <w:r>
        <w:rPr>
          <w:rFonts w:hint="eastAsia"/>
          <w:lang w:eastAsia="zh-CN"/>
        </w:rPr>
        <w:t>设备 A配置IPv6手动隧道。</w:t>
      </w:r>
      <w:r>
        <w:rPr>
          <w:rFonts w:hint="eastAsia"/>
        </w:rPr>
        <w:t>如</w:t>
      </w:r>
      <w:r>
        <w:fldChar w:fldCharType="begin"/>
      </w:r>
      <w:r>
        <w:instrText xml:space="preserve"> </w:instrText>
      </w:r>
      <w:r>
        <w:rPr>
          <w:rFonts w:hint="eastAsia"/>
        </w:rPr>
        <w:instrText xml:space="preserve">REF _Ref393186374 \r \h</w:instrText>
      </w:r>
      <w:r>
        <w:instrText xml:space="preserve"> </w:instrText>
      </w:r>
      <w:r>
        <w:fldChar w:fldCharType="separate"/>
      </w:r>
      <w:r>
        <w:rPr>
          <w:rFonts w:hint="eastAsia"/>
        </w:rPr>
        <w:t>图11-63</w:t>
      </w:r>
      <w:r>
        <w:fldChar w:fldCharType="end"/>
      </w:r>
      <w:r>
        <w:rPr>
          <w:rFonts w:hint="eastAsia"/>
        </w:rPr>
        <w:t>所示。</w:t>
      </w:r>
    </w:p>
    <w:p w14:paraId="0B724399">
      <w:pPr>
        <w:pStyle w:val="188"/>
      </w:pPr>
      <w:bookmarkStart w:id="3908" w:name="_Ref393186374"/>
      <w:bookmarkStart w:id="3909" w:name="_Toc141874731"/>
      <w:r>
        <w:rPr>
          <w:rFonts w:hint="eastAsia"/>
        </w:rPr>
        <w:t>设备 A配置页面</w:t>
      </w:r>
      <w:bookmarkEnd w:id="3908"/>
      <w:bookmarkEnd w:id="3909"/>
    </w:p>
    <w:p w14:paraId="3997EB3F">
      <w:r>
        <w:drawing>
          <wp:inline distT="0" distB="0" distL="114300" distR="114300">
            <wp:extent cx="4124325" cy="2801620"/>
            <wp:effectExtent l="0" t="0" r="0" b="0"/>
            <wp:docPr id="106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图片 145"/>
                    <pic:cNvPicPr>
                      <a:picLocks noChangeAspect="1"/>
                    </pic:cNvPicPr>
                  </pic:nvPicPr>
                  <pic:blipFill>
                    <a:blip r:embed="rId527"/>
                    <a:srcRect r="19869"/>
                    <a:stretch>
                      <a:fillRect/>
                    </a:stretch>
                  </pic:blipFill>
                  <pic:spPr>
                    <a:xfrm>
                      <a:off x="0" y="0"/>
                      <a:ext cx="4129647" cy="2805609"/>
                    </a:xfrm>
                    <a:prstGeom prst="rect">
                      <a:avLst/>
                    </a:prstGeom>
                    <a:noFill/>
                    <a:ln>
                      <a:noFill/>
                    </a:ln>
                  </pic:spPr>
                </pic:pic>
              </a:graphicData>
            </a:graphic>
          </wp:inline>
        </w:drawing>
      </w:r>
    </w:p>
    <w:p w14:paraId="14289F3D"/>
    <w:p w14:paraId="7571A858">
      <w:pPr>
        <w:pStyle w:val="202"/>
        <w:rPr>
          <w:lang w:eastAsia="zh-CN"/>
        </w:rPr>
      </w:pPr>
      <w:r>
        <w:rPr>
          <w:rFonts w:hint="eastAsia"/>
          <w:lang w:eastAsia="zh-CN"/>
        </w:rPr>
        <w:t>配置设备 B手动隧道。如</w:t>
      </w:r>
      <w:r>
        <w:fldChar w:fldCharType="begin"/>
      </w:r>
      <w:r>
        <w:rPr>
          <w:lang w:eastAsia="zh-CN"/>
        </w:rPr>
        <w:instrText xml:space="preserve"> </w:instrText>
      </w:r>
      <w:r>
        <w:rPr>
          <w:rFonts w:hint="eastAsia"/>
          <w:lang w:eastAsia="zh-CN"/>
        </w:rPr>
        <w:instrText xml:space="preserve">REF _Ref393186423 \r \h</w:instrText>
      </w:r>
      <w:r>
        <w:rPr>
          <w:lang w:eastAsia="zh-CN"/>
        </w:rPr>
        <w:instrText xml:space="preserve"> </w:instrText>
      </w:r>
      <w:r>
        <w:fldChar w:fldCharType="separate"/>
      </w:r>
      <w:r>
        <w:rPr>
          <w:rFonts w:hint="eastAsia"/>
          <w:lang w:eastAsia="zh-CN"/>
        </w:rPr>
        <w:t>图11-64</w:t>
      </w:r>
      <w:r>
        <w:fldChar w:fldCharType="end"/>
      </w:r>
      <w:r>
        <w:rPr>
          <w:rFonts w:hint="eastAsia"/>
          <w:lang w:eastAsia="zh-CN"/>
        </w:rPr>
        <w:t>所示。</w:t>
      </w:r>
    </w:p>
    <w:p w14:paraId="24543939">
      <w:pPr>
        <w:pStyle w:val="188"/>
      </w:pPr>
      <w:bookmarkStart w:id="3910" w:name="_Ref393186423"/>
      <w:bookmarkStart w:id="3911" w:name="_Toc141874732"/>
      <w:r>
        <w:rPr>
          <w:rFonts w:hint="eastAsia"/>
        </w:rPr>
        <w:t>配置设备 B手动隧道</w:t>
      </w:r>
      <w:bookmarkEnd w:id="3910"/>
      <w:bookmarkEnd w:id="3911"/>
    </w:p>
    <w:p w14:paraId="4E23FFEC">
      <w:r>
        <w:drawing>
          <wp:inline distT="0" distB="0" distL="114300" distR="114300">
            <wp:extent cx="3752850" cy="2413635"/>
            <wp:effectExtent l="0" t="0" r="0" b="5715"/>
            <wp:docPr id="106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图片 146"/>
                    <pic:cNvPicPr>
                      <a:picLocks noChangeAspect="1"/>
                    </pic:cNvPicPr>
                  </pic:nvPicPr>
                  <pic:blipFill>
                    <a:blip r:embed="rId528"/>
                    <a:srcRect r="24576" b="10078"/>
                    <a:stretch>
                      <a:fillRect/>
                    </a:stretch>
                  </pic:blipFill>
                  <pic:spPr>
                    <a:xfrm>
                      <a:off x="0" y="0"/>
                      <a:ext cx="3760480" cy="2418960"/>
                    </a:xfrm>
                    <a:prstGeom prst="rect">
                      <a:avLst/>
                    </a:prstGeom>
                    <a:noFill/>
                    <a:ln>
                      <a:noFill/>
                    </a:ln>
                  </pic:spPr>
                </pic:pic>
              </a:graphicData>
            </a:graphic>
          </wp:inline>
        </w:drawing>
      </w:r>
    </w:p>
    <w:p w14:paraId="561DCDC2"/>
    <w:p w14:paraId="506B8130">
      <w:pPr>
        <w:pStyle w:val="202"/>
      </w:pPr>
      <w:r>
        <w:t>配置主机</w:t>
      </w:r>
      <w:r>
        <w:rPr>
          <w:rFonts w:hint="eastAsia"/>
        </w:rPr>
        <w:t>。</w:t>
      </w:r>
    </w:p>
    <w:p w14:paraId="4747F5FD">
      <w:r>
        <w:rPr>
          <w:rFonts w:hint="eastAsia"/>
        </w:rPr>
        <w:t>配置Host A的IPv6地址为2003:7856::3/64，默认网关配置为设备 A的ge0口的地址2003:7856::1。</w:t>
      </w:r>
    </w:p>
    <w:p w14:paraId="2EB4C5CD">
      <w:r>
        <w:rPr>
          <w:rFonts w:hint="eastAsia"/>
        </w:rPr>
        <w:t>配置Host B的IPv6地址为3003:7856::3/64，默认网关配置为设备 B的ge0口的地址3003:7856::1。</w:t>
      </w:r>
    </w:p>
    <w:p w14:paraId="6815099C">
      <w:pPr>
        <w:pStyle w:val="6"/>
      </w:pPr>
      <w:r>
        <w:t>验证配置</w:t>
      </w:r>
    </w:p>
    <w:p w14:paraId="0A1E9219">
      <w:r>
        <w:rPr>
          <w:rFonts w:hint="eastAsia"/>
        </w:rPr>
        <w:t>在HostB上ping 2003:7856::3 来验证。</w:t>
      </w:r>
    </w:p>
    <w:p w14:paraId="51D77630">
      <w:pPr>
        <w:pStyle w:val="196"/>
        <w:spacing w:after="156"/>
      </w:pPr>
      <w:r>
        <w:rPr>
          <w:rFonts w:hint="eastAsia"/>
        </w:rPr>
        <w:t>hostA</w:t>
      </w:r>
      <w:r>
        <w:t xml:space="preserve"># ping6 </w:t>
      </w:r>
      <w:r>
        <w:rPr>
          <w:rFonts w:hint="eastAsia"/>
        </w:rPr>
        <w:t>2003:7856::3</w:t>
      </w:r>
    </w:p>
    <w:p w14:paraId="51DDF69D">
      <w:pPr>
        <w:pStyle w:val="196"/>
        <w:spacing w:after="156"/>
      </w:pPr>
      <w:r>
        <w:t xml:space="preserve">PING </w:t>
      </w:r>
      <w:r>
        <w:rPr>
          <w:rFonts w:hint="eastAsia"/>
        </w:rPr>
        <w:t>2003:7856::3</w:t>
      </w:r>
      <w:r>
        <w:t xml:space="preserve"> (</w:t>
      </w:r>
      <w:r>
        <w:rPr>
          <w:rFonts w:hint="eastAsia"/>
        </w:rPr>
        <w:t>3003:7856::3</w:t>
      </w:r>
      <w:r>
        <w:t>) 56 data bytes</w:t>
      </w:r>
    </w:p>
    <w:p w14:paraId="4B4AC372">
      <w:pPr>
        <w:pStyle w:val="196"/>
        <w:spacing w:after="156"/>
      </w:pPr>
      <w:r>
        <w:t xml:space="preserve">      seq       ttl     time(ms)</w:t>
      </w:r>
    </w:p>
    <w:p w14:paraId="0E38C129">
      <w:pPr>
        <w:pStyle w:val="196"/>
        <w:spacing w:after="156"/>
      </w:pPr>
      <w:r>
        <w:t xml:space="preserve">        1       128     1.178</w:t>
      </w:r>
    </w:p>
    <w:p w14:paraId="32570615">
      <w:pPr>
        <w:pStyle w:val="196"/>
        <w:spacing w:after="156"/>
      </w:pPr>
      <w:r>
        <w:t xml:space="preserve">        2       128     1.339</w:t>
      </w:r>
    </w:p>
    <w:p w14:paraId="4F911258">
      <w:pPr>
        <w:pStyle w:val="196"/>
        <w:spacing w:after="156"/>
      </w:pPr>
      <w:r>
        <w:t xml:space="preserve">        3       128     1.053</w:t>
      </w:r>
    </w:p>
    <w:p w14:paraId="0B799516">
      <w:pPr>
        <w:pStyle w:val="196"/>
        <w:spacing w:after="156"/>
      </w:pPr>
      <w:r>
        <w:t xml:space="preserve">        4       128     1.111</w:t>
      </w:r>
    </w:p>
    <w:p w14:paraId="52591BAC">
      <w:pPr>
        <w:pStyle w:val="196"/>
        <w:spacing w:after="156"/>
      </w:pPr>
      <w:r>
        <w:t xml:space="preserve">        5       128     1.170</w:t>
      </w:r>
    </w:p>
    <w:p w14:paraId="3F87758B">
      <w:pPr>
        <w:pStyle w:val="196"/>
        <w:spacing w:after="156"/>
      </w:pPr>
    </w:p>
    <w:p w14:paraId="4AB52A17">
      <w:pPr>
        <w:pStyle w:val="196"/>
        <w:spacing w:after="156"/>
      </w:pPr>
      <w:r>
        <w:t xml:space="preserve">--- </w:t>
      </w:r>
      <w:r>
        <w:rPr>
          <w:rFonts w:hint="eastAsia"/>
        </w:rPr>
        <w:t>2003:7856::3</w:t>
      </w:r>
      <w:r>
        <w:t xml:space="preserve"> ping statistics ---</w:t>
      </w:r>
    </w:p>
    <w:p w14:paraId="231C90F8">
      <w:pPr>
        <w:pStyle w:val="196"/>
        <w:spacing w:after="156"/>
      </w:pPr>
      <w:r>
        <w:t>5 packets transmitted, 5 received, 0% packet loss, time 4004ms</w:t>
      </w:r>
    </w:p>
    <w:p w14:paraId="19F2410E">
      <w:pPr>
        <w:pStyle w:val="196"/>
        <w:spacing w:after="156"/>
      </w:pPr>
      <w:r>
        <w:t>rtt min/avg/max/mdev = 1.053/1.170/1.339/0.098 ms</w:t>
      </w:r>
    </w:p>
    <w:p w14:paraId="7DB66A15">
      <w:pPr>
        <w:pStyle w:val="196"/>
        <w:spacing w:after="156"/>
      </w:pPr>
    </w:p>
    <w:p w14:paraId="5A10AA14">
      <w:pPr>
        <w:pStyle w:val="5"/>
      </w:pPr>
      <w:bookmarkStart w:id="3912" w:name="_Toc141873495"/>
      <w:bookmarkStart w:id="3913" w:name="_Toc142401011"/>
      <w:bookmarkStart w:id="3914" w:name="_Toc172218246"/>
      <w:bookmarkStart w:id="3915" w:name="_Toc194080873"/>
      <w:bookmarkStart w:id="3916" w:name="_Toc196728205"/>
      <w:r>
        <w:rPr>
          <w:rFonts w:hint="eastAsia"/>
        </w:rPr>
        <w:t>IPv6异常包</w:t>
      </w:r>
      <w:bookmarkEnd w:id="3899"/>
      <w:bookmarkEnd w:id="3900"/>
      <w:r>
        <w:rPr>
          <w:rFonts w:hint="eastAsia"/>
        </w:rPr>
        <w:t>攻击防御</w:t>
      </w:r>
      <w:bookmarkEnd w:id="3901"/>
      <w:bookmarkEnd w:id="3902"/>
      <w:bookmarkEnd w:id="3903"/>
      <w:bookmarkEnd w:id="3904"/>
      <w:bookmarkEnd w:id="3905"/>
      <w:bookmarkEnd w:id="3912"/>
      <w:bookmarkEnd w:id="3913"/>
      <w:bookmarkEnd w:id="3914"/>
      <w:bookmarkEnd w:id="3915"/>
      <w:bookmarkEnd w:id="3916"/>
    </w:p>
    <w:p w14:paraId="4C59A43F">
      <w:r>
        <w:rPr>
          <w:rFonts w:hint="eastAsia"/>
        </w:rPr>
        <w:t>通过菜单“策略配置 &gt; 安全设置 &gt; 安全防护 &gt; 异常包攻击防御 &gt; IPv6异常包攻击防御”，进入IPv6异常包攻击防御，如</w:t>
      </w:r>
      <w:r>
        <w:rPr>
          <w:color w:val="0000FF"/>
          <w:u w:val="single"/>
        </w:rPr>
        <w:fldChar w:fldCharType="begin"/>
      </w:r>
      <w:r>
        <w:rPr>
          <w:color w:val="0000FF"/>
          <w:u w:val="single"/>
        </w:rPr>
        <w:instrText xml:space="preserve"> </w:instrText>
      </w:r>
      <w:r>
        <w:rPr>
          <w:rFonts w:hint="eastAsia"/>
          <w:color w:val="0000FF"/>
          <w:u w:val="single"/>
        </w:rPr>
        <w:instrText xml:space="preserve">REF _Ref393120526 \r \h</w:instrText>
      </w:r>
      <w:r>
        <w:rPr>
          <w:color w:val="0000FF"/>
          <w:u w:val="single"/>
        </w:rPr>
        <w:instrText xml:space="preserve"> </w:instrText>
      </w:r>
      <w:r>
        <w:rPr>
          <w:color w:val="0000FF"/>
          <w:u w:val="single"/>
        </w:rPr>
        <w:fldChar w:fldCharType="separate"/>
      </w:r>
      <w:r>
        <w:rPr>
          <w:rFonts w:hint="eastAsia"/>
          <w:color w:val="0000FF"/>
          <w:u w:val="single"/>
        </w:rPr>
        <w:t>图11-65</w:t>
      </w:r>
      <w:r>
        <w:rPr>
          <w:color w:val="0000FF"/>
          <w:u w:val="single"/>
        </w:rPr>
        <w:fldChar w:fldCharType="end"/>
      </w:r>
      <w:r>
        <w:rPr>
          <w:rFonts w:hint="eastAsia"/>
        </w:rPr>
        <w:t>所示。在该页面上可以配置IPv6异常包攻击防御。各个配置项的含义如</w:t>
      </w:r>
      <w:r>
        <w:rPr>
          <w:color w:val="0000FF"/>
          <w:u w:val="single"/>
        </w:rPr>
        <w:fldChar w:fldCharType="begin"/>
      </w:r>
      <w:r>
        <w:rPr>
          <w:color w:val="0000FF"/>
          <w:u w:val="single"/>
        </w:rPr>
        <w:instrText xml:space="preserve"> </w:instrText>
      </w:r>
      <w:r>
        <w:rPr>
          <w:rFonts w:hint="eastAsia"/>
          <w:color w:val="0000FF"/>
          <w:u w:val="single"/>
        </w:rPr>
        <w:instrText xml:space="preserve">REF _Ref393120533 \r \h</w:instrText>
      </w:r>
      <w:r>
        <w:rPr>
          <w:color w:val="0000FF"/>
          <w:u w:val="single"/>
        </w:rPr>
        <w:instrText xml:space="preserve"> </w:instrText>
      </w:r>
      <w:r>
        <w:rPr>
          <w:color w:val="0000FF"/>
          <w:u w:val="single"/>
        </w:rPr>
        <w:fldChar w:fldCharType="separate"/>
      </w:r>
      <w:r>
        <w:rPr>
          <w:rFonts w:hint="eastAsia"/>
          <w:color w:val="0000FF"/>
          <w:u w:val="single"/>
        </w:rPr>
        <w:t>表11-1</w:t>
      </w:r>
      <w:r>
        <w:rPr>
          <w:color w:val="0000FF"/>
          <w:u w:val="single"/>
        </w:rPr>
        <w:fldChar w:fldCharType="end"/>
      </w:r>
      <w:r>
        <w:rPr>
          <w:rFonts w:hint="eastAsia"/>
        </w:rPr>
        <w:t>所示。</w:t>
      </w:r>
    </w:p>
    <w:p w14:paraId="25FEDCB4">
      <w:pPr>
        <w:pStyle w:val="188"/>
      </w:pPr>
      <w:bookmarkStart w:id="3917" w:name="_Ref393120526"/>
      <w:bookmarkStart w:id="3918" w:name="_Toc141874733"/>
      <w:r>
        <w:rPr>
          <w:rFonts w:hint="eastAsia"/>
        </w:rPr>
        <w:t>IPv6异常包攻击防御配置页面</w:t>
      </w:r>
      <w:bookmarkEnd w:id="3917"/>
      <w:bookmarkEnd w:id="3918"/>
    </w:p>
    <w:p w14:paraId="3D65BABC">
      <w:r>
        <w:drawing>
          <wp:inline distT="0" distB="0" distL="0" distR="0">
            <wp:extent cx="4438015" cy="2818765"/>
            <wp:effectExtent l="0" t="0" r="635" b="635"/>
            <wp:docPr id="1215" name="图片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 name="图片 1215"/>
                    <pic:cNvPicPr>
                      <a:picLocks noChangeAspect="1"/>
                    </pic:cNvPicPr>
                  </pic:nvPicPr>
                  <pic:blipFill>
                    <a:blip r:embed="rId529"/>
                    <a:stretch>
                      <a:fillRect/>
                    </a:stretch>
                  </pic:blipFill>
                  <pic:spPr>
                    <a:xfrm>
                      <a:off x="0" y="0"/>
                      <a:ext cx="4438095" cy="2819048"/>
                    </a:xfrm>
                    <a:prstGeom prst="rect">
                      <a:avLst/>
                    </a:prstGeom>
                  </pic:spPr>
                </pic:pic>
              </a:graphicData>
            </a:graphic>
          </wp:inline>
        </w:drawing>
      </w:r>
    </w:p>
    <w:p w14:paraId="02B993DE"/>
    <w:p w14:paraId="246A6FC3">
      <w:pPr>
        <w:pStyle w:val="183"/>
      </w:pPr>
      <w:bookmarkStart w:id="3919" w:name="_Ref393120533"/>
      <w:bookmarkStart w:id="3920" w:name="_Toc141875546"/>
      <w:r>
        <w:rPr>
          <w:rFonts w:hint="eastAsia"/>
        </w:rPr>
        <w:t>IPv6异常包攻击防御配置项含义描述表</w:t>
      </w:r>
      <w:bookmarkEnd w:id="3919"/>
      <w:bookmarkEnd w:id="3920"/>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628"/>
        <w:gridCol w:w="6386"/>
      </w:tblGrid>
      <w:tr w14:paraId="6D921C8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632" w:type="dxa"/>
            <w:tcBorders>
              <w:tl2br w:val="nil"/>
              <w:tr2bl w:val="nil"/>
            </w:tcBorders>
            <w:shd w:val="clear" w:color="auto" w:fill="538135" w:themeFill="accent6" w:themeFillShade="BF"/>
            <w:vAlign w:val="center"/>
          </w:tcPr>
          <w:p w14:paraId="224E4397">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400" w:type="dxa"/>
            <w:tcBorders>
              <w:tl2br w:val="nil"/>
              <w:tr2bl w:val="nil"/>
            </w:tcBorders>
            <w:shd w:val="clear" w:color="auto" w:fill="538135" w:themeFill="accent6" w:themeFillShade="BF"/>
            <w:vAlign w:val="center"/>
          </w:tcPr>
          <w:p w14:paraId="2F83C7BB">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2013AF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632" w:type="dxa"/>
            <w:shd w:val="clear" w:color="auto" w:fill="auto"/>
          </w:tcPr>
          <w:p w14:paraId="195D982D">
            <w:pPr>
              <w:pStyle w:val="186"/>
              <w:widowControl w:val="0"/>
              <w:spacing w:line="240" w:lineRule="auto"/>
              <w:ind w:firstLine="0"/>
              <w:jc w:val="left"/>
            </w:pPr>
            <w:r>
              <w:rPr>
                <w:rFonts w:hint="eastAsia"/>
              </w:rPr>
              <w:t>Winnuke</w:t>
            </w:r>
          </w:p>
        </w:tc>
        <w:tc>
          <w:tcPr>
            <w:tcW w:w="6400" w:type="dxa"/>
            <w:shd w:val="clear" w:color="auto" w:fill="auto"/>
          </w:tcPr>
          <w:p w14:paraId="36A3B91C">
            <w:pPr>
              <w:pStyle w:val="186"/>
              <w:widowControl w:val="0"/>
              <w:spacing w:line="240" w:lineRule="auto"/>
              <w:ind w:firstLine="0"/>
              <w:jc w:val="left"/>
            </w:pPr>
            <w:r>
              <w:rPr>
                <w:rFonts w:hint="eastAsia"/>
              </w:rPr>
              <w:t>winnuke报文攻击。</w:t>
            </w:r>
          </w:p>
        </w:tc>
      </w:tr>
      <w:tr w14:paraId="495178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632" w:type="dxa"/>
            <w:shd w:val="clear" w:color="auto" w:fill="auto"/>
          </w:tcPr>
          <w:p w14:paraId="443F0C3D">
            <w:pPr>
              <w:pStyle w:val="186"/>
              <w:widowControl w:val="0"/>
              <w:spacing w:line="240" w:lineRule="auto"/>
              <w:ind w:firstLine="0"/>
              <w:jc w:val="left"/>
            </w:pPr>
            <w:r>
              <w:rPr>
                <w:rFonts w:hint="eastAsia"/>
              </w:rPr>
              <w:t>Land-Base</w:t>
            </w:r>
          </w:p>
        </w:tc>
        <w:tc>
          <w:tcPr>
            <w:tcW w:w="6400" w:type="dxa"/>
            <w:shd w:val="clear" w:color="auto" w:fill="auto"/>
          </w:tcPr>
          <w:p w14:paraId="41C54E16">
            <w:pPr>
              <w:pStyle w:val="186"/>
              <w:widowControl w:val="0"/>
              <w:spacing w:line="240" w:lineRule="auto"/>
              <w:ind w:firstLine="0"/>
              <w:jc w:val="left"/>
            </w:pPr>
            <w:r>
              <w:rPr>
                <w:rFonts w:hint="eastAsia"/>
              </w:rPr>
              <w:t>Land-base报文攻击。</w:t>
            </w:r>
          </w:p>
        </w:tc>
      </w:tr>
      <w:tr w14:paraId="5BC305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632" w:type="dxa"/>
            <w:shd w:val="clear" w:color="auto" w:fill="auto"/>
          </w:tcPr>
          <w:p w14:paraId="557E7242">
            <w:pPr>
              <w:pStyle w:val="186"/>
              <w:widowControl w:val="0"/>
              <w:spacing w:line="240" w:lineRule="auto"/>
              <w:ind w:firstLine="0"/>
              <w:jc w:val="left"/>
            </w:pPr>
            <w:r>
              <w:rPr>
                <w:rFonts w:hint="eastAsia"/>
              </w:rPr>
              <w:t>TCP flag</w:t>
            </w:r>
          </w:p>
        </w:tc>
        <w:tc>
          <w:tcPr>
            <w:tcW w:w="6400" w:type="dxa"/>
            <w:shd w:val="clear" w:color="auto" w:fill="auto"/>
          </w:tcPr>
          <w:p w14:paraId="6EF22D5C">
            <w:pPr>
              <w:pStyle w:val="186"/>
              <w:widowControl w:val="0"/>
              <w:spacing w:line="240" w:lineRule="auto"/>
              <w:ind w:firstLine="0"/>
              <w:jc w:val="left"/>
            </w:pPr>
            <w:r>
              <w:rPr>
                <w:rFonts w:hint="eastAsia"/>
              </w:rPr>
              <w:t>异常的TCP flag报文攻击。</w:t>
            </w:r>
          </w:p>
        </w:tc>
      </w:tr>
      <w:tr w14:paraId="072A28A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632" w:type="dxa"/>
            <w:shd w:val="clear" w:color="auto" w:fill="auto"/>
          </w:tcPr>
          <w:p w14:paraId="63A4B8E1">
            <w:pPr>
              <w:pStyle w:val="186"/>
              <w:widowControl w:val="0"/>
              <w:spacing w:line="240" w:lineRule="auto"/>
              <w:ind w:firstLine="0"/>
              <w:jc w:val="left"/>
            </w:pPr>
            <w:r>
              <w:rPr>
                <w:rFonts w:hint="eastAsia"/>
              </w:rPr>
              <w:t>Fraggle</w:t>
            </w:r>
          </w:p>
        </w:tc>
        <w:tc>
          <w:tcPr>
            <w:tcW w:w="6400" w:type="dxa"/>
            <w:shd w:val="clear" w:color="auto" w:fill="auto"/>
          </w:tcPr>
          <w:p w14:paraId="415579B0">
            <w:pPr>
              <w:pStyle w:val="186"/>
              <w:widowControl w:val="0"/>
              <w:spacing w:line="240" w:lineRule="auto"/>
              <w:ind w:firstLine="0"/>
              <w:jc w:val="left"/>
            </w:pPr>
            <w:r>
              <w:rPr>
                <w:rFonts w:hint="eastAsia"/>
              </w:rPr>
              <w:t>fraggle报文攻击。</w:t>
            </w:r>
          </w:p>
        </w:tc>
      </w:tr>
      <w:tr w14:paraId="421EEC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632" w:type="dxa"/>
            <w:shd w:val="clear" w:color="auto" w:fill="auto"/>
          </w:tcPr>
          <w:p w14:paraId="7765A491">
            <w:pPr>
              <w:pStyle w:val="186"/>
              <w:widowControl w:val="0"/>
              <w:spacing w:line="240" w:lineRule="auto"/>
              <w:ind w:firstLine="0"/>
              <w:jc w:val="left"/>
            </w:pPr>
            <w:r>
              <w:rPr>
                <w:rFonts w:hint="eastAsia"/>
              </w:rPr>
              <w:t>IP spoof</w:t>
            </w:r>
          </w:p>
        </w:tc>
        <w:tc>
          <w:tcPr>
            <w:tcW w:w="6400" w:type="dxa"/>
            <w:shd w:val="clear" w:color="auto" w:fill="auto"/>
          </w:tcPr>
          <w:p w14:paraId="11674717">
            <w:pPr>
              <w:pStyle w:val="186"/>
              <w:widowControl w:val="0"/>
              <w:spacing w:line="240" w:lineRule="auto"/>
              <w:ind w:firstLine="0"/>
              <w:jc w:val="left"/>
            </w:pPr>
            <w:r>
              <w:rPr>
                <w:rFonts w:hint="eastAsia"/>
              </w:rPr>
              <w:t>IP地址欺骗攻击。</w:t>
            </w:r>
          </w:p>
        </w:tc>
      </w:tr>
    </w:tbl>
    <w:p w14:paraId="377473C7">
      <w:bookmarkStart w:id="3921" w:name="_Toc389059538"/>
      <w:bookmarkStart w:id="3922" w:name="_Toc389750233"/>
    </w:p>
    <w:bookmarkEnd w:id="3921"/>
    <w:bookmarkEnd w:id="3922"/>
    <w:p w14:paraId="098A62CD">
      <w:pPr>
        <w:pStyle w:val="3"/>
      </w:pPr>
      <w:bookmarkStart w:id="3923" w:name="_Toc23694"/>
      <w:bookmarkStart w:id="3924" w:name="_Toc99561589"/>
      <w:bookmarkStart w:id="3925" w:name="_Toc172218247"/>
      <w:bookmarkStart w:id="3926" w:name="_Toc196728206"/>
      <w:bookmarkStart w:id="3927" w:name="_Toc142401012"/>
      <w:bookmarkStart w:id="3928" w:name="_Toc141873496"/>
      <w:bookmarkStart w:id="3929" w:name="_Toc194080874"/>
      <w:bookmarkStart w:id="3930" w:name="_Toc71294218"/>
      <w:r>
        <w:rPr>
          <w:rFonts w:hint="eastAsia"/>
        </w:rPr>
        <w:t>代理</w:t>
      </w:r>
      <w:bookmarkEnd w:id="3923"/>
      <w:r>
        <w:rPr>
          <w:rFonts w:hint="eastAsia"/>
        </w:rPr>
        <w:t>上网</w:t>
      </w:r>
      <w:bookmarkEnd w:id="3924"/>
      <w:bookmarkEnd w:id="3925"/>
      <w:bookmarkEnd w:id="3926"/>
      <w:bookmarkEnd w:id="3927"/>
      <w:bookmarkEnd w:id="3928"/>
      <w:bookmarkEnd w:id="3929"/>
      <w:bookmarkEnd w:id="3930"/>
    </w:p>
    <w:p w14:paraId="1CFD0D38">
      <w:pPr>
        <w:pStyle w:val="4"/>
      </w:pPr>
      <w:bookmarkStart w:id="3931" w:name="_Toc172218248"/>
      <w:bookmarkStart w:id="3932" w:name="_Toc196728207"/>
      <w:bookmarkStart w:id="3933" w:name="_Toc30834"/>
      <w:bookmarkStart w:id="3934" w:name="_Toc142401013"/>
      <w:bookmarkStart w:id="3935" w:name="_Toc194080875"/>
      <w:bookmarkStart w:id="3936" w:name="_Toc141873497"/>
      <w:bookmarkStart w:id="3937" w:name="_Toc71294219"/>
      <w:bookmarkStart w:id="3938" w:name="_Toc99561590"/>
      <w:r>
        <w:rPr>
          <w:rFonts w:hint="eastAsia"/>
        </w:rPr>
        <w:t>概述</w:t>
      </w:r>
      <w:bookmarkEnd w:id="3931"/>
      <w:bookmarkEnd w:id="3932"/>
      <w:bookmarkEnd w:id="3933"/>
      <w:bookmarkEnd w:id="3934"/>
      <w:bookmarkEnd w:id="3935"/>
      <w:bookmarkEnd w:id="3936"/>
      <w:bookmarkEnd w:id="3937"/>
      <w:bookmarkEnd w:id="3938"/>
    </w:p>
    <w:p w14:paraId="32F0E068">
      <w:r>
        <w:rPr>
          <w:rFonts w:hint="eastAsia"/>
        </w:rPr>
        <w:t>代理服务器是一种重要的服务器安全功能，主要工作在开放系统互联(OSI)模型的会话层或应用层，从而起到上网行为控制、提高访问速度以及保护内网安全等作用。</w:t>
      </w:r>
      <w:r>
        <w:t>在一般情况下，</w:t>
      </w:r>
      <w:r>
        <w:rPr>
          <w:rFonts w:hint="eastAsia"/>
        </w:rPr>
        <w:t>企业</w:t>
      </w:r>
      <w:r>
        <w:t>设置代理服务器一般都是基于以下几点原因考虑</w:t>
      </w:r>
      <w:r>
        <w:rPr>
          <w:rFonts w:hint="eastAsia"/>
        </w:rPr>
        <w:t>。当前代理功能支持</w:t>
      </w:r>
      <w:r>
        <w:rPr>
          <w:rFonts w:hint="eastAsia" w:asciiTheme="minorEastAsia" w:hAnsiTheme="minorEastAsia"/>
        </w:rPr>
        <w:t>HTTP代理、</w:t>
      </w:r>
      <w:r>
        <w:rPr>
          <w:rFonts w:hint="eastAsia"/>
        </w:rPr>
        <w:t>S</w:t>
      </w:r>
      <w:r>
        <w:t>OCKS4</w:t>
      </w:r>
      <w:r>
        <w:rPr>
          <w:rFonts w:hint="eastAsia"/>
        </w:rPr>
        <w:t>代理、SOCKS5代理三种方式。</w:t>
      </w:r>
    </w:p>
    <w:p w14:paraId="5DDDBF0F">
      <w:r>
        <w:rPr>
          <w:rFonts w:hint="eastAsia"/>
        </w:rPr>
        <w:t>代理服务器是一种重要的服务器安全功能，主要工作在开放系统互联(OSI)模型的会话层或应用层，从而起到上网行为控制、提高访问速度以及保护内网安全等作用。</w:t>
      </w:r>
    </w:p>
    <w:p w14:paraId="1EF79504">
      <w:r>
        <w:t>在一般情况下，</w:t>
      </w:r>
      <w:r>
        <w:rPr>
          <w:rFonts w:hint="eastAsia"/>
        </w:rPr>
        <w:t>企业</w:t>
      </w:r>
      <w:r>
        <w:t>设置代理服务器一般都是基于以下几点原因考虑</w:t>
      </w:r>
      <w:r>
        <w:rPr>
          <w:rFonts w:hint="eastAsia"/>
        </w:rPr>
        <w:t>：</w:t>
      </w:r>
    </w:p>
    <w:p w14:paraId="1B1C89E1">
      <w:r>
        <w:rPr>
          <w:rFonts w:hint="eastAsia"/>
        </w:rPr>
        <w:t>控制员工互联网使用：阻断与工作无关内容，提高工作效率；</w:t>
      </w:r>
    </w:p>
    <w:p w14:paraId="30E244E5">
      <w:r>
        <w:t>保障隐私权益</w:t>
      </w:r>
      <w:r>
        <w:rPr>
          <w:rFonts w:hint="eastAsia"/>
        </w:rPr>
        <w:t>：某些代理服务器将更改Web请求包括的IP地址和其他标识信息，保护用户隐私。</w:t>
      </w:r>
    </w:p>
    <w:p w14:paraId="7379DBF5">
      <w:r>
        <w:t>节省带宽和提升访问速度</w:t>
      </w:r>
      <w:r>
        <w:rPr>
          <w:rFonts w:hint="eastAsia"/>
        </w:rPr>
        <w:t>：如果多次请求或者多个请求是同样的内容，可以跳过从真实服务器取数据的过程，而是直接从代理服务器缓存中获取，提升访问速度。</w:t>
      </w:r>
    </w:p>
    <w:p w14:paraId="24F82CE2">
      <w:r>
        <w:t>提高安全性</w:t>
      </w:r>
      <w:r>
        <w:rPr>
          <w:rFonts w:hint="eastAsia"/>
        </w:rPr>
        <w:t>：代理服务器支持配置加密Web请求，还可以阻止已知恶意软件站点通过代理服务器进行任何访问，保护企业内网安全。</w:t>
      </w:r>
    </w:p>
    <w:p w14:paraId="5FDE9CB6">
      <w:pPr>
        <w:rPr>
          <w:bCs/>
        </w:rPr>
      </w:pPr>
      <w:r>
        <w:t>访问被阻止资源</w:t>
      </w:r>
      <w:r>
        <w:rPr>
          <w:rFonts w:hint="eastAsia"/>
        </w:rPr>
        <w:t>：代理服务器允许用户规避公司或政府施加的内容限制（例如查找技术资料需要访问谷歌等境外网站）。</w:t>
      </w:r>
    </w:p>
    <w:p w14:paraId="7A2EDE4F">
      <w:r>
        <w:t>在隐私性和安全性要求较高的环境中，内网终端和服务器不允许和互联网直接通信，必须通过代理设备</w:t>
      </w:r>
      <w:r>
        <w:rPr>
          <w:rFonts w:hint="eastAsia"/>
        </w:rPr>
        <w:t>，</w:t>
      </w:r>
      <w:r>
        <w:t>保障上网终端的隐私安全，保障业务系统外联尤其是第三方业务互连的隐私安全，避免被攻击</w:t>
      </w:r>
      <w:r>
        <w:rPr>
          <w:rFonts w:hint="eastAsia"/>
        </w:rPr>
        <w:t>。</w:t>
      </w:r>
    </w:p>
    <w:p w14:paraId="731387FD">
      <w:pPr>
        <w:rPr>
          <w:rFonts w:ascii="宋体" w:hAnsi="宋体" w:cs="宋体"/>
        </w:rPr>
      </w:pPr>
      <w:r>
        <w:rPr>
          <w:rFonts w:hint="eastAsia"/>
        </w:rPr>
        <w:t>HTTP代理与SOCKS代理的区别</w:t>
      </w:r>
      <w:r>
        <w:rPr>
          <w:rFonts w:hint="eastAsia" w:ascii="宋体" w:hAnsi="宋体" w:cs="宋体"/>
        </w:rPr>
        <w:t>：</w:t>
      </w:r>
    </w:p>
    <w:p w14:paraId="4F54E886">
      <w:r>
        <w:rPr>
          <w:rFonts w:hint="eastAsia"/>
        </w:rPr>
        <w:t>HTTP代理：最简单的一种代理形式，能够代理客户机的HTTP访问，上网浏览网页使用的都是HTTP协议，通常的HTTP代理端口为80、3128或8080端口。</w:t>
      </w:r>
    </w:p>
    <w:p w14:paraId="07694103">
      <w:r>
        <w:rPr>
          <w:rFonts w:hint="eastAsia"/>
        </w:rPr>
        <w:t>SOCKS代理：SOCKS代理与HTTP等其他类型的代理不同，它只是简单地传递数据包，而并不关心是何种应用协议，既可以是HTTP协议，也可以是FTP协议，或者其他任何协议，所以SOCKS代理服务器比其他类型的代理服务器速度要快得多。</w:t>
      </w:r>
    </w:p>
    <w:p w14:paraId="6BEFCBE1">
      <w:r>
        <w:rPr>
          <w:rFonts w:hint="eastAsia"/>
        </w:rPr>
        <w:t>SOCKS代理又分为SOCKS4和 SOCKS5，二者不同的是SOCKS4代理只支持TCP协议（即传输控制协议），而SOCKS5代理则既支持TCP协议又支持UDP协议（即用户数据包协议），还支持各种身份验证机制、服务器端远程域名解析等。SOCK4能做到的SOCKS5都可得到，但SOCKS5能够做到的SOCKS则不一定能做到。目前SOCKS5是最常用的一种SOCKS代理。</w:t>
      </w:r>
    </w:p>
    <w:p w14:paraId="696D74FE">
      <w:pPr>
        <w:pStyle w:val="5"/>
      </w:pPr>
      <w:bookmarkStart w:id="3939" w:name="_Toc141873498"/>
      <w:bookmarkStart w:id="3940" w:name="_Toc71294220"/>
      <w:bookmarkStart w:id="3941" w:name="_Toc28800"/>
      <w:bookmarkStart w:id="3942" w:name="_Toc194080876"/>
      <w:bookmarkStart w:id="3943" w:name="_Toc142401014"/>
      <w:bookmarkStart w:id="3944" w:name="_Toc24782"/>
      <w:bookmarkStart w:id="3945" w:name="_Toc99561591"/>
      <w:bookmarkStart w:id="3946" w:name="_Toc196728208"/>
      <w:bookmarkStart w:id="3947" w:name="_Toc172218249"/>
      <w:r>
        <w:rPr>
          <w:rFonts w:hint="eastAsia"/>
        </w:rPr>
        <w:t>原理介绍</w:t>
      </w:r>
      <w:bookmarkEnd w:id="3939"/>
      <w:bookmarkEnd w:id="3940"/>
      <w:bookmarkEnd w:id="3941"/>
      <w:bookmarkEnd w:id="3942"/>
      <w:bookmarkEnd w:id="3943"/>
      <w:bookmarkEnd w:id="3944"/>
      <w:bookmarkEnd w:id="3945"/>
      <w:bookmarkEnd w:id="3946"/>
      <w:bookmarkEnd w:id="3947"/>
    </w:p>
    <w:p w14:paraId="272E10A9">
      <w:pPr>
        <w:pStyle w:val="6"/>
      </w:pPr>
      <w:bookmarkStart w:id="3948" w:name="_Toc71294221"/>
      <w:bookmarkStart w:id="3949" w:name="_Toc59556433"/>
      <w:r>
        <w:rPr>
          <w:rFonts w:hint="eastAsia"/>
        </w:rPr>
        <w:t>HTTP 代理工作原理</w:t>
      </w:r>
      <w:bookmarkEnd w:id="3948"/>
    </w:p>
    <w:p w14:paraId="2D41FBD0">
      <w:pPr>
        <w:pStyle w:val="176"/>
        <w:spacing w:before="156" w:after="156"/>
      </w:pPr>
      <w:r>
        <w:rPr>
          <w:rFonts w:hint="eastAsia"/>
        </w:rPr>
        <w:t>普通代理</w:t>
      </w:r>
      <w:bookmarkEnd w:id="3949"/>
    </w:p>
    <w:p w14:paraId="57661AED">
      <w:r>
        <w:rPr>
          <w:rFonts w:hint="eastAsia"/>
        </w:rPr>
        <w:t>普通代理扮演的是“中间人”角色，对于连接到它的客户端来说，它是服务端；对于要连接的服务端来说，它是客户端。它就负责在两端之间来回传送HTTP报文。</w:t>
      </w:r>
    </w:p>
    <w:p w14:paraId="0323D111">
      <w:r>
        <w:rPr>
          <w:rFonts w:hint="eastAsia"/>
        </w:rPr>
        <w:t>HTTP客户端向代理发送请求报文，代理服务器需要正确地处理请求和连接，同时向服务器发送请求，并将收到的响应转发给客户端。</w:t>
      </w:r>
    </w:p>
    <w:p w14:paraId="101819EC">
      <w:pPr>
        <w:pStyle w:val="176"/>
        <w:spacing w:before="156" w:after="156"/>
      </w:pPr>
      <w:bookmarkStart w:id="3950" w:name="_Toc59556434"/>
      <w:r>
        <w:rPr>
          <w:rFonts w:hint="eastAsia"/>
        </w:rPr>
        <w:t>隧道代理</w:t>
      </w:r>
      <w:bookmarkEnd w:id="3950"/>
    </w:p>
    <w:p w14:paraId="07A734AD">
      <w:r>
        <w:rPr>
          <w:rFonts w:hint="eastAsia"/>
        </w:rPr>
        <w:t xml:space="preserve">隧道代理通过 </w:t>
      </w:r>
      <w:r>
        <w:t xml:space="preserve">HTTP </w:t>
      </w:r>
      <w:r>
        <w:rPr>
          <w:rFonts w:hint="eastAsia"/>
        </w:rPr>
        <w:t>协议正文部分（</w:t>
      </w:r>
      <w:r>
        <w:t>Body</w:t>
      </w:r>
      <w:r>
        <w:rPr>
          <w:rFonts w:hint="eastAsia"/>
        </w:rPr>
        <w:t xml:space="preserve">）完成通讯，以 </w:t>
      </w:r>
      <w:r>
        <w:t xml:space="preserve">HTTP </w:t>
      </w:r>
      <w:r>
        <w:rPr>
          <w:rFonts w:hint="eastAsia"/>
        </w:rPr>
        <w:t xml:space="preserve">的方式实现任意基于 </w:t>
      </w:r>
      <w:r>
        <w:t xml:space="preserve">TCP </w:t>
      </w:r>
      <w:r>
        <w:rPr>
          <w:rFonts w:hint="eastAsia"/>
        </w:rPr>
        <w:t xml:space="preserve">的应用层协议代理。这种代理使用 </w:t>
      </w:r>
      <w:r>
        <w:t xml:space="preserve">HTTP </w:t>
      </w:r>
      <w:r>
        <w:rPr>
          <w:rFonts w:hint="eastAsia"/>
        </w:rPr>
        <w:t xml:space="preserve">的 </w:t>
      </w:r>
      <w:r>
        <w:t xml:space="preserve">CONNECT </w:t>
      </w:r>
      <w:r>
        <w:rPr>
          <w:rFonts w:hint="eastAsia"/>
        </w:rPr>
        <w:t>方法建立连接</w:t>
      </w:r>
      <w:r>
        <w:t>。</w:t>
      </w:r>
    </w:p>
    <w:p w14:paraId="349C9555">
      <w:r>
        <w:t xml:space="preserve">HTTP </w:t>
      </w:r>
      <w:r>
        <w:rPr>
          <w:rFonts w:hint="eastAsia"/>
        </w:rPr>
        <w:t xml:space="preserve">客户端通过 </w:t>
      </w:r>
      <w:r>
        <w:t xml:space="preserve">CONNECT </w:t>
      </w:r>
      <w:r>
        <w:rPr>
          <w:rFonts w:hint="eastAsia"/>
        </w:rPr>
        <w:t xml:space="preserve">方法请求隧道代理创建一条到达任意目的服务器和端口的 </w:t>
      </w:r>
      <w:r>
        <w:t xml:space="preserve">TCP </w:t>
      </w:r>
      <w:r>
        <w:rPr>
          <w:rFonts w:hint="eastAsia"/>
        </w:rPr>
        <w:t>连接，并对客户端和服务器之间的后继数据进行盲转发。</w:t>
      </w:r>
    </w:p>
    <w:p w14:paraId="7619B877">
      <w:pPr>
        <w:pStyle w:val="6"/>
      </w:pPr>
      <w:bookmarkStart w:id="3951" w:name="_Toc71294222"/>
      <w:bookmarkStart w:id="3952" w:name="_Toc59556438"/>
      <w:r>
        <w:rPr>
          <w:rFonts w:hint="eastAsia"/>
        </w:rPr>
        <w:t>SOCKS4/SOCKS5工作原理</w:t>
      </w:r>
      <w:bookmarkEnd w:id="3951"/>
      <w:bookmarkEnd w:id="3952"/>
    </w:p>
    <w:p w14:paraId="53C69E39">
      <w:r>
        <w:rPr>
          <w:rFonts w:hint="eastAsia"/>
        </w:rPr>
        <w:t>SOCKS分为以下几个过程</w:t>
      </w:r>
    </w:p>
    <w:p w14:paraId="05B0C741">
      <w:pPr>
        <w:pStyle w:val="202"/>
      </w:pPr>
      <w:r>
        <w:rPr>
          <w:rFonts w:hint="eastAsia"/>
        </w:rPr>
        <w:t>认证协商</w:t>
      </w:r>
    </w:p>
    <w:p w14:paraId="69D8B438">
      <w:r>
        <w:t>客户端首先向SOCKS服务器</w:t>
      </w:r>
      <w:r>
        <w:rPr>
          <w:rFonts w:hint="eastAsia"/>
        </w:rPr>
        <w:t>发送</w:t>
      </w:r>
      <w:r>
        <w:t>自己的协议版本号，以及支持的认证方法。SOCKS服务器向客户端返回协议版本号以及选定的认证方法。</w:t>
      </w:r>
    </w:p>
    <w:p w14:paraId="3986BD9B">
      <w:pPr>
        <w:pStyle w:val="202"/>
      </w:pPr>
      <w:r>
        <w:t>认证</w:t>
      </w:r>
    </w:p>
    <w:p w14:paraId="0124C76B">
      <w:r>
        <w:t>客户端根据服务器端选定的方法进行认证，如果选定的方法是02,则根据RFC 1929定义的方法进行认证。RFC 1929定义的密码是明文传输，安全性较差。</w:t>
      </w:r>
    </w:p>
    <w:p w14:paraId="7B02FAC1">
      <w:pPr>
        <w:pStyle w:val="202"/>
      </w:pPr>
      <w:r>
        <w:rPr>
          <w:rFonts w:hint="eastAsia"/>
        </w:rPr>
        <w:t>请求</w:t>
      </w:r>
    </w:p>
    <w:p w14:paraId="3C5AC8BB">
      <w:r>
        <w:t>SOCKS 5 协议请求方法又分如下三种：</w:t>
      </w:r>
    </w:p>
    <w:p w14:paraId="01D394AA">
      <w:pPr>
        <w:pStyle w:val="162"/>
      </w:pPr>
      <w:r>
        <w:t>Connect</w:t>
      </w:r>
    </w:p>
    <w:p w14:paraId="2CFAF25C">
      <w:r>
        <w:t>比较常见的请求，客服端请求服务器发起链接到目标主机，目标端口的代理。SOCKS 服务器将使用目标主机，目标端口, 客户端的源地址和端口号来评估CONNECT 请求是否通过。成功之后后续流量都会被转发到目标主机的目标端口。</w:t>
      </w:r>
    </w:p>
    <w:p w14:paraId="32307A88">
      <w:pPr>
        <w:pStyle w:val="162"/>
      </w:pPr>
      <w:r>
        <w:t>Bind</w:t>
      </w:r>
    </w:p>
    <w:p w14:paraId="08D98C5A">
      <w:r>
        <w:t>BIND 请求通常被用在那些要求目标主机连接客户端</w:t>
      </w:r>
      <w:r>
        <w:rPr>
          <w:rFonts w:hint="eastAsia"/>
        </w:rPr>
        <w:t>的情况</w:t>
      </w:r>
      <w:r>
        <w:t>。FTP 是一个典型的例子。它建立一个从客户端到服务器的连接来传送命令和状态，而使用另一个从服务器到客户端的连接来传输请求（如LS、GET、PUT）的数据。建立流程如下：</w:t>
      </w:r>
    </w:p>
    <w:p w14:paraId="1CE9FD1D">
      <w:pPr>
        <w:pStyle w:val="202"/>
        <w:numPr>
          <w:ilvl w:val="7"/>
          <w:numId w:val="28"/>
        </w:numPr>
      </w:pPr>
      <w:r>
        <w:t>Client随BIND请求，发送其要绑定的地址和端口。</w:t>
      </w:r>
    </w:p>
    <w:p w14:paraId="579FFFA6">
      <w:pPr>
        <w:pStyle w:val="202"/>
      </w:pPr>
      <w:r>
        <w:t>Server返回其创建的监听端口的地址和端口。</w:t>
      </w:r>
    </w:p>
    <w:p w14:paraId="301F7366">
      <w:pPr>
        <w:pStyle w:val="202"/>
        <w:rPr>
          <w:lang w:eastAsia="zh-CN"/>
        </w:rPr>
      </w:pPr>
      <w:r>
        <w:rPr>
          <w:lang w:eastAsia="zh-CN"/>
        </w:rPr>
        <w:t>Server创建的监听端口有连接后，返回该连接的源地址和端口。</w:t>
      </w:r>
    </w:p>
    <w:p w14:paraId="419ADFB4">
      <w:pPr>
        <w:pStyle w:val="202"/>
      </w:pPr>
      <w:r>
        <w:t>Server端将上述连接中的流量，发送给client的监听端口。</w:t>
      </w:r>
    </w:p>
    <w:p w14:paraId="6D84D973">
      <w:pPr>
        <w:pStyle w:val="162"/>
      </w:pPr>
      <w:r>
        <w:t>UDP ASSOCIATE</w:t>
      </w:r>
    </w:p>
    <w:p w14:paraId="1C97018C">
      <w:r>
        <w:t>UDP ASSOCIATE 请求通常是要求建立一个 UDP 中继来处理到来的 UDP 数据包。DST.ADDR 和 DST.PORT 字段包含客户端所希望用来发送 UDP 数据包的 IP 地址和端口号。服务器可以使用这个信息来限制进入的连接。如果客户端在发送这个请求时没有地址和端口信息，客户端必须用全 0 来填充。</w:t>
      </w:r>
    </w:p>
    <w:p w14:paraId="68231992">
      <w:r>
        <w:t>当与 UDP 相对应的 TCP 连接中断时，该 UDP 连接也必须中断。</w:t>
      </w:r>
    </w:p>
    <w:p w14:paraId="2598DB58">
      <w:pPr>
        <w:pStyle w:val="4"/>
      </w:pPr>
      <w:bookmarkStart w:id="3953" w:name="_Toc30129"/>
      <w:bookmarkStart w:id="3954" w:name="_Toc99561592"/>
      <w:bookmarkStart w:id="3955" w:name="_Toc141873499"/>
      <w:bookmarkStart w:id="3956" w:name="_Toc71294223"/>
      <w:bookmarkStart w:id="3957" w:name="_Toc142401015"/>
      <w:bookmarkStart w:id="3958" w:name="_Toc172218250"/>
      <w:bookmarkStart w:id="3959" w:name="_Toc196728209"/>
      <w:bookmarkStart w:id="3960" w:name="_Toc194080877"/>
      <w:r>
        <w:rPr>
          <w:rFonts w:hint="eastAsia"/>
        </w:rPr>
        <w:t>配置代理上网功能</w:t>
      </w:r>
      <w:bookmarkEnd w:id="3953"/>
      <w:bookmarkEnd w:id="3954"/>
      <w:bookmarkEnd w:id="3955"/>
      <w:bookmarkEnd w:id="3956"/>
      <w:bookmarkEnd w:id="3957"/>
      <w:bookmarkEnd w:id="3958"/>
      <w:bookmarkEnd w:id="3959"/>
      <w:bookmarkEnd w:id="3960"/>
    </w:p>
    <w:p w14:paraId="7423889F">
      <w:pPr>
        <w:pStyle w:val="5"/>
      </w:pPr>
      <w:bookmarkStart w:id="3961" w:name="_Toc196728210"/>
      <w:bookmarkStart w:id="3962" w:name="_Toc71294224"/>
      <w:bookmarkStart w:id="3963" w:name="_Toc3104"/>
      <w:bookmarkStart w:id="3964" w:name="_Toc194080878"/>
      <w:r>
        <w:rPr>
          <w:rFonts w:hint="eastAsia"/>
        </w:rPr>
        <w:t>代理服务开启</w:t>
      </w:r>
      <w:bookmarkEnd w:id="3961"/>
      <w:bookmarkEnd w:id="3962"/>
      <w:bookmarkEnd w:id="3963"/>
      <w:bookmarkEnd w:id="3964"/>
    </w:p>
    <w:p w14:paraId="123D2ACF">
      <w:r>
        <w:rPr>
          <w:rFonts w:hint="eastAsia"/>
        </w:rPr>
        <w:t>在导航栏中选择“网络配置&gt;基础网络&gt;代理上网&gt;代理服务”，进入代理服务配置页面，如</w:t>
      </w:r>
      <w:r>
        <w:fldChar w:fldCharType="begin"/>
      </w:r>
      <w:r>
        <w:instrText xml:space="preserve"> </w:instrText>
      </w:r>
      <w:r>
        <w:rPr>
          <w:rFonts w:hint="eastAsia"/>
        </w:rPr>
        <w:instrText xml:space="preserve">REF _Ref67065805 \r \h</w:instrText>
      </w:r>
      <w:r>
        <w:instrText xml:space="preserve"> </w:instrText>
      </w:r>
      <w:r>
        <w:fldChar w:fldCharType="separate"/>
      </w:r>
      <w:r>
        <w:rPr>
          <w:rFonts w:hint="eastAsia"/>
        </w:rPr>
        <w:t>图12-1</w:t>
      </w:r>
      <w:r>
        <w:fldChar w:fldCharType="end"/>
      </w:r>
      <w:r>
        <w:rPr>
          <w:rFonts w:hint="eastAsia"/>
        </w:rPr>
        <w:t>所示，相关配置说明如</w:t>
      </w:r>
      <w:r>
        <w:fldChar w:fldCharType="begin"/>
      </w:r>
      <w:r>
        <w:instrText xml:space="preserve"> </w:instrText>
      </w:r>
      <w:r>
        <w:rPr>
          <w:rFonts w:hint="eastAsia"/>
        </w:rPr>
        <w:instrText xml:space="preserve">REF _Ref67065799 \r \h</w:instrText>
      </w:r>
      <w:r>
        <w:instrText xml:space="preserve"> </w:instrText>
      </w:r>
      <w:r>
        <w:fldChar w:fldCharType="separate"/>
      </w:r>
      <w:r>
        <w:rPr>
          <w:rFonts w:hint="eastAsia"/>
        </w:rPr>
        <w:t>表12-1</w:t>
      </w:r>
      <w:r>
        <w:fldChar w:fldCharType="end"/>
      </w:r>
      <w:r>
        <w:t>所示</w:t>
      </w:r>
      <w:r>
        <w:rPr>
          <w:rFonts w:hint="eastAsia"/>
        </w:rPr>
        <w:t>。</w:t>
      </w:r>
    </w:p>
    <w:p w14:paraId="4FA0022B">
      <w:pPr>
        <w:pStyle w:val="188"/>
      </w:pPr>
      <w:bookmarkStart w:id="3965" w:name="_Toc141874734"/>
      <w:bookmarkStart w:id="3966" w:name="_Ref67065805"/>
      <w:r>
        <w:rPr>
          <w:rFonts w:hint="eastAsia"/>
        </w:rPr>
        <w:t>代理服务配置页面</w:t>
      </w:r>
      <w:bookmarkEnd w:id="3965"/>
      <w:bookmarkEnd w:id="3966"/>
    </w:p>
    <w:p w14:paraId="48800396">
      <w:r>
        <w:drawing>
          <wp:inline distT="0" distB="0" distL="0" distR="0">
            <wp:extent cx="5400040" cy="2731135"/>
            <wp:effectExtent l="0" t="0" r="0" b="0"/>
            <wp:docPr id="4964" name="图片 4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4" name="图片 4964"/>
                    <pic:cNvPicPr>
                      <a:picLocks noChangeAspect="1"/>
                    </pic:cNvPicPr>
                  </pic:nvPicPr>
                  <pic:blipFill>
                    <a:blip r:embed="rId530"/>
                    <a:stretch>
                      <a:fillRect/>
                    </a:stretch>
                  </pic:blipFill>
                  <pic:spPr>
                    <a:xfrm>
                      <a:off x="0" y="0"/>
                      <a:ext cx="5400040" cy="2731396"/>
                    </a:xfrm>
                    <a:prstGeom prst="rect">
                      <a:avLst/>
                    </a:prstGeom>
                  </pic:spPr>
                </pic:pic>
              </a:graphicData>
            </a:graphic>
          </wp:inline>
        </w:drawing>
      </w:r>
    </w:p>
    <w:p w14:paraId="721674C5"/>
    <w:p w14:paraId="628A9D41">
      <w:pPr>
        <w:pStyle w:val="183"/>
      </w:pPr>
      <w:bookmarkStart w:id="3967" w:name="_Toc141875547"/>
      <w:bookmarkStart w:id="3968" w:name="_Ref67065799"/>
      <w:r>
        <w:t>代理服务页面配置说明</w:t>
      </w:r>
      <w:bookmarkEnd w:id="3967"/>
      <w:bookmarkEnd w:id="3968"/>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206"/>
        <w:gridCol w:w="6809"/>
      </w:tblGrid>
      <w:tr w14:paraId="1A1B22B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tcBorders>
              <w:tl2br w:val="nil"/>
              <w:tr2bl w:val="nil"/>
            </w:tcBorders>
            <w:shd w:val="clear" w:color="auto" w:fill="538135" w:themeFill="accent6" w:themeFillShade="BF"/>
            <w:vAlign w:val="center"/>
          </w:tcPr>
          <w:p w14:paraId="7ABFB1D5">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09" w:type="dxa"/>
            <w:tcBorders>
              <w:tl2br w:val="nil"/>
              <w:tr2bl w:val="nil"/>
            </w:tcBorders>
            <w:shd w:val="clear" w:color="auto" w:fill="538135" w:themeFill="accent6" w:themeFillShade="BF"/>
            <w:vAlign w:val="center"/>
          </w:tcPr>
          <w:p w14:paraId="271635D0">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0B5F3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1E106CA7">
            <w:pPr>
              <w:pStyle w:val="186"/>
              <w:widowControl w:val="0"/>
              <w:spacing w:line="240" w:lineRule="auto"/>
              <w:ind w:firstLine="0"/>
              <w:jc w:val="left"/>
            </w:pPr>
            <w:r>
              <w:rPr>
                <w:rFonts w:hint="eastAsia"/>
              </w:rPr>
              <w:t>启用HTTP代理勾选框</w:t>
            </w:r>
          </w:p>
        </w:tc>
        <w:tc>
          <w:tcPr>
            <w:tcW w:w="6809" w:type="dxa"/>
            <w:shd w:val="clear" w:color="auto" w:fill="auto"/>
          </w:tcPr>
          <w:p w14:paraId="7724FAC9">
            <w:pPr>
              <w:pStyle w:val="186"/>
              <w:widowControl w:val="0"/>
              <w:spacing w:line="240" w:lineRule="auto"/>
              <w:ind w:firstLine="0"/>
              <w:jc w:val="left"/>
            </w:pPr>
            <w:r>
              <w:rPr>
                <w:rFonts w:hint="eastAsia"/>
              </w:rPr>
              <w:t>启用/禁用HTTP代理服务</w:t>
            </w:r>
          </w:p>
        </w:tc>
      </w:tr>
      <w:tr w14:paraId="2E9E4E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3F3BC625">
            <w:pPr>
              <w:pStyle w:val="186"/>
              <w:widowControl w:val="0"/>
              <w:spacing w:line="240" w:lineRule="auto"/>
              <w:ind w:firstLine="0"/>
              <w:jc w:val="left"/>
            </w:pPr>
            <w:r>
              <w:rPr>
                <w:rFonts w:hint="eastAsia"/>
              </w:rPr>
              <w:t>代理端口</w:t>
            </w:r>
          </w:p>
        </w:tc>
        <w:tc>
          <w:tcPr>
            <w:tcW w:w="6809" w:type="dxa"/>
            <w:shd w:val="clear" w:color="auto" w:fill="auto"/>
          </w:tcPr>
          <w:p w14:paraId="732D5EE4">
            <w:pPr>
              <w:pStyle w:val="186"/>
              <w:widowControl w:val="0"/>
              <w:spacing w:line="240" w:lineRule="auto"/>
              <w:ind w:firstLine="0"/>
              <w:jc w:val="left"/>
            </w:pPr>
            <w:r>
              <w:rPr>
                <w:rFonts w:hint="eastAsia"/>
              </w:rPr>
              <w:t>代理服务启用的端口，1025-65535，最多支持5个端口号，使用逗号隔开，不可重复，启用服务时必填</w:t>
            </w:r>
          </w:p>
        </w:tc>
      </w:tr>
      <w:tr w14:paraId="2380149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0A413589">
            <w:pPr>
              <w:pStyle w:val="186"/>
              <w:widowControl w:val="0"/>
              <w:spacing w:line="240" w:lineRule="auto"/>
              <w:ind w:firstLine="0"/>
              <w:jc w:val="left"/>
            </w:pPr>
            <w:r>
              <w:rPr>
                <w:rFonts w:hint="eastAsia"/>
              </w:rPr>
              <w:t>代理认证勾选框</w:t>
            </w:r>
          </w:p>
        </w:tc>
        <w:tc>
          <w:tcPr>
            <w:tcW w:w="6809" w:type="dxa"/>
            <w:shd w:val="clear" w:color="auto" w:fill="auto"/>
          </w:tcPr>
          <w:p w14:paraId="02AF8B4F">
            <w:pPr>
              <w:pStyle w:val="186"/>
              <w:widowControl w:val="0"/>
              <w:spacing w:line="240" w:lineRule="auto"/>
              <w:ind w:firstLine="0"/>
              <w:jc w:val="left"/>
            </w:pPr>
            <w:r>
              <w:rPr>
                <w:rFonts w:hint="eastAsia"/>
              </w:rPr>
              <w:t>启用/禁用代理用户认证功能，开启时用户使用代理需要输入用户密码进行验证，socks4代理无需认证。</w:t>
            </w:r>
          </w:p>
        </w:tc>
      </w:tr>
      <w:tr w14:paraId="33B1A8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03A1C15E">
            <w:pPr>
              <w:pStyle w:val="186"/>
              <w:widowControl w:val="0"/>
              <w:spacing w:line="240" w:lineRule="auto"/>
              <w:ind w:firstLine="0"/>
              <w:jc w:val="left"/>
            </w:pPr>
            <w:r>
              <w:rPr>
                <w:rFonts w:hint="eastAsia"/>
              </w:rPr>
              <w:t>已通过策略认证后不再认证勾选框</w:t>
            </w:r>
          </w:p>
        </w:tc>
        <w:tc>
          <w:tcPr>
            <w:tcW w:w="6809" w:type="dxa"/>
            <w:shd w:val="clear" w:color="auto" w:fill="auto"/>
          </w:tcPr>
          <w:p w14:paraId="6F83F096">
            <w:pPr>
              <w:pStyle w:val="186"/>
              <w:widowControl w:val="0"/>
              <w:spacing w:line="240" w:lineRule="auto"/>
              <w:ind w:firstLine="0"/>
              <w:jc w:val="left"/>
            </w:pPr>
            <w:r>
              <w:rPr>
                <w:rFonts w:hint="eastAsia"/>
              </w:rPr>
              <w:t>启用/禁用已通过策略认证后不再认证功能，即如果用户已通过认证策略认证，开启代理认证后无需再次认证，启用代理认证之后本功能才能启用。</w:t>
            </w:r>
          </w:p>
        </w:tc>
      </w:tr>
      <w:tr w14:paraId="40A445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419DC408">
            <w:pPr>
              <w:pStyle w:val="186"/>
              <w:widowControl w:val="0"/>
              <w:spacing w:line="240" w:lineRule="auto"/>
              <w:ind w:firstLine="0"/>
              <w:jc w:val="left"/>
            </w:pPr>
            <w:r>
              <w:rPr>
                <w:rFonts w:hint="eastAsia"/>
              </w:rPr>
              <w:t>启用socks4/socks5代理勾选框</w:t>
            </w:r>
          </w:p>
        </w:tc>
        <w:tc>
          <w:tcPr>
            <w:tcW w:w="6809" w:type="dxa"/>
            <w:shd w:val="clear" w:color="auto" w:fill="auto"/>
          </w:tcPr>
          <w:p w14:paraId="5C764790">
            <w:pPr>
              <w:pStyle w:val="186"/>
              <w:widowControl w:val="0"/>
              <w:spacing w:line="240" w:lineRule="auto"/>
              <w:ind w:firstLine="0"/>
              <w:jc w:val="left"/>
            </w:pPr>
            <w:r>
              <w:rPr>
                <w:rFonts w:hint="eastAsia"/>
              </w:rPr>
              <w:t>启用/禁用socks4/socks5代理服务。</w:t>
            </w:r>
          </w:p>
        </w:tc>
      </w:tr>
      <w:tr w14:paraId="6B78924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790309E3">
            <w:pPr>
              <w:pStyle w:val="186"/>
              <w:widowControl w:val="0"/>
              <w:spacing w:line="240" w:lineRule="auto"/>
              <w:ind w:firstLine="0"/>
              <w:jc w:val="left"/>
            </w:pPr>
            <w:r>
              <w:rPr>
                <w:rFonts w:hint="eastAsia"/>
              </w:rPr>
              <w:t>启用自动配置（PAC）脚本</w:t>
            </w:r>
          </w:p>
        </w:tc>
        <w:tc>
          <w:tcPr>
            <w:tcW w:w="6809" w:type="dxa"/>
            <w:shd w:val="clear" w:color="auto" w:fill="auto"/>
          </w:tcPr>
          <w:p w14:paraId="049F39C9">
            <w:pPr>
              <w:pStyle w:val="186"/>
              <w:widowControl w:val="0"/>
              <w:spacing w:line="240" w:lineRule="auto"/>
              <w:ind w:firstLine="0"/>
              <w:jc w:val="left"/>
            </w:pPr>
            <w:r>
              <w:rPr>
                <w:rFonts w:hint="eastAsia"/>
              </w:rPr>
              <w:t>启用/禁用自动配置（PAC）脚本，点击“编辑脚本”可以编辑PAC脚本文件。</w:t>
            </w:r>
          </w:p>
        </w:tc>
      </w:tr>
    </w:tbl>
    <w:p w14:paraId="0B90D230"/>
    <w:p w14:paraId="4DDC42FE">
      <w:pPr>
        <w:pStyle w:val="5"/>
      </w:pPr>
      <w:bookmarkStart w:id="3969" w:name="_Toc23420"/>
      <w:bookmarkStart w:id="3970" w:name="_Toc71294225"/>
      <w:bookmarkStart w:id="3971" w:name="_Toc194080879"/>
      <w:bookmarkStart w:id="3972" w:name="_Toc196728211"/>
      <w:r>
        <w:rPr>
          <w:rFonts w:hint="eastAsia"/>
        </w:rPr>
        <w:t>代理策略</w:t>
      </w:r>
      <w:bookmarkEnd w:id="3969"/>
      <w:bookmarkEnd w:id="3970"/>
      <w:bookmarkEnd w:id="3971"/>
      <w:bookmarkEnd w:id="3972"/>
    </w:p>
    <w:p w14:paraId="1602F606">
      <w:r>
        <w:rPr>
          <w:rFonts w:hint="eastAsia"/>
        </w:rPr>
        <w:t>在导航栏中选择“网络配置&gt;基础网络&gt;代理上网&gt;代理策略”，进入代理策略显示页面，如</w:t>
      </w:r>
      <w:r>
        <w:t>下图所示</w:t>
      </w:r>
      <w:r>
        <w:rPr>
          <w:rFonts w:hint="eastAsia"/>
        </w:rPr>
        <w:t>。</w:t>
      </w:r>
    </w:p>
    <w:p w14:paraId="0AA4FF4D">
      <w:pPr>
        <w:pStyle w:val="188"/>
      </w:pPr>
      <w:bookmarkStart w:id="3973" w:name="_Toc141874735"/>
      <w:r>
        <w:rPr>
          <w:rFonts w:hint="eastAsia"/>
        </w:rPr>
        <w:t>代理策略显示页面</w:t>
      </w:r>
      <w:bookmarkEnd w:id="3973"/>
    </w:p>
    <w:p w14:paraId="76E2EC82">
      <w:r>
        <w:drawing>
          <wp:inline distT="0" distB="0" distL="0" distR="0">
            <wp:extent cx="5400040" cy="1457960"/>
            <wp:effectExtent l="0" t="0" r="0" b="8890"/>
            <wp:docPr id="2696" name="图片 2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6" name="图片 2696"/>
                    <pic:cNvPicPr>
                      <a:picLocks noChangeAspect="1"/>
                    </pic:cNvPicPr>
                  </pic:nvPicPr>
                  <pic:blipFill>
                    <a:blip r:embed="rId531"/>
                    <a:stretch>
                      <a:fillRect/>
                    </a:stretch>
                  </pic:blipFill>
                  <pic:spPr>
                    <a:xfrm>
                      <a:off x="0" y="0"/>
                      <a:ext cx="5400040" cy="1458425"/>
                    </a:xfrm>
                    <a:prstGeom prst="rect">
                      <a:avLst/>
                    </a:prstGeom>
                  </pic:spPr>
                </pic:pic>
              </a:graphicData>
            </a:graphic>
          </wp:inline>
        </w:drawing>
      </w:r>
    </w:p>
    <w:p w14:paraId="7A9838A0"/>
    <w:p w14:paraId="3CC146A4">
      <w:r>
        <w:rPr>
          <w:rFonts w:hint="eastAsia"/>
        </w:rPr>
        <w:t>将鼠标移动到“新建”，在下拉菜单中选择“HTTP”，进入HTTP代理配置页面，如</w:t>
      </w:r>
      <w:r>
        <w:fldChar w:fldCharType="begin"/>
      </w:r>
      <w:r>
        <w:instrText xml:space="preserve"> </w:instrText>
      </w:r>
      <w:r>
        <w:rPr>
          <w:rFonts w:hint="eastAsia"/>
        </w:rPr>
        <w:instrText xml:space="preserve">REF _Ref67066157 \r \h</w:instrText>
      </w:r>
      <w:r>
        <w:instrText xml:space="preserve"> </w:instrText>
      </w:r>
      <w:r>
        <w:fldChar w:fldCharType="separate"/>
      </w:r>
      <w:r>
        <w:rPr>
          <w:rFonts w:hint="eastAsia"/>
        </w:rPr>
        <w:t>图12-3</w:t>
      </w:r>
      <w:r>
        <w:fldChar w:fldCharType="end"/>
      </w:r>
      <w:r>
        <w:t>所示</w:t>
      </w:r>
      <w:r>
        <w:rPr>
          <w:rFonts w:hint="eastAsia"/>
        </w:rPr>
        <w:t>。</w:t>
      </w:r>
    </w:p>
    <w:p w14:paraId="5DBFC670">
      <w:pPr>
        <w:pStyle w:val="188"/>
      </w:pPr>
      <w:bookmarkStart w:id="3974" w:name="_Ref67066157"/>
      <w:bookmarkStart w:id="3975" w:name="_Toc141874736"/>
      <w:r>
        <w:rPr>
          <w:rFonts w:hint="eastAsia"/>
        </w:rPr>
        <w:t>新建HTTP代理</w:t>
      </w:r>
      <w:bookmarkEnd w:id="3974"/>
      <w:bookmarkEnd w:id="3975"/>
    </w:p>
    <w:p w14:paraId="212C8DC2">
      <w:r>
        <w:drawing>
          <wp:inline distT="0" distB="0" distL="0" distR="0">
            <wp:extent cx="5400040" cy="3063240"/>
            <wp:effectExtent l="0" t="0" r="0" b="3810"/>
            <wp:docPr id="4965" name="图片 4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5" name="图片 4965"/>
                    <pic:cNvPicPr>
                      <a:picLocks noChangeAspect="1"/>
                    </pic:cNvPicPr>
                  </pic:nvPicPr>
                  <pic:blipFill>
                    <a:blip r:embed="rId532"/>
                    <a:stretch>
                      <a:fillRect/>
                    </a:stretch>
                  </pic:blipFill>
                  <pic:spPr>
                    <a:xfrm>
                      <a:off x="0" y="0"/>
                      <a:ext cx="5400040" cy="3063646"/>
                    </a:xfrm>
                    <a:prstGeom prst="rect">
                      <a:avLst/>
                    </a:prstGeom>
                  </pic:spPr>
                </pic:pic>
              </a:graphicData>
            </a:graphic>
          </wp:inline>
        </w:drawing>
      </w:r>
    </w:p>
    <w:p w14:paraId="45470180"/>
    <w:p w14:paraId="501163EA">
      <w:r>
        <w:rPr>
          <w:rFonts w:hint="eastAsia"/>
        </w:rPr>
        <w:t>同样的步骤可以新建socks4/socks5代理。</w:t>
      </w:r>
    </w:p>
    <w:p w14:paraId="4632EEBC">
      <w:pPr>
        <w:pStyle w:val="183"/>
      </w:pPr>
      <w:bookmarkStart w:id="3976" w:name="_Toc141875548"/>
      <w:r>
        <w:t>HTTP代理配置说明</w:t>
      </w:r>
      <w:bookmarkEnd w:id="3976"/>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7"/>
      </w:tblGrid>
      <w:tr w14:paraId="7EBE0FB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2AFD7D43">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7" w:type="dxa"/>
            <w:tcBorders>
              <w:tl2br w:val="nil"/>
              <w:tr2bl w:val="nil"/>
            </w:tcBorders>
            <w:shd w:val="clear" w:color="auto" w:fill="538135" w:themeFill="accent6" w:themeFillShade="BF"/>
            <w:vAlign w:val="center"/>
          </w:tcPr>
          <w:p w14:paraId="59BB3A72">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1FC60E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C6DB353">
            <w:pPr>
              <w:pStyle w:val="186"/>
              <w:widowControl w:val="0"/>
              <w:spacing w:line="240" w:lineRule="auto"/>
              <w:ind w:firstLine="0"/>
              <w:jc w:val="left"/>
            </w:pPr>
            <w:r>
              <w:rPr>
                <w:rFonts w:hint="eastAsia"/>
              </w:rPr>
              <w:t>启用</w:t>
            </w:r>
          </w:p>
        </w:tc>
        <w:tc>
          <w:tcPr>
            <w:tcW w:w="6817" w:type="dxa"/>
            <w:shd w:val="clear" w:color="auto" w:fill="auto"/>
          </w:tcPr>
          <w:p w14:paraId="77855AE1">
            <w:pPr>
              <w:pStyle w:val="186"/>
              <w:widowControl w:val="0"/>
              <w:spacing w:line="240" w:lineRule="auto"/>
              <w:ind w:firstLine="0"/>
              <w:jc w:val="left"/>
            </w:pPr>
            <w:r>
              <w:rPr>
                <w:rFonts w:hint="eastAsia"/>
              </w:rPr>
              <w:t>启用/禁用代理策略</w:t>
            </w:r>
          </w:p>
        </w:tc>
      </w:tr>
      <w:tr w14:paraId="0DFD80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A1D4405">
            <w:pPr>
              <w:pStyle w:val="186"/>
              <w:widowControl w:val="0"/>
              <w:spacing w:line="240" w:lineRule="auto"/>
              <w:ind w:firstLine="0"/>
              <w:jc w:val="left"/>
            </w:pPr>
            <w:r>
              <w:rPr>
                <w:rFonts w:hint="eastAsia"/>
              </w:rPr>
              <w:t>名称</w:t>
            </w:r>
          </w:p>
        </w:tc>
        <w:tc>
          <w:tcPr>
            <w:tcW w:w="6817" w:type="dxa"/>
            <w:shd w:val="clear" w:color="auto" w:fill="auto"/>
          </w:tcPr>
          <w:p w14:paraId="2FC75B12">
            <w:pPr>
              <w:pStyle w:val="186"/>
              <w:widowControl w:val="0"/>
              <w:spacing w:line="240" w:lineRule="auto"/>
              <w:ind w:firstLine="0"/>
              <w:jc w:val="left"/>
            </w:pPr>
            <w:r>
              <w:rPr>
                <w:rFonts w:hint="eastAsia"/>
              </w:rPr>
              <w:t>代理策略名称</w:t>
            </w:r>
          </w:p>
        </w:tc>
      </w:tr>
      <w:tr w14:paraId="3DBFE3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1399835">
            <w:pPr>
              <w:pStyle w:val="186"/>
              <w:widowControl w:val="0"/>
              <w:spacing w:line="240" w:lineRule="auto"/>
              <w:ind w:firstLine="0"/>
              <w:jc w:val="left"/>
            </w:pPr>
            <w:r>
              <w:rPr>
                <w:rFonts w:hint="eastAsia"/>
              </w:rPr>
              <w:t>描述</w:t>
            </w:r>
          </w:p>
        </w:tc>
        <w:tc>
          <w:tcPr>
            <w:tcW w:w="6817" w:type="dxa"/>
            <w:shd w:val="clear" w:color="auto" w:fill="auto"/>
          </w:tcPr>
          <w:p w14:paraId="2991142E">
            <w:pPr>
              <w:pStyle w:val="186"/>
              <w:widowControl w:val="0"/>
              <w:spacing w:line="240" w:lineRule="auto"/>
              <w:ind w:firstLine="0"/>
              <w:jc w:val="left"/>
            </w:pPr>
            <w:r>
              <w:rPr>
                <w:rFonts w:hint="eastAsia"/>
              </w:rPr>
              <w:t>策略描述</w:t>
            </w:r>
          </w:p>
        </w:tc>
      </w:tr>
      <w:tr w14:paraId="7E364D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59701CB">
            <w:pPr>
              <w:pStyle w:val="186"/>
              <w:widowControl w:val="0"/>
              <w:spacing w:line="240" w:lineRule="auto"/>
              <w:ind w:firstLine="0"/>
              <w:jc w:val="left"/>
            </w:pPr>
            <w:r>
              <w:rPr>
                <w:rFonts w:hint="eastAsia"/>
              </w:rPr>
              <w:t>源地址</w:t>
            </w:r>
          </w:p>
        </w:tc>
        <w:tc>
          <w:tcPr>
            <w:tcW w:w="6817" w:type="dxa"/>
            <w:shd w:val="clear" w:color="auto" w:fill="auto"/>
          </w:tcPr>
          <w:p w14:paraId="0D2C794E">
            <w:pPr>
              <w:pStyle w:val="186"/>
              <w:widowControl w:val="0"/>
              <w:spacing w:line="240" w:lineRule="auto"/>
              <w:ind w:firstLine="0"/>
              <w:jc w:val="left"/>
            </w:pPr>
            <w:r>
              <w:rPr>
                <w:rFonts w:hint="eastAsia"/>
              </w:rPr>
              <w:t>匹配策略的源地址</w:t>
            </w:r>
          </w:p>
        </w:tc>
      </w:tr>
      <w:tr w14:paraId="40C5989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44508E5">
            <w:pPr>
              <w:pStyle w:val="186"/>
              <w:widowControl w:val="0"/>
              <w:spacing w:line="240" w:lineRule="auto"/>
              <w:ind w:firstLine="0"/>
              <w:jc w:val="left"/>
            </w:pPr>
            <w:r>
              <w:rPr>
                <w:rFonts w:hint="eastAsia"/>
              </w:rPr>
              <w:t>目的域名</w:t>
            </w:r>
          </w:p>
        </w:tc>
        <w:tc>
          <w:tcPr>
            <w:tcW w:w="6817" w:type="dxa"/>
            <w:shd w:val="clear" w:color="auto" w:fill="auto"/>
          </w:tcPr>
          <w:p w14:paraId="6772F8F4">
            <w:pPr>
              <w:pStyle w:val="186"/>
              <w:widowControl w:val="0"/>
              <w:spacing w:line="240" w:lineRule="auto"/>
              <w:ind w:firstLine="0"/>
              <w:jc w:val="left"/>
            </w:pPr>
            <w:r>
              <w:rPr>
                <w:rFonts w:hint="eastAsia"/>
              </w:rPr>
              <w:t>匹配策略的目的地址或者域名</w:t>
            </w:r>
          </w:p>
        </w:tc>
      </w:tr>
      <w:tr w14:paraId="044A4B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777B7434">
            <w:pPr>
              <w:pStyle w:val="186"/>
              <w:widowControl w:val="0"/>
              <w:spacing w:line="240" w:lineRule="auto"/>
              <w:ind w:firstLine="0"/>
              <w:jc w:val="left"/>
            </w:pPr>
            <w:r>
              <w:rPr>
                <w:rFonts w:hint="eastAsia"/>
              </w:rPr>
              <w:t>动作</w:t>
            </w:r>
          </w:p>
        </w:tc>
        <w:tc>
          <w:tcPr>
            <w:tcW w:w="6817" w:type="dxa"/>
            <w:shd w:val="clear" w:color="auto" w:fill="auto"/>
          </w:tcPr>
          <w:p w14:paraId="5625D431">
            <w:pPr>
              <w:pStyle w:val="186"/>
              <w:widowControl w:val="0"/>
              <w:spacing w:line="240" w:lineRule="auto"/>
              <w:ind w:firstLine="0"/>
              <w:jc w:val="left"/>
            </w:pPr>
            <w:r>
              <w:rPr>
                <w:rFonts w:hint="eastAsia"/>
              </w:rPr>
              <w:t>策略执行动作</w:t>
            </w:r>
          </w:p>
        </w:tc>
      </w:tr>
      <w:tr w14:paraId="1BF123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314B7FF9">
            <w:pPr>
              <w:pStyle w:val="186"/>
              <w:widowControl w:val="0"/>
              <w:spacing w:line="240" w:lineRule="auto"/>
              <w:ind w:firstLine="0"/>
              <w:jc w:val="left"/>
            </w:pPr>
            <w:r>
              <w:rPr>
                <w:rFonts w:hint="eastAsia"/>
              </w:rPr>
              <w:t>二级代理服务器</w:t>
            </w:r>
          </w:p>
        </w:tc>
        <w:tc>
          <w:tcPr>
            <w:tcW w:w="6817" w:type="dxa"/>
            <w:shd w:val="clear" w:color="auto" w:fill="auto"/>
          </w:tcPr>
          <w:p w14:paraId="38792E47">
            <w:pPr>
              <w:pStyle w:val="186"/>
              <w:widowControl w:val="0"/>
              <w:spacing w:line="240" w:lineRule="auto"/>
              <w:ind w:firstLine="0"/>
              <w:jc w:val="left"/>
            </w:pPr>
            <w:r>
              <w:rPr>
                <w:rFonts w:hint="eastAsia"/>
              </w:rPr>
              <w:t>只有HTTP代理策略可配置二级代理，新建二级代理策略之前需要先新建二级代理服务器，详细配置请参考二级代理服务器。</w:t>
            </w:r>
          </w:p>
        </w:tc>
      </w:tr>
      <w:tr w14:paraId="6B6694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CF81AD1">
            <w:pPr>
              <w:pStyle w:val="186"/>
              <w:widowControl w:val="0"/>
              <w:spacing w:line="240" w:lineRule="auto"/>
              <w:ind w:firstLine="0"/>
              <w:jc w:val="left"/>
            </w:pPr>
            <w:r>
              <w:rPr>
                <w:rFonts w:hint="eastAsia"/>
              </w:rPr>
              <w:t>代理上网IP</w:t>
            </w:r>
          </w:p>
        </w:tc>
        <w:tc>
          <w:tcPr>
            <w:tcW w:w="6817" w:type="dxa"/>
            <w:shd w:val="clear" w:color="auto" w:fill="auto"/>
          </w:tcPr>
          <w:p w14:paraId="25296A24">
            <w:pPr>
              <w:pStyle w:val="186"/>
              <w:widowControl w:val="0"/>
              <w:spacing w:line="240" w:lineRule="auto"/>
              <w:ind w:firstLine="0"/>
              <w:jc w:val="left"/>
            </w:pPr>
            <w:r>
              <w:rPr>
                <w:rFonts w:hint="eastAsia"/>
              </w:rPr>
              <w:t>配置设备用哪个IP地址代理上网。</w:t>
            </w:r>
          </w:p>
          <w:p w14:paraId="40D9B2FB">
            <w:pPr>
              <w:pStyle w:val="186"/>
              <w:widowControl w:val="0"/>
              <w:spacing w:line="240" w:lineRule="auto"/>
              <w:ind w:firstLine="0"/>
              <w:jc w:val="left"/>
            </w:pPr>
            <w:r>
              <w:rPr>
                <w:rFonts w:hint="eastAsia"/>
              </w:rPr>
              <w:t>自动选择：自动选择出口IP。</w:t>
            </w:r>
          </w:p>
          <w:p w14:paraId="7AB42118">
            <w:pPr>
              <w:pStyle w:val="186"/>
              <w:widowControl w:val="0"/>
              <w:spacing w:line="240" w:lineRule="auto"/>
              <w:ind w:firstLine="0"/>
              <w:jc w:val="left"/>
            </w:pPr>
            <w:r>
              <w:rPr>
                <w:rFonts w:hint="eastAsia"/>
              </w:rPr>
              <w:t>指定：指定设备的某个UP口的IP地址，可配置IPv4、IPv6地址。</w:t>
            </w:r>
          </w:p>
        </w:tc>
      </w:tr>
    </w:tbl>
    <w:p w14:paraId="5964528D"/>
    <w:p w14:paraId="78BFC0DD">
      <w:pPr>
        <w:pStyle w:val="5"/>
      </w:pPr>
      <w:bookmarkStart w:id="3977" w:name="_Ref119522783"/>
      <w:bookmarkStart w:id="3978" w:name="_Toc142401016"/>
      <w:bookmarkStart w:id="3979" w:name="_Toc172218251"/>
      <w:bookmarkStart w:id="3980" w:name="_Toc141873500"/>
      <w:bookmarkStart w:id="3981" w:name="_Toc194080880"/>
      <w:bookmarkStart w:id="3982" w:name="_Toc196728212"/>
      <w:r>
        <w:rPr>
          <w:rFonts w:hint="eastAsia"/>
        </w:rPr>
        <w:t>二级代理服务器</w:t>
      </w:r>
      <w:bookmarkEnd w:id="3977"/>
      <w:bookmarkEnd w:id="3978"/>
      <w:bookmarkEnd w:id="3979"/>
      <w:bookmarkEnd w:id="3980"/>
      <w:bookmarkEnd w:id="3981"/>
      <w:bookmarkEnd w:id="3982"/>
    </w:p>
    <w:p w14:paraId="6F56CFB9">
      <w:r>
        <w:rPr>
          <w:rFonts w:hint="eastAsia"/>
        </w:rPr>
        <w:t>在菜单栏选择“网络配置&gt;基础网络&gt;代理上网&gt;二级代理服务器”，查看设备上所有的二级代理服务器。</w:t>
      </w:r>
    </w:p>
    <w:p w14:paraId="706BECB5">
      <w:pPr>
        <w:pStyle w:val="188"/>
      </w:pPr>
      <w:bookmarkStart w:id="3983" w:name="_Toc141874737"/>
      <w:r>
        <w:rPr>
          <w:rFonts w:hint="eastAsia"/>
        </w:rPr>
        <w:t>二级代理服务器显示页面</w:t>
      </w:r>
      <w:bookmarkEnd w:id="3983"/>
    </w:p>
    <w:p w14:paraId="7764C95F">
      <w:pPr>
        <w:pStyle w:val="373"/>
      </w:pPr>
      <w:r>
        <w:drawing>
          <wp:inline distT="0" distB="0" distL="0" distR="0">
            <wp:extent cx="5381625" cy="1575435"/>
            <wp:effectExtent l="0" t="0" r="0" b="5715"/>
            <wp:docPr id="4966" name="图片 4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 name="图片 4966"/>
                    <pic:cNvPicPr>
                      <a:picLocks noChangeAspect="1"/>
                    </pic:cNvPicPr>
                  </pic:nvPicPr>
                  <pic:blipFill>
                    <a:blip r:embed="rId533"/>
                    <a:stretch>
                      <a:fillRect/>
                    </a:stretch>
                  </pic:blipFill>
                  <pic:spPr>
                    <a:xfrm>
                      <a:off x="0" y="0"/>
                      <a:ext cx="5393953" cy="1579350"/>
                    </a:xfrm>
                    <a:prstGeom prst="rect">
                      <a:avLst/>
                    </a:prstGeom>
                  </pic:spPr>
                </pic:pic>
              </a:graphicData>
            </a:graphic>
          </wp:inline>
        </w:drawing>
      </w:r>
    </w:p>
    <w:p w14:paraId="708E37D2">
      <w:r>
        <w:rPr>
          <w:rFonts w:hint="eastAsia"/>
        </w:rPr>
        <w:t>点击&lt;新建</w:t>
      </w:r>
      <w:r>
        <w:t>&gt;</w:t>
      </w:r>
      <w:r>
        <w:rPr>
          <w:rFonts w:hint="eastAsia"/>
        </w:rPr>
        <w:t>，编辑相关信息，点击&lt;</w:t>
      </w:r>
      <w:r>
        <w:rPr>
          <w:rFonts w:hint="eastAsia"/>
          <w:bCs/>
        </w:rPr>
        <w:t>提交</w:t>
      </w:r>
      <w:r>
        <w:t>&gt;</w:t>
      </w:r>
      <w:r>
        <w:rPr>
          <w:rFonts w:hint="eastAsia"/>
        </w:rPr>
        <w:t>。</w:t>
      </w:r>
    </w:p>
    <w:p w14:paraId="1B006C4D">
      <w:pPr>
        <w:pStyle w:val="188"/>
      </w:pPr>
      <w:bookmarkStart w:id="3984" w:name="_Toc141874738"/>
      <w:r>
        <w:rPr>
          <w:rFonts w:hint="eastAsia"/>
        </w:rPr>
        <w:t>二级代理服务器配置页面</w:t>
      </w:r>
      <w:bookmarkEnd w:id="3984"/>
    </w:p>
    <w:p w14:paraId="7A4786EF">
      <w:pPr>
        <w:spacing w:before="120" w:after="120"/>
      </w:pPr>
      <w:r>
        <w:drawing>
          <wp:inline distT="0" distB="0" distL="114300" distR="114300">
            <wp:extent cx="5657850" cy="3058795"/>
            <wp:effectExtent l="0" t="0" r="0" b="8255"/>
            <wp:docPr id="107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图片 152"/>
                    <pic:cNvPicPr>
                      <a:picLocks noChangeAspect="1"/>
                    </pic:cNvPicPr>
                  </pic:nvPicPr>
                  <pic:blipFill>
                    <a:blip r:embed="rId534"/>
                    <a:srcRect r="7505"/>
                    <a:stretch>
                      <a:fillRect/>
                    </a:stretch>
                  </pic:blipFill>
                  <pic:spPr>
                    <a:xfrm>
                      <a:off x="0" y="0"/>
                      <a:ext cx="5657850" cy="3058795"/>
                    </a:xfrm>
                    <a:prstGeom prst="rect">
                      <a:avLst/>
                    </a:prstGeom>
                    <a:noFill/>
                    <a:ln>
                      <a:noFill/>
                    </a:ln>
                  </pic:spPr>
                </pic:pic>
              </a:graphicData>
            </a:graphic>
          </wp:inline>
        </w:drawing>
      </w:r>
    </w:p>
    <w:p w14:paraId="25106B2C">
      <w:pPr>
        <w:pStyle w:val="183"/>
      </w:pPr>
      <w:bookmarkStart w:id="3985" w:name="_Toc141875549"/>
      <w:r>
        <w:rPr>
          <w:rFonts w:hint="eastAsia"/>
        </w:rPr>
        <w:t>二级代理服务器详细配置说明</w:t>
      </w:r>
      <w:bookmarkEnd w:id="3985"/>
    </w:p>
    <w:tbl>
      <w:tblPr>
        <w:tblStyle w:val="173"/>
        <w:tblW w:w="500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917"/>
        <w:gridCol w:w="7325"/>
      </w:tblGrid>
      <w:tr w14:paraId="6C0FFC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037" w:type="pct"/>
            <w:tcBorders>
              <w:tl2br w:val="nil"/>
              <w:tr2bl w:val="nil"/>
            </w:tcBorders>
            <w:shd w:val="clear" w:color="auto" w:fill="538135" w:themeFill="accent6" w:themeFillShade="BF"/>
            <w:vAlign w:val="center"/>
          </w:tcPr>
          <w:p w14:paraId="01EC43A4">
            <w:pPr>
              <w:pStyle w:val="186"/>
              <w:widowControl w:val="0"/>
              <w:wordWrap/>
              <w:spacing w:line="240" w:lineRule="auto"/>
              <w:ind w:firstLine="0"/>
              <w:jc w:val="center"/>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3963" w:type="pct"/>
            <w:tcBorders>
              <w:tl2br w:val="nil"/>
              <w:tr2bl w:val="nil"/>
            </w:tcBorders>
            <w:shd w:val="clear" w:color="auto" w:fill="538135" w:themeFill="accent6" w:themeFillShade="BF"/>
            <w:vAlign w:val="center"/>
          </w:tcPr>
          <w:p w14:paraId="5FEB9715">
            <w:pPr>
              <w:pStyle w:val="186"/>
              <w:widowControl w:val="0"/>
              <w:wordWrap/>
              <w:spacing w:line="240" w:lineRule="auto"/>
              <w:ind w:firstLine="0"/>
              <w:jc w:val="center"/>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B0D99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037" w:type="pct"/>
            <w:shd w:val="clear" w:color="auto" w:fill="auto"/>
          </w:tcPr>
          <w:p w14:paraId="3C619B0A">
            <w:pPr>
              <w:pStyle w:val="186"/>
              <w:widowControl w:val="0"/>
              <w:spacing w:line="240" w:lineRule="auto"/>
              <w:ind w:firstLine="0"/>
              <w:jc w:val="left"/>
            </w:pPr>
            <w:r>
              <w:rPr>
                <w:rFonts w:hint="eastAsia"/>
              </w:rPr>
              <w:t>名称</w:t>
            </w:r>
          </w:p>
        </w:tc>
        <w:tc>
          <w:tcPr>
            <w:tcW w:w="3963" w:type="pct"/>
            <w:shd w:val="clear" w:color="auto" w:fill="auto"/>
          </w:tcPr>
          <w:p w14:paraId="07859764">
            <w:pPr>
              <w:pStyle w:val="186"/>
              <w:widowControl w:val="0"/>
              <w:spacing w:line="240" w:lineRule="auto"/>
              <w:ind w:firstLine="0"/>
              <w:jc w:val="left"/>
            </w:pPr>
            <w:r>
              <w:rPr>
                <w:rFonts w:hint="eastAsia"/>
              </w:rPr>
              <w:t>代理策略名称。</w:t>
            </w:r>
          </w:p>
        </w:tc>
      </w:tr>
      <w:tr w14:paraId="479BB8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037" w:type="pct"/>
            <w:shd w:val="clear" w:color="auto" w:fill="auto"/>
          </w:tcPr>
          <w:p w14:paraId="43B7D9CE">
            <w:pPr>
              <w:pStyle w:val="186"/>
              <w:widowControl w:val="0"/>
              <w:spacing w:line="240" w:lineRule="auto"/>
              <w:ind w:firstLine="0"/>
              <w:jc w:val="left"/>
            </w:pPr>
            <w:r>
              <w:rPr>
                <w:rFonts w:hint="eastAsia"/>
              </w:rPr>
              <w:t>描述</w:t>
            </w:r>
          </w:p>
        </w:tc>
        <w:tc>
          <w:tcPr>
            <w:tcW w:w="3963" w:type="pct"/>
            <w:shd w:val="clear" w:color="auto" w:fill="auto"/>
          </w:tcPr>
          <w:p w14:paraId="7F2B9FBB">
            <w:pPr>
              <w:pStyle w:val="186"/>
              <w:widowControl w:val="0"/>
              <w:spacing w:line="240" w:lineRule="auto"/>
              <w:ind w:firstLine="0"/>
              <w:jc w:val="left"/>
            </w:pPr>
            <w:r>
              <w:rPr>
                <w:rFonts w:hint="eastAsia"/>
              </w:rPr>
              <w:t>策略描述。</w:t>
            </w:r>
          </w:p>
        </w:tc>
      </w:tr>
      <w:tr w14:paraId="68B4BDC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037" w:type="pct"/>
            <w:shd w:val="clear" w:color="auto" w:fill="auto"/>
          </w:tcPr>
          <w:p w14:paraId="3BFC326E">
            <w:pPr>
              <w:pStyle w:val="186"/>
              <w:widowControl w:val="0"/>
              <w:spacing w:line="240" w:lineRule="auto"/>
              <w:ind w:firstLine="0"/>
              <w:jc w:val="left"/>
            </w:pPr>
            <w:r>
              <w:rPr>
                <w:rFonts w:hint="eastAsia"/>
              </w:rPr>
              <w:t>服务器地址</w:t>
            </w:r>
          </w:p>
        </w:tc>
        <w:tc>
          <w:tcPr>
            <w:tcW w:w="3963" w:type="pct"/>
            <w:shd w:val="clear" w:color="auto" w:fill="auto"/>
          </w:tcPr>
          <w:p w14:paraId="552788B7">
            <w:pPr>
              <w:pStyle w:val="186"/>
              <w:widowControl w:val="0"/>
              <w:spacing w:line="240" w:lineRule="auto"/>
              <w:ind w:firstLine="0"/>
              <w:jc w:val="left"/>
            </w:pPr>
            <w:r>
              <w:rPr>
                <w:rFonts w:hint="eastAsia"/>
              </w:rPr>
              <w:t>二级代理服务器的地址，可配置IP或域名。</w:t>
            </w:r>
          </w:p>
        </w:tc>
      </w:tr>
      <w:tr w14:paraId="36E33D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037" w:type="pct"/>
            <w:shd w:val="clear" w:color="auto" w:fill="auto"/>
          </w:tcPr>
          <w:p w14:paraId="78E076D1">
            <w:pPr>
              <w:pStyle w:val="186"/>
              <w:widowControl w:val="0"/>
              <w:spacing w:line="240" w:lineRule="auto"/>
              <w:ind w:firstLine="0"/>
              <w:jc w:val="left"/>
            </w:pPr>
            <w:r>
              <w:rPr>
                <w:rFonts w:hint="eastAsia"/>
              </w:rPr>
              <w:t>端口</w:t>
            </w:r>
          </w:p>
        </w:tc>
        <w:tc>
          <w:tcPr>
            <w:tcW w:w="3963" w:type="pct"/>
            <w:shd w:val="clear" w:color="auto" w:fill="auto"/>
          </w:tcPr>
          <w:p w14:paraId="563B2ABB">
            <w:pPr>
              <w:pStyle w:val="186"/>
              <w:widowControl w:val="0"/>
              <w:spacing w:line="240" w:lineRule="auto"/>
              <w:ind w:firstLine="0"/>
              <w:jc w:val="left"/>
            </w:pPr>
            <w:r>
              <w:rPr>
                <w:rFonts w:hint="eastAsia"/>
              </w:rPr>
              <w:t>二级代理服务器的代理端口。</w:t>
            </w:r>
          </w:p>
        </w:tc>
      </w:tr>
      <w:tr w14:paraId="29B39E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037" w:type="pct"/>
            <w:shd w:val="clear" w:color="auto" w:fill="auto"/>
          </w:tcPr>
          <w:p w14:paraId="46A9CB87">
            <w:pPr>
              <w:pStyle w:val="186"/>
              <w:widowControl w:val="0"/>
              <w:spacing w:line="240" w:lineRule="auto"/>
              <w:ind w:firstLine="0"/>
              <w:jc w:val="left"/>
            </w:pPr>
            <w:r>
              <w:rPr>
                <w:rFonts w:hint="eastAsia"/>
              </w:rPr>
              <w:t>服务器认证</w:t>
            </w:r>
          </w:p>
        </w:tc>
        <w:tc>
          <w:tcPr>
            <w:tcW w:w="3963" w:type="pct"/>
            <w:shd w:val="clear" w:color="auto" w:fill="auto"/>
          </w:tcPr>
          <w:p w14:paraId="7AF1CF88">
            <w:pPr>
              <w:pStyle w:val="186"/>
              <w:widowControl w:val="0"/>
              <w:spacing w:line="240" w:lineRule="auto"/>
              <w:ind w:firstLine="0"/>
              <w:jc w:val="left"/>
            </w:pPr>
            <w:r>
              <w:rPr>
                <w:rFonts w:hint="eastAsia"/>
              </w:rPr>
              <w:t>二级代理服务器是否开启代理认证。</w:t>
            </w:r>
          </w:p>
        </w:tc>
      </w:tr>
      <w:tr w14:paraId="68D16CF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037" w:type="pct"/>
            <w:shd w:val="clear" w:color="auto" w:fill="auto"/>
          </w:tcPr>
          <w:p w14:paraId="6ACBC5A9">
            <w:pPr>
              <w:pStyle w:val="186"/>
              <w:widowControl w:val="0"/>
              <w:spacing w:line="240" w:lineRule="auto"/>
              <w:ind w:firstLine="0"/>
              <w:jc w:val="left"/>
            </w:pPr>
            <w:r>
              <w:rPr>
                <w:rFonts w:hint="eastAsia"/>
              </w:rPr>
              <w:t>用户名</w:t>
            </w:r>
          </w:p>
        </w:tc>
        <w:tc>
          <w:tcPr>
            <w:tcW w:w="3963" w:type="pct"/>
            <w:shd w:val="clear" w:color="auto" w:fill="auto"/>
          </w:tcPr>
          <w:p w14:paraId="266AC341">
            <w:pPr>
              <w:pStyle w:val="186"/>
              <w:widowControl w:val="0"/>
              <w:spacing w:line="240" w:lineRule="auto"/>
              <w:ind w:firstLine="0"/>
              <w:jc w:val="left"/>
            </w:pPr>
            <w:r>
              <w:rPr>
                <w:rFonts w:hint="eastAsia"/>
              </w:rPr>
              <w:t>二级代理服务器认证用户名。</w:t>
            </w:r>
          </w:p>
        </w:tc>
      </w:tr>
      <w:tr w14:paraId="3834BF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037" w:type="pct"/>
            <w:shd w:val="clear" w:color="auto" w:fill="auto"/>
          </w:tcPr>
          <w:p w14:paraId="454DAC66">
            <w:pPr>
              <w:pStyle w:val="186"/>
              <w:widowControl w:val="0"/>
              <w:spacing w:line="240" w:lineRule="auto"/>
              <w:ind w:firstLine="0"/>
              <w:jc w:val="left"/>
            </w:pPr>
            <w:r>
              <w:rPr>
                <w:rFonts w:hint="eastAsia"/>
              </w:rPr>
              <w:t>密码</w:t>
            </w:r>
          </w:p>
        </w:tc>
        <w:tc>
          <w:tcPr>
            <w:tcW w:w="3963" w:type="pct"/>
            <w:shd w:val="clear" w:color="auto" w:fill="auto"/>
          </w:tcPr>
          <w:p w14:paraId="4FDBA423">
            <w:pPr>
              <w:pStyle w:val="186"/>
              <w:widowControl w:val="0"/>
              <w:spacing w:line="240" w:lineRule="auto"/>
              <w:ind w:firstLine="0"/>
              <w:jc w:val="left"/>
            </w:pPr>
            <w:r>
              <w:rPr>
                <w:rFonts w:hint="eastAsia"/>
              </w:rPr>
              <w:t>二级代理服务器认证密码。</w:t>
            </w:r>
          </w:p>
        </w:tc>
      </w:tr>
      <w:tr w14:paraId="46AA0E7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037" w:type="pct"/>
            <w:shd w:val="clear" w:color="auto" w:fill="auto"/>
          </w:tcPr>
          <w:p w14:paraId="5AAF5405">
            <w:pPr>
              <w:pStyle w:val="186"/>
              <w:widowControl w:val="0"/>
              <w:spacing w:line="240" w:lineRule="auto"/>
              <w:ind w:firstLine="0"/>
              <w:jc w:val="left"/>
            </w:pPr>
            <w:r>
              <w:rPr>
                <w:rFonts w:hint="eastAsia"/>
              </w:rPr>
              <w:t>测试有效性</w:t>
            </w:r>
          </w:p>
        </w:tc>
        <w:tc>
          <w:tcPr>
            <w:tcW w:w="3963" w:type="pct"/>
            <w:shd w:val="clear" w:color="auto" w:fill="auto"/>
          </w:tcPr>
          <w:p w14:paraId="13372C45">
            <w:pPr>
              <w:pStyle w:val="186"/>
              <w:widowControl w:val="0"/>
              <w:spacing w:line="240" w:lineRule="auto"/>
              <w:ind w:firstLine="0"/>
              <w:jc w:val="left"/>
            </w:pPr>
            <w:r>
              <w:rPr>
                <w:rFonts w:hint="eastAsia"/>
              </w:rPr>
              <w:t>测试二级代理服务器是否有效。</w:t>
            </w:r>
          </w:p>
        </w:tc>
      </w:tr>
    </w:tbl>
    <w:p w14:paraId="04FA8677"/>
    <w:p w14:paraId="1A05276C">
      <w:pPr>
        <w:pStyle w:val="4"/>
      </w:pPr>
      <w:bookmarkStart w:id="3986" w:name="_Toc15841"/>
      <w:bookmarkStart w:id="3987" w:name="_Toc141873501"/>
      <w:bookmarkStart w:id="3988" w:name="_Toc142401017"/>
      <w:bookmarkStart w:id="3989" w:name="_Toc172218252"/>
      <w:bookmarkStart w:id="3990" w:name="_Toc71294226"/>
      <w:bookmarkStart w:id="3991" w:name="_Toc99561593"/>
      <w:bookmarkStart w:id="3992" w:name="_Toc194080881"/>
      <w:bookmarkStart w:id="3993" w:name="_Toc196728213"/>
      <w:r>
        <w:rPr>
          <w:rFonts w:hint="eastAsia"/>
        </w:rPr>
        <w:t>代理上网配置举例</w:t>
      </w:r>
      <w:bookmarkEnd w:id="3986"/>
      <w:bookmarkEnd w:id="3987"/>
      <w:bookmarkEnd w:id="3988"/>
      <w:bookmarkEnd w:id="3989"/>
      <w:bookmarkEnd w:id="3990"/>
      <w:bookmarkEnd w:id="3991"/>
      <w:bookmarkEnd w:id="3992"/>
      <w:bookmarkEnd w:id="3993"/>
    </w:p>
    <w:p w14:paraId="52C629CF">
      <w:pPr>
        <w:pStyle w:val="6"/>
      </w:pPr>
      <w:bookmarkStart w:id="3994" w:name="_Toc71294227"/>
      <w:bookmarkStart w:id="3995" w:name="_Toc19443"/>
      <w:r>
        <w:rPr>
          <w:rFonts w:hint="eastAsia"/>
        </w:rPr>
        <w:t>组网需求</w:t>
      </w:r>
      <w:bookmarkEnd w:id="3994"/>
      <w:bookmarkEnd w:id="3995"/>
    </w:p>
    <w:p w14:paraId="173EC04B">
      <w:r>
        <w:rPr>
          <w:rFonts w:hint="eastAsia"/>
        </w:rPr>
        <w:t>如</w:t>
      </w:r>
      <w:r>
        <w:fldChar w:fldCharType="begin"/>
      </w:r>
      <w:r>
        <w:instrText xml:space="preserve"> </w:instrText>
      </w:r>
      <w:r>
        <w:rPr>
          <w:rFonts w:hint="eastAsia"/>
        </w:rPr>
        <w:instrText xml:space="preserve">REF _Ref71277229 \r \h</w:instrText>
      </w:r>
      <w:r>
        <w:instrText xml:space="preserve"> </w:instrText>
      </w:r>
      <w:r>
        <w:fldChar w:fldCharType="separate"/>
      </w:r>
      <w:r>
        <w:rPr>
          <w:rFonts w:hint="eastAsia"/>
        </w:rPr>
        <w:t>图12-6</w:t>
      </w:r>
      <w:r>
        <w:fldChar w:fldCharType="end"/>
      </w:r>
      <w:r>
        <w:rPr>
          <w:rFonts w:hint="eastAsia"/>
        </w:rPr>
        <w:t>所示，某公司内网研发、销售、行政部门的IP地址网段分别为10.1.0.0/16、10.2.0.0/16、10.3.0.0/16，设备以路由模式部署在网络中，内网用户通过设备ge0口出去</w:t>
      </w:r>
      <w:r>
        <w:t>访问外网</w:t>
      </w:r>
      <w:r>
        <w:rPr>
          <w:rFonts w:hint="eastAsia"/>
        </w:rPr>
        <w:t>。使用代理功能对研发网络进行控制，允许研发网络通过代理上网，只能访问指定网站。</w:t>
      </w:r>
    </w:p>
    <w:p w14:paraId="5D63CBC5">
      <w:pPr>
        <w:pStyle w:val="188"/>
      </w:pPr>
      <w:bookmarkStart w:id="3996" w:name="_Ref71277229"/>
      <w:bookmarkStart w:id="3997" w:name="_Toc141874739"/>
      <w:r>
        <w:rPr>
          <w:rFonts w:hint="eastAsia"/>
        </w:rPr>
        <w:t>应用代理组网图</w:t>
      </w:r>
      <w:bookmarkEnd w:id="3996"/>
      <w:bookmarkEnd w:id="3997"/>
    </w:p>
    <w:p w14:paraId="588D2C31">
      <w:r>
        <w:drawing>
          <wp:inline distT="0" distB="0" distL="0" distR="0">
            <wp:extent cx="4800600" cy="2229485"/>
            <wp:effectExtent l="0" t="0" r="0"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pic:cNvPicPr>
                  </pic:nvPicPr>
                  <pic:blipFill>
                    <a:blip r:embed="rId535"/>
                    <a:stretch>
                      <a:fillRect/>
                    </a:stretch>
                  </pic:blipFill>
                  <pic:spPr>
                    <a:xfrm>
                      <a:off x="0" y="0"/>
                      <a:ext cx="4840458" cy="2248004"/>
                    </a:xfrm>
                    <a:prstGeom prst="rect">
                      <a:avLst/>
                    </a:prstGeom>
                  </pic:spPr>
                </pic:pic>
              </a:graphicData>
            </a:graphic>
          </wp:inline>
        </w:drawing>
      </w:r>
    </w:p>
    <w:p w14:paraId="3AE535A8"/>
    <w:p w14:paraId="0648506A">
      <w:pPr>
        <w:pStyle w:val="6"/>
      </w:pPr>
      <w:bookmarkStart w:id="3998" w:name="_Toc8126"/>
      <w:bookmarkStart w:id="3999" w:name="_Toc71294228"/>
      <w:r>
        <w:rPr>
          <w:rFonts w:hint="eastAsia"/>
        </w:rPr>
        <w:t>配置步骤</w:t>
      </w:r>
      <w:bookmarkEnd w:id="3998"/>
      <w:bookmarkEnd w:id="3999"/>
    </w:p>
    <w:p w14:paraId="1F41B8F1">
      <w:pPr>
        <w:pStyle w:val="202"/>
        <w:rPr>
          <w:lang w:eastAsia="zh-CN"/>
        </w:rPr>
      </w:pPr>
      <w:r>
        <w:rPr>
          <w:rFonts w:hint="eastAsia"/>
          <w:lang w:eastAsia="zh-CN"/>
        </w:rPr>
        <w:t>进入“网络</w:t>
      </w:r>
      <w:r>
        <w:rPr>
          <w:lang w:eastAsia="zh-CN"/>
        </w:rPr>
        <w:t>配置</w:t>
      </w:r>
      <w:r>
        <w:rPr>
          <w:rFonts w:hint="eastAsia"/>
          <w:lang w:eastAsia="zh-CN"/>
        </w:rPr>
        <w:t>&gt;接口</w:t>
      </w:r>
      <w:r>
        <w:rPr>
          <w:lang w:eastAsia="zh-CN"/>
        </w:rPr>
        <w:t>配置</w:t>
      </w:r>
      <w:r>
        <w:rPr>
          <w:rFonts w:hint="eastAsia"/>
          <w:lang w:eastAsia="zh-CN"/>
        </w:rPr>
        <w:t>&gt;物理接口”页面，配置</w:t>
      </w:r>
      <w:r>
        <w:rPr>
          <w:lang w:eastAsia="zh-CN"/>
        </w:rPr>
        <w:t>物理接口地址</w:t>
      </w:r>
      <w:r>
        <w:rPr>
          <w:rFonts w:hint="eastAsia"/>
          <w:lang w:eastAsia="zh-CN"/>
        </w:rPr>
        <w:t>。</w:t>
      </w:r>
    </w:p>
    <w:p w14:paraId="3760C580">
      <w:pPr>
        <w:pStyle w:val="202"/>
        <w:rPr>
          <w:lang w:eastAsia="zh-CN"/>
        </w:rPr>
      </w:pPr>
      <w:r>
        <w:rPr>
          <w:rFonts w:hint="eastAsia"/>
          <w:lang w:eastAsia="zh-CN"/>
        </w:rPr>
        <w:t>进入“策略配置&gt;对象管理&gt;地址对象”，点击&lt;新建</w:t>
      </w:r>
      <w:r>
        <w:rPr>
          <w:lang w:eastAsia="zh-CN"/>
        </w:rPr>
        <w:t>&gt;按钮</w:t>
      </w:r>
      <w:r>
        <w:rPr>
          <w:rFonts w:hint="eastAsia"/>
          <w:lang w:eastAsia="zh-CN"/>
        </w:rPr>
        <w:t>，</w:t>
      </w:r>
      <w:r>
        <w:rPr>
          <w:lang w:eastAsia="zh-CN"/>
        </w:rPr>
        <w:t>配置地址对象</w:t>
      </w:r>
      <w:r>
        <w:rPr>
          <w:rFonts w:hint="eastAsia"/>
          <w:lang w:eastAsia="zh-CN"/>
        </w:rPr>
        <w:t>。</w:t>
      </w:r>
    </w:p>
    <w:p w14:paraId="16859213">
      <w:pPr>
        <w:pStyle w:val="188"/>
        <w:rPr>
          <w:szCs w:val="22"/>
        </w:rPr>
      </w:pPr>
      <w:bookmarkStart w:id="4000" w:name="_Toc141874740"/>
      <w:r>
        <w:rPr>
          <w:rFonts w:hint="eastAsia"/>
        </w:rPr>
        <w:t>配置地址对象</w:t>
      </w:r>
      <w:bookmarkEnd w:id="4000"/>
    </w:p>
    <w:p w14:paraId="1D419CD3">
      <w:r>
        <w:drawing>
          <wp:inline distT="0" distB="0" distL="114300" distR="114300">
            <wp:extent cx="5400040" cy="3601720"/>
            <wp:effectExtent l="0" t="0" r="0" b="0"/>
            <wp:docPr id="107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 name="图片 153"/>
                    <pic:cNvPicPr>
                      <a:picLocks noChangeAspect="1"/>
                    </pic:cNvPicPr>
                  </pic:nvPicPr>
                  <pic:blipFill>
                    <a:blip r:embed="rId536"/>
                    <a:stretch>
                      <a:fillRect/>
                    </a:stretch>
                  </pic:blipFill>
                  <pic:spPr>
                    <a:xfrm>
                      <a:off x="0" y="0"/>
                      <a:ext cx="5400040" cy="3601960"/>
                    </a:xfrm>
                    <a:prstGeom prst="rect">
                      <a:avLst/>
                    </a:prstGeom>
                    <a:noFill/>
                    <a:ln>
                      <a:noFill/>
                    </a:ln>
                  </pic:spPr>
                </pic:pic>
              </a:graphicData>
            </a:graphic>
          </wp:inline>
        </w:drawing>
      </w:r>
    </w:p>
    <w:p w14:paraId="792A0DC9">
      <w:pPr>
        <w:pStyle w:val="202"/>
        <w:rPr>
          <w:lang w:eastAsia="zh-CN"/>
        </w:rPr>
      </w:pPr>
      <w:r>
        <w:rPr>
          <w:rFonts w:hint="eastAsia"/>
          <w:lang w:eastAsia="zh-CN"/>
        </w:rPr>
        <w:t>进入“策略配置&gt;控制策略”，点击&lt;新建</w:t>
      </w:r>
      <w:r>
        <w:rPr>
          <w:lang w:eastAsia="zh-CN"/>
        </w:rPr>
        <w:t>&gt;按钮</w:t>
      </w:r>
      <w:r>
        <w:rPr>
          <w:rFonts w:hint="eastAsia"/>
          <w:lang w:eastAsia="zh-CN"/>
        </w:rPr>
        <w:t>，新建</w:t>
      </w:r>
      <w:r>
        <w:rPr>
          <w:lang w:eastAsia="zh-CN"/>
        </w:rPr>
        <w:t>一条控制策略</w:t>
      </w:r>
      <w:r>
        <w:rPr>
          <w:rFonts w:hint="eastAsia"/>
          <w:lang w:eastAsia="zh-CN"/>
        </w:rPr>
        <w:t>，</w:t>
      </w:r>
      <w:r>
        <w:rPr>
          <w:lang w:eastAsia="zh-CN"/>
        </w:rPr>
        <w:t>动作为允许</w:t>
      </w:r>
      <w:r>
        <w:rPr>
          <w:rFonts w:hint="eastAsia"/>
          <w:lang w:eastAsia="zh-CN"/>
        </w:rPr>
        <w:t>，</w:t>
      </w:r>
      <w:r>
        <w:rPr>
          <w:lang w:eastAsia="zh-CN"/>
        </w:rPr>
        <w:t>源地址选择已配置的地址对象</w:t>
      </w:r>
      <w:r>
        <w:rPr>
          <w:rFonts w:hint="eastAsia"/>
          <w:lang w:eastAsia="zh-CN"/>
        </w:rPr>
        <w:t>“1</w:t>
      </w:r>
      <w:r>
        <w:rPr>
          <w:lang w:eastAsia="zh-CN"/>
        </w:rPr>
        <w:t>0.1.1.1</w:t>
      </w:r>
      <w:r>
        <w:rPr>
          <w:rFonts w:hint="eastAsia"/>
          <w:lang w:eastAsia="zh-CN"/>
        </w:rPr>
        <w:t>”。</w:t>
      </w:r>
    </w:p>
    <w:p w14:paraId="5D5FCEA1">
      <w:pPr>
        <w:pStyle w:val="188"/>
      </w:pPr>
      <w:bookmarkStart w:id="4001" w:name="_Toc141874741"/>
      <w:r>
        <w:rPr>
          <w:rFonts w:hint="eastAsia"/>
        </w:rPr>
        <w:t>配置控制策略</w:t>
      </w:r>
      <w:bookmarkEnd w:id="4001"/>
    </w:p>
    <w:p w14:paraId="3F86E502">
      <w:r>
        <w:drawing>
          <wp:inline distT="0" distB="0" distL="114300" distR="114300">
            <wp:extent cx="5400040" cy="664210"/>
            <wp:effectExtent l="0" t="0" r="0" b="2540"/>
            <wp:docPr id="107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图片 154"/>
                    <pic:cNvPicPr>
                      <a:picLocks noChangeAspect="1"/>
                    </pic:cNvPicPr>
                  </pic:nvPicPr>
                  <pic:blipFill>
                    <a:blip r:embed="rId537"/>
                    <a:srcRect b="22902"/>
                    <a:stretch>
                      <a:fillRect/>
                    </a:stretch>
                  </pic:blipFill>
                  <pic:spPr>
                    <a:xfrm>
                      <a:off x="0" y="0"/>
                      <a:ext cx="5400040" cy="664698"/>
                    </a:xfrm>
                    <a:prstGeom prst="rect">
                      <a:avLst/>
                    </a:prstGeom>
                    <a:noFill/>
                    <a:ln>
                      <a:noFill/>
                    </a:ln>
                  </pic:spPr>
                </pic:pic>
              </a:graphicData>
            </a:graphic>
          </wp:inline>
        </w:drawing>
      </w:r>
    </w:p>
    <w:p w14:paraId="350C547F"/>
    <w:p w14:paraId="35124CA7">
      <w:pPr>
        <w:pStyle w:val="202"/>
        <w:rPr>
          <w:lang w:eastAsia="zh-CN"/>
        </w:rPr>
      </w:pPr>
      <w:r>
        <w:rPr>
          <w:rFonts w:hint="eastAsia"/>
          <w:lang w:eastAsia="zh-CN"/>
        </w:rPr>
        <w:t>进入“网络配置&gt;基础网络&gt;代理上网&gt;代理服务”页面，开启代理服务并配置代理端口。</w:t>
      </w:r>
    </w:p>
    <w:p w14:paraId="1A136535">
      <w:pPr>
        <w:pStyle w:val="188"/>
      </w:pPr>
      <w:bookmarkStart w:id="4002" w:name="_Toc141874742"/>
      <w:r>
        <w:rPr>
          <w:rFonts w:hint="eastAsia"/>
        </w:rPr>
        <w:t>配置代理服务</w:t>
      </w:r>
      <w:bookmarkEnd w:id="4002"/>
    </w:p>
    <w:p w14:paraId="751E611E">
      <w:r>
        <w:drawing>
          <wp:inline distT="0" distB="0" distL="114300" distR="114300">
            <wp:extent cx="5400040" cy="2905125"/>
            <wp:effectExtent l="0" t="0" r="0" b="9525"/>
            <wp:docPr id="107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图片 155"/>
                    <pic:cNvPicPr>
                      <a:picLocks noChangeAspect="1"/>
                    </pic:cNvPicPr>
                  </pic:nvPicPr>
                  <pic:blipFill>
                    <a:blip r:embed="rId538"/>
                    <a:stretch>
                      <a:fillRect/>
                    </a:stretch>
                  </pic:blipFill>
                  <pic:spPr>
                    <a:xfrm>
                      <a:off x="0" y="0"/>
                      <a:ext cx="5400040" cy="2905548"/>
                    </a:xfrm>
                    <a:prstGeom prst="rect">
                      <a:avLst/>
                    </a:prstGeom>
                    <a:noFill/>
                    <a:ln>
                      <a:noFill/>
                    </a:ln>
                  </pic:spPr>
                </pic:pic>
              </a:graphicData>
            </a:graphic>
          </wp:inline>
        </w:drawing>
      </w:r>
    </w:p>
    <w:p w14:paraId="2980A4F3"/>
    <w:p w14:paraId="4744CB3B">
      <w:pPr>
        <w:pStyle w:val="202"/>
      </w:pPr>
      <w:r>
        <w:rPr>
          <w:rFonts w:hint="eastAsia"/>
        </w:rPr>
        <w:t>新建HTTP代理。</w:t>
      </w:r>
    </w:p>
    <w:p w14:paraId="35355ED1">
      <w:r>
        <w:rPr>
          <w:rFonts w:hint="eastAsia"/>
        </w:rPr>
        <w:t>进入“网络配置&gt;基础网络&gt;代理上网&gt;代理策略”页面，点击“新建&gt;HTTP”，进入HTTP代理配置页面，点击“选择地址对象”选择地址对象，如下图所示。</w:t>
      </w:r>
    </w:p>
    <w:p w14:paraId="5B833D3C">
      <w:pPr>
        <w:pStyle w:val="188"/>
      </w:pPr>
      <w:bookmarkStart w:id="4003" w:name="_Toc141874743"/>
      <w:r>
        <w:rPr>
          <w:rFonts w:hint="eastAsia"/>
        </w:rPr>
        <w:t>选择地址对象</w:t>
      </w:r>
      <w:bookmarkEnd w:id="4003"/>
    </w:p>
    <w:p w14:paraId="54D1014F">
      <w:r>
        <w:drawing>
          <wp:inline distT="0" distB="0" distL="114300" distR="114300">
            <wp:extent cx="5400040" cy="2835275"/>
            <wp:effectExtent l="0" t="0" r="0" b="3175"/>
            <wp:docPr id="107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 name="图片 156"/>
                    <pic:cNvPicPr>
                      <a:picLocks noChangeAspect="1"/>
                    </pic:cNvPicPr>
                  </pic:nvPicPr>
                  <pic:blipFill>
                    <a:blip r:embed="rId539"/>
                    <a:stretch>
                      <a:fillRect/>
                    </a:stretch>
                  </pic:blipFill>
                  <pic:spPr>
                    <a:xfrm>
                      <a:off x="0" y="0"/>
                      <a:ext cx="5400040" cy="2835694"/>
                    </a:xfrm>
                    <a:prstGeom prst="rect">
                      <a:avLst/>
                    </a:prstGeom>
                    <a:noFill/>
                    <a:ln>
                      <a:noFill/>
                    </a:ln>
                  </pic:spPr>
                </pic:pic>
              </a:graphicData>
            </a:graphic>
          </wp:inline>
        </w:drawing>
      </w:r>
    </w:p>
    <w:p w14:paraId="712C1DB8"/>
    <w:p w14:paraId="447D1CDF">
      <w:r>
        <w:rPr>
          <w:rFonts w:hint="eastAsia"/>
        </w:rPr>
        <w:t>目的域名选择“指定”，并配置目的域名，动作配置为“允许”，如下图所示。</w:t>
      </w:r>
    </w:p>
    <w:p w14:paraId="0EC968C3">
      <w:pPr>
        <w:pStyle w:val="188"/>
      </w:pPr>
      <w:bookmarkStart w:id="4004" w:name="_Toc141874744"/>
      <w:r>
        <w:rPr>
          <w:rFonts w:hint="eastAsia"/>
        </w:rPr>
        <w:t>配置目的域名</w:t>
      </w:r>
      <w:bookmarkEnd w:id="4004"/>
    </w:p>
    <w:p w14:paraId="5FC4BAD5">
      <w:r>
        <w:drawing>
          <wp:inline distT="0" distB="0" distL="114300" distR="114300">
            <wp:extent cx="5400040" cy="3438525"/>
            <wp:effectExtent l="0" t="0" r="0" b="9525"/>
            <wp:docPr id="107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 name="图片 157"/>
                    <pic:cNvPicPr>
                      <a:picLocks noChangeAspect="1"/>
                    </pic:cNvPicPr>
                  </pic:nvPicPr>
                  <pic:blipFill>
                    <a:blip r:embed="rId540"/>
                    <a:stretch>
                      <a:fillRect/>
                    </a:stretch>
                  </pic:blipFill>
                  <pic:spPr>
                    <a:xfrm>
                      <a:off x="0" y="0"/>
                      <a:ext cx="5400040" cy="3438590"/>
                    </a:xfrm>
                    <a:prstGeom prst="rect">
                      <a:avLst/>
                    </a:prstGeom>
                    <a:noFill/>
                    <a:ln>
                      <a:noFill/>
                    </a:ln>
                  </pic:spPr>
                </pic:pic>
              </a:graphicData>
            </a:graphic>
          </wp:inline>
        </w:drawing>
      </w:r>
    </w:p>
    <w:p w14:paraId="19406DD9"/>
    <w:p w14:paraId="57C2E9F5">
      <w:pPr>
        <w:pStyle w:val="202"/>
      </w:pPr>
      <w:r>
        <w:rPr>
          <w:rFonts w:hint="eastAsia"/>
        </w:rPr>
        <w:t>新建SOCKS4、SOCKS5代理。进入“网络配置&gt;基础网络&gt;代理上网&gt;代理策略”页面，点击“新建&gt;SOCKS4”新建SOCKS4代理，点击“新建&gt;SOCKS</w:t>
      </w:r>
      <w:r>
        <w:t>5</w:t>
      </w:r>
      <w:r>
        <w:rPr>
          <w:rFonts w:hint="eastAsia"/>
        </w:rPr>
        <w:t>”新建SOCKS</w:t>
      </w:r>
      <w:r>
        <w:t>5代理</w:t>
      </w:r>
      <w:r>
        <w:rPr>
          <w:rFonts w:hint="eastAsia"/>
        </w:rPr>
        <w:t>，配置完成后如下图所示。</w:t>
      </w:r>
    </w:p>
    <w:p w14:paraId="6B964AD2">
      <w:pPr>
        <w:pStyle w:val="188"/>
      </w:pPr>
      <w:bookmarkStart w:id="4005" w:name="_Toc141874745"/>
      <w:r>
        <w:rPr>
          <w:rFonts w:hint="eastAsia"/>
        </w:rPr>
        <w:t>新建SOCKS、SOCKS5代理</w:t>
      </w:r>
      <w:bookmarkEnd w:id="4005"/>
    </w:p>
    <w:p w14:paraId="7FC14CED">
      <w:r>
        <w:drawing>
          <wp:inline distT="0" distB="0" distL="0" distR="0">
            <wp:extent cx="5400040" cy="1672590"/>
            <wp:effectExtent l="0" t="0" r="0" b="3810"/>
            <wp:docPr id="4967" name="图片 4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7" name="图片 4967"/>
                    <pic:cNvPicPr>
                      <a:picLocks noChangeAspect="1"/>
                    </pic:cNvPicPr>
                  </pic:nvPicPr>
                  <pic:blipFill>
                    <a:blip r:embed="rId541"/>
                    <a:stretch>
                      <a:fillRect/>
                    </a:stretch>
                  </pic:blipFill>
                  <pic:spPr>
                    <a:xfrm>
                      <a:off x="0" y="0"/>
                      <a:ext cx="5400040" cy="1673161"/>
                    </a:xfrm>
                    <a:prstGeom prst="rect">
                      <a:avLst/>
                    </a:prstGeom>
                  </pic:spPr>
                </pic:pic>
              </a:graphicData>
            </a:graphic>
          </wp:inline>
        </w:drawing>
      </w:r>
    </w:p>
    <w:p w14:paraId="35B11D01"/>
    <w:p w14:paraId="66B28168">
      <w:pPr>
        <w:pStyle w:val="202"/>
        <w:rPr>
          <w:lang w:eastAsia="zh-CN"/>
        </w:rPr>
      </w:pPr>
      <w:r>
        <w:rPr>
          <w:rFonts w:hint="eastAsia"/>
          <w:lang w:eastAsia="zh-CN"/>
        </w:rPr>
        <w:t>用户客户端上配置代理地址，通过代理上网。</w:t>
      </w:r>
    </w:p>
    <w:p w14:paraId="691B6F03"/>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3B2C815D">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7137DD52">
            <w:pPr>
              <w:pStyle w:val="150"/>
              <w:adjustRightInd w:val="0"/>
              <w:snapToGrid w:val="0"/>
              <w:rPr>
                <w:color w:val="auto"/>
              </w:rPr>
            </w:pPr>
            <w:r>
              <w:rPr>
                <w:b/>
                <w:color w:val="auto"/>
              </w:rPr>
              <w:drawing>
                <wp:inline distT="0" distB="0" distL="0" distR="0">
                  <wp:extent cx="283210" cy="283210"/>
                  <wp:effectExtent l="0" t="0" r="2540" b="2540"/>
                  <wp:docPr id="855" name="图片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图片 855"/>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07329937">
            <w:pPr>
              <w:pStyle w:val="150"/>
              <w:adjustRightInd w:val="0"/>
              <w:snapToGrid w:val="0"/>
              <w:rPr>
                <w:color w:val="auto"/>
              </w:rPr>
            </w:pPr>
            <w:r>
              <w:rPr>
                <w:rFonts w:hint="eastAsia"/>
                <w:color w:val="auto"/>
              </w:rPr>
              <w:t>客户端可以用多种设置代理的方式，如：应用软件自带、系统自带、第三方代理软件，此处以Windows10系统自带的代理为例进行设置。</w:t>
            </w:r>
          </w:p>
        </w:tc>
      </w:tr>
    </w:tbl>
    <w:p w14:paraId="3C72BFC7"/>
    <w:p w14:paraId="1933FBE1">
      <w:pPr>
        <w:pStyle w:val="160"/>
        <w:widowControl/>
        <w:numPr>
          <w:ilvl w:val="0"/>
          <w:numId w:val="29"/>
        </w:numPr>
        <w:spacing w:before="158" w:after="158" w:line="240" w:lineRule="auto"/>
        <w:ind w:firstLineChars="0"/>
      </w:pPr>
      <w:r>
        <w:rPr>
          <w:rFonts w:hint="eastAsia"/>
        </w:rPr>
        <w:t>打开Windows设置，选择“代理服务器设置”，如下图所示。</w:t>
      </w:r>
    </w:p>
    <w:p w14:paraId="7A52B543">
      <w:pPr>
        <w:pStyle w:val="188"/>
      </w:pPr>
      <w:bookmarkStart w:id="4006" w:name="_Toc141874746"/>
      <w:r>
        <w:rPr>
          <w:rFonts w:hint="eastAsia"/>
        </w:rPr>
        <w:t>Windows10系统自带代理设置</w:t>
      </w:r>
      <w:bookmarkEnd w:id="4006"/>
    </w:p>
    <w:p w14:paraId="5200B2F7">
      <w:r>
        <w:drawing>
          <wp:inline distT="0" distB="0" distL="114300" distR="114300">
            <wp:extent cx="4524375" cy="2957195"/>
            <wp:effectExtent l="0" t="0" r="0" b="0"/>
            <wp:docPr id="30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17"/>
                    <pic:cNvPicPr>
                      <a:picLocks noChangeAspect="1"/>
                    </pic:cNvPicPr>
                  </pic:nvPicPr>
                  <pic:blipFill>
                    <a:blip r:embed="rId542"/>
                    <a:stretch>
                      <a:fillRect/>
                    </a:stretch>
                  </pic:blipFill>
                  <pic:spPr>
                    <a:xfrm>
                      <a:off x="0" y="0"/>
                      <a:ext cx="4543617" cy="2970138"/>
                    </a:xfrm>
                    <a:prstGeom prst="rect">
                      <a:avLst/>
                    </a:prstGeom>
                    <a:noFill/>
                    <a:ln>
                      <a:noFill/>
                    </a:ln>
                  </pic:spPr>
                </pic:pic>
              </a:graphicData>
            </a:graphic>
          </wp:inline>
        </w:drawing>
      </w:r>
    </w:p>
    <w:p w14:paraId="7FDE8FA8">
      <w:pPr>
        <w:pStyle w:val="160"/>
        <w:widowControl/>
        <w:numPr>
          <w:ilvl w:val="0"/>
          <w:numId w:val="29"/>
        </w:numPr>
        <w:spacing w:before="158" w:after="158" w:line="240" w:lineRule="auto"/>
        <w:ind w:firstLineChars="0"/>
      </w:pPr>
      <w:r>
        <w:rPr>
          <w:rFonts w:hint="eastAsia"/>
        </w:rPr>
        <w:t>手动设置代理，开启“使用代理服务器”，配置代理服务器的地址、端口，如下图所示。</w:t>
      </w:r>
    </w:p>
    <w:p w14:paraId="183A2FBF">
      <w:pPr>
        <w:pStyle w:val="188"/>
      </w:pPr>
      <w:bookmarkStart w:id="4007" w:name="_Toc141874747"/>
      <w:r>
        <w:rPr>
          <w:rFonts w:hint="eastAsia"/>
        </w:rPr>
        <w:t>设置代理服务器</w:t>
      </w:r>
      <w:bookmarkEnd w:id="4007"/>
    </w:p>
    <w:p w14:paraId="0B4674DA">
      <w:r>
        <w:drawing>
          <wp:inline distT="0" distB="0" distL="114300" distR="114300">
            <wp:extent cx="3895725" cy="5949315"/>
            <wp:effectExtent l="0" t="0" r="0" b="0"/>
            <wp:docPr id="30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18"/>
                    <pic:cNvPicPr>
                      <a:picLocks noChangeAspect="1"/>
                    </pic:cNvPicPr>
                  </pic:nvPicPr>
                  <pic:blipFill>
                    <a:blip r:embed="rId543"/>
                    <a:stretch>
                      <a:fillRect/>
                    </a:stretch>
                  </pic:blipFill>
                  <pic:spPr>
                    <a:xfrm>
                      <a:off x="0" y="0"/>
                      <a:ext cx="3899380" cy="5954920"/>
                    </a:xfrm>
                    <a:prstGeom prst="rect">
                      <a:avLst/>
                    </a:prstGeom>
                    <a:noFill/>
                    <a:ln>
                      <a:noFill/>
                    </a:ln>
                  </pic:spPr>
                </pic:pic>
              </a:graphicData>
            </a:graphic>
          </wp:inline>
        </w:drawing>
      </w:r>
    </w:p>
    <w:p w14:paraId="28FD8718"/>
    <w:p w14:paraId="21346A87">
      <w:r>
        <w:rPr>
          <w:rFonts w:hint="eastAsia"/>
        </w:rPr>
        <w:t>Microsoft edge或者Google Chorme浏览器默认使用的是系统代理，火狐浏览器可以选中设置使用系统代理或者自带设置代理，如下图所示。</w:t>
      </w:r>
    </w:p>
    <w:p w14:paraId="72E78978">
      <w:pPr>
        <w:pStyle w:val="188"/>
      </w:pPr>
      <w:bookmarkStart w:id="4008" w:name="_Toc141874748"/>
      <w:r>
        <w:t>火狐浏览器连接设置</w:t>
      </w:r>
      <w:bookmarkEnd w:id="4008"/>
    </w:p>
    <w:p w14:paraId="3791A4EC">
      <w:r>
        <w:drawing>
          <wp:inline distT="0" distB="0" distL="114300" distR="114300">
            <wp:extent cx="5471160" cy="5492750"/>
            <wp:effectExtent l="0" t="0" r="15240" b="12700"/>
            <wp:docPr id="30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23"/>
                    <pic:cNvPicPr>
                      <a:picLocks noChangeAspect="1"/>
                    </pic:cNvPicPr>
                  </pic:nvPicPr>
                  <pic:blipFill>
                    <a:blip r:embed="rId544"/>
                    <a:stretch>
                      <a:fillRect/>
                    </a:stretch>
                  </pic:blipFill>
                  <pic:spPr>
                    <a:xfrm>
                      <a:off x="0" y="0"/>
                      <a:ext cx="5471160" cy="5492750"/>
                    </a:xfrm>
                    <a:prstGeom prst="rect">
                      <a:avLst/>
                    </a:prstGeom>
                    <a:noFill/>
                    <a:ln>
                      <a:noFill/>
                    </a:ln>
                  </pic:spPr>
                </pic:pic>
              </a:graphicData>
            </a:graphic>
          </wp:inline>
        </w:drawing>
      </w:r>
    </w:p>
    <w:p w14:paraId="6970D3F7">
      <w:pPr>
        <w:pStyle w:val="6"/>
      </w:pPr>
      <w:bookmarkStart w:id="4009" w:name="_Toc10635"/>
      <w:bookmarkStart w:id="4010" w:name="_Toc71294229"/>
      <w:r>
        <w:rPr>
          <w:rFonts w:hint="eastAsia"/>
        </w:rPr>
        <w:t>验证配置</w:t>
      </w:r>
      <w:bookmarkEnd w:id="4009"/>
      <w:bookmarkEnd w:id="4010"/>
    </w:p>
    <w:p w14:paraId="28808997">
      <w:pPr>
        <w:pStyle w:val="202"/>
      </w:pPr>
      <w:r>
        <w:rPr>
          <w:rFonts w:hint="eastAsia"/>
        </w:rPr>
        <w:t>用户使用http代理打开百度。</w:t>
      </w:r>
    </w:p>
    <w:p w14:paraId="662B3E0B">
      <w:r>
        <w:rPr>
          <w:rFonts w:hint="eastAsia"/>
        </w:rPr>
        <w:t>用户PC访问百度时，弹出认证页面，如</w:t>
      </w:r>
      <w:r>
        <w:fldChar w:fldCharType="begin"/>
      </w:r>
      <w:r>
        <w:instrText xml:space="preserve"> </w:instrText>
      </w:r>
      <w:r>
        <w:rPr>
          <w:rFonts w:hint="eastAsia"/>
        </w:rPr>
        <w:instrText xml:space="preserve">REF _Ref71293504 \r \h</w:instrText>
      </w:r>
      <w:r>
        <w:instrText xml:space="preserve"> </w:instrText>
      </w:r>
      <w:r>
        <w:fldChar w:fldCharType="separate"/>
      </w:r>
      <w:r>
        <w:rPr>
          <w:rFonts w:hint="eastAsia"/>
        </w:rPr>
        <w:t>图12-16</w:t>
      </w:r>
      <w:r>
        <w:fldChar w:fldCharType="end"/>
      </w:r>
      <w:r>
        <w:t>所示</w:t>
      </w:r>
      <w:r>
        <w:rPr>
          <w:rFonts w:hint="eastAsia"/>
        </w:rPr>
        <w:t>；通过认证后代理用户上线，进入在线用户页面可以查看在线用户记录，如</w:t>
      </w:r>
      <w:r>
        <w:fldChar w:fldCharType="begin"/>
      </w:r>
      <w:r>
        <w:instrText xml:space="preserve"> </w:instrText>
      </w:r>
      <w:r>
        <w:rPr>
          <w:rFonts w:hint="eastAsia"/>
        </w:rPr>
        <w:instrText xml:space="preserve">REF _Ref71293547 \r \h</w:instrText>
      </w:r>
      <w:r>
        <w:instrText xml:space="preserve"> </w:instrText>
      </w:r>
      <w:r>
        <w:fldChar w:fldCharType="separate"/>
      </w:r>
      <w:r>
        <w:rPr>
          <w:rFonts w:hint="eastAsia"/>
        </w:rPr>
        <w:t>图12-17</w:t>
      </w:r>
      <w:r>
        <w:fldChar w:fldCharType="end"/>
      </w:r>
      <w:r>
        <w:t>所示</w:t>
      </w:r>
      <w:r>
        <w:rPr>
          <w:rFonts w:hint="eastAsia"/>
        </w:rPr>
        <w:t>。</w:t>
      </w:r>
    </w:p>
    <w:p w14:paraId="23F8242F">
      <w:pPr>
        <w:pStyle w:val="188"/>
      </w:pPr>
      <w:bookmarkStart w:id="4011" w:name="_Ref71293504"/>
      <w:bookmarkStart w:id="4012" w:name="_Toc141874749"/>
      <w:r>
        <w:t>代理用户认证</w:t>
      </w:r>
      <w:bookmarkEnd w:id="4011"/>
      <w:bookmarkEnd w:id="4012"/>
    </w:p>
    <w:p w14:paraId="0190E00B">
      <w:r>
        <w:drawing>
          <wp:inline distT="0" distB="0" distL="114300" distR="114300">
            <wp:extent cx="5153025" cy="3020695"/>
            <wp:effectExtent l="0" t="0" r="0" b="8255"/>
            <wp:docPr id="30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22"/>
                    <pic:cNvPicPr>
                      <a:picLocks noChangeAspect="1"/>
                    </pic:cNvPicPr>
                  </pic:nvPicPr>
                  <pic:blipFill>
                    <a:blip r:embed="rId545"/>
                    <a:stretch>
                      <a:fillRect/>
                    </a:stretch>
                  </pic:blipFill>
                  <pic:spPr>
                    <a:xfrm>
                      <a:off x="0" y="0"/>
                      <a:ext cx="5176271" cy="3034532"/>
                    </a:xfrm>
                    <a:prstGeom prst="rect">
                      <a:avLst/>
                    </a:prstGeom>
                    <a:noFill/>
                    <a:ln>
                      <a:noFill/>
                    </a:ln>
                  </pic:spPr>
                </pic:pic>
              </a:graphicData>
            </a:graphic>
          </wp:inline>
        </w:drawing>
      </w:r>
    </w:p>
    <w:p w14:paraId="2DEFA59E"/>
    <w:p w14:paraId="5DB16AE6">
      <w:pPr>
        <w:pStyle w:val="202"/>
        <w:rPr>
          <w:lang w:eastAsia="zh-CN"/>
        </w:rPr>
      </w:pPr>
      <w:r>
        <w:rPr>
          <w:rFonts w:hint="eastAsia"/>
          <w:lang w:eastAsia="zh-CN"/>
        </w:rPr>
        <w:t>通过认证后代理用户上线，进入在线用户页面可以查看在线用户记录。</w:t>
      </w:r>
    </w:p>
    <w:p w14:paraId="7A5EF05A">
      <w:pPr>
        <w:pStyle w:val="188"/>
      </w:pPr>
      <w:bookmarkStart w:id="4013" w:name="_Ref71293547"/>
      <w:bookmarkStart w:id="4014" w:name="_Toc141874750"/>
      <w:r>
        <w:rPr>
          <w:rFonts w:hint="eastAsia"/>
        </w:rPr>
        <w:t>代理用户上线</w:t>
      </w:r>
      <w:bookmarkEnd w:id="4013"/>
      <w:bookmarkEnd w:id="4014"/>
    </w:p>
    <w:p w14:paraId="27379958">
      <w:r>
        <w:drawing>
          <wp:inline distT="0" distB="0" distL="0" distR="0">
            <wp:extent cx="5400040" cy="1042670"/>
            <wp:effectExtent l="0" t="0" r="0" b="5080"/>
            <wp:docPr id="4968" name="图片 4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8" name="图片 4968"/>
                    <pic:cNvPicPr>
                      <a:picLocks noChangeAspect="1"/>
                    </pic:cNvPicPr>
                  </pic:nvPicPr>
                  <pic:blipFill>
                    <a:blip r:embed="rId546"/>
                    <a:stretch>
                      <a:fillRect/>
                    </a:stretch>
                  </pic:blipFill>
                  <pic:spPr>
                    <a:xfrm>
                      <a:off x="0" y="0"/>
                      <a:ext cx="5400040" cy="1043253"/>
                    </a:xfrm>
                    <a:prstGeom prst="rect">
                      <a:avLst/>
                    </a:prstGeom>
                  </pic:spPr>
                </pic:pic>
              </a:graphicData>
            </a:graphic>
          </wp:inline>
        </w:drawing>
      </w:r>
    </w:p>
    <w:p w14:paraId="1B028722">
      <w:pPr>
        <w:pStyle w:val="202"/>
        <w:rPr>
          <w:lang w:eastAsia="zh-CN"/>
        </w:rPr>
      </w:pPr>
      <w:r>
        <w:rPr>
          <w:rFonts w:hint="eastAsia"/>
          <w:lang w:eastAsia="zh-CN"/>
        </w:rPr>
        <w:t>在用户PC上抓包查看，如</w:t>
      </w:r>
      <w:r>
        <w:fldChar w:fldCharType="begin"/>
      </w:r>
      <w:r>
        <w:rPr>
          <w:lang w:eastAsia="zh-CN"/>
        </w:rPr>
        <w:instrText xml:space="preserve"> </w:instrText>
      </w:r>
      <w:r>
        <w:rPr>
          <w:rFonts w:hint="eastAsia"/>
          <w:lang w:eastAsia="zh-CN"/>
        </w:rPr>
        <w:instrText xml:space="preserve">REF _Ref71293776 \r \h</w:instrText>
      </w:r>
      <w:r>
        <w:rPr>
          <w:lang w:eastAsia="zh-CN"/>
        </w:rPr>
        <w:instrText xml:space="preserve"> </w:instrText>
      </w:r>
      <w:r>
        <w:fldChar w:fldCharType="separate"/>
      </w:r>
      <w:r>
        <w:rPr>
          <w:rFonts w:hint="eastAsia"/>
          <w:lang w:eastAsia="zh-CN"/>
        </w:rPr>
        <w:t>图12-18</w:t>
      </w:r>
      <w:r>
        <w:fldChar w:fldCharType="end"/>
      </w:r>
      <w:r>
        <w:rPr>
          <w:lang w:eastAsia="zh-CN"/>
        </w:rPr>
        <w:t>所示</w:t>
      </w:r>
      <w:r>
        <w:rPr>
          <w:rFonts w:hint="eastAsia"/>
          <w:lang w:eastAsia="zh-CN"/>
        </w:rPr>
        <w:t>，用户访问百度是直接向代理地址发请求，而不是通常的直接向目的地址发请求。</w:t>
      </w:r>
    </w:p>
    <w:p w14:paraId="4B06E5BD">
      <w:pPr>
        <w:pStyle w:val="188"/>
      </w:pPr>
      <w:bookmarkStart w:id="4015" w:name="_Ref71293776"/>
      <w:bookmarkStart w:id="4016" w:name="_Toc141874751"/>
      <w:r>
        <w:t>用户PC抓包</w:t>
      </w:r>
      <w:bookmarkEnd w:id="4015"/>
      <w:r>
        <w:t>记录</w:t>
      </w:r>
      <w:bookmarkEnd w:id="4016"/>
    </w:p>
    <w:p w14:paraId="62A85AF3">
      <w:r>
        <w:drawing>
          <wp:inline distT="0" distB="0" distL="114300" distR="114300">
            <wp:extent cx="5400040" cy="1769745"/>
            <wp:effectExtent l="0" t="0" r="0" b="1905"/>
            <wp:docPr id="108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图片 162"/>
                    <pic:cNvPicPr>
                      <a:picLocks noChangeAspect="1"/>
                    </pic:cNvPicPr>
                  </pic:nvPicPr>
                  <pic:blipFill>
                    <a:blip r:embed="rId547"/>
                    <a:stretch>
                      <a:fillRect/>
                    </a:stretch>
                  </pic:blipFill>
                  <pic:spPr>
                    <a:xfrm>
                      <a:off x="0" y="0"/>
                      <a:ext cx="5400040" cy="1769926"/>
                    </a:xfrm>
                    <a:prstGeom prst="rect">
                      <a:avLst/>
                    </a:prstGeom>
                    <a:noFill/>
                    <a:ln>
                      <a:noFill/>
                    </a:ln>
                  </pic:spPr>
                </pic:pic>
              </a:graphicData>
            </a:graphic>
          </wp:inline>
        </w:drawing>
      </w:r>
    </w:p>
    <w:p w14:paraId="6FB60D91"/>
    <w:p w14:paraId="36336618">
      <w:pPr>
        <w:pStyle w:val="202"/>
        <w:rPr>
          <w:lang w:eastAsia="zh-CN"/>
        </w:rPr>
      </w:pPr>
      <w:r>
        <w:rPr>
          <w:rFonts w:hint="eastAsia"/>
          <w:lang w:eastAsia="zh-CN"/>
        </w:rPr>
        <w:t>进入“网络配置&gt;基础网络&gt;代理上网&gt;代理策略”，可以查看代理策略的匹配次数，如下图所示。</w:t>
      </w:r>
    </w:p>
    <w:p w14:paraId="6CE06847">
      <w:pPr>
        <w:pStyle w:val="188"/>
      </w:pPr>
      <w:bookmarkStart w:id="4017" w:name="_Toc141874752"/>
      <w:r>
        <w:t>代理策略匹配次数</w:t>
      </w:r>
      <w:bookmarkEnd w:id="4017"/>
    </w:p>
    <w:p w14:paraId="780D6985">
      <w:r>
        <w:drawing>
          <wp:inline distT="0" distB="0" distL="0" distR="0">
            <wp:extent cx="5400040" cy="1567815"/>
            <wp:effectExtent l="0" t="0" r="0" b="0"/>
            <wp:docPr id="4969" name="图片 4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9" name="图片 4969"/>
                    <pic:cNvPicPr>
                      <a:picLocks noChangeAspect="1"/>
                    </pic:cNvPicPr>
                  </pic:nvPicPr>
                  <pic:blipFill>
                    <a:blip r:embed="rId548"/>
                    <a:stretch>
                      <a:fillRect/>
                    </a:stretch>
                  </pic:blipFill>
                  <pic:spPr>
                    <a:xfrm>
                      <a:off x="0" y="0"/>
                      <a:ext cx="5400040" cy="1568242"/>
                    </a:xfrm>
                    <a:prstGeom prst="rect">
                      <a:avLst/>
                    </a:prstGeom>
                  </pic:spPr>
                </pic:pic>
              </a:graphicData>
            </a:graphic>
          </wp:inline>
        </w:drawing>
      </w:r>
    </w:p>
    <w:p w14:paraId="35960BBA"/>
    <w:p w14:paraId="584CB483">
      <w:pPr>
        <w:pStyle w:val="202"/>
      </w:pPr>
      <w:r>
        <w:rPr>
          <w:rFonts w:hint="eastAsia"/>
        </w:rPr>
        <w:t>访问www.hao123.com。</w:t>
      </w:r>
    </w:p>
    <w:p w14:paraId="11B5EC8B">
      <w:r>
        <w:rPr>
          <w:rFonts w:hint="eastAsia"/>
        </w:rPr>
        <w:t>因为代理策略配置只允许目的地址为baidu，所以被代理直接中断连接，如下图所示。</w:t>
      </w:r>
    </w:p>
    <w:p w14:paraId="0B405A01">
      <w:pPr>
        <w:pStyle w:val="188"/>
      </w:pPr>
      <w:bookmarkStart w:id="4018" w:name="_Toc141874753"/>
      <w:r>
        <w:rPr>
          <w:rFonts w:hint="eastAsia"/>
        </w:rPr>
        <w:t>代理中断连接</w:t>
      </w:r>
      <w:bookmarkEnd w:id="4018"/>
    </w:p>
    <w:p w14:paraId="3EC9931C">
      <w:r>
        <w:drawing>
          <wp:inline distT="0" distB="0" distL="114300" distR="114300">
            <wp:extent cx="5400040" cy="1824990"/>
            <wp:effectExtent l="0" t="0" r="0" b="3810"/>
            <wp:docPr id="1085"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图片 164"/>
                    <pic:cNvPicPr>
                      <a:picLocks noChangeAspect="1"/>
                    </pic:cNvPicPr>
                  </pic:nvPicPr>
                  <pic:blipFill>
                    <a:blip r:embed="rId549"/>
                    <a:srcRect r="2513"/>
                    <a:stretch>
                      <a:fillRect/>
                    </a:stretch>
                  </pic:blipFill>
                  <pic:spPr>
                    <a:xfrm>
                      <a:off x="0" y="0"/>
                      <a:ext cx="5400040" cy="1825317"/>
                    </a:xfrm>
                    <a:prstGeom prst="rect">
                      <a:avLst/>
                    </a:prstGeom>
                    <a:noFill/>
                    <a:ln>
                      <a:noFill/>
                    </a:ln>
                  </pic:spPr>
                </pic:pic>
              </a:graphicData>
            </a:graphic>
          </wp:inline>
        </w:drawing>
      </w:r>
    </w:p>
    <w:p w14:paraId="561D5C3B"/>
    <w:p w14:paraId="3F683314">
      <w:pPr>
        <w:pStyle w:val="3"/>
      </w:pPr>
      <w:bookmarkStart w:id="4019" w:name="_Toc194080882"/>
      <w:bookmarkStart w:id="4020" w:name="_Toc143795738"/>
      <w:bookmarkStart w:id="4021" w:name="_Toc172218253"/>
      <w:bookmarkStart w:id="4022" w:name="_Toc196728214"/>
      <w:r>
        <w:rPr>
          <w:rFonts w:hint="eastAsia"/>
        </w:rPr>
        <w:t>网络引流</w:t>
      </w:r>
      <w:bookmarkEnd w:id="4019"/>
      <w:bookmarkEnd w:id="4020"/>
      <w:bookmarkEnd w:id="4021"/>
      <w:bookmarkEnd w:id="4022"/>
    </w:p>
    <w:p w14:paraId="1B7C5278">
      <w:pPr>
        <w:pStyle w:val="4"/>
      </w:pPr>
      <w:bookmarkStart w:id="4023" w:name="_Toc196728215"/>
      <w:bookmarkStart w:id="4024" w:name="_Toc172218254"/>
      <w:bookmarkStart w:id="4025" w:name="_Toc194080883"/>
      <w:bookmarkStart w:id="4026" w:name="_Toc143795739"/>
      <w:r>
        <w:t>概述</w:t>
      </w:r>
      <w:bookmarkEnd w:id="4023"/>
      <w:bookmarkEnd w:id="4024"/>
      <w:bookmarkEnd w:id="4025"/>
      <w:bookmarkEnd w:id="4026"/>
    </w:p>
    <w:p w14:paraId="0B749505">
      <w:r>
        <w:rPr>
          <w:rFonts w:hint="eastAsia"/>
        </w:rPr>
        <w:t>网络引流的功能是指通过设备将终端访问外网的流量引流到云平台，流量经过云平台处理后再回流到设备，然后从原路径转发出去。使用GRE VPN或者IPsec VPN实现隧道的互通，通过策略路由实现引流，并解决流量二次过设备问题。</w:t>
      </w:r>
    </w:p>
    <w:p w14:paraId="1285A8FA">
      <w:pPr>
        <w:pStyle w:val="4"/>
      </w:pPr>
      <w:bookmarkStart w:id="4027" w:name="_Toc172218255"/>
      <w:bookmarkStart w:id="4028" w:name="_Toc194080884"/>
      <w:bookmarkStart w:id="4029" w:name="_Toc196728216"/>
      <w:bookmarkStart w:id="4030" w:name="_Toc143795740"/>
      <w:r>
        <w:rPr>
          <w:rFonts w:hint="eastAsia"/>
        </w:rPr>
        <w:t>应用场景</w:t>
      </w:r>
      <w:bookmarkEnd w:id="4027"/>
      <w:bookmarkEnd w:id="4028"/>
      <w:bookmarkEnd w:id="4029"/>
      <w:bookmarkEnd w:id="4030"/>
    </w:p>
    <w:p w14:paraId="2CB02F3A">
      <w:r>
        <w:rPr>
          <w:rFonts w:hint="eastAsia"/>
        </w:rPr>
        <w:t>如下图所示，将SASE平台部署在城域汇聚节点，提供POP点接入、安全检测和防护、安全策略等功能；客户侧部署一台设备作为CPE（</w:t>
      </w:r>
      <w:r>
        <w:t>Customer Premise Equipment</w:t>
      </w:r>
      <w:r>
        <w:rPr>
          <w:rFonts w:hint="eastAsia"/>
        </w:rPr>
        <w:t>），用于和POP点建立隧道，并转发指定流量到SASE平台，最后将过滤后的流量转发到CPE设备出接口。</w:t>
      </w:r>
    </w:p>
    <w:p w14:paraId="7E108495">
      <w:pPr>
        <w:pStyle w:val="188"/>
      </w:pPr>
      <w:r>
        <w:rPr>
          <w:rFonts w:hint="eastAsia"/>
        </w:rPr>
        <w:t>网络引流应用场景组网图</w:t>
      </w:r>
    </w:p>
    <w:p w14:paraId="5ABB3107">
      <w:pPr>
        <w:pStyle w:val="175"/>
      </w:pPr>
      <w:r>
        <w:drawing>
          <wp:inline distT="0" distB="0" distL="0" distR="0">
            <wp:extent cx="4524375" cy="3314700"/>
            <wp:effectExtent l="0" t="0" r="9525"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550"/>
                    <a:stretch>
                      <a:fillRect/>
                    </a:stretch>
                  </pic:blipFill>
                  <pic:spPr>
                    <a:xfrm>
                      <a:off x="0" y="0"/>
                      <a:ext cx="4524375" cy="3314700"/>
                    </a:xfrm>
                    <a:prstGeom prst="rect">
                      <a:avLst/>
                    </a:prstGeom>
                  </pic:spPr>
                </pic:pic>
              </a:graphicData>
            </a:graphic>
          </wp:inline>
        </w:drawing>
      </w:r>
    </w:p>
    <w:p w14:paraId="5A54BEC5"/>
    <w:p w14:paraId="0027749F">
      <w:r>
        <w:t>终端访问外网的流量需要经过云平台的安全检查</w:t>
      </w:r>
      <w:r>
        <w:rPr>
          <w:rFonts w:hint="eastAsia"/>
        </w:rPr>
        <w:t>，流量转发的流程如下：</w:t>
      </w:r>
    </w:p>
    <w:p w14:paraId="04B19E34">
      <w:pPr>
        <w:pStyle w:val="202"/>
        <w:rPr>
          <w:lang w:eastAsia="zh-CN"/>
        </w:rPr>
      </w:pPr>
      <w:r>
        <w:rPr>
          <w:rFonts w:hint="eastAsia"/>
          <w:lang w:eastAsia="zh-CN"/>
        </w:rPr>
        <w:t>PC发出的流量经过设备</w:t>
      </w:r>
      <w:r>
        <w:rPr>
          <w:lang w:eastAsia="zh-CN"/>
        </w:rPr>
        <w:t>CPE。</w:t>
      </w:r>
    </w:p>
    <w:p w14:paraId="2D0EEB56">
      <w:pPr>
        <w:pStyle w:val="202"/>
        <w:rPr>
          <w:lang w:eastAsia="zh-CN"/>
        </w:rPr>
      </w:pPr>
      <w:r>
        <w:rPr>
          <w:lang w:eastAsia="zh-CN"/>
        </w:rPr>
        <w:t>CPE先将接收到的流量通过GRE隧道上送到云平台的</w:t>
      </w:r>
      <w:r>
        <w:rPr>
          <w:rFonts w:hint="eastAsia"/>
          <w:lang w:eastAsia="zh-CN"/>
        </w:rPr>
        <w:t>VPE。</w:t>
      </w:r>
    </w:p>
    <w:p w14:paraId="30671E2B">
      <w:pPr>
        <w:pStyle w:val="202"/>
        <w:rPr>
          <w:lang w:eastAsia="zh-CN"/>
        </w:rPr>
      </w:pPr>
      <w:r>
        <w:rPr>
          <w:rFonts w:hint="eastAsia"/>
          <w:lang w:eastAsia="zh-CN"/>
        </w:rPr>
        <w:t>VPE收到上送来的流量后转发给VRouter。</w:t>
      </w:r>
    </w:p>
    <w:p w14:paraId="7EFD15B2">
      <w:pPr>
        <w:pStyle w:val="202"/>
        <w:rPr>
          <w:lang w:eastAsia="zh-CN"/>
        </w:rPr>
      </w:pPr>
      <w:r>
        <w:rPr>
          <w:lang w:eastAsia="zh-CN"/>
        </w:rPr>
        <w:t>VRouter将VPE转发过来的流量传递给安全模块进行安全检查。</w:t>
      </w:r>
    </w:p>
    <w:p w14:paraId="4E364D74">
      <w:pPr>
        <w:pStyle w:val="202"/>
        <w:rPr>
          <w:lang w:eastAsia="zh-CN"/>
        </w:rPr>
      </w:pPr>
      <w:r>
        <w:rPr>
          <w:lang w:eastAsia="zh-CN"/>
        </w:rPr>
        <w:t>安全模块处理完成后将流量返回给VRouter。</w:t>
      </w:r>
    </w:p>
    <w:p w14:paraId="14464012">
      <w:pPr>
        <w:pStyle w:val="202"/>
        <w:rPr>
          <w:lang w:eastAsia="zh-CN"/>
        </w:rPr>
      </w:pPr>
      <w:r>
        <w:rPr>
          <w:lang w:eastAsia="zh-CN"/>
        </w:rPr>
        <w:t>VRouter将安全模块发送过来的流量转发给</w:t>
      </w:r>
      <w:r>
        <w:rPr>
          <w:rFonts w:hint="eastAsia"/>
          <w:lang w:eastAsia="zh-CN"/>
        </w:rPr>
        <w:t>VPE。</w:t>
      </w:r>
    </w:p>
    <w:p w14:paraId="6614BFB7">
      <w:pPr>
        <w:pStyle w:val="202"/>
        <w:rPr>
          <w:lang w:eastAsia="zh-CN"/>
        </w:rPr>
      </w:pPr>
      <w:r>
        <w:rPr>
          <w:lang w:eastAsia="zh-CN"/>
        </w:rPr>
        <w:t>VPE将VRouter转发过来的流量再通过</w:t>
      </w:r>
      <w:r>
        <w:rPr>
          <w:rFonts w:hint="eastAsia"/>
          <w:lang w:eastAsia="zh-CN"/>
        </w:rPr>
        <w:t>GRE隧道送回到CPE。</w:t>
      </w:r>
    </w:p>
    <w:p w14:paraId="450BACC4">
      <w:pPr>
        <w:pStyle w:val="202"/>
        <w:rPr>
          <w:lang w:eastAsia="zh-CN"/>
        </w:rPr>
      </w:pPr>
      <w:r>
        <w:rPr>
          <w:rFonts w:hint="eastAsia"/>
          <w:lang w:eastAsia="zh-CN"/>
        </w:rPr>
        <w:t>CPE将二次过来的流量从接口转发到出口防火墙（FW）。</w:t>
      </w:r>
    </w:p>
    <w:p w14:paraId="6BEFBA82">
      <w:pPr>
        <w:pStyle w:val="202"/>
        <w:rPr>
          <w:lang w:eastAsia="zh-CN"/>
        </w:rPr>
      </w:pPr>
      <w:r>
        <w:rPr>
          <w:rFonts w:hint="eastAsia"/>
          <w:lang w:eastAsia="zh-CN"/>
        </w:rPr>
        <w:t>出口防火墙（FW）最终真正的将流量发送到外网。</w:t>
      </w:r>
    </w:p>
    <w:p w14:paraId="66D30F3A">
      <w:pPr>
        <w:pStyle w:val="4"/>
      </w:pPr>
      <w:bookmarkStart w:id="4031" w:name="_Toc27345"/>
      <w:bookmarkStart w:id="4032" w:name="_Toc143795741"/>
      <w:bookmarkStart w:id="4033" w:name="_Toc172218256"/>
      <w:bookmarkStart w:id="4034" w:name="_Toc194080885"/>
      <w:bookmarkStart w:id="4035" w:name="_Toc196728217"/>
      <w:r>
        <w:rPr>
          <w:rFonts w:hint="eastAsia"/>
        </w:rPr>
        <w:t>使用限制</w:t>
      </w:r>
      <w:bookmarkEnd w:id="4031"/>
      <w:bookmarkEnd w:id="4032"/>
      <w:bookmarkEnd w:id="4033"/>
      <w:bookmarkEnd w:id="4034"/>
      <w:bookmarkEnd w:id="4035"/>
    </w:p>
    <w:p w14:paraId="49FC039B">
      <w:pPr>
        <w:pStyle w:val="162"/>
        <w:rPr>
          <w:lang w:bidi="ar"/>
        </w:rPr>
      </w:pPr>
      <w:r>
        <w:rPr>
          <w:rFonts w:hint="eastAsia"/>
          <w:lang w:bidi="ar"/>
        </w:rPr>
        <w:t>CPE只支持IPv4引流，不支持IPv6引流（IPv6数据可正常转发）。</w:t>
      </w:r>
    </w:p>
    <w:p w14:paraId="64231B7C">
      <w:pPr>
        <w:pStyle w:val="162"/>
        <w:rPr>
          <w:lang w:bidi="ar"/>
        </w:rPr>
      </w:pPr>
      <w:r>
        <w:rPr>
          <w:rFonts w:hint="eastAsia"/>
          <w:lang w:bidi="ar"/>
        </w:rPr>
        <w:t>VPE侧建立GRE隧道只支持IP地址不支持域名配置。</w:t>
      </w:r>
    </w:p>
    <w:p w14:paraId="31E25D82">
      <w:pPr>
        <w:pStyle w:val="162"/>
        <w:rPr>
          <w:lang w:bidi="ar"/>
        </w:rPr>
      </w:pPr>
      <w:r>
        <w:rPr>
          <w:rFonts w:hint="eastAsia"/>
          <w:lang w:bidi="ar"/>
        </w:rPr>
        <w:t>CPE侧出口FW的NAT功能须支持GRE协议。</w:t>
      </w:r>
    </w:p>
    <w:p w14:paraId="542A088F">
      <w:pPr>
        <w:pStyle w:val="162"/>
        <w:rPr>
          <w:lang w:bidi="ar"/>
        </w:rPr>
      </w:pPr>
      <w:r>
        <w:rPr>
          <w:rFonts w:hint="eastAsia"/>
          <w:lang w:bidi="ar"/>
        </w:rPr>
        <w:t>CPE引流不支持带vlan tag。</w:t>
      </w:r>
    </w:p>
    <w:p w14:paraId="6B9748F6">
      <w:pPr>
        <w:pStyle w:val="162"/>
      </w:pPr>
      <w:r>
        <w:rPr>
          <w:rFonts w:hint="eastAsia"/>
          <w:lang w:bidi="ar"/>
        </w:rPr>
        <w:t>GRE隧道无状态检测机制，CPE设备侧需配接口状态探测功能做引流动态切换。</w:t>
      </w:r>
    </w:p>
    <w:p w14:paraId="25D6FE9A">
      <w:pPr>
        <w:pStyle w:val="162"/>
        <w:rPr>
          <w:lang w:bidi="ar"/>
        </w:rPr>
      </w:pPr>
      <w:r>
        <w:rPr>
          <w:rFonts w:hint="eastAsia"/>
          <w:lang w:bidi="ar"/>
        </w:rPr>
        <w:t>设备作为VPE时到安全模块无引流链路检测机制，当链路不通会造成CPE侧业务不通。</w:t>
      </w:r>
    </w:p>
    <w:p w14:paraId="43F22FE3">
      <w:pPr>
        <w:pStyle w:val="162"/>
        <w:rPr>
          <w:lang w:bidi="ar"/>
        </w:rPr>
      </w:pPr>
      <w:r>
        <w:rPr>
          <w:rFonts w:hint="eastAsia"/>
          <w:lang w:bidi="ar"/>
        </w:rPr>
        <w:t>CPE引流支持协议icmp，tcp，udp。</w:t>
      </w:r>
    </w:p>
    <w:p w14:paraId="3D23FE6B">
      <w:pPr>
        <w:pStyle w:val="4"/>
      </w:pPr>
      <w:bookmarkStart w:id="4036" w:name="_Toc196728218"/>
      <w:bookmarkStart w:id="4037" w:name="_Toc25600"/>
      <w:bookmarkStart w:id="4038" w:name="_Toc172218257"/>
      <w:bookmarkStart w:id="4039" w:name="_Toc143795742"/>
      <w:bookmarkStart w:id="4040" w:name="_Toc194080886"/>
      <w:r>
        <w:rPr>
          <w:rFonts w:hint="eastAsia"/>
        </w:rPr>
        <w:t>设备（CPE）上的引流配置</w:t>
      </w:r>
      <w:bookmarkEnd w:id="4036"/>
      <w:bookmarkEnd w:id="4037"/>
      <w:bookmarkEnd w:id="4038"/>
      <w:bookmarkEnd w:id="4039"/>
      <w:bookmarkEnd w:id="4040"/>
    </w:p>
    <w:p w14:paraId="28E41861">
      <w:pPr>
        <w:pStyle w:val="6"/>
      </w:pPr>
      <w:bookmarkStart w:id="4041" w:name="_Toc9130"/>
      <w:r>
        <w:rPr>
          <w:rFonts w:hint="eastAsia"/>
        </w:rPr>
        <w:t>配置GRE隧道</w:t>
      </w:r>
      <w:bookmarkEnd w:id="4041"/>
    </w:p>
    <w:p w14:paraId="5187FBFB">
      <w:pPr>
        <w:rPr>
          <w:rFonts w:asciiTheme="minorEastAsia" w:hAnsiTheme="minorEastAsia"/>
        </w:rPr>
      </w:pPr>
      <w:r>
        <w:rPr>
          <w:rFonts w:hint="eastAsia"/>
        </w:rPr>
        <w:t>在导航栏选择“网络配置</w:t>
      </w:r>
      <w:r>
        <w:t>&gt;</w:t>
      </w:r>
      <w:r>
        <w:rPr>
          <w:rFonts w:hint="eastAsia"/>
        </w:rPr>
        <w:t>接口配置</w:t>
      </w:r>
      <w:r>
        <w:t>&gt;</w:t>
      </w:r>
      <w:r>
        <w:rPr>
          <w:rFonts w:hint="eastAsia"/>
        </w:rPr>
        <w:t>隧道接口”，新建隧道接口tunnel1，</w:t>
      </w:r>
      <w:r>
        <w:rPr>
          <w:rFonts w:hint="eastAsia" w:asciiTheme="minorEastAsia" w:hAnsiTheme="minorEastAsia"/>
        </w:rPr>
        <w:t>源IP为CPE上的出接口IP，目的IP为VPE上入接口的IP。</w:t>
      </w:r>
    </w:p>
    <w:p w14:paraId="68DAB59B">
      <w:pPr>
        <w:pStyle w:val="188"/>
      </w:pPr>
      <w:r>
        <w:rPr>
          <w:rFonts w:hint="eastAsia"/>
        </w:rPr>
        <w:t>配置隧道接口</w:t>
      </w:r>
    </w:p>
    <w:p w14:paraId="2975EAF4">
      <w:pPr>
        <w:pStyle w:val="175"/>
      </w:pPr>
      <w:r>
        <w:drawing>
          <wp:inline distT="0" distB="0" distL="0" distR="0">
            <wp:extent cx="4733925" cy="4299585"/>
            <wp:effectExtent l="0" t="0" r="0" b="5715"/>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551"/>
                    <a:stretch>
                      <a:fillRect/>
                    </a:stretch>
                  </pic:blipFill>
                  <pic:spPr>
                    <a:xfrm>
                      <a:off x="0" y="0"/>
                      <a:ext cx="4741369" cy="4306535"/>
                    </a:xfrm>
                    <a:prstGeom prst="rect">
                      <a:avLst/>
                    </a:prstGeom>
                  </pic:spPr>
                </pic:pic>
              </a:graphicData>
            </a:graphic>
          </wp:inline>
        </w:drawing>
      </w:r>
    </w:p>
    <w:p w14:paraId="4B690784">
      <w:pPr>
        <w:adjustRightInd w:val="0"/>
      </w:pPr>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3DC14C51">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65400CCF">
            <w:pPr>
              <w:pStyle w:val="150"/>
              <w:adjustRightInd w:val="0"/>
              <w:snapToGrid w:val="0"/>
              <w:rPr>
                <w:color w:val="auto"/>
              </w:rPr>
            </w:pPr>
            <w:r>
              <w:rPr>
                <w:b/>
                <w:color w:val="auto"/>
              </w:rPr>
              <w:drawing>
                <wp:inline distT="0" distB="0" distL="0" distR="0">
                  <wp:extent cx="283210" cy="283210"/>
                  <wp:effectExtent l="0" t="0" r="2540" b="2540"/>
                  <wp:docPr id="857" name="图片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图片 85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49E41370">
            <w:pPr>
              <w:pStyle w:val="207"/>
              <w:adjustRightInd w:val="0"/>
              <w:snapToGrid w:val="0"/>
              <w:rPr>
                <w:color w:val="auto"/>
                <w:lang w:eastAsia="zh-CN"/>
              </w:rPr>
            </w:pPr>
            <w:r>
              <w:rPr>
                <w:rFonts w:hint="eastAsia"/>
                <w:color w:val="auto"/>
                <w:lang w:eastAsia="zh-CN"/>
              </w:rPr>
              <w:t>CPE与VPE之间正确建立GRE隧道需要具备以下条件：</w:t>
            </w:r>
          </w:p>
          <w:p w14:paraId="4DCA9537">
            <w:pPr>
              <w:pStyle w:val="207"/>
              <w:adjustRightInd w:val="0"/>
              <w:snapToGrid w:val="0"/>
              <w:rPr>
                <w:color w:val="auto"/>
              </w:rPr>
            </w:pPr>
            <w:r>
              <w:rPr>
                <w:rFonts w:hint="eastAsia"/>
                <w:color w:val="auto"/>
              </w:rPr>
              <w:t>CPE和VPE上分别配置tunnel口为GRE模式。</w:t>
            </w:r>
          </w:p>
          <w:p w14:paraId="6FCB3D8A">
            <w:pPr>
              <w:pStyle w:val="207"/>
              <w:adjustRightInd w:val="0"/>
              <w:snapToGrid w:val="0"/>
              <w:rPr>
                <w:color w:val="auto"/>
                <w:lang w:eastAsia="zh-CN"/>
              </w:rPr>
            </w:pPr>
            <w:r>
              <w:rPr>
                <w:rFonts w:hint="eastAsia"/>
                <w:color w:val="auto"/>
                <w:lang w:eastAsia="zh-CN"/>
              </w:rPr>
              <w:t>指定隧道的源目地址分别为隧道通信两端的IP地址。</w:t>
            </w:r>
          </w:p>
          <w:p w14:paraId="6304B9D0">
            <w:pPr>
              <w:pStyle w:val="207"/>
              <w:adjustRightInd w:val="0"/>
              <w:snapToGrid w:val="0"/>
              <w:rPr>
                <w:color w:val="auto"/>
              </w:rPr>
            </w:pPr>
            <w:r>
              <w:rPr>
                <w:rFonts w:hint="eastAsia"/>
                <w:color w:val="auto"/>
              </w:rPr>
              <w:t>保证网络可达。</w:t>
            </w:r>
          </w:p>
          <w:p w14:paraId="65385928">
            <w:pPr>
              <w:pStyle w:val="207"/>
              <w:adjustRightInd w:val="0"/>
              <w:snapToGrid w:val="0"/>
              <w:rPr>
                <w:color w:val="auto"/>
                <w:lang w:eastAsia="zh-CN"/>
              </w:rPr>
            </w:pPr>
            <w:r>
              <w:rPr>
                <w:rFonts w:hint="eastAsia"/>
                <w:color w:val="auto"/>
                <w:lang w:eastAsia="zh-CN"/>
              </w:rPr>
              <w:t>根据需要选择是否配置tunnel口的VRF（由于流量需要二次过设备，为了避免环路以及VPE上区分不同CPE上送的流量等问题，需要配置tunnel口的VRF，将不同tunnel接口的流量进行隔离）。</w:t>
            </w:r>
          </w:p>
        </w:tc>
      </w:tr>
    </w:tbl>
    <w:p w14:paraId="0D764273">
      <w:pPr>
        <w:adjustRightInd w:val="0"/>
      </w:pPr>
    </w:p>
    <w:p w14:paraId="17521E09">
      <w:pPr>
        <w:pStyle w:val="6"/>
      </w:pPr>
      <w:bookmarkStart w:id="4042" w:name="_Toc21816"/>
      <w:r>
        <w:rPr>
          <w:rFonts w:hint="eastAsia"/>
        </w:rPr>
        <w:t>配置网络引流</w:t>
      </w:r>
      <w:bookmarkEnd w:id="4042"/>
    </w:p>
    <w:p w14:paraId="4456FE5C">
      <w:r>
        <w:rPr>
          <w:rFonts w:hint="eastAsia"/>
        </w:rPr>
        <w:t>在导航栏选择“网络配置</w:t>
      </w:r>
      <w:r>
        <w:t>&gt;</w:t>
      </w:r>
      <w:r>
        <w:rPr>
          <w:rFonts w:hint="eastAsia"/>
        </w:rPr>
        <w:t>基础网络</w:t>
      </w:r>
      <w:r>
        <w:t>&gt;</w:t>
      </w:r>
      <w:r>
        <w:rPr>
          <w:rFonts w:hint="eastAsia"/>
        </w:rPr>
        <w:t>网络引流&gt;</w:t>
      </w:r>
      <w:r>
        <w:t>GRE网络引流</w:t>
      </w:r>
      <w:r>
        <w:rPr>
          <w:rFonts w:hint="eastAsia"/>
        </w:rPr>
        <w:t>”，启用网络引流，</w:t>
      </w:r>
      <w:r>
        <w:rPr>
          <w:rFonts w:hint="eastAsia" w:asciiTheme="minorEastAsia" w:hAnsiTheme="minorEastAsia"/>
        </w:rPr>
        <w:t>绑定引流的GRE隧道接口和地址对象。</w:t>
      </w:r>
    </w:p>
    <w:p w14:paraId="5868E703">
      <w:pPr>
        <w:pStyle w:val="188"/>
      </w:pPr>
      <w:r>
        <w:rPr>
          <w:rFonts w:hint="eastAsia"/>
        </w:rPr>
        <w:t>配置网络引流</w:t>
      </w:r>
    </w:p>
    <w:p w14:paraId="4B7344E4">
      <w:pPr>
        <w:pStyle w:val="175"/>
      </w:pPr>
      <w:r>
        <w:drawing>
          <wp:inline distT="0" distB="0" distL="0" distR="0">
            <wp:extent cx="4851400" cy="1819275"/>
            <wp:effectExtent l="0" t="0" r="6350" b="9525"/>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552"/>
                    <a:stretch>
                      <a:fillRect/>
                    </a:stretch>
                  </pic:blipFill>
                  <pic:spPr>
                    <a:xfrm>
                      <a:off x="0" y="0"/>
                      <a:ext cx="4857075" cy="1821403"/>
                    </a:xfrm>
                    <a:prstGeom prst="rect">
                      <a:avLst/>
                    </a:prstGeom>
                  </pic:spPr>
                </pic:pic>
              </a:graphicData>
            </a:graphic>
          </wp:inline>
        </w:drawing>
      </w:r>
    </w:p>
    <w:p w14:paraId="2026C0C3"/>
    <w:p w14:paraId="09BDBBD4">
      <w:pPr>
        <w:pStyle w:val="183"/>
      </w:pPr>
      <w:r>
        <w:rPr>
          <w:rFonts w:hint="eastAsia"/>
        </w:rPr>
        <w:t>网络引流显示信息描述:</w:t>
      </w:r>
    </w:p>
    <w:tbl>
      <w:tblPr>
        <w:tblStyle w:val="173"/>
        <w:tblW w:w="0" w:type="auto"/>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705"/>
        <w:gridCol w:w="6817"/>
      </w:tblGrid>
      <w:tr w14:paraId="32F8BB2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705" w:type="dxa"/>
            <w:tcBorders>
              <w:tl2br w:val="nil"/>
              <w:tr2bl w:val="nil"/>
            </w:tcBorders>
            <w:shd w:val="clear" w:color="auto" w:fill="538135" w:themeFill="accent6" w:themeFillShade="BF"/>
            <w:vAlign w:val="center"/>
          </w:tcPr>
          <w:p w14:paraId="4EDB7654">
            <w:pPr>
              <w:pStyle w:val="149"/>
              <w:wordWrap/>
              <w:rPr>
                <w:b/>
                <w:bCs/>
                <w:i w:val="0"/>
                <w:iCs w:val="0"/>
              </w:rPr>
            </w:pPr>
            <w:r>
              <w:rPr>
                <w:rFonts w:hint="eastAsia"/>
                <w:b/>
                <w:bCs/>
                <w:i w:val="0"/>
                <w:iCs w:val="0"/>
              </w:rPr>
              <w:t>标题项</w:t>
            </w:r>
          </w:p>
        </w:tc>
        <w:tc>
          <w:tcPr>
            <w:tcW w:w="6817" w:type="dxa"/>
            <w:tcBorders>
              <w:tl2br w:val="nil"/>
              <w:tr2bl w:val="nil"/>
            </w:tcBorders>
            <w:shd w:val="clear" w:color="auto" w:fill="538135" w:themeFill="accent6" w:themeFillShade="BF"/>
            <w:vAlign w:val="center"/>
          </w:tcPr>
          <w:p w14:paraId="545744D6">
            <w:pPr>
              <w:pStyle w:val="149"/>
              <w:wordWrap/>
              <w:rPr>
                <w:b/>
                <w:bCs/>
                <w:i w:val="0"/>
                <w:iCs w:val="0"/>
              </w:rPr>
            </w:pPr>
            <w:r>
              <w:rPr>
                <w:rFonts w:hint="eastAsia"/>
                <w:b/>
                <w:bCs/>
                <w:i w:val="0"/>
                <w:iCs w:val="0"/>
              </w:rPr>
              <w:t>说明</w:t>
            </w:r>
          </w:p>
        </w:tc>
      </w:tr>
      <w:tr w14:paraId="01D922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705" w:type="dxa"/>
            <w:shd w:val="clear" w:color="auto" w:fill="auto"/>
          </w:tcPr>
          <w:p w14:paraId="0B30B936">
            <w:pPr>
              <w:pStyle w:val="186"/>
              <w:widowControl w:val="0"/>
              <w:spacing w:line="240" w:lineRule="auto"/>
              <w:ind w:firstLine="0"/>
              <w:jc w:val="left"/>
            </w:pPr>
            <w:r>
              <w:rPr>
                <w:rFonts w:hint="eastAsia"/>
              </w:rPr>
              <w:t>启用</w:t>
            </w:r>
          </w:p>
        </w:tc>
        <w:tc>
          <w:tcPr>
            <w:tcW w:w="6817" w:type="dxa"/>
            <w:shd w:val="clear" w:color="auto" w:fill="auto"/>
          </w:tcPr>
          <w:p w14:paraId="673E11A0">
            <w:pPr>
              <w:pStyle w:val="186"/>
              <w:widowControl w:val="0"/>
              <w:spacing w:line="240" w:lineRule="auto"/>
              <w:ind w:firstLine="0"/>
              <w:jc w:val="left"/>
            </w:pPr>
            <w:r>
              <w:rPr>
                <w:rFonts w:hint="eastAsia"/>
              </w:rPr>
              <w:t>勾选启用表示启用此网络引流；</w:t>
            </w:r>
          </w:p>
          <w:p w14:paraId="53370C21">
            <w:pPr>
              <w:pStyle w:val="186"/>
              <w:widowControl w:val="0"/>
              <w:spacing w:line="240" w:lineRule="auto"/>
              <w:ind w:firstLine="0"/>
              <w:jc w:val="left"/>
            </w:pPr>
            <w:r>
              <w:rPr>
                <w:rFonts w:hint="eastAsia"/>
              </w:rPr>
              <w:t>不勾选启用表示不启用此网络引流。</w:t>
            </w:r>
          </w:p>
        </w:tc>
      </w:tr>
      <w:tr w14:paraId="4F9CEA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705" w:type="dxa"/>
            <w:shd w:val="clear" w:color="auto" w:fill="auto"/>
          </w:tcPr>
          <w:p w14:paraId="01FF4B85">
            <w:pPr>
              <w:pStyle w:val="186"/>
              <w:widowControl w:val="0"/>
              <w:spacing w:line="240" w:lineRule="auto"/>
              <w:ind w:firstLine="0"/>
              <w:jc w:val="left"/>
            </w:pPr>
            <w:r>
              <w:rPr>
                <w:rFonts w:hint="eastAsia"/>
              </w:rPr>
              <w:t>引流接口</w:t>
            </w:r>
          </w:p>
        </w:tc>
        <w:tc>
          <w:tcPr>
            <w:tcW w:w="6817" w:type="dxa"/>
            <w:shd w:val="clear" w:color="auto" w:fill="auto"/>
          </w:tcPr>
          <w:p w14:paraId="3A00E6A4">
            <w:pPr>
              <w:pStyle w:val="186"/>
              <w:widowControl w:val="0"/>
              <w:spacing w:line="240" w:lineRule="auto"/>
              <w:ind w:firstLine="0"/>
              <w:jc w:val="left"/>
            </w:pPr>
            <w:r>
              <w:rPr>
                <w:rFonts w:hint="eastAsia"/>
              </w:rPr>
              <w:t>指定网络引流的具体接口，选择已创建的GRE隧道接口。</w:t>
            </w:r>
          </w:p>
        </w:tc>
      </w:tr>
      <w:tr w14:paraId="590155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705" w:type="dxa"/>
            <w:shd w:val="clear" w:color="auto" w:fill="auto"/>
          </w:tcPr>
          <w:p w14:paraId="51D67906">
            <w:pPr>
              <w:pStyle w:val="186"/>
              <w:widowControl w:val="0"/>
              <w:spacing w:line="240" w:lineRule="auto"/>
              <w:ind w:firstLine="0"/>
              <w:jc w:val="left"/>
            </w:pPr>
            <w:r>
              <w:rPr>
                <w:rFonts w:hint="eastAsia"/>
              </w:rPr>
              <w:t>引流对象</w:t>
            </w:r>
          </w:p>
        </w:tc>
        <w:tc>
          <w:tcPr>
            <w:tcW w:w="6817" w:type="dxa"/>
            <w:shd w:val="clear" w:color="auto" w:fill="auto"/>
          </w:tcPr>
          <w:p w14:paraId="2BEDB339">
            <w:pPr>
              <w:pStyle w:val="186"/>
              <w:widowControl w:val="0"/>
              <w:spacing w:line="240" w:lineRule="auto"/>
              <w:ind w:firstLine="0"/>
              <w:jc w:val="left"/>
            </w:pPr>
            <w:r>
              <w:rPr>
                <w:rFonts w:hint="eastAsia"/>
              </w:rPr>
              <w:t>指定网络引流的地址对象。</w:t>
            </w:r>
          </w:p>
        </w:tc>
      </w:tr>
    </w:tbl>
    <w:p w14:paraId="233D716D"/>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54CD5446">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6FD244FE">
            <w:pPr>
              <w:pStyle w:val="150"/>
              <w:adjustRightInd w:val="0"/>
              <w:snapToGrid w:val="0"/>
              <w:rPr>
                <w:color w:val="auto"/>
              </w:rPr>
            </w:pPr>
            <w:r>
              <w:rPr>
                <w:b/>
                <w:color w:val="auto"/>
              </w:rPr>
              <w:drawing>
                <wp:inline distT="0" distB="0" distL="0" distR="0">
                  <wp:extent cx="283210" cy="283210"/>
                  <wp:effectExtent l="0" t="0" r="2540" b="2540"/>
                  <wp:docPr id="858" name="图片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图片 858"/>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2656EB40">
            <w:pPr>
              <w:pStyle w:val="207"/>
              <w:adjustRightInd w:val="0"/>
              <w:snapToGrid w:val="0"/>
              <w:rPr>
                <w:rStyle w:val="354"/>
                <w:color w:val="auto"/>
                <w:lang w:eastAsia="zh-CN"/>
              </w:rPr>
            </w:pPr>
            <w:r>
              <w:rPr>
                <w:rStyle w:val="354"/>
                <w:rFonts w:hint="eastAsia"/>
                <w:color w:val="auto"/>
                <w:lang w:eastAsia="zh-CN"/>
              </w:rPr>
              <w:t>实现网络引流需要具备以下条件：</w:t>
            </w:r>
          </w:p>
          <w:p w14:paraId="6F8BCDB0">
            <w:pPr>
              <w:pStyle w:val="207"/>
              <w:adjustRightInd w:val="0"/>
              <w:snapToGrid w:val="0"/>
              <w:rPr>
                <w:rStyle w:val="354"/>
                <w:color w:val="auto"/>
              </w:rPr>
            </w:pPr>
            <w:r>
              <w:rPr>
                <w:rStyle w:val="354"/>
                <w:rFonts w:hint="eastAsia"/>
                <w:color w:val="auto"/>
              </w:rPr>
              <w:t>配置</w:t>
            </w:r>
            <w:r>
              <w:rPr>
                <w:rStyle w:val="354"/>
                <w:color w:val="auto"/>
              </w:rPr>
              <w:t>CPE</w:t>
            </w:r>
            <w:r>
              <w:rPr>
                <w:rStyle w:val="354"/>
                <w:rFonts w:hint="eastAsia"/>
                <w:color w:val="auto"/>
              </w:rPr>
              <w:t>与</w:t>
            </w:r>
            <w:r>
              <w:rPr>
                <w:rStyle w:val="354"/>
                <w:color w:val="auto"/>
              </w:rPr>
              <w:t>VPE</w:t>
            </w:r>
            <w:r>
              <w:rPr>
                <w:rStyle w:val="354"/>
                <w:rFonts w:hint="eastAsia"/>
                <w:color w:val="auto"/>
              </w:rPr>
              <w:t>之间的</w:t>
            </w:r>
            <w:r>
              <w:rPr>
                <w:rStyle w:val="354"/>
                <w:color w:val="auto"/>
              </w:rPr>
              <w:t>GRE</w:t>
            </w:r>
            <w:r>
              <w:rPr>
                <w:rStyle w:val="354"/>
                <w:rFonts w:hint="eastAsia"/>
                <w:color w:val="auto"/>
              </w:rPr>
              <w:t>隧道。</w:t>
            </w:r>
          </w:p>
          <w:p w14:paraId="615ED82A">
            <w:pPr>
              <w:pStyle w:val="207"/>
              <w:adjustRightInd w:val="0"/>
              <w:snapToGrid w:val="0"/>
              <w:rPr>
                <w:rStyle w:val="354"/>
                <w:color w:val="auto"/>
                <w:lang w:eastAsia="zh-CN"/>
              </w:rPr>
            </w:pPr>
            <w:r>
              <w:rPr>
                <w:rStyle w:val="354"/>
                <w:rFonts w:hint="eastAsia"/>
                <w:color w:val="auto"/>
                <w:lang w:eastAsia="zh-CN"/>
              </w:rPr>
              <w:t>配置网络引流业务，绑定引流的</w:t>
            </w:r>
            <w:r>
              <w:rPr>
                <w:rStyle w:val="354"/>
                <w:color w:val="auto"/>
                <w:lang w:eastAsia="zh-CN"/>
              </w:rPr>
              <w:t>GRE</w:t>
            </w:r>
            <w:r>
              <w:rPr>
                <w:rStyle w:val="354"/>
                <w:rFonts w:hint="eastAsia"/>
                <w:color w:val="auto"/>
                <w:lang w:eastAsia="zh-CN"/>
              </w:rPr>
              <w:t>隧道口和地址对象。</w:t>
            </w:r>
          </w:p>
          <w:p w14:paraId="0E97AD96">
            <w:pPr>
              <w:pStyle w:val="207"/>
              <w:adjustRightInd w:val="0"/>
              <w:snapToGrid w:val="0"/>
              <w:rPr>
                <w:rStyle w:val="354"/>
                <w:color w:val="auto"/>
              </w:rPr>
            </w:pPr>
            <w:r>
              <w:rPr>
                <w:rStyle w:val="354"/>
                <w:color w:val="auto"/>
              </w:rPr>
              <w:t>VPE</w:t>
            </w:r>
            <w:r>
              <w:rPr>
                <w:rStyle w:val="354"/>
                <w:rFonts w:hint="eastAsia"/>
                <w:color w:val="auto"/>
              </w:rPr>
              <w:t>上配置策略路由指向</w:t>
            </w:r>
            <w:r>
              <w:rPr>
                <w:rStyle w:val="354"/>
                <w:color w:val="auto"/>
              </w:rPr>
              <w:t>Vrouter</w:t>
            </w:r>
            <w:r>
              <w:rPr>
                <w:rStyle w:val="354"/>
                <w:rFonts w:hint="eastAsia"/>
                <w:color w:val="auto"/>
              </w:rPr>
              <w:t>。</w:t>
            </w:r>
          </w:p>
          <w:p w14:paraId="70ADC0E0">
            <w:pPr>
              <w:pStyle w:val="207"/>
              <w:adjustRightInd w:val="0"/>
              <w:snapToGrid w:val="0"/>
              <w:rPr>
                <w:rFonts w:eastAsia="楷体_GB2312"/>
                <w:color w:val="auto"/>
              </w:rPr>
            </w:pPr>
            <w:r>
              <w:rPr>
                <w:rStyle w:val="354"/>
                <w:color w:val="auto"/>
              </w:rPr>
              <w:t>VRouter</w:t>
            </w:r>
            <w:r>
              <w:rPr>
                <w:rStyle w:val="354"/>
                <w:rFonts w:hint="eastAsia"/>
                <w:color w:val="auto"/>
              </w:rPr>
              <w:t>上配置策略路由指向</w:t>
            </w:r>
            <w:r>
              <w:rPr>
                <w:rStyle w:val="354"/>
                <w:color w:val="auto"/>
              </w:rPr>
              <w:t>VPE</w:t>
            </w:r>
            <w:r>
              <w:rPr>
                <w:rStyle w:val="354"/>
                <w:rFonts w:hint="eastAsia"/>
                <w:color w:val="auto"/>
              </w:rPr>
              <w:t>。</w:t>
            </w:r>
          </w:p>
        </w:tc>
      </w:tr>
    </w:tbl>
    <w:p w14:paraId="100684B6"/>
    <w:p w14:paraId="651DF0BD">
      <w:r>
        <w:rPr>
          <w:rFonts w:hint="eastAsia"/>
        </w:rPr>
        <w:t>IPSec网络引流是指CPE与VPE之间通过IPsec</w:t>
      </w:r>
      <w:r>
        <w:t>隧道实现互通</w:t>
      </w:r>
      <w:r>
        <w:rPr>
          <w:rFonts w:hint="eastAsia"/>
        </w:rPr>
        <w:t>，需要配置CPE与VPE之间的IPsec隧道，引流的接口选择IPsec隧道接口，配置步骤与GRE网络引流相同，此处不再赘述。</w:t>
      </w:r>
    </w:p>
    <w:p w14:paraId="48A96C75">
      <w:pPr>
        <w:pStyle w:val="4"/>
      </w:pPr>
      <w:bookmarkStart w:id="4043" w:name="_Toc4011"/>
      <w:bookmarkStart w:id="4044" w:name="_Toc143795743"/>
      <w:bookmarkStart w:id="4045" w:name="_Toc172218258"/>
      <w:bookmarkStart w:id="4046" w:name="_Toc196728219"/>
      <w:bookmarkStart w:id="4047" w:name="_Toc194080887"/>
      <w:bookmarkStart w:id="4048" w:name="_Toc473039894"/>
      <w:r>
        <w:rPr>
          <w:rFonts w:hint="eastAsia"/>
        </w:rPr>
        <w:t>网络引流配置举例</w:t>
      </w:r>
      <w:bookmarkEnd w:id="4043"/>
      <w:bookmarkEnd w:id="4044"/>
      <w:bookmarkEnd w:id="4045"/>
      <w:bookmarkEnd w:id="4046"/>
      <w:bookmarkEnd w:id="4047"/>
      <w:bookmarkEnd w:id="4048"/>
    </w:p>
    <w:p w14:paraId="26B2B0A1">
      <w:pPr>
        <w:pStyle w:val="6"/>
      </w:pPr>
      <w:bookmarkStart w:id="4049" w:name="_Toc473039895"/>
      <w:bookmarkStart w:id="4050" w:name="_Toc16114"/>
      <w:r>
        <w:rPr>
          <w:rFonts w:hint="eastAsia"/>
        </w:rPr>
        <w:t>组网需</w:t>
      </w:r>
      <w:bookmarkEnd w:id="4049"/>
      <w:r>
        <w:rPr>
          <w:rFonts w:hint="eastAsia"/>
        </w:rPr>
        <w:t>求</w:t>
      </w:r>
      <w:bookmarkEnd w:id="4050"/>
    </w:p>
    <w:p w14:paraId="302EC816">
      <w:r>
        <w:rPr>
          <w:rFonts w:hint="eastAsia"/>
        </w:rPr>
        <w:t>如下图所示，SASE平台部署在城域汇聚节点，客户侧部署一台CPE设备，用于和POP点建立隧道，并转发指定流量到SASE平台，最后将过滤后的流量转发到CPE设备出接口。</w:t>
      </w:r>
    </w:p>
    <w:p w14:paraId="0DBEC54B">
      <w:r>
        <w:t>具体需求如下</w:t>
      </w:r>
      <w:r>
        <w:rPr>
          <w:rFonts w:hint="eastAsia"/>
        </w:rPr>
        <w:t>：</w:t>
      </w:r>
    </w:p>
    <w:p w14:paraId="6AA384CB">
      <w:pPr>
        <w:pStyle w:val="202"/>
        <w:rPr>
          <w:lang w:eastAsia="zh-CN"/>
        </w:rPr>
      </w:pPr>
      <w:r>
        <w:rPr>
          <w:lang w:eastAsia="zh-CN"/>
        </w:rPr>
        <w:t>设备作为CPE部署在用户PC与出口FW之间</w:t>
      </w:r>
      <w:r>
        <w:rPr>
          <w:rFonts w:hint="eastAsia"/>
          <w:lang w:eastAsia="zh-CN"/>
        </w:rPr>
        <w:t>，用户流量</w:t>
      </w:r>
      <w:r>
        <w:rPr>
          <w:lang w:eastAsia="zh-CN"/>
        </w:rPr>
        <w:t>通过出口FW</w:t>
      </w:r>
      <w:r>
        <w:rPr>
          <w:rFonts w:hint="eastAsia"/>
          <w:lang w:eastAsia="zh-CN"/>
        </w:rPr>
        <w:t>转发</w:t>
      </w:r>
      <w:r>
        <w:rPr>
          <w:lang w:eastAsia="zh-CN"/>
        </w:rPr>
        <w:t>到外网</w:t>
      </w:r>
      <w:r>
        <w:rPr>
          <w:rFonts w:hint="eastAsia"/>
          <w:lang w:eastAsia="zh-CN"/>
        </w:rPr>
        <w:t>。</w:t>
      </w:r>
    </w:p>
    <w:p w14:paraId="1E2A4294">
      <w:pPr>
        <w:pStyle w:val="202"/>
        <w:rPr>
          <w:lang w:eastAsia="zh-CN"/>
        </w:rPr>
      </w:pPr>
      <w:r>
        <w:rPr>
          <w:rFonts w:hint="eastAsia"/>
          <w:lang w:eastAsia="zh-CN"/>
        </w:rPr>
        <w:t>SASE平台部署一台设备作为VPE，与CPE之间部署隧道。</w:t>
      </w:r>
    </w:p>
    <w:p w14:paraId="5648F1A5">
      <w:pPr>
        <w:pStyle w:val="202"/>
      </w:pPr>
      <w:r>
        <w:t>CPE将接收到的流量通过GRE隧道上送到</w:t>
      </w:r>
      <w:r>
        <w:rPr>
          <w:rFonts w:hint="eastAsia"/>
        </w:rPr>
        <w:t>SASE</w:t>
      </w:r>
      <w:r>
        <w:t>平台的</w:t>
      </w:r>
      <w:r>
        <w:rPr>
          <w:rFonts w:hint="eastAsia"/>
        </w:rPr>
        <w:t>VPE</w:t>
      </w:r>
      <w:r>
        <w:rPr>
          <w:rFonts w:hint="eastAsia"/>
          <w:lang w:eastAsia="zh-CN"/>
        </w:rPr>
        <w:t>。</w:t>
      </w:r>
    </w:p>
    <w:p w14:paraId="476B2487">
      <w:pPr>
        <w:pStyle w:val="202"/>
        <w:rPr>
          <w:lang w:eastAsia="zh-CN"/>
        </w:rPr>
      </w:pPr>
      <w:r>
        <w:rPr>
          <w:rFonts w:hint="eastAsia"/>
          <w:lang w:eastAsia="zh-CN"/>
        </w:rPr>
        <w:t>VPE将CPE送上来的流量转发给VRouter，使其能达到安全模块进行安全检查；并能将VRouter返回的流量重新转发回CPE。</w:t>
      </w:r>
    </w:p>
    <w:p w14:paraId="746523DC">
      <w:pPr>
        <w:pStyle w:val="202"/>
        <w:rPr>
          <w:lang w:eastAsia="zh-CN"/>
        </w:rPr>
      </w:pPr>
      <w:r>
        <w:rPr>
          <w:rFonts w:hint="eastAsia"/>
          <w:lang w:eastAsia="zh-CN"/>
        </w:rPr>
        <w:t>CPE将二次过来的流量转发出去。</w:t>
      </w:r>
    </w:p>
    <w:p w14:paraId="671DA070">
      <w:pPr>
        <w:pStyle w:val="6"/>
      </w:pPr>
      <w:r>
        <w:rPr>
          <w:rFonts w:hint="eastAsia"/>
        </w:rPr>
        <w:t>组网图</w:t>
      </w:r>
    </w:p>
    <w:p w14:paraId="76A0C9B7">
      <w:pPr>
        <w:pStyle w:val="188"/>
      </w:pPr>
      <w:r>
        <w:rPr>
          <w:rFonts w:hint="eastAsia"/>
        </w:rPr>
        <w:t>网络引流配置举例组网图</w:t>
      </w:r>
    </w:p>
    <w:p w14:paraId="11677A4D">
      <w:pPr>
        <w:pStyle w:val="175"/>
      </w:pPr>
      <w:r>
        <w:drawing>
          <wp:inline distT="0" distB="0" distL="0" distR="0">
            <wp:extent cx="6120765" cy="1455420"/>
            <wp:effectExtent l="0" t="0" r="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553"/>
                    <a:stretch>
                      <a:fillRect/>
                    </a:stretch>
                  </pic:blipFill>
                  <pic:spPr>
                    <a:xfrm>
                      <a:off x="0" y="0"/>
                      <a:ext cx="6120765" cy="1455420"/>
                    </a:xfrm>
                    <a:prstGeom prst="rect">
                      <a:avLst/>
                    </a:prstGeom>
                  </pic:spPr>
                </pic:pic>
              </a:graphicData>
            </a:graphic>
          </wp:inline>
        </w:drawing>
      </w:r>
    </w:p>
    <w:p w14:paraId="49CBA986">
      <w:pPr>
        <w:pStyle w:val="6"/>
      </w:pPr>
      <w:bookmarkStart w:id="4051" w:name="_Toc473039898"/>
      <w:bookmarkStart w:id="4052" w:name="_Toc10664"/>
      <w:r>
        <w:rPr>
          <w:rFonts w:hint="eastAsia"/>
        </w:rPr>
        <w:t>配置步骤</w:t>
      </w:r>
      <w:bookmarkEnd w:id="4051"/>
      <w:bookmarkEnd w:id="4052"/>
    </w:p>
    <w:p w14:paraId="25335372">
      <w:pPr>
        <w:pStyle w:val="202"/>
      </w:pPr>
      <w:bookmarkStart w:id="4053" w:name="_Toc13760"/>
      <w:r>
        <w:rPr>
          <w:rFonts w:hint="eastAsia"/>
        </w:rPr>
        <w:t>配置CPE</w:t>
      </w:r>
      <w:bookmarkEnd w:id="4053"/>
      <w:r>
        <w:rPr>
          <w:rFonts w:hint="eastAsia"/>
        </w:rPr>
        <w:t>（设备1）</w:t>
      </w:r>
    </w:p>
    <w:p w14:paraId="3D15071E">
      <w:pPr>
        <w:widowControl/>
        <w:numPr>
          <w:ilvl w:val="7"/>
          <w:numId w:val="27"/>
        </w:numPr>
        <w:spacing w:before="40" w:after="40" w:line="240" w:lineRule="auto"/>
      </w:pPr>
      <w:r>
        <w:rPr>
          <w:rFonts w:hint="eastAsia"/>
        </w:rPr>
        <w:t>进入“网络配置</w:t>
      </w:r>
      <w:r>
        <w:t>&gt;</w:t>
      </w:r>
      <w:r>
        <w:rPr>
          <w:rFonts w:hint="eastAsia"/>
        </w:rPr>
        <w:t>接口配置</w:t>
      </w:r>
      <w:r>
        <w:t>&gt;</w:t>
      </w:r>
      <w:r>
        <w:rPr>
          <w:rFonts w:hint="eastAsia"/>
        </w:rPr>
        <w:t>网桥接口”，将连接PC和出口FW的接口加入网桥接口，并配置此网桥接口的IP为30.30.30.1/24。</w:t>
      </w:r>
    </w:p>
    <w:p w14:paraId="6ABEE768">
      <w:pPr>
        <w:pStyle w:val="175"/>
      </w:pPr>
      <w:r>
        <w:drawing>
          <wp:inline distT="0" distB="0" distL="0" distR="0">
            <wp:extent cx="5392420" cy="3381375"/>
            <wp:effectExtent l="0" t="0" r="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icPr>
                  <pic:blipFill>
                    <a:blip r:embed="rId554"/>
                    <a:stretch>
                      <a:fillRect/>
                    </a:stretch>
                  </pic:blipFill>
                  <pic:spPr>
                    <a:xfrm>
                      <a:off x="0" y="0"/>
                      <a:ext cx="5431116" cy="3405502"/>
                    </a:xfrm>
                    <a:prstGeom prst="rect">
                      <a:avLst/>
                    </a:prstGeom>
                  </pic:spPr>
                </pic:pic>
              </a:graphicData>
            </a:graphic>
          </wp:inline>
        </w:drawing>
      </w:r>
    </w:p>
    <w:p w14:paraId="38C074FF"/>
    <w:p w14:paraId="4A5529E9">
      <w:pPr>
        <w:widowControl/>
        <w:numPr>
          <w:ilvl w:val="7"/>
          <w:numId w:val="27"/>
        </w:numPr>
        <w:spacing w:before="40" w:after="40" w:line="240" w:lineRule="auto"/>
      </w:pPr>
      <w:r>
        <w:rPr>
          <w:rFonts w:hint="eastAsia"/>
        </w:rPr>
        <w:t>进入“网络配置</w:t>
      </w:r>
      <w:r>
        <w:t>&gt;</w:t>
      </w:r>
      <w:r>
        <w:rPr>
          <w:rFonts w:hint="eastAsia"/>
        </w:rPr>
        <w:t>路由管理</w:t>
      </w:r>
      <w:r>
        <w:t>&gt;</w:t>
      </w:r>
      <w:r>
        <w:rPr>
          <w:rFonts w:hint="eastAsia"/>
        </w:rPr>
        <w:t>静态路由”，新建静态路由，下一跳为出口FW的入接口IP。</w:t>
      </w:r>
    </w:p>
    <w:p w14:paraId="4035B03A">
      <w:pPr>
        <w:pStyle w:val="175"/>
        <w:rPr>
          <w:rFonts w:ascii="宋体" w:hAnsi="宋体" w:cs="宋体"/>
        </w:rPr>
      </w:pPr>
      <w:r>
        <w:drawing>
          <wp:inline distT="0" distB="0" distL="0" distR="0">
            <wp:extent cx="5320665" cy="1164590"/>
            <wp:effectExtent l="0" t="0" r="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icPr>
                  <pic:blipFill>
                    <a:blip r:embed="rId555"/>
                    <a:stretch>
                      <a:fillRect/>
                    </a:stretch>
                  </pic:blipFill>
                  <pic:spPr>
                    <a:xfrm>
                      <a:off x="0" y="0"/>
                      <a:ext cx="5330287" cy="1166812"/>
                    </a:xfrm>
                    <a:prstGeom prst="rect">
                      <a:avLst/>
                    </a:prstGeom>
                  </pic:spPr>
                </pic:pic>
              </a:graphicData>
            </a:graphic>
          </wp:inline>
        </w:drawing>
      </w:r>
    </w:p>
    <w:p w14:paraId="66B68014"/>
    <w:p w14:paraId="025C6566">
      <w:pPr>
        <w:widowControl/>
        <w:numPr>
          <w:ilvl w:val="7"/>
          <w:numId w:val="27"/>
        </w:numPr>
        <w:spacing w:before="40" w:after="40" w:line="240" w:lineRule="auto"/>
      </w:pPr>
      <w:bookmarkStart w:id="4054" w:name="_Ref143794330"/>
      <w:r>
        <w:rPr>
          <w:rFonts w:hint="eastAsia"/>
        </w:rPr>
        <w:t>进入“网络配置&gt;接口配置</w:t>
      </w:r>
      <w:r>
        <w:t>&gt;</w:t>
      </w:r>
      <w:r>
        <w:rPr>
          <w:rFonts w:hint="eastAsia"/>
        </w:rPr>
        <w:t>隧道接口”，新建隧道接口，源IP为CPE上的出接口IP，目的IP为VPE上入接口的IP。</w:t>
      </w:r>
      <w:bookmarkEnd w:id="4054"/>
    </w:p>
    <w:p w14:paraId="2DAA9D46">
      <w:pPr>
        <w:pStyle w:val="175"/>
      </w:pPr>
      <w:r>
        <w:drawing>
          <wp:inline distT="0" distB="0" distL="0" distR="0">
            <wp:extent cx="5162550" cy="4093210"/>
            <wp:effectExtent l="0" t="0" r="0" b="254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icPr>
                  <pic:blipFill>
                    <a:blip r:embed="rId556"/>
                    <a:stretch>
                      <a:fillRect/>
                    </a:stretch>
                  </pic:blipFill>
                  <pic:spPr>
                    <a:xfrm>
                      <a:off x="0" y="0"/>
                      <a:ext cx="5167442" cy="4097392"/>
                    </a:xfrm>
                    <a:prstGeom prst="rect">
                      <a:avLst/>
                    </a:prstGeom>
                  </pic:spPr>
                </pic:pic>
              </a:graphicData>
            </a:graphic>
          </wp:inline>
        </w:drawing>
      </w:r>
    </w:p>
    <w:p w14:paraId="05604826"/>
    <w:p w14:paraId="59BC8962">
      <w:pPr>
        <w:widowControl/>
        <w:numPr>
          <w:ilvl w:val="7"/>
          <w:numId w:val="27"/>
        </w:numPr>
        <w:spacing w:before="40" w:after="40" w:line="240" w:lineRule="auto"/>
      </w:pPr>
      <w:bookmarkStart w:id="4055" w:name="_Ref143794341"/>
      <w:r>
        <w:rPr>
          <w:rFonts w:hint="eastAsia"/>
        </w:rPr>
        <w:t>进入“策略配置</w:t>
      </w:r>
      <w:r>
        <w:t>&gt;</w:t>
      </w:r>
      <w:r>
        <w:rPr>
          <w:rFonts w:hint="eastAsia"/>
        </w:rPr>
        <w:t>对象管理</w:t>
      </w:r>
      <w:r>
        <w:t>&gt;</w:t>
      </w:r>
      <w:r>
        <w:rPr>
          <w:rFonts w:hint="eastAsia"/>
        </w:rPr>
        <w:t>地址对象”，新建内网PC地址段为30.30.30.0/24;</w:t>
      </w:r>
      <w:bookmarkEnd w:id="4055"/>
    </w:p>
    <w:p w14:paraId="30EF5B8E">
      <w:pPr>
        <w:pStyle w:val="175"/>
      </w:pPr>
      <w:r>
        <w:drawing>
          <wp:inline distT="0" distB="0" distL="0" distR="0">
            <wp:extent cx="5114925" cy="3304540"/>
            <wp:effectExtent l="0" t="0" r="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557"/>
                    <a:stretch>
                      <a:fillRect/>
                    </a:stretch>
                  </pic:blipFill>
                  <pic:spPr>
                    <a:xfrm>
                      <a:off x="0" y="0"/>
                      <a:ext cx="5126647" cy="3312455"/>
                    </a:xfrm>
                    <a:prstGeom prst="rect">
                      <a:avLst/>
                    </a:prstGeom>
                  </pic:spPr>
                </pic:pic>
              </a:graphicData>
            </a:graphic>
          </wp:inline>
        </w:drawing>
      </w:r>
    </w:p>
    <w:p w14:paraId="69982017"/>
    <w:p w14:paraId="0C13F377">
      <w:pPr>
        <w:widowControl/>
        <w:numPr>
          <w:ilvl w:val="7"/>
          <w:numId w:val="27"/>
        </w:numPr>
        <w:spacing w:before="40" w:after="40" w:line="240" w:lineRule="auto"/>
      </w:pPr>
      <w:r>
        <w:rPr>
          <w:rFonts w:hint="eastAsia"/>
        </w:rPr>
        <w:t>进入“网络配置</w:t>
      </w:r>
      <w:r>
        <w:t>&gt;</w:t>
      </w:r>
      <w:r>
        <w:rPr>
          <w:rFonts w:hint="eastAsia"/>
        </w:rPr>
        <w:t>基础网络</w:t>
      </w:r>
      <w:r>
        <w:t>&gt;</w:t>
      </w:r>
      <w:r>
        <w:rPr>
          <w:rFonts w:hint="eastAsia"/>
        </w:rPr>
        <w:t>网络引流”，新建网络引流，引流接口引用步骤</w:t>
      </w:r>
      <w:r>
        <w:fldChar w:fldCharType="begin"/>
      </w:r>
      <w:r>
        <w:instrText xml:space="preserve"> </w:instrText>
      </w:r>
      <w:r>
        <w:rPr>
          <w:rFonts w:hint="eastAsia"/>
        </w:rPr>
        <w:instrText xml:space="preserve">REF _Ref143794330 \r \h</w:instrText>
      </w:r>
      <w:r>
        <w:instrText xml:space="preserve"> </w:instrText>
      </w:r>
      <w:r>
        <w:fldChar w:fldCharType="separate"/>
      </w:r>
      <w:r>
        <w:t>c</w:t>
      </w:r>
      <w:r>
        <w:fldChar w:fldCharType="end"/>
      </w:r>
      <w:r>
        <w:rPr>
          <w:rFonts w:hint="eastAsia"/>
        </w:rPr>
        <w:t>中新建的隧道接口，引流对象引用步骤</w:t>
      </w:r>
      <w:r>
        <w:fldChar w:fldCharType="begin"/>
      </w:r>
      <w:r>
        <w:instrText xml:space="preserve"> </w:instrText>
      </w:r>
      <w:r>
        <w:rPr>
          <w:rFonts w:hint="eastAsia"/>
        </w:rPr>
        <w:instrText xml:space="preserve">REF _Ref143794341 \r \h</w:instrText>
      </w:r>
      <w:r>
        <w:instrText xml:space="preserve"> </w:instrText>
      </w:r>
      <w:r>
        <w:fldChar w:fldCharType="separate"/>
      </w:r>
      <w:r>
        <w:t>d</w:t>
      </w:r>
      <w:r>
        <w:fldChar w:fldCharType="end"/>
      </w:r>
      <w:r>
        <w:rPr>
          <w:rFonts w:hint="eastAsia"/>
        </w:rPr>
        <w:t>中新建的内网pc地址段。</w:t>
      </w:r>
    </w:p>
    <w:p w14:paraId="746FDF4A">
      <w:pPr>
        <w:pStyle w:val="175"/>
      </w:pPr>
      <w:r>
        <w:drawing>
          <wp:inline distT="0" distB="0" distL="0" distR="0">
            <wp:extent cx="4851400" cy="1819275"/>
            <wp:effectExtent l="0" t="0" r="6350" b="9525"/>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pic:cNvPicPr>
                  </pic:nvPicPr>
                  <pic:blipFill>
                    <a:blip r:embed="rId552"/>
                    <a:stretch>
                      <a:fillRect/>
                    </a:stretch>
                  </pic:blipFill>
                  <pic:spPr>
                    <a:xfrm>
                      <a:off x="0" y="0"/>
                      <a:ext cx="4857075" cy="1821403"/>
                    </a:xfrm>
                    <a:prstGeom prst="rect">
                      <a:avLst/>
                    </a:prstGeom>
                  </pic:spPr>
                </pic:pic>
              </a:graphicData>
            </a:graphic>
          </wp:inline>
        </w:drawing>
      </w:r>
    </w:p>
    <w:p w14:paraId="02D60988">
      <w:pPr>
        <w:pStyle w:val="202"/>
      </w:pPr>
      <w:bookmarkStart w:id="4056" w:name="_Toc18372"/>
      <w:r>
        <w:rPr>
          <w:rFonts w:hint="eastAsia"/>
        </w:rPr>
        <w:t>配置VPE（设备2）</w:t>
      </w:r>
      <w:bookmarkEnd w:id="4056"/>
    </w:p>
    <w:p w14:paraId="68384C65">
      <w:pPr>
        <w:widowControl/>
        <w:numPr>
          <w:ilvl w:val="7"/>
          <w:numId w:val="30"/>
        </w:numPr>
        <w:spacing w:before="40" w:after="40" w:line="240" w:lineRule="auto"/>
      </w:pPr>
      <w:r>
        <w:rPr>
          <w:rFonts w:hint="eastAsia"/>
        </w:rPr>
        <w:t>进入“网络配置&gt;接口配置&gt;隧道接口”，新建隧道接口，源IP为VPE的出接口IP，目的IP为CPE侧出口FW上出接口IP。</w:t>
      </w:r>
    </w:p>
    <w:p w14:paraId="52D79C0E">
      <w:pPr>
        <w:pStyle w:val="175"/>
      </w:pPr>
      <w:r>
        <w:drawing>
          <wp:inline distT="0" distB="0" distL="0" distR="0">
            <wp:extent cx="5019675" cy="4014470"/>
            <wp:effectExtent l="0" t="0" r="0" b="508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558"/>
                    <a:stretch>
                      <a:fillRect/>
                    </a:stretch>
                  </pic:blipFill>
                  <pic:spPr>
                    <a:xfrm>
                      <a:off x="0" y="0"/>
                      <a:ext cx="5022052" cy="4016495"/>
                    </a:xfrm>
                    <a:prstGeom prst="rect">
                      <a:avLst/>
                    </a:prstGeom>
                  </pic:spPr>
                </pic:pic>
              </a:graphicData>
            </a:graphic>
          </wp:inline>
        </w:drawing>
      </w:r>
    </w:p>
    <w:p w14:paraId="348A9C01"/>
    <w:p w14:paraId="448FA0D0">
      <w:pPr>
        <w:widowControl/>
        <w:numPr>
          <w:ilvl w:val="7"/>
          <w:numId w:val="30"/>
        </w:numPr>
        <w:spacing w:before="40" w:after="40" w:line="240" w:lineRule="auto"/>
      </w:pPr>
      <w:r>
        <w:rPr>
          <w:rFonts w:hint="eastAsia"/>
        </w:rPr>
        <w:t>进入“网络配置&gt;接口配置&gt;物理接口”，配置连接VRouter的接口ge</w:t>
      </w:r>
      <w:r>
        <w:t>0</w:t>
      </w:r>
      <w:r>
        <w:rPr>
          <w:rFonts w:hint="eastAsia"/>
        </w:rPr>
        <w:t>的IP为6.6.6.1/24；接口ge</w:t>
      </w:r>
      <w:r>
        <w:t>2的</w:t>
      </w:r>
      <w:r>
        <w:rPr>
          <w:rFonts w:hint="eastAsia"/>
        </w:rPr>
        <w:t>IP为</w:t>
      </w:r>
      <w:r>
        <w:t>1.1.1.92</w:t>
      </w:r>
      <w:r>
        <w:rPr>
          <w:rFonts w:hint="eastAsia"/>
        </w:rPr>
        <w:t>/24。</w:t>
      </w:r>
    </w:p>
    <w:p w14:paraId="55192C38">
      <w:r>
        <w:drawing>
          <wp:inline distT="0" distB="0" distL="0" distR="0">
            <wp:extent cx="5438775" cy="2781935"/>
            <wp:effectExtent l="0" t="0" r="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pic:cNvPicPr>
                  </pic:nvPicPr>
                  <pic:blipFill>
                    <a:blip r:embed="rId559"/>
                    <a:stretch>
                      <a:fillRect/>
                    </a:stretch>
                  </pic:blipFill>
                  <pic:spPr>
                    <a:xfrm>
                      <a:off x="0" y="0"/>
                      <a:ext cx="5446924" cy="2786470"/>
                    </a:xfrm>
                    <a:prstGeom prst="rect">
                      <a:avLst/>
                    </a:prstGeom>
                  </pic:spPr>
                </pic:pic>
              </a:graphicData>
            </a:graphic>
          </wp:inline>
        </w:drawing>
      </w:r>
    </w:p>
    <w:p w14:paraId="41C24652"/>
    <w:p w14:paraId="551099CB">
      <w:pPr>
        <w:pStyle w:val="175"/>
      </w:pPr>
      <w:r>
        <w:drawing>
          <wp:inline distT="0" distB="0" distL="0" distR="0">
            <wp:extent cx="5391150" cy="2840990"/>
            <wp:effectExtent l="0" t="0" r="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560"/>
                    <a:stretch>
                      <a:fillRect/>
                    </a:stretch>
                  </pic:blipFill>
                  <pic:spPr>
                    <a:xfrm>
                      <a:off x="0" y="0"/>
                      <a:ext cx="5397251" cy="2844489"/>
                    </a:xfrm>
                    <a:prstGeom prst="rect">
                      <a:avLst/>
                    </a:prstGeom>
                  </pic:spPr>
                </pic:pic>
              </a:graphicData>
            </a:graphic>
          </wp:inline>
        </w:drawing>
      </w:r>
    </w:p>
    <w:p w14:paraId="78E8F10F">
      <w:pPr>
        <w:widowControl/>
        <w:numPr>
          <w:ilvl w:val="7"/>
          <w:numId w:val="30"/>
        </w:numPr>
        <w:spacing w:before="40" w:after="40" w:line="240" w:lineRule="auto"/>
      </w:pPr>
      <w:r>
        <w:rPr>
          <w:rFonts w:hint="eastAsia"/>
        </w:rPr>
        <w:t>进入“网络配置</w:t>
      </w:r>
      <w:r>
        <w:t>&gt;</w:t>
      </w:r>
      <w:r>
        <w:rPr>
          <w:rFonts w:hint="eastAsia"/>
        </w:rPr>
        <w:t>路由管理</w:t>
      </w:r>
      <w:r>
        <w:t>&gt;</w:t>
      </w:r>
      <w:r>
        <w:rPr>
          <w:rFonts w:hint="eastAsia"/>
        </w:rPr>
        <w:t>策略路由”，新建策略路由，入接口引用新建的隧道接口tunnel1，下一跳指向V</w:t>
      </w:r>
      <w:r>
        <w:t>r</w:t>
      </w:r>
      <w:r>
        <w:rPr>
          <w:rFonts w:hint="eastAsia"/>
        </w:rPr>
        <w:t>outer，</w:t>
      </w:r>
      <w:r>
        <w:t>VPE与</w:t>
      </w:r>
      <w:r>
        <w:rPr>
          <w:rFonts w:hint="eastAsia"/>
        </w:rPr>
        <w:t>VRouter之间的流量转发需要配置策略路由。</w:t>
      </w:r>
    </w:p>
    <w:p w14:paraId="1B74D75E">
      <w:pPr>
        <w:pStyle w:val="175"/>
      </w:pPr>
      <w:r>
        <w:drawing>
          <wp:inline distT="0" distB="0" distL="0" distR="0">
            <wp:extent cx="5029200" cy="4090035"/>
            <wp:effectExtent l="0" t="0" r="0" b="5715"/>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561"/>
                    <a:stretch>
                      <a:fillRect/>
                    </a:stretch>
                  </pic:blipFill>
                  <pic:spPr>
                    <a:xfrm>
                      <a:off x="0" y="0"/>
                      <a:ext cx="5034138" cy="4094056"/>
                    </a:xfrm>
                    <a:prstGeom prst="rect">
                      <a:avLst/>
                    </a:prstGeom>
                  </pic:spPr>
                </pic:pic>
              </a:graphicData>
            </a:graphic>
          </wp:inline>
        </w:drawing>
      </w:r>
    </w:p>
    <w:p w14:paraId="6C7701FE"/>
    <w:p w14:paraId="2C946D1A">
      <w:pPr>
        <w:widowControl/>
        <w:numPr>
          <w:ilvl w:val="7"/>
          <w:numId w:val="30"/>
        </w:numPr>
        <w:spacing w:before="40" w:after="40" w:line="240" w:lineRule="auto"/>
      </w:pPr>
      <w:r>
        <w:rPr>
          <w:rFonts w:hint="eastAsia"/>
        </w:rPr>
        <w:t>在VPE上通过命令</w:t>
      </w:r>
      <w:r>
        <w:rPr>
          <w:b/>
        </w:rPr>
        <w:t>drainage</w:t>
      </w:r>
      <w:r>
        <w:t xml:space="preserve"> </w:t>
      </w:r>
      <w:r>
        <w:rPr>
          <w:b/>
        </w:rPr>
        <w:t>forward</w:t>
      </w:r>
      <w:r>
        <w:t xml:space="preserve"> </w:t>
      </w:r>
      <w:r>
        <w:rPr>
          <w:rFonts w:cs="Times New Roman"/>
          <w:b/>
          <w:kern w:val="0"/>
          <w:lang w:eastAsia="en-US"/>
        </w:rPr>
        <w:t>enable</w:t>
      </w:r>
      <w:r>
        <w:rPr>
          <w:rFonts w:hint="eastAsia"/>
        </w:rPr>
        <w:t>开启GRE引流功能。</w:t>
      </w:r>
    </w:p>
    <w:p w14:paraId="552A53CA">
      <w:pPr>
        <w:pStyle w:val="196"/>
        <w:ind w:left="908" w:firstLine="226"/>
      </w:pPr>
      <w:r>
        <w:t xml:space="preserve">HOST# configure terminal </w:t>
      </w:r>
    </w:p>
    <w:p w14:paraId="53DD41F3">
      <w:pPr>
        <w:pStyle w:val="196"/>
        <w:ind w:left="908" w:firstLine="226"/>
      </w:pPr>
      <w:r>
        <w:t xml:space="preserve">HOST(config)# drainage forward </w:t>
      </w:r>
    </w:p>
    <w:p w14:paraId="6A37F1C0">
      <w:pPr>
        <w:pStyle w:val="196"/>
        <w:ind w:left="908" w:firstLine="226"/>
      </w:pPr>
      <w:r>
        <w:t xml:space="preserve">HOST(config)# drainage forward enable </w:t>
      </w:r>
    </w:p>
    <w:p w14:paraId="7F4230DB">
      <w:pPr>
        <w:pStyle w:val="196"/>
        <w:ind w:left="908" w:firstLine="226"/>
      </w:pPr>
    </w:p>
    <w:p w14:paraId="29594728">
      <w:pPr>
        <w:pStyle w:val="6"/>
      </w:pPr>
      <w:bookmarkStart w:id="4057" w:name="_Toc20608"/>
      <w:bookmarkStart w:id="4058" w:name="_Toc473039900"/>
      <w:r>
        <w:rPr>
          <w:rFonts w:hint="eastAsia"/>
        </w:rPr>
        <w:t>验证配置</w:t>
      </w:r>
      <w:bookmarkEnd w:id="4057"/>
      <w:bookmarkEnd w:id="4058"/>
    </w:p>
    <w:p w14:paraId="610B9E46">
      <w:pPr>
        <w:pStyle w:val="202"/>
        <w:rPr>
          <w:lang w:eastAsia="zh-CN"/>
        </w:rPr>
      </w:pPr>
      <w:r>
        <w:rPr>
          <w:rFonts w:hint="eastAsia"/>
          <w:lang w:eastAsia="zh-CN"/>
        </w:rPr>
        <w:t>按照上述组网，启用引流功能，在PC终端使用ping命令测试网络可以正常连通。</w:t>
      </w:r>
    </w:p>
    <w:p w14:paraId="15C3CDFB">
      <w:pPr>
        <w:pStyle w:val="202"/>
        <w:rPr>
          <w:lang w:eastAsia="zh-CN"/>
        </w:rPr>
      </w:pPr>
      <w:r>
        <w:rPr>
          <w:rFonts w:hint="eastAsia"/>
          <w:lang w:eastAsia="zh-CN"/>
        </w:rPr>
        <w:t>在PC终端可以正常访问网站。</w:t>
      </w:r>
    </w:p>
    <w:p w14:paraId="13C1D4E7">
      <w:pPr>
        <w:pStyle w:val="202"/>
        <w:rPr>
          <w:lang w:eastAsia="zh-CN"/>
        </w:rPr>
      </w:pPr>
      <w:r>
        <w:rPr>
          <w:rFonts w:hint="eastAsia"/>
          <w:lang w:eastAsia="zh-CN"/>
        </w:rPr>
        <w:t>在上述步骤中，启用引流功能时，分别在测试PC、CPE设备和VPE设备上通过Debug和抓包的方式查看流量，有正确GRE引流和回流。</w:t>
      </w:r>
    </w:p>
    <w:p w14:paraId="0E1156AC">
      <w:pPr>
        <w:pStyle w:val="202"/>
        <w:rPr>
          <w:lang w:eastAsia="zh-CN"/>
        </w:rPr>
      </w:pPr>
      <w:r>
        <w:rPr>
          <w:rFonts w:hint="eastAsia"/>
          <w:lang w:eastAsia="zh-CN"/>
        </w:rPr>
        <w:t>在上述步骤中，不启用引流功能时，分别在测试PC、CPE设备和VPE设备上通过debug和抓包的方式查看流量，没有相关的GRE引流和回流。</w:t>
      </w:r>
    </w:p>
    <w:p w14:paraId="4A36B32A">
      <w:r>
        <w:br w:type="page"/>
      </w:r>
    </w:p>
    <w:p w14:paraId="7D8B2204">
      <w:pPr>
        <w:pStyle w:val="3"/>
      </w:pPr>
      <w:bookmarkStart w:id="4059" w:name="_Toc194080888"/>
      <w:bookmarkStart w:id="4060" w:name="_Toc196728220"/>
      <w:r>
        <w:rPr>
          <w:rFonts w:hint="eastAsia"/>
        </w:rPr>
        <w:t>控制策略</w:t>
      </w:r>
      <w:bookmarkEnd w:id="975"/>
      <w:bookmarkEnd w:id="976"/>
      <w:bookmarkEnd w:id="977"/>
      <w:bookmarkEnd w:id="978"/>
      <w:bookmarkEnd w:id="979"/>
      <w:bookmarkEnd w:id="980"/>
      <w:bookmarkEnd w:id="981"/>
      <w:bookmarkEnd w:id="4059"/>
      <w:bookmarkEnd w:id="4060"/>
    </w:p>
    <w:p w14:paraId="5DA4F66D">
      <w:pPr>
        <w:pStyle w:val="4"/>
      </w:pPr>
      <w:bookmarkStart w:id="4061" w:name="_Toc99561756"/>
      <w:bookmarkStart w:id="4062" w:name="_Toc196728221"/>
      <w:bookmarkStart w:id="4063" w:name="_Toc141873625"/>
      <w:bookmarkStart w:id="4064" w:name="_Toc172218403"/>
      <w:bookmarkStart w:id="4065" w:name="_Toc194080889"/>
      <w:bookmarkStart w:id="4066" w:name="_Toc142401142"/>
      <w:r>
        <w:t>控制策略</w:t>
      </w:r>
      <w:bookmarkEnd w:id="982"/>
      <w:bookmarkEnd w:id="983"/>
      <w:bookmarkEnd w:id="4061"/>
      <w:bookmarkEnd w:id="4062"/>
      <w:bookmarkEnd w:id="4063"/>
      <w:bookmarkEnd w:id="4064"/>
      <w:bookmarkEnd w:id="4065"/>
      <w:bookmarkEnd w:id="4066"/>
    </w:p>
    <w:p w14:paraId="1C8EA0EC">
      <w:pPr>
        <w:pStyle w:val="5"/>
      </w:pPr>
      <w:bookmarkStart w:id="4067" w:name="_Toc141873626"/>
      <w:bookmarkStart w:id="4068" w:name="_Toc142401143"/>
      <w:bookmarkStart w:id="4069" w:name="_Toc172218404"/>
      <w:bookmarkStart w:id="4070" w:name="_Toc196728222"/>
      <w:bookmarkStart w:id="4071" w:name="_Toc23152685"/>
      <w:bookmarkStart w:id="4072" w:name="_Toc40276118"/>
      <w:bookmarkStart w:id="4073" w:name="_Toc194080890"/>
      <w:bookmarkStart w:id="4074" w:name="_Toc6235053"/>
      <w:bookmarkStart w:id="4075" w:name="_Toc474250066"/>
      <w:bookmarkStart w:id="4076" w:name="_Toc15484921"/>
      <w:bookmarkStart w:id="4077" w:name="_Toc99561757"/>
      <w:r>
        <w:rPr>
          <w:rFonts w:hint="eastAsia"/>
        </w:rPr>
        <w:t>控制策略概述</w:t>
      </w:r>
      <w:bookmarkEnd w:id="4067"/>
      <w:bookmarkEnd w:id="4068"/>
      <w:bookmarkEnd w:id="4069"/>
      <w:bookmarkEnd w:id="4070"/>
      <w:bookmarkEnd w:id="4071"/>
      <w:bookmarkEnd w:id="4072"/>
      <w:bookmarkEnd w:id="4073"/>
      <w:bookmarkEnd w:id="4074"/>
      <w:bookmarkEnd w:id="4075"/>
      <w:bookmarkEnd w:id="4076"/>
      <w:bookmarkEnd w:id="4077"/>
    </w:p>
    <w:p w14:paraId="26C031BD">
      <w:r>
        <w:rPr>
          <w:rFonts w:hint="eastAsia"/>
        </w:rPr>
        <w:t>控制策略对通过设备的源接口/域、目的接口/域、源地</w:t>
      </w:r>
      <w:r>
        <w:t>址</w:t>
      </w:r>
      <w:r>
        <w:rPr>
          <w:rFonts w:hint="eastAsia"/>
        </w:rPr>
        <w:t>、目的地</w:t>
      </w:r>
      <w:r>
        <w:t>址</w:t>
      </w:r>
      <w:r>
        <w:rPr>
          <w:rFonts w:hint="eastAsia"/>
        </w:rPr>
        <w:t>、服务、终端、用户以及应用八元组进行访问控制，并且支持策略分组。</w:t>
      </w:r>
    </w:p>
    <w:p w14:paraId="3640D562">
      <w:pPr>
        <w:pStyle w:val="5"/>
      </w:pPr>
      <w:bookmarkStart w:id="4078" w:name="_Toc474250067"/>
      <w:bookmarkStart w:id="4079" w:name="_Toc6235054"/>
      <w:bookmarkStart w:id="4080" w:name="_Toc15484922"/>
      <w:bookmarkStart w:id="4081" w:name="_Toc40276119"/>
      <w:bookmarkStart w:id="4082" w:name="_Toc99561758"/>
      <w:bookmarkStart w:id="4083" w:name="_Toc142401144"/>
      <w:bookmarkStart w:id="4084" w:name="_Toc141873627"/>
      <w:bookmarkStart w:id="4085" w:name="_Toc23152686"/>
      <w:bookmarkStart w:id="4086" w:name="_Toc172218405"/>
      <w:bookmarkStart w:id="4087" w:name="_Toc194080891"/>
      <w:bookmarkStart w:id="4088" w:name="_Toc196728223"/>
      <w:r>
        <w:rPr>
          <w:rFonts w:hint="eastAsia"/>
        </w:rPr>
        <w:t>控制策略配置</w:t>
      </w:r>
      <w:bookmarkEnd w:id="4078"/>
      <w:bookmarkEnd w:id="4079"/>
      <w:bookmarkEnd w:id="4080"/>
      <w:bookmarkEnd w:id="4081"/>
      <w:bookmarkEnd w:id="4082"/>
      <w:bookmarkEnd w:id="4083"/>
      <w:bookmarkEnd w:id="4084"/>
      <w:bookmarkEnd w:id="4085"/>
      <w:bookmarkEnd w:id="4086"/>
      <w:bookmarkEnd w:id="4087"/>
      <w:bookmarkEnd w:id="4088"/>
    </w:p>
    <w:p w14:paraId="7046F381">
      <w:r>
        <w:rPr>
          <w:rFonts w:hint="eastAsia"/>
        </w:rPr>
        <w:t>在导航栏中选择“策略配置&gt;控制策略”，进入</w:t>
      </w:r>
      <w:r>
        <w:t>控制策略</w:t>
      </w:r>
      <w:r>
        <w:rPr>
          <w:rFonts w:hint="eastAsia"/>
        </w:rPr>
        <w:t>显示界面，如</w:t>
      </w:r>
      <w:r>
        <w:fldChar w:fldCharType="begin"/>
      </w:r>
      <w:r>
        <w:instrText xml:space="preserve"> REF _Ref402188151 \r \h </w:instrText>
      </w:r>
      <w:r>
        <w:fldChar w:fldCharType="separate"/>
      </w:r>
      <w:r>
        <w:rPr>
          <w:rFonts w:hint="eastAsia"/>
        </w:rPr>
        <w:t>图14-1</w:t>
      </w:r>
      <w:r>
        <w:fldChar w:fldCharType="end"/>
      </w:r>
      <w:r>
        <w:rPr>
          <w:rFonts w:hint="eastAsia"/>
        </w:rPr>
        <w:t>所示。</w:t>
      </w:r>
    </w:p>
    <w:p w14:paraId="6CF89312">
      <w:r>
        <w:rPr>
          <w:rFonts w:hint="eastAsia"/>
        </w:rPr>
        <w:t>设备将按照从上到下的顺序依次匹配所有策略条目，用户可选中特定条目后点击&lt;优先级&gt;调整该条策略的优先级。</w:t>
      </w:r>
    </w:p>
    <w:p w14:paraId="172F1972">
      <w:r>
        <w:rPr>
          <w:rFonts w:hint="eastAsia"/>
        </w:rPr>
        <w:t>控制策略的默认规则为“允许”，用户可以根据需求在控制策略页签将默认规则配置为“拒绝”。默认规则优先级较低，仅在没有配置具体控制策略或者未匹配到任何控制策略的情况下，才会匹配默认规则。</w:t>
      </w:r>
    </w:p>
    <w:p w14:paraId="04EFE04B">
      <w:pPr>
        <w:pStyle w:val="188"/>
      </w:pPr>
      <w:bookmarkStart w:id="4089" w:name="_Ref402188151"/>
      <w:bookmarkStart w:id="4090" w:name="_Toc141875019"/>
      <w:r>
        <w:rPr>
          <w:rFonts w:hint="eastAsia"/>
        </w:rPr>
        <w:t>控制策略显示界面</w:t>
      </w:r>
      <w:bookmarkEnd w:id="4089"/>
      <w:bookmarkEnd w:id="4090"/>
    </w:p>
    <w:p w14:paraId="017C415E">
      <w:r>
        <w:drawing>
          <wp:inline distT="0" distB="0" distL="0" distR="0">
            <wp:extent cx="5400040" cy="992505"/>
            <wp:effectExtent l="0" t="0" r="0" b="0"/>
            <wp:docPr id="715" name="图片 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图片 2280"/>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a:xfrm>
                      <a:off x="0" y="0"/>
                      <a:ext cx="5400040" cy="992531"/>
                    </a:xfrm>
                    <a:prstGeom prst="rect">
                      <a:avLst/>
                    </a:prstGeom>
                    <a:noFill/>
                    <a:ln>
                      <a:noFill/>
                    </a:ln>
                  </pic:spPr>
                </pic:pic>
              </a:graphicData>
            </a:graphic>
          </wp:inline>
        </w:drawing>
      </w:r>
    </w:p>
    <w:p w14:paraId="16E45565"/>
    <w:p w14:paraId="50ACB78B">
      <w:r>
        <w:t>控制策略</w:t>
      </w:r>
      <w:r>
        <w:rPr>
          <w:rFonts w:hint="eastAsia"/>
        </w:rPr>
        <w:t>的含义如</w:t>
      </w:r>
      <w:r>
        <w:fldChar w:fldCharType="begin"/>
      </w:r>
      <w:r>
        <w:instrText xml:space="preserve"> REF _Ref402188862 \r \h </w:instrText>
      </w:r>
      <w:r>
        <w:fldChar w:fldCharType="separate"/>
      </w:r>
      <w:r>
        <w:rPr>
          <w:rFonts w:hint="eastAsia"/>
        </w:rPr>
        <w:t>表14-1</w:t>
      </w:r>
      <w:r>
        <w:fldChar w:fldCharType="end"/>
      </w:r>
      <w:r>
        <w:rPr>
          <w:rFonts w:hint="eastAsia"/>
        </w:rPr>
        <w:t>所示：</w:t>
      </w:r>
    </w:p>
    <w:p w14:paraId="0D0A2927">
      <w:pPr>
        <w:pStyle w:val="183"/>
      </w:pPr>
      <w:bookmarkStart w:id="4091" w:name="_Ref402188862"/>
      <w:bookmarkStart w:id="4092" w:name="_Toc141875651"/>
      <w:r>
        <w:rPr>
          <w:rFonts w:hint="eastAsia"/>
        </w:rPr>
        <w:t>控制策略显示信息描述</w:t>
      </w:r>
      <w:bookmarkEnd w:id="4091"/>
      <w:r>
        <w:rPr>
          <w:rFonts w:hint="eastAsia"/>
        </w:rPr>
        <w:t>表</w:t>
      </w:r>
      <w:bookmarkEnd w:id="4092"/>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206"/>
        <w:gridCol w:w="6762"/>
      </w:tblGrid>
      <w:tr w14:paraId="1071A6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tcBorders>
              <w:tl2br w:val="nil"/>
              <w:tr2bl w:val="nil"/>
            </w:tcBorders>
            <w:shd w:val="clear" w:color="auto" w:fill="538135" w:themeFill="accent6" w:themeFillShade="BF"/>
            <w:vAlign w:val="center"/>
          </w:tcPr>
          <w:p w14:paraId="59D96A46">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762" w:type="dxa"/>
            <w:tcBorders>
              <w:tl2br w:val="nil"/>
              <w:tr2bl w:val="nil"/>
            </w:tcBorders>
            <w:shd w:val="clear" w:color="auto" w:fill="538135" w:themeFill="accent6" w:themeFillShade="BF"/>
            <w:vAlign w:val="center"/>
          </w:tcPr>
          <w:p w14:paraId="04CEE69C">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261BF4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7315B596">
            <w:pPr>
              <w:pStyle w:val="186"/>
              <w:widowControl w:val="0"/>
              <w:spacing w:line="240" w:lineRule="auto"/>
              <w:ind w:firstLine="0"/>
              <w:jc w:val="left"/>
            </w:pPr>
            <w:r>
              <w:rPr>
                <w:rFonts w:hint="eastAsia"/>
              </w:rPr>
              <w:t>状态</w:t>
            </w:r>
          </w:p>
        </w:tc>
        <w:tc>
          <w:tcPr>
            <w:tcW w:w="6762" w:type="dxa"/>
            <w:shd w:val="clear" w:color="auto" w:fill="auto"/>
          </w:tcPr>
          <w:p w14:paraId="22E4260B">
            <w:pPr>
              <w:pStyle w:val="186"/>
              <w:widowControl w:val="0"/>
              <w:spacing w:line="240" w:lineRule="auto"/>
              <w:ind w:firstLine="0"/>
              <w:jc w:val="left"/>
            </w:pPr>
            <w:r>
              <w:rPr>
                <w:rFonts w:hint="eastAsia"/>
              </w:rPr>
              <w:t>控制策略的状态：</w:t>
            </w:r>
          </w:p>
          <w:p w14:paraId="259432DD">
            <w:pPr>
              <w:pStyle w:val="186"/>
              <w:widowControl w:val="0"/>
              <w:spacing w:line="240" w:lineRule="auto"/>
              <w:ind w:firstLine="0"/>
              <w:jc w:val="left"/>
            </w:pPr>
            <w:r>
              <w:drawing>
                <wp:inline distT="0" distB="0" distL="0" distR="0">
                  <wp:extent cx="152400" cy="152400"/>
                  <wp:effectExtent l="0" t="0" r="0" b="0"/>
                  <wp:docPr id="2820" name="图片 2820" descr="说明: http://192.168.4.63/webui/images/default/icons/icon_enab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0" name="图片 2820" descr="说明: http://192.168.4.63/webui/images/default/icons/icon_enable.gif"/>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a:xfrm>
                            <a:off x="0" y="0"/>
                            <a:ext cx="152400" cy="152400"/>
                          </a:xfrm>
                          <a:prstGeom prst="rect">
                            <a:avLst/>
                          </a:prstGeom>
                          <a:noFill/>
                          <a:ln>
                            <a:noFill/>
                          </a:ln>
                        </pic:spPr>
                      </pic:pic>
                    </a:graphicData>
                  </a:graphic>
                </wp:inline>
              </w:drawing>
            </w:r>
            <w:r>
              <w:rPr>
                <w:rFonts w:hint="eastAsia"/>
              </w:rPr>
              <w:t>表示策略启用</w:t>
            </w:r>
          </w:p>
          <w:p w14:paraId="41700AF9">
            <w:pPr>
              <w:pStyle w:val="186"/>
              <w:widowControl w:val="0"/>
              <w:spacing w:line="240" w:lineRule="auto"/>
              <w:ind w:firstLine="0"/>
              <w:jc w:val="left"/>
            </w:pPr>
            <w:r>
              <w:drawing>
                <wp:inline distT="0" distB="0" distL="0" distR="0">
                  <wp:extent cx="150495" cy="150495"/>
                  <wp:effectExtent l="0" t="0" r="0" b="0"/>
                  <wp:docPr id="2821" name="图片 2821" descr="http://192.168.4.63/webui/images/default/icons/icon_disab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1" name="图片 2821" descr="http://192.168.4.63/webui/images/default/icons/icon_disable.gif"/>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a:xfrm>
                            <a:off x="0" y="0"/>
                            <a:ext cx="150495" cy="150495"/>
                          </a:xfrm>
                          <a:prstGeom prst="rect">
                            <a:avLst/>
                          </a:prstGeom>
                          <a:noFill/>
                          <a:ln>
                            <a:noFill/>
                          </a:ln>
                        </pic:spPr>
                      </pic:pic>
                    </a:graphicData>
                  </a:graphic>
                </wp:inline>
              </w:drawing>
            </w:r>
            <w:r>
              <w:rPr>
                <w:rFonts w:hint="eastAsia"/>
              </w:rPr>
              <w:t>表示策略禁用</w:t>
            </w:r>
          </w:p>
        </w:tc>
      </w:tr>
      <w:tr w14:paraId="7E772C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7AF327C8">
            <w:pPr>
              <w:pStyle w:val="186"/>
              <w:widowControl w:val="0"/>
              <w:spacing w:line="240" w:lineRule="auto"/>
              <w:ind w:firstLine="0"/>
              <w:jc w:val="left"/>
            </w:pPr>
            <w:r>
              <w:rPr>
                <w:rFonts w:hint="eastAsia"/>
              </w:rPr>
              <w:t>ID</w:t>
            </w:r>
          </w:p>
        </w:tc>
        <w:tc>
          <w:tcPr>
            <w:tcW w:w="6762" w:type="dxa"/>
            <w:shd w:val="clear" w:color="auto" w:fill="auto"/>
          </w:tcPr>
          <w:p w14:paraId="5D4A1792">
            <w:pPr>
              <w:pStyle w:val="186"/>
              <w:widowControl w:val="0"/>
              <w:spacing w:line="240" w:lineRule="auto"/>
              <w:ind w:firstLine="0"/>
              <w:jc w:val="left"/>
            </w:pPr>
            <w:r>
              <w:rPr>
                <w:rFonts w:hint="eastAsia"/>
              </w:rPr>
              <w:t>控制策略的ID。</w:t>
            </w:r>
          </w:p>
        </w:tc>
      </w:tr>
      <w:tr w14:paraId="5D434F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3CFEC2D6">
            <w:pPr>
              <w:pStyle w:val="186"/>
              <w:widowControl w:val="0"/>
              <w:spacing w:line="240" w:lineRule="auto"/>
              <w:ind w:firstLine="0"/>
              <w:jc w:val="left"/>
            </w:pPr>
            <w:r>
              <w:rPr>
                <w:rFonts w:hint="eastAsia"/>
              </w:rPr>
              <w:t>用户</w:t>
            </w:r>
          </w:p>
        </w:tc>
        <w:tc>
          <w:tcPr>
            <w:tcW w:w="6762" w:type="dxa"/>
            <w:shd w:val="clear" w:color="auto" w:fill="auto"/>
          </w:tcPr>
          <w:p w14:paraId="14856A14">
            <w:pPr>
              <w:pStyle w:val="186"/>
              <w:widowControl w:val="0"/>
              <w:spacing w:line="240" w:lineRule="auto"/>
              <w:ind w:firstLine="0"/>
              <w:jc w:val="left"/>
            </w:pPr>
            <w:r>
              <w:rPr>
                <w:rFonts w:hint="eastAsia"/>
              </w:rPr>
              <w:t>匹配控制策略的用户对象。</w:t>
            </w:r>
          </w:p>
        </w:tc>
      </w:tr>
      <w:tr w14:paraId="6AABEC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7A3C214C">
            <w:pPr>
              <w:pStyle w:val="186"/>
              <w:widowControl w:val="0"/>
              <w:spacing w:line="240" w:lineRule="auto"/>
              <w:ind w:firstLine="0"/>
              <w:jc w:val="left"/>
            </w:pPr>
            <w:r>
              <w:rPr>
                <w:rFonts w:hint="eastAsia"/>
              </w:rPr>
              <w:t>行为</w:t>
            </w:r>
          </w:p>
        </w:tc>
        <w:tc>
          <w:tcPr>
            <w:tcW w:w="6762" w:type="dxa"/>
            <w:shd w:val="clear" w:color="auto" w:fill="auto"/>
          </w:tcPr>
          <w:p w14:paraId="6FD66BAC">
            <w:pPr>
              <w:pStyle w:val="186"/>
              <w:widowControl w:val="0"/>
              <w:spacing w:line="240" w:lineRule="auto"/>
              <w:ind w:firstLine="0"/>
              <w:jc w:val="left"/>
            </w:pPr>
            <w:r>
              <w:rPr>
                <w:rFonts w:hint="eastAsia"/>
              </w:rPr>
              <w:t>控制策略行为的状态包含：</w:t>
            </w:r>
          </w:p>
          <w:p w14:paraId="0FEDAA7C">
            <w:pPr>
              <w:pStyle w:val="186"/>
              <w:widowControl w:val="0"/>
              <w:spacing w:line="240" w:lineRule="auto"/>
              <w:ind w:firstLine="0"/>
              <w:jc w:val="left"/>
            </w:pPr>
            <w:r>
              <w:rPr>
                <w:rFonts w:hint="eastAsia"/>
              </w:rPr>
              <w:t>允许</w:t>
            </w:r>
          </w:p>
          <w:p w14:paraId="2BB21A69">
            <w:pPr>
              <w:pStyle w:val="186"/>
              <w:widowControl w:val="0"/>
              <w:spacing w:line="240" w:lineRule="auto"/>
              <w:ind w:firstLine="0"/>
              <w:jc w:val="left"/>
            </w:pPr>
            <w:r>
              <w:rPr>
                <w:rFonts w:hint="eastAsia"/>
              </w:rPr>
              <w:t>拒绝</w:t>
            </w:r>
          </w:p>
        </w:tc>
      </w:tr>
      <w:tr w14:paraId="0FDD2A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60AD6EE7">
            <w:pPr>
              <w:pStyle w:val="186"/>
              <w:widowControl w:val="0"/>
              <w:spacing w:line="240" w:lineRule="auto"/>
              <w:ind w:firstLine="0"/>
              <w:jc w:val="left"/>
            </w:pPr>
            <w:r>
              <w:rPr>
                <w:rFonts w:hint="eastAsia"/>
              </w:rPr>
              <w:t>源接口/域</w:t>
            </w:r>
          </w:p>
        </w:tc>
        <w:tc>
          <w:tcPr>
            <w:tcW w:w="6762" w:type="dxa"/>
            <w:shd w:val="clear" w:color="auto" w:fill="auto"/>
          </w:tcPr>
          <w:p w14:paraId="78848B33">
            <w:pPr>
              <w:pStyle w:val="186"/>
              <w:widowControl w:val="0"/>
              <w:spacing w:line="240" w:lineRule="auto"/>
              <w:ind w:firstLine="0"/>
              <w:jc w:val="left"/>
            </w:pPr>
            <w:r>
              <w:rPr>
                <w:rFonts w:hint="eastAsia"/>
              </w:rPr>
              <w:t>匹配控制策略的源接口/域。</w:t>
            </w:r>
          </w:p>
        </w:tc>
      </w:tr>
      <w:tr w14:paraId="310C01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32AD834D">
            <w:pPr>
              <w:pStyle w:val="186"/>
              <w:widowControl w:val="0"/>
              <w:spacing w:line="240" w:lineRule="auto"/>
              <w:ind w:firstLine="0"/>
              <w:jc w:val="left"/>
            </w:pPr>
            <w:r>
              <w:rPr>
                <w:rFonts w:hint="eastAsia"/>
              </w:rPr>
              <w:t>目的接口/域</w:t>
            </w:r>
          </w:p>
        </w:tc>
        <w:tc>
          <w:tcPr>
            <w:tcW w:w="6762" w:type="dxa"/>
            <w:shd w:val="clear" w:color="auto" w:fill="auto"/>
          </w:tcPr>
          <w:p w14:paraId="4592EFF2">
            <w:pPr>
              <w:pStyle w:val="186"/>
              <w:widowControl w:val="0"/>
              <w:spacing w:line="240" w:lineRule="auto"/>
              <w:ind w:firstLine="0"/>
              <w:jc w:val="left"/>
            </w:pPr>
            <w:r>
              <w:rPr>
                <w:rFonts w:hint="eastAsia"/>
              </w:rPr>
              <w:t>匹配控制策略的目的接口/域。</w:t>
            </w:r>
          </w:p>
        </w:tc>
      </w:tr>
      <w:tr w14:paraId="1122C60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34B5100B">
            <w:pPr>
              <w:pStyle w:val="186"/>
              <w:widowControl w:val="0"/>
              <w:spacing w:line="240" w:lineRule="auto"/>
              <w:ind w:firstLine="0"/>
              <w:jc w:val="left"/>
            </w:pPr>
            <w:r>
              <w:rPr>
                <w:rFonts w:hint="eastAsia"/>
              </w:rPr>
              <w:t>源地址</w:t>
            </w:r>
          </w:p>
        </w:tc>
        <w:tc>
          <w:tcPr>
            <w:tcW w:w="6762" w:type="dxa"/>
            <w:shd w:val="clear" w:color="auto" w:fill="auto"/>
          </w:tcPr>
          <w:p w14:paraId="21353444">
            <w:pPr>
              <w:pStyle w:val="186"/>
              <w:widowControl w:val="0"/>
              <w:spacing w:line="240" w:lineRule="auto"/>
              <w:ind w:firstLine="0"/>
              <w:jc w:val="left"/>
            </w:pPr>
            <w:r>
              <w:rPr>
                <w:rFonts w:hint="eastAsia"/>
              </w:rPr>
              <w:t>匹配控制策略的源地址。</w:t>
            </w:r>
          </w:p>
        </w:tc>
      </w:tr>
      <w:tr w14:paraId="1E83FE9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7E130221">
            <w:pPr>
              <w:pStyle w:val="186"/>
              <w:widowControl w:val="0"/>
              <w:spacing w:line="240" w:lineRule="auto"/>
              <w:ind w:firstLine="0"/>
              <w:jc w:val="left"/>
            </w:pPr>
            <w:r>
              <w:rPr>
                <w:rFonts w:hint="eastAsia"/>
              </w:rPr>
              <w:t>目的地址</w:t>
            </w:r>
          </w:p>
        </w:tc>
        <w:tc>
          <w:tcPr>
            <w:tcW w:w="6762" w:type="dxa"/>
            <w:shd w:val="clear" w:color="auto" w:fill="auto"/>
          </w:tcPr>
          <w:p w14:paraId="3A45B02A">
            <w:pPr>
              <w:pStyle w:val="186"/>
              <w:widowControl w:val="0"/>
              <w:spacing w:line="240" w:lineRule="auto"/>
              <w:ind w:firstLine="0"/>
              <w:jc w:val="left"/>
            </w:pPr>
            <w:r>
              <w:rPr>
                <w:rFonts w:hint="eastAsia"/>
              </w:rPr>
              <w:t>匹配控制策略的目的地址。</w:t>
            </w:r>
          </w:p>
        </w:tc>
      </w:tr>
      <w:tr w14:paraId="516A30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48CBD88D">
            <w:pPr>
              <w:pStyle w:val="186"/>
              <w:widowControl w:val="0"/>
              <w:spacing w:line="240" w:lineRule="auto"/>
              <w:ind w:firstLine="0"/>
              <w:jc w:val="left"/>
            </w:pPr>
            <w:r>
              <w:rPr>
                <w:rFonts w:hint="eastAsia"/>
              </w:rPr>
              <w:t>应用</w:t>
            </w:r>
          </w:p>
        </w:tc>
        <w:tc>
          <w:tcPr>
            <w:tcW w:w="6762" w:type="dxa"/>
            <w:shd w:val="clear" w:color="auto" w:fill="auto"/>
          </w:tcPr>
          <w:p w14:paraId="4F3F7B4E">
            <w:pPr>
              <w:pStyle w:val="186"/>
              <w:widowControl w:val="0"/>
              <w:spacing w:line="240" w:lineRule="auto"/>
              <w:ind w:firstLine="0"/>
              <w:jc w:val="left"/>
            </w:pPr>
            <w:r>
              <w:rPr>
                <w:rFonts w:hint="eastAsia"/>
              </w:rPr>
              <w:t>匹配控制策略的应用对象。</w:t>
            </w:r>
          </w:p>
        </w:tc>
      </w:tr>
      <w:tr w14:paraId="1D8939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71CA3468">
            <w:pPr>
              <w:pStyle w:val="186"/>
              <w:widowControl w:val="0"/>
              <w:spacing w:line="240" w:lineRule="auto"/>
              <w:ind w:firstLine="0"/>
              <w:jc w:val="left"/>
            </w:pPr>
            <w:r>
              <w:rPr>
                <w:rFonts w:hint="eastAsia"/>
              </w:rPr>
              <w:t>服务</w:t>
            </w:r>
          </w:p>
        </w:tc>
        <w:tc>
          <w:tcPr>
            <w:tcW w:w="6762" w:type="dxa"/>
            <w:shd w:val="clear" w:color="auto" w:fill="auto"/>
          </w:tcPr>
          <w:p w14:paraId="75497137">
            <w:pPr>
              <w:pStyle w:val="186"/>
              <w:widowControl w:val="0"/>
              <w:spacing w:line="240" w:lineRule="auto"/>
              <w:ind w:firstLine="0"/>
              <w:jc w:val="left"/>
            </w:pPr>
            <w:r>
              <w:rPr>
                <w:rFonts w:hint="eastAsia"/>
              </w:rPr>
              <w:t>匹配控制策略的服务对象。</w:t>
            </w:r>
          </w:p>
        </w:tc>
      </w:tr>
      <w:tr w14:paraId="7001AE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346FBA58">
            <w:pPr>
              <w:pStyle w:val="186"/>
              <w:widowControl w:val="0"/>
              <w:spacing w:line="240" w:lineRule="auto"/>
              <w:ind w:firstLine="0"/>
              <w:jc w:val="left"/>
            </w:pPr>
            <w:r>
              <w:rPr>
                <w:rFonts w:hint="eastAsia"/>
              </w:rPr>
              <w:t>终端</w:t>
            </w:r>
          </w:p>
        </w:tc>
        <w:tc>
          <w:tcPr>
            <w:tcW w:w="6762" w:type="dxa"/>
            <w:shd w:val="clear" w:color="auto" w:fill="auto"/>
          </w:tcPr>
          <w:p w14:paraId="3D4C8973">
            <w:pPr>
              <w:pStyle w:val="186"/>
              <w:widowControl w:val="0"/>
              <w:spacing w:line="240" w:lineRule="auto"/>
              <w:ind w:firstLine="0"/>
              <w:jc w:val="left"/>
            </w:pPr>
            <w:r>
              <w:rPr>
                <w:rFonts w:hint="eastAsia"/>
              </w:rPr>
              <w:t>匹配控制策略匹配的终端类型，包括</w:t>
            </w:r>
            <w:r>
              <w:t>：</w:t>
            </w:r>
            <w:r>
              <w:rPr>
                <w:rFonts w:hint="eastAsia"/>
              </w:rPr>
              <w:t>any、移动</w:t>
            </w:r>
            <w:r>
              <w:t>终端、</w:t>
            </w:r>
            <w:r>
              <w:rPr>
                <w:rFonts w:hint="eastAsia"/>
              </w:rPr>
              <w:t>PC、</w:t>
            </w:r>
            <w:r>
              <w:t>多终端</w:t>
            </w:r>
            <w:r>
              <w:rPr>
                <w:rFonts w:hint="eastAsia"/>
              </w:rPr>
              <w:t>。</w:t>
            </w:r>
          </w:p>
          <w:p w14:paraId="3C41E58E">
            <w:pPr>
              <w:pStyle w:val="186"/>
              <w:widowControl w:val="0"/>
              <w:spacing w:line="240" w:lineRule="auto"/>
              <w:ind w:firstLine="0"/>
              <w:jc w:val="left"/>
            </w:pPr>
            <w:r>
              <w:rPr>
                <w:rFonts w:hint="eastAsia"/>
              </w:rPr>
              <w:t>移动</w:t>
            </w:r>
            <w:r>
              <w:t>终端：</w:t>
            </w:r>
            <w:r>
              <w:rPr>
                <w:rFonts w:hint="eastAsia"/>
              </w:rPr>
              <w:t>基于Android或IOS系统的智能手机或Pad；</w:t>
            </w:r>
          </w:p>
          <w:p w14:paraId="47105E30">
            <w:pPr>
              <w:pStyle w:val="186"/>
              <w:widowControl w:val="0"/>
              <w:spacing w:line="240" w:lineRule="auto"/>
              <w:ind w:firstLine="0"/>
              <w:jc w:val="left"/>
            </w:pPr>
            <w:r>
              <w:t>PC</w:t>
            </w:r>
            <w:r>
              <w:rPr>
                <w:rFonts w:hint="eastAsia"/>
              </w:rPr>
              <w:t>：基于Windows操作系统的PC或笔记本；</w:t>
            </w:r>
          </w:p>
          <w:p w14:paraId="59FA3CF7">
            <w:pPr>
              <w:pStyle w:val="186"/>
              <w:widowControl w:val="0"/>
              <w:spacing w:line="240" w:lineRule="auto"/>
              <w:ind w:firstLine="0"/>
              <w:jc w:val="left"/>
            </w:pPr>
            <w:r>
              <w:rPr>
                <w:rFonts w:hint="eastAsia"/>
              </w:rPr>
              <w:t>多</w:t>
            </w:r>
            <w:r>
              <w:t>终端：</w:t>
            </w:r>
            <w:r>
              <w:rPr>
                <w:rFonts w:hint="eastAsia"/>
              </w:rPr>
              <w:t>单个IP下同时存在电脑和移动终端。</w:t>
            </w:r>
          </w:p>
        </w:tc>
      </w:tr>
      <w:tr w14:paraId="3DD038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0B882F91">
            <w:pPr>
              <w:pStyle w:val="186"/>
              <w:widowControl w:val="0"/>
              <w:spacing w:line="240" w:lineRule="auto"/>
              <w:ind w:firstLine="0"/>
              <w:jc w:val="left"/>
            </w:pPr>
            <w:r>
              <w:rPr>
                <w:rFonts w:hint="eastAsia"/>
              </w:rPr>
              <w:t>描述</w:t>
            </w:r>
          </w:p>
        </w:tc>
        <w:tc>
          <w:tcPr>
            <w:tcW w:w="6762" w:type="dxa"/>
            <w:shd w:val="clear" w:color="auto" w:fill="auto"/>
          </w:tcPr>
          <w:p w14:paraId="029589B3">
            <w:pPr>
              <w:pStyle w:val="186"/>
              <w:widowControl w:val="0"/>
              <w:spacing w:line="240" w:lineRule="auto"/>
              <w:ind w:firstLine="0"/>
              <w:jc w:val="left"/>
            </w:pPr>
            <w:r>
              <w:rPr>
                <w:rFonts w:hint="eastAsia"/>
              </w:rPr>
              <w:t>控制策略描述。</w:t>
            </w:r>
          </w:p>
        </w:tc>
      </w:tr>
      <w:tr w14:paraId="3ACBD0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7804E708">
            <w:pPr>
              <w:pStyle w:val="186"/>
              <w:widowControl w:val="0"/>
              <w:spacing w:line="240" w:lineRule="auto"/>
              <w:ind w:firstLine="0"/>
              <w:jc w:val="left"/>
            </w:pPr>
            <w:r>
              <w:rPr>
                <w:rFonts w:hint="eastAsia"/>
              </w:rPr>
              <w:t>匹配次数</w:t>
            </w:r>
          </w:p>
        </w:tc>
        <w:tc>
          <w:tcPr>
            <w:tcW w:w="6762" w:type="dxa"/>
            <w:shd w:val="clear" w:color="auto" w:fill="auto"/>
          </w:tcPr>
          <w:p w14:paraId="6F20077A">
            <w:pPr>
              <w:pStyle w:val="186"/>
              <w:widowControl w:val="0"/>
              <w:spacing w:line="240" w:lineRule="auto"/>
              <w:ind w:firstLine="0"/>
              <w:jc w:val="left"/>
            </w:pPr>
            <w:r>
              <w:rPr>
                <w:rFonts w:hint="eastAsia"/>
              </w:rPr>
              <w:t>匹配控制策略的次数。</w:t>
            </w:r>
          </w:p>
        </w:tc>
      </w:tr>
      <w:tr w14:paraId="56FED03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381CD1D3">
            <w:pPr>
              <w:pStyle w:val="186"/>
              <w:widowControl w:val="0"/>
              <w:spacing w:line="240" w:lineRule="auto"/>
              <w:ind w:firstLine="0"/>
              <w:jc w:val="left"/>
            </w:pPr>
            <w:r>
              <w:rPr>
                <w:rFonts w:hint="eastAsia"/>
              </w:rPr>
              <w:t>应用安全</w:t>
            </w:r>
          </w:p>
        </w:tc>
        <w:tc>
          <w:tcPr>
            <w:tcW w:w="6762" w:type="dxa"/>
            <w:shd w:val="clear" w:color="auto" w:fill="auto"/>
          </w:tcPr>
          <w:p w14:paraId="44AA5EAC">
            <w:pPr>
              <w:pStyle w:val="186"/>
              <w:widowControl w:val="0"/>
              <w:spacing w:line="240" w:lineRule="auto"/>
              <w:ind w:firstLine="0"/>
              <w:jc w:val="left"/>
            </w:pPr>
            <w:r>
              <w:rPr>
                <w:rFonts w:hint="eastAsia"/>
              </w:rPr>
              <w:t>如果显示图标</w:t>
            </w:r>
            <w:r>
              <w:drawing>
                <wp:inline distT="0" distB="0" distL="0" distR="0">
                  <wp:extent cx="156845" cy="156845"/>
                  <wp:effectExtent l="0" t="0" r="0" b="0"/>
                  <wp:docPr id="2822" name="图片 2822" descr="上网行为策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2" name="图片 2822" descr="上网行为策略"/>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a:xfrm>
                            <a:off x="0" y="0"/>
                            <a:ext cx="156845" cy="156845"/>
                          </a:xfrm>
                          <a:prstGeom prst="rect">
                            <a:avLst/>
                          </a:prstGeom>
                          <a:noFill/>
                          <a:ln>
                            <a:noFill/>
                          </a:ln>
                        </pic:spPr>
                      </pic:pic>
                    </a:graphicData>
                  </a:graphic>
                </wp:inline>
              </w:drawing>
            </w:r>
            <w:r>
              <w:rPr>
                <w:rFonts w:hint="eastAsia"/>
              </w:rPr>
              <w:t>，表示已经配置应用过滤或URL过滤规则。</w:t>
            </w:r>
          </w:p>
        </w:tc>
      </w:tr>
      <w:tr w14:paraId="21DA4D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08869EC2">
            <w:pPr>
              <w:pStyle w:val="186"/>
              <w:widowControl w:val="0"/>
              <w:spacing w:line="240" w:lineRule="auto"/>
              <w:ind w:firstLine="0"/>
              <w:jc w:val="left"/>
            </w:pPr>
            <w:r>
              <w:rPr>
                <w:rFonts w:hint="eastAsia"/>
              </w:rPr>
              <w:t>时间</w:t>
            </w:r>
          </w:p>
        </w:tc>
        <w:tc>
          <w:tcPr>
            <w:tcW w:w="6762" w:type="dxa"/>
            <w:shd w:val="clear" w:color="auto" w:fill="auto"/>
          </w:tcPr>
          <w:p w14:paraId="2F85249C">
            <w:pPr>
              <w:pStyle w:val="186"/>
              <w:widowControl w:val="0"/>
              <w:spacing w:line="240" w:lineRule="auto"/>
              <w:ind w:firstLine="0"/>
              <w:jc w:val="left"/>
            </w:pPr>
            <w:r>
              <w:rPr>
                <w:rFonts w:hint="eastAsia"/>
              </w:rPr>
              <w:t>匹配控制策略匹配的时间对象。</w:t>
            </w:r>
          </w:p>
        </w:tc>
      </w:tr>
      <w:tr w14:paraId="4FA9EAB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4EEEAA2B">
            <w:pPr>
              <w:pStyle w:val="186"/>
              <w:widowControl w:val="0"/>
              <w:spacing w:line="240" w:lineRule="auto"/>
              <w:ind w:firstLine="0"/>
              <w:jc w:val="left"/>
            </w:pPr>
            <w:r>
              <w:rPr>
                <w:rFonts w:hint="eastAsia"/>
              </w:rPr>
              <w:t>日志</w:t>
            </w:r>
          </w:p>
        </w:tc>
        <w:tc>
          <w:tcPr>
            <w:tcW w:w="6762" w:type="dxa"/>
            <w:shd w:val="clear" w:color="auto" w:fill="auto"/>
          </w:tcPr>
          <w:p w14:paraId="3503037F">
            <w:pPr>
              <w:pStyle w:val="186"/>
              <w:widowControl w:val="0"/>
              <w:spacing w:line="240" w:lineRule="auto"/>
              <w:ind w:firstLine="0"/>
              <w:jc w:val="left"/>
            </w:pPr>
            <w:r>
              <w:rPr>
                <w:rFonts w:hint="eastAsia"/>
              </w:rPr>
              <w:t>控制策略行</w:t>
            </w:r>
            <w:r>
              <w:t>为</w:t>
            </w:r>
            <w:r>
              <w:rPr>
                <w:rFonts w:hint="eastAsia"/>
              </w:rPr>
              <w:t>选择</w:t>
            </w:r>
            <w:r>
              <w:t>为拒绝时</w:t>
            </w:r>
            <w:r>
              <w:rPr>
                <w:rFonts w:hint="eastAsia"/>
              </w:rPr>
              <w:t>是否记录日志。</w:t>
            </w:r>
          </w:p>
        </w:tc>
      </w:tr>
      <w:tr w14:paraId="2A6CE1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449F3910">
            <w:pPr>
              <w:pStyle w:val="186"/>
              <w:widowControl w:val="0"/>
              <w:spacing w:line="240" w:lineRule="auto"/>
              <w:ind w:firstLine="0"/>
              <w:jc w:val="left"/>
            </w:pPr>
            <w:r>
              <w:rPr>
                <w:rFonts w:hint="eastAsia"/>
              </w:rPr>
              <w:t>老化时间</w:t>
            </w:r>
          </w:p>
        </w:tc>
        <w:tc>
          <w:tcPr>
            <w:tcW w:w="6762" w:type="dxa"/>
            <w:shd w:val="clear" w:color="auto" w:fill="auto"/>
          </w:tcPr>
          <w:p w14:paraId="2B5D03F0">
            <w:pPr>
              <w:pStyle w:val="186"/>
              <w:widowControl w:val="0"/>
              <w:spacing w:line="240" w:lineRule="auto"/>
              <w:ind w:firstLine="0"/>
              <w:jc w:val="left"/>
            </w:pPr>
            <w:r>
              <w:rPr>
                <w:rFonts w:hint="eastAsia"/>
              </w:rPr>
              <w:t>基于控制策略的老化时间，缺省情况下，老化时间为0，表示使用各个协议默认的老化时间。</w:t>
            </w:r>
          </w:p>
        </w:tc>
      </w:tr>
      <w:tr w14:paraId="4632DB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2E2550B1">
            <w:pPr>
              <w:pStyle w:val="186"/>
              <w:widowControl w:val="0"/>
              <w:spacing w:line="240" w:lineRule="auto"/>
              <w:ind w:firstLine="0"/>
              <w:jc w:val="left"/>
            </w:pPr>
            <w:r>
              <w:rPr>
                <w:rFonts w:hint="eastAsia"/>
              </w:rPr>
              <w:t>操作</w:t>
            </w:r>
          </w:p>
        </w:tc>
        <w:tc>
          <w:tcPr>
            <w:tcW w:w="6762" w:type="dxa"/>
            <w:shd w:val="clear" w:color="auto" w:fill="auto"/>
          </w:tcPr>
          <w:p w14:paraId="68956439">
            <w:pPr>
              <w:pStyle w:val="186"/>
              <w:widowControl w:val="0"/>
              <w:spacing w:line="240" w:lineRule="auto"/>
              <w:ind w:firstLine="0"/>
              <w:jc w:val="left"/>
            </w:pPr>
            <w:r>
              <w:rPr>
                <w:rFonts w:hint="eastAsia"/>
              </w:rPr>
              <w:t>控制策略支持的</w:t>
            </w:r>
            <w:r>
              <w:t>操作，包含</w:t>
            </w:r>
            <w:r>
              <w:rPr>
                <w:rFonts w:hint="eastAsia"/>
              </w:rPr>
              <w:t>编辑和删除。</w:t>
            </w:r>
          </w:p>
        </w:tc>
      </w:tr>
    </w:tbl>
    <w:p w14:paraId="28146887"/>
    <w:p w14:paraId="31FABC11">
      <w:r>
        <w:rPr>
          <w:rFonts w:hint="eastAsia"/>
        </w:rPr>
        <w:t>策略支持外部编辑，在导航栏中选择“策略配置&gt;控制策略”，进入</w:t>
      </w:r>
      <w:r>
        <w:t>控制策略</w:t>
      </w:r>
      <w:r>
        <w:rPr>
          <w:rFonts w:hint="eastAsia"/>
        </w:rPr>
        <w:t>页面，点击任一支持外部编辑的7元组对象：用户、源接口/域、目的接口/域、源地址、目的地址、应用、服务，如</w:t>
      </w:r>
      <w:r>
        <w:rPr>
          <w:color w:val="0000FF"/>
          <w:u w:val="single"/>
        </w:rPr>
        <w:fldChar w:fldCharType="begin"/>
      </w:r>
      <w:r>
        <w:instrText xml:space="preserve"> </w:instrText>
      </w:r>
      <w:r>
        <w:rPr>
          <w:rFonts w:hint="eastAsia"/>
        </w:rPr>
        <w:instrText xml:space="preserve">REF _Ref5627578 \r \h</w:instrText>
      </w:r>
      <w:r>
        <w:instrText xml:space="preserve"> </w:instrText>
      </w:r>
      <w:r>
        <w:rPr>
          <w:color w:val="0000FF"/>
          <w:u w:val="single"/>
        </w:rPr>
        <w:fldChar w:fldCharType="separate"/>
      </w:r>
      <w:r>
        <w:rPr>
          <w:rFonts w:hint="eastAsia"/>
        </w:rPr>
        <w:t>图14-2</w:t>
      </w:r>
      <w:r>
        <w:rPr>
          <w:color w:val="0000FF"/>
          <w:u w:val="single"/>
        </w:rPr>
        <w:fldChar w:fldCharType="end"/>
      </w:r>
      <w:r>
        <w:rPr>
          <w:rFonts w:hint="eastAsia"/>
        </w:rPr>
        <w:t>所示。</w:t>
      </w:r>
    </w:p>
    <w:p w14:paraId="7B0D946A">
      <w:pPr>
        <w:pStyle w:val="188"/>
      </w:pPr>
      <w:bookmarkStart w:id="4093" w:name="_Ref5627578"/>
      <w:bookmarkStart w:id="4094" w:name="_Toc141875020"/>
      <w:r>
        <w:rPr>
          <w:rFonts w:hint="eastAsia"/>
        </w:rPr>
        <w:t>策略外部编辑配置界面</w:t>
      </w:r>
      <w:bookmarkEnd w:id="4093"/>
      <w:bookmarkEnd w:id="4094"/>
    </w:p>
    <w:p w14:paraId="5303A835">
      <w:r>
        <w:drawing>
          <wp:inline distT="0" distB="0" distL="0" distR="0">
            <wp:extent cx="5791200" cy="2500630"/>
            <wp:effectExtent l="0" t="0" r="0" b="0"/>
            <wp:docPr id="2823" name="图片 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3" name="图片 2823"/>
                    <pic:cNvPicPr>
                      <a:picLocks noChangeAspect="1"/>
                    </pic:cNvPicPr>
                  </pic:nvPicPr>
                  <pic:blipFill>
                    <a:blip r:embed="rId564"/>
                    <a:stretch>
                      <a:fillRect/>
                    </a:stretch>
                  </pic:blipFill>
                  <pic:spPr>
                    <a:xfrm>
                      <a:off x="0" y="0"/>
                      <a:ext cx="5799248" cy="2504645"/>
                    </a:xfrm>
                    <a:prstGeom prst="rect">
                      <a:avLst/>
                    </a:prstGeom>
                  </pic:spPr>
                </pic:pic>
              </a:graphicData>
            </a:graphic>
          </wp:inline>
        </w:drawing>
      </w:r>
    </w:p>
    <w:p w14:paraId="4E58E347"/>
    <w:p w14:paraId="4313F575">
      <w:r>
        <w:rPr>
          <w:rFonts w:hint="eastAsia"/>
        </w:rPr>
        <w:t>策略外部编辑界面的详细</w:t>
      </w:r>
      <w:r>
        <w:t>信息</w:t>
      </w:r>
      <w:r>
        <w:rPr>
          <w:rFonts w:hint="eastAsia"/>
        </w:rPr>
        <w:t>如</w:t>
      </w:r>
      <w:r>
        <w:rPr>
          <w:color w:val="0000FF"/>
          <w:u w:val="single"/>
        </w:rPr>
        <w:fldChar w:fldCharType="begin"/>
      </w:r>
      <w:r>
        <w:instrText xml:space="preserve"> </w:instrText>
      </w:r>
      <w:r>
        <w:rPr>
          <w:rFonts w:hint="eastAsia"/>
        </w:rPr>
        <w:instrText xml:space="preserve">REF _Ref5627579 \r \h</w:instrText>
      </w:r>
      <w:r>
        <w:instrText xml:space="preserve"> </w:instrText>
      </w:r>
      <w:r>
        <w:rPr>
          <w:color w:val="0000FF"/>
          <w:u w:val="single"/>
        </w:rPr>
        <w:fldChar w:fldCharType="separate"/>
      </w:r>
      <w:r>
        <w:rPr>
          <w:rFonts w:hint="eastAsia"/>
        </w:rPr>
        <w:t>表14-1</w:t>
      </w:r>
      <w:r>
        <w:rPr>
          <w:color w:val="0000FF"/>
          <w:u w:val="single"/>
        </w:rPr>
        <w:fldChar w:fldCharType="end"/>
      </w:r>
      <w:r>
        <w:rPr>
          <w:rFonts w:hint="eastAsia"/>
        </w:rPr>
        <w:t>所示：</w:t>
      </w:r>
    </w:p>
    <w:p w14:paraId="6FBC5B19">
      <w:pPr>
        <w:pStyle w:val="183"/>
      </w:pPr>
      <w:bookmarkStart w:id="4095" w:name="_Ref5627579"/>
      <w:bookmarkStart w:id="4096" w:name="_Toc141875652"/>
      <w:r>
        <w:t>策略外部编辑界面</w:t>
      </w:r>
      <w:r>
        <w:rPr>
          <w:rFonts w:hint="eastAsia"/>
        </w:rPr>
        <w:t>详细</w:t>
      </w:r>
      <w:r>
        <w:t>信息</w:t>
      </w:r>
      <w:bookmarkEnd w:id="4095"/>
      <w:bookmarkEnd w:id="4096"/>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829"/>
        <w:gridCol w:w="6139"/>
      </w:tblGrid>
      <w:tr w14:paraId="493576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829" w:type="dxa"/>
            <w:tcBorders>
              <w:tl2br w:val="nil"/>
              <w:tr2bl w:val="nil"/>
            </w:tcBorders>
            <w:shd w:val="clear" w:color="auto" w:fill="538135" w:themeFill="accent6" w:themeFillShade="BF"/>
            <w:vAlign w:val="center"/>
          </w:tcPr>
          <w:p w14:paraId="27FFC6DE">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139" w:type="dxa"/>
            <w:tcBorders>
              <w:tl2br w:val="nil"/>
              <w:tr2bl w:val="nil"/>
            </w:tcBorders>
            <w:shd w:val="clear" w:color="auto" w:fill="538135" w:themeFill="accent6" w:themeFillShade="BF"/>
            <w:vAlign w:val="center"/>
          </w:tcPr>
          <w:p w14:paraId="1A7D04FF">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7FBDAAD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829" w:type="dxa"/>
            <w:shd w:val="clear" w:color="auto" w:fill="auto"/>
          </w:tcPr>
          <w:p w14:paraId="22FD46F4">
            <w:pPr>
              <w:pStyle w:val="186"/>
              <w:widowControl w:val="0"/>
              <w:spacing w:line="240" w:lineRule="auto"/>
              <w:ind w:firstLine="0"/>
              <w:jc w:val="left"/>
            </w:pPr>
            <w:r>
              <w:rPr>
                <w:rFonts w:hint="eastAsia"/>
              </w:rPr>
              <w:t>类型</w:t>
            </w:r>
          </w:p>
        </w:tc>
        <w:tc>
          <w:tcPr>
            <w:tcW w:w="6139" w:type="dxa"/>
            <w:shd w:val="clear" w:color="auto" w:fill="auto"/>
          </w:tcPr>
          <w:p w14:paraId="6997CDC3">
            <w:pPr>
              <w:pStyle w:val="186"/>
              <w:widowControl w:val="0"/>
              <w:spacing w:line="240" w:lineRule="auto"/>
              <w:ind w:firstLine="0"/>
              <w:jc w:val="left"/>
            </w:pPr>
            <w:r>
              <w:rPr>
                <w:rFonts w:hint="eastAsia"/>
              </w:rPr>
              <w:t>类型包含：用户、接口、源地址、目的地址、应用、服务</w:t>
            </w:r>
          </w:p>
        </w:tc>
      </w:tr>
      <w:tr w14:paraId="0E72FA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829" w:type="dxa"/>
            <w:shd w:val="clear" w:color="auto" w:fill="auto"/>
          </w:tcPr>
          <w:p w14:paraId="2A502E16">
            <w:pPr>
              <w:pStyle w:val="186"/>
              <w:widowControl w:val="0"/>
              <w:spacing w:line="240" w:lineRule="auto"/>
              <w:ind w:firstLine="0"/>
              <w:jc w:val="left"/>
            </w:pPr>
            <w:r>
              <w:rPr>
                <w:rFonts w:hint="eastAsia"/>
              </w:rPr>
              <w:t>类型显示列</w:t>
            </w:r>
          </w:p>
        </w:tc>
        <w:tc>
          <w:tcPr>
            <w:tcW w:w="6139" w:type="dxa"/>
            <w:shd w:val="clear" w:color="auto" w:fill="auto"/>
          </w:tcPr>
          <w:p w14:paraId="6104C128">
            <w:pPr>
              <w:pStyle w:val="186"/>
              <w:widowControl w:val="0"/>
              <w:spacing w:line="240" w:lineRule="auto"/>
              <w:ind w:firstLine="0"/>
              <w:jc w:val="left"/>
            </w:pPr>
            <w:r>
              <w:rPr>
                <w:rFonts w:hint="eastAsia"/>
              </w:rPr>
              <w:t>点击相应类型后，此列显示对应的类型数据，可直接选择进行配置。</w:t>
            </w:r>
          </w:p>
        </w:tc>
      </w:tr>
      <w:tr w14:paraId="6F32FB3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829" w:type="dxa"/>
            <w:shd w:val="clear" w:color="auto" w:fill="auto"/>
          </w:tcPr>
          <w:p w14:paraId="6BF12709">
            <w:pPr>
              <w:pStyle w:val="186"/>
              <w:widowControl w:val="0"/>
              <w:spacing w:line="240" w:lineRule="auto"/>
              <w:ind w:firstLine="0"/>
              <w:jc w:val="left"/>
            </w:pPr>
            <w:r>
              <w:rPr>
                <w:rFonts w:hint="eastAsia"/>
              </w:rPr>
              <w:t>已选列表</w:t>
            </w:r>
          </w:p>
        </w:tc>
        <w:tc>
          <w:tcPr>
            <w:tcW w:w="6139" w:type="dxa"/>
            <w:shd w:val="clear" w:color="auto" w:fill="auto"/>
          </w:tcPr>
          <w:p w14:paraId="1D736694">
            <w:pPr>
              <w:pStyle w:val="186"/>
              <w:widowControl w:val="0"/>
              <w:spacing w:line="240" w:lineRule="auto"/>
              <w:ind w:firstLine="0"/>
              <w:jc w:val="left"/>
            </w:pPr>
            <w:r>
              <w:rPr>
                <w:rFonts w:hint="eastAsia"/>
              </w:rPr>
              <w:t>已配置类型的对象内容显示区。</w:t>
            </w:r>
          </w:p>
        </w:tc>
      </w:tr>
    </w:tbl>
    <w:p w14:paraId="11DCDA82"/>
    <w:p w14:paraId="60B75935">
      <w:r>
        <w:rPr>
          <w:rFonts w:hint="eastAsia"/>
        </w:rPr>
        <w:t>单击</w:t>
      </w:r>
      <w:r>
        <w:t>&lt;</w:t>
      </w:r>
      <w:r>
        <w:rPr>
          <w:rFonts w:hint="eastAsia"/>
        </w:rPr>
        <w:t>新建</w:t>
      </w:r>
      <w:r>
        <w:t>&gt;</w:t>
      </w:r>
      <w:r>
        <w:rPr>
          <w:rFonts w:hint="eastAsia"/>
        </w:rPr>
        <w:t>按钮，进入控制策略配置页面，如</w:t>
      </w:r>
      <w:r>
        <w:t>下图</w:t>
      </w:r>
      <w:r>
        <w:rPr>
          <w:rFonts w:hint="eastAsia"/>
        </w:rPr>
        <w:t>所示。</w:t>
      </w:r>
    </w:p>
    <w:p w14:paraId="74E637FE">
      <w:pPr>
        <w:pStyle w:val="188"/>
      </w:pPr>
      <w:bookmarkStart w:id="4097" w:name="_Toc141875021"/>
      <w:r>
        <w:rPr>
          <w:rFonts w:hint="eastAsia"/>
        </w:rPr>
        <w:t>控制策略配置界面</w:t>
      </w:r>
      <w:bookmarkEnd w:id="4097"/>
    </w:p>
    <w:p w14:paraId="3EFF0123">
      <w:r>
        <w:drawing>
          <wp:inline distT="0" distB="0" distL="0" distR="0">
            <wp:extent cx="5400040" cy="4015105"/>
            <wp:effectExtent l="0" t="0" r="0" b="4445"/>
            <wp:docPr id="716" name="图片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图片 716"/>
                    <pic:cNvPicPr>
                      <a:picLocks noChangeAspect="1"/>
                    </pic:cNvPicPr>
                  </pic:nvPicPr>
                  <pic:blipFill>
                    <a:blip r:embed="rId565"/>
                    <a:stretch>
                      <a:fillRect/>
                    </a:stretch>
                  </pic:blipFill>
                  <pic:spPr>
                    <a:xfrm>
                      <a:off x="0" y="0"/>
                      <a:ext cx="5400040" cy="4015688"/>
                    </a:xfrm>
                    <a:prstGeom prst="rect">
                      <a:avLst/>
                    </a:prstGeom>
                  </pic:spPr>
                </pic:pic>
              </a:graphicData>
            </a:graphic>
          </wp:inline>
        </w:drawing>
      </w:r>
    </w:p>
    <w:p w14:paraId="57DB6AEA"/>
    <w:p w14:paraId="17A16CA0">
      <w:r>
        <w:t>控制策略</w:t>
      </w:r>
      <w:r>
        <w:rPr>
          <w:rFonts w:hint="eastAsia"/>
        </w:rPr>
        <w:t>详细配置说明，如下表所示。</w:t>
      </w:r>
    </w:p>
    <w:p w14:paraId="26D0F2E5">
      <w:pPr>
        <w:pStyle w:val="183"/>
      </w:pPr>
      <w:bookmarkStart w:id="4098" w:name="_Toc141875653"/>
      <w:r>
        <w:rPr>
          <w:rFonts w:hint="eastAsia"/>
        </w:rPr>
        <w:t>控制策略详细配置</w:t>
      </w:r>
      <w:bookmarkEnd w:id="4098"/>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498"/>
        <w:gridCol w:w="7470"/>
      </w:tblGrid>
      <w:tr w14:paraId="29A6F4C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tcBorders>
              <w:tl2br w:val="nil"/>
              <w:tr2bl w:val="nil"/>
            </w:tcBorders>
            <w:shd w:val="clear" w:color="auto" w:fill="538135" w:themeFill="accent6" w:themeFillShade="BF"/>
            <w:vAlign w:val="center"/>
          </w:tcPr>
          <w:p w14:paraId="3902FA95">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470" w:type="dxa"/>
            <w:tcBorders>
              <w:tl2br w:val="nil"/>
              <w:tr2bl w:val="nil"/>
            </w:tcBorders>
            <w:shd w:val="clear" w:color="auto" w:fill="538135" w:themeFill="accent6" w:themeFillShade="BF"/>
            <w:vAlign w:val="center"/>
          </w:tcPr>
          <w:p w14:paraId="4253F33B">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7160B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05084D2F">
            <w:pPr>
              <w:pStyle w:val="186"/>
              <w:widowControl w:val="0"/>
              <w:spacing w:line="240" w:lineRule="auto"/>
              <w:ind w:firstLine="0"/>
              <w:jc w:val="left"/>
            </w:pPr>
            <w:r>
              <w:rPr>
                <w:rFonts w:hint="eastAsia"/>
              </w:rPr>
              <w:t>启用</w:t>
            </w:r>
          </w:p>
        </w:tc>
        <w:tc>
          <w:tcPr>
            <w:tcW w:w="7470" w:type="dxa"/>
            <w:shd w:val="clear" w:color="auto" w:fill="auto"/>
          </w:tcPr>
          <w:p w14:paraId="2A85B8FA">
            <w:pPr>
              <w:pStyle w:val="186"/>
              <w:widowControl w:val="0"/>
              <w:spacing w:line="240" w:lineRule="auto"/>
              <w:ind w:firstLine="0"/>
              <w:jc w:val="left"/>
            </w:pPr>
            <w:r>
              <w:rPr>
                <w:rFonts w:hint="eastAsia"/>
              </w:rPr>
              <w:t>策略启用和禁用，勾选表示开启策略，不勾选表示禁用策略。</w:t>
            </w:r>
          </w:p>
        </w:tc>
      </w:tr>
      <w:tr w14:paraId="083694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53C19F81">
            <w:pPr>
              <w:pStyle w:val="186"/>
              <w:widowControl w:val="0"/>
              <w:spacing w:line="240" w:lineRule="auto"/>
              <w:ind w:firstLine="0"/>
              <w:jc w:val="left"/>
            </w:pPr>
            <w:r>
              <w:rPr>
                <w:rFonts w:hint="eastAsia"/>
              </w:rPr>
              <w:t>行为</w:t>
            </w:r>
          </w:p>
        </w:tc>
        <w:tc>
          <w:tcPr>
            <w:tcW w:w="7470" w:type="dxa"/>
            <w:shd w:val="clear" w:color="auto" w:fill="auto"/>
          </w:tcPr>
          <w:p w14:paraId="4610ED35">
            <w:pPr>
              <w:pStyle w:val="186"/>
              <w:widowControl w:val="0"/>
              <w:spacing w:line="240" w:lineRule="auto"/>
              <w:ind w:firstLine="0"/>
              <w:jc w:val="left"/>
            </w:pPr>
            <w:r>
              <w:rPr>
                <w:rFonts w:hint="eastAsia"/>
              </w:rPr>
              <w:t>策略的行为包含：</w:t>
            </w:r>
          </w:p>
          <w:p w14:paraId="1268DFD3">
            <w:pPr>
              <w:pStyle w:val="186"/>
              <w:widowControl w:val="0"/>
              <w:spacing w:line="240" w:lineRule="auto"/>
              <w:ind w:firstLine="0"/>
              <w:jc w:val="left"/>
            </w:pPr>
            <w:r>
              <w:rPr>
                <w:rFonts w:hint="eastAsia"/>
              </w:rPr>
              <w:t>允许，对匹配条件的会话进行应用控制，如U</w:t>
            </w:r>
            <w:r>
              <w:t>RL</w:t>
            </w:r>
            <w:r>
              <w:rPr>
                <w:rFonts w:hint="eastAsia"/>
              </w:rPr>
              <w:t>过滤和应用过滤。</w:t>
            </w:r>
          </w:p>
          <w:p w14:paraId="5C5F65C3">
            <w:pPr>
              <w:pStyle w:val="186"/>
              <w:widowControl w:val="0"/>
              <w:spacing w:line="240" w:lineRule="auto"/>
              <w:ind w:firstLine="0"/>
              <w:jc w:val="left"/>
            </w:pPr>
            <w:r>
              <w:rPr>
                <w:rFonts w:hint="eastAsia"/>
              </w:rPr>
              <w:t>拒绝，阻断命中匹配条件的会话。</w:t>
            </w:r>
          </w:p>
          <w:p w14:paraId="52CFC7F3">
            <w:pPr>
              <w:pStyle w:val="186"/>
              <w:widowControl w:val="0"/>
              <w:spacing w:line="240" w:lineRule="auto"/>
              <w:ind w:firstLine="0"/>
              <w:jc w:val="left"/>
            </w:pPr>
            <w:r>
              <w:t></w:t>
            </w:r>
            <w:r>
              <w:rPr>
                <w:rFonts w:hint="eastAsia"/>
              </w:rPr>
              <w:t>分时访问：根据自定义网络资源及访问权限，实现分时访问功能。即内网用户只能同时访问一个网络，，当需要访问另一个网络时，进行网络切换。</w:t>
            </w:r>
          </w:p>
        </w:tc>
      </w:tr>
      <w:tr w14:paraId="6A3E05C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30EC3A43">
            <w:pPr>
              <w:pStyle w:val="186"/>
              <w:widowControl w:val="0"/>
              <w:spacing w:line="240" w:lineRule="auto"/>
              <w:ind w:firstLine="0"/>
              <w:jc w:val="left"/>
            </w:pPr>
            <w:r>
              <w:rPr>
                <w:rFonts w:hint="eastAsia"/>
              </w:rPr>
              <w:t>策略分组</w:t>
            </w:r>
          </w:p>
        </w:tc>
        <w:tc>
          <w:tcPr>
            <w:tcW w:w="7470" w:type="dxa"/>
            <w:shd w:val="clear" w:color="auto" w:fill="auto"/>
          </w:tcPr>
          <w:p w14:paraId="7183D98E">
            <w:pPr>
              <w:pStyle w:val="186"/>
              <w:widowControl w:val="0"/>
              <w:spacing w:line="240" w:lineRule="auto"/>
              <w:ind w:firstLine="0"/>
              <w:jc w:val="left"/>
            </w:pPr>
            <w:r>
              <w:rPr>
                <w:rFonts w:hint="eastAsia"/>
              </w:rPr>
              <w:t>策略可以分组展示</w:t>
            </w:r>
          </w:p>
        </w:tc>
      </w:tr>
      <w:tr w14:paraId="2DDB6D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6870CAC1">
            <w:pPr>
              <w:pStyle w:val="186"/>
              <w:widowControl w:val="0"/>
              <w:spacing w:line="240" w:lineRule="auto"/>
              <w:ind w:firstLine="0"/>
              <w:jc w:val="left"/>
            </w:pPr>
            <w:r>
              <w:rPr>
                <w:rFonts w:hint="eastAsia"/>
              </w:rPr>
              <w:t>描述</w:t>
            </w:r>
          </w:p>
        </w:tc>
        <w:tc>
          <w:tcPr>
            <w:tcW w:w="7470" w:type="dxa"/>
            <w:shd w:val="clear" w:color="auto" w:fill="auto"/>
          </w:tcPr>
          <w:p w14:paraId="4A1F4D0B">
            <w:pPr>
              <w:pStyle w:val="186"/>
              <w:widowControl w:val="0"/>
              <w:spacing w:line="240" w:lineRule="auto"/>
              <w:ind w:firstLine="0"/>
              <w:jc w:val="left"/>
            </w:pPr>
            <w:r>
              <w:rPr>
                <w:rFonts w:hint="eastAsia"/>
              </w:rPr>
              <w:t>控制策略</w:t>
            </w:r>
            <w:r>
              <w:t>描述</w:t>
            </w:r>
            <w:r>
              <w:rPr>
                <w:rFonts w:hint="eastAsia"/>
              </w:rPr>
              <w:t>信息</w:t>
            </w:r>
            <w:r>
              <w:t>。</w:t>
            </w:r>
          </w:p>
        </w:tc>
      </w:tr>
      <w:tr w14:paraId="565788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55FCCF54">
            <w:pPr>
              <w:pStyle w:val="186"/>
              <w:widowControl w:val="0"/>
              <w:spacing w:line="240" w:lineRule="auto"/>
              <w:ind w:firstLine="0"/>
              <w:jc w:val="left"/>
            </w:pPr>
            <w:r>
              <w:rPr>
                <w:rFonts w:hint="eastAsia"/>
              </w:rPr>
              <w:t>匹配条件</w:t>
            </w:r>
          </w:p>
        </w:tc>
        <w:tc>
          <w:tcPr>
            <w:tcW w:w="7470" w:type="dxa"/>
            <w:shd w:val="clear" w:color="auto" w:fill="auto"/>
          </w:tcPr>
          <w:p w14:paraId="5EAAB7BC">
            <w:pPr>
              <w:pStyle w:val="186"/>
              <w:widowControl w:val="0"/>
              <w:spacing w:line="240" w:lineRule="auto"/>
              <w:ind w:firstLine="0"/>
              <w:jc w:val="left"/>
            </w:pPr>
            <w:r>
              <w:rPr>
                <w:rFonts w:hint="eastAsia"/>
              </w:rPr>
              <w:t>控制策略的匹配条件，包含用户、接口、源地址、目的地址、应用、服务。</w:t>
            </w:r>
          </w:p>
        </w:tc>
      </w:tr>
      <w:tr w14:paraId="3D221D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771E8095">
            <w:pPr>
              <w:pStyle w:val="186"/>
              <w:widowControl w:val="0"/>
              <w:spacing w:line="240" w:lineRule="auto"/>
              <w:ind w:firstLine="0"/>
              <w:jc w:val="left"/>
            </w:pPr>
            <w:r>
              <w:rPr>
                <w:rFonts w:hint="eastAsia"/>
              </w:rPr>
              <w:t>入侵防御</w:t>
            </w:r>
          </w:p>
        </w:tc>
        <w:tc>
          <w:tcPr>
            <w:tcW w:w="7470" w:type="dxa"/>
            <w:shd w:val="clear" w:color="auto" w:fill="auto"/>
          </w:tcPr>
          <w:p w14:paraId="6837BB87">
            <w:pPr>
              <w:pStyle w:val="186"/>
              <w:widowControl w:val="0"/>
              <w:spacing w:line="240" w:lineRule="auto"/>
              <w:ind w:firstLine="0"/>
              <w:jc w:val="left"/>
            </w:pPr>
            <w:r>
              <w:rPr>
                <w:rFonts w:hint="eastAsia"/>
              </w:rPr>
              <w:t>对匹配的对象执行入侵防御检查。勾选防护模式并且模板下的规则或协议异常检查配置了阻断，才会阻断流量，否则只根据日志配置决定是否记录日志。有关入侵防御的更多信息请参考入侵防御章节。</w:t>
            </w:r>
          </w:p>
        </w:tc>
      </w:tr>
      <w:tr w14:paraId="478063F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60CD1ACD">
            <w:pPr>
              <w:pStyle w:val="186"/>
              <w:widowControl w:val="0"/>
              <w:spacing w:line="240" w:lineRule="auto"/>
              <w:ind w:firstLine="0"/>
              <w:jc w:val="left"/>
            </w:pPr>
            <w:r>
              <w:rPr>
                <w:rFonts w:hint="eastAsia"/>
              </w:rPr>
              <w:t>病毒防护</w:t>
            </w:r>
          </w:p>
        </w:tc>
        <w:tc>
          <w:tcPr>
            <w:tcW w:w="7470" w:type="dxa"/>
            <w:shd w:val="clear" w:color="auto" w:fill="auto"/>
          </w:tcPr>
          <w:p w14:paraId="378A1625">
            <w:pPr>
              <w:pStyle w:val="186"/>
              <w:widowControl w:val="0"/>
              <w:spacing w:line="240" w:lineRule="auto"/>
              <w:ind w:firstLine="0"/>
              <w:jc w:val="left"/>
            </w:pPr>
            <w:r>
              <w:rPr>
                <w:rFonts w:hint="eastAsia"/>
              </w:rPr>
              <w:t>对匹配的对象执行病毒防护检查。勾选启用复选框启用病毒防护，并选择需要防护的项目及防护行为。在上边栏选择数据中心，在菜单栏选择“日志中心</w:t>
            </w:r>
            <w:r>
              <w:t>&gt;</w:t>
            </w:r>
            <w:r>
              <w:rPr>
                <w:rFonts w:hint="eastAsia"/>
              </w:rPr>
              <w:t>安全日志</w:t>
            </w:r>
            <w:r>
              <w:t>&gt;</w:t>
            </w:r>
            <w:r>
              <w:rPr>
                <w:rFonts w:hint="eastAsia"/>
              </w:rPr>
              <w:t>病毒防护日志”查看详细日志信息。有关病毒防护的更多信息请参考病毒防护章节。</w:t>
            </w:r>
          </w:p>
        </w:tc>
      </w:tr>
      <w:tr w14:paraId="30BEE6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238771AB">
            <w:pPr>
              <w:pStyle w:val="186"/>
              <w:widowControl w:val="0"/>
              <w:spacing w:line="240" w:lineRule="auto"/>
              <w:ind w:firstLine="0"/>
              <w:jc w:val="left"/>
            </w:pPr>
            <w:r>
              <w:rPr>
                <w:rFonts w:hint="eastAsia"/>
              </w:rPr>
              <w:t>U</w:t>
            </w:r>
            <w:r>
              <w:t>RL</w:t>
            </w:r>
            <w:r>
              <w:rPr>
                <w:rFonts w:hint="eastAsia"/>
              </w:rPr>
              <w:t>过滤</w:t>
            </w:r>
          </w:p>
        </w:tc>
        <w:tc>
          <w:tcPr>
            <w:tcW w:w="7470" w:type="dxa"/>
            <w:shd w:val="clear" w:color="auto" w:fill="auto"/>
          </w:tcPr>
          <w:p w14:paraId="1E20616C">
            <w:pPr>
              <w:pStyle w:val="186"/>
              <w:widowControl w:val="0"/>
              <w:spacing w:line="240" w:lineRule="auto"/>
              <w:ind w:firstLine="0"/>
              <w:jc w:val="left"/>
            </w:pPr>
            <w:r>
              <w:rPr>
                <w:rFonts w:hint="eastAsia"/>
              </w:rPr>
              <w:t>对匹配的对象执行URL过滤。在URL过滤页签下，点击&lt;新建&gt;创建新的URL过滤规则；此外设备出厂时内置了默认恶意URL库，用户可以选择是否通过URL过滤规则过滤默认的恶意URL。有关URL对象的更多信息请参考URL对象章节。</w:t>
            </w:r>
          </w:p>
          <w:p w14:paraId="5B463DD4">
            <w:pPr>
              <w:pStyle w:val="186"/>
              <w:widowControl w:val="0"/>
              <w:spacing w:line="240" w:lineRule="auto"/>
              <w:ind w:firstLine="0"/>
              <w:jc w:val="left"/>
            </w:pPr>
            <w:r>
              <w:rPr>
                <w:rFonts w:hint="eastAsia"/>
              </w:rPr>
              <w:t>如果用户的访问行为触发了</w:t>
            </w:r>
            <w:r>
              <w:t>URL</w:t>
            </w:r>
            <w:r>
              <w:rPr>
                <w:rFonts w:hint="eastAsia"/>
              </w:rPr>
              <w:t>过滤规则，将会被重新定向到</w:t>
            </w:r>
            <w:r>
              <w:t>URL</w:t>
            </w:r>
            <w:r>
              <w:rPr>
                <w:rFonts w:hint="eastAsia"/>
              </w:rPr>
              <w:t>控制或恶意</w:t>
            </w:r>
            <w:r>
              <w:t>URL</w:t>
            </w:r>
            <w:r>
              <w:rPr>
                <w:rFonts w:hint="eastAsia"/>
              </w:rPr>
              <w:t>公告页面。可通过“策略配置</w:t>
            </w:r>
            <w:r>
              <w:t>&gt;</w:t>
            </w:r>
            <w:r>
              <w:rPr>
                <w:rFonts w:hint="eastAsia"/>
              </w:rPr>
              <w:t>对象管理</w:t>
            </w:r>
            <w:r>
              <w:t>&gt;</w:t>
            </w:r>
            <w:r>
              <w:rPr>
                <w:rFonts w:hint="eastAsia"/>
              </w:rPr>
              <w:t>公告页面</w:t>
            </w:r>
            <w:r>
              <w:t>&gt;</w:t>
            </w:r>
            <w:r>
              <w:rPr>
                <w:rFonts w:hint="eastAsia"/>
              </w:rPr>
              <w:t>其他页面”点击</w:t>
            </w:r>
            <w:r>
              <w:t>&lt;URL</w:t>
            </w:r>
            <w:r>
              <w:rPr>
                <w:rFonts w:hint="eastAsia"/>
              </w:rPr>
              <w:t>控制</w:t>
            </w:r>
            <w:r>
              <w:t>&gt;</w:t>
            </w:r>
            <w:r>
              <w:rPr>
                <w:rFonts w:hint="eastAsia"/>
              </w:rPr>
              <w:t>或</w:t>
            </w:r>
            <w:r>
              <w:t>&lt;</w:t>
            </w:r>
            <w:r>
              <w:rPr>
                <w:rFonts w:hint="eastAsia"/>
              </w:rPr>
              <w:t>恶意</w:t>
            </w:r>
            <w:r>
              <w:t>URL&gt;</w:t>
            </w:r>
            <w:r>
              <w:rPr>
                <w:rFonts w:hint="eastAsia"/>
              </w:rPr>
              <w:t>自定义公告页面。</w:t>
            </w:r>
          </w:p>
        </w:tc>
      </w:tr>
      <w:tr w14:paraId="25A89E9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26A918D2">
            <w:pPr>
              <w:pStyle w:val="186"/>
              <w:widowControl w:val="0"/>
              <w:spacing w:line="240" w:lineRule="auto"/>
              <w:ind w:firstLine="0"/>
              <w:jc w:val="left"/>
            </w:pPr>
            <w:r>
              <w:rPr>
                <w:rFonts w:hint="eastAsia"/>
              </w:rPr>
              <w:t>应用过滤</w:t>
            </w:r>
          </w:p>
        </w:tc>
        <w:tc>
          <w:tcPr>
            <w:tcW w:w="7470" w:type="dxa"/>
            <w:shd w:val="clear" w:color="auto" w:fill="auto"/>
          </w:tcPr>
          <w:p w14:paraId="4029FBAB">
            <w:pPr>
              <w:pStyle w:val="186"/>
              <w:widowControl w:val="0"/>
              <w:spacing w:line="240" w:lineRule="auto"/>
              <w:ind w:firstLine="0"/>
              <w:jc w:val="left"/>
            </w:pPr>
            <w:r>
              <w:rPr>
                <w:rFonts w:hint="eastAsia"/>
              </w:rPr>
              <w:t>应用过滤规则，包含应用控制、邮件控制、W</w:t>
            </w:r>
            <w:r>
              <w:t>EB</w:t>
            </w:r>
            <w:r>
              <w:rPr>
                <w:rFonts w:hint="eastAsia"/>
              </w:rPr>
              <w:t>关键字控制、虚拟账号控制、文件类型和协议过滤6种过滤及控制方式。</w:t>
            </w:r>
          </w:p>
        </w:tc>
      </w:tr>
      <w:tr w14:paraId="5A177C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50DA08E3">
            <w:pPr>
              <w:pStyle w:val="186"/>
              <w:widowControl w:val="0"/>
              <w:spacing w:line="240" w:lineRule="auto"/>
              <w:ind w:firstLine="0"/>
              <w:jc w:val="left"/>
            </w:pPr>
            <w:r>
              <w:rPr>
                <w:rFonts w:hint="eastAsia"/>
              </w:rPr>
              <w:t>终端公告提醒</w:t>
            </w:r>
          </w:p>
        </w:tc>
        <w:tc>
          <w:tcPr>
            <w:tcW w:w="7470" w:type="dxa"/>
            <w:shd w:val="clear" w:color="auto" w:fill="auto"/>
          </w:tcPr>
          <w:p w14:paraId="5793BF1C">
            <w:pPr>
              <w:pStyle w:val="186"/>
              <w:widowControl w:val="0"/>
              <w:spacing w:line="240" w:lineRule="auto"/>
              <w:ind w:firstLine="0"/>
              <w:jc w:val="left"/>
            </w:pPr>
            <w:r>
              <w:rPr>
                <w:rFonts w:hint="eastAsia"/>
              </w:rPr>
              <w:t>给匹配条件的终端推送公告提醒页面。策略首次下发后会进行第一次推送，后续按间隔定期推送。详细信息请参考</w:t>
            </w:r>
            <w:r>
              <w:fldChar w:fldCharType="begin"/>
            </w:r>
            <w:r>
              <w:instrText xml:space="preserve"> </w:instrText>
            </w:r>
            <w:r>
              <w:rPr>
                <w:rFonts w:hint="eastAsia"/>
              </w:rPr>
              <w:instrText xml:space="preserve">REF _Ref141807627 \h</w:instrText>
            </w:r>
            <w:r>
              <w:instrText xml:space="preserve">  \* MERGEFORMAT </w:instrText>
            </w:r>
            <w:r>
              <w:fldChar w:fldCharType="separate"/>
            </w:r>
            <w:r>
              <w:rPr>
                <w:rFonts w:hint="eastAsia"/>
              </w:rPr>
              <w:t>终端公告推送</w:t>
            </w:r>
            <w:r>
              <w:fldChar w:fldCharType="end"/>
            </w:r>
            <w:r>
              <w:rPr>
                <w:rFonts w:hint="eastAsia"/>
              </w:rPr>
              <w:t>。</w:t>
            </w:r>
          </w:p>
        </w:tc>
      </w:tr>
      <w:tr w14:paraId="5931D2F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520D209D">
            <w:pPr>
              <w:pStyle w:val="186"/>
              <w:widowControl w:val="0"/>
              <w:spacing w:line="240" w:lineRule="auto"/>
              <w:ind w:firstLine="0"/>
              <w:jc w:val="left"/>
            </w:pPr>
            <w:r>
              <w:rPr>
                <w:rFonts w:hint="eastAsia"/>
              </w:rPr>
              <w:t>高级配置</w:t>
            </w:r>
          </w:p>
        </w:tc>
        <w:tc>
          <w:tcPr>
            <w:tcW w:w="7470" w:type="dxa"/>
            <w:shd w:val="clear" w:color="auto" w:fill="auto"/>
          </w:tcPr>
          <w:p w14:paraId="5CA8F7A8">
            <w:pPr>
              <w:pStyle w:val="186"/>
              <w:widowControl w:val="0"/>
              <w:spacing w:line="240" w:lineRule="auto"/>
              <w:ind w:firstLine="0"/>
              <w:jc w:val="left"/>
            </w:pPr>
            <w:r>
              <w:rPr>
                <w:rFonts w:hint="eastAsia"/>
              </w:rPr>
              <w:t>包含时间对象配置、老化时间配置、终端、终端型号、VLAN及DSCP配置。详细信息请参考</w:t>
            </w:r>
            <w:r>
              <w:fldChar w:fldCharType="begin"/>
            </w:r>
            <w:r>
              <w:instrText xml:space="preserve"> </w:instrText>
            </w:r>
            <w:r>
              <w:rPr>
                <w:rFonts w:hint="eastAsia"/>
              </w:rPr>
              <w:instrText xml:space="preserve">REF _Ref141807637 \h</w:instrText>
            </w:r>
            <w:r>
              <w:instrText xml:space="preserve">  \* MERGEFORMAT </w:instrText>
            </w:r>
            <w:r>
              <w:fldChar w:fldCharType="separate"/>
            </w:r>
            <w:r>
              <w:rPr>
                <w:rFonts w:hint="eastAsia"/>
              </w:rPr>
              <w:t>高级</w:t>
            </w:r>
            <w:r>
              <w:t>配置</w:t>
            </w:r>
            <w:r>
              <w:fldChar w:fldCharType="end"/>
            </w:r>
            <w:r>
              <w:rPr>
                <w:rFonts w:hint="eastAsia"/>
              </w:rPr>
              <w:t>。</w:t>
            </w:r>
          </w:p>
        </w:tc>
      </w:tr>
    </w:tbl>
    <w:p w14:paraId="6776BC32"/>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75EFED19">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72435259">
            <w:pPr>
              <w:pStyle w:val="150"/>
              <w:adjustRightInd w:val="0"/>
              <w:snapToGrid w:val="0"/>
              <w:rPr>
                <w:color w:val="auto"/>
              </w:rPr>
            </w:pPr>
            <w:r>
              <w:rPr>
                <w:b/>
                <w:color w:val="auto"/>
              </w:rPr>
              <w:drawing>
                <wp:inline distT="0" distB="0" distL="0" distR="0">
                  <wp:extent cx="283210" cy="283210"/>
                  <wp:effectExtent l="0" t="0" r="2540" b="2540"/>
                  <wp:docPr id="866" name="图片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图片 86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787427BB">
            <w:pPr>
              <w:pStyle w:val="207"/>
              <w:adjustRightInd w:val="0"/>
              <w:snapToGrid w:val="0"/>
              <w:rPr>
                <w:color w:val="auto"/>
                <w:lang w:eastAsia="zh-CN"/>
              </w:rPr>
            </w:pPr>
            <w:r>
              <w:rPr>
                <w:color w:val="auto"/>
                <w:lang w:eastAsia="zh-CN"/>
              </w:rPr>
              <w:t>控制策略动作为</w:t>
            </w:r>
            <w:r>
              <w:rPr>
                <w:rFonts w:hint="eastAsia"/>
                <w:color w:val="auto"/>
                <w:lang w:eastAsia="zh-CN"/>
              </w:rPr>
              <w:t>“拒绝”时，如果勾选了“日志”，设备只记录syslog格式的控制策略日志，不记录本地日志。如果需要在本地记录日志，可将控制策略的行为配置为“允许”，在应用过滤中配置处理动作为“拒绝”的策略，设备匹配到该策略后会在本地产生相应的日志。</w:t>
            </w:r>
          </w:p>
          <w:p w14:paraId="1B253602">
            <w:pPr>
              <w:pStyle w:val="207"/>
              <w:adjustRightInd w:val="0"/>
              <w:snapToGrid w:val="0"/>
              <w:rPr>
                <w:color w:val="auto"/>
                <w:lang w:eastAsia="zh-CN"/>
              </w:rPr>
            </w:pPr>
            <w:r>
              <w:rPr>
                <w:rFonts w:hint="eastAsia"/>
                <w:color w:val="auto"/>
                <w:lang w:eastAsia="zh-CN"/>
              </w:rPr>
              <w:t>控制策略动作为“允许”时，设备syslog日志支持记录级别为“info”的控制策略日志，在设置日志外发级别</w:t>
            </w:r>
            <w:r>
              <w:rPr>
                <w:color w:val="auto"/>
                <w:lang w:eastAsia="zh-CN"/>
              </w:rPr>
              <w:t>需</w:t>
            </w:r>
            <w:r>
              <w:rPr>
                <w:rFonts w:hint="eastAsia"/>
                <w:color w:val="auto"/>
                <w:lang w:eastAsia="zh-CN"/>
              </w:rPr>
              <w:t>要选择“全部级别”，或者“信息”，或者“调试”，远端syslog服务器才能收到日志。</w:t>
            </w:r>
          </w:p>
          <w:p w14:paraId="1BBB27BB">
            <w:pPr>
              <w:pStyle w:val="207"/>
              <w:adjustRightInd w:val="0"/>
              <w:snapToGrid w:val="0"/>
              <w:rPr>
                <w:color w:val="auto"/>
                <w:lang w:eastAsia="zh-CN"/>
              </w:rPr>
            </w:pPr>
            <w:r>
              <w:rPr>
                <w:rFonts w:hint="eastAsia"/>
                <w:color w:val="auto"/>
                <w:lang w:eastAsia="zh-CN"/>
              </w:rPr>
              <w:t>控制策略动作为允许的时候，建议不要勾选“日志”。如果勾选日志并外发，会产生大量外发日志，可能会对设备性能产生影响。</w:t>
            </w:r>
          </w:p>
        </w:tc>
      </w:tr>
    </w:tbl>
    <w:p w14:paraId="5A8A4A63"/>
    <w:p w14:paraId="0654A7E9">
      <w:pPr>
        <w:pStyle w:val="5"/>
      </w:pPr>
      <w:bookmarkStart w:id="4099" w:name="_Toc172218406"/>
      <w:bookmarkStart w:id="4100" w:name="_Toc194080892"/>
      <w:bookmarkStart w:id="4101" w:name="_Toc196728224"/>
      <w:r>
        <w:t>导入导出控制策略</w:t>
      </w:r>
      <w:bookmarkEnd w:id="4099"/>
      <w:bookmarkEnd w:id="4100"/>
      <w:bookmarkEnd w:id="4101"/>
    </w:p>
    <w:p w14:paraId="78BA575A">
      <w:r>
        <w:rPr>
          <w:rFonts w:hint="eastAsia"/>
        </w:rPr>
        <w:t>设备支持导入导出控制策略，通过导出功能可对当前设备的控制策略配置进行备份，也可将导出后的文件导入到其他设备，用于设备间共享策略配置，批量替换的场景。</w:t>
      </w:r>
    </w:p>
    <w:p w14:paraId="1FB6235D">
      <w:pPr>
        <w:pStyle w:val="389"/>
        <w:numPr>
          <w:ilvl w:val="0"/>
          <w:numId w:val="31"/>
        </w:numPr>
        <w:spacing w:before="156" w:after="156"/>
      </w:pPr>
      <w:r>
        <w:rPr>
          <w:rFonts w:hint="eastAsia"/>
        </w:rPr>
        <w:t>在命令行的config视图输入命令</w:t>
      </w:r>
      <w:r>
        <w:t>policy-import</w:t>
      </w:r>
      <w:r>
        <w:rPr>
          <w:rFonts w:hint="eastAsia"/>
        </w:rPr>
        <w:t xml:space="preserve"> </w:t>
      </w:r>
      <w:r>
        <w:t>enable</w:t>
      </w:r>
      <w:r>
        <w:rPr>
          <w:rFonts w:hint="eastAsia"/>
        </w:rPr>
        <w:t>可以开启控制策略的导入导出功能，开启后在控制策略页面上方的工具栏中显示“导入”、“导出”图标，默认为隐藏，如下图所示</w:t>
      </w:r>
      <w:r>
        <w:t>。</w:t>
      </w:r>
    </w:p>
    <w:p w14:paraId="29777071">
      <w:pPr>
        <w:pStyle w:val="188"/>
      </w:pPr>
      <w:r>
        <w:rPr>
          <w:rFonts w:hint="eastAsia"/>
        </w:rPr>
        <w:t>开启控制</w:t>
      </w:r>
      <w:r>
        <w:t>策略导入导出页面</w:t>
      </w:r>
    </w:p>
    <w:p w14:paraId="662167BB">
      <w:r>
        <w:drawing>
          <wp:inline distT="0" distB="0" distL="0" distR="0">
            <wp:extent cx="5886450" cy="767080"/>
            <wp:effectExtent l="0" t="0" r="0" b="0"/>
            <wp:docPr id="1802027881" name="图片 1802027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81" name="图片 1802027881"/>
                    <pic:cNvPicPr>
                      <a:picLocks noChangeAspect="1"/>
                    </pic:cNvPicPr>
                  </pic:nvPicPr>
                  <pic:blipFill>
                    <a:blip r:embed="rId566"/>
                    <a:stretch>
                      <a:fillRect/>
                    </a:stretch>
                  </pic:blipFill>
                  <pic:spPr>
                    <a:xfrm>
                      <a:off x="0" y="0"/>
                      <a:ext cx="5896058" cy="768892"/>
                    </a:xfrm>
                    <a:prstGeom prst="rect">
                      <a:avLst/>
                    </a:prstGeom>
                  </pic:spPr>
                </pic:pic>
              </a:graphicData>
            </a:graphic>
          </wp:inline>
        </w:drawing>
      </w:r>
    </w:p>
    <w:p w14:paraId="2A95521E"/>
    <w:p w14:paraId="3D7C12EE">
      <w:pPr>
        <w:pStyle w:val="389"/>
        <w:numPr>
          <w:ilvl w:val="0"/>
          <w:numId w:val="31"/>
        </w:numPr>
        <w:spacing w:before="156" w:after="156"/>
      </w:pPr>
      <w:r>
        <w:rPr>
          <w:rFonts w:hint="eastAsia"/>
        </w:rPr>
        <w:t>点击“导出”会在浏览器下载DATA文件到本地，</w:t>
      </w:r>
      <w:r>
        <w:t>可以</w:t>
      </w:r>
      <w:r>
        <w:rPr>
          <w:rFonts w:hint="eastAsia"/>
        </w:rPr>
        <w:t>将</w:t>
      </w:r>
      <w:r>
        <w:t>当前</w:t>
      </w:r>
      <w:r>
        <w:rPr>
          <w:rFonts w:hint="eastAsia"/>
        </w:rPr>
        <w:t>的</w:t>
      </w:r>
      <w:r>
        <w:t>控制策略导出到本地</w:t>
      </w:r>
      <w:r>
        <w:rPr>
          <w:rFonts w:hint="eastAsia"/>
        </w:rPr>
        <w:t>，导出文件的后缀为.d</w:t>
      </w:r>
      <w:r>
        <w:t>ata</w:t>
      </w:r>
      <w:r>
        <w:rPr>
          <w:rFonts w:hint="eastAsia"/>
        </w:rPr>
        <w:t>，如下图所示。</w:t>
      </w:r>
    </w:p>
    <w:p w14:paraId="5BEEF99E">
      <w:pPr>
        <w:pStyle w:val="188"/>
      </w:pPr>
      <w:r>
        <w:rPr>
          <w:rFonts w:hint="eastAsia"/>
        </w:rPr>
        <w:t>控制策略导出文件</w:t>
      </w:r>
    </w:p>
    <w:p w14:paraId="79EB1556">
      <w:r>
        <w:drawing>
          <wp:inline distT="0" distB="0" distL="0" distR="0">
            <wp:extent cx="1619250" cy="228600"/>
            <wp:effectExtent l="0" t="0" r="0" b="0"/>
            <wp:docPr id="1802027896" name="图片 1802027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96" name="图片 1802027896"/>
                    <pic:cNvPicPr>
                      <a:picLocks noChangeAspect="1"/>
                    </pic:cNvPicPr>
                  </pic:nvPicPr>
                  <pic:blipFill>
                    <a:blip r:embed="rId567"/>
                    <a:stretch>
                      <a:fillRect/>
                    </a:stretch>
                  </pic:blipFill>
                  <pic:spPr>
                    <a:xfrm>
                      <a:off x="0" y="0"/>
                      <a:ext cx="1619250" cy="228600"/>
                    </a:xfrm>
                    <a:prstGeom prst="rect">
                      <a:avLst/>
                    </a:prstGeom>
                  </pic:spPr>
                </pic:pic>
              </a:graphicData>
            </a:graphic>
          </wp:inline>
        </w:drawing>
      </w:r>
    </w:p>
    <w:p w14:paraId="4A9E7682">
      <w:pPr>
        <w:pStyle w:val="389"/>
        <w:tabs>
          <w:tab w:val="left" w:pos="737"/>
        </w:tabs>
        <w:spacing w:before="156" w:after="156"/>
        <w:ind w:left="737"/>
      </w:pPr>
      <w:r>
        <w:t>单击</w:t>
      </w:r>
      <w:r>
        <w:rPr>
          <w:rFonts w:hint="eastAsia"/>
        </w:rPr>
        <w:t>&lt;导入</w:t>
      </w:r>
      <w:r>
        <w:t>&gt;按钮</w:t>
      </w:r>
      <w:r>
        <w:rPr>
          <w:rFonts w:hint="eastAsia"/>
        </w:rPr>
        <w:t>，</w:t>
      </w:r>
      <w:r>
        <w:t>弹出</w:t>
      </w:r>
      <w:r>
        <w:rPr>
          <w:rFonts w:hint="eastAsia"/>
        </w:rPr>
        <w:t>控制</w:t>
      </w:r>
      <w:r>
        <w:t>策略</w:t>
      </w:r>
      <w:r>
        <w:rPr>
          <w:rFonts w:hint="eastAsia"/>
        </w:rPr>
        <w:t>导入</w:t>
      </w:r>
      <w:r>
        <w:t>窗口</w:t>
      </w:r>
      <w:r>
        <w:rPr>
          <w:rFonts w:hint="eastAsia"/>
        </w:rPr>
        <w:t>，用于</w:t>
      </w:r>
      <w:r>
        <w:t>将本地的</w:t>
      </w:r>
      <w:r>
        <w:rPr>
          <w:rFonts w:hint="eastAsia"/>
        </w:rPr>
        <w:t>控制</w:t>
      </w:r>
      <w:r>
        <w:t>策略</w:t>
      </w:r>
      <w:r>
        <w:rPr>
          <w:rFonts w:hint="eastAsia"/>
        </w:rPr>
        <w:t>备份</w:t>
      </w:r>
      <w:r>
        <w:t>文件</w:t>
      </w:r>
      <w:r>
        <w:rPr>
          <w:rFonts w:hint="eastAsia"/>
        </w:rPr>
        <w:t>（.</w:t>
      </w:r>
      <w:r>
        <w:t>data</w:t>
      </w:r>
      <w:r>
        <w:rPr>
          <w:rFonts w:hint="eastAsia"/>
        </w:rPr>
        <w:t>文件）</w:t>
      </w:r>
      <w:r>
        <w:t>导入到设备。</w:t>
      </w:r>
    </w:p>
    <w:p w14:paraId="3C353337">
      <w:pPr>
        <w:pStyle w:val="188"/>
      </w:pPr>
      <w:r>
        <w:rPr>
          <w:rFonts w:hint="eastAsia"/>
        </w:rPr>
        <w:t>控制策略导入页面</w:t>
      </w:r>
    </w:p>
    <w:p w14:paraId="5FFAA496">
      <w:pPr>
        <w:pStyle w:val="175"/>
      </w:pPr>
      <w:r>
        <w:drawing>
          <wp:inline distT="0" distB="0" distL="0" distR="0">
            <wp:extent cx="5267325" cy="1704975"/>
            <wp:effectExtent l="0" t="0" r="9525" b="9525"/>
            <wp:docPr id="1802027897" name="图片 1802027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97" name="图片 1802027897"/>
                    <pic:cNvPicPr>
                      <a:picLocks noChangeAspect="1"/>
                    </pic:cNvPicPr>
                  </pic:nvPicPr>
                  <pic:blipFill>
                    <a:blip r:embed="rId568"/>
                    <a:stretch>
                      <a:fillRect/>
                    </a:stretch>
                  </pic:blipFill>
                  <pic:spPr>
                    <a:xfrm>
                      <a:off x="0" y="0"/>
                      <a:ext cx="5267325" cy="1704975"/>
                    </a:xfrm>
                    <a:prstGeom prst="rect">
                      <a:avLst/>
                    </a:prstGeom>
                  </pic:spPr>
                </pic:pic>
              </a:graphicData>
            </a:graphic>
          </wp:inline>
        </w:drawing>
      </w:r>
    </w:p>
    <w:p w14:paraId="2D890601">
      <w:r>
        <w:rPr>
          <w:rFonts w:hint="eastAsia"/>
        </w:rPr>
        <w:t>单击“选择文件”，选择本地控制策略数据文件（.</w:t>
      </w:r>
      <w:r>
        <w:t>data文件</w:t>
      </w:r>
      <w:r>
        <w:rPr>
          <w:rFonts w:hint="eastAsia"/>
        </w:rPr>
        <w:t>），单击“上传”，弹出提示窗口，根据提示信息确保完成导入前的准备事项后，单击“确定”开始导入。</w:t>
      </w:r>
    </w:p>
    <w:p w14:paraId="7CB82356">
      <w:pPr>
        <w:pStyle w:val="188"/>
      </w:pPr>
      <w:r>
        <w:rPr>
          <w:rFonts w:hint="eastAsia"/>
        </w:rPr>
        <w:t>控制策略导入提示页面</w:t>
      </w:r>
    </w:p>
    <w:p w14:paraId="3F308551">
      <w:pPr>
        <w:pStyle w:val="175"/>
      </w:pPr>
      <w:r>
        <w:drawing>
          <wp:inline distT="0" distB="0" distL="0" distR="0">
            <wp:extent cx="4867275" cy="1619250"/>
            <wp:effectExtent l="0" t="0" r="9525" b="0"/>
            <wp:docPr id="1802027898" name="图片 1802027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98" name="图片 1802027898"/>
                    <pic:cNvPicPr>
                      <a:picLocks noChangeAspect="1"/>
                    </pic:cNvPicPr>
                  </pic:nvPicPr>
                  <pic:blipFill>
                    <a:blip r:embed="rId569"/>
                    <a:stretch>
                      <a:fillRect/>
                    </a:stretch>
                  </pic:blipFill>
                  <pic:spPr>
                    <a:xfrm>
                      <a:off x="0" y="0"/>
                      <a:ext cx="4867275" cy="1619250"/>
                    </a:xfrm>
                    <a:prstGeom prst="rect">
                      <a:avLst/>
                    </a:prstGeom>
                  </pic:spPr>
                </pic:pic>
              </a:graphicData>
            </a:graphic>
          </wp:inline>
        </w:drawing>
      </w:r>
    </w:p>
    <w:p w14:paraId="43773DA1">
      <w:r>
        <w:rPr>
          <w:rFonts w:hint="eastAsia"/>
        </w:rPr>
        <w:t>上传过程中，页面上显示加载进度条，上传结束后提示上传结果，如下图所示。</w:t>
      </w:r>
    </w:p>
    <w:p w14:paraId="50843516">
      <w:pPr>
        <w:pStyle w:val="188"/>
      </w:pPr>
      <w:r>
        <w:rPr>
          <w:rFonts w:hint="eastAsia"/>
        </w:rPr>
        <w:t>控制策略导入成功</w:t>
      </w:r>
    </w:p>
    <w:p w14:paraId="7AF56089">
      <w:pPr>
        <w:pStyle w:val="175"/>
      </w:pPr>
      <w:r>
        <w:drawing>
          <wp:inline distT="0" distB="0" distL="0" distR="0">
            <wp:extent cx="2552700" cy="1689735"/>
            <wp:effectExtent l="0" t="0" r="0" b="5715"/>
            <wp:docPr id="1802027899" name="图片 1802027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99" name="图片 1802027899"/>
                    <pic:cNvPicPr>
                      <a:picLocks noChangeAspect="1"/>
                    </pic:cNvPicPr>
                  </pic:nvPicPr>
                  <pic:blipFill>
                    <a:blip r:embed="rId570"/>
                    <a:stretch>
                      <a:fillRect/>
                    </a:stretch>
                  </pic:blipFill>
                  <pic:spPr>
                    <a:xfrm>
                      <a:off x="0" y="0"/>
                      <a:ext cx="2562402" cy="1696486"/>
                    </a:xfrm>
                    <a:prstGeom prst="rect">
                      <a:avLst/>
                    </a:prstGeom>
                  </pic:spPr>
                </pic:pic>
              </a:graphicData>
            </a:graphic>
          </wp:inline>
        </w:drawing>
      </w:r>
    </w:p>
    <w:p w14:paraId="328555EA"/>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260FA3C9">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6C8C41B3">
            <w:pPr>
              <w:pStyle w:val="150"/>
              <w:adjustRightInd w:val="0"/>
              <w:snapToGrid w:val="0"/>
              <w:rPr>
                <w:color w:val="auto"/>
              </w:rPr>
            </w:pPr>
            <w:r>
              <w:rPr>
                <w:b/>
                <w:color w:val="00A0E9"/>
              </w:rPr>
              <w:drawing>
                <wp:inline distT="0" distB="0" distL="0" distR="0">
                  <wp:extent cx="260350" cy="260350"/>
                  <wp:effectExtent l="0" t="0" r="6350" b="6350"/>
                  <wp:docPr id="868" name="图片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图片 868"/>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0470" cy="260470"/>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10D42835">
            <w:pPr>
              <w:pStyle w:val="207"/>
              <w:adjustRightInd w:val="0"/>
              <w:snapToGrid w:val="0"/>
              <w:rPr>
                <w:color w:val="auto"/>
                <w:lang w:eastAsia="zh-CN"/>
              </w:rPr>
            </w:pPr>
            <w:r>
              <w:rPr>
                <w:rFonts w:hint="eastAsia"/>
                <w:color w:val="auto"/>
                <w:lang w:eastAsia="zh-CN"/>
              </w:rPr>
              <w:t>导入控制策略时会清空既存控制策略，请提前备份设备的配置。</w:t>
            </w:r>
          </w:p>
          <w:p w14:paraId="36172311">
            <w:pPr>
              <w:pStyle w:val="207"/>
              <w:adjustRightInd w:val="0"/>
              <w:snapToGrid w:val="0"/>
              <w:rPr>
                <w:color w:val="auto"/>
                <w:lang w:eastAsia="zh-CN"/>
              </w:rPr>
            </w:pPr>
            <w:r>
              <w:rPr>
                <w:rFonts w:hint="eastAsia"/>
                <w:color w:val="auto"/>
                <w:lang w:eastAsia="zh-CN"/>
              </w:rPr>
              <w:t>如控制策略默认动作是拒绝，导入控制策略会造成短暂断网。</w:t>
            </w:r>
          </w:p>
          <w:p w14:paraId="5BC16A16">
            <w:pPr>
              <w:pStyle w:val="207"/>
              <w:adjustRightInd w:val="0"/>
              <w:snapToGrid w:val="0"/>
              <w:rPr>
                <w:color w:val="auto"/>
                <w:lang w:eastAsia="zh-CN"/>
              </w:rPr>
            </w:pPr>
            <w:r>
              <w:rPr>
                <w:rFonts w:hint="eastAsia"/>
                <w:color w:val="auto"/>
                <w:lang w:eastAsia="zh-CN"/>
              </w:rPr>
              <w:t>导入内容只包含控制策略，请确保所导入策略依赖的引用对象(例如: 地址对象、服务对象、特征库版本等)已提前导入设备，避免出现控制策略导入失败的情况。</w:t>
            </w:r>
          </w:p>
        </w:tc>
      </w:tr>
    </w:tbl>
    <w:p w14:paraId="6472C4CF"/>
    <w:p w14:paraId="21F52027">
      <w:pPr>
        <w:pStyle w:val="5"/>
      </w:pPr>
      <w:bookmarkStart w:id="4102" w:name="_Toc6235055"/>
      <w:bookmarkStart w:id="4103" w:name="_Toc172218407"/>
      <w:bookmarkStart w:id="4104" w:name="_Toc196728225"/>
      <w:bookmarkStart w:id="4105" w:name="_Toc142401145"/>
      <w:bookmarkStart w:id="4106" w:name="_Toc141873628"/>
      <w:bookmarkStart w:id="4107" w:name="_Toc474250068"/>
      <w:bookmarkStart w:id="4108" w:name="_Toc23152687"/>
      <w:bookmarkStart w:id="4109" w:name="_Toc40276120"/>
      <w:bookmarkStart w:id="4110" w:name="_Toc194080893"/>
      <w:bookmarkStart w:id="4111" w:name="_Toc99561759"/>
      <w:bookmarkStart w:id="4112" w:name="_Toc15484923"/>
      <w:r>
        <w:rPr>
          <w:rFonts w:hint="eastAsia"/>
        </w:rPr>
        <w:t>控制策略优先级配置</w:t>
      </w:r>
      <w:bookmarkEnd w:id="4102"/>
      <w:bookmarkEnd w:id="4103"/>
      <w:bookmarkEnd w:id="4104"/>
      <w:bookmarkEnd w:id="4105"/>
      <w:bookmarkEnd w:id="4106"/>
      <w:bookmarkEnd w:id="4107"/>
      <w:bookmarkEnd w:id="4108"/>
      <w:bookmarkEnd w:id="4109"/>
      <w:bookmarkEnd w:id="4110"/>
      <w:bookmarkEnd w:id="4111"/>
      <w:bookmarkEnd w:id="4112"/>
    </w:p>
    <w:p w14:paraId="53DF41AC">
      <w:r>
        <w:rPr>
          <w:rFonts w:hint="eastAsia"/>
        </w:rPr>
        <w:t>在导航栏中选择“策略配置&gt;控制策略”，单击</w:t>
      </w:r>
      <w:r>
        <w:t>&lt;</w:t>
      </w:r>
      <w:r>
        <w:rPr>
          <w:rFonts w:hint="eastAsia"/>
        </w:rPr>
        <w:t>优先级</w:t>
      </w:r>
      <w:r>
        <w:t>&gt;</w:t>
      </w:r>
      <w:r>
        <w:rPr>
          <w:rFonts w:hint="eastAsia"/>
        </w:rPr>
        <w:t>按钮进入控制策略优先级配置页面，如</w:t>
      </w:r>
      <w:r>
        <w:rPr>
          <w:color w:val="0000FF"/>
          <w:u w:val="single"/>
        </w:rPr>
        <w:fldChar w:fldCharType="begin"/>
      </w:r>
      <w:r>
        <w:rPr>
          <w:color w:val="0000FF"/>
          <w:u w:val="single"/>
        </w:rPr>
        <w:instrText xml:space="preserve"> REF _Ref402277054 \r \h </w:instrText>
      </w:r>
      <w:r>
        <w:rPr>
          <w:color w:val="0000FF"/>
          <w:u w:val="single"/>
        </w:rPr>
        <w:fldChar w:fldCharType="separate"/>
      </w:r>
      <w:r>
        <w:rPr>
          <w:rFonts w:hint="eastAsia"/>
          <w:color w:val="0000FF"/>
          <w:u w:val="single"/>
        </w:rPr>
        <w:t>图14-9</w:t>
      </w:r>
      <w:r>
        <w:rPr>
          <w:color w:val="0000FF"/>
          <w:u w:val="single"/>
        </w:rPr>
        <w:fldChar w:fldCharType="end"/>
      </w:r>
      <w:r>
        <w:rPr>
          <w:rFonts w:hint="eastAsia"/>
        </w:rPr>
        <w:t>所示。</w:t>
      </w:r>
    </w:p>
    <w:p w14:paraId="36E74498">
      <w:pPr>
        <w:pStyle w:val="188"/>
      </w:pPr>
      <w:bookmarkStart w:id="4113" w:name="_Ref402277054"/>
      <w:bookmarkStart w:id="4114" w:name="_Toc141875022"/>
      <w:r>
        <w:rPr>
          <w:rFonts w:hint="eastAsia"/>
        </w:rPr>
        <w:t>策略优先级</w:t>
      </w:r>
      <w:bookmarkEnd w:id="4113"/>
      <w:bookmarkEnd w:id="4114"/>
    </w:p>
    <w:p w14:paraId="613F3E47">
      <w:r>
        <w:t xml:space="preserve"> </w:t>
      </w:r>
      <w:r>
        <w:drawing>
          <wp:inline distT="0" distB="0" distL="0" distR="0">
            <wp:extent cx="5361305" cy="2504440"/>
            <wp:effectExtent l="0" t="0" r="0" b="0"/>
            <wp:docPr id="2825" name="图片 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5" name="图片 2825"/>
                    <pic:cNvPicPr>
                      <a:picLocks noChangeAspect="1"/>
                    </pic:cNvPicPr>
                  </pic:nvPicPr>
                  <pic:blipFill>
                    <a:blip r:embed="rId571"/>
                    <a:stretch>
                      <a:fillRect/>
                    </a:stretch>
                  </pic:blipFill>
                  <pic:spPr>
                    <a:xfrm>
                      <a:off x="0" y="0"/>
                      <a:ext cx="5361905" cy="2504762"/>
                    </a:xfrm>
                    <a:prstGeom prst="rect">
                      <a:avLst/>
                    </a:prstGeom>
                  </pic:spPr>
                </pic:pic>
              </a:graphicData>
            </a:graphic>
          </wp:inline>
        </w:drawing>
      </w:r>
      <w:r>
        <w:t xml:space="preserve"> </w:t>
      </w:r>
    </w:p>
    <w:p w14:paraId="5245196F"/>
    <w:p w14:paraId="3FEDA9E4">
      <w:r>
        <w:rPr>
          <w:rFonts w:hint="eastAsia"/>
        </w:rPr>
        <w:t>控制策略优先级详细配置说明，如下表所示。</w:t>
      </w:r>
    </w:p>
    <w:p w14:paraId="1B9B5F41">
      <w:pPr>
        <w:pStyle w:val="183"/>
      </w:pPr>
      <w:bookmarkStart w:id="4115" w:name="_Toc141875654"/>
      <w:r>
        <w:rPr>
          <w:rFonts w:hint="eastAsia"/>
        </w:rPr>
        <w:t>控制策略优先级详细配置</w:t>
      </w:r>
      <w:bookmarkEnd w:id="4115"/>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3"/>
        <w:gridCol w:w="6635"/>
      </w:tblGrid>
      <w:tr w14:paraId="1C4557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tcBorders>
              <w:tl2br w:val="nil"/>
              <w:tr2bl w:val="nil"/>
            </w:tcBorders>
            <w:shd w:val="clear" w:color="auto" w:fill="538135" w:themeFill="accent6" w:themeFillShade="BF"/>
            <w:vAlign w:val="center"/>
          </w:tcPr>
          <w:p w14:paraId="32A208C5">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84" w:type="dxa"/>
            <w:tcBorders>
              <w:tl2br w:val="nil"/>
              <w:tr2bl w:val="nil"/>
            </w:tcBorders>
            <w:shd w:val="clear" w:color="auto" w:fill="538135" w:themeFill="accent6" w:themeFillShade="BF"/>
            <w:vAlign w:val="center"/>
          </w:tcPr>
          <w:p w14:paraId="0D374456">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796DF47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2B447004">
            <w:pPr>
              <w:pStyle w:val="186"/>
              <w:widowControl w:val="0"/>
              <w:spacing w:line="240" w:lineRule="auto"/>
              <w:ind w:firstLine="0"/>
              <w:jc w:val="left"/>
            </w:pPr>
            <w:r>
              <w:rPr>
                <w:rFonts w:hint="eastAsia"/>
              </w:rPr>
              <w:t>被移动的策略ID</w:t>
            </w:r>
          </w:p>
        </w:tc>
        <w:tc>
          <w:tcPr>
            <w:tcW w:w="6684" w:type="dxa"/>
            <w:shd w:val="clear" w:color="auto" w:fill="auto"/>
          </w:tcPr>
          <w:p w14:paraId="7B8A0851">
            <w:pPr>
              <w:pStyle w:val="186"/>
              <w:widowControl w:val="0"/>
              <w:spacing w:line="240" w:lineRule="auto"/>
              <w:ind w:firstLine="0"/>
              <w:jc w:val="left"/>
            </w:pPr>
            <w:r>
              <w:rPr>
                <w:rFonts w:hint="eastAsia"/>
              </w:rPr>
              <w:t>被移动的策略索引。</w:t>
            </w:r>
          </w:p>
        </w:tc>
      </w:tr>
      <w:tr w14:paraId="03B1DA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0A48B946">
            <w:pPr>
              <w:pStyle w:val="186"/>
              <w:widowControl w:val="0"/>
              <w:spacing w:line="240" w:lineRule="auto"/>
              <w:ind w:firstLine="0"/>
              <w:jc w:val="left"/>
            </w:pPr>
            <w:r>
              <w:rPr>
                <w:rFonts w:hint="eastAsia"/>
              </w:rPr>
              <w:t>目标位置</w:t>
            </w:r>
          </w:p>
        </w:tc>
        <w:tc>
          <w:tcPr>
            <w:tcW w:w="6684" w:type="dxa"/>
            <w:shd w:val="clear" w:color="auto" w:fill="auto"/>
          </w:tcPr>
          <w:p w14:paraId="22F87AE3">
            <w:pPr>
              <w:pStyle w:val="186"/>
              <w:widowControl w:val="0"/>
              <w:spacing w:line="240" w:lineRule="auto"/>
              <w:ind w:firstLine="0"/>
              <w:jc w:val="left"/>
            </w:pPr>
            <w:r>
              <w:rPr>
                <w:rFonts w:hint="eastAsia"/>
              </w:rPr>
              <w:t>移动后的位置：</w:t>
            </w:r>
          </w:p>
          <w:p w14:paraId="318F22BE">
            <w:pPr>
              <w:pStyle w:val="186"/>
              <w:widowControl w:val="0"/>
              <w:spacing w:line="240" w:lineRule="auto"/>
              <w:ind w:firstLine="0"/>
              <w:jc w:val="left"/>
            </w:pPr>
            <w:r>
              <w:rPr>
                <w:rFonts w:hint="eastAsia"/>
              </w:rPr>
              <w:t>策略最前指移动到所有策略的最前面。</w:t>
            </w:r>
          </w:p>
          <w:p w14:paraId="5B34A96A">
            <w:pPr>
              <w:pStyle w:val="186"/>
              <w:widowControl w:val="0"/>
              <w:spacing w:line="240" w:lineRule="auto"/>
              <w:ind w:firstLine="0"/>
              <w:jc w:val="left"/>
            </w:pPr>
            <w:r>
              <w:rPr>
                <w:rFonts w:hint="eastAsia"/>
              </w:rPr>
              <w:t>策略ID之前指移动到某条固定的策略之前。</w:t>
            </w:r>
          </w:p>
          <w:p w14:paraId="0E5431E9">
            <w:pPr>
              <w:pStyle w:val="186"/>
              <w:widowControl w:val="0"/>
              <w:spacing w:line="240" w:lineRule="auto"/>
              <w:ind w:firstLine="0"/>
              <w:jc w:val="left"/>
            </w:pPr>
            <w:r>
              <w:rPr>
                <w:rFonts w:hint="eastAsia"/>
              </w:rPr>
              <w:t>策略ID之后指移动到某条固定的策略后面。</w:t>
            </w:r>
          </w:p>
          <w:p w14:paraId="4F0B686C">
            <w:pPr>
              <w:pStyle w:val="186"/>
              <w:widowControl w:val="0"/>
              <w:spacing w:line="240" w:lineRule="auto"/>
              <w:ind w:firstLine="0"/>
              <w:jc w:val="left"/>
            </w:pPr>
            <w:r>
              <w:rPr>
                <w:rFonts w:hint="eastAsia"/>
              </w:rPr>
              <w:t>策略最后指移动到所有策略的后面。</w:t>
            </w:r>
          </w:p>
        </w:tc>
      </w:tr>
      <w:tr w14:paraId="2D81F2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591BA726">
            <w:pPr>
              <w:pStyle w:val="186"/>
              <w:widowControl w:val="0"/>
              <w:spacing w:line="240" w:lineRule="auto"/>
              <w:ind w:firstLine="0"/>
              <w:jc w:val="left"/>
            </w:pPr>
            <w:r>
              <w:rPr>
                <w:rFonts w:hint="eastAsia"/>
              </w:rPr>
              <w:t>目标位置策略ID</w:t>
            </w:r>
          </w:p>
        </w:tc>
        <w:tc>
          <w:tcPr>
            <w:tcW w:w="6684" w:type="dxa"/>
            <w:shd w:val="clear" w:color="auto" w:fill="auto"/>
          </w:tcPr>
          <w:p w14:paraId="14E843E9">
            <w:pPr>
              <w:pStyle w:val="186"/>
              <w:widowControl w:val="0"/>
              <w:spacing w:line="240" w:lineRule="auto"/>
              <w:ind w:firstLine="0"/>
              <w:jc w:val="left"/>
            </w:pPr>
            <w:r>
              <w:rPr>
                <w:rFonts w:hint="eastAsia"/>
              </w:rPr>
              <w:t>参考策略索引，可</w:t>
            </w:r>
            <w:r>
              <w:t>以选择</w:t>
            </w:r>
            <w:r>
              <w:rPr>
                <w:rFonts w:hint="eastAsia"/>
              </w:rPr>
              <w:t>对应</w:t>
            </w:r>
            <w:r>
              <w:t>策略</w:t>
            </w:r>
            <w:r>
              <w:rPr>
                <w:rFonts w:hint="eastAsia"/>
              </w:rPr>
              <w:t>ID，</w:t>
            </w:r>
            <w:r>
              <w:t>将</w:t>
            </w:r>
            <w:r>
              <w:rPr>
                <w:rFonts w:hint="eastAsia"/>
              </w:rPr>
              <w:t>当前</w:t>
            </w:r>
            <w:r>
              <w:t>策略移动</w:t>
            </w:r>
            <w:r>
              <w:rPr>
                <w:rFonts w:hint="eastAsia"/>
              </w:rPr>
              <w:t>到</w:t>
            </w:r>
            <w:r>
              <w:t>该策略</w:t>
            </w:r>
            <w:r>
              <w:rPr>
                <w:rFonts w:hint="eastAsia"/>
              </w:rPr>
              <w:t>ID</w:t>
            </w:r>
            <w:r>
              <w:t>之前或之后</w:t>
            </w:r>
            <w:r>
              <w:rPr>
                <w:rFonts w:hint="eastAsia"/>
              </w:rPr>
              <w:t>。</w:t>
            </w:r>
          </w:p>
        </w:tc>
      </w:tr>
    </w:tbl>
    <w:p w14:paraId="6D497C12">
      <w:bookmarkStart w:id="4116" w:name="_Toc474250069"/>
    </w:p>
    <w:p w14:paraId="3729A8B7">
      <w:pPr>
        <w:pStyle w:val="5"/>
      </w:pPr>
      <w:bookmarkStart w:id="4117" w:name="_Toc23152688"/>
      <w:bookmarkStart w:id="4118" w:name="_Toc99561760"/>
      <w:bookmarkStart w:id="4119" w:name="_Toc15484924"/>
      <w:bookmarkStart w:id="4120" w:name="_Toc40276121"/>
      <w:bookmarkStart w:id="4121" w:name="_Toc141873629"/>
      <w:bookmarkStart w:id="4122" w:name="_Toc6235056"/>
      <w:bookmarkStart w:id="4123" w:name="_Toc142401146"/>
      <w:bookmarkStart w:id="4124" w:name="_Toc172218408"/>
      <w:bookmarkStart w:id="4125" w:name="_Toc194080894"/>
      <w:bookmarkStart w:id="4126" w:name="_Toc196728226"/>
      <w:r>
        <w:rPr>
          <w:rFonts w:hint="eastAsia"/>
        </w:rPr>
        <w:t>启用和禁用控制策略</w:t>
      </w:r>
      <w:bookmarkEnd w:id="4116"/>
      <w:bookmarkEnd w:id="4117"/>
      <w:bookmarkEnd w:id="4118"/>
      <w:bookmarkEnd w:id="4119"/>
      <w:bookmarkEnd w:id="4120"/>
      <w:bookmarkEnd w:id="4121"/>
      <w:bookmarkEnd w:id="4122"/>
      <w:bookmarkEnd w:id="4123"/>
      <w:bookmarkEnd w:id="4124"/>
      <w:bookmarkEnd w:id="4125"/>
      <w:bookmarkEnd w:id="4126"/>
    </w:p>
    <w:p w14:paraId="543A36CB">
      <w:r>
        <w:rPr>
          <w:rFonts w:hint="eastAsia"/>
        </w:rPr>
        <w:t>在导航栏中选择“策略配置&gt;控制策略”，进入控制策略显示页面，如</w:t>
      </w:r>
      <w:r>
        <w:rPr>
          <w:color w:val="0000FF"/>
          <w:u w:val="single"/>
        </w:rPr>
        <w:fldChar w:fldCharType="begin"/>
      </w:r>
      <w:r>
        <w:rPr>
          <w:color w:val="0000FF"/>
          <w:u w:val="single"/>
        </w:rPr>
        <w:instrText xml:space="preserve"> REF _Ref393016912 \r \h </w:instrText>
      </w:r>
      <w:r>
        <w:rPr>
          <w:color w:val="0000FF"/>
          <w:u w:val="single"/>
        </w:rPr>
        <w:fldChar w:fldCharType="separate"/>
      </w:r>
      <w:r>
        <w:rPr>
          <w:rFonts w:hint="eastAsia"/>
          <w:color w:val="0000FF"/>
          <w:u w:val="single"/>
        </w:rPr>
        <w:t>图14-10</w:t>
      </w:r>
      <w:r>
        <w:rPr>
          <w:color w:val="0000FF"/>
          <w:u w:val="single"/>
        </w:rPr>
        <w:fldChar w:fldCharType="end"/>
      </w:r>
      <w:r>
        <w:rPr>
          <w:rFonts w:hint="eastAsia"/>
        </w:rPr>
        <w:t>所示。勾选要启用或者禁用的控制策略，单击</w:t>
      </w:r>
      <w:r>
        <w:t>&lt;</w:t>
      </w:r>
      <w:r>
        <w:rPr>
          <w:rFonts w:hint="eastAsia"/>
        </w:rPr>
        <w:t>启用</w:t>
      </w:r>
      <w:r>
        <w:t>&gt;</w:t>
      </w:r>
      <w:r>
        <w:rPr>
          <w:rFonts w:hint="eastAsia"/>
        </w:rPr>
        <w:t>或</w:t>
      </w:r>
      <w:r>
        <w:t>&lt;</w:t>
      </w:r>
      <w:r>
        <w:rPr>
          <w:rFonts w:hint="eastAsia"/>
        </w:rPr>
        <w:t>禁用</w:t>
      </w:r>
      <w:r>
        <w:t>&gt;</w:t>
      </w:r>
      <w:r>
        <w:rPr>
          <w:rFonts w:hint="eastAsia"/>
        </w:rPr>
        <w:t>按钮可以启动和禁用该控制策略。</w:t>
      </w:r>
    </w:p>
    <w:p w14:paraId="5854DA11">
      <w:pPr>
        <w:pStyle w:val="188"/>
      </w:pPr>
      <w:bookmarkStart w:id="4127" w:name="_Ref393016912"/>
      <w:bookmarkStart w:id="4128" w:name="_Toc141875023"/>
      <w:r>
        <w:rPr>
          <w:rFonts w:hint="eastAsia"/>
        </w:rPr>
        <w:t>控制策略</w:t>
      </w:r>
      <w:bookmarkEnd w:id="4127"/>
      <w:r>
        <w:rPr>
          <w:rFonts w:hint="eastAsia"/>
        </w:rPr>
        <w:t>启用和禁用</w:t>
      </w:r>
      <w:bookmarkEnd w:id="4128"/>
    </w:p>
    <w:p w14:paraId="4A3EB397">
      <w:r>
        <w:drawing>
          <wp:inline distT="0" distB="0" distL="0" distR="0">
            <wp:extent cx="5400040" cy="688975"/>
            <wp:effectExtent l="0" t="0" r="0" b="0"/>
            <wp:docPr id="3806" name="图片 3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6" name="图片 3806"/>
                    <pic:cNvPicPr>
                      <a:picLocks noChangeAspect="1"/>
                    </pic:cNvPicPr>
                  </pic:nvPicPr>
                  <pic:blipFill>
                    <a:blip r:embed="rId572"/>
                    <a:stretch>
                      <a:fillRect/>
                    </a:stretch>
                  </pic:blipFill>
                  <pic:spPr>
                    <a:xfrm>
                      <a:off x="0" y="0"/>
                      <a:ext cx="5400040" cy="689152"/>
                    </a:xfrm>
                    <a:prstGeom prst="rect">
                      <a:avLst/>
                    </a:prstGeom>
                  </pic:spPr>
                </pic:pic>
              </a:graphicData>
            </a:graphic>
          </wp:inline>
        </w:drawing>
      </w:r>
    </w:p>
    <w:p w14:paraId="627C7388">
      <w:pPr>
        <w:pStyle w:val="5"/>
      </w:pPr>
      <w:bookmarkStart w:id="4129" w:name="_Toc141873630"/>
      <w:bookmarkStart w:id="4130" w:name="_Toc99561761"/>
      <w:bookmarkStart w:id="4131" w:name="_Toc142401147"/>
      <w:bookmarkStart w:id="4132" w:name="_Toc172218409"/>
      <w:bookmarkStart w:id="4133" w:name="_Toc58604032"/>
      <w:bookmarkStart w:id="4134" w:name="_Toc70415438"/>
      <w:bookmarkStart w:id="4135" w:name="_Toc70414501"/>
      <w:bookmarkStart w:id="4136" w:name="_Toc196728227"/>
      <w:bookmarkStart w:id="4137" w:name="_Toc194080895"/>
      <w:r>
        <w:rPr>
          <w:rFonts w:hint="eastAsia"/>
        </w:rPr>
        <w:t>复制控制策略</w:t>
      </w:r>
      <w:bookmarkEnd w:id="4129"/>
      <w:bookmarkEnd w:id="4130"/>
      <w:bookmarkEnd w:id="4131"/>
      <w:bookmarkEnd w:id="4132"/>
      <w:bookmarkEnd w:id="4133"/>
      <w:bookmarkEnd w:id="4134"/>
      <w:bookmarkEnd w:id="4135"/>
      <w:bookmarkEnd w:id="4136"/>
      <w:bookmarkEnd w:id="4137"/>
    </w:p>
    <w:p w14:paraId="5B6913C7">
      <w:r>
        <w:rPr>
          <w:rFonts w:hint="eastAsia"/>
        </w:rPr>
        <w:t>在导航栏中选择“策略配置 &gt; 控制策略”，进入控制策略显示页面。单击</w:t>
      </w:r>
      <w:r>
        <w:t>需要复制的控制策略</w:t>
      </w:r>
      <w:r>
        <w:rPr>
          <w:rFonts w:hint="eastAsia"/>
        </w:rPr>
        <w:t>后面</w:t>
      </w:r>
      <w:r>
        <w:t>的</w:t>
      </w:r>
      <w:r>
        <w:drawing>
          <wp:inline distT="0" distB="0" distL="0" distR="0">
            <wp:extent cx="136525" cy="136525"/>
            <wp:effectExtent l="0" t="0" r="0" b="0"/>
            <wp:docPr id="613" name="图片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图片 613"/>
                    <pic:cNvPicPr>
                      <a:picLocks noChangeAspect="1"/>
                    </pic:cNvPicPr>
                  </pic:nvPicPr>
                  <pic:blipFill>
                    <a:blip r:embed="rId573"/>
                    <a:stretch>
                      <a:fillRect/>
                    </a:stretch>
                  </pic:blipFill>
                  <pic:spPr>
                    <a:xfrm>
                      <a:off x="0" y="0"/>
                      <a:ext cx="136800" cy="136800"/>
                    </a:xfrm>
                    <a:prstGeom prst="rect">
                      <a:avLst/>
                    </a:prstGeom>
                  </pic:spPr>
                </pic:pic>
              </a:graphicData>
            </a:graphic>
          </wp:inline>
        </w:drawing>
      </w:r>
      <w:r>
        <w:rPr>
          <w:rFonts w:hint="eastAsia"/>
        </w:rPr>
        <w:t>按钮，然后单击“确定”按钮，进入复制后的策略编辑页面，最后单击“提交”按钮即可以对该控制策略进行复制，生成一个新的控制策略。</w:t>
      </w:r>
    </w:p>
    <w:p w14:paraId="69289E4B">
      <w:pPr>
        <w:pStyle w:val="188"/>
      </w:pPr>
      <w:bookmarkStart w:id="4138" w:name="_Toc141875024"/>
      <w:r>
        <w:t>复制控制策略</w:t>
      </w:r>
      <w:bookmarkEnd w:id="4138"/>
    </w:p>
    <w:p w14:paraId="564D9DC1">
      <w:r>
        <w:drawing>
          <wp:inline distT="0" distB="0" distL="0" distR="0">
            <wp:extent cx="5400040" cy="1755140"/>
            <wp:effectExtent l="0" t="0" r="0" b="0"/>
            <wp:docPr id="616" name="图片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图片 616"/>
                    <pic:cNvPicPr>
                      <a:picLocks noChangeAspect="1"/>
                    </pic:cNvPicPr>
                  </pic:nvPicPr>
                  <pic:blipFill>
                    <a:blip r:embed="rId574"/>
                    <a:stretch>
                      <a:fillRect/>
                    </a:stretch>
                  </pic:blipFill>
                  <pic:spPr>
                    <a:xfrm>
                      <a:off x="0" y="0"/>
                      <a:ext cx="5400040" cy="1755140"/>
                    </a:xfrm>
                    <a:prstGeom prst="rect">
                      <a:avLst/>
                    </a:prstGeom>
                  </pic:spPr>
                </pic:pic>
              </a:graphicData>
            </a:graphic>
          </wp:inline>
        </w:drawing>
      </w:r>
    </w:p>
    <w:p w14:paraId="7AA9CE46"/>
    <w:p w14:paraId="5F5B597A">
      <w:pPr>
        <w:pStyle w:val="5"/>
      </w:pPr>
      <w:bookmarkStart w:id="4139" w:name="_Toc99561762"/>
      <w:bookmarkStart w:id="4140" w:name="_Toc141873631"/>
      <w:bookmarkStart w:id="4141" w:name="_Toc194080896"/>
      <w:bookmarkStart w:id="4142" w:name="_Toc6235057"/>
      <w:bookmarkStart w:id="4143" w:name="_Toc15484925"/>
      <w:bookmarkStart w:id="4144" w:name="_Toc23152689"/>
      <w:bookmarkStart w:id="4145" w:name="_Toc40276122"/>
      <w:bookmarkStart w:id="4146" w:name="_Toc142401148"/>
      <w:bookmarkStart w:id="4147" w:name="_Toc172218410"/>
      <w:bookmarkStart w:id="4148" w:name="_Toc196728228"/>
      <w:bookmarkStart w:id="4149" w:name="_Toc474250070"/>
      <w:r>
        <w:rPr>
          <w:rFonts w:hint="eastAsia"/>
        </w:rPr>
        <w:t>删除控制策略</w:t>
      </w:r>
      <w:bookmarkEnd w:id="4139"/>
      <w:bookmarkEnd w:id="4140"/>
      <w:bookmarkEnd w:id="4141"/>
      <w:bookmarkEnd w:id="4142"/>
      <w:bookmarkEnd w:id="4143"/>
      <w:bookmarkEnd w:id="4144"/>
      <w:bookmarkEnd w:id="4145"/>
      <w:bookmarkEnd w:id="4146"/>
      <w:bookmarkEnd w:id="4147"/>
      <w:bookmarkEnd w:id="4148"/>
    </w:p>
    <w:p w14:paraId="4E847583">
      <w:r>
        <w:rPr>
          <w:rFonts w:hint="eastAsia"/>
        </w:rPr>
        <w:t>在导航栏中选择“策略配置&gt;控制策略”，进入控制策略显示页面，如</w:t>
      </w:r>
      <w:r>
        <w:rPr>
          <w:color w:val="0000FF"/>
          <w:u w:val="single"/>
        </w:rPr>
        <w:fldChar w:fldCharType="begin"/>
      </w:r>
      <w:r>
        <w:rPr>
          <w:color w:val="0000FF"/>
          <w:u w:val="single"/>
        </w:rPr>
        <w:instrText xml:space="preserve"> REF _Ref4520488 \r \h </w:instrText>
      </w:r>
      <w:r>
        <w:rPr>
          <w:color w:val="0000FF"/>
          <w:u w:val="single"/>
        </w:rPr>
        <w:fldChar w:fldCharType="separate"/>
      </w:r>
      <w:r>
        <w:rPr>
          <w:rFonts w:hint="eastAsia"/>
          <w:color w:val="0000FF"/>
          <w:u w:val="single"/>
        </w:rPr>
        <w:t>图14-12</w:t>
      </w:r>
      <w:r>
        <w:rPr>
          <w:color w:val="0000FF"/>
          <w:u w:val="single"/>
        </w:rPr>
        <w:fldChar w:fldCharType="end"/>
      </w:r>
      <w:r>
        <w:rPr>
          <w:rFonts w:hint="eastAsia"/>
        </w:rPr>
        <w:t>所示。勾选要删除的控制策略，单击</w:t>
      </w:r>
      <w:r>
        <w:t>&lt;</w:t>
      </w:r>
      <w:r>
        <w:rPr>
          <w:rFonts w:hint="eastAsia"/>
        </w:rPr>
        <w:t>删除</w:t>
      </w:r>
      <w:r>
        <w:t>&gt;</w:t>
      </w:r>
      <w:r>
        <w:rPr>
          <w:rFonts w:hint="eastAsia"/>
        </w:rPr>
        <w:t>按钮或点击操作中&lt;删除&gt;按钮，可以删除该控制策略。</w:t>
      </w:r>
    </w:p>
    <w:p w14:paraId="4A9CF469">
      <w:pPr>
        <w:pStyle w:val="188"/>
      </w:pPr>
      <w:bookmarkStart w:id="4150" w:name="_Toc141875025"/>
      <w:bookmarkStart w:id="4151" w:name="_Ref4520488"/>
      <w:r>
        <w:rPr>
          <w:rFonts w:hint="eastAsia"/>
        </w:rPr>
        <w:t>控制策略删除</w:t>
      </w:r>
      <w:bookmarkEnd w:id="4150"/>
      <w:bookmarkEnd w:id="4151"/>
    </w:p>
    <w:p w14:paraId="0259477A">
      <w:r>
        <w:drawing>
          <wp:inline distT="0" distB="0" distL="0" distR="0">
            <wp:extent cx="5400040" cy="685165"/>
            <wp:effectExtent l="0" t="0" r="0" b="635"/>
            <wp:docPr id="3808" name="图片 3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8" name="图片 3808"/>
                    <pic:cNvPicPr>
                      <a:picLocks noChangeAspect="1"/>
                    </pic:cNvPicPr>
                  </pic:nvPicPr>
                  <pic:blipFill>
                    <a:blip r:embed="rId575"/>
                    <a:stretch>
                      <a:fillRect/>
                    </a:stretch>
                  </pic:blipFill>
                  <pic:spPr>
                    <a:xfrm>
                      <a:off x="0" y="0"/>
                      <a:ext cx="5400040" cy="685791"/>
                    </a:xfrm>
                    <a:prstGeom prst="rect">
                      <a:avLst/>
                    </a:prstGeom>
                  </pic:spPr>
                </pic:pic>
              </a:graphicData>
            </a:graphic>
          </wp:inline>
        </w:drawing>
      </w:r>
    </w:p>
    <w:p w14:paraId="3617B2F1"/>
    <w:p w14:paraId="4638940E">
      <w:pPr>
        <w:pStyle w:val="5"/>
      </w:pPr>
      <w:bookmarkStart w:id="4152" w:name="_Toc194080897"/>
      <w:bookmarkStart w:id="4153" w:name="_Toc172218411"/>
      <w:bookmarkStart w:id="4154" w:name="_Toc142401149"/>
      <w:bookmarkStart w:id="4155" w:name="_Toc23152690"/>
      <w:bookmarkStart w:id="4156" w:name="_Toc99561763"/>
      <w:bookmarkStart w:id="4157" w:name="_Toc196728229"/>
      <w:bookmarkStart w:id="4158" w:name="_Toc15484926"/>
      <w:bookmarkStart w:id="4159" w:name="_Toc6235058"/>
      <w:bookmarkStart w:id="4160" w:name="_Toc40276123"/>
      <w:bookmarkStart w:id="4161" w:name="_Toc141873632"/>
      <w:r>
        <w:rPr>
          <w:rFonts w:hint="eastAsia"/>
        </w:rPr>
        <w:t>清除控制策略匹配计数</w:t>
      </w:r>
      <w:bookmarkEnd w:id="4152"/>
      <w:bookmarkEnd w:id="4153"/>
      <w:bookmarkEnd w:id="4154"/>
      <w:bookmarkEnd w:id="4155"/>
      <w:bookmarkEnd w:id="4156"/>
      <w:bookmarkEnd w:id="4157"/>
      <w:bookmarkEnd w:id="4158"/>
      <w:bookmarkEnd w:id="4159"/>
      <w:bookmarkEnd w:id="4160"/>
      <w:bookmarkEnd w:id="4161"/>
    </w:p>
    <w:p w14:paraId="0394B907">
      <w:r>
        <w:rPr>
          <w:rFonts w:hint="eastAsia"/>
        </w:rPr>
        <w:t>在导航栏中选择“策略配置&gt;控制策略”，进入控制策略显示页面，如</w:t>
      </w:r>
      <w:r>
        <w:rPr>
          <w:color w:val="0000FF"/>
          <w:u w:val="single"/>
        </w:rPr>
        <w:fldChar w:fldCharType="begin"/>
      </w:r>
      <w:r>
        <w:rPr>
          <w:color w:val="0000FF"/>
          <w:u w:val="single"/>
        </w:rPr>
        <w:instrText xml:space="preserve"> REF _Ref4520504 \r \h </w:instrText>
      </w:r>
      <w:r>
        <w:rPr>
          <w:color w:val="0000FF"/>
          <w:u w:val="single"/>
        </w:rPr>
        <w:fldChar w:fldCharType="separate"/>
      </w:r>
      <w:r>
        <w:rPr>
          <w:rFonts w:hint="eastAsia"/>
          <w:color w:val="0000FF"/>
          <w:u w:val="single"/>
        </w:rPr>
        <w:t>图14-13</w:t>
      </w:r>
      <w:r>
        <w:rPr>
          <w:color w:val="0000FF"/>
          <w:u w:val="single"/>
        </w:rPr>
        <w:fldChar w:fldCharType="end"/>
      </w:r>
      <w:r>
        <w:rPr>
          <w:rFonts w:hint="eastAsia"/>
        </w:rPr>
        <w:t>所示。勾选要清除匹配计数的控制策略，单击</w:t>
      </w:r>
      <w:r>
        <w:t>&lt;</w:t>
      </w:r>
      <w:r>
        <w:rPr>
          <w:rFonts w:hint="eastAsia"/>
        </w:rPr>
        <w:t>匹配次数清零</w:t>
      </w:r>
      <w:r>
        <w:t>&gt;</w:t>
      </w:r>
      <w:r>
        <w:rPr>
          <w:rFonts w:hint="eastAsia"/>
        </w:rPr>
        <w:t>按钮可以清除该Pv</w:t>
      </w:r>
      <w:r>
        <w:t>4</w:t>
      </w:r>
      <w:r>
        <w:rPr>
          <w:rFonts w:hint="eastAsia"/>
        </w:rPr>
        <w:t>控制策略的匹配计数。</w:t>
      </w:r>
    </w:p>
    <w:p w14:paraId="7B8AF025">
      <w:pPr>
        <w:pStyle w:val="188"/>
      </w:pPr>
      <w:bookmarkStart w:id="4162" w:name="_Ref4520504"/>
      <w:bookmarkStart w:id="4163" w:name="_Toc141875026"/>
      <w:r>
        <w:rPr>
          <w:rFonts w:hint="eastAsia"/>
        </w:rPr>
        <w:t>清除控制策略匹配计数</w:t>
      </w:r>
      <w:bookmarkEnd w:id="4162"/>
      <w:bookmarkEnd w:id="4163"/>
    </w:p>
    <w:p w14:paraId="1C2BBAE6">
      <w:r>
        <w:drawing>
          <wp:inline distT="0" distB="0" distL="0" distR="0">
            <wp:extent cx="5400040" cy="683260"/>
            <wp:effectExtent l="0" t="0" r="0" b="2540"/>
            <wp:docPr id="3807" name="图片 3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7" name="图片 3807"/>
                    <pic:cNvPicPr>
                      <a:picLocks noChangeAspect="1"/>
                    </pic:cNvPicPr>
                  </pic:nvPicPr>
                  <pic:blipFill>
                    <a:blip r:embed="rId576"/>
                    <a:stretch>
                      <a:fillRect/>
                    </a:stretch>
                  </pic:blipFill>
                  <pic:spPr>
                    <a:xfrm>
                      <a:off x="0" y="0"/>
                      <a:ext cx="5400040" cy="683549"/>
                    </a:xfrm>
                    <a:prstGeom prst="rect">
                      <a:avLst/>
                    </a:prstGeom>
                  </pic:spPr>
                </pic:pic>
              </a:graphicData>
            </a:graphic>
          </wp:inline>
        </w:drawing>
      </w:r>
    </w:p>
    <w:p w14:paraId="54ADBBFB"/>
    <w:p w14:paraId="28116F64">
      <w:pPr>
        <w:pStyle w:val="5"/>
      </w:pPr>
      <w:bookmarkStart w:id="4164" w:name="_Toc141873633"/>
      <w:bookmarkStart w:id="4165" w:name="_Toc142401150"/>
      <w:bookmarkStart w:id="4166" w:name="_Toc194080898"/>
      <w:bookmarkStart w:id="4167" w:name="_Toc196728230"/>
      <w:bookmarkStart w:id="4168" w:name="_Toc172218412"/>
      <w:bookmarkStart w:id="4169" w:name="_Toc6235059"/>
      <w:bookmarkStart w:id="4170" w:name="_Toc15484927"/>
      <w:bookmarkStart w:id="4171" w:name="_Toc23152691"/>
      <w:bookmarkStart w:id="4172" w:name="_Toc40276124"/>
      <w:bookmarkStart w:id="4173" w:name="_Toc99561764"/>
      <w:r>
        <w:rPr>
          <w:rFonts w:hint="eastAsia"/>
        </w:rPr>
        <w:t>控制策略默认规则</w:t>
      </w:r>
      <w:bookmarkEnd w:id="4164"/>
      <w:bookmarkEnd w:id="4165"/>
      <w:bookmarkEnd w:id="4166"/>
      <w:bookmarkEnd w:id="4167"/>
      <w:bookmarkEnd w:id="4168"/>
      <w:bookmarkEnd w:id="4169"/>
      <w:bookmarkEnd w:id="4170"/>
      <w:bookmarkEnd w:id="4171"/>
      <w:bookmarkEnd w:id="4172"/>
      <w:bookmarkEnd w:id="4173"/>
    </w:p>
    <w:p w14:paraId="3FEB15B0">
      <w:r>
        <w:rPr>
          <w:rFonts w:hint="eastAsia"/>
        </w:rPr>
        <w:t>在导航栏中选择“策略配置&gt;控制策略”，进入控制策略显示页面，如</w:t>
      </w:r>
      <w:r>
        <w:rPr>
          <w:color w:val="0000FF"/>
          <w:u w:val="single"/>
        </w:rPr>
        <w:fldChar w:fldCharType="begin"/>
      </w:r>
      <w:r>
        <w:rPr>
          <w:color w:val="0000FF"/>
          <w:u w:val="single"/>
        </w:rPr>
        <w:instrText xml:space="preserve"> REF _Ref4520517 \r \h </w:instrText>
      </w:r>
      <w:r>
        <w:rPr>
          <w:color w:val="0000FF"/>
          <w:u w:val="single"/>
        </w:rPr>
        <w:fldChar w:fldCharType="separate"/>
      </w:r>
      <w:r>
        <w:rPr>
          <w:rFonts w:hint="eastAsia"/>
          <w:color w:val="0000FF"/>
          <w:u w:val="single"/>
        </w:rPr>
        <w:t>图14-14</w:t>
      </w:r>
      <w:r>
        <w:rPr>
          <w:color w:val="0000FF"/>
          <w:u w:val="single"/>
        </w:rPr>
        <w:fldChar w:fldCharType="end"/>
      </w:r>
      <w:r>
        <w:rPr>
          <w:rFonts w:hint="eastAsia"/>
        </w:rPr>
        <w:t>所示。勾选允许或拒绝单选框，可以修改默认控制策略行为。</w:t>
      </w:r>
    </w:p>
    <w:p w14:paraId="38ABC9EB">
      <w:pPr>
        <w:pStyle w:val="188"/>
      </w:pPr>
      <w:bookmarkStart w:id="4174" w:name="_Toc141875027"/>
      <w:bookmarkStart w:id="4175" w:name="_Ref4520517"/>
      <w:r>
        <w:rPr>
          <w:rFonts w:hint="eastAsia"/>
        </w:rPr>
        <w:t>默认规则</w:t>
      </w:r>
      <w:bookmarkEnd w:id="4174"/>
      <w:bookmarkEnd w:id="4175"/>
    </w:p>
    <w:p w14:paraId="316E1310">
      <w:r>
        <w:drawing>
          <wp:inline distT="0" distB="0" distL="0" distR="0">
            <wp:extent cx="5400040" cy="683260"/>
            <wp:effectExtent l="0" t="0" r="0" b="2540"/>
            <wp:docPr id="3809" name="图片 3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9" name="图片 3809"/>
                    <pic:cNvPicPr>
                      <a:picLocks noChangeAspect="1"/>
                    </pic:cNvPicPr>
                  </pic:nvPicPr>
                  <pic:blipFill>
                    <a:blip r:embed="rId577"/>
                    <a:stretch>
                      <a:fillRect/>
                    </a:stretch>
                  </pic:blipFill>
                  <pic:spPr>
                    <a:xfrm>
                      <a:off x="0" y="0"/>
                      <a:ext cx="5400040" cy="683549"/>
                    </a:xfrm>
                    <a:prstGeom prst="rect">
                      <a:avLst/>
                    </a:prstGeom>
                  </pic:spPr>
                </pic:pic>
              </a:graphicData>
            </a:graphic>
          </wp:inline>
        </w:drawing>
      </w:r>
    </w:p>
    <w:p w14:paraId="66DE2CB8"/>
    <w:p w14:paraId="74667BDD">
      <w:pPr>
        <w:pStyle w:val="5"/>
      </w:pPr>
      <w:bookmarkStart w:id="4176" w:name="_Toc196728231"/>
      <w:bookmarkStart w:id="4177" w:name="_Toc6235060"/>
      <w:bookmarkStart w:id="4178" w:name="_Toc15484928"/>
      <w:bookmarkStart w:id="4179" w:name="_Toc23152692"/>
      <w:bookmarkStart w:id="4180" w:name="_Toc40276125"/>
      <w:bookmarkStart w:id="4181" w:name="_Toc99561765"/>
      <w:bookmarkStart w:id="4182" w:name="_Toc141873634"/>
      <w:bookmarkStart w:id="4183" w:name="_Toc142401151"/>
      <w:bookmarkStart w:id="4184" w:name="_Toc194080899"/>
      <w:bookmarkStart w:id="4185" w:name="_Toc172218413"/>
      <w:r>
        <w:rPr>
          <w:rFonts w:hint="eastAsia"/>
        </w:rPr>
        <w:t>控制策略查询</w:t>
      </w:r>
      <w:bookmarkEnd w:id="4149"/>
      <w:bookmarkEnd w:id="4176"/>
      <w:bookmarkEnd w:id="4177"/>
      <w:bookmarkEnd w:id="4178"/>
      <w:bookmarkEnd w:id="4179"/>
      <w:bookmarkEnd w:id="4180"/>
      <w:bookmarkEnd w:id="4181"/>
      <w:bookmarkEnd w:id="4182"/>
      <w:bookmarkEnd w:id="4183"/>
      <w:bookmarkEnd w:id="4184"/>
      <w:bookmarkEnd w:id="4185"/>
    </w:p>
    <w:p w14:paraId="1AAAB224">
      <w:r>
        <w:rPr>
          <w:rFonts w:hint="eastAsia"/>
        </w:rPr>
        <w:t>在导航栏中选择“策略配置&gt;控制策略”，进入控制策略显示页面，如</w:t>
      </w:r>
      <w:r>
        <w:rPr>
          <w:color w:val="0000FF"/>
          <w:u w:val="single"/>
        </w:rPr>
        <w:fldChar w:fldCharType="begin"/>
      </w:r>
      <w:r>
        <w:rPr>
          <w:color w:val="0000FF"/>
          <w:u w:val="single"/>
        </w:rPr>
        <w:instrText xml:space="preserve"> REF _Ref4520562 \r \h </w:instrText>
      </w:r>
      <w:r>
        <w:rPr>
          <w:color w:val="0000FF"/>
          <w:u w:val="single"/>
        </w:rPr>
        <w:fldChar w:fldCharType="separate"/>
      </w:r>
      <w:r>
        <w:rPr>
          <w:rFonts w:hint="eastAsia"/>
          <w:color w:val="0000FF"/>
          <w:u w:val="single"/>
        </w:rPr>
        <w:t>图14-15</w:t>
      </w:r>
      <w:r>
        <w:rPr>
          <w:color w:val="0000FF"/>
          <w:u w:val="single"/>
        </w:rPr>
        <w:fldChar w:fldCharType="end"/>
      </w:r>
      <w:r>
        <w:rPr>
          <w:rFonts w:hint="eastAsia"/>
        </w:rPr>
        <w:t>所示。单击查询，填写过滤条件可以查询出符合该过滤条件的控制策略。</w:t>
      </w:r>
    </w:p>
    <w:p w14:paraId="2180D570">
      <w:pPr>
        <w:pStyle w:val="188"/>
      </w:pPr>
      <w:bookmarkStart w:id="4186" w:name="_Ref4520562"/>
      <w:bookmarkStart w:id="4187" w:name="_Toc141875028"/>
      <w:r>
        <w:rPr>
          <w:rFonts w:hint="eastAsia"/>
        </w:rPr>
        <w:t>控制策略查询</w:t>
      </w:r>
      <w:bookmarkEnd w:id="4186"/>
      <w:bookmarkEnd w:id="4187"/>
    </w:p>
    <w:p w14:paraId="6688F2AA">
      <w:r>
        <w:drawing>
          <wp:inline distT="0" distB="0" distL="0" distR="0">
            <wp:extent cx="5561330" cy="3216275"/>
            <wp:effectExtent l="0" t="0" r="1270" b="3175"/>
            <wp:docPr id="2830" name="图片 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0" name="图片 2830"/>
                    <pic:cNvPicPr>
                      <a:picLocks noChangeAspect="1"/>
                    </pic:cNvPicPr>
                  </pic:nvPicPr>
                  <pic:blipFill>
                    <a:blip r:embed="rId578"/>
                    <a:stretch>
                      <a:fillRect/>
                    </a:stretch>
                  </pic:blipFill>
                  <pic:spPr>
                    <a:xfrm>
                      <a:off x="0" y="0"/>
                      <a:ext cx="5572199" cy="3222846"/>
                    </a:xfrm>
                    <a:prstGeom prst="rect">
                      <a:avLst/>
                    </a:prstGeom>
                  </pic:spPr>
                </pic:pic>
              </a:graphicData>
            </a:graphic>
          </wp:inline>
        </w:drawing>
      </w:r>
    </w:p>
    <w:p w14:paraId="2ED260D1"/>
    <w:p w14:paraId="57D8EB78">
      <w:r>
        <w:rPr>
          <w:rFonts w:hint="eastAsia"/>
        </w:rPr>
        <w:t>控制策略查询配置详细说明，如</w:t>
      </w:r>
      <w:r>
        <w:fldChar w:fldCharType="begin"/>
      </w:r>
      <w:r>
        <w:instrText xml:space="preserve"> </w:instrText>
      </w:r>
      <w:r>
        <w:rPr>
          <w:rFonts w:hint="eastAsia"/>
        </w:rPr>
        <w:instrText xml:space="preserve">REF _Ref4520585 \r \h</w:instrText>
      </w:r>
      <w:r>
        <w:instrText xml:space="preserve"> </w:instrText>
      </w:r>
      <w:r>
        <w:fldChar w:fldCharType="separate"/>
      </w:r>
      <w:r>
        <w:rPr>
          <w:rFonts w:hint="eastAsia"/>
        </w:rPr>
        <w:t>表14-1</w:t>
      </w:r>
      <w:r>
        <w:fldChar w:fldCharType="end"/>
      </w:r>
      <w:r>
        <w:rPr>
          <w:rFonts w:hint="eastAsia"/>
        </w:rPr>
        <w:t>所示。</w:t>
      </w:r>
    </w:p>
    <w:p w14:paraId="37CE479E">
      <w:pPr>
        <w:pStyle w:val="183"/>
      </w:pPr>
      <w:bookmarkStart w:id="4188" w:name="_Ref4520585"/>
      <w:bookmarkStart w:id="4189" w:name="_Toc141875655"/>
      <w:r>
        <w:rPr>
          <w:rFonts w:hint="eastAsia"/>
        </w:rPr>
        <w:t>控制策略查询详细配置</w:t>
      </w:r>
      <w:bookmarkEnd w:id="4188"/>
      <w:bookmarkEnd w:id="4189"/>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781"/>
        <w:gridCol w:w="7187"/>
      </w:tblGrid>
      <w:tr w14:paraId="3DF82DC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tcBorders>
              <w:tl2br w:val="nil"/>
              <w:tr2bl w:val="nil"/>
            </w:tcBorders>
            <w:shd w:val="clear" w:color="auto" w:fill="538135" w:themeFill="accent6" w:themeFillShade="BF"/>
            <w:vAlign w:val="center"/>
          </w:tcPr>
          <w:p w14:paraId="7F9E36E3">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187" w:type="dxa"/>
            <w:tcBorders>
              <w:tl2br w:val="nil"/>
              <w:tr2bl w:val="nil"/>
            </w:tcBorders>
            <w:shd w:val="clear" w:color="auto" w:fill="538135" w:themeFill="accent6" w:themeFillShade="BF"/>
            <w:vAlign w:val="center"/>
          </w:tcPr>
          <w:p w14:paraId="73AC8F08">
            <w:pPr>
              <w:pStyle w:val="186"/>
              <w:widowControl w:val="0"/>
              <w:wordWrap/>
              <w:spacing w:line="240" w:lineRule="auto"/>
              <w:ind w:firstLine="0"/>
              <w:jc w:val="center"/>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18E38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750004B9">
            <w:pPr>
              <w:pStyle w:val="186"/>
              <w:widowControl w:val="0"/>
              <w:spacing w:line="240" w:lineRule="auto"/>
              <w:ind w:firstLine="0"/>
              <w:jc w:val="left"/>
            </w:pPr>
            <w:r>
              <w:rPr>
                <w:rFonts w:hint="eastAsia"/>
              </w:rPr>
              <w:t>ID</w:t>
            </w:r>
          </w:p>
        </w:tc>
        <w:tc>
          <w:tcPr>
            <w:tcW w:w="7187" w:type="dxa"/>
            <w:shd w:val="clear" w:color="auto" w:fill="auto"/>
          </w:tcPr>
          <w:p w14:paraId="1CC23594">
            <w:pPr>
              <w:pStyle w:val="186"/>
              <w:widowControl w:val="0"/>
              <w:spacing w:line="240" w:lineRule="auto"/>
              <w:ind w:firstLine="0"/>
              <w:jc w:val="left"/>
            </w:pPr>
            <w:r>
              <w:rPr>
                <w:rFonts w:hint="eastAsia"/>
              </w:rPr>
              <w:t>被查询的策略索引。</w:t>
            </w:r>
          </w:p>
        </w:tc>
      </w:tr>
      <w:tr w14:paraId="473C53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2822CF66">
            <w:pPr>
              <w:pStyle w:val="186"/>
              <w:widowControl w:val="0"/>
              <w:spacing w:line="240" w:lineRule="auto"/>
              <w:ind w:firstLine="0"/>
              <w:jc w:val="left"/>
            </w:pPr>
            <w:r>
              <w:rPr>
                <w:rFonts w:hint="eastAsia"/>
              </w:rPr>
              <w:t>源接口/域</w:t>
            </w:r>
          </w:p>
        </w:tc>
        <w:tc>
          <w:tcPr>
            <w:tcW w:w="7187" w:type="dxa"/>
            <w:shd w:val="clear" w:color="auto" w:fill="auto"/>
          </w:tcPr>
          <w:p w14:paraId="5A7B4CC0">
            <w:pPr>
              <w:pStyle w:val="186"/>
              <w:widowControl w:val="0"/>
              <w:spacing w:line="240" w:lineRule="auto"/>
              <w:ind w:firstLine="0"/>
              <w:jc w:val="left"/>
            </w:pPr>
            <w:r>
              <w:rPr>
                <w:rFonts w:hint="eastAsia"/>
              </w:rPr>
              <w:t>策略所</w:t>
            </w:r>
            <w:r>
              <w:t>选择</w:t>
            </w:r>
            <w:r>
              <w:rPr>
                <w:rFonts w:hint="eastAsia"/>
              </w:rPr>
              <w:t>的源</w:t>
            </w:r>
            <w:r>
              <w:t>接口。</w:t>
            </w:r>
          </w:p>
        </w:tc>
      </w:tr>
      <w:tr w14:paraId="1D0DEEC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70619803">
            <w:pPr>
              <w:pStyle w:val="186"/>
              <w:widowControl w:val="0"/>
              <w:spacing w:line="240" w:lineRule="auto"/>
              <w:ind w:firstLine="0"/>
              <w:jc w:val="left"/>
            </w:pPr>
            <w:r>
              <w:rPr>
                <w:rFonts w:hint="eastAsia"/>
              </w:rPr>
              <w:t>源地址</w:t>
            </w:r>
          </w:p>
        </w:tc>
        <w:tc>
          <w:tcPr>
            <w:tcW w:w="7187" w:type="dxa"/>
            <w:shd w:val="clear" w:color="auto" w:fill="auto"/>
          </w:tcPr>
          <w:p w14:paraId="6B119855">
            <w:pPr>
              <w:pStyle w:val="186"/>
              <w:widowControl w:val="0"/>
              <w:spacing w:line="240" w:lineRule="auto"/>
              <w:ind w:firstLine="0"/>
              <w:jc w:val="left"/>
            </w:pPr>
            <w:r>
              <w:rPr>
                <w:rFonts w:hint="eastAsia"/>
              </w:rPr>
              <w:t>策略所</w:t>
            </w:r>
            <w:r>
              <w:t>配置包含该地址的地址对象</w:t>
            </w:r>
            <w:r>
              <w:rPr>
                <w:rFonts w:hint="eastAsia"/>
              </w:rPr>
              <w:t>（可基于</w:t>
            </w:r>
            <w:r>
              <w:t>地址对象</w:t>
            </w:r>
            <w:r>
              <w:rPr>
                <w:rFonts w:hint="eastAsia"/>
              </w:rPr>
              <w:t>、I</w:t>
            </w:r>
            <w:r>
              <w:t>P地址</w:t>
            </w:r>
            <w:r>
              <w:rPr>
                <w:rFonts w:hint="eastAsia"/>
              </w:rPr>
              <w:t>和域名查询</w:t>
            </w:r>
            <w:r>
              <w:t>）。</w:t>
            </w:r>
          </w:p>
        </w:tc>
      </w:tr>
      <w:tr w14:paraId="247685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3A8E833D">
            <w:pPr>
              <w:pStyle w:val="186"/>
              <w:widowControl w:val="0"/>
              <w:spacing w:line="240" w:lineRule="auto"/>
              <w:ind w:firstLine="0"/>
              <w:jc w:val="left"/>
            </w:pPr>
            <w:r>
              <w:rPr>
                <w:rFonts w:hint="eastAsia"/>
              </w:rPr>
              <w:t>用户</w:t>
            </w:r>
          </w:p>
        </w:tc>
        <w:tc>
          <w:tcPr>
            <w:tcW w:w="7187" w:type="dxa"/>
            <w:shd w:val="clear" w:color="auto" w:fill="auto"/>
          </w:tcPr>
          <w:p w14:paraId="084D9C6C">
            <w:pPr>
              <w:pStyle w:val="186"/>
              <w:widowControl w:val="0"/>
              <w:spacing w:line="240" w:lineRule="auto"/>
              <w:ind w:firstLine="0"/>
              <w:jc w:val="left"/>
            </w:pPr>
            <w:r>
              <w:rPr>
                <w:rFonts w:hint="eastAsia"/>
              </w:rPr>
              <w:t>策略</w:t>
            </w:r>
            <w:r>
              <w:t>所选择的用户。</w:t>
            </w:r>
          </w:p>
        </w:tc>
      </w:tr>
      <w:tr w14:paraId="4ED13D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71FA7D0C">
            <w:pPr>
              <w:pStyle w:val="186"/>
              <w:widowControl w:val="0"/>
              <w:spacing w:line="240" w:lineRule="auto"/>
              <w:ind w:firstLine="0"/>
              <w:jc w:val="left"/>
            </w:pPr>
            <w:r>
              <w:rPr>
                <w:rFonts w:hint="eastAsia"/>
              </w:rPr>
              <w:t>目的接口/域</w:t>
            </w:r>
          </w:p>
        </w:tc>
        <w:tc>
          <w:tcPr>
            <w:tcW w:w="7187" w:type="dxa"/>
            <w:shd w:val="clear" w:color="auto" w:fill="auto"/>
          </w:tcPr>
          <w:p w14:paraId="319C28AD">
            <w:pPr>
              <w:pStyle w:val="186"/>
              <w:widowControl w:val="0"/>
              <w:spacing w:line="240" w:lineRule="auto"/>
              <w:ind w:firstLine="0"/>
              <w:jc w:val="left"/>
            </w:pPr>
            <w:r>
              <w:rPr>
                <w:rFonts w:hint="eastAsia"/>
              </w:rPr>
              <w:t>策略所</w:t>
            </w:r>
            <w:r>
              <w:t>选择</w:t>
            </w:r>
            <w:r>
              <w:rPr>
                <w:rFonts w:hint="eastAsia"/>
              </w:rPr>
              <w:t>的目的</w:t>
            </w:r>
            <w:r>
              <w:t>接口。</w:t>
            </w:r>
          </w:p>
        </w:tc>
      </w:tr>
      <w:tr w14:paraId="03A4960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4C29A59D">
            <w:pPr>
              <w:pStyle w:val="186"/>
              <w:widowControl w:val="0"/>
              <w:spacing w:line="240" w:lineRule="auto"/>
              <w:ind w:firstLine="0"/>
              <w:jc w:val="left"/>
            </w:pPr>
            <w:r>
              <w:rPr>
                <w:rFonts w:hint="eastAsia"/>
              </w:rPr>
              <w:t>目的</w:t>
            </w:r>
            <w:r>
              <w:t>地址</w:t>
            </w:r>
          </w:p>
        </w:tc>
        <w:tc>
          <w:tcPr>
            <w:tcW w:w="7187" w:type="dxa"/>
            <w:shd w:val="clear" w:color="auto" w:fill="auto"/>
          </w:tcPr>
          <w:p w14:paraId="74C34E6D">
            <w:pPr>
              <w:pStyle w:val="186"/>
              <w:widowControl w:val="0"/>
              <w:spacing w:line="240" w:lineRule="auto"/>
              <w:ind w:firstLine="0"/>
              <w:jc w:val="left"/>
            </w:pPr>
            <w:r>
              <w:rPr>
                <w:rFonts w:hint="eastAsia"/>
              </w:rPr>
              <w:t>策略所</w:t>
            </w:r>
            <w:r>
              <w:t>配置包含该地址的地址对象</w:t>
            </w:r>
            <w:r>
              <w:rPr>
                <w:rFonts w:hint="eastAsia"/>
              </w:rPr>
              <w:t>（可基于</w:t>
            </w:r>
            <w:r>
              <w:t>地址对象</w:t>
            </w:r>
            <w:r>
              <w:rPr>
                <w:rFonts w:hint="eastAsia"/>
              </w:rPr>
              <w:t>、I</w:t>
            </w:r>
            <w:r>
              <w:t>P地址搜寻</w:t>
            </w:r>
            <w:r>
              <w:rPr>
                <w:rFonts w:hint="eastAsia"/>
              </w:rPr>
              <w:t>和域名查询</w:t>
            </w:r>
            <w:r>
              <w:t>）。</w:t>
            </w:r>
          </w:p>
        </w:tc>
      </w:tr>
      <w:tr w14:paraId="04D493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5C1B2EC7">
            <w:pPr>
              <w:pStyle w:val="186"/>
              <w:widowControl w:val="0"/>
              <w:spacing w:line="240" w:lineRule="auto"/>
              <w:ind w:firstLine="0"/>
              <w:jc w:val="left"/>
            </w:pPr>
            <w:r>
              <w:rPr>
                <w:rFonts w:hint="eastAsia"/>
              </w:rPr>
              <w:t>服务</w:t>
            </w:r>
          </w:p>
        </w:tc>
        <w:tc>
          <w:tcPr>
            <w:tcW w:w="7187" w:type="dxa"/>
            <w:shd w:val="clear" w:color="auto" w:fill="auto"/>
          </w:tcPr>
          <w:p w14:paraId="19DE6BA7">
            <w:pPr>
              <w:pStyle w:val="186"/>
              <w:widowControl w:val="0"/>
              <w:spacing w:line="240" w:lineRule="auto"/>
              <w:ind w:firstLine="0"/>
              <w:jc w:val="left"/>
            </w:pPr>
            <w:r>
              <w:rPr>
                <w:rFonts w:hint="eastAsia"/>
              </w:rPr>
              <w:t>策略</w:t>
            </w:r>
            <w:r>
              <w:t>所选择的</w:t>
            </w:r>
            <w:r>
              <w:rPr>
                <w:rFonts w:hint="eastAsia"/>
              </w:rPr>
              <w:t>服务。</w:t>
            </w:r>
          </w:p>
        </w:tc>
      </w:tr>
      <w:tr w14:paraId="0768F2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6A2F3BAE">
            <w:pPr>
              <w:pStyle w:val="186"/>
              <w:widowControl w:val="0"/>
              <w:spacing w:line="240" w:lineRule="auto"/>
              <w:ind w:firstLine="0"/>
              <w:jc w:val="left"/>
            </w:pPr>
            <w:r>
              <w:rPr>
                <w:rFonts w:hint="eastAsia"/>
              </w:rPr>
              <w:t>描述</w:t>
            </w:r>
          </w:p>
        </w:tc>
        <w:tc>
          <w:tcPr>
            <w:tcW w:w="7187" w:type="dxa"/>
            <w:shd w:val="clear" w:color="auto" w:fill="auto"/>
          </w:tcPr>
          <w:p w14:paraId="31118004">
            <w:pPr>
              <w:pStyle w:val="186"/>
              <w:widowControl w:val="0"/>
              <w:spacing w:line="240" w:lineRule="auto"/>
              <w:ind w:firstLine="0"/>
              <w:jc w:val="left"/>
            </w:pPr>
            <w:r>
              <w:rPr>
                <w:rFonts w:hint="eastAsia"/>
              </w:rPr>
              <w:t>策略</w:t>
            </w:r>
            <w:r>
              <w:t>所</w:t>
            </w:r>
            <w:r>
              <w:rPr>
                <w:rFonts w:hint="eastAsia"/>
              </w:rPr>
              <w:t>对应的</w:t>
            </w:r>
            <w:r>
              <w:t>描述信息。</w:t>
            </w:r>
          </w:p>
        </w:tc>
      </w:tr>
    </w:tbl>
    <w:p w14:paraId="6024F799">
      <w:bookmarkStart w:id="4190" w:name="_Toc508014301"/>
      <w:bookmarkEnd w:id="4190"/>
    </w:p>
    <w:p w14:paraId="053B9130">
      <w:pPr>
        <w:pStyle w:val="5"/>
      </w:pPr>
      <w:bookmarkStart w:id="4191" w:name="_Toc194080900"/>
      <w:bookmarkStart w:id="4192" w:name="_Toc40276126"/>
      <w:bookmarkStart w:id="4193" w:name="_Toc99561766"/>
      <w:bookmarkStart w:id="4194" w:name="_Toc23152693"/>
      <w:bookmarkStart w:id="4195" w:name="_Toc141873635"/>
      <w:bookmarkStart w:id="4196" w:name="_Toc172218414"/>
      <w:bookmarkStart w:id="4197" w:name="_Toc196728232"/>
      <w:bookmarkStart w:id="4198" w:name="_Toc15484929"/>
      <w:bookmarkStart w:id="4199" w:name="_Toc142401152"/>
      <w:bookmarkStart w:id="4200" w:name="_Toc6235062"/>
      <w:r>
        <w:rPr>
          <w:rFonts w:hint="eastAsia"/>
        </w:rPr>
        <w:t>策略分组</w:t>
      </w:r>
      <w:bookmarkEnd w:id="4191"/>
      <w:bookmarkEnd w:id="4192"/>
      <w:bookmarkEnd w:id="4193"/>
      <w:bookmarkEnd w:id="4194"/>
      <w:bookmarkEnd w:id="4195"/>
      <w:bookmarkEnd w:id="4196"/>
      <w:bookmarkEnd w:id="4197"/>
      <w:bookmarkEnd w:id="4198"/>
      <w:bookmarkEnd w:id="4199"/>
    </w:p>
    <w:p w14:paraId="593D816E">
      <w:r>
        <w:rPr>
          <w:rFonts w:hint="eastAsia"/>
        </w:rPr>
        <w:t>在导航栏中选择“策略配置&gt;控制策略”，进入控制策略显示页面，如</w:t>
      </w:r>
      <w:r>
        <w:rPr>
          <w:color w:val="0000FF"/>
          <w:u w:val="single"/>
        </w:rPr>
        <w:fldChar w:fldCharType="begin"/>
      </w:r>
      <w:r>
        <w:instrText xml:space="preserve"> </w:instrText>
      </w:r>
      <w:r>
        <w:rPr>
          <w:rFonts w:hint="eastAsia"/>
        </w:rPr>
        <w:instrText xml:space="preserve">REF _Ref15397415 \r \h</w:instrText>
      </w:r>
      <w:r>
        <w:instrText xml:space="preserve"> </w:instrText>
      </w:r>
      <w:r>
        <w:rPr>
          <w:color w:val="0000FF"/>
          <w:u w:val="single"/>
        </w:rPr>
        <w:fldChar w:fldCharType="separate"/>
      </w:r>
      <w:r>
        <w:rPr>
          <w:rFonts w:hint="eastAsia"/>
        </w:rPr>
        <w:t>图14-16</w:t>
      </w:r>
      <w:r>
        <w:rPr>
          <w:color w:val="0000FF"/>
          <w:u w:val="single"/>
        </w:rPr>
        <w:fldChar w:fldCharType="end"/>
      </w:r>
      <w:r>
        <w:rPr>
          <w:rFonts w:hint="eastAsia"/>
        </w:rPr>
        <w:t xml:space="preserve">所示。移动到左边，点击 </w:t>
      </w:r>
      <w:r>
        <w:drawing>
          <wp:inline distT="0" distB="0" distL="0" distR="0">
            <wp:extent cx="130175" cy="130175"/>
            <wp:effectExtent l="0" t="0" r="3175" b="3175"/>
            <wp:docPr id="2831" name="图片 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1" name="图片 2831"/>
                    <pic:cNvPicPr>
                      <a:picLocks noChangeAspect="1"/>
                    </pic:cNvPicPr>
                  </pic:nvPicPr>
                  <pic:blipFill>
                    <a:blip r:embed="rId579"/>
                    <a:stretch>
                      <a:fillRect/>
                    </a:stretch>
                  </pic:blipFill>
                  <pic:spPr>
                    <a:xfrm>
                      <a:off x="0" y="0"/>
                      <a:ext cx="139571" cy="139571"/>
                    </a:xfrm>
                    <a:prstGeom prst="rect">
                      <a:avLst/>
                    </a:prstGeom>
                  </pic:spPr>
                </pic:pic>
              </a:graphicData>
            </a:graphic>
          </wp:inline>
        </w:drawing>
      </w:r>
      <w:r>
        <w:rPr>
          <w:rFonts w:hint="eastAsia"/>
        </w:rPr>
        <w:t>，会弹出策略分组管理页面。</w:t>
      </w:r>
    </w:p>
    <w:p w14:paraId="279B2C22">
      <w:pPr>
        <w:pStyle w:val="188"/>
      </w:pPr>
      <w:bookmarkStart w:id="4201" w:name="_Toc141875029"/>
      <w:bookmarkStart w:id="4202" w:name="_Ref15397415"/>
      <w:r>
        <w:rPr>
          <w:rFonts w:hint="eastAsia"/>
        </w:rPr>
        <w:t>策略分组页面</w:t>
      </w:r>
      <w:bookmarkEnd w:id="4201"/>
      <w:bookmarkEnd w:id="4202"/>
    </w:p>
    <w:p w14:paraId="06F8DFA9">
      <w:r>
        <w:drawing>
          <wp:inline distT="0" distB="0" distL="0" distR="0">
            <wp:extent cx="5400040" cy="828040"/>
            <wp:effectExtent l="0" t="0" r="0" b="0"/>
            <wp:docPr id="3810" name="图片 3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0" name="图片 3810"/>
                    <pic:cNvPicPr>
                      <a:picLocks noChangeAspect="1"/>
                    </pic:cNvPicPr>
                  </pic:nvPicPr>
                  <pic:blipFill>
                    <a:blip r:embed="rId580"/>
                    <a:stretch>
                      <a:fillRect/>
                    </a:stretch>
                  </pic:blipFill>
                  <pic:spPr>
                    <a:xfrm>
                      <a:off x="0" y="0"/>
                      <a:ext cx="5400040" cy="828664"/>
                    </a:xfrm>
                    <a:prstGeom prst="rect">
                      <a:avLst/>
                    </a:prstGeom>
                  </pic:spPr>
                </pic:pic>
              </a:graphicData>
            </a:graphic>
          </wp:inline>
        </w:drawing>
      </w:r>
    </w:p>
    <w:p w14:paraId="14A8F891"/>
    <w:p w14:paraId="31547F8F">
      <w:r>
        <w:rPr>
          <w:rFonts w:hint="eastAsia"/>
        </w:rPr>
        <w:t>策略分组详细说明，如</w:t>
      </w:r>
      <w:r>
        <w:fldChar w:fldCharType="begin"/>
      </w:r>
      <w:r>
        <w:instrText xml:space="preserve"> </w:instrText>
      </w:r>
      <w:r>
        <w:rPr>
          <w:rFonts w:hint="eastAsia"/>
        </w:rPr>
        <w:instrText xml:space="preserve">REF _Ref15397422 \r \h</w:instrText>
      </w:r>
      <w:r>
        <w:instrText xml:space="preserve"> </w:instrText>
      </w:r>
      <w:r>
        <w:fldChar w:fldCharType="separate"/>
      </w:r>
      <w:r>
        <w:rPr>
          <w:rFonts w:hint="eastAsia"/>
        </w:rPr>
        <w:t>表14-1</w:t>
      </w:r>
      <w:r>
        <w:fldChar w:fldCharType="end"/>
      </w:r>
      <w:r>
        <w:rPr>
          <w:rFonts w:hint="eastAsia"/>
        </w:rPr>
        <w:t>所示。</w:t>
      </w:r>
    </w:p>
    <w:p w14:paraId="11AE6339">
      <w:pPr>
        <w:pStyle w:val="183"/>
      </w:pPr>
      <w:bookmarkStart w:id="4203" w:name="_Toc141875656"/>
      <w:bookmarkStart w:id="4204" w:name="_Ref15397422"/>
      <w:r>
        <w:rPr>
          <w:rFonts w:hint="eastAsia"/>
        </w:rPr>
        <w:t>策略分组详细配置</w:t>
      </w:r>
      <w:bookmarkEnd w:id="4203"/>
      <w:bookmarkEnd w:id="4204"/>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781"/>
        <w:gridCol w:w="7187"/>
      </w:tblGrid>
      <w:tr w14:paraId="21657D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tcBorders>
              <w:tl2br w:val="nil"/>
              <w:tr2bl w:val="nil"/>
            </w:tcBorders>
            <w:shd w:val="clear" w:color="auto" w:fill="538135" w:themeFill="accent6" w:themeFillShade="BF"/>
            <w:vAlign w:val="center"/>
          </w:tcPr>
          <w:p w14:paraId="6A21461D">
            <w:pPr>
              <w:pStyle w:val="149"/>
              <w:wordWrap/>
              <w:rPr>
                <w:b/>
                <w:bCs/>
                <w:i w:val="0"/>
                <w:iCs w:val="0"/>
              </w:rPr>
            </w:pPr>
            <w:r>
              <w:rPr>
                <w:rFonts w:hint="eastAsia"/>
                <w:b/>
                <w:bCs/>
                <w:i w:val="0"/>
                <w:iCs w:val="0"/>
              </w:rPr>
              <w:t>标题项</w:t>
            </w:r>
          </w:p>
        </w:tc>
        <w:tc>
          <w:tcPr>
            <w:tcW w:w="7187" w:type="dxa"/>
            <w:tcBorders>
              <w:tl2br w:val="nil"/>
              <w:tr2bl w:val="nil"/>
            </w:tcBorders>
            <w:shd w:val="clear" w:color="auto" w:fill="538135" w:themeFill="accent6" w:themeFillShade="BF"/>
            <w:vAlign w:val="center"/>
          </w:tcPr>
          <w:p w14:paraId="198BC085">
            <w:pPr>
              <w:pStyle w:val="149"/>
              <w:wordWrap/>
              <w:rPr>
                <w:b/>
                <w:bCs/>
                <w:i w:val="0"/>
                <w:iCs w:val="0"/>
              </w:rPr>
            </w:pPr>
            <w:r>
              <w:rPr>
                <w:rFonts w:hint="eastAsia"/>
                <w:b/>
                <w:bCs/>
                <w:i w:val="0"/>
                <w:iCs w:val="0"/>
              </w:rPr>
              <w:t>说明</w:t>
            </w:r>
          </w:p>
        </w:tc>
      </w:tr>
      <w:tr w14:paraId="0061C6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4D7BCB58">
            <w:pPr>
              <w:pStyle w:val="149"/>
            </w:pPr>
            <w:r>
              <w:drawing>
                <wp:inline distT="0" distB="0" distL="0" distR="0">
                  <wp:extent cx="186055" cy="178435"/>
                  <wp:effectExtent l="0" t="0" r="4445" b="0"/>
                  <wp:docPr id="2833" name="图片 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3" name="图片 2833"/>
                          <pic:cNvPicPr>
                            <a:picLocks noChangeAspect="1"/>
                          </pic:cNvPicPr>
                        </pic:nvPicPr>
                        <pic:blipFill>
                          <a:blip r:embed="rId581"/>
                          <a:stretch>
                            <a:fillRect/>
                          </a:stretch>
                        </pic:blipFill>
                        <pic:spPr>
                          <a:xfrm>
                            <a:off x="0" y="0"/>
                            <a:ext cx="188568" cy="181025"/>
                          </a:xfrm>
                          <a:prstGeom prst="rect">
                            <a:avLst/>
                          </a:prstGeom>
                        </pic:spPr>
                      </pic:pic>
                    </a:graphicData>
                  </a:graphic>
                </wp:inline>
              </w:drawing>
            </w:r>
          </w:p>
        </w:tc>
        <w:tc>
          <w:tcPr>
            <w:tcW w:w="7187" w:type="dxa"/>
            <w:shd w:val="clear" w:color="auto" w:fill="auto"/>
          </w:tcPr>
          <w:p w14:paraId="2134C477">
            <w:pPr>
              <w:pStyle w:val="150"/>
            </w:pPr>
            <w:r>
              <w:rPr>
                <w:rFonts w:hint="eastAsia"/>
              </w:rPr>
              <w:t>新建策略分组。</w:t>
            </w:r>
          </w:p>
        </w:tc>
      </w:tr>
      <w:tr w14:paraId="6226CB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42040CBE">
            <w:pPr>
              <w:pStyle w:val="149"/>
            </w:pPr>
            <w:r>
              <w:drawing>
                <wp:inline distT="0" distB="0" distL="0" distR="0">
                  <wp:extent cx="175260" cy="236855"/>
                  <wp:effectExtent l="0" t="0" r="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582"/>
                          <a:stretch>
                            <a:fillRect/>
                          </a:stretch>
                        </pic:blipFill>
                        <pic:spPr>
                          <a:xfrm>
                            <a:off x="0" y="0"/>
                            <a:ext cx="179625" cy="242494"/>
                          </a:xfrm>
                          <a:prstGeom prst="rect">
                            <a:avLst/>
                          </a:prstGeom>
                        </pic:spPr>
                      </pic:pic>
                    </a:graphicData>
                  </a:graphic>
                </wp:inline>
              </w:drawing>
            </w:r>
          </w:p>
        </w:tc>
        <w:tc>
          <w:tcPr>
            <w:tcW w:w="7187" w:type="dxa"/>
            <w:shd w:val="clear" w:color="auto" w:fill="auto"/>
          </w:tcPr>
          <w:p w14:paraId="3069B3E3">
            <w:pPr>
              <w:pStyle w:val="150"/>
            </w:pPr>
            <w:r>
              <w:rPr>
                <w:rFonts w:hint="eastAsia"/>
              </w:rPr>
              <w:t>修改策略分组名称</w:t>
            </w:r>
            <w:r>
              <w:t>。</w:t>
            </w:r>
          </w:p>
        </w:tc>
      </w:tr>
      <w:tr w14:paraId="636B80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05609F3E">
            <w:pPr>
              <w:pStyle w:val="149"/>
            </w:pPr>
            <w:r>
              <w:drawing>
                <wp:inline distT="0" distB="0" distL="0" distR="0">
                  <wp:extent cx="189865" cy="198120"/>
                  <wp:effectExtent l="0" t="0" r="635" b="0"/>
                  <wp:docPr id="2835" name="图片 2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5" name="图片 2835"/>
                          <pic:cNvPicPr>
                            <a:picLocks noChangeAspect="1"/>
                          </pic:cNvPicPr>
                        </pic:nvPicPr>
                        <pic:blipFill>
                          <a:blip r:embed="rId583"/>
                          <a:stretch>
                            <a:fillRect/>
                          </a:stretch>
                        </pic:blipFill>
                        <pic:spPr>
                          <a:xfrm>
                            <a:off x="0" y="0"/>
                            <a:ext cx="194177" cy="202619"/>
                          </a:xfrm>
                          <a:prstGeom prst="rect">
                            <a:avLst/>
                          </a:prstGeom>
                        </pic:spPr>
                      </pic:pic>
                    </a:graphicData>
                  </a:graphic>
                </wp:inline>
              </w:drawing>
            </w:r>
          </w:p>
        </w:tc>
        <w:tc>
          <w:tcPr>
            <w:tcW w:w="7187" w:type="dxa"/>
            <w:shd w:val="clear" w:color="auto" w:fill="auto"/>
          </w:tcPr>
          <w:p w14:paraId="66C9B682">
            <w:pPr>
              <w:pStyle w:val="150"/>
            </w:pPr>
            <w:r>
              <w:rPr>
                <w:rFonts w:hint="eastAsia"/>
              </w:rPr>
              <w:t>删除策略分组。</w:t>
            </w:r>
          </w:p>
        </w:tc>
      </w:tr>
    </w:tbl>
    <w:p w14:paraId="2E382D2F"/>
    <w:p w14:paraId="3C2A2437">
      <w:pPr>
        <w:pStyle w:val="4"/>
      </w:pPr>
      <w:bookmarkStart w:id="4205" w:name="_Toc194080901"/>
      <w:bookmarkStart w:id="4206" w:name="_Toc142401153"/>
      <w:bookmarkStart w:id="4207" w:name="_Toc172218415"/>
      <w:bookmarkStart w:id="4208" w:name="_Toc196728233"/>
      <w:bookmarkStart w:id="4209" w:name="_Toc141873636"/>
      <w:bookmarkStart w:id="4210" w:name="_Toc137557918"/>
      <w:r>
        <w:t>控制策略分时访问</w:t>
      </w:r>
      <w:bookmarkEnd w:id="4205"/>
      <w:bookmarkEnd w:id="4206"/>
      <w:bookmarkEnd w:id="4207"/>
      <w:bookmarkEnd w:id="4208"/>
      <w:bookmarkEnd w:id="4209"/>
      <w:bookmarkEnd w:id="4210"/>
    </w:p>
    <w:p w14:paraId="37BC180A">
      <w:pPr>
        <w:pStyle w:val="5"/>
      </w:pPr>
      <w:bookmarkStart w:id="4211" w:name="_Toc142401154"/>
      <w:bookmarkStart w:id="4212" w:name="_Toc137557919"/>
      <w:bookmarkStart w:id="4213" w:name="_Toc196728234"/>
      <w:bookmarkStart w:id="4214" w:name="_Toc194080902"/>
      <w:bookmarkStart w:id="4215" w:name="_Toc172218416"/>
      <w:bookmarkStart w:id="4216" w:name="_Toc141873637"/>
      <w:r>
        <w:t>简介</w:t>
      </w:r>
      <w:bookmarkEnd w:id="4211"/>
      <w:bookmarkEnd w:id="4212"/>
      <w:bookmarkEnd w:id="4213"/>
      <w:bookmarkEnd w:id="4214"/>
      <w:bookmarkEnd w:id="4215"/>
      <w:bookmarkEnd w:id="4216"/>
    </w:p>
    <w:p w14:paraId="45F30B1A">
      <w:r>
        <w:t>在多网络场景中，要求同一台终端不能同时访问多个网络资源，比如终端在访问互联网时，无法访问政务外网，当此终端访问政务外网时，无法访问互联网。用户需要根据业务的需要，自主进行网络切换，分时访问不同的网络资源，实现网络的隔离。</w:t>
      </w:r>
    </w:p>
    <w:p w14:paraId="17FDCBA0">
      <w:r>
        <w:rPr>
          <w:rFonts w:hint="eastAsia"/>
        </w:rPr>
        <w:t>设备</w:t>
      </w:r>
      <w:r>
        <w:t>支持自定义网络资源及访问权限，通过分时访问策略实现分时访问功能。当用户访问的网络不是当前网络时，设备会对用户进行权限切换提醒，用户确认切换后，无需上网用户重新认证，自动匹配与之对应的访问权限，防止出现上网用户同时访问多类网络资源等情况。</w:t>
      </w:r>
    </w:p>
    <w:p w14:paraId="7E79712B">
      <w:pPr>
        <w:pStyle w:val="6"/>
      </w:pPr>
      <w:r>
        <w:rPr>
          <w:rFonts w:hint="eastAsia"/>
        </w:rPr>
        <w:t>应用场景</w:t>
      </w:r>
    </w:p>
    <w:p w14:paraId="13F779BB">
      <w:r>
        <w:t>分时访问功能应用于客户多网络场景，如下图所示</w:t>
      </w:r>
      <w:r>
        <w:rPr>
          <w:rFonts w:hint="eastAsia"/>
        </w:rPr>
        <w:t>，</w:t>
      </w:r>
      <w:r>
        <w:t>内网PC在访问内部服务器区时，不允许同时访问外网Internet；访问外网Internet时，不允许同时访问内部服务器区域，确保用户无法同时访问内网服务器区和外网Internet场景，从而实现内网服务器区和外网Internet隔离</w:t>
      </w:r>
      <w:r>
        <w:rPr>
          <w:rFonts w:hint="eastAsia"/>
        </w:rPr>
        <w:t>，</w:t>
      </w:r>
      <w:r>
        <w:t>如下图所示</w:t>
      </w:r>
      <w:r>
        <w:rPr>
          <w:rFonts w:hint="eastAsia"/>
        </w:rPr>
        <w:t>。</w:t>
      </w:r>
    </w:p>
    <w:p w14:paraId="1805BF32">
      <w:pPr>
        <w:pStyle w:val="188"/>
      </w:pPr>
      <w:bookmarkStart w:id="4217" w:name="_Toc141875030"/>
      <w:r>
        <w:rPr>
          <w:rFonts w:hint="eastAsia"/>
        </w:rPr>
        <w:t>分时访问应用场景组网图</w:t>
      </w:r>
      <w:bookmarkEnd w:id="4217"/>
    </w:p>
    <w:p w14:paraId="2F84A6D9">
      <w:pPr>
        <w:spacing w:before="78" w:after="78"/>
      </w:pPr>
      <w:r>
        <w:drawing>
          <wp:inline distT="0" distB="0" distL="0" distR="0">
            <wp:extent cx="3706495" cy="3524250"/>
            <wp:effectExtent l="0" t="0" r="8255" b="0"/>
            <wp:docPr id="719" name="图片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图片 719"/>
                    <pic:cNvPicPr>
                      <a:picLocks noChangeAspect="1"/>
                    </pic:cNvPicPr>
                  </pic:nvPicPr>
                  <pic:blipFill>
                    <a:blip r:embed="rId584"/>
                    <a:stretch>
                      <a:fillRect/>
                    </a:stretch>
                  </pic:blipFill>
                  <pic:spPr>
                    <a:xfrm>
                      <a:off x="0" y="0"/>
                      <a:ext cx="3726192" cy="3542506"/>
                    </a:xfrm>
                    <a:prstGeom prst="rect">
                      <a:avLst/>
                    </a:prstGeom>
                  </pic:spPr>
                </pic:pic>
              </a:graphicData>
            </a:graphic>
          </wp:inline>
        </w:drawing>
      </w:r>
    </w:p>
    <w:p w14:paraId="0F01A9D4">
      <w:r>
        <w:t>分时访问的使用场景为受限场景：用户需要根据自己的组网情况，对认证用户访问的不同目的网络做划分，再通过</w:t>
      </w:r>
      <w:r>
        <w:rPr>
          <w:rFonts w:hint="eastAsia"/>
        </w:rPr>
        <w:t>设备</w:t>
      </w:r>
      <w:r>
        <w:t>的分时访问控制功能，针对划分的网络进行访问控制。如上图，对PC所访问的目的网络地址进行划分，将内网服务器区的地址划分为内网，将除内网服务器区的地址外的全部划分为互联网，即访问Internet。</w:t>
      </w:r>
    </w:p>
    <w:p w14:paraId="548C1341">
      <w:pPr>
        <w:spacing w:before="120" w:after="120"/>
        <w:rPr>
          <w:b/>
          <w:bCs/>
        </w:rPr>
      </w:pPr>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652BE14F">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0E0D2C16">
            <w:pPr>
              <w:pStyle w:val="150"/>
              <w:adjustRightInd w:val="0"/>
              <w:snapToGrid w:val="0"/>
              <w:rPr>
                <w:color w:val="auto"/>
              </w:rPr>
            </w:pPr>
            <w:r>
              <w:rPr>
                <w:b/>
                <w:color w:val="auto"/>
              </w:rPr>
              <w:drawing>
                <wp:inline distT="0" distB="0" distL="0" distR="0">
                  <wp:extent cx="283210" cy="283210"/>
                  <wp:effectExtent l="0" t="0" r="2540" b="2540"/>
                  <wp:docPr id="870" name="图片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图片 870"/>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2A60F88C">
            <w:pPr>
              <w:pStyle w:val="150"/>
              <w:adjustRightInd w:val="0"/>
              <w:snapToGrid w:val="0"/>
              <w:rPr>
                <w:color w:val="auto"/>
              </w:rPr>
            </w:pPr>
            <w:r>
              <w:rPr>
                <w:rFonts w:hint="eastAsia"/>
                <w:color w:val="auto"/>
              </w:rPr>
              <w:t>需要对认证用户访问的目的网络地址进行网络划分，目的地址是指设备转发出去后的目的地址，请根据实际转发后的目的地址进行网络划分。</w:t>
            </w:r>
          </w:p>
        </w:tc>
      </w:tr>
    </w:tbl>
    <w:p w14:paraId="644ABE37">
      <w:pPr>
        <w:spacing w:before="120" w:after="120"/>
        <w:rPr>
          <w:b/>
          <w:bCs/>
        </w:rPr>
      </w:pPr>
    </w:p>
    <w:p w14:paraId="1CCB831A">
      <w:pPr>
        <w:pStyle w:val="6"/>
      </w:pPr>
      <w:r>
        <w:rPr>
          <w:rFonts w:hint="eastAsia"/>
        </w:rPr>
        <w:t>原理描述</w:t>
      </w:r>
    </w:p>
    <w:p w14:paraId="467131CB">
      <w:r>
        <w:t>在控制策略配置时支持设置分时访问策略及分时访问规则。通过控制策略匹配条件中目的地址对网络资源进行划分。分时访问规则中用户加入设置的属性组与设置的目的地址网络相匹配对应，用户加入到该属性组即表示加入了该网络。</w:t>
      </w:r>
    </w:p>
    <w:p w14:paraId="7F901F2B">
      <w:r>
        <w:t>用户认证完成时第一次访问的分时网络即为用户当前所在的网络（默认网络）。</w:t>
      </w:r>
    </w:p>
    <w:p w14:paraId="5708C070">
      <w:r>
        <w:t>当认证用户的流量经过设备命中分时访问策略时，如果用户在当前网络（属性组）则对用户流量直接放行。</w:t>
      </w:r>
    </w:p>
    <w:p w14:paraId="05CB606F">
      <w:r>
        <w:t>如果用户不在当前网络，根据分时访问规则的设置对用户流量进行处理。包括：流量劫持和流量劫持弹Portal切换网络。</w:t>
      </w:r>
    </w:p>
    <w:p w14:paraId="663F2A55">
      <w:pPr>
        <w:pStyle w:val="5"/>
      </w:pPr>
      <w:bookmarkStart w:id="4218" w:name="_Toc196728235"/>
      <w:bookmarkStart w:id="4219" w:name="_Toc137557920"/>
      <w:bookmarkStart w:id="4220" w:name="_Toc136852252"/>
      <w:bookmarkStart w:id="4221" w:name="_Toc141873638"/>
      <w:bookmarkStart w:id="4222" w:name="_Toc142401155"/>
      <w:bookmarkStart w:id="4223" w:name="_Toc172218417"/>
      <w:bookmarkStart w:id="4224" w:name="_Toc194080903"/>
      <w:r>
        <w:t>使用限制和注意事项</w:t>
      </w:r>
      <w:bookmarkEnd w:id="4218"/>
      <w:bookmarkEnd w:id="4219"/>
      <w:bookmarkEnd w:id="4220"/>
      <w:bookmarkEnd w:id="4221"/>
      <w:bookmarkEnd w:id="4222"/>
      <w:bookmarkEnd w:id="4223"/>
      <w:bookmarkEnd w:id="4224"/>
    </w:p>
    <w:p w14:paraId="2047FEEF">
      <w:pPr>
        <w:pStyle w:val="162"/>
      </w:pPr>
      <w:r>
        <w:t>分时访问控制策略只支持HTTP弹Portal方式。</w:t>
      </w:r>
    </w:p>
    <w:p w14:paraId="050BDA90">
      <w:pPr>
        <w:pStyle w:val="162"/>
      </w:pPr>
      <w:r>
        <w:t>分时访问为基于认证用户的访问控制，匹配的用户必须为认证用户。</w:t>
      </w:r>
    </w:p>
    <w:p w14:paraId="32CC8195">
      <w:pPr>
        <w:pStyle w:val="162"/>
      </w:pPr>
      <w:r>
        <w:t>由于认证用户可以多终端共享，即一个用户可以有个多个IP地址，同一用户的多终端网络保持一致（一个终端切换网络，所有的同用户终端都跟着切换）。</w:t>
      </w:r>
    </w:p>
    <w:p w14:paraId="6A93FE9A">
      <w:pPr>
        <w:pStyle w:val="162"/>
      </w:pPr>
      <w:r>
        <w:t>如果该用户已经加入其它属性组，当进行分时控制时会将其它属性组下该用户删除，只保留当前加入的属性组。</w:t>
      </w:r>
    </w:p>
    <w:p w14:paraId="4A9B531B">
      <w:pPr>
        <w:pStyle w:val="162"/>
      </w:pPr>
      <w:r>
        <w:t>用户终端下线时会将用户从加入的属性组中删除。</w:t>
      </w:r>
    </w:p>
    <w:p w14:paraId="43D001A2">
      <w:pPr>
        <w:pStyle w:val="162"/>
      </w:pPr>
      <w:r>
        <w:rPr>
          <w:rFonts w:hint="eastAsia"/>
        </w:rPr>
        <w:t>网络切换的</w:t>
      </w:r>
      <w:r>
        <w:t>portal</w:t>
      </w:r>
      <w:r>
        <w:rPr>
          <w:rFonts w:hint="eastAsia"/>
        </w:rPr>
        <w:t>页面地址使用的是</w:t>
      </w:r>
      <w:r>
        <w:t>HTTP 8000</w:t>
      </w:r>
      <w:r>
        <w:rPr>
          <w:rFonts w:hint="eastAsia"/>
        </w:rPr>
        <w:t>端口，需要保证端口访问正常</w:t>
      </w:r>
      <w:r>
        <w:t>。</w:t>
      </w:r>
    </w:p>
    <w:p w14:paraId="1DDB80FD">
      <w:pPr>
        <w:pStyle w:val="5"/>
      </w:pPr>
      <w:bookmarkStart w:id="4225" w:name="_Toc137557921"/>
      <w:bookmarkStart w:id="4226" w:name="_Toc194080904"/>
      <w:bookmarkStart w:id="4227" w:name="_Toc196728236"/>
      <w:bookmarkStart w:id="4228" w:name="_Toc172218418"/>
      <w:bookmarkStart w:id="4229" w:name="_Toc136852253"/>
      <w:bookmarkStart w:id="4230" w:name="_Toc142401156"/>
      <w:bookmarkStart w:id="4231" w:name="_Toc141873639"/>
      <w:r>
        <w:t>配置分时访问控制策略</w:t>
      </w:r>
      <w:bookmarkEnd w:id="4225"/>
      <w:bookmarkEnd w:id="4226"/>
      <w:bookmarkEnd w:id="4227"/>
      <w:bookmarkEnd w:id="4228"/>
      <w:bookmarkEnd w:id="4229"/>
      <w:bookmarkEnd w:id="4230"/>
      <w:bookmarkEnd w:id="4231"/>
    </w:p>
    <w:p w14:paraId="08F03B49">
      <w:bookmarkStart w:id="4232" w:name="_Ref136360300"/>
      <w:r>
        <w:rPr>
          <w:rFonts w:hint="eastAsia"/>
        </w:rPr>
        <w:t>在导航栏中选择“策略配置 &gt; 控制策略”，点击&lt;新建</w:t>
      </w:r>
      <w:r>
        <w:t>&gt;</w:t>
      </w:r>
      <w:r>
        <w:rPr>
          <w:rFonts w:hint="eastAsia"/>
        </w:rPr>
        <w:t>，行为选择“分时访问”。</w:t>
      </w:r>
    </w:p>
    <w:p w14:paraId="031F1D0A">
      <w:r>
        <w:rPr>
          <w:rFonts w:hint="eastAsia"/>
        </w:rPr>
        <w:t>选择匹配条件，目的地址选择创建的地址对象，根据选择的目的地址匹配不同的控制策略，配置前需要创建对应用户访问的不同目的地址的地址对象。</w:t>
      </w:r>
    </w:p>
    <w:p w14:paraId="5BA9C0FA">
      <w:pPr>
        <w:pStyle w:val="188"/>
      </w:pPr>
      <w:bookmarkStart w:id="4233" w:name="_Toc141875031"/>
      <w:r>
        <w:rPr>
          <w:rFonts w:hint="eastAsia"/>
        </w:rPr>
        <w:t>配置分时访问匹配条件</w:t>
      </w:r>
      <w:bookmarkEnd w:id="4233"/>
    </w:p>
    <w:p w14:paraId="1A5D2771">
      <w:pPr>
        <w:spacing w:before="78" w:after="78"/>
      </w:pPr>
      <w:r>
        <w:drawing>
          <wp:inline distT="0" distB="0" distL="0" distR="0">
            <wp:extent cx="5429250" cy="2476500"/>
            <wp:effectExtent l="0" t="0" r="0" b="0"/>
            <wp:docPr id="722" name="图片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图片 722"/>
                    <pic:cNvPicPr>
                      <a:picLocks noChangeAspect="1"/>
                    </pic:cNvPicPr>
                  </pic:nvPicPr>
                  <pic:blipFill>
                    <a:blip r:embed="rId585"/>
                    <a:stretch>
                      <a:fillRect/>
                    </a:stretch>
                  </pic:blipFill>
                  <pic:spPr>
                    <a:xfrm>
                      <a:off x="0" y="0"/>
                      <a:ext cx="5431793" cy="2478065"/>
                    </a:xfrm>
                    <a:prstGeom prst="rect">
                      <a:avLst/>
                    </a:prstGeom>
                  </pic:spPr>
                </pic:pic>
              </a:graphicData>
            </a:graphic>
          </wp:inline>
        </w:drawing>
      </w:r>
    </w:p>
    <w:p w14:paraId="02BEE4C2">
      <w:pPr>
        <w:spacing w:before="120" w:after="120"/>
      </w:pPr>
    </w:p>
    <w:p w14:paraId="705A9D9F">
      <w:r>
        <w:rPr>
          <w:rFonts w:hint="eastAsia"/>
        </w:rPr>
        <w:t>选择“分时访问规则”标签页，编辑相关信息，点击&lt;提交</w:t>
      </w:r>
      <w:r>
        <w:t>&gt;</w:t>
      </w:r>
      <w:r>
        <w:rPr>
          <w:rFonts w:hint="eastAsia"/>
        </w:rPr>
        <w:t>。</w:t>
      </w:r>
    </w:p>
    <w:p w14:paraId="5F5DD0FA">
      <w:pPr>
        <w:pStyle w:val="188"/>
      </w:pPr>
      <w:bookmarkStart w:id="4234" w:name="_Toc141875032"/>
      <w:r>
        <w:rPr>
          <w:rFonts w:hint="eastAsia"/>
        </w:rPr>
        <w:t>配置分时访问规则</w:t>
      </w:r>
      <w:bookmarkEnd w:id="4234"/>
    </w:p>
    <w:bookmarkEnd w:id="4232"/>
    <w:p w14:paraId="2D26ED19">
      <w:pPr>
        <w:spacing w:before="78" w:after="78"/>
      </w:pPr>
      <w:r>
        <w:drawing>
          <wp:inline distT="0" distB="0" distL="0" distR="0">
            <wp:extent cx="4714875" cy="2541270"/>
            <wp:effectExtent l="0" t="0" r="0" b="0"/>
            <wp:docPr id="740" name="图片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图片 740"/>
                    <pic:cNvPicPr>
                      <a:picLocks noChangeAspect="1"/>
                    </pic:cNvPicPr>
                  </pic:nvPicPr>
                  <pic:blipFill>
                    <a:blip r:embed="rId586"/>
                    <a:stretch>
                      <a:fillRect/>
                    </a:stretch>
                  </pic:blipFill>
                  <pic:spPr>
                    <a:xfrm>
                      <a:off x="0" y="0"/>
                      <a:ext cx="4716196" cy="2542087"/>
                    </a:xfrm>
                    <a:prstGeom prst="rect">
                      <a:avLst/>
                    </a:prstGeom>
                  </pic:spPr>
                </pic:pic>
              </a:graphicData>
            </a:graphic>
          </wp:inline>
        </w:drawing>
      </w:r>
    </w:p>
    <w:p w14:paraId="4962AF99">
      <w:pPr>
        <w:pStyle w:val="183"/>
      </w:pPr>
      <w:bookmarkStart w:id="4235" w:name="_Toc141875657"/>
      <w:r>
        <w:t>分时访问规则配置</w:t>
      </w:r>
      <w:r>
        <w:rPr>
          <w:rFonts w:hint="eastAsia"/>
        </w:rPr>
        <w:t>详细</w:t>
      </w:r>
      <w:r>
        <w:t>说明</w:t>
      </w:r>
      <w:bookmarkEnd w:id="4235"/>
    </w:p>
    <w:tbl>
      <w:tblPr>
        <w:tblStyle w:val="173"/>
        <w:tblW w:w="500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712"/>
        <w:gridCol w:w="7530"/>
      </w:tblGrid>
      <w:tr w14:paraId="2F615E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6" w:type="pct"/>
            <w:tcBorders>
              <w:tl2br w:val="nil"/>
              <w:tr2bl w:val="nil"/>
            </w:tcBorders>
            <w:shd w:val="clear" w:color="auto" w:fill="538135" w:themeFill="accent6" w:themeFillShade="BF"/>
            <w:vAlign w:val="center"/>
          </w:tcPr>
          <w:p w14:paraId="69F7606A">
            <w:pPr>
              <w:pStyle w:val="149"/>
              <w:wordWrap/>
              <w:rPr>
                <w:b/>
                <w:bCs/>
                <w:i w:val="0"/>
                <w:iCs w:val="0"/>
              </w:rPr>
            </w:pPr>
            <w:r>
              <w:rPr>
                <w:rFonts w:hint="eastAsia"/>
                <w:b/>
                <w:bCs/>
                <w:i w:val="0"/>
                <w:iCs w:val="0"/>
              </w:rPr>
              <w:t>参数</w:t>
            </w:r>
          </w:p>
        </w:tc>
        <w:tc>
          <w:tcPr>
            <w:tcW w:w="4074" w:type="pct"/>
            <w:tcBorders>
              <w:tl2br w:val="nil"/>
              <w:tr2bl w:val="nil"/>
            </w:tcBorders>
            <w:shd w:val="clear" w:color="auto" w:fill="538135" w:themeFill="accent6" w:themeFillShade="BF"/>
            <w:vAlign w:val="center"/>
          </w:tcPr>
          <w:p w14:paraId="523AA88F">
            <w:pPr>
              <w:pStyle w:val="149"/>
              <w:wordWrap/>
              <w:rPr>
                <w:b/>
                <w:bCs/>
                <w:i w:val="0"/>
                <w:iCs w:val="0"/>
              </w:rPr>
            </w:pPr>
            <w:r>
              <w:rPr>
                <w:rFonts w:hint="eastAsia"/>
                <w:b/>
                <w:bCs/>
                <w:i w:val="0"/>
                <w:iCs w:val="0"/>
              </w:rPr>
              <w:t>说明</w:t>
            </w:r>
          </w:p>
        </w:tc>
      </w:tr>
      <w:tr w14:paraId="7F0AA9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6" w:type="pct"/>
            <w:shd w:val="clear" w:color="auto" w:fill="auto"/>
          </w:tcPr>
          <w:p w14:paraId="45836FEE">
            <w:pPr>
              <w:pStyle w:val="150"/>
            </w:pPr>
            <w:r>
              <w:t>动作</w:t>
            </w:r>
          </w:p>
        </w:tc>
        <w:tc>
          <w:tcPr>
            <w:tcW w:w="4074" w:type="pct"/>
            <w:shd w:val="clear" w:color="auto" w:fill="auto"/>
          </w:tcPr>
          <w:p w14:paraId="5E69E263">
            <w:pPr>
              <w:pStyle w:val="150"/>
            </w:pPr>
            <w:r>
              <w:t>弹Portal：匹配到分时访问规则后，弹出网络切换提醒Portal页面，用户单击切换后，将用户切换到另外一个网络，否则继续访问原来的网络。</w:t>
            </w:r>
          </w:p>
          <w:p w14:paraId="1F1EE382">
            <w:pPr>
              <w:pStyle w:val="150"/>
            </w:pPr>
            <w:r>
              <w:t>拒绝：用户加入了一个网络后，再访问另外一个网络，如果命中这条策略是拒绝的，则访问的网络会被阻断。</w:t>
            </w:r>
          </w:p>
        </w:tc>
      </w:tr>
      <w:tr w14:paraId="4217B5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6" w:type="pct"/>
            <w:shd w:val="clear" w:color="auto" w:fill="auto"/>
          </w:tcPr>
          <w:p w14:paraId="5707F61D">
            <w:pPr>
              <w:pStyle w:val="150"/>
            </w:pPr>
            <w:r>
              <w:t>用户加入</w:t>
            </w:r>
          </w:p>
        </w:tc>
        <w:tc>
          <w:tcPr>
            <w:tcW w:w="4074" w:type="pct"/>
            <w:shd w:val="clear" w:color="auto" w:fill="auto"/>
          </w:tcPr>
          <w:p w14:paraId="6779922C">
            <w:pPr>
              <w:pStyle w:val="150"/>
            </w:pPr>
            <w:r>
              <w:t>选择用户加入的属性组，只能选择属性组。选择创建的属性组，将访问不同目的地址网络的用户分别加入所选的属性组。</w:t>
            </w:r>
          </w:p>
          <w:p w14:paraId="3DE98172">
            <w:pPr>
              <w:pStyle w:val="150"/>
            </w:pPr>
            <w:r>
              <w:rPr>
                <w:rFonts w:hint="eastAsia"/>
              </w:rPr>
              <w:t>新建属性组，根据网络划分新建属性组，属性组名代表网络名称。</w:t>
            </w:r>
          </w:p>
        </w:tc>
      </w:tr>
      <w:tr w14:paraId="73EEDB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26" w:type="pct"/>
            <w:shd w:val="clear" w:color="auto" w:fill="auto"/>
          </w:tcPr>
          <w:p w14:paraId="229F9258">
            <w:pPr>
              <w:pStyle w:val="150"/>
            </w:pPr>
            <w:r>
              <w:t>页面跳转设置</w:t>
            </w:r>
          </w:p>
        </w:tc>
        <w:tc>
          <w:tcPr>
            <w:tcW w:w="4074" w:type="pct"/>
            <w:shd w:val="clear" w:color="auto" w:fill="auto"/>
          </w:tcPr>
          <w:p w14:paraId="5EBDFDED">
            <w:pPr>
              <w:pStyle w:val="150"/>
            </w:pPr>
            <w:r>
              <w:t>之前访问的页面：弹Portal之后进行网络切换，页面跳转到弹Portal之前访问的页面。</w:t>
            </w:r>
          </w:p>
          <w:p w14:paraId="39C363A3">
            <w:pPr>
              <w:pStyle w:val="150"/>
            </w:pPr>
            <w:r>
              <w:t>重定向URL：弹Portal进行网络切换后，页面跳转到重定向的页面。</w:t>
            </w:r>
          </w:p>
          <w:p w14:paraId="17D22555">
            <w:pPr>
              <w:pStyle w:val="150"/>
            </w:pPr>
            <w:r>
              <w:t>当前访问页面：即Portal页面。</w:t>
            </w:r>
          </w:p>
        </w:tc>
      </w:tr>
    </w:tbl>
    <w:p w14:paraId="2D651BF3">
      <w:pPr>
        <w:spacing w:before="120" w:after="120"/>
      </w:pPr>
    </w:p>
    <w:p w14:paraId="1AEDFF0A">
      <w:r>
        <w:rPr>
          <w:rFonts w:hint="eastAsia"/>
        </w:rPr>
        <w:t>按照上面的方法再新建一条控制策略，针对用户访问不同的网络配置不同的控制策略，</w:t>
      </w:r>
      <w:r>
        <w:t>根据匹配条件中选择的目的地址匹配不同的控制策略。</w:t>
      </w:r>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16DBC632">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73EBA4C3">
            <w:pPr>
              <w:pStyle w:val="150"/>
              <w:adjustRightInd w:val="0"/>
              <w:snapToGrid w:val="0"/>
              <w:rPr>
                <w:color w:val="auto"/>
              </w:rPr>
            </w:pPr>
            <w:r>
              <w:rPr>
                <w:b/>
                <w:color w:val="auto"/>
              </w:rPr>
              <w:drawing>
                <wp:inline distT="0" distB="0" distL="0" distR="0">
                  <wp:extent cx="283210" cy="283210"/>
                  <wp:effectExtent l="0" t="0" r="2540" b="2540"/>
                  <wp:docPr id="872" name="图片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图片 87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321CD31D">
            <w:pPr>
              <w:pStyle w:val="150"/>
              <w:adjustRightInd w:val="0"/>
              <w:snapToGrid w:val="0"/>
              <w:rPr>
                <w:color w:val="auto"/>
              </w:rPr>
            </w:pPr>
            <w:r>
              <w:rPr>
                <w:rFonts w:hint="eastAsia"/>
                <w:color w:val="auto"/>
              </w:rPr>
              <w:t>内网PC访问外网时，认证成功匹配到该分时策略后，根据内网PC首次访问目的地址，将认证用户加入对应的属性组，如“网络A”；当该认证用户属于“网络A”时，访问其他的网络地址如“网络B”，则会根据配置的分时访问动作进行弹Portal或阻断。</w:t>
            </w:r>
          </w:p>
        </w:tc>
      </w:tr>
    </w:tbl>
    <w:p w14:paraId="6D54B9E2">
      <w:pPr>
        <w:spacing w:before="120" w:after="120"/>
      </w:pPr>
    </w:p>
    <w:p w14:paraId="38C1854D">
      <w:pPr>
        <w:pStyle w:val="5"/>
      </w:pPr>
      <w:bookmarkStart w:id="4236" w:name="_Toc196728237"/>
      <w:bookmarkStart w:id="4237" w:name="_Toc141873640"/>
      <w:bookmarkStart w:id="4238" w:name="_Toc194080905"/>
      <w:bookmarkStart w:id="4239" w:name="_Toc137557922"/>
      <w:bookmarkStart w:id="4240" w:name="_Toc142401157"/>
      <w:bookmarkStart w:id="4241" w:name="_Toc172218419"/>
      <w:r>
        <w:t>多网络分时访问配置举例</w:t>
      </w:r>
      <w:bookmarkEnd w:id="4236"/>
      <w:bookmarkEnd w:id="4237"/>
      <w:bookmarkEnd w:id="4238"/>
      <w:bookmarkEnd w:id="4239"/>
      <w:bookmarkEnd w:id="4240"/>
      <w:bookmarkEnd w:id="4241"/>
    </w:p>
    <w:p w14:paraId="7323A4D9">
      <w:pPr>
        <w:pStyle w:val="6"/>
      </w:pPr>
      <w:r>
        <w:rPr>
          <w:rFonts w:hint="eastAsia"/>
        </w:rPr>
        <w:t>组网需求</w:t>
      </w:r>
    </w:p>
    <w:p w14:paraId="39781CC8">
      <w:r>
        <w:rPr>
          <w:rFonts w:hint="eastAsia"/>
        </w:rPr>
        <w:t>某公司内网用户通过设备访问访问内网服务器和互联网，需要保证内网用户只能同时访问一个网络，即访问互联网时不允许同时访问内网服务器，访问内网服务器时不允许同时访问互联网，当需要访问另一个网络时，可以进行网络切换，从而实现内网服务器网络和外网Internet的隔离。</w:t>
      </w:r>
    </w:p>
    <w:p w14:paraId="4FF4F98D">
      <w:pPr>
        <w:pStyle w:val="188"/>
      </w:pPr>
      <w:bookmarkStart w:id="4242" w:name="_Toc141875033"/>
      <w:r>
        <w:rPr>
          <w:rFonts w:hint="eastAsia"/>
        </w:rPr>
        <w:t>多网络分时访问配置举例组网图</w:t>
      </w:r>
      <w:bookmarkEnd w:id="4242"/>
    </w:p>
    <w:p w14:paraId="04166859">
      <w:pPr>
        <w:spacing w:before="78" w:after="78"/>
      </w:pPr>
      <w:r>
        <w:drawing>
          <wp:inline distT="0" distB="0" distL="0" distR="0">
            <wp:extent cx="4286250" cy="1898015"/>
            <wp:effectExtent l="0" t="0" r="0" b="6985"/>
            <wp:docPr id="725" name="图片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图片 725"/>
                    <pic:cNvPicPr>
                      <a:picLocks noChangeAspect="1"/>
                    </pic:cNvPicPr>
                  </pic:nvPicPr>
                  <pic:blipFill>
                    <a:blip r:embed="rId587"/>
                    <a:stretch>
                      <a:fillRect/>
                    </a:stretch>
                  </pic:blipFill>
                  <pic:spPr>
                    <a:xfrm>
                      <a:off x="0" y="0"/>
                      <a:ext cx="4295017" cy="1901952"/>
                    </a:xfrm>
                    <a:prstGeom prst="rect">
                      <a:avLst/>
                    </a:prstGeom>
                  </pic:spPr>
                </pic:pic>
              </a:graphicData>
            </a:graphic>
          </wp:inline>
        </w:drawing>
      </w:r>
    </w:p>
    <w:p w14:paraId="6AADD4CD">
      <w:pPr>
        <w:pStyle w:val="6"/>
      </w:pPr>
      <w:r>
        <w:rPr>
          <w:rFonts w:hint="eastAsia"/>
        </w:rPr>
        <w:t>配置步骤</w:t>
      </w:r>
    </w:p>
    <w:p w14:paraId="29C9BEB3">
      <w:pPr>
        <w:pStyle w:val="202"/>
        <w:rPr>
          <w:lang w:eastAsia="zh-CN"/>
        </w:rPr>
      </w:pPr>
      <w:r>
        <w:rPr>
          <w:rFonts w:hint="eastAsia"/>
          <w:lang w:eastAsia="zh-CN"/>
        </w:rPr>
        <w:t>按照组网图组网。通过菜单“策略</w:t>
      </w:r>
      <w:r>
        <w:rPr>
          <w:lang w:eastAsia="zh-CN"/>
        </w:rPr>
        <w:t>配置</w:t>
      </w:r>
      <w:r>
        <w:rPr>
          <w:rFonts w:hint="eastAsia"/>
          <w:lang w:eastAsia="zh-CN"/>
        </w:rPr>
        <w:t>&gt;</w:t>
      </w:r>
      <w:r>
        <w:rPr>
          <w:lang w:eastAsia="zh-CN"/>
        </w:rPr>
        <w:t xml:space="preserve"> </w:t>
      </w:r>
      <w:r>
        <w:rPr>
          <w:rFonts w:hint="eastAsia"/>
          <w:lang w:eastAsia="zh-CN"/>
        </w:rPr>
        <w:t>对象</w:t>
      </w:r>
      <w:r>
        <w:rPr>
          <w:lang w:eastAsia="zh-CN"/>
        </w:rPr>
        <w:t>管理</w:t>
      </w:r>
      <w:r>
        <w:rPr>
          <w:rFonts w:hint="eastAsia"/>
          <w:lang w:eastAsia="zh-CN"/>
        </w:rPr>
        <w:t>&gt;</w:t>
      </w:r>
      <w:r>
        <w:rPr>
          <w:lang w:eastAsia="zh-CN"/>
        </w:rPr>
        <w:t xml:space="preserve"> </w:t>
      </w:r>
      <w:r>
        <w:rPr>
          <w:rFonts w:hint="eastAsia"/>
          <w:lang w:eastAsia="zh-CN"/>
        </w:rPr>
        <w:t>地址</w:t>
      </w:r>
      <w:r>
        <w:rPr>
          <w:lang w:eastAsia="zh-CN"/>
        </w:rPr>
        <w:t>对象</w:t>
      </w:r>
      <w:r>
        <w:rPr>
          <w:rFonts w:hint="eastAsia"/>
          <w:lang w:eastAsia="zh-CN"/>
        </w:rPr>
        <w:t>”，点击</w:t>
      </w:r>
      <w:r>
        <w:rPr>
          <w:lang w:eastAsia="zh-CN"/>
        </w:rPr>
        <w:t>&lt;</w:t>
      </w:r>
      <w:r>
        <w:rPr>
          <w:rFonts w:hint="eastAsia"/>
          <w:lang w:eastAsia="zh-CN"/>
        </w:rPr>
        <w:t>新建</w:t>
      </w:r>
      <w:r>
        <w:rPr>
          <w:lang w:eastAsia="zh-CN"/>
        </w:rPr>
        <w:t>&gt;</w:t>
      </w:r>
      <w:r>
        <w:rPr>
          <w:rFonts w:hint="eastAsia"/>
          <w:lang w:eastAsia="zh-CN"/>
        </w:rPr>
        <w:t>创建两个地址对象，一个为互联网，一个内网地址。</w:t>
      </w:r>
    </w:p>
    <w:p w14:paraId="3BA5A707">
      <w:pPr>
        <w:pStyle w:val="188"/>
      </w:pPr>
      <w:bookmarkStart w:id="4243" w:name="_Toc141875034"/>
      <w:r>
        <w:rPr>
          <w:rFonts w:hint="eastAsia"/>
        </w:rPr>
        <w:t>配置地址对象</w:t>
      </w:r>
      <w:bookmarkEnd w:id="4243"/>
    </w:p>
    <w:p w14:paraId="5D0594C1">
      <w:pPr>
        <w:spacing w:before="78" w:after="78"/>
      </w:pPr>
      <w:r>
        <w:drawing>
          <wp:inline distT="0" distB="0" distL="0" distR="0">
            <wp:extent cx="5400040" cy="3676650"/>
            <wp:effectExtent l="0" t="0" r="0" b="0"/>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537"/>
                    <pic:cNvPicPr>
                      <a:picLocks noChangeAspect="1"/>
                    </pic:cNvPicPr>
                  </pic:nvPicPr>
                  <pic:blipFill>
                    <a:blip r:embed="rId588"/>
                    <a:stretch>
                      <a:fillRect/>
                    </a:stretch>
                  </pic:blipFill>
                  <pic:spPr>
                    <a:xfrm>
                      <a:off x="0" y="0"/>
                      <a:ext cx="5400040" cy="3677159"/>
                    </a:xfrm>
                    <a:prstGeom prst="rect">
                      <a:avLst/>
                    </a:prstGeom>
                  </pic:spPr>
                </pic:pic>
              </a:graphicData>
            </a:graphic>
          </wp:inline>
        </w:drawing>
      </w:r>
    </w:p>
    <w:p w14:paraId="3A288874"/>
    <w:p w14:paraId="4007A9E6">
      <w:pPr>
        <w:spacing w:before="78" w:after="78"/>
      </w:pPr>
      <w:r>
        <w:drawing>
          <wp:inline distT="0" distB="0" distL="0" distR="0">
            <wp:extent cx="5400040" cy="3902710"/>
            <wp:effectExtent l="0" t="0" r="0" b="2540"/>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538"/>
                    <pic:cNvPicPr>
                      <a:picLocks noChangeAspect="1"/>
                    </pic:cNvPicPr>
                  </pic:nvPicPr>
                  <pic:blipFill>
                    <a:blip r:embed="rId589"/>
                    <a:stretch>
                      <a:fillRect/>
                    </a:stretch>
                  </pic:blipFill>
                  <pic:spPr>
                    <a:xfrm>
                      <a:off x="0" y="0"/>
                      <a:ext cx="5400040" cy="3902955"/>
                    </a:xfrm>
                    <a:prstGeom prst="rect">
                      <a:avLst/>
                    </a:prstGeom>
                  </pic:spPr>
                </pic:pic>
              </a:graphicData>
            </a:graphic>
          </wp:inline>
        </w:drawing>
      </w:r>
    </w:p>
    <w:p w14:paraId="010DBBA5"/>
    <w:p w14:paraId="06E44950">
      <w:pPr>
        <w:pStyle w:val="202"/>
        <w:rPr>
          <w:lang w:eastAsia="zh-CN"/>
        </w:rPr>
      </w:pPr>
      <w:r>
        <w:rPr>
          <w:rFonts w:hint="eastAsia"/>
          <w:lang w:eastAsia="zh-CN"/>
        </w:rPr>
        <w:t>通过菜单“用户管理&gt;用户管理&gt;</w:t>
      </w:r>
      <w:r>
        <w:rPr>
          <w:lang w:eastAsia="zh-CN"/>
        </w:rPr>
        <w:t xml:space="preserve"> </w:t>
      </w:r>
      <w:r>
        <w:rPr>
          <w:rFonts w:hint="eastAsia"/>
          <w:lang w:eastAsia="zh-CN"/>
        </w:rPr>
        <w:t>高级</w:t>
      </w:r>
      <w:r>
        <w:rPr>
          <w:lang w:eastAsia="zh-CN"/>
        </w:rPr>
        <w:t>选项</w:t>
      </w:r>
      <w:r>
        <w:rPr>
          <w:rFonts w:hint="eastAsia"/>
          <w:lang w:eastAsia="zh-CN"/>
        </w:rPr>
        <w:t>&gt;</w:t>
      </w:r>
      <w:r>
        <w:rPr>
          <w:lang w:eastAsia="zh-CN"/>
        </w:rPr>
        <w:t xml:space="preserve"> </w:t>
      </w:r>
      <w:r>
        <w:rPr>
          <w:rFonts w:hint="eastAsia"/>
          <w:lang w:eastAsia="zh-CN"/>
        </w:rPr>
        <w:t>自定义属性”，新建</w:t>
      </w:r>
      <w:r>
        <w:rPr>
          <w:lang w:eastAsia="zh-CN"/>
        </w:rPr>
        <w:t>属性名</w:t>
      </w:r>
      <w:r>
        <w:rPr>
          <w:rFonts w:hint="eastAsia"/>
          <w:lang w:eastAsia="zh-CN"/>
        </w:rPr>
        <w:t>“分时</w:t>
      </w:r>
      <w:r>
        <w:rPr>
          <w:lang w:eastAsia="zh-CN"/>
        </w:rPr>
        <w:t>访问</w:t>
      </w:r>
      <w:r>
        <w:rPr>
          <w:rFonts w:hint="eastAsia"/>
          <w:lang w:eastAsia="zh-CN"/>
        </w:rPr>
        <w:t>”，</w:t>
      </w:r>
      <w:r>
        <w:rPr>
          <w:lang w:eastAsia="zh-CN"/>
        </w:rPr>
        <w:t>属性值为</w:t>
      </w:r>
      <w:r>
        <w:rPr>
          <w:rFonts w:hint="eastAsia"/>
          <w:lang w:eastAsia="zh-CN"/>
        </w:rPr>
        <w:t>“互联网”、“内网”。</w:t>
      </w:r>
    </w:p>
    <w:p w14:paraId="7EDD4785">
      <w:pPr>
        <w:pStyle w:val="188"/>
      </w:pPr>
      <w:bookmarkStart w:id="4244" w:name="_Toc141875035"/>
      <w:r>
        <w:rPr>
          <w:rFonts w:hint="eastAsia"/>
        </w:rPr>
        <w:t>创建自定义属性</w:t>
      </w:r>
      <w:bookmarkEnd w:id="4244"/>
    </w:p>
    <w:p w14:paraId="0A0DAD46">
      <w:pPr>
        <w:spacing w:before="78" w:after="78"/>
      </w:pPr>
      <w:r>
        <w:drawing>
          <wp:inline distT="0" distB="0" distL="0" distR="0">
            <wp:extent cx="5400040" cy="2595880"/>
            <wp:effectExtent l="0" t="0" r="0" b="0"/>
            <wp:docPr id="741" name="图片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图片 741"/>
                    <pic:cNvPicPr>
                      <a:picLocks noChangeAspect="1"/>
                    </pic:cNvPicPr>
                  </pic:nvPicPr>
                  <pic:blipFill>
                    <a:blip r:embed="rId590"/>
                    <a:stretch>
                      <a:fillRect/>
                    </a:stretch>
                  </pic:blipFill>
                  <pic:spPr>
                    <a:xfrm>
                      <a:off x="0" y="0"/>
                      <a:ext cx="5400040" cy="2596367"/>
                    </a:xfrm>
                    <a:prstGeom prst="rect">
                      <a:avLst/>
                    </a:prstGeom>
                  </pic:spPr>
                </pic:pic>
              </a:graphicData>
            </a:graphic>
          </wp:inline>
        </w:drawing>
      </w:r>
    </w:p>
    <w:p w14:paraId="49BCFA2C"/>
    <w:p w14:paraId="71D6361C">
      <w:pPr>
        <w:pStyle w:val="202"/>
        <w:rPr>
          <w:lang w:eastAsia="zh-CN"/>
        </w:rPr>
      </w:pPr>
      <w:r>
        <w:rPr>
          <w:rFonts w:hint="eastAsia"/>
          <w:bCs/>
          <w:lang w:eastAsia="zh-CN"/>
        </w:rPr>
        <w:t>通过菜单“</w:t>
      </w:r>
      <w:r>
        <w:rPr>
          <w:rFonts w:hint="eastAsia"/>
          <w:lang w:eastAsia="zh-CN"/>
        </w:rPr>
        <w:t>用户管理&gt;用户管理</w:t>
      </w:r>
      <w:r>
        <w:rPr>
          <w:rFonts w:hint="eastAsia"/>
          <w:bCs/>
          <w:lang w:eastAsia="zh-CN"/>
        </w:rPr>
        <w:t>&gt;</w:t>
      </w:r>
      <w:r>
        <w:rPr>
          <w:bCs/>
          <w:lang w:eastAsia="zh-CN"/>
        </w:rPr>
        <w:t xml:space="preserve"> </w:t>
      </w:r>
      <w:r>
        <w:rPr>
          <w:rFonts w:hint="eastAsia"/>
          <w:bCs/>
          <w:lang w:eastAsia="zh-CN"/>
        </w:rPr>
        <w:t>用户</w:t>
      </w:r>
      <w:r>
        <w:rPr>
          <w:bCs/>
          <w:lang w:eastAsia="zh-CN"/>
        </w:rPr>
        <w:t>组织结构</w:t>
      </w:r>
      <w:r>
        <w:rPr>
          <w:rFonts w:hint="eastAsia"/>
          <w:bCs/>
          <w:lang w:eastAsia="zh-CN"/>
        </w:rPr>
        <w:t>&gt;</w:t>
      </w:r>
      <w:r>
        <w:rPr>
          <w:bCs/>
          <w:lang w:eastAsia="zh-CN"/>
        </w:rPr>
        <w:t xml:space="preserve"> </w:t>
      </w:r>
      <w:r>
        <w:rPr>
          <w:rFonts w:hint="eastAsia"/>
          <w:bCs/>
          <w:lang w:eastAsia="zh-CN"/>
        </w:rPr>
        <w:t>本地</w:t>
      </w:r>
      <w:r>
        <w:rPr>
          <w:bCs/>
          <w:lang w:eastAsia="zh-CN"/>
        </w:rPr>
        <w:t>属性结构</w:t>
      </w:r>
      <w:r>
        <w:rPr>
          <w:rFonts w:hint="eastAsia"/>
          <w:bCs/>
          <w:lang w:eastAsia="zh-CN"/>
        </w:rPr>
        <w:t>”</w:t>
      </w:r>
      <w:r>
        <w:rPr>
          <w:rFonts w:hint="eastAsia"/>
          <w:b/>
          <w:lang w:eastAsia="zh-CN"/>
        </w:rPr>
        <w:t>，</w:t>
      </w:r>
      <w:r>
        <w:rPr>
          <w:rFonts w:hint="eastAsia"/>
          <w:lang w:eastAsia="zh-CN"/>
        </w:rPr>
        <w:t>新建两个属性组</w:t>
      </w:r>
      <w:r>
        <w:rPr>
          <w:lang w:eastAsia="zh-CN"/>
        </w:rPr>
        <w:t>，分别为</w:t>
      </w:r>
      <w:r>
        <w:rPr>
          <w:rFonts w:hint="eastAsia"/>
          <w:lang w:eastAsia="zh-CN"/>
        </w:rPr>
        <w:t>“互联网用户”、</w:t>
      </w:r>
      <w:r>
        <w:rPr>
          <w:lang w:eastAsia="zh-CN"/>
        </w:rPr>
        <w:t>“</w:t>
      </w:r>
      <w:r>
        <w:rPr>
          <w:rFonts w:hint="eastAsia"/>
          <w:lang w:eastAsia="zh-CN"/>
        </w:rPr>
        <w:t>内网</w:t>
      </w:r>
      <w:r>
        <w:rPr>
          <w:lang w:eastAsia="zh-CN"/>
        </w:rPr>
        <w:t>用户”</w:t>
      </w:r>
      <w:r>
        <w:rPr>
          <w:rFonts w:hint="eastAsia"/>
          <w:lang w:eastAsia="zh-CN"/>
        </w:rPr>
        <w:t>，</w:t>
      </w:r>
      <w:r>
        <w:rPr>
          <w:lang w:eastAsia="zh-CN"/>
        </w:rPr>
        <w:t>增加</w:t>
      </w:r>
      <w:r>
        <w:rPr>
          <w:rFonts w:hint="eastAsia"/>
          <w:lang w:eastAsia="zh-CN"/>
        </w:rPr>
        <w:t>自定义</w:t>
      </w:r>
      <w:r>
        <w:rPr>
          <w:lang w:eastAsia="zh-CN"/>
        </w:rPr>
        <w:t>属性。</w:t>
      </w:r>
    </w:p>
    <w:p w14:paraId="41E6BEFE">
      <w:pPr>
        <w:pStyle w:val="188"/>
      </w:pPr>
      <w:bookmarkStart w:id="4245" w:name="_Toc141875036"/>
      <w:r>
        <w:rPr>
          <w:rFonts w:hint="eastAsia"/>
        </w:rPr>
        <w:t>配置本地属性组</w:t>
      </w:r>
      <w:bookmarkEnd w:id="4245"/>
    </w:p>
    <w:p w14:paraId="4C39E2A0">
      <w:pPr>
        <w:spacing w:before="78" w:after="78"/>
      </w:pPr>
      <w:r>
        <w:drawing>
          <wp:inline distT="0" distB="0" distL="0" distR="0">
            <wp:extent cx="5400040" cy="2866390"/>
            <wp:effectExtent l="0" t="0" r="0" b="0"/>
            <wp:docPr id="742" name="图片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图片 742"/>
                    <pic:cNvPicPr>
                      <a:picLocks noChangeAspect="1"/>
                    </pic:cNvPicPr>
                  </pic:nvPicPr>
                  <pic:blipFill>
                    <a:blip r:embed="rId591"/>
                    <a:stretch>
                      <a:fillRect/>
                    </a:stretch>
                  </pic:blipFill>
                  <pic:spPr>
                    <a:xfrm>
                      <a:off x="0" y="0"/>
                      <a:ext cx="5400040" cy="2866985"/>
                    </a:xfrm>
                    <a:prstGeom prst="rect">
                      <a:avLst/>
                    </a:prstGeom>
                  </pic:spPr>
                </pic:pic>
              </a:graphicData>
            </a:graphic>
          </wp:inline>
        </w:drawing>
      </w:r>
    </w:p>
    <w:p w14:paraId="63B7F17C">
      <w:pPr>
        <w:spacing w:before="120" w:after="120"/>
      </w:pPr>
    </w:p>
    <w:p w14:paraId="22B80853">
      <w:pPr>
        <w:spacing w:before="78" w:after="78"/>
      </w:pPr>
      <w:r>
        <w:drawing>
          <wp:inline distT="0" distB="0" distL="0" distR="0">
            <wp:extent cx="5400040" cy="3004185"/>
            <wp:effectExtent l="0" t="0" r="0" b="5715"/>
            <wp:docPr id="743" name="图片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图片 743"/>
                    <pic:cNvPicPr>
                      <a:picLocks noChangeAspect="1"/>
                    </pic:cNvPicPr>
                  </pic:nvPicPr>
                  <pic:blipFill>
                    <a:blip r:embed="rId592"/>
                    <a:stretch>
                      <a:fillRect/>
                    </a:stretch>
                  </pic:blipFill>
                  <pic:spPr>
                    <a:xfrm>
                      <a:off x="0" y="0"/>
                      <a:ext cx="5400040" cy="3004255"/>
                    </a:xfrm>
                    <a:prstGeom prst="rect">
                      <a:avLst/>
                    </a:prstGeom>
                  </pic:spPr>
                </pic:pic>
              </a:graphicData>
            </a:graphic>
          </wp:inline>
        </w:drawing>
      </w:r>
    </w:p>
    <w:p w14:paraId="09242FAC"/>
    <w:p w14:paraId="4C4592F4">
      <w:pPr>
        <w:pStyle w:val="202"/>
      </w:pPr>
      <w:r>
        <w:t>配置分时访问控制</w:t>
      </w:r>
    </w:p>
    <w:p w14:paraId="242380B2">
      <w:r>
        <w:rPr>
          <w:rFonts w:hint="eastAsia"/>
        </w:rPr>
        <w:t>通过菜单“策略</w:t>
      </w:r>
      <w:r>
        <w:t>配置</w:t>
      </w:r>
      <w:r>
        <w:rPr>
          <w:rFonts w:hint="eastAsia"/>
        </w:rPr>
        <w:t>&gt;</w:t>
      </w:r>
      <w:r>
        <w:t xml:space="preserve"> </w:t>
      </w:r>
      <w:r>
        <w:rPr>
          <w:rFonts w:hint="eastAsia"/>
        </w:rPr>
        <w:t>控制策略”，点击&lt;新建</w:t>
      </w:r>
      <w:r>
        <w:t>&gt;</w:t>
      </w:r>
      <w:r>
        <w:rPr>
          <w:rFonts w:hint="eastAsia"/>
        </w:rPr>
        <w:t>，针对用户</w:t>
      </w:r>
      <w:r>
        <w:t>访问不同的两条网络</w:t>
      </w:r>
      <w:r>
        <w:rPr>
          <w:rFonts w:hint="eastAsia"/>
        </w:rPr>
        <w:t>配置</w:t>
      </w:r>
      <w:r>
        <w:t>两条控制策略。</w:t>
      </w:r>
      <w:r>
        <w:rPr>
          <w:rFonts w:hint="eastAsia"/>
        </w:rPr>
        <w:t>匹配</w:t>
      </w:r>
      <w:r>
        <w:t>条件目的地址</w:t>
      </w:r>
      <w:r>
        <w:rPr>
          <w:rFonts w:hint="eastAsia"/>
        </w:rPr>
        <w:t>选择不同</w:t>
      </w:r>
      <w:r>
        <w:t>会匹配不同的控制策略</w:t>
      </w:r>
      <w:r>
        <w:rPr>
          <w:rFonts w:hint="eastAsia"/>
        </w:rPr>
        <w:t>。</w:t>
      </w:r>
    </w:p>
    <w:p w14:paraId="010CEF48">
      <w:pPr>
        <w:pStyle w:val="188"/>
      </w:pPr>
      <w:bookmarkStart w:id="4246" w:name="_Toc141875037"/>
      <w:r>
        <w:rPr>
          <w:rFonts w:hint="eastAsia"/>
        </w:rPr>
        <w:t>配置分时访问</w:t>
      </w:r>
      <w:r>
        <w:t>控制策略-匹配条件</w:t>
      </w:r>
      <w:bookmarkEnd w:id="4246"/>
    </w:p>
    <w:p w14:paraId="68443CA0">
      <w:pPr>
        <w:spacing w:before="78" w:after="78"/>
      </w:pPr>
      <w:r>
        <w:drawing>
          <wp:inline distT="0" distB="0" distL="0" distR="0">
            <wp:extent cx="5109210" cy="2933700"/>
            <wp:effectExtent l="0" t="0" r="0" b="0"/>
            <wp:docPr id="744" name="图片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图片 744"/>
                    <pic:cNvPicPr>
                      <a:picLocks noChangeAspect="1"/>
                    </pic:cNvPicPr>
                  </pic:nvPicPr>
                  <pic:blipFill>
                    <a:blip r:embed="rId593"/>
                    <a:stretch>
                      <a:fillRect/>
                    </a:stretch>
                  </pic:blipFill>
                  <pic:spPr>
                    <a:xfrm>
                      <a:off x="0" y="0"/>
                      <a:ext cx="5110925" cy="2934619"/>
                    </a:xfrm>
                    <a:prstGeom prst="rect">
                      <a:avLst/>
                    </a:prstGeom>
                  </pic:spPr>
                </pic:pic>
              </a:graphicData>
            </a:graphic>
          </wp:inline>
        </w:drawing>
      </w:r>
    </w:p>
    <w:p w14:paraId="1CD6AB0F">
      <w:pPr>
        <w:pStyle w:val="202"/>
        <w:rPr>
          <w:lang w:eastAsia="zh-CN"/>
        </w:rPr>
      </w:pPr>
      <w:r>
        <w:rPr>
          <w:lang w:eastAsia="zh-CN"/>
        </w:rPr>
        <w:t>选择</w:t>
      </w:r>
      <w:r>
        <w:rPr>
          <w:rFonts w:hint="eastAsia" w:cstheme="minorBidi"/>
          <w:lang w:eastAsia="zh-CN"/>
        </w:rPr>
        <w:t>分时访问规则</w:t>
      </w:r>
      <w:r>
        <w:rPr>
          <w:lang w:eastAsia="zh-CN"/>
        </w:rPr>
        <w:t>标签页</w:t>
      </w:r>
      <w:r>
        <w:rPr>
          <w:rFonts w:hint="eastAsia"/>
          <w:lang w:eastAsia="zh-CN"/>
        </w:rPr>
        <w:t>，用户加入选择创建的属性组“互联网用户”。</w:t>
      </w:r>
    </w:p>
    <w:p w14:paraId="726D10B9">
      <w:pPr>
        <w:pStyle w:val="188"/>
      </w:pPr>
      <w:bookmarkStart w:id="4247" w:name="_Toc141875038"/>
      <w:r>
        <w:rPr>
          <w:rFonts w:hint="eastAsia"/>
        </w:rPr>
        <w:t>配置分时访问规则</w:t>
      </w:r>
      <w:bookmarkEnd w:id="4247"/>
    </w:p>
    <w:p w14:paraId="5D2784D6">
      <w:pPr>
        <w:spacing w:before="78" w:after="78"/>
      </w:pPr>
      <w:r>
        <w:drawing>
          <wp:inline distT="0" distB="0" distL="0" distR="0">
            <wp:extent cx="5400040" cy="2947035"/>
            <wp:effectExtent l="0" t="0" r="0" b="5715"/>
            <wp:docPr id="745" name="图片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图片 745"/>
                    <pic:cNvPicPr>
                      <a:picLocks noChangeAspect="1"/>
                    </pic:cNvPicPr>
                  </pic:nvPicPr>
                  <pic:blipFill>
                    <a:blip r:embed="rId594"/>
                    <a:stretch>
                      <a:fillRect/>
                    </a:stretch>
                  </pic:blipFill>
                  <pic:spPr>
                    <a:xfrm>
                      <a:off x="0" y="0"/>
                      <a:ext cx="5400040" cy="2947284"/>
                    </a:xfrm>
                    <a:prstGeom prst="rect">
                      <a:avLst/>
                    </a:prstGeom>
                  </pic:spPr>
                </pic:pic>
              </a:graphicData>
            </a:graphic>
          </wp:inline>
        </w:drawing>
      </w:r>
    </w:p>
    <w:p w14:paraId="501FFADB"/>
    <w:p w14:paraId="75E779B9">
      <w:pPr>
        <w:pStyle w:val="202"/>
        <w:rPr>
          <w:lang w:eastAsia="zh-CN"/>
        </w:rPr>
      </w:pPr>
      <w:r>
        <w:rPr>
          <w:rFonts w:hint="eastAsia"/>
          <w:lang w:eastAsia="zh-CN"/>
        </w:rPr>
        <w:t>同样的方法，再创建一条控制策略，目的地址选择“内网”，用户加入选择属性组“内网用户”。</w:t>
      </w:r>
    </w:p>
    <w:p w14:paraId="4C35AA10">
      <w:pPr>
        <w:pStyle w:val="202"/>
      </w:pPr>
      <w:r>
        <w:rPr>
          <w:rFonts w:hint="eastAsia"/>
        </w:rPr>
        <w:t>配置认证策略。</w:t>
      </w:r>
    </w:p>
    <w:p w14:paraId="41CA0B64">
      <w:r>
        <w:rPr>
          <w:rFonts w:hint="eastAsia"/>
        </w:rPr>
        <w:t>通过菜单“用户管理&gt;认证管理&gt;</w:t>
      </w:r>
      <w:r>
        <w:t xml:space="preserve"> </w:t>
      </w:r>
      <w:r>
        <w:rPr>
          <w:rFonts w:hint="eastAsia"/>
        </w:rPr>
        <w:t>认证</w:t>
      </w:r>
      <w:r>
        <w:t>策略</w:t>
      </w:r>
      <w:r>
        <w:rPr>
          <w:rFonts w:hint="eastAsia"/>
        </w:rPr>
        <w:t>&gt;</w:t>
      </w:r>
      <w:r>
        <w:t xml:space="preserve"> </w:t>
      </w:r>
      <w:r>
        <w:rPr>
          <w:rFonts w:hint="eastAsia"/>
        </w:rPr>
        <w:t>新建”，</w:t>
      </w:r>
      <w:r>
        <w:t>配置一条本地</w:t>
      </w:r>
      <w:r>
        <w:rPr>
          <w:rFonts w:hint="eastAsia"/>
        </w:rPr>
        <w:t>WEB认证</w:t>
      </w:r>
      <w:r>
        <w:t>策略</w:t>
      </w:r>
      <w:r>
        <w:rPr>
          <w:rFonts w:hint="eastAsia"/>
        </w:rPr>
        <w:t>。</w:t>
      </w:r>
    </w:p>
    <w:p w14:paraId="7F23E486">
      <w:pPr>
        <w:pStyle w:val="188"/>
      </w:pPr>
      <w:bookmarkStart w:id="4248" w:name="_Toc141875039"/>
      <w:r>
        <w:rPr>
          <w:rFonts w:hint="eastAsia"/>
        </w:rPr>
        <w:t>配置认证策略</w:t>
      </w:r>
      <w:bookmarkEnd w:id="4248"/>
    </w:p>
    <w:p w14:paraId="1F02E9C9">
      <w:pPr>
        <w:spacing w:before="78" w:after="78"/>
      </w:pPr>
      <w:r>
        <w:drawing>
          <wp:inline distT="0" distB="0" distL="0" distR="0">
            <wp:extent cx="5400040" cy="895350"/>
            <wp:effectExtent l="0" t="0" r="0" b="0"/>
            <wp:docPr id="746" name="图片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图片 746"/>
                    <pic:cNvPicPr>
                      <a:picLocks noChangeAspect="1"/>
                    </pic:cNvPicPr>
                  </pic:nvPicPr>
                  <pic:blipFill>
                    <a:blip r:embed="rId595"/>
                    <a:stretch>
                      <a:fillRect/>
                    </a:stretch>
                  </pic:blipFill>
                  <pic:spPr>
                    <a:xfrm>
                      <a:off x="0" y="0"/>
                      <a:ext cx="5400040" cy="895898"/>
                    </a:xfrm>
                    <a:prstGeom prst="rect">
                      <a:avLst/>
                    </a:prstGeom>
                  </pic:spPr>
                </pic:pic>
              </a:graphicData>
            </a:graphic>
          </wp:inline>
        </w:drawing>
      </w:r>
    </w:p>
    <w:p w14:paraId="4DCF764C"/>
    <w:p w14:paraId="2AFA16E1">
      <w:pPr>
        <w:pStyle w:val="202"/>
      </w:pPr>
      <w:r>
        <w:t>配置本地用户</w:t>
      </w:r>
    </w:p>
    <w:p w14:paraId="574C8456">
      <w:r>
        <w:rPr>
          <w:rFonts w:hint="eastAsia"/>
        </w:rPr>
        <w:t>过菜单“用户</w:t>
      </w:r>
      <w:r>
        <w:t>管理</w:t>
      </w:r>
      <w:r>
        <w:rPr>
          <w:rFonts w:hint="eastAsia"/>
        </w:rPr>
        <w:t>&gt;</w:t>
      </w:r>
      <w:r>
        <w:t xml:space="preserve"> </w:t>
      </w:r>
      <w:r>
        <w:rPr>
          <w:rFonts w:hint="eastAsia"/>
        </w:rPr>
        <w:t>用户组织</w:t>
      </w:r>
      <w:r>
        <w:t>结构</w:t>
      </w:r>
      <w:r>
        <w:rPr>
          <w:rFonts w:hint="eastAsia"/>
        </w:rPr>
        <w:t>”，创建本地认证用户，配置用户名及密码。</w:t>
      </w:r>
    </w:p>
    <w:p w14:paraId="2D7DC5D6">
      <w:pPr>
        <w:pStyle w:val="188"/>
      </w:pPr>
      <w:bookmarkStart w:id="4249" w:name="_Toc141875040"/>
      <w:r>
        <w:rPr>
          <w:rFonts w:hint="eastAsia"/>
        </w:rPr>
        <w:t>配置本地用户</w:t>
      </w:r>
      <w:bookmarkEnd w:id="4249"/>
    </w:p>
    <w:p w14:paraId="4D1B807A">
      <w:pPr>
        <w:spacing w:before="78" w:after="78"/>
      </w:pPr>
      <w:r>
        <w:drawing>
          <wp:inline distT="0" distB="0" distL="0" distR="0">
            <wp:extent cx="5400040" cy="5120005"/>
            <wp:effectExtent l="0" t="0" r="0" b="4445"/>
            <wp:docPr id="747" name="图片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图片 747"/>
                    <pic:cNvPicPr>
                      <a:picLocks noChangeAspect="1"/>
                    </pic:cNvPicPr>
                  </pic:nvPicPr>
                  <pic:blipFill>
                    <a:blip r:embed="rId596"/>
                    <a:stretch>
                      <a:fillRect/>
                    </a:stretch>
                  </pic:blipFill>
                  <pic:spPr>
                    <a:xfrm>
                      <a:off x="0" y="0"/>
                      <a:ext cx="5400040" cy="5120019"/>
                    </a:xfrm>
                    <a:prstGeom prst="rect">
                      <a:avLst/>
                    </a:prstGeom>
                  </pic:spPr>
                </pic:pic>
              </a:graphicData>
            </a:graphic>
          </wp:inline>
        </w:drawing>
      </w:r>
    </w:p>
    <w:p w14:paraId="331CAB14">
      <w:pPr>
        <w:pStyle w:val="6"/>
      </w:pPr>
      <w:bookmarkStart w:id="4250" w:name="_Toc137557923"/>
      <w:r>
        <w:rPr>
          <w:rFonts w:hint="eastAsia"/>
        </w:rPr>
        <w:t>验证配置</w:t>
      </w:r>
      <w:bookmarkEnd w:id="4250"/>
    </w:p>
    <w:p w14:paraId="6DDBE12D">
      <w:pPr>
        <w:pStyle w:val="202"/>
        <w:rPr>
          <w:lang w:eastAsia="zh-CN"/>
        </w:rPr>
      </w:pPr>
      <w:r>
        <w:rPr>
          <w:lang w:eastAsia="zh-CN"/>
        </w:rPr>
        <w:t>测试PC访问互联网弹Portal进行认证，本地认证上线成功。</w:t>
      </w:r>
    </w:p>
    <w:p w14:paraId="275A5D0E">
      <w:pPr>
        <w:pStyle w:val="188"/>
      </w:pPr>
      <w:bookmarkStart w:id="4251" w:name="_Toc141875041"/>
      <w:r>
        <w:rPr>
          <w:rFonts w:hint="eastAsia"/>
        </w:rPr>
        <w:t>本地</w:t>
      </w:r>
      <w:r>
        <w:t>认证上线</w:t>
      </w:r>
      <w:bookmarkEnd w:id="4251"/>
    </w:p>
    <w:p w14:paraId="50B0B688">
      <w:pPr>
        <w:spacing w:before="78" w:after="78"/>
      </w:pPr>
      <w:r>
        <w:drawing>
          <wp:inline distT="0" distB="0" distL="0" distR="0">
            <wp:extent cx="2114550" cy="2676525"/>
            <wp:effectExtent l="0" t="0" r="0" b="9525"/>
            <wp:docPr id="736" name="图片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图片 736"/>
                    <pic:cNvPicPr>
                      <a:picLocks noChangeAspect="1"/>
                    </pic:cNvPicPr>
                  </pic:nvPicPr>
                  <pic:blipFill>
                    <a:blip r:embed="rId597">
                      <a:extLst>
                        <a:ext uri="{28A0092B-C50C-407E-A947-70E740481C1C}">
                          <a14:useLocalDpi xmlns:a14="http://schemas.microsoft.com/office/drawing/2010/main" val="0"/>
                        </a:ext>
                      </a:extLst>
                    </a:blip>
                    <a:stretch>
                      <a:fillRect/>
                    </a:stretch>
                  </pic:blipFill>
                  <pic:spPr>
                    <a:xfrm>
                      <a:off x="0" y="0"/>
                      <a:ext cx="2114550" cy="2677006"/>
                    </a:xfrm>
                    <a:prstGeom prst="rect">
                      <a:avLst/>
                    </a:prstGeom>
                  </pic:spPr>
                </pic:pic>
              </a:graphicData>
            </a:graphic>
          </wp:inline>
        </w:drawing>
      </w:r>
    </w:p>
    <w:p w14:paraId="26574E15"/>
    <w:p w14:paraId="7E5B4AD3">
      <w:pPr>
        <w:pStyle w:val="202"/>
        <w:rPr>
          <w:lang w:eastAsia="zh-CN"/>
        </w:rPr>
      </w:pPr>
      <w:r>
        <w:rPr>
          <w:lang w:eastAsia="zh-CN"/>
        </w:rPr>
        <w:t>认证成功后访问互联网，认证用户加入互联网用户属性组中。</w:t>
      </w:r>
    </w:p>
    <w:p w14:paraId="0F5280A2">
      <w:pPr>
        <w:pStyle w:val="188"/>
      </w:pPr>
      <w:bookmarkStart w:id="4252" w:name="_Toc141875042"/>
      <w:r>
        <w:rPr>
          <w:rFonts w:hint="eastAsia"/>
        </w:rPr>
        <w:t>用户</w:t>
      </w:r>
      <w:r>
        <w:t>加入</w:t>
      </w:r>
      <w:r>
        <w:rPr>
          <w:rFonts w:hint="eastAsia"/>
        </w:rPr>
        <w:t>“互联网”</w:t>
      </w:r>
      <w:r>
        <w:t>属性组</w:t>
      </w:r>
      <w:bookmarkEnd w:id="4252"/>
    </w:p>
    <w:p w14:paraId="6B1D839E">
      <w:pPr>
        <w:spacing w:before="78" w:after="78"/>
      </w:pPr>
      <w:r>
        <w:drawing>
          <wp:inline distT="0" distB="0" distL="0" distR="0">
            <wp:extent cx="5353050" cy="2183765"/>
            <wp:effectExtent l="0" t="0" r="0" b="6985"/>
            <wp:docPr id="737" name="图片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图片 737"/>
                    <pic:cNvPicPr>
                      <a:picLocks noChangeAspect="1"/>
                    </pic:cNvPicPr>
                  </pic:nvPicPr>
                  <pic:blipFill>
                    <a:blip r:embed="rId598"/>
                    <a:stretch>
                      <a:fillRect/>
                    </a:stretch>
                  </pic:blipFill>
                  <pic:spPr>
                    <a:xfrm>
                      <a:off x="0" y="0"/>
                      <a:ext cx="5385910" cy="2197627"/>
                    </a:xfrm>
                    <a:prstGeom prst="rect">
                      <a:avLst/>
                    </a:prstGeom>
                  </pic:spPr>
                </pic:pic>
              </a:graphicData>
            </a:graphic>
          </wp:inline>
        </w:drawing>
      </w:r>
    </w:p>
    <w:p w14:paraId="664F2A26">
      <w:pPr>
        <w:pStyle w:val="373"/>
        <w:spacing w:after="156"/>
      </w:pPr>
    </w:p>
    <w:p w14:paraId="0610E76C">
      <w:pPr>
        <w:pStyle w:val="202"/>
        <w:rPr>
          <w:lang w:eastAsia="zh-CN"/>
        </w:rPr>
      </w:pPr>
      <w:r>
        <w:rPr>
          <w:lang w:eastAsia="zh-CN"/>
        </w:rPr>
        <w:t>该用户访问内网HTTP服务器，弹出Portal页面，单击“切换”按钮，该用户切换到属性组“内网用户”下面。</w:t>
      </w:r>
    </w:p>
    <w:p w14:paraId="518AD820">
      <w:pPr>
        <w:pStyle w:val="188"/>
      </w:pPr>
      <w:bookmarkStart w:id="4253" w:name="_Toc141875043"/>
      <w:r>
        <w:t>网络切换</w:t>
      </w:r>
      <w:r>
        <w:rPr>
          <w:rFonts w:hint="eastAsia"/>
        </w:rPr>
        <w:t>portal页面</w:t>
      </w:r>
      <w:bookmarkEnd w:id="4253"/>
    </w:p>
    <w:p w14:paraId="56921ED0">
      <w:pPr>
        <w:spacing w:before="78" w:after="78"/>
      </w:pPr>
      <w:r>
        <w:drawing>
          <wp:inline distT="0" distB="0" distL="0" distR="0">
            <wp:extent cx="5619750" cy="2345690"/>
            <wp:effectExtent l="0" t="0" r="0" b="0"/>
            <wp:docPr id="738" name="图片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图片 738"/>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a:xfrm>
                      <a:off x="0" y="0"/>
                      <a:ext cx="5622273" cy="2346992"/>
                    </a:xfrm>
                    <a:prstGeom prst="rect">
                      <a:avLst/>
                    </a:prstGeom>
                    <a:noFill/>
                    <a:ln>
                      <a:noFill/>
                    </a:ln>
                  </pic:spPr>
                </pic:pic>
              </a:graphicData>
            </a:graphic>
          </wp:inline>
        </w:drawing>
      </w:r>
    </w:p>
    <w:p w14:paraId="3EB4ED93"/>
    <w:p w14:paraId="3E0AFC57">
      <w:pPr>
        <w:pStyle w:val="188"/>
      </w:pPr>
      <w:bookmarkStart w:id="4254" w:name="_Toc141875044"/>
      <w:r>
        <w:rPr>
          <w:rFonts w:hint="eastAsia"/>
        </w:rPr>
        <w:t>用户</w:t>
      </w:r>
      <w:r>
        <w:t>切换属性组</w:t>
      </w:r>
      <w:bookmarkEnd w:id="4254"/>
    </w:p>
    <w:p w14:paraId="467F6A93">
      <w:pPr>
        <w:spacing w:before="78" w:after="78"/>
      </w:pPr>
      <w:r>
        <w:drawing>
          <wp:inline distT="0" distB="0" distL="0" distR="0">
            <wp:extent cx="5285740" cy="1581785"/>
            <wp:effectExtent l="0" t="0" r="0" b="0"/>
            <wp:docPr id="748" name="图片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图片 748"/>
                    <pic:cNvPicPr>
                      <a:picLocks noChangeAspect="1"/>
                    </pic:cNvPicPr>
                  </pic:nvPicPr>
                  <pic:blipFill>
                    <a:blip r:embed="rId600"/>
                    <a:stretch>
                      <a:fillRect/>
                    </a:stretch>
                  </pic:blipFill>
                  <pic:spPr>
                    <a:xfrm>
                      <a:off x="0" y="0"/>
                      <a:ext cx="5293053" cy="1583852"/>
                    </a:xfrm>
                    <a:prstGeom prst="rect">
                      <a:avLst/>
                    </a:prstGeom>
                  </pic:spPr>
                </pic:pic>
              </a:graphicData>
            </a:graphic>
          </wp:inline>
        </w:drawing>
      </w:r>
    </w:p>
    <w:p w14:paraId="2128627F"/>
    <w:bookmarkEnd w:id="4200"/>
    <w:p w14:paraId="2557547E">
      <w:pPr>
        <w:pStyle w:val="4"/>
      </w:pPr>
      <w:bookmarkStart w:id="4255" w:name="_Toc496866130"/>
      <w:bookmarkEnd w:id="4255"/>
      <w:bookmarkStart w:id="4256" w:name="_Toc496866133"/>
      <w:bookmarkEnd w:id="4256"/>
      <w:bookmarkStart w:id="4257" w:name="_流量监控"/>
      <w:bookmarkEnd w:id="4257"/>
      <w:bookmarkStart w:id="4258" w:name="_Toc496866123"/>
      <w:bookmarkEnd w:id="4258"/>
      <w:bookmarkStart w:id="4259" w:name="_Toc508014310"/>
      <w:bookmarkEnd w:id="4259"/>
      <w:bookmarkStart w:id="4260" w:name="_Toc496866128"/>
      <w:bookmarkEnd w:id="4260"/>
      <w:bookmarkStart w:id="4261" w:name="_Toc508014308"/>
      <w:bookmarkEnd w:id="4261"/>
      <w:bookmarkStart w:id="4262" w:name="_Toc6235077"/>
      <w:bookmarkStart w:id="4263" w:name="_Toc15484943"/>
      <w:bookmarkStart w:id="4264" w:name="_Toc23152707"/>
      <w:bookmarkStart w:id="4265" w:name="_Toc40276140"/>
      <w:bookmarkStart w:id="4266" w:name="_Toc99561782"/>
      <w:bookmarkStart w:id="4267" w:name="_Toc141873641"/>
      <w:bookmarkStart w:id="4268" w:name="_Toc142401158"/>
      <w:bookmarkStart w:id="4269" w:name="_Toc172218420"/>
      <w:bookmarkStart w:id="4270" w:name="_Toc194080906"/>
      <w:bookmarkStart w:id="4271" w:name="_Toc196728238"/>
      <w:bookmarkStart w:id="4272" w:name="_Toc99561769"/>
      <w:bookmarkStart w:id="4273" w:name="_Toc23152695"/>
      <w:bookmarkStart w:id="4274" w:name="_Toc15484931"/>
      <w:bookmarkStart w:id="4275" w:name="_Toc6235063"/>
      <w:bookmarkStart w:id="4276" w:name="_Toc40276128"/>
      <w:r>
        <w:rPr>
          <w:rFonts w:hint="eastAsia"/>
        </w:rPr>
        <w:t>应用</w:t>
      </w:r>
      <w:r>
        <w:t>控制</w:t>
      </w:r>
      <w:bookmarkEnd w:id="4262"/>
      <w:bookmarkEnd w:id="4263"/>
      <w:bookmarkEnd w:id="4264"/>
      <w:bookmarkEnd w:id="4265"/>
      <w:bookmarkEnd w:id="4266"/>
      <w:bookmarkEnd w:id="4267"/>
      <w:bookmarkEnd w:id="4268"/>
      <w:bookmarkEnd w:id="4269"/>
      <w:bookmarkEnd w:id="4270"/>
      <w:bookmarkEnd w:id="4271"/>
    </w:p>
    <w:p w14:paraId="22511BA6">
      <w:pPr>
        <w:pStyle w:val="5"/>
      </w:pPr>
      <w:bookmarkStart w:id="4277" w:name="_Toc196728239"/>
      <w:bookmarkStart w:id="4278" w:name="_Toc23152708"/>
      <w:bookmarkStart w:id="4279" w:name="_Toc99561783"/>
      <w:bookmarkStart w:id="4280" w:name="_Toc141873642"/>
      <w:bookmarkStart w:id="4281" w:name="_Toc142401159"/>
      <w:bookmarkStart w:id="4282" w:name="_Toc6235078"/>
      <w:bookmarkStart w:id="4283" w:name="_Toc15484944"/>
      <w:bookmarkStart w:id="4284" w:name="_Toc40276141"/>
      <w:bookmarkStart w:id="4285" w:name="_Toc172218421"/>
      <w:bookmarkStart w:id="4286" w:name="_Toc194080907"/>
      <w:r>
        <w:rPr>
          <w:rFonts w:hint="eastAsia"/>
        </w:rPr>
        <w:t>应用</w:t>
      </w:r>
      <w:r>
        <w:t>控制</w:t>
      </w:r>
      <w:r>
        <w:rPr>
          <w:rFonts w:hint="eastAsia"/>
        </w:rPr>
        <w:t>概述</w:t>
      </w:r>
      <w:bookmarkEnd w:id="4277"/>
      <w:bookmarkEnd w:id="4278"/>
      <w:bookmarkEnd w:id="4279"/>
      <w:bookmarkEnd w:id="4280"/>
      <w:bookmarkEnd w:id="4281"/>
      <w:bookmarkEnd w:id="4282"/>
      <w:bookmarkEnd w:id="4283"/>
      <w:bookmarkEnd w:id="4284"/>
      <w:bookmarkEnd w:id="4285"/>
      <w:bookmarkEnd w:id="4286"/>
    </w:p>
    <w:p w14:paraId="1C9E79C9">
      <w:r>
        <w:rPr>
          <w:rFonts w:hint="eastAsia"/>
        </w:rPr>
        <w:t>应用控制是</w:t>
      </w:r>
      <w:r>
        <w:t>基于应用对象</w:t>
      </w:r>
      <w:r>
        <w:rPr>
          <w:rFonts w:hint="eastAsia"/>
        </w:rPr>
        <w:t>来</w:t>
      </w:r>
      <w:r>
        <w:t>进行</w:t>
      </w:r>
      <w:r>
        <w:rPr>
          <w:rFonts w:hint="eastAsia"/>
        </w:rPr>
        <w:t>控制</w:t>
      </w:r>
      <w:r>
        <w:t>，</w:t>
      </w:r>
      <w:r>
        <w:rPr>
          <w:rFonts w:hint="eastAsia"/>
        </w:rPr>
        <w:t>控制</w:t>
      </w:r>
      <w:r>
        <w:t>动作包含允许和拒绝</w:t>
      </w:r>
      <w:r>
        <w:rPr>
          <w:rFonts w:hint="eastAsia"/>
        </w:rPr>
        <w:t>。</w:t>
      </w:r>
    </w:p>
    <w:p w14:paraId="06B2DCA1">
      <w:pPr>
        <w:pStyle w:val="5"/>
      </w:pPr>
      <w:bookmarkStart w:id="4287" w:name="_Toc6235079"/>
      <w:bookmarkStart w:id="4288" w:name="_Toc15484945"/>
      <w:bookmarkStart w:id="4289" w:name="_Toc142401160"/>
      <w:bookmarkStart w:id="4290" w:name="_Toc172218422"/>
      <w:bookmarkStart w:id="4291" w:name="_Toc194080908"/>
      <w:bookmarkStart w:id="4292" w:name="_Toc99561784"/>
      <w:bookmarkStart w:id="4293" w:name="_Toc141873643"/>
      <w:bookmarkStart w:id="4294" w:name="_Toc23152709"/>
      <w:bookmarkStart w:id="4295" w:name="_Toc40276142"/>
      <w:bookmarkStart w:id="4296" w:name="_Toc196728240"/>
      <w:r>
        <w:rPr>
          <w:rFonts w:hint="eastAsia"/>
        </w:rPr>
        <w:t>应用</w:t>
      </w:r>
      <w:r>
        <w:t>控制页面</w:t>
      </w:r>
      <w:bookmarkEnd w:id="4287"/>
      <w:bookmarkEnd w:id="4288"/>
      <w:bookmarkEnd w:id="4289"/>
      <w:bookmarkEnd w:id="4290"/>
      <w:bookmarkEnd w:id="4291"/>
      <w:bookmarkEnd w:id="4292"/>
      <w:bookmarkEnd w:id="4293"/>
      <w:bookmarkEnd w:id="4294"/>
      <w:bookmarkEnd w:id="4295"/>
      <w:bookmarkEnd w:id="4296"/>
    </w:p>
    <w:p w14:paraId="16C6C057">
      <w:r>
        <w:rPr>
          <w:rFonts w:hint="eastAsia"/>
        </w:rPr>
        <w:t>在导航栏中选择“策略配置&gt;控制策略”，单击&lt;新建&gt;，选择“应用</w:t>
      </w:r>
      <w:r>
        <w:t>过滤</w:t>
      </w:r>
      <w:r>
        <w:rPr>
          <w:rFonts w:hint="eastAsia"/>
        </w:rPr>
        <w:t>&gt;应用</w:t>
      </w:r>
      <w:r>
        <w:t>控制</w:t>
      </w:r>
      <w:r>
        <w:rPr>
          <w:rFonts w:hint="eastAsia"/>
        </w:rPr>
        <w:t>”标签页，新建</w:t>
      </w:r>
      <w:r>
        <w:t>应用控制策略，</w:t>
      </w:r>
      <w:r>
        <w:rPr>
          <w:rFonts w:hint="eastAsia"/>
        </w:rPr>
        <w:t>如</w:t>
      </w:r>
      <w:r>
        <w:rPr>
          <w:color w:val="0000FF"/>
          <w:u w:val="single"/>
        </w:rPr>
        <w:fldChar w:fldCharType="begin"/>
      </w:r>
      <w:r>
        <w:instrText xml:space="preserve"> </w:instrText>
      </w:r>
      <w:r>
        <w:rPr>
          <w:rFonts w:hint="eastAsia"/>
        </w:rPr>
        <w:instrText xml:space="preserve">REF _Ref5627939 \r \h</w:instrText>
      </w:r>
      <w:r>
        <w:instrText xml:space="preserve"> </w:instrText>
      </w:r>
      <w:r>
        <w:rPr>
          <w:color w:val="0000FF"/>
          <w:u w:val="single"/>
        </w:rPr>
        <w:fldChar w:fldCharType="separate"/>
      </w:r>
      <w:r>
        <w:rPr>
          <w:rFonts w:hint="eastAsia"/>
        </w:rPr>
        <w:t>图14-32</w:t>
      </w:r>
      <w:r>
        <w:rPr>
          <w:color w:val="0000FF"/>
          <w:u w:val="single"/>
        </w:rPr>
        <w:fldChar w:fldCharType="end"/>
      </w:r>
      <w:r>
        <w:rPr>
          <w:rFonts w:hint="eastAsia"/>
        </w:rPr>
        <w:t>所示。应用</w:t>
      </w:r>
      <w:r>
        <w:t>控制页面详细</w:t>
      </w:r>
      <w:r>
        <w:rPr>
          <w:rFonts w:hint="eastAsia"/>
        </w:rPr>
        <w:t>配置说明，如</w:t>
      </w:r>
      <w:r>
        <w:rPr>
          <w:color w:val="0000FF"/>
          <w:u w:val="single"/>
        </w:rPr>
        <w:fldChar w:fldCharType="begin"/>
      </w:r>
      <w:r>
        <w:instrText xml:space="preserve"> </w:instrText>
      </w:r>
      <w:r>
        <w:rPr>
          <w:rFonts w:hint="eastAsia"/>
        </w:rPr>
        <w:instrText xml:space="preserve">REF _Ref5627944 \r \h</w:instrText>
      </w:r>
      <w:r>
        <w:instrText xml:space="preserve"> </w:instrText>
      </w:r>
      <w:r>
        <w:rPr>
          <w:color w:val="0000FF"/>
          <w:u w:val="single"/>
        </w:rPr>
        <w:fldChar w:fldCharType="separate"/>
      </w:r>
      <w:r>
        <w:rPr>
          <w:rFonts w:hint="eastAsia"/>
        </w:rPr>
        <w:t>表14-1</w:t>
      </w:r>
      <w:r>
        <w:rPr>
          <w:color w:val="0000FF"/>
          <w:u w:val="single"/>
        </w:rPr>
        <w:fldChar w:fldCharType="end"/>
      </w:r>
      <w:r>
        <w:rPr>
          <w:rFonts w:hint="eastAsia"/>
        </w:rPr>
        <w:t>所示。</w:t>
      </w:r>
    </w:p>
    <w:p w14:paraId="61CD97C1">
      <w:pPr>
        <w:pStyle w:val="188"/>
      </w:pPr>
      <w:bookmarkStart w:id="4297" w:name="_Ref5627939"/>
      <w:bookmarkStart w:id="4298" w:name="_Toc141875045"/>
      <w:r>
        <w:rPr>
          <w:rFonts w:hint="eastAsia"/>
        </w:rPr>
        <w:t>应用</w:t>
      </w:r>
      <w:r>
        <w:t>控制</w:t>
      </w:r>
      <w:bookmarkEnd w:id="4297"/>
      <w:bookmarkEnd w:id="4298"/>
    </w:p>
    <w:p w14:paraId="2743B243">
      <w:r>
        <w:drawing>
          <wp:inline distT="0" distB="0" distL="0" distR="0">
            <wp:extent cx="5400040" cy="2513965"/>
            <wp:effectExtent l="0" t="0" r="0" b="635"/>
            <wp:docPr id="749"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图片 156"/>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a:xfrm>
                      <a:off x="0" y="0"/>
                      <a:ext cx="5400040" cy="2514432"/>
                    </a:xfrm>
                    <a:prstGeom prst="rect">
                      <a:avLst/>
                    </a:prstGeom>
                    <a:noFill/>
                    <a:ln>
                      <a:noFill/>
                    </a:ln>
                  </pic:spPr>
                </pic:pic>
              </a:graphicData>
            </a:graphic>
          </wp:inline>
        </w:drawing>
      </w:r>
    </w:p>
    <w:p w14:paraId="6B1A8470"/>
    <w:p w14:paraId="73579D31">
      <w:pPr>
        <w:pStyle w:val="183"/>
      </w:pPr>
      <w:bookmarkStart w:id="4299" w:name="_Toc141875658"/>
      <w:bookmarkStart w:id="4300" w:name="_Ref5627944"/>
      <w:r>
        <w:rPr>
          <w:rFonts w:hint="eastAsia"/>
        </w:rPr>
        <w:t>应用</w:t>
      </w:r>
      <w:r>
        <w:t>控制</w:t>
      </w:r>
      <w:r>
        <w:rPr>
          <w:rFonts w:hint="eastAsia"/>
        </w:rPr>
        <w:t>详细配置</w:t>
      </w:r>
      <w:bookmarkEnd w:id="4299"/>
      <w:bookmarkEnd w:id="4300"/>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526"/>
        <w:gridCol w:w="7444"/>
      </w:tblGrid>
      <w:tr w14:paraId="0F4C66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tcBorders>
              <w:tl2br w:val="nil"/>
              <w:tr2bl w:val="nil"/>
            </w:tcBorders>
            <w:shd w:val="clear" w:color="auto" w:fill="538135" w:themeFill="accent6" w:themeFillShade="BF"/>
            <w:vAlign w:val="center"/>
          </w:tcPr>
          <w:p w14:paraId="03365F35">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444" w:type="dxa"/>
            <w:tcBorders>
              <w:tl2br w:val="nil"/>
              <w:tr2bl w:val="nil"/>
            </w:tcBorders>
            <w:shd w:val="clear" w:color="auto" w:fill="538135" w:themeFill="accent6" w:themeFillShade="BF"/>
            <w:vAlign w:val="center"/>
          </w:tcPr>
          <w:p w14:paraId="57EF3836">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711A0C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00F7E4A7">
            <w:pPr>
              <w:pStyle w:val="150"/>
            </w:pPr>
            <w:r>
              <w:rPr>
                <w:rFonts w:hint="eastAsia"/>
              </w:rPr>
              <w:t>启用</w:t>
            </w:r>
          </w:p>
        </w:tc>
        <w:tc>
          <w:tcPr>
            <w:tcW w:w="7444" w:type="dxa"/>
            <w:shd w:val="clear" w:color="auto" w:fill="auto"/>
          </w:tcPr>
          <w:p w14:paraId="410B7F29">
            <w:pPr>
              <w:pStyle w:val="150"/>
            </w:pPr>
            <w:r>
              <w:rPr>
                <w:rFonts w:hint="eastAsia"/>
              </w:rPr>
              <w:t>勾选后则启用搜索</w:t>
            </w:r>
            <w:r>
              <w:t>引擎规则</w:t>
            </w:r>
            <w:r>
              <w:rPr>
                <w:rFonts w:hint="eastAsia"/>
              </w:rPr>
              <w:t>。</w:t>
            </w:r>
          </w:p>
        </w:tc>
      </w:tr>
      <w:tr w14:paraId="6A8705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0F70CA42">
            <w:pPr>
              <w:pStyle w:val="150"/>
            </w:pPr>
            <w:r>
              <w:rPr>
                <w:rFonts w:hint="eastAsia"/>
              </w:rPr>
              <w:t>描述</w:t>
            </w:r>
          </w:p>
        </w:tc>
        <w:tc>
          <w:tcPr>
            <w:tcW w:w="7444" w:type="dxa"/>
            <w:shd w:val="clear" w:color="auto" w:fill="auto"/>
          </w:tcPr>
          <w:p w14:paraId="750C0E21">
            <w:pPr>
              <w:pStyle w:val="150"/>
            </w:pPr>
            <w:r>
              <w:rPr>
                <w:rFonts w:hint="eastAsia"/>
              </w:rPr>
              <w:t>搜索</w:t>
            </w:r>
            <w:r>
              <w:t>引擎规则</w:t>
            </w:r>
            <w:r>
              <w:rPr>
                <w:rFonts w:hint="eastAsia"/>
              </w:rPr>
              <w:t>的描述信息。</w:t>
            </w:r>
          </w:p>
        </w:tc>
      </w:tr>
      <w:tr w14:paraId="4AEDA80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58DC36EC">
            <w:pPr>
              <w:pStyle w:val="150"/>
            </w:pPr>
            <w:r>
              <w:rPr>
                <w:rFonts w:hint="eastAsia"/>
              </w:rPr>
              <w:t>应用</w:t>
            </w:r>
          </w:p>
        </w:tc>
        <w:tc>
          <w:tcPr>
            <w:tcW w:w="7444" w:type="dxa"/>
            <w:shd w:val="clear" w:color="auto" w:fill="auto"/>
          </w:tcPr>
          <w:p w14:paraId="1333F293">
            <w:pPr>
              <w:pStyle w:val="150"/>
            </w:pPr>
            <w:r>
              <w:rPr>
                <w:rFonts w:hint="eastAsia"/>
              </w:rPr>
              <w:t>应用</w:t>
            </w:r>
            <w:r>
              <w:t>对象</w:t>
            </w:r>
            <w:r>
              <w:rPr>
                <w:rFonts w:hint="eastAsia"/>
              </w:rPr>
              <w:t>，</w:t>
            </w:r>
            <w:r>
              <w:t>通过点击&lt;</w:t>
            </w:r>
            <w:r>
              <w:rPr>
                <w:rFonts w:hint="eastAsia"/>
              </w:rPr>
              <w:t>选择应用</w:t>
            </w:r>
            <w:r>
              <w:t>&gt;</w:t>
            </w:r>
            <w:r>
              <w:rPr>
                <w:rFonts w:hint="eastAsia"/>
              </w:rPr>
              <w:t>弹</w:t>
            </w:r>
            <w:r>
              <w:t>框来选择</w:t>
            </w:r>
            <w:r>
              <w:rPr>
                <w:rFonts w:hint="eastAsia"/>
              </w:rPr>
              <w:t>相关</w:t>
            </w:r>
            <w:r>
              <w:t>的应用</w:t>
            </w:r>
            <w:r>
              <w:rPr>
                <w:rFonts w:hint="eastAsia"/>
              </w:rPr>
              <w:t>。</w:t>
            </w:r>
          </w:p>
        </w:tc>
      </w:tr>
      <w:tr w14:paraId="7199648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1A53D7FB">
            <w:pPr>
              <w:pStyle w:val="150"/>
            </w:pPr>
            <w:r>
              <w:rPr>
                <w:rFonts w:hint="eastAsia"/>
              </w:rPr>
              <w:t>处理动作</w:t>
            </w:r>
          </w:p>
        </w:tc>
        <w:tc>
          <w:tcPr>
            <w:tcW w:w="7444" w:type="dxa"/>
            <w:shd w:val="clear" w:color="auto" w:fill="auto"/>
          </w:tcPr>
          <w:p w14:paraId="1D917DF2">
            <w:pPr>
              <w:pStyle w:val="150"/>
            </w:pPr>
            <w:r>
              <w:rPr>
                <w:rFonts w:hint="eastAsia"/>
              </w:rPr>
              <w:t>处理</w:t>
            </w:r>
            <w:r>
              <w:t>动作包括</w:t>
            </w:r>
            <w:r>
              <w:rPr>
                <w:rFonts w:hint="eastAsia"/>
              </w:rPr>
              <w:t>：</w:t>
            </w:r>
            <w:r>
              <w:t>告警</w:t>
            </w:r>
            <w:r>
              <w:rPr>
                <w:rFonts w:hint="eastAsia"/>
              </w:rPr>
              <w:t>、</w:t>
            </w:r>
            <w:r>
              <w:t>拒绝</w:t>
            </w:r>
            <w:r>
              <w:rPr>
                <w:rFonts w:hint="eastAsia"/>
              </w:rPr>
              <w:t>。</w:t>
            </w:r>
          </w:p>
        </w:tc>
      </w:tr>
      <w:tr w14:paraId="394E58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24B1C6E4">
            <w:pPr>
              <w:pStyle w:val="150"/>
            </w:pPr>
            <w:r>
              <w:rPr>
                <w:rFonts w:hint="eastAsia"/>
              </w:rPr>
              <w:t>日志级别</w:t>
            </w:r>
          </w:p>
        </w:tc>
        <w:tc>
          <w:tcPr>
            <w:tcW w:w="7444" w:type="dxa"/>
            <w:shd w:val="clear" w:color="auto" w:fill="auto"/>
          </w:tcPr>
          <w:p w14:paraId="5327CF73">
            <w:pPr>
              <w:pStyle w:val="150"/>
            </w:pPr>
            <w:r>
              <w:rPr>
                <w:rFonts w:hint="eastAsia"/>
              </w:rPr>
              <w:t>日志</w:t>
            </w:r>
            <w:r>
              <w:t>级别</w:t>
            </w:r>
            <w:r>
              <w:rPr>
                <w:rFonts w:hint="eastAsia"/>
              </w:rPr>
              <w:t>包含</w:t>
            </w:r>
            <w:r>
              <w:t>：</w:t>
            </w:r>
            <w:r>
              <w:rPr>
                <w:rFonts w:hint="eastAsia"/>
              </w:rPr>
              <w:t>紧急</w:t>
            </w:r>
            <w:r>
              <w:t>、告警、严重、错误</w:t>
            </w:r>
            <w:r>
              <w:rPr>
                <w:rFonts w:hint="eastAsia"/>
              </w:rPr>
              <w:t>、</w:t>
            </w:r>
            <w:r>
              <w:t>警告、通知、信息、调试、不记录</w:t>
            </w:r>
            <w:r>
              <w:rPr>
                <w:rFonts w:hint="eastAsia"/>
              </w:rPr>
              <w:t>。</w:t>
            </w:r>
          </w:p>
        </w:tc>
      </w:tr>
      <w:tr w14:paraId="1E28D1E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0DA8EB87">
            <w:pPr>
              <w:pStyle w:val="150"/>
            </w:pPr>
            <w:r>
              <w:rPr>
                <w:rFonts w:hint="eastAsia"/>
              </w:rPr>
              <w:t>提交</w:t>
            </w:r>
          </w:p>
        </w:tc>
        <w:tc>
          <w:tcPr>
            <w:tcW w:w="7444" w:type="dxa"/>
            <w:shd w:val="clear" w:color="auto" w:fill="auto"/>
          </w:tcPr>
          <w:p w14:paraId="246051A4">
            <w:pPr>
              <w:pStyle w:val="150"/>
            </w:pPr>
            <w:r>
              <w:rPr>
                <w:rFonts w:hint="eastAsia"/>
              </w:rPr>
              <w:t>提交后</w:t>
            </w:r>
            <w:r>
              <w:t>当前规则新建成功。</w:t>
            </w:r>
          </w:p>
        </w:tc>
      </w:tr>
      <w:tr w14:paraId="69D2609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1F085B4A">
            <w:pPr>
              <w:pStyle w:val="150"/>
            </w:pPr>
            <w:r>
              <w:rPr>
                <w:rFonts w:hint="eastAsia"/>
              </w:rPr>
              <w:t>取消</w:t>
            </w:r>
          </w:p>
        </w:tc>
        <w:tc>
          <w:tcPr>
            <w:tcW w:w="7444" w:type="dxa"/>
            <w:shd w:val="clear" w:color="auto" w:fill="auto"/>
          </w:tcPr>
          <w:p w14:paraId="1EA2E25A">
            <w:pPr>
              <w:pStyle w:val="150"/>
            </w:pPr>
            <w:r>
              <w:rPr>
                <w:rFonts w:hint="eastAsia"/>
              </w:rPr>
              <w:t>取消</w:t>
            </w:r>
            <w:r>
              <w:t>规则创建</w:t>
            </w:r>
            <w:r>
              <w:rPr>
                <w:rFonts w:hint="eastAsia"/>
              </w:rPr>
              <w:t>，</w:t>
            </w:r>
            <w:r>
              <w:t>不下发配置。</w:t>
            </w:r>
          </w:p>
        </w:tc>
      </w:tr>
    </w:tbl>
    <w:p w14:paraId="46CFC4FD">
      <w:r>
        <w:rPr>
          <w:rFonts w:hint="eastAsia"/>
        </w:rPr>
        <w:t>应用</w:t>
      </w:r>
      <w:r>
        <w:t>控制</w:t>
      </w:r>
      <w:r>
        <w:rPr>
          <w:rFonts w:hint="eastAsia"/>
        </w:rPr>
        <w:t>策略创建</w:t>
      </w:r>
      <w:r>
        <w:t>成功后</w:t>
      </w:r>
      <w:r>
        <w:rPr>
          <w:rFonts w:hint="eastAsia"/>
        </w:rPr>
        <w:t>如</w:t>
      </w:r>
      <w:r>
        <w:rPr>
          <w:color w:val="0000FF"/>
          <w:u w:val="single"/>
        </w:rPr>
        <w:fldChar w:fldCharType="begin"/>
      </w:r>
      <w:r>
        <w:instrText xml:space="preserve"> </w:instrText>
      </w:r>
      <w:r>
        <w:rPr>
          <w:rFonts w:hint="eastAsia"/>
        </w:rPr>
        <w:instrText xml:space="preserve">REF _Ref5627950 \r \h</w:instrText>
      </w:r>
      <w:r>
        <w:instrText xml:space="preserve"> </w:instrText>
      </w:r>
      <w:r>
        <w:rPr>
          <w:color w:val="0000FF"/>
          <w:u w:val="single"/>
        </w:rPr>
        <w:fldChar w:fldCharType="separate"/>
      </w:r>
      <w:r>
        <w:rPr>
          <w:rFonts w:hint="eastAsia"/>
        </w:rPr>
        <w:t>图14-33</w:t>
      </w:r>
      <w:r>
        <w:rPr>
          <w:color w:val="0000FF"/>
          <w:u w:val="single"/>
        </w:rPr>
        <w:fldChar w:fldCharType="end"/>
      </w:r>
      <w:r>
        <w:rPr>
          <w:rFonts w:hint="eastAsia"/>
        </w:rPr>
        <w:t>所示。</w:t>
      </w:r>
    </w:p>
    <w:p w14:paraId="2BC4F2BB">
      <w:pPr>
        <w:pStyle w:val="188"/>
      </w:pPr>
      <w:bookmarkStart w:id="4301" w:name="_Toc141875046"/>
      <w:bookmarkStart w:id="4302" w:name="_Ref5627950"/>
      <w:r>
        <w:rPr>
          <w:rFonts w:hint="eastAsia"/>
        </w:rPr>
        <w:t>应用</w:t>
      </w:r>
      <w:r>
        <w:t>控制</w:t>
      </w:r>
      <w:r>
        <w:rPr>
          <w:rFonts w:hint="eastAsia"/>
        </w:rPr>
        <w:t>配置</w:t>
      </w:r>
      <w:r>
        <w:t>显示</w:t>
      </w:r>
      <w:bookmarkEnd w:id="4301"/>
      <w:bookmarkEnd w:id="4302"/>
    </w:p>
    <w:p w14:paraId="3DA0BB16">
      <w:r>
        <w:drawing>
          <wp:inline distT="0" distB="0" distL="0" distR="0">
            <wp:extent cx="5667375" cy="605155"/>
            <wp:effectExtent l="0" t="0" r="0" b="4445"/>
            <wp:docPr id="2865" name="图片 2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5" name="图片 2865"/>
                    <pic:cNvPicPr>
                      <a:picLocks noChangeAspect="1"/>
                    </pic:cNvPicPr>
                  </pic:nvPicPr>
                  <pic:blipFill>
                    <a:blip r:embed="rId602"/>
                    <a:srcRect r="5073"/>
                    <a:stretch>
                      <a:fillRect/>
                    </a:stretch>
                  </pic:blipFill>
                  <pic:spPr>
                    <a:xfrm>
                      <a:off x="0" y="0"/>
                      <a:ext cx="5679409" cy="607045"/>
                    </a:xfrm>
                    <a:prstGeom prst="rect">
                      <a:avLst/>
                    </a:prstGeom>
                    <a:ln>
                      <a:noFill/>
                    </a:ln>
                  </pic:spPr>
                </pic:pic>
              </a:graphicData>
            </a:graphic>
          </wp:inline>
        </w:drawing>
      </w:r>
    </w:p>
    <w:p w14:paraId="5A361BF3">
      <w:pPr>
        <w:pStyle w:val="4"/>
      </w:pPr>
      <w:bookmarkStart w:id="4303" w:name="_Toc536545099"/>
      <w:bookmarkStart w:id="4304" w:name="_Toc6235082"/>
      <w:bookmarkStart w:id="4305" w:name="_Toc196728241"/>
      <w:bookmarkStart w:id="4306" w:name="_Toc99561786"/>
      <w:bookmarkStart w:id="4307" w:name="_Toc141873644"/>
      <w:bookmarkStart w:id="4308" w:name="_Toc40276144"/>
      <w:bookmarkStart w:id="4309" w:name="_Toc23152711"/>
      <w:bookmarkStart w:id="4310" w:name="_Toc172218423"/>
      <w:bookmarkStart w:id="4311" w:name="_Toc15484947"/>
      <w:bookmarkStart w:id="4312" w:name="_Toc142401161"/>
      <w:bookmarkStart w:id="4313" w:name="_Toc194080909"/>
      <w:r>
        <w:rPr>
          <w:rFonts w:hint="eastAsia"/>
        </w:rPr>
        <w:t>邮件控制</w:t>
      </w:r>
      <w:bookmarkEnd w:id="4303"/>
      <w:bookmarkEnd w:id="4304"/>
      <w:bookmarkEnd w:id="4305"/>
      <w:bookmarkEnd w:id="4306"/>
      <w:bookmarkEnd w:id="4307"/>
      <w:bookmarkEnd w:id="4308"/>
      <w:bookmarkEnd w:id="4309"/>
      <w:bookmarkEnd w:id="4310"/>
      <w:bookmarkEnd w:id="4311"/>
      <w:bookmarkEnd w:id="4312"/>
      <w:bookmarkEnd w:id="4313"/>
    </w:p>
    <w:p w14:paraId="68DB14C3">
      <w:pPr>
        <w:pStyle w:val="5"/>
      </w:pPr>
      <w:bookmarkStart w:id="4314" w:name="_Toc172218424"/>
      <w:bookmarkStart w:id="4315" w:name="_Toc536545100"/>
      <w:bookmarkStart w:id="4316" w:name="_Toc23152712"/>
      <w:bookmarkStart w:id="4317" w:name="_Toc141873645"/>
      <w:bookmarkStart w:id="4318" w:name="_Toc40276145"/>
      <w:bookmarkStart w:id="4319" w:name="_Toc6235083"/>
      <w:bookmarkStart w:id="4320" w:name="_Toc99561787"/>
      <w:bookmarkStart w:id="4321" w:name="_Toc196728242"/>
      <w:bookmarkStart w:id="4322" w:name="_Toc15484948"/>
      <w:bookmarkStart w:id="4323" w:name="_Toc194080910"/>
      <w:bookmarkStart w:id="4324" w:name="_Toc142401162"/>
      <w:r>
        <w:rPr>
          <w:rFonts w:hint="eastAsia"/>
        </w:rPr>
        <w:t>概述</w:t>
      </w:r>
      <w:bookmarkEnd w:id="4314"/>
      <w:bookmarkEnd w:id="4315"/>
      <w:bookmarkEnd w:id="4316"/>
      <w:bookmarkEnd w:id="4317"/>
      <w:bookmarkEnd w:id="4318"/>
      <w:bookmarkEnd w:id="4319"/>
      <w:bookmarkEnd w:id="4320"/>
      <w:bookmarkEnd w:id="4321"/>
      <w:bookmarkEnd w:id="4322"/>
      <w:bookmarkEnd w:id="4323"/>
      <w:bookmarkEnd w:id="4324"/>
    </w:p>
    <w:p w14:paraId="37B874BA">
      <w:r>
        <w:rPr>
          <w:rFonts w:hint="eastAsia"/>
        </w:rPr>
        <w:t>邮件控制策略用于对SMTP发送邮件及POP3、IMAP接收邮件进行控制，可以根据收件人、发件人、主题、内容、附件名、邮件大小及附件个数等信息，控制收取的邮件，通过策略决定放行或阻断。邮件主题、正文、附件名支持关键字过滤。</w:t>
      </w:r>
    </w:p>
    <w:p w14:paraId="3A62CF06">
      <w:pPr>
        <w:pStyle w:val="162"/>
      </w:pPr>
      <w:r>
        <w:rPr>
          <w:rFonts w:hint="eastAsia"/>
        </w:rPr>
        <w:t>发件人过滤：</w:t>
      </w:r>
    </w:p>
    <w:p w14:paraId="7BACEFA5">
      <w:r>
        <w:rPr>
          <w:rFonts w:hint="eastAsia"/>
        </w:rPr>
        <w:t>黑名单：邮件的发件人信息，匹配到关键字则邮件被阻断，不匹配则放行。</w:t>
      </w:r>
    </w:p>
    <w:p w14:paraId="34727E4F">
      <w:r>
        <w:rPr>
          <w:rFonts w:hint="eastAsia"/>
        </w:rPr>
        <w:t>白名单：邮件的发件人信息，匹配到关键字则邮件被放行，不匹配则阻断。</w:t>
      </w:r>
    </w:p>
    <w:p w14:paraId="27646FCC">
      <w:pPr>
        <w:pStyle w:val="162"/>
      </w:pPr>
      <w:r>
        <w:rPr>
          <w:rFonts w:hint="eastAsia"/>
        </w:rPr>
        <w:t>收件人过滤：</w:t>
      </w:r>
    </w:p>
    <w:p w14:paraId="5321A971">
      <w:r>
        <w:rPr>
          <w:rFonts w:hint="eastAsia"/>
        </w:rPr>
        <w:t>黑名单，邮件的收件人信息，匹配到关键字则邮件被阻断，不匹配则放行。</w:t>
      </w:r>
    </w:p>
    <w:p w14:paraId="4D6E4711">
      <w:r>
        <w:rPr>
          <w:rFonts w:hint="eastAsia"/>
        </w:rPr>
        <w:t>白名单，邮件的收件人信息，匹配到关键字则邮件被放行，不匹配则阻断。</w:t>
      </w:r>
    </w:p>
    <w:p w14:paraId="1AA92A0D">
      <w:pPr>
        <w:pStyle w:val="162"/>
      </w:pPr>
      <w:r>
        <w:rPr>
          <w:rFonts w:hint="eastAsia"/>
        </w:rPr>
        <w:t>标题关键字：邮件的标题中，有匹配到关键字的信息，则邮件被阻断。</w:t>
      </w:r>
    </w:p>
    <w:p w14:paraId="66BEE426">
      <w:pPr>
        <w:pStyle w:val="162"/>
      </w:pPr>
      <w:r>
        <w:rPr>
          <w:rFonts w:hint="eastAsia"/>
        </w:rPr>
        <w:t>内容关键字：邮件的内容中，有匹配到关键字的信息，则邮件被阻断。</w:t>
      </w:r>
    </w:p>
    <w:p w14:paraId="4443852F">
      <w:pPr>
        <w:pStyle w:val="162"/>
      </w:pPr>
      <w:r>
        <w:rPr>
          <w:rFonts w:hint="eastAsia"/>
        </w:rPr>
        <w:t>附件名关键字：邮件的附件名中，有匹配到关键字的信息，则邮件被阻断。</w:t>
      </w:r>
    </w:p>
    <w:p w14:paraId="6D592DD2">
      <w:pPr>
        <w:pStyle w:val="162"/>
      </w:pPr>
      <w:r>
        <w:rPr>
          <w:rFonts w:hint="eastAsia"/>
        </w:rPr>
        <w:t>邮件大小：邮件的总大小，超过设置限制，则邮件被阻断。</w:t>
      </w:r>
    </w:p>
    <w:p w14:paraId="113FB1A6">
      <w:pPr>
        <w:pStyle w:val="162"/>
      </w:pPr>
      <w:r>
        <w:rPr>
          <w:rFonts w:hint="eastAsia"/>
        </w:rPr>
        <w:t>附件个数：邮件的附件个数，超过设置限制，则邮件被阻断。</w:t>
      </w:r>
    </w:p>
    <w:p w14:paraId="538EF78F">
      <w:pPr>
        <w:pStyle w:val="5"/>
      </w:pPr>
      <w:bookmarkStart w:id="4325" w:name="_Toc23152713"/>
      <w:bookmarkStart w:id="4326" w:name="_Toc40276146"/>
      <w:bookmarkStart w:id="4327" w:name="_Toc99561788"/>
      <w:bookmarkStart w:id="4328" w:name="_Toc141873646"/>
      <w:bookmarkStart w:id="4329" w:name="_Toc142401163"/>
      <w:bookmarkStart w:id="4330" w:name="_Toc172218425"/>
      <w:bookmarkStart w:id="4331" w:name="_Toc194080911"/>
      <w:bookmarkStart w:id="4332" w:name="_Toc536545101"/>
      <w:bookmarkStart w:id="4333" w:name="_Toc6235084"/>
      <w:bookmarkStart w:id="4334" w:name="_Toc15484949"/>
      <w:bookmarkStart w:id="4335" w:name="_Toc196728243"/>
      <w:r>
        <w:rPr>
          <w:rFonts w:hint="eastAsia"/>
        </w:rPr>
        <w:t>邮件控制</w:t>
      </w:r>
      <w:bookmarkEnd w:id="4325"/>
      <w:bookmarkEnd w:id="4326"/>
      <w:bookmarkEnd w:id="4327"/>
      <w:bookmarkEnd w:id="4328"/>
      <w:bookmarkEnd w:id="4329"/>
      <w:bookmarkEnd w:id="4330"/>
      <w:bookmarkEnd w:id="4331"/>
      <w:bookmarkEnd w:id="4332"/>
      <w:bookmarkEnd w:id="4333"/>
      <w:bookmarkEnd w:id="4334"/>
      <w:bookmarkEnd w:id="4335"/>
    </w:p>
    <w:p w14:paraId="2EBC0304">
      <w:r>
        <w:rPr>
          <w:rFonts w:hint="eastAsia"/>
        </w:rPr>
        <w:t>通过菜单“策略配置&gt;控制策略&gt;应用过滤</w:t>
      </w:r>
      <w:r>
        <w:t>&gt;</w:t>
      </w:r>
      <w:r>
        <w:rPr>
          <w:rFonts w:hint="eastAsia"/>
        </w:rPr>
        <w:t>邮件控制”，进入如</w:t>
      </w:r>
      <w:r>
        <w:rPr>
          <w:color w:val="0000FF"/>
          <w:u w:val="single"/>
        </w:rPr>
        <w:fldChar w:fldCharType="begin"/>
      </w:r>
      <w:r>
        <w:instrText xml:space="preserve"> </w:instrText>
      </w:r>
      <w:r>
        <w:rPr>
          <w:rFonts w:hint="eastAsia"/>
        </w:rPr>
        <w:instrText xml:space="preserve">REF _Ref5627994 \r \h</w:instrText>
      </w:r>
      <w:r>
        <w:instrText xml:space="preserve"> </w:instrText>
      </w:r>
      <w:r>
        <w:rPr>
          <w:color w:val="0000FF"/>
          <w:u w:val="single"/>
        </w:rPr>
        <w:fldChar w:fldCharType="separate"/>
      </w:r>
      <w:r>
        <w:rPr>
          <w:rFonts w:hint="eastAsia"/>
        </w:rPr>
        <w:t>图14-34</w:t>
      </w:r>
      <w:r>
        <w:rPr>
          <w:color w:val="0000FF"/>
          <w:u w:val="single"/>
        </w:rPr>
        <w:fldChar w:fldCharType="end"/>
      </w:r>
      <w:r>
        <w:rPr>
          <w:rFonts w:hint="eastAsia"/>
        </w:rPr>
        <w:t>所示页面。在该页面上，可以查看已经配置的邮件控制信息。</w:t>
      </w:r>
    </w:p>
    <w:p w14:paraId="7DCC70AA">
      <w:pPr>
        <w:pStyle w:val="188"/>
      </w:pPr>
      <w:bookmarkStart w:id="4336" w:name="_Ref5627994"/>
      <w:bookmarkStart w:id="4337" w:name="_Toc141875047"/>
      <w:r>
        <w:rPr>
          <w:rFonts w:hint="eastAsia"/>
        </w:rPr>
        <w:t>邮件控制</w:t>
      </w:r>
      <w:bookmarkEnd w:id="4336"/>
      <w:bookmarkEnd w:id="4337"/>
    </w:p>
    <w:p w14:paraId="270B1D26">
      <w:pPr>
        <w:spacing w:before="78" w:after="78"/>
      </w:pPr>
      <w:r>
        <w:drawing>
          <wp:inline distT="0" distB="0" distL="0" distR="0">
            <wp:extent cx="5311140" cy="2974340"/>
            <wp:effectExtent l="0" t="0" r="3810" b="0"/>
            <wp:docPr id="1802027864" name="图片 1802027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64" name="图片 1802027864"/>
                    <pic:cNvPicPr>
                      <a:picLocks noChangeAspect="1"/>
                    </pic:cNvPicPr>
                  </pic:nvPicPr>
                  <pic:blipFill>
                    <a:blip r:embed="rId603"/>
                    <a:stretch>
                      <a:fillRect/>
                    </a:stretch>
                  </pic:blipFill>
                  <pic:spPr>
                    <a:xfrm>
                      <a:off x="0" y="0"/>
                      <a:ext cx="5318952" cy="2979253"/>
                    </a:xfrm>
                    <a:prstGeom prst="rect">
                      <a:avLst/>
                    </a:prstGeom>
                  </pic:spPr>
                </pic:pic>
              </a:graphicData>
            </a:graphic>
          </wp:inline>
        </w:drawing>
      </w:r>
    </w:p>
    <w:p w14:paraId="706A0A27"/>
    <w:p w14:paraId="2F1461B8">
      <w:pPr>
        <w:pStyle w:val="183"/>
      </w:pPr>
      <w:bookmarkStart w:id="4338" w:name="_Toc141875659"/>
      <w:r>
        <w:rPr>
          <w:rFonts w:hint="eastAsia"/>
        </w:rPr>
        <w:t>邮件控制的显示信息</w:t>
      </w:r>
      <w:bookmarkEnd w:id="4338"/>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192"/>
        <w:gridCol w:w="6776"/>
      </w:tblGrid>
      <w:tr w14:paraId="30F498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2" w:type="dxa"/>
            <w:tcBorders>
              <w:tl2br w:val="nil"/>
              <w:tr2bl w:val="nil"/>
            </w:tcBorders>
            <w:shd w:val="clear" w:color="auto" w:fill="538135" w:themeFill="accent6" w:themeFillShade="BF"/>
            <w:vAlign w:val="center"/>
          </w:tcPr>
          <w:p w14:paraId="3BF5AAE2">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776" w:type="dxa"/>
            <w:tcBorders>
              <w:tl2br w:val="nil"/>
              <w:tr2bl w:val="nil"/>
            </w:tcBorders>
            <w:shd w:val="clear" w:color="auto" w:fill="538135" w:themeFill="accent6" w:themeFillShade="BF"/>
            <w:vAlign w:val="center"/>
          </w:tcPr>
          <w:p w14:paraId="5AA96E2D">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2BCBE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2" w:type="dxa"/>
            <w:shd w:val="clear" w:color="auto" w:fill="auto"/>
          </w:tcPr>
          <w:p w14:paraId="328C4743">
            <w:pPr>
              <w:pStyle w:val="150"/>
            </w:pPr>
            <w:r>
              <w:rPr>
                <w:rFonts w:hint="eastAsia"/>
              </w:rPr>
              <w:t>发送邮件</w:t>
            </w:r>
          </w:p>
        </w:tc>
        <w:tc>
          <w:tcPr>
            <w:tcW w:w="6776" w:type="dxa"/>
            <w:shd w:val="clear" w:color="auto" w:fill="auto"/>
          </w:tcPr>
          <w:p w14:paraId="4A96B579">
            <w:pPr>
              <w:pStyle w:val="150"/>
            </w:pPr>
            <w:r>
              <w:rPr>
                <w:rFonts w:hint="eastAsia"/>
              </w:rPr>
              <w:t>启用后对发送邮件进行控制</w:t>
            </w:r>
          </w:p>
        </w:tc>
      </w:tr>
      <w:tr w14:paraId="1F5B804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2" w:type="dxa"/>
            <w:shd w:val="clear" w:color="auto" w:fill="auto"/>
          </w:tcPr>
          <w:p w14:paraId="6DE5CCCE">
            <w:pPr>
              <w:pStyle w:val="150"/>
            </w:pPr>
            <w:r>
              <w:rPr>
                <w:rFonts w:hint="eastAsia"/>
              </w:rPr>
              <w:t>接收邮件</w:t>
            </w:r>
          </w:p>
        </w:tc>
        <w:tc>
          <w:tcPr>
            <w:tcW w:w="6776" w:type="dxa"/>
            <w:shd w:val="clear" w:color="auto" w:fill="auto"/>
          </w:tcPr>
          <w:p w14:paraId="23EEE888">
            <w:pPr>
              <w:pStyle w:val="150"/>
            </w:pPr>
            <w:r>
              <w:rPr>
                <w:rFonts w:hint="eastAsia"/>
              </w:rPr>
              <w:t>启用后对接收邮件进行控制</w:t>
            </w:r>
          </w:p>
        </w:tc>
      </w:tr>
      <w:tr w14:paraId="0E807B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2" w:type="dxa"/>
            <w:shd w:val="clear" w:color="auto" w:fill="auto"/>
          </w:tcPr>
          <w:p w14:paraId="1453DEBC">
            <w:pPr>
              <w:pStyle w:val="150"/>
            </w:pPr>
            <w:r>
              <w:rPr>
                <w:rFonts w:hint="eastAsia"/>
              </w:rPr>
              <w:t>发件人过滤-黑名单</w:t>
            </w:r>
          </w:p>
        </w:tc>
        <w:tc>
          <w:tcPr>
            <w:tcW w:w="6776" w:type="dxa"/>
            <w:shd w:val="clear" w:color="auto" w:fill="auto"/>
          </w:tcPr>
          <w:p w14:paraId="709490B6">
            <w:pPr>
              <w:pStyle w:val="150"/>
            </w:pPr>
            <w:r>
              <w:rPr>
                <w:rFonts w:hint="eastAsia"/>
              </w:rPr>
              <w:t>对邮件信息的发件人信息进行关键字判断，命中阻断，否则放行</w:t>
            </w:r>
          </w:p>
        </w:tc>
      </w:tr>
      <w:tr w14:paraId="3EE303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2" w:type="dxa"/>
            <w:shd w:val="clear" w:color="auto" w:fill="auto"/>
          </w:tcPr>
          <w:p w14:paraId="7217275E">
            <w:pPr>
              <w:pStyle w:val="150"/>
            </w:pPr>
            <w:r>
              <w:rPr>
                <w:rFonts w:hint="eastAsia"/>
              </w:rPr>
              <w:t>发件人过滤-白名单</w:t>
            </w:r>
          </w:p>
        </w:tc>
        <w:tc>
          <w:tcPr>
            <w:tcW w:w="6776" w:type="dxa"/>
            <w:shd w:val="clear" w:color="auto" w:fill="auto"/>
          </w:tcPr>
          <w:p w14:paraId="7D4E4611">
            <w:pPr>
              <w:pStyle w:val="150"/>
            </w:pPr>
            <w:r>
              <w:rPr>
                <w:rFonts w:hint="eastAsia"/>
              </w:rPr>
              <w:t>对邮件信息的发件人信息进行关键字判断，命中放行，否则阻断</w:t>
            </w:r>
          </w:p>
        </w:tc>
      </w:tr>
      <w:tr w14:paraId="4836E9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2" w:type="dxa"/>
            <w:shd w:val="clear" w:color="auto" w:fill="auto"/>
          </w:tcPr>
          <w:p w14:paraId="26051D78">
            <w:pPr>
              <w:pStyle w:val="150"/>
            </w:pPr>
            <w:r>
              <w:rPr>
                <w:rFonts w:hint="eastAsia"/>
              </w:rPr>
              <w:t>收件人过滤-黑名单</w:t>
            </w:r>
          </w:p>
        </w:tc>
        <w:tc>
          <w:tcPr>
            <w:tcW w:w="6776" w:type="dxa"/>
            <w:shd w:val="clear" w:color="auto" w:fill="auto"/>
          </w:tcPr>
          <w:p w14:paraId="2D4842C9">
            <w:pPr>
              <w:pStyle w:val="150"/>
            </w:pPr>
            <w:r>
              <w:rPr>
                <w:rFonts w:hint="eastAsia"/>
              </w:rPr>
              <w:t>对邮件信息的收件人信息进行关键字判断，命中阻断，否则放行</w:t>
            </w:r>
          </w:p>
        </w:tc>
      </w:tr>
      <w:tr w14:paraId="15F1A1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2" w:type="dxa"/>
            <w:shd w:val="clear" w:color="auto" w:fill="auto"/>
          </w:tcPr>
          <w:p w14:paraId="7DB1035E">
            <w:pPr>
              <w:pStyle w:val="150"/>
            </w:pPr>
            <w:r>
              <w:rPr>
                <w:rFonts w:hint="eastAsia"/>
              </w:rPr>
              <w:t>收件人过滤-白名单</w:t>
            </w:r>
          </w:p>
        </w:tc>
        <w:tc>
          <w:tcPr>
            <w:tcW w:w="6776" w:type="dxa"/>
            <w:shd w:val="clear" w:color="auto" w:fill="auto"/>
          </w:tcPr>
          <w:p w14:paraId="0ADB30F3">
            <w:pPr>
              <w:pStyle w:val="150"/>
            </w:pPr>
            <w:r>
              <w:rPr>
                <w:rFonts w:hint="eastAsia"/>
              </w:rPr>
              <w:t>对邮件信息的发件人信息进行关键字判断，命中放行，否则阻断</w:t>
            </w:r>
          </w:p>
        </w:tc>
      </w:tr>
      <w:tr w14:paraId="36383D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2" w:type="dxa"/>
            <w:shd w:val="clear" w:color="auto" w:fill="auto"/>
          </w:tcPr>
          <w:p w14:paraId="71C35528">
            <w:pPr>
              <w:pStyle w:val="150"/>
            </w:pPr>
            <w:r>
              <w:rPr>
                <w:rFonts w:hint="eastAsia"/>
              </w:rPr>
              <w:t>标题关键字</w:t>
            </w:r>
          </w:p>
        </w:tc>
        <w:tc>
          <w:tcPr>
            <w:tcW w:w="6776" w:type="dxa"/>
            <w:shd w:val="clear" w:color="auto" w:fill="auto"/>
          </w:tcPr>
          <w:p w14:paraId="6DA6E1FB">
            <w:pPr>
              <w:pStyle w:val="150"/>
            </w:pPr>
            <w:r>
              <w:rPr>
                <w:rFonts w:hint="eastAsia"/>
              </w:rPr>
              <w:t>对邮件信息的标题进行关键字判断，命中阻断，否则放行</w:t>
            </w:r>
          </w:p>
        </w:tc>
      </w:tr>
      <w:tr w14:paraId="7781925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2" w:type="dxa"/>
            <w:shd w:val="clear" w:color="auto" w:fill="auto"/>
          </w:tcPr>
          <w:p w14:paraId="268F4C27">
            <w:pPr>
              <w:pStyle w:val="150"/>
            </w:pPr>
            <w:r>
              <w:rPr>
                <w:rFonts w:hint="eastAsia"/>
              </w:rPr>
              <w:t>内容关键字</w:t>
            </w:r>
          </w:p>
        </w:tc>
        <w:tc>
          <w:tcPr>
            <w:tcW w:w="6776" w:type="dxa"/>
            <w:shd w:val="clear" w:color="auto" w:fill="auto"/>
          </w:tcPr>
          <w:p w14:paraId="62692A1D">
            <w:pPr>
              <w:pStyle w:val="150"/>
            </w:pPr>
            <w:r>
              <w:rPr>
                <w:rFonts w:hint="eastAsia"/>
              </w:rPr>
              <w:t>对邮件信息的内容进行关键字判断，命中阻断，否则放行</w:t>
            </w:r>
          </w:p>
        </w:tc>
      </w:tr>
      <w:tr w14:paraId="610292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20" w:hRule="atLeast"/>
        </w:trPr>
        <w:tc>
          <w:tcPr>
            <w:tcW w:w="2192" w:type="dxa"/>
            <w:shd w:val="clear" w:color="auto" w:fill="auto"/>
          </w:tcPr>
          <w:p w14:paraId="40D824D1">
            <w:pPr>
              <w:pStyle w:val="150"/>
            </w:pPr>
            <w:r>
              <w:rPr>
                <w:rFonts w:hint="eastAsia"/>
              </w:rPr>
              <w:t>附件名关键字</w:t>
            </w:r>
          </w:p>
        </w:tc>
        <w:tc>
          <w:tcPr>
            <w:tcW w:w="6776" w:type="dxa"/>
            <w:shd w:val="clear" w:color="auto" w:fill="auto"/>
          </w:tcPr>
          <w:p w14:paraId="3F0940AA">
            <w:pPr>
              <w:pStyle w:val="150"/>
            </w:pPr>
            <w:r>
              <w:rPr>
                <w:rFonts w:hint="eastAsia"/>
              </w:rPr>
              <w:t>对邮件信息的附件名进行关键字判断，命中阻断，否则放行</w:t>
            </w:r>
          </w:p>
        </w:tc>
      </w:tr>
      <w:tr w14:paraId="5993522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2" w:type="dxa"/>
            <w:shd w:val="clear" w:color="auto" w:fill="auto"/>
          </w:tcPr>
          <w:p w14:paraId="3AB44874">
            <w:pPr>
              <w:pStyle w:val="150"/>
            </w:pPr>
            <w:r>
              <w:rPr>
                <w:rFonts w:hint="eastAsia"/>
              </w:rPr>
              <w:t>邮件大小</w:t>
            </w:r>
          </w:p>
        </w:tc>
        <w:tc>
          <w:tcPr>
            <w:tcW w:w="6776" w:type="dxa"/>
            <w:shd w:val="clear" w:color="auto" w:fill="auto"/>
          </w:tcPr>
          <w:p w14:paraId="314C5CDD">
            <w:pPr>
              <w:pStyle w:val="150"/>
            </w:pPr>
            <w:r>
              <w:rPr>
                <w:rFonts w:hint="eastAsia"/>
              </w:rPr>
              <w:t>对邮件信息的邮件大小进行判断，超过限制大小阻断，否则放行</w:t>
            </w:r>
          </w:p>
        </w:tc>
      </w:tr>
      <w:tr w14:paraId="2B1BFF9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2" w:type="dxa"/>
            <w:shd w:val="clear" w:color="auto" w:fill="auto"/>
          </w:tcPr>
          <w:p w14:paraId="03C31057">
            <w:pPr>
              <w:pStyle w:val="150"/>
            </w:pPr>
            <w:r>
              <w:rPr>
                <w:rFonts w:hint="eastAsia"/>
              </w:rPr>
              <w:t>附件个数</w:t>
            </w:r>
          </w:p>
        </w:tc>
        <w:tc>
          <w:tcPr>
            <w:tcW w:w="6776" w:type="dxa"/>
            <w:shd w:val="clear" w:color="auto" w:fill="auto"/>
          </w:tcPr>
          <w:p w14:paraId="6D56843D">
            <w:pPr>
              <w:pStyle w:val="150"/>
            </w:pPr>
            <w:r>
              <w:rPr>
                <w:rFonts w:hint="eastAsia"/>
              </w:rPr>
              <w:t>对邮件信息的附件个数进行判断，超过限制个数阻断，否则放行</w:t>
            </w:r>
          </w:p>
        </w:tc>
      </w:tr>
      <w:tr w14:paraId="4DBDAA7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2" w:type="dxa"/>
            <w:shd w:val="clear" w:color="auto" w:fill="auto"/>
          </w:tcPr>
          <w:p w14:paraId="6C280443">
            <w:pPr>
              <w:pStyle w:val="150"/>
            </w:pPr>
            <w:r>
              <w:rPr>
                <w:rFonts w:hint="eastAsia"/>
              </w:rPr>
              <w:t>日志级别</w:t>
            </w:r>
          </w:p>
        </w:tc>
        <w:tc>
          <w:tcPr>
            <w:tcW w:w="6776" w:type="dxa"/>
            <w:shd w:val="clear" w:color="auto" w:fill="auto"/>
          </w:tcPr>
          <w:p w14:paraId="56386D15">
            <w:pPr>
              <w:pStyle w:val="150"/>
            </w:pPr>
            <w:r>
              <w:rPr>
                <w:rFonts w:hint="eastAsia"/>
              </w:rPr>
              <w:t>日志记录的提示信息，或者不记录</w:t>
            </w:r>
          </w:p>
        </w:tc>
      </w:tr>
    </w:tbl>
    <w:p w14:paraId="0040E63B"/>
    <w:p w14:paraId="54CD20DA">
      <w:pPr>
        <w:pStyle w:val="4"/>
      </w:pPr>
      <w:bookmarkStart w:id="4339" w:name="_Toc141873647"/>
      <w:bookmarkStart w:id="4340" w:name="_Toc142401164"/>
      <w:bookmarkStart w:id="4341" w:name="_Toc172218426"/>
      <w:bookmarkStart w:id="4342" w:name="_Toc194080912"/>
      <w:bookmarkStart w:id="4343" w:name="_Toc196728244"/>
      <w:r>
        <w:t>WEB</w:t>
      </w:r>
      <w:r>
        <w:rPr>
          <w:rFonts w:hint="eastAsia"/>
        </w:rPr>
        <w:t>关键</w:t>
      </w:r>
      <w:bookmarkStart w:id="4344" w:name="_Toc4167795"/>
      <w:r>
        <w:t>字过滤</w:t>
      </w:r>
      <w:bookmarkEnd w:id="4272"/>
      <w:bookmarkEnd w:id="4273"/>
      <w:bookmarkEnd w:id="4274"/>
      <w:bookmarkEnd w:id="4275"/>
      <w:bookmarkEnd w:id="4276"/>
      <w:bookmarkEnd w:id="4339"/>
      <w:bookmarkEnd w:id="4340"/>
      <w:bookmarkEnd w:id="4341"/>
      <w:bookmarkEnd w:id="4342"/>
      <w:bookmarkEnd w:id="4343"/>
      <w:bookmarkEnd w:id="4344"/>
    </w:p>
    <w:p w14:paraId="5C72269C">
      <w:pPr>
        <w:pStyle w:val="5"/>
      </w:pPr>
      <w:bookmarkStart w:id="4345" w:name="_Toc15484932"/>
      <w:bookmarkStart w:id="4346" w:name="_Toc142401165"/>
      <w:bookmarkStart w:id="4347" w:name="_Toc99561770"/>
      <w:bookmarkStart w:id="4348" w:name="_Toc6235064"/>
      <w:bookmarkStart w:id="4349" w:name="_Toc40276129"/>
      <w:bookmarkStart w:id="4350" w:name="_Toc196728245"/>
      <w:bookmarkStart w:id="4351" w:name="_Toc4167796"/>
      <w:bookmarkStart w:id="4352" w:name="_Toc23152696"/>
      <w:bookmarkStart w:id="4353" w:name="_Toc141873648"/>
      <w:bookmarkStart w:id="4354" w:name="_Toc194080913"/>
      <w:bookmarkStart w:id="4355" w:name="_Toc172218427"/>
      <w:r>
        <w:rPr>
          <w:rFonts w:hint="eastAsia"/>
        </w:rPr>
        <w:t>WEB关键</w:t>
      </w:r>
      <w:r>
        <w:t>字过滤</w:t>
      </w:r>
      <w:r>
        <w:rPr>
          <w:rFonts w:hint="eastAsia"/>
        </w:rPr>
        <w:t>概述</w:t>
      </w:r>
      <w:bookmarkEnd w:id="4345"/>
      <w:bookmarkEnd w:id="4346"/>
      <w:bookmarkEnd w:id="4347"/>
      <w:bookmarkEnd w:id="4348"/>
      <w:bookmarkEnd w:id="4349"/>
      <w:bookmarkEnd w:id="4350"/>
      <w:bookmarkEnd w:id="4351"/>
      <w:bookmarkEnd w:id="4352"/>
      <w:bookmarkEnd w:id="4353"/>
      <w:bookmarkEnd w:id="4354"/>
      <w:bookmarkEnd w:id="4355"/>
    </w:p>
    <w:p w14:paraId="2240079D">
      <w:r>
        <w:rPr>
          <w:rFonts w:hint="eastAsia"/>
        </w:rPr>
        <w:t>web关键字过滤，支持针对搜索引擎内容的过滤、HTTP上传POST内容的过滤以</w:t>
      </w:r>
      <w:r>
        <w:t>及HTTP</w:t>
      </w:r>
      <w:r>
        <w:rPr>
          <w:rFonts w:hint="eastAsia"/>
        </w:rPr>
        <w:t>网页浏览</w:t>
      </w:r>
      <w:r>
        <w:t>内容的过滤</w:t>
      </w:r>
      <w:r>
        <w:rPr>
          <w:rFonts w:hint="eastAsia"/>
        </w:rPr>
        <w:t>，实现效果如下：</w:t>
      </w:r>
    </w:p>
    <w:p w14:paraId="0D70DCD1">
      <w:pPr>
        <w:pStyle w:val="162"/>
      </w:pPr>
      <w:r>
        <w:rPr>
          <w:rFonts w:hint="eastAsia"/>
        </w:rPr>
        <w:t>搜索引擎：</w:t>
      </w:r>
    </w:p>
    <w:p w14:paraId="3DD3FC0B">
      <w:r>
        <w:rPr>
          <w:rFonts w:hint="eastAsia"/>
        </w:rPr>
        <w:t>对搜索引擎的搜索内容进行监控，提供告警、拒绝两种处理动作，并</w:t>
      </w:r>
      <w:r>
        <w:t>支持</w:t>
      </w:r>
      <w:r>
        <w:rPr>
          <w:rFonts w:hint="eastAsia"/>
        </w:rPr>
        <w:t>记录日志。</w:t>
      </w:r>
    </w:p>
    <w:p w14:paraId="0878FBBB">
      <w:pPr>
        <w:pStyle w:val="162"/>
      </w:pPr>
      <w:r>
        <w:rPr>
          <w:rFonts w:hint="eastAsia"/>
        </w:rPr>
        <w:t>HTTP上传：</w:t>
      </w:r>
    </w:p>
    <w:p w14:paraId="245DDE39">
      <w:r>
        <w:rPr>
          <w:rFonts w:hint="eastAsia"/>
        </w:rPr>
        <w:t>对http上传的POST内容进行监控，提供告警、拒绝两种处理动作，并</w:t>
      </w:r>
      <w:r>
        <w:t>支持</w:t>
      </w:r>
      <w:r>
        <w:rPr>
          <w:rFonts w:hint="eastAsia"/>
        </w:rPr>
        <w:t>记录日志</w:t>
      </w:r>
      <w:r>
        <w:t>，</w:t>
      </w:r>
      <w:r>
        <w:rPr>
          <w:rFonts w:hint="eastAsia"/>
        </w:rPr>
        <w:t>如：</w:t>
      </w:r>
    </w:p>
    <w:p w14:paraId="4022E768">
      <w:r>
        <w:rPr>
          <w:rFonts w:hint="eastAsia"/>
        </w:rPr>
        <w:t>web邮件过滤（</w:t>
      </w:r>
      <w:r>
        <w:t>发件人</w:t>
      </w:r>
      <w:r>
        <w:rPr>
          <w:rFonts w:hint="eastAsia"/>
        </w:rPr>
        <w:t>、</w:t>
      </w:r>
      <w:r>
        <w:t>收</w:t>
      </w:r>
      <w:r>
        <w:rPr>
          <w:rFonts w:hint="eastAsia"/>
        </w:rPr>
        <w:t>件</w:t>
      </w:r>
      <w:r>
        <w:t>人</w:t>
      </w:r>
      <w:r>
        <w:rPr>
          <w:rFonts w:hint="eastAsia"/>
        </w:rPr>
        <w:t>，主题</w:t>
      </w:r>
      <w:r>
        <w:t>、内容、附件</w:t>
      </w:r>
      <w:r>
        <w:rPr>
          <w:rFonts w:hint="eastAsia"/>
        </w:rPr>
        <w:t>名</w:t>
      </w:r>
      <w:r>
        <w:t>）</w:t>
      </w:r>
      <w:r>
        <w:rPr>
          <w:rFonts w:hint="eastAsia"/>
        </w:rPr>
        <w:t>；</w:t>
      </w:r>
    </w:p>
    <w:p w14:paraId="16144B30">
      <w:r>
        <w:t>web</w:t>
      </w:r>
      <w:r>
        <w:rPr>
          <w:rFonts w:hint="eastAsia"/>
        </w:rPr>
        <w:t>社区论坛（发</w:t>
      </w:r>
      <w:r>
        <w:t>帖内容、附件</w:t>
      </w:r>
      <w:r>
        <w:rPr>
          <w:rFonts w:hint="eastAsia"/>
        </w:rPr>
        <w:t>上</w:t>
      </w:r>
      <w:r>
        <w:t>传）</w:t>
      </w:r>
      <w:r>
        <w:rPr>
          <w:rFonts w:hint="eastAsia"/>
        </w:rPr>
        <w:t>。</w:t>
      </w:r>
    </w:p>
    <w:p w14:paraId="23953214">
      <w:pPr>
        <w:pStyle w:val="162"/>
      </w:pPr>
      <w:r>
        <w:rPr>
          <w:rFonts w:hint="eastAsia"/>
        </w:rPr>
        <w:t>网页内容：</w:t>
      </w:r>
    </w:p>
    <w:p w14:paraId="2DAEE13D">
      <w:r>
        <w:rPr>
          <w:rFonts w:hint="eastAsia"/>
        </w:rPr>
        <w:t>支持所有http网页浏览内容过滤，网页内容必须为文本形式，不能为图片中的文字。</w:t>
      </w:r>
      <w:r>
        <w:t xml:space="preserve"> </w:t>
      </w:r>
    </w:p>
    <w:p w14:paraId="2903AEF0">
      <w:pPr>
        <w:pStyle w:val="5"/>
      </w:pPr>
      <w:bookmarkStart w:id="4356" w:name="_Toc99561771"/>
      <w:bookmarkStart w:id="4357" w:name="_Toc194080914"/>
      <w:bookmarkStart w:id="4358" w:name="_Toc172218428"/>
      <w:bookmarkStart w:id="4359" w:name="_Toc141873649"/>
      <w:bookmarkStart w:id="4360" w:name="_Toc142401166"/>
      <w:bookmarkStart w:id="4361" w:name="_Toc196728246"/>
      <w:bookmarkStart w:id="4362" w:name="_Toc6235065"/>
      <w:bookmarkStart w:id="4363" w:name="_Toc15484933"/>
      <w:bookmarkStart w:id="4364" w:name="_Toc4167797"/>
      <w:bookmarkStart w:id="4365" w:name="_Toc40276130"/>
      <w:bookmarkStart w:id="4366" w:name="_Toc23152697"/>
      <w:r>
        <w:rPr>
          <w:rFonts w:hint="eastAsia"/>
        </w:rPr>
        <w:t>W</w:t>
      </w:r>
      <w:r>
        <w:t>EB</w:t>
      </w:r>
      <w:r>
        <w:rPr>
          <w:rFonts w:hint="eastAsia"/>
        </w:rPr>
        <w:t>关键</w:t>
      </w:r>
      <w:r>
        <w:t>字页面</w:t>
      </w:r>
      <w:bookmarkEnd w:id="4356"/>
      <w:bookmarkEnd w:id="4357"/>
      <w:bookmarkEnd w:id="4358"/>
      <w:bookmarkEnd w:id="4359"/>
      <w:bookmarkEnd w:id="4360"/>
      <w:bookmarkEnd w:id="4361"/>
      <w:bookmarkEnd w:id="4362"/>
      <w:bookmarkEnd w:id="4363"/>
      <w:bookmarkEnd w:id="4364"/>
      <w:bookmarkEnd w:id="4365"/>
      <w:bookmarkEnd w:id="4366"/>
    </w:p>
    <w:p w14:paraId="0D5AF57F">
      <w:r>
        <w:rPr>
          <w:rFonts w:hint="eastAsia"/>
        </w:rPr>
        <w:t>在导航栏中选择“策略配置&gt;控制策略”，单击&lt;新建&gt;按钮，选择“应用</w:t>
      </w:r>
      <w:r>
        <w:t>过滤</w:t>
      </w:r>
      <w:r>
        <w:rPr>
          <w:rFonts w:hint="eastAsia"/>
        </w:rPr>
        <w:t xml:space="preserve"> &gt;</w:t>
      </w:r>
      <w:r>
        <w:t xml:space="preserve"> WEB</w:t>
      </w:r>
      <w:r>
        <w:rPr>
          <w:rFonts w:hint="eastAsia"/>
        </w:rPr>
        <w:t>关键</w:t>
      </w:r>
      <w:r>
        <w:t>字</w:t>
      </w:r>
      <w:r>
        <w:rPr>
          <w:rFonts w:hint="eastAsia"/>
        </w:rPr>
        <w:t>”标签页，如</w:t>
      </w:r>
      <w:r>
        <w:fldChar w:fldCharType="begin"/>
      </w:r>
      <w:r>
        <w:instrText xml:space="preserve"> </w:instrText>
      </w:r>
      <w:r>
        <w:rPr>
          <w:rFonts w:hint="eastAsia"/>
        </w:rPr>
        <w:instrText xml:space="preserve">REF _Ref5290376 \r \h</w:instrText>
      </w:r>
      <w:r>
        <w:instrText xml:space="preserve"> </w:instrText>
      </w:r>
      <w:r>
        <w:fldChar w:fldCharType="separate"/>
      </w:r>
      <w:r>
        <w:rPr>
          <w:rFonts w:hint="eastAsia"/>
        </w:rPr>
        <w:t>图14-35</w:t>
      </w:r>
      <w:r>
        <w:fldChar w:fldCharType="end"/>
      </w:r>
      <w:r>
        <w:rPr>
          <w:rFonts w:hint="eastAsia"/>
        </w:rPr>
        <w:t>所示。</w:t>
      </w:r>
    </w:p>
    <w:p w14:paraId="7588C779">
      <w:pPr>
        <w:pStyle w:val="188"/>
      </w:pPr>
      <w:bookmarkStart w:id="4367" w:name="_Toc141875048"/>
      <w:bookmarkStart w:id="4368" w:name="_Ref5290376"/>
      <w:r>
        <w:rPr>
          <w:rFonts w:hint="eastAsia"/>
        </w:rPr>
        <w:t>WEB关键字页面</w:t>
      </w:r>
      <w:bookmarkEnd w:id="4367"/>
    </w:p>
    <w:bookmarkEnd w:id="4368"/>
    <w:p w14:paraId="1B5971F5">
      <w:r>
        <w:drawing>
          <wp:inline distT="0" distB="0" distL="0" distR="0">
            <wp:extent cx="5400040" cy="1576070"/>
            <wp:effectExtent l="0" t="0" r="0" b="5080"/>
            <wp:docPr id="441"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441"/>
                    <pic:cNvPicPr>
                      <a:picLocks noChangeAspect="1"/>
                    </pic:cNvPicPr>
                  </pic:nvPicPr>
                  <pic:blipFill>
                    <a:blip r:embed="rId604"/>
                    <a:stretch>
                      <a:fillRect/>
                    </a:stretch>
                  </pic:blipFill>
                  <pic:spPr>
                    <a:xfrm>
                      <a:off x="0" y="0"/>
                      <a:ext cx="5400040" cy="1576646"/>
                    </a:xfrm>
                    <a:prstGeom prst="rect">
                      <a:avLst/>
                    </a:prstGeom>
                  </pic:spPr>
                </pic:pic>
              </a:graphicData>
            </a:graphic>
          </wp:inline>
        </w:drawing>
      </w:r>
    </w:p>
    <w:p w14:paraId="5175875D"/>
    <w:p w14:paraId="24D6DFF1">
      <w:r>
        <w:rPr>
          <w:rFonts w:hint="eastAsia"/>
        </w:rPr>
        <w:t>页面上方的快捷功能按钮说明，如</w:t>
      </w:r>
      <w:r>
        <w:fldChar w:fldCharType="begin"/>
      </w:r>
      <w:r>
        <w:instrText xml:space="preserve"> </w:instrText>
      </w:r>
      <w:r>
        <w:rPr>
          <w:rFonts w:hint="eastAsia"/>
        </w:rPr>
        <w:instrText xml:space="preserve">REF _Ref5290657 \r \h</w:instrText>
      </w:r>
      <w:r>
        <w:instrText xml:space="preserve"> </w:instrText>
      </w:r>
      <w:r>
        <w:fldChar w:fldCharType="separate"/>
      </w:r>
      <w:r>
        <w:rPr>
          <w:rFonts w:hint="eastAsia"/>
        </w:rPr>
        <w:t>表14-1</w:t>
      </w:r>
      <w:r>
        <w:fldChar w:fldCharType="end"/>
      </w:r>
      <w:r>
        <w:t>所示</w:t>
      </w:r>
      <w:r>
        <w:rPr>
          <w:rFonts w:hint="eastAsia"/>
        </w:rPr>
        <w:t>。</w:t>
      </w:r>
    </w:p>
    <w:p w14:paraId="6259DC44">
      <w:pPr>
        <w:pStyle w:val="183"/>
      </w:pPr>
      <w:bookmarkStart w:id="4369" w:name="_Ref5290657"/>
      <w:bookmarkStart w:id="4370" w:name="_Toc141875660"/>
      <w:r>
        <w:rPr>
          <w:rFonts w:hint="eastAsia"/>
        </w:rPr>
        <w:t>快捷</w:t>
      </w:r>
      <w:r>
        <w:t>功能按钮说明</w:t>
      </w:r>
      <w:bookmarkEnd w:id="4369"/>
      <w:bookmarkEnd w:id="4370"/>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3"/>
        <w:gridCol w:w="6637"/>
      </w:tblGrid>
      <w:tr w14:paraId="70234E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tcBorders>
              <w:tl2br w:val="nil"/>
              <w:tr2bl w:val="nil"/>
            </w:tcBorders>
            <w:shd w:val="clear" w:color="auto" w:fill="538135" w:themeFill="accent6" w:themeFillShade="BF"/>
            <w:vAlign w:val="center"/>
          </w:tcPr>
          <w:p w14:paraId="2C6413FE">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37" w:type="dxa"/>
            <w:tcBorders>
              <w:tl2br w:val="nil"/>
              <w:tr2bl w:val="nil"/>
            </w:tcBorders>
            <w:shd w:val="clear" w:color="auto" w:fill="538135" w:themeFill="accent6" w:themeFillShade="BF"/>
            <w:vAlign w:val="center"/>
          </w:tcPr>
          <w:p w14:paraId="165FB159">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16EDDC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1575C401">
            <w:pPr>
              <w:pStyle w:val="150"/>
            </w:pPr>
            <w:r>
              <w:rPr>
                <w:rFonts w:hint="eastAsia"/>
              </w:rPr>
              <w:t>新建</w:t>
            </w:r>
          </w:p>
        </w:tc>
        <w:tc>
          <w:tcPr>
            <w:tcW w:w="6637" w:type="dxa"/>
            <w:shd w:val="clear" w:color="auto" w:fill="auto"/>
          </w:tcPr>
          <w:p w14:paraId="61ED2344">
            <w:pPr>
              <w:pStyle w:val="150"/>
            </w:pPr>
            <w:r>
              <w:rPr>
                <w:rFonts w:hint="eastAsia"/>
              </w:rPr>
              <w:t>点击</w:t>
            </w:r>
            <w:r>
              <w:t>新建</w:t>
            </w:r>
            <w:r>
              <w:rPr>
                <w:rFonts w:hint="eastAsia"/>
              </w:rPr>
              <w:t>创建</w:t>
            </w:r>
            <w:r>
              <w:t>规则</w:t>
            </w:r>
            <w:r>
              <w:rPr>
                <w:rFonts w:hint="eastAsia"/>
              </w:rPr>
              <w:t>。</w:t>
            </w:r>
          </w:p>
        </w:tc>
      </w:tr>
      <w:tr w14:paraId="297EB7E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753F7269">
            <w:pPr>
              <w:pStyle w:val="150"/>
            </w:pPr>
            <w:r>
              <w:rPr>
                <w:rFonts w:hint="eastAsia"/>
              </w:rPr>
              <w:t>删除</w:t>
            </w:r>
          </w:p>
        </w:tc>
        <w:tc>
          <w:tcPr>
            <w:tcW w:w="6637" w:type="dxa"/>
            <w:shd w:val="clear" w:color="auto" w:fill="auto"/>
          </w:tcPr>
          <w:p w14:paraId="1E1512CB">
            <w:pPr>
              <w:pStyle w:val="150"/>
            </w:pPr>
            <w:r>
              <w:rPr>
                <w:rFonts w:hint="eastAsia"/>
              </w:rPr>
              <w:t>选中</w:t>
            </w:r>
            <w:r>
              <w:t>对应规则</w:t>
            </w:r>
            <w:r>
              <w:rPr>
                <w:rFonts w:hint="eastAsia"/>
              </w:rPr>
              <w:t>进行快捷</w:t>
            </w:r>
            <w:r>
              <w:t>删除</w:t>
            </w:r>
            <w:r>
              <w:rPr>
                <w:rFonts w:hint="eastAsia"/>
              </w:rPr>
              <w:t>。</w:t>
            </w:r>
          </w:p>
        </w:tc>
      </w:tr>
      <w:tr w14:paraId="464379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7D622807">
            <w:pPr>
              <w:pStyle w:val="150"/>
            </w:pPr>
            <w:r>
              <w:rPr>
                <w:rFonts w:hint="eastAsia"/>
              </w:rPr>
              <w:t>查询</w:t>
            </w:r>
          </w:p>
        </w:tc>
        <w:tc>
          <w:tcPr>
            <w:tcW w:w="6637" w:type="dxa"/>
            <w:shd w:val="clear" w:color="auto" w:fill="auto"/>
          </w:tcPr>
          <w:p w14:paraId="39A69233">
            <w:pPr>
              <w:pStyle w:val="150"/>
            </w:pPr>
            <w:r>
              <w:rPr>
                <w:rFonts w:hint="eastAsia"/>
              </w:rPr>
              <w:t>支持根据</w:t>
            </w:r>
            <w:r>
              <w:t>条件查询</w:t>
            </w:r>
            <w:r>
              <w:rPr>
                <w:rFonts w:hint="eastAsia"/>
              </w:rPr>
              <w:t>规则。</w:t>
            </w:r>
          </w:p>
        </w:tc>
      </w:tr>
      <w:tr w14:paraId="387C4D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259A296E">
            <w:pPr>
              <w:pStyle w:val="150"/>
            </w:pPr>
            <w:r>
              <w:rPr>
                <w:rFonts w:hint="eastAsia"/>
              </w:rPr>
              <w:t>启用</w:t>
            </w:r>
          </w:p>
        </w:tc>
        <w:tc>
          <w:tcPr>
            <w:tcW w:w="6637" w:type="dxa"/>
            <w:shd w:val="clear" w:color="auto" w:fill="auto"/>
          </w:tcPr>
          <w:p w14:paraId="26341E54">
            <w:pPr>
              <w:pStyle w:val="150"/>
            </w:pPr>
            <w:r>
              <w:rPr>
                <w:rFonts w:hint="eastAsia"/>
              </w:rPr>
              <w:t>支持</w:t>
            </w:r>
            <w:r>
              <w:t>选中对应规则进行快捷启用</w:t>
            </w:r>
            <w:r>
              <w:rPr>
                <w:rFonts w:hint="eastAsia"/>
              </w:rPr>
              <w:t>。</w:t>
            </w:r>
          </w:p>
        </w:tc>
      </w:tr>
      <w:tr w14:paraId="76011AD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13ADE262">
            <w:pPr>
              <w:pStyle w:val="150"/>
            </w:pPr>
            <w:r>
              <w:rPr>
                <w:rFonts w:hint="eastAsia"/>
              </w:rPr>
              <w:t>禁用</w:t>
            </w:r>
          </w:p>
        </w:tc>
        <w:tc>
          <w:tcPr>
            <w:tcW w:w="6637" w:type="dxa"/>
            <w:shd w:val="clear" w:color="auto" w:fill="auto"/>
          </w:tcPr>
          <w:p w14:paraId="10D27C8E">
            <w:pPr>
              <w:pStyle w:val="150"/>
            </w:pPr>
            <w:r>
              <w:rPr>
                <w:rFonts w:hint="eastAsia"/>
              </w:rPr>
              <w:t>支持选中</w:t>
            </w:r>
            <w:r>
              <w:t>对应规则进行快捷禁用。</w:t>
            </w:r>
          </w:p>
        </w:tc>
      </w:tr>
      <w:tr w14:paraId="6A9F54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236FA058">
            <w:pPr>
              <w:pStyle w:val="150"/>
            </w:pPr>
            <w:r>
              <w:rPr>
                <w:rFonts w:hint="eastAsia"/>
              </w:rPr>
              <w:t>优先</w:t>
            </w:r>
            <w:r>
              <w:t>级</w:t>
            </w:r>
          </w:p>
        </w:tc>
        <w:tc>
          <w:tcPr>
            <w:tcW w:w="6637" w:type="dxa"/>
            <w:shd w:val="clear" w:color="auto" w:fill="auto"/>
          </w:tcPr>
          <w:p w14:paraId="0C671BBA">
            <w:pPr>
              <w:pStyle w:val="150"/>
            </w:pPr>
            <w:r>
              <w:rPr>
                <w:rFonts w:hint="eastAsia"/>
              </w:rPr>
              <w:t>支持</w:t>
            </w:r>
            <w:r>
              <w:t>对选中规则调整优先级</w:t>
            </w:r>
            <w:r>
              <w:rPr>
                <w:rFonts w:hint="eastAsia"/>
              </w:rPr>
              <w:t>顺序。</w:t>
            </w:r>
          </w:p>
        </w:tc>
      </w:tr>
    </w:tbl>
    <w:p w14:paraId="7D6D6FF4"/>
    <w:p w14:paraId="6A6CDE85">
      <w:r>
        <w:rPr>
          <w:rFonts w:hint="eastAsia"/>
        </w:rPr>
        <w:t>点击&lt;查询&gt;</w:t>
      </w:r>
      <w:r>
        <w:t>按钮</w:t>
      </w:r>
      <w:r>
        <w:rPr>
          <w:rFonts w:hint="eastAsia"/>
        </w:rPr>
        <w:t>，可根据</w:t>
      </w:r>
      <w:r>
        <w:t>条件查询</w:t>
      </w:r>
      <w:r>
        <w:rPr>
          <w:rFonts w:hint="eastAsia"/>
        </w:rPr>
        <w:t>规则，如</w:t>
      </w:r>
      <w:r>
        <w:fldChar w:fldCharType="begin"/>
      </w:r>
      <w:r>
        <w:instrText xml:space="preserve"> </w:instrText>
      </w:r>
      <w:r>
        <w:rPr>
          <w:rFonts w:hint="eastAsia"/>
        </w:rPr>
        <w:instrText xml:space="preserve">REF _Ref5290759 \r \h</w:instrText>
      </w:r>
      <w:r>
        <w:instrText xml:space="preserve"> </w:instrText>
      </w:r>
      <w:r>
        <w:fldChar w:fldCharType="separate"/>
      </w:r>
      <w:r>
        <w:rPr>
          <w:rFonts w:hint="eastAsia"/>
        </w:rPr>
        <w:t>图14-36</w:t>
      </w:r>
      <w:r>
        <w:fldChar w:fldCharType="end"/>
      </w:r>
      <w:r>
        <w:rPr>
          <w:rFonts w:hint="eastAsia"/>
        </w:rPr>
        <w:t>所示。查询</w:t>
      </w:r>
      <w:r>
        <w:t>页面详细</w:t>
      </w:r>
      <w:r>
        <w:rPr>
          <w:rFonts w:hint="eastAsia"/>
        </w:rPr>
        <w:t>说明，如</w:t>
      </w:r>
      <w:r>
        <w:fldChar w:fldCharType="begin"/>
      </w:r>
      <w:r>
        <w:instrText xml:space="preserve"> </w:instrText>
      </w:r>
      <w:r>
        <w:rPr>
          <w:rFonts w:hint="eastAsia"/>
        </w:rPr>
        <w:instrText xml:space="preserve">REF _Ref5290764 \r \h</w:instrText>
      </w:r>
      <w:r>
        <w:instrText xml:space="preserve"> </w:instrText>
      </w:r>
      <w:r>
        <w:fldChar w:fldCharType="separate"/>
      </w:r>
      <w:r>
        <w:rPr>
          <w:rFonts w:hint="eastAsia"/>
        </w:rPr>
        <w:t>表14-1</w:t>
      </w:r>
      <w:r>
        <w:fldChar w:fldCharType="end"/>
      </w:r>
      <w:r>
        <w:rPr>
          <w:rFonts w:hint="eastAsia"/>
        </w:rPr>
        <w:t>所示。</w:t>
      </w:r>
    </w:p>
    <w:p w14:paraId="6DA19052">
      <w:pPr>
        <w:pStyle w:val="188"/>
      </w:pPr>
      <w:bookmarkStart w:id="4371" w:name="_Ref5290759"/>
      <w:bookmarkStart w:id="4372" w:name="_Toc141875049"/>
      <w:r>
        <w:rPr>
          <w:rFonts w:hint="eastAsia"/>
        </w:rPr>
        <w:t>查询</w:t>
      </w:r>
      <w:r>
        <w:t>按钮</w:t>
      </w:r>
      <w:bookmarkEnd w:id="4371"/>
      <w:bookmarkEnd w:id="4372"/>
    </w:p>
    <w:p w14:paraId="6A2A8B3A">
      <w:r>
        <w:drawing>
          <wp:inline distT="0" distB="0" distL="0" distR="0">
            <wp:extent cx="5400040" cy="2001520"/>
            <wp:effectExtent l="0" t="0" r="0" b="0"/>
            <wp:docPr id="752"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图片 157"/>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a:xfrm>
                      <a:off x="0" y="0"/>
                      <a:ext cx="5400040" cy="2001884"/>
                    </a:xfrm>
                    <a:prstGeom prst="rect">
                      <a:avLst/>
                    </a:prstGeom>
                    <a:noFill/>
                    <a:ln>
                      <a:noFill/>
                    </a:ln>
                  </pic:spPr>
                </pic:pic>
              </a:graphicData>
            </a:graphic>
          </wp:inline>
        </w:drawing>
      </w:r>
    </w:p>
    <w:p w14:paraId="7D2C3092"/>
    <w:p w14:paraId="23503E96">
      <w:pPr>
        <w:pStyle w:val="183"/>
      </w:pPr>
      <w:bookmarkStart w:id="4373" w:name="_Ref5290764"/>
      <w:bookmarkStart w:id="4374" w:name="_Toc141875661"/>
      <w:r>
        <w:rPr>
          <w:rFonts w:hint="eastAsia"/>
        </w:rPr>
        <w:t>查询</w:t>
      </w:r>
      <w:r>
        <w:t>页面详细说明</w:t>
      </w:r>
      <w:bookmarkEnd w:id="4373"/>
      <w:bookmarkEnd w:id="4374"/>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3"/>
        <w:gridCol w:w="6637"/>
      </w:tblGrid>
      <w:tr w14:paraId="4BA413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tcBorders>
              <w:tl2br w:val="nil"/>
              <w:tr2bl w:val="nil"/>
            </w:tcBorders>
            <w:shd w:val="clear" w:color="auto" w:fill="538135" w:themeFill="accent6" w:themeFillShade="BF"/>
            <w:vAlign w:val="center"/>
          </w:tcPr>
          <w:p w14:paraId="587DC98C">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37" w:type="dxa"/>
            <w:tcBorders>
              <w:tl2br w:val="nil"/>
              <w:tr2bl w:val="nil"/>
            </w:tcBorders>
            <w:shd w:val="clear" w:color="auto" w:fill="538135" w:themeFill="accent6" w:themeFillShade="BF"/>
            <w:vAlign w:val="center"/>
          </w:tcPr>
          <w:p w14:paraId="6CA9DD84">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5C760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707DB9EA">
            <w:pPr>
              <w:pStyle w:val="150"/>
            </w:pPr>
            <w:r>
              <w:rPr>
                <w:rFonts w:hint="eastAsia"/>
              </w:rPr>
              <w:t>ID</w:t>
            </w:r>
          </w:p>
        </w:tc>
        <w:tc>
          <w:tcPr>
            <w:tcW w:w="6637" w:type="dxa"/>
            <w:shd w:val="clear" w:color="auto" w:fill="auto"/>
          </w:tcPr>
          <w:p w14:paraId="22522E4F">
            <w:pPr>
              <w:pStyle w:val="150"/>
            </w:pPr>
            <w:r>
              <w:rPr>
                <w:rFonts w:hint="eastAsia"/>
              </w:rPr>
              <w:t>根据ID查询WEB关键</w:t>
            </w:r>
            <w:r>
              <w:t>字规则</w:t>
            </w:r>
            <w:r>
              <w:rPr>
                <w:rFonts w:hint="eastAsia"/>
              </w:rPr>
              <w:t>。</w:t>
            </w:r>
          </w:p>
        </w:tc>
      </w:tr>
      <w:tr w14:paraId="6F12FC1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0CCF9827">
            <w:pPr>
              <w:pStyle w:val="150"/>
            </w:pPr>
            <w:r>
              <w:rPr>
                <w:rFonts w:hint="eastAsia"/>
              </w:rPr>
              <w:t>描述</w:t>
            </w:r>
          </w:p>
        </w:tc>
        <w:tc>
          <w:tcPr>
            <w:tcW w:w="6637" w:type="dxa"/>
            <w:shd w:val="clear" w:color="auto" w:fill="auto"/>
          </w:tcPr>
          <w:p w14:paraId="130CD9FA">
            <w:pPr>
              <w:pStyle w:val="150"/>
            </w:pPr>
            <w:r>
              <w:rPr>
                <w:rFonts w:hint="eastAsia"/>
              </w:rPr>
              <w:t>根据描述查询WEB关键</w:t>
            </w:r>
            <w:r>
              <w:t>字规则</w:t>
            </w:r>
            <w:r>
              <w:rPr>
                <w:rFonts w:hint="eastAsia"/>
              </w:rPr>
              <w:t>。</w:t>
            </w:r>
          </w:p>
        </w:tc>
      </w:tr>
      <w:tr w14:paraId="46D4FF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465D3DD8">
            <w:pPr>
              <w:pStyle w:val="150"/>
            </w:pPr>
            <w:r>
              <w:rPr>
                <w:rFonts w:hint="eastAsia"/>
              </w:rPr>
              <w:t>处理动作</w:t>
            </w:r>
          </w:p>
        </w:tc>
        <w:tc>
          <w:tcPr>
            <w:tcW w:w="6637" w:type="dxa"/>
            <w:shd w:val="clear" w:color="auto" w:fill="auto"/>
          </w:tcPr>
          <w:p w14:paraId="021A5254">
            <w:pPr>
              <w:pStyle w:val="150"/>
            </w:pPr>
            <w:r>
              <w:rPr>
                <w:rFonts w:hint="eastAsia"/>
              </w:rPr>
              <w:t>根据处理</w:t>
            </w:r>
            <w:r>
              <w:t>动作</w:t>
            </w:r>
            <w:r>
              <w:rPr>
                <w:rFonts w:hint="eastAsia"/>
              </w:rPr>
              <w:t>查询WEB关键</w:t>
            </w:r>
            <w:r>
              <w:t>字规则</w:t>
            </w:r>
            <w:r>
              <w:rPr>
                <w:rFonts w:hint="eastAsia"/>
              </w:rPr>
              <w:t>。</w:t>
            </w:r>
          </w:p>
        </w:tc>
      </w:tr>
      <w:tr w14:paraId="042EBFC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74508CC5">
            <w:pPr>
              <w:pStyle w:val="150"/>
            </w:pPr>
            <w:r>
              <w:rPr>
                <w:rFonts w:hint="eastAsia"/>
              </w:rPr>
              <w:t>日志级别</w:t>
            </w:r>
          </w:p>
        </w:tc>
        <w:tc>
          <w:tcPr>
            <w:tcW w:w="6637" w:type="dxa"/>
            <w:shd w:val="clear" w:color="auto" w:fill="auto"/>
          </w:tcPr>
          <w:p w14:paraId="51354898">
            <w:pPr>
              <w:pStyle w:val="150"/>
            </w:pPr>
            <w:r>
              <w:rPr>
                <w:rFonts w:hint="eastAsia"/>
              </w:rPr>
              <w:t>根据日志</w:t>
            </w:r>
            <w:r>
              <w:t>级别</w:t>
            </w:r>
            <w:r>
              <w:rPr>
                <w:rFonts w:hint="eastAsia"/>
              </w:rPr>
              <w:t>查询WEB关键</w:t>
            </w:r>
            <w:r>
              <w:t>字规则</w:t>
            </w:r>
            <w:r>
              <w:rPr>
                <w:rFonts w:hint="eastAsia"/>
              </w:rPr>
              <w:t>。</w:t>
            </w:r>
          </w:p>
        </w:tc>
      </w:tr>
      <w:tr w14:paraId="4A9107C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107FA629">
            <w:pPr>
              <w:pStyle w:val="150"/>
            </w:pPr>
            <w:r>
              <w:rPr>
                <w:rFonts w:hint="eastAsia"/>
              </w:rPr>
              <w:t>重置</w:t>
            </w:r>
          </w:p>
        </w:tc>
        <w:tc>
          <w:tcPr>
            <w:tcW w:w="6637" w:type="dxa"/>
            <w:shd w:val="clear" w:color="auto" w:fill="auto"/>
          </w:tcPr>
          <w:p w14:paraId="0C163236">
            <w:pPr>
              <w:pStyle w:val="150"/>
            </w:pPr>
            <w:r>
              <w:rPr>
                <w:rFonts w:hint="eastAsia"/>
              </w:rPr>
              <w:t>清</w:t>
            </w:r>
            <w:r>
              <w:t>空</w:t>
            </w:r>
            <w:r>
              <w:rPr>
                <w:rFonts w:hint="eastAsia"/>
              </w:rPr>
              <w:t>当前</w:t>
            </w:r>
            <w:r>
              <w:t>查询</w:t>
            </w:r>
            <w:r>
              <w:rPr>
                <w:rFonts w:hint="eastAsia"/>
              </w:rPr>
              <w:t>页面</w:t>
            </w:r>
            <w:r>
              <w:t>信息。</w:t>
            </w:r>
          </w:p>
        </w:tc>
      </w:tr>
      <w:tr w14:paraId="627EC7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38E32B30">
            <w:pPr>
              <w:pStyle w:val="150"/>
            </w:pPr>
            <w:r>
              <w:rPr>
                <w:rFonts w:hint="eastAsia"/>
              </w:rPr>
              <w:t>提交</w:t>
            </w:r>
          </w:p>
        </w:tc>
        <w:tc>
          <w:tcPr>
            <w:tcW w:w="6637" w:type="dxa"/>
            <w:shd w:val="clear" w:color="auto" w:fill="auto"/>
          </w:tcPr>
          <w:p w14:paraId="7DFCB37D">
            <w:pPr>
              <w:pStyle w:val="150"/>
            </w:pPr>
            <w:r>
              <w:rPr>
                <w:rFonts w:hint="eastAsia"/>
              </w:rPr>
              <w:t>提交</w:t>
            </w:r>
            <w:r>
              <w:t>后根据查询条件显示</w:t>
            </w:r>
            <w:r>
              <w:rPr>
                <w:rFonts w:hint="eastAsia"/>
              </w:rPr>
              <w:t>结果</w:t>
            </w:r>
            <w:r>
              <w:t>。</w:t>
            </w:r>
          </w:p>
        </w:tc>
      </w:tr>
      <w:tr w14:paraId="560BC7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34BA8A3F">
            <w:pPr>
              <w:pStyle w:val="150"/>
            </w:pPr>
            <w:r>
              <w:rPr>
                <w:rFonts w:hint="eastAsia"/>
              </w:rPr>
              <w:t>取消</w:t>
            </w:r>
          </w:p>
        </w:tc>
        <w:tc>
          <w:tcPr>
            <w:tcW w:w="6637" w:type="dxa"/>
            <w:shd w:val="clear" w:color="auto" w:fill="auto"/>
          </w:tcPr>
          <w:p w14:paraId="73566FCC">
            <w:pPr>
              <w:pStyle w:val="150"/>
            </w:pPr>
            <w:r>
              <w:rPr>
                <w:rFonts w:hint="eastAsia"/>
              </w:rPr>
              <w:t>取消</w:t>
            </w:r>
            <w:r>
              <w:t>查询操作。</w:t>
            </w:r>
          </w:p>
        </w:tc>
      </w:tr>
    </w:tbl>
    <w:p w14:paraId="1D023282"/>
    <w:p w14:paraId="7858636A">
      <w:r>
        <w:rPr>
          <w:rFonts w:hint="eastAsia"/>
        </w:rPr>
        <w:t>点击&lt;优先</w:t>
      </w:r>
      <w:r>
        <w:t>级</w:t>
      </w:r>
      <w:r>
        <w:rPr>
          <w:rFonts w:hint="eastAsia"/>
        </w:rPr>
        <w:t>&gt;</w:t>
      </w:r>
      <w:r>
        <w:t>按钮</w:t>
      </w:r>
      <w:r>
        <w:rPr>
          <w:rFonts w:hint="eastAsia"/>
        </w:rPr>
        <w:t>，如</w:t>
      </w:r>
      <w:r>
        <w:fldChar w:fldCharType="begin"/>
      </w:r>
      <w:r>
        <w:instrText xml:space="preserve"> </w:instrText>
      </w:r>
      <w:r>
        <w:rPr>
          <w:rFonts w:hint="eastAsia"/>
        </w:rPr>
        <w:instrText xml:space="preserve">REF _Ref5291069 \r \h</w:instrText>
      </w:r>
      <w:r>
        <w:instrText xml:space="preserve"> </w:instrText>
      </w:r>
      <w:r>
        <w:fldChar w:fldCharType="separate"/>
      </w:r>
      <w:r>
        <w:rPr>
          <w:rFonts w:hint="eastAsia"/>
        </w:rPr>
        <w:t>图14-37</w:t>
      </w:r>
      <w:r>
        <w:fldChar w:fldCharType="end"/>
      </w:r>
      <w:r>
        <w:rPr>
          <w:rFonts w:hint="eastAsia"/>
        </w:rPr>
        <w:t>所示。优先</w:t>
      </w:r>
      <w:r>
        <w:t>级</w:t>
      </w:r>
      <w:r>
        <w:rPr>
          <w:rFonts w:hint="eastAsia"/>
        </w:rPr>
        <w:t>配置</w:t>
      </w:r>
      <w:r>
        <w:t>详细</w:t>
      </w:r>
      <w:r>
        <w:rPr>
          <w:rFonts w:hint="eastAsia"/>
        </w:rPr>
        <w:t>说明，如</w:t>
      </w:r>
      <w:r>
        <w:fldChar w:fldCharType="begin"/>
      </w:r>
      <w:r>
        <w:instrText xml:space="preserve"> </w:instrText>
      </w:r>
      <w:r>
        <w:rPr>
          <w:rFonts w:hint="eastAsia"/>
        </w:rPr>
        <w:instrText xml:space="preserve">REF _Ref5291073 \r \h</w:instrText>
      </w:r>
      <w:r>
        <w:instrText xml:space="preserve"> </w:instrText>
      </w:r>
      <w:r>
        <w:fldChar w:fldCharType="separate"/>
      </w:r>
      <w:r>
        <w:rPr>
          <w:rFonts w:hint="eastAsia"/>
        </w:rPr>
        <w:t>表14-1</w:t>
      </w:r>
      <w:r>
        <w:fldChar w:fldCharType="end"/>
      </w:r>
      <w:r>
        <w:rPr>
          <w:rFonts w:hint="eastAsia"/>
        </w:rPr>
        <w:t>所示。</w:t>
      </w:r>
    </w:p>
    <w:p w14:paraId="71EAD091">
      <w:pPr>
        <w:pStyle w:val="188"/>
      </w:pPr>
      <w:bookmarkStart w:id="4375" w:name="_Toc141875050"/>
      <w:bookmarkStart w:id="4376" w:name="_Ref5291069"/>
      <w:r>
        <w:rPr>
          <w:rFonts w:hint="eastAsia"/>
        </w:rPr>
        <w:t>策略优先</w:t>
      </w:r>
      <w:r>
        <w:t>级</w:t>
      </w:r>
      <w:r>
        <w:rPr>
          <w:rFonts w:hint="eastAsia"/>
        </w:rPr>
        <w:t>配置</w:t>
      </w:r>
      <w:bookmarkEnd w:id="4375"/>
      <w:bookmarkEnd w:id="4376"/>
    </w:p>
    <w:p w14:paraId="58503CA4">
      <w:r>
        <w:drawing>
          <wp:inline distT="0" distB="0" distL="0" distR="0">
            <wp:extent cx="5351780" cy="2466340"/>
            <wp:effectExtent l="0" t="0" r="1270" b="0"/>
            <wp:docPr id="2841" name="图片 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1" name="图片 2841"/>
                    <pic:cNvPicPr>
                      <a:picLocks noChangeAspect="1"/>
                    </pic:cNvPicPr>
                  </pic:nvPicPr>
                  <pic:blipFill>
                    <a:blip r:embed="rId606"/>
                    <a:stretch>
                      <a:fillRect/>
                    </a:stretch>
                  </pic:blipFill>
                  <pic:spPr>
                    <a:xfrm>
                      <a:off x="0" y="0"/>
                      <a:ext cx="5352381" cy="2466667"/>
                    </a:xfrm>
                    <a:prstGeom prst="rect">
                      <a:avLst/>
                    </a:prstGeom>
                  </pic:spPr>
                </pic:pic>
              </a:graphicData>
            </a:graphic>
          </wp:inline>
        </w:drawing>
      </w:r>
    </w:p>
    <w:p w14:paraId="1933440F"/>
    <w:p w14:paraId="5EC6BD2D">
      <w:pPr>
        <w:pStyle w:val="183"/>
      </w:pPr>
      <w:bookmarkStart w:id="4377" w:name="_Ref5291073"/>
      <w:bookmarkStart w:id="4378" w:name="_Toc141875662"/>
      <w:r>
        <w:rPr>
          <w:rFonts w:hint="eastAsia"/>
        </w:rPr>
        <w:t>策略优先</w:t>
      </w:r>
      <w:r>
        <w:t>级按钮详细说明</w:t>
      </w:r>
      <w:bookmarkEnd w:id="4377"/>
      <w:bookmarkEnd w:id="4378"/>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3"/>
        <w:gridCol w:w="6637"/>
      </w:tblGrid>
      <w:tr w14:paraId="6757B27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20" w:hRule="atLeast"/>
        </w:trPr>
        <w:tc>
          <w:tcPr>
            <w:tcW w:w="2333" w:type="dxa"/>
            <w:tcBorders>
              <w:tl2br w:val="nil"/>
              <w:tr2bl w:val="nil"/>
            </w:tcBorders>
            <w:shd w:val="clear" w:color="auto" w:fill="538135" w:themeFill="accent6" w:themeFillShade="BF"/>
            <w:vAlign w:val="center"/>
          </w:tcPr>
          <w:p w14:paraId="09545D5D">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37" w:type="dxa"/>
            <w:tcBorders>
              <w:tl2br w:val="nil"/>
              <w:tr2bl w:val="nil"/>
            </w:tcBorders>
            <w:shd w:val="clear" w:color="auto" w:fill="538135" w:themeFill="accent6" w:themeFillShade="BF"/>
            <w:vAlign w:val="center"/>
          </w:tcPr>
          <w:p w14:paraId="048E6F7D">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50DD34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2A65CDC8">
            <w:pPr>
              <w:pStyle w:val="150"/>
            </w:pPr>
            <w:r>
              <w:rPr>
                <w:rFonts w:hint="eastAsia"/>
              </w:rPr>
              <w:t>被</w:t>
            </w:r>
            <w:r>
              <w:t>移动策略</w:t>
            </w:r>
            <w:r>
              <w:rPr>
                <w:rFonts w:hint="eastAsia"/>
              </w:rPr>
              <w:t>ID</w:t>
            </w:r>
          </w:p>
        </w:tc>
        <w:tc>
          <w:tcPr>
            <w:tcW w:w="6637" w:type="dxa"/>
            <w:shd w:val="clear" w:color="auto" w:fill="auto"/>
          </w:tcPr>
          <w:p w14:paraId="1E9429A1">
            <w:pPr>
              <w:pStyle w:val="150"/>
            </w:pPr>
            <w:r>
              <w:rPr>
                <w:rFonts w:hint="eastAsia"/>
              </w:rPr>
              <w:t>当前</w:t>
            </w:r>
            <w:r>
              <w:t>操作的策略</w:t>
            </w:r>
            <w:r>
              <w:rPr>
                <w:rFonts w:hint="eastAsia"/>
              </w:rPr>
              <w:t>ID。</w:t>
            </w:r>
          </w:p>
        </w:tc>
      </w:tr>
      <w:tr w14:paraId="2529C7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6E6EA002">
            <w:pPr>
              <w:pStyle w:val="150"/>
            </w:pPr>
            <w:r>
              <w:rPr>
                <w:rFonts w:hint="eastAsia"/>
              </w:rPr>
              <w:t>目标位置</w:t>
            </w:r>
          </w:p>
        </w:tc>
        <w:tc>
          <w:tcPr>
            <w:tcW w:w="6637" w:type="dxa"/>
            <w:shd w:val="clear" w:color="auto" w:fill="auto"/>
          </w:tcPr>
          <w:p w14:paraId="24FD516F">
            <w:pPr>
              <w:pStyle w:val="150"/>
            </w:pPr>
            <w:r>
              <w:rPr>
                <w:rFonts w:hint="eastAsia"/>
              </w:rPr>
              <w:t>移动</w:t>
            </w:r>
            <w:r>
              <w:t>的目标位置</w:t>
            </w:r>
            <w:r>
              <w:rPr>
                <w:rFonts w:hint="eastAsia"/>
              </w:rPr>
              <w:t>，</w:t>
            </w:r>
            <w:r>
              <w:t>包括：策略最前、</w:t>
            </w:r>
            <w:r>
              <w:rPr>
                <w:rFonts w:hint="eastAsia"/>
              </w:rPr>
              <w:t>策略ID之前</w:t>
            </w:r>
            <w:r>
              <w:t>、策略</w:t>
            </w:r>
            <w:r>
              <w:rPr>
                <w:rFonts w:hint="eastAsia"/>
              </w:rPr>
              <w:t>ID之后</w:t>
            </w:r>
            <w:r>
              <w:t>、</w:t>
            </w:r>
            <w:r>
              <w:rPr>
                <w:rFonts w:hint="eastAsia"/>
              </w:rPr>
              <w:t>策略</w:t>
            </w:r>
            <w:r>
              <w:t>最后</w:t>
            </w:r>
            <w:r>
              <w:rPr>
                <w:rFonts w:hint="eastAsia"/>
              </w:rPr>
              <w:t>。</w:t>
            </w:r>
          </w:p>
        </w:tc>
      </w:tr>
      <w:tr w14:paraId="2E393E9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4EDAFBDE">
            <w:pPr>
              <w:pStyle w:val="150"/>
            </w:pPr>
            <w:r>
              <w:rPr>
                <w:rFonts w:hint="eastAsia"/>
              </w:rPr>
              <w:t>目标策略ID</w:t>
            </w:r>
          </w:p>
        </w:tc>
        <w:tc>
          <w:tcPr>
            <w:tcW w:w="6637" w:type="dxa"/>
            <w:shd w:val="clear" w:color="auto" w:fill="auto"/>
          </w:tcPr>
          <w:p w14:paraId="41FD51D5">
            <w:pPr>
              <w:pStyle w:val="150"/>
            </w:pPr>
            <w:r>
              <w:rPr>
                <w:rFonts w:hint="eastAsia"/>
              </w:rPr>
              <w:t>选择</w:t>
            </w:r>
            <w:r>
              <w:t>的</w:t>
            </w:r>
            <w:r>
              <w:rPr>
                <w:rFonts w:hint="eastAsia"/>
              </w:rPr>
              <w:t>目标</w:t>
            </w:r>
            <w:r>
              <w:t>策略</w:t>
            </w:r>
            <w:r>
              <w:rPr>
                <w:rFonts w:hint="eastAsia"/>
              </w:rPr>
              <w:t>ID，</w:t>
            </w:r>
            <w:r>
              <w:t>只有目标位置为策略</w:t>
            </w:r>
            <w:r>
              <w:rPr>
                <w:rFonts w:hint="eastAsia"/>
              </w:rPr>
              <w:t>ID之前</w:t>
            </w:r>
            <w:r>
              <w:t>和策略</w:t>
            </w:r>
            <w:r>
              <w:rPr>
                <w:rFonts w:hint="eastAsia"/>
              </w:rPr>
              <w:t>ID之后</w:t>
            </w:r>
            <w:r>
              <w:t>时此选项生效</w:t>
            </w:r>
            <w:r>
              <w:rPr>
                <w:rFonts w:hint="eastAsia"/>
              </w:rPr>
              <w:t>。</w:t>
            </w:r>
          </w:p>
        </w:tc>
      </w:tr>
    </w:tbl>
    <w:p w14:paraId="6522AAAD">
      <w:bookmarkStart w:id="4379" w:name="_Toc4167798"/>
    </w:p>
    <w:p w14:paraId="7DFA92CC">
      <w:pPr>
        <w:pStyle w:val="5"/>
      </w:pPr>
      <w:bookmarkStart w:id="4380" w:name="_Toc40276131"/>
      <w:bookmarkStart w:id="4381" w:name="_Toc6235066"/>
      <w:bookmarkStart w:id="4382" w:name="_Toc15484934"/>
      <w:bookmarkStart w:id="4383" w:name="_Toc23152698"/>
      <w:bookmarkStart w:id="4384" w:name="_Toc194080915"/>
      <w:bookmarkStart w:id="4385" w:name="_Toc99561772"/>
      <w:bookmarkStart w:id="4386" w:name="_Toc142401167"/>
      <w:bookmarkStart w:id="4387" w:name="_Toc141873650"/>
      <w:bookmarkStart w:id="4388" w:name="_Toc172218429"/>
      <w:bookmarkStart w:id="4389" w:name="_Toc196728247"/>
      <w:r>
        <w:rPr>
          <w:rFonts w:hint="eastAsia"/>
        </w:rPr>
        <w:t>搜索</w:t>
      </w:r>
      <w:r>
        <w:t>引擎</w:t>
      </w:r>
      <w:r>
        <w:rPr>
          <w:rFonts w:hint="eastAsia"/>
        </w:rPr>
        <w:t>规则</w:t>
      </w:r>
      <w:bookmarkEnd w:id="4379"/>
      <w:bookmarkEnd w:id="4380"/>
      <w:bookmarkEnd w:id="4381"/>
      <w:bookmarkEnd w:id="4382"/>
      <w:bookmarkEnd w:id="4383"/>
      <w:bookmarkEnd w:id="4384"/>
      <w:bookmarkEnd w:id="4385"/>
      <w:bookmarkEnd w:id="4386"/>
      <w:bookmarkEnd w:id="4387"/>
      <w:bookmarkEnd w:id="4388"/>
      <w:bookmarkEnd w:id="4389"/>
    </w:p>
    <w:p w14:paraId="10DEA827">
      <w:r>
        <w:rPr>
          <w:rFonts w:hint="eastAsia"/>
        </w:rPr>
        <w:t>在导航栏中选择“策略配置&gt;控制策略”，单击&lt;新建&gt;按钮，选择“应用</w:t>
      </w:r>
      <w:r>
        <w:t>过滤</w:t>
      </w:r>
      <w:r>
        <w:rPr>
          <w:rFonts w:hint="eastAsia"/>
        </w:rPr>
        <w:t>&gt;</w:t>
      </w:r>
      <w:r>
        <w:t>WEB</w:t>
      </w:r>
      <w:r>
        <w:rPr>
          <w:rFonts w:hint="eastAsia"/>
        </w:rPr>
        <w:t>关键</w:t>
      </w:r>
      <w:r>
        <w:t>字&gt;</w:t>
      </w:r>
      <w:r>
        <w:rPr>
          <w:rFonts w:hint="eastAsia"/>
        </w:rPr>
        <w:t>搜索</w:t>
      </w:r>
      <w:r>
        <w:t>引擎</w:t>
      </w:r>
      <w:r>
        <w:rPr>
          <w:rFonts w:hint="eastAsia"/>
        </w:rPr>
        <w:t>”标签页，</w:t>
      </w:r>
      <w:r>
        <w:t>点击</w:t>
      </w:r>
      <w:r>
        <w:rPr>
          <w:rFonts w:hint="eastAsia"/>
        </w:rPr>
        <w:t>&lt;新建&gt;进入搜索</w:t>
      </w:r>
      <w:r>
        <w:t>引擎</w:t>
      </w:r>
      <w:r>
        <w:rPr>
          <w:rFonts w:hint="eastAsia"/>
        </w:rPr>
        <w:t>规则配置界面，如</w:t>
      </w:r>
      <w:r>
        <w:rPr>
          <w:color w:val="0000FF"/>
          <w:u w:val="single"/>
        </w:rPr>
        <w:fldChar w:fldCharType="begin"/>
      </w:r>
      <w:r>
        <w:instrText xml:space="preserve"> </w:instrText>
      </w:r>
      <w:r>
        <w:rPr>
          <w:rFonts w:hint="eastAsia"/>
        </w:rPr>
        <w:instrText xml:space="preserve">REF _Ref5627639 \r \h</w:instrText>
      </w:r>
      <w:r>
        <w:instrText xml:space="preserve"> </w:instrText>
      </w:r>
      <w:r>
        <w:rPr>
          <w:color w:val="0000FF"/>
          <w:u w:val="single"/>
        </w:rPr>
        <w:fldChar w:fldCharType="separate"/>
      </w:r>
      <w:r>
        <w:rPr>
          <w:rFonts w:hint="eastAsia"/>
        </w:rPr>
        <w:t>图14-38</w:t>
      </w:r>
      <w:r>
        <w:rPr>
          <w:color w:val="0000FF"/>
          <w:u w:val="single"/>
        </w:rPr>
        <w:fldChar w:fldCharType="end"/>
      </w:r>
      <w:r>
        <w:rPr>
          <w:rFonts w:hint="eastAsia"/>
        </w:rPr>
        <w:t>所示。搜索</w:t>
      </w:r>
      <w:r>
        <w:t>引擎</w:t>
      </w:r>
      <w:r>
        <w:rPr>
          <w:rFonts w:hint="eastAsia"/>
        </w:rPr>
        <w:t>规则详细配置说明，如</w:t>
      </w:r>
      <w:r>
        <w:rPr>
          <w:color w:val="0000FF"/>
          <w:u w:val="single"/>
        </w:rPr>
        <w:fldChar w:fldCharType="begin"/>
      </w:r>
      <w:r>
        <w:instrText xml:space="preserve"> </w:instrText>
      </w:r>
      <w:r>
        <w:rPr>
          <w:rFonts w:hint="eastAsia"/>
        </w:rPr>
        <w:instrText xml:space="preserve">REF _Ref5627645 \r \h</w:instrText>
      </w:r>
      <w:r>
        <w:instrText xml:space="preserve"> </w:instrText>
      </w:r>
      <w:r>
        <w:rPr>
          <w:color w:val="0000FF"/>
          <w:u w:val="single"/>
        </w:rPr>
        <w:fldChar w:fldCharType="separate"/>
      </w:r>
      <w:r>
        <w:rPr>
          <w:rFonts w:hint="eastAsia"/>
        </w:rPr>
        <w:t>表14-1</w:t>
      </w:r>
      <w:r>
        <w:rPr>
          <w:color w:val="0000FF"/>
          <w:u w:val="single"/>
        </w:rPr>
        <w:fldChar w:fldCharType="end"/>
      </w:r>
      <w:r>
        <w:rPr>
          <w:rFonts w:hint="eastAsia"/>
        </w:rPr>
        <w:t>所示。</w:t>
      </w:r>
    </w:p>
    <w:p w14:paraId="48E5A660">
      <w:pPr>
        <w:pStyle w:val="188"/>
      </w:pPr>
      <w:bookmarkStart w:id="4390" w:name="_Toc141875051"/>
      <w:bookmarkStart w:id="4391" w:name="_Ref5627639"/>
      <w:r>
        <w:rPr>
          <w:rFonts w:hint="eastAsia"/>
        </w:rPr>
        <w:t>搜索</w:t>
      </w:r>
      <w:r>
        <w:t>引擎</w:t>
      </w:r>
      <w:r>
        <w:rPr>
          <w:rFonts w:hint="eastAsia"/>
        </w:rPr>
        <w:t>规则</w:t>
      </w:r>
      <w:bookmarkEnd w:id="4390"/>
      <w:bookmarkEnd w:id="4391"/>
    </w:p>
    <w:p w14:paraId="2D2C9249">
      <w:r>
        <w:drawing>
          <wp:inline distT="0" distB="0" distL="0" distR="0">
            <wp:extent cx="5313045" cy="1969135"/>
            <wp:effectExtent l="0" t="0" r="1905" b="0"/>
            <wp:docPr id="753"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图片 157"/>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a:xfrm>
                      <a:off x="0" y="0"/>
                      <a:ext cx="5333449" cy="1977197"/>
                    </a:xfrm>
                    <a:prstGeom prst="rect">
                      <a:avLst/>
                    </a:prstGeom>
                    <a:noFill/>
                    <a:ln>
                      <a:noFill/>
                    </a:ln>
                  </pic:spPr>
                </pic:pic>
              </a:graphicData>
            </a:graphic>
          </wp:inline>
        </w:drawing>
      </w:r>
    </w:p>
    <w:p w14:paraId="21F4B318"/>
    <w:p w14:paraId="43875884"/>
    <w:p w14:paraId="3A5B8DA8">
      <w:pPr>
        <w:pStyle w:val="183"/>
      </w:pPr>
      <w:bookmarkStart w:id="4392" w:name="_Toc141875663"/>
      <w:bookmarkStart w:id="4393" w:name="_Ref5627645"/>
      <w:r>
        <w:rPr>
          <w:rFonts w:hint="eastAsia"/>
        </w:rPr>
        <w:t>搜索</w:t>
      </w:r>
      <w:r>
        <w:t>引擎</w:t>
      </w:r>
      <w:r>
        <w:rPr>
          <w:rFonts w:hint="eastAsia"/>
        </w:rPr>
        <w:t>规则详细配置</w:t>
      </w:r>
      <w:bookmarkEnd w:id="4392"/>
      <w:bookmarkEnd w:id="4393"/>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3"/>
        <w:gridCol w:w="6637"/>
      </w:tblGrid>
      <w:tr w14:paraId="3A2413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20" w:hRule="atLeast"/>
        </w:trPr>
        <w:tc>
          <w:tcPr>
            <w:tcW w:w="2333" w:type="dxa"/>
            <w:tcBorders>
              <w:tl2br w:val="nil"/>
              <w:tr2bl w:val="nil"/>
            </w:tcBorders>
            <w:shd w:val="clear" w:color="auto" w:fill="538135" w:themeFill="accent6" w:themeFillShade="BF"/>
            <w:vAlign w:val="center"/>
          </w:tcPr>
          <w:p w14:paraId="6556275E">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37" w:type="dxa"/>
            <w:tcBorders>
              <w:tl2br w:val="nil"/>
              <w:tr2bl w:val="nil"/>
            </w:tcBorders>
            <w:shd w:val="clear" w:color="auto" w:fill="538135" w:themeFill="accent6" w:themeFillShade="BF"/>
            <w:vAlign w:val="center"/>
          </w:tcPr>
          <w:p w14:paraId="353129F9">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30F640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151540A7">
            <w:pPr>
              <w:pStyle w:val="150"/>
            </w:pPr>
            <w:r>
              <w:rPr>
                <w:rFonts w:hint="eastAsia"/>
              </w:rPr>
              <w:t>启用</w:t>
            </w:r>
          </w:p>
        </w:tc>
        <w:tc>
          <w:tcPr>
            <w:tcW w:w="6637" w:type="dxa"/>
            <w:shd w:val="clear" w:color="auto" w:fill="auto"/>
          </w:tcPr>
          <w:p w14:paraId="6B5E1318">
            <w:pPr>
              <w:pStyle w:val="150"/>
            </w:pPr>
            <w:r>
              <w:rPr>
                <w:rFonts w:hint="eastAsia"/>
              </w:rPr>
              <w:t>勾选后则启用搜索</w:t>
            </w:r>
            <w:r>
              <w:t>引擎规则</w:t>
            </w:r>
            <w:r>
              <w:rPr>
                <w:rFonts w:hint="eastAsia"/>
              </w:rPr>
              <w:t>。</w:t>
            </w:r>
          </w:p>
        </w:tc>
      </w:tr>
      <w:tr w14:paraId="7450F9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507E0297">
            <w:pPr>
              <w:pStyle w:val="150"/>
            </w:pPr>
            <w:r>
              <w:rPr>
                <w:rFonts w:hint="eastAsia"/>
              </w:rPr>
              <w:t>描述</w:t>
            </w:r>
          </w:p>
        </w:tc>
        <w:tc>
          <w:tcPr>
            <w:tcW w:w="6637" w:type="dxa"/>
            <w:shd w:val="clear" w:color="auto" w:fill="auto"/>
          </w:tcPr>
          <w:p w14:paraId="0D3639B8">
            <w:pPr>
              <w:pStyle w:val="150"/>
            </w:pPr>
            <w:r>
              <w:rPr>
                <w:rFonts w:hint="eastAsia"/>
              </w:rPr>
              <w:t>搜索</w:t>
            </w:r>
            <w:r>
              <w:t>引擎规则</w:t>
            </w:r>
            <w:r>
              <w:rPr>
                <w:rFonts w:hint="eastAsia"/>
              </w:rPr>
              <w:t>的描述信息。</w:t>
            </w:r>
          </w:p>
        </w:tc>
      </w:tr>
      <w:tr w14:paraId="14214FB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61870D4E">
            <w:pPr>
              <w:pStyle w:val="150"/>
            </w:pPr>
            <w:r>
              <w:rPr>
                <w:rFonts w:hint="eastAsia"/>
              </w:rPr>
              <w:t>关键字</w:t>
            </w:r>
            <w:r>
              <w:t>对象</w:t>
            </w:r>
          </w:p>
        </w:tc>
        <w:tc>
          <w:tcPr>
            <w:tcW w:w="6637" w:type="dxa"/>
            <w:shd w:val="clear" w:color="auto" w:fill="auto"/>
          </w:tcPr>
          <w:p w14:paraId="151650AA">
            <w:pPr>
              <w:pStyle w:val="150"/>
            </w:pPr>
            <w:r>
              <w:rPr>
                <w:rFonts w:hint="eastAsia"/>
              </w:rPr>
              <w:t>选择关键</w:t>
            </w:r>
            <w:r>
              <w:t>字对象</w:t>
            </w:r>
            <w:r>
              <w:rPr>
                <w:rFonts w:hint="eastAsia"/>
              </w:rPr>
              <w:t>，</w:t>
            </w:r>
            <w:r>
              <w:t>支持</w:t>
            </w:r>
            <w:r>
              <w:rPr>
                <w:rFonts w:hint="eastAsia"/>
              </w:rPr>
              <w:t>通过&lt;添加</w:t>
            </w:r>
            <w:r>
              <w:t>关键字</w:t>
            </w:r>
            <w:r>
              <w:rPr>
                <w:rFonts w:hint="eastAsia"/>
              </w:rPr>
              <w:t>&gt;按钮</w:t>
            </w:r>
            <w:r>
              <w:t>来快速创建关键字对象</w:t>
            </w:r>
            <w:r>
              <w:rPr>
                <w:rFonts w:hint="eastAsia"/>
              </w:rPr>
              <w:t>。</w:t>
            </w:r>
          </w:p>
        </w:tc>
      </w:tr>
      <w:tr w14:paraId="29BFAFD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5CFCF886">
            <w:pPr>
              <w:pStyle w:val="150"/>
            </w:pPr>
            <w:r>
              <w:rPr>
                <w:rFonts w:hint="eastAsia"/>
              </w:rPr>
              <w:t>处理动作</w:t>
            </w:r>
          </w:p>
        </w:tc>
        <w:tc>
          <w:tcPr>
            <w:tcW w:w="6637" w:type="dxa"/>
            <w:shd w:val="clear" w:color="auto" w:fill="auto"/>
          </w:tcPr>
          <w:p w14:paraId="6FD717F9">
            <w:pPr>
              <w:pStyle w:val="150"/>
            </w:pPr>
            <w:r>
              <w:rPr>
                <w:rFonts w:hint="eastAsia"/>
              </w:rPr>
              <w:t>处理</w:t>
            </w:r>
            <w:r>
              <w:t>动作包括</w:t>
            </w:r>
            <w:r>
              <w:rPr>
                <w:rFonts w:hint="eastAsia"/>
              </w:rPr>
              <w:t>：</w:t>
            </w:r>
            <w:r>
              <w:t>告警</w:t>
            </w:r>
            <w:r>
              <w:rPr>
                <w:rFonts w:hint="eastAsia"/>
              </w:rPr>
              <w:t>、</w:t>
            </w:r>
            <w:r>
              <w:t>拒绝</w:t>
            </w:r>
            <w:r>
              <w:rPr>
                <w:rFonts w:hint="eastAsia"/>
              </w:rPr>
              <w:t>。</w:t>
            </w:r>
          </w:p>
        </w:tc>
      </w:tr>
      <w:tr w14:paraId="744A93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39CA3CE6">
            <w:pPr>
              <w:pStyle w:val="150"/>
            </w:pPr>
            <w:r>
              <w:rPr>
                <w:rFonts w:hint="eastAsia"/>
              </w:rPr>
              <w:t>日志级别</w:t>
            </w:r>
          </w:p>
        </w:tc>
        <w:tc>
          <w:tcPr>
            <w:tcW w:w="6637" w:type="dxa"/>
            <w:shd w:val="clear" w:color="auto" w:fill="auto"/>
          </w:tcPr>
          <w:p w14:paraId="1E8F2351">
            <w:pPr>
              <w:pStyle w:val="150"/>
            </w:pPr>
            <w:r>
              <w:rPr>
                <w:rFonts w:hint="eastAsia"/>
              </w:rPr>
              <w:t>日志</w:t>
            </w:r>
            <w:r>
              <w:t>级别</w:t>
            </w:r>
            <w:r>
              <w:rPr>
                <w:rFonts w:hint="eastAsia"/>
              </w:rPr>
              <w:t>包含</w:t>
            </w:r>
            <w:r>
              <w:t>：</w:t>
            </w:r>
            <w:r>
              <w:rPr>
                <w:rFonts w:hint="eastAsia"/>
              </w:rPr>
              <w:t>紧急</w:t>
            </w:r>
            <w:r>
              <w:t>、告警、严重、错误</w:t>
            </w:r>
            <w:r>
              <w:rPr>
                <w:rFonts w:hint="eastAsia"/>
              </w:rPr>
              <w:t>、</w:t>
            </w:r>
            <w:r>
              <w:t>警告、通知、信息、调试、不记录</w:t>
            </w:r>
            <w:r>
              <w:rPr>
                <w:rFonts w:hint="eastAsia"/>
              </w:rPr>
              <w:t>。</w:t>
            </w:r>
          </w:p>
        </w:tc>
      </w:tr>
      <w:tr w14:paraId="0AC167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6BFBDF89">
            <w:pPr>
              <w:pStyle w:val="150"/>
            </w:pPr>
            <w:r>
              <w:rPr>
                <w:rFonts w:hint="eastAsia"/>
              </w:rPr>
              <w:t>提交</w:t>
            </w:r>
          </w:p>
        </w:tc>
        <w:tc>
          <w:tcPr>
            <w:tcW w:w="6637" w:type="dxa"/>
            <w:shd w:val="clear" w:color="auto" w:fill="auto"/>
          </w:tcPr>
          <w:p w14:paraId="38BB7698">
            <w:pPr>
              <w:pStyle w:val="150"/>
            </w:pPr>
            <w:r>
              <w:rPr>
                <w:rFonts w:hint="eastAsia"/>
              </w:rPr>
              <w:t>提交后</w:t>
            </w:r>
            <w:r>
              <w:t>当前规则新建成功。</w:t>
            </w:r>
          </w:p>
        </w:tc>
      </w:tr>
      <w:tr w14:paraId="12626E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38A7DCFD">
            <w:pPr>
              <w:pStyle w:val="150"/>
            </w:pPr>
            <w:r>
              <w:rPr>
                <w:rFonts w:hint="eastAsia"/>
              </w:rPr>
              <w:t>取消</w:t>
            </w:r>
          </w:p>
        </w:tc>
        <w:tc>
          <w:tcPr>
            <w:tcW w:w="6637" w:type="dxa"/>
            <w:shd w:val="clear" w:color="auto" w:fill="auto"/>
          </w:tcPr>
          <w:p w14:paraId="1AD5AD34">
            <w:pPr>
              <w:pStyle w:val="150"/>
            </w:pPr>
            <w:r>
              <w:rPr>
                <w:rFonts w:hint="eastAsia"/>
              </w:rPr>
              <w:t>取消</w:t>
            </w:r>
            <w:r>
              <w:t>规则创建</w:t>
            </w:r>
            <w:r>
              <w:rPr>
                <w:rFonts w:hint="eastAsia"/>
              </w:rPr>
              <w:t>，</w:t>
            </w:r>
            <w:r>
              <w:t>不下发配置。</w:t>
            </w:r>
          </w:p>
        </w:tc>
      </w:tr>
    </w:tbl>
    <w:p w14:paraId="65423A57"/>
    <w:p w14:paraId="38C50375">
      <w:r>
        <w:rPr>
          <w:rFonts w:hint="eastAsia"/>
        </w:rPr>
        <w:t>搜索</w:t>
      </w:r>
      <w:r>
        <w:t>引擎规则</w:t>
      </w:r>
      <w:r>
        <w:rPr>
          <w:rFonts w:hint="eastAsia"/>
        </w:rPr>
        <w:t>创建</w:t>
      </w:r>
      <w:r>
        <w:t>成功后</w:t>
      </w:r>
      <w:r>
        <w:rPr>
          <w:rFonts w:hint="eastAsia"/>
        </w:rPr>
        <w:t>如</w:t>
      </w:r>
      <w:r>
        <w:fldChar w:fldCharType="begin"/>
      </w:r>
      <w:r>
        <w:instrText xml:space="preserve"> </w:instrText>
      </w:r>
      <w:r>
        <w:rPr>
          <w:rFonts w:hint="eastAsia"/>
        </w:rPr>
        <w:instrText xml:space="preserve">REF _Ref5627655 \r \h</w:instrText>
      </w:r>
      <w:r>
        <w:instrText xml:space="preserve"> </w:instrText>
      </w:r>
      <w:r>
        <w:fldChar w:fldCharType="separate"/>
      </w:r>
      <w:r>
        <w:rPr>
          <w:rFonts w:hint="eastAsia"/>
        </w:rPr>
        <w:t>图14-39</w:t>
      </w:r>
      <w:r>
        <w:fldChar w:fldCharType="end"/>
      </w:r>
      <w:r>
        <w:rPr>
          <w:rFonts w:hint="eastAsia"/>
        </w:rPr>
        <w:t>所示。</w:t>
      </w:r>
    </w:p>
    <w:p w14:paraId="79226FE6">
      <w:pPr>
        <w:pStyle w:val="188"/>
      </w:pPr>
      <w:bookmarkStart w:id="4394" w:name="_Toc141875052"/>
      <w:bookmarkStart w:id="4395" w:name="_Ref5627655"/>
      <w:r>
        <w:rPr>
          <w:rFonts w:hint="eastAsia"/>
        </w:rPr>
        <w:t>搜索</w:t>
      </w:r>
      <w:r>
        <w:t>引擎</w:t>
      </w:r>
      <w:r>
        <w:rPr>
          <w:rFonts w:hint="eastAsia"/>
        </w:rPr>
        <w:t>规则配置</w:t>
      </w:r>
      <w:r>
        <w:t>显示</w:t>
      </w:r>
      <w:bookmarkEnd w:id="4394"/>
      <w:bookmarkEnd w:id="4395"/>
    </w:p>
    <w:p w14:paraId="392BC6F0">
      <w:r>
        <w:drawing>
          <wp:inline distT="0" distB="0" distL="0" distR="0">
            <wp:extent cx="5766435" cy="1005840"/>
            <wp:effectExtent l="0" t="0" r="5715" b="3810"/>
            <wp:docPr id="2843" name="图片 2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3" name="图片 2843"/>
                    <pic:cNvPicPr>
                      <a:picLocks noChangeAspect="1"/>
                    </pic:cNvPicPr>
                  </pic:nvPicPr>
                  <pic:blipFill>
                    <a:blip r:embed="rId607"/>
                    <a:stretch>
                      <a:fillRect/>
                    </a:stretch>
                  </pic:blipFill>
                  <pic:spPr>
                    <a:xfrm>
                      <a:off x="0" y="0"/>
                      <a:ext cx="5822163" cy="1015964"/>
                    </a:xfrm>
                    <a:prstGeom prst="rect">
                      <a:avLst/>
                    </a:prstGeom>
                  </pic:spPr>
                </pic:pic>
              </a:graphicData>
            </a:graphic>
          </wp:inline>
        </w:drawing>
      </w:r>
    </w:p>
    <w:p w14:paraId="5F7BACBE">
      <w:bookmarkStart w:id="4396" w:name="_Toc4167799"/>
    </w:p>
    <w:p w14:paraId="269EE0C6">
      <w:pPr>
        <w:pStyle w:val="5"/>
      </w:pPr>
      <w:bookmarkStart w:id="4397" w:name="_Toc15484935"/>
      <w:bookmarkStart w:id="4398" w:name="_Toc23152699"/>
      <w:bookmarkStart w:id="4399" w:name="_Toc172218430"/>
      <w:bookmarkStart w:id="4400" w:name="_Toc196728248"/>
      <w:bookmarkStart w:id="4401" w:name="_Toc142401168"/>
      <w:bookmarkStart w:id="4402" w:name="_Toc40276132"/>
      <w:bookmarkStart w:id="4403" w:name="_Toc194080916"/>
      <w:bookmarkStart w:id="4404" w:name="_Toc141873651"/>
      <w:bookmarkStart w:id="4405" w:name="_Toc6235067"/>
      <w:bookmarkStart w:id="4406" w:name="_Toc99561773"/>
      <w:r>
        <w:rPr>
          <w:rFonts w:hint="eastAsia"/>
        </w:rPr>
        <w:t>HTTP上</w:t>
      </w:r>
      <w:r>
        <w:t>传</w:t>
      </w:r>
      <w:r>
        <w:rPr>
          <w:rFonts w:hint="eastAsia"/>
        </w:rPr>
        <w:t>规则</w:t>
      </w:r>
      <w:bookmarkEnd w:id="4396"/>
      <w:bookmarkEnd w:id="4397"/>
      <w:bookmarkEnd w:id="4398"/>
      <w:bookmarkEnd w:id="4399"/>
      <w:bookmarkEnd w:id="4400"/>
      <w:bookmarkEnd w:id="4401"/>
      <w:bookmarkEnd w:id="4402"/>
      <w:bookmarkEnd w:id="4403"/>
      <w:bookmarkEnd w:id="4404"/>
      <w:bookmarkEnd w:id="4405"/>
      <w:bookmarkEnd w:id="4406"/>
    </w:p>
    <w:p w14:paraId="3821C70D">
      <w:r>
        <w:rPr>
          <w:rFonts w:hint="eastAsia"/>
        </w:rPr>
        <w:t>在导航栏中选择“策略配置&gt;控制策略”，单击&lt;新建&gt;按钮，选择“应用</w:t>
      </w:r>
      <w:r>
        <w:t>过滤</w:t>
      </w:r>
      <w:r>
        <w:rPr>
          <w:rFonts w:hint="eastAsia"/>
        </w:rPr>
        <w:t>&gt;</w:t>
      </w:r>
      <w:r>
        <w:t>WEB</w:t>
      </w:r>
      <w:r>
        <w:rPr>
          <w:rFonts w:hint="eastAsia"/>
        </w:rPr>
        <w:t>关键</w:t>
      </w:r>
      <w:r>
        <w:t>字&gt; HTTP</w:t>
      </w:r>
      <w:r>
        <w:rPr>
          <w:rFonts w:hint="eastAsia"/>
        </w:rPr>
        <w:t>上</w:t>
      </w:r>
      <w:r>
        <w:t>传</w:t>
      </w:r>
      <w:r>
        <w:rPr>
          <w:rFonts w:hint="eastAsia"/>
        </w:rPr>
        <w:t>”标签页，</w:t>
      </w:r>
      <w:r>
        <w:t>点击</w:t>
      </w:r>
      <w:r>
        <w:rPr>
          <w:rFonts w:hint="eastAsia"/>
        </w:rPr>
        <w:t>&lt;新建&gt;进入HTTP上</w:t>
      </w:r>
      <w:r>
        <w:t>传规则</w:t>
      </w:r>
      <w:r>
        <w:rPr>
          <w:rFonts w:hint="eastAsia"/>
        </w:rPr>
        <w:t>配置界面，如</w:t>
      </w:r>
      <w:r>
        <w:rPr>
          <w:color w:val="0000FF"/>
          <w:u w:val="single"/>
        </w:rPr>
        <w:fldChar w:fldCharType="begin"/>
      </w:r>
      <w:r>
        <w:instrText xml:space="preserve"> </w:instrText>
      </w:r>
      <w:r>
        <w:rPr>
          <w:rFonts w:hint="eastAsia"/>
        </w:rPr>
        <w:instrText xml:space="preserve">REF _Ref5627681 \r \h</w:instrText>
      </w:r>
      <w:r>
        <w:instrText xml:space="preserve"> </w:instrText>
      </w:r>
      <w:r>
        <w:rPr>
          <w:color w:val="0000FF"/>
          <w:u w:val="single"/>
        </w:rPr>
        <w:fldChar w:fldCharType="separate"/>
      </w:r>
      <w:r>
        <w:rPr>
          <w:rFonts w:hint="eastAsia"/>
        </w:rPr>
        <w:t>图14-40</w:t>
      </w:r>
      <w:r>
        <w:rPr>
          <w:color w:val="0000FF"/>
          <w:u w:val="single"/>
        </w:rPr>
        <w:fldChar w:fldCharType="end"/>
      </w:r>
      <w:r>
        <w:rPr>
          <w:rFonts w:hint="eastAsia"/>
        </w:rPr>
        <w:t>所示。HTTP上</w:t>
      </w:r>
      <w:r>
        <w:t>传规则</w:t>
      </w:r>
      <w:r>
        <w:rPr>
          <w:rFonts w:hint="eastAsia"/>
        </w:rPr>
        <w:t>详细配置说明，如</w:t>
      </w:r>
      <w:r>
        <w:rPr>
          <w:color w:val="0000FF"/>
          <w:u w:val="single"/>
        </w:rPr>
        <w:fldChar w:fldCharType="begin"/>
      </w:r>
      <w:r>
        <w:instrText xml:space="preserve"> </w:instrText>
      </w:r>
      <w:r>
        <w:rPr>
          <w:rFonts w:hint="eastAsia"/>
        </w:rPr>
        <w:instrText xml:space="preserve">REF _Ref5627688 \r \h</w:instrText>
      </w:r>
      <w:r>
        <w:instrText xml:space="preserve"> </w:instrText>
      </w:r>
      <w:r>
        <w:rPr>
          <w:color w:val="0000FF"/>
          <w:u w:val="single"/>
        </w:rPr>
        <w:fldChar w:fldCharType="separate"/>
      </w:r>
      <w:r>
        <w:rPr>
          <w:rFonts w:hint="eastAsia"/>
        </w:rPr>
        <w:t>表14-1</w:t>
      </w:r>
      <w:r>
        <w:rPr>
          <w:color w:val="0000FF"/>
          <w:u w:val="single"/>
        </w:rPr>
        <w:fldChar w:fldCharType="end"/>
      </w:r>
      <w:r>
        <w:rPr>
          <w:rFonts w:hint="eastAsia"/>
        </w:rPr>
        <w:t>所示。</w:t>
      </w:r>
    </w:p>
    <w:p w14:paraId="02DDFD44">
      <w:pPr>
        <w:pStyle w:val="188"/>
      </w:pPr>
      <w:bookmarkStart w:id="4407" w:name="_Ref5627681"/>
      <w:bookmarkStart w:id="4408" w:name="_Toc141875053"/>
      <w:r>
        <w:rPr>
          <w:rFonts w:hint="eastAsia"/>
        </w:rPr>
        <w:t>HTTP上</w:t>
      </w:r>
      <w:r>
        <w:t>传规则</w:t>
      </w:r>
      <w:bookmarkEnd w:id="4407"/>
      <w:bookmarkEnd w:id="4408"/>
    </w:p>
    <w:p w14:paraId="1949CE61">
      <w:r>
        <w:drawing>
          <wp:inline distT="0" distB="0" distL="0" distR="0">
            <wp:extent cx="5266055" cy="2752090"/>
            <wp:effectExtent l="0" t="0" r="0" b="0"/>
            <wp:docPr id="2844" name="图片 2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4" name="图片 2844"/>
                    <pic:cNvPicPr>
                      <a:picLocks noChangeAspect="1"/>
                    </pic:cNvPicPr>
                  </pic:nvPicPr>
                  <pic:blipFill>
                    <a:blip r:embed="rId608"/>
                    <a:stretch>
                      <a:fillRect/>
                    </a:stretch>
                  </pic:blipFill>
                  <pic:spPr>
                    <a:xfrm>
                      <a:off x="0" y="0"/>
                      <a:ext cx="5266667" cy="2752381"/>
                    </a:xfrm>
                    <a:prstGeom prst="rect">
                      <a:avLst/>
                    </a:prstGeom>
                  </pic:spPr>
                </pic:pic>
              </a:graphicData>
            </a:graphic>
          </wp:inline>
        </w:drawing>
      </w:r>
    </w:p>
    <w:p w14:paraId="3F7F2D51"/>
    <w:p w14:paraId="0CFA5140"/>
    <w:p w14:paraId="7A0BA909">
      <w:pPr>
        <w:pStyle w:val="183"/>
      </w:pPr>
      <w:bookmarkStart w:id="4409" w:name="_Toc141875664"/>
      <w:bookmarkStart w:id="4410" w:name="_Ref5627688"/>
      <w:r>
        <w:rPr>
          <w:rFonts w:hint="eastAsia"/>
        </w:rPr>
        <w:t>HTTP上</w:t>
      </w:r>
      <w:r>
        <w:t>传</w:t>
      </w:r>
      <w:r>
        <w:rPr>
          <w:rFonts w:hint="eastAsia"/>
        </w:rPr>
        <w:t>规则详细配置说明</w:t>
      </w:r>
      <w:bookmarkEnd w:id="4409"/>
      <w:bookmarkEnd w:id="4410"/>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3"/>
        <w:gridCol w:w="6637"/>
      </w:tblGrid>
      <w:tr w14:paraId="7FD77A3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tcBorders>
              <w:tl2br w:val="nil"/>
              <w:tr2bl w:val="nil"/>
            </w:tcBorders>
            <w:shd w:val="clear" w:color="auto" w:fill="538135" w:themeFill="accent6" w:themeFillShade="BF"/>
            <w:vAlign w:val="center"/>
          </w:tcPr>
          <w:p w14:paraId="2C60C597">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37" w:type="dxa"/>
            <w:tcBorders>
              <w:tl2br w:val="nil"/>
              <w:tr2bl w:val="nil"/>
            </w:tcBorders>
            <w:shd w:val="clear" w:color="auto" w:fill="538135" w:themeFill="accent6" w:themeFillShade="BF"/>
            <w:vAlign w:val="center"/>
          </w:tcPr>
          <w:p w14:paraId="17890D7F">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94289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20" w:hRule="atLeast"/>
        </w:trPr>
        <w:tc>
          <w:tcPr>
            <w:tcW w:w="2333" w:type="dxa"/>
            <w:shd w:val="clear" w:color="auto" w:fill="auto"/>
          </w:tcPr>
          <w:p w14:paraId="08791303">
            <w:pPr>
              <w:pStyle w:val="150"/>
            </w:pPr>
            <w:r>
              <w:rPr>
                <w:rFonts w:hint="eastAsia"/>
              </w:rPr>
              <w:t>启用</w:t>
            </w:r>
          </w:p>
        </w:tc>
        <w:tc>
          <w:tcPr>
            <w:tcW w:w="6637" w:type="dxa"/>
            <w:shd w:val="clear" w:color="auto" w:fill="auto"/>
          </w:tcPr>
          <w:p w14:paraId="27DB0B05">
            <w:pPr>
              <w:pStyle w:val="150"/>
            </w:pPr>
            <w:r>
              <w:rPr>
                <w:rFonts w:hint="eastAsia"/>
              </w:rPr>
              <w:t>勾选后则启用搜索</w:t>
            </w:r>
            <w:r>
              <w:t>引擎规则</w:t>
            </w:r>
            <w:r>
              <w:rPr>
                <w:rFonts w:hint="eastAsia"/>
              </w:rPr>
              <w:t>。</w:t>
            </w:r>
          </w:p>
        </w:tc>
      </w:tr>
      <w:tr w14:paraId="7DE31E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28AB3071">
            <w:pPr>
              <w:pStyle w:val="150"/>
            </w:pPr>
            <w:r>
              <w:rPr>
                <w:rFonts w:hint="eastAsia"/>
              </w:rPr>
              <w:t>描述</w:t>
            </w:r>
          </w:p>
        </w:tc>
        <w:tc>
          <w:tcPr>
            <w:tcW w:w="6637" w:type="dxa"/>
            <w:shd w:val="clear" w:color="auto" w:fill="auto"/>
          </w:tcPr>
          <w:p w14:paraId="4A6E208A">
            <w:pPr>
              <w:pStyle w:val="150"/>
            </w:pPr>
            <w:r>
              <w:rPr>
                <w:rFonts w:hint="eastAsia"/>
              </w:rPr>
              <w:t>HTTP上</w:t>
            </w:r>
            <w:r>
              <w:t>传规则</w:t>
            </w:r>
            <w:r>
              <w:rPr>
                <w:rFonts w:hint="eastAsia"/>
              </w:rPr>
              <w:t>的描述信息。</w:t>
            </w:r>
          </w:p>
        </w:tc>
      </w:tr>
      <w:tr w14:paraId="418311E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0D171D6D">
            <w:pPr>
              <w:pStyle w:val="150"/>
            </w:pPr>
            <w:r>
              <w:rPr>
                <w:rFonts w:hint="eastAsia"/>
              </w:rPr>
              <w:t>关键字</w:t>
            </w:r>
            <w:r>
              <w:t>对象</w:t>
            </w:r>
          </w:p>
        </w:tc>
        <w:tc>
          <w:tcPr>
            <w:tcW w:w="6637" w:type="dxa"/>
            <w:shd w:val="clear" w:color="auto" w:fill="auto"/>
          </w:tcPr>
          <w:p w14:paraId="4AD0A627">
            <w:pPr>
              <w:pStyle w:val="150"/>
            </w:pPr>
            <w:r>
              <w:rPr>
                <w:rFonts w:hint="eastAsia"/>
              </w:rPr>
              <w:t>选择关键</w:t>
            </w:r>
            <w:r>
              <w:t>字对象</w:t>
            </w:r>
            <w:r>
              <w:rPr>
                <w:rFonts w:hint="eastAsia"/>
              </w:rPr>
              <w:t>，</w:t>
            </w:r>
            <w:r>
              <w:t>支持</w:t>
            </w:r>
            <w:r>
              <w:rPr>
                <w:rFonts w:hint="eastAsia"/>
              </w:rPr>
              <w:t>通过&lt;添加</w:t>
            </w:r>
            <w:r>
              <w:t>关键字</w:t>
            </w:r>
            <w:r>
              <w:rPr>
                <w:rFonts w:hint="eastAsia"/>
              </w:rPr>
              <w:t>&gt;按钮</w:t>
            </w:r>
            <w:r>
              <w:t>来快速创建关键字对象</w:t>
            </w:r>
            <w:r>
              <w:rPr>
                <w:rFonts w:hint="eastAsia"/>
              </w:rPr>
              <w:t>。</w:t>
            </w:r>
          </w:p>
        </w:tc>
      </w:tr>
      <w:tr w14:paraId="23A2AC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5C531F7D">
            <w:pPr>
              <w:pStyle w:val="150"/>
            </w:pPr>
            <w:r>
              <w:rPr>
                <w:rFonts w:hint="eastAsia"/>
              </w:rPr>
              <w:t>处理动作</w:t>
            </w:r>
          </w:p>
        </w:tc>
        <w:tc>
          <w:tcPr>
            <w:tcW w:w="6637" w:type="dxa"/>
            <w:shd w:val="clear" w:color="auto" w:fill="auto"/>
          </w:tcPr>
          <w:p w14:paraId="7BEBE44F">
            <w:pPr>
              <w:pStyle w:val="150"/>
            </w:pPr>
            <w:r>
              <w:rPr>
                <w:rFonts w:hint="eastAsia"/>
              </w:rPr>
              <w:t>处理</w:t>
            </w:r>
            <w:r>
              <w:t>动作包括</w:t>
            </w:r>
            <w:r>
              <w:rPr>
                <w:rFonts w:hint="eastAsia"/>
              </w:rPr>
              <w:t>：</w:t>
            </w:r>
            <w:r>
              <w:t>告警</w:t>
            </w:r>
            <w:r>
              <w:rPr>
                <w:rFonts w:hint="eastAsia"/>
              </w:rPr>
              <w:t>、</w:t>
            </w:r>
            <w:r>
              <w:t>拒绝</w:t>
            </w:r>
            <w:r>
              <w:rPr>
                <w:rFonts w:hint="eastAsia"/>
              </w:rPr>
              <w:t>。</w:t>
            </w:r>
          </w:p>
        </w:tc>
      </w:tr>
      <w:tr w14:paraId="714F77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32B12F99">
            <w:pPr>
              <w:pStyle w:val="150"/>
            </w:pPr>
            <w:r>
              <w:rPr>
                <w:rFonts w:hint="eastAsia"/>
              </w:rPr>
              <w:t>日志级别</w:t>
            </w:r>
          </w:p>
        </w:tc>
        <w:tc>
          <w:tcPr>
            <w:tcW w:w="6637" w:type="dxa"/>
            <w:shd w:val="clear" w:color="auto" w:fill="auto"/>
          </w:tcPr>
          <w:p w14:paraId="527BC55E">
            <w:pPr>
              <w:pStyle w:val="150"/>
            </w:pPr>
            <w:r>
              <w:rPr>
                <w:rFonts w:hint="eastAsia"/>
              </w:rPr>
              <w:t>日志</w:t>
            </w:r>
            <w:r>
              <w:t>级别</w:t>
            </w:r>
            <w:r>
              <w:rPr>
                <w:rFonts w:hint="eastAsia"/>
              </w:rPr>
              <w:t>包含</w:t>
            </w:r>
            <w:r>
              <w:t>：</w:t>
            </w:r>
            <w:r>
              <w:rPr>
                <w:rFonts w:hint="eastAsia"/>
              </w:rPr>
              <w:t>紧急</w:t>
            </w:r>
            <w:r>
              <w:t>、告警、严重、错误</w:t>
            </w:r>
            <w:r>
              <w:rPr>
                <w:rFonts w:hint="eastAsia"/>
              </w:rPr>
              <w:t>、</w:t>
            </w:r>
            <w:r>
              <w:t>警告、通知、信息、调试、不记录</w:t>
            </w:r>
            <w:r>
              <w:rPr>
                <w:rFonts w:hint="eastAsia"/>
              </w:rPr>
              <w:t>。</w:t>
            </w:r>
          </w:p>
        </w:tc>
      </w:tr>
      <w:tr w14:paraId="2946AE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109E8C66">
            <w:pPr>
              <w:pStyle w:val="150"/>
            </w:pPr>
            <w:r>
              <w:rPr>
                <w:rFonts w:hint="eastAsia"/>
              </w:rPr>
              <w:t>提交</w:t>
            </w:r>
          </w:p>
        </w:tc>
        <w:tc>
          <w:tcPr>
            <w:tcW w:w="6637" w:type="dxa"/>
            <w:shd w:val="clear" w:color="auto" w:fill="auto"/>
          </w:tcPr>
          <w:p w14:paraId="2D7CD6BC">
            <w:pPr>
              <w:pStyle w:val="150"/>
            </w:pPr>
            <w:r>
              <w:rPr>
                <w:rFonts w:hint="eastAsia"/>
              </w:rPr>
              <w:t>提交后</w:t>
            </w:r>
            <w:r>
              <w:t>当前规则新建成功。</w:t>
            </w:r>
          </w:p>
        </w:tc>
      </w:tr>
      <w:tr w14:paraId="744B9C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17950A48">
            <w:pPr>
              <w:pStyle w:val="150"/>
            </w:pPr>
            <w:r>
              <w:rPr>
                <w:rFonts w:hint="eastAsia"/>
              </w:rPr>
              <w:t>取消</w:t>
            </w:r>
          </w:p>
        </w:tc>
        <w:tc>
          <w:tcPr>
            <w:tcW w:w="6637" w:type="dxa"/>
            <w:shd w:val="clear" w:color="auto" w:fill="auto"/>
          </w:tcPr>
          <w:p w14:paraId="4BB83164">
            <w:pPr>
              <w:pStyle w:val="150"/>
            </w:pPr>
            <w:r>
              <w:rPr>
                <w:rFonts w:hint="eastAsia"/>
              </w:rPr>
              <w:t>取消</w:t>
            </w:r>
            <w:r>
              <w:t>规则创建</w:t>
            </w:r>
            <w:r>
              <w:rPr>
                <w:rFonts w:hint="eastAsia"/>
              </w:rPr>
              <w:t>，</w:t>
            </w:r>
            <w:r>
              <w:t>不下发配置。</w:t>
            </w:r>
          </w:p>
        </w:tc>
      </w:tr>
    </w:tbl>
    <w:p w14:paraId="13CE0529"/>
    <w:p w14:paraId="61A8A9F8">
      <w:r>
        <w:rPr>
          <w:rFonts w:hint="eastAsia"/>
        </w:rPr>
        <w:t>HTTP上</w:t>
      </w:r>
      <w:r>
        <w:t>传规则</w:t>
      </w:r>
      <w:r>
        <w:rPr>
          <w:rFonts w:hint="eastAsia"/>
        </w:rPr>
        <w:t>创建</w:t>
      </w:r>
      <w:r>
        <w:t>成功后</w:t>
      </w:r>
      <w:r>
        <w:rPr>
          <w:rFonts w:hint="eastAsia"/>
        </w:rPr>
        <w:t>如</w:t>
      </w:r>
      <w:r>
        <w:fldChar w:fldCharType="begin"/>
      </w:r>
      <w:r>
        <w:instrText xml:space="preserve"> </w:instrText>
      </w:r>
      <w:r>
        <w:rPr>
          <w:rFonts w:hint="eastAsia"/>
        </w:rPr>
        <w:instrText xml:space="preserve">REF _Ref5627697 \r \h</w:instrText>
      </w:r>
      <w:r>
        <w:instrText xml:space="preserve"> </w:instrText>
      </w:r>
      <w:r>
        <w:fldChar w:fldCharType="separate"/>
      </w:r>
      <w:r>
        <w:rPr>
          <w:rFonts w:hint="eastAsia"/>
        </w:rPr>
        <w:t>图14-41</w:t>
      </w:r>
      <w:r>
        <w:fldChar w:fldCharType="end"/>
      </w:r>
      <w:r>
        <w:rPr>
          <w:rFonts w:hint="eastAsia"/>
        </w:rPr>
        <w:t>所示。规则显示</w:t>
      </w:r>
      <w:r>
        <w:t>详细</w:t>
      </w:r>
      <w:r>
        <w:rPr>
          <w:rFonts w:hint="eastAsia"/>
        </w:rPr>
        <w:t>说明，如</w:t>
      </w:r>
      <w:r>
        <w:fldChar w:fldCharType="begin"/>
      </w:r>
      <w:r>
        <w:instrText xml:space="preserve"> </w:instrText>
      </w:r>
      <w:r>
        <w:rPr>
          <w:rFonts w:hint="eastAsia"/>
        </w:rPr>
        <w:instrText xml:space="preserve">REF _Ref5627706 \r \h</w:instrText>
      </w:r>
      <w:r>
        <w:instrText xml:space="preserve"> </w:instrText>
      </w:r>
      <w:r>
        <w:fldChar w:fldCharType="separate"/>
      </w:r>
      <w:r>
        <w:rPr>
          <w:rFonts w:hint="eastAsia"/>
        </w:rPr>
        <w:t>表14-1</w:t>
      </w:r>
      <w:r>
        <w:fldChar w:fldCharType="end"/>
      </w:r>
      <w:r>
        <w:rPr>
          <w:rFonts w:hint="eastAsia"/>
        </w:rPr>
        <w:t>所示。</w:t>
      </w:r>
    </w:p>
    <w:p w14:paraId="1E8D7227">
      <w:pPr>
        <w:pStyle w:val="188"/>
      </w:pPr>
      <w:bookmarkStart w:id="4411" w:name="_Ref5627697"/>
      <w:bookmarkStart w:id="4412" w:name="_Toc141875054"/>
      <w:r>
        <w:rPr>
          <w:rFonts w:hint="eastAsia"/>
        </w:rPr>
        <w:t>HTTP上</w:t>
      </w:r>
      <w:r>
        <w:t>传规则</w:t>
      </w:r>
      <w:r>
        <w:rPr>
          <w:rFonts w:hint="eastAsia"/>
        </w:rPr>
        <w:t>配置</w:t>
      </w:r>
      <w:r>
        <w:t>显示</w:t>
      </w:r>
      <w:bookmarkEnd w:id="4411"/>
      <w:bookmarkEnd w:id="4412"/>
    </w:p>
    <w:p w14:paraId="3360FA97">
      <w:r>
        <w:drawing>
          <wp:inline distT="0" distB="0" distL="0" distR="0">
            <wp:extent cx="5718175" cy="1066165"/>
            <wp:effectExtent l="0" t="0" r="0" b="635"/>
            <wp:docPr id="2845" name="图片 2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5" name="图片 2845"/>
                    <pic:cNvPicPr>
                      <a:picLocks noChangeAspect="1"/>
                    </pic:cNvPicPr>
                  </pic:nvPicPr>
                  <pic:blipFill>
                    <a:blip r:embed="rId609"/>
                    <a:stretch>
                      <a:fillRect/>
                    </a:stretch>
                  </pic:blipFill>
                  <pic:spPr>
                    <a:xfrm>
                      <a:off x="0" y="0"/>
                      <a:ext cx="5770901" cy="1076469"/>
                    </a:xfrm>
                    <a:prstGeom prst="rect">
                      <a:avLst/>
                    </a:prstGeom>
                  </pic:spPr>
                </pic:pic>
              </a:graphicData>
            </a:graphic>
          </wp:inline>
        </w:drawing>
      </w:r>
    </w:p>
    <w:p w14:paraId="2A7A4414">
      <w:pPr>
        <w:pStyle w:val="183"/>
      </w:pPr>
      <w:bookmarkStart w:id="4413" w:name="_Toc141875665"/>
      <w:bookmarkStart w:id="4414" w:name="_Ref5627706"/>
      <w:r>
        <w:rPr>
          <w:rFonts w:hint="eastAsia"/>
        </w:rPr>
        <w:t>HTTP上</w:t>
      </w:r>
      <w:r>
        <w:t>传</w:t>
      </w:r>
      <w:r>
        <w:rPr>
          <w:rFonts w:hint="eastAsia"/>
        </w:rPr>
        <w:t>规则</w:t>
      </w:r>
      <w:r>
        <w:t>显示详细说明</w:t>
      </w:r>
      <w:bookmarkEnd w:id="4413"/>
      <w:bookmarkEnd w:id="4414"/>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923"/>
        <w:gridCol w:w="7047"/>
      </w:tblGrid>
      <w:tr w14:paraId="49E9C3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20" w:hRule="atLeast"/>
        </w:trPr>
        <w:tc>
          <w:tcPr>
            <w:tcW w:w="1923" w:type="dxa"/>
            <w:tcBorders>
              <w:tl2br w:val="nil"/>
              <w:tr2bl w:val="nil"/>
            </w:tcBorders>
            <w:shd w:val="clear" w:color="auto" w:fill="538135" w:themeFill="accent6" w:themeFillShade="BF"/>
            <w:vAlign w:val="center"/>
          </w:tcPr>
          <w:p w14:paraId="2F928936">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047" w:type="dxa"/>
            <w:tcBorders>
              <w:tl2br w:val="nil"/>
              <w:tr2bl w:val="nil"/>
            </w:tcBorders>
            <w:shd w:val="clear" w:color="auto" w:fill="538135" w:themeFill="accent6" w:themeFillShade="BF"/>
            <w:vAlign w:val="center"/>
          </w:tcPr>
          <w:p w14:paraId="23A69D35">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63CD3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23" w:type="dxa"/>
            <w:shd w:val="clear" w:color="auto" w:fill="auto"/>
          </w:tcPr>
          <w:p w14:paraId="2807CA96">
            <w:pPr>
              <w:pStyle w:val="150"/>
            </w:pPr>
            <w:r>
              <w:rPr>
                <w:rFonts w:hint="eastAsia"/>
              </w:rPr>
              <w:t>I</w:t>
            </w:r>
            <w:r>
              <w:t>D</w:t>
            </w:r>
          </w:p>
        </w:tc>
        <w:tc>
          <w:tcPr>
            <w:tcW w:w="7047" w:type="dxa"/>
            <w:shd w:val="clear" w:color="auto" w:fill="auto"/>
          </w:tcPr>
          <w:p w14:paraId="4DF39F8D">
            <w:pPr>
              <w:pStyle w:val="150"/>
            </w:pPr>
            <w:r>
              <w:rPr>
                <w:rFonts w:hint="eastAsia"/>
              </w:rPr>
              <w:t>规则对应ID，代表</w:t>
            </w:r>
            <w:r>
              <w:t>规则优先级</w:t>
            </w:r>
            <w:r>
              <w:rPr>
                <w:rFonts w:hint="eastAsia"/>
              </w:rPr>
              <w:t>。</w:t>
            </w:r>
          </w:p>
        </w:tc>
      </w:tr>
      <w:tr w14:paraId="60C89CE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23" w:type="dxa"/>
            <w:shd w:val="clear" w:color="auto" w:fill="auto"/>
          </w:tcPr>
          <w:p w14:paraId="3698B7DA">
            <w:pPr>
              <w:pStyle w:val="150"/>
            </w:pPr>
            <w:r>
              <w:rPr>
                <w:rFonts w:hint="eastAsia"/>
              </w:rPr>
              <w:t>描述</w:t>
            </w:r>
          </w:p>
        </w:tc>
        <w:tc>
          <w:tcPr>
            <w:tcW w:w="7047" w:type="dxa"/>
            <w:shd w:val="clear" w:color="auto" w:fill="auto"/>
          </w:tcPr>
          <w:p w14:paraId="1BD1F59F">
            <w:pPr>
              <w:pStyle w:val="150"/>
            </w:pPr>
            <w:r>
              <w:rPr>
                <w:rFonts w:hint="eastAsia"/>
              </w:rPr>
              <w:t>规则</w:t>
            </w:r>
            <w:r>
              <w:t>描述</w:t>
            </w:r>
            <w:r>
              <w:rPr>
                <w:rFonts w:hint="eastAsia"/>
              </w:rPr>
              <w:t>信息显示。</w:t>
            </w:r>
          </w:p>
        </w:tc>
      </w:tr>
      <w:tr w14:paraId="191504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23" w:type="dxa"/>
            <w:shd w:val="clear" w:color="auto" w:fill="auto"/>
          </w:tcPr>
          <w:p w14:paraId="0B38BA24">
            <w:pPr>
              <w:pStyle w:val="150"/>
            </w:pPr>
            <w:r>
              <w:rPr>
                <w:rFonts w:hint="eastAsia"/>
              </w:rPr>
              <w:t>关键字</w:t>
            </w:r>
          </w:p>
        </w:tc>
        <w:tc>
          <w:tcPr>
            <w:tcW w:w="7047" w:type="dxa"/>
            <w:shd w:val="clear" w:color="auto" w:fill="auto"/>
          </w:tcPr>
          <w:p w14:paraId="1A49B798">
            <w:pPr>
              <w:pStyle w:val="150"/>
            </w:pPr>
            <w:r>
              <w:rPr>
                <w:rFonts w:hint="eastAsia"/>
              </w:rPr>
              <w:t>规则</w:t>
            </w:r>
            <w:r>
              <w:t>引用的关键字对象</w:t>
            </w:r>
            <w:r>
              <w:rPr>
                <w:rFonts w:hint="eastAsia"/>
              </w:rPr>
              <w:t>。</w:t>
            </w:r>
          </w:p>
        </w:tc>
      </w:tr>
      <w:tr w14:paraId="242A10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23" w:type="dxa"/>
            <w:shd w:val="clear" w:color="auto" w:fill="auto"/>
          </w:tcPr>
          <w:p w14:paraId="56644557">
            <w:pPr>
              <w:pStyle w:val="150"/>
            </w:pPr>
            <w:r>
              <w:rPr>
                <w:rFonts w:hint="eastAsia"/>
              </w:rPr>
              <w:t>动作</w:t>
            </w:r>
          </w:p>
        </w:tc>
        <w:tc>
          <w:tcPr>
            <w:tcW w:w="7047" w:type="dxa"/>
            <w:shd w:val="clear" w:color="auto" w:fill="auto"/>
          </w:tcPr>
          <w:p w14:paraId="5FC503A7">
            <w:pPr>
              <w:pStyle w:val="150"/>
            </w:pPr>
            <w:r>
              <w:rPr>
                <w:rFonts w:hint="eastAsia"/>
              </w:rPr>
              <w:t>规则</w:t>
            </w:r>
            <w:r>
              <w:t>动作</w:t>
            </w:r>
            <w:r>
              <w:rPr>
                <w:rFonts w:hint="eastAsia"/>
              </w:rPr>
              <w:t>，</w:t>
            </w:r>
            <w:r>
              <w:t>包括</w:t>
            </w:r>
            <w:r>
              <w:rPr>
                <w:rFonts w:hint="eastAsia"/>
              </w:rPr>
              <w:t>：</w:t>
            </w:r>
            <w:r>
              <w:t>告警</w:t>
            </w:r>
            <w:r>
              <w:rPr>
                <w:rFonts w:hint="eastAsia"/>
              </w:rPr>
              <w:t>、</w:t>
            </w:r>
            <w:r>
              <w:t>拒绝</w:t>
            </w:r>
            <w:r>
              <w:rPr>
                <w:rFonts w:hint="eastAsia"/>
              </w:rPr>
              <w:t>。</w:t>
            </w:r>
          </w:p>
        </w:tc>
      </w:tr>
      <w:tr w14:paraId="474485C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23" w:type="dxa"/>
            <w:shd w:val="clear" w:color="auto" w:fill="auto"/>
          </w:tcPr>
          <w:p w14:paraId="7CD49C2F">
            <w:pPr>
              <w:pStyle w:val="150"/>
            </w:pPr>
            <w:r>
              <w:rPr>
                <w:rFonts w:hint="eastAsia"/>
              </w:rPr>
              <w:t>级别</w:t>
            </w:r>
          </w:p>
        </w:tc>
        <w:tc>
          <w:tcPr>
            <w:tcW w:w="7047" w:type="dxa"/>
            <w:shd w:val="clear" w:color="auto" w:fill="auto"/>
          </w:tcPr>
          <w:p w14:paraId="0378AAFE">
            <w:pPr>
              <w:pStyle w:val="150"/>
            </w:pPr>
            <w:r>
              <w:rPr>
                <w:rFonts w:hint="eastAsia"/>
              </w:rPr>
              <w:t>规则日志</w:t>
            </w:r>
            <w:r>
              <w:t>级别</w:t>
            </w:r>
            <w:r>
              <w:rPr>
                <w:rFonts w:hint="eastAsia"/>
              </w:rPr>
              <w:t>，</w:t>
            </w:r>
            <w:r>
              <w:t>包括：</w:t>
            </w:r>
            <w:r>
              <w:rPr>
                <w:rFonts w:hint="eastAsia"/>
              </w:rPr>
              <w:t>紧急</w:t>
            </w:r>
            <w:r>
              <w:t>、告警、严重、错误</w:t>
            </w:r>
            <w:r>
              <w:rPr>
                <w:rFonts w:hint="eastAsia"/>
              </w:rPr>
              <w:t>、</w:t>
            </w:r>
            <w:r>
              <w:t>警告、通知、信息、调试、不记录</w:t>
            </w:r>
            <w:r>
              <w:rPr>
                <w:rFonts w:hint="eastAsia"/>
              </w:rPr>
              <w:t>。</w:t>
            </w:r>
          </w:p>
        </w:tc>
      </w:tr>
      <w:tr w14:paraId="0041D8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23" w:type="dxa"/>
            <w:shd w:val="clear" w:color="auto" w:fill="auto"/>
          </w:tcPr>
          <w:p w14:paraId="2ACBE86C">
            <w:pPr>
              <w:pStyle w:val="150"/>
            </w:pPr>
            <w:r>
              <w:rPr>
                <w:rFonts w:hint="eastAsia"/>
              </w:rPr>
              <w:t>启用</w:t>
            </w:r>
          </w:p>
        </w:tc>
        <w:tc>
          <w:tcPr>
            <w:tcW w:w="7047" w:type="dxa"/>
            <w:shd w:val="clear" w:color="auto" w:fill="auto"/>
          </w:tcPr>
          <w:p w14:paraId="6BA0509F">
            <w:pPr>
              <w:pStyle w:val="150"/>
            </w:pPr>
            <w:r>
              <w:rPr>
                <w:rFonts w:hint="eastAsia"/>
              </w:rPr>
              <w:t>规则</w:t>
            </w:r>
            <w:r>
              <w:t>启用状态</w:t>
            </w:r>
            <w:r>
              <w:rPr>
                <w:rFonts w:hint="eastAsia"/>
              </w:rPr>
              <w:t>显示，</w:t>
            </w:r>
            <w:r>
              <w:t>包括：启用和禁用</w:t>
            </w:r>
            <w:r>
              <w:rPr>
                <w:rFonts w:hint="eastAsia"/>
              </w:rPr>
              <w:t>。</w:t>
            </w:r>
          </w:p>
        </w:tc>
      </w:tr>
      <w:tr w14:paraId="4AF026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23" w:type="dxa"/>
            <w:shd w:val="clear" w:color="auto" w:fill="auto"/>
          </w:tcPr>
          <w:p w14:paraId="7915C072">
            <w:pPr>
              <w:pStyle w:val="150"/>
            </w:pPr>
            <w:r>
              <w:rPr>
                <w:rFonts w:hint="eastAsia"/>
              </w:rPr>
              <w:t>操作</w:t>
            </w:r>
          </w:p>
        </w:tc>
        <w:tc>
          <w:tcPr>
            <w:tcW w:w="7047" w:type="dxa"/>
            <w:shd w:val="clear" w:color="auto" w:fill="auto"/>
          </w:tcPr>
          <w:p w14:paraId="5284C7C1">
            <w:pPr>
              <w:pStyle w:val="150"/>
            </w:pPr>
            <w:r>
              <w:rPr>
                <w:rFonts w:hint="eastAsia"/>
              </w:rPr>
              <w:t>支持对当前</w:t>
            </w:r>
            <w:r>
              <w:t>规则</w:t>
            </w:r>
            <w:r>
              <w:rPr>
                <w:rFonts w:hint="eastAsia"/>
              </w:rPr>
              <w:t>进行</w:t>
            </w:r>
            <w:r>
              <w:t>编辑和删除。</w:t>
            </w:r>
          </w:p>
        </w:tc>
      </w:tr>
    </w:tbl>
    <w:p w14:paraId="79FD4D52">
      <w:bookmarkStart w:id="4415" w:name="_Toc4167800"/>
    </w:p>
    <w:p w14:paraId="058C4D2F">
      <w:pPr>
        <w:pStyle w:val="5"/>
      </w:pPr>
      <w:bookmarkStart w:id="4416" w:name="_Toc6235068"/>
      <w:bookmarkStart w:id="4417" w:name="_Toc40276133"/>
      <w:bookmarkStart w:id="4418" w:name="_Toc15484936"/>
      <w:bookmarkStart w:id="4419" w:name="_Toc99561774"/>
      <w:bookmarkStart w:id="4420" w:name="_Toc142401169"/>
      <w:bookmarkStart w:id="4421" w:name="_Toc141873652"/>
      <w:bookmarkStart w:id="4422" w:name="_Toc172218431"/>
      <w:bookmarkStart w:id="4423" w:name="_Toc23152700"/>
      <w:bookmarkStart w:id="4424" w:name="_Toc196728249"/>
      <w:bookmarkStart w:id="4425" w:name="_Toc194080917"/>
      <w:r>
        <w:rPr>
          <w:rFonts w:hint="eastAsia"/>
        </w:rPr>
        <w:t>网页</w:t>
      </w:r>
      <w:r>
        <w:t>内容</w:t>
      </w:r>
      <w:r>
        <w:rPr>
          <w:rFonts w:hint="eastAsia"/>
        </w:rPr>
        <w:t>规则</w:t>
      </w:r>
      <w:bookmarkEnd w:id="4415"/>
      <w:bookmarkEnd w:id="4416"/>
      <w:bookmarkEnd w:id="4417"/>
      <w:bookmarkEnd w:id="4418"/>
      <w:bookmarkEnd w:id="4419"/>
      <w:bookmarkEnd w:id="4420"/>
      <w:bookmarkEnd w:id="4421"/>
      <w:bookmarkEnd w:id="4422"/>
      <w:bookmarkEnd w:id="4423"/>
      <w:bookmarkEnd w:id="4424"/>
      <w:bookmarkEnd w:id="4425"/>
    </w:p>
    <w:p w14:paraId="7279CA6E">
      <w:r>
        <w:rPr>
          <w:rFonts w:hint="eastAsia"/>
        </w:rPr>
        <w:t>在导航栏中选择“策略配置&gt;控制策略”，单击&lt;新建&gt;按钮，选择“应用</w:t>
      </w:r>
      <w:r>
        <w:t>过滤</w:t>
      </w:r>
      <w:r>
        <w:rPr>
          <w:rFonts w:hint="eastAsia"/>
        </w:rPr>
        <w:t>&gt;</w:t>
      </w:r>
      <w:r>
        <w:t>WEB</w:t>
      </w:r>
      <w:r>
        <w:rPr>
          <w:rFonts w:hint="eastAsia"/>
        </w:rPr>
        <w:t>关键</w:t>
      </w:r>
      <w:r>
        <w:t>字&gt;</w:t>
      </w:r>
      <w:r>
        <w:rPr>
          <w:rFonts w:hint="eastAsia"/>
        </w:rPr>
        <w:t>网页</w:t>
      </w:r>
      <w:r>
        <w:t>内容</w:t>
      </w:r>
      <w:r>
        <w:rPr>
          <w:rFonts w:hint="eastAsia"/>
        </w:rPr>
        <w:t>”标签页，</w:t>
      </w:r>
      <w:r>
        <w:t>点击</w:t>
      </w:r>
      <w:r>
        <w:rPr>
          <w:rFonts w:hint="eastAsia"/>
        </w:rPr>
        <w:t>&lt;新建&gt;进入网页</w:t>
      </w:r>
      <w:r>
        <w:t>内容规则</w:t>
      </w:r>
      <w:r>
        <w:rPr>
          <w:rFonts w:hint="eastAsia"/>
        </w:rPr>
        <w:t>配置界面，如</w:t>
      </w:r>
      <w:r>
        <w:rPr>
          <w:color w:val="0000FF"/>
          <w:u w:val="single"/>
        </w:rPr>
        <w:fldChar w:fldCharType="begin"/>
      </w:r>
      <w:r>
        <w:instrText xml:space="preserve"> </w:instrText>
      </w:r>
      <w:r>
        <w:rPr>
          <w:rFonts w:hint="eastAsia"/>
        </w:rPr>
        <w:instrText xml:space="preserve">REF _Ref5627727 \r \h</w:instrText>
      </w:r>
      <w:r>
        <w:instrText xml:space="preserve"> </w:instrText>
      </w:r>
      <w:r>
        <w:rPr>
          <w:color w:val="0000FF"/>
          <w:u w:val="single"/>
        </w:rPr>
        <w:fldChar w:fldCharType="separate"/>
      </w:r>
      <w:r>
        <w:rPr>
          <w:rFonts w:hint="eastAsia"/>
        </w:rPr>
        <w:t>图14-42</w:t>
      </w:r>
      <w:r>
        <w:rPr>
          <w:color w:val="0000FF"/>
          <w:u w:val="single"/>
        </w:rPr>
        <w:fldChar w:fldCharType="end"/>
      </w:r>
      <w:r>
        <w:rPr>
          <w:rFonts w:hint="eastAsia"/>
        </w:rPr>
        <w:t>所示。网页</w:t>
      </w:r>
      <w:r>
        <w:t>内容规则</w:t>
      </w:r>
      <w:r>
        <w:rPr>
          <w:rFonts w:hint="eastAsia"/>
        </w:rPr>
        <w:t>详细配置说明，如</w:t>
      </w:r>
      <w:r>
        <w:rPr>
          <w:color w:val="0000FF"/>
          <w:u w:val="single"/>
        </w:rPr>
        <w:fldChar w:fldCharType="begin"/>
      </w:r>
      <w:r>
        <w:instrText xml:space="preserve"> </w:instrText>
      </w:r>
      <w:r>
        <w:rPr>
          <w:rFonts w:hint="eastAsia"/>
        </w:rPr>
        <w:instrText xml:space="preserve">REF _Ref5627731 \r \h</w:instrText>
      </w:r>
      <w:r>
        <w:instrText xml:space="preserve"> </w:instrText>
      </w:r>
      <w:r>
        <w:rPr>
          <w:color w:val="0000FF"/>
          <w:u w:val="single"/>
        </w:rPr>
        <w:fldChar w:fldCharType="separate"/>
      </w:r>
      <w:r>
        <w:rPr>
          <w:rFonts w:hint="eastAsia"/>
        </w:rPr>
        <w:t>表14-1</w:t>
      </w:r>
      <w:r>
        <w:rPr>
          <w:color w:val="0000FF"/>
          <w:u w:val="single"/>
        </w:rPr>
        <w:fldChar w:fldCharType="end"/>
      </w:r>
      <w:r>
        <w:rPr>
          <w:rFonts w:hint="eastAsia"/>
        </w:rPr>
        <w:t>所示。</w:t>
      </w:r>
    </w:p>
    <w:p w14:paraId="4557CD4E">
      <w:pPr>
        <w:pStyle w:val="188"/>
      </w:pPr>
      <w:bookmarkStart w:id="4426" w:name="_Ref5627727"/>
      <w:bookmarkStart w:id="4427" w:name="_Toc141875055"/>
      <w:r>
        <w:rPr>
          <w:rFonts w:hint="eastAsia"/>
        </w:rPr>
        <w:t>网页</w:t>
      </w:r>
      <w:r>
        <w:t>内容规则</w:t>
      </w:r>
      <w:bookmarkEnd w:id="4426"/>
      <w:bookmarkEnd w:id="4427"/>
    </w:p>
    <w:p w14:paraId="546C002D">
      <w:r>
        <w:drawing>
          <wp:inline distT="0" distB="0" distL="0" distR="0">
            <wp:extent cx="4486275" cy="2376805"/>
            <wp:effectExtent l="0" t="0" r="0" b="4445"/>
            <wp:docPr id="2846" name="图片 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6" name="图片 2846"/>
                    <pic:cNvPicPr>
                      <a:picLocks noChangeAspect="1"/>
                    </pic:cNvPicPr>
                  </pic:nvPicPr>
                  <pic:blipFill>
                    <a:blip r:embed="rId610"/>
                    <a:stretch>
                      <a:fillRect/>
                    </a:stretch>
                  </pic:blipFill>
                  <pic:spPr>
                    <a:xfrm>
                      <a:off x="0" y="0"/>
                      <a:ext cx="4494363" cy="2381281"/>
                    </a:xfrm>
                    <a:prstGeom prst="rect">
                      <a:avLst/>
                    </a:prstGeom>
                  </pic:spPr>
                </pic:pic>
              </a:graphicData>
            </a:graphic>
          </wp:inline>
        </w:drawing>
      </w:r>
    </w:p>
    <w:p w14:paraId="4E4FAC31"/>
    <w:p w14:paraId="618DB894">
      <w:pPr>
        <w:pStyle w:val="183"/>
      </w:pPr>
      <w:bookmarkStart w:id="4428" w:name="_Ref5627731"/>
      <w:bookmarkStart w:id="4429" w:name="_Toc141875666"/>
      <w:r>
        <w:rPr>
          <w:rFonts w:hint="eastAsia"/>
        </w:rPr>
        <w:t>网页</w:t>
      </w:r>
      <w:r>
        <w:t>内容</w:t>
      </w:r>
      <w:r>
        <w:rPr>
          <w:rFonts w:hint="eastAsia"/>
        </w:rPr>
        <w:t>规则详细配置说明</w:t>
      </w:r>
      <w:bookmarkEnd w:id="4428"/>
      <w:bookmarkEnd w:id="4429"/>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065"/>
        <w:gridCol w:w="6905"/>
      </w:tblGrid>
      <w:tr w14:paraId="1D4B7D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tcBorders>
              <w:tl2br w:val="nil"/>
              <w:tr2bl w:val="nil"/>
            </w:tcBorders>
            <w:shd w:val="clear" w:color="auto" w:fill="538135" w:themeFill="accent6" w:themeFillShade="BF"/>
            <w:vAlign w:val="center"/>
          </w:tcPr>
          <w:p w14:paraId="14EEEB5F">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905" w:type="dxa"/>
            <w:tcBorders>
              <w:tl2br w:val="nil"/>
              <w:tr2bl w:val="nil"/>
            </w:tcBorders>
            <w:shd w:val="clear" w:color="auto" w:fill="538135" w:themeFill="accent6" w:themeFillShade="BF"/>
            <w:vAlign w:val="center"/>
          </w:tcPr>
          <w:p w14:paraId="2CC85AAE">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7C7D3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7416E175">
            <w:pPr>
              <w:pStyle w:val="150"/>
            </w:pPr>
            <w:r>
              <w:rPr>
                <w:rFonts w:hint="eastAsia"/>
              </w:rPr>
              <w:t>启用</w:t>
            </w:r>
          </w:p>
        </w:tc>
        <w:tc>
          <w:tcPr>
            <w:tcW w:w="6905" w:type="dxa"/>
            <w:shd w:val="clear" w:color="auto" w:fill="auto"/>
          </w:tcPr>
          <w:p w14:paraId="2CD44E2D">
            <w:pPr>
              <w:pStyle w:val="150"/>
            </w:pPr>
            <w:r>
              <w:rPr>
                <w:rFonts w:hint="eastAsia"/>
              </w:rPr>
              <w:t>勾选后则启用搜索</w:t>
            </w:r>
            <w:r>
              <w:t>引擎规则</w:t>
            </w:r>
            <w:r>
              <w:rPr>
                <w:rFonts w:hint="eastAsia"/>
              </w:rPr>
              <w:t>。</w:t>
            </w:r>
          </w:p>
        </w:tc>
      </w:tr>
      <w:tr w14:paraId="17CC1B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7815A6A1">
            <w:pPr>
              <w:pStyle w:val="150"/>
            </w:pPr>
            <w:r>
              <w:rPr>
                <w:rFonts w:hint="eastAsia"/>
              </w:rPr>
              <w:t>描述</w:t>
            </w:r>
          </w:p>
        </w:tc>
        <w:tc>
          <w:tcPr>
            <w:tcW w:w="6905" w:type="dxa"/>
            <w:shd w:val="clear" w:color="auto" w:fill="auto"/>
          </w:tcPr>
          <w:p w14:paraId="71A6670C">
            <w:pPr>
              <w:pStyle w:val="150"/>
            </w:pPr>
            <w:r>
              <w:rPr>
                <w:rFonts w:hint="eastAsia"/>
              </w:rPr>
              <w:t>网页</w:t>
            </w:r>
            <w:r>
              <w:t>内容规则</w:t>
            </w:r>
            <w:r>
              <w:rPr>
                <w:rFonts w:hint="eastAsia"/>
              </w:rPr>
              <w:t>的描述信息。</w:t>
            </w:r>
          </w:p>
        </w:tc>
      </w:tr>
      <w:tr w14:paraId="73DACE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0C3DD1F3">
            <w:pPr>
              <w:pStyle w:val="150"/>
            </w:pPr>
            <w:r>
              <w:rPr>
                <w:rFonts w:hint="eastAsia"/>
              </w:rPr>
              <w:t>关键字</w:t>
            </w:r>
            <w:r>
              <w:t>对象</w:t>
            </w:r>
          </w:p>
        </w:tc>
        <w:tc>
          <w:tcPr>
            <w:tcW w:w="6905" w:type="dxa"/>
            <w:shd w:val="clear" w:color="auto" w:fill="auto"/>
          </w:tcPr>
          <w:p w14:paraId="3AAC0223">
            <w:pPr>
              <w:pStyle w:val="150"/>
            </w:pPr>
            <w:r>
              <w:rPr>
                <w:rFonts w:hint="eastAsia"/>
              </w:rPr>
              <w:t>选择关键</w:t>
            </w:r>
            <w:r>
              <w:t>字对象</w:t>
            </w:r>
            <w:r>
              <w:rPr>
                <w:rFonts w:hint="eastAsia"/>
              </w:rPr>
              <w:t>，</w:t>
            </w:r>
            <w:r>
              <w:t>支持</w:t>
            </w:r>
            <w:r>
              <w:rPr>
                <w:rFonts w:hint="eastAsia"/>
              </w:rPr>
              <w:t>通过&lt;添加</w:t>
            </w:r>
            <w:r>
              <w:t>关键字</w:t>
            </w:r>
            <w:r>
              <w:rPr>
                <w:rFonts w:hint="eastAsia"/>
              </w:rPr>
              <w:t>&gt;按钮</w:t>
            </w:r>
            <w:r>
              <w:t>来快速创建关键字对象</w:t>
            </w:r>
            <w:r>
              <w:rPr>
                <w:rFonts w:hint="eastAsia"/>
              </w:rPr>
              <w:t>。</w:t>
            </w:r>
          </w:p>
        </w:tc>
      </w:tr>
      <w:tr w14:paraId="1581BD9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2C36E9FC">
            <w:pPr>
              <w:pStyle w:val="150"/>
            </w:pPr>
            <w:r>
              <w:rPr>
                <w:rFonts w:hint="eastAsia"/>
              </w:rPr>
              <w:t>处理动作</w:t>
            </w:r>
          </w:p>
        </w:tc>
        <w:tc>
          <w:tcPr>
            <w:tcW w:w="6905" w:type="dxa"/>
            <w:shd w:val="clear" w:color="auto" w:fill="auto"/>
          </w:tcPr>
          <w:p w14:paraId="51BB3233">
            <w:pPr>
              <w:pStyle w:val="150"/>
            </w:pPr>
            <w:r>
              <w:rPr>
                <w:rFonts w:hint="eastAsia"/>
              </w:rPr>
              <w:t>处理</w:t>
            </w:r>
            <w:r>
              <w:t>动作包括</w:t>
            </w:r>
            <w:r>
              <w:rPr>
                <w:rFonts w:hint="eastAsia"/>
              </w:rPr>
              <w:t>：</w:t>
            </w:r>
            <w:r>
              <w:t>告警</w:t>
            </w:r>
            <w:r>
              <w:rPr>
                <w:rFonts w:hint="eastAsia"/>
              </w:rPr>
              <w:t>、</w:t>
            </w:r>
            <w:r>
              <w:t>拒绝</w:t>
            </w:r>
            <w:r>
              <w:rPr>
                <w:rFonts w:hint="eastAsia"/>
              </w:rPr>
              <w:t>。</w:t>
            </w:r>
          </w:p>
        </w:tc>
      </w:tr>
      <w:tr w14:paraId="60159E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2D526B39">
            <w:pPr>
              <w:pStyle w:val="150"/>
            </w:pPr>
            <w:r>
              <w:rPr>
                <w:rFonts w:hint="eastAsia"/>
              </w:rPr>
              <w:t>日志级别</w:t>
            </w:r>
          </w:p>
        </w:tc>
        <w:tc>
          <w:tcPr>
            <w:tcW w:w="6905" w:type="dxa"/>
            <w:shd w:val="clear" w:color="auto" w:fill="auto"/>
          </w:tcPr>
          <w:p w14:paraId="4DE833BC">
            <w:pPr>
              <w:pStyle w:val="150"/>
            </w:pPr>
            <w:r>
              <w:rPr>
                <w:rFonts w:hint="eastAsia"/>
              </w:rPr>
              <w:t>日志</w:t>
            </w:r>
            <w:r>
              <w:t>级别</w:t>
            </w:r>
            <w:r>
              <w:rPr>
                <w:rFonts w:hint="eastAsia"/>
              </w:rPr>
              <w:t>包含</w:t>
            </w:r>
            <w:r>
              <w:t>：</w:t>
            </w:r>
            <w:r>
              <w:rPr>
                <w:rFonts w:hint="eastAsia"/>
              </w:rPr>
              <w:t>紧急</w:t>
            </w:r>
            <w:r>
              <w:t>、告警、严重、错误</w:t>
            </w:r>
            <w:r>
              <w:rPr>
                <w:rFonts w:hint="eastAsia"/>
              </w:rPr>
              <w:t>、</w:t>
            </w:r>
            <w:r>
              <w:t>警告、通知、信息、调试、不记录</w:t>
            </w:r>
            <w:r>
              <w:rPr>
                <w:rFonts w:hint="eastAsia"/>
              </w:rPr>
              <w:t>。</w:t>
            </w:r>
          </w:p>
        </w:tc>
      </w:tr>
      <w:tr w14:paraId="0F0F452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387AAADE">
            <w:pPr>
              <w:pStyle w:val="150"/>
            </w:pPr>
            <w:r>
              <w:rPr>
                <w:rFonts w:hint="eastAsia"/>
              </w:rPr>
              <w:t>提交</w:t>
            </w:r>
          </w:p>
        </w:tc>
        <w:tc>
          <w:tcPr>
            <w:tcW w:w="6905" w:type="dxa"/>
            <w:shd w:val="clear" w:color="auto" w:fill="auto"/>
          </w:tcPr>
          <w:p w14:paraId="54F9D28D">
            <w:pPr>
              <w:pStyle w:val="150"/>
            </w:pPr>
            <w:r>
              <w:rPr>
                <w:rFonts w:hint="eastAsia"/>
              </w:rPr>
              <w:t>提交后</w:t>
            </w:r>
            <w:r>
              <w:t>当前规则新建成功。</w:t>
            </w:r>
          </w:p>
        </w:tc>
      </w:tr>
      <w:tr w14:paraId="3EEA65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57DC285B">
            <w:pPr>
              <w:pStyle w:val="150"/>
            </w:pPr>
            <w:r>
              <w:rPr>
                <w:rFonts w:hint="eastAsia"/>
              </w:rPr>
              <w:t>取消</w:t>
            </w:r>
          </w:p>
        </w:tc>
        <w:tc>
          <w:tcPr>
            <w:tcW w:w="6905" w:type="dxa"/>
            <w:shd w:val="clear" w:color="auto" w:fill="auto"/>
          </w:tcPr>
          <w:p w14:paraId="34050054">
            <w:pPr>
              <w:pStyle w:val="150"/>
            </w:pPr>
            <w:r>
              <w:rPr>
                <w:rFonts w:hint="eastAsia"/>
              </w:rPr>
              <w:t>取消</w:t>
            </w:r>
            <w:r>
              <w:t>规则创建</w:t>
            </w:r>
            <w:r>
              <w:rPr>
                <w:rFonts w:hint="eastAsia"/>
              </w:rPr>
              <w:t>，</w:t>
            </w:r>
            <w:r>
              <w:t>不下发配置。</w:t>
            </w:r>
          </w:p>
        </w:tc>
      </w:tr>
    </w:tbl>
    <w:p w14:paraId="4135F821"/>
    <w:p w14:paraId="4E7CE7B9">
      <w:r>
        <w:rPr>
          <w:rFonts w:hint="eastAsia"/>
        </w:rPr>
        <w:t>网页</w:t>
      </w:r>
      <w:r>
        <w:t>内容规则</w:t>
      </w:r>
      <w:r>
        <w:rPr>
          <w:rFonts w:hint="eastAsia"/>
        </w:rPr>
        <w:t>创建</w:t>
      </w:r>
      <w:r>
        <w:t>成功后</w:t>
      </w:r>
      <w:r>
        <w:rPr>
          <w:rFonts w:hint="eastAsia"/>
        </w:rPr>
        <w:t>如</w:t>
      </w:r>
      <w:r>
        <w:fldChar w:fldCharType="begin"/>
      </w:r>
      <w:r>
        <w:instrText xml:space="preserve"> </w:instrText>
      </w:r>
      <w:r>
        <w:rPr>
          <w:rFonts w:hint="eastAsia"/>
        </w:rPr>
        <w:instrText xml:space="preserve">REF _Ref5627738 \r \h</w:instrText>
      </w:r>
      <w:r>
        <w:instrText xml:space="preserve"> </w:instrText>
      </w:r>
      <w:r>
        <w:fldChar w:fldCharType="separate"/>
      </w:r>
      <w:r>
        <w:rPr>
          <w:rFonts w:hint="eastAsia"/>
        </w:rPr>
        <w:t>图14-43</w:t>
      </w:r>
      <w:r>
        <w:fldChar w:fldCharType="end"/>
      </w:r>
      <w:r>
        <w:rPr>
          <w:rFonts w:hint="eastAsia"/>
        </w:rPr>
        <w:t>所示。规则显示</w:t>
      </w:r>
      <w:r>
        <w:t>详细</w:t>
      </w:r>
      <w:r>
        <w:rPr>
          <w:rFonts w:hint="eastAsia"/>
        </w:rPr>
        <w:t>说明，如</w:t>
      </w:r>
      <w:r>
        <w:fldChar w:fldCharType="begin"/>
      </w:r>
      <w:r>
        <w:instrText xml:space="preserve"> </w:instrText>
      </w:r>
      <w:r>
        <w:rPr>
          <w:rFonts w:hint="eastAsia"/>
        </w:rPr>
        <w:instrText xml:space="preserve">REF _Ref5627744 \r \h</w:instrText>
      </w:r>
      <w:r>
        <w:instrText xml:space="preserve"> </w:instrText>
      </w:r>
      <w:r>
        <w:fldChar w:fldCharType="separate"/>
      </w:r>
      <w:r>
        <w:rPr>
          <w:rFonts w:hint="eastAsia"/>
        </w:rPr>
        <w:t>表14-1</w:t>
      </w:r>
      <w:r>
        <w:fldChar w:fldCharType="end"/>
      </w:r>
      <w:r>
        <w:rPr>
          <w:rFonts w:hint="eastAsia"/>
        </w:rPr>
        <w:t>所示。</w:t>
      </w:r>
    </w:p>
    <w:p w14:paraId="28D286F7">
      <w:pPr>
        <w:pStyle w:val="188"/>
      </w:pPr>
      <w:bookmarkStart w:id="4430" w:name="_Ref5627738"/>
      <w:bookmarkStart w:id="4431" w:name="_Toc141875056"/>
      <w:r>
        <w:rPr>
          <w:rFonts w:hint="eastAsia"/>
        </w:rPr>
        <w:t>网页</w:t>
      </w:r>
      <w:r>
        <w:t>内容规则</w:t>
      </w:r>
      <w:r>
        <w:rPr>
          <w:rFonts w:hint="eastAsia"/>
        </w:rPr>
        <w:t>配置</w:t>
      </w:r>
      <w:r>
        <w:t>显示</w:t>
      </w:r>
      <w:bookmarkEnd w:id="4430"/>
      <w:bookmarkEnd w:id="4431"/>
    </w:p>
    <w:p w14:paraId="2F9074A5">
      <w:r>
        <w:drawing>
          <wp:inline distT="0" distB="0" distL="0" distR="0">
            <wp:extent cx="5429250" cy="1010285"/>
            <wp:effectExtent l="0" t="0" r="0" b="0"/>
            <wp:docPr id="2847" name="图片 2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7" name="图片 2847"/>
                    <pic:cNvPicPr>
                      <a:picLocks noChangeAspect="1"/>
                    </pic:cNvPicPr>
                  </pic:nvPicPr>
                  <pic:blipFill>
                    <a:blip r:embed="rId611"/>
                    <a:stretch>
                      <a:fillRect/>
                    </a:stretch>
                  </pic:blipFill>
                  <pic:spPr>
                    <a:xfrm>
                      <a:off x="0" y="0"/>
                      <a:ext cx="5493152" cy="1022379"/>
                    </a:xfrm>
                    <a:prstGeom prst="rect">
                      <a:avLst/>
                    </a:prstGeom>
                  </pic:spPr>
                </pic:pic>
              </a:graphicData>
            </a:graphic>
          </wp:inline>
        </w:drawing>
      </w:r>
    </w:p>
    <w:p w14:paraId="53D79949"/>
    <w:p w14:paraId="112059F8">
      <w:pPr>
        <w:pStyle w:val="183"/>
      </w:pPr>
      <w:bookmarkStart w:id="4432" w:name="_Toc141875667"/>
      <w:bookmarkStart w:id="4433" w:name="_Ref5627744"/>
      <w:r>
        <w:rPr>
          <w:rFonts w:hint="eastAsia"/>
        </w:rPr>
        <w:t>网页</w:t>
      </w:r>
      <w:r>
        <w:t>内容</w:t>
      </w:r>
      <w:r>
        <w:rPr>
          <w:rFonts w:hint="eastAsia"/>
        </w:rPr>
        <w:t>规则配置</w:t>
      </w:r>
      <w:r>
        <w:t>显示详细说明</w:t>
      </w:r>
      <w:bookmarkEnd w:id="4432"/>
      <w:bookmarkEnd w:id="4433"/>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356"/>
        <w:gridCol w:w="7614"/>
      </w:tblGrid>
      <w:tr w14:paraId="71AC69C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blHeader/>
        </w:trPr>
        <w:tc>
          <w:tcPr>
            <w:tcW w:w="1356" w:type="dxa"/>
            <w:tcBorders>
              <w:tl2br w:val="nil"/>
              <w:tr2bl w:val="nil"/>
            </w:tcBorders>
            <w:shd w:val="clear" w:color="auto" w:fill="538135" w:themeFill="accent6" w:themeFillShade="BF"/>
            <w:vAlign w:val="center"/>
          </w:tcPr>
          <w:p w14:paraId="21282768">
            <w:pPr>
              <w:pStyle w:val="149"/>
              <w:wordWrap/>
              <w:rPr>
                <w:b/>
                <w:bCs/>
                <w:i w:val="0"/>
                <w:iCs w:val="0"/>
              </w:rPr>
            </w:pPr>
            <w:r>
              <w:rPr>
                <w:rFonts w:hint="eastAsia"/>
                <w:b/>
                <w:bCs/>
                <w:i w:val="0"/>
                <w:iCs w:val="0"/>
              </w:rPr>
              <w:t>标题项</w:t>
            </w:r>
          </w:p>
        </w:tc>
        <w:tc>
          <w:tcPr>
            <w:tcW w:w="7614" w:type="dxa"/>
            <w:tcBorders>
              <w:tl2br w:val="nil"/>
              <w:tr2bl w:val="nil"/>
            </w:tcBorders>
            <w:shd w:val="clear" w:color="auto" w:fill="538135" w:themeFill="accent6" w:themeFillShade="BF"/>
            <w:vAlign w:val="center"/>
          </w:tcPr>
          <w:p w14:paraId="1C7C8FFC">
            <w:pPr>
              <w:pStyle w:val="149"/>
              <w:wordWrap/>
              <w:rPr>
                <w:b/>
                <w:bCs/>
                <w:i w:val="0"/>
                <w:iCs w:val="0"/>
              </w:rPr>
            </w:pPr>
            <w:r>
              <w:rPr>
                <w:rFonts w:hint="eastAsia"/>
                <w:b/>
                <w:bCs/>
                <w:i w:val="0"/>
                <w:iCs w:val="0"/>
              </w:rPr>
              <w:t>说明</w:t>
            </w:r>
          </w:p>
        </w:tc>
      </w:tr>
      <w:tr w14:paraId="626FED0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56" w:type="dxa"/>
            <w:shd w:val="clear" w:color="auto" w:fill="auto"/>
          </w:tcPr>
          <w:p w14:paraId="7E639A3C">
            <w:pPr>
              <w:pStyle w:val="150"/>
            </w:pPr>
            <w:r>
              <w:rPr>
                <w:rFonts w:hint="eastAsia"/>
              </w:rPr>
              <w:t>I</w:t>
            </w:r>
            <w:r>
              <w:t>D</w:t>
            </w:r>
          </w:p>
        </w:tc>
        <w:tc>
          <w:tcPr>
            <w:tcW w:w="7614" w:type="dxa"/>
            <w:shd w:val="clear" w:color="auto" w:fill="auto"/>
          </w:tcPr>
          <w:p w14:paraId="4E20FBFD">
            <w:pPr>
              <w:pStyle w:val="150"/>
            </w:pPr>
            <w:r>
              <w:rPr>
                <w:rFonts w:hint="eastAsia"/>
              </w:rPr>
              <w:t>规则对应ID，代表</w:t>
            </w:r>
            <w:r>
              <w:t>规则优先级</w:t>
            </w:r>
            <w:r>
              <w:rPr>
                <w:rFonts w:hint="eastAsia"/>
              </w:rPr>
              <w:t>。</w:t>
            </w:r>
          </w:p>
        </w:tc>
      </w:tr>
      <w:tr w14:paraId="519B2A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56" w:type="dxa"/>
            <w:shd w:val="clear" w:color="auto" w:fill="auto"/>
          </w:tcPr>
          <w:p w14:paraId="7AE60B3F">
            <w:pPr>
              <w:pStyle w:val="150"/>
            </w:pPr>
            <w:r>
              <w:rPr>
                <w:rFonts w:hint="eastAsia"/>
              </w:rPr>
              <w:t>描述</w:t>
            </w:r>
          </w:p>
        </w:tc>
        <w:tc>
          <w:tcPr>
            <w:tcW w:w="7614" w:type="dxa"/>
            <w:shd w:val="clear" w:color="auto" w:fill="auto"/>
          </w:tcPr>
          <w:p w14:paraId="664A75EE">
            <w:pPr>
              <w:pStyle w:val="150"/>
            </w:pPr>
            <w:r>
              <w:rPr>
                <w:rFonts w:hint="eastAsia"/>
              </w:rPr>
              <w:t>规则</w:t>
            </w:r>
            <w:r>
              <w:t>描述</w:t>
            </w:r>
            <w:r>
              <w:rPr>
                <w:rFonts w:hint="eastAsia"/>
              </w:rPr>
              <w:t>信息显示。</w:t>
            </w:r>
          </w:p>
        </w:tc>
      </w:tr>
      <w:tr w14:paraId="54E1017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56" w:type="dxa"/>
            <w:shd w:val="clear" w:color="auto" w:fill="auto"/>
          </w:tcPr>
          <w:p w14:paraId="48A7AD46">
            <w:pPr>
              <w:pStyle w:val="150"/>
            </w:pPr>
            <w:r>
              <w:rPr>
                <w:rFonts w:hint="eastAsia"/>
              </w:rPr>
              <w:t>关键字</w:t>
            </w:r>
          </w:p>
        </w:tc>
        <w:tc>
          <w:tcPr>
            <w:tcW w:w="7614" w:type="dxa"/>
            <w:shd w:val="clear" w:color="auto" w:fill="auto"/>
          </w:tcPr>
          <w:p w14:paraId="63AF3DC1">
            <w:pPr>
              <w:pStyle w:val="150"/>
            </w:pPr>
            <w:r>
              <w:rPr>
                <w:rFonts w:hint="eastAsia"/>
              </w:rPr>
              <w:t>规则</w:t>
            </w:r>
            <w:r>
              <w:t>引用的关键字对象</w:t>
            </w:r>
            <w:r>
              <w:rPr>
                <w:rFonts w:hint="eastAsia"/>
              </w:rPr>
              <w:t>。</w:t>
            </w:r>
          </w:p>
        </w:tc>
      </w:tr>
      <w:tr w14:paraId="4AFDE87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56" w:type="dxa"/>
            <w:shd w:val="clear" w:color="auto" w:fill="auto"/>
          </w:tcPr>
          <w:p w14:paraId="5701D85E">
            <w:pPr>
              <w:pStyle w:val="150"/>
            </w:pPr>
            <w:r>
              <w:rPr>
                <w:rFonts w:hint="eastAsia"/>
              </w:rPr>
              <w:t>动作</w:t>
            </w:r>
          </w:p>
        </w:tc>
        <w:tc>
          <w:tcPr>
            <w:tcW w:w="7614" w:type="dxa"/>
            <w:shd w:val="clear" w:color="auto" w:fill="auto"/>
          </w:tcPr>
          <w:p w14:paraId="7CD67971">
            <w:pPr>
              <w:pStyle w:val="150"/>
            </w:pPr>
            <w:r>
              <w:rPr>
                <w:rFonts w:hint="eastAsia"/>
              </w:rPr>
              <w:t>规则</w:t>
            </w:r>
            <w:r>
              <w:t>动作</w:t>
            </w:r>
            <w:r>
              <w:rPr>
                <w:rFonts w:hint="eastAsia"/>
              </w:rPr>
              <w:t>，</w:t>
            </w:r>
            <w:r>
              <w:t>包括</w:t>
            </w:r>
            <w:r>
              <w:rPr>
                <w:rFonts w:hint="eastAsia"/>
              </w:rPr>
              <w:t>：</w:t>
            </w:r>
            <w:r>
              <w:t>告警</w:t>
            </w:r>
            <w:r>
              <w:rPr>
                <w:rFonts w:hint="eastAsia"/>
              </w:rPr>
              <w:t>、</w:t>
            </w:r>
            <w:r>
              <w:t>拒绝</w:t>
            </w:r>
            <w:r>
              <w:rPr>
                <w:rFonts w:hint="eastAsia"/>
              </w:rPr>
              <w:t>。</w:t>
            </w:r>
          </w:p>
        </w:tc>
      </w:tr>
      <w:tr w14:paraId="7C006E1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56" w:type="dxa"/>
            <w:shd w:val="clear" w:color="auto" w:fill="auto"/>
          </w:tcPr>
          <w:p w14:paraId="09CB5C1F">
            <w:pPr>
              <w:pStyle w:val="150"/>
            </w:pPr>
            <w:r>
              <w:rPr>
                <w:rFonts w:hint="eastAsia"/>
              </w:rPr>
              <w:t>级别</w:t>
            </w:r>
          </w:p>
        </w:tc>
        <w:tc>
          <w:tcPr>
            <w:tcW w:w="7614" w:type="dxa"/>
            <w:shd w:val="clear" w:color="auto" w:fill="auto"/>
          </w:tcPr>
          <w:p w14:paraId="5999CAA8">
            <w:pPr>
              <w:pStyle w:val="150"/>
            </w:pPr>
            <w:r>
              <w:rPr>
                <w:rFonts w:hint="eastAsia"/>
              </w:rPr>
              <w:t>规则日志</w:t>
            </w:r>
            <w:r>
              <w:t>级别</w:t>
            </w:r>
            <w:r>
              <w:rPr>
                <w:rFonts w:hint="eastAsia"/>
              </w:rPr>
              <w:t>，</w:t>
            </w:r>
            <w:r>
              <w:t>包括：</w:t>
            </w:r>
            <w:r>
              <w:rPr>
                <w:rFonts w:hint="eastAsia"/>
              </w:rPr>
              <w:t>紧急</w:t>
            </w:r>
            <w:r>
              <w:t>、告警、严重、错误</w:t>
            </w:r>
            <w:r>
              <w:rPr>
                <w:rFonts w:hint="eastAsia"/>
              </w:rPr>
              <w:t>、</w:t>
            </w:r>
            <w:r>
              <w:t>警告、通知、信息、调试、不记录</w:t>
            </w:r>
            <w:r>
              <w:rPr>
                <w:rFonts w:hint="eastAsia"/>
              </w:rPr>
              <w:t>。</w:t>
            </w:r>
          </w:p>
        </w:tc>
      </w:tr>
      <w:tr w14:paraId="5EC86E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56" w:type="dxa"/>
            <w:shd w:val="clear" w:color="auto" w:fill="auto"/>
          </w:tcPr>
          <w:p w14:paraId="378D3BA2">
            <w:pPr>
              <w:pStyle w:val="150"/>
            </w:pPr>
            <w:r>
              <w:rPr>
                <w:rFonts w:hint="eastAsia"/>
              </w:rPr>
              <w:t>启用</w:t>
            </w:r>
          </w:p>
        </w:tc>
        <w:tc>
          <w:tcPr>
            <w:tcW w:w="7614" w:type="dxa"/>
            <w:shd w:val="clear" w:color="auto" w:fill="auto"/>
          </w:tcPr>
          <w:p w14:paraId="40357B4F">
            <w:pPr>
              <w:pStyle w:val="150"/>
            </w:pPr>
            <w:r>
              <w:rPr>
                <w:rFonts w:hint="eastAsia"/>
              </w:rPr>
              <w:t>规则</w:t>
            </w:r>
            <w:r>
              <w:t>启用状态</w:t>
            </w:r>
            <w:r>
              <w:rPr>
                <w:rFonts w:hint="eastAsia"/>
              </w:rPr>
              <w:t>显示，</w:t>
            </w:r>
            <w:r>
              <w:t>包括：启用和禁用</w:t>
            </w:r>
            <w:r>
              <w:rPr>
                <w:rFonts w:hint="eastAsia"/>
              </w:rPr>
              <w:t>。</w:t>
            </w:r>
          </w:p>
        </w:tc>
      </w:tr>
      <w:tr w14:paraId="749A00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56" w:type="dxa"/>
            <w:shd w:val="clear" w:color="auto" w:fill="auto"/>
          </w:tcPr>
          <w:p w14:paraId="4A368996">
            <w:pPr>
              <w:pStyle w:val="150"/>
            </w:pPr>
            <w:r>
              <w:rPr>
                <w:rFonts w:hint="eastAsia"/>
              </w:rPr>
              <w:t>操作</w:t>
            </w:r>
          </w:p>
        </w:tc>
        <w:tc>
          <w:tcPr>
            <w:tcW w:w="7614" w:type="dxa"/>
            <w:shd w:val="clear" w:color="auto" w:fill="auto"/>
          </w:tcPr>
          <w:p w14:paraId="29491AE8">
            <w:pPr>
              <w:pStyle w:val="150"/>
            </w:pPr>
            <w:r>
              <w:rPr>
                <w:rFonts w:hint="eastAsia"/>
              </w:rPr>
              <w:t>支持对当前</w:t>
            </w:r>
            <w:r>
              <w:t>规则</w:t>
            </w:r>
            <w:r>
              <w:rPr>
                <w:rFonts w:hint="eastAsia"/>
              </w:rPr>
              <w:t>进行</w:t>
            </w:r>
            <w:r>
              <w:t>编辑和删除。</w:t>
            </w:r>
          </w:p>
        </w:tc>
      </w:tr>
    </w:tbl>
    <w:p w14:paraId="531EE151"/>
    <w:p w14:paraId="62B6B6AB">
      <w:pPr>
        <w:pStyle w:val="4"/>
      </w:pPr>
      <w:bookmarkStart w:id="4434" w:name="_Toc4513238"/>
      <w:bookmarkStart w:id="4435" w:name="_Toc23152715"/>
      <w:bookmarkStart w:id="4436" w:name="_Toc40276148"/>
      <w:bookmarkStart w:id="4437" w:name="_Toc196728250"/>
      <w:bookmarkStart w:id="4438" w:name="_Toc141873653"/>
      <w:bookmarkStart w:id="4439" w:name="_Toc6235087"/>
      <w:bookmarkStart w:id="4440" w:name="_Toc194080918"/>
      <w:bookmarkStart w:id="4441" w:name="_Toc142401170"/>
      <w:bookmarkStart w:id="4442" w:name="_Toc172218432"/>
      <w:bookmarkStart w:id="4443" w:name="_Toc15484951"/>
      <w:bookmarkStart w:id="4444" w:name="_Toc99561790"/>
      <w:bookmarkStart w:id="4445" w:name="_Toc6235071"/>
      <w:bookmarkStart w:id="4446" w:name="_Toc40276135"/>
      <w:bookmarkStart w:id="4447" w:name="_Toc23152702"/>
      <w:bookmarkStart w:id="4448" w:name="_Toc15484938"/>
      <w:bookmarkStart w:id="4449" w:name="_Toc99561776"/>
      <w:r>
        <w:rPr>
          <w:rFonts w:hint="eastAsia"/>
        </w:rPr>
        <w:t>虚拟账号</w:t>
      </w:r>
      <w:bookmarkEnd w:id="4434"/>
      <w:bookmarkEnd w:id="4435"/>
      <w:bookmarkEnd w:id="4436"/>
      <w:bookmarkEnd w:id="4437"/>
      <w:bookmarkEnd w:id="4438"/>
      <w:bookmarkEnd w:id="4439"/>
      <w:bookmarkEnd w:id="4440"/>
      <w:bookmarkEnd w:id="4441"/>
      <w:bookmarkEnd w:id="4442"/>
      <w:bookmarkEnd w:id="4443"/>
      <w:bookmarkEnd w:id="4444"/>
    </w:p>
    <w:p w14:paraId="168A9A96">
      <w:pPr>
        <w:pStyle w:val="5"/>
      </w:pPr>
      <w:bookmarkStart w:id="4450" w:name="_Toc40276149"/>
      <w:bookmarkStart w:id="4451" w:name="_Toc4513239"/>
      <w:bookmarkStart w:id="4452" w:name="_Toc23152716"/>
      <w:bookmarkStart w:id="4453" w:name="_Toc15484952"/>
      <w:bookmarkStart w:id="4454" w:name="_Toc6235088"/>
      <w:bookmarkStart w:id="4455" w:name="_Toc194080919"/>
      <w:bookmarkStart w:id="4456" w:name="_Toc196728251"/>
      <w:bookmarkStart w:id="4457" w:name="_Toc99561791"/>
      <w:bookmarkStart w:id="4458" w:name="_Toc142401171"/>
      <w:bookmarkStart w:id="4459" w:name="_Toc141873654"/>
      <w:bookmarkStart w:id="4460" w:name="_Toc172218433"/>
      <w:r>
        <w:rPr>
          <w:rFonts w:hint="eastAsia"/>
        </w:rPr>
        <w:t>概述</w:t>
      </w:r>
      <w:bookmarkEnd w:id="4450"/>
      <w:bookmarkEnd w:id="4451"/>
      <w:bookmarkEnd w:id="4452"/>
      <w:bookmarkEnd w:id="4453"/>
      <w:bookmarkEnd w:id="4454"/>
      <w:bookmarkEnd w:id="4455"/>
      <w:bookmarkEnd w:id="4456"/>
      <w:bookmarkEnd w:id="4457"/>
      <w:bookmarkEnd w:id="4458"/>
      <w:bookmarkEnd w:id="4459"/>
      <w:bookmarkEnd w:id="4460"/>
    </w:p>
    <w:p w14:paraId="5E592583">
      <w:pPr>
        <w:rPr>
          <w:lang w:val="zh-CN"/>
        </w:rPr>
      </w:pPr>
      <w:r>
        <w:rPr>
          <w:rFonts w:hint="eastAsia"/>
          <w:lang w:val="zh-CN"/>
        </w:rPr>
        <w:t>QQ虚拟账号控制是指控制策略根据所引用关键字对象设置待过滤账号，只允许引用单个关键字对象，关键字过滤只支持精确匹配。根据匹配到的动作（黑名单或白名单）进行QQ账号控制并产生应用控制日志。</w:t>
      </w:r>
    </w:p>
    <w:p w14:paraId="1D00F533">
      <w:pPr>
        <w:pStyle w:val="5"/>
      </w:pPr>
      <w:bookmarkStart w:id="4461" w:name="_Toc3878709"/>
      <w:bookmarkStart w:id="4462" w:name="_Toc474250156"/>
      <w:bookmarkStart w:id="4463" w:name="_Toc15484953"/>
      <w:bookmarkStart w:id="4464" w:name="_Toc141873655"/>
      <w:bookmarkStart w:id="4465" w:name="_Toc99561792"/>
      <w:bookmarkStart w:id="4466" w:name="_Toc23152717"/>
      <w:bookmarkStart w:id="4467" w:name="_Toc40276150"/>
      <w:bookmarkStart w:id="4468" w:name="_Toc142401172"/>
      <w:bookmarkStart w:id="4469" w:name="_Toc6235089"/>
      <w:bookmarkStart w:id="4470" w:name="_Toc172218434"/>
      <w:bookmarkStart w:id="4471" w:name="_Toc194080920"/>
      <w:bookmarkStart w:id="4472" w:name="_Toc4513240"/>
      <w:bookmarkStart w:id="4473" w:name="_Toc196728252"/>
      <w:r>
        <w:rPr>
          <w:rFonts w:hint="eastAsia"/>
        </w:rPr>
        <w:t>配置</w:t>
      </w:r>
      <w:bookmarkEnd w:id="4461"/>
      <w:bookmarkEnd w:id="4462"/>
      <w:r>
        <w:rPr>
          <w:rFonts w:hint="eastAsia"/>
        </w:rPr>
        <w:t>虚拟账号</w:t>
      </w:r>
      <w:bookmarkEnd w:id="4463"/>
      <w:bookmarkEnd w:id="4464"/>
      <w:bookmarkEnd w:id="4465"/>
      <w:bookmarkEnd w:id="4466"/>
      <w:bookmarkEnd w:id="4467"/>
      <w:bookmarkEnd w:id="4468"/>
      <w:bookmarkEnd w:id="4469"/>
      <w:bookmarkEnd w:id="4470"/>
      <w:bookmarkEnd w:id="4471"/>
      <w:bookmarkEnd w:id="4472"/>
      <w:bookmarkEnd w:id="4473"/>
    </w:p>
    <w:p w14:paraId="48CB5A80">
      <w:r>
        <w:rPr>
          <w:rFonts w:hint="eastAsia"/>
        </w:rPr>
        <w:t xml:space="preserve">通过菜单“策略配置&gt;控制策略 </w:t>
      </w:r>
      <w:r>
        <w:t xml:space="preserve">&gt; </w:t>
      </w:r>
      <w:r>
        <w:rPr>
          <w:rFonts w:hint="eastAsia"/>
        </w:rPr>
        <w:t xml:space="preserve">应用过滤 </w:t>
      </w:r>
      <w:r>
        <w:t xml:space="preserve">&gt; </w:t>
      </w:r>
      <w:r>
        <w:rPr>
          <w:rFonts w:hint="eastAsia"/>
        </w:rPr>
        <w:t>虚拟账号”，进入如</w:t>
      </w:r>
      <w:r>
        <w:rPr>
          <w:color w:val="0000FF"/>
          <w:u w:val="single"/>
        </w:rPr>
        <w:fldChar w:fldCharType="begin"/>
      </w:r>
      <w:r>
        <w:instrText xml:space="preserve"> </w:instrText>
      </w:r>
      <w:r>
        <w:rPr>
          <w:rFonts w:hint="eastAsia"/>
        </w:rPr>
        <w:instrText xml:space="preserve">REF _Ref5614115 \r \h</w:instrText>
      </w:r>
      <w:r>
        <w:instrText xml:space="preserve"> </w:instrText>
      </w:r>
      <w:r>
        <w:rPr>
          <w:color w:val="0000FF"/>
          <w:u w:val="single"/>
        </w:rPr>
        <w:fldChar w:fldCharType="separate"/>
      </w:r>
      <w:r>
        <w:rPr>
          <w:rFonts w:hint="eastAsia"/>
        </w:rPr>
        <w:t>图14-44</w:t>
      </w:r>
      <w:r>
        <w:rPr>
          <w:color w:val="0000FF"/>
          <w:u w:val="single"/>
        </w:rPr>
        <w:fldChar w:fldCharType="end"/>
      </w:r>
      <w:r>
        <w:rPr>
          <w:rFonts w:hint="eastAsia"/>
        </w:rPr>
        <w:t>所示页面。在该页面上可以配置虚拟账号功能。各个配置项含义如</w:t>
      </w:r>
      <w:r>
        <w:rPr>
          <w:color w:val="0000FF"/>
          <w:u w:val="single"/>
        </w:rPr>
        <w:fldChar w:fldCharType="begin"/>
      </w:r>
      <w:r>
        <w:instrText xml:space="preserve"> </w:instrText>
      </w:r>
      <w:r>
        <w:rPr>
          <w:rFonts w:hint="eastAsia"/>
        </w:rPr>
        <w:instrText xml:space="preserve">REF _Ref5614136 \r \h</w:instrText>
      </w:r>
      <w:r>
        <w:instrText xml:space="preserve"> </w:instrText>
      </w:r>
      <w:r>
        <w:rPr>
          <w:color w:val="0000FF"/>
          <w:u w:val="single"/>
        </w:rPr>
        <w:fldChar w:fldCharType="separate"/>
      </w:r>
      <w:r>
        <w:rPr>
          <w:rFonts w:hint="eastAsia"/>
        </w:rPr>
        <w:t>表14-1</w:t>
      </w:r>
      <w:r>
        <w:rPr>
          <w:color w:val="0000FF"/>
          <w:u w:val="single"/>
        </w:rPr>
        <w:fldChar w:fldCharType="end"/>
      </w:r>
      <w:r>
        <w:rPr>
          <w:rFonts w:hint="eastAsia"/>
        </w:rPr>
        <w:t>所示。</w:t>
      </w:r>
    </w:p>
    <w:p w14:paraId="3C5BCA73">
      <w:pPr>
        <w:pStyle w:val="188"/>
      </w:pPr>
      <w:bookmarkStart w:id="4474" w:name="_Toc141875057"/>
      <w:bookmarkStart w:id="4475" w:name="_Ref5614115"/>
      <w:r>
        <w:rPr>
          <w:rFonts w:hint="eastAsia"/>
        </w:rPr>
        <w:t>虚拟账号配置页面</w:t>
      </w:r>
      <w:bookmarkEnd w:id="4474"/>
      <w:bookmarkEnd w:id="4475"/>
    </w:p>
    <w:p w14:paraId="28727179">
      <w:r>
        <w:drawing>
          <wp:inline distT="0" distB="0" distL="0" distR="0">
            <wp:extent cx="5400040" cy="1948180"/>
            <wp:effectExtent l="0" t="0" r="0" b="0"/>
            <wp:docPr id="754" name="图片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图片 754"/>
                    <pic:cNvPicPr>
                      <a:picLocks noChangeAspect="1"/>
                    </pic:cNvPicPr>
                  </pic:nvPicPr>
                  <pic:blipFill>
                    <a:blip r:embed="rId612"/>
                    <a:stretch>
                      <a:fillRect/>
                    </a:stretch>
                  </pic:blipFill>
                  <pic:spPr>
                    <a:xfrm>
                      <a:off x="0" y="0"/>
                      <a:ext cx="5400040" cy="1948676"/>
                    </a:xfrm>
                    <a:prstGeom prst="rect">
                      <a:avLst/>
                    </a:prstGeom>
                  </pic:spPr>
                </pic:pic>
              </a:graphicData>
            </a:graphic>
          </wp:inline>
        </w:drawing>
      </w:r>
    </w:p>
    <w:p w14:paraId="497804AD"/>
    <w:p w14:paraId="1C5832E6">
      <w:pPr>
        <w:pStyle w:val="183"/>
      </w:pPr>
      <w:bookmarkStart w:id="4476" w:name="_Ref5614136"/>
      <w:bookmarkStart w:id="4477" w:name="_Toc141875668"/>
      <w:r>
        <w:rPr>
          <w:rFonts w:hint="eastAsia"/>
        </w:rPr>
        <w:t>虚拟账号配置项含义表</w:t>
      </w:r>
      <w:bookmarkEnd w:id="4476"/>
      <w:bookmarkEnd w:id="4477"/>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242"/>
        <w:gridCol w:w="7772"/>
      </w:tblGrid>
      <w:tr w14:paraId="19CF4C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242" w:type="dxa"/>
            <w:tcBorders>
              <w:tl2br w:val="nil"/>
              <w:tr2bl w:val="nil"/>
            </w:tcBorders>
            <w:shd w:val="clear" w:color="auto" w:fill="538135" w:themeFill="accent6" w:themeFillShade="BF"/>
            <w:vAlign w:val="center"/>
          </w:tcPr>
          <w:p w14:paraId="7EA5510E">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772" w:type="dxa"/>
            <w:tcBorders>
              <w:tl2br w:val="nil"/>
              <w:tr2bl w:val="nil"/>
            </w:tcBorders>
            <w:shd w:val="clear" w:color="auto" w:fill="538135" w:themeFill="accent6" w:themeFillShade="BF"/>
            <w:vAlign w:val="center"/>
          </w:tcPr>
          <w:p w14:paraId="27238C6F">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06E039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242" w:type="dxa"/>
            <w:shd w:val="clear" w:color="auto" w:fill="auto"/>
          </w:tcPr>
          <w:p w14:paraId="40A469E1">
            <w:pPr>
              <w:pStyle w:val="150"/>
            </w:pPr>
            <w:r>
              <w:rPr>
                <w:rFonts w:hint="eastAsia"/>
              </w:rPr>
              <w:t>启用</w:t>
            </w:r>
          </w:p>
        </w:tc>
        <w:tc>
          <w:tcPr>
            <w:tcW w:w="7772" w:type="dxa"/>
            <w:shd w:val="clear" w:color="auto" w:fill="auto"/>
          </w:tcPr>
          <w:p w14:paraId="7E7EC58F">
            <w:pPr>
              <w:pStyle w:val="150"/>
            </w:pPr>
            <w:r>
              <w:rPr>
                <w:rFonts w:hint="eastAsia"/>
              </w:rPr>
              <w:t>启用虚拟账号功能，未启用状态下无法配置黑白名单。</w:t>
            </w:r>
          </w:p>
        </w:tc>
      </w:tr>
      <w:tr w14:paraId="67F1FF4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242" w:type="dxa"/>
            <w:shd w:val="clear" w:color="auto" w:fill="auto"/>
          </w:tcPr>
          <w:p w14:paraId="778BE55B">
            <w:pPr>
              <w:pStyle w:val="150"/>
            </w:pPr>
            <w:r>
              <w:rPr>
                <w:rFonts w:hint="eastAsia"/>
              </w:rPr>
              <w:t>黑名单</w:t>
            </w:r>
          </w:p>
        </w:tc>
        <w:tc>
          <w:tcPr>
            <w:tcW w:w="7772" w:type="dxa"/>
            <w:shd w:val="clear" w:color="auto" w:fill="auto"/>
          </w:tcPr>
          <w:p w14:paraId="4CEAD4C9">
            <w:pPr>
              <w:pStyle w:val="150"/>
            </w:pPr>
            <w:r>
              <w:rPr>
                <w:rFonts w:hint="eastAsia"/>
              </w:rPr>
              <w:t>启用虚拟账号黑名单，引用关键字对象，可以直接点击添加关键字按钮添加关键字对象。</w:t>
            </w:r>
          </w:p>
        </w:tc>
      </w:tr>
      <w:tr w14:paraId="0E51126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242" w:type="dxa"/>
            <w:shd w:val="clear" w:color="auto" w:fill="auto"/>
          </w:tcPr>
          <w:p w14:paraId="49DA5174">
            <w:pPr>
              <w:pStyle w:val="150"/>
            </w:pPr>
            <w:r>
              <w:rPr>
                <w:rFonts w:hint="eastAsia"/>
              </w:rPr>
              <w:t>白名单</w:t>
            </w:r>
          </w:p>
        </w:tc>
        <w:tc>
          <w:tcPr>
            <w:tcW w:w="7772" w:type="dxa"/>
            <w:shd w:val="clear" w:color="auto" w:fill="auto"/>
          </w:tcPr>
          <w:p w14:paraId="5773BE1C">
            <w:pPr>
              <w:pStyle w:val="150"/>
            </w:pPr>
            <w:r>
              <w:rPr>
                <w:rFonts w:hint="eastAsia"/>
              </w:rPr>
              <w:t>启用虚拟账号白名单，引用关键字对象，可以直接点击添加关键字按钮添加关键字对象。</w:t>
            </w:r>
          </w:p>
        </w:tc>
      </w:tr>
      <w:tr w14:paraId="00CB7E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242" w:type="dxa"/>
            <w:shd w:val="clear" w:color="auto" w:fill="auto"/>
          </w:tcPr>
          <w:p w14:paraId="573B2E1D">
            <w:pPr>
              <w:pStyle w:val="150"/>
            </w:pPr>
            <w:r>
              <w:rPr>
                <w:rFonts w:hint="eastAsia"/>
              </w:rPr>
              <w:t>日志级别</w:t>
            </w:r>
          </w:p>
        </w:tc>
        <w:tc>
          <w:tcPr>
            <w:tcW w:w="7772" w:type="dxa"/>
            <w:shd w:val="clear" w:color="auto" w:fill="auto"/>
          </w:tcPr>
          <w:p w14:paraId="1464F9B0">
            <w:pPr>
              <w:pStyle w:val="150"/>
            </w:pPr>
            <w:r>
              <w:rPr>
                <w:rFonts w:hint="eastAsia"/>
              </w:rPr>
              <w:t>选择匹配到虚拟账号后产生的虚拟账号控制日志级别。</w:t>
            </w:r>
          </w:p>
        </w:tc>
      </w:tr>
    </w:tbl>
    <w:p w14:paraId="19C76CFF"/>
    <w:p w14:paraId="12AD2452">
      <w:pPr>
        <w:pStyle w:val="5"/>
      </w:pPr>
      <w:bookmarkStart w:id="4478" w:name="_Toc15484954"/>
      <w:bookmarkStart w:id="4479" w:name="_Toc4513241"/>
      <w:bookmarkStart w:id="4480" w:name="_Toc6235090"/>
      <w:bookmarkStart w:id="4481" w:name="_Toc142401173"/>
      <w:bookmarkStart w:id="4482" w:name="_Toc40276151"/>
      <w:bookmarkStart w:id="4483" w:name="_Toc172218435"/>
      <w:bookmarkStart w:id="4484" w:name="_Toc196728253"/>
      <w:bookmarkStart w:id="4485" w:name="_Toc99561793"/>
      <w:bookmarkStart w:id="4486" w:name="_Toc141873656"/>
      <w:bookmarkStart w:id="4487" w:name="_Toc194080921"/>
      <w:bookmarkStart w:id="4488" w:name="_Toc23152718"/>
      <w:r>
        <w:rPr>
          <w:rFonts w:hint="eastAsia"/>
        </w:rPr>
        <w:t>虚拟账号配置举例</w:t>
      </w:r>
      <w:bookmarkEnd w:id="4478"/>
      <w:bookmarkEnd w:id="4479"/>
      <w:bookmarkEnd w:id="4480"/>
      <w:bookmarkEnd w:id="4481"/>
      <w:bookmarkEnd w:id="4482"/>
      <w:bookmarkEnd w:id="4483"/>
      <w:bookmarkEnd w:id="4484"/>
      <w:bookmarkEnd w:id="4485"/>
      <w:bookmarkEnd w:id="4486"/>
      <w:bookmarkEnd w:id="4487"/>
      <w:bookmarkEnd w:id="4488"/>
    </w:p>
    <w:p w14:paraId="175706D1">
      <w:pPr>
        <w:pStyle w:val="6"/>
      </w:pPr>
      <w:bookmarkStart w:id="4489" w:name="_Toc4513242"/>
      <w:r>
        <w:rPr>
          <w:rFonts w:hint="eastAsia"/>
        </w:rPr>
        <w:t>组网需求</w:t>
      </w:r>
      <w:bookmarkEnd w:id="4489"/>
    </w:p>
    <w:p w14:paraId="00AD316C">
      <w:r>
        <w:rPr>
          <w:rFonts w:hint="eastAsia"/>
        </w:rPr>
        <w:t>如</w:t>
      </w:r>
      <w:r>
        <w:t>下图</w:t>
      </w:r>
      <w:r>
        <w:rPr>
          <w:rFonts w:hint="eastAsia"/>
        </w:rPr>
        <w:t>所示，公司内网存在内网用户供内部人员使用；无线WIFI供访客使用，具体需求如下：</w:t>
      </w:r>
    </w:p>
    <w:p w14:paraId="0F4D9B85">
      <w:r>
        <w:rPr>
          <w:rFonts w:hint="eastAsia"/>
        </w:rPr>
        <w:t>针对内网用户，公司内部人员只放行特定的QQ账户上网，其他qq号阻断登录。</w:t>
      </w:r>
    </w:p>
    <w:p w14:paraId="2F53FDA5">
      <w:r>
        <w:rPr>
          <w:rFonts w:hint="eastAsia"/>
        </w:rPr>
        <w:t>针对无线WIFI网络，阻断特定qq账户，其他qq放行可以上网。</w:t>
      </w:r>
    </w:p>
    <w:p w14:paraId="443672BD">
      <w:pPr>
        <w:pStyle w:val="188"/>
      </w:pPr>
      <w:bookmarkStart w:id="4490" w:name="_Toc141875058"/>
      <w:r>
        <w:rPr>
          <w:rFonts w:hint="eastAsia"/>
        </w:rPr>
        <w:t>虚拟账号组网图</w:t>
      </w:r>
      <w:bookmarkEnd w:id="4490"/>
    </w:p>
    <w:p w14:paraId="77DCA7A8">
      <w:r>
        <w:drawing>
          <wp:inline distT="0" distB="0" distL="0" distR="0">
            <wp:extent cx="4819650" cy="1657350"/>
            <wp:effectExtent l="0" t="0" r="0" b="0"/>
            <wp:docPr id="2875" name="图片 2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5" name="图片 2875"/>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a:xfrm>
                      <a:off x="0" y="0"/>
                      <a:ext cx="4819650" cy="1657350"/>
                    </a:xfrm>
                    <a:prstGeom prst="rect">
                      <a:avLst/>
                    </a:prstGeom>
                    <a:noFill/>
                    <a:ln>
                      <a:noFill/>
                    </a:ln>
                  </pic:spPr>
                </pic:pic>
              </a:graphicData>
            </a:graphic>
          </wp:inline>
        </w:drawing>
      </w:r>
    </w:p>
    <w:p w14:paraId="6718C08E"/>
    <w:p w14:paraId="3B9FF069">
      <w:pPr>
        <w:pStyle w:val="6"/>
      </w:pPr>
      <w:bookmarkStart w:id="4491" w:name="_Toc4513243"/>
      <w:r>
        <w:rPr>
          <w:rFonts w:hint="eastAsia"/>
        </w:rPr>
        <w:t>配置步骤</w:t>
      </w:r>
    </w:p>
    <w:p w14:paraId="01D6CA69">
      <w:pPr>
        <w:pStyle w:val="202"/>
      </w:pPr>
      <w:r>
        <w:rPr>
          <w:rFonts w:hint="eastAsia"/>
        </w:rPr>
        <w:t>配置地址对象</w:t>
      </w:r>
      <w:bookmarkEnd w:id="4491"/>
    </w:p>
    <w:p w14:paraId="281FBE97">
      <w:r>
        <w:rPr>
          <w:rFonts w:hint="eastAsia"/>
        </w:rPr>
        <w:t>通过菜单“策略配置 &gt; 对象管理</w:t>
      </w:r>
      <w:r>
        <w:t xml:space="preserve"> &gt; </w:t>
      </w:r>
      <w:r>
        <w:rPr>
          <w:rFonts w:hint="eastAsia"/>
        </w:rPr>
        <w:t>地址对象”，点击</w:t>
      </w:r>
      <w:r>
        <w:t>&lt;</w:t>
      </w:r>
      <w:r>
        <w:rPr>
          <w:rFonts w:hint="eastAsia"/>
        </w:rPr>
        <w:t>新建</w:t>
      </w:r>
      <w:r>
        <w:t>&gt;</w:t>
      </w:r>
      <w:r>
        <w:rPr>
          <w:rFonts w:hint="eastAsia"/>
        </w:rPr>
        <w:t>地址对象，配置“内网用户”地址对象和“无线</w:t>
      </w:r>
      <w:r>
        <w:t>wifi</w:t>
      </w:r>
      <w:r>
        <w:rPr>
          <w:rFonts w:hint="eastAsia"/>
        </w:rPr>
        <w:t>”地址对象。如</w:t>
      </w:r>
      <w:r>
        <w:fldChar w:fldCharType="begin"/>
      </w:r>
      <w:r>
        <w:instrText xml:space="preserve"> </w:instrText>
      </w:r>
      <w:r>
        <w:rPr>
          <w:rFonts w:hint="eastAsia"/>
        </w:rPr>
        <w:instrText xml:space="preserve">REF _Ref5628043 \r \h</w:instrText>
      </w:r>
      <w:r>
        <w:instrText xml:space="preserve"> </w:instrText>
      </w:r>
      <w:r>
        <w:fldChar w:fldCharType="separate"/>
      </w:r>
      <w:r>
        <w:rPr>
          <w:rFonts w:hint="eastAsia"/>
        </w:rPr>
        <w:t>图14-46</w:t>
      </w:r>
      <w:r>
        <w:fldChar w:fldCharType="end"/>
      </w:r>
      <w:r>
        <w:rPr>
          <w:rFonts w:hint="eastAsia"/>
        </w:rPr>
        <w:t>、</w:t>
      </w:r>
      <w:r>
        <w:fldChar w:fldCharType="begin"/>
      </w:r>
      <w:r>
        <w:instrText xml:space="preserve"> </w:instrText>
      </w:r>
      <w:r>
        <w:rPr>
          <w:rFonts w:hint="eastAsia"/>
        </w:rPr>
        <w:instrText xml:space="preserve">REF _Ref5628047 \r \h</w:instrText>
      </w:r>
      <w:r>
        <w:instrText xml:space="preserve"> </w:instrText>
      </w:r>
      <w:r>
        <w:fldChar w:fldCharType="separate"/>
      </w:r>
      <w:r>
        <w:rPr>
          <w:rFonts w:hint="eastAsia"/>
        </w:rPr>
        <w:t>图14-47</w:t>
      </w:r>
      <w:r>
        <w:fldChar w:fldCharType="end"/>
      </w:r>
      <w:r>
        <w:rPr>
          <w:rFonts w:hint="eastAsia"/>
        </w:rPr>
        <w:t>所示。</w:t>
      </w:r>
    </w:p>
    <w:p w14:paraId="64DF7348">
      <w:pPr>
        <w:pStyle w:val="188"/>
      </w:pPr>
      <w:bookmarkStart w:id="4492" w:name="_Ref403239816"/>
      <w:bookmarkStart w:id="4493" w:name="_Toc141875059"/>
      <w:bookmarkStart w:id="4494" w:name="_Ref5628043"/>
      <w:r>
        <w:rPr>
          <w:rFonts w:hint="eastAsia"/>
        </w:rPr>
        <w:t>添加</w:t>
      </w:r>
      <w:bookmarkEnd w:id="4492"/>
      <w:r>
        <w:rPr>
          <w:rFonts w:hint="eastAsia"/>
        </w:rPr>
        <w:t>内网用户地址对象</w:t>
      </w:r>
      <w:bookmarkEnd w:id="4493"/>
      <w:bookmarkEnd w:id="4494"/>
    </w:p>
    <w:p w14:paraId="6B568C7C">
      <w:r>
        <w:drawing>
          <wp:inline distT="0" distB="0" distL="0" distR="0">
            <wp:extent cx="4543425" cy="3169920"/>
            <wp:effectExtent l="0" t="0" r="0" b="0"/>
            <wp:docPr id="755"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图片 292"/>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a:xfrm>
                      <a:off x="0" y="0"/>
                      <a:ext cx="4551556" cy="3176163"/>
                    </a:xfrm>
                    <a:prstGeom prst="rect">
                      <a:avLst/>
                    </a:prstGeom>
                    <a:noFill/>
                    <a:ln>
                      <a:noFill/>
                    </a:ln>
                  </pic:spPr>
                </pic:pic>
              </a:graphicData>
            </a:graphic>
          </wp:inline>
        </w:drawing>
      </w:r>
    </w:p>
    <w:p w14:paraId="7258707F"/>
    <w:p w14:paraId="45E0B74A">
      <w:pPr>
        <w:pStyle w:val="188"/>
      </w:pPr>
      <w:bookmarkStart w:id="4495" w:name="_Ref5628047"/>
      <w:bookmarkStart w:id="4496" w:name="_Toc141875060"/>
      <w:r>
        <w:rPr>
          <w:rFonts w:hint="eastAsia"/>
        </w:rPr>
        <w:t>添加无线WIFI地址对象</w:t>
      </w:r>
      <w:bookmarkEnd w:id="4495"/>
      <w:bookmarkEnd w:id="4496"/>
    </w:p>
    <w:p w14:paraId="58E47529">
      <w:r>
        <w:drawing>
          <wp:inline distT="0" distB="0" distL="0" distR="0">
            <wp:extent cx="4733925" cy="3437255"/>
            <wp:effectExtent l="0" t="0" r="0" b="0"/>
            <wp:docPr id="442"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293"/>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a:xfrm>
                      <a:off x="0" y="0"/>
                      <a:ext cx="4735955" cy="3439193"/>
                    </a:xfrm>
                    <a:prstGeom prst="rect">
                      <a:avLst/>
                    </a:prstGeom>
                    <a:noFill/>
                    <a:ln>
                      <a:noFill/>
                    </a:ln>
                  </pic:spPr>
                </pic:pic>
              </a:graphicData>
            </a:graphic>
          </wp:inline>
        </w:drawing>
      </w:r>
    </w:p>
    <w:p w14:paraId="4F6F9995"/>
    <w:p w14:paraId="0763D45B">
      <w:pPr>
        <w:pStyle w:val="202"/>
      </w:pPr>
      <w:bookmarkStart w:id="4497" w:name="_Toc4513244"/>
      <w:r>
        <w:rPr>
          <w:rFonts w:hint="eastAsia"/>
        </w:rPr>
        <w:t>配置关键字对象</w:t>
      </w:r>
      <w:bookmarkEnd w:id="4497"/>
    </w:p>
    <w:p w14:paraId="1BD657C4">
      <w:r>
        <w:rPr>
          <w:rFonts w:hint="eastAsia"/>
        </w:rPr>
        <w:t>通过菜单“策略配置&gt;对象管理</w:t>
      </w:r>
      <w:r>
        <w:t xml:space="preserve"> &gt; </w:t>
      </w:r>
      <w:r>
        <w:rPr>
          <w:rFonts w:hint="eastAsia"/>
        </w:rPr>
        <w:t>关键字对象”，点击</w:t>
      </w:r>
      <w:r>
        <w:t>&lt;</w:t>
      </w:r>
      <w:r>
        <w:rPr>
          <w:rFonts w:hint="eastAsia"/>
        </w:rPr>
        <w:t>新建</w:t>
      </w:r>
      <w:r>
        <w:t>&gt;</w:t>
      </w:r>
      <w:r>
        <w:rPr>
          <w:rFonts w:hint="eastAsia"/>
        </w:rPr>
        <w:t>关键字对象，配置“QQ白名单”关键字对象和“QQ黑名单”关键字对象，如</w:t>
      </w:r>
      <w:r>
        <w:fldChar w:fldCharType="begin"/>
      </w:r>
      <w:r>
        <w:instrText xml:space="preserve"> </w:instrText>
      </w:r>
      <w:r>
        <w:rPr>
          <w:rFonts w:hint="eastAsia"/>
        </w:rPr>
        <w:instrText xml:space="preserve">REF _Ref5298189 \r \h</w:instrText>
      </w:r>
      <w:r>
        <w:instrText xml:space="preserve"> </w:instrText>
      </w:r>
      <w:r>
        <w:fldChar w:fldCharType="separate"/>
      </w:r>
      <w:r>
        <w:rPr>
          <w:rFonts w:hint="eastAsia"/>
        </w:rPr>
        <w:t>图14-48</w:t>
      </w:r>
      <w:r>
        <w:fldChar w:fldCharType="end"/>
      </w:r>
      <w:r>
        <w:rPr>
          <w:rFonts w:hint="eastAsia"/>
        </w:rPr>
        <w:t>、</w:t>
      </w:r>
      <w:r>
        <w:fldChar w:fldCharType="begin"/>
      </w:r>
      <w:r>
        <w:instrText xml:space="preserve"> </w:instrText>
      </w:r>
      <w:r>
        <w:rPr>
          <w:rFonts w:hint="eastAsia"/>
        </w:rPr>
        <w:instrText xml:space="preserve">REF _Ref5298195 \r \h</w:instrText>
      </w:r>
      <w:r>
        <w:instrText xml:space="preserve"> </w:instrText>
      </w:r>
      <w:r>
        <w:fldChar w:fldCharType="separate"/>
      </w:r>
      <w:r>
        <w:rPr>
          <w:rFonts w:hint="eastAsia"/>
        </w:rPr>
        <w:t>图14-49</w:t>
      </w:r>
      <w:r>
        <w:fldChar w:fldCharType="end"/>
      </w:r>
      <w:r>
        <w:t>所示</w:t>
      </w:r>
      <w:r>
        <w:rPr>
          <w:rFonts w:hint="eastAsia"/>
        </w:rPr>
        <w:t>。</w:t>
      </w:r>
    </w:p>
    <w:p w14:paraId="08F1B03B">
      <w:pPr>
        <w:pStyle w:val="188"/>
      </w:pPr>
      <w:bookmarkStart w:id="4498" w:name="_Toc141875061"/>
      <w:bookmarkStart w:id="4499" w:name="_Ref5298189"/>
      <w:r>
        <w:rPr>
          <w:rFonts w:hint="eastAsia"/>
        </w:rPr>
        <w:t>添加QQ白名单对象</w:t>
      </w:r>
      <w:bookmarkEnd w:id="4498"/>
      <w:bookmarkEnd w:id="4499"/>
    </w:p>
    <w:p w14:paraId="3B02797C">
      <w:pPr>
        <w:rPr>
          <w:rFonts w:eastAsia="黑体" w:cs="Arial Narrow"/>
        </w:rPr>
      </w:pPr>
      <w:r>
        <w:drawing>
          <wp:inline distT="0" distB="0" distL="0" distR="0">
            <wp:extent cx="5400040" cy="2653030"/>
            <wp:effectExtent l="0" t="0" r="0" b="0"/>
            <wp:docPr id="443"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294"/>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a:xfrm>
                      <a:off x="0" y="0"/>
                      <a:ext cx="5400040" cy="2653516"/>
                    </a:xfrm>
                    <a:prstGeom prst="rect">
                      <a:avLst/>
                    </a:prstGeom>
                    <a:noFill/>
                    <a:ln>
                      <a:noFill/>
                    </a:ln>
                  </pic:spPr>
                </pic:pic>
              </a:graphicData>
            </a:graphic>
          </wp:inline>
        </w:drawing>
      </w:r>
    </w:p>
    <w:p w14:paraId="68FB70C5"/>
    <w:p w14:paraId="112236E5">
      <w:pPr>
        <w:pStyle w:val="188"/>
      </w:pPr>
      <w:bookmarkStart w:id="4500" w:name="_Ref5298195"/>
      <w:bookmarkStart w:id="4501" w:name="_Toc141875062"/>
      <w:r>
        <w:rPr>
          <w:rFonts w:hint="eastAsia"/>
        </w:rPr>
        <w:t>添加QQ黑名单对象</w:t>
      </w:r>
      <w:bookmarkEnd w:id="4500"/>
      <w:bookmarkEnd w:id="4501"/>
    </w:p>
    <w:p w14:paraId="68A0B64C">
      <w:pPr>
        <w:rPr>
          <w:rFonts w:eastAsia="黑体" w:cs="Arial Narrow"/>
        </w:rPr>
      </w:pPr>
      <w:r>
        <w:drawing>
          <wp:inline distT="0" distB="0" distL="0" distR="0">
            <wp:extent cx="5400040" cy="2674620"/>
            <wp:effectExtent l="0" t="0" r="0" b="0"/>
            <wp:docPr id="447" name="图片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2255"/>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a:xfrm>
                      <a:off x="0" y="0"/>
                      <a:ext cx="5400040" cy="2674786"/>
                    </a:xfrm>
                    <a:prstGeom prst="rect">
                      <a:avLst/>
                    </a:prstGeom>
                    <a:noFill/>
                    <a:ln>
                      <a:noFill/>
                    </a:ln>
                  </pic:spPr>
                </pic:pic>
              </a:graphicData>
            </a:graphic>
          </wp:inline>
        </w:drawing>
      </w:r>
    </w:p>
    <w:p w14:paraId="787E69E8"/>
    <w:p w14:paraId="24B1E37E">
      <w:pPr>
        <w:pStyle w:val="202"/>
        <w:rPr>
          <w:lang w:eastAsia="zh-CN"/>
        </w:rPr>
      </w:pPr>
      <w:bookmarkStart w:id="4502" w:name="_Toc4513245"/>
      <w:r>
        <w:rPr>
          <w:rFonts w:hint="eastAsia"/>
          <w:lang w:eastAsia="zh-CN"/>
        </w:rPr>
        <w:t>配置</w:t>
      </w:r>
      <w:r>
        <w:rPr>
          <w:lang w:eastAsia="zh-CN"/>
        </w:rPr>
        <w:t>控制策略</w:t>
      </w:r>
      <w:bookmarkEnd w:id="4502"/>
      <w:r>
        <w:rPr>
          <w:rFonts w:hint="eastAsia"/>
          <w:lang w:eastAsia="zh-CN"/>
        </w:rPr>
        <w:t>，虚拟账户配置白名单。</w:t>
      </w:r>
    </w:p>
    <w:p w14:paraId="57711623">
      <w:r>
        <w:rPr>
          <w:rFonts w:hint="eastAsia"/>
        </w:rPr>
        <w:t>通过菜单“策略配置&gt;控制策略”，点击</w:t>
      </w:r>
      <w:r>
        <w:t>&lt;</w:t>
      </w:r>
      <w:r>
        <w:rPr>
          <w:rFonts w:hint="eastAsia"/>
        </w:rPr>
        <w:t>新建</w:t>
      </w:r>
      <w:r>
        <w:t>&gt;</w:t>
      </w:r>
      <w:r>
        <w:rPr>
          <w:rFonts w:hint="eastAsia"/>
        </w:rPr>
        <w:t>进入</w:t>
      </w:r>
      <w:r>
        <w:t>控制策略</w:t>
      </w:r>
      <w:r>
        <w:rPr>
          <w:rFonts w:hint="eastAsia"/>
        </w:rPr>
        <w:t>配置页面，源地址对象选择“内网用户”，虚拟账户启用白名单，如</w:t>
      </w:r>
      <w:r>
        <w:fldChar w:fldCharType="begin"/>
      </w:r>
      <w:r>
        <w:instrText xml:space="preserve"> </w:instrText>
      </w:r>
      <w:r>
        <w:rPr>
          <w:rFonts w:hint="eastAsia"/>
        </w:rPr>
        <w:instrText xml:space="preserve">REF _Ref5298951 \r \h</w:instrText>
      </w:r>
      <w:r>
        <w:instrText xml:space="preserve"> </w:instrText>
      </w:r>
      <w:r>
        <w:fldChar w:fldCharType="separate"/>
      </w:r>
      <w:r>
        <w:rPr>
          <w:rFonts w:hint="eastAsia"/>
        </w:rPr>
        <w:t>图14-50</w:t>
      </w:r>
      <w:r>
        <w:fldChar w:fldCharType="end"/>
      </w:r>
      <w:r>
        <w:rPr>
          <w:rFonts w:hint="eastAsia"/>
        </w:rPr>
        <w:t>、</w:t>
      </w:r>
      <w:r>
        <w:fldChar w:fldCharType="begin"/>
      </w:r>
      <w:r>
        <w:instrText xml:space="preserve"> </w:instrText>
      </w:r>
      <w:r>
        <w:rPr>
          <w:rFonts w:hint="eastAsia"/>
        </w:rPr>
        <w:instrText xml:space="preserve">REF _Ref5298956 \r \h</w:instrText>
      </w:r>
      <w:r>
        <w:instrText xml:space="preserve"> </w:instrText>
      </w:r>
      <w:r>
        <w:fldChar w:fldCharType="separate"/>
      </w:r>
      <w:r>
        <w:rPr>
          <w:rFonts w:hint="eastAsia"/>
        </w:rPr>
        <w:t>图14-51</w:t>
      </w:r>
      <w:r>
        <w:fldChar w:fldCharType="end"/>
      </w:r>
      <w:r>
        <w:rPr>
          <w:rFonts w:hint="eastAsia"/>
        </w:rPr>
        <w:t>所示。</w:t>
      </w:r>
    </w:p>
    <w:p w14:paraId="286B33DA">
      <w:pPr>
        <w:pStyle w:val="188"/>
      </w:pPr>
      <w:bookmarkStart w:id="4503" w:name="_Ref5298951"/>
      <w:bookmarkStart w:id="4504" w:name="_Toc141875063"/>
      <w:r>
        <w:t>控制策略</w:t>
      </w:r>
      <w:r>
        <w:rPr>
          <w:rFonts w:hint="eastAsia"/>
        </w:rPr>
        <w:t>配置</w:t>
      </w:r>
      <w:bookmarkEnd w:id="4503"/>
      <w:r>
        <w:rPr>
          <w:rFonts w:hint="eastAsia"/>
        </w:rPr>
        <w:t>内网用户源地址</w:t>
      </w:r>
      <w:bookmarkEnd w:id="4504"/>
      <w:r>
        <w:t xml:space="preserve"> </w:t>
      </w:r>
    </w:p>
    <w:p w14:paraId="33B104B1">
      <w:pPr>
        <w:spacing w:before="78" w:after="78"/>
      </w:pPr>
      <w:r>
        <w:drawing>
          <wp:inline distT="0" distB="0" distL="0" distR="0">
            <wp:extent cx="4914900" cy="2774315"/>
            <wp:effectExtent l="0" t="0" r="0" b="6985"/>
            <wp:docPr id="4930" name="图片 4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0" name="图片 4930"/>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a:xfrm>
                      <a:off x="0" y="0"/>
                      <a:ext cx="4920059" cy="2777551"/>
                    </a:xfrm>
                    <a:prstGeom prst="rect">
                      <a:avLst/>
                    </a:prstGeom>
                    <a:noFill/>
                    <a:ln>
                      <a:noFill/>
                    </a:ln>
                  </pic:spPr>
                </pic:pic>
              </a:graphicData>
            </a:graphic>
          </wp:inline>
        </w:drawing>
      </w:r>
    </w:p>
    <w:p w14:paraId="290DD39E"/>
    <w:p w14:paraId="127C1BA9">
      <w:pPr>
        <w:pStyle w:val="188"/>
      </w:pPr>
      <w:bookmarkStart w:id="4505" w:name="_Ref5298956"/>
      <w:bookmarkStart w:id="4506" w:name="_Toc141875064"/>
      <w:r>
        <w:t>控制策略</w:t>
      </w:r>
      <w:r>
        <w:rPr>
          <w:rFonts w:hint="eastAsia"/>
        </w:rPr>
        <w:t>配置虚拟账户白名单控制</w:t>
      </w:r>
      <w:bookmarkEnd w:id="4505"/>
      <w:bookmarkEnd w:id="4506"/>
    </w:p>
    <w:p w14:paraId="3E3DCBE8">
      <w:pPr>
        <w:spacing w:before="78" w:after="78"/>
        <w:rPr>
          <w:rFonts w:eastAsia="黑体" w:cs="Arial Narrow"/>
        </w:rPr>
      </w:pPr>
      <w:r>
        <w:drawing>
          <wp:inline distT="0" distB="0" distL="0" distR="0">
            <wp:extent cx="4970780" cy="1889125"/>
            <wp:effectExtent l="0" t="0" r="1270" b="0"/>
            <wp:docPr id="4934"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4" name="图片 66"/>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a:xfrm>
                      <a:off x="0" y="0"/>
                      <a:ext cx="4977531" cy="1891772"/>
                    </a:xfrm>
                    <a:prstGeom prst="rect">
                      <a:avLst/>
                    </a:prstGeom>
                    <a:noFill/>
                    <a:ln>
                      <a:noFill/>
                    </a:ln>
                  </pic:spPr>
                </pic:pic>
              </a:graphicData>
            </a:graphic>
          </wp:inline>
        </w:drawing>
      </w:r>
    </w:p>
    <w:p w14:paraId="63C44EE2"/>
    <w:p w14:paraId="7D131881">
      <w:pPr>
        <w:pStyle w:val="202"/>
        <w:rPr>
          <w:lang w:eastAsia="zh-CN"/>
        </w:rPr>
      </w:pPr>
      <w:r>
        <w:rPr>
          <w:rFonts w:hint="eastAsia"/>
          <w:lang w:eastAsia="zh-CN"/>
        </w:rPr>
        <w:t>配置</w:t>
      </w:r>
      <w:r>
        <w:rPr>
          <w:lang w:eastAsia="zh-CN"/>
        </w:rPr>
        <w:t>控制策略</w:t>
      </w:r>
      <w:r>
        <w:rPr>
          <w:rFonts w:hint="eastAsia"/>
          <w:lang w:eastAsia="zh-CN"/>
        </w:rPr>
        <w:t>，虚拟账户配置黑名单。</w:t>
      </w:r>
    </w:p>
    <w:p w14:paraId="609FF5FC">
      <w:bookmarkStart w:id="4507" w:name="_Hlk4054208"/>
      <w:r>
        <w:rPr>
          <w:rFonts w:hint="eastAsia"/>
        </w:rPr>
        <w:t>通过菜单“策略配置&gt;控制策略”，点击</w:t>
      </w:r>
      <w:r>
        <w:t>&lt;</w:t>
      </w:r>
      <w:r>
        <w:rPr>
          <w:rFonts w:hint="eastAsia"/>
        </w:rPr>
        <w:t>新建</w:t>
      </w:r>
      <w:r>
        <w:t>&gt;</w:t>
      </w:r>
      <w:r>
        <w:rPr>
          <w:rFonts w:hint="eastAsia"/>
        </w:rPr>
        <w:t>进入</w:t>
      </w:r>
      <w:r>
        <w:t>控制策略</w:t>
      </w:r>
      <w:r>
        <w:rPr>
          <w:rFonts w:hint="eastAsia"/>
        </w:rPr>
        <w:t>配置页面，源地址对象选择 “无线wifi”，虚拟账户启用黑名单，如</w:t>
      </w:r>
      <w:r>
        <w:fldChar w:fldCharType="begin"/>
      </w:r>
      <w:r>
        <w:instrText xml:space="preserve"> </w:instrText>
      </w:r>
      <w:r>
        <w:rPr>
          <w:rFonts w:hint="eastAsia"/>
        </w:rPr>
        <w:instrText xml:space="preserve">REF _Ref5299122 \r \h</w:instrText>
      </w:r>
      <w:r>
        <w:instrText xml:space="preserve"> </w:instrText>
      </w:r>
      <w:r>
        <w:fldChar w:fldCharType="separate"/>
      </w:r>
      <w:r>
        <w:rPr>
          <w:rFonts w:hint="eastAsia"/>
        </w:rPr>
        <w:t>图14-52</w:t>
      </w:r>
      <w:r>
        <w:fldChar w:fldCharType="end"/>
      </w:r>
      <w:r>
        <w:t>、</w:t>
      </w:r>
      <w:r>
        <w:fldChar w:fldCharType="begin"/>
      </w:r>
      <w:r>
        <w:instrText xml:space="preserve"> </w:instrText>
      </w:r>
      <w:r>
        <w:rPr>
          <w:rFonts w:hint="eastAsia"/>
        </w:rPr>
        <w:instrText xml:space="preserve">REF _Ref5299127 \r \h</w:instrText>
      </w:r>
      <w:r>
        <w:instrText xml:space="preserve"> </w:instrText>
      </w:r>
      <w:r>
        <w:fldChar w:fldCharType="separate"/>
      </w:r>
      <w:r>
        <w:rPr>
          <w:rFonts w:hint="eastAsia"/>
        </w:rPr>
        <w:t>图14-53</w:t>
      </w:r>
      <w:r>
        <w:fldChar w:fldCharType="end"/>
      </w:r>
      <w:r>
        <w:rPr>
          <w:rFonts w:hint="eastAsia"/>
        </w:rPr>
        <w:t>所示。</w:t>
      </w:r>
    </w:p>
    <w:p w14:paraId="73ACBEC1">
      <w:pPr>
        <w:pStyle w:val="188"/>
      </w:pPr>
      <w:bookmarkStart w:id="4508" w:name="_Ref5299122"/>
      <w:bookmarkStart w:id="4509" w:name="_Toc141875065"/>
      <w:r>
        <w:t>控制策略</w:t>
      </w:r>
      <w:r>
        <w:rPr>
          <w:rFonts w:hint="eastAsia"/>
        </w:rPr>
        <w:t>配置无线wifi源地址</w:t>
      </w:r>
      <w:bookmarkEnd w:id="4508"/>
      <w:bookmarkEnd w:id="4509"/>
    </w:p>
    <w:p w14:paraId="451ED5C5">
      <w:r>
        <w:drawing>
          <wp:inline distT="0" distB="0" distL="0" distR="0">
            <wp:extent cx="5400040" cy="3108325"/>
            <wp:effectExtent l="0" t="0" r="0" b="0"/>
            <wp:docPr id="761" name="图片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图片 761"/>
                    <pic:cNvPicPr>
                      <a:picLocks noChangeAspect="1"/>
                    </pic:cNvPicPr>
                  </pic:nvPicPr>
                  <pic:blipFill>
                    <a:blip r:embed="rId620"/>
                    <a:stretch>
                      <a:fillRect/>
                    </a:stretch>
                  </pic:blipFill>
                  <pic:spPr>
                    <a:xfrm>
                      <a:off x="0" y="0"/>
                      <a:ext cx="5400040" cy="3108469"/>
                    </a:xfrm>
                    <a:prstGeom prst="rect">
                      <a:avLst/>
                    </a:prstGeom>
                  </pic:spPr>
                </pic:pic>
              </a:graphicData>
            </a:graphic>
          </wp:inline>
        </w:drawing>
      </w:r>
    </w:p>
    <w:p w14:paraId="4AFBB085"/>
    <w:bookmarkEnd w:id="4507"/>
    <w:p w14:paraId="34AFC2DF">
      <w:pPr>
        <w:pStyle w:val="188"/>
      </w:pPr>
      <w:bookmarkStart w:id="4510" w:name="_Ref5299127"/>
      <w:bookmarkStart w:id="4511" w:name="_Toc141875066"/>
      <w:r>
        <w:t>控制策略</w:t>
      </w:r>
      <w:r>
        <w:rPr>
          <w:rFonts w:hint="eastAsia"/>
        </w:rPr>
        <w:t>配置虚拟账户黑名单控制</w:t>
      </w:r>
      <w:bookmarkEnd w:id="4510"/>
      <w:bookmarkEnd w:id="4511"/>
    </w:p>
    <w:p w14:paraId="55D3B5B5">
      <w:r>
        <w:drawing>
          <wp:inline distT="0" distB="0" distL="0" distR="0">
            <wp:extent cx="5400040" cy="2077085"/>
            <wp:effectExtent l="0" t="0" r="0" b="0"/>
            <wp:docPr id="762"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图片 68"/>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a:xfrm>
                      <a:off x="0" y="0"/>
                      <a:ext cx="5400040" cy="2077585"/>
                    </a:xfrm>
                    <a:prstGeom prst="rect">
                      <a:avLst/>
                    </a:prstGeom>
                    <a:noFill/>
                    <a:ln>
                      <a:noFill/>
                    </a:ln>
                  </pic:spPr>
                </pic:pic>
              </a:graphicData>
            </a:graphic>
          </wp:inline>
        </w:drawing>
      </w:r>
      <w:r>
        <w:t xml:space="preserve"> </w:t>
      </w:r>
    </w:p>
    <w:p w14:paraId="35EED2A5">
      <w:pPr>
        <w:pStyle w:val="6"/>
      </w:pPr>
      <w:bookmarkStart w:id="4512" w:name="_Toc4513246"/>
      <w:r>
        <w:rPr>
          <w:rFonts w:hint="eastAsia"/>
        </w:rPr>
        <w:t>验证结果</w:t>
      </w:r>
      <w:bookmarkEnd w:id="4512"/>
    </w:p>
    <w:p w14:paraId="2613E161">
      <w:pPr>
        <w:pStyle w:val="202"/>
        <w:rPr>
          <w:lang w:eastAsia="zh-CN"/>
        </w:rPr>
      </w:pPr>
      <w:r>
        <w:rPr>
          <w:rFonts w:hint="eastAsia"/>
          <w:lang w:eastAsia="zh-CN"/>
        </w:rPr>
        <w:t>内网用户匹配白名单策略效果</w:t>
      </w:r>
    </w:p>
    <w:p w14:paraId="63BA0D1E">
      <w:r>
        <w:rPr>
          <w:rFonts w:hint="eastAsia"/>
        </w:rPr>
        <w:t>内网用户使用白名单关键字内的QQ账户可以登录，使用白名单以外的QQ账户，登录会被阻断。</w:t>
      </w:r>
    </w:p>
    <w:p w14:paraId="739631A7">
      <w:pPr>
        <w:pStyle w:val="202"/>
        <w:rPr>
          <w:lang w:eastAsia="zh-CN"/>
        </w:rPr>
      </w:pPr>
      <w:bookmarkStart w:id="4513" w:name="_Hlk4054407"/>
      <w:r>
        <w:rPr>
          <w:rFonts w:hint="eastAsia"/>
          <w:lang w:eastAsia="zh-CN"/>
        </w:rPr>
        <w:t>无线WIFI网段用户匹配黑名单策略效果</w:t>
      </w:r>
    </w:p>
    <w:bookmarkEnd w:id="4513"/>
    <w:p w14:paraId="63FBDA3D">
      <w:r>
        <w:rPr>
          <w:rFonts w:hint="eastAsia"/>
        </w:rPr>
        <w:t>无线WIFI网段用户使用黑名单以外的关键字登录qq，可以登录。使用黑名单关键字的账户登录QQ阻断。</w:t>
      </w:r>
    </w:p>
    <w:p w14:paraId="4FF038B1">
      <w:pPr>
        <w:pStyle w:val="4"/>
      </w:pPr>
      <w:bookmarkStart w:id="4514" w:name="_Toc141873657"/>
      <w:bookmarkStart w:id="4515" w:name="_Toc54081669"/>
      <w:bookmarkStart w:id="4516" w:name="_Toc61022443"/>
      <w:bookmarkStart w:id="4517" w:name="_Toc194080922"/>
      <w:bookmarkStart w:id="4518" w:name="_Toc196728254"/>
      <w:bookmarkStart w:id="4519" w:name="_Toc60068966"/>
      <w:bookmarkStart w:id="4520" w:name="_Toc172218436"/>
      <w:bookmarkStart w:id="4521" w:name="_Toc142401174"/>
      <w:bookmarkStart w:id="4522" w:name="_Toc99561794"/>
      <w:r>
        <w:t>文件类型过滤</w:t>
      </w:r>
      <w:bookmarkEnd w:id="4514"/>
      <w:bookmarkEnd w:id="4515"/>
      <w:bookmarkEnd w:id="4516"/>
      <w:bookmarkEnd w:id="4517"/>
      <w:bookmarkEnd w:id="4518"/>
      <w:bookmarkEnd w:id="4519"/>
      <w:bookmarkEnd w:id="4520"/>
      <w:bookmarkEnd w:id="4521"/>
      <w:bookmarkEnd w:id="4522"/>
    </w:p>
    <w:p w14:paraId="4DBBB2AB">
      <w:pPr>
        <w:pStyle w:val="5"/>
      </w:pPr>
      <w:bookmarkStart w:id="4523" w:name="_Toc194080923"/>
      <w:bookmarkStart w:id="4524" w:name="_Toc196728255"/>
      <w:bookmarkStart w:id="4525" w:name="_Toc61022444"/>
      <w:bookmarkStart w:id="4526" w:name="_Toc60068967"/>
      <w:bookmarkStart w:id="4527" w:name="_Toc99561795"/>
      <w:bookmarkStart w:id="4528" w:name="_Toc141873658"/>
      <w:bookmarkStart w:id="4529" w:name="_Toc142401175"/>
      <w:bookmarkStart w:id="4530" w:name="_Toc54081670"/>
      <w:bookmarkStart w:id="4531" w:name="_Toc172218437"/>
      <w:r>
        <w:t>文件类型过滤简介</w:t>
      </w:r>
      <w:bookmarkEnd w:id="4523"/>
      <w:bookmarkEnd w:id="4524"/>
      <w:bookmarkEnd w:id="4525"/>
      <w:bookmarkEnd w:id="4526"/>
      <w:bookmarkEnd w:id="4527"/>
      <w:bookmarkEnd w:id="4528"/>
      <w:bookmarkEnd w:id="4529"/>
      <w:bookmarkEnd w:id="4530"/>
      <w:bookmarkEnd w:id="4531"/>
    </w:p>
    <w:p w14:paraId="34C23831">
      <w:r>
        <w:rPr>
          <w:rFonts w:hint="eastAsia"/>
        </w:rPr>
        <w:t>利用网络来进行文件传输是许多用户的重要途径之一，而在文件传输过程中存在种种管理和安全隐患，如用户有意泄密者甚至会将外发文件的后缀名修改，然后通过HTTP、FTP协议进行外发则会产生文件的泄漏等安全风险。</w:t>
      </w:r>
    </w:p>
    <w:p w14:paraId="19F28320">
      <w:r>
        <w:rPr>
          <w:rFonts w:hint="eastAsia"/>
        </w:rPr>
        <w:t>支持基于文件类型的过滤行为，封堵HTTP、FTP协议传输文件。基于特征能够识别真实的文件类型，即便存在修改、删除外发文件后缀名，也能发现并且告警，保护组织的信息资产安全。</w:t>
      </w:r>
    </w:p>
    <w:p w14:paraId="079D1581">
      <w:pPr>
        <w:pStyle w:val="5"/>
      </w:pPr>
      <w:bookmarkStart w:id="4532" w:name="_Toc194080924"/>
      <w:bookmarkStart w:id="4533" w:name="_Toc61022445"/>
      <w:bookmarkStart w:id="4534" w:name="_Toc142401176"/>
      <w:bookmarkStart w:id="4535" w:name="_Toc196728256"/>
      <w:bookmarkStart w:id="4536" w:name="_Toc60068968"/>
      <w:bookmarkStart w:id="4537" w:name="_Toc99561796"/>
      <w:bookmarkStart w:id="4538" w:name="_Toc141873659"/>
      <w:bookmarkStart w:id="4539" w:name="_Toc54081671"/>
      <w:bookmarkStart w:id="4540" w:name="_Toc172218438"/>
      <w:r>
        <w:rPr>
          <w:rFonts w:hint="eastAsia"/>
        </w:rPr>
        <w:t>文件类型过滤使用限制</w:t>
      </w:r>
      <w:bookmarkEnd w:id="4532"/>
      <w:bookmarkEnd w:id="4533"/>
      <w:bookmarkEnd w:id="4534"/>
      <w:bookmarkEnd w:id="4535"/>
      <w:bookmarkEnd w:id="4536"/>
      <w:bookmarkEnd w:id="4537"/>
      <w:bookmarkEnd w:id="4538"/>
      <w:bookmarkEnd w:id="4539"/>
      <w:bookmarkEnd w:id="4540"/>
    </w:p>
    <w:p w14:paraId="304EB627">
      <w:pPr>
        <w:pStyle w:val="162"/>
      </w:pPr>
      <w:r>
        <w:rPr>
          <w:rFonts w:hint="eastAsia"/>
        </w:rPr>
        <w:t>文件后缀超过15个字符时，日志记录会截断前15个字符；</w:t>
      </w:r>
    </w:p>
    <w:p w14:paraId="56AECA29">
      <w:pPr>
        <w:pStyle w:val="162"/>
      </w:pPr>
      <w:r>
        <w:rPr>
          <w:rFonts w:hint="eastAsia"/>
        </w:rPr>
        <w:t>阻断FTP时，本地会创建临时的文件；</w:t>
      </w:r>
    </w:p>
    <w:p w14:paraId="0A8E787D">
      <w:pPr>
        <w:pStyle w:val="162"/>
      </w:pPr>
      <w:r>
        <w:rPr>
          <w:rFonts w:hint="eastAsia"/>
        </w:rPr>
        <w:t>升级特征库，预定义文件类型需要手动点击重置才可以更新；</w:t>
      </w:r>
    </w:p>
    <w:p w14:paraId="16B114FA">
      <w:pPr>
        <w:pStyle w:val="162"/>
      </w:pPr>
      <w:r>
        <w:rPr>
          <w:rFonts w:hint="eastAsia"/>
        </w:rPr>
        <w:t>真实文件类型识别中：jpg和jpeg无法区分；</w:t>
      </w:r>
    </w:p>
    <w:p w14:paraId="227E6BD3">
      <w:pPr>
        <w:pStyle w:val="162"/>
      </w:pPr>
      <w:r>
        <w:rPr>
          <w:rFonts w:hint="eastAsia"/>
        </w:rPr>
        <w:t>开启真实文件类型过滤后，如果识别到真实文件类型为png，但配置为jpg阻断，文件名称后缀为.jpg，不会实现阻断，开启真实文件类型识别后优先进行真实文件判断；</w:t>
      </w:r>
    </w:p>
    <w:p w14:paraId="66FB4F8C">
      <w:pPr>
        <w:pStyle w:val="162"/>
      </w:pPr>
      <w:r>
        <w:rPr>
          <w:rFonts w:hint="eastAsia"/>
        </w:rPr>
        <w:t>默认真实文件类型识别为关闭状态；</w:t>
      </w:r>
    </w:p>
    <w:p w14:paraId="52279C27">
      <w:pPr>
        <w:pStyle w:val="162"/>
      </w:pPr>
      <w:r>
        <w:rPr>
          <w:rFonts w:hint="eastAsia"/>
        </w:rPr>
        <w:t>解密后真实文件类型应用支持： 163邮箱（上传/下载）、QQ邮箱下载、126邮箱（上传/下载）、百度网盘下载、360云盘非真实文件类型上传和真实文件类型下载；</w:t>
      </w:r>
    </w:p>
    <w:p w14:paraId="549E6C64">
      <w:pPr>
        <w:pStyle w:val="162"/>
      </w:pPr>
      <w:r>
        <w:rPr>
          <w:rFonts w:hint="eastAsia"/>
        </w:rPr>
        <w:t>真实文件识别支持类型包括：avi、mp4、mp3、chm、jpg、jpeg、gif、bmp、tiff、png、dcm、heic、ico、jxr、psd、 zip、rar、gz、7z、docx、pptx、xlsx、pdf、rtf、mkv、dwg、dll。</w:t>
      </w:r>
    </w:p>
    <w:p w14:paraId="5CB12B91">
      <w:pPr>
        <w:pStyle w:val="162"/>
      </w:pPr>
      <w:r>
        <w:t>文件类型对象匹配不区分大小写</w:t>
      </w:r>
      <w:r>
        <w:rPr>
          <w:rFonts w:hint="eastAsia"/>
        </w:rPr>
        <w:t>，配置Z</w:t>
      </w:r>
      <w:r>
        <w:t>IP与配置zip阻断效果一样</w:t>
      </w:r>
      <w:r>
        <w:rPr>
          <w:rFonts w:hint="eastAsia"/>
        </w:rPr>
        <w:t>。</w:t>
      </w:r>
    </w:p>
    <w:p w14:paraId="13E14174">
      <w:pPr>
        <w:pStyle w:val="162"/>
      </w:pPr>
      <w:r>
        <w:rPr>
          <w:rFonts w:hint="eastAsia"/>
        </w:rPr>
        <w:t>如果使用的FTP连接端口为非标准端口，需要在设备中配置FTP非标准端口，配置后就可以正常控制了，HTTP均是正常可以控制的。</w:t>
      </w:r>
    </w:p>
    <w:p w14:paraId="4398C892">
      <w:pPr>
        <w:pStyle w:val="5"/>
      </w:pPr>
      <w:bookmarkStart w:id="4541" w:name="_Toc194080925"/>
      <w:bookmarkStart w:id="4542" w:name="_Toc60068969"/>
      <w:bookmarkStart w:id="4543" w:name="_Toc172218439"/>
      <w:bookmarkStart w:id="4544" w:name="_Toc61022446"/>
      <w:bookmarkStart w:id="4545" w:name="_Toc141873660"/>
      <w:bookmarkStart w:id="4546" w:name="_Toc99561797"/>
      <w:bookmarkStart w:id="4547" w:name="_Toc196728257"/>
      <w:bookmarkStart w:id="4548" w:name="_Toc54081672"/>
      <w:bookmarkStart w:id="4549" w:name="_Toc142401177"/>
      <w:r>
        <w:t>文件类型过滤页面</w:t>
      </w:r>
      <w:bookmarkEnd w:id="4541"/>
      <w:bookmarkEnd w:id="4542"/>
      <w:bookmarkEnd w:id="4543"/>
      <w:bookmarkEnd w:id="4544"/>
      <w:bookmarkEnd w:id="4545"/>
      <w:bookmarkEnd w:id="4546"/>
      <w:bookmarkEnd w:id="4547"/>
      <w:bookmarkEnd w:id="4548"/>
      <w:bookmarkEnd w:id="4549"/>
    </w:p>
    <w:p w14:paraId="5753632D">
      <w:r>
        <w:rPr>
          <w:rFonts w:hint="eastAsia"/>
        </w:rPr>
        <w:t>在导航栏中选择“策略配置</w:t>
      </w:r>
      <w:r>
        <w:t xml:space="preserve"> &gt; </w:t>
      </w:r>
      <w:r>
        <w:rPr>
          <w:rFonts w:hint="eastAsia"/>
        </w:rPr>
        <w:t>控制策略”，单击</w:t>
      </w:r>
      <w:r>
        <w:t>&lt;</w:t>
      </w:r>
      <w:r>
        <w:rPr>
          <w:rFonts w:hint="eastAsia"/>
        </w:rPr>
        <w:t>新建</w:t>
      </w:r>
      <w:r>
        <w:t>&gt;</w:t>
      </w:r>
      <w:r>
        <w:rPr>
          <w:rFonts w:hint="eastAsia"/>
        </w:rPr>
        <w:t>，选择“应用过滤</w:t>
      </w:r>
      <w:r>
        <w:t>&gt;</w:t>
      </w:r>
      <w:r>
        <w:rPr>
          <w:rFonts w:hint="eastAsia"/>
        </w:rPr>
        <w:t>文件类型过滤”标签页，进入文件类型过滤页面。在该页面上，点击&lt;新建&gt;进入文件类型过滤配置界面，如下图所示。</w:t>
      </w:r>
    </w:p>
    <w:p w14:paraId="3510A2E5">
      <w:pPr>
        <w:pStyle w:val="188"/>
      </w:pPr>
      <w:bookmarkStart w:id="4550" w:name="_Toc141875067"/>
      <w:r>
        <w:t>文件类型过滤页面</w:t>
      </w:r>
      <w:bookmarkEnd w:id="4550"/>
    </w:p>
    <w:p w14:paraId="5A45F418">
      <w:r>
        <w:drawing>
          <wp:inline distT="0" distB="0" distL="0" distR="0">
            <wp:extent cx="5400040" cy="1438910"/>
            <wp:effectExtent l="0" t="0" r="0" b="8890"/>
            <wp:docPr id="764" name="图片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图片 764"/>
                    <pic:cNvPicPr>
                      <a:picLocks noChangeAspect="1"/>
                    </pic:cNvPicPr>
                  </pic:nvPicPr>
                  <pic:blipFill>
                    <a:blip r:embed="rId622"/>
                    <a:stretch>
                      <a:fillRect/>
                    </a:stretch>
                  </pic:blipFill>
                  <pic:spPr>
                    <a:xfrm>
                      <a:off x="0" y="0"/>
                      <a:ext cx="5400040" cy="1439376"/>
                    </a:xfrm>
                    <a:prstGeom prst="rect">
                      <a:avLst/>
                    </a:prstGeom>
                  </pic:spPr>
                </pic:pic>
              </a:graphicData>
            </a:graphic>
          </wp:inline>
        </w:drawing>
      </w:r>
    </w:p>
    <w:p w14:paraId="48B232CE">
      <w:pPr>
        <w:pStyle w:val="188"/>
      </w:pPr>
      <w:bookmarkStart w:id="4551" w:name="_Toc141875068"/>
      <w:r>
        <w:rPr>
          <w:rFonts w:hint="eastAsia"/>
        </w:rPr>
        <w:t>新建文件类型过滤配置页面</w:t>
      </w:r>
      <w:bookmarkEnd w:id="4551"/>
    </w:p>
    <w:p w14:paraId="7753ECDD">
      <w:pPr>
        <w:rPr>
          <w:rFonts w:ascii="宋体" w:hAnsi="宋体" w:cs="宋体"/>
        </w:rPr>
      </w:pPr>
      <w:r>
        <w:drawing>
          <wp:inline distT="0" distB="0" distL="0" distR="0">
            <wp:extent cx="5400040" cy="3543300"/>
            <wp:effectExtent l="0" t="0" r="0" b="0"/>
            <wp:docPr id="765" name="图片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图片 765"/>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a:xfrm>
                      <a:off x="0" y="0"/>
                      <a:ext cx="5400040" cy="3543811"/>
                    </a:xfrm>
                    <a:prstGeom prst="rect">
                      <a:avLst/>
                    </a:prstGeom>
                    <a:noFill/>
                    <a:ln>
                      <a:noFill/>
                    </a:ln>
                  </pic:spPr>
                </pic:pic>
              </a:graphicData>
            </a:graphic>
          </wp:inline>
        </w:drawing>
      </w:r>
    </w:p>
    <w:p w14:paraId="69B2C6EE"/>
    <w:p w14:paraId="0A8680FD">
      <w:pPr>
        <w:pStyle w:val="183"/>
      </w:pPr>
      <w:bookmarkStart w:id="4552" w:name="_Toc141875669"/>
      <w:r>
        <w:rPr>
          <w:rFonts w:hint="eastAsia"/>
        </w:rPr>
        <w:t>文件类型过滤详细配置</w:t>
      </w:r>
      <w:bookmarkEnd w:id="4552"/>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526"/>
        <w:gridCol w:w="7444"/>
      </w:tblGrid>
      <w:tr w14:paraId="6BFE06D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tcBorders>
              <w:tl2br w:val="nil"/>
              <w:tr2bl w:val="nil"/>
            </w:tcBorders>
            <w:shd w:val="clear" w:color="auto" w:fill="538135" w:themeFill="accent6" w:themeFillShade="BF"/>
            <w:vAlign w:val="center"/>
          </w:tcPr>
          <w:p w14:paraId="650F2C4B">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444" w:type="dxa"/>
            <w:tcBorders>
              <w:tl2br w:val="nil"/>
              <w:tr2bl w:val="nil"/>
            </w:tcBorders>
            <w:shd w:val="clear" w:color="auto" w:fill="538135" w:themeFill="accent6" w:themeFillShade="BF"/>
            <w:vAlign w:val="center"/>
          </w:tcPr>
          <w:p w14:paraId="122336E7">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9B9BF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0B597EE3">
            <w:pPr>
              <w:pStyle w:val="150"/>
            </w:pPr>
            <w:r>
              <w:rPr>
                <w:rFonts w:hint="eastAsia"/>
              </w:rPr>
              <w:t>启用</w:t>
            </w:r>
          </w:p>
        </w:tc>
        <w:tc>
          <w:tcPr>
            <w:tcW w:w="7444" w:type="dxa"/>
            <w:shd w:val="clear" w:color="auto" w:fill="auto"/>
          </w:tcPr>
          <w:p w14:paraId="03658C08">
            <w:pPr>
              <w:pStyle w:val="150"/>
            </w:pPr>
            <w:r>
              <w:rPr>
                <w:rFonts w:hint="eastAsia"/>
              </w:rPr>
              <w:t>勾选后则启用该文件类型过滤策略。</w:t>
            </w:r>
          </w:p>
        </w:tc>
      </w:tr>
      <w:tr w14:paraId="689A40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16041F8B">
            <w:pPr>
              <w:pStyle w:val="150"/>
            </w:pPr>
            <w:r>
              <w:rPr>
                <w:rFonts w:hint="eastAsia"/>
              </w:rPr>
              <w:t>描述</w:t>
            </w:r>
          </w:p>
        </w:tc>
        <w:tc>
          <w:tcPr>
            <w:tcW w:w="7444" w:type="dxa"/>
            <w:shd w:val="clear" w:color="auto" w:fill="auto"/>
          </w:tcPr>
          <w:p w14:paraId="373ADF6E">
            <w:pPr>
              <w:pStyle w:val="150"/>
            </w:pPr>
            <w:r>
              <w:rPr>
                <w:rFonts w:hint="eastAsia"/>
              </w:rPr>
              <w:t>文件类型过滤策略的描述信息。</w:t>
            </w:r>
          </w:p>
        </w:tc>
      </w:tr>
      <w:tr w14:paraId="2423DE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00B5AB88">
            <w:pPr>
              <w:pStyle w:val="150"/>
            </w:pPr>
            <w:r>
              <w:rPr>
                <w:rFonts w:hint="eastAsia"/>
              </w:rPr>
              <w:t>文件类型分类</w:t>
            </w:r>
          </w:p>
        </w:tc>
        <w:tc>
          <w:tcPr>
            <w:tcW w:w="7444" w:type="dxa"/>
            <w:shd w:val="clear" w:color="auto" w:fill="auto"/>
          </w:tcPr>
          <w:p w14:paraId="548241D1">
            <w:pPr>
              <w:pStyle w:val="150"/>
            </w:pPr>
            <w:r>
              <w:rPr>
                <w:rFonts w:hint="eastAsia"/>
              </w:rPr>
              <w:t>选择文件类型</w:t>
            </w:r>
            <w:r>
              <w:t>对象</w:t>
            </w:r>
            <w:r>
              <w:rPr>
                <w:rFonts w:hint="eastAsia"/>
              </w:rPr>
              <w:t>，</w:t>
            </w:r>
            <w:r>
              <w:t>支持</w:t>
            </w:r>
            <w:r>
              <w:rPr>
                <w:rFonts w:hint="eastAsia"/>
              </w:rPr>
              <w:t>通过&lt;添加文件类型&gt;按钮</w:t>
            </w:r>
            <w:r>
              <w:t>来快速创建</w:t>
            </w:r>
            <w:r>
              <w:rPr>
                <w:rFonts w:hint="eastAsia"/>
              </w:rPr>
              <w:t>文件类型</w:t>
            </w:r>
            <w:r>
              <w:t>对象</w:t>
            </w:r>
            <w:r>
              <w:rPr>
                <w:rFonts w:hint="eastAsia"/>
              </w:rPr>
              <w:t>。</w:t>
            </w:r>
          </w:p>
        </w:tc>
      </w:tr>
      <w:tr w14:paraId="57B25C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0F241E73">
            <w:pPr>
              <w:pStyle w:val="150"/>
            </w:pPr>
            <w:r>
              <w:t>传输方向</w:t>
            </w:r>
          </w:p>
        </w:tc>
        <w:tc>
          <w:tcPr>
            <w:tcW w:w="7444" w:type="dxa"/>
            <w:shd w:val="clear" w:color="auto" w:fill="auto"/>
          </w:tcPr>
          <w:p w14:paraId="77B0E0F0">
            <w:pPr>
              <w:pStyle w:val="150"/>
            </w:pPr>
            <w:r>
              <w:t>传输方向包括</w:t>
            </w:r>
            <w:r>
              <w:rPr>
                <w:rFonts w:hint="eastAsia"/>
              </w:rPr>
              <w:t>：上传、下载，分别表示H</w:t>
            </w:r>
            <w:r>
              <w:t>TTP和</w:t>
            </w:r>
            <w:r>
              <w:rPr>
                <w:rFonts w:hint="eastAsia"/>
              </w:rPr>
              <w:t>F</w:t>
            </w:r>
            <w:r>
              <w:t>TP的上传和下载</w:t>
            </w:r>
            <w:r>
              <w:rPr>
                <w:rFonts w:hint="eastAsia"/>
              </w:rPr>
              <w:t>。</w:t>
            </w:r>
          </w:p>
        </w:tc>
      </w:tr>
      <w:tr w14:paraId="44AFA1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70848100">
            <w:pPr>
              <w:pStyle w:val="150"/>
            </w:pPr>
            <w:r>
              <w:t>排除网站</w:t>
            </w:r>
          </w:p>
        </w:tc>
        <w:tc>
          <w:tcPr>
            <w:tcW w:w="7444" w:type="dxa"/>
            <w:shd w:val="clear" w:color="auto" w:fill="auto"/>
          </w:tcPr>
          <w:p w14:paraId="2655CD3F">
            <w:pPr>
              <w:pStyle w:val="150"/>
            </w:pPr>
            <w:r>
              <w:t>仅对http上传下载有效</w:t>
            </w:r>
            <w:r>
              <w:rPr>
                <w:rFonts w:hint="eastAsia"/>
              </w:rPr>
              <w:t>，</w:t>
            </w:r>
            <w:r>
              <w:t>可以选择</w:t>
            </w:r>
            <w:r>
              <w:rPr>
                <w:rFonts w:hint="eastAsia"/>
              </w:rPr>
              <w:t>U</w:t>
            </w:r>
            <w:r>
              <w:t>RL分类对象进行排除该网站不进行控制</w:t>
            </w:r>
            <w:r>
              <w:rPr>
                <w:rFonts w:hint="eastAsia"/>
              </w:rPr>
              <w:t>。</w:t>
            </w:r>
          </w:p>
        </w:tc>
      </w:tr>
      <w:tr w14:paraId="1BB340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20CA43BC">
            <w:pPr>
              <w:pStyle w:val="150"/>
            </w:pPr>
            <w:r>
              <w:rPr>
                <w:rFonts w:hint="eastAsia"/>
              </w:rPr>
              <w:t>处理动作</w:t>
            </w:r>
          </w:p>
        </w:tc>
        <w:tc>
          <w:tcPr>
            <w:tcW w:w="7444" w:type="dxa"/>
            <w:shd w:val="clear" w:color="auto" w:fill="auto"/>
          </w:tcPr>
          <w:p w14:paraId="0A954636">
            <w:pPr>
              <w:pStyle w:val="150"/>
            </w:pPr>
            <w:r>
              <w:rPr>
                <w:rFonts w:hint="eastAsia"/>
              </w:rPr>
              <w:t>处理</w:t>
            </w:r>
            <w:r>
              <w:t>动作包括</w:t>
            </w:r>
            <w:r>
              <w:rPr>
                <w:rFonts w:hint="eastAsia"/>
              </w:rPr>
              <w:t>：允许、</w:t>
            </w:r>
            <w:r>
              <w:t>拒绝</w:t>
            </w:r>
            <w:r>
              <w:rPr>
                <w:rFonts w:hint="eastAsia"/>
              </w:rPr>
              <w:t>。</w:t>
            </w:r>
          </w:p>
        </w:tc>
      </w:tr>
      <w:tr w14:paraId="6E5CFE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46CFF1D0">
            <w:pPr>
              <w:pStyle w:val="150"/>
            </w:pPr>
            <w:r>
              <w:rPr>
                <w:rFonts w:hint="eastAsia"/>
              </w:rPr>
              <w:t>日志级别</w:t>
            </w:r>
          </w:p>
        </w:tc>
        <w:tc>
          <w:tcPr>
            <w:tcW w:w="7444" w:type="dxa"/>
            <w:shd w:val="clear" w:color="auto" w:fill="auto"/>
          </w:tcPr>
          <w:p w14:paraId="327C873D">
            <w:pPr>
              <w:pStyle w:val="150"/>
            </w:pPr>
            <w:r>
              <w:rPr>
                <w:rFonts w:hint="eastAsia"/>
              </w:rPr>
              <w:t>日志</w:t>
            </w:r>
            <w:r>
              <w:t>级别</w:t>
            </w:r>
            <w:r>
              <w:rPr>
                <w:rFonts w:hint="eastAsia"/>
              </w:rPr>
              <w:t>包含</w:t>
            </w:r>
            <w:r>
              <w:t>：</w:t>
            </w:r>
            <w:r>
              <w:rPr>
                <w:rFonts w:hint="eastAsia"/>
              </w:rPr>
              <w:t>紧急</w:t>
            </w:r>
            <w:r>
              <w:t>、告警、严重、错误</w:t>
            </w:r>
            <w:r>
              <w:rPr>
                <w:rFonts w:hint="eastAsia"/>
              </w:rPr>
              <w:t>、</w:t>
            </w:r>
            <w:r>
              <w:t>警告、通知、信息、调试、不记录</w:t>
            </w:r>
            <w:r>
              <w:rPr>
                <w:rFonts w:hint="eastAsia"/>
              </w:rPr>
              <w:t>。</w:t>
            </w:r>
          </w:p>
        </w:tc>
      </w:tr>
      <w:tr w14:paraId="43B1EB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0096E90A">
            <w:pPr>
              <w:pStyle w:val="150"/>
            </w:pPr>
            <w:r>
              <w:rPr>
                <w:rFonts w:hint="eastAsia"/>
              </w:rPr>
              <w:t>提交</w:t>
            </w:r>
          </w:p>
        </w:tc>
        <w:tc>
          <w:tcPr>
            <w:tcW w:w="7444" w:type="dxa"/>
            <w:shd w:val="clear" w:color="auto" w:fill="auto"/>
          </w:tcPr>
          <w:p w14:paraId="3876E167">
            <w:pPr>
              <w:pStyle w:val="150"/>
            </w:pPr>
            <w:r>
              <w:rPr>
                <w:rFonts w:hint="eastAsia"/>
              </w:rPr>
              <w:t>提交后</w:t>
            </w:r>
            <w:r>
              <w:t>当前规则新建成功。</w:t>
            </w:r>
          </w:p>
        </w:tc>
      </w:tr>
      <w:tr w14:paraId="59CB9C9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1BB03CC4">
            <w:pPr>
              <w:pStyle w:val="150"/>
            </w:pPr>
            <w:r>
              <w:rPr>
                <w:rFonts w:hint="eastAsia"/>
              </w:rPr>
              <w:t>取消</w:t>
            </w:r>
          </w:p>
        </w:tc>
        <w:tc>
          <w:tcPr>
            <w:tcW w:w="7444" w:type="dxa"/>
            <w:shd w:val="clear" w:color="auto" w:fill="auto"/>
          </w:tcPr>
          <w:p w14:paraId="5317F981">
            <w:pPr>
              <w:pStyle w:val="150"/>
            </w:pPr>
            <w:r>
              <w:rPr>
                <w:rFonts w:hint="eastAsia"/>
              </w:rPr>
              <w:t>取消</w:t>
            </w:r>
            <w:r>
              <w:t>规则创建</w:t>
            </w:r>
            <w:r>
              <w:rPr>
                <w:rFonts w:hint="eastAsia"/>
              </w:rPr>
              <w:t>，</w:t>
            </w:r>
            <w:r>
              <w:t>不下发配置。</w:t>
            </w:r>
          </w:p>
        </w:tc>
      </w:tr>
    </w:tbl>
    <w:p w14:paraId="7342EE58"/>
    <w:p w14:paraId="69BEAD96">
      <w:r>
        <w:rPr>
          <w:rFonts w:hint="eastAsia"/>
        </w:rPr>
        <w:t>文件类型过滤策略创建成功后如下图所示。</w:t>
      </w:r>
    </w:p>
    <w:p w14:paraId="53164B01">
      <w:pPr>
        <w:pStyle w:val="188"/>
      </w:pPr>
      <w:bookmarkStart w:id="4553" w:name="_Toc141875069"/>
      <w:r>
        <w:rPr>
          <w:rFonts w:hint="eastAsia"/>
        </w:rPr>
        <w:t>文件类型过滤配置显示</w:t>
      </w:r>
      <w:bookmarkEnd w:id="4553"/>
    </w:p>
    <w:p w14:paraId="19483457">
      <w:r>
        <w:drawing>
          <wp:inline distT="0" distB="0" distL="0" distR="0">
            <wp:extent cx="6120130" cy="1011555"/>
            <wp:effectExtent l="0" t="0" r="0" b="0"/>
            <wp:docPr id="3747" name="图片 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7" name="图片 3747"/>
                    <pic:cNvPicPr>
                      <a:picLocks noChangeAspect="1"/>
                    </pic:cNvPicPr>
                  </pic:nvPicPr>
                  <pic:blipFill>
                    <a:blip r:embed="rId624"/>
                    <a:stretch>
                      <a:fillRect/>
                    </a:stretch>
                  </pic:blipFill>
                  <pic:spPr>
                    <a:xfrm>
                      <a:off x="0" y="0"/>
                      <a:ext cx="6120130" cy="1011555"/>
                    </a:xfrm>
                    <a:prstGeom prst="rect">
                      <a:avLst/>
                    </a:prstGeom>
                  </pic:spPr>
                </pic:pic>
              </a:graphicData>
            </a:graphic>
          </wp:inline>
        </w:drawing>
      </w:r>
    </w:p>
    <w:p w14:paraId="020CB252"/>
    <w:p w14:paraId="3C21968E">
      <w:r>
        <w:rPr>
          <w:rFonts w:hint="eastAsia"/>
        </w:rPr>
        <w:t>在导航栏中选择“策略配置</w:t>
      </w:r>
      <w:r>
        <w:t xml:space="preserve"> &gt; </w:t>
      </w:r>
      <w:r>
        <w:rPr>
          <w:rFonts w:hint="eastAsia"/>
        </w:rPr>
        <w:t xml:space="preserve">对象管理 </w:t>
      </w:r>
      <w:r>
        <w:t>&gt; 应用识别模式</w:t>
      </w:r>
      <w:r>
        <w:rPr>
          <w:rFonts w:hint="eastAsia"/>
        </w:rPr>
        <w:t>”，单击</w:t>
      </w:r>
      <w:r>
        <w:t>&lt;</w:t>
      </w:r>
      <w:r>
        <w:rPr>
          <w:rFonts w:hint="eastAsia"/>
        </w:rPr>
        <w:t>应用识别高级配置</w:t>
      </w:r>
      <w:r>
        <w:t>&gt;页签</w:t>
      </w:r>
      <w:r>
        <w:rPr>
          <w:rFonts w:hint="eastAsia"/>
        </w:rPr>
        <w:t>，可以跳转到&lt;应用识别高级审计</w:t>
      </w:r>
      <w:r>
        <w:t>&gt;页面</w:t>
      </w:r>
      <w:r>
        <w:rPr>
          <w:rFonts w:hint="eastAsia"/>
        </w:rPr>
        <w:t>，</w:t>
      </w:r>
      <w:r>
        <w:t>在该页面</w:t>
      </w:r>
      <w:r>
        <w:rPr>
          <w:rFonts w:hint="eastAsia"/>
        </w:rPr>
        <w:t>选择是否开启真实文件类型识别选择，如下图所示。</w:t>
      </w:r>
    </w:p>
    <w:p w14:paraId="6F99AA37">
      <w:pPr>
        <w:pStyle w:val="188"/>
      </w:pPr>
      <w:bookmarkStart w:id="4554" w:name="_Toc141875070"/>
      <w:r>
        <w:t>开启</w:t>
      </w:r>
      <w:r>
        <w:rPr>
          <w:rFonts w:hint="eastAsia"/>
        </w:rPr>
        <w:t>真实</w:t>
      </w:r>
      <w:r>
        <w:t>文件类型识别配置显示</w:t>
      </w:r>
      <w:bookmarkEnd w:id="4554"/>
    </w:p>
    <w:p w14:paraId="7523EEA6">
      <w:pPr>
        <w:spacing w:before="78" w:after="78"/>
      </w:pPr>
      <w:r>
        <w:drawing>
          <wp:inline distT="0" distB="0" distL="0" distR="0">
            <wp:extent cx="3295015" cy="2066290"/>
            <wp:effectExtent l="0" t="0" r="635" b="0"/>
            <wp:docPr id="3573" name="图片 3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3" name="图片 3573"/>
                    <pic:cNvPicPr>
                      <a:picLocks noChangeAspect="1"/>
                    </pic:cNvPicPr>
                  </pic:nvPicPr>
                  <pic:blipFill>
                    <a:blip r:embed="rId625"/>
                    <a:stretch>
                      <a:fillRect/>
                    </a:stretch>
                  </pic:blipFill>
                  <pic:spPr>
                    <a:xfrm>
                      <a:off x="0" y="0"/>
                      <a:ext cx="3295238" cy="2066667"/>
                    </a:xfrm>
                    <a:prstGeom prst="rect">
                      <a:avLst/>
                    </a:prstGeom>
                  </pic:spPr>
                </pic:pic>
              </a:graphicData>
            </a:graphic>
          </wp:inline>
        </w:drawing>
      </w:r>
    </w:p>
    <w:p w14:paraId="7E873B14"/>
    <w:p w14:paraId="197F0DE0"/>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5335FEEE">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02AE51BE">
            <w:pPr>
              <w:pStyle w:val="150"/>
              <w:adjustRightInd w:val="0"/>
              <w:snapToGrid w:val="0"/>
              <w:rPr>
                <w:color w:val="auto"/>
              </w:rPr>
            </w:pPr>
            <w:r>
              <w:rPr>
                <w:b/>
                <w:color w:val="auto"/>
              </w:rPr>
              <w:drawing>
                <wp:inline distT="0" distB="0" distL="0" distR="0">
                  <wp:extent cx="283210" cy="283210"/>
                  <wp:effectExtent l="0" t="0" r="2540" b="2540"/>
                  <wp:docPr id="873" name="图片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图片 87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2EC10830">
            <w:pPr>
              <w:pStyle w:val="207"/>
              <w:adjustRightInd w:val="0"/>
              <w:snapToGrid w:val="0"/>
              <w:rPr>
                <w:color w:val="auto"/>
              </w:rPr>
            </w:pPr>
            <w:r>
              <w:rPr>
                <w:rFonts w:hint="eastAsia"/>
                <w:color w:val="auto"/>
              </w:rPr>
              <w:t>真实文件识别支持类型如下：avi、mp4、mp3、chm、jpg、jpeg、gif、bmp、tiff、png、dcm、heic、ico、jxr、psd、 zip、rar、gz、7z、docx、pptx、xlsx、pdf、rtf。</w:t>
            </w:r>
          </w:p>
          <w:p w14:paraId="7482A662">
            <w:pPr>
              <w:pStyle w:val="207"/>
              <w:adjustRightInd w:val="0"/>
              <w:snapToGrid w:val="0"/>
              <w:rPr>
                <w:color w:val="auto"/>
                <w:lang w:eastAsia="zh-CN"/>
              </w:rPr>
            </w:pPr>
            <w:r>
              <w:rPr>
                <w:rFonts w:hint="eastAsia"/>
                <w:color w:val="auto"/>
                <w:lang w:eastAsia="zh-CN"/>
              </w:rPr>
              <w:t>开启真实文件类型识别后，下载/上传该文件在支持类型列表中就会识别其真实文件类型，即使修改该文件的后缀名，也会只识别其真实的文件类型。</w:t>
            </w:r>
          </w:p>
        </w:tc>
      </w:tr>
    </w:tbl>
    <w:p w14:paraId="57DB1A1E"/>
    <w:p w14:paraId="3A44032C">
      <w:pPr>
        <w:pStyle w:val="4"/>
      </w:pPr>
      <w:bookmarkStart w:id="4555" w:name="_Toc196728258"/>
      <w:bookmarkStart w:id="4556" w:name="_Toc142401178"/>
      <w:bookmarkStart w:id="4557" w:name="_Toc194080926"/>
      <w:bookmarkStart w:id="4558" w:name="_Toc99561799"/>
      <w:bookmarkStart w:id="4559" w:name="_Toc172218440"/>
      <w:bookmarkStart w:id="4560" w:name="_Toc141873661"/>
      <w:r>
        <w:rPr>
          <w:rFonts w:hint="eastAsia"/>
        </w:rPr>
        <w:t>协议过滤</w:t>
      </w:r>
      <w:bookmarkEnd w:id="4555"/>
      <w:bookmarkEnd w:id="4556"/>
      <w:bookmarkEnd w:id="4557"/>
      <w:bookmarkEnd w:id="4558"/>
      <w:bookmarkEnd w:id="4559"/>
      <w:bookmarkEnd w:id="4560"/>
    </w:p>
    <w:p w14:paraId="5E3A7CAF">
      <w:pPr>
        <w:pStyle w:val="5"/>
      </w:pPr>
      <w:bookmarkStart w:id="4561" w:name="_Toc46147942"/>
      <w:bookmarkStart w:id="4562" w:name="_Toc99561800"/>
      <w:bookmarkStart w:id="4563" w:name="_Toc141873662"/>
      <w:bookmarkStart w:id="4564" w:name="_Toc172218441"/>
      <w:bookmarkStart w:id="4565" w:name="_Toc142401179"/>
      <w:bookmarkStart w:id="4566" w:name="_Toc196728259"/>
      <w:bookmarkStart w:id="4567" w:name="_Toc194080927"/>
      <w:r>
        <w:rPr>
          <w:rFonts w:hint="eastAsia"/>
        </w:rPr>
        <w:t>概述</w:t>
      </w:r>
      <w:bookmarkEnd w:id="4561"/>
      <w:bookmarkEnd w:id="4562"/>
      <w:bookmarkEnd w:id="4563"/>
      <w:bookmarkEnd w:id="4564"/>
      <w:bookmarkEnd w:id="4565"/>
      <w:bookmarkEnd w:id="4566"/>
      <w:bookmarkEnd w:id="4567"/>
    </w:p>
    <w:p w14:paraId="04CE2D47">
      <w:r>
        <w:rPr>
          <w:rFonts w:hint="eastAsia"/>
        </w:rPr>
        <w:t>设备支持F</w:t>
      </w:r>
      <w:r>
        <w:t>TP协议</w:t>
      </w:r>
      <w:r>
        <w:rPr>
          <w:rFonts w:hint="eastAsia"/>
        </w:rPr>
        <w:t>、Telnet协议、D</w:t>
      </w:r>
      <w:r>
        <w:t>NS协议过滤</w:t>
      </w:r>
      <w:r>
        <w:rPr>
          <w:rFonts w:hint="eastAsia"/>
        </w:rPr>
        <w:t>，</w:t>
      </w:r>
      <w:r>
        <w:t>可以更好针对内网使用的协议进行控制</w:t>
      </w:r>
      <w:r>
        <w:rPr>
          <w:rFonts w:hint="eastAsia"/>
        </w:rPr>
        <w:t>，</w:t>
      </w:r>
      <w:r>
        <w:t>提高设备控制能力</w:t>
      </w:r>
      <w:r>
        <w:rPr>
          <w:rFonts w:hint="eastAsia"/>
        </w:rPr>
        <w:t>，</w:t>
      </w:r>
      <w:r>
        <w:t>并可以有效针对传输关键字或者传输命令更加深度的控制</w:t>
      </w:r>
      <w:r>
        <w:rPr>
          <w:rFonts w:hint="eastAsia"/>
        </w:rPr>
        <w:t>，协议过滤主要支持以下三种协议：</w:t>
      </w:r>
    </w:p>
    <w:p w14:paraId="74ABBF40">
      <w:pPr>
        <w:pStyle w:val="162"/>
      </w:pPr>
      <w:r>
        <w:rPr>
          <w:rFonts w:hint="eastAsia"/>
        </w:rPr>
        <w:t>F</w:t>
      </w:r>
      <w:r>
        <w:t>TP协议过滤</w:t>
      </w:r>
      <w:r>
        <w:rPr>
          <w:rFonts w:hint="eastAsia"/>
        </w:rPr>
        <w:t>：可以针对F</w:t>
      </w:r>
      <w:r>
        <w:t>TP</w:t>
      </w:r>
      <w:r>
        <w:rPr>
          <w:rFonts w:hint="eastAsia"/>
        </w:rPr>
        <w:t>传输文件名和相关操作命令进行过滤控制；</w:t>
      </w:r>
    </w:p>
    <w:p w14:paraId="7BD4FEDF">
      <w:pPr>
        <w:pStyle w:val="162"/>
      </w:pPr>
      <w:r>
        <w:rPr>
          <w:rFonts w:hint="eastAsia"/>
        </w:rPr>
        <w:t>Telnet协议过滤：可以针对Telnet传输的相关操作命令进行过滤控制；</w:t>
      </w:r>
    </w:p>
    <w:p w14:paraId="35429E55">
      <w:pPr>
        <w:pStyle w:val="162"/>
      </w:pPr>
      <w:r>
        <w:rPr>
          <w:rFonts w:hint="eastAsia"/>
        </w:rPr>
        <w:t>D</w:t>
      </w:r>
      <w:r>
        <w:t>NS协议过滤</w:t>
      </w:r>
      <w:r>
        <w:rPr>
          <w:rFonts w:hint="eastAsia"/>
        </w:rPr>
        <w:t>：可以针对D</w:t>
      </w:r>
      <w:r>
        <w:t>NS报文中域名字段进行过滤控制</w:t>
      </w:r>
      <w:r>
        <w:rPr>
          <w:rFonts w:hint="eastAsia"/>
        </w:rPr>
        <w:t>。</w:t>
      </w:r>
    </w:p>
    <w:p w14:paraId="57C0FD51">
      <w:pPr>
        <w:pStyle w:val="5"/>
      </w:pPr>
      <w:bookmarkStart w:id="4568" w:name="_Toc172218442"/>
      <w:bookmarkStart w:id="4569" w:name="_Toc141873663"/>
      <w:bookmarkStart w:id="4570" w:name="_Toc99561801"/>
      <w:bookmarkStart w:id="4571" w:name="_Toc142401180"/>
      <w:bookmarkStart w:id="4572" w:name="_Toc194080928"/>
      <w:bookmarkStart w:id="4573" w:name="_Toc196728260"/>
      <w:bookmarkStart w:id="4574" w:name="_Toc46147943"/>
      <w:r>
        <w:rPr>
          <w:rFonts w:hint="eastAsia"/>
        </w:rPr>
        <w:t>协议过滤配置</w:t>
      </w:r>
      <w:bookmarkEnd w:id="4568"/>
      <w:bookmarkEnd w:id="4569"/>
      <w:bookmarkEnd w:id="4570"/>
      <w:bookmarkEnd w:id="4571"/>
      <w:bookmarkEnd w:id="4572"/>
      <w:bookmarkEnd w:id="4573"/>
      <w:bookmarkEnd w:id="4574"/>
    </w:p>
    <w:p w14:paraId="21C2EF7C">
      <w:pPr>
        <w:pStyle w:val="6"/>
      </w:pPr>
      <w:bookmarkStart w:id="4575" w:name="_Toc46147944"/>
      <w:r>
        <w:rPr>
          <w:rFonts w:hint="eastAsia"/>
        </w:rPr>
        <w:t>F</w:t>
      </w:r>
      <w:r>
        <w:t>TP</w:t>
      </w:r>
      <w:r>
        <w:rPr>
          <w:rFonts w:hint="eastAsia"/>
        </w:rPr>
        <w:t>协议过滤设置</w:t>
      </w:r>
      <w:bookmarkEnd w:id="4575"/>
      <w:r>
        <w:rPr>
          <w:rFonts w:hint="eastAsia"/>
        </w:rPr>
        <w:t>页面</w:t>
      </w:r>
    </w:p>
    <w:p w14:paraId="4E6A2078">
      <w:r>
        <w:rPr>
          <w:rFonts w:hint="eastAsia"/>
        </w:rPr>
        <w:t>在导航栏中选择“策略配置 &gt; 控制策略”，进入控制策略显示页面，点击新建控制策略按钮，进入“应用过滤</w:t>
      </w:r>
      <w:r>
        <w:t xml:space="preserve"> &gt; 协议过滤</w:t>
      </w:r>
      <w:r>
        <w:rPr>
          <w:rFonts w:hint="eastAsia"/>
        </w:rPr>
        <w:t>”页面，默认第一个就是F</w:t>
      </w:r>
      <w:r>
        <w:t>TP协议过滤配置页面</w:t>
      </w:r>
      <w:r>
        <w:rPr>
          <w:rFonts w:hint="eastAsia"/>
        </w:rPr>
        <w:t>，如下图所示。</w:t>
      </w:r>
    </w:p>
    <w:p w14:paraId="586C6CD1">
      <w:pPr>
        <w:pStyle w:val="188"/>
      </w:pPr>
      <w:bookmarkStart w:id="4576" w:name="_Toc141875071"/>
      <w:r>
        <w:t>FTP</w:t>
      </w:r>
      <w:r>
        <w:rPr>
          <w:rFonts w:hint="eastAsia"/>
        </w:rPr>
        <w:t>协议过滤配置页面</w:t>
      </w:r>
      <w:bookmarkEnd w:id="4576"/>
    </w:p>
    <w:p w14:paraId="529763DE">
      <w:r>
        <w:drawing>
          <wp:inline distT="0" distB="0" distL="0" distR="0">
            <wp:extent cx="5400040" cy="1902460"/>
            <wp:effectExtent l="0" t="0" r="0" b="2540"/>
            <wp:docPr id="768" name="图片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图片 768"/>
                    <pic:cNvPicPr>
                      <a:picLocks noChangeAspect="1"/>
                    </pic:cNvPicPr>
                  </pic:nvPicPr>
                  <pic:blipFill>
                    <a:blip r:embed="rId626"/>
                    <a:stretch>
                      <a:fillRect/>
                    </a:stretch>
                  </pic:blipFill>
                  <pic:spPr>
                    <a:xfrm>
                      <a:off x="0" y="0"/>
                      <a:ext cx="5400040" cy="1902733"/>
                    </a:xfrm>
                    <a:prstGeom prst="rect">
                      <a:avLst/>
                    </a:prstGeom>
                  </pic:spPr>
                </pic:pic>
              </a:graphicData>
            </a:graphic>
          </wp:inline>
        </w:drawing>
      </w:r>
    </w:p>
    <w:p w14:paraId="14DF229A"/>
    <w:p w14:paraId="4F3F3773">
      <w:pPr>
        <w:pStyle w:val="183"/>
      </w:pPr>
      <w:bookmarkStart w:id="4577" w:name="_Toc141875670"/>
      <w:r>
        <w:rPr>
          <w:rFonts w:hint="eastAsia"/>
        </w:rPr>
        <w:t>F</w:t>
      </w:r>
      <w:r>
        <w:t>TP</w:t>
      </w:r>
      <w:r>
        <w:rPr>
          <w:rFonts w:hint="eastAsia"/>
        </w:rPr>
        <w:t>协议过滤设置页面详细说明</w:t>
      </w:r>
      <w:bookmarkEnd w:id="4577"/>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7"/>
      </w:tblGrid>
      <w:tr w14:paraId="1A2D5E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473F17E2">
            <w:pPr>
              <w:pStyle w:val="149"/>
              <w:wordWrap/>
              <w:rPr>
                <w:b/>
                <w:bCs/>
                <w:i w:val="0"/>
                <w:iCs w:val="0"/>
              </w:rPr>
            </w:pPr>
            <w:r>
              <w:rPr>
                <w:rFonts w:hint="eastAsia"/>
                <w:b/>
                <w:bCs/>
                <w:i w:val="0"/>
                <w:iCs w:val="0"/>
              </w:rPr>
              <w:t>项目</w:t>
            </w:r>
          </w:p>
        </w:tc>
        <w:tc>
          <w:tcPr>
            <w:tcW w:w="6817" w:type="dxa"/>
            <w:tcBorders>
              <w:tl2br w:val="nil"/>
              <w:tr2bl w:val="nil"/>
            </w:tcBorders>
            <w:shd w:val="clear" w:color="auto" w:fill="538135" w:themeFill="accent6" w:themeFillShade="BF"/>
            <w:vAlign w:val="center"/>
          </w:tcPr>
          <w:p w14:paraId="5A842286">
            <w:pPr>
              <w:pStyle w:val="149"/>
              <w:wordWrap/>
              <w:rPr>
                <w:b/>
                <w:bCs/>
                <w:i w:val="0"/>
                <w:iCs w:val="0"/>
              </w:rPr>
            </w:pPr>
            <w:r>
              <w:rPr>
                <w:rFonts w:hint="eastAsia"/>
                <w:b/>
                <w:bCs/>
                <w:i w:val="0"/>
                <w:iCs w:val="0"/>
              </w:rPr>
              <w:t>说明</w:t>
            </w:r>
          </w:p>
        </w:tc>
      </w:tr>
      <w:tr w14:paraId="7B15B93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988625A">
            <w:pPr>
              <w:pStyle w:val="150"/>
            </w:pPr>
            <w:r>
              <w:rPr>
                <w:rFonts w:hint="eastAsia"/>
              </w:rPr>
              <w:t>启用</w:t>
            </w:r>
          </w:p>
        </w:tc>
        <w:tc>
          <w:tcPr>
            <w:tcW w:w="6817" w:type="dxa"/>
            <w:shd w:val="clear" w:color="auto" w:fill="auto"/>
          </w:tcPr>
          <w:p w14:paraId="60320C7B">
            <w:pPr>
              <w:pStyle w:val="150"/>
            </w:pPr>
            <w:r>
              <w:t>启用</w:t>
            </w:r>
            <w:r>
              <w:rPr>
                <w:rFonts w:hint="eastAsia"/>
              </w:rPr>
              <w:t>F</w:t>
            </w:r>
            <w:r>
              <w:t>TP协议过滤的全局按钮</w:t>
            </w:r>
          </w:p>
        </w:tc>
      </w:tr>
      <w:tr w14:paraId="16E059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B6ED6A9">
            <w:pPr>
              <w:pStyle w:val="150"/>
            </w:pPr>
            <w:r>
              <w:rPr>
                <w:rFonts w:hint="eastAsia"/>
              </w:rPr>
              <w:t>文件名</w:t>
            </w:r>
          </w:p>
        </w:tc>
        <w:tc>
          <w:tcPr>
            <w:tcW w:w="6817" w:type="dxa"/>
            <w:shd w:val="clear" w:color="auto" w:fill="auto"/>
          </w:tcPr>
          <w:p w14:paraId="362DD20F">
            <w:pPr>
              <w:pStyle w:val="150"/>
            </w:pPr>
            <w:r>
              <w:rPr>
                <w:rFonts w:hint="eastAsia"/>
              </w:rPr>
              <w:t>开启后选择相关关键字对F</w:t>
            </w:r>
            <w:r>
              <w:t>TP协议传输的文件名进行控制</w:t>
            </w:r>
          </w:p>
        </w:tc>
      </w:tr>
      <w:tr w14:paraId="47DBD2B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37E68FB9">
            <w:pPr>
              <w:pStyle w:val="150"/>
            </w:pPr>
            <w:r>
              <w:t>命令</w:t>
            </w:r>
          </w:p>
        </w:tc>
        <w:tc>
          <w:tcPr>
            <w:tcW w:w="6817" w:type="dxa"/>
            <w:shd w:val="clear" w:color="auto" w:fill="auto"/>
          </w:tcPr>
          <w:p w14:paraId="23246FA5">
            <w:pPr>
              <w:pStyle w:val="150"/>
            </w:pPr>
            <w:r>
              <w:rPr>
                <w:rFonts w:hint="eastAsia"/>
              </w:rPr>
              <w:t>开启后选择相关关键字对F</w:t>
            </w:r>
            <w:r>
              <w:t>TP协议传输的命令进行控制</w:t>
            </w:r>
          </w:p>
        </w:tc>
      </w:tr>
      <w:tr w14:paraId="2CB907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72EFAFD">
            <w:pPr>
              <w:pStyle w:val="150"/>
            </w:pPr>
            <w:r>
              <w:t>处理动作</w:t>
            </w:r>
          </w:p>
        </w:tc>
        <w:tc>
          <w:tcPr>
            <w:tcW w:w="6817" w:type="dxa"/>
            <w:shd w:val="clear" w:color="auto" w:fill="auto"/>
          </w:tcPr>
          <w:p w14:paraId="405F8D35">
            <w:pPr>
              <w:pStyle w:val="150"/>
            </w:pPr>
            <w:r>
              <w:rPr>
                <w:rFonts w:hint="eastAsia"/>
              </w:rPr>
              <w:t>对匹配到关键字的F</w:t>
            </w:r>
            <w:r>
              <w:t>TP协议进行过滤</w:t>
            </w:r>
            <w:r>
              <w:rPr>
                <w:rFonts w:hint="eastAsia"/>
              </w:rPr>
              <w:t>，包括放行和阻断。</w:t>
            </w:r>
          </w:p>
        </w:tc>
      </w:tr>
      <w:tr w14:paraId="47FDE8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154B916">
            <w:pPr>
              <w:pStyle w:val="150"/>
            </w:pPr>
            <w:r>
              <w:t>日志级别</w:t>
            </w:r>
          </w:p>
        </w:tc>
        <w:tc>
          <w:tcPr>
            <w:tcW w:w="6817" w:type="dxa"/>
            <w:shd w:val="clear" w:color="auto" w:fill="auto"/>
          </w:tcPr>
          <w:p w14:paraId="3A4D713C">
            <w:pPr>
              <w:pStyle w:val="150"/>
            </w:pPr>
            <w:r>
              <w:rPr>
                <w:rFonts w:hint="eastAsia"/>
              </w:rPr>
              <w:t>选择日志级别</w:t>
            </w:r>
          </w:p>
        </w:tc>
      </w:tr>
      <w:tr w14:paraId="5402B4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72C8CC6B">
            <w:pPr>
              <w:pStyle w:val="150"/>
            </w:pPr>
            <w:r>
              <w:t>添加关键字</w:t>
            </w:r>
          </w:p>
        </w:tc>
        <w:tc>
          <w:tcPr>
            <w:tcW w:w="6817" w:type="dxa"/>
            <w:shd w:val="clear" w:color="auto" w:fill="auto"/>
          </w:tcPr>
          <w:p w14:paraId="1C571664">
            <w:pPr>
              <w:pStyle w:val="150"/>
            </w:pPr>
            <w:r>
              <w:rPr>
                <w:rFonts w:hint="eastAsia"/>
              </w:rPr>
              <w:t>快速添加关键字对象</w:t>
            </w:r>
          </w:p>
        </w:tc>
      </w:tr>
    </w:tbl>
    <w:p w14:paraId="06E67D19"/>
    <w:p w14:paraId="5359CF1E">
      <w:pPr>
        <w:pStyle w:val="6"/>
      </w:pPr>
      <w:bookmarkStart w:id="4578" w:name="_Toc46147945"/>
      <w:r>
        <w:rPr>
          <w:rFonts w:hint="eastAsia"/>
        </w:rPr>
        <w:t>Telnet协议过滤配置</w:t>
      </w:r>
      <w:bookmarkEnd w:id="4578"/>
      <w:r>
        <w:rPr>
          <w:rFonts w:hint="eastAsia"/>
        </w:rPr>
        <w:t>页面</w:t>
      </w:r>
    </w:p>
    <w:p w14:paraId="376BA417">
      <w:r>
        <w:rPr>
          <w:rFonts w:hint="eastAsia"/>
        </w:rPr>
        <w:t>在导航栏中选择“策略配置 &gt; 控制策略”，进入控制策略显示页面，点击新建控制策略按钮，进入“应用过滤</w:t>
      </w:r>
      <w:r>
        <w:t xml:space="preserve"> &gt; 协议过滤</w:t>
      </w:r>
      <w:r>
        <w:rPr>
          <w:rFonts w:hint="eastAsia"/>
        </w:rPr>
        <w:t>”页面，选择Telnet页面，进入Telnet协议过滤配置页面，如下图所示。</w:t>
      </w:r>
    </w:p>
    <w:p w14:paraId="3782D94D">
      <w:pPr>
        <w:pStyle w:val="188"/>
      </w:pPr>
      <w:bookmarkStart w:id="4579" w:name="_Toc141875072"/>
      <w:r>
        <w:rPr>
          <w:rFonts w:hint="eastAsia"/>
        </w:rPr>
        <w:t>Telnet协议过滤</w:t>
      </w:r>
      <w:r>
        <w:t>配置页面</w:t>
      </w:r>
      <w:bookmarkEnd w:id="4579"/>
    </w:p>
    <w:p w14:paraId="31D73BBC">
      <w:r>
        <w:drawing>
          <wp:inline distT="0" distB="0" distL="0" distR="0">
            <wp:extent cx="5400040" cy="1962150"/>
            <wp:effectExtent l="0" t="0" r="0" b="0"/>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pic:cNvPicPr>
                      <a:picLocks noChangeAspect="1"/>
                    </pic:cNvPicPr>
                  </pic:nvPicPr>
                  <pic:blipFill>
                    <a:blip r:embed="rId627"/>
                    <a:stretch>
                      <a:fillRect/>
                    </a:stretch>
                  </pic:blipFill>
                  <pic:spPr>
                    <a:xfrm>
                      <a:off x="0" y="0"/>
                      <a:ext cx="5400040" cy="1962150"/>
                    </a:xfrm>
                    <a:prstGeom prst="rect">
                      <a:avLst/>
                    </a:prstGeom>
                  </pic:spPr>
                </pic:pic>
              </a:graphicData>
            </a:graphic>
          </wp:inline>
        </w:drawing>
      </w:r>
    </w:p>
    <w:p w14:paraId="291B7031"/>
    <w:p w14:paraId="1CABD9ED">
      <w:r>
        <w:rPr>
          <w:rFonts w:hint="eastAsia"/>
        </w:rPr>
        <w:t>页面的详细说明如下表所示。</w:t>
      </w:r>
    </w:p>
    <w:p w14:paraId="07D40F93">
      <w:pPr>
        <w:pStyle w:val="183"/>
      </w:pPr>
      <w:bookmarkStart w:id="4580" w:name="_Toc141875671"/>
      <w:r>
        <w:t>邮件</w:t>
      </w:r>
      <w:r>
        <w:rPr>
          <w:rFonts w:hint="eastAsia"/>
        </w:rPr>
        <w:t>配置详细说明</w:t>
      </w:r>
      <w:bookmarkEnd w:id="4580"/>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7"/>
      </w:tblGrid>
      <w:tr w14:paraId="6C39DA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6D662FE6">
            <w:pPr>
              <w:pStyle w:val="149"/>
              <w:wordWrap/>
              <w:rPr>
                <w:b/>
                <w:bCs/>
                <w:i w:val="0"/>
                <w:iCs w:val="0"/>
              </w:rPr>
            </w:pPr>
            <w:r>
              <w:rPr>
                <w:rFonts w:hint="eastAsia"/>
                <w:b/>
                <w:bCs/>
                <w:i w:val="0"/>
                <w:iCs w:val="0"/>
              </w:rPr>
              <w:t>项目</w:t>
            </w:r>
          </w:p>
        </w:tc>
        <w:tc>
          <w:tcPr>
            <w:tcW w:w="6817" w:type="dxa"/>
            <w:tcBorders>
              <w:tl2br w:val="nil"/>
              <w:tr2bl w:val="nil"/>
            </w:tcBorders>
            <w:shd w:val="clear" w:color="auto" w:fill="538135" w:themeFill="accent6" w:themeFillShade="BF"/>
            <w:vAlign w:val="center"/>
          </w:tcPr>
          <w:p w14:paraId="04487EEC">
            <w:pPr>
              <w:pStyle w:val="149"/>
              <w:wordWrap/>
              <w:rPr>
                <w:b/>
                <w:bCs/>
                <w:i w:val="0"/>
                <w:iCs w:val="0"/>
              </w:rPr>
            </w:pPr>
            <w:r>
              <w:rPr>
                <w:rFonts w:hint="eastAsia"/>
                <w:b/>
                <w:bCs/>
                <w:i w:val="0"/>
                <w:iCs w:val="0"/>
              </w:rPr>
              <w:t>说明</w:t>
            </w:r>
          </w:p>
        </w:tc>
      </w:tr>
      <w:tr w14:paraId="24A908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2863E58">
            <w:pPr>
              <w:pStyle w:val="150"/>
            </w:pPr>
            <w:r>
              <w:t>启用</w:t>
            </w:r>
          </w:p>
        </w:tc>
        <w:tc>
          <w:tcPr>
            <w:tcW w:w="6817" w:type="dxa"/>
            <w:shd w:val="clear" w:color="auto" w:fill="auto"/>
          </w:tcPr>
          <w:p w14:paraId="73126B3D">
            <w:pPr>
              <w:pStyle w:val="150"/>
            </w:pPr>
            <w:r>
              <w:t>启用Telnet协议过滤的全局按钮</w:t>
            </w:r>
          </w:p>
        </w:tc>
      </w:tr>
      <w:tr w14:paraId="5DD4D9F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3CA85D7">
            <w:pPr>
              <w:pStyle w:val="150"/>
            </w:pPr>
            <w:r>
              <w:rPr>
                <w:rFonts w:hint="eastAsia"/>
              </w:rPr>
              <w:t>命令</w:t>
            </w:r>
          </w:p>
        </w:tc>
        <w:tc>
          <w:tcPr>
            <w:tcW w:w="6817" w:type="dxa"/>
            <w:shd w:val="clear" w:color="auto" w:fill="auto"/>
          </w:tcPr>
          <w:p w14:paraId="0B7D37DD">
            <w:pPr>
              <w:pStyle w:val="150"/>
            </w:pPr>
            <w:r>
              <w:rPr>
                <w:rFonts w:hint="eastAsia"/>
              </w:rPr>
              <w:t>开启后选择相关关键字对</w:t>
            </w:r>
            <w:r>
              <w:t>Telnet协议传输的命令进行控制</w:t>
            </w:r>
          </w:p>
        </w:tc>
      </w:tr>
      <w:tr w14:paraId="187DB7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9BA0FC0">
            <w:pPr>
              <w:pStyle w:val="150"/>
            </w:pPr>
            <w:r>
              <w:rPr>
                <w:rFonts w:hint="eastAsia"/>
              </w:rPr>
              <w:t>处理动作</w:t>
            </w:r>
          </w:p>
        </w:tc>
        <w:tc>
          <w:tcPr>
            <w:tcW w:w="6817" w:type="dxa"/>
            <w:shd w:val="clear" w:color="auto" w:fill="auto"/>
          </w:tcPr>
          <w:p w14:paraId="01FB15BD">
            <w:pPr>
              <w:pStyle w:val="150"/>
            </w:pPr>
            <w:r>
              <w:rPr>
                <w:rFonts w:hint="eastAsia"/>
              </w:rPr>
              <w:t>对匹配到关键字的</w:t>
            </w:r>
            <w:r>
              <w:t>Telnet协议进行过滤</w:t>
            </w:r>
          </w:p>
        </w:tc>
      </w:tr>
      <w:tr w14:paraId="22FF0A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29E5FFD8">
            <w:pPr>
              <w:pStyle w:val="150"/>
            </w:pPr>
            <w:r>
              <w:rPr>
                <w:rFonts w:hint="eastAsia"/>
              </w:rPr>
              <w:t>日志级别</w:t>
            </w:r>
          </w:p>
        </w:tc>
        <w:tc>
          <w:tcPr>
            <w:tcW w:w="6817" w:type="dxa"/>
            <w:shd w:val="clear" w:color="auto" w:fill="auto"/>
          </w:tcPr>
          <w:p w14:paraId="7794D011">
            <w:pPr>
              <w:pStyle w:val="150"/>
            </w:pPr>
            <w:r>
              <w:rPr>
                <w:rFonts w:hint="eastAsia"/>
              </w:rPr>
              <w:t>选择日志级别</w:t>
            </w:r>
          </w:p>
        </w:tc>
      </w:tr>
      <w:tr w14:paraId="3C39F1D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2D4D054E">
            <w:pPr>
              <w:pStyle w:val="150"/>
            </w:pPr>
            <w:r>
              <w:rPr>
                <w:rFonts w:hint="eastAsia"/>
              </w:rPr>
              <w:t>添加关键字</w:t>
            </w:r>
          </w:p>
        </w:tc>
        <w:tc>
          <w:tcPr>
            <w:tcW w:w="6817" w:type="dxa"/>
            <w:shd w:val="clear" w:color="auto" w:fill="auto"/>
          </w:tcPr>
          <w:p w14:paraId="7ED13DBA">
            <w:pPr>
              <w:pStyle w:val="150"/>
            </w:pPr>
            <w:r>
              <w:rPr>
                <w:rFonts w:hint="eastAsia"/>
              </w:rPr>
              <w:t>快速添加关键字对象</w:t>
            </w:r>
          </w:p>
        </w:tc>
      </w:tr>
    </w:tbl>
    <w:p w14:paraId="15FFCD41"/>
    <w:p w14:paraId="1171EBAA">
      <w:pPr>
        <w:pStyle w:val="6"/>
      </w:pPr>
      <w:r>
        <w:rPr>
          <w:rFonts w:hint="eastAsia"/>
        </w:rPr>
        <w:t>DNS协议过滤配置页面</w:t>
      </w:r>
    </w:p>
    <w:p w14:paraId="5A6AA34F">
      <w:r>
        <w:rPr>
          <w:rFonts w:hint="eastAsia"/>
        </w:rPr>
        <w:t>在导航栏中选择“策略配置 &gt; 控制策略”，进入控制策略显示页面，点击新建控制策略按钮，进入“应用过滤</w:t>
      </w:r>
      <w:r>
        <w:t xml:space="preserve"> &gt; 协议过滤</w:t>
      </w:r>
      <w:r>
        <w:rPr>
          <w:rFonts w:hint="eastAsia"/>
        </w:rPr>
        <w:t>”页面，选择</w:t>
      </w:r>
      <w:r>
        <w:t>DNS</w:t>
      </w:r>
      <w:r>
        <w:rPr>
          <w:rFonts w:hint="eastAsia"/>
        </w:rPr>
        <w:t>页面，进入</w:t>
      </w:r>
      <w:r>
        <w:t>DNS</w:t>
      </w:r>
      <w:r>
        <w:rPr>
          <w:rFonts w:hint="eastAsia"/>
        </w:rPr>
        <w:t>协议过滤配置页面，如</w:t>
      </w:r>
      <w:r>
        <w:t>下图</w:t>
      </w:r>
      <w:r>
        <w:rPr>
          <w:rFonts w:hint="eastAsia"/>
        </w:rPr>
        <w:t>所示。</w:t>
      </w:r>
    </w:p>
    <w:p w14:paraId="480803A3">
      <w:pPr>
        <w:pStyle w:val="188"/>
      </w:pPr>
      <w:bookmarkStart w:id="4581" w:name="_Toc141875073"/>
      <w:r>
        <w:rPr>
          <w:rFonts w:hint="eastAsia"/>
        </w:rPr>
        <w:t>D</w:t>
      </w:r>
      <w:r>
        <w:t>NS协议过滤</w:t>
      </w:r>
      <w:r>
        <w:rPr>
          <w:rFonts w:hint="eastAsia"/>
        </w:rPr>
        <w:t>配置页面</w:t>
      </w:r>
      <w:bookmarkEnd w:id="4581"/>
    </w:p>
    <w:p w14:paraId="76805A4E">
      <w:r>
        <w:drawing>
          <wp:inline distT="0" distB="0" distL="0" distR="0">
            <wp:extent cx="5400040" cy="2122805"/>
            <wp:effectExtent l="0" t="0" r="0" b="0"/>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pic:cNvPicPr>
                      <a:picLocks noChangeAspect="1"/>
                    </pic:cNvPicPr>
                  </pic:nvPicPr>
                  <pic:blipFill>
                    <a:blip r:embed="rId628"/>
                    <a:stretch>
                      <a:fillRect/>
                    </a:stretch>
                  </pic:blipFill>
                  <pic:spPr>
                    <a:xfrm>
                      <a:off x="0" y="0"/>
                      <a:ext cx="5400040" cy="2122805"/>
                    </a:xfrm>
                    <a:prstGeom prst="rect">
                      <a:avLst/>
                    </a:prstGeom>
                  </pic:spPr>
                </pic:pic>
              </a:graphicData>
            </a:graphic>
          </wp:inline>
        </w:drawing>
      </w:r>
    </w:p>
    <w:p w14:paraId="3515573A"/>
    <w:p w14:paraId="0EC00D56">
      <w:r>
        <w:rPr>
          <w:rFonts w:hint="eastAsia"/>
        </w:rPr>
        <w:t>页面的详细说明如下表所示。</w:t>
      </w:r>
    </w:p>
    <w:p w14:paraId="78CC57BB">
      <w:pPr>
        <w:pStyle w:val="183"/>
      </w:pPr>
      <w:bookmarkStart w:id="4582" w:name="_Toc141875672"/>
      <w:r>
        <w:rPr>
          <w:rFonts w:hint="eastAsia"/>
        </w:rPr>
        <w:t>邮箱服务器配置详细说明</w:t>
      </w:r>
      <w:bookmarkEnd w:id="4582"/>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7"/>
      </w:tblGrid>
      <w:tr w14:paraId="0602EF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524EA9AD">
            <w:pPr>
              <w:pStyle w:val="149"/>
              <w:wordWrap/>
              <w:rPr>
                <w:b/>
                <w:bCs/>
                <w:i w:val="0"/>
                <w:iCs w:val="0"/>
              </w:rPr>
            </w:pPr>
            <w:r>
              <w:rPr>
                <w:rFonts w:hint="eastAsia"/>
                <w:b/>
                <w:bCs/>
                <w:i w:val="0"/>
                <w:iCs w:val="0"/>
              </w:rPr>
              <w:t>项目</w:t>
            </w:r>
          </w:p>
        </w:tc>
        <w:tc>
          <w:tcPr>
            <w:tcW w:w="6817" w:type="dxa"/>
            <w:tcBorders>
              <w:tl2br w:val="nil"/>
              <w:tr2bl w:val="nil"/>
            </w:tcBorders>
            <w:shd w:val="clear" w:color="auto" w:fill="538135" w:themeFill="accent6" w:themeFillShade="BF"/>
            <w:vAlign w:val="center"/>
          </w:tcPr>
          <w:p w14:paraId="2ED03EB8">
            <w:pPr>
              <w:pStyle w:val="149"/>
              <w:wordWrap/>
              <w:rPr>
                <w:b/>
                <w:bCs/>
                <w:i w:val="0"/>
                <w:iCs w:val="0"/>
              </w:rPr>
            </w:pPr>
            <w:r>
              <w:rPr>
                <w:rFonts w:hint="eastAsia"/>
                <w:b/>
                <w:bCs/>
                <w:i w:val="0"/>
                <w:iCs w:val="0"/>
              </w:rPr>
              <w:t>说明</w:t>
            </w:r>
          </w:p>
        </w:tc>
      </w:tr>
      <w:tr w14:paraId="7B7179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39B4DA4A">
            <w:pPr>
              <w:pStyle w:val="150"/>
            </w:pPr>
            <w:r>
              <w:t>启用</w:t>
            </w:r>
          </w:p>
        </w:tc>
        <w:tc>
          <w:tcPr>
            <w:tcW w:w="6817" w:type="dxa"/>
            <w:shd w:val="clear" w:color="auto" w:fill="auto"/>
          </w:tcPr>
          <w:p w14:paraId="6A27298A">
            <w:pPr>
              <w:pStyle w:val="150"/>
            </w:pPr>
            <w:r>
              <w:t>启用DNS协议过滤的全局按钮</w:t>
            </w:r>
          </w:p>
        </w:tc>
      </w:tr>
      <w:tr w14:paraId="700CA54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B40092D">
            <w:pPr>
              <w:pStyle w:val="150"/>
            </w:pPr>
            <w:r>
              <w:rPr>
                <w:rFonts w:hint="eastAsia"/>
              </w:rPr>
              <w:t>域名</w:t>
            </w:r>
          </w:p>
        </w:tc>
        <w:tc>
          <w:tcPr>
            <w:tcW w:w="6817" w:type="dxa"/>
            <w:shd w:val="clear" w:color="auto" w:fill="auto"/>
          </w:tcPr>
          <w:p w14:paraId="72ACF3AA">
            <w:pPr>
              <w:pStyle w:val="150"/>
            </w:pPr>
            <w:r>
              <w:rPr>
                <w:rFonts w:hint="eastAsia"/>
              </w:rPr>
              <w:t>开启后选择相关关键字对</w:t>
            </w:r>
            <w:r>
              <w:t>Telnet协议传输的命令进行控制</w:t>
            </w:r>
          </w:p>
        </w:tc>
      </w:tr>
      <w:tr w14:paraId="2B7F49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302EBEE9">
            <w:pPr>
              <w:pStyle w:val="150"/>
            </w:pPr>
            <w:r>
              <w:rPr>
                <w:rFonts w:hint="eastAsia"/>
              </w:rPr>
              <w:t>处理动作</w:t>
            </w:r>
          </w:p>
        </w:tc>
        <w:tc>
          <w:tcPr>
            <w:tcW w:w="6817" w:type="dxa"/>
            <w:shd w:val="clear" w:color="auto" w:fill="auto"/>
          </w:tcPr>
          <w:p w14:paraId="0C5ECA30">
            <w:pPr>
              <w:pStyle w:val="150"/>
            </w:pPr>
            <w:r>
              <w:rPr>
                <w:rFonts w:hint="eastAsia"/>
              </w:rPr>
              <w:t>对匹配到关键字的</w:t>
            </w:r>
            <w:r>
              <w:t>Telnet协议进行过滤</w:t>
            </w:r>
          </w:p>
        </w:tc>
      </w:tr>
      <w:tr w14:paraId="702C247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D296CAC">
            <w:pPr>
              <w:pStyle w:val="150"/>
            </w:pPr>
            <w:r>
              <w:rPr>
                <w:rFonts w:hint="eastAsia"/>
              </w:rPr>
              <w:t>日志级别</w:t>
            </w:r>
          </w:p>
        </w:tc>
        <w:tc>
          <w:tcPr>
            <w:tcW w:w="6817" w:type="dxa"/>
            <w:shd w:val="clear" w:color="auto" w:fill="auto"/>
          </w:tcPr>
          <w:p w14:paraId="493ACF36">
            <w:pPr>
              <w:pStyle w:val="150"/>
            </w:pPr>
            <w:r>
              <w:rPr>
                <w:rFonts w:hint="eastAsia"/>
              </w:rPr>
              <w:t>选择日志级别</w:t>
            </w:r>
          </w:p>
        </w:tc>
      </w:tr>
      <w:tr w14:paraId="0BFA19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687F6E2C">
            <w:pPr>
              <w:pStyle w:val="150"/>
            </w:pPr>
            <w:r>
              <w:rPr>
                <w:rFonts w:hint="eastAsia"/>
              </w:rPr>
              <w:t>添加关键字</w:t>
            </w:r>
          </w:p>
        </w:tc>
        <w:tc>
          <w:tcPr>
            <w:tcW w:w="6817" w:type="dxa"/>
            <w:shd w:val="clear" w:color="auto" w:fill="auto"/>
          </w:tcPr>
          <w:p w14:paraId="7BB28DE2">
            <w:pPr>
              <w:pStyle w:val="150"/>
            </w:pPr>
            <w:r>
              <w:rPr>
                <w:rFonts w:hint="eastAsia"/>
              </w:rPr>
              <w:t>快速添加关键字对象</w:t>
            </w:r>
          </w:p>
        </w:tc>
      </w:tr>
    </w:tbl>
    <w:p w14:paraId="14B5F927"/>
    <w:p w14:paraId="24240178">
      <w:pPr>
        <w:pStyle w:val="4"/>
      </w:pPr>
      <w:bookmarkStart w:id="4583" w:name="_Toc196728261"/>
      <w:bookmarkStart w:id="4584" w:name="_Toc141873664"/>
      <w:bookmarkStart w:id="4585" w:name="_Toc194080929"/>
      <w:bookmarkStart w:id="4586" w:name="_Toc172218443"/>
      <w:bookmarkStart w:id="4587" w:name="_Toc142401181"/>
      <w:r>
        <w:rPr>
          <w:rFonts w:hint="eastAsia"/>
        </w:rPr>
        <w:t>URL过滤</w:t>
      </w:r>
      <w:bookmarkEnd w:id="4445"/>
      <w:bookmarkEnd w:id="4446"/>
      <w:bookmarkEnd w:id="4447"/>
      <w:bookmarkEnd w:id="4448"/>
      <w:bookmarkEnd w:id="4449"/>
      <w:bookmarkEnd w:id="4583"/>
      <w:bookmarkEnd w:id="4584"/>
      <w:bookmarkEnd w:id="4585"/>
      <w:bookmarkEnd w:id="4586"/>
      <w:bookmarkEnd w:id="4587"/>
    </w:p>
    <w:p w14:paraId="14592A32">
      <w:pPr>
        <w:pStyle w:val="5"/>
      </w:pPr>
      <w:bookmarkStart w:id="4588" w:name="_Toc15484939"/>
      <w:bookmarkStart w:id="4589" w:name="_Toc141873665"/>
      <w:bookmarkStart w:id="4590" w:name="_Toc99561777"/>
      <w:bookmarkStart w:id="4591" w:name="_Toc23152703"/>
      <w:bookmarkStart w:id="4592" w:name="_Toc40276136"/>
      <w:bookmarkStart w:id="4593" w:name="_Toc142401182"/>
      <w:bookmarkStart w:id="4594" w:name="_Toc172218444"/>
      <w:bookmarkStart w:id="4595" w:name="_Toc6235072"/>
      <w:bookmarkStart w:id="4596" w:name="_Toc194080930"/>
      <w:bookmarkStart w:id="4597" w:name="_Toc196728262"/>
      <w:r>
        <w:rPr>
          <w:rFonts w:hint="eastAsia"/>
        </w:rPr>
        <w:t>URL过滤概述</w:t>
      </w:r>
      <w:bookmarkEnd w:id="4588"/>
      <w:bookmarkEnd w:id="4589"/>
      <w:bookmarkEnd w:id="4590"/>
      <w:bookmarkEnd w:id="4591"/>
      <w:bookmarkEnd w:id="4592"/>
      <w:bookmarkEnd w:id="4593"/>
      <w:bookmarkEnd w:id="4594"/>
      <w:bookmarkEnd w:id="4595"/>
      <w:bookmarkEnd w:id="4596"/>
      <w:bookmarkEnd w:id="4597"/>
    </w:p>
    <w:p w14:paraId="3BB46C39">
      <w:r>
        <w:t>URL</w:t>
      </w:r>
      <w:r>
        <w:rPr>
          <w:rFonts w:hint="eastAsia"/>
        </w:rPr>
        <w:t>过滤是</w:t>
      </w:r>
      <w:r>
        <w:t>基于</w:t>
      </w:r>
      <w:r>
        <w:rPr>
          <w:rFonts w:hint="eastAsia"/>
        </w:rPr>
        <w:t>URL分类</w:t>
      </w:r>
      <w:r>
        <w:t>来对</w:t>
      </w:r>
      <w:r>
        <w:rPr>
          <w:rFonts w:hint="eastAsia"/>
        </w:rPr>
        <w:t>用户</w:t>
      </w:r>
      <w:r>
        <w:t>访问</w:t>
      </w:r>
      <w:r>
        <w:rPr>
          <w:rFonts w:hint="eastAsia"/>
        </w:rPr>
        <w:t>WEB站点</w:t>
      </w:r>
      <w:r>
        <w:t>进行</w:t>
      </w:r>
      <w:r>
        <w:rPr>
          <w:rFonts w:hint="eastAsia"/>
        </w:rPr>
        <w:t>控制</w:t>
      </w:r>
      <w:r>
        <w:t>，</w:t>
      </w:r>
      <w:r>
        <w:rPr>
          <w:rFonts w:hint="eastAsia"/>
        </w:rPr>
        <w:t>控制</w:t>
      </w:r>
      <w:r>
        <w:t>动作包含允许和拒绝</w:t>
      </w:r>
      <w:r>
        <w:rPr>
          <w:rFonts w:hint="eastAsia"/>
        </w:rPr>
        <w:t>。这样可以通过对HTTP协议的</w:t>
      </w:r>
      <w:r>
        <w:t>控制</w:t>
      </w:r>
      <w:r>
        <w:rPr>
          <w:rFonts w:hint="eastAsia"/>
        </w:rPr>
        <w:t>为用户提供应用级的安全防护和访问限制。</w:t>
      </w:r>
    </w:p>
    <w:p w14:paraId="13A8990E">
      <w:pPr>
        <w:pStyle w:val="5"/>
      </w:pPr>
      <w:bookmarkStart w:id="4598" w:name="_Toc194080931"/>
      <w:bookmarkStart w:id="4599" w:name="_Toc142401183"/>
      <w:bookmarkStart w:id="4600" w:name="_Toc196728263"/>
      <w:bookmarkStart w:id="4601" w:name="_Toc141873666"/>
      <w:bookmarkStart w:id="4602" w:name="_Toc40276137"/>
      <w:bookmarkStart w:id="4603" w:name="_Toc23152704"/>
      <w:bookmarkStart w:id="4604" w:name="_Toc172218445"/>
      <w:bookmarkStart w:id="4605" w:name="_Toc6235073"/>
      <w:bookmarkStart w:id="4606" w:name="_Toc99561778"/>
      <w:bookmarkStart w:id="4607" w:name="_Toc15484940"/>
      <w:r>
        <w:rPr>
          <w:rFonts w:hint="eastAsia"/>
        </w:rPr>
        <w:t>URL过滤策略</w:t>
      </w:r>
      <w:r>
        <w:t>页面</w:t>
      </w:r>
      <w:bookmarkEnd w:id="4598"/>
      <w:bookmarkEnd w:id="4599"/>
      <w:bookmarkEnd w:id="4600"/>
      <w:bookmarkEnd w:id="4601"/>
      <w:bookmarkEnd w:id="4602"/>
      <w:bookmarkEnd w:id="4603"/>
      <w:bookmarkEnd w:id="4604"/>
      <w:bookmarkEnd w:id="4605"/>
      <w:bookmarkEnd w:id="4606"/>
      <w:bookmarkEnd w:id="4607"/>
    </w:p>
    <w:p w14:paraId="46047977">
      <w:r>
        <w:rPr>
          <w:rFonts w:hint="eastAsia"/>
        </w:rPr>
        <w:t>在导航栏中选择“策略配置&gt;控制策略”，单击&lt;新建&gt;按钮，选择“</w:t>
      </w:r>
      <w:r>
        <w:t>URL过滤</w:t>
      </w:r>
      <w:r>
        <w:rPr>
          <w:rFonts w:hint="eastAsia"/>
        </w:rPr>
        <w:t>&gt;</w:t>
      </w:r>
      <w:r>
        <w:t>URL控制</w:t>
      </w:r>
      <w:r>
        <w:rPr>
          <w:rFonts w:hint="eastAsia"/>
        </w:rPr>
        <w:t>”标签页，新建URL过滤</w:t>
      </w:r>
      <w:r>
        <w:t>策略，</w:t>
      </w:r>
      <w:r>
        <w:rPr>
          <w:rFonts w:hint="eastAsia"/>
        </w:rPr>
        <w:t>如</w:t>
      </w:r>
      <w:r>
        <w:rPr>
          <w:color w:val="0000FF"/>
          <w:u w:val="single"/>
        </w:rPr>
        <w:fldChar w:fldCharType="begin"/>
      </w:r>
      <w:r>
        <w:instrText xml:space="preserve"> </w:instrText>
      </w:r>
      <w:r>
        <w:rPr>
          <w:rFonts w:hint="eastAsia"/>
        </w:rPr>
        <w:instrText xml:space="preserve">REF _Ref5627873 \r \h</w:instrText>
      </w:r>
      <w:r>
        <w:instrText xml:space="preserve"> </w:instrText>
      </w:r>
      <w:r>
        <w:rPr>
          <w:color w:val="0000FF"/>
          <w:u w:val="single"/>
        </w:rPr>
        <w:fldChar w:fldCharType="separate"/>
      </w:r>
      <w:r>
        <w:rPr>
          <w:rFonts w:hint="eastAsia"/>
        </w:rPr>
        <w:t>图14-61</w:t>
      </w:r>
      <w:r>
        <w:rPr>
          <w:color w:val="0000FF"/>
          <w:u w:val="single"/>
        </w:rPr>
        <w:fldChar w:fldCharType="end"/>
      </w:r>
      <w:r>
        <w:rPr>
          <w:rFonts w:hint="eastAsia"/>
        </w:rPr>
        <w:t>所示。URL过滤策略</w:t>
      </w:r>
      <w:r>
        <w:t>页面详细</w:t>
      </w:r>
      <w:r>
        <w:rPr>
          <w:rFonts w:hint="eastAsia"/>
        </w:rPr>
        <w:t>配置说明，如</w:t>
      </w:r>
      <w:r>
        <w:rPr>
          <w:color w:val="0000FF"/>
          <w:u w:val="single"/>
        </w:rPr>
        <w:fldChar w:fldCharType="begin"/>
      </w:r>
      <w:r>
        <w:instrText xml:space="preserve"> </w:instrText>
      </w:r>
      <w:r>
        <w:rPr>
          <w:rFonts w:hint="eastAsia"/>
        </w:rPr>
        <w:instrText xml:space="preserve">REF _Ref5627878 \r \h</w:instrText>
      </w:r>
      <w:r>
        <w:instrText xml:space="preserve"> </w:instrText>
      </w:r>
      <w:r>
        <w:rPr>
          <w:color w:val="0000FF"/>
          <w:u w:val="single"/>
        </w:rPr>
        <w:fldChar w:fldCharType="separate"/>
      </w:r>
      <w:r>
        <w:rPr>
          <w:rFonts w:hint="eastAsia"/>
        </w:rPr>
        <w:t>表14-1</w:t>
      </w:r>
      <w:r>
        <w:rPr>
          <w:color w:val="0000FF"/>
          <w:u w:val="single"/>
        </w:rPr>
        <w:fldChar w:fldCharType="end"/>
      </w:r>
      <w:r>
        <w:rPr>
          <w:rFonts w:hint="eastAsia"/>
        </w:rPr>
        <w:t>所示。</w:t>
      </w:r>
    </w:p>
    <w:p w14:paraId="34B499BB">
      <w:pPr>
        <w:pStyle w:val="188"/>
      </w:pPr>
      <w:bookmarkStart w:id="4608" w:name="_Toc141875074"/>
      <w:bookmarkStart w:id="4609" w:name="_Ref5627873"/>
      <w:r>
        <w:rPr>
          <w:rFonts w:hint="eastAsia"/>
        </w:rPr>
        <w:t>URL过滤策略</w:t>
      </w:r>
      <w:bookmarkEnd w:id="4608"/>
      <w:bookmarkEnd w:id="4609"/>
    </w:p>
    <w:p w14:paraId="0F7A6A10">
      <w:r>
        <w:drawing>
          <wp:inline distT="0" distB="0" distL="0" distR="0">
            <wp:extent cx="5400040" cy="3842385"/>
            <wp:effectExtent l="0" t="0" r="0" b="5715"/>
            <wp:docPr id="3793" name="图片 3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 name="图片 3793"/>
                    <pic:cNvPicPr>
                      <a:picLocks noChangeAspect="1"/>
                    </pic:cNvPicPr>
                  </pic:nvPicPr>
                  <pic:blipFill>
                    <a:blip r:embed="rId629"/>
                    <a:stretch>
                      <a:fillRect/>
                    </a:stretch>
                  </pic:blipFill>
                  <pic:spPr>
                    <a:xfrm>
                      <a:off x="0" y="0"/>
                      <a:ext cx="5400040" cy="3842602"/>
                    </a:xfrm>
                    <a:prstGeom prst="rect">
                      <a:avLst/>
                    </a:prstGeom>
                  </pic:spPr>
                </pic:pic>
              </a:graphicData>
            </a:graphic>
          </wp:inline>
        </w:drawing>
      </w:r>
    </w:p>
    <w:p w14:paraId="66439418"/>
    <w:p w14:paraId="499543F8">
      <w:pPr>
        <w:pStyle w:val="183"/>
      </w:pPr>
      <w:bookmarkStart w:id="4610" w:name="_Ref5627878"/>
      <w:bookmarkStart w:id="4611" w:name="_Toc141875673"/>
      <w:r>
        <w:rPr>
          <w:rFonts w:hint="eastAsia"/>
        </w:rPr>
        <w:t>URL过滤</w:t>
      </w:r>
      <w:r>
        <w:t>策略</w:t>
      </w:r>
      <w:r>
        <w:rPr>
          <w:rFonts w:hint="eastAsia"/>
        </w:rPr>
        <w:t>详细配置</w:t>
      </w:r>
      <w:bookmarkEnd w:id="4610"/>
      <w:bookmarkEnd w:id="4611"/>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3"/>
        <w:gridCol w:w="6637"/>
      </w:tblGrid>
      <w:tr w14:paraId="52F018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tcBorders>
              <w:tl2br w:val="nil"/>
              <w:tr2bl w:val="nil"/>
            </w:tcBorders>
            <w:shd w:val="clear" w:color="auto" w:fill="538135" w:themeFill="accent6" w:themeFillShade="BF"/>
            <w:vAlign w:val="center"/>
          </w:tcPr>
          <w:p w14:paraId="7E5D6678">
            <w:pPr>
              <w:pStyle w:val="149"/>
              <w:wordWrap/>
              <w:rPr>
                <w:b/>
                <w:bCs/>
                <w:i w:val="0"/>
                <w:iCs w:val="0"/>
              </w:rPr>
            </w:pPr>
            <w:r>
              <w:rPr>
                <w:rFonts w:hint="eastAsia"/>
                <w:b/>
                <w:bCs/>
                <w:i w:val="0"/>
                <w:iCs w:val="0"/>
              </w:rPr>
              <w:t>标题项</w:t>
            </w:r>
          </w:p>
        </w:tc>
        <w:tc>
          <w:tcPr>
            <w:tcW w:w="6637" w:type="dxa"/>
            <w:tcBorders>
              <w:tl2br w:val="nil"/>
              <w:tr2bl w:val="nil"/>
            </w:tcBorders>
            <w:shd w:val="clear" w:color="auto" w:fill="538135" w:themeFill="accent6" w:themeFillShade="BF"/>
            <w:vAlign w:val="center"/>
          </w:tcPr>
          <w:p w14:paraId="60310094">
            <w:pPr>
              <w:pStyle w:val="149"/>
              <w:wordWrap/>
              <w:rPr>
                <w:b/>
                <w:bCs/>
                <w:i w:val="0"/>
                <w:iCs w:val="0"/>
              </w:rPr>
            </w:pPr>
            <w:r>
              <w:rPr>
                <w:rFonts w:hint="eastAsia"/>
                <w:b/>
                <w:bCs/>
                <w:i w:val="0"/>
                <w:iCs w:val="0"/>
              </w:rPr>
              <w:t>说明</w:t>
            </w:r>
          </w:p>
        </w:tc>
      </w:tr>
      <w:tr w14:paraId="7386E7D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5FEFF97E">
            <w:pPr>
              <w:pStyle w:val="150"/>
            </w:pPr>
            <w:r>
              <w:rPr>
                <w:rFonts w:hint="eastAsia"/>
              </w:rPr>
              <w:t>启用</w:t>
            </w:r>
          </w:p>
        </w:tc>
        <w:tc>
          <w:tcPr>
            <w:tcW w:w="6637" w:type="dxa"/>
            <w:shd w:val="clear" w:color="auto" w:fill="auto"/>
          </w:tcPr>
          <w:p w14:paraId="144343A6">
            <w:pPr>
              <w:pStyle w:val="150"/>
            </w:pPr>
            <w:r>
              <w:rPr>
                <w:rFonts w:hint="eastAsia"/>
              </w:rPr>
              <w:t>勾选后则启用URL过滤</w:t>
            </w:r>
            <w:r>
              <w:t>策略</w:t>
            </w:r>
            <w:r>
              <w:rPr>
                <w:rFonts w:hint="eastAsia"/>
              </w:rPr>
              <w:t>。</w:t>
            </w:r>
          </w:p>
        </w:tc>
      </w:tr>
      <w:tr w14:paraId="6176B9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1979B160">
            <w:pPr>
              <w:pStyle w:val="150"/>
            </w:pPr>
            <w:r>
              <w:rPr>
                <w:rFonts w:hint="eastAsia"/>
              </w:rPr>
              <w:t>DNS过滤</w:t>
            </w:r>
          </w:p>
        </w:tc>
        <w:tc>
          <w:tcPr>
            <w:tcW w:w="6637" w:type="dxa"/>
            <w:shd w:val="clear" w:color="auto" w:fill="auto"/>
          </w:tcPr>
          <w:p w14:paraId="6C966A3E">
            <w:pPr>
              <w:pStyle w:val="150"/>
            </w:pPr>
            <w:r>
              <w:rPr>
                <w:rFonts w:hint="eastAsia"/>
              </w:rPr>
              <w:t>勾选后则启用DNS过滤功能。启用DNS过滤功能且URL策略配置为阻断时，终端访问域名时，DNS查询请求无法通过设备转发出去，终端无法获得要访问的域名的IP地址。</w:t>
            </w:r>
          </w:p>
        </w:tc>
      </w:tr>
      <w:tr w14:paraId="0FAEDA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22B60EA2">
            <w:pPr>
              <w:pStyle w:val="150"/>
            </w:pPr>
            <w:r>
              <w:rPr>
                <w:rFonts w:hint="eastAsia"/>
              </w:rPr>
              <w:t>描述</w:t>
            </w:r>
          </w:p>
        </w:tc>
        <w:tc>
          <w:tcPr>
            <w:tcW w:w="6637" w:type="dxa"/>
            <w:shd w:val="clear" w:color="auto" w:fill="auto"/>
          </w:tcPr>
          <w:p w14:paraId="3D5C0EC1">
            <w:pPr>
              <w:pStyle w:val="150"/>
            </w:pPr>
            <w:r>
              <w:rPr>
                <w:rFonts w:hint="eastAsia"/>
              </w:rPr>
              <w:t>URL过滤</w:t>
            </w:r>
            <w:r>
              <w:t>策略</w:t>
            </w:r>
            <w:r>
              <w:rPr>
                <w:rFonts w:hint="eastAsia"/>
              </w:rPr>
              <w:t>的描述信息。</w:t>
            </w:r>
          </w:p>
        </w:tc>
      </w:tr>
      <w:tr w14:paraId="4C5DC4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4210B320">
            <w:pPr>
              <w:pStyle w:val="150"/>
            </w:pPr>
            <w:r>
              <w:rPr>
                <w:rFonts w:hint="eastAsia"/>
              </w:rPr>
              <w:t>U</w:t>
            </w:r>
            <w:r>
              <w:t>RL</w:t>
            </w:r>
            <w:r>
              <w:rPr>
                <w:rFonts w:hint="eastAsia"/>
              </w:rPr>
              <w:t>分类</w:t>
            </w:r>
          </w:p>
        </w:tc>
        <w:tc>
          <w:tcPr>
            <w:tcW w:w="6637" w:type="dxa"/>
            <w:shd w:val="clear" w:color="auto" w:fill="auto"/>
          </w:tcPr>
          <w:p w14:paraId="15B498FC">
            <w:pPr>
              <w:pStyle w:val="150"/>
            </w:pPr>
            <w:r>
              <w:rPr>
                <w:rFonts w:hint="eastAsia"/>
              </w:rPr>
              <w:t>URL预定义</w:t>
            </w:r>
            <w:r>
              <w:t>分类</w:t>
            </w:r>
            <w:r>
              <w:rPr>
                <w:rFonts w:hint="eastAsia"/>
              </w:rPr>
              <w:t>和</w:t>
            </w:r>
            <w:r>
              <w:t>自定义分类</w:t>
            </w:r>
            <w:r>
              <w:rPr>
                <w:rFonts w:hint="eastAsia"/>
              </w:rPr>
              <w:t>。</w:t>
            </w:r>
          </w:p>
        </w:tc>
      </w:tr>
      <w:tr w14:paraId="413E40E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444945BC">
            <w:pPr>
              <w:pStyle w:val="150"/>
            </w:pPr>
            <w:r>
              <w:rPr>
                <w:rFonts w:hint="eastAsia"/>
              </w:rPr>
              <w:t>处理动作</w:t>
            </w:r>
          </w:p>
        </w:tc>
        <w:tc>
          <w:tcPr>
            <w:tcW w:w="6637" w:type="dxa"/>
            <w:shd w:val="clear" w:color="auto" w:fill="auto"/>
          </w:tcPr>
          <w:p w14:paraId="4A051D34">
            <w:pPr>
              <w:pStyle w:val="150"/>
            </w:pPr>
            <w:r>
              <w:rPr>
                <w:rFonts w:hint="eastAsia"/>
              </w:rPr>
              <w:t>处理</w:t>
            </w:r>
            <w:r>
              <w:t>动作包括</w:t>
            </w:r>
            <w:r>
              <w:rPr>
                <w:rFonts w:hint="eastAsia"/>
              </w:rPr>
              <w:t>：允许、</w:t>
            </w:r>
            <w:r>
              <w:t>拒绝</w:t>
            </w:r>
            <w:r>
              <w:rPr>
                <w:rFonts w:hint="eastAsia"/>
              </w:rPr>
              <w:t>。</w:t>
            </w:r>
          </w:p>
        </w:tc>
      </w:tr>
      <w:tr w14:paraId="718F6C2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0C4D0F80">
            <w:pPr>
              <w:pStyle w:val="150"/>
            </w:pPr>
            <w:r>
              <w:rPr>
                <w:rFonts w:hint="eastAsia"/>
              </w:rPr>
              <w:t>日志级别</w:t>
            </w:r>
          </w:p>
        </w:tc>
        <w:tc>
          <w:tcPr>
            <w:tcW w:w="6637" w:type="dxa"/>
            <w:shd w:val="clear" w:color="auto" w:fill="auto"/>
          </w:tcPr>
          <w:p w14:paraId="035867B6">
            <w:pPr>
              <w:pStyle w:val="150"/>
            </w:pPr>
            <w:r>
              <w:rPr>
                <w:rFonts w:hint="eastAsia"/>
              </w:rPr>
              <w:t>日志</w:t>
            </w:r>
            <w:r>
              <w:t>级别</w:t>
            </w:r>
            <w:r>
              <w:rPr>
                <w:rFonts w:hint="eastAsia"/>
              </w:rPr>
              <w:t>包含</w:t>
            </w:r>
            <w:r>
              <w:t>：</w:t>
            </w:r>
            <w:r>
              <w:rPr>
                <w:rFonts w:hint="eastAsia"/>
              </w:rPr>
              <w:t>紧急</w:t>
            </w:r>
            <w:r>
              <w:t>、告警、严重、错误</w:t>
            </w:r>
            <w:r>
              <w:rPr>
                <w:rFonts w:hint="eastAsia"/>
              </w:rPr>
              <w:t>、</w:t>
            </w:r>
            <w:r>
              <w:t>警告、通知、信息、调试、不记录</w:t>
            </w:r>
            <w:r>
              <w:rPr>
                <w:rFonts w:hint="eastAsia"/>
              </w:rPr>
              <w:t>。</w:t>
            </w:r>
          </w:p>
        </w:tc>
      </w:tr>
      <w:tr w14:paraId="6AF776E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26353FD5">
            <w:pPr>
              <w:pStyle w:val="150"/>
            </w:pPr>
            <w:r>
              <w:rPr>
                <w:rFonts w:hint="eastAsia"/>
              </w:rPr>
              <w:t>提交</w:t>
            </w:r>
          </w:p>
        </w:tc>
        <w:tc>
          <w:tcPr>
            <w:tcW w:w="6637" w:type="dxa"/>
            <w:shd w:val="clear" w:color="auto" w:fill="auto"/>
          </w:tcPr>
          <w:p w14:paraId="63DE873F">
            <w:pPr>
              <w:pStyle w:val="150"/>
            </w:pPr>
            <w:r>
              <w:rPr>
                <w:rFonts w:hint="eastAsia"/>
              </w:rPr>
              <w:t>提交后</w:t>
            </w:r>
            <w:r>
              <w:t>当前规则新建成功。</w:t>
            </w:r>
          </w:p>
        </w:tc>
      </w:tr>
      <w:tr w14:paraId="3D5AE1E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3299F8F4">
            <w:pPr>
              <w:pStyle w:val="150"/>
            </w:pPr>
            <w:r>
              <w:rPr>
                <w:rFonts w:hint="eastAsia"/>
              </w:rPr>
              <w:t>取消</w:t>
            </w:r>
          </w:p>
        </w:tc>
        <w:tc>
          <w:tcPr>
            <w:tcW w:w="6637" w:type="dxa"/>
            <w:shd w:val="clear" w:color="auto" w:fill="auto"/>
          </w:tcPr>
          <w:p w14:paraId="57F06B8D">
            <w:pPr>
              <w:pStyle w:val="150"/>
            </w:pPr>
            <w:r>
              <w:rPr>
                <w:rFonts w:hint="eastAsia"/>
              </w:rPr>
              <w:t>取消</w:t>
            </w:r>
            <w:r>
              <w:t>规则创建</w:t>
            </w:r>
            <w:r>
              <w:rPr>
                <w:rFonts w:hint="eastAsia"/>
              </w:rPr>
              <w:t>，</w:t>
            </w:r>
            <w:r>
              <w:t>不下发配置。</w:t>
            </w:r>
          </w:p>
        </w:tc>
      </w:tr>
    </w:tbl>
    <w:p w14:paraId="629A3BE7"/>
    <w:p w14:paraId="51F901F5">
      <w:r>
        <w:rPr>
          <w:rFonts w:hint="eastAsia"/>
        </w:rPr>
        <w:t>URL过滤策略创建</w:t>
      </w:r>
      <w:r>
        <w:t>成功后</w:t>
      </w:r>
      <w:r>
        <w:rPr>
          <w:rFonts w:hint="eastAsia"/>
        </w:rPr>
        <w:t>如</w:t>
      </w:r>
      <w:r>
        <w:fldChar w:fldCharType="begin"/>
      </w:r>
      <w:r>
        <w:instrText xml:space="preserve"> </w:instrText>
      </w:r>
      <w:r>
        <w:rPr>
          <w:rFonts w:hint="eastAsia"/>
        </w:rPr>
        <w:instrText xml:space="preserve">REF _Ref5627886 \r \h</w:instrText>
      </w:r>
      <w:r>
        <w:instrText xml:space="preserve"> </w:instrText>
      </w:r>
      <w:r>
        <w:fldChar w:fldCharType="separate"/>
      </w:r>
      <w:r>
        <w:rPr>
          <w:rFonts w:hint="eastAsia"/>
        </w:rPr>
        <w:t>图14-62</w:t>
      </w:r>
      <w:r>
        <w:fldChar w:fldCharType="end"/>
      </w:r>
      <w:r>
        <w:rPr>
          <w:rFonts w:hint="eastAsia"/>
        </w:rPr>
        <w:t>所示。策略显示</w:t>
      </w:r>
      <w:r>
        <w:t>详细</w:t>
      </w:r>
      <w:r>
        <w:rPr>
          <w:rFonts w:hint="eastAsia"/>
        </w:rPr>
        <w:t>说明，如</w:t>
      </w:r>
      <w:r>
        <w:fldChar w:fldCharType="begin"/>
      </w:r>
      <w:r>
        <w:instrText xml:space="preserve"> </w:instrText>
      </w:r>
      <w:r>
        <w:rPr>
          <w:rFonts w:hint="eastAsia"/>
        </w:rPr>
        <w:instrText xml:space="preserve">REF _Ref5627890 \r \h</w:instrText>
      </w:r>
      <w:r>
        <w:instrText xml:space="preserve"> </w:instrText>
      </w:r>
      <w:r>
        <w:fldChar w:fldCharType="separate"/>
      </w:r>
      <w:r>
        <w:rPr>
          <w:rFonts w:hint="eastAsia"/>
        </w:rPr>
        <w:t>表14-1</w:t>
      </w:r>
      <w:r>
        <w:fldChar w:fldCharType="end"/>
      </w:r>
      <w:r>
        <w:rPr>
          <w:rFonts w:hint="eastAsia"/>
        </w:rPr>
        <w:t>所示。</w:t>
      </w:r>
    </w:p>
    <w:p w14:paraId="58CCE334">
      <w:pPr>
        <w:pStyle w:val="188"/>
      </w:pPr>
      <w:bookmarkStart w:id="4612" w:name="_Toc141875075"/>
      <w:bookmarkStart w:id="4613" w:name="_Ref5627886"/>
      <w:r>
        <w:rPr>
          <w:rFonts w:hint="eastAsia"/>
        </w:rPr>
        <w:t>URL过滤</w:t>
      </w:r>
      <w:r>
        <w:t>策略</w:t>
      </w:r>
      <w:r>
        <w:rPr>
          <w:rFonts w:hint="eastAsia"/>
        </w:rPr>
        <w:t>配置</w:t>
      </w:r>
      <w:r>
        <w:t>显示</w:t>
      </w:r>
      <w:bookmarkEnd w:id="4612"/>
      <w:bookmarkEnd w:id="4613"/>
    </w:p>
    <w:p w14:paraId="47351B81">
      <w:r>
        <w:drawing>
          <wp:inline distT="0" distB="0" distL="0" distR="0">
            <wp:extent cx="5581650" cy="908685"/>
            <wp:effectExtent l="0" t="0" r="0" b="5715"/>
            <wp:docPr id="2859" name="图片 2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9" name="图片 2859"/>
                    <pic:cNvPicPr>
                      <a:picLocks noChangeAspect="1"/>
                    </pic:cNvPicPr>
                  </pic:nvPicPr>
                  <pic:blipFill>
                    <a:blip r:embed="rId630"/>
                    <a:stretch>
                      <a:fillRect/>
                    </a:stretch>
                  </pic:blipFill>
                  <pic:spPr>
                    <a:xfrm>
                      <a:off x="0" y="0"/>
                      <a:ext cx="5607424" cy="913337"/>
                    </a:xfrm>
                    <a:prstGeom prst="rect">
                      <a:avLst/>
                    </a:prstGeom>
                  </pic:spPr>
                </pic:pic>
              </a:graphicData>
            </a:graphic>
          </wp:inline>
        </w:drawing>
      </w:r>
    </w:p>
    <w:p w14:paraId="5B6D06FE"/>
    <w:p w14:paraId="00B22408">
      <w:pPr>
        <w:pStyle w:val="183"/>
      </w:pPr>
      <w:bookmarkStart w:id="4614" w:name="_Toc141875674"/>
      <w:bookmarkStart w:id="4615" w:name="_Ref5627890"/>
      <w:r>
        <w:rPr>
          <w:rFonts w:hint="eastAsia"/>
        </w:rPr>
        <w:t>URL过滤</w:t>
      </w:r>
      <w:r>
        <w:t>策略配置显示详细说明</w:t>
      </w:r>
      <w:bookmarkEnd w:id="4614"/>
      <w:bookmarkEnd w:id="4615"/>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498"/>
        <w:gridCol w:w="7472"/>
      </w:tblGrid>
      <w:tr w14:paraId="44CB37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tcBorders>
              <w:tl2br w:val="nil"/>
              <w:tr2bl w:val="nil"/>
            </w:tcBorders>
            <w:shd w:val="clear" w:color="auto" w:fill="538135" w:themeFill="accent6" w:themeFillShade="BF"/>
            <w:vAlign w:val="center"/>
          </w:tcPr>
          <w:p w14:paraId="4D1CEDA5">
            <w:pPr>
              <w:pStyle w:val="149"/>
              <w:wordWrap/>
              <w:rPr>
                <w:b/>
                <w:bCs/>
                <w:i w:val="0"/>
                <w:iCs w:val="0"/>
              </w:rPr>
            </w:pPr>
            <w:r>
              <w:rPr>
                <w:rFonts w:hint="eastAsia"/>
                <w:b/>
                <w:bCs/>
                <w:i w:val="0"/>
                <w:iCs w:val="0"/>
              </w:rPr>
              <w:t>标题项</w:t>
            </w:r>
          </w:p>
        </w:tc>
        <w:tc>
          <w:tcPr>
            <w:tcW w:w="7472" w:type="dxa"/>
            <w:tcBorders>
              <w:tl2br w:val="nil"/>
              <w:tr2bl w:val="nil"/>
            </w:tcBorders>
            <w:shd w:val="clear" w:color="auto" w:fill="538135" w:themeFill="accent6" w:themeFillShade="BF"/>
            <w:vAlign w:val="center"/>
          </w:tcPr>
          <w:p w14:paraId="69D5A942">
            <w:pPr>
              <w:pStyle w:val="149"/>
              <w:wordWrap/>
              <w:rPr>
                <w:b/>
                <w:bCs/>
                <w:i w:val="0"/>
                <w:iCs w:val="0"/>
              </w:rPr>
            </w:pPr>
            <w:r>
              <w:rPr>
                <w:rFonts w:hint="eastAsia"/>
                <w:b/>
                <w:bCs/>
                <w:i w:val="0"/>
                <w:iCs w:val="0"/>
              </w:rPr>
              <w:t>说明</w:t>
            </w:r>
          </w:p>
        </w:tc>
      </w:tr>
      <w:tr w14:paraId="7E5F3A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432B3942">
            <w:pPr>
              <w:pStyle w:val="150"/>
            </w:pPr>
            <w:r>
              <w:rPr>
                <w:rFonts w:hint="eastAsia"/>
              </w:rPr>
              <w:t>I</w:t>
            </w:r>
            <w:r>
              <w:t>D</w:t>
            </w:r>
          </w:p>
        </w:tc>
        <w:tc>
          <w:tcPr>
            <w:tcW w:w="7472" w:type="dxa"/>
            <w:shd w:val="clear" w:color="auto" w:fill="auto"/>
          </w:tcPr>
          <w:p w14:paraId="6C406B3F">
            <w:pPr>
              <w:pStyle w:val="150"/>
            </w:pPr>
            <w:r>
              <w:rPr>
                <w:rFonts w:hint="eastAsia"/>
              </w:rPr>
              <w:t>策略对应ID，代表策略</w:t>
            </w:r>
            <w:r>
              <w:t>优先级</w:t>
            </w:r>
            <w:r>
              <w:rPr>
                <w:rFonts w:hint="eastAsia"/>
              </w:rPr>
              <w:t>。</w:t>
            </w:r>
          </w:p>
        </w:tc>
      </w:tr>
      <w:tr w14:paraId="1A9873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265A3917">
            <w:pPr>
              <w:pStyle w:val="150"/>
            </w:pPr>
            <w:r>
              <w:rPr>
                <w:rFonts w:hint="eastAsia"/>
              </w:rPr>
              <w:t>描述</w:t>
            </w:r>
          </w:p>
        </w:tc>
        <w:tc>
          <w:tcPr>
            <w:tcW w:w="7472" w:type="dxa"/>
            <w:shd w:val="clear" w:color="auto" w:fill="auto"/>
          </w:tcPr>
          <w:p w14:paraId="6E4CFD25">
            <w:pPr>
              <w:pStyle w:val="150"/>
            </w:pPr>
            <w:r>
              <w:rPr>
                <w:rFonts w:hint="eastAsia"/>
              </w:rPr>
              <w:t>策略</w:t>
            </w:r>
            <w:r>
              <w:t>描述</w:t>
            </w:r>
            <w:r>
              <w:rPr>
                <w:rFonts w:hint="eastAsia"/>
              </w:rPr>
              <w:t>信息显示。</w:t>
            </w:r>
          </w:p>
        </w:tc>
      </w:tr>
      <w:tr w14:paraId="31FFF8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65A01109">
            <w:pPr>
              <w:pStyle w:val="150"/>
            </w:pPr>
            <w:r>
              <w:rPr>
                <w:rFonts w:hint="eastAsia"/>
              </w:rPr>
              <w:t>U</w:t>
            </w:r>
            <w:r>
              <w:t>RL</w:t>
            </w:r>
            <w:r>
              <w:rPr>
                <w:rFonts w:hint="eastAsia"/>
              </w:rPr>
              <w:t>分类</w:t>
            </w:r>
          </w:p>
        </w:tc>
        <w:tc>
          <w:tcPr>
            <w:tcW w:w="7472" w:type="dxa"/>
            <w:shd w:val="clear" w:color="auto" w:fill="auto"/>
          </w:tcPr>
          <w:p w14:paraId="48BA66A1">
            <w:pPr>
              <w:pStyle w:val="150"/>
            </w:pPr>
            <w:r>
              <w:rPr>
                <w:rFonts w:hint="eastAsia"/>
              </w:rPr>
              <w:t>URL预定义</w:t>
            </w:r>
            <w:r>
              <w:t>分类</w:t>
            </w:r>
            <w:r>
              <w:rPr>
                <w:rFonts w:hint="eastAsia"/>
              </w:rPr>
              <w:t>和</w:t>
            </w:r>
            <w:r>
              <w:t>自定义分类</w:t>
            </w:r>
            <w:r>
              <w:rPr>
                <w:rFonts w:hint="eastAsia"/>
              </w:rPr>
              <w:t>。</w:t>
            </w:r>
          </w:p>
        </w:tc>
      </w:tr>
      <w:tr w14:paraId="6F513A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43F0AB59">
            <w:pPr>
              <w:pStyle w:val="150"/>
            </w:pPr>
            <w:r>
              <w:rPr>
                <w:rFonts w:hint="eastAsia"/>
              </w:rPr>
              <w:t>动作</w:t>
            </w:r>
          </w:p>
        </w:tc>
        <w:tc>
          <w:tcPr>
            <w:tcW w:w="7472" w:type="dxa"/>
            <w:shd w:val="clear" w:color="auto" w:fill="auto"/>
          </w:tcPr>
          <w:p w14:paraId="02EA3DCB">
            <w:pPr>
              <w:pStyle w:val="150"/>
            </w:pPr>
            <w:r>
              <w:rPr>
                <w:rFonts w:hint="eastAsia"/>
              </w:rPr>
              <w:t>规则</w:t>
            </w:r>
            <w:r>
              <w:t>动作</w:t>
            </w:r>
            <w:r>
              <w:rPr>
                <w:rFonts w:hint="eastAsia"/>
              </w:rPr>
              <w:t>，</w:t>
            </w:r>
            <w:r>
              <w:t>包括</w:t>
            </w:r>
            <w:r>
              <w:rPr>
                <w:rFonts w:hint="eastAsia"/>
              </w:rPr>
              <w:t>：允许、</w:t>
            </w:r>
            <w:r>
              <w:t>拒绝</w:t>
            </w:r>
            <w:r>
              <w:rPr>
                <w:rFonts w:hint="eastAsia"/>
              </w:rPr>
              <w:t>。</w:t>
            </w:r>
          </w:p>
        </w:tc>
      </w:tr>
      <w:tr w14:paraId="64A8F04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1A443BCB">
            <w:pPr>
              <w:pStyle w:val="150"/>
            </w:pPr>
            <w:r>
              <w:rPr>
                <w:rFonts w:hint="eastAsia"/>
              </w:rPr>
              <w:t>级别</w:t>
            </w:r>
          </w:p>
        </w:tc>
        <w:tc>
          <w:tcPr>
            <w:tcW w:w="7472" w:type="dxa"/>
            <w:shd w:val="clear" w:color="auto" w:fill="auto"/>
          </w:tcPr>
          <w:p w14:paraId="46B68F6C">
            <w:pPr>
              <w:pStyle w:val="150"/>
            </w:pPr>
            <w:r>
              <w:rPr>
                <w:rFonts w:hint="eastAsia"/>
              </w:rPr>
              <w:t>规则日志</w:t>
            </w:r>
            <w:r>
              <w:t>级别</w:t>
            </w:r>
            <w:r>
              <w:rPr>
                <w:rFonts w:hint="eastAsia"/>
              </w:rPr>
              <w:t>，</w:t>
            </w:r>
            <w:r>
              <w:t>包括：</w:t>
            </w:r>
            <w:r>
              <w:rPr>
                <w:rFonts w:hint="eastAsia"/>
              </w:rPr>
              <w:t>紧急</w:t>
            </w:r>
            <w:r>
              <w:t>、告警、严重、错误</w:t>
            </w:r>
            <w:r>
              <w:rPr>
                <w:rFonts w:hint="eastAsia"/>
              </w:rPr>
              <w:t>、</w:t>
            </w:r>
            <w:r>
              <w:t>警告、通知、信息、调试、不记录</w:t>
            </w:r>
            <w:r>
              <w:rPr>
                <w:rFonts w:hint="eastAsia"/>
              </w:rPr>
              <w:t>。</w:t>
            </w:r>
          </w:p>
        </w:tc>
      </w:tr>
      <w:tr w14:paraId="7444D0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4017EAE1">
            <w:pPr>
              <w:pStyle w:val="150"/>
            </w:pPr>
            <w:r>
              <w:rPr>
                <w:rFonts w:hint="eastAsia"/>
              </w:rPr>
              <w:t>启用</w:t>
            </w:r>
          </w:p>
        </w:tc>
        <w:tc>
          <w:tcPr>
            <w:tcW w:w="7472" w:type="dxa"/>
            <w:shd w:val="clear" w:color="auto" w:fill="auto"/>
          </w:tcPr>
          <w:p w14:paraId="709A8DF4">
            <w:pPr>
              <w:pStyle w:val="150"/>
            </w:pPr>
            <w:r>
              <w:rPr>
                <w:rFonts w:hint="eastAsia"/>
              </w:rPr>
              <w:t>规则</w:t>
            </w:r>
            <w:r>
              <w:t>启用状态</w:t>
            </w:r>
            <w:r>
              <w:rPr>
                <w:rFonts w:hint="eastAsia"/>
              </w:rPr>
              <w:t>显示，</w:t>
            </w:r>
            <w:r>
              <w:t>包括：启用和禁用</w:t>
            </w:r>
            <w:r>
              <w:rPr>
                <w:rFonts w:hint="eastAsia"/>
              </w:rPr>
              <w:t>。</w:t>
            </w:r>
          </w:p>
        </w:tc>
      </w:tr>
      <w:tr w14:paraId="599187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0EF1AA5B">
            <w:pPr>
              <w:pStyle w:val="150"/>
            </w:pPr>
            <w:r>
              <w:rPr>
                <w:rFonts w:hint="eastAsia"/>
              </w:rPr>
              <w:t>操作</w:t>
            </w:r>
          </w:p>
        </w:tc>
        <w:tc>
          <w:tcPr>
            <w:tcW w:w="7472" w:type="dxa"/>
            <w:shd w:val="clear" w:color="auto" w:fill="auto"/>
          </w:tcPr>
          <w:p w14:paraId="68211E3A">
            <w:pPr>
              <w:pStyle w:val="150"/>
            </w:pPr>
            <w:r>
              <w:rPr>
                <w:rFonts w:hint="eastAsia"/>
              </w:rPr>
              <w:t>支持对当前</w:t>
            </w:r>
            <w:r>
              <w:t>规则</w:t>
            </w:r>
            <w:r>
              <w:rPr>
                <w:rFonts w:hint="eastAsia"/>
              </w:rPr>
              <w:t>进行</w:t>
            </w:r>
            <w:r>
              <w:t>编辑和删除。</w:t>
            </w:r>
          </w:p>
        </w:tc>
      </w:tr>
    </w:tbl>
    <w:p w14:paraId="3F0C6522"/>
    <w:p w14:paraId="59908DAF">
      <w:pPr>
        <w:pStyle w:val="5"/>
      </w:pPr>
      <w:bookmarkStart w:id="4616" w:name="_Toc99561779"/>
      <w:bookmarkStart w:id="4617" w:name="_Toc141873667"/>
      <w:bookmarkStart w:id="4618" w:name="_Toc194080932"/>
      <w:bookmarkStart w:id="4619" w:name="_Toc15484941"/>
      <w:bookmarkStart w:id="4620" w:name="_Toc40276138"/>
      <w:bookmarkStart w:id="4621" w:name="_Toc23152705"/>
      <w:bookmarkStart w:id="4622" w:name="_Toc142401184"/>
      <w:bookmarkStart w:id="4623" w:name="_Toc172218446"/>
      <w:bookmarkStart w:id="4624" w:name="_Toc6235074"/>
      <w:bookmarkStart w:id="4625" w:name="_Toc196728264"/>
      <w:r>
        <w:rPr>
          <w:rFonts w:hint="eastAsia"/>
        </w:rPr>
        <w:t>恶意URL页面</w:t>
      </w:r>
      <w:bookmarkEnd w:id="4616"/>
      <w:bookmarkEnd w:id="4617"/>
      <w:bookmarkEnd w:id="4618"/>
      <w:bookmarkEnd w:id="4619"/>
      <w:bookmarkEnd w:id="4620"/>
      <w:bookmarkEnd w:id="4621"/>
      <w:bookmarkEnd w:id="4622"/>
      <w:bookmarkEnd w:id="4623"/>
      <w:bookmarkEnd w:id="4624"/>
      <w:bookmarkEnd w:id="4625"/>
    </w:p>
    <w:p w14:paraId="19986598">
      <w:r>
        <w:rPr>
          <w:rFonts w:hint="eastAsia"/>
        </w:rPr>
        <w:t>在导航栏中选择“策略配置&gt;控制策略”，单击&lt;新建&gt;按钮，选择“</w:t>
      </w:r>
      <w:r>
        <w:t>URL过滤</w:t>
      </w:r>
      <w:r>
        <w:rPr>
          <w:rFonts w:hint="eastAsia"/>
        </w:rPr>
        <w:t>&gt;恶意URL”标签页，如</w:t>
      </w:r>
      <w:r>
        <w:rPr>
          <w:color w:val="0000FF"/>
          <w:u w:val="single"/>
        </w:rPr>
        <w:fldChar w:fldCharType="begin"/>
      </w:r>
      <w:r>
        <w:instrText xml:space="preserve"> </w:instrText>
      </w:r>
      <w:r>
        <w:rPr>
          <w:rFonts w:hint="eastAsia"/>
        </w:rPr>
        <w:instrText xml:space="preserve">REF _Ref5627897 \r \h</w:instrText>
      </w:r>
      <w:r>
        <w:instrText xml:space="preserve"> </w:instrText>
      </w:r>
      <w:r>
        <w:rPr>
          <w:color w:val="0000FF"/>
          <w:u w:val="single"/>
        </w:rPr>
        <w:fldChar w:fldCharType="separate"/>
      </w:r>
      <w:r>
        <w:rPr>
          <w:rFonts w:hint="eastAsia"/>
        </w:rPr>
        <w:t>图14-63</w:t>
      </w:r>
      <w:r>
        <w:rPr>
          <w:color w:val="0000FF"/>
          <w:u w:val="single"/>
        </w:rPr>
        <w:fldChar w:fldCharType="end"/>
      </w:r>
      <w:r>
        <w:rPr>
          <w:rFonts w:hint="eastAsia"/>
        </w:rPr>
        <w:t>所示。恶意URL过滤</w:t>
      </w:r>
      <w:r>
        <w:t>页面详细</w:t>
      </w:r>
      <w:r>
        <w:rPr>
          <w:rFonts w:hint="eastAsia"/>
        </w:rPr>
        <w:t>配置说明，如</w:t>
      </w:r>
      <w:r>
        <w:rPr>
          <w:color w:val="0000FF"/>
          <w:u w:val="single"/>
        </w:rPr>
        <w:fldChar w:fldCharType="begin"/>
      </w:r>
      <w:r>
        <w:instrText xml:space="preserve"> </w:instrText>
      </w:r>
      <w:r>
        <w:rPr>
          <w:rFonts w:hint="eastAsia"/>
        </w:rPr>
        <w:instrText xml:space="preserve">REF _Ref5627905 \r \h</w:instrText>
      </w:r>
      <w:r>
        <w:instrText xml:space="preserve"> </w:instrText>
      </w:r>
      <w:r>
        <w:rPr>
          <w:color w:val="0000FF"/>
          <w:u w:val="single"/>
        </w:rPr>
        <w:fldChar w:fldCharType="separate"/>
      </w:r>
      <w:r>
        <w:rPr>
          <w:rFonts w:hint="eastAsia"/>
        </w:rPr>
        <w:t>表14-1</w:t>
      </w:r>
      <w:r>
        <w:rPr>
          <w:color w:val="0000FF"/>
          <w:u w:val="single"/>
        </w:rPr>
        <w:fldChar w:fldCharType="end"/>
      </w:r>
      <w:r>
        <w:rPr>
          <w:rFonts w:hint="eastAsia"/>
        </w:rPr>
        <w:t>所示。</w:t>
      </w:r>
    </w:p>
    <w:p w14:paraId="067E24BB">
      <w:pPr>
        <w:pStyle w:val="188"/>
      </w:pPr>
      <w:bookmarkStart w:id="4626" w:name="_Ref5627897"/>
      <w:bookmarkStart w:id="4627" w:name="_Toc141875076"/>
      <w:r>
        <w:rPr>
          <w:rFonts w:hint="eastAsia"/>
        </w:rPr>
        <w:t>恶意URL页面</w:t>
      </w:r>
      <w:bookmarkEnd w:id="4626"/>
      <w:bookmarkEnd w:id="4627"/>
    </w:p>
    <w:p w14:paraId="3053C95D">
      <w:r>
        <w:drawing>
          <wp:inline distT="0" distB="0" distL="0" distR="0">
            <wp:extent cx="5467350" cy="1132205"/>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631"/>
                    <a:stretch>
                      <a:fillRect/>
                    </a:stretch>
                  </pic:blipFill>
                  <pic:spPr>
                    <a:xfrm>
                      <a:off x="0" y="0"/>
                      <a:ext cx="5496415" cy="1138743"/>
                    </a:xfrm>
                    <a:prstGeom prst="rect">
                      <a:avLst/>
                    </a:prstGeom>
                  </pic:spPr>
                </pic:pic>
              </a:graphicData>
            </a:graphic>
          </wp:inline>
        </w:drawing>
      </w:r>
    </w:p>
    <w:p w14:paraId="1960CDCD"/>
    <w:p w14:paraId="31C40338">
      <w:pPr>
        <w:pStyle w:val="183"/>
      </w:pPr>
      <w:bookmarkStart w:id="4628" w:name="_Ref5627905"/>
      <w:bookmarkStart w:id="4629" w:name="_Toc141875675"/>
      <w:r>
        <w:rPr>
          <w:rFonts w:hint="eastAsia"/>
        </w:rPr>
        <w:t>恶意URL过滤详细配置</w:t>
      </w:r>
      <w:bookmarkEnd w:id="4628"/>
      <w:bookmarkEnd w:id="4629"/>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065"/>
        <w:gridCol w:w="6905"/>
      </w:tblGrid>
      <w:tr w14:paraId="26961E4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tcBorders>
              <w:tl2br w:val="nil"/>
              <w:tr2bl w:val="nil"/>
            </w:tcBorders>
            <w:shd w:val="clear" w:color="auto" w:fill="538135" w:themeFill="accent6" w:themeFillShade="BF"/>
            <w:vAlign w:val="center"/>
          </w:tcPr>
          <w:p w14:paraId="47BC5BB4">
            <w:pPr>
              <w:pStyle w:val="149"/>
              <w:wordWrap/>
              <w:rPr>
                <w:b/>
                <w:bCs/>
                <w:i w:val="0"/>
                <w:iCs w:val="0"/>
              </w:rPr>
            </w:pPr>
            <w:r>
              <w:rPr>
                <w:rFonts w:hint="eastAsia"/>
                <w:b/>
                <w:bCs/>
                <w:i w:val="0"/>
                <w:iCs w:val="0"/>
              </w:rPr>
              <w:t>标题项</w:t>
            </w:r>
          </w:p>
        </w:tc>
        <w:tc>
          <w:tcPr>
            <w:tcW w:w="6905" w:type="dxa"/>
            <w:tcBorders>
              <w:tl2br w:val="nil"/>
              <w:tr2bl w:val="nil"/>
            </w:tcBorders>
            <w:shd w:val="clear" w:color="auto" w:fill="538135" w:themeFill="accent6" w:themeFillShade="BF"/>
            <w:vAlign w:val="center"/>
          </w:tcPr>
          <w:p w14:paraId="2016D27F">
            <w:pPr>
              <w:pStyle w:val="149"/>
              <w:wordWrap/>
              <w:rPr>
                <w:b/>
                <w:bCs/>
                <w:i w:val="0"/>
                <w:iCs w:val="0"/>
              </w:rPr>
            </w:pPr>
            <w:r>
              <w:rPr>
                <w:rFonts w:hint="eastAsia"/>
                <w:b/>
                <w:bCs/>
                <w:i w:val="0"/>
                <w:iCs w:val="0"/>
              </w:rPr>
              <w:t>说明</w:t>
            </w:r>
          </w:p>
        </w:tc>
      </w:tr>
      <w:tr w14:paraId="04F812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6813DF28">
            <w:pPr>
              <w:pStyle w:val="150"/>
            </w:pPr>
            <w:r>
              <w:rPr>
                <w:rFonts w:hint="eastAsia"/>
              </w:rPr>
              <w:t>过滤</w:t>
            </w:r>
          </w:p>
        </w:tc>
        <w:tc>
          <w:tcPr>
            <w:tcW w:w="6905" w:type="dxa"/>
            <w:shd w:val="clear" w:color="auto" w:fill="auto"/>
          </w:tcPr>
          <w:p w14:paraId="5D64F42C">
            <w:pPr>
              <w:pStyle w:val="150"/>
            </w:pPr>
            <w:r>
              <w:rPr>
                <w:rFonts w:hint="eastAsia"/>
              </w:rPr>
              <w:t>勾选后则启用恶意URL过滤</w:t>
            </w:r>
            <w:r>
              <w:t>策略</w:t>
            </w:r>
            <w:r>
              <w:rPr>
                <w:rFonts w:hint="eastAsia"/>
              </w:rPr>
              <w:t>。</w:t>
            </w:r>
          </w:p>
        </w:tc>
      </w:tr>
      <w:tr w14:paraId="0945176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3BE5D746">
            <w:pPr>
              <w:pStyle w:val="150"/>
            </w:pPr>
            <w:r>
              <w:rPr>
                <w:rFonts w:hint="eastAsia"/>
              </w:rPr>
              <w:t>不过滤</w:t>
            </w:r>
          </w:p>
        </w:tc>
        <w:tc>
          <w:tcPr>
            <w:tcW w:w="6905" w:type="dxa"/>
            <w:shd w:val="clear" w:color="auto" w:fill="auto"/>
          </w:tcPr>
          <w:p w14:paraId="7B806F91">
            <w:pPr>
              <w:pStyle w:val="150"/>
            </w:pPr>
            <w:r>
              <w:rPr>
                <w:rFonts w:hint="eastAsia"/>
              </w:rPr>
              <w:t>勾选</w:t>
            </w:r>
            <w:r>
              <w:t>后</w:t>
            </w:r>
            <w:r>
              <w:rPr>
                <w:rFonts w:hint="eastAsia"/>
              </w:rPr>
              <w:t>则关闭恶意URL过滤</w:t>
            </w:r>
            <w:r>
              <w:t>策略</w:t>
            </w:r>
            <w:r>
              <w:rPr>
                <w:rFonts w:hint="eastAsia"/>
              </w:rPr>
              <w:t>。</w:t>
            </w:r>
          </w:p>
        </w:tc>
      </w:tr>
    </w:tbl>
    <w:p w14:paraId="3A9F5223"/>
    <w:p w14:paraId="0D1ED765">
      <w:pPr>
        <w:pStyle w:val="5"/>
      </w:pPr>
      <w:bookmarkStart w:id="4630" w:name="_Toc99561780"/>
      <w:bookmarkStart w:id="4631" w:name="_Toc196728265"/>
      <w:bookmarkStart w:id="4632" w:name="_Toc172218447"/>
      <w:bookmarkStart w:id="4633" w:name="_Toc40276139"/>
      <w:bookmarkStart w:id="4634" w:name="_Toc142401185"/>
      <w:bookmarkStart w:id="4635" w:name="_Toc6235076"/>
      <w:bookmarkStart w:id="4636" w:name="_Toc15484942"/>
      <w:bookmarkStart w:id="4637" w:name="_Toc23152706"/>
      <w:bookmarkStart w:id="4638" w:name="_Toc141873668"/>
      <w:bookmarkStart w:id="4639" w:name="_Toc194080933"/>
      <w:r>
        <w:rPr>
          <w:rFonts w:hint="eastAsia"/>
        </w:rPr>
        <w:t>URL过滤配置案例</w:t>
      </w:r>
      <w:bookmarkEnd w:id="4630"/>
      <w:bookmarkEnd w:id="4631"/>
      <w:bookmarkEnd w:id="4632"/>
      <w:bookmarkEnd w:id="4633"/>
      <w:bookmarkEnd w:id="4634"/>
      <w:bookmarkEnd w:id="4635"/>
      <w:bookmarkEnd w:id="4636"/>
      <w:bookmarkEnd w:id="4637"/>
      <w:bookmarkEnd w:id="4638"/>
      <w:bookmarkEnd w:id="4639"/>
    </w:p>
    <w:p w14:paraId="7339E686">
      <w:pPr>
        <w:pStyle w:val="6"/>
      </w:pPr>
      <w:r>
        <w:rPr>
          <w:rFonts w:hint="eastAsia"/>
        </w:rPr>
        <w:t>组网需求</w:t>
      </w:r>
    </w:p>
    <w:p w14:paraId="0F4DA2A9">
      <w:r>
        <w:rPr>
          <w:rFonts w:hint="eastAsia"/>
        </w:rPr>
        <w:t>针对内</w:t>
      </w:r>
      <w:r>
        <w:t>网用户</w:t>
      </w:r>
      <w:r>
        <w:rPr>
          <w:rFonts w:hint="eastAsia"/>
        </w:rPr>
        <w:t>不</w:t>
      </w:r>
      <w:r>
        <w:t>允许</w:t>
      </w:r>
      <w:r>
        <w:rPr>
          <w:rFonts w:hint="eastAsia"/>
        </w:rPr>
        <w:t>访问</w:t>
      </w:r>
      <w:r>
        <w:t>”</w:t>
      </w:r>
      <w:r>
        <w:rPr>
          <w:rFonts w:hint="eastAsia"/>
        </w:rPr>
        <w:t>新闻</w:t>
      </w:r>
      <w:r>
        <w:t>媒体”</w:t>
      </w:r>
      <w:r>
        <w:rPr>
          <w:rFonts w:hint="eastAsia"/>
        </w:rPr>
        <w:t>网站。</w:t>
      </w:r>
    </w:p>
    <w:p w14:paraId="3065EA2A">
      <w:pPr>
        <w:pStyle w:val="6"/>
      </w:pPr>
      <w:r>
        <w:rPr>
          <w:rFonts w:hint="eastAsia"/>
        </w:rPr>
        <w:t>组网图</w:t>
      </w:r>
    </w:p>
    <w:p w14:paraId="50D50CA5">
      <w:pPr>
        <w:pStyle w:val="188"/>
      </w:pPr>
      <w:bookmarkStart w:id="4640" w:name="_Toc141875077"/>
      <w:r>
        <w:rPr>
          <w:rFonts w:hint="eastAsia"/>
        </w:rPr>
        <w:t>应用</w:t>
      </w:r>
      <w:r>
        <w:t>控制</w:t>
      </w:r>
      <w:r>
        <w:rPr>
          <w:rFonts w:hint="eastAsia"/>
        </w:rPr>
        <w:t>组网图</w:t>
      </w:r>
      <w:bookmarkEnd w:id="4640"/>
    </w:p>
    <w:p w14:paraId="18530969">
      <w:r>
        <w:t xml:space="preserve"> </w:t>
      </w:r>
      <w:r>
        <w:drawing>
          <wp:inline distT="0" distB="0" distL="0" distR="0">
            <wp:extent cx="3352800" cy="742950"/>
            <wp:effectExtent l="0" t="0" r="0" b="0"/>
            <wp:docPr id="2861" name="图片 2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1" name="图片 2861"/>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a:xfrm>
                      <a:off x="0" y="0"/>
                      <a:ext cx="3352800" cy="742950"/>
                    </a:xfrm>
                    <a:prstGeom prst="rect">
                      <a:avLst/>
                    </a:prstGeom>
                    <a:noFill/>
                    <a:ln>
                      <a:noFill/>
                    </a:ln>
                  </pic:spPr>
                </pic:pic>
              </a:graphicData>
            </a:graphic>
          </wp:inline>
        </w:drawing>
      </w:r>
    </w:p>
    <w:p w14:paraId="449CB119"/>
    <w:p w14:paraId="4A42EF83">
      <w:pPr>
        <w:pStyle w:val="6"/>
      </w:pPr>
      <w:r>
        <w:rPr>
          <w:rFonts w:hint="eastAsia"/>
        </w:rPr>
        <w:t>配置步骤</w:t>
      </w:r>
    </w:p>
    <w:p w14:paraId="04EB4FDB">
      <w:pPr>
        <w:pStyle w:val="202"/>
      </w:pPr>
      <w:r>
        <w:rPr>
          <w:rFonts w:hint="eastAsia"/>
        </w:rPr>
        <w:t>创建URL过滤策略</w:t>
      </w:r>
    </w:p>
    <w:p w14:paraId="5263412D">
      <w:r>
        <w:rPr>
          <w:rFonts w:hint="eastAsia"/>
        </w:rPr>
        <w:t>在导航栏中选择“策略配置&gt;控制策略”，</w:t>
      </w:r>
      <w:r>
        <w:t>点击</w:t>
      </w:r>
      <w:r>
        <w:rPr>
          <w:rFonts w:hint="eastAsia"/>
        </w:rPr>
        <w:t>&lt;新建&gt;，选择“</w:t>
      </w:r>
      <w:r>
        <w:t>URL</w:t>
      </w:r>
      <w:r>
        <w:rPr>
          <w:rFonts w:hint="eastAsia"/>
        </w:rPr>
        <w:t>过滤&gt;</w:t>
      </w:r>
      <w:r>
        <w:t>URL</w:t>
      </w:r>
      <w:r>
        <w:rPr>
          <w:rFonts w:hint="eastAsia"/>
        </w:rPr>
        <w:t>控制”标签页，创建URL过滤</w:t>
      </w:r>
      <w:r>
        <w:t>策略，如</w:t>
      </w:r>
      <w:r>
        <w:rPr>
          <w:color w:val="0000FF"/>
          <w:u w:val="single"/>
        </w:rPr>
        <w:fldChar w:fldCharType="begin"/>
      </w:r>
      <w:r>
        <w:instrText xml:space="preserve"> REF _Ref5627918 \r \h </w:instrText>
      </w:r>
      <w:r>
        <w:rPr>
          <w:color w:val="0000FF"/>
          <w:u w:val="single"/>
        </w:rPr>
        <w:fldChar w:fldCharType="separate"/>
      </w:r>
      <w:r>
        <w:rPr>
          <w:rFonts w:hint="eastAsia"/>
        </w:rPr>
        <w:t>图14-65</w:t>
      </w:r>
      <w:r>
        <w:rPr>
          <w:color w:val="0000FF"/>
          <w:u w:val="single"/>
        </w:rPr>
        <w:fldChar w:fldCharType="end"/>
      </w:r>
      <w:r>
        <w:rPr>
          <w:rFonts w:hint="eastAsia"/>
        </w:rPr>
        <w:t>所示。</w:t>
      </w:r>
    </w:p>
    <w:p w14:paraId="44C8332A">
      <w:pPr>
        <w:pStyle w:val="188"/>
      </w:pPr>
      <w:bookmarkStart w:id="4641" w:name="_Ref5627918"/>
      <w:bookmarkStart w:id="4642" w:name="_Toc141875078"/>
      <w:r>
        <w:rPr>
          <w:rFonts w:hint="eastAsia"/>
        </w:rPr>
        <w:t>创建URL过滤策略</w:t>
      </w:r>
      <w:bookmarkEnd w:id="4641"/>
      <w:bookmarkEnd w:id="4642"/>
    </w:p>
    <w:p w14:paraId="4F5FA79A">
      <w:r>
        <w:drawing>
          <wp:inline distT="0" distB="0" distL="0" distR="0">
            <wp:extent cx="5511165" cy="750570"/>
            <wp:effectExtent l="0" t="0" r="0" b="0"/>
            <wp:docPr id="2862" name="图片 2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2" name="图片 2862"/>
                    <pic:cNvPicPr>
                      <a:picLocks noChangeAspect="1"/>
                    </pic:cNvPicPr>
                  </pic:nvPicPr>
                  <pic:blipFill>
                    <a:blip r:embed="rId633"/>
                    <a:srcRect l="9960" t="49095"/>
                    <a:stretch>
                      <a:fillRect/>
                    </a:stretch>
                  </pic:blipFill>
                  <pic:spPr>
                    <a:xfrm>
                      <a:off x="0" y="0"/>
                      <a:ext cx="5511165" cy="750570"/>
                    </a:xfrm>
                    <a:prstGeom prst="rect">
                      <a:avLst/>
                    </a:prstGeom>
                    <a:ln>
                      <a:noFill/>
                    </a:ln>
                  </pic:spPr>
                </pic:pic>
              </a:graphicData>
            </a:graphic>
          </wp:inline>
        </w:drawing>
      </w:r>
    </w:p>
    <w:p w14:paraId="23AD9484"/>
    <w:p w14:paraId="55275010">
      <w:pPr>
        <w:pStyle w:val="202"/>
        <w:rPr>
          <w:lang w:eastAsia="zh-CN"/>
        </w:rPr>
      </w:pPr>
      <w:r>
        <w:rPr>
          <w:rFonts w:hint="eastAsia"/>
          <w:lang w:eastAsia="zh-CN"/>
        </w:rPr>
        <w:t>点击</w:t>
      </w:r>
      <w:r>
        <w:rPr>
          <w:lang w:eastAsia="zh-CN"/>
        </w:rPr>
        <w:t>&lt;</w:t>
      </w:r>
      <w:r>
        <w:rPr>
          <w:rFonts w:hint="eastAsia"/>
          <w:lang w:eastAsia="zh-CN"/>
        </w:rPr>
        <w:t>提交</w:t>
      </w:r>
      <w:r>
        <w:rPr>
          <w:lang w:eastAsia="zh-CN"/>
        </w:rPr>
        <w:t>&gt;</w:t>
      </w:r>
      <w:r>
        <w:rPr>
          <w:rFonts w:hint="eastAsia"/>
          <w:lang w:eastAsia="zh-CN"/>
        </w:rPr>
        <w:t>按钮，提交配置。</w:t>
      </w:r>
    </w:p>
    <w:p w14:paraId="603753EC"/>
    <w:p w14:paraId="459B63F8">
      <w:pPr>
        <w:pStyle w:val="6"/>
      </w:pPr>
      <w:r>
        <w:rPr>
          <w:rFonts w:hint="eastAsia"/>
        </w:rPr>
        <w:t>验证配置</w:t>
      </w:r>
    </w:p>
    <w:p w14:paraId="7556F5C3">
      <w:r>
        <w:rPr>
          <w:rFonts w:hint="eastAsia"/>
        </w:rPr>
        <w:t>使用终端访问</w:t>
      </w:r>
      <w:r>
        <w:t>腾讯</w:t>
      </w:r>
      <w:r>
        <w:rPr>
          <w:rFonts w:hint="eastAsia"/>
        </w:rPr>
        <w:t>新闻</w:t>
      </w:r>
      <w:r>
        <w:t>网站</w:t>
      </w:r>
      <w:r>
        <w:rPr>
          <w:rFonts w:hint="eastAsia"/>
        </w:rPr>
        <w:t>new</w:t>
      </w:r>
      <w:r>
        <w:t>s.qq.com，</w:t>
      </w:r>
      <w:r>
        <w:rPr>
          <w:rFonts w:hint="eastAsia"/>
        </w:rPr>
        <w:t>访问</w:t>
      </w:r>
      <w:r>
        <w:t>被阻断，</w:t>
      </w:r>
      <w:r>
        <w:rPr>
          <w:rFonts w:hint="eastAsia"/>
        </w:rPr>
        <w:t>如</w:t>
      </w:r>
      <w:r>
        <w:rPr>
          <w:color w:val="0000FF"/>
          <w:u w:val="single"/>
        </w:rPr>
        <w:fldChar w:fldCharType="begin"/>
      </w:r>
      <w:r>
        <w:instrText xml:space="preserve"> </w:instrText>
      </w:r>
      <w:r>
        <w:rPr>
          <w:rFonts w:hint="eastAsia"/>
        </w:rPr>
        <w:instrText xml:space="preserve">REF _Ref5627926 \r \h</w:instrText>
      </w:r>
      <w:r>
        <w:instrText xml:space="preserve"> </w:instrText>
      </w:r>
      <w:r>
        <w:rPr>
          <w:color w:val="0000FF"/>
          <w:u w:val="single"/>
        </w:rPr>
        <w:fldChar w:fldCharType="separate"/>
      </w:r>
      <w:r>
        <w:rPr>
          <w:rFonts w:hint="eastAsia"/>
        </w:rPr>
        <w:t>图14-66</w:t>
      </w:r>
      <w:r>
        <w:rPr>
          <w:color w:val="0000FF"/>
          <w:u w:val="single"/>
        </w:rPr>
        <w:fldChar w:fldCharType="end"/>
      </w:r>
      <w:r>
        <w:rPr>
          <w:rFonts w:hint="eastAsia"/>
        </w:rPr>
        <w:t>所示。</w:t>
      </w:r>
    </w:p>
    <w:p w14:paraId="241F1D6C">
      <w:pPr>
        <w:pStyle w:val="188"/>
      </w:pPr>
      <w:bookmarkStart w:id="4643" w:name="_Ref5627926"/>
      <w:bookmarkStart w:id="4644" w:name="_Toc141875079"/>
      <w:r>
        <w:rPr>
          <w:rFonts w:hint="eastAsia"/>
        </w:rPr>
        <w:t>访问</w:t>
      </w:r>
      <w:r>
        <w:t>阻断</w:t>
      </w:r>
      <w:bookmarkEnd w:id="4643"/>
      <w:bookmarkEnd w:id="4644"/>
    </w:p>
    <w:p w14:paraId="58B87B25">
      <w:r>
        <w:drawing>
          <wp:inline distT="0" distB="0" distL="0" distR="0">
            <wp:extent cx="5505450" cy="2256155"/>
            <wp:effectExtent l="0" t="0" r="0" b="0"/>
            <wp:docPr id="2863" name="图片 2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3" name="图片 2863"/>
                    <pic:cNvPicPr>
                      <a:picLocks noChangeAspect="1"/>
                    </pic:cNvPicPr>
                  </pic:nvPicPr>
                  <pic:blipFill>
                    <a:blip r:embed="rId634"/>
                    <a:stretch>
                      <a:fillRect/>
                    </a:stretch>
                  </pic:blipFill>
                  <pic:spPr>
                    <a:xfrm>
                      <a:off x="0" y="0"/>
                      <a:ext cx="5510367" cy="2258684"/>
                    </a:xfrm>
                    <a:prstGeom prst="rect">
                      <a:avLst/>
                    </a:prstGeom>
                  </pic:spPr>
                </pic:pic>
              </a:graphicData>
            </a:graphic>
          </wp:inline>
        </w:drawing>
      </w:r>
    </w:p>
    <w:p w14:paraId="38591C26">
      <w:pPr>
        <w:pStyle w:val="5"/>
      </w:pPr>
      <w:bookmarkStart w:id="4645" w:name="_Toc142401186"/>
      <w:bookmarkStart w:id="4646" w:name="_Toc172218448"/>
      <w:bookmarkStart w:id="4647" w:name="_Toc194080934"/>
      <w:bookmarkStart w:id="4648" w:name="_Toc58604052"/>
      <w:bookmarkStart w:id="4649" w:name="_Toc196728266"/>
      <w:bookmarkStart w:id="4650" w:name="_Toc70414521"/>
      <w:bookmarkStart w:id="4651" w:name="_Toc70415458"/>
      <w:bookmarkStart w:id="4652" w:name="_Toc99561781"/>
      <w:bookmarkStart w:id="4653" w:name="_Toc141873669"/>
      <w:r>
        <w:t>DNS</w:t>
      </w:r>
      <w:r>
        <w:rPr>
          <w:rFonts w:hint="eastAsia"/>
        </w:rPr>
        <w:t>过滤配置案例</w:t>
      </w:r>
      <w:bookmarkEnd w:id="4645"/>
      <w:bookmarkEnd w:id="4646"/>
      <w:bookmarkEnd w:id="4647"/>
      <w:bookmarkEnd w:id="4648"/>
      <w:bookmarkEnd w:id="4649"/>
      <w:bookmarkEnd w:id="4650"/>
      <w:bookmarkEnd w:id="4651"/>
      <w:bookmarkEnd w:id="4652"/>
      <w:bookmarkEnd w:id="4653"/>
    </w:p>
    <w:p w14:paraId="4D99B240">
      <w:pPr>
        <w:pStyle w:val="6"/>
      </w:pPr>
      <w:r>
        <w:rPr>
          <w:rFonts w:hint="eastAsia"/>
        </w:rPr>
        <w:t>组网需求</w:t>
      </w:r>
    </w:p>
    <w:p w14:paraId="1C580FED">
      <w:r>
        <w:rPr>
          <w:rFonts w:hint="eastAsia"/>
        </w:rPr>
        <w:t>针对内</w:t>
      </w:r>
      <w:r>
        <w:t>网用户</w:t>
      </w:r>
      <w:r>
        <w:rPr>
          <w:rFonts w:hint="eastAsia"/>
        </w:rPr>
        <w:t>不</w:t>
      </w:r>
      <w:r>
        <w:t>允许</w:t>
      </w:r>
      <w:r>
        <w:rPr>
          <w:rFonts w:hint="eastAsia"/>
        </w:rPr>
        <w:t>获取</w:t>
      </w:r>
      <w:r>
        <w:t>”</w:t>
      </w:r>
      <w:r>
        <w:rPr>
          <w:rFonts w:hint="eastAsia"/>
        </w:rPr>
        <w:t>新闻</w:t>
      </w:r>
      <w:r>
        <w:t>媒体”</w:t>
      </w:r>
      <w:r>
        <w:rPr>
          <w:rFonts w:hint="eastAsia"/>
        </w:rPr>
        <w:t>类型</w:t>
      </w:r>
      <w:r>
        <w:t>的DNS</w:t>
      </w:r>
      <w:r>
        <w:rPr>
          <w:rFonts w:hint="eastAsia"/>
        </w:rPr>
        <w:t>。</w:t>
      </w:r>
    </w:p>
    <w:p w14:paraId="7967C64B">
      <w:pPr>
        <w:pStyle w:val="6"/>
      </w:pPr>
      <w:r>
        <w:rPr>
          <w:rFonts w:hint="eastAsia"/>
        </w:rPr>
        <w:t>组网图</w:t>
      </w:r>
    </w:p>
    <w:p w14:paraId="1D2F2B3A">
      <w:pPr>
        <w:pStyle w:val="188"/>
      </w:pPr>
      <w:bookmarkStart w:id="4654" w:name="_Toc141875080"/>
      <w:r>
        <w:rPr>
          <w:rFonts w:hint="eastAsia"/>
        </w:rPr>
        <w:t>应用</w:t>
      </w:r>
      <w:r>
        <w:t>控制</w:t>
      </w:r>
      <w:r>
        <w:rPr>
          <w:rFonts w:hint="eastAsia"/>
        </w:rPr>
        <w:t>组网图</w:t>
      </w:r>
      <w:bookmarkEnd w:id="4654"/>
    </w:p>
    <w:p w14:paraId="71EB537E">
      <w:r>
        <w:drawing>
          <wp:inline distT="0" distB="0" distL="0" distR="0">
            <wp:extent cx="3352800" cy="742950"/>
            <wp:effectExtent l="0" t="0" r="0" b="0"/>
            <wp:docPr id="620" name="图片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图片 620"/>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a:xfrm>
                      <a:off x="0" y="0"/>
                      <a:ext cx="3352800" cy="742950"/>
                    </a:xfrm>
                    <a:prstGeom prst="rect">
                      <a:avLst/>
                    </a:prstGeom>
                    <a:noFill/>
                    <a:ln>
                      <a:noFill/>
                    </a:ln>
                  </pic:spPr>
                </pic:pic>
              </a:graphicData>
            </a:graphic>
          </wp:inline>
        </w:drawing>
      </w:r>
    </w:p>
    <w:p w14:paraId="6BEEFC3C">
      <w:pPr>
        <w:pStyle w:val="6"/>
      </w:pPr>
      <w:r>
        <w:rPr>
          <w:rFonts w:hint="eastAsia"/>
        </w:rPr>
        <w:t>配置步骤</w:t>
      </w:r>
    </w:p>
    <w:p w14:paraId="4A4F868D">
      <w:pPr>
        <w:pStyle w:val="202"/>
      </w:pPr>
      <w:r>
        <w:rPr>
          <w:rFonts w:hint="eastAsia"/>
        </w:rPr>
        <w:t>创建URL过滤策略</w:t>
      </w:r>
    </w:p>
    <w:p w14:paraId="67E9B9B2">
      <w:r>
        <w:rPr>
          <w:rFonts w:hint="eastAsia"/>
        </w:rPr>
        <w:t>在导航栏中选择“策略配置 &gt; 控制策略”，</w:t>
      </w:r>
      <w:r>
        <w:t>点击</w:t>
      </w:r>
      <w:r>
        <w:rPr>
          <w:rFonts w:hint="eastAsia"/>
        </w:rPr>
        <w:t>&lt;新建&gt;，选择“</w:t>
      </w:r>
      <w:r>
        <w:t>URL</w:t>
      </w:r>
      <w:r>
        <w:rPr>
          <w:rFonts w:hint="eastAsia"/>
        </w:rPr>
        <w:t>过滤&gt;</w:t>
      </w:r>
      <w:r>
        <w:t>URL</w:t>
      </w:r>
      <w:r>
        <w:rPr>
          <w:rFonts w:hint="eastAsia"/>
        </w:rPr>
        <w:t>控制”标签页，创建URL过滤</w:t>
      </w:r>
      <w:r>
        <w:t>策略，</w:t>
      </w:r>
      <w:r>
        <w:rPr>
          <w:rFonts w:hint="eastAsia"/>
        </w:rPr>
        <w:t>并且</w:t>
      </w:r>
      <w:r>
        <w:t>勾选DNS过滤，如</w:t>
      </w:r>
      <w:r>
        <w:rPr>
          <w:rFonts w:hint="eastAsia"/>
        </w:rPr>
        <w:t>下图所示。</w:t>
      </w:r>
    </w:p>
    <w:p w14:paraId="0C85BFC7">
      <w:pPr>
        <w:pStyle w:val="188"/>
      </w:pPr>
      <w:bookmarkStart w:id="4655" w:name="_Toc141875081"/>
      <w:r>
        <w:rPr>
          <w:rFonts w:hint="eastAsia"/>
        </w:rPr>
        <w:t>创建URL过滤策略</w:t>
      </w:r>
      <w:bookmarkEnd w:id="4655"/>
    </w:p>
    <w:p w14:paraId="021AEE2B">
      <w:pPr>
        <w:pStyle w:val="175"/>
      </w:pPr>
      <w:r>
        <w:drawing>
          <wp:inline distT="0" distB="0" distL="0" distR="0">
            <wp:extent cx="5172075" cy="3678555"/>
            <wp:effectExtent l="0" t="0" r="0" b="0"/>
            <wp:docPr id="621" name="图片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图片 621"/>
                    <pic:cNvPicPr>
                      <a:picLocks noChangeAspect="1"/>
                    </pic:cNvPicPr>
                  </pic:nvPicPr>
                  <pic:blipFill>
                    <a:blip r:embed="rId635"/>
                    <a:stretch>
                      <a:fillRect/>
                    </a:stretch>
                  </pic:blipFill>
                  <pic:spPr>
                    <a:xfrm>
                      <a:off x="0" y="0"/>
                      <a:ext cx="5175060" cy="3681042"/>
                    </a:xfrm>
                    <a:prstGeom prst="rect">
                      <a:avLst/>
                    </a:prstGeom>
                  </pic:spPr>
                </pic:pic>
              </a:graphicData>
            </a:graphic>
          </wp:inline>
        </w:drawing>
      </w:r>
    </w:p>
    <w:p w14:paraId="5E2F95ED"/>
    <w:p w14:paraId="629788AE">
      <w:r>
        <w:rPr>
          <w:rFonts w:hint="eastAsia"/>
        </w:rPr>
        <w:t>点击</w:t>
      </w:r>
      <w:r>
        <w:t>&lt;</w:t>
      </w:r>
      <w:r>
        <w:rPr>
          <w:rFonts w:hint="eastAsia"/>
        </w:rPr>
        <w:t>提交</w:t>
      </w:r>
      <w:r>
        <w:t>&gt;</w:t>
      </w:r>
      <w:r>
        <w:rPr>
          <w:rFonts w:hint="eastAsia"/>
        </w:rPr>
        <w:t>按钮，提交配置。</w:t>
      </w:r>
    </w:p>
    <w:p w14:paraId="6A63550C">
      <w:pPr>
        <w:pStyle w:val="6"/>
      </w:pPr>
      <w:r>
        <w:rPr>
          <w:rFonts w:hint="eastAsia"/>
        </w:rPr>
        <w:t>验证配置</w:t>
      </w:r>
    </w:p>
    <w:p w14:paraId="7FC2A564">
      <w:r>
        <w:rPr>
          <w:rFonts w:hint="eastAsia"/>
        </w:rPr>
        <w:t>使用终端访问</w:t>
      </w:r>
      <w:r>
        <w:t>腾讯</w:t>
      </w:r>
      <w:r>
        <w:rPr>
          <w:rFonts w:hint="eastAsia"/>
        </w:rPr>
        <w:t>新闻</w:t>
      </w:r>
      <w:r>
        <w:t>网站</w:t>
      </w:r>
      <w:r>
        <w:rPr>
          <w:rFonts w:hint="eastAsia"/>
        </w:rPr>
        <w:t>new</w:t>
      </w:r>
      <w:r>
        <w:t>s.qq.com，</w:t>
      </w:r>
      <w:r>
        <w:rPr>
          <w:rFonts w:hint="eastAsia"/>
        </w:rPr>
        <w:t>因为</w:t>
      </w:r>
      <w:r>
        <w:t>无法</w:t>
      </w:r>
      <w:r>
        <w:rPr>
          <w:rFonts w:hint="eastAsia"/>
        </w:rPr>
        <w:t>通过</w:t>
      </w:r>
      <w:r>
        <w:t>DNS获取IP地址，</w:t>
      </w:r>
      <w:r>
        <w:rPr>
          <w:rFonts w:hint="eastAsia"/>
        </w:rPr>
        <w:t>访问</w:t>
      </w:r>
      <w:r>
        <w:t>被阻断，</w:t>
      </w:r>
      <w:r>
        <w:rPr>
          <w:rFonts w:hint="eastAsia"/>
        </w:rPr>
        <w:t>同</w:t>
      </w:r>
      <w:r>
        <w:t>时</w:t>
      </w:r>
      <w:r>
        <w:rPr>
          <w:rFonts w:hint="eastAsia"/>
        </w:rPr>
        <w:t>可</w:t>
      </w:r>
      <w:r>
        <w:t>以在</w:t>
      </w:r>
      <w:r>
        <w:rPr>
          <w:rFonts w:hint="eastAsia"/>
        </w:rPr>
        <w:t>导航栏“数据</w:t>
      </w:r>
      <w:r>
        <w:t xml:space="preserve">中心 &gt; </w:t>
      </w:r>
      <w:r>
        <w:rPr>
          <w:rFonts w:hint="eastAsia"/>
        </w:rPr>
        <w:t xml:space="preserve">日志中心 </w:t>
      </w:r>
      <w:r>
        <w:t xml:space="preserve">&gt; </w:t>
      </w:r>
      <w:r>
        <w:rPr>
          <w:rFonts w:hint="eastAsia"/>
        </w:rPr>
        <w:t>控制</w:t>
      </w:r>
      <w:r>
        <w:t>日志</w:t>
      </w:r>
      <w:r>
        <w:rPr>
          <w:rFonts w:hint="eastAsia"/>
        </w:rPr>
        <w:t xml:space="preserve"> &gt;应用</w:t>
      </w:r>
      <w:r>
        <w:t>控制日志</w:t>
      </w:r>
      <w:r>
        <w:rPr>
          <w:rFonts w:hint="eastAsia"/>
        </w:rPr>
        <w:t>”中</w:t>
      </w:r>
      <w:r>
        <w:t>产生</w:t>
      </w:r>
      <w:r>
        <w:rPr>
          <w:rFonts w:hint="eastAsia"/>
        </w:rPr>
        <w:t>相应</w:t>
      </w:r>
      <w:r>
        <w:t>阻断日志，</w:t>
      </w:r>
      <w:r>
        <w:rPr>
          <w:rFonts w:hint="eastAsia"/>
        </w:rPr>
        <w:t>如下图所示。</w:t>
      </w:r>
    </w:p>
    <w:p w14:paraId="694FED14">
      <w:pPr>
        <w:pStyle w:val="188"/>
      </w:pPr>
      <w:bookmarkStart w:id="4656" w:name="_Toc141875082"/>
      <w:r>
        <w:rPr>
          <w:rFonts w:hint="eastAsia"/>
        </w:rPr>
        <w:t>访问</w:t>
      </w:r>
      <w:r>
        <w:t>阻断</w:t>
      </w:r>
      <w:bookmarkEnd w:id="4656"/>
    </w:p>
    <w:p w14:paraId="3A470CEE">
      <w:pPr>
        <w:pStyle w:val="175"/>
      </w:pPr>
      <w:r>
        <w:drawing>
          <wp:inline distT="0" distB="0" distL="0" distR="0">
            <wp:extent cx="5082540" cy="3559175"/>
            <wp:effectExtent l="0" t="0" r="3810" b="3175"/>
            <wp:docPr id="622" name="图片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图片 622"/>
                    <pic:cNvPicPr>
                      <a:picLocks noChangeAspect="1"/>
                    </pic:cNvPicPr>
                  </pic:nvPicPr>
                  <pic:blipFill>
                    <a:blip r:embed="rId636"/>
                    <a:stretch>
                      <a:fillRect/>
                    </a:stretch>
                  </pic:blipFill>
                  <pic:spPr>
                    <a:xfrm>
                      <a:off x="0" y="0"/>
                      <a:ext cx="5084568" cy="3560622"/>
                    </a:xfrm>
                    <a:prstGeom prst="rect">
                      <a:avLst/>
                    </a:prstGeom>
                  </pic:spPr>
                </pic:pic>
              </a:graphicData>
            </a:graphic>
          </wp:inline>
        </w:drawing>
      </w:r>
    </w:p>
    <w:p w14:paraId="52C7D92E"/>
    <w:p w14:paraId="57E3A7EE">
      <w:pPr>
        <w:pStyle w:val="188"/>
      </w:pPr>
      <w:bookmarkStart w:id="4657" w:name="_Toc141875083"/>
      <w:r>
        <w:rPr>
          <w:rFonts w:hint="eastAsia"/>
        </w:rPr>
        <w:t>应用</w:t>
      </w:r>
      <w:r>
        <w:t>控制日志</w:t>
      </w:r>
      <w:bookmarkEnd w:id="4657"/>
    </w:p>
    <w:p w14:paraId="53AE36B8">
      <w:r>
        <w:drawing>
          <wp:inline distT="0" distB="0" distL="0" distR="0">
            <wp:extent cx="5380990" cy="2324100"/>
            <wp:effectExtent l="0" t="0" r="0" b="0"/>
            <wp:docPr id="623" name="图片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图片 623"/>
                    <pic:cNvPicPr>
                      <a:picLocks noChangeAspect="1"/>
                    </pic:cNvPicPr>
                  </pic:nvPicPr>
                  <pic:blipFill>
                    <a:blip r:embed="rId637"/>
                    <a:stretch>
                      <a:fillRect/>
                    </a:stretch>
                  </pic:blipFill>
                  <pic:spPr>
                    <a:xfrm>
                      <a:off x="0" y="0"/>
                      <a:ext cx="5388470" cy="2327234"/>
                    </a:xfrm>
                    <a:prstGeom prst="rect">
                      <a:avLst/>
                    </a:prstGeom>
                  </pic:spPr>
                </pic:pic>
              </a:graphicData>
            </a:graphic>
          </wp:inline>
        </w:drawing>
      </w:r>
    </w:p>
    <w:p w14:paraId="5D7601D7">
      <w:r>
        <w:br w:type="page"/>
      </w:r>
    </w:p>
    <w:p w14:paraId="13317C82">
      <w:pPr>
        <w:pStyle w:val="4"/>
      </w:pPr>
      <w:bookmarkStart w:id="4658" w:name="_Toc141873670"/>
      <w:bookmarkStart w:id="4659" w:name="_Toc142401187"/>
      <w:bookmarkStart w:id="4660" w:name="_Toc172218449"/>
      <w:bookmarkStart w:id="4661" w:name="_Toc196728267"/>
      <w:bookmarkStart w:id="4662" w:name="_Toc40276152"/>
      <w:bookmarkStart w:id="4663" w:name="_Toc194080935"/>
      <w:bookmarkStart w:id="4664" w:name="_Toc15484955"/>
      <w:bookmarkStart w:id="4665" w:name="_Toc6235091"/>
      <w:bookmarkStart w:id="4666" w:name="_Toc99561803"/>
      <w:bookmarkStart w:id="4667" w:name="_Toc474250473"/>
      <w:bookmarkStart w:id="4668" w:name="_Toc23152719"/>
      <w:bookmarkStart w:id="4669" w:name="_Ref141807627"/>
      <w:bookmarkStart w:id="4670" w:name="_Toc4744481"/>
      <w:r>
        <w:rPr>
          <w:rFonts w:hint="eastAsia"/>
        </w:rPr>
        <w:t>终端公告推送</w:t>
      </w:r>
      <w:bookmarkEnd w:id="4658"/>
      <w:bookmarkEnd w:id="4659"/>
      <w:bookmarkEnd w:id="4660"/>
      <w:bookmarkEnd w:id="4661"/>
      <w:bookmarkEnd w:id="4662"/>
      <w:bookmarkEnd w:id="4663"/>
      <w:bookmarkEnd w:id="4664"/>
      <w:bookmarkEnd w:id="4665"/>
      <w:bookmarkEnd w:id="4666"/>
      <w:bookmarkEnd w:id="4667"/>
      <w:bookmarkEnd w:id="4668"/>
      <w:bookmarkEnd w:id="4669"/>
      <w:bookmarkEnd w:id="4670"/>
    </w:p>
    <w:p w14:paraId="6C82542D">
      <w:pPr>
        <w:pStyle w:val="5"/>
      </w:pPr>
      <w:bookmarkStart w:id="4671" w:name="_Toc474250474"/>
      <w:bookmarkStart w:id="4672" w:name="_Toc4744482"/>
      <w:bookmarkStart w:id="4673" w:name="_Toc391732653"/>
      <w:r>
        <w:rPr>
          <w:rFonts w:hint="eastAsia"/>
        </w:rPr>
        <w:t xml:space="preserve"> </w:t>
      </w:r>
      <w:bookmarkStart w:id="4674" w:name="_Toc194080936"/>
      <w:bookmarkStart w:id="4675" w:name="_Toc6235092"/>
      <w:bookmarkStart w:id="4676" w:name="_Toc40276153"/>
      <w:bookmarkStart w:id="4677" w:name="_Toc99561804"/>
      <w:bookmarkStart w:id="4678" w:name="_Toc15484956"/>
      <w:bookmarkStart w:id="4679" w:name="_Toc23152720"/>
      <w:bookmarkStart w:id="4680" w:name="_Toc141873671"/>
      <w:bookmarkStart w:id="4681" w:name="_Toc142401188"/>
      <w:bookmarkStart w:id="4682" w:name="_Toc172218450"/>
      <w:bookmarkStart w:id="4683" w:name="_Toc196728268"/>
      <w:r>
        <w:rPr>
          <w:rFonts w:hint="eastAsia"/>
        </w:rPr>
        <w:t>终端公告推送简介</w:t>
      </w:r>
      <w:bookmarkEnd w:id="4671"/>
      <w:bookmarkEnd w:id="4672"/>
      <w:bookmarkEnd w:id="4673"/>
      <w:bookmarkEnd w:id="4674"/>
      <w:bookmarkEnd w:id="4675"/>
      <w:bookmarkEnd w:id="4676"/>
      <w:bookmarkEnd w:id="4677"/>
      <w:bookmarkEnd w:id="4678"/>
      <w:bookmarkEnd w:id="4679"/>
      <w:bookmarkEnd w:id="4680"/>
      <w:bookmarkEnd w:id="4681"/>
      <w:bookmarkEnd w:id="4682"/>
      <w:bookmarkEnd w:id="4683"/>
    </w:p>
    <w:p w14:paraId="5EE43117">
      <w:r>
        <w:rPr>
          <w:rFonts w:hint="eastAsia"/>
        </w:rPr>
        <w:t>随着网络化的普及，网络的管理也日趋精细，经常需要在网络内部发布公告或通知内容。网络内部可以选择使用终端公告提醒的公告功能，公告发布后，内网终端能够在访问网页时重定向到公告页面，以达到公告的目的。</w:t>
      </w:r>
    </w:p>
    <w:p w14:paraId="733C2B2D">
      <w:pPr>
        <w:pStyle w:val="5"/>
      </w:pPr>
      <w:bookmarkStart w:id="4684" w:name="_Toc6235093"/>
      <w:bookmarkStart w:id="4685" w:name="_Toc15484957"/>
      <w:bookmarkStart w:id="4686" w:name="_Toc196728269"/>
      <w:bookmarkStart w:id="4687" w:name="_Toc23152721"/>
      <w:bookmarkStart w:id="4688" w:name="_Toc40276154"/>
      <w:bookmarkStart w:id="4689" w:name="_Toc99561805"/>
      <w:bookmarkStart w:id="4690" w:name="_Toc194080937"/>
      <w:bookmarkStart w:id="4691" w:name="_Toc141873672"/>
      <w:bookmarkStart w:id="4692" w:name="_Toc142401189"/>
      <w:bookmarkStart w:id="4693" w:name="_Toc172218451"/>
      <w:r>
        <w:rPr>
          <w:rFonts w:hint="eastAsia"/>
        </w:rPr>
        <w:t>终端公告推送页面</w:t>
      </w:r>
      <w:bookmarkEnd w:id="4684"/>
      <w:bookmarkEnd w:id="4685"/>
      <w:bookmarkEnd w:id="4686"/>
      <w:bookmarkEnd w:id="4687"/>
      <w:bookmarkEnd w:id="4688"/>
      <w:bookmarkEnd w:id="4689"/>
      <w:bookmarkEnd w:id="4690"/>
      <w:bookmarkEnd w:id="4691"/>
      <w:bookmarkEnd w:id="4692"/>
      <w:bookmarkEnd w:id="4693"/>
    </w:p>
    <w:p w14:paraId="665145CC">
      <w:r>
        <w:rPr>
          <w:rFonts w:hint="eastAsia"/>
        </w:rPr>
        <w:t>通过菜单“策略配置&gt;控制策略”，新建一条控制策略，编辑控制策略，进入如</w:t>
      </w:r>
      <w:r>
        <w:fldChar w:fldCharType="begin"/>
      </w:r>
      <w:r>
        <w:instrText xml:space="preserve"> REF _Ref392839822 \r \h </w:instrText>
      </w:r>
      <w:r>
        <w:fldChar w:fldCharType="separate"/>
      </w:r>
      <w:r>
        <w:rPr>
          <w:rFonts w:hint="eastAsia"/>
        </w:rPr>
        <w:t>图14-71</w:t>
      </w:r>
      <w:r>
        <w:fldChar w:fldCharType="end"/>
      </w:r>
      <w:r>
        <w:rPr>
          <w:rFonts w:hint="eastAsia"/>
        </w:rPr>
        <w:t>所示页面。在该页面上可以配置终端公告推送的相关功能。各个配置项含义如</w:t>
      </w:r>
      <w:r>
        <w:fldChar w:fldCharType="begin"/>
      </w:r>
      <w:r>
        <w:instrText xml:space="preserve"> </w:instrText>
      </w:r>
      <w:r>
        <w:rPr>
          <w:rFonts w:hint="eastAsia"/>
        </w:rPr>
        <w:instrText xml:space="preserve">REF _Ref5625126 \r \h</w:instrText>
      </w:r>
      <w:r>
        <w:instrText xml:space="preserve"> </w:instrText>
      </w:r>
      <w:r>
        <w:fldChar w:fldCharType="separate"/>
      </w:r>
      <w:r>
        <w:rPr>
          <w:rFonts w:hint="eastAsia"/>
        </w:rPr>
        <w:t>表14-1</w:t>
      </w:r>
      <w:r>
        <w:fldChar w:fldCharType="end"/>
      </w:r>
      <w:r>
        <w:rPr>
          <w:rFonts w:hint="eastAsia"/>
        </w:rPr>
        <w:t>所示。</w:t>
      </w:r>
    </w:p>
    <w:p w14:paraId="56EF850A">
      <w:pPr>
        <w:pStyle w:val="188"/>
      </w:pPr>
      <w:bookmarkStart w:id="4694" w:name="_Toc141875084"/>
      <w:bookmarkStart w:id="4695" w:name="_Ref392839822"/>
      <w:r>
        <w:rPr>
          <w:rFonts w:hint="eastAsia"/>
        </w:rPr>
        <w:t>终端公告推送配置页面</w:t>
      </w:r>
      <w:bookmarkEnd w:id="4694"/>
      <w:bookmarkEnd w:id="4695"/>
    </w:p>
    <w:p w14:paraId="3DCFB9FC">
      <w:pPr>
        <w:pStyle w:val="175"/>
      </w:pPr>
      <w:r>
        <w:drawing>
          <wp:inline distT="0" distB="0" distL="0" distR="0">
            <wp:extent cx="5400040" cy="2816225"/>
            <wp:effectExtent l="0" t="0" r="0" b="3175"/>
            <wp:docPr id="769" name="图片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图片 769"/>
                    <pic:cNvPicPr>
                      <a:picLocks noChangeAspect="1"/>
                    </pic:cNvPicPr>
                  </pic:nvPicPr>
                  <pic:blipFill>
                    <a:blip r:embed="rId638"/>
                    <a:stretch>
                      <a:fillRect/>
                    </a:stretch>
                  </pic:blipFill>
                  <pic:spPr>
                    <a:xfrm>
                      <a:off x="0" y="0"/>
                      <a:ext cx="5400040" cy="2816225"/>
                    </a:xfrm>
                    <a:prstGeom prst="rect">
                      <a:avLst/>
                    </a:prstGeom>
                  </pic:spPr>
                </pic:pic>
              </a:graphicData>
            </a:graphic>
          </wp:inline>
        </w:drawing>
      </w:r>
    </w:p>
    <w:p w14:paraId="651EBADB"/>
    <w:p w14:paraId="66F35A3E">
      <w:pPr>
        <w:pStyle w:val="183"/>
      </w:pPr>
      <w:bookmarkStart w:id="4696" w:name="_Ref5625126"/>
      <w:bookmarkStart w:id="4697" w:name="_Toc141875676"/>
      <w:r>
        <w:rPr>
          <w:rFonts w:hint="eastAsia"/>
        </w:rPr>
        <w:t>终端公告推送配置项含义表</w:t>
      </w:r>
      <w:bookmarkEnd w:id="4696"/>
      <w:bookmarkEnd w:id="4697"/>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43"/>
        <w:gridCol w:w="6671"/>
      </w:tblGrid>
      <w:tr w14:paraId="39BBBC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3" w:type="dxa"/>
            <w:tcBorders>
              <w:tl2br w:val="nil"/>
              <w:tr2bl w:val="nil"/>
            </w:tcBorders>
            <w:shd w:val="clear" w:color="auto" w:fill="538135" w:themeFill="accent6" w:themeFillShade="BF"/>
            <w:vAlign w:val="center"/>
          </w:tcPr>
          <w:p w14:paraId="20D9F1F0">
            <w:pPr>
              <w:pStyle w:val="149"/>
              <w:wordWrap/>
              <w:rPr>
                <w:b/>
                <w:bCs/>
                <w:i w:val="0"/>
                <w:iCs w:val="0"/>
              </w:rPr>
            </w:pPr>
            <w:r>
              <w:rPr>
                <w:rFonts w:hint="eastAsia"/>
                <w:b/>
                <w:bCs/>
                <w:i w:val="0"/>
                <w:iCs w:val="0"/>
              </w:rPr>
              <w:t>标题项</w:t>
            </w:r>
          </w:p>
        </w:tc>
        <w:tc>
          <w:tcPr>
            <w:tcW w:w="6671" w:type="dxa"/>
            <w:tcBorders>
              <w:tl2br w:val="nil"/>
              <w:tr2bl w:val="nil"/>
            </w:tcBorders>
            <w:shd w:val="clear" w:color="auto" w:fill="538135" w:themeFill="accent6" w:themeFillShade="BF"/>
            <w:vAlign w:val="center"/>
          </w:tcPr>
          <w:p w14:paraId="64234FDD">
            <w:pPr>
              <w:pStyle w:val="149"/>
              <w:wordWrap/>
              <w:rPr>
                <w:b/>
                <w:bCs/>
                <w:i w:val="0"/>
                <w:iCs w:val="0"/>
              </w:rPr>
            </w:pPr>
            <w:r>
              <w:rPr>
                <w:rFonts w:hint="eastAsia"/>
                <w:b/>
                <w:bCs/>
                <w:i w:val="0"/>
                <w:iCs w:val="0"/>
              </w:rPr>
              <w:t>说明</w:t>
            </w:r>
          </w:p>
        </w:tc>
      </w:tr>
      <w:tr w14:paraId="23A9E2C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3" w:type="dxa"/>
            <w:shd w:val="clear" w:color="auto" w:fill="auto"/>
          </w:tcPr>
          <w:p w14:paraId="72415E08">
            <w:pPr>
              <w:pStyle w:val="150"/>
            </w:pPr>
            <w:r>
              <w:rPr>
                <w:rFonts w:hint="eastAsia"/>
              </w:rPr>
              <w:t>启用</w:t>
            </w:r>
          </w:p>
        </w:tc>
        <w:tc>
          <w:tcPr>
            <w:tcW w:w="6671" w:type="dxa"/>
            <w:shd w:val="clear" w:color="auto" w:fill="auto"/>
          </w:tcPr>
          <w:p w14:paraId="50C1536A">
            <w:pPr>
              <w:pStyle w:val="150"/>
            </w:pPr>
            <w:r>
              <w:rPr>
                <w:rFonts w:hint="eastAsia"/>
              </w:rPr>
              <w:t>勾选复选框表示开启终端公告推送功能。</w:t>
            </w:r>
          </w:p>
        </w:tc>
      </w:tr>
      <w:tr w14:paraId="3614B2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3" w:type="dxa"/>
            <w:shd w:val="clear" w:color="auto" w:fill="auto"/>
          </w:tcPr>
          <w:p w14:paraId="476CA00A">
            <w:pPr>
              <w:pStyle w:val="150"/>
            </w:pPr>
            <w:r>
              <w:rPr>
                <w:rFonts w:hint="eastAsia"/>
              </w:rPr>
              <w:t>提醒频率（间隔）</w:t>
            </w:r>
          </w:p>
        </w:tc>
        <w:tc>
          <w:tcPr>
            <w:tcW w:w="6671" w:type="dxa"/>
            <w:shd w:val="clear" w:color="auto" w:fill="auto"/>
          </w:tcPr>
          <w:p w14:paraId="2D4473A1">
            <w:pPr>
              <w:pStyle w:val="150"/>
            </w:pPr>
            <w:r>
              <w:rPr>
                <w:rFonts w:hint="eastAsia"/>
              </w:rPr>
              <w:t>按配置间隔阈值，周期性进行公告提醒。</w:t>
            </w:r>
          </w:p>
        </w:tc>
      </w:tr>
      <w:tr w14:paraId="60B98AB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3" w:type="dxa"/>
            <w:shd w:val="clear" w:color="auto" w:fill="auto"/>
          </w:tcPr>
          <w:p w14:paraId="5318FE68">
            <w:pPr>
              <w:pStyle w:val="150"/>
            </w:pPr>
            <w:r>
              <w:rPr>
                <w:rFonts w:hint="eastAsia"/>
              </w:rPr>
              <w:t>提醒频率（定时）</w:t>
            </w:r>
          </w:p>
        </w:tc>
        <w:tc>
          <w:tcPr>
            <w:tcW w:w="6671" w:type="dxa"/>
            <w:shd w:val="clear" w:color="auto" w:fill="auto"/>
          </w:tcPr>
          <w:p w14:paraId="00E4B327">
            <w:pPr>
              <w:pStyle w:val="150"/>
            </w:pPr>
            <w:r>
              <w:rPr>
                <w:rFonts w:hint="eastAsia"/>
              </w:rPr>
              <w:t>配置定时时间，定时进行公告提醒。</w:t>
            </w:r>
          </w:p>
        </w:tc>
      </w:tr>
      <w:tr w14:paraId="727B978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3" w:type="dxa"/>
            <w:shd w:val="clear" w:color="auto" w:fill="auto"/>
          </w:tcPr>
          <w:p w14:paraId="490AE353">
            <w:pPr>
              <w:pStyle w:val="150"/>
            </w:pPr>
            <w:r>
              <w:rPr>
                <w:rFonts w:hint="eastAsia"/>
              </w:rPr>
              <w:t>页面选择</w:t>
            </w:r>
          </w:p>
        </w:tc>
        <w:tc>
          <w:tcPr>
            <w:tcW w:w="6671" w:type="dxa"/>
            <w:shd w:val="clear" w:color="auto" w:fill="auto"/>
          </w:tcPr>
          <w:p w14:paraId="41BFB47B">
            <w:pPr>
              <w:pStyle w:val="150"/>
            </w:pPr>
            <w:r>
              <w:rPr>
                <w:rFonts w:hint="eastAsia"/>
              </w:rPr>
              <w:t>复选框，可以选择设备内置公告，也可以选择外置公告页面。</w:t>
            </w:r>
          </w:p>
        </w:tc>
      </w:tr>
    </w:tbl>
    <w:p w14:paraId="0A718691"/>
    <w:p w14:paraId="40441ED9">
      <w:pPr>
        <w:pStyle w:val="4"/>
      </w:pPr>
      <w:bookmarkStart w:id="4698" w:name="_Toc23152723"/>
      <w:bookmarkStart w:id="4699" w:name="_Toc6235100"/>
      <w:bookmarkStart w:id="4700" w:name="_Toc40276156"/>
      <w:bookmarkStart w:id="4701" w:name="_Ref141807637"/>
      <w:bookmarkStart w:id="4702" w:name="_Toc99561807"/>
      <w:bookmarkStart w:id="4703" w:name="_Toc141873673"/>
      <w:bookmarkStart w:id="4704" w:name="_Toc15484959"/>
      <w:bookmarkStart w:id="4705" w:name="_Toc172218452"/>
      <w:bookmarkStart w:id="4706" w:name="_Toc196728270"/>
      <w:bookmarkStart w:id="4707" w:name="_Toc142401190"/>
      <w:bookmarkStart w:id="4708" w:name="_Toc194080938"/>
      <w:r>
        <w:rPr>
          <w:rFonts w:hint="eastAsia"/>
        </w:rPr>
        <w:t>高级</w:t>
      </w:r>
      <w:r>
        <w:t>配置</w:t>
      </w:r>
      <w:bookmarkEnd w:id="4698"/>
      <w:bookmarkEnd w:id="4699"/>
      <w:bookmarkEnd w:id="4700"/>
      <w:bookmarkEnd w:id="4701"/>
      <w:bookmarkEnd w:id="4702"/>
      <w:bookmarkEnd w:id="4703"/>
      <w:bookmarkEnd w:id="4704"/>
      <w:bookmarkEnd w:id="4705"/>
      <w:bookmarkEnd w:id="4706"/>
      <w:bookmarkEnd w:id="4707"/>
      <w:bookmarkEnd w:id="4708"/>
    </w:p>
    <w:p w14:paraId="10605130">
      <w:pPr>
        <w:pStyle w:val="5"/>
      </w:pPr>
      <w:r>
        <w:rPr>
          <w:rFonts w:hint="eastAsia"/>
        </w:rPr>
        <w:t xml:space="preserve"> </w:t>
      </w:r>
      <w:bookmarkStart w:id="4709" w:name="_Toc40276157"/>
      <w:bookmarkStart w:id="4710" w:name="_Toc194080939"/>
      <w:bookmarkStart w:id="4711" w:name="_Toc142401191"/>
      <w:bookmarkStart w:id="4712" w:name="_Toc23152724"/>
      <w:bookmarkStart w:id="4713" w:name="_Toc141873674"/>
      <w:bookmarkStart w:id="4714" w:name="_Toc15484960"/>
      <w:bookmarkStart w:id="4715" w:name="_Toc99561808"/>
      <w:bookmarkStart w:id="4716" w:name="_Toc6235101"/>
      <w:bookmarkStart w:id="4717" w:name="_Toc196728271"/>
      <w:bookmarkStart w:id="4718" w:name="_Toc172218453"/>
      <w:r>
        <w:rPr>
          <w:rFonts w:hint="eastAsia"/>
        </w:rPr>
        <w:t>高级</w:t>
      </w:r>
      <w:r>
        <w:t>配置</w:t>
      </w:r>
      <w:r>
        <w:rPr>
          <w:rFonts w:hint="eastAsia"/>
        </w:rPr>
        <w:t>简介</w:t>
      </w:r>
      <w:bookmarkEnd w:id="4709"/>
      <w:bookmarkEnd w:id="4710"/>
      <w:bookmarkEnd w:id="4711"/>
      <w:bookmarkEnd w:id="4712"/>
      <w:bookmarkEnd w:id="4713"/>
      <w:bookmarkEnd w:id="4714"/>
      <w:bookmarkEnd w:id="4715"/>
      <w:bookmarkEnd w:id="4716"/>
      <w:bookmarkEnd w:id="4717"/>
      <w:bookmarkEnd w:id="4718"/>
    </w:p>
    <w:p w14:paraId="5A17568F">
      <w:r>
        <w:rPr>
          <w:rFonts w:hint="eastAsia"/>
        </w:rPr>
        <w:t>高级</w:t>
      </w:r>
      <w:r>
        <w:t>配置包含源</w:t>
      </w:r>
      <w:r>
        <w:rPr>
          <w:rFonts w:hint="eastAsia"/>
        </w:rPr>
        <w:t>/目的MAC、</w:t>
      </w:r>
      <w:r>
        <w:t>时间</w:t>
      </w:r>
      <w:r>
        <w:rPr>
          <w:rFonts w:hint="eastAsia"/>
        </w:rPr>
        <w:t>、老化</w:t>
      </w:r>
      <w:r>
        <w:t>时间</w:t>
      </w:r>
      <w:r>
        <w:rPr>
          <w:rFonts w:hint="eastAsia"/>
        </w:rPr>
        <w:t>、</w:t>
      </w:r>
      <w:r>
        <w:t>终端配置</w:t>
      </w:r>
      <w:r>
        <w:rPr>
          <w:rFonts w:hint="eastAsia"/>
        </w:rPr>
        <w:t>，</w:t>
      </w:r>
      <w:r>
        <w:t>时间</w:t>
      </w:r>
      <w:r>
        <w:rPr>
          <w:rFonts w:hint="eastAsia"/>
        </w:rPr>
        <w:t>中</w:t>
      </w:r>
      <w:r>
        <w:t>引用时间对象</w:t>
      </w:r>
      <w:r>
        <w:rPr>
          <w:rFonts w:hint="eastAsia"/>
        </w:rPr>
        <w:t>以</w:t>
      </w:r>
      <w:r>
        <w:t>控制</w:t>
      </w:r>
      <w:r>
        <w:rPr>
          <w:rFonts w:hint="eastAsia"/>
        </w:rPr>
        <w:t>策略</w:t>
      </w:r>
      <w:r>
        <w:t>的生效时间</w:t>
      </w:r>
      <w:r>
        <w:rPr>
          <w:rFonts w:hint="eastAsia"/>
        </w:rPr>
        <w:t>，</w:t>
      </w:r>
      <w:r>
        <w:t>老化时间控制</w:t>
      </w:r>
      <w:r>
        <w:rPr>
          <w:rFonts w:hint="eastAsia"/>
        </w:rPr>
        <w:t>命中</w:t>
      </w:r>
      <w:r>
        <w:t>此</w:t>
      </w:r>
      <w:r>
        <w:rPr>
          <w:rFonts w:hint="eastAsia"/>
        </w:rPr>
        <w:t>控制策略</w:t>
      </w:r>
      <w:r>
        <w:t>的会话存活周期</w:t>
      </w:r>
      <w:r>
        <w:rPr>
          <w:rFonts w:hint="eastAsia"/>
        </w:rPr>
        <w:t>，终端可</w:t>
      </w:r>
      <w:r>
        <w:t>以控制</w:t>
      </w:r>
      <w:r>
        <w:rPr>
          <w:rFonts w:hint="eastAsia"/>
        </w:rPr>
        <w:t>当前控制策略基于</w:t>
      </w:r>
      <w:r>
        <w:t>哪</w:t>
      </w:r>
      <w:r>
        <w:rPr>
          <w:rFonts w:hint="eastAsia"/>
        </w:rPr>
        <w:t>些</w:t>
      </w:r>
      <w:r>
        <w:t>类型的终端生效</w:t>
      </w:r>
      <w:r>
        <w:rPr>
          <w:rFonts w:hint="eastAsia"/>
        </w:rPr>
        <w:t>。</w:t>
      </w:r>
    </w:p>
    <w:p w14:paraId="4C6087A9">
      <w:pPr>
        <w:pStyle w:val="5"/>
      </w:pPr>
      <w:bookmarkStart w:id="4719" w:name="_Toc23152725"/>
      <w:bookmarkStart w:id="4720" w:name="_Toc141873675"/>
      <w:bookmarkStart w:id="4721" w:name="_Toc142401192"/>
      <w:bookmarkStart w:id="4722" w:name="_Toc172218454"/>
      <w:bookmarkStart w:id="4723" w:name="_Toc15484961"/>
      <w:bookmarkStart w:id="4724" w:name="_Toc99561809"/>
      <w:bookmarkStart w:id="4725" w:name="_Toc196728272"/>
      <w:bookmarkStart w:id="4726" w:name="_Toc6235102"/>
      <w:bookmarkStart w:id="4727" w:name="_Toc40276158"/>
      <w:bookmarkStart w:id="4728" w:name="_Toc194080940"/>
      <w:r>
        <w:rPr>
          <w:rFonts w:hint="eastAsia"/>
        </w:rPr>
        <w:t>高级</w:t>
      </w:r>
      <w:r>
        <w:t>配置</w:t>
      </w:r>
      <w:r>
        <w:rPr>
          <w:rFonts w:hint="eastAsia"/>
        </w:rPr>
        <w:t>页面</w:t>
      </w:r>
      <w:bookmarkEnd w:id="4719"/>
      <w:bookmarkEnd w:id="4720"/>
      <w:bookmarkEnd w:id="4721"/>
      <w:bookmarkEnd w:id="4722"/>
      <w:bookmarkEnd w:id="4723"/>
      <w:bookmarkEnd w:id="4724"/>
      <w:bookmarkEnd w:id="4725"/>
      <w:bookmarkEnd w:id="4726"/>
      <w:bookmarkEnd w:id="4727"/>
      <w:bookmarkEnd w:id="4728"/>
    </w:p>
    <w:p w14:paraId="2E4144D3">
      <w:r>
        <w:rPr>
          <w:rFonts w:hint="eastAsia"/>
        </w:rPr>
        <w:t>通过菜单“策略配置&gt;控制策略”，新建一条控制策略，</w:t>
      </w:r>
      <w:r>
        <w:t>点击</w:t>
      </w:r>
      <w:r>
        <w:rPr>
          <w:rFonts w:hint="eastAsia"/>
        </w:rPr>
        <w:t>&lt;高级</w:t>
      </w:r>
      <w:r>
        <w:t>配置</w:t>
      </w:r>
      <w:r>
        <w:rPr>
          <w:rFonts w:hint="eastAsia"/>
        </w:rPr>
        <w:t>&gt;，进入如</w:t>
      </w:r>
      <w:r>
        <w:rPr>
          <w:color w:val="0000FF"/>
          <w:u w:val="single"/>
        </w:rPr>
        <w:fldChar w:fldCharType="begin"/>
      </w:r>
      <w:r>
        <w:instrText xml:space="preserve"> </w:instrText>
      </w:r>
      <w:r>
        <w:rPr>
          <w:rFonts w:hint="eastAsia"/>
        </w:rPr>
        <w:instrText xml:space="preserve">REF _Ref5626612 \r \h</w:instrText>
      </w:r>
      <w:r>
        <w:instrText xml:space="preserve"> </w:instrText>
      </w:r>
      <w:r>
        <w:rPr>
          <w:color w:val="0000FF"/>
          <w:u w:val="single"/>
        </w:rPr>
        <w:fldChar w:fldCharType="separate"/>
      </w:r>
      <w:r>
        <w:rPr>
          <w:rFonts w:hint="eastAsia"/>
        </w:rPr>
        <w:t>图14-72</w:t>
      </w:r>
      <w:r>
        <w:rPr>
          <w:color w:val="0000FF"/>
          <w:u w:val="single"/>
        </w:rPr>
        <w:fldChar w:fldCharType="end"/>
      </w:r>
      <w:r>
        <w:rPr>
          <w:rFonts w:hint="eastAsia"/>
        </w:rPr>
        <w:t>所示页面。各个配置项含义如</w:t>
      </w:r>
      <w:r>
        <w:rPr>
          <w:color w:val="0000FF"/>
          <w:u w:val="single"/>
        </w:rPr>
        <w:fldChar w:fldCharType="begin"/>
      </w:r>
      <w:r>
        <w:instrText xml:space="preserve"> </w:instrText>
      </w:r>
      <w:r>
        <w:rPr>
          <w:rFonts w:hint="eastAsia"/>
        </w:rPr>
        <w:instrText xml:space="preserve">REF _Ref5626621 \r \h</w:instrText>
      </w:r>
      <w:r>
        <w:instrText xml:space="preserve"> </w:instrText>
      </w:r>
      <w:r>
        <w:rPr>
          <w:color w:val="0000FF"/>
          <w:u w:val="single"/>
        </w:rPr>
        <w:fldChar w:fldCharType="separate"/>
      </w:r>
      <w:r>
        <w:rPr>
          <w:rFonts w:hint="eastAsia"/>
        </w:rPr>
        <w:t>表14-1</w:t>
      </w:r>
      <w:r>
        <w:rPr>
          <w:color w:val="0000FF"/>
          <w:u w:val="single"/>
        </w:rPr>
        <w:fldChar w:fldCharType="end"/>
      </w:r>
      <w:r>
        <w:rPr>
          <w:rFonts w:hint="eastAsia"/>
        </w:rPr>
        <w:t>所示。</w:t>
      </w:r>
    </w:p>
    <w:p w14:paraId="18FA11BF">
      <w:pPr>
        <w:pStyle w:val="188"/>
      </w:pPr>
      <w:bookmarkStart w:id="4729" w:name="_Ref5626612"/>
      <w:bookmarkStart w:id="4730" w:name="_Toc141875085"/>
      <w:r>
        <w:rPr>
          <w:rFonts w:hint="eastAsia"/>
        </w:rPr>
        <w:t>高级配置页面</w:t>
      </w:r>
      <w:bookmarkEnd w:id="4729"/>
      <w:bookmarkEnd w:id="4730"/>
    </w:p>
    <w:p w14:paraId="4C877D9D">
      <w:pPr>
        <w:spacing w:before="78" w:after="78"/>
      </w:pPr>
      <w:r>
        <w:drawing>
          <wp:inline distT="0" distB="0" distL="0" distR="0">
            <wp:extent cx="5731510" cy="2386330"/>
            <wp:effectExtent l="0" t="0" r="2540" b="0"/>
            <wp:docPr id="875" name="图片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图片 875"/>
                    <pic:cNvPicPr>
                      <a:picLocks noChangeAspect="1"/>
                    </pic:cNvPicPr>
                  </pic:nvPicPr>
                  <pic:blipFill>
                    <a:blip r:embed="rId639"/>
                    <a:stretch>
                      <a:fillRect/>
                    </a:stretch>
                  </pic:blipFill>
                  <pic:spPr>
                    <a:xfrm>
                      <a:off x="0" y="0"/>
                      <a:ext cx="5731510" cy="2386421"/>
                    </a:xfrm>
                    <a:prstGeom prst="rect">
                      <a:avLst/>
                    </a:prstGeom>
                  </pic:spPr>
                </pic:pic>
              </a:graphicData>
            </a:graphic>
          </wp:inline>
        </w:drawing>
      </w:r>
    </w:p>
    <w:p w14:paraId="04EAD6D7"/>
    <w:p w14:paraId="4040B1AC">
      <w:pPr>
        <w:pStyle w:val="183"/>
      </w:pPr>
      <w:bookmarkStart w:id="4731" w:name="_Toc141875677"/>
      <w:bookmarkStart w:id="4732" w:name="_Ref5626621"/>
      <w:r>
        <w:rPr>
          <w:rFonts w:hint="eastAsia"/>
        </w:rPr>
        <w:t>高级配置各项含义表</w:t>
      </w:r>
      <w:bookmarkEnd w:id="4731"/>
      <w:bookmarkEnd w:id="4732"/>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668"/>
        <w:gridCol w:w="7346"/>
      </w:tblGrid>
      <w:tr w14:paraId="41EDC9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68" w:type="dxa"/>
            <w:tcBorders>
              <w:tl2br w:val="nil"/>
              <w:tr2bl w:val="nil"/>
            </w:tcBorders>
            <w:shd w:val="clear" w:color="auto" w:fill="538135" w:themeFill="accent6" w:themeFillShade="BF"/>
            <w:vAlign w:val="center"/>
          </w:tcPr>
          <w:p w14:paraId="0CECFCD6">
            <w:pPr>
              <w:pStyle w:val="149"/>
              <w:wordWrap/>
              <w:rPr>
                <w:b/>
                <w:bCs/>
                <w:i w:val="0"/>
                <w:iCs w:val="0"/>
              </w:rPr>
            </w:pPr>
            <w:r>
              <w:rPr>
                <w:rFonts w:hint="eastAsia"/>
                <w:b/>
                <w:bCs/>
                <w:i w:val="0"/>
                <w:iCs w:val="0"/>
              </w:rPr>
              <w:t>标题项</w:t>
            </w:r>
          </w:p>
        </w:tc>
        <w:tc>
          <w:tcPr>
            <w:tcW w:w="7346" w:type="dxa"/>
            <w:tcBorders>
              <w:tl2br w:val="nil"/>
              <w:tr2bl w:val="nil"/>
            </w:tcBorders>
            <w:shd w:val="clear" w:color="auto" w:fill="538135" w:themeFill="accent6" w:themeFillShade="BF"/>
            <w:vAlign w:val="center"/>
          </w:tcPr>
          <w:p w14:paraId="7AAC600D">
            <w:pPr>
              <w:pStyle w:val="149"/>
              <w:wordWrap/>
              <w:rPr>
                <w:b/>
                <w:bCs/>
                <w:i w:val="0"/>
                <w:iCs w:val="0"/>
              </w:rPr>
            </w:pPr>
            <w:r>
              <w:rPr>
                <w:rFonts w:hint="eastAsia"/>
                <w:b/>
                <w:bCs/>
                <w:i w:val="0"/>
                <w:iCs w:val="0"/>
              </w:rPr>
              <w:t>说明</w:t>
            </w:r>
          </w:p>
        </w:tc>
      </w:tr>
      <w:tr w14:paraId="3F16B8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68" w:type="dxa"/>
            <w:shd w:val="clear" w:color="auto" w:fill="auto"/>
          </w:tcPr>
          <w:p w14:paraId="5A549031">
            <w:pPr>
              <w:pStyle w:val="150"/>
            </w:pPr>
            <w:r>
              <w:rPr>
                <w:rFonts w:hint="eastAsia"/>
              </w:rPr>
              <w:t>源MAC</w:t>
            </w:r>
          </w:p>
        </w:tc>
        <w:tc>
          <w:tcPr>
            <w:tcW w:w="7346" w:type="dxa"/>
            <w:shd w:val="clear" w:color="auto" w:fill="auto"/>
          </w:tcPr>
          <w:p w14:paraId="792C99D7">
            <w:pPr>
              <w:pStyle w:val="150"/>
            </w:pPr>
            <w:r>
              <w:rPr>
                <w:rFonts w:hint="eastAsia"/>
              </w:rPr>
              <w:t>选择策略匹配的源MAC地址对象。仅支持匹配二层场景</w:t>
            </w:r>
          </w:p>
        </w:tc>
      </w:tr>
      <w:tr w14:paraId="278947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68" w:type="dxa"/>
            <w:shd w:val="clear" w:color="auto" w:fill="auto"/>
          </w:tcPr>
          <w:p w14:paraId="65B00566">
            <w:pPr>
              <w:pStyle w:val="150"/>
            </w:pPr>
            <w:r>
              <w:rPr>
                <w:rFonts w:hint="eastAsia"/>
              </w:rPr>
              <w:t>目的MAC</w:t>
            </w:r>
          </w:p>
        </w:tc>
        <w:tc>
          <w:tcPr>
            <w:tcW w:w="7346" w:type="dxa"/>
            <w:shd w:val="clear" w:color="auto" w:fill="auto"/>
          </w:tcPr>
          <w:p w14:paraId="2CCBF52B">
            <w:pPr>
              <w:pStyle w:val="150"/>
            </w:pPr>
            <w:r>
              <w:rPr>
                <w:rFonts w:hint="eastAsia"/>
              </w:rPr>
              <w:t>选择策略匹配的目的MAC地址对象。</w:t>
            </w:r>
          </w:p>
        </w:tc>
      </w:tr>
      <w:tr w14:paraId="19C5DCE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68" w:type="dxa"/>
            <w:shd w:val="clear" w:color="auto" w:fill="auto"/>
          </w:tcPr>
          <w:p w14:paraId="588F24D1">
            <w:pPr>
              <w:pStyle w:val="150"/>
            </w:pPr>
            <w:r>
              <w:rPr>
                <w:rFonts w:hint="eastAsia"/>
              </w:rPr>
              <w:t>时间</w:t>
            </w:r>
          </w:p>
        </w:tc>
        <w:tc>
          <w:tcPr>
            <w:tcW w:w="7346" w:type="dxa"/>
            <w:shd w:val="clear" w:color="auto" w:fill="auto"/>
          </w:tcPr>
          <w:p w14:paraId="06843A86">
            <w:pPr>
              <w:pStyle w:val="150"/>
            </w:pPr>
            <w:r>
              <w:rPr>
                <w:rFonts w:hint="eastAsia"/>
              </w:rPr>
              <w:t>策略</w:t>
            </w:r>
            <w:r>
              <w:t>生效时间，可以引用时间对象。</w:t>
            </w:r>
          </w:p>
        </w:tc>
      </w:tr>
      <w:tr w14:paraId="127955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68" w:type="dxa"/>
            <w:shd w:val="clear" w:color="auto" w:fill="auto"/>
          </w:tcPr>
          <w:p w14:paraId="56B95D6B">
            <w:pPr>
              <w:pStyle w:val="150"/>
            </w:pPr>
            <w:r>
              <w:rPr>
                <w:rFonts w:hint="eastAsia"/>
              </w:rPr>
              <w:t>老化时间</w:t>
            </w:r>
          </w:p>
        </w:tc>
        <w:tc>
          <w:tcPr>
            <w:tcW w:w="7346" w:type="dxa"/>
            <w:shd w:val="clear" w:color="auto" w:fill="auto"/>
          </w:tcPr>
          <w:p w14:paraId="2041AC3D">
            <w:pPr>
              <w:pStyle w:val="150"/>
            </w:pPr>
            <w:r>
              <w:rPr>
                <w:rFonts w:hint="eastAsia"/>
              </w:rPr>
              <w:t>基于</w:t>
            </w:r>
            <w:r>
              <w:t>策略的老化时间，命中此策略的会话按此时间进行老化</w:t>
            </w:r>
            <w:r>
              <w:rPr>
                <w:rFonts w:hint="eastAsia"/>
              </w:rPr>
              <w:t>，</w:t>
            </w:r>
            <w:r>
              <w:t>默认为</w:t>
            </w:r>
            <w:r>
              <w:rPr>
                <w:rFonts w:hint="eastAsia"/>
              </w:rPr>
              <w:t>0。</w:t>
            </w:r>
          </w:p>
        </w:tc>
      </w:tr>
      <w:tr w14:paraId="722D9BD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68" w:type="dxa"/>
            <w:shd w:val="clear" w:color="auto" w:fill="auto"/>
          </w:tcPr>
          <w:p w14:paraId="53E0A202">
            <w:pPr>
              <w:pStyle w:val="150"/>
            </w:pPr>
            <w:r>
              <w:rPr>
                <w:rFonts w:hint="eastAsia"/>
              </w:rPr>
              <w:t>终端型号</w:t>
            </w:r>
          </w:p>
        </w:tc>
        <w:tc>
          <w:tcPr>
            <w:tcW w:w="7346" w:type="dxa"/>
            <w:shd w:val="clear" w:color="auto" w:fill="auto"/>
          </w:tcPr>
          <w:p w14:paraId="6BB3F792">
            <w:pPr>
              <w:pStyle w:val="150"/>
            </w:pPr>
            <w:r>
              <w:rPr>
                <w:rFonts w:hint="eastAsia"/>
              </w:rPr>
              <w:t>终端的操作系统，例如Windows_XP、Mac_OS_9等，默认为any。此功能依赖于第三方用户同步中的ddi终端用户功能，需要将终端型号信息同步给设备。</w:t>
            </w:r>
          </w:p>
        </w:tc>
      </w:tr>
      <w:tr w14:paraId="2E4DDB7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68" w:type="dxa"/>
            <w:shd w:val="clear" w:color="auto" w:fill="auto"/>
          </w:tcPr>
          <w:p w14:paraId="5AC168FE">
            <w:pPr>
              <w:pStyle w:val="150"/>
            </w:pPr>
            <w:r>
              <w:rPr>
                <w:rFonts w:hint="eastAsia"/>
              </w:rPr>
              <w:t>VLAN</w:t>
            </w:r>
          </w:p>
        </w:tc>
        <w:tc>
          <w:tcPr>
            <w:tcW w:w="7346" w:type="dxa"/>
            <w:shd w:val="clear" w:color="auto" w:fill="auto"/>
          </w:tcPr>
          <w:p w14:paraId="48E5ADEB">
            <w:pPr>
              <w:pStyle w:val="150"/>
            </w:pPr>
            <w:r>
              <w:rPr>
                <w:rFonts w:hint="eastAsia"/>
              </w:rPr>
              <w:t>选择策略匹配的虚拟局域网，any表示所有。可配置的范围为0~4094，单个/范围(用-连接)，多项用,隔开，最多可配置8组。</w:t>
            </w:r>
          </w:p>
        </w:tc>
      </w:tr>
      <w:tr w14:paraId="257546B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68" w:type="dxa"/>
            <w:shd w:val="clear" w:color="auto" w:fill="auto"/>
          </w:tcPr>
          <w:p w14:paraId="7BE8A4C3">
            <w:pPr>
              <w:pStyle w:val="150"/>
            </w:pPr>
            <w:r>
              <w:rPr>
                <w:rFonts w:hint="eastAsia"/>
              </w:rPr>
              <w:t>DSCP</w:t>
            </w:r>
          </w:p>
        </w:tc>
        <w:tc>
          <w:tcPr>
            <w:tcW w:w="7346" w:type="dxa"/>
            <w:shd w:val="clear" w:color="auto" w:fill="auto"/>
          </w:tcPr>
          <w:p w14:paraId="2705D2D0">
            <w:pPr>
              <w:pStyle w:val="150"/>
            </w:pPr>
            <w:r>
              <w:rPr>
                <w:rFonts w:hint="eastAsia"/>
              </w:rPr>
              <w:t>选择策略匹配的差分服务代码点，any表示所有。可配置的范围为0~63，单个/范围(用-连接)，多项用,隔开，最多可配置8组。</w:t>
            </w:r>
          </w:p>
        </w:tc>
      </w:tr>
      <w:tr w14:paraId="7ED0E9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68" w:type="dxa"/>
            <w:shd w:val="clear" w:color="auto" w:fill="auto"/>
          </w:tcPr>
          <w:p w14:paraId="1F268318">
            <w:pPr>
              <w:pStyle w:val="150"/>
            </w:pPr>
            <w:r>
              <w:rPr>
                <w:rFonts w:hint="eastAsia"/>
              </w:rPr>
              <w:t>流标签</w:t>
            </w:r>
          </w:p>
        </w:tc>
        <w:tc>
          <w:tcPr>
            <w:tcW w:w="7346" w:type="dxa"/>
            <w:shd w:val="clear" w:color="auto" w:fill="auto"/>
          </w:tcPr>
          <w:p w14:paraId="237FF46E">
            <w:pPr>
              <w:pStyle w:val="150"/>
            </w:pPr>
            <w:r>
              <w:rPr>
                <w:rFonts w:hint="eastAsia"/>
              </w:rPr>
              <w:t>选择策略匹配的流标签，any表示所有。可配置的范围为0-1048575，单个/范围(用-连接)，多项用,隔开，最多支持8组。</w:t>
            </w:r>
          </w:p>
        </w:tc>
      </w:tr>
      <w:tr w14:paraId="33EA47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68" w:type="dxa"/>
            <w:shd w:val="clear" w:color="auto" w:fill="auto"/>
          </w:tcPr>
          <w:p w14:paraId="2F8AFBFC">
            <w:pPr>
              <w:pStyle w:val="150"/>
            </w:pPr>
            <w:r>
              <w:t>Pv6</w:t>
            </w:r>
            <w:r>
              <w:rPr>
                <w:rFonts w:hint="eastAsia"/>
              </w:rPr>
              <w:t>扩展头</w:t>
            </w:r>
          </w:p>
        </w:tc>
        <w:tc>
          <w:tcPr>
            <w:tcW w:w="7346" w:type="dxa"/>
            <w:shd w:val="clear" w:color="auto" w:fill="auto"/>
          </w:tcPr>
          <w:p w14:paraId="01F1CA4B">
            <w:pPr>
              <w:pStyle w:val="150"/>
            </w:pPr>
            <w:r>
              <w:rPr>
                <w:rFonts w:hint="eastAsia"/>
              </w:rPr>
              <w:t>选择策略匹配的拓展头，不勾选表示不进行匹配操作。</w:t>
            </w:r>
          </w:p>
        </w:tc>
      </w:tr>
      <w:tr w14:paraId="56F6EE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68" w:type="dxa"/>
            <w:shd w:val="clear" w:color="auto" w:fill="auto"/>
          </w:tcPr>
          <w:p w14:paraId="452983EC">
            <w:pPr>
              <w:pStyle w:val="150"/>
            </w:pPr>
            <w:r>
              <w:rPr>
                <w:rFonts w:hint="eastAsia"/>
              </w:rPr>
              <w:t>本机报文控制</w:t>
            </w:r>
          </w:p>
        </w:tc>
        <w:tc>
          <w:tcPr>
            <w:tcW w:w="7346" w:type="dxa"/>
            <w:shd w:val="clear" w:color="auto" w:fill="auto"/>
          </w:tcPr>
          <w:p w14:paraId="3DAC1B44">
            <w:pPr>
              <w:pStyle w:val="186"/>
              <w:widowControl w:val="0"/>
              <w:spacing w:line="240" w:lineRule="auto"/>
              <w:ind w:firstLine="0"/>
              <w:jc w:val="left"/>
            </w:pPr>
            <w:bookmarkStart w:id="4733" w:name="OLE_LINK33"/>
            <w:r>
              <w:rPr>
                <w:rFonts w:hint="eastAsia"/>
              </w:rPr>
              <w:t>针对到达设备本机的报文或服务进行控制，当策略动作为拒绝时，如果开启本机报文控制，则对目的地址为设备地址的的报文或服务进行阻断，不进入后续的处理流程。</w:t>
            </w:r>
          </w:p>
          <w:p w14:paraId="64B6E187">
            <w:pPr>
              <w:pStyle w:val="150"/>
            </w:pPr>
            <w:r>
              <w:rPr>
                <w:rFonts w:hint="eastAsia"/>
              </w:rPr>
              <w:t>(例如:开启本机报文控制，策略动作为拒绝，服务对象为SSH，无法通过SSH访问设备:192168.11)，此功能只对拒绝策略生效，策略动作为允许时，对URL过滤和应用过滤不生效。</w:t>
            </w:r>
            <w:bookmarkEnd w:id="4733"/>
          </w:p>
        </w:tc>
      </w:tr>
    </w:tbl>
    <w:p w14:paraId="3DBC88AB"/>
    <w:p w14:paraId="04D3E2DD">
      <w:r>
        <w:rPr>
          <w:rFonts w:hint="eastAsia"/>
        </w:rPr>
        <w:t>点击&lt;选择</w:t>
      </w:r>
      <w:r>
        <w:t>终端</w:t>
      </w:r>
      <w:r>
        <w:rPr>
          <w:rFonts w:hint="eastAsia"/>
        </w:rPr>
        <w:t>&gt;，弹出</w:t>
      </w:r>
      <w:r>
        <w:t>如</w:t>
      </w:r>
      <w:r>
        <w:rPr>
          <w:color w:val="0000FF"/>
          <w:u w:val="single"/>
        </w:rPr>
        <w:fldChar w:fldCharType="begin"/>
      </w:r>
      <w:r>
        <w:instrText xml:space="preserve"> REF _Ref5626689 \r \h </w:instrText>
      </w:r>
      <w:r>
        <w:rPr>
          <w:color w:val="0000FF"/>
          <w:u w:val="single"/>
        </w:rPr>
        <w:fldChar w:fldCharType="separate"/>
      </w:r>
      <w:r>
        <w:rPr>
          <w:rFonts w:hint="eastAsia"/>
        </w:rPr>
        <w:t>图14-73</w:t>
      </w:r>
      <w:r>
        <w:rPr>
          <w:color w:val="0000FF"/>
          <w:u w:val="single"/>
        </w:rPr>
        <w:fldChar w:fldCharType="end"/>
      </w:r>
      <w:r>
        <w:rPr>
          <w:rFonts w:hint="eastAsia"/>
        </w:rPr>
        <w:t>所示页面。各个配置项含义如</w:t>
      </w:r>
      <w:r>
        <w:rPr>
          <w:color w:val="0000FF"/>
          <w:u w:val="single"/>
        </w:rPr>
        <w:fldChar w:fldCharType="begin"/>
      </w:r>
      <w:r>
        <w:instrText xml:space="preserve"> </w:instrText>
      </w:r>
      <w:r>
        <w:rPr>
          <w:rFonts w:hint="eastAsia"/>
        </w:rPr>
        <w:instrText xml:space="preserve">REF _Ref5626696 \r \h</w:instrText>
      </w:r>
      <w:r>
        <w:instrText xml:space="preserve"> </w:instrText>
      </w:r>
      <w:r>
        <w:rPr>
          <w:color w:val="0000FF"/>
          <w:u w:val="single"/>
        </w:rPr>
        <w:fldChar w:fldCharType="separate"/>
      </w:r>
      <w:r>
        <w:rPr>
          <w:rFonts w:hint="eastAsia"/>
        </w:rPr>
        <w:t>表14-1</w:t>
      </w:r>
      <w:r>
        <w:rPr>
          <w:color w:val="0000FF"/>
          <w:u w:val="single"/>
        </w:rPr>
        <w:fldChar w:fldCharType="end"/>
      </w:r>
      <w:r>
        <w:rPr>
          <w:rFonts w:hint="eastAsia"/>
        </w:rPr>
        <w:t>所示。</w:t>
      </w:r>
    </w:p>
    <w:p w14:paraId="4FB2EA7D">
      <w:pPr>
        <w:pStyle w:val="188"/>
      </w:pPr>
      <w:bookmarkStart w:id="4734" w:name="_Toc141875086"/>
      <w:bookmarkStart w:id="4735" w:name="_Ref5626689"/>
      <w:r>
        <w:rPr>
          <w:rFonts w:hint="eastAsia"/>
        </w:rPr>
        <w:t>选择</w:t>
      </w:r>
      <w:r>
        <w:t>终端</w:t>
      </w:r>
      <w:r>
        <w:rPr>
          <w:rFonts w:hint="eastAsia"/>
        </w:rPr>
        <w:t>页面</w:t>
      </w:r>
      <w:bookmarkEnd w:id="4734"/>
      <w:bookmarkEnd w:id="4735"/>
    </w:p>
    <w:p w14:paraId="1DDA8BB6">
      <w:pPr>
        <w:spacing w:before="78" w:after="78"/>
      </w:pPr>
      <w:r>
        <w:drawing>
          <wp:inline distT="0" distB="0" distL="0" distR="0">
            <wp:extent cx="5000625" cy="3317875"/>
            <wp:effectExtent l="0" t="0" r="0" b="0"/>
            <wp:docPr id="1166" name="图片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图片 1166"/>
                    <pic:cNvPicPr>
                      <a:picLocks noChangeAspect="1"/>
                    </pic:cNvPicPr>
                  </pic:nvPicPr>
                  <pic:blipFill>
                    <a:blip r:embed="rId640"/>
                    <a:stretch>
                      <a:fillRect/>
                    </a:stretch>
                  </pic:blipFill>
                  <pic:spPr>
                    <a:xfrm>
                      <a:off x="0" y="0"/>
                      <a:ext cx="5011430" cy="3325356"/>
                    </a:xfrm>
                    <a:prstGeom prst="rect">
                      <a:avLst/>
                    </a:prstGeom>
                  </pic:spPr>
                </pic:pic>
              </a:graphicData>
            </a:graphic>
          </wp:inline>
        </w:drawing>
      </w:r>
    </w:p>
    <w:p w14:paraId="642E97D6"/>
    <w:p w14:paraId="6A83DAF6">
      <w:pPr>
        <w:pStyle w:val="183"/>
      </w:pPr>
      <w:bookmarkStart w:id="4736" w:name="_Ref5626696"/>
      <w:bookmarkStart w:id="4737" w:name="_Toc141875678"/>
      <w:r>
        <w:rPr>
          <w:rFonts w:hint="eastAsia"/>
        </w:rPr>
        <w:t>选择</w:t>
      </w:r>
      <w:r>
        <w:t>终端</w:t>
      </w:r>
      <w:r>
        <w:rPr>
          <w:rFonts w:hint="eastAsia"/>
        </w:rPr>
        <w:t>各项含义表</w:t>
      </w:r>
      <w:bookmarkEnd w:id="4736"/>
      <w:bookmarkEnd w:id="4737"/>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43"/>
        <w:gridCol w:w="6671"/>
      </w:tblGrid>
      <w:tr w14:paraId="07C8BB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3" w:type="dxa"/>
            <w:tcBorders>
              <w:tl2br w:val="nil"/>
              <w:tr2bl w:val="nil"/>
            </w:tcBorders>
            <w:shd w:val="clear" w:color="auto" w:fill="538135" w:themeFill="accent6" w:themeFillShade="BF"/>
            <w:vAlign w:val="center"/>
          </w:tcPr>
          <w:p w14:paraId="5F73F09F">
            <w:pPr>
              <w:pStyle w:val="149"/>
              <w:wordWrap/>
              <w:rPr>
                <w:b/>
                <w:bCs/>
                <w:i w:val="0"/>
                <w:iCs w:val="0"/>
              </w:rPr>
            </w:pPr>
            <w:r>
              <w:rPr>
                <w:rFonts w:hint="eastAsia"/>
                <w:b/>
                <w:bCs/>
                <w:i w:val="0"/>
                <w:iCs w:val="0"/>
              </w:rPr>
              <w:t>标题项</w:t>
            </w:r>
          </w:p>
        </w:tc>
        <w:tc>
          <w:tcPr>
            <w:tcW w:w="6671" w:type="dxa"/>
            <w:tcBorders>
              <w:tl2br w:val="nil"/>
              <w:tr2bl w:val="nil"/>
            </w:tcBorders>
            <w:shd w:val="clear" w:color="auto" w:fill="538135" w:themeFill="accent6" w:themeFillShade="BF"/>
            <w:vAlign w:val="center"/>
          </w:tcPr>
          <w:p w14:paraId="7DE2FB1E">
            <w:pPr>
              <w:pStyle w:val="149"/>
              <w:wordWrap/>
              <w:rPr>
                <w:b/>
                <w:bCs/>
                <w:i w:val="0"/>
                <w:iCs w:val="0"/>
              </w:rPr>
            </w:pPr>
            <w:r>
              <w:rPr>
                <w:rFonts w:hint="eastAsia"/>
                <w:b/>
                <w:bCs/>
                <w:i w:val="0"/>
                <w:iCs w:val="0"/>
              </w:rPr>
              <w:t>说明</w:t>
            </w:r>
          </w:p>
        </w:tc>
      </w:tr>
      <w:tr w14:paraId="517FA6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3" w:type="dxa"/>
            <w:shd w:val="clear" w:color="auto" w:fill="auto"/>
          </w:tcPr>
          <w:p w14:paraId="3AD435B6">
            <w:pPr>
              <w:pStyle w:val="150"/>
            </w:pPr>
            <w:r>
              <w:rPr>
                <w:rFonts w:hint="eastAsia"/>
              </w:rPr>
              <w:t>已选</w:t>
            </w:r>
            <w:r>
              <w:t>终端</w:t>
            </w:r>
          </w:p>
        </w:tc>
        <w:tc>
          <w:tcPr>
            <w:tcW w:w="6671" w:type="dxa"/>
            <w:shd w:val="clear" w:color="auto" w:fill="auto"/>
          </w:tcPr>
          <w:p w14:paraId="7A1D4F7F">
            <w:pPr>
              <w:pStyle w:val="150"/>
            </w:pPr>
            <w:r>
              <w:rPr>
                <w:rFonts w:hint="eastAsia"/>
              </w:rPr>
              <w:t>显示</w:t>
            </w:r>
            <w:r>
              <w:t>已选择的终端</w:t>
            </w:r>
            <w:r>
              <w:rPr>
                <w:rFonts w:hint="eastAsia"/>
              </w:rPr>
              <w:t>类型</w:t>
            </w:r>
            <w:r>
              <w:t>配置。</w:t>
            </w:r>
          </w:p>
        </w:tc>
      </w:tr>
      <w:tr w14:paraId="33080FC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3" w:type="dxa"/>
            <w:shd w:val="clear" w:color="auto" w:fill="auto"/>
          </w:tcPr>
          <w:p w14:paraId="292F2DCA">
            <w:pPr>
              <w:pStyle w:val="150"/>
            </w:pPr>
            <w:r>
              <w:rPr>
                <w:rFonts w:hint="eastAsia"/>
              </w:rPr>
              <w:t>终端类型</w:t>
            </w:r>
          </w:p>
        </w:tc>
        <w:tc>
          <w:tcPr>
            <w:tcW w:w="6671" w:type="dxa"/>
            <w:shd w:val="clear" w:color="auto" w:fill="auto"/>
          </w:tcPr>
          <w:p w14:paraId="11FC6904">
            <w:pPr>
              <w:pStyle w:val="150"/>
            </w:pPr>
            <w:r>
              <w:rPr>
                <w:rFonts w:hint="eastAsia"/>
              </w:rPr>
              <w:t>终端</w:t>
            </w:r>
            <w:r>
              <w:t>类型包含：</w:t>
            </w:r>
          </w:p>
          <w:p w14:paraId="1B556EA2">
            <w:pPr>
              <w:pStyle w:val="150"/>
            </w:pPr>
            <w:r>
              <w:t>any</w:t>
            </w:r>
            <w:r>
              <w:rPr>
                <w:rFonts w:hint="eastAsia"/>
              </w:rPr>
              <w:t>：所</w:t>
            </w:r>
            <w:r>
              <w:t>有终端类型</w:t>
            </w:r>
            <w:r>
              <w:rPr>
                <w:rFonts w:hint="eastAsia"/>
              </w:rPr>
              <w:t>。</w:t>
            </w:r>
          </w:p>
          <w:p w14:paraId="37820ED3">
            <w:pPr>
              <w:pStyle w:val="150"/>
            </w:pPr>
            <w:r>
              <w:rPr>
                <w:rFonts w:hint="eastAsia"/>
              </w:rPr>
              <w:t>移动</w:t>
            </w:r>
            <w:r>
              <w:t>终端：</w:t>
            </w:r>
            <w:r>
              <w:rPr>
                <w:rFonts w:hint="eastAsia"/>
              </w:rPr>
              <w:t>基于A</w:t>
            </w:r>
            <w:r>
              <w:t>ndroid或</w:t>
            </w:r>
            <w:r>
              <w:rPr>
                <w:rFonts w:hint="eastAsia"/>
              </w:rPr>
              <w:t>IOS系统</w:t>
            </w:r>
            <w:r>
              <w:t>的</w:t>
            </w:r>
            <w:r>
              <w:rPr>
                <w:rFonts w:hint="eastAsia"/>
              </w:rPr>
              <w:t>智能</w:t>
            </w:r>
            <w:r>
              <w:t>手机</w:t>
            </w:r>
            <w:r>
              <w:rPr>
                <w:rFonts w:hint="eastAsia"/>
              </w:rPr>
              <w:t>或</w:t>
            </w:r>
            <w:r>
              <w:t>Pad</w:t>
            </w:r>
            <w:r>
              <w:rPr>
                <w:rFonts w:hint="eastAsia"/>
              </w:rPr>
              <w:t>。</w:t>
            </w:r>
          </w:p>
          <w:p w14:paraId="137F838E">
            <w:pPr>
              <w:pStyle w:val="150"/>
            </w:pPr>
            <w:r>
              <w:t>PC</w:t>
            </w:r>
            <w:r>
              <w:rPr>
                <w:rFonts w:hint="eastAsia"/>
              </w:rPr>
              <w:t>：基于W</w:t>
            </w:r>
            <w:r>
              <w:t>indows</w:t>
            </w:r>
            <w:r>
              <w:rPr>
                <w:rFonts w:hint="eastAsia"/>
              </w:rPr>
              <w:t>操作</w:t>
            </w:r>
            <w:r>
              <w:t>系统的</w:t>
            </w:r>
            <w:r>
              <w:rPr>
                <w:rFonts w:hint="eastAsia"/>
              </w:rPr>
              <w:t>PC或</w:t>
            </w:r>
            <w:r>
              <w:t>笔记本。</w:t>
            </w:r>
          </w:p>
          <w:p w14:paraId="1DE69C54">
            <w:pPr>
              <w:pStyle w:val="150"/>
            </w:pPr>
            <w:r>
              <w:t>多终端</w:t>
            </w:r>
            <w:r>
              <w:rPr>
                <w:rFonts w:hint="eastAsia"/>
              </w:rPr>
              <w:t>：</w:t>
            </w:r>
            <w:r>
              <w:t>单个IP下同时存在PC和移动终端</w:t>
            </w:r>
            <w:r>
              <w:rPr>
                <w:rFonts w:hint="eastAsia"/>
              </w:rPr>
              <w:t>。</w:t>
            </w:r>
          </w:p>
        </w:tc>
      </w:tr>
      <w:tr w14:paraId="24693F5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3" w:type="dxa"/>
            <w:shd w:val="clear" w:color="auto" w:fill="auto"/>
          </w:tcPr>
          <w:p w14:paraId="5751B675">
            <w:pPr>
              <w:pStyle w:val="150"/>
            </w:pPr>
            <w:r>
              <w:rPr>
                <w:rFonts w:hint="eastAsia"/>
              </w:rPr>
              <w:t>名称</w:t>
            </w:r>
          </w:p>
        </w:tc>
        <w:tc>
          <w:tcPr>
            <w:tcW w:w="6671" w:type="dxa"/>
            <w:shd w:val="clear" w:color="auto" w:fill="auto"/>
          </w:tcPr>
          <w:p w14:paraId="74D181B0">
            <w:pPr>
              <w:pStyle w:val="150"/>
            </w:pPr>
            <w:r>
              <w:rPr>
                <w:rFonts w:hint="eastAsia"/>
              </w:rPr>
              <w:t>终端类型</w:t>
            </w:r>
            <w:r>
              <w:t>的名称</w:t>
            </w:r>
            <w:r>
              <w:rPr>
                <w:rFonts w:hint="eastAsia"/>
              </w:rPr>
              <w:t>。</w:t>
            </w:r>
          </w:p>
        </w:tc>
      </w:tr>
      <w:tr w14:paraId="3850A35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3" w:type="dxa"/>
            <w:shd w:val="clear" w:color="auto" w:fill="auto"/>
          </w:tcPr>
          <w:p w14:paraId="74AEBBFF">
            <w:pPr>
              <w:pStyle w:val="150"/>
            </w:pPr>
            <w:r>
              <w:rPr>
                <w:rFonts w:hint="eastAsia"/>
              </w:rPr>
              <w:t>描述</w:t>
            </w:r>
          </w:p>
        </w:tc>
        <w:tc>
          <w:tcPr>
            <w:tcW w:w="6671" w:type="dxa"/>
            <w:shd w:val="clear" w:color="auto" w:fill="auto"/>
          </w:tcPr>
          <w:p w14:paraId="6E6F20F7">
            <w:pPr>
              <w:pStyle w:val="150"/>
            </w:pPr>
            <w:r>
              <w:rPr>
                <w:rFonts w:hint="eastAsia"/>
              </w:rPr>
              <w:t>终端</w:t>
            </w:r>
            <w:r>
              <w:t>类型</w:t>
            </w:r>
            <w:r>
              <w:rPr>
                <w:rFonts w:hint="eastAsia"/>
              </w:rPr>
              <w:t>实际</w:t>
            </w:r>
            <w:r>
              <w:t>含义的描述</w:t>
            </w:r>
            <w:r>
              <w:rPr>
                <w:rFonts w:hint="eastAsia"/>
              </w:rPr>
              <w:t>信息。</w:t>
            </w:r>
          </w:p>
        </w:tc>
      </w:tr>
    </w:tbl>
    <w:p w14:paraId="0896DA9C">
      <w:pPr>
        <w:pStyle w:val="4"/>
      </w:pPr>
      <w:bookmarkStart w:id="4738" w:name="_Toc15398609"/>
      <w:bookmarkStart w:id="4739" w:name="_Toc99561811"/>
      <w:bookmarkStart w:id="4740" w:name="_Toc15314273"/>
      <w:bookmarkStart w:id="4741" w:name="_Toc141873676"/>
      <w:bookmarkStart w:id="4742" w:name="_Toc142401193"/>
      <w:bookmarkStart w:id="4743" w:name="_Toc172218455"/>
      <w:bookmarkStart w:id="4744" w:name="_Toc194080941"/>
      <w:bookmarkStart w:id="4745" w:name="_Toc15484963"/>
      <w:bookmarkStart w:id="4746" w:name="_Toc196728273"/>
      <w:bookmarkStart w:id="4747" w:name="_Toc23152727"/>
      <w:bookmarkStart w:id="4748" w:name="_Toc40276160"/>
      <w:r>
        <w:rPr>
          <w:rFonts w:hint="eastAsia"/>
        </w:rPr>
        <w:t>控制策略分析</w:t>
      </w:r>
      <w:bookmarkEnd w:id="4738"/>
      <w:bookmarkEnd w:id="4739"/>
      <w:bookmarkEnd w:id="4740"/>
      <w:bookmarkEnd w:id="4741"/>
      <w:bookmarkEnd w:id="4742"/>
      <w:bookmarkEnd w:id="4743"/>
      <w:bookmarkEnd w:id="4744"/>
      <w:bookmarkEnd w:id="4745"/>
      <w:bookmarkEnd w:id="4746"/>
      <w:bookmarkEnd w:id="4747"/>
      <w:bookmarkEnd w:id="4748"/>
    </w:p>
    <w:p w14:paraId="1E4D4746">
      <w:pPr>
        <w:pStyle w:val="5"/>
      </w:pPr>
      <w:bookmarkStart w:id="4749" w:name="_Toc15398610"/>
      <w:bookmarkStart w:id="4750" w:name="_Toc40276161"/>
      <w:bookmarkStart w:id="4751" w:name="_Toc99561812"/>
      <w:bookmarkStart w:id="4752" w:name="_Toc141873677"/>
      <w:bookmarkStart w:id="4753" w:name="_Toc172218456"/>
      <w:bookmarkStart w:id="4754" w:name="_Toc15484964"/>
      <w:bookmarkStart w:id="4755" w:name="_Toc15314275"/>
      <w:bookmarkStart w:id="4756" w:name="_Toc196728274"/>
      <w:bookmarkStart w:id="4757" w:name="_Toc142401194"/>
      <w:bookmarkStart w:id="4758" w:name="_Toc23152728"/>
      <w:bookmarkStart w:id="4759" w:name="_Toc194080942"/>
      <w:r>
        <w:rPr>
          <w:rFonts w:hint="eastAsia"/>
        </w:rPr>
        <w:t>控制策略分析概述</w:t>
      </w:r>
      <w:bookmarkEnd w:id="4749"/>
      <w:bookmarkEnd w:id="4750"/>
      <w:bookmarkEnd w:id="4751"/>
      <w:bookmarkEnd w:id="4752"/>
      <w:bookmarkEnd w:id="4753"/>
      <w:bookmarkEnd w:id="4754"/>
      <w:bookmarkEnd w:id="4755"/>
      <w:bookmarkEnd w:id="4756"/>
      <w:bookmarkEnd w:id="4757"/>
      <w:bookmarkEnd w:id="4758"/>
      <w:bookmarkEnd w:id="4759"/>
    </w:p>
    <w:p w14:paraId="15B40F8A">
      <w:r>
        <w:rPr>
          <w:rFonts w:hint="eastAsia"/>
        </w:rPr>
        <w:t>控制策略分析对当前存在或即将新建的策略进行分析，查看现有环境中</w:t>
      </w:r>
      <w:r>
        <w:rPr>
          <w:rFonts w:hint="eastAsia" w:cs="微软雅黑" w:asciiTheme="minorEastAsia" w:hAnsiTheme="minorEastAsia"/>
        </w:rPr>
        <w:t>有：</w:t>
      </w:r>
      <w:r>
        <w:rPr>
          <w:rFonts w:cs="微软雅黑" w:asciiTheme="minorEastAsia" w:hAnsiTheme="minorEastAsia"/>
        </w:rPr>
        <w:t>冲突、冗余、隐藏、</w:t>
      </w:r>
      <w:r>
        <w:rPr>
          <w:rFonts w:hint="eastAsia" w:cs="微软雅黑" w:asciiTheme="minorEastAsia" w:hAnsiTheme="minorEastAsia"/>
        </w:rPr>
        <w:t>合并</w:t>
      </w:r>
      <w:r>
        <w:rPr>
          <w:rFonts w:cs="微软雅黑" w:asciiTheme="minorEastAsia" w:hAnsiTheme="minorEastAsia"/>
        </w:rPr>
        <w:t>、</w:t>
      </w:r>
      <w:r>
        <w:rPr>
          <w:rFonts w:hint="eastAsia" w:cs="微软雅黑" w:asciiTheme="minorEastAsia" w:hAnsiTheme="minorEastAsia"/>
        </w:rPr>
        <w:t>过期和</w:t>
      </w:r>
      <w:r>
        <w:rPr>
          <w:rFonts w:cs="微软雅黑" w:asciiTheme="minorEastAsia" w:hAnsiTheme="minorEastAsia"/>
        </w:rPr>
        <w:t>空策略</w:t>
      </w:r>
      <w:r>
        <w:rPr>
          <w:rFonts w:hint="eastAsia"/>
        </w:rPr>
        <w:t>中的哪一种情况，让设备更易于使用、便于维护和管理。</w:t>
      </w:r>
    </w:p>
    <w:p w14:paraId="37C4E312">
      <w:r>
        <w:rPr>
          <w:rFonts w:hint="eastAsia"/>
        </w:rPr>
        <w:t>策略分析针对策略内的用户、源接口、目的接口、源地址、应用、服务、目的地址和时间进行对象内逐一分析。策略分析的结果包括六类：</w:t>
      </w:r>
    </w:p>
    <w:p w14:paraId="1747FD63">
      <w:pPr>
        <w:pStyle w:val="162"/>
      </w:pPr>
      <w:r>
        <w:rPr>
          <w:rFonts w:hint="eastAsia"/>
        </w:rPr>
        <w:t>冲突策略：不区分匹配的前后顺序，若策略A和策略B存在数据流交集（非包含和被包含关系），且AB策略的行为不同，则A和B互为冲突策略；</w:t>
      </w:r>
    </w:p>
    <w:p w14:paraId="3FD07C42">
      <w:pPr>
        <w:pStyle w:val="162"/>
      </w:pPr>
      <w:r>
        <w:rPr>
          <w:rFonts w:hint="eastAsia"/>
        </w:rPr>
        <w:t>冗余策略：根据匹配的前后顺序（先匹配A策略匹配B策略），如果A策略匹配的所有数据流会被B策略包含在里面，删除A策略不会对其余策略产生影响，如果AB策略行为相同，那么A策略会被计算为冗余策略；</w:t>
      </w:r>
    </w:p>
    <w:p w14:paraId="3C3BB9C8">
      <w:pPr>
        <w:pStyle w:val="162"/>
      </w:pPr>
      <w:r>
        <w:rPr>
          <w:rFonts w:hint="eastAsia"/>
        </w:rPr>
        <w:t>隐藏策略：根据匹配的前后顺序（先匹配A策略在匹配B策略），如果B策略匹配的所有数据流会被A策略包含在里面，如果AB策略行为相同，那么B策略会被计算为隐藏策略；</w:t>
      </w:r>
    </w:p>
    <w:p w14:paraId="5A530446">
      <w:pPr>
        <w:pStyle w:val="162"/>
      </w:pPr>
      <w:r>
        <w:rPr>
          <w:rFonts w:hint="eastAsia"/>
        </w:rPr>
        <w:t>可合并策略：不区分匹配的前后顺序，策略内元组信息只有一项不同（且可合并）的情况下，则认为是可以合并的策略；</w:t>
      </w:r>
    </w:p>
    <w:p w14:paraId="3DD7CA5F">
      <w:pPr>
        <w:pStyle w:val="162"/>
      </w:pPr>
      <w:r>
        <w:rPr>
          <w:rFonts w:hint="eastAsia"/>
        </w:rPr>
        <w:t>空策略：当策略中匹配的任何一个对象为空时，那么该策略会被计算为空策略；</w:t>
      </w:r>
    </w:p>
    <w:p w14:paraId="1A7B694B">
      <w:pPr>
        <w:pStyle w:val="162"/>
      </w:pPr>
      <w:r>
        <w:rPr>
          <w:rFonts w:hint="eastAsia"/>
        </w:rPr>
        <w:t>过期策略：发现当前策略中，匹配的时间范围已经不会再次出现的策略。</w:t>
      </w:r>
    </w:p>
    <w:p w14:paraId="0B83205D">
      <w:r>
        <w:rPr>
          <w:rFonts w:hint="eastAsia"/>
        </w:rPr>
        <w:t>策略分析分为全局分析和单独策略的即时分析两种方式。</w:t>
      </w:r>
    </w:p>
    <w:p w14:paraId="407D5984">
      <w:pPr>
        <w:pStyle w:val="5"/>
      </w:pPr>
      <w:bookmarkStart w:id="4760" w:name="_Toc15314276"/>
      <w:bookmarkStart w:id="4761" w:name="_Toc40276162"/>
      <w:bookmarkStart w:id="4762" w:name="_Toc15398611"/>
      <w:bookmarkStart w:id="4763" w:name="_Toc15484965"/>
      <w:bookmarkStart w:id="4764" w:name="_Toc23152729"/>
      <w:bookmarkStart w:id="4765" w:name="_Toc99561813"/>
      <w:bookmarkStart w:id="4766" w:name="_Toc141873678"/>
      <w:bookmarkStart w:id="4767" w:name="_Toc142401195"/>
      <w:bookmarkStart w:id="4768" w:name="_Toc196728275"/>
      <w:bookmarkStart w:id="4769" w:name="_Toc172218457"/>
      <w:bookmarkStart w:id="4770" w:name="_Toc194080943"/>
      <w:r>
        <w:rPr>
          <w:rFonts w:hint="eastAsia"/>
        </w:rPr>
        <w:t>控制策略全局分析</w:t>
      </w:r>
      <w:bookmarkEnd w:id="4760"/>
      <w:bookmarkEnd w:id="4761"/>
      <w:bookmarkEnd w:id="4762"/>
      <w:bookmarkEnd w:id="4763"/>
      <w:bookmarkEnd w:id="4764"/>
      <w:bookmarkEnd w:id="4765"/>
      <w:bookmarkEnd w:id="4766"/>
      <w:bookmarkEnd w:id="4767"/>
      <w:bookmarkEnd w:id="4768"/>
      <w:bookmarkEnd w:id="4769"/>
      <w:bookmarkEnd w:id="4770"/>
    </w:p>
    <w:p w14:paraId="23DFEC9B">
      <w:r>
        <w:rPr>
          <w:rFonts w:hint="eastAsia"/>
        </w:rPr>
        <w:t>在导航栏中选择“策略配置&gt;控制策略&gt;策略分析”，进入</w:t>
      </w:r>
      <w:r>
        <w:t>控制策略</w:t>
      </w:r>
      <w:r>
        <w:rPr>
          <w:rFonts w:hint="eastAsia"/>
        </w:rPr>
        <w:t>分析显示界面，如下图所示。</w:t>
      </w:r>
    </w:p>
    <w:p w14:paraId="6084AD01">
      <w:pPr>
        <w:pStyle w:val="188"/>
      </w:pPr>
      <w:bookmarkStart w:id="4771" w:name="_Toc141875087"/>
      <w:r>
        <w:rPr>
          <w:rFonts w:hint="eastAsia"/>
        </w:rPr>
        <w:t>控制策略分析显示界面</w:t>
      </w:r>
      <w:bookmarkEnd w:id="4771"/>
    </w:p>
    <w:p w14:paraId="5CEDF021">
      <w:r>
        <w:drawing>
          <wp:inline distT="0" distB="0" distL="0" distR="0">
            <wp:extent cx="5400040" cy="2964815"/>
            <wp:effectExtent l="0" t="0" r="0" b="6985"/>
            <wp:docPr id="3831" name="图片 3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1" name="图片 3831"/>
                    <pic:cNvPicPr>
                      <a:picLocks noChangeAspect="1"/>
                    </pic:cNvPicPr>
                  </pic:nvPicPr>
                  <pic:blipFill>
                    <a:blip r:embed="rId641"/>
                    <a:stretch>
                      <a:fillRect/>
                    </a:stretch>
                  </pic:blipFill>
                  <pic:spPr>
                    <a:xfrm>
                      <a:off x="0" y="0"/>
                      <a:ext cx="5400040" cy="2964903"/>
                    </a:xfrm>
                    <a:prstGeom prst="rect">
                      <a:avLst/>
                    </a:prstGeom>
                  </pic:spPr>
                </pic:pic>
              </a:graphicData>
            </a:graphic>
          </wp:inline>
        </w:drawing>
      </w:r>
    </w:p>
    <w:p w14:paraId="2F2209FD"/>
    <w:p w14:paraId="47E60D3F">
      <w:r>
        <w:t>控制策略</w:t>
      </w:r>
      <w:r>
        <w:rPr>
          <w:rFonts w:hint="eastAsia"/>
        </w:rPr>
        <w:t>分析的含义如下表所示：</w:t>
      </w:r>
    </w:p>
    <w:p w14:paraId="5F96F7A9">
      <w:pPr>
        <w:pStyle w:val="183"/>
      </w:pPr>
      <w:bookmarkStart w:id="4772" w:name="_Toc141875679"/>
      <w:r>
        <w:rPr>
          <w:rFonts w:hint="eastAsia"/>
        </w:rPr>
        <w:t>控制策略分析显示信息描述表</w:t>
      </w:r>
      <w:bookmarkEnd w:id="4772"/>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206"/>
        <w:gridCol w:w="6762"/>
      </w:tblGrid>
      <w:tr w14:paraId="66592D9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tcBorders>
              <w:tl2br w:val="nil"/>
              <w:tr2bl w:val="nil"/>
            </w:tcBorders>
            <w:shd w:val="clear" w:color="auto" w:fill="538135" w:themeFill="accent6" w:themeFillShade="BF"/>
            <w:vAlign w:val="center"/>
          </w:tcPr>
          <w:p w14:paraId="3DA7FD10">
            <w:pPr>
              <w:pStyle w:val="149"/>
              <w:wordWrap/>
              <w:rPr>
                <w:b/>
                <w:bCs/>
                <w:i w:val="0"/>
                <w:iCs w:val="0"/>
              </w:rPr>
            </w:pPr>
            <w:r>
              <w:rPr>
                <w:rFonts w:hint="eastAsia"/>
                <w:b/>
                <w:bCs/>
                <w:i w:val="0"/>
                <w:iCs w:val="0"/>
              </w:rPr>
              <w:t>标题项</w:t>
            </w:r>
          </w:p>
        </w:tc>
        <w:tc>
          <w:tcPr>
            <w:tcW w:w="6762" w:type="dxa"/>
            <w:tcBorders>
              <w:tl2br w:val="nil"/>
              <w:tr2bl w:val="nil"/>
            </w:tcBorders>
            <w:shd w:val="clear" w:color="auto" w:fill="538135" w:themeFill="accent6" w:themeFillShade="BF"/>
            <w:vAlign w:val="center"/>
          </w:tcPr>
          <w:p w14:paraId="70A43383">
            <w:pPr>
              <w:pStyle w:val="149"/>
              <w:wordWrap/>
              <w:rPr>
                <w:b/>
                <w:bCs/>
                <w:i w:val="0"/>
                <w:iCs w:val="0"/>
              </w:rPr>
            </w:pPr>
            <w:r>
              <w:rPr>
                <w:rFonts w:hint="eastAsia"/>
                <w:b/>
                <w:bCs/>
                <w:i w:val="0"/>
                <w:iCs w:val="0"/>
              </w:rPr>
              <w:t>说明</w:t>
            </w:r>
          </w:p>
        </w:tc>
      </w:tr>
      <w:tr w14:paraId="6275166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0636BD38">
            <w:pPr>
              <w:pStyle w:val="150"/>
            </w:pPr>
            <w:r>
              <w:rPr>
                <w:rFonts w:hint="eastAsia"/>
              </w:rPr>
              <w:t>策略分析设置</w:t>
            </w:r>
          </w:p>
        </w:tc>
        <w:tc>
          <w:tcPr>
            <w:tcW w:w="6762" w:type="dxa"/>
            <w:shd w:val="clear" w:color="auto" w:fill="auto"/>
          </w:tcPr>
          <w:p w14:paraId="7D05CC21">
            <w:pPr>
              <w:pStyle w:val="150"/>
            </w:pPr>
            <w:r>
              <w:rPr>
                <w:rFonts w:hint="eastAsia"/>
              </w:rPr>
              <w:t>点击</w:t>
            </w:r>
            <w:r>
              <w:drawing>
                <wp:inline distT="0" distB="0" distL="0" distR="0">
                  <wp:extent cx="256540" cy="189865"/>
                  <wp:effectExtent l="0" t="0" r="0" b="635"/>
                  <wp:docPr id="1170" name="图片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 name="图片 1170"/>
                          <pic:cNvPicPr>
                            <a:picLocks noChangeAspect="1"/>
                          </pic:cNvPicPr>
                        </pic:nvPicPr>
                        <pic:blipFill>
                          <a:blip r:embed="rId642"/>
                          <a:stretch>
                            <a:fillRect/>
                          </a:stretch>
                        </pic:blipFill>
                        <pic:spPr>
                          <a:xfrm>
                            <a:off x="0" y="0"/>
                            <a:ext cx="257143" cy="190476"/>
                          </a:xfrm>
                          <a:prstGeom prst="rect">
                            <a:avLst/>
                          </a:prstGeom>
                        </pic:spPr>
                      </pic:pic>
                    </a:graphicData>
                  </a:graphic>
                </wp:inline>
              </w:drawing>
            </w:r>
            <w:r>
              <w:rPr>
                <w:rFonts w:hint="eastAsia"/>
              </w:rPr>
              <w:t>按钮，可以根据周期进行配置自动分析。</w:t>
            </w:r>
          </w:p>
        </w:tc>
      </w:tr>
      <w:tr w14:paraId="0D00AAC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40EA7152">
            <w:pPr>
              <w:pStyle w:val="150"/>
            </w:pPr>
            <w:r>
              <w:rPr>
                <w:rFonts w:hint="eastAsia"/>
              </w:rPr>
              <w:t>立即分析</w:t>
            </w:r>
          </w:p>
        </w:tc>
        <w:tc>
          <w:tcPr>
            <w:tcW w:w="6762" w:type="dxa"/>
            <w:shd w:val="clear" w:color="auto" w:fill="auto"/>
          </w:tcPr>
          <w:p w14:paraId="7D0A3E30">
            <w:pPr>
              <w:pStyle w:val="150"/>
            </w:pPr>
            <w:r>
              <w:rPr>
                <w:rFonts w:hint="eastAsia"/>
              </w:rPr>
              <w:t>立即进行控制策略分析。</w:t>
            </w:r>
          </w:p>
        </w:tc>
      </w:tr>
      <w:tr w14:paraId="69D578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6DA37691">
            <w:pPr>
              <w:pStyle w:val="150"/>
            </w:pPr>
            <w:r>
              <w:rPr>
                <w:rFonts w:hint="eastAsia"/>
              </w:rPr>
              <w:t>策略问题数量</w:t>
            </w:r>
          </w:p>
        </w:tc>
        <w:tc>
          <w:tcPr>
            <w:tcW w:w="6762" w:type="dxa"/>
            <w:shd w:val="clear" w:color="auto" w:fill="auto"/>
          </w:tcPr>
          <w:p w14:paraId="33088B51">
            <w:pPr>
              <w:pStyle w:val="150"/>
            </w:pPr>
            <w:r>
              <w:rPr>
                <w:rFonts w:hint="eastAsia"/>
              </w:rPr>
              <w:t>用柱状图进行分类显示存在问题的策略数量。</w:t>
            </w:r>
          </w:p>
        </w:tc>
      </w:tr>
      <w:tr w14:paraId="3B5C000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3D8E9411">
            <w:pPr>
              <w:pStyle w:val="150"/>
            </w:pPr>
            <w:r>
              <w:rPr>
                <w:rFonts w:hint="eastAsia"/>
              </w:rPr>
              <w:t>策略宽松度分析</w:t>
            </w:r>
          </w:p>
        </w:tc>
        <w:tc>
          <w:tcPr>
            <w:tcW w:w="6762" w:type="dxa"/>
            <w:shd w:val="clear" w:color="auto" w:fill="auto"/>
          </w:tcPr>
          <w:p w14:paraId="21D31F14">
            <w:pPr>
              <w:pStyle w:val="150"/>
            </w:pPr>
            <w:r>
              <w:rPr>
                <w:rFonts w:hint="eastAsia"/>
              </w:rPr>
              <w:t>用柱状图进行分类显示策略中源地址和目的地址的宽松度。</w:t>
            </w:r>
          </w:p>
        </w:tc>
      </w:tr>
      <w:tr w14:paraId="0E6664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537919FA">
            <w:pPr>
              <w:pStyle w:val="150"/>
            </w:pPr>
            <w:r>
              <w:rPr>
                <w:rFonts w:hint="eastAsia"/>
              </w:rPr>
              <w:t>冲突策略</w:t>
            </w:r>
          </w:p>
        </w:tc>
        <w:tc>
          <w:tcPr>
            <w:tcW w:w="6762" w:type="dxa"/>
            <w:shd w:val="clear" w:color="auto" w:fill="auto"/>
          </w:tcPr>
          <w:p w14:paraId="67E67012">
            <w:pPr>
              <w:pStyle w:val="150"/>
            </w:pPr>
            <w:r>
              <w:rPr>
                <w:rFonts w:hint="eastAsia"/>
              </w:rPr>
              <w:t>显示当前策略中存在的冲突策略信息。</w:t>
            </w:r>
          </w:p>
        </w:tc>
      </w:tr>
      <w:tr w14:paraId="21493C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091AA25F">
            <w:pPr>
              <w:pStyle w:val="150"/>
            </w:pPr>
            <w:r>
              <w:rPr>
                <w:rFonts w:hint="eastAsia"/>
              </w:rPr>
              <w:t>冗余策略</w:t>
            </w:r>
          </w:p>
        </w:tc>
        <w:tc>
          <w:tcPr>
            <w:tcW w:w="6762" w:type="dxa"/>
            <w:shd w:val="clear" w:color="auto" w:fill="auto"/>
          </w:tcPr>
          <w:p w14:paraId="5DD3CC15">
            <w:pPr>
              <w:pStyle w:val="150"/>
            </w:pPr>
            <w:r>
              <w:rPr>
                <w:rFonts w:hint="eastAsia"/>
              </w:rPr>
              <w:t>显示当前策略中存在的冗余策略信息。</w:t>
            </w:r>
          </w:p>
        </w:tc>
      </w:tr>
      <w:tr w14:paraId="20388F9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11B48276">
            <w:pPr>
              <w:pStyle w:val="150"/>
            </w:pPr>
            <w:r>
              <w:rPr>
                <w:rFonts w:hint="eastAsia"/>
              </w:rPr>
              <w:t>隐藏策略</w:t>
            </w:r>
          </w:p>
        </w:tc>
        <w:tc>
          <w:tcPr>
            <w:tcW w:w="6762" w:type="dxa"/>
            <w:shd w:val="clear" w:color="auto" w:fill="auto"/>
          </w:tcPr>
          <w:p w14:paraId="54FD9B38">
            <w:pPr>
              <w:pStyle w:val="150"/>
            </w:pPr>
            <w:r>
              <w:rPr>
                <w:rFonts w:hint="eastAsia"/>
              </w:rPr>
              <w:t>显示当前策略中存在的隐藏策略信息。</w:t>
            </w:r>
          </w:p>
        </w:tc>
      </w:tr>
      <w:tr w14:paraId="20DBBC0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34E9119C">
            <w:pPr>
              <w:pStyle w:val="150"/>
            </w:pPr>
            <w:r>
              <w:rPr>
                <w:rFonts w:hint="eastAsia"/>
              </w:rPr>
              <w:t>可合并策略</w:t>
            </w:r>
          </w:p>
        </w:tc>
        <w:tc>
          <w:tcPr>
            <w:tcW w:w="6762" w:type="dxa"/>
            <w:shd w:val="clear" w:color="auto" w:fill="auto"/>
          </w:tcPr>
          <w:p w14:paraId="6C555646">
            <w:pPr>
              <w:pStyle w:val="150"/>
            </w:pPr>
            <w:r>
              <w:rPr>
                <w:rFonts w:hint="eastAsia"/>
              </w:rPr>
              <w:t>显示当前策略中存在的可合并策略信息。</w:t>
            </w:r>
          </w:p>
        </w:tc>
      </w:tr>
      <w:tr w14:paraId="741206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28C866E1">
            <w:pPr>
              <w:pStyle w:val="150"/>
            </w:pPr>
            <w:r>
              <w:rPr>
                <w:rFonts w:hint="eastAsia"/>
              </w:rPr>
              <w:t>空策略</w:t>
            </w:r>
          </w:p>
        </w:tc>
        <w:tc>
          <w:tcPr>
            <w:tcW w:w="6762" w:type="dxa"/>
            <w:shd w:val="clear" w:color="auto" w:fill="auto"/>
          </w:tcPr>
          <w:p w14:paraId="2B1F8A86">
            <w:pPr>
              <w:pStyle w:val="150"/>
            </w:pPr>
            <w:r>
              <w:rPr>
                <w:rFonts w:hint="eastAsia"/>
              </w:rPr>
              <w:t>显示当前策略中存在的空策略信息。</w:t>
            </w:r>
          </w:p>
        </w:tc>
      </w:tr>
      <w:tr w14:paraId="644DBBE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729AE0CC">
            <w:pPr>
              <w:pStyle w:val="150"/>
            </w:pPr>
            <w:r>
              <w:rPr>
                <w:rFonts w:hint="eastAsia"/>
              </w:rPr>
              <w:t>过期策略</w:t>
            </w:r>
          </w:p>
        </w:tc>
        <w:tc>
          <w:tcPr>
            <w:tcW w:w="6762" w:type="dxa"/>
            <w:shd w:val="clear" w:color="auto" w:fill="auto"/>
          </w:tcPr>
          <w:p w14:paraId="3AAEF084">
            <w:pPr>
              <w:pStyle w:val="150"/>
            </w:pPr>
            <w:r>
              <w:rPr>
                <w:rFonts w:hint="eastAsia"/>
              </w:rPr>
              <w:t>显示当前策略中存在的过期策略信息。</w:t>
            </w:r>
          </w:p>
        </w:tc>
      </w:tr>
      <w:tr w14:paraId="42DE71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152ED02F">
            <w:pPr>
              <w:pStyle w:val="150"/>
            </w:pPr>
            <w:r>
              <w:rPr>
                <w:rFonts w:hint="eastAsia"/>
              </w:rPr>
              <w:t>忽略策略</w:t>
            </w:r>
          </w:p>
        </w:tc>
        <w:tc>
          <w:tcPr>
            <w:tcW w:w="6762" w:type="dxa"/>
            <w:shd w:val="clear" w:color="auto" w:fill="auto"/>
          </w:tcPr>
          <w:p w14:paraId="3FF55C30">
            <w:pPr>
              <w:pStyle w:val="150"/>
            </w:pPr>
            <w:r>
              <w:rPr>
                <w:rFonts w:hint="eastAsia"/>
              </w:rPr>
              <w:t>显示当前策略中存在的忽略策略信息。</w:t>
            </w:r>
          </w:p>
        </w:tc>
      </w:tr>
      <w:tr w14:paraId="669EBF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6AAF9AAE">
            <w:pPr>
              <w:pStyle w:val="150"/>
            </w:pPr>
            <w:r>
              <w:rPr>
                <w:rFonts w:hint="eastAsia"/>
              </w:rPr>
              <w:t>状态</w:t>
            </w:r>
          </w:p>
        </w:tc>
        <w:tc>
          <w:tcPr>
            <w:tcW w:w="6762" w:type="dxa"/>
            <w:shd w:val="clear" w:color="auto" w:fill="auto"/>
          </w:tcPr>
          <w:p w14:paraId="6DCDF141">
            <w:pPr>
              <w:pStyle w:val="150"/>
            </w:pPr>
            <w:r>
              <w:rPr>
                <w:rFonts w:hint="eastAsia"/>
              </w:rPr>
              <w:t>控制策略的状态：</w:t>
            </w:r>
          </w:p>
          <w:p w14:paraId="10AD47F9">
            <w:pPr>
              <w:pStyle w:val="150"/>
            </w:pPr>
            <w:r>
              <w:drawing>
                <wp:inline distT="0" distB="0" distL="0" distR="0">
                  <wp:extent cx="152400" cy="152400"/>
                  <wp:effectExtent l="0" t="0" r="0" b="0"/>
                  <wp:docPr id="1171" name="图片 1171" descr="说明: http://192.168.4.63/webui/images/default/icons/icon_enab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 name="图片 1171" descr="说明: http://192.168.4.63/webui/images/default/icons/icon_enable.gif"/>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a:xfrm>
                            <a:off x="0" y="0"/>
                            <a:ext cx="152400" cy="152400"/>
                          </a:xfrm>
                          <a:prstGeom prst="rect">
                            <a:avLst/>
                          </a:prstGeom>
                          <a:noFill/>
                          <a:ln>
                            <a:noFill/>
                          </a:ln>
                        </pic:spPr>
                      </pic:pic>
                    </a:graphicData>
                  </a:graphic>
                </wp:inline>
              </w:drawing>
            </w:r>
            <w:r>
              <w:rPr>
                <w:rFonts w:hint="eastAsia"/>
              </w:rPr>
              <w:t>表示策略启用</w:t>
            </w:r>
          </w:p>
          <w:p w14:paraId="62AECA96">
            <w:pPr>
              <w:pStyle w:val="150"/>
            </w:pPr>
            <w:r>
              <w:drawing>
                <wp:inline distT="0" distB="0" distL="0" distR="0">
                  <wp:extent cx="150495" cy="150495"/>
                  <wp:effectExtent l="0" t="0" r="0" b="0"/>
                  <wp:docPr id="1172" name="图片 1172" descr="http://192.168.4.63/webui/images/default/icons/icon_disab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 name="图片 1172" descr="http://192.168.4.63/webui/images/default/icons/icon_disable.gif"/>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a:xfrm>
                            <a:off x="0" y="0"/>
                            <a:ext cx="150495" cy="150495"/>
                          </a:xfrm>
                          <a:prstGeom prst="rect">
                            <a:avLst/>
                          </a:prstGeom>
                          <a:noFill/>
                          <a:ln>
                            <a:noFill/>
                          </a:ln>
                        </pic:spPr>
                      </pic:pic>
                    </a:graphicData>
                  </a:graphic>
                </wp:inline>
              </w:drawing>
            </w:r>
            <w:r>
              <w:rPr>
                <w:rFonts w:hint="eastAsia"/>
              </w:rPr>
              <w:t>表示策略禁用</w:t>
            </w:r>
          </w:p>
        </w:tc>
      </w:tr>
      <w:tr w14:paraId="433C9D9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73387BDD">
            <w:pPr>
              <w:pStyle w:val="150"/>
            </w:pPr>
            <w:r>
              <w:rPr>
                <w:rFonts w:hint="eastAsia"/>
              </w:rPr>
              <w:t>ID</w:t>
            </w:r>
          </w:p>
        </w:tc>
        <w:tc>
          <w:tcPr>
            <w:tcW w:w="6762" w:type="dxa"/>
            <w:shd w:val="clear" w:color="auto" w:fill="auto"/>
          </w:tcPr>
          <w:p w14:paraId="58F4D282">
            <w:pPr>
              <w:pStyle w:val="150"/>
            </w:pPr>
            <w:r>
              <w:rPr>
                <w:rFonts w:hint="eastAsia"/>
              </w:rPr>
              <w:t>控制策略的ID。</w:t>
            </w:r>
          </w:p>
        </w:tc>
      </w:tr>
      <w:tr w14:paraId="67DC79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0775A370">
            <w:pPr>
              <w:pStyle w:val="150"/>
            </w:pPr>
            <w:r>
              <w:rPr>
                <w:rFonts w:hint="eastAsia"/>
              </w:rPr>
              <w:t>行为</w:t>
            </w:r>
          </w:p>
        </w:tc>
        <w:tc>
          <w:tcPr>
            <w:tcW w:w="6762" w:type="dxa"/>
            <w:shd w:val="clear" w:color="auto" w:fill="auto"/>
          </w:tcPr>
          <w:p w14:paraId="470BB868">
            <w:pPr>
              <w:pStyle w:val="150"/>
            </w:pPr>
            <w:r>
              <w:rPr>
                <w:rFonts w:hint="eastAsia"/>
              </w:rPr>
              <w:t>控制策略行为的状态包含：</w:t>
            </w:r>
          </w:p>
          <w:p w14:paraId="27AE5AE1">
            <w:pPr>
              <w:pStyle w:val="150"/>
            </w:pPr>
            <w:r>
              <w:rPr>
                <w:rFonts w:hint="eastAsia"/>
              </w:rPr>
              <w:t>允许</w:t>
            </w:r>
          </w:p>
          <w:p w14:paraId="66E12F32">
            <w:pPr>
              <w:pStyle w:val="150"/>
            </w:pPr>
            <w:r>
              <w:rPr>
                <w:rFonts w:hint="eastAsia"/>
              </w:rPr>
              <w:t>拒绝</w:t>
            </w:r>
          </w:p>
        </w:tc>
      </w:tr>
      <w:tr w14:paraId="520832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10325DD2">
            <w:pPr>
              <w:pStyle w:val="150"/>
            </w:pPr>
            <w:r>
              <w:rPr>
                <w:rFonts w:hint="eastAsia"/>
              </w:rPr>
              <w:t>策略组</w:t>
            </w:r>
          </w:p>
        </w:tc>
        <w:tc>
          <w:tcPr>
            <w:tcW w:w="6762" w:type="dxa"/>
            <w:shd w:val="clear" w:color="auto" w:fill="auto"/>
          </w:tcPr>
          <w:p w14:paraId="7745F656">
            <w:pPr>
              <w:pStyle w:val="150"/>
            </w:pPr>
            <w:r>
              <w:rPr>
                <w:rFonts w:hint="eastAsia"/>
              </w:rPr>
              <w:t>匹配控制策略匹配的时间对象。</w:t>
            </w:r>
          </w:p>
        </w:tc>
      </w:tr>
      <w:tr w14:paraId="79E413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1F791E8C">
            <w:pPr>
              <w:pStyle w:val="150"/>
            </w:pPr>
            <w:r>
              <w:rPr>
                <w:rFonts w:hint="eastAsia"/>
              </w:rPr>
              <w:t>用户</w:t>
            </w:r>
          </w:p>
        </w:tc>
        <w:tc>
          <w:tcPr>
            <w:tcW w:w="6762" w:type="dxa"/>
            <w:shd w:val="clear" w:color="auto" w:fill="auto"/>
          </w:tcPr>
          <w:p w14:paraId="04959790">
            <w:pPr>
              <w:pStyle w:val="150"/>
            </w:pPr>
            <w:r>
              <w:rPr>
                <w:rFonts w:hint="eastAsia"/>
              </w:rPr>
              <w:t>匹配控制策略的用户对象。</w:t>
            </w:r>
          </w:p>
        </w:tc>
      </w:tr>
      <w:tr w14:paraId="6FE52F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3DC74BB2">
            <w:pPr>
              <w:pStyle w:val="150"/>
            </w:pPr>
            <w:r>
              <w:rPr>
                <w:rFonts w:hint="eastAsia"/>
              </w:rPr>
              <w:t>源接口/域</w:t>
            </w:r>
          </w:p>
        </w:tc>
        <w:tc>
          <w:tcPr>
            <w:tcW w:w="6762" w:type="dxa"/>
            <w:shd w:val="clear" w:color="auto" w:fill="auto"/>
          </w:tcPr>
          <w:p w14:paraId="21AFCA00">
            <w:pPr>
              <w:pStyle w:val="150"/>
            </w:pPr>
            <w:r>
              <w:rPr>
                <w:rFonts w:hint="eastAsia"/>
              </w:rPr>
              <w:t>匹配控制策略的源接口/域。</w:t>
            </w:r>
          </w:p>
        </w:tc>
      </w:tr>
      <w:tr w14:paraId="6FA0CE0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4666AD99">
            <w:pPr>
              <w:pStyle w:val="150"/>
            </w:pPr>
            <w:r>
              <w:rPr>
                <w:rFonts w:hint="eastAsia"/>
              </w:rPr>
              <w:t>目的接口/域</w:t>
            </w:r>
          </w:p>
        </w:tc>
        <w:tc>
          <w:tcPr>
            <w:tcW w:w="6762" w:type="dxa"/>
            <w:shd w:val="clear" w:color="auto" w:fill="auto"/>
          </w:tcPr>
          <w:p w14:paraId="6C1EAB5C">
            <w:pPr>
              <w:pStyle w:val="150"/>
            </w:pPr>
            <w:r>
              <w:rPr>
                <w:rFonts w:hint="eastAsia"/>
              </w:rPr>
              <w:t>匹配控制策略的目的接口/域。</w:t>
            </w:r>
          </w:p>
        </w:tc>
      </w:tr>
      <w:tr w14:paraId="631E6E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070CA1B6">
            <w:pPr>
              <w:pStyle w:val="150"/>
            </w:pPr>
            <w:r>
              <w:rPr>
                <w:rFonts w:hint="eastAsia"/>
              </w:rPr>
              <w:t>源地址</w:t>
            </w:r>
          </w:p>
        </w:tc>
        <w:tc>
          <w:tcPr>
            <w:tcW w:w="6762" w:type="dxa"/>
            <w:shd w:val="clear" w:color="auto" w:fill="auto"/>
          </w:tcPr>
          <w:p w14:paraId="0AA47B64">
            <w:pPr>
              <w:pStyle w:val="150"/>
            </w:pPr>
            <w:r>
              <w:rPr>
                <w:rFonts w:hint="eastAsia"/>
              </w:rPr>
              <w:t>匹配控制策略的源地址。</w:t>
            </w:r>
          </w:p>
        </w:tc>
      </w:tr>
      <w:tr w14:paraId="038620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21865B39">
            <w:pPr>
              <w:pStyle w:val="150"/>
            </w:pPr>
            <w:r>
              <w:rPr>
                <w:rFonts w:hint="eastAsia"/>
              </w:rPr>
              <w:t>目的地址</w:t>
            </w:r>
          </w:p>
        </w:tc>
        <w:tc>
          <w:tcPr>
            <w:tcW w:w="6762" w:type="dxa"/>
            <w:shd w:val="clear" w:color="auto" w:fill="auto"/>
          </w:tcPr>
          <w:p w14:paraId="3A66598C">
            <w:pPr>
              <w:pStyle w:val="150"/>
            </w:pPr>
            <w:r>
              <w:rPr>
                <w:rFonts w:hint="eastAsia"/>
              </w:rPr>
              <w:t>匹配控制策略的目的地址。</w:t>
            </w:r>
          </w:p>
        </w:tc>
      </w:tr>
      <w:tr w14:paraId="61F20AF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4B9619BC">
            <w:pPr>
              <w:pStyle w:val="150"/>
            </w:pPr>
            <w:r>
              <w:rPr>
                <w:rFonts w:hint="eastAsia"/>
              </w:rPr>
              <w:t>应用</w:t>
            </w:r>
          </w:p>
        </w:tc>
        <w:tc>
          <w:tcPr>
            <w:tcW w:w="6762" w:type="dxa"/>
            <w:shd w:val="clear" w:color="auto" w:fill="auto"/>
          </w:tcPr>
          <w:p w14:paraId="586626F9">
            <w:pPr>
              <w:pStyle w:val="150"/>
            </w:pPr>
            <w:r>
              <w:rPr>
                <w:rFonts w:hint="eastAsia"/>
              </w:rPr>
              <w:t>匹配控制策略的应用对象。</w:t>
            </w:r>
          </w:p>
        </w:tc>
      </w:tr>
      <w:tr w14:paraId="35C0779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1D9B0D15">
            <w:pPr>
              <w:pStyle w:val="150"/>
            </w:pPr>
            <w:r>
              <w:rPr>
                <w:rFonts w:hint="eastAsia"/>
              </w:rPr>
              <w:t>服务</w:t>
            </w:r>
          </w:p>
        </w:tc>
        <w:tc>
          <w:tcPr>
            <w:tcW w:w="6762" w:type="dxa"/>
            <w:shd w:val="clear" w:color="auto" w:fill="auto"/>
          </w:tcPr>
          <w:p w14:paraId="60519B52">
            <w:pPr>
              <w:pStyle w:val="150"/>
            </w:pPr>
            <w:r>
              <w:rPr>
                <w:rFonts w:hint="eastAsia"/>
              </w:rPr>
              <w:t>匹配控制策略的服务对象。</w:t>
            </w:r>
          </w:p>
        </w:tc>
      </w:tr>
      <w:tr w14:paraId="5DBF94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33B813A0">
            <w:pPr>
              <w:pStyle w:val="150"/>
            </w:pPr>
            <w:r>
              <w:rPr>
                <w:rFonts w:hint="eastAsia"/>
              </w:rPr>
              <w:t>终端</w:t>
            </w:r>
          </w:p>
        </w:tc>
        <w:tc>
          <w:tcPr>
            <w:tcW w:w="6762" w:type="dxa"/>
            <w:shd w:val="clear" w:color="auto" w:fill="auto"/>
          </w:tcPr>
          <w:p w14:paraId="37D5B712">
            <w:pPr>
              <w:pStyle w:val="150"/>
            </w:pPr>
            <w:r>
              <w:rPr>
                <w:rFonts w:hint="eastAsia"/>
              </w:rPr>
              <w:t>匹配控制策略匹配的终端类型，包括</w:t>
            </w:r>
            <w:r>
              <w:t>：</w:t>
            </w:r>
            <w:r>
              <w:rPr>
                <w:rFonts w:hint="eastAsia"/>
              </w:rPr>
              <w:t>any、移动</w:t>
            </w:r>
            <w:r>
              <w:t>终端、</w:t>
            </w:r>
            <w:r>
              <w:rPr>
                <w:rFonts w:hint="eastAsia"/>
              </w:rPr>
              <w:t>PC、</w:t>
            </w:r>
            <w:r>
              <w:t>多终端</w:t>
            </w:r>
            <w:r>
              <w:rPr>
                <w:rFonts w:hint="eastAsia"/>
              </w:rPr>
              <w:t>。</w:t>
            </w:r>
          </w:p>
          <w:p w14:paraId="1CDCEE21">
            <w:pPr>
              <w:pStyle w:val="150"/>
            </w:pPr>
            <w:r>
              <w:rPr>
                <w:rFonts w:hint="eastAsia"/>
              </w:rPr>
              <w:t>移动</w:t>
            </w:r>
            <w:r>
              <w:t>终端：</w:t>
            </w:r>
            <w:r>
              <w:rPr>
                <w:rFonts w:hint="eastAsia"/>
              </w:rPr>
              <w:t>基于Android或IOS系统的智能手机或Pad；</w:t>
            </w:r>
          </w:p>
          <w:p w14:paraId="62A8317E">
            <w:pPr>
              <w:pStyle w:val="150"/>
            </w:pPr>
            <w:r>
              <w:t>PC</w:t>
            </w:r>
            <w:r>
              <w:rPr>
                <w:rFonts w:hint="eastAsia"/>
              </w:rPr>
              <w:t>：基于Windows操作系统的PC或笔记本；</w:t>
            </w:r>
          </w:p>
          <w:p w14:paraId="697F8FE1">
            <w:pPr>
              <w:pStyle w:val="150"/>
            </w:pPr>
            <w:r>
              <w:rPr>
                <w:rFonts w:hint="eastAsia"/>
              </w:rPr>
              <w:t>多</w:t>
            </w:r>
            <w:r>
              <w:t>终端：</w:t>
            </w:r>
            <w:r>
              <w:rPr>
                <w:rFonts w:hint="eastAsia"/>
              </w:rPr>
              <w:t>单个IP下同时存在电脑和移动终端。</w:t>
            </w:r>
          </w:p>
        </w:tc>
      </w:tr>
      <w:tr w14:paraId="2E7B9C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19A3D88A">
            <w:pPr>
              <w:pStyle w:val="150"/>
            </w:pPr>
            <w:r>
              <w:rPr>
                <w:rFonts w:hint="eastAsia"/>
              </w:rPr>
              <w:t>描述</w:t>
            </w:r>
          </w:p>
        </w:tc>
        <w:tc>
          <w:tcPr>
            <w:tcW w:w="6762" w:type="dxa"/>
            <w:shd w:val="clear" w:color="auto" w:fill="auto"/>
          </w:tcPr>
          <w:p w14:paraId="3DB6F256">
            <w:pPr>
              <w:pStyle w:val="150"/>
            </w:pPr>
            <w:r>
              <w:rPr>
                <w:rFonts w:hint="eastAsia"/>
              </w:rPr>
              <w:t>控制策略描述。</w:t>
            </w:r>
          </w:p>
        </w:tc>
      </w:tr>
      <w:tr w14:paraId="40FF5A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57361447">
            <w:pPr>
              <w:pStyle w:val="150"/>
            </w:pPr>
            <w:r>
              <w:rPr>
                <w:rFonts w:hint="eastAsia"/>
              </w:rPr>
              <w:t>匹配次数</w:t>
            </w:r>
          </w:p>
        </w:tc>
        <w:tc>
          <w:tcPr>
            <w:tcW w:w="6762" w:type="dxa"/>
            <w:shd w:val="clear" w:color="auto" w:fill="auto"/>
          </w:tcPr>
          <w:p w14:paraId="50B4BE8F">
            <w:pPr>
              <w:pStyle w:val="150"/>
            </w:pPr>
            <w:r>
              <w:rPr>
                <w:rFonts w:hint="eastAsia"/>
              </w:rPr>
              <w:t>匹配控制策略的次数。</w:t>
            </w:r>
          </w:p>
        </w:tc>
      </w:tr>
      <w:tr w14:paraId="634C13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1F4C398E">
            <w:pPr>
              <w:pStyle w:val="150"/>
            </w:pPr>
            <w:r>
              <w:rPr>
                <w:rFonts w:hint="eastAsia"/>
              </w:rPr>
              <w:t>应用安全</w:t>
            </w:r>
          </w:p>
        </w:tc>
        <w:tc>
          <w:tcPr>
            <w:tcW w:w="6762" w:type="dxa"/>
            <w:shd w:val="clear" w:color="auto" w:fill="auto"/>
          </w:tcPr>
          <w:p w14:paraId="4A48BB73">
            <w:pPr>
              <w:pStyle w:val="150"/>
            </w:pPr>
            <w:r>
              <w:rPr>
                <w:rFonts w:hint="eastAsia"/>
              </w:rPr>
              <w:t>如果显示图标</w:t>
            </w:r>
            <w:r>
              <w:drawing>
                <wp:inline distT="0" distB="0" distL="0" distR="0">
                  <wp:extent cx="156845" cy="156845"/>
                  <wp:effectExtent l="0" t="0" r="0" b="0"/>
                  <wp:docPr id="1173" name="图片 1173" descr="上网行为策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 name="图片 1173" descr="上网行为策略"/>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a:xfrm>
                            <a:off x="0" y="0"/>
                            <a:ext cx="156845" cy="156845"/>
                          </a:xfrm>
                          <a:prstGeom prst="rect">
                            <a:avLst/>
                          </a:prstGeom>
                          <a:noFill/>
                          <a:ln>
                            <a:noFill/>
                          </a:ln>
                        </pic:spPr>
                      </pic:pic>
                    </a:graphicData>
                  </a:graphic>
                </wp:inline>
              </w:drawing>
            </w:r>
            <w:r>
              <w:rPr>
                <w:rFonts w:hint="eastAsia"/>
              </w:rPr>
              <w:t>，表示已经配置应用过滤或URL过滤规则。</w:t>
            </w:r>
          </w:p>
        </w:tc>
      </w:tr>
      <w:tr w14:paraId="7E025BD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78A178D0">
            <w:pPr>
              <w:pStyle w:val="150"/>
            </w:pPr>
            <w:r>
              <w:rPr>
                <w:rFonts w:hint="eastAsia"/>
              </w:rPr>
              <w:t>时间</w:t>
            </w:r>
          </w:p>
        </w:tc>
        <w:tc>
          <w:tcPr>
            <w:tcW w:w="6762" w:type="dxa"/>
            <w:shd w:val="clear" w:color="auto" w:fill="auto"/>
          </w:tcPr>
          <w:p w14:paraId="65A4CABB">
            <w:pPr>
              <w:pStyle w:val="150"/>
            </w:pPr>
            <w:r>
              <w:rPr>
                <w:rFonts w:hint="eastAsia"/>
              </w:rPr>
              <w:t>匹配控制策略匹配的时间对象。</w:t>
            </w:r>
          </w:p>
        </w:tc>
      </w:tr>
      <w:tr w14:paraId="098FFA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3B8A6D99">
            <w:pPr>
              <w:pStyle w:val="150"/>
            </w:pPr>
            <w:r>
              <w:rPr>
                <w:rFonts w:hint="eastAsia"/>
              </w:rPr>
              <w:t>日志</w:t>
            </w:r>
          </w:p>
        </w:tc>
        <w:tc>
          <w:tcPr>
            <w:tcW w:w="6762" w:type="dxa"/>
            <w:shd w:val="clear" w:color="auto" w:fill="auto"/>
          </w:tcPr>
          <w:p w14:paraId="489B516F">
            <w:pPr>
              <w:pStyle w:val="150"/>
            </w:pPr>
            <w:r>
              <w:rPr>
                <w:rFonts w:hint="eastAsia"/>
              </w:rPr>
              <w:t>控制策略行</w:t>
            </w:r>
            <w:r>
              <w:t>为</w:t>
            </w:r>
            <w:r>
              <w:rPr>
                <w:rFonts w:hint="eastAsia"/>
              </w:rPr>
              <w:t>选择</w:t>
            </w:r>
            <w:r>
              <w:t>为拒绝时</w:t>
            </w:r>
            <w:r>
              <w:rPr>
                <w:rFonts w:hint="eastAsia"/>
              </w:rPr>
              <w:t>是否记录日志。</w:t>
            </w:r>
          </w:p>
        </w:tc>
      </w:tr>
      <w:tr w14:paraId="20D139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73944389">
            <w:pPr>
              <w:pStyle w:val="150"/>
            </w:pPr>
            <w:r>
              <w:rPr>
                <w:rFonts w:hint="eastAsia"/>
              </w:rPr>
              <w:t>老化时间</w:t>
            </w:r>
          </w:p>
        </w:tc>
        <w:tc>
          <w:tcPr>
            <w:tcW w:w="6762" w:type="dxa"/>
            <w:shd w:val="clear" w:color="auto" w:fill="auto"/>
          </w:tcPr>
          <w:p w14:paraId="19EFD529">
            <w:pPr>
              <w:pStyle w:val="150"/>
            </w:pPr>
            <w:r>
              <w:rPr>
                <w:rFonts w:hint="eastAsia"/>
              </w:rPr>
              <w:t>基于控制策略的老化时间，缺省情况下，老化时间为0，表示使用各个协议默认的老化时间。</w:t>
            </w:r>
          </w:p>
        </w:tc>
      </w:tr>
      <w:tr w14:paraId="1F3151A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06" w:type="dxa"/>
            <w:shd w:val="clear" w:color="auto" w:fill="auto"/>
          </w:tcPr>
          <w:p w14:paraId="158743B4">
            <w:pPr>
              <w:pStyle w:val="150"/>
            </w:pPr>
            <w:r>
              <w:rPr>
                <w:rFonts w:hint="eastAsia"/>
              </w:rPr>
              <w:t>操作</w:t>
            </w:r>
          </w:p>
        </w:tc>
        <w:tc>
          <w:tcPr>
            <w:tcW w:w="6762" w:type="dxa"/>
            <w:shd w:val="clear" w:color="auto" w:fill="auto"/>
          </w:tcPr>
          <w:p w14:paraId="013D13E8">
            <w:pPr>
              <w:pStyle w:val="150"/>
            </w:pPr>
            <w:r>
              <w:rPr>
                <w:rFonts w:hint="eastAsia"/>
              </w:rPr>
              <w:t>控制策略支持的</w:t>
            </w:r>
            <w:r>
              <w:t>操作，包含</w:t>
            </w:r>
            <w:r>
              <w:rPr>
                <w:rFonts w:hint="eastAsia"/>
              </w:rPr>
              <w:t>编辑和忽略策略设置。</w:t>
            </w:r>
          </w:p>
        </w:tc>
      </w:tr>
    </w:tbl>
    <w:p w14:paraId="421600C8"/>
    <w:p w14:paraId="6128D5D4">
      <w:r>
        <w:rPr>
          <w:rFonts w:hint="eastAsia"/>
        </w:rPr>
        <w:t>策略分支支持定时分析，在导航栏中选择“策略配置&gt;控制策略&gt;策略分析”，进入</w:t>
      </w:r>
      <w:r>
        <w:t>控制策略</w:t>
      </w:r>
      <w:r>
        <w:rPr>
          <w:rFonts w:hint="eastAsia"/>
        </w:rPr>
        <w:t>分析页面，点击策略分析设置，如下图所示。</w:t>
      </w:r>
    </w:p>
    <w:p w14:paraId="76A00E03">
      <w:pPr>
        <w:pStyle w:val="188"/>
      </w:pPr>
      <w:bookmarkStart w:id="4773" w:name="_Toc141875088"/>
      <w:r>
        <w:rPr>
          <w:rFonts w:hint="eastAsia"/>
        </w:rPr>
        <w:t>策略分析设置界面</w:t>
      </w:r>
      <w:bookmarkEnd w:id="4773"/>
    </w:p>
    <w:p w14:paraId="75468DC9">
      <w:pPr>
        <w:spacing w:before="78" w:after="78"/>
      </w:pPr>
      <w:r>
        <w:drawing>
          <wp:inline distT="0" distB="0" distL="0" distR="0">
            <wp:extent cx="3619500" cy="2868295"/>
            <wp:effectExtent l="0" t="0" r="0" b="8255"/>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643"/>
                    <a:stretch>
                      <a:fillRect/>
                    </a:stretch>
                  </pic:blipFill>
                  <pic:spPr>
                    <a:xfrm>
                      <a:off x="0" y="0"/>
                      <a:ext cx="3640554" cy="2885418"/>
                    </a:xfrm>
                    <a:prstGeom prst="rect">
                      <a:avLst/>
                    </a:prstGeom>
                  </pic:spPr>
                </pic:pic>
              </a:graphicData>
            </a:graphic>
          </wp:inline>
        </w:drawing>
      </w:r>
    </w:p>
    <w:p w14:paraId="2EBA4C3C"/>
    <w:p w14:paraId="3C0B6926">
      <w:r>
        <w:rPr>
          <w:rFonts w:hint="eastAsia"/>
        </w:rPr>
        <w:t>策略分析设置界面的详细</w:t>
      </w:r>
      <w:r>
        <w:t>信息</w:t>
      </w:r>
      <w:r>
        <w:rPr>
          <w:rFonts w:hint="eastAsia"/>
        </w:rPr>
        <w:t>如下表所示：</w:t>
      </w:r>
    </w:p>
    <w:p w14:paraId="1CCD97FF">
      <w:pPr>
        <w:pStyle w:val="183"/>
      </w:pPr>
      <w:bookmarkStart w:id="4774" w:name="_Toc141875680"/>
      <w:r>
        <w:t>策略外部编辑界面</w:t>
      </w:r>
      <w:r>
        <w:rPr>
          <w:rFonts w:hint="eastAsia"/>
        </w:rPr>
        <w:t>详细</w:t>
      </w:r>
      <w:r>
        <w:t>信息</w:t>
      </w:r>
      <w:bookmarkEnd w:id="4774"/>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829"/>
        <w:gridCol w:w="6139"/>
      </w:tblGrid>
      <w:tr w14:paraId="2F1E841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829" w:type="dxa"/>
            <w:tcBorders>
              <w:tl2br w:val="nil"/>
              <w:tr2bl w:val="nil"/>
            </w:tcBorders>
            <w:shd w:val="clear" w:color="auto" w:fill="538135" w:themeFill="accent6" w:themeFillShade="BF"/>
            <w:vAlign w:val="center"/>
          </w:tcPr>
          <w:p w14:paraId="164CC62A">
            <w:pPr>
              <w:pStyle w:val="149"/>
              <w:wordWrap/>
              <w:rPr>
                <w:b/>
                <w:bCs/>
                <w:i w:val="0"/>
                <w:iCs w:val="0"/>
              </w:rPr>
            </w:pPr>
            <w:r>
              <w:rPr>
                <w:rFonts w:hint="eastAsia"/>
                <w:b/>
                <w:bCs/>
                <w:i w:val="0"/>
                <w:iCs w:val="0"/>
              </w:rPr>
              <w:t>标题项</w:t>
            </w:r>
          </w:p>
        </w:tc>
        <w:tc>
          <w:tcPr>
            <w:tcW w:w="6139" w:type="dxa"/>
            <w:tcBorders>
              <w:tl2br w:val="nil"/>
              <w:tr2bl w:val="nil"/>
            </w:tcBorders>
            <w:shd w:val="clear" w:color="auto" w:fill="538135" w:themeFill="accent6" w:themeFillShade="BF"/>
            <w:vAlign w:val="center"/>
          </w:tcPr>
          <w:p w14:paraId="1A5AF966">
            <w:pPr>
              <w:pStyle w:val="149"/>
              <w:wordWrap/>
              <w:rPr>
                <w:b/>
                <w:bCs/>
                <w:i w:val="0"/>
                <w:iCs w:val="0"/>
              </w:rPr>
            </w:pPr>
            <w:r>
              <w:rPr>
                <w:rFonts w:hint="eastAsia"/>
                <w:b/>
                <w:bCs/>
                <w:i w:val="0"/>
                <w:iCs w:val="0"/>
              </w:rPr>
              <w:t>说明</w:t>
            </w:r>
          </w:p>
        </w:tc>
      </w:tr>
      <w:tr w14:paraId="2F7D65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829" w:type="dxa"/>
            <w:shd w:val="clear" w:color="auto" w:fill="auto"/>
          </w:tcPr>
          <w:p w14:paraId="40BF2001">
            <w:pPr>
              <w:pStyle w:val="150"/>
            </w:pPr>
            <w:r>
              <w:rPr>
                <w:rFonts w:hint="eastAsia"/>
              </w:rPr>
              <w:t>开启分析</w:t>
            </w:r>
          </w:p>
        </w:tc>
        <w:tc>
          <w:tcPr>
            <w:tcW w:w="6139" w:type="dxa"/>
            <w:shd w:val="clear" w:color="auto" w:fill="auto"/>
          </w:tcPr>
          <w:p w14:paraId="7F3BAD89">
            <w:pPr>
              <w:pStyle w:val="150"/>
            </w:pPr>
            <w:r>
              <w:rPr>
                <w:rFonts w:hint="eastAsia"/>
              </w:rPr>
              <w:t>开启/关闭策略定时分析。</w:t>
            </w:r>
          </w:p>
        </w:tc>
      </w:tr>
      <w:tr w14:paraId="19CCC4F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829" w:type="dxa"/>
            <w:shd w:val="clear" w:color="auto" w:fill="auto"/>
          </w:tcPr>
          <w:p w14:paraId="78AD5A3D">
            <w:pPr>
              <w:pStyle w:val="150"/>
            </w:pPr>
            <w:r>
              <w:rPr>
                <w:rFonts w:hint="eastAsia"/>
              </w:rPr>
              <w:t>CPU高于</w:t>
            </w:r>
          </w:p>
        </w:tc>
        <w:tc>
          <w:tcPr>
            <w:tcW w:w="6139" w:type="dxa"/>
            <w:shd w:val="clear" w:color="auto" w:fill="auto"/>
          </w:tcPr>
          <w:p w14:paraId="2D6BC0B6">
            <w:pPr>
              <w:pStyle w:val="150"/>
            </w:pPr>
            <w:r>
              <w:rPr>
                <w:rFonts w:hint="eastAsia"/>
              </w:rPr>
              <w:t>配置范围（50-99）内，当CPU高于配置信息后自动策略分析停止。</w:t>
            </w:r>
          </w:p>
        </w:tc>
      </w:tr>
      <w:tr w14:paraId="55C33A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829" w:type="dxa"/>
            <w:shd w:val="clear" w:color="auto" w:fill="auto"/>
          </w:tcPr>
          <w:p w14:paraId="5FADBA3B">
            <w:pPr>
              <w:pStyle w:val="150"/>
            </w:pPr>
            <w:r>
              <w:rPr>
                <w:rFonts w:hint="eastAsia"/>
              </w:rPr>
              <w:t>内存高于</w:t>
            </w:r>
          </w:p>
        </w:tc>
        <w:tc>
          <w:tcPr>
            <w:tcW w:w="6139" w:type="dxa"/>
            <w:shd w:val="clear" w:color="auto" w:fill="auto"/>
          </w:tcPr>
          <w:p w14:paraId="26CE5C9A">
            <w:pPr>
              <w:pStyle w:val="150"/>
            </w:pPr>
            <w:r>
              <w:rPr>
                <w:rFonts w:hint="eastAsia"/>
              </w:rPr>
              <w:t>配置范围（50-99）内，当内存高于配置信息后自动策略分析停止。</w:t>
            </w:r>
          </w:p>
        </w:tc>
      </w:tr>
      <w:tr w14:paraId="27E6BF9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829" w:type="dxa"/>
            <w:shd w:val="clear" w:color="auto" w:fill="auto"/>
          </w:tcPr>
          <w:p w14:paraId="3DA3DBE1">
            <w:pPr>
              <w:pStyle w:val="150"/>
            </w:pPr>
            <w:r>
              <w:rPr>
                <w:rFonts w:hint="eastAsia"/>
              </w:rPr>
              <w:t>周期</w:t>
            </w:r>
          </w:p>
        </w:tc>
        <w:tc>
          <w:tcPr>
            <w:tcW w:w="6139" w:type="dxa"/>
            <w:shd w:val="clear" w:color="auto" w:fill="auto"/>
          </w:tcPr>
          <w:p w14:paraId="52372080">
            <w:pPr>
              <w:pStyle w:val="150"/>
            </w:pPr>
            <w:r>
              <w:rPr>
                <w:rFonts w:hint="eastAsia"/>
              </w:rPr>
              <w:t>可以选择每天、每周、每月。</w:t>
            </w:r>
          </w:p>
        </w:tc>
      </w:tr>
      <w:tr w14:paraId="23509C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829" w:type="dxa"/>
            <w:shd w:val="clear" w:color="auto" w:fill="auto"/>
          </w:tcPr>
          <w:p w14:paraId="5A4FFB2F">
            <w:pPr>
              <w:pStyle w:val="150"/>
            </w:pPr>
            <w:r>
              <w:rPr>
                <w:rFonts w:hint="eastAsia"/>
              </w:rPr>
              <w:t>时间</w:t>
            </w:r>
          </w:p>
        </w:tc>
        <w:tc>
          <w:tcPr>
            <w:tcW w:w="6139" w:type="dxa"/>
            <w:shd w:val="clear" w:color="auto" w:fill="auto"/>
          </w:tcPr>
          <w:p w14:paraId="49642E4A">
            <w:pPr>
              <w:pStyle w:val="150"/>
            </w:pPr>
            <w:r>
              <w:rPr>
                <w:rFonts w:hint="eastAsia"/>
              </w:rPr>
              <w:t>可以选择定时自动分析的时间。</w:t>
            </w:r>
          </w:p>
        </w:tc>
      </w:tr>
    </w:tbl>
    <w:p w14:paraId="66838B1D"/>
    <w:p w14:paraId="5F7CB68B">
      <w:r>
        <w:rPr>
          <w:rFonts w:hint="eastAsia"/>
        </w:rPr>
        <w:t>单击</w:t>
      </w:r>
      <w:r>
        <w:t>&lt;</w:t>
      </w:r>
      <w:r>
        <w:rPr>
          <w:rFonts w:hint="eastAsia"/>
        </w:rPr>
        <w:t>立即分析</w:t>
      </w:r>
      <w:r>
        <w:t>&gt;</w:t>
      </w:r>
      <w:r>
        <w:rPr>
          <w:rFonts w:hint="eastAsia"/>
        </w:rPr>
        <w:t>按钮，可以对整体的策略进行策略分析。</w:t>
      </w:r>
    </w:p>
    <w:p w14:paraId="4E73D89F">
      <w:r>
        <w:rPr>
          <w:rFonts w:hint="eastAsia"/>
        </w:rPr>
        <w:t>完成分析后，会以柱状图及表格形式展现分析结果。在表格下方点击各页签查看异常策略的详细信息，各类异常策略说明如下。</w:t>
      </w:r>
    </w:p>
    <w:p w14:paraId="4D4A3BB4">
      <w:pPr>
        <w:pStyle w:val="183"/>
      </w:pPr>
      <w:bookmarkStart w:id="4775" w:name="_Toc141875681"/>
      <w:r>
        <w:rPr>
          <w:rFonts w:hint="eastAsia"/>
        </w:rPr>
        <w:t>异常策略详细是说明</w:t>
      </w:r>
      <w:bookmarkEnd w:id="4775"/>
    </w:p>
    <w:tbl>
      <w:tblPr>
        <w:tblStyle w:val="173"/>
        <w:tblW w:w="500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218"/>
        <w:gridCol w:w="8024"/>
      </w:tblGrid>
      <w:tr w14:paraId="48DEB3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659" w:type="pct"/>
            <w:tcBorders>
              <w:tl2br w:val="nil"/>
              <w:tr2bl w:val="nil"/>
            </w:tcBorders>
            <w:shd w:val="clear" w:color="auto" w:fill="538135" w:themeFill="accent6" w:themeFillShade="BF"/>
            <w:vAlign w:val="center"/>
          </w:tcPr>
          <w:p w14:paraId="33E15078">
            <w:pPr>
              <w:pStyle w:val="149"/>
              <w:wordWrap/>
              <w:rPr>
                <w:b/>
                <w:bCs/>
                <w:i w:val="0"/>
                <w:iCs w:val="0"/>
              </w:rPr>
            </w:pPr>
            <w:bookmarkStart w:id="4776" w:name="_Toc15314277"/>
            <w:r>
              <w:rPr>
                <w:rFonts w:hint="eastAsia"/>
                <w:b/>
                <w:bCs/>
                <w:i w:val="0"/>
                <w:iCs w:val="0"/>
              </w:rPr>
              <w:t>异常策略</w:t>
            </w:r>
          </w:p>
        </w:tc>
        <w:tc>
          <w:tcPr>
            <w:tcW w:w="4341" w:type="pct"/>
            <w:tcBorders>
              <w:tl2br w:val="nil"/>
              <w:tr2bl w:val="nil"/>
            </w:tcBorders>
            <w:shd w:val="clear" w:color="auto" w:fill="538135" w:themeFill="accent6" w:themeFillShade="BF"/>
            <w:vAlign w:val="center"/>
          </w:tcPr>
          <w:p w14:paraId="65D8CA88">
            <w:pPr>
              <w:pStyle w:val="149"/>
              <w:wordWrap/>
              <w:rPr>
                <w:b/>
                <w:bCs/>
                <w:i w:val="0"/>
                <w:iCs w:val="0"/>
              </w:rPr>
            </w:pPr>
            <w:r>
              <w:rPr>
                <w:rFonts w:hint="eastAsia"/>
                <w:b/>
                <w:bCs/>
                <w:i w:val="0"/>
                <w:iCs w:val="0"/>
              </w:rPr>
              <w:t>说明</w:t>
            </w:r>
          </w:p>
        </w:tc>
      </w:tr>
      <w:tr w14:paraId="0C8941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659" w:type="pct"/>
            <w:shd w:val="clear" w:color="auto" w:fill="auto"/>
          </w:tcPr>
          <w:p w14:paraId="22962548">
            <w:pPr>
              <w:pStyle w:val="150"/>
            </w:pPr>
            <w:r>
              <w:rPr>
                <w:rFonts w:hint="eastAsia"/>
              </w:rPr>
              <w:t>冲突策略</w:t>
            </w:r>
          </w:p>
        </w:tc>
        <w:tc>
          <w:tcPr>
            <w:tcW w:w="4341" w:type="pct"/>
            <w:shd w:val="clear" w:color="auto" w:fill="auto"/>
          </w:tcPr>
          <w:p w14:paraId="7520F5F9">
            <w:pPr>
              <w:pStyle w:val="150"/>
            </w:pPr>
            <w:r>
              <w:rPr>
                <w:rFonts w:hint="eastAsia"/>
              </w:rPr>
              <w:t>不区分</w:t>
            </w:r>
            <w:r>
              <w:t>匹配的前后顺序，若</w:t>
            </w:r>
            <w:r>
              <w:rPr>
                <w:rFonts w:hint="eastAsia"/>
              </w:rPr>
              <w:t>A</w:t>
            </w:r>
            <w:r>
              <w:t>策略和</w:t>
            </w:r>
            <w:r>
              <w:rPr>
                <w:rFonts w:hint="eastAsia"/>
              </w:rPr>
              <w:t>B策略</w:t>
            </w:r>
            <w:r>
              <w:t>存在数据流交集（</w:t>
            </w:r>
            <w:r>
              <w:rPr>
                <w:rFonts w:hint="eastAsia"/>
              </w:rPr>
              <w:t>非</w:t>
            </w:r>
            <w:r>
              <w:t>包含和被包含关系）</w:t>
            </w:r>
            <w:r>
              <w:rPr>
                <w:rFonts w:hint="eastAsia"/>
              </w:rPr>
              <w:t>，且A、B策略的行为不同，则A和</w:t>
            </w:r>
            <w:r>
              <w:t>B互</w:t>
            </w:r>
            <w:r>
              <w:rPr>
                <w:rFonts w:hint="eastAsia"/>
              </w:rPr>
              <w:t>为冲突策略。</w:t>
            </w:r>
          </w:p>
        </w:tc>
      </w:tr>
      <w:tr w14:paraId="5F0CC1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659" w:type="pct"/>
            <w:shd w:val="clear" w:color="auto" w:fill="auto"/>
          </w:tcPr>
          <w:p w14:paraId="08B00D5C">
            <w:pPr>
              <w:pStyle w:val="150"/>
            </w:pPr>
            <w:r>
              <w:rPr>
                <w:rFonts w:hint="eastAsia"/>
              </w:rPr>
              <w:t>冗余策略</w:t>
            </w:r>
          </w:p>
        </w:tc>
        <w:tc>
          <w:tcPr>
            <w:tcW w:w="4341" w:type="pct"/>
            <w:shd w:val="clear" w:color="auto" w:fill="auto"/>
          </w:tcPr>
          <w:p w14:paraId="64FD28A2">
            <w:pPr>
              <w:pStyle w:val="150"/>
            </w:pPr>
            <w:r>
              <w:rPr>
                <w:rFonts w:hint="eastAsia"/>
              </w:rPr>
              <w:t>根据匹配的前后顺序（先匹配A策略后匹配B策略），如果A策略匹配的所有数据流会被B策略包含，删除A策略不会对其余策略产生影响，且A、B策略行为相同，则A策略会被认定为冗余策略。</w:t>
            </w:r>
          </w:p>
        </w:tc>
      </w:tr>
      <w:tr w14:paraId="1E47F1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659" w:type="pct"/>
            <w:shd w:val="clear" w:color="auto" w:fill="auto"/>
          </w:tcPr>
          <w:p w14:paraId="075975D1">
            <w:pPr>
              <w:pStyle w:val="150"/>
            </w:pPr>
            <w:r>
              <w:rPr>
                <w:rFonts w:hint="eastAsia"/>
              </w:rPr>
              <w:t>隐藏策略</w:t>
            </w:r>
          </w:p>
        </w:tc>
        <w:tc>
          <w:tcPr>
            <w:tcW w:w="4341" w:type="pct"/>
            <w:shd w:val="clear" w:color="auto" w:fill="auto"/>
          </w:tcPr>
          <w:p w14:paraId="0E098535">
            <w:pPr>
              <w:pStyle w:val="150"/>
            </w:pPr>
            <w:r>
              <w:rPr>
                <w:rFonts w:hint="eastAsia"/>
              </w:rPr>
              <w:t>根据匹配的前后顺序（先匹配A策略后匹配B策略），如果B策略匹配的所有数据流会被A策略包含，且A、B策略行为相同，则B策略会被认定为隐藏策略。</w:t>
            </w:r>
          </w:p>
        </w:tc>
      </w:tr>
      <w:tr w14:paraId="298103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659" w:type="pct"/>
            <w:shd w:val="clear" w:color="auto" w:fill="auto"/>
          </w:tcPr>
          <w:p w14:paraId="48FB807E">
            <w:pPr>
              <w:pStyle w:val="150"/>
            </w:pPr>
            <w:r>
              <w:rPr>
                <w:rFonts w:hint="eastAsia"/>
              </w:rPr>
              <w:t>可合并策略</w:t>
            </w:r>
          </w:p>
        </w:tc>
        <w:tc>
          <w:tcPr>
            <w:tcW w:w="4341" w:type="pct"/>
            <w:shd w:val="clear" w:color="auto" w:fill="auto"/>
          </w:tcPr>
          <w:p w14:paraId="737D505D">
            <w:pPr>
              <w:pStyle w:val="150"/>
            </w:pPr>
            <w:r>
              <w:rPr>
                <w:rFonts w:hint="eastAsia"/>
              </w:rPr>
              <w:t>不区分匹配</w:t>
            </w:r>
            <w:r>
              <w:t>的前后顺序，</w:t>
            </w:r>
            <w:r>
              <w:rPr>
                <w:rFonts w:hint="eastAsia"/>
              </w:rPr>
              <w:t>策略内元组信息只有一项</w:t>
            </w:r>
            <w:r>
              <w:t>不</w:t>
            </w:r>
            <w:r>
              <w:rPr>
                <w:rFonts w:hint="eastAsia"/>
              </w:rPr>
              <w:t>同</w:t>
            </w:r>
            <w:r>
              <w:t>（</w:t>
            </w:r>
            <w:r>
              <w:rPr>
                <w:rFonts w:hint="eastAsia"/>
              </w:rPr>
              <w:t>且可合并</w:t>
            </w:r>
            <w:r>
              <w:t>）</w:t>
            </w:r>
            <w:r>
              <w:rPr>
                <w:rFonts w:hint="eastAsia"/>
              </w:rPr>
              <w:t>，则认定为可合并策略。</w:t>
            </w:r>
          </w:p>
        </w:tc>
      </w:tr>
      <w:tr w14:paraId="60FD97F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659" w:type="pct"/>
            <w:shd w:val="clear" w:color="auto" w:fill="auto"/>
          </w:tcPr>
          <w:p w14:paraId="557ED7EE">
            <w:pPr>
              <w:pStyle w:val="150"/>
            </w:pPr>
            <w:r>
              <w:rPr>
                <w:rFonts w:hint="eastAsia"/>
              </w:rPr>
              <w:t>空策略</w:t>
            </w:r>
          </w:p>
        </w:tc>
        <w:tc>
          <w:tcPr>
            <w:tcW w:w="4341" w:type="pct"/>
            <w:shd w:val="clear" w:color="auto" w:fill="auto"/>
          </w:tcPr>
          <w:p w14:paraId="7E2EB5B3">
            <w:pPr>
              <w:pStyle w:val="150"/>
            </w:pPr>
            <w:r>
              <w:rPr>
                <w:rFonts w:hint="eastAsia"/>
              </w:rPr>
              <w:t>当策略中匹配的任何一个对象为空时，该策略会被认定为空策略。</w:t>
            </w:r>
          </w:p>
        </w:tc>
      </w:tr>
      <w:tr w14:paraId="5ABE4CC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659" w:type="pct"/>
            <w:shd w:val="clear" w:color="auto" w:fill="auto"/>
          </w:tcPr>
          <w:p w14:paraId="7BBC26B6">
            <w:pPr>
              <w:pStyle w:val="150"/>
            </w:pPr>
            <w:r>
              <w:rPr>
                <w:rFonts w:hint="eastAsia"/>
              </w:rPr>
              <w:t>过期策略</w:t>
            </w:r>
          </w:p>
        </w:tc>
        <w:tc>
          <w:tcPr>
            <w:tcW w:w="4341" w:type="pct"/>
            <w:shd w:val="clear" w:color="auto" w:fill="auto"/>
          </w:tcPr>
          <w:p w14:paraId="7C260C99">
            <w:pPr>
              <w:pStyle w:val="150"/>
            </w:pPr>
            <w:r>
              <w:rPr>
                <w:rFonts w:hint="eastAsia"/>
              </w:rPr>
              <w:t>策略匹配的时间范围已经不会再次出现。</w:t>
            </w:r>
          </w:p>
        </w:tc>
      </w:tr>
      <w:tr w14:paraId="7467A6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659" w:type="pct"/>
            <w:shd w:val="clear" w:color="auto" w:fill="auto"/>
          </w:tcPr>
          <w:p w14:paraId="51947098">
            <w:pPr>
              <w:pStyle w:val="150"/>
            </w:pPr>
            <w:r>
              <w:rPr>
                <w:rFonts w:hint="eastAsia"/>
              </w:rPr>
              <w:t>忽略策略</w:t>
            </w:r>
          </w:p>
        </w:tc>
        <w:tc>
          <w:tcPr>
            <w:tcW w:w="4341" w:type="pct"/>
            <w:shd w:val="clear" w:color="auto" w:fill="auto"/>
          </w:tcPr>
          <w:p w14:paraId="46B04C30">
            <w:pPr>
              <w:pStyle w:val="150"/>
            </w:pPr>
            <w:r>
              <w:rPr>
                <w:rFonts w:hint="eastAsia"/>
              </w:rPr>
              <w:t>手动忽略不进行匹配的策略。</w:t>
            </w:r>
          </w:p>
        </w:tc>
      </w:tr>
    </w:tbl>
    <w:p w14:paraId="476C61C2"/>
    <w:p w14:paraId="23EF2BB7">
      <w:pPr>
        <w:pStyle w:val="5"/>
      </w:pPr>
      <w:bookmarkStart w:id="4777" w:name="_Toc23152730"/>
      <w:bookmarkStart w:id="4778" w:name="_Toc141873679"/>
      <w:bookmarkStart w:id="4779" w:name="_Toc15398612"/>
      <w:bookmarkStart w:id="4780" w:name="_Toc142401196"/>
      <w:bookmarkStart w:id="4781" w:name="_Toc40276163"/>
      <w:bookmarkStart w:id="4782" w:name="_Toc99561814"/>
      <w:bookmarkStart w:id="4783" w:name="_Toc194080944"/>
      <w:bookmarkStart w:id="4784" w:name="_Toc172218458"/>
      <w:bookmarkStart w:id="4785" w:name="_Toc196728276"/>
      <w:bookmarkStart w:id="4786" w:name="_Toc15484966"/>
      <w:r>
        <w:rPr>
          <w:rFonts w:hint="eastAsia"/>
        </w:rPr>
        <w:t>控制策略即时分析</w:t>
      </w:r>
      <w:bookmarkEnd w:id="4776"/>
      <w:bookmarkEnd w:id="4777"/>
      <w:bookmarkEnd w:id="4778"/>
      <w:bookmarkEnd w:id="4779"/>
      <w:bookmarkEnd w:id="4780"/>
      <w:bookmarkEnd w:id="4781"/>
      <w:bookmarkEnd w:id="4782"/>
      <w:bookmarkEnd w:id="4783"/>
      <w:bookmarkEnd w:id="4784"/>
      <w:bookmarkEnd w:id="4785"/>
      <w:bookmarkEnd w:id="4786"/>
    </w:p>
    <w:p w14:paraId="296CD5F6">
      <w:r>
        <w:rPr>
          <w:rFonts w:hint="eastAsia"/>
        </w:rPr>
        <w:t>管理员在完成控制策略创建时（请参见新建控制策略），可在创建页面点击&lt;策略分析&gt;进行实时的策略分析，查看新建策略是否会对已有策略产生影响，如</w:t>
      </w:r>
      <w:r>
        <w:fldChar w:fldCharType="begin"/>
      </w:r>
      <w:r>
        <w:instrText xml:space="preserve"> REF  图4 \h \r </w:instrText>
      </w:r>
      <w:r>
        <w:fldChar w:fldCharType="separate"/>
      </w:r>
      <w:r>
        <w:rPr>
          <w:rFonts w:hint="eastAsia"/>
        </w:rPr>
        <w:t>图14-76</w:t>
      </w:r>
      <w:r>
        <w:fldChar w:fldCharType="end"/>
      </w:r>
      <w:r>
        <w:rPr>
          <w:rFonts w:hint="eastAsia"/>
        </w:rPr>
        <w:t>所示。</w:t>
      </w:r>
    </w:p>
    <w:p w14:paraId="4F5906F9">
      <w:pPr>
        <w:pStyle w:val="188"/>
      </w:pPr>
      <w:bookmarkStart w:id="4787" w:name="图4"/>
      <w:bookmarkEnd w:id="4787"/>
      <w:bookmarkStart w:id="4788" w:name="_Toc141875089"/>
      <w:r>
        <w:rPr>
          <w:rFonts w:hint="eastAsia"/>
        </w:rPr>
        <w:t>控制策略即时分析界面</w:t>
      </w:r>
      <w:bookmarkEnd w:id="4788"/>
    </w:p>
    <w:p w14:paraId="256D58AC">
      <w:r>
        <w:drawing>
          <wp:inline distT="0" distB="0" distL="0" distR="0">
            <wp:extent cx="5400040" cy="3989705"/>
            <wp:effectExtent l="0" t="0" r="0" b="0"/>
            <wp:docPr id="771" name="图片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图片 771"/>
                    <pic:cNvPicPr>
                      <a:picLocks noChangeAspect="1"/>
                    </pic:cNvPicPr>
                  </pic:nvPicPr>
                  <pic:blipFill>
                    <a:blip r:embed="rId644"/>
                    <a:stretch>
                      <a:fillRect/>
                    </a:stretch>
                  </pic:blipFill>
                  <pic:spPr>
                    <a:xfrm>
                      <a:off x="0" y="0"/>
                      <a:ext cx="5400040" cy="3990287"/>
                    </a:xfrm>
                    <a:prstGeom prst="rect">
                      <a:avLst/>
                    </a:prstGeom>
                  </pic:spPr>
                </pic:pic>
              </a:graphicData>
            </a:graphic>
          </wp:inline>
        </w:drawing>
      </w:r>
    </w:p>
    <w:p w14:paraId="6EEF8CA2"/>
    <w:p w14:paraId="76F30DFF">
      <w:r>
        <w:rPr>
          <w:rFonts w:hint="eastAsia"/>
        </w:rPr>
        <w:t>控制策略配置完成后，点击策略分析按钮，进行即时分析，如当前策略和已存在策略存在影响，会在页面显示分析结果，点击分析结果，会显示当前策略和哪些策略存在影响关系。如果当前策略和已存在策略互不影响，则会显示策略较合理，如下图所示。</w:t>
      </w:r>
    </w:p>
    <w:p w14:paraId="656CE63F">
      <w:pPr>
        <w:pStyle w:val="188"/>
      </w:pPr>
      <w:bookmarkStart w:id="4789" w:name="_Toc141875090"/>
      <w:r>
        <w:rPr>
          <w:rFonts w:hint="eastAsia"/>
        </w:rPr>
        <w:t>控制策略即时分析结果</w:t>
      </w:r>
      <w:bookmarkEnd w:id="4789"/>
    </w:p>
    <w:p w14:paraId="1DC9ED69">
      <w:r>
        <w:drawing>
          <wp:inline distT="0" distB="0" distL="0" distR="0">
            <wp:extent cx="5400040" cy="1052830"/>
            <wp:effectExtent l="0" t="0" r="0" b="0"/>
            <wp:docPr id="3811" name="图片 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 name="图片 3811"/>
                    <pic:cNvPicPr>
                      <a:picLocks noChangeAspect="1"/>
                    </pic:cNvPicPr>
                  </pic:nvPicPr>
                  <pic:blipFill>
                    <a:blip r:embed="rId645"/>
                    <a:stretch>
                      <a:fillRect/>
                    </a:stretch>
                  </pic:blipFill>
                  <pic:spPr>
                    <a:xfrm>
                      <a:off x="0" y="0"/>
                      <a:ext cx="5400040" cy="1053338"/>
                    </a:xfrm>
                    <a:prstGeom prst="rect">
                      <a:avLst/>
                    </a:prstGeom>
                  </pic:spPr>
                </pic:pic>
              </a:graphicData>
            </a:graphic>
          </wp:inline>
        </w:drawing>
      </w:r>
    </w:p>
    <w:p w14:paraId="66A5858C"/>
    <w:p w14:paraId="770132BC">
      <w:pPr>
        <w:pStyle w:val="188"/>
      </w:pPr>
      <w:bookmarkStart w:id="4790" w:name="_Toc141875091"/>
      <w:r>
        <w:rPr>
          <w:rFonts w:hint="eastAsia"/>
        </w:rPr>
        <w:t>策略分析即时分析结果-策略合理</w:t>
      </w:r>
      <w:bookmarkEnd w:id="4790"/>
    </w:p>
    <w:p w14:paraId="04043F33">
      <w:r>
        <w:drawing>
          <wp:inline distT="0" distB="0" distL="0" distR="0">
            <wp:extent cx="5400040" cy="3713480"/>
            <wp:effectExtent l="0" t="0" r="0" b="1270"/>
            <wp:docPr id="3819" name="图片 3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9" name="图片 3819"/>
                    <pic:cNvPicPr>
                      <a:picLocks noChangeAspect="1"/>
                    </pic:cNvPicPr>
                  </pic:nvPicPr>
                  <pic:blipFill>
                    <a:blip r:embed="rId646"/>
                    <a:stretch>
                      <a:fillRect/>
                    </a:stretch>
                  </pic:blipFill>
                  <pic:spPr>
                    <a:xfrm>
                      <a:off x="0" y="0"/>
                      <a:ext cx="5400040" cy="3713628"/>
                    </a:xfrm>
                    <a:prstGeom prst="rect">
                      <a:avLst/>
                    </a:prstGeom>
                  </pic:spPr>
                </pic:pic>
              </a:graphicData>
            </a:graphic>
          </wp:inline>
        </w:drawing>
      </w:r>
    </w:p>
    <w:p w14:paraId="31F94665"/>
    <w:p w14:paraId="430E5361"/>
    <w:p w14:paraId="17A17D0B">
      <w:pPr>
        <w:pStyle w:val="3"/>
      </w:pPr>
      <w:bookmarkStart w:id="4791" w:name="_Toc99561744"/>
      <w:bookmarkStart w:id="4792" w:name="_Toc141873680"/>
      <w:bookmarkStart w:id="4793" w:name="_Toc194080945"/>
      <w:bookmarkStart w:id="4794" w:name="_Toc196728277"/>
      <w:bookmarkStart w:id="4795" w:name="_Toc172218459"/>
      <w:bookmarkStart w:id="4796" w:name="_Toc142401197"/>
      <w:bookmarkStart w:id="4797" w:name="_Ref141815222"/>
      <w:r>
        <w:rPr>
          <w:rFonts w:hint="eastAsia"/>
        </w:rPr>
        <w:t>审计策略</w:t>
      </w:r>
      <w:bookmarkEnd w:id="4791"/>
      <w:bookmarkEnd w:id="4792"/>
      <w:bookmarkEnd w:id="4793"/>
      <w:bookmarkEnd w:id="4794"/>
      <w:bookmarkEnd w:id="4795"/>
      <w:bookmarkEnd w:id="4796"/>
      <w:bookmarkEnd w:id="4797"/>
    </w:p>
    <w:p w14:paraId="2946C971">
      <w:pPr>
        <w:pStyle w:val="4"/>
      </w:pPr>
      <w:bookmarkStart w:id="4798" w:name="_Toc15484909"/>
      <w:bookmarkStart w:id="4799" w:name="_Toc40276106"/>
      <w:bookmarkStart w:id="4800" w:name="_Toc99561745"/>
      <w:bookmarkStart w:id="4801" w:name="_Toc141873681"/>
      <w:bookmarkStart w:id="4802" w:name="_Toc142401198"/>
      <w:bookmarkStart w:id="4803" w:name="_Toc172218460"/>
      <w:bookmarkStart w:id="4804" w:name="_Toc23152673"/>
      <w:bookmarkStart w:id="4805" w:name="_Toc194080946"/>
      <w:bookmarkStart w:id="4806" w:name="_Toc196728278"/>
      <w:r>
        <w:t>审计策略</w:t>
      </w:r>
      <w:r>
        <w:rPr>
          <w:rFonts w:hint="eastAsia"/>
        </w:rPr>
        <w:t>概述</w:t>
      </w:r>
      <w:bookmarkEnd w:id="4798"/>
      <w:bookmarkEnd w:id="4799"/>
      <w:bookmarkEnd w:id="4800"/>
      <w:bookmarkEnd w:id="4801"/>
      <w:bookmarkEnd w:id="4802"/>
      <w:bookmarkEnd w:id="4803"/>
      <w:bookmarkEnd w:id="4804"/>
      <w:bookmarkEnd w:id="4805"/>
      <w:bookmarkEnd w:id="4806"/>
    </w:p>
    <w:p w14:paraId="1BAAC19B">
      <w:r>
        <w:t>审计策略</w:t>
      </w:r>
      <w:r>
        <w:rPr>
          <w:rFonts w:hint="eastAsia"/>
        </w:rPr>
        <w:t>是</w:t>
      </w:r>
      <w:r>
        <w:t>基于用户上网行为</w:t>
      </w:r>
      <w:r>
        <w:rPr>
          <w:rFonts w:hint="eastAsia"/>
        </w:rPr>
        <w:t>进行</w:t>
      </w:r>
      <w:r>
        <w:t>审计，</w:t>
      </w:r>
      <w:r>
        <w:rPr>
          <w:rFonts w:hint="eastAsia"/>
        </w:rPr>
        <w:t>审计从HTTP、</w:t>
      </w:r>
      <w:r>
        <w:t>邮件、即时通讯、基础协议、数据库</w:t>
      </w:r>
      <w:r>
        <w:rPr>
          <w:rFonts w:hint="eastAsia"/>
        </w:rPr>
        <w:t>、</w:t>
      </w:r>
      <w:r>
        <w:t>娱乐股票、网络应用</w:t>
      </w:r>
      <w:r>
        <w:rPr>
          <w:rFonts w:hint="eastAsia"/>
        </w:rPr>
        <w:t>等</w:t>
      </w:r>
      <w:r>
        <w:t>维度进行审计</w:t>
      </w:r>
      <w:r>
        <w:rPr>
          <w:rFonts w:hint="eastAsia"/>
        </w:rPr>
        <w:t>。</w:t>
      </w:r>
    </w:p>
    <w:p w14:paraId="00D20AB7">
      <w:pPr>
        <w:pStyle w:val="4"/>
      </w:pPr>
      <w:bookmarkStart w:id="4807" w:name="_Toc4155229"/>
      <w:bookmarkEnd w:id="4807"/>
      <w:bookmarkStart w:id="4808" w:name="_Toc4155230"/>
      <w:bookmarkEnd w:id="4808"/>
      <w:bookmarkStart w:id="4809" w:name="_Toc4155231"/>
      <w:bookmarkEnd w:id="4809"/>
      <w:bookmarkStart w:id="4810" w:name="_Toc4155228"/>
      <w:bookmarkEnd w:id="4810"/>
      <w:bookmarkStart w:id="4811" w:name="_Toc196728279"/>
      <w:bookmarkStart w:id="4812" w:name="_Toc15484910"/>
      <w:bookmarkStart w:id="4813" w:name="_Toc23152674"/>
      <w:bookmarkStart w:id="4814" w:name="_Toc194080947"/>
      <w:bookmarkStart w:id="4815" w:name="_Toc99561746"/>
      <w:bookmarkStart w:id="4816" w:name="_Toc172218461"/>
      <w:bookmarkStart w:id="4817" w:name="_Toc142401199"/>
      <w:bookmarkStart w:id="4818" w:name="_Toc141873682"/>
      <w:bookmarkStart w:id="4819" w:name="_Toc40276107"/>
      <w:r>
        <w:rPr>
          <w:rFonts w:hint="eastAsia"/>
        </w:rPr>
        <w:t>配置</w:t>
      </w:r>
      <w:r>
        <w:t>审计策略</w:t>
      </w:r>
      <w:bookmarkEnd w:id="4811"/>
      <w:bookmarkEnd w:id="4812"/>
      <w:bookmarkEnd w:id="4813"/>
      <w:bookmarkEnd w:id="4814"/>
      <w:bookmarkEnd w:id="4815"/>
      <w:bookmarkEnd w:id="4816"/>
      <w:bookmarkEnd w:id="4817"/>
      <w:bookmarkEnd w:id="4818"/>
      <w:bookmarkEnd w:id="4819"/>
    </w:p>
    <w:p w14:paraId="14F1B2D3">
      <w:pPr>
        <w:pStyle w:val="202"/>
        <w:rPr>
          <w:lang w:eastAsia="zh-CN"/>
        </w:rPr>
      </w:pPr>
      <w:r>
        <w:rPr>
          <w:rFonts w:hint="eastAsia"/>
          <w:lang w:eastAsia="zh-CN"/>
        </w:rPr>
        <w:t>通过菜单“策略配置 &gt; 审计策略”，进入</w:t>
      </w:r>
      <w:r>
        <w:rPr>
          <w:lang w:eastAsia="zh-CN"/>
        </w:rPr>
        <w:t>审计策略</w:t>
      </w:r>
      <w:r>
        <w:rPr>
          <w:rFonts w:hint="eastAsia"/>
          <w:lang w:eastAsia="zh-CN"/>
        </w:rPr>
        <w:t>显示页面，如</w:t>
      </w:r>
      <w:r>
        <w:fldChar w:fldCharType="begin"/>
      </w:r>
      <w:r>
        <w:rPr>
          <w:lang w:eastAsia="zh-CN"/>
        </w:rPr>
        <w:instrText xml:space="preserve"> REF _Ref392839822 \r \h </w:instrText>
      </w:r>
      <w:r>
        <w:fldChar w:fldCharType="separate"/>
      </w:r>
      <w:r>
        <w:rPr>
          <w:rFonts w:hint="eastAsia"/>
          <w:lang w:eastAsia="zh-CN"/>
        </w:rPr>
        <w:t>图14-71</w:t>
      </w:r>
      <w:r>
        <w:fldChar w:fldCharType="end"/>
      </w:r>
      <w:r>
        <w:rPr>
          <w:rFonts w:hint="eastAsia"/>
          <w:lang w:eastAsia="zh-CN"/>
        </w:rPr>
        <w:t>所示。</w:t>
      </w:r>
    </w:p>
    <w:p w14:paraId="1765FFCE">
      <w:pPr>
        <w:pStyle w:val="188"/>
      </w:pPr>
      <w:bookmarkStart w:id="4820" w:name="_Toc141875092"/>
      <w:r>
        <w:t>审计策略显示页面</w:t>
      </w:r>
      <w:bookmarkEnd w:id="4820"/>
    </w:p>
    <w:p w14:paraId="3F1334D3">
      <w:r>
        <w:drawing>
          <wp:inline distT="0" distB="0" distL="0" distR="0">
            <wp:extent cx="5400040" cy="442595"/>
            <wp:effectExtent l="0" t="0" r="0" b="0"/>
            <wp:docPr id="611" name="图片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图片 611"/>
                    <pic:cNvPicPr>
                      <a:picLocks noChangeAspect="1"/>
                    </pic:cNvPicPr>
                  </pic:nvPicPr>
                  <pic:blipFill>
                    <a:blip r:embed="rId647"/>
                    <a:stretch>
                      <a:fillRect/>
                    </a:stretch>
                  </pic:blipFill>
                  <pic:spPr>
                    <a:xfrm>
                      <a:off x="0" y="0"/>
                      <a:ext cx="5400040" cy="443187"/>
                    </a:xfrm>
                    <a:prstGeom prst="rect">
                      <a:avLst/>
                    </a:prstGeom>
                  </pic:spPr>
                </pic:pic>
              </a:graphicData>
            </a:graphic>
          </wp:inline>
        </w:drawing>
      </w:r>
    </w:p>
    <w:p w14:paraId="5EDE6093">
      <w:pPr>
        <w:pStyle w:val="202"/>
        <w:rPr>
          <w:lang w:eastAsia="zh-CN"/>
        </w:rPr>
      </w:pPr>
      <w:bookmarkStart w:id="4821" w:name="_Toc391732657"/>
      <w:bookmarkStart w:id="4822" w:name="_Ref392839873"/>
      <w:r>
        <w:rPr>
          <w:rFonts w:hint="eastAsia"/>
          <w:lang w:eastAsia="zh-CN"/>
        </w:rPr>
        <w:t>单击</w:t>
      </w:r>
      <w:r>
        <w:rPr>
          <w:lang w:eastAsia="zh-CN"/>
        </w:rPr>
        <w:t>&lt;</w:t>
      </w:r>
      <w:r>
        <w:rPr>
          <w:rFonts w:hint="eastAsia"/>
          <w:lang w:eastAsia="zh-CN"/>
        </w:rPr>
        <w:t>新建</w:t>
      </w:r>
      <w:r>
        <w:rPr>
          <w:lang w:eastAsia="zh-CN"/>
        </w:rPr>
        <w:t>&gt;</w:t>
      </w:r>
      <w:r>
        <w:rPr>
          <w:rFonts w:hint="eastAsia"/>
          <w:lang w:eastAsia="zh-CN"/>
        </w:rPr>
        <w:t>按钮</w:t>
      </w:r>
      <w:r>
        <w:rPr>
          <w:lang w:eastAsia="zh-CN"/>
        </w:rPr>
        <w:t>，</w:t>
      </w:r>
      <w:r>
        <w:rPr>
          <w:rFonts w:hint="eastAsia"/>
          <w:lang w:eastAsia="zh-CN"/>
        </w:rPr>
        <w:t>进入审计策略</w:t>
      </w:r>
      <w:r>
        <w:rPr>
          <w:lang w:eastAsia="zh-CN"/>
        </w:rPr>
        <w:t>配置页面，如</w:t>
      </w:r>
      <w:r>
        <w:rPr>
          <w:rFonts w:hint="eastAsia"/>
          <w:color w:val="0000FF"/>
          <w:u w:val="single"/>
          <w:lang w:eastAsia="zh-CN"/>
        </w:rPr>
        <w:t>图1</w:t>
      </w:r>
      <w:r>
        <w:rPr>
          <w:color w:val="0000FF"/>
          <w:u w:val="single"/>
          <w:lang w:eastAsia="zh-CN"/>
        </w:rPr>
        <w:t>-2</w:t>
      </w:r>
      <w:r>
        <w:rPr>
          <w:rFonts w:hint="eastAsia"/>
          <w:lang w:eastAsia="zh-CN"/>
        </w:rPr>
        <w:t>所示。勾选启用，选择基础配置页签，设置匹配条件（用户、接口、源地址和目的地址）。</w:t>
      </w:r>
    </w:p>
    <w:p w14:paraId="142BC85D">
      <w:pPr>
        <w:pStyle w:val="188"/>
      </w:pPr>
      <w:bookmarkStart w:id="4823" w:name="_Toc141875093"/>
      <w:r>
        <w:rPr>
          <w:rFonts w:hint="eastAsia"/>
        </w:rPr>
        <w:t>审计策略基础</w:t>
      </w:r>
      <w:r>
        <w:t>配置页面</w:t>
      </w:r>
      <w:bookmarkEnd w:id="4823"/>
    </w:p>
    <w:p w14:paraId="6EB24CE8">
      <w:r>
        <w:t xml:space="preserve"> </w:t>
      </w:r>
      <w:r>
        <w:drawing>
          <wp:inline distT="0" distB="0" distL="0" distR="0">
            <wp:extent cx="5400040" cy="3003550"/>
            <wp:effectExtent l="0" t="0" r="0" b="6350"/>
            <wp:docPr id="1802027859" name="图片 1802027859" descr="C:\Users\WANGYI~1\AppData\Local\Temp\企业微信截图_17176746155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59" name="图片 1802027859" descr="C:\Users\WANGYI~1\AppData\Local\Temp\企业微信截图_17176746155140.png"/>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a:xfrm>
                      <a:off x="0" y="0"/>
                      <a:ext cx="5405115" cy="3006715"/>
                    </a:xfrm>
                    <a:prstGeom prst="rect">
                      <a:avLst/>
                    </a:prstGeom>
                    <a:noFill/>
                    <a:ln>
                      <a:noFill/>
                    </a:ln>
                  </pic:spPr>
                </pic:pic>
              </a:graphicData>
            </a:graphic>
          </wp:inline>
        </w:drawing>
      </w:r>
    </w:p>
    <w:p w14:paraId="493D582B"/>
    <w:p w14:paraId="516C3513">
      <w:pPr>
        <w:pStyle w:val="202"/>
        <w:rPr>
          <w:lang w:eastAsia="zh-CN"/>
        </w:rPr>
      </w:pPr>
      <w:r>
        <w:rPr>
          <w:lang w:eastAsia="zh-CN"/>
        </w:rPr>
        <w:t>单击</w:t>
      </w:r>
      <w:r>
        <w:rPr>
          <w:rFonts w:hint="eastAsia"/>
          <w:lang w:eastAsia="zh-CN"/>
        </w:rPr>
        <w:t>“审计对象”标签页，进入审计对象配置页面，如</w:t>
      </w:r>
      <w:r>
        <w:fldChar w:fldCharType="begin"/>
      </w:r>
      <w:r>
        <w:rPr>
          <w:lang w:eastAsia="zh-CN"/>
        </w:rPr>
        <w:instrText xml:space="preserve"> </w:instrText>
      </w:r>
      <w:r>
        <w:rPr>
          <w:rFonts w:hint="eastAsia"/>
          <w:lang w:eastAsia="zh-CN"/>
        </w:rPr>
        <w:instrText xml:space="preserve">REF _Ref4691078 \r \h</w:instrText>
      </w:r>
      <w:r>
        <w:rPr>
          <w:lang w:eastAsia="zh-CN"/>
        </w:rPr>
        <w:instrText xml:space="preserve"> </w:instrText>
      </w:r>
      <w:r>
        <w:fldChar w:fldCharType="separate"/>
      </w:r>
      <w:r>
        <w:rPr>
          <w:rFonts w:hint="eastAsia"/>
          <w:lang w:eastAsia="zh-CN"/>
        </w:rPr>
        <w:t>图15-3</w:t>
      </w:r>
      <w:r>
        <w:fldChar w:fldCharType="end"/>
      </w:r>
      <w:r>
        <w:rPr>
          <w:lang w:eastAsia="zh-CN"/>
        </w:rPr>
        <w:t>所示</w:t>
      </w:r>
      <w:r>
        <w:rPr>
          <w:rFonts w:hint="eastAsia"/>
          <w:lang w:eastAsia="zh-CN"/>
        </w:rPr>
        <w:t>。设置要审计的行为（包括HTTP、邮件、即时通讯、基础协议、数据库、娱乐股票和网络应用）。</w:t>
      </w:r>
    </w:p>
    <w:p w14:paraId="3F3CF05F">
      <w:pPr>
        <w:pStyle w:val="188"/>
      </w:pPr>
      <w:bookmarkStart w:id="4824" w:name="_Toc141875094"/>
      <w:bookmarkStart w:id="4825" w:name="_Ref4691078"/>
      <w:r>
        <w:rPr>
          <w:rFonts w:hint="eastAsia"/>
        </w:rPr>
        <w:t>审计策略审计</w:t>
      </w:r>
      <w:r>
        <w:t>对象配置页面</w:t>
      </w:r>
      <w:bookmarkEnd w:id="4824"/>
      <w:bookmarkEnd w:id="4825"/>
    </w:p>
    <w:p w14:paraId="1FDE3784">
      <w:r>
        <w:drawing>
          <wp:inline distT="0" distB="0" distL="0" distR="0">
            <wp:extent cx="5400040" cy="5248275"/>
            <wp:effectExtent l="0" t="0" r="0" b="9525"/>
            <wp:docPr id="568"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71"/>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a:xfrm>
                      <a:off x="0" y="0"/>
                      <a:ext cx="5400040" cy="5248637"/>
                    </a:xfrm>
                    <a:prstGeom prst="rect">
                      <a:avLst/>
                    </a:prstGeom>
                    <a:noFill/>
                    <a:ln>
                      <a:noFill/>
                    </a:ln>
                  </pic:spPr>
                </pic:pic>
              </a:graphicData>
            </a:graphic>
          </wp:inline>
        </w:drawing>
      </w:r>
    </w:p>
    <w:p w14:paraId="2B0495FA"/>
    <w:p w14:paraId="69FA552F">
      <w:pPr>
        <w:pStyle w:val="202"/>
        <w:rPr>
          <w:lang w:eastAsia="zh-CN"/>
        </w:rPr>
      </w:pPr>
      <w:r>
        <w:rPr>
          <w:lang w:eastAsia="zh-CN"/>
        </w:rPr>
        <w:t>单击</w:t>
      </w:r>
      <w:r>
        <w:rPr>
          <w:rFonts w:hint="eastAsia"/>
          <w:lang w:eastAsia="zh-CN"/>
        </w:rPr>
        <w:t>“高级配置”标签页，进入高级配置页面，如</w:t>
      </w:r>
      <w:r>
        <w:fldChar w:fldCharType="begin"/>
      </w:r>
      <w:r>
        <w:rPr>
          <w:lang w:eastAsia="zh-CN"/>
        </w:rPr>
        <w:instrText xml:space="preserve"> </w:instrText>
      </w:r>
      <w:r>
        <w:rPr>
          <w:rFonts w:hint="eastAsia"/>
          <w:lang w:eastAsia="zh-CN"/>
        </w:rPr>
        <w:instrText xml:space="preserve">REF _Ref4691263 \r \h</w:instrText>
      </w:r>
      <w:r>
        <w:rPr>
          <w:lang w:eastAsia="zh-CN"/>
        </w:rPr>
        <w:instrText xml:space="preserve"> </w:instrText>
      </w:r>
      <w:r>
        <w:fldChar w:fldCharType="separate"/>
      </w:r>
      <w:r>
        <w:rPr>
          <w:rFonts w:hint="eastAsia"/>
          <w:lang w:eastAsia="zh-CN"/>
        </w:rPr>
        <w:t>图15-4</w:t>
      </w:r>
      <w:r>
        <w:fldChar w:fldCharType="end"/>
      </w:r>
      <w:r>
        <w:rPr>
          <w:lang w:eastAsia="zh-CN"/>
        </w:rPr>
        <w:t>所示</w:t>
      </w:r>
      <w:r>
        <w:rPr>
          <w:rFonts w:hint="eastAsia"/>
          <w:lang w:eastAsia="zh-CN"/>
        </w:rPr>
        <w:t>。选择策略执行的时间段，要审计的日志级别、终端和终端型号。</w:t>
      </w:r>
    </w:p>
    <w:p w14:paraId="43A2E336">
      <w:pPr>
        <w:pStyle w:val="188"/>
      </w:pPr>
      <w:bookmarkStart w:id="4826" w:name="_Toc141875095"/>
      <w:bookmarkStart w:id="4827" w:name="_Ref4691263"/>
      <w:r>
        <w:rPr>
          <w:rFonts w:hint="eastAsia"/>
        </w:rPr>
        <w:t>审计策略</w:t>
      </w:r>
      <w:r>
        <w:t>高级配置</w:t>
      </w:r>
      <w:bookmarkEnd w:id="4826"/>
      <w:bookmarkEnd w:id="4827"/>
    </w:p>
    <w:p w14:paraId="5AF3611D">
      <w:pPr>
        <w:pStyle w:val="175"/>
      </w:pPr>
      <w:r>
        <w:drawing>
          <wp:inline distT="0" distB="0" distL="0" distR="0">
            <wp:extent cx="5400040" cy="1520190"/>
            <wp:effectExtent l="0" t="0" r="0" b="3810"/>
            <wp:docPr id="636" name="图片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图片 636"/>
                    <pic:cNvPicPr>
                      <a:picLocks noChangeAspect="1"/>
                    </pic:cNvPicPr>
                  </pic:nvPicPr>
                  <pic:blipFill>
                    <a:blip r:embed="rId650"/>
                    <a:stretch>
                      <a:fillRect/>
                    </a:stretch>
                  </pic:blipFill>
                  <pic:spPr>
                    <a:xfrm>
                      <a:off x="0" y="0"/>
                      <a:ext cx="5400040" cy="1520190"/>
                    </a:xfrm>
                    <a:prstGeom prst="rect">
                      <a:avLst/>
                    </a:prstGeom>
                  </pic:spPr>
                </pic:pic>
              </a:graphicData>
            </a:graphic>
          </wp:inline>
        </w:drawing>
      </w:r>
    </w:p>
    <w:p w14:paraId="45E16EDA"/>
    <w:p w14:paraId="74666873">
      <w:r>
        <w:rPr>
          <w:rFonts w:hint="eastAsia"/>
        </w:rPr>
        <w:t>审计策略</w:t>
      </w:r>
      <w:r>
        <w:t>详细配置含义如</w:t>
      </w:r>
      <w:r>
        <w:rPr>
          <w:rFonts w:hint="eastAsia"/>
        </w:rPr>
        <w:t>下表所示</w:t>
      </w:r>
      <w:r>
        <w:t>。</w:t>
      </w:r>
    </w:p>
    <w:p w14:paraId="17C1FA04">
      <w:pPr>
        <w:pStyle w:val="183"/>
      </w:pPr>
      <w:bookmarkStart w:id="4828" w:name="_Toc141875683"/>
      <w:r>
        <w:rPr>
          <w:rFonts w:hint="eastAsia"/>
        </w:rPr>
        <w:t>审计策略</w:t>
      </w:r>
      <w:r>
        <w:t>详细配置</w:t>
      </w:r>
      <w:bookmarkEnd w:id="4828"/>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242"/>
        <w:gridCol w:w="7772"/>
      </w:tblGrid>
      <w:tr w14:paraId="11DB90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242" w:type="dxa"/>
            <w:tcBorders>
              <w:tl2br w:val="nil"/>
              <w:tr2bl w:val="nil"/>
            </w:tcBorders>
            <w:shd w:val="clear" w:color="auto" w:fill="538135" w:themeFill="accent6" w:themeFillShade="BF"/>
            <w:vAlign w:val="center"/>
          </w:tcPr>
          <w:p w14:paraId="07A13736">
            <w:pPr>
              <w:pStyle w:val="149"/>
              <w:wordWrap/>
              <w:rPr>
                <w:b/>
                <w:bCs/>
                <w:i w:val="0"/>
                <w:iCs w:val="0"/>
              </w:rPr>
            </w:pPr>
            <w:r>
              <w:rPr>
                <w:rFonts w:hint="eastAsia"/>
                <w:b/>
                <w:bCs/>
                <w:i w:val="0"/>
                <w:iCs w:val="0"/>
              </w:rPr>
              <w:t>标题项</w:t>
            </w:r>
          </w:p>
        </w:tc>
        <w:tc>
          <w:tcPr>
            <w:tcW w:w="7772" w:type="dxa"/>
            <w:tcBorders>
              <w:tl2br w:val="nil"/>
              <w:tr2bl w:val="nil"/>
            </w:tcBorders>
            <w:shd w:val="clear" w:color="auto" w:fill="538135" w:themeFill="accent6" w:themeFillShade="BF"/>
            <w:vAlign w:val="center"/>
          </w:tcPr>
          <w:p w14:paraId="4ECFB83B">
            <w:pPr>
              <w:pStyle w:val="149"/>
              <w:wordWrap/>
              <w:rPr>
                <w:b/>
                <w:bCs/>
                <w:i w:val="0"/>
                <w:iCs w:val="0"/>
              </w:rPr>
            </w:pPr>
            <w:r>
              <w:rPr>
                <w:rFonts w:hint="eastAsia"/>
                <w:b/>
                <w:bCs/>
                <w:i w:val="0"/>
                <w:iCs w:val="0"/>
              </w:rPr>
              <w:t>说明</w:t>
            </w:r>
          </w:p>
        </w:tc>
      </w:tr>
      <w:tr w14:paraId="556D0D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242" w:type="dxa"/>
            <w:shd w:val="clear" w:color="auto" w:fill="auto"/>
          </w:tcPr>
          <w:p w14:paraId="2F3C47F2">
            <w:pPr>
              <w:pStyle w:val="150"/>
            </w:pPr>
            <w:r>
              <w:rPr>
                <w:rFonts w:hint="eastAsia"/>
              </w:rPr>
              <w:t>启用</w:t>
            </w:r>
          </w:p>
        </w:tc>
        <w:tc>
          <w:tcPr>
            <w:tcW w:w="7772" w:type="dxa"/>
            <w:shd w:val="clear" w:color="auto" w:fill="auto"/>
          </w:tcPr>
          <w:p w14:paraId="36A0E48F">
            <w:pPr>
              <w:pStyle w:val="150"/>
            </w:pPr>
            <w:r>
              <w:rPr>
                <w:rFonts w:hint="eastAsia"/>
              </w:rPr>
              <w:t>新建</w:t>
            </w:r>
            <w:r>
              <w:t>策略默认勾选该项，</w:t>
            </w:r>
            <w:r>
              <w:rPr>
                <w:rFonts w:hint="eastAsia"/>
              </w:rPr>
              <w:t>表示策略</w:t>
            </w:r>
            <w:r>
              <w:t>启用</w:t>
            </w:r>
            <w:r>
              <w:rPr>
                <w:rFonts w:hint="eastAsia"/>
              </w:rPr>
              <w:t>；不</w:t>
            </w:r>
            <w:r>
              <w:t>勾选表示禁用</w:t>
            </w:r>
            <w:r>
              <w:rPr>
                <w:rFonts w:hint="eastAsia"/>
              </w:rPr>
              <w:t>状态</w:t>
            </w:r>
            <w:r>
              <w:t>。</w:t>
            </w:r>
          </w:p>
        </w:tc>
      </w:tr>
      <w:tr w14:paraId="14C8DE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242" w:type="dxa"/>
            <w:shd w:val="clear" w:color="auto" w:fill="auto"/>
          </w:tcPr>
          <w:p w14:paraId="53999F88">
            <w:pPr>
              <w:pStyle w:val="150"/>
            </w:pPr>
            <w:r>
              <w:rPr>
                <w:rFonts w:hint="eastAsia"/>
              </w:rPr>
              <w:t>描述</w:t>
            </w:r>
          </w:p>
        </w:tc>
        <w:tc>
          <w:tcPr>
            <w:tcW w:w="7772" w:type="dxa"/>
            <w:shd w:val="clear" w:color="auto" w:fill="auto"/>
          </w:tcPr>
          <w:p w14:paraId="478A0404">
            <w:pPr>
              <w:pStyle w:val="150"/>
            </w:pPr>
            <w:r>
              <w:rPr>
                <w:rFonts w:hint="eastAsia"/>
              </w:rPr>
              <w:t>审计策略描述。</w:t>
            </w:r>
          </w:p>
        </w:tc>
      </w:tr>
      <w:tr w14:paraId="0A618A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9014" w:type="dxa"/>
            <w:gridSpan w:val="2"/>
            <w:shd w:val="clear" w:color="auto" w:fill="auto"/>
          </w:tcPr>
          <w:p w14:paraId="791088EB">
            <w:pPr>
              <w:pStyle w:val="150"/>
            </w:pPr>
            <w:r>
              <w:rPr>
                <w:rFonts w:hint="eastAsia"/>
              </w:rPr>
              <w:t>匹配条件</w:t>
            </w:r>
          </w:p>
        </w:tc>
      </w:tr>
      <w:tr w14:paraId="051F423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242" w:type="dxa"/>
            <w:shd w:val="clear" w:color="auto" w:fill="auto"/>
          </w:tcPr>
          <w:p w14:paraId="5B09009E">
            <w:pPr>
              <w:pStyle w:val="150"/>
            </w:pPr>
            <w:r>
              <w:t>基础配置</w:t>
            </w:r>
          </w:p>
        </w:tc>
        <w:tc>
          <w:tcPr>
            <w:tcW w:w="7772" w:type="dxa"/>
            <w:shd w:val="clear" w:color="auto" w:fill="auto"/>
          </w:tcPr>
          <w:p w14:paraId="03699900">
            <w:pPr>
              <w:pStyle w:val="150"/>
            </w:pPr>
            <w:r>
              <w:rPr>
                <w:rFonts w:hint="eastAsia"/>
              </w:rPr>
              <w:t>选择该条策略的匹配对象，可以为用户/用户组、源/目的接口、源/目的地址。</w:t>
            </w:r>
          </w:p>
        </w:tc>
      </w:tr>
      <w:tr w14:paraId="171C4D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242" w:type="dxa"/>
            <w:shd w:val="clear" w:color="auto" w:fill="auto"/>
          </w:tcPr>
          <w:p w14:paraId="1B3ACCDC">
            <w:pPr>
              <w:pStyle w:val="150"/>
            </w:pPr>
            <w:r>
              <w:rPr>
                <w:rFonts w:hint="eastAsia"/>
              </w:rPr>
              <w:t>审计对象</w:t>
            </w:r>
          </w:p>
        </w:tc>
        <w:tc>
          <w:tcPr>
            <w:tcW w:w="7772" w:type="dxa"/>
            <w:shd w:val="clear" w:color="auto" w:fill="auto"/>
          </w:tcPr>
          <w:p w14:paraId="39D1C7D9">
            <w:pPr>
              <w:pStyle w:val="150"/>
            </w:pPr>
            <w:r>
              <w:rPr>
                <w:rFonts w:hint="eastAsia"/>
              </w:rPr>
              <w:t>选择该条策略的审计对象。</w:t>
            </w:r>
          </w:p>
          <w:p w14:paraId="3FECA4F3">
            <w:pPr>
              <w:pStyle w:val="207"/>
              <w:numPr>
                <w:ilvl w:val="0"/>
                <w:numId w:val="24"/>
              </w:numPr>
              <w:rPr>
                <w:lang w:eastAsia="zh-CN"/>
              </w:rPr>
            </w:pPr>
            <w:r>
              <w:rPr>
                <w:rFonts w:hint="eastAsia"/>
                <w:lang w:eastAsia="zh-CN"/>
              </w:rPr>
              <w:t>HTTP：主要包括网页访问、网络社区、网页搜索、HTTP文件上传下载、Web网盘文件上传下载审计。</w:t>
            </w:r>
          </w:p>
          <w:p w14:paraId="7480E54D">
            <w:pPr>
              <w:pStyle w:val="207"/>
              <w:numPr>
                <w:ilvl w:val="0"/>
                <w:numId w:val="24"/>
              </w:numPr>
            </w:pPr>
            <w:r>
              <w:rPr>
                <w:rFonts w:hint="eastAsia"/>
              </w:rPr>
              <w:t>邮件：主要包括SMTP、POP3、IMAP、Webmail收发邮件及附件审计。</w:t>
            </w:r>
          </w:p>
          <w:p w14:paraId="0FE9B1D0">
            <w:pPr>
              <w:pStyle w:val="207"/>
              <w:numPr>
                <w:ilvl w:val="0"/>
                <w:numId w:val="24"/>
              </w:numPr>
              <w:rPr>
                <w:lang w:eastAsia="zh-CN"/>
              </w:rPr>
            </w:pPr>
            <w:r>
              <w:rPr>
                <w:rFonts w:hint="eastAsia"/>
                <w:lang w:eastAsia="zh-CN"/>
              </w:rPr>
              <w:t>即时通讯：主要包括QQ、微信、等登录账号审计，收发消息行为审计，以及其他通讯软件登录行为审计。</w:t>
            </w:r>
          </w:p>
          <w:p w14:paraId="13572F57">
            <w:pPr>
              <w:pStyle w:val="207"/>
              <w:numPr>
                <w:ilvl w:val="0"/>
                <w:numId w:val="24"/>
              </w:numPr>
              <w:rPr>
                <w:lang w:eastAsia="zh-CN"/>
              </w:rPr>
            </w:pPr>
            <w:r>
              <w:rPr>
                <w:rFonts w:hint="eastAsia"/>
                <w:lang w:eastAsia="zh-CN"/>
              </w:rPr>
              <w:t>基础协议：主要包括FTP登录、上传下载文件审计。</w:t>
            </w:r>
          </w:p>
          <w:p w14:paraId="12BFC79E">
            <w:pPr>
              <w:pStyle w:val="207"/>
              <w:numPr>
                <w:ilvl w:val="0"/>
                <w:numId w:val="24"/>
              </w:numPr>
            </w:pPr>
            <w:r>
              <w:t>数据库</w:t>
            </w:r>
            <w:r>
              <w:rPr>
                <w:rFonts w:hint="eastAsia"/>
              </w:rPr>
              <w:t>：审计的数据库类型包括Mysql、Postgresql、Oracle、SQL Server、Sybase、Informix、DB2。</w:t>
            </w:r>
          </w:p>
          <w:p w14:paraId="6259B5EA">
            <w:pPr>
              <w:pStyle w:val="207"/>
              <w:numPr>
                <w:ilvl w:val="0"/>
                <w:numId w:val="24"/>
              </w:numPr>
              <w:rPr>
                <w:lang w:eastAsia="zh-CN"/>
              </w:rPr>
            </w:pPr>
            <w:r>
              <w:rPr>
                <w:rFonts w:hint="eastAsia"/>
                <w:lang w:eastAsia="zh-CN"/>
              </w:rPr>
              <w:t>娱乐股票：主要包括娱乐股票类应用登录账号以及评论类审计。</w:t>
            </w:r>
          </w:p>
          <w:p w14:paraId="26A4B0B8">
            <w:pPr>
              <w:pStyle w:val="207"/>
              <w:numPr>
                <w:ilvl w:val="0"/>
                <w:numId w:val="24"/>
              </w:numPr>
              <w:rPr>
                <w:lang w:eastAsia="zh-CN"/>
              </w:rPr>
            </w:pPr>
            <w:r>
              <w:rPr>
                <w:rFonts w:hint="eastAsia"/>
                <w:lang w:eastAsia="zh-CN"/>
              </w:rPr>
              <w:t>网络应用：主要包括上述行为之外的其他应用行为审计。</w:t>
            </w:r>
          </w:p>
        </w:tc>
      </w:tr>
      <w:tr w14:paraId="5C5F98D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242" w:type="dxa"/>
            <w:shd w:val="clear" w:color="auto" w:fill="auto"/>
          </w:tcPr>
          <w:p w14:paraId="33C69226">
            <w:pPr>
              <w:pStyle w:val="150"/>
            </w:pPr>
            <w:r>
              <w:rPr>
                <w:rFonts w:hint="eastAsia"/>
              </w:rPr>
              <w:t>时间</w:t>
            </w:r>
          </w:p>
        </w:tc>
        <w:tc>
          <w:tcPr>
            <w:tcW w:w="7772" w:type="dxa"/>
            <w:shd w:val="clear" w:color="auto" w:fill="auto"/>
          </w:tcPr>
          <w:p w14:paraId="63E17C04">
            <w:pPr>
              <w:pStyle w:val="150"/>
            </w:pPr>
            <w:r>
              <w:rPr>
                <w:rFonts w:hint="eastAsia"/>
              </w:rPr>
              <w:t>匹配审计策略</w:t>
            </w:r>
            <w:r>
              <w:t>的时间对象</w:t>
            </w:r>
            <w:r>
              <w:rPr>
                <w:rFonts w:hint="eastAsia"/>
              </w:rPr>
              <w:t>。</w:t>
            </w:r>
          </w:p>
        </w:tc>
      </w:tr>
      <w:tr w14:paraId="12F5253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242" w:type="dxa"/>
            <w:shd w:val="clear" w:color="auto" w:fill="auto"/>
          </w:tcPr>
          <w:p w14:paraId="5A7765D1">
            <w:pPr>
              <w:pStyle w:val="150"/>
            </w:pPr>
            <w:r>
              <w:rPr>
                <w:rFonts w:hint="eastAsia"/>
              </w:rPr>
              <w:t>日志</w:t>
            </w:r>
            <w:r>
              <w:t>级别</w:t>
            </w:r>
          </w:p>
        </w:tc>
        <w:tc>
          <w:tcPr>
            <w:tcW w:w="7772" w:type="dxa"/>
            <w:shd w:val="clear" w:color="auto" w:fill="auto"/>
          </w:tcPr>
          <w:p w14:paraId="3189EA7A">
            <w:pPr>
              <w:pStyle w:val="150"/>
            </w:pPr>
            <w:r>
              <w:rPr>
                <w:rFonts w:hint="eastAsia"/>
              </w:rPr>
              <w:t>审计策略</w:t>
            </w:r>
            <w:r>
              <w:t>日志记录级别，默认是信息级别，可以根据需求配置日志级别</w:t>
            </w:r>
            <w:r>
              <w:rPr>
                <w:rFonts w:hint="eastAsia"/>
              </w:rPr>
              <w:t>。</w:t>
            </w:r>
          </w:p>
        </w:tc>
      </w:tr>
      <w:tr w14:paraId="212E5B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242" w:type="dxa"/>
            <w:shd w:val="clear" w:color="auto" w:fill="auto"/>
          </w:tcPr>
          <w:p w14:paraId="61A148C1">
            <w:pPr>
              <w:pStyle w:val="150"/>
            </w:pPr>
            <w:r>
              <w:rPr>
                <w:rFonts w:hint="eastAsia"/>
              </w:rPr>
              <w:t>终端型号</w:t>
            </w:r>
          </w:p>
        </w:tc>
        <w:tc>
          <w:tcPr>
            <w:tcW w:w="7772" w:type="dxa"/>
            <w:shd w:val="clear" w:color="auto" w:fill="auto"/>
          </w:tcPr>
          <w:p w14:paraId="0371008A">
            <w:pPr>
              <w:pStyle w:val="150"/>
            </w:pPr>
            <w:r>
              <w:rPr>
                <w:rFonts w:hint="eastAsia"/>
              </w:rPr>
              <w:t>选择终端型号，默认为any。此功能依赖于第三方用户同步中的ddi终端用户功能，需要将终端型号信息同步给设备。</w:t>
            </w:r>
          </w:p>
        </w:tc>
      </w:tr>
      <w:tr w14:paraId="639462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242" w:type="dxa"/>
            <w:shd w:val="clear" w:color="auto" w:fill="auto"/>
          </w:tcPr>
          <w:p w14:paraId="0A6F1A57">
            <w:pPr>
              <w:pStyle w:val="150"/>
            </w:pPr>
            <w:r>
              <w:t>VLAN</w:t>
            </w:r>
          </w:p>
        </w:tc>
        <w:tc>
          <w:tcPr>
            <w:tcW w:w="7772" w:type="dxa"/>
            <w:shd w:val="clear" w:color="auto" w:fill="auto"/>
          </w:tcPr>
          <w:p w14:paraId="635233A6">
            <w:pPr>
              <w:pStyle w:val="150"/>
            </w:pPr>
            <w:r>
              <w:rPr>
                <w:rFonts w:hint="eastAsia"/>
              </w:rPr>
              <w:t>选择策略匹配的虚拟局域网，any表示所有。可配置的范围为0~4094，单个/范围(用-连接)，多项用,隔开，最多可配置8组。</w:t>
            </w:r>
          </w:p>
        </w:tc>
      </w:tr>
      <w:tr w14:paraId="40D183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242" w:type="dxa"/>
            <w:shd w:val="clear" w:color="auto" w:fill="auto"/>
          </w:tcPr>
          <w:p w14:paraId="4E9040B1">
            <w:pPr>
              <w:pStyle w:val="150"/>
            </w:pPr>
            <w:r>
              <w:t>DSCP</w:t>
            </w:r>
          </w:p>
        </w:tc>
        <w:tc>
          <w:tcPr>
            <w:tcW w:w="7772" w:type="dxa"/>
            <w:shd w:val="clear" w:color="auto" w:fill="auto"/>
          </w:tcPr>
          <w:p w14:paraId="0F0EAB62">
            <w:pPr>
              <w:pStyle w:val="150"/>
            </w:pPr>
            <w:r>
              <w:rPr>
                <w:rFonts w:hint="eastAsia"/>
              </w:rPr>
              <w:t>选择策略匹配的差分服务代码点，any表示所有。可配置的范围为0~63，单个/范围(用-连接)，多项用,隔开，最多可配置8组。</w:t>
            </w:r>
          </w:p>
        </w:tc>
      </w:tr>
      <w:tr w14:paraId="73E3DA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242" w:type="dxa"/>
            <w:shd w:val="clear" w:color="auto" w:fill="auto"/>
          </w:tcPr>
          <w:p w14:paraId="40A8E8BD">
            <w:pPr>
              <w:pStyle w:val="150"/>
            </w:pPr>
            <w:r>
              <w:rPr>
                <w:rFonts w:hint="eastAsia"/>
              </w:rPr>
              <w:t>网页快照</w:t>
            </w:r>
          </w:p>
        </w:tc>
        <w:tc>
          <w:tcPr>
            <w:tcW w:w="7772" w:type="dxa"/>
            <w:shd w:val="clear" w:color="auto" w:fill="auto"/>
          </w:tcPr>
          <w:p w14:paraId="2AF57AB8">
            <w:pPr>
              <w:pStyle w:val="150"/>
            </w:pPr>
            <w:r>
              <w:rPr>
                <w:rFonts w:hint="eastAsia"/>
              </w:rPr>
              <w:t>开启网页快照功能后，产生的审计日志中会显示访问的网页快照。在审计日志详情中，点击链接可以查看。</w:t>
            </w:r>
          </w:p>
          <w:p w14:paraId="2671B971">
            <w:pPr>
              <w:pStyle w:val="150"/>
            </w:pPr>
            <w:r>
              <w:rPr>
                <w:rFonts w:hint="eastAsia"/>
              </w:rPr>
              <w:t>需要审计的网页有标题才会记录网页快照，旁路部署模式不支持HTTPS网站的网页快照功能。</w:t>
            </w:r>
          </w:p>
        </w:tc>
      </w:tr>
    </w:tbl>
    <w:p w14:paraId="073A82EF"/>
    <w:p w14:paraId="6ABDBEE6">
      <w:pPr>
        <w:pStyle w:val="4"/>
      </w:pPr>
      <w:bookmarkStart w:id="4829" w:name="_Toc172218462"/>
      <w:bookmarkStart w:id="4830" w:name="_Toc194080948"/>
      <w:bookmarkStart w:id="4831" w:name="_Toc196728280"/>
      <w:r>
        <w:rPr>
          <w:rFonts w:hint="eastAsia"/>
        </w:rPr>
        <w:t>配置数据库</w:t>
      </w:r>
      <w:r>
        <w:t>审计</w:t>
      </w:r>
      <w:bookmarkEnd w:id="4829"/>
      <w:bookmarkEnd w:id="4830"/>
      <w:bookmarkEnd w:id="4831"/>
    </w:p>
    <w:p w14:paraId="0C51609D">
      <w:r>
        <w:rPr>
          <w:rFonts w:hint="eastAsia"/>
        </w:rPr>
        <w:t>设备支持对Mysql、Postgresql、Oracle、SQL Server、Sybase、Informix、DB2等主流数据库进行审计，通过对数据库用户访问数据库行为的记录、分析，对内外数据库网络行为进行监控和审计，提高数据资产安全。</w:t>
      </w:r>
    </w:p>
    <w:p w14:paraId="28F41F75">
      <w:r>
        <w:rPr>
          <w:rFonts w:hint="eastAsia"/>
        </w:rPr>
        <w:t>数据库审计支持审计SQL操作语句、源IP地址、目的IP地址、访问时间、MAC地址、数据库用户、客户端等访问数据库的行为。</w:t>
      </w:r>
    </w:p>
    <w:p w14:paraId="38679CBA">
      <w:r>
        <w:rPr>
          <w:rFonts w:hint="eastAsia"/>
        </w:rPr>
        <w:t>数据库审计的配置步骤如下：</w:t>
      </w:r>
    </w:p>
    <w:p w14:paraId="79F46183">
      <w:pPr>
        <w:pStyle w:val="202"/>
      </w:pPr>
      <w:r>
        <w:rPr>
          <w:rFonts w:hint="eastAsia"/>
        </w:rPr>
        <w:t>配置数据库识别对象</w:t>
      </w:r>
    </w:p>
    <w:p w14:paraId="2F4DC58B">
      <w:r>
        <w:rPr>
          <w:rFonts w:hint="eastAsia"/>
        </w:rPr>
        <w:t>在导航栏选择“策略配置 &gt;</w:t>
      </w:r>
      <w:r>
        <w:t xml:space="preserve"> </w:t>
      </w:r>
      <w:r>
        <w:rPr>
          <w:rFonts w:hint="eastAsia"/>
        </w:rPr>
        <w:t>对象管理 &gt;</w:t>
      </w:r>
      <w:r>
        <w:t xml:space="preserve"> </w:t>
      </w:r>
      <w:r>
        <w:rPr>
          <w:rFonts w:hint="eastAsia"/>
        </w:rPr>
        <w:t xml:space="preserve">数据库识别”，单击“新建”，配置数据库识别对象，详细配置请参见 </w:t>
      </w:r>
      <w:r>
        <w:fldChar w:fldCharType="begin"/>
      </w:r>
      <w:r>
        <w:instrText xml:space="preserve"> </w:instrText>
      </w:r>
      <w:r>
        <w:rPr>
          <w:rFonts w:hint="eastAsia"/>
        </w:rPr>
        <w:instrText xml:space="preserve">REF _Ref168597028 \h</w:instrText>
      </w:r>
      <w:r>
        <w:instrText xml:space="preserve"> </w:instrText>
      </w:r>
      <w:r>
        <w:fldChar w:fldCharType="separate"/>
      </w:r>
      <w:r>
        <w:rPr>
          <w:rFonts w:hint="eastAsia"/>
        </w:rPr>
        <w:t>数据库识别</w:t>
      </w:r>
      <w:r>
        <w:fldChar w:fldCharType="end"/>
      </w:r>
      <w:r>
        <w:rPr>
          <w:rFonts w:hint="eastAsia"/>
        </w:rPr>
        <w:t>。</w:t>
      </w:r>
    </w:p>
    <w:p w14:paraId="55A02F26">
      <w:pPr>
        <w:pStyle w:val="202"/>
      </w:pPr>
      <w:r>
        <w:rPr>
          <w:rFonts w:hint="eastAsia"/>
        </w:rPr>
        <w:t>配置数据库审计策略</w:t>
      </w:r>
    </w:p>
    <w:p w14:paraId="7D3DB3D8">
      <w:r>
        <w:rPr>
          <w:rFonts w:hint="eastAsia"/>
        </w:rPr>
        <w:t>在导航栏选择“策略配置 &gt;</w:t>
      </w:r>
      <w:r>
        <w:t xml:space="preserve"> </w:t>
      </w:r>
      <w:r>
        <w:rPr>
          <w:rFonts w:hint="eastAsia"/>
        </w:rPr>
        <w:t>审计策略”，新建审计策略，选择“审计对象”页面，在“数据库”类别中选择审计的数据库类型。</w:t>
      </w:r>
    </w:p>
    <w:p w14:paraId="43296D04">
      <w:pPr>
        <w:pStyle w:val="188"/>
      </w:pPr>
      <w:r>
        <w:t>配置数据库审计策略</w:t>
      </w:r>
    </w:p>
    <w:p w14:paraId="2747FC8F">
      <w:pPr>
        <w:pStyle w:val="175"/>
      </w:pPr>
      <w:r>
        <w:drawing>
          <wp:inline distT="0" distB="0" distL="114300" distR="114300">
            <wp:extent cx="5533390" cy="3134995"/>
            <wp:effectExtent l="0" t="0" r="0" b="8255"/>
            <wp:docPr id="18020278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61" name="图片 2"/>
                    <pic:cNvPicPr>
                      <a:picLocks noChangeAspect="1"/>
                    </pic:cNvPicPr>
                  </pic:nvPicPr>
                  <pic:blipFill>
                    <a:blip r:embed="rId651"/>
                    <a:stretch>
                      <a:fillRect/>
                    </a:stretch>
                  </pic:blipFill>
                  <pic:spPr>
                    <a:xfrm>
                      <a:off x="0" y="0"/>
                      <a:ext cx="5541214" cy="3139715"/>
                    </a:xfrm>
                    <a:prstGeom prst="rect">
                      <a:avLst/>
                    </a:prstGeom>
                    <a:noFill/>
                    <a:ln>
                      <a:noFill/>
                    </a:ln>
                  </pic:spPr>
                </pic:pic>
              </a:graphicData>
            </a:graphic>
          </wp:inline>
        </w:drawing>
      </w:r>
    </w:p>
    <w:p w14:paraId="0FB0C614"/>
    <w:p w14:paraId="0BABB5BA">
      <w:pPr>
        <w:pStyle w:val="202"/>
        <w:rPr>
          <w:lang w:eastAsia="zh-CN"/>
        </w:rPr>
      </w:pPr>
      <w:r>
        <w:rPr>
          <w:rFonts w:hint="eastAsia"/>
          <w:lang w:eastAsia="zh-CN"/>
        </w:rPr>
        <w:t>查看数据库审计日志（可选）</w:t>
      </w:r>
    </w:p>
    <w:p w14:paraId="5567467C">
      <w:r>
        <w:rPr>
          <w:rFonts w:hint="eastAsia"/>
        </w:rPr>
        <w:t>进入“系统管理&gt;系统设定&gt;日志设定&gt;日志过滤”，配置数据库审计日志记录本地。</w:t>
      </w:r>
    </w:p>
    <w:p w14:paraId="7607D970">
      <w:r>
        <w:rPr>
          <w:rFonts w:hint="eastAsia"/>
        </w:rPr>
        <w:t>进入“数据中心&gt;数据分析&gt;数据库日志统计”页面，开启数据库日志统计功能，如下图所示。</w:t>
      </w:r>
    </w:p>
    <w:p w14:paraId="262D8816">
      <w:pPr>
        <w:pStyle w:val="188"/>
      </w:pPr>
      <w:r>
        <w:rPr>
          <w:rFonts w:hint="eastAsia"/>
        </w:rPr>
        <w:t>数据库统计设置页面</w:t>
      </w:r>
    </w:p>
    <w:p w14:paraId="3BCA8B22">
      <w:r>
        <w:drawing>
          <wp:inline distT="0" distB="0" distL="0" distR="0">
            <wp:extent cx="5201285" cy="701040"/>
            <wp:effectExtent l="0" t="0" r="0" b="3810"/>
            <wp:docPr id="1296485374" name="图片 1296485374" descr="C:\Users\WANGYI~1\AppData\Local\Temp\企业微信截图_171767638225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74" name="图片 1296485374" descr="C:\Users\WANGYI~1\AppData\Local\Temp\企业微信截图_17176763822554.png"/>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a:xfrm>
                      <a:off x="0" y="0"/>
                      <a:ext cx="5262958" cy="709864"/>
                    </a:xfrm>
                    <a:prstGeom prst="rect">
                      <a:avLst/>
                    </a:prstGeom>
                    <a:noFill/>
                    <a:ln>
                      <a:noFill/>
                    </a:ln>
                  </pic:spPr>
                </pic:pic>
              </a:graphicData>
            </a:graphic>
          </wp:inline>
        </w:drawing>
      </w:r>
    </w:p>
    <w:p w14:paraId="64487AB4"/>
    <w:p w14:paraId="4B98460C">
      <w:r>
        <w:rPr>
          <w:rFonts w:hint="eastAsia"/>
        </w:rPr>
        <w:t>当内网用户通过设备连接审计的数据库对象，并操作数据库语句时，进入“数据中心&gt;日志中心&gt;审计日志&gt;数据库审计日志”页面，可以查看到用户操作数据库的详细信息，如下图所示。</w:t>
      </w:r>
    </w:p>
    <w:p w14:paraId="2BC42176">
      <w:pPr>
        <w:pStyle w:val="188"/>
      </w:pPr>
      <w:r>
        <w:rPr>
          <w:rFonts w:hint="eastAsia"/>
        </w:rPr>
        <w:t>数据库审计日志页面</w:t>
      </w:r>
    </w:p>
    <w:p w14:paraId="1E448350">
      <w:r>
        <w:drawing>
          <wp:inline distT="0" distB="0" distL="0" distR="0">
            <wp:extent cx="5584825" cy="1744345"/>
            <wp:effectExtent l="0" t="0" r="0" b="8255"/>
            <wp:docPr id="1296485375" name="图片 1296485375" descr="C:\Users\WANGYI~1\AppData\Local\Temp\企业微信截图_17176765915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75" name="图片 1296485375" descr="C:\Users\WANGYI~1\AppData\Local\Temp\企业微信截图_17176765915285.png"/>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a:xfrm>
                      <a:off x="0" y="0"/>
                      <a:ext cx="5597385" cy="1748794"/>
                    </a:xfrm>
                    <a:prstGeom prst="rect">
                      <a:avLst/>
                    </a:prstGeom>
                    <a:noFill/>
                    <a:ln>
                      <a:noFill/>
                    </a:ln>
                  </pic:spPr>
                </pic:pic>
              </a:graphicData>
            </a:graphic>
          </wp:inline>
        </w:drawing>
      </w:r>
    </w:p>
    <w:p w14:paraId="456E4690"/>
    <w:p w14:paraId="3295EC7D">
      <w:r>
        <w:rPr>
          <w:rFonts w:hint="eastAsia"/>
        </w:rPr>
        <w:t>进入“数据中心&gt;数据分析&gt;数据库日志统计”页面，通过数据库日志统计可以直观看到现网中使用的数据库类型、操作的类型、以及操作数据库的用户，如下图所示。</w:t>
      </w:r>
    </w:p>
    <w:p w14:paraId="3C9E39A6">
      <w:pPr>
        <w:pStyle w:val="188"/>
      </w:pPr>
      <w:r>
        <w:rPr>
          <w:rFonts w:hint="eastAsia"/>
        </w:rPr>
        <w:t>数据库日志统计分析页面</w:t>
      </w:r>
    </w:p>
    <w:p w14:paraId="1D165EA9">
      <w:r>
        <w:drawing>
          <wp:inline distT="0" distB="0" distL="114300" distR="114300">
            <wp:extent cx="5697220" cy="1577340"/>
            <wp:effectExtent l="0" t="0" r="17780" b="3810"/>
            <wp:docPr id="38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9"/>
                    <pic:cNvPicPr>
                      <a:picLocks noChangeAspect="1"/>
                    </pic:cNvPicPr>
                  </pic:nvPicPr>
                  <pic:blipFill>
                    <a:blip r:embed="rId654"/>
                    <a:stretch>
                      <a:fillRect/>
                    </a:stretch>
                  </pic:blipFill>
                  <pic:spPr>
                    <a:xfrm>
                      <a:off x="0" y="0"/>
                      <a:ext cx="5697220" cy="1577340"/>
                    </a:xfrm>
                    <a:prstGeom prst="rect">
                      <a:avLst/>
                    </a:prstGeom>
                    <a:noFill/>
                    <a:ln>
                      <a:noFill/>
                    </a:ln>
                  </pic:spPr>
                </pic:pic>
              </a:graphicData>
            </a:graphic>
          </wp:inline>
        </w:drawing>
      </w:r>
    </w:p>
    <w:p w14:paraId="7E3A4C90">
      <w:pPr>
        <w:pStyle w:val="4"/>
      </w:pPr>
      <w:bookmarkStart w:id="4832" w:name="_Toc99561747"/>
      <w:bookmarkStart w:id="4833" w:name="_Toc15484911"/>
      <w:bookmarkStart w:id="4834" w:name="_Toc40276108"/>
      <w:bookmarkStart w:id="4835" w:name="_Toc23152675"/>
      <w:bookmarkStart w:id="4836" w:name="_Toc194080949"/>
      <w:bookmarkStart w:id="4837" w:name="_Toc142401200"/>
      <w:bookmarkStart w:id="4838" w:name="_Toc172218463"/>
      <w:bookmarkStart w:id="4839" w:name="_Toc141873683"/>
      <w:bookmarkStart w:id="4840" w:name="_Toc196728281"/>
      <w:r>
        <w:t>启用禁用</w:t>
      </w:r>
      <w:r>
        <w:rPr>
          <w:rFonts w:hint="eastAsia"/>
        </w:rPr>
        <w:t>审计策略</w:t>
      </w:r>
      <w:bookmarkEnd w:id="4832"/>
      <w:bookmarkEnd w:id="4833"/>
      <w:bookmarkEnd w:id="4834"/>
      <w:bookmarkEnd w:id="4835"/>
      <w:bookmarkEnd w:id="4836"/>
      <w:bookmarkEnd w:id="4837"/>
      <w:bookmarkEnd w:id="4838"/>
      <w:bookmarkEnd w:id="4839"/>
      <w:bookmarkEnd w:id="4840"/>
    </w:p>
    <w:p w14:paraId="1D9821FB">
      <w:r>
        <w:rPr>
          <w:rFonts w:hint="eastAsia"/>
        </w:rPr>
        <w:t>通过菜单“策略配置 &gt; 审计策略”，进入审计策略</w:t>
      </w:r>
      <w:r>
        <w:t>显示页面，</w:t>
      </w:r>
      <w:r>
        <w:rPr>
          <w:rFonts w:hint="eastAsia"/>
        </w:rPr>
        <w:t>如下图</w:t>
      </w:r>
      <w:r>
        <w:t>所示。</w:t>
      </w:r>
    </w:p>
    <w:p w14:paraId="705C62C9">
      <w:r>
        <w:rPr>
          <w:rFonts w:hint="eastAsia"/>
        </w:rPr>
        <w:t>勾选要启用或者禁用的审计策略，单击</w:t>
      </w:r>
      <w:r>
        <w:t>&lt;</w:t>
      </w:r>
      <w:r>
        <w:rPr>
          <w:rFonts w:hint="eastAsia"/>
        </w:rPr>
        <w:t>启用</w:t>
      </w:r>
      <w:r>
        <w:t>&gt;</w:t>
      </w:r>
      <w:r>
        <w:rPr>
          <w:rFonts w:hint="eastAsia"/>
        </w:rPr>
        <w:t>按钮或</w:t>
      </w:r>
      <w:r>
        <w:t>&lt;</w:t>
      </w:r>
      <w:r>
        <w:rPr>
          <w:rFonts w:hint="eastAsia"/>
        </w:rPr>
        <w:t>禁用</w:t>
      </w:r>
      <w:r>
        <w:t>&gt;</w:t>
      </w:r>
      <w:r>
        <w:rPr>
          <w:rFonts w:hint="eastAsia"/>
        </w:rPr>
        <w:t>按钮可以启动和禁用该审计策略。</w:t>
      </w:r>
    </w:p>
    <w:p w14:paraId="2346B999">
      <w:pPr>
        <w:pStyle w:val="188"/>
      </w:pPr>
      <w:bookmarkStart w:id="4841" w:name="_Toc141875096"/>
      <w:r>
        <w:rPr>
          <w:rFonts w:hint="eastAsia"/>
        </w:rPr>
        <w:t>审计策略</w:t>
      </w:r>
      <w:r>
        <w:t>启用禁用</w:t>
      </w:r>
      <w:bookmarkEnd w:id="4841"/>
    </w:p>
    <w:p w14:paraId="6B4AF0BB">
      <w:r>
        <w:drawing>
          <wp:inline distT="0" distB="0" distL="0" distR="0">
            <wp:extent cx="5400040" cy="427355"/>
            <wp:effectExtent l="0" t="0" r="0" b="0"/>
            <wp:docPr id="3581" name="图片 3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1" name="图片 3581"/>
                    <pic:cNvPicPr>
                      <a:picLocks noChangeAspect="1"/>
                    </pic:cNvPicPr>
                  </pic:nvPicPr>
                  <pic:blipFill>
                    <a:blip r:embed="rId655"/>
                    <a:stretch>
                      <a:fillRect/>
                    </a:stretch>
                  </pic:blipFill>
                  <pic:spPr>
                    <a:xfrm>
                      <a:off x="0" y="0"/>
                      <a:ext cx="5400040" cy="427498"/>
                    </a:xfrm>
                    <a:prstGeom prst="rect">
                      <a:avLst/>
                    </a:prstGeom>
                  </pic:spPr>
                </pic:pic>
              </a:graphicData>
            </a:graphic>
          </wp:inline>
        </w:drawing>
      </w:r>
    </w:p>
    <w:p w14:paraId="35022115"/>
    <w:p w14:paraId="2DBBF2E1">
      <w:pPr>
        <w:pStyle w:val="4"/>
      </w:pPr>
      <w:bookmarkStart w:id="4842" w:name="_Toc99561748"/>
      <w:bookmarkStart w:id="4843" w:name="_Toc142401201"/>
      <w:bookmarkStart w:id="4844" w:name="_Toc40276109"/>
      <w:bookmarkStart w:id="4845" w:name="_Toc172218464"/>
      <w:bookmarkStart w:id="4846" w:name="_Toc196728282"/>
      <w:bookmarkStart w:id="4847" w:name="_Toc141873684"/>
      <w:bookmarkStart w:id="4848" w:name="_Toc15484912"/>
      <w:bookmarkStart w:id="4849" w:name="_Toc23152676"/>
      <w:bookmarkStart w:id="4850" w:name="_Toc194080950"/>
      <w:r>
        <w:t>审计策略优先级</w:t>
      </w:r>
      <w:r>
        <w:rPr>
          <w:rFonts w:hint="eastAsia"/>
        </w:rPr>
        <w:t>配置</w:t>
      </w:r>
      <w:bookmarkEnd w:id="4842"/>
      <w:bookmarkEnd w:id="4843"/>
      <w:bookmarkEnd w:id="4844"/>
      <w:bookmarkEnd w:id="4845"/>
      <w:bookmarkEnd w:id="4846"/>
      <w:bookmarkEnd w:id="4847"/>
      <w:bookmarkEnd w:id="4848"/>
      <w:bookmarkEnd w:id="4849"/>
      <w:bookmarkEnd w:id="4850"/>
    </w:p>
    <w:p w14:paraId="1E6169D2">
      <w:r>
        <w:rPr>
          <w:rFonts w:hint="eastAsia"/>
        </w:rPr>
        <w:t>通过菜单“策略配置 &gt; 审计策略”，进入审计策略</w:t>
      </w:r>
      <w:r>
        <w:t>显示页面，</w:t>
      </w:r>
      <w:r>
        <w:rPr>
          <w:rFonts w:hint="eastAsia"/>
        </w:rPr>
        <w:t>选择</w:t>
      </w:r>
      <w:r>
        <w:t>需要调整的</w:t>
      </w:r>
      <w:r>
        <w:rPr>
          <w:rFonts w:hint="eastAsia"/>
        </w:rPr>
        <w:t>审计策略</w:t>
      </w:r>
      <w:r>
        <w:t>，</w:t>
      </w:r>
      <w:r>
        <w:rPr>
          <w:rFonts w:hint="eastAsia"/>
        </w:rPr>
        <w:t>点击&lt;优先级&gt;</w:t>
      </w:r>
      <w:r>
        <w:t>按钮，进入</w:t>
      </w:r>
      <w:r>
        <w:rPr>
          <w:rFonts w:hint="eastAsia"/>
        </w:rPr>
        <w:t>审计策略</w:t>
      </w:r>
      <w:r>
        <w:t>优先级</w:t>
      </w:r>
      <w:r>
        <w:rPr>
          <w:rFonts w:hint="eastAsia"/>
        </w:rPr>
        <w:t>配置</w:t>
      </w:r>
      <w:r>
        <w:t>页面，</w:t>
      </w:r>
      <w:r>
        <w:rPr>
          <w:rFonts w:hint="eastAsia"/>
        </w:rPr>
        <w:t>如下图所示</w:t>
      </w:r>
      <w:r>
        <w:t>。</w:t>
      </w:r>
    </w:p>
    <w:p w14:paraId="1A256D17">
      <w:pPr>
        <w:pStyle w:val="188"/>
      </w:pPr>
      <w:bookmarkStart w:id="4851" w:name="_Toc141875097"/>
      <w:r>
        <w:rPr>
          <w:rFonts w:hint="eastAsia"/>
        </w:rPr>
        <w:t>审计策略</w:t>
      </w:r>
      <w:r>
        <w:t>优先级</w:t>
      </w:r>
      <w:r>
        <w:rPr>
          <w:rFonts w:hint="eastAsia"/>
        </w:rPr>
        <w:t>配置</w:t>
      </w:r>
      <w:bookmarkEnd w:id="4851"/>
    </w:p>
    <w:p w14:paraId="28D6CFFE">
      <w:r>
        <w:drawing>
          <wp:inline distT="0" distB="0" distL="0" distR="0">
            <wp:extent cx="5400040" cy="1748790"/>
            <wp:effectExtent l="0" t="0" r="0" b="3810"/>
            <wp:docPr id="3757" name="图片 3757" descr="C:\Users\Administrato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7" name="图片 3757" descr="C:\Users\Administrator\Desktop\1.png"/>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a:xfrm>
                      <a:off x="0" y="0"/>
                      <a:ext cx="5400040" cy="1749418"/>
                    </a:xfrm>
                    <a:prstGeom prst="rect">
                      <a:avLst/>
                    </a:prstGeom>
                    <a:noFill/>
                    <a:ln>
                      <a:noFill/>
                    </a:ln>
                  </pic:spPr>
                </pic:pic>
              </a:graphicData>
            </a:graphic>
          </wp:inline>
        </w:drawing>
      </w:r>
    </w:p>
    <w:p w14:paraId="53F6056F"/>
    <w:p w14:paraId="203B5C14">
      <w:r>
        <w:rPr>
          <w:rFonts w:hint="eastAsia"/>
        </w:rPr>
        <w:t>审计策略</w:t>
      </w:r>
      <w:r>
        <w:t>优先级</w:t>
      </w:r>
      <w:r>
        <w:rPr>
          <w:rFonts w:hint="eastAsia"/>
        </w:rPr>
        <w:t>详细</w:t>
      </w:r>
      <w:r>
        <w:t>配置说明，如</w:t>
      </w:r>
      <w:r>
        <w:rPr>
          <w:rFonts w:hint="eastAsia"/>
        </w:rPr>
        <w:t>下表所示</w:t>
      </w:r>
      <w:r>
        <w:t>。</w:t>
      </w:r>
    </w:p>
    <w:p w14:paraId="20481C32">
      <w:pPr>
        <w:pStyle w:val="183"/>
      </w:pPr>
      <w:bookmarkStart w:id="4852" w:name="_Toc141875684"/>
      <w:r>
        <w:rPr>
          <w:rFonts w:hint="eastAsia"/>
        </w:rPr>
        <w:t>审计策略</w:t>
      </w:r>
      <w:r>
        <w:t>优先级配置</w:t>
      </w:r>
      <w:bookmarkEnd w:id="4852"/>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3"/>
        <w:gridCol w:w="6635"/>
      </w:tblGrid>
      <w:tr w14:paraId="1E119E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tcBorders>
              <w:tl2br w:val="nil"/>
              <w:tr2bl w:val="nil"/>
            </w:tcBorders>
            <w:shd w:val="clear" w:color="auto" w:fill="538135" w:themeFill="accent6" w:themeFillShade="BF"/>
            <w:vAlign w:val="center"/>
          </w:tcPr>
          <w:p w14:paraId="096E7519">
            <w:pPr>
              <w:pStyle w:val="149"/>
              <w:wordWrap/>
              <w:rPr>
                <w:b/>
                <w:bCs/>
                <w:i w:val="0"/>
                <w:iCs w:val="0"/>
              </w:rPr>
            </w:pPr>
            <w:r>
              <w:rPr>
                <w:rFonts w:hint="eastAsia"/>
                <w:b/>
                <w:bCs/>
                <w:i w:val="0"/>
                <w:iCs w:val="0"/>
              </w:rPr>
              <w:t>标题项</w:t>
            </w:r>
          </w:p>
        </w:tc>
        <w:tc>
          <w:tcPr>
            <w:tcW w:w="6684" w:type="dxa"/>
            <w:tcBorders>
              <w:tl2br w:val="nil"/>
              <w:tr2bl w:val="nil"/>
            </w:tcBorders>
            <w:shd w:val="clear" w:color="auto" w:fill="538135" w:themeFill="accent6" w:themeFillShade="BF"/>
            <w:vAlign w:val="center"/>
          </w:tcPr>
          <w:p w14:paraId="6D8EE5C5">
            <w:pPr>
              <w:pStyle w:val="149"/>
              <w:wordWrap/>
              <w:rPr>
                <w:b/>
                <w:bCs/>
                <w:i w:val="0"/>
                <w:iCs w:val="0"/>
              </w:rPr>
            </w:pPr>
            <w:r>
              <w:rPr>
                <w:rFonts w:hint="eastAsia"/>
                <w:b/>
                <w:bCs/>
                <w:i w:val="0"/>
                <w:iCs w:val="0"/>
              </w:rPr>
              <w:t>说明</w:t>
            </w:r>
          </w:p>
        </w:tc>
      </w:tr>
      <w:tr w14:paraId="5059B7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24F73F6C">
            <w:pPr>
              <w:pStyle w:val="150"/>
            </w:pPr>
            <w:r>
              <w:rPr>
                <w:rFonts w:hint="eastAsia"/>
              </w:rPr>
              <w:t>被移动的策略</w:t>
            </w:r>
            <w:r>
              <w:t>ID</w:t>
            </w:r>
          </w:p>
        </w:tc>
        <w:tc>
          <w:tcPr>
            <w:tcW w:w="6684" w:type="dxa"/>
            <w:shd w:val="clear" w:color="auto" w:fill="auto"/>
          </w:tcPr>
          <w:p w14:paraId="3C48CFD3">
            <w:pPr>
              <w:pStyle w:val="150"/>
            </w:pPr>
            <w:r>
              <w:rPr>
                <w:rFonts w:hint="eastAsia"/>
              </w:rPr>
              <w:t>被移动的策略ID。</w:t>
            </w:r>
          </w:p>
        </w:tc>
      </w:tr>
      <w:tr w14:paraId="5DE3DA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1CDAFE04">
            <w:pPr>
              <w:pStyle w:val="150"/>
            </w:pPr>
            <w:r>
              <w:rPr>
                <w:rFonts w:hint="eastAsia"/>
              </w:rPr>
              <w:t>目标位置</w:t>
            </w:r>
          </w:p>
        </w:tc>
        <w:tc>
          <w:tcPr>
            <w:tcW w:w="6684" w:type="dxa"/>
            <w:shd w:val="clear" w:color="auto" w:fill="auto"/>
          </w:tcPr>
          <w:p w14:paraId="184F9388">
            <w:pPr>
              <w:pStyle w:val="150"/>
            </w:pPr>
            <w:r>
              <w:rPr>
                <w:rFonts w:hint="eastAsia"/>
              </w:rPr>
              <w:t>移动后的位置：</w:t>
            </w:r>
          </w:p>
          <w:p w14:paraId="3FDB8519">
            <w:pPr>
              <w:pStyle w:val="150"/>
            </w:pPr>
            <w:r>
              <w:rPr>
                <w:rFonts w:hint="eastAsia"/>
              </w:rPr>
              <w:t>策略最前指移动到所有策略的最前面。</w:t>
            </w:r>
          </w:p>
          <w:p w14:paraId="638DEEDD">
            <w:pPr>
              <w:pStyle w:val="150"/>
            </w:pPr>
            <w:r>
              <w:rPr>
                <w:rFonts w:hint="eastAsia"/>
              </w:rPr>
              <w:t>策略</w:t>
            </w:r>
            <w:r>
              <w:t>ID</w:t>
            </w:r>
            <w:r>
              <w:rPr>
                <w:rFonts w:hint="eastAsia"/>
              </w:rPr>
              <w:t>之前指移动到某条固定的策略之前。</w:t>
            </w:r>
          </w:p>
          <w:p w14:paraId="57118BDF">
            <w:pPr>
              <w:pStyle w:val="150"/>
            </w:pPr>
            <w:r>
              <w:rPr>
                <w:rFonts w:hint="eastAsia"/>
              </w:rPr>
              <w:t>策略</w:t>
            </w:r>
            <w:r>
              <w:t>ID</w:t>
            </w:r>
            <w:r>
              <w:rPr>
                <w:rFonts w:hint="eastAsia"/>
              </w:rPr>
              <w:t>之后指移动到某条固定的策略后面。</w:t>
            </w:r>
          </w:p>
          <w:p w14:paraId="572FBFF4">
            <w:pPr>
              <w:pStyle w:val="150"/>
            </w:pPr>
            <w:r>
              <w:rPr>
                <w:rFonts w:hint="eastAsia"/>
              </w:rPr>
              <w:t>策略最后指移动到所有策略的后面。</w:t>
            </w:r>
          </w:p>
        </w:tc>
      </w:tr>
      <w:tr w14:paraId="05B42A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0945C2BA">
            <w:pPr>
              <w:pStyle w:val="150"/>
            </w:pPr>
            <w:r>
              <w:rPr>
                <w:rFonts w:hint="eastAsia"/>
              </w:rPr>
              <w:t>目标位置策略</w:t>
            </w:r>
            <w:r>
              <w:t>ID</w:t>
            </w:r>
          </w:p>
        </w:tc>
        <w:tc>
          <w:tcPr>
            <w:tcW w:w="6684" w:type="dxa"/>
            <w:shd w:val="clear" w:color="auto" w:fill="auto"/>
          </w:tcPr>
          <w:p w14:paraId="544C1450">
            <w:pPr>
              <w:pStyle w:val="150"/>
            </w:pPr>
            <w:r>
              <w:rPr>
                <w:rFonts w:hint="eastAsia"/>
              </w:rPr>
              <w:t>参考策略ID。</w:t>
            </w:r>
          </w:p>
        </w:tc>
      </w:tr>
    </w:tbl>
    <w:p w14:paraId="6BCEC6B0"/>
    <w:p w14:paraId="76A94080">
      <w:pPr>
        <w:jc w:val="left"/>
      </w:pPr>
      <w:r>
        <w:br w:type="page"/>
      </w:r>
    </w:p>
    <w:bookmarkEnd w:id="4821"/>
    <w:bookmarkEnd w:id="4822"/>
    <w:p w14:paraId="561C645C">
      <w:pPr>
        <w:pStyle w:val="3"/>
      </w:pPr>
      <w:bookmarkStart w:id="4853" w:name="_Toc15484989"/>
      <w:bookmarkStart w:id="4854" w:name="_Toc23152753"/>
      <w:bookmarkStart w:id="4855" w:name="_Toc40276186"/>
      <w:bookmarkStart w:id="4856" w:name="_Toc142401203"/>
      <w:bookmarkStart w:id="4857" w:name="_Toc172218465"/>
      <w:bookmarkStart w:id="4858" w:name="_Toc196728283"/>
      <w:bookmarkStart w:id="4859" w:name="_Toc141873686"/>
      <w:bookmarkStart w:id="4860" w:name="_Toc194080951"/>
      <w:bookmarkStart w:id="4861" w:name="_Toc99561816"/>
      <w:r>
        <w:rPr>
          <w:rFonts w:hint="eastAsia"/>
        </w:rPr>
        <w:t>NAT</w:t>
      </w:r>
      <w:bookmarkEnd w:id="4853"/>
      <w:bookmarkEnd w:id="4854"/>
      <w:bookmarkEnd w:id="4855"/>
      <w:r>
        <w:rPr>
          <w:rFonts w:hint="eastAsia"/>
        </w:rPr>
        <w:t>转换策略</w:t>
      </w:r>
      <w:bookmarkEnd w:id="4856"/>
      <w:bookmarkEnd w:id="4857"/>
      <w:bookmarkEnd w:id="4858"/>
      <w:bookmarkEnd w:id="4859"/>
      <w:bookmarkEnd w:id="4860"/>
      <w:bookmarkEnd w:id="4861"/>
    </w:p>
    <w:p w14:paraId="1A4312FD">
      <w:pPr>
        <w:pStyle w:val="4"/>
      </w:pPr>
      <w:bookmarkStart w:id="4862" w:name="_Toc172218466"/>
      <w:bookmarkStart w:id="4863" w:name="_Toc194080952"/>
      <w:bookmarkStart w:id="4864" w:name="_Toc15484990"/>
      <w:bookmarkStart w:id="4865" w:name="_Toc23152754"/>
      <w:bookmarkStart w:id="4866" w:name="_Toc391733392"/>
      <w:bookmarkStart w:id="4867" w:name="_Toc141873687"/>
      <w:bookmarkStart w:id="4868" w:name="_Toc142401204"/>
      <w:bookmarkStart w:id="4869" w:name="_Toc196728284"/>
      <w:bookmarkStart w:id="4870" w:name="_Toc474249992"/>
      <w:bookmarkStart w:id="4871" w:name="_Toc40276187"/>
      <w:bookmarkStart w:id="4872" w:name="_Toc14951450"/>
      <w:bookmarkStart w:id="4873" w:name="_Toc99561817"/>
      <w:r>
        <w:rPr>
          <w:rFonts w:hint="eastAsia"/>
        </w:rPr>
        <w:t>NAT概述</w:t>
      </w:r>
      <w:bookmarkEnd w:id="4862"/>
      <w:bookmarkEnd w:id="4863"/>
      <w:bookmarkEnd w:id="4864"/>
      <w:bookmarkEnd w:id="4865"/>
      <w:bookmarkEnd w:id="4866"/>
      <w:bookmarkEnd w:id="4867"/>
      <w:bookmarkEnd w:id="4868"/>
      <w:bookmarkEnd w:id="4869"/>
      <w:bookmarkEnd w:id="4870"/>
      <w:bookmarkEnd w:id="4871"/>
      <w:bookmarkEnd w:id="4872"/>
      <w:bookmarkEnd w:id="4873"/>
    </w:p>
    <w:p w14:paraId="1A3C272A">
      <w:r>
        <w:t>NAT</w:t>
      </w:r>
      <w:r>
        <w:rPr>
          <w:rFonts w:hint="eastAsia"/>
        </w:rPr>
        <w:t>的配置分为：源地址转换（</w:t>
      </w:r>
      <w:r>
        <w:t>Source</w:t>
      </w:r>
      <w:r>
        <w:rPr>
          <w:rFonts w:hint="eastAsia"/>
        </w:rPr>
        <w:t>）、目的地址转换（</w:t>
      </w:r>
      <w:r>
        <w:t>Destination</w:t>
      </w:r>
      <w:r>
        <w:rPr>
          <w:rFonts w:hint="eastAsia"/>
        </w:rPr>
        <w:t>）及静态地址转换（</w:t>
      </w:r>
      <w:r>
        <w:t>Static</w:t>
      </w:r>
      <w:r>
        <w:rPr>
          <w:rFonts w:hint="eastAsia"/>
        </w:rPr>
        <w:t>）三种类型。</w:t>
      </w:r>
    </w:p>
    <w:p w14:paraId="10B73307">
      <w:r>
        <w:rPr>
          <w:rFonts w:hint="eastAsia"/>
        </w:rPr>
        <w:t>每条</w:t>
      </w:r>
      <w:r>
        <w:t>NAT</w:t>
      </w:r>
      <w:r>
        <w:rPr>
          <w:rFonts w:hint="eastAsia"/>
        </w:rPr>
        <w:t>规则都是和某个特定的接口关联的，需要注意的是，源地址转换是在离开接口时进行转换的，目的地址转换是在进入接口时进行转换的，所以配置源地址转换的时候必须和对应的出接口关联，而配置目的地址转换的时候需要和对应的入接口关联。</w:t>
      </w:r>
    </w:p>
    <w:p w14:paraId="5F2D52EE">
      <w:r>
        <w:rPr>
          <w:rFonts w:hint="eastAsia"/>
        </w:rPr>
        <w:t>源NAT、目的NAT、静态NAT均支持IPv4和IPv6网络。</w:t>
      </w:r>
    </w:p>
    <w:p w14:paraId="68D367EC">
      <w:pPr>
        <w:pStyle w:val="5"/>
      </w:pPr>
      <w:bookmarkStart w:id="4874" w:name="_Toc40276188"/>
      <w:bookmarkStart w:id="4875" w:name="_Toc141873688"/>
      <w:bookmarkStart w:id="4876" w:name="_Toc474249993"/>
      <w:bookmarkStart w:id="4877" w:name="_Toc194080953"/>
      <w:bookmarkStart w:id="4878" w:name="_Toc23152755"/>
      <w:bookmarkStart w:id="4879" w:name="_Toc142401205"/>
      <w:bookmarkStart w:id="4880" w:name="_Toc99561818"/>
      <w:bookmarkStart w:id="4881" w:name="_Toc196728285"/>
      <w:bookmarkStart w:id="4882" w:name="_Toc14951451"/>
      <w:bookmarkStart w:id="4883" w:name="_Toc391921092"/>
      <w:bookmarkStart w:id="4884" w:name="_Toc15484991"/>
      <w:bookmarkStart w:id="4885" w:name="_Toc172218467"/>
      <w:r>
        <w:rPr>
          <w:rFonts w:hint="eastAsia"/>
        </w:rPr>
        <w:t>地址转换控制</w:t>
      </w:r>
      <w:bookmarkEnd w:id="4874"/>
      <w:bookmarkEnd w:id="4875"/>
      <w:bookmarkEnd w:id="4876"/>
      <w:bookmarkEnd w:id="4877"/>
      <w:bookmarkEnd w:id="4878"/>
      <w:bookmarkEnd w:id="4879"/>
      <w:bookmarkEnd w:id="4880"/>
      <w:bookmarkEnd w:id="4881"/>
      <w:bookmarkEnd w:id="4882"/>
      <w:bookmarkEnd w:id="4883"/>
      <w:bookmarkEnd w:id="4884"/>
      <w:bookmarkEnd w:id="4885"/>
    </w:p>
    <w:p w14:paraId="1146C56B">
      <w:r>
        <w:rPr>
          <w:rFonts w:hint="eastAsia"/>
        </w:rPr>
        <w:t xml:space="preserve">在实际应用中，我们可能希望某些内部网络的主机可以访问外部网络，而某些主机不允许访问，即当NAT设备查看IP数据报文的报头内容时，如果发现源IP地址属于禁止访问外部网络的内部主机，它将不进行地址转换。另外，也希望只有指定的公网地址才可用于地址转换。 </w:t>
      </w:r>
    </w:p>
    <w:p w14:paraId="631056F0">
      <w:r>
        <w:rPr>
          <w:rFonts w:hint="eastAsia"/>
        </w:rPr>
        <w:t xml:space="preserve">设备可以NAT规则的匹配条件和NAT地址池来对地址转换进行控制。 </w:t>
      </w:r>
    </w:p>
    <w:p w14:paraId="04E41074">
      <w:r>
        <w:rPr>
          <w:rFonts w:hint="eastAsia"/>
        </w:rPr>
        <w:t>匹配条件可以有效地控制地址转换的使用范围，只有满足匹配条件的数据报文才可以进行地址转换。</w:t>
      </w:r>
    </w:p>
    <w:p w14:paraId="3C57EEC2">
      <w:r>
        <w:rPr>
          <w:rFonts w:hint="eastAsia"/>
        </w:rPr>
        <w:t>地址池是用于地址转换的一些连续的公网IP地址的集合，它可以有效地控制公网地址的使用。用户可根据自己拥有的合法IP地址数目、内部网络主机数目以及实际应用情况，定义合适的地址池。在地址转换的过程中，NAT设备将会从地址池中挑选一个IP地址做为数据报文转换后的源IP地址。</w:t>
      </w:r>
    </w:p>
    <w:p w14:paraId="146F604C">
      <w:pPr>
        <w:pStyle w:val="5"/>
      </w:pPr>
      <w:bookmarkStart w:id="4886" w:name="_Toc391921093"/>
      <w:bookmarkStart w:id="4887" w:name="_Toc474249994"/>
      <w:bookmarkStart w:id="4888" w:name="_Toc23152756"/>
      <w:bookmarkStart w:id="4889" w:name="_Toc14951452"/>
      <w:bookmarkStart w:id="4890" w:name="_Toc15484992"/>
      <w:bookmarkStart w:id="4891" w:name="_Toc40276189"/>
      <w:bookmarkStart w:id="4892" w:name="_Toc99561819"/>
      <w:bookmarkStart w:id="4893" w:name="_Toc194080954"/>
      <w:bookmarkStart w:id="4894" w:name="_Toc142401206"/>
      <w:bookmarkStart w:id="4895" w:name="_Toc141873689"/>
      <w:bookmarkStart w:id="4896" w:name="_Toc172218468"/>
      <w:bookmarkStart w:id="4897" w:name="_Toc196728286"/>
      <w:r>
        <w:rPr>
          <w:rFonts w:hint="eastAsia"/>
        </w:rPr>
        <w:t>NAT实现</w:t>
      </w:r>
      <w:bookmarkEnd w:id="4886"/>
      <w:bookmarkEnd w:id="4887"/>
      <w:bookmarkEnd w:id="4888"/>
      <w:bookmarkEnd w:id="4889"/>
      <w:bookmarkEnd w:id="4890"/>
      <w:bookmarkEnd w:id="4891"/>
      <w:bookmarkEnd w:id="4892"/>
      <w:bookmarkEnd w:id="4893"/>
      <w:bookmarkEnd w:id="4894"/>
      <w:bookmarkEnd w:id="4895"/>
      <w:bookmarkEnd w:id="4896"/>
      <w:bookmarkEnd w:id="4897"/>
    </w:p>
    <w:p w14:paraId="0FCDF298">
      <w:r>
        <w:rPr>
          <w:rFonts w:hint="eastAsia"/>
        </w:rPr>
        <w:t>通过创建并执行NAT规则来实现NAT功能。NAT规则有三类，分别为源NAT规则、目的NAT规则和静态NAT规则。 源NAT转换源IP地址，从而隐藏内部IP地址或者分享有限的IP地址；目的NAT转换目的IP地址，通常是将受保护的内部服务器的IP地址转换成公网IP地址；</w:t>
      </w:r>
      <w:r>
        <w:t>静态转换是指将内部网络的私有IP地址转换为公有IP地址</w:t>
      </w:r>
      <w:r>
        <w:rPr>
          <w:rFonts w:hint="eastAsia"/>
        </w:rPr>
        <w:t>，</w:t>
      </w:r>
      <w:r>
        <w:t>IP地址对是一对一的，是一成不变的，某个私有IP地址只转换为某个公有IP地址。</w:t>
      </w:r>
    </w:p>
    <w:p w14:paraId="6AE0606C">
      <w:pPr>
        <w:pStyle w:val="5"/>
      </w:pPr>
      <w:bookmarkStart w:id="4898" w:name="_Toc141873690"/>
      <w:bookmarkStart w:id="4899" w:name="_Toc142401207"/>
      <w:bookmarkStart w:id="4900" w:name="_Toc194080955"/>
      <w:bookmarkStart w:id="4901" w:name="_Toc70414556"/>
      <w:bookmarkStart w:id="4902" w:name="_Toc196728287"/>
      <w:bookmarkStart w:id="4903" w:name="_Toc172218469"/>
      <w:bookmarkStart w:id="4904" w:name="_Toc70415493"/>
      <w:bookmarkStart w:id="4905" w:name="_Toc99561820"/>
      <w:bookmarkStart w:id="4906" w:name="_Toc58604097"/>
      <w:r>
        <w:rPr>
          <w:rFonts w:hint="eastAsia"/>
        </w:rPr>
        <w:t>NAT6</w:t>
      </w:r>
      <w:r>
        <w:t>4</w:t>
      </w:r>
      <w:r>
        <w:rPr>
          <w:rFonts w:hint="eastAsia"/>
        </w:rPr>
        <w:t>/46</w:t>
      </w:r>
      <w:bookmarkEnd w:id="4898"/>
      <w:bookmarkEnd w:id="4899"/>
      <w:bookmarkEnd w:id="4900"/>
      <w:bookmarkEnd w:id="4901"/>
      <w:bookmarkEnd w:id="4902"/>
      <w:bookmarkEnd w:id="4903"/>
      <w:bookmarkEnd w:id="4904"/>
      <w:bookmarkEnd w:id="4905"/>
      <w:bookmarkEnd w:id="4906"/>
    </w:p>
    <w:p w14:paraId="3CDFF9B5">
      <w:r>
        <w:rPr>
          <w:rFonts w:hint="eastAsia"/>
        </w:rPr>
        <w:t>NAT64是通过在两个地址族之间执行IP头和地址转换，促进IPv6-only和IPv4-only主机和网络之间的通信。内容提供商通过部署NAT64/46技术可透明地向IPv6互联网用户提供现有的或者新的服务，现有网络基础设施几乎不需要做太大的改动，从而保持业务连续性。</w:t>
      </w:r>
    </w:p>
    <w:p w14:paraId="777B72F0">
      <w:r>
        <w:rPr>
          <w:rFonts w:hint="eastAsia"/>
        </w:rPr>
        <w:t>通过NAT转换，实现从IPv6到IPv4网络的互联互通。使用场景如下：</w:t>
      </w:r>
    </w:p>
    <w:p w14:paraId="55F54764">
      <w:pPr>
        <w:pStyle w:val="162"/>
      </w:pPr>
      <w:r>
        <w:rPr>
          <w:rFonts w:hint="eastAsia"/>
        </w:rPr>
        <w:t>NAT64转换</w:t>
      </w:r>
    </w:p>
    <w:p w14:paraId="3DC097E0">
      <w:r>
        <w:rPr>
          <w:rFonts w:hint="eastAsia"/>
        </w:rPr>
        <w:t>NAT64转换，完成IPv6网络主机对IPv4网络主机访问的地址转换。</w:t>
      </w:r>
    </w:p>
    <w:p w14:paraId="208F5055">
      <w:r>
        <w:rPr>
          <w:rFonts w:hint="eastAsia"/>
        </w:rPr>
        <w:t>网络访问由IPv6主机或网络发起。</w:t>
      </w:r>
    </w:p>
    <w:p w14:paraId="35098C32">
      <w:pPr>
        <w:pStyle w:val="162"/>
      </w:pPr>
      <w:r>
        <w:rPr>
          <w:rFonts w:hint="eastAsia"/>
        </w:rPr>
        <w:t>NAT46转换</w:t>
      </w:r>
    </w:p>
    <w:p w14:paraId="4A54204C">
      <w:r>
        <w:rPr>
          <w:rFonts w:hint="eastAsia"/>
        </w:rPr>
        <w:t>NAT46转换，完成IPv4网络主机对IPv6网络主机访问的地址转换。</w:t>
      </w:r>
    </w:p>
    <w:p w14:paraId="1867DE0D">
      <w:r>
        <w:rPr>
          <w:rFonts w:hint="eastAsia"/>
        </w:rPr>
        <w:t>网络访问由IPv4主机或网络发起。</w:t>
      </w:r>
    </w:p>
    <w:p w14:paraId="63BE556A">
      <w:pPr>
        <w:pStyle w:val="4"/>
      </w:pPr>
      <w:bookmarkStart w:id="4907" w:name="_Toc142401208"/>
      <w:bookmarkStart w:id="4908" w:name="_Toc141873691"/>
      <w:bookmarkStart w:id="4909" w:name="_Toc172218470"/>
      <w:bookmarkStart w:id="4910" w:name="_Toc194080956"/>
      <w:bookmarkStart w:id="4911" w:name="_Toc196728288"/>
      <w:bookmarkStart w:id="4912" w:name="_Toc474249996"/>
      <w:bookmarkStart w:id="4913" w:name="_Toc23152758"/>
      <w:bookmarkStart w:id="4914" w:name="_Toc14951454"/>
      <w:bookmarkStart w:id="4915" w:name="_Toc40276191"/>
      <w:bookmarkStart w:id="4916" w:name="_Toc99561822"/>
      <w:bookmarkStart w:id="4917" w:name="_Toc15484994"/>
      <w:bookmarkStart w:id="4918" w:name="_Toc23152757"/>
      <w:bookmarkStart w:id="4919" w:name="_Toc14951453"/>
      <w:bookmarkStart w:id="4920" w:name="_Toc474249995"/>
      <w:bookmarkStart w:id="4921" w:name="_Toc99561821"/>
      <w:bookmarkStart w:id="4922" w:name="_Toc15484993"/>
      <w:bookmarkStart w:id="4923" w:name="_Toc40276190"/>
      <w:r>
        <w:t>源NAT</w:t>
      </w:r>
      <w:bookmarkEnd w:id="4907"/>
      <w:bookmarkEnd w:id="4908"/>
      <w:bookmarkEnd w:id="4909"/>
      <w:bookmarkEnd w:id="4910"/>
      <w:bookmarkEnd w:id="4911"/>
    </w:p>
    <w:p w14:paraId="17DFA24B">
      <w:pPr>
        <w:pStyle w:val="5"/>
      </w:pPr>
      <w:bookmarkStart w:id="4924" w:name="_Toc196728289"/>
      <w:bookmarkStart w:id="4925" w:name="_Toc142401209"/>
      <w:bookmarkStart w:id="4926" w:name="_Toc141873692"/>
      <w:bookmarkStart w:id="4927" w:name="_Toc172218471"/>
      <w:bookmarkStart w:id="4928" w:name="_Toc194080957"/>
      <w:r>
        <w:rPr>
          <w:rFonts w:hint="eastAsia"/>
        </w:rPr>
        <w:t>配置源NAT</w:t>
      </w:r>
      <w:bookmarkEnd w:id="4912"/>
      <w:bookmarkEnd w:id="4913"/>
      <w:bookmarkEnd w:id="4914"/>
      <w:bookmarkEnd w:id="4915"/>
      <w:bookmarkEnd w:id="4916"/>
      <w:bookmarkEnd w:id="4917"/>
      <w:bookmarkEnd w:id="4924"/>
      <w:bookmarkEnd w:id="4925"/>
      <w:bookmarkEnd w:id="4926"/>
      <w:bookmarkEnd w:id="4927"/>
      <w:bookmarkEnd w:id="4928"/>
    </w:p>
    <w:p w14:paraId="7961E877">
      <w:r>
        <w:rPr>
          <w:rFonts w:hint="eastAsia"/>
        </w:rPr>
        <w:t xml:space="preserve">在导航栏中选择“策略配置 &gt; NAT转换策略 </w:t>
      </w:r>
      <w:r>
        <w:t xml:space="preserve">&gt; </w:t>
      </w:r>
      <w:r>
        <w:rPr>
          <w:rFonts w:hint="eastAsia"/>
        </w:rPr>
        <w:t>源NAT”，单击&lt;新建&gt;按钮，进入源NAT配置页面，如</w:t>
      </w:r>
      <w:r>
        <w:rPr>
          <w:color w:val="0000FF"/>
          <w:u w:val="single"/>
        </w:rPr>
        <w:fldChar w:fldCharType="begin"/>
      </w:r>
      <w:r>
        <w:rPr>
          <w:color w:val="0000FF"/>
          <w:u w:val="single"/>
        </w:rPr>
        <w:instrText xml:space="preserve"> </w:instrText>
      </w:r>
      <w:r>
        <w:rPr>
          <w:rFonts w:hint="eastAsia"/>
          <w:color w:val="0000FF"/>
          <w:u w:val="single"/>
        </w:rPr>
        <w:instrText xml:space="preserve">REF _Ref392952224 \r \h</w:instrText>
      </w:r>
      <w:r>
        <w:rPr>
          <w:color w:val="0000FF"/>
          <w:u w:val="single"/>
        </w:rPr>
        <w:instrText xml:space="preserve"> </w:instrText>
      </w:r>
      <w:r>
        <w:rPr>
          <w:color w:val="0000FF"/>
          <w:u w:val="single"/>
        </w:rPr>
        <w:fldChar w:fldCharType="separate"/>
      </w:r>
      <w:r>
        <w:rPr>
          <w:rFonts w:hint="eastAsia"/>
          <w:color w:val="0000FF"/>
          <w:u w:val="single"/>
        </w:rPr>
        <w:t>图16-1</w:t>
      </w:r>
      <w:r>
        <w:rPr>
          <w:color w:val="0000FF"/>
          <w:u w:val="single"/>
        </w:rPr>
        <w:fldChar w:fldCharType="end"/>
      </w:r>
      <w:r>
        <w:rPr>
          <w:rFonts w:hint="eastAsia"/>
        </w:rPr>
        <w:t>所示。源NAT详细配置说明，如</w:t>
      </w:r>
      <w:r>
        <w:fldChar w:fldCharType="begin"/>
      </w:r>
      <w:r>
        <w:rPr>
          <w:color w:val="0000FF"/>
          <w:u w:val="single"/>
        </w:rPr>
        <w:instrText xml:space="preserve"> </w:instrText>
      </w:r>
      <w:r>
        <w:rPr>
          <w:rFonts w:hint="eastAsia"/>
          <w:color w:val="0000FF"/>
          <w:u w:val="single"/>
        </w:rPr>
        <w:instrText xml:space="preserve">REF _Ref392952233 \r \h</w:instrText>
      </w:r>
      <w:r>
        <w:rPr>
          <w:color w:val="0000FF"/>
          <w:u w:val="single"/>
        </w:rPr>
        <w:instrText xml:space="preserve"> </w:instrText>
      </w:r>
      <w:r>
        <w:fldChar w:fldCharType="separate"/>
      </w:r>
      <w:r>
        <w:rPr>
          <w:rFonts w:hint="eastAsia"/>
          <w:color w:val="0000FF"/>
          <w:u w:val="single"/>
        </w:rPr>
        <w:t>表16-1</w:t>
      </w:r>
      <w:r>
        <w:fldChar w:fldCharType="end"/>
      </w:r>
      <w:r>
        <w:rPr>
          <w:rFonts w:hint="eastAsia"/>
        </w:rPr>
        <w:t>所示。</w:t>
      </w:r>
    </w:p>
    <w:p w14:paraId="3C201989">
      <w:pPr>
        <w:pStyle w:val="188"/>
      </w:pPr>
      <w:bookmarkStart w:id="4929" w:name="_Ref392952224"/>
      <w:bookmarkStart w:id="4930" w:name="_Toc141875099"/>
      <w:r>
        <w:rPr>
          <w:rFonts w:hint="eastAsia"/>
        </w:rPr>
        <w:t>源NAT配置</w:t>
      </w:r>
      <w:bookmarkEnd w:id="4929"/>
      <w:bookmarkEnd w:id="4930"/>
    </w:p>
    <w:p w14:paraId="368083CC">
      <w:pPr>
        <w:spacing w:before="78" w:after="78"/>
      </w:pPr>
      <w:r>
        <w:t xml:space="preserve"> </w:t>
      </w:r>
      <w:r>
        <w:drawing>
          <wp:inline distT="0" distB="0" distL="0" distR="0">
            <wp:extent cx="4048125" cy="3938270"/>
            <wp:effectExtent l="0" t="0" r="0" b="5080"/>
            <wp:docPr id="773"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图片 75"/>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a:xfrm>
                      <a:off x="0" y="0"/>
                      <a:ext cx="4049591" cy="3939914"/>
                    </a:xfrm>
                    <a:prstGeom prst="rect">
                      <a:avLst/>
                    </a:prstGeom>
                    <a:noFill/>
                    <a:ln>
                      <a:noFill/>
                    </a:ln>
                  </pic:spPr>
                </pic:pic>
              </a:graphicData>
            </a:graphic>
          </wp:inline>
        </w:drawing>
      </w:r>
    </w:p>
    <w:p w14:paraId="7B4CF994"/>
    <w:p w14:paraId="530FA61D">
      <w:pPr>
        <w:pStyle w:val="183"/>
      </w:pPr>
      <w:bookmarkStart w:id="4931" w:name="_Toc141875686"/>
      <w:bookmarkStart w:id="4932" w:name="_Ref392952233"/>
      <w:r>
        <w:rPr>
          <w:rFonts w:hint="eastAsia"/>
        </w:rPr>
        <w:t>源NAT详细配置</w:t>
      </w:r>
      <w:bookmarkEnd w:id="4931"/>
      <w:bookmarkEnd w:id="4932"/>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770"/>
        <w:gridCol w:w="7198"/>
      </w:tblGrid>
      <w:tr w14:paraId="1800BC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70" w:type="dxa"/>
            <w:tcBorders>
              <w:tl2br w:val="nil"/>
              <w:tr2bl w:val="nil"/>
            </w:tcBorders>
            <w:shd w:val="clear" w:color="auto" w:fill="538135" w:themeFill="accent6" w:themeFillShade="BF"/>
            <w:vAlign w:val="center"/>
          </w:tcPr>
          <w:p w14:paraId="1A649069">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198" w:type="dxa"/>
            <w:tcBorders>
              <w:tl2br w:val="nil"/>
              <w:tr2bl w:val="nil"/>
            </w:tcBorders>
            <w:shd w:val="clear" w:color="auto" w:fill="538135" w:themeFill="accent6" w:themeFillShade="BF"/>
            <w:vAlign w:val="center"/>
          </w:tcPr>
          <w:p w14:paraId="1F04D8E0">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1693B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70" w:type="dxa"/>
            <w:shd w:val="clear" w:color="auto" w:fill="auto"/>
          </w:tcPr>
          <w:p w14:paraId="6F59C8DD">
            <w:pPr>
              <w:pStyle w:val="150"/>
            </w:pPr>
            <w:r>
              <w:rPr>
                <w:rFonts w:hint="eastAsia"/>
              </w:rPr>
              <w:t>启用</w:t>
            </w:r>
          </w:p>
        </w:tc>
        <w:tc>
          <w:tcPr>
            <w:tcW w:w="7198" w:type="dxa"/>
            <w:shd w:val="clear" w:color="auto" w:fill="auto"/>
          </w:tcPr>
          <w:p w14:paraId="627BC609">
            <w:pPr>
              <w:pStyle w:val="150"/>
            </w:pPr>
            <w:r>
              <w:rPr>
                <w:rFonts w:hint="eastAsia"/>
              </w:rPr>
              <w:t>勾选后启用NAT策略，默认是勾选状态</w:t>
            </w:r>
          </w:p>
        </w:tc>
      </w:tr>
      <w:tr w14:paraId="75E4E9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70" w:type="dxa"/>
            <w:shd w:val="clear" w:color="auto" w:fill="auto"/>
          </w:tcPr>
          <w:p w14:paraId="7D2D128B">
            <w:pPr>
              <w:pStyle w:val="150"/>
            </w:pPr>
            <w:r>
              <w:rPr>
                <w:rFonts w:hint="eastAsia"/>
              </w:rPr>
              <w:t>地址类型</w:t>
            </w:r>
          </w:p>
        </w:tc>
        <w:tc>
          <w:tcPr>
            <w:tcW w:w="7198" w:type="dxa"/>
            <w:shd w:val="clear" w:color="auto" w:fill="auto"/>
          </w:tcPr>
          <w:p w14:paraId="452D4CB7">
            <w:pPr>
              <w:pStyle w:val="150"/>
            </w:pPr>
            <w:r>
              <w:rPr>
                <w:rFonts w:hint="eastAsia"/>
              </w:rPr>
              <w:t>选择地址类型为IPv4或者IPv6</w:t>
            </w:r>
          </w:p>
        </w:tc>
      </w:tr>
      <w:tr w14:paraId="1FE0CB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70" w:type="dxa"/>
            <w:shd w:val="clear" w:color="auto" w:fill="auto"/>
          </w:tcPr>
          <w:p w14:paraId="69EAA887">
            <w:pPr>
              <w:pStyle w:val="150"/>
            </w:pPr>
            <w:r>
              <w:rPr>
                <w:rFonts w:hint="eastAsia"/>
              </w:rPr>
              <w:t>描述</w:t>
            </w:r>
          </w:p>
        </w:tc>
        <w:tc>
          <w:tcPr>
            <w:tcW w:w="7198" w:type="dxa"/>
            <w:shd w:val="clear" w:color="auto" w:fill="auto"/>
          </w:tcPr>
          <w:p w14:paraId="6A502678">
            <w:pPr>
              <w:pStyle w:val="150"/>
            </w:pPr>
            <w:r>
              <w:rPr>
                <w:rFonts w:hint="eastAsia"/>
              </w:rPr>
              <w:t>NAT规则匹配的描述</w:t>
            </w:r>
          </w:p>
        </w:tc>
      </w:tr>
      <w:tr w14:paraId="3506807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70" w:type="dxa"/>
            <w:shd w:val="clear" w:color="auto" w:fill="auto"/>
          </w:tcPr>
          <w:p w14:paraId="0DE10654">
            <w:pPr>
              <w:pStyle w:val="150"/>
            </w:pPr>
            <w:r>
              <w:rPr>
                <w:rFonts w:hint="eastAsia"/>
              </w:rPr>
              <w:t>源地址</w:t>
            </w:r>
          </w:p>
        </w:tc>
        <w:tc>
          <w:tcPr>
            <w:tcW w:w="7198" w:type="dxa"/>
            <w:shd w:val="clear" w:color="auto" w:fill="auto"/>
          </w:tcPr>
          <w:p w14:paraId="0CBC75F9">
            <w:pPr>
              <w:pStyle w:val="150"/>
            </w:pPr>
            <w:r>
              <w:t>NAT</w:t>
            </w:r>
            <w:r>
              <w:rPr>
                <w:rFonts w:hint="eastAsia"/>
              </w:rPr>
              <w:t>规则匹配的源地址，可以是地址节点或地址组</w:t>
            </w:r>
          </w:p>
        </w:tc>
      </w:tr>
      <w:tr w14:paraId="7642C0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70" w:type="dxa"/>
            <w:shd w:val="clear" w:color="auto" w:fill="auto"/>
          </w:tcPr>
          <w:p w14:paraId="557A1E41">
            <w:pPr>
              <w:pStyle w:val="150"/>
            </w:pPr>
            <w:r>
              <w:rPr>
                <w:rFonts w:hint="eastAsia"/>
              </w:rPr>
              <w:t>目的地址</w:t>
            </w:r>
          </w:p>
        </w:tc>
        <w:tc>
          <w:tcPr>
            <w:tcW w:w="7198" w:type="dxa"/>
            <w:shd w:val="clear" w:color="auto" w:fill="auto"/>
          </w:tcPr>
          <w:p w14:paraId="48E78E16">
            <w:pPr>
              <w:pStyle w:val="150"/>
            </w:pPr>
            <w:r>
              <w:t>NAT</w:t>
            </w:r>
            <w:r>
              <w:rPr>
                <w:rFonts w:hint="eastAsia"/>
              </w:rPr>
              <w:t>规则匹配的目的地址，可以是地址节点或地址组</w:t>
            </w:r>
          </w:p>
        </w:tc>
      </w:tr>
      <w:tr w14:paraId="50C90A4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70" w:type="dxa"/>
            <w:shd w:val="clear" w:color="auto" w:fill="auto"/>
          </w:tcPr>
          <w:p w14:paraId="79D084AD">
            <w:pPr>
              <w:pStyle w:val="150"/>
            </w:pPr>
            <w:r>
              <w:rPr>
                <w:rFonts w:hint="eastAsia"/>
              </w:rPr>
              <w:t>服务</w:t>
            </w:r>
          </w:p>
        </w:tc>
        <w:tc>
          <w:tcPr>
            <w:tcW w:w="7198" w:type="dxa"/>
            <w:shd w:val="clear" w:color="auto" w:fill="auto"/>
          </w:tcPr>
          <w:p w14:paraId="4F7EDBF4">
            <w:pPr>
              <w:pStyle w:val="150"/>
            </w:pPr>
            <w:r>
              <w:t>NAT</w:t>
            </w:r>
            <w:r>
              <w:rPr>
                <w:rFonts w:hint="eastAsia"/>
              </w:rPr>
              <w:t>规则匹配的服务名，可以是服务资源或服务组</w:t>
            </w:r>
          </w:p>
        </w:tc>
      </w:tr>
      <w:tr w14:paraId="342960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70" w:type="dxa"/>
            <w:shd w:val="clear" w:color="auto" w:fill="auto"/>
          </w:tcPr>
          <w:p w14:paraId="4B9B9863">
            <w:pPr>
              <w:pStyle w:val="150"/>
            </w:pPr>
            <w:r>
              <w:rPr>
                <w:rFonts w:hint="eastAsia"/>
              </w:rPr>
              <w:t>接口</w:t>
            </w:r>
          </w:p>
        </w:tc>
        <w:tc>
          <w:tcPr>
            <w:tcW w:w="7198" w:type="dxa"/>
            <w:shd w:val="clear" w:color="auto" w:fill="auto"/>
          </w:tcPr>
          <w:p w14:paraId="2B31E4F5">
            <w:pPr>
              <w:pStyle w:val="150"/>
            </w:pPr>
            <w:r>
              <w:t>NAT</w:t>
            </w:r>
            <w:r>
              <w:rPr>
                <w:rFonts w:hint="eastAsia"/>
              </w:rPr>
              <w:t>规则匹配的出接口名</w:t>
            </w:r>
          </w:p>
        </w:tc>
      </w:tr>
      <w:tr w14:paraId="1DA0E8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70" w:type="dxa"/>
            <w:shd w:val="clear" w:color="auto" w:fill="auto"/>
          </w:tcPr>
          <w:p w14:paraId="3264EBC6">
            <w:pPr>
              <w:pStyle w:val="150"/>
            </w:pPr>
            <w:r>
              <w:rPr>
                <w:rFonts w:hint="eastAsia"/>
              </w:rPr>
              <w:t>转换类型</w:t>
            </w:r>
          </w:p>
        </w:tc>
        <w:tc>
          <w:tcPr>
            <w:tcW w:w="7198" w:type="dxa"/>
            <w:shd w:val="clear" w:color="auto" w:fill="auto"/>
          </w:tcPr>
          <w:p w14:paraId="64B5CAEB">
            <w:pPr>
              <w:pStyle w:val="150"/>
            </w:pPr>
            <w:r>
              <w:rPr>
                <w:rFonts w:hint="eastAsia"/>
              </w:rPr>
              <w:t>需要转换成的地址，可以选择转换成出接口地址、地址池中的地址或不转换</w:t>
            </w:r>
          </w:p>
          <w:p w14:paraId="2D3677DB">
            <w:pPr>
              <w:pStyle w:val="150"/>
            </w:pPr>
            <w:r>
              <w:rPr>
                <w:rFonts w:hint="eastAsia"/>
              </w:rPr>
              <w:t>不转换：为</w:t>
            </w:r>
            <w:r>
              <w:t>NAT</w:t>
            </w:r>
            <w:r>
              <w:rPr>
                <w:rFonts w:hint="eastAsia"/>
              </w:rPr>
              <w:t>白名单，指定的地址不做地址转换</w:t>
            </w:r>
          </w:p>
        </w:tc>
      </w:tr>
      <w:tr w14:paraId="1ED740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70" w:type="dxa"/>
            <w:shd w:val="clear" w:color="auto" w:fill="auto"/>
          </w:tcPr>
          <w:p w14:paraId="40FB857E">
            <w:pPr>
              <w:pStyle w:val="150"/>
            </w:pPr>
            <w:r>
              <w:rPr>
                <w:rFonts w:hint="eastAsia"/>
              </w:rPr>
              <w:t>日志</w:t>
            </w:r>
          </w:p>
        </w:tc>
        <w:tc>
          <w:tcPr>
            <w:tcW w:w="7198" w:type="dxa"/>
            <w:shd w:val="clear" w:color="auto" w:fill="auto"/>
          </w:tcPr>
          <w:p w14:paraId="0C3D183B">
            <w:pPr>
              <w:pStyle w:val="150"/>
            </w:pPr>
            <w:r>
              <w:rPr>
                <w:rFonts w:hint="eastAsia"/>
              </w:rPr>
              <w:t>是否需要对该规则启用日志，NAT日志只能外发到日志服务器上，无法本地存储及查看。</w:t>
            </w:r>
          </w:p>
        </w:tc>
      </w:tr>
    </w:tbl>
    <w:p w14:paraId="42D87A32"/>
    <w:p w14:paraId="05D4B219">
      <w:pPr>
        <w:pStyle w:val="5"/>
      </w:pPr>
      <w:bookmarkStart w:id="4933" w:name="_Toc141873693"/>
      <w:bookmarkStart w:id="4934" w:name="_Toc196728290"/>
      <w:bookmarkStart w:id="4935" w:name="_Toc194080958"/>
      <w:bookmarkStart w:id="4936" w:name="_Toc142401210"/>
      <w:bookmarkStart w:id="4937" w:name="_Toc172218472"/>
      <w:bookmarkStart w:id="4938" w:name="_Toc474249997"/>
      <w:bookmarkStart w:id="4939" w:name="_Toc99561823"/>
      <w:bookmarkStart w:id="4940" w:name="_Toc15484995"/>
      <w:bookmarkStart w:id="4941" w:name="_Toc23152759"/>
      <w:bookmarkStart w:id="4942" w:name="_Toc40276192"/>
      <w:bookmarkStart w:id="4943" w:name="_Toc14951455"/>
      <w:r>
        <w:rPr>
          <w:rFonts w:hint="eastAsia"/>
        </w:rPr>
        <w:t>源NAT配置案例</w:t>
      </w:r>
      <w:bookmarkEnd w:id="4933"/>
      <w:bookmarkEnd w:id="4934"/>
      <w:bookmarkEnd w:id="4935"/>
      <w:bookmarkEnd w:id="4936"/>
      <w:bookmarkEnd w:id="4937"/>
    </w:p>
    <w:p w14:paraId="4BC12C11">
      <w:pPr>
        <w:pStyle w:val="6"/>
      </w:pPr>
      <w:r>
        <w:rPr>
          <w:rFonts w:hint="eastAsia"/>
        </w:rPr>
        <w:t>组网需求</w:t>
      </w:r>
    </w:p>
    <w:p w14:paraId="4CC470DA">
      <w:r>
        <w:rPr>
          <w:rFonts w:hint="eastAsia"/>
        </w:rPr>
        <w:t>公司拥有</w:t>
      </w:r>
      <w:r>
        <w:t>202.118.3.1</w:t>
      </w:r>
      <w:r>
        <w:rPr>
          <w:rFonts w:hint="eastAsia"/>
        </w:rPr>
        <w:t>/24至</w:t>
      </w:r>
      <w:r>
        <w:t>202.118.3.</w:t>
      </w:r>
      <w:r>
        <w:rPr>
          <w:rFonts w:hint="eastAsia"/>
        </w:rPr>
        <w:t>3/24三个外网地址，内网地址为1</w:t>
      </w:r>
      <w:r>
        <w:t>92.168.1.0/24</w:t>
      </w:r>
      <w:r>
        <w:rPr>
          <w:rFonts w:hint="eastAsia"/>
        </w:rPr>
        <w:t>网段，需要实现内网地址可以使用</w:t>
      </w:r>
      <w:r>
        <w:t>202.118.3.1</w:t>
      </w:r>
      <w:r>
        <w:rPr>
          <w:rFonts w:hint="eastAsia"/>
        </w:rPr>
        <w:t>和</w:t>
      </w:r>
      <w:r>
        <w:t>202.118.3.</w:t>
      </w:r>
      <w:r>
        <w:rPr>
          <w:rFonts w:hint="eastAsia"/>
        </w:rPr>
        <w:t>2两个地址访问外网。</w:t>
      </w:r>
    </w:p>
    <w:p w14:paraId="272A2B85">
      <w:pPr>
        <w:pStyle w:val="188"/>
      </w:pPr>
      <w:bookmarkStart w:id="4944" w:name="_Toc141875100"/>
      <w:r>
        <w:rPr>
          <w:rFonts w:hint="eastAsia"/>
        </w:rPr>
        <w:t>源NAT配置组网图</w:t>
      </w:r>
      <w:bookmarkEnd w:id="4944"/>
    </w:p>
    <w:p w14:paraId="17D45C5E">
      <w:r>
        <w:drawing>
          <wp:inline distT="0" distB="0" distL="0" distR="0">
            <wp:extent cx="4028440" cy="1961515"/>
            <wp:effectExtent l="0" t="0" r="0" b="635"/>
            <wp:docPr id="774" name="图片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图片 774"/>
                    <pic:cNvPicPr>
                      <a:picLocks noChangeAspect="1"/>
                    </pic:cNvPicPr>
                  </pic:nvPicPr>
                  <pic:blipFill>
                    <a:blip r:embed="rId658"/>
                    <a:stretch>
                      <a:fillRect/>
                    </a:stretch>
                  </pic:blipFill>
                  <pic:spPr>
                    <a:xfrm>
                      <a:off x="0" y="0"/>
                      <a:ext cx="4028571" cy="1961905"/>
                    </a:xfrm>
                    <a:prstGeom prst="rect">
                      <a:avLst/>
                    </a:prstGeom>
                  </pic:spPr>
                </pic:pic>
              </a:graphicData>
            </a:graphic>
          </wp:inline>
        </w:drawing>
      </w:r>
    </w:p>
    <w:p w14:paraId="48E84DD3"/>
    <w:p w14:paraId="12FE8307">
      <w:pPr>
        <w:pStyle w:val="6"/>
      </w:pPr>
      <w:r>
        <w:rPr>
          <w:rFonts w:hint="eastAsia"/>
        </w:rPr>
        <w:t>配置步骤</w:t>
      </w:r>
    </w:p>
    <w:p w14:paraId="48F5622F">
      <w:pPr>
        <w:pStyle w:val="202"/>
      </w:pPr>
      <w:r>
        <w:rPr>
          <w:rFonts w:hint="eastAsia"/>
        </w:rPr>
        <w:t>按照组网图组网。</w:t>
      </w:r>
    </w:p>
    <w:p w14:paraId="08C47939">
      <w:r>
        <w:rPr>
          <w:rFonts w:hint="eastAsia"/>
        </w:rPr>
        <w:t xml:space="preserve">在导航栏中选择“策略配置 &gt; 对象管理 &gt; 地址对象 </w:t>
      </w:r>
      <w:r>
        <w:t xml:space="preserve">&gt; </w:t>
      </w:r>
      <w:r>
        <w:rPr>
          <w:rFonts w:hint="eastAsia"/>
        </w:rPr>
        <w:t>IPv4地址对象”，单击&lt;新建&gt;按钮，进入地址对象配置页面，</w:t>
      </w:r>
      <w:r>
        <w:rPr>
          <w:rStyle w:val="375"/>
          <w:rFonts w:hint="eastAsia"/>
        </w:rPr>
        <w:t>如</w:t>
      </w:r>
      <w:r>
        <w:rPr>
          <w:rStyle w:val="375"/>
        </w:rPr>
        <w:t>下图</w:t>
      </w:r>
      <w:r>
        <w:rPr>
          <w:rFonts w:hint="eastAsia"/>
        </w:rPr>
        <w:t>所示。</w:t>
      </w:r>
    </w:p>
    <w:p w14:paraId="746B3281">
      <w:pPr>
        <w:pStyle w:val="188"/>
      </w:pPr>
      <w:bookmarkStart w:id="4945" w:name="_Toc141875101"/>
      <w:r>
        <w:rPr>
          <w:rFonts w:hint="eastAsia"/>
        </w:rPr>
        <w:t>地址对象配置</w:t>
      </w:r>
      <w:bookmarkEnd w:id="4945"/>
    </w:p>
    <w:p w14:paraId="4F7D84E9">
      <w:pPr>
        <w:spacing w:before="78" w:after="78"/>
      </w:pPr>
      <w:r>
        <w:drawing>
          <wp:inline distT="0" distB="0" distL="0" distR="0">
            <wp:extent cx="4836795" cy="3390265"/>
            <wp:effectExtent l="0" t="0" r="1905" b="635"/>
            <wp:docPr id="786" name="图片 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图片 2292"/>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a:xfrm>
                      <a:off x="0" y="0"/>
                      <a:ext cx="4846389" cy="3397002"/>
                    </a:xfrm>
                    <a:prstGeom prst="rect">
                      <a:avLst/>
                    </a:prstGeom>
                    <a:noFill/>
                    <a:ln>
                      <a:noFill/>
                    </a:ln>
                  </pic:spPr>
                </pic:pic>
              </a:graphicData>
            </a:graphic>
          </wp:inline>
        </w:drawing>
      </w:r>
    </w:p>
    <w:p w14:paraId="1D60B6D6"/>
    <w:p w14:paraId="22530191">
      <w:pPr>
        <w:pStyle w:val="202"/>
        <w:rPr>
          <w:lang w:eastAsia="zh-CN"/>
        </w:rPr>
      </w:pPr>
      <w:r>
        <w:rPr>
          <w:rFonts w:hint="eastAsia"/>
          <w:lang w:eastAsia="zh-CN"/>
        </w:rPr>
        <w:t>点击</w:t>
      </w:r>
      <w:r>
        <w:rPr>
          <w:lang w:eastAsia="zh-CN"/>
        </w:rPr>
        <w:t>&lt;</w:t>
      </w:r>
      <w:r>
        <w:rPr>
          <w:rFonts w:hint="eastAsia"/>
          <w:lang w:eastAsia="zh-CN"/>
        </w:rPr>
        <w:t>提交</w:t>
      </w:r>
      <w:r>
        <w:rPr>
          <w:lang w:eastAsia="zh-CN"/>
        </w:rPr>
        <w:t>&gt;</w:t>
      </w:r>
      <w:r>
        <w:rPr>
          <w:rFonts w:hint="eastAsia"/>
          <w:lang w:eastAsia="zh-CN"/>
        </w:rPr>
        <w:t>按钮，提交配置。</w:t>
      </w:r>
    </w:p>
    <w:p w14:paraId="656FD8A3">
      <w:r>
        <w:rPr>
          <w:rFonts w:hint="eastAsia"/>
        </w:rPr>
        <w:t>在导航栏中选择“策略配置 &gt; NAT转换策略</w:t>
      </w:r>
      <w:r>
        <w:t xml:space="preserve">&gt; </w:t>
      </w:r>
      <w:r>
        <w:rPr>
          <w:rFonts w:hint="eastAsia"/>
        </w:rPr>
        <w:t>地址池”，单击&lt;新建&gt;按钮，进入创建地址池配置页面配置地址池对象，如</w:t>
      </w:r>
      <w:r>
        <w:rPr>
          <w:rStyle w:val="375"/>
        </w:rPr>
        <w:t>下图</w:t>
      </w:r>
      <w:r>
        <w:rPr>
          <w:rStyle w:val="375"/>
          <w:rFonts w:hint="eastAsia"/>
        </w:rPr>
        <w:t>所示</w:t>
      </w:r>
      <w:r>
        <w:rPr>
          <w:rFonts w:hint="eastAsia"/>
        </w:rPr>
        <w:t>。</w:t>
      </w:r>
    </w:p>
    <w:p w14:paraId="0ED6D191">
      <w:pPr>
        <w:pStyle w:val="188"/>
      </w:pPr>
      <w:bookmarkStart w:id="4946" w:name="_Toc141875102"/>
      <w:r>
        <w:rPr>
          <w:rFonts w:hint="eastAsia"/>
        </w:rPr>
        <w:t>地址池对象配置</w:t>
      </w:r>
      <w:bookmarkEnd w:id="4946"/>
    </w:p>
    <w:p w14:paraId="62324DD0">
      <w:pPr>
        <w:spacing w:before="78" w:after="78"/>
      </w:pPr>
      <w:r>
        <w:drawing>
          <wp:inline distT="0" distB="0" distL="0" distR="0">
            <wp:extent cx="4493895" cy="3131185"/>
            <wp:effectExtent l="0" t="0" r="1905" b="0"/>
            <wp:docPr id="787" name="图片 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图片 2293"/>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a:xfrm>
                      <a:off x="0" y="0"/>
                      <a:ext cx="4498840" cy="3134438"/>
                    </a:xfrm>
                    <a:prstGeom prst="rect">
                      <a:avLst/>
                    </a:prstGeom>
                    <a:noFill/>
                    <a:ln>
                      <a:noFill/>
                    </a:ln>
                  </pic:spPr>
                </pic:pic>
              </a:graphicData>
            </a:graphic>
          </wp:inline>
        </w:drawing>
      </w:r>
    </w:p>
    <w:p w14:paraId="3EE00FDC"/>
    <w:p w14:paraId="34CD48F5">
      <w:r>
        <w:rPr>
          <w:rFonts w:hint="eastAsia"/>
        </w:rPr>
        <w:t>点击</w:t>
      </w:r>
      <w:r>
        <w:t>&lt;</w:t>
      </w:r>
      <w:r>
        <w:rPr>
          <w:rFonts w:hint="eastAsia"/>
        </w:rPr>
        <w:t>提交</w:t>
      </w:r>
      <w:r>
        <w:t>&gt;</w:t>
      </w:r>
      <w:r>
        <w:rPr>
          <w:rFonts w:hint="eastAsia"/>
        </w:rPr>
        <w:t>按钮，提交配置。</w:t>
      </w:r>
    </w:p>
    <w:p w14:paraId="4274B745">
      <w:pPr>
        <w:pStyle w:val="202"/>
        <w:rPr>
          <w:lang w:eastAsia="zh-CN"/>
        </w:rPr>
      </w:pPr>
      <w:r>
        <w:rPr>
          <w:rFonts w:hint="eastAsia"/>
          <w:lang w:eastAsia="zh-CN"/>
        </w:rPr>
        <w:t xml:space="preserve">在导航栏中选择“策略配置 &gt; NAT转换策略 </w:t>
      </w:r>
      <w:r>
        <w:rPr>
          <w:lang w:eastAsia="zh-CN"/>
        </w:rPr>
        <w:t xml:space="preserve">&gt; </w:t>
      </w:r>
      <w:r>
        <w:rPr>
          <w:rFonts w:hint="eastAsia"/>
          <w:lang w:eastAsia="zh-CN"/>
        </w:rPr>
        <w:t>源NAT”，单击&lt;新建&gt;按钮，进入源NAT配置页面配置源NAT转换，如</w:t>
      </w:r>
      <w:r>
        <w:rPr>
          <w:rStyle w:val="375"/>
          <w:lang w:eastAsia="zh-CN"/>
        </w:rPr>
        <w:t>下图</w:t>
      </w:r>
      <w:r>
        <w:rPr>
          <w:rFonts w:hint="eastAsia"/>
          <w:lang w:eastAsia="zh-CN"/>
        </w:rPr>
        <w:t>所示。</w:t>
      </w:r>
    </w:p>
    <w:p w14:paraId="12A7AADC">
      <w:pPr>
        <w:pStyle w:val="188"/>
      </w:pPr>
      <w:bookmarkStart w:id="4947" w:name="_Toc141875103"/>
      <w:r>
        <w:rPr>
          <w:rFonts w:hint="eastAsia"/>
        </w:rPr>
        <w:t>源NAT规则配置</w:t>
      </w:r>
      <w:bookmarkEnd w:id="4947"/>
    </w:p>
    <w:p w14:paraId="455276C3">
      <w:pPr>
        <w:spacing w:before="78" w:after="78"/>
      </w:pPr>
      <w:r>
        <w:drawing>
          <wp:inline distT="0" distB="0" distL="0" distR="0">
            <wp:extent cx="3600450" cy="3758565"/>
            <wp:effectExtent l="0" t="0" r="0" b="0"/>
            <wp:docPr id="78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图片 54"/>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a:xfrm>
                      <a:off x="0" y="0"/>
                      <a:ext cx="3602838" cy="3761453"/>
                    </a:xfrm>
                    <a:prstGeom prst="rect">
                      <a:avLst/>
                    </a:prstGeom>
                    <a:noFill/>
                    <a:ln>
                      <a:noFill/>
                    </a:ln>
                  </pic:spPr>
                </pic:pic>
              </a:graphicData>
            </a:graphic>
          </wp:inline>
        </w:drawing>
      </w:r>
    </w:p>
    <w:p w14:paraId="07A30391"/>
    <w:p w14:paraId="13CC744C">
      <w:r>
        <w:rPr>
          <w:rFonts w:hint="eastAsia"/>
        </w:rPr>
        <w:t>点击</w:t>
      </w:r>
      <w:r>
        <w:t>&lt;</w:t>
      </w:r>
      <w:r>
        <w:rPr>
          <w:rFonts w:hint="eastAsia"/>
        </w:rPr>
        <w:t>提交</w:t>
      </w:r>
      <w:r>
        <w:t>&gt;</w:t>
      </w:r>
      <w:r>
        <w:rPr>
          <w:rFonts w:hint="eastAsia"/>
        </w:rPr>
        <w:t>按钮，提交配置。</w:t>
      </w:r>
    </w:p>
    <w:p w14:paraId="259637F1">
      <w:pPr>
        <w:pStyle w:val="6"/>
      </w:pPr>
      <w:r>
        <w:rPr>
          <w:rFonts w:hint="eastAsia"/>
        </w:rPr>
        <w:t>验证配置</w:t>
      </w:r>
    </w:p>
    <w:p w14:paraId="0EECD219">
      <w:r>
        <w:rPr>
          <w:rFonts w:hint="eastAsia"/>
        </w:rPr>
        <w:t>配置完成后，内网PC可以直接访问外网。</w:t>
      </w:r>
    </w:p>
    <w:p w14:paraId="2E44CFBE">
      <w:pPr>
        <w:pStyle w:val="4"/>
      </w:pPr>
      <w:bookmarkStart w:id="4948" w:name="_Toc194080959"/>
      <w:bookmarkStart w:id="4949" w:name="_Toc141873694"/>
      <w:bookmarkStart w:id="4950" w:name="_Toc172218473"/>
      <w:bookmarkStart w:id="4951" w:name="_Toc142401211"/>
      <w:bookmarkStart w:id="4952" w:name="_Toc196728291"/>
      <w:r>
        <w:rPr>
          <w:rFonts w:hint="eastAsia"/>
        </w:rPr>
        <w:t>目的NAT</w:t>
      </w:r>
      <w:bookmarkEnd w:id="4948"/>
      <w:bookmarkEnd w:id="4949"/>
      <w:bookmarkEnd w:id="4950"/>
      <w:bookmarkEnd w:id="4951"/>
      <w:bookmarkEnd w:id="4952"/>
    </w:p>
    <w:p w14:paraId="20E26A84">
      <w:pPr>
        <w:pStyle w:val="5"/>
      </w:pPr>
      <w:bookmarkStart w:id="4953" w:name="_Toc172218474"/>
      <w:bookmarkStart w:id="4954" w:name="_Toc194080960"/>
      <w:bookmarkStart w:id="4955" w:name="_Toc141873695"/>
      <w:bookmarkStart w:id="4956" w:name="_Toc142401212"/>
      <w:bookmarkStart w:id="4957" w:name="_Toc196728292"/>
      <w:r>
        <w:rPr>
          <w:rFonts w:hint="eastAsia"/>
        </w:rPr>
        <w:t>配置目的NAT</w:t>
      </w:r>
      <w:bookmarkEnd w:id="4938"/>
      <w:bookmarkEnd w:id="4939"/>
      <w:bookmarkEnd w:id="4940"/>
      <w:bookmarkEnd w:id="4941"/>
      <w:bookmarkEnd w:id="4942"/>
      <w:bookmarkEnd w:id="4943"/>
      <w:bookmarkEnd w:id="4953"/>
      <w:bookmarkEnd w:id="4954"/>
      <w:bookmarkEnd w:id="4955"/>
      <w:bookmarkEnd w:id="4956"/>
      <w:bookmarkEnd w:id="4957"/>
    </w:p>
    <w:p w14:paraId="291D102A">
      <w:r>
        <w:rPr>
          <w:rFonts w:hint="eastAsia"/>
        </w:rPr>
        <w:t>在导航栏中选择“策略配置 &gt; NAT转换策略</w:t>
      </w:r>
      <w:r>
        <w:t xml:space="preserve">&gt; </w:t>
      </w:r>
      <w:r>
        <w:rPr>
          <w:rFonts w:hint="eastAsia"/>
        </w:rPr>
        <w:t>目的NAT”，单击&lt;新建&gt;按钮，进入目的NAT配置页面，如</w:t>
      </w:r>
      <w:r>
        <w:rPr>
          <w:color w:val="0000FF"/>
          <w:u w:val="single"/>
        </w:rPr>
        <w:fldChar w:fldCharType="begin"/>
      </w:r>
      <w:r>
        <w:rPr>
          <w:color w:val="0000FF"/>
          <w:u w:val="single"/>
        </w:rPr>
        <w:instrText xml:space="preserve"> </w:instrText>
      </w:r>
      <w:r>
        <w:rPr>
          <w:rFonts w:hint="eastAsia"/>
          <w:color w:val="0000FF"/>
          <w:u w:val="single"/>
        </w:rPr>
        <w:instrText xml:space="preserve">REF _Ref392952309 \r \h</w:instrText>
      </w:r>
      <w:r>
        <w:rPr>
          <w:color w:val="0000FF"/>
          <w:u w:val="single"/>
        </w:rPr>
        <w:instrText xml:space="preserve"> </w:instrText>
      </w:r>
      <w:r>
        <w:rPr>
          <w:color w:val="0000FF"/>
          <w:u w:val="single"/>
        </w:rPr>
        <w:fldChar w:fldCharType="separate"/>
      </w:r>
      <w:r>
        <w:rPr>
          <w:rFonts w:hint="eastAsia"/>
          <w:color w:val="0000FF"/>
          <w:u w:val="single"/>
        </w:rPr>
        <w:t>图16-6</w:t>
      </w:r>
      <w:r>
        <w:rPr>
          <w:color w:val="0000FF"/>
          <w:u w:val="single"/>
        </w:rPr>
        <w:fldChar w:fldCharType="end"/>
      </w:r>
      <w:r>
        <w:rPr>
          <w:rFonts w:hint="eastAsia"/>
        </w:rPr>
        <w:t>所示。目的NAT详细配置说明，如</w:t>
      </w:r>
      <w:r>
        <w:fldChar w:fldCharType="begin"/>
      </w:r>
      <w:r>
        <w:rPr>
          <w:color w:val="0000FF"/>
          <w:u w:val="single"/>
        </w:rPr>
        <w:instrText xml:space="preserve"> </w:instrText>
      </w:r>
      <w:r>
        <w:rPr>
          <w:rFonts w:hint="eastAsia"/>
          <w:color w:val="0000FF"/>
          <w:u w:val="single"/>
        </w:rPr>
        <w:instrText xml:space="preserve">REF _Ref392952319 \r \h</w:instrText>
      </w:r>
      <w:r>
        <w:rPr>
          <w:color w:val="0000FF"/>
          <w:u w:val="single"/>
        </w:rPr>
        <w:instrText xml:space="preserve"> </w:instrText>
      </w:r>
      <w:r>
        <w:fldChar w:fldCharType="separate"/>
      </w:r>
      <w:r>
        <w:rPr>
          <w:rFonts w:hint="eastAsia"/>
          <w:color w:val="0000FF"/>
          <w:u w:val="single"/>
        </w:rPr>
        <w:t>表16-1</w:t>
      </w:r>
      <w:r>
        <w:fldChar w:fldCharType="end"/>
      </w:r>
      <w:r>
        <w:rPr>
          <w:rFonts w:hint="eastAsia"/>
        </w:rPr>
        <w:t>所示。</w:t>
      </w:r>
    </w:p>
    <w:p w14:paraId="5B01D64D">
      <w:pPr>
        <w:pStyle w:val="188"/>
      </w:pPr>
      <w:bookmarkStart w:id="4958" w:name="_Ref392952309"/>
      <w:bookmarkStart w:id="4959" w:name="_Toc141875104"/>
      <w:r>
        <w:rPr>
          <w:rFonts w:hint="eastAsia"/>
        </w:rPr>
        <w:t>目的NAT配置</w:t>
      </w:r>
      <w:bookmarkEnd w:id="4958"/>
      <w:bookmarkEnd w:id="4959"/>
    </w:p>
    <w:p w14:paraId="708726E7">
      <w:pPr>
        <w:spacing w:before="78" w:after="78"/>
      </w:pPr>
      <w:r>
        <w:drawing>
          <wp:inline distT="0" distB="0" distL="0" distR="0">
            <wp:extent cx="4665980" cy="3321050"/>
            <wp:effectExtent l="0" t="0" r="1270" b="0"/>
            <wp:docPr id="789" name="图片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图片 2294"/>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a:xfrm>
                      <a:off x="0" y="0"/>
                      <a:ext cx="4668220" cy="3323016"/>
                    </a:xfrm>
                    <a:prstGeom prst="rect">
                      <a:avLst/>
                    </a:prstGeom>
                    <a:noFill/>
                    <a:ln>
                      <a:noFill/>
                    </a:ln>
                  </pic:spPr>
                </pic:pic>
              </a:graphicData>
            </a:graphic>
          </wp:inline>
        </w:drawing>
      </w:r>
    </w:p>
    <w:p w14:paraId="0BEC7172"/>
    <w:p w14:paraId="08C8C9E8">
      <w:pPr>
        <w:pStyle w:val="183"/>
      </w:pPr>
      <w:bookmarkStart w:id="4960" w:name="_Ref392952319"/>
      <w:bookmarkStart w:id="4961" w:name="_Toc141875687"/>
      <w:r>
        <w:rPr>
          <w:rFonts w:hint="eastAsia"/>
        </w:rPr>
        <w:t>目的NAT详细配置</w:t>
      </w:r>
      <w:bookmarkEnd w:id="4960"/>
      <w:bookmarkEnd w:id="4961"/>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770"/>
        <w:gridCol w:w="7198"/>
      </w:tblGrid>
      <w:tr w14:paraId="546D68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70" w:type="dxa"/>
            <w:tcBorders>
              <w:tl2br w:val="nil"/>
              <w:tr2bl w:val="nil"/>
            </w:tcBorders>
            <w:shd w:val="clear" w:color="auto" w:fill="538135" w:themeFill="accent6" w:themeFillShade="BF"/>
            <w:vAlign w:val="center"/>
          </w:tcPr>
          <w:p w14:paraId="19F67232">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198" w:type="dxa"/>
            <w:tcBorders>
              <w:tl2br w:val="nil"/>
              <w:tr2bl w:val="nil"/>
            </w:tcBorders>
            <w:shd w:val="clear" w:color="auto" w:fill="538135" w:themeFill="accent6" w:themeFillShade="BF"/>
            <w:vAlign w:val="center"/>
          </w:tcPr>
          <w:p w14:paraId="1E87A263">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7B512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70" w:type="dxa"/>
            <w:shd w:val="clear" w:color="auto" w:fill="auto"/>
          </w:tcPr>
          <w:p w14:paraId="04530ECE">
            <w:pPr>
              <w:pStyle w:val="150"/>
            </w:pPr>
            <w:r>
              <w:rPr>
                <w:rFonts w:hint="eastAsia"/>
              </w:rPr>
              <w:t>启用</w:t>
            </w:r>
          </w:p>
        </w:tc>
        <w:tc>
          <w:tcPr>
            <w:tcW w:w="7198" w:type="dxa"/>
            <w:shd w:val="clear" w:color="auto" w:fill="auto"/>
          </w:tcPr>
          <w:p w14:paraId="016B980E">
            <w:pPr>
              <w:pStyle w:val="150"/>
            </w:pPr>
            <w:r>
              <w:rPr>
                <w:rFonts w:hint="eastAsia"/>
              </w:rPr>
              <w:t>勾选后启用NAT策略，默认是勾选状态</w:t>
            </w:r>
          </w:p>
        </w:tc>
      </w:tr>
      <w:tr w14:paraId="2F53951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70" w:type="dxa"/>
            <w:shd w:val="clear" w:color="auto" w:fill="auto"/>
          </w:tcPr>
          <w:p w14:paraId="189F016B">
            <w:pPr>
              <w:pStyle w:val="150"/>
            </w:pPr>
            <w:r>
              <w:rPr>
                <w:rFonts w:hint="eastAsia"/>
              </w:rPr>
              <w:t>地址类型</w:t>
            </w:r>
          </w:p>
        </w:tc>
        <w:tc>
          <w:tcPr>
            <w:tcW w:w="7198" w:type="dxa"/>
            <w:shd w:val="clear" w:color="auto" w:fill="auto"/>
          </w:tcPr>
          <w:p w14:paraId="270614AA">
            <w:pPr>
              <w:pStyle w:val="150"/>
            </w:pPr>
            <w:r>
              <w:rPr>
                <w:rFonts w:hint="eastAsia"/>
              </w:rPr>
              <w:t>选择地址类型为IPv4或者IPv6</w:t>
            </w:r>
          </w:p>
        </w:tc>
      </w:tr>
      <w:tr w14:paraId="01DD3A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70" w:type="dxa"/>
            <w:shd w:val="clear" w:color="auto" w:fill="auto"/>
          </w:tcPr>
          <w:p w14:paraId="348B4E96">
            <w:pPr>
              <w:pStyle w:val="150"/>
            </w:pPr>
            <w:r>
              <w:rPr>
                <w:rFonts w:hint="eastAsia"/>
              </w:rPr>
              <w:t>描述</w:t>
            </w:r>
          </w:p>
        </w:tc>
        <w:tc>
          <w:tcPr>
            <w:tcW w:w="7198" w:type="dxa"/>
            <w:shd w:val="clear" w:color="auto" w:fill="auto"/>
          </w:tcPr>
          <w:p w14:paraId="5F52ADAA">
            <w:pPr>
              <w:pStyle w:val="150"/>
            </w:pPr>
            <w:r>
              <w:rPr>
                <w:rFonts w:hint="eastAsia"/>
              </w:rPr>
              <w:t>NAT规则匹配的描述</w:t>
            </w:r>
          </w:p>
        </w:tc>
      </w:tr>
      <w:tr w14:paraId="00924C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70" w:type="dxa"/>
            <w:shd w:val="clear" w:color="auto" w:fill="auto"/>
          </w:tcPr>
          <w:p w14:paraId="1F2572C9">
            <w:pPr>
              <w:pStyle w:val="150"/>
            </w:pPr>
            <w:r>
              <w:rPr>
                <w:rFonts w:hint="eastAsia"/>
              </w:rPr>
              <w:t>源地址</w:t>
            </w:r>
          </w:p>
        </w:tc>
        <w:tc>
          <w:tcPr>
            <w:tcW w:w="7198" w:type="dxa"/>
            <w:shd w:val="clear" w:color="auto" w:fill="auto"/>
          </w:tcPr>
          <w:p w14:paraId="7AB15838">
            <w:pPr>
              <w:pStyle w:val="150"/>
            </w:pPr>
            <w:r>
              <w:t>NAT</w:t>
            </w:r>
            <w:r>
              <w:rPr>
                <w:rFonts w:hint="eastAsia"/>
              </w:rPr>
              <w:t>规则匹配的源地址，可以是地址节点或地址组</w:t>
            </w:r>
          </w:p>
        </w:tc>
      </w:tr>
      <w:tr w14:paraId="48FFB58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70" w:type="dxa"/>
            <w:shd w:val="clear" w:color="auto" w:fill="auto"/>
          </w:tcPr>
          <w:p w14:paraId="079F5382">
            <w:pPr>
              <w:pStyle w:val="150"/>
            </w:pPr>
            <w:r>
              <w:rPr>
                <w:rFonts w:hint="eastAsia"/>
              </w:rPr>
              <w:t>目的地址</w:t>
            </w:r>
          </w:p>
        </w:tc>
        <w:tc>
          <w:tcPr>
            <w:tcW w:w="7198" w:type="dxa"/>
            <w:shd w:val="clear" w:color="auto" w:fill="auto"/>
          </w:tcPr>
          <w:p w14:paraId="0653696A">
            <w:pPr>
              <w:pStyle w:val="150"/>
            </w:pPr>
            <w:r>
              <w:t>NAT</w:t>
            </w:r>
            <w:r>
              <w:rPr>
                <w:rFonts w:hint="eastAsia"/>
              </w:rPr>
              <w:t>规则匹配的目的地址，可以是地址节点或地址组</w:t>
            </w:r>
          </w:p>
        </w:tc>
      </w:tr>
      <w:tr w14:paraId="4BD69B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70" w:type="dxa"/>
            <w:shd w:val="clear" w:color="auto" w:fill="auto"/>
          </w:tcPr>
          <w:p w14:paraId="14E4C099">
            <w:pPr>
              <w:pStyle w:val="150"/>
            </w:pPr>
            <w:r>
              <w:rPr>
                <w:rFonts w:hint="eastAsia"/>
              </w:rPr>
              <w:t>服务</w:t>
            </w:r>
          </w:p>
        </w:tc>
        <w:tc>
          <w:tcPr>
            <w:tcW w:w="7198" w:type="dxa"/>
            <w:shd w:val="clear" w:color="auto" w:fill="auto"/>
          </w:tcPr>
          <w:p w14:paraId="26BD6BA0">
            <w:pPr>
              <w:pStyle w:val="150"/>
            </w:pPr>
            <w:r>
              <w:t>NAT</w:t>
            </w:r>
            <w:r>
              <w:rPr>
                <w:rFonts w:hint="eastAsia"/>
              </w:rPr>
              <w:t>规则匹配的服务名，可以是服务资源或服务组</w:t>
            </w:r>
          </w:p>
        </w:tc>
      </w:tr>
      <w:tr w14:paraId="2AF433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70" w:type="dxa"/>
            <w:shd w:val="clear" w:color="auto" w:fill="auto"/>
          </w:tcPr>
          <w:p w14:paraId="0327273D">
            <w:pPr>
              <w:pStyle w:val="150"/>
            </w:pPr>
            <w:r>
              <w:rPr>
                <w:rFonts w:hint="eastAsia"/>
              </w:rPr>
              <w:t>接口</w:t>
            </w:r>
          </w:p>
        </w:tc>
        <w:tc>
          <w:tcPr>
            <w:tcW w:w="7198" w:type="dxa"/>
            <w:shd w:val="clear" w:color="auto" w:fill="auto"/>
          </w:tcPr>
          <w:p w14:paraId="1019057D">
            <w:pPr>
              <w:pStyle w:val="150"/>
            </w:pPr>
            <w:r>
              <w:t>NAT</w:t>
            </w:r>
            <w:r>
              <w:rPr>
                <w:rFonts w:hint="eastAsia"/>
              </w:rPr>
              <w:t>规则匹配的出接口名</w:t>
            </w:r>
          </w:p>
        </w:tc>
      </w:tr>
      <w:tr w14:paraId="03F216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70" w:type="dxa"/>
            <w:shd w:val="clear" w:color="auto" w:fill="auto"/>
          </w:tcPr>
          <w:p w14:paraId="757AC4B3">
            <w:pPr>
              <w:pStyle w:val="150"/>
            </w:pPr>
            <w:r>
              <w:rPr>
                <w:rFonts w:hint="eastAsia"/>
              </w:rPr>
              <w:t>转换类型</w:t>
            </w:r>
          </w:p>
        </w:tc>
        <w:tc>
          <w:tcPr>
            <w:tcW w:w="7198" w:type="dxa"/>
            <w:shd w:val="clear" w:color="auto" w:fill="auto"/>
          </w:tcPr>
          <w:p w14:paraId="01D900CA">
            <w:pPr>
              <w:pStyle w:val="150"/>
            </w:pPr>
            <w:r>
              <w:rPr>
                <w:rFonts w:hint="eastAsia"/>
              </w:rPr>
              <w:t>需要转换成的地址，可以选择地址映射、</w:t>
            </w:r>
            <w:r>
              <w:t>端口</w:t>
            </w:r>
            <w:r>
              <w:rPr>
                <w:rFonts w:hint="eastAsia"/>
              </w:rPr>
              <w:t>映射或不转换</w:t>
            </w:r>
          </w:p>
          <w:p w14:paraId="7CFFFF4D">
            <w:pPr>
              <w:pStyle w:val="150"/>
            </w:pPr>
            <w:r>
              <w:rPr>
                <w:rFonts w:hint="eastAsia"/>
              </w:rPr>
              <w:t>不转换：为</w:t>
            </w:r>
            <w:r>
              <w:t>NAT</w:t>
            </w:r>
            <w:r>
              <w:rPr>
                <w:rFonts w:hint="eastAsia"/>
              </w:rPr>
              <w:t>白名单，指定的地址不做地址转换</w:t>
            </w:r>
          </w:p>
        </w:tc>
      </w:tr>
      <w:tr w14:paraId="3AAEBE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70" w:type="dxa"/>
            <w:shd w:val="clear" w:color="auto" w:fill="auto"/>
          </w:tcPr>
          <w:p w14:paraId="79550748">
            <w:pPr>
              <w:pStyle w:val="150"/>
            </w:pPr>
            <w:r>
              <w:rPr>
                <w:rFonts w:hint="eastAsia"/>
              </w:rPr>
              <w:t>日志</w:t>
            </w:r>
          </w:p>
        </w:tc>
        <w:tc>
          <w:tcPr>
            <w:tcW w:w="7198" w:type="dxa"/>
            <w:shd w:val="clear" w:color="auto" w:fill="auto"/>
          </w:tcPr>
          <w:p w14:paraId="4E054181">
            <w:pPr>
              <w:pStyle w:val="150"/>
            </w:pPr>
            <w:r>
              <w:rPr>
                <w:rFonts w:hint="eastAsia"/>
              </w:rPr>
              <w:t>是否需要对该规则启用日志</w:t>
            </w:r>
          </w:p>
        </w:tc>
      </w:tr>
      <w:tr w14:paraId="1BA0B26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70" w:type="dxa"/>
            <w:shd w:val="clear" w:color="auto" w:fill="auto"/>
          </w:tcPr>
          <w:p w14:paraId="5CCFA0D3">
            <w:pPr>
              <w:pStyle w:val="150"/>
            </w:pPr>
            <w:r>
              <w:rPr>
                <w:rFonts w:hint="eastAsia"/>
              </w:rPr>
              <w:t>发布服务器</w:t>
            </w:r>
          </w:p>
        </w:tc>
        <w:tc>
          <w:tcPr>
            <w:tcW w:w="7198" w:type="dxa"/>
            <w:shd w:val="clear" w:color="auto" w:fill="auto"/>
          </w:tcPr>
          <w:p w14:paraId="24599472">
            <w:pPr>
              <w:pStyle w:val="150"/>
            </w:pPr>
            <w:r>
              <w:rPr>
                <w:rFonts w:hint="eastAsia"/>
              </w:rPr>
              <w:t>N</w:t>
            </w:r>
            <w:r>
              <w:t>AT回流功能</w:t>
            </w:r>
            <w:r>
              <w:rPr>
                <w:rFonts w:hint="eastAsia"/>
              </w:rPr>
              <w:t>，</w:t>
            </w:r>
            <w:r>
              <w:t>允许内网用户以外网</w:t>
            </w:r>
            <w:r>
              <w:rPr>
                <w:rFonts w:hint="eastAsia"/>
              </w:rPr>
              <w:t>I</w:t>
            </w:r>
            <w:r>
              <w:t>P来访问内网服务器</w:t>
            </w:r>
            <w:r>
              <w:rPr>
                <w:rFonts w:hint="eastAsia"/>
              </w:rPr>
              <w:t>，</w:t>
            </w:r>
            <w:r>
              <w:t>开启后此目的</w:t>
            </w:r>
            <w:r>
              <w:rPr>
                <w:rFonts w:hint="eastAsia"/>
              </w:rPr>
              <w:t>N</w:t>
            </w:r>
            <w:r>
              <w:t>AT匹配不关心报文入接口</w:t>
            </w:r>
            <w:r>
              <w:rPr>
                <w:rFonts w:hint="eastAsia"/>
              </w:rPr>
              <w:t>，</w:t>
            </w:r>
            <w:r>
              <w:t>同时会在报文出接口做源</w:t>
            </w:r>
            <w:r>
              <w:rPr>
                <w:rFonts w:hint="eastAsia"/>
              </w:rPr>
              <w:t>N</w:t>
            </w:r>
            <w:r>
              <w:t>AT转换</w:t>
            </w:r>
            <w:r>
              <w:rPr>
                <w:rFonts w:hint="eastAsia"/>
              </w:rPr>
              <w:t>，</w:t>
            </w:r>
            <w:r>
              <w:t>转换</w:t>
            </w:r>
            <w:r>
              <w:rPr>
                <w:rFonts w:hint="eastAsia"/>
              </w:rPr>
              <w:t>地址为出接口地址。</w:t>
            </w:r>
          </w:p>
        </w:tc>
      </w:tr>
    </w:tbl>
    <w:p w14:paraId="7EE9F7B4"/>
    <w:p w14:paraId="70D0BB1C">
      <w:pPr>
        <w:pStyle w:val="5"/>
      </w:pPr>
      <w:bookmarkStart w:id="4962" w:name="_Toc194080961"/>
      <w:bookmarkStart w:id="4963" w:name="_Toc172218475"/>
      <w:bookmarkStart w:id="4964" w:name="_Toc196728293"/>
      <w:bookmarkStart w:id="4965" w:name="_Toc142401213"/>
      <w:bookmarkStart w:id="4966" w:name="_Toc141873696"/>
      <w:bookmarkStart w:id="4967" w:name="_Toc15484996"/>
      <w:bookmarkStart w:id="4968" w:name="_Toc474249998"/>
      <w:bookmarkStart w:id="4969" w:name="_Toc23152760"/>
      <w:bookmarkStart w:id="4970" w:name="_Toc40276193"/>
      <w:bookmarkStart w:id="4971" w:name="_Toc14951456"/>
      <w:bookmarkStart w:id="4972" w:name="_Toc99561824"/>
      <w:r>
        <w:rPr>
          <w:rFonts w:hint="eastAsia"/>
        </w:rPr>
        <w:t>目的NAT配置案例</w:t>
      </w:r>
      <w:bookmarkEnd w:id="4962"/>
      <w:bookmarkEnd w:id="4963"/>
      <w:bookmarkEnd w:id="4964"/>
      <w:bookmarkEnd w:id="4965"/>
      <w:bookmarkEnd w:id="4966"/>
    </w:p>
    <w:p w14:paraId="12A711CB">
      <w:pPr>
        <w:pStyle w:val="6"/>
      </w:pPr>
      <w:r>
        <w:rPr>
          <w:rFonts w:hint="eastAsia"/>
        </w:rPr>
        <w:t>组网需求</w:t>
      </w:r>
    </w:p>
    <w:p w14:paraId="2E624C86">
      <w:r>
        <w:rPr>
          <w:rFonts w:hint="eastAsia"/>
        </w:rPr>
        <w:t>公司内网有一台服务器对外提供</w:t>
      </w:r>
      <w:r>
        <w:t>HTTP</w:t>
      </w:r>
      <w:r>
        <w:rPr>
          <w:rFonts w:hint="eastAsia"/>
        </w:rPr>
        <w:t>服务，内网地址为</w:t>
      </w:r>
      <w:r>
        <w:t>192.168.1.3</w:t>
      </w:r>
      <w:r>
        <w:rPr>
          <w:rFonts w:hint="eastAsia"/>
        </w:rPr>
        <w:t>，服务端口为</w:t>
      </w:r>
      <w:r>
        <w:t>TCP 80</w:t>
      </w:r>
      <w:r>
        <w:rPr>
          <w:rFonts w:hint="eastAsia"/>
        </w:rPr>
        <w:t>，对外开放的地址为</w:t>
      </w:r>
      <w:r>
        <w:t>202.118.3.2</w:t>
      </w:r>
      <w:r>
        <w:rPr>
          <w:rFonts w:hint="eastAsia"/>
        </w:rPr>
        <w:t>，对外开放的服务端口为</w:t>
      </w:r>
      <w:r>
        <w:t>TCP 8080</w:t>
      </w:r>
      <w:r>
        <w:rPr>
          <w:rFonts w:hint="eastAsia"/>
        </w:rPr>
        <w:t>，现需要在外网可以直接访问内网服务器。</w:t>
      </w:r>
    </w:p>
    <w:p w14:paraId="0C1E77DD">
      <w:pPr>
        <w:pStyle w:val="188"/>
      </w:pPr>
      <w:bookmarkStart w:id="4973" w:name="_Toc141875105"/>
      <w:r>
        <w:rPr>
          <w:rFonts w:hint="eastAsia"/>
        </w:rPr>
        <w:t>目的NAT配置组网图</w:t>
      </w:r>
      <w:bookmarkEnd w:id="4973"/>
    </w:p>
    <w:p w14:paraId="07E92232">
      <w:pPr>
        <w:pStyle w:val="175"/>
      </w:pPr>
      <w:r>
        <w:drawing>
          <wp:inline distT="0" distB="0" distL="0" distR="0">
            <wp:extent cx="4028440" cy="1961515"/>
            <wp:effectExtent l="0" t="0" r="0" b="635"/>
            <wp:docPr id="790" name="图片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图片 790"/>
                    <pic:cNvPicPr>
                      <a:picLocks noChangeAspect="1"/>
                    </pic:cNvPicPr>
                  </pic:nvPicPr>
                  <pic:blipFill>
                    <a:blip r:embed="rId658"/>
                    <a:stretch>
                      <a:fillRect/>
                    </a:stretch>
                  </pic:blipFill>
                  <pic:spPr>
                    <a:xfrm>
                      <a:off x="0" y="0"/>
                      <a:ext cx="4028571" cy="1961905"/>
                    </a:xfrm>
                    <a:prstGeom prst="rect">
                      <a:avLst/>
                    </a:prstGeom>
                  </pic:spPr>
                </pic:pic>
              </a:graphicData>
            </a:graphic>
          </wp:inline>
        </w:drawing>
      </w:r>
    </w:p>
    <w:p w14:paraId="15D18187"/>
    <w:p w14:paraId="2162D5B6">
      <w:pPr>
        <w:pStyle w:val="6"/>
      </w:pPr>
      <w:r>
        <w:rPr>
          <w:rFonts w:hint="eastAsia"/>
        </w:rPr>
        <w:t>配置步骤</w:t>
      </w:r>
    </w:p>
    <w:p w14:paraId="67AD6D66">
      <w:pPr>
        <w:pStyle w:val="202"/>
      </w:pPr>
      <w:r>
        <w:rPr>
          <w:rFonts w:hint="eastAsia"/>
        </w:rPr>
        <w:t>按照组网图组网</w:t>
      </w:r>
    </w:p>
    <w:p w14:paraId="034ACA6F">
      <w:pPr>
        <w:pStyle w:val="202"/>
        <w:rPr>
          <w:lang w:eastAsia="zh-CN"/>
        </w:rPr>
      </w:pPr>
      <w:r>
        <w:rPr>
          <w:rFonts w:hint="eastAsia"/>
          <w:lang w:eastAsia="zh-CN"/>
        </w:rPr>
        <w:t>在导航栏中选择“策略配置 &gt; 对象管理 &gt; 地址对象</w:t>
      </w:r>
      <w:r>
        <w:rPr>
          <w:lang w:eastAsia="zh-CN"/>
        </w:rPr>
        <w:t xml:space="preserve">&gt; </w:t>
      </w:r>
      <w:r>
        <w:rPr>
          <w:rFonts w:hint="eastAsia"/>
          <w:lang w:eastAsia="zh-CN"/>
        </w:rPr>
        <w:t>IPv4地址对象”，单击&lt;新建&gt;按钮，进入地址对象配置页面，如</w:t>
      </w:r>
      <w:r>
        <w:rPr>
          <w:rStyle w:val="375"/>
          <w:lang w:eastAsia="zh-CN"/>
        </w:rPr>
        <w:t>下图</w:t>
      </w:r>
      <w:r>
        <w:rPr>
          <w:rFonts w:hint="eastAsia"/>
          <w:lang w:eastAsia="zh-CN"/>
        </w:rPr>
        <w:t>所示。</w:t>
      </w:r>
    </w:p>
    <w:p w14:paraId="6744B8C6">
      <w:pPr>
        <w:pStyle w:val="188"/>
      </w:pPr>
      <w:bookmarkStart w:id="4974" w:name="_Toc141875106"/>
      <w:r>
        <w:rPr>
          <w:rFonts w:hint="eastAsia"/>
        </w:rPr>
        <w:t>地址对象配置</w:t>
      </w:r>
      <w:bookmarkEnd w:id="4974"/>
    </w:p>
    <w:p w14:paraId="52716377">
      <w:pPr>
        <w:pStyle w:val="175"/>
      </w:pPr>
      <w:r>
        <w:drawing>
          <wp:inline distT="0" distB="0" distL="0" distR="0">
            <wp:extent cx="4638675" cy="3395345"/>
            <wp:effectExtent l="0" t="0" r="0" b="0"/>
            <wp:docPr id="795" name="图片 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图片 2295"/>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a:xfrm>
                      <a:off x="0" y="0"/>
                      <a:ext cx="4641194" cy="3397759"/>
                    </a:xfrm>
                    <a:prstGeom prst="rect">
                      <a:avLst/>
                    </a:prstGeom>
                    <a:noFill/>
                    <a:ln>
                      <a:noFill/>
                    </a:ln>
                  </pic:spPr>
                </pic:pic>
              </a:graphicData>
            </a:graphic>
          </wp:inline>
        </w:drawing>
      </w:r>
    </w:p>
    <w:p w14:paraId="6301AD69"/>
    <w:p w14:paraId="52668589">
      <w:r>
        <w:rPr>
          <w:rFonts w:hint="eastAsia"/>
        </w:rPr>
        <w:t>点击</w:t>
      </w:r>
      <w:r>
        <w:t>&lt;</w:t>
      </w:r>
      <w:r>
        <w:rPr>
          <w:rFonts w:hint="eastAsia"/>
        </w:rPr>
        <w:t>提交</w:t>
      </w:r>
      <w:r>
        <w:t>&gt;</w:t>
      </w:r>
      <w:r>
        <w:rPr>
          <w:rFonts w:hint="eastAsia"/>
        </w:rPr>
        <w:t>按钮，提交配置。</w:t>
      </w:r>
    </w:p>
    <w:p w14:paraId="421DC44B">
      <w:pPr>
        <w:pStyle w:val="202"/>
        <w:rPr>
          <w:lang w:eastAsia="zh-CN"/>
        </w:rPr>
      </w:pPr>
      <w:r>
        <w:rPr>
          <w:rFonts w:hint="eastAsia"/>
          <w:lang w:eastAsia="zh-CN"/>
        </w:rPr>
        <w:t xml:space="preserve">在导航栏中选择“策略配置 &gt; NAT转换策略 </w:t>
      </w:r>
      <w:r>
        <w:rPr>
          <w:lang w:eastAsia="zh-CN"/>
        </w:rPr>
        <w:t xml:space="preserve">&gt; </w:t>
      </w:r>
      <w:r>
        <w:rPr>
          <w:rFonts w:hint="eastAsia"/>
          <w:lang w:eastAsia="zh-CN"/>
        </w:rPr>
        <w:t>地址池”，单击&lt;新建&gt;按钮，进入创建地址池配置页面配置地址池对象，如</w:t>
      </w:r>
      <w:r>
        <w:rPr>
          <w:rStyle w:val="375"/>
          <w:lang w:eastAsia="zh-CN"/>
        </w:rPr>
        <w:t>下图</w:t>
      </w:r>
      <w:r>
        <w:rPr>
          <w:rFonts w:hint="eastAsia"/>
          <w:lang w:eastAsia="zh-CN"/>
        </w:rPr>
        <w:t>所示。</w:t>
      </w:r>
    </w:p>
    <w:p w14:paraId="0B003DD4">
      <w:pPr>
        <w:pStyle w:val="188"/>
      </w:pPr>
      <w:bookmarkStart w:id="4975" w:name="_Toc141875107"/>
      <w:r>
        <w:rPr>
          <w:rFonts w:hint="eastAsia"/>
        </w:rPr>
        <w:t>地址池对象配置</w:t>
      </w:r>
      <w:bookmarkEnd w:id="4975"/>
    </w:p>
    <w:p w14:paraId="2350938F">
      <w:pPr>
        <w:spacing w:before="78" w:after="78"/>
      </w:pPr>
      <w:r>
        <w:rPr>
          <w:rFonts w:ascii="等线" w:hAnsi="等线"/>
        </w:rPr>
        <w:drawing>
          <wp:inline distT="0" distB="0" distL="0" distR="0">
            <wp:extent cx="4893945" cy="3491230"/>
            <wp:effectExtent l="0" t="0" r="1905" b="0"/>
            <wp:docPr id="796" name="图片 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图片 2296"/>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a:xfrm>
                      <a:off x="0" y="0"/>
                      <a:ext cx="4899212" cy="3495077"/>
                    </a:xfrm>
                    <a:prstGeom prst="rect">
                      <a:avLst/>
                    </a:prstGeom>
                    <a:noFill/>
                    <a:ln>
                      <a:noFill/>
                    </a:ln>
                  </pic:spPr>
                </pic:pic>
              </a:graphicData>
            </a:graphic>
          </wp:inline>
        </w:drawing>
      </w:r>
    </w:p>
    <w:p w14:paraId="6539887F"/>
    <w:p w14:paraId="6B366F23">
      <w:r>
        <w:rPr>
          <w:rFonts w:hint="eastAsia"/>
        </w:rPr>
        <w:t>点击</w:t>
      </w:r>
      <w:r>
        <w:t>&lt;</w:t>
      </w:r>
      <w:r>
        <w:rPr>
          <w:rFonts w:hint="eastAsia"/>
        </w:rPr>
        <w:t>提交</w:t>
      </w:r>
      <w:r>
        <w:t>&gt;</w:t>
      </w:r>
      <w:r>
        <w:rPr>
          <w:rFonts w:hint="eastAsia"/>
        </w:rPr>
        <w:t>按钮，提交配置。</w:t>
      </w:r>
    </w:p>
    <w:p w14:paraId="22528D59">
      <w:pPr>
        <w:pStyle w:val="202"/>
        <w:rPr>
          <w:lang w:eastAsia="zh-CN"/>
        </w:rPr>
      </w:pPr>
      <w:r>
        <w:rPr>
          <w:rFonts w:hint="eastAsia"/>
          <w:lang w:eastAsia="zh-CN"/>
        </w:rPr>
        <w:t>在导航栏中选择“策略配置 &gt; 对象管理 &gt; 服务对象</w:t>
      </w:r>
      <w:r>
        <w:rPr>
          <w:lang w:eastAsia="zh-CN"/>
        </w:rPr>
        <w:t xml:space="preserve">&gt; </w:t>
      </w:r>
      <w:r>
        <w:rPr>
          <w:rFonts w:hint="eastAsia"/>
          <w:lang w:eastAsia="zh-CN"/>
        </w:rPr>
        <w:t>自定义服务”，单击&lt;新建&gt;按钮，进入自定义服务配置页面配置服务对象，如</w:t>
      </w:r>
      <w:r>
        <w:rPr>
          <w:rStyle w:val="375"/>
          <w:lang w:eastAsia="zh-CN"/>
        </w:rPr>
        <w:t>下图</w:t>
      </w:r>
      <w:r>
        <w:rPr>
          <w:rFonts w:hint="eastAsia"/>
          <w:lang w:eastAsia="zh-CN"/>
        </w:rPr>
        <w:t>所示。</w:t>
      </w:r>
    </w:p>
    <w:p w14:paraId="54055E15">
      <w:pPr>
        <w:pStyle w:val="188"/>
      </w:pPr>
      <w:bookmarkStart w:id="4976" w:name="_Toc141875108"/>
      <w:r>
        <w:rPr>
          <w:rFonts w:hint="eastAsia"/>
        </w:rPr>
        <w:t>新建自定义服务</w:t>
      </w:r>
      <w:bookmarkEnd w:id="4976"/>
    </w:p>
    <w:p w14:paraId="6CF721CB">
      <w:pPr>
        <w:spacing w:before="78" w:after="78"/>
      </w:pPr>
      <w:r>
        <w:drawing>
          <wp:inline distT="0" distB="0" distL="0" distR="0">
            <wp:extent cx="5400040" cy="3761740"/>
            <wp:effectExtent l="0" t="0" r="0" b="0"/>
            <wp:docPr id="797" name="图片 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图片 2297"/>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a:xfrm>
                      <a:off x="0" y="0"/>
                      <a:ext cx="5400040" cy="3762323"/>
                    </a:xfrm>
                    <a:prstGeom prst="rect">
                      <a:avLst/>
                    </a:prstGeom>
                    <a:noFill/>
                    <a:ln>
                      <a:noFill/>
                    </a:ln>
                  </pic:spPr>
                </pic:pic>
              </a:graphicData>
            </a:graphic>
          </wp:inline>
        </w:drawing>
      </w:r>
    </w:p>
    <w:p w14:paraId="5FD8649A"/>
    <w:p w14:paraId="0B984B87">
      <w:r>
        <w:rPr>
          <w:rFonts w:hint="eastAsia"/>
        </w:rPr>
        <w:t>点击</w:t>
      </w:r>
      <w:r>
        <w:t>&lt;</w:t>
      </w:r>
      <w:r>
        <w:rPr>
          <w:rFonts w:hint="eastAsia"/>
        </w:rPr>
        <w:t>提交</w:t>
      </w:r>
      <w:r>
        <w:t>&gt;</w:t>
      </w:r>
      <w:r>
        <w:rPr>
          <w:rFonts w:hint="eastAsia"/>
        </w:rPr>
        <w:t>按钮，提交配置。</w:t>
      </w:r>
    </w:p>
    <w:p w14:paraId="6C963CE0">
      <w:pPr>
        <w:pStyle w:val="202"/>
        <w:rPr>
          <w:lang w:eastAsia="zh-CN"/>
        </w:rPr>
      </w:pPr>
      <w:r>
        <w:rPr>
          <w:rFonts w:hint="eastAsia"/>
          <w:lang w:eastAsia="zh-CN"/>
        </w:rPr>
        <w:t xml:space="preserve">在导航栏中选择“策略配置 &gt; NAT转换策略 </w:t>
      </w:r>
      <w:r>
        <w:rPr>
          <w:lang w:eastAsia="zh-CN"/>
        </w:rPr>
        <w:t xml:space="preserve">&gt; </w:t>
      </w:r>
      <w:r>
        <w:rPr>
          <w:rFonts w:hint="eastAsia"/>
          <w:lang w:eastAsia="zh-CN"/>
        </w:rPr>
        <w:t>目的NAT”，单击&lt;新建&gt;按钮，进入目的NAT配置页面配置目的NAT转换，如</w:t>
      </w:r>
      <w:r>
        <w:rPr>
          <w:rStyle w:val="375"/>
          <w:lang w:eastAsia="zh-CN"/>
        </w:rPr>
        <w:t>下图</w:t>
      </w:r>
      <w:r>
        <w:rPr>
          <w:rFonts w:hint="eastAsia"/>
          <w:lang w:eastAsia="zh-CN"/>
        </w:rPr>
        <w:t>所示。</w:t>
      </w:r>
    </w:p>
    <w:p w14:paraId="5AAA5E7A">
      <w:pPr>
        <w:pStyle w:val="188"/>
      </w:pPr>
      <w:bookmarkStart w:id="4977" w:name="_Toc141875109"/>
      <w:r>
        <w:rPr>
          <w:rFonts w:hint="eastAsia"/>
        </w:rPr>
        <w:t>目的NAT配置</w:t>
      </w:r>
      <w:bookmarkEnd w:id="4977"/>
    </w:p>
    <w:p w14:paraId="54F746F6">
      <w:pPr>
        <w:pStyle w:val="175"/>
      </w:pPr>
      <w:r>
        <w:drawing>
          <wp:inline distT="0" distB="0" distL="0" distR="0">
            <wp:extent cx="4976495" cy="3498215"/>
            <wp:effectExtent l="0" t="0" r="0" b="6985"/>
            <wp:docPr id="798" name="图片 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图片 2298"/>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a:xfrm>
                      <a:off x="0" y="0"/>
                      <a:ext cx="4977059" cy="3498648"/>
                    </a:xfrm>
                    <a:prstGeom prst="rect">
                      <a:avLst/>
                    </a:prstGeom>
                    <a:noFill/>
                    <a:ln>
                      <a:noFill/>
                    </a:ln>
                  </pic:spPr>
                </pic:pic>
              </a:graphicData>
            </a:graphic>
          </wp:inline>
        </w:drawing>
      </w:r>
    </w:p>
    <w:p w14:paraId="2D6A20A3"/>
    <w:p w14:paraId="5B72DBD0">
      <w:pPr>
        <w:pStyle w:val="6"/>
      </w:pPr>
      <w:r>
        <w:rPr>
          <w:rFonts w:hint="eastAsia"/>
        </w:rPr>
        <w:t>验证配置</w:t>
      </w:r>
    </w:p>
    <w:p w14:paraId="6067A928">
      <w:r>
        <w:rPr>
          <w:rFonts w:hint="eastAsia"/>
        </w:rPr>
        <w:t>配置完成后，外网可以访问内网服务器。</w:t>
      </w:r>
    </w:p>
    <w:p w14:paraId="03D14145">
      <w:pPr>
        <w:pStyle w:val="4"/>
      </w:pPr>
      <w:bookmarkStart w:id="4978" w:name="_Toc141873697"/>
      <w:bookmarkStart w:id="4979" w:name="_Toc142401214"/>
      <w:bookmarkStart w:id="4980" w:name="_Toc196728294"/>
      <w:bookmarkStart w:id="4981" w:name="_Toc194080962"/>
      <w:bookmarkStart w:id="4982" w:name="_Toc172218476"/>
      <w:r>
        <w:rPr>
          <w:rFonts w:hint="eastAsia"/>
        </w:rPr>
        <w:t>静态NAT</w:t>
      </w:r>
      <w:bookmarkEnd w:id="4978"/>
      <w:bookmarkEnd w:id="4979"/>
      <w:bookmarkEnd w:id="4980"/>
      <w:bookmarkEnd w:id="4981"/>
      <w:bookmarkEnd w:id="4982"/>
    </w:p>
    <w:p w14:paraId="0DC1B076">
      <w:pPr>
        <w:pStyle w:val="5"/>
      </w:pPr>
      <w:bookmarkStart w:id="4983" w:name="_Toc142401215"/>
      <w:bookmarkStart w:id="4984" w:name="_Toc172218477"/>
      <w:bookmarkStart w:id="4985" w:name="_Toc196728295"/>
      <w:bookmarkStart w:id="4986" w:name="_Toc194080963"/>
      <w:bookmarkStart w:id="4987" w:name="_Toc141873698"/>
      <w:r>
        <w:rPr>
          <w:rFonts w:hint="eastAsia"/>
        </w:rPr>
        <w:t>配置静态NAT</w:t>
      </w:r>
      <w:bookmarkEnd w:id="4967"/>
      <w:bookmarkEnd w:id="4968"/>
      <w:bookmarkEnd w:id="4969"/>
      <w:bookmarkEnd w:id="4970"/>
      <w:bookmarkEnd w:id="4971"/>
      <w:bookmarkEnd w:id="4972"/>
      <w:bookmarkEnd w:id="4983"/>
      <w:bookmarkEnd w:id="4984"/>
      <w:bookmarkEnd w:id="4985"/>
      <w:bookmarkEnd w:id="4986"/>
      <w:bookmarkEnd w:id="4987"/>
    </w:p>
    <w:p w14:paraId="5A9B61C7">
      <w:r>
        <w:rPr>
          <w:rFonts w:hint="eastAsia"/>
        </w:rPr>
        <w:t xml:space="preserve">在导航栏中选择“策略配置 &gt; NAT转换策略 </w:t>
      </w:r>
      <w:r>
        <w:t xml:space="preserve">&gt; </w:t>
      </w:r>
      <w:r>
        <w:rPr>
          <w:rFonts w:hint="eastAsia"/>
        </w:rPr>
        <w:t>静态NAT”，单击&lt;新建&gt;按钮，进入静态NAT配置页面，如</w:t>
      </w:r>
      <w:r>
        <w:rPr>
          <w:color w:val="0000FF"/>
          <w:u w:val="single"/>
        </w:rPr>
        <w:fldChar w:fldCharType="begin"/>
      </w:r>
      <w:r>
        <w:rPr>
          <w:color w:val="0000FF"/>
          <w:u w:val="single"/>
        </w:rPr>
        <w:instrText xml:space="preserve"> </w:instrText>
      </w:r>
      <w:r>
        <w:rPr>
          <w:rFonts w:hint="eastAsia"/>
          <w:color w:val="0000FF"/>
          <w:u w:val="single"/>
        </w:rPr>
        <w:instrText xml:space="preserve">REF _Ref392952333 \r \h</w:instrText>
      </w:r>
      <w:r>
        <w:rPr>
          <w:color w:val="0000FF"/>
          <w:u w:val="single"/>
        </w:rPr>
        <w:instrText xml:space="preserve"> </w:instrText>
      </w:r>
      <w:r>
        <w:rPr>
          <w:color w:val="0000FF"/>
          <w:u w:val="single"/>
        </w:rPr>
        <w:fldChar w:fldCharType="separate"/>
      </w:r>
      <w:r>
        <w:rPr>
          <w:rFonts w:hint="eastAsia"/>
          <w:color w:val="0000FF"/>
          <w:u w:val="single"/>
        </w:rPr>
        <w:t>图16-12</w:t>
      </w:r>
      <w:r>
        <w:rPr>
          <w:color w:val="0000FF"/>
          <w:u w:val="single"/>
        </w:rPr>
        <w:fldChar w:fldCharType="end"/>
      </w:r>
      <w:r>
        <w:rPr>
          <w:rFonts w:hint="eastAsia"/>
        </w:rPr>
        <w:t>所示。静态NAT详细配置说明，如</w:t>
      </w:r>
      <w:r>
        <w:fldChar w:fldCharType="begin"/>
      </w:r>
      <w:r>
        <w:rPr>
          <w:color w:val="0000FF"/>
          <w:u w:val="single"/>
        </w:rPr>
        <w:instrText xml:space="preserve"> </w:instrText>
      </w:r>
      <w:r>
        <w:rPr>
          <w:rFonts w:hint="eastAsia"/>
          <w:color w:val="0000FF"/>
          <w:u w:val="single"/>
        </w:rPr>
        <w:instrText xml:space="preserve">REF _Ref392952343 \r \h</w:instrText>
      </w:r>
      <w:r>
        <w:rPr>
          <w:color w:val="0000FF"/>
          <w:u w:val="single"/>
        </w:rPr>
        <w:instrText xml:space="preserve"> </w:instrText>
      </w:r>
      <w:r>
        <w:fldChar w:fldCharType="separate"/>
      </w:r>
      <w:r>
        <w:rPr>
          <w:rFonts w:hint="eastAsia"/>
          <w:color w:val="0000FF"/>
          <w:u w:val="single"/>
        </w:rPr>
        <w:t>表16-1</w:t>
      </w:r>
      <w:r>
        <w:fldChar w:fldCharType="end"/>
      </w:r>
      <w:r>
        <w:rPr>
          <w:rFonts w:hint="eastAsia"/>
        </w:rPr>
        <w:t>所示。</w:t>
      </w:r>
    </w:p>
    <w:p w14:paraId="1602F101">
      <w:pPr>
        <w:pStyle w:val="188"/>
      </w:pPr>
      <w:bookmarkStart w:id="4988" w:name="_Ref392952333"/>
      <w:bookmarkStart w:id="4989" w:name="_Toc141875110"/>
      <w:r>
        <w:rPr>
          <w:rFonts w:hint="eastAsia"/>
        </w:rPr>
        <w:t>静态NAT配置</w:t>
      </w:r>
      <w:bookmarkEnd w:id="4988"/>
      <w:bookmarkEnd w:id="4989"/>
    </w:p>
    <w:p w14:paraId="09E46173">
      <w:pPr>
        <w:spacing w:before="78" w:after="78"/>
      </w:pPr>
      <w:r>
        <w:drawing>
          <wp:inline distT="0" distB="0" distL="0" distR="0">
            <wp:extent cx="3540125" cy="3076575"/>
            <wp:effectExtent l="0" t="0" r="3175" b="0"/>
            <wp:docPr id="799"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图片 82"/>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a:xfrm>
                      <a:off x="0" y="0"/>
                      <a:ext cx="3541638" cy="3077668"/>
                    </a:xfrm>
                    <a:prstGeom prst="rect">
                      <a:avLst/>
                    </a:prstGeom>
                    <a:noFill/>
                    <a:ln>
                      <a:noFill/>
                    </a:ln>
                  </pic:spPr>
                </pic:pic>
              </a:graphicData>
            </a:graphic>
          </wp:inline>
        </w:drawing>
      </w:r>
    </w:p>
    <w:p w14:paraId="197B2117"/>
    <w:p w14:paraId="23B13E8F">
      <w:pPr>
        <w:pStyle w:val="183"/>
      </w:pPr>
      <w:bookmarkStart w:id="4990" w:name="_Ref392952343"/>
      <w:bookmarkStart w:id="4991" w:name="_Toc141875688"/>
      <w:r>
        <w:rPr>
          <w:rFonts w:hint="eastAsia"/>
        </w:rPr>
        <w:t>静态NAT详细配置</w:t>
      </w:r>
      <w:bookmarkEnd w:id="4990"/>
      <w:bookmarkEnd w:id="4991"/>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3"/>
        <w:gridCol w:w="6635"/>
      </w:tblGrid>
      <w:tr w14:paraId="61B43CC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tcBorders>
              <w:tl2br w:val="nil"/>
              <w:tr2bl w:val="nil"/>
            </w:tcBorders>
            <w:shd w:val="clear" w:color="auto" w:fill="538135" w:themeFill="accent6" w:themeFillShade="BF"/>
            <w:vAlign w:val="center"/>
          </w:tcPr>
          <w:p w14:paraId="61B9A733">
            <w:pPr>
              <w:pStyle w:val="149"/>
              <w:wordWrap/>
              <w:rPr>
                <w:b/>
                <w:bCs/>
                <w:i w:val="0"/>
                <w:iCs w:val="0"/>
              </w:rPr>
            </w:pPr>
            <w:r>
              <w:rPr>
                <w:rFonts w:hint="eastAsia"/>
                <w:b/>
                <w:bCs/>
                <w:i w:val="0"/>
                <w:iCs w:val="0"/>
              </w:rPr>
              <w:t>标题项</w:t>
            </w:r>
          </w:p>
        </w:tc>
        <w:tc>
          <w:tcPr>
            <w:tcW w:w="6635" w:type="dxa"/>
            <w:tcBorders>
              <w:tl2br w:val="nil"/>
              <w:tr2bl w:val="nil"/>
            </w:tcBorders>
            <w:shd w:val="clear" w:color="auto" w:fill="538135" w:themeFill="accent6" w:themeFillShade="BF"/>
            <w:vAlign w:val="center"/>
          </w:tcPr>
          <w:p w14:paraId="2A5032A9">
            <w:pPr>
              <w:pStyle w:val="149"/>
              <w:wordWrap/>
              <w:rPr>
                <w:b/>
                <w:bCs/>
                <w:i w:val="0"/>
                <w:iCs w:val="0"/>
              </w:rPr>
            </w:pPr>
            <w:r>
              <w:rPr>
                <w:rFonts w:hint="eastAsia"/>
                <w:b/>
                <w:bCs/>
                <w:i w:val="0"/>
                <w:iCs w:val="0"/>
              </w:rPr>
              <w:t>说明</w:t>
            </w:r>
          </w:p>
        </w:tc>
      </w:tr>
      <w:tr w14:paraId="4D1338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5A8CB81F">
            <w:pPr>
              <w:pStyle w:val="150"/>
            </w:pPr>
            <w:r>
              <w:rPr>
                <w:rFonts w:hint="eastAsia"/>
              </w:rPr>
              <w:t>启用</w:t>
            </w:r>
          </w:p>
        </w:tc>
        <w:tc>
          <w:tcPr>
            <w:tcW w:w="6635" w:type="dxa"/>
            <w:shd w:val="clear" w:color="auto" w:fill="auto"/>
          </w:tcPr>
          <w:p w14:paraId="63805394">
            <w:pPr>
              <w:pStyle w:val="150"/>
            </w:pPr>
            <w:r>
              <w:rPr>
                <w:rFonts w:hint="eastAsia"/>
              </w:rPr>
              <w:t>勾选后启用NAT策略，默认是勾选状态</w:t>
            </w:r>
          </w:p>
        </w:tc>
      </w:tr>
      <w:tr w14:paraId="27DF56A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755FB16C">
            <w:pPr>
              <w:pStyle w:val="150"/>
            </w:pPr>
            <w:r>
              <w:rPr>
                <w:rFonts w:hint="eastAsia"/>
              </w:rPr>
              <w:t>地址类型</w:t>
            </w:r>
          </w:p>
        </w:tc>
        <w:tc>
          <w:tcPr>
            <w:tcW w:w="6635" w:type="dxa"/>
            <w:shd w:val="clear" w:color="auto" w:fill="auto"/>
          </w:tcPr>
          <w:p w14:paraId="73268593">
            <w:pPr>
              <w:pStyle w:val="150"/>
            </w:pPr>
            <w:r>
              <w:rPr>
                <w:rFonts w:hint="eastAsia"/>
              </w:rPr>
              <w:t>选择地址类型为IPv4或者IPv6</w:t>
            </w:r>
          </w:p>
        </w:tc>
      </w:tr>
      <w:tr w14:paraId="7F0A53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3E0C476B">
            <w:pPr>
              <w:pStyle w:val="150"/>
            </w:pPr>
            <w:r>
              <w:rPr>
                <w:rFonts w:hint="eastAsia"/>
              </w:rPr>
              <w:t>描述</w:t>
            </w:r>
          </w:p>
        </w:tc>
        <w:tc>
          <w:tcPr>
            <w:tcW w:w="6635" w:type="dxa"/>
            <w:shd w:val="clear" w:color="auto" w:fill="auto"/>
          </w:tcPr>
          <w:p w14:paraId="781CAC49">
            <w:pPr>
              <w:pStyle w:val="150"/>
            </w:pPr>
            <w:r>
              <w:rPr>
                <w:rFonts w:hint="eastAsia"/>
              </w:rPr>
              <w:t>NAT策略的描述</w:t>
            </w:r>
          </w:p>
        </w:tc>
      </w:tr>
      <w:tr w14:paraId="4BBBA8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4A2872ED">
            <w:pPr>
              <w:pStyle w:val="150"/>
            </w:pPr>
            <w:r>
              <w:rPr>
                <w:rFonts w:hint="eastAsia"/>
              </w:rPr>
              <w:t>外部地址</w:t>
            </w:r>
          </w:p>
        </w:tc>
        <w:tc>
          <w:tcPr>
            <w:tcW w:w="6635" w:type="dxa"/>
            <w:shd w:val="clear" w:color="auto" w:fill="auto"/>
          </w:tcPr>
          <w:p w14:paraId="0CCDBC40">
            <w:pPr>
              <w:pStyle w:val="150"/>
            </w:pPr>
            <w:r>
              <w:rPr>
                <w:rFonts w:hint="eastAsia"/>
              </w:rPr>
              <w:t>需要转换的外部地址</w:t>
            </w:r>
          </w:p>
        </w:tc>
      </w:tr>
      <w:tr w14:paraId="4BC2DC1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792A315D">
            <w:pPr>
              <w:pStyle w:val="150"/>
            </w:pPr>
            <w:r>
              <w:rPr>
                <w:rFonts w:hint="eastAsia"/>
              </w:rPr>
              <w:t>内部地址</w:t>
            </w:r>
          </w:p>
        </w:tc>
        <w:tc>
          <w:tcPr>
            <w:tcW w:w="6635" w:type="dxa"/>
            <w:shd w:val="clear" w:color="auto" w:fill="auto"/>
          </w:tcPr>
          <w:p w14:paraId="62B4C3A7">
            <w:pPr>
              <w:pStyle w:val="150"/>
            </w:pPr>
            <w:r>
              <w:rPr>
                <w:rFonts w:hint="eastAsia"/>
              </w:rPr>
              <w:t>需要转换的内部地址</w:t>
            </w:r>
          </w:p>
        </w:tc>
      </w:tr>
      <w:tr w14:paraId="11F744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0D8188CA">
            <w:pPr>
              <w:pStyle w:val="150"/>
            </w:pPr>
            <w:r>
              <w:rPr>
                <w:rFonts w:hint="eastAsia"/>
              </w:rPr>
              <w:t>外部接口</w:t>
            </w:r>
          </w:p>
        </w:tc>
        <w:tc>
          <w:tcPr>
            <w:tcW w:w="6635" w:type="dxa"/>
            <w:shd w:val="clear" w:color="auto" w:fill="auto"/>
          </w:tcPr>
          <w:p w14:paraId="3D697697">
            <w:pPr>
              <w:pStyle w:val="150"/>
            </w:pPr>
            <w:r>
              <w:rPr>
                <w:rFonts w:hint="eastAsia"/>
              </w:rPr>
              <w:t>和外部网络相连的接口名</w:t>
            </w:r>
          </w:p>
        </w:tc>
      </w:tr>
      <w:tr w14:paraId="5508DF5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3" w:type="dxa"/>
            <w:shd w:val="clear" w:color="auto" w:fill="auto"/>
          </w:tcPr>
          <w:p w14:paraId="55FBF9E6">
            <w:pPr>
              <w:pStyle w:val="150"/>
            </w:pPr>
            <w:r>
              <w:rPr>
                <w:rFonts w:hint="eastAsia"/>
              </w:rPr>
              <w:t>日志</w:t>
            </w:r>
          </w:p>
        </w:tc>
        <w:tc>
          <w:tcPr>
            <w:tcW w:w="6635" w:type="dxa"/>
            <w:shd w:val="clear" w:color="auto" w:fill="auto"/>
          </w:tcPr>
          <w:p w14:paraId="3EAEDAB3">
            <w:pPr>
              <w:pStyle w:val="150"/>
            </w:pPr>
            <w:r>
              <w:rPr>
                <w:rFonts w:hint="eastAsia"/>
              </w:rPr>
              <w:t>是否需要对该规则启用日志</w:t>
            </w:r>
          </w:p>
        </w:tc>
      </w:tr>
    </w:tbl>
    <w:p w14:paraId="506BFB8B"/>
    <w:p w14:paraId="599DEA85">
      <w:pPr>
        <w:pStyle w:val="5"/>
      </w:pPr>
      <w:bookmarkStart w:id="4992" w:name="_Toc194080964"/>
      <w:bookmarkStart w:id="4993" w:name="_Toc196728296"/>
      <w:bookmarkStart w:id="4994" w:name="_Toc172218478"/>
      <w:bookmarkStart w:id="4995" w:name="_Toc141873699"/>
      <w:bookmarkStart w:id="4996" w:name="_Toc142401216"/>
      <w:r>
        <w:rPr>
          <w:rFonts w:hint="eastAsia"/>
        </w:rPr>
        <w:t>静态NAT配置案例</w:t>
      </w:r>
      <w:bookmarkEnd w:id="4992"/>
      <w:bookmarkEnd w:id="4993"/>
      <w:bookmarkEnd w:id="4994"/>
      <w:bookmarkEnd w:id="4995"/>
      <w:bookmarkEnd w:id="4996"/>
    </w:p>
    <w:p w14:paraId="1A3AE728">
      <w:pPr>
        <w:pStyle w:val="6"/>
      </w:pPr>
      <w:r>
        <w:rPr>
          <w:rFonts w:hint="eastAsia"/>
        </w:rPr>
        <w:t>组网需求</w:t>
      </w:r>
    </w:p>
    <w:p w14:paraId="60C2A027">
      <w:r>
        <w:rPr>
          <w:rFonts w:hint="eastAsia"/>
        </w:rPr>
        <w:t>内网有一台服务器对外提供服务，服务器的内网地址为</w:t>
      </w:r>
      <w:r>
        <w:t>192.168.0.3</w:t>
      </w:r>
      <w:r>
        <w:rPr>
          <w:rFonts w:hint="eastAsia"/>
        </w:rPr>
        <w:t>，映射的公网地址为</w:t>
      </w:r>
      <w:r>
        <w:t>202.118.3.1</w:t>
      </w:r>
      <w:r>
        <w:rPr>
          <w:rFonts w:hint="eastAsia"/>
        </w:rPr>
        <w:t>。</w:t>
      </w:r>
    </w:p>
    <w:p w14:paraId="2586E1F8">
      <w:pPr>
        <w:pStyle w:val="6"/>
      </w:pPr>
      <w:r>
        <w:rPr>
          <w:rFonts w:hint="eastAsia"/>
        </w:rPr>
        <w:t>组网图</w:t>
      </w:r>
    </w:p>
    <w:p w14:paraId="4297ACDA">
      <w:pPr>
        <w:pStyle w:val="188"/>
      </w:pPr>
      <w:bookmarkStart w:id="4997" w:name="_Toc141875111"/>
      <w:r>
        <w:rPr>
          <w:rFonts w:hint="eastAsia"/>
        </w:rPr>
        <w:t>静态NAT配置组网图</w:t>
      </w:r>
      <w:bookmarkEnd w:id="4997"/>
    </w:p>
    <w:p w14:paraId="4FCF0528">
      <w:pPr>
        <w:spacing w:before="78" w:after="78"/>
      </w:pPr>
      <w:r>
        <w:drawing>
          <wp:inline distT="0" distB="0" distL="0" distR="0">
            <wp:extent cx="4028440" cy="1961515"/>
            <wp:effectExtent l="0" t="0" r="0" b="635"/>
            <wp:docPr id="784" name="图片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图片 784"/>
                    <pic:cNvPicPr>
                      <a:picLocks noChangeAspect="1"/>
                    </pic:cNvPicPr>
                  </pic:nvPicPr>
                  <pic:blipFill>
                    <a:blip r:embed="rId658"/>
                    <a:stretch>
                      <a:fillRect/>
                    </a:stretch>
                  </pic:blipFill>
                  <pic:spPr>
                    <a:xfrm>
                      <a:off x="0" y="0"/>
                      <a:ext cx="4028571" cy="1961905"/>
                    </a:xfrm>
                    <a:prstGeom prst="rect">
                      <a:avLst/>
                    </a:prstGeom>
                  </pic:spPr>
                </pic:pic>
              </a:graphicData>
            </a:graphic>
          </wp:inline>
        </w:drawing>
      </w:r>
    </w:p>
    <w:p w14:paraId="5405A0D4">
      <w:pPr>
        <w:pStyle w:val="6"/>
      </w:pPr>
      <w:r>
        <w:rPr>
          <w:rFonts w:hint="eastAsia"/>
        </w:rPr>
        <w:t>配置步骤</w:t>
      </w:r>
    </w:p>
    <w:p w14:paraId="76F7C1EC">
      <w:pPr>
        <w:pStyle w:val="202"/>
      </w:pPr>
      <w:r>
        <w:rPr>
          <w:rFonts w:hint="eastAsia"/>
        </w:rPr>
        <w:t>按照组网图组网。</w:t>
      </w:r>
    </w:p>
    <w:p w14:paraId="19D783EE">
      <w:pPr>
        <w:pStyle w:val="202"/>
        <w:rPr>
          <w:lang w:eastAsia="zh-CN"/>
        </w:rPr>
      </w:pPr>
      <w:r>
        <w:rPr>
          <w:rFonts w:hint="eastAsia"/>
          <w:lang w:eastAsia="zh-CN"/>
        </w:rPr>
        <w:t>在导航栏中选择“策略配置 &gt; NAT转换策略</w:t>
      </w:r>
      <w:r>
        <w:rPr>
          <w:lang w:eastAsia="zh-CN"/>
        </w:rPr>
        <w:t xml:space="preserve">&gt; </w:t>
      </w:r>
      <w:r>
        <w:rPr>
          <w:rFonts w:hint="eastAsia"/>
          <w:lang w:eastAsia="zh-CN"/>
        </w:rPr>
        <w:t>静态NAT”，单击&lt;新建&gt;按钮，进入静态NAT配置页面，如</w:t>
      </w:r>
      <w:r>
        <w:rPr>
          <w:rStyle w:val="375"/>
          <w:lang w:eastAsia="zh-CN"/>
        </w:rPr>
        <w:t>下图</w:t>
      </w:r>
      <w:r>
        <w:rPr>
          <w:rFonts w:hint="eastAsia"/>
          <w:lang w:eastAsia="zh-CN"/>
        </w:rPr>
        <w:t>所示。</w:t>
      </w:r>
    </w:p>
    <w:p w14:paraId="7BED0B69">
      <w:pPr>
        <w:pStyle w:val="188"/>
      </w:pPr>
      <w:bookmarkStart w:id="4998" w:name="_Toc141875112"/>
      <w:r>
        <w:rPr>
          <w:rFonts w:hint="eastAsia"/>
        </w:rPr>
        <w:t>静态NAT配置</w:t>
      </w:r>
      <w:bookmarkEnd w:id="4998"/>
    </w:p>
    <w:p w14:paraId="4FDBC610">
      <w:pPr>
        <w:spacing w:before="78" w:after="78"/>
      </w:pPr>
      <w:r>
        <w:drawing>
          <wp:inline distT="0" distB="0" distL="0" distR="0">
            <wp:extent cx="3131185" cy="2560320"/>
            <wp:effectExtent l="0" t="0" r="0" b="0"/>
            <wp:docPr id="785" name="图片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图片 785"/>
                    <pic:cNvPicPr>
                      <a:picLocks noChangeAspect="1"/>
                    </pic:cNvPicPr>
                  </pic:nvPicPr>
                  <pic:blipFill>
                    <a:blip r:embed="rId668"/>
                    <a:stretch>
                      <a:fillRect/>
                    </a:stretch>
                  </pic:blipFill>
                  <pic:spPr>
                    <a:xfrm>
                      <a:off x="0" y="0"/>
                      <a:ext cx="3135343" cy="2563982"/>
                    </a:xfrm>
                    <a:prstGeom prst="rect">
                      <a:avLst/>
                    </a:prstGeom>
                  </pic:spPr>
                </pic:pic>
              </a:graphicData>
            </a:graphic>
          </wp:inline>
        </w:drawing>
      </w:r>
    </w:p>
    <w:p w14:paraId="3D4A24A9">
      <w:pPr>
        <w:pStyle w:val="202"/>
        <w:rPr>
          <w:lang w:eastAsia="zh-CN"/>
        </w:rPr>
      </w:pPr>
      <w:r>
        <w:rPr>
          <w:rFonts w:hint="eastAsia"/>
          <w:lang w:eastAsia="zh-CN"/>
        </w:rPr>
        <w:t>点击</w:t>
      </w:r>
      <w:r>
        <w:rPr>
          <w:lang w:eastAsia="zh-CN"/>
        </w:rPr>
        <w:t>&lt;</w:t>
      </w:r>
      <w:r>
        <w:rPr>
          <w:rFonts w:hint="eastAsia"/>
          <w:lang w:eastAsia="zh-CN"/>
        </w:rPr>
        <w:t>提交</w:t>
      </w:r>
      <w:r>
        <w:rPr>
          <w:lang w:eastAsia="zh-CN"/>
        </w:rPr>
        <w:t>&gt;</w:t>
      </w:r>
      <w:r>
        <w:rPr>
          <w:rFonts w:hint="eastAsia"/>
          <w:lang w:eastAsia="zh-CN"/>
        </w:rPr>
        <w:t>按钮，提交配置。</w:t>
      </w:r>
    </w:p>
    <w:p w14:paraId="606D40DB">
      <w:pPr>
        <w:pStyle w:val="6"/>
      </w:pPr>
      <w:r>
        <w:rPr>
          <w:rFonts w:hint="eastAsia"/>
        </w:rPr>
        <w:t>验证配置</w:t>
      </w:r>
    </w:p>
    <w:p w14:paraId="5A5E0D1D">
      <w:r>
        <w:rPr>
          <w:rFonts w:hint="eastAsia"/>
        </w:rPr>
        <w:t>配置完成后，外网通过IP</w:t>
      </w:r>
      <w:r>
        <w:t xml:space="preserve"> </w:t>
      </w:r>
      <w:r>
        <w:rPr>
          <w:rFonts w:hint="eastAsia"/>
        </w:rPr>
        <w:t>地址</w:t>
      </w:r>
      <w:r>
        <w:t>202.118.3.1</w:t>
      </w:r>
      <w:r>
        <w:rPr>
          <w:rFonts w:hint="eastAsia"/>
        </w:rPr>
        <w:t>可以访问内部服务器。</w:t>
      </w:r>
      <w:r>
        <w:br w:type="page"/>
      </w:r>
    </w:p>
    <w:p w14:paraId="6529FF87">
      <w:pPr>
        <w:pStyle w:val="4"/>
      </w:pPr>
      <w:bookmarkStart w:id="4999" w:name="_Toc196728297"/>
      <w:bookmarkStart w:id="5000" w:name="_Toc172218479"/>
      <w:bookmarkStart w:id="5001" w:name="_Toc141873700"/>
      <w:bookmarkStart w:id="5002" w:name="_Toc194080965"/>
      <w:bookmarkStart w:id="5003" w:name="_Toc142401217"/>
      <w:r>
        <w:rPr>
          <w:rFonts w:hint="eastAsia"/>
        </w:rPr>
        <w:t>配置地址池</w:t>
      </w:r>
      <w:bookmarkEnd w:id="4918"/>
      <w:bookmarkEnd w:id="4919"/>
      <w:bookmarkEnd w:id="4920"/>
      <w:bookmarkEnd w:id="4921"/>
      <w:bookmarkEnd w:id="4922"/>
      <w:bookmarkEnd w:id="4923"/>
      <w:bookmarkEnd w:id="4999"/>
      <w:bookmarkEnd w:id="5000"/>
      <w:bookmarkEnd w:id="5001"/>
      <w:bookmarkEnd w:id="5002"/>
      <w:bookmarkEnd w:id="5003"/>
    </w:p>
    <w:p w14:paraId="173CD0C3">
      <w:r>
        <w:rPr>
          <w:rFonts w:hint="eastAsia"/>
        </w:rPr>
        <w:t xml:space="preserve">在导航栏中选择“策略配置 &gt; NAT转换策略 </w:t>
      </w:r>
      <w:r>
        <w:t xml:space="preserve">&gt; </w:t>
      </w:r>
      <w:r>
        <w:rPr>
          <w:rFonts w:hint="eastAsia"/>
        </w:rPr>
        <w:t>地址池”，进入地址池的显示页面，如</w:t>
      </w:r>
      <w:r>
        <w:fldChar w:fldCharType="begin"/>
      </w:r>
      <w:r>
        <w:instrText xml:space="preserve"> </w:instrText>
      </w:r>
      <w:r>
        <w:rPr>
          <w:rFonts w:hint="eastAsia"/>
        </w:rPr>
        <w:instrText xml:space="preserve">REF _Ref392951215 \r \h</w:instrText>
      </w:r>
      <w:r>
        <w:instrText xml:space="preserve"> </w:instrText>
      </w:r>
      <w:r>
        <w:fldChar w:fldCharType="separate"/>
      </w:r>
      <w:r>
        <w:rPr>
          <w:rFonts w:hint="eastAsia"/>
        </w:rPr>
        <w:t>图16-15</w:t>
      </w:r>
      <w:r>
        <w:fldChar w:fldCharType="end"/>
      </w:r>
      <w:r>
        <w:rPr>
          <w:rFonts w:hint="eastAsia"/>
        </w:rPr>
        <w:t>所示。单击&lt;新建&gt;按钮，进入地址池的配置页面，如</w:t>
      </w:r>
      <w:r>
        <w:fldChar w:fldCharType="begin"/>
      </w:r>
      <w:r>
        <w:instrText xml:space="preserve"> </w:instrText>
      </w:r>
      <w:r>
        <w:rPr>
          <w:rFonts w:hint="eastAsia"/>
        </w:rPr>
        <w:instrText xml:space="preserve">REF _Ref392952197 \r \h</w:instrText>
      </w:r>
      <w:r>
        <w:instrText xml:space="preserve"> </w:instrText>
      </w:r>
      <w:r>
        <w:fldChar w:fldCharType="separate"/>
      </w:r>
      <w:r>
        <w:rPr>
          <w:rFonts w:hint="eastAsia"/>
        </w:rPr>
        <w:t>图16-16</w:t>
      </w:r>
      <w:r>
        <w:fldChar w:fldCharType="end"/>
      </w:r>
      <w:r>
        <w:rPr>
          <w:rFonts w:hint="eastAsia"/>
        </w:rPr>
        <w:t>所示。地址池详细配置说明，如</w:t>
      </w:r>
      <w:r>
        <w:fldChar w:fldCharType="begin"/>
      </w:r>
      <w:r>
        <w:instrText xml:space="preserve"> </w:instrText>
      </w:r>
      <w:r>
        <w:rPr>
          <w:rFonts w:hint="eastAsia"/>
        </w:rPr>
        <w:instrText xml:space="preserve">REF _Ref392952207 \r \h</w:instrText>
      </w:r>
      <w:r>
        <w:instrText xml:space="preserve"> </w:instrText>
      </w:r>
      <w:r>
        <w:fldChar w:fldCharType="separate"/>
      </w:r>
      <w:r>
        <w:rPr>
          <w:rFonts w:hint="eastAsia"/>
        </w:rPr>
        <w:t>表16-1</w:t>
      </w:r>
      <w:r>
        <w:fldChar w:fldCharType="end"/>
      </w:r>
      <w:r>
        <w:rPr>
          <w:rFonts w:hint="eastAsia"/>
        </w:rPr>
        <w:t>所示。</w:t>
      </w:r>
    </w:p>
    <w:p w14:paraId="13217FD7">
      <w:pPr>
        <w:pStyle w:val="188"/>
      </w:pPr>
      <w:bookmarkStart w:id="5004" w:name="_Ref392951215"/>
      <w:bookmarkStart w:id="5005" w:name="_Toc141875113"/>
      <w:r>
        <w:rPr>
          <w:rFonts w:hint="eastAsia"/>
        </w:rPr>
        <w:t>地址池</w:t>
      </w:r>
      <w:bookmarkEnd w:id="5004"/>
      <w:r>
        <w:rPr>
          <w:rFonts w:hint="eastAsia"/>
        </w:rPr>
        <w:t>显示界面</w:t>
      </w:r>
      <w:bookmarkEnd w:id="5005"/>
    </w:p>
    <w:p w14:paraId="07321B06">
      <w:pPr>
        <w:pStyle w:val="175"/>
      </w:pPr>
      <w:r>
        <w:drawing>
          <wp:inline distT="0" distB="0" distL="0" distR="0">
            <wp:extent cx="5671185" cy="1058545"/>
            <wp:effectExtent l="0" t="0" r="5715" b="8255"/>
            <wp:docPr id="1802027865" name="图片 1802027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65" name="图片 1802027865"/>
                    <pic:cNvPicPr>
                      <a:picLocks noChangeAspect="1"/>
                    </pic:cNvPicPr>
                  </pic:nvPicPr>
                  <pic:blipFill>
                    <a:blip r:embed="rId669"/>
                    <a:stretch>
                      <a:fillRect/>
                    </a:stretch>
                  </pic:blipFill>
                  <pic:spPr>
                    <a:xfrm>
                      <a:off x="0" y="0"/>
                      <a:ext cx="5680836" cy="1060847"/>
                    </a:xfrm>
                    <a:prstGeom prst="rect">
                      <a:avLst/>
                    </a:prstGeom>
                  </pic:spPr>
                </pic:pic>
              </a:graphicData>
            </a:graphic>
          </wp:inline>
        </w:drawing>
      </w:r>
    </w:p>
    <w:p w14:paraId="28436656"/>
    <w:p w14:paraId="3CB9AAB6">
      <w:pPr>
        <w:pStyle w:val="188"/>
      </w:pPr>
      <w:bookmarkStart w:id="5006" w:name="_Ref392952197"/>
      <w:bookmarkStart w:id="5007" w:name="_Toc141875114"/>
      <w:r>
        <w:rPr>
          <w:rFonts w:hint="eastAsia"/>
        </w:rPr>
        <w:t>新建地址池</w:t>
      </w:r>
      <w:bookmarkEnd w:id="5006"/>
      <w:r>
        <w:rPr>
          <w:rFonts w:hint="eastAsia"/>
        </w:rPr>
        <w:t>界面</w:t>
      </w:r>
      <w:bookmarkEnd w:id="5007"/>
    </w:p>
    <w:p w14:paraId="39D6EE2C">
      <w:pPr>
        <w:pStyle w:val="175"/>
      </w:pPr>
      <w:r>
        <w:drawing>
          <wp:inline distT="0" distB="0" distL="0" distR="0">
            <wp:extent cx="5438775" cy="3625850"/>
            <wp:effectExtent l="0" t="0" r="9525"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670"/>
                    <a:stretch>
                      <a:fillRect/>
                    </a:stretch>
                  </pic:blipFill>
                  <pic:spPr>
                    <a:xfrm>
                      <a:off x="0" y="0"/>
                      <a:ext cx="5438775" cy="3625850"/>
                    </a:xfrm>
                    <a:prstGeom prst="rect">
                      <a:avLst/>
                    </a:prstGeom>
                  </pic:spPr>
                </pic:pic>
              </a:graphicData>
            </a:graphic>
          </wp:inline>
        </w:drawing>
      </w:r>
    </w:p>
    <w:p w14:paraId="057BD099"/>
    <w:p w14:paraId="79FE4369">
      <w:pPr>
        <w:pStyle w:val="183"/>
      </w:pPr>
      <w:bookmarkStart w:id="5008" w:name="_Ref392952207"/>
      <w:bookmarkStart w:id="5009" w:name="_Toc141875689"/>
      <w:r>
        <w:rPr>
          <w:rFonts w:hint="eastAsia"/>
        </w:rPr>
        <w:t>地址池详细配置</w:t>
      </w:r>
      <w:bookmarkEnd w:id="5008"/>
      <w:bookmarkEnd w:id="5009"/>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349"/>
        <w:gridCol w:w="7619"/>
      </w:tblGrid>
      <w:tr w14:paraId="19E08A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49" w:type="dxa"/>
            <w:tcBorders>
              <w:tl2br w:val="nil"/>
              <w:tr2bl w:val="nil"/>
            </w:tcBorders>
            <w:shd w:val="clear" w:color="auto" w:fill="538135" w:themeFill="accent6" w:themeFillShade="BF"/>
            <w:vAlign w:val="center"/>
          </w:tcPr>
          <w:p w14:paraId="2A6D1E70">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619" w:type="dxa"/>
            <w:tcBorders>
              <w:tl2br w:val="nil"/>
              <w:tr2bl w:val="nil"/>
            </w:tcBorders>
            <w:shd w:val="clear" w:color="auto" w:fill="538135" w:themeFill="accent6" w:themeFillShade="BF"/>
            <w:vAlign w:val="center"/>
          </w:tcPr>
          <w:p w14:paraId="37357BF0">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FC9BFE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49" w:type="dxa"/>
            <w:shd w:val="clear" w:color="auto" w:fill="auto"/>
          </w:tcPr>
          <w:p w14:paraId="562BEC3D">
            <w:pPr>
              <w:pStyle w:val="150"/>
            </w:pPr>
            <w:r>
              <w:rPr>
                <w:rFonts w:hint="eastAsia"/>
              </w:rPr>
              <w:t>地址类型</w:t>
            </w:r>
          </w:p>
        </w:tc>
        <w:tc>
          <w:tcPr>
            <w:tcW w:w="7619" w:type="dxa"/>
            <w:shd w:val="clear" w:color="auto" w:fill="auto"/>
          </w:tcPr>
          <w:p w14:paraId="6E12BC2B">
            <w:pPr>
              <w:pStyle w:val="150"/>
            </w:pPr>
            <w:r>
              <w:rPr>
                <w:rFonts w:hint="eastAsia"/>
              </w:rPr>
              <w:t>选择地址类型为IPv4或者IPv6</w:t>
            </w:r>
          </w:p>
        </w:tc>
      </w:tr>
      <w:tr w14:paraId="74F2F8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49" w:type="dxa"/>
            <w:shd w:val="clear" w:color="auto" w:fill="auto"/>
          </w:tcPr>
          <w:p w14:paraId="59D495C7">
            <w:pPr>
              <w:pStyle w:val="150"/>
            </w:pPr>
            <w:r>
              <w:rPr>
                <w:rFonts w:hint="eastAsia"/>
              </w:rPr>
              <w:t>名称</w:t>
            </w:r>
          </w:p>
        </w:tc>
        <w:tc>
          <w:tcPr>
            <w:tcW w:w="7619" w:type="dxa"/>
            <w:shd w:val="clear" w:color="auto" w:fill="auto"/>
          </w:tcPr>
          <w:p w14:paraId="4B82D35A">
            <w:pPr>
              <w:pStyle w:val="150"/>
            </w:pPr>
            <w:r>
              <w:rPr>
                <w:rFonts w:hint="eastAsia"/>
              </w:rPr>
              <w:t>NAT地址池的名称</w:t>
            </w:r>
          </w:p>
        </w:tc>
      </w:tr>
      <w:tr w14:paraId="720C491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49" w:type="dxa"/>
            <w:shd w:val="clear" w:color="auto" w:fill="auto"/>
          </w:tcPr>
          <w:p w14:paraId="282C0B7F">
            <w:pPr>
              <w:pStyle w:val="150"/>
            </w:pPr>
            <w:r>
              <w:rPr>
                <w:rFonts w:hint="eastAsia"/>
              </w:rPr>
              <w:t>描述</w:t>
            </w:r>
          </w:p>
        </w:tc>
        <w:tc>
          <w:tcPr>
            <w:tcW w:w="7619" w:type="dxa"/>
            <w:shd w:val="clear" w:color="auto" w:fill="auto"/>
          </w:tcPr>
          <w:p w14:paraId="3CC1CE18">
            <w:pPr>
              <w:pStyle w:val="150"/>
            </w:pPr>
            <w:r>
              <w:rPr>
                <w:rFonts w:hint="eastAsia"/>
              </w:rPr>
              <w:t>NAT地址池的描述</w:t>
            </w:r>
          </w:p>
        </w:tc>
      </w:tr>
      <w:tr w14:paraId="42106F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49" w:type="dxa"/>
            <w:shd w:val="clear" w:color="auto" w:fill="auto"/>
          </w:tcPr>
          <w:p w14:paraId="5C5C86B7">
            <w:pPr>
              <w:pStyle w:val="150"/>
            </w:pPr>
            <w:r>
              <w:rPr>
                <w:rFonts w:hint="eastAsia"/>
              </w:rPr>
              <w:t>地址项目</w:t>
            </w:r>
          </w:p>
        </w:tc>
        <w:tc>
          <w:tcPr>
            <w:tcW w:w="7619" w:type="dxa"/>
            <w:shd w:val="clear" w:color="auto" w:fill="auto"/>
          </w:tcPr>
          <w:p w14:paraId="64A8FD75">
            <w:pPr>
              <w:pStyle w:val="150"/>
            </w:pPr>
            <w:r>
              <w:t>NAT</w:t>
            </w:r>
            <w:r>
              <w:rPr>
                <w:rFonts w:hint="eastAsia"/>
              </w:rPr>
              <w:t>地址池中的起始地址和结束地址，</w:t>
            </w:r>
            <w:r>
              <w:t>NAT</w:t>
            </w:r>
            <w:r>
              <w:rPr>
                <w:rFonts w:hint="eastAsia"/>
              </w:rPr>
              <w:t>地址池中的结束地址不能小于起始地址。从起始地址到结束地址这个范围内的地址都会作为地址池中的地址</w:t>
            </w:r>
          </w:p>
        </w:tc>
      </w:tr>
      <w:tr w14:paraId="03AA3F8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49" w:type="dxa"/>
            <w:shd w:val="clear" w:color="auto" w:fill="auto"/>
          </w:tcPr>
          <w:p w14:paraId="0B9961EC">
            <w:pPr>
              <w:pStyle w:val="150"/>
            </w:pPr>
            <w:r>
              <w:rPr>
                <w:rFonts w:hint="eastAsia"/>
              </w:rPr>
              <w:t>地址池</w:t>
            </w:r>
          </w:p>
        </w:tc>
        <w:tc>
          <w:tcPr>
            <w:tcW w:w="7619" w:type="dxa"/>
            <w:shd w:val="clear" w:color="auto" w:fill="auto"/>
          </w:tcPr>
          <w:p w14:paraId="164E49F1">
            <w:pPr>
              <w:pStyle w:val="150"/>
            </w:pPr>
            <w:r>
              <w:t>添加NAT</w:t>
            </w:r>
            <w:r>
              <w:rPr>
                <w:rFonts w:hint="eastAsia"/>
              </w:rPr>
              <w:t>地址池中的起始地址和结束地址，</w:t>
            </w:r>
            <w:r>
              <w:t>NAT</w:t>
            </w:r>
            <w:r>
              <w:rPr>
                <w:rFonts w:hint="eastAsia"/>
              </w:rPr>
              <w:t>地址池中的结束地址不能小于起始地址。从起始地址到结束地址这个范围内的地址都会作为地址池中的地址。</w:t>
            </w:r>
          </w:p>
          <w:p w14:paraId="547766A9">
            <w:pPr>
              <w:pStyle w:val="150"/>
            </w:pPr>
            <w:r>
              <w:rPr>
                <w:rFonts w:hint="eastAsia"/>
              </w:rPr>
              <w:t>可配置多个起始地址，以回车隔开；最多可配置2</w:t>
            </w:r>
            <w:r>
              <w:t>56</w:t>
            </w:r>
            <w:r>
              <w:rPr>
                <w:rFonts w:hint="eastAsia"/>
              </w:rPr>
              <w:t>个。</w:t>
            </w:r>
          </w:p>
        </w:tc>
      </w:tr>
    </w:tbl>
    <w:p w14:paraId="35531719"/>
    <w:p w14:paraId="4FA9EEC0">
      <w:r>
        <w:rPr>
          <w:rFonts w:hint="eastAsia"/>
        </w:rPr>
        <w:t>也可以通过直接上传csv文件的方式导入地址池，或将当前配置的地址池以csv文件格式导出。</w:t>
      </w:r>
    </w:p>
    <w:p w14:paraId="45391F54">
      <w:r>
        <w:t>导入地址池的操作步骤如下</w:t>
      </w:r>
      <w:r>
        <w:rPr>
          <w:rFonts w:hint="eastAsia"/>
        </w:rPr>
        <w:t>：</w:t>
      </w:r>
    </w:p>
    <w:p w14:paraId="3B73C2B7">
      <w:pPr>
        <w:pStyle w:val="202"/>
        <w:rPr>
          <w:lang w:eastAsia="zh-CN"/>
        </w:rPr>
      </w:pPr>
      <w:r>
        <w:rPr>
          <w:rFonts w:hint="eastAsia"/>
          <w:lang w:eastAsia="zh-CN"/>
        </w:rPr>
        <w:t>点击&lt;下载模板&gt;，下载模板文件至本地。</w:t>
      </w:r>
    </w:p>
    <w:p w14:paraId="6301C138">
      <w:pPr>
        <w:pStyle w:val="202"/>
        <w:rPr>
          <w:lang w:eastAsia="zh-CN"/>
        </w:rPr>
      </w:pPr>
      <w:r>
        <w:rPr>
          <w:rFonts w:hint="eastAsia"/>
          <w:lang w:eastAsia="zh-CN"/>
        </w:rPr>
        <w:t>根据模板文件示例编辑模板文件并保存。</w:t>
      </w:r>
    </w:p>
    <w:p w14:paraId="555E59E8">
      <w:pPr>
        <w:pStyle w:val="188"/>
      </w:pPr>
      <w:r>
        <w:rPr>
          <w:rFonts w:hint="eastAsia"/>
        </w:rPr>
        <w:t>模板文件</w:t>
      </w:r>
    </w:p>
    <w:p w14:paraId="1FAC0DF2">
      <w:pPr>
        <w:pStyle w:val="175"/>
      </w:pPr>
      <w:r>
        <w:drawing>
          <wp:inline distT="0" distB="0" distL="0" distR="0">
            <wp:extent cx="4667250" cy="1421130"/>
            <wp:effectExtent l="0" t="0" r="0" b="7620"/>
            <wp:docPr id="1802027866" name="图片 1802027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66" name="图片 1802027866"/>
                    <pic:cNvPicPr>
                      <a:picLocks noChangeAspect="1"/>
                    </pic:cNvPicPr>
                  </pic:nvPicPr>
                  <pic:blipFill>
                    <a:blip r:embed="rId671"/>
                    <a:stretch>
                      <a:fillRect/>
                    </a:stretch>
                  </pic:blipFill>
                  <pic:spPr>
                    <a:xfrm>
                      <a:off x="0" y="0"/>
                      <a:ext cx="4678784" cy="1425138"/>
                    </a:xfrm>
                    <a:prstGeom prst="rect">
                      <a:avLst/>
                    </a:prstGeom>
                  </pic:spPr>
                </pic:pic>
              </a:graphicData>
            </a:graphic>
          </wp:inline>
        </w:drawing>
      </w:r>
    </w:p>
    <w:p w14:paraId="269FCFA3">
      <w:pPr>
        <w:pStyle w:val="202"/>
        <w:rPr>
          <w:lang w:eastAsia="zh-CN"/>
        </w:rPr>
      </w:pPr>
      <w:r>
        <w:rPr>
          <w:rFonts w:hint="eastAsia"/>
          <w:lang w:eastAsia="zh-CN"/>
        </w:rPr>
        <w:t>点击&lt;导入&gt;，在弹出的对话框中点击&lt;选择文件&gt;，选择编辑好的模板文件，选择“替换”或“跳过”，点击&lt;提交&gt;，即可批量导入地址池信息。</w:t>
      </w:r>
    </w:p>
    <w:p w14:paraId="5BED6812">
      <w:pPr>
        <w:pStyle w:val="188"/>
      </w:pPr>
      <w:r>
        <w:rPr>
          <w:rFonts w:hint="eastAsia"/>
        </w:rPr>
        <w:t>地址池导入页面</w:t>
      </w:r>
    </w:p>
    <w:p w14:paraId="3DBE5BCC">
      <w:pPr>
        <w:pStyle w:val="175"/>
      </w:pPr>
      <w:r>
        <w:drawing>
          <wp:inline distT="0" distB="0" distL="0" distR="0">
            <wp:extent cx="5248275" cy="1992630"/>
            <wp:effectExtent l="0" t="0" r="0" b="7620"/>
            <wp:docPr id="1802027867" name="图片 1802027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67" name="图片 1802027867"/>
                    <pic:cNvPicPr>
                      <a:picLocks noChangeAspect="1"/>
                    </pic:cNvPicPr>
                  </pic:nvPicPr>
                  <pic:blipFill>
                    <a:blip r:embed="rId672"/>
                    <a:stretch>
                      <a:fillRect/>
                    </a:stretch>
                  </pic:blipFill>
                  <pic:spPr>
                    <a:xfrm>
                      <a:off x="0" y="0"/>
                      <a:ext cx="5260604" cy="1997808"/>
                    </a:xfrm>
                    <a:prstGeom prst="rect">
                      <a:avLst/>
                    </a:prstGeom>
                  </pic:spPr>
                </pic:pic>
              </a:graphicData>
            </a:graphic>
          </wp:inline>
        </w:drawing>
      </w:r>
    </w:p>
    <w:p w14:paraId="4AD4721B">
      <w:r>
        <w:rPr>
          <w:rFonts w:hint="eastAsia"/>
        </w:rPr>
        <w:t>点击&lt;导出</w:t>
      </w:r>
      <w:r>
        <w:t>&gt;</w:t>
      </w:r>
      <w:r>
        <w:rPr>
          <w:rFonts w:hint="eastAsia"/>
        </w:rPr>
        <w:t>，可将已配置的地址</w:t>
      </w:r>
      <w:r>
        <w:t>池信息全部</w:t>
      </w:r>
      <w:r>
        <w:rPr>
          <w:rFonts w:hint="eastAsia"/>
        </w:rPr>
        <w:t>导出至本地，导出的文件为csv文件格式。</w:t>
      </w:r>
    </w:p>
    <w:p w14:paraId="532A5D35">
      <w:pPr>
        <w:pStyle w:val="188"/>
      </w:pPr>
      <w:r>
        <w:rPr>
          <w:rFonts w:hint="eastAsia"/>
        </w:rPr>
        <w:t>地址池导出结果</w:t>
      </w:r>
    </w:p>
    <w:p w14:paraId="1B46AD92">
      <w:pPr>
        <w:pStyle w:val="175"/>
      </w:pPr>
      <w:r>
        <w:drawing>
          <wp:inline distT="0" distB="0" distL="114300" distR="114300">
            <wp:extent cx="3486150" cy="3530600"/>
            <wp:effectExtent l="0" t="0" r="0" b="0"/>
            <wp:docPr id="180202786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68" name="图片 6"/>
                    <pic:cNvPicPr>
                      <a:picLocks noChangeAspect="1"/>
                    </pic:cNvPicPr>
                  </pic:nvPicPr>
                  <pic:blipFill>
                    <a:blip r:embed="rId673"/>
                    <a:srcRect r="14435"/>
                    <a:stretch>
                      <a:fillRect/>
                    </a:stretch>
                  </pic:blipFill>
                  <pic:spPr>
                    <a:xfrm>
                      <a:off x="0" y="0"/>
                      <a:ext cx="3495657" cy="3540762"/>
                    </a:xfrm>
                    <a:prstGeom prst="rect">
                      <a:avLst/>
                    </a:prstGeom>
                    <a:noFill/>
                    <a:ln>
                      <a:noFill/>
                    </a:ln>
                  </pic:spPr>
                </pic:pic>
              </a:graphicData>
            </a:graphic>
          </wp:inline>
        </w:drawing>
      </w:r>
    </w:p>
    <w:p w14:paraId="017D826D"/>
    <w:p w14:paraId="47012E8B">
      <w:pPr>
        <w:pStyle w:val="4"/>
      </w:pPr>
      <w:bookmarkStart w:id="5010" w:name="_Toc60068992"/>
      <w:bookmarkStart w:id="5011" w:name="_Toc172218480"/>
      <w:bookmarkStart w:id="5012" w:name="_Toc141873701"/>
      <w:bookmarkStart w:id="5013" w:name="_Toc44618104"/>
      <w:bookmarkStart w:id="5014" w:name="_Toc99561825"/>
      <w:bookmarkStart w:id="5015" w:name="_Toc61022469"/>
      <w:bookmarkStart w:id="5016" w:name="_Toc194080966"/>
      <w:bookmarkStart w:id="5017" w:name="_Toc142401218"/>
      <w:bookmarkStart w:id="5018" w:name="_Toc196728298"/>
      <w:r>
        <w:rPr>
          <w:rFonts w:hint="eastAsia"/>
        </w:rPr>
        <w:t>配置NAT6</w:t>
      </w:r>
      <w:r>
        <w:t>4</w:t>
      </w:r>
      <w:bookmarkEnd w:id="5010"/>
      <w:bookmarkEnd w:id="5011"/>
      <w:bookmarkEnd w:id="5012"/>
      <w:bookmarkEnd w:id="5013"/>
      <w:bookmarkEnd w:id="5014"/>
      <w:bookmarkEnd w:id="5015"/>
      <w:bookmarkEnd w:id="5016"/>
      <w:bookmarkEnd w:id="5017"/>
      <w:bookmarkEnd w:id="5018"/>
    </w:p>
    <w:p w14:paraId="13636504">
      <w:r>
        <w:rPr>
          <w:rFonts w:hint="eastAsia"/>
        </w:rPr>
        <w:t>在导航栏中选择“策略配置 &gt; NAT转换策略</w:t>
      </w:r>
      <w:r>
        <w:t xml:space="preserve">&gt; </w:t>
      </w:r>
      <w:r>
        <w:rPr>
          <w:rFonts w:hint="eastAsia"/>
        </w:rPr>
        <w:t>NAT</w:t>
      </w:r>
      <w:r>
        <w:t>64</w:t>
      </w:r>
      <w:r>
        <w:rPr>
          <w:rFonts w:hint="eastAsia"/>
        </w:rPr>
        <w:t>”，单击&lt;新建&gt;按钮，进入目的NAT</w:t>
      </w:r>
      <w:r>
        <w:t>64</w:t>
      </w:r>
      <w:r>
        <w:rPr>
          <w:rFonts w:hint="eastAsia"/>
        </w:rPr>
        <w:t>配置页面，如下图所示。</w:t>
      </w:r>
    </w:p>
    <w:p w14:paraId="6726F336">
      <w:pPr>
        <w:pStyle w:val="188"/>
      </w:pPr>
      <w:bookmarkStart w:id="5019" w:name="_Toc141875115"/>
      <w:r>
        <w:rPr>
          <w:rFonts w:hint="eastAsia"/>
        </w:rPr>
        <w:t>NAT</w:t>
      </w:r>
      <w:r>
        <w:t>64</w:t>
      </w:r>
      <w:r>
        <w:rPr>
          <w:rFonts w:hint="eastAsia"/>
        </w:rPr>
        <w:t>配置</w:t>
      </w:r>
      <w:bookmarkEnd w:id="5019"/>
    </w:p>
    <w:p w14:paraId="5C4D57A0">
      <w:pPr>
        <w:spacing w:before="78" w:after="78"/>
      </w:pPr>
      <w:r>
        <w:t xml:space="preserve"> </w:t>
      </w:r>
      <w:r>
        <w:drawing>
          <wp:inline distT="0" distB="0" distL="0" distR="0">
            <wp:extent cx="5400040" cy="2690495"/>
            <wp:effectExtent l="0" t="0" r="0" b="0"/>
            <wp:docPr id="802" name="图片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图片 802"/>
                    <pic:cNvPicPr>
                      <a:picLocks noChangeAspect="1"/>
                    </pic:cNvPicPr>
                  </pic:nvPicPr>
                  <pic:blipFill>
                    <a:blip r:embed="rId674"/>
                    <a:stretch>
                      <a:fillRect/>
                    </a:stretch>
                  </pic:blipFill>
                  <pic:spPr>
                    <a:xfrm>
                      <a:off x="0" y="0"/>
                      <a:ext cx="5400040" cy="2690495"/>
                    </a:xfrm>
                    <a:prstGeom prst="rect">
                      <a:avLst/>
                    </a:prstGeom>
                  </pic:spPr>
                </pic:pic>
              </a:graphicData>
            </a:graphic>
          </wp:inline>
        </w:drawing>
      </w:r>
    </w:p>
    <w:p w14:paraId="1E277C61"/>
    <w:p w14:paraId="6BDB5440">
      <w:pPr>
        <w:pStyle w:val="183"/>
      </w:pPr>
      <w:bookmarkStart w:id="5020" w:name="_Toc141875690"/>
      <w:r>
        <w:rPr>
          <w:rFonts w:hint="eastAsia"/>
        </w:rPr>
        <w:t>NAT</w:t>
      </w:r>
      <w:r>
        <w:t>64</w:t>
      </w:r>
      <w:r>
        <w:rPr>
          <w:rFonts w:hint="eastAsia"/>
        </w:rPr>
        <w:t>详细配置</w:t>
      </w:r>
      <w:bookmarkEnd w:id="5020"/>
    </w:p>
    <w:tbl>
      <w:tblPr>
        <w:tblStyle w:val="173"/>
        <w:tblW w:w="500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49"/>
        <w:gridCol w:w="6793"/>
      </w:tblGrid>
      <w:tr w14:paraId="4101DE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25" w:type="pct"/>
            <w:tcBorders>
              <w:tl2br w:val="nil"/>
              <w:tr2bl w:val="nil"/>
            </w:tcBorders>
            <w:shd w:val="clear" w:color="auto" w:fill="538135" w:themeFill="accent6" w:themeFillShade="BF"/>
            <w:vAlign w:val="center"/>
          </w:tcPr>
          <w:p w14:paraId="583C123C">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3675" w:type="pct"/>
            <w:tcBorders>
              <w:tl2br w:val="nil"/>
              <w:tr2bl w:val="nil"/>
            </w:tcBorders>
            <w:shd w:val="clear" w:color="auto" w:fill="538135" w:themeFill="accent6" w:themeFillShade="BF"/>
            <w:vAlign w:val="center"/>
          </w:tcPr>
          <w:p w14:paraId="139472B9">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4E069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25" w:type="pct"/>
            <w:shd w:val="clear" w:color="auto" w:fill="auto"/>
          </w:tcPr>
          <w:p w14:paraId="7FBDDBEC">
            <w:pPr>
              <w:pStyle w:val="150"/>
            </w:pPr>
            <w:r>
              <w:rPr>
                <w:rFonts w:hint="eastAsia"/>
              </w:rPr>
              <w:t>启用</w:t>
            </w:r>
          </w:p>
        </w:tc>
        <w:tc>
          <w:tcPr>
            <w:tcW w:w="3675" w:type="pct"/>
            <w:shd w:val="clear" w:color="auto" w:fill="auto"/>
          </w:tcPr>
          <w:p w14:paraId="31AAEA04">
            <w:pPr>
              <w:pStyle w:val="150"/>
            </w:pPr>
            <w:r>
              <w:rPr>
                <w:rFonts w:hint="eastAsia"/>
              </w:rPr>
              <w:t>是否</w:t>
            </w:r>
            <w:r>
              <w:t>启用</w:t>
            </w:r>
            <w:r>
              <w:rPr>
                <w:rFonts w:hint="eastAsia"/>
              </w:rPr>
              <w:t>NAT64</w:t>
            </w:r>
            <w:r>
              <w:t>策略</w:t>
            </w:r>
            <w:r>
              <w:rPr>
                <w:rFonts w:hint="eastAsia"/>
              </w:rPr>
              <w:t>。</w:t>
            </w:r>
          </w:p>
        </w:tc>
      </w:tr>
      <w:tr w14:paraId="05B37F4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25" w:type="pct"/>
            <w:shd w:val="clear" w:color="auto" w:fill="auto"/>
          </w:tcPr>
          <w:p w14:paraId="304BA394">
            <w:pPr>
              <w:pStyle w:val="150"/>
            </w:pPr>
            <w:r>
              <w:rPr>
                <w:rFonts w:hint="eastAsia"/>
              </w:rPr>
              <w:t>描述</w:t>
            </w:r>
          </w:p>
        </w:tc>
        <w:tc>
          <w:tcPr>
            <w:tcW w:w="3675" w:type="pct"/>
            <w:shd w:val="clear" w:color="auto" w:fill="auto"/>
          </w:tcPr>
          <w:p w14:paraId="60CF2461">
            <w:pPr>
              <w:pStyle w:val="150"/>
            </w:pPr>
            <w:r>
              <w:rPr>
                <w:rFonts w:hint="eastAsia"/>
              </w:rPr>
              <w:t>NAT策略</w:t>
            </w:r>
            <w:r>
              <w:t>的描述</w:t>
            </w:r>
          </w:p>
        </w:tc>
      </w:tr>
      <w:tr w14:paraId="24B055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25" w:type="pct"/>
            <w:shd w:val="clear" w:color="auto" w:fill="auto"/>
          </w:tcPr>
          <w:p w14:paraId="52255DD7">
            <w:pPr>
              <w:pStyle w:val="150"/>
            </w:pPr>
            <w:r>
              <w:rPr>
                <w:rFonts w:hint="eastAsia"/>
              </w:rPr>
              <w:t>接口</w:t>
            </w:r>
          </w:p>
        </w:tc>
        <w:tc>
          <w:tcPr>
            <w:tcW w:w="3675" w:type="pct"/>
            <w:shd w:val="clear" w:color="auto" w:fill="auto"/>
          </w:tcPr>
          <w:p w14:paraId="7E8DE5A8">
            <w:pPr>
              <w:pStyle w:val="150"/>
            </w:pPr>
            <w:r>
              <w:rPr>
                <w:rFonts w:hint="eastAsia"/>
              </w:rPr>
              <w:t>指定NAT64数据流的经过设备的入接口</w:t>
            </w:r>
          </w:p>
        </w:tc>
      </w:tr>
      <w:tr w14:paraId="6A610ED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25" w:type="pct"/>
            <w:shd w:val="clear" w:color="auto" w:fill="auto"/>
          </w:tcPr>
          <w:p w14:paraId="1BBD4553">
            <w:pPr>
              <w:pStyle w:val="150"/>
            </w:pPr>
            <w:r>
              <w:rPr>
                <w:rFonts w:hint="eastAsia"/>
              </w:rPr>
              <w:t>转换前目的地址前缀</w:t>
            </w:r>
          </w:p>
        </w:tc>
        <w:tc>
          <w:tcPr>
            <w:tcW w:w="3675" w:type="pct"/>
            <w:shd w:val="clear" w:color="auto" w:fill="auto"/>
          </w:tcPr>
          <w:p w14:paraId="47193F31">
            <w:pPr>
              <w:pStyle w:val="150"/>
            </w:pPr>
            <w:r>
              <w:rPr>
                <w:rFonts w:hint="eastAsia"/>
              </w:rPr>
              <w:t>通过判断IPv6报文的目的地址中是否包含“转换前目的地址前缀”来决定是否对该IPv6报文进行NAT64处理。</w:t>
            </w:r>
          </w:p>
          <w:p w14:paraId="2E9A23ED">
            <w:pPr>
              <w:pStyle w:val="150"/>
            </w:pPr>
            <w:r>
              <w:rPr>
                <w:rFonts w:hint="eastAsia"/>
              </w:rPr>
              <w:t>目的地址转换规则为“前缀转换”时，IPv6地址前缀不能大于96位，否则无法从IPv6地址提取IPv4地址。</w:t>
            </w:r>
          </w:p>
        </w:tc>
      </w:tr>
      <w:tr w14:paraId="061ED1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25" w:type="pct"/>
            <w:shd w:val="clear" w:color="auto" w:fill="auto"/>
          </w:tcPr>
          <w:p w14:paraId="28843756">
            <w:pPr>
              <w:pStyle w:val="150"/>
            </w:pPr>
            <w:r>
              <w:rPr>
                <w:rFonts w:hint="eastAsia"/>
              </w:rPr>
              <w:t>目的地址转换规则</w:t>
            </w:r>
          </w:p>
        </w:tc>
        <w:tc>
          <w:tcPr>
            <w:tcW w:w="3675" w:type="pct"/>
            <w:shd w:val="clear" w:color="auto" w:fill="auto"/>
          </w:tcPr>
          <w:p w14:paraId="734BAC2A">
            <w:pPr>
              <w:pStyle w:val="150"/>
            </w:pPr>
            <w:r>
              <w:rPr>
                <w:rFonts w:hint="eastAsia"/>
              </w:rPr>
              <w:t>前缀转换：根据NAT64前缀规则转换；</w:t>
            </w:r>
          </w:p>
          <w:p w14:paraId="3918C3DD">
            <w:pPr>
              <w:pStyle w:val="150"/>
            </w:pPr>
            <w:r>
              <w:rPr>
                <w:rFonts w:hint="eastAsia"/>
              </w:rPr>
              <w:t>静态地址：根据转换后目的地址转换。</w:t>
            </w:r>
          </w:p>
        </w:tc>
      </w:tr>
      <w:tr w14:paraId="34B38E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25" w:type="pct"/>
            <w:shd w:val="clear" w:color="auto" w:fill="auto"/>
          </w:tcPr>
          <w:p w14:paraId="67644BA4">
            <w:pPr>
              <w:pStyle w:val="150"/>
            </w:pPr>
            <w:r>
              <w:rPr>
                <w:rFonts w:hint="eastAsia"/>
              </w:rPr>
              <w:t>转换后目的地址</w:t>
            </w:r>
          </w:p>
        </w:tc>
        <w:tc>
          <w:tcPr>
            <w:tcW w:w="3675" w:type="pct"/>
            <w:shd w:val="clear" w:color="auto" w:fill="auto"/>
          </w:tcPr>
          <w:p w14:paraId="0DB6B111">
            <w:pPr>
              <w:pStyle w:val="150"/>
            </w:pPr>
            <w:r>
              <w:rPr>
                <w:rFonts w:hint="eastAsia"/>
              </w:rPr>
              <w:t>配置转换后的目的地址；目的地址转换规则为静态地址时可配置。</w:t>
            </w:r>
          </w:p>
        </w:tc>
      </w:tr>
      <w:tr w14:paraId="37AA47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25" w:type="pct"/>
            <w:shd w:val="clear" w:color="auto" w:fill="auto"/>
          </w:tcPr>
          <w:p w14:paraId="676F911B">
            <w:pPr>
              <w:pStyle w:val="150"/>
            </w:pPr>
            <w:r>
              <w:rPr>
                <w:rFonts w:hint="eastAsia"/>
              </w:rPr>
              <w:t>转换后源地址</w:t>
            </w:r>
          </w:p>
        </w:tc>
        <w:tc>
          <w:tcPr>
            <w:tcW w:w="3675" w:type="pct"/>
            <w:shd w:val="clear" w:color="auto" w:fill="auto"/>
          </w:tcPr>
          <w:p w14:paraId="3E1E9E43">
            <w:pPr>
              <w:pStyle w:val="150"/>
            </w:pPr>
            <w:r>
              <w:rPr>
                <w:rFonts w:hint="eastAsia"/>
              </w:rPr>
              <w:t>策略匹配后源地址转换IPv</w:t>
            </w:r>
            <w:r>
              <w:t>4</w:t>
            </w:r>
            <w:r>
              <w:rPr>
                <w:rFonts w:hint="eastAsia"/>
              </w:rPr>
              <w:t>地址池</w:t>
            </w:r>
          </w:p>
        </w:tc>
      </w:tr>
      <w:tr w14:paraId="5F6D386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25" w:type="pct"/>
            <w:shd w:val="clear" w:color="auto" w:fill="auto"/>
          </w:tcPr>
          <w:p w14:paraId="1A965C44">
            <w:pPr>
              <w:pStyle w:val="150"/>
            </w:pPr>
            <w:r>
              <w:rPr>
                <w:rFonts w:hint="eastAsia"/>
              </w:rPr>
              <w:t>日志</w:t>
            </w:r>
          </w:p>
        </w:tc>
        <w:tc>
          <w:tcPr>
            <w:tcW w:w="3675" w:type="pct"/>
            <w:shd w:val="clear" w:color="auto" w:fill="auto"/>
          </w:tcPr>
          <w:p w14:paraId="155E5846">
            <w:pPr>
              <w:pStyle w:val="150"/>
            </w:pPr>
            <w:r>
              <w:rPr>
                <w:rFonts w:hint="eastAsia"/>
              </w:rPr>
              <w:t>勾选复选框在执行NAT转换时生成NAT日志。NAT日志只能外发到日志服务器上，无法本地存储及查看。</w:t>
            </w:r>
          </w:p>
        </w:tc>
      </w:tr>
    </w:tbl>
    <w:p w14:paraId="7C1A232E"/>
    <w:p w14:paraId="11C49267">
      <w:pPr>
        <w:pStyle w:val="4"/>
      </w:pPr>
      <w:bookmarkStart w:id="5021" w:name="_Toc194080967"/>
      <w:bookmarkStart w:id="5022" w:name="_Toc60068993"/>
      <w:bookmarkStart w:id="5023" w:name="_Toc196728299"/>
      <w:bookmarkStart w:id="5024" w:name="_Toc172218481"/>
      <w:bookmarkStart w:id="5025" w:name="_Toc61022470"/>
      <w:bookmarkStart w:id="5026" w:name="_Toc141873702"/>
      <w:bookmarkStart w:id="5027" w:name="_Toc99561826"/>
      <w:bookmarkStart w:id="5028" w:name="_Toc142401219"/>
      <w:bookmarkStart w:id="5029" w:name="_Toc44618105"/>
      <w:r>
        <w:rPr>
          <w:rFonts w:hint="eastAsia"/>
        </w:rPr>
        <w:t>配置NAT46</w:t>
      </w:r>
      <w:bookmarkEnd w:id="5021"/>
      <w:bookmarkEnd w:id="5022"/>
      <w:bookmarkEnd w:id="5023"/>
      <w:bookmarkEnd w:id="5024"/>
      <w:bookmarkEnd w:id="5025"/>
      <w:bookmarkEnd w:id="5026"/>
      <w:bookmarkEnd w:id="5027"/>
      <w:bookmarkEnd w:id="5028"/>
      <w:bookmarkEnd w:id="5029"/>
    </w:p>
    <w:p w14:paraId="3D31221B">
      <w:r>
        <w:rPr>
          <w:rFonts w:hint="eastAsia"/>
        </w:rPr>
        <w:t>在导航栏中选择“策略配置 &gt; NAT转换策略</w:t>
      </w:r>
      <w:r>
        <w:t xml:space="preserve">&gt; </w:t>
      </w:r>
      <w:r>
        <w:rPr>
          <w:rFonts w:hint="eastAsia"/>
        </w:rPr>
        <w:t>NAT</w:t>
      </w:r>
      <w:r>
        <w:t>46</w:t>
      </w:r>
      <w:r>
        <w:rPr>
          <w:rFonts w:hint="eastAsia"/>
        </w:rPr>
        <w:t>”，单击&lt;新建&gt;按钮，进入目的NAT</w:t>
      </w:r>
      <w:r>
        <w:t>46</w:t>
      </w:r>
      <w:r>
        <w:rPr>
          <w:rFonts w:hint="eastAsia"/>
        </w:rPr>
        <w:t>配置页面，如下图所示。</w:t>
      </w:r>
    </w:p>
    <w:p w14:paraId="20F6317D">
      <w:pPr>
        <w:pStyle w:val="188"/>
      </w:pPr>
      <w:bookmarkStart w:id="5030" w:name="_Toc141875116"/>
      <w:r>
        <w:rPr>
          <w:rFonts w:hint="eastAsia"/>
        </w:rPr>
        <w:t>NAT</w:t>
      </w:r>
      <w:r>
        <w:t>46</w:t>
      </w:r>
      <w:r>
        <w:rPr>
          <w:rFonts w:hint="eastAsia"/>
        </w:rPr>
        <w:t>配置</w:t>
      </w:r>
      <w:bookmarkEnd w:id="5030"/>
      <w:r>
        <w:rPr>
          <w:rFonts w:hint="eastAsia"/>
        </w:rPr>
        <w:t>-前缀转换</w:t>
      </w:r>
    </w:p>
    <w:p w14:paraId="1FD54D6C">
      <w:pPr>
        <w:pStyle w:val="175"/>
      </w:pPr>
      <w:r>
        <w:drawing>
          <wp:inline distT="0" distB="0" distL="0" distR="0">
            <wp:extent cx="4791075" cy="2637790"/>
            <wp:effectExtent l="0" t="0" r="0" b="0"/>
            <wp:docPr id="1296485362" name="图片 1296485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62" name="图片 1296485362"/>
                    <pic:cNvPicPr>
                      <a:picLocks noChangeAspect="1"/>
                    </pic:cNvPicPr>
                  </pic:nvPicPr>
                  <pic:blipFill>
                    <a:blip r:embed="rId675"/>
                    <a:stretch>
                      <a:fillRect/>
                    </a:stretch>
                  </pic:blipFill>
                  <pic:spPr>
                    <a:xfrm>
                      <a:off x="0" y="0"/>
                      <a:ext cx="4801270" cy="2643463"/>
                    </a:xfrm>
                    <a:prstGeom prst="rect">
                      <a:avLst/>
                    </a:prstGeom>
                  </pic:spPr>
                </pic:pic>
              </a:graphicData>
            </a:graphic>
          </wp:inline>
        </w:drawing>
      </w:r>
    </w:p>
    <w:p w14:paraId="5507E6E0"/>
    <w:p w14:paraId="2B30F385">
      <w:pPr>
        <w:pStyle w:val="188"/>
      </w:pPr>
      <w:r>
        <w:rPr>
          <w:rFonts w:hint="eastAsia"/>
        </w:rPr>
        <w:t>NAT</w:t>
      </w:r>
      <w:r>
        <w:t>46</w:t>
      </w:r>
      <w:r>
        <w:rPr>
          <w:rFonts w:hint="eastAsia"/>
        </w:rPr>
        <w:t>配置-静态地址转换</w:t>
      </w:r>
    </w:p>
    <w:p w14:paraId="0FFB0E7C">
      <w:pPr>
        <w:pStyle w:val="175"/>
      </w:pPr>
      <w:r>
        <w:drawing>
          <wp:inline distT="0" distB="0" distL="0" distR="0">
            <wp:extent cx="5286375" cy="2992755"/>
            <wp:effectExtent l="0" t="0" r="0" b="0"/>
            <wp:docPr id="391"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91"/>
                    <pic:cNvPicPr>
                      <a:picLocks noChangeAspect="1"/>
                    </pic:cNvPicPr>
                  </pic:nvPicPr>
                  <pic:blipFill>
                    <a:blip r:embed="rId676"/>
                    <a:stretch>
                      <a:fillRect/>
                    </a:stretch>
                  </pic:blipFill>
                  <pic:spPr>
                    <a:xfrm>
                      <a:off x="0" y="0"/>
                      <a:ext cx="5295177" cy="2998348"/>
                    </a:xfrm>
                    <a:prstGeom prst="rect">
                      <a:avLst/>
                    </a:prstGeom>
                  </pic:spPr>
                </pic:pic>
              </a:graphicData>
            </a:graphic>
          </wp:inline>
        </w:drawing>
      </w:r>
    </w:p>
    <w:p w14:paraId="2D67645E"/>
    <w:p w14:paraId="72824243">
      <w:pPr>
        <w:pStyle w:val="183"/>
      </w:pPr>
      <w:bookmarkStart w:id="5031" w:name="_Toc141875691"/>
      <w:r>
        <w:rPr>
          <w:rFonts w:hint="eastAsia"/>
        </w:rPr>
        <w:t>NAT</w:t>
      </w:r>
      <w:r>
        <w:t>46</w:t>
      </w:r>
      <w:r>
        <w:rPr>
          <w:rFonts w:hint="eastAsia"/>
        </w:rPr>
        <w:t>详细配置</w:t>
      </w:r>
      <w:bookmarkEnd w:id="5031"/>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7184E2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tcBorders>
              <w:tl2br w:val="nil"/>
              <w:tr2bl w:val="nil"/>
            </w:tcBorders>
            <w:shd w:val="clear" w:color="auto" w:fill="538135" w:themeFill="accent6" w:themeFillShade="BF"/>
            <w:vAlign w:val="center"/>
          </w:tcPr>
          <w:p w14:paraId="0A34F58F">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6" w:type="dxa"/>
            <w:tcBorders>
              <w:tl2br w:val="nil"/>
              <w:tr2bl w:val="nil"/>
            </w:tcBorders>
            <w:shd w:val="clear" w:color="auto" w:fill="538135" w:themeFill="accent6" w:themeFillShade="BF"/>
            <w:vAlign w:val="center"/>
          </w:tcPr>
          <w:p w14:paraId="2CBD341C">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800AF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11FBABA8">
            <w:pPr>
              <w:pStyle w:val="150"/>
            </w:pPr>
            <w:r>
              <w:rPr>
                <w:rFonts w:hint="eastAsia"/>
              </w:rPr>
              <w:t>启用</w:t>
            </w:r>
          </w:p>
        </w:tc>
        <w:tc>
          <w:tcPr>
            <w:tcW w:w="6816" w:type="dxa"/>
            <w:shd w:val="clear" w:color="auto" w:fill="auto"/>
          </w:tcPr>
          <w:p w14:paraId="7EF4FFA7">
            <w:pPr>
              <w:pStyle w:val="150"/>
            </w:pPr>
            <w:r>
              <w:rPr>
                <w:rFonts w:hint="eastAsia"/>
              </w:rPr>
              <w:t>是否</w:t>
            </w:r>
            <w:r>
              <w:t>启用</w:t>
            </w:r>
            <w:r>
              <w:rPr>
                <w:rFonts w:hint="eastAsia"/>
              </w:rPr>
              <w:t>NAT46</w:t>
            </w:r>
            <w:r>
              <w:t>策略</w:t>
            </w:r>
            <w:r>
              <w:rPr>
                <w:rFonts w:hint="eastAsia"/>
              </w:rPr>
              <w:t>。</w:t>
            </w:r>
          </w:p>
        </w:tc>
      </w:tr>
      <w:tr w14:paraId="47A7E4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6D5EF7B9">
            <w:pPr>
              <w:pStyle w:val="150"/>
            </w:pPr>
            <w:r>
              <w:rPr>
                <w:rFonts w:hint="eastAsia"/>
              </w:rPr>
              <w:t>描述</w:t>
            </w:r>
          </w:p>
        </w:tc>
        <w:tc>
          <w:tcPr>
            <w:tcW w:w="6816" w:type="dxa"/>
            <w:shd w:val="clear" w:color="auto" w:fill="auto"/>
          </w:tcPr>
          <w:p w14:paraId="6F52698B">
            <w:pPr>
              <w:pStyle w:val="150"/>
            </w:pPr>
            <w:r>
              <w:rPr>
                <w:rFonts w:hint="eastAsia"/>
              </w:rPr>
              <w:t>NAT46</w:t>
            </w:r>
            <w:r>
              <w:t>策略</w:t>
            </w:r>
            <w:r>
              <w:rPr>
                <w:rFonts w:hint="eastAsia"/>
              </w:rPr>
              <w:t>的</w:t>
            </w:r>
            <w:r>
              <w:t>描述</w:t>
            </w:r>
            <w:r>
              <w:rPr>
                <w:rFonts w:hint="eastAsia"/>
              </w:rPr>
              <w:t>。</w:t>
            </w:r>
          </w:p>
        </w:tc>
      </w:tr>
      <w:tr w14:paraId="7CE0A5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0EFE3DFD">
            <w:pPr>
              <w:pStyle w:val="150"/>
            </w:pPr>
            <w:r>
              <w:rPr>
                <w:rFonts w:hint="eastAsia"/>
              </w:rPr>
              <w:t>接口</w:t>
            </w:r>
          </w:p>
        </w:tc>
        <w:tc>
          <w:tcPr>
            <w:tcW w:w="6816" w:type="dxa"/>
            <w:shd w:val="clear" w:color="auto" w:fill="auto"/>
          </w:tcPr>
          <w:p w14:paraId="4A9CCFE7">
            <w:pPr>
              <w:pStyle w:val="150"/>
            </w:pPr>
            <w:r>
              <w:rPr>
                <w:rFonts w:hint="eastAsia"/>
              </w:rPr>
              <w:t>指定NAT46数据流的经过设备的入接口。</w:t>
            </w:r>
          </w:p>
        </w:tc>
      </w:tr>
      <w:tr w14:paraId="2DCEF2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512EEFB8">
            <w:pPr>
              <w:pStyle w:val="150"/>
            </w:pPr>
            <w:r>
              <w:rPr>
                <w:rFonts w:hint="eastAsia"/>
              </w:rPr>
              <w:t>转换前目的地址</w:t>
            </w:r>
          </w:p>
        </w:tc>
        <w:tc>
          <w:tcPr>
            <w:tcW w:w="6816" w:type="dxa"/>
            <w:shd w:val="clear" w:color="auto" w:fill="auto"/>
          </w:tcPr>
          <w:p w14:paraId="10AF3D4A">
            <w:pPr>
              <w:pStyle w:val="150"/>
            </w:pPr>
            <w:r>
              <w:rPr>
                <w:rFonts w:hint="eastAsia"/>
              </w:rPr>
              <w:t>策略匹配</w:t>
            </w:r>
            <w:r>
              <w:t>的</w:t>
            </w:r>
            <w:r>
              <w:rPr>
                <w:rFonts w:hint="eastAsia"/>
              </w:rPr>
              <w:t>IPv</w:t>
            </w:r>
            <w:r>
              <w:t>4</w:t>
            </w:r>
            <w:r>
              <w:rPr>
                <w:rFonts w:hint="eastAsia"/>
              </w:rPr>
              <w:t>目的地址</w:t>
            </w:r>
          </w:p>
        </w:tc>
      </w:tr>
      <w:tr w14:paraId="58016B6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773583C6">
            <w:pPr>
              <w:pStyle w:val="150"/>
            </w:pPr>
            <w:r>
              <w:rPr>
                <w:rFonts w:hint="eastAsia"/>
              </w:rPr>
              <w:t>源地址转换规则</w:t>
            </w:r>
          </w:p>
        </w:tc>
        <w:tc>
          <w:tcPr>
            <w:tcW w:w="6816" w:type="dxa"/>
            <w:shd w:val="clear" w:color="auto" w:fill="auto"/>
          </w:tcPr>
          <w:p w14:paraId="5B0D2B87">
            <w:pPr>
              <w:pStyle w:val="150"/>
            </w:pPr>
            <w:r>
              <w:rPr>
                <w:rFonts w:hint="eastAsia"/>
              </w:rPr>
              <w:t>可以选择前缀转换或静态地址转换：</w:t>
            </w:r>
          </w:p>
          <w:p w14:paraId="234BC9C3">
            <w:pPr>
              <w:pStyle w:val="150"/>
            </w:pPr>
            <w:r>
              <w:rPr>
                <w:rFonts w:hint="eastAsia"/>
              </w:rPr>
              <w:t>前缀转换：转换后报文的IPv</w:t>
            </w:r>
            <w:r>
              <w:t>6</w:t>
            </w:r>
            <w:r>
              <w:rPr>
                <w:rFonts w:hint="eastAsia"/>
              </w:rPr>
              <w:t>源地址是由转换前报文的源IPv4地址及配置的IPv6地址前缀计算生成。</w:t>
            </w:r>
          </w:p>
          <w:p w14:paraId="2D881103">
            <w:pPr>
              <w:pStyle w:val="150"/>
            </w:pPr>
            <w:r>
              <w:rPr>
                <w:rFonts w:hint="eastAsia"/>
              </w:rPr>
              <w:t>静态地址转换：转换后I</w:t>
            </w:r>
            <w:r>
              <w:t>p</w:t>
            </w:r>
            <w:r>
              <w:rPr>
                <w:rFonts w:hint="eastAsia"/>
              </w:rPr>
              <w:t>v</w:t>
            </w:r>
            <w:r>
              <w:t>6</w:t>
            </w:r>
            <w:r>
              <w:rPr>
                <w:rFonts w:hint="eastAsia"/>
              </w:rPr>
              <w:t>报文的源地址将直接使用配置的转换后源地址作为源地址。</w:t>
            </w:r>
          </w:p>
        </w:tc>
      </w:tr>
      <w:tr w14:paraId="5CCBC5E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4981CA39">
            <w:pPr>
              <w:pStyle w:val="150"/>
            </w:pPr>
            <w:r>
              <w:rPr>
                <w:rFonts w:hint="eastAsia"/>
              </w:rPr>
              <w:t>转换后源地址前缀</w:t>
            </w:r>
          </w:p>
        </w:tc>
        <w:tc>
          <w:tcPr>
            <w:tcW w:w="6816" w:type="dxa"/>
            <w:shd w:val="clear" w:color="auto" w:fill="auto"/>
          </w:tcPr>
          <w:p w14:paraId="1337BFF5">
            <w:pPr>
              <w:pStyle w:val="150"/>
            </w:pPr>
            <w:r>
              <w:rPr>
                <w:rFonts w:hint="eastAsia"/>
              </w:rPr>
              <w:t>选择前缀转换时，需设置策略匹配后源地址转换IPv</w:t>
            </w:r>
            <w:r>
              <w:t>6</w:t>
            </w:r>
            <w:r>
              <w:rPr>
                <w:rFonts w:hint="eastAsia"/>
              </w:rPr>
              <w:t>地址前缀。</w:t>
            </w:r>
          </w:p>
        </w:tc>
      </w:tr>
      <w:tr w14:paraId="31F5B2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1074666C">
            <w:pPr>
              <w:pStyle w:val="150"/>
            </w:pPr>
            <w:r>
              <w:rPr>
                <w:rFonts w:hint="eastAsia"/>
              </w:rPr>
              <w:t>转换后源地址</w:t>
            </w:r>
          </w:p>
        </w:tc>
        <w:tc>
          <w:tcPr>
            <w:tcW w:w="6816" w:type="dxa"/>
            <w:shd w:val="clear" w:color="auto" w:fill="auto"/>
          </w:tcPr>
          <w:p w14:paraId="5C89EA7D">
            <w:pPr>
              <w:pStyle w:val="150"/>
            </w:pPr>
            <w:r>
              <w:rPr>
                <w:rFonts w:hint="eastAsia"/>
              </w:rPr>
              <w:t>选择静态地址转换时，需配置策略匹配后转换的IPv</w:t>
            </w:r>
            <w:r>
              <w:t>6</w:t>
            </w:r>
            <w:r>
              <w:rPr>
                <w:rFonts w:hint="eastAsia"/>
              </w:rPr>
              <w:t>源地址。</w:t>
            </w:r>
          </w:p>
        </w:tc>
      </w:tr>
      <w:tr w14:paraId="086539A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39CE94D9">
            <w:pPr>
              <w:pStyle w:val="150"/>
            </w:pPr>
            <w:r>
              <w:rPr>
                <w:rFonts w:hint="eastAsia"/>
              </w:rPr>
              <w:t>转换后目的地址</w:t>
            </w:r>
          </w:p>
        </w:tc>
        <w:tc>
          <w:tcPr>
            <w:tcW w:w="6816" w:type="dxa"/>
            <w:shd w:val="clear" w:color="auto" w:fill="auto"/>
          </w:tcPr>
          <w:p w14:paraId="45311E53">
            <w:pPr>
              <w:pStyle w:val="150"/>
            </w:pPr>
            <w:r>
              <w:rPr>
                <w:rFonts w:hint="eastAsia"/>
              </w:rPr>
              <w:t>策略匹配后转换的IPv</w:t>
            </w:r>
            <w:r>
              <w:t>6</w:t>
            </w:r>
            <w:r>
              <w:rPr>
                <w:rFonts w:hint="eastAsia"/>
              </w:rPr>
              <w:t>目的地址。</w:t>
            </w:r>
          </w:p>
        </w:tc>
      </w:tr>
      <w:tr w14:paraId="2D7405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2E61C443">
            <w:pPr>
              <w:pStyle w:val="150"/>
            </w:pPr>
            <w:r>
              <w:rPr>
                <w:rFonts w:hint="eastAsia"/>
              </w:rPr>
              <w:t>日志</w:t>
            </w:r>
          </w:p>
        </w:tc>
        <w:tc>
          <w:tcPr>
            <w:tcW w:w="6816" w:type="dxa"/>
            <w:shd w:val="clear" w:color="auto" w:fill="auto"/>
          </w:tcPr>
          <w:p w14:paraId="77B31D32">
            <w:pPr>
              <w:pStyle w:val="150"/>
            </w:pPr>
            <w:r>
              <w:rPr>
                <w:rFonts w:hint="eastAsia"/>
              </w:rPr>
              <w:t>勾选复选框在执行NAT转换时生成NAT日志。NAT日志只能外发到日志服务器上，无法本地存储及查看。</w:t>
            </w:r>
          </w:p>
        </w:tc>
      </w:tr>
    </w:tbl>
    <w:p w14:paraId="570C35BD"/>
    <w:p w14:paraId="0A7681F5">
      <w:pPr>
        <w:jc w:val="left"/>
      </w:pPr>
      <w:r>
        <w:br w:type="page"/>
      </w:r>
    </w:p>
    <w:p w14:paraId="7F6455DD">
      <w:pPr>
        <w:pStyle w:val="3"/>
      </w:pPr>
      <w:bookmarkStart w:id="5032" w:name="_Toc428888478"/>
      <w:bookmarkStart w:id="5033" w:name="_Toc529430676"/>
      <w:bookmarkStart w:id="5034" w:name="_Toc15485001"/>
      <w:bookmarkStart w:id="5035" w:name="_Toc40276198"/>
      <w:bookmarkStart w:id="5036" w:name="_Toc99561831"/>
      <w:bookmarkStart w:id="5037" w:name="_Toc23152765"/>
      <w:bookmarkStart w:id="5038" w:name="_Toc172218482"/>
      <w:bookmarkStart w:id="5039" w:name="_Toc141873703"/>
      <w:bookmarkStart w:id="5040" w:name="_Toc194080968"/>
      <w:bookmarkStart w:id="5041" w:name="_Toc196728300"/>
      <w:bookmarkStart w:id="5042" w:name="_Toc142401220"/>
      <w:r>
        <w:rPr>
          <w:rFonts w:hint="eastAsia"/>
        </w:rPr>
        <w:t>负载均衡</w:t>
      </w:r>
      <w:bookmarkEnd w:id="5032"/>
      <w:bookmarkEnd w:id="5033"/>
      <w:bookmarkEnd w:id="5034"/>
      <w:bookmarkEnd w:id="5035"/>
      <w:bookmarkEnd w:id="5036"/>
      <w:bookmarkEnd w:id="5037"/>
      <w:r>
        <w:rPr>
          <w:rFonts w:hint="eastAsia"/>
        </w:rPr>
        <w:t>策略</w:t>
      </w:r>
      <w:bookmarkEnd w:id="5038"/>
      <w:bookmarkEnd w:id="5039"/>
      <w:bookmarkEnd w:id="5040"/>
      <w:bookmarkEnd w:id="5041"/>
      <w:bookmarkEnd w:id="5042"/>
    </w:p>
    <w:p w14:paraId="473EF286">
      <w:pPr>
        <w:pStyle w:val="4"/>
      </w:pPr>
      <w:bookmarkStart w:id="5043" w:name="_Toc529430677"/>
      <w:bookmarkStart w:id="5044" w:name="_Toc40276199"/>
      <w:bookmarkStart w:id="5045" w:name="_Toc172218483"/>
      <w:bookmarkStart w:id="5046" w:name="_Toc194080969"/>
      <w:bookmarkStart w:id="5047" w:name="_Toc23152766"/>
      <w:bookmarkStart w:id="5048" w:name="_Toc15485002"/>
      <w:bookmarkStart w:id="5049" w:name="_Toc99561832"/>
      <w:bookmarkStart w:id="5050" w:name="_Toc141873704"/>
      <w:bookmarkStart w:id="5051" w:name="_Toc142401221"/>
      <w:bookmarkStart w:id="5052" w:name="_Toc196728301"/>
      <w:r>
        <w:rPr>
          <w:rFonts w:hint="eastAsia"/>
        </w:rPr>
        <w:t>负载均衡简介</w:t>
      </w:r>
      <w:bookmarkEnd w:id="5043"/>
      <w:bookmarkEnd w:id="5044"/>
      <w:bookmarkEnd w:id="5045"/>
      <w:bookmarkEnd w:id="5046"/>
      <w:bookmarkEnd w:id="5047"/>
      <w:bookmarkEnd w:id="5048"/>
      <w:bookmarkEnd w:id="5049"/>
      <w:bookmarkEnd w:id="5050"/>
      <w:bookmarkEnd w:id="5051"/>
      <w:bookmarkEnd w:id="5052"/>
    </w:p>
    <w:p w14:paraId="54EAE69B">
      <w:r>
        <w:rPr>
          <w:rFonts w:hint="eastAsia"/>
        </w:rPr>
        <w:t>信息时代，工作越来越离不开网络，为了规避运营商出口故障带来的网络可用性风险，和解决网络带宽不足带来的网络访问问题，企业往往会租用两个或多个运营商出口（如：电信、网通等）。如何合理运用多个运营商出口，既不造成资源浪费，又能很好的服务于企业，因而产生了多链路负载均衡的需求。传统的策略路由也可以在一定程度上解决该问题，但是策略路由配置不方便，而且不够灵活，无法动态适应网络结构变化，且策略路由无法根据带宽进行报文分发，造成高吞吐量的链路无法得到充分利用。负载均衡技术，通过动态算法，也能够在多条链路中进行负载均衡，算法配置简单，且具有自适应能力，能很好的解决上述问题。</w:t>
      </w:r>
    </w:p>
    <w:p w14:paraId="529D9FAD">
      <w:r>
        <w:t>本功能具有如下功能点</w:t>
      </w:r>
      <w:r>
        <w:rPr>
          <w:rFonts w:hint="eastAsia"/>
        </w:rPr>
        <w:t>：</w:t>
      </w:r>
    </w:p>
    <w:p w14:paraId="040381C0">
      <w:pPr>
        <w:pStyle w:val="162"/>
      </w:pPr>
      <w:r>
        <w:rPr>
          <w:rFonts w:hint="eastAsia"/>
        </w:rPr>
        <w:t>根据实际配置，对加入到负载均衡，且路由可达的接口，做负载均衡。</w:t>
      </w:r>
    </w:p>
    <w:p w14:paraId="15954452">
      <w:pPr>
        <w:pStyle w:val="162"/>
      </w:pPr>
      <w:r>
        <w:rPr>
          <w:rFonts w:hint="eastAsia"/>
        </w:rPr>
        <w:t>根据实际配置，可实现基于带宽、优先级做负载均衡。</w:t>
      </w:r>
    </w:p>
    <w:p w14:paraId="1A6ABFA7">
      <w:pPr>
        <w:pStyle w:val="162"/>
      </w:pPr>
      <w:r>
        <w:t>可配置带宽</w:t>
      </w:r>
      <w:r>
        <w:rPr>
          <w:rFonts w:hint="eastAsia"/>
        </w:rPr>
        <w:t>、</w:t>
      </w:r>
      <w:r>
        <w:t>阈值</w:t>
      </w:r>
      <w:r>
        <w:rPr>
          <w:rFonts w:hint="eastAsia"/>
        </w:rPr>
        <w:t>，</w:t>
      </w:r>
      <w:r>
        <w:t>当达到阈值后</w:t>
      </w:r>
      <w:r>
        <w:rPr>
          <w:rFonts w:hint="eastAsia"/>
        </w:rPr>
        <w:t>，</w:t>
      </w:r>
      <w:r>
        <w:t>可不再负载流量</w:t>
      </w:r>
      <w:r>
        <w:rPr>
          <w:rFonts w:hint="eastAsia"/>
        </w:rPr>
        <w:t>。</w:t>
      </w:r>
    </w:p>
    <w:p w14:paraId="0C47368C">
      <w:pPr>
        <w:pStyle w:val="162"/>
      </w:pPr>
      <w:r>
        <w:t>可配置过载保护接口</w:t>
      </w:r>
      <w:r>
        <w:rPr>
          <w:rFonts w:hint="eastAsia"/>
        </w:rPr>
        <w:t>，</w:t>
      </w:r>
      <w:r>
        <w:t>当负载均衡的所有接口都达到阈值后</w:t>
      </w:r>
      <w:r>
        <w:rPr>
          <w:rFonts w:hint="eastAsia"/>
        </w:rPr>
        <w:t>，流量走指定的接口。</w:t>
      </w:r>
    </w:p>
    <w:p w14:paraId="23045A46">
      <w:pPr>
        <w:pStyle w:val="162"/>
      </w:pPr>
      <w:r>
        <w:rPr>
          <w:rFonts w:hint="eastAsia"/>
        </w:rPr>
        <w:t>可配置健康检查，检查每个负载均衡接口的连通状况。</w:t>
      </w:r>
    </w:p>
    <w:p w14:paraId="393A2F12">
      <w:bookmarkStart w:id="5053" w:name="_Toc496728708"/>
      <w:bookmarkEnd w:id="5053"/>
      <w:bookmarkStart w:id="5054" w:name="_Toc497294981"/>
      <w:bookmarkEnd w:id="5054"/>
      <w:bookmarkStart w:id="5055" w:name="_Toc497294982"/>
      <w:bookmarkEnd w:id="5055"/>
      <w:bookmarkStart w:id="5056" w:name="_Toc497295010"/>
      <w:bookmarkEnd w:id="5056"/>
      <w:bookmarkStart w:id="5057" w:name="_Toc496728711"/>
      <w:bookmarkEnd w:id="5057"/>
      <w:bookmarkStart w:id="5058" w:name="_Toc497295013"/>
      <w:bookmarkEnd w:id="5058"/>
      <w:bookmarkStart w:id="5059" w:name="_Toc496728763"/>
      <w:bookmarkEnd w:id="5059"/>
      <w:bookmarkStart w:id="5060" w:name="_Toc497295037"/>
      <w:bookmarkEnd w:id="5060"/>
      <w:bookmarkStart w:id="5061" w:name="_Toc496728713"/>
      <w:bookmarkEnd w:id="5061"/>
      <w:bookmarkStart w:id="5062" w:name="_Toc496728709"/>
      <w:bookmarkEnd w:id="5062"/>
      <w:bookmarkStart w:id="5063" w:name="_Toc496728710"/>
      <w:bookmarkEnd w:id="5063"/>
      <w:bookmarkStart w:id="5064" w:name="_Toc497294985"/>
      <w:bookmarkEnd w:id="5064"/>
      <w:bookmarkStart w:id="5065" w:name="_Toc497294987"/>
      <w:bookmarkEnd w:id="5065"/>
      <w:bookmarkStart w:id="5066" w:name="_Toc496728714"/>
      <w:bookmarkEnd w:id="5066"/>
      <w:bookmarkStart w:id="5067" w:name="_Toc497294984"/>
      <w:bookmarkEnd w:id="5067"/>
      <w:bookmarkStart w:id="5068" w:name="_Toc497294988"/>
      <w:bookmarkEnd w:id="5068"/>
      <w:bookmarkStart w:id="5069" w:name="_Toc496728715"/>
      <w:bookmarkEnd w:id="5069"/>
      <w:bookmarkStart w:id="5070" w:name="_Toc496728716"/>
      <w:bookmarkEnd w:id="5070"/>
      <w:bookmarkStart w:id="5071" w:name="_Toc497294989"/>
      <w:bookmarkEnd w:id="5071"/>
      <w:bookmarkStart w:id="5072" w:name="_Toc497294983"/>
      <w:bookmarkEnd w:id="5072"/>
      <w:bookmarkStart w:id="5073" w:name="_Toc497294986"/>
      <w:bookmarkEnd w:id="5073"/>
      <w:bookmarkStart w:id="5074" w:name="_Toc497294990"/>
      <w:bookmarkEnd w:id="5074"/>
      <w:bookmarkStart w:id="5075" w:name="_Toc496728717"/>
      <w:bookmarkEnd w:id="5075"/>
      <w:bookmarkStart w:id="5076" w:name="_Toc497294991"/>
      <w:bookmarkEnd w:id="5076"/>
      <w:bookmarkStart w:id="5077" w:name="_Toc496728712"/>
      <w:bookmarkEnd w:id="5077"/>
      <w:bookmarkStart w:id="5078" w:name="_Toc497295008"/>
      <w:bookmarkEnd w:id="5078"/>
      <w:bookmarkStart w:id="5079" w:name="_Toc496728735"/>
      <w:bookmarkEnd w:id="5079"/>
      <w:bookmarkStart w:id="5080" w:name="_Toc497295009"/>
      <w:bookmarkEnd w:id="5080"/>
      <w:bookmarkStart w:id="5081" w:name="_Toc496728734"/>
      <w:bookmarkEnd w:id="5081"/>
      <w:bookmarkStart w:id="5082" w:name="_Toc496728736"/>
      <w:bookmarkEnd w:id="5082"/>
      <w:bookmarkStart w:id="5083" w:name="_Toc496728737"/>
      <w:bookmarkEnd w:id="5083"/>
      <w:bookmarkStart w:id="5084" w:name="_Toc497295011"/>
      <w:bookmarkEnd w:id="5084"/>
      <w:bookmarkStart w:id="5085" w:name="_Toc496728738"/>
      <w:bookmarkEnd w:id="5085"/>
      <w:bookmarkStart w:id="5086" w:name="_Toc497295012"/>
      <w:bookmarkEnd w:id="5086"/>
      <w:bookmarkStart w:id="5087" w:name="_Toc496728739"/>
      <w:bookmarkEnd w:id="5087"/>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6305E376">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335ED10D">
            <w:pPr>
              <w:pStyle w:val="150"/>
              <w:adjustRightInd w:val="0"/>
              <w:snapToGrid w:val="0"/>
              <w:rPr>
                <w:color w:val="auto"/>
              </w:rPr>
            </w:pPr>
            <w:r>
              <w:rPr>
                <w:b/>
                <w:color w:val="auto"/>
              </w:rPr>
              <w:drawing>
                <wp:inline distT="0" distB="0" distL="0" distR="0">
                  <wp:extent cx="283210" cy="283210"/>
                  <wp:effectExtent l="0" t="0" r="2540" b="2540"/>
                  <wp:docPr id="879" name="图片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图片 879"/>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5786A21C">
            <w:pPr>
              <w:pStyle w:val="150"/>
              <w:adjustRightInd w:val="0"/>
              <w:snapToGrid w:val="0"/>
              <w:rPr>
                <w:color w:val="auto"/>
              </w:rPr>
            </w:pPr>
            <w:r>
              <w:rPr>
                <w:rFonts w:hint="eastAsia"/>
                <w:color w:val="auto"/>
              </w:rPr>
              <w:t>链路负载均衡目前最多可配置四个接口组，每个接口组下最多可配置四个接口。</w:t>
            </w:r>
          </w:p>
        </w:tc>
      </w:tr>
    </w:tbl>
    <w:p w14:paraId="557FF667"/>
    <w:p w14:paraId="082C956B">
      <w:pPr>
        <w:pStyle w:val="4"/>
      </w:pPr>
      <w:bookmarkStart w:id="5088" w:name="_Toc496728767"/>
      <w:bookmarkEnd w:id="5088"/>
      <w:bookmarkStart w:id="5089" w:name="_Toc496728768"/>
      <w:bookmarkEnd w:id="5089"/>
      <w:bookmarkStart w:id="5090" w:name="_Toc497295041"/>
      <w:bookmarkEnd w:id="5090"/>
      <w:bookmarkStart w:id="5091" w:name="_Toc497295038"/>
      <w:bookmarkEnd w:id="5091"/>
      <w:bookmarkStart w:id="5092" w:name="_Toc496728765"/>
      <w:bookmarkEnd w:id="5092"/>
      <w:bookmarkStart w:id="5093" w:name="_Toc496728764"/>
      <w:bookmarkEnd w:id="5093"/>
      <w:bookmarkStart w:id="5094" w:name="_Toc497295039"/>
      <w:bookmarkEnd w:id="5094"/>
      <w:bookmarkStart w:id="5095" w:name="_Toc496728766"/>
      <w:bookmarkEnd w:id="5095"/>
      <w:bookmarkStart w:id="5096" w:name="_Toc497295040"/>
      <w:bookmarkEnd w:id="5096"/>
      <w:bookmarkStart w:id="5097" w:name="_Toc497295046"/>
      <w:bookmarkEnd w:id="5097"/>
      <w:bookmarkStart w:id="5098" w:name="_Toc496728776"/>
      <w:bookmarkEnd w:id="5098"/>
      <w:bookmarkStart w:id="5099" w:name="_Toc496728775"/>
      <w:bookmarkEnd w:id="5099"/>
      <w:bookmarkStart w:id="5100" w:name="_Toc497295052"/>
      <w:bookmarkEnd w:id="5100"/>
      <w:bookmarkStart w:id="5101" w:name="_Toc496728778"/>
      <w:bookmarkEnd w:id="5101"/>
      <w:bookmarkStart w:id="5102" w:name="_Toc497295043"/>
      <w:bookmarkEnd w:id="5102"/>
      <w:bookmarkStart w:id="5103" w:name="_Toc496728779"/>
      <w:bookmarkEnd w:id="5103"/>
      <w:bookmarkStart w:id="5104" w:name="_Toc496728769"/>
      <w:bookmarkEnd w:id="5104"/>
      <w:bookmarkStart w:id="5105" w:name="_Toc496728774"/>
      <w:bookmarkEnd w:id="5105"/>
      <w:bookmarkStart w:id="5106" w:name="_Toc497295042"/>
      <w:bookmarkEnd w:id="5106"/>
      <w:bookmarkStart w:id="5107" w:name="_Toc497295048"/>
      <w:bookmarkEnd w:id="5107"/>
      <w:bookmarkStart w:id="5108" w:name="_Toc497295050"/>
      <w:bookmarkEnd w:id="5108"/>
      <w:bookmarkStart w:id="5109" w:name="_Toc496728770"/>
      <w:bookmarkEnd w:id="5109"/>
      <w:bookmarkStart w:id="5110" w:name="_Toc497295049"/>
      <w:bookmarkEnd w:id="5110"/>
      <w:bookmarkStart w:id="5111" w:name="_Toc496728772"/>
      <w:bookmarkEnd w:id="5111"/>
      <w:bookmarkStart w:id="5112" w:name="_Toc497295051"/>
      <w:bookmarkEnd w:id="5112"/>
      <w:bookmarkStart w:id="5113" w:name="_Toc496728777"/>
      <w:bookmarkEnd w:id="5113"/>
      <w:bookmarkStart w:id="5114" w:name="_Toc497295045"/>
      <w:bookmarkEnd w:id="5114"/>
      <w:bookmarkStart w:id="5115" w:name="_Toc496728773"/>
      <w:bookmarkEnd w:id="5115"/>
      <w:bookmarkStart w:id="5116" w:name="_Toc497295047"/>
      <w:bookmarkEnd w:id="5116"/>
      <w:bookmarkStart w:id="5117" w:name="_Toc496728771"/>
      <w:bookmarkEnd w:id="5117"/>
      <w:bookmarkStart w:id="5118" w:name="_Toc497295053"/>
      <w:bookmarkEnd w:id="5118"/>
      <w:bookmarkStart w:id="5119" w:name="_Toc497295054"/>
      <w:bookmarkEnd w:id="5119"/>
      <w:bookmarkStart w:id="5120" w:name="_Toc496728781"/>
      <w:bookmarkEnd w:id="5120"/>
      <w:bookmarkStart w:id="5121" w:name="_Toc497295055"/>
      <w:bookmarkEnd w:id="5121"/>
      <w:bookmarkStart w:id="5122" w:name="_Toc496728782"/>
      <w:bookmarkEnd w:id="5122"/>
      <w:bookmarkStart w:id="5123" w:name="_Toc497295056"/>
      <w:bookmarkEnd w:id="5123"/>
      <w:bookmarkStart w:id="5124" w:name="_Toc496728783"/>
      <w:bookmarkEnd w:id="5124"/>
      <w:bookmarkStart w:id="5125" w:name="_Toc497295057"/>
      <w:bookmarkEnd w:id="5125"/>
      <w:bookmarkStart w:id="5126" w:name="_Toc497295044"/>
      <w:bookmarkEnd w:id="5126"/>
      <w:bookmarkStart w:id="5127" w:name="_Toc496728780"/>
      <w:bookmarkEnd w:id="5127"/>
      <w:bookmarkStart w:id="5128" w:name="_Toc496728784"/>
      <w:bookmarkEnd w:id="5128"/>
      <w:bookmarkStart w:id="5129" w:name="_Toc496728787"/>
      <w:bookmarkEnd w:id="5129"/>
      <w:bookmarkStart w:id="5130" w:name="_Toc496728789"/>
      <w:bookmarkEnd w:id="5130"/>
      <w:bookmarkStart w:id="5131" w:name="_Toc497295058"/>
      <w:bookmarkEnd w:id="5131"/>
      <w:bookmarkStart w:id="5132" w:name="_Toc497295059"/>
      <w:bookmarkEnd w:id="5132"/>
      <w:bookmarkStart w:id="5133" w:name="_Toc496728785"/>
      <w:bookmarkEnd w:id="5133"/>
      <w:bookmarkStart w:id="5134" w:name="_Toc497295061"/>
      <w:bookmarkEnd w:id="5134"/>
      <w:bookmarkStart w:id="5135" w:name="_Toc497295062"/>
      <w:bookmarkEnd w:id="5135"/>
      <w:bookmarkStart w:id="5136" w:name="_Toc497295063"/>
      <w:bookmarkEnd w:id="5136"/>
      <w:bookmarkStart w:id="5137" w:name="_Toc497295060"/>
      <w:bookmarkEnd w:id="5137"/>
      <w:bookmarkStart w:id="5138" w:name="_Toc496728788"/>
      <w:bookmarkEnd w:id="5138"/>
      <w:bookmarkStart w:id="5139" w:name="_Toc496728786"/>
      <w:bookmarkEnd w:id="5139"/>
      <w:bookmarkStart w:id="5140" w:name="_Toc15485003"/>
      <w:bookmarkStart w:id="5141" w:name="_Toc23152767"/>
      <w:bookmarkStart w:id="5142" w:name="_Toc142401222"/>
      <w:bookmarkStart w:id="5143" w:name="_Toc40276200"/>
      <w:bookmarkStart w:id="5144" w:name="_Toc494295488"/>
      <w:bookmarkStart w:id="5145" w:name="_Toc529430678"/>
      <w:bookmarkStart w:id="5146" w:name="_Toc196728302"/>
      <w:bookmarkStart w:id="5147" w:name="_Toc141873705"/>
      <w:bookmarkStart w:id="5148" w:name="_Toc194080970"/>
      <w:bookmarkStart w:id="5149" w:name="_Toc172218484"/>
      <w:bookmarkStart w:id="5150" w:name="_Toc99561833"/>
      <w:r>
        <w:rPr>
          <w:rFonts w:hint="eastAsia"/>
        </w:rPr>
        <w:t>链路负载均衡</w:t>
      </w:r>
      <w:bookmarkEnd w:id="5140"/>
      <w:bookmarkEnd w:id="5141"/>
      <w:bookmarkEnd w:id="5142"/>
      <w:bookmarkEnd w:id="5143"/>
      <w:bookmarkEnd w:id="5144"/>
      <w:bookmarkEnd w:id="5145"/>
      <w:bookmarkEnd w:id="5146"/>
      <w:bookmarkEnd w:id="5147"/>
      <w:bookmarkEnd w:id="5148"/>
      <w:bookmarkEnd w:id="5149"/>
      <w:bookmarkEnd w:id="5150"/>
    </w:p>
    <w:p w14:paraId="316CCF1D">
      <w:r>
        <w:rPr>
          <w:rFonts w:hint="eastAsia"/>
        </w:rPr>
        <w:t>可通过以下两种方式配置链路负载均衡：创建链路负载均衡组</w:t>
      </w:r>
      <w:r>
        <w:t>和</w:t>
      </w:r>
      <w:r>
        <w:rPr>
          <w:rFonts w:hint="eastAsia"/>
        </w:rPr>
        <w:t>在负载均衡出接口上应用负载均衡策略。</w:t>
      </w:r>
    </w:p>
    <w:p w14:paraId="36524994">
      <w:pPr>
        <w:pStyle w:val="5"/>
      </w:pPr>
      <w:bookmarkStart w:id="5151" w:name="_Toc142401223"/>
      <w:bookmarkStart w:id="5152" w:name="_Toc172218485"/>
      <w:bookmarkStart w:id="5153" w:name="_Toc141873706"/>
      <w:bookmarkStart w:id="5154" w:name="_Toc194080971"/>
      <w:bookmarkStart w:id="5155" w:name="_Toc196728303"/>
      <w:r>
        <w:rPr>
          <w:rFonts w:hint="eastAsia"/>
        </w:rPr>
        <w:t>创建链路负载均衡组</w:t>
      </w:r>
      <w:bookmarkEnd w:id="5151"/>
      <w:bookmarkEnd w:id="5152"/>
      <w:bookmarkEnd w:id="5153"/>
      <w:bookmarkEnd w:id="5154"/>
      <w:bookmarkEnd w:id="5155"/>
    </w:p>
    <w:p w14:paraId="0DDD7588">
      <w:r>
        <w:rPr>
          <w:rFonts w:hint="eastAsia"/>
        </w:rPr>
        <w:t>通过界面“策略配置&gt;负载均衡策略&gt;链路负载均衡”，单击“新建”按钮，如</w:t>
      </w:r>
      <w:r>
        <w:fldChar w:fldCharType="begin"/>
      </w:r>
      <w:r>
        <w:instrText xml:space="preserve"> </w:instrText>
      </w:r>
      <w:r>
        <w:rPr>
          <w:rFonts w:hint="eastAsia"/>
        </w:rPr>
        <w:instrText xml:space="preserve">REF _Ref494443748 \r \h</w:instrText>
      </w:r>
      <w:r>
        <w:instrText xml:space="preserve"> </w:instrText>
      </w:r>
      <w:r>
        <w:fldChar w:fldCharType="separate"/>
      </w:r>
      <w:r>
        <w:rPr>
          <w:rFonts w:hint="eastAsia"/>
        </w:rPr>
        <w:t>图17-1</w:t>
      </w:r>
      <w:r>
        <w:fldChar w:fldCharType="end"/>
      </w:r>
      <w:r>
        <w:rPr>
          <w:rFonts w:hint="eastAsia"/>
        </w:rPr>
        <w:t>所示，各配置项、接口配置项含义如</w:t>
      </w:r>
      <w:r>
        <w:fldChar w:fldCharType="begin"/>
      </w:r>
      <w:r>
        <w:instrText xml:space="preserve"> </w:instrText>
      </w:r>
      <w:r>
        <w:rPr>
          <w:rFonts w:hint="eastAsia"/>
        </w:rPr>
        <w:instrText xml:space="preserve">REF _Ref494443757 \r \h</w:instrText>
      </w:r>
      <w:r>
        <w:instrText xml:space="preserve"> </w:instrText>
      </w:r>
      <w:r>
        <w:fldChar w:fldCharType="separate"/>
      </w:r>
      <w:r>
        <w:rPr>
          <w:rFonts w:hint="eastAsia"/>
        </w:rPr>
        <w:t>表17-1</w:t>
      </w:r>
      <w:r>
        <w:fldChar w:fldCharType="end"/>
      </w:r>
      <w:r>
        <w:t>、</w:t>
      </w:r>
      <w:r>
        <w:fldChar w:fldCharType="begin"/>
      </w:r>
      <w:r>
        <w:instrText xml:space="preserve"> REF _Ref511658048 \r \h </w:instrText>
      </w:r>
      <w:r>
        <w:fldChar w:fldCharType="separate"/>
      </w:r>
      <w:r>
        <w:rPr>
          <w:rFonts w:hint="eastAsia"/>
        </w:rPr>
        <w:t>表17-2</w:t>
      </w:r>
      <w:r>
        <w:fldChar w:fldCharType="end"/>
      </w:r>
      <w:r>
        <w:rPr>
          <w:rFonts w:hint="eastAsia"/>
        </w:rPr>
        <w:t>所示。</w:t>
      </w:r>
    </w:p>
    <w:p w14:paraId="03F28FD1">
      <w:pPr>
        <w:pStyle w:val="188"/>
      </w:pPr>
      <w:bookmarkStart w:id="5156" w:name="_Toc141875117"/>
      <w:bookmarkStart w:id="5157" w:name="_Ref494443748"/>
      <w:r>
        <w:rPr>
          <w:rFonts w:hint="eastAsia"/>
        </w:rPr>
        <w:t>链路负载均衡配置界面</w:t>
      </w:r>
      <w:bookmarkEnd w:id="5156"/>
      <w:bookmarkEnd w:id="5157"/>
    </w:p>
    <w:p w14:paraId="0B83FB41">
      <w:pPr>
        <w:spacing w:before="78" w:after="78"/>
      </w:pPr>
      <w:r>
        <w:drawing>
          <wp:inline distT="0" distB="0" distL="0" distR="0">
            <wp:extent cx="4998720" cy="3152775"/>
            <wp:effectExtent l="0" t="0" r="0" b="9525"/>
            <wp:docPr id="804" name="图片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图片 804"/>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a:xfrm>
                      <a:off x="0" y="0"/>
                      <a:ext cx="5002659" cy="3155406"/>
                    </a:xfrm>
                    <a:prstGeom prst="rect">
                      <a:avLst/>
                    </a:prstGeom>
                    <a:noFill/>
                    <a:ln>
                      <a:noFill/>
                    </a:ln>
                  </pic:spPr>
                </pic:pic>
              </a:graphicData>
            </a:graphic>
          </wp:inline>
        </w:drawing>
      </w:r>
    </w:p>
    <w:p w14:paraId="614A942C"/>
    <w:p w14:paraId="05235898">
      <w:pPr>
        <w:pStyle w:val="183"/>
      </w:pPr>
      <w:bookmarkStart w:id="5158" w:name="_Toc141875692"/>
      <w:bookmarkStart w:id="5159" w:name="_Ref494443757"/>
      <w:r>
        <w:rPr>
          <w:rFonts w:hint="eastAsia"/>
        </w:rPr>
        <w:t>链路负载均衡配置说明</w:t>
      </w:r>
      <w:bookmarkEnd w:id="5158"/>
      <w:bookmarkEnd w:id="5159"/>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757"/>
        <w:gridCol w:w="7213"/>
      </w:tblGrid>
      <w:tr w14:paraId="2D247EC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52" w:type="dxa"/>
            <w:tcBorders>
              <w:tl2br w:val="nil"/>
              <w:tr2bl w:val="nil"/>
            </w:tcBorders>
            <w:shd w:val="clear" w:color="auto" w:fill="538135" w:themeFill="accent6" w:themeFillShade="BF"/>
            <w:vAlign w:val="center"/>
          </w:tcPr>
          <w:p w14:paraId="380A7551">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参数</w:t>
            </w:r>
          </w:p>
        </w:tc>
        <w:tc>
          <w:tcPr>
            <w:tcW w:w="6370" w:type="dxa"/>
            <w:tcBorders>
              <w:tl2br w:val="nil"/>
              <w:tr2bl w:val="nil"/>
            </w:tcBorders>
            <w:shd w:val="clear" w:color="auto" w:fill="538135" w:themeFill="accent6" w:themeFillShade="BF"/>
            <w:vAlign w:val="center"/>
          </w:tcPr>
          <w:p w14:paraId="044383D0">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783A01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52" w:type="dxa"/>
            <w:shd w:val="clear" w:color="auto" w:fill="auto"/>
          </w:tcPr>
          <w:p w14:paraId="6C21802C">
            <w:pPr>
              <w:pStyle w:val="150"/>
            </w:pPr>
            <w:r>
              <w:rPr>
                <w:rFonts w:hint="eastAsia"/>
              </w:rPr>
              <w:t>名称</w:t>
            </w:r>
          </w:p>
        </w:tc>
        <w:tc>
          <w:tcPr>
            <w:tcW w:w="6370" w:type="dxa"/>
            <w:shd w:val="clear" w:color="auto" w:fill="auto"/>
          </w:tcPr>
          <w:p w14:paraId="5C3F01EE">
            <w:pPr>
              <w:pStyle w:val="150"/>
            </w:pPr>
            <w:r>
              <w:rPr>
                <w:rFonts w:hint="eastAsia"/>
              </w:rPr>
              <w:t>负载均衡组名称。</w:t>
            </w:r>
          </w:p>
        </w:tc>
      </w:tr>
      <w:tr w14:paraId="4696E17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52" w:type="dxa"/>
            <w:shd w:val="clear" w:color="auto" w:fill="auto"/>
          </w:tcPr>
          <w:p w14:paraId="645EE0C6">
            <w:pPr>
              <w:pStyle w:val="150"/>
            </w:pPr>
            <w:r>
              <w:rPr>
                <w:rFonts w:hint="eastAsia"/>
              </w:rPr>
              <w:t>启用</w:t>
            </w:r>
          </w:p>
        </w:tc>
        <w:tc>
          <w:tcPr>
            <w:tcW w:w="6370" w:type="dxa"/>
            <w:shd w:val="clear" w:color="auto" w:fill="auto"/>
          </w:tcPr>
          <w:p w14:paraId="26E1FC40">
            <w:pPr>
              <w:pStyle w:val="150"/>
            </w:pPr>
            <w:r>
              <w:rPr>
                <w:rFonts w:hint="eastAsia"/>
              </w:rPr>
              <w:t>启用或关闭负载均衡组。</w:t>
            </w:r>
          </w:p>
        </w:tc>
      </w:tr>
      <w:tr w14:paraId="19CF8A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52" w:type="dxa"/>
            <w:shd w:val="clear" w:color="auto" w:fill="auto"/>
          </w:tcPr>
          <w:p w14:paraId="25537CC0">
            <w:pPr>
              <w:pStyle w:val="150"/>
            </w:pPr>
            <w:r>
              <w:rPr>
                <w:rFonts w:hint="eastAsia"/>
              </w:rPr>
              <w:t>负载均衡策略</w:t>
            </w:r>
          </w:p>
        </w:tc>
        <w:tc>
          <w:tcPr>
            <w:tcW w:w="6370" w:type="dxa"/>
            <w:shd w:val="clear" w:color="auto" w:fill="auto"/>
          </w:tcPr>
          <w:p w14:paraId="0EE59D48">
            <w:pPr>
              <w:pStyle w:val="150"/>
            </w:pPr>
            <w:r>
              <w:rPr>
                <w:rFonts w:hint="eastAsia"/>
              </w:rPr>
              <w:t>选择基于带宽负载或基于优先级负载分配流量。如果选择了基于带宽负载，接口配置中必须对组内的接口配置带宽；如果选择了基于优先级负载，接口配置中必须对组内的接口配置优先级。</w:t>
            </w:r>
          </w:p>
        </w:tc>
      </w:tr>
      <w:tr w14:paraId="263E76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52" w:type="dxa"/>
            <w:shd w:val="clear" w:color="auto" w:fill="auto"/>
          </w:tcPr>
          <w:p w14:paraId="49F6C051">
            <w:pPr>
              <w:pStyle w:val="150"/>
            </w:pPr>
            <w:r>
              <w:rPr>
                <w:rFonts w:hint="eastAsia"/>
              </w:rPr>
              <w:t>接口配置</w:t>
            </w:r>
          </w:p>
        </w:tc>
        <w:tc>
          <w:tcPr>
            <w:tcW w:w="6370" w:type="dxa"/>
            <w:shd w:val="clear" w:color="auto" w:fill="auto"/>
          </w:tcPr>
          <w:p w14:paraId="1A3CB6D3">
            <w:pPr>
              <w:pStyle w:val="150"/>
            </w:pPr>
            <w:r>
              <w:rPr>
                <w:rFonts w:hint="eastAsia"/>
              </w:rPr>
              <w:t>向负载均衡组中添加负载均衡接口，只有路由的下一跳都在同一个负载均衡接口组时，才走负载均衡，否则按之前的路由策略走。</w:t>
            </w:r>
          </w:p>
        </w:tc>
      </w:tr>
    </w:tbl>
    <w:p w14:paraId="4554C8AB">
      <w:bookmarkStart w:id="5160" w:name="_Ref494443793"/>
    </w:p>
    <w:p w14:paraId="60A31C7D">
      <w:pPr>
        <w:pStyle w:val="183"/>
      </w:pPr>
      <w:bookmarkStart w:id="5161" w:name="_Ref511658048"/>
      <w:bookmarkStart w:id="5162" w:name="_Toc141875693"/>
      <w:r>
        <w:rPr>
          <w:rFonts w:hint="eastAsia"/>
        </w:rPr>
        <w:t>接口配置项含义</w:t>
      </w:r>
      <w:bookmarkEnd w:id="5160"/>
      <w:bookmarkEnd w:id="5161"/>
      <w:bookmarkEnd w:id="5162"/>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668"/>
        <w:gridCol w:w="7302"/>
      </w:tblGrid>
      <w:tr w14:paraId="40E436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68" w:type="dxa"/>
            <w:tcBorders>
              <w:tl2br w:val="nil"/>
              <w:tr2bl w:val="nil"/>
            </w:tcBorders>
            <w:shd w:val="clear" w:color="auto" w:fill="538135" w:themeFill="accent6" w:themeFillShade="BF"/>
            <w:vAlign w:val="center"/>
          </w:tcPr>
          <w:p w14:paraId="6C88D57A">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参数</w:t>
            </w:r>
          </w:p>
        </w:tc>
        <w:tc>
          <w:tcPr>
            <w:tcW w:w="7302" w:type="dxa"/>
            <w:tcBorders>
              <w:tl2br w:val="nil"/>
              <w:tr2bl w:val="nil"/>
            </w:tcBorders>
            <w:shd w:val="clear" w:color="auto" w:fill="538135" w:themeFill="accent6" w:themeFillShade="BF"/>
            <w:vAlign w:val="center"/>
          </w:tcPr>
          <w:p w14:paraId="5872A301">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B3C6D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68" w:type="dxa"/>
            <w:shd w:val="clear" w:color="auto" w:fill="auto"/>
          </w:tcPr>
          <w:p w14:paraId="0E0F989A">
            <w:pPr>
              <w:pStyle w:val="150"/>
            </w:pPr>
            <w:r>
              <w:rPr>
                <w:rFonts w:hint="eastAsia"/>
              </w:rPr>
              <w:t>接口名称</w:t>
            </w:r>
          </w:p>
        </w:tc>
        <w:tc>
          <w:tcPr>
            <w:tcW w:w="7302" w:type="dxa"/>
            <w:shd w:val="clear" w:color="auto" w:fill="auto"/>
          </w:tcPr>
          <w:p w14:paraId="075DF995">
            <w:pPr>
              <w:pStyle w:val="150"/>
            </w:pPr>
            <w:r>
              <w:rPr>
                <w:rFonts w:hint="eastAsia"/>
              </w:rPr>
              <w:t>加入到负载均衡组的接口。</w:t>
            </w:r>
          </w:p>
        </w:tc>
      </w:tr>
      <w:tr w14:paraId="3454AB1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68" w:type="dxa"/>
            <w:shd w:val="clear" w:color="auto" w:fill="auto"/>
          </w:tcPr>
          <w:p w14:paraId="18549134">
            <w:pPr>
              <w:pStyle w:val="150"/>
            </w:pPr>
            <w:r>
              <w:rPr>
                <w:rFonts w:hint="eastAsia"/>
              </w:rPr>
              <w:t>带宽</w:t>
            </w:r>
          </w:p>
        </w:tc>
        <w:tc>
          <w:tcPr>
            <w:tcW w:w="7302" w:type="dxa"/>
            <w:shd w:val="clear" w:color="auto" w:fill="auto"/>
          </w:tcPr>
          <w:p w14:paraId="7F5328E4">
            <w:pPr>
              <w:pStyle w:val="150"/>
            </w:pPr>
            <w:r>
              <w:rPr>
                <w:rFonts w:hint="eastAsia"/>
              </w:rPr>
              <w:t>该接口对应的带宽，单位为MB，范围1-10000，该带宽不是接口物理带宽，而是从运营商购买的带宽，指的是下行带宽。</w:t>
            </w:r>
          </w:p>
        </w:tc>
      </w:tr>
      <w:tr w14:paraId="07F82F2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68" w:type="dxa"/>
            <w:shd w:val="clear" w:color="auto" w:fill="auto"/>
          </w:tcPr>
          <w:p w14:paraId="2F34595D">
            <w:pPr>
              <w:pStyle w:val="150"/>
            </w:pPr>
            <w:r>
              <w:rPr>
                <w:rFonts w:hint="eastAsia"/>
              </w:rPr>
              <w:t>阈值</w:t>
            </w:r>
          </w:p>
        </w:tc>
        <w:tc>
          <w:tcPr>
            <w:tcW w:w="7302" w:type="dxa"/>
            <w:shd w:val="clear" w:color="auto" w:fill="auto"/>
          </w:tcPr>
          <w:p w14:paraId="06550D9F">
            <w:pPr>
              <w:pStyle w:val="150"/>
            </w:pPr>
            <w:r>
              <w:rPr>
                <w:rFonts w:hint="eastAsia"/>
              </w:rPr>
              <w:t>该接口的带宽限制，1-100%，由带宽乘以阈值比例，得出最后用于比较是否达到阈值的值，阈值是否达到，看到时候接口下的下行速率。</w:t>
            </w:r>
          </w:p>
        </w:tc>
      </w:tr>
      <w:tr w14:paraId="4E85B6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68" w:type="dxa"/>
            <w:shd w:val="clear" w:color="auto" w:fill="auto"/>
          </w:tcPr>
          <w:p w14:paraId="5735D351">
            <w:pPr>
              <w:pStyle w:val="150"/>
            </w:pPr>
            <w:r>
              <w:rPr>
                <w:rFonts w:hint="eastAsia"/>
              </w:rPr>
              <w:t>优先级</w:t>
            </w:r>
          </w:p>
        </w:tc>
        <w:tc>
          <w:tcPr>
            <w:tcW w:w="7302" w:type="dxa"/>
            <w:shd w:val="clear" w:color="auto" w:fill="auto"/>
          </w:tcPr>
          <w:p w14:paraId="46F8B6B2">
            <w:pPr>
              <w:pStyle w:val="150"/>
            </w:pPr>
            <w:r>
              <w:rPr>
                <w:rFonts w:hint="eastAsia"/>
              </w:rPr>
              <w:t>优先级可选范围1-4，数值越小越优先</w:t>
            </w:r>
          </w:p>
        </w:tc>
      </w:tr>
      <w:tr w14:paraId="0478BB2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68" w:type="dxa"/>
            <w:shd w:val="clear" w:color="auto" w:fill="auto"/>
          </w:tcPr>
          <w:p w14:paraId="7AB97B5D">
            <w:pPr>
              <w:pStyle w:val="150"/>
            </w:pPr>
            <w:r>
              <w:t>做</w:t>
            </w:r>
            <w:r>
              <w:rPr>
                <w:rFonts w:hint="eastAsia"/>
              </w:rPr>
              <w:t>为过载保护接口</w:t>
            </w:r>
          </w:p>
        </w:tc>
        <w:tc>
          <w:tcPr>
            <w:tcW w:w="7302" w:type="dxa"/>
            <w:shd w:val="clear" w:color="auto" w:fill="auto"/>
          </w:tcPr>
          <w:p w14:paraId="38BEA2CF">
            <w:pPr>
              <w:pStyle w:val="150"/>
            </w:pPr>
            <w:r>
              <w:rPr>
                <w:rFonts w:hint="eastAsia"/>
              </w:rPr>
              <w:t>该接口是否作为过载保护接口，当所有接口都达到阈值后，流量将从过载报户口转发，若配置了多个过载保护口，将选择当前负载较低的接口使用，负载的计算公式为：下行速率/接口配置的下行带宽。</w:t>
            </w:r>
          </w:p>
        </w:tc>
      </w:tr>
      <w:tr w14:paraId="14AF6E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68" w:type="dxa"/>
            <w:shd w:val="clear" w:color="auto" w:fill="auto"/>
          </w:tcPr>
          <w:p w14:paraId="26B002AF">
            <w:pPr>
              <w:pStyle w:val="150"/>
            </w:pPr>
            <w:r>
              <w:rPr>
                <w:rFonts w:hint="eastAsia"/>
              </w:rPr>
              <w:t>健康检查</w:t>
            </w:r>
          </w:p>
        </w:tc>
        <w:tc>
          <w:tcPr>
            <w:tcW w:w="7302" w:type="dxa"/>
            <w:shd w:val="clear" w:color="auto" w:fill="auto"/>
          </w:tcPr>
          <w:p w14:paraId="4963CCAA">
            <w:pPr>
              <w:pStyle w:val="150"/>
            </w:pPr>
            <w:r>
              <w:rPr>
                <w:rFonts w:hint="eastAsia"/>
              </w:rPr>
              <w:t>通过引用对应的track条目，检查该接口的连通状况，当健康检查失败时，该接口将不再参与后续新建流量的转发，但之前已在该接口转发的流量，还将继续转发，直到流老化。</w:t>
            </w:r>
          </w:p>
        </w:tc>
      </w:tr>
      <w:tr w14:paraId="426C3E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68" w:type="dxa"/>
            <w:shd w:val="clear" w:color="auto" w:fill="auto"/>
          </w:tcPr>
          <w:p w14:paraId="292DF432">
            <w:pPr>
              <w:pStyle w:val="150"/>
            </w:pPr>
            <w:r>
              <w:t>操作</w:t>
            </w:r>
          </w:p>
        </w:tc>
        <w:tc>
          <w:tcPr>
            <w:tcW w:w="7302" w:type="dxa"/>
            <w:shd w:val="clear" w:color="auto" w:fill="auto"/>
          </w:tcPr>
          <w:p w14:paraId="62FDECA4">
            <w:pPr>
              <w:pStyle w:val="150"/>
            </w:pPr>
            <w:r>
              <w:t>可对接口配置进行编辑和删除</w:t>
            </w:r>
            <w:r>
              <w:rPr>
                <w:rFonts w:hint="eastAsia"/>
              </w:rPr>
              <w:t>。</w:t>
            </w:r>
          </w:p>
        </w:tc>
      </w:tr>
    </w:tbl>
    <w:p w14:paraId="4DA85B13">
      <w:bookmarkStart w:id="5163" w:name="_Toc494295489"/>
    </w:p>
    <w:p w14:paraId="4EBAB60D">
      <w:pPr>
        <w:pStyle w:val="5"/>
      </w:pPr>
      <w:bookmarkStart w:id="5164" w:name="_Toc172218486"/>
      <w:bookmarkStart w:id="5165" w:name="_Toc196728304"/>
      <w:bookmarkStart w:id="5166" w:name="_Toc141873707"/>
      <w:bookmarkStart w:id="5167" w:name="_Toc194080972"/>
      <w:bookmarkStart w:id="5168" w:name="_Toc142401224"/>
      <w:r>
        <w:rPr>
          <w:rFonts w:hint="eastAsia"/>
        </w:rPr>
        <w:t>在负载均衡出接口上应用负载均衡策略</w:t>
      </w:r>
      <w:bookmarkEnd w:id="5164"/>
      <w:bookmarkEnd w:id="5165"/>
      <w:bookmarkEnd w:id="5166"/>
      <w:bookmarkEnd w:id="5167"/>
      <w:bookmarkEnd w:id="5168"/>
    </w:p>
    <w:p w14:paraId="6BE6FBDE">
      <w:pPr>
        <w:pStyle w:val="202"/>
      </w:pPr>
      <w:bookmarkStart w:id="5169" w:name="_Toc23152768"/>
      <w:bookmarkStart w:id="5170" w:name="_Toc40276201"/>
      <w:bookmarkStart w:id="5171" w:name="_Toc529430679"/>
      <w:bookmarkStart w:id="5172" w:name="_Toc15485004"/>
      <w:bookmarkStart w:id="5173" w:name="_Toc99561834"/>
      <w:r>
        <w:rPr>
          <w:rFonts w:hint="eastAsia"/>
        </w:rPr>
        <w:t>配置负载均衡出接口</w:t>
      </w:r>
      <w:bookmarkEnd w:id="5163"/>
      <w:bookmarkEnd w:id="5169"/>
      <w:bookmarkEnd w:id="5170"/>
      <w:bookmarkEnd w:id="5171"/>
      <w:bookmarkEnd w:id="5172"/>
      <w:bookmarkEnd w:id="5173"/>
    </w:p>
    <w:p w14:paraId="17596A1D">
      <w:r>
        <w:rPr>
          <w:rFonts w:hint="eastAsia"/>
        </w:rPr>
        <w:t>通过界面“策略配置&gt;负载均衡策略&gt;负载均衡出接口”，单击“新建”按钮，如</w:t>
      </w:r>
      <w:r>
        <w:fldChar w:fldCharType="begin"/>
      </w:r>
      <w:r>
        <w:instrText xml:space="preserve"> </w:instrText>
      </w:r>
      <w:r>
        <w:rPr>
          <w:rFonts w:hint="eastAsia"/>
        </w:rPr>
        <w:instrText xml:space="preserve">REF _Ref494443806 \r \h</w:instrText>
      </w:r>
      <w:r>
        <w:instrText xml:space="preserve"> </w:instrText>
      </w:r>
      <w:r>
        <w:fldChar w:fldCharType="separate"/>
      </w:r>
      <w:r>
        <w:rPr>
          <w:rFonts w:hint="eastAsia"/>
        </w:rPr>
        <w:t>图17-2</w:t>
      </w:r>
      <w:r>
        <w:fldChar w:fldCharType="end"/>
      </w:r>
      <w:r>
        <w:rPr>
          <w:rFonts w:hint="eastAsia"/>
        </w:rPr>
        <w:t>所示，负载均衡出接口参数说明如</w:t>
      </w:r>
      <w:r>
        <w:fldChar w:fldCharType="begin"/>
      </w:r>
      <w:r>
        <w:instrText xml:space="preserve"> </w:instrText>
      </w:r>
      <w:r>
        <w:rPr>
          <w:rFonts w:hint="eastAsia"/>
        </w:rPr>
        <w:instrText xml:space="preserve">REF _Ref494443830 \r \h</w:instrText>
      </w:r>
      <w:r>
        <w:instrText xml:space="preserve"> </w:instrText>
      </w:r>
      <w:r>
        <w:fldChar w:fldCharType="separate"/>
      </w:r>
      <w:r>
        <w:rPr>
          <w:rFonts w:hint="eastAsia"/>
        </w:rPr>
        <w:t>表17-1</w:t>
      </w:r>
      <w:r>
        <w:fldChar w:fldCharType="end"/>
      </w:r>
      <w:r>
        <w:rPr>
          <w:rFonts w:hint="eastAsia"/>
        </w:rPr>
        <w:t>所示。</w:t>
      </w:r>
    </w:p>
    <w:p w14:paraId="5C4894C1">
      <w:pPr>
        <w:pStyle w:val="188"/>
      </w:pPr>
      <w:bookmarkStart w:id="5174" w:name="_Toc141875118"/>
      <w:bookmarkStart w:id="5175" w:name="_Ref494443806"/>
      <w:r>
        <w:rPr>
          <w:rFonts w:hint="eastAsia"/>
        </w:rPr>
        <w:t>负载均衡出接口</w:t>
      </w:r>
      <w:bookmarkEnd w:id="5174"/>
      <w:bookmarkEnd w:id="5175"/>
    </w:p>
    <w:p w14:paraId="677F8F1F">
      <w:pPr>
        <w:spacing w:before="78" w:after="78"/>
      </w:pPr>
      <w:r>
        <w:drawing>
          <wp:inline distT="0" distB="0" distL="0" distR="0">
            <wp:extent cx="5057775" cy="3872865"/>
            <wp:effectExtent l="0" t="0" r="0" b="0"/>
            <wp:docPr id="805"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图片 89"/>
                    <pic:cNvPicPr>
                      <a:picLocks noChangeAspect="1" noChangeArrowheads="1"/>
                    </pic:cNvPicPr>
                  </pic:nvPicPr>
                  <pic:blipFill>
                    <a:blip r:embed="rId678">
                      <a:extLst>
                        <a:ext uri="{28A0092B-C50C-407E-A947-70E740481C1C}">
                          <a14:useLocalDpi xmlns:a14="http://schemas.microsoft.com/office/drawing/2010/main" val="0"/>
                        </a:ext>
                      </a:extLst>
                    </a:blip>
                    <a:srcRect b="16678"/>
                    <a:stretch>
                      <a:fillRect/>
                    </a:stretch>
                  </pic:blipFill>
                  <pic:spPr>
                    <a:xfrm>
                      <a:off x="0" y="0"/>
                      <a:ext cx="5064488" cy="3878021"/>
                    </a:xfrm>
                    <a:prstGeom prst="rect">
                      <a:avLst/>
                    </a:prstGeom>
                    <a:noFill/>
                    <a:ln>
                      <a:noFill/>
                    </a:ln>
                  </pic:spPr>
                </pic:pic>
              </a:graphicData>
            </a:graphic>
          </wp:inline>
        </w:drawing>
      </w:r>
    </w:p>
    <w:p w14:paraId="23A27E64"/>
    <w:p w14:paraId="2BD78BE9">
      <w:pPr>
        <w:pStyle w:val="183"/>
      </w:pPr>
      <w:bookmarkStart w:id="5176" w:name="_Toc141875694"/>
      <w:bookmarkStart w:id="5177" w:name="_Ref494443830"/>
      <w:r>
        <w:rPr>
          <w:rFonts w:hint="eastAsia"/>
        </w:rPr>
        <w:t>负载均衡出接口说明</w:t>
      </w:r>
      <w:bookmarkEnd w:id="5176"/>
      <w:bookmarkEnd w:id="5177"/>
    </w:p>
    <w:tbl>
      <w:tblPr>
        <w:tblStyle w:val="173"/>
        <w:tblW w:w="500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251"/>
        <w:gridCol w:w="7991"/>
      </w:tblGrid>
      <w:tr w14:paraId="1325E47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677" w:type="pct"/>
            <w:tcBorders>
              <w:tl2br w:val="nil"/>
              <w:tr2bl w:val="nil"/>
            </w:tcBorders>
            <w:shd w:val="clear" w:color="auto" w:fill="538135" w:themeFill="accent6" w:themeFillShade="BF"/>
            <w:vAlign w:val="center"/>
          </w:tcPr>
          <w:p w14:paraId="071F2B5C">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参数</w:t>
            </w:r>
          </w:p>
        </w:tc>
        <w:tc>
          <w:tcPr>
            <w:tcW w:w="4323" w:type="pct"/>
            <w:tcBorders>
              <w:tl2br w:val="nil"/>
              <w:tr2bl w:val="nil"/>
            </w:tcBorders>
            <w:shd w:val="clear" w:color="auto" w:fill="538135" w:themeFill="accent6" w:themeFillShade="BF"/>
            <w:vAlign w:val="center"/>
          </w:tcPr>
          <w:p w14:paraId="51CF275C">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48456E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677" w:type="pct"/>
            <w:shd w:val="clear" w:color="auto" w:fill="auto"/>
          </w:tcPr>
          <w:p w14:paraId="2FB98BBC">
            <w:pPr>
              <w:pStyle w:val="150"/>
            </w:pPr>
            <w:r>
              <w:rPr>
                <w:rFonts w:hint="eastAsia"/>
              </w:rPr>
              <w:t>出接口</w:t>
            </w:r>
          </w:p>
        </w:tc>
        <w:tc>
          <w:tcPr>
            <w:tcW w:w="4323" w:type="pct"/>
            <w:shd w:val="clear" w:color="auto" w:fill="auto"/>
          </w:tcPr>
          <w:p w14:paraId="7C32661D">
            <w:pPr>
              <w:pStyle w:val="150"/>
            </w:pPr>
            <w:r>
              <w:rPr>
                <w:rFonts w:hint="eastAsia"/>
              </w:rPr>
              <w:t>选择出接口。</w:t>
            </w:r>
          </w:p>
        </w:tc>
      </w:tr>
      <w:tr w14:paraId="1EE7CA8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677" w:type="pct"/>
            <w:shd w:val="clear" w:color="auto" w:fill="auto"/>
          </w:tcPr>
          <w:p w14:paraId="5407AD9E">
            <w:pPr>
              <w:pStyle w:val="150"/>
            </w:pPr>
            <w:r>
              <w:rPr>
                <w:rFonts w:hint="eastAsia"/>
              </w:rPr>
              <w:t>下一跳</w:t>
            </w:r>
          </w:p>
        </w:tc>
        <w:tc>
          <w:tcPr>
            <w:tcW w:w="4323" w:type="pct"/>
            <w:shd w:val="clear" w:color="auto" w:fill="auto"/>
          </w:tcPr>
          <w:p w14:paraId="459C7957">
            <w:pPr>
              <w:pStyle w:val="150"/>
            </w:pPr>
            <w:r>
              <w:rPr>
                <w:rFonts w:hint="eastAsia"/>
              </w:rPr>
              <w:t>路由选择的目的地址。</w:t>
            </w:r>
          </w:p>
        </w:tc>
      </w:tr>
      <w:tr w14:paraId="6A5140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677" w:type="pct"/>
            <w:shd w:val="clear" w:color="auto" w:fill="auto"/>
          </w:tcPr>
          <w:p w14:paraId="3D50B724">
            <w:pPr>
              <w:pStyle w:val="150"/>
            </w:pPr>
            <w:r>
              <w:rPr>
                <w:rFonts w:hint="eastAsia"/>
              </w:rPr>
              <w:t>描述</w:t>
            </w:r>
          </w:p>
        </w:tc>
        <w:tc>
          <w:tcPr>
            <w:tcW w:w="4323" w:type="pct"/>
            <w:shd w:val="clear" w:color="auto" w:fill="auto"/>
          </w:tcPr>
          <w:p w14:paraId="5C8EB8B8">
            <w:pPr>
              <w:pStyle w:val="150"/>
            </w:pPr>
            <w:r>
              <w:rPr>
                <w:rFonts w:hint="eastAsia"/>
              </w:rPr>
              <w:t>出接口描述。</w:t>
            </w:r>
          </w:p>
        </w:tc>
      </w:tr>
      <w:tr w14:paraId="2213AD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677" w:type="pct"/>
            <w:shd w:val="clear" w:color="auto" w:fill="auto"/>
          </w:tcPr>
          <w:p w14:paraId="4A156722">
            <w:pPr>
              <w:pStyle w:val="150"/>
            </w:pPr>
            <w:r>
              <w:rPr>
                <w:rFonts w:hint="eastAsia"/>
              </w:rPr>
              <w:t>健康检查</w:t>
            </w:r>
          </w:p>
        </w:tc>
        <w:tc>
          <w:tcPr>
            <w:tcW w:w="4323" w:type="pct"/>
            <w:shd w:val="clear" w:color="auto" w:fill="auto"/>
          </w:tcPr>
          <w:p w14:paraId="322271F2">
            <w:pPr>
              <w:pStyle w:val="150"/>
            </w:pPr>
            <w:r>
              <w:rPr>
                <w:rFonts w:hint="eastAsia"/>
              </w:rPr>
              <w:t>开启或关闭健康检查功能。</w:t>
            </w:r>
          </w:p>
          <w:p w14:paraId="6E7A2EA6">
            <w:pPr>
              <w:pStyle w:val="150"/>
            </w:pPr>
            <w:r>
              <w:rPr>
                <w:rFonts w:hint="eastAsia"/>
              </w:rPr>
              <w:t>名称：健康检查名称。</w:t>
            </w:r>
          </w:p>
          <w:p w14:paraId="605C790F">
            <w:pPr>
              <w:pStyle w:val="150"/>
            </w:pPr>
            <w:r>
              <w:rPr>
                <w:rFonts w:hint="eastAsia"/>
              </w:rPr>
              <w:t>类型：支持ICMP类型。</w:t>
            </w:r>
          </w:p>
          <w:p w14:paraId="569D1DDF">
            <w:pPr>
              <w:pStyle w:val="150"/>
            </w:pPr>
            <w:r>
              <w:rPr>
                <w:rFonts w:hint="eastAsia"/>
              </w:rPr>
              <w:t>检查地址：健康检查地址一般配置下一跳或下一条设备地址。</w:t>
            </w:r>
          </w:p>
          <w:p w14:paraId="648FE3A7">
            <w:pPr>
              <w:pStyle w:val="150"/>
            </w:pPr>
            <w:r>
              <w:rPr>
                <w:rFonts w:hint="eastAsia"/>
              </w:rPr>
              <w:t>间隔：间隔x秒发送一次检查报文，不论是否成功，都会发送。</w:t>
            </w:r>
          </w:p>
          <w:p w14:paraId="7F1D703B">
            <w:pPr>
              <w:pStyle w:val="150"/>
            </w:pPr>
            <w:r>
              <w:rPr>
                <w:rFonts w:hint="eastAsia"/>
              </w:rPr>
              <w:t>重试次数：重试次数M，表示已经有M次没有收到检查报文的回应之后，才会认为健康检查失败。</w:t>
            </w:r>
          </w:p>
          <w:p w14:paraId="27677D39">
            <w:pPr>
              <w:pStyle w:val="150"/>
            </w:pPr>
            <w:r>
              <w:rPr>
                <w:rFonts w:hint="eastAsia"/>
              </w:rPr>
              <w:t>检查</w:t>
            </w:r>
            <w:r>
              <w:t>状态</w:t>
            </w:r>
            <w:r>
              <w:rPr>
                <w:rFonts w:hint="eastAsia"/>
              </w:rPr>
              <w:t>：</w:t>
            </w:r>
            <w:r>
              <w:t>显示此前检查状态</w:t>
            </w:r>
            <w:r>
              <w:rPr>
                <w:rFonts w:hint="eastAsia"/>
              </w:rPr>
              <w:t>。</w:t>
            </w:r>
          </w:p>
          <w:p w14:paraId="483BBBDD">
            <w:pPr>
              <w:pStyle w:val="150"/>
            </w:pPr>
            <w:r>
              <w:t>新建</w:t>
            </w:r>
            <w:r>
              <w:rPr>
                <w:rFonts w:hint="eastAsia"/>
              </w:rPr>
              <w:t>：</w:t>
            </w:r>
            <w:r>
              <w:t>可新建健康检查项目配置</w:t>
            </w:r>
            <w:r>
              <w:rPr>
                <w:rFonts w:hint="eastAsia"/>
              </w:rPr>
              <w:t>。</w:t>
            </w:r>
          </w:p>
          <w:p w14:paraId="36A2E40E">
            <w:pPr>
              <w:pStyle w:val="150"/>
            </w:pPr>
            <w:r>
              <w:t>操作</w:t>
            </w:r>
            <w:r>
              <w:rPr>
                <w:rFonts w:hint="eastAsia"/>
              </w:rPr>
              <w:t>：</w:t>
            </w:r>
            <w:r>
              <w:t>可删除健康检查项目配置</w:t>
            </w:r>
            <w:r>
              <w:rPr>
                <w:rFonts w:hint="eastAsia"/>
              </w:rPr>
              <w:t>。</w:t>
            </w:r>
          </w:p>
        </w:tc>
      </w:tr>
      <w:tr w14:paraId="10C051D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677" w:type="pct"/>
            <w:shd w:val="clear" w:color="auto" w:fill="auto"/>
          </w:tcPr>
          <w:p w14:paraId="67F7AF7B">
            <w:pPr>
              <w:pStyle w:val="150"/>
            </w:pPr>
            <w:r>
              <w:rPr>
                <w:rFonts w:hint="eastAsia"/>
              </w:rPr>
              <w:t>DNS服务器</w:t>
            </w:r>
          </w:p>
        </w:tc>
        <w:tc>
          <w:tcPr>
            <w:tcW w:w="4323" w:type="pct"/>
            <w:shd w:val="clear" w:color="auto" w:fill="auto"/>
          </w:tcPr>
          <w:p w14:paraId="2413E6EA">
            <w:pPr>
              <w:pStyle w:val="150"/>
            </w:pPr>
            <w:r>
              <w:rPr>
                <w:rFonts w:hint="eastAsia"/>
              </w:rPr>
              <w:t>DNS服务器默认关闭，如果开启dns服务器功能，经过负载均衡的dns流量会进行dns转换。</w:t>
            </w:r>
          </w:p>
          <w:p w14:paraId="2A8E61B2">
            <w:pPr>
              <w:pStyle w:val="207"/>
              <w:rPr>
                <w:lang w:eastAsia="zh-CN"/>
              </w:rPr>
            </w:pPr>
            <w:r>
              <w:rPr>
                <w:rFonts w:hint="eastAsia"/>
                <w:lang w:eastAsia="zh-CN"/>
              </w:rPr>
              <w:t>手动配置：手动添加主DNS和备DNS</w:t>
            </w:r>
          </w:p>
          <w:p w14:paraId="3346B677">
            <w:pPr>
              <w:pStyle w:val="207"/>
              <w:rPr>
                <w:lang w:eastAsia="zh-CN"/>
              </w:rPr>
            </w:pPr>
            <w:r>
              <w:rPr>
                <w:rFonts w:hint="eastAsia"/>
                <w:lang w:eastAsia="zh-CN"/>
              </w:rPr>
              <w:t>继承链路配置：继承链路出接口的DNS</w:t>
            </w:r>
          </w:p>
          <w:p w14:paraId="3AD2D40A">
            <w:pPr>
              <w:pStyle w:val="207"/>
              <w:rPr>
                <w:lang w:eastAsia="zh-CN"/>
              </w:rPr>
            </w:pPr>
            <w:r>
              <w:rPr>
                <w:rFonts w:hint="eastAsia"/>
                <w:lang w:eastAsia="zh-CN"/>
              </w:rPr>
              <w:t>dns探测：开启关闭DNS探测功能</w:t>
            </w:r>
          </w:p>
          <w:p w14:paraId="451D512F">
            <w:pPr>
              <w:pStyle w:val="207"/>
              <w:rPr>
                <w:lang w:eastAsia="zh-CN"/>
              </w:rPr>
            </w:pPr>
            <w:r>
              <w:rPr>
                <w:rFonts w:hint="eastAsia"/>
                <w:lang w:eastAsia="zh-CN"/>
              </w:rPr>
              <w:t>dns探测失败动作：</w:t>
            </w:r>
            <w:r>
              <w:rPr>
                <w:lang w:eastAsia="zh-CN"/>
              </w:rPr>
              <w:t>DNS</w:t>
            </w:r>
            <w:r>
              <w:rPr>
                <w:rFonts w:hint="eastAsia"/>
                <w:lang w:eastAsia="zh-CN"/>
              </w:rPr>
              <w:t>探测失败分两种，一种是禁用dns-dnat功能，另一种是禁用负载均衡出接口</w:t>
            </w:r>
          </w:p>
        </w:tc>
      </w:tr>
    </w:tbl>
    <w:p w14:paraId="3D106FCF">
      <w:bookmarkStart w:id="5178" w:name="_Toc494295490"/>
    </w:p>
    <w:p w14:paraId="3A9E35B6">
      <w:pPr>
        <w:pStyle w:val="202"/>
      </w:pPr>
      <w:r>
        <w:rPr>
          <w:rFonts w:hint="eastAsia"/>
        </w:rPr>
        <w:t>配置</w:t>
      </w:r>
      <w:bookmarkStart w:id="5179" w:name="_Toc529430680"/>
      <w:bookmarkStart w:id="5180" w:name="_Toc15485005"/>
      <w:bookmarkStart w:id="5181" w:name="_Toc99561835"/>
      <w:bookmarkStart w:id="5182" w:name="_Toc23152769"/>
      <w:bookmarkStart w:id="5183" w:name="_Toc40276202"/>
      <w:r>
        <w:rPr>
          <w:rFonts w:hint="eastAsia"/>
        </w:rPr>
        <w:t>负载均衡策略</w:t>
      </w:r>
    </w:p>
    <w:p w14:paraId="627F54F7">
      <w:r>
        <w:rPr>
          <w:rFonts w:hint="eastAsia"/>
        </w:rPr>
        <w:t>通过界面“策略配置&gt;负载均衡策略&gt;负载均衡策略”，单击“新建”按钮，如</w:t>
      </w:r>
      <w:r>
        <w:rPr>
          <w:rStyle w:val="375"/>
        </w:rPr>
        <w:t>下图</w:t>
      </w:r>
      <w:r>
        <w:rPr>
          <w:rFonts w:hint="eastAsia"/>
        </w:rPr>
        <w:t>所示。</w:t>
      </w:r>
    </w:p>
    <w:p w14:paraId="49EB7D5E">
      <w:pPr>
        <w:pStyle w:val="188"/>
      </w:pPr>
      <w:bookmarkStart w:id="5184" w:name="_Toc141875119"/>
      <w:r>
        <w:rPr>
          <w:rFonts w:hint="eastAsia"/>
        </w:rPr>
        <w:t>负载均衡策略界面</w:t>
      </w:r>
      <w:bookmarkEnd w:id="5184"/>
    </w:p>
    <w:p w14:paraId="6A355FBB">
      <w:r>
        <w:drawing>
          <wp:inline distT="0" distB="0" distL="0" distR="0">
            <wp:extent cx="5332730" cy="4643120"/>
            <wp:effectExtent l="0" t="0" r="1270" b="5080"/>
            <wp:docPr id="808"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图片 90"/>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a:xfrm>
                      <a:off x="0" y="0"/>
                      <a:ext cx="5335521" cy="4645726"/>
                    </a:xfrm>
                    <a:prstGeom prst="rect">
                      <a:avLst/>
                    </a:prstGeom>
                    <a:noFill/>
                    <a:ln>
                      <a:noFill/>
                    </a:ln>
                  </pic:spPr>
                </pic:pic>
              </a:graphicData>
            </a:graphic>
          </wp:inline>
        </w:drawing>
      </w:r>
    </w:p>
    <w:p w14:paraId="1CA667F2"/>
    <w:p w14:paraId="36EE6EAE">
      <w:pPr>
        <w:pStyle w:val="183"/>
      </w:pPr>
      <w:bookmarkStart w:id="5185" w:name="_Toc141875695"/>
      <w:r>
        <w:rPr>
          <w:rFonts w:hint="eastAsia"/>
        </w:rPr>
        <w:t>负载均衡策略详细配置说明</w:t>
      </w:r>
      <w:bookmarkEnd w:id="5185"/>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48"/>
        <w:gridCol w:w="6622"/>
      </w:tblGrid>
      <w:tr w14:paraId="0B02A8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tcBorders>
              <w:tl2br w:val="nil"/>
              <w:tr2bl w:val="nil"/>
            </w:tcBorders>
            <w:shd w:val="clear" w:color="auto" w:fill="538135" w:themeFill="accent6" w:themeFillShade="BF"/>
            <w:vAlign w:val="center"/>
          </w:tcPr>
          <w:p w14:paraId="7418D2CA">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参数</w:t>
            </w:r>
          </w:p>
        </w:tc>
        <w:tc>
          <w:tcPr>
            <w:tcW w:w="6622" w:type="dxa"/>
            <w:tcBorders>
              <w:tl2br w:val="nil"/>
              <w:tr2bl w:val="nil"/>
            </w:tcBorders>
            <w:shd w:val="clear" w:color="auto" w:fill="538135" w:themeFill="accent6" w:themeFillShade="BF"/>
            <w:vAlign w:val="center"/>
          </w:tcPr>
          <w:p w14:paraId="775B7775">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1DDB77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0015B6CE">
            <w:pPr>
              <w:pStyle w:val="150"/>
            </w:pPr>
            <w:r>
              <w:rPr>
                <w:rFonts w:hint="eastAsia"/>
              </w:rPr>
              <w:t>启用</w:t>
            </w:r>
          </w:p>
        </w:tc>
        <w:tc>
          <w:tcPr>
            <w:tcW w:w="6622" w:type="dxa"/>
            <w:shd w:val="clear" w:color="auto" w:fill="auto"/>
          </w:tcPr>
          <w:p w14:paraId="5C12A200">
            <w:pPr>
              <w:pStyle w:val="150"/>
            </w:pPr>
            <w:r>
              <w:rPr>
                <w:rFonts w:hint="eastAsia"/>
              </w:rPr>
              <w:t>开启负载均衡策略。</w:t>
            </w:r>
          </w:p>
        </w:tc>
      </w:tr>
      <w:tr w14:paraId="769508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41D31835">
            <w:pPr>
              <w:pStyle w:val="150"/>
            </w:pPr>
            <w:r>
              <w:rPr>
                <w:rFonts w:hint="eastAsia"/>
              </w:rPr>
              <w:t>负载均衡策略-基于优先级</w:t>
            </w:r>
          </w:p>
        </w:tc>
        <w:tc>
          <w:tcPr>
            <w:tcW w:w="6622" w:type="dxa"/>
            <w:shd w:val="clear" w:color="auto" w:fill="auto"/>
          </w:tcPr>
          <w:p w14:paraId="5A547EE5">
            <w:pPr>
              <w:pStyle w:val="150"/>
            </w:pPr>
            <w:r>
              <w:rPr>
                <w:rFonts w:hint="eastAsia"/>
              </w:rPr>
              <w:t>多条链路在同一调度策略中，根据由上到下的优先级顺序将目标流量进行分发。</w:t>
            </w:r>
          </w:p>
        </w:tc>
      </w:tr>
      <w:tr w14:paraId="1BE5C0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4E7908D7">
            <w:pPr>
              <w:pStyle w:val="150"/>
            </w:pPr>
            <w:r>
              <w:rPr>
                <w:rFonts w:hint="eastAsia"/>
              </w:rPr>
              <w:t>负载均衡策略-基于权重</w:t>
            </w:r>
          </w:p>
        </w:tc>
        <w:tc>
          <w:tcPr>
            <w:tcW w:w="6622" w:type="dxa"/>
            <w:shd w:val="clear" w:color="auto" w:fill="auto"/>
          </w:tcPr>
          <w:p w14:paraId="1454FFCB">
            <w:pPr>
              <w:pStyle w:val="150"/>
            </w:pPr>
            <w:r>
              <w:rPr>
                <w:rFonts w:hint="eastAsia"/>
              </w:rPr>
              <w:t>多条链路在同一调度策略中，根据加权调度算法将目标流量根据权重比进行分发。</w:t>
            </w:r>
          </w:p>
        </w:tc>
      </w:tr>
      <w:tr w14:paraId="56865A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5816B95A">
            <w:pPr>
              <w:pStyle w:val="150"/>
            </w:pPr>
            <w:r>
              <w:rPr>
                <w:rFonts w:hint="eastAsia"/>
              </w:rPr>
              <w:t>描述</w:t>
            </w:r>
          </w:p>
        </w:tc>
        <w:tc>
          <w:tcPr>
            <w:tcW w:w="6622" w:type="dxa"/>
            <w:shd w:val="clear" w:color="auto" w:fill="auto"/>
          </w:tcPr>
          <w:p w14:paraId="7AD19D24">
            <w:pPr>
              <w:pStyle w:val="150"/>
            </w:pPr>
            <w:r>
              <w:rPr>
                <w:rFonts w:hint="eastAsia"/>
              </w:rPr>
              <w:t>负载均衡策略的描述。</w:t>
            </w:r>
          </w:p>
        </w:tc>
      </w:tr>
      <w:tr w14:paraId="461776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7B3974D1">
            <w:pPr>
              <w:pStyle w:val="150"/>
            </w:pPr>
            <w:r>
              <w:rPr>
                <w:rFonts w:hint="eastAsia"/>
              </w:rPr>
              <w:t>匹配条件</w:t>
            </w:r>
          </w:p>
        </w:tc>
        <w:tc>
          <w:tcPr>
            <w:tcW w:w="6622" w:type="dxa"/>
            <w:shd w:val="clear" w:color="auto" w:fill="auto"/>
          </w:tcPr>
          <w:p w14:paraId="66437CCB">
            <w:pPr>
              <w:pStyle w:val="150"/>
            </w:pPr>
            <w:r>
              <w:rPr>
                <w:rFonts w:hint="eastAsia"/>
              </w:rPr>
              <w:t>完全匹配上用户，源接口，源地址，目的地址，时间，服务，应用，才能命中负载策略。</w:t>
            </w:r>
          </w:p>
        </w:tc>
      </w:tr>
      <w:tr w14:paraId="7C79E6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48" w:type="dxa"/>
            <w:shd w:val="clear" w:color="auto" w:fill="auto"/>
          </w:tcPr>
          <w:p w14:paraId="0D1C7A0E">
            <w:pPr>
              <w:pStyle w:val="150"/>
            </w:pPr>
            <w:r>
              <w:rPr>
                <w:rFonts w:hint="eastAsia"/>
              </w:rPr>
              <w:t>出接口设置</w:t>
            </w:r>
          </w:p>
        </w:tc>
        <w:tc>
          <w:tcPr>
            <w:tcW w:w="6622" w:type="dxa"/>
            <w:shd w:val="clear" w:color="auto" w:fill="auto"/>
          </w:tcPr>
          <w:p w14:paraId="1883344B">
            <w:pPr>
              <w:pStyle w:val="150"/>
            </w:pPr>
            <w:r>
              <w:rPr>
                <w:rFonts w:hint="eastAsia"/>
              </w:rPr>
              <w:t>引用负载均衡出接口</w:t>
            </w:r>
          </w:p>
        </w:tc>
      </w:tr>
    </w:tbl>
    <w:p w14:paraId="6B8BD03A"/>
    <w:p w14:paraId="6DC02F4A">
      <w:pPr>
        <w:pStyle w:val="202"/>
        <w:rPr>
          <w:lang w:eastAsia="zh-CN"/>
        </w:rPr>
      </w:pPr>
      <w:r>
        <w:rPr>
          <w:rFonts w:hint="eastAsia"/>
          <w:lang w:eastAsia="zh-CN"/>
        </w:rPr>
        <w:t>配置免负载均衡地址</w:t>
      </w:r>
      <w:bookmarkEnd w:id="5178"/>
      <w:bookmarkEnd w:id="5179"/>
      <w:bookmarkEnd w:id="5180"/>
      <w:bookmarkEnd w:id="5181"/>
      <w:bookmarkEnd w:id="5182"/>
      <w:bookmarkEnd w:id="5183"/>
      <w:r>
        <w:rPr>
          <w:rFonts w:hint="eastAsia"/>
          <w:lang w:eastAsia="zh-CN"/>
        </w:rPr>
        <w:t>（可选）</w:t>
      </w:r>
    </w:p>
    <w:p w14:paraId="00E30B38">
      <w:r>
        <w:rPr>
          <w:rFonts w:hint="eastAsia"/>
        </w:rPr>
        <w:t>通过界面“策略配置&gt;负载均衡策略&gt;免负载均衡地址”，单击“设置”按钮，如</w:t>
      </w:r>
      <w:r>
        <w:fldChar w:fldCharType="begin"/>
      </w:r>
      <w:r>
        <w:instrText xml:space="preserve"> </w:instrText>
      </w:r>
      <w:r>
        <w:rPr>
          <w:rFonts w:hint="eastAsia"/>
        </w:rPr>
        <w:instrText xml:space="preserve">REF _Ref494443871 \r \h</w:instrText>
      </w:r>
      <w:r>
        <w:instrText xml:space="preserve"> </w:instrText>
      </w:r>
      <w:r>
        <w:fldChar w:fldCharType="separate"/>
      </w:r>
      <w:r>
        <w:rPr>
          <w:rFonts w:hint="eastAsia"/>
        </w:rPr>
        <w:t>图17-4</w:t>
      </w:r>
      <w:r>
        <w:fldChar w:fldCharType="end"/>
      </w:r>
      <w:r>
        <w:rPr>
          <w:rFonts w:hint="eastAsia"/>
        </w:rPr>
        <w:t>所示，免负载均衡地址各项说明如</w:t>
      </w:r>
      <w:r>
        <w:fldChar w:fldCharType="begin"/>
      </w:r>
      <w:r>
        <w:instrText xml:space="preserve"> </w:instrText>
      </w:r>
      <w:r>
        <w:rPr>
          <w:rFonts w:hint="eastAsia"/>
        </w:rPr>
        <w:instrText xml:space="preserve">REF _Ref494443899 \r \h</w:instrText>
      </w:r>
      <w:r>
        <w:instrText xml:space="preserve"> </w:instrText>
      </w:r>
      <w:r>
        <w:fldChar w:fldCharType="separate"/>
      </w:r>
      <w:r>
        <w:rPr>
          <w:rFonts w:hint="eastAsia"/>
        </w:rPr>
        <w:t>表17-1</w:t>
      </w:r>
      <w:r>
        <w:fldChar w:fldCharType="end"/>
      </w:r>
      <w:r>
        <w:rPr>
          <w:rFonts w:hint="eastAsia"/>
        </w:rPr>
        <w:t>所示。</w:t>
      </w:r>
    </w:p>
    <w:p w14:paraId="21321506">
      <w:pPr>
        <w:pStyle w:val="188"/>
      </w:pPr>
      <w:bookmarkStart w:id="5186" w:name="_Ref494443871"/>
      <w:bookmarkStart w:id="5187" w:name="_Toc141875120"/>
      <w:r>
        <w:rPr>
          <w:rFonts w:hint="eastAsia"/>
        </w:rPr>
        <w:t>免负载均衡地址配置界面</w:t>
      </w:r>
      <w:bookmarkEnd w:id="5186"/>
      <w:bookmarkEnd w:id="5187"/>
    </w:p>
    <w:p w14:paraId="195D4B12">
      <w:r>
        <w:drawing>
          <wp:inline distT="0" distB="0" distL="0" distR="0">
            <wp:extent cx="5608955" cy="853440"/>
            <wp:effectExtent l="0" t="0" r="0" b="3810"/>
            <wp:docPr id="1276" name="图片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图片 1276"/>
                    <pic:cNvPicPr>
                      <a:picLocks noChangeAspect="1"/>
                    </pic:cNvPicPr>
                  </pic:nvPicPr>
                  <pic:blipFill>
                    <a:blip r:embed="rId680"/>
                    <a:stretch>
                      <a:fillRect/>
                    </a:stretch>
                  </pic:blipFill>
                  <pic:spPr>
                    <a:xfrm>
                      <a:off x="0" y="0"/>
                      <a:ext cx="5651326" cy="860099"/>
                    </a:xfrm>
                    <a:prstGeom prst="rect">
                      <a:avLst/>
                    </a:prstGeom>
                  </pic:spPr>
                </pic:pic>
              </a:graphicData>
            </a:graphic>
          </wp:inline>
        </w:drawing>
      </w:r>
    </w:p>
    <w:p w14:paraId="2B159FE2">
      <w:r>
        <w:drawing>
          <wp:inline distT="0" distB="0" distL="0" distR="0">
            <wp:extent cx="5608955" cy="3693160"/>
            <wp:effectExtent l="0" t="0" r="0" b="2540"/>
            <wp:docPr id="1277" name="图片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 name="图片 1277"/>
                    <pic:cNvPicPr>
                      <a:picLocks noChangeAspect="1"/>
                    </pic:cNvPicPr>
                  </pic:nvPicPr>
                  <pic:blipFill>
                    <a:blip r:embed="rId681"/>
                    <a:stretch>
                      <a:fillRect/>
                    </a:stretch>
                  </pic:blipFill>
                  <pic:spPr>
                    <a:xfrm>
                      <a:off x="0" y="0"/>
                      <a:ext cx="5610717" cy="3694493"/>
                    </a:xfrm>
                    <a:prstGeom prst="rect">
                      <a:avLst/>
                    </a:prstGeom>
                  </pic:spPr>
                </pic:pic>
              </a:graphicData>
            </a:graphic>
          </wp:inline>
        </w:drawing>
      </w:r>
    </w:p>
    <w:p w14:paraId="77A374FB"/>
    <w:p w14:paraId="54CBBB81">
      <w:pPr>
        <w:pStyle w:val="183"/>
      </w:pPr>
      <w:bookmarkStart w:id="5188" w:name="_Ref494443899"/>
      <w:bookmarkStart w:id="5189" w:name="_Toc141875696"/>
      <w:r>
        <w:rPr>
          <w:rFonts w:hint="eastAsia"/>
        </w:rPr>
        <w:t>免负载均衡说明</w:t>
      </w:r>
      <w:bookmarkEnd w:id="5188"/>
      <w:bookmarkEnd w:id="5189"/>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720"/>
        <w:gridCol w:w="6250"/>
      </w:tblGrid>
      <w:tr w14:paraId="1859617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402" w:type="dxa"/>
            <w:tcBorders>
              <w:tl2br w:val="nil"/>
              <w:tr2bl w:val="nil"/>
            </w:tcBorders>
            <w:shd w:val="clear" w:color="auto" w:fill="538135" w:themeFill="accent6" w:themeFillShade="BF"/>
            <w:vAlign w:val="center"/>
          </w:tcPr>
          <w:p w14:paraId="26E51EE7">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参数</w:t>
            </w:r>
          </w:p>
        </w:tc>
        <w:tc>
          <w:tcPr>
            <w:tcW w:w="5520" w:type="dxa"/>
            <w:tcBorders>
              <w:tl2br w:val="nil"/>
              <w:tr2bl w:val="nil"/>
            </w:tcBorders>
            <w:shd w:val="clear" w:color="auto" w:fill="538135" w:themeFill="accent6" w:themeFillShade="BF"/>
            <w:vAlign w:val="center"/>
          </w:tcPr>
          <w:p w14:paraId="3EDF51FE">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C04D3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402" w:type="dxa"/>
            <w:shd w:val="clear" w:color="auto" w:fill="auto"/>
          </w:tcPr>
          <w:p w14:paraId="37FC735C">
            <w:pPr>
              <w:pStyle w:val="150"/>
            </w:pPr>
            <w:r>
              <w:rPr>
                <w:rFonts w:hint="eastAsia"/>
              </w:rPr>
              <w:t>已选地址</w:t>
            </w:r>
          </w:p>
        </w:tc>
        <w:tc>
          <w:tcPr>
            <w:tcW w:w="5520" w:type="dxa"/>
            <w:shd w:val="clear" w:color="auto" w:fill="auto"/>
          </w:tcPr>
          <w:p w14:paraId="6AE2708D">
            <w:pPr>
              <w:pStyle w:val="150"/>
            </w:pPr>
            <w:r>
              <w:rPr>
                <w:rFonts w:hint="eastAsia"/>
              </w:rPr>
              <w:t>选中的地址将不进入负载均衡流程。</w:t>
            </w:r>
          </w:p>
        </w:tc>
      </w:tr>
      <w:tr w14:paraId="3721832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402" w:type="dxa"/>
            <w:shd w:val="clear" w:color="auto" w:fill="auto"/>
          </w:tcPr>
          <w:p w14:paraId="30253172">
            <w:pPr>
              <w:pStyle w:val="150"/>
            </w:pPr>
            <w:r>
              <w:rPr>
                <w:rFonts w:hint="eastAsia"/>
              </w:rPr>
              <w:t>新建</w:t>
            </w:r>
          </w:p>
        </w:tc>
        <w:tc>
          <w:tcPr>
            <w:tcW w:w="5520" w:type="dxa"/>
            <w:shd w:val="clear" w:color="auto" w:fill="auto"/>
          </w:tcPr>
          <w:p w14:paraId="1DE6B7AF">
            <w:pPr>
              <w:pStyle w:val="150"/>
            </w:pPr>
            <w:r>
              <w:rPr>
                <w:rFonts w:hint="eastAsia"/>
              </w:rPr>
              <w:t>新建地址对象。</w:t>
            </w:r>
          </w:p>
        </w:tc>
      </w:tr>
      <w:tr w14:paraId="0BBED5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402" w:type="dxa"/>
            <w:shd w:val="clear" w:color="auto" w:fill="auto"/>
          </w:tcPr>
          <w:p w14:paraId="1BB21D95">
            <w:pPr>
              <w:pStyle w:val="150"/>
            </w:pPr>
            <w:r>
              <w:rPr>
                <w:rFonts w:hint="eastAsia"/>
              </w:rPr>
              <w:t>查询</w:t>
            </w:r>
          </w:p>
        </w:tc>
        <w:tc>
          <w:tcPr>
            <w:tcW w:w="5520" w:type="dxa"/>
            <w:shd w:val="clear" w:color="auto" w:fill="auto"/>
          </w:tcPr>
          <w:p w14:paraId="1B259481">
            <w:pPr>
              <w:pStyle w:val="150"/>
            </w:pPr>
            <w:r>
              <w:rPr>
                <w:rFonts w:hint="eastAsia"/>
              </w:rPr>
              <w:t>查询地址对象或者地址组对象。</w:t>
            </w:r>
          </w:p>
        </w:tc>
      </w:tr>
      <w:tr w14:paraId="28B9796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402" w:type="dxa"/>
            <w:shd w:val="clear" w:color="auto" w:fill="auto"/>
          </w:tcPr>
          <w:p w14:paraId="330807E3">
            <w:pPr>
              <w:pStyle w:val="150"/>
            </w:pPr>
            <w:r>
              <w:rPr>
                <w:rFonts w:hint="eastAsia"/>
              </w:rPr>
              <w:t>排除设备直连网段</w:t>
            </w:r>
          </w:p>
        </w:tc>
        <w:tc>
          <w:tcPr>
            <w:tcW w:w="5520" w:type="dxa"/>
            <w:shd w:val="clear" w:color="auto" w:fill="auto"/>
          </w:tcPr>
          <w:p w14:paraId="5623712C">
            <w:pPr>
              <w:pStyle w:val="150"/>
            </w:pPr>
            <w:r>
              <w:rPr>
                <w:rFonts w:hint="eastAsia"/>
              </w:rPr>
              <w:t>设备的直连网段不进入负载均衡流程。</w:t>
            </w:r>
          </w:p>
        </w:tc>
      </w:tr>
    </w:tbl>
    <w:p w14:paraId="6E743FA2">
      <w:bookmarkStart w:id="5190" w:name="_Toc494295491"/>
    </w:p>
    <w:bookmarkEnd w:id="5190"/>
    <w:p w14:paraId="7CBA1F69">
      <w:pPr>
        <w:pStyle w:val="4"/>
      </w:pPr>
      <w:bookmarkStart w:id="5191" w:name="_Toc172218487"/>
      <w:bookmarkStart w:id="5192" w:name="_Toc194080973"/>
      <w:bookmarkStart w:id="5193" w:name="_Toc15485007"/>
      <w:bookmarkStart w:id="5194" w:name="_Toc141873708"/>
      <w:bookmarkStart w:id="5195" w:name="_Toc494295492"/>
      <w:bookmarkStart w:id="5196" w:name="_Toc23152771"/>
      <w:bookmarkStart w:id="5197" w:name="_Toc99561837"/>
      <w:bookmarkStart w:id="5198" w:name="_Toc529430682"/>
      <w:bookmarkStart w:id="5199" w:name="_Toc40276204"/>
      <w:bookmarkStart w:id="5200" w:name="_Toc142401225"/>
      <w:bookmarkStart w:id="5201" w:name="_Toc196728305"/>
      <w:r>
        <w:rPr>
          <w:rFonts w:hint="eastAsia"/>
        </w:rPr>
        <w:t>服务器负载均衡</w:t>
      </w:r>
      <w:bookmarkEnd w:id="5191"/>
      <w:bookmarkEnd w:id="5192"/>
      <w:bookmarkEnd w:id="5193"/>
      <w:bookmarkEnd w:id="5194"/>
      <w:bookmarkEnd w:id="5195"/>
      <w:bookmarkEnd w:id="5196"/>
      <w:bookmarkEnd w:id="5197"/>
      <w:bookmarkEnd w:id="5198"/>
      <w:bookmarkEnd w:id="5199"/>
      <w:bookmarkEnd w:id="5200"/>
      <w:bookmarkEnd w:id="5201"/>
    </w:p>
    <w:p w14:paraId="0B53FF33">
      <w:pPr>
        <w:pStyle w:val="5"/>
      </w:pPr>
      <w:bookmarkStart w:id="5202" w:name="_Toc141873709"/>
      <w:bookmarkStart w:id="5203" w:name="_Toc142401226"/>
      <w:bookmarkStart w:id="5204" w:name="_Toc172218488"/>
      <w:bookmarkStart w:id="5205" w:name="_Toc194080974"/>
      <w:bookmarkStart w:id="5206" w:name="_Toc196728306"/>
      <w:r>
        <w:rPr>
          <w:rFonts w:hint="eastAsia"/>
        </w:rPr>
        <w:t>配置服务器负载均衡</w:t>
      </w:r>
      <w:bookmarkEnd w:id="5202"/>
      <w:bookmarkEnd w:id="5203"/>
      <w:bookmarkEnd w:id="5204"/>
      <w:bookmarkEnd w:id="5205"/>
      <w:bookmarkEnd w:id="5206"/>
    </w:p>
    <w:p w14:paraId="30720B57">
      <w:r>
        <w:rPr>
          <w:rFonts w:hint="eastAsia"/>
        </w:rPr>
        <w:t>进入页面“策略配置&gt;负载均衡策略&gt;服务器负载均衡”，单击“新建”按钮，如</w:t>
      </w:r>
      <w:r>
        <w:fldChar w:fldCharType="begin"/>
      </w:r>
      <w:r>
        <w:instrText xml:space="preserve"> </w:instrText>
      </w:r>
      <w:r>
        <w:rPr>
          <w:rFonts w:hint="eastAsia"/>
        </w:rPr>
        <w:instrText xml:space="preserve">REF _Ref495418867 \r \h</w:instrText>
      </w:r>
      <w:r>
        <w:instrText xml:space="preserve">  \* MERGEFORMAT </w:instrText>
      </w:r>
      <w:r>
        <w:fldChar w:fldCharType="separate"/>
      </w:r>
      <w:r>
        <w:rPr>
          <w:rFonts w:hint="eastAsia"/>
        </w:rPr>
        <w:t>图17-5</w:t>
      </w:r>
      <w:r>
        <w:fldChar w:fldCharType="end"/>
      </w:r>
      <w:r>
        <w:rPr>
          <w:rFonts w:hint="eastAsia"/>
        </w:rPr>
        <w:t>所示。</w:t>
      </w:r>
    </w:p>
    <w:p w14:paraId="2229CAD8">
      <w:pPr>
        <w:pStyle w:val="188"/>
      </w:pPr>
      <w:bookmarkStart w:id="5207" w:name="_Ref495418867"/>
      <w:bookmarkStart w:id="5208" w:name="_Toc141875121"/>
      <w:r>
        <w:rPr>
          <w:rFonts w:hint="eastAsia"/>
        </w:rPr>
        <w:t>服务器负载均衡策略页面</w:t>
      </w:r>
      <w:bookmarkEnd w:id="5207"/>
      <w:bookmarkEnd w:id="5208"/>
    </w:p>
    <w:p w14:paraId="385789D3">
      <w:pPr>
        <w:spacing w:before="78" w:after="78"/>
      </w:pPr>
      <w:r>
        <w:drawing>
          <wp:inline distT="0" distB="0" distL="0" distR="0">
            <wp:extent cx="4838700" cy="4838700"/>
            <wp:effectExtent l="0" t="0" r="0" b="0"/>
            <wp:docPr id="809" name="图片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图片 1540"/>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a:xfrm>
                      <a:off x="0" y="0"/>
                      <a:ext cx="4838700" cy="4838700"/>
                    </a:xfrm>
                    <a:prstGeom prst="rect">
                      <a:avLst/>
                    </a:prstGeom>
                    <a:noFill/>
                    <a:ln>
                      <a:noFill/>
                    </a:ln>
                  </pic:spPr>
                </pic:pic>
              </a:graphicData>
            </a:graphic>
          </wp:inline>
        </w:drawing>
      </w:r>
    </w:p>
    <w:p w14:paraId="114F36D3"/>
    <w:p w14:paraId="26F707F5">
      <w:r>
        <w:rPr>
          <w:rFonts w:hint="eastAsia"/>
        </w:rPr>
        <w:t>服务器负载均衡策略配置各项含义如</w:t>
      </w:r>
      <w:r>
        <w:fldChar w:fldCharType="begin"/>
      </w:r>
      <w:r>
        <w:instrText xml:space="preserve"> </w:instrText>
      </w:r>
      <w:r>
        <w:rPr>
          <w:rFonts w:hint="eastAsia"/>
        </w:rPr>
        <w:instrText xml:space="preserve">REF _Ref495418803 \r \h</w:instrText>
      </w:r>
      <w:r>
        <w:instrText xml:space="preserve">  \* MERGEFORMAT </w:instrText>
      </w:r>
      <w:r>
        <w:fldChar w:fldCharType="separate"/>
      </w:r>
      <w:r>
        <w:rPr>
          <w:rFonts w:hint="eastAsia"/>
        </w:rPr>
        <w:t>表17-1</w:t>
      </w:r>
      <w:r>
        <w:fldChar w:fldCharType="end"/>
      </w:r>
      <w:r>
        <w:rPr>
          <w:rFonts w:hint="eastAsia"/>
        </w:rPr>
        <w:t>所示。</w:t>
      </w:r>
    </w:p>
    <w:p w14:paraId="6DF90A88">
      <w:pPr>
        <w:pStyle w:val="183"/>
      </w:pPr>
      <w:bookmarkStart w:id="5209" w:name="_Toc141875697"/>
      <w:bookmarkStart w:id="5210" w:name="_Ref495418803"/>
      <w:r>
        <w:rPr>
          <w:rFonts w:hint="eastAsia"/>
        </w:rPr>
        <w:t>服务器负载均衡策略说明</w:t>
      </w:r>
      <w:bookmarkEnd w:id="5209"/>
      <w:bookmarkEnd w:id="5210"/>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923"/>
        <w:gridCol w:w="7047"/>
      </w:tblGrid>
      <w:tr w14:paraId="32FA07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20" w:hRule="atLeast"/>
        </w:trPr>
        <w:tc>
          <w:tcPr>
            <w:tcW w:w="1923" w:type="dxa"/>
            <w:tcBorders>
              <w:tl2br w:val="nil"/>
              <w:tr2bl w:val="nil"/>
            </w:tcBorders>
            <w:shd w:val="clear" w:color="auto" w:fill="538135" w:themeFill="accent6" w:themeFillShade="BF"/>
            <w:vAlign w:val="center"/>
          </w:tcPr>
          <w:p w14:paraId="0615FD05">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参数</w:t>
            </w:r>
          </w:p>
        </w:tc>
        <w:tc>
          <w:tcPr>
            <w:tcW w:w="7047" w:type="dxa"/>
            <w:tcBorders>
              <w:tl2br w:val="nil"/>
              <w:tr2bl w:val="nil"/>
            </w:tcBorders>
            <w:shd w:val="clear" w:color="auto" w:fill="538135" w:themeFill="accent6" w:themeFillShade="BF"/>
            <w:vAlign w:val="center"/>
          </w:tcPr>
          <w:p w14:paraId="149854CD">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DE5B4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23" w:type="dxa"/>
            <w:shd w:val="clear" w:color="auto" w:fill="auto"/>
          </w:tcPr>
          <w:p w14:paraId="3D0C05B2">
            <w:pPr>
              <w:pStyle w:val="150"/>
            </w:pPr>
            <w:r>
              <w:rPr>
                <w:rFonts w:hint="eastAsia"/>
              </w:rPr>
              <w:t>启用</w:t>
            </w:r>
          </w:p>
        </w:tc>
        <w:tc>
          <w:tcPr>
            <w:tcW w:w="7047" w:type="dxa"/>
            <w:shd w:val="clear" w:color="auto" w:fill="auto"/>
          </w:tcPr>
          <w:p w14:paraId="11434CCB">
            <w:pPr>
              <w:pStyle w:val="150"/>
            </w:pPr>
            <w:r>
              <w:rPr>
                <w:rFonts w:hint="eastAsia"/>
              </w:rPr>
              <w:t>开启关闭服务器负载均衡策略。</w:t>
            </w:r>
          </w:p>
        </w:tc>
      </w:tr>
      <w:tr w14:paraId="654B583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23" w:type="dxa"/>
            <w:shd w:val="clear" w:color="auto" w:fill="auto"/>
          </w:tcPr>
          <w:p w14:paraId="503857CB">
            <w:pPr>
              <w:pStyle w:val="150"/>
            </w:pPr>
            <w:r>
              <w:rPr>
                <w:rFonts w:hint="eastAsia"/>
              </w:rPr>
              <w:t>ID</w:t>
            </w:r>
          </w:p>
        </w:tc>
        <w:tc>
          <w:tcPr>
            <w:tcW w:w="7047" w:type="dxa"/>
            <w:shd w:val="clear" w:color="auto" w:fill="auto"/>
          </w:tcPr>
          <w:p w14:paraId="1C8CEC20">
            <w:pPr>
              <w:pStyle w:val="150"/>
            </w:pPr>
            <w:r>
              <w:rPr>
                <w:rFonts w:hint="eastAsia"/>
              </w:rPr>
              <w:t>服务器负载均衡策略ID值。</w:t>
            </w:r>
          </w:p>
        </w:tc>
      </w:tr>
      <w:tr w14:paraId="083591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23" w:type="dxa"/>
            <w:shd w:val="clear" w:color="auto" w:fill="auto"/>
          </w:tcPr>
          <w:p w14:paraId="168553D0">
            <w:pPr>
              <w:pStyle w:val="150"/>
            </w:pPr>
            <w:r>
              <w:rPr>
                <w:rFonts w:hint="eastAsia"/>
              </w:rPr>
              <w:t>源地址</w:t>
            </w:r>
          </w:p>
        </w:tc>
        <w:tc>
          <w:tcPr>
            <w:tcW w:w="7047" w:type="dxa"/>
            <w:shd w:val="clear" w:color="auto" w:fill="auto"/>
          </w:tcPr>
          <w:p w14:paraId="13ED0DC2">
            <w:pPr>
              <w:pStyle w:val="150"/>
              <w:rPr>
                <w:rFonts w:ascii="黑体" w:hAnsi="黑体"/>
              </w:rPr>
            </w:pPr>
            <w:r>
              <w:rPr>
                <w:rFonts w:hint="eastAsia"/>
              </w:rPr>
              <w:t>服务器负载均衡规则匹配的源地址，可引用地址节点或地址组。</w:t>
            </w:r>
          </w:p>
        </w:tc>
      </w:tr>
      <w:tr w14:paraId="233AE9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23" w:type="dxa"/>
            <w:shd w:val="clear" w:color="auto" w:fill="auto"/>
          </w:tcPr>
          <w:p w14:paraId="0A2E4778">
            <w:pPr>
              <w:pStyle w:val="150"/>
            </w:pPr>
            <w:r>
              <w:rPr>
                <w:rFonts w:hint="eastAsia"/>
              </w:rPr>
              <w:t>目的地址</w:t>
            </w:r>
          </w:p>
        </w:tc>
        <w:tc>
          <w:tcPr>
            <w:tcW w:w="7047" w:type="dxa"/>
            <w:shd w:val="clear" w:color="auto" w:fill="auto"/>
          </w:tcPr>
          <w:p w14:paraId="2C786EAF">
            <w:pPr>
              <w:pStyle w:val="150"/>
            </w:pPr>
            <w:r>
              <w:rPr>
                <w:rFonts w:hint="eastAsia"/>
              </w:rPr>
              <w:t>服务器负载均衡规则匹配的目的地址，可引用地址节点或地址组。</w:t>
            </w:r>
          </w:p>
        </w:tc>
      </w:tr>
      <w:tr w14:paraId="738D55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23" w:type="dxa"/>
            <w:shd w:val="clear" w:color="auto" w:fill="auto"/>
          </w:tcPr>
          <w:p w14:paraId="262ACFA1">
            <w:pPr>
              <w:pStyle w:val="150"/>
            </w:pPr>
            <w:r>
              <w:rPr>
                <w:rFonts w:hint="eastAsia"/>
              </w:rPr>
              <w:t>服务</w:t>
            </w:r>
          </w:p>
        </w:tc>
        <w:tc>
          <w:tcPr>
            <w:tcW w:w="7047" w:type="dxa"/>
            <w:shd w:val="clear" w:color="auto" w:fill="auto"/>
          </w:tcPr>
          <w:p w14:paraId="536C0F21">
            <w:pPr>
              <w:pStyle w:val="150"/>
            </w:pPr>
            <w:r>
              <w:rPr>
                <w:rFonts w:hint="eastAsia"/>
              </w:rPr>
              <w:t>服务器负载均衡策略规则匹配的服务名，可引用服务资源或服务组。</w:t>
            </w:r>
          </w:p>
        </w:tc>
      </w:tr>
      <w:tr w14:paraId="0734D25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23" w:type="dxa"/>
            <w:shd w:val="clear" w:color="auto" w:fill="auto"/>
          </w:tcPr>
          <w:p w14:paraId="100E75E5">
            <w:pPr>
              <w:pStyle w:val="150"/>
            </w:pPr>
            <w:r>
              <w:rPr>
                <w:rFonts w:hint="eastAsia"/>
              </w:rPr>
              <w:t>接口</w:t>
            </w:r>
          </w:p>
        </w:tc>
        <w:tc>
          <w:tcPr>
            <w:tcW w:w="7047" w:type="dxa"/>
            <w:shd w:val="clear" w:color="auto" w:fill="auto"/>
          </w:tcPr>
          <w:p w14:paraId="15CD7CAE">
            <w:pPr>
              <w:pStyle w:val="150"/>
            </w:pPr>
            <w:r>
              <w:rPr>
                <w:rFonts w:hint="eastAsia"/>
              </w:rPr>
              <w:t>服务器负载均衡策略规则匹配的入接口名。</w:t>
            </w:r>
          </w:p>
        </w:tc>
      </w:tr>
      <w:tr w14:paraId="4D9FD34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23" w:type="dxa"/>
            <w:shd w:val="clear" w:color="auto" w:fill="auto"/>
          </w:tcPr>
          <w:p w14:paraId="10751C42">
            <w:pPr>
              <w:pStyle w:val="150"/>
            </w:pPr>
            <w:r>
              <w:rPr>
                <w:rFonts w:hint="eastAsia"/>
              </w:rPr>
              <w:t>转换类型</w:t>
            </w:r>
          </w:p>
        </w:tc>
        <w:tc>
          <w:tcPr>
            <w:tcW w:w="7047" w:type="dxa"/>
            <w:shd w:val="clear" w:color="auto" w:fill="auto"/>
          </w:tcPr>
          <w:p w14:paraId="77C9D79B">
            <w:pPr>
              <w:pStyle w:val="150"/>
            </w:pPr>
            <w:r>
              <w:rPr>
                <w:rFonts w:hint="eastAsia"/>
              </w:rPr>
              <w:t>需要转换的类型，可选择地址映射、端口映射。</w:t>
            </w:r>
          </w:p>
          <w:p w14:paraId="15614807">
            <w:pPr>
              <w:pStyle w:val="150"/>
            </w:pPr>
            <w:r>
              <w:rPr>
                <w:rFonts w:hint="eastAsia"/>
              </w:rPr>
              <w:t>地址映射：只转换地址。</w:t>
            </w:r>
          </w:p>
          <w:p w14:paraId="5014EB9D">
            <w:pPr>
              <w:pStyle w:val="150"/>
            </w:pPr>
            <w:r>
              <w:rPr>
                <w:rFonts w:hint="eastAsia"/>
              </w:rPr>
              <w:t>端口映射：转换地址和端口，选择该选项后，会有转换后端口需要填写。</w:t>
            </w:r>
          </w:p>
        </w:tc>
      </w:tr>
      <w:tr w14:paraId="24081F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23" w:type="dxa"/>
            <w:shd w:val="clear" w:color="auto" w:fill="auto"/>
          </w:tcPr>
          <w:p w14:paraId="0779448E">
            <w:pPr>
              <w:pStyle w:val="150"/>
            </w:pPr>
            <w:r>
              <w:rPr>
                <w:rFonts w:hint="eastAsia"/>
              </w:rPr>
              <w:t>服务器负载均衡算法</w:t>
            </w:r>
          </w:p>
        </w:tc>
        <w:tc>
          <w:tcPr>
            <w:tcW w:w="7047" w:type="dxa"/>
            <w:shd w:val="clear" w:color="auto" w:fill="auto"/>
          </w:tcPr>
          <w:p w14:paraId="5247B56E">
            <w:pPr>
              <w:pStyle w:val="150"/>
            </w:pPr>
            <w:r>
              <w:rPr>
                <w:rFonts w:hint="eastAsia"/>
              </w:rPr>
              <w:t>服务器负载均衡方式，基于源地址散列加权重分配或者基于基于权重分配，权重值在实服务器中进行配置。</w:t>
            </w:r>
          </w:p>
        </w:tc>
      </w:tr>
      <w:tr w14:paraId="41B12D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23" w:type="dxa"/>
            <w:shd w:val="clear" w:color="auto" w:fill="auto"/>
          </w:tcPr>
          <w:p w14:paraId="66ACF924">
            <w:pPr>
              <w:pStyle w:val="150"/>
            </w:pPr>
            <w:r>
              <w:rPr>
                <w:rFonts w:hint="eastAsia"/>
              </w:rPr>
              <w:t>实服务器</w:t>
            </w:r>
          </w:p>
        </w:tc>
        <w:tc>
          <w:tcPr>
            <w:tcW w:w="7047" w:type="dxa"/>
            <w:shd w:val="clear" w:color="auto" w:fill="auto"/>
          </w:tcPr>
          <w:p w14:paraId="14DEC827">
            <w:pPr>
              <w:pStyle w:val="150"/>
            </w:pPr>
            <w:r>
              <w:rPr>
                <w:rFonts w:hint="eastAsia"/>
              </w:rPr>
              <w:t>配置实服务器名、地址和权重三项。实服务器名为实服务器的名称。地址为实服务器的</w:t>
            </w:r>
            <w:r>
              <w:t>IP</w:t>
            </w:r>
            <w:r>
              <w:rPr>
                <w:rFonts w:hint="eastAsia"/>
              </w:rPr>
              <w:t>地址。权重为该实服务器在整个策略所占的权值。</w:t>
            </w:r>
          </w:p>
        </w:tc>
      </w:tr>
      <w:tr w14:paraId="3D0BE4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23" w:type="dxa"/>
            <w:shd w:val="clear" w:color="auto" w:fill="auto"/>
          </w:tcPr>
          <w:p w14:paraId="451CFDDD">
            <w:pPr>
              <w:pStyle w:val="150"/>
            </w:pPr>
            <w:r>
              <w:rPr>
                <w:rFonts w:hint="eastAsia"/>
              </w:rPr>
              <w:t>服务器探测</w:t>
            </w:r>
          </w:p>
        </w:tc>
        <w:tc>
          <w:tcPr>
            <w:tcW w:w="7047" w:type="dxa"/>
            <w:shd w:val="clear" w:color="auto" w:fill="auto"/>
          </w:tcPr>
          <w:p w14:paraId="0443EDF1">
            <w:pPr>
              <w:pStyle w:val="150"/>
            </w:pPr>
            <w:r>
              <w:rPr>
                <w:rFonts w:hint="eastAsia"/>
              </w:rPr>
              <w:t>配置服务器探测，探测类型可为ICMP探测或TCP探测。转换类型为端口映射时可选择T</w:t>
            </w:r>
            <w:r>
              <w:t>CP</w:t>
            </w:r>
            <w:r>
              <w:rPr>
                <w:rFonts w:hint="eastAsia"/>
              </w:rPr>
              <w:t>探测。</w:t>
            </w:r>
          </w:p>
        </w:tc>
      </w:tr>
      <w:tr w14:paraId="0CC2D5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23" w:type="dxa"/>
            <w:shd w:val="clear" w:color="auto" w:fill="auto"/>
          </w:tcPr>
          <w:p w14:paraId="0C3DAA4E">
            <w:pPr>
              <w:pStyle w:val="150"/>
            </w:pPr>
            <w:r>
              <w:rPr>
                <w:rFonts w:hint="eastAsia"/>
              </w:rPr>
              <w:t>日志</w:t>
            </w:r>
          </w:p>
        </w:tc>
        <w:tc>
          <w:tcPr>
            <w:tcW w:w="7047" w:type="dxa"/>
            <w:shd w:val="clear" w:color="auto" w:fill="auto"/>
          </w:tcPr>
          <w:p w14:paraId="34BB33E6">
            <w:pPr>
              <w:pStyle w:val="150"/>
            </w:pPr>
            <w:r>
              <w:rPr>
                <w:rFonts w:hint="eastAsia"/>
              </w:rPr>
              <w:t>对服务器负载均衡策略的匹配进行日志记录并发到日志服务器。</w:t>
            </w:r>
          </w:p>
        </w:tc>
      </w:tr>
    </w:tbl>
    <w:p w14:paraId="299590A2">
      <w:bookmarkStart w:id="5211" w:name="_Toc494295493"/>
    </w:p>
    <w:p w14:paraId="69DA5EC8">
      <w:pPr>
        <w:pStyle w:val="5"/>
      </w:pPr>
      <w:bookmarkStart w:id="5212" w:name="_Toc23152772"/>
      <w:bookmarkStart w:id="5213" w:name="_Toc99561838"/>
      <w:bookmarkStart w:id="5214" w:name="_Toc40276205"/>
      <w:bookmarkStart w:id="5215" w:name="_Toc15485008"/>
      <w:bookmarkStart w:id="5216" w:name="_Toc529430683"/>
      <w:bookmarkStart w:id="5217" w:name="_Toc141873710"/>
      <w:bookmarkStart w:id="5218" w:name="_Toc142401227"/>
      <w:bookmarkStart w:id="5219" w:name="_Toc172218489"/>
      <w:bookmarkStart w:id="5220" w:name="_Toc194080975"/>
      <w:bookmarkStart w:id="5221" w:name="_Toc196728307"/>
      <w:r>
        <w:rPr>
          <w:rFonts w:hint="eastAsia"/>
        </w:rPr>
        <w:t>服务器负载均衡配置</w:t>
      </w:r>
      <w:bookmarkEnd w:id="5211"/>
      <w:bookmarkEnd w:id="5212"/>
      <w:bookmarkEnd w:id="5213"/>
      <w:bookmarkEnd w:id="5214"/>
      <w:bookmarkEnd w:id="5215"/>
      <w:bookmarkEnd w:id="5216"/>
      <w:r>
        <w:rPr>
          <w:rFonts w:hint="eastAsia"/>
        </w:rPr>
        <w:t>举例</w:t>
      </w:r>
      <w:bookmarkEnd w:id="5217"/>
      <w:bookmarkEnd w:id="5218"/>
      <w:bookmarkEnd w:id="5219"/>
      <w:bookmarkEnd w:id="5220"/>
      <w:bookmarkEnd w:id="5221"/>
    </w:p>
    <w:p w14:paraId="797306E1">
      <w:pPr>
        <w:pStyle w:val="6"/>
      </w:pPr>
      <w:bookmarkStart w:id="5222" w:name="_Toc23152773"/>
      <w:bookmarkStart w:id="5223" w:name="_Toc40276206"/>
      <w:bookmarkStart w:id="5224" w:name="_Toc529430684"/>
      <w:bookmarkStart w:id="5225" w:name="_Toc99561839"/>
      <w:bookmarkStart w:id="5226" w:name="_Toc15485009"/>
      <w:r>
        <w:t>组网图形</w:t>
      </w:r>
      <w:bookmarkEnd w:id="5222"/>
      <w:bookmarkEnd w:id="5223"/>
      <w:bookmarkEnd w:id="5224"/>
      <w:bookmarkEnd w:id="5225"/>
      <w:bookmarkEnd w:id="5226"/>
    </w:p>
    <w:p w14:paraId="4CDBD8FA">
      <w:pPr>
        <w:pStyle w:val="188"/>
      </w:pPr>
      <w:bookmarkStart w:id="5227" w:name="_Toc141875122"/>
      <w:bookmarkStart w:id="5228" w:name="_Ref497136853"/>
      <w:r>
        <w:rPr>
          <w:rFonts w:hint="eastAsia"/>
        </w:rPr>
        <w:t>服务器负载均衡组网</w:t>
      </w:r>
      <w:bookmarkEnd w:id="5227"/>
      <w:bookmarkEnd w:id="5228"/>
    </w:p>
    <w:p w14:paraId="291FD6BF">
      <w:pPr>
        <w:spacing w:before="78" w:after="78"/>
      </w:pPr>
      <w:r>
        <w:drawing>
          <wp:inline distT="0" distB="0" distL="0" distR="0">
            <wp:extent cx="3514725" cy="2228850"/>
            <wp:effectExtent l="0" t="0" r="9525" b="0"/>
            <wp:docPr id="1280" name="图片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 name="图片 1280"/>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a:xfrm>
                      <a:off x="0" y="0"/>
                      <a:ext cx="3514725" cy="2228850"/>
                    </a:xfrm>
                    <a:prstGeom prst="rect">
                      <a:avLst/>
                    </a:prstGeom>
                    <a:noFill/>
                    <a:ln>
                      <a:noFill/>
                    </a:ln>
                  </pic:spPr>
                </pic:pic>
              </a:graphicData>
            </a:graphic>
          </wp:inline>
        </w:drawing>
      </w:r>
    </w:p>
    <w:p w14:paraId="457E34C1">
      <w:pPr>
        <w:pStyle w:val="6"/>
      </w:pPr>
      <w:bookmarkStart w:id="5229" w:name="_Toc15485010"/>
      <w:bookmarkStart w:id="5230" w:name="_Toc23152774"/>
      <w:bookmarkStart w:id="5231" w:name="_Toc40276207"/>
      <w:bookmarkStart w:id="5232" w:name="_Toc529430685"/>
      <w:bookmarkStart w:id="5233" w:name="_Toc99561840"/>
      <w:r>
        <w:t>组网需求</w:t>
      </w:r>
      <w:bookmarkEnd w:id="5229"/>
      <w:bookmarkEnd w:id="5230"/>
      <w:bookmarkEnd w:id="5231"/>
      <w:bookmarkEnd w:id="5232"/>
      <w:bookmarkEnd w:id="5233"/>
    </w:p>
    <w:p w14:paraId="15BAA203">
      <w:r>
        <w:rPr>
          <w:rFonts w:hint="eastAsia"/>
        </w:rPr>
        <w:t>公司内网有三台服务器对外提供HTTP 服务，内网地址分别为192.168.1.</w:t>
      </w:r>
      <w:r>
        <w:t>10</w:t>
      </w:r>
      <w:r>
        <w:rPr>
          <w:rFonts w:hint="eastAsia"/>
        </w:rPr>
        <w:t>、192</w:t>
      </w:r>
      <w:r>
        <w:t>.168.1.20</w:t>
      </w:r>
      <w:r>
        <w:rPr>
          <w:rFonts w:hint="eastAsia"/>
        </w:rPr>
        <w:t>、192.168.1.30，服务端口为tcp 80，对外开放的地址为 202.118.3.2，对外开放的服务端口为tcp 8080，现需要在外网可直接访问内网服务器，且能根据三台服务器的性能按权重提供服务。</w:t>
      </w:r>
    </w:p>
    <w:p w14:paraId="33E61506">
      <w:pPr>
        <w:pStyle w:val="6"/>
      </w:pPr>
      <w:bookmarkStart w:id="5234" w:name="_Toc15485011"/>
      <w:bookmarkStart w:id="5235" w:name="_Toc23152775"/>
      <w:bookmarkStart w:id="5236" w:name="_Toc529430686"/>
      <w:bookmarkStart w:id="5237" w:name="_Toc99561841"/>
      <w:bookmarkStart w:id="5238" w:name="_Toc40276208"/>
      <w:r>
        <w:t>配置思路</w:t>
      </w:r>
      <w:bookmarkEnd w:id="5234"/>
      <w:bookmarkEnd w:id="5235"/>
      <w:bookmarkEnd w:id="5236"/>
      <w:bookmarkEnd w:id="5237"/>
      <w:bookmarkEnd w:id="5238"/>
    </w:p>
    <w:p w14:paraId="1CC1490B">
      <w:r>
        <w:rPr>
          <w:rFonts w:hint="eastAsia"/>
        </w:rPr>
        <w:t>配置外网地址对象</w:t>
      </w:r>
      <w:r>
        <w:t>VSIP</w:t>
      </w:r>
      <w:r>
        <w:rPr>
          <w:rFonts w:hint="eastAsia"/>
        </w:rPr>
        <w:t>，地址为202.118.3.2。</w:t>
      </w:r>
    </w:p>
    <w:p w14:paraId="3E1BF7DF">
      <w:r>
        <w:rPr>
          <w:rFonts w:hint="eastAsia"/>
        </w:rPr>
        <w:t>配置端口为8080的自定义服务。</w:t>
      </w:r>
    </w:p>
    <w:p w14:paraId="52010DC9">
      <w:r>
        <w:rPr>
          <w:rFonts w:hint="eastAsia"/>
        </w:rPr>
        <w:t>配置服务器负载均衡策略，需要配置策略ID号；源地址为any；目的地址为外网地址对象VSIP；服务为上述配置的自定义服务；接口选择ge</w:t>
      </w:r>
      <w:r>
        <w:t>0</w:t>
      </w:r>
      <w:r>
        <w:rPr>
          <w:rFonts w:hint="eastAsia"/>
        </w:rPr>
        <w:t>；转换类型为端口映射，且端口为80端口；负载均衡算法选择源地址散列+权重；新建IP地址分别为192.168.1.</w:t>
      </w:r>
      <w:r>
        <w:t>10</w:t>
      </w:r>
      <w:r>
        <w:rPr>
          <w:rFonts w:hint="eastAsia"/>
        </w:rPr>
        <w:t>、192</w:t>
      </w:r>
      <w:r>
        <w:t>.168.1.20</w:t>
      </w:r>
      <w:r>
        <w:rPr>
          <w:rFonts w:hint="eastAsia"/>
        </w:rPr>
        <w:t>、192.168.1.30的实服务器；开启探测，同时选择探测类型为TCP。</w:t>
      </w:r>
    </w:p>
    <w:p w14:paraId="0D7AC7D1">
      <w:pPr>
        <w:pStyle w:val="6"/>
      </w:pPr>
      <w:bookmarkStart w:id="5239" w:name="_Toc23152776"/>
      <w:bookmarkStart w:id="5240" w:name="_Toc40276209"/>
      <w:bookmarkStart w:id="5241" w:name="_Toc15485012"/>
      <w:bookmarkStart w:id="5242" w:name="_Toc99561842"/>
      <w:bookmarkStart w:id="5243" w:name="_Toc529430687"/>
      <w:r>
        <w:t>操作步骤</w:t>
      </w:r>
      <w:bookmarkEnd w:id="5239"/>
      <w:bookmarkEnd w:id="5240"/>
      <w:bookmarkEnd w:id="5241"/>
      <w:bookmarkEnd w:id="5242"/>
      <w:bookmarkEnd w:id="5243"/>
    </w:p>
    <w:p w14:paraId="3A5050B4">
      <w:pPr>
        <w:pStyle w:val="202"/>
      </w:pPr>
      <w:r>
        <w:rPr>
          <w:rFonts w:hint="eastAsia"/>
        </w:rPr>
        <w:t>按照</w:t>
      </w:r>
      <w:r>
        <w:fldChar w:fldCharType="begin"/>
      </w:r>
      <w:r>
        <w:instrText xml:space="preserve"> </w:instrText>
      </w:r>
      <w:r>
        <w:rPr>
          <w:rFonts w:hint="eastAsia"/>
        </w:rPr>
        <w:instrText xml:space="preserve">REF _Ref497136853 \r \h</w:instrText>
      </w:r>
      <w:r>
        <w:instrText xml:space="preserve"> </w:instrText>
      </w:r>
      <w:r>
        <w:fldChar w:fldCharType="separate"/>
      </w:r>
      <w:r>
        <w:rPr>
          <w:rFonts w:hint="eastAsia"/>
        </w:rPr>
        <w:t>图17-6</w:t>
      </w:r>
      <w:r>
        <w:fldChar w:fldCharType="end"/>
      </w:r>
      <w:r>
        <w:rPr>
          <w:rFonts w:hint="eastAsia"/>
        </w:rPr>
        <w:t xml:space="preserve">组网图组网 </w:t>
      </w:r>
    </w:p>
    <w:p w14:paraId="3634D093">
      <w:r>
        <w:rPr>
          <w:rFonts w:hint="eastAsia"/>
        </w:rPr>
        <w:t>在导航栏中选择“策略配置-&gt;对象管理-&gt;地址对象-&gt;IPv4地址对象”，单击“新建”按钮，进入 IPv4 地址对象配置页面，如</w:t>
      </w:r>
      <w:r>
        <w:rPr>
          <w:color w:val="0000FF"/>
          <w:u w:val="single"/>
        </w:rPr>
        <w:fldChar w:fldCharType="begin"/>
      </w:r>
      <w:r>
        <w:rPr>
          <w:color w:val="0000FF"/>
          <w:u w:val="single"/>
        </w:rPr>
        <w:instrText xml:space="preserve"> </w:instrText>
      </w:r>
      <w:r>
        <w:rPr>
          <w:rFonts w:hint="eastAsia"/>
          <w:color w:val="0000FF"/>
          <w:u w:val="single"/>
        </w:rPr>
        <w:instrText xml:space="preserve">REF _Ref495420096 \r \h</w:instrText>
      </w:r>
      <w:r>
        <w:rPr>
          <w:color w:val="0000FF"/>
          <w:u w:val="single"/>
        </w:rPr>
        <w:instrText xml:space="preserve">  \* MERGEFORMAT </w:instrText>
      </w:r>
      <w:r>
        <w:rPr>
          <w:color w:val="0000FF"/>
          <w:u w:val="single"/>
        </w:rPr>
        <w:fldChar w:fldCharType="separate"/>
      </w:r>
      <w:r>
        <w:rPr>
          <w:rFonts w:hint="eastAsia"/>
          <w:color w:val="0000FF"/>
          <w:u w:val="single"/>
        </w:rPr>
        <w:t>图17-7</w:t>
      </w:r>
      <w:r>
        <w:rPr>
          <w:color w:val="0000FF"/>
          <w:u w:val="single"/>
        </w:rPr>
        <w:fldChar w:fldCharType="end"/>
      </w:r>
      <w:r>
        <w:rPr>
          <w:rFonts w:hint="eastAsia"/>
        </w:rPr>
        <w:t>所示。配置完成后点击“提交”按钮，提交配置。</w:t>
      </w:r>
    </w:p>
    <w:p w14:paraId="2332604F">
      <w:pPr>
        <w:pStyle w:val="188"/>
      </w:pPr>
      <w:bookmarkStart w:id="5244" w:name="_Ref495420096"/>
      <w:bookmarkStart w:id="5245" w:name="_Toc141875123"/>
      <w:r>
        <w:rPr>
          <w:rFonts w:hint="eastAsia"/>
        </w:rPr>
        <w:t>地址对象配置</w:t>
      </w:r>
      <w:bookmarkEnd w:id="5244"/>
      <w:bookmarkEnd w:id="5245"/>
    </w:p>
    <w:p w14:paraId="5EA5866C">
      <w:r>
        <w:drawing>
          <wp:inline distT="0" distB="0" distL="0" distR="0">
            <wp:extent cx="5400040" cy="3709035"/>
            <wp:effectExtent l="0" t="0" r="0" b="5715"/>
            <wp:docPr id="810" name="图片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图片 644"/>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a:xfrm>
                      <a:off x="0" y="0"/>
                      <a:ext cx="5400040" cy="3709373"/>
                    </a:xfrm>
                    <a:prstGeom prst="rect">
                      <a:avLst/>
                    </a:prstGeom>
                    <a:noFill/>
                    <a:ln>
                      <a:noFill/>
                    </a:ln>
                  </pic:spPr>
                </pic:pic>
              </a:graphicData>
            </a:graphic>
          </wp:inline>
        </w:drawing>
      </w:r>
    </w:p>
    <w:p w14:paraId="0F22C144"/>
    <w:p w14:paraId="435D13FC">
      <w:pPr>
        <w:pStyle w:val="202"/>
        <w:rPr>
          <w:lang w:eastAsia="zh-CN"/>
        </w:rPr>
      </w:pPr>
      <w:r>
        <w:rPr>
          <w:rFonts w:hint="eastAsia"/>
          <w:lang w:eastAsia="zh-CN"/>
        </w:rPr>
        <w:t>在导航栏中选择“策略配置-&gt;对象管理-&gt;服务对象-&gt;自定义服务”，单击“新建”按钮，进入自定义服务配置页面配置服务对象，如</w:t>
      </w:r>
      <w:r>
        <w:rPr>
          <w:color w:val="0000FF"/>
          <w:u w:val="single"/>
        </w:rPr>
        <w:fldChar w:fldCharType="begin"/>
      </w:r>
      <w:r>
        <w:rPr>
          <w:color w:val="0000FF"/>
          <w:u w:val="single"/>
          <w:lang w:eastAsia="zh-CN"/>
        </w:rPr>
        <w:instrText xml:space="preserve"> </w:instrText>
      </w:r>
      <w:r>
        <w:rPr>
          <w:rFonts w:hint="eastAsia"/>
          <w:color w:val="0000FF"/>
          <w:u w:val="single"/>
          <w:lang w:eastAsia="zh-CN"/>
        </w:rPr>
        <w:instrText xml:space="preserve">REF _Ref494444210 \r \h</w:instrText>
      </w:r>
      <w:r>
        <w:rPr>
          <w:color w:val="0000FF"/>
          <w:u w:val="single"/>
          <w:lang w:eastAsia="zh-CN"/>
        </w:rPr>
        <w:instrText xml:space="preserve">  \* MERGEFORMAT </w:instrText>
      </w:r>
      <w:r>
        <w:rPr>
          <w:color w:val="0000FF"/>
          <w:u w:val="single"/>
        </w:rPr>
        <w:fldChar w:fldCharType="separate"/>
      </w:r>
      <w:r>
        <w:rPr>
          <w:rFonts w:hint="eastAsia"/>
          <w:color w:val="0000FF"/>
          <w:u w:val="single"/>
          <w:lang w:eastAsia="zh-CN"/>
        </w:rPr>
        <w:t>图17-8</w:t>
      </w:r>
      <w:r>
        <w:rPr>
          <w:color w:val="0000FF"/>
          <w:u w:val="single"/>
        </w:rPr>
        <w:fldChar w:fldCharType="end"/>
      </w:r>
      <w:r>
        <w:rPr>
          <w:rFonts w:hint="eastAsia"/>
          <w:lang w:eastAsia="zh-CN"/>
        </w:rPr>
        <w:t>所示。配置完成后点击“提交”按钮，提交配置。</w:t>
      </w:r>
    </w:p>
    <w:p w14:paraId="64D492EC">
      <w:pPr>
        <w:pStyle w:val="188"/>
      </w:pPr>
      <w:bookmarkStart w:id="5246" w:name="_Ref494444210"/>
      <w:bookmarkStart w:id="5247" w:name="_Toc141875124"/>
      <w:r>
        <w:rPr>
          <w:rFonts w:hint="eastAsia"/>
        </w:rPr>
        <w:t>自定义服务配置</w:t>
      </w:r>
      <w:bookmarkEnd w:id="5246"/>
      <w:bookmarkEnd w:id="5247"/>
    </w:p>
    <w:p w14:paraId="4A15428C">
      <w:r>
        <w:drawing>
          <wp:inline distT="0" distB="0" distL="0" distR="0">
            <wp:extent cx="5400040" cy="3667125"/>
            <wp:effectExtent l="0" t="0" r="0" b="9525"/>
            <wp:docPr id="811" name="图片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图片 819"/>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a:xfrm>
                      <a:off x="0" y="0"/>
                      <a:ext cx="5400040" cy="3667317"/>
                    </a:xfrm>
                    <a:prstGeom prst="rect">
                      <a:avLst/>
                    </a:prstGeom>
                    <a:noFill/>
                    <a:ln>
                      <a:noFill/>
                    </a:ln>
                  </pic:spPr>
                </pic:pic>
              </a:graphicData>
            </a:graphic>
          </wp:inline>
        </w:drawing>
      </w:r>
    </w:p>
    <w:p w14:paraId="2CA6D465"/>
    <w:p w14:paraId="172EF0E0">
      <w:pPr>
        <w:pStyle w:val="202"/>
        <w:rPr>
          <w:lang w:eastAsia="zh-CN"/>
        </w:rPr>
      </w:pPr>
      <w:r>
        <w:rPr>
          <w:rFonts w:hint="eastAsia"/>
          <w:lang w:eastAsia="zh-CN"/>
        </w:rPr>
        <w:t>在导航栏中选择“策略配置-&gt;负载均衡策略- &gt;服务器负载均衡”，单击“新建”按钮，进入服务器负载均衡配置页面，如</w:t>
      </w:r>
      <w:r>
        <w:fldChar w:fldCharType="begin"/>
      </w:r>
      <w:r>
        <w:rPr>
          <w:lang w:eastAsia="zh-CN"/>
        </w:rPr>
        <w:instrText xml:space="preserve"> </w:instrText>
      </w:r>
      <w:r>
        <w:rPr>
          <w:rFonts w:hint="eastAsia"/>
          <w:lang w:eastAsia="zh-CN"/>
        </w:rPr>
        <w:instrText xml:space="preserve">REF _Ref494444232 \r \h</w:instrText>
      </w:r>
      <w:r>
        <w:rPr>
          <w:lang w:eastAsia="zh-CN"/>
        </w:rPr>
        <w:instrText xml:space="preserve">  \* MERGEFORMAT </w:instrText>
      </w:r>
      <w:r>
        <w:fldChar w:fldCharType="separate"/>
      </w:r>
      <w:r>
        <w:rPr>
          <w:rFonts w:hint="eastAsia"/>
          <w:lang w:eastAsia="zh-CN"/>
        </w:rPr>
        <w:t>图17-9</w:t>
      </w:r>
      <w:r>
        <w:fldChar w:fldCharType="end"/>
      </w:r>
      <w:r>
        <w:rPr>
          <w:rFonts w:hint="eastAsia"/>
          <w:lang w:eastAsia="zh-CN"/>
        </w:rPr>
        <w:t>所示。配置完成后点击“提交”按钮，提交配置。</w:t>
      </w:r>
    </w:p>
    <w:p w14:paraId="7EDB6E1B">
      <w:pPr>
        <w:pStyle w:val="188"/>
      </w:pPr>
      <w:bookmarkStart w:id="5248" w:name="_Ref494444232"/>
      <w:bookmarkStart w:id="5249" w:name="_Toc141875125"/>
      <w:r>
        <w:rPr>
          <w:rFonts w:hint="eastAsia"/>
        </w:rPr>
        <w:t>服务器负载均衡规则配置</w:t>
      </w:r>
      <w:bookmarkEnd w:id="5248"/>
      <w:bookmarkEnd w:id="5249"/>
    </w:p>
    <w:p w14:paraId="431BEC82">
      <w:pPr>
        <w:pStyle w:val="175"/>
      </w:pPr>
      <w:r>
        <w:drawing>
          <wp:inline distT="0" distB="0" distL="0" distR="0">
            <wp:extent cx="4839970" cy="4953000"/>
            <wp:effectExtent l="0" t="0" r="0" b="0"/>
            <wp:docPr id="812" name="图片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图片 1541"/>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a:xfrm>
                      <a:off x="0" y="0"/>
                      <a:ext cx="4841369" cy="4954309"/>
                    </a:xfrm>
                    <a:prstGeom prst="rect">
                      <a:avLst/>
                    </a:prstGeom>
                    <a:noFill/>
                    <a:ln>
                      <a:noFill/>
                    </a:ln>
                  </pic:spPr>
                </pic:pic>
              </a:graphicData>
            </a:graphic>
          </wp:inline>
        </w:drawing>
      </w:r>
    </w:p>
    <w:p w14:paraId="214D03E1"/>
    <w:p w14:paraId="229AA19C">
      <w:pPr>
        <w:pStyle w:val="5"/>
      </w:pPr>
      <w:bookmarkStart w:id="5250" w:name="_Toc196728308"/>
      <w:bookmarkStart w:id="5251" w:name="_Toc172218490"/>
      <w:bookmarkStart w:id="5252" w:name="_Toc142401228"/>
      <w:bookmarkStart w:id="5253" w:name="_Toc141873711"/>
      <w:bookmarkStart w:id="5254" w:name="_Toc194080976"/>
      <w:r>
        <w:rPr>
          <w:rFonts w:hint="eastAsia"/>
        </w:rPr>
        <w:t>验证配置</w:t>
      </w:r>
      <w:bookmarkEnd w:id="5250"/>
      <w:bookmarkEnd w:id="5251"/>
      <w:bookmarkEnd w:id="5252"/>
      <w:bookmarkEnd w:id="5253"/>
      <w:bookmarkEnd w:id="5254"/>
    </w:p>
    <w:p w14:paraId="2136B378">
      <w:r>
        <w:rPr>
          <w:rFonts w:hint="eastAsia"/>
        </w:rPr>
        <w:t>配置完成后，发送到服务器的请求将会按照权重分发到不同的内网服务器。</w:t>
      </w:r>
    </w:p>
    <w:p w14:paraId="4A8FB53F">
      <w:pPr>
        <w:pStyle w:val="4"/>
      </w:pPr>
      <w:bookmarkStart w:id="5255" w:name="_Toc23152626"/>
      <w:bookmarkStart w:id="5256" w:name="_Toc15484860"/>
      <w:bookmarkStart w:id="5257" w:name="_Toc40276059"/>
      <w:bookmarkStart w:id="5258" w:name="_Toc99561843"/>
      <w:bookmarkStart w:id="5259" w:name="_Toc529430950"/>
      <w:bookmarkStart w:id="5260" w:name="_Toc142401229"/>
      <w:bookmarkStart w:id="5261" w:name="_Toc172218491"/>
      <w:bookmarkStart w:id="5262" w:name="_Toc141873712"/>
      <w:bookmarkStart w:id="5263" w:name="_Toc194080977"/>
      <w:bookmarkStart w:id="5264" w:name="_Toc196728309"/>
      <w:r>
        <w:rPr>
          <w:rFonts w:hint="eastAsia"/>
        </w:rPr>
        <w:t>D</w:t>
      </w:r>
      <w:r>
        <w:t>NS-DNAT</w:t>
      </w:r>
      <w:bookmarkEnd w:id="5255"/>
      <w:bookmarkEnd w:id="5256"/>
      <w:bookmarkEnd w:id="5257"/>
      <w:bookmarkEnd w:id="5258"/>
      <w:bookmarkEnd w:id="5259"/>
      <w:bookmarkEnd w:id="5260"/>
      <w:bookmarkEnd w:id="5261"/>
      <w:bookmarkEnd w:id="5262"/>
      <w:bookmarkEnd w:id="5263"/>
      <w:bookmarkEnd w:id="5264"/>
    </w:p>
    <w:p w14:paraId="062903A3">
      <w:pPr>
        <w:pStyle w:val="5"/>
      </w:pPr>
      <w:bookmarkStart w:id="5265" w:name="_Toc141873713"/>
      <w:bookmarkStart w:id="5266" w:name="_Toc529430951"/>
      <w:bookmarkStart w:id="5267" w:name="_Toc99561844"/>
      <w:bookmarkStart w:id="5268" w:name="_Toc40276060"/>
      <w:bookmarkStart w:id="5269" w:name="_Toc428888479"/>
      <w:bookmarkStart w:id="5270" w:name="_Toc142401230"/>
      <w:bookmarkStart w:id="5271" w:name="_Toc172218492"/>
      <w:bookmarkStart w:id="5272" w:name="_Toc194080978"/>
      <w:bookmarkStart w:id="5273" w:name="_Toc196728310"/>
      <w:bookmarkStart w:id="5274" w:name="_Toc15484861"/>
      <w:bookmarkStart w:id="5275" w:name="_Toc23152627"/>
      <w:r>
        <w:rPr>
          <w:rFonts w:hint="eastAsia"/>
        </w:rPr>
        <w:t>D</w:t>
      </w:r>
      <w:r>
        <w:t>NS</w:t>
      </w:r>
      <w:r>
        <w:rPr>
          <w:rFonts w:hint="eastAsia"/>
        </w:rPr>
        <w:t>-</w:t>
      </w:r>
      <w:r>
        <w:t>DNAT</w:t>
      </w:r>
      <w:r>
        <w:rPr>
          <w:rFonts w:hint="eastAsia"/>
        </w:rPr>
        <w:t>简介</w:t>
      </w:r>
      <w:bookmarkEnd w:id="5265"/>
      <w:bookmarkEnd w:id="5266"/>
      <w:bookmarkEnd w:id="5267"/>
      <w:bookmarkEnd w:id="5268"/>
      <w:bookmarkEnd w:id="5269"/>
      <w:bookmarkEnd w:id="5270"/>
      <w:bookmarkEnd w:id="5271"/>
      <w:bookmarkEnd w:id="5272"/>
      <w:bookmarkEnd w:id="5273"/>
      <w:bookmarkEnd w:id="5274"/>
      <w:bookmarkEnd w:id="5275"/>
    </w:p>
    <w:p w14:paraId="6E7D3E35">
      <w:bookmarkStart w:id="5276" w:name="OLE_LINK16"/>
      <w:bookmarkStart w:id="5277" w:name="OLE_LINK17"/>
      <w:bookmarkStart w:id="5278" w:name="OLE_LINK15"/>
      <w:r>
        <w:t>DNS-DNAT</w:t>
      </w:r>
      <w:r>
        <w:rPr>
          <w:rFonts w:hint="eastAsia"/>
        </w:rPr>
        <w:t>的功能主要是在链路负载均衡策略的接口上设置</w:t>
      </w:r>
      <w:r>
        <w:t>DNS</w:t>
      </w:r>
      <w:r>
        <w:rPr>
          <w:rFonts w:hint="eastAsia"/>
        </w:rPr>
        <w:t>服务器的地址，同时在</w:t>
      </w:r>
      <w:r>
        <w:t>DNS</w:t>
      </w:r>
      <w:r>
        <w:rPr>
          <w:rFonts w:hint="eastAsia"/>
        </w:rPr>
        <w:t>的</w:t>
      </w:r>
      <w:r>
        <w:t>request</w:t>
      </w:r>
      <w:r>
        <w:rPr>
          <w:rFonts w:hint="eastAsia"/>
        </w:rPr>
        <w:t>的出接口上，我们将用户的</w:t>
      </w:r>
      <w:r>
        <w:t>DNS</w:t>
      </w:r>
      <w:r>
        <w:rPr>
          <w:rFonts w:hint="eastAsia"/>
        </w:rPr>
        <w:t>目的地址更换为接口上的</w:t>
      </w:r>
      <w:r>
        <w:t>DNS</w:t>
      </w:r>
      <w:r>
        <w:rPr>
          <w:rFonts w:hint="eastAsia"/>
        </w:rPr>
        <w:t>服务器的IP地址，从而保证从该链路上返回来的IP地址为该运营商提供的服务</w:t>
      </w:r>
      <w:bookmarkEnd w:id="5276"/>
      <w:bookmarkEnd w:id="5277"/>
      <w:bookmarkEnd w:id="5278"/>
      <w:r>
        <w:rPr>
          <w:rFonts w:hint="eastAsia"/>
        </w:rPr>
        <w:t>。</w:t>
      </w:r>
    </w:p>
    <w:p w14:paraId="55C867B8">
      <w:pPr>
        <w:pStyle w:val="5"/>
      </w:pPr>
      <w:bookmarkStart w:id="5279" w:name="_Toc23152628"/>
      <w:bookmarkStart w:id="5280" w:name="_Toc99561845"/>
      <w:bookmarkStart w:id="5281" w:name="_Toc141873714"/>
      <w:bookmarkStart w:id="5282" w:name="_Toc40276061"/>
      <w:bookmarkStart w:id="5283" w:name="_Toc142401231"/>
      <w:bookmarkStart w:id="5284" w:name="_Toc529430952"/>
      <w:bookmarkStart w:id="5285" w:name="_Toc172218493"/>
      <w:bookmarkStart w:id="5286" w:name="_Toc194080979"/>
      <w:bookmarkStart w:id="5287" w:name="_Toc196728311"/>
      <w:bookmarkStart w:id="5288" w:name="_Toc15484862"/>
      <w:r>
        <w:t>NS</w:t>
      </w:r>
      <w:r>
        <w:rPr>
          <w:rFonts w:hint="eastAsia"/>
        </w:rPr>
        <w:t>-</w:t>
      </w:r>
      <w:r>
        <w:t>DNAT</w:t>
      </w:r>
      <w:r>
        <w:rPr>
          <w:rFonts w:hint="eastAsia"/>
        </w:rPr>
        <w:t>配置</w:t>
      </w:r>
      <w:bookmarkEnd w:id="5279"/>
      <w:bookmarkEnd w:id="5280"/>
      <w:bookmarkEnd w:id="5281"/>
      <w:bookmarkEnd w:id="5282"/>
      <w:bookmarkEnd w:id="5283"/>
      <w:bookmarkEnd w:id="5284"/>
      <w:bookmarkEnd w:id="5285"/>
      <w:bookmarkEnd w:id="5286"/>
      <w:bookmarkEnd w:id="5287"/>
      <w:bookmarkEnd w:id="5288"/>
    </w:p>
    <w:p w14:paraId="043FF06A">
      <w:r>
        <w:rPr>
          <w:rFonts w:hint="eastAsia"/>
        </w:rPr>
        <w:t>通过菜单“策略配置 &gt; 负载均衡策略</w:t>
      </w:r>
      <w:r>
        <w:t xml:space="preserve"> &gt; </w:t>
      </w:r>
      <w:r>
        <w:rPr>
          <w:rFonts w:hint="eastAsia"/>
        </w:rPr>
        <w:t>负载均衡出接口”，点击</w:t>
      </w:r>
      <w:r>
        <w:t>&lt;</w:t>
      </w:r>
      <w:r>
        <w:rPr>
          <w:rFonts w:hint="eastAsia"/>
        </w:rPr>
        <w:t>新建</w:t>
      </w:r>
      <w:r>
        <w:t>&gt;</w:t>
      </w:r>
      <w:r>
        <w:rPr>
          <w:rFonts w:hint="eastAsia"/>
        </w:rPr>
        <w:t>进入负载均衡出接口新建页面，如</w:t>
      </w:r>
      <w:r>
        <w:rPr>
          <w:color w:val="0000FF"/>
          <w:u w:val="single"/>
        </w:rPr>
        <w:fldChar w:fldCharType="begin"/>
      </w:r>
      <w:r>
        <w:rPr>
          <w:color w:val="0000FF"/>
          <w:u w:val="single"/>
        </w:rPr>
        <w:instrText xml:space="preserve"> </w:instrText>
      </w:r>
      <w:r>
        <w:rPr>
          <w:rFonts w:hint="eastAsia"/>
          <w:color w:val="0000FF"/>
          <w:u w:val="single"/>
        </w:rPr>
        <w:instrText xml:space="preserve">REF _Ref511048238 \r \h</w:instrText>
      </w:r>
      <w:r>
        <w:rPr>
          <w:color w:val="0000FF"/>
          <w:u w:val="single"/>
        </w:rPr>
        <w:instrText xml:space="preserve"> </w:instrText>
      </w:r>
      <w:r>
        <w:rPr>
          <w:color w:val="0000FF"/>
          <w:u w:val="single"/>
        </w:rPr>
        <w:fldChar w:fldCharType="separate"/>
      </w:r>
      <w:r>
        <w:rPr>
          <w:rFonts w:hint="eastAsia"/>
          <w:color w:val="0000FF"/>
          <w:u w:val="single"/>
        </w:rPr>
        <w:t>图17-10</w:t>
      </w:r>
      <w:r>
        <w:rPr>
          <w:color w:val="0000FF"/>
          <w:u w:val="single"/>
        </w:rPr>
        <w:fldChar w:fldCharType="end"/>
      </w:r>
      <w:r>
        <w:rPr>
          <w:rFonts w:hint="eastAsia"/>
        </w:rPr>
        <w:t>所示。在该页面上，勾选</w:t>
      </w:r>
      <w:r>
        <w:t>DNS</w:t>
      </w:r>
      <w:r>
        <w:rPr>
          <w:rFonts w:hint="eastAsia"/>
        </w:rPr>
        <w:t>服务器的“开启”（默认dns服务器是关闭状态），即可以配置</w:t>
      </w:r>
      <w:r>
        <w:t>dns</w:t>
      </w:r>
      <w:r>
        <w:rPr>
          <w:rFonts w:hint="eastAsia"/>
        </w:rPr>
        <w:t>服务器。</w:t>
      </w:r>
    </w:p>
    <w:p w14:paraId="23F6BB92">
      <w:pPr>
        <w:pStyle w:val="188"/>
      </w:pPr>
      <w:bookmarkStart w:id="5289" w:name="_Ref511048238"/>
      <w:bookmarkStart w:id="5290" w:name="_Toc141875126"/>
      <w:r>
        <w:rPr>
          <w:rFonts w:hint="eastAsia"/>
        </w:rPr>
        <w:t>D</w:t>
      </w:r>
      <w:r>
        <w:t>NS</w:t>
      </w:r>
      <w:r>
        <w:rPr>
          <w:rFonts w:hint="eastAsia"/>
        </w:rPr>
        <w:t>服务器配置</w:t>
      </w:r>
      <w:bookmarkEnd w:id="5289"/>
      <w:bookmarkEnd w:id="5290"/>
    </w:p>
    <w:p w14:paraId="4B869832">
      <w:r>
        <w:drawing>
          <wp:inline distT="0" distB="0" distL="0" distR="0">
            <wp:extent cx="4991100" cy="714375"/>
            <wp:effectExtent l="0" t="0" r="0" b="9525"/>
            <wp:docPr id="1263" name="图片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 name="图片 1263"/>
                    <pic:cNvPicPr>
                      <a:picLocks noChangeAspect="1"/>
                    </pic:cNvPicPr>
                  </pic:nvPicPr>
                  <pic:blipFill>
                    <a:blip r:embed="rId687"/>
                    <a:stretch>
                      <a:fillRect/>
                    </a:stretch>
                  </pic:blipFill>
                  <pic:spPr>
                    <a:xfrm>
                      <a:off x="0" y="0"/>
                      <a:ext cx="5056111" cy="723876"/>
                    </a:xfrm>
                    <a:prstGeom prst="rect">
                      <a:avLst/>
                    </a:prstGeom>
                  </pic:spPr>
                </pic:pic>
              </a:graphicData>
            </a:graphic>
          </wp:inline>
        </w:drawing>
      </w:r>
    </w:p>
    <w:p w14:paraId="05898CEF">
      <w:pPr>
        <w:spacing w:before="78" w:after="78"/>
      </w:pPr>
      <w:r>
        <w:drawing>
          <wp:inline distT="0" distB="0" distL="0" distR="0">
            <wp:extent cx="4189730" cy="3885565"/>
            <wp:effectExtent l="0" t="0" r="1270" b="635"/>
            <wp:docPr id="1264" name="图片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图片 1264"/>
                    <pic:cNvPicPr>
                      <a:picLocks noChangeAspect="1"/>
                    </pic:cNvPicPr>
                  </pic:nvPicPr>
                  <pic:blipFill>
                    <a:blip r:embed="rId688"/>
                    <a:stretch>
                      <a:fillRect/>
                    </a:stretch>
                  </pic:blipFill>
                  <pic:spPr>
                    <a:xfrm>
                      <a:off x="0" y="0"/>
                      <a:ext cx="4214731" cy="3908650"/>
                    </a:xfrm>
                    <a:prstGeom prst="rect">
                      <a:avLst/>
                    </a:prstGeom>
                  </pic:spPr>
                </pic:pic>
              </a:graphicData>
            </a:graphic>
          </wp:inline>
        </w:drawing>
      </w:r>
    </w:p>
    <w:p w14:paraId="08F06D57"/>
    <w:p w14:paraId="0A9F6525">
      <w:r>
        <w:t>DNS</w:t>
      </w:r>
      <w:r>
        <w:rPr>
          <w:rFonts w:hint="eastAsia"/>
        </w:rPr>
        <w:t>服务器各个配置项的含义如</w:t>
      </w:r>
      <w:r>
        <w:fldChar w:fldCharType="begin"/>
      </w:r>
      <w:r>
        <w:instrText xml:space="preserve"> REF _Ref392851877 \r \h </w:instrText>
      </w:r>
      <w:r>
        <w:fldChar w:fldCharType="separate"/>
      </w:r>
      <w:r>
        <w:rPr>
          <w:rFonts w:hint="eastAsia"/>
        </w:rPr>
        <w:t>表17-1</w:t>
      </w:r>
      <w:r>
        <w:fldChar w:fldCharType="end"/>
      </w:r>
      <w:r>
        <w:rPr>
          <w:rFonts w:hint="eastAsia"/>
        </w:rPr>
        <w:t>所示。</w:t>
      </w:r>
    </w:p>
    <w:p w14:paraId="1FF7FB4F">
      <w:pPr>
        <w:pStyle w:val="183"/>
      </w:pPr>
      <w:bookmarkStart w:id="5291" w:name="_Ref392851877"/>
      <w:bookmarkStart w:id="5292" w:name="_Toc141875698"/>
      <w:r>
        <w:rPr>
          <w:rFonts w:hint="eastAsia"/>
        </w:rPr>
        <w:t>DNS服务器配置项含义</w:t>
      </w:r>
      <w:bookmarkEnd w:id="5291"/>
      <w:bookmarkEnd w:id="5292"/>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518"/>
        <w:gridCol w:w="6496"/>
      </w:tblGrid>
      <w:tr w14:paraId="6175220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68" w:hRule="atLeast"/>
        </w:trPr>
        <w:tc>
          <w:tcPr>
            <w:tcW w:w="2518" w:type="dxa"/>
            <w:tcBorders>
              <w:tl2br w:val="nil"/>
              <w:tr2bl w:val="nil"/>
            </w:tcBorders>
            <w:shd w:val="clear" w:color="auto" w:fill="538135" w:themeFill="accent6" w:themeFillShade="BF"/>
            <w:vAlign w:val="center"/>
          </w:tcPr>
          <w:p w14:paraId="0770C864">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496" w:type="dxa"/>
            <w:tcBorders>
              <w:tl2br w:val="nil"/>
              <w:tr2bl w:val="nil"/>
            </w:tcBorders>
            <w:shd w:val="clear" w:color="auto" w:fill="538135" w:themeFill="accent6" w:themeFillShade="BF"/>
            <w:vAlign w:val="center"/>
          </w:tcPr>
          <w:p w14:paraId="0CC44AC5">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B617D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518" w:type="dxa"/>
            <w:shd w:val="clear" w:color="auto" w:fill="auto"/>
          </w:tcPr>
          <w:p w14:paraId="65A69AA3">
            <w:pPr>
              <w:pStyle w:val="150"/>
            </w:pPr>
            <w:r>
              <w:rPr>
                <w:rFonts w:hint="eastAsia"/>
              </w:rPr>
              <w:t>D</w:t>
            </w:r>
            <w:r>
              <w:t>NS</w:t>
            </w:r>
            <w:r>
              <w:rPr>
                <w:rFonts w:hint="eastAsia"/>
              </w:rPr>
              <w:t>服务器的开启</w:t>
            </w:r>
          </w:p>
        </w:tc>
        <w:tc>
          <w:tcPr>
            <w:tcW w:w="6496" w:type="dxa"/>
            <w:shd w:val="clear" w:color="auto" w:fill="auto"/>
          </w:tcPr>
          <w:p w14:paraId="43875F58">
            <w:pPr>
              <w:pStyle w:val="150"/>
            </w:pPr>
            <w:r>
              <w:rPr>
                <w:rFonts w:hint="eastAsia"/>
              </w:rPr>
              <w:t>开启DNS探测功能。</w:t>
            </w:r>
          </w:p>
        </w:tc>
      </w:tr>
      <w:tr w14:paraId="5D7C6A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518" w:type="dxa"/>
            <w:shd w:val="clear" w:color="auto" w:fill="auto"/>
          </w:tcPr>
          <w:p w14:paraId="261F0CFF">
            <w:pPr>
              <w:pStyle w:val="150"/>
            </w:pPr>
            <w:r>
              <w:rPr>
                <w:rFonts w:hint="eastAsia"/>
              </w:rPr>
              <w:t>D</w:t>
            </w:r>
            <w:r>
              <w:t>NS</w:t>
            </w:r>
            <w:r>
              <w:rPr>
                <w:rFonts w:hint="eastAsia"/>
              </w:rPr>
              <w:t>服务器的关闭</w:t>
            </w:r>
          </w:p>
        </w:tc>
        <w:tc>
          <w:tcPr>
            <w:tcW w:w="6496" w:type="dxa"/>
            <w:shd w:val="clear" w:color="auto" w:fill="auto"/>
          </w:tcPr>
          <w:p w14:paraId="1042607E">
            <w:pPr>
              <w:pStyle w:val="150"/>
            </w:pPr>
            <w:r>
              <w:rPr>
                <w:rFonts w:hint="eastAsia"/>
              </w:rPr>
              <w:t>关闭DNS探测功能。</w:t>
            </w:r>
          </w:p>
        </w:tc>
      </w:tr>
      <w:tr w14:paraId="37ED594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518" w:type="dxa"/>
            <w:shd w:val="clear" w:color="auto" w:fill="auto"/>
          </w:tcPr>
          <w:p w14:paraId="09159C29">
            <w:pPr>
              <w:pStyle w:val="150"/>
            </w:pPr>
            <w:r>
              <w:rPr>
                <w:rFonts w:hint="eastAsia"/>
              </w:rPr>
              <w:t>手动配置</w:t>
            </w:r>
          </w:p>
        </w:tc>
        <w:tc>
          <w:tcPr>
            <w:tcW w:w="6496" w:type="dxa"/>
            <w:shd w:val="clear" w:color="auto" w:fill="auto"/>
          </w:tcPr>
          <w:p w14:paraId="1D14898B">
            <w:pPr>
              <w:pStyle w:val="150"/>
            </w:pPr>
            <w:r>
              <w:rPr>
                <w:rFonts w:hint="eastAsia"/>
              </w:rPr>
              <w:t>手动添加DNS地址。</w:t>
            </w:r>
          </w:p>
        </w:tc>
      </w:tr>
      <w:tr w14:paraId="0C10A5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518" w:type="dxa"/>
            <w:shd w:val="clear" w:color="auto" w:fill="auto"/>
          </w:tcPr>
          <w:p w14:paraId="278628EC">
            <w:pPr>
              <w:pStyle w:val="150"/>
            </w:pPr>
            <w:r>
              <w:rPr>
                <w:rFonts w:hint="eastAsia"/>
              </w:rPr>
              <w:t>继承配置</w:t>
            </w:r>
          </w:p>
        </w:tc>
        <w:tc>
          <w:tcPr>
            <w:tcW w:w="6496" w:type="dxa"/>
            <w:shd w:val="clear" w:color="auto" w:fill="auto"/>
          </w:tcPr>
          <w:p w14:paraId="60DCA772">
            <w:pPr>
              <w:pStyle w:val="150"/>
            </w:pPr>
            <w:r>
              <w:rPr>
                <w:rFonts w:hint="eastAsia"/>
              </w:rPr>
              <w:t>如果出接口是pppoe或者dhcp这种动态获取地址的出接口，DNS地址动态获取，不需要手动配置。</w:t>
            </w:r>
          </w:p>
        </w:tc>
      </w:tr>
      <w:tr w14:paraId="3331F6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518" w:type="dxa"/>
            <w:shd w:val="clear" w:color="auto" w:fill="auto"/>
          </w:tcPr>
          <w:p w14:paraId="75B24D7F">
            <w:pPr>
              <w:pStyle w:val="150"/>
            </w:pPr>
            <w:r>
              <w:rPr>
                <w:rFonts w:hint="eastAsia"/>
              </w:rPr>
              <w:t>主备DNS地址</w:t>
            </w:r>
          </w:p>
        </w:tc>
        <w:tc>
          <w:tcPr>
            <w:tcW w:w="6496" w:type="dxa"/>
            <w:shd w:val="clear" w:color="auto" w:fill="auto"/>
          </w:tcPr>
          <w:p w14:paraId="5453F02E">
            <w:pPr>
              <w:pStyle w:val="150"/>
            </w:pPr>
            <w:r>
              <w:rPr>
                <w:rFonts w:hint="eastAsia"/>
              </w:rPr>
              <w:t>DNS流量转换后的dns地址。</w:t>
            </w:r>
          </w:p>
        </w:tc>
      </w:tr>
      <w:tr w14:paraId="5C8B60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518" w:type="dxa"/>
            <w:shd w:val="clear" w:color="auto" w:fill="auto"/>
          </w:tcPr>
          <w:p w14:paraId="1EB8DBF7">
            <w:pPr>
              <w:pStyle w:val="150"/>
            </w:pPr>
            <w:bookmarkStart w:id="5293" w:name="OLE_LINK6"/>
            <w:bookmarkStart w:id="5294" w:name="OLE_LINK5"/>
            <w:r>
              <w:rPr>
                <w:rFonts w:hint="eastAsia"/>
              </w:rPr>
              <w:t>DNS探测失败后动作</w:t>
            </w:r>
            <w:r>
              <w:t>—</w:t>
            </w:r>
            <w:r>
              <w:rPr>
                <w:rFonts w:hint="eastAsia"/>
              </w:rPr>
              <w:t>禁用DNS-DNAT功能</w:t>
            </w:r>
            <w:bookmarkEnd w:id="5293"/>
            <w:bookmarkEnd w:id="5294"/>
          </w:p>
        </w:tc>
        <w:tc>
          <w:tcPr>
            <w:tcW w:w="6496" w:type="dxa"/>
            <w:shd w:val="clear" w:color="auto" w:fill="auto"/>
          </w:tcPr>
          <w:p w14:paraId="34DB4FA6">
            <w:pPr>
              <w:pStyle w:val="150"/>
            </w:pPr>
            <w:bookmarkStart w:id="5295" w:name="OLE_LINK8"/>
            <w:bookmarkStart w:id="5296" w:name="OLE_LINK7"/>
            <w:r>
              <w:rPr>
                <w:rFonts w:hint="eastAsia"/>
              </w:rPr>
              <w:t>探测失败后</w:t>
            </w:r>
            <w:bookmarkEnd w:id="5295"/>
            <w:bookmarkEnd w:id="5296"/>
            <w:r>
              <w:rPr>
                <w:rFonts w:hint="eastAsia"/>
              </w:rPr>
              <w:t>，dns流量不进行dns-dnst转变。</w:t>
            </w:r>
          </w:p>
        </w:tc>
      </w:tr>
      <w:tr w14:paraId="1CE1F37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518" w:type="dxa"/>
            <w:shd w:val="clear" w:color="auto" w:fill="auto"/>
          </w:tcPr>
          <w:p w14:paraId="6A06EBB5">
            <w:pPr>
              <w:pStyle w:val="150"/>
            </w:pPr>
            <w:r>
              <w:rPr>
                <w:rFonts w:hint="eastAsia"/>
              </w:rPr>
              <w:t>DNS探测失败后动作</w:t>
            </w:r>
            <w:r>
              <w:t>—</w:t>
            </w:r>
            <w:r>
              <w:rPr>
                <w:rFonts w:hint="eastAsia"/>
              </w:rPr>
              <w:t>禁用负载均衡出接口</w:t>
            </w:r>
          </w:p>
        </w:tc>
        <w:tc>
          <w:tcPr>
            <w:tcW w:w="6496" w:type="dxa"/>
            <w:shd w:val="clear" w:color="auto" w:fill="auto"/>
          </w:tcPr>
          <w:p w14:paraId="268D7C30">
            <w:pPr>
              <w:pStyle w:val="150"/>
            </w:pPr>
            <w:r>
              <w:rPr>
                <w:rFonts w:hint="eastAsia"/>
              </w:rPr>
              <w:t>探测失败后，负载均衡出接口状态变成down，出接口不转发流量。</w:t>
            </w:r>
          </w:p>
        </w:tc>
      </w:tr>
    </w:tbl>
    <w:p w14:paraId="2345CE49"/>
    <w:p w14:paraId="480786E2">
      <w:pPr>
        <w:jc w:val="left"/>
      </w:pPr>
      <w:r>
        <w:br w:type="page"/>
      </w:r>
    </w:p>
    <w:p w14:paraId="63CE6710">
      <w:pPr>
        <w:pStyle w:val="3"/>
      </w:pPr>
      <w:bookmarkStart w:id="5297" w:name="_Toc40276210"/>
      <w:bookmarkStart w:id="5298" w:name="_Toc142401232"/>
      <w:bookmarkStart w:id="5299" w:name="_Toc172218494"/>
      <w:bookmarkStart w:id="5300" w:name="_Toc141873715"/>
      <w:bookmarkStart w:id="5301" w:name="_Toc99561847"/>
      <w:bookmarkStart w:id="5302" w:name="_Toc6235288"/>
      <w:bookmarkStart w:id="5303" w:name="_Toc194080980"/>
      <w:bookmarkStart w:id="5304" w:name="_Toc196728312"/>
      <w:bookmarkStart w:id="5305" w:name="_Toc15485013"/>
      <w:bookmarkStart w:id="5306" w:name="_Toc23152777"/>
      <w:r>
        <w:rPr>
          <w:rFonts w:hint="eastAsia"/>
        </w:rPr>
        <w:t>流</w:t>
      </w:r>
      <w:r>
        <w:t>控策略</w:t>
      </w:r>
      <w:bookmarkEnd w:id="5297"/>
      <w:bookmarkEnd w:id="5298"/>
      <w:bookmarkEnd w:id="5299"/>
      <w:bookmarkEnd w:id="5300"/>
      <w:bookmarkEnd w:id="5301"/>
      <w:bookmarkEnd w:id="5302"/>
      <w:bookmarkEnd w:id="5303"/>
      <w:bookmarkEnd w:id="5304"/>
      <w:bookmarkEnd w:id="5305"/>
      <w:bookmarkEnd w:id="5306"/>
    </w:p>
    <w:p w14:paraId="0054BE49">
      <w:pPr>
        <w:pStyle w:val="4"/>
      </w:pPr>
      <w:bookmarkStart w:id="5307" w:name="_Toc172218495"/>
      <w:bookmarkStart w:id="5308" w:name="_Toc194080981"/>
      <w:bookmarkStart w:id="5309" w:name="_Toc23152778"/>
      <w:bookmarkStart w:id="5310" w:name="_Toc196728313"/>
      <w:bookmarkStart w:id="5311" w:name="_Toc40276211"/>
      <w:bookmarkStart w:id="5312" w:name="_Toc99561848"/>
      <w:bookmarkStart w:id="5313" w:name="_Toc142401233"/>
      <w:bookmarkStart w:id="5314" w:name="_Toc6235289"/>
      <w:bookmarkStart w:id="5315" w:name="_Toc15485014"/>
      <w:bookmarkStart w:id="5316" w:name="_Toc141873716"/>
      <w:r>
        <w:rPr>
          <w:rFonts w:hint="eastAsia"/>
        </w:rPr>
        <w:t>流</w:t>
      </w:r>
      <w:r>
        <w:t>控策略</w:t>
      </w:r>
      <w:r>
        <w:rPr>
          <w:rFonts w:hint="eastAsia"/>
        </w:rPr>
        <w:t>概述</w:t>
      </w:r>
      <w:bookmarkEnd w:id="5307"/>
      <w:bookmarkEnd w:id="5308"/>
      <w:bookmarkEnd w:id="5309"/>
      <w:bookmarkEnd w:id="5310"/>
      <w:bookmarkEnd w:id="5311"/>
      <w:bookmarkEnd w:id="5312"/>
      <w:bookmarkEnd w:id="5313"/>
      <w:bookmarkEnd w:id="5314"/>
      <w:bookmarkEnd w:id="5315"/>
      <w:bookmarkEnd w:id="5316"/>
    </w:p>
    <w:p w14:paraId="4E14B875">
      <w:r>
        <w:rPr>
          <w:rFonts w:hint="eastAsia"/>
        </w:rPr>
        <w:t>流控策略是通过流量分析，对各种网络流量进行精细控制和调度的一种方法。</w:t>
      </w:r>
    </w:p>
    <w:p w14:paraId="0BF5345B">
      <w:r>
        <w:rPr>
          <w:rFonts w:hint="eastAsia"/>
        </w:rPr>
        <w:t>流控策略具有如下特点：</w:t>
      </w:r>
    </w:p>
    <w:p w14:paraId="58E62C5F">
      <w:pPr>
        <w:pStyle w:val="162"/>
      </w:pPr>
      <w:r>
        <w:rPr>
          <w:rFonts w:hint="eastAsia"/>
        </w:rPr>
        <w:t>使用线路和通道，实现层次化的流控策略。</w:t>
      </w:r>
    </w:p>
    <w:p w14:paraId="114123E3">
      <w:pPr>
        <w:pStyle w:val="162"/>
      </w:pPr>
      <w:r>
        <w:rPr>
          <w:rFonts w:hint="eastAsia"/>
        </w:rPr>
        <w:t>支持保障带宽和最大带宽。</w:t>
      </w:r>
    </w:p>
    <w:p w14:paraId="0B0A7A1C">
      <w:pPr>
        <w:pStyle w:val="162"/>
      </w:pPr>
      <w:r>
        <w:rPr>
          <w:rFonts w:hint="eastAsia"/>
        </w:rPr>
        <w:t>支持弹性带宽或带宽借用，充分利用网络资源。</w:t>
      </w:r>
    </w:p>
    <w:p w14:paraId="2BFB31F4">
      <w:pPr>
        <w:pStyle w:val="162"/>
      </w:pPr>
      <w:r>
        <w:rPr>
          <w:rFonts w:hint="eastAsia"/>
        </w:rPr>
        <w:t>能够根据应用、服务、用户、地址对象</w:t>
      </w:r>
      <w:r>
        <w:t>等</w:t>
      </w:r>
      <w:r>
        <w:rPr>
          <w:rFonts w:hint="eastAsia"/>
        </w:rPr>
        <w:t>进行流量控制。</w:t>
      </w:r>
    </w:p>
    <w:p w14:paraId="5EB836CE">
      <w:pPr>
        <w:pStyle w:val="162"/>
      </w:pPr>
      <w:r>
        <w:rPr>
          <w:rFonts w:hint="eastAsia"/>
        </w:rPr>
        <w:t>支持优先级，确保高优先级的应用能够获得带宽。</w:t>
      </w:r>
    </w:p>
    <w:p w14:paraId="5C1B5C85">
      <w:pPr>
        <w:pStyle w:val="162"/>
      </w:pPr>
      <w:r>
        <w:rPr>
          <w:rFonts w:hint="eastAsia"/>
        </w:rPr>
        <w:t>支持按</w:t>
      </w:r>
      <w:r>
        <w:t>IP</w:t>
      </w:r>
      <w:r>
        <w:rPr>
          <w:rFonts w:hint="eastAsia"/>
        </w:rPr>
        <w:t>及用户进行流量</w:t>
      </w:r>
      <w:r>
        <w:t>限速</w:t>
      </w:r>
      <w:r>
        <w:rPr>
          <w:rFonts w:hint="eastAsia"/>
        </w:rPr>
        <w:t>。</w:t>
      </w:r>
    </w:p>
    <w:p w14:paraId="20B9326F">
      <w:pPr>
        <w:pStyle w:val="162"/>
      </w:pPr>
      <w:r>
        <w:rPr>
          <w:rFonts w:hint="eastAsia"/>
        </w:rPr>
        <w:t>流控策略</w:t>
      </w:r>
      <w:r>
        <w:t>可以在指定的时间内生效</w:t>
      </w:r>
      <w:r>
        <w:rPr>
          <w:rFonts w:hint="eastAsia"/>
        </w:rPr>
        <w:t>。</w:t>
      </w:r>
    </w:p>
    <w:p w14:paraId="7BD0972D">
      <w:pPr>
        <w:pStyle w:val="162"/>
      </w:pPr>
      <w:r>
        <w:rPr>
          <w:rFonts w:hint="eastAsia"/>
        </w:rPr>
        <w:t>流量监控可以查看各线路及通道当前流量速率。</w:t>
      </w:r>
    </w:p>
    <w:p w14:paraId="0C4484CC">
      <w:r>
        <w:rPr>
          <w:rFonts w:hint="eastAsia"/>
        </w:rPr>
        <w:t>流控策略涉及的概念解释如</w:t>
      </w:r>
      <w:r>
        <w:fldChar w:fldCharType="begin"/>
      </w:r>
      <w:r>
        <w:instrText xml:space="preserve"> REF _Ref393725979 \r \h </w:instrText>
      </w:r>
      <w:r>
        <w:fldChar w:fldCharType="separate"/>
      </w:r>
      <w:r>
        <w:rPr>
          <w:rFonts w:hint="eastAsia"/>
        </w:rPr>
        <w:t>表18-1</w:t>
      </w:r>
      <w:r>
        <w:fldChar w:fldCharType="end"/>
      </w:r>
      <w:r>
        <w:rPr>
          <w:rFonts w:hint="eastAsia"/>
        </w:rPr>
        <w:t>所示：</w:t>
      </w:r>
    </w:p>
    <w:p w14:paraId="3BA74BDE">
      <w:pPr>
        <w:pStyle w:val="183"/>
      </w:pPr>
      <w:bookmarkStart w:id="5317" w:name="_Ref393725979"/>
      <w:bookmarkStart w:id="5318" w:name="_Toc141875699"/>
      <w:r>
        <w:rPr>
          <w:rFonts w:hint="eastAsia"/>
        </w:rPr>
        <w:t>流控策略概念表</w:t>
      </w:r>
      <w:bookmarkEnd w:id="5317"/>
      <w:bookmarkEnd w:id="5318"/>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764"/>
        <w:gridCol w:w="7251"/>
      </w:tblGrid>
      <w:tr w14:paraId="48CCFD0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tcBorders>
              <w:tl2br w:val="nil"/>
              <w:tr2bl w:val="nil"/>
            </w:tcBorders>
            <w:shd w:val="clear" w:color="auto" w:fill="538135" w:themeFill="accent6" w:themeFillShade="BF"/>
            <w:vAlign w:val="center"/>
          </w:tcPr>
          <w:p w14:paraId="1C16619C">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概念</w:t>
            </w:r>
          </w:p>
        </w:tc>
        <w:tc>
          <w:tcPr>
            <w:tcW w:w="7337" w:type="dxa"/>
            <w:tcBorders>
              <w:tl2br w:val="nil"/>
              <w:tr2bl w:val="nil"/>
            </w:tcBorders>
            <w:shd w:val="clear" w:color="auto" w:fill="538135" w:themeFill="accent6" w:themeFillShade="BF"/>
            <w:vAlign w:val="center"/>
          </w:tcPr>
          <w:p w14:paraId="21AB6EF9">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解释</w:t>
            </w:r>
          </w:p>
        </w:tc>
      </w:tr>
      <w:tr w14:paraId="20A6ADB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shd w:val="clear" w:color="auto" w:fill="auto"/>
          </w:tcPr>
          <w:p w14:paraId="7B12F231">
            <w:pPr>
              <w:pStyle w:val="150"/>
            </w:pPr>
            <w:r>
              <w:rPr>
                <w:rFonts w:hint="eastAsia"/>
              </w:rPr>
              <w:t>线路</w:t>
            </w:r>
          </w:p>
        </w:tc>
        <w:tc>
          <w:tcPr>
            <w:tcW w:w="7337" w:type="dxa"/>
            <w:shd w:val="clear" w:color="auto" w:fill="auto"/>
          </w:tcPr>
          <w:p w14:paraId="20E2320C">
            <w:pPr>
              <w:pStyle w:val="150"/>
            </w:pPr>
            <w:r>
              <w:rPr>
                <w:rFonts w:hint="eastAsia"/>
              </w:rPr>
              <w:t>一般和一个物理接口对应，说明数据流量从哪个接口出或入，才匹配该线路。</w:t>
            </w:r>
          </w:p>
        </w:tc>
      </w:tr>
      <w:tr w14:paraId="5D0007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shd w:val="clear" w:color="auto" w:fill="auto"/>
          </w:tcPr>
          <w:p w14:paraId="3563C1B1">
            <w:pPr>
              <w:pStyle w:val="150"/>
            </w:pPr>
            <w:r>
              <w:rPr>
                <w:rFonts w:hint="eastAsia"/>
              </w:rPr>
              <w:t>通道</w:t>
            </w:r>
          </w:p>
        </w:tc>
        <w:tc>
          <w:tcPr>
            <w:tcW w:w="7337" w:type="dxa"/>
            <w:shd w:val="clear" w:color="auto" w:fill="auto"/>
          </w:tcPr>
          <w:p w14:paraId="4F0A6636">
            <w:pPr>
              <w:pStyle w:val="150"/>
            </w:pPr>
            <w:r>
              <w:rPr>
                <w:rFonts w:hint="eastAsia"/>
              </w:rPr>
              <w:t>根据应用、服务、用户、地址对象等，虚拟的控制带宽单元的概念。</w:t>
            </w:r>
          </w:p>
        </w:tc>
      </w:tr>
      <w:tr w14:paraId="0A7C862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shd w:val="clear" w:color="auto" w:fill="auto"/>
          </w:tcPr>
          <w:p w14:paraId="6525CF98">
            <w:pPr>
              <w:pStyle w:val="150"/>
            </w:pPr>
            <w:r>
              <w:rPr>
                <w:rFonts w:hint="eastAsia"/>
              </w:rPr>
              <w:t>限制通道</w:t>
            </w:r>
          </w:p>
        </w:tc>
        <w:tc>
          <w:tcPr>
            <w:tcW w:w="7337" w:type="dxa"/>
            <w:shd w:val="clear" w:color="auto" w:fill="auto"/>
          </w:tcPr>
          <w:p w14:paraId="7699EF41">
            <w:pPr>
              <w:pStyle w:val="150"/>
            </w:pPr>
            <w:r>
              <w:rPr>
                <w:rFonts w:hint="eastAsia"/>
              </w:rPr>
              <w:t>根据接口、应用、服务、用户、地址对象等进行带宽限制的通道。</w:t>
            </w:r>
          </w:p>
        </w:tc>
      </w:tr>
      <w:tr w14:paraId="1DF444C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shd w:val="clear" w:color="auto" w:fill="auto"/>
          </w:tcPr>
          <w:p w14:paraId="66344609">
            <w:pPr>
              <w:pStyle w:val="150"/>
            </w:pPr>
            <w:r>
              <w:rPr>
                <w:rFonts w:hint="eastAsia"/>
              </w:rPr>
              <w:t xml:space="preserve">惩罚通道 </w:t>
            </w:r>
          </w:p>
        </w:tc>
        <w:tc>
          <w:tcPr>
            <w:tcW w:w="7337" w:type="dxa"/>
            <w:shd w:val="clear" w:color="auto" w:fill="auto"/>
          </w:tcPr>
          <w:p w14:paraId="7E6FB15D">
            <w:pPr>
              <w:pStyle w:val="150"/>
            </w:pPr>
            <w:r>
              <w:rPr>
                <w:rFonts w:hint="eastAsia"/>
              </w:rPr>
              <w:t>当用户接入网络超过指定的时长</w:t>
            </w:r>
            <w:r>
              <w:t>或</w:t>
            </w:r>
            <w:r>
              <w:rPr>
                <w:rFonts w:hint="eastAsia"/>
              </w:rPr>
              <w:t>流量限额时进行惩罚的通道，只能在限额策略中引用。</w:t>
            </w:r>
          </w:p>
        </w:tc>
      </w:tr>
      <w:tr w14:paraId="216613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shd w:val="clear" w:color="auto" w:fill="auto"/>
          </w:tcPr>
          <w:p w14:paraId="3EFF7A35">
            <w:pPr>
              <w:pStyle w:val="150"/>
            </w:pPr>
            <w:r>
              <w:rPr>
                <w:rFonts w:hint="eastAsia"/>
              </w:rPr>
              <w:t>保障带宽</w:t>
            </w:r>
          </w:p>
        </w:tc>
        <w:tc>
          <w:tcPr>
            <w:tcW w:w="7337" w:type="dxa"/>
            <w:shd w:val="clear" w:color="auto" w:fill="auto"/>
          </w:tcPr>
          <w:p w14:paraId="6A001D04">
            <w:pPr>
              <w:pStyle w:val="150"/>
            </w:pPr>
            <w:r>
              <w:rPr>
                <w:rFonts w:hint="eastAsia"/>
              </w:rPr>
              <w:t>当网络繁忙的时候，需要保证使用的带宽。</w:t>
            </w:r>
          </w:p>
        </w:tc>
      </w:tr>
      <w:tr w14:paraId="1E7FDF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shd w:val="clear" w:color="auto" w:fill="auto"/>
          </w:tcPr>
          <w:p w14:paraId="6407B2D3">
            <w:pPr>
              <w:pStyle w:val="150"/>
            </w:pPr>
            <w:r>
              <w:rPr>
                <w:rFonts w:hint="eastAsia"/>
              </w:rPr>
              <w:t>最大带宽</w:t>
            </w:r>
          </w:p>
        </w:tc>
        <w:tc>
          <w:tcPr>
            <w:tcW w:w="7337" w:type="dxa"/>
            <w:shd w:val="clear" w:color="auto" w:fill="auto"/>
          </w:tcPr>
          <w:p w14:paraId="16643CDE">
            <w:pPr>
              <w:pStyle w:val="150"/>
            </w:pPr>
            <w:r>
              <w:rPr>
                <w:rFonts w:hint="eastAsia"/>
              </w:rPr>
              <w:t>当网络空闲的时候，能够最大使用的带宽。</w:t>
            </w:r>
          </w:p>
        </w:tc>
      </w:tr>
      <w:tr w14:paraId="2DDD4B7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shd w:val="clear" w:color="auto" w:fill="auto"/>
          </w:tcPr>
          <w:p w14:paraId="2ABE4152">
            <w:pPr>
              <w:pStyle w:val="150"/>
            </w:pPr>
            <w:r>
              <w:rPr>
                <w:rFonts w:hint="eastAsia"/>
              </w:rPr>
              <w:t>默认通道</w:t>
            </w:r>
          </w:p>
        </w:tc>
        <w:tc>
          <w:tcPr>
            <w:tcW w:w="7337" w:type="dxa"/>
            <w:shd w:val="clear" w:color="auto" w:fill="auto"/>
          </w:tcPr>
          <w:p w14:paraId="5FDC9F6F">
            <w:pPr>
              <w:pStyle w:val="150"/>
            </w:pPr>
            <w:r>
              <w:rPr>
                <w:rFonts w:hint="eastAsia"/>
              </w:rPr>
              <w:t>未匹配用户指定通道的流量，按照默认通道进行流量控制。</w:t>
            </w:r>
          </w:p>
        </w:tc>
      </w:tr>
    </w:tbl>
    <w:p w14:paraId="1DA46AB9"/>
    <w:p w14:paraId="479EFCEB">
      <w:pPr>
        <w:pStyle w:val="188"/>
      </w:pPr>
      <w:bookmarkStart w:id="5319" w:name="_Toc141875127"/>
      <w:r>
        <w:rPr>
          <w:rFonts w:hint="eastAsia"/>
        </w:rPr>
        <w:t>流控策略工作原理示意图</w:t>
      </w:r>
      <w:bookmarkEnd w:id="5319"/>
    </w:p>
    <w:p w14:paraId="3959A8AD">
      <w:pPr>
        <w:spacing w:before="78" w:after="78"/>
      </w:pPr>
      <w:r>
        <w:drawing>
          <wp:inline distT="0" distB="0" distL="0" distR="0">
            <wp:extent cx="4065905" cy="2666365"/>
            <wp:effectExtent l="0" t="0" r="0" b="635"/>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689"/>
                    <a:srcRect t="4110"/>
                    <a:stretch>
                      <a:fillRect/>
                    </a:stretch>
                  </pic:blipFill>
                  <pic:spPr>
                    <a:xfrm>
                      <a:off x="0" y="0"/>
                      <a:ext cx="4066667" cy="2666640"/>
                    </a:xfrm>
                    <a:prstGeom prst="rect">
                      <a:avLst/>
                    </a:prstGeom>
                    <a:ln>
                      <a:noFill/>
                    </a:ln>
                  </pic:spPr>
                </pic:pic>
              </a:graphicData>
            </a:graphic>
          </wp:inline>
        </w:drawing>
      </w:r>
    </w:p>
    <w:p w14:paraId="3FA8BE81"/>
    <w:p w14:paraId="47A1238B">
      <w:pPr>
        <w:pStyle w:val="162"/>
      </w:pPr>
      <w:r>
        <w:rPr>
          <w:rFonts w:hint="eastAsia"/>
        </w:rPr>
        <w:t>ge0接口上行带宽为10M，市场部、财务部和研发部共享10M带宽，其中市场部的保障带宽为6M，研发部为4M，财务部保障带宽为0M。</w:t>
      </w:r>
    </w:p>
    <w:p w14:paraId="0BDD6CAE">
      <w:pPr>
        <w:pStyle w:val="162"/>
      </w:pPr>
      <w:r>
        <w:rPr>
          <w:rFonts w:hint="eastAsia"/>
        </w:rPr>
        <w:t>即时聊天优先级最高，HTTP服务优先级次之，P2P服务优先级最低。</w:t>
      </w:r>
    </w:p>
    <w:p w14:paraId="489F193D">
      <w:pPr>
        <w:pStyle w:val="162"/>
      </w:pPr>
      <w:r>
        <w:rPr>
          <w:rFonts w:hint="eastAsia"/>
        </w:rPr>
        <w:t>当研发部和市场部都在使用带宽的时候，市场部和研发部的保障带宽分别为6M和4M。</w:t>
      </w:r>
    </w:p>
    <w:p w14:paraId="1A9824AF">
      <w:pPr>
        <w:pStyle w:val="162"/>
      </w:pPr>
      <w:r>
        <w:rPr>
          <w:rFonts w:hint="eastAsia"/>
        </w:rPr>
        <w:t>如果研发部和财务部不使用带宽，则市场部可以充分使用10M带宽资源。</w:t>
      </w:r>
    </w:p>
    <w:p w14:paraId="59C41A26">
      <w:pPr>
        <w:pStyle w:val="162"/>
      </w:pPr>
      <w:r>
        <w:rPr>
          <w:rFonts w:hint="eastAsia"/>
        </w:rPr>
        <w:t>即时聊天有较高优先级、P2P有较低优先级，因此即使P2P流量很大，也不会导致即时聊天丢包。</w:t>
      </w:r>
    </w:p>
    <w:p w14:paraId="532C1612">
      <w:pPr>
        <w:pStyle w:val="4"/>
      </w:pPr>
      <w:bookmarkStart w:id="5320" w:name="_Toc99561849"/>
      <w:bookmarkStart w:id="5321" w:name="_Toc141873717"/>
      <w:bookmarkStart w:id="5322" w:name="_Toc23152779"/>
      <w:bookmarkStart w:id="5323" w:name="_Toc6235290"/>
      <w:bookmarkStart w:id="5324" w:name="_Toc15485015"/>
      <w:bookmarkStart w:id="5325" w:name="_Toc40276212"/>
      <w:bookmarkStart w:id="5326" w:name="_Toc172218496"/>
      <w:bookmarkStart w:id="5327" w:name="_Toc194080982"/>
      <w:bookmarkStart w:id="5328" w:name="_Toc196728314"/>
      <w:bookmarkStart w:id="5329" w:name="_Toc142401234"/>
      <w:r>
        <w:rPr>
          <w:rFonts w:hint="eastAsia"/>
        </w:rPr>
        <w:t>线路</w:t>
      </w:r>
      <w:bookmarkEnd w:id="5320"/>
      <w:bookmarkEnd w:id="5321"/>
      <w:bookmarkEnd w:id="5322"/>
      <w:bookmarkEnd w:id="5323"/>
      <w:bookmarkEnd w:id="5324"/>
      <w:bookmarkEnd w:id="5325"/>
      <w:bookmarkEnd w:id="5326"/>
      <w:bookmarkEnd w:id="5327"/>
      <w:bookmarkEnd w:id="5328"/>
      <w:bookmarkEnd w:id="5329"/>
    </w:p>
    <w:p w14:paraId="5D578A74">
      <w:r>
        <w:rPr>
          <w:rFonts w:hint="eastAsia"/>
        </w:rPr>
        <w:t>线路是流量进出设备的物理接口。新建线路的操作方法如下：</w:t>
      </w:r>
    </w:p>
    <w:p w14:paraId="02675CC9">
      <w:pPr>
        <w:pStyle w:val="202"/>
        <w:rPr>
          <w:lang w:eastAsia="zh-CN"/>
        </w:rPr>
      </w:pPr>
      <w:r>
        <w:rPr>
          <w:rFonts w:hint="eastAsia"/>
          <w:lang w:eastAsia="zh-CN"/>
        </w:rPr>
        <w:t>在导航栏中选择“策略配置 &gt; 流量控制策略”，选择流量控制页签查看设备上已有的线路。</w:t>
      </w:r>
    </w:p>
    <w:p w14:paraId="525F39ED">
      <w:pPr>
        <w:pStyle w:val="188"/>
      </w:pPr>
      <w:bookmarkStart w:id="5330" w:name="_Toc141875128"/>
      <w:r>
        <w:t>流量控制页面</w:t>
      </w:r>
      <w:bookmarkEnd w:id="5330"/>
    </w:p>
    <w:p w14:paraId="2A3E07B4">
      <w:pPr>
        <w:spacing w:before="78" w:after="78"/>
      </w:pPr>
      <w:r>
        <w:drawing>
          <wp:inline distT="0" distB="0" distL="0" distR="0">
            <wp:extent cx="5400040" cy="1377950"/>
            <wp:effectExtent l="0" t="0" r="0" b="0"/>
            <wp:docPr id="813" name="图片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图片 813"/>
                    <pic:cNvPicPr>
                      <a:picLocks noChangeAspect="1"/>
                    </pic:cNvPicPr>
                  </pic:nvPicPr>
                  <pic:blipFill>
                    <a:blip r:embed="rId690"/>
                    <a:stretch>
                      <a:fillRect/>
                    </a:stretch>
                  </pic:blipFill>
                  <pic:spPr>
                    <a:xfrm>
                      <a:off x="0" y="0"/>
                      <a:ext cx="5400040" cy="1378304"/>
                    </a:xfrm>
                    <a:prstGeom prst="rect">
                      <a:avLst/>
                    </a:prstGeom>
                  </pic:spPr>
                </pic:pic>
              </a:graphicData>
            </a:graphic>
          </wp:inline>
        </w:drawing>
      </w:r>
    </w:p>
    <w:p w14:paraId="28BA3D43">
      <w:pPr>
        <w:pStyle w:val="162"/>
      </w:pPr>
      <w:r>
        <w:rPr>
          <w:rFonts w:hint="eastAsia"/>
        </w:rPr>
        <w:t>管理员分级分权开关默认为关闭，关闭时，具有流控策略权限的管理员可以管理所有线路、通道、限制通道和惩罚通道。</w:t>
      </w:r>
    </w:p>
    <w:p w14:paraId="0BCD0803">
      <w:pPr>
        <w:pStyle w:val="162"/>
      </w:pPr>
      <w:r>
        <w:rPr>
          <w:rFonts w:hint="eastAsia"/>
        </w:rPr>
        <w:t>开启时，根据管理员的级别来控制权限。</w:t>
      </w:r>
    </w:p>
    <w:p w14:paraId="53B9184E">
      <w:pPr>
        <w:pStyle w:val="162"/>
      </w:pPr>
      <w:r>
        <w:rPr>
          <w:rFonts w:hint="eastAsia"/>
        </w:rPr>
        <w:t>超级管理员：管理员</w:t>
      </w:r>
      <w:r>
        <w:t>admin</w:t>
      </w:r>
      <w:r>
        <w:rPr>
          <w:rFonts w:hint="eastAsia"/>
        </w:rPr>
        <w:t>或是拥有</w:t>
      </w:r>
      <w:r>
        <w:t>admin</w:t>
      </w:r>
      <w:r>
        <w:rPr>
          <w:rFonts w:hint="eastAsia"/>
        </w:rPr>
        <w:t>角色的管理员，控制流控策略的分级分权开关的开启和关闭，创建和修改线路和通道，为线路下的一级通道指定普通管理员。</w:t>
      </w:r>
    </w:p>
    <w:p w14:paraId="7EE65188">
      <w:pPr>
        <w:pStyle w:val="162"/>
      </w:pPr>
      <w:r>
        <w:rPr>
          <w:rFonts w:hint="eastAsia"/>
        </w:rPr>
        <w:t>普通管理员：手动创建的自定义角色的管理员被称之为普通管理员。</w:t>
      </w:r>
    </w:p>
    <w:p w14:paraId="64D2CF81">
      <w:pPr>
        <w:pStyle w:val="162"/>
      </w:pPr>
      <w:r>
        <w:rPr>
          <w:rFonts w:hint="eastAsia"/>
        </w:rPr>
        <w:t>只能在被指定的一级通道下创建和维护子通道（流量监控页面，排除策略的权限不受该开关限制）。</w:t>
      </w:r>
    </w:p>
    <w:p w14:paraId="066F86DF"/>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0AE3D6A6">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61E740AB">
            <w:pPr>
              <w:pStyle w:val="150"/>
              <w:adjustRightInd w:val="0"/>
              <w:snapToGrid w:val="0"/>
              <w:rPr>
                <w:color w:val="auto"/>
              </w:rPr>
            </w:pPr>
            <w:r>
              <w:rPr>
                <w:b/>
                <w:color w:val="auto"/>
              </w:rPr>
              <w:drawing>
                <wp:inline distT="0" distB="0" distL="0" distR="0">
                  <wp:extent cx="283210" cy="283210"/>
                  <wp:effectExtent l="0" t="0" r="2540" b="2540"/>
                  <wp:docPr id="880" name="图片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图片 880"/>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6EB9D327">
            <w:pPr>
              <w:pStyle w:val="207"/>
              <w:adjustRightInd w:val="0"/>
              <w:snapToGrid w:val="0"/>
              <w:rPr>
                <w:color w:val="auto"/>
                <w:lang w:eastAsia="zh-CN"/>
              </w:rPr>
            </w:pPr>
            <w:r>
              <w:rPr>
                <w:rFonts w:hint="eastAsia"/>
                <w:color w:val="auto"/>
                <w:lang w:eastAsia="zh-CN"/>
              </w:rPr>
              <w:t>管理员分为两级：超级管理员和普通管理员。</w:t>
            </w:r>
          </w:p>
          <w:p w14:paraId="69E677BA">
            <w:pPr>
              <w:pStyle w:val="207"/>
              <w:adjustRightInd w:val="0"/>
              <w:snapToGrid w:val="0"/>
              <w:rPr>
                <w:color w:val="auto"/>
                <w:lang w:eastAsia="zh-CN"/>
              </w:rPr>
            </w:pPr>
            <w:r>
              <w:rPr>
                <w:rFonts w:hint="eastAsia"/>
                <w:color w:val="auto"/>
                <w:lang w:eastAsia="zh-CN"/>
              </w:rPr>
              <w:t>管理员分级分权开关只有管理员admin或者具有admin角色的管理员能够控制。</w:t>
            </w:r>
          </w:p>
          <w:p w14:paraId="7FA8D442">
            <w:pPr>
              <w:pStyle w:val="207"/>
              <w:adjustRightInd w:val="0"/>
              <w:snapToGrid w:val="0"/>
              <w:rPr>
                <w:color w:val="auto"/>
                <w:lang w:eastAsia="zh-CN"/>
              </w:rPr>
            </w:pPr>
            <w:r>
              <w:rPr>
                <w:rFonts w:hint="eastAsia"/>
                <w:color w:val="auto"/>
                <w:lang w:eastAsia="zh-CN"/>
              </w:rPr>
              <w:t>普通管理员登录后该开关状态置灰。</w:t>
            </w:r>
          </w:p>
        </w:tc>
      </w:tr>
    </w:tbl>
    <w:p w14:paraId="6EF9A421"/>
    <w:p w14:paraId="7A1A6FB5">
      <w:pPr>
        <w:pStyle w:val="202"/>
        <w:rPr>
          <w:lang w:eastAsia="zh-CN"/>
        </w:rPr>
      </w:pPr>
      <w:r>
        <w:rPr>
          <w:rFonts w:hint="eastAsia"/>
          <w:lang w:eastAsia="zh-CN"/>
        </w:rPr>
        <w:t>单击</w:t>
      </w:r>
      <w:r>
        <w:rPr>
          <w:lang w:eastAsia="zh-CN"/>
        </w:rPr>
        <w:t>&lt;</w:t>
      </w:r>
      <w:r>
        <w:rPr>
          <w:rFonts w:hint="eastAsia"/>
          <w:lang w:eastAsia="zh-CN"/>
        </w:rPr>
        <w:t>新建</w:t>
      </w:r>
      <w:r>
        <w:rPr>
          <w:lang w:eastAsia="zh-CN"/>
        </w:rPr>
        <w:t>&gt;</w:t>
      </w:r>
      <w:r>
        <w:rPr>
          <w:rFonts w:hint="eastAsia"/>
          <w:lang w:eastAsia="zh-CN"/>
        </w:rPr>
        <w:t>按钮，选择&lt;线路</w:t>
      </w:r>
      <w:r>
        <w:rPr>
          <w:lang w:eastAsia="zh-CN"/>
        </w:rPr>
        <w:t>&gt;</w:t>
      </w:r>
      <w:r>
        <w:rPr>
          <w:rFonts w:hint="eastAsia"/>
          <w:lang w:eastAsia="zh-CN"/>
        </w:rPr>
        <w:t>进入线路设置配置页面，如</w:t>
      </w:r>
      <w:r>
        <w:fldChar w:fldCharType="begin"/>
      </w:r>
      <w:r>
        <w:rPr>
          <w:lang w:eastAsia="zh-CN"/>
        </w:rPr>
        <w:instrText xml:space="preserve"> REF _Ref393024975 \r \h </w:instrText>
      </w:r>
      <w:r>
        <w:fldChar w:fldCharType="separate"/>
      </w:r>
      <w:r>
        <w:rPr>
          <w:rFonts w:hint="eastAsia"/>
          <w:lang w:eastAsia="zh-CN"/>
        </w:rPr>
        <w:t>图18-3</w:t>
      </w:r>
      <w:r>
        <w:fldChar w:fldCharType="end"/>
      </w:r>
      <w:r>
        <w:rPr>
          <w:rFonts w:hint="eastAsia"/>
          <w:lang w:eastAsia="zh-CN"/>
        </w:rPr>
        <w:t>所示。</w:t>
      </w:r>
    </w:p>
    <w:p w14:paraId="633C7E58">
      <w:pPr>
        <w:pStyle w:val="188"/>
      </w:pPr>
      <w:bookmarkStart w:id="5331" w:name="_Ref393024975"/>
      <w:bookmarkStart w:id="5332" w:name="_Toc141875129"/>
      <w:r>
        <w:rPr>
          <w:rFonts w:hint="eastAsia"/>
        </w:rPr>
        <w:t>线路设置</w:t>
      </w:r>
      <w:bookmarkEnd w:id="5331"/>
      <w:r>
        <w:rPr>
          <w:rFonts w:hint="eastAsia"/>
        </w:rPr>
        <w:t>页面</w:t>
      </w:r>
      <w:bookmarkEnd w:id="5332"/>
    </w:p>
    <w:p w14:paraId="22C7DF18">
      <w:r>
        <w:drawing>
          <wp:inline distT="0" distB="0" distL="0" distR="0">
            <wp:extent cx="5162550" cy="3274695"/>
            <wp:effectExtent l="0" t="0" r="0" b="1905"/>
            <wp:docPr id="594"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594"/>
                    <pic:cNvPicPr>
                      <a:picLocks noChangeAspect="1"/>
                    </pic:cNvPicPr>
                  </pic:nvPicPr>
                  <pic:blipFill>
                    <a:blip r:embed="rId691"/>
                    <a:stretch>
                      <a:fillRect/>
                    </a:stretch>
                  </pic:blipFill>
                  <pic:spPr>
                    <a:xfrm>
                      <a:off x="0" y="0"/>
                      <a:ext cx="5167168" cy="3278061"/>
                    </a:xfrm>
                    <a:prstGeom prst="rect">
                      <a:avLst/>
                    </a:prstGeom>
                  </pic:spPr>
                </pic:pic>
              </a:graphicData>
            </a:graphic>
          </wp:inline>
        </w:drawing>
      </w:r>
    </w:p>
    <w:p w14:paraId="68C66F7D"/>
    <w:p w14:paraId="1FAFEB19">
      <w:pPr>
        <w:pStyle w:val="183"/>
      </w:pPr>
      <w:bookmarkStart w:id="5333" w:name="_Toc141875700"/>
      <w:r>
        <w:rPr>
          <w:rFonts w:hint="eastAsia"/>
        </w:rPr>
        <w:t>线路设置详细配置</w:t>
      </w:r>
      <w:bookmarkEnd w:id="5333"/>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235"/>
        <w:gridCol w:w="6797"/>
      </w:tblGrid>
      <w:tr w14:paraId="4C22AC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35" w:type="dxa"/>
            <w:tcBorders>
              <w:tl2br w:val="nil"/>
              <w:tr2bl w:val="nil"/>
            </w:tcBorders>
            <w:shd w:val="clear" w:color="auto" w:fill="538135" w:themeFill="accent6" w:themeFillShade="BF"/>
            <w:vAlign w:val="center"/>
          </w:tcPr>
          <w:p w14:paraId="3ADAEC02">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797" w:type="dxa"/>
            <w:tcBorders>
              <w:tl2br w:val="nil"/>
              <w:tr2bl w:val="nil"/>
            </w:tcBorders>
            <w:shd w:val="clear" w:color="auto" w:fill="538135" w:themeFill="accent6" w:themeFillShade="BF"/>
            <w:vAlign w:val="center"/>
          </w:tcPr>
          <w:p w14:paraId="7B9CDEF7">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7B9610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35" w:type="dxa"/>
            <w:shd w:val="clear" w:color="auto" w:fill="auto"/>
          </w:tcPr>
          <w:p w14:paraId="6942A31E">
            <w:pPr>
              <w:pStyle w:val="150"/>
            </w:pPr>
            <w:r>
              <w:rPr>
                <w:rFonts w:hint="eastAsia"/>
              </w:rPr>
              <w:t>启用</w:t>
            </w:r>
          </w:p>
        </w:tc>
        <w:tc>
          <w:tcPr>
            <w:tcW w:w="6797" w:type="dxa"/>
            <w:shd w:val="clear" w:color="auto" w:fill="auto"/>
          </w:tcPr>
          <w:p w14:paraId="3C78A671">
            <w:pPr>
              <w:pStyle w:val="150"/>
            </w:pPr>
            <w:r>
              <w:rPr>
                <w:rFonts w:hint="eastAsia"/>
              </w:rPr>
              <w:t xml:space="preserve"> 是否启用线路规则。</w:t>
            </w:r>
          </w:p>
        </w:tc>
      </w:tr>
      <w:tr w14:paraId="67159B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35" w:type="dxa"/>
            <w:shd w:val="clear" w:color="auto" w:fill="auto"/>
          </w:tcPr>
          <w:p w14:paraId="46F64624">
            <w:pPr>
              <w:pStyle w:val="150"/>
            </w:pPr>
            <w:r>
              <w:rPr>
                <w:rFonts w:hint="eastAsia"/>
              </w:rPr>
              <w:t>名称</w:t>
            </w:r>
          </w:p>
        </w:tc>
        <w:tc>
          <w:tcPr>
            <w:tcW w:w="6797" w:type="dxa"/>
            <w:shd w:val="clear" w:color="auto" w:fill="auto"/>
          </w:tcPr>
          <w:p w14:paraId="70ED9FBA">
            <w:pPr>
              <w:pStyle w:val="150"/>
            </w:pPr>
            <w:r>
              <w:rPr>
                <w:rFonts w:hint="eastAsia"/>
              </w:rPr>
              <w:t>线路名称。</w:t>
            </w:r>
          </w:p>
        </w:tc>
      </w:tr>
      <w:tr w14:paraId="5BC9CA6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35" w:type="dxa"/>
            <w:shd w:val="clear" w:color="auto" w:fill="auto"/>
          </w:tcPr>
          <w:p w14:paraId="430703C7">
            <w:pPr>
              <w:pStyle w:val="150"/>
            </w:pPr>
            <w:r>
              <w:rPr>
                <w:rFonts w:hint="eastAsia"/>
              </w:rPr>
              <w:t>绑定</w:t>
            </w:r>
            <w:r>
              <w:t>接口</w:t>
            </w:r>
          </w:p>
        </w:tc>
        <w:tc>
          <w:tcPr>
            <w:tcW w:w="6797" w:type="dxa"/>
            <w:shd w:val="clear" w:color="auto" w:fill="auto"/>
          </w:tcPr>
          <w:p w14:paraId="7F28D03E">
            <w:pPr>
              <w:pStyle w:val="150"/>
            </w:pPr>
            <w:r>
              <w:rPr>
                <w:rFonts w:hint="eastAsia"/>
              </w:rPr>
              <w:t>线路</w:t>
            </w:r>
            <w:r>
              <w:t>绑定的接口，一个</w:t>
            </w:r>
            <w:r>
              <w:rPr>
                <w:rFonts w:hint="eastAsia"/>
              </w:rPr>
              <w:t>接口</w:t>
            </w:r>
            <w:r>
              <w:t>仅能够和一个线路绑定。</w:t>
            </w:r>
          </w:p>
        </w:tc>
      </w:tr>
      <w:tr w14:paraId="7297EEE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35" w:type="dxa"/>
            <w:shd w:val="clear" w:color="auto" w:fill="auto"/>
          </w:tcPr>
          <w:p w14:paraId="67663F82">
            <w:pPr>
              <w:pStyle w:val="150"/>
            </w:pPr>
            <w:r>
              <w:t>带宽管理</w:t>
            </w:r>
            <w:r>
              <w:rPr>
                <w:rFonts w:hint="eastAsia"/>
              </w:rPr>
              <w:t>（出）</w:t>
            </w:r>
          </w:p>
        </w:tc>
        <w:tc>
          <w:tcPr>
            <w:tcW w:w="6797" w:type="dxa"/>
            <w:shd w:val="clear" w:color="auto" w:fill="auto"/>
          </w:tcPr>
          <w:p w14:paraId="589F4E9E">
            <w:pPr>
              <w:pStyle w:val="150"/>
            </w:pPr>
            <w:r>
              <w:rPr>
                <w:rFonts w:hint="eastAsia"/>
              </w:rPr>
              <w:t>配置接口出方向</w:t>
            </w:r>
            <w:r>
              <w:t>带宽</w:t>
            </w:r>
            <w:r>
              <w:rPr>
                <w:rFonts w:hint="eastAsia"/>
              </w:rPr>
              <w:t>，</w:t>
            </w:r>
            <w:r>
              <w:t>单位可以选择Kb/Mb/Gb。</w:t>
            </w:r>
          </w:p>
        </w:tc>
      </w:tr>
      <w:tr w14:paraId="77A2E5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35" w:type="dxa"/>
            <w:shd w:val="clear" w:color="auto" w:fill="auto"/>
          </w:tcPr>
          <w:p w14:paraId="49B5A050">
            <w:pPr>
              <w:pStyle w:val="150"/>
            </w:pPr>
            <w:r>
              <w:t>带宽管理</w:t>
            </w:r>
            <w:r>
              <w:rPr>
                <w:rFonts w:hint="eastAsia"/>
              </w:rPr>
              <w:t>（入）</w:t>
            </w:r>
          </w:p>
        </w:tc>
        <w:tc>
          <w:tcPr>
            <w:tcW w:w="6797" w:type="dxa"/>
            <w:shd w:val="clear" w:color="auto" w:fill="auto"/>
          </w:tcPr>
          <w:p w14:paraId="57D3E91D">
            <w:pPr>
              <w:pStyle w:val="150"/>
            </w:pPr>
            <w:r>
              <w:rPr>
                <w:rFonts w:hint="eastAsia"/>
              </w:rPr>
              <w:t>配置接口入方向</w:t>
            </w:r>
            <w:r>
              <w:t>带宽，单位可以选择Kb/Mb/Gb。</w:t>
            </w:r>
          </w:p>
        </w:tc>
      </w:tr>
      <w:tr w14:paraId="32B17FF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35" w:type="dxa"/>
            <w:shd w:val="clear" w:color="auto" w:fill="auto"/>
          </w:tcPr>
          <w:p w14:paraId="3F46D75D">
            <w:pPr>
              <w:pStyle w:val="150"/>
            </w:pPr>
            <w:r>
              <w:rPr>
                <w:rFonts w:hint="eastAsia"/>
              </w:rPr>
              <w:t>动态流控</w:t>
            </w:r>
          </w:p>
        </w:tc>
        <w:tc>
          <w:tcPr>
            <w:tcW w:w="6797" w:type="dxa"/>
            <w:shd w:val="clear" w:color="auto" w:fill="auto"/>
          </w:tcPr>
          <w:p w14:paraId="1BC0E0E1">
            <w:pPr>
              <w:pStyle w:val="150"/>
            </w:pPr>
            <w:r>
              <w:rPr>
                <w:rFonts w:hint="eastAsia"/>
              </w:rPr>
              <w:t>是否启用动态流控功能，默认为关闭。</w:t>
            </w:r>
          </w:p>
          <w:p w14:paraId="517FE643">
            <w:pPr>
              <w:pStyle w:val="150"/>
            </w:pPr>
            <w:r>
              <w:rPr>
                <w:rFonts w:hint="eastAsia"/>
              </w:rPr>
              <w:t>启用动态流控功能后，线路或者接口流量值大于设置的阈值时，流控功能生效，以保证带宽使用；线路或者接口流量值小于等于设置的阈值时，流控功能不生效，以保证带宽资源充分使用。</w:t>
            </w:r>
          </w:p>
        </w:tc>
      </w:tr>
      <w:tr w14:paraId="179C0B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35" w:type="dxa"/>
            <w:shd w:val="clear" w:color="auto" w:fill="auto"/>
          </w:tcPr>
          <w:p w14:paraId="5E870896">
            <w:pPr>
              <w:pStyle w:val="150"/>
            </w:pPr>
            <w:r>
              <w:rPr>
                <w:rFonts w:hint="eastAsia"/>
              </w:rPr>
              <w:t>统计方式</w:t>
            </w:r>
          </w:p>
        </w:tc>
        <w:tc>
          <w:tcPr>
            <w:tcW w:w="6797" w:type="dxa"/>
            <w:shd w:val="clear" w:color="auto" w:fill="auto"/>
          </w:tcPr>
          <w:p w14:paraId="7D6144DF">
            <w:pPr>
              <w:pStyle w:val="150"/>
            </w:pPr>
            <w:r>
              <w:rPr>
                <w:rFonts w:hint="eastAsia"/>
              </w:rPr>
              <w:t>设置动态流控监控方式，可以选择监控接口流量或者监控线路流量。</w:t>
            </w:r>
          </w:p>
        </w:tc>
      </w:tr>
      <w:tr w14:paraId="3CBCAB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35" w:type="dxa"/>
            <w:shd w:val="clear" w:color="auto" w:fill="auto"/>
          </w:tcPr>
          <w:p w14:paraId="587DD426">
            <w:pPr>
              <w:pStyle w:val="150"/>
            </w:pPr>
            <w:r>
              <w:rPr>
                <w:rFonts w:hint="eastAsia"/>
              </w:rPr>
              <w:t>持续监控时间</w:t>
            </w:r>
          </w:p>
        </w:tc>
        <w:tc>
          <w:tcPr>
            <w:tcW w:w="6797" w:type="dxa"/>
            <w:shd w:val="clear" w:color="auto" w:fill="auto"/>
          </w:tcPr>
          <w:p w14:paraId="6E408860">
            <w:pPr>
              <w:pStyle w:val="150"/>
            </w:pPr>
            <w:r>
              <w:rPr>
                <w:rFonts w:hint="eastAsia"/>
              </w:rPr>
              <w:t>速率持续的时间，时间范围在2-30秒，无默认值。</w:t>
            </w:r>
          </w:p>
        </w:tc>
      </w:tr>
      <w:tr w14:paraId="4749C6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35" w:type="dxa"/>
            <w:shd w:val="clear" w:color="auto" w:fill="auto"/>
          </w:tcPr>
          <w:p w14:paraId="2CFF071B">
            <w:pPr>
              <w:pStyle w:val="150"/>
            </w:pPr>
            <w:r>
              <w:rPr>
                <w:rFonts w:hint="eastAsia"/>
              </w:rPr>
              <w:t>带宽使用阈值（出）</w:t>
            </w:r>
          </w:p>
        </w:tc>
        <w:tc>
          <w:tcPr>
            <w:tcW w:w="6797" w:type="dxa"/>
            <w:shd w:val="clear" w:color="auto" w:fill="auto"/>
          </w:tcPr>
          <w:p w14:paraId="4EC06E06">
            <w:pPr>
              <w:pStyle w:val="150"/>
            </w:pPr>
            <w:r>
              <w:rPr>
                <w:rFonts w:hint="eastAsia"/>
              </w:rPr>
              <w:t>配置该线路的出方向监控带宽阈值，单位可以选择Kb/Mb/Gb。</w:t>
            </w:r>
          </w:p>
        </w:tc>
      </w:tr>
      <w:tr w14:paraId="68859E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35" w:type="dxa"/>
            <w:shd w:val="clear" w:color="auto" w:fill="auto"/>
          </w:tcPr>
          <w:p w14:paraId="74511309">
            <w:pPr>
              <w:pStyle w:val="150"/>
            </w:pPr>
            <w:r>
              <w:rPr>
                <w:rFonts w:hint="eastAsia"/>
              </w:rPr>
              <w:t>带宽使用阈值（入）</w:t>
            </w:r>
          </w:p>
        </w:tc>
        <w:tc>
          <w:tcPr>
            <w:tcW w:w="6797" w:type="dxa"/>
            <w:shd w:val="clear" w:color="auto" w:fill="auto"/>
          </w:tcPr>
          <w:p w14:paraId="655427BE">
            <w:pPr>
              <w:pStyle w:val="150"/>
            </w:pPr>
            <w:r>
              <w:rPr>
                <w:rFonts w:hint="eastAsia"/>
              </w:rPr>
              <w:t>配置该线路的入方向监控带宽阈值，单位可以选择Kb/Mb/Gb。</w:t>
            </w:r>
          </w:p>
        </w:tc>
      </w:tr>
    </w:tbl>
    <w:p w14:paraId="0FF33400"/>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54AD702A">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14B9FC3F">
            <w:pPr>
              <w:pStyle w:val="150"/>
              <w:adjustRightInd w:val="0"/>
              <w:snapToGrid w:val="0"/>
              <w:rPr>
                <w:color w:val="auto"/>
              </w:rPr>
            </w:pPr>
            <w:r>
              <w:rPr>
                <w:b/>
                <w:color w:val="auto"/>
              </w:rPr>
              <w:drawing>
                <wp:inline distT="0" distB="0" distL="0" distR="0">
                  <wp:extent cx="283210" cy="283210"/>
                  <wp:effectExtent l="0" t="0" r="2540" b="2540"/>
                  <wp:docPr id="882" name="图片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图片 88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336F33FD">
            <w:pPr>
              <w:pStyle w:val="150"/>
              <w:adjustRightInd w:val="0"/>
              <w:snapToGrid w:val="0"/>
              <w:rPr>
                <w:color w:val="auto"/>
              </w:rPr>
            </w:pPr>
            <w:r>
              <w:rPr>
                <w:rFonts w:hint="eastAsia"/>
                <w:color w:val="auto"/>
              </w:rPr>
              <w:t>线路的出方向带宽是指该接口发送报文方向的带宽。</w:t>
            </w:r>
          </w:p>
          <w:p w14:paraId="3E0EB11D">
            <w:pPr>
              <w:pStyle w:val="150"/>
              <w:adjustRightInd w:val="0"/>
              <w:snapToGrid w:val="0"/>
              <w:rPr>
                <w:color w:val="auto"/>
              </w:rPr>
            </w:pPr>
            <w:r>
              <w:rPr>
                <w:rFonts w:hint="eastAsia"/>
                <w:color w:val="auto"/>
              </w:rPr>
              <w:t>线路的入方向带宽是指该接口接收报文方向的带宽。</w:t>
            </w:r>
          </w:p>
        </w:tc>
      </w:tr>
    </w:tbl>
    <w:p w14:paraId="561B3297"/>
    <w:p w14:paraId="001EA5DE">
      <w:pPr>
        <w:pStyle w:val="4"/>
      </w:pPr>
      <w:bookmarkStart w:id="5334" w:name="_Toc15485016"/>
      <w:bookmarkStart w:id="5335" w:name="_Toc23152780"/>
      <w:bookmarkStart w:id="5336" w:name="_Toc141873718"/>
      <w:bookmarkStart w:id="5337" w:name="_Toc99561850"/>
      <w:bookmarkStart w:id="5338" w:name="_Toc196728315"/>
      <w:bookmarkStart w:id="5339" w:name="_Toc142401235"/>
      <w:bookmarkStart w:id="5340" w:name="_Toc172218497"/>
      <w:bookmarkStart w:id="5341" w:name="_Toc40276213"/>
      <w:bookmarkStart w:id="5342" w:name="_Toc194080983"/>
      <w:bookmarkStart w:id="5343" w:name="_Toc6235291"/>
      <w:r>
        <w:rPr>
          <w:rFonts w:hint="eastAsia"/>
        </w:rPr>
        <w:t>通道</w:t>
      </w:r>
      <w:bookmarkEnd w:id="5334"/>
      <w:bookmarkEnd w:id="5335"/>
      <w:bookmarkEnd w:id="5336"/>
      <w:bookmarkEnd w:id="5337"/>
      <w:bookmarkEnd w:id="5338"/>
      <w:bookmarkEnd w:id="5339"/>
      <w:bookmarkEnd w:id="5340"/>
      <w:bookmarkEnd w:id="5341"/>
      <w:bookmarkEnd w:id="5342"/>
      <w:bookmarkEnd w:id="5343"/>
    </w:p>
    <w:p w14:paraId="32CDDC2A">
      <w:r>
        <w:rPr>
          <w:rFonts w:hint="eastAsia"/>
        </w:rPr>
        <w:t>设备以通道为单位对出入物理线路的流量进行划分，并根据通道的策略配置对通道内的流量进行管控。为方便配置，系统支持多级通道，即线路中的每个通道还可以包含子通道。可以通过多级通道的方式将不同属性的流量限制在一定的带宽内，保障重要的用户或应用优先使用线路带宽。</w:t>
      </w:r>
    </w:p>
    <w:p w14:paraId="1E83F8AD">
      <w:pPr>
        <w:pStyle w:val="202"/>
        <w:rPr>
          <w:lang w:eastAsia="zh-CN"/>
        </w:rPr>
      </w:pPr>
      <w:r>
        <w:rPr>
          <w:rFonts w:hint="eastAsia"/>
          <w:lang w:eastAsia="zh-CN"/>
        </w:rPr>
        <w:t>在流量控制列表中点击线路名称左侧的图 标展开查看线路下配置的通道。</w:t>
      </w:r>
    </w:p>
    <w:p w14:paraId="47E7B64D">
      <w:pPr>
        <w:pStyle w:val="188"/>
      </w:pPr>
      <w:bookmarkStart w:id="5344" w:name="_Toc141875130"/>
      <w:r>
        <w:t>查看线路下的通道</w:t>
      </w:r>
      <w:bookmarkEnd w:id="5344"/>
    </w:p>
    <w:p w14:paraId="1F497D51">
      <w:pPr>
        <w:spacing w:before="78" w:after="78"/>
      </w:pPr>
      <w:r>
        <w:drawing>
          <wp:inline distT="0" distB="0" distL="0" distR="0">
            <wp:extent cx="5103495" cy="1635125"/>
            <wp:effectExtent l="0" t="0" r="1905" b="3175"/>
            <wp:docPr id="816" name="图片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图片 816"/>
                    <pic:cNvPicPr>
                      <a:picLocks noChangeAspect="1" noChangeArrowheads="1"/>
                    </pic:cNvPicPr>
                  </pic:nvPicPr>
                  <pic:blipFill>
                    <a:blip r:embed="rId692">
                      <a:extLst>
                        <a:ext uri="{28A0092B-C50C-407E-A947-70E740481C1C}">
                          <a14:useLocalDpi xmlns:a14="http://schemas.microsoft.com/office/drawing/2010/main" val="0"/>
                        </a:ext>
                      </a:extLst>
                    </a:blip>
                    <a:srcRect t="10044"/>
                    <a:stretch>
                      <a:fillRect/>
                    </a:stretch>
                  </pic:blipFill>
                  <pic:spPr>
                    <a:xfrm>
                      <a:off x="0" y="0"/>
                      <a:ext cx="5111948" cy="1637731"/>
                    </a:xfrm>
                    <a:prstGeom prst="rect">
                      <a:avLst/>
                    </a:prstGeom>
                    <a:noFill/>
                    <a:ln>
                      <a:noFill/>
                    </a:ln>
                  </pic:spPr>
                </pic:pic>
              </a:graphicData>
            </a:graphic>
          </wp:inline>
        </w:drawing>
      </w:r>
    </w:p>
    <w:p w14:paraId="615961FE">
      <w:pPr>
        <w:pStyle w:val="202"/>
        <w:rPr>
          <w:lang w:eastAsia="zh-CN"/>
        </w:rPr>
      </w:pPr>
      <w:r>
        <w:rPr>
          <w:rFonts w:hint="eastAsia"/>
          <w:lang w:eastAsia="zh-CN"/>
        </w:rPr>
        <w:t>选择线路或通道，点击&lt;新建&gt;并从下拉框选择通道创建新的通道，新建通道可以归属于线路，也可以归属于其他通道，即嵌套于上级通道的子通道，如</w:t>
      </w:r>
      <w:r>
        <w:fldChar w:fldCharType="begin"/>
      </w:r>
      <w:r>
        <w:rPr>
          <w:lang w:eastAsia="zh-CN"/>
        </w:rPr>
        <w:instrText xml:space="preserve"> REF _Ref393981610 \r \h </w:instrText>
      </w:r>
      <w:r>
        <w:fldChar w:fldCharType="separate"/>
      </w:r>
      <w:r>
        <w:rPr>
          <w:rFonts w:hint="eastAsia"/>
          <w:lang w:eastAsia="zh-CN"/>
        </w:rPr>
        <w:t>图18-5</w:t>
      </w:r>
      <w:r>
        <w:fldChar w:fldCharType="end"/>
      </w:r>
      <w:r>
        <w:rPr>
          <w:rFonts w:hint="eastAsia"/>
          <w:lang w:eastAsia="zh-CN"/>
        </w:rPr>
        <w:t>所示。</w:t>
      </w:r>
    </w:p>
    <w:p w14:paraId="3D1137BF">
      <w:pPr>
        <w:pStyle w:val="188"/>
      </w:pPr>
      <w:bookmarkStart w:id="5345" w:name="_Ref393981610"/>
      <w:bookmarkStart w:id="5346" w:name="_Toc141875131"/>
      <w:r>
        <w:rPr>
          <w:rFonts w:hint="eastAsia"/>
        </w:rPr>
        <w:t>通道配置页面</w:t>
      </w:r>
      <w:bookmarkEnd w:id="5345"/>
      <w:bookmarkEnd w:id="5346"/>
    </w:p>
    <w:p w14:paraId="5894787F">
      <w:pPr>
        <w:pStyle w:val="175"/>
      </w:pPr>
      <w:r>
        <w:drawing>
          <wp:inline distT="0" distB="0" distL="0" distR="0">
            <wp:extent cx="4714875" cy="2306320"/>
            <wp:effectExtent l="0" t="0" r="0" b="0"/>
            <wp:docPr id="595"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595"/>
                    <pic:cNvPicPr>
                      <a:picLocks noChangeAspect="1"/>
                    </pic:cNvPicPr>
                  </pic:nvPicPr>
                  <pic:blipFill>
                    <a:blip r:embed="rId693"/>
                    <a:stretch>
                      <a:fillRect/>
                    </a:stretch>
                  </pic:blipFill>
                  <pic:spPr>
                    <a:xfrm>
                      <a:off x="0" y="0"/>
                      <a:ext cx="4720143" cy="2309389"/>
                    </a:xfrm>
                    <a:prstGeom prst="rect">
                      <a:avLst/>
                    </a:prstGeom>
                  </pic:spPr>
                </pic:pic>
              </a:graphicData>
            </a:graphic>
          </wp:inline>
        </w:drawing>
      </w:r>
      <w:r>
        <w:t xml:space="preserve"> </w:t>
      </w:r>
    </w:p>
    <w:p w14:paraId="52DF7F5F">
      <w:pPr>
        <w:pStyle w:val="175"/>
      </w:pPr>
      <w:r>
        <w:drawing>
          <wp:inline distT="0" distB="0" distL="0" distR="0">
            <wp:extent cx="4864735" cy="3114675"/>
            <wp:effectExtent l="0" t="0" r="0" b="0"/>
            <wp:docPr id="596" name="图片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图片 596"/>
                    <pic:cNvPicPr>
                      <a:picLocks noChangeAspect="1"/>
                    </pic:cNvPicPr>
                  </pic:nvPicPr>
                  <pic:blipFill>
                    <a:blip r:embed="rId694"/>
                    <a:stretch>
                      <a:fillRect/>
                    </a:stretch>
                  </pic:blipFill>
                  <pic:spPr>
                    <a:xfrm>
                      <a:off x="0" y="0"/>
                      <a:ext cx="4868658" cy="3116972"/>
                    </a:xfrm>
                    <a:prstGeom prst="rect">
                      <a:avLst/>
                    </a:prstGeom>
                  </pic:spPr>
                </pic:pic>
              </a:graphicData>
            </a:graphic>
          </wp:inline>
        </w:drawing>
      </w:r>
    </w:p>
    <w:p w14:paraId="6326342E"/>
    <w:p w14:paraId="4BACAC4A">
      <w:pPr>
        <w:pStyle w:val="183"/>
      </w:pPr>
      <w:bookmarkStart w:id="5347" w:name="_Toc141875701"/>
      <w:r>
        <w:rPr>
          <w:rFonts w:hint="eastAsia"/>
        </w:rPr>
        <w:t>通道详细配置</w:t>
      </w:r>
      <w:bookmarkEnd w:id="5347"/>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639"/>
        <w:gridCol w:w="7393"/>
      </w:tblGrid>
      <w:tr w14:paraId="72824AB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639" w:type="dxa"/>
            <w:tcBorders>
              <w:tl2br w:val="nil"/>
              <w:tr2bl w:val="nil"/>
            </w:tcBorders>
            <w:shd w:val="clear" w:color="auto" w:fill="538135" w:themeFill="accent6" w:themeFillShade="BF"/>
            <w:vAlign w:val="center"/>
          </w:tcPr>
          <w:p w14:paraId="3A5A7C15">
            <w:pPr>
              <w:pStyle w:val="149"/>
              <w:wordWrap/>
              <w:rPr>
                <w:b/>
                <w:bCs/>
                <w:i w:val="0"/>
                <w:iCs w:val="0"/>
              </w:rPr>
            </w:pPr>
            <w:r>
              <w:rPr>
                <w:rFonts w:hint="eastAsia"/>
                <w:b/>
                <w:bCs/>
                <w:i w:val="0"/>
                <w:iCs w:val="0"/>
              </w:rPr>
              <w:t>标题项</w:t>
            </w:r>
          </w:p>
        </w:tc>
        <w:tc>
          <w:tcPr>
            <w:tcW w:w="7393" w:type="dxa"/>
            <w:tcBorders>
              <w:tl2br w:val="nil"/>
              <w:tr2bl w:val="nil"/>
            </w:tcBorders>
            <w:shd w:val="clear" w:color="auto" w:fill="538135" w:themeFill="accent6" w:themeFillShade="BF"/>
            <w:vAlign w:val="center"/>
          </w:tcPr>
          <w:p w14:paraId="3C570C5E">
            <w:pPr>
              <w:pStyle w:val="149"/>
              <w:wordWrap/>
              <w:rPr>
                <w:b/>
                <w:bCs/>
                <w:i w:val="0"/>
                <w:iCs w:val="0"/>
              </w:rPr>
            </w:pPr>
            <w:r>
              <w:rPr>
                <w:rFonts w:hint="eastAsia"/>
                <w:b/>
                <w:bCs/>
                <w:i w:val="0"/>
                <w:iCs w:val="0"/>
              </w:rPr>
              <w:t>说明</w:t>
            </w:r>
          </w:p>
        </w:tc>
      </w:tr>
      <w:tr w14:paraId="238EEBF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639" w:type="dxa"/>
            <w:shd w:val="clear" w:color="auto" w:fill="auto"/>
          </w:tcPr>
          <w:p w14:paraId="0B791CC9">
            <w:pPr>
              <w:pStyle w:val="150"/>
            </w:pPr>
            <w:r>
              <w:rPr>
                <w:rFonts w:hint="eastAsia"/>
              </w:rPr>
              <w:t>启用</w:t>
            </w:r>
          </w:p>
        </w:tc>
        <w:tc>
          <w:tcPr>
            <w:tcW w:w="7393" w:type="dxa"/>
            <w:shd w:val="clear" w:color="auto" w:fill="auto"/>
          </w:tcPr>
          <w:p w14:paraId="4051F774">
            <w:pPr>
              <w:pStyle w:val="150"/>
            </w:pPr>
            <w:r>
              <w:rPr>
                <w:rFonts w:hint="eastAsia"/>
              </w:rPr>
              <w:t>启用通道。</w:t>
            </w:r>
          </w:p>
        </w:tc>
      </w:tr>
      <w:tr w14:paraId="28FB18B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639" w:type="dxa"/>
            <w:shd w:val="clear" w:color="auto" w:fill="auto"/>
          </w:tcPr>
          <w:p w14:paraId="3CFF3FDE">
            <w:pPr>
              <w:pStyle w:val="150"/>
            </w:pPr>
            <w:r>
              <w:rPr>
                <w:rFonts w:hint="eastAsia"/>
              </w:rPr>
              <w:t>名称</w:t>
            </w:r>
          </w:p>
        </w:tc>
        <w:tc>
          <w:tcPr>
            <w:tcW w:w="7393" w:type="dxa"/>
            <w:shd w:val="clear" w:color="auto" w:fill="auto"/>
          </w:tcPr>
          <w:p w14:paraId="2741F906">
            <w:pPr>
              <w:pStyle w:val="150"/>
            </w:pPr>
            <w:r>
              <w:rPr>
                <w:rFonts w:hint="eastAsia"/>
              </w:rPr>
              <w:t>通道的名称。</w:t>
            </w:r>
          </w:p>
        </w:tc>
      </w:tr>
      <w:tr w14:paraId="74F1C00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77" w:hRule="atLeast"/>
        </w:trPr>
        <w:tc>
          <w:tcPr>
            <w:tcW w:w="1639" w:type="dxa"/>
            <w:shd w:val="clear" w:color="auto" w:fill="auto"/>
          </w:tcPr>
          <w:p w14:paraId="43EF4360">
            <w:pPr>
              <w:pStyle w:val="150"/>
            </w:pPr>
            <w:r>
              <w:rPr>
                <w:rFonts w:hint="eastAsia"/>
              </w:rPr>
              <w:t>上一级</w:t>
            </w:r>
          </w:p>
        </w:tc>
        <w:tc>
          <w:tcPr>
            <w:tcW w:w="7393" w:type="dxa"/>
            <w:shd w:val="clear" w:color="auto" w:fill="auto"/>
          </w:tcPr>
          <w:p w14:paraId="4CF88421">
            <w:pPr>
              <w:pStyle w:val="150"/>
            </w:pPr>
            <w:r>
              <w:rPr>
                <w:rFonts w:hint="eastAsia"/>
              </w:rPr>
              <w:t>父通道</w:t>
            </w:r>
            <w:r>
              <w:t>或线路。</w:t>
            </w:r>
          </w:p>
        </w:tc>
      </w:tr>
      <w:tr w14:paraId="12676B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7961994C">
            <w:pPr>
              <w:pStyle w:val="150"/>
            </w:pPr>
            <w:r>
              <w:rPr>
                <w:rFonts w:hint="eastAsia"/>
              </w:rPr>
              <w:t>级别</w:t>
            </w:r>
          </w:p>
        </w:tc>
        <w:tc>
          <w:tcPr>
            <w:tcW w:w="7393" w:type="dxa"/>
            <w:shd w:val="clear" w:color="auto" w:fill="auto"/>
          </w:tcPr>
          <w:p w14:paraId="3042EC13">
            <w:pPr>
              <w:pStyle w:val="150"/>
            </w:pPr>
            <w:r>
              <w:rPr>
                <w:rFonts w:hint="eastAsia"/>
              </w:rPr>
              <w:t>通道</w:t>
            </w:r>
            <w:r>
              <w:t>的优先级</w:t>
            </w:r>
            <w:r>
              <w:rPr>
                <w:rFonts w:hint="eastAsia"/>
              </w:rPr>
              <w:t>，</w:t>
            </w:r>
            <w:r>
              <w:t>优先级高的</w:t>
            </w:r>
            <w:r>
              <w:rPr>
                <w:rFonts w:hint="eastAsia"/>
              </w:rPr>
              <w:t>通道</w:t>
            </w:r>
            <w:r>
              <w:t>，</w:t>
            </w:r>
            <w:r>
              <w:rPr>
                <w:rFonts w:hint="eastAsia"/>
              </w:rPr>
              <w:t>就</w:t>
            </w:r>
            <w:r>
              <w:t>有</w:t>
            </w:r>
            <w:r>
              <w:rPr>
                <w:rFonts w:hint="eastAsia"/>
              </w:rPr>
              <w:t>更多</w:t>
            </w:r>
            <w:r>
              <w:t>可能借用上级</w:t>
            </w:r>
            <w:r>
              <w:rPr>
                <w:rFonts w:hint="eastAsia"/>
              </w:rPr>
              <w:t>父通道</w:t>
            </w:r>
            <w:r>
              <w:t>的带宽</w:t>
            </w:r>
            <w:r>
              <w:rPr>
                <w:rFonts w:hint="eastAsia"/>
              </w:rPr>
              <w:t>，共有高、中、低三个优先级级别。</w:t>
            </w:r>
          </w:p>
        </w:tc>
      </w:tr>
      <w:tr w14:paraId="179A6B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248C06A5">
            <w:pPr>
              <w:pStyle w:val="150"/>
            </w:pPr>
            <w:r>
              <w:rPr>
                <w:rFonts w:hint="eastAsia"/>
              </w:rPr>
              <w:t>最大带宽（出）</w:t>
            </w:r>
          </w:p>
        </w:tc>
        <w:tc>
          <w:tcPr>
            <w:tcW w:w="7393" w:type="dxa"/>
            <w:shd w:val="clear" w:color="auto" w:fill="auto"/>
          </w:tcPr>
          <w:p w14:paraId="2AE7BF16">
            <w:pPr>
              <w:pStyle w:val="150"/>
            </w:pPr>
            <w:r>
              <w:rPr>
                <w:rFonts w:hint="eastAsia"/>
              </w:rPr>
              <w:t>该通道的上行最大带宽，不能大于其上级通道的带宽，支持百分比配置，当线路带宽改变后，该带宽也会按百分比自动做相应调整。</w:t>
            </w:r>
          </w:p>
        </w:tc>
      </w:tr>
      <w:tr w14:paraId="54E2B1B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1A2D76D8">
            <w:pPr>
              <w:pStyle w:val="150"/>
            </w:pPr>
            <w:r>
              <w:rPr>
                <w:rFonts w:hint="eastAsia"/>
              </w:rPr>
              <w:t>上行保障带宽</w:t>
            </w:r>
          </w:p>
        </w:tc>
        <w:tc>
          <w:tcPr>
            <w:tcW w:w="7393" w:type="dxa"/>
            <w:shd w:val="clear" w:color="auto" w:fill="auto"/>
          </w:tcPr>
          <w:p w14:paraId="5D34FD35">
            <w:pPr>
              <w:pStyle w:val="150"/>
            </w:pPr>
            <w:r>
              <w:rPr>
                <w:rFonts w:hint="eastAsia"/>
              </w:rPr>
              <w:t>通道的上行最大保障带宽，不能大于其上级通道的保障带宽。支持百分比配置，当线路带宽改变后，该带宽也会按百分比自动做相应调整。</w:t>
            </w:r>
          </w:p>
        </w:tc>
      </w:tr>
      <w:tr w14:paraId="418B799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17C7D288">
            <w:pPr>
              <w:pStyle w:val="150"/>
            </w:pPr>
            <w:r>
              <w:rPr>
                <w:rFonts w:hint="eastAsia"/>
              </w:rPr>
              <w:t>最大带宽（入）</w:t>
            </w:r>
          </w:p>
        </w:tc>
        <w:tc>
          <w:tcPr>
            <w:tcW w:w="7393" w:type="dxa"/>
            <w:shd w:val="clear" w:color="auto" w:fill="auto"/>
          </w:tcPr>
          <w:p w14:paraId="67E46F37">
            <w:pPr>
              <w:pStyle w:val="150"/>
            </w:pPr>
            <w:r>
              <w:rPr>
                <w:rFonts w:hint="eastAsia"/>
              </w:rPr>
              <w:t>该通道的下行最大带宽，不能大于其上级通道的带宽。支持百分比配置，当线路带宽改变后，该带宽也会按百分比自动做相应调整。</w:t>
            </w:r>
          </w:p>
        </w:tc>
      </w:tr>
      <w:tr w14:paraId="762A19A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1EC4127C">
            <w:pPr>
              <w:pStyle w:val="150"/>
            </w:pPr>
            <w:r>
              <w:rPr>
                <w:rFonts w:hint="eastAsia"/>
              </w:rPr>
              <w:t>下行保障带宽</w:t>
            </w:r>
          </w:p>
        </w:tc>
        <w:tc>
          <w:tcPr>
            <w:tcW w:w="7393" w:type="dxa"/>
            <w:shd w:val="clear" w:color="auto" w:fill="auto"/>
          </w:tcPr>
          <w:p w14:paraId="6305F237">
            <w:pPr>
              <w:pStyle w:val="150"/>
            </w:pPr>
            <w:r>
              <w:rPr>
                <w:rFonts w:hint="eastAsia"/>
              </w:rPr>
              <w:t>通道的下行最大保障带宽，不能大于其上级通道的保障带宽。支持百分比配置，当线路带宽改变后，该带宽也会按百分比自动做相应调整。</w:t>
            </w:r>
          </w:p>
        </w:tc>
      </w:tr>
      <w:tr w14:paraId="1958F8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4826BDD6">
            <w:pPr>
              <w:pStyle w:val="150"/>
            </w:pPr>
            <w:r>
              <w:rPr>
                <w:rFonts w:hint="eastAsia"/>
              </w:rPr>
              <w:t>每终端限速配置</w:t>
            </w:r>
          </w:p>
        </w:tc>
        <w:tc>
          <w:tcPr>
            <w:tcW w:w="7393" w:type="dxa"/>
            <w:shd w:val="clear" w:color="auto" w:fill="auto"/>
          </w:tcPr>
          <w:p w14:paraId="114D8DFE">
            <w:pPr>
              <w:pStyle w:val="150"/>
            </w:pPr>
            <w:r>
              <w:rPr>
                <w:rFonts w:hint="eastAsia"/>
              </w:rPr>
              <w:t>选择限速的对象：</w:t>
            </w:r>
          </w:p>
          <w:p w14:paraId="674CF52E">
            <w:pPr>
              <w:pStyle w:val="150"/>
            </w:pPr>
            <w:r>
              <w:rPr>
                <w:rFonts w:hint="eastAsia"/>
              </w:rPr>
              <w:t>每IP限速：根据IP地址进行限速。</w:t>
            </w:r>
          </w:p>
          <w:p w14:paraId="0E66D07D">
            <w:pPr>
              <w:pStyle w:val="150"/>
            </w:pPr>
            <w:r>
              <w:rPr>
                <w:rFonts w:hint="eastAsia"/>
              </w:rPr>
              <w:t>每用户限速：根据用户名进行限速。</w:t>
            </w:r>
          </w:p>
        </w:tc>
      </w:tr>
      <w:tr w14:paraId="03668D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054886E0">
            <w:pPr>
              <w:pStyle w:val="150"/>
            </w:pPr>
            <w:r>
              <w:rPr>
                <w:rFonts w:hint="eastAsia"/>
              </w:rPr>
              <w:t>出</w:t>
            </w:r>
          </w:p>
        </w:tc>
        <w:tc>
          <w:tcPr>
            <w:tcW w:w="7393" w:type="dxa"/>
            <w:shd w:val="clear" w:color="auto" w:fill="auto"/>
          </w:tcPr>
          <w:p w14:paraId="4A6AEF2E">
            <w:pPr>
              <w:pStyle w:val="150"/>
            </w:pPr>
            <w:r>
              <w:rPr>
                <w:rFonts w:hint="eastAsia"/>
              </w:rPr>
              <w:t>每终端流量限制的上行</w:t>
            </w:r>
            <w:r>
              <w:t>流量的最大带宽。</w:t>
            </w:r>
          </w:p>
        </w:tc>
      </w:tr>
      <w:tr w14:paraId="5CD10F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1043E766">
            <w:pPr>
              <w:pStyle w:val="150"/>
            </w:pPr>
            <w:r>
              <w:rPr>
                <w:rFonts w:hint="eastAsia"/>
              </w:rPr>
              <w:t>入</w:t>
            </w:r>
          </w:p>
        </w:tc>
        <w:tc>
          <w:tcPr>
            <w:tcW w:w="7393" w:type="dxa"/>
            <w:shd w:val="clear" w:color="auto" w:fill="auto"/>
          </w:tcPr>
          <w:p w14:paraId="1810EFED">
            <w:pPr>
              <w:pStyle w:val="150"/>
            </w:pPr>
            <w:r>
              <w:rPr>
                <w:rFonts w:hint="eastAsia"/>
              </w:rPr>
              <w:t>每终端流量限制的下行</w:t>
            </w:r>
            <w:r>
              <w:t>流量的最大带宽。</w:t>
            </w:r>
          </w:p>
        </w:tc>
      </w:tr>
      <w:tr w14:paraId="6EA7460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5B501268">
            <w:pPr>
              <w:pStyle w:val="150"/>
            </w:pPr>
            <w:r>
              <w:rPr>
                <w:rFonts w:hint="eastAsia"/>
              </w:rPr>
              <w:t>匹配用户</w:t>
            </w:r>
            <w:r>
              <w:t>/</w:t>
            </w:r>
            <w:r>
              <w:rPr>
                <w:rFonts w:hint="eastAsia"/>
              </w:rPr>
              <w:t>组</w:t>
            </w:r>
          </w:p>
        </w:tc>
        <w:tc>
          <w:tcPr>
            <w:tcW w:w="7393" w:type="dxa"/>
            <w:shd w:val="clear" w:color="auto" w:fill="auto"/>
          </w:tcPr>
          <w:p w14:paraId="29DF17F8">
            <w:pPr>
              <w:pStyle w:val="150"/>
            </w:pPr>
            <w:r>
              <w:rPr>
                <w:rFonts w:hint="eastAsia"/>
              </w:rPr>
              <w:t>流量控制匹配的用户对象或用户组名称。</w:t>
            </w:r>
          </w:p>
        </w:tc>
      </w:tr>
      <w:tr w14:paraId="6DA78A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2237736F">
            <w:pPr>
              <w:pStyle w:val="150"/>
            </w:pPr>
            <w:r>
              <w:rPr>
                <w:rFonts w:hint="eastAsia"/>
              </w:rPr>
              <w:t>匹配应用</w:t>
            </w:r>
          </w:p>
        </w:tc>
        <w:tc>
          <w:tcPr>
            <w:tcW w:w="7393" w:type="dxa"/>
            <w:shd w:val="clear" w:color="auto" w:fill="auto"/>
          </w:tcPr>
          <w:p w14:paraId="445435FA">
            <w:pPr>
              <w:pStyle w:val="150"/>
            </w:pPr>
            <w:r>
              <w:rPr>
                <w:rFonts w:hint="eastAsia"/>
              </w:rPr>
              <w:t>流量控制匹配的应用对象名称。</w:t>
            </w:r>
          </w:p>
        </w:tc>
      </w:tr>
      <w:tr w14:paraId="2BD3D8E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4F807E18">
            <w:pPr>
              <w:pStyle w:val="150"/>
            </w:pPr>
            <w:r>
              <w:rPr>
                <w:rFonts w:hint="eastAsia"/>
              </w:rPr>
              <w:t>服务</w:t>
            </w:r>
          </w:p>
        </w:tc>
        <w:tc>
          <w:tcPr>
            <w:tcW w:w="7393" w:type="dxa"/>
            <w:shd w:val="clear" w:color="auto" w:fill="auto"/>
          </w:tcPr>
          <w:p w14:paraId="0F7237D0">
            <w:pPr>
              <w:pStyle w:val="150"/>
            </w:pPr>
            <w:r>
              <w:rPr>
                <w:rFonts w:hint="eastAsia"/>
              </w:rPr>
              <w:t>流量控制匹配的服务对象名称。</w:t>
            </w:r>
          </w:p>
        </w:tc>
      </w:tr>
      <w:tr w14:paraId="306D9A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7935653E">
            <w:pPr>
              <w:pStyle w:val="150"/>
            </w:pPr>
            <w:r>
              <w:rPr>
                <w:rFonts w:hint="eastAsia"/>
              </w:rPr>
              <w:t>地址</w:t>
            </w:r>
          </w:p>
        </w:tc>
        <w:tc>
          <w:tcPr>
            <w:tcW w:w="7393" w:type="dxa"/>
            <w:shd w:val="clear" w:color="auto" w:fill="auto"/>
          </w:tcPr>
          <w:p w14:paraId="1079EC5E">
            <w:pPr>
              <w:pStyle w:val="150"/>
            </w:pPr>
            <w:r>
              <w:rPr>
                <w:rFonts w:hint="eastAsia"/>
              </w:rPr>
              <w:t>流量控制匹配的地址对象。</w:t>
            </w:r>
          </w:p>
        </w:tc>
      </w:tr>
      <w:tr w14:paraId="243ED1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77DC7811">
            <w:pPr>
              <w:pStyle w:val="150"/>
            </w:pPr>
            <w:r>
              <w:rPr>
                <w:rFonts w:hint="eastAsia"/>
              </w:rPr>
              <w:t>终端型号</w:t>
            </w:r>
          </w:p>
        </w:tc>
        <w:tc>
          <w:tcPr>
            <w:tcW w:w="7393" w:type="dxa"/>
            <w:shd w:val="clear" w:color="auto" w:fill="auto"/>
          </w:tcPr>
          <w:p w14:paraId="5FF71072">
            <w:pPr>
              <w:pStyle w:val="150"/>
            </w:pPr>
            <w:r>
              <w:rPr>
                <w:rFonts w:hint="eastAsia"/>
              </w:rPr>
              <w:t>选择终端型号，默认为any。此功能依赖于第三方用户同步中的ddi终端用户功能，需要将终端型号信息同步给设备。</w:t>
            </w:r>
          </w:p>
        </w:tc>
      </w:tr>
      <w:tr w14:paraId="5D8890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18F392FE">
            <w:pPr>
              <w:pStyle w:val="150"/>
            </w:pPr>
            <w:r>
              <w:rPr>
                <w:rFonts w:hint="eastAsia"/>
              </w:rPr>
              <w:t>时间</w:t>
            </w:r>
          </w:p>
        </w:tc>
        <w:tc>
          <w:tcPr>
            <w:tcW w:w="7393" w:type="dxa"/>
            <w:shd w:val="clear" w:color="auto" w:fill="auto"/>
          </w:tcPr>
          <w:p w14:paraId="535ACD73">
            <w:pPr>
              <w:pStyle w:val="150"/>
            </w:pPr>
            <w:r>
              <w:rPr>
                <w:rFonts w:hint="eastAsia"/>
              </w:rPr>
              <w:t>流量控制匹配的时间对象。</w:t>
            </w:r>
          </w:p>
        </w:tc>
      </w:tr>
      <w:tr w14:paraId="33BB2AF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5B2D310F">
            <w:pPr>
              <w:pStyle w:val="150"/>
            </w:pPr>
            <w:r>
              <w:rPr>
                <w:rFonts w:hint="eastAsia"/>
              </w:rPr>
              <w:t>VLAN</w:t>
            </w:r>
          </w:p>
        </w:tc>
        <w:tc>
          <w:tcPr>
            <w:tcW w:w="7393" w:type="dxa"/>
            <w:shd w:val="clear" w:color="auto" w:fill="auto"/>
          </w:tcPr>
          <w:p w14:paraId="6FBFFF89">
            <w:pPr>
              <w:pStyle w:val="150"/>
            </w:pPr>
            <w:r>
              <w:rPr>
                <w:rFonts w:hint="eastAsia"/>
              </w:rPr>
              <w:t>选择策略匹配的虚拟局域网，any表示所有。可配置的范围为0~4094，单个/范围(用-连接)，多项用,隔开，最多可配置8组。</w:t>
            </w:r>
          </w:p>
        </w:tc>
      </w:tr>
      <w:tr w14:paraId="17E904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2E6C6435">
            <w:pPr>
              <w:pStyle w:val="150"/>
            </w:pPr>
            <w:r>
              <w:rPr>
                <w:rFonts w:hint="eastAsia"/>
              </w:rPr>
              <w:t>DSCP</w:t>
            </w:r>
          </w:p>
        </w:tc>
        <w:tc>
          <w:tcPr>
            <w:tcW w:w="7393" w:type="dxa"/>
            <w:shd w:val="clear" w:color="auto" w:fill="auto"/>
          </w:tcPr>
          <w:p w14:paraId="0F4CFF40">
            <w:pPr>
              <w:pStyle w:val="150"/>
            </w:pPr>
            <w:r>
              <w:rPr>
                <w:rFonts w:hint="eastAsia"/>
              </w:rPr>
              <w:t>选择策略匹配的差分服务代码点，any表示所有。可配置的范围为0~63，单个/范围(用-连接)，多项用,隔开，最多可配置8组。</w:t>
            </w:r>
          </w:p>
        </w:tc>
      </w:tr>
      <w:tr w14:paraId="53C7CD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6158E32F">
            <w:pPr>
              <w:pStyle w:val="150"/>
            </w:pPr>
            <w:r>
              <w:rPr>
                <w:rFonts w:hint="eastAsia"/>
              </w:rPr>
              <w:t>管理员</w:t>
            </w:r>
          </w:p>
        </w:tc>
        <w:tc>
          <w:tcPr>
            <w:tcW w:w="7393" w:type="dxa"/>
            <w:shd w:val="clear" w:color="auto" w:fill="auto"/>
          </w:tcPr>
          <w:p w14:paraId="2A1070E5">
            <w:pPr>
              <w:pStyle w:val="150"/>
            </w:pPr>
            <w:r>
              <w:rPr>
                <w:rFonts w:hint="eastAsia"/>
              </w:rPr>
              <w:t>选择指定管理员来管理通道，需要预先创建管理员用户，有关管理员的配置信息请参考系统管理章节管理员配置。</w:t>
            </w:r>
          </w:p>
        </w:tc>
      </w:tr>
    </w:tbl>
    <w:p w14:paraId="33224AFD"/>
    <w:p w14:paraId="45A38FF2">
      <w:pPr>
        <w:pStyle w:val="4"/>
      </w:pPr>
      <w:bookmarkStart w:id="5348" w:name="_Toc196728316"/>
      <w:bookmarkStart w:id="5349" w:name="_Toc142401236"/>
      <w:bookmarkStart w:id="5350" w:name="_Toc141873719"/>
      <w:bookmarkStart w:id="5351" w:name="_Toc6235292"/>
      <w:bookmarkStart w:id="5352" w:name="_Toc99561851"/>
      <w:bookmarkStart w:id="5353" w:name="_Toc23152781"/>
      <w:bookmarkStart w:id="5354" w:name="_Toc40276214"/>
      <w:bookmarkStart w:id="5355" w:name="_Toc172218498"/>
      <w:bookmarkStart w:id="5356" w:name="_Toc194080984"/>
      <w:bookmarkStart w:id="5357" w:name="_Toc15485017"/>
      <w:r>
        <w:rPr>
          <w:rFonts w:hint="eastAsia"/>
        </w:rPr>
        <w:t>限制通道</w:t>
      </w:r>
      <w:bookmarkEnd w:id="5348"/>
      <w:bookmarkEnd w:id="5349"/>
      <w:bookmarkEnd w:id="5350"/>
      <w:bookmarkEnd w:id="5351"/>
      <w:bookmarkEnd w:id="5352"/>
      <w:bookmarkEnd w:id="5353"/>
      <w:bookmarkEnd w:id="5354"/>
      <w:bookmarkEnd w:id="5355"/>
      <w:bookmarkEnd w:id="5356"/>
      <w:bookmarkEnd w:id="5357"/>
    </w:p>
    <w:p w14:paraId="2ED60E0F">
      <w:r>
        <w:rPr>
          <w:rFonts w:hint="eastAsia"/>
        </w:rPr>
        <w:t>限制通道是实现带宽限速的通道，不依赖于线路，可以直接绑定到接口，对流经接口的匹配流量实施限速。限制通道匹配优先级高于其他通道。</w:t>
      </w:r>
    </w:p>
    <w:p w14:paraId="64E61270">
      <w:r>
        <w:rPr>
          <w:rFonts w:hint="eastAsia"/>
        </w:rPr>
        <w:t>在导航栏中选择“策略配置 &gt; 流量控制策略</w:t>
      </w:r>
      <w:r>
        <w:t xml:space="preserve">&gt; </w:t>
      </w:r>
      <w:r>
        <w:rPr>
          <w:rFonts w:hint="eastAsia"/>
        </w:rPr>
        <w:t>流量控制”，单击</w:t>
      </w:r>
      <w:r>
        <w:t>&lt;</w:t>
      </w:r>
      <w:r>
        <w:rPr>
          <w:rFonts w:hint="eastAsia"/>
        </w:rPr>
        <w:t>新建</w:t>
      </w:r>
      <w:r>
        <w:t>&gt;</w:t>
      </w:r>
      <w:r>
        <w:rPr>
          <w:rFonts w:hint="eastAsia"/>
        </w:rPr>
        <w:t>按钮，选择&lt;限制通道</w:t>
      </w:r>
      <w:r>
        <w:t>&gt;</w:t>
      </w:r>
      <w:r>
        <w:rPr>
          <w:rFonts w:hint="eastAsia"/>
        </w:rPr>
        <w:t>进入限制通道配置页面，如</w:t>
      </w:r>
      <w:r>
        <w:fldChar w:fldCharType="begin"/>
      </w:r>
      <w:r>
        <w:instrText xml:space="preserve"> </w:instrText>
      </w:r>
      <w:r>
        <w:rPr>
          <w:rFonts w:hint="eastAsia"/>
        </w:rPr>
        <w:instrText xml:space="preserve">REF _Ref4508677 \r \h</w:instrText>
      </w:r>
      <w:r>
        <w:instrText xml:space="preserve"> </w:instrText>
      </w:r>
      <w:r>
        <w:fldChar w:fldCharType="separate"/>
      </w:r>
      <w:r>
        <w:rPr>
          <w:rFonts w:hint="eastAsia"/>
        </w:rPr>
        <w:t>图18-6</w:t>
      </w:r>
      <w:r>
        <w:fldChar w:fldCharType="end"/>
      </w:r>
      <w:r>
        <w:rPr>
          <w:rFonts w:hint="eastAsia"/>
        </w:rPr>
        <w:t>所示。限制通道详细配置说明，如</w:t>
      </w:r>
      <w:r>
        <w:fldChar w:fldCharType="begin"/>
      </w:r>
      <w:r>
        <w:instrText xml:space="preserve"> </w:instrText>
      </w:r>
      <w:r>
        <w:rPr>
          <w:rFonts w:hint="eastAsia"/>
        </w:rPr>
        <w:instrText xml:space="preserve">REF _Ref4508691 \r \h</w:instrText>
      </w:r>
      <w:r>
        <w:instrText xml:space="preserve"> </w:instrText>
      </w:r>
      <w:r>
        <w:fldChar w:fldCharType="separate"/>
      </w:r>
      <w:r>
        <w:rPr>
          <w:rFonts w:hint="eastAsia"/>
        </w:rPr>
        <w:t>表18-1</w:t>
      </w:r>
      <w:r>
        <w:fldChar w:fldCharType="end"/>
      </w:r>
      <w:r>
        <w:rPr>
          <w:rFonts w:hint="eastAsia"/>
        </w:rPr>
        <w:t>所示。</w:t>
      </w:r>
    </w:p>
    <w:p w14:paraId="695E4D58">
      <w:pPr>
        <w:pStyle w:val="188"/>
      </w:pPr>
      <w:bookmarkStart w:id="5358" w:name="_Ref4508677"/>
      <w:bookmarkStart w:id="5359" w:name="_Toc141875132"/>
      <w:r>
        <w:rPr>
          <w:rFonts w:hint="eastAsia"/>
        </w:rPr>
        <w:t>限制通道</w:t>
      </w:r>
      <w:bookmarkEnd w:id="5358"/>
      <w:bookmarkEnd w:id="5359"/>
    </w:p>
    <w:p w14:paraId="61CA1011">
      <w:r>
        <w:drawing>
          <wp:inline distT="0" distB="0" distL="0" distR="0">
            <wp:extent cx="5572125" cy="4036695"/>
            <wp:effectExtent l="0" t="0" r="0" b="1905"/>
            <wp:docPr id="598"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图片 598"/>
                    <pic:cNvPicPr>
                      <a:picLocks noChangeAspect="1"/>
                    </pic:cNvPicPr>
                  </pic:nvPicPr>
                  <pic:blipFill>
                    <a:blip r:embed="rId695"/>
                    <a:stretch>
                      <a:fillRect/>
                    </a:stretch>
                  </pic:blipFill>
                  <pic:spPr>
                    <a:xfrm>
                      <a:off x="0" y="0"/>
                      <a:ext cx="5578360" cy="4041837"/>
                    </a:xfrm>
                    <a:prstGeom prst="rect">
                      <a:avLst/>
                    </a:prstGeom>
                  </pic:spPr>
                </pic:pic>
              </a:graphicData>
            </a:graphic>
          </wp:inline>
        </w:drawing>
      </w:r>
      <w:r>
        <w:t xml:space="preserve"> </w:t>
      </w:r>
    </w:p>
    <w:p w14:paraId="1FD759FC"/>
    <w:p w14:paraId="23A3CB0D">
      <w:pPr>
        <w:pStyle w:val="183"/>
      </w:pPr>
      <w:bookmarkStart w:id="5360" w:name="_Ref4508691"/>
      <w:bookmarkStart w:id="5361" w:name="_Toc141875702"/>
      <w:r>
        <w:rPr>
          <w:rFonts w:hint="eastAsia"/>
        </w:rPr>
        <w:t>限制通道详细配置</w:t>
      </w:r>
      <w:bookmarkEnd w:id="5360"/>
      <w:bookmarkEnd w:id="5361"/>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639"/>
        <w:gridCol w:w="7393"/>
      </w:tblGrid>
      <w:tr w14:paraId="45D6D51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19" w:hRule="atLeast"/>
        </w:trPr>
        <w:tc>
          <w:tcPr>
            <w:tcW w:w="1639" w:type="dxa"/>
            <w:tcBorders>
              <w:tl2br w:val="nil"/>
              <w:tr2bl w:val="nil"/>
            </w:tcBorders>
            <w:shd w:val="clear" w:color="auto" w:fill="538135" w:themeFill="accent6" w:themeFillShade="BF"/>
            <w:vAlign w:val="center"/>
          </w:tcPr>
          <w:p w14:paraId="5DB17588">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393" w:type="dxa"/>
            <w:tcBorders>
              <w:tl2br w:val="nil"/>
              <w:tr2bl w:val="nil"/>
            </w:tcBorders>
            <w:shd w:val="clear" w:color="auto" w:fill="538135" w:themeFill="accent6" w:themeFillShade="BF"/>
            <w:vAlign w:val="center"/>
          </w:tcPr>
          <w:p w14:paraId="7BF6CB01">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1ED7CB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639" w:type="dxa"/>
            <w:shd w:val="clear" w:color="auto" w:fill="auto"/>
          </w:tcPr>
          <w:p w14:paraId="5DB959DF">
            <w:pPr>
              <w:pStyle w:val="150"/>
            </w:pPr>
            <w:r>
              <w:rPr>
                <w:rFonts w:hint="eastAsia"/>
              </w:rPr>
              <w:t>启用</w:t>
            </w:r>
          </w:p>
        </w:tc>
        <w:tc>
          <w:tcPr>
            <w:tcW w:w="7393" w:type="dxa"/>
            <w:shd w:val="clear" w:color="auto" w:fill="auto"/>
          </w:tcPr>
          <w:p w14:paraId="2AB9B8A6">
            <w:pPr>
              <w:pStyle w:val="150"/>
            </w:pPr>
            <w:r>
              <w:rPr>
                <w:rFonts w:hint="eastAsia"/>
              </w:rPr>
              <w:t>启用限制通道。</w:t>
            </w:r>
          </w:p>
        </w:tc>
      </w:tr>
      <w:tr w14:paraId="6B3B64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639" w:type="dxa"/>
            <w:shd w:val="clear" w:color="auto" w:fill="auto"/>
          </w:tcPr>
          <w:p w14:paraId="7ED64C19">
            <w:pPr>
              <w:pStyle w:val="150"/>
            </w:pPr>
            <w:r>
              <w:rPr>
                <w:rFonts w:hint="eastAsia"/>
              </w:rPr>
              <w:t>名称</w:t>
            </w:r>
          </w:p>
        </w:tc>
        <w:tc>
          <w:tcPr>
            <w:tcW w:w="7393" w:type="dxa"/>
            <w:shd w:val="clear" w:color="auto" w:fill="auto"/>
          </w:tcPr>
          <w:p w14:paraId="7E325031">
            <w:pPr>
              <w:pStyle w:val="150"/>
            </w:pPr>
            <w:r>
              <w:rPr>
                <w:rFonts w:hint="eastAsia"/>
              </w:rPr>
              <w:t>限制通道的名称。</w:t>
            </w:r>
          </w:p>
        </w:tc>
      </w:tr>
      <w:tr w14:paraId="6C644BA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6087C651">
            <w:pPr>
              <w:pStyle w:val="150"/>
            </w:pPr>
            <w:r>
              <w:rPr>
                <w:rFonts w:hint="eastAsia"/>
              </w:rPr>
              <w:t>带宽设定</w:t>
            </w:r>
          </w:p>
        </w:tc>
        <w:tc>
          <w:tcPr>
            <w:tcW w:w="7393" w:type="dxa"/>
            <w:shd w:val="clear" w:color="auto" w:fill="auto"/>
          </w:tcPr>
          <w:p w14:paraId="53CFF7DA">
            <w:pPr>
              <w:pStyle w:val="150"/>
            </w:pPr>
            <w:r>
              <w:rPr>
                <w:rFonts w:hint="eastAsia"/>
              </w:rPr>
              <w:t>设定限制通道的总带宽。</w:t>
            </w:r>
          </w:p>
        </w:tc>
      </w:tr>
      <w:tr w14:paraId="78CBF31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5EB6F6E5">
            <w:pPr>
              <w:pStyle w:val="150"/>
            </w:pPr>
            <w:r>
              <w:rPr>
                <w:rFonts w:hint="eastAsia"/>
              </w:rPr>
              <w:t>出</w:t>
            </w:r>
          </w:p>
        </w:tc>
        <w:tc>
          <w:tcPr>
            <w:tcW w:w="7393" w:type="dxa"/>
            <w:shd w:val="clear" w:color="auto" w:fill="auto"/>
          </w:tcPr>
          <w:p w14:paraId="2C2A9612">
            <w:pPr>
              <w:pStyle w:val="150"/>
            </w:pPr>
            <w:r>
              <w:rPr>
                <w:rFonts w:hint="eastAsia"/>
              </w:rPr>
              <w:t>限制通道上行流量总带宽。</w:t>
            </w:r>
          </w:p>
        </w:tc>
      </w:tr>
      <w:tr w14:paraId="3285A8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43390521">
            <w:pPr>
              <w:pStyle w:val="150"/>
            </w:pPr>
            <w:r>
              <w:rPr>
                <w:rFonts w:hint="eastAsia"/>
              </w:rPr>
              <w:t>入</w:t>
            </w:r>
          </w:p>
        </w:tc>
        <w:tc>
          <w:tcPr>
            <w:tcW w:w="7393" w:type="dxa"/>
            <w:shd w:val="clear" w:color="auto" w:fill="auto"/>
          </w:tcPr>
          <w:p w14:paraId="7D86AC1C">
            <w:pPr>
              <w:pStyle w:val="150"/>
            </w:pPr>
            <w:r>
              <w:rPr>
                <w:rFonts w:hint="eastAsia"/>
              </w:rPr>
              <w:t>限制通道下行流量总带宽。</w:t>
            </w:r>
          </w:p>
        </w:tc>
      </w:tr>
      <w:tr w14:paraId="595367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4C96952C">
            <w:pPr>
              <w:pStyle w:val="150"/>
            </w:pPr>
            <w:r>
              <w:rPr>
                <w:rFonts w:hint="eastAsia"/>
              </w:rPr>
              <w:t>每终端限速配置</w:t>
            </w:r>
          </w:p>
        </w:tc>
        <w:tc>
          <w:tcPr>
            <w:tcW w:w="7393" w:type="dxa"/>
            <w:shd w:val="clear" w:color="auto" w:fill="auto"/>
          </w:tcPr>
          <w:p w14:paraId="47E594D9">
            <w:pPr>
              <w:pStyle w:val="150"/>
            </w:pPr>
            <w:r>
              <w:rPr>
                <w:rFonts w:hint="eastAsia"/>
              </w:rPr>
              <w:t>选择限速的对象：</w:t>
            </w:r>
          </w:p>
          <w:p w14:paraId="4D8C16D5">
            <w:pPr>
              <w:pStyle w:val="150"/>
            </w:pPr>
            <w:r>
              <w:rPr>
                <w:rFonts w:hint="eastAsia"/>
              </w:rPr>
              <w:t>每IP限速：根据IP地址进行限速。</w:t>
            </w:r>
          </w:p>
          <w:p w14:paraId="1254C698">
            <w:pPr>
              <w:pStyle w:val="150"/>
            </w:pPr>
            <w:r>
              <w:rPr>
                <w:rFonts w:hint="eastAsia"/>
              </w:rPr>
              <w:t>每用户限速：根据用户名进行限速。</w:t>
            </w:r>
          </w:p>
        </w:tc>
      </w:tr>
      <w:tr w14:paraId="1F5913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6FAAC8EB">
            <w:pPr>
              <w:pStyle w:val="150"/>
            </w:pPr>
            <w:r>
              <w:rPr>
                <w:rFonts w:hint="eastAsia"/>
              </w:rPr>
              <w:t>出</w:t>
            </w:r>
          </w:p>
        </w:tc>
        <w:tc>
          <w:tcPr>
            <w:tcW w:w="7393" w:type="dxa"/>
            <w:shd w:val="clear" w:color="auto" w:fill="auto"/>
          </w:tcPr>
          <w:p w14:paraId="05EAE4D2">
            <w:pPr>
              <w:pStyle w:val="150"/>
            </w:pPr>
            <w:r>
              <w:rPr>
                <w:rFonts w:hint="eastAsia"/>
              </w:rPr>
              <w:t>每终端流量限制的上行</w:t>
            </w:r>
            <w:r>
              <w:t>流量的最大带宽。</w:t>
            </w:r>
          </w:p>
        </w:tc>
      </w:tr>
      <w:tr w14:paraId="4C302EB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373E7282">
            <w:pPr>
              <w:pStyle w:val="150"/>
            </w:pPr>
            <w:r>
              <w:rPr>
                <w:rFonts w:hint="eastAsia"/>
              </w:rPr>
              <w:t>入</w:t>
            </w:r>
          </w:p>
        </w:tc>
        <w:tc>
          <w:tcPr>
            <w:tcW w:w="7393" w:type="dxa"/>
            <w:shd w:val="clear" w:color="auto" w:fill="auto"/>
          </w:tcPr>
          <w:p w14:paraId="71BBC98E">
            <w:pPr>
              <w:pStyle w:val="150"/>
            </w:pPr>
            <w:r>
              <w:rPr>
                <w:rFonts w:hint="eastAsia"/>
              </w:rPr>
              <w:t>每终端流量限制的下行</w:t>
            </w:r>
            <w:r>
              <w:t>流量的最大带宽。</w:t>
            </w:r>
          </w:p>
        </w:tc>
      </w:tr>
      <w:tr w14:paraId="039DBE2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6F7E0710">
            <w:pPr>
              <w:pStyle w:val="150"/>
            </w:pPr>
            <w:r>
              <w:rPr>
                <w:rFonts w:hint="eastAsia"/>
              </w:rPr>
              <w:t>接口</w:t>
            </w:r>
          </w:p>
        </w:tc>
        <w:tc>
          <w:tcPr>
            <w:tcW w:w="7393" w:type="dxa"/>
            <w:shd w:val="clear" w:color="auto" w:fill="auto"/>
          </w:tcPr>
          <w:p w14:paraId="50E1DB0F">
            <w:pPr>
              <w:pStyle w:val="150"/>
            </w:pPr>
            <w:r>
              <w:rPr>
                <w:rFonts w:hint="eastAsia"/>
              </w:rPr>
              <w:t>限制通道绑定的接口。</w:t>
            </w:r>
          </w:p>
        </w:tc>
      </w:tr>
      <w:tr w14:paraId="03C4D0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93" w:hRule="atLeast"/>
        </w:trPr>
        <w:tc>
          <w:tcPr>
            <w:tcW w:w="1639" w:type="dxa"/>
            <w:shd w:val="clear" w:color="auto" w:fill="auto"/>
          </w:tcPr>
          <w:p w14:paraId="55954ACA">
            <w:pPr>
              <w:pStyle w:val="150"/>
            </w:pPr>
            <w:r>
              <w:rPr>
                <w:rFonts w:hint="eastAsia"/>
              </w:rPr>
              <w:t>匹配用户</w:t>
            </w:r>
            <w:r>
              <w:t>/</w:t>
            </w:r>
            <w:r>
              <w:rPr>
                <w:rFonts w:hint="eastAsia"/>
              </w:rPr>
              <w:t>组</w:t>
            </w:r>
          </w:p>
        </w:tc>
        <w:tc>
          <w:tcPr>
            <w:tcW w:w="7393" w:type="dxa"/>
            <w:shd w:val="clear" w:color="auto" w:fill="auto"/>
          </w:tcPr>
          <w:p w14:paraId="5B63190C">
            <w:pPr>
              <w:pStyle w:val="150"/>
            </w:pPr>
            <w:r>
              <w:rPr>
                <w:rFonts w:hint="eastAsia"/>
              </w:rPr>
              <w:t>流量控制匹配的用户对象或用户组名称。</w:t>
            </w:r>
          </w:p>
        </w:tc>
      </w:tr>
      <w:tr w14:paraId="6911C49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307620DC">
            <w:pPr>
              <w:pStyle w:val="150"/>
            </w:pPr>
            <w:r>
              <w:rPr>
                <w:rFonts w:hint="eastAsia"/>
              </w:rPr>
              <w:t>匹配应用</w:t>
            </w:r>
          </w:p>
        </w:tc>
        <w:tc>
          <w:tcPr>
            <w:tcW w:w="7393" w:type="dxa"/>
            <w:shd w:val="clear" w:color="auto" w:fill="auto"/>
          </w:tcPr>
          <w:p w14:paraId="3ED76A32">
            <w:pPr>
              <w:pStyle w:val="150"/>
            </w:pPr>
            <w:r>
              <w:rPr>
                <w:rFonts w:hint="eastAsia"/>
              </w:rPr>
              <w:t>流量控制匹配的应用对象名称。</w:t>
            </w:r>
          </w:p>
        </w:tc>
      </w:tr>
      <w:tr w14:paraId="6168AB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69AF0F05">
            <w:pPr>
              <w:pStyle w:val="150"/>
            </w:pPr>
            <w:r>
              <w:rPr>
                <w:rFonts w:hint="eastAsia"/>
              </w:rPr>
              <w:t>服务</w:t>
            </w:r>
          </w:p>
        </w:tc>
        <w:tc>
          <w:tcPr>
            <w:tcW w:w="7393" w:type="dxa"/>
            <w:shd w:val="clear" w:color="auto" w:fill="auto"/>
          </w:tcPr>
          <w:p w14:paraId="7BE027ED">
            <w:pPr>
              <w:pStyle w:val="150"/>
            </w:pPr>
            <w:r>
              <w:rPr>
                <w:rFonts w:hint="eastAsia"/>
              </w:rPr>
              <w:t>流量控制匹配的服务对象名称。</w:t>
            </w:r>
          </w:p>
        </w:tc>
      </w:tr>
      <w:tr w14:paraId="599549F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078D1523">
            <w:pPr>
              <w:pStyle w:val="150"/>
            </w:pPr>
            <w:r>
              <w:rPr>
                <w:rFonts w:hint="eastAsia"/>
              </w:rPr>
              <w:t>地址</w:t>
            </w:r>
          </w:p>
        </w:tc>
        <w:tc>
          <w:tcPr>
            <w:tcW w:w="7393" w:type="dxa"/>
            <w:shd w:val="clear" w:color="auto" w:fill="auto"/>
          </w:tcPr>
          <w:p w14:paraId="4A70846E">
            <w:pPr>
              <w:pStyle w:val="150"/>
            </w:pPr>
            <w:r>
              <w:rPr>
                <w:rFonts w:hint="eastAsia"/>
              </w:rPr>
              <w:t>流量控制匹配的地址对象。</w:t>
            </w:r>
          </w:p>
        </w:tc>
      </w:tr>
      <w:tr w14:paraId="2E4F750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4F42CEE3">
            <w:pPr>
              <w:pStyle w:val="150"/>
            </w:pPr>
            <w:r>
              <w:rPr>
                <w:rFonts w:hint="eastAsia"/>
              </w:rPr>
              <w:t>时间</w:t>
            </w:r>
          </w:p>
        </w:tc>
        <w:tc>
          <w:tcPr>
            <w:tcW w:w="7393" w:type="dxa"/>
            <w:shd w:val="clear" w:color="auto" w:fill="auto"/>
          </w:tcPr>
          <w:p w14:paraId="5107AB9D">
            <w:pPr>
              <w:pStyle w:val="150"/>
            </w:pPr>
            <w:r>
              <w:rPr>
                <w:rFonts w:hint="eastAsia"/>
              </w:rPr>
              <w:t>流量控制匹配的时间对象。</w:t>
            </w:r>
          </w:p>
        </w:tc>
      </w:tr>
      <w:tr w14:paraId="61084D9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3948B8CD">
            <w:pPr>
              <w:pStyle w:val="150"/>
            </w:pPr>
            <w:r>
              <w:rPr>
                <w:rFonts w:hint="eastAsia"/>
              </w:rPr>
              <w:t>VLAN</w:t>
            </w:r>
          </w:p>
        </w:tc>
        <w:tc>
          <w:tcPr>
            <w:tcW w:w="7393" w:type="dxa"/>
            <w:shd w:val="clear" w:color="auto" w:fill="auto"/>
          </w:tcPr>
          <w:p w14:paraId="35E6599B">
            <w:pPr>
              <w:pStyle w:val="150"/>
            </w:pPr>
            <w:r>
              <w:rPr>
                <w:rFonts w:hint="eastAsia"/>
              </w:rPr>
              <w:t>选择策略匹配的虚拟局域网，any表示所有。可配置的范围为0~4094，单个/范围(用-连接)，多项用,隔开，最多可配置8组。</w:t>
            </w:r>
          </w:p>
        </w:tc>
      </w:tr>
      <w:tr w14:paraId="021BAEB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1694D812">
            <w:pPr>
              <w:pStyle w:val="150"/>
            </w:pPr>
            <w:r>
              <w:rPr>
                <w:rFonts w:hint="eastAsia"/>
              </w:rPr>
              <w:t>DSCP</w:t>
            </w:r>
          </w:p>
        </w:tc>
        <w:tc>
          <w:tcPr>
            <w:tcW w:w="7393" w:type="dxa"/>
            <w:shd w:val="clear" w:color="auto" w:fill="auto"/>
          </w:tcPr>
          <w:p w14:paraId="6731F1F2">
            <w:pPr>
              <w:pStyle w:val="150"/>
            </w:pPr>
            <w:r>
              <w:rPr>
                <w:rFonts w:hint="eastAsia"/>
              </w:rPr>
              <w:t>选择策略匹配的差分服务代码点，any表示所有。可配置的范围为0~63，单个/范围(用-连接)，多项用,隔开，最多可配置8组。</w:t>
            </w:r>
          </w:p>
        </w:tc>
      </w:tr>
    </w:tbl>
    <w:p w14:paraId="2E004BFD"/>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06DC0702">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1F792599">
            <w:pPr>
              <w:pStyle w:val="150"/>
              <w:adjustRightInd w:val="0"/>
              <w:snapToGrid w:val="0"/>
              <w:rPr>
                <w:color w:val="auto"/>
              </w:rPr>
            </w:pPr>
            <w:r>
              <w:rPr>
                <w:b/>
                <w:color w:val="auto"/>
              </w:rPr>
              <w:drawing>
                <wp:inline distT="0" distB="0" distL="0" distR="0">
                  <wp:extent cx="283210" cy="283210"/>
                  <wp:effectExtent l="0" t="0" r="2540" b="2540"/>
                  <wp:docPr id="883" name="图片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图片 88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05A43042">
            <w:pPr>
              <w:pStyle w:val="150"/>
              <w:adjustRightInd w:val="0"/>
              <w:snapToGrid w:val="0"/>
              <w:rPr>
                <w:color w:val="auto"/>
              </w:rPr>
            </w:pPr>
            <w:r>
              <w:rPr>
                <w:rFonts w:hint="eastAsia"/>
                <w:color w:val="auto"/>
              </w:rPr>
              <w:t>限制通道是实现带宽限速的通道，不依赖于线路，可以直接绑定接口，且限制通道匹配优先级高于通道优先级。</w:t>
            </w:r>
          </w:p>
        </w:tc>
      </w:tr>
    </w:tbl>
    <w:p w14:paraId="3F8C6ED5"/>
    <w:p w14:paraId="5C70060B">
      <w:pPr>
        <w:pStyle w:val="4"/>
      </w:pPr>
      <w:bookmarkStart w:id="5362" w:name="_Toc99561852"/>
      <w:bookmarkStart w:id="5363" w:name="_Toc142401237"/>
      <w:bookmarkStart w:id="5364" w:name="_Toc6235293"/>
      <w:bookmarkStart w:id="5365" w:name="_Toc15485018"/>
      <w:bookmarkStart w:id="5366" w:name="_Toc40276215"/>
      <w:bookmarkStart w:id="5367" w:name="_Toc172218499"/>
      <w:bookmarkStart w:id="5368" w:name="_Toc194080985"/>
      <w:bookmarkStart w:id="5369" w:name="_Toc196728317"/>
      <w:bookmarkStart w:id="5370" w:name="_Toc23152782"/>
      <w:bookmarkStart w:id="5371" w:name="_Ref166849792"/>
      <w:bookmarkStart w:id="5372" w:name="_Toc141873720"/>
      <w:r>
        <w:rPr>
          <w:rFonts w:hint="eastAsia"/>
        </w:rPr>
        <w:t>惩罚通道</w:t>
      </w:r>
      <w:bookmarkEnd w:id="5362"/>
      <w:bookmarkEnd w:id="5363"/>
      <w:bookmarkEnd w:id="5364"/>
      <w:bookmarkEnd w:id="5365"/>
      <w:bookmarkEnd w:id="5366"/>
      <w:bookmarkEnd w:id="5367"/>
      <w:bookmarkEnd w:id="5368"/>
      <w:bookmarkEnd w:id="5369"/>
      <w:bookmarkEnd w:id="5370"/>
      <w:bookmarkEnd w:id="5371"/>
      <w:bookmarkEnd w:id="5372"/>
    </w:p>
    <w:p w14:paraId="50A4CBBB">
      <w:r>
        <w:rPr>
          <w:rFonts w:hint="eastAsia"/>
        </w:rPr>
        <w:t>惩罚通道是用户上网流量或时长超过设置阈值时进行惩罚限速处理的通道。惩罚通道不依赖于线路及接口，只能被限额策略引用，当用户达到限额阈值时流量才会被引流到相应的惩罚通道。有关用户限额策略配置的更多信息请参考</w:t>
      </w:r>
      <w:r>
        <w:fldChar w:fldCharType="begin"/>
      </w:r>
      <w:r>
        <w:instrText xml:space="preserve"> </w:instrText>
      </w:r>
      <w:r>
        <w:rPr>
          <w:rFonts w:hint="eastAsia"/>
        </w:rPr>
        <w:instrText xml:space="preserve">REF _Ref141814018 \h</w:instrText>
      </w:r>
      <w:r>
        <w:instrText xml:space="preserve"> </w:instrText>
      </w:r>
      <w:r>
        <w:fldChar w:fldCharType="separate"/>
      </w:r>
      <w:r>
        <w:rPr>
          <w:rFonts w:hint="eastAsia"/>
        </w:rPr>
        <w:t>用户限额策略</w:t>
      </w:r>
      <w:r>
        <w:fldChar w:fldCharType="end"/>
      </w:r>
      <w:r>
        <w:rPr>
          <w:rFonts w:hint="eastAsia"/>
        </w:rPr>
        <w:t>。</w:t>
      </w:r>
    </w:p>
    <w:p w14:paraId="5D28A8D0">
      <w:r>
        <w:rPr>
          <w:rFonts w:hint="eastAsia"/>
        </w:rPr>
        <w:t>在导航栏中选择“策略配置 &gt; 流量控制策略</w:t>
      </w:r>
      <w:r>
        <w:t xml:space="preserve">&gt; </w:t>
      </w:r>
      <w:r>
        <w:rPr>
          <w:rFonts w:hint="eastAsia"/>
        </w:rPr>
        <w:t>流量控制”，单击</w:t>
      </w:r>
      <w:r>
        <w:t>&lt;</w:t>
      </w:r>
      <w:r>
        <w:rPr>
          <w:rFonts w:hint="eastAsia"/>
        </w:rPr>
        <w:t>新建</w:t>
      </w:r>
      <w:r>
        <w:t>&gt;</w:t>
      </w:r>
      <w:r>
        <w:rPr>
          <w:rFonts w:hint="eastAsia"/>
        </w:rPr>
        <w:t>按钮，选择&lt;惩罚通道</w:t>
      </w:r>
      <w:r>
        <w:t>&gt;</w:t>
      </w:r>
      <w:r>
        <w:rPr>
          <w:rFonts w:hint="eastAsia"/>
        </w:rPr>
        <w:t>进入惩罚通道配置页面，如</w:t>
      </w:r>
      <w:r>
        <w:fldChar w:fldCharType="begin"/>
      </w:r>
      <w:r>
        <w:instrText xml:space="preserve"> </w:instrText>
      </w:r>
      <w:r>
        <w:rPr>
          <w:rFonts w:hint="eastAsia"/>
        </w:rPr>
        <w:instrText xml:space="preserve">REF _Ref4508702 \r \h</w:instrText>
      </w:r>
      <w:r>
        <w:instrText xml:space="preserve"> </w:instrText>
      </w:r>
      <w:r>
        <w:fldChar w:fldCharType="separate"/>
      </w:r>
      <w:r>
        <w:rPr>
          <w:rFonts w:hint="eastAsia"/>
        </w:rPr>
        <w:t>图18-7</w:t>
      </w:r>
      <w:r>
        <w:fldChar w:fldCharType="end"/>
      </w:r>
      <w:r>
        <w:rPr>
          <w:rFonts w:hint="eastAsia"/>
        </w:rPr>
        <w:t>所示。惩罚通道详细配置说明，如</w:t>
      </w:r>
      <w:r>
        <w:fldChar w:fldCharType="begin"/>
      </w:r>
      <w:r>
        <w:instrText xml:space="preserve"> </w:instrText>
      </w:r>
      <w:r>
        <w:rPr>
          <w:rFonts w:hint="eastAsia"/>
        </w:rPr>
        <w:instrText xml:space="preserve">REF _Ref4508708 \r \h</w:instrText>
      </w:r>
      <w:r>
        <w:instrText xml:space="preserve"> </w:instrText>
      </w:r>
      <w:r>
        <w:fldChar w:fldCharType="separate"/>
      </w:r>
      <w:r>
        <w:rPr>
          <w:rFonts w:hint="eastAsia"/>
        </w:rPr>
        <w:t>表18-1</w:t>
      </w:r>
      <w:r>
        <w:fldChar w:fldCharType="end"/>
      </w:r>
      <w:r>
        <w:rPr>
          <w:rFonts w:hint="eastAsia"/>
        </w:rPr>
        <w:t>所示。</w:t>
      </w:r>
    </w:p>
    <w:p w14:paraId="7BE11245">
      <w:pPr>
        <w:pStyle w:val="188"/>
      </w:pPr>
      <w:bookmarkStart w:id="5373" w:name="_Ref4508702"/>
      <w:bookmarkStart w:id="5374" w:name="_Toc141875133"/>
      <w:r>
        <w:rPr>
          <w:rFonts w:hint="eastAsia"/>
        </w:rPr>
        <w:t>惩罚通道</w:t>
      </w:r>
      <w:bookmarkEnd w:id="5373"/>
      <w:bookmarkEnd w:id="5374"/>
    </w:p>
    <w:p w14:paraId="0486D1B0">
      <w:pPr>
        <w:spacing w:before="78" w:after="78"/>
      </w:pPr>
      <w:r>
        <w:drawing>
          <wp:inline distT="0" distB="0" distL="0" distR="0">
            <wp:extent cx="4619625" cy="3216275"/>
            <wp:effectExtent l="0" t="0" r="0" b="3175"/>
            <wp:docPr id="601" name="图片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601"/>
                    <pic:cNvPicPr>
                      <a:picLocks noChangeAspect="1"/>
                    </pic:cNvPicPr>
                  </pic:nvPicPr>
                  <pic:blipFill>
                    <a:blip r:embed="rId696"/>
                    <a:stretch>
                      <a:fillRect/>
                    </a:stretch>
                  </pic:blipFill>
                  <pic:spPr>
                    <a:xfrm>
                      <a:off x="0" y="0"/>
                      <a:ext cx="4624246" cy="3219845"/>
                    </a:xfrm>
                    <a:prstGeom prst="rect">
                      <a:avLst/>
                    </a:prstGeom>
                  </pic:spPr>
                </pic:pic>
              </a:graphicData>
            </a:graphic>
          </wp:inline>
        </w:drawing>
      </w:r>
    </w:p>
    <w:p w14:paraId="432700B7"/>
    <w:p w14:paraId="4A5333A9">
      <w:pPr>
        <w:pStyle w:val="183"/>
      </w:pPr>
      <w:bookmarkStart w:id="5375" w:name="_Ref4508708"/>
      <w:bookmarkStart w:id="5376" w:name="_Toc141875703"/>
      <w:r>
        <w:rPr>
          <w:rFonts w:hint="eastAsia"/>
        </w:rPr>
        <w:t>惩罚通道详细配置</w:t>
      </w:r>
      <w:bookmarkEnd w:id="5375"/>
      <w:bookmarkEnd w:id="5376"/>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639"/>
        <w:gridCol w:w="7393"/>
      </w:tblGrid>
      <w:tr w14:paraId="7119A8B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639" w:type="dxa"/>
            <w:tcBorders>
              <w:tl2br w:val="nil"/>
              <w:tr2bl w:val="nil"/>
            </w:tcBorders>
            <w:shd w:val="clear" w:color="auto" w:fill="538135" w:themeFill="accent6" w:themeFillShade="BF"/>
            <w:vAlign w:val="center"/>
          </w:tcPr>
          <w:p w14:paraId="74F1C9A9">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393" w:type="dxa"/>
            <w:tcBorders>
              <w:tl2br w:val="nil"/>
              <w:tr2bl w:val="nil"/>
            </w:tcBorders>
            <w:shd w:val="clear" w:color="auto" w:fill="538135" w:themeFill="accent6" w:themeFillShade="BF"/>
            <w:vAlign w:val="center"/>
          </w:tcPr>
          <w:p w14:paraId="7AD24E7A">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ECBE9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639" w:type="dxa"/>
            <w:shd w:val="clear" w:color="auto" w:fill="auto"/>
          </w:tcPr>
          <w:p w14:paraId="006A3AD8">
            <w:pPr>
              <w:pStyle w:val="150"/>
            </w:pPr>
            <w:r>
              <w:rPr>
                <w:rFonts w:hint="eastAsia"/>
              </w:rPr>
              <w:t>名称</w:t>
            </w:r>
          </w:p>
        </w:tc>
        <w:tc>
          <w:tcPr>
            <w:tcW w:w="7393" w:type="dxa"/>
            <w:shd w:val="clear" w:color="auto" w:fill="auto"/>
          </w:tcPr>
          <w:p w14:paraId="0660132A">
            <w:pPr>
              <w:pStyle w:val="150"/>
            </w:pPr>
            <w:r>
              <w:rPr>
                <w:rFonts w:hint="eastAsia"/>
              </w:rPr>
              <w:t>限制通道的名称。</w:t>
            </w:r>
          </w:p>
        </w:tc>
      </w:tr>
      <w:tr w14:paraId="761F20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5FCBD3DE">
            <w:pPr>
              <w:pStyle w:val="150"/>
            </w:pPr>
            <w:r>
              <w:rPr>
                <w:rFonts w:hint="eastAsia"/>
              </w:rPr>
              <w:t>带宽设定</w:t>
            </w:r>
          </w:p>
        </w:tc>
        <w:tc>
          <w:tcPr>
            <w:tcW w:w="7393" w:type="dxa"/>
            <w:shd w:val="clear" w:color="auto" w:fill="auto"/>
          </w:tcPr>
          <w:p w14:paraId="298BE00D">
            <w:pPr>
              <w:pStyle w:val="150"/>
            </w:pPr>
            <w:r>
              <w:rPr>
                <w:rFonts w:hint="eastAsia"/>
              </w:rPr>
              <w:t>设定惩罚通道的总带宽。</w:t>
            </w:r>
          </w:p>
        </w:tc>
      </w:tr>
      <w:tr w14:paraId="5A1CC8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23231753">
            <w:pPr>
              <w:pStyle w:val="150"/>
            </w:pPr>
            <w:r>
              <w:rPr>
                <w:rFonts w:hint="eastAsia"/>
              </w:rPr>
              <w:t>出</w:t>
            </w:r>
          </w:p>
        </w:tc>
        <w:tc>
          <w:tcPr>
            <w:tcW w:w="7393" w:type="dxa"/>
            <w:shd w:val="clear" w:color="auto" w:fill="auto"/>
          </w:tcPr>
          <w:p w14:paraId="14429A0E">
            <w:pPr>
              <w:pStyle w:val="150"/>
            </w:pPr>
            <w:r>
              <w:rPr>
                <w:rFonts w:hint="eastAsia"/>
              </w:rPr>
              <w:t>惩罚通道上行流量总带宽。</w:t>
            </w:r>
          </w:p>
        </w:tc>
      </w:tr>
      <w:tr w14:paraId="222460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1D513A45">
            <w:pPr>
              <w:pStyle w:val="150"/>
            </w:pPr>
            <w:r>
              <w:rPr>
                <w:rFonts w:hint="eastAsia"/>
              </w:rPr>
              <w:t>入</w:t>
            </w:r>
          </w:p>
        </w:tc>
        <w:tc>
          <w:tcPr>
            <w:tcW w:w="7393" w:type="dxa"/>
            <w:shd w:val="clear" w:color="auto" w:fill="auto"/>
          </w:tcPr>
          <w:p w14:paraId="503526F5">
            <w:pPr>
              <w:pStyle w:val="150"/>
            </w:pPr>
            <w:r>
              <w:rPr>
                <w:rFonts w:hint="eastAsia"/>
              </w:rPr>
              <w:t>惩罚通道下行流量总带宽。</w:t>
            </w:r>
          </w:p>
        </w:tc>
      </w:tr>
      <w:tr w14:paraId="14AF175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688B13D0">
            <w:pPr>
              <w:pStyle w:val="150"/>
            </w:pPr>
            <w:r>
              <w:rPr>
                <w:rFonts w:hint="eastAsia"/>
              </w:rPr>
              <w:t>每终端限速配置</w:t>
            </w:r>
          </w:p>
        </w:tc>
        <w:tc>
          <w:tcPr>
            <w:tcW w:w="7393" w:type="dxa"/>
            <w:shd w:val="clear" w:color="auto" w:fill="auto"/>
          </w:tcPr>
          <w:p w14:paraId="3A83EE80">
            <w:pPr>
              <w:pStyle w:val="150"/>
            </w:pPr>
            <w:r>
              <w:rPr>
                <w:rFonts w:hint="eastAsia"/>
              </w:rPr>
              <w:t>选择限速的对象：</w:t>
            </w:r>
          </w:p>
          <w:p w14:paraId="72617977">
            <w:pPr>
              <w:pStyle w:val="150"/>
            </w:pPr>
            <w:r>
              <w:rPr>
                <w:rFonts w:hint="eastAsia"/>
              </w:rPr>
              <w:t>每IP限速：根据IP地址进行限速。</w:t>
            </w:r>
          </w:p>
          <w:p w14:paraId="207DC9B0">
            <w:pPr>
              <w:pStyle w:val="150"/>
            </w:pPr>
            <w:r>
              <w:rPr>
                <w:rFonts w:hint="eastAsia"/>
              </w:rPr>
              <w:t>每用户限速：根据用户名进行限速。</w:t>
            </w:r>
          </w:p>
        </w:tc>
      </w:tr>
      <w:tr w14:paraId="71DD22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1C202DFE">
            <w:pPr>
              <w:pStyle w:val="150"/>
            </w:pPr>
            <w:r>
              <w:rPr>
                <w:rFonts w:hint="eastAsia"/>
              </w:rPr>
              <w:t>出</w:t>
            </w:r>
          </w:p>
        </w:tc>
        <w:tc>
          <w:tcPr>
            <w:tcW w:w="7393" w:type="dxa"/>
            <w:shd w:val="clear" w:color="auto" w:fill="auto"/>
          </w:tcPr>
          <w:p w14:paraId="19912FA2">
            <w:pPr>
              <w:pStyle w:val="150"/>
            </w:pPr>
            <w:r>
              <w:rPr>
                <w:rFonts w:hint="eastAsia"/>
              </w:rPr>
              <w:t>每终端流量限制的上行</w:t>
            </w:r>
            <w:r>
              <w:t>流量的最大带宽。</w:t>
            </w:r>
          </w:p>
        </w:tc>
      </w:tr>
      <w:tr w14:paraId="60B4E8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639" w:type="dxa"/>
            <w:shd w:val="clear" w:color="auto" w:fill="auto"/>
          </w:tcPr>
          <w:p w14:paraId="4B8E1C12">
            <w:pPr>
              <w:pStyle w:val="150"/>
            </w:pPr>
            <w:r>
              <w:rPr>
                <w:rFonts w:hint="eastAsia"/>
              </w:rPr>
              <w:t>入</w:t>
            </w:r>
          </w:p>
        </w:tc>
        <w:tc>
          <w:tcPr>
            <w:tcW w:w="7393" w:type="dxa"/>
            <w:shd w:val="clear" w:color="auto" w:fill="auto"/>
          </w:tcPr>
          <w:p w14:paraId="25D7BE86">
            <w:pPr>
              <w:pStyle w:val="150"/>
            </w:pPr>
            <w:r>
              <w:rPr>
                <w:rFonts w:hint="eastAsia"/>
              </w:rPr>
              <w:t>每终端流量限制的下行</w:t>
            </w:r>
            <w:r>
              <w:t>流量的最大带宽。</w:t>
            </w:r>
          </w:p>
        </w:tc>
      </w:tr>
    </w:tbl>
    <w:p w14:paraId="1740D912"/>
    <w:p w14:paraId="2DD44E1F">
      <w:pPr>
        <w:pStyle w:val="4"/>
      </w:pPr>
      <w:bookmarkStart w:id="5377" w:name="_Toc172218500"/>
      <w:bookmarkStart w:id="5378" w:name="_Toc99561853"/>
      <w:bookmarkStart w:id="5379" w:name="_Toc40276216"/>
      <w:bookmarkStart w:id="5380" w:name="_Toc23152783"/>
      <w:bookmarkStart w:id="5381" w:name="_Toc6235294"/>
      <w:bookmarkStart w:id="5382" w:name="_Toc15485019"/>
      <w:bookmarkStart w:id="5383" w:name="_Toc141873721"/>
      <w:bookmarkStart w:id="5384" w:name="_Toc142401238"/>
      <w:bookmarkStart w:id="5385" w:name="_Toc196728318"/>
      <w:bookmarkStart w:id="5386" w:name="_Toc194080986"/>
      <w:r>
        <w:rPr>
          <w:rFonts w:hint="eastAsia"/>
        </w:rPr>
        <w:t>排除策略</w:t>
      </w:r>
      <w:bookmarkEnd w:id="5377"/>
      <w:bookmarkEnd w:id="5378"/>
      <w:bookmarkEnd w:id="5379"/>
      <w:bookmarkEnd w:id="5380"/>
      <w:bookmarkEnd w:id="5381"/>
      <w:bookmarkEnd w:id="5382"/>
      <w:bookmarkEnd w:id="5383"/>
      <w:bookmarkEnd w:id="5384"/>
      <w:bookmarkEnd w:id="5385"/>
      <w:bookmarkEnd w:id="5386"/>
    </w:p>
    <w:p w14:paraId="44C5D926">
      <w:r>
        <w:rPr>
          <w:rFonts w:hint="eastAsia"/>
        </w:rPr>
        <w:t>排除策略是指不对指定的用户或地址执行流量控制策略。</w:t>
      </w:r>
    </w:p>
    <w:p w14:paraId="75285121">
      <w:r>
        <w:rPr>
          <w:rFonts w:hint="eastAsia"/>
        </w:rPr>
        <w:t>在导航栏中选择“策略配置 &gt; 流量控制策略</w:t>
      </w:r>
      <w:r>
        <w:t xml:space="preserve"> &gt; </w:t>
      </w:r>
      <w:r>
        <w:rPr>
          <w:rFonts w:hint="eastAsia"/>
        </w:rPr>
        <w:t>排除策略”，单击</w:t>
      </w:r>
      <w:r>
        <w:t>&lt;</w:t>
      </w:r>
      <w:r>
        <w:rPr>
          <w:rFonts w:hint="eastAsia"/>
        </w:rPr>
        <w:t>新建</w:t>
      </w:r>
      <w:r>
        <w:t>&gt;</w:t>
      </w:r>
      <w:r>
        <w:rPr>
          <w:rFonts w:hint="eastAsia"/>
        </w:rPr>
        <w:t>按钮进入排除策略配置页面。</w:t>
      </w:r>
    </w:p>
    <w:p w14:paraId="26BD6663">
      <w:pPr>
        <w:pStyle w:val="188"/>
      </w:pPr>
      <w:bookmarkStart w:id="5387" w:name="_Toc141875134"/>
      <w:r>
        <w:rPr>
          <w:rFonts w:hint="eastAsia"/>
        </w:rPr>
        <w:t>排除策略</w:t>
      </w:r>
      <w:bookmarkEnd w:id="5387"/>
    </w:p>
    <w:p w14:paraId="4B0DA022">
      <w:pPr>
        <w:spacing w:before="78" w:after="78"/>
      </w:pPr>
      <w:r>
        <w:drawing>
          <wp:inline distT="0" distB="0" distL="0" distR="0">
            <wp:extent cx="5400040" cy="2242185"/>
            <wp:effectExtent l="0" t="0" r="0" b="5715"/>
            <wp:docPr id="825" name="图片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图片 825"/>
                    <pic:cNvPicPr>
                      <a:picLocks noChangeAspect="1"/>
                    </pic:cNvPicPr>
                  </pic:nvPicPr>
                  <pic:blipFill>
                    <a:blip r:embed="rId697"/>
                    <a:stretch>
                      <a:fillRect/>
                    </a:stretch>
                  </pic:blipFill>
                  <pic:spPr>
                    <a:xfrm>
                      <a:off x="0" y="0"/>
                      <a:ext cx="5400040" cy="2242266"/>
                    </a:xfrm>
                    <a:prstGeom prst="rect">
                      <a:avLst/>
                    </a:prstGeom>
                  </pic:spPr>
                </pic:pic>
              </a:graphicData>
            </a:graphic>
          </wp:inline>
        </w:drawing>
      </w:r>
    </w:p>
    <w:p w14:paraId="64C50CB8"/>
    <w:p w14:paraId="7685DCE9">
      <w:pPr>
        <w:pStyle w:val="183"/>
      </w:pPr>
      <w:bookmarkStart w:id="5388" w:name="_Toc141875704"/>
      <w:bookmarkStart w:id="5389" w:name="_Ref393024947"/>
      <w:r>
        <w:rPr>
          <w:rFonts w:hint="eastAsia"/>
        </w:rPr>
        <w:t>排除策略详细配置</w:t>
      </w:r>
      <w:bookmarkEnd w:id="5388"/>
      <w:bookmarkEnd w:id="5389"/>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48"/>
        <w:gridCol w:w="6684"/>
      </w:tblGrid>
      <w:tr w14:paraId="424C75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348" w:type="dxa"/>
            <w:tcBorders>
              <w:tl2br w:val="nil"/>
              <w:tr2bl w:val="nil"/>
            </w:tcBorders>
            <w:shd w:val="clear" w:color="auto" w:fill="538135" w:themeFill="accent6" w:themeFillShade="BF"/>
            <w:vAlign w:val="center"/>
          </w:tcPr>
          <w:p w14:paraId="0878D055">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84" w:type="dxa"/>
            <w:tcBorders>
              <w:tl2br w:val="nil"/>
              <w:tr2bl w:val="nil"/>
            </w:tcBorders>
            <w:shd w:val="clear" w:color="auto" w:fill="538135" w:themeFill="accent6" w:themeFillShade="BF"/>
            <w:vAlign w:val="center"/>
          </w:tcPr>
          <w:p w14:paraId="1DDCFFC2">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78BF7B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348" w:type="dxa"/>
            <w:shd w:val="clear" w:color="auto" w:fill="auto"/>
          </w:tcPr>
          <w:p w14:paraId="0A4EB434">
            <w:pPr>
              <w:pStyle w:val="150"/>
            </w:pPr>
            <w:r>
              <w:rPr>
                <w:rFonts w:hint="eastAsia"/>
              </w:rPr>
              <w:t>用户</w:t>
            </w:r>
          </w:p>
        </w:tc>
        <w:tc>
          <w:tcPr>
            <w:tcW w:w="6684" w:type="dxa"/>
            <w:shd w:val="clear" w:color="auto" w:fill="auto"/>
          </w:tcPr>
          <w:p w14:paraId="0863D3C2">
            <w:pPr>
              <w:pStyle w:val="150"/>
            </w:pPr>
            <w:r>
              <w:rPr>
                <w:rFonts w:hint="eastAsia"/>
              </w:rPr>
              <w:t>用户</w:t>
            </w:r>
            <w:r>
              <w:t>或用户组对象</w:t>
            </w:r>
            <w:r>
              <w:rPr>
                <w:rFonts w:hint="eastAsia"/>
              </w:rPr>
              <w:t>，点击“选择用户”会弹出用户选择框。</w:t>
            </w:r>
          </w:p>
        </w:tc>
      </w:tr>
      <w:tr w14:paraId="6835A23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77" w:hRule="atLeast"/>
        </w:trPr>
        <w:tc>
          <w:tcPr>
            <w:tcW w:w="2348" w:type="dxa"/>
            <w:shd w:val="clear" w:color="auto" w:fill="auto"/>
          </w:tcPr>
          <w:p w14:paraId="64E005FF">
            <w:pPr>
              <w:pStyle w:val="150"/>
            </w:pPr>
            <w:r>
              <w:rPr>
                <w:rFonts w:hint="eastAsia"/>
              </w:rPr>
              <w:t>地址</w:t>
            </w:r>
          </w:p>
        </w:tc>
        <w:tc>
          <w:tcPr>
            <w:tcW w:w="6684" w:type="dxa"/>
            <w:shd w:val="clear" w:color="auto" w:fill="auto"/>
          </w:tcPr>
          <w:p w14:paraId="0153000D">
            <w:pPr>
              <w:pStyle w:val="150"/>
            </w:pPr>
            <w:r>
              <w:rPr>
                <w:rFonts w:hint="eastAsia"/>
              </w:rPr>
              <w:t>地址或地址组对象。</w:t>
            </w:r>
          </w:p>
        </w:tc>
      </w:tr>
    </w:tbl>
    <w:p w14:paraId="6C9D6B0D"/>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37D91C30">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04734C04">
            <w:pPr>
              <w:pStyle w:val="150"/>
              <w:adjustRightInd w:val="0"/>
              <w:snapToGrid w:val="0"/>
              <w:rPr>
                <w:color w:val="auto"/>
              </w:rPr>
            </w:pPr>
            <w:r>
              <w:rPr>
                <w:b/>
                <w:color w:val="auto"/>
              </w:rPr>
              <w:drawing>
                <wp:inline distT="0" distB="0" distL="0" distR="0">
                  <wp:extent cx="283210" cy="283210"/>
                  <wp:effectExtent l="0" t="0" r="2540" b="2540"/>
                  <wp:docPr id="884" name="图片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图片 884"/>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5637DAFE">
            <w:pPr>
              <w:pStyle w:val="150"/>
              <w:adjustRightInd w:val="0"/>
              <w:snapToGrid w:val="0"/>
              <w:rPr>
                <w:color w:val="auto"/>
              </w:rPr>
            </w:pPr>
            <w:r>
              <w:rPr>
                <w:rFonts w:hint="eastAsia"/>
                <w:color w:val="auto"/>
              </w:rPr>
              <w:t>排除策略中用户和地址的关系是“与”，即只对地址范围内的用户流量进行排除。</w:t>
            </w:r>
          </w:p>
        </w:tc>
      </w:tr>
    </w:tbl>
    <w:p w14:paraId="7AAB15FE"/>
    <w:p w14:paraId="1077A50A">
      <w:pPr>
        <w:pStyle w:val="4"/>
      </w:pPr>
      <w:bookmarkStart w:id="5390" w:name="_Toc40276217"/>
      <w:bookmarkStart w:id="5391" w:name="_Toc15485020"/>
      <w:bookmarkStart w:id="5392" w:name="_Toc23152784"/>
      <w:bookmarkStart w:id="5393" w:name="_Toc99561854"/>
      <w:bookmarkStart w:id="5394" w:name="_Toc142401239"/>
      <w:bookmarkStart w:id="5395" w:name="_Toc172218501"/>
      <w:bookmarkStart w:id="5396" w:name="_Toc194080987"/>
      <w:bookmarkStart w:id="5397" w:name="_Toc141873722"/>
      <w:bookmarkStart w:id="5398" w:name="_Toc196728319"/>
      <w:bookmarkStart w:id="5399" w:name="_Toc6235295"/>
      <w:r>
        <w:rPr>
          <w:rFonts w:hint="eastAsia"/>
        </w:rPr>
        <w:t>流量监控</w:t>
      </w:r>
      <w:bookmarkEnd w:id="5390"/>
      <w:bookmarkEnd w:id="5391"/>
      <w:bookmarkEnd w:id="5392"/>
      <w:bookmarkEnd w:id="5393"/>
      <w:bookmarkEnd w:id="5394"/>
      <w:bookmarkEnd w:id="5395"/>
      <w:bookmarkEnd w:id="5396"/>
      <w:bookmarkEnd w:id="5397"/>
      <w:bookmarkEnd w:id="5398"/>
      <w:bookmarkEnd w:id="5399"/>
    </w:p>
    <w:p w14:paraId="59033C89">
      <w:r>
        <w:rPr>
          <w:rFonts w:hint="eastAsia"/>
        </w:rPr>
        <w:t>在导航栏中选择“策略配置 &gt; 流量控制策略</w:t>
      </w:r>
      <w:r>
        <w:t xml:space="preserve"> &gt;</w:t>
      </w:r>
      <w:r>
        <w:rPr>
          <w:rFonts w:hint="eastAsia"/>
        </w:rPr>
        <w:t>流量监控”，可以查看各线路、通道、限制通道以及惩罚通道当前流量速率，如</w:t>
      </w:r>
      <w:r>
        <w:rPr>
          <w:rStyle w:val="375"/>
        </w:rPr>
        <w:t>下图</w:t>
      </w:r>
      <w:r>
        <w:rPr>
          <w:rFonts w:hint="eastAsia"/>
        </w:rPr>
        <w:t>所示。</w:t>
      </w:r>
    </w:p>
    <w:p w14:paraId="6C362DAE">
      <w:pPr>
        <w:pStyle w:val="188"/>
      </w:pPr>
      <w:bookmarkStart w:id="5400" w:name="_Toc141875135"/>
      <w:r>
        <w:rPr>
          <w:rFonts w:hint="eastAsia"/>
        </w:rPr>
        <w:t>流量监控</w:t>
      </w:r>
      <w:bookmarkEnd w:id="5400"/>
    </w:p>
    <w:p w14:paraId="75836B36">
      <w:r>
        <w:drawing>
          <wp:inline distT="0" distB="0" distL="0" distR="0">
            <wp:extent cx="5400040" cy="1487805"/>
            <wp:effectExtent l="0" t="0" r="0" b="0"/>
            <wp:docPr id="827" name="图片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图片 827"/>
                    <pic:cNvPicPr>
                      <a:picLocks noChangeAspect="1"/>
                    </pic:cNvPicPr>
                  </pic:nvPicPr>
                  <pic:blipFill>
                    <a:blip r:embed="rId698"/>
                    <a:stretch>
                      <a:fillRect/>
                    </a:stretch>
                  </pic:blipFill>
                  <pic:spPr>
                    <a:xfrm>
                      <a:off x="0" y="0"/>
                      <a:ext cx="5400040" cy="1488121"/>
                    </a:xfrm>
                    <a:prstGeom prst="rect">
                      <a:avLst/>
                    </a:prstGeom>
                  </pic:spPr>
                </pic:pic>
              </a:graphicData>
            </a:graphic>
          </wp:inline>
        </w:drawing>
      </w:r>
    </w:p>
    <w:p w14:paraId="4DB4F253"/>
    <w:p w14:paraId="31C12FCC">
      <w:r>
        <w:rPr>
          <w:rFonts w:hint="eastAsia"/>
        </w:rPr>
        <w:t>在工具栏中勾选“启用流量详情统计”，点击线路、通道、限制通道以及惩罚通道名称，可以打开流量监控详情页面。</w:t>
      </w:r>
    </w:p>
    <w:p w14:paraId="5B537030">
      <w:pPr>
        <w:pStyle w:val="188"/>
      </w:pPr>
      <w:bookmarkStart w:id="5401" w:name="_Toc141875136"/>
      <w:r>
        <w:rPr>
          <w:rFonts w:hint="eastAsia"/>
        </w:rPr>
        <w:t>流量监控详情页面</w:t>
      </w:r>
      <w:bookmarkEnd w:id="5401"/>
    </w:p>
    <w:p w14:paraId="2B03BB6E">
      <w:pPr>
        <w:spacing w:before="78" w:after="78"/>
      </w:pPr>
      <w:r>
        <w:drawing>
          <wp:inline distT="0" distB="0" distL="114300" distR="114300">
            <wp:extent cx="6115050" cy="3089275"/>
            <wp:effectExtent l="0" t="0" r="6350" b="9525"/>
            <wp:docPr id="82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图片 12"/>
                    <pic:cNvPicPr>
                      <a:picLocks noChangeAspect="1"/>
                    </pic:cNvPicPr>
                  </pic:nvPicPr>
                  <pic:blipFill>
                    <a:blip r:embed="rId699"/>
                    <a:stretch>
                      <a:fillRect/>
                    </a:stretch>
                  </pic:blipFill>
                  <pic:spPr>
                    <a:xfrm>
                      <a:off x="0" y="0"/>
                      <a:ext cx="6115050" cy="3089275"/>
                    </a:xfrm>
                    <a:prstGeom prst="rect">
                      <a:avLst/>
                    </a:prstGeom>
                    <a:noFill/>
                    <a:ln>
                      <a:noFill/>
                    </a:ln>
                  </pic:spPr>
                </pic:pic>
              </a:graphicData>
            </a:graphic>
          </wp:inline>
        </w:drawing>
      </w:r>
    </w:p>
    <w:p w14:paraId="493A2435"/>
    <w:p w14:paraId="568BD666">
      <w:pPr>
        <w:pStyle w:val="4"/>
      </w:pPr>
      <w:bookmarkStart w:id="5402" w:name="_Toc6235297"/>
      <w:bookmarkStart w:id="5403" w:name="_Toc40276219"/>
      <w:bookmarkStart w:id="5404" w:name="_Toc99561856"/>
      <w:bookmarkStart w:id="5405" w:name="_Toc23152786"/>
      <w:bookmarkStart w:id="5406" w:name="_Toc172218502"/>
      <w:bookmarkStart w:id="5407" w:name="_Toc196728320"/>
      <w:bookmarkStart w:id="5408" w:name="_Toc194080988"/>
      <w:bookmarkStart w:id="5409" w:name="_Toc142401240"/>
      <w:bookmarkStart w:id="5410" w:name="_Toc15485022"/>
      <w:bookmarkStart w:id="5411" w:name="_Toc141873723"/>
      <w:r>
        <w:rPr>
          <w:rFonts w:hint="eastAsia"/>
        </w:rPr>
        <w:t>流控策略配置案例</w:t>
      </w:r>
      <w:bookmarkEnd w:id="5402"/>
      <w:bookmarkEnd w:id="5403"/>
      <w:bookmarkEnd w:id="5404"/>
      <w:bookmarkEnd w:id="5405"/>
      <w:bookmarkEnd w:id="5406"/>
      <w:bookmarkEnd w:id="5407"/>
      <w:bookmarkEnd w:id="5408"/>
      <w:bookmarkEnd w:id="5409"/>
      <w:bookmarkEnd w:id="5410"/>
      <w:bookmarkEnd w:id="5411"/>
    </w:p>
    <w:p w14:paraId="4DACFC64">
      <w:pPr>
        <w:pStyle w:val="6"/>
      </w:pPr>
      <w:r>
        <w:rPr>
          <w:rFonts w:hint="eastAsia"/>
        </w:rPr>
        <w:t>组网需求</w:t>
      </w:r>
    </w:p>
    <w:p w14:paraId="005B7368">
      <w:r>
        <w:t>P2P</w:t>
      </w:r>
      <w:r>
        <w:rPr>
          <w:rFonts w:hint="eastAsia"/>
        </w:rPr>
        <w:t>类型的访问流量一般都会很大，会占用大量的公司带宽，导致实时性要求比较高的服务可能会出现延时或丢包，所以需要限制</w:t>
      </w:r>
      <w:r>
        <w:t>P2P</w:t>
      </w:r>
      <w:r>
        <w:rPr>
          <w:rFonts w:hint="eastAsia"/>
        </w:rPr>
        <w:t>访问的上下行带宽为</w:t>
      </w:r>
      <w:r>
        <w:t>2M</w:t>
      </w:r>
      <w:r>
        <w:rPr>
          <w:rFonts w:hint="eastAsia"/>
        </w:rPr>
        <w:t>，同时每用户的</w:t>
      </w:r>
      <w:r>
        <w:t>P2P</w:t>
      </w:r>
      <w:r>
        <w:rPr>
          <w:rFonts w:hint="eastAsia"/>
        </w:rPr>
        <w:t>流量限制1</w:t>
      </w:r>
      <w:r>
        <w:t>00kb</w:t>
      </w:r>
      <w:r>
        <w:rPr>
          <w:rFonts w:hint="eastAsia"/>
        </w:rPr>
        <w:t>，，上级父节点上下行带宽设置为</w:t>
      </w:r>
      <w:r>
        <w:t>1G</w:t>
      </w:r>
      <w:r>
        <w:rPr>
          <w:rFonts w:hint="eastAsia"/>
        </w:rPr>
        <w:t>，针对研发部进行带宽保障，上下行保障带宽均配置为4</w:t>
      </w:r>
      <w:r>
        <w:t>M</w:t>
      </w:r>
      <w:r>
        <w:rPr>
          <w:rFonts w:hint="eastAsia"/>
        </w:rPr>
        <w:t>，最大6</w:t>
      </w:r>
      <w:r>
        <w:t>M</w:t>
      </w:r>
      <w:r>
        <w:rPr>
          <w:rFonts w:hint="eastAsia"/>
        </w:rPr>
        <w:t>。</w:t>
      </w:r>
    </w:p>
    <w:p w14:paraId="4F66FF8C">
      <w:pPr>
        <w:pStyle w:val="6"/>
      </w:pPr>
      <w:r>
        <w:rPr>
          <w:rFonts w:hint="eastAsia"/>
        </w:rPr>
        <w:t>组网图</w:t>
      </w:r>
    </w:p>
    <w:p w14:paraId="3D66827D">
      <w:pPr>
        <w:pStyle w:val="188"/>
      </w:pPr>
      <w:bookmarkStart w:id="5412" w:name="_Toc141875137"/>
      <w:r>
        <w:rPr>
          <w:rFonts w:hint="eastAsia"/>
        </w:rPr>
        <w:t>流控策略配置组网图</w:t>
      </w:r>
      <w:bookmarkEnd w:id="5412"/>
    </w:p>
    <w:p w14:paraId="20A8DB77">
      <w:r>
        <w:drawing>
          <wp:inline distT="0" distB="0" distL="0" distR="0">
            <wp:extent cx="4066540" cy="2780665"/>
            <wp:effectExtent l="0" t="0" r="0" b="635"/>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689"/>
                    <a:stretch>
                      <a:fillRect/>
                    </a:stretch>
                  </pic:blipFill>
                  <pic:spPr>
                    <a:xfrm>
                      <a:off x="0" y="0"/>
                      <a:ext cx="4066667" cy="2780952"/>
                    </a:xfrm>
                    <a:prstGeom prst="rect">
                      <a:avLst/>
                    </a:prstGeom>
                  </pic:spPr>
                </pic:pic>
              </a:graphicData>
            </a:graphic>
          </wp:inline>
        </w:drawing>
      </w:r>
    </w:p>
    <w:p w14:paraId="08F826D8"/>
    <w:p w14:paraId="32F6F24E">
      <w:pPr>
        <w:pStyle w:val="6"/>
      </w:pPr>
      <w:r>
        <w:rPr>
          <w:rFonts w:hint="eastAsia"/>
        </w:rPr>
        <w:t>配置步骤</w:t>
      </w:r>
    </w:p>
    <w:p w14:paraId="46BA58E7">
      <w:pPr>
        <w:pStyle w:val="202"/>
        <w:rPr>
          <w:lang w:eastAsia="zh-CN"/>
        </w:rPr>
      </w:pPr>
      <w:r>
        <w:rPr>
          <w:rFonts w:hint="eastAsia"/>
          <w:lang w:eastAsia="zh-CN"/>
        </w:rPr>
        <w:t>在导航栏中选择“策略配置 &gt; 流量控制策略</w:t>
      </w:r>
      <w:r>
        <w:rPr>
          <w:lang w:eastAsia="zh-CN"/>
        </w:rPr>
        <w:t xml:space="preserve"> &gt;</w:t>
      </w:r>
      <w:r>
        <w:rPr>
          <w:rFonts w:hint="eastAsia"/>
          <w:lang w:eastAsia="zh-CN"/>
        </w:rPr>
        <w:t>流量控制</w:t>
      </w:r>
      <w:r>
        <w:rPr>
          <w:lang w:eastAsia="zh-CN"/>
        </w:rPr>
        <w:t xml:space="preserve"> </w:t>
      </w:r>
      <w:r>
        <w:rPr>
          <w:rFonts w:hint="eastAsia"/>
          <w:lang w:eastAsia="zh-CN"/>
        </w:rPr>
        <w:t>”，单击</w:t>
      </w:r>
      <w:r>
        <w:rPr>
          <w:lang w:eastAsia="zh-CN"/>
        </w:rPr>
        <w:t>&lt;</w:t>
      </w:r>
      <w:r>
        <w:rPr>
          <w:rFonts w:hint="eastAsia"/>
          <w:lang w:eastAsia="zh-CN"/>
        </w:rPr>
        <w:t>新建</w:t>
      </w:r>
      <w:r>
        <w:rPr>
          <w:lang w:eastAsia="zh-CN"/>
        </w:rPr>
        <w:t>&gt;</w:t>
      </w:r>
      <w:r>
        <w:rPr>
          <w:rFonts w:hint="eastAsia"/>
          <w:lang w:eastAsia="zh-CN"/>
        </w:rPr>
        <w:t>按钮，选择&lt;线路</w:t>
      </w:r>
      <w:r>
        <w:rPr>
          <w:lang w:eastAsia="zh-CN"/>
        </w:rPr>
        <w:t>&gt;</w:t>
      </w:r>
      <w:r>
        <w:rPr>
          <w:rFonts w:hint="eastAsia"/>
          <w:lang w:eastAsia="zh-CN"/>
        </w:rPr>
        <w:t>进入线路设置配置页面，如</w:t>
      </w:r>
      <w:r>
        <w:rPr>
          <w:color w:val="0000FF"/>
          <w:u w:val="single"/>
        </w:rPr>
        <w:fldChar w:fldCharType="begin"/>
      </w:r>
      <w:r>
        <w:rPr>
          <w:color w:val="0000FF"/>
          <w:u w:val="single"/>
          <w:lang w:eastAsia="zh-CN"/>
        </w:rPr>
        <w:instrText xml:space="preserve"> </w:instrText>
      </w:r>
      <w:r>
        <w:rPr>
          <w:rFonts w:hint="eastAsia"/>
          <w:color w:val="0000FF"/>
          <w:u w:val="single"/>
          <w:lang w:eastAsia="zh-CN"/>
        </w:rPr>
        <w:instrText xml:space="preserve">REF _Ref393024901 \r \h</w:instrText>
      </w:r>
      <w:r>
        <w:rPr>
          <w:color w:val="0000FF"/>
          <w:u w:val="single"/>
          <w:lang w:eastAsia="zh-CN"/>
        </w:rPr>
        <w:instrText xml:space="preserve"> </w:instrText>
      </w:r>
      <w:r>
        <w:rPr>
          <w:color w:val="0000FF"/>
          <w:u w:val="single"/>
        </w:rPr>
        <w:fldChar w:fldCharType="separate"/>
      </w:r>
      <w:r>
        <w:rPr>
          <w:rFonts w:hint="eastAsia"/>
          <w:color w:val="0000FF"/>
          <w:u w:val="single"/>
          <w:lang w:eastAsia="zh-CN"/>
        </w:rPr>
        <w:t>图18-12</w:t>
      </w:r>
      <w:r>
        <w:rPr>
          <w:color w:val="0000FF"/>
          <w:u w:val="single"/>
        </w:rPr>
        <w:fldChar w:fldCharType="end"/>
      </w:r>
      <w:r>
        <w:rPr>
          <w:rFonts w:hint="eastAsia"/>
          <w:lang w:eastAsia="zh-CN"/>
        </w:rPr>
        <w:t>所示。</w:t>
      </w:r>
    </w:p>
    <w:p w14:paraId="75F16317">
      <w:pPr>
        <w:pStyle w:val="188"/>
      </w:pPr>
      <w:bookmarkStart w:id="5413" w:name="_Ref393024901"/>
      <w:bookmarkStart w:id="5414" w:name="_Toc141875138"/>
      <w:r>
        <w:rPr>
          <w:rFonts w:hint="eastAsia"/>
        </w:rPr>
        <w:t>线路设置</w:t>
      </w:r>
      <w:bookmarkEnd w:id="5413"/>
      <w:bookmarkEnd w:id="5414"/>
    </w:p>
    <w:p w14:paraId="48736D01">
      <w:r>
        <w:drawing>
          <wp:inline distT="0" distB="0" distL="0" distR="0">
            <wp:extent cx="5400040" cy="2767330"/>
            <wp:effectExtent l="0" t="0" r="0" b="0"/>
            <wp:docPr id="830" name="图片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图片 830"/>
                    <pic:cNvPicPr>
                      <a:picLocks noChangeAspect="1"/>
                    </pic:cNvPicPr>
                  </pic:nvPicPr>
                  <pic:blipFill>
                    <a:blip r:embed="rId700"/>
                    <a:stretch>
                      <a:fillRect/>
                    </a:stretch>
                  </pic:blipFill>
                  <pic:spPr>
                    <a:xfrm>
                      <a:off x="0" y="0"/>
                      <a:ext cx="5400040" cy="2767815"/>
                    </a:xfrm>
                    <a:prstGeom prst="rect">
                      <a:avLst/>
                    </a:prstGeom>
                  </pic:spPr>
                </pic:pic>
              </a:graphicData>
            </a:graphic>
          </wp:inline>
        </w:drawing>
      </w:r>
    </w:p>
    <w:p w14:paraId="0F299EC0"/>
    <w:p w14:paraId="4ABBE7FE">
      <w:pPr>
        <w:pStyle w:val="202"/>
        <w:rPr>
          <w:lang w:eastAsia="zh-CN"/>
        </w:rPr>
      </w:pPr>
      <w:r>
        <w:rPr>
          <w:rFonts w:hint="eastAsia"/>
          <w:lang w:eastAsia="zh-CN"/>
        </w:rPr>
        <w:t>创建研发部带宽保障策略，在导航栏中选择“策略配置 &gt; 流量控制策略</w:t>
      </w:r>
      <w:r>
        <w:rPr>
          <w:lang w:eastAsia="zh-CN"/>
        </w:rPr>
        <w:t xml:space="preserve"> &gt; </w:t>
      </w:r>
      <w:r>
        <w:rPr>
          <w:rFonts w:hint="eastAsia"/>
          <w:lang w:eastAsia="zh-CN"/>
        </w:rPr>
        <w:t>流量控制”，单击</w:t>
      </w:r>
      <w:r>
        <w:rPr>
          <w:lang w:eastAsia="zh-CN"/>
        </w:rPr>
        <w:t>&lt;</w:t>
      </w:r>
      <w:r>
        <w:rPr>
          <w:rFonts w:hint="eastAsia"/>
          <w:lang w:eastAsia="zh-CN"/>
        </w:rPr>
        <w:t>新建</w:t>
      </w:r>
      <w:r>
        <w:rPr>
          <w:lang w:eastAsia="zh-CN"/>
        </w:rPr>
        <w:t>&gt;</w:t>
      </w:r>
      <w:r>
        <w:rPr>
          <w:rFonts w:hint="eastAsia"/>
          <w:lang w:eastAsia="zh-CN"/>
        </w:rPr>
        <w:t>按钮，选择&lt;通道</w:t>
      </w:r>
      <w:r>
        <w:rPr>
          <w:lang w:eastAsia="zh-CN"/>
        </w:rPr>
        <w:t>&gt;</w:t>
      </w:r>
      <w:r>
        <w:rPr>
          <w:rFonts w:hint="eastAsia"/>
          <w:lang w:eastAsia="zh-CN"/>
        </w:rPr>
        <w:t>进入通道配置页面，如</w:t>
      </w:r>
      <w:r>
        <w:rPr>
          <w:color w:val="0000FF"/>
          <w:u w:val="single"/>
        </w:rPr>
        <w:fldChar w:fldCharType="begin"/>
      </w:r>
      <w:r>
        <w:rPr>
          <w:color w:val="0000FF"/>
          <w:u w:val="single"/>
          <w:lang w:eastAsia="zh-CN"/>
        </w:rPr>
        <w:instrText xml:space="preserve"> </w:instrText>
      </w:r>
      <w:r>
        <w:rPr>
          <w:rFonts w:hint="eastAsia"/>
          <w:color w:val="0000FF"/>
          <w:u w:val="single"/>
          <w:lang w:eastAsia="zh-CN"/>
        </w:rPr>
        <w:instrText xml:space="preserve">REF _Ref393024890 \r \h</w:instrText>
      </w:r>
      <w:r>
        <w:rPr>
          <w:color w:val="0000FF"/>
          <w:u w:val="single"/>
          <w:lang w:eastAsia="zh-CN"/>
        </w:rPr>
        <w:instrText xml:space="preserve"> </w:instrText>
      </w:r>
      <w:r>
        <w:rPr>
          <w:color w:val="0000FF"/>
          <w:u w:val="single"/>
        </w:rPr>
        <w:fldChar w:fldCharType="separate"/>
      </w:r>
      <w:r>
        <w:rPr>
          <w:rFonts w:hint="eastAsia"/>
          <w:color w:val="0000FF"/>
          <w:u w:val="single"/>
          <w:lang w:eastAsia="zh-CN"/>
        </w:rPr>
        <w:t>图18-13</w:t>
      </w:r>
      <w:r>
        <w:rPr>
          <w:color w:val="0000FF"/>
          <w:u w:val="single"/>
        </w:rPr>
        <w:fldChar w:fldCharType="end"/>
      </w:r>
      <w:r>
        <w:rPr>
          <w:rFonts w:hint="eastAsia"/>
          <w:lang w:eastAsia="zh-CN"/>
        </w:rPr>
        <w:t>所示。</w:t>
      </w:r>
    </w:p>
    <w:p w14:paraId="25BFD69D">
      <w:pPr>
        <w:pStyle w:val="188"/>
      </w:pPr>
      <w:bookmarkStart w:id="5415" w:name="_Toc141875139"/>
      <w:bookmarkStart w:id="5416" w:name="_Ref393024890"/>
      <w:r>
        <w:rPr>
          <w:rFonts w:hint="eastAsia"/>
        </w:rPr>
        <w:t>带宽保障策略配置</w:t>
      </w:r>
      <w:bookmarkEnd w:id="5415"/>
      <w:bookmarkEnd w:id="5416"/>
    </w:p>
    <w:p w14:paraId="4B99089F">
      <w:r>
        <w:drawing>
          <wp:inline distT="0" distB="0" distL="0" distR="0">
            <wp:extent cx="5400040" cy="6398260"/>
            <wp:effectExtent l="0" t="0" r="0" b="2540"/>
            <wp:docPr id="831" name="图片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图片 831"/>
                    <pic:cNvPicPr>
                      <a:picLocks noChangeAspect="1"/>
                    </pic:cNvPicPr>
                  </pic:nvPicPr>
                  <pic:blipFill>
                    <a:blip r:embed="rId701"/>
                    <a:stretch>
                      <a:fillRect/>
                    </a:stretch>
                  </pic:blipFill>
                  <pic:spPr>
                    <a:xfrm>
                      <a:off x="0" y="0"/>
                      <a:ext cx="5400040" cy="6398470"/>
                    </a:xfrm>
                    <a:prstGeom prst="rect">
                      <a:avLst/>
                    </a:prstGeom>
                  </pic:spPr>
                </pic:pic>
              </a:graphicData>
            </a:graphic>
          </wp:inline>
        </w:drawing>
      </w:r>
    </w:p>
    <w:p w14:paraId="48EC8F75"/>
    <w:p w14:paraId="36485139">
      <w:pPr>
        <w:pStyle w:val="202"/>
        <w:rPr>
          <w:lang w:eastAsia="zh-CN"/>
        </w:rPr>
      </w:pPr>
      <w:r>
        <w:rPr>
          <w:rFonts w:hint="eastAsia"/>
          <w:lang w:eastAsia="zh-CN"/>
        </w:rPr>
        <w:t>创建P</w:t>
      </w:r>
      <w:r>
        <w:rPr>
          <w:lang w:eastAsia="zh-CN"/>
        </w:rPr>
        <w:t>2P</w:t>
      </w:r>
      <w:r>
        <w:rPr>
          <w:rFonts w:hint="eastAsia"/>
          <w:lang w:eastAsia="zh-CN"/>
        </w:rPr>
        <w:t>带宽限制策略，在导航栏中选择“策略配置 &gt; 流量控制策略</w:t>
      </w:r>
      <w:r>
        <w:rPr>
          <w:lang w:eastAsia="zh-CN"/>
        </w:rPr>
        <w:t xml:space="preserve"> &gt; </w:t>
      </w:r>
      <w:r>
        <w:rPr>
          <w:rFonts w:hint="eastAsia"/>
          <w:lang w:eastAsia="zh-CN"/>
        </w:rPr>
        <w:t>流量控制”，单击</w:t>
      </w:r>
      <w:r>
        <w:rPr>
          <w:lang w:eastAsia="zh-CN"/>
        </w:rPr>
        <w:t>&lt;</w:t>
      </w:r>
      <w:r>
        <w:rPr>
          <w:rFonts w:hint="eastAsia"/>
          <w:lang w:eastAsia="zh-CN"/>
        </w:rPr>
        <w:t>新建</w:t>
      </w:r>
      <w:r>
        <w:rPr>
          <w:lang w:eastAsia="zh-CN"/>
        </w:rPr>
        <w:t>&gt;</w:t>
      </w:r>
      <w:r>
        <w:rPr>
          <w:rFonts w:hint="eastAsia"/>
          <w:lang w:eastAsia="zh-CN"/>
        </w:rPr>
        <w:t>按钮，选择&lt;限制通道</w:t>
      </w:r>
      <w:r>
        <w:rPr>
          <w:lang w:eastAsia="zh-CN"/>
        </w:rPr>
        <w:t>&gt;</w:t>
      </w:r>
      <w:r>
        <w:rPr>
          <w:rFonts w:hint="eastAsia"/>
          <w:lang w:eastAsia="zh-CN"/>
        </w:rPr>
        <w:t>进入限制通道配置页面，如</w:t>
      </w:r>
      <w:r>
        <w:fldChar w:fldCharType="begin"/>
      </w:r>
      <w:r>
        <w:rPr>
          <w:lang w:eastAsia="zh-CN"/>
        </w:rPr>
        <w:instrText xml:space="preserve"> </w:instrText>
      </w:r>
      <w:r>
        <w:rPr>
          <w:rFonts w:hint="eastAsia"/>
          <w:lang w:eastAsia="zh-CN"/>
        </w:rPr>
        <w:instrText xml:space="preserve">REF _Ref4508738 \r \h</w:instrText>
      </w:r>
      <w:r>
        <w:rPr>
          <w:lang w:eastAsia="zh-CN"/>
        </w:rPr>
        <w:instrText xml:space="preserve"> </w:instrText>
      </w:r>
      <w:r>
        <w:fldChar w:fldCharType="separate"/>
      </w:r>
      <w:r>
        <w:rPr>
          <w:rFonts w:hint="eastAsia"/>
          <w:lang w:eastAsia="zh-CN"/>
        </w:rPr>
        <w:t>图18-14</w:t>
      </w:r>
      <w:r>
        <w:fldChar w:fldCharType="end"/>
      </w:r>
      <w:r>
        <w:rPr>
          <w:rFonts w:hint="eastAsia"/>
          <w:lang w:eastAsia="zh-CN"/>
        </w:rPr>
        <w:t>所示。</w:t>
      </w:r>
    </w:p>
    <w:p w14:paraId="0F60C9C2">
      <w:pPr>
        <w:pStyle w:val="188"/>
      </w:pPr>
      <w:bookmarkStart w:id="5417" w:name="_Toc141875140"/>
      <w:bookmarkStart w:id="5418" w:name="_Ref4508738"/>
      <w:r>
        <w:rPr>
          <w:rFonts w:hint="eastAsia"/>
        </w:rPr>
        <w:t>P</w:t>
      </w:r>
      <w:r>
        <w:t>2P</w:t>
      </w:r>
      <w:r>
        <w:rPr>
          <w:rFonts w:hint="eastAsia"/>
        </w:rPr>
        <w:t>带宽限制配置</w:t>
      </w:r>
      <w:bookmarkEnd w:id="5417"/>
      <w:bookmarkEnd w:id="5418"/>
    </w:p>
    <w:p w14:paraId="0F28C6FC">
      <w:pPr>
        <w:spacing w:before="78" w:after="78"/>
      </w:pPr>
      <w:r>
        <w:drawing>
          <wp:inline distT="0" distB="0" distL="0" distR="0">
            <wp:extent cx="5400040" cy="4241165"/>
            <wp:effectExtent l="0" t="0" r="0" b="6985"/>
            <wp:docPr id="848" name="图片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图片 848"/>
                    <pic:cNvPicPr>
                      <a:picLocks noChangeAspect="1"/>
                    </pic:cNvPicPr>
                  </pic:nvPicPr>
                  <pic:blipFill>
                    <a:blip r:embed="rId702"/>
                    <a:stretch>
                      <a:fillRect/>
                    </a:stretch>
                  </pic:blipFill>
                  <pic:spPr>
                    <a:xfrm>
                      <a:off x="0" y="0"/>
                      <a:ext cx="5400040" cy="4241165"/>
                    </a:xfrm>
                    <a:prstGeom prst="rect">
                      <a:avLst/>
                    </a:prstGeom>
                  </pic:spPr>
                </pic:pic>
              </a:graphicData>
            </a:graphic>
          </wp:inline>
        </w:drawing>
      </w:r>
    </w:p>
    <w:p w14:paraId="2A666B2B"/>
    <w:p w14:paraId="362A1E3F">
      <w:pPr>
        <w:pStyle w:val="6"/>
      </w:pPr>
      <w:r>
        <w:rPr>
          <w:rFonts w:hint="eastAsia"/>
        </w:rPr>
        <w:t>验证配置</w:t>
      </w:r>
    </w:p>
    <w:p w14:paraId="08D7379F">
      <w:r>
        <w:rPr>
          <w:rFonts w:hint="eastAsia"/>
        </w:rPr>
        <w:t>配置完成后，在流量监控页面查看，确认</w:t>
      </w:r>
      <w:r>
        <w:t>P2P</w:t>
      </w:r>
      <w:r>
        <w:rPr>
          <w:rFonts w:hint="eastAsia"/>
        </w:rPr>
        <w:t>访问的最大流量为</w:t>
      </w:r>
      <w:r>
        <w:t>2M</w:t>
      </w:r>
      <w:r>
        <w:rPr>
          <w:rFonts w:hint="eastAsia"/>
        </w:rPr>
        <w:t>，研发部流量为</w:t>
      </w:r>
      <w:r>
        <w:t>4M</w:t>
      </w:r>
      <w:r>
        <w:rPr>
          <w:rFonts w:hint="eastAsia"/>
        </w:rPr>
        <w:t>-</w:t>
      </w:r>
      <w:r>
        <w:t>6M</w:t>
      </w:r>
      <w:r>
        <w:rPr>
          <w:rFonts w:hint="eastAsia"/>
        </w:rPr>
        <w:t>之间。如</w:t>
      </w:r>
      <w:r>
        <w:fldChar w:fldCharType="begin"/>
      </w:r>
      <w:r>
        <w:instrText xml:space="preserve"> </w:instrText>
      </w:r>
      <w:r>
        <w:rPr>
          <w:rFonts w:hint="eastAsia"/>
        </w:rPr>
        <w:instrText xml:space="preserve">REF _Ref4508796 \r \h</w:instrText>
      </w:r>
      <w:r>
        <w:instrText xml:space="preserve"> </w:instrText>
      </w:r>
      <w:r>
        <w:fldChar w:fldCharType="separate"/>
      </w:r>
      <w:r>
        <w:rPr>
          <w:rFonts w:hint="eastAsia"/>
        </w:rPr>
        <w:t>图18-15</w:t>
      </w:r>
      <w:r>
        <w:fldChar w:fldCharType="end"/>
      </w:r>
      <w:r>
        <w:rPr>
          <w:rFonts w:hint="eastAsia"/>
        </w:rPr>
        <w:t>所示。</w:t>
      </w:r>
    </w:p>
    <w:p w14:paraId="437D9558">
      <w:pPr>
        <w:pStyle w:val="188"/>
      </w:pPr>
      <w:bookmarkStart w:id="5419" w:name="_Ref4508796"/>
      <w:bookmarkStart w:id="5420" w:name="_Toc141875141"/>
      <w:r>
        <w:rPr>
          <w:rFonts w:hint="eastAsia"/>
        </w:rPr>
        <w:t>流量</w:t>
      </w:r>
      <w:r>
        <w:t>监控</w:t>
      </w:r>
      <w:bookmarkEnd w:id="5419"/>
      <w:bookmarkEnd w:id="5420"/>
    </w:p>
    <w:p w14:paraId="43D72EDB">
      <w:r>
        <w:drawing>
          <wp:inline distT="0" distB="0" distL="0" distR="0">
            <wp:extent cx="5629275" cy="1116330"/>
            <wp:effectExtent l="0" t="0" r="0" b="762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703"/>
                    <a:stretch>
                      <a:fillRect/>
                    </a:stretch>
                  </pic:blipFill>
                  <pic:spPr>
                    <a:xfrm>
                      <a:off x="0" y="0"/>
                      <a:ext cx="5668517" cy="1124412"/>
                    </a:xfrm>
                    <a:prstGeom prst="rect">
                      <a:avLst/>
                    </a:prstGeom>
                  </pic:spPr>
                </pic:pic>
              </a:graphicData>
            </a:graphic>
          </wp:inline>
        </w:drawing>
      </w:r>
    </w:p>
    <w:p w14:paraId="312D51E4">
      <w:pPr>
        <w:jc w:val="left"/>
      </w:pPr>
      <w:r>
        <w:br w:type="page"/>
      </w:r>
    </w:p>
    <w:p w14:paraId="32AB5280">
      <w:pPr>
        <w:pStyle w:val="3"/>
      </w:pPr>
      <w:bookmarkStart w:id="5421" w:name="_Toc40276221"/>
      <w:bookmarkStart w:id="5422" w:name="_Toc99561858"/>
      <w:bookmarkStart w:id="5423" w:name="_Ref141814018"/>
      <w:bookmarkStart w:id="5424" w:name="_Toc6235317"/>
      <w:bookmarkStart w:id="5425" w:name="_Toc141873724"/>
      <w:bookmarkStart w:id="5426" w:name="_Toc142401241"/>
      <w:bookmarkStart w:id="5427" w:name="_Toc23152788"/>
      <w:bookmarkStart w:id="5428" w:name="_Toc196728321"/>
      <w:bookmarkStart w:id="5429" w:name="_Toc172218503"/>
      <w:bookmarkStart w:id="5430" w:name="_Toc194080989"/>
      <w:bookmarkStart w:id="5431" w:name="_Toc15485024"/>
      <w:r>
        <w:rPr>
          <w:rFonts w:hint="eastAsia"/>
        </w:rPr>
        <w:t>用户限额策略</w:t>
      </w:r>
      <w:bookmarkEnd w:id="5421"/>
      <w:bookmarkEnd w:id="5422"/>
      <w:bookmarkEnd w:id="5423"/>
      <w:bookmarkEnd w:id="5424"/>
      <w:bookmarkEnd w:id="5425"/>
      <w:bookmarkEnd w:id="5426"/>
      <w:bookmarkEnd w:id="5427"/>
      <w:bookmarkEnd w:id="5428"/>
      <w:bookmarkEnd w:id="5429"/>
      <w:bookmarkEnd w:id="5430"/>
      <w:bookmarkEnd w:id="5431"/>
    </w:p>
    <w:p w14:paraId="7188B497">
      <w:pPr>
        <w:pStyle w:val="4"/>
      </w:pPr>
      <w:bookmarkStart w:id="5432" w:name="_Toc6235318"/>
      <w:bookmarkStart w:id="5433" w:name="_Toc99561859"/>
      <w:bookmarkStart w:id="5434" w:name="_Toc40276222"/>
      <w:bookmarkStart w:id="5435" w:name="_Toc194080990"/>
      <w:bookmarkStart w:id="5436" w:name="_Toc141873725"/>
      <w:bookmarkStart w:id="5437" w:name="_Toc23152789"/>
      <w:bookmarkStart w:id="5438" w:name="_Toc142401242"/>
      <w:bookmarkStart w:id="5439" w:name="_Toc172218504"/>
      <w:bookmarkStart w:id="5440" w:name="_Toc196728322"/>
      <w:bookmarkStart w:id="5441" w:name="_Toc15485025"/>
      <w:r>
        <w:rPr>
          <w:rFonts w:hint="eastAsia"/>
        </w:rPr>
        <w:t>限额策略概述</w:t>
      </w:r>
      <w:bookmarkEnd w:id="5432"/>
      <w:bookmarkEnd w:id="5433"/>
      <w:bookmarkEnd w:id="5434"/>
      <w:bookmarkEnd w:id="5435"/>
      <w:bookmarkEnd w:id="5436"/>
      <w:bookmarkEnd w:id="5437"/>
      <w:bookmarkEnd w:id="5438"/>
      <w:bookmarkEnd w:id="5439"/>
      <w:bookmarkEnd w:id="5440"/>
      <w:bookmarkEnd w:id="5441"/>
    </w:p>
    <w:p w14:paraId="2484F89F">
      <w:r>
        <w:rPr>
          <w:rFonts w:hint="eastAsia"/>
        </w:rPr>
        <w:t>限额策略能够对符合匹配条件的用户进行上网时长、上网流量以及上网流速进行监控和限制</w:t>
      </w:r>
      <w:r>
        <w:t>，</w:t>
      </w:r>
      <w:r>
        <w:rPr>
          <w:rFonts w:hint="eastAsia"/>
        </w:rPr>
        <w:t>在</w:t>
      </w:r>
      <w:r>
        <w:t>达到监控阈值后</w:t>
      </w:r>
      <w:r>
        <w:rPr>
          <w:rFonts w:hint="eastAsia"/>
        </w:rPr>
        <w:t>对</w:t>
      </w:r>
      <w:r>
        <w:t>用户</w:t>
      </w:r>
      <w:r>
        <w:rPr>
          <w:rFonts w:hint="eastAsia"/>
        </w:rPr>
        <w:t>进行</w:t>
      </w:r>
      <w:r>
        <w:t>惩罚</w:t>
      </w:r>
      <w:r>
        <w:rPr>
          <w:rFonts w:hint="eastAsia"/>
        </w:rPr>
        <w:t>限速</w:t>
      </w:r>
      <w:r>
        <w:t>或禁止上</w:t>
      </w:r>
      <w:r>
        <w:rPr>
          <w:rFonts w:hint="eastAsia"/>
        </w:rPr>
        <w:t>网</w:t>
      </w:r>
      <w:r>
        <w:t>，</w:t>
      </w:r>
      <w:r>
        <w:rPr>
          <w:rFonts w:hint="eastAsia"/>
        </w:rPr>
        <w:t>以确保网络资源的合理分配和高效使用。</w:t>
      </w:r>
    </w:p>
    <w:p w14:paraId="1C42B7AB">
      <w:r>
        <w:rPr>
          <w:rFonts w:hint="eastAsia"/>
        </w:rPr>
        <w:t>例如当用户当天使用的流控超过500MB的时候，才进行惩罚</w:t>
      </w:r>
      <w:r>
        <w:t>限速</w:t>
      </w:r>
      <w:r>
        <w:rPr>
          <w:rFonts w:hint="eastAsia"/>
        </w:rPr>
        <w:t>。这样的好处是，用户不超过日（月</w:t>
      </w:r>
      <w:r>
        <w:t>）</w:t>
      </w:r>
      <w:r>
        <w:rPr>
          <w:rFonts w:hint="eastAsia"/>
        </w:rPr>
        <w:t>限额的情况下，可以自由的使用网络带宽。当超过的时候，通过惩罚</w:t>
      </w:r>
      <w:r>
        <w:t>通道</w:t>
      </w:r>
      <w:r>
        <w:rPr>
          <w:rFonts w:hint="eastAsia"/>
        </w:rPr>
        <w:t>，能够让用户进入到一个较为低速通道里。</w:t>
      </w:r>
    </w:p>
    <w:p w14:paraId="468CCEAC">
      <w:r>
        <w:rPr>
          <w:rFonts w:hint="eastAsia"/>
        </w:rPr>
        <w:t>限额策略可以针对同一个匹配条件的用户进行上网时长、上网流量以及上网流速进行监控和限制：</w:t>
      </w:r>
    </w:p>
    <w:p w14:paraId="22E17520">
      <w:pPr>
        <w:pStyle w:val="162"/>
      </w:pPr>
      <w:r>
        <w:rPr>
          <w:rFonts w:hint="eastAsia"/>
        </w:rPr>
        <w:t>流量</w:t>
      </w:r>
      <w:r>
        <w:t>限额：</w:t>
      </w:r>
      <w:r>
        <w:rPr>
          <w:rFonts w:hint="eastAsia"/>
        </w:rPr>
        <w:t>支持</w:t>
      </w:r>
      <w:r>
        <w:t>日限额</w:t>
      </w:r>
      <w:r>
        <w:rPr>
          <w:rFonts w:hint="eastAsia"/>
        </w:rPr>
        <w:t>和月</w:t>
      </w:r>
      <w:r>
        <w:t>限额</w:t>
      </w:r>
      <w:r>
        <w:rPr>
          <w:rFonts w:hint="eastAsia"/>
        </w:rPr>
        <w:t>。</w:t>
      </w:r>
    </w:p>
    <w:p w14:paraId="3E5721E5">
      <w:pPr>
        <w:pStyle w:val="162"/>
      </w:pPr>
      <w:r>
        <w:t>时长限额：</w:t>
      </w:r>
      <w:r>
        <w:rPr>
          <w:rFonts w:hint="eastAsia"/>
        </w:rPr>
        <w:t>支持</w:t>
      </w:r>
      <w:r>
        <w:t>日限额</w:t>
      </w:r>
      <w:r>
        <w:rPr>
          <w:rFonts w:hint="eastAsia"/>
        </w:rPr>
        <w:t>和</w:t>
      </w:r>
      <w:r>
        <w:t>月限额</w:t>
      </w:r>
      <w:r>
        <w:rPr>
          <w:rFonts w:hint="eastAsia"/>
        </w:rPr>
        <w:t>。</w:t>
      </w:r>
    </w:p>
    <w:p w14:paraId="2FBC1CCB">
      <w:pPr>
        <w:pStyle w:val="162"/>
      </w:pPr>
      <w:r>
        <w:t>流速限额</w:t>
      </w:r>
      <w:r>
        <w:rPr>
          <w:rFonts w:hint="eastAsia"/>
        </w:rPr>
        <w:t>：可配置流速的阈值和持续时间，通过流量计算流速，当用户上网的流速超过阈值的持续时间大于策略配置的持续时间则进行惩罚，达到惩罚时间后被惩罚通道释放并重新开始计时。</w:t>
      </w:r>
    </w:p>
    <w:p w14:paraId="5EA95FFA">
      <w:pPr>
        <w:pStyle w:val="4"/>
      </w:pPr>
      <w:bookmarkStart w:id="5442" w:name="_Toc23152790"/>
      <w:bookmarkStart w:id="5443" w:name="_Toc40276223"/>
      <w:bookmarkStart w:id="5444" w:name="_Toc6235319"/>
      <w:bookmarkStart w:id="5445" w:name="_Toc15485026"/>
      <w:bookmarkStart w:id="5446" w:name="_Toc99561860"/>
      <w:bookmarkStart w:id="5447" w:name="_Toc141873726"/>
      <w:bookmarkStart w:id="5448" w:name="_Toc142401243"/>
      <w:bookmarkStart w:id="5449" w:name="_Toc172218505"/>
      <w:bookmarkStart w:id="5450" w:name="_Toc194080991"/>
      <w:bookmarkStart w:id="5451" w:name="_Toc196728323"/>
      <w:r>
        <w:rPr>
          <w:rFonts w:hint="eastAsia"/>
        </w:rPr>
        <w:t>限额策略</w:t>
      </w:r>
      <w:bookmarkEnd w:id="5442"/>
      <w:bookmarkEnd w:id="5443"/>
      <w:bookmarkEnd w:id="5444"/>
      <w:bookmarkEnd w:id="5445"/>
      <w:bookmarkEnd w:id="5446"/>
      <w:bookmarkEnd w:id="5447"/>
      <w:bookmarkEnd w:id="5448"/>
      <w:bookmarkEnd w:id="5449"/>
      <w:bookmarkEnd w:id="5450"/>
      <w:bookmarkEnd w:id="5451"/>
    </w:p>
    <w:p w14:paraId="22D3D78F">
      <w:r>
        <w:rPr>
          <w:rFonts w:hint="eastAsia"/>
        </w:rPr>
        <w:t>在导航栏中选择“策略配置&gt;用户限额策略</w:t>
      </w:r>
      <w:r>
        <w:t>&gt;</w:t>
      </w:r>
      <w:r>
        <w:rPr>
          <w:rFonts w:hint="eastAsia"/>
        </w:rPr>
        <w:t>限额策略”，单击“新建”进入限额策略配置界面，如</w:t>
      </w:r>
      <w:r>
        <w:rPr>
          <w:color w:val="0000FF"/>
          <w:u w:val="single"/>
        </w:rPr>
        <w:fldChar w:fldCharType="begin"/>
      </w:r>
      <w:r>
        <w:rPr>
          <w:color w:val="0000FF"/>
          <w:u w:val="single"/>
        </w:rPr>
        <w:instrText xml:space="preserve"> </w:instrText>
      </w:r>
      <w:r>
        <w:rPr>
          <w:rFonts w:hint="eastAsia"/>
          <w:color w:val="0000FF"/>
          <w:u w:val="single"/>
        </w:rPr>
        <w:instrText xml:space="preserve">REF _Ref496865900 \r \h</w:instrText>
      </w:r>
      <w:r>
        <w:rPr>
          <w:color w:val="0000FF"/>
          <w:u w:val="single"/>
        </w:rPr>
        <w:instrText xml:space="preserve"> </w:instrText>
      </w:r>
      <w:r>
        <w:rPr>
          <w:color w:val="0000FF"/>
          <w:u w:val="single"/>
        </w:rPr>
        <w:fldChar w:fldCharType="separate"/>
      </w:r>
      <w:r>
        <w:rPr>
          <w:rFonts w:hint="eastAsia"/>
          <w:color w:val="0000FF"/>
          <w:u w:val="single"/>
        </w:rPr>
        <w:t>图19-1</w:t>
      </w:r>
      <w:r>
        <w:rPr>
          <w:color w:val="0000FF"/>
          <w:u w:val="single"/>
        </w:rPr>
        <w:fldChar w:fldCharType="end"/>
      </w:r>
      <w:r>
        <w:rPr>
          <w:rFonts w:hint="eastAsia"/>
        </w:rPr>
        <w:t>所示。限额</w:t>
      </w:r>
      <w:r>
        <w:t>策略</w:t>
      </w:r>
      <w:r>
        <w:rPr>
          <w:rFonts w:hint="eastAsia"/>
        </w:rPr>
        <w:t>详细配置说明，如</w:t>
      </w:r>
      <w:r>
        <w:fldChar w:fldCharType="begin"/>
      </w:r>
      <w:r>
        <w:instrText xml:space="preserve"> </w:instrText>
      </w:r>
      <w:r>
        <w:rPr>
          <w:rFonts w:hint="eastAsia"/>
        </w:rPr>
        <w:instrText xml:space="preserve">REF _Ref4510922 \r \h</w:instrText>
      </w:r>
      <w:r>
        <w:instrText xml:space="preserve"> </w:instrText>
      </w:r>
      <w:r>
        <w:fldChar w:fldCharType="separate"/>
      </w:r>
      <w:r>
        <w:rPr>
          <w:rFonts w:hint="eastAsia"/>
        </w:rPr>
        <w:t>表19-1</w:t>
      </w:r>
      <w:r>
        <w:fldChar w:fldCharType="end"/>
      </w:r>
      <w:r>
        <w:rPr>
          <w:rFonts w:hint="eastAsia"/>
        </w:rPr>
        <w:t>所示。</w:t>
      </w:r>
    </w:p>
    <w:p w14:paraId="34014558">
      <w:pPr>
        <w:pStyle w:val="188"/>
      </w:pPr>
      <w:bookmarkStart w:id="5452" w:name="_Toc141875142"/>
      <w:bookmarkStart w:id="5453" w:name="_Ref496865900"/>
      <w:r>
        <w:rPr>
          <w:rFonts w:hint="eastAsia"/>
        </w:rPr>
        <w:t>配置限额策略</w:t>
      </w:r>
      <w:bookmarkEnd w:id="5452"/>
      <w:bookmarkEnd w:id="5453"/>
    </w:p>
    <w:p w14:paraId="2FCE03E2">
      <w:r>
        <w:drawing>
          <wp:inline distT="0" distB="0" distL="0" distR="0">
            <wp:extent cx="5324475" cy="5962015"/>
            <wp:effectExtent l="0" t="0" r="0" b="635"/>
            <wp:docPr id="1296485337" name="图片 129648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37" name="图片 1296485337"/>
                    <pic:cNvPicPr>
                      <a:picLocks noChangeAspect="1"/>
                    </pic:cNvPicPr>
                  </pic:nvPicPr>
                  <pic:blipFill>
                    <a:blip r:embed="rId704"/>
                    <a:stretch>
                      <a:fillRect/>
                    </a:stretch>
                  </pic:blipFill>
                  <pic:spPr>
                    <a:xfrm>
                      <a:off x="0" y="0"/>
                      <a:ext cx="5326579" cy="5964840"/>
                    </a:xfrm>
                    <a:prstGeom prst="rect">
                      <a:avLst/>
                    </a:prstGeom>
                  </pic:spPr>
                </pic:pic>
              </a:graphicData>
            </a:graphic>
          </wp:inline>
        </w:drawing>
      </w:r>
    </w:p>
    <w:p w14:paraId="0D77B073">
      <w:r>
        <w:drawing>
          <wp:inline distT="0" distB="0" distL="0" distR="0">
            <wp:extent cx="5543550" cy="3093720"/>
            <wp:effectExtent l="0" t="0" r="0" b="0"/>
            <wp:docPr id="1296485338" name="图片 1296485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38" name="图片 1296485338"/>
                    <pic:cNvPicPr>
                      <a:picLocks noChangeAspect="1"/>
                    </pic:cNvPicPr>
                  </pic:nvPicPr>
                  <pic:blipFill>
                    <a:blip r:embed="rId705"/>
                    <a:stretch>
                      <a:fillRect/>
                    </a:stretch>
                  </pic:blipFill>
                  <pic:spPr>
                    <a:xfrm>
                      <a:off x="0" y="0"/>
                      <a:ext cx="5549056" cy="3097201"/>
                    </a:xfrm>
                    <a:prstGeom prst="rect">
                      <a:avLst/>
                    </a:prstGeom>
                  </pic:spPr>
                </pic:pic>
              </a:graphicData>
            </a:graphic>
          </wp:inline>
        </w:drawing>
      </w:r>
    </w:p>
    <w:p w14:paraId="43B8D9DC">
      <w:pPr>
        <w:pStyle w:val="183"/>
      </w:pPr>
      <w:bookmarkStart w:id="5454" w:name="_Ref4510922"/>
      <w:bookmarkStart w:id="5455" w:name="_Toc141875705"/>
      <w:r>
        <w:rPr>
          <w:rFonts w:hint="eastAsia"/>
        </w:rPr>
        <w:t>限额策略详细配置</w:t>
      </w:r>
      <w:bookmarkEnd w:id="5454"/>
      <w:bookmarkEnd w:id="5455"/>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2"/>
        <w:gridCol w:w="6638"/>
      </w:tblGrid>
      <w:tr w14:paraId="3850D1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2" w:type="dxa"/>
            <w:tcBorders>
              <w:tl2br w:val="nil"/>
              <w:tr2bl w:val="nil"/>
            </w:tcBorders>
            <w:shd w:val="clear" w:color="auto" w:fill="538135" w:themeFill="accent6" w:themeFillShade="BF"/>
            <w:vAlign w:val="center"/>
          </w:tcPr>
          <w:p w14:paraId="258A9B99">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38" w:type="dxa"/>
            <w:tcBorders>
              <w:tl2br w:val="nil"/>
              <w:tr2bl w:val="nil"/>
            </w:tcBorders>
            <w:shd w:val="clear" w:color="auto" w:fill="538135" w:themeFill="accent6" w:themeFillShade="BF"/>
            <w:vAlign w:val="center"/>
          </w:tcPr>
          <w:p w14:paraId="51800BC8">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9349A7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2" w:type="dxa"/>
            <w:shd w:val="clear" w:color="auto" w:fill="auto"/>
          </w:tcPr>
          <w:p w14:paraId="0F792733">
            <w:pPr>
              <w:pStyle w:val="150"/>
            </w:pPr>
            <w:r>
              <w:rPr>
                <w:rFonts w:hint="eastAsia"/>
              </w:rPr>
              <w:t>启用</w:t>
            </w:r>
          </w:p>
        </w:tc>
        <w:tc>
          <w:tcPr>
            <w:tcW w:w="6638" w:type="dxa"/>
            <w:shd w:val="clear" w:color="auto" w:fill="auto"/>
          </w:tcPr>
          <w:p w14:paraId="35E18EEB">
            <w:pPr>
              <w:pStyle w:val="150"/>
            </w:pPr>
            <w:r>
              <w:rPr>
                <w:rFonts w:hint="eastAsia"/>
              </w:rPr>
              <w:t>勾选复选框在创建完成后立即启用该条策略。</w:t>
            </w:r>
          </w:p>
        </w:tc>
      </w:tr>
      <w:tr w14:paraId="6FAB6D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2" w:type="dxa"/>
            <w:shd w:val="clear" w:color="auto" w:fill="auto"/>
          </w:tcPr>
          <w:p w14:paraId="6216EA46">
            <w:pPr>
              <w:pStyle w:val="150"/>
            </w:pPr>
            <w:r>
              <w:rPr>
                <w:rFonts w:hint="eastAsia"/>
              </w:rPr>
              <w:t>日志</w:t>
            </w:r>
          </w:p>
        </w:tc>
        <w:tc>
          <w:tcPr>
            <w:tcW w:w="6638" w:type="dxa"/>
            <w:shd w:val="clear" w:color="auto" w:fill="auto"/>
          </w:tcPr>
          <w:p w14:paraId="242662DD">
            <w:pPr>
              <w:pStyle w:val="150"/>
            </w:pPr>
            <w:r>
              <w:rPr>
                <w:rFonts w:hint="eastAsia"/>
              </w:rPr>
              <w:t>勾选复选框在命中该条策略后生成日志。</w:t>
            </w:r>
          </w:p>
        </w:tc>
      </w:tr>
      <w:tr w14:paraId="251C82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2" w:type="dxa"/>
            <w:shd w:val="clear" w:color="auto" w:fill="auto"/>
          </w:tcPr>
          <w:p w14:paraId="1E88870F">
            <w:pPr>
              <w:pStyle w:val="150"/>
            </w:pPr>
            <w:r>
              <w:rPr>
                <w:rFonts w:hint="eastAsia"/>
              </w:rPr>
              <w:t>名称</w:t>
            </w:r>
          </w:p>
        </w:tc>
        <w:tc>
          <w:tcPr>
            <w:tcW w:w="6638" w:type="dxa"/>
            <w:shd w:val="clear" w:color="auto" w:fill="auto"/>
          </w:tcPr>
          <w:p w14:paraId="76B1FBF9">
            <w:pPr>
              <w:pStyle w:val="150"/>
            </w:pPr>
            <w:r>
              <w:rPr>
                <w:rFonts w:hint="eastAsia"/>
              </w:rPr>
              <w:t>输入限额策略的名称。</w:t>
            </w:r>
          </w:p>
        </w:tc>
      </w:tr>
      <w:tr w14:paraId="649918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2" w:type="dxa"/>
            <w:shd w:val="clear" w:color="auto" w:fill="auto"/>
          </w:tcPr>
          <w:p w14:paraId="51B923CC">
            <w:pPr>
              <w:pStyle w:val="150"/>
            </w:pPr>
            <w:r>
              <w:rPr>
                <w:rFonts w:hint="eastAsia"/>
              </w:rPr>
              <w:t>描述</w:t>
            </w:r>
          </w:p>
        </w:tc>
        <w:tc>
          <w:tcPr>
            <w:tcW w:w="6638" w:type="dxa"/>
            <w:shd w:val="clear" w:color="auto" w:fill="auto"/>
          </w:tcPr>
          <w:p w14:paraId="469F33F5">
            <w:pPr>
              <w:pStyle w:val="150"/>
            </w:pPr>
            <w:r>
              <w:rPr>
                <w:rFonts w:hint="eastAsia"/>
              </w:rPr>
              <w:t>输入限额策略的描述信息（可选）。</w:t>
            </w:r>
          </w:p>
        </w:tc>
      </w:tr>
      <w:tr w14:paraId="4FCE94D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2" w:type="dxa"/>
            <w:shd w:val="clear" w:color="auto" w:fill="auto"/>
          </w:tcPr>
          <w:p w14:paraId="605149D8">
            <w:pPr>
              <w:pStyle w:val="150"/>
            </w:pPr>
            <w:r>
              <w:t>匹配条件</w:t>
            </w:r>
          </w:p>
        </w:tc>
        <w:tc>
          <w:tcPr>
            <w:tcW w:w="6638" w:type="dxa"/>
            <w:shd w:val="clear" w:color="auto" w:fill="auto"/>
          </w:tcPr>
          <w:p w14:paraId="298AE060">
            <w:pPr>
              <w:pStyle w:val="150"/>
            </w:pPr>
            <w:r>
              <w:rPr>
                <w:rFonts w:hint="eastAsia"/>
              </w:rPr>
              <w:t>基于用户、源/目的地址、时间、应用等条件对流量进行匹配，对匹配的流量执行策略中指定的限额措施。有关上述对象配置的更多信息，请参考用户管理、地址对象、时间对象、服务对象、应用对象。</w:t>
            </w:r>
          </w:p>
        </w:tc>
      </w:tr>
      <w:tr w14:paraId="4D6845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8970" w:type="dxa"/>
            <w:gridSpan w:val="2"/>
            <w:shd w:val="clear" w:color="auto" w:fill="auto"/>
          </w:tcPr>
          <w:p w14:paraId="433117BB">
            <w:pPr>
              <w:pStyle w:val="150"/>
            </w:pPr>
            <w:r>
              <w:rPr>
                <w:rFonts w:hint="eastAsia"/>
              </w:rPr>
              <w:t>限额类型</w:t>
            </w:r>
          </w:p>
        </w:tc>
      </w:tr>
      <w:tr w14:paraId="4429FD3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2" w:type="dxa"/>
            <w:shd w:val="clear" w:color="auto" w:fill="auto"/>
          </w:tcPr>
          <w:p w14:paraId="342D5DE3">
            <w:pPr>
              <w:pStyle w:val="150"/>
            </w:pPr>
            <w:r>
              <w:rPr>
                <w:rFonts w:hint="eastAsia"/>
              </w:rPr>
              <w:t>每月起始时间</w:t>
            </w:r>
          </w:p>
        </w:tc>
        <w:tc>
          <w:tcPr>
            <w:tcW w:w="6638" w:type="dxa"/>
            <w:shd w:val="clear" w:color="auto" w:fill="auto"/>
          </w:tcPr>
          <w:p w14:paraId="4B778B5B">
            <w:pPr>
              <w:pStyle w:val="150"/>
            </w:pPr>
            <w:r>
              <w:rPr>
                <w:rFonts w:hint="eastAsia"/>
              </w:rPr>
              <w:t>为流量月限额和时长月限额配置每月起始时间，仅对流量配额和时长配额生效。</w:t>
            </w:r>
          </w:p>
        </w:tc>
      </w:tr>
      <w:tr w14:paraId="00BBC54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2" w:type="dxa"/>
            <w:shd w:val="clear" w:color="auto" w:fill="auto"/>
          </w:tcPr>
          <w:p w14:paraId="19E535E7">
            <w:pPr>
              <w:pStyle w:val="150"/>
            </w:pPr>
            <w:r>
              <w:t>流量配额</w:t>
            </w:r>
          </w:p>
        </w:tc>
        <w:tc>
          <w:tcPr>
            <w:tcW w:w="6638" w:type="dxa"/>
            <w:shd w:val="clear" w:color="auto" w:fill="auto"/>
          </w:tcPr>
          <w:p w14:paraId="0951947F">
            <w:pPr>
              <w:pStyle w:val="150"/>
            </w:pPr>
            <w:r>
              <w:rPr>
                <w:rFonts w:hint="eastAsia"/>
              </w:rPr>
              <w:t>启用：开启后基于用户的每日/每月使用流量进行限制。</w:t>
            </w:r>
          </w:p>
          <w:p w14:paraId="19BA7ABF">
            <w:pPr>
              <w:pStyle w:val="150"/>
            </w:pPr>
            <w:r>
              <w:rPr>
                <w:rFonts w:hint="eastAsia"/>
              </w:rPr>
              <w:t>日限额：设置流量配额的每日额度；</w:t>
            </w:r>
          </w:p>
          <w:p w14:paraId="2203A41E">
            <w:pPr>
              <w:pStyle w:val="150"/>
            </w:pPr>
            <w:r>
              <w:rPr>
                <w:rFonts w:hint="eastAsia"/>
              </w:rPr>
              <w:t>月限额：设置流量配额的每月额度。</w:t>
            </w:r>
          </w:p>
        </w:tc>
      </w:tr>
      <w:tr w14:paraId="503E39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2" w:type="dxa"/>
            <w:shd w:val="clear" w:color="auto" w:fill="auto"/>
          </w:tcPr>
          <w:p w14:paraId="3E8B047D">
            <w:pPr>
              <w:pStyle w:val="150"/>
            </w:pPr>
            <w:r>
              <w:t>时长配额</w:t>
            </w:r>
          </w:p>
        </w:tc>
        <w:tc>
          <w:tcPr>
            <w:tcW w:w="6638" w:type="dxa"/>
            <w:shd w:val="clear" w:color="auto" w:fill="auto"/>
          </w:tcPr>
          <w:p w14:paraId="7637F9E3">
            <w:pPr>
              <w:pStyle w:val="150"/>
            </w:pPr>
            <w:r>
              <w:rPr>
                <w:rFonts w:hint="eastAsia"/>
              </w:rPr>
              <w:t>启用：开启后基于用户的上网时长进行限制。</w:t>
            </w:r>
          </w:p>
          <w:p w14:paraId="5C7A73E5">
            <w:pPr>
              <w:pStyle w:val="150"/>
            </w:pPr>
            <w:r>
              <w:rPr>
                <w:rFonts w:hint="eastAsia"/>
              </w:rPr>
              <w:t>日限额：设置时长配额的每日额度；</w:t>
            </w:r>
          </w:p>
          <w:p w14:paraId="60BD10E6">
            <w:pPr>
              <w:pStyle w:val="150"/>
            </w:pPr>
            <w:r>
              <w:rPr>
                <w:rFonts w:hint="eastAsia"/>
              </w:rPr>
              <w:t>月限额：设置时长配额的每月额度。</w:t>
            </w:r>
          </w:p>
        </w:tc>
      </w:tr>
      <w:tr w14:paraId="567A81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2" w:type="dxa"/>
            <w:shd w:val="clear" w:color="auto" w:fill="auto"/>
          </w:tcPr>
          <w:p w14:paraId="7E28E81B">
            <w:pPr>
              <w:pStyle w:val="150"/>
            </w:pPr>
            <w:r>
              <w:t>流速限制</w:t>
            </w:r>
          </w:p>
        </w:tc>
        <w:tc>
          <w:tcPr>
            <w:tcW w:w="6638" w:type="dxa"/>
            <w:shd w:val="clear" w:color="auto" w:fill="auto"/>
          </w:tcPr>
          <w:p w14:paraId="025D494D">
            <w:pPr>
              <w:pStyle w:val="150"/>
            </w:pPr>
            <w:r>
              <w:rPr>
                <w:rFonts w:hint="eastAsia"/>
              </w:rPr>
              <w:t>启用：开启后基于用户的流速进行限制。</w:t>
            </w:r>
          </w:p>
          <w:p w14:paraId="4FD1BB41">
            <w:pPr>
              <w:pStyle w:val="150"/>
            </w:pPr>
            <w:r>
              <w:rPr>
                <w:rFonts w:hint="eastAsia"/>
              </w:rPr>
              <w:t>流量阈值：设置流速限制的流量大小；</w:t>
            </w:r>
          </w:p>
          <w:p w14:paraId="3C0993DE">
            <w:pPr>
              <w:pStyle w:val="150"/>
            </w:pPr>
            <w:r>
              <w:rPr>
                <w:rFonts w:hint="eastAsia"/>
              </w:rPr>
              <w:t>持续时间：设置流速限制的监控时间。</w:t>
            </w:r>
          </w:p>
        </w:tc>
      </w:tr>
      <w:tr w14:paraId="726801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2" w:type="dxa"/>
            <w:shd w:val="clear" w:color="auto" w:fill="auto"/>
          </w:tcPr>
          <w:p w14:paraId="34CD44AE">
            <w:pPr>
              <w:pStyle w:val="150"/>
            </w:pPr>
            <w:r>
              <w:rPr>
                <w:rFonts w:hint="eastAsia"/>
              </w:rPr>
              <w:t>限额超出处理</w:t>
            </w:r>
          </w:p>
        </w:tc>
        <w:tc>
          <w:tcPr>
            <w:tcW w:w="6638" w:type="dxa"/>
            <w:shd w:val="clear" w:color="auto" w:fill="auto"/>
          </w:tcPr>
          <w:p w14:paraId="41D08C98">
            <w:pPr>
              <w:pStyle w:val="150"/>
            </w:pPr>
            <w:r>
              <w:rPr>
                <w:rFonts w:hint="eastAsia"/>
              </w:rPr>
              <w:t>设置用户流量或上网时长超出限额后执行的操作。</w:t>
            </w:r>
          </w:p>
          <w:p w14:paraId="78AE84B3">
            <w:pPr>
              <w:pStyle w:val="150"/>
            </w:pPr>
            <w:r>
              <w:rPr>
                <w:rFonts w:hint="eastAsia"/>
              </w:rPr>
              <w:t>提醒设置：开启该功能后，用户上网流量或时长达到指定阈值时，设备将定期向用户重新定向到提醒页面。可在系统菜单点击“策略配置</w:t>
            </w:r>
            <w:r>
              <w:t>&gt;</w:t>
            </w:r>
            <w:r>
              <w:rPr>
                <w:rFonts w:hint="eastAsia"/>
              </w:rPr>
              <w:t>对象管理</w:t>
            </w:r>
            <w:r>
              <w:t>&gt;</w:t>
            </w:r>
            <w:r>
              <w:rPr>
                <w:rFonts w:hint="eastAsia"/>
              </w:rPr>
              <w:t>公告页面</w:t>
            </w:r>
            <w:r>
              <w:t>&gt;</w:t>
            </w:r>
            <w:r>
              <w:rPr>
                <w:rFonts w:hint="eastAsia"/>
              </w:rPr>
              <w:t>其他页面</w:t>
            </w:r>
            <w:r>
              <w:t>&gt;</w:t>
            </w:r>
            <w:r>
              <w:rPr>
                <w:rFonts w:hint="eastAsia"/>
              </w:rPr>
              <w:t>限额策略”自定义限额提醒页面。</w:t>
            </w:r>
          </w:p>
          <w:p w14:paraId="5A25ACEE">
            <w:pPr>
              <w:pStyle w:val="150"/>
            </w:pPr>
            <w:r>
              <w:rPr>
                <w:rFonts w:hint="eastAsia"/>
              </w:rPr>
              <w:t>惩罚设置：设置用户达到上网流量或时长限额后的惩罚措施及惩罚时长，包括将该用户的所有后续流量都引流到惩罚通道，或禁止用户上网。有关惩罚通道配置的更多信息，请参考</w:t>
            </w:r>
            <w:r>
              <w:fldChar w:fldCharType="begin"/>
            </w:r>
            <w:r>
              <w:instrText xml:space="preserve"> </w:instrText>
            </w:r>
            <w:r>
              <w:rPr>
                <w:rFonts w:hint="eastAsia"/>
              </w:rPr>
              <w:instrText xml:space="preserve">REF _Ref166849792 \h</w:instrText>
            </w:r>
            <w:r>
              <w:instrText xml:space="preserve">  \* MERGEFORMAT </w:instrText>
            </w:r>
            <w:r>
              <w:fldChar w:fldCharType="separate"/>
            </w:r>
            <w:r>
              <w:rPr>
                <w:rFonts w:hint="eastAsia"/>
              </w:rPr>
              <w:t>惩罚通道</w:t>
            </w:r>
            <w:r>
              <w:fldChar w:fldCharType="end"/>
            </w:r>
            <w:r>
              <w:rPr>
                <w:rFonts w:hint="eastAsia"/>
              </w:rPr>
              <w:t>。</w:t>
            </w:r>
          </w:p>
        </w:tc>
      </w:tr>
    </w:tbl>
    <w:p w14:paraId="1B0E5994"/>
    <w:p w14:paraId="108F40BC">
      <w:pPr>
        <w:pStyle w:val="4"/>
      </w:pPr>
      <w:bookmarkStart w:id="5456" w:name="_Toc23152791"/>
      <w:bookmarkStart w:id="5457" w:name="_Toc172218506"/>
      <w:bookmarkStart w:id="5458" w:name="_Toc194080992"/>
      <w:bookmarkStart w:id="5459" w:name="_Toc6235320"/>
      <w:bookmarkStart w:id="5460" w:name="_Toc99561861"/>
      <w:bookmarkStart w:id="5461" w:name="_Toc196728324"/>
      <w:bookmarkStart w:id="5462" w:name="_Toc142401244"/>
      <w:bookmarkStart w:id="5463" w:name="_Toc141873727"/>
      <w:bookmarkStart w:id="5464" w:name="_Toc15485027"/>
      <w:bookmarkStart w:id="5465" w:name="_Toc40276224"/>
      <w:r>
        <w:rPr>
          <w:rFonts w:hint="eastAsia"/>
        </w:rPr>
        <w:t>限额用户</w:t>
      </w:r>
      <w:r>
        <w:t>统计</w:t>
      </w:r>
      <w:bookmarkEnd w:id="5456"/>
      <w:bookmarkEnd w:id="5457"/>
      <w:bookmarkEnd w:id="5458"/>
      <w:bookmarkEnd w:id="5459"/>
      <w:bookmarkEnd w:id="5460"/>
      <w:bookmarkEnd w:id="5461"/>
      <w:bookmarkEnd w:id="5462"/>
      <w:bookmarkEnd w:id="5463"/>
      <w:bookmarkEnd w:id="5464"/>
      <w:bookmarkEnd w:id="5465"/>
    </w:p>
    <w:p w14:paraId="62B32816">
      <w:r>
        <w:rPr>
          <w:rFonts w:hint="eastAsia"/>
        </w:rPr>
        <w:t>在导航栏中选择“策略配置&gt;用户限额策略</w:t>
      </w:r>
      <w:r>
        <w:t xml:space="preserve"> &gt;</w:t>
      </w:r>
      <w:r>
        <w:rPr>
          <w:rFonts w:hint="eastAsia"/>
        </w:rPr>
        <w:t>限额</w:t>
      </w:r>
      <w:r>
        <w:t>用户统计</w:t>
      </w:r>
      <w:r>
        <w:rPr>
          <w:rFonts w:hint="eastAsia"/>
        </w:rPr>
        <w:t>”，可以查看限额</w:t>
      </w:r>
      <w:r>
        <w:t>用户流量或在线时长统计情况</w:t>
      </w:r>
      <w:r>
        <w:rPr>
          <w:rFonts w:hint="eastAsia"/>
        </w:rPr>
        <w:t>，如</w:t>
      </w:r>
      <w:r>
        <w:fldChar w:fldCharType="begin"/>
      </w:r>
      <w:r>
        <w:instrText xml:space="preserve"> </w:instrText>
      </w:r>
      <w:r>
        <w:rPr>
          <w:rFonts w:hint="eastAsia"/>
        </w:rPr>
        <w:instrText xml:space="preserve">REF _Ref4510933 \r \h</w:instrText>
      </w:r>
      <w:r>
        <w:instrText xml:space="preserve"> </w:instrText>
      </w:r>
      <w:r>
        <w:fldChar w:fldCharType="separate"/>
      </w:r>
      <w:r>
        <w:rPr>
          <w:rFonts w:hint="eastAsia"/>
        </w:rPr>
        <w:t>图19-2</w:t>
      </w:r>
      <w:r>
        <w:fldChar w:fldCharType="end"/>
      </w:r>
      <w:r>
        <w:rPr>
          <w:rFonts w:hint="eastAsia"/>
        </w:rPr>
        <w:t>所示。限额用户</w:t>
      </w:r>
      <w:r>
        <w:t>统计详细</w:t>
      </w:r>
      <w:r>
        <w:rPr>
          <w:rFonts w:hint="eastAsia"/>
        </w:rPr>
        <w:t>说明，如</w:t>
      </w:r>
      <w:r>
        <w:fldChar w:fldCharType="begin"/>
      </w:r>
      <w:r>
        <w:instrText xml:space="preserve"> </w:instrText>
      </w:r>
      <w:r>
        <w:rPr>
          <w:rFonts w:hint="eastAsia"/>
        </w:rPr>
        <w:instrText xml:space="preserve">REF _Ref4510940 \r \h</w:instrText>
      </w:r>
      <w:r>
        <w:instrText xml:space="preserve"> </w:instrText>
      </w:r>
      <w:r>
        <w:fldChar w:fldCharType="separate"/>
      </w:r>
      <w:r>
        <w:rPr>
          <w:rFonts w:hint="eastAsia"/>
        </w:rPr>
        <w:t>表19-1</w:t>
      </w:r>
      <w:r>
        <w:fldChar w:fldCharType="end"/>
      </w:r>
      <w:r>
        <w:rPr>
          <w:rFonts w:hint="eastAsia"/>
        </w:rPr>
        <w:t>所示。</w:t>
      </w:r>
    </w:p>
    <w:p w14:paraId="0E15D240">
      <w:pPr>
        <w:pStyle w:val="188"/>
      </w:pPr>
      <w:bookmarkStart w:id="5466" w:name="_Ref4510933"/>
      <w:bookmarkStart w:id="5467" w:name="_Toc141875143"/>
      <w:r>
        <w:rPr>
          <w:rFonts w:hint="eastAsia"/>
        </w:rPr>
        <w:t>限额</w:t>
      </w:r>
      <w:r>
        <w:t>用户</w:t>
      </w:r>
      <w:r>
        <w:rPr>
          <w:rFonts w:hint="eastAsia"/>
        </w:rPr>
        <w:t>统计</w:t>
      </w:r>
      <w:bookmarkEnd w:id="5466"/>
      <w:bookmarkEnd w:id="5467"/>
    </w:p>
    <w:p w14:paraId="762F9732">
      <w:r>
        <w:drawing>
          <wp:inline distT="0" distB="0" distL="0" distR="0">
            <wp:extent cx="5591175" cy="728980"/>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706"/>
                    <a:stretch>
                      <a:fillRect/>
                    </a:stretch>
                  </pic:blipFill>
                  <pic:spPr>
                    <a:xfrm>
                      <a:off x="0" y="0"/>
                      <a:ext cx="5615619" cy="732320"/>
                    </a:xfrm>
                    <a:prstGeom prst="rect">
                      <a:avLst/>
                    </a:prstGeom>
                  </pic:spPr>
                </pic:pic>
              </a:graphicData>
            </a:graphic>
          </wp:inline>
        </w:drawing>
      </w:r>
    </w:p>
    <w:p w14:paraId="1AC850FA"/>
    <w:p w14:paraId="11D74B62">
      <w:pPr>
        <w:pStyle w:val="183"/>
      </w:pPr>
      <w:bookmarkStart w:id="5468" w:name="_Ref4510940"/>
      <w:bookmarkStart w:id="5469" w:name="_Toc141875706"/>
      <w:r>
        <w:rPr>
          <w:rFonts w:hint="eastAsia"/>
        </w:rPr>
        <w:t>限额用户</w:t>
      </w:r>
      <w:r>
        <w:t>统计详细说明</w:t>
      </w:r>
      <w:bookmarkEnd w:id="5468"/>
      <w:bookmarkEnd w:id="5469"/>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4"/>
        <w:gridCol w:w="6636"/>
      </w:tblGrid>
      <w:tr w14:paraId="61882D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4" w:type="dxa"/>
            <w:tcBorders>
              <w:tl2br w:val="nil"/>
              <w:tr2bl w:val="nil"/>
            </w:tcBorders>
            <w:shd w:val="clear" w:color="auto" w:fill="538135" w:themeFill="accent6" w:themeFillShade="BF"/>
            <w:vAlign w:val="center"/>
          </w:tcPr>
          <w:p w14:paraId="0B73A9CC">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36" w:type="dxa"/>
            <w:tcBorders>
              <w:tl2br w:val="nil"/>
              <w:tr2bl w:val="nil"/>
            </w:tcBorders>
            <w:shd w:val="clear" w:color="auto" w:fill="538135" w:themeFill="accent6" w:themeFillShade="BF"/>
            <w:vAlign w:val="center"/>
          </w:tcPr>
          <w:p w14:paraId="6F45BD9D">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12C9C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4" w:type="dxa"/>
            <w:shd w:val="clear" w:color="auto" w:fill="auto"/>
          </w:tcPr>
          <w:p w14:paraId="403F4AE0">
            <w:pPr>
              <w:pStyle w:val="150"/>
            </w:pPr>
            <w:r>
              <w:rPr>
                <w:rFonts w:hint="eastAsia"/>
              </w:rPr>
              <w:t>用户</w:t>
            </w:r>
          </w:p>
        </w:tc>
        <w:tc>
          <w:tcPr>
            <w:tcW w:w="6636" w:type="dxa"/>
            <w:shd w:val="clear" w:color="auto" w:fill="auto"/>
          </w:tcPr>
          <w:p w14:paraId="57285408">
            <w:pPr>
              <w:pStyle w:val="150"/>
            </w:pPr>
            <w:r>
              <w:rPr>
                <w:rFonts w:hint="eastAsia"/>
              </w:rPr>
              <w:t>显示用户</w:t>
            </w:r>
            <w:r>
              <w:t>账号或用户</w:t>
            </w:r>
            <w:r>
              <w:rPr>
                <w:rFonts w:hint="eastAsia"/>
              </w:rPr>
              <w:t>IP。</w:t>
            </w:r>
          </w:p>
        </w:tc>
      </w:tr>
      <w:tr w14:paraId="44D9082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4" w:type="dxa"/>
            <w:shd w:val="clear" w:color="auto" w:fill="auto"/>
          </w:tcPr>
          <w:p w14:paraId="678B6C1B">
            <w:pPr>
              <w:pStyle w:val="150"/>
            </w:pPr>
            <w:r>
              <w:rPr>
                <w:rFonts w:hint="eastAsia"/>
              </w:rPr>
              <w:t>策略</w:t>
            </w:r>
            <w:r>
              <w:t>名</w:t>
            </w:r>
          </w:p>
        </w:tc>
        <w:tc>
          <w:tcPr>
            <w:tcW w:w="6636" w:type="dxa"/>
            <w:shd w:val="clear" w:color="auto" w:fill="auto"/>
          </w:tcPr>
          <w:p w14:paraId="6ABF3820">
            <w:pPr>
              <w:pStyle w:val="150"/>
            </w:pPr>
            <w:r>
              <w:rPr>
                <w:rFonts w:hint="eastAsia"/>
              </w:rPr>
              <w:t>匹配</w:t>
            </w:r>
            <w:r>
              <w:t>的限额策略名称</w:t>
            </w:r>
            <w:r>
              <w:rPr>
                <w:rFonts w:hint="eastAsia"/>
              </w:rPr>
              <w:t>。</w:t>
            </w:r>
          </w:p>
        </w:tc>
      </w:tr>
      <w:tr w14:paraId="0924F3E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4" w:type="dxa"/>
            <w:shd w:val="clear" w:color="auto" w:fill="auto"/>
          </w:tcPr>
          <w:p w14:paraId="551B9D68">
            <w:pPr>
              <w:pStyle w:val="150"/>
            </w:pPr>
            <w:r>
              <w:rPr>
                <w:rFonts w:hint="eastAsia"/>
              </w:rPr>
              <w:t>流量</w:t>
            </w:r>
            <w:r>
              <w:t>额度｜时长</w:t>
            </w:r>
          </w:p>
        </w:tc>
        <w:tc>
          <w:tcPr>
            <w:tcW w:w="6636" w:type="dxa"/>
            <w:shd w:val="clear" w:color="auto" w:fill="auto"/>
          </w:tcPr>
          <w:p w14:paraId="1F7290AD">
            <w:pPr>
              <w:pStyle w:val="150"/>
            </w:pPr>
            <w:r>
              <w:rPr>
                <w:rFonts w:hint="eastAsia"/>
              </w:rPr>
              <w:t>限额</w:t>
            </w:r>
            <w:r>
              <w:t>策略中配置的流量阈值或时长阈值</w:t>
            </w:r>
            <w:r>
              <w:rPr>
                <w:rFonts w:hint="eastAsia"/>
              </w:rPr>
              <w:t>，包含</w:t>
            </w:r>
            <w:r>
              <w:t>日限额和月限额</w:t>
            </w:r>
            <w:r>
              <w:rPr>
                <w:rFonts w:hint="eastAsia"/>
              </w:rPr>
              <w:t>。</w:t>
            </w:r>
          </w:p>
        </w:tc>
      </w:tr>
      <w:tr w14:paraId="765ECEF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4" w:type="dxa"/>
            <w:shd w:val="clear" w:color="auto" w:fill="auto"/>
          </w:tcPr>
          <w:p w14:paraId="69AE6B9D">
            <w:pPr>
              <w:pStyle w:val="150"/>
            </w:pPr>
            <w:r>
              <w:rPr>
                <w:rFonts w:hint="eastAsia"/>
              </w:rPr>
              <w:t>实际流量</w:t>
            </w:r>
            <w:r>
              <w:t>统计｜在线时长</w:t>
            </w:r>
          </w:p>
        </w:tc>
        <w:tc>
          <w:tcPr>
            <w:tcW w:w="6636" w:type="dxa"/>
            <w:shd w:val="clear" w:color="auto" w:fill="auto"/>
          </w:tcPr>
          <w:p w14:paraId="63635FCB">
            <w:pPr>
              <w:pStyle w:val="150"/>
            </w:pPr>
            <w:r>
              <w:rPr>
                <w:rFonts w:hint="eastAsia"/>
              </w:rPr>
              <w:t>当前</w:t>
            </w:r>
            <w:r>
              <w:t>实时流量或在线时长的统计</w:t>
            </w:r>
            <w:r>
              <w:rPr>
                <w:rFonts w:hint="eastAsia"/>
              </w:rPr>
              <w:t>，包含</w:t>
            </w:r>
            <w:r>
              <w:t>日限额和月限额。</w:t>
            </w:r>
          </w:p>
        </w:tc>
      </w:tr>
      <w:tr w14:paraId="26B7D7A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34" w:type="dxa"/>
            <w:shd w:val="clear" w:color="auto" w:fill="auto"/>
          </w:tcPr>
          <w:p w14:paraId="2E36492C">
            <w:pPr>
              <w:pStyle w:val="150"/>
            </w:pPr>
            <w:r>
              <w:rPr>
                <w:rFonts w:hint="eastAsia"/>
              </w:rPr>
              <w:t>网络访问</w:t>
            </w:r>
            <w:r>
              <w:t>状态</w:t>
            </w:r>
          </w:p>
        </w:tc>
        <w:tc>
          <w:tcPr>
            <w:tcW w:w="6636" w:type="dxa"/>
            <w:shd w:val="clear" w:color="auto" w:fill="auto"/>
          </w:tcPr>
          <w:p w14:paraId="73A1F16D">
            <w:pPr>
              <w:pStyle w:val="150"/>
            </w:pPr>
            <w:r>
              <w:rPr>
                <w:rFonts w:hint="eastAsia"/>
              </w:rPr>
              <w:t>当前</w:t>
            </w:r>
            <w:r>
              <w:t>用户网络访问状态，</w:t>
            </w:r>
            <w:r>
              <w:rPr>
                <w:rFonts w:hint="eastAsia"/>
              </w:rPr>
              <w:t>包含</w:t>
            </w:r>
            <w:r>
              <w:t>禁止上网、限速、正常上网</w:t>
            </w:r>
            <w:r>
              <w:rPr>
                <w:rFonts w:hint="eastAsia"/>
              </w:rPr>
              <w:t>。</w:t>
            </w:r>
          </w:p>
        </w:tc>
      </w:tr>
    </w:tbl>
    <w:p w14:paraId="75D85790"/>
    <w:p w14:paraId="07A416DE">
      <w:pPr>
        <w:pStyle w:val="3"/>
      </w:pPr>
      <w:bookmarkStart w:id="5470" w:name="_Toc40276227"/>
      <w:bookmarkStart w:id="5471" w:name="_Toc194080993"/>
      <w:bookmarkStart w:id="5472" w:name="_Toc142401245"/>
      <w:bookmarkStart w:id="5473" w:name="_Toc141873728"/>
      <w:bookmarkStart w:id="5474" w:name="_Toc494295571"/>
      <w:bookmarkStart w:id="5475" w:name="_Toc15485030"/>
      <w:bookmarkStart w:id="5476" w:name="_Toc196728325"/>
      <w:bookmarkStart w:id="5477" w:name="_Toc23152794"/>
      <w:bookmarkStart w:id="5478" w:name="_Toc172218507"/>
      <w:bookmarkStart w:id="5479" w:name="_Toc99561864"/>
      <w:bookmarkStart w:id="5480" w:name="_Toc11687390"/>
      <w:r>
        <w:rPr>
          <w:rFonts w:hint="eastAsia"/>
        </w:rPr>
        <w:t>SSL解密策略</w:t>
      </w:r>
      <w:bookmarkEnd w:id="5470"/>
      <w:bookmarkEnd w:id="5471"/>
      <w:bookmarkEnd w:id="5472"/>
      <w:bookmarkEnd w:id="5473"/>
      <w:bookmarkEnd w:id="5474"/>
      <w:bookmarkEnd w:id="5475"/>
      <w:bookmarkEnd w:id="5476"/>
      <w:bookmarkEnd w:id="5477"/>
      <w:bookmarkEnd w:id="5478"/>
      <w:bookmarkEnd w:id="5479"/>
      <w:bookmarkEnd w:id="5480"/>
    </w:p>
    <w:p w14:paraId="3D0DF753">
      <w:pPr>
        <w:pStyle w:val="4"/>
      </w:pPr>
      <w:bookmarkStart w:id="5481" w:name="_Toc142401246"/>
      <w:bookmarkStart w:id="5482" w:name="_Toc40276228"/>
      <w:bookmarkStart w:id="5483" w:name="_Toc172218508"/>
      <w:bookmarkStart w:id="5484" w:name="_Toc194080994"/>
      <w:bookmarkStart w:id="5485" w:name="_Toc196728326"/>
      <w:bookmarkStart w:id="5486" w:name="_Toc23152795"/>
      <w:bookmarkStart w:id="5487" w:name="_Toc15485031"/>
      <w:bookmarkStart w:id="5488" w:name="_Toc141873729"/>
      <w:bookmarkStart w:id="5489" w:name="_Toc494295572"/>
      <w:bookmarkStart w:id="5490" w:name="_Toc11687391"/>
      <w:bookmarkStart w:id="5491" w:name="_Toc99561865"/>
      <w:r>
        <w:rPr>
          <w:rFonts w:hint="eastAsia"/>
        </w:rPr>
        <w:t>概述</w:t>
      </w:r>
      <w:bookmarkEnd w:id="5481"/>
      <w:bookmarkEnd w:id="5482"/>
      <w:bookmarkEnd w:id="5483"/>
      <w:bookmarkEnd w:id="5484"/>
      <w:bookmarkEnd w:id="5485"/>
      <w:bookmarkEnd w:id="5486"/>
      <w:bookmarkEnd w:id="5487"/>
      <w:bookmarkEnd w:id="5488"/>
      <w:bookmarkEnd w:id="5489"/>
      <w:bookmarkEnd w:id="5490"/>
      <w:bookmarkEnd w:id="5491"/>
    </w:p>
    <w:p w14:paraId="5BD5F93A">
      <w:r>
        <w:t>随着网络技术的快速发展</w:t>
      </w:r>
      <w:r>
        <w:rPr>
          <w:rFonts w:hint="eastAsia"/>
        </w:rPr>
        <w:t>，越来越多的企业或网站采用SSL对流量进行加密传输，从而保障数据传输的安全性和隐私性。而随之而来的是利用这种加密方式泄露企业敏感信息的可能性也越来越大，同时也为非法用户利用加密流量进行恶意网络攻击提供了可乘之机。而早期的安全设备无法对加密的数据进行安全检测和审计，成为企业网络安全的盲点。</w:t>
      </w:r>
    </w:p>
    <w:p w14:paraId="3AC70A40">
      <w:r>
        <w:rPr>
          <w:rFonts w:hint="eastAsia"/>
        </w:rPr>
        <w:t>通过在设备上配置SSL解密策略，对匹配成功的报文进行SSL代理，可以对加密流量进行解密，再对解密后的流量进行管控和审计。完成流量审计后，对放行的报文重新进行加密并发送到目的服务器，保障数据的安全。对于安全检测未通过的流量，进行阻断操作，有效拦截基于SSL的加密流量攻击。</w:t>
      </w:r>
    </w:p>
    <w:p w14:paraId="00E10D79">
      <w:pPr>
        <w:pStyle w:val="4"/>
      </w:pPr>
      <w:bookmarkStart w:id="5492" w:name="_Toc172302596"/>
      <w:bookmarkStart w:id="5493" w:name="_Toc194080995"/>
      <w:bookmarkStart w:id="5494" w:name="_Toc196728327"/>
      <w:r>
        <w:rPr>
          <w:rFonts w:hint="eastAsia"/>
        </w:rPr>
        <w:t>应用场景</w:t>
      </w:r>
      <w:bookmarkEnd w:id="5492"/>
      <w:bookmarkEnd w:id="5493"/>
      <w:bookmarkEnd w:id="5494"/>
    </w:p>
    <w:p w14:paraId="54CE94BA">
      <w:r>
        <w:rPr>
          <w:rFonts w:hint="eastAsia"/>
        </w:rPr>
        <w:t>设备的SSL解密功能支持客户端解密和服务器解密两种场景，用户可以根据实际的网络部署情况合理配置检测策略来决定哪些流量需要解密，哪些流量不解密。</w:t>
      </w:r>
    </w:p>
    <w:p w14:paraId="142C7F23">
      <w:pPr>
        <w:pStyle w:val="5"/>
      </w:pPr>
      <w:bookmarkStart w:id="5495" w:name="_Toc172302597"/>
      <w:bookmarkStart w:id="5496" w:name="_Toc196728328"/>
      <w:bookmarkStart w:id="5497" w:name="_Toc194080996"/>
      <w:r>
        <w:rPr>
          <w:rFonts w:hint="eastAsia"/>
        </w:rPr>
        <w:t>客户端解密</w:t>
      </w:r>
      <w:bookmarkEnd w:id="5495"/>
      <w:bookmarkEnd w:id="5496"/>
      <w:bookmarkEnd w:id="5497"/>
    </w:p>
    <w:p w14:paraId="0A161F4F">
      <w:r>
        <w:rPr>
          <w:rFonts w:hint="eastAsia"/>
        </w:rPr>
        <w:t>保护客户端一般用于内网客户端访问外网服务器的场景，设备需要对加密流量进行安全检测，防止企业敏感信息通过加密方式传输出去，造成信息的泄露，还可以保护内网用户免受外部恶意网站的攻击，如下图所示。</w:t>
      </w:r>
    </w:p>
    <w:p w14:paraId="0DBBD904">
      <w:pPr>
        <w:pStyle w:val="188"/>
      </w:pPr>
      <w:r>
        <w:rPr>
          <w:rFonts w:hint="eastAsia"/>
        </w:rPr>
        <w:t>客户端解密场景</w:t>
      </w:r>
    </w:p>
    <w:p w14:paraId="7A813495">
      <w:pPr>
        <w:pStyle w:val="175"/>
      </w:pPr>
      <w:r>
        <w:drawing>
          <wp:inline distT="0" distB="0" distL="0" distR="0">
            <wp:extent cx="4048125" cy="2181225"/>
            <wp:effectExtent l="0" t="0" r="9525" b="9525"/>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14"/>
                    <pic:cNvPicPr>
                      <a:picLocks noChangeAspect="1"/>
                    </pic:cNvPicPr>
                  </pic:nvPicPr>
                  <pic:blipFill>
                    <a:blip r:embed="rId707"/>
                    <a:stretch>
                      <a:fillRect/>
                    </a:stretch>
                  </pic:blipFill>
                  <pic:spPr>
                    <a:xfrm>
                      <a:off x="0" y="0"/>
                      <a:ext cx="4048125" cy="2181225"/>
                    </a:xfrm>
                    <a:prstGeom prst="rect">
                      <a:avLst/>
                    </a:prstGeom>
                  </pic:spPr>
                </pic:pic>
              </a:graphicData>
            </a:graphic>
          </wp:inline>
        </w:drawing>
      </w:r>
    </w:p>
    <w:p w14:paraId="49CB38EE">
      <w:r>
        <w:rPr>
          <w:rFonts w:hint="eastAsia"/>
        </w:rPr>
        <w:t>设备部署在SSL客户端所在网络中，当SSL客户端访问服务器的请求经过设备时，设备作为代理与服务器端建立通信，对流量进行解密并进行安全检查，确保访问流量安全后再放行，达到保护客户端的目的。</w:t>
      </w:r>
    </w:p>
    <w:p w14:paraId="1453E598">
      <w:pPr>
        <w:pStyle w:val="5"/>
      </w:pPr>
      <w:bookmarkStart w:id="5498" w:name="_Toc194080997"/>
      <w:bookmarkStart w:id="5499" w:name="_Toc172302598"/>
      <w:bookmarkStart w:id="5500" w:name="_Toc196728329"/>
      <w:r>
        <w:rPr>
          <w:rFonts w:hint="eastAsia"/>
        </w:rPr>
        <w:t>服务器解密</w:t>
      </w:r>
      <w:bookmarkEnd w:id="5498"/>
      <w:bookmarkEnd w:id="5499"/>
      <w:bookmarkEnd w:id="5500"/>
    </w:p>
    <w:p w14:paraId="719BB79B">
      <w:r>
        <w:rPr>
          <w:rFonts w:hint="eastAsia"/>
        </w:rPr>
        <w:t>保护服务器一般用于外网客户端访问内网服务器的场景，设备需要对外部的加密流量进行安全检测，保护企业内部服务器的安全，如下图所示。</w:t>
      </w:r>
    </w:p>
    <w:p w14:paraId="7DDFA8C5">
      <w:pPr>
        <w:pStyle w:val="188"/>
      </w:pPr>
      <w:r>
        <w:rPr>
          <w:rFonts w:hint="eastAsia"/>
        </w:rPr>
        <w:t>服务器解密场景</w:t>
      </w:r>
    </w:p>
    <w:p w14:paraId="085A8A53">
      <w:pPr>
        <w:pStyle w:val="175"/>
      </w:pPr>
      <w:r>
        <w:drawing>
          <wp:inline distT="0" distB="0" distL="0" distR="0">
            <wp:extent cx="4333875" cy="2238375"/>
            <wp:effectExtent l="0" t="0" r="9525" b="9525"/>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516"/>
                    <pic:cNvPicPr>
                      <a:picLocks noChangeAspect="1"/>
                    </pic:cNvPicPr>
                  </pic:nvPicPr>
                  <pic:blipFill>
                    <a:blip r:embed="rId708"/>
                    <a:stretch>
                      <a:fillRect/>
                    </a:stretch>
                  </pic:blipFill>
                  <pic:spPr>
                    <a:xfrm>
                      <a:off x="0" y="0"/>
                      <a:ext cx="4333875" cy="2238375"/>
                    </a:xfrm>
                    <a:prstGeom prst="rect">
                      <a:avLst/>
                    </a:prstGeom>
                  </pic:spPr>
                </pic:pic>
              </a:graphicData>
            </a:graphic>
          </wp:inline>
        </w:drawing>
      </w:r>
    </w:p>
    <w:p w14:paraId="14795644"/>
    <w:p w14:paraId="0DEF2674">
      <w:r>
        <w:rPr>
          <w:rFonts w:hint="eastAsia"/>
        </w:rPr>
        <w:t>设备部署在SSL服务器所在网络中，当SSL客户端访问服务器的请求经过设备时，设备作为代理与客户端建立通信，对流量进行解密并进行安全检查，确保访问流量安全后再放行，达到保护服务器的目的。</w:t>
      </w:r>
    </w:p>
    <w:p w14:paraId="2AA2E903">
      <w:pPr>
        <w:pStyle w:val="4"/>
      </w:pPr>
      <w:bookmarkStart w:id="5501" w:name="_Toc142401247"/>
      <w:bookmarkStart w:id="5502" w:name="_Toc11687392"/>
      <w:bookmarkStart w:id="5503" w:name="_Toc172218511"/>
      <w:bookmarkStart w:id="5504" w:name="_Toc196728330"/>
      <w:bookmarkStart w:id="5505" w:name="_Toc494295573"/>
      <w:bookmarkStart w:id="5506" w:name="_Toc99561866"/>
      <w:bookmarkStart w:id="5507" w:name="_Toc194080998"/>
      <w:bookmarkStart w:id="5508" w:name="_Toc23152796"/>
      <w:bookmarkStart w:id="5509" w:name="_Toc40276229"/>
      <w:bookmarkStart w:id="5510" w:name="_Toc15485032"/>
      <w:bookmarkStart w:id="5511" w:name="_Toc141873730"/>
      <w:r>
        <w:rPr>
          <w:rFonts w:hint="eastAsia"/>
        </w:rPr>
        <w:t>原理描述</w:t>
      </w:r>
      <w:bookmarkEnd w:id="5501"/>
      <w:bookmarkEnd w:id="5502"/>
      <w:bookmarkEnd w:id="5503"/>
      <w:bookmarkEnd w:id="5504"/>
      <w:bookmarkEnd w:id="5505"/>
      <w:bookmarkEnd w:id="5506"/>
      <w:bookmarkEnd w:id="5507"/>
      <w:bookmarkEnd w:id="5508"/>
      <w:bookmarkEnd w:id="5509"/>
      <w:bookmarkEnd w:id="5510"/>
      <w:bookmarkEnd w:id="5511"/>
    </w:p>
    <w:p w14:paraId="46D1ECC2">
      <w:pPr>
        <w:pStyle w:val="5"/>
      </w:pPr>
      <w:bookmarkStart w:id="5512" w:name="_Toc172302609"/>
      <w:bookmarkStart w:id="5513" w:name="_Toc194080999"/>
      <w:bookmarkStart w:id="5514" w:name="_Toc196728331"/>
      <w:r>
        <w:rPr>
          <w:rFonts w:hint="eastAsia"/>
        </w:rPr>
        <w:t>解密策略</w:t>
      </w:r>
      <w:bookmarkEnd w:id="5512"/>
      <w:bookmarkEnd w:id="5513"/>
      <w:bookmarkEnd w:id="5514"/>
    </w:p>
    <w:p w14:paraId="7E74B20E">
      <w:r>
        <w:rPr>
          <w:rFonts w:hint="eastAsia"/>
        </w:rPr>
        <w:t>SSL解密策略由基础配置（包括入接口、源地址、目的地址等）和过滤条件（客户端解密和服务器解密匹配条件）两部分组成，设备只会对于符合过滤条件的流进行解密。</w:t>
      </w:r>
    </w:p>
    <w:p w14:paraId="5DDFAC49">
      <w:pPr>
        <w:rPr>
          <w:color w:val="000000"/>
          <w:szCs w:val="21"/>
        </w:rPr>
      </w:pPr>
      <w:r>
        <w:rPr>
          <w:rFonts w:hint="eastAsia"/>
        </w:rPr>
        <w:t>设备上可以配置多条解密策略，其按照配置顺序从上到下进行匹配，当报文与某条策略匹配成功后，则根据此条解密策略进行报文解密，不再进行后续解密策略的匹配。基于以上的匹配原则，配置解密策略时建议</w:t>
      </w:r>
      <w:r>
        <w:rPr>
          <w:rFonts w:hint="eastAsia"/>
          <w:color w:val="000000"/>
          <w:szCs w:val="21"/>
        </w:rPr>
        <w:t>按照“深度优先”的原则（即控制范围小的、条件细化的在前，范围大的在后）进行配置。</w:t>
      </w:r>
    </w:p>
    <w:p w14:paraId="68E14741">
      <w:pPr>
        <w:pStyle w:val="5"/>
      </w:pPr>
      <w:bookmarkStart w:id="5515" w:name="_Toc196728332"/>
      <w:bookmarkStart w:id="5516" w:name="_Toc172302610"/>
      <w:bookmarkStart w:id="5517" w:name="_Toc194081000"/>
      <w:r>
        <w:rPr>
          <w:rFonts w:hint="eastAsia"/>
        </w:rPr>
        <w:t>过滤条件</w:t>
      </w:r>
      <w:bookmarkEnd w:id="5515"/>
      <w:bookmarkEnd w:id="5516"/>
      <w:bookmarkEnd w:id="5517"/>
    </w:p>
    <w:p w14:paraId="2577878B">
      <w:r>
        <w:rPr>
          <w:rFonts w:hint="eastAsia"/>
        </w:rPr>
        <w:t>设备支持客户端解密和服务器解密。</w:t>
      </w:r>
    </w:p>
    <w:p w14:paraId="7597ADCB">
      <w:r>
        <w:rPr>
          <w:rFonts w:hint="eastAsia"/>
        </w:rPr>
        <w:t>客户端解密的过滤条件包括：入接口、源地址、目的地址和HTTPS对象。其中HTTPS对象过滤条件仅支持在HTTPS解密类型中进行配置，客户端解密支持的解密类型有HTTPS流量和邮箱流量。</w:t>
      </w:r>
    </w:p>
    <w:p w14:paraId="56F33DD4">
      <w:r>
        <w:rPr>
          <w:rFonts w:hint="eastAsia"/>
        </w:rPr>
        <w:t>服务器解密的过滤条件包括：入接口、源地址和服务器IP/端口。服务器的IP/端口为内网服务器的IP/端口，不是NAT策略中的对外端口。</w:t>
      </w:r>
    </w:p>
    <w:p w14:paraId="4C97DC3C">
      <w:r>
        <w:rPr>
          <w:rFonts w:hint="eastAsia"/>
        </w:rPr>
        <w:t>一个解密策略中过滤条件之间是与的关系。</w:t>
      </w:r>
    </w:p>
    <w:p w14:paraId="78E8CB0D">
      <w:pPr>
        <w:pStyle w:val="5"/>
      </w:pPr>
      <w:bookmarkStart w:id="5518" w:name="_Toc172302611"/>
      <w:bookmarkStart w:id="5519" w:name="_Toc196728333"/>
      <w:bookmarkStart w:id="5520" w:name="_Toc194081001"/>
      <w:r>
        <w:rPr>
          <w:rFonts w:hint="eastAsia"/>
        </w:rPr>
        <w:t>解密流程</w:t>
      </w:r>
      <w:bookmarkEnd w:id="5518"/>
      <w:bookmarkEnd w:id="5519"/>
      <w:bookmarkEnd w:id="5520"/>
    </w:p>
    <w:p w14:paraId="15C2A916">
      <w:r>
        <w:rPr>
          <w:rFonts w:hint="eastAsia"/>
        </w:rPr>
        <w:t>设备客户端解密的处理过程如下：</w:t>
      </w:r>
    </w:p>
    <w:p w14:paraId="67DD721A">
      <w:pPr>
        <w:pStyle w:val="202"/>
        <w:rPr>
          <w:lang w:eastAsia="zh-CN"/>
        </w:rPr>
      </w:pPr>
      <w:r>
        <w:rPr>
          <w:lang w:eastAsia="zh-CN"/>
        </w:rPr>
        <w:t>解析DNS报文，设备获取DNS回应报文，匹配解密策略的源地址组，解析出域名对应的IP，往当前策略上添加IP域名信息。</w:t>
      </w:r>
    </w:p>
    <w:p w14:paraId="356F49BB">
      <w:pPr>
        <w:pStyle w:val="202"/>
        <w:rPr>
          <w:lang w:eastAsia="zh-CN"/>
        </w:rPr>
      </w:pPr>
      <w:r>
        <w:rPr>
          <w:lang w:eastAsia="zh-CN"/>
        </w:rPr>
        <w:t>转发报文流经设备，判断TCP 443、995、993、465端口进入解密策略匹配流程。依次匹配入接口、源地址对象、目的地址对象、若为443端口判断目的IP是否存在于DNS解析的IP中，若均匹配上，则上送到本机代理进程。</w:t>
      </w:r>
    </w:p>
    <w:p w14:paraId="096C4F32">
      <w:pPr>
        <w:pStyle w:val="202"/>
        <w:rPr>
          <w:lang w:eastAsia="zh-CN"/>
        </w:rPr>
      </w:pPr>
      <w:r>
        <w:rPr>
          <w:lang w:eastAsia="zh-CN"/>
        </w:rPr>
        <w:t>代理进程建立双向SSL连接，并对数据进行加解密，解密后的数据封装后送入审计流程。</w:t>
      </w:r>
    </w:p>
    <w:p w14:paraId="1B26F6DA">
      <w:r>
        <w:rPr>
          <w:rFonts w:hint="eastAsia"/>
        </w:rPr>
        <w:t>设备服务器解密的处理过程如下：</w:t>
      </w:r>
    </w:p>
    <w:p w14:paraId="40D8B9D3">
      <w:pPr>
        <w:pStyle w:val="202"/>
        <w:rPr>
          <w:lang w:eastAsia="zh-CN"/>
        </w:rPr>
      </w:pPr>
      <w:r>
        <w:rPr>
          <w:rFonts w:hint="eastAsia"/>
          <w:lang w:eastAsia="zh-CN"/>
        </w:rPr>
        <w:t>设备作为代理客户与服务器完成SSL握手，建立SSL连接。</w:t>
      </w:r>
    </w:p>
    <w:p w14:paraId="555DA912">
      <w:pPr>
        <w:pStyle w:val="202"/>
        <w:rPr>
          <w:lang w:eastAsia="zh-CN"/>
        </w:rPr>
      </w:pPr>
      <w:r>
        <w:rPr>
          <w:rFonts w:hint="eastAsia"/>
          <w:lang w:eastAsia="zh-CN"/>
        </w:rPr>
        <w:t>转发报文流经设备，进入解密策略匹配流程。依次匹配入接口、源地址对象、服务器的IP和端口，若均匹配上，则上送到本机代理进程。</w:t>
      </w:r>
    </w:p>
    <w:p w14:paraId="052BF414">
      <w:pPr>
        <w:pStyle w:val="202"/>
        <w:rPr>
          <w:lang w:eastAsia="zh-CN"/>
        </w:rPr>
      </w:pPr>
      <w:r>
        <w:rPr>
          <w:rFonts w:hint="eastAsia"/>
          <w:lang w:eastAsia="zh-CN"/>
        </w:rPr>
        <w:t>代理进程建立双向SSL连接，并对数据进行加解密，解密后的数据封装后送入审计流程</w:t>
      </w:r>
    </w:p>
    <w:p w14:paraId="023F6342">
      <w:pPr>
        <w:pStyle w:val="5"/>
      </w:pPr>
      <w:bookmarkStart w:id="5521" w:name="_Toc194081002"/>
      <w:bookmarkStart w:id="5522" w:name="_Toc196728334"/>
      <w:bookmarkStart w:id="5523" w:name="_Toc172302612"/>
      <w:r>
        <w:rPr>
          <w:rFonts w:hint="eastAsia"/>
        </w:rPr>
        <w:t>证书管理</w:t>
      </w:r>
      <w:bookmarkEnd w:id="5521"/>
      <w:bookmarkEnd w:id="5522"/>
      <w:bookmarkEnd w:id="5523"/>
    </w:p>
    <w:p w14:paraId="54CF9319">
      <w:r>
        <w:rPr>
          <w:rFonts w:hint="eastAsia"/>
        </w:rPr>
        <w:t>在SSL加密流量检测过程中，设备作为SSL代理与客户端和服务器分别建立了SSL连接。建立SSL连接之前，设备需要分别与客户端和服务器完成SSL握手。SSL握手即通过本地证书验证对端设备发来的证书是否可信的过程。</w:t>
      </w:r>
    </w:p>
    <w:p w14:paraId="3A4B01CC">
      <w:r>
        <w:rPr>
          <w:rFonts w:hint="eastAsia"/>
        </w:rPr>
        <w:t>在SSL加密流量检测的不同场景下，需要准备和安装的证书不同。</w:t>
      </w:r>
    </w:p>
    <w:p w14:paraId="6A90C62C">
      <w:r>
        <w:rPr>
          <w:rFonts w:hint="eastAsia"/>
        </w:rPr>
        <w:t>客户端解密需要使用设备上生成CA证书后导入到设备本地证书，并在客户端安装证书，设备才可以作为服务器的代理，与客户端建立SSL连接。</w:t>
      </w:r>
    </w:p>
    <w:p w14:paraId="4F0F88BC">
      <w:r>
        <w:t>使用设备自带的证书签发功能，或支持导入第三方证书，并被解密策略引用生效。用户证书一旦被解密策略引用，在证书过期之前，策略中包含的其它域名即可顺利的完成浏览。</w:t>
      </w:r>
    </w:p>
    <w:p w14:paraId="21FD6CB7">
      <w:pPr>
        <w:pStyle w:val="162"/>
      </w:pPr>
      <w:r>
        <w:rPr>
          <w:rFonts w:hint="eastAsia"/>
        </w:rPr>
        <w:t>设备自身支持证书签发的能力，可以为IPsec</w:t>
      </w:r>
      <w:r>
        <w:t>-</w:t>
      </w:r>
      <w:r>
        <w:rPr>
          <w:rFonts w:hint="eastAsia"/>
        </w:rPr>
        <w:t>VPN，HTTPS解密等功能签发相关证书。</w:t>
      </w:r>
    </w:p>
    <w:p w14:paraId="124068D9">
      <w:pPr>
        <w:pStyle w:val="162"/>
      </w:pPr>
      <w:r>
        <w:rPr>
          <w:rFonts w:hint="eastAsia"/>
        </w:rPr>
        <w:t>支持证书导入导出的功能，方便证书的管理，并且可导入第三方证书。解密策略在用户证书中选取一个证书使用，且支持证书之间的切换，证书被其它模块引用时仍可被解密策略引用。</w:t>
      </w:r>
    </w:p>
    <w:p w14:paraId="4C03016E">
      <w:pPr>
        <w:pStyle w:val="162"/>
      </w:pPr>
      <w:r>
        <w:rPr>
          <w:rFonts w:hint="eastAsia"/>
        </w:rPr>
        <w:t>支持SSL证书推送，可以实现CA证书安装检测，对指定用户进行CA证书下载页面的推送，终端用户可以在推送页面直接下载证书及安装指导。</w:t>
      </w:r>
    </w:p>
    <w:p w14:paraId="2A5AC66F">
      <w:r>
        <w:rPr>
          <w:rFonts w:hint="eastAsia"/>
        </w:rPr>
        <w:t>服务器解密需要获取到服务器证书及证书的私钥，并导入到设备。导入内部服务器证书和私钥后，设备可以作为服务器的代理，与客户端建立SSL连接。</w:t>
      </w:r>
    </w:p>
    <w:p w14:paraId="777B5242">
      <w:pPr>
        <w:pStyle w:val="5"/>
      </w:pPr>
      <w:bookmarkStart w:id="5524" w:name="_Toc172301875"/>
      <w:bookmarkEnd w:id="5524"/>
      <w:bookmarkStart w:id="5525" w:name="_Toc172302620"/>
      <w:bookmarkEnd w:id="5525"/>
      <w:bookmarkStart w:id="5526" w:name="_Toc172301877"/>
      <w:bookmarkEnd w:id="5526"/>
      <w:bookmarkStart w:id="5527" w:name="_Toc172302621"/>
      <w:bookmarkEnd w:id="5527"/>
      <w:bookmarkStart w:id="5528" w:name="_Toc172302618"/>
      <w:bookmarkEnd w:id="5528"/>
      <w:bookmarkStart w:id="5529" w:name="_Toc172301878"/>
      <w:bookmarkEnd w:id="5529"/>
      <w:bookmarkStart w:id="5530" w:name="_Toc172302622"/>
      <w:bookmarkEnd w:id="5530"/>
      <w:bookmarkStart w:id="5531" w:name="_Toc172302613"/>
      <w:bookmarkEnd w:id="5531"/>
      <w:bookmarkStart w:id="5532" w:name="_Toc172301871"/>
      <w:bookmarkEnd w:id="5532"/>
      <w:bookmarkStart w:id="5533" w:name="_Toc172302615"/>
      <w:bookmarkEnd w:id="5533"/>
      <w:bookmarkStart w:id="5534" w:name="_Toc172301874"/>
      <w:bookmarkEnd w:id="5534"/>
      <w:bookmarkStart w:id="5535" w:name="_Toc172302617"/>
      <w:bookmarkEnd w:id="5535"/>
      <w:bookmarkStart w:id="5536" w:name="_Toc172302619"/>
      <w:bookmarkEnd w:id="5536"/>
      <w:bookmarkStart w:id="5537" w:name="_Toc172301876"/>
      <w:bookmarkEnd w:id="5537"/>
      <w:bookmarkStart w:id="5538" w:name="_Toc172302616"/>
      <w:bookmarkEnd w:id="5538"/>
      <w:bookmarkStart w:id="5539" w:name="_Toc172301870"/>
      <w:bookmarkEnd w:id="5539"/>
      <w:bookmarkStart w:id="5540" w:name="_Toc172302614"/>
      <w:bookmarkEnd w:id="5540"/>
      <w:bookmarkStart w:id="5541" w:name="_Toc172301873"/>
      <w:bookmarkEnd w:id="5541"/>
      <w:bookmarkStart w:id="5542" w:name="_Toc172301869"/>
      <w:bookmarkEnd w:id="5542"/>
      <w:bookmarkStart w:id="5543" w:name="_Toc172301872"/>
      <w:bookmarkEnd w:id="5543"/>
      <w:bookmarkStart w:id="5544" w:name="_Toc172301885"/>
      <w:bookmarkEnd w:id="5544"/>
      <w:bookmarkStart w:id="5545" w:name="_Toc172301880"/>
      <w:bookmarkEnd w:id="5545"/>
      <w:bookmarkStart w:id="5546" w:name="_Toc172302626"/>
      <w:bookmarkEnd w:id="5546"/>
      <w:bookmarkStart w:id="5547" w:name="_Toc172302625"/>
      <w:bookmarkEnd w:id="5547"/>
      <w:bookmarkStart w:id="5548" w:name="_Toc172301881"/>
      <w:bookmarkEnd w:id="5548"/>
      <w:bookmarkStart w:id="5549" w:name="_Toc172301884"/>
      <w:bookmarkEnd w:id="5549"/>
      <w:bookmarkStart w:id="5550" w:name="_Toc172302623"/>
      <w:bookmarkEnd w:id="5550"/>
      <w:bookmarkStart w:id="5551" w:name="_Toc172301882"/>
      <w:bookmarkEnd w:id="5551"/>
      <w:bookmarkStart w:id="5552" w:name="_Toc172302628"/>
      <w:bookmarkEnd w:id="5552"/>
      <w:bookmarkStart w:id="5553" w:name="_Toc172302629"/>
      <w:bookmarkEnd w:id="5553"/>
      <w:bookmarkStart w:id="5554" w:name="_Toc172301886"/>
      <w:bookmarkEnd w:id="5554"/>
      <w:bookmarkStart w:id="5555" w:name="_Toc172302630"/>
      <w:bookmarkEnd w:id="5555"/>
      <w:bookmarkStart w:id="5556" w:name="_Toc172301887"/>
      <w:bookmarkEnd w:id="5556"/>
      <w:bookmarkStart w:id="5557" w:name="_Toc172302624"/>
      <w:bookmarkEnd w:id="5557"/>
      <w:bookmarkStart w:id="5558" w:name="_Toc172301883"/>
      <w:bookmarkEnd w:id="5558"/>
      <w:bookmarkStart w:id="5559" w:name="_Toc172302631"/>
      <w:bookmarkEnd w:id="5559"/>
      <w:bookmarkStart w:id="5560" w:name="_Toc172302627"/>
      <w:bookmarkEnd w:id="5560"/>
      <w:bookmarkStart w:id="5561" w:name="_Toc172301879"/>
      <w:bookmarkEnd w:id="5561"/>
      <w:bookmarkStart w:id="5562" w:name="_Toc196728335"/>
      <w:bookmarkStart w:id="5563" w:name="_Toc172302632"/>
      <w:bookmarkStart w:id="5564" w:name="_Toc194081003"/>
      <w:r>
        <w:rPr>
          <w:rFonts w:hint="eastAsia"/>
        </w:rPr>
        <w:t>解密策略的应用</w:t>
      </w:r>
      <w:bookmarkEnd w:id="5562"/>
      <w:bookmarkEnd w:id="5563"/>
      <w:bookmarkEnd w:id="5564"/>
    </w:p>
    <w:p w14:paraId="510FA82F">
      <w:r>
        <w:rPr>
          <w:rFonts w:hint="eastAsia"/>
        </w:rPr>
        <w:t>解密的结果是为了可以对报文中的数据进行审计：</w:t>
      </w:r>
    </w:p>
    <w:p w14:paraId="60B3F6CD">
      <w:pPr>
        <w:pStyle w:val="162"/>
      </w:pPr>
      <w:r>
        <w:rPr>
          <w:rFonts w:hint="eastAsia"/>
        </w:rPr>
        <w:t>符合解密策略的数据全部上送审计模块完成审计，上送审计模块的全部是完成解密的明文数据。</w:t>
      </w:r>
    </w:p>
    <w:p w14:paraId="73100D9B">
      <w:pPr>
        <w:pStyle w:val="162"/>
      </w:pPr>
      <w:r>
        <w:rPr>
          <w:rFonts w:hint="eastAsia"/>
        </w:rPr>
        <w:t>符合解密策略的邮件，全部上送到审计模块，在完成审计的同时还支持基于关键字的过滤功能。保证内网用户的绝密信息不外泄。</w:t>
      </w:r>
    </w:p>
    <w:p w14:paraId="49E6EC2B">
      <w:pPr>
        <w:pStyle w:val="4"/>
      </w:pPr>
      <w:bookmarkStart w:id="5565" w:name="_Toc11687393"/>
      <w:bookmarkStart w:id="5566" w:name="_Toc15485033"/>
      <w:bookmarkStart w:id="5567" w:name="_Toc494295574"/>
      <w:bookmarkStart w:id="5568" w:name="_Toc23152797"/>
      <w:bookmarkStart w:id="5569" w:name="_Toc40276230"/>
      <w:bookmarkStart w:id="5570" w:name="_Toc99561867"/>
      <w:bookmarkStart w:id="5571" w:name="_Toc142401248"/>
      <w:bookmarkStart w:id="5572" w:name="_Toc172218512"/>
      <w:bookmarkStart w:id="5573" w:name="_Toc141873731"/>
      <w:bookmarkStart w:id="5574" w:name="_Toc194081004"/>
      <w:bookmarkStart w:id="5575" w:name="_Toc196728336"/>
      <w:r>
        <w:rPr>
          <w:rFonts w:hint="eastAsia"/>
        </w:rPr>
        <w:t>配置解密策略</w:t>
      </w:r>
      <w:bookmarkEnd w:id="5565"/>
      <w:bookmarkEnd w:id="5566"/>
      <w:bookmarkEnd w:id="5567"/>
      <w:bookmarkEnd w:id="5568"/>
      <w:bookmarkEnd w:id="5569"/>
      <w:bookmarkEnd w:id="5570"/>
      <w:bookmarkEnd w:id="5571"/>
      <w:bookmarkEnd w:id="5572"/>
      <w:bookmarkEnd w:id="5573"/>
      <w:bookmarkEnd w:id="5574"/>
      <w:bookmarkEnd w:id="5575"/>
    </w:p>
    <w:p w14:paraId="3AFF0703">
      <w:pPr>
        <w:pStyle w:val="6"/>
      </w:pPr>
      <w:bookmarkStart w:id="5576" w:name="_Toc99561868"/>
      <w:bookmarkStart w:id="5577" w:name="_Toc11687394"/>
      <w:bookmarkStart w:id="5578" w:name="_Toc15485034"/>
      <w:bookmarkStart w:id="5579" w:name="_Toc23152798"/>
      <w:bookmarkStart w:id="5580" w:name="_Toc40276231"/>
      <w:bookmarkStart w:id="5581" w:name="_Toc494295575"/>
      <w:r>
        <w:t>配置HTTPS对象</w:t>
      </w:r>
      <w:bookmarkEnd w:id="5576"/>
      <w:bookmarkEnd w:id="5577"/>
      <w:bookmarkEnd w:id="5578"/>
      <w:bookmarkEnd w:id="5579"/>
      <w:bookmarkEnd w:id="5580"/>
      <w:bookmarkEnd w:id="5581"/>
      <w:r>
        <w:rPr>
          <w:rFonts w:hint="eastAsia"/>
        </w:rPr>
        <w:t>（配置客户端解密时选择）</w:t>
      </w:r>
    </w:p>
    <w:p w14:paraId="64BCCC50">
      <w:r>
        <w:rPr>
          <w:rFonts w:hint="eastAsia"/>
        </w:rPr>
        <w:t>详细配置请参考</w:t>
      </w:r>
      <w:r>
        <w:fldChar w:fldCharType="begin"/>
      </w:r>
      <w:r>
        <w:instrText xml:space="preserve"> </w:instrText>
      </w:r>
      <w:r>
        <w:rPr>
          <w:rFonts w:hint="eastAsia"/>
        </w:rPr>
        <w:instrText xml:space="preserve">REF _Ref508091318 \h</w:instrText>
      </w:r>
      <w:r>
        <w:instrText xml:space="preserve"> </w:instrText>
      </w:r>
      <w:r>
        <w:fldChar w:fldCharType="separate"/>
      </w:r>
      <w:r>
        <w:rPr>
          <w:rFonts w:hint="eastAsia"/>
        </w:rPr>
        <w:t>配置</w:t>
      </w:r>
      <w:r>
        <w:t>HTTPS</w:t>
      </w:r>
      <w:r>
        <w:rPr>
          <w:rFonts w:hint="eastAsia"/>
        </w:rPr>
        <w:t>对象</w:t>
      </w:r>
      <w:r>
        <w:fldChar w:fldCharType="end"/>
      </w:r>
      <w:r>
        <w:t>章节</w:t>
      </w:r>
      <w:r>
        <w:rPr>
          <w:rFonts w:hint="eastAsia"/>
        </w:rPr>
        <w:t>。</w:t>
      </w:r>
      <w:bookmarkStart w:id="5582" w:name="_Toc494295576"/>
    </w:p>
    <w:p w14:paraId="39F70B2E">
      <w:pPr>
        <w:pStyle w:val="6"/>
      </w:pPr>
      <w:bookmarkStart w:id="5583" w:name="_Toc99561869"/>
      <w:bookmarkStart w:id="5584" w:name="_Toc11687395"/>
      <w:bookmarkStart w:id="5585" w:name="_Toc15485035"/>
      <w:bookmarkStart w:id="5586" w:name="_Toc23152799"/>
      <w:bookmarkStart w:id="5587" w:name="_Toc40276232"/>
      <w:r>
        <w:t>生成并导入CA证书</w:t>
      </w:r>
      <w:bookmarkEnd w:id="5582"/>
      <w:bookmarkEnd w:id="5583"/>
      <w:bookmarkEnd w:id="5584"/>
      <w:bookmarkEnd w:id="5585"/>
      <w:bookmarkEnd w:id="5586"/>
      <w:bookmarkEnd w:id="5587"/>
    </w:p>
    <w:p w14:paraId="5574AFB0">
      <w:r>
        <w:rPr>
          <w:rFonts w:hint="eastAsia"/>
        </w:rPr>
        <w:t>详细配置请参考</w:t>
      </w:r>
      <w:r>
        <w:fldChar w:fldCharType="begin"/>
      </w:r>
      <w:r>
        <w:instrText xml:space="preserve"> </w:instrText>
      </w:r>
      <w:r>
        <w:rPr>
          <w:rFonts w:hint="eastAsia"/>
        </w:rPr>
        <w:instrText xml:space="preserve">REF _Ref141815014 \h</w:instrText>
      </w:r>
      <w:r>
        <w:instrText xml:space="preserve"> </w:instrText>
      </w:r>
      <w:r>
        <w:fldChar w:fldCharType="separate"/>
      </w:r>
      <w:r>
        <w:t>根证书管理</w:t>
      </w:r>
      <w:r>
        <w:fldChar w:fldCharType="end"/>
      </w:r>
      <w:r>
        <w:t>和</w:t>
      </w:r>
      <w:r>
        <w:fldChar w:fldCharType="begin"/>
      </w:r>
      <w:r>
        <w:instrText xml:space="preserve"> REF _Ref141815108 \h </w:instrText>
      </w:r>
      <w:r>
        <w:fldChar w:fldCharType="separate"/>
      </w:r>
      <w:r>
        <w:rPr>
          <w:rFonts w:hint="eastAsia"/>
        </w:rPr>
        <w:t>本地CA证书</w:t>
      </w:r>
      <w:r>
        <w:fldChar w:fldCharType="end"/>
      </w:r>
      <w:r>
        <w:t>章节</w:t>
      </w:r>
      <w:r>
        <w:rPr>
          <w:rFonts w:hint="eastAsia"/>
        </w:rPr>
        <w:t>。</w:t>
      </w:r>
    </w:p>
    <w:p w14:paraId="7884D3D1">
      <w:pPr>
        <w:pStyle w:val="6"/>
      </w:pPr>
      <w:bookmarkStart w:id="5588" w:name="_Toc99561871"/>
      <w:bookmarkStart w:id="5589" w:name="_Toc23152801"/>
      <w:bookmarkStart w:id="5590" w:name="_Toc15485037"/>
      <w:bookmarkStart w:id="5591" w:name="_Toc40276234"/>
      <w:bookmarkStart w:id="5592" w:name="_Toc11687397"/>
      <w:bookmarkStart w:id="5593" w:name="_Toc494295578"/>
      <w:r>
        <w:t>配置审计策略</w:t>
      </w:r>
      <w:bookmarkEnd w:id="5588"/>
      <w:bookmarkEnd w:id="5589"/>
      <w:bookmarkEnd w:id="5590"/>
      <w:bookmarkEnd w:id="5591"/>
      <w:bookmarkEnd w:id="5592"/>
      <w:bookmarkEnd w:id="5593"/>
    </w:p>
    <w:p w14:paraId="1ABEF3D0">
      <w:r>
        <w:rPr>
          <w:rFonts w:hint="eastAsia"/>
        </w:rPr>
        <w:t>通过菜单“策略配置 &gt; 审计策略”，单击</w:t>
      </w:r>
      <w:r>
        <w:t>&lt;</w:t>
      </w:r>
      <w:r>
        <w:rPr>
          <w:rFonts w:hint="eastAsia"/>
        </w:rPr>
        <w:t>新建</w:t>
      </w:r>
      <w:r>
        <w:t>&gt;</w:t>
      </w:r>
      <w:r>
        <w:rPr>
          <w:rFonts w:hint="eastAsia"/>
        </w:rPr>
        <w:t>按钮</w:t>
      </w:r>
      <w:r>
        <w:t>，</w:t>
      </w:r>
      <w:r>
        <w:rPr>
          <w:rFonts w:hint="eastAsia"/>
        </w:rPr>
        <w:t>进入审计策略</w:t>
      </w:r>
      <w:r>
        <w:t>配置页面</w:t>
      </w:r>
      <w:r>
        <w:rPr>
          <w:rFonts w:hint="eastAsia"/>
        </w:rPr>
        <w:t>。</w:t>
      </w:r>
      <w:r>
        <w:t>详细配置请参考</w:t>
      </w:r>
      <w:r>
        <w:fldChar w:fldCharType="begin"/>
      </w:r>
      <w:r>
        <w:instrText xml:space="preserve"> REF _Ref141815222 \h </w:instrText>
      </w:r>
      <w:r>
        <w:fldChar w:fldCharType="separate"/>
      </w:r>
      <w:r>
        <w:rPr>
          <w:rFonts w:hint="eastAsia"/>
        </w:rPr>
        <w:t>审计策略</w:t>
      </w:r>
      <w:r>
        <w:fldChar w:fldCharType="end"/>
      </w:r>
      <w:r>
        <w:t>章节</w:t>
      </w:r>
      <w:r>
        <w:rPr>
          <w:rFonts w:hint="eastAsia"/>
        </w:rPr>
        <w:t>。</w:t>
      </w:r>
    </w:p>
    <w:p w14:paraId="2A9C21D8">
      <w:pPr>
        <w:pStyle w:val="6"/>
      </w:pPr>
      <w:bookmarkStart w:id="5594" w:name="_Toc5784804"/>
      <w:bookmarkEnd w:id="5594"/>
      <w:bookmarkStart w:id="5595" w:name="_Toc5785137"/>
      <w:bookmarkEnd w:id="5595"/>
      <w:bookmarkStart w:id="5596" w:name="_Toc5784913"/>
      <w:bookmarkEnd w:id="5596"/>
      <w:bookmarkStart w:id="5597" w:name="_Toc5785246"/>
      <w:bookmarkEnd w:id="5597"/>
      <w:bookmarkStart w:id="5598" w:name="_Toc5784862"/>
      <w:bookmarkEnd w:id="5598"/>
      <w:bookmarkStart w:id="5599" w:name="_Toc5785197"/>
      <w:bookmarkEnd w:id="5599"/>
      <w:bookmarkStart w:id="5600" w:name="_Toc5785190"/>
      <w:bookmarkEnd w:id="5600"/>
      <w:bookmarkStart w:id="5601" w:name="_Toc5784858"/>
      <w:bookmarkEnd w:id="5601"/>
      <w:bookmarkStart w:id="5602" w:name="_Toc5785138"/>
      <w:bookmarkEnd w:id="5602"/>
      <w:bookmarkStart w:id="5603" w:name="_Toc5785141"/>
      <w:bookmarkEnd w:id="5603"/>
      <w:bookmarkStart w:id="5604" w:name="_Toc5785192"/>
      <w:bookmarkEnd w:id="5604"/>
      <w:bookmarkStart w:id="5605" w:name="_Toc5784805"/>
      <w:bookmarkEnd w:id="5605"/>
      <w:bookmarkStart w:id="5606" w:name="_Toc5785193"/>
      <w:bookmarkEnd w:id="5606"/>
      <w:bookmarkStart w:id="5607" w:name="_Toc5785195"/>
      <w:bookmarkEnd w:id="5607"/>
      <w:bookmarkStart w:id="5608" w:name="_Toc5784859"/>
      <w:bookmarkEnd w:id="5608"/>
      <w:bookmarkStart w:id="5609" w:name="_Toc5784857"/>
      <w:bookmarkEnd w:id="5609"/>
      <w:bookmarkStart w:id="5610" w:name="_Toc5784806"/>
      <w:bookmarkEnd w:id="5610"/>
      <w:bookmarkStart w:id="5611" w:name="_Toc5785139"/>
      <w:bookmarkEnd w:id="5611"/>
      <w:bookmarkStart w:id="5612" w:name="_Toc5785140"/>
      <w:bookmarkEnd w:id="5612"/>
      <w:bookmarkStart w:id="5613" w:name="_Toc5785191"/>
      <w:bookmarkEnd w:id="5613"/>
      <w:bookmarkStart w:id="5614" w:name="_Toc5785194"/>
      <w:bookmarkEnd w:id="5614"/>
      <w:bookmarkStart w:id="5615" w:name="_Toc5785196"/>
      <w:bookmarkEnd w:id="5615"/>
      <w:bookmarkStart w:id="5616" w:name="_Toc5784863"/>
      <w:bookmarkEnd w:id="5616"/>
      <w:bookmarkStart w:id="5617" w:name="_Toc5784807"/>
      <w:bookmarkEnd w:id="5617"/>
      <w:bookmarkStart w:id="5618" w:name="_Toc5784808"/>
      <w:bookmarkEnd w:id="5618"/>
      <w:bookmarkStart w:id="5619" w:name="_Toc5784809"/>
      <w:bookmarkEnd w:id="5619"/>
      <w:bookmarkStart w:id="5620" w:name="_Toc5785142"/>
      <w:bookmarkEnd w:id="5620"/>
      <w:bookmarkStart w:id="5621" w:name="_Toc5784860"/>
      <w:bookmarkEnd w:id="5621"/>
      <w:bookmarkStart w:id="5622" w:name="_Toc5784861"/>
      <w:bookmarkEnd w:id="5622"/>
      <w:bookmarkStart w:id="5623" w:name="_Toc5784864"/>
      <w:bookmarkEnd w:id="5623"/>
      <w:bookmarkStart w:id="5624" w:name="_Toc494295579"/>
      <w:bookmarkStart w:id="5625" w:name="_Toc11687398"/>
      <w:bookmarkStart w:id="5626" w:name="_Toc15485038"/>
      <w:bookmarkStart w:id="5627" w:name="_Toc23152802"/>
      <w:bookmarkStart w:id="5628" w:name="_Toc40276235"/>
      <w:bookmarkStart w:id="5629" w:name="_Toc99561872"/>
      <w:r>
        <w:t>配置解密策略</w:t>
      </w:r>
      <w:bookmarkEnd w:id="5624"/>
      <w:bookmarkEnd w:id="5625"/>
      <w:bookmarkEnd w:id="5626"/>
      <w:bookmarkEnd w:id="5627"/>
      <w:bookmarkEnd w:id="5628"/>
      <w:bookmarkEnd w:id="5629"/>
    </w:p>
    <w:p w14:paraId="42CB268C">
      <w:r>
        <w:rPr>
          <w:rFonts w:hint="eastAsia"/>
        </w:rPr>
        <w:t>在导航栏中选择“策略配置&gt;SSL解密策略”，进入解密策略显示界面，如</w:t>
      </w:r>
      <w:r>
        <w:rPr>
          <w:color w:val="0000FF"/>
          <w:u w:val="single"/>
        </w:rPr>
        <w:fldChar w:fldCharType="begin"/>
      </w:r>
      <w:r>
        <w:rPr>
          <w:color w:val="0000FF"/>
          <w:u w:val="single"/>
        </w:rPr>
        <w:instrText xml:space="preserve"> </w:instrText>
      </w:r>
      <w:r>
        <w:rPr>
          <w:rFonts w:hint="eastAsia"/>
          <w:color w:val="0000FF"/>
          <w:u w:val="single"/>
        </w:rPr>
        <w:instrText xml:space="preserve">REF _Ref494446811 \r \h</w:instrText>
      </w:r>
      <w:r>
        <w:rPr>
          <w:color w:val="0000FF"/>
          <w:u w:val="single"/>
        </w:rPr>
        <w:instrText xml:space="preserve"> </w:instrText>
      </w:r>
      <w:r>
        <w:rPr>
          <w:color w:val="0000FF"/>
          <w:u w:val="single"/>
        </w:rPr>
        <w:fldChar w:fldCharType="separate"/>
      </w:r>
      <w:r>
        <w:rPr>
          <w:rFonts w:hint="eastAsia"/>
          <w:color w:val="0000FF"/>
          <w:u w:val="single"/>
        </w:rPr>
        <w:t>图20-3</w:t>
      </w:r>
      <w:r>
        <w:rPr>
          <w:color w:val="0000FF"/>
          <w:u w:val="single"/>
        </w:rPr>
        <w:fldChar w:fldCharType="end"/>
      </w:r>
      <w:r>
        <w:rPr>
          <w:rFonts w:hint="eastAsia"/>
        </w:rPr>
        <w:t>所示。</w:t>
      </w:r>
    </w:p>
    <w:p w14:paraId="0692A2DA">
      <w:pPr>
        <w:pStyle w:val="188"/>
      </w:pPr>
      <w:bookmarkStart w:id="5630" w:name="_Ref494446811"/>
      <w:bookmarkStart w:id="5631" w:name="_Toc141875144"/>
      <w:r>
        <w:rPr>
          <w:rFonts w:hint="eastAsia"/>
        </w:rPr>
        <w:t>解密策略显示界面</w:t>
      </w:r>
      <w:bookmarkEnd w:id="5630"/>
      <w:bookmarkEnd w:id="5631"/>
    </w:p>
    <w:p w14:paraId="427E3E71">
      <w:r>
        <w:drawing>
          <wp:inline distT="0" distB="0" distL="0" distR="0">
            <wp:extent cx="6120765" cy="97536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709"/>
                    <a:stretch>
                      <a:fillRect/>
                    </a:stretch>
                  </pic:blipFill>
                  <pic:spPr>
                    <a:xfrm>
                      <a:off x="0" y="0"/>
                      <a:ext cx="6120765" cy="975360"/>
                    </a:xfrm>
                    <a:prstGeom prst="rect">
                      <a:avLst/>
                    </a:prstGeom>
                  </pic:spPr>
                </pic:pic>
              </a:graphicData>
            </a:graphic>
          </wp:inline>
        </w:drawing>
      </w:r>
    </w:p>
    <w:p w14:paraId="002E4634"/>
    <w:p w14:paraId="0A47E181">
      <w:r>
        <w:rPr>
          <w:rFonts w:hint="eastAsia"/>
        </w:rPr>
        <w:t>单击&lt;新建&gt;按钮，进入解密策略配置界面，解密模式可以选择“客户端解密”或者“服务器解密”，如下图所示。</w:t>
      </w:r>
    </w:p>
    <w:p w14:paraId="02A2D694">
      <w:pPr>
        <w:pStyle w:val="188"/>
      </w:pPr>
      <w:bookmarkStart w:id="5632" w:name="_Ref494446841"/>
      <w:bookmarkStart w:id="5633" w:name="_Toc141875145"/>
      <w:r>
        <w:rPr>
          <w:rFonts w:hint="eastAsia"/>
        </w:rPr>
        <w:t>解密策略-客户端解密配置界面</w:t>
      </w:r>
      <w:bookmarkEnd w:id="5632"/>
      <w:bookmarkEnd w:id="5633"/>
    </w:p>
    <w:p w14:paraId="3C0E9CE9">
      <w:r>
        <w:drawing>
          <wp:inline distT="0" distB="0" distL="0" distR="0">
            <wp:extent cx="5683885" cy="3000375"/>
            <wp:effectExtent l="0" t="0" r="0" b="0"/>
            <wp:docPr id="1296485355" name="图片 1296485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55" name="图片 1296485355"/>
                    <pic:cNvPicPr>
                      <a:picLocks noChangeAspect="1"/>
                    </pic:cNvPicPr>
                  </pic:nvPicPr>
                  <pic:blipFill>
                    <a:blip r:embed="rId710"/>
                    <a:stretch>
                      <a:fillRect/>
                    </a:stretch>
                  </pic:blipFill>
                  <pic:spPr>
                    <a:xfrm>
                      <a:off x="0" y="0"/>
                      <a:ext cx="5699506" cy="3008516"/>
                    </a:xfrm>
                    <a:prstGeom prst="rect">
                      <a:avLst/>
                    </a:prstGeom>
                  </pic:spPr>
                </pic:pic>
              </a:graphicData>
            </a:graphic>
          </wp:inline>
        </w:drawing>
      </w:r>
    </w:p>
    <w:p w14:paraId="17A6673A">
      <w:pPr>
        <w:pStyle w:val="188"/>
      </w:pPr>
      <w:r>
        <w:rPr>
          <w:rFonts w:hint="eastAsia"/>
        </w:rPr>
        <w:t>解密策略-服务器解密配置界面</w:t>
      </w:r>
    </w:p>
    <w:p w14:paraId="65D2D1B8">
      <w:r>
        <w:drawing>
          <wp:inline distT="0" distB="0" distL="0" distR="0">
            <wp:extent cx="5534025" cy="4497705"/>
            <wp:effectExtent l="0" t="0" r="0" b="0"/>
            <wp:docPr id="1296485356" name="图片 1296485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56" name="图片 1296485356"/>
                    <pic:cNvPicPr>
                      <a:picLocks noChangeAspect="1"/>
                    </pic:cNvPicPr>
                  </pic:nvPicPr>
                  <pic:blipFill>
                    <a:blip r:embed="rId711"/>
                    <a:stretch>
                      <a:fillRect/>
                    </a:stretch>
                  </pic:blipFill>
                  <pic:spPr>
                    <a:xfrm>
                      <a:off x="0" y="0"/>
                      <a:ext cx="5537015" cy="4500727"/>
                    </a:xfrm>
                    <a:prstGeom prst="rect">
                      <a:avLst/>
                    </a:prstGeom>
                  </pic:spPr>
                </pic:pic>
              </a:graphicData>
            </a:graphic>
          </wp:inline>
        </w:drawing>
      </w:r>
    </w:p>
    <w:p w14:paraId="63C45BC7">
      <w:r>
        <w:rPr>
          <w:rFonts w:hint="eastAsia"/>
        </w:rPr>
        <w:t>解密策略详细配置说明，如</w:t>
      </w:r>
      <w:r>
        <w:fldChar w:fldCharType="begin"/>
      </w:r>
      <w:r>
        <w:instrText xml:space="preserve"> </w:instrText>
      </w:r>
      <w:r>
        <w:rPr>
          <w:rFonts w:hint="eastAsia"/>
        </w:rPr>
        <w:instrText xml:space="preserve">REF _Ref494446853 \r \h</w:instrText>
      </w:r>
      <w:r>
        <w:instrText xml:space="preserve"> </w:instrText>
      </w:r>
      <w:r>
        <w:fldChar w:fldCharType="separate"/>
      </w:r>
      <w:r>
        <w:rPr>
          <w:rFonts w:hint="eastAsia"/>
        </w:rPr>
        <w:t>表20-1</w:t>
      </w:r>
      <w:r>
        <w:fldChar w:fldCharType="end"/>
      </w:r>
      <w:r>
        <w:rPr>
          <w:rFonts w:hint="eastAsia"/>
        </w:rPr>
        <w:t>所示。</w:t>
      </w:r>
    </w:p>
    <w:p w14:paraId="7F01DC9F">
      <w:pPr>
        <w:pStyle w:val="183"/>
      </w:pPr>
      <w:bookmarkStart w:id="5634" w:name="_Ref494446853"/>
      <w:bookmarkStart w:id="5635" w:name="_Toc141875707"/>
      <w:r>
        <w:rPr>
          <w:rFonts w:hint="eastAsia"/>
        </w:rPr>
        <w:t>解密策略详细配置</w:t>
      </w:r>
      <w:bookmarkEnd w:id="5634"/>
      <w:bookmarkEnd w:id="5635"/>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720"/>
        <w:gridCol w:w="6250"/>
      </w:tblGrid>
      <w:tr w14:paraId="42B15D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720" w:type="dxa"/>
            <w:tcBorders>
              <w:tl2br w:val="nil"/>
              <w:tr2bl w:val="nil"/>
            </w:tcBorders>
            <w:shd w:val="clear" w:color="auto" w:fill="538135" w:themeFill="accent6" w:themeFillShade="BF"/>
            <w:vAlign w:val="center"/>
          </w:tcPr>
          <w:p w14:paraId="0579BF38">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参数</w:t>
            </w:r>
          </w:p>
        </w:tc>
        <w:tc>
          <w:tcPr>
            <w:tcW w:w="6250" w:type="dxa"/>
            <w:tcBorders>
              <w:tl2br w:val="nil"/>
              <w:tr2bl w:val="nil"/>
            </w:tcBorders>
            <w:shd w:val="clear" w:color="auto" w:fill="538135" w:themeFill="accent6" w:themeFillShade="BF"/>
            <w:vAlign w:val="center"/>
          </w:tcPr>
          <w:p w14:paraId="2AA979C6">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B904A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720" w:type="dxa"/>
            <w:shd w:val="clear" w:color="auto" w:fill="auto"/>
          </w:tcPr>
          <w:p w14:paraId="29673B4A">
            <w:pPr>
              <w:pStyle w:val="150"/>
            </w:pPr>
            <w:r>
              <w:rPr>
                <w:rFonts w:hint="eastAsia"/>
              </w:rPr>
              <w:t>启用</w:t>
            </w:r>
          </w:p>
        </w:tc>
        <w:tc>
          <w:tcPr>
            <w:tcW w:w="6250" w:type="dxa"/>
            <w:shd w:val="clear" w:color="auto" w:fill="auto"/>
          </w:tcPr>
          <w:p w14:paraId="785A4EDC">
            <w:pPr>
              <w:pStyle w:val="150"/>
            </w:pPr>
            <w:r>
              <w:rPr>
                <w:rFonts w:hint="eastAsia"/>
              </w:rPr>
              <w:t>勾选复选框在创建完成后立即启用该条策略。</w:t>
            </w:r>
          </w:p>
        </w:tc>
      </w:tr>
      <w:tr w14:paraId="0529039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720" w:type="dxa"/>
            <w:shd w:val="clear" w:color="auto" w:fill="auto"/>
          </w:tcPr>
          <w:p w14:paraId="299938CE">
            <w:pPr>
              <w:pStyle w:val="150"/>
            </w:pPr>
            <w:r>
              <w:rPr>
                <w:rFonts w:hint="eastAsia"/>
              </w:rPr>
              <w:t>入接口\域</w:t>
            </w:r>
            <w:r>
              <w:rPr>
                <w:rFonts w:hint="eastAsia"/>
              </w:rPr>
              <w:tab/>
            </w:r>
          </w:p>
        </w:tc>
        <w:tc>
          <w:tcPr>
            <w:tcW w:w="6250" w:type="dxa"/>
            <w:shd w:val="clear" w:color="auto" w:fill="auto"/>
          </w:tcPr>
          <w:p w14:paraId="76250475">
            <w:pPr>
              <w:pStyle w:val="150"/>
            </w:pPr>
            <w:r>
              <w:rPr>
                <w:rFonts w:hint="eastAsia"/>
              </w:rPr>
              <w:t>选择解密流量的入接口或安全域。</w:t>
            </w:r>
          </w:p>
        </w:tc>
      </w:tr>
      <w:tr w14:paraId="5849CFA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720" w:type="dxa"/>
            <w:shd w:val="clear" w:color="auto" w:fill="auto"/>
          </w:tcPr>
          <w:p w14:paraId="117BF19B">
            <w:pPr>
              <w:pStyle w:val="150"/>
            </w:pPr>
            <w:r>
              <w:rPr>
                <w:rFonts w:hint="eastAsia"/>
              </w:rPr>
              <w:t>源地址</w:t>
            </w:r>
          </w:p>
        </w:tc>
        <w:tc>
          <w:tcPr>
            <w:tcW w:w="6250" w:type="dxa"/>
            <w:shd w:val="clear" w:color="auto" w:fill="auto"/>
          </w:tcPr>
          <w:p w14:paraId="5AF085CC">
            <w:pPr>
              <w:pStyle w:val="150"/>
            </w:pPr>
            <w:r>
              <w:rPr>
                <w:rFonts w:hint="eastAsia"/>
              </w:rPr>
              <w:t>选择SSL解密策略匹配的源地址。</w:t>
            </w:r>
          </w:p>
        </w:tc>
      </w:tr>
      <w:tr w14:paraId="040B17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720" w:type="dxa"/>
            <w:shd w:val="clear" w:color="auto" w:fill="auto"/>
          </w:tcPr>
          <w:p w14:paraId="22B1279F">
            <w:pPr>
              <w:pStyle w:val="150"/>
            </w:pPr>
            <w:r>
              <w:rPr>
                <w:rFonts w:hint="eastAsia"/>
              </w:rPr>
              <w:t>解密模式</w:t>
            </w:r>
          </w:p>
        </w:tc>
        <w:tc>
          <w:tcPr>
            <w:tcW w:w="6250" w:type="dxa"/>
            <w:shd w:val="clear" w:color="auto" w:fill="auto"/>
          </w:tcPr>
          <w:p w14:paraId="0149B756">
            <w:pPr>
              <w:pStyle w:val="150"/>
            </w:pPr>
            <w:r>
              <w:rPr>
                <w:rFonts w:hint="eastAsia"/>
              </w:rPr>
              <w:t>选择客户端解密或服务端解密。</w:t>
            </w:r>
          </w:p>
        </w:tc>
      </w:tr>
      <w:tr w14:paraId="1469B81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8970" w:type="dxa"/>
            <w:gridSpan w:val="2"/>
            <w:shd w:val="clear" w:color="auto" w:fill="auto"/>
          </w:tcPr>
          <w:p w14:paraId="387FA856">
            <w:pPr>
              <w:pStyle w:val="150"/>
            </w:pPr>
            <w:r>
              <w:rPr>
                <w:rFonts w:hint="eastAsia"/>
              </w:rPr>
              <w:t>客户端解密</w:t>
            </w:r>
          </w:p>
        </w:tc>
      </w:tr>
      <w:tr w14:paraId="088E5DE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720" w:type="dxa"/>
            <w:shd w:val="clear" w:color="auto" w:fill="auto"/>
          </w:tcPr>
          <w:p w14:paraId="36C7A0C5">
            <w:pPr>
              <w:pStyle w:val="150"/>
            </w:pPr>
            <w:r>
              <w:rPr>
                <w:rFonts w:hint="eastAsia"/>
              </w:rPr>
              <w:t>目的地址</w:t>
            </w:r>
          </w:p>
        </w:tc>
        <w:tc>
          <w:tcPr>
            <w:tcW w:w="6250" w:type="dxa"/>
            <w:shd w:val="clear" w:color="auto" w:fill="auto"/>
          </w:tcPr>
          <w:p w14:paraId="236F86AD">
            <w:pPr>
              <w:pStyle w:val="150"/>
            </w:pPr>
            <w:r>
              <w:rPr>
                <w:rFonts w:hint="eastAsia"/>
              </w:rPr>
              <w:t>选择SSL解密策略匹配的目的地址。</w:t>
            </w:r>
          </w:p>
        </w:tc>
      </w:tr>
      <w:tr w14:paraId="4E8FC5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720" w:type="dxa"/>
            <w:shd w:val="clear" w:color="auto" w:fill="auto"/>
          </w:tcPr>
          <w:p w14:paraId="58B57CEC">
            <w:pPr>
              <w:pStyle w:val="150"/>
            </w:pPr>
            <w:r>
              <w:rPr>
                <w:rFonts w:hint="eastAsia"/>
              </w:rPr>
              <w:t>解密类型</w:t>
            </w:r>
          </w:p>
        </w:tc>
        <w:tc>
          <w:tcPr>
            <w:tcW w:w="6250" w:type="dxa"/>
            <w:shd w:val="clear" w:color="auto" w:fill="auto"/>
          </w:tcPr>
          <w:p w14:paraId="45865C4D">
            <w:pPr>
              <w:pStyle w:val="150"/>
            </w:pPr>
            <w:r>
              <w:rPr>
                <w:rFonts w:hint="eastAsia"/>
              </w:rPr>
              <w:t>选择SSL解密类型，目前支持解密HTTPS站点和邮箱。</w:t>
            </w:r>
          </w:p>
        </w:tc>
      </w:tr>
      <w:tr w14:paraId="77573E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720" w:type="dxa"/>
            <w:shd w:val="clear" w:color="auto" w:fill="auto"/>
          </w:tcPr>
          <w:p w14:paraId="7C94A235">
            <w:pPr>
              <w:pStyle w:val="150"/>
            </w:pPr>
            <w:r>
              <w:rPr>
                <w:rFonts w:hint="eastAsia"/>
              </w:rPr>
              <w:t>HTTPS对象</w:t>
            </w:r>
          </w:p>
        </w:tc>
        <w:tc>
          <w:tcPr>
            <w:tcW w:w="6250" w:type="dxa"/>
            <w:shd w:val="clear" w:color="auto" w:fill="auto"/>
          </w:tcPr>
          <w:p w14:paraId="6D1FC862">
            <w:pPr>
              <w:pStyle w:val="150"/>
            </w:pPr>
            <w:r>
              <w:rPr>
                <w:rFonts w:hint="eastAsia"/>
              </w:rPr>
              <w:t>如果选择了解密HTTPS站点，同时指定需要解密的站点。有关HTTPS对象配置的更多信息，请参考</w:t>
            </w:r>
            <w:r>
              <w:fldChar w:fldCharType="begin"/>
            </w:r>
            <w:r>
              <w:instrText xml:space="preserve"> </w:instrText>
            </w:r>
            <w:r>
              <w:rPr>
                <w:rFonts w:hint="eastAsia"/>
              </w:rPr>
              <w:instrText xml:space="preserve">REF _Ref508091318 \h</w:instrText>
            </w:r>
            <w:r>
              <w:instrText xml:space="preserve">  \* MERGEFORMAT </w:instrText>
            </w:r>
            <w:r>
              <w:fldChar w:fldCharType="separate"/>
            </w:r>
            <w:r>
              <w:rPr>
                <w:rFonts w:hint="eastAsia"/>
              </w:rPr>
              <w:t>配置</w:t>
            </w:r>
            <w:r>
              <w:t>HTTPS</w:t>
            </w:r>
            <w:r>
              <w:rPr>
                <w:rFonts w:hint="eastAsia"/>
              </w:rPr>
              <w:t>对象</w:t>
            </w:r>
            <w:r>
              <w:fldChar w:fldCharType="end"/>
            </w:r>
            <w:r>
              <w:rPr>
                <w:rFonts w:hint="eastAsia"/>
              </w:rPr>
              <w:t>。</w:t>
            </w:r>
          </w:p>
        </w:tc>
      </w:tr>
      <w:tr w14:paraId="0864E8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720" w:type="dxa"/>
            <w:shd w:val="clear" w:color="auto" w:fill="auto"/>
          </w:tcPr>
          <w:p w14:paraId="690A7709">
            <w:pPr>
              <w:pStyle w:val="150"/>
            </w:pPr>
            <w:r>
              <w:rPr>
                <w:rFonts w:hint="eastAsia"/>
              </w:rPr>
              <w:t>排除站点</w:t>
            </w:r>
          </w:p>
        </w:tc>
        <w:tc>
          <w:tcPr>
            <w:tcW w:w="6250" w:type="dxa"/>
            <w:shd w:val="clear" w:color="auto" w:fill="auto"/>
          </w:tcPr>
          <w:p w14:paraId="5185784C">
            <w:pPr>
              <w:pStyle w:val="150"/>
            </w:pPr>
            <w:r>
              <w:rPr>
                <w:rFonts w:hint="eastAsia"/>
              </w:rPr>
              <w:t>设置排除站点，不对这些站点的流量进行解密</w:t>
            </w:r>
          </w:p>
        </w:tc>
      </w:tr>
      <w:tr w14:paraId="7D6CDD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8970" w:type="dxa"/>
            <w:gridSpan w:val="2"/>
            <w:shd w:val="clear" w:color="auto" w:fill="auto"/>
          </w:tcPr>
          <w:p w14:paraId="222EEDFE">
            <w:pPr>
              <w:pStyle w:val="150"/>
            </w:pPr>
            <w:r>
              <w:rPr>
                <w:rFonts w:hint="eastAsia"/>
              </w:rPr>
              <w:t>服务器解密</w:t>
            </w:r>
          </w:p>
        </w:tc>
      </w:tr>
      <w:tr w14:paraId="72E67DD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720" w:type="dxa"/>
            <w:shd w:val="clear" w:color="auto" w:fill="auto"/>
          </w:tcPr>
          <w:p w14:paraId="5482E1BD">
            <w:pPr>
              <w:pStyle w:val="150"/>
            </w:pPr>
            <w:r>
              <w:rPr>
                <w:rFonts w:hint="eastAsia"/>
              </w:rPr>
              <w:t>服务器配置</w:t>
            </w:r>
          </w:p>
        </w:tc>
        <w:tc>
          <w:tcPr>
            <w:tcW w:w="6250" w:type="dxa"/>
            <w:shd w:val="clear" w:color="auto" w:fill="auto"/>
          </w:tcPr>
          <w:p w14:paraId="3C1B0047">
            <w:pPr>
              <w:pStyle w:val="150"/>
            </w:pPr>
            <w:r>
              <w:rPr>
                <w:rFonts w:hint="eastAsia"/>
              </w:rPr>
              <w:t>配置内网需要SSL解密的服务器/端口，最大可配置8个。</w:t>
            </w:r>
          </w:p>
        </w:tc>
      </w:tr>
      <w:tr w14:paraId="554210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720" w:type="dxa"/>
            <w:shd w:val="clear" w:color="auto" w:fill="auto"/>
          </w:tcPr>
          <w:p w14:paraId="0F772124">
            <w:pPr>
              <w:pStyle w:val="150"/>
            </w:pPr>
            <w:r>
              <w:rPr>
                <w:rFonts w:hint="eastAsia"/>
              </w:rPr>
              <w:t>证书</w:t>
            </w:r>
          </w:p>
        </w:tc>
        <w:tc>
          <w:tcPr>
            <w:tcW w:w="6250" w:type="dxa"/>
            <w:shd w:val="clear" w:color="auto" w:fill="auto"/>
          </w:tcPr>
          <w:p w14:paraId="683F08D0">
            <w:pPr>
              <w:pStyle w:val="150"/>
            </w:pPr>
            <w:r>
              <w:rPr>
                <w:rFonts w:hint="eastAsia"/>
              </w:rPr>
              <w:t>选择服务器的S</w:t>
            </w:r>
            <w:r>
              <w:t>SL</w:t>
            </w:r>
            <w:r>
              <w:rPr>
                <w:rFonts w:hint="eastAsia"/>
              </w:rPr>
              <w:t xml:space="preserve">证书，需要先在“对象管理 </w:t>
            </w:r>
            <w:r>
              <w:t>&gt; 本地证书</w:t>
            </w:r>
            <w:r>
              <w:rPr>
                <w:rFonts w:hint="eastAsia"/>
              </w:rPr>
              <w:t>”中导入服务器的证书文件。</w:t>
            </w:r>
          </w:p>
        </w:tc>
      </w:tr>
      <w:tr w14:paraId="5432C3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720" w:type="dxa"/>
            <w:shd w:val="clear" w:color="auto" w:fill="auto"/>
          </w:tcPr>
          <w:p w14:paraId="6275FDF4">
            <w:pPr>
              <w:pStyle w:val="150"/>
            </w:pPr>
            <w:r>
              <w:rPr>
                <w:rFonts w:hint="eastAsia"/>
              </w:rPr>
              <w:t>镜像接口</w:t>
            </w:r>
          </w:p>
        </w:tc>
        <w:tc>
          <w:tcPr>
            <w:tcW w:w="6250" w:type="dxa"/>
            <w:shd w:val="clear" w:color="auto" w:fill="auto"/>
          </w:tcPr>
          <w:p w14:paraId="639C54E7">
            <w:pPr>
              <w:pStyle w:val="150"/>
            </w:pPr>
            <w:r>
              <w:rPr>
                <w:rFonts w:hint="eastAsia"/>
              </w:rPr>
              <w:t>SSL加密流量被解密以后，还可以将解密后的流量引流到第三方专业设备进行流量检测或是审计，选择镜像接口表示将解密后的流量从该接口发往第三方设备。</w:t>
            </w:r>
          </w:p>
          <w:p w14:paraId="7F7204E5">
            <w:pPr>
              <w:pStyle w:val="150"/>
            </w:pPr>
            <w:r>
              <w:rPr>
                <w:rFonts w:hint="eastAsia"/>
              </w:rPr>
              <w:t>接口可以配置物理接口。默认为空时，不对解密流量进行镜像。</w:t>
            </w:r>
          </w:p>
        </w:tc>
      </w:tr>
    </w:tbl>
    <w:p w14:paraId="3A7DE8DB">
      <w:bookmarkStart w:id="5636" w:name="_Toc494295580"/>
    </w:p>
    <w:p w14:paraId="0B5AEF21">
      <w:pPr>
        <w:pStyle w:val="4"/>
      </w:pPr>
      <w:bookmarkStart w:id="5637" w:name="_Toc194081005"/>
      <w:bookmarkStart w:id="5638" w:name="_Toc58604160"/>
      <w:bookmarkStart w:id="5639" w:name="_Toc70414619"/>
      <w:bookmarkStart w:id="5640" w:name="_Toc70415556"/>
      <w:bookmarkStart w:id="5641" w:name="_Toc142401249"/>
      <w:bookmarkStart w:id="5642" w:name="_Toc196728337"/>
      <w:bookmarkStart w:id="5643" w:name="_Toc172218513"/>
      <w:bookmarkStart w:id="5644" w:name="_Toc99561873"/>
      <w:bookmarkStart w:id="5645" w:name="_Toc141873732"/>
      <w:r>
        <w:rPr>
          <w:rFonts w:hint="eastAsia"/>
        </w:rPr>
        <w:t>配置SSL证书推送</w:t>
      </w:r>
      <w:bookmarkEnd w:id="5637"/>
      <w:bookmarkEnd w:id="5638"/>
      <w:bookmarkEnd w:id="5639"/>
      <w:bookmarkEnd w:id="5640"/>
      <w:bookmarkEnd w:id="5641"/>
      <w:bookmarkEnd w:id="5642"/>
      <w:bookmarkEnd w:id="5643"/>
      <w:bookmarkEnd w:id="5644"/>
      <w:bookmarkEnd w:id="5645"/>
    </w:p>
    <w:p w14:paraId="3A948919">
      <w:pPr>
        <w:pStyle w:val="5"/>
      </w:pPr>
      <w:bookmarkStart w:id="5646" w:name="_Toc99561874"/>
      <w:bookmarkStart w:id="5647" w:name="_Toc141873733"/>
      <w:bookmarkStart w:id="5648" w:name="_Toc142401250"/>
      <w:bookmarkStart w:id="5649" w:name="_Toc57816098"/>
      <w:bookmarkStart w:id="5650" w:name="_Toc70414620"/>
      <w:bookmarkStart w:id="5651" w:name="_Toc58604161"/>
      <w:bookmarkStart w:id="5652" w:name="_Toc70415557"/>
      <w:bookmarkStart w:id="5653" w:name="_Toc172218514"/>
      <w:bookmarkStart w:id="5654" w:name="_Toc194081006"/>
      <w:bookmarkStart w:id="5655" w:name="_Toc196728338"/>
      <w:r>
        <w:rPr>
          <w:rFonts w:hint="eastAsia"/>
        </w:rPr>
        <w:t>启用SSL证书推送</w:t>
      </w:r>
      <w:bookmarkEnd w:id="5646"/>
      <w:bookmarkEnd w:id="5647"/>
      <w:bookmarkEnd w:id="5648"/>
      <w:bookmarkEnd w:id="5649"/>
      <w:bookmarkEnd w:id="5650"/>
      <w:bookmarkEnd w:id="5651"/>
      <w:bookmarkEnd w:id="5652"/>
      <w:bookmarkEnd w:id="5653"/>
      <w:bookmarkEnd w:id="5654"/>
      <w:bookmarkEnd w:id="5655"/>
    </w:p>
    <w:p w14:paraId="6F5C6230">
      <w:r>
        <w:t>在导航栏中选择</w:t>
      </w:r>
      <w:r>
        <w:rPr>
          <w:rFonts w:hint="eastAsia"/>
        </w:rPr>
        <w:t>“</w:t>
      </w:r>
      <w:r>
        <w:t>策略配置 &gt; SSL解密策略 &gt; SSL证书推送</w:t>
      </w:r>
      <w:r>
        <w:rPr>
          <w:rFonts w:hint="eastAsia"/>
        </w:rPr>
        <w:t>”</w:t>
      </w:r>
      <w:r>
        <w:t>，进入证书推送页面，勾选启用按钮，配置SSL证书推送地址范围</w:t>
      </w:r>
      <w:r>
        <w:rPr>
          <w:rFonts w:hint="eastAsia"/>
        </w:rPr>
        <w:t>，进入如下图所示界面，在该界面，可以配置要进行证书推送的IP</w:t>
      </w:r>
      <w:r>
        <w:t>地址</w:t>
      </w:r>
      <w:r>
        <w:rPr>
          <w:rFonts w:hint="eastAsia"/>
        </w:rPr>
        <w:t>范文，各个配置项的含义如下表所示。</w:t>
      </w:r>
    </w:p>
    <w:p w14:paraId="462FD109">
      <w:pPr>
        <w:pStyle w:val="188"/>
      </w:pPr>
      <w:bookmarkStart w:id="5656" w:name="_Toc141875146"/>
      <w:r>
        <w:rPr>
          <w:rFonts w:hint="eastAsia"/>
        </w:rPr>
        <w:t>SSL证书推送界面</w:t>
      </w:r>
      <w:bookmarkEnd w:id="5656"/>
    </w:p>
    <w:p w14:paraId="33731B04">
      <w:r>
        <w:drawing>
          <wp:inline distT="0" distB="0" distL="0" distR="0">
            <wp:extent cx="4419600" cy="3705225"/>
            <wp:effectExtent l="0" t="0" r="0" b="952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712"/>
                    <a:stretch>
                      <a:fillRect/>
                    </a:stretch>
                  </pic:blipFill>
                  <pic:spPr>
                    <a:xfrm>
                      <a:off x="0" y="0"/>
                      <a:ext cx="4428120" cy="3712665"/>
                    </a:xfrm>
                    <a:prstGeom prst="rect">
                      <a:avLst/>
                    </a:prstGeom>
                  </pic:spPr>
                </pic:pic>
              </a:graphicData>
            </a:graphic>
          </wp:inline>
        </w:drawing>
      </w:r>
    </w:p>
    <w:p w14:paraId="61E02CA3"/>
    <w:p w14:paraId="701D4E4A">
      <w:pPr>
        <w:pStyle w:val="183"/>
      </w:pPr>
      <w:bookmarkStart w:id="5657" w:name="_Toc141875708"/>
      <w:r>
        <w:rPr>
          <w:rFonts w:hint="eastAsia"/>
        </w:rPr>
        <w:t>SSL证书推送配置项含义</w:t>
      </w:r>
      <w:bookmarkEnd w:id="5657"/>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436"/>
        <w:gridCol w:w="7534"/>
      </w:tblGrid>
      <w:tr w14:paraId="3E6379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36" w:type="dxa"/>
            <w:tcBorders>
              <w:tl2br w:val="nil"/>
              <w:tr2bl w:val="nil"/>
            </w:tcBorders>
            <w:shd w:val="clear" w:color="auto" w:fill="538135" w:themeFill="accent6" w:themeFillShade="BF"/>
            <w:vAlign w:val="center"/>
          </w:tcPr>
          <w:p w14:paraId="2F516E5C">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参数</w:t>
            </w:r>
          </w:p>
        </w:tc>
        <w:tc>
          <w:tcPr>
            <w:tcW w:w="7534" w:type="dxa"/>
            <w:tcBorders>
              <w:tl2br w:val="nil"/>
              <w:tr2bl w:val="nil"/>
            </w:tcBorders>
            <w:shd w:val="clear" w:color="auto" w:fill="538135" w:themeFill="accent6" w:themeFillShade="BF"/>
            <w:vAlign w:val="center"/>
          </w:tcPr>
          <w:p w14:paraId="62039477">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1988B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36" w:type="dxa"/>
            <w:shd w:val="clear" w:color="auto" w:fill="auto"/>
          </w:tcPr>
          <w:p w14:paraId="0930E07B">
            <w:pPr>
              <w:pStyle w:val="150"/>
            </w:pPr>
            <w:r>
              <w:rPr>
                <w:rFonts w:hint="eastAsia"/>
              </w:rPr>
              <w:t>启用</w:t>
            </w:r>
          </w:p>
        </w:tc>
        <w:tc>
          <w:tcPr>
            <w:tcW w:w="7534" w:type="dxa"/>
            <w:shd w:val="clear" w:color="auto" w:fill="auto"/>
          </w:tcPr>
          <w:p w14:paraId="332084EF">
            <w:pPr>
              <w:pStyle w:val="150"/>
            </w:pPr>
            <w:r>
              <w:rPr>
                <w:rFonts w:hint="eastAsia"/>
              </w:rPr>
              <w:t>是否启用SSL证书推送</w:t>
            </w:r>
            <w:r>
              <w:rPr>
                <w:rFonts w:hint="eastAsia" w:ascii="宋体" w:hAnsi="宋体" w:cs="宋体"/>
              </w:rPr>
              <w:t>。</w:t>
            </w:r>
          </w:p>
        </w:tc>
      </w:tr>
      <w:tr w14:paraId="191C3D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36" w:type="dxa"/>
            <w:shd w:val="clear" w:color="auto" w:fill="auto"/>
          </w:tcPr>
          <w:p w14:paraId="54375205">
            <w:pPr>
              <w:pStyle w:val="150"/>
            </w:pPr>
            <w:r>
              <w:rPr>
                <w:rFonts w:hint="eastAsia"/>
              </w:rPr>
              <w:t>地址范围</w:t>
            </w:r>
          </w:p>
        </w:tc>
        <w:tc>
          <w:tcPr>
            <w:tcW w:w="7534" w:type="dxa"/>
            <w:shd w:val="clear" w:color="auto" w:fill="auto"/>
          </w:tcPr>
          <w:p w14:paraId="695265E7">
            <w:pPr>
              <w:pStyle w:val="150"/>
            </w:pPr>
            <w:r>
              <w:rPr>
                <w:rFonts w:hint="eastAsia"/>
              </w:rPr>
              <w:t>SSL证书推送的IP地址范围。</w:t>
            </w:r>
          </w:p>
        </w:tc>
      </w:tr>
      <w:tr w14:paraId="0B256F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36" w:type="dxa"/>
            <w:shd w:val="clear" w:color="auto" w:fill="auto"/>
          </w:tcPr>
          <w:p w14:paraId="6B6808B6">
            <w:pPr>
              <w:pStyle w:val="150"/>
            </w:pPr>
            <w:r>
              <w:rPr>
                <w:rFonts w:hint="eastAsia"/>
              </w:rPr>
              <w:t>排除地址</w:t>
            </w:r>
          </w:p>
        </w:tc>
        <w:tc>
          <w:tcPr>
            <w:tcW w:w="7534" w:type="dxa"/>
            <w:shd w:val="clear" w:color="auto" w:fill="auto"/>
          </w:tcPr>
          <w:p w14:paraId="11231D3D">
            <w:pPr>
              <w:pStyle w:val="150"/>
            </w:pPr>
            <w:r>
              <w:rPr>
                <w:rFonts w:hint="eastAsia"/>
              </w:rPr>
              <w:t>排除地址不进行SSL证书推送。</w:t>
            </w:r>
          </w:p>
        </w:tc>
      </w:tr>
    </w:tbl>
    <w:p w14:paraId="3621060F"/>
    <w:p w14:paraId="2BF22EDD">
      <w:r>
        <w:rPr>
          <w:rFonts w:hint="eastAsia"/>
        </w:rPr>
        <w:t>不</w:t>
      </w:r>
      <w:r>
        <w:t>勾选启用按钮</w:t>
      </w:r>
      <w:r>
        <w:rPr>
          <w:rFonts w:hint="eastAsia"/>
        </w:rPr>
        <w:t>将禁用SSL证书推送，系统将不进行CA证书的安装检测，对内网所有用户不进行CA证书的安装推送。</w:t>
      </w:r>
    </w:p>
    <w:p w14:paraId="04FC9DB8">
      <w:pPr>
        <w:pStyle w:val="5"/>
      </w:pPr>
      <w:bookmarkStart w:id="5658" w:name="_Toc196728339"/>
      <w:bookmarkStart w:id="5659" w:name="_Toc46148392"/>
      <w:bookmarkStart w:id="5660" w:name="_Toc58604164"/>
      <w:bookmarkStart w:id="5661" w:name="_Toc99561875"/>
      <w:bookmarkStart w:id="5662" w:name="_Toc142401251"/>
      <w:bookmarkStart w:id="5663" w:name="_Toc70415560"/>
      <w:bookmarkStart w:id="5664" w:name="_Toc194081007"/>
      <w:bookmarkStart w:id="5665" w:name="_Toc70414623"/>
      <w:bookmarkStart w:id="5666" w:name="_Toc141873734"/>
      <w:bookmarkStart w:id="5667" w:name="_Toc172218515"/>
      <w:r>
        <w:rPr>
          <w:rFonts w:hint="eastAsia"/>
        </w:rPr>
        <w:t>使用限制</w:t>
      </w:r>
      <w:bookmarkEnd w:id="5658"/>
      <w:bookmarkEnd w:id="5659"/>
      <w:bookmarkEnd w:id="5660"/>
      <w:bookmarkEnd w:id="5661"/>
      <w:bookmarkEnd w:id="5662"/>
      <w:bookmarkEnd w:id="5663"/>
      <w:bookmarkEnd w:id="5664"/>
      <w:bookmarkEnd w:id="5665"/>
      <w:bookmarkEnd w:id="5666"/>
      <w:bookmarkEnd w:id="5667"/>
    </w:p>
    <w:p w14:paraId="6A3B4F9E">
      <w:pPr>
        <w:pStyle w:val="162"/>
      </w:pPr>
      <w:r>
        <w:rPr>
          <w:rFonts w:hint="eastAsia"/>
        </w:rPr>
        <w:t>当设备DNS设置成全局模式时，用户电脑的DNS需要指向设备的入接口，以保证DNS过设备。</w:t>
      </w:r>
    </w:p>
    <w:p w14:paraId="006A4DF3">
      <w:pPr>
        <w:pStyle w:val="162"/>
      </w:pPr>
      <w:r>
        <w:t>证书推送检查基于</w:t>
      </w:r>
      <w:r>
        <w:rPr>
          <w:rFonts w:hint="eastAsia"/>
        </w:rPr>
        <w:t>I</w:t>
      </w:r>
      <w:r>
        <w:t>P，无法支持多终端共享上网的情况，第一次检测后，一个小时内不再检测</w:t>
      </w:r>
      <w:r>
        <w:rPr>
          <w:rFonts w:hint="eastAsia"/>
        </w:rPr>
        <w:t>。</w:t>
      </w:r>
    </w:p>
    <w:p w14:paraId="093D05D3">
      <w:pPr>
        <w:pStyle w:val="162"/>
      </w:pPr>
      <w:r>
        <w:t>安卓手机、</w:t>
      </w:r>
      <w:r>
        <w:rPr>
          <w:rFonts w:hint="eastAsia"/>
        </w:rPr>
        <w:t>IOS手机和</w:t>
      </w:r>
      <w:r>
        <w:t>linux系统</w:t>
      </w:r>
      <w:r>
        <w:rPr>
          <w:rFonts w:hint="eastAsia"/>
        </w:rPr>
        <w:t>的P</w:t>
      </w:r>
      <w:r>
        <w:t>C不支持</w:t>
      </w:r>
      <w:r>
        <w:rPr>
          <w:rFonts w:hint="eastAsia"/>
        </w:rPr>
        <w:t>证书</w:t>
      </w:r>
      <w:r>
        <w:t>推送</w:t>
      </w:r>
      <w:r>
        <w:rPr>
          <w:rFonts w:hint="eastAsia"/>
        </w:rPr>
        <w:t>。</w:t>
      </w:r>
    </w:p>
    <w:bookmarkEnd w:id="5636"/>
    <w:p w14:paraId="05151905">
      <w:pPr>
        <w:pStyle w:val="4"/>
      </w:pPr>
      <w:bookmarkStart w:id="5668" w:name="_Toc508015072"/>
      <w:bookmarkEnd w:id="5668"/>
      <w:bookmarkStart w:id="5669" w:name="_Toc141873735"/>
      <w:bookmarkStart w:id="5670" w:name="_Toc142401252"/>
      <w:bookmarkStart w:id="5671" w:name="_Toc172218516"/>
      <w:bookmarkStart w:id="5672" w:name="_Toc194081008"/>
      <w:bookmarkStart w:id="5673" w:name="_Toc11687401"/>
      <w:bookmarkStart w:id="5674" w:name="_Toc23152805"/>
      <w:bookmarkStart w:id="5675" w:name="_Toc40276238"/>
      <w:bookmarkStart w:id="5676" w:name="_Toc196728340"/>
      <w:bookmarkStart w:id="5677" w:name="_Toc15485041"/>
      <w:bookmarkStart w:id="5678" w:name="_Toc7539628"/>
      <w:bookmarkStart w:id="5679" w:name="_Toc99561879"/>
      <w:r>
        <w:rPr>
          <w:rFonts w:hint="eastAsia"/>
        </w:rPr>
        <w:t>终端</w:t>
      </w:r>
      <w:r>
        <w:t>证书导入方法</w:t>
      </w:r>
      <w:bookmarkEnd w:id="5669"/>
      <w:bookmarkEnd w:id="5670"/>
      <w:bookmarkEnd w:id="5671"/>
      <w:bookmarkEnd w:id="5672"/>
      <w:bookmarkEnd w:id="5673"/>
      <w:bookmarkEnd w:id="5674"/>
      <w:bookmarkEnd w:id="5675"/>
      <w:bookmarkEnd w:id="5676"/>
      <w:bookmarkEnd w:id="5677"/>
      <w:bookmarkEnd w:id="5678"/>
      <w:bookmarkEnd w:id="5679"/>
    </w:p>
    <w:p w14:paraId="156D77A0">
      <w:pPr>
        <w:pStyle w:val="5"/>
      </w:pPr>
      <w:bookmarkStart w:id="5680" w:name="_Toc11687402"/>
      <w:bookmarkStart w:id="5681" w:name="_Toc15485042"/>
      <w:bookmarkStart w:id="5682" w:name="_Toc23152806"/>
      <w:bookmarkStart w:id="5683" w:name="_Toc7539629"/>
      <w:bookmarkStart w:id="5684" w:name="_Toc172218517"/>
      <w:bookmarkStart w:id="5685" w:name="_Toc141873736"/>
      <w:bookmarkStart w:id="5686" w:name="_Toc99561880"/>
      <w:bookmarkStart w:id="5687" w:name="_Toc142401253"/>
      <w:bookmarkStart w:id="5688" w:name="_Toc40276239"/>
      <w:bookmarkStart w:id="5689" w:name="_Toc194081009"/>
      <w:bookmarkStart w:id="5690" w:name="_Toc196728341"/>
      <w:r>
        <w:rPr>
          <w:rFonts w:hint="eastAsia"/>
        </w:rPr>
        <w:t>PC浏览</w:t>
      </w:r>
      <w:r>
        <w:t>器</w:t>
      </w:r>
      <w:r>
        <w:rPr>
          <w:rFonts w:hint="eastAsia"/>
        </w:rPr>
        <w:t>证书</w:t>
      </w:r>
      <w:r>
        <w:t>导入方法</w:t>
      </w:r>
      <w:bookmarkEnd w:id="5680"/>
      <w:bookmarkEnd w:id="5681"/>
      <w:bookmarkEnd w:id="5682"/>
      <w:bookmarkEnd w:id="5683"/>
      <w:bookmarkEnd w:id="5684"/>
      <w:bookmarkEnd w:id="5685"/>
      <w:bookmarkEnd w:id="5686"/>
      <w:bookmarkEnd w:id="5687"/>
      <w:bookmarkEnd w:id="5688"/>
      <w:bookmarkEnd w:id="5689"/>
      <w:bookmarkEnd w:id="5690"/>
    </w:p>
    <w:p w14:paraId="2392E3B2">
      <w:pPr>
        <w:pStyle w:val="202"/>
      </w:pPr>
      <w:bookmarkStart w:id="5691" w:name="_Toc7539630"/>
      <w:r>
        <w:rPr>
          <w:rFonts w:hint="eastAsia"/>
        </w:rPr>
        <w:t>IE/chrome</w:t>
      </w:r>
      <w:r>
        <w:t>浏览器证书的导入</w:t>
      </w:r>
      <w:r>
        <w:rPr>
          <w:rFonts w:hint="eastAsia"/>
        </w:rPr>
        <w:t>【适用于除Firefox以外的浏览器】</w:t>
      </w:r>
      <w:bookmarkEnd w:id="5691"/>
    </w:p>
    <w:p w14:paraId="5535E616">
      <w:pPr>
        <w:pStyle w:val="202"/>
      </w:pPr>
      <w:r>
        <w:rPr>
          <w:rFonts w:hint="eastAsia"/>
        </w:rPr>
        <w:t>下载证书【https</w:t>
      </w:r>
      <w:r>
        <w:t>.cer</w:t>
      </w:r>
      <w:r>
        <w:rPr>
          <w:rFonts w:hint="eastAsia"/>
        </w:rPr>
        <w:t>】到PC。</w:t>
      </w:r>
    </w:p>
    <w:p w14:paraId="0FC8C7F4">
      <w:r>
        <w:drawing>
          <wp:inline distT="0" distB="0" distL="0" distR="0">
            <wp:extent cx="4418965" cy="1885315"/>
            <wp:effectExtent l="0" t="0" r="635" b="635"/>
            <wp:docPr id="2256" name="图片 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6" name="图片 2256"/>
                    <pic:cNvPicPr>
                      <a:picLocks noChangeAspect="1"/>
                    </pic:cNvPicPr>
                  </pic:nvPicPr>
                  <pic:blipFill>
                    <a:blip r:embed="rId713"/>
                    <a:stretch>
                      <a:fillRect/>
                    </a:stretch>
                  </pic:blipFill>
                  <pic:spPr>
                    <a:xfrm>
                      <a:off x="0" y="0"/>
                      <a:ext cx="4419048" cy="1885714"/>
                    </a:xfrm>
                    <a:prstGeom prst="rect">
                      <a:avLst/>
                    </a:prstGeom>
                  </pic:spPr>
                </pic:pic>
              </a:graphicData>
            </a:graphic>
          </wp:inline>
        </w:drawing>
      </w:r>
    </w:p>
    <w:p w14:paraId="24AB914B"/>
    <w:p w14:paraId="64F19FD1">
      <w:pPr>
        <w:pStyle w:val="202"/>
      </w:pPr>
      <w:r>
        <w:rPr>
          <w:rFonts w:hint="eastAsia"/>
        </w:rPr>
        <w:t>双击打开证书【https.cer】，选择安装证书。</w:t>
      </w:r>
    </w:p>
    <w:p w14:paraId="248D1042">
      <w:r>
        <w:drawing>
          <wp:inline distT="0" distB="0" distL="0" distR="0">
            <wp:extent cx="4466590" cy="6285230"/>
            <wp:effectExtent l="0" t="0" r="0" b="1270"/>
            <wp:docPr id="2259" name="图片 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9" name="图片 2259"/>
                    <pic:cNvPicPr>
                      <a:picLocks noChangeAspect="1"/>
                    </pic:cNvPicPr>
                  </pic:nvPicPr>
                  <pic:blipFill>
                    <a:blip r:embed="rId714"/>
                    <a:stretch>
                      <a:fillRect/>
                    </a:stretch>
                  </pic:blipFill>
                  <pic:spPr>
                    <a:xfrm>
                      <a:off x="0" y="0"/>
                      <a:ext cx="4466667" cy="6285714"/>
                    </a:xfrm>
                    <a:prstGeom prst="rect">
                      <a:avLst/>
                    </a:prstGeom>
                  </pic:spPr>
                </pic:pic>
              </a:graphicData>
            </a:graphic>
          </wp:inline>
        </w:drawing>
      </w:r>
    </w:p>
    <w:p w14:paraId="52B58D11"/>
    <w:p w14:paraId="19F19DE5">
      <w:pPr>
        <w:pStyle w:val="202"/>
        <w:rPr>
          <w:lang w:eastAsia="zh-CN"/>
        </w:rPr>
      </w:pPr>
      <w:r>
        <w:rPr>
          <w:rFonts w:hint="eastAsia"/>
          <w:lang w:eastAsia="zh-CN"/>
        </w:rPr>
        <w:t>选择证书存储位置【二者皆可】</w:t>
      </w:r>
    </w:p>
    <w:p w14:paraId="65431010">
      <w:r>
        <w:drawing>
          <wp:inline distT="0" distB="0" distL="0" distR="0">
            <wp:extent cx="5274310" cy="5401310"/>
            <wp:effectExtent l="0" t="0" r="2540" b="8890"/>
            <wp:docPr id="2260" name="图片 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0" name="图片 2260"/>
                    <pic:cNvPicPr>
                      <a:picLocks noChangeAspect="1"/>
                    </pic:cNvPicPr>
                  </pic:nvPicPr>
                  <pic:blipFill>
                    <a:blip r:embed="rId715"/>
                    <a:stretch>
                      <a:fillRect/>
                    </a:stretch>
                  </pic:blipFill>
                  <pic:spPr>
                    <a:xfrm>
                      <a:off x="0" y="0"/>
                      <a:ext cx="5274310" cy="5401310"/>
                    </a:xfrm>
                    <a:prstGeom prst="rect">
                      <a:avLst/>
                    </a:prstGeom>
                  </pic:spPr>
                </pic:pic>
              </a:graphicData>
            </a:graphic>
          </wp:inline>
        </w:drawing>
      </w:r>
    </w:p>
    <w:p w14:paraId="58CC26A7"/>
    <w:p w14:paraId="2AF3C3A3">
      <w:pPr>
        <w:pStyle w:val="202"/>
        <w:rPr>
          <w:lang w:eastAsia="zh-CN"/>
        </w:rPr>
      </w:pPr>
      <w:r>
        <w:rPr>
          <w:rFonts w:hint="eastAsia"/>
          <w:lang w:eastAsia="zh-CN"/>
        </w:rPr>
        <w:t>选择【将所有证书放入下列存储】</w:t>
      </w:r>
    </w:p>
    <w:p w14:paraId="64A51E6D">
      <w:r>
        <w:drawing>
          <wp:inline distT="0" distB="0" distL="0" distR="0">
            <wp:extent cx="5274310" cy="5401945"/>
            <wp:effectExtent l="0" t="0" r="2540" b="8255"/>
            <wp:docPr id="2261" name="图片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 name="图片 2261"/>
                    <pic:cNvPicPr>
                      <a:picLocks noChangeAspect="1"/>
                    </pic:cNvPicPr>
                  </pic:nvPicPr>
                  <pic:blipFill>
                    <a:blip r:embed="rId716"/>
                    <a:stretch>
                      <a:fillRect/>
                    </a:stretch>
                  </pic:blipFill>
                  <pic:spPr>
                    <a:xfrm>
                      <a:off x="0" y="0"/>
                      <a:ext cx="5274310" cy="5401945"/>
                    </a:xfrm>
                    <a:prstGeom prst="rect">
                      <a:avLst/>
                    </a:prstGeom>
                  </pic:spPr>
                </pic:pic>
              </a:graphicData>
            </a:graphic>
          </wp:inline>
        </w:drawing>
      </w:r>
    </w:p>
    <w:p w14:paraId="2D8D301D"/>
    <w:p w14:paraId="1C7B8D52">
      <w:pPr>
        <w:pStyle w:val="202"/>
        <w:rPr>
          <w:lang w:eastAsia="zh-CN"/>
        </w:rPr>
      </w:pPr>
      <w:r>
        <w:rPr>
          <w:rFonts w:hint="eastAsia"/>
          <w:lang w:eastAsia="zh-CN"/>
        </w:rPr>
        <w:t>点击【浏览】选择【受信任的根证书颁发机构】然后【下一步】</w:t>
      </w:r>
    </w:p>
    <w:p w14:paraId="4AE952E3">
      <w:r>
        <w:drawing>
          <wp:inline distT="0" distB="0" distL="0" distR="0">
            <wp:extent cx="5274310" cy="5419090"/>
            <wp:effectExtent l="0" t="0" r="2540" b="0"/>
            <wp:docPr id="2262" name="图片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2" name="图片 2262"/>
                    <pic:cNvPicPr>
                      <a:picLocks noChangeAspect="1"/>
                    </pic:cNvPicPr>
                  </pic:nvPicPr>
                  <pic:blipFill>
                    <a:blip r:embed="rId717"/>
                    <a:stretch>
                      <a:fillRect/>
                    </a:stretch>
                  </pic:blipFill>
                  <pic:spPr>
                    <a:xfrm>
                      <a:off x="0" y="0"/>
                      <a:ext cx="5274310" cy="5419090"/>
                    </a:xfrm>
                    <a:prstGeom prst="rect">
                      <a:avLst/>
                    </a:prstGeom>
                  </pic:spPr>
                </pic:pic>
              </a:graphicData>
            </a:graphic>
          </wp:inline>
        </w:drawing>
      </w:r>
    </w:p>
    <w:p w14:paraId="741DAEF8"/>
    <w:p w14:paraId="31CE5E80">
      <w:pPr>
        <w:pStyle w:val="202"/>
      </w:pPr>
      <w:r>
        <w:rPr>
          <w:rFonts w:hint="eastAsia"/>
        </w:rPr>
        <w:t>确认信息点击【完成】</w:t>
      </w:r>
    </w:p>
    <w:p w14:paraId="550C1876">
      <w:r>
        <w:drawing>
          <wp:inline distT="0" distB="0" distL="0" distR="0">
            <wp:extent cx="3925570" cy="4114800"/>
            <wp:effectExtent l="0" t="0" r="0" b="0"/>
            <wp:docPr id="2263" name="图片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 name="图片 2263"/>
                    <pic:cNvPicPr>
                      <a:picLocks noChangeAspect="1"/>
                    </pic:cNvPicPr>
                  </pic:nvPicPr>
                  <pic:blipFill>
                    <a:blip r:embed="rId718"/>
                    <a:stretch>
                      <a:fillRect/>
                    </a:stretch>
                  </pic:blipFill>
                  <pic:spPr>
                    <a:xfrm>
                      <a:off x="0" y="0"/>
                      <a:ext cx="3928452" cy="4117165"/>
                    </a:xfrm>
                    <a:prstGeom prst="rect">
                      <a:avLst/>
                    </a:prstGeom>
                  </pic:spPr>
                </pic:pic>
              </a:graphicData>
            </a:graphic>
          </wp:inline>
        </w:drawing>
      </w:r>
    </w:p>
    <w:p w14:paraId="4C13370A">
      <w:r>
        <w:drawing>
          <wp:inline distT="0" distB="0" distL="0" distR="0">
            <wp:extent cx="1628140" cy="1713865"/>
            <wp:effectExtent l="0" t="0" r="0" b="635"/>
            <wp:docPr id="2264" name="图片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 name="图片 2264"/>
                    <pic:cNvPicPr>
                      <a:picLocks noChangeAspect="1"/>
                    </pic:cNvPicPr>
                  </pic:nvPicPr>
                  <pic:blipFill>
                    <a:blip r:embed="rId719"/>
                    <a:stretch>
                      <a:fillRect/>
                    </a:stretch>
                  </pic:blipFill>
                  <pic:spPr>
                    <a:xfrm>
                      <a:off x="0" y="0"/>
                      <a:ext cx="1628571" cy="1714286"/>
                    </a:xfrm>
                    <a:prstGeom prst="rect">
                      <a:avLst/>
                    </a:prstGeom>
                  </pic:spPr>
                </pic:pic>
              </a:graphicData>
            </a:graphic>
          </wp:inline>
        </w:drawing>
      </w:r>
    </w:p>
    <w:p w14:paraId="1833621D"/>
    <w:p w14:paraId="0647A018">
      <w:pPr>
        <w:pStyle w:val="6"/>
      </w:pPr>
      <w:bookmarkStart w:id="5692" w:name="_Toc511169201"/>
      <w:bookmarkEnd w:id="5692"/>
      <w:bookmarkStart w:id="5693" w:name="_Toc511168994"/>
      <w:bookmarkEnd w:id="5693"/>
      <w:bookmarkStart w:id="5694" w:name="_Toc511169200"/>
      <w:bookmarkEnd w:id="5694"/>
      <w:bookmarkStart w:id="5695" w:name="_Toc511169202"/>
      <w:bookmarkEnd w:id="5695"/>
      <w:bookmarkStart w:id="5696" w:name="_Toc511168993"/>
      <w:bookmarkEnd w:id="5696"/>
      <w:bookmarkStart w:id="5697" w:name="_Toc511168995"/>
      <w:bookmarkEnd w:id="5697"/>
      <w:bookmarkStart w:id="5698" w:name="_Toc7539631"/>
      <w:r>
        <w:t>Firefox浏览器证书的导入</w:t>
      </w:r>
      <w:bookmarkEnd w:id="5698"/>
    </w:p>
    <w:p w14:paraId="04D57CFB">
      <w:pPr>
        <w:pStyle w:val="202"/>
        <w:rPr>
          <w:lang w:eastAsia="zh-CN"/>
        </w:rPr>
      </w:pPr>
      <w:r>
        <w:rPr>
          <w:lang w:eastAsia="zh-CN"/>
        </w:rPr>
        <w:t>打开Firefox浏览器</w:t>
      </w:r>
      <w:r>
        <w:rPr>
          <w:rFonts w:hint="eastAsia"/>
          <w:lang w:eastAsia="zh-CN"/>
        </w:rPr>
        <w:t>，</w:t>
      </w:r>
      <w:r>
        <w:rPr>
          <w:lang w:eastAsia="zh-CN"/>
        </w:rPr>
        <w:t>选择</w:t>
      </w:r>
      <w:r>
        <w:rPr>
          <w:rFonts w:hint="eastAsia"/>
          <w:lang w:eastAsia="zh-CN"/>
        </w:rPr>
        <w:t>【选项】</w:t>
      </w:r>
    </w:p>
    <w:p w14:paraId="0D286EDF">
      <w:r>
        <w:drawing>
          <wp:inline distT="0" distB="0" distL="0" distR="0">
            <wp:extent cx="2251710" cy="3733800"/>
            <wp:effectExtent l="0" t="0" r="0" b="0"/>
            <wp:docPr id="2265" name="图片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5" name="图片 2265"/>
                    <pic:cNvPicPr>
                      <a:picLocks noChangeAspect="1"/>
                    </pic:cNvPicPr>
                  </pic:nvPicPr>
                  <pic:blipFill>
                    <a:blip r:embed="rId720"/>
                    <a:stretch>
                      <a:fillRect/>
                    </a:stretch>
                  </pic:blipFill>
                  <pic:spPr>
                    <a:xfrm>
                      <a:off x="0" y="0"/>
                      <a:ext cx="2251958" cy="3733333"/>
                    </a:xfrm>
                    <a:prstGeom prst="rect">
                      <a:avLst/>
                    </a:prstGeom>
                  </pic:spPr>
                </pic:pic>
              </a:graphicData>
            </a:graphic>
          </wp:inline>
        </w:drawing>
      </w:r>
    </w:p>
    <w:p w14:paraId="633211A3"/>
    <w:p w14:paraId="12DB9600">
      <w:pPr>
        <w:pStyle w:val="202"/>
        <w:rPr>
          <w:lang w:eastAsia="zh-CN"/>
        </w:rPr>
      </w:pPr>
      <w:r>
        <w:rPr>
          <w:rFonts w:hint="eastAsia"/>
          <w:lang w:eastAsia="zh-CN"/>
        </w:rPr>
        <w:t>选择【高级】——【证书】——【查看证书】</w:t>
      </w:r>
    </w:p>
    <w:p w14:paraId="0D16342D">
      <w:r>
        <w:drawing>
          <wp:inline distT="0" distB="0" distL="0" distR="0">
            <wp:extent cx="4533900" cy="3169285"/>
            <wp:effectExtent l="0" t="0" r="0" b="0"/>
            <wp:docPr id="2266" name="图片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6" name="图片 2266"/>
                    <pic:cNvPicPr>
                      <a:picLocks noChangeAspect="1"/>
                    </pic:cNvPicPr>
                  </pic:nvPicPr>
                  <pic:blipFill>
                    <a:blip r:embed="rId721"/>
                    <a:stretch>
                      <a:fillRect/>
                    </a:stretch>
                  </pic:blipFill>
                  <pic:spPr>
                    <a:xfrm>
                      <a:off x="0" y="0"/>
                      <a:ext cx="4535462" cy="3170892"/>
                    </a:xfrm>
                    <a:prstGeom prst="rect">
                      <a:avLst/>
                    </a:prstGeom>
                  </pic:spPr>
                </pic:pic>
              </a:graphicData>
            </a:graphic>
          </wp:inline>
        </w:drawing>
      </w:r>
    </w:p>
    <w:p w14:paraId="27DC6257"/>
    <w:p w14:paraId="4CB55BBA">
      <w:pPr>
        <w:pStyle w:val="202"/>
        <w:rPr>
          <w:lang w:eastAsia="zh-CN"/>
        </w:rPr>
      </w:pPr>
      <w:r>
        <w:rPr>
          <w:rFonts w:hint="eastAsia"/>
          <w:lang w:eastAsia="zh-CN"/>
        </w:rPr>
        <w:t>进入【证书机构】——选择【导入】</w:t>
      </w:r>
    </w:p>
    <w:p w14:paraId="648CCA48">
      <w:r>
        <w:drawing>
          <wp:inline distT="0" distB="0" distL="0" distR="0">
            <wp:extent cx="5274310" cy="2966720"/>
            <wp:effectExtent l="0" t="0" r="2540" b="5080"/>
            <wp:docPr id="2267" name="图片 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7" name="图片 2267"/>
                    <pic:cNvPicPr>
                      <a:picLocks noChangeAspect="1"/>
                    </pic:cNvPicPr>
                  </pic:nvPicPr>
                  <pic:blipFill>
                    <a:blip r:embed="rId722"/>
                    <a:stretch>
                      <a:fillRect/>
                    </a:stretch>
                  </pic:blipFill>
                  <pic:spPr>
                    <a:xfrm>
                      <a:off x="0" y="0"/>
                      <a:ext cx="5274310" cy="2966720"/>
                    </a:xfrm>
                    <a:prstGeom prst="rect">
                      <a:avLst/>
                    </a:prstGeom>
                  </pic:spPr>
                </pic:pic>
              </a:graphicData>
            </a:graphic>
          </wp:inline>
        </w:drawing>
      </w:r>
    </w:p>
    <w:p w14:paraId="08391296"/>
    <w:p w14:paraId="108AC396">
      <w:pPr>
        <w:pStyle w:val="202"/>
      </w:pPr>
      <w:r>
        <w:rPr>
          <w:rFonts w:hint="eastAsia"/>
        </w:rPr>
        <w:t>选择【https.cer】点击【打开】</w:t>
      </w:r>
    </w:p>
    <w:p w14:paraId="367E02B9">
      <w:r>
        <w:drawing>
          <wp:inline distT="0" distB="0" distL="0" distR="0">
            <wp:extent cx="5274310" cy="3180080"/>
            <wp:effectExtent l="0" t="0" r="2540" b="1270"/>
            <wp:docPr id="2268" name="图片 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8" name="图片 2268"/>
                    <pic:cNvPicPr>
                      <a:picLocks noChangeAspect="1"/>
                    </pic:cNvPicPr>
                  </pic:nvPicPr>
                  <pic:blipFill>
                    <a:blip r:embed="rId723"/>
                    <a:stretch>
                      <a:fillRect/>
                    </a:stretch>
                  </pic:blipFill>
                  <pic:spPr>
                    <a:xfrm>
                      <a:off x="0" y="0"/>
                      <a:ext cx="5274310" cy="3180080"/>
                    </a:xfrm>
                    <a:prstGeom prst="rect">
                      <a:avLst/>
                    </a:prstGeom>
                  </pic:spPr>
                </pic:pic>
              </a:graphicData>
            </a:graphic>
          </wp:inline>
        </w:drawing>
      </w:r>
    </w:p>
    <w:p w14:paraId="1B3B33A6"/>
    <w:p w14:paraId="493922DF">
      <w:pPr>
        <w:pStyle w:val="202"/>
        <w:rPr>
          <w:lang w:eastAsia="zh-CN"/>
        </w:rPr>
      </w:pPr>
      <w:r>
        <w:rPr>
          <w:rFonts w:hint="eastAsia"/>
          <w:lang w:eastAsia="zh-CN"/>
        </w:rPr>
        <w:t>【全部勾选三个信任提示】——【确定】</w:t>
      </w:r>
    </w:p>
    <w:p w14:paraId="2FFBAE5D">
      <w:r>
        <w:drawing>
          <wp:inline distT="0" distB="0" distL="0" distR="0">
            <wp:extent cx="5274310" cy="3004185"/>
            <wp:effectExtent l="0" t="0" r="2540" b="5715"/>
            <wp:docPr id="2269" name="图片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9" name="图片 2269"/>
                    <pic:cNvPicPr>
                      <a:picLocks noChangeAspect="1"/>
                    </pic:cNvPicPr>
                  </pic:nvPicPr>
                  <pic:blipFill>
                    <a:blip r:embed="rId724"/>
                    <a:stretch>
                      <a:fillRect/>
                    </a:stretch>
                  </pic:blipFill>
                  <pic:spPr>
                    <a:xfrm>
                      <a:off x="0" y="0"/>
                      <a:ext cx="5274310" cy="3004185"/>
                    </a:xfrm>
                    <a:prstGeom prst="rect">
                      <a:avLst/>
                    </a:prstGeom>
                  </pic:spPr>
                </pic:pic>
              </a:graphicData>
            </a:graphic>
          </wp:inline>
        </w:drawing>
      </w:r>
    </w:p>
    <w:p w14:paraId="655CE818"/>
    <w:p w14:paraId="3840D768">
      <w:pPr>
        <w:pStyle w:val="202"/>
        <w:rPr>
          <w:lang w:eastAsia="zh-CN"/>
        </w:rPr>
      </w:pPr>
      <w:r>
        <w:rPr>
          <w:rFonts w:hint="eastAsia"/>
          <w:lang w:eastAsia="zh-CN"/>
        </w:rPr>
        <w:t>确认导入的证书点击【确定】</w:t>
      </w:r>
    </w:p>
    <w:p w14:paraId="2A947FD5">
      <w:r>
        <w:drawing>
          <wp:inline distT="0" distB="0" distL="0" distR="0">
            <wp:extent cx="5274310" cy="2989580"/>
            <wp:effectExtent l="0" t="0" r="2540" b="1270"/>
            <wp:docPr id="2270" name="图片 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0" name="图片 2270"/>
                    <pic:cNvPicPr>
                      <a:picLocks noChangeAspect="1"/>
                    </pic:cNvPicPr>
                  </pic:nvPicPr>
                  <pic:blipFill>
                    <a:blip r:embed="rId725"/>
                    <a:stretch>
                      <a:fillRect/>
                    </a:stretch>
                  </pic:blipFill>
                  <pic:spPr>
                    <a:xfrm>
                      <a:off x="0" y="0"/>
                      <a:ext cx="5274310" cy="2989580"/>
                    </a:xfrm>
                    <a:prstGeom prst="rect">
                      <a:avLst/>
                    </a:prstGeom>
                  </pic:spPr>
                </pic:pic>
              </a:graphicData>
            </a:graphic>
          </wp:inline>
        </w:drawing>
      </w:r>
    </w:p>
    <w:p w14:paraId="1DF8DA0F"/>
    <w:p w14:paraId="6ED23675">
      <w:r>
        <w:rPr>
          <w:rFonts w:hint="eastAsia"/>
        </w:rPr>
        <w:t>注：浏览器导入证书需要清除缓存以后重新打开浏览器！</w:t>
      </w:r>
    </w:p>
    <w:p w14:paraId="11800B83">
      <w:pPr>
        <w:pStyle w:val="5"/>
      </w:pPr>
      <w:bookmarkStart w:id="5699" w:name="_Toc15485043"/>
      <w:bookmarkStart w:id="5700" w:name="_Toc23152807"/>
      <w:bookmarkStart w:id="5701" w:name="_Toc99561881"/>
      <w:bookmarkStart w:id="5702" w:name="_Toc142401254"/>
      <w:bookmarkStart w:id="5703" w:name="_Toc141873737"/>
      <w:bookmarkStart w:id="5704" w:name="_Toc172218518"/>
      <w:bookmarkStart w:id="5705" w:name="_Toc194081010"/>
      <w:bookmarkStart w:id="5706" w:name="_Toc196728342"/>
      <w:bookmarkStart w:id="5707" w:name="_Toc40276240"/>
      <w:bookmarkStart w:id="5708" w:name="_Toc11687403"/>
      <w:bookmarkStart w:id="5709" w:name="_Toc7539632"/>
      <w:r>
        <w:rPr>
          <w:rFonts w:hint="eastAsia"/>
        </w:rPr>
        <w:t>移动</w:t>
      </w:r>
      <w:r>
        <w:t>终端</w:t>
      </w:r>
      <w:r>
        <w:rPr>
          <w:rFonts w:hint="eastAsia"/>
        </w:rPr>
        <w:t>证书</w:t>
      </w:r>
      <w:r>
        <w:t>导入方法</w:t>
      </w:r>
      <w:bookmarkEnd w:id="5699"/>
      <w:bookmarkEnd w:id="5700"/>
      <w:bookmarkEnd w:id="5701"/>
      <w:bookmarkEnd w:id="5702"/>
      <w:bookmarkEnd w:id="5703"/>
      <w:bookmarkEnd w:id="5704"/>
      <w:bookmarkEnd w:id="5705"/>
      <w:bookmarkEnd w:id="5706"/>
      <w:bookmarkEnd w:id="5707"/>
      <w:bookmarkEnd w:id="5708"/>
      <w:bookmarkEnd w:id="5709"/>
    </w:p>
    <w:p w14:paraId="78464E5E">
      <w:pPr>
        <w:pStyle w:val="6"/>
      </w:pPr>
      <w:bookmarkStart w:id="5710" w:name="_Toc7539633"/>
      <w:r>
        <w:rPr>
          <w:rFonts w:hint="eastAsia"/>
        </w:rPr>
        <w:t>安卓证书导入</w:t>
      </w:r>
      <w:bookmarkEnd w:id="5710"/>
    </w:p>
    <w:p w14:paraId="3C396BAD">
      <w:pPr>
        <w:pStyle w:val="202"/>
      </w:pPr>
      <w:r>
        <w:rPr>
          <w:rFonts w:hint="eastAsia"/>
        </w:rPr>
        <w:t>将证书放置http网站。</w:t>
      </w:r>
    </w:p>
    <w:p w14:paraId="01E4ABAF">
      <w:r>
        <w:drawing>
          <wp:inline distT="0" distB="0" distL="0" distR="0">
            <wp:extent cx="2657475" cy="3524250"/>
            <wp:effectExtent l="0" t="0" r="9525" b="0"/>
            <wp:docPr id="2271" name="图片 2271" descr="C:\Users\wangyiyu\Documents\Tencent Files\584079496\Image\C2C\1408F35AABE4A4BF9C28EE53654142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1" name="图片 2271" descr="C:\Users\wangyiyu\Documents\Tencent Files\584079496\Image\C2C\1408F35AABE4A4BF9C28EE536541421B.jpg"/>
                    <pic:cNvPicPr>
                      <a:picLocks noChangeAspect="1" noChangeArrowheads="1"/>
                    </pic:cNvPicPr>
                  </pic:nvPicPr>
                  <pic:blipFill>
                    <a:blip r:embed="rId726" cstate="print">
                      <a:extLst>
                        <a:ext uri="{28A0092B-C50C-407E-A947-70E740481C1C}">
                          <a14:useLocalDpi xmlns:a14="http://schemas.microsoft.com/office/drawing/2010/main" val="0"/>
                        </a:ext>
                      </a:extLst>
                    </a:blip>
                    <a:srcRect/>
                    <a:stretch>
                      <a:fillRect/>
                    </a:stretch>
                  </pic:blipFill>
                  <pic:spPr>
                    <a:xfrm>
                      <a:off x="0" y="0"/>
                      <a:ext cx="2660040" cy="3527652"/>
                    </a:xfrm>
                    <a:prstGeom prst="rect">
                      <a:avLst/>
                    </a:prstGeom>
                    <a:noFill/>
                    <a:ln>
                      <a:noFill/>
                    </a:ln>
                  </pic:spPr>
                </pic:pic>
              </a:graphicData>
            </a:graphic>
          </wp:inline>
        </w:drawing>
      </w:r>
    </w:p>
    <w:p w14:paraId="3C9B1844"/>
    <w:p w14:paraId="24FEAB52">
      <w:pPr>
        <w:pStyle w:val="202"/>
      </w:pPr>
      <w:r>
        <w:rPr>
          <w:rFonts w:hint="eastAsia"/>
        </w:rPr>
        <w:t>点击下载证书</w:t>
      </w:r>
    </w:p>
    <w:p w14:paraId="58FF1F43">
      <w:r>
        <w:drawing>
          <wp:inline distT="0" distB="0" distL="0" distR="0">
            <wp:extent cx="3667125" cy="2095500"/>
            <wp:effectExtent l="0" t="0" r="9525" b="0"/>
            <wp:docPr id="2272" name="图片 2272" descr="C:\Users\wangyiyu\Documents\Tencent Files\584079496\Image\C2C\810122C6524D4FA1063A93CAFC2889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2" name="图片 2272" descr="C:\Users\wangyiyu\Documents\Tencent Files\584079496\Image\C2C\810122C6524D4FA1063A93CAFC28892D.jpg"/>
                    <pic:cNvPicPr>
                      <a:picLocks noChangeAspect="1" noChangeArrowheads="1"/>
                    </pic:cNvPicPr>
                  </pic:nvPicPr>
                  <pic:blipFill>
                    <a:blip r:embed="rId727" cstate="print">
                      <a:extLst>
                        <a:ext uri="{28A0092B-C50C-407E-A947-70E740481C1C}">
                          <a14:useLocalDpi xmlns:a14="http://schemas.microsoft.com/office/drawing/2010/main" val="0"/>
                        </a:ext>
                      </a:extLst>
                    </a:blip>
                    <a:srcRect t="67859"/>
                    <a:stretch>
                      <a:fillRect/>
                    </a:stretch>
                  </pic:blipFill>
                  <pic:spPr>
                    <a:xfrm>
                      <a:off x="0" y="0"/>
                      <a:ext cx="3671988" cy="2098155"/>
                    </a:xfrm>
                    <a:prstGeom prst="rect">
                      <a:avLst/>
                    </a:prstGeom>
                    <a:noFill/>
                    <a:ln>
                      <a:noFill/>
                    </a:ln>
                  </pic:spPr>
                </pic:pic>
              </a:graphicData>
            </a:graphic>
          </wp:inline>
        </w:drawing>
      </w:r>
    </w:p>
    <w:p w14:paraId="4E5F2934"/>
    <w:p w14:paraId="33BC7DE4">
      <w:pPr>
        <w:pStyle w:val="202"/>
        <w:rPr>
          <w:lang w:eastAsia="zh-CN"/>
        </w:rPr>
      </w:pPr>
      <w:r>
        <w:rPr>
          <w:rFonts w:hint="eastAsia"/>
          <w:lang w:eastAsia="zh-CN"/>
        </w:rPr>
        <w:t>下载成功后，选择“打开”证书。</w:t>
      </w:r>
    </w:p>
    <w:p w14:paraId="6136710A">
      <w:r>
        <w:drawing>
          <wp:inline distT="0" distB="0" distL="0" distR="0">
            <wp:extent cx="3686175" cy="2435860"/>
            <wp:effectExtent l="0" t="0" r="0" b="2540"/>
            <wp:docPr id="2273" name="图片 2273" descr="C:\Users\wangyiyu\Documents\Tencent Files\584079496\Image\C2C\810122C6524D4FA1063A93CAFC2889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 name="图片 2273" descr="C:\Users\wangyiyu\Documents\Tencent Files\584079496\Image\C2C\810122C6524D4FA1063A93CAFC28892D.jpg"/>
                    <pic:cNvPicPr>
                      <a:picLocks noChangeAspect="1" noChangeArrowheads="1"/>
                    </pic:cNvPicPr>
                  </pic:nvPicPr>
                  <pic:blipFill>
                    <a:blip r:embed="rId727" cstate="print">
                      <a:extLst>
                        <a:ext uri="{28A0092B-C50C-407E-A947-70E740481C1C}">
                          <a14:useLocalDpi xmlns:a14="http://schemas.microsoft.com/office/drawing/2010/main" val="0"/>
                        </a:ext>
                      </a:extLst>
                    </a:blip>
                    <a:srcRect b="62820"/>
                    <a:stretch>
                      <a:fillRect/>
                    </a:stretch>
                  </pic:blipFill>
                  <pic:spPr>
                    <a:xfrm>
                      <a:off x="0" y="0"/>
                      <a:ext cx="3686230" cy="2436516"/>
                    </a:xfrm>
                    <a:prstGeom prst="rect">
                      <a:avLst/>
                    </a:prstGeom>
                    <a:noFill/>
                    <a:ln>
                      <a:noFill/>
                    </a:ln>
                  </pic:spPr>
                </pic:pic>
              </a:graphicData>
            </a:graphic>
          </wp:inline>
        </w:drawing>
      </w:r>
    </w:p>
    <w:p w14:paraId="009B64FA"/>
    <w:p w14:paraId="647D8437">
      <w:pPr>
        <w:pStyle w:val="202"/>
        <w:rPr>
          <w:lang w:eastAsia="zh-CN"/>
        </w:rPr>
      </w:pPr>
      <w:r>
        <w:rPr>
          <w:rFonts w:hint="eastAsia"/>
          <w:lang w:eastAsia="zh-CN"/>
        </w:rPr>
        <w:t>证书安装器会弹出“为证书命名”，并且凭据用途要先选择“WLAN”。</w:t>
      </w:r>
    </w:p>
    <w:p w14:paraId="3E461111">
      <w:r>
        <w:drawing>
          <wp:inline distT="0" distB="0" distL="0" distR="0">
            <wp:extent cx="2667000" cy="4067175"/>
            <wp:effectExtent l="0" t="0" r="0" b="9525"/>
            <wp:docPr id="2274" name="图片 2274" descr="C:\Users\wangyiyu\Documents\Tencent Files\584079496\Image\C2C\CC2D41E606ED002CF37CD424C370A1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4" name="图片 2274" descr="C:\Users\wangyiyu\Documents\Tencent Files\584079496\Image\C2C\CC2D41E606ED002CF37CD424C370A1B5.jpg"/>
                    <pic:cNvPicPr>
                      <a:picLocks noChangeAspect="1" noChangeArrowheads="1"/>
                    </pic:cNvPicPr>
                  </pic:nvPicPr>
                  <pic:blipFill>
                    <a:blip r:embed="rId728" cstate="print">
                      <a:extLst>
                        <a:ext uri="{28A0092B-C50C-407E-A947-70E740481C1C}">
                          <a14:useLocalDpi xmlns:a14="http://schemas.microsoft.com/office/drawing/2010/main" val="0"/>
                        </a:ext>
                      </a:extLst>
                    </a:blip>
                    <a:srcRect/>
                    <a:stretch>
                      <a:fillRect/>
                    </a:stretch>
                  </pic:blipFill>
                  <pic:spPr>
                    <a:xfrm>
                      <a:off x="0" y="0"/>
                      <a:ext cx="2670136" cy="4071957"/>
                    </a:xfrm>
                    <a:prstGeom prst="rect">
                      <a:avLst/>
                    </a:prstGeom>
                    <a:noFill/>
                    <a:ln>
                      <a:noFill/>
                    </a:ln>
                  </pic:spPr>
                </pic:pic>
              </a:graphicData>
            </a:graphic>
          </wp:inline>
        </w:drawing>
      </w:r>
    </w:p>
    <w:p w14:paraId="21098B60"/>
    <w:p w14:paraId="06349F52">
      <w:pPr>
        <w:pStyle w:val="202"/>
        <w:rPr>
          <w:lang w:eastAsia="zh-CN"/>
        </w:rPr>
      </w:pPr>
      <w:r>
        <w:rPr>
          <w:rFonts w:hint="eastAsia"/>
          <w:lang w:eastAsia="zh-CN"/>
        </w:rPr>
        <w:t>凭据用途选择“VPN和应用”再安装一次。</w:t>
      </w:r>
    </w:p>
    <w:p w14:paraId="2BD0BE2B">
      <w:r>
        <w:drawing>
          <wp:inline distT="0" distB="0" distL="0" distR="0">
            <wp:extent cx="2705100" cy="3981450"/>
            <wp:effectExtent l="0" t="0" r="0" b="0"/>
            <wp:docPr id="2275" name="图片 2275" descr="C:\Users\wangyiyu\Documents\Tencent Files\584079496\Image\C2C\E90C158A16EA950A3D3CF2F654FC58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5" name="图片 2275" descr="C:\Users\wangyiyu\Documents\Tencent Files\584079496\Image\C2C\E90C158A16EA950A3D3CF2F654FC58DE.jpg"/>
                    <pic:cNvPicPr>
                      <a:picLocks noChangeAspect="1" noChangeArrowheads="1"/>
                    </pic:cNvPicPr>
                  </pic:nvPicPr>
                  <pic:blipFill>
                    <a:blip r:embed="rId729" cstate="print">
                      <a:extLst>
                        <a:ext uri="{28A0092B-C50C-407E-A947-70E740481C1C}">
                          <a14:useLocalDpi xmlns:a14="http://schemas.microsoft.com/office/drawing/2010/main" val="0"/>
                        </a:ext>
                      </a:extLst>
                    </a:blip>
                    <a:srcRect/>
                    <a:stretch>
                      <a:fillRect/>
                    </a:stretch>
                  </pic:blipFill>
                  <pic:spPr>
                    <a:xfrm>
                      <a:off x="0" y="0"/>
                      <a:ext cx="2713210" cy="3993387"/>
                    </a:xfrm>
                    <a:prstGeom prst="rect">
                      <a:avLst/>
                    </a:prstGeom>
                    <a:noFill/>
                    <a:ln>
                      <a:noFill/>
                    </a:ln>
                  </pic:spPr>
                </pic:pic>
              </a:graphicData>
            </a:graphic>
          </wp:inline>
        </w:drawing>
      </w:r>
    </w:p>
    <w:p w14:paraId="021C4600"/>
    <w:p w14:paraId="11B62154">
      <w:pPr>
        <w:pStyle w:val="202"/>
        <w:rPr>
          <w:lang w:eastAsia="zh-CN"/>
        </w:rPr>
      </w:pPr>
      <w:r>
        <w:rPr>
          <w:rFonts w:hint="eastAsia"/>
          <w:lang w:eastAsia="zh-CN"/>
        </w:rPr>
        <w:t>进入手机“安全与隐私”，选择“受信任的凭据”中“用户”查看证书是否安装成功。</w:t>
      </w:r>
    </w:p>
    <w:p w14:paraId="13295742">
      <w:r>
        <w:drawing>
          <wp:inline distT="0" distB="0" distL="0" distR="0">
            <wp:extent cx="3253105" cy="4524375"/>
            <wp:effectExtent l="0" t="0" r="4445" b="0"/>
            <wp:docPr id="2276" name="图片 2276" descr="C:\Users\wangyiyu\Documents\Tencent Files\584079496\Image\C2C\934CA26E74ACEB798E8F00C164A2A2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6" name="图片 2276" descr="C:\Users\wangyiyu\Documents\Tencent Files\584079496\Image\C2C\934CA26E74ACEB798E8F00C164A2A2B8.jpg"/>
                    <pic:cNvPicPr>
                      <a:picLocks noChangeAspect="1" noChangeArrowheads="1"/>
                    </pic:cNvPicPr>
                  </pic:nvPicPr>
                  <pic:blipFill>
                    <a:blip r:embed="rId730" cstate="print">
                      <a:extLst>
                        <a:ext uri="{28A0092B-C50C-407E-A947-70E740481C1C}">
                          <a14:useLocalDpi xmlns:a14="http://schemas.microsoft.com/office/drawing/2010/main" val="0"/>
                        </a:ext>
                      </a:extLst>
                    </a:blip>
                    <a:srcRect/>
                    <a:stretch>
                      <a:fillRect/>
                    </a:stretch>
                  </pic:blipFill>
                  <pic:spPr>
                    <a:xfrm>
                      <a:off x="0" y="0"/>
                      <a:ext cx="3256723" cy="4529218"/>
                    </a:xfrm>
                    <a:prstGeom prst="rect">
                      <a:avLst/>
                    </a:prstGeom>
                    <a:noFill/>
                    <a:ln>
                      <a:noFill/>
                    </a:ln>
                  </pic:spPr>
                </pic:pic>
              </a:graphicData>
            </a:graphic>
          </wp:inline>
        </w:drawing>
      </w:r>
    </w:p>
    <w:p w14:paraId="34052AE3"/>
    <w:p w14:paraId="454B0AE0">
      <w:pPr>
        <w:pStyle w:val="202"/>
        <w:rPr>
          <w:lang w:eastAsia="zh-CN"/>
        </w:rPr>
      </w:pPr>
      <w:r>
        <w:rPr>
          <w:lang w:eastAsia="zh-CN"/>
        </w:rPr>
        <w:t>如果未成功</w:t>
      </w:r>
      <w:r>
        <w:rPr>
          <w:rFonts w:hint="eastAsia"/>
          <w:lang w:eastAsia="zh-CN"/>
        </w:rPr>
        <w:t>，选择</w:t>
      </w:r>
      <w:r>
        <w:rPr>
          <w:lang w:eastAsia="zh-CN"/>
        </w:rPr>
        <w:t>在</w:t>
      </w:r>
      <w:r>
        <w:rPr>
          <w:rFonts w:hint="eastAsia"/>
          <w:lang w:eastAsia="zh-CN"/>
        </w:rPr>
        <w:t>“安全与隐私”中“从SD卡安装证书”，找到证书路径，重复上述步骤安装证书。</w:t>
      </w:r>
    </w:p>
    <w:p w14:paraId="6AED06FE">
      <w:pPr>
        <w:pStyle w:val="6"/>
      </w:pPr>
      <w:bookmarkStart w:id="5711" w:name="_Toc7539634"/>
      <w:r>
        <w:rPr>
          <w:rFonts w:hint="eastAsia"/>
        </w:rPr>
        <w:t>苹果IOS证书导入</w:t>
      </w:r>
      <w:bookmarkEnd w:id="5711"/>
    </w:p>
    <w:p w14:paraId="22323363">
      <w:pPr>
        <w:pStyle w:val="202"/>
      </w:pPr>
      <w:r>
        <w:rPr>
          <w:rFonts w:hint="eastAsia"/>
        </w:rPr>
        <w:t>将证书放置http网站。</w:t>
      </w:r>
    </w:p>
    <w:p w14:paraId="7AEA3334">
      <w:r>
        <w:drawing>
          <wp:inline distT="0" distB="0" distL="0" distR="0">
            <wp:extent cx="2762885" cy="4067175"/>
            <wp:effectExtent l="0" t="0" r="0" b="0"/>
            <wp:docPr id="2277" name="图片 2277" descr="D:\工作\各种资料\MobileFile\IMG_44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7" name="图片 2277" descr="D:\工作\各种资料\MobileFile\IMG_4439.PNG"/>
                    <pic:cNvPicPr>
                      <a:picLocks noChangeAspect="1" noChangeArrowheads="1"/>
                    </pic:cNvPicPr>
                  </pic:nvPicPr>
                  <pic:blipFill>
                    <a:blip r:embed="rId731" cstate="print">
                      <a:extLst>
                        <a:ext uri="{28A0092B-C50C-407E-A947-70E740481C1C}">
                          <a14:useLocalDpi xmlns:a14="http://schemas.microsoft.com/office/drawing/2010/main" val="0"/>
                        </a:ext>
                      </a:extLst>
                    </a:blip>
                    <a:srcRect/>
                    <a:stretch>
                      <a:fillRect/>
                    </a:stretch>
                  </pic:blipFill>
                  <pic:spPr>
                    <a:xfrm>
                      <a:off x="0" y="0"/>
                      <a:ext cx="2765802" cy="4071273"/>
                    </a:xfrm>
                    <a:prstGeom prst="rect">
                      <a:avLst/>
                    </a:prstGeom>
                    <a:noFill/>
                    <a:ln>
                      <a:noFill/>
                    </a:ln>
                  </pic:spPr>
                </pic:pic>
              </a:graphicData>
            </a:graphic>
          </wp:inline>
        </w:drawing>
      </w:r>
    </w:p>
    <w:p w14:paraId="05BB54B8"/>
    <w:p w14:paraId="7EADD003">
      <w:pPr>
        <w:pStyle w:val="202"/>
      </w:pPr>
      <w:r>
        <w:rPr>
          <w:rFonts w:hint="eastAsia"/>
        </w:rPr>
        <w:t>点击下载证书</w:t>
      </w:r>
    </w:p>
    <w:p w14:paraId="6D11F3A1">
      <w:r>
        <w:drawing>
          <wp:inline distT="0" distB="0" distL="0" distR="0">
            <wp:extent cx="2609850" cy="4077335"/>
            <wp:effectExtent l="0" t="0" r="0" b="0"/>
            <wp:docPr id="2278" name="图片 2278" descr="D:\工作\各种资料\MobileFile\IMG_44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8" name="图片 2278" descr="D:\工作\各种资料\MobileFile\IMG_4442.PNG"/>
                    <pic:cNvPicPr>
                      <a:picLocks noChangeAspect="1" noChangeArrowheads="1"/>
                    </pic:cNvPicPr>
                  </pic:nvPicPr>
                  <pic:blipFill>
                    <a:blip r:embed="rId732" cstate="print">
                      <a:extLst>
                        <a:ext uri="{28A0092B-C50C-407E-A947-70E740481C1C}">
                          <a14:useLocalDpi xmlns:a14="http://schemas.microsoft.com/office/drawing/2010/main" val="0"/>
                        </a:ext>
                      </a:extLst>
                    </a:blip>
                    <a:srcRect/>
                    <a:stretch>
                      <a:fillRect/>
                    </a:stretch>
                  </pic:blipFill>
                  <pic:spPr>
                    <a:xfrm>
                      <a:off x="0" y="0"/>
                      <a:ext cx="2615830" cy="4086743"/>
                    </a:xfrm>
                    <a:prstGeom prst="rect">
                      <a:avLst/>
                    </a:prstGeom>
                    <a:noFill/>
                    <a:ln>
                      <a:noFill/>
                    </a:ln>
                  </pic:spPr>
                </pic:pic>
              </a:graphicData>
            </a:graphic>
          </wp:inline>
        </w:drawing>
      </w:r>
    </w:p>
    <w:p w14:paraId="64BC6118"/>
    <w:p w14:paraId="29E5CE6E">
      <w:pPr>
        <w:pStyle w:val="202"/>
        <w:rPr>
          <w:lang w:eastAsia="zh-CN"/>
        </w:rPr>
      </w:pPr>
      <w:r>
        <w:rPr>
          <w:rFonts w:hint="eastAsia"/>
          <w:lang w:eastAsia="zh-CN"/>
        </w:rPr>
        <w:t>选择“允许”后，iphone会直接跳转到安装界面。</w:t>
      </w:r>
    </w:p>
    <w:p w14:paraId="702D1D56">
      <w:r>
        <w:drawing>
          <wp:inline distT="0" distB="0" distL="0" distR="0">
            <wp:extent cx="2357755" cy="3667125"/>
            <wp:effectExtent l="0" t="0" r="4445" b="0"/>
            <wp:docPr id="2279" name="图片 2279" descr="D:\工作\各种资料\MobileFile\IMG_4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9" name="图片 2279" descr="D:\工作\各种资料\MobileFile\IMG_4443.PNG"/>
                    <pic:cNvPicPr>
                      <a:picLocks noChangeAspect="1" noChangeArrowheads="1"/>
                    </pic:cNvPicPr>
                  </pic:nvPicPr>
                  <pic:blipFill>
                    <a:blip r:embed="rId733" cstate="print">
                      <a:extLst>
                        <a:ext uri="{28A0092B-C50C-407E-A947-70E740481C1C}">
                          <a14:useLocalDpi xmlns:a14="http://schemas.microsoft.com/office/drawing/2010/main" val="0"/>
                        </a:ext>
                      </a:extLst>
                    </a:blip>
                    <a:srcRect/>
                    <a:stretch>
                      <a:fillRect/>
                    </a:stretch>
                  </pic:blipFill>
                  <pic:spPr>
                    <a:xfrm>
                      <a:off x="0" y="0"/>
                      <a:ext cx="2360635" cy="3670993"/>
                    </a:xfrm>
                    <a:prstGeom prst="rect">
                      <a:avLst/>
                    </a:prstGeom>
                    <a:noFill/>
                    <a:ln>
                      <a:noFill/>
                    </a:ln>
                  </pic:spPr>
                </pic:pic>
              </a:graphicData>
            </a:graphic>
          </wp:inline>
        </w:drawing>
      </w:r>
    </w:p>
    <w:p w14:paraId="0DCB621C"/>
    <w:p w14:paraId="4E7F7502">
      <w:pPr>
        <w:pStyle w:val="202"/>
      </w:pPr>
      <w:r>
        <w:rPr>
          <w:rFonts w:hint="eastAsia"/>
        </w:rPr>
        <w:t>选择“安装”</w:t>
      </w:r>
    </w:p>
    <w:p w14:paraId="0AB8A758">
      <w:r>
        <w:drawing>
          <wp:inline distT="0" distB="0" distL="0" distR="0">
            <wp:extent cx="2442210" cy="3771900"/>
            <wp:effectExtent l="0" t="0" r="0" b="0"/>
            <wp:docPr id="2280" name="图片 2280" descr="D:\工作\各种资料\MobileFile\IMG_4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0" name="图片 2280" descr="D:\工作\各种资料\MobileFile\IMG_4444.PNG"/>
                    <pic:cNvPicPr>
                      <a:picLocks noChangeAspect="1" noChangeArrowheads="1"/>
                    </pic:cNvPicPr>
                  </pic:nvPicPr>
                  <pic:blipFill>
                    <a:blip r:embed="rId734" cstate="print">
                      <a:extLst>
                        <a:ext uri="{28A0092B-C50C-407E-A947-70E740481C1C}">
                          <a14:useLocalDpi xmlns:a14="http://schemas.microsoft.com/office/drawing/2010/main" val="0"/>
                        </a:ext>
                      </a:extLst>
                    </a:blip>
                    <a:srcRect/>
                    <a:stretch>
                      <a:fillRect/>
                    </a:stretch>
                  </pic:blipFill>
                  <pic:spPr>
                    <a:xfrm>
                      <a:off x="0" y="0"/>
                      <a:ext cx="2449192" cy="3782165"/>
                    </a:xfrm>
                    <a:prstGeom prst="rect">
                      <a:avLst/>
                    </a:prstGeom>
                    <a:noFill/>
                    <a:ln>
                      <a:noFill/>
                    </a:ln>
                  </pic:spPr>
                </pic:pic>
              </a:graphicData>
            </a:graphic>
          </wp:inline>
        </w:drawing>
      </w:r>
    </w:p>
    <w:p w14:paraId="68F897BC"/>
    <w:p w14:paraId="23E1ED0D">
      <w:pPr>
        <w:pStyle w:val="202"/>
        <w:rPr>
          <w:lang w:eastAsia="zh-CN"/>
        </w:rPr>
      </w:pPr>
      <w:r>
        <w:rPr>
          <w:rFonts w:hint="eastAsia"/>
          <w:lang w:eastAsia="zh-CN"/>
        </w:rPr>
        <w:t>安装后描述文件显示“已验证”。</w:t>
      </w:r>
    </w:p>
    <w:p w14:paraId="2D4FD8D3">
      <w:r>
        <w:drawing>
          <wp:inline distT="0" distB="0" distL="0" distR="0">
            <wp:extent cx="2343785" cy="3619500"/>
            <wp:effectExtent l="0" t="0" r="0" b="0"/>
            <wp:docPr id="2281" name="图片 2281" descr="D:\工作\各种资料\MobileFile\IMG_44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1" name="图片 2281" descr="D:\工作\各种资料\MobileFile\IMG_4448.PNG"/>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a:xfrm>
                      <a:off x="0" y="0"/>
                      <a:ext cx="2345868" cy="3622608"/>
                    </a:xfrm>
                    <a:prstGeom prst="rect">
                      <a:avLst/>
                    </a:prstGeom>
                    <a:noFill/>
                    <a:ln>
                      <a:noFill/>
                    </a:ln>
                  </pic:spPr>
                </pic:pic>
              </a:graphicData>
            </a:graphic>
          </wp:inline>
        </w:drawing>
      </w:r>
    </w:p>
    <w:p w14:paraId="41B8C986">
      <w:pPr>
        <w:pStyle w:val="202"/>
        <w:rPr>
          <w:lang w:eastAsia="zh-CN"/>
        </w:rPr>
      </w:pPr>
      <w:r>
        <w:rPr>
          <w:rFonts w:hint="eastAsia"/>
          <w:lang w:eastAsia="zh-CN"/>
        </w:rPr>
        <w:t>进入“通用”—“关于本机”—“证书信任设置”</w:t>
      </w:r>
    </w:p>
    <w:p w14:paraId="6917F504">
      <w:r>
        <w:drawing>
          <wp:inline distT="0" distB="0" distL="0" distR="0">
            <wp:extent cx="2230120" cy="3295650"/>
            <wp:effectExtent l="0" t="0" r="0" b="0"/>
            <wp:docPr id="2282" name="图片 2282" descr="E:\工作\各种资料\MobileFile\IMG_5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2" name="图片 2282" descr="E:\工作\各种资料\MobileFile\IMG_5640.PNG"/>
                    <pic:cNvPicPr>
                      <a:picLocks noChangeAspect="1" noChangeArrowheads="1"/>
                    </pic:cNvPicPr>
                  </pic:nvPicPr>
                  <pic:blipFill>
                    <a:blip r:embed="rId736" cstate="print">
                      <a:extLst>
                        <a:ext uri="{28A0092B-C50C-407E-A947-70E740481C1C}">
                          <a14:useLocalDpi xmlns:a14="http://schemas.microsoft.com/office/drawing/2010/main" val="0"/>
                        </a:ext>
                      </a:extLst>
                    </a:blip>
                    <a:srcRect/>
                    <a:stretch>
                      <a:fillRect/>
                    </a:stretch>
                  </pic:blipFill>
                  <pic:spPr>
                    <a:xfrm>
                      <a:off x="0" y="0"/>
                      <a:ext cx="2234713" cy="3301616"/>
                    </a:xfrm>
                    <a:prstGeom prst="rect">
                      <a:avLst/>
                    </a:prstGeom>
                    <a:noFill/>
                    <a:ln>
                      <a:noFill/>
                    </a:ln>
                  </pic:spPr>
                </pic:pic>
              </a:graphicData>
            </a:graphic>
          </wp:inline>
        </w:drawing>
      </w:r>
    </w:p>
    <w:p w14:paraId="4E7A2941">
      <w:pPr>
        <w:pStyle w:val="202"/>
      </w:pPr>
      <w:r>
        <w:rPr>
          <w:rFonts w:hint="eastAsia"/>
        </w:rPr>
        <w:t>在证书勾选信任。</w:t>
      </w:r>
      <w:r>
        <w:br w:type="page"/>
      </w:r>
    </w:p>
    <w:p w14:paraId="3F8D74A9">
      <w:pPr>
        <w:pStyle w:val="3"/>
      </w:pPr>
      <w:bookmarkStart w:id="5712" w:name="_Toc474250467"/>
      <w:bookmarkStart w:id="5713" w:name="_Toc6234939"/>
      <w:bookmarkStart w:id="5714" w:name="_Toc141873738"/>
      <w:bookmarkStart w:id="5715" w:name="_Toc23152808"/>
      <w:bookmarkStart w:id="5716" w:name="_Toc142401255"/>
      <w:bookmarkStart w:id="5717" w:name="_Toc196728343"/>
      <w:bookmarkStart w:id="5718" w:name="_Toc99561882"/>
      <w:bookmarkStart w:id="5719" w:name="_Toc194081011"/>
      <w:bookmarkStart w:id="5720" w:name="_Toc15485044"/>
      <w:bookmarkStart w:id="5721" w:name="_Toc40276241"/>
      <w:bookmarkStart w:id="5722" w:name="_Toc172218519"/>
      <w:r>
        <w:rPr>
          <w:rFonts w:hint="eastAsia"/>
        </w:rPr>
        <w:t>广告</w:t>
      </w:r>
      <w:bookmarkEnd w:id="5712"/>
      <w:bookmarkEnd w:id="5713"/>
      <w:r>
        <w:rPr>
          <w:rFonts w:hint="eastAsia"/>
        </w:rPr>
        <w:t>推送策略</w:t>
      </w:r>
      <w:bookmarkEnd w:id="5714"/>
      <w:bookmarkEnd w:id="5715"/>
      <w:bookmarkEnd w:id="5716"/>
      <w:bookmarkEnd w:id="5717"/>
      <w:bookmarkEnd w:id="5718"/>
      <w:bookmarkEnd w:id="5719"/>
      <w:bookmarkEnd w:id="5720"/>
      <w:bookmarkEnd w:id="5721"/>
      <w:bookmarkEnd w:id="5722"/>
    </w:p>
    <w:p w14:paraId="30C14D43">
      <w:pPr>
        <w:pStyle w:val="4"/>
      </w:pPr>
      <w:bookmarkStart w:id="5723" w:name="_Toc6234940"/>
      <w:bookmarkStart w:id="5724" w:name="_Toc40276242"/>
      <w:bookmarkStart w:id="5725" w:name="_Toc99561883"/>
      <w:bookmarkStart w:id="5726" w:name="_Toc474250468"/>
      <w:bookmarkStart w:id="5727" w:name="_Toc15485045"/>
      <w:bookmarkStart w:id="5728" w:name="_Toc23152809"/>
      <w:bookmarkStart w:id="5729" w:name="_Toc141873739"/>
      <w:bookmarkStart w:id="5730" w:name="_Toc142401256"/>
      <w:bookmarkStart w:id="5731" w:name="_Toc172218520"/>
      <w:bookmarkStart w:id="5732" w:name="_Toc196728344"/>
      <w:bookmarkStart w:id="5733" w:name="_Toc194081012"/>
      <w:r>
        <w:rPr>
          <w:rFonts w:hint="eastAsia"/>
        </w:rPr>
        <w:t>概述</w:t>
      </w:r>
      <w:bookmarkEnd w:id="5723"/>
      <w:bookmarkEnd w:id="5724"/>
      <w:bookmarkEnd w:id="5725"/>
      <w:bookmarkEnd w:id="5726"/>
      <w:bookmarkEnd w:id="5727"/>
      <w:bookmarkEnd w:id="5728"/>
      <w:bookmarkEnd w:id="5729"/>
      <w:bookmarkEnd w:id="5730"/>
      <w:bookmarkEnd w:id="5731"/>
      <w:bookmarkEnd w:id="5732"/>
      <w:bookmarkEnd w:id="5733"/>
    </w:p>
    <w:p w14:paraId="02BDE354">
      <w:r>
        <w:rPr>
          <w:rFonts w:hint="eastAsia"/>
        </w:rPr>
        <w:t>广告推送是一种在用户使用浏览器上网的同时，网络设备强制浏览器打开特定的广告窗口的方法。按某种规则给用户浏览器弹出一个广告页面，以达到广告推广或者提示用户的目的。</w:t>
      </w:r>
    </w:p>
    <w:p w14:paraId="49C6B4C7">
      <w:pPr>
        <w:pStyle w:val="4"/>
      </w:pPr>
      <w:bookmarkStart w:id="5734" w:name="_Toc172218521"/>
      <w:bookmarkStart w:id="5735" w:name="_Toc194081013"/>
      <w:bookmarkStart w:id="5736" w:name="_Toc141873740"/>
      <w:bookmarkStart w:id="5737" w:name="_Toc15485046"/>
      <w:bookmarkStart w:id="5738" w:name="_Toc99561884"/>
      <w:bookmarkStart w:id="5739" w:name="_Toc142401257"/>
      <w:bookmarkStart w:id="5740" w:name="_Toc23152810"/>
      <w:bookmarkStart w:id="5741" w:name="_Toc40276243"/>
      <w:bookmarkStart w:id="5742" w:name="_Toc494295512"/>
      <w:bookmarkStart w:id="5743" w:name="_Toc6234941"/>
      <w:bookmarkStart w:id="5744" w:name="_Toc196728345"/>
      <w:r>
        <w:rPr>
          <w:rFonts w:hint="eastAsia"/>
        </w:rPr>
        <w:t>配置广告设置</w:t>
      </w:r>
      <w:bookmarkEnd w:id="5734"/>
      <w:bookmarkEnd w:id="5735"/>
      <w:bookmarkEnd w:id="5736"/>
      <w:bookmarkEnd w:id="5737"/>
      <w:bookmarkEnd w:id="5738"/>
      <w:bookmarkEnd w:id="5739"/>
      <w:bookmarkEnd w:id="5740"/>
      <w:bookmarkEnd w:id="5741"/>
      <w:bookmarkEnd w:id="5742"/>
      <w:bookmarkEnd w:id="5743"/>
      <w:bookmarkEnd w:id="5744"/>
    </w:p>
    <w:p w14:paraId="67121707">
      <w:r>
        <w:rPr>
          <w:rFonts w:hint="eastAsia"/>
        </w:rPr>
        <w:t>通过菜单“策略配置&gt;广告推送策略</w:t>
      </w:r>
      <w:r>
        <w:t>&gt;</w:t>
      </w:r>
      <w:r>
        <w:rPr>
          <w:rFonts w:hint="eastAsia"/>
        </w:rPr>
        <w:t>广告对象”，点击新建进入如</w:t>
      </w:r>
      <w:r>
        <w:fldChar w:fldCharType="begin"/>
      </w:r>
      <w:r>
        <w:instrText xml:space="preserve"> REF _Ref494444546 \r \h </w:instrText>
      </w:r>
      <w:r>
        <w:fldChar w:fldCharType="separate"/>
      </w:r>
      <w:r>
        <w:rPr>
          <w:rFonts w:hint="eastAsia"/>
        </w:rPr>
        <w:t>图21-1</w:t>
      </w:r>
      <w:r>
        <w:fldChar w:fldCharType="end"/>
      </w:r>
      <w:r>
        <w:rPr>
          <w:rFonts w:hint="eastAsia"/>
        </w:rPr>
        <w:t>所示界面，在该界面上，可以查看已经配置的广告设置信息，这些信息的详细说明如</w:t>
      </w:r>
      <w:r>
        <w:fldChar w:fldCharType="begin"/>
      </w:r>
      <w:r>
        <w:instrText xml:space="preserve"> REF _Ref494444552 \r \h </w:instrText>
      </w:r>
      <w:r>
        <w:fldChar w:fldCharType="separate"/>
      </w:r>
      <w:r>
        <w:rPr>
          <w:rFonts w:hint="eastAsia"/>
        </w:rPr>
        <w:t>表21-1</w:t>
      </w:r>
      <w:r>
        <w:fldChar w:fldCharType="end"/>
      </w:r>
      <w:r>
        <w:rPr>
          <w:rFonts w:hint="eastAsia"/>
        </w:rPr>
        <w:t>所示。</w:t>
      </w:r>
    </w:p>
    <w:p w14:paraId="3C0A4521">
      <w:pPr>
        <w:pStyle w:val="188"/>
      </w:pPr>
      <w:bookmarkStart w:id="5745" w:name="_Ref494444546"/>
      <w:bookmarkStart w:id="5746" w:name="_Toc141875147"/>
      <w:r>
        <w:rPr>
          <w:rFonts w:hint="eastAsia"/>
        </w:rPr>
        <w:t>广告对象配置界面</w:t>
      </w:r>
      <w:bookmarkEnd w:id="5745"/>
      <w:bookmarkEnd w:id="5746"/>
    </w:p>
    <w:p w14:paraId="710AD7CE">
      <w:r>
        <w:drawing>
          <wp:inline distT="0" distB="0" distL="0" distR="0">
            <wp:extent cx="4657725" cy="2882265"/>
            <wp:effectExtent l="0" t="0" r="0" b="0"/>
            <wp:docPr id="853" name="图片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图片 824"/>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a:xfrm>
                      <a:off x="0" y="0"/>
                      <a:ext cx="4674441" cy="2893032"/>
                    </a:xfrm>
                    <a:prstGeom prst="rect">
                      <a:avLst/>
                    </a:prstGeom>
                    <a:noFill/>
                    <a:ln>
                      <a:noFill/>
                    </a:ln>
                  </pic:spPr>
                </pic:pic>
              </a:graphicData>
            </a:graphic>
          </wp:inline>
        </w:drawing>
      </w:r>
    </w:p>
    <w:p w14:paraId="2622BCBB">
      <w:pPr>
        <w:pStyle w:val="183"/>
      </w:pPr>
      <w:bookmarkStart w:id="5747" w:name="_Ref494444552"/>
      <w:bookmarkStart w:id="5748" w:name="_Toc141875709"/>
      <w:r>
        <w:rPr>
          <w:rFonts w:hint="eastAsia"/>
        </w:rPr>
        <w:t>广告对象配置说明</w:t>
      </w:r>
      <w:bookmarkEnd w:id="5747"/>
      <w:bookmarkEnd w:id="5748"/>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65"/>
        <w:gridCol w:w="6905"/>
      </w:tblGrid>
      <w:tr w14:paraId="7B36E2B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tcBorders>
              <w:tl2br w:val="nil"/>
              <w:tr2bl w:val="nil"/>
            </w:tcBorders>
            <w:shd w:val="clear" w:color="auto" w:fill="538135" w:themeFill="accent6" w:themeFillShade="BF"/>
            <w:vAlign w:val="center"/>
          </w:tcPr>
          <w:p w14:paraId="1DAF0E07">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参数</w:t>
            </w:r>
          </w:p>
        </w:tc>
        <w:tc>
          <w:tcPr>
            <w:tcW w:w="6905" w:type="dxa"/>
            <w:tcBorders>
              <w:tl2br w:val="nil"/>
              <w:tr2bl w:val="nil"/>
            </w:tcBorders>
            <w:shd w:val="clear" w:color="auto" w:fill="538135" w:themeFill="accent6" w:themeFillShade="BF"/>
            <w:vAlign w:val="center"/>
          </w:tcPr>
          <w:p w14:paraId="5FB9EFF1">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CAE01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03A565F9">
            <w:pPr>
              <w:pStyle w:val="150"/>
            </w:pPr>
            <w:r>
              <w:rPr>
                <w:rFonts w:hint="eastAsia"/>
              </w:rPr>
              <w:t>广告名称</w:t>
            </w:r>
          </w:p>
        </w:tc>
        <w:tc>
          <w:tcPr>
            <w:tcW w:w="6905" w:type="dxa"/>
            <w:shd w:val="clear" w:color="auto" w:fill="auto"/>
          </w:tcPr>
          <w:p w14:paraId="7B45B7ED">
            <w:pPr>
              <w:pStyle w:val="150"/>
            </w:pPr>
            <w:r>
              <w:rPr>
                <w:rFonts w:hint="eastAsia"/>
              </w:rPr>
              <w:t>广告对象名称。</w:t>
            </w:r>
          </w:p>
        </w:tc>
      </w:tr>
      <w:tr w14:paraId="3317A98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7A759B4D">
            <w:pPr>
              <w:pStyle w:val="150"/>
            </w:pPr>
            <w:r>
              <w:rPr>
                <w:rFonts w:hint="eastAsia"/>
              </w:rPr>
              <w:t>广告描述</w:t>
            </w:r>
          </w:p>
        </w:tc>
        <w:tc>
          <w:tcPr>
            <w:tcW w:w="6905" w:type="dxa"/>
            <w:shd w:val="clear" w:color="auto" w:fill="auto"/>
          </w:tcPr>
          <w:p w14:paraId="0CD3C420">
            <w:pPr>
              <w:pStyle w:val="150"/>
            </w:pPr>
            <w:r>
              <w:rPr>
                <w:rFonts w:hint="eastAsia"/>
              </w:rPr>
              <w:t>广告进行描述，不会在弹出广告页面显示。</w:t>
            </w:r>
          </w:p>
        </w:tc>
      </w:tr>
      <w:tr w14:paraId="09D5F12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2DCECEAC">
            <w:pPr>
              <w:pStyle w:val="150"/>
            </w:pPr>
            <w:r>
              <w:rPr>
                <w:rFonts w:hint="eastAsia"/>
              </w:rPr>
              <w:t>广告类型</w:t>
            </w:r>
          </w:p>
        </w:tc>
        <w:tc>
          <w:tcPr>
            <w:tcW w:w="6905" w:type="dxa"/>
            <w:shd w:val="clear" w:color="auto" w:fill="auto"/>
          </w:tcPr>
          <w:p w14:paraId="71DB6C48">
            <w:pPr>
              <w:pStyle w:val="150"/>
            </w:pPr>
            <w:r>
              <w:rPr>
                <w:rFonts w:hint="eastAsia"/>
              </w:rPr>
              <w:t>可选本地自定义广告和第三方广告，默认显示本地自定义广告。</w:t>
            </w:r>
          </w:p>
        </w:tc>
      </w:tr>
      <w:tr w14:paraId="24CA92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6F914DB1">
            <w:pPr>
              <w:pStyle w:val="150"/>
            </w:pPr>
            <w:r>
              <w:rPr>
                <w:rFonts w:hint="eastAsia"/>
              </w:rPr>
              <w:t>设备管理IP</w:t>
            </w:r>
          </w:p>
        </w:tc>
        <w:tc>
          <w:tcPr>
            <w:tcW w:w="6905" w:type="dxa"/>
            <w:shd w:val="clear" w:color="auto" w:fill="auto"/>
          </w:tcPr>
          <w:p w14:paraId="345E680D">
            <w:pPr>
              <w:pStyle w:val="150"/>
              <w:rPr>
                <w:rFonts w:ascii="宋体" w:hAnsi="宋体" w:cs="宋体"/>
              </w:rPr>
            </w:pPr>
            <w:r>
              <w:rPr>
                <w:rFonts w:hint="eastAsia"/>
              </w:rPr>
              <w:t>广告对象里的管理IP必须保证可以和下联终端互通，否则开启广告后网页无法打开</w:t>
            </w:r>
            <w:r>
              <w:t>。</w:t>
            </w:r>
          </w:p>
        </w:tc>
      </w:tr>
      <w:tr w14:paraId="1B589B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0A562E20">
            <w:pPr>
              <w:pStyle w:val="150"/>
            </w:pPr>
            <w:r>
              <w:rPr>
                <w:rFonts w:hint="eastAsia"/>
              </w:rPr>
              <w:t>位置</w:t>
            </w:r>
          </w:p>
        </w:tc>
        <w:tc>
          <w:tcPr>
            <w:tcW w:w="6905" w:type="dxa"/>
            <w:shd w:val="clear" w:color="auto" w:fill="auto"/>
          </w:tcPr>
          <w:p w14:paraId="27344570">
            <w:pPr>
              <w:pStyle w:val="150"/>
            </w:pPr>
            <w:r>
              <w:rPr>
                <w:rFonts w:hint="eastAsia"/>
              </w:rPr>
              <w:t>广告图片展示的位置，默认右下角，可以选择右下角、右上角、左下角、左上角</w:t>
            </w:r>
            <w:r>
              <w:t>。</w:t>
            </w:r>
          </w:p>
        </w:tc>
      </w:tr>
      <w:tr w14:paraId="6888855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31629C74">
            <w:pPr>
              <w:pStyle w:val="150"/>
            </w:pPr>
            <w:r>
              <w:rPr>
                <w:rFonts w:hint="eastAsia"/>
              </w:rPr>
              <w:t>广告图片</w:t>
            </w:r>
          </w:p>
        </w:tc>
        <w:tc>
          <w:tcPr>
            <w:tcW w:w="6905" w:type="dxa"/>
            <w:shd w:val="clear" w:color="auto" w:fill="auto"/>
          </w:tcPr>
          <w:p w14:paraId="2F18E150">
            <w:pPr>
              <w:pStyle w:val="150"/>
            </w:pPr>
            <w:r>
              <w:rPr>
                <w:rFonts w:hint="eastAsia"/>
              </w:rPr>
              <w:t>上传图片后在本地广告里面引用的弹出图片，最多可以展示4张，每张图片默认展示3秒，加上1秒缓冲。例如4张图片4*3+1=13秒。图片规格：推荐</w:t>
            </w:r>
            <w:r>
              <w:t>340px*260px</w:t>
            </w:r>
          </w:p>
        </w:tc>
      </w:tr>
      <w:tr w14:paraId="4FF4CF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58712FAE">
            <w:pPr>
              <w:pStyle w:val="150"/>
            </w:pPr>
            <w:r>
              <w:rPr>
                <w:rFonts w:hint="eastAsia"/>
              </w:rPr>
              <w:t>图片描述</w:t>
            </w:r>
          </w:p>
        </w:tc>
        <w:tc>
          <w:tcPr>
            <w:tcW w:w="6905" w:type="dxa"/>
            <w:shd w:val="clear" w:color="auto" w:fill="auto"/>
          </w:tcPr>
          <w:p w14:paraId="093EF976">
            <w:pPr>
              <w:pStyle w:val="150"/>
              <w:rPr>
                <w:rFonts w:ascii="宋体" w:hAnsi="宋体" w:cs="宋体"/>
              </w:rPr>
            </w:pPr>
            <w:r>
              <w:rPr>
                <w:rFonts w:hint="eastAsia"/>
              </w:rPr>
              <w:t>广告图片可以添加描述信息范围（0</w:t>
            </w:r>
            <w:r>
              <w:t>-31</w:t>
            </w:r>
            <w:r>
              <w:rPr>
                <w:rFonts w:hint="eastAsia"/>
              </w:rPr>
              <w:t>字符）</w:t>
            </w:r>
            <w:r>
              <w:t>。</w:t>
            </w:r>
          </w:p>
        </w:tc>
      </w:tr>
      <w:tr w14:paraId="7E9E8B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7DD3C9B3">
            <w:pPr>
              <w:pStyle w:val="150"/>
            </w:pPr>
            <w:r>
              <w:rPr>
                <w:rFonts w:hint="eastAsia"/>
              </w:rPr>
              <w:t>图片</w:t>
            </w:r>
            <w:r>
              <w:t>URL</w:t>
            </w:r>
          </w:p>
        </w:tc>
        <w:tc>
          <w:tcPr>
            <w:tcW w:w="6905" w:type="dxa"/>
            <w:shd w:val="clear" w:color="auto" w:fill="auto"/>
          </w:tcPr>
          <w:p w14:paraId="40EDD203">
            <w:pPr>
              <w:pStyle w:val="150"/>
              <w:rPr>
                <w:rFonts w:ascii="宋体" w:hAnsi="宋体" w:cs="宋体"/>
              </w:rPr>
            </w:pPr>
            <w:r>
              <w:rPr>
                <w:rFonts w:hint="eastAsia"/>
              </w:rPr>
              <w:t>当广告图片展示时点击图片的链接URL</w:t>
            </w:r>
            <w:r>
              <w:t>。</w:t>
            </w:r>
          </w:p>
        </w:tc>
      </w:tr>
      <w:tr w14:paraId="5B417FF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23678D46">
            <w:pPr>
              <w:pStyle w:val="150"/>
            </w:pPr>
            <w:r>
              <w:rPr>
                <w:rFonts w:hint="eastAsia"/>
              </w:rPr>
              <w:t>广告对象选择文件按钮</w:t>
            </w:r>
          </w:p>
        </w:tc>
        <w:tc>
          <w:tcPr>
            <w:tcW w:w="6905" w:type="dxa"/>
            <w:shd w:val="clear" w:color="auto" w:fill="auto"/>
          </w:tcPr>
          <w:p w14:paraId="56A38C12">
            <w:pPr>
              <w:pStyle w:val="150"/>
            </w:pPr>
            <w:r>
              <w:rPr>
                <w:rFonts w:hint="eastAsia"/>
              </w:rPr>
              <w:t>上传本地广告图片使用。</w:t>
            </w:r>
          </w:p>
        </w:tc>
      </w:tr>
      <w:tr w14:paraId="5AD9BD5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7AD79A2B">
            <w:pPr>
              <w:pStyle w:val="150"/>
            </w:pPr>
            <w:r>
              <w:rPr>
                <w:rFonts w:hint="eastAsia"/>
              </w:rPr>
              <w:t>广告对象开始上传按钮</w:t>
            </w:r>
          </w:p>
        </w:tc>
        <w:tc>
          <w:tcPr>
            <w:tcW w:w="6905" w:type="dxa"/>
            <w:shd w:val="clear" w:color="auto" w:fill="auto"/>
          </w:tcPr>
          <w:p w14:paraId="3C426998">
            <w:pPr>
              <w:pStyle w:val="150"/>
            </w:pPr>
            <w:r>
              <w:rPr>
                <w:rFonts w:hint="eastAsia"/>
              </w:rPr>
              <w:t>广告图片配置完成后上传使用</w:t>
            </w:r>
            <w:r>
              <w:t>。</w:t>
            </w:r>
          </w:p>
        </w:tc>
      </w:tr>
      <w:tr w14:paraId="32F27A7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6E428E1F">
            <w:pPr>
              <w:pStyle w:val="150"/>
            </w:pPr>
            <w:r>
              <w:rPr>
                <w:rFonts w:hint="eastAsia"/>
              </w:rPr>
              <w:t>广告对象已存在按钮</w:t>
            </w:r>
          </w:p>
        </w:tc>
        <w:tc>
          <w:tcPr>
            <w:tcW w:w="6905" w:type="dxa"/>
            <w:shd w:val="clear" w:color="auto" w:fill="auto"/>
          </w:tcPr>
          <w:p w14:paraId="0A532656">
            <w:pPr>
              <w:pStyle w:val="150"/>
            </w:pPr>
            <w:r>
              <w:rPr>
                <w:rFonts w:hint="eastAsia"/>
              </w:rPr>
              <w:t>上传图片后可以查看上传图片。</w:t>
            </w:r>
          </w:p>
        </w:tc>
      </w:tr>
      <w:tr w14:paraId="13B3CE0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1B505303">
            <w:pPr>
              <w:pStyle w:val="150"/>
            </w:pPr>
            <w:r>
              <w:rPr>
                <w:rFonts w:hint="eastAsia"/>
              </w:rPr>
              <w:t>本地广告取消重选按钮</w:t>
            </w:r>
          </w:p>
        </w:tc>
        <w:tc>
          <w:tcPr>
            <w:tcW w:w="6905" w:type="dxa"/>
            <w:shd w:val="clear" w:color="auto" w:fill="auto"/>
          </w:tcPr>
          <w:p w14:paraId="738D6DA2">
            <w:pPr>
              <w:pStyle w:val="150"/>
            </w:pPr>
            <w:r>
              <w:rPr>
                <w:rFonts w:hint="eastAsia"/>
              </w:rPr>
              <w:t>更改图片后不需要修改的情况下点击取消按钮返回上一次上传的图片。</w:t>
            </w:r>
          </w:p>
        </w:tc>
      </w:tr>
      <w:tr w14:paraId="54FADE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73F28A13">
            <w:pPr>
              <w:pStyle w:val="150"/>
            </w:pPr>
            <w:r>
              <w:rPr>
                <w:rFonts w:hint="eastAsia"/>
              </w:rPr>
              <w:t>第三方广告URL</w:t>
            </w:r>
          </w:p>
        </w:tc>
        <w:tc>
          <w:tcPr>
            <w:tcW w:w="6905" w:type="dxa"/>
            <w:shd w:val="clear" w:color="auto" w:fill="auto"/>
          </w:tcPr>
          <w:p w14:paraId="3AA7DDF5">
            <w:pPr>
              <w:pStyle w:val="150"/>
              <w:rPr>
                <w:rFonts w:ascii="宋体" w:hAnsi="宋体" w:cs="宋体"/>
              </w:rPr>
            </w:pPr>
            <w:r>
              <w:rPr>
                <w:rFonts w:hint="eastAsia"/>
              </w:rPr>
              <w:t>第三方广告需要配合第三方广告服务器使用，除了serverip需要填写外其他参数为动态参数，如果用户URL里输入了参数，且参数后边是</w:t>
            </w:r>
            <w:r>
              <w:t>&lt;&gt;</w:t>
            </w:r>
            <w:r>
              <w:rPr>
                <w:rFonts w:hint="eastAsia"/>
              </w:rPr>
              <w:t>，说明该参数用户需要，且底层根据实际数据流的信息给参数赋值，但是如果URL里输入了参数，参数等号后边是直接的值，是需要用户直接配置下来的，底层根据用户的配置信息来组织js。</w:t>
            </w:r>
          </w:p>
        </w:tc>
      </w:tr>
      <w:tr w14:paraId="06918A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37477C59">
            <w:pPr>
              <w:pStyle w:val="150"/>
            </w:pPr>
            <w:r>
              <w:rPr>
                <w:rFonts w:hint="eastAsia"/>
              </w:rPr>
              <w:t>提交按钮</w:t>
            </w:r>
          </w:p>
        </w:tc>
        <w:tc>
          <w:tcPr>
            <w:tcW w:w="6905" w:type="dxa"/>
            <w:shd w:val="clear" w:color="auto" w:fill="auto"/>
          </w:tcPr>
          <w:p w14:paraId="4C7A3008">
            <w:pPr>
              <w:pStyle w:val="150"/>
            </w:pPr>
            <w:r>
              <w:rPr>
                <w:rFonts w:hint="eastAsia"/>
              </w:rPr>
              <w:t>所有参数配置完成后，点击提交生效。</w:t>
            </w:r>
          </w:p>
        </w:tc>
      </w:tr>
      <w:tr w14:paraId="480CD8D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65" w:type="dxa"/>
            <w:shd w:val="clear" w:color="auto" w:fill="auto"/>
          </w:tcPr>
          <w:p w14:paraId="187F4523">
            <w:pPr>
              <w:pStyle w:val="150"/>
            </w:pPr>
            <w:r>
              <w:rPr>
                <w:rFonts w:hint="eastAsia"/>
              </w:rPr>
              <w:t>取消按钮</w:t>
            </w:r>
          </w:p>
        </w:tc>
        <w:tc>
          <w:tcPr>
            <w:tcW w:w="6905" w:type="dxa"/>
            <w:shd w:val="clear" w:color="auto" w:fill="auto"/>
          </w:tcPr>
          <w:p w14:paraId="658C079C">
            <w:pPr>
              <w:pStyle w:val="150"/>
            </w:pPr>
            <w:r>
              <w:rPr>
                <w:rFonts w:hint="eastAsia"/>
              </w:rPr>
              <w:t>所有参数配置完成后，点击取消按钮后，不会生效。</w:t>
            </w:r>
          </w:p>
        </w:tc>
      </w:tr>
    </w:tbl>
    <w:p w14:paraId="2FE7A2E6"/>
    <w:p w14:paraId="64610F85">
      <w:r>
        <w:rPr>
          <w:rFonts w:hint="eastAsia"/>
        </w:rPr>
        <w:t>通过菜单“策略配置&gt;广告推送策略</w:t>
      </w:r>
      <w:r>
        <w:t>&gt;</w:t>
      </w:r>
      <w:r>
        <w:rPr>
          <w:rFonts w:hint="eastAsia"/>
        </w:rPr>
        <w:t>广告策略”，点击&lt;新建&gt;进入如</w:t>
      </w:r>
      <w:r>
        <w:rPr>
          <w:color w:val="0000FF"/>
          <w:u w:val="single"/>
        </w:rPr>
        <w:fldChar w:fldCharType="begin"/>
      </w:r>
      <w:r>
        <w:rPr>
          <w:color w:val="0000FF"/>
          <w:u w:val="single"/>
        </w:rPr>
        <w:instrText xml:space="preserve"> REF _Ref494444571 \r \h </w:instrText>
      </w:r>
      <w:r>
        <w:rPr>
          <w:color w:val="0000FF"/>
          <w:u w:val="single"/>
        </w:rPr>
        <w:fldChar w:fldCharType="separate"/>
      </w:r>
      <w:r>
        <w:rPr>
          <w:rFonts w:hint="eastAsia"/>
          <w:color w:val="0000FF"/>
          <w:u w:val="single"/>
        </w:rPr>
        <w:t>图21-2</w:t>
      </w:r>
      <w:r>
        <w:rPr>
          <w:color w:val="0000FF"/>
          <w:u w:val="single"/>
        </w:rPr>
        <w:fldChar w:fldCharType="end"/>
      </w:r>
      <w:r>
        <w:rPr>
          <w:rFonts w:hint="eastAsia"/>
        </w:rPr>
        <w:t>所示界面，在该界面上，可以查看已经配置的广告设置信息，这些信息的详细说明如</w:t>
      </w:r>
      <w:r>
        <w:rPr>
          <w:color w:val="0000FF"/>
          <w:u w:val="single"/>
        </w:rPr>
        <w:fldChar w:fldCharType="begin"/>
      </w:r>
      <w:r>
        <w:rPr>
          <w:color w:val="0000FF"/>
          <w:u w:val="single"/>
        </w:rPr>
        <w:instrText xml:space="preserve"> REF _Ref494444577 \r \h </w:instrText>
      </w:r>
      <w:r>
        <w:rPr>
          <w:color w:val="0000FF"/>
          <w:u w:val="single"/>
        </w:rPr>
        <w:fldChar w:fldCharType="separate"/>
      </w:r>
      <w:r>
        <w:rPr>
          <w:rFonts w:hint="eastAsia"/>
          <w:color w:val="0000FF"/>
          <w:u w:val="single"/>
        </w:rPr>
        <w:t>表21-1</w:t>
      </w:r>
      <w:r>
        <w:rPr>
          <w:color w:val="0000FF"/>
          <w:u w:val="single"/>
        </w:rPr>
        <w:fldChar w:fldCharType="end"/>
      </w:r>
      <w:r>
        <w:rPr>
          <w:rFonts w:hint="eastAsia"/>
        </w:rPr>
        <w:t>所示。</w:t>
      </w:r>
    </w:p>
    <w:p w14:paraId="7A9D4378">
      <w:pPr>
        <w:pStyle w:val="188"/>
      </w:pPr>
      <w:bookmarkStart w:id="5749" w:name="_Ref494444571"/>
      <w:bookmarkStart w:id="5750" w:name="_Toc141875148"/>
      <w:r>
        <w:rPr>
          <w:rFonts w:hint="eastAsia"/>
        </w:rPr>
        <w:t>广告策略配置界面</w:t>
      </w:r>
      <w:bookmarkEnd w:id="5749"/>
      <w:bookmarkEnd w:id="5750"/>
    </w:p>
    <w:p w14:paraId="7E3250D8">
      <w:r>
        <w:drawing>
          <wp:inline distT="0" distB="0" distL="0" distR="0">
            <wp:extent cx="4495800" cy="3206750"/>
            <wp:effectExtent l="0" t="0" r="0" b="0"/>
            <wp:docPr id="854" name="图片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图片 825"/>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a:xfrm>
                      <a:off x="0" y="0"/>
                      <a:ext cx="4504314" cy="3213175"/>
                    </a:xfrm>
                    <a:prstGeom prst="rect">
                      <a:avLst/>
                    </a:prstGeom>
                    <a:noFill/>
                    <a:ln>
                      <a:noFill/>
                    </a:ln>
                  </pic:spPr>
                </pic:pic>
              </a:graphicData>
            </a:graphic>
          </wp:inline>
        </w:drawing>
      </w:r>
    </w:p>
    <w:p w14:paraId="6B547137"/>
    <w:p w14:paraId="218849D6">
      <w:pPr>
        <w:pStyle w:val="183"/>
      </w:pPr>
      <w:bookmarkStart w:id="5751" w:name="_Ref494444577"/>
      <w:bookmarkStart w:id="5752" w:name="_Toc141875710"/>
      <w:r>
        <w:rPr>
          <w:rFonts w:hint="eastAsia"/>
        </w:rPr>
        <w:t>广告策略配置说明</w:t>
      </w:r>
      <w:bookmarkEnd w:id="5751"/>
      <w:bookmarkEnd w:id="5752"/>
    </w:p>
    <w:tbl>
      <w:tblPr>
        <w:tblStyle w:val="173"/>
        <w:tblW w:w="8959"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475"/>
        <w:gridCol w:w="7484"/>
      </w:tblGrid>
      <w:tr w14:paraId="573931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tcBorders>
              <w:tl2br w:val="nil"/>
              <w:tr2bl w:val="nil"/>
            </w:tcBorders>
            <w:shd w:val="clear" w:color="auto" w:fill="538135" w:themeFill="accent6" w:themeFillShade="BF"/>
            <w:vAlign w:val="center"/>
          </w:tcPr>
          <w:p w14:paraId="04855E27">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参数</w:t>
            </w:r>
          </w:p>
        </w:tc>
        <w:tc>
          <w:tcPr>
            <w:tcW w:w="7620" w:type="dxa"/>
            <w:tcBorders>
              <w:tl2br w:val="nil"/>
              <w:tr2bl w:val="nil"/>
            </w:tcBorders>
            <w:shd w:val="clear" w:color="auto" w:fill="538135" w:themeFill="accent6" w:themeFillShade="BF"/>
            <w:vAlign w:val="center"/>
          </w:tcPr>
          <w:p w14:paraId="0B79B59E">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3944F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4836C4A1">
            <w:pPr>
              <w:pStyle w:val="150"/>
            </w:pPr>
            <w:r>
              <w:rPr>
                <w:rFonts w:hint="eastAsia"/>
              </w:rPr>
              <w:t>启用</w:t>
            </w:r>
          </w:p>
        </w:tc>
        <w:tc>
          <w:tcPr>
            <w:tcW w:w="7620" w:type="dxa"/>
            <w:shd w:val="clear" w:color="auto" w:fill="auto"/>
          </w:tcPr>
          <w:p w14:paraId="78223691">
            <w:pPr>
              <w:pStyle w:val="150"/>
            </w:pPr>
            <w:r>
              <w:rPr>
                <w:rFonts w:hint="eastAsia"/>
              </w:rPr>
              <w:t>广告策略启用开关。</w:t>
            </w:r>
          </w:p>
        </w:tc>
      </w:tr>
      <w:tr w14:paraId="227C78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7BCC70CC">
            <w:pPr>
              <w:pStyle w:val="150"/>
            </w:pPr>
            <w:r>
              <w:rPr>
                <w:rFonts w:hint="eastAsia"/>
              </w:rPr>
              <w:t>推送间隔</w:t>
            </w:r>
          </w:p>
        </w:tc>
        <w:tc>
          <w:tcPr>
            <w:tcW w:w="7620" w:type="dxa"/>
            <w:shd w:val="clear" w:color="auto" w:fill="auto"/>
          </w:tcPr>
          <w:p w14:paraId="6D10398B">
            <w:pPr>
              <w:pStyle w:val="150"/>
            </w:pPr>
            <w:r>
              <w:rPr>
                <w:rFonts w:hint="eastAsia"/>
              </w:rPr>
              <w:t>范围60-3600秒，针对单个用户弹出广告间隔设置，同一用户在一定间隔内不会重复弹送广告。</w:t>
            </w:r>
          </w:p>
        </w:tc>
      </w:tr>
      <w:tr w14:paraId="14A53E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1C15084C">
            <w:pPr>
              <w:pStyle w:val="150"/>
            </w:pPr>
            <w:r>
              <w:rPr>
                <w:rFonts w:hint="eastAsia"/>
              </w:rPr>
              <w:t>动作</w:t>
            </w:r>
          </w:p>
        </w:tc>
        <w:tc>
          <w:tcPr>
            <w:tcW w:w="7620" w:type="dxa"/>
            <w:shd w:val="clear" w:color="auto" w:fill="auto"/>
          </w:tcPr>
          <w:p w14:paraId="6DEC1317">
            <w:pPr>
              <w:pStyle w:val="150"/>
            </w:pPr>
            <w:r>
              <w:rPr>
                <w:rFonts w:hint="eastAsia"/>
              </w:rPr>
              <w:t>推送和不推送。默认推送，当广告策略启用且选择了不推送后，该策略不生效，继续匹配下一跳广告策略</w:t>
            </w:r>
          </w:p>
        </w:tc>
      </w:tr>
      <w:tr w14:paraId="276873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224D8408">
            <w:pPr>
              <w:pStyle w:val="150"/>
            </w:pPr>
            <w:r>
              <w:rPr>
                <w:rFonts w:hint="eastAsia"/>
              </w:rPr>
              <w:t>广告类型</w:t>
            </w:r>
          </w:p>
        </w:tc>
        <w:tc>
          <w:tcPr>
            <w:tcW w:w="7620" w:type="dxa"/>
            <w:shd w:val="clear" w:color="auto" w:fill="auto"/>
          </w:tcPr>
          <w:p w14:paraId="12CEED0B">
            <w:pPr>
              <w:pStyle w:val="150"/>
            </w:pPr>
            <w:r>
              <w:rPr>
                <w:rFonts w:hint="eastAsia"/>
              </w:rPr>
              <w:t>可选本地自定义广告和第三方广告，默认显示本地自定义广告。当选择好广告类型后，广告对象不能交叉引用</w:t>
            </w:r>
          </w:p>
        </w:tc>
      </w:tr>
      <w:tr w14:paraId="54C381A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6D135C98">
            <w:pPr>
              <w:pStyle w:val="150"/>
            </w:pPr>
            <w:r>
              <w:rPr>
                <w:rFonts w:hint="eastAsia"/>
              </w:rPr>
              <w:t>设备管理IP</w:t>
            </w:r>
          </w:p>
        </w:tc>
        <w:tc>
          <w:tcPr>
            <w:tcW w:w="7620" w:type="dxa"/>
            <w:shd w:val="clear" w:color="auto" w:fill="auto"/>
          </w:tcPr>
          <w:p w14:paraId="1AD41201">
            <w:pPr>
              <w:pStyle w:val="150"/>
            </w:pPr>
            <w:r>
              <w:rPr>
                <w:rFonts w:hint="eastAsia"/>
              </w:rPr>
              <w:t>设备管理IP为选配项可为空，若配置优先使用配置IP，否则使用报文入接口IP，两者均为获取到则不弹广告；配置管理IP务必保证用户可达，否则无法加载原始页面</w:t>
            </w:r>
          </w:p>
        </w:tc>
      </w:tr>
      <w:tr w14:paraId="22D7D7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6B520D4E">
            <w:pPr>
              <w:pStyle w:val="150"/>
            </w:pPr>
            <w:r>
              <w:rPr>
                <w:rFonts w:hint="eastAsia"/>
              </w:rPr>
              <w:t>广告对象</w:t>
            </w:r>
          </w:p>
        </w:tc>
        <w:tc>
          <w:tcPr>
            <w:tcW w:w="7620" w:type="dxa"/>
            <w:shd w:val="clear" w:color="auto" w:fill="auto"/>
          </w:tcPr>
          <w:p w14:paraId="45D54C2B">
            <w:pPr>
              <w:pStyle w:val="150"/>
            </w:pPr>
            <w:r>
              <w:rPr>
                <w:rFonts w:hint="eastAsia"/>
              </w:rPr>
              <w:t>调用配置好的广告对象。</w:t>
            </w:r>
          </w:p>
        </w:tc>
      </w:tr>
      <w:tr w14:paraId="1836A3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4D7606F5">
            <w:pPr>
              <w:pStyle w:val="150"/>
            </w:pPr>
            <w:r>
              <w:rPr>
                <w:rFonts w:hint="eastAsia"/>
              </w:rPr>
              <w:t>广告策略</w:t>
            </w:r>
          </w:p>
        </w:tc>
        <w:tc>
          <w:tcPr>
            <w:tcW w:w="7620" w:type="dxa"/>
            <w:shd w:val="clear" w:color="auto" w:fill="auto"/>
          </w:tcPr>
          <w:p w14:paraId="43F5B5B4">
            <w:pPr>
              <w:pStyle w:val="150"/>
            </w:pPr>
            <w:r>
              <w:rPr>
                <w:rFonts w:hint="eastAsia"/>
              </w:rPr>
              <w:t>用户：匹配策略的用户或用户组对象。</w:t>
            </w:r>
          </w:p>
          <w:p w14:paraId="444885EB">
            <w:pPr>
              <w:pStyle w:val="150"/>
            </w:pPr>
            <w:r>
              <w:rPr>
                <w:rFonts w:hint="eastAsia"/>
              </w:rPr>
              <w:t>源接口/域：策略指定源接口。</w:t>
            </w:r>
          </w:p>
          <w:p w14:paraId="2D4665CF">
            <w:pPr>
              <w:pStyle w:val="150"/>
            </w:pPr>
            <w:r>
              <w:rPr>
                <w:rFonts w:hint="eastAsia"/>
              </w:rPr>
              <w:t>目的接口/域：策略指定目的接口。</w:t>
            </w:r>
          </w:p>
          <w:p w14:paraId="00BC7D16">
            <w:pPr>
              <w:pStyle w:val="150"/>
            </w:pPr>
            <w:r>
              <w:rPr>
                <w:rFonts w:hint="eastAsia"/>
              </w:rPr>
              <w:t>源地址：匹配策略源地址。</w:t>
            </w:r>
          </w:p>
          <w:p w14:paraId="5A176206">
            <w:pPr>
              <w:pStyle w:val="150"/>
            </w:pPr>
            <w:r>
              <w:rPr>
                <w:rFonts w:hint="eastAsia"/>
              </w:rPr>
              <w:t>目的地址：匹配策略目的地址。</w:t>
            </w:r>
          </w:p>
          <w:p w14:paraId="4E186063">
            <w:pPr>
              <w:pStyle w:val="150"/>
            </w:pPr>
            <w:r>
              <w:rPr>
                <w:rFonts w:hint="eastAsia"/>
              </w:rPr>
              <w:t>时间：匹配策略的时间对象。</w:t>
            </w:r>
          </w:p>
        </w:tc>
      </w:tr>
    </w:tbl>
    <w:p w14:paraId="033CE0B9"/>
    <w:p w14:paraId="5185D034">
      <w:pPr>
        <w:pStyle w:val="3"/>
      </w:pPr>
      <w:bookmarkStart w:id="5753" w:name="_Toc6235880"/>
      <w:bookmarkStart w:id="5754" w:name="_Toc196728346"/>
      <w:bookmarkStart w:id="5755" w:name="_Toc194081014"/>
      <w:bookmarkStart w:id="5756" w:name="_Toc23152813"/>
      <w:bookmarkStart w:id="5757" w:name="_Toc172218522"/>
      <w:bookmarkStart w:id="5758" w:name="_Toc99561887"/>
      <w:bookmarkStart w:id="5759" w:name="_Toc141873741"/>
      <w:bookmarkStart w:id="5760" w:name="_Toc142401258"/>
      <w:bookmarkStart w:id="5761" w:name="_Toc40276246"/>
      <w:bookmarkStart w:id="5762" w:name="_Toc15485049"/>
      <w:r>
        <w:rPr>
          <w:rFonts w:hint="eastAsia"/>
        </w:rPr>
        <w:t>会话</w:t>
      </w:r>
      <w:bookmarkEnd w:id="5753"/>
      <w:r>
        <w:rPr>
          <w:rFonts w:hint="eastAsia"/>
        </w:rPr>
        <w:t>控制管理</w:t>
      </w:r>
      <w:bookmarkEnd w:id="5754"/>
      <w:bookmarkEnd w:id="5755"/>
      <w:bookmarkEnd w:id="5756"/>
      <w:bookmarkEnd w:id="5757"/>
      <w:bookmarkEnd w:id="5758"/>
      <w:bookmarkEnd w:id="5759"/>
      <w:bookmarkEnd w:id="5760"/>
      <w:bookmarkEnd w:id="5761"/>
      <w:bookmarkEnd w:id="5762"/>
    </w:p>
    <w:p w14:paraId="1591412C">
      <w:pPr>
        <w:pStyle w:val="4"/>
      </w:pPr>
      <w:bookmarkStart w:id="5763" w:name="_Toc6235881"/>
      <w:bookmarkStart w:id="5764" w:name="_Toc15485050"/>
      <w:bookmarkStart w:id="5765" w:name="_Toc23152814"/>
      <w:bookmarkStart w:id="5766" w:name="_Toc40276247"/>
      <w:bookmarkStart w:id="5767" w:name="_Toc142401259"/>
      <w:bookmarkStart w:id="5768" w:name="_Toc196728347"/>
      <w:bookmarkStart w:id="5769" w:name="_Toc172218523"/>
      <w:bookmarkStart w:id="5770" w:name="_Toc194081015"/>
      <w:bookmarkStart w:id="5771" w:name="_Toc99561888"/>
      <w:bookmarkStart w:id="5772" w:name="_Toc141873742"/>
      <w:r>
        <w:rPr>
          <w:rFonts w:hint="eastAsia"/>
        </w:rPr>
        <w:t>会话限制简介</w:t>
      </w:r>
      <w:bookmarkEnd w:id="5763"/>
      <w:bookmarkEnd w:id="5764"/>
      <w:bookmarkEnd w:id="5765"/>
      <w:bookmarkEnd w:id="5766"/>
      <w:bookmarkEnd w:id="5767"/>
      <w:bookmarkEnd w:id="5768"/>
      <w:bookmarkEnd w:id="5769"/>
      <w:bookmarkEnd w:id="5770"/>
      <w:bookmarkEnd w:id="5771"/>
      <w:bookmarkEnd w:id="5772"/>
    </w:p>
    <w:p w14:paraId="007DFD25">
      <w:r>
        <w:rPr>
          <w:rFonts w:hint="eastAsia"/>
        </w:rPr>
        <w:t>通过会话限制（</w:t>
      </w:r>
      <w:r>
        <w:t>session-limit</w:t>
      </w:r>
      <w:r>
        <w:rPr>
          <w:rFonts w:hint="eastAsia"/>
        </w:rPr>
        <w:t>）的策略配置，可以基于用户、源地址、目的地址、服务、时间对设备上建立的会话连接数进行限制，并且可以对限制策略的结果进行统计。防止大量新建会话导致影响正常业务，保护内部网络资源。</w:t>
      </w:r>
    </w:p>
    <w:p w14:paraId="7C6524D7">
      <w:r>
        <w:rPr>
          <w:rFonts w:hint="eastAsia"/>
        </w:rPr>
        <w:t>通过会话限制策略，可以对指定范围内用户的会话连接数及每秒新建连接数进行限制。匹配到限制策略且达到限制值时，设备将阻断新建会话连接并记录阻断日志。</w:t>
      </w:r>
    </w:p>
    <w:p w14:paraId="4F435959">
      <w:r>
        <w:t>设备支持</w:t>
      </w:r>
      <w:r>
        <w:rPr>
          <w:rFonts w:hint="eastAsia"/>
        </w:rPr>
        <w:t>基于“地址对象”或“用户”进行会话限制：</w:t>
      </w:r>
    </w:p>
    <w:p w14:paraId="65C7797B">
      <w:pPr>
        <w:pStyle w:val="176"/>
        <w:spacing w:before="156" w:after="156"/>
      </w:pPr>
      <w:r>
        <w:t>基于地址对象</w:t>
      </w:r>
    </w:p>
    <w:p w14:paraId="308C4ED5">
      <w:pPr>
        <w:pStyle w:val="162"/>
      </w:pPr>
      <w:r>
        <w:rPr>
          <w:rFonts w:hint="eastAsia"/>
        </w:rPr>
        <w:t>支持基于源、目的地址对象进行会话限制；</w:t>
      </w:r>
    </w:p>
    <w:p w14:paraId="11B9117B">
      <w:pPr>
        <w:pStyle w:val="162"/>
      </w:pPr>
      <w:r>
        <w:rPr>
          <w:rFonts w:hint="eastAsia"/>
        </w:rPr>
        <w:t>对于源、目的地址对象，支持单向、双向两种匹配方式；</w:t>
      </w:r>
    </w:p>
    <w:p w14:paraId="03E055D5">
      <w:pPr>
        <w:pStyle w:val="162"/>
      </w:pPr>
      <w:r>
        <w:rPr>
          <w:rFonts w:hint="eastAsia"/>
        </w:rPr>
        <w:t>支持每IP会话、所有IP两种会话限制方式：</w:t>
      </w:r>
    </w:p>
    <w:p w14:paraId="50497E0E">
      <w:pPr>
        <w:pStyle w:val="162"/>
      </w:pPr>
      <w:r>
        <w:rPr>
          <w:rFonts w:hint="eastAsia"/>
        </w:rPr>
        <w:t>每IP会话限制：对每个IP会话总数及每秒新建总数的限制；</w:t>
      </w:r>
    </w:p>
    <w:p w14:paraId="2E75C956">
      <w:pPr>
        <w:pStyle w:val="162"/>
      </w:pPr>
      <w:r>
        <w:rPr>
          <w:rFonts w:hint="eastAsia"/>
        </w:rPr>
        <w:t>会话总数限制：对策略范围内的地址对象能够使用的会话总数和每秒新建总数的限制。</w:t>
      </w:r>
    </w:p>
    <w:p w14:paraId="77B9B172">
      <w:pPr>
        <w:pStyle w:val="176"/>
        <w:spacing w:before="156" w:after="156"/>
      </w:pPr>
      <w:r>
        <w:t>基于用户</w:t>
      </w:r>
    </w:p>
    <w:p w14:paraId="29D94E03">
      <w:r>
        <w:rPr>
          <w:rFonts w:hint="eastAsia"/>
        </w:rPr>
        <w:t>在指定范围内的用户会受到会话限制策略的限制，支持每用户和所有用户会话限制。</w:t>
      </w:r>
    </w:p>
    <w:p w14:paraId="10929CA3">
      <w:r>
        <w:rPr>
          <w:rFonts w:hint="eastAsia"/>
        </w:rPr>
        <w:t>同时，会话限制策略可以选择服务和时间对象进行匹配。</w:t>
      </w:r>
    </w:p>
    <w:p w14:paraId="638FE0FF">
      <w:pPr>
        <w:pStyle w:val="4"/>
      </w:pPr>
      <w:bookmarkStart w:id="5773" w:name="_Toc196728348"/>
      <w:bookmarkStart w:id="5774" w:name="_Toc6235882"/>
      <w:bookmarkStart w:id="5775" w:name="_Toc40276248"/>
      <w:bookmarkStart w:id="5776" w:name="_Toc23152815"/>
      <w:bookmarkStart w:id="5777" w:name="_Toc142401260"/>
      <w:bookmarkStart w:id="5778" w:name="_Toc172218524"/>
      <w:bookmarkStart w:id="5779" w:name="_Toc141873743"/>
      <w:bookmarkStart w:id="5780" w:name="_Toc99561889"/>
      <w:bookmarkStart w:id="5781" w:name="_Toc194081016"/>
      <w:bookmarkStart w:id="5782" w:name="_Toc15485051"/>
      <w:r>
        <w:rPr>
          <w:rFonts w:hint="eastAsia"/>
        </w:rPr>
        <w:t>会话限制新建</w:t>
      </w:r>
      <w:bookmarkEnd w:id="5773"/>
      <w:bookmarkEnd w:id="5774"/>
      <w:bookmarkEnd w:id="5775"/>
      <w:bookmarkEnd w:id="5776"/>
      <w:bookmarkEnd w:id="5777"/>
      <w:bookmarkEnd w:id="5778"/>
      <w:bookmarkEnd w:id="5779"/>
      <w:bookmarkEnd w:id="5780"/>
      <w:bookmarkEnd w:id="5781"/>
      <w:bookmarkEnd w:id="5782"/>
    </w:p>
    <w:p w14:paraId="21B770ED">
      <w:r>
        <w:rPr>
          <w:rFonts w:hint="eastAsia"/>
        </w:rPr>
        <w:t>点击导航栏的“策略配置 &gt; 会话控制管理”，进入会话限制的显示页面，如</w:t>
      </w:r>
      <w:r>
        <w:rPr>
          <w:color w:val="0000FF"/>
          <w:u w:val="single"/>
        </w:rPr>
        <w:fldChar w:fldCharType="begin"/>
      </w:r>
      <w:r>
        <w:instrText xml:space="preserve"> </w:instrText>
      </w:r>
      <w:r>
        <w:rPr>
          <w:rFonts w:hint="eastAsia"/>
        </w:rPr>
        <w:instrText xml:space="preserve">REF _Ref15485410 \r \h</w:instrText>
      </w:r>
      <w:r>
        <w:instrText xml:space="preserve"> </w:instrText>
      </w:r>
      <w:r>
        <w:rPr>
          <w:color w:val="0000FF"/>
          <w:u w:val="single"/>
        </w:rPr>
        <w:fldChar w:fldCharType="separate"/>
      </w:r>
      <w:r>
        <w:rPr>
          <w:rFonts w:hint="eastAsia"/>
        </w:rPr>
        <w:t>图22-1</w:t>
      </w:r>
      <w:r>
        <w:rPr>
          <w:color w:val="0000FF"/>
          <w:u w:val="single"/>
        </w:rPr>
        <w:fldChar w:fldCharType="end"/>
      </w:r>
      <w:r>
        <w:rPr>
          <w:rFonts w:hint="eastAsia"/>
        </w:rPr>
        <w:t>所示。在每</w:t>
      </w:r>
      <w:r>
        <w:t>IP</w:t>
      </w:r>
      <w:r>
        <w:rPr>
          <w:rFonts w:hint="eastAsia"/>
        </w:rPr>
        <w:t>会话限制页面中，点击</w:t>
      </w:r>
      <w:r>
        <w:t>&lt;</w:t>
      </w:r>
      <w:r>
        <w:rPr>
          <w:rFonts w:hint="eastAsia"/>
        </w:rPr>
        <w:t>新建</w:t>
      </w:r>
      <w:r>
        <w:t>&gt;</w:t>
      </w:r>
      <w:r>
        <w:rPr>
          <w:rFonts w:hint="eastAsia"/>
        </w:rPr>
        <w:t>按钮，会切换到新建会话限制页面，可选择基于地址对象进行限制，如</w:t>
      </w:r>
      <w:r>
        <w:rPr>
          <w:color w:val="0000FF"/>
          <w:u w:val="single"/>
        </w:rPr>
        <w:fldChar w:fldCharType="begin"/>
      </w:r>
      <w:r>
        <w:instrText xml:space="preserve"> </w:instrText>
      </w:r>
      <w:r>
        <w:rPr>
          <w:rFonts w:hint="eastAsia"/>
        </w:rPr>
        <w:instrText xml:space="preserve">REF _Ref162353608 \r \h</w:instrText>
      </w:r>
      <w:r>
        <w:instrText xml:space="preserve"> </w:instrText>
      </w:r>
      <w:r>
        <w:rPr>
          <w:color w:val="0000FF"/>
          <w:u w:val="single"/>
        </w:rPr>
        <w:fldChar w:fldCharType="separate"/>
      </w:r>
      <w:r>
        <w:rPr>
          <w:rFonts w:hint="eastAsia"/>
        </w:rPr>
        <w:t>图22-2</w:t>
      </w:r>
      <w:r>
        <w:rPr>
          <w:color w:val="0000FF"/>
          <w:u w:val="single"/>
        </w:rPr>
        <w:fldChar w:fldCharType="end"/>
      </w:r>
      <w:r>
        <w:rPr>
          <w:rFonts w:hint="eastAsia"/>
        </w:rPr>
        <w:t>所示；</w:t>
      </w:r>
      <w:r>
        <w:t>也可选择基于用户进行限制</w:t>
      </w:r>
      <w:r>
        <w:rPr>
          <w:rFonts w:hint="eastAsia"/>
        </w:rPr>
        <w:t>，</w:t>
      </w:r>
      <w:r>
        <w:t>如</w:t>
      </w:r>
      <w:r>
        <w:fldChar w:fldCharType="begin"/>
      </w:r>
      <w:r>
        <w:instrText xml:space="preserve"> REF _Ref156394368 \r \h </w:instrText>
      </w:r>
      <w:r>
        <w:fldChar w:fldCharType="separate"/>
      </w:r>
      <w:r>
        <w:rPr>
          <w:rFonts w:hint="eastAsia"/>
        </w:rPr>
        <w:t>图22-3</w:t>
      </w:r>
      <w:r>
        <w:fldChar w:fldCharType="end"/>
      </w:r>
      <w:r>
        <w:t>所示</w:t>
      </w:r>
      <w:r>
        <w:rPr>
          <w:rFonts w:hint="eastAsia"/>
        </w:rPr>
        <w:t>。</w:t>
      </w:r>
    </w:p>
    <w:p w14:paraId="15740938">
      <w:pPr>
        <w:pStyle w:val="188"/>
      </w:pPr>
      <w:bookmarkStart w:id="5783" w:name="_Toc141875149"/>
      <w:bookmarkStart w:id="5784" w:name="_Ref15485410"/>
      <w:r>
        <w:rPr>
          <w:rFonts w:hint="eastAsia"/>
        </w:rPr>
        <w:t>会话限制显示界面</w:t>
      </w:r>
      <w:bookmarkEnd w:id="5783"/>
      <w:bookmarkEnd w:id="5784"/>
    </w:p>
    <w:p w14:paraId="1F926A02">
      <w:r>
        <w:drawing>
          <wp:inline distT="0" distB="0" distL="0" distR="0">
            <wp:extent cx="5972175" cy="1026160"/>
            <wp:effectExtent l="0" t="0" r="0" b="2540"/>
            <wp:docPr id="1802027869" name="图片 1802027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69" name="图片 1802027869"/>
                    <pic:cNvPicPr>
                      <a:picLocks noChangeAspect="1"/>
                    </pic:cNvPicPr>
                  </pic:nvPicPr>
                  <pic:blipFill>
                    <a:blip r:embed="rId739"/>
                    <a:stretch>
                      <a:fillRect/>
                    </a:stretch>
                  </pic:blipFill>
                  <pic:spPr>
                    <a:xfrm>
                      <a:off x="0" y="0"/>
                      <a:ext cx="5977009" cy="1027482"/>
                    </a:xfrm>
                    <a:prstGeom prst="rect">
                      <a:avLst/>
                    </a:prstGeom>
                  </pic:spPr>
                </pic:pic>
              </a:graphicData>
            </a:graphic>
          </wp:inline>
        </w:drawing>
      </w:r>
    </w:p>
    <w:p w14:paraId="4EF99F33"/>
    <w:p w14:paraId="595D4483">
      <w:pPr>
        <w:pStyle w:val="188"/>
      </w:pPr>
      <w:bookmarkStart w:id="5785" w:name="_Ref162353608"/>
      <w:bookmarkStart w:id="5786" w:name="_Toc141875150"/>
      <w:bookmarkStart w:id="5787" w:name="_Ref15485411"/>
      <w:r>
        <w:rPr>
          <w:rFonts w:hint="eastAsia"/>
        </w:rPr>
        <w:t>会话限制配置页面-基于地址对象</w:t>
      </w:r>
      <w:bookmarkEnd w:id="5785"/>
    </w:p>
    <w:p w14:paraId="6A1A3F63">
      <w:pPr>
        <w:pStyle w:val="175"/>
      </w:pPr>
      <w:r>
        <w:drawing>
          <wp:inline distT="0" distB="0" distL="0" distR="0">
            <wp:extent cx="4962525" cy="3997325"/>
            <wp:effectExtent l="0" t="0" r="0" b="3175"/>
            <wp:docPr id="1802027842" name="图片 1802027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42" name="图片 1802027842"/>
                    <pic:cNvPicPr>
                      <a:picLocks noChangeAspect="1"/>
                    </pic:cNvPicPr>
                  </pic:nvPicPr>
                  <pic:blipFill>
                    <a:blip r:embed="rId740"/>
                    <a:stretch>
                      <a:fillRect/>
                    </a:stretch>
                  </pic:blipFill>
                  <pic:spPr>
                    <a:xfrm>
                      <a:off x="0" y="0"/>
                      <a:ext cx="4963395" cy="3998053"/>
                    </a:xfrm>
                    <a:prstGeom prst="rect">
                      <a:avLst/>
                    </a:prstGeom>
                  </pic:spPr>
                </pic:pic>
              </a:graphicData>
            </a:graphic>
          </wp:inline>
        </w:drawing>
      </w:r>
    </w:p>
    <w:bookmarkEnd w:id="5786"/>
    <w:bookmarkEnd w:id="5787"/>
    <w:p w14:paraId="43101AF4"/>
    <w:p w14:paraId="5BE6D3F0">
      <w:pPr>
        <w:pStyle w:val="188"/>
      </w:pPr>
      <w:bookmarkStart w:id="5788" w:name="_Ref156394368"/>
      <w:r>
        <w:rPr>
          <w:rFonts w:hint="eastAsia"/>
        </w:rPr>
        <w:t>会话限制配置页面-基于用户</w:t>
      </w:r>
      <w:bookmarkEnd w:id="5788"/>
    </w:p>
    <w:p w14:paraId="415D7B19">
      <w:r>
        <w:drawing>
          <wp:inline distT="0" distB="0" distL="0" distR="0">
            <wp:extent cx="5057775" cy="3506470"/>
            <wp:effectExtent l="0" t="0" r="0" b="0"/>
            <wp:docPr id="1802027873" name="图片 1802027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73" name="图片 1802027873"/>
                    <pic:cNvPicPr>
                      <a:picLocks noChangeAspect="1"/>
                    </pic:cNvPicPr>
                  </pic:nvPicPr>
                  <pic:blipFill>
                    <a:blip r:embed="rId741"/>
                    <a:stretch>
                      <a:fillRect/>
                    </a:stretch>
                  </pic:blipFill>
                  <pic:spPr>
                    <a:xfrm>
                      <a:off x="0" y="0"/>
                      <a:ext cx="5059204" cy="3507830"/>
                    </a:xfrm>
                    <a:prstGeom prst="rect">
                      <a:avLst/>
                    </a:prstGeom>
                  </pic:spPr>
                </pic:pic>
              </a:graphicData>
            </a:graphic>
          </wp:inline>
        </w:drawing>
      </w:r>
    </w:p>
    <w:p w14:paraId="3A4850EA"/>
    <w:p w14:paraId="0354EAE4">
      <w:pPr>
        <w:pStyle w:val="183"/>
      </w:pPr>
      <w:bookmarkStart w:id="5789" w:name="_Toc141875711"/>
      <w:r>
        <w:rPr>
          <w:rFonts w:hint="eastAsia"/>
        </w:rPr>
        <w:t>会话限制详细信息描述表</w:t>
      </w:r>
      <w:bookmarkEnd w:id="5789"/>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498"/>
        <w:gridCol w:w="7470"/>
      </w:tblGrid>
      <w:tr w14:paraId="792C05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tcBorders>
              <w:tl2br w:val="nil"/>
              <w:tr2bl w:val="nil"/>
            </w:tcBorders>
            <w:shd w:val="clear" w:color="auto" w:fill="538135" w:themeFill="accent6" w:themeFillShade="BF"/>
            <w:vAlign w:val="center"/>
          </w:tcPr>
          <w:p w14:paraId="6BC3E40C">
            <w:pPr>
              <w:pStyle w:val="149"/>
              <w:wordWrap/>
              <w:rPr>
                <w:b/>
                <w:bCs/>
                <w:i w:val="0"/>
                <w:iCs w:val="0"/>
              </w:rPr>
            </w:pPr>
            <w:r>
              <w:rPr>
                <w:rFonts w:hint="eastAsia"/>
                <w:b/>
                <w:bCs/>
                <w:i w:val="0"/>
                <w:iCs w:val="0"/>
              </w:rPr>
              <w:t>配置项</w:t>
            </w:r>
          </w:p>
        </w:tc>
        <w:tc>
          <w:tcPr>
            <w:tcW w:w="7470" w:type="dxa"/>
            <w:tcBorders>
              <w:tl2br w:val="nil"/>
              <w:tr2bl w:val="nil"/>
            </w:tcBorders>
            <w:shd w:val="clear" w:color="auto" w:fill="538135" w:themeFill="accent6" w:themeFillShade="BF"/>
            <w:vAlign w:val="center"/>
          </w:tcPr>
          <w:p w14:paraId="55109B8B">
            <w:pPr>
              <w:pStyle w:val="149"/>
              <w:wordWrap/>
              <w:rPr>
                <w:b/>
                <w:bCs/>
                <w:i w:val="0"/>
                <w:iCs w:val="0"/>
              </w:rPr>
            </w:pPr>
            <w:r>
              <w:rPr>
                <w:rFonts w:hint="eastAsia"/>
                <w:b/>
                <w:bCs/>
                <w:i w:val="0"/>
                <w:iCs w:val="0"/>
              </w:rPr>
              <w:t>说明</w:t>
            </w:r>
          </w:p>
        </w:tc>
      </w:tr>
      <w:tr w14:paraId="593F34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28E48F6E">
            <w:pPr>
              <w:pStyle w:val="150"/>
            </w:pPr>
            <w:r>
              <w:rPr>
                <w:rFonts w:hint="eastAsia"/>
              </w:rPr>
              <w:t>策略名称</w:t>
            </w:r>
          </w:p>
        </w:tc>
        <w:tc>
          <w:tcPr>
            <w:tcW w:w="7470" w:type="dxa"/>
            <w:shd w:val="clear" w:color="auto" w:fill="auto"/>
          </w:tcPr>
          <w:p w14:paraId="635F474D">
            <w:pPr>
              <w:pStyle w:val="150"/>
            </w:pPr>
            <w:r>
              <w:rPr>
                <w:rFonts w:hint="eastAsia"/>
              </w:rPr>
              <w:t>会话控制</w:t>
            </w:r>
            <w:r>
              <w:t>策略名称</w:t>
            </w:r>
            <w:r>
              <w:rPr>
                <w:rFonts w:hint="eastAsia"/>
              </w:rPr>
              <w:t>。</w:t>
            </w:r>
          </w:p>
        </w:tc>
      </w:tr>
      <w:tr w14:paraId="4AF865A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68D6C904">
            <w:pPr>
              <w:pStyle w:val="150"/>
            </w:pPr>
            <w:r>
              <w:rPr>
                <w:rFonts w:hint="eastAsia"/>
              </w:rPr>
              <w:t>启用</w:t>
            </w:r>
          </w:p>
        </w:tc>
        <w:tc>
          <w:tcPr>
            <w:tcW w:w="7470" w:type="dxa"/>
            <w:shd w:val="clear" w:color="auto" w:fill="auto"/>
          </w:tcPr>
          <w:p w14:paraId="12EA8B8D">
            <w:pPr>
              <w:pStyle w:val="150"/>
            </w:pPr>
            <w:r>
              <w:rPr>
                <w:rFonts w:hint="eastAsia"/>
              </w:rPr>
              <w:t>勾选</w:t>
            </w:r>
            <w:r>
              <w:t>后会话控制策略才会生效</w:t>
            </w:r>
            <w:r>
              <w:rPr>
                <w:rFonts w:hint="eastAsia"/>
              </w:rPr>
              <w:t>。</w:t>
            </w:r>
          </w:p>
        </w:tc>
      </w:tr>
      <w:tr w14:paraId="59419F4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3661ACA9">
            <w:pPr>
              <w:pStyle w:val="150"/>
            </w:pPr>
            <w:r>
              <w:rPr>
                <w:rFonts w:hint="eastAsia"/>
              </w:rPr>
              <w:t>限制类型</w:t>
            </w:r>
          </w:p>
        </w:tc>
        <w:tc>
          <w:tcPr>
            <w:tcW w:w="7470" w:type="dxa"/>
            <w:shd w:val="clear" w:color="auto" w:fill="auto"/>
          </w:tcPr>
          <w:p w14:paraId="5C29B12D">
            <w:pPr>
              <w:pStyle w:val="150"/>
            </w:pPr>
            <w:r>
              <w:t>选择会话限制策略的限制类型</w:t>
            </w:r>
            <w:r>
              <w:rPr>
                <w:rFonts w:hint="eastAsia"/>
              </w:rPr>
              <w:t>：</w:t>
            </w:r>
          </w:p>
          <w:p w14:paraId="467EE6C3">
            <w:pPr>
              <w:pStyle w:val="150"/>
            </w:pPr>
            <w:r>
              <w:rPr>
                <w:rFonts w:hint="eastAsia"/>
              </w:rPr>
              <w:t>地址</w:t>
            </w:r>
            <w:r>
              <w:t>对象：</w:t>
            </w:r>
            <w:r>
              <w:rPr>
                <w:rFonts w:hint="eastAsia"/>
              </w:rPr>
              <w:t>基于</w:t>
            </w:r>
            <w:r>
              <w:t>地址对象</w:t>
            </w:r>
            <w:r>
              <w:rPr>
                <w:rFonts w:hint="eastAsia"/>
              </w:rPr>
              <w:t>对</w:t>
            </w:r>
            <w:r>
              <w:t>会话限制策略</w:t>
            </w:r>
            <w:r>
              <w:rPr>
                <w:rFonts w:hint="eastAsia"/>
              </w:rPr>
              <w:t>进行</w:t>
            </w:r>
            <w:r>
              <w:t>匹配</w:t>
            </w:r>
            <w:r>
              <w:rPr>
                <w:rFonts w:hint="eastAsia"/>
              </w:rPr>
              <w:t>。</w:t>
            </w:r>
          </w:p>
          <w:p w14:paraId="0D679166">
            <w:pPr>
              <w:pStyle w:val="150"/>
            </w:pPr>
            <w:r>
              <w:rPr>
                <w:rFonts w:hint="eastAsia"/>
              </w:rPr>
              <w:t>用户：</w:t>
            </w:r>
            <w:r>
              <w:t>基于用户或用户组</w:t>
            </w:r>
            <w:r>
              <w:rPr>
                <w:rFonts w:hint="eastAsia"/>
              </w:rPr>
              <w:t>对</w:t>
            </w:r>
            <w:r>
              <w:t>会话限制策略</w:t>
            </w:r>
            <w:r>
              <w:rPr>
                <w:rFonts w:hint="eastAsia"/>
              </w:rPr>
              <w:t>进行</w:t>
            </w:r>
            <w:r>
              <w:t>匹配</w:t>
            </w:r>
            <w:r>
              <w:rPr>
                <w:rFonts w:hint="eastAsia"/>
              </w:rPr>
              <w:t>。</w:t>
            </w:r>
          </w:p>
        </w:tc>
      </w:tr>
      <w:tr w14:paraId="055565A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8968" w:type="dxa"/>
            <w:gridSpan w:val="2"/>
            <w:shd w:val="clear" w:color="auto" w:fill="auto"/>
          </w:tcPr>
          <w:p w14:paraId="4587C9CC">
            <w:pPr>
              <w:pStyle w:val="150"/>
            </w:pPr>
            <w:r>
              <w:rPr>
                <w:rFonts w:hint="eastAsia"/>
              </w:rPr>
              <w:t>基于地址对象</w:t>
            </w:r>
          </w:p>
        </w:tc>
      </w:tr>
      <w:tr w14:paraId="504083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3828DF7A">
            <w:pPr>
              <w:pStyle w:val="150"/>
            </w:pPr>
            <w:r>
              <w:rPr>
                <w:rFonts w:hint="eastAsia"/>
              </w:rPr>
              <w:t>限制方式</w:t>
            </w:r>
          </w:p>
        </w:tc>
        <w:tc>
          <w:tcPr>
            <w:tcW w:w="7470" w:type="dxa"/>
            <w:shd w:val="clear" w:color="auto" w:fill="auto"/>
          </w:tcPr>
          <w:p w14:paraId="13122D2E">
            <w:pPr>
              <w:pStyle w:val="150"/>
            </w:pPr>
            <w:r>
              <w:rPr>
                <w:rFonts w:hint="eastAsia"/>
              </w:rPr>
              <w:t>限制类型选择“地址对象”时，可选择“每IP”或“所有IP”两种限制方式：</w:t>
            </w:r>
          </w:p>
          <w:p w14:paraId="3B5BF9BB">
            <w:pPr>
              <w:pStyle w:val="150"/>
            </w:pPr>
            <w:r>
              <w:t>每</w:t>
            </w:r>
            <w:r>
              <w:rPr>
                <w:rFonts w:hint="eastAsia"/>
              </w:rPr>
              <w:t>IP：对每个IP会话总数和每秒新建总数的限制；</w:t>
            </w:r>
          </w:p>
          <w:p w14:paraId="5288415E">
            <w:pPr>
              <w:pStyle w:val="150"/>
            </w:pPr>
            <w:r>
              <w:rPr>
                <w:rFonts w:hint="eastAsia"/>
              </w:rPr>
              <w:t>所有IP：对策略范围内的地址对象能够使用的会话总数和每秒新建总数的限制，限制范围内的会话共用一个规格，是对总数的限制。</w:t>
            </w:r>
          </w:p>
        </w:tc>
      </w:tr>
      <w:tr w14:paraId="32C349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55F228A7">
            <w:pPr>
              <w:pStyle w:val="150"/>
            </w:pPr>
            <w:r>
              <w:rPr>
                <w:rFonts w:hint="eastAsia"/>
              </w:rPr>
              <w:t>源地址</w:t>
            </w:r>
          </w:p>
        </w:tc>
        <w:tc>
          <w:tcPr>
            <w:tcW w:w="7470" w:type="dxa"/>
            <w:shd w:val="clear" w:color="auto" w:fill="auto"/>
          </w:tcPr>
          <w:p w14:paraId="460E6EF3">
            <w:pPr>
              <w:pStyle w:val="150"/>
            </w:pPr>
            <w:r>
              <w:rPr>
                <w:rFonts w:hint="eastAsia"/>
              </w:rPr>
              <w:t>选择策略匹配的源地址对象或地址组对象，默认为any。</w:t>
            </w:r>
          </w:p>
        </w:tc>
      </w:tr>
      <w:tr w14:paraId="596C489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08F2278B">
            <w:pPr>
              <w:pStyle w:val="150"/>
            </w:pPr>
            <w:r>
              <w:rPr>
                <w:rFonts w:hint="eastAsia"/>
              </w:rPr>
              <w:t>目的地址</w:t>
            </w:r>
          </w:p>
        </w:tc>
        <w:tc>
          <w:tcPr>
            <w:tcW w:w="7470" w:type="dxa"/>
            <w:shd w:val="clear" w:color="auto" w:fill="auto"/>
          </w:tcPr>
          <w:p w14:paraId="4CE3C794">
            <w:pPr>
              <w:pStyle w:val="150"/>
            </w:pPr>
            <w:r>
              <w:rPr>
                <w:rFonts w:hint="eastAsia"/>
              </w:rPr>
              <w:t>选择策略匹配的目的地址对象或地址组对象，默认为any。</w:t>
            </w:r>
          </w:p>
        </w:tc>
      </w:tr>
      <w:tr w14:paraId="48BC487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2A28A750">
            <w:pPr>
              <w:pStyle w:val="150"/>
            </w:pPr>
            <w:r>
              <w:rPr>
                <w:rFonts w:hint="eastAsia"/>
              </w:rPr>
              <w:t>双向</w:t>
            </w:r>
            <w:r>
              <w:t>匹配</w:t>
            </w:r>
          </w:p>
        </w:tc>
        <w:tc>
          <w:tcPr>
            <w:tcW w:w="7470" w:type="dxa"/>
            <w:shd w:val="clear" w:color="auto" w:fill="auto"/>
          </w:tcPr>
          <w:p w14:paraId="74A76A39">
            <w:pPr>
              <w:pStyle w:val="150"/>
            </w:pPr>
            <w:r>
              <w:rPr>
                <w:rFonts w:hint="eastAsia"/>
              </w:rPr>
              <w:t>限制类型选择“地址对象”时，</w:t>
            </w:r>
            <w:r>
              <w:t>可以</w:t>
            </w:r>
            <w:r>
              <w:rPr>
                <w:rFonts w:hint="eastAsia"/>
              </w:rPr>
              <w:t>勾选双向</w:t>
            </w:r>
            <w:r>
              <w:t>匹配</w:t>
            </w:r>
            <w:r>
              <w:rPr>
                <w:rFonts w:hint="eastAsia"/>
              </w:rPr>
              <w:t>，表示不区分会话的方向，</w:t>
            </w:r>
            <w:r>
              <w:t>不勾选为</w:t>
            </w:r>
            <w:r>
              <w:rPr>
                <w:rFonts w:hint="eastAsia"/>
              </w:rPr>
              <w:t>“单向匹配”，表示区分会话方向</w:t>
            </w:r>
            <w:r>
              <w:t>。</w:t>
            </w:r>
          </w:p>
          <w:p w14:paraId="55A2F575">
            <w:pPr>
              <w:pStyle w:val="150"/>
            </w:pPr>
            <w:r>
              <w:rPr>
                <w:rFonts w:hint="eastAsia"/>
              </w:rPr>
              <w:t>例如：配置源目地址对象分别为A和B。</w:t>
            </w:r>
          </w:p>
          <w:p w14:paraId="67AF60F1">
            <w:pPr>
              <w:pStyle w:val="150"/>
            </w:pPr>
            <w:r>
              <w:rPr>
                <w:rFonts w:hint="eastAsia"/>
              </w:rPr>
              <w:t>勾选“双向匹配”时， A -&gt; B的会话和B -&gt; A的会话都会受到限制。</w:t>
            </w:r>
          </w:p>
          <w:p w14:paraId="4E26FCC7">
            <w:pPr>
              <w:pStyle w:val="150"/>
            </w:pPr>
            <w:r>
              <w:rPr>
                <w:rFonts w:hint="eastAsia"/>
              </w:rPr>
              <w:t>不勾选时，为“单向匹配”，仅会限制A -&gt; B会话的新建。</w:t>
            </w:r>
          </w:p>
        </w:tc>
      </w:tr>
      <w:tr w14:paraId="5A61E5B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8968" w:type="dxa"/>
            <w:gridSpan w:val="2"/>
            <w:shd w:val="clear" w:color="auto" w:fill="auto"/>
          </w:tcPr>
          <w:p w14:paraId="7A34E5D4">
            <w:pPr>
              <w:pStyle w:val="150"/>
            </w:pPr>
            <w:r>
              <w:rPr>
                <w:rFonts w:hint="eastAsia"/>
              </w:rPr>
              <w:t>基于用户</w:t>
            </w:r>
          </w:p>
        </w:tc>
      </w:tr>
      <w:tr w14:paraId="383A329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78B7308A">
            <w:pPr>
              <w:pStyle w:val="150"/>
            </w:pPr>
            <w:r>
              <w:rPr>
                <w:rFonts w:hint="eastAsia"/>
              </w:rPr>
              <w:t>限制</w:t>
            </w:r>
            <w:r>
              <w:t>方式</w:t>
            </w:r>
          </w:p>
        </w:tc>
        <w:tc>
          <w:tcPr>
            <w:tcW w:w="7470" w:type="dxa"/>
            <w:shd w:val="clear" w:color="auto" w:fill="auto"/>
          </w:tcPr>
          <w:p w14:paraId="26CE16C5">
            <w:pPr>
              <w:pStyle w:val="150"/>
            </w:pPr>
            <w:r>
              <w:rPr>
                <w:rFonts w:hint="eastAsia"/>
              </w:rPr>
              <w:t>限制类型选择“</w:t>
            </w:r>
            <w:r>
              <w:t>用户</w:t>
            </w:r>
            <w:r>
              <w:rPr>
                <w:rFonts w:hint="eastAsia"/>
              </w:rPr>
              <w:t>”时，可选择“每用户”或“所有用户”两种限制方式：</w:t>
            </w:r>
          </w:p>
          <w:p w14:paraId="4B4C4820">
            <w:pPr>
              <w:pStyle w:val="150"/>
            </w:pPr>
            <w:r>
              <w:rPr>
                <w:rFonts w:hint="eastAsia"/>
              </w:rPr>
              <w:t>每</w:t>
            </w:r>
            <w:r>
              <w:t>用户：</w:t>
            </w:r>
            <w:r>
              <w:rPr>
                <w:rFonts w:hint="eastAsia"/>
              </w:rPr>
              <w:t>对每个用户会话总数和每秒新建总数的限制；</w:t>
            </w:r>
          </w:p>
          <w:p w14:paraId="4877D52E">
            <w:pPr>
              <w:pStyle w:val="150"/>
            </w:pPr>
            <w:r>
              <w:rPr>
                <w:rFonts w:hint="eastAsia"/>
              </w:rPr>
              <w:t>所有</w:t>
            </w:r>
            <w:r>
              <w:t>用户：</w:t>
            </w:r>
            <w:r>
              <w:rPr>
                <w:rFonts w:hint="eastAsia"/>
              </w:rPr>
              <w:t>对策略范围内的用户能够使用的会话总数和每秒新建总数的限制，在</w:t>
            </w:r>
            <w:r>
              <w:t>限制范围内的会话共用一个规格，是对总数的限制。</w:t>
            </w:r>
          </w:p>
        </w:tc>
      </w:tr>
      <w:tr w14:paraId="3AE494D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2BB3550C">
            <w:pPr>
              <w:pStyle w:val="150"/>
            </w:pPr>
            <w:r>
              <w:rPr>
                <w:rFonts w:hint="eastAsia"/>
              </w:rPr>
              <w:t>用户</w:t>
            </w:r>
          </w:p>
        </w:tc>
        <w:tc>
          <w:tcPr>
            <w:tcW w:w="7470" w:type="dxa"/>
            <w:shd w:val="clear" w:color="auto" w:fill="auto"/>
          </w:tcPr>
          <w:p w14:paraId="19D27BD0">
            <w:pPr>
              <w:pStyle w:val="150"/>
            </w:pPr>
            <w:r>
              <w:rPr>
                <w:rFonts w:hint="eastAsia"/>
              </w:rPr>
              <w:t>选择</w:t>
            </w:r>
            <w:r>
              <w:t>匹配或排除的</w:t>
            </w:r>
            <w:r>
              <w:rPr>
                <w:rFonts w:hint="eastAsia"/>
              </w:rPr>
              <w:t>用户及</w:t>
            </w:r>
            <w:r>
              <w:t>用户组</w:t>
            </w:r>
            <w:r>
              <w:rPr>
                <w:rFonts w:hint="eastAsia"/>
              </w:rPr>
              <w:t>，在指定范围内的用户会受到会话限制策略的限制。</w:t>
            </w:r>
          </w:p>
        </w:tc>
      </w:tr>
      <w:tr w14:paraId="41FA543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6E2F7B89">
            <w:pPr>
              <w:pStyle w:val="150"/>
            </w:pPr>
            <w:r>
              <w:rPr>
                <w:rFonts w:hint="eastAsia"/>
              </w:rPr>
              <w:t>服务</w:t>
            </w:r>
          </w:p>
        </w:tc>
        <w:tc>
          <w:tcPr>
            <w:tcW w:w="7470" w:type="dxa"/>
            <w:shd w:val="clear" w:color="auto" w:fill="auto"/>
          </w:tcPr>
          <w:p w14:paraId="2EA318C7">
            <w:pPr>
              <w:pStyle w:val="150"/>
            </w:pPr>
            <w:r>
              <w:rPr>
                <w:rFonts w:hint="eastAsia"/>
              </w:rPr>
              <w:t>选择一个策略匹配的服务对象。支持自定义、预定义、服务对象组。</w:t>
            </w:r>
          </w:p>
        </w:tc>
      </w:tr>
      <w:tr w14:paraId="231F554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3B7ED971">
            <w:pPr>
              <w:pStyle w:val="150"/>
            </w:pPr>
            <w:r>
              <w:rPr>
                <w:rFonts w:hint="eastAsia"/>
              </w:rPr>
              <w:t>时间</w:t>
            </w:r>
          </w:p>
        </w:tc>
        <w:tc>
          <w:tcPr>
            <w:tcW w:w="7470" w:type="dxa"/>
            <w:shd w:val="clear" w:color="auto" w:fill="auto"/>
          </w:tcPr>
          <w:p w14:paraId="0C6894C1">
            <w:pPr>
              <w:pStyle w:val="150"/>
            </w:pPr>
            <w:r>
              <w:rPr>
                <w:rFonts w:hint="eastAsia"/>
              </w:rPr>
              <w:t>添加一个策略匹配的时间对象。在此时间范围内的会话才可能会被限制。</w:t>
            </w:r>
          </w:p>
        </w:tc>
      </w:tr>
      <w:tr w14:paraId="3F1D4E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0417623C">
            <w:pPr>
              <w:pStyle w:val="150"/>
            </w:pPr>
            <w:r>
              <w:rPr>
                <w:rFonts w:hint="eastAsia"/>
              </w:rPr>
              <w:t>会话限制</w:t>
            </w:r>
          </w:p>
        </w:tc>
        <w:tc>
          <w:tcPr>
            <w:tcW w:w="7470" w:type="dxa"/>
            <w:shd w:val="clear" w:color="auto" w:fill="auto"/>
          </w:tcPr>
          <w:p w14:paraId="10203852">
            <w:pPr>
              <w:pStyle w:val="150"/>
            </w:pPr>
            <w:r>
              <w:rPr>
                <w:rFonts w:hint="eastAsia"/>
              </w:rPr>
              <w:t>被限制可以存在的最大会话数。</w:t>
            </w:r>
          </w:p>
        </w:tc>
      </w:tr>
      <w:tr w14:paraId="57C614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6265AE7F">
            <w:pPr>
              <w:pStyle w:val="150"/>
            </w:pPr>
            <w:r>
              <w:rPr>
                <w:rFonts w:hint="eastAsia"/>
              </w:rPr>
              <w:t>每秒新建限制</w:t>
            </w:r>
          </w:p>
        </w:tc>
        <w:tc>
          <w:tcPr>
            <w:tcW w:w="7470" w:type="dxa"/>
            <w:shd w:val="clear" w:color="auto" w:fill="auto"/>
          </w:tcPr>
          <w:p w14:paraId="71E420AA">
            <w:pPr>
              <w:pStyle w:val="150"/>
            </w:pPr>
            <w:r>
              <w:rPr>
                <w:rFonts w:hint="eastAsia"/>
              </w:rPr>
              <w:t>每秒可以新建的最大会话数。</w:t>
            </w:r>
          </w:p>
        </w:tc>
      </w:tr>
      <w:tr w14:paraId="2ADFE2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650CEDA1">
            <w:pPr>
              <w:pStyle w:val="150"/>
            </w:pPr>
            <w:r>
              <w:rPr>
                <w:rFonts w:hint="eastAsia"/>
              </w:rPr>
              <w:t>日志</w:t>
            </w:r>
          </w:p>
        </w:tc>
        <w:tc>
          <w:tcPr>
            <w:tcW w:w="7470" w:type="dxa"/>
            <w:shd w:val="clear" w:color="auto" w:fill="auto"/>
          </w:tcPr>
          <w:p w14:paraId="3C051ABF">
            <w:pPr>
              <w:pStyle w:val="150"/>
            </w:pPr>
            <w:r>
              <w:rPr>
                <w:rFonts w:hint="eastAsia"/>
              </w:rPr>
              <w:t>支持</w:t>
            </w:r>
            <w:r>
              <w:t>日记记录开关，如命中会话限制策略</w:t>
            </w:r>
            <w:r>
              <w:rPr>
                <w:rFonts w:hint="eastAsia"/>
              </w:rPr>
              <w:t>，在</w:t>
            </w:r>
            <w:r>
              <w:t>系统日志中可以查看阻断会话的相关</w:t>
            </w:r>
            <w:r>
              <w:rPr>
                <w:rFonts w:hint="eastAsia"/>
              </w:rPr>
              <w:t>信息。</w:t>
            </w:r>
          </w:p>
        </w:tc>
      </w:tr>
    </w:tbl>
    <w:p w14:paraId="69FCB100">
      <w:bookmarkStart w:id="5790" w:name="_Toc496866422"/>
      <w:bookmarkEnd w:id="5790"/>
    </w:p>
    <w:p w14:paraId="1E1F4051">
      <w:pPr>
        <w:pStyle w:val="4"/>
      </w:pPr>
      <w:bookmarkStart w:id="5791" w:name="_Toc496866424"/>
      <w:bookmarkEnd w:id="5791"/>
      <w:bookmarkStart w:id="5792" w:name="_Toc99561891"/>
      <w:bookmarkStart w:id="5793" w:name="_Toc6235884"/>
      <w:bookmarkStart w:id="5794" w:name="_Toc40276250"/>
      <w:bookmarkStart w:id="5795" w:name="_Toc23152817"/>
      <w:bookmarkStart w:id="5796" w:name="_Toc15485053"/>
      <w:bookmarkStart w:id="5797" w:name="_Toc196728349"/>
      <w:bookmarkStart w:id="5798" w:name="_Toc194081017"/>
      <w:bookmarkStart w:id="5799" w:name="_Toc142401262"/>
      <w:bookmarkStart w:id="5800" w:name="_Toc141873745"/>
      <w:bookmarkStart w:id="5801" w:name="_Toc172218525"/>
      <w:r>
        <w:rPr>
          <w:rFonts w:hint="eastAsia"/>
        </w:rPr>
        <w:t>限制阻断</w:t>
      </w:r>
      <w:bookmarkEnd w:id="5792"/>
      <w:bookmarkEnd w:id="5793"/>
      <w:bookmarkEnd w:id="5794"/>
      <w:bookmarkEnd w:id="5795"/>
      <w:bookmarkEnd w:id="5796"/>
      <w:bookmarkEnd w:id="5797"/>
      <w:bookmarkEnd w:id="5798"/>
      <w:bookmarkEnd w:id="5799"/>
      <w:bookmarkEnd w:id="5800"/>
      <w:bookmarkEnd w:id="5801"/>
    </w:p>
    <w:p w14:paraId="2FF32BCF">
      <w:r>
        <w:rPr>
          <w:rFonts w:hint="eastAsia"/>
        </w:rPr>
        <w:t>如</w:t>
      </w:r>
      <w:r>
        <w:rPr>
          <w:color w:val="0000FF"/>
          <w:u w:val="single"/>
        </w:rPr>
        <w:fldChar w:fldCharType="begin"/>
      </w:r>
      <w:r>
        <w:rPr>
          <w:color w:val="0000FF"/>
          <w:u w:val="single"/>
        </w:rPr>
        <w:instrText xml:space="preserve"> REF _Ref407443808 \r \h </w:instrText>
      </w:r>
      <w:r>
        <w:rPr>
          <w:color w:val="0000FF"/>
          <w:u w:val="single"/>
        </w:rPr>
        <w:fldChar w:fldCharType="separate"/>
      </w:r>
      <w:r>
        <w:rPr>
          <w:rFonts w:hint="eastAsia"/>
          <w:color w:val="0000FF"/>
          <w:u w:val="single"/>
        </w:rPr>
        <w:t>图22-4</w:t>
      </w:r>
      <w:r>
        <w:rPr>
          <w:color w:val="0000FF"/>
          <w:u w:val="single"/>
        </w:rPr>
        <w:fldChar w:fldCharType="end"/>
      </w:r>
      <w:r>
        <w:rPr>
          <w:rFonts w:hint="eastAsia"/>
        </w:rPr>
        <w:t>所示，点击导航栏的“策略配置 &gt; 会话控制管理”，再点击限制阻断标签页，显示设备上被阻断的IP地址/用户、限制阻断统计及命中的策略名称等信息。</w:t>
      </w:r>
    </w:p>
    <w:p w14:paraId="1EE46983">
      <w:pPr>
        <w:pStyle w:val="162"/>
      </w:pPr>
      <w:r>
        <w:t>当限制方式为</w:t>
      </w:r>
      <w:r>
        <w:rPr>
          <w:rFonts w:hint="eastAsia"/>
        </w:rPr>
        <w:t>“每IP”或“每用户”限制时，“IP地址/用户”列的内容显示被阻断的IP地址或用户名；</w:t>
      </w:r>
    </w:p>
    <w:p w14:paraId="3BB07ABE">
      <w:pPr>
        <w:pStyle w:val="162"/>
      </w:pPr>
      <w:r>
        <w:t>当限制方式为</w:t>
      </w:r>
      <w:r>
        <w:rPr>
          <w:rFonts w:hint="eastAsia"/>
        </w:rPr>
        <w:t>“所有IP”或“所有用户”时，“IP地址/用户”列的内容显示为“-”。</w:t>
      </w:r>
    </w:p>
    <w:p w14:paraId="7C618EAE"/>
    <w:p w14:paraId="45ABAA3D">
      <w:pPr>
        <w:pStyle w:val="188"/>
      </w:pPr>
      <w:bookmarkStart w:id="5802" w:name="_Ref407443808"/>
      <w:bookmarkStart w:id="5803" w:name="_Toc141875152"/>
      <w:r>
        <w:rPr>
          <w:rFonts w:hint="eastAsia"/>
        </w:rPr>
        <w:t>限制阻断界面</w:t>
      </w:r>
      <w:bookmarkEnd w:id="5802"/>
      <w:bookmarkEnd w:id="5803"/>
    </w:p>
    <w:p w14:paraId="65AEB7E8">
      <w:r>
        <w:drawing>
          <wp:inline distT="0" distB="0" distL="0" distR="0">
            <wp:extent cx="4608830" cy="1169035"/>
            <wp:effectExtent l="0" t="0" r="1270" b="0"/>
            <wp:docPr id="1802027874" name="图片 1802027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74" name="图片 1802027874"/>
                    <pic:cNvPicPr>
                      <a:picLocks noChangeAspect="1"/>
                    </pic:cNvPicPr>
                  </pic:nvPicPr>
                  <pic:blipFill>
                    <a:blip r:embed="rId742"/>
                    <a:stretch>
                      <a:fillRect/>
                    </a:stretch>
                  </pic:blipFill>
                  <pic:spPr>
                    <a:xfrm>
                      <a:off x="0" y="0"/>
                      <a:ext cx="4652699" cy="1180189"/>
                    </a:xfrm>
                    <a:prstGeom prst="rect">
                      <a:avLst/>
                    </a:prstGeom>
                  </pic:spPr>
                </pic:pic>
              </a:graphicData>
            </a:graphic>
          </wp:inline>
        </w:drawing>
      </w:r>
    </w:p>
    <w:p w14:paraId="7AD21FA3"/>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5CA37418">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5776F89B">
            <w:pPr>
              <w:pStyle w:val="150"/>
              <w:adjustRightInd w:val="0"/>
              <w:snapToGrid w:val="0"/>
              <w:rPr>
                <w:color w:val="auto"/>
              </w:rPr>
            </w:pPr>
            <w:r>
              <w:rPr>
                <w:b/>
                <w:color w:val="auto"/>
              </w:rPr>
              <w:drawing>
                <wp:inline distT="0" distB="0" distL="0" distR="0">
                  <wp:extent cx="283210" cy="283210"/>
                  <wp:effectExtent l="0" t="0" r="2540" b="2540"/>
                  <wp:docPr id="885" name="图片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图片 885"/>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0A2C32BF">
            <w:pPr>
              <w:pStyle w:val="150"/>
              <w:adjustRightInd w:val="0"/>
              <w:snapToGrid w:val="0"/>
              <w:rPr>
                <w:color w:val="auto"/>
              </w:rPr>
            </w:pPr>
            <w:r>
              <w:rPr>
                <w:rFonts w:hint="eastAsia"/>
                <w:color w:val="auto"/>
              </w:rPr>
              <w:t>只有配置了会话限制，才会进行限制阻断的统计。</w:t>
            </w:r>
          </w:p>
        </w:tc>
      </w:tr>
    </w:tbl>
    <w:p w14:paraId="276712B8">
      <w:pPr>
        <w:jc w:val="left"/>
      </w:pPr>
      <w:bookmarkStart w:id="5804" w:name="_Toc496866427"/>
      <w:bookmarkEnd w:id="5804"/>
      <w:r>
        <w:br w:type="page"/>
      </w:r>
    </w:p>
    <w:p w14:paraId="3845E500">
      <w:pPr>
        <w:pStyle w:val="3"/>
      </w:pPr>
      <w:bookmarkStart w:id="5805" w:name="_Toc6236027"/>
      <w:bookmarkStart w:id="5806" w:name="_Toc23152820"/>
      <w:bookmarkStart w:id="5807" w:name="_Toc40276253"/>
      <w:bookmarkStart w:id="5808" w:name="_Toc99561894"/>
      <w:bookmarkStart w:id="5809" w:name="_Toc15485056"/>
      <w:bookmarkStart w:id="5810" w:name="_Toc141873746"/>
      <w:bookmarkStart w:id="5811" w:name="_Toc194081018"/>
      <w:bookmarkStart w:id="5812" w:name="_Toc196728350"/>
      <w:bookmarkStart w:id="5813" w:name="_Toc142401263"/>
      <w:bookmarkStart w:id="5814" w:name="_Toc172218526"/>
      <w:r>
        <w:rPr>
          <w:rFonts w:hint="eastAsia"/>
        </w:rPr>
        <w:t>共享</w:t>
      </w:r>
      <w:bookmarkEnd w:id="5805"/>
      <w:r>
        <w:rPr>
          <w:rFonts w:hint="eastAsia"/>
        </w:rPr>
        <w:t>接入管理</w:t>
      </w:r>
      <w:bookmarkEnd w:id="5806"/>
      <w:bookmarkEnd w:id="5807"/>
      <w:bookmarkEnd w:id="5808"/>
      <w:bookmarkEnd w:id="5809"/>
      <w:bookmarkEnd w:id="5810"/>
      <w:bookmarkEnd w:id="5811"/>
      <w:bookmarkEnd w:id="5812"/>
      <w:bookmarkEnd w:id="5813"/>
      <w:bookmarkEnd w:id="5814"/>
    </w:p>
    <w:p w14:paraId="6C6F07C4">
      <w:pPr>
        <w:pStyle w:val="4"/>
      </w:pPr>
      <w:bookmarkStart w:id="5815" w:name="_Toc15485057"/>
      <w:bookmarkStart w:id="5816" w:name="_Toc23152821"/>
      <w:bookmarkStart w:id="5817" w:name="_Toc40276254"/>
      <w:bookmarkStart w:id="5818" w:name="_Toc6236028"/>
      <w:bookmarkStart w:id="5819" w:name="_Toc99561895"/>
      <w:bookmarkStart w:id="5820" w:name="_Toc142401264"/>
      <w:bookmarkStart w:id="5821" w:name="_Toc196728351"/>
      <w:bookmarkStart w:id="5822" w:name="_Toc172218527"/>
      <w:bookmarkStart w:id="5823" w:name="_Toc194081019"/>
      <w:bookmarkStart w:id="5824" w:name="_Toc141873747"/>
      <w:r>
        <w:rPr>
          <w:rFonts w:hint="eastAsia"/>
        </w:rPr>
        <w:t>简介</w:t>
      </w:r>
      <w:bookmarkEnd w:id="5815"/>
      <w:bookmarkEnd w:id="5816"/>
      <w:bookmarkEnd w:id="5817"/>
      <w:bookmarkEnd w:id="5818"/>
      <w:bookmarkEnd w:id="5819"/>
      <w:bookmarkEnd w:id="5820"/>
      <w:bookmarkEnd w:id="5821"/>
      <w:bookmarkEnd w:id="5822"/>
      <w:bookmarkEnd w:id="5823"/>
      <w:bookmarkEnd w:id="5824"/>
    </w:p>
    <w:p w14:paraId="7A89D114">
      <w:r>
        <w:rPr>
          <w:rFonts w:hint="eastAsia"/>
        </w:rPr>
        <w:t>在很多用户场景下，从运营商分配的一个帐号被多个用户共享使用，导致去运营商开户的用户数量骤减；同时在多人使用同一账号上网后，无法精确追踪上网记录到个人，存在安全隐患；因此运营商需要共享上网识别与控制来提升自己的开户量，为其创造价值。</w:t>
      </w:r>
    </w:p>
    <w:p w14:paraId="1426D53E">
      <w:pPr>
        <w:pStyle w:val="4"/>
      </w:pPr>
      <w:bookmarkStart w:id="5825" w:name="_Toc6236029"/>
      <w:bookmarkStart w:id="5826" w:name="_Toc99561896"/>
      <w:bookmarkStart w:id="5827" w:name="_Toc15485058"/>
      <w:bookmarkStart w:id="5828" w:name="_Toc141873748"/>
      <w:bookmarkStart w:id="5829" w:name="_Toc194081020"/>
      <w:bookmarkStart w:id="5830" w:name="_Toc40276255"/>
      <w:bookmarkStart w:id="5831" w:name="_Toc172218528"/>
      <w:bookmarkStart w:id="5832" w:name="_Toc23152822"/>
      <w:bookmarkStart w:id="5833" w:name="_Toc142401265"/>
      <w:bookmarkStart w:id="5834" w:name="_Toc196728352"/>
      <w:r>
        <w:rPr>
          <w:rFonts w:hint="eastAsia"/>
        </w:rPr>
        <w:t>共享</w:t>
      </w:r>
      <w:r>
        <w:t>接入配置</w:t>
      </w:r>
      <w:bookmarkEnd w:id="5825"/>
      <w:bookmarkEnd w:id="5826"/>
      <w:bookmarkEnd w:id="5827"/>
      <w:bookmarkEnd w:id="5828"/>
      <w:bookmarkEnd w:id="5829"/>
      <w:bookmarkEnd w:id="5830"/>
      <w:bookmarkEnd w:id="5831"/>
      <w:bookmarkEnd w:id="5832"/>
      <w:bookmarkEnd w:id="5833"/>
      <w:bookmarkEnd w:id="5834"/>
    </w:p>
    <w:p w14:paraId="30CF716F">
      <w:r>
        <w:rPr>
          <w:rFonts w:hint="eastAsia"/>
        </w:rPr>
        <w:t>通过菜单“策略配置&gt;共享接入管理&gt;共享</w:t>
      </w:r>
      <w:r>
        <w:t>接入全局配置</w:t>
      </w:r>
      <w:r>
        <w:rPr>
          <w:rFonts w:hint="eastAsia"/>
        </w:rPr>
        <w:t>”，进入如</w:t>
      </w:r>
      <w:r>
        <w:fldChar w:fldCharType="begin"/>
      </w:r>
      <w:r>
        <w:instrText xml:space="preserve"> </w:instrText>
      </w:r>
      <w:r>
        <w:rPr>
          <w:rFonts w:hint="eastAsia"/>
        </w:rPr>
        <w:instrText xml:space="preserve">REF _Ref4689326 \r \h</w:instrText>
      </w:r>
      <w:r>
        <w:instrText xml:space="preserve"> </w:instrText>
      </w:r>
      <w:r>
        <w:fldChar w:fldCharType="separate"/>
      </w:r>
      <w:r>
        <w:rPr>
          <w:rFonts w:hint="eastAsia"/>
        </w:rPr>
        <w:t>图23-1</w:t>
      </w:r>
      <w:r>
        <w:fldChar w:fldCharType="end"/>
      </w:r>
      <w:r>
        <w:rPr>
          <w:rFonts w:hint="eastAsia"/>
        </w:rPr>
        <w:t>所示页面。在该页面上可以配置共享</w:t>
      </w:r>
      <w:r>
        <w:t>接入检测</w:t>
      </w:r>
      <w:r>
        <w:rPr>
          <w:rFonts w:hint="eastAsia"/>
        </w:rPr>
        <w:t>的相关功能。</w:t>
      </w:r>
    </w:p>
    <w:p w14:paraId="213F74DC">
      <w:pPr>
        <w:pStyle w:val="188"/>
      </w:pPr>
      <w:bookmarkStart w:id="5835" w:name="_Ref4689326"/>
      <w:bookmarkStart w:id="5836" w:name="_Toc141875153"/>
      <w:r>
        <w:rPr>
          <w:rFonts w:hint="eastAsia"/>
        </w:rPr>
        <w:t>共享</w:t>
      </w:r>
      <w:r>
        <w:t>接入</w:t>
      </w:r>
      <w:r>
        <w:rPr>
          <w:rFonts w:hint="eastAsia"/>
        </w:rPr>
        <w:t>配置</w:t>
      </w:r>
      <w:r>
        <w:t>页面</w:t>
      </w:r>
      <w:bookmarkEnd w:id="5835"/>
      <w:bookmarkEnd w:id="5836"/>
    </w:p>
    <w:p w14:paraId="1A72E4FB">
      <w:pPr>
        <w:spacing w:before="78" w:after="78"/>
      </w:pPr>
      <w:r>
        <w:drawing>
          <wp:inline distT="0" distB="0" distL="0" distR="0">
            <wp:extent cx="5133975" cy="3493135"/>
            <wp:effectExtent l="0" t="0" r="0" b="0"/>
            <wp:docPr id="1802027875" name="图片 1802027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75" name="图片 1802027875"/>
                    <pic:cNvPicPr>
                      <a:picLocks noChangeAspect="1"/>
                    </pic:cNvPicPr>
                  </pic:nvPicPr>
                  <pic:blipFill>
                    <a:blip r:embed="rId743"/>
                    <a:stretch>
                      <a:fillRect/>
                    </a:stretch>
                  </pic:blipFill>
                  <pic:spPr>
                    <a:xfrm>
                      <a:off x="0" y="0"/>
                      <a:ext cx="5137511" cy="3495895"/>
                    </a:xfrm>
                    <a:prstGeom prst="rect">
                      <a:avLst/>
                    </a:prstGeom>
                  </pic:spPr>
                </pic:pic>
              </a:graphicData>
            </a:graphic>
          </wp:inline>
        </w:drawing>
      </w:r>
    </w:p>
    <w:p w14:paraId="44C7287B"/>
    <w:p w14:paraId="2768D279">
      <w:r>
        <w:rPr>
          <w:rFonts w:hint="eastAsia"/>
        </w:rPr>
        <w:t>共享</w:t>
      </w:r>
      <w:r>
        <w:t>接入配置</w:t>
      </w:r>
      <w:r>
        <w:rPr>
          <w:rFonts w:hint="eastAsia"/>
        </w:rPr>
        <w:t>各项参数含义如下表所示。</w:t>
      </w:r>
    </w:p>
    <w:p w14:paraId="7B5F32FC">
      <w:pPr>
        <w:pStyle w:val="183"/>
      </w:pPr>
      <w:bookmarkStart w:id="5837" w:name="_Toc141875713"/>
      <w:r>
        <w:rPr>
          <w:rFonts w:hint="eastAsia"/>
        </w:rPr>
        <w:t>共享</w:t>
      </w:r>
      <w:r>
        <w:t>接入</w:t>
      </w:r>
      <w:r>
        <w:rPr>
          <w:rFonts w:hint="eastAsia"/>
        </w:rPr>
        <w:t>配置项含义表</w:t>
      </w:r>
      <w:bookmarkEnd w:id="5837"/>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390"/>
        <w:gridCol w:w="7624"/>
      </w:tblGrid>
      <w:tr w14:paraId="08E5359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90" w:type="dxa"/>
            <w:tcBorders>
              <w:tl2br w:val="nil"/>
              <w:tr2bl w:val="nil"/>
            </w:tcBorders>
            <w:shd w:val="clear" w:color="auto" w:fill="538135" w:themeFill="accent6" w:themeFillShade="BF"/>
            <w:vAlign w:val="center"/>
          </w:tcPr>
          <w:p w14:paraId="0E33F53F">
            <w:pPr>
              <w:pStyle w:val="149"/>
              <w:wordWrap/>
              <w:rPr>
                <w:b/>
                <w:bCs/>
                <w:i w:val="0"/>
                <w:iCs w:val="0"/>
              </w:rPr>
            </w:pPr>
            <w:r>
              <w:rPr>
                <w:rFonts w:hint="eastAsia"/>
                <w:b/>
                <w:bCs/>
                <w:i w:val="0"/>
                <w:iCs w:val="0"/>
              </w:rPr>
              <w:t>标题项</w:t>
            </w:r>
          </w:p>
        </w:tc>
        <w:tc>
          <w:tcPr>
            <w:tcW w:w="7624" w:type="dxa"/>
            <w:tcBorders>
              <w:tl2br w:val="nil"/>
              <w:tr2bl w:val="nil"/>
            </w:tcBorders>
            <w:shd w:val="clear" w:color="auto" w:fill="538135" w:themeFill="accent6" w:themeFillShade="BF"/>
            <w:vAlign w:val="center"/>
          </w:tcPr>
          <w:p w14:paraId="7A542390">
            <w:pPr>
              <w:pStyle w:val="149"/>
              <w:wordWrap/>
              <w:rPr>
                <w:b/>
                <w:bCs/>
                <w:i w:val="0"/>
                <w:iCs w:val="0"/>
              </w:rPr>
            </w:pPr>
            <w:r>
              <w:rPr>
                <w:rFonts w:hint="eastAsia"/>
                <w:b/>
                <w:bCs/>
                <w:i w:val="0"/>
                <w:iCs w:val="0"/>
              </w:rPr>
              <w:t>说明</w:t>
            </w:r>
          </w:p>
        </w:tc>
      </w:tr>
      <w:tr w14:paraId="29A7DD8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90" w:type="dxa"/>
            <w:shd w:val="clear" w:color="auto" w:fill="auto"/>
          </w:tcPr>
          <w:p w14:paraId="5C449EAA">
            <w:pPr>
              <w:pStyle w:val="150"/>
            </w:pPr>
            <w:r>
              <w:rPr>
                <w:rFonts w:hint="eastAsia"/>
              </w:rPr>
              <w:t>用户共享检测</w:t>
            </w:r>
          </w:p>
        </w:tc>
        <w:tc>
          <w:tcPr>
            <w:tcW w:w="7624" w:type="dxa"/>
            <w:shd w:val="clear" w:color="auto" w:fill="auto"/>
          </w:tcPr>
          <w:p w14:paraId="4F87D94A">
            <w:pPr>
              <w:pStyle w:val="150"/>
            </w:pPr>
            <w:r>
              <w:rPr>
                <w:rFonts w:hint="eastAsia"/>
              </w:rPr>
              <w:t>勾选复选框表示开启共享上网监测。</w:t>
            </w:r>
          </w:p>
        </w:tc>
      </w:tr>
      <w:tr w14:paraId="1A64F9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90" w:type="dxa"/>
            <w:shd w:val="clear" w:color="auto" w:fill="auto"/>
          </w:tcPr>
          <w:p w14:paraId="27EB32C1">
            <w:pPr>
              <w:pStyle w:val="150"/>
            </w:pPr>
            <w:r>
              <w:rPr>
                <w:rFonts w:hint="eastAsia"/>
              </w:rPr>
              <w:t>检测</w:t>
            </w:r>
            <w:r>
              <w:t>方式</w:t>
            </w:r>
          </w:p>
        </w:tc>
        <w:tc>
          <w:tcPr>
            <w:tcW w:w="7624" w:type="dxa"/>
            <w:shd w:val="clear" w:color="auto" w:fill="auto"/>
          </w:tcPr>
          <w:p w14:paraId="0506E95D">
            <w:pPr>
              <w:pStyle w:val="150"/>
            </w:pPr>
            <w:r>
              <w:rPr>
                <w:rFonts w:hint="eastAsia"/>
              </w:rPr>
              <w:t>默认</w:t>
            </w:r>
            <w:r>
              <w:t>支持</w:t>
            </w:r>
            <w:r>
              <w:rPr>
                <w:rFonts w:hint="eastAsia"/>
              </w:rPr>
              <w:t>5种</w:t>
            </w:r>
            <w:r>
              <w:t>检测方式，分别为：时间戳、</w:t>
            </w:r>
            <w:r>
              <w:rPr>
                <w:rFonts w:hint="eastAsia"/>
              </w:rPr>
              <w:t>UA识别</w:t>
            </w:r>
            <w:r>
              <w:t>、应用特征、</w:t>
            </w:r>
            <w:r>
              <w:rPr>
                <w:rFonts w:hint="eastAsia"/>
              </w:rPr>
              <w:t>F</w:t>
            </w:r>
            <w:r>
              <w:t>lash Cookie、微信长连接</w:t>
            </w:r>
            <w:r>
              <w:rPr>
                <w:rFonts w:hint="eastAsia"/>
              </w:rPr>
              <w:t>。</w:t>
            </w:r>
          </w:p>
          <w:p w14:paraId="753340B1">
            <w:pPr>
              <w:pStyle w:val="207"/>
              <w:numPr>
                <w:ilvl w:val="0"/>
                <w:numId w:val="24"/>
              </w:numPr>
              <w:rPr>
                <w:lang w:eastAsia="zh-CN"/>
              </w:rPr>
            </w:pPr>
            <w:r>
              <w:rPr>
                <w:rFonts w:hint="eastAsia"/>
                <w:lang w:eastAsia="zh-CN"/>
              </w:rPr>
              <w:t>时间戳：基于终端开机时间和发送SYN报文的时间间隔进行检测。</w:t>
            </w:r>
          </w:p>
          <w:p w14:paraId="4A45B113">
            <w:pPr>
              <w:pStyle w:val="207"/>
              <w:numPr>
                <w:ilvl w:val="0"/>
                <w:numId w:val="24"/>
              </w:numPr>
              <w:rPr>
                <w:lang w:eastAsia="zh-CN"/>
              </w:rPr>
            </w:pPr>
            <w:r>
              <w:rPr>
                <w:rFonts w:hint="eastAsia"/>
                <w:lang w:eastAsia="zh-CN"/>
              </w:rPr>
              <w:t>UA识别：基于浏览器中HTTP报文携带的终端信息进行检测，通过系统版本、平台版本（安卓、iOS、Windows、Linux等）可以区分不同的移动终端。</w:t>
            </w:r>
          </w:p>
          <w:p w14:paraId="6EA6F998">
            <w:pPr>
              <w:pStyle w:val="207"/>
              <w:numPr>
                <w:ilvl w:val="0"/>
                <w:numId w:val="24"/>
              </w:numPr>
              <w:rPr>
                <w:lang w:eastAsia="zh-CN"/>
              </w:rPr>
            </w:pPr>
            <w:r>
              <w:rPr>
                <w:rFonts w:hint="eastAsia"/>
                <w:lang w:eastAsia="zh-CN"/>
              </w:rPr>
              <w:t>应用特征：终端安装360、搜狗输入法等应用后，应用ID值具有唯一性。</w:t>
            </w:r>
          </w:p>
          <w:p w14:paraId="16C2384E">
            <w:pPr>
              <w:pStyle w:val="207"/>
              <w:numPr>
                <w:ilvl w:val="0"/>
                <w:numId w:val="24"/>
              </w:numPr>
            </w:pPr>
            <w:r>
              <w:rPr>
                <w:rFonts w:hint="eastAsia"/>
              </w:rPr>
              <w:t>Flash Cookie：同HTTP Cookie类似，Flash Cookie记录用户在访问Flash网页时保留的信息，其中包含设备信息，可以用来区分PC和移动终端。</w:t>
            </w:r>
          </w:p>
          <w:p w14:paraId="33F6B405">
            <w:pPr>
              <w:pStyle w:val="207"/>
              <w:numPr>
                <w:ilvl w:val="0"/>
                <w:numId w:val="24"/>
              </w:numPr>
              <w:rPr>
                <w:lang w:eastAsia="zh-CN"/>
              </w:rPr>
            </w:pPr>
            <w:r>
              <w:rPr>
                <w:rFonts w:hint="eastAsia"/>
                <w:lang w:eastAsia="zh-CN"/>
              </w:rPr>
              <w:t>微信长连接：移动端微信长连接是腾讯封装的TCP/IP长连接库，用于发送消息、视频、图片等，这种实现比较省电，而PC端微信不需要省电，因此使用正常的TCP/IP协议，而大部分移动终端都会安装微信，因此可以从是否有微信长连接来判断是否为移动终端。</w:t>
            </w:r>
          </w:p>
        </w:tc>
      </w:tr>
      <w:tr w14:paraId="63B37F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90" w:type="dxa"/>
            <w:shd w:val="clear" w:color="auto" w:fill="auto"/>
          </w:tcPr>
          <w:p w14:paraId="2ECB8E8F">
            <w:pPr>
              <w:pStyle w:val="150"/>
            </w:pPr>
            <w:r>
              <w:rPr>
                <w:rFonts w:hint="eastAsia"/>
              </w:rPr>
              <w:t>启用</w:t>
            </w:r>
            <w:r>
              <w:t>信任用户</w:t>
            </w:r>
          </w:p>
        </w:tc>
        <w:tc>
          <w:tcPr>
            <w:tcW w:w="7624" w:type="dxa"/>
            <w:shd w:val="clear" w:color="auto" w:fill="auto"/>
          </w:tcPr>
          <w:p w14:paraId="5228D193">
            <w:pPr>
              <w:pStyle w:val="150"/>
            </w:pPr>
            <w:r>
              <w:rPr>
                <w:rFonts w:hint="eastAsia"/>
              </w:rPr>
              <w:t>勾选该项</w:t>
            </w:r>
            <w:r>
              <w:t>，</w:t>
            </w:r>
            <w:r>
              <w:rPr>
                <w:rFonts w:hint="eastAsia"/>
              </w:rPr>
              <w:t>已配置的</w:t>
            </w:r>
            <w:r>
              <w:t>用户或</w:t>
            </w:r>
            <w:r>
              <w:rPr>
                <w:rFonts w:hint="eastAsia"/>
              </w:rPr>
              <w:t>IP地址</w:t>
            </w:r>
            <w:r>
              <w:t>检测到共享接入之后将不进行惩罚。</w:t>
            </w:r>
          </w:p>
          <w:p w14:paraId="02FCD524">
            <w:pPr>
              <w:pStyle w:val="150"/>
            </w:pPr>
            <w:r>
              <w:rPr>
                <w:rFonts w:hint="eastAsia"/>
              </w:rPr>
              <w:t>白名单分为</w:t>
            </w:r>
            <w:r>
              <w:t>用户、</w:t>
            </w:r>
            <w:r>
              <w:rPr>
                <w:rFonts w:hint="eastAsia"/>
              </w:rPr>
              <w:t>信任IP（范围</w:t>
            </w:r>
            <w:r>
              <w:t>地址和主机地址</w:t>
            </w:r>
            <w:r>
              <w:rPr>
                <w:rFonts w:hint="eastAsia"/>
              </w:rPr>
              <w:t>）：</w:t>
            </w:r>
          </w:p>
          <w:p w14:paraId="3889664C">
            <w:pPr>
              <w:pStyle w:val="150"/>
            </w:pPr>
            <w:r>
              <w:rPr>
                <w:rFonts w:hint="eastAsia"/>
              </w:rPr>
              <w:t>用户</w:t>
            </w:r>
            <w:r>
              <w:t>：</w:t>
            </w:r>
            <w:r>
              <w:rPr>
                <w:rFonts w:hint="eastAsia"/>
              </w:rPr>
              <w:t>可选择用户组及成员；</w:t>
            </w:r>
          </w:p>
          <w:p w14:paraId="0A264F80">
            <w:pPr>
              <w:pStyle w:val="150"/>
            </w:pPr>
            <w:r>
              <w:rPr>
                <w:rFonts w:hint="eastAsia"/>
              </w:rPr>
              <w:t>范围</w:t>
            </w:r>
            <w:r>
              <w:t>地址：如</w:t>
            </w:r>
            <w:r>
              <w:rPr>
                <w:rFonts w:hint="eastAsia"/>
              </w:rPr>
              <w:t>192.168.1.1</w:t>
            </w:r>
            <w:r>
              <w:t>-192.168.1.10</w:t>
            </w:r>
            <w:r>
              <w:rPr>
                <w:rFonts w:hint="eastAsia"/>
              </w:rPr>
              <w:t>；</w:t>
            </w:r>
          </w:p>
          <w:p w14:paraId="7AC49C77">
            <w:pPr>
              <w:pStyle w:val="150"/>
            </w:pPr>
            <w:r>
              <w:rPr>
                <w:rFonts w:hint="eastAsia"/>
              </w:rPr>
              <w:t>主机</w:t>
            </w:r>
            <w:r>
              <w:t>地址：如</w:t>
            </w:r>
            <w:r>
              <w:rPr>
                <w:rFonts w:hint="eastAsia"/>
              </w:rPr>
              <w:t>192.168.1.1。</w:t>
            </w:r>
          </w:p>
        </w:tc>
      </w:tr>
    </w:tbl>
    <w:p w14:paraId="78317460"/>
    <w:p w14:paraId="1C4A8881">
      <w:pPr>
        <w:pStyle w:val="4"/>
      </w:pPr>
      <w:bookmarkStart w:id="5838" w:name="_Toc157703983"/>
      <w:bookmarkStart w:id="5839" w:name="_Toc172218529"/>
      <w:bookmarkStart w:id="5840" w:name="_Toc23873"/>
      <w:bookmarkStart w:id="5841" w:name="_Toc194081021"/>
      <w:bookmarkStart w:id="5842" w:name="_Toc196728353"/>
      <w:r>
        <w:rPr>
          <w:rFonts w:hint="eastAsia"/>
        </w:rPr>
        <w:t>共享</w:t>
      </w:r>
      <w:r>
        <w:t>接入</w:t>
      </w:r>
      <w:r>
        <w:rPr>
          <w:rFonts w:hint="eastAsia"/>
        </w:rPr>
        <w:t>策略</w:t>
      </w:r>
      <w:bookmarkEnd w:id="5838"/>
      <w:bookmarkEnd w:id="5839"/>
      <w:bookmarkEnd w:id="5840"/>
      <w:bookmarkEnd w:id="5841"/>
      <w:bookmarkEnd w:id="5842"/>
    </w:p>
    <w:p w14:paraId="726379A1">
      <w:r>
        <w:rPr>
          <w:rFonts w:hint="eastAsia"/>
        </w:rPr>
        <w:t>通过菜单“策略配置&gt;共享接入管理&gt;共享</w:t>
      </w:r>
      <w:r>
        <w:t>接入</w:t>
      </w:r>
      <w:r>
        <w:rPr>
          <w:rFonts w:hint="eastAsia"/>
        </w:rPr>
        <w:t>策略”，进入如</w:t>
      </w:r>
      <w:r>
        <w:rPr>
          <w:color w:val="0000FF"/>
          <w:u w:val="single"/>
        </w:rPr>
        <w:fldChar w:fldCharType="begin"/>
      </w:r>
      <w:r>
        <w:rPr>
          <w:color w:val="0000FF"/>
          <w:u w:val="single"/>
        </w:rPr>
        <w:instrText xml:space="preserve">  REF _Ref4689326 \r \h  \* MERGEFORMAT </w:instrText>
      </w:r>
      <w:r>
        <w:rPr>
          <w:color w:val="0000FF"/>
          <w:u w:val="single"/>
        </w:rPr>
        <w:fldChar w:fldCharType="separate"/>
      </w:r>
      <w:r>
        <w:rPr>
          <w:rFonts w:hint="eastAsia"/>
          <w:color w:val="0000FF"/>
          <w:u w:val="single"/>
        </w:rPr>
        <w:t>图23-1</w:t>
      </w:r>
      <w:r>
        <w:rPr>
          <w:color w:val="0000FF"/>
          <w:u w:val="single"/>
        </w:rPr>
        <w:fldChar w:fldCharType="end"/>
      </w:r>
      <w:r>
        <w:rPr>
          <w:rFonts w:hint="eastAsia"/>
        </w:rPr>
        <w:t>所示页面。在该页面上可以配置共享</w:t>
      </w:r>
      <w:r>
        <w:t>接入</w:t>
      </w:r>
      <w:r>
        <w:rPr>
          <w:rFonts w:hint="eastAsia"/>
        </w:rPr>
        <w:t>策略的相关功能。</w:t>
      </w:r>
    </w:p>
    <w:p w14:paraId="6D3DFB3D">
      <w:pPr>
        <w:pStyle w:val="188"/>
      </w:pPr>
      <w:r>
        <w:rPr>
          <w:rFonts w:hint="eastAsia"/>
        </w:rPr>
        <w:t>共享</w:t>
      </w:r>
      <w:r>
        <w:t>接入</w:t>
      </w:r>
      <w:r>
        <w:rPr>
          <w:rFonts w:hint="eastAsia"/>
        </w:rPr>
        <w:t>策略</w:t>
      </w:r>
      <w:r>
        <w:t>页面</w:t>
      </w:r>
    </w:p>
    <w:p w14:paraId="7DDC46C5">
      <w:pPr>
        <w:pStyle w:val="175"/>
      </w:pPr>
      <w:r>
        <w:drawing>
          <wp:inline distT="0" distB="0" distL="0" distR="0">
            <wp:extent cx="5419725" cy="3536315"/>
            <wp:effectExtent l="0" t="0" r="0" b="6985"/>
            <wp:docPr id="1802027876" name="图片 1802027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76" name="图片 1802027876"/>
                    <pic:cNvPicPr>
                      <a:picLocks noChangeAspect="1"/>
                    </pic:cNvPicPr>
                  </pic:nvPicPr>
                  <pic:blipFill>
                    <a:blip r:embed="rId744"/>
                    <a:stretch>
                      <a:fillRect/>
                    </a:stretch>
                  </pic:blipFill>
                  <pic:spPr>
                    <a:xfrm>
                      <a:off x="0" y="0"/>
                      <a:ext cx="5422612" cy="3538565"/>
                    </a:xfrm>
                    <a:prstGeom prst="rect">
                      <a:avLst/>
                    </a:prstGeom>
                  </pic:spPr>
                </pic:pic>
              </a:graphicData>
            </a:graphic>
          </wp:inline>
        </w:drawing>
      </w:r>
    </w:p>
    <w:p w14:paraId="0693FE43">
      <w:r>
        <w:rPr>
          <w:rFonts w:hint="eastAsia"/>
        </w:rPr>
        <w:t>共享</w:t>
      </w:r>
      <w:r>
        <w:t>接入</w:t>
      </w:r>
      <w:r>
        <w:rPr>
          <w:rFonts w:hint="eastAsia"/>
        </w:rPr>
        <w:t>策略各项参数含义如下表所示。</w:t>
      </w:r>
    </w:p>
    <w:p w14:paraId="768E0C34">
      <w:pPr>
        <w:pStyle w:val="183"/>
      </w:pPr>
      <w:r>
        <w:rPr>
          <w:rFonts w:hint="eastAsia"/>
        </w:rPr>
        <w:t>共享</w:t>
      </w:r>
      <w:r>
        <w:t>接入</w:t>
      </w:r>
      <w:r>
        <w:rPr>
          <w:rFonts w:hint="eastAsia"/>
        </w:rPr>
        <w:t>策略项含义表</w:t>
      </w:r>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390"/>
        <w:gridCol w:w="7624"/>
      </w:tblGrid>
      <w:tr w14:paraId="7C9A6D2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90" w:type="dxa"/>
            <w:tcBorders>
              <w:tl2br w:val="nil"/>
              <w:tr2bl w:val="nil"/>
            </w:tcBorders>
            <w:shd w:val="clear" w:color="auto" w:fill="538135" w:themeFill="accent6" w:themeFillShade="BF"/>
            <w:vAlign w:val="center"/>
          </w:tcPr>
          <w:p w14:paraId="42772C1D">
            <w:pPr>
              <w:pStyle w:val="149"/>
              <w:wordWrap/>
              <w:rPr>
                <w:b/>
                <w:bCs/>
                <w:i w:val="0"/>
                <w:iCs w:val="0"/>
              </w:rPr>
            </w:pPr>
            <w:r>
              <w:rPr>
                <w:rFonts w:hint="eastAsia"/>
                <w:b/>
                <w:bCs/>
                <w:i w:val="0"/>
                <w:iCs w:val="0"/>
              </w:rPr>
              <w:t>标题项</w:t>
            </w:r>
          </w:p>
        </w:tc>
        <w:tc>
          <w:tcPr>
            <w:tcW w:w="7624" w:type="dxa"/>
            <w:tcBorders>
              <w:tl2br w:val="nil"/>
              <w:tr2bl w:val="nil"/>
            </w:tcBorders>
            <w:shd w:val="clear" w:color="auto" w:fill="538135" w:themeFill="accent6" w:themeFillShade="BF"/>
            <w:vAlign w:val="center"/>
          </w:tcPr>
          <w:p w14:paraId="70E42CDF">
            <w:pPr>
              <w:pStyle w:val="149"/>
              <w:wordWrap/>
              <w:rPr>
                <w:b/>
                <w:bCs/>
                <w:i w:val="0"/>
                <w:iCs w:val="0"/>
              </w:rPr>
            </w:pPr>
            <w:r>
              <w:rPr>
                <w:rFonts w:hint="eastAsia"/>
                <w:b/>
                <w:bCs/>
                <w:i w:val="0"/>
                <w:iCs w:val="0"/>
              </w:rPr>
              <w:t>说明</w:t>
            </w:r>
          </w:p>
        </w:tc>
      </w:tr>
      <w:tr w14:paraId="6D45AB5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90" w:type="dxa"/>
            <w:shd w:val="clear" w:color="auto" w:fill="auto"/>
          </w:tcPr>
          <w:p w14:paraId="4B599096">
            <w:pPr>
              <w:pStyle w:val="150"/>
            </w:pPr>
            <w:r>
              <w:rPr>
                <w:rFonts w:hint="eastAsia"/>
              </w:rPr>
              <w:t>启用</w:t>
            </w:r>
          </w:p>
        </w:tc>
        <w:tc>
          <w:tcPr>
            <w:tcW w:w="7624" w:type="dxa"/>
            <w:shd w:val="clear" w:color="auto" w:fill="auto"/>
          </w:tcPr>
          <w:p w14:paraId="460C9F3C">
            <w:pPr>
              <w:pStyle w:val="150"/>
            </w:pPr>
            <w:r>
              <w:rPr>
                <w:rFonts w:hint="eastAsia"/>
              </w:rPr>
              <w:t>启用禁用共享接入策略</w:t>
            </w:r>
          </w:p>
        </w:tc>
      </w:tr>
      <w:tr w14:paraId="512E55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90" w:type="dxa"/>
            <w:shd w:val="clear" w:color="auto" w:fill="auto"/>
          </w:tcPr>
          <w:p w14:paraId="24CB340D">
            <w:pPr>
              <w:pStyle w:val="150"/>
            </w:pPr>
            <w:r>
              <w:rPr>
                <w:rFonts w:hint="eastAsia"/>
              </w:rPr>
              <w:t>名称</w:t>
            </w:r>
          </w:p>
        </w:tc>
        <w:tc>
          <w:tcPr>
            <w:tcW w:w="7624" w:type="dxa"/>
            <w:shd w:val="clear" w:color="auto" w:fill="auto"/>
          </w:tcPr>
          <w:p w14:paraId="22988B8D">
            <w:pPr>
              <w:pStyle w:val="150"/>
            </w:pPr>
            <w:r>
              <w:rPr>
                <w:rFonts w:hint="eastAsia"/>
              </w:rPr>
              <w:t>配置共享接入策略的名称</w:t>
            </w:r>
          </w:p>
        </w:tc>
      </w:tr>
      <w:tr w14:paraId="5DA6CC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90" w:type="dxa"/>
            <w:shd w:val="clear" w:color="auto" w:fill="auto"/>
          </w:tcPr>
          <w:p w14:paraId="79A127F2">
            <w:pPr>
              <w:pStyle w:val="150"/>
            </w:pPr>
            <w:r>
              <w:rPr>
                <w:rFonts w:hint="eastAsia"/>
              </w:rPr>
              <w:t>描述</w:t>
            </w:r>
          </w:p>
        </w:tc>
        <w:tc>
          <w:tcPr>
            <w:tcW w:w="7624" w:type="dxa"/>
            <w:shd w:val="clear" w:color="auto" w:fill="auto"/>
          </w:tcPr>
          <w:p w14:paraId="36866A3F">
            <w:pPr>
              <w:pStyle w:val="150"/>
            </w:pPr>
            <w:r>
              <w:rPr>
                <w:rFonts w:hint="eastAsia"/>
              </w:rPr>
              <w:t>配置共享接入策略的描述信息</w:t>
            </w:r>
          </w:p>
        </w:tc>
      </w:tr>
      <w:tr w14:paraId="554C09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90" w:type="dxa"/>
            <w:shd w:val="clear" w:color="auto" w:fill="auto"/>
          </w:tcPr>
          <w:p w14:paraId="62F1CE46">
            <w:pPr>
              <w:pStyle w:val="150"/>
            </w:pPr>
            <w:r>
              <w:rPr>
                <w:rFonts w:hint="eastAsia"/>
              </w:rPr>
              <w:t>匹配条件</w:t>
            </w:r>
          </w:p>
        </w:tc>
        <w:tc>
          <w:tcPr>
            <w:tcW w:w="7624" w:type="dxa"/>
            <w:shd w:val="clear" w:color="auto" w:fill="auto"/>
          </w:tcPr>
          <w:p w14:paraId="71834DC9">
            <w:pPr>
              <w:pStyle w:val="150"/>
            </w:pPr>
            <w:r>
              <w:rPr>
                <w:rFonts w:hint="eastAsia"/>
              </w:rPr>
              <w:t>配置共享接入策略的匹配条件，根据用户和源地址进行匹配</w:t>
            </w:r>
          </w:p>
        </w:tc>
      </w:tr>
      <w:tr w14:paraId="1370252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90" w:type="dxa"/>
            <w:shd w:val="clear" w:color="auto" w:fill="auto"/>
          </w:tcPr>
          <w:p w14:paraId="61198D99">
            <w:pPr>
              <w:pStyle w:val="150"/>
            </w:pPr>
            <w:r>
              <w:rPr>
                <w:rFonts w:hint="eastAsia"/>
              </w:rPr>
              <w:t>发送</w:t>
            </w:r>
            <w:r>
              <w:t>日志</w:t>
            </w:r>
          </w:p>
        </w:tc>
        <w:tc>
          <w:tcPr>
            <w:tcW w:w="7624" w:type="dxa"/>
            <w:shd w:val="clear" w:color="auto" w:fill="auto"/>
          </w:tcPr>
          <w:p w14:paraId="2C59FDF3">
            <w:pPr>
              <w:pStyle w:val="150"/>
            </w:pPr>
            <w:r>
              <w:rPr>
                <w:rFonts w:hint="eastAsia"/>
              </w:rPr>
              <w:t>启用</w:t>
            </w:r>
            <w:r>
              <w:t>发送日志后，当用户共享被阻断或限速</w:t>
            </w:r>
            <w:r>
              <w:rPr>
                <w:rFonts w:hint="eastAsia"/>
              </w:rPr>
              <w:t>时</w:t>
            </w:r>
            <w:r>
              <w:t>会发送共享接入日志。</w:t>
            </w:r>
          </w:p>
        </w:tc>
      </w:tr>
      <w:tr w14:paraId="653709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90" w:type="dxa"/>
            <w:shd w:val="clear" w:color="auto" w:fill="auto"/>
          </w:tcPr>
          <w:p w14:paraId="504EF747">
            <w:pPr>
              <w:pStyle w:val="150"/>
            </w:pPr>
            <w:r>
              <w:rPr>
                <w:rFonts w:hint="eastAsia"/>
              </w:rPr>
              <w:t>阈值</w:t>
            </w:r>
            <w:r>
              <w:t>设置</w:t>
            </w:r>
          </w:p>
        </w:tc>
        <w:tc>
          <w:tcPr>
            <w:tcW w:w="7624" w:type="dxa"/>
            <w:shd w:val="clear" w:color="auto" w:fill="auto"/>
          </w:tcPr>
          <w:p w14:paraId="00714706">
            <w:pPr>
              <w:pStyle w:val="150"/>
            </w:pPr>
            <w:r>
              <w:rPr>
                <w:rFonts w:hint="eastAsia"/>
              </w:rPr>
              <w:t>终端阈值：一台</w:t>
            </w:r>
            <w:r>
              <w:t>wifi</w:t>
            </w:r>
            <w:r>
              <w:rPr>
                <w:rFonts w:hint="eastAsia"/>
              </w:rPr>
              <w:t>下面最大允许连接数，范围</w:t>
            </w:r>
            <w:r>
              <w:t>2-20</w:t>
            </w:r>
            <w:r>
              <w:rPr>
                <w:rFonts w:hint="eastAsia"/>
              </w:rPr>
              <w:t>个；</w:t>
            </w:r>
          </w:p>
          <w:p w14:paraId="14BE57B2">
            <w:pPr>
              <w:pStyle w:val="150"/>
            </w:pPr>
            <w:r>
              <w:rPr>
                <w:rFonts w:hint="eastAsia"/>
              </w:rPr>
              <w:t>允许例外情况：可以配置单个</w:t>
            </w:r>
            <w:r>
              <w:t>IP</w:t>
            </w:r>
            <w:r>
              <w:rPr>
                <w:rFonts w:hint="eastAsia"/>
              </w:rPr>
              <w:t>下电脑和移动终端的数量。</w:t>
            </w:r>
          </w:p>
        </w:tc>
      </w:tr>
      <w:tr w14:paraId="27149D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90" w:type="dxa"/>
            <w:shd w:val="clear" w:color="auto" w:fill="auto"/>
          </w:tcPr>
          <w:p w14:paraId="0B641933">
            <w:pPr>
              <w:pStyle w:val="150"/>
            </w:pPr>
            <w:r>
              <w:rPr>
                <w:rFonts w:hint="eastAsia"/>
              </w:rPr>
              <w:t>惩罚</w:t>
            </w:r>
            <w:r>
              <w:t>方式</w:t>
            </w:r>
          </w:p>
        </w:tc>
        <w:tc>
          <w:tcPr>
            <w:tcW w:w="7624" w:type="dxa"/>
            <w:shd w:val="clear" w:color="auto" w:fill="auto"/>
          </w:tcPr>
          <w:p w14:paraId="1A277BEB">
            <w:pPr>
              <w:pStyle w:val="150"/>
            </w:pPr>
            <w:r>
              <w:rPr>
                <w:rFonts w:hint="eastAsia"/>
              </w:rPr>
              <w:t>无</w:t>
            </w:r>
            <w:r>
              <w:t>：表示不惩罚，只做检测</w:t>
            </w:r>
            <w:r>
              <w:rPr>
                <w:rFonts w:hint="eastAsia"/>
              </w:rPr>
              <w:t>；</w:t>
            </w:r>
          </w:p>
          <w:p w14:paraId="77C9974C">
            <w:pPr>
              <w:pStyle w:val="150"/>
            </w:pPr>
            <w:r>
              <w:rPr>
                <w:rFonts w:hint="eastAsia"/>
              </w:rPr>
              <w:t>阻断</w:t>
            </w:r>
            <w:r>
              <w:t>：表示</w:t>
            </w:r>
            <w:r>
              <w:rPr>
                <w:rFonts w:hint="eastAsia"/>
              </w:rPr>
              <w:t>检测</w:t>
            </w:r>
            <w:r>
              <w:t>到共享</w:t>
            </w:r>
            <w:r>
              <w:rPr>
                <w:rFonts w:hint="eastAsia"/>
              </w:rPr>
              <w:t>接入</w:t>
            </w:r>
            <w:r>
              <w:t>用户达到阈值之后，进行阻断</w:t>
            </w:r>
            <w:r>
              <w:rPr>
                <w:rFonts w:hint="eastAsia"/>
              </w:rPr>
              <w:t>惩罚</w:t>
            </w:r>
            <w:r>
              <w:t>操作；</w:t>
            </w:r>
            <w:r>
              <w:rPr>
                <w:rFonts w:hint="eastAsia"/>
              </w:rPr>
              <w:t>阻断</w:t>
            </w:r>
            <w:r>
              <w:t>提示</w:t>
            </w:r>
            <w:r>
              <w:rPr>
                <w:rFonts w:hint="eastAsia"/>
              </w:rPr>
              <w:t>可</w:t>
            </w:r>
            <w:r>
              <w:t>在公告页面</w:t>
            </w:r>
            <w:r>
              <w:rPr>
                <w:rFonts w:hint="eastAsia"/>
              </w:rPr>
              <w:t>进行</w:t>
            </w:r>
            <w:r>
              <w:t>自定义配置；</w:t>
            </w:r>
          </w:p>
          <w:p w14:paraId="0BBE2FE8">
            <w:pPr>
              <w:pStyle w:val="150"/>
            </w:pPr>
            <w:r>
              <w:rPr>
                <w:rFonts w:hint="eastAsia"/>
              </w:rPr>
              <w:t>限速</w:t>
            </w:r>
            <w:r>
              <w:t>：表示检测到共享接入用户达到阈值之后，进行限速惩罚操作；</w:t>
            </w:r>
          </w:p>
          <w:p w14:paraId="1A407CF9">
            <w:pPr>
              <w:pStyle w:val="150"/>
            </w:pPr>
            <w:r>
              <w:rPr>
                <w:rFonts w:hint="eastAsia"/>
              </w:rPr>
              <w:t>冻结/限速时长</w:t>
            </w:r>
            <w:r>
              <w:t>：选择阻断或者限速惩罚</w:t>
            </w:r>
            <w:r>
              <w:rPr>
                <w:rFonts w:hint="eastAsia"/>
              </w:rPr>
              <w:t>方式</w:t>
            </w:r>
            <w:r>
              <w:t>时</w:t>
            </w:r>
            <w:r>
              <w:rPr>
                <w:rFonts w:hint="eastAsia"/>
              </w:rPr>
              <w:t>，</w:t>
            </w:r>
            <w:r>
              <w:t>显示该页面配置</w:t>
            </w:r>
            <w:r>
              <w:rPr>
                <w:rFonts w:hint="eastAsia"/>
              </w:rPr>
              <w:t>；终端被冻结或限速的时间，范围为</w:t>
            </w:r>
            <w:r>
              <w:t>5-720</w:t>
            </w:r>
            <w:r>
              <w:rPr>
                <w:rFonts w:hint="eastAsia"/>
              </w:rPr>
              <w:t>分钟；</w:t>
            </w:r>
          </w:p>
          <w:p w14:paraId="37071DF2">
            <w:pPr>
              <w:pStyle w:val="150"/>
            </w:pPr>
            <w:r>
              <w:rPr>
                <w:rFonts w:hint="eastAsia"/>
              </w:rPr>
              <w:t>添加</w:t>
            </w:r>
            <w:r>
              <w:t>到流控通道：选择限速惩罚方式时，需要选择对应的限速流控通道配置</w:t>
            </w:r>
            <w:r>
              <w:rPr>
                <w:rFonts w:hint="eastAsia"/>
              </w:rPr>
              <w:t>。</w:t>
            </w:r>
          </w:p>
        </w:tc>
      </w:tr>
    </w:tbl>
    <w:p w14:paraId="5CE3DC14"/>
    <w:p w14:paraId="2C7ED930">
      <w:pPr>
        <w:pStyle w:val="4"/>
      </w:pPr>
      <w:bookmarkStart w:id="5843" w:name="_Toc141873749"/>
      <w:bookmarkStart w:id="5844" w:name="_Toc6236030"/>
      <w:bookmarkStart w:id="5845" w:name="_Toc15485059"/>
      <w:bookmarkStart w:id="5846" w:name="_Toc194081022"/>
      <w:bookmarkStart w:id="5847" w:name="_Toc99561897"/>
      <w:bookmarkStart w:id="5848" w:name="_Toc23152823"/>
      <w:bookmarkStart w:id="5849" w:name="_Toc40276256"/>
      <w:bookmarkStart w:id="5850" w:name="_Toc172218530"/>
      <w:bookmarkStart w:id="5851" w:name="_Toc142401266"/>
      <w:bookmarkStart w:id="5852" w:name="_Toc196728354"/>
      <w:r>
        <w:rPr>
          <w:rFonts w:hint="eastAsia"/>
        </w:rPr>
        <w:t>共享接入</w:t>
      </w:r>
      <w:r>
        <w:t>监控</w:t>
      </w:r>
      <w:bookmarkEnd w:id="5843"/>
      <w:bookmarkEnd w:id="5844"/>
      <w:bookmarkEnd w:id="5845"/>
      <w:bookmarkEnd w:id="5846"/>
      <w:bookmarkEnd w:id="5847"/>
      <w:bookmarkEnd w:id="5848"/>
      <w:bookmarkEnd w:id="5849"/>
      <w:bookmarkEnd w:id="5850"/>
      <w:bookmarkEnd w:id="5851"/>
      <w:bookmarkEnd w:id="5852"/>
    </w:p>
    <w:p w14:paraId="195ECBD3">
      <w:r>
        <w:rPr>
          <w:rFonts w:hint="eastAsia"/>
        </w:rPr>
        <w:t>通过菜单“策略配置&gt;共享接入管理</w:t>
      </w:r>
      <w:r>
        <w:t xml:space="preserve">&gt; </w:t>
      </w:r>
      <w:r>
        <w:rPr>
          <w:rFonts w:hint="eastAsia"/>
        </w:rPr>
        <w:t>共享</w:t>
      </w:r>
      <w:r>
        <w:t>接入监控</w:t>
      </w:r>
      <w:r>
        <w:rPr>
          <w:rFonts w:hint="eastAsia"/>
        </w:rPr>
        <w:t>”，进入如</w:t>
      </w:r>
      <w:r>
        <w:rPr>
          <w:color w:val="0000FF"/>
          <w:u w:val="single"/>
        </w:rPr>
        <w:fldChar w:fldCharType="begin"/>
      </w:r>
      <w:r>
        <w:rPr>
          <w:color w:val="0000FF"/>
          <w:u w:val="single"/>
        </w:rPr>
        <w:instrText xml:space="preserve"> REF _Ref392841214 \r \h </w:instrText>
      </w:r>
      <w:r>
        <w:rPr>
          <w:color w:val="0000FF"/>
          <w:u w:val="single"/>
        </w:rPr>
        <w:fldChar w:fldCharType="separate"/>
      </w:r>
      <w:r>
        <w:rPr>
          <w:rFonts w:hint="eastAsia"/>
          <w:color w:val="0000FF"/>
          <w:u w:val="single"/>
        </w:rPr>
        <w:t>图23-3</w:t>
      </w:r>
      <w:r>
        <w:rPr>
          <w:color w:val="0000FF"/>
          <w:u w:val="single"/>
        </w:rPr>
        <w:fldChar w:fldCharType="end"/>
      </w:r>
      <w:r>
        <w:rPr>
          <w:rFonts w:hint="eastAsia"/>
        </w:rPr>
        <w:t>所示页面。在该页面上可以查看设备监控共享上网情况。</w:t>
      </w:r>
    </w:p>
    <w:p w14:paraId="64BE18C5">
      <w:pPr>
        <w:pStyle w:val="188"/>
      </w:pPr>
      <w:bookmarkStart w:id="5853" w:name="_Ref392841214"/>
      <w:bookmarkStart w:id="5854" w:name="_Toc141875154"/>
      <w:r>
        <w:rPr>
          <w:rFonts w:hint="eastAsia"/>
        </w:rPr>
        <w:t>共享</w:t>
      </w:r>
      <w:r>
        <w:t>接入监控页面</w:t>
      </w:r>
      <w:bookmarkEnd w:id="5853"/>
      <w:bookmarkEnd w:id="5854"/>
    </w:p>
    <w:p w14:paraId="6BC92377">
      <w:r>
        <w:drawing>
          <wp:inline distT="0" distB="0" distL="114300" distR="114300">
            <wp:extent cx="6110605" cy="629285"/>
            <wp:effectExtent l="0" t="0" r="635" b="10795"/>
            <wp:docPr id="9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图片 3"/>
                    <pic:cNvPicPr>
                      <a:picLocks noChangeAspect="1"/>
                    </pic:cNvPicPr>
                  </pic:nvPicPr>
                  <pic:blipFill>
                    <a:blip r:embed="rId745"/>
                    <a:stretch>
                      <a:fillRect/>
                    </a:stretch>
                  </pic:blipFill>
                  <pic:spPr>
                    <a:xfrm>
                      <a:off x="0" y="0"/>
                      <a:ext cx="6110605" cy="629285"/>
                    </a:xfrm>
                    <a:prstGeom prst="rect">
                      <a:avLst/>
                    </a:prstGeom>
                    <a:noFill/>
                    <a:ln>
                      <a:noFill/>
                    </a:ln>
                  </pic:spPr>
                </pic:pic>
              </a:graphicData>
            </a:graphic>
          </wp:inline>
        </w:drawing>
      </w:r>
    </w:p>
    <w:p w14:paraId="1E628DA2"/>
    <w:p w14:paraId="45E04E00">
      <w:r>
        <w:rPr>
          <w:rFonts w:hint="eastAsia"/>
        </w:rPr>
        <w:t>共享</w:t>
      </w:r>
      <w:r>
        <w:t>接入监控</w:t>
      </w:r>
      <w:r>
        <w:rPr>
          <w:rFonts w:hint="eastAsia"/>
        </w:rPr>
        <w:t>各项参数含义如</w:t>
      </w:r>
      <w:r>
        <w:fldChar w:fldCharType="begin"/>
      </w:r>
      <w:r>
        <w:instrText xml:space="preserve"> REF _Ref392841289 \r \h </w:instrText>
      </w:r>
      <w:r>
        <w:fldChar w:fldCharType="separate"/>
      </w:r>
      <w:r>
        <w:rPr>
          <w:rFonts w:hint="eastAsia"/>
        </w:rPr>
        <w:t>表23-1</w:t>
      </w:r>
      <w:r>
        <w:fldChar w:fldCharType="end"/>
      </w:r>
      <w:r>
        <w:rPr>
          <w:rFonts w:hint="eastAsia"/>
        </w:rPr>
        <w:t>所示。</w:t>
      </w:r>
    </w:p>
    <w:p w14:paraId="491D4126">
      <w:pPr>
        <w:pStyle w:val="183"/>
      </w:pPr>
      <w:bookmarkStart w:id="5855" w:name="_Toc141875714"/>
      <w:bookmarkStart w:id="5856" w:name="_Ref392841289"/>
      <w:r>
        <w:rPr>
          <w:rFonts w:hint="eastAsia"/>
        </w:rPr>
        <w:t>共享</w:t>
      </w:r>
      <w:r>
        <w:t>接入监控</w:t>
      </w:r>
      <w:r>
        <w:rPr>
          <w:rFonts w:hint="eastAsia"/>
        </w:rPr>
        <w:t>含义表</w:t>
      </w:r>
      <w:bookmarkEnd w:id="5855"/>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44"/>
        <w:gridCol w:w="6670"/>
      </w:tblGrid>
      <w:tr w14:paraId="0D3081A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tcBorders>
              <w:tl2br w:val="nil"/>
              <w:tr2bl w:val="nil"/>
            </w:tcBorders>
            <w:shd w:val="clear" w:color="auto" w:fill="538135" w:themeFill="accent6" w:themeFillShade="BF"/>
            <w:vAlign w:val="center"/>
          </w:tcPr>
          <w:p w14:paraId="02591EE8">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70" w:type="dxa"/>
            <w:tcBorders>
              <w:tl2br w:val="nil"/>
              <w:tr2bl w:val="nil"/>
            </w:tcBorders>
            <w:shd w:val="clear" w:color="auto" w:fill="538135" w:themeFill="accent6" w:themeFillShade="BF"/>
            <w:vAlign w:val="center"/>
          </w:tcPr>
          <w:p w14:paraId="3003646D">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368C4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18EA4B78">
            <w:pPr>
              <w:pStyle w:val="150"/>
            </w:pPr>
            <w:r>
              <w:rPr>
                <w:rFonts w:hint="eastAsia"/>
              </w:rPr>
              <w:t>用户名</w:t>
            </w:r>
          </w:p>
        </w:tc>
        <w:tc>
          <w:tcPr>
            <w:tcW w:w="6670" w:type="dxa"/>
            <w:shd w:val="clear" w:color="auto" w:fill="auto"/>
          </w:tcPr>
          <w:p w14:paraId="6F5DFABB">
            <w:pPr>
              <w:pStyle w:val="150"/>
            </w:pPr>
            <w:r>
              <w:rPr>
                <w:rFonts w:hint="eastAsia"/>
              </w:rPr>
              <w:t>显示设备存储</w:t>
            </w:r>
            <w:r>
              <w:t>ip</w:t>
            </w:r>
            <w:r>
              <w:rPr>
                <w:rFonts w:hint="eastAsia"/>
              </w:rPr>
              <w:t>地址对应的用户名。</w:t>
            </w:r>
          </w:p>
        </w:tc>
      </w:tr>
      <w:tr w14:paraId="208180A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6541AA9A">
            <w:pPr>
              <w:pStyle w:val="150"/>
            </w:pPr>
            <w:r>
              <w:rPr>
                <w:rFonts w:hint="eastAsia"/>
              </w:rPr>
              <w:t>所属组</w:t>
            </w:r>
          </w:p>
        </w:tc>
        <w:tc>
          <w:tcPr>
            <w:tcW w:w="6670" w:type="dxa"/>
            <w:shd w:val="clear" w:color="auto" w:fill="auto"/>
          </w:tcPr>
          <w:p w14:paraId="233AC418">
            <w:pPr>
              <w:pStyle w:val="150"/>
            </w:pPr>
            <w:r>
              <w:rPr>
                <w:rFonts w:hint="eastAsia"/>
              </w:rPr>
              <w:t>显示设备存储用户加入的用户组。</w:t>
            </w:r>
          </w:p>
        </w:tc>
      </w:tr>
      <w:tr w14:paraId="39DBADC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23310F10">
            <w:pPr>
              <w:pStyle w:val="150"/>
            </w:pPr>
            <w:r>
              <w:t>IP</w:t>
            </w:r>
          </w:p>
        </w:tc>
        <w:tc>
          <w:tcPr>
            <w:tcW w:w="6670" w:type="dxa"/>
            <w:shd w:val="clear" w:color="auto" w:fill="auto"/>
          </w:tcPr>
          <w:p w14:paraId="2C1B997A">
            <w:pPr>
              <w:pStyle w:val="150"/>
            </w:pPr>
            <w:r>
              <w:rPr>
                <w:rFonts w:hint="eastAsia"/>
              </w:rPr>
              <w:t>显示终端</w:t>
            </w:r>
            <w:r>
              <w:t>IP</w:t>
            </w:r>
            <w:r>
              <w:rPr>
                <w:rFonts w:hint="eastAsia"/>
              </w:rPr>
              <w:t>地址</w:t>
            </w:r>
            <w:r>
              <w:t>。</w:t>
            </w:r>
          </w:p>
        </w:tc>
      </w:tr>
      <w:tr w14:paraId="6517AE0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3BA721BC">
            <w:pPr>
              <w:pStyle w:val="150"/>
            </w:pPr>
            <w:r>
              <w:t>MAC</w:t>
            </w:r>
          </w:p>
        </w:tc>
        <w:tc>
          <w:tcPr>
            <w:tcW w:w="6670" w:type="dxa"/>
            <w:shd w:val="clear" w:color="auto" w:fill="auto"/>
          </w:tcPr>
          <w:p w14:paraId="15C5ECBC">
            <w:pPr>
              <w:pStyle w:val="150"/>
            </w:pPr>
            <w:r>
              <w:rPr>
                <w:rFonts w:hint="eastAsia"/>
              </w:rPr>
              <w:t>显示终端</w:t>
            </w:r>
            <w:r>
              <w:t>MAC</w:t>
            </w:r>
            <w:r>
              <w:rPr>
                <w:rFonts w:hint="eastAsia"/>
              </w:rPr>
              <w:t>地址。</w:t>
            </w:r>
          </w:p>
        </w:tc>
      </w:tr>
      <w:tr w14:paraId="124467F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587D2D0B">
            <w:pPr>
              <w:pStyle w:val="150"/>
            </w:pPr>
            <w:r>
              <w:rPr>
                <w:rFonts w:hint="eastAsia"/>
              </w:rPr>
              <w:t>终端数量</w:t>
            </w:r>
          </w:p>
        </w:tc>
        <w:tc>
          <w:tcPr>
            <w:tcW w:w="6670" w:type="dxa"/>
            <w:shd w:val="clear" w:color="auto" w:fill="auto"/>
          </w:tcPr>
          <w:p w14:paraId="5535F6A8">
            <w:pPr>
              <w:pStyle w:val="150"/>
            </w:pPr>
            <w:r>
              <w:rPr>
                <w:rFonts w:hint="eastAsia"/>
              </w:rPr>
              <w:t>共享设备下面的终端数。</w:t>
            </w:r>
          </w:p>
        </w:tc>
      </w:tr>
      <w:tr w14:paraId="3F5744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65546B61">
            <w:pPr>
              <w:pStyle w:val="150"/>
            </w:pPr>
            <w:r>
              <w:rPr>
                <w:rFonts w:hint="eastAsia"/>
              </w:rPr>
              <w:t>终端类型</w:t>
            </w:r>
          </w:p>
        </w:tc>
        <w:tc>
          <w:tcPr>
            <w:tcW w:w="6670" w:type="dxa"/>
            <w:shd w:val="clear" w:color="auto" w:fill="auto"/>
          </w:tcPr>
          <w:p w14:paraId="72A8587A">
            <w:pPr>
              <w:pStyle w:val="150"/>
            </w:pPr>
            <w:r>
              <w:rPr>
                <w:rFonts w:hint="eastAsia"/>
              </w:rPr>
              <w:t>终端接入类型。</w:t>
            </w:r>
          </w:p>
        </w:tc>
      </w:tr>
      <w:tr w14:paraId="46EA423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11E2DFF7">
            <w:pPr>
              <w:pStyle w:val="150"/>
            </w:pPr>
            <w:r>
              <w:rPr>
                <w:rFonts w:hint="eastAsia"/>
              </w:rPr>
              <w:t>状态</w:t>
            </w:r>
          </w:p>
        </w:tc>
        <w:tc>
          <w:tcPr>
            <w:tcW w:w="6670" w:type="dxa"/>
            <w:shd w:val="clear" w:color="auto" w:fill="auto"/>
          </w:tcPr>
          <w:p w14:paraId="47B6B27D">
            <w:pPr>
              <w:pStyle w:val="150"/>
            </w:pPr>
            <w:r>
              <w:rPr>
                <w:rFonts w:hint="eastAsia"/>
              </w:rPr>
              <w:t>显示共享</w:t>
            </w:r>
            <w:r>
              <w:t>接入用户</w:t>
            </w:r>
            <w:r>
              <w:rPr>
                <w:rFonts w:hint="eastAsia"/>
              </w:rPr>
              <w:t>的状态类型；正常、</w:t>
            </w:r>
            <w:r>
              <w:t>阻断、</w:t>
            </w:r>
            <w:r>
              <w:rPr>
                <w:rFonts w:hint="eastAsia"/>
              </w:rPr>
              <w:t>限速。</w:t>
            </w:r>
          </w:p>
        </w:tc>
      </w:tr>
      <w:tr w14:paraId="5FD6FF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23FC46C0">
            <w:pPr>
              <w:pStyle w:val="150"/>
            </w:pPr>
            <w:r>
              <w:rPr>
                <w:rFonts w:hint="eastAsia"/>
              </w:rPr>
              <w:t>发现时间</w:t>
            </w:r>
          </w:p>
        </w:tc>
        <w:tc>
          <w:tcPr>
            <w:tcW w:w="6670" w:type="dxa"/>
            <w:shd w:val="clear" w:color="auto" w:fill="auto"/>
          </w:tcPr>
          <w:p w14:paraId="203301C1">
            <w:pPr>
              <w:pStyle w:val="150"/>
            </w:pPr>
            <w:r>
              <w:rPr>
                <w:rFonts w:hint="eastAsia"/>
              </w:rPr>
              <w:t>显示发现共享</w:t>
            </w:r>
            <w:r>
              <w:t>接入用户</w:t>
            </w:r>
            <w:r>
              <w:rPr>
                <w:rFonts w:hint="eastAsia"/>
              </w:rPr>
              <w:t>的时间。</w:t>
            </w:r>
          </w:p>
        </w:tc>
      </w:tr>
      <w:tr w14:paraId="03953BA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562658B5">
            <w:pPr>
              <w:pStyle w:val="150"/>
            </w:pPr>
            <w:r>
              <w:rPr>
                <w:rFonts w:hint="eastAsia"/>
              </w:rPr>
              <w:t>操作</w:t>
            </w:r>
          </w:p>
        </w:tc>
        <w:tc>
          <w:tcPr>
            <w:tcW w:w="6670" w:type="dxa"/>
            <w:shd w:val="clear" w:color="auto" w:fill="auto"/>
          </w:tcPr>
          <w:p w14:paraId="1825F784">
            <w:pPr>
              <w:pStyle w:val="150"/>
            </w:pPr>
            <w:r>
              <w:rPr>
                <w:rFonts w:hint="eastAsia"/>
              </w:rPr>
              <w:t>可以选择是否解除惩罚</w:t>
            </w:r>
            <w:r>
              <w:t>共享接入</w:t>
            </w:r>
            <w:r>
              <w:rPr>
                <w:rFonts w:hint="eastAsia"/>
              </w:rPr>
              <w:t>的</w:t>
            </w:r>
            <w:r>
              <w:t>用户</w:t>
            </w:r>
            <w:r>
              <w:rPr>
                <w:rFonts w:hint="eastAsia"/>
              </w:rPr>
              <w:t>。</w:t>
            </w:r>
          </w:p>
        </w:tc>
      </w:tr>
    </w:tbl>
    <w:p w14:paraId="0F1F2295"/>
    <w:bookmarkEnd w:id="5856"/>
    <w:p w14:paraId="387E7397">
      <w:pPr>
        <w:pStyle w:val="4"/>
      </w:pPr>
      <w:bookmarkStart w:id="5857" w:name="_Toc142401267"/>
      <w:bookmarkStart w:id="5858" w:name="_Toc99561898"/>
      <w:bookmarkStart w:id="5859" w:name="_Toc15485060"/>
      <w:bookmarkStart w:id="5860" w:name="_Toc141873750"/>
      <w:bookmarkStart w:id="5861" w:name="_Toc6236031"/>
      <w:bookmarkStart w:id="5862" w:name="_Toc194081023"/>
      <w:bookmarkStart w:id="5863" w:name="_Toc172218531"/>
      <w:bookmarkStart w:id="5864" w:name="_Toc196728355"/>
      <w:bookmarkStart w:id="5865" w:name="_Toc40276257"/>
      <w:bookmarkStart w:id="5866" w:name="_Toc23152824"/>
      <w:r>
        <w:rPr>
          <w:rFonts w:hint="eastAsia"/>
        </w:rPr>
        <w:t>共享</w:t>
      </w:r>
      <w:r>
        <w:t>接入</w:t>
      </w:r>
      <w:r>
        <w:rPr>
          <w:rFonts w:hint="eastAsia"/>
        </w:rPr>
        <w:t>公告</w:t>
      </w:r>
      <w:bookmarkEnd w:id="5857"/>
      <w:bookmarkEnd w:id="5858"/>
      <w:bookmarkEnd w:id="5859"/>
      <w:bookmarkEnd w:id="5860"/>
      <w:bookmarkEnd w:id="5861"/>
      <w:bookmarkEnd w:id="5862"/>
      <w:bookmarkEnd w:id="5863"/>
      <w:bookmarkEnd w:id="5864"/>
      <w:bookmarkEnd w:id="5865"/>
      <w:bookmarkEnd w:id="5866"/>
    </w:p>
    <w:p w14:paraId="662529F1">
      <w:r>
        <w:rPr>
          <w:rFonts w:hint="eastAsia"/>
        </w:rPr>
        <w:t xml:space="preserve">通过菜单“策略配置 &gt; 对象管理 </w:t>
      </w:r>
      <w:r>
        <w:t xml:space="preserve">&gt; </w:t>
      </w:r>
      <w:r>
        <w:rPr>
          <w:rFonts w:hint="eastAsia"/>
        </w:rPr>
        <w:t>公告</w:t>
      </w:r>
      <w:r>
        <w:t xml:space="preserve">页面 &gt; </w:t>
      </w:r>
      <w:r>
        <w:rPr>
          <w:rFonts w:hint="eastAsia"/>
        </w:rPr>
        <w:t>其他</w:t>
      </w:r>
      <w:r>
        <w:t>页面</w:t>
      </w:r>
      <w:r>
        <w:rPr>
          <w:rFonts w:hint="eastAsia"/>
        </w:rPr>
        <w:t>”，进入如</w:t>
      </w:r>
      <w:r>
        <w:rPr>
          <w:color w:val="0000FF"/>
        </w:rPr>
        <w:fldChar w:fldCharType="begin"/>
      </w:r>
      <w:r>
        <w:rPr>
          <w:color w:val="0000FF"/>
        </w:rPr>
        <w:instrText xml:space="preserve"> </w:instrText>
      </w:r>
      <w:r>
        <w:rPr>
          <w:rFonts w:hint="eastAsia"/>
          <w:color w:val="0000FF"/>
        </w:rPr>
        <w:instrText xml:space="preserve">REF _Ref4414670 \r \h</w:instrText>
      </w:r>
      <w:r>
        <w:rPr>
          <w:color w:val="0000FF"/>
        </w:rPr>
        <w:instrText xml:space="preserve"> </w:instrText>
      </w:r>
      <w:r>
        <w:rPr>
          <w:color w:val="0000FF"/>
        </w:rPr>
        <w:fldChar w:fldCharType="separate"/>
      </w:r>
      <w:r>
        <w:rPr>
          <w:rFonts w:hint="eastAsia"/>
          <w:color w:val="0000FF"/>
        </w:rPr>
        <w:t>图23-4</w:t>
      </w:r>
      <w:r>
        <w:rPr>
          <w:color w:val="0000FF"/>
        </w:rPr>
        <w:fldChar w:fldCharType="end"/>
      </w:r>
      <w:r>
        <w:rPr>
          <w:rFonts w:hint="eastAsia"/>
        </w:rPr>
        <w:t>所示页面。在该页面上可以查看设备共享</w:t>
      </w:r>
      <w:r>
        <w:t>接入公告</w:t>
      </w:r>
      <w:r>
        <w:rPr>
          <w:rFonts w:hint="eastAsia"/>
        </w:rPr>
        <w:t>阻断</w:t>
      </w:r>
      <w:r>
        <w:t>提示配置，也可以自定义修改配置</w:t>
      </w:r>
      <w:r>
        <w:rPr>
          <w:rFonts w:hint="eastAsia"/>
        </w:rPr>
        <w:t>。</w:t>
      </w:r>
    </w:p>
    <w:p w14:paraId="3AC6E455">
      <w:pPr>
        <w:pStyle w:val="188"/>
      </w:pPr>
      <w:bookmarkStart w:id="5867" w:name="_Toc141875155"/>
      <w:bookmarkStart w:id="5868" w:name="_Ref4414670"/>
      <w:r>
        <w:rPr>
          <w:rFonts w:hint="eastAsia"/>
        </w:rPr>
        <w:t>共享</w:t>
      </w:r>
      <w:r>
        <w:t>接入公告页面</w:t>
      </w:r>
      <w:bookmarkEnd w:id="5867"/>
      <w:bookmarkEnd w:id="5868"/>
    </w:p>
    <w:p w14:paraId="7B326C4A">
      <w:r>
        <w:drawing>
          <wp:inline distT="0" distB="0" distL="0" distR="0">
            <wp:extent cx="5133975" cy="1750695"/>
            <wp:effectExtent l="0" t="0" r="0" b="1905"/>
            <wp:docPr id="2294" name="图片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4" name="图片 2294"/>
                    <pic:cNvPicPr>
                      <a:picLocks noChangeAspect="1"/>
                    </pic:cNvPicPr>
                  </pic:nvPicPr>
                  <pic:blipFill>
                    <a:blip r:embed="rId746"/>
                    <a:stretch>
                      <a:fillRect/>
                    </a:stretch>
                  </pic:blipFill>
                  <pic:spPr>
                    <a:xfrm>
                      <a:off x="0" y="0"/>
                      <a:ext cx="5153166" cy="1757818"/>
                    </a:xfrm>
                    <a:prstGeom prst="rect">
                      <a:avLst/>
                    </a:prstGeom>
                  </pic:spPr>
                </pic:pic>
              </a:graphicData>
            </a:graphic>
          </wp:inline>
        </w:drawing>
      </w:r>
    </w:p>
    <w:p w14:paraId="587143CC"/>
    <w:p w14:paraId="0C42DF20">
      <w:r>
        <w:rPr>
          <w:rFonts w:hint="eastAsia"/>
        </w:rPr>
        <w:t>点击蓝色</w:t>
      </w:r>
      <w:r>
        <w:t>字体</w:t>
      </w:r>
      <w:r>
        <w:rPr>
          <w:rFonts w:hint="eastAsia"/>
        </w:rPr>
        <w:t>&lt;共享</w:t>
      </w:r>
      <w:r>
        <w:t>接入</w:t>
      </w:r>
      <w:r>
        <w:rPr>
          <w:rFonts w:hint="eastAsia"/>
        </w:rPr>
        <w:t>&gt;，</w:t>
      </w:r>
      <w:r>
        <w:t>进入共享接入公告页面配置进行阻断</w:t>
      </w:r>
      <w:r>
        <w:rPr>
          <w:rFonts w:hint="eastAsia"/>
        </w:rPr>
        <w:t>提示配置</w:t>
      </w:r>
      <w:r>
        <w:t>。如</w:t>
      </w:r>
      <w:r>
        <w:rPr>
          <w:color w:val="0000FF"/>
        </w:rPr>
        <w:fldChar w:fldCharType="begin"/>
      </w:r>
      <w:r>
        <w:rPr>
          <w:color w:val="0000FF"/>
        </w:rPr>
        <w:instrText xml:space="preserve"> REF _Ref4414695 \r \h </w:instrText>
      </w:r>
      <w:r>
        <w:rPr>
          <w:color w:val="0000FF"/>
        </w:rPr>
        <w:fldChar w:fldCharType="separate"/>
      </w:r>
      <w:r>
        <w:rPr>
          <w:rFonts w:hint="eastAsia"/>
          <w:color w:val="0000FF"/>
        </w:rPr>
        <w:t>图23-5</w:t>
      </w:r>
      <w:r>
        <w:rPr>
          <w:color w:val="0000FF"/>
        </w:rPr>
        <w:fldChar w:fldCharType="end"/>
      </w:r>
      <w:r>
        <w:rPr>
          <w:rFonts w:hint="eastAsia"/>
        </w:rPr>
        <w:t>所示</w:t>
      </w:r>
      <w:r>
        <w:t>。</w:t>
      </w:r>
    </w:p>
    <w:p w14:paraId="7C768552">
      <w:pPr>
        <w:pStyle w:val="188"/>
      </w:pPr>
      <w:bookmarkStart w:id="5869" w:name="_Ref4414695"/>
      <w:bookmarkStart w:id="5870" w:name="_Toc141875156"/>
      <w:r>
        <w:rPr>
          <w:rFonts w:hint="eastAsia"/>
        </w:rPr>
        <w:t>共享</w:t>
      </w:r>
      <w:r>
        <w:t>接入</w:t>
      </w:r>
      <w:r>
        <w:rPr>
          <w:rFonts w:hint="eastAsia"/>
        </w:rPr>
        <w:t>阻断</w:t>
      </w:r>
      <w:r>
        <w:t>提示配置</w:t>
      </w:r>
      <w:bookmarkEnd w:id="5869"/>
      <w:bookmarkEnd w:id="5870"/>
    </w:p>
    <w:p w14:paraId="69E58B8E">
      <w:pPr>
        <w:spacing w:before="78" w:after="78"/>
      </w:pPr>
      <w:r>
        <w:drawing>
          <wp:inline distT="0" distB="0" distL="0" distR="0">
            <wp:extent cx="4686300" cy="3382010"/>
            <wp:effectExtent l="0" t="0" r="0" b="8890"/>
            <wp:docPr id="2295" name="图片 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5" name="图片 2295"/>
                    <pic:cNvPicPr>
                      <a:picLocks noChangeAspect="1"/>
                    </pic:cNvPicPr>
                  </pic:nvPicPr>
                  <pic:blipFill>
                    <a:blip r:embed="rId747"/>
                    <a:stretch>
                      <a:fillRect/>
                    </a:stretch>
                  </pic:blipFill>
                  <pic:spPr>
                    <a:xfrm>
                      <a:off x="0" y="0"/>
                      <a:ext cx="4702378" cy="3393966"/>
                    </a:xfrm>
                    <a:prstGeom prst="rect">
                      <a:avLst/>
                    </a:prstGeom>
                  </pic:spPr>
                </pic:pic>
              </a:graphicData>
            </a:graphic>
          </wp:inline>
        </w:drawing>
      </w:r>
    </w:p>
    <w:p w14:paraId="2627AEAA">
      <w:pPr>
        <w:jc w:val="left"/>
      </w:pPr>
      <w:r>
        <w:br w:type="page"/>
      </w:r>
    </w:p>
    <w:p w14:paraId="5B646EB2">
      <w:pPr>
        <w:pStyle w:val="3"/>
      </w:pPr>
      <w:bookmarkStart w:id="5871" w:name="_Toc141873751"/>
      <w:bookmarkStart w:id="5872" w:name="_Toc6236050"/>
      <w:bookmarkStart w:id="5873" w:name="_Toc99561904"/>
      <w:bookmarkStart w:id="5874" w:name="_Toc194081024"/>
      <w:bookmarkStart w:id="5875" w:name="_Toc172218532"/>
      <w:bookmarkStart w:id="5876" w:name="_Toc40276263"/>
      <w:bookmarkStart w:id="5877" w:name="_Toc196728356"/>
      <w:bookmarkStart w:id="5878" w:name="_Toc15485066"/>
      <w:bookmarkStart w:id="5879" w:name="_Toc23152830"/>
      <w:bookmarkStart w:id="5880" w:name="_Toc142401268"/>
      <w:r>
        <w:rPr>
          <w:rFonts w:hint="eastAsia"/>
        </w:rPr>
        <w:t>移动终端管理</w:t>
      </w:r>
      <w:bookmarkEnd w:id="5871"/>
      <w:bookmarkEnd w:id="5872"/>
      <w:bookmarkEnd w:id="5873"/>
      <w:bookmarkEnd w:id="5874"/>
      <w:bookmarkEnd w:id="5875"/>
      <w:bookmarkEnd w:id="5876"/>
      <w:bookmarkEnd w:id="5877"/>
      <w:bookmarkEnd w:id="5878"/>
      <w:bookmarkEnd w:id="5879"/>
      <w:bookmarkEnd w:id="5880"/>
    </w:p>
    <w:p w14:paraId="36F792AF">
      <w:pPr>
        <w:pStyle w:val="4"/>
      </w:pPr>
      <w:bookmarkStart w:id="5881" w:name="_Toc196728357"/>
      <w:bookmarkStart w:id="5882" w:name="_Toc6236051"/>
      <w:bookmarkStart w:id="5883" w:name="_Toc40276264"/>
      <w:bookmarkStart w:id="5884" w:name="_Toc141873752"/>
      <w:bookmarkStart w:id="5885" w:name="_Toc142401269"/>
      <w:bookmarkStart w:id="5886" w:name="_Toc172218533"/>
      <w:bookmarkStart w:id="5887" w:name="_Toc15485067"/>
      <w:bookmarkStart w:id="5888" w:name="_Toc23152831"/>
      <w:bookmarkStart w:id="5889" w:name="_Toc99561905"/>
      <w:bookmarkStart w:id="5890" w:name="_Toc194081025"/>
      <w:r>
        <w:rPr>
          <w:rFonts w:hint="eastAsia"/>
        </w:rPr>
        <w:t>移动终端管理简介</w:t>
      </w:r>
      <w:bookmarkEnd w:id="5881"/>
      <w:bookmarkEnd w:id="5882"/>
      <w:bookmarkEnd w:id="5883"/>
      <w:bookmarkEnd w:id="5884"/>
      <w:bookmarkEnd w:id="5885"/>
      <w:bookmarkEnd w:id="5886"/>
      <w:bookmarkEnd w:id="5887"/>
      <w:bookmarkEnd w:id="5888"/>
      <w:bookmarkEnd w:id="5889"/>
      <w:bookmarkEnd w:id="5890"/>
    </w:p>
    <w:p w14:paraId="52C30C41">
      <w:r>
        <w:rPr>
          <w:rFonts w:hint="eastAsia"/>
        </w:rPr>
        <w:t>随着智能手机、</w:t>
      </w:r>
      <w:r>
        <w:t>Pad</w:t>
      </w:r>
      <w:r>
        <w:rPr>
          <w:rFonts w:hint="eastAsia"/>
        </w:rPr>
        <w:t>等轻薄便携的</w:t>
      </w:r>
      <w:r>
        <w:fldChar w:fldCharType="begin"/>
      </w:r>
      <w:r>
        <w:instrText xml:space="preserve"> HYPERLINK "https://baike.baidu.com/item/%E7%A7%BB%E5%8A%A8%E6%99%BA%E8%83%BD%E7%BB%88%E7%AB%AF/8129665" \t "_blank" </w:instrText>
      </w:r>
      <w:r>
        <w:fldChar w:fldCharType="separate"/>
      </w:r>
      <w:r>
        <w:rPr>
          <w:rFonts w:hint="eastAsia"/>
        </w:rPr>
        <w:t>移动智能终端</w:t>
      </w:r>
      <w:r>
        <w:rPr>
          <w:rFonts w:hint="eastAsia"/>
        </w:rPr>
        <w:fldChar w:fldCharType="end"/>
      </w:r>
      <w:r>
        <w:rPr>
          <w:rFonts w:hint="eastAsia"/>
        </w:rPr>
        <w:t>与人们的生活、工作和学习结合得越来越紧密，随之而来的内网管控的问题。更多的移动终端接入内网需要进行管控，移动终端管理可针对移动终端进行管控。</w:t>
      </w:r>
    </w:p>
    <w:p w14:paraId="1FB9FACC">
      <w:pPr>
        <w:pStyle w:val="4"/>
      </w:pPr>
      <w:bookmarkStart w:id="5891" w:name="_Toc6236052"/>
      <w:bookmarkStart w:id="5892" w:name="_Toc15485068"/>
      <w:bookmarkStart w:id="5893" w:name="_Toc23152832"/>
      <w:bookmarkStart w:id="5894" w:name="_Toc99561906"/>
      <w:bookmarkStart w:id="5895" w:name="_Toc196728358"/>
      <w:bookmarkStart w:id="5896" w:name="_Toc142401270"/>
      <w:bookmarkStart w:id="5897" w:name="_Toc172218534"/>
      <w:bookmarkStart w:id="5898" w:name="_Toc194081026"/>
      <w:bookmarkStart w:id="5899" w:name="_Toc141873753"/>
      <w:bookmarkStart w:id="5900" w:name="_Toc40276265"/>
      <w:r>
        <w:rPr>
          <w:rFonts w:hint="eastAsia"/>
        </w:rPr>
        <w:t>移动终端管理页面</w:t>
      </w:r>
      <w:bookmarkEnd w:id="5891"/>
      <w:bookmarkEnd w:id="5892"/>
      <w:bookmarkEnd w:id="5893"/>
      <w:bookmarkEnd w:id="5894"/>
      <w:bookmarkEnd w:id="5895"/>
      <w:bookmarkEnd w:id="5896"/>
      <w:bookmarkEnd w:id="5897"/>
      <w:bookmarkEnd w:id="5898"/>
      <w:bookmarkEnd w:id="5899"/>
      <w:bookmarkEnd w:id="5900"/>
    </w:p>
    <w:p w14:paraId="3CD72E24">
      <w:r>
        <w:rPr>
          <w:rFonts w:hint="eastAsia"/>
        </w:rPr>
        <w:t>通过菜单“策略配置 &gt; 移动终端管理”，可查看移动终端管理识别并进行操作。</w:t>
      </w:r>
    </w:p>
    <w:p w14:paraId="2611E03D">
      <w:pPr>
        <w:pStyle w:val="188"/>
      </w:pPr>
      <w:bookmarkStart w:id="5901" w:name="_Toc141875157"/>
      <w:r>
        <w:rPr>
          <w:rFonts w:hint="eastAsia"/>
        </w:rPr>
        <w:t>移动终端管理页面</w:t>
      </w:r>
      <w:bookmarkEnd w:id="5901"/>
    </w:p>
    <w:p w14:paraId="16D450BD">
      <w:r>
        <w:drawing>
          <wp:inline distT="0" distB="0" distL="0" distR="0">
            <wp:extent cx="5400040" cy="1026160"/>
            <wp:effectExtent l="0" t="0" r="0" b="2540"/>
            <wp:docPr id="861" name="图片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图片 525"/>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a:xfrm>
                      <a:off x="0" y="0"/>
                      <a:ext cx="5400040" cy="1026176"/>
                    </a:xfrm>
                    <a:prstGeom prst="rect">
                      <a:avLst/>
                    </a:prstGeom>
                    <a:noFill/>
                    <a:ln>
                      <a:noFill/>
                    </a:ln>
                  </pic:spPr>
                </pic:pic>
              </a:graphicData>
            </a:graphic>
          </wp:inline>
        </w:drawing>
      </w:r>
    </w:p>
    <w:p w14:paraId="6A2A2E8F"/>
    <w:p w14:paraId="6F492439">
      <w:pPr>
        <w:pStyle w:val="183"/>
      </w:pPr>
      <w:bookmarkStart w:id="5902" w:name="_Toc141875715"/>
      <w:r>
        <w:rPr>
          <w:rFonts w:hint="eastAsia"/>
        </w:rPr>
        <w:t>移动终端管理页面各项含义表</w:t>
      </w:r>
      <w:bookmarkEnd w:id="5902"/>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923"/>
        <w:gridCol w:w="7091"/>
      </w:tblGrid>
      <w:tr w14:paraId="4A4D98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23" w:type="dxa"/>
            <w:tcBorders>
              <w:tl2br w:val="nil"/>
              <w:tr2bl w:val="nil"/>
            </w:tcBorders>
            <w:shd w:val="clear" w:color="auto" w:fill="538135" w:themeFill="accent6" w:themeFillShade="BF"/>
            <w:vAlign w:val="center"/>
          </w:tcPr>
          <w:p w14:paraId="63FF9DB5">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091" w:type="dxa"/>
            <w:tcBorders>
              <w:tl2br w:val="nil"/>
              <w:tr2bl w:val="nil"/>
            </w:tcBorders>
            <w:shd w:val="clear" w:color="auto" w:fill="538135" w:themeFill="accent6" w:themeFillShade="BF"/>
            <w:vAlign w:val="center"/>
          </w:tcPr>
          <w:p w14:paraId="60522475">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54FD7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23" w:type="dxa"/>
            <w:shd w:val="clear" w:color="auto" w:fill="auto"/>
          </w:tcPr>
          <w:p w14:paraId="1DDDC4CD">
            <w:pPr>
              <w:pStyle w:val="150"/>
            </w:pPr>
            <w:r>
              <w:rPr>
                <w:rFonts w:hint="eastAsia"/>
              </w:rPr>
              <w:t>IP地址</w:t>
            </w:r>
          </w:p>
        </w:tc>
        <w:tc>
          <w:tcPr>
            <w:tcW w:w="7091" w:type="dxa"/>
            <w:shd w:val="clear" w:color="auto" w:fill="auto"/>
          </w:tcPr>
          <w:p w14:paraId="5FD3A438">
            <w:pPr>
              <w:pStyle w:val="150"/>
            </w:pPr>
            <w:r>
              <w:rPr>
                <w:rFonts w:hint="eastAsia"/>
              </w:rPr>
              <w:t>设备记录的移动终端IP地址。</w:t>
            </w:r>
          </w:p>
        </w:tc>
      </w:tr>
      <w:tr w14:paraId="3B249D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23" w:type="dxa"/>
            <w:shd w:val="clear" w:color="auto" w:fill="auto"/>
          </w:tcPr>
          <w:p w14:paraId="730E1D6F">
            <w:pPr>
              <w:pStyle w:val="150"/>
            </w:pPr>
            <w:r>
              <w:rPr>
                <w:rFonts w:hint="eastAsia"/>
              </w:rPr>
              <w:t>用户名</w:t>
            </w:r>
          </w:p>
        </w:tc>
        <w:tc>
          <w:tcPr>
            <w:tcW w:w="7091" w:type="dxa"/>
            <w:shd w:val="clear" w:color="auto" w:fill="auto"/>
          </w:tcPr>
          <w:p w14:paraId="7F8C0EE6">
            <w:pPr>
              <w:pStyle w:val="150"/>
            </w:pPr>
            <w:r>
              <w:rPr>
                <w:rFonts w:hint="eastAsia"/>
              </w:rPr>
              <w:t>设备记录的移动终端用户名。</w:t>
            </w:r>
          </w:p>
        </w:tc>
      </w:tr>
      <w:tr w14:paraId="1138840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23" w:type="dxa"/>
            <w:shd w:val="clear" w:color="auto" w:fill="auto"/>
          </w:tcPr>
          <w:p w14:paraId="06AF4296">
            <w:pPr>
              <w:pStyle w:val="150"/>
            </w:pPr>
            <w:r>
              <w:rPr>
                <w:rFonts w:hint="eastAsia"/>
              </w:rPr>
              <w:t>终端类型</w:t>
            </w:r>
          </w:p>
        </w:tc>
        <w:tc>
          <w:tcPr>
            <w:tcW w:w="7091" w:type="dxa"/>
            <w:shd w:val="clear" w:color="auto" w:fill="auto"/>
          </w:tcPr>
          <w:p w14:paraId="0C9A298B">
            <w:pPr>
              <w:pStyle w:val="150"/>
            </w:pPr>
            <w:r>
              <w:rPr>
                <w:rFonts w:hint="eastAsia"/>
              </w:rPr>
              <w:t>设备记录的移动终端型号。</w:t>
            </w:r>
          </w:p>
        </w:tc>
      </w:tr>
      <w:tr w14:paraId="367562E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54" w:hRule="atLeast"/>
        </w:trPr>
        <w:tc>
          <w:tcPr>
            <w:tcW w:w="1923" w:type="dxa"/>
            <w:shd w:val="clear" w:color="auto" w:fill="auto"/>
          </w:tcPr>
          <w:p w14:paraId="402EB64C">
            <w:pPr>
              <w:pStyle w:val="150"/>
            </w:pPr>
            <w:r>
              <w:rPr>
                <w:rFonts w:hint="eastAsia"/>
              </w:rPr>
              <w:t>详情</w:t>
            </w:r>
          </w:p>
        </w:tc>
        <w:tc>
          <w:tcPr>
            <w:tcW w:w="7091" w:type="dxa"/>
            <w:shd w:val="clear" w:color="auto" w:fill="auto"/>
          </w:tcPr>
          <w:p w14:paraId="5B1457B3">
            <w:pPr>
              <w:pStyle w:val="150"/>
            </w:pPr>
            <w:r>
              <w:rPr>
                <w:rFonts w:hint="eastAsia"/>
              </w:rPr>
              <w:t>移动终端识别详情。</w:t>
            </w:r>
          </w:p>
        </w:tc>
      </w:tr>
      <w:tr w14:paraId="37CEDEC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46" w:hRule="atLeast"/>
        </w:trPr>
        <w:tc>
          <w:tcPr>
            <w:tcW w:w="1923" w:type="dxa"/>
            <w:shd w:val="clear" w:color="auto" w:fill="auto"/>
          </w:tcPr>
          <w:p w14:paraId="506092A2">
            <w:pPr>
              <w:pStyle w:val="150"/>
            </w:pPr>
            <w:r>
              <w:rPr>
                <w:rFonts w:hint="eastAsia"/>
              </w:rPr>
              <w:t>状态</w:t>
            </w:r>
          </w:p>
        </w:tc>
        <w:tc>
          <w:tcPr>
            <w:tcW w:w="7091" w:type="dxa"/>
            <w:shd w:val="clear" w:color="auto" w:fill="auto"/>
          </w:tcPr>
          <w:p w14:paraId="23E632B6">
            <w:pPr>
              <w:pStyle w:val="150"/>
            </w:pPr>
            <w:r>
              <w:rPr>
                <w:rFonts w:hint="eastAsia"/>
              </w:rPr>
              <w:t>移动终端状态：</w:t>
            </w:r>
          </w:p>
          <w:p w14:paraId="51342C22">
            <w:pPr>
              <w:pStyle w:val="150"/>
            </w:pPr>
            <w:r>
              <w:rPr>
                <w:rFonts w:hint="eastAsia"/>
              </w:rPr>
              <w:t>正常：只检测，不进行冻结；</w:t>
            </w:r>
          </w:p>
          <w:p w14:paraId="598E0125">
            <w:pPr>
              <w:pStyle w:val="150"/>
            </w:pPr>
            <w:r>
              <w:rPr>
                <w:rFonts w:hint="eastAsia"/>
              </w:rPr>
              <w:t>冻结XX秒：移动终端被冻结。</w:t>
            </w:r>
          </w:p>
        </w:tc>
      </w:tr>
      <w:tr w14:paraId="5B9E540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46" w:hRule="atLeast"/>
        </w:trPr>
        <w:tc>
          <w:tcPr>
            <w:tcW w:w="1923" w:type="dxa"/>
            <w:shd w:val="clear" w:color="auto" w:fill="auto"/>
          </w:tcPr>
          <w:p w14:paraId="164464B0">
            <w:pPr>
              <w:pStyle w:val="150"/>
            </w:pPr>
            <w:r>
              <w:rPr>
                <w:rFonts w:hint="eastAsia"/>
              </w:rPr>
              <w:t>发现时间</w:t>
            </w:r>
          </w:p>
        </w:tc>
        <w:tc>
          <w:tcPr>
            <w:tcW w:w="7091" w:type="dxa"/>
            <w:shd w:val="clear" w:color="auto" w:fill="auto"/>
          </w:tcPr>
          <w:p w14:paraId="58D76DDB">
            <w:pPr>
              <w:pStyle w:val="150"/>
            </w:pPr>
            <w:r>
              <w:rPr>
                <w:rFonts w:hint="eastAsia"/>
              </w:rPr>
              <w:t>移动终端检测发现时间。</w:t>
            </w:r>
          </w:p>
        </w:tc>
      </w:tr>
    </w:tbl>
    <w:p w14:paraId="640B93B2"/>
    <w:p w14:paraId="2B2E021C">
      <w:r>
        <w:rPr>
          <w:rFonts w:hint="eastAsia"/>
        </w:rPr>
        <w:t>选中移动终端后，点击&lt;信任该IP地址</w:t>
      </w:r>
      <w:r>
        <w:t>&gt;</w:t>
      </w:r>
      <w:r>
        <w:rPr>
          <w:rFonts w:hint="eastAsia"/>
        </w:rPr>
        <w:t>，可将此IP地址添加到信任IP中，如</w:t>
      </w:r>
      <w:r>
        <w:fldChar w:fldCharType="begin"/>
      </w:r>
      <w:r>
        <w:instrText xml:space="preserve"> </w:instrText>
      </w:r>
      <w:r>
        <w:rPr>
          <w:rFonts w:hint="eastAsia"/>
        </w:rPr>
        <w:instrText xml:space="preserve">REF _Ref4777563 \r \h</w:instrText>
      </w:r>
      <w:r>
        <w:instrText xml:space="preserve"> </w:instrText>
      </w:r>
      <w:r>
        <w:fldChar w:fldCharType="separate"/>
      </w:r>
      <w:r>
        <w:rPr>
          <w:rFonts w:hint="eastAsia"/>
        </w:rPr>
        <w:t>图24-2</w:t>
      </w:r>
      <w:r>
        <w:fldChar w:fldCharType="end"/>
      </w:r>
      <w:r>
        <w:rPr>
          <w:rFonts w:hint="eastAsia"/>
        </w:rPr>
        <w:t>所示。</w:t>
      </w:r>
    </w:p>
    <w:p w14:paraId="1F13BBF9">
      <w:pPr>
        <w:pStyle w:val="188"/>
      </w:pPr>
      <w:bookmarkStart w:id="5903" w:name="_Ref4777563"/>
      <w:bookmarkStart w:id="5904" w:name="_Toc141875158"/>
      <w:r>
        <w:rPr>
          <w:rFonts w:hint="eastAsia"/>
        </w:rPr>
        <w:t>信任该IP地址</w:t>
      </w:r>
      <w:bookmarkEnd w:id="5903"/>
      <w:bookmarkEnd w:id="5904"/>
    </w:p>
    <w:p w14:paraId="531F0417">
      <w:r>
        <w:drawing>
          <wp:inline distT="0" distB="0" distL="0" distR="0">
            <wp:extent cx="5667375" cy="738505"/>
            <wp:effectExtent l="0" t="0" r="0" b="4445"/>
            <wp:docPr id="2303" name="图片 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3" name="图片 2303"/>
                    <pic:cNvPicPr>
                      <a:picLocks noChangeAspect="1"/>
                    </pic:cNvPicPr>
                  </pic:nvPicPr>
                  <pic:blipFill>
                    <a:blip r:embed="rId749"/>
                    <a:stretch>
                      <a:fillRect/>
                    </a:stretch>
                  </pic:blipFill>
                  <pic:spPr>
                    <a:xfrm>
                      <a:off x="0" y="0"/>
                      <a:ext cx="5729428" cy="747161"/>
                    </a:xfrm>
                    <a:prstGeom prst="rect">
                      <a:avLst/>
                    </a:prstGeom>
                  </pic:spPr>
                </pic:pic>
              </a:graphicData>
            </a:graphic>
          </wp:inline>
        </w:drawing>
      </w:r>
    </w:p>
    <w:p w14:paraId="67ECCEE1"/>
    <w:p w14:paraId="02C9767E">
      <w:r>
        <w:rPr>
          <w:rFonts w:hint="eastAsia"/>
        </w:rPr>
        <w:t>选中移动终端后，点击&lt;解除冻结</w:t>
      </w:r>
      <w:r>
        <w:t>&gt;</w:t>
      </w:r>
      <w:r>
        <w:rPr>
          <w:rFonts w:hint="eastAsia"/>
        </w:rPr>
        <w:t>，可将已冻结用户暂时解除冻结状态，如</w:t>
      </w:r>
      <w:r>
        <w:fldChar w:fldCharType="begin"/>
      </w:r>
      <w:r>
        <w:instrText xml:space="preserve"> </w:instrText>
      </w:r>
      <w:r>
        <w:rPr>
          <w:rFonts w:hint="eastAsia"/>
        </w:rPr>
        <w:instrText xml:space="preserve">REF _Ref4777585 \r \h</w:instrText>
      </w:r>
      <w:r>
        <w:instrText xml:space="preserve"> </w:instrText>
      </w:r>
      <w:r>
        <w:fldChar w:fldCharType="separate"/>
      </w:r>
      <w:r>
        <w:rPr>
          <w:rFonts w:hint="eastAsia"/>
        </w:rPr>
        <w:t>图24-3</w:t>
      </w:r>
      <w:r>
        <w:fldChar w:fldCharType="end"/>
      </w:r>
      <w:r>
        <w:rPr>
          <w:rFonts w:hint="eastAsia"/>
        </w:rPr>
        <w:t>所示</w:t>
      </w:r>
    </w:p>
    <w:p w14:paraId="05D370B5">
      <w:pPr>
        <w:pStyle w:val="188"/>
      </w:pPr>
      <w:bookmarkStart w:id="5905" w:name="_Ref4777585"/>
      <w:bookmarkStart w:id="5906" w:name="_Toc141875159"/>
      <w:r>
        <w:rPr>
          <w:rFonts w:hint="eastAsia"/>
        </w:rPr>
        <w:t>解除冻结</w:t>
      </w:r>
      <w:bookmarkEnd w:id="5905"/>
      <w:bookmarkEnd w:id="5906"/>
    </w:p>
    <w:p w14:paraId="1B977453">
      <w:r>
        <w:drawing>
          <wp:inline distT="0" distB="0" distL="0" distR="0">
            <wp:extent cx="5715000" cy="725805"/>
            <wp:effectExtent l="0" t="0" r="0" b="0"/>
            <wp:docPr id="2880" name="图片 2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0" name="图片 2880"/>
                    <pic:cNvPicPr>
                      <a:picLocks noChangeAspect="1"/>
                    </pic:cNvPicPr>
                  </pic:nvPicPr>
                  <pic:blipFill>
                    <a:blip r:embed="rId750"/>
                    <a:stretch>
                      <a:fillRect/>
                    </a:stretch>
                  </pic:blipFill>
                  <pic:spPr>
                    <a:xfrm>
                      <a:off x="0" y="0"/>
                      <a:ext cx="5810000" cy="738380"/>
                    </a:xfrm>
                    <a:prstGeom prst="rect">
                      <a:avLst/>
                    </a:prstGeom>
                  </pic:spPr>
                </pic:pic>
              </a:graphicData>
            </a:graphic>
          </wp:inline>
        </w:drawing>
      </w:r>
    </w:p>
    <w:p w14:paraId="1C5650D6"/>
    <w:p w14:paraId="3667F148">
      <w:pPr>
        <w:pStyle w:val="4"/>
      </w:pPr>
      <w:bookmarkStart w:id="5907" w:name="_Toc6236053"/>
      <w:bookmarkStart w:id="5908" w:name="_Toc474250476"/>
      <w:bookmarkStart w:id="5909" w:name="_Toc141873754"/>
      <w:bookmarkStart w:id="5910" w:name="_Toc40276266"/>
      <w:bookmarkStart w:id="5911" w:name="_Toc15485069"/>
      <w:bookmarkStart w:id="5912" w:name="_Toc142401271"/>
      <w:bookmarkStart w:id="5913" w:name="_Toc99561907"/>
      <w:bookmarkStart w:id="5914" w:name="_Toc194081027"/>
      <w:bookmarkStart w:id="5915" w:name="_Toc23152833"/>
      <w:bookmarkStart w:id="5916" w:name="_Toc196728359"/>
      <w:bookmarkStart w:id="5917" w:name="_Toc172218535"/>
      <w:r>
        <w:rPr>
          <w:rFonts w:hint="eastAsia"/>
        </w:rPr>
        <w:t>终端接入配置</w:t>
      </w:r>
      <w:bookmarkEnd w:id="5907"/>
      <w:bookmarkEnd w:id="5908"/>
      <w:bookmarkEnd w:id="5909"/>
      <w:bookmarkEnd w:id="5910"/>
      <w:bookmarkEnd w:id="5911"/>
      <w:bookmarkEnd w:id="5912"/>
      <w:bookmarkEnd w:id="5913"/>
      <w:bookmarkEnd w:id="5914"/>
      <w:bookmarkEnd w:id="5915"/>
      <w:bookmarkEnd w:id="5916"/>
      <w:bookmarkEnd w:id="5917"/>
    </w:p>
    <w:p w14:paraId="4CA01695">
      <w:r>
        <w:rPr>
          <w:rFonts w:hint="eastAsia"/>
        </w:rPr>
        <w:t>通过菜单“策略配置 &gt; 移动终端管理”，点击&lt;终端接入配置</w:t>
      </w:r>
      <w:r>
        <w:t>&gt;</w:t>
      </w:r>
      <w:r>
        <w:rPr>
          <w:rFonts w:hint="eastAsia"/>
        </w:rPr>
        <w:t>页签，进入如</w:t>
      </w:r>
      <w:r>
        <w:fldChar w:fldCharType="begin"/>
      </w:r>
      <w:r>
        <w:instrText xml:space="preserve"> REF _Ref458615116 \r \h </w:instrText>
      </w:r>
      <w:r>
        <w:fldChar w:fldCharType="separate"/>
      </w:r>
      <w:r>
        <w:rPr>
          <w:rFonts w:hint="eastAsia"/>
        </w:rPr>
        <w:t>图24-4</w:t>
      </w:r>
      <w:r>
        <w:fldChar w:fldCharType="end"/>
      </w:r>
      <w:r>
        <w:rPr>
          <w:rFonts w:hint="eastAsia"/>
        </w:rPr>
        <w:t>所示页面。在该页面上可以配置终端接入配置。各个配置项含义如</w:t>
      </w:r>
      <w:r>
        <w:fldChar w:fldCharType="begin"/>
      </w:r>
      <w:r>
        <w:instrText xml:space="preserve"> REF _Ref458615195 \r \h </w:instrText>
      </w:r>
      <w:r>
        <w:fldChar w:fldCharType="separate"/>
      </w:r>
      <w:r>
        <w:rPr>
          <w:rFonts w:hint="eastAsia"/>
        </w:rPr>
        <w:t>表24-1</w:t>
      </w:r>
      <w:r>
        <w:fldChar w:fldCharType="end"/>
      </w:r>
      <w:r>
        <w:rPr>
          <w:rFonts w:hint="eastAsia"/>
        </w:rPr>
        <w:t>所示。</w:t>
      </w:r>
    </w:p>
    <w:p w14:paraId="348F35EF">
      <w:pPr>
        <w:pStyle w:val="188"/>
      </w:pPr>
      <w:bookmarkStart w:id="5918" w:name="_Toc141875160"/>
      <w:bookmarkStart w:id="5919" w:name="_Ref458615116"/>
      <w:r>
        <w:rPr>
          <w:rFonts w:hint="eastAsia"/>
        </w:rPr>
        <w:t>终端接入配置页面</w:t>
      </w:r>
      <w:bookmarkEnd w:id="5918"/>
      <w:bookmarkEnd w:id="5919"/>
    </w:p>
    <w:p w14:paraId="7514E990">
      <w:pPr>
        <w:spacing w:before="78" w:after="78"/>
      </w:pPr>
      <w:r>
        <w:drawing>
          <wp:inline distT="0" distB="0" distL="0" distR="0">
            <wp:extent cx="5400040" cy="4011930"/>
            <wp:effectExtent l="0" t="0" r="0" b="7620"/>
            <wp:docPr id="860" name="图片 2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图片 2689"/>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a:xfrm>
                      <a:off x="0" y="0"/>
                      <a:ext cx="5400040" cy="4012179"/>
                    </a:xfrm>
                    <a:prstGeom prst="rect">
                      <a:avLst/>
                    </a:prstGeom>
                    <a:noFill/>
                    <a:ln>
                      <a:noFill/>
                    </a:ln>
                  </pic:spPr>
                </pic:pic>
              </a:graphicData>
            </a:graphic>
          </wp:inline>
        </w:drawing>
      </w:r>
      <w:r>
        <w:t xml:space="preserve"> </w:t>
      </w:r>
    </w:p>
    <w:p w14:paraId="3E512E0D"/>
    <w:p w14:paraId="4B608290">
      <w:pPr>
        <w:pStyle w:val="183"/>
      </w:pPr>
      <w:bookmarkStart w:id="5920" w:name="_Ref458615195"/>
      <w:bookmarkStart w:id="5921" w:name="_Toc141875716"/>
      <w:r>
        <w:rPr>
          <w:rFonts w:hint="eastAsia"/>
        </w:rPr>
        <w:t>终端接入配置页面各项含义表</w:t>
      </w:r>
      <w:bookmarkEnd w:id="5920"/>
      <w:bookmarkEnd w:id="5921"/>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923"/>
        <w:gridCol w:w="7091"/>
      </w:tblGrid>
      <w:tr w14:paraId="11C0486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23" w:type="dxa"/>
            <w:tcBorders>
              <w:tl2br w:val="nil"/>
              <w:tr2bl w:val="nil"/>
            </w:tcBorders>
            <w:shd w:val="clear" w:color="auto" w:fill="538135" w:themeFill="accent6" w:themeFillShade="BF"/>
            <w:vAlign w:val="center"/>
          </w:tcPr>
          <w:p w14:paraId="507D9FFC">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091" w:type="dxa"/>
            <w:tcBorders>
              <w:tl2br w:val="nil"/>
              <w:tr2bl w:val="nil"/>
            </w:tcBorders>
            <w:shd w:val="clear" w:color="auto" w:fill="538135" w:themeFill="accent6" w:themeFillShade="BF"/>
            <w:vAlign w:val="center"/>
          </w:tcPr>
          <w:p w14:paraId="7E6F5FEF">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724C8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23" w:type="dxa"/>
            <w:shd w:val="clear" w:color="auto" w:fill="auto"/>
          </w:tcPr>
          <w:p w14:paraId="18A6D643">
            <w:pPr>
              <w:pStyle w:val="150"/>
            </w:pPr>
            <w:r>
              <w:rPr>
                <w:rFonts w:hint="eastAsia"/>
              </w:rPr>
              <w:t>启用移动终端管理</w:t>
            </w:r>
          </w:p>
        </w:tc>
        <w:tc>
          <w:tcPr>
            <w:tcW w:w="7091" w:type="dxa"/>
            <w:shd w:val="clear" w:color="auto" w:fill="auto"/>
          </w:tcPr>
          <w:p w14:paraId="53769451">
            <w:pPr>
              <w:pStyle w:val="150"/>
            </w:pPr>
            <w:r>
              <w:rPr>
                <w:rFonts w:hint="eastAsia"/>
              </w:rPr>
              <w:t>启用/禁用移动终端管理功能。</w:t>
            </w:r>
          </w:p>
        </w:tc>
      </w:tr>
      <w:tr w14:paraId="61F394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23" w:type="dxa"/>
            <w:shd w:val="clear" w:color="auto" w:fill="auto"/>
          </w:tcPr>
          <w:p w14:paraId="29255338">
            <w:pPr>
              <w:pStyle w:val="150"/>
            </w:pPr>
            <w:r>
              <w:rPr>
                <w:rFonts w:hint="eastAsia"/>
              </w:rPr>
              <w:t>配置告警邮件</w:t>
            </w:r>
          </w:p>
        </w:tc>
        <w:tc>
          <w:tcPr>
            <w:tcW w:w="7091" w:type="dxa"/>
            <w:shd w:val="clear" w:color="auto" w:fill="auto"/>
          </w:tcPr>
          <w:p w14:paraId="17F660FD">
            <w:pPr>
              <w:pStyle w:val="150"/>
            </w:pPr>
            <w:r>
              <w:rPr>
                <w:rFonts w:hint="eastAsia"/>
              </w:rPr>
              <w:t>配置告警邮件链接，可以点击跳转到配置页面。</w:t>
            </w:r>
          </w:p>
        </w:tc>
      </w:tr>
      <w:tr w14:paraId="0563B6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23" w:type="dxa"/>
            <w:shd w:val="clear" w:color="auto" w:fill="auto"/>
          </w:tcPr>
          <w:p w14:paraId="58A787E6">
            <w:pPr>
              <w:pStyle w:val="150"/>
            </w:pPr>
            <w:r>
              <w:rPr>
                <w:rFonts w:hint="eastAsia"/>
              </w:rPr>
              <w:t>冻结上网</w:t>
            </w:r>
          </w:p>
        </w:tc>
        <w:tc>
          <w:tcPr>
            <w:tcW w:w="7091" w:type="dxa"/>
            <w:shd w:val="clear" w:color="auto" w:fill="auto"/>
          </w:tcPr>
          <w:p w14:paraId="2E15622A">
            <w:pPr>
              <w:pStyle w:val="150"/>
            </w:pPr>
            <w:r>
              <w:rPr>
                <w:rFonts w:hint="eastAsia"/>
              </w:rPr>
              <w:t>启用/禁用冻结上网功能。</w:t>
            </w:r>
          </w:p>
        </w:tc>
      </w:tr>
      <w:tr w14:paraId="0D72279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23" w:type="dxa"/>
            <w:shd w:val="clear" w:color="auto" w:fill="auto"/>
          </w:tcPr>
          <w:p w14:paraId="5D5982C1">
            <w:pPr>
              <w:pStyle w:val="150"/>
            </w:pPr>
            <w:r>
              <w:rPr>
                <w:rFonts w:hint="eastAsia"/>
              </w:rPr>
              <w:t>冻结时长</w:t>
            </w:r>
          </w:p>
        </w:tc>
        <w:tc>
          <w:tcPr>
            <w:tcW w:w="7091" w:type="dxa"/>
            <w:shd w:val="clear" w:color="auto" w:fill="auto"/>
          </w:tcPr>
          <w:p w14:paraId="4DFA112F">
            <w:pPr>
              <w:pStyle w:val="150"/>
            </w:pPr>
            <w:r>
              <w:rPr>
                <w:rFonts w:hint="eastAsia"/>
              </w:rPr>
              <w:t>配置冻结时间。</w:t>
            </w:r>
          </w:p>
        </w:tc>
      </w:tr>
      <w:tr w14:paraId="2C6AEFE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23" w:type="dxa"/>
            <w:shd w:val="clear" w:color="auto" w:fill="auto"/>
          </w:tcPr>
          <w:p w14:paraId="6F64CA4D">
            <w:pPr>
              <w:pStyle w:val="150"/>
            </w:pPr>
            <w:r>
              <w:rPr>
                <w:rFonts w:hint="eastAsia"/>
              </w:rPr>
              <w:t>启用信任用户</w:t>
            </w:r>
          </w:p>
        </w:tc>
        <w:tc>
          <w:tcPr>
            <w:tcW w:w="7091" w:type="dxa"/>
            <w:shd w:val="clear" w:color="auto" w:fill="auto"/>
          </w:tcPr>
          <w:p w14:paraId="08B1EA01">
            <w:pPr>
              <w:pStyle w:val="150"/>
            </w:pPr>
            <w:r>
              <w:rPr>
                <w:rFonts w:hint="eastAsia"/>
              </w:rPr>
              <w:t>启用/禁用信任用户功能，启动后可选择信任用户。</w:t>
            </w:r>
          </w:p>
        </w:tc>
      </w:tr>
      <w:tr w14:paraId="6A1C75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23" w:type="dxa"/>
            <w:shd w:val="clear" w:color="auto" w:fill="auto"/>
          </w:tcPr>
          <w:p w14:paraId="1D82F61F">
            <w:pPr>
              <w:pStyle w:val="150"/>
            </w:pPr>
            <w:r>
              <w:rPr>
                <w:rFonts w:hint="eastAsia"/>
              </w:rPr>
              <w:t>信任IP</w:t>
            </w:r>
          </w:p>
        </w:tc>
        <w:tc>
          <w:tcPr>
            <w:tcW w:w="7091" w:type="dxa"/>
            <w:shd w:val="clear" w:color="auto" w:fill="auto"/>
          </w:tcPr>
          <w:p w14:paraId="4428BE61">
            <w:pPr>
              <w:pStyle w:val="150"/>
            </w:pPr>
            <w:r>
              <w:rPr>
                <w:rFonts w:hint="eastAsia"/>
              </w:rPr>
              <w:t>支持子网地址、范围地址、主机地址三种方式添加，点击&lt;添加到列表</w:t>
            </w:r>
            <w:r>
              <w:t>&gt;</w:t>
            </w:r>
            <w:r>
              <w:rPr>
                <w:rFonts w:hint="eastAsia"/>
              </w:rPr>
              <w:t>，可以添加信任IP地址。</w:t>
            </w:r>
          </w:p>
        </w:tc>
      </w:tr>
    </w:tbl>
    <w:p w14:paraId="60C6C11D"/>
    <w:p w14:paraId="43EB69F9">
      <w:pPr>
        <w:pStyle w:val="4"/>
      </w:pPr>
      <w:bookmarkStart w:id="5922" w:name="_Toc194081028"/>
      <w:bookmarkStart w:id="5923" w:name="_Toc6236054"/>
      <w:bookmarkStart w:id="5924" w:name="_Toc196728360"/>
      <w:bookmarkStart w:id="5925" w:name="_Toc141873755"/>
      <w:bookmarkStart w:id="5926" w:name="_Toc23152834"/>
      <w:bookmarkStart w:id="5927" w:name="_Toc40276267"/>
      <w:bookmarkStart w:id="5928" w:name="_Toc15485070"/>
      <w:bookmarkStart w:id="5929" w:name="_Toc99561908"/>
      <w:bookmarkStart w:id="5930" w:name="_Toc142401272"/>
      <w:bookmarkStart w:id="5931" w:name="_Toc172218536"/>
      <w:r>
        <w:rPr>
          <w:rFonts w:hint="eastAsia"/>
        </w:rPr>
        <w:t>终端发现趋势</w:t>
      </w:r>
      <w:bookmarkEnd w:id="5922"/>
      <w:bookmarkEnd w:id="5923"/>
      <w:bookmarkEnd w:id="5924"/>
      <w:bookmarkEnd w:id="5925"/>
      <w:bookmarkEnd w:id="5926"/>
      <w:bookmarkEnd w:id="5927"/>
      <w:bookmarkEnd w:id="5928"/>
      <w:bookmarkEnd w:id="5929"/>
      <w:bookmarkEnd w:id="5930"/>
      <w:bookmarkEnd w:id="5931"/>
    </w:p>
    <w:p w14:paraId="394D59A3">
      <w:r>
        <w:rPr>
          <w:rFonts w:hint="eastAsia"/>
        </w:rPr>
        <w:t>通过菜单“策略配置 &gt; 移动终端管理”，点击&lt;终端发现趋势</w:t>
      </w:r>
      <w:r>
        <w:t>&gt;</w:t>
      </w:r>
      <w:r>
        <w:rPr>
          <w:rFonts w:hint="eastAsia"/>
        </w:rPr>
        <w:t>页签，进入如</w:t>
      </w:r>
      <w:r>
        <w:fldChar w:fldCharType="begin"/>
      </w:r>
      <w:r>
        <w:instrText xml:space="preserve"> </w:instrText>
      </w:r>
      <w:r>
        <w:rPr>
          <w:rFonts w:hint="eastAsia"/>
        </w:rPr>
        <w:instrText xml:space="preserve">REF _Ref4777745 \r \h</w:instrText>
      </w:r>
      <w:r>
        <w:instrText xml:space="preserve"> </w:instrText>
      </w:r>
      <w:r>
        <w:fldChar w:fldCharType="separate"/>
      </w:r>
      <w:r>
        <w:rPr>
          <w:rFonts w:hint="eastAsia"/>
        </w:rPr>
        <w:t>图24-5</w:t>
      </w:r>
      <w:r>
        <w:fldChar w:fldCharType="end"/>
      </w:r>
      <w:r>
        <w:rPr>
          <w:rFonts w:hint="eastAsia"/>
        </w:rPr>
        <w:t>所示页面。在该页面上可以查看终端发现趋势。各个配置项含义如</w:t>
      </w:r>
      <w:r>
        <w:rPr>
          <w:color w:val="0000FF"/>
          <w:u w:val="single"/>
        </w:rPr>
        <w:fldChar w:fldCharType="begin"/>
      </w:r>
      <w:r>
        <w:rPr>
          <w:color w:val="0000FF"/>
          <w:u w:val="single"/>
        </w:rPr>
        <w:instrText xml:space="preserve"> REF _Ref4608941 \r \h </w:instrText>
      </w:r>
      <w:r>
        <w:rPr>
          <w:color w:val="0000FF"/>
          <w:u w:val="single"/>
        </w:rPr>
        <w:fldChar w:fldCharType="separate"/>
      </w:r>
      <w:r>
        <w:rPr>
          <w:rFonts w:hint="eastAsia"/>
          <w:color w:val="0000FF"/>
          <w:u w:val="single"/>
        </w:rPr>
        <w:t>表24-1</w:t>
      </w:r>
      <w:r>
        <w:rPr>
          <w:color w:val="0000FF"/>
          <w:u w:val="single"/>
        </w:rPr>
        <w:fldChar w:fldCharType="end"/>
      </w:r>
      <w:r>
        <w:rPr>
          <w:rFonts w:hint="eastAsia"/>
        </w:rPr>
        <w:t>所示。</w:t>
      </w:r>
    </w:p>
    <w:p w14:paraId="6774966F">
      <w:pPr>
        <w:pStyle w:val="188"/>
      </w:pPr>
      <w:bookmarkStart w:id="5932" w:name="_Toc141875161"/>
      <w:bookmarkStart w:id="5933" w:name="_Ref4777745"/>
      <w:r>
        <w:rPr>
          <w:rFonts w:hint="eastAsia"/>
        </w:rPr>
        <w:t>终端发现趋势页面</w:t>
      </w:r>
      <w:bookmarkEnd w:id="5932"/>
      <w:bookmarkEnd w:id="5933"/>
    </w:p>
    <w:p w14:paraId="7EBC0074">
      <w:r>
        <w:drawing>
          <wp:inline distT="0" distB="0" distL="0" distR="0">
            <wp:extent cx="5010150" cy="2108200"/>
            <wp:effectExtent l="0" t="0" r="0" b="6350"/>
            <wp:docPr id="2882" name="图片 2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2" name="图片 2882"/>
                    <pic:cNvPicPr>
                      <a:picLocks noChangeAspect="1"/>
                    </pic:cNvPicPr>
                  </pic:nvPicPr>
                  <pic:blipFill>
                    <a:blip r:embed="rId752"/>
                    <a:stretch>
                      <a:fillRect/>
                    </a:stretch>
                  </pic:blipFill>
                  <pic:spPr>
                    <a:xfrm>
                      <a:off x="0" y="0"/>
                      <a:ext cx="5027513" cy="2116051"/>
                    </a:xfrm>
                    <a:prstGeom prst="rect">
                      <a:avLst/>
                    </a:prstGeom>
                  </pic:spPr>
                </pic:pic>
              </a:graphicData>
            </a:graphic>
          </wp:inline>
        </w:drawing>
      </w:r>
      <w:r>
        <w:t xml:space="preserve"> </w:t>
      </w:r>
    </w:p>
    <w:p w14:paraId="0D6A6412"/>
    <w:p w14:paraId="458DB8D1">
      <w:pPr>
        <w:pStyle w:val="183"/>
      </w:pPr>
      <w:bookmarkStart w:id="5934" w:name="_Toc141875717"/>
      <w:bookmarkStart w:id="5935" w:name="_Ref4608941"/>
      <w:r>
        <w:rPr>
          <w:rFonts w:hint="eastAsia"/>
        </w:rPr>
        <w:t>终端发现趋势页面各项含义表</w:t>
      </w:r>
      <w:bookmarkEnd w:id="5934"/>
      <w:bookmarkEnd w:id="5935"/>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065"/>
        <w:gridCol w:w="6949"/>
      </w:tblGrid>
      <w:tr w14:paraId="37CBFA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tcBorders>
              <w:tl2br w:val="nil"/>
              <w:tr2bl w:val="nil"/>
            </w:tcBorders>
            <w:shd w:val="clear" w:color="auto" w:fill="538135" w:themeFill="accent6" w:themeFillShade="BF"/>
            <w:vAlign w:val="center"/>
          </w:tcPr>
          <w:p w14:paraId="68F7FF31">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949" w:type="dxa"/>
            <w:tcBorders>
              <w:tl2br w:val="nil"/>
              <w:tr2bl w:val="nil"/>
            </w:tcBorders>
            <w:shd w:val="clear" w:color="auto" w:fill="538135" w:themeFill="accent6" w:themeFillShade="BF"/>
            <w:vAlign w:val="center"/>
          </w:tcPr>
          <w:p w14:paraId="0D05EFC4">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09570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27535210">
            <w:pPr>
              <w:pStyle w:val="150"/>
            </w:pPr>
            <w:r>
              <w:rPr>
                <w:rFonts w:hint="eastAsia"/>
              </w:rPr>
              <w:t>用户名</w:t>
            </w:r>
          </w:p>
        </w:tc>
        <w:tc>
          <w:tcPr>
            <w:tcW w:w="6949" w:type="dxa"/>
            <w:shd w:val="clear" w:color="auto" w:fill="auto"/>
          </w:tcPr>
          <w:p w14:paraId="427FEC34">
            <w:pPr>
              <w:pStyle w:val="150"/>
            </w:pPr>
            <w:r>
              <w:rPr>
                <w:rFonts w:hint="eastAsia"/>
              </w:rPr>
              <w:t>设备记录移动终端的用户名。</w:t>
            </w:r>
          </w:p>
        </w:tc>
      </w:tr>
      <w:tr w14:paraId="7233C1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3FFCDCF7">
            <w:pPr>
              <w:pStyle w:val="150"/>
            </w:pPr>
            <w:r>
              <w:rPr>
                <w:rFonts w:hint="eastAsia"/>
              </w:rPr>
              <w:t>IP地址</w:t>
            </w:r>
          </w:p>
        </w:tc>
        <w:tc>
          <w:tcPr>
            <w:tcW w:w="6949" w:type="dxa"/>
            <w:shd w:val="clear" w:color="auto" w:fill="auto"/>
          </w:tcPr>
          <w:p w14:paraId="62B5C42C">
            <w:pPr>
              <w:pStyle w:val="150"/>
            </w:pPr>
            <w:r>
              <w:rPr>
                <w:rFonts w:hint="eastAsia"/>
              </w:rPr>
              <w:t>设备记录移动终端的IP地址。</w:t>
            </w:r>
          </w:p>
        </w:tc>
      </w:tr>
      <w:tr w14:paraId="28DDEA3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4680D261">
            <w:pPr>
              <w:pStyle w:val="150"/>
            </w:pPr>
            <w:r>
              <w:rPr>
                <w:rFonts w:hint="eastAsia"/>
              </w:rPr>
              <w:t>所属组</w:t>
            </w:r>
          </w:p>
        </w:tc>
        <w:tc>
          <w:tcPr>
            <w:tcW w:w="6949" w:type="dxa"/>
            <w:shd w:val="clear" w:color="auto" w:fill="auto"/>
          </w:tcPr>
          <w:p w14:paraId="5713ACED">
            <w:pPr>
              <w:pStyle w:val="150"/>
            </w:pPr>
            <w:r>
              <w:rPr>
                <w:rFonts w:hint="eastAsia"/>
              </w:rPr>
              <w:t>设备记录移动终端所属用户组。</w:t>
            </w:r>
          </w:p>
        </w:tc>
      </w:tr>
      <w:tr w14:paraId="2145F9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646E61CB">
            <w:pPr>
              <w:pStyle w:val="150"/>
            </w:pPr>
            <w:r>
              <w:rPr>
                <w:rFonts w:hint="eastAsia"/>
              </w:rPr>
              <w:t>终端类型</w:t>
            </w:r>
          </w:p>
        </w:tc>
        <w:tc>
          <w:tcPr>
            <w:tcW w:w="6949" w:type="dxa"/>
            <w:shd w:val="clear" w:color="auto" w:fill="auto"/>
          </w:tcPr>
          <w:p w14:paraId="79AA9C95">
            <w:pPr>
              <w:pStyle w:val="150"/>
            </w:pPr>
            <w:r>
              <w:rPr>
                <w:rFonts w:hint="eastAsia"/>
              </w:rPr>
              <w:t>设备记录的移动终端型号。</w:t>
            </w:r>
          </w:p>
        </w:tc>
      </w:tr>
      <w:tr w14:paraId="5342F5D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14795AC9">
            <w:pPr>
              <w:pStyle w:val="150"/>
            </w:pPr>
            <w:r>
              <w:rPr>
                <w:rFonts w:hint="eastAsia"/>
              </w:rPr>
              <w:t>状态</w:t>
            </w:r>
          </w:p>
        </w:tc>
        <w:tc>
          <w:tcPr>
            <w:tcW w:w="6949" w:type="dxa"/>
            <w:shd w:val="clear" w:color="auto" w:fill="auto"/>
          </w:tcPr>
          <w:p w14:paraId="0E9C8EC4">
            <w:pPr>
              <w:pStyle w:val="150"/>
            </w:pPr>
            <w:r>
              <w:rPr>
                <w:rFonts w:hint="eastAsia"/>
              </w:rPr>
              <w:t>移动终端状态：</w:t>
            </w:r>
          </w:p>
          <w:p w14:paraId="271D9C18">
            <w:pPr>
              <w:pStyle w:val="150"/>
            </w:pPr>
            <w:r>
              <w:rPr>
                <w:rFonts w:hint="eastAsia"/>
              </w:rPr>
              <w:t xml:space="preserve">正常 </w:t>
            </w:r>
            <w:r>
              <w:t xml:space="preserve"> </w:t>
            </w:r>
          </w:p>
          <w:p w14:paraId="35FA029C">
            <w:pPr>
              <w:pStyle w:val="150"/>
            </w:pPr>
            <w:r>
              <w:rPr>
                <w:rFonts w:hint="eastAsia"/>
              </w:rPr>
              <w:t>冻结</w:t>
            </w:r>
          </w:p>
        </w:tc>
      </w:tr>
      <w:tr w14:paraId="2CD8FD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4ADED4EF">
            <w:pPr>
              <w:pStyle w:val="150"/>
            </w:pPr>
            <w:r>
              <w:rPr>
                <w:rFonts w:hint="eastAsia"/>
              </w:rPr>
              <w:t>发现时间</w:t>
            </w:r>
          </w:p>
        </w:tc>
        <w:tc>
          <w:tcPr>
            <w:tcW w:w="6949" w:type="dxa"/>
            <w:shd w:val="clear" w:color="auto" w:fill="auto"/>
          </w:tcPr>
          <w:p w14:paraId="619BB0C2">
            <w:pPr>
              <w:pStyle w:val="150"/>
            </w:pPr>
            <w:r>
              <w:rPr>
                <w:rFonts w:hint="eastAsia"/>
              </w:rPr>
              <w:t>移动终端发现时间。</w:t>
            </w:r>
          </w:p>
        </w:tc>
      </w:tr>
      <w:tr w14:paraId="478BDB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1B8DC74B">
            <w:pPr>
              <w:pStyle w:val="150"/>
            </w:pPr>
            <w:r>
              <w:rPr>
                <w:rFonts w:hint="eastAsia"/>
              </w:rPr>
              <w:t>操作</w:t>
            </w:r>
          </w:p>
        </w:tc>
        <w:tc>
          <w:tcPr>
            <w:tcW w:w="6949" w:type="dxa"/>
            <w:shd w:val="clear" w:color="auto" w:fill="auto"/>
          </w:tcPr>
          <w:p w14:paraId="29233A9A">
            <w:pPr>
              <w:pStyle w:val="150"/>
            </w:pPr>
            <w:r>
              <w:rPr>
                <w:rFonts w:hint="eastAsia"/>
              </w:rPr>
              <w:t>点击&lt;详</w:t>
            </w:r>
            <w:r>
              <w:t>细&gt;</w:t>
            </w:r>
            <w:r>
              <w:rPr>
                <w:rFonts w:hint="eastAsia"/>
              </w:rPr>
              <w:t>，展示详细信息。</w:t>
            </w:r>
          </w:p>
        </w:tc>
      </w:tr>
    </w:tbl>
    <w:p w14:paraId="5E883B2C">
      <w:pPr>
        <w:jc w:val="left"/>
      </w:pPr>
      <w:r>
        <w:br w:type="page"/>
      </w:r>
    </w:p>
    <w:p w14:paraId="2B52E133">
      <w:pPr>
        <w:pStyle w:val="3"/>
      </w:pPr>
      <w:bookmarkStart w:id="5936" w:name="_Toc196728361"/>
      <w:bookmarkStart w:id="5937" w:name="_Toc194081029"/>
      <w:bookmarkStart w:id="5938" w:name="_Toc172218537"/>
      <w:r>
        <w:rPr>
          <w:rFonts w:hint="eastAsia"/>
        </w:rPr>
        <w:t>杀软检查管理</w:t>
      </w:r>
      <w:bookmarkEnd w:id="5936"/>
      <w:bookmarkEnd w:id="5937"/>
      <w:bookmarkEnd w:id="5938"/>
    </w:p>
    <w:p w14:paraId="25962FAE">
      <w:pPr>
        <w:pStyle w:val="4"/>
      </w:pPr>
      <w:bookmarkStart w:id="5939" w:name="_Toc142673885"/>
      <w:bookmarkStart w:id="5940" w:name="_Toc194081030"/>
      <w:bookmarkStart w:id="5941" w:name="_Toc196728362"/>
      <w:bookmarkStart w:id="5942" w:name="_Toc172218538"/>
      <w:r>
        <w:rPr>
          <w:rFonts w:hint="eastAsia"/>
        </w:rPr>
        <w:t>杀软检查管理概述</w:t>
      </w:r>
      <w:bookmarkEnd w:id="5939"/>
      <w:bookmarkEnd w:id="5940"/>
      <w:bookmarkEnd w:id="5941"/>
      <w:bookmarkEnd w:id="5942"/>
    </w:p>
    <w:p w14:paraId="0DAFEB00">
      <w:r>
        <w:rPr>
          <w:rFonts w:hint="eastAsia"/>
        </w:rPr>
        <w:t>在一些安全场景中，出于对安全性的考虑，要求终端必须安装对应的应用（杀毒软件），未安装的终端视为不安全的终端。为了保证用户使用的终端足够安全，设备支持通过流量来检查终端是否安装了杀毒软件，如果其没有被检测到，支持重定向到指定网址修复并记录检测结果。</w:t>
      </w:r>
    </w:p>
    <w:p w14:paraId="30D708BC">
      <w:pPr>
        <w:pStyle w:val="4"/>
      </w:pPr>
      <w:bookmarkStart w:id="5943" w:name="_Ref168589447"/>
      <w:bookmarkStart w:id="5944" w:name="_Toc194081031"/>
      <w:bookmarkStart w:id="5945" w:name="_Toc172218539"/>
      <w:bookmarkStart w:id="5946" w:name="_Toc196728363"/>
      <w:r>
        <w:rPr>
          <w:rFonts w:hint="eastAsia"/>
        </w:rPr>
        <w:t>查看合规状态监控</w:t>
      </w:r>
      <w:bookmarkEnd w:id="5943"/>
      <w:bookmarkEnd w:id="5944"/>
      <w:bookmarkEnd w:id="5945"/>
      <w:bookmarkEnd w:id="5946"/>
    </w:p>
    <w:p w14:paraId="4476F4CE">
      <w:r>
        <w:rPr>
          <w:rFonts w:hint="eastAsia"/>
        </w:rPr>
        <w:t>在导航栏中选择“策略配置 &gt;杀软检查管理</w:t>
      </w:r>
      <w:r>
        <w:t>&gt;合规状态监控</w:t>
      </w:r>
      <w:r>
        <w:rPr>
          <w:rFonts w:hint="eastAsia"/>
        </w:rPr>
        <w:t>”，进入合状态监控页面，可查看设备对在线用户终端的实时检测结果。</w:t>
      </w:r>
    </w:p>
    <w:p w14:paraId="229A5AE1">
      <w:pPr>
        <w:pStyle w:val="188"/>
      </w:pPr>
      <w:r>
        <w:rPr>
          <w:rFonts w:hint="eastAsia"/>
        </w:rPr>
        <w:t>合规状态监控</w:t>
      </w:r>
    </w:p>
    <w:p w14:paraId="169D2DA0">
      <w:pPr>
        <w:keepNext/>
        <w:jc w:val="left"/>
      </w:pPr>
      <w:r>
        <w:drawing>
          <wp:inline distT="0" distB="0" distL="0" distR="0">
            <wp:extent cx="6120765" cy="681990"/>
            <wp:effectExtent l="0" t="0" r="0" b="3810"/>
            <wp:docPr id="1802027862" name="图片 1802027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62" name="图片 1802027862"/>
                    <pic:cNvPicPr>
                      <a:picLocks noChangeAspect="1"/>
                    </pic:cNvPicPr>
                  </pic:nvPicPr>
                  <pic:blipFill>
                    <a:blip r:embed="rId753"/>
                    <a:stretch>
                      <a:fillRect/>
                    </a:stretch>
                  </pic:blipFill>
                  <pic:spPr>
                    <a:xfrm>
                      <a:off x="0" y="0"/>
                      <a:ext cx="6120765" cy="681990"/>
                    </a:xfrm>
                    <a:prstGeom prst="rect">
                      <a:avLst/>
                    </a:prstGeom>
                  </pic:spPr>
                </pic:pic>
              </a:graphicData>
            </a:graphic>
          </wp:inline>
        </w:drawing>
      </w:r>
    </w:p>
    <w:p w14:paraId="26EC1C55"/>
    <w:p w14:paraId="4B07AE1D">
      <w:r>
        <w:rPr>
          <w:rFonts w:hint="eastAsia"/>
        </w:rPr>
        <w:t>合规状态监控各项参数含义如下表所示。</w:t>
      </w:r>
    </w:p>
    <w:p w14:paraId="00AF6216">
      <w:pPr>
        <w:pStyle w:val="183"/>
      </w:pPr>
      <w:r>
        <w:rPr>
          <w:rFonts w:hint="eastAsia"/>
        </w:rPr>
        <w:t>合规状态监控各项参数含义</w:t>
      </w:r>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770"/>
        <w:gridCol w:w="7198"/>
      </w:tblGrid>
      <w:tr w14:paraId="553AFF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70" w:type="dxa"/>
            <w:tcBorders>
              <w:tl2br w:val="nil"/>
              <w:tr2bl w:val="nil"/>
            </w:tcBorders>
            <w:shd w:val="clear" w:color="auto" w:fill="538135" w:themeFill="accent6" w:themeFillShade="BF"/>
            <w:vAlign w:val="center"/>
          </w:tcPr>
          <w:p w14:paraId="63528769">
            <w:pPr>
              <w:pStyle w:val="149"/>
              <w:wordWrap/>
              <w:rPr>
                <w:b/>
                <w:bCs/>
                <w:i w:val="0"/>
                <w:iCs w:val="0"/>
              </w:rPr>
            </w:pPr>
            <w:r>
              <w:rPr>
                <w:rFonts w:hint="eastAsia"/>
                <w:b/>
                <w:bCs/>
                <w:i w:val="0"/>
                <w:iCs w:val="0"/>
              </w:rPr>
              <w:t>标题项</w:t>
            </w:r>
          </w:p>
        </w:tc>
        <w:tc>
          <w:tcPr>
            <w:tcW w:w="7198" w:type="dxa"/>
            <w:tcBorders>
              <w:tl2br w:val="nil"/>
              <w:tr2bl w:val="nil"/>
            </w:tcBorders>
            <w:shd w:val="clear" w:color="auto" w:fill="538135" w:themeFill="accent6" w:themeFillShade="BF"/>
            <w:vAlign w:val="center"/>
          </w:tcPr>
          <w:p w14:paraId="7021A16F">
            <w:pPr>
              <w:pStyle w:val="149"/>
              <w:wordWrap/>
              <w:rPr>
                <w:b/>
                <w:bCs/>
                <w:i w:val="0"/>
                <w:iCs w:val="0"/>
              </w:rPr>
            </w:pPr>
            <w:r>
              <w:rPr>
                <w:rFonts w:hint="eastAsia"/>
                <w:b/>
                <w:bCs/>
                <w:i w:val="0"/>
                <w:iCs w:val="0"/>
              </w:rPr>
              <w:t>说明</w:t>
            </w:r>
          </w:p>
        </w:tc>
      </w:tr>
      <w:tr w14:paraId="7FB585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70" w:type="dxa"/>
            <w:shd w:val="clear" w:color="auto" w:fill="auto"/>
          </w:tcPr>
          <w:p w14:paraId="5378465D">
            <w:pPr>
              <w:pStyle w:val="150"/>
            </w:pPr>
            <w:r>
              <w:rPr>
                <w:rFonts w:hint="eastAsia"/>
              </w:rPr>
              <w:t>检测时间</w:t>
            </w:r>
          </w:p>
        </w:tc>
        <w:tc>
          <w:tcPr>
            <w:tcW w:w="7198" w:type="dxa"/>
            <w:shd w:val="clear" w:color="auto" w:fill="auto"/>
          </w:tcPr>
          <w:p w14:paraId="48304AE1">
            <w:pPr>
              <w:pStyle w:val="150"/>
            </w:pPr>
            <w:r>
              <w:t>显示具体检测出终端杀软合规状态的</w:t>
            </w:r>
            <w:r>
              <w:rPr>
                <w:rFonts w:hint="eastAsia"/>
              </w:rPr>
              <w:t>时间。</w:t>
            </w:r>
          </w:p>
        </w:tc>
      </w:tr>
      <w:tr w14:paraId="61910DF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70" w:type="dxa"/>
            <w:shd w:val="clear" w:color="auto" w:fill="auto"/>
          </w:tcPr>
          <w:p w14:paraId="71D1A766">
            <w:pPr>
              <w:pStyle w:val="150"/>
            </w:pPr>
            <w:r>
              <w:rPr>
                <w:rFonts w:hint="eastAsia"/>
              </w:rPr>
              <w:t>用户名</w:t>
            </w:r>
          </w:p>
        </w:tc>
        <w:tc>
          <w:tcPr>
            <w:tcW w:w="7198" w:type="dxa"/>
            <w:shd w:val="clear" w:color="auto" w:fill="auto"/>
          </w:tcPr>
          <w:p w14:paraId="130FD5FD">
            <w:pPr>
              <w:pStyle w:val="150"/>
            </w:pPr>
            <w:r>
              <w:rPr>
                <w:rFonts w:hint="eastAsia"/>
              </w:rPr>
              <w:t>显示设备存储</w:t>
            </w:r>
            <w:r>
              <w:t>ip</w:t>
            </w:r>
            <w:r>
              <w:rPr>
                <w:rFonts w:hint="eastAsia"/>
              </w:rPr>
              <w:t>地址对应的用户名。</w:t>
            </w:r>
          </w:p>
        </w:tc>
      </w:tr>
      <w:tr w14:paraId="0259B5B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70" w:type="dxa"/>
            <w:shd w:val="clear" w:color="auto" w:fill="auto"/>
          </w:tcPr>
          <w:p w14:paraId="14D1D2BD">
            <w:pPr>
              <w:pStyle w:val="150"/>
            </w:pPr>
            <w:r>
              <w:rPr>
                <w:rFonts w:hint="eastAsia"/>
              </w:rPr>
              <w:t>所属组</w:t>
            </w:r>
          </w:p>
        </w:tc>
        <w:tc>
          <w:tcPr>
            <w:tcW w:w="7198" w:type="dxa"/>
            <w:shd w:val="clear" w:color="auto" w:fill="auto"/>
          </w:tcPr>
          <w:p w14:paraId="508E68DD">
            <w:pPr>
              <w:pStyle w:val="150"/>
            </w:pPr>
            <w:r>
              <w:rPr>
                <w:rFonts w:hint="eastAsia"/>
              </w:rPr>
              <w:t>显示设备存储用户加入的用户组。</w:t>
            </w:r>
          </w:p>
        </w:tc>
      </w:tr>
      <w:tr w14:paraId="0FF787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70" w:type="dxa"/>
            <w:shd w:val="clear" w:color="auto" w:fill="auto"/>
          </w:tcPr>
          <w:p w14:paraId="469CCF46">
            <w:pPr>
              <w:pStyle w:val="150"/>
            </w:pPr>
            <w:r>
              <w:rPr>
                <w:rFonts w:hint="eastAsia"/>
              </w:rPr>
              <w:t>IP</w:t>
            </w:r>
          </w:p>
        </w:tc>
        <w:tc>
          <w:tcPr>
            <w:tcW w:w="7198" w:type="dxa"/>
            <w:shd w:val="clear" w:color="auto" w:fill="auto"/>
          </w:tcPr>
          <w:p w14:paraId="08C88734">
            <w:pPr>
              <w:pStyle w:val="150"/>
            </w:pPr>
            <w:r>
              <w:rPr>
                <w:rFonts w:hint="eastAsia"/>
              </w:rPr>
              <w:t>显示终端</w:t>
            </w:r>
            <w:r>
              <w:t>IP</w:t>
            </w:r>
            <w:r>
              <w:rPr>
                <w:rFonts w:hint="eastAsia"/>
              </w:rPr>
              <w:t>地址。</w:t>
            </w:r>
          </w:p>
        </w:tc>
      </w:tr>
      <w:tr w14:paraId="4390A4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70" w:type="dxa"/>
            <w:shd w:val="clear" w:color="auto" w:fill="auto"/>
          </w:tcPr>
          <w:p w14:paraId="260490D5">
            <w:pPr>
              <w:pStyle w:val="150"/>
            </w:pPr>
            <w:r>
              <w:rPr>
                <w:rFonts w:hint="eastAsia"/>
              </w:rPr>
              <w:t>M</w:t>
            </w:r>
            <w:r>
              <w:t>AC</w:t>
            </w:r>
          </w:p>
        </w:tc>
        <w:tc>
          <w:tcPr>
            <w:tcW w:w="7198" w:type="dxa"/>
            <w:shd w:val="clear" w:color="auto" w:fill="auto"/>
          </w:tcPr>
          <w:p w14:paraId="1834FB12">
            <w:pPr>
              <w:pStyle w:val="150"/>
            </w:pPr>
            <w:r>
              <w:rPr>
                <w:rFonts w:hint="eastAsia"/>
              </w:rPr>
              <w:t>显示终端</w:t>
            </w:r>
            <w:r>
              <w:t>MAC</w:t>
            </w:r>
            <w:r>
              <w:rPr>
                <w:rFonts w:hint="eastAsia"/>
              </w:rPr>
              <w:t>地址。</w:t>
            </w:r>
          </w:p>
        </w:tc>
      </w:tr>
      <w:tr w14:paraId="38EE8DA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70" w:type="dxa"/>
            <w:shd w:val="clear" w:color="auto" w:fill="auto"/>
          </w:tcPr>
          <w:p w14:paraId="1EF63201">
            <w:pPr>
              <w:pStyle w:val="150"/>
            </w:pPr>
            <w:r>
              <w:rPr>
                <w:rFonts w:hint="eastAsia"/>
              </w:rPr>
              <w:t>规则名称</w:t>
            </w:r>
          </w:p>
        </w:tc>
        <w:tc>
          <w:tcPr>
            <w:tcW w:w="7198" w:type="dxa"/>
            <w:shd w:val="clear" w:color="auto" w:fill="auto"/>
          </w:tcPr>
          <w:p w14:paraId="65E90EED">
            <w:pPr>
              <w:pStyle w:val="150"/>
            </w:pPr>
            <w:r>
              <w:rPr>
                <w:rFonts w:hint="eastAsia"/>
              </w:rPr>
              <w:t>显示具体匹配到的杀软规则对象名称。</w:t>
            </w:r>
          </w:p>
        </w:tc>
      </w:tr>
      <w:tr w14:paraId="6D652F4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70" w:type="dxa"/>
            <w:shd w:val="clear" w:color="auto" w:fill="auto"/>
          </w:tcPr>
          <w:p w14:paraId="32BC8380">
            <w:pPr>
              <w:pStyle w:val="150"/>
            </w:pPr>
            <w:r>
              <w:rPr>
                <w:rFonts w:hint="eastAsia"/>
              </w:rPr>
              <w:t>杀软合规状态</w:t>
            </w:r>
          </w:p>
        </w:tc>
        <w:tc>
          <w:tcPr>
            <w:tcW w:w="7198" w:type="dxa"/>
            <w:shd w:val="clear" w:color="auto" w:fill="auto"/>
          </w:tcPr>
          <w:p w14:paraId="050DA4D0">
            <w:pPr>
              <w:pStyle w:val="150"/>
            </w:pPr>
            <w:r>
              <w:rPr>
                <w:rFonts w:hint="eastAsia"/>
              </w:rPr>
              <w:t>显示对终端杀软的检查结果：</w:t>
            </w:r>
          </w:p>
          <w:p w14:paraId="777874D5">
            <w:pPr>
              <w:pStyle w:val="150"/>
            </w:pPr>
            <w:r>
              <w:t>合规</w:t>
            </w:r>
            <w:r>
              <w:rPr>
                <w:rFonts w:hint="eastAsia"/>
              </w:rPr>
              <w:t>：</w:t>
            </w:r>
            <w:r>
              <w:t>终端安装了</w:t>
            </w:r>
            <w:r>
              <w:rPr>
                <w:rFonts w:hint="eastAsia"/>
              </w:rPr>
              <w:t>杀软规则中</w:t>
            </w:r>
            <w:r>
              <w:t>的杀毒软件</w:t>
            </w:r>
          </w:p>
          <w:p w14:paraId="63271533">
            <w:pPr>
              <w:pStyle w:val="150"/>
            </w:pPr>
            <w:r>
              <w:t>违规</w:t>
            </w:r>
            <w:r>
              <w:rPr>
                <w:rFonts w:hint="eastAsia"/>
              </w:rPr>
              <w:t>：</w:t>
            </w:r>
            <w:r>
              <w:t>终端未安装</w:t>
            </w:r>
            <w:r>
              <w:rPr>
                <w:rFonts w:hint="eastAsia"/>
              </w:rPr>
              <w:t>杀软规则中的</w:t>
            </w:r>
            <w:r>
              <w:t>杀毒软件</w:t>
            </w:r>
          </w:p>
        </w:tc>
      </w:tr>
    </w:tbl>
    <w:p w14:paraId="5DD28F67"/>
    <w:p w14:paraId="71D444A5">
      <w:pPr>
        <w:pStyle w:val="4"/>
      </w:pPr>
      <w:bookmarkStart w:id="5947" w:name="_Toc194081032"/>
      <w:bookmarkStart w:id="5948" w:name="_Toc172218540"/>
      <w:bookmarkStart w:id="5949" w:name="_Toc196728364"/>
      <w:r>
        <w:rPr>
          <w:rFonts w:hint="eastAsia"/>
        </w:rPr>
        <w:t>配置杀软规则对象</w:t>
      </w:r>
      <w:bookmarkEnd w:id="5947"/>
      <w:bookmarkEnd w:id="5948"/>
      <w:bookmarkEnd w:id="5949"/>
    </w:p>
    <w:p w14:paraId="775A7329">
      <w:r>
        <w:rPr>
          <w:rFonts w:hint="eastAsia"/>
        </w:rPr>
        <w:t>在导航栏中选择“策略配置 &gt;</w:t>
      </w:r>
      <w:r>
        <w:t xml:space="preserve"> </w:t>
      </w:r>
      <w:r>
        <w:rPr>
          <w:rFonts w:hint="eastAsia"/>
        </w:rPr>
        <w:t xml:space="preserve">杀软检查管理 </w:t>
      </w:r>
      <w:r>
        <w:t xml:space="preserve">&gt; </w:t>
      </w:r>
      <w:r>
        <w:rPr>
          <w:rFonts w:hint="eastAsia"/>
        </w:rPr>
        <w:t>杀软</w:t>
      </w:r>
      <w:r>
        <w:t>规则对象</w:t>
      </w:r>
      <w:r>
        <w:rPr>
          <w:rFonts w:hint="eastAsia"/>
        </w:rPr>
        <w:t>”，进入杀软规则对象页面，单击“新建”配置杀软规则对象相关信息。</w:t>
      </w:r>
    </w:p>
    <w:p w14:paraId="6400EA99">
      <w:pPr>
        <w:pStyle w:val="188"/>
      </w:pPr>
      <w:r>
        <w:rPr>
          <w:rFonts w:hint="eastAsia"/>
        </w:rPr>
        <w:t>杀软规则对象配置</w:t>
      </w:r>
    </w:p>
    <w:p w14:paraId="1234CF6B">
      <w:pPr>
        <w:keepNext/>
        <w:jc w:val="left"/>
      </w:pPr>
      <w:r>
        <w:drawing>
          <wp:inline distT="0" distB="0" distL="0" distR="0">
            <wp:extent cx="6120765" cy="4087495"/>
            <wp:effectExtent l="0" t="0" r="0" b="8255"/>
            <wp:docPr id="1296485341" name="图片 1296485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41" name="图片 1296485341"/>
                    <pic:cNvPicPr>
                      <a:picLocks noChangeAspect="1"/>
                    </pic:cNvPicPr>
                  </pic:nvPicPr>
                  <pic:blipFill>
                    <a:blip r:embed="rId754"/>
                    <a:stretch>
                      <a:fillRect/>
                    </a:stretch>
                  </pic:blipFill>
                  <pic:spPr>
                    <a:xfrm>
                      <a:off x="0" y="0"/>
                      <a:ext cx="6120765" cy="4087495"/>
                    </a:xfrm>
                    <a:prstGeom prst="rect">
                      <a:avLst/>
                    </a:prstGeom>
                  </pic:spPr>
                </pic:pic>
              </a:graphicData>
            </a:graphic>
          </wp:inline>
        </w:drawing>
      </w:r>
    </w:p>
    <w:p w14:paraId="0F05FB90"/>
    <w:p w14:paraId="739085EC">
      <w:r>
        <w:rPr>
          <w:rFonts w:hint="eastAsia"/>
        </w:rPr>
        <w:t>杀软规则对象的详细配置信息如下表所示。</w:t>
      </w:r>
    </w:p>
    <w:p w14:paraId="0A6E9AEF">
      <w:pPr>
        <w:pStyle w:val="183"/>
      </w:pPr>
      <w:r>
        <w:rPr>
          <w:rFonts w:hint="eastAsia"/>
        </w:rPr>
        <w:t>杀软规则对象详细配置</w:t>
      </w:r>
    </w:p>
    <w:tbl>
      <w:tblPr>
        <w:tblStyle w:val="173"/>
        <w:tblW w:w="901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530"/>
        <w:gridCol w:w="7480"/>
      </w:tblGrid>
      <w:tr w14:paraId="023A80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30" w:type="dxa"/>
            <w:tcBorders>
              <w:tl2br w:val="nil"/>
              <w:tr2bl w:val="nil"/>
            </w:tcBorders>
            <w:shd w:val="clear" w:color="auto" w:fill="538135" w:themeFill="accent6" w:themeFillShade="BF"/>
            <w:vAlign w:val="center"/>
          </w:tcPr>
          <w:p w14:paraId="503A8164">
            <w:pPr>
              <w:pStyle w:val="149"/>
              <w:wordWrap/>
              <w:rPr>
                <w:b/>
                <w:bCs/>
                <w:i w:val="0"/>
                <w:iCs w:val="0"/>
              </w:rPr>
            </w:pPr>
            <w:r>
              <w:rPr>
                <w:rFonts w:hint="eastAsia"/>
                <w:b/>
                <w:bCs/>
                <w:i w:val="0"/>
                <w:iCs w:val="0"/>
              </w:rPr>
              <w:t>标题项</w:t>
            </w:r>
          </w:p>
        </w:tc>
        <w:tc>
          <w:tcPr>
            <w:tcW w:w="7480" w:type="dxa"/>
            <w:tcBorders>
              <w:tl2br w:val="nil"/>
              <w:tr2bl w:val="nil"/>
            </w:tcBorders>
            <w:shd w:val="clear" w:color="auto" w:fill="538135" w:themeFill="accent6" w:themeFillShade="BF"/>
            <w:vAlign w:val="center"/>
          </w:tcPr>
          <w:p w14:paraId="6F82A680">
            <w:pPr>
              <w:pStyle w:val="149"/>
              <w:wordWrap/>
              <w:rPr>
                <w:b/>
                <w:bCs/>
                <w:i w:val="0"/>
                <w:iCs w:val="0"/>
              </w:rPr>
            </w:pPr>
            <w:r>
              <w:rPr>
                <w:rFonts w:hint="eastAsia"/>
                <w:b/>
                <w:bCs/>
                <w:i w:val="0"/>
                <w:iCs w:val="0"/>
              </w:rPr>
              <w:t>说明</w:t>
            </w:r>
          </w:p>
        </w:tc>
      </w:tr>
      <w:tr w14:paraId="5117355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30" w:type="dxa"/>
            <w:shd w:val="clear" w:color="auto" w:fill="auto"/>
          </w:tcPr>
          <w:p w14:paraId="19531131">
            <w:pPr>
              <w:pStyle w:val="150"/>
            </w:pPr>
            <w:r>
              <w:rPr>
                <w:rFonts w:hint="eastAsia"/>
              </w:rPr>
              <w:t>名称</w:t>
            </w:r>
          </w:p>
        </w:tc>
        <w:tc>
          <w:tcPr>
            <w:tcW w:w="7480" w:type="dxa"/>
            <w:shd w:val="clear" w:color="auto" w:fill="auto"/>
          </w:tcPr>
          <w:p w14:paraId="22C7410C">
            <w:pPr>
              <w:pStyle w:val="150"/>
            </w:pPr>
            <w:r>
              <w:rPr>
                <w:rFonts w:hint="eastAsia"/>
              </w:rPr>
              <w:t>配置杀软规则对象名称。</w:t>
            </w:r>
          </w:p>
        </w:tc>
      </w:tr>
      <w:tr w14:paraId="7D046E1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30" w:type="dxa"/>
            <w:shd w:val="clear" w:color="auto" w:fill="auto"/>
          </w:tcPr>
          <w:p w14:paraId="02660521">
            <w:pPr>
              <w:pStyle w:val="150"/>
            </w:pPr>
            <w:r>
              <w:rPr>
                <w:rFonts w:hint="eastAsia"/>
              </w:rPr>
              <w:t>描述</w:t>
            </w:r>
          </w:p>
        </w:tc>
        <w:tc>
          <w:tcPr>
            <w:tcW w:w="7480" w:type="dxa"/>
            <w:shd w:val="clear" w:color="auto" w:fill="auto"/>
          </w:tcPr>
          <w:p w14:paraId="1EDF7125">
            <w:pPr>
              <w:pStyle w:val="150"/>
            </w:pPr>
            <w:r>
              <w:rPr>
                <w:rFonts w:hint="eastAsia"/>
              </w:rPr>
              <w:t>配置杀软规则对象描述。</w:t>
            </w:r>
          </w:p>
        </w:tc>
      </w:tr>
      <w:tr w14:paraId="5674BD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9010" w:type="dxa"/>
            <w:gridSpan w:val="2"/>
            <w:shd w:val="clear" w:color="auto" w:fill="auto"/>
          </w:tcPr>
          <w:p w14:paraId="2E002413">
            <w:pPr>
              <w:pStyle w:val="150"/>
              <w:rPr>
                <w:b/>
              </w:rPr>
            </w:pPr>
            <w:r>
              <w:rPr>
                <w:rFonts w:hint="eastAsia"/>
                <w:b/>
              </w:rPr>
              <w:t>检查项配置</w:t>
            </w:r>
          </w:p>
        </w:tc>
      </w:tr>
      <w:tr w14:paraId="732695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30" w:type="dxa"/>
            <w:shd w:val="clear" w:color="auto" w:fill="auto"/>
          </w:tcPr>
          <w:p w14:paraId="57A607F4">
            <w:pPr>
              <w:pStyle w:val="150"/>
            </w:pPr>
            <w:r>
              <w:rPr>
                <w:rFonts w:hint="eastAsia"/>
              </w:rPr>
              <w:t>选择检查的杀软</w:t>
            </w:r>
          </w:p>
        </w:tc>
        <w:tc>
          <w:tcPr>
            <w:tcW w:w="7480" w:type="dxa"/>
            <w:shd w:val="clear" w:color="auto" w:fill="auto"/>
          </w:tcPr>
          <w:p w14:paraId="178C0EF5">
            <w:pPr>
              <w:pStyle w:val="150"/>
            </w:pPr>
            <w:r>
              <w:rPr>
                <w:rFonts w:hint="eastAsia"/>
              </w:rPr>
              <w:t>在下拉列表选择要检查的杀毒软件，目前支持3</w:t>
            </w:r>
            <w:r>
              <w:t>60安全中心</w:t>
            </w:r>
            <w:r>
              <w:rPr>
                <w:rFonts w:hint="eastAsia"/>
              </w:rPr>
              <w:t>、</w:t>
            </w:r>
            <w:r>
              <w:t>腾讯电脑管家</w:t>
            </w:r>
            <w:r>
              <w:rPr>
                <w:rFonts w:hint="eastAsia"/>
              </w:rPr>
              <w:t>、瑞星杀毒软件、迈克菲防毒软件、金山毒霸、火绒安全、小红伞、熊猫卫士、D</w:t>
            </w:r>
            <w:r>
              <w:t>r.Web</w:t>
            </w:r>
            <w:r>
              <w:rPr>
                <w:rFonts w:hint="eastAsia"/>
              </w:rPr>
              <w:t>。</w:t>
            </w:r>
          </w:p>
        </w:tc>
      </w:tr>
      <w:tr w14:paraId="552887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30" w:type="dxa"/>
            <w:shd w:val="clear" w:color="auto" w:fill="auto"/>
          </w:tcPr>
          <w:p w14:paraId="2A3DBC46">
            <w:pPr>
              <w:pStyle w:val="150"/>
            </w:pPr>
            <w:r>
              <w:t>违规判定条件</w:t>
            </w:r>
          </w:p>
        </w:tc>
        <w:tc>
          <w:tcPr>
            <w:tcW w:w="7480" w:type="dxa"/>
            <w:shd w:val="clear" w:color="auto" w:fill="auto"/>
          </w:tcPr>
          <w:p w14:paraId="1D6CA405">
            <w:pPr>
              <w:pStyle w:val="150"/>
            </w:pPr>
            <w:r>
              <w:rPr>
                <w:rFonts w:hint="eastAsia"/>
              </w:rPr>
              <w:t>设置违规判断的时间，如果在设置的时间内没有检测到该杀毒软件的流量，则判定为该终端没有安装这个杀毒软件。</w:t>
            </w:r>
          </w:p>
          <w:p w14:paraId="6BDD1E71">
            <w:pPr>
              <w:pStyle w:val="150"/>
            </w:pPr>
            <w:r>
              <w:rPr>
                <w:rFonts w:hint="eastAsia"/>
              </w:rPr>
              <w:t>每个杀毒软件的默认检测时间和该软件具体的更新周期有关，最小可配置时间为默认时间，最大可配置1</w:t>
            </w:r>
            <w:r>
              <w:t>440分钟</w:t>
            </w:r>
            <w:r>
              <w:rPr>
                <w:rFonts w:hint="eastAsia"/>
              </w:rPr>
              <w:t>。</w:t>
            </w:r>
          </w:p>
          <w:p w14:paraId="1CE5D1F5">
            <w:pPr>
              <w:pStyle w:val="150"/>
            </w:pPr>
            <w:r>
              <w:rPr>
                <w:rFonts w:hint="eastAsia"/>
              </w:rPr>
              <w:t>各软件的默认检查时间（最小可配置时间）如下：</w:t>
            </w:r>
          </w:p>
          <w:p w14:paraId="37B4760D">
            <w:pPr>
              <w:pStyle w:val="207"/>
              <w:numPr>
                <w:ilvl w:val="0"/>
                <w:numId w:val="24"/>
              </w:numPr>
            </w:pPr>
            <w:r>
              <w:rPr>
                <w:rFonts w:hint="eastAsia"/>
              </w:rPr>
              <w:t>360安全中心：60</w:t>
            </w:r>
          </w:p>
          <w:p w14:paraId="2121A698">
            <w:pPr>
              <w:pStyle w:val="207"/>
              <w:numPr>
                <w:ilvl w:val="0"/>
                <w:numId w:val="24"/>
              </w:numPr>
            </w:pPr>
            <w:r>
              <w:rPr>
                <w:rFonts w:hint="eastAsia"/>
              </w:rPr>
              <w:t>腾讯电脑管家：60</w:t>
            </w:r>
          </w:p>
          <w:p w14:paraId="2300CED7">
            <w:pPr>
              <w:pStyle w:val="207"/>
              <w:numPr>
                <w:ilvl w:val="0"/>
                <w:numId w:val="24"/>
              </w:numPr>
            </w:pPr>
            <w:r>
              <w:rPr>
                <w:rFonts w:hint="eastAsia"/>
              </w:rPr>
              <w:t>瑞星杀毒软件：120</w:t>
            </w:r>
          </w:p>
          <w:p w14:paraId="710BDBBA">
            <w:pPr>
              <w:pStyle w:val="207"/>
              <w:numPr>
                <w:ilvl w:val="0"/>
                <w:numId w:val="24"/>
              </w:numPr>
            </w:pPr>
            <w:r>
              <w:rPr>
                <w:rFonts w:hint="eastAsia"/>
              </w:rPr>
              <w:t>迈克菲防毒软件：120</w:t>
            </w:r>
          </w:p>
          <w:p w14:paraId="6EF975AA">
            <w:pPr>
              <w:pStyle w:val="207"/>
              <w:numPr>
                <w:ilvl w:val="0"/>
                <w:numId w:val="24"/>
              </w:numPr>
            </w:pPr>
            <w:r>
              <w:rPr>
                <w:rFonts w:hint="eastAsia"/>
              </w:rPr>
              <w:t>金山毒霸：15</w:t>
            </w:r>
          </w:p>
          <w:p w14:paraId="7323E7C7">
            <w:pPr>
              <w:pStyle w:val="207"/>
              <w:numPr>
                <w:ilvl w:val="0"/>
                <w:numId w:val="24"/>
              </w:numPr>
            </w:pPr>
            <w:r>
              <w:rPr>
                <w:rFonts w:hint="eastAsia"/>
              </w:rPr>
              <w:t>火绒安全：180</w:t>
            </w:r>
          </w:p>
          <w:p w14:paraId="437FA239">
            <w:pPr>
              <w:pStyle w:val="207"/>
              <w:numPr>
                <w:ilvl w:val="0"/>
                <w:numId w:val="24"/>
              </w:numPr>
            </w:pPr>
            <w:r>
              <w:rPr>
                <w:rFonts w:hint="eastAsia"/>
              </w:rPr>
              <w:t>小红伞：120</w:t>
            </w:r>
          </w:p>
          <w:p w14:paraId="127F31F6">
            <w:pPr>
              <w:pStyle w:val="207"/>
              <w:numPr>
                <w:ilvl w:val="0"/>
                <w:numId w:val="24"/>
              </w:numPr>
            </w:pPr>
            <w:r>
              <w:rPr>
                <w:rFonts w:hint="eastAsia"/>
              </w:rPr>
              <w:t>熊猫卫士：120</w:t>
            </w:r>
          </w:p>
          <w:p w14:paraId="34AC6842">
            <w:pPr>
              <w:pStyle w:val="207"/>
              <w:numPr>
                <w:ilvl w:val="0"/>
                <w:numId w:val="24"/>
              </w:numPr>
            </w:pPr>
            <w:r>
              <w:rPr>
                <w:rFonts w:hint="eastAsia"/>
              </w:rPr>
              <w:t>Dr.Web：120</w:t>
            </w:r>
          </w:p>
        </w:tc>
      </w:tr>
      <w:tr w14:paraId="126407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30" w:type="dxa"/>
            <w:shd w:val="clear" w:color="auto" w:fill="auto"/>
          </w:tcPr>
          <w:p w14:paraId="0ED63246">
            <w:pPr>
              <w:pStyle w:val="150"/>
            </w:pPr>
            <w:r>
              <w:rPr>
                <w:rFonts w:hint="eastAsia"/>
              </w:rPr>
              <w:t>违规处理</w:t>
            </w:r>
          </w:p>
        </w:tc>
        <w:tc>
          <w:tcPr>
            <w:tcW w:w="7480" w:type="dxa"/>
            <w:shd w:val="clear" w:color="auto" w:fill="auto"/>
          </w:tcPr>
          <w:p w14:paraId="4A535D01">
            <w:pPr>
              <w:pStyle w:val="150"/>
            </w:pPr>
            <w:r>
              <w:rPr>
                <w:rFonts w:hint="eastAsia"/>
              </w:rPr>
              <w:t>杀软检测违规后支持的违规处置，可选择：</w:t>
            </w:r>
          </w:p>
          <w:p w14:paraId="7B23C454">
            <w:pPr>
              <w:pStyle w:val="207"/>
              <w:numPr>
                <w:ilvl w:val="0"/>
                <w:numId w:val="24"/>
              </w:numPr>
            </w:pPr>
            <w:r>
              <w:rPr>
                <w:rFonts w:hint="eastAsia"/>
              </w:rPr>
              <w:t>只记录结果。</w:t>
            </w:r>
          </w:p>
          <w:p w14:paraId="262FC9F8">
            <w:pPr>
              <w:pStyle w:val="207"/>
              <w:numPr>
                <w:ilvl w:val="0"/>
                <w:numId w:val="24"/>
              </w:numPr>
            </w:pPr>
            <w:r>
              <w:rPr>
                <w:rFonts w:hint="eastAsia"/>
                <w:lang w:eastAsia="zh-CN"/>
              </w:rPr>
              <w:t>定期重定向至指定网址修复：配置自动的重定向网址和间隔时间。配置后，如果检测到未安装指定杀软的用户，将进行第三方重定向，重定向到指定网址进行修复。</w:t>
            </w:r>
            <w:r>
              <w:rPr>
                <w:rFonts w:hint="eastAsia"/>
              </w:rPr>
              <w:t xml:space="preserve">详情请参见 </w:t>
            </w:r>
            <w:r>
              <w:fldChar w:fldCharType="begin"/>
            </w:r>
            <w:r>
              <w:instrText xml:space="preserve"> REF _Ref168590489 \h  \* MERGEFORMAT </w:instrText>
            </w:r>
            <w:r>
              <w:fldChar w:fldCharType="separate"/>
            </w:r>
            <w:r>
              <w:rPr>
                <w:rFonts w:hint="eastAsia"/>
                <w:sz w:val="18"/>
              </w:rPr>
              <w:t>推送重定向页面</w:t>
            </w:r>
            <w:r>
              <w:fldChar w:fldCharType="end"/>
            </w:r>
            <w:r>
              <w:rPr>
                <w:rFonts w:hint="eastAsia"/>
              </w:rPr>
              <w:t>。</w:t>
            </w:r>
          </w:p>
        </w:tc>
      </w:tr>
    </w:tbl>
    <w:p w14:paraId="228F4C4F"/>
    <w:p w14:paraId="6E6F390E">
      <w:pPr>
        <w:pStyle w:val="4"/>
      </w:pPr>
      <w:bookmarkStart w:id="5950" w:name="_Toc196728365"/>
      <w:bookmarkStart w:id="5951" w:name="_Toc172218541"/>
      <w:bookmarkStart w:id="5952" w:name="_Toc194081033"/>
      <w:r>
        <w:rPr>
          <w:rFonts w:hint="eastAsia"/>
        </w:rPr>
        <w:t>配置杀软检查策略</w:t>
      </w:r>
      <w:bookmarkEnd w:id="5950"/>
      <w:bookmarkEnd w:id="5951"/>
      <w:bookmarkEnd w:id="5952"/>
    </w:p>
    <w:p w14:paraId="3BECBD6E">
      <w:r>
        <w:rPr>
          <w:rFonts w:hint="eastAsia"/>
        </w:rPr>
        <w:t>在导航栏中选择“策略配置 &gt;</w:t>
      </w:r>
      <w:r>
        <w:t xml:space="preserve"> </w:t>
      </w:r>
      <w:r>
        <w:rPr>
          <w:rFonts w:hint="eastAsia"/>
        </w:rPr>
        <w:t xml:space="preserve">杀软检查管理 </w:t>
      </w:r>
      <w:r>
        <w:t xml:space="preserve">&gt; </w:t>
      </w:r>
      <w:r>
        <w:rPr>
          <w:rFonts w:hint="eastAsia"/>
        </w:rPr>
        <w:t>杀软检查</w:t>
      </w:r>
      <w:r>
        <w:t>策略</w:t>
      </w:r>
      <w:r>
        <w:rPr>
          <w:rFonts w:hint="eastAsia"/>
        </w:rPr>
        <w:t>”，单击“新建”，配置杀软检查策略。</w:t>
      </w:r>
    </w:p>
    <w:p w14:paraId="042BFBCF">
      <w:pPr>
        <w:pStyle w:val="188"/>
      </w:pPr>
      <w:r>
        <w:rPr>
          <w:rFonts w:hint="eastAsia"/>
        </w:rPr>
        <w:t>杀软检查策略配置</w:t>
      </w:r>
    </w:p>
    <w:p w14:paraId="2667D552">
      <w:pPr>
        <w:keepNext/>
        <w:jc w:val="left"/>
      </w:pPr>
      <w:r>
        <w:drawing>
          <wp:inline distT="0" distB="0" distL="0" distR="0">
            <wp:extent cx="5193030" cy="4114165"/>
            <wp:effectExtent l="0" t="0" r="7620" b="635"/>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51"/>
                    <pic:cNvPicPr>
                      <a:picLocks noChangeAspect="1"/>
                    </pic:cNvPicPr>
                  </pic:nvPicPr>
                  <pic:blipFill>
                    <a:blip r:embed="rId755"/>
                    <a:stretch>
                      <a:fillRect/>
                    </a:stretch>
                  </pic:blipFill>
                  <pic:spPr>
                    <a:xfrm>
                      <a:off x="0" y="0"/>
                      <a:ext cx="5218553" cy="4134671"/>
                    </a:xfrm>
                    <a:prstGeom prst="rect">
                      <a:avLst/>
                    </a:prstGeom>
                  </pic:spPr>
                </pic:pic>
              </a:graphicData>
            </a:graphic>
          </wp:inline>
        </w:drawing>
      </w:r>
    </w:p>
    <w:p w14:paraId="786F6934"/>
    <w:p w14:paraId="6523D57E">
      <w:r>
        <w:rPr>
          <w:rFonts w:hint="eastAsia"/>
        </w:rPr>
        <w:t>杀软检查策略的配置项说明如下表所示。</w:t>
      </w:r>
    </w:p>
    <w:p w14:paraId="2AC2284E">
      <w:pPr>
        <w:pStyle w:val="183"/>
      </w:pPr>
      <w:r>
        <w:rPr>
          <w:rFonts w:hint="eastAsia"/>
        </w:rPr>
        <w:t>杀软检查策略配置</w:t>
      </w:r>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639"/>
        <w:gridCol w:w="7329"/>
      </w:tblGrid>
      <w:tr w14:paraId="463A52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tcBorders>
              <w:tl2br w:val="nil"/>
              <w:tr2bl w:val="nil"/>
            </w:tcBorders>
            <w:shd w:val="clear" w:color="auto" w:fill="538135" w:themeFill="accent6" w:themeFillShade="BF"/>
            <w:vAlign w:val="center"/>
          </w:tcPr>
          <w:p w14:paraId="7590F087">
            <w:pPr>
              <w:pStyle w:val="149"/>
              <w:wordWrap/>
              <w:rPr>
                <w:b/>
                <w:bCs/>
                <w:i w:val="0"/>
                <w:iCs w:val="0"/>
              </w:rPr>
            </w:pPr>
            <w:r>
              <w:rPr>
                <w:rFonts w:hint="eastAsia"/>
                <w:b/>
                <w:bCs/>
                <w:i w:val="0"/>
                <w:iCs w:val="0"/>
              </w:rPr>
              <w:t>标题项</w:t>
            </w:r>
          </w:p>
        </w:tc>
        <w:tc>
          <w:tcPr>
            <w:tcW w:w="7329" w:type="dxa"/>
            <w:tcBorders>
              <w:tl2br w:val="nil"/>
              <w:tr2bl w:val="nil"/>
            </w:tcBorders>
            <w:shd w:val="clear" w:color="auto" w:fill="538135" w:themeFill="accent6" w:themeFillShade="BF"/>
            <w:vAlign w:val="center"/>
          </w:tcPr>
          <w:p w14:paraId="54687416">
            <w:pPr>
              <w:pStyle w:val="149"/>
              <w:wordWrap/>
              <w:rPr>
                <w:b/>
                <w:bCs/>
                <w:i w:val="0"/>
                <w:iCs w:val="0"/>
              </w:rPr>
            </w:pPr>
            <w:r>
              <w:rPr>
                <w:rFonts w:hint="eastAsia"/>
                <w:b/>
                <w:bCs/>
                <w:i w:val="0"/>
                <w:iCs w:val="0"/>
              </w:rPr>
              <w:t>说明</w:t>
            </w:r>
          </w:p>
        </w:tc>
      </w:tr>
      <w:tr w14:paraId="0D89CBE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4676F34F">
            <w:pPr>
              <w:pStyle w:val="150"/>
            </w:pPr>
            <w:r>
              <w:rPr>
                <w:rFonts w:hint="eastAsia"/>
              </w:rPr>
              <w:t>启用</w:t>
            </w:r>
          </w:p>
        </w:tc>
        <w:tc>
          <w:tcPr>
            <w:tcW w:w="7329" w:type="dxa"/>
            <w:shd w:val="clear" w:color="auto" w:fill="auto"/>
          </w:tcPr>
          <w:p w14:paraId="5C60EDA5">
            <w:pPr>
              <w:pStyle w:val="150"/>
            </w:pPr>
            <w:r>
              <w:rPr>
                <w:rFonts w:hint="eastAsia"/>
              </w:rPr>
              <w:t>勾选后启用杀软检查策略，默认是勾选状态。</w:t>
            </w:r>
          </w:p>
        </w:tc>
      </w:tr>
      <w:tr w14:paraId="4A67DF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7A5F30A8">
            <w:pPr>
              <w:pStyle w:val="150"/>
            </w:pPr>
            <w:r>
              <w:rPr>
                <w:rFonts w:hint="eastAsia"/>
              </w:rPr>
              <w:t>名称</w:t>
            </w:r>
          </w:p>
        </w:tc>
        <w:tc>
          <w:tcPr>
            <w:tcW w:w="7329" w:type="dxa"/>
            <w:shd w:val="clear" w:color="auto" w:fill="auto"/>
          </w:tcPr>
          <w:p w14:paraId="30DA8688">
            <w:pPr>
              <w:pStyle w:val="150"/>
            </w:pPr>
            <w:r>
              <w:rPr>
                <w:rFonts w:hint="eastAsia"/>
              </w:rPr>
              <w:t>配置杀软检查策略的名称。</w:t>
            </w:r>
          </w:p>
        </w:tc>
      </w:tr>
      <w:tr w14:paraId="0532E7E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0DFBF81E">
            <w:pPr>
              <w:pStyle w:val="150"/>
            </w:pPr>
            <w:r>
              <w:rPr>
                <w:rFonts w:hint="eastAsia"/>
              </w:rPr>
              <w:t>描述</w:t>
            </w:r>
          </w:p>
        </w:tc>
        <w:tc>
          <w:tcPr>
            <w:tcW w:w="7329" w:type="dxa"/>
            <w:shd w:val="clear" w:color="auto" w:fill="auto"/>
          </w:tcPr>
          <w:p w14:paraId="166A4056">
            <w:pPr>
              <w:pStyle w:val="150"/>
            </w:pPr>
            <w:r>
              <w:rPr>
                <w:rFonts w:hint="eastAsia"/>
              </w:rPr>
              <w:t>配置杀软检查策略的简单描述。</w:t>
            </w:r>
          </w:p>
        </w:tc>
      </w:tr>
      <w:tr w14:paraId="34D6EB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0CF664E7">
            <w:pPr>
              <w:pStyle w:val="150"/>
            </w:pPr>
            <w:r>
              <w:rPr>
                <w:rFonts w:hint="eastAsia"/>
              </w:rPr>
              <w:t>用户</w:t>
            </w:r>
          </w:p>
        </w:tc>
        <w:tc>
          <w:tcPr>
            <w:tcW w:w="7329" w:type="dxa"/>
            <w:shd w:val="clear" w:color="auto" w:fill="auto"/>
          </w:tcPr>
          <w:p w14:paraId="6389B44D">
            <w:pPr>
              <w:pStyle w:val="150"/>
            </w:pPr>
            <w:r>
              <w:rPr>
                <w:rFonts w:hint="eastAsia"/>
              </w:rPr>
              <w:t>用户或用户组对象，点击“选择用户”会弹出用户选择框。</w:t>
            </w:r>
          </w:p>
        </w:tc>
      </w:tr>
      <w:tr w14:paraId="4367639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341A4A6B">
            <w:pPr>
              <w:pStyle w:val="150"/>
            </w:pPr>
            <w:r>
              <w:rPr>
                <w:rFonts w:hint="eastAsia"/>
              </w:rPr>
              <w:t>用户IP</w:t>
            </w:r>
          </w:p>
        </w:tc>
        <w:tc>
          <w:tcPr>
            <w:tcW w:w="7329" w:type="dxa"/>
            <w:shd w:val="clear" w:color="auto" w:fill="auto"/>
          </w:tcPr>
          <w:p w14:paraId="6FA5B6EC">
            <w:pPr>
              <w:pStyle w:val="150"/>
            </w:pPr>
            <w:r>
              <w:rPr>
                <w:rFonts w:hint="eastAsia"/>
              </w:rPr>
              <w:t>可配置匹配策略的用户IP地址。</w:t>
            </w:r>
          </w:p>
        </w:tc>
      </w:tr>
      <w:tr w14:paraId="138129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7064420A">
            <w:pPr>
              <w:pStyle w:val="150"/>
            </w:pPr>
            <w:r>
              <w:t>杀软规则对象</w:t>
            </w:r>
          </w:p>
        </w:tc>
        <w:tc>
          <w:tcPr>
            <w:tcW w:w="7329" w:type="dxa"/>
            <w:shd w:val="clear" w:color="auto" w:fill="auto"/>
          </w:tcPr>
          <w:p w14:paraId="51465D96">
            <w:pPr>
              <w:pStyle w:val="150"/>
            </w:pPr>
            <w:r>
              <w:rPr>
                <w:rFonts w:hint="eastAsia"/>
              </w:rPr>
              <w:t>可以勾选已创建的杀软规则对象，也可以点击新建创建杀软规则对象。最多一条策略中可以引用4个杀软规则对象。</w:t>
            </w:r>
          </w:p>
        </w:tc>
      </w:tr>
    </w:tbl>
    <w:p w14:paraId="5D1B02DB"/>
    <w:p w14:paraId="7049841E">
      <w:pPr>
        <w:pStyle w:val="4"/>
      </w:pPr>
      <w:bookmarkStart w:id="5953" w:name="_Toc194081034"/>
      <w:bookmarkStart w:id="5954" w:name="_Toc172218542"/>
      <w:bookmarkStart w:id="5955" w:name="_Toc196728366"/>
      <w:r>
        <w:rPr>
          <w:rFonts w:hint="eastAsia"/>
        </w:rPr>
        <w:t>查看杀软检查结果</w:t>
      </w:r>
      <w:bookmarkEnd w:id="5953"/>
      <w:bookmarkEnd w:id="5954"/>
      <w:bookmarkEnd w:id="5955"/>
    </w:p>
    <w:p w14:paraId="4F5E56B4">
      <w:r>
        <w:rPr>
          <w:rFonts w:hint="eastAsia"/>
        </w:rPr>
        <w:t>如果终端未安装策略配置的杀毒软件，当访问网页时流量经过设备，且匹配到对应的杀软检查策略，系统会记录检查结果。</w:t>
      </w:r>
    </w:p>
    <w:p w14:paraId="71310F21">
      <w:pPr>
        <w:pStyle w:val="202"/>
        <w:rPr>
          <w:lang w:eastAsia="zh-CN"/>
        </w:rPr>
      </w:pPr>
      <w:r>
        <w:rPr>
          <w:rFonts w:hint="eastAsia"/>
          <w:lang w:eastAsia="zh-CN"/>
        </w:rPr>
        <w:t xml:space="preserve">在导航栏中选择“策略配置 &gt;杀软检查管理&gt;合规状态监控”，可以查看合规状态监控页面。详情请参见 </w:t>
      </w:r>
      <w:r>
        <w:fldChar w:fldCharType="begin"/>
      </w:r>
      <w:r>
        <w:rPr>
          <w:lang w:eastAsia="zh-CN"/>
        </w:rPr>
        <w:instrText xml:space="preserve"> REF _Ref168589447 \h </w:instrText>
      </w:r>
      <w:r>
        <w:fldChar w:fldCharType="separate"/>
      </w:r>
      <w:r>
        <w:rPr>
          <w:rFonts w:hint="eastAsia"/>
          <w:lang w:eastAsia="zh-CN"/>
        </w:rPr>
        <w:t>查看合规状态监控</w:t>
      </w:r>
      <w:r>
        <w:fldChar w:fldCharType="end"/>
      </w:r>
      <w:r>
        <w:rPr>
          <w:rFonts w:hint="eastAsia"/>
          <w:lang w:eastAsia="zh-CN"/>
        </w:rPr>
        <w:t>。</w:t>
      </w:r>
    </w:p>
    <w:p w14:paraId="021E59BB">
      <w:pPr>
        <w:pStyle w:val="202"/>
        <w:rPr>
          <w:lang w:eastAsia="zh-CN"/>
        </w:rPr>
      </w:pPr>
      <w:r>
        <w:rPr>
          <w:rFonts w:hint="eastAsia"/>
          <w:lang w:eastAsia="zh-CN"/>
        </w:rPr>
        <w:t>在导航栏中选择“系统监控 &gt;</w:t>
      </w:r>
      <w:r>
        <w:rPr>
          <w:lang w:eastAsia="zh-CN"/>
        </w:rPr>
        <w:t xml:space="preserve"> </w:t>
      </w:r>
      <w:r>
        <w:rPr>
          <w:rFonts w:hint="eastAsia"/>
          <w:lang w:eastAsia="zh-CN"/>
        </w:rPr>
        <w:t>在线用户”，进入在线用户页面，可以查看在线用户的</w:t>
      </w:r>
      <w:r>
        <w:rPr>
          <w:lang w:eastAsia="zh-CN"/>
        </w:rPr>
        <w:t>杀软合规状态</w:t>
      </w:r>
      <w:r>
        <w:rPr>
          <w:rFonts w:hint="eastAsia"/>
          <w:lang w:eastAsia="zh-CN"/>
        </w:rPr>
        <w:t>。</w:t>
      </w:r>
    </w:p>
    <w:p w14:paraId="61650E68">
      <w:pPr>
        <w:pStyle w:val="188"/>
      </w:pPr>
      <w:r>
        <w:t>查看在线用户杀软合规状态</w:t>
      </w:r>
    </w:p>
    <w:p w14:paraId="7CE6A3D1">
      <w:r>
        <w:drawing>
          <wp:inline distT="0" distB="0" distL="0" distR="0">
            <wp:extent cx="5805170" cy="1096645"/>
            <wp:effectExtent l="0" t="0" r="5080" b="8255"/>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56"/>
                    <pic:cNvPicPr>
                      <a:picLocks noChangeAspect="1"/>
                    </pic:cNvPicPr>
                  </pic:nvPicPr>
                  <pic:blipFill>
                    <a:blip r:embed="rId756"/>
                    <a:stretch>
                      <a:fillRect/>
                    </a:stretch>
                  </pic:blipFill>
                  <pic:spPr>
                    <a:xfrm>
                      <a:off x="0" y="0"/>
                      <a:ext cx="5816191" cy="1098795"/>
                    </a:xfrm>
                    <a:prstGeom prst="rect">
                      <a:avLst/>
                    </a:prstGeom>
                  </pic:spPr>
                </pic:pic>
              </a:graphicData>
            </a:graphic>
          </wp:inline>
        </w:drawing>
      </w:r>
    </w:p>
    <w:p w14:paraId="37277952"/>
    <w:p w14:paraId="006603F4">
      <w:r>
        <w:rPr>
          <w:rFonts w:hint="eastAsia"/>
        </w:rPr>
        <w:t>不在检测范围内的用户，合规检查结果显示“-”，在检测范围内的用户，合规检查结果显示“合规/不合规”。</w:t>
      </w:r>
    </w:p>
    <w:p w14:paraId="64B24DDA">
      <w:pPr>
        <w:pStyle w:val="4"/>
      </w:pPr>
      <w:bookmarkStart w:id="5956" w:name="_Toc172218543"/>
      <w:bookmarkStart w:id="5957" w:name="_Ref168590489"/>
      <w:bookmarkStart w:id="5958" w:name="_Toc196728367"/>
      <w:bookmarkStart w:id="5959" w:name="_Toc194081035"/>
      <w:r>
        <w:rPr>
          <w:rFonts w:hint="eastAsia"/>
        </w:rPr>
        <w:t>推送重定向页面</w:t>
      </w:r>
      <w:bookmarkEnd w:id="5956"/>
      <w:bookmarkEnd w:id="5957"/>
      <w:bookmarkEnd w:id="5958"/>
      <w:bookmarkEnd w:id="5959"/>
    </w:p>
    <w:p w14:paraId="27619677">
      <w:r>
        <w:rPr>
          <w:rFonts w:hint="eastAsia"/>
        </w:rPr>
        <w:t>如果杀软规则对象中的违规处理方式配置为“定期重定向至指定网址修复”，通过检测到不合规的终端访问HTTP页面时，会弹出杀软规则对象中配置的重定向页面，可通过重定向页面下载安装相关杀毒软件，进行修复。如下图所示。</w:t>
      </w:r>
    </w:p>
    <w:p w14:paraId="65D6152A">
      <w:r>
        <w:drawing>
          <wp:inline distT="0" distB="0" distL="0" distR="0">
            <wp:extent cx="5106670" cy="2542540"/>
            <wp:effectExtent l="0" t="0" r="0" b="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pic:cNvPicPr>
                      <a:picLocks noChangeAspect="1"/>
                    </pic:cNvPicPr>
                  </pic:nvPicPr>
                  <pic:blipFill>
                    <a:blip r:embed="rId757"/>
                    <a:stretch>
                      <a:fillRect/>
                    </a:stretch>
                  </pic:blipFill>
                  <pic:spPr>
                    <a:xfrm>
                      <a:off x="0" y="0"/>
                      <a:ext cx="5115166" cy="2547235"/>
                    </a:xfrm>
                    <a:prstGeom prst="rect">
                      <a:avLst/>
                    </a:prstGeom>
                  </pic:spPr>
                </pic:pic>
              </a:graphicData>
            </a:graphic>
          </wp:inline>
        </w:drawing>
      </w:r>
    </w:p>
    <w:p w14:paraId="08503C46"/>
    <w:p w14:paraId="0924F9C3">
      <w:pPr>
        <w:jc w:val="left"/>
      </w:pPr>
      <w:r>
        <w:br w:type="page"/>
      </w:r>
    </w:p>
    <w:p w14:paraId="6A8E6762">
      <w:pPr>
        <w:pStyle w:val="3"/>
      </w:pPr>
      <w:bookmarkStart w:id="5960" w:name="_Toc194081036"/>
      <w:bookmarkStart w:id="5961" w:name="_Toc172218544"/>
      <w:bookmarkStart w:id="5962" w:name="_Toc196728368"/>
      <w:r>
        <w:t>防翻墙配置</w:t>
      </w:r>
      <w:bookmarkEnd w:id="5960"/>
      <w:bookmarkEnd w:id="5961"/>
      <w:bookmarkEnd w:id="5962"/>
    </w:p>
    <w:p w14:paraId="7421079F">
      <w:pPr>
        <w:pStyle w:val="4"/>
      </w:pPr>
      <w:bookmarkStart w:id="5963" w:name="_Toc172218545"/>
      <w:bookmarkStart w:id="5964" w:name="_Toc194081037"/>
      <w:bookmarkStart w:id="5965" w:name="_Toc196728369"/>
      <w:r>
        <w:rPr>
          <w:rFonts w:hint="eastAsia"/>
        </w:rPr>
        <w:t>概述</w:t>
      </w:r>
      <w:bookmarkEnd w:id="5963"/>
      <w:bookmarkEnd w:id="5964"/>
      <w:bookmarkEnd w:id="5965"/>
    </w:p>
    <w:p w14:paraId="322E439E">
      <w:r>
        <w:rPr>
          <w:rFonts w:hint="eastAsia"/>
        </w:rPr>
        <w:t>翻墙”又称“破网”，是指通过虚拟专用网络（VPN）技术规避国家网络监管，突破IP封锁、内容过滤、域名劫持、流量限制等，非法访问被国家禁止的国际网站行为。简言之，“翻墙”就是绕过国家网络监管，访问那些被屏蔽的网站，属于违法行为。</w:t>
      </w:r>
    </w:p>
    <w:p w14:paraId="33E4CAC2">
      <w:r>
        <w:t>因此</w:t>
      </w:r>
      <w:r>
        <w:rPr>
          <w:rFonts w:hint="eastAsia"/>
        </w:rPr>
        <w:t>，</w:t>
      </w:r>
      <w:r>
        <w:t>需要对网络中的</w:t>
      </w:r>
      <w:r>
        <w:rPr>
          <w:rFonts w:hint="eastAsia"/>
        </w:rPr>
        <w:t>“翻墙”行为进行有效识别、阻断，并能直观呈现“翻墙”行为，助力监管单位进行监控分析及行为溯源，实现防翻墙。</w:t>
      </w:r>
    </w:p>
    <w:p w14:paraId="6B433D74">
      <w:r>
        <w:rPr>
          <w:rFonts w:hint="eastAsia"/>
        </w:rPr>
        <w:t>设备支持防翻墙功能，通过海外I</w:t>
      </w:r>
      <w:r>
        <w:t>P</w:t>
      </w:r>
      <w:r>
        <w:rPr>
          <w:rFonts w:hint="eastAsia"/>
        </w:rPr>
        <w:t>库，D</w:t>
      </w:r>
      <w:r>
        <w:t>NS</w:t>
      </w:r>
      <w:r>
        <w:rPr>
          <w:rFonts w:hint="eastAsia"/>
        </w:rPr>
        <w:t>及其他方式对翻墙流量进行识别并控制翻墙行为，可有效识别“自由门”、“蓝灯”等翻墙软件。同时对设备产生的防翻墙日志进行分析和展示，精准记录各种违规行为，对防翻墙行为进行有效回溯，规避网络风险。</w:t>
      </w:r>
    </w:p>
    <w:p w14:paraId="0D998833">
      <w:pPr>
        <w:pStyle w:val="4"/>
      </w:pPr>
      <w:bookmarkStart w:id="5966" w:name="_Toc194081038"/>
      <w:bookmarkStart w:id="5967" w:name="_Toc172218546"/>
      <w:bookmarkStart w:id="5968" w:name="_Toc196728370"/>
      <w:r>
        <w:rPr>
          <w:rFonts w:hint="eastAsia"/>
        </w:rPr>
        <w:t>配置防翻墙</w:t>
      </w:r>
      <w:bookmarkEnd w:id="5966"/>
      <w:bookmarkEnd w:id="5967"/>
      <w:bookmarkEnd w:id="5968"/>
    </w:p>
    <w:p w14:paraId="560AC625">
      <w:pPr>
        <w:pStyle w:val="202"/>
      </w:pPr>
      <w:r>
        <w:t>配置防翻墙</w:t>
      </w:r>
    </w:p>
    <w:p w14:paraId="76606D6D">
      <w:r>
        <w:rPr>
          <w:rFonts w:hint="eastAsia"/>
        </w:rPr>
        <w:t>通过菜单“策略配置 &gt; 防翻墙配置”，进入防翻墙配置页面。</w:t>
      </w:r>
    </w:p>
    <w:p w14:paraId="6C52F5B1">
      <w:pPr>
        <w:pStyle w:val="188"/>
      </w:pPr>
      <w:r>
        <w:rPr>
          <w:rFonts w:hint="eastAsia"/>
        </w:rPr>
        <w:t>防翻墙配置页面</w:t>
      </w:r>
    </w:p>
    <w:p w14:paraId="45A87452">
      <w:pPr>
        <w:pStyle w:val="175"/>
      </w:pPr>
      <w:r>
        <w:drawing>
          <wp:inline distT="0" distB="0" distL="0" distR="0">
            <wp:extent cx="3905250" cy="3415665"/>
            <wp:effectExtent l="0" t="0" r="0" b="0"/>
            <wp:docPr id="1296485333" name="图片 1296485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33" name="图片 1296485333"/>
                    <pic:cNvPicPr>
                      <a:picLocks noChangeAspect="1"/>
                    </pic:cNvPicPr>
                  </pic:nvPicPr>
                  <pic:blipFill>
                    <a:blip r:embed="rId758"/>
                    <a:stretch>
                      <a:fillRect/>
                    </a:stretch>
                  </pic:blipFill>
                  <pic:spPr>
                    <a:xfrm>
                      <a:off x="0" y="0"/>
                      <a:ext cx="3919350" cy="3428160"/>
                    </a:xfrm>
                    <a:prstGeom prst="rect">
                      <a:avLst/>
                    </a:prstGeom>
                  </pic:spPr>
                </pic:pic>
              </a:graphicData>
            </a:graphic>
          </wp:inline>
        </w:drawing>
      </w:r>
    </w:p>
    <w:p w14:paraId="6A8352B7"/>
    <w:p w14:paraId="4B092A05">
      <w:pPr>
        <w:pStyle w:val="183"/>
      </w:pPr>
      <w:r>
        <w:rPr>
          <w:rFonts w:hint="eastAsia"/>
        </w:rPr>
        <w:t>防翻墙详细配置说明</w:t>
      </w:r>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923"/>
        <w:gridCol w:w="7091"/>
      </w:tblGrid>
      <w:tr w14:paraId="18F012C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23" w:type="dxa"/>
            <w:tcBorders>
              <w:tl2br w:val="nil"/>
              <w:tr2bl w:val="nil"/>
            </w:tcBorders>
            <w:shd w:val="clear" w:color="auto" w:fill="538135" w:themeFill="accent6" w:themeFillShade="BF"/>
            <w:vAlign w:val="center"/>
          </w:tcPr>
          <w:p w14:paraId="399DDF1A">
            <w:pPr>
              <w:pStyle w:val="149"/>
              <w:wordWrap/>
              <w:rPr>
                <w:b/>
                <w:bCs/>
                <w:i w:val="0"/>
                <w:iCs w:val="0"/>
              </w:rPr>
            </w:pPr>
            <w:r>
              <w:rPr>
                <w:rFonts w:hint="eastAsia"/>
                <w:b/>
                <w:bCs/>
                <w:i w:val="0"/>
                <w:iCs w:val="0"/>
              </w:rPr>
              <w:t>标题项</w:t>
            </w:r>
          </w:p>
        </w:tc>
        <w:tc>
          <w:tcPr>
            <w:tcW w:w="7091" w:type="dxa"/>
            <w:tcBorders>
              <w:tl2br w:val="nil"/>
              <w:tr2bl w:val="nil"/>
            </w:tcBorders>
            <w:shd w:val="clear" w:color="auto" w:fill="538135" w:themeFill="accent6" w:themeFillShade="BF"/>
            <w:vAlign w:val="center"/>
          </w:tcPr>
          <w:p w14:paraId="7884C7C0">
            <w:pPr>
              <w:pStyle w:val="149"/>
              <w:wordWrap/>
              <w:rPr>
                <w:b/>
                <w:bCs/>
                <w:i w:val="0"/>
                <w:iCs w:val="0"/>
              </w:rPr>
            </w:pPr>
            <w:r>
              <w:rPr>
                <w:rFonts w:hint="eastAsia"/>
                <w:b/>
                <w:bCs/>
                <w:i w:val="0"/>
                <w:iCs w:val="0"/>
              </w:rPr>
              <w:t>说明</w:t>
            </w:r>
          </w:p>
        </w:tc>
      </w:tr>
      <w:tr w14:paraId="06A61F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23" w:type="dxa"/>
            <w:shd w:val="clear" w:color="auto" w:fill="auto"/>
          </w:tcPr>
          <w:p w14:paraId="4D0C2F48">
            <w:pPr>
              <w:pStyle w:val="150"/>
            </w:pPr>
            <w:r>
              <w:rPr>
                <w:rFonts w:hint="eastAsia"/>
              </w:rPr>
              <w:t>启用</w:t>
            </w:r>
          </w:p>
        </w:tc>
        <w:tc>
          <w:tcPr>
            <w:tcW w:w="7091" w:type="dxa"/>
            <w:shd w:val="clear" w:color="auto" w:fill="auto"/>
          </w:tcPr>
          <w:p w14:paraId="677ECDB2">
            <w:pPr>
              <w:pStyle w:val="150"/>
            </w:pPr>
            <w:r>
              <w:rPr>
                <w:rFonts w:hint="eastAsia"/>
              </w:rPr>
              <w:t>启用防翻墙功能，默认不勾选。</w:t>
            </w:r>
          </w:p>
        </w:tc>
      </w:tr>
      <w:tr w14:paraId="3A2736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23" w:type="dxa"/>
            <w:shd w:val="clear" w:color="auto" w:fill="auto"/>
          </w:tcPr>
          <w:p w14:paraId="2E04D2F6">
            <w:pPr>
              <w:pStyle w:val="150"/>
            </w:pPr>
            <w:r>
              <w:rPr>
                <w:rFonts w:hint="eastAsia"/>
              </w:rPr>
              <w:t>日志</w:t>
            </w:r>
          </w:p>
        </w:tc>
        <w:tc>
          <w:tcPr>
            <w:tcW w:w="7091" w:type="dxa"/>
            <w:shd w:val="clear" w:color="auto" w:fill="auto"/>
          </w:tcPr>
          <w:p w14:paraId="0A1DF406">
            <w:pPr>
              <w:pStyle w:val="150"/>
            </w:pPr>
            <w:r>
              <w:rPr>
                <w:rFonts w:hint="eastAsia"/>
              </w:rPr>
              <w:t>翻墙识别日志是否记录，默认不勾选。</w:t>
            </w:r>
          </w:p>
        </w:tc>
      </w:tr>
      <w:tr w14:paraId="48011B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23" w:type="dxa"/>
            <w:shd w:val="clear" w:color="auto" w:fill="auto"/>
          </w:tcPr>
          <w:p w14:paraId="0D69D3BC">
            <w:pPr>
              <w:pStyle w:val="150"/>
            </w:pPr>
            <w:r>
              <w:rPr>
                <w:rFonts w:hint="eastAsia"/>
              </w:rPr>
              <w:t>检测宽松度</w:t>
            </w:r>
          </w:p>
        </w:tc>
        <w:tc>
          <w:tcPr>
            <w:tcW w:w="7091" w:type="dxa"/>
            <w:shd w:val="clear" w:color="auto" w:fill="auto"/>
          </w:tcPr>
          <w:p w14:paraId="2FEC85F3">
            <w:pPr>
              <w:pStyle w:val="150"/>
            </w:pPr>
            <w:r>
              <w:rPr>
                <w:rFonts w:hint="eastAsia"/>
              </w:rPr>
              <w:t>宽松：用户上有任意代理应用标记，会话有任意代理应用标记，产生日志。</w:t>
            </w:r>
          </w:p>
          <w:p w14:paraId="1FDB8D07">
            <w:pPr>
              <w:pStyle w:val="150"/>
            </w:pPr>
            <w:r>
              <w:rPr>
                <w:rFonts w:hint="eastAsia"/>
              </w:rPr>
              <w:t>适中：用户上有某一代理应用标记，且会话有对应的代理应用标记，产生日志。</w:t>
            </w:r>
          </w:p>
          <w:p w14:paraId="44BDFF8A">
            <w:pPr>
              <w:pStyle w:val="150"/>
            </w:pPr>
            <w:r>
              <w:rPr>
                <w:rFonts w:hint="eastAsia"/>
              </w:rPr>
              <w:t>严格：识别到翻墙应用会话流量后，在适中宽松度的基础上会话满足持续一定时长（默认为300s）或一定流量大小（默认</w:t>
            </w:r>
            <w:r>
              <w:t>20K</w:t>
            </w:r>
            <w:r>
              <w:rPr>
                <w:rFonts w:hint="eastAsia"/>
              </w:rPr>
              <w:t>）产生日志。</w:t>
            </w:r>
          </w:p>
        </w:tc>
      </w:tr>
      <w:tr w14:paraId="0A66CF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54" w:hRule="atLeast"/>
        </w:trPr>
        <w:tc>
          <w:tcPr>
            <w:tcW w:w="1923" w:type="dxa"/>
            <w:shd w:val="clear" w:color="auto" w:fill="auto"/>
          </w:tcPr>
          <w:p w14:paraId="6D7EBF49">
            <w:pPr>
              <w:pStyle w:val="150"/>
            </w:pPr>
            <w:r>
              <w:rPr>
                <w:rFonts w:hint="eastAsia"/>
              </w:rPr>
              <w:t>应用</w:t>
            </w:r>
          </w:p>
        </w:tc>
        <w:tc>
          <w:tcPr>
            <w:tcW w:w="7091" w:type="dxa"/>
            <w:shd w:val="clear" w:color="auto" w:fill="auto"/>
          </w:tcPr>
          <w:p w14:paraId="327D4257">
            <w:pPr>
              <w:pStyle w:val="150"/>
            </w:pPr>
            <w:r>
              <w:rPr>
                <w:rFonts w:hint="eastAsia"/>
              </w:rPr>
              <w:t>主要为网络代理应用类。</w:t>
            </w:r>
          </w:p>
        </w:tc>
      </w:tr>
      <w:tr w14:paraId="6F90885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54" w:hRule="atLeast"/>
        </w:trPr>
        <w:tc>
          <w:tcPr>
            <w:tcW w:w="1923" w:type="dxa"/>
            <w:shd w:val="clear" w:color="auto" w:fill="auto"/>
          </w:tcPr>
          <w:p w14:paraId="2544C75E">
            <w:pPr>
              <w:pStyle w:val="150"/>
            </w:pPr>
            <w:r>
              <w:rPr>
                <w:rFonts w:hint="eastAsia"/>
              </w:rPr>
              <w:t>处理动作</w:t>
            </w:r>
          </w:p>
        </w:tc>
        <w:tc>
          <w:tcPr>
            <w:tcW w:w="7091" w:type="dxa"/>
            <w:shd w:val="clear" w:color="auto" w:fill="auto"/>
          </w:tcPr>
          <w:p w14:paraId="5AA12110">
            <w:pPr>
              <w:pStyle w:val="150"/>
            </w:pPr>
            <w:r>
              <w:rPr>
                <w:rFonts w:hint="eastAsia"/>
              </w:rPr>
              <w:t>允许：只对翻墙行为进行识别，不进行控制。</w:t>
            </w:r>
          </w:p>
          <w:p w14:paraId="727E3A53">
            <w:pPr>
              <w:pStyle w:val="150"/>
            </w:pPr>
            <w:r>
              <w:rPr>
                <w:rFonts w:hint="eastAsia"/>
              </w:rPr>
              <w:t>拒绝：对翻墙行为进行识别后，可以将识别到的应用进行阻断，或者勾选加入黑名单之后对用户整体上网进行控制。</w:t>
            </w:r>
          </w:p>
        </w:tc>
      </w:tr>
      <w:tr w14:paraId="14FA395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46" w:hRule="atLeast"/>
        </w:trPr>
        <w:tc>
          <w:tcPr>
            <w:tcW w:w="1923" w:type="dxa"/>
            <w:shd w:val="clear" w:color="auto" w:fill="auto"/>
          </w:tcPr>
          <w:p w14:paraId="16CBA476">
            <w:pPr>
              <w:pStyle w:val="150"/>
            </w:pPr>
            <w:r>
              <w:rPr>
                <w:rFonts w:hint="eastAsia"/>
              </w:rPr>
              <w:t>启用信任用户</w:t>
            </w:r>
          </w:p>
        </w:tc>
        <w:tc>
          <w:tcPr>
            <w:tcW w:w="7091" w:type="dxa"/>
            <w:shd w:val="clear" w:color="auto" w:fill="auto"/>
          </w:tcPr>
          <w:p w14:paraId="1D710C86">
            <w:pPr>
              <w:pStyle w:val="150"/>
            </w:pPr>
            <w:r>
              <w:rPr>
                <w:rFonts w:hint="eastAsia"/>
              </w:rPr>
              <w:t>勾选后对指定用户不进行翻墙行为的识别和控制。</w:t>
            </w:r>
          </w:p>
        </w:tc>
      </w:tr>
      <w:tr w14:paraId="3FB8C4B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46" w:hRule="atLeast"/>
        </w:trPr>
        <w:tc>
          <w:tcPr>
            <w:tcW w:w="1923" w:type="dxa"/>
            <w:shd w:val="clear" w:color="auto" w:fill="auto"/>
          </w:tcPr>
          <w:p w14:paraId="5E775F9A">
            <w:pPr>
              <w:pStyle w:val="150"/>
            </w:pPr>
            <w:r>
              <w:rPr>
                <w:rFonts w:hint="eastAsia"/>
              </w:rPr>
              <w:t>信任IP</w:t>
            </w:r>
          </w:p>
        </w:tc>
        <w:tc>
          <w:tcPr>
            <w:tcW w:w="7091" w:type="dxa"/>
            <w:shd w:val="clear" w:color="auto" w:fill="auto"/>
          </w:tcPr>
          <w:p w14:paraId="249B8757">
            <w:pPr>
              <w:pStyle w:val="150"/>
            </w:pPr>
            <w:r>
              <w:rPr>
                <w:rFonts w:hint="eastAsia"/>
              </w:rPr>
              <w:t>配置信任IP不进行翻墙行为识别和控制；</w:t>
            </w:r>
          </w:p>
          <w:p w14:paraId="7DA3D9C3">
            <w:pPr>
              <w:pStyle w:val="150"/>
            </w:pPr>
            <w:r>
              <w:rPr>
                <w:rFonts w:hint="eastAsia"/>
              </w:rPr>
              <w:t>信任IP可以支持子网地址、范围地址、主机地址三类方式进行配置。</w:t>
            </w:r>
          </w:p>
          <w:p w14:paraId="11E600C8">
            <w:pPr>
              <w:pStyle w:val="150"/>
            </w:pPr>
            <w:r>
              <w:rPr>
                <w:rFonts w:hint="eastAsia"/>
              </w:rPr>
              <w:t>，针对有误识别或需要放开翻墙用户的场景，可将相关用户或IP设置为信任用户或IP。</w:t>
            </w:r>
          </w:p>
        </w:tc>
      </w:tr>
    </w:tbl>
    <w:p w14:paraId="2E5F3B9B"/>
    <w:p w14:paraId="167E79B6">
      <w:pPr>
        <w:pStyle w:val="202"/>
      </w:pPr>
      <w:r>
        <w:rPr>
          <w:rFonts w:hint="eastAsia"/>
        </w:rPr>
        <w:t>配置日志过滤</w:t>
      </w:r>
    </w:p>
    <w:p w14:paraId="0D0FEAC6">
      <w:r>
        <w:rPr>
          <w:rFonts w:hint="eastAsia"/>
        </w:rPr>
        <w:t>进入“系统管理&gt;系统设定&gt;日志设定&gt;日志过滤”页面，配置翻墙控制日志记录本地。详情请参考</w:t>
      </w:r>
      <w:r>
        <w:fldChar w:fldCharType="begin"/>
      </w:r>
      <w:r>
        <w:instrText xml:space="preserve"> </w:instrText>
      </w:r>
      <w:r>
        <w:rPr>
          <w:rFonts w:hint="eastAsia"/>
        </w:rPr>
        <w:instrText xml:space="preserve">REF _Ref167388332 \h</w:instrText>
      </w:r>
      <w:r>
        <w:instrText xml:space="preserve"> </w:instrText>
      </w:r>
      <w:r>
        <w:fldChar w:fldCharType="separate"/>
      </w:r>
      <w:r>
        <w:rPr>
          <w:rFonts w:hint="eastAsia"/>
        </w:rPr>
        <w:t>配置日志过滤</w:t>
      </w:r>
      <w:r>
        <w:fldChar w:fldCharType="end"/>
      </w:r>
      <w:r>
        <w:rPr>
          <w:rFonts w:hint="eastAsia"/>
        </w:rPr>
        <w:t>。</w:t>
      </w:r>
    </w:p>
    <w:p w14:paraId="36AE757D">
      <w:pPr>
        <w:pStyle w:val="202"/>
        <w:rPr>
          <w:lang w:eastAsia="zh-CN"/>
        </w:rPr>
      </w:pPr>
      <w:r>
        <w:rPr>
          <w:rFonts w:hint="eastAsia"/>
          <w:lang w:eastAsia="zh-CN"/>
        </w:rPr>
        <w:t>升级应用特征库（可选）</w:t>
      </w:r>
    </w:p>
    <w:p w14:paraId="5DDE01CB">
      <w:r>
        <w:rPr>
          <w:rFonts w:hint="eastAsia"/>
        </w:rPr>
        <w:t>防翻墙功能通过代理服务器库对翻墙流量进行识别控制，代理服务器库随应该特征库进行升级，可定期更新应用特征库，详情请参考</w:t>
      </w:r>
      <w:r>
        <w:fldChar w:fldCharType="begin"/>
      </w:r>
      <w:r>
        <w:instrText xml:space="preserve"> REF _Ref167387905 \h </w:instrText>
      </w:r>
      <w:r>
        <w:fldChar w:fldCharType="separate"/>
      </w:r>
      <w:r>
        <w:rPr>
          <w:rFonts w:hint="eastAsia"/>
        </w:rPr>
        <w:t>升级管理</w:t>
      </w:r>
      <w:r>
        <w:fldChar w:fldCharType="end"/>
      </w:r>
      <w:r>
        <w:rPr>
          <w:rFonts w:hint="eastAsia"/>
        </w:rPr>
        <w:t>。</w:t>
      </w:r>
    </w:p>
    <w:p w14:paraId="28F7AA3B">
      <w:r>
        <w:rPr>
          <w:rFonts w:hint="eastAsia"/>
        </w:rPr>
        <w:t>进入“系统管理&gt;系统维护&gt;系统升级”页面，升级包含翻墙行为的应用特征库。</w:t>
      </w:r>
    </w:p>
    <w:p w14:paraId="404A58F9">
      <w:pPr>
        <w:pStyle w:val="202"/>
      </w:pPr>
      <w:r>
        <w:rPr>
          <w:rFonts w:hint="eastAsia"/>
        </w:rPr>
        <w:t>开启翻墙行为分析功能</w:t>
      </w:r>
    </w:p>
    <w:p w14:paraId="7F44237E">
      <w:r>
        <w:rPr>
          <w:rFonts w:hint="eastAsia"/>
        </w:rPr>
        <w:t>进入“数据中心&gt;安全分析&gt;翻墙行为分析”页面，开启翻墙行为分析功能，通过翻墙行为分析页面图表数据展示，可以查看到使用翻墙应用的TOP用户、用户组，以及使用较多的TOP翻墙应用软件。</w:t>
      </w:r>
    </w:p>
    <w:p w14:paraId="74128D36">
      <w:pPr>
        <w:pStyle w:val="188"/>
      </w:pPr>
      <w:r>
        <w:rPr>
          <w:rFonts w:hint="eastAsia"/>
        </w:rPr>
        <w:t>翻墙行为分析</w:t>
      </w:r>
    </w:p>
    <w:p w14:paraId="06C034F3">
      <w:r>
        <w:drawing>
          <wp:inline distT="0" distB="0" distL="0" distR="0">
            <wp:extent cx="5673090" cy="4372610"/>
            <wp:effectExtent l="0" t="0" r="3810" b="8890"/>
            <wp:docPr id="439"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439"/>
                    <pic:cNvPicPr>
                      <a:picLocks noChangeAspect="1"/>
                    </pic:cNvPicPr>
                  </pic:nvPicPr>
                  <pic:blipFill>
                    <a:blip r:embed="rId140"/>
                    <a:stretch>
                      <a:fillRect/>
                    </a:stretch>
                  </pic:blipFill>
                  <pic:spPr>
                    <a:xfrm>
                      <a:off x="0" y="0"/>
                      <a:ext cx="5676526" cy="4375618"/>
                    </a:xfrm>
                    <a:prstGeom prst="rect">
                      <a:avLst/>
                    </a:prstGeom>
                  </pic:spPr>
                </pic:pic>
              </a:graphicData>
            </a:graphic>
          </wp:inline>
        </w:drawing>
      </w:r>
    </w:p>
    <w:p w14:paraId="16BC0A26"/>
    <w:p w14:paraId="46DE0C4D">
      <w:pPr>
        <w:pStyle w:val="202"/>
      </w:pPr>
      <w:r>
        <w:t>查看翻墙控制日志</w:t>
      </w:r>
    </w:p>
    <w:p w14:paraId="4F8ABE2A">
      <w:r>
        <w:rPr>
          <w:rFonts w:hint="eastAsia"/>
        </w:rPr>
        <w:t xml:space="preserve">内网用户通过翻墙软件访问外网时可以识别到对应翻墙应用，进入“数据中心 </w:t>
      </w:r>
      <w:r>
        <w:t>&gt; 日志中心</w:t>
      </w:r>
      <w:r>
        <w:rPr>
          <w:rFonts w:hint="eastAsia"/>
        </w:rPr>
        <w:t xml:space="preserve"> </w:t>
      </w:r>
      <w:r>
        <w:t xml:space="preserve">&gt; </w:t>
      </w:r>
      <w:r>
        <w:rPr>
          <w:rFonts w:hint="eastAsia"/>
        </w:rPr>
        <w:t>翻墙控制日志”可以查看识别到的翻墙日志信息，如下图所示。</w:t>
      </w:r>
    </w:p>
    <w:p w14:paraId="18AE2315">
      <w:pPr>
        <w:pStyle w:val="188"/>
      </w:pPr>
      <w:r>
        <w:rPr>
          <w:rFonts w:hint="eastAsia"/>
        </w:rPr>
        <w:t>翻墙控制日志</w:t>
      </w:r>
    </w:p>
    <w:p w14:paraId="6B849D97">
      <w:pPr>
        <w:pStyle w:val="175"/>
      </w:pPr>
      <w:r>
        <w:drawing>
          <wp:inline distT="0" distB="0" distL="0" distR="0">
            <wp:extent cx="6120765" cy="1880870"/>
            <wp:effectExtent l="0" t="0" r="0" b="5080"/>
            <wp:docPr id="1296485344" name="图片 1296485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44" name="图片 1296485344"/>
                    <pic:cNvPicPr>
                      <a:picLocks noChangeAspect="1"/>
                    </pic:cNvPicPr>
                  </pic:nvPicPr>
                  <pic:blipFill>
                    <a:blip r:embed="rId197"/>
                    <a:stretch>
                      <a:fillRect/>
                    </a:stretch>
                  </pic:blipFill>
                  <pic:spPr>
                    <a:xfrm>
                      <a:off x="0" y="0"/>
                      <a:ext cx="6120765" cy="1880870"/>
                    </a:xfrm>
                    <a:prstGeom prst="rect">
                      <a:avLst/>
                    </a:prstGeom>
                  </pic:spPr>
                </pic:pic>
              </a:graphicData>
            </a:graphic>
          </wp:inline>
        </w:drawing>
      </w:r>
    </w:p>
    <w:p w14:paraId="599E9633"/>
    <w:p w14:paraId="33F5158B">
      <w:pPr>
        <w:pStyle w:val="3"/>
      </w:pPr>
      <w:bookmarkStart w:id="5969" w:name="_Toc4748989"/>
      <w:bookmarkStart w:id="5970" w:name="_Toc23152840"/>
      <w:bookmarkStart w:id="5971" w:name="_Toc40276273"/>
      <w:bookmarkStart w:id="5972" w:name="_Toc196728371"/>
      <w:bookmarkStart w:id="5973" w:name="_Toc99561914"/>
      <w:bookmarkStart w:id="5974" w:name="_Toc194081039"/>
      <w:bookmarkStart w:id="5975" w:name="_Toc12469932"/>
      <w:bookmarkStart w:id="5976" w:name="_Toc15485076"/>
      <w:bookmarkStart w:id="5977" w:name="_Toc172218547"/>
      <w:bookmarkStart w:id="5978" w:name="_Toc141873756"/>
      <w:bookmarkStart w:id="5979" w:name="_Toc142401273"/>
      <w:r>
        <w:rPr>
          <w:rFonts w:hint="eastAsia"/>
        </w:rPr>
        <w:t>全局</w:t>
      </w:r>
      <w:r>
        <w:t>白名单</w:t>
      </w:r>
      <w:bookmarkEnd w:id="5969"/>
      <w:bookmarkEnd w:id="5970"/>
      <w:bookmarkEnd w:id="5971"/>
      <w:bookmarkEnd w:id="5972"/>
      <w:bookmarkEnd w:id="5973"/>
      <w:bookmarkEnd w:id="5974"/>
      <w:bookmarkEnd w:id="5975"/>
      <w:bookmarkEnd w:id="5976"/>
      <w:bookmarkEnd w:id="5977"/>
      <w:bookmarkEnd w:id="5978"/>
      <w:bookmarkEnd w:id="5979"/>
    </w:p>
    <w:p w14:paraId="5C48485E">
      <w:pPr>
        <w:pStyle w:val="4"/>
      </w:pPr>
      <w:bookmarkStart w:id="5980" w:name="_Toc4748990"/>
      <w:bookmarkStart w:id="5981" w:name="_Toc12469933"/>
      <w:bookmarkStart w:id="5982" w:name="_Toc23152841"/>
      <w:bookmarkStart w:id="5983" w:name="_Toc99561915"/>
      <w:bookmarkStart w:id="5984" w:name="_Toc142401274"/>
      <w:bookmarkStart w:id="5985" w:name="_Toc172218548"/>
      <w:bookmarkStart w:id="5986" w:name="_Toc194081040"/>
      <w:bookmarkStart w:id="5987" w:name="_Toc196728372"/>
      <w:bookmarkStart w:id="5988" w:name="_Toc15485077"/>
      <w:bookmarkStart w:id="5989" w:name="_Toc141873757"/>
      <w:r>
        <w:rPr>
          <w:rFonts w:hint="eastAsia"/>
        </w:rPr>
        <w:t>全局</w:t>
      </w:r>
      <w:r>
        <w:t>白名单</w:t>
      </w:r>
      <w:r>
        <w:rPr>
          <w:rFonts w:hint="eastAsia"/>
        </w:rPr>
        <w:t>简介</w:t>
      </w:r>
      <w:bookmarkEnd w:id="5980"/>
      <w:bookmarkEnd w:id="5981"/>
      <w:bookmarkEnd w:id="5982"/>
      <w:bookmarkEnd w:id="5983"/>
      <w:bookmarkEnd w:id="5984"/>
      <w:bookmarkEnd w:id="5985"/>
      <w:bookmarkEnd w:id="5986"/>
      <w:bookmarkEnd w:id="5987"/>
      <w:bookmarkEnd w:id="5988"/>
      <w:bookmarkEnd w:id="5989"/>
    </w:p>
    <w:p w14:paraId="5C0D13F1">
      <w:r>
        <w:rPr>
          <w:rFonts w:hint="eastAsia"/>
        </w:rPr>
        <w:t>当前的网络环境中，出于信息安全的考虑对用户上网的数据进行控制和审计的限制；但是存在一些特权的用户（高层领导、特权管理员），他们不希望自己上网的数据被限制或者被审计；全局白名单可以针对特殊用户排除这些繁琐的策略审计，实现数据全放通。</w:t>
      </w:r>
    </w:p>
    <w:p w14:paraId="7CC2DD90">
      <w:r>
        <w:rPr>
          <w:rFonts w:hint="eastAsia"/>
        </w:rPr>
        <w:t>全局白名单基于源IP地址、目的IP地址、域名或源MAC地址进行匹配，匹配的用户不受黑名单、认证策略、控制策略、流量控制策略、用户限额策略、会话控制策略的控制。</w:t>
      </w:r>
    </w:p>
    <w:p w14:paraId="5ABAD56C">
      <w:pPr>
        <w:pStyle w:val="4"/>
      </w:pPr>
      <w:bookmarkStart w:id="5990" w:name="_Toc15485078"/>
      <w:bookmarkStart w:id="5991" w:name="_Toc23152842"/>
      <w:bookmarkStart w:id="5992" w:name="_Toc99561916"/>
      <w:bookmarkStart w:id="5993" w:name="_Toc142401275"/>
      <w:bookmarkStart w:id="5994" w:name="_Toc172218549"/>
      <w:bookmarkStart w:id="5995" w:name="_Toc141873758"/>
      <w:bookmarkStart w:id="5996" w:name="_Toc194081041"/>
      <w:bookmarkStart w:id="5997" w:name="_Toc4748991"/>
      <w:bookmarkStart w:id="5998" w:name="_Toc12469934"/>
      <w:bookmarkStart w:id="5999" w:name="_Toc196728373"/>
      <w:r>
        <w:rPr>
          <w:rFonts w:hint="eastAsia"/>
        </w:rPr>
        <w:t>配置全局</w:t>
      </w:r>
      <w:r>
        <w:t>白名单</w:t>
      </w:r>
      <w:bookmarkEnd w:id="5990"/>
      <w:bookmarkEnd w:id="5991"/>
      <w:bookmarkEnd w:id="5992"/>
      <w:bookmarkEnd w:id="5993"/>
      <w:bookmarkEnd w:id="5994"/>
      <w:bookmarkEnd w:id="5995"/>
      <w:bookmarkEnd w:id="5996"/>
      <w:bookmarkEnd w:id="5997"/>
      <w:bookmarkEnd w:id="5998"/>
      <w:bookmarkEnd w:id="5999"/>
    </w:p>
    <w:p w14:paraId="4C9A70AB">
      <w:pPr>
        <w:pStyle w:val="202"/>
        <w:rPr>
          <w:lang w:eastAsia="zh-CN"/>
        </w:rPr>
      </w:pPr>
      <w:r>
        <w:rPr>
          <w:rFonts w:hint="eastAsia"/>
          <w:lang w:eastAsia="zh-CN"/>
        </w:rPr>
        <w:t>通过菜单“策略配置</w:t>
      </w:r>
      <w:r>
        <w:rPr>
          <w:lang w:eastAsia="zh-CN"/>
        </w:rPr>
        <w:t xml:space="preserve"> &gt; </w:t>
      </w:r>
      <w:r>
        <w:rPr>
          <w:rFonts w:hint="eastAsia"/>
          <w:lang w:eastAsia="zh-CN"/>
        </w:rPr>
        <w:t>全局</w:t>
      </w:r>
      <w:r>
        <w:rPr>
          <w:lang w:eastAsia="zh-CN"/>
        </w:rPr>
        <w:t>白名单</w:t>
      </w:r>
      <w:r>
        <w:rPr>
          <w:rFonts w:hint="eastAsia"/>
          <w:lang w:eastAsia="zh-CN"/>
        </w:rPr>
        <w:t>”，查看设备上已有的全局白名单。</w:t>
      </w:r>
    </w:p>
    <w:p w14:paraId="5BE12131">
      <w:pPr>
        <w:pStyle w:val="202"/>
        <w:rPr>
          <w:lang w:eastAsia="zh-CN"/>
        </w:rPr>
      </w:pPr>
      <w:r>
        <w:rPr>
          <w:rFonts w:hint="eastAsia"/>
          <w:lang w:eastAsia="zh-CN"/>
        </w:rPr>
        <w:t>勾选状态为“启用”的白名单，点击&lt;禁用&gt;，在弹出的对话框中点击&lt;确定&gt;可禁用该白名单；勾选状态为“禁用”的白名单，点击&lt;启用&gt;，在弹出的对话框中点击&lt;确定&gt;可启用该白名单。</w:t>
      </w:r>
    </w:p>
    <w:p w14:paraId="66C3432B">
      <w:pPr>
        <w:pStyle w:val="188"/>
      </w:pPr>
      <w:bookmarkStart w:id="6000" w:name="_Toc141875162"/>
      <w:bookmarkStart w:id="6001" w:name="_Ref5813508"/>
      <w:r>
        <w:rPr>
          <w:rFonts w:hint="eastAsia"/>
        </w:rPr>
        <w:t>全局</w:t>
      </w:r>
      <w:r>
        <w:t>白名单</w:t>
      </w:r>
      <w:r>
        <w:rPr>
          <w:rFonts w:hint="eastAsia"/>
        </w:rPr>
        <w:t>配置页面</w:t>
      </w:r>
      <w:bookmarkEnd w:id="6000"/>
      <w:bookmarkEnd w:id="6001"/>
    </w:p>
    <w:p w14:paraId="6BF4B7D0">
      <w:r>
        <w:drawing>
          <wp:inline distT="0" distB="0" distL="0" distR="0">
            <wp:extent cx="5400040" cy="967740"/>
            <wp:effectExtent l="0" t="0" r="0" b="3810"/>
            <wp:docPr id="862" name="图片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图片 862"/>
                    <pic:cNvPicPr>
                      <a:picLocks noChangeAspect="1"/>
                    </pic:cNvPicPr>
                  </pic:nvPicPr>
                  <pic:blipFill>
                    <a:blip r:embed="rId759"/>
                    <a:stretch>
                      <a:fillRect/>
                    </a:stretch>
                  </pic:blipFill>
                  <pic:spPr>
                    <a:xfrm>
                      <a:off x="0" y="0"/>
                      <a:ext cx="5400040" cy="968175"/>
                    </a:xfrm>
                    <a:prstGeom prst="rect">
                      <a:avLst/>
                    </a:prstGeom>
                  </pic:spPr>
                </pic:pic>
              </a:graphicData>
            </a:graphic>
          </wp:inline>
        </w:drawing>
      </w:r>
    </w:p>
    <w:p w14:paraId="263C95AF"/>
    <w:p w14:paraId="7D471C6F">
      <w:pPr>
        <w:spacing w:before="156" w:after="156"/>
        <w:ind w:left="900"/>
      </w:pPr>
      <w:r>
        <w:rPr>
          <w:rFonts w:hint="eastAsia"/>
        </w:rPr>
        <w:t>点击</w:t>
      </w:r>
      <w:r>
        <w:t>&lt;</w:t>
      </w:r>
      <w:r>
        <w:rPr>
          <w:rFonts w:hint="eastAsia"/>
        </w:rPr>
        <w:t>新建</w:t>
      </w:r>
      <w:r>
        <w:t>&gt;</w:t>
      </w:r>
      <w:r>
        <w:rPr>
          <w:rFonts w:hint="eastAsia"/>
        </w:rPr>
        <w:t>按钮，可以进入全局白名单配置界面，如</w:t>
      </w:r>
      <w:r>
        <w:fldChar w:fldCharType="begin"/>
      </w:r>
      <w:r>
        <w:instrText xml:space="preserve"> </w:instrText>
      </w:r>
      <w:r>
        <w:rPr>
          <w:rFonts w:hint="eastAsia"/>
        </w:rPr>
        <w:instrText xml:space="preserve">REF _Ref28079367 \r \h</w:instrText>
      </w:r>
      <w:r>
        <w:instrText xml:space="preserve"> </w:instrText>
      </w:r>
      <w:r>
        <w:fldChar w:fldCharType="separate"/>
      </w:r>
      <w:r>
        <w:rPr>
          <w:rFonts w:hint="eastAsia"/>
        </w:rPr>
        <w:t>图27-2</w:t>
      </w:r>
      <w:r>
        <w:fldChar w:fldCharType="end"/>
      </w:r>
      <w:r>
        <w:rPr>
          <w:rFonts w:hint="eastAsia"/>
        </w:rPr>
        <w:t>所示。各个配置项的含义如</w:t>
      </w:r>
      <w:r>
        <w:fldChar w:fldCharType="begin"/>
      </w:r>
      <w:r>
        <w:instrText xml:space="preserve"> </w:instrText>
      </w:r>
      <w:r>
        <w:rPr>
          <w:rFonts w:hint="eastAsia"/>
        </w:rPr>
        <w:instrText xml:space="preserve">REF _Ref28087029 \r \h</w:instrText>
      </w:r>
      <w:r>
        <w:instrText xml:space="preserve"> </w:instrText>
      </w:r>
      <w:r>
        <w:fldChar w:fldCharType="separate"/>
      </w:r>
      <w:r>
        <w:rPr>
          <w:rFonts w:hint="eastAsia"/>
        </w:rPr>
        <w:t>表27-1</w:t>
      </w:r>
      <w:r>
        <w:fldChar w:fldCharType="end"/>
      </w:r>
      <w:r>
        <w:rPr>
          <w:rFonts w:hint="eastAsia"/>
        </w:rPr>
        <w:t>所示。</w:t>
      </w:r>
    </w:p>
    <w:p w14:paraId="2C1AC191">
      <w:pPr>
        <w:pStyle w:val="188"/>
      </w:pPr>
      <w:bookmarkStart w:id="6002" w:name="_Toc141875163"/>
      <w:bookmarkStart w:id="6003" w:name="_Ref28079367"/>
      <w:r>
        <w:rPr>
          <w:rFonts w:hint="eastAsia"/>
        </w:rPr>
        <w:t>全局白名单配置页面</w:t>
      </w:r>
      <w:bookmarkEnd w:id="6002"/>
    </w:p>
    <w:bookmarkEnd w:id="6003"/>
    <w:p w14:paraId="1980993E">
      <w:pPr>
        <w:spacing w:before="78" w:after="78"/>
      </w:pPr>
      <w:r>
        <w:drawing>
          <wp:inline distT="0" distB="0" distL="0" distR="0">
            <wp:extent cx="5400040" cy="3568700"/>
            <wp:effectExtent l="0" t="0" r="0" b="0"/>
            <wp:docPr id="296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3" name="图片 21"/>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a:xfrm>
                      <a:off x="0" y="0"/>
                      <a:ext cx="5400040" cy="3569024"/>
                    </a:xfrm>
                    <a:prstGeom prst="rect">
                      <a:avLst/>
                    </a:prstGeom>
                    <a:noFill/>
                    <a:ln>
                      <a:noFill/>
                    </a:ln>
                  </pic:spPr>
                </pic:pic>
              </a:graphicData>
            </a:graphic>
          </wp:inline>
        </w:drawing>
      </w:r>
    </w:p>
    <w:p w14:paraId="75839086"/>
    <w:p w14:paraId="534C5CF0">
      <w:pPr>
        <w:pStyle w:val="183"/>
      </w:pPr>
      <w:bookmarkStart w:id="6004" w:name="_Toc141875718"/>
      <w:bookmarkStart w:id="6005" w:name="_Ref28087029"/>
      <w:r>
        <w:rPr>
          <w:rFonts w:hint="eastAsia"/>
        </w:rPr>
        <w:t>全局</w:t>
      </w:r>
      <w:r>
        <w:t>白名单</w:t>
      </w:r>
      <w:r>
        <w:rPr>
          <w:rFonts w:hint="eastAsia"/>
        </w:rPr>
        <w:t>配置项含义表</w:t>
      </w:r>
      <w:bookmarkEnd w:id="6004"/>
      <w:bookmarkEnd w:id="6005"/>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639"/>
        <w:gridCol w:w="7375"/>
      </w:tblGrid>
      <w:tr w14:paraId="746EF8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tcBorders>
              <w:tl2br w:val="nil"/>
              <w:tr2bl w:val="nil"/>
            </w:tcBorders>
            <w:shd w:val="clear" w:color="auto" w:fill="538135" w:themeFill="accent6" w:themeFillShade="BF"/>
            <w:vAlign w:val="center"/>
          </w:tcPr>
          <w:p w14:paraId="3396518F">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375" w:type="dxa"/>
            <w:tcBorders>
              <w:tl2br w:val="nil"/>
              <w:tr2bl w:val="nil"/>
            </w:tcBorders>
            <w:shd w:val="clear" w:color="auto" w:fill="538135" w:themeFill="accent6" w:themeFillShade="BF"/>
            <w:vAlign w:val="center"/>
          </w:tcPr>
          <w:p w14:paraId="28C3A3C8">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37EF4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603CBC4B">
            <w:pPr>
              <w:pStyle w:val="150"/>
            </w:pPr>
            <w:r>
              <w:rPr>
                <w:rFonts w:hint="eastAsia"/>
              </w:rPr>
              <w:t>启用</w:t>
            </w:r>
          </w:p>
        </w:tc>
        <w:tc>
          <w:tcPr>
            <w:tcW w:w="7375" w:type="dxa"/>
            <w:shd w:val="clear" w:color="auto" w:fill="auto"/>
          </w:tcPr>
          <w:p w14:paraId="151075AC">
            <w:pPr>
              <w:pStyle w:val="150"/>
            </w:pPr>
            <w:r>
              <w:rPr>
                <w:rFonts w:hint="eastAsia"/>
              </w:rPr>
              <w:t>全局</w:t>
            </w:r>
            <w:r>
              <w:t>白名单策略</w:t>
            </w:r>
            <w:r>
              <w:rPr>
                <w:rFonts w:hint="eastAsia"/>
              </w:rPr>
              <w:t>是否启用</w:t>
            </w:r>
            <w:r>
              <w:t>，勾选表示启用，不勾选表示禁用。</w:t>
            </w:r>
          </w:p>
        </w:tc>
      </w:tr>
      <w:tr w14:paraId="5423B1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287A2C09">
            <w:pPr>
              <w:pStyle w:val="150"/>
            </w:pPr>
            <w:r>
              <w:rPr>
                <w:rFonts w:hint="eastAsia"/>
              </w:rPr>
              <w:t>名称</w:t>
            </w:r>
          </w:p>
        </w:tc>
        <w:tc>
          <w:tcPr>
            <w:tcW w:w="7375" w:type="dxa"/>
            <w:shd w:val="clear" w:color="auto" w:fill="auto"/>
          </w:tcPr>
          <w:p w14:paraId="71F80D50">
            <w:pPr>
              <w:pStyle w:val="150"/>
            </w:pPr>
            <w:r>
              <w:rPr>
                <w:rFonts w:hint="eastAsia"/>
              </w:rPr>
              <w:t>全局</w:t>
            </w:r>
            <w:r>
              <w:t>白名单策略的名称</w:t>
            </w:r>
            <w:r>
              <w:rPr>
                <w:rFonts w:hint="eastAsia"/>
              </w:rPr>
              <w:t>，</w:t>
            </w:r>
            <w:r>
              <w:t>必填项</w:t>
            </w:r>
            <w:r>
              <w:rPr>
                <w:rFonts w:hint="eastAsia"/>
              </w:rPr>
              <w:t>。</w:t>
            </w:r>
          </w:p>
        </w:tc>
      </w:tr>
      <w:tr w14:paraId="5952072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7850A93E">
            <w:pPr>
              <w:pStyle w:val="150"/>
            </w:pPr>
            <w:r>
              <w:rPr>
                <w:rFonts w:hint="eastAsia"/>
              </w:rPr>
              <w:t>描述</w:t>
            </w:r>
          </w:p>
        </w:tc>
        <w:tc>
          <w:tcPr>
            <w:tcW w:w="7375" w:type="dxa"/>
            <w:shd w:val="clear" w:color="auto" w:fill="auto"/>
          </w:tcPr>
          <w:p w14:paraId="49799B92">
            <w:pPr>
              <w:pStyle w:val="150"/>
            </w:pPr>
            <w:r>
              <w:rPr>
                <w:rFonts w:hint="eastAsia"/>
              </w:rPr>
              <w:t>全局</w:t>
            </w:r>
            <w:r>
              <w:t>白名单策略的描述，</w:t>
            </w:r>
            <w:r>
              <w:rPr>
                <w:rFonts w:hint="eastAsia"/>
              </w:rPr>
              <w:t>选填项</w:t>
            </w:r>
            <w:r>
              <w:t>。</w:t>
            </w:r>
          </w:p>
        </w:tc>
      </w:tr>
      <w:tr w14:paraId="6636ED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3AEA5311">
            <w:pPr>
              <w:pStyle w:val="150"/>
            </w:pPr>
            <w:r>
              <w:rPr>
                <w:rFonts w:hint="eastAsia"/>
              </w:rPr>
              <w:t>地址</w:t>
            </w:r>
          </w:p>
        </w:tc>
        <w:tc>
          <w:tcPr>
            <w:tcW w:w="7375" w:type="dxa"/>
            <w:shd w:val="clear" w:color="auto" w:fill="auto"/>
          </w:tcPr>
          <w:p w14:paraId="4A818778">
            <w:pPr>
              <w:pStyle w:val="150"/>
            </w:pPr>
            <w:r>
              <w:rPr>
                <w:rFonts w:hint="eastAsia"/>
              </w:rPr>
              <w:t>配置</w:t>
            </w:r>
            <w:r>
              <w:t>全局白名单的地址，</w:t>
            </w:r>
            <w:r>
              <w:rPr>
                <w:rFonts w:hint="eastAsia"/>
              </w:rPr>
              <w:t>可为IPv4、IPv6、MAC地址或域名。最多配置16项，用回车分隔</w:t>
            </w:r>
            <w:r>
              <w:t>。</w:t>
            </w:r>
          </w:p>
        </w:tc>
      </w:tr>
    </w:tbl>
    <w:p w14:paraId="64499D1A"/>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1F189312">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28E3B19D">
            <w:pPr>
              <w:pStyle w:val="150"/>
              <w:adjustRightInd w:val="0"/>
              <w:snapToGrid w:val="0"/>
              <w:rPr>
                <w:color w:val="auto"/>
              </w:rPr>
            </w:pPr>
            <w:r>
              <w:rPr>
                <w:b/>
                <w:color w:val="auto"/>
              </w:rPr>
              <w:drawing>
                <wp:inline distT="0" distB="0" distL="0" distR="0">
                  <wp:extent cx="283210" cy="283210"/>
                  <wp:effectExtent l="0" t="0" r="2540" b="2540"/>
                  <wp:docPr id="887" name="图片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图片 88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0DEA3A7D">
            <w:pPr>
              <w:pStyle w:val="207"/>
              <w:adjustRightInd w:val="0"/>
              <w:snapToGrid w:val="0"/>
              <w:rPr>
                <w:color w:val="auto"/>
                <w:lang w:eastAsia="zh-CN"/>
              </w:rPr>
            </w:pPr>
            <w:r>
              <w:rPr>
                <w:rFonts w:hint="eastAsia"/>
                <w:color w:val="auto"/>
                <w:lang w:eastAsia="zh-CN"/>
              </w:rPr>
              <w:t>全局白名单只对会话中的源IP、域名或源MAC进行匹配。</w:t>
            </w:r>
          </w:p>
          <w:p w14:paraId="4221A08A">
            <w:pPr>
              <w:pStyle w:val="207"/>
              <w:adjustRightInd w:val="0"/>
              <w:snapToGrid w:val="0"/>
              <w:rPr>
                <w:color w:val="auto"/>
                <w:lang w:eastAsia="zh-CN"/>
              </w:rPr>
            </w:pPr>
            <w:r>
              <w:rPr>
                <w:rFonts w:hint="eastAsia"/>
                <w:color w:val="auto"/>
                <w:lang w:eastAsia="zh-CN"/>
              </w:rPr>
              <w:t>配置全局白名单的用户仅做会话识别，不做其他控制策略。</w:t>
            </w:r>
          </w:p>
        </w:tc>
      </w:tr>
    </w:tbl>
    <w:p w14:paraId="14246214">
      <w:pPr>
        <w:pStyle w:val="3"/>
      </w:pPr>
      <w:bookmarkStart w:id="6006" w:name="_Toc141873569"/>
      <w:bookmarkStart w:id="6007" w:name="_Toc194081042"/>
      <w:bookmarkStart w:id="6008" w:name="_Toc196728374"/>
      <w:bookmarkStart w:id="6009" w:name="_Toc99561671"/>
      <w:bookmarkStart w:id="6010" w:name="_Toc142401086"/>
      <w:bookmarkStart w:id="6011" w:name="_Toc172218340"/>
      <w:bookmarkStart w:id="6012" w:name="_Toc510628144"/>
      <w:bookmarkStart w:id="6013" w:name="_Toc9006642"/>
      <w:bookmarkStart w:id="6014" w:name="_Toc23152925"/>
      <w:bookmarkStart w:id="6015" w:name="_Toc40276346"/>
      <w:bookmarkStart w:id="6016" w:name="_Toc142401276"/>
      <w:bookmarkStart w:id="6017" w:name="_Toc15485218"/>
      <w:bookmarkStart w:id="6018" w:name="_Toc141873759"/>
      <w:bookmarkStart w:id="6019" w:name="_Toc404075367"/>
      <w:bookmarkStart w:id="6020" w:name="_Toc2937463"/>
      <w:bookmarkStart w:id="6021" w:name="_Toc15485161"/>
      <w:bookmarkStart w:id="6022" w:name="_Toc99561922"/>
      <w:bookmarkStart w:id="6023" w:name="_Toc495418688"/>
      <w:bookmarkStart w:id="6024" w:name="_Toc23152982"/>
      <w:bookmarkStart w:id="6025" w:name="_Toc40276403"/>
      <w:bookmarkStart w:id="6026" w:name="_Toc172218554"/>
      <w:bookmarkStart w:id="6027" w:name="_Toc436123113"/>
      <w:bookmarkStart w:id="6028" w:name="_Toc474250123"/>
      <w:r>
        <w:rPr>
          <w:rFonts w:hint="eastAsia"/>
        </w:rPr>
        <w:t>对象管理</w:t>
      </w:r>
      <w:bookmarkEnd w:id="6006"/>
      <w:bookmarkEnd w:id="6007"/>
      <w:bookmarkEnd w:id="6008"/>
      <w:bookmarkEnd w:id="6009"/>
      <w:bookmarkEnd w:id="6010"/>
      <w:bookmarkEnd w:id="6011"/>
    </w:p>
    <w:p w14:paraId="52D36850">
      <w:r>
        <w:rPr>
          <w:rFonts w:hint="eastAsia"/>
        </w:rPr>
        <w:t>为了方便配置和管理，系统中引入了一些对象的概念，通过这些对象，可以简化配置，提高易用性，本章将介绍以下对象：</w:t>
      </w:r>
    </w:p>
    <w:p w14:paraId="1355B71B">
      <w:pPr>
        <w:pStyle w:val="162"/>
      </w:pPr>
      <w:r>
        <w:rPr>
          <w:rFonts w:hint="eastAsia"/>
        </w:rPr>
        <w:t>关键字对象</w:t>
      </w:r>
    </w:p>
    <w:p w14:paraId="5A5E4BD1">
      <w:pPr>
        <w:pStyle w:val="162"/>
      </w:pPr>
      <w:r>
        <w:t>URL对象</w:t>
      </w:r>
    </w:p>
    <w:p w14:paraId="6E8F75ED">
      <w:pPr>
        <w:pStyle w:val="162"/>
      </w:pPr>
      <w:r>
        <w:rPr>
          <w:rFonts w:hint="eastAsia"/>
        </w:rPr>
        <w:t>地址对象</w:t>
      </w:r>
    </w:p>
    <w:p w14:paraId="10ABFF9C">
      <w:pPr>
        <w:pStyle w:val="162"/>
      </w:pPr>
      <w:r>
        <w:rPr>
          <w:rFonts w:hint="eastAsia"/>
        </w:rPr>
        <w:t>服务对象</w:t>
      </w:r>
    </w:p>
    <w:p w14:paraId="3179B68D">
      <w:pPr>
        <w:pStyle w:val="162"/>
      </w:pPr>
      <w:r>
        <w:rPr>
          <w:rFonts w:hint="eastAsia"/>
        </w:rPr>
        <w:t>时间对象</w:t>
      </w:r>
    </w:p>
    <w:p w14:paraId="255CFF83">
      <w:r>
        <w:rPr>
          <w:rFonts w:hint="eastAsia"/>
        </w:rPr>
        <w:t>在安全控制策略的配置过程中会引用到上面提到的对象。</w:t>
      </w:r>
      <w:r>
        <w:t>控制</w:t>
      </w:r>
      <w:r>
        <w:rPr>
          <w:rFonts w:hint="eastAsia"/>
        </w:rPr>
        <w:t>策略的配置过程，请参见“控制策略”模块资料。</w:t>
      </w:r>
    </w:p>
    <w:p w14:paraId="7BC31895">
      <w:pPr>
        <w:pStyle w:val="4"/>
      </w:pPr>
      <w:bookmarkStart w:id="6029" w:name="_Toc5630210"/>
      <w:bookmarkEnd w:id="6029"/>
      <w:bookmarkStart w:id="6030" w:name="_Toc40276308"/>
      <w:bookmarkStart w:id="6031" w:name="_Toc196728375"/>
      <w:bookmarkStart w:id="6032" w:name="_Toc142401087"/>
      <w:bookmarkStart w:id="6033" w:name="_Toc141873570"/>
      <w:bookmarkStart w:id="6034" w:name="_Toc172218341"/>
      <w:bookmarkStart w:id="6035" w:name="_Toc194081043"/>
      <w:bookmarkStart w:id="6036" w:name="_Toc15485118"/>
      <w:bookmarkStart w:id="6037" w:name="_Toc23152882"/>
      <w:bookmarkStart w:id="6038" w:name="_Toc99561706"/>
      <w:bookmarkStart w:id="6039" w:name="_Toc474250049"/>
      <w:bookmarkStart w:id="6040" w:name="_Toc23152849"/>
      <w:bookmarkStart w:id="6041" w:name="_Toc474250021"/>
      <w:bookmarkStart w:id="6042" w:name="_Toc389059191"/>
      <w:bookmarkStart w:id="6043" w:name="_Toc6234855"/>
      <w:bookmarkStart w:id="6044" w:name="_Toc40276275"/>
      <w:bookmarkStart w:id="6045" w:name="_Toc391373156"/>
      <w:bookmarkStart w:id="6046" w:name="_Toc15485085"/>
      <w:bookmarkStart w:id="6047" w:name="_Toc388265389"/>
      <w:bookmarkStart w:id="6048" w:name="_Toc474250022"/>
      <w:bookmarkStart w:id="6049" w:name="_Toc6234866"/>
      <w:bookmarkStart w:id="6050" w:name="_Toc15485096"/>
      <w:bookmarkStart w:id="6051" w:name="_Toc99561672"/>
      <w:bookmarkStart w:id="6052" w:name="_Toc23152860"/>
      <w:bookmarkStart w:id="6053" w:name="_Toc40276286"/>
      <w:bookmarkStart w:id="6054" w:name="_Toc391373158"/>
      <w:bookmarkStart w:id="6055" w:name="_Toc388265390"/>
      <w:bookmarkStart w:id="6056" w:name="_Toc389059192"/>
      <w:r>
        <w:rPr>
          <w:rFonts w:hint="eastAsia"/>
        </w:rPr>
        <w:t>应用</w:t>
      </w:r>
      <w:r>
        <w:t>对象</w:t>
      </w:r>
      <w:bookmarkEnd w:id="6030"/>
      <w:bookmarkEnd w:id="6031"/>
      <w:bookmarkEnd w:id="6032"/>
      <w:bookmarkEnd w:id="6033"/>
      <w:bookmarkEnd w:id="6034"/>
      <w:bookmarkEnd w:id="6035"/>
      <w:bookmarkEnd w:id="6036"/>
      <w:bookmarkEnd w:id="6037"/>
      <w:bookmarkEnd w:id="6038"/>
      <w:bookmarkEnd w:id="6039"/>
    </w:p>
    <w:p w14:paraId="0692FDB9">
      <w:pPr>
        <w:pStyle w:val="5"/>
      </w:pPr>
      <w:bookmarkStart w:id="6057" w:name="_Toc23152883"/>
      <w:bookmarkStart w:id="6058" w:name="_Toc40276309"/>
      <w:bookmarkStart w:id="6059" w:name="_Toc6234888"/>
      <w:bookmarkStart w:id="6060" w:name="_Toc99561707"/>
      <w:bookmarkStart w:id="6061" w:name="_Toc172218342"/>
      <w:bookmarkStart w:id="6062" w:name="_Toc196728376"/>
      <w:bookmarkStart w:id="6063" w:name="_Toc15485119"/>
      <w:bookmarkStart w:id="6064" w:name="_Toc141873571"/>
      <w:bookmarkStart w:id="6065" w:name="_Toc142401088"/>
      <w:bookmarkStart w:id="6066" w:name="_Toc474250050"/>
      <w:bookmarkStart w:id="6067" w:name="_Toc194081044"/>
      <w:r>
        <w:rPr>
          <w:rFonts w:hint="eastAsia"/>
        </w:rPr>
        <w:t>应用</w:t>
      </w:r>
      <w:r>
        <w:t>对象简介</w:t>
      </w:r>
      <w:bookmarkEnd w:id="6057"/>
      <w:bookmarkEnd w:id="6058"/>
      <w:bookmarkEnd w:id="6059"/>
      <w:bookmarkEnd w:id="6060"/>
      <w:bookmarkEnd w:id="6061"/>
      <w:bookmarkEnd w:id="6062"/>
      <w:bookmarkEnd w:id="6063"/>
      <w:bookmarkEnd w:id="6064"/>
      <w:bookmarkEnd w:id="6065"/>
      <w:bookmarkEnd w:id="6066"/>
      <w:bookmarkEnd w:id="6067"/>
    </w:p>
    <w:p w14:paraId="501C63C5">
      <w:r>
        <w:rPr>
          <w:rFonts w:hint="eastAsia"/>
        </w:rPr>
        <w:t>为</w:t>
      </w:r>
      <w:r>
        <w:t>了</w:t>
      </w:r>
      <w:r>
        <w:rPr>
          <w:rFonts w:hint="eastAsia"/>
        </w:rPr>
        <w:t>方便</w:t>
      </w:r>
      <w:r>
        <w:t>用户</w:t>
      </w:r>
      <w:r>
        <w:rPr>
          <w:rFonts w:hint="eastAsia"/>
        </w:rPr>
        <w:t>配置</w:t>
      </w:r>
      <w:r>
        <w:t>和管理，设备中</w:t>
      </w:r>
      <w:r>
        <w:rPr>
          <w:rFonts w:hint="eastAsia"/>
        </w:rPr>
        <w:t>引入</w:t>
      </w:r>
      <w:r>
        <w:t>了应用对象</w:t>
      </w:r>
      <w:r>
        <w:rPr>
          <w:rFonts w:hint="eastAsia"/>
        </w:rPr>
        <w:t>的</w:t>
      </w:r>
      <w:r>
        <w:t>概念。</w:t>
      </w:r>
      <w:r>
        <w:rPr>
          <w:rFonts w:hint="eastAsia"/>
        </w:rPr>
        <w:t>应用</w:t>
      </w:r>
      <w:r>
        <w:t>对象分为应用对象和应用标签对象两大类，</w:t>
      </w:r>
      <w:r>
        <w:rPr>
          <w:rFonts w:hint="eastAsia"/>
        </w:rPr>
        <w:t>在</w:t>
      </w:r>
      <w:r>
        <w:t>其他</w:t>
      </w:r>
      <w:r>
        <w:rPr>
          <w:rFonts w:hint="eastAsia"/>
        </w:rPr>
        <w:t>功能</w:t>
      </w:r>
      <w:r>
        <w:t>模块（</w:t>
      </w:r>
      <w:r>
        <w:rPr>
          <w:rFonts w:hint="eastAsia"/>
        </w:rPr>
        <w:t>如IP</w:t>
      </w:r>
      <w:r>
        <w:t>v4</w:t>
      </w:r>
      <w:r>
        <w:rPr>
          <w:rFonts w:hint="eastAsia"/>
        </w:rPr>
        <w:t>策略</w:t>
      </w:r>
      <w:r>
        <w:t>、</w:t>
      </w:r>
      <w:r>
        <w:rPr>
          <w:rFonts w:hint="eastAsia"/>
        </w:rPr>
        <w:t>IP</w:t>
      </w:r>
      <w:r>
        <w:t>v6</w:t>
      </w:r>
      <w:r>
        <w:rPr>
          <w:rFonts w:hint="eastAsia"/>
        </w:rPr>
        <w:t>策略、流量</w:t>
      </w:r>
      <w:r>
        <w:t>控制策略模块）</w:t>
      </w:r>
      <w:r>
        <w:rPr>
          <w:rFonts w:hint="eastAsia"/>
        </w:rPr>
        <w:t>可以</w:t>
      </w:r>
      <w:r>
        <w:t>引用应用对象来配置</w:t>
      </w:r>
      <w:r>
        <w:rPr>
          <w:rFonts w:hint="eastAsia"/>
        </w:rPr>
        <w:t>匹配</w:t>
      </w:r>
      <w:r>
        <w:t>条件以及子策略等。</w:t>
      </w:r>
    </w:p>
    <w:p w14:paraId="6C2C53EE">
      <w:r>
        <w:rPr>
          <w:rFonts w:hint="eastAsia"/>
        </w:rPr>
        <w:t>应用对象基于</w:t>
      </w:r>
      <w:r>
        <w:t>特征进行分析</w:t>
      </w:r>
      <w:r>
        <w:rPr>
          <w:rFonts w:hint="eastAsia"/>
        </w:rPr>
        <w:t>并通过</w:t>
      </w:r>
      <w:r>
        <w:t>应用组、应用、应用行为</w:t>
      </w:r>
      <w:r>
        <w:rPr>
          <w:rFonts w:hint="eastAsia"/>
        </w:rPr>
        <w:t>三级</w:t>
      </w:r>
      <w:r>
        <w:t>目录树结构展示，应用</w:t>
      </w:r>
      <w:r>
        <w:rPr>
          <w:rFonts w:hint="eastAsia"/>
        </w:rPr>
        <w:t>对象</w:t>
      </w:r>
      <w:r>
        <w:t>和应用标签对象</w:t>
      </w:r>
      <w:r>
        <w:rPr>
          <w:rFonts w:hint="eastAsia"/>
        </w:rPr>
        <w:t>在控制策略</w:t>
      </w:r>
      <w:r>
        <w:t>、</w:t>
      </w:r>
      <w:r>
        <w:rPr>
          <w:rFonts w:hint="eastAsia"/>
        </w:rPr>
        <w:t>IP</w:t>
      </w:r>
      <w:r>
        <w:t>v6</w:t>
      </w:r>
      <w:r>
        <w:rPr>
          <w:rFonts w:hint="eastAsia"/>
        </w:rPr>
        <w:t>控制</w:t>
      </w:r>
      <w:r>
        <w:t>策略、</w:t>
      </w:r>
      <w:r>
        <w:rPr>
          <w:rFonts w:hint="eastAsia"/>
        </w:rPr>
        <w:t>流量</w:t>
      </w:r>
      <w:r>
        <w:t>控制等模块都是以</w:t>
      </w:r>
      <w:r>
        <w:rPr>
          <w:rFonts w:hint="eastAsia"/>
        </w:rPr>
        <w:t>树形</w:t>
      </w:r>
      <w:r>
        <w:t>结构展示</w:t>
      </w:r>
      <w:r>
        <w:rPr>
          <w:rFonts w:hint="eastAsia"/>
        </w:rPr>
        <w:t>，</w:t>
      </w:r>
      <w:r>
        <w:t>可以方便的进行查询及引用</w:t>
      </w:r>
      <w:r>
        <w:rPr>
          <w:rFonts w:hint="eastAsia"/>
        </w:rPr>
        <w:t>。</w:t>
      </w:r>
    </w:p>
    <w:p w14:paraId="7B9CC9B8">
      <w:r>
        <w:t>控制</w:t>
      </w:r>
      <w:r>
        <w:rPr>
          <w:rFonts w:hint="eastAsia"/>
        </w:rPr>
        <w:t>策略的配置过程，请参见“控制策略”、“流控策略”模块资料。</w:t>
      </w:r>
    </w:p>
    <w:p w14:paraId="48F38637">
      <w:pPr>
        <w:pStyle w:val="5"/>
      </w:pPr>
      <w:bookmarkStart w:id="6068" w:name="_Toc5284921"/>
      <w:bookmarkEnd w:id="6068"/>
      <w:bookmarkStart w:id="6069" w:name="_Toc5284940"/>
      <w:bookmarkEnd w:id="6069"/>
      <w:bookmarkStart w:id="6070" w:name="_Toc496864763"/>
      <w:bookmarkEnd w:id="6070"/>
      <w:bookmarkStart w:id="6071" w:name="_Toc5284923"/>
      <w:bookmarkEnd w:id="6071"/>
      <w:bookmarkStart w:id="6072" w:name="_Toc5284922"/>
      <w:bookmarkEnd w:id="6072"/>
      <w:bookmarkStart w:id="6073" w:name="_Toc172218343"/>
      <w:bookmarkStart w:id="6074" w:name="_Toc99561708"/>
      <w:bookmarkStart w:id="6075" w:name="_Toc194081045"/>
      <w:bookmarkStart w:id="6076" w:name="_Toc6234889"/>
      <w:bookmarkStart w:id="6077" w:name="_Toc40276310"/>
      <w:bookmarkStart w:id="6078" w:name="_Toc4771276"/>
      <w:bookmarkStart w:id="6079" w:name="_Toc23152884"/>
      <w:bookmarkStart w:id="6080" w:name="_Toc15485120"/>
      <w:bookmarkStart w:id="6081" w:name="_Toc141873572"/>
      <w:bookmarkStart w:id="6082" w:name="_Toc142401089"/>
      <w:bookmarkStart w:id="6083" w:name="_Toc196728377"/>
      <w:r>
        <w:rPr>
          <w:rFonts w:hint="eastAsia"/>
        </w:rPr>
        <w:t>应用对象</w:t>
      </w:r>
      <w:bookmarkEnd w:id="6073"/>
      <w:bookmarkEnd w:id="6074"/>
      <w:bookmarkEnd w:id="6075"/>
      <w:bookmarkEnd w:id="6076"/>
      <w:bookmarkEnd w:id="6077"/>
      <w:bookmarkEnd w:id="6078"/>
      <w:bookmarkEnd w:id="6079"/>
      <w:bookmarkEnd w:id="6080"/>
      <w:bookmarkEnd w:id="6081"/>
      <w:bookmarkEnd w:id="6082"/>
      <w:bookmarkEnd w:id="6083"/>
    </w:p>
    <w:p w14:paraId="4170B4E3">
      <w:r>
        <w:rPr>
          <w:rFonts w:hint="eastAsia"/>
        </w:rPr>
        <w:t>在导航栏中选择“策略配置 &gt;</w:t>
      </w:r>
      <w:r>
        <w:t xml:space="preserve"> </w:t>
      </w:r>
      <w:r>
        <w:rPr>
          <w:rFonts w:hint="eastAsia"/>
        </w:rPr>
        <w:t>对象管理</w:t>
      </w:r>
      <w:r>
        <w:t xml:space="preserve"> &gt; </w:t>
      </w:r>
      <w:r>
        <w:rPr>
          <w:rFonts w:hint="eastAsia"/>
        </w:rPr>
        <w:t>应用</w:t>
      </w:r>
      <w:r>
        <w:t>对象</w:t>
      </w:r>
      <w:r>
        <w:rPr>
          <w:rFonts w:hint="eastAsia"/>
        </w:rPr>
        <w:t>”，进入应用对象显示页面，可以查看设备</w:t>
      </w:r>
      <w:r>
        <w:t>上支持的所有应用对象</w:t>
      </w:r>
      <w:r>
        <w:rPr>
          <w:rFonts w:hint="eastAsia"/>
        </w:rPr>
        <w:t>。</w:t>
      </w:r>
    </w:p>
    <w:p w14:paraId="1BD83831">
      <w:pPr>
        <w:pStyle w:val="188"/>
      </w:pPr>
      <w:bookmarkStart w:id="6084" w:name="_Toc141874933"/>
      <w:r>
        <w:rPr>
          <w:rFonts w:hint="eastAsia"/>
        </w:rPr>
        <w:t>应用</w:t>
      </w:r>
      <w:r>
        <w:t>对象显示</w:t>
      </w:r>
      <w:r>
        <w:rPr>
          <w:rFonts w:hint="eastAsia"/>
        </w:rPr>
        <w:t>页面</w:t>
      </w:r>
      <w:bookmarkEnd w:id="6084"/>
    </w:p>
    <w:p w14:paraId="50F06D77">
      <w:r>
        <w:drawing>
          <wp:inline distT="0" distB="0" distL="0" distR="0">
            <wp:extent cx="5400040" cy="4078605"/>
            <wp:effectExtent l="0" t="0" r="0" b="0"/>
            <wp:docPr id="2723" name="图片 2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3" name="图片 2723"/>
                    <pic:cNvPicPr>
                      <a:picLocks noChangeAspect="1"/>
                    </pic:cNvPicPr>
                  </pic:nvPicPr>
                  <pic:blipFill>
                    <a:blip r:embed="rId761"/>
                    <a:stretch>
                      <a:fillRect/>
                    </a:stretch>
                  </pic:blipFill>
                  <pic:spPr>
                    <a:xfrm>
                      <a:off x="0" y="0"/>
                      <a:ext cx="5400040" cy="4078885"/>
                    </a:xfrm>
                    <a:prstGeom prst="rect">
                      <a:avLst/>
                    </a:prstGeom>
                  </pic:spPr>
                </pic:pic>
              </a:graphicData>
            </a:graphic>
          </wp:inline>
        </w:drawing>
      </w:r>
    </w:p>
    <w:p w14:paraId="32A45AE1"/>
    <w:p w14:paraId="663F2BC0">
      <w:r>
        <w:rPr>
          <w:rFonts w:hint="eastAsia"/>
        </w:rPr>
        <w:t>应用</w:t>
      </w:r>
      <w:r>
        <w:t>对象页面</w:t>
      </w:r>
      <w:r>
        <w:rPr>
          <w:rFonts w:hint="eastAsia"/>
        </w:rPr>
        <w:t>各项参数</w:t>
      </w:r>
      <w:r>
        <w:t>含义如</w:t>
      </w:r>
      <w:r>
        <w:fldChar w:fldCharType="begin"/>
      </w:r>
      <w:r>
        <w:instrText xml:space="preserve"> REF _Ref4605079 \r \h </w:instrText>
      </w:r>
      <w:r>
        <w:fldChar w:fldCharType="separate"/>
      </w:r>
      <w:r>
        <w:rPr>
          <w:rFonts w:hint="eastAsia"/>
        </w:rPr>
        <w:t>表28-1</w:t>
      </w:r>
      <w:r>
        <w:fldChar w:fldCharType="end"/>
      </w:r>
      <w:r>
        <w:t>所示。</w:t>
      </w:r>
    </w:p>
    <w:p w14:paraId="207E3F91">
      <w:pPr>
        <w:pStyle w:val="183"/>
      </w:pPr>
      <w:bookmarkStart w:id="6085" w:name="_Toc141875615"/>
      <w:bookmarkStart w:id="6086" w:name="_Ref4605079"/>
      <w:r>
        <w:rPr>
          <w:rFonts w:hint="eastAsia"/>
        </w:rPr>
        <w:t>应用</w:t>
      </w:r>
      <w:r>
        <w:t>对象页面</w:t>
      </w:r>
      <w:r>
        <w:rPr>
          <w:rFonts w:hint="eastAsia"/>
        </w:rPr>
        <w:t>各项</w:t>
      </w:r>
      <w:r>
        <w:t>参数含义表</w:t>
      </w:r>
      <w:bookmarkEnd w:id="6085"/>
      <w:bookmarkEnd w:id="6086"/>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923"/>
        <w:gridCol w:w="7045"/>
      </w:tblGrid>
      <w:tr w14:paraId="6EDF7F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23" w:type="dxa"/>
            <w:tcBorders>
              <w:tl2br w:val="nil"/>
              <w:tr2bl w:val="nil"/>
            </w:tcBorders>
            <w:shd w:val="clear" w:color="auto" w:fill="538135" w:themeFill="accent6" w:themeFillShade="BF"/>
            <w:vAlign w:val="center"/>
          </w:tcPr>
          <w:p w14:paraId="265956D9">
            <w:pPr>
              <w:pStyle w:val="149"/>
              <w:wordWrap/>
              <w:rPr>
                <w:b/>
                <w:bCs/>
                <w:i w:val="0"/>
                <w:iCs w:val="0"/>
              </w:rPr>
            </w:pPr>
            <w:r>
              <w:rPr>
                <w:rFonts w:hint="eastAsia"/>
                <w:b/>
                <w:bCs/>
                <w:i w:val="0"/>
                <w:iCs w:val="0"/>
              </w:rPr>
              <w:t>配置项</w:t>
            </w:r>
          </w:p>
        </w:tc>
        <w:tc>
          <w:tcPr>
            <w:tcW w:w="7045" w:type="dxa"/>
            <w:tcBorders>
              <w:tl2br w:val="nil"/>
              <w:tr2bl w:val="nil"/>
            </w:tcBorders>
            <w:shd w:val="clear" w:color="auto" w:fill="538135" w:themeFill="accent6" w:themeFillShade="BF"/>
            <w:vAlign w:val="center"/>
          </w:tcPr>
          <w:p w14:paraId="4C658D03">
            <w:pPr>
              <w:pStyle w:val="149"/>
              <w:wordWrap/>
              <w:rPr>
                <w:b/>
                <w:bCs/>
                <w:i w:val="0"/>
                <w:iCs w:val="0"/>
              </w:rPr>
            </w:pPr>
            <w:r>
              <w:rPr>
                <w:rFonts w:hint="eastAsia"/>
                <w:b/>
                <w:bCs/>
                <w:i w:val="0"/>
                <w:iCs w:val="0"/>
              </w:rPr>
              <w:t>说明</w:t>
            </w:r>
          </w:p>
        </w:tc>
      </w:tr>
      <w:tr w14:paraId="0382970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23" w:type="dxa"/>
            <w:shd w:val="clear" w:color="auto" w:fill="auto"/>
          </w:tcPr>
          <w:p w14:paraId="0F1F18C7">
            <w:pPr>
              <w:pStyle w:val="150"/>
            </w:pPr>
            <w:r>
              <w:rPr>
                <w:rFonts w:hint="eastAsia"/>
              </w:rPr>
              <w:t>标签</w:t>
            </w:r>
          </w:p>
        </w:tc>
        <w:tc>
          <w:tcPr>
            <w:tcW w:w="7045" w:type="dxa"/>
            <w:shd w:val="clear" w:color="auto" w:fill="auto"/>
          </w:tcPr>
          <w:p w14:paraId="37063095">
            <w:pPr>
              <w:pStyle w:val="150"/>
            </w:pPr>
            <w:r>
              <w:rPr>
                <w:rFonts w:hint="eastAsia"/>
              </w:rPr>
              <w:t>应用</w:t>
            </w:r>
            <w:r>
              <w:t>及应用行为</w:t>
            </w:r>
            <w:r>
              <w:rPr>
                <w:rFonts w:hint="eastAsia"/>
              </w:rPr>
              <w:t>对应</w:t>
            </w:r>
            <w:r>
              <w:t>的</w:t>
            </w:r>
            <w:r>
              <w:rPr>
                <w:rFonts w:hint="eastAsia"/>
              </w:rPr>
              <w:t>标签</w:t>
            </w:r>
            <w:r>
              <w:t>类</w:t>
            </w:r>
            <w:r>
              <w:rPr>
                <w:rFonts w:hint="eastAsia"/>
              </w:rPr>
              <w:t>，系统内置9个</w:t>
            </w:r>
            <w:r>
              <w:t>预定义标签。</w:t>
            </w:r>
          </w:p>
        </w:tc>
      </w:tr>
      <w:tr w14:paraId="13D2EE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23" w:type="dxa"/>
            <w:shd w:val="clear" w:color="auto" w:fill="auto"/>
          </w:tcPr>
          <w:p w14:paraId="43E7B0CB">
            <w:pPr>
              <w:pStyle w:val="150"/>
            </w:pPr>
            <w:r>
              <w:rPr>
                <w:rFonts w:hint="eastAsia"/>
              </w:rPr>
              <w:t>应用列表</w:t>
            </w:r>
          </w:p>
        </w:tc>
        <w:tc>
          <w:tcPr>
            <w:tcW w:w="7045" w:type="dxa"/>
            <w:shd w:val="clear" w:color="auto" w:fill="auto"/>
          </w:tcPr>
          <w:p w14:paraId="2A7634C3">
            <w:pPr>
              <w:pStyle w:val="150"/>
            </w:pPr>
            <w:r>
              <w:rPr>
                <w:rFonts w:hint="eastAsia"/>
              </w:rPr>
              <w:t>展示</w:t>
            </w:r>
            <w:r>
              <w:t>详细的应用及应用行为列表，</w:t>
            </w:r>
            <w:r>
              <w:rPr>
                <w:rFonts w:hint="eastAsia"/>
              </w:rPr>
              <w:t>显示</w:t>
            </w:r>
            <w:r>
              <w:t>该应用</w:t>
            </w:r>
            <w:r>
              <w:rPr>
                <w:rFonts w:hint="eastAsia"/>
              </w:rPr>
              <w:t>或</w:t>
            </w:r>
            <w:r>
              <w:t>应用行为所属标签以及对应的系统平台，还有应用的流行度展示</w:t>
            </w:r>
            <w:r>
              <w:rPr>
                <w:rFonts w:hint="eastAsia"/>
              </w:rPr>
              <w:t>。</w:t>
            </w:r>
          </w:p>
        </w:tc>
      </w:tr>
      <w:tr w14:paraId="1F3C27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23" w:type="dxa"/>
            <w:shd w:val="clear" w:color="auto" w:fill="auto"/>
          </w:tcPr>
          <w:p w14:paraId="1E17D0DA">
            <w:pPr>
              <w:pStyle w:val="150"/>
            </w:pPr>
            <w:r>
              <w:rPr>
                <w:rFonts w:hint="eastAsia"/>
              </w:rPr>
              <w:t>查询</w:t>
            </w:r>
          </w:p>
        </w:tc>
        <w:tc>
          <w:tcPr>
            <w:tcW w:w="7045" w:type="dxa"/>
            <w:shd w:val="clear" w:color="auto" w:fill="auto"/>
          </w:tcPr>
          <w:p w14:paraId="12B4054D">
            <w:pPr>
              <w:pStyle w:val="150"/>
            </w:pPr>
            <w:r>
              <w:rPr>
                <w:rFonts w:hint="eastAsia"/>
              </w:rPr>
              <w:t>根据</w:t>
            </w:r>
            <w:r>
              <w:t>应用名称进行查询</w:t>
            </w:r>
            <w:r>
              <w:rPr>
                <w:rFonts w:hint="eastAsia"/>
              </w:rPr>
              <w:t>。</w:t>
            </w:r>
          </w:p>
        </w:tc>
      </w:tr>
    </w:tbl>
    <w:p w14:paraId="61B4D8E6"/>
    <w:p w14:paraId="71F1E231">
      <w:pPr>
        <w:pStyle w:val="5"/>
      </w:pPr>
      <w:bookmarkStart w:id="6087" w:name="_Toc15485121"/>
      <w:bookmarkStart w:id="6088" w:name="_Toc194081046"/>
      <w:bookmarkStart w:id="6089" w:name="_Toc141873573"/>
      <w:bookmarkStart w:id="6090" w:name="_Toc40276311"/>
      <w:bookmarkStart w:id="6091" w:name="_Toc6234890"/>
      <w:bookmarkStart w:id="6092" w:name="_Toc172218344"/>
      <w:bookmarkStart w:id="6093" w:name="_Toc99561709"/>
      <w:bookmarkStart w:id="6094" w:name="_Toc142401090"/>
      <w:bookmarkStart w:id="6095" w:name="_Toc23152885"/>
      <w:bookmarkStart w:id="6096" w:name="_Toc4771277"/>
      <w:bookmarkStart w:id="6097" w:name="_Toc196728378"/>
      <w:r>
        <w:rPr>
          <w:rFonts w:hint="eastAsia"/>
        </w:rPr>
        <w:t>应用标签对象</w:t>
      </w:r>
      <w:bookmarkEnd w:id="6087"/>
      <w:bookmarkEnd w:id="6088"/>
      <w:bookmarkEnd w:id="6089"/>
      <w:bookmarkEnd w:id="6090"/>
      <w:bookmarkEnd w:id="6091"/>
      <w:bookmarkEnd w:id="6092"/>
      <w:bookmarkEnd w:id="6093"/>
      <w:bookmarkEnd w:id="6094"/>
      <w:bookmarkEnd w:id="6095"/>
      <w:bookmarkEnd w:id="6096"/>
      <w:bookmarkEnd w:id="6097"/>
    </w:p>
    <w:p w14:paraId="677F6E8E">
      <w:r>
        <w:rPr>
          <w:rFonts w:hint="eastAsia"/>
        </w:rPr>
        <w:t>在导航栏中选择“策略配置 &gt;</w:t>
      </w:r>
      <w:r>
        <w:t xml:space="preserve"> </w:t>
      </w:r>
      <w:r>
        <w:rPr>
          <w:rFonts w:hint="eastAsia"/>
        </w:rPr>
        <w:t>对象管理</w:t>
      </w:r>
      <w:r>
        <w:t xml:space="preserve"> &gt; </w:t>
      </w:r>
      <w:r>
        <w:rPr>
          <w:rFonts w:hint="eastAsia"/>
        </w:rPr>
        <w:t>应用</w:t>
      </w:r>
      <w:r>
        <w:t>对象</w:t>
      </w:r>
      <w:r>
        <w:rPr>
          <w:rFonts w:hint="eastAsia"/>
        </w:rPr>
        <w:t>”，点击“应用</w:t>
      </w:r>
      <w:r>
        <w:t>标签对象</w:t>
      </w:r>
      <w:r>
        <w:rPr>
          <w:rFonts w:hint="eastAsia"/>
        </w:rPr>
        <w:t>”标签页，如</w:t>
      </w:r>
      <w:r>
        <w:t>下图</w:t>
      </w:r>
      <w:r>
        <w:rPr>
          <w:rFonts w:hint="eastAsia"/>
        </w:rPr>
        <w:t>所示。</w:t>
      </w:r>
    </w:p>
    <w:p w14:paraId="1EC12810">
      <w:pPr>
        <w:pStyle w:val="188"/>
      </w:pPr>
      <w:bookmarkStart w:id="6098" w:name="_Toc141874934"/>
      <w:r>
        <w:rPr>
          <w:rFonts w:hint="eastAsia"/>
        </w:rPr>
        <w:t>应用</w:t>
      </w:r>
      <w:r>
        <w:t>标签对象</w:t>
      </w:r>
      <w:r>
        <w:rPr>
          <w:rFonts w:hint="eastAsia"/>
        </w:rPr>
        <w:t>显示界面</w:t>
      </w:r>
      <w:bookmarkEnd w:id="6098"/>
    </w:p>
    <w:p w14:paraId="732AA58E">
      <w:r>
        <w:drawing>
          <wp:inline distT="0" distB="0" distL="0" distR="0">
            <wp:extent cx="5400040" cy="1301115"/>
            <wp:effectExtent l="0" t="0" r="0" b="0"/>
            <wp:docPr id="695"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图片 471"/>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a:xfrm>
                      <a:off x="0" y="0"/>
                      <a:ext cx="5400040" cy="1301720"/>
                    </a:xfrm>
                    <a:prstGeom prst="rect">
                      <a:avLst/>
                    </a:prstGeom>
                    <a:noFill/>
                    <a:ln>
                      <a:noFill/>
                    </a:ln>
                  </pic:spPr>
                </pic:pic>
              </a:graphicData>
            </a:graphic>
          </wp:inline>
        </w:drawing>
      </w:r>
    </w:p>
    <w:p w14:paraId="461E3E2F"/>
    <w:p w14:paraId="114465D2">
      <w:r>
        <w:rPr>
          <w:rFonts w:hint="eastAsia"/>
        </w:rPr>
        <w:t>应用</w:t>
      </w:r>
      <w:r>
        <w:t>标签对象页面</w:t>
      </w:r>
      <w:r>
        <w:rPr>
          <w:rFonts w:hint="eastAsia"/>
        </w:rPr>
        <w:t>详细</w:t>
      </w:r>
      <w:r>
        <w:t>参数如</w:t>
      </w:r>
      <w:r>
        <w:fldChar w:fldCharType="begin"/>
      </w:r>
      <w:r>
        <w:instrText xml:space="preserve"> REF _Ref4605087 \r \h  \* MERGEFORMAT </w:instrText>
      </w:r>
      <w:r>
        <w:fldChar w:fldCharType="separate"/>
      </w:r>
      <w:r>
        <w:rPr>
          <w:rFonts w:hint="eastAsia"/>
        </w:rPr>
        <w:t>表28-1</w:t>
      </w:r>
      <w:r>
        <w:fldChar w:fldCharType="end"/>
      </w:r>
      <w:r>
        <w:t>所示。</w:t>
      </w:r>
    </w:p>
    <w:p w14:paraId="0802ED7A">
      <w:pPr>
        <w:pStyle w:val="183"/>
      </w:pPr>
      <w:bookmarkStart w:id="6099" w:name="_Toc141875616"/>
      <w:bookmarkStart w:id="6100" w:name="_Ref4605087"/>
      <w:r>
        <w:rPr>
          <w:rFonts w:hint="eastAsia"/>
        </w:rPr>
        <w:t>应用</w:t>
      </w:r>
      <w:r>
        <w:t>标签对象页面</w:t>
      </w:r>
      <w:r>
        <w:rPr>
          <w:rFonts w:hint="eastAsia"/>
        </w:rPr>
        <w:t>详细</w:t>
      </w:r>
      <w:r>
        <w:t>参数表</w:t>
      </w:r>
      <w:bookmarkEnd w:id="6099"/>
      <w:bookmarkEnd w:id="6100"/>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632"/>
        <w:gridCol w:w="6336"/>
      </w:tblGrid>
      <w:tr w14:paraId="3FBA88A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632" w:type="dxa"/>
            <w:tcBorders>
              <w:tl2br w:val="nil"/>
              <w:tr2bl w:val="nil"/>
            </w:tcBorders>
            <w:shd w:val="clear" w:color="auto" w:fill="538135" w:themeFill="accent6" w:themeFillShade="BF"/>
            <w:vAlign w:val="center"/>
          </w:tcPr>
          <w:p w14:paraId="735D2008">
            <w:pPr>
              <w:pStyle w:val="149"/>
              <w:wordWrap/>
              <w:rPr>
                <w:b/>
                <w:bCs/>
                <w:i w:val="0"/>
                <w:iCs w:val="0"/>
              </w:rPr>
            </w:pPr>
            <w:r>
              <w:rPr>
                <w:rFonts w:hint="eastAsia"/>
                <w:b/>
                <w:bCs/>
                <w:i w:val="0"/>
                <w:iCs w:val="0"/>
              </w:rPr>
              <w:t>配置项</w:t>
            </w:r>
          </w:p>
        </w:tc>
        <w:tc>
          <w:tcPr>
            <w:tcW w:w="6336" w:type="dxa"/>
            <w:tcBorders>
              <w:tl2br w:val="nil"/>
              <w:tr2bl w:val="nil"/>
            </w:tcBorders>
            <w:shd w:val="clear" w:color="auto" w:fill="538135" w:themeFill="accent6" w:themeFillShade="BF"/>
            <w:vAlign w:val="center"/>
          </w:tcPr>
          <w:p w14:paraId="56A2D462">
            <w:pPr>
              <w:pStyle w:val="149"/>
              <w:wordWrap/>
              <w:rPr>
                <w:b/>
                <w:bCs/>
                <w:i w:val="0"/>
                <w:iCs w:val="0"/>
              </w:rPr>
            </w:pPr>
            <w:r>
              <w:rPr>
                <w:rFonts w:hint="eastAsia"/>
                <w:b/>
                <w:bCs/>
                <w:i w:val="0"/>
                <w:iCs w:val="0"/>
              </w:rPr>
              <w:t>说明</w:t>
            </w:r>
          </w:p>
        </w:tc>
      </w:tr>
      <w:tr w14:paraId="606139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632" w:type="dxa"/>
            <w:shd w:val="clear" w:color="auto" w:fill="auto"/>
          </w:tcPr>
          <w:p w14:paraId="721901FF">
            <w:pPr>
              <w:pStyle w:val="150"/>
            </w:pPr>
            <w:r>
              <w:rPr>
                <w:rFonts w:hint="eastAsia"/>
              </w:rPr>
              <w:t>名称</w:t>
            </w:r>
          </w:p>
        </w:tc>
        <w:tc>
          <w:tcPr>
            <w:tcW w:w="6336" w:type="dxa"/>
            <w:shd w:val="clear" w:color="auto" w:fill="auto"/>
          </w:tcPr>
          <w:p w14:paraId="446E8E98">
            <w:pPr>
              <w:pStyle w:val="150"/>
            </w:pPr>
            <w:r>
              <w:rPr>
                <w:rFonts w:hint="eastAsia"/>
              </w:rPr>
              <w:t>应用</w:t>
            </w:r>
            <w:r>
              <w:t>标签对象的名称。</w:t>
            </w:r>
          </w:p>
        </w:tc>
      </w:tr>
      <w:tr w14:paraId="3DC7EE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632" w:type="dxa"/>
            <w:shd w:val="clear" w:color="auto" w:fill="auto"/>
          </w:tcPr>
          <w:p w14:paraId="0CF74736">
            <w:pPr>
              <w:pStyle w:val="150"/>
            </w:pPr>
            <w:r>
              <w:rPr>
                <w:rFonts w:hint="eastAsia"/>
              </w:rPr>
              <w:t>描述</w:t>
            </w:r>
          </w:p>
        </w:tc>
        <w:tc>
          <w:tcPr>
            <w:tcW w:w="6336" w:type="dxa"/>
            <w:shd w:val="clear" w:color="auto" w:fill="auto"/>
          </w:tcPr>
          <w:p w14:paraId="05739280">
            <w:pPr>
              <w:pStyle w:val="150"/>
            </w:pPr>
            <w:r>
              <w:t>新建应用标签</w:t>
            </w:r>
            <w:r>
              <w:rPr>
                <w:rFonts w:hint="eastAsia"/>
              </w:rPr>
              <w:t>对象</w:t>
            </w:r>
            <w:r>
              <w:t>添加的描述信息</w:t>
            </w:r>
            <w:r>
              <w:rPr>
                <w:rFonts w:hint="eastAsia"/>
              </w:rPr>
              <w:t>。</w:t>
            </w:r>
          </w:p>
        </w:tc>
      </w:tr>
      <w:tr w14:paraId="65ED1E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632" w:type="dxa"/>
            <w:shd w:val="clear" w:color="auto" w:fill="auto"/>
          </w:tcPr>
          <w:p w14:paraId="3A1942F7">
            <w:pPr>
              <w:pStyle w:val="150"/>
            </w:pPr>
            <w:r>
              <w:rPr>
                <w:rFonts w:hint="eastAsia"/>
              </w:rPr>
              <w:t>内容（应用</w:t>
            </w:r>
            <w:r>
              <w:t>对象</w:t>
            </w:r>
            <w:r>
              <w:rPr>
                <w:rFonts w:hint="eastAsia"/>
              </w:rPr>
              <w:t>）</w:t>
            </w:r>
          </w:p>
        </w:tc>
        <w:tc>
          <w:tcPr>
            <w:tcW w:w="6336" w:type="dxa"/>
            <w:shd w:val="clear" w:color="auto" w:fill="auto"/>
          </w:tcPr>
          <w:p w14:paraId="762AE055">
            <w:pPr>
              <w:pStyle w:val="150"/>
            </w:pPr>
            <w:r>
              <w:rPr>
                <w:rFonts w:hint="eastAsia"/>
              </w:rPr>
              <w:t>选择</w:t>
            </w:r>
            <w:r>
              <w:t>的应用对象</w:t>
            </w:r>
            <w:r>
              <w:rPr>
                <w:rFonts w:hint="eastAsia"/>
              </w:rPr>
              <w:t>。</w:t>
            </w:r>
          </w:p>
        </w:tc>
      </w:tr>
      <w:tr w14:paraId="231F5EF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632" w:type="dxa"/>
            <w:shd w:val="clear" w:color="auto" w:fill="auto"/>
          </w:tcPr>
          <w:p w14:paraId="54BAFDCA">
            <w:pPr>
              <w:pStyle w:val="150"/>
            </w:pPr>
            <w:r>
              <w:rPr>
                <w:rFonts w:hint="eastAsia"/>
              </w:rPr>
              <w:t>操作</w:t>
            </w:r>
          </w:p>
        </w:tc>
        <w:tc>
          <w:tcPr>
            <w:tcW w:w="6336" w:type="dxa"/>
            <w:shd w:val="clear" w:color="auto" w:fill="auto"/>
          </w:tcPr>
          <w:p w14:paraId="24A7090C">
            <w:pPr>
              <w:pStyle w:val="150"/>
            </w:pPr>
            <w:r>
              <w:rPr>
                <w:rFonts w:hint="eastAsia"/>
              </w:rPr>
              <w:t>操作</w:t>
            </w:r>
            <w:r>
              <w:t>包括编辑和删除两项</w:t>
            </w:r>
            <w:r>
              <w:rPr>
                <w:rFonts w:hint="eastAsia"/>
              </w:rPr>
              <w:t>：</w:t>
            </w:r>
          </w:p>
          <w:p w14:paraId="3712E2F5">
            <w:pPr>
              <w:pStyle w:val="150"/>
            </w:pPr>
            <w:r>
              <w:rPr>
                <w:rFonts w:hint="eastAsia"/>
              </w:rPr>
              <w:t>编辑</w:t>
            </w:r>
            <w:r>
              <w:t>：可对</w:t>
            </w:r>
            <w:r>
              <w:rPr>
                <w:rFonts w:hint="eastAsia"/>
              </w:rPr>
              <w:t>描述</w:t>
            </w:r>
            <w:r>
              <w:t>和内容进行修改编辑操作；</w:t>
            </w:r>
          </w:p>
          <w:p w14:paraId="6A99A36C">
            <w:pPr>
              <w:pStyle w:val="150"/>
            </w:pPr>
            <w:r>
              <w:rPr>
                <w:rFonts w:hint="eastAsia"/>
              </w:rPr>
              <w:t>删除</w:t>
            </w:r>
            <w:r>
              <w:t>：对</w:t>
            </w:r>
            <w:r>
              <w:rPr>
                <w:rFonts w:hint="eastAsia"/>
              </w:rPr>
              <w:t>选中</w:t>
            </w:r>
            <w:r>
              <w:t>对象进行删除操作。</w:t>
            </w:r>
          </w:p>
        </w:tc>
      </w:tr>
    </w:tbl>
    <w:p w14:paraId="058A354C"/>
    <w:p w14:paraId="222B4DBF">
      <w:r>
        <w:rPr>
          <w:rFonts w:hint="eastAsia"/>
        </w:rPr>
        <w:t>点击&lt;新建&gt;按钮</w:t>
      </w:r>
      <w:r>
        <w:t>，可以新建一条应用标签对象，如</w:t>
      </w:r>
      <w:r>
        <w:fldChar w:fldCharType="begin"/>
      </w:r>
      <w:r>
        <w:instrText xml:space="preserve"> REF _Ref4605096 \r \h  \* MERGEFORMAT </w:instrText>
      </w:r>
      <w:r>
        <w:fldChar w:fldCharType="separate"/>
      </w:r>
      <w:r>
        <w:rPr>
          <w:rFonts w:hint="eastAsia"/>
        </w:rPr>
        <w:t>图28-3</w:t>
      </w:r>
      <w:r>
        <w:fldChar w:fldCharType="end"/>
      </w:r>
      <w:r>
        <w:t>所示。</w:t>
      </w:r>
    </w:p>
    <w:p w14:paraId="72526782">
      <w:pPr>
        <w:pStyle w:val="188"/>
      </w:pPr>
      <w:bookmarkStart w:id="6101" w:name="_Ref4605096"/>
      <w:bookmarkStart w:id="6102" w:name="_Toc141874935"/>
      <w:r>
        <w:rPr>
          <w:rFonts w:hint="eastAsia"/>
        </w:rPr>
        <w:t>新建应用</w:t>
      </w:r>
      <w:r>
        <w:t>标签对象</w:t>
      </w:r>
      <w:bookmarkEnd w:id="6101"/>
      <w:bookmarkEnd w:id="6102"/>
    </w:p>
    <w:p w14:paraId="5E59DF3C">
      <w:r>
        <w:t xml:space="preserve"> </w:t>
      </w:r>
      <w:r>
        <w:drawing>
          <wp:inline distT="0" distB="0" distL="114300" distR="114300">
            <wp:extent cx="5400040" cy="2280920"/>
            <wp:effectExtent l="0" t="0" r="0" b="5080"/>
            <wp:docPr id="272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 name="图片 56"/>
                    <pic:cNvPicPr>
                      <a:picLocks noChangeAspect="1"/>
                    </pic:cNvPicPr>
                  </pic:nvPicPr>
                  <pic:blipFill>
                    <a:blip r:embed="rId763"/>
                    <a:stretch>
                      <a:fillRect/>
                    </a:stretch>
                  </pic:blipFill>
                  <pic:spPr>
                    <a:xfrm>
                      <a:off x="0" y="0"/>
                      <a:ext cx="5400040" cy="2281180"/>
                    </a:xfrm>
                    <a:prstGeom prst="rect">
                      <a:avLst/>
                    </a:prstGeom>
                    <a:noFill/>
                    <a:ln>
                      <a:noFill/>
                    </a:ln>
                  </pic:spPr>
                </pic:pic>
              </a:graphicData>
            </a:graphic>
          </wp:inline>
        </w:drawing>
      </w:r>
    </w:p>
    <w:p w14:paraId="38D5E820"/>
    <w:p w14:paraId="0136D99D">
      <w:r>
        <w:rPr>
          <w:rFonts w:hint="eastAsia"/>
        </w:rPr>
        <w:t>点击</w:t>
      </w:r>
      <w:r>
        <w:t>&lt;</w:t>
      </w:r>
      <w:r>
        <w:rPr>
          <w:rFonts w:hint="eastAsia"/>
        </w:rPr>
        <w:t>提交</w:t>
      </w:r>
      <w:r>
        <w:t>&gt;</w:t>
      </w:r>
      <w:r>
        <w:rPr>
          <w:rFonts w:hint="eastAsia"/>
        </w:rPr>
        <w:t>按钮，完成自定义应用</w:t>
      </w:r>
      <w:r>
        <w:t>标签对象</w:t>
      </w:r>
      <w:r>
        <w:rPr>
          <w:rFonts w:hint="eastAsia"/>
        </w:rPr>
        <w:t>的配置，</w:t>
      </w:r>
      <w:r>
        <w:t>如</w:t>
      </w:r>
      <w:r>
        <w:fldChar w:fldCharType="begin"/>
      </w:r>
      <w:r>
        <w:instrText xml:space="preserve"> REF _Ref4605103 \r \h  \* MERGEFORMAT </w:instrText>
      </w:r>
      <w:r>
        <w:fldChar w:fldCharType="separate"/>
      </w:r>
      <w:r>
        <w:rPr>
          <w:rFonts w:hint="eastAsia"/>
        </w:rPr>
        <w:t>图28-4</w:t>
      </w:r>
      <w:r>
        <w:fldChar w:fldCharType="end"/>
      </w:r>
      <w:r>
        <w:t>所示。</w:t>
      </w:r>
    </w:p>
    <w:p w14:paraId="3047022D">
      <w:pPr>
        <w:pStyle w:val="188"/>
      </w:pPr>
      <w:bookmarkStart w:id="6103" w:name="_Toc141874936"/>
      <w:bookmarkStart w:id="6104" w:name="_Ref4605103"/>
      <w:r>
        <w:rPr>
          <w:rFonts w:hint="eastAsia"/>
        </w:rPr>
        <w:t>应用</w:t>
      </w:r>
      <w:r>
        <w:t>标签对象自定义配置完成</w:t>
      </w:r>
      <w:bookmarkEnd w:id="6103"/>
      <w:bookmarkEnd w:id="6104"/>
    </w:p>
    <w:p w14:paraId="2F2B3D49">
      <w:r>
        <w:drawing>
          <wp:inline distT="0" distB="0" distL="0" distR="0">
            <wp:extent cx="5629275" cy="988695"/>
            <wp:effectExtent l="0" t="0" r="0" b="1905"/>
            <wp:docPr id="552"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552"/>
                    <pic:cNvPicPr>
                      <a:picLocks noChangeAspect="1"/>
                    </pic:cNvPicPr>
                  </pic:nvPicPr>
                  <pic:blipFill>
                    <a:blip r:embed="rId764"/>
                    <a:stretch>
                      <a:fillRect/>
                    </a:stretch>
                  </pic:blipFill>
                  <pic:spPr>
                    <a:xfrm>
                      <a:off x="0" y="0"/>
                      <a:ext cx="5648423" cy="992678"/>
                    </a:xfrm>
                    <a:prstGeom prst="rect">
                      <a:avLst/>
                    </a:prstGeom>
                  </pic:spPr>
                </pic:pic>
              </a:graphicData>
            </a:graphic>
          </wp:inline>
        </w:drawing>
      </w:r>
    </w:p>
    <w:p w14:paraId="28DADCB2"/>
    <w:p w14:paraId="6F515936">
      <w:r>
        <w:rPr>
          <w:rFonts w:hint="eastAsia"/>
        </w:rPr>
        <w:t>自定义</w:t>
      </w:r>
      <w:r>
        <w:t>配置好的应用标签对象可以在应用对象页面</w:t>
      </w:r>
      <w:r>
        <w:rPr>
          <w:rFonts w:hint="eastAsia"/>
        </w:rPr>
        <w:t>上</w:t>
      </w:r>
      <w:r>
        <w:t>展示，如</w:t>
      </w:r>
      <w:r>
        <w:fldChar w:fldCharType="begin"/>
      </w:r>
      <w:r>
        <w:instrText xml:space="preserve"> REF _Ref4605111 \r \h  \* MERGEFORMAT </w:instrText>
      </w:r>
      <w:r>
        <w:fldChar w:fldCharType="separate"/>
      </w:r>
      <w:r>
        <w:rPr>
          <w:rFonts w:hint="eastAsia"/>
        </w:rPr>
        <w:t>图28-5</w:t>
      </w:r>
      <w:r>
        <w:fldChar w:fldCharType="end"/>
      </w:r>
      <w:r>
        <w:t>所示。</w:t>
      </w:r>
    </w:p>
    <w:p w14:paraId="1ED86C2F">
      <w:pPr>
        <w:pStyle w:val="188"/>
      </w:pPr>
      <w:bookmarkStart w:id="6105" w:name="_Ref4605111"/>
      <w:bookmarkStart w:id="6106" w:name="_Toc141874937"/>
      <w:r>
        <w:rPr>
          <w:rFonts w:hint="eastAsia"/>
        </w:rPr>
        <w:t>应用</w:t>
      </w:r>
      <w:r>
        <w:t>对象组展示</w:t>
      </w:r>
      <w:r>
        <w:rPr>
          <w:rFonts w:hint="eastAsia"/>
        </w:rPr>
        <w:t>自定义</w:t>
      </w:r>
      <w:r>
        <w:t>应用标签对象</w:t>
      </w:r>
      <w:bookmarkEnd w:id="6105"/>
      <w:bookmarkEnd w:id="6106"/>
    </w:p>
    <w:p w14:paraId="6FBB172C">
      <w:r>
        <w:drawing>
          <wp:inline distT="0" distB="0" distL="0" distR="0">
            <wp:extent cx="5638800" cy="3189605"/>
            <wp:effectExtent l="0" t="0" r="0" b="0"/>
            <wp:docPr id="553" name="图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553"/>
                    <pic:cNvPicPr>
                      <a:picLocks noChangeAspect="1"/>
                    </pic:cNvPicPr>
                  </pic:nvPicPr>
                  <pic:blipFill>
                    <a:blip r:embed="rId765"/>
                    <a:stretch>
                      <a:fillRect/>
                    </a:stretch>
                  </pic:blipFill>
                  <pic:spPr>
                    <a:xfrm>
                      <a:off x="0" y="0"/>
                      <a:ext cx="5649107" cy="3195828"/>
                    </a:xfrm>
                    <a:prstGeom prst="rect">
                      <a:avLst/>
                    </a:prstGeom>
                  </pic:spPr>
                </pic:pic>
              </a:graphicData>
            </a:graphic>
          </wp:inline>
        </w:drawing>
      </w:r>
    </w:p>
    <w:p w14:paraId="7774D37D"/>
    <w:p w14:paraId="57E260D0">
      <w:pPr>
        <w:pStyle w:val="5"/>
      </w:pPr>
      <w:bookmarkStart w:id="6107" w:name="_Toc141873574"/>
      <w:bookmarkStart w:id="6108" w:name="_Toc4771278"/>
      <w:bookmarkStart w:id="6109" w:name="_Toc142401091"/>
      <w:bookmarkStart w:id="6110" w:name="_Toc23152886"/>
      <w:bookmarkStart w:id="6111" w:name="_Toc172218345"/>
      <w:bookmarkStart w:id="6112" w:name="_Toc6234891"/>
      <w:bookmarkStart w:id="6113" w:name="_Toc194081047"/>
      <w:bookmarkStart w:id="6114" w:name="_Toc15485122"/>
      <w:bookmarkStart w:id="6115" w:name="_Toc99561710"/>
      <w:bookmarkStart w:id="6116" w:name="_Toc196728379"/>
      <w:bookmarkStart w:id="6117" w:name="_Toc529430990"/>
      <w:bookmarkStart w:id="6118" w:name="_Toc40276312"/>
      <w:r>
        <w:rPr>
          <w:rFonts w:hint="eastAsia"/>
        </w:rPr>
        <w:t>自定义应用</w:t>
      </w:r>
      <w:bookmarkEnd w:id="6107"/>
      <w:bookmarkEnd w:id="6108"/>
      <w:bookmarkEnd w:id="6109"/>
      <w:bookmarkEnd w:id="6110"/>
      <w:bookmarkEnd w:id="6111"/>
      <w:bookmarkEnd w:id="6112"/>
      <w:bookmarkEnd w:id="6113"/>
      <w:bookmarkEnd w:id="6114"/>
      <w:bookmarkEnd w:id="6115"/>
      <w:bookmarkEnd w:id="6116"/>
      <w:bookmarkEnd w:id="6117"/>
      <w:bookmarkEnd w:id="6118"/>
    </w:p>
    <w:p w14:paraId="22A8F5E3">
      <w:pPr>
        <w:pStyle w:val="6"/>
      </w:pPr>
      <w:bookmarkStart w:id="6119" w:name="_Toc4771279"/>
      <w:bookmarkStart w:id="6120" w:name="_Toc6234892"/>
      <w:bookmarkStart w:id="6121" w:name="_Toc15485123"/>
      <w:bookmarkStart w:id="6122" w:name="_Toc23152887"/>
      <w:bookmarkStart w:id="6123" w:name="_Toc40276313"/>
      <w:bookmarkStart w:id="6124" w:name="_Toc99561711"/>
      <w:r>
        <w:t>自定义应用简介</w:t>
      </w:r>
      <w:bookmarkEnd w:id="6119"/>
      <w:bookmarkEnd w:id="6120"/>
      <w:bookmarkEnd w:id="6121"/>
      <w:bookmarkEnd w:id="6122"/>
      <w:bookmarkEnd w:id="6123"/>
      <w:bookmarkEnd w:id="6124"/>
    </w:p>
    <w:p w14:paraId="46EDD5A3">
      <w:r>
        <w:rPr>
          <w:rFonts w:hint="eastAsia"/>
        </w:rPr>
        <w:t>通用的应用无法满足客户的需求，客户需要根据自己定义的规则，标识为自定义的应用。从而方便管理和监控整个网络。</w:t>
      </w:r>
    </w:p>
    <w:p w14:paraId="2D29B5B1">
      <w:pPr>
        <w:pStyle w:val="6"/>
      </w:pPr>
      <w:bookmarkStart w:id="6125" w:name="_Toc529430993"/>
      <w:bookmarkStart w:id="6126" w:name="_Toc4771280"/>
      <w:bookmarkStart w:id="6127" w:name="_Toc6234893"/>
      <w:bookmarkStart w:id="6128" w:name="_Toc15485124"/>
      <w:bookmarkStart w:id="6129" w:name="_Toc23152888"/>
      <w:bookmarkStart w:id="6130" w:name="_Toc40276314"/>
      <w:bookmarkStart w:id="6131" w:name="_Toc99561712"/>
      <w:r>
        <w:rPr>
          <w:rFonts w:hint="eastAsia"/>
        </w:rPr>
        <w:t>自定义应用页面</w:t>
      </w:r>
      <w:bookmarkEnd w:id="6125"/>
      <w:bookmarkEnd w:id="6126"/>
      <w:bookmarkEnd w:id="6127"/>
      <w:bookmarkEnd w:id="6128"/>
      <w:bookmarkEnd w:id="6129"/>
      <w:bookmarkEnd w:id="6130"/>
      <w:bookmarkEnd w:id="6131"/>
    </w:p>
    <w:p w14:paraId="342C1B39">
      <w:r>
        <w:rPr>
          <w:rFonts w:hint="eastAsia"/>
        </w:rPr>
        <w:t>在导航栏中选择“策略配置 &gt;</w:t>
      </w:r>
      <w:r>
        <w:t xml:space="preserve"> </w:t>
      </w:r>
      <w:r>
        <w:rPr>
          <w:rFonts w:hint="eastAsia"/>
        </w:rPr>
        <w:t>对象管理</w:t>
      </w:r>
      <w:r>
        <w:t xml:space="preserve"> &gt; </w:t>
      </w:r>
      <w:r>
        <w:rPr>
          <w:rFonts w:hint="eastAsia"/>
        </w:rPr>
        <w:t>应用</w:t>
      </w:r>
      <w:r>
        <w:t>对象</w:t>
      </w:r>
      <w:r>
        <w:rPr>
          <w:rFonts w:hint="eastAsia"/>
        </w:rPr>
        <w:t>”，点击“自定义应用”标签页，进入自定义应用页面。</w:t>
      </w:r>
    </w:p>
    <w:p w14:paraId="1B1D1DF8">
      <w:pPr>
        <w:pStyle w:val="188"/>
      </w:pPr>
      <w:bookmarkStart w:id="6132" w:name="_Toc141874938"/>
      <w:r>
        <w:rPr>
          <w:rFonts w:hint="eastAsia"/>
        </w:rPr>
        <w:t>自定义应用设置页面</w:t>
      </w:r>
      <w:bookmarkEnd w:id="6132"/>
    </w:p>
    <w:p w14:paraId="471378C7">
      <w:r>
        <w:drawing>
          <wp:inline distT="0" distB="0" distL="0" distR="0">
            <wp:extent cx="5400040" cy="1443990"/>
            <wp:effectExtent l="0" t="0" r="0" b="3810"/>
            <wp:docPr id="696"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图片 77"/>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a:xfrm>
                      <a:off x="0" y="0"/>
                      <a:ext cx="5400040" cy="1444490"/>
                    </a:xfrm>
                    <a:prstGeom prst="rect">
                      <a:avLst/>
                    </a:prstGeom>
                    <a:noFill/>
                    <a:ln>
                      <a:noFill/>
                    </a:ln>
                  </pic:spPr>
                </pic:pic>
              </a:graphicData>
            </a:graphic>
          </wp:inline>
        </w:drawing>
      </w:r>
    </w:p>
    <w:p w14:paraId="510D4149"/>
    <w:p w14:paraId="048E62F1">
      <w:pPr>
        <w:pStyle w:val="183"/>
      </w:pPr>
      <w:bookmarkStart w:id="6133" w:name="_Toc141875617"/>
      <w:r>
        <w:rPr>
          <w:rFonts w:hint="eastAsia"/>
        </w:rPr>
        <w:t>自定义应用页面详细说明</w:t>
      </w:r>
      <w:bookmarkEnd w:id="6133"/>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6BF2A46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tcBorders>
              <w:tl2br w:val="nil"/>
              <w:tr2bl w:val="nil"/>
            </w:tcBorders>
            <w:shd w:val="clear" w:color="auto" w:fill="538135" w:themeFill="accent6" w:themeFillShade="BF"/>
            <w:vAlign w:val="center"/>
          </w:tcPr>
          <w:p w14:paraId="65766DB9">
            <w:pPr>
              <w:pStyle w:val="149"/>
              <w:wordWrap/>
              <w:rPr>
                <w:b/>
                <w:bCs/>
                <w:i w:val="0"/>
                <w:iCs w:val="0"/>
              </w:rPr>
            </w:pPr>
            <w:r>
              <w:rPr>
                <w:rFonts w:hint="eastAsia"/>
                <w:b/>
                <w:bCs/>
                <w:i w:val="0"/>
                <w:iCs w:val="0"/>
              </w:rPr>
              <w:t>项目</w:t>
            </w:r>
          </w:p>
        </w:tc>
        <w:tc>
          <w:tcPr>
            <w:tcW w:w="6817" w:type="dxa"/>
            <w:tcBorders>
              <w:tl2br w:val="nil"/>
              <w:tr2bl w:val="nil"/>
            </w:tcBorders>
            <w:shd w:val="clear" w:color="auto" w:fill="538135" w:themeFill="accent6" w:themeFillShade="BF"/>
            <w:vAlign w:val="center"/>
          </w:tcPr>
          <w:p w14:paraId="0B5C3890">
            <w:pPr>
              <w:pStyle w:val="149"/>
              <w:wordWrap/>
              <w:rPr>
                <w:b/>
                <w:bCs/>
                <w:i w:val="0"/>
                <w:iCs w:val="0"/>
              </w:rPr>
            </w:pPr>
            <w:r>
              <w:rPr>
                <w:rFonts w:hint="eastAsia"/>
                <w:b/>
                <w:bCs/>
                <w:i w:val="0"/>
                <w:iCs w:val="0"/>
              </w:rPr>
              <w:t>说明</w:t>
            </w:r>
          </w:p>
        </w:tc>
      </w:tr>
      <w:tr w14:paraId="76B9971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569B1209">
            <w:pPr>
              <w:pStyle w:val="150"/>
            </w:pPr>
            <w:r>
              <w:rPr>
                <w:rFonts w:hint="eastAsia"/>
              </w:rPr>
              <w:t>新建</w:t>
            </w:r>
          </w:p>
        </w:tc>
        <w:tc>
          <w:tcPr>
            <w:tcW w:w="6817" w:type="dxa"/>
            <w:shd w:val="clear" w:color="auto" w:fill="auto"/>
          </w:tcPr>
          <w:p w14:paraId="160FC9B3">
            <w:pPr>
              <w:pStyle w:val="150"/>
            </w:pPr>
            <w:r>
              <w:t>新建一个自定义应用</w:t>
            </w:r>
          </w:p>
        </w:tc>
      </w:tr>
      <w:tr w14:paraId="23542C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48E7317D">
            <w:pPr>
              <w:pStyle w:val="150"/>
            </w:pPr>
            <w:r>
              <w:rPr>
                <w:rFonts w:hint="eastAsia"/>
              </w:rPr>
              <w:t>删除</w:t>
            </w:r>
          </w:p>
        </w:tc>
        <w:tc>
          <w:tcPr>
            <w:tcW w:w="6817" w:type="dxa"/>
            <w:shd w:val="clear" w:color="auto" w:fill="auto"/>
          </w:tcPr>
          <w:p w14:paraId="68626F49">
            <w:pPr>
              <w:pStyle w:val="150"/>
            </w:pPr>
            <w:r>
              <w:t>删除一个自定义应用</w:t>
            </w:r>
          </w:p>
        </w:tc>
      </w:tr>
      <w:tr w14:paraId="5780A74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6F38EA19">
            <w:pPr>
              <w:pStyle w:val="150"/>
            </w:pPr>
            <w:r>
              <w:rPr>
                <w:rFonts w:hint="eastAsia"/>
              </w:rPr>
              <w:t>全部删除</w:t>
            </w:r>
          </w:p>
        </w:tc>
        <w:tc>
          <w:tcPr>
            <w:tcW w:w="6817" w:type="dxa"/>
            <w:shd w:val="clear" w:color="auto" w:fill="auto"/>
          </w:tcPr>
          <w:p w14:paraId="7579AA21">
            <w:pPr>
              <w:pStyle w:val="150"/>
            </w:pPr>
            <w:r>
              <w:t>全部删除自定义应用</w:t>
            </w:r>
          </w:p>
        </w:tc>
      </w:tr>
      <w:tr w14:paraId="1FDA8F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7D9F23CA">
            <w:pPr>
              <w:pStyle w:val="150"/>
            </w:pPr>
            <w:r>
              <w:rPr>
                <w:rFonts w:hint="eastAsia"/>
              </w:rPr>
              <w:t>导入</w:t>
            </w:r>
          </w:p>
        </w:tc>
        <w:tc>
          <w:tcPr>
            <w:tcW w:w="6817" w:type="dxa"/>
            <w:shd w:val="clear" w:color="auto" w:fill="auto"/>
          </w:tcPr>
          <w:p w14:paraId="5D2CEF06">
            <w:pPr>
              <w:pStyle w:val="150"/>
            </w:pPr>
            <w:r>
              <w:t>导入自定义应用</w:t>
            </w:r>
          </w:p>
        </w:tc>
      </w:tr>
      <w:tr w14:paraId="104F39C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1EC87E2E">
            <w:pPr>
              <w:pStyle w:val="150"/>
            </w:pPr>
            <w:r>
              <w:rPr>
                <w:rFonts w:hint="eastAsia"/>
              </w:rPr>
              <w:t>导出</w:t>
            </w:r>
          </w:p>
        </w:tc>
        <w:tc>
          <w:tcPr>
            <w:tcW w:w="6817" w:type="dxa"/>
            <w:shd w:val="clear" w:color="auto" w:fill="auto"/>
          </w:tcPr>
          <w:p w14:paraId="0C9D799D">
            <w:pPr>
              <w:pStyle w:val="150"/>
            </w:pPr>
            <w:r>
              <w:t>导出自定义应用</w:t>
            </w:r>
          </w:p>
        </w:tc>
      </w:tr>
      <w:tr w14:paraId="15A76CF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4A68548B">
            <w:pPr>
              <w:pStyle w:val="150"/>
            </w:pPr>
            <w:r>
              <w:rPr>
                <w:rFonts w:hint="eastAsia"/>
              </w:rPr>
              <w:t>启用</w:t>
            </w:r>
          </w:p>
        </w:tc>
        <w:tc>
          <w:tcPr>
            <w:tcW w:w="6817" w:type="dxa"/>
            <w:shd w:val="clear" w:color="auto" w:fill="auto"/>
          </w:tcPr>
          <w:p w14:paraId="1F803CC1">
            <w:pPr>
              <w:pStyle w:val="150"/>
            </w:pPr>
            <w:r>
              <w:t>启用自定义应用</w:t>
            </w:r>
          </w:p>
        </w:tc>
      </w:tr>
      <w:tr w14:paraId="0B52F1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530B0F33">
            <w:pPr>
              <w:pStyle w:val="150"/>
            </w:pPr>
            <w:r>
              <w:rPr>
                <w:rFonts w:hint="eastAsia"/>
              </w:rPr>
              <w:t>禁用</w:t>
            </w:r>
          </w:p>
        </w:tc>
        <w:tc>
          <w:tcPr>
            <w:tcW w:w="6817" w:type="dxa"/>
            <w:shd w:val="clear" w:color="auto" w:fill="auto"/>
          </w:tcPr>
          <w:p w14:paraId="6A52F376">
            <w:pPr>
              <w:pStyle w:val="150"/>
            </w:pPr>
            <w:r>
              <w:t>禁用自定义应用</w:t>
            </w:r>
          </w:p>
        </w:tc>
      </w:tr>
    </w:tbl>
    <w:p w14:paraId="07FC0A9F"/>
    <w:p w14:paraId="6B30281C">
      <w:pPr>
        <w:pStyle w:val="6"/>
      </w:pPr>
      <w:bookmarkStart w:id="6134" w:name="_Toc529430994"/>
      <w:bookmarkStart w:id="6135" w:name="_Toc4771281"/>
      <w:bookmarkStart w:id="6136" w:name="_Toc6234894"/>
      <w:bookmarkStart w:id="6137" w:name="_Toc15485125"/>
      <w:bookmarkStart w:id="6138" w:name="_Toc23152889"/>
      <w:bookmarkStart w:id="6139" w:name="_Toc40276315"/>
      <w:bookmarkStart w:id="6140" w:name="_Toc99561713"/>
      <w:r>
        <w:t>自定义应用设置规则</w:t>
      </w:r>
      <w:bookmarkEnd w:id="6134"/>
      <w:bookmarkEnd w:id="6135"/>
      <w:bookmarkEnd w:id="6136"/>
      <w:bookmarkEnd w:id="6137"/>
      <w:bookmarkEnd w:id="6138"/>
      <w:bookmarkEnd w:id="6139"/>
      <w:bookmarkEnd w:id="6140"/>
    </w:p>
    <w:p w14:paraId="317FBCC6">
      <w:r>
        <w:rPr>
          <w:rFonts w:hint="eastAsia"/>
        </w:rPr>
        <w:t>在导航栏中选择“策略配置 &gt;</w:t>
      </w:r>
      <w:r>
        <w:t xml:space="preserve"> </w:t>
      </w:r>
      <w:r>
        <w:rPr>
          <w:rFonts w:hint="eastAsia"/>
        </w:rPr>
        <w:t>对象管理</w:t>
      </w:r>
      <w:r>
        <w:t xml:space="preserve"> &gt; </w:t>
      </w:r>
      <w:r>
        <w:rPr>
          <w:rFonts w:hint="eastAsia"/>
        </w:rPr>
        <w:t>应用</w:t>
      </w:r>
      <w:r>
        <w:t>对象</w:t>
      </w:r>
      <w:r>
        <w:rPr>
          <w:rFonts w:hint="eastAsia"/>
        </w:rPr>
        <w:t xml:space="preserve"> </w:t>
      </w:r>
      <w:r>
        <w:t xml:space="preserve">&gt; </w:t>
      </w:r>
      <w:r>
        <w:rPr>
          <w:rFonts w:hint="eastAsia"/>
        </w:rPr>
        <w:t>自定义应用</w:t>
      </w:r>
      <w:r>
        <w:t>&gt;</w:t>
      </w:r>
      <w:r>
        <w:rPr>
          <w:rFonts w:hint="eastAsia"/>
        </w:rPr>
        <w:t>”点击&lt;新建&gt;，进入自定义应用配置规则页面，如</w:t>
      </w:r>
      <w:r>
        <w:rPr>
          <w:color w:val="0000FF"/>
          <w:u w:val="single"/>
        </w:rPr>
        <w:fldChar w:fldCharType="begin"/>
      </w:r>
      <w:r>
        <w:rPr>
          <w:color w:val="0000FF"/>
          <w:u w:val="single"/>
        </w:rPr>
        <w:instrText xml:space="preserve"> </w:instrText>
      </w:r>
      <w:r>
        <w:rPr>
          <w:rFonts w:hint="eastAsia"/>
          <w:color w:val="0000FF"/>
          <w:u w:val="single"/>
        </w:rPr>
        <w:instrText xml:space="preserve">REF _Ref511049688 \r \h</w:instrText>
      </w:r>
      <w:r>
        <w:rPr>
          <w:color w:val="0000FF"/>
          <w:u w:val="single"/>
        </w:rPr>
        <w:instrText xml:space="preserve"> </w:instrText>
      </w:r>
      <w:r>
        <w:rPr>
          <w:color w:val="0000FF"/>
          <w:u w:val="single"/>
        </w:rPr>
        <w:fldChar w:fldCharType="separate"/>
      </w:r>
      <w:r>
        <w:rPr>
          <w:rFonts w:hint="eastAsia"/>
          <w:color w:val="0000FF"/>
          <w:u w:val="single"/>
        </w:rPr>
        <w:t>图28-7</w:t>
      </w:r>
      <w:r>
        <w:rPr>
          <w:color w:val="0000FF"/>
          <w:u w:val="single"/>
        </w:rPr>
        <w:fldChar w:fldCharType="end"/>
      </w:r>
      <w:r>
        <w:rPr>
          <w:rFonts w:hint="eastAsia"/>
        </w:rPr>
        <w:t>所示。</w:t>
      </w:r>
    </w:p>
    <w:p w14:paraId="0C79C27D">
      <w:pPr>
        <w:pStyle w:val="188"/>
      </w:pPr>
      <w:bookmarkStart w:id="6141" w:name="_Ref511049688"/>
      <w:bookmarkStart w:id="6142" w:name="_Toc141874939"/>
      <w:r>
        <w:rPr>
          <w:rFonts w:hint="eastAsia"/>
        </w:rPr>
        <w:t>自定义应用设置规则页面</w:t>
      </w:r>
      <w:bookmarkEnd w:id="6141"/>
      <w:bookmarkEnd w:id="6142"/>
    </w:p>
    <w:p w14:paraId="3626DE9F">
      <w:r>
        <w:drawing>
          <wp:inline distT="0" distB="0" distL="0" distR="0">
            <wp:extent cx="5400040" cy="5626735"/>
            <wp:effectExtent l="0" t="0" r="0" b="0"/>
            <wp:docPr id="697" name="图片 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图片 3626"/>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a:xfrm>
                      <a:off x="0" y="0"/>
                      <a:ext cx="5400040" cy="5626791"/>
                    </a:xfrm>
                    <a:prstGeom prst="rect">
                      <a:avLst/>
                    </a:prstGeom>
                    <a:noFill/>
                    <a:ln>
                      <a:noFill/>
                    </a:ln>
                  </pic:spPr>
                </pic:pic>
              </a:graphicData>
            </a:graphic>
          </wp:inline>
        </w:drawing>
      </w:r>
    </w:p>
    <w:p w14:paraId="0C374FDC"/>
    <w:p w14:paraId="40FF5315">
      <w:r>
        <w:rPr>
          <w:rFonts w:hint="eastAsia"/>
        </w:rPr>
        <w:t>页面的详细说明如</w:t>
      </w:r>
      <w:r>
        <w:fldChar w:fldCharType="begin"/>
      </w:r>
      <w:r>
        <w:instrText xml:space="preserve"> </w:instrText>
      </w:r>
      <w:r>
        <w:rPr>
          <w:rFonts w:hint="eastAsia"/>
        </w:rPr>
        <w:instrText xml:space="preserve">REF _Ref511049696 \r \h</w:instrText>
      </w:r>
      <w:r>
        <w:instrText xml:space="preserve"> </w:instrText>
      </w:r>
      <w:r>
        <w:fldChar w:fldCharType="separate"/>
      </w:r>
      <w:r>
        <w:rPr>
          <w:rFonts w:hint="eastAsia"/>
        </w:rPr>
        <w:t>表28-1</w:t>
      </w:r>
      <w:r>
        <w:fldChar w:fldCharType="end"/>
      </w:r>
      <w:r>
        <w:rPr>
          <w:rFonts w:hint="eastAsia"/>
        </w:rPr>
        <w:t>所示。</w:t>
      </w:r>
    </w:p>
    <w:p w14:paraId="1E233442">
      <w:pPr>
        <w:pStyle w:val="183"/>
      </w:pPr>
      <w:bookmarkStart w:id="6143" w:name="_Toc141875618"/>
      <w:bookmarkStart w:id="6144" w:name="_Ref511049696"/>
      <w:r>
        <w:rPr>
          <w:rFonts w:hint="eastAsia"/>
        </w:rPr>
        <w:t>自定义应用配置详细说明</w:t>
      </w:r>
      <w:bookmarkEnd w:id="6143"/>
      <w:bookmarkEnd w:id="6144"/>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16AC614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tcBorders>
              <w:tl2br w:val="nil"/>
              <w:tr2bl w:val="nil"/>
            </w:tcBorders>
            <w:shd w:val="clear" w:color="auto" w:fill="538135" w:themeFill="accent6" w:themeFillShade="BF"/>
            <w:vAlign w:val="center"/>
          </w:tcPr>
          <w:p w14:paraId="47988378">
            <w:pPr>
              <w:pStyle w:val="149"/>
              <w:wordWrap/>
              <w:rPr>
                <w:b/>
                <w:bCs/>
                <w:i w:val="0"/>
                <w:iCs w:val="0"/>
              </w:rPr>
            </w:pPr>
            <w:r>
              <w:rPr>
                <w:rFonts w:hint="eastAsia"/>
                <w:b/>
                <w:bCs/>
                <w:i w:val="0"/>
                <w:iCs w:val="0"/>
              </w:rPr>
              <w:t>项目</w:t>
            </w:r>
          </w:p>
        </w:tc>
        <w:tc>
          <w:tcPr>
            <w:tcW w:w="6816" w:type="dxa"/>
            <w:tcBorders>
              <w:tl2br w:val="nil"/>
              <w:tr2bl w:val="nil"/>
            </w:tcBorders>
            <w:shd w:val="clear" w:color="auto" w:fill="538135" w:themeFill="accent6" w:themeFillShade="BF"/>
            <w:vAlign w:val="center"/>
          </w:tcPr>
          <w:p w14:paraId="40F874FA">
            <w:pPr>
              <w:pStyle w:val="149"/>
              <w:wordWrap/>
              <w:rPr>
                <w:b/>
                <w:bCs/>
                <w:i w:val="0"/>
                <w:iCs w:val="0"/>
              </w:rPr>
            </w:pPr>
            <w:r>
              <w:rPr>
                <w:rFonts w:hint="eastAsia"/>
                <w:b/>
                <w:bCs/>
                <w:i w:val="0"/>
                <w:iCs w:val="0"/>
              </w:rPr>
              <w:t>说明</w:t>
            </w:r>
          </w:p>
        </w:tc>
      </w:tr>
      <w:tr w14:paraId="3FC5668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6E1BCA8F">
            <w:pPr>
              <w:pStyle w:val="150"/>
            </w:pPr>
            <w:r>
              <w:rPr>
                <w:rFonts w:hint="eastAsia"/>
              </w:rPr>
              <w:t>启用</w:t>
            </w:r>
          </w:p>
        </w:tc>
        <w:tc>
          <w:tcPr>
            <w:tcW w:w="6816" w:type="dxa"/>
            <w:shd w:val="clear" w:color="auto" w:fill="auto"/>
          </w:tcPr>
          <w:p w14:paraId="3B36C8E2">
            <w:pPr>
              <w:pStyle w:val="150"/>
            </w:pPr>
            <w:r>
              <w:t>该自定义应用是否开启匹配</w:t>
            </w:r>
            <w:r>
              <w:rPr>
                <w:rFonts w:hint="eastAsia"/>
              </w:rPr>
              <w:t>。</w:t>
            </w:r>
          </w:p>
        </w:tc>
      </w:tr>
      <w:tr w14:paraId="49DAF5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12FB66D8">
            <w:pPr>
              <w:pStyle w:val="150"/>
            </w:pPr>
            <w:r>
              <w:rPr>
                <w:rFonts w:hint="eastAsia"/>
              </w:rPr>
              <w:t>名称</w:t>
            </w:r>
          </w:p>
        </w:tc>
        <w:tc>
          <w:tcPr>
            <w:tcW w:w="6816" w:type="dxa"/>
            <w:shd w:val="clear" w:color="auto" w:fill="auto"/>
          </w:tcPr>
          <w:p w14:paraId="51A53479">
            <w:pPr>
              <w:pStyle w:val="150"/>
            </w:pPr>
            <w:r>
              <w:t>应用名称</w:t>
            </w:r>
          </w:p>
        </w:tc>
      </w:tr>
      <w:tr w14:paraId="776444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6FFBA1EC">
            <w:pPr>
              <w:pStyle w:val="150"/>
            </w:pPr>
            <w:r>
              <w:rPr>
                <w:rFonts w:hint="eastAsia"/>
              </w:rPr>
              <w:t>描述</w:t>
            </w:r>
          </w:p>
        </w:tc>
        <w:tc>
          <w:tcPr>
            <w:tcW w:w="6816" w:type="dxa"/>
            <w:shd w:val="clear" w:color="auto" w:fill="auto"/>
          </w:tcPr>
          <w:p w14:paraId="237FC2E3">
            <w:pPr>
              <w:pStyle w:val="150"/>
            </w:pPr>
            <w:r>
              <w:t>自定义应用的描述信息。</w:t>
            </w:r>
          </w:p>
        </w:tc>
      </w:tr>
      <w:tr w14:paraId="19BCEF5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5CA59C26">
            <w:pPr>
              <w:pStyle w:val="150"/>
            </w:pPr>
            <w:r>
              <w:rPr>
                <w:rFonts w:hint="eastAsia"/>
              </w:rPr>
              <w:t>风险级别</w:t>
            </w:r>
          </w:p>
        </w:tc>
        <w:tc>
          <w:tcPr>
            <w:tcW w:w="6816" w:type="dxa"/>
            <w:shd w:val="clear" w:color="auto" w:fill="auto"/>
          </w:tcPr>
          <w:p w14:paraId="58644521">
            <w:pPr>
              <w:pStyle w:val="150"/>
            </w:pPr>
            <w:r>
              <w:rPr>
                <w:rFonts w:hint="eastAsia"/>
              </w:rPr>
              <w:t>应用的风险级别，分为低、中、高三个级别。</w:t>
            </w:r>
          </w:p>
        </w:tc>
      </w:tr>
      <w:tr w14:paraId="04C08D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003682C0">
            <w:pPr>
              <w:pStyle w:val="150"/>
            </w:pPr>
            <w:r>
              <w:rPr>
                <w:rFonts w:hint="eastAsia"/>
              </w:rPr>
              <w:t>应用类</w:t>
            </w:r>
          </w:p>
        </w:tc>
        <w:tc>
          <w:tcPr>
            <w:tcW w:w="6816" w:type="dxa"/>
            <w:shd w:val="clear" w:color="auto" w:fill="auto"/>
          </w:tcPr>
          <w:p w14:paraId="46429E52">
            <w:pPr>
              <w:pStyle w:val="150"/>
            </w:pPr>
            <w:r>
              <w:rPr>
                <w:rFonts w:hint="eastAsia"/>
              </w:rPr>
              <w:t>选择应用的应用类别，比如QQ就是即时通讯。</w:t>
            </w:r>
          </w:p>
        </w:tc>
      </w:tr>
      <w:tr w14:paraId="18547FA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6A0DBE4D">
            <w:pPr>
              <w:pStyle w:val="150"/>
            </w:pPr>
            <w:r>
              <w:rPr>
                <w:rFonts w:hint="eastAsia"/>
              </w:rPr>
              <w:t>数据包方向</w:t>
            </w:r>
          </w:p>
        </w:tc>
        <w:tc>
          <w:tcPr>
            <w:tcW w:w="6816" w:type="dxa"/>
            <w:shd w:val="clear" w:color="auto" w:fill="auto"/>
          </w:tcPr>
          <w:p w14:paraId="2C4A8A55">
            <w:pPr>
              <w:pStyle w:val="150"/>
            </w:pPr>
            <w:r>
              <w:rPr>
                <w:rFonts w:hint="eastAsia"/>
              </w:rPr>
              <w:t>数据包方向，包含任意、请求数据和响应数据。</w:t>
            </w:r>
          </w:p>
          <w:p w14:paraId="42A9AA1B">
            <w:pPr>
              <w:pStyle w:val="150"/>
            </w:pPr>
            <w:r>
              <w:rPr>
                <w:rFonts w:hint="eastAsia"/>
              </w:rPr>
              <w:t>任意：包含请求数据和响应数据。</w:t>
            </w:r>
          </w:p>
          <w:p w14:paraId="01EFB5BD">
            <w:pPr>
              <w:pStyle w:val="150"/>
            </w:pPr>
            <w:r>
              <w:rPr>
                <w:rFonts w:hint="eastAsia"/>
              </w:rPr>
              <w:t>请求数据：只匹配请求的数据。</w:t>
            </w:r>
          </w:p>
          <w:p w14:paraId="641BC4A9">
            <w:pPr>
              <w:pStyle w:val="150"/>
            </w:pPr>
            <w:r>
              <w:rPr>
                <w:rFonts w:hint="eastAsia"/>
              </w:rPr>
              <w:t>响应数据：只匹配响应的数据。</w:t>
            </w:r>
          </w:p>
        </w:tc>
      </w:tr>
      <w:tr w14:paraId="29B630A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7CB22EF6">
            <w:pPr>
              <w:pStyle w:val="150"/>
            </w:pPr>
            <w:r>
              <w:rPr>
                <w:rFonts w:hint="eastAsia"/>
              </w:rPr>
              <w:t>协议</w:t>
            </w:r>
          </w:p>
        </w:tc>
        <w:tc>
          <w:tcPr>
            <w:tcW w:w="6816" w:type="dxa"/>
            <w:shd w:val="clear" w:color="auto" w:fill="auto"/>
          </w:tcPr>
          <w:p w14:paraId="5AC098E3">
            <w:pPr>
              <w:pStyle w:val="150"/>
            </w:pPr>
            <w:r>
              <w:rPr>
                <w:rFonts w:hint="eastAsia"/>
              </w:rPr>
              <w:t>自定义应用的协议类型：any、TCP、UDP、OTHER，</w:t>
            </w:r>
            <w:r>
              <w:t>默认值any，表示匹配系统支持的所有应用协议类型。</w:t>
            </w:r>
          </w:p>
        </w:tc>
      </w:tr>
      <w:tr w14:paraId="7B60E2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4D76527C">
            <w:pPr>
              <w:pStyle w:val="150"/>
            </w:pPr>
            <w:r>
              <w:rPr>
                <w:rFonts w:hint="eastAsia"/>
              </w:rPr>
              <w:t>端口</w:t>
            </w:r>
          </w:p>
        </w:tc>
        <w:tc>
          <w:tcPr>
            <w:tcW w:w="6816" w:type="dxa"/>
            <w:shd w:val="clear" w:color="auto" w:fill="auto"/>
          </w:tcPr>
          <w:p w14:paraId="4F473FA1">
            <w:pPr>
              <w:pStyle w:val="150"/>
            </w:pPr>
            <w:r>
              <w:rPr>
                <w:rFonts w:hint="eastAsia"/>
              </w:rPr>
              <w:t>自定义应用规则要匹配的端口，多个配置以回车分割，最多支持5个端口配置。</w:t>
            </w:r>
          </w:p>
        </w:tc>
      </w:tr>
      <w:tr w14:paraId="2BCBAC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4EDE0843">
            <w:pPr>
              <w:pStyle w:val="150"/>
            </w:pPr>
            <w:r>
              <w:rPr>
                <w:rFonts w:hint="eastAsia"/>
              </w:rPr>
              <w:t>I</w:t>
            </w:r>
            <w:r>
              <w:t>P地址</w:t>
            </w:r>
          </w:p>
        </w:tc>
        <w:tc>
          <w:tcPr>
            <w:tcW w:w="6816" w:type="dxa"/>
            <w:shd w:val="clear" w:color="auto" w:fill="auto"/>
          </w:tcPr>
          <w:p w14:paraId="36EFE25C">
            <w:pPr>
              <w:pStyle w:val="150"/>
            </w:pPr>
            <w:r>
              <w:t>输入自定义应用规则要匹配的IP地址</w:t>
            </w:r>
            <w:r>
              <w:rPr>
                <w:rFonts w:hint="eastAsia"/>
              </w:rPr>
              <w:t>。</w:t>
            </w:r>
          </w:p>
        </w:tc>
      </w:tr>
      <w:tr w14:paraId="0BF9877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3F9642A1">
            <w:pPr>
              <w:pStyle w:val="150"/>
            </w:pPr>
            <w:r>
              <w:rPr>
                <w:rFonts w:hint="eastAsia"/>
              </w:rPr>
              <w:t>目标域名</w:t>
            </w:r>
          </w:p>
        </w:tc>
        <w:tc>
          <w:tcPr>
            <w:tcW w:w="6816" w:type="dxa"/>
            <w:shd w:val="clear" w:color="auto" w:fill="auto"/>
          </w:tcPr>
          <w:p w14:paraId="0286E486">
            <w:pPr>
              <w:pStyle w:val="150"/>
            </w:pPr>
            <w:r>
              <w:rPr>
                <w:rFonts w:hint="eastAsia"/>
              </w:rPr>
              <w:t>输入自定义应用规则要匹配的域名，支持模糊匹配。</w:t>
            </w:r>
          </w:p>
        </w:tc>
      </w:tr>
      <w:tr w14:paraId="565EB40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7ECF1FE5">
            <w:pPr>
              <w:pStyle w:val="150"/>
            </w:pPr>
            <w:r>
              <w:rPr>
                <w:rFonts w:hint="eastAsia"/>
              </w:rPr>
              <w:t>匹配模式</w:t>
            </w:r>
          </w:p>
        </w:tc>
        <w:tc>
          <w:tcPr>
            <w:tcW w:w="6816" w:type="dxa"/>
            <w:shd w:val="clear" w:color="auto" w:fill="auto"/>
          </w:tcPr>
          <w:p w14:paraId="6B079D73">
            <w:pPr>
              <w:pStyle w:val="150"/>
            </w:pPr>
            <w:r>
              <w:rPr>
                <w:rFonts w:hint="eastAsia"/>
              </w:rPr>
              <w:t>应用匹配模式，包含文本和正则表达式。</w:t>
            </w:r>
          </w:p>
          <w:p w14:paraId="1E302CDB">
            <w:pPr>
              <w:pStyle w:val="150"/>
            </w:pPr>
            <w:r>
              <w:t>文本：应用以文本的方式匹配。</w:t>
            </w:r>
          </w:p>
          <w:p w14:paraId="39358C93">
            <w:pPr>
              <w:pStyle w:val="150"/>
            </w:pPr>
            <w:r>
              <w:t>正则表达式：应用以正则表达式方式匹配。</w:t>
            </w:r>
          </w:p>
        </w:tc>
      </w:tr>
      <w:tr w14:paraId="7B0C89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0A2D351B">
            <w:pPr>
              <w:pStyle w:val="150"/>
            </w:pPr>
            <w:r>
              <w:rPr>
                <w:rFonts w:hint="eastAsia"/>
              </w:rPr>
              <w:t>DNS域名学习模式</w:t>
            </w:r>
          </w:p>
        </w:tc>
        <w:tc>
          <w:tcPr>
            <w:tcW w:w="6816" w:type="dxa"/>
            <w:shd w:val="clear" w:color="auto" w:fill="auto"/>
          </w:tcPr>
          <w:p w14:paraId="035B0802">
            <w:pPr>
              <w:pStyle w:val="150"/>
            </w:pPr>
            <w:r>
              <w:rPr>
                <w:rFonts w:hint="eastAsia"/>
              </w:rPr>
              <w:t>DNS域名的学习模式，包含引用数据包特征中的目标域名和指定域名。</w:t>
            </w:r>
          </w:p>
          <w:p w14:paraId="564ED4DF">
            <w:pPr>
              <w:pStyle w:val="150"/>
            </w:pPr>
            <w:r>
              <w:rPr>
                <w:rFonts w:hint="eastAsia"/>
              </w:rPr>
              <w:t>引用数据包特征中的目标域名：引用的是上述目标域名。</w:t>
            </w:r>
          </w:p>
          <w:p w14:paraId="294945EE">
            <w:pPr>
              <w:pStyle w:val="150"/>
            </w:pPr>
            <w:r>
              <w:rPr>
                <w:rFonts w:hint="eastAsia"/>
              </w:rPr>
              <w:t>目标域名：自定义域名，支持模糊匹配，多个匹配以回车分割，最多支持64个域名配置。</w:t>
            </w:r>
          </w:p>
        </w:tc>
      </w:tr>
    </w:tbl>
    <w:p w14:paraId="2B13904E"/>
    <w:p w14:paraId="2893C01A">
      <w:r>
        <w:rPr>
          <w:rFonts w:hint="eastAsia"/>
        </w:rPr>
        <w:t>输入完毕后，点击</w:t>
      </w:r>
      <w:r>
        <w:t>&lt;</w:t>
      </w:r>
      <w:r>
        <w:rPr>
          <w:rFonts w:hint="eastAsia"/>
        </w:rPr>
        <w:t>提交</w:t>
      </w:r>
      <w:r>
        <w:t>&gt;</w:t>
      </w:r>
      <w:r>
        <w:rPr>
          <w:rFonts w:hint="eastAsia"/>
        </w:rPr>
        <w:t>按钮，应用配置，点击</w:t>
      </w:r>
      <w:r>
        <w:t>&lt;</w:t>
      </w:r>
      <w:r>
        <w:rPr>
          <w:rFonts w:hint="eastAsia"/>
        </w:rPr>
        <w:t>取消</w:t>
      </w:r>
      <w:r>
        <w:t>&gt;</w:t>
      </w:r>
      <w:r>
        <w:rPr>
          <w:rFonts w:hint="eastAsia"/>
        </w:rPr>
        <w:t>按钮，取消配置修改。</w:t>
      </w:r>
    </w:p>
    <w:p w14:paraId="473D6F06">
      <w:pPr>
        <w:pStyle w:val="5"/>
      </w:pPr>
      <w:bookmarkStart w:id="6145" w:name="_Toc40276316"/>
      <w:bookmarkStart w:id="6146" w:name="_Toc23152890"/>
      <w:bookmarkStart w:id="6147" w:name="_Toc4770730"/>
      <w:bookmarkStart w:id="6148" w:name="_Toc99561714"/>
      <w:bookmarkStart w:id="6149" w:name="_Toc142401092"/>
      <w:bookmarkStart w:id="6150" w:name="_Toc15485126"/>
      <w:bookmarkStart w:id="6151" w:name="_Toc196728380"/>
      <w:bookmarkStart w:id="6152" w:name="_Toc6234895"/>
      <w:bookmarkStart w:id="6153" w:name="_Toc172218346"/>
      <w:bookmarkStart w:id="6154" w:name="_Toc194081048"/>
      <w:bookmarkStart w:id="6155" w:name="_Toc141873575"/>
      <w:bookmarkStart w:id="6156" w:name="_Toc4771282"/>
      <w:r>
        <w:rPr>
          <w:rFonts w:hint="eastAsia"/>
        </w:rPr>
        <w:t>应用智能识别</w:t>
      </w:r>
      <w:bookmarkEnd w:id="6145"/>
      <w:bookmarkEnd w:id="6146"/>
      <w:bookmarkEnd w:id="6147"/>
      <w:bookmarkEnd w:id="6148"/>
      <w:bookmarkEnd w:id="6149"/>
      <w:bookmarkEnd w:id="6150"/>
      <w:bookmarkEnd w:id="6151"/>
      <w:bookmarkEnd w:id="6152"/>
      <w:bookmarkEnd w:id="6153"/>
      <w:bookmarkEnd w:id="6154"/>
      <w:bookmarkEnd w:id="6155"/>
      <w:bookmarkEnd w:id="6156"/>
    </w:p>
    <w:p w14:paraId="1AD92142">
      <w:pPr>
        <w:pStyle w:val="6"/>
      </w:pPr>
      <w:bookmarkStart w:id="6157" w:name="_Toc4771283"/>
      <w:bookmarkStart w:id="6158" w:name="_Toc40276317"/>
      <w:bookmarkStart w:id="6159" w:name="_Toc6234896"/>
      <w:bookmarkStart w:id="6160" w:name="_Toc23152891"/>
      <w:bookmarkStart w:id="6161" w:name="_Toc15485127"/>
      <w:bookmarkStart w:id="6162" w:name="_Toc99561715"/>
      <w:r>
        <w:t>应用智能识别简介</w:t>
      </w:r>
      <w:bookmarkEnd w:id="6157"/>
      <w:bookmarkEnd w:id="6158"/>
      <w:bookmarkEnd w:id="6159"/>
      <w:bookmarkEnd w:id="6160"/>
      <w:bookmarkEnd w:id="6161"/>
      <w:bookmarkEnd w:id="6162"/>
    </w:p>
    <w:p w14:paraId="16DD9FEB">
      <w:r>
        <w:rPr>
          <w:rFonts w:hint="eastAsia"/>
        </w:rPr>
        <w:t>当前迅雷可通过多种方式（如：FTP、HTTP、P2P下载等）下载资源，单独限制迅雷下载，效果不佳，应用智能识别功能可有效的提高迅雷下载流量识别率。</w:t>
      </w:r>
    </w:p>
    <w:p w14:paraId="4F4CC406">
      <w:r>
        <w:rPr>
          <w:rFonts w:hint="eastAsia"/>
        </w:rPr>
        <w:t>当前部分P</w:t>
      </w:r>
      <w:r>
        <w:t>2P</w:t>
      </w:r>
      <w:r>
        <w:rPr>
          <w:rFonts w:hint="eastAsia"/>
        </w:rPr>
        <w:t>软件无法通过应用特征识别，应用智能识别功能可通过P2P行为来智能识别P2P流量。</w:t>
      </w:r>
    </w:p>
    <w:p w14:paraId="4F090939">
      <w:pPr>
        <w:pStyle w:val="6"/>
      </w:pPr>
      <w:bookmarkStart w:id="6163" w:name="_Toc23152892"/>
      <w:bookmarkStart w:id="6164" w:name="_Toc4770733"/>
      <w:bookmarkStart w:id="6165" w:name="_Toc4771284"/>
      <w:bookmarkStart w:id="6166" w:name="_Toc6234897"/>
      <w:bookmarkStart w:id="6167" w:name="_Toc99561716"/>
      <w:bookmarkStart w:id="6168" w:name="_Toc15485128"/>
      <w:bookmarkStart w:id="6169" w:name="_Toc40276318"/>
      <w:r>
        <w:rPr>
          <w:rFonts w:hint="eastAsia"/>
        </w:rPr>
        <w:t>应用智能识别页面</w:t>
      </w:r>
      <w:bookmarkEnd w:id="6163"/>
      <w:bookmarkEnd w:id="6164"/>
      <w:bookmarkEnd w:id="6165"/>
      <w:bookmarkEnd w:id="6166"/>
      <w:bookmarkEnd w:id="6167"/>
      <w:bookmarkEnd w:id="6168"/>
      <w:bookmarkEnd w:id="6169"/>
    </w:p>
    <w:p w14:paraId="28B3B0E4">
      <w:r>
        <w:rPr>
          <w:rFonts w:hint="eastAsia"/>
        </w:rPr>
        <w:t>在导航栏中选择“策略配置&gt;对象管理</w:t>
      </w:r>
      <w:r>
        <w:t>&gt;</w:t>
      </w:r>
      <w:r>
        <w:rPr>
          <w:rFonts w:hint="eastAsia"/>
        </w:rPr>
        <w:t>应用对象</w:t>
      </w:r>
      <w:r>
        <w:t>&gt;</w:t>
      </w:r>
      <w:r>
        <w:rPr>
          <w:rFonts w:hint="eastAsia"/>
        </w:rPr>
        <w:t>应用智能识别”，进入应用智能识别页面，如</w:t>
      </w:r>
      <w:r>
        <w:rPr>
          <w:color w:val="0000FF"/>
          <w:u w:val="single"/>
        </w:rPr>
        <w:fldChar w:fldCharType="begin"/>
      </w:r>
      <w:r>
        <w:instrText xml:space="preserve"> </w:instrText>
      </w:r>
      <w:r>
        <w:rPr>
          <w:rFonts w:hint="eastAsia"/>
        </w:rPr>
        <w:instrText xml:space="preserve">REF _Ref4771294 \r \h</w:instrText>
      </w:r>
      <w:r>
        <w:instrText xml:space="preserve"> </w:instrText>
      </w:r>
      <w:r>
        <w:rPr>
          <w:color w:val="0000FF"/>
          <w:u w:val="single"/>
        </w:rPr>
        <w:fldChar w:fldCharType="separate"/>
      </w:r>
      <w:r>
        <w:rPr>
          <w:rFonts w:hint="eastAsia"/>
        </w:rPr>
        <w:t>图28-8</w:t>
      </w:r>
      <w:r>
        <w:rPr>
          <w:color w:val="0000FF"/>
          <w:u w:val="single"/>
        </w:rPr>
        <w:fldChar w:fldCharType="end"/>
      </w:r>
      <w:r>
        <w:rPr>
          <w:rFonts w:hint="eastAsia"/>
        </w:rPr>
        <w:t>所示。</w:t>
      </w:r>
    </w:p>
    <w:p w14:paraId="1095E4DC">
      <w:pPr>
        <w:pStyle w:val="188"/>
      </w:pPr>
      <w:bookmarkStart w:id="6170" w:name="_Ref4771294"/>
      <w:bookmarkStart w:id="6171" w:name="_Toc141874940"/>
      <w:r>
        <w:rPr>
          <w:rFonts w:hint="eastAsia"/>
        </w:rPr>
        <w:t>应用智能识别页面</w:t>
      </w:r>
      <w:bookmarkEnd w:id="6170"/>
      <w:bookmarkEnd w:id="6171"/>
    </w:p>
    <w:p w14:paraId="61799114">
      <w:r>
        <w:drawing>
          <wp:inline distT="0" distB="0" distL="0" distR="0">
            <wp:extent cx="5686425" cy="914400"/>
            <wp:effectExtent l="0" t="0" r="0" b="0"/>
            <wp:docPr id="556" name="图片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556"/>
                    <pic:cNvPicPr>
                      <a:picLocks noChangeAspect="1"/>
                    </pic:cNvPicPr>
                  </pic:nvPicPr>
                  <pic:blipFill>
                    <a:blip r:embed="rId768"/>
                    <a:stretch>
                      <a:fillRect/>
                    </a:stretch>
                  </pic:blipFill>
                  <pic:spPr>
                    <a:xfrm>
                      <a:off x="0" y="0"/>
                      <a:ext cx="5704627" cy="917925"/>
                    </a:xfrm>
                    <a:prstGeom prst="rect">
                      <a:avLst/>
                    </a:prstGeom>
                  </pic:spPr>
                </pic:pic>
              </a:graphicData>
            </a:graphic>
          </wp:inline>
        </w:drawing>
      </w:r>
    </w:p>
    <w:p w14:paraId="0FBF9F35"/>
    <w:p w14:paraId="454B8028">
      <w:r>
        <w:rPr>
          <w:rFonts w:hint="eastAsia"/>
        </w:rPr>
        <w:t>页面的详细说明如</w:t>
      </w:r>
      <w:r>
        <w:fldChar w:fldCharType="begin"/>
      </w:r>
      <w:r>
        <w:instrText xml:space="preserve"> REF _Ref4499639 \r \h </w:instrText>
      </w:r>
      <w:r>
        <w:fldChar w:fldCharType="separate"/>
      </w:r>
      <w:r>
        <w:rPr>
          <w:rFonts w:hint="eastAsia"/>
        </w:rPr>
        <w:t>表28-1</w:t>
      </w:r>
      <w:r>
        <w:fldChar w:fldCharType="end"/>
      </w:r>
      <w:r>
        <w:rPr>
          <w:rFonts w:hint="eastAsia"/>
        </w:rPr>
        <w:t>所示</w:t>
      </w:r>
    </w:p>
    <w:p w14:paraId="7C805871">
      <w:pPr>
        <w:pStyle w:val="183"/>
      </w:pPr>
      <w:bookmarkStart w:id="6172" w:name="_Toc141875619"/>
      <w:bookmarkStart w:id="6173" w:name="_Ref4499639"/>
      <w:r>
        <w:rPr>
          <w:rFonts w:hint="eastAsia"/>
        </w:rPr>
        <w:t>应用智能识别页面详细说明</w:t>
      </w:r>
      <w:bookmarkEnd w:id="6172"/>
      <w:bookmarkEnd w:id="6173"/>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206"/>
        <w:gridCol w:w="6808"/>
      </w:tblGrid>
      <w:tr w14:paraId="57555D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206" w:type="dxa"/>
            <w:tcBorders>
              <w:tl2br w:val="nil"/>
              <w:tr2bl w:val="nil"/>
            </w:tcBorders>
            <w:shd w:val="clear" w:color="auto" w:fill="538135" w:themeFill="accent6" w:themeFillShade="BF"/>
            <w:vAlign w:val="center"/>
          </w:tcPr>
          <w:p w14:paraId="62CDE60D">
            <w:pPr>
              <w:pStyle w:val="149"/>
              <w:wordWrap/>
              <w:rPr>
                <w:b/>
                <w:bCs/>
                <w:i w:val="0"/>
                <w:iCs w:val="0"/>
              </w:rPr>
            </w:pPr>
            <w:r>
              <w:rPr>
                <w:rFonts w:hint="eastAsia"/>
                <w:b/>
                <w:bCs/>
                <w:i w:val="0"/>
                <w:iCs w:val="0"/>
              </w:rPr>
              <w:t>项目</w:t>
            </w:r>
          </w:p>
        </w:tc>
        <w:tc>
          <w:tcPr>
            <w:tcW w:w="6808" w:type="dxa"/>
            <w:tcBorders>
              <w:tl2br w:val="nil"/>
              <w:tr2bl w:val="nil"/>
            </w:tcBorders>
            <w:shd w:val="clear" w:color="auto" w:fill="538135" w:themeFill="accent6" w:themeFillShade="BF"/>
            <w:vAlign w:val="center"/>
          </w:tcPr>
          <w:p w14:paraId="0FFF7C6F">
            <w:pPr>
              <w:pStyle w:val="149"/>
              <w:wordWrap/>
              <w:rPr>
                <w:b/>
                <w:bCs/>
                <w:i w:val="0"/>
                <w:iCs w:val="0"/>
              </w:rPr>
            </w:pPr>
            <w:r>
              <w:rPr>
                <w:rFonts w:hint="eastAsia"/>
                <w:b/>
                <w:bCs/>
                <w:i w:val="0"/>
                <w:iCs w:val="0"/>
              </w:rPr>
              <w:t>说明</w:t>
            </w:r>
          </w:p>
        </w:tc>
      </w:tr>
      <w:tr w14:paraId="3B3971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206" w:type="dxa"/>
            <w:shd w:val="clear" w:color="auto" w:fill="auto"/>
          </w:tcPr>
          <w:p w14:paraId="00F1EE85">
            <w:pPr>
              <w:pStyle w:val="150"/>
            </w:pPr>
            <w:r>
              <w:rPr>
                <w:rFonts w:hint="eastAsia"/>
              </w:rPr>
              <w:t>状态</w:t>
            </w:r>
          </w:p>
        </w:tc>
        <w:tc>
          <w:tcPr>
            <w:tcW w:w="6808" w:type="dxa"/>
            <w:shd w:val="clear" w:color="auto" w:fill="auto"/>
          </w:tcPr>
          <w:p w14:paraId="5C581C10">
            <w:pPr>
              <w:pStyle w:val="150"/>
            </w:pPr>
            <w:r>
              <w:rPr>
                <w:rFonts w:hint="eastAsia"/>
              </w:rPr>
              <w:t>启用/禁用功能状态展示，默认功能开启。</w:t>
            </w:r>
          </w:p>
        </w:tc>
      </w:tr>
      <w:tr w14:paraId="3E97A5B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206" w:type="dxa"/>
            <w:shd w:val="clear" w:color="auto" w:fill="auto"/>
          </w:tcPr>
          <w:p w14:paraId="25B2B97F">
            <w:pPr>
              <w:pStyle w:val="150"/>
            </w:pPr>
            <w:r>
              <w:rPr>
                <w:rFonts w:hint="eastAsia"/>
              </w:rPr>
              <w:t>应用名称</w:t>
            </w:r>
          </w:p>
        </w:tc>
        <w:tc>
          <w:tcPr>
            <w:tcW w:w="6808" w:type="dxa"/>
            <w:shd w:val="clear" w:color="auto" w:fill="auto"/>
          </w:tcPr>
          <w:p w14:paraId="5482F256">
            <w:pPr>
              <w:pStyle w:val="150"/>
            </w:pPr>
            <w:r>
              <w:rPr>
                <w:rFonts w:hint="eastAsia"/>
              </w:rPr>
              <w:t>应用智能识别名称。</w:t>
            </w:r>
          </w:p>
        </w:tc>
      </w:tr>
      <w:tr w14:paraId="009D435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206" w:type="dxa"/>
            <w:shd w:val="clear" w:color="auto" w:fill="auto"/>
          </w:tcPr>
          <w:p w14:paraId="5ABDE4A1">
            <w:pPr>
              <w:pStyle w:val="150"/>
            </w:pPr>
            <w:r>
              <w:rPr>
                <w:rFonts w:hint="eastAsia"/>
              </w:rPr>
              <w:t>应用类型</w:t>
            </w:r>
          </w:p>
        </w:tc>
        <w:tc>
          <w:tcPr>
            <w:tcW w:w="6808" w:type="dxa"/>
            <w:shd w:val="clear" w:color="auto" w:fill="auto"/>
          </w:tcPr>
          <w:p w14:paraId="41F8CB55">
            <w:pPr>
              <w:pStyle w:val="150"/>
            </w:pPr>
            <w:r>
              <w:rPr>
                <w:rFonts w:hint="eastAsia"/>
              </w:rPr>
              <w:t>应用智能识别归属应用分类。</w:t>
            </w:r>
          </w:p>
        </w:tc>
      </w:tr>
      <w:tr w14:paraId="62D6F2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206" w:type="dxa"/>
            <w:shd w:val="clear" w:color="auto" w:fill="auto"/>
          </w:tcPr>
          <w:p w14:paraId="2C2E0534">
            <w:pPr>
              <w:pStyle w:val="150"/>
            </w:pPr>
            <w:r>
              <w:rPr>
                <w:rFonts w:hint="eastAsia"/>
              </w:rPr>
              <w:t>应用描述</w:t>
            </w:r>
          </w:p>
        </w:tc>
        <w:tc>
          <w:tcPr>
            <w:tcW w:w="6808" w:type="dxa"/>
            <w:shd w:val="clear" w:color="auto" w:fill="auto"/>
          </w:tcPr>
          <w:p w14:paraId="7C8A5B21">
            <w:pPr>
              <w:pStyle w:val="150"/>
            </w:pPr>
            <w:r>
              <w:rPr>
                <w:rFonts w:hint="eastAsia"/>
              </w:rPr>
              <w:t>应用智能识别描述。</w:t>
            </w:r>
          </w:p>
        </w:tc>
      </w:tr>
      <w:tr w14:paraId="4E3DB77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206" w:type="dxa"/>
            <w:shd w:val="clear" w:color="auto" w:fill="auto"/>
          </w:tcPr>
          <w:p w14:paraId="6B0F70C5">
            <w:pPr>
              <w:pStyle w:val="150"/>
            </w:pPr>
            <w:r>
              <w:rPr>
                <w:rFonts w:hint="eastAsia"/>
              </w:rPr>
              <w:t>检测宽松度</w:t>
            </w:r>
          </w:p>
        </w:tc>
        <w:tc>
          <w:tcPr>
            <w:tcW w:w="6808" w:type="dxa"/>
            <w:shd w:val="clear" w:color="auto" w:fill="auto"/>
          </w:tcPr>
          <w:p w14:paraId="4A66364B">
            <w:pPr>
              <w:pStyle w:val="150"/>
            </w:pPr>
            <w:r>
              <w:rPr>
                <w:rFonts w:hint="eastAsia"/>
              </w:rPr>
              <w:t>应用智能识别的宽松度级别展示。</w:t>
            </w:r>
          </w:p>
        </w:tc>
      </w:tr>
    </w:tbl>
    <w:p w14:paraId="30B4DA87"/>
    <w:p w14:paraId="253035A7">
      <w:pPr>
        <w:pStyle w:val="6"/>
      </w:pPr>
      <w:bookmarkStart w:id="6174" w:name="_Toc40276319"/>
      <w:bookmarkStart w:id="6175" w:name="_Toc99561717"/>
      <w:bookmarkStart w:id="6176" w:name="_Toc4771285"/>
      <w:bookmarkStart w:id="6177" w:name="_Toc4770734"/>
      <w:bookmarkStart w:id="6178" w:name="_Toc15485129"/>
      <w:bookmarkStart w:id="6179" w:name="_Toc23152893"/>
      <w:bookmarkStart w:id="6180" w:name="_Toc6234898"/>
      <w:r>
        <w:rPr>
          <w:rFonts w:hint="eastAsia"/>
        </w:rPr>
        <w:t>应用智能识别-P</w:t>
      </w:r>
      <w:r>
        <w:t>2P</w:t>
      </w:r>
      <w:r>
        <w:rPr>
          <w:rFonts w:hint="eastAsia"/>
        </w:rPr>
        <w:t>行为</w:t>
      </w:r>
      <w:bookmarkEnd w:id="6174"/>
      <w:bookmarkEnd w:id="6175"/>
      <w:bookmarkEnd w:id="6176"/>
      <w:bookmarkEnd w:id="6177"/>
      <w:bookmarkEnd w:id="6178"/>
      <w:bookmarkEnd w:id="6179"/>
      <w:bookmarkEnd w:id="6180"/>
    </w:p>
    <w:p w14:paraId="4586FB85">
      <w:r>
        <w:rPr>
          <w:rFonts w:hint="eastAsia"/>
        </w:rPr>
        <w:t>在导航栏中选择“策略配置&gt;对象管理</w:t>
      </w:r>
      <w:r>
        <w:t>&gt;</w:t>
      </w:r>
      <w:r>
        <w:rPr>
          <w:rFonts w:hint="eastAsia"/>
        </w:rPr>
        <w:t>应用对象</w:t>
      </w:r>
      <w:r>
        <w:t>&gt;</w:t>
      </w:r>
      <w:r>
        <w:rPr>
          <w:rFonts w:hint="eastAsia"/>
        </w:rPr>
        <w:t>应用智能识别”，点击“P</w:t>
      </w:r>
      <w:r>
        <w:t>2P</w:t>
      </w:r>
      <w:r>
        <w:rPr>
          <w:rFonts w:hint="eastAsia"/>
        </w:rPr>
        <w:t>行为”右边的&lt;编辑&gt;按钮，进入P2P行为配置页面。</w:t>
      </w:r>
    </w:p>
    <w:p w14:paraId="666BEB77">
      <w:pPr>
        <w:pStyle w:val="188"/>
      </w:pPr>
      <w:bookmarkStart w:id="6181" w:name="_Toc141874941"/>
      <w:r>
        <w:rPr>
          <w:rFonts w:hint="eastAsia"/>
        </w:rPr>
        <w:t>P2P行为配置页面</w:t>
      </w:r>
      <w:bookmarkEnd w:id="6181"/>
    </w:p>
    <w:p w14:paraId="55351F61">
      <w:pPr>
        <w:spacing w:before="78" w:after="78"/>
      </w:pPr>
      <w:r>
        <w:drawing>
          <wp:inline distT="0" distB="0" distL="0" distR="0">
            <wp:extent cx="4591050" cy="3819525"/>
            <wp:effectExtent l="0" t="0" r="0" b="0"/>
            <wp:docPr id="69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图片 36"/>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a:xfrm>
                      <a:off x="0" y="0"/>
                      <a:ext cx="4591050" cy="3819525"/>
                    </a:xfrm>
                    <a:prstGeom prst="rect">
                      <a:avLst/>
                    </a:prstGeom>
                    <a:noFill/>
                    <a:ln>
                      <a:noFill/>
                    </a:ln>
                  </pic:spPr>
                </pic:pic>
              </a:graphicData>
            </a:graphic>
          </wp:inline>
        </w:drawing>
      </w:r>
    </w:p>
    <w:p w14:paraId="72019C55"/>
    <w:p w14:paraId="42D76FC0">
      <w:r>
        <w:rPr>
          <w:rFonts w:hint="eastAsia"/>
        </w:rPr>
        <w:t>页面的详细说明如下表所示。</w:t>
      </w:r>
    </w:p>
    <w:p w14:paraId="5DE6F0CA">
      <w:pPr>
        <w:pStyle w:val="183"/>
      </w:pPr>
      <w:bookmarkStart w:id="6182" w:name="_Toc141875620"/>
      <w:r>
        <w:rPr>
          <w:rFonts w:hint="eastAsia"/>
        </w:rPr>
        <w:t>P2P行为详细说明</w:t>
      </w:r>
      <w:bookmarkEnd w:id="6182"/>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50836B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tcBorders>
              <w:tl2br w:val="nil"/>
              <w:tr2bl w:val="nil"/>
            </w:tcBorders>
            <w:shd w:val="clear" w:color="auto" w:fill="538135" w:themeFill="accent6" w:themeFillShade="BF"/>
            <w:vAlign w:val="center"/>
          </w:tcPr>
          <w:p w14:paraId="7FB05FA1">
            <w:pPr>
              <w:pStyle w:val="149"/>
              <w:wordWrap/>
              <w:rPr>
                <w:b/>
                <w:bCs/>
                <w:i w:val="0"/>
                <w:iCs w:val="0"/>
              </w:rPr>
            </w:pPr>
            <w:r>
              <w:rPr>
                <w:rFonts w:hint="eastAsia"/>
                <w:b/>
                <w:bCs/>
                <w:i w:val="0"/>
                <w:iCs w:val="0"/>
              </w:rPr>
              <w:t>项目</w:t>
            </w:r>
          </w:p>
        </w:tc>
        <w:tc>
          <w:tcPr>
            <w:tcW w:w="6816" w:type="dxa"/>
            <w:tcBorders>
              <w:tl2br w:val="nil"/>
              <w:tr2bl w:val="nil"/>
            </w:tcBorders>
            <w:shd w:val="clear" w:color="auto" w:fill="538135" w:themeFill="accent6" w:themeFillShade="BF"/>
            <w:vAlign w:val="center"/>
          </w:tcPr>
          <w:p w14:paraId="2C51930F">
            <w:pPr>
              <w:pStyle w:val="149"/>
              <w:wordWrap/>
              <w:rPr>
                <w:b/>
                <w:bCs/>
                <w:i w:val="0"/>
                <w:iCs w:val="0"/>
              </w:rPr>
            </w:pPr>
            <w:r>
              <w:rPr>
                <w:rFonts w:hint="eastAsia"/>
                <w:b/>
                <w:bCs/>
                <w:i w:val="0"/>
                <w:iCs w:val="0"/>
              </w:rPr>
              <w:t>说明</w:t>
            </w:r>
          </w:p>
        </w:tc>
      </w:tr>
      <w:tr w14:paraId="5248B5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5CC9CBFD">
            <w:pPr>
              <w:pStyle w:val="150"/>
            </w:pPr>
            <w:r>
              <w:rPr>
                <w:rFonts w:hint="eastAsia"/>
              </w:rPr>
              <w:t>启用</w:t>
            </w:r>
          </w:p>
        </w:tc>
        <w:tc>
          <w:tcPr>
            <w:tcW w:w="6816" w:type="dxa"/>
            <w:shd w:val="clear" w:color="auto" w:fill="auto"/>
          </w:tcPr>
          <w:p w14:paraId="44A392EF">
            <w:pPr>
              <w:pStyle w:val="150"/>
            </w:pPr>
            <w:r>
              <w:t>启用</w:t>
            </w:r>
            <w:r>
              <w:rPr>
                <w:rFonts w:hint="eastAsia"/>
              </w:rPr>
              <w:t>/禁用P2P行为识别功能。</w:t>
            </w:r>
          </w:p>
        </w:tc>
      </w:tr>
      <w:tr w14:paraId="432305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4A674E02">
            <w:pPr>
              <w:pStyle w:val="150"/>
            </w:pPr>
            <w:r>
              <w:rPr>
                <w:rFonts w:hint="eastAsia"/>
              </w:rPr>
              <w:t>应用名称</w:t>
            </w:r>
          </w:p>
        </w:tc>
        <w:tc>
          <w:tcPr>
            <w:tcW w:w="6816" w:type="dxa"/>
            <w:shd w:val="clear" w:color="auto" w:fill="auto"/>
          </w:tcPr>
          <w:p w14:paraId="78287525">
            <w:pPr>
              <w:pStyle w:val="150"/>
            </w:pPr>
            <w:r>
              <w:rPr>
                <w:rFonts w:hint="eastAsia"/>
              </w:rPr>
              <w:t>应用智能识别名称。</w:t>
            </w:r>
          </w:p>
        </w:tc>
      </w:tr>
      <w:tr w14:paraId="5433787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68" w:hRule="atLeast"/>
        </w:trPr>
        <w:tc>
          <w:tcPr>
            <w:tcW w:w="2198" w:type="dxa"/>
            <w:shd w:val="clear" w:color="auto" w:fill="auto"/>
          </w:tcPr>
          <w:p w14:paraId="3189749F">
            <w:pPr>
              <w:pStyle w:val="150"/>
            </w:pPr>
            <w:r>
              <w:rPr>
                <w:rFonts w:hint="eastAsia"/>
              </w:rPr>
              <w:t>应用类型</w:t>
            </w:r>
          </w:p>
        </w:tc>
        <w:tc>
          <w:tcPr>
            <w:tcW w:w="6816" w:type="dxa"/>
            <w:shd w:val="clear" w:color="auto" w:fill="auto"/>
          </w:tcPr>
          <w:p w14:paraId="014BCE3C">
            <w:pPr>
              <w:pStyle w:val="150"/>
            </w:pPr>
            <w:r>
              <w:rPr>
                <w:rFonts w:hint="eastAsia"/>
              </w:rPr>
              <w:t>应用智能识别归属应用分类。</w:t>
            </w:r>
          </w:p>
        </w:tc>
      </w:tr>
      <w:tr w14:paraId="7841540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55A033B5">
            <w:pPr>
              <w:pStyle w:val="150"/>
            </w:pPr>
            <w:r>
              <w:rPr>
                <w:rFonts w:hint="eastAsia"/>
              </w:rPr>
              <w:t>应用描述</w:t>
            </w:r>
          </w:p>
        </w:tc>
        <w:tc>
          <w:tcPr>
            <w:tcW w:w="6816" w:type="dxa"/>
            <w:shd w:val="clear" w:color="auto" w:fill="auto"/>
          </w:tcPr>
          <w:p w14:paraId="7DEC95F2">
            <w:pPr>
              <w:pStyle w:val="150"/>
            </w:pPr>
            <w:r>
              <w:rPr>
                <w:rFonts w:hint="eastAsia"/>
              </w:rPr>
              <w:t>应用智能识别描述。</w:t>
            </w:r>
          </w:p>
        </w:tc>
      </w:tr>
      <w:tr w14:paraId="30CC8F7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7D419F21">
            <w:pPr>
              <w:pStyle w:val="150"/>
            </w:pPr>
            <w:r>
              <w:rPr>
                <w:rFonts w:hint="eastAsia"/>
              </w:rPr>
              <w:t>检测宽松度</w:t>
            </w:r>
          </w:p>
        </w:tc>
        <w:tc>
          <w:tcPr>
            <w:tcW w:w="6816" w:type="dxa"/>
            <w:shd w:val="clear" w:color="auto" w:fill="auto"/>
          </w:tcPr>
          <w:p w14:paraId="5982A84D">
            <w:pPr>
              <w:pStyle w:val="150"/>
            </w:pPr>
            <w:r>
              <w:rPr>
                <w:rFonts w:hint="eastAsia"/>
              </w:rPr>
              <w:t>单选框，有3个级别：严格、适中、宽松。</w:t>
            </w:r>
          </w:p>
          <w:p w14:paraId="047F80CC">
            <w:pPr>
              <w:pStyle w:val="150"/>
            </w:pPr>
            <w:r>
              <w:rPr>
                <w:rFonts w:hint="eastAsia"/>
              </w:rPr>
              <w:t>严格：识别要求严格，可能存在漏报；</w:t>
            </w:r>
          </w:p>
          <w:p w14:paraId="2A7CB806">
            <w:pPr>
              <w:pStyle w:val="150"/>
            </w:pPr>
            <w:r>
              <w:rPr>
                <w:rFonts w:hint="eastAsia"/>
              </w:rPr>
              <w:t>适中：识别要求适中，默认配置；</w:t>
            </w:r>
          </w:p>
          <w:p w14:paraId="0DAC9493">
            <w:pPr>
              <w:pStyle w:val="150"/>
            </w:pPr>
            <w:r>
              <w:rPr>
                <w:rFonts w:hint="eastAsia"/>
              </w:rPr>
              <w:t>宽松：识别要求宽松，可能存在误报。</w:t>
            </w:r>
          </w:p>
        </w:tc>
      </w:tr>
      <w:tr w14:paraId="059FBA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32A792D5">
            <w:pPr>
              <w:pStyle w:val="150"/>
            </w:pPr>
            <w:r>
              <w:rPr>
                <w:rFonts w:hint="eastAsia"/>
              </w:rPr>
              <w:t>排除扫描端口</w:t>
            </w:r>
          </w:p>
        </w:tc>
        <w:tc>
          <w:tcPr>
            <w:tcW w:w="6816" w:type="dxa"/>
            <w:shd w:val="clear" w:color="auto" w:fill="auto"/>
          </w:tcPr>
          <w:p w14:paraId="61B8B25E">
            <w:pPr>
              <w:pStyle w:val="150"/>
            </w:pPr>
            <w:r>
              <w:rPr>
                <w:rFonts w:hint="eastAsia"/>
              </w:rPr>
              <w:t>排除P2P智能识别端口。</w:t>
            </w:r>
          </w:p>
        </w:tc>
      </w:tr>
    </w:tbl>
    <w:p w14:paraId="5BCE57F0"/>
    <w:p w14:paraId="161069A2">
      <w:r>
        <w:rPr>
          <w:rFonts w:hint="eastAsia"/>
        </w:rPr>
        <w:t>输入完毕后，点击</w:t>
      </w:r>
      <w:r>
        <w:t>&lt;</w:t>
      </w:r>
      <w:r>
        <w:rPr>
          <w:rFonts w:hint="eastAsia"/>
        </w:rPr>
        <w:t>提交</w:t>
      </w:r>
      <w:r>
        <w:t>&gt;</w:t>
      </w:r>
      <w:r>
        <w:rPr>
          <w:rFonts w:hint="eastAsia"/>
        </w:rPr>
        <w:t>按钮，应用配置，点击</w:t>
      </w:r>
      <w:r>
        <w:t>&lt;</w:t>
      </w:r>
      <w:r>
        <w:rPr>
          <w:rFonts w:hint="eastAsia"/>
        </w:rPr>
        <w:t>取消</w:t>
      </w:r>
      <w:r>
        <w:t>&gt;</w:t>
      </w:r>
      <w:r>
        <w:rPr>
          <w:rFonts w:hint="eastAsia"/>
        </w:rPr>
        <w:t>按钮，取消配置修改。</w:t>
      </w:r>
    </w:p>
    <w:p w14:paraId="0EB11E5B">
      <w:pPr>
        <w:pStyle w:val="6"/>
      </w:pPr>
      <w:bookmarkStart w:id="6183" w:name="_Toc40276320"/>
      <w:bookmarkStart w:id="6184" w:name="_Toc15485130"/>
      <w:bookmarkStart w:id="6185" w:name="_Toc99561718"/>
      <w:bookmarkStart w:id="6186" w:name="_Toc6234899"/>
      <w:bookmarkStart w:id="6187" w:name="_Toc23152894"/>
      <w:bookmarkStart w:id="6188" w:name="_Toc4770735"/>
      <w:bookmarkStart w:id="6189" w:name="_Toc4771286"/>
      <w:r>
        <w:rPr>
          <w:rFonts w:hint="eastAsia"/>
        </w:rPr>
        <w:t>应用智能识别-迅雷</w:t>
      </w:r>
      <w:bookmarkEnd w:id="6183"/>
      <w:bookmarkEnd w:id="6184"/>
      <w:bookmarkEnd w:id="6185"/>
      <w:bookmarkEnd w:id="6186"/>
      <w:bookmarkEnd w:id="6187"/>
      <w:bookmarkEnd w:id="6188"/>
      <w:bookmarkEnd w:id="6189"/>
    </w:p>
    <w:p w14:paraId="3BE64CDF">
      <w:r>
        <w:rPr>
          <w:rFonts w:hint="eastAsia"/>
        </w:rPr>
        <w:t>在导航栏中选择“策略配置&gt;对象管理</w:t>
      </w:r>
      <w:r>
        <w:t>&gt;</w:t>
      </w:r>
      <w:r>
        <w:rPr>
          <w:rFonts w:hint="eastAsia"/>
        </w:rPr>
        <w:t>应用对象</w:t>
      </w:r>
      <w:r>
        <w:t>&gt;</w:t>
      </w:r>
      <w:r>
        <w:rPr>
          <w:rFonts w:hint="eastAsia"/>
        </w:rPr>
        <w:t>应用智能识别”，点击“迅雷”右边的&lt;编辑&gt;按钮，进入迅雷配置页面，如</w:t>
      </w:r>
      <w:r>
        <w:rPr>
          <w:color w:val="0000FF"/>
          <w:u w:val="single"/>
        </w:rPr>
        <w:fldChar w:fldCharType="begin"/>
      </w:r>
      <w:r>
        <w:rPr>
          <w:color w:val="0000FF"/>
          <w:u w:val="single"/>
        </w:rPr>
        <w:instrText xml:space="preserve"> REF _Ref4513584 \r \h </w:instrText>
      </w:r>
      <w:r>
        <w:rPr>
          <w:color w:val="0000FF"/>
          <w:u w:val="single"/>
        </w:rPr>
        <w:fldChar w:fldCharType="separate"/>
      </w:r>
      <w:r>
        <w:rPr>
          <w:rFonts w:hint="eastAsia"/>
          <w:color w:val="0000FF"/>
          <w:u w:val="single"/>
        </w:rPr>
        <w:t>图28-10</w:t>
      </w:r>
      <w:r>
        <w:rPr>
          <w:color w:val="0000FF"/>
          <w:u w:val="single"/>
        </w:rPr>
        <w:fldChar w:fldCharType="end"/>
      </w:r>
      <w:r>
        <w:rPr>
          <w:rFonts w:hint="eastAsia"/>
        </w:rPr>
        <w:t>所示。</w:t>
      </w:r>
    </w:p>
    <w:p w14:paraId="0D1FC940">
      <w:pPr>
        <w:pStyle w:val="188"/>
      </w:pPr>
      <w:bookmarkStart w:id="6190" w:name="_Ref4513584"/>
      <w:bookmarkStart w:id="6191" w:name="_Toc141874942"/>
      <w:r>
        <w:rPr>
          <w:rFonts w:hint="eastAsia"/>
        </w:rPr>
        <w:t>迅雷配置页面</w:t>
      </w:r>
      <w:bookmarkEnd w:id="6190"/>
      <w:bookmarkEnd w:id="6191"/>
    </w:p>
    <w:p w14:paraId="1778659C">
      <w:r>
        <w:drawing>
          <wp:inline distT="0" distB="0" distL="0" distR="0">
            <wp:extent cx="4686300" cy="3902075"/>
            <wp:effectExtent l="0" t="0" r="0" b="3175"/>
            <wp:docPr id="558" name="图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558"/>
                    <pic:cNvPicPr>
                      <a:picLocks noChangeAspect="1"/>
                    </pic:cNvPicPr>
                  </pic:nvPicPr>
                  <pic:blipFill>
                    <a:blip r:embed="rId770"/>
                    <a:stretch>
                      <a:fillRect/>
                    </a:stretch>
                  </pic:blipFill>
                  <pic:spPr>
                    <a:xfrm>
                      <a:off x="0" y="0"/>
                      <a:ext cx="4698315" cy="3912643"/>
                    </a:xfrm>
                    <a:prstGeom prst="rect">
                      <a:avLst/>
                    </a:prstGeom>
                  </pic:spPr>
                </pic:pic>
              </a:graphicData>
            </a:graphic>
          </wp:inline>
        </w:drawing>
      </w:r>
    </w:p>
    <w:p w14:paraId="00DEBE7C"/>
    <w:p w14:paraId="7C3E3FFC">
      <w:r>
        <w:rPr>
          <w:rFonts w:hint="eastAsia"/>
        </w:rPr>
        <w:t>页面的详细说明如</w:t>
      </w:r>
      <w:r>
        <w:fldChar w:fldCharType="begin"/>
      </w:r>
      <w:r>
        <w:instrText xml:space="preserve"> REF _Ref4513597 \r \h </w:instrText>
      </w:r>
      <w:r>
        <w:fldChar w:fldCharType="separate"/>
      </w:r>
      <w:r>
        <w:rPr>
          <w:rFonts w:hint="eastAsia"/>
        </w:rPr>
        <w:t>表28-1</w:t>
      </w:r>
      <w:r>
        <w:fldChar w:fldCharType="end"/>
      </w:r>
      <w:r>
        <w:rPr>
          <w:rFonts w:hint="eastAsia"/>
        </w:rPr>
        <w:t>所示。</w:t>
      </w:r>
    </w:p>
    <w:p w14:paraId="7B299570">
      <w:pPr>
        <w:pStyle w:val="183"/>
      </w:pPr>
      <w:bookmarkStart w:id="6192" w:name="_Ref4513597"/>
      <w:bookmarkStart w:id="6193" w:name="_Toc141875621"/>
      <w:r>
        <w:rPr>
          <w:rFonts w:hint="eastAsia"/>
        </w:rPr>
        <w:t>迅雷配置详细说明</w:t>
      </w:r>
      <w:bookmarkEnd w:id="6192"/>
      <w:bookmarkEnd w:id="6193"/>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1505B1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tcBorders>
              <w:tl2br w:val="nil"/>
              <w:tr2bl w:val="nil"/>
            </w:tcBorders>
            <w:shd w:val="clear" w:color="auto" w:fill="538135" w:themeFill="accent6" w:themeFillShade="BF"/>
            <w:vAlign w:val="center"/>
          </w:tcPr>
          <w:p w14:paraId="0556EED7">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6" w:type="dxa"/>
            <w:tcBorders>
              <w:tl2br w:val="nil"/>
              <w:tr2bl w:val="nil"/>
            </w:tcBorders>
            <w:shd w:val="clear" w:color="auto" w:fill="538135" w:themeFill="accent6" w:themeFillShade="BF"/>
            <w:vAlign w:val="center"/>
          </w:tcPr>
          <w:p w14:paraId="73155909">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08C04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16790454">
            <w:pPr>
              <w:pStyle w:val="150"/>
            </w:pPr>
            <w:r>
              <w:rPr>
                <w:rFonts w:hint="eastAsia"/>
              </w:rPr>
              <w:t>应用名称</w:t>
            </w:r>
          </w:p>
        </w:tc>
        <w:tc>
          <w:tcPr>
            <w:tcW w:w="6816" w:type="dxa"/>
            <w:shd w:val="clear" w:color="auto" w:fill="auto"/>
          </w:tcPr>
          <w:p w14:paraId="3BA7D465">
            <w:pPr>
              <w:pStyle w:val="150"/>
            </w:pPr>
            <w:r>
              <w:rPr>
                <w:rFonts w:hint="eastAsia"/>
              </w:rPr>
              <w:t>应用智能识别名称。</w:t>
            </w:r>
          </w:p>
        </w:tc>
      </w:tr>
      <w:tr w14:paraId="1E53286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068CEC9E">
            <w:pPr>
              <w:pStyle w:val="150"/>
            </w:pPr>
            <w:r>
              <w:rPr>
                <w:rFonts w:hint="eastAsia"/>
              </w:rPr>
              <w:t>应用类型</w:t>
            </w:r>
          </w:p>
        </w:tc>
        <w:tc>
          <w:tcPr>
            <w:tcW w:w="6816" w:type="dxa"/>
            <w:shd w:val="clear" w:color="auto" w:fill="auto"/>
          </w:tcPr>
          <w:p w14:paraId="675E0E30">
            <w:pPr>
              <w:pStyle w:val="150"/>
            </w:pPr>
            <w:r>
              <w:rPr>
                <w:rFonts w:hint="eastAsia"/>
              </w:rPr>
              <w:t>应用智能识别归属应用分类。</w:t>
            </w:r>
          </w:p>
        </w:tc>
      </w:tr>
      <w:tr w14:paraId="5AA31D4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7741862D">
            <w:pPr>
              <w:pStyle w:val="150"/>
            </w:pPr>
            <w:r>
              <w:rPr>
                <w:rFonts w:hint="eastAsia"/>
              </w:rPr>
              <w:t>应用描述</w:t>
            </w:r>
          </w:p>
        </w:tc>
        <w:tc>
          <w:tcPr>
            <w:tcW w:w="6816" w:type="dxa"/>
            <w:shd w:val="clear" w:color="auto" w:fill="auto"/>
          </w:tcPr>
          <w:p w14:paraId="27C5643C">
            <w:pPr>
              <w:pStyle w:val="150"/>
            </w:pPr>
            <w:r>
              <w:rPr>
                <w:rFonts w:hint="eastAsia"/>
              </w:rPr>
              <w:t>应用智能识别描述。</w:t>
            </w:r>
          </w:p>
        </w:tc>
      </w:tr>
      <w:tr w14:paraId="598EE0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3EA5F6B8">
            <w:pPr>
              <w:pStyle w:val="150"/>
            </w:pPr>
            <w:r>
              <w:rPr>
                <w:rFonts w:hint="eastAsia"/>
              </w:rPr>
              <w:t>检测宽松度</w:t>
            </w:r>
          </w:p>
        </w:tc>
        <w:tc>
          <w:tcPr>
            <w:tcW w:w="6816" w:type="dxa"/>
            <w:shd w:val="clear" w:color="auto" w:fill="auto"/>
          </w:tcPr>
          <w:p w14:paraId="7FF6BBD8">
            <w:pPr>
              <w:pStyle w:val="150"/>
            </w:pPr>
            <w:r>
              <w:rPr>
                <w:rFonts w:hint="eastAsia"/>
              </w:rPr>
              <w:t>单选框，有</w:t>
            </w:r>
            <w:r>
              <w:t>2</w:t>
            </w:r>
            <w:r>
              <w:rPr>
                <w:rFonts w:hint="eastAsia"/>
              </w:rPr>
              <w:t>个级别：严格、宽松。</w:t>
            </w:r>
          </w:p>
          <w:p w14:paraId="379146DA">
            <w:pPr>
              <w:pStyle w:val="150"/>
            </w:pPr>
            <w:r>
              <w:rPr>
                <w:rFonts w:hint="eastAsia"/>
              </w:rPr>
              <w:t>严格：识别要求严格，默认配置；</w:t>
            </w:r>
          </w:p>
          <w:p w14:paraId="5B57FCEC">
            <w:pPr>
              <w:pStyle w:val="150"/>
            </w:pPr>
            <w:r>
              <w:rPr>
                <w:rFonts w:hint="eastAsia"/>
              </w:rPr>
              <w:t>宽松：识别要求宽松，可能存在误报。</w:t>
            </w:r>
          </w:p>
        </w:tc>
      </w:tr>
    </w:tbl>
    <w:p w14:paraId="59559D82"/>
    <w:p w14:paraId="44885D8B">
      <w:r>
        <w:rPr>
          <w:rFonts w:hint="eastAsia"/>
        </w:rPr>
        <w:t>输入完毕后，点击</w:t>
      </w:r>
      <w:r>
        <w:t>&lt;</w:t>
      </w:r>
      <w:r>
        <w:rPr>
          <w:rFonts w:hint="eastAsia"/>
        </w:rPr>
        <w:t>提交</w:t>
      </w:r>
      <w:r>
        <w:t>&gt;</w:t>
      </w:r>
      <w:r>
        <w:rPr>
          <w:rFonts w:hint="eastAsia"/>
        </w:rPr>
        <w:t>按钮，应用配置，点击</w:t>
      </w:r>
      <w:r>
        <w:t>&lt;</w:t>
      </w:r>
      <w:r>
        <w:rPr>
          <w:rFonts w:hint="eastAsia"/>
        </w:rPr>
        <w:t>取消</w:t>
      </w:r>
      <w:r>
        <w:t>&gt;</w:t>
      </w:r>
      <w:r>
        <w:rPr>
          <w:rFonts w:hint="eastAsia"/>
        </w:rPr>
        <w:t>按钮，取消配置修改。</w:t>
      </w:r>
    </w:p>
    <w:p w14:paraId="3E7964C1">
      <w:pPr>
        <w:pStyle w:val="5"/>
      </w:pPr>
      <w:bookmarkStart w:id="6194" w:name="_Toc496864765"/>
      <w:bookmarkEnd w:id="6194"/>
      <w:bookmarkStart w:id="6195" w:name="_Toc496864769"/>
      <w:bookmarkEnd w:id="6195"/>
      <w:bookmarkStart w:id="6196" w:name="_Toc496864767"/>
      <w:bookmarkEnd w:id="6196"/>
      <w:bookmarkStart w:id="6197" w:name="_Toc496259707"/>
      <w:bookmarkEnd w:id="6197"/>
      <w:bookmarkStart w:id="6198" w:name="_Toc496864770"/>
      <w:bookmarkEnd w:id="6198"/>
      <w:bookmarkStart w:id="6199" w:name="_Toc496259708"/>
      <w:bookmarkEnd w:id="6199"/>
      <w:bookmarkStart w:id="6200" w:name="_Toc40276321"/>
      <w:bookmarkStart w:id="6201" w:name="_Toc196728381"/>
      <w:bookmarkStart w:id="6202" w:name="_Toc172218347"/>
      <w:bookmarkStart w:id="6203" w:name="_Toc141873576"/>
      <w:bookmarkStart w:id="6204" w:name="_Toc194081049"/>
      <w:bookmarkStart w:id="6205" w:name="_Toc6234900"/>
      <w:bookmarkStart w:id="6206" w:name="_Toc99561719"/>
      <w:bookmarkStart w:id="6207" w:name="_Toc142401093"/>
      <w:bookmarkStart w:id="6208" w:name="_Toc15485131"/>
      <w:bookmarkStart w:id="6209" w:name="_Toc23152895"/>
      <w:bookmarkStart w:id="6210" w:name="_Toc474250054"/>
      <w:bookmarkStart w:id="6211" w:name="_Ref393475767"/>
      <w:r>
        <w:rPr>
          <w:rFonts w:hint="eastAsia"/>
        </w:rPr>
        <w:t>应用识别模式配置</w:t>
      </w:r>
      <w:bookmarkEnd w:id="6200"/>
      <w:bookmarkEnd w:id="6201"/>
      <w:bookmarkEnd w:id="6202"/>
      <w:bookmarkEnd w:id="6203"/>
      <w:bookmarkEnd w:id="6204"/>
      <w:bookmarkEnd w:id="6205"/>
      <w:bookmarkEnd w:id="6206"/>
      <w:bookmarkEnd w:id="6207"/>
      <w:bookmarkEnd w:id="6208"/>
      <w:bookmarkEnd w:id="6209"/>
      <w:bookmarkEnd w:id="6210"/>
    </w:p>
    <w:p w14:paraId="521B0FFC">
      <w:r>
        <w:rPr>
          <w:rFonts w:hint="eastAsia"/>
        </w:rPr>
        <w:t xml:space="preserve">通过菜单“策略配置 </w:t>
      </w:r>
      <w:r>
        <w:t xml:space="preserve">&gt; </w:t>
      </w:r>
      <w:r>
        <w:rPr>
          <w:rFonts w:hint="eastAsia"/>
        </w:rPr>
        <w:t>对象管理</w:t>
      </w:r>
      <w:r>
        <w:t xml:space="preserve"> &gt; </w:t>
      </w:r>
      <w:r>
        <w:rPr>
          <w:rFonts w:hint="eastAsia"/>
        </w:rPr>
        <w:t>应用识别模式”，进入应用识别模式配置显示页面，如</w:t>
      </w:r>
      <w:r>
        <w:rPr>
          <w:color w:val="0000FF"/>
          <w:u w:val="single"/>
        </w:rPr>
        <w:fldChar w:fldCharType="begin"/>
      </w:r>
      <w:r>
        <w:rPr>
          <w:color w:val="0000FF"/>
          <w:u w:val="single"/>
        </w:rPr>
        <w:instrText xml:space="preserve"> </w:instrText>
      </w:r>
      <w:r>
        <w:rPr>
          <w:rFonts w:hint="eastAsia"/>
          <w:color w:val="0000FF"/>
          <w:u w:val="single"/>
        </w:rPr>
        <w:instrText xml:space="preserve">REF _Ref432690853 \r \h</w:instrText>
      </w:r>
      <w:r>
        <w:rPr>
          <w:color w:val="0000FF"/>
          <w:u w:val="single"/>
        </w:rPr>
        <w:instrText xml:space="preserve"> </w:instrText>
      </w:r>
      <w:r>
        <w:rPr>
          <w:color w:val="0000FF"/>
          <w:u w:val="single"/>
        </w:rPr>
        <w:fldChar w:fldCharType="separate"/>
      </w:r>
      <w:r>
        <w:rPr>
          <w:rFonts w:hint="eastAsia"/>
          <w:color w:val="0000FF"/>
          <w:u w:val="single"/>
        </w:rPr>
        <w:t>图28-11</w:t>
      </w:r>
      <w:r>
        <w:rPr>
          <w:color w:val="0000FF"/>
          <w:u w:val="single"/>
        </w:rPr>
        <w:fldChar w:fldCharType="end"/>
      </w:r>
      <w:r>
        <w:rPr>
          <w:rFonts w:hint="eastAsia"/>
        </w:rPr>
        <w:t>所示。</w:t>
      </w:r>
    </w:p>
    <w:p w14:paraId="73412883">
      <w:pPr>
        <w:pStyle w:val="188"/>
      </w:pPr>
      <w:bookmarkStart w:id="6212" w:name="_Ref432690853"/>
      <w:bookmarkStart w:id="6213" w:name="_Toc141874943"/>
      <w:r>
        <w:rPr>
          <w:rFonts w:hint="eastAsia"/>
        </w:rPr>
        <w:t>应用识别模式配置页面</w:t>
      </w:r>
      <w:bookmarkEnd w:id="6212"/>
      <w:bookmarkEnd w:id="6213"/>
    </w:p>
    <w:p w14:paraId="25BC0DFF">
      <w:r>
        <w:drawing>
          <wp:inline distT="0" distB="0" distL="0" distR="0">
            <wp:extent cx="3847465" cy="1609090"/>
            <wp:effectExtent l="0" t="0" r="635" b="0"/>
            <wp:docPr id="610" name="图片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图片 610"/>
                    <pic:cNvPicPr>
                      <a:picLocks noChangeAspect="1"/>
                    </pic:cNvPicPr>
                  </pic:nvPicPr>
                  <pic:blipFill>
                    <a:blip r:embed="rId771"/>
                    <a:stretch>
                      <a:fillRect/>
                    </a:stretch>
                  </pic:blipFill>
                  <pic:spPr>
                    <a:xfrm>
                      <a:off x="0" y="0"/>
                      <a:ext cx="3847619" cy="1609524"/>
                    </a:xfrm>
                    <a:prstGeom prst="rect">
                      <a:avLst/>
                    </a:prstGeom>
                  </pic:spPr>
                </pic:pic>
              </a:graphicData>
            </a:graphic>
          </wp:inline>
        </w:drawing>
      </w:r>
    </w:p>
    <w:p w14:paraId="3A71B266"/>
    <w:p w14:paraId="36D5C6D3">
      <w:r>
        <w:rPr>
          <w:rFonts w:hint="eastAsia"/>
        </w:rPr>
        <w:t>页面的详细说明如</w:t>
      </w:r>
      <w:r>
        <w:fldChar w:fldCharType="begin"/>
      </w:r>
      <w:r>
        <w:instrText xml:space="preserve"> REF _Ref432691007 \r \h </w:instrText>
      </w:r>
      <w:r>
        <w:fldChar w:fldCharType="separate"/>
      </w:r>
      <w:r>
        <w:rPr>
          <w:rFonts w:hint="eastAsia"/>
        </w:rPr>
        <w:t>表28-1</w:t>
      </w:r>
      <w:r>
        <w:fldChar w:fldCharType="end"/>
      </w:r>
      <w:r>
        <w:rPr>
          <w:rFonts w:hint="eastAsia"/>
        </w:rPr>
        <w:t>所示。</w:t>
      </w:r>
    </w:p>
    <w:p w14:paraId="42396957">
      <w:pPr>
        <w:pStyle w:val="183"/>
      </w:pPr>
      <w:bookmarkStart w:id="6214" w:name="_Ref432691007"/>
      <w:bookmarkStart w:id="6215" w:name="_Toc141875622"/>
      <w:r>
        <w:rPr>
          <w:rFonts w:hint="eastAsia"/>
        </w:rPr>
        <w:t>应用识别模式配置描述表</w:t>
      </w:r>
      <w:bookmarkEnd w:id="6214"/>
      <w:bookmarkEnd w:id="6215"/>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87"/>
        <w:gridCol w:w="6781"/>
      </w:tblGrid>
      <w:tr w14:paraId="588C93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2F8AFC88">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7" w:type="dxa"/>
            <w:tcBorders>
              <w:tl2br w:val="nil"/>
              <w:tr2bl w:val="nil"/>
            </w:tcBorders>
            <w:shd w:val="clear" w:color="auto" w:fill="538135" w:themeFill="accent6" w:themeFillShade="BF"/>
            <w:vAlign w:val="center"/>
          </w:tcPr>
          <w:p w14:paraId="0206C3A7">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6B168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240DA597">
            <w:pPr>
              <w:pStyle w:val="150"/>
            </w:pPr>
            <w:r>
              <w:rPr>
                <w:rFonts w:hint="eastAsia"/>
              </w:rPr>
              <w:t>智能模式</w:t>
            </w:r>
          </w:p>
        </w:tc>
        <w:tc>
          <w:tcPr>
            <w:tcW w:w="6817" w:type="dxa"/>
            <w:shd w:val="clear" w:color="auto" w:fill="auto"/>
          </w:tcPr>
          <w:p w14:paraId="3A96651A">
            <w:pPr>
              <w:pStyle w:val="150"/>
            </w:pPr>
            <w:r>
              <w:rPr>
                <w:rFonts w:hint="eastAsia"/>
              </w:rPr>
              <w:t>应用引擎模式将尽可能的尝试用各种方式识别网络流量</w:t>
            </w:r>
          </w:p>
        </w:tc>
      </w:tr>
      <w:tr w14:paraId="326CD0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F0B1F41">
            <w:pPr>
              <w:pStyle w:val="150"/>
            </w:pPr>
            <w:r>
              <w:rPr>
                <w:rFonts w:hint="eastAsia"/>
              </w:rPr>
              <w:t>快速模式</w:t>
            </w:r>
          </w:p>
        </w:tc>
        <w:tc>
          <w:tcPr>
            <w:tcW w:w="6817" w:type="dxa"/>
            <w:shd w:val="clear" w:color="auto" w:fill="auto"/>
          </w:tcPr>
          <w:p w14:paraId="78BAD43B">
            <w:pPr>
              <w:pStyle w:val="150"/>
            </w:pPr>
            <w:r>
              <w:rPr>
                <w:rFonts w:hint="eastAsia"/>
              </w:rPr>
              <w:t>应用引擎模式将关闭部分智能分析功能以提高性能</w:t>
            </w:r>
          </w:p>
        </w:tc>
      </w:tr>
      <w:tr w14:paraId="0F65E9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1389611B">
            <w:pPr>
              <w:pStyle w:val="150"/>
            </w:pPr>
            <w:r>
              <w:rPr>
                <w:rFonts w:hint="eastAsia"/>
              </w:rPr>
              <w:t>关闭模式</w:t>
            </w:r>
          </w:p>
        </w:tc>
        <w:tc>
          <w:tcPr>
            <w:tcW w:w="6817" w:type="dxa"/>
            <w:shd w:val="clear" w:color="auto" w:fill="auto"/>
          </w:tcPr>
          <w:p w14:paraId="185EFEE9">
            <w:pPr>
              <w:pStyle w:val="150"/>
            </w:pPr>
            <w:r>
              <w:rPr>
                <w:rFonts w:hint="eastAsia"/>
              </w:rPr>
              <w:t>应用引擎模式将不进行应用识别</w:t>
            </w:r>
          </w:p>
        </w:tc>
      </w:tr>
    </w:tbl>
    <w:p w14:paraId="53C2015D"/>
    <w:p w14:paraId="54BB281F">
      <w:r>
        <w:rPr>
          <w:rFonts w:hint="eastAsia"/>
        </w:rPr>
        <w:t>选择完毕后，点击</w:t>
      </w:r>
      <w:r>
        <w:t>&lt;</w:t>
      </w:r>
      <w:r>
        <w:rPr>
          <w:rFonts w:hint="eastAsia"/>
        </w:rPr>
        <w:t>提交</w:t>
      </w:r>
      <w:r>
        <w:t>&gt;</w:t>
      </w:r>
      <w:r>
        <w:rPr>
          <w:rFonts w:hint="eastAsia"/>
        </w:rPr>
        <w:t>按钮，应用配置。</w:t>
      </w:r>
    </w:p>
    <w:p w14:paraId="2AFF1736">
      <w:pPr>
        <w:pStyle w:val="5"/>
      </w:pPr>
      <w:bookmarkStart w:id="6216" w:name="_Toc99561720"/>
      <w:bookmarkStart w:id="6217" w:name="_Toc194081050"/>
      <w:bookmarkStart w:id="6218" w:name="_Toc70414459"/>
      <w:bookmarkStart w:id="6219" w:name="_Toc58603990"/>
      <w:bookmarkStart w:id="6220" w:name="_Toc142401094"/>
      <w:bookmarkStart w:id="6221" w:name="_Toc141873577"/>
      <w:bookmarkStart w:id="6222" w:name="_Toc196728382"/>
      <w:bookmarkStart w:id="6223" w:name="_Toc172218348"/>
      <w:bookmarkStart w:id="6224" w:name="_Toc70415396"/>
      <w:r>
        <w:rPr>
          <w:rFonts w:hint="eastAsia"/>
        </w:rPr>
        <w:t>应用识别高级配置</w:t>
      </w:r>
      <w:bookmarkEnd w:id="6216"/>
      <w:bookmarkEnd w:id="6217"/>
      <w:bookmarkEnd w:id="6218"/>
      <w:bookmarkEnd w:id="6219"/>
      <w:bookmarkEnd w:id="6220"/>
      <w:bookmarkEnd w:id="6221"/>
      <w:bookmarkEnd w:id="6222"/>
      <w:bookmarkEnd w:id="6223"/>
      <w:bookmarkEnd w:id="6224"/>
    </w:p>
    <w:p w14:paraId="172A4651">
      <w:r>
        <w:rPr>
          <w:rFonts w:hint="eastAsia"/>
        </w:rPr>
        <w:t xml:space="preserve">通过菜单“策略配置 </w:t>
      </w:r>
      <w:r>
        <w:t xml:space="preserve">&gt; </w:t>
      </w:r>
      <w:r>
        <w:rPr>
          <w:rFonts w:hint="eastAsia"/>
        </w:rPr>
        <w:t>对象管理</w:t>
      </w:r>
      <w:r>
        <w:t xml:space="preserve"> &gt; </w:t>
      </w:r>
      <w:r>
        <w:rPr>
          <w:rFonts w:hint="eastAsia"/>
        </w:rPr>
        <w:t>应用识别模式&gt; 应用识别高级配置”，进入应用识别高级配置显示页面，如</w:t>
      </w:r>
      <w:r>
        <w:rPr>
          <w:color w:val="0000FF"/>
          <w:u w:val="single"/>
        </w:rPr>
        <w:fldChar w:fldCharType="begin"/>
      </w:r>
      <w:r>
        <w:instrText xml:space="preserve"> </w:instrText>
      </w:r>
      <w:r>
        <w:rPr>
          <w:rFonts w:hint="eastAsia"/>
        </w:rPr>
        <w:instrText xml:space="preserve">REF _Ref59892986 \r \h</w:instrText>
      </w:r>
      <w:r>
        <w:instrText xml:space="preserve"> </w:instrText>
      </w:r>
      <w:r>
        <w:rPr>
          <w:color w:val="0000FF"/>
          <w:u w:val="single"/>
        </w:rPr>
        <w:fldChar w:fldCharType="separate"/>
      </w:r>
      <w:r>
        <w:rPr>
          <w:rFonts w:hint="eastAsia"/>
        </w:rPr>
        <w:t>图28-12</w:t>
      </w:r>
      <w:r>
        <w:rPr>
          <w:color w:val="0000FF"/>
          <w:u w:val="single"/>
        </w:rPr>
        <w:fldChar w:fldCharType="end"/>
      </w:r>
      <w:r>
        <w:rPr>
          <w:rFonts w:hint="eastAsia"/>
        </w:rPr>
        <w:t>所示。</w:t>
      </w:r>
    </w:p>
    <w:p w14:paraId="4BD840C8">
      <w:pPr>
        <w:pStyle w:val="188"/>
      </w:pPr>
      <w:bookmarkStart w:id="6225" w:name="_Ref59892986"/>
      <w:bookmarkStart w:id="6226" w:name="_Toc141874944"/>
      <w:r>
        <w:rPr>
          <w:rFonts w:hint="eastAsia"/>
        </w:rPr>
        <w:t>应用识别高级配置页面</w:t>
      </w:r>
      <w:bookmarkEnd w:id="6225"/>
      <w:bookmarkEnd w:id="6226"/>
    </w:p>
    <w:p w14:paraId="423A0AB4">
      <w:pPr>
        <w:spacing w:before="78" w:after="78"/>
      </w:pPr>
      <w:r>
        <w:drawing>
          <wp:inline distT="0" distB="0" distL="0" distR="0">
            <wp:extent cx="3362325" cy="2404745"/>
            <wp:effectExtent l="0" t="0" r="0" b="0"/>
            <wp:docPr id="699" name="图片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图片 699"/>
                    <pic:cNvPicPr>
                      <a:picLocks noChangeAspect="1"/>
                    </pic:cNvPicPr>
                  </pic:nvPicPr>
                  <pic:blipFill>
                    <a:blip r:embed="rId772"/>
                    <a:stretch>
                      <a:fillRect/>
                    </a:stretch>
                  </pic:blipFill>
                  <pic:spPr>
                    <a:xfrm>
                      <a:off x="0" y="0"/>
                      <a:ext cx="3368919" cy="2409945"/>
                    </a:xfrm>
                    <a:prstGeom prst="rect">
                      <a:avLst/>
                    </a:prstGeom>
                  </pic:spPr>
                </pic:pic>
              </a:graphicData>
            </a:graphic>
          </wp:inline>
        </w:drawing>
      </w:r>
    </w:p>
    <w:p w14:paraId="47B97142"/>
    <w:p w14:paraId="303AD0F6">
      <w:r>
        <w:rPr>
          <w:rFonts w:hint="eastAsia"/>
        </w:rPr>
        <w:t>页面的详细说明如</w:t>
      </w:r>
      <w:r>
        <w:rPr>
          <w:color w:val="0000FF"/>
          <w:u w:val="single"/>
        </w:rPr>
        <w:fldChar w:fldCharType="begin"/>
      </w:r>
      <w:r>
        <w:instrText xml:space="preserve"> </w:instrText>
      </w:r>
      <w:r>
        <w:rPr>
          <w:rFonts w:hint="eastAsia"/>
        </w:rPr>
        <w:instrText xml:space="preserve">REF _Ref59893080 \r \h</w:instrText>
      </w:r>
      <w:r>
        <w:instrText xml:space="preserve"> </w:instrText>
      </w:r>
      <w:r>
        <w:rPr>
          <w:color w:val="0000FF"/>
          <w:u w:val="single"/>
        </w:rPr>
        <w:fldChar w:fldCharType="separate"/>
      </w:r>
      <w:r>
        <w:rPr>
          <w:rFonts w:hint="eastAsia"/>
        </w:rPr>
        <w:t>表28-1</w:t>
      </w:r>
      <w:r>
        <w:rPr>
          <w:color w:val="0000FF"/>
          <w:u w:val="single"/>
        </w:rPr>
        <w:fldChar w:fldCharType="end"/>
      </w:r>
      <w:r>
        <w:rPr>
          <w:rFonts w:hint="eastAsia"/>
        </w:rPr>
        <w:t>所示。</w:t>
      </w:r>
    </w:p>
    <w:p w14:paraId="5B6F3AFE">
      <w:pPr>
        <w:pStyle w:val="183"/>
      </w:pPr>
      <w:bookmarkStart w:id="6227" w:name="_Ref59893080"/>
      <w:bookmarkStart w:id="6228" w:name="_Toc141875623"/>
      <w:r>
        <w:rPr>
          <w:rFonts w:hint="eastAsia"/>
        </w:rPr>
        <w:t>应用识别高级配置描述表</w:t>
      </w:r>
      <w:bookmarkEnd w:id="6227"/>
      <w:bookmarkEnd w:id="6228"/>
    </w:p>
    <w:tbl>
      <w:tblPr>
        <w:tblStyle w:val="173"/>
        <w:tblW w:w="500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595"/>
        <w:gridCol w:w="6647"/>
      </w:tblGrid>
      <w:tr w14:paraId="2212F69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04" w:type="pct"/>
            <w:tcBorders>
              <w:tl2br w:val="nil"/>
              <w:tr2bl w:val="nil"/>
            </w:tcBorders>
            <w:shd w:val="clear" w:color="auto" w:fill="538135" w:themeFill="accent6" w:themeFillShade="BF"/>
            <w:vAlign w:val="center"/>
          </w:tcPr>
          <w:p w14:paraId="55370301">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3596" w:type="pct"/>
            <w:tcBorders>
              <w:tl2br w:val="nil"/>
              <w:tr2bl w:val="nil"/>
            </w:tcBorders>
            <w:shd w:val="clear" w:color="auto" w:fill="538135" w:themeFill="accent6" w:themeFillShade="BF"/>
            <w:vAlign w:val="center"/>
          </w:tcPr>
          <w:p w14:paraId="3A7B2A4F">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FDEB3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04" w:type="pct"/>
            <w:shd w:val="clear" w:color="auto" w:fill="auto"/>
          </w:tcPr>
          <w:p w14:paraId="4C8AA2D2">
            <w:pPr>
              <w:pStyle w:val="150"/>
            </w:pPr>
            <w:r>
              <w:rPr>
                <w:rFonts w:hint="eastAsia"/>
              </w:rPr>
              <w:t>开启智能识别应用学习</w:t>
            </w:r>
          </w:p>
        </w:tc>
        <w:tc>
          <w:tcPr>
            <w:tcW w:w="3596" w:type="pct"/>
            <w:shd w:val="clear" w:color="auto" w:fill="auto"/>
          </w:tcPr>
          <w:p w14:paraId="7D953351">
            <w:pPr>
              <w:pStyle w:val="150"/>
            </w:pPr>
            <w:r>
              <w:rPr>
                <w:rFonts w:hint="eastAsia"/>
              </w:rPr>
              <w:t>默认开启</w:t>
            </w:r>
            <w:r>
              <w:t>，选择此项将</w:t>
            </w:r>
            <w:r>
              <w:rPr>
                <w:rFonts w:hint="eastAsia"/>
              </w:rPr>
              <w:t>开启智能识别应用学习</w:t>
            </w:r>
          </w:p>
        </w:tc>
      </w:tr>
      <w:tr w14:paraId="315C33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04" w:type="pct"/>
            <w:shd w:val="clear" w:color="auto" w:fill="auto"/>
          </w:tcPr>
          <w:p w14:paraId="7D8F456F">
            <w:pPr>
              <w:pStyle w:val="150"/>
            </w:pPr>
            <w:r>
              <w:rPr>
                <w:rFonts w:hint="eastAsia"/>
              </w:rPr>
              <w:t>覆盖智能识别应用学习结果</w:t>
            </w:r>
          </w:p>
        </w:tc>
        <w:tc>
          <w:tcPr>
            <w:tcW w:w="3596" w:type="pct"/>
            <w:shd w:val="clear" w:color="auto" w:fill="auto"/>
          </w:tcPr>
          <w:p w14:paraId="7C67B373">
            <w:pPr>
              <w:pStyle w:val="150"/>
            </w:pPr>
            <w:r>
              <w:rPr>
                <w:rFonts w:hint="eastAsia"/>
              </w:rPr>
              <w:t>用户访问不同网站，智能识别应用学习结果可能相同，启用此选项学习结果覆盖，智能识别应用为最新学习结果</w:t>
            </w:r>
          </w:p>
        </w:tc>
      </w:tr>
      <w:tr w14:paraId="34D763D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04" w:type="pct"/>
            <w:shd w:val="clear" w:color="auto" w:fill="auto"/>
          </w:tcPr>
          <w:p w14:paraId="394382CC">
            <w:pPr>
              <w:pStyle w:val="150"/>
            </w:pPr>
            <w:r>
              <w:rPr>
                <w:rFonts w:hint="eastAsia"/>
              </w:rPr>
              <w:t>开启真实文件类型识别</w:t>
            </w:r>
          </w:p>
        </w:tc>
        <w:tc>
          <w:tcPr>
            <w:tcW w:w="3596" w:type="pct"/>
            <w:shd w:val="clear" w:color="auto" w:fill="auto"/>
          </w:tcPr>
          <w:p w14:paraId="6DFD98AF">
            <w:pPr>
              <w:pStyle w:val="150"/>
            </w:pPr>
            <w:r>
              <w:rPr>
                <w:rFonts w:hint="eastAsia"/>
              </w:rPr>
              <w:t>通过文件头部的特定字段信息来识别文件真实类型，仅支持标准MIME格式上传和下载的网站，配置文件类型过滤功能使用。</w:t>
            </w:r>
          </w:p>
        </w:tc>
      </w:tr>
      <w:tr w14:paraId="531F10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04" w:type="pct"/>
            <w:shd w:val="clear" w:color="auto" w:fill="auto"/>
          </w:tcPr>
          <w:p w14:paraId="461E0918">
            <w:pPr>
              <w:pStyle w:val="150"/>
            </w:pPr>
            <w:r>
              <w:rPr>
                <w:rFonts w:hint="eastAsia"/>
              </w:rPr>
              <w:t>开启web在线代理识别</w:t>
            </w:r>
          </w:p>
        </w:tc>
        <w:tc>
          <w:tcPr>
            <w:tcW w:w="3596" w:type="pct"/>
            <w:shd w:val="clear" w:color="auto" w:fill="auto"/>
          </w:tcPr>
          <w:p w14:paraId="094FBD55">
            <w:pPr>
              <w:pStyle w:val="150"/>
            </w:pPr>
            <w:r>
              <w:rPr>
                <w:rFonts w:hint="eastAsia"/>
              </w:rPr>
              <w:t>开启此功能时，识别代理流量；关闭此功能时，识别代理流量真实应用。</w:t>
            </w:r>
          </w:p>
        </w:tc>
      </w:tr>
      <w:tr w14:paraId="5FEA083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04" w:type="pct"/>
            <w:shd w:val="clear" w:color="auto" w:fill="auto"/>
          </w:tcPr>
          <w:p w14:paraId="69CF18BB">
            <w:pPr>
              <w:pStyle w:val="150"/>
            </w:pPr>
            <w:r>
              <w:rPr>
                <w:rFonts w:hint="eastAsia"/>
              </w:rPr>
              <w:t>开启URL策略支持Referer字段查询匹配</w:t>
            </w:r>
          </w:p>
        </w:tc>
        <w:tc>
          <w:tcPr>
            <w:tcW w:w="3596" w:type="pct"/>
            <w:shd w:val="clear" w:color="auto" w:fill="auto"/>
          </w:tcPr>
          <w:p w14:paraId="48F4A902">
            <w:pPr>
              <w:pStyle w:val="150"/>
            </w:pPr>
            <w:r>
              <w:rPr>
                <w:rFonts w:hint="eastAsia"/>
              </w:rPr>
              <w:t>启用此选项后，可以在主域名已经被允许访问的情况下，放行该域名界面下的外部域名资源，保证页面显示的完整性。</w:t>
            </w:r>
          </w:p>
          <w:p w14:paraId="6D047ADB">
            <w:pPr>
              <w:pStyle w:val="150"/>
            </w:pPr>
            <w:r>
              <w:rPr>
                <w:rFonts w:hint="eastAsia"/>
              </w:rPr>
              <w:t>配置URL过滤策略使用。</w:t>
            </w:r>
          </w:p>
        </w:tc>
      </w:tr>
    </w:tbl>
    <w:p w14:paraId="3048F12E"/>
    <w:p w14:paraId="79594015">
      <w:pPr>
        <w:pStyle w:val="4"/>
      </w:pPr>
      <w:bookmarkStart w:id="6229" w:name="_Ref168597028"/>
      <w:bookmarkStart w:id="6230" w:name="_Toc196728383"/>
      <w:bookmarkStart w:id="6231" w:name="_Toc194081051"/>
      <w:bookmarkStart w:id="6232" w:name="_Toc172218349"/>
      <w:r>
        <w:rPr>
          <w:rFonts w:hint="eastAsia"/>
        </w:rPr>
        <w:t>数据库识别</w:t>
      </w:r>
      <w:bookmarkEnd w:id="6229"/>
      <w:bookmarkEnd w:id="6230"/>
      <w:bookmarkEnd w:id="6231"/>
      <w:bookmarkEnd w:id="6232"/>
    </w:p>
    <w:p w14:paraId="6FFC65AE">
      <w:r>
        <w:t>用户可以</w:t>
      </w:r>
      <w:r>
        <w:rPr>
          <w:rFonts w:hint="eastAsia"/>
        </w:rPr>
        <w:t>基于数据库服务器IP、端口及数据库类型自定义数据库识别对象，便于在配置数据库审计策略时灵活引用，可根据引用的数据库类型对相关数据库服务器的行为进行审计。</w:t>
      </w:r>
    </w:p>
    <w:p w14:paraId="40D5AE62">
      <w:pPr>
        <w:pStyle w:val="202"/>
        <w:rPr>
          <w:lang w:eastAsia="zh-CN"/>
        </w:rPr>
      </w:pPr>
      <w:r>
        <w:rPr>
          <w:rFonts w:hint="eastAsia"/>
          <w:lang w:eastAsia="zh-CN"/>
        </w:rPr>
        <w:t>在导航栏中选择“策略配置 &gt; 对象管理 &gt; 数据库识别”，可查看已配置的数据库识别对象。</w:t>
      </w:r>
    </w:p>
    <w:p w14:paraId="608FCE46">
      <w:pPr>
        <w:pStyle w:val="188"/>
      </w:pPr>
      <w:r>
        <w:t>数据库识别页面</w:t>
      </w:r>
    </w:p>
    <w:p w14:paraId="07E94A1F">
      <w:pPr>
        <w:pStyle w:val="175"/>
      </w:pPr>
      <w:r>
        <w:drawing>
          <wp:inline distT="0" distB="0" distL="0" distR="0">
            <wp:extent cx="5554980" cy="1639570"/>
            <wp:effectExtent l="0" t="0" r="7620" b="0"/>
            <wp:docPr id="1802027857" name="图片 1802027857" descr="C:\Users\WANGYI~1\AppData\Local\Temp\企业微信截图_17176737861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57" name="图片 1802027857" descr="C:\Users\WANGYI~1\AppData\Local\Temp\企业微信截图_17176737861047.png"/>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a:xfrm>
                      <a:off x="0" y="0"/>
                      <a:ext cx="5566806" cy="1643334"/>
                    </a:xfrm>
                    <a:prstGeom prst="rect">
                      <a:avLst/>
                    </a:prstGeom>
                    <a:noFill/>
                    <a:ln>
                      <a:noFill/>
                    </a:ln>
                  </pic:spPr>
                </pic:pic>
              </a:graphicData>
            </a:graphic>
          </wp:inline>
        </w:drawing>
      </w:r>
    </w:p>
    <w:p w14:paraId="1BCD2FF3"/>
    <w:p w14:paraId="29B548F5">
      <w:pPr>
        <w:pStyle w:val="202"/>
        <w:rPr>
          <w:lang w:eastAsia="zh-CN"/>
        </w:rPr>
      </w:pPr>
      <w:r>
        <w:rPr>
          <w:rFonts w:hint="eastAsia"/>
          <w:lang w:eastAsia="zh-CN"/>
        </w:rPr>
        <w:t>单击“新建”，创建自定义据库识别对象，选择数据库类型，配置数据库IP、端口等信息，单击“提交”。</w:t>
      </w:r>
    </w:p>
    <w:p w14:paraId="2ABCA404">
      <w:pPr>
        <w:pStyle w:val="188"/>
      </w:pPr>
      <w:r>
        <w:t>数据库识别配置页面</w:t>
      </w:r>
    </w:p>
    <w:p w14:paraId="21ECEC18">
      <w:r>
        <w:drawing>
          <wp:inline distT="0" distB="0" distL="0" distR="0">
            <wp:extent cx="5186680" cy="2156460"/>
            <wp:effectExtent l="0" t="0" r="0" b="0"/>
            <wp:docPr id="1802027858" name="图片 1802027858" descr="C:\Users\WANGYI~1\AppData\Local\Temp\企业微信截图_171767388978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58" name="图片 1802027858" descr="C:\Users\WANGYI~1\AppData\Local\Temp\企业微信截图_17176738897856.png"/>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a:xfrm>
                      <a:off x="0" y="0"/>
                      <a:ext cx="5202493" cy="2163064"/>
                    </a:xfrm>
                    <a:prstGeom prst="rect">
                      <a:avLst/>
                    </a:prstGeom>
                    <a:noFill/>
                    <a:ln>
                      <a:noFill/>
                    </a:ln>
                  </pic:spPr>
                </pic:pic>
              </a:graphicData>
            </a:graphic>
          </wp:inline>
        </w:drawing>
      </w:r>
    </w:p>
    <w:p w14:paraId="192A28DE"/>
    <w:p w14:paraId="016E7F74">
      <w:pPr>
        <w:pStyle w:val="183"/>
      </w:pPr>
      <w:r>
        <w:rPr>
          <w:rFonts w:hint="eastAsia"/>
        </w:rPr>
        <w:t>数据库识别对象参数说明</w:t>
      </w:r>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639"/>
        <w:gridCol w:w="7375"/>
      </w:tblGrid>
      <w:tr w14:paraId="2E1FF5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tcBorders>
              <w:tl2br w:val="nil"/>
              <w:tr2bl w:val="nil"/>
            </w:tcBorders>
            <w:shd w:val="clear" w:color="auto" w:fill="538135" w:themeFill="accent6" w:themeFillShade="BF"/>
            <w:vAlign w:val="center"/>
          </w:tcPr>
          <w:p w14:paraId="071C3E77">
            <w:pPr>
              <w:pStyle w:val="149"/>
              <w:wordWrap/>
              <w:rPr>
                <w:b/>
                <w:bCs/>
                <w:i w:val="0"/>
                <w:iCs w:val="0"/>
              </w:rPr>
            </w:pPr>
            <w:r>
              <w:rPr>
                <w:rFonts w:hint="eastAsia"/>
                <w:b/>
                <w:bCs/>
                <w:i w:val="0"/>
                <w:iCs w:val="0"/>
              </w:rPr>
              <w:t>配置项</w:t>
            </w:r>
          </w:p>
        </w:tc>
        <w:tc>
          <w:tcPr>
            <w:tcW w:w="7375" w:type="dxa"/>
            <w:tcBorders>
              <w:tl2br w:val="nil"/>
              <w:tr2bl w:val="nil"/>
            </w:tcBorders>
            <w:shd w:val="clear" w:color="auto" w:fill="538135" w:themeFill="accent6" w:themeFillShade="BF"/>
            <w:vAlign w:val="center"/>
          </w:tcPr>
          <w:p w14:paraId="61950CFB">
            <w:pPr>
              <w:pStyle w:val="149"/>
              <w:wordWrap/>
              <w:rPr>
                <w:b/>
                <w:bCs/>
                <w:i w:val="0"/>
                <w:iCs w:val="0"/>
              </w:rPr>
            </w:pPr>
            <w:r>
              <w:rPr>
                <w:rFonts w:hint="eastAsia"/>
                <w:b/>
                <w:bCs/>
                <w:i w:val="0"/>
                <w:iCs w:val="0"/>
              </w:rPr>
              <w:t>说明</w:t>
            </w:r>
          </w:p>
        </w:tc>
      </w:tr>
      <w:tr w14:paraId="4602160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1B2972B1">
            <w:pPr>
              <w:pStyle w:val="150"/>
            </w:pPr>
            <w:r>
              <w:rPr>
                <w:rFonts w:hint="eastAsia"/>
              </w:rPr>
              <w:t>启用</w:t>
            </w:r>
          </w:p>
        </w:tc>
        <w:tc>
          <w:tcPr>
            <w:tcW w:w="7375" w:type="dxa"/>
            <w:shd w:val="clear" w:color="auto" w:fill="auto"/>
          </w:tcPr>
          <w:p w14:paraId="2021A6A0">
            <w:pPr>
              <w:pStyle w:val="150"/>
            </w:pPr>
            <w:r>
              <w:rPr>
                <w:rFonts w:hint="eastAsia"/>
              </w:rPr>
              <w:t>启用数据库识别对象，新建默认勾选。</w:t>
            </w:r>
          </w:p>
        </w:tc>
      </w:tr>
      <w:tr w14:paraId="64F00D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5914C6F7">
            <w:pPr>
              <w:pStyle w:val="150"/>
            </w:pPr>
            <w:r>
              <w:rPr>
                <w:rFonts w:hint="eastAsia"/>
              </w:rPr>
              <w:t>名称</w:t>
            </w:r>
          </w:p>
        </w:tc>
        <w:tc>
          <w:tcPr>
            <w:tcW w:w="7375" w:type="dxa"/>
            <w:shd w:val="clear" w:color="auto" w:fill="auto"/>
          </w:tcPr>
          <w:p w14:paraId="0D21CE32">
            <w:pPr>
              <w:pStyle w:val="150"/>
            </w:pPr>
            <w:r>
              <w:rPr>
                <w:rFonts w:hint="eastAsia"/>
              </w:rPr>
              <w:t>数据库识别对象名称，必填项。</w:t>
            </w:r>
          </w:p>
        </w:tc>
      </w:tr>
      <w:tr w14:paraId="4510B0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6836A6AD">
            <w:pPr>
              <w:pStyle w:val="150"/>
            </w:pPr>
            <w:r>
              <w:rPr>
                <w:rFonts w:hint="eastAsia"/>
              </w:rPr>
              <w:t>数据库类型</w:t>
            </w:r>
          </w:p>
        </w:tc>
        <w:tc>
          <w:tcPr>
            <w:tcW w:w="7375" w:type="dxa"/>
            <w:shd w:val="clear" w:color="auto" w:fill="auto"/>
          </w:tcPr>
          <w:p w14:paraId="13A53C8D">
            <w:pPr>
              <w:pStyle w:val="150"/>
            </w:pPr>
            <w:r>
              <w:rPr>
                <w:rFonts w:hint="eastAsia"/>
              </w:rPr>
              <w:t>数据库类型目前支持mysql、postgresql、oracle、informix、sqlserver、sybase、db2。</w:t>
            </w:r>
          </w:p>
        </w:tc>
      </w:tr>
      <w:tr w14:paraId="49AC92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2C5BC8E5">
            <w:pPr>
              <w:pStyle w:val="150"/>
            </w:pPr>
            <w:r>
              <w:rPr>
                <w:rFonts w:hint="eastAsia"/>
              </w:rPr>
              <w:t>数据库IP</w:t>
            </w:r>
          </w:p>
        </w:tc>
        <w:tc>
          <w:tcPr>
            <w:tcW w:w="7375" w:type="dxa"/>
            <w:shd w:val="clear" w:color="auto" w:fill="auto"/>
          </w:tcPr>
          <w:p w14:paraId="5836CEE9">
            <w:pPr>
              <w:pStyle w:val="150"/>
            </w:pPr>
            <w:r>
              <w:rPr>
                <w:rFonts w:hint="eastAsia"/>
              </w:rPr>
              <w:t>连接数据库服务器IP地址，必填项。</w:t>
            </w:r>
          </w:p>
        </w:tc>
      </w:tr>
      <w:tr w14:paraId="6C708B0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7C84662A">
            <w:pPr>
              <w:pStyle w:val="150"/>
            </w:pPr>
            <w:r>
              <w:rPr>
                <w:rFonts w:hint="eastAsia"/>
              </w:rPr>
              <w:t>数据库端口</w:t>
            </w:r>
          </w:p>
        </w:tc>
        <w:tc>
          <w:tcPr>
            <w:tcW w:w="7375" w:type="dxa"/>
            <w:shd w:val="clear" w:color="auto" w:fill="auto"/>
          </w:tcPr>
          <w:p w14:paraId="7E505F9A">
            <w:pPr>
              <w:pStyle w:val="150"/>
            </w:pPr>
            <w:r>
              <w:rPr>
                <w:rFonts w:hint="eastAsia"/>
              </w:rPr>
              <w:t>连接数据库服务器的端口，必填项。</w:t>
            </w:r>
          </w:p>
        </w:tc>
      </w:tr>
    </w:tbl>
    <w:p w14:paraId="3491B381"/>
    <w:bookmarkEnd w:id="6040"/>
    <w:bookmarkEnd w:id="6041"/>
    <w:bookmarkEnd w:id="6042"/>
    <w:bookmarkEnd w:id="6043"/>
    <w:bookmarkEnd w:id="6044"/>
    <w:bookmarkEnd w:id="6045"/>
    <w:bookmarkEnd w:id="6046"/>
    <w:bookmarkEnd w:id="6047"/>
    <w:bookmarkEnd w:id="6211"/>
    <w:p w14:paraId="54A0255E">
      <w:pPr>
        <w:pStyle w:val="4"/>
      </w:pPr>
      <w:bookmarkStart w:id="6233" w:name="_Toc496864773"/>
      <w:bookmarkEnd w:id="6233"/>
      <w:bookmarkStart w:id="6234" w:name="_Toc196728384"/>
      <w:bookmarkStart w:id="6235" w:name="_Toc141873578"/>
      <w:bookmarkStart w:id="6236" w:name="_Toc172218350"/>
      <w:bookmarkStart w:id="6237" w:name="_Toc194081052"/>
      <w:bookmarkStart w:id="6238" w:name="_Toc142401095"/>
      <w:r>
        <w:rPr>
          <w:rFonts w:hint="eastAsia"/>
        </w:rPr>
        <w:t>地址对象</w:t>
      </w:r>
      <w:bookmarkEnd w:id="6048"/>
      <w:bookmarkEnd w:id="6049"/>
      <w:bookmarkEnd w:id="6050"/>
      <w:bookmarkEnd w:id="6051"/>
      <w:bookmarkEnd w:id="6052"/>
      <w:bookmarkEnd w:id="6053"/>
      <w:bookmarkEnd w:id="6054"/>
      <w:bookmarkEnd w:id="6234"/>
      <w:bookmarkEnd w:id="6235"/>
      <w:bookmarkEnd w:id="6236"/>
      <w:bookmarkEnd w:id="6237"/>
      <w:bookmarkEnd w:id="6238"/>
    </w:p>
    <w:p w14:paraId="1EC66842">
      <w:pPr>
        <w:pStyle w:val="5"/>
      </w:pPr>
      <w:bookmarkStart w:id="6239" w:name="_Toc474250023"/>
      <w:bookmarkStart w:id="6240" w:name="_Toc6234867"/>
      <w:bookmarkStart w:id="6241" w:name="_Toc99561673"/>
      <w:bookmarkStart w:id="6242" w:name="_Toc141873579"/>
      <w:bookmarkStart w:id="6243" w:name="_Toc142401096"/>
      <w:bookmarkStart w:id="6244" w:name="_Toc391373159"/>
      <w:bookmarkStart w:id="6245" w:name="_Toc172218351"/>
      <w:bookmarkStart w:id="6246" w:name="_Toc194081053"/>
      <w:bookmarkStart w:id="6247" w:name="_Toc40276287"/>
      <w:bookmarkStart w:id="6248" w:name="_Toc15485097"/>
      <w:bookmarkStart w:id="6249" w:name="_Toc23152861"/>
      <w:bookmarkStart w:id="6250" w:name="_Toc196728385"/>
      <w:r>
        <w:rPr>
          <w:rFonts w:hint="eastAsia"/>
        </w:rPr>
        <w:t>概述</w:t>
      </w:r>
      <w:bookmarkEnd w:id="6239"/>
      <w:bookmarkEnd w:id="6240"/>
      <w:bookmarkEnd w:id="6241"/>
      <w:bookmarkEnd w:id="6242"/>
      <w:bookmarkEnd w:id="6243"/>
      <w:bookmarkEnd w:id="6244"/>
      <w:bookmarkEnd w:id="6245"/>
      <w:bookmarkEnd w:id="6246"/>
      <w:bookmarkEnd w:id="6247"/>
      <w:bookmarkEnd w:id="6248"/>
      <w:bookmarkEnd w:id="6249"/>
      <w:bookmarkEnd w:id="6250"/>
    </w:p>
    <w:p w14:paraId="3C9A6F0A">
      <w:r>
        <w:rPr>
          <w:rFonts w:hint="eastAsia"/>
        </w:rPr>
        <w:t>为方便管理员引用IP地址，实现灵活配置，设备支持地址对象功能。用户可以对IP地址或地址范围设置名称，使用时只要引用该名称就可以应用该地址对象中的IP地址或地址范围。目前设备支持IPv4和IPv6两类地址对象，对于有相同或相似属性的地址对象集合，可以添加到地址组中以方便归类和管理。</w:t>
      </w:r>
    </w:p>
    <w:bookmarkEnd w:id="6055"/>
    <w:bookmarkEnd w:id="6056"/>
    <w:p w14:paraId="0BA29BEB">
      <w:pPr>
        <w:pStyle w:val="5"/>
      </w:pPr>
      <w:bookmarkStart w:id="6251" w:name="_Toc474250024"/>
      <w:bookmarkStart w:id="6252" w:name="_Toc23152862"/>
      <w:bookmarkStart w:id="6253" w:name="_Toc15485098"/>
      <w:bookmarkStart w:id="6254" w:name="_Toc99561674"/>
      <w:bookmarkStart w:id="6255" w:name="_Toc141873580"/>
      <w:bookmarkStart w:id="6256" w:name="_Toc40276288"/>
      <w:bookmarkStart w:id="6257" w:name="_Toc142401097"/>
      <w:bookmarkStart w:id="6258" w:name="_Toc172218352"/>
      <w:bookmarkStart w:id="6259" w:name="_Toc194081054"/>
      <w:bookmarkStart w:id="6260" w:name="_Toc196728386"/>
      <w:bookmarkStart w:id="6261" w:name="_Toc6234868"/>
      <w:bookmarkStart w:id="6262" w:name="_Toc388265392"/>
      <w:r>
        <w:rPr>
          <w:rFonts w:hint="eastAsia"/>
        </w:rPr>
        <w:t>配置地址对象</w:t>
      </w:r>
      <w:bookmarkEnd w:id="6251"/>
      <w:bookmarkEnd w:id="6252"/>
      <w:bookmarkEnd w:id="6253"/>
      <w:bookmarkEnd w:id="6254"/>
      <w:bookmarkEnd w:id="6255"/>
      <w:bookmarkEnd w:id="6256"/>
      <w:bookmarkEnd w:id="6257"/>
      <w:bookmarkEnd w:id="6258"/>
      <w:bookmarkEnd w:id="6259"/>
      <w:bookmarkEnd w:id="6260"/>
      <w:bookmarkEnd w:id="6261"/>
    </w:p>
    <w:p w14:paraId="78442C35">
      <w:r>
        <w:rPr>
          <w:rFonts w:hint="eastAsia"/>
        </w:rPr>
        <w:t>在导航栏中选择“策略配置 &gt; 对象管理 &gt; 地址对象”，点击地址对象标签页，查看所有的地址对象，设备默认内置了6个地址对象，分别是any（任意地址）、private（私有地址）、ChinaUnicom（中国联通）、ChinaTelecom（中国电信）、ChinaEducation（教育网）和ChinaMobile（中国移动）。用户无法修改或删除内置的地址对象。</w:t>
      </w:r>
    </w:p>
    <w:p w14:paraId="6A60E30A">
      <w:pPr>
        <w:pStyle w:val="188"/>
      </w:pPr>
      <w:bookmarkStart w:id="6263" w:name="_Ref393373672"/>
      <w:bookmarkStart w:id="6264" w:name="_Toc141874945"/>
      <w:r>
        <w:rPr>
          <w:rFonts w:hint="eastAsia"/>
        </w:rPr>
        <w:t>地址对象显示页面</w:t>
      </w:r>
      <w:bookmarkEnd w:id="6263"/>
      <w:bookmarkEnd w:id="6264"/>
    </w:p>
    <w:p w14:paraId="21F2E527">
      <w:pPr>
        <w:spacing w:before="78" w:after="78"/>
      </w:pPr>
      <w:r>
        <w:drawing>
          <wp:inline distT="0" distB="0" distL="0" distR="0">
            <wp:extent cx="5400040" cy="1959610"/>
            <wp:effectExtent l="0" t="0" r="0" b="2540"/>
            <wp:docPr id="2725" name="图片 2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5" name="图片 2725"/>
                    <pic:cNvPicPr>
                      <a:picLocks noChangeAspect="1"/>
                    </pic:cNvPicPr>
                  </pic:nvPicPr>
                  <pic:blipFill>
                    <a:blip r:embed="rId775"/>
                    <a:stretch>
                      <a:fillRect/>
                    </a:stretch>
                  </pic:blipFill>
                  <pic:spPr>
                    <a:xfrm>
                      <a:off x="0" y="0"/>
                      <a:ext cx="5400040" cy="1959882"/>
                    </a:xfrm>
                    <a:prstGeom prst="rect">
                      <a:avLst/>
                    </a:prstGeom>
                  </pic:spPr>
                </pic:pic>
              </a:graphicData>
            </a:graphic>
          </wp:inline>
        </w:drawing>
      </w:r>
    </w:p>
    <w:p w14:paraId="7E4DDFEE"/>
    <w:p w14:paraId="0C94BAB4">
      <w:r>
        <w:rPr>
          <w:rFonts w:hint="eastAsia"/>
        </w:rPr>
        <w:t>点击&lt;新建&gt;，编辑相关信息，点击&lt;提交&gt;。</w:t>
      </w:r>
    </w:p>
    <w:p w14:paraId="40CB4E01">
      <w:pPr>
        <w:pStyle w:val="188"/>
      </w:pPr>
      <w:bookmarkStart w:id="6265" w:name="_Ref392921866"/>
      <w:bookmarkStart w:id="6266" w:name="_Toc141874946"/>
      <w:r>
        <w:rPr>
          <w:rFonts w:hint="eastAsia"/>
        </w:rPr>
        <w:t>新建地址对象</w:t>
      </w:r>
      <w:bookmarkEnd w:id="6265"/>
      <w:bookmarkEnd w:id="6266"/>
    </w:p>
    <w:p w14:paraId="527C4232">
      <w:pPr>
        <w:spacing w:before="78" w:after="78"/>
      </w:pPr>
      <w:r>
        <w:drawing>
          <wp:inline distT="0" distB="0" distL="0" distR="0">
            <wp:extent cx="5381625" cy="4789170"/>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776"/>
                    <a:stretch>
                      <a:fillRect/>
                    </a:stretch>
                  </pic:blipFill>
                  <pic:spPr>
                    <a:xfrm>
                      <a:off x="0" y="0"/>
                      <a:ext cx="5382559" cy="4790081"/>
                    </a:xfrm>
                    <a:prstGeom prst="rect">
                      <a:avLst/>
                    </a:prstGeom>
                  </pic:spPr>
                </pic:pic>
              </a:graphicData>
            </a:graphic>
          </wp:inline>
        </w:drawing>
      </w:r>
    </w:p>
    <w:p w14:paraId="04045D19"/>
    <w:p w14:paraId="36742EE5">
      <w:r>
        <w:rPr>
          <w:rFonts w:hint="eastAsia"/>
        </w:rPr>
        <w:t>地址对象的详细配置表如</w:t>
      </w:r>
      <w:r>
        <w:fldChar w:fldCharType="begin"/>
      </w:r>
      <w:r>
        <w:instrText xml:space="preserve"> REF _Ref392922968 \r \h </w:instrText>
      </w:r>
      <w:r>
        <w:fldChar w:fldCharType="separate"/>
      </w:r>
      <w:r>
        <w:rPr>
          <w:rFonts w:hint="eastAsia"/>
        </w:rPr>
        <w:t>表28-1</w:t>
      </w:r>
      <w:r>
        <w:fldChar w:fldCharType="end"/>
      </w:r>
      <w:r>
        <w:rPr>
          <w:rFonts w:hint="eastAsia"/>
        </w:rPr>
        <w:t>所示：</w:t>
      </w:r>
    </w:p>
    <w:p w14:paraId="2237E47B">
      <w:pPr>
        <w:pStyle w:val="183"/>
      </w:pPr>
      <w:bookmarkStart w:id="6267" w:name="_Ref392922968"/>
      <w:bookmarkStart w:id="6268" w:name="_Toc141875624"/>
      <w:r>
        <w:rPr>
          <w:rFonts w:hint="eastAsia"/>
        </w:rPr>
        <w:t>地址对象的详细配置</w:t>
      </w:r>
      <w:bookmarkEnd w:id="6267"/>
      <w:bookmarkEnd w:id="6268"/>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943"/>
        <w:gridCol w:w="6025"/>
      </w:tblGrid>
      <w:tr w14:paraId="1A614A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43" w:type="dxa"/>
            <w:tcBorders>
              <w:tl2br w:val="nil"/>
              <w:tr2bl w:val="nil"/>
            </w:tcBorders>
            <w:shd w:val="clear" w:color="auto" w:fill="538135" w:themeFill="accent6" w:themeFillShade="BF"/>
            <w:vAlign w:val="center"/>
          </w:tcPr>
          <w:p w14:paraId="5544FBA1">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6025" w:type="dxa"/>
            <w:tcBorders>
              <w:tl2br w:val="nil"/>
              <w:tr2bl w:val="nil"/>
            </w:tcBorders>
            <w:shd w:val="clear" w:color="auto" w:fill="538135" w:themeFill="accent6" w:themeFillShade="BF"/>
            <w:vAlign w:val="center"/>
          </w:tcPr>
          <w:p w14:paraId="52762B20">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10109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43" w:type="dxa"/>
            <w:shd w:val="clear" w:color="auto" w:fill="auto"/>
          </w:tcPr>
          <w:p w14:paraId="2163F134">
            <w:pPr>
              <w:pStyle w:val="150"/>
            </w:pPr>
            <w:r>
              <w:rPr>
                <w:rFonts w:hint="eastAsia"/>
              </w:rPr>
              <w:t>名称</w:t>
            </w:r>
          </w:p>
        </w:tc>
        <w:tc>
          <w:tcPr>
            <w:tcW w:w="6025" w:type="dxa"/>
            <w:shd w:val="clear" w:color="auto" w:fill="auto"/>
          </w:tcPr>
          <w:p w14:paraId="12292F1C">
            <w:pPr>
              <w:pStyle w:val="150"/>
            </w:pPr>
            <w:r>
              <w:rPr>
                <w:rFonts w:hint="eastAsia"/>
              </w:rPr>
              <w:t>地址对象的名称，为1到</w:t>
            </w:r>
            <w:r>
              <w:t>63</w:t>
            </w:r>
            <w:r>
              <w:rPr>
                <w:rFonts w:hint="eastAsia"/>
              </w:rPr>
              <w:t>个字符的字符串。</w:t>
            </w:r>
          </w:p>
        </w:tc>
      </w:tr>
      <w:tr w14:paraId="3BDAB37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43" w:type="dxa"/>
            <w:shd w:val="clear" w:color="auto" w:fill="auto"/>
          </w:tcPr>
          <w:p w14:paraId="2FC82D87">
            <w:pPr>
              <w:pStyle w:val="150"/>
            </w:pPr>
            <w:r>
              <w:rPr>
                <w:rFonts w:hint="eastAsia"/>
              </w:rPr>
              <w:t>描述</w:t>
            </w:r>
          </w:p>
        </w:tc>
        <w:tc>
          <w:tcPr>
            <w:tcW w:w="6025" w:type="dxa"/>
            <w:shd w:val="clear" w:color="auto" w:fill="auto"/>
          </w:tcPr>
          <w:p w14:paraId="2D875528">
            <w:pPr>
              <w:pStyle w:val="150"/>
            </w:pPr>
            <w:r>
              <w:rPr>
                <w:rFonts w:hint="eastAsia"/>
              </w:rPr>
              <w:t>地址对象的描述信息，为0到127个字符的字符串。</w:t>
            </w:r>
          </w:p>
        </w:tc>
      </w:tr>
      <w:tr w14:paraId="2D0190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43" w:type="dxa"/>
            <w:shd w:val="clear" w:color="auto" w:fill="auto"/>
          </w:tcPr>
          <w:p w14:paraId="50232D66">
            <w:pPr>
              <w:pStyle w:val="150"/>
            </w:pPr>
            <w:r>
              <w:t>地址</w:t>
            </w:r>
            <w:r>
              <w:rPr>
                <w:rFonts w:hint="eastAsia"/>
              </w:rPr>
              <w:t>项目</w:t>
            </w:r>
          </w:p>
        </w:tc>
        <w:tc>
          <w:tcPr>
            <w:tcW w:w="6025" w:type="dxa"/>
            <w:shd w:val="clear" w:color="auto" w:fill="auto"/>
          </w:tcPr>
          <w:p w14:paraId="70918E19">
            <w:pPr>
              <w:pStyle w:val="150"/>
            </w:pPr>
            <w:r>
              <w:rPr>
                <w:rFonts w:hint="eastAsia"/>
              </w:rPr>
              <w:t>添加子网地址、主机地址、范围地址或域名。</w:t>
            </w:r>
          </w:p>
          <w:p w14:paraId="1B055271">
            <w:pPr>
              <w:pStyle w:val="150"/>
            </w:pPr>
            <w:r>
              <w:t>可添加</w:t>
            </w:r>
            <w:r>
              <w:rPr>
                <w:rFonts w:hint="eastAsia"/>
              </w:rPr>
              <w:t>IPv4或IPv6地址或地址范围、IPv4或IPv6主机IP地址或域名地址。</w:t>
            </w:r>
          </w:p>
          <w:p w14:paraId="3638682E">
            <w:pPr>
              <w:pStyle w:val="150"/>
            </w:pPr>
            <w:r>
              <w:rPr>
                <w:rFonts w:hint="eastAsia"/>
              </w:rPr>
              <w:t>支持输入多项，各项之间以回车分隔。</w:t>
            </w:r>
          </w:p>
        </w:tc>
      </w:tr>
      <w:tr w14:paraId="13FE6E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43" w:type="dxa"/>
            <w:shd w:val="clear" w:color="auto" w:fill="auto"/>
          </w:tcPr>
          <w:p w14:paraId="30067036">
            <w:pPr>
              <w:pStyle w:val="150"/>
            </w:pPr>
            <w:r>
              <w:rPr>
                <w:rFonts w:hint="eastAsia"/>
              </w:rPr>
              <w:t>排除地址</w:t>
            </w:r>
          </w:p>
        </w:tc>
        <w:tc>
          <w:tcPr>
            <w:tcW w:w="6025" w:type="dxa"/>
            <w:shd w:val="clear" w:color="auto" w:fill="auto"/>
          </w:tcPr>
          <w:p w14:paraId="020BA67B">
            <w:pPr>
              <w:pStyle w:val="150"/>
            </w:pPr>
            <w:r>
              <w:t>添加</w:t>
            </w:r>
            <w:r>
              <w:rPr>
                <w:rFonts w:hint="eastAsia"/>
              </w:rPr>
              <w:t>排除子网地址、范围地址、主机地址或域名，支持输入多项，各项之间以回车分隔。</w:t>
            </w:r>
          </w:p>
        </w:tc>
      </w:tr>
    </w:tbl>
    <w:p w14:paraId="22E2696A"/>
    <w:p w14:paraId="62F2DF79">
      <w:pPr>
        <w:pStyle w:val="5"/>
      </w:pPr>
      <w:bookmarkStart w:id="6269" w:name="_Ref120131464"/>
      <w:bookmarkStart w:id="6270" w:name="_Toc141873581"/>
      <w:bookmarkStart w:id="6271" w:name="_Toc194081055"/>
      <w:bookmarkStart w:id="6272" w:name="_Toc196728387"/>
      <w:bookmarkStart w:id="6273" w:name="_Toc142401098"/>
      <w:bookmarkStart w:id="6274" w:name="_Toc172218353"/>
      <w:r>
        <w:rPr>
          <w:rFonts w:hint="eastAsia"/>
        </w:rPr>
        <w:t>导入或导出地址</w:t>
      </w:r>
      <w:r>
        <w:t>对象</w:t>
      </w:r>
      <w:bookmarkEnd w:id="6269"/>
      <w:bookmarkEnd w:id="6270"/>
      <w:bookmarkEnd w:id="6271"/>
      <w:bookmarkEnd w:id="6272"/>
      <w:bookmarkEnd w:id="6273"/>
      <w:bookmarkEnd w:id="6274"/>
    </w:p>
    <w:p w14:paraId="1A74083D">
      <w:r>
        <w:rPr>
          <w:rFonts w:hint="eastAsia"/>
        </w:rPr>
        <w:t>也可以通过直接上传c</w:t>
      </w:r>
      <w:r>
        <w:t>sv</w:t>
      </w:r>
      <w:r>
        <w:rPr>
          <w:rFonts w:hint="eastAsia"/>
        </w:rPr>
        <w:t>文件的方式导入地址对象，或将当前配置的地址</w:t>
      </w:r>
      <w:r>
        <w:t>对象</w:t>
      </w:r>
      <w:r>
        <w:rPr>
          <w:rFonts w:hint="eastAsia"/>
        </w:rPr>
        <w:t>以c</w:t>
      </w:r>
      <w:r>
        <w:t>sv</w:t>
      </w:r>
      <w:r>
        <w:rPr>
          <w:rFonts w:hint="eastAsia"/>
        </w:rPr>
        <w:t>文件格式导出。</w:t>
      </w:r>
    </w:p>
    <w:p w14:paraId="706CD97C">
      <w:pPr>
        <w:pStyle w:val="188"/>
      </w:pPr>
      <w:bookmarkStart w:id="6275" w:name="_Toc141874947"/>
      <w:r>
        <w:rPr>
          <w:rFonts w:hint="eastAsia"/>
        </w:rPr>
        <w:t>导入导出地址对象</w:t>
      </w:r>
      <w:bookmarkEnd w:id="6275"/>
    </w:p>
    <w:p w14:paraId="1AE05546">
      <w:pPr>
        <w:spacing w:before="78" w:after="78"/>
      </w:pPr>
      <w:r>
        <w:drawing>
          <wp:inline distT="0" distB="0" distL="0" distR="0">
            <wp:extent cx="5377180" cy="1608455"/>
            <wp:effectExtent l="0" t="0" r="0" b="0"/>
            <wp:docPr id="700" name="图片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图片 700"/>
                    <pic:cNvPicPr>
                      <a:picLocks noChangeAspect="1"/>
                    </pic:cNvPicPr>
                  </pic:nvPicPr>
                  <pic:blipFill>
                    <a:blip r:embed="rId777"/>
                    <a:stretch>
                      <a:fillRect/>
                    </a:stretch>
                  </pic:blipFill>
                  <pic:spPr>
                    <a:xfrm>
                      <a:off x="0" y="0"/>
                      <a:ext cx="5391609" cy="1612784"/>
                    </a:xfrm>
                    <a:prstGeom prst="rect">
                      <a:avLst/>
                    </a:prstGeom>
                  </pic:spPr>
                </pic:pic>
              </a:graphicData>
            </a:graphic>
          </wp:inline>
        </w:drawing>
      </w:r>
    </w:p>
    <w:p w14:paraId="2B340F36">
      <w:r>
        <w:rPr>
          <w:rFonts w:hint="eastAsia"/>
        </w:rPr>
        <w:t>导入地址</w:t>
      </w:r>
      <w:r>
        <w:t>对象</w:t>
      </w:r>
      <w:r>
        <w:rPr>
          <w:rFonts w:hint="eastAsia"/>
        </w:rPr>
        <w:t>的操作方法如下：</w:t>
      </w:r>
    </w:p>
    <w:p w14:paraId="0738479D">
      <w:pPr>
        <w:pStyle w:val="202"/>
        <w:rPr>
          <w:lang w:eastAsia="zh-CN"/>
        </w:rPr>
      </w:pPr>
      <w:r>
        <w:rPr>
          <w:rFonts w:hint="eastAsia"/>
          <w:lang w:eastAsia="zh-CN"/>
        </w:rPr>
        <w:t>点击&lt;下载模板</w:t>
      </w:r>
      <w:r>
        <w:rPr>
          <w:lang w:eastAsia="zh-CN"/>
        </w:rPr>
        <w:t>&gt;</w:t>
      </w:r>
      <w:r>
        <w:rPr>
          <w:rFonts w:hint="eastAsia"/>
          <w:lang w:eastAsia="zh-CN"/>
        </w:rPr>
        <w:t>，下载模板文件至本地。</w:t>
      </w:r>
    </w:p>
    <w:p w14:paraId="151FFFF8">
      <w:pPr>
        <w:pStyle w:val="373"/>
      </w:pPr>
      <w:r>
        <w:drawing>
          <wp:inline distT="0" distB="0" distL="0" distR="0">
            <wp:extent cx="5443855" cy="1901190"/>
            <wp:effectExtent l="0" t="0" r="4445" b="3810"/>
            <wp:docPr id="701" name="图片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图片 701"/>
                    <pic:cNvPicPr>
                      <a:picLocks noChangeAspect="1"/>
                    </pic:cNvPicPr>
                  </pic:nvPicPr>
                  <pic:blipFill>
                    <a:blip r:embed="rId778"/>
                    <a:stretch>
                      <a:fillRect/>
                    </a:stretch>
                  </pic:blipFill>
                  <pic:spPr>
                    <a:xfrm>
                      <a:off x="0" y="0"/>
                      <a:ext cx="5458521" cy="1906915"/>
                    </a:xfrm>
                    <a:prstGeom prst="rect">
                      <a:avLst/>
                    </a:prstGeom>
                  </pic:spPr>
                </pic:pic>
              </a:graphicData>
            </a:graphic>
          </wp:inline>
        </w:drawing>
      </w:r>
    </w:p>
    <w:p w14:paraId="07AB8DD6">
      <w:pPr>
        <w:spacing w:before="156" w:after="156"/>
        <w:ind w:left="900"/>
      </w:pPr>
      <w:r>
        <w:rPr>
          <w:rFonts w:hint="eastAsia"/>
        </w:rPr>
        <w:t>根据模板文件示例编辑模板文件并保存。</w:t>
      </w:r>
    </w:p>
    <w:p w14:paraId="5B6CFBD2">
      <w:pPr>
        <w:pStyle w:val="373"/>
      </w:pPr>
      <w:r>
        <w:drawing>
          <wp:inline distT="0" distB="0" distL="114300" distR="114300">
            <wp:extent cx="5384165" cy="1043305"/>
            <wp:effectExtent l="0" t="0" r="6985" b="4445"/>
            <wp:docPr id="70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图片 2"/>
                    <pic:cNvPicPr>
                      <a:picLocks noChangeAspect="1"/>
                    </pic:cNvPicPr>
                  </pic:nvPicPr>
                  <pic:blipFill>
                    <a:blip r:embed="rId779"/>
                    <a:stretch>
                      <a:fillRect/>
                    </a:stretch>
                  </pic:blipFill>
                  <pic:spPr>
                    <a:xfrm>
                      <a:off x="0" y="0"/>
                      <a:ext cx="5407386" cy="1047825"/>
                    </a:xfrm>
                    <a:prstGeom prst="rect">
                      <a:avLst/>
                    </a:prstGeom>
                    <a:noFill/>
                    <a:ln>
                      <a:noFill/>
                    </a:ln>
                  </pic:spPr>
                </pic:pic>
              </a:graphicData>
            </a:graphic>
          </wp:inline>
        </w:drawing>
      </w:r>
    </w:p>
    <w:p w14:paraId="7F058027">
      <w:pPr>
        <w:pStyle w:val="202"/>
        <w:rPr>
          <w:lang w:eastAsia="zh-CN"/>
        </w:rPr>
      </w:pPr>
      <w:r>
        <w:rPr>
          <w:rFonts w:hint="eastAsia"/>
          <w:lang w:eastAsia="zh-CN"/>
        </w:rPr>
        <w:t>点击&lt;导入</w:t>
      </w:r>
      <w:r>
        <w:rPr>
          <w:lang w:eastAsia="zh-CN"/>
        </w:rPr>
        <w:t>&gt;</w:t>
      </w:r>
      <w:r>
        <w:rPr>
          <w:rFonts w:hint="eastAsia"/>
          <w:lang w:eastAsia="zh-CN"/>
        </w:rPr>
        <w:t>，在弹出的对话框中点击&lt;选择文件</w:t>
      </w:r>
      <w:r>
        <w:rPr>
          <w:lang w:eastAsia="zh-CN"/>
        </w:rPr>
        <w:t>&gt;</w:t>
      </w:r>
      <w:r>
        <w:rPr>
          <w:rFonts w:hint="eastAsia"/>
          <w:lang w:eastAsia="zh-CN"/>
        </w:rPr>
        <w:t>，选择编辑好的模板文件，选择“替换”或“跳过”，点击&lt;上传</w:t>
      </w:r>
      <w:r>
        <w:rPr>
          <w:lang w:eastAsia="zh-CN"/>
        </w:rPr>
        <w:t>&gt;</w:t>
      </w:r>
      <w:r>
        <w:rPr>
          <w:rFonts w:hint="eastAsia"/>
          <w:lang w:eastAsia="zh-CN"/>
        </w:rPr>
        <w:t>，即可批量导入地址对象。</w:t>
      </w:r>
    </w:p>
    <w:p w14:paraId="11124258">
      <w:pPr>
        <w:spacing w:before="78" w:after="78"/>
      </w:pPr>
      <w:r>
        <w:drawing>
          <wp:inline distT="0" distB="0" distL="114300" distR="114300">
            <wp:extent cx="5105400" cy="1925955"/>
            <wp:effectExtent l="0" t="0" r="0" b="0"/>
            <wp:docPr id="70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图片 4"/>
                    <pic:cNvPicPr>
                      <a:picLocks noChangeAspect="1"/>
                    </pic:cNvPicPr>
                  </pic:nvPicPr>
                  <pic:blipFill>
                    <a:blip r:embed="rId780"/>
                    <a:stretch>
                      <a:fillRect/>
                    </a:stretch>
                  </pic:blipFill>
                  <pic:spPr>
                    <a:xfrm>
                      <a:off x="0" y="0"/>
                      <a:ext cx="5109318" cy="1927881"/>
                    </a:xfrm>
                    <a:prstGeom prst="rect">
                      <a:avLst/>
                    </a:prstGeom>
                    <a:noFill/>
                    <a:ln>
                      <a:noFill/>
                    </a:ln>
                  </pic:spPr>
                </pic:pic>
              </a:graphicData>
            </a:graphic>
          </wp:inline>
        </w:drawing>
      </w:r>
    </w:p>
    <w:p w14:paraId="0487EC49"/>
    <w:p w14:paraId="6D80567A">
      <w:r>
        <w:rPr>
          <w:rFonts w:hint="eastAsia"/>
        </w:rPr>
        <w:t>导出地址</w:t>
      </w:r>
      <w:r>
        <w:t>对象</w:t>
      </w:r>
      <w:r>
        <w:rPr>
          <w:rFonts w:hint="eastAsia"/>
        </w:rPr>
        <w:t>的操作方法如下：</w:t>
      </w:r>
    </w:p>
    <w:p w14:paraId="6F827BBB">
      <w:pPr>
        <w:pStyle w:val="202"/>
        <w:rPr>
          <w:lang w:eastAsia="zh-CN"/>
        </w:rPr>
      </w:pPr>
      <w:r>
        <w:rPr>
          <w:rFonts w:hint="eastAsia"/>
          <w:lang w:eastAsia="zh-CN"/>
        </w:rPr>
        <w:t>勾选要导出</w:t>
      </w:r>
      <w:r>
        <w:rPr>
          <w:lang w:eastAsia="zh-CN"/>
        </w:rPr>
        <w:t>的</w:t>
      </w:r>
      <w:r>
        <w:rPr>
          <w:rFonts w:hint="eastAsia"/>
          <w:lang w:eastAsia="zh-CN"/>
        </w:rPr>
        <w:t>地址对象，点击&lt;导出</w:t>
      </w:r>
      <w:r>
        <w:rPr>
          <w:lang w:eastAsia="zh-CN"/>
        </w:rPr>
        <w:t>&gt;</w:t>
      </w:r>
      <w:r>
        <w:rPr>
          <w:rFonts w:hint="eastAsia"/>
          <w:lang w:eastAsia="zh-CN"/>
        </w:rPr>
        <w:t>，即可将所选</w:t>
      </w:r>
      <w:r>
        <w:rPr>
          <w:lang w:eastAsia="zh-CN"/>
        </w:rPr>
        <w:t>的</w:t>
      </w:r>
      <w:r>
        <w:rPr>
          <w:rFonts w:hint="eastAsia"/>
          <w:lang w:eastAsia="zh-CN"/>
        </w:rPr>
        <w:t>地址</w:t>
      </w:r>
      <w:r>
        <w:rPr>
          <w:lang w:eastAsia="zh-CN"/>
        </w:rPr>
        <w:t>对象信息</w:t>
      </w:r>
      <w:r>
        <w:rPr>
          <w:rFonts w:hint="eastAsia"/>
          <w:lang w:eastAsia="zh-CN"/>
        </w:rPr>
        <w:t>导出至本地。系统</w:t>
      </w:r>
      <w:r>
        <w:rPr>
          <w:lang w:eastAsia="zh-CN"/>
        </w:rPr>
        <w:t>内置的地址对象不</w:t>
      </w:r>
      <w:r>
        <w:rPr>
          <w:rFonts w:hint="eastAsia"/>
          <w:lang w:eastAsia="zh-CN"/>
        </w:rPr>
        <w:t>能</w:t>
      </w:r>
      <w:r>
        <w:rPr>
          <w:lang w:eastAsia="zh-CN"/>
        </w:rPr>
        <w:t>导出。</w:t>
      </w:r>
    </w:p>
    <w:p w14:paraId="7BD1A70C">
      <w:pPr>
        <w:spacing w:before="78" w:after="78"/>
      </w:pPr>
      <w:r>
        <w:drawing>
          <wp:inline distT="0" distB="0" distL="0" distR="0">
            <wp:extent cx="5310505" cy="2224405"/>
            <wp:effectExtent l="0" t="0" r="4445" b="4445"/>
            <wp:docPr id="704" name="图片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图片 704"/>
                    <pic:cNvPicPr>
                      <a:picLocks noChangeAspect="1"/>
                    </pic:cNvPicPr>
                  </pic:nvPicPr>
                  <pic:blipFill>
                    <a:blip r:embed="rId781"/>
                    <a:stretch>
                      <a:fillRect/>
                    </a:stretch>
                  </pic:blipFill>
                  <pic:spPr>
                    <a:xfrm>
                      <a:off x="0" y="0"/>
                      <a:ext cx="5319243" cy="2228585"/>
                    </a:xfrm>
                    <a:prstGeom prst="rect">
                      <a:avLst/>
                    </a:prstGeom>
                  </pic:spPr>
                </pic:pic>
              </a:graphicData>
            </a:graphic>
          </wp:inline>
        </w:drawing>
      </w:r>
    </w:p>
    <w:p w14:paraId="350269C7"/>
    <w:bookmarkEnd w:id="6262"/>
    <w:p w14:paraId="38A0B8DB">
      <w:pPr>
        <w:pStyle w:val="5"/>
      </w:pPr>
      <w:bookmarkStart w:id="6276" w:name="_Toc172218354"/>
      <w:bookmarkStart w:id="6277" w:name="_Toc474250026"/>
      <w:bookmarkStart w:id="6278" w:name="_Toc194081056"/>
      <w:bookmarkStart w:id="6279" w:name="_Toc196728388"/>
      <w:bookmarkStart w:id="6280" w:name="_Toc388265393"/>
      <w:bookmarkStart w:id="6281" w:name="_Toc40276290"/>
      <w:bookmarkStart w:id="6282" w:name="_Toc23152864"/>
      <w:bookmarkStart w:id="6283" w:name="_Toc99561675"/>
      <w:bookmarkStart w:id="6284" w:name="_Toc15485100"/>
      <w:bookmarkStart w:id="6285" w:name="_Toc6234870"/>
      <w:bookmarkStart w:id="6286" w:name="_Toc141873582"/>
      <w:bookmarkStart w:id="6287" w:name="_Toc389059196"/>
      <w:bookmarkStart w:id="6288" w:name="_Toc142401099"/>
      <w:r>
        <w:rPr>
          <w:rFonts w:hint="eastAsia"/>
        </w:rPr>
        <w:t>配置地址组对象</w:t>
      </w:r>
      <w:bookmarkEnd w:id="6276"/>
      <w:bookmarkEnd w:id="6277"/>
      <w:bookmarkEnd w:id="6278"/>
      <w:bookmarkEnd w:id="6279"/>
      <w:bookmarkEnd w:id="6280"/>
      <w:bookmarkEnd w:id="6281"/>
      <w:bookmarkEnd w:id="6282"/>
      <w:bookmarkEnd w:id="6283"/>
      <w:bookmarkEnd w:id="6284"/>
      <w:bookmarkEnd w:id="6285"/>
      <w:bookmarkEnd w:id="6286"/>
      <w:bookmarkEnd w:id="6287"/>
      <w:bookmarkEnd w:id="6288"/>
    </w:p>
    <w:p w14:paraId="08E080EE">
      <w:r>
        <w:rPr>
          <w:rFonts w:hint="eastAsia"/>
        </w:rPr>
        <w:t>地址组对象是地址对象的集合，设备可以使用地址组对象方便的管理和地址相关的内容。</w:t>
      </w:r>
    </w:p>
    <w:p w14:paraId="27BED5FF">
      <w:r>
        <w:rPr>
          <w:rFonts w:hint="eastAsia"/>
        </w:rPr>
        <w:t>在导航栏中选择“策略配置 &gt; 对象管理 &gt; 地址对象”，点击“地址组对象”标签页，显示所有的地址组对象，如</w:t>
      </w:r>
      <w:r>
        <w:rPr>
          <w:color w:val="0000FF"/>
          <w:u w:val="single"/>
        </w:rPr>
        <w:fldChar w:fldCharType="begin"/>
      </w:r>
      <w:r>
        <w:rPr>
          <w:color w:val="0000FF"/>
          <w:u w:val="single"/>
        </w:rPr>
        <w:instrText xml:space="preserve"> REF _Ref393374137 \r \h </w:instrText>
      </w:r>
      <w:r>
        <w:rPr>
          <w:color w:val="0000FF"/>
          <w:u w:val="single"/>
        </w:rPr>
        <w:fldChar w:fldCharType="separate"/>
      </w:r>
      <w:r>
        <w:rPr>
          <w:rFonts w:hint="eastAsia"/>
          <w:color w:val="0000FF"/>
          <w:u w:val="single"/>
        </w:rPr>
        <w:t>图28-18</w:t>
      </w:r>
      <w:r>
        <w:rPr>
          <w:color w:val="0000FF"/>
          <w:u w:val="single"/>
        </w:rPr>
        <w:fldChar w:fldCharType="end"/>
      </w:r>
      <w:r>
        <w:rPr>
          <w:rFonts w:hint="eastAsia"/>
        </w:rPr>
        <w:t>所示，点击</w:t>
      </w:r>
      <w:r>
        <w:t>&lt;</w:t>
      </w:r>
      <w:r>
        <w:rPr>
          <w:rFonts w:hint="eastAsia"/>
        </w:rPr>
        <w:t>新建</w:t>
      </w:r>
      <w:r>
        <w:t>&gt;</w:t>
      </w:r>
      <w:r>
        <w:rPr>
          <w:rFonts w:hint="eastAsia"/>
        </w:rPr>
        <w:t>按钮，弹出地址组对象的配置界面，如</w:t>
      </w:r>
      <w:r>
        <w:rPr>
          <w:color w:val="0000FF"/>
          <w:u w:val="single"/>
        </w:rPr>
        <w:fldChar w:fldCharType="begin"/>
      </w:r>
      <w:r>
        <w:rPr>
          <w:color w:val="0000FF"/>
          <w:u w:val="single"/>
        </w:rPr>
        <w:instrText xml:space="preserve"> REF _Ref392923229 \r \h </w:instrText>
      </w:r>
      <w:r>
        <w:rPr>
          <w:color w:val="0000FF"/>
          <w:u w:val="single"/>
        </w:rPr>
        <w:fldChar w:fldCharType="separate"/>
      </w:r>
      <w:r>
        <w:rPr>
          <w:rFonts w:hint="eastAsia"/>
          <w:color w:val="0000FF"/>
          <w:u w:val="single"/>
        </w:rPr>
        <w:t>图28-19</w:t>
      </w:r>
      <w:r>
        <w:rPr>
          <w:color w:val="0000FF"/>
          <w:u w:val="single"/>
        </w:rPr>
        <w:fldChar w:fldCharType="end"/>
      </w:r>
      <w:r>
        <w:rPr>
          <w:rFonts w:hint="eastAsia"/>
        </w:rPr>
        <w:t>所示：</w:t>
      </w:r>
    </w:p>
    <w:p w14:paraId="5F245F91">
      <w:pPr>
        <w:pStyle w:val="188"/>
      </w:pPr>
      <w:bookmarkStart w:id="6289" w:name="_Ref393374137"/>
      <w:bookmarkStart w:id="6290" w:name="_Toc141874948"/>
      <w:r>
        <w:rPr>
          <w:rFonts w:hint="eastAsia"/>
        </w:rPr>
        <w:t>地址组对象显示界面</w:t>
      </w:r>
      <w:bookmarkEnd w:id="6289"/>
      <w:bookmarkEnd w:id="6290"/>
    </w:p>
    <w:p w14:paraId="117325E7">
      <w:pPr>
        <w:spacing w:before="78" w:after="78"/>
      </w:pPr>
      <w:r>
        <w:drawing>
          <wp:inline distT="0" distB="0" distL="0" distR="0">
            <wp:extent cx="5400040" cy="1252220"/>
            <wp:effectExtent l="0" t="0" r="0" b="5080"/>
            <wp:docPr id="705" name="图片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图片 705"/>
                    <pic:cNvPicPr>
                      <a:picLocks noChangeAspect="1"/>
                    </pic:cNvPicPr>
                  </pic:nvPicPr>
                  <pic:blipFill>
                    <a:blip r:embed="rId782"/>
                    <a:stretch>
                      <a:fillRect/>
                    </a:stretch>
                  </pic:blipFill>
                  <pic:spPr>
                    <a:xfrm>
                      <a:off x="0" y="0"/>
                      <a:ext cx="5400040" cy="1252240"/>
                    </a:xfrm>
                    <a:prstGeom prst="rect">
                      <a:avLst/>
                    </a:prstGeom>
                  </pic:spPr>
                </pic:pic>
              </a:graphicData>
            </a:graphic>
          </wp:inline>
        </w:drawing>
      </w:r>
    </w:p>
    <w:p w14:paraId="0981DBCC"/>
    <w:p w14:paraId="55D9E285">
      <w:pPr>
        <w:pStyle w:val="188"/>
      </w:pPr>
      <w:bookmarkStart w:id="6291" w:name="_Ref392923229"/>
      <w:bookmarkStart w:id="6292" w:name="_Toc141874949"/>
      <w:r>
        <w:rPr>
          <w:rFonts w:hint="eastAsia"/>
        </w:rPr>
        <w:t>新建地址组对象</w:t>
      </w:r>
      <w:bookmarkEnd w:id="6291"/>
      <w:r>
        <w:rPr>
          <w:rFonts w:hint="eastAsia"/>
        </w:rPr>
        <w:t>界面</w:t>
      </w:r>
      <w:bookmarkEnd w:id="6292"/>
    </w:p>
    <w:p w14:paraId="22D3F81D">
      <w:pPr>
        <w:spacing w:before="78" w:after="78"/>
      </w:pPr>
      <w:r>
        <w:drawing>
          <wp:inline distT="0" distB="0" distL="114300" distR="114300">
            <wp:extent cx="5400040" cy="3032760"/>
            <wp:effectExtent l="0" t="0" r="0" b="0"/>
            <wp:docPr id="1000"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图片 58"/>
                    <pic:cNvPicPr>
                      <a:picLocks noChangeAspect="1"/>
                    </pic:cNvPicPr>
                  </pic:nvPicPr>
                  <pic:blipFill>
                    <a:blip r:embed="rId783"/>
                    <a:stretch>
                      <a:fillRect/>
                    </a:stretch>
                  </pic:blipFill>
                  <pic:spPr>
                    <a:xfrm>
                      <a:off x="0" y="0"/>
                      <a:ext cx="5400040" cy="3032861"/>
                    </a:xfrm>
                    <a:prstGeom prst="rect">
                      <a:avLst/>
                    </a:prstGeom>
                    <a:noFill/>
                    <a:ln>
                      <a:noFill/>
                    </a:ln>
                  </pic:spPr>
                </pic:pic>
              </a:graphicData>
            </a:graphic>
          </wp:inline>
        </w:drawing>
      </w:r>
    </w:p>
    <w:p w14:paraId="38E22450"/>
    <w:p w14:paraId="5697D83E">
      <w:r>
        <w:rPr>
          <w:rFonts w:hint="eastAsia"/>
        </w:rPr>
        <w:t>地址组对象的详细配置</w:t>
      </w:r>
      <w:r>
        <w:fldChar w:fldCharType="begin"/>
      </w:r>
      <w:r>
        <w:instrText xml:space="preserve"> REF _Ref392925242 \r \h </w:instrText>
      </w:r>
      <w:r>
        <w:fldChar w:fldCharType="separate"/>
      </w:r>
      <w:r>
        <w:rPr>
          <w:rFonts w:hint="eastAsia"/>
        </w:rPr>
        <w:t>表28-1</w:t>
      </w:r>
      <w:r>
        <w:fldChar w:fldCharType="end"/>
      </w:r>
      <w:r>
        <w:rPr>
          <w:rFonts w:hint="eastAsia"/>
        </w:rPr>
        <w:t>如示：</w:t>
      </w:r>
    </w:p>
    <w:p w14:paraId="1A4FB1CB">
      <w:pPr>
        <w:pStyle w:val="183"/>
      </w:pPr>
      <w:bookmarkStart w:id="6293" w:name="_Toc141875625"/>
      <w:bookmarkStart w:id="6294" w:name="_Ref392925242"/>
      <w:r>
        <w:rPr>
          <w:rFonts w:hint="eastAsia"/>
        </w:rPr>
        <w:t>地址组对象详细配置表</w:t>
      </w:r>
      <w:bookmarkEnd w:id="6293"/>
      <w:bookmarkEnd w:id="6294"/>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809"/>
        <w:gridCol w:w="7159"/>
      </w:tblGrid>
      <w:tr w14:paraId="77CC8B7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09" w:type="dxa"/>
            <w:tcBorders>
              <w:tl2br w:val="nil"/>
              <w:tr2bl w:val="nil"/>
            </w:tcBorders>
            <w:shd w:val="clear" w:color="auto" w:fill="538135" w:themeFill="accent6" w:themeFillShade="BF"/>
            <w:vAlign w:val="center"/>
          </w:tcPr>
          <w:p w14:paraId="7E648877">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7159" w:type="dxa"/>
            <w:tcBorders>
              <w:tl2br w:val="nil"/>
              <w:tr2bl w:val="nil"/>
            </w:tcBorders>
            <w:shd w:val="clear" w:color="auto" w:fill="538135" w:themeFill="accent6" w:themeFillShade="BF"/>
            <w:vAlign w:val="center"/>
          </w:tcPr>
          <w:p w14:paraId="71D4479F">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7BA23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09" w:type="dxa"/>
            <w:shd w:val="clear" w:color="auto" w:fill="auto"/>
          </w:tcPr>
          <w:p w14:paraId="7D0FDD19">
            <w:pPr>
              <w:pStyle w:val="150"/>
            </w:pPr>
            <w:r>
              <w:rPr>
                <w:rFonts w:hint="eastAsia"/>
              </w:rPr>
              <w:t>名称</w:t>
            </w:r>
          </w:p>
        </w:tc>
        <w:tc>
          <w:tcPr>
            <w:tcW w:w="7159" w:type="dxa"/>
            <w:shd w:val="clear" w:color="auto" w:fill="auto"/>
          </w:tcPr>
          <w:p w14:paraId="64A20C2E">
            <w:pPr>
              <w:pStyle w:val="150"/>
            </w:pPr>
            <w:r>
              <w:rPr>
                <w:rFonts w:hint="eastAsia"/>
              </w:rPr>
              <w:t>地址组对象的名称，为1到</w:t>
            </w:r>
            <w:r>
              <w:t>63</w:t>
            </w:r>
            <w:r>
              <w:rPr>
                <w:rFonts w:hint="eastAsia"/>
              </w:rPr>
              <w:t>个字符的字符串。</w:t>
            </w:r>
          </w:p>
        </w:tc>
      </w:tr>
      <w:tr w14:paraId="5B8A80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09" w:type="dxa"/>
            <w:shd w:val="clear" w:color="auto" w:fill="auto"/>
          </w:tcPr>
          <w:p w14:paraId="7AF2555F">
            <w:pPr>
              <w:pStyle w:val="150"/>
            </w:pPr>
            <w:r>
              <w:rPr>
                <w:rFonts w:hint="eastAsia"/>
              </w:rPr>
              <w:t>描述</w:t>
            </w:r>
          </w:p>
        </w:tc>
        <w:tc>
          <w:tcPr>
            <w:tcW w:w="7159" w:type="dxa"/>
            <w:shd w:val="clear" w:color="auto" w:fill="auto"/>
          </w:tcPr>
          <w:p w14:paraId="3DC22176">
            <w:pPr>
              <w:pStyle w:val="150"/>
            </w:pPr>
            <w:r>
              <w:rPr>
                <w:rFonts w:hint="eastAsia"/>
              </w:rPr>
              <w:t>地址组对象的描述信息，为0~127个字符的字符串。</w:t>
            </w:r>
          </w:p>
        </w:tc>
      </w:tr>
      <w:tr w14:paraId="2ED992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09" w:type="dxa"/>
            <w:shd w:val="clear" w:color="auto" w:fill="auto"/>
          </w:tcPr>
          <w:p w14:paraId="6B7A8AF5">
            <w:pPr>
              <w:pStyle w:val="150"/>
            </w:pPr>
            <w:r>
              <w:rPr>
                <w:rFonts w:hint="eastAsia"/>
              </w:rPr>
              <w:t>选择地址对象</w:t>
            </w:r>
          </w:p>
        </w:tc>
        <w:tc>
          <w:tcPr>
            <w:tcW w:w="7159" w:type="dxa"/>
            <w:shd w:val="clear" w:color="auto" w:fill="auto"/>
          </w:tcPr>
          <w:p w14:paraId="5731DC34">
            <w:pPr>
              <w:pStyle w:val="150"/>
            </w:pPr>
            <w:r>
              <w:rPr>
                <w:rFonts w:hint="eastAsia"/>
              </w:rPr>
              <w:t>左侧为待选择的地址对象或地址对象组的名称，右侧为已经选择的对象地址。</w:t>
            </w:r>
          </w:p>
        </w:tc>
      </w:tr>
    </w:tbl>
    <w:p w14:paraId="6BE2A3FB"/>
    <w:p w14:paraId="70B9D3A2">
      <w:r>
        <w:rPr>
          <w:rFonts w:hint="eastAsia"/>
        </w:rPr>
        <w:t>点击&lt;导入&gt;或&lt;导出&gt;可以批量导入或导出地址组对象，详细操作请参考</w:t>
      </w:r>
      <w:r>
        <w:fldChar w:fldCharType="begin"/>
      </w:r>
      <w:r>
        <w:instrText xml:space="preserve"> </w:instrText>
      </w:r>
      <w:r>
        <w:rPr>
          <w:rFonts w:hint="eastAsia"/>
        </w:rPr>
        <w:instrText xml:space="preserve">REF _Ref120131464 \h</w:instrText>
      </w:r>
      <w:r>
        <w:instrText xml:space="preserve"> </w:instrText>
      </w:r>
      <w:r>
        <w:fldChar w:fldCharType="separate"/>
      </w:r>
      <w:r>
        <w:rPr>
          <w:rFonts w:hint="eastAsia"/>
        </w:rPr>
        <w:t>导入或导出地址</w:t>
      </w:r>
      <w:r>
        <w:t>对象</w:t>
      </w:r>
      <w:r>
        <w:fldChar w:fldCharType="end"/>
      </w:r>
      <w:r>
        <w:rPr>
          <w:rFonts w:hint="eastAsia"/>
        </w:rPr>
        <w:t>。</w:t>
      </w:r>
      <w:bookmarkStart w:id="6295" w:name="_Toc388265398"/>
      <w:bookmarkStart w:id="6296" w:name="_Toc389059202"/>
    </w:p>
    <w:p w14:paraId="23F8ED02">
      <w:pPr>
        <w:pStyle w:val="5"/>
      </w:pPr>
      <w:bookmarkStart w:id="6297" w:name="_Toc194081057"/>
      <w:bookmarkStart w:id="6298" w:name="_Toc196728389"/>
      <w:bookmarkStart w:id="6299" w:name="_Toc142401100"/>
      <w:bookmarkStart w:id="6300" w:name="_Toc141873583"/>
      <w:bookmarkStart w:id="6301" w:name="_Toc172218355"/>
      <w:r>
        <w:rPr>
          <w:rFonts w:hint="eastAsia"/>
        </w:rPr>
        <w:t>IP归属地</w:t>
      </w:r>
      <w:bookmarkEnd w:id="6297"/>
      <w:bookmarkEnd w:id="6298"/>
      <w:bookmarkEnd w:id="6299"/>
      <w:bookmarkEnd w:id="6300"/>
      <w:bookmarkEnd w:id="6301"/>
    </w:p>
    <w:p w14:paraId="1FA922A5">
      <w:r>
        <w:rPr>
          <w:rFonts w:hint="eastAsia"/>
        </w:rPr>
        <w:t>IP归属地能够提供IP地址归属地信息查询，而且可以通过归属地来配置控制策略匹配条件。</w:t>
      </w:r>
    </w:p>
    <w:p w14:paraId="36A2E145">
      <w:r>
        <w:rPr>
          <w:rFonts w:hint="eastAsia"/>
          <w:bCs/>
        </w:rPr>
        <w:t>在菜单栏选择“</w:t>
      </w:r>
      <w:r>
        <w:rPr>
          <w:rFonts w:hint="eastAsia"/>
        </w:rPr>
        <w:t>策略配置&gt;对象管理&gt;地址对象&gt;IP归属地”查看设备上已有的IP归属地。设备默认内置了IP归属地地址库，用户无法修改或删除内置地址库。</w:t>
      </w:r>
    </w:p>
    <w:p w14:paraId="21A8D8ED">
      <w:pPr>
        <w:pStyle w:val="188"/>
      </w:pPr>
      <w:bookmarkStart w:id="6302" w:name="_Toc141874950"/>
      <w:r>
        <w:t>IP归属地页面</w:t>
      </w:r>
      <w:bookmarkEnd w:id="6302"/>
    </w:p>
    <w:p w14:paraId="6596D32A">
      <w:pPr>
        <w:pStyle w:val="193"/>
        <w:rPr>
          <w:rFonts w:cs="Cambria"/>
        </w:rPr>
      </w:pPr>
      <w:r>
        <w:rPr>
          <w:lang w:eastAsia="zh-CN"/>
        </w:rPr>
        <w:drawing>
          <wp:inline distT="0" distB="0" distL="114300" distR="114300">
            <wp:extent cx="5361940" cy="1336675"/>
            <wp:effectExtent l="0" t="0" r="0" b="0"/>
            <wp:docPr id="70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图片 29"/>
                    <pic:cNvPicPr>
                      <a:picLocks noChangeAspect="1"/>
                    </pic:cNvPicPr>
                  </pic:nvPicPr>
                  <pic:blipFill>
                    <a:blip r:embed="rId784"/>
                    <a:stretch>
                      <a:fillRect/>
                    </a:stretch>
                  </pic:blipFill>
                  <pic:spPr>
                    <a:xfrm>
                      <a:off x="0" y="0"/>
                      <a:ext cx="5377143" cy="1340796"/>
                    </a:xfrm>
                    <a:prstGeom prst="rect">
                      <a:avLst/>
                    </a:prstGeom>
                    <a:noFill/>
                    <a:ln>
                      <a:noFill/>
                    </a:ln>
                  </pic:spPr>
                </pic:pic>
              </a:graphicData>
            </a:graphic>
          </wp:inline>
        </w:drawing>
      </w:r>
    </w:p>
    <w:p w14:paraId="662FCEA4">
      <w:r>
        <w:rPr>
          <w:rFonts w:hint="eastAsia"/>
        </w:rPr>
        <w:t>点击&lt;归属地</w:t>
      </w:r>
      <w:r>
        <w:t>&gt;</w:t>
      </w:r>
      <w:r>
        <w:rPr>
          <w:rFonts w:hint="eastAsia"/>
        </w:rPr>
        <w:t>，</w:t>
      </w:r>
      <w:r>
        <w:rPr>
          <w:rFonts w:hint="eastAsia"/>
          <w:bCs/>
        </w:rPr>
        <w:t>输入</w:t>
      </w:r>
      <w:r>
        <w:rPr>
          <w:rFonts w:hint="eastAsia"/>
        </w:rPr>
        <w:t>IP地址后点击&lt;查询</w:t>
      </w:r>
      <w:r>
        <w:t>&gt;</w:t>
      </w:r>
      <w:r>
        <w:rPr>
          <w:rFonts w:hint="eastAsia"/>
        </w:rPr>
        <w:t>，可以查询IP地址的归属地信息。</w:t>
      </w:r>
    </w:p>
    <w:p w14:paraId="5317685B">
      <w:pPr>
        <w:pStyle w:val="188"/>
      </w:pPr>
      <w:bookmarkStart w:id="6303" w:name="_Toc141874951"/>
      <w:r>
        <w:t>IP归属地查询页面</w:t>
      </w:r>
      <w:bookmarkEnd w:id="6303"/>
    </w:p>
    <w:p w14:paraId="440B51C9">
      <w:pPr>
        <w:spacing w:before="78" w:after="78"/>
      </w:pPr>
      <w:r>
        <w:drawing>
          <wp:inline distT="0" distB="0" distL="0" distR="0">
            <wp:extent cx="5285740" cy="2501900"/>
            <wp:effectExtent l="0" t="0" r="0" b="0"/>
            <wp:docPr id="707" name="图片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图片 707"/>
                    <pic:cNvPicPr>
                      <a:picLocks noChangeAspect="1"/>
                    </pic:cNvPicPr>
                  </pic:nvPicPr>
                  <pic:blipFill>
                    <a:blip r:embed="rId785"/>
                    <a:stretch>
                      <a:fillRect/>
                    </a:stretch>
                  </pic:blipFill>
                  <pic:spPr>
                    <a:xfrm>
                      <a:off x="0" y="0"/>
                      <a:ext cx="5294981" cy="2506298"/>
                    </a:xfrm>
                    <a:prstGeom prst="rect">
                      <a:avLst/>
                    </a:prstGeom>
                  </pic:spPr>
                </pic:pic>
              </a:graphicData>
            </a:graphic>
          </wp:inline>
        </w:drawing>
      </w:r>
    </w:p>
    <w:p w14:paraId="014D66FD">
      <w:pPr>
        <w:numPr>
          <w:ilvl w:val="255"/>
          <w:numId w:val="0"/>
        </w:numPr>
        <w:spacing w:before="120" w:after="120"/>
      </w:pPr>
    </w:p>
    <w:p w14:paraId="117498A8">
      <w:r>
        <w:rPr>
          <w:rFonts w:hint="eastAsia"/>
        </w:rPr>
        <w:t>点击&lt;新建</w:t>
      </w:r>
      <w:r>
        <w:t>&gt;</w:t>
      </w:r>
      <w:r>
        <w:rPr>
          <w:rFonts w:hint="eastAsia"/>
        </w:rPr>
        <w:t>，编辑相关信息，点击&lt;提交</w:t>
      </w:r>
      <w:r>
        <w:t>&gt;</w:t>
      </w:r>
      <w:r>
        <w:rPr>
          <w:rFonts w:hint="eastAsia"/>
        </w:rPr>
        <w:t>。可以自定义地址项目的归属地信息。</w:t>
      </w:r>
    </w:p>
    <w:p w14:paraId="411126F8">
      <w:pPr>
        <w:pStyle w:val="188"/>
      </w:pPr>
      <w:bookmarkStart w:id="6304" w:name="_Toc141874952"/>
      <w:r>
        <w:t>自定义归属地页面</w:t>
      </w:r>
      <w:bookmarkEnd w:id="6304"/>
    </w:p>
    <w:p w14:paraId="4A10D771">
      <w:pPr>
        <w:spacing w:before="78" w:after="78"/>
        <w:rPr>
          <w:rFonts w:cs="Cambria"/>
        </w:rPr>
      </w:pPr>
      <w:r>
        <w:drawing>
          <wp:inline distT="0" distB="0" distL="114300" distR="114300">
            <wp:extent cx="5209540" cy="1941195"/>
            <wp:effectExtent l="0" t="0" r="0" b="1905"/>
            <wp:docPr id="70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图片 30"/>
                    <pic:cNvPicPr>
                      <a:picLocks noChangeAspect="1"/>
                    </pic:cNvPicPr>
                  </pic:nvPicPr>
                  <pic:blipFill>
                    <a:blip r:embed="rId786"/>
                    <a:stretch>
                      <a:fillRect/>
                    </a:stretch>
                  </pic:blipFill>
                  <pic:spPr>
                    <a:xfrm>
                      <a:off x="0" y="0"/>
                      <a:ext cx="5217816" cy="1944828"/>
                    </a:xfrm>
                    <a:prstGeom prst="rect">
                      <a:avLst/>
                    </a:prstGeom>
                    <a:noFill/>
                    <a:ln>
                      <a:noFill/>
                    </a:ln>
                  </pic:spPr>
                </pic:pic>
              </a:graphicData>
            </a:graphic>
          </wp:inline>
        </w:drawing>
      </w:r>
    </w:p>
    <w:p w14:paraId="0325D608"/>
    <w:p w14:paraId="5D90AB6C">
      <w:r>
        <w:rPr>
          <w:rFonts w:hint="eastAsia"/>
        </w:rPr>
        <w:t>详细配置请参见下表。</w:t>
      </w:r>
    </w:p>
    <w:tbl>
      <w:tblPr>
        <w:tblStyle w:val="173"/>
        <w:tblW w:w="500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370"/>
        <w:gridCol w:w="7872"/>
      </w:tblGrid>
      <w:tr w14:paraId="78AAEC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741" w:type="pct"/>
            <w:tcBorders>
              <w:tl2br w:val="nil"/>
              <w:tr2bl w:val="nil"/>
            </w:tcBorders>
            <w:shd w:val="clear" w:color="auto" w:fill="538135" w:themeFill="accent6" w:themeFillShade="BF"/>
            <w:vAlign w:val="center"/>
          </w:tcPr>
          <w:p w14:paraId="120D491F">
            <w:pPr>
              <w:pStyle w:val="149"/>
              <w:wordWrap/>
              <w:rPr>
                <w:b/>
                <w:bCs/>
                <w:i w:val="0"/>
                <w:iCs w:val="0"/>
              </w:rPr>
            </w:pPr>
            <w:r>
              <w:rPr>
                <w:rFonts w:hint="eastAsia"/>
                <w:b/>
                <w:bCs/>
                <w:i w:val="0"/>
                <w:iCs w:val="0"/>
              </w:rPr>
              <w:t>配置项</w:t>
            </w:r>
          </w:p>
        </w:tc>
        <w:tc>
          <w:tcPr>
            <w:tcW w:w="4259" w:type="pct"/>
            <w:tcBorders>
              <w:tl2br w:val="nil"/>
              <w:tr2bl w:val="nil"/>
            </w:tcBorders>
            <w:shd w:val="clear" w:color="auto" w:fill="538135" w:themeFill="accent6" w:themeFillShade="BF"/>
            <w:vAlign w:val="center"/>
          </w:tcPr>
          <w:p w14:paraId="22BAF08C">
            <w:pPr>
              <w:pStyle w:val="149"/>
              <w:wordWrap/>
              <w:rPr>
                <w:b/>
                <w:bCs/>
                <w:i w:val="0"/>
                <w:iCs w:val="0"/>
              </w:rPr>
            </w:pPr>
            <w:r>
              <w:rPr>
                <w:rFonts w:hint="eastAsia"/>
                <w:b/>
                <w:bCs/>
                <w:i w:val="0"/>
                <w:iCs w:val="0"/>
              </w:rPr>
              <w:t>说明</w:t>
            </w:r>
          </w:p>
        </w:tc>
      </w:tr>
      <w:tr w14:paraId="77ED8A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741" w:type="pct"/>
            <w:shd w:val="clear" w:color="auto" w:fill="auto"/>
          </w:tcPr>
          <w:p w14:paraId="504E01D3">
            <w:pPr>
              <w:pStyle w:val="150"/>
            </w:pPr>
            <w:r>
              <w:rPr>
                <w:rFonts w:hint="eastAsia"/>
              </w:rPr>
              <w:t>地址项目</w:t>
            </w:r>
          </w:p>
        </w:tc>
        <w:tc>
          <w:tcPr>
            <w:tcW w:w="4259" w:type="pct"/>
            <w:shd w:val="clear" w:color="auto" w:fill="auto"/>
          </w:tcPr>
          <w:p w14:paraId="5BA8DB2F">
            <w:pPr>
              <w:pStyle w:val="150"/>
            </w:pPr>
            <w:r>
              <w:rPr>
                <w:rFonts w:hint="eastAsia"/>
              </w:rPr>
              <w:t>设置添加到该对象的地址条目，可以为子网地址、地址范围、主机I</w:t>
            </w:r>
            <w:r>
              <w:t>P</w:t>
            </w:r>
            <w:r>
              <w:rPr>
                <w:rFonts w:hint="eastAsia"/>
              </w:rPr>
              <w:t>地址或域名。</w:t>
            </w:r>
          </w:p>
        </w:tc>
      </w:tr>
      <w:tr w14:paraId="19931C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741" w:type="pct"/>
            <w:shd w:val="clear" w:color="auto" w:fill="auto"/>
          </w:tcPr>
          <w:p w14:paraId="6EEBA27E">
            <w:pPr>
              <w:pStyle w:val="150"/>
            </w:pPr>
            <w:r>
              <w:rPr>
                <w:rFonts w:hint="eastAsia"/>
              </w:rPr>
              <w:t>实际归属地</w:t>
            </w:r>
          </w:p>
        </w:tc>
        <w:tc>
          <w:tcPr>
            <w:tcW w:w="4259" w:type="pct"/>
            <w:shd w:val="clear" w:color="auto" w:fill="auto"/>
          </w:tcPr>
          <w:p w14:paraId="60C5A68B">
            <w:pPr>
              <w:pStyle w:val="150"/>
            </w:pPr>
            <w:r>
              <w:rPr>
                <w:rFonts w:hint="eastAsia"/>
              </w:rPr>
              <w:t>设置地址的归属地信息。</w:t>
            </w:r>
          </w:p>
        </w:tc>
      </w:tr>
    </w:tbl>
    <w:p w14:paraId="3BBB494E"/>
    <w:p w14:paraId="1AF80763">
      <w:pPr>
        <w:pStyle w:val="4"/>
      </w:pPr>
      <w:bookmarkStart w:id="6305" w:name="_Toc172218356"/>
      <w:bookmarkStart w:id="6306" w:name="_Toc196728390"/>
      <w:bookmarkStart w:id="6307" w:name="_Toc194081058"/>
      <w:r>
        <w:rPr>
          <w:rFonts w:hint="eastAsia"/>
        </w:rPr>
        <w:t>MAC地址对象</w:t>
      </w:r>
      <w:bookmarkEnd w:id="6305"/>
      <w:bookmarkEnd w:id="6306"/>
      <w:bookmarkEnd w:id="6307"/>
    </w:p>
    <w:p w14:paraId="38401078">
      <w:pPr>
        <w:pStyle w:val="5"/>
      </w:pPr>
      <w:bookmarkStart w:id="6308" w:name="_Toc172218357"/>
      <w:bookmarkStart w:id="6309" w:name="_Toc196728391"/>
      <w:bookmarkStart w:id="6310" w:name="_Toc194081059"/>
      <w:r>
        <w:rPr>
          <w:rFonts w:hint="eastAsia"/>
        </w:rPr>
        <w:t>概述</w:t>
      </w:r>
      <w:bookmarkEnd w:id="6308"/>
      <w:bookmarkEnd w:id="6309"/>
      <w:bookmarkEnd w:id="6310"/>
    </w:p>
    <w:p w14:paraId="0CC4AB95">
      <w:r>
        <w:rPr>
          <w:rFonts w:hint="eastAsia"/>
        </w:rPr>
        <w:t>MAC地址是网络设备在网络中的唯一标识，也是网络访问控制的重要匹配条件。设备支持在二次场景下，控制策略基于MAC地址进行匹配，可以对网络访问进行精确控制，有效防止未经授权的设备接入，减少安全风险。</w:t>
      </w:r>
    </w:p>
    <w:p w14:paraId="6FF71A64">
      <w:r>
        <w:rPr>
          <w:rFonts w:hint="eastAsia"/>
        </w:rPr>
        <w:t>设备支持MAC地址对象功能，可以配置MAC地址段及排除地址，方便在配置控制策略时灵活引用。</w:t>
      </w:r>
    </w:p>
    <w:p w14:paraId="75BC4F0F">
      <w:pPr>
        <w:pStyle w:val="5"/>
      </w:pPr>
      <w:bookmarkStart w:id="6311" w:name="_Toc194081060"/>
      <w:bookmarkStart w:id="6312" w:name="_Toc172218358"/>
      <w:bookmarkStart w:id="6313" w:name="_Toc196728392"/>
      <w:r>
        <w:rPr>
          <w:rFonts w:hint="eastAsia"/>
        </w:rPr>
        <w:t>配置MAC地址对象</w:t>
      </w:r>
      <w:bookmarkEnd w:id="6311"/>
      <w:bookmarkEnd w:id="6312"/>
      <w:bookmarkEnd w:id="6313"/>
    </w:p>
    <w:p w14:paraId="5431DF78">
      <w:r>
        <w:rPr>
          <w:rFonts w:hint="eastAsia"/>
        </w:rPr>
        <w:t>在导航栏中选择“策略配置 &gt; 对象管理 &gt; MAC地址对象”，查看所有的MAC地址对象，设备默认内置了any的MAC地址对象，为任意MAC地址。</w:t>
      </w:r>
    </w:p>
    <w:p w14:paraId="1856E386">
      <w:pPr>
        <w:pStyle w:val="188"/>
      </w:pPr>
      <w:r>
        <w:rPr>
          <w:rFonts w:hint="eastAsia"/>
        </w:rPr>
        <w:t>MAC地址对象显示页面</w:t>
      </w:r>
    </w:p>
    <w:p w14:paraId="586358DB">
      <w:pPr>
        <w:spacing w:before="78" w:after="78"/>
      </w:pPr>
      <w:r>
        <w:drawing>
          <wp:inline distT="0" distB="0" distL="0" distR="0">
            <wp:extent cx="5682615" cy="1355090"/>
            <wp:effectExtent l="0" t="0" r="0" b="0"/>
            <wp:docPr id="1296485335" name="图片 1296485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35" name="图片 1296485335"/>
                    <pic:cNvPicPr>
                      <a:picLocks noChangeAspect="1"/>
                    </pic:cNvPicPr>
                  </pic:nvPicPr>
                  <pic:blipFill>
                    <a:blip r:embed="rId787"/>
                    <a:stretch>
                      <a:fillRect/>
                    </a:stretch>
                  </pic:blipFill>
                  <pic:spPr>
                    <a:xfrm>
                      <a:off x="0" y="0"/>
                      <a:ext cx="5685140" cy="1355964"/>
                    </a:xfrm>
                    <a:prstGeom prst="rect">
                      <a:avLst/>
                    </a:prstGeom>
                  </pic:spPr>
                </pic:pic>
              </a:graphicData>
            </a:graphic>
          </wp:inline>
        </w:drawing>
      </w:r>
    </w:p>
    <w:p w14:paraId="7654A6D7"/>
    <w:p w14:paraId="28918BC7">
      <w:r>
        <w:rPr>
          <w:rFonts w:hint="eastAsia"/>
        </w:rPr>
        <w:t>点击&lt;新建&gt;，编辑相关信息，点击&lt;提交&gt;。</w:t>
      </w:r>
    </w:p>
    <w:p w14:paraId="72AC2CED">
      <w:pPr>
        <w:pStyle w:val="188"/>
      </w:pPr>
      <w:r>
        <w:rPr>
          <w:rFonts w:hint="eastAsia"/>
        </w:rPr>
        <w:t>新建MAC地址对象</w:t>
      </w:r>
    </w:p>
    <w:p w14:paraId="524485EB">
      <w:pPr>
        <w:spacing w:before="78" w:after="78"/>
      </w:pPr>
      <w:r>
        <w:drawing>
          <wp:inline distT="0" distB="0" distL="0" distR="0">
            <wp:extent cx="6120765" cy="5701030"/>
            <wp:effectExtent l="0" t="0" r="0" b="0"/>
            <wp:docPr id="1296485334" name="图片 1296485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34" name="图片 1296485334"/>
                    <pic:cNvPicPr>
                      <a:picLocks noChangeAspect="1"/>
                    </pic:cNvPicPr>
                  </pic:nvPicPr>
                  <pic:blipFill>
                    <a:blip r:embed="rId788"/>
                    <a:stretch>
                      <a:fillRect/>
                    </a:stretch>
                  </pic:blipFill>
                  <pic:spPr>
                    <a:xfrm>
                      <a:off x="0" y="0"/>
                      <a:ext cx="6120765" cy="5701030"/>
                    </a:xfrm>
                    <a:prstGeom prst="rect">
                      <a:avLst/>
                    </a:prstGeom>
                  </pic:spPr>
                </pic:pic>
              </a:graphicData>
            </a:graphic>
          </wp:inline>
        </w:drawing>
      </w:r>
    </w:p>
    <w:p w14:paraId="29D27219"/>
    <w:p w14:paraId="096FE7E0">
      <w:r>
        <w:rPr>
          <w:rFonts w:hint="eastAsia"/>
        </w:rPr>
        <w:t>MAC地址对象的详细配置表如下表所示：</w:t>
      </w:r>
    </w:p>
    <w:p w14:paraId="251F3818">
      <w:pPr>
        <w:pStyle w:val="183"/>
      </w:pPr>
      <w:r>
        <w:rPr>
          <w:rFonts w:hint="eastAsia"/>
        </w:rPr>
        <w:t>MAC地址对象的详细配置</w:t>
      </w:r>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19"/>
        <w:gridCol w:w="6649"/>
      </w:tblGrid>
      <w:tr w14:paraId="00A3F1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19" w:type="dxa"/>
            <w:tcBorders>
              <w:tl2br w:val="nil"/>
              <w:tr2bl w:val="nil"/>
            </w:tcBorders>
            <w:shd w:val="clear" w:color="auto" w:fill="538135" w:themeFill="accent6" w:themeFillShade="BF"/>
            <w:vAlign w:val="center"/>
          </w:tcPr>
          <w:p w14:paraId="39B7C1A4">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6649" w:type="dxa"/>
            <w:tcBorders>
              <w:tl2br w:val="nil"/>
              <w:tr2bl w:val="nil"/>
            </w:tcBorders>
            <w:shd w:val="clear" w:color="auto" w:fill="538135" w:themeFill="accent6" w:themeFillShade="BF"/>
            <w:vAlign w:val="center"/>
          </w:tcPr>
          <w:p w14:paraId="598C9102">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9EC71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19" w:type="dxa"/>
            <w:shd w:val="clear" w:color="auto" w:fill="auto"/>
          </w:tcPr>
          <w:p w14:paraId="2C67A044">
            <w:pPr>
              <w:pStyle w:val="150"/>
            </w:pPr>
            <w:r>
              <w:rPr>
                <w:rFonts w:hint="eastAsia"/>
              </w:rPr>
              <w:t>名称</w:t>
            </w:r>
          </w:p>
        </w:tc>
        <w:tc>
          <w:tcPr>
            <w:tcW w:w="6649" w:type="dxa"/>
            <w:shd w:val="clear" w:color="auto" w:fill="auto"/>
          </w:tcPr>
          <w:p w14:paraId="1E7C1989">
            <w:pPr>
              <w:pStyle w:val="150"/>
            </w:pPr>
            <w:r>
              <w:rPr>
                <w:rFonts w:hint="eastAsia"/>
              </w:rPr>
              <w:t>输入MAC地址对象的名称。1~</w:t>
            </w:r>
            <w:r>
              <w:t>63</w:t>
            </w:r>
            <w:r>
              <w:rPr>
                <w:rFonts w:hint="eastAsia"/>
              </w:rPr>
              <w:t>字符。</w:t>
            </w:r>
          </w:p>
        </w:tc>
      </w:tr>
      <w:tr w14:paraId="7154158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19" w:type="dxa"/>
            <w:shd w:val="clear" w:color="auto" w:fill="auto"/>
          </w:tcPr>
          <w:p w14:paraId="1EB8E9FB">
            <w:pPr>
              <w:pStyle w:val="150"/>
            </w:pPr>
            <w:r>
              <w:rPr>
                <w:rFonts w:hint="eastAsia"/>
              </w:rPr>
              <w:t>描述</w:t>
            </w:r>
          </w:p>
        </w:tc>
        <w:tc>
          <w:tcPr>
            <w:tcW w:w="6649" w:type="dxa"/>
            <w:shd w:val="clear" w:color="auto" w:fill="auto"/>
          </w:tcPr>
          <w:p w14:paraId="36F50881">
            <w:pPr>
              <w:pStyle w:val="150"/>
            </w:pPr>
            <w:r>
              <w:rPr>
                <w:rFonts w:hint="eastAsia"/>
              </w:rPr>
              <w:t>输入MAC地址对象的描述信息（可选）。</w:t>
            </w:r>
          </w:p>
        </w:tc>
      </w:tr>
      <w:tr w14:paraId="3AA83D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19" w:type="dxa"/>
            <w:shd w:val="clear" w:color="auto" w:fill="auto"/>
          </w:tcPr>
          <w:p w14:paraId="41CB3B08">
            <w:pPr>
              <w:pStyle w:val="150"/>
            </w:pPr>
            <w:r>
              <w:rPr>
                <w:rFonts w:hint="eastAsia"/>
              </w:rPr>
              <w:t>地址项目</w:t>
            </w:r>
          </w:p>
        </w:tc>
        <w:tc>
          <w:tcPr>
            <w:tcW w:w="6649" w:type="dxa"/>
            <w:shd w:val="clear" w:color="auto" w:fill="auto"/>
          </w:tcPr>
          <w:p w14:paraId="2CA46AF6">
            <w:pPr>
              <w:pStyle w:val="150"/>
            </w:pPr>
            <w:r>
              <w:rPr>
                <w:rFonts w:hint="eastAsia"/>
              </w:rPr>
              <w:t>设置添加到该对象的MAC地址条目，可以为单个MAC地址或MAC地址范围。</w:t>
            </w:r>
          </w:p>
        </w:tc>
      </w:tr>
      <w:tr w14:paraId="3DDA3D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19" w:type="dxa"/>
            <w:shd w:val="clear" w:color="auto" w:fill="auto"/>
          </w:tcPr>
          <w:p w14:paraId="633A1154">
            <w:pPr>
              <w:pStyle w:val="150"/>
            </w:pPr>
            <w:r>
              <w:rPr>
                <w:rFonts w:hint="eastAsia"/>
              </w:rPr>
              <w:t>排除地址</w:t>
            </w:r>
          </w:p>
        </w:tc>
        <w:tc>
          <w:tcPr>
            <w:tcW w:w="6649" w:type="dxa"/>
            <w:shd w:val="clear" w:color="auto" w:fill="auto"/>
          </w:tcPr>
          <w:p w14:paraId="45B7B0E9">
            <w:pPr>
              <w:pStyle w:val="150"/>
            </w:pPr>
            <w:r>
              <w:rPr>
                <w:rFonts w:hint="eastAsia"/>
              </w:rPr>
              <w:t>设置排除的MAC地址，即不适用于该对象的MAC地址。</w:t>
            </w:r>
          </w:p>
          <w:p w14:paraId="330ABBFA">
            <w:pPr>
              <w:pStyle w:val="150"/>
            </w:pPr>
            <w:r>
              <w:rPr>
                <w:rFonts w:hint="eastAsia"/>
              </w:rPr>
              <w:t>可以为单个MAC地址或MAC地址范围。</w:t>
            </w:r>
          </w:p>
        </w:tc>
      </w:tr>
    </w:tbl>
    <w:p w14:paraId="78812B4C"/>
    <w:p w14:paraId="0E66F64D">
      <w:r>
        <w:t>MAC地址对象支持导入</w:t>
      </w:r>
      <w:r>
        <w:rPr>
          <w:rFonts w:hint="eastAsia"/>
        </w:rPr>
        <w:t>、</w:t>
      </w:r>
      <w:r>
        <w:t>导出功能</w:t>
      </w:r>
      <w:r>
        <w:rPr>
          <w:rFonts w:hint="eastAsia"/>
        </w:rPr>
        <w:t>，操作方法可参考</w:t>
      </w:r>
      <w:r>
        <w:fldChar w:fldCharType="begin"/>
      </w:r>
      <w:r>
        <w:instrText xml:space="preserve"> </w:instrText>
      </w:r>
      <w:r>
        <w:rPr>
          <w:rFonts w:hint="eastAsia"/>
        </w:rPr>
        <w:instrText xml:space="preserve">REF _Ref120131464 \h</w:instrText>
      </w:r>
      <w:r>
        <w:instrText xml:space="preserve"> </w:instrText>
      </w:r>
      <w:r>
        <w:fldChar w:fldCharType="separate"/>
      </w:r>
      <w:r>
        <w:rPr>
          <w:rFonts w:hint="eastAsia"/>
        </w:rPr>
        <w:t>导入或导出地址</w:t>
      </w:r>
      <w:r>
        <w:t>对象</w:t>
      </w:r>
      <w:r>
        <w:fldChar w:fldCharType="end"/>
      </w:r>
      <w:r>
        <w:rPr>
          <w:rFonts w:hint="eastAsia"/>
        </w:rPr>
        <w:t>。</w:t>
      </w:r>
    </w:p>
    <w:bookmarkEnd w:id="6295"/>
    <w:bookmarkEnd w:id="6296"/>
    <w:p w14:paraId="1F03ACD6">
      <w:pPr>
        <w:pStyle w:val="4"/>
      </w:pPr>
      <w:bookmarkStart w:id="6314" w:name="_Toc474250027"/>
      <w:bookmarkStart w:id="6315" w:name="_Toc172218359"/>
      <w:bookmarkStart w:id="6316" w:name="_Toc40276291"/>
      <w:bookmarkStart w:id="6317" w:name="_Toc389059208"/>
      <w:bookmarkStart w:id="6318" w:name="_Toc6234871"/>
      <w:bookmarkStart w:id="6319" w:name="_Toc99561676"/>
      <w:bookmarkStart w:id="6320" w:name="_Toc141873584"/>
      <w:bookmarkStart w:id="6321" w:name="_Toc388265404"/>
      <w:bookmarkStart w:id="6322" w:name="_Toc15485101"/>
      <w:bookmarkStart w:id="6323" w:name="_Toc196728393"/>
      <w:bookmarkStart w:id="6324" w:name="_Toc23152865"/>
      <w:bookmarkStart w:id="6325" w:name="_Toc142401101"/>
      <w:bookmarkStart w:id="6326" w:name="_Toc194081061"/>
      <w:r>
        <w:rPr>
          <w:rFonts w:hint="eastAsia"/>
        </w:rPr>
        <w:t>服务对象</w:t>
      </w:r>
      <w:bookmarkEnd w:id="6314"/>
      <w:bookmarkEnd w:id="6315"/>
      <w:bookmarkEnd w:id="6316"/>
      <w:bookmarkEnd w:id="6317"/>
      <w:bookmarkEnd w:id="6318"/>
      <w:bookmarkEnd w:id="6319"/>
      <w:bookmarkEnd w:id="6320"/>
      <w:bookmarkEnd w:id="6321"/>
      <w:bookmarkEnd w:id="6322"/>
      <w:bookmarkEnd w:id="6323"/>
      <w:bookmarkEnd w:id="6324"/>
      <w:bookmarkEnd w:id="6325"/>
      <w:bookmarkEnd w:id="6326"/>
    </w:p>
    <w:p w14:paraId="6B0A3E71">
      <w:pPr>
        <w:pStyle w:val="5"/>
      </w:pPr>
      <w:bookmarkStart w:id="6327" w:name="_Toc388265403"/>
      <w:bookmarkStart w:id="6328" w:name="_Toc389059207"/>
      <w:bookmarkStart w:id="6329" w:name="_Toc474250028"/>
      <w:bookmarkStart w:id="6330" w:name="_Toc40276292"/>
      <w:bookmarkStart w:id="6331" w:name="_Toc99561677"/>
      <w:bookmarkStart w:id="6332" w:name="_Toc172218360"/>
      <w:bookmarkStart w:id="6333" w:name="_Toc142401102"/>
      <w:bookmarkStart w:id="6334" w:name="_Toc15485102"/>
      <w:bookmarkStart w:id="6335" w:name="_Toc196728394"/>
      <w:bookmarkStart w:id="6336" w:name="_Toc141873585"/>
      <w:bookmarkStart w:id="6337" w:name="_Toc6234872"/>
      <w:bookmarkStart w:id="6338" w:name="_Toc194081062"/>
      <w:bookmarkStart w:id="6339" w:name="_Toc23152866"/>
      <w:r>
        <w:rPr>
          <w:rFonts w:hint="eastAsia"/>
        </w:rPr>
        <w:t>概述</w:t>
      </w:r>
      <w:bookmarkEnd w:id="6327"/>
      <w:bookmarkEnd w:id="6328"/>
      <w:bookmarkEnd w:id="6329"/>
      <w:bookmarkEnd w:id="6330"/>
      <w:bookmarkEnd w:id="6331"/>
      <w:bookmarkEnd w:id="6332"/>
      <w:bookmarkEnd w:id="6333"/>
      <w:bookmarkEnd w:id="6334"/>
      <w:bookmarkEnd w:id="6335"/>
      <w:bookmarkEnd w:id="6336"/>
      <w:bookmarkEnd w:id="6337"/>
      <w:bookmarkEnd w:id="6338"/>
      <w:bookmarkEnd w:id="6339"/>
    </w:p>
    <w:p w14:paraId="030A77CE">
      <w:r>
        <w:rPr>
          <w:rFonts w:hint="eastAsia"/>
        </w:rPr>
        <w:t>为了方便用户的配置和管理，设备中引入了服务对象的概念。在其它功能的配置中，可以引用服务对象来定义配置生效的条件。</w:t>
      </w:r>
    </w:p>
    <w:p w14:paraId="43A2CBF7">
      <w:r>
        <w:rPr>
          <w:rFonts w:hint="eastAsia"/>
        </w:rPr>
        <w:t>设备和服务相关的对象有三种：</w:t>
      </w:r>
    </w:p>
    <w:p w14:paraId="57778A10">
      <w:r>
        <w:rPr>
          <w:rFonts w:hint="eastAsia"/>
        </w:rPr>
        <w:t>预定义服务，系统预先添加的服务，不可编辑和删除。</w:t>
      </w:r>
    </w:p>
    <w:p w14:paraId="1FF875A9">
      <w:r>
        <w:rPr>
          <w:rFonts w:hint="eastAsia"/>
        </w:rPr>
        <w:t>自定义服务，需要用户自行配置添加。</w:t>
      </w:r>
    </w:p>
    <w:p w14:paraId="19C692D0">
      <w:r>
        <w:rPr>
          <w:rFonts w:hint="eastAsia"/>
        </w:rPr>
        <w:t>服务组，服务组是服务的集合。</w:t>
      </w:r>
    </w:p>
    <w:p w14:paraId="71FAF4CD">
      <w:pPr>
        <w:pStyle w:val="5"/>
      </w:pPr>
      <w:bookmarkStart w:id="6340" w:name="_Toc23152867"/>
      <w:bookmarkStart w:id="6341" w:name="_Toc474250029"/>
      <w:bookmarkStart w:id="6342" w:name="_Toc172218361"/>
      <w:bookmarkStart w:id="6343" w:name="_Toc388265405"/>
      <w:bookmarkStart w:id="6344" w:name="_Toc6234873"/>
      <w:bookmarkStart w:id="6345" w:name="_Toc15485103"/>
      <w:bookmarkStart w:id="6346" w:name="_Toc40276293"/>
      <w:bookmarkStart w:id="6347" w:name="_Toc141873586"/>
      <w:bookmarkStart w:id="6348" w:name="_Toc142401103"/>
      <w:bookmarkStart w:id="6349" w:name="_Toc194081063"/>
      <w:bookmarkStart w:id="6350" w:name="_Toc196728395"/>
      <w:bookmarkStart w:id="6351" w:name="_Toc99561678"/>
      <w:bookmarkStart w:id="6352" w:name="_Toc389059209"/>
      <w:r>
        <w:rPr>
          <w:rFonts w:hint="eastAsia"/>
        </w:rPr>
        <w:t>预定义服务</w:t>
      </w:r>
      <w:bookmarkEnd w:id="6340"/>
      <w:bookmarkEnd w:id="6341"/>
      <w:bookmarkEnd w:id="6342"/>
      <w:bookmarkEnd w:id="6343"/>
      <w:bookmarkEnd w:id="6344"/>
      <w:bookmarkEnd w:id="6345"/>
      <w:bookmarkEnd w:id="6346"/>
      <w:bookmarkEnd w:id="6347"/>
      <w:bookmarkEnd w:id="6348"/>
      <w:bookmarkEnd w:id="6349"/>
      <w:bookmarkEnd w:id="6350"/>
      <w:bookmarkEnd w:id="6351"/>
      <w:bookmarkEnd w:id="6352"/>
    </w:p>
    <w:p w14:paraId="438E4200">
      <w:r>
        <w:rPr>
          <w:rFonts w:hint="eastAsia"/>
        </w:rPr>
        <w:t>在导航栏中选择“策略配置 &gt; 对象管理 &gt; 服务对象”，可查看预定义服务，如</w:t>
      </w:r>
      <w:r>
        <w:rPr>
          <w:color w:val="0000FF"/>
          <w:u w:val="single"/>
        </w:rPr>
        <w:fldChar w:fldCharType="begin"/>
      </w:r>
      <w:r>
        <w:rPr>
          <w:color w:val="0000FF"/>
          <w:u w:val="single"/>
        </w:rPr>
        <w:instrText xml:space="preserve"> REF _Ref392924915 \r \h </w:instrText>
      </w:r>
      <w:r>
        <w:rPr>
          <w:color w:val="0000FF"/>
          <w:u w:val="single"/>
        </w:rPr>
        <w:fldChar w:fldCharType="separate"/>
      </w:r>
      <w:r>
        <w:rPr>
          <w:rFonts w:hint="eastAsia"/>
          <w:color w:val="0000FF"/>
          <w:u w:val="single"/>
        </w:rPr>
        <w:t>图28-25</w:t>
      </w:r>
      <w:r>
        <w:rPr>
          <w:color w:val="0000FF"/>
          <w:u w:val="single"/>
        </w:rPr>
        <w:fldChar w:fldCharType="end"/>
      </w:r>
      <w:r>
        <w:rPr>
          <w:rFonts w:hint="eastAsia"/>
        </w:rPr>
        <w:t>所示：</w:t>
      </w:r>
    </w:p>
    <w:p w14:paraId="4386D8A2">
      <w:pPr>
        <w:pStyle w:val="188"/>
      </w:pPr>
      <w:bookmarkStart w:id="6353" w:name="_Ref392924915"/>
      <w:bookmarkStart w:id="6354" w:name="_Toc141874953"/>
      <w:r>
        <w:rPr>
          <w:rFonts w:hint="eastAsia"/>
        </w:rPr>
        <w:t>预定义服务</w:t>
      </w:r>
      <w:bookmarkEnd w:id="6353"/>
      <w:r>
        <w:rPr>
          <w:rFonts w:hint="eastAsia"/>
        </w:rPr>
        <w:t>显示界面</w:t>
      </w:r>
      <w:bookmarkEnd w:id="6354"/>
    </w:p>
    <w:p w14:paraId="2731A881">
      <w:pPr>
        <w:spacing w:before="78" w:after="78"/>
      </w:pPr>
      <w:r>
        <w:drawing>
          <wp:inline distT="0" distB="0" distL="0" distR="0">
            <wp:extent cx="5553075" cy="3001010"/>
            <wp:effectExtent l="0" t="0" r="0" b="8890"/>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518"/>
                    <pic:cNvPicPr>
                      <a:picLocks noChangeAspect="1"/>
                    </pic:cNvPicPr>
                  </pic:nvPicPr>
                  <pic:blipFill>
                    <a:blip r:embed="rId789"/>
                    <a:stretch>
                      <a:fillRect/>
                    </a:stretch>
                  </pic:blipFill>
                  <pic:spPr>
                    <a:xfrm>
                      <a:off x="0" y="0"/>
                      <a:ext cx="5577043" cy="3014196"/>
                    </a:xfrm>
                    <a:prstGeom prst="rect">
                      <a:avLst/>
                    </a:prstGeom>
                  </pic:spPr>
                </pic:pic>
              </a:graphicData>
            </a:graphic>
          </wp:inline>
        </w:drawing>
      </w:r>
    </w:p>
    <w:p w14:paraId="371A14B0"/>
    <w:p w14:paraId="7E9863C6">
      <w:pPr>
        <w:pStyle w:val="5"/>
      </w:pPr>
      <w:bookmarkStart w:id="6355" w:name="_Toc388265406"/>
      <w:bookmarkStart w:id="6356" w:name="_Toc23152868"/>
      <w:bookmarkStart w:id="6357" w:name="_Toc6234874"/>
      <w:bookmarkStart w:id="6358" w:name="_Toc474250030"/>
      <w:bookmarkStart w:id="6359" w:name="_Toc389059210"/>
      <w:bookmarkStart w:id="6360" w:name="_Toc15485104"/>
      <w:bookmarkStart w:id="6361" w:name="_Toc40276294"/>
      <w:bookmarkStart w:id="6362" w:name="_Toc196728396"/>
      <w:bookmarkStart w:id="6363" w:name="_Toc172218362"/>
      <w:bookmarkStart w:id="6364" w:name="_Toc194081064"/>
      <w:bookmarkStart w:id="6365" w:name="_Toc141873587"/>
      <w:bookmarkStart w:id="6366" w:name="_Toc99561679"/>
      <w:bookmarkStart w:id="6367" w:name="_Toc142401104"/>
      <w:r>
        <w:rPr>
          <w:rFonts w:hint="eastAsia"/>
        </w:rPr>
        <w:t>配置自定义服务</w:t>
      </w:r>
      <w:bookmarkEnd w:id="6355"/>
      <w:bookmarkEnd w:id="6356"/>
      <w:bookmarkEnd w:id="6357"/>
      <w:bookmarkEnd w:id="6358"/>
      <w:bookmarkEnd w:id="6359"/>
      <w:bookmarkEnd w:id="6360"/>
      <w:bookmarkEnd w:id="6361"/>
      <w:bookmarkEnd w:id="6362"/>
      <w:bookmarkEnd w:id="6363"/>
      <w:bookmarkEnd w:id="6364"/>
      <w:bookmarkEnd w:id="6365"/>
      <w:bookmarkEnd w:id="6366"/>
      <w:bookmarkEnd w:id="6367"/>
    </w:p>
    <w:p w14:paraId="373899D7">
      <w:r>
        <w:rPr>
          <w:rFonts w:hint="eastAsia"/>
        </w:rPr>
        <w:t>在导航栏中选择“策略配置 &gt; 对象管理 &gt; 服务对象”点击“自定义服务”标签页，进入自定义服务的显示界面，如</w:t>
      </w:r>
      <w:r>
        <w:fldChar w:fldCharType="begin"/>
      </w:r>
      <w:r>
        <w:instrText xml:space="preserve"> REF _Ref393375062 \r \h  \* MERGEFORMAT </w:instrText>
      </w:r>
      <w:r>
        <w:fldChar w:fldCharType="separate"/>
      </w:r>
      <w:r>
        <w:rPr>
          <w:rFonts w:hint="eastAsia"/>
        </w:rPr>
        <w:t>图28-26</w:t>
      </w:r>
      <w:r>
        <w:fldChar w:fldCharType="end"/>
      </w:r>
      <w:r>
        <w:rPr>
          <w:rFonts w:hint="eastAsia"/>
        </w:rPr>
        <w:t>所示。点击</w:t>
      </w:r>
      <w:r>
        <w:t>&lt;</w:t>
      </w:r>
      <w:r>
        <w:rPr>
          <w:rFonts w:hint="eastAsia"/>
        </w:rPr>
        <w:t>新建</w:t>
      </w:r>
      <w:r>
        <w:t>&gt;</w:t>
      </w:r>
      <w:r>
        <w:rPr>
          <w:rFonts w:hint="eastAsia"/>
        </w:rPr>
        <w:t>按钮，弹出新建自定义服务的界面，如</w:t>
      </w:r>
      <w:r>
        <w:fldChar w:fldCharType="begin"/>
      </w:r>
      <w:r>
        <w:instrText xml:space="preserve"> REF _Ref392925137 \r \h  \* MERGEFORMAT </w:instrText>
      </w:r>
      <w:r>
        <w:fldChar w:fldCharType="separate"/>
      </w:r>
      <w:r>
        <w:rPr>
          <w:rFonts w:hint="eastAsia"/>
        </w:rPr>
        <w:t>图28-27</w:t>
      </w:r>
      <w:r>
        <w:fldChar w:fldCharType="end"/>
      </w:r>
      <w:r>
        <w:rPr>
          <w:rFonts w:hint="eastAsia"/>
        </w:rPr>
        <w:t>所示。</w:t>
      </w:r>
    </w:p>
    <w:p w14:paraId="1172B123">
      <w:pPr>
        <w:pStyle w:val="188"/>
      </w:pPr>
      <w:bookmarkStart w:id="6368" w:name="_Toc141874954"/>
      <w:bookmarkStart w:id="6369" w:name="_Ref393375062"/>
      <w:r>
        <w:rPr>
          <w:rFonts w:hint="eastAsia"/>
        </w:rPr>
        <w:t>自定义服务显示界面</w:t>
      </w:r>
      <w:bookmarkEnd w:id="6368"/>
      <w:bookmarkEnd w:id="6369"/>
    </w:p>
    <w:p w14:paraId="780251FF">
      <w:pPr>
        <w:spacing w:before="78" w:after="78"/>
      </w:pPr>
      <w:r>
        <w:drawing>
          <wp:inline distT="0" distB="0" distL="0" distR="0">
            <wp:extent cx="5705475" cy="952500"/>
            <wp:effectExtent l="0" t="0" r="0" b="0"/>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519"/>
                    <pic:cNvPicPr>
                      <a:picLocks noChangeAspect="1"/>
                    </pic:cNvPicPr>
                  </pic:nvPicPr>
                  <pic:blipFill>
                    <a:blip r:embed="rId790"/>
                    <a:stretch>
                      <a:fillRect/>
                    </a:stretch>
                  </pic:blipFill>
                  <pic:spPr>
                    <a:xfrm>
                      <a:off x="0" y="0"/>
                      <a:ext cx="5763225" cy="962730"/>
                    </a:xfrm>
                    <a:prstGeom prst="rect">
                      <a:avLst/>
                    </a:prstGeom>
                  </pic:spPr>
                </pic:pic>
              </a:graphicData>
            </a:graphic>
          </wp:inline>
        </w:drawing>
      </w:r>
    </w:p>
    <w:p w14:paraId="0C108C04"/>
    <w:p w14:paraId="71D829FA">
      <w:pPr>
        <w:pStyle w:val="188"/>
      </w:pPr>
      <w:bookmarkStart w:id="6370" w:name="_Ref392925137"/>
      <w:bookmarkStart w:id="6371" w:name="_Toc141874955"/>
      <w:r>
        <w:rPr>
          <w:rFonts w:hint="eastAsia"/>
        </w:rPr>
        <w:t>添加自定义服务</w:t>
      </w:r>
      <w:bookmarkEnd w:id="6370"/>
      <w:bookmarkEnd w:id="6371"/>
    </w:p>
    <w:p w14:paraId="0CCF4253">
      <w:pPr>
        <w:spacing w:before="78" w:after="78"/>
      </w:pPr>
      <w:r>
        <w:drawing>
          <wp:inline distT="0" distB="0" distL="114300" distR="114300">
            <wp:extent cx="5400040" cy="3710940"/>
            <wp:effectExtent l="0" t="0" r="0" b="3810"/>
            <wp:docPr id="2728"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8" name="图片 61"/>
                    <pic:cNvPicPr>
                      <a:picLocks noChangeAspect="1"/>
                    </pic:cNvPicPr>
                  </pic:nvPicPr>
                  <pic:blipFill>
                    <a:blip r:embed="rId791"/>
                    <a:stretch>
                      <a:fillRect/>
                    </a:stretch>
                  </pic:blipFill>
                  <pic:spPr>
                    <a:xfrm>
                      <a:off x="0" y="0"/>
                      <a:ext cx="5400040" cy="3711197"/>
                    </a:xfrm>
                    <a:prstGeom prst="rect">
                      <a:avLst/>
                    </a:prstGeom>
                    <a:noFill/>
                    <a:ln>
                      <a:noFill/>
                    </a:ln>
                  </pic:spPr>
                </pic:pic>
              </a:graphicData>
            </a:graphic>
          </wp:inline>
        </w:drawing>
      </w:r>
    </w:p>
    <w:p w14:paraId="06303037"/>
    <w:p w14:paraId="01B65B17">
      <w:r>
        <w:rPr>
          <w:rFonts w:hint="eastAsia"/>
        </w:rPr>
        <w:t>自定义服务的详细配置如</w:t>
      </w:r>
      <w:r>
        <w:fldChar w:fldCharType="begin"/>
      </w:r>
      <w:r>
        <w:instrText xml:space="preserve"> REF _Ref393375134 \r \h </w:instrText>
      </w:r>
      <w:r>
        <w:fldChar w:fldCharType="separate"/>
      </w:r>
      <w:r>
        <w:rPr>
          <w:rFonts w:hint="eastAsia"/>
        </w:rPr>
        <w:t>表28-1</w:t>
      </w:r>
      <w:r>
        <w:fldChar w:fldCharType="end"/>
      </w:r>
      <w:r>
        <w:rPr>
          <w:rFonts w:hint="eastAsia"/>
        </w:rPr>
        <w:t>所示：</w:t>
      </w:r>
    </w:p>
    <w:p w14:paraId="4BD1422B">
      <w:pPr>
        <w:pStyle w:val="183"/>
      </w:pPr>
      <w:bookmarkStart w:id="6372" w:name="_Ref393375134"/>
      <w:bookmarkStart w:id="6373" w:name="_Toc141875626"/>
      <w:r>
        <w:rPr>
          <w:rFonts w:hint="eastAsia"/>
        </w:rPr>
        <w:t>自定义服务详细配置表</w:t>
      </w:r>
      <w:bookmarkEnd w:id="6372"/>
      <w:bookmarkEnd w:id="6373"/>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786"/>
        <w:gridCol w:w="1271"/>
        <w:gridCol w:w="5911"/>
      </w:tblGrid>
      <w:tr w14:paraId="189AE8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3057" w:type="dxa"/>
            <w:gridSpan w:val="2"/>
            <w:tcBorders>
              <w:tl2br w:val="nil"/>
              <w:tr2bl w:val="nil"/>
            </w:tcBorders>
            <w:shd w:val="clear" w:color="auto" w:fill="538135" w:themeFill="accent6" w:themeFillShade="BF"/>
            <w:vAlign w:val="center"/>
          </w:tcPr>
          <w:p w14:paraId="35E44A09">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5911" w:type="dxa"/>
            <w:tcBorders>
              <w:tl2br w:val="nil"/>
              <w:tr2bl w:val="nil"/>
            </w:tcBorders>
            <w:shd w:val="clear" w:color="auto" w:fill="538135" w:themeFill="accent6" w:themeFillShade="BF"/>
            <w:vAlign w:val="center"/>
          </w:tcPr>
          <w:p w14:paraId="11F900A8">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42722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3057" w:type="dxa"/>
            <w:gridSpan w:val="2"/>
            <w:shd w:val="clear" w:color="auto" w:fill="auto"/>
          </w:tcPr>
          <w:p w14:paraId="09C8DFB6">
            <w:pPr>
              <w:pStyle w:val="150"/>
            </w:pPr>
            <w:r>
              <w:rPr>
                <w:rFonts w:hint="eastAsia"/>
              </w:rPr>
              <w:t>名称</w:t>
            </w:r>
          </w:p>
        </w:tc>
        <w:tc>
          <w:tcPr>
            <w:tcW w:w="5911" w:type="dxa"/>
            <w:shd w:val="clear" w:color="auto" w:fill="auto"/>
          </w:tcPr>
          <w:p w14:paraId="7A3AFDCA">
            <w:pPr>
              <w:pStyle w:val="150"/>
            </w:pPr>
            <w:r>
              <w:rPr>
                <w:rFonts w:hint="eastAsia"/>
              </w:rPr>
              <w:t>自定义服务的名称，为1到</w:t>
            </w:r>
            <w:r>
              <w:t>63</w:t>
            </w:r>
            <w:r>
              <w:rPr>
                <w:rFonts w:hint="eastAsia"/>
              </w:rPr>
              <w:t>个字符的字符串。</w:t>
            </w:r>
          </w:p>
        </w:tc>
      </w:tr>
      <w:tr w14:paraId="0BB7F87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3057" w:type="dxa"/>
            <w:gridSpan w:val="2"/>
            <w:shd w:val="clear" w:color="auto" w:fill="auto"/>
          </w:tcPr>
          <w:p w14:paraId="2C6FB69F">
            <w:pPr>
              <w:pStyle w:val="150"/>
            </w:pPr>
            <w:r>
              <w:rPr>
                <w:rFonts w:hint="eastAsia"/>
              </w:rPr>
              <w:t>描述</w:t>
            </w:r>
          </w:p>
        </w:tc>
        <w:tc>
          <w:tcPr>
            <w:tcW w:w="5911" w:type="dxa"/>
            <w:shd w:val="clear" w:color="auto" w:fill="auto"/>
          </w:tcPr>
          <w:p w14:paraId="54BDAD8E">
            <w:pPr>
              <w:pStyle w:val="150"/>
            </w:pPr>
            <w:r>
              <w:rPr>
                <w:rFonts w:hint="eastAsia"/>
              </w:rPr>
              <w:t>自定义服务的描述信息（可选）。</w:t>
            </w:r>
          </w:p>
        </w:tc>
      </w:tr>
      <w:tr w14:paraId="4713BD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6" w:type="dxa"/>
            <w:vMerge w:val="restart"/>
            <w:shd w:val="clear" w:color="auto" w:fill="auto"/>
          </w:tcPr>
          <w:p w14:paraId="2BC43CA2">
            <w:pPr>
              <w:pStyle w:val="150"/>
            </w:pPr>
            <w:r>
              <w:rPr>
                <w:rFonts w:hint="eastAsia"/>
              </w:rPr>
              <w:t>添加类型</w:t>
            </w:r>
          </w:p>
        </w:tc>
        <w:tc>
          <w:tcPr>
            <w:tcW w:w="1271" w:type="dxa"/>
            <w:shd w:val="clear" w:color="auto" w:fill="auto"/>
          </w:tcPr>
          <w:p w14:paraId="2256E44D">
            <w:pPr>
              <w:pStyle w:val="150"/>
            </w:pPr>
            <w:r>
              <w:rPr>
                <w:rFonts w:hint="eastAsia"/>
              </w:rPr>
              <w:t>TCP</w:t>
            </w:r>
          </w:p>
        </w:tc>
        <w:tc>
          <w:tcPr>
            <w:tcW w:w="5911" w:type="dxa"/>
            <w:shd w:val="clear" w:color="auto" w:fill="auto"/>
          </w:tcPr>
          <w:p w14:paraId="7A812274">
            <w:pPr>
              <w:pStyle w:val="150"/>
            </w:pPr>
            <w:r>
              <w:rPr>
                <w:rFonts w:hint="eastAsia"/>
              </w:rPr>
              <w:t>TCP的端口范围。</w:t>
            </w:r>
          </w:p>
        </w:tc>
      </w:tr>
      <w:tr w14:paraId="54CD34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6" w:type="dxa"/>
            <w:vMerge w:val="continue"/>
            <w:shd w:val="clear" w:color="auto" w:fill="auto"/>
          </w:tcPr>
          <w:p w14:paraId="5B4A0C6C">
            <w:pPr>
              <w:pStyle w:val="186"/>
              <w:widowControl w:val="0"/>
              <w:spacing w:line="240" w:lineRule="auto"/>
              <w:ind w:firstLine="0"/>
              <w:jc w:val="left"/>
            </w:pPr>
          </w:p>
        </w:tc>
        <w:tc>
          <w:tcPr>
            <w:tcW w:w="1271" w:type="dxa"/>
            <w:shd w:val="clear" w:color="auto" w:fill="auto"/>
          </w:tcPr>
          <w:p w14:paraId="42CB68BF">
            <w:pPr>
              <w:pStyle w:val="150"/>
            </w:pPr>
            <w:r>
              <w:rPr>
                <w:rFonts w:hint="eastAsia"/>
              </w:rPr>
              <w:t>UDP</w:t>
            </w:r>
          </w:p>
        </w:tc>
        <w:tc>
          <w:tcPr>
            <w:tcW w:w="5911" w:type="dxa"/>
            <w:shd w:val="clear" w:color="auto" w:fill="auto"/>
          </w:tcPr>
          <w:p w14:paraId="107E353E">
            <w:pPr>
              <w:pStyle w:val="150"/>
            </w:pPr>
            <w:r>
              <w:rPr>
                <w:rFonts w:hint="eastAsia"/>
              </w:rPr>
              <w:t>UDP的端口范围。</w:t>
            </w:r>
          </w:p>
        </w:tc>
      </w:tr>
      <w:tr w14:paraId="29A71E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6" w:type="dxa"/>
            <w:vMerge w:val="continue"/>
            <w:shd w:val="clear" w:color="auto" w:fill="auto"/>
          </w:tcPr>
          <w:p w14:paraId="5F6166E8">
            <w:pPr>
              <w:pStyle w:val="186"/>
              <w:widowControl w:val="0"/>
              <w:spacing w:line="240" w:lineRule="auto"/>
              <w:ind w:firstLine="0"/>
              <w:jc w:val="left"/>
            </w:pPr>
          </w:p>
        </w:tc>
        <w:tc>
          <w:tcPr>
            <w:tcW w:w="1271" w:type="dxa"/>
            <w:shd w:val="clear" w:color="auto" w:fill="auto"/>
          </w:tcPr>
          <w:p w14:paraId="36B5B14B">
            <w:pPr>
              <w:pStyle w:val="150"/>
            </w:pPr>
            <w:r>
              <w:rPr>
                <w:rFonts w:hint="eastAsia"/>
              </w:rPr>
              <w:t>ICMP</w:t>
            </w:r>
          </w:p>
        </w:tc>
        <w:tc>
          <w:tcPr>
            <w:tcW w:w="5911" w:type="dxa"/>
            <w:shd w:val="clear" w:color="auto" w:fill="auto"/>
          </w:tcPr>
          <w:p w14:paraId="735F4A02">
            <w:pPr>
              <w:pStyle w:val="150"/>
            </w:pPr>
            <w:r>
              <w:rPr>
                <w:rFonts w:hint="eastAsia"/>
              </w:rPr>
              <w:t>ICMP的code和type。</w:t>
            </w:r>
          </w:p>
        </w:tc>
      </w:tr>
      <w:tr w14:paraId="72B5725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6" w:type="dxa"/>
            <w:vMerge w:val="continue"/>
            <w:shd w:val="clear" w:color="auto" w:fill="auto"/>
          </w:tcPr>
          <w:p w14:paraId="0B506E5A">
            <w:pPr>
              <w:pStyle w:val="186"/>
              <w:widowControl w:val="0"/>
              <w:spacing w:line="240" w:lineRule="auto"/>
              <w:ind w:firstLine="0"/>
              <w:jc w:val="left"/>
            </w:pPr>
          </w:p>
        </w:tc>
        <w:tc>
          <w:tcPr>
            <w:tcW w:w="1271" w:type="dxa"/>
            <w:shd w:val="clear" w:color="auto" w:fill="auto"/>
          </w:tcPr>
          <w:p w14:paraId="27A61936">
            <w:pPr>
              <w:pStyle w:val="150"/>
            </w:pPr>
            <w:r>
              <w:rPr>
                <w:rFonts w:hint="eastAsia"/>
              </w:rPr>
              <w:t>协议</w:t>
            </w:r>
          </w:p>
        </w:tc>
        <w:tc>
          <w:tcPr>
            <w:tcW w:w="5911" w:type="dxa"/>
            <w:shd w:val="clear" w:color="auto" w:fill="auto"/>
          </w:tcPr>
          <w:p w14:paraId="2A21EE08">
            <w:pPr>
              <w:pStyle w:val="150"/>
            </w:pPr>
            <w:r>
              <w:rPr>
                <w:rFonts w:hint="eastAsia"/>
              </w:rPr>
              <w:t>IP协议类型。</w:t>
            </w:r>
          </w:p>
        </w:tc>
      </w:tr>
      <w:tr w14:paraId="470544C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3057" w:type="dxa"/>
            <w:gridSpan w:val="2"/>
            <w:shd w:val="clear" w:color="auto" w:fill="auto"/>
          </w:tcPr>
          <w:p w14:paraId="35F02762">
            <w:pPr>
              <w:pStyle w:val="150"/>
            </w:pPr>
            <w:r>
              <w:rPr>
                <w:rFonts w:hint="eastAsia"/>
              </w:rPr>
              <w:t>已添加项目</w:t>
            </w:r>
          </w:p>
        </w:tc>
        <w:tc>
          <w:tcPr>
            <w:tcW w:w="5911" w:type="dxa"/>
            <w:shd w:val="clear" w:color="auto" w:fill="auto"/>
          </w:tcPr>
          <w:p w14:paraId="5923A1DB">
            <w:pPr>
              <w:pStyle w:val="150"/>
            </w:pPr>
            <w:r>
              <w:rPr>
                <w:rFonts w:hint="eastAsia"/>
              </w:rPr>
              <w:t>已经添加的TCP、UDP、ICMP、其它类型。</w:t>
            </w:r>
          </w:p>
        </w:tc>
      </w:tr>
    </w:tbl>
    <w:p w14:paraId="302D11B7"/>
    <w:p w14:paraId="4C0D5785">
      <w:r>
        <w:rPr>
          <w:rFonts w:hint="eastAsia"/>
        </w:rPr>
        <w:t>点击</w:t>
      </w:r>
      <w:r>
        <w:t>&lt;</w:t>
      </w:r>
      <w:r>
        <w:rPr>
          <w:rFonts w:hint="eastAsia"/>
        </w:rPr>
        <w:t>提交</w:t>
      </w:r>
      <w:r>
        <w:t>&gt;</w:t>
      </w:r>
      <w:r>
        <w:rPr>
          <w:rFonts w:hint="eastAsia"/>
        </w:rPr>
        <w:t>按钮，完成自定义服务的配置。</w:t>
      </w:r>
    </w:p>
    <w:p w14:paraId="36E37271">
      <w:pPr>
        <w:pStyle w:val="5"/>
      </w:pPr>
      <w:bookmarkStart w:id="6374" w:name="_Toc474250031"/>
      <w:bookmarkStart w:id="6375" w:name="_Toc141873588"/>
      <w:bookmarkStart w:id="6376" w:name="_Toc99561680"/>
      <w:bookmarkStart w:id="6377" w:name="_Toc196728397"/>
      <w:bookmarkStart w:id="6378" w:name="_Toc388265407"/>
      <w:bookmarkStart w:id="6379" w:name="_Toc23152869"/>
      <w:bookmarkStart w:id="6380" w:name="_Toc142401105"/>
      <w:bookmarkStart w:id="6381" w:name="_Toc172218363"/>
      <w:bookmarkStart w:id="6382" w:name="_Toc40276295"/>
      <w:bookmarkStart w:id="6383" w:name="_Toc15485105"/>
      <w:bookmarkStart w:id="6384" w:name="_Toc389059211"/>
      <w:bookmarkStart w:id="6385" w:name="_Toc6234875"/>
      <w:bookmarkStart w:id="6386" w:name="_Toc194081065"/>
      <w:r>
        <w:rPr>
          <w:rFonts w:hint="eastAsia"/>
        </w:rPr>
        <w:t>配置服务组</w:t>
      </w:r>
      <w:bookmarkEnd w:id="6374"/>
      <w:bookmarkEnd w:id="6375"/>
      <w:bookmarkEnd w:id="6376"/>
      <w:bookmarkEnd w:id="6377"/>
      <w:bookmarkEnd w:id="6378"/>
      <w:bookmarkEnd w:id="6379"/>
      <w:bookmarkEnd w:id="6380"/>
      <w:bookmarkEnd w:id="6381"/>
      <w:bookmarkEnd w:id="6382"/>
      <w:bookmarkEnd w:id="6383"/>
      <w:bookmarkEnd w:id="6384"/>
      <w:bookmarkEnd w:id="6385"/>
      <w:bookmarkEnd w:id="6386"/>
    </w:p>
    <w:p w14:paraId="4EAA2CD2">
      <w:r>
        <w:rPr>
          <w:rFonts w:hint="eastAsia"/>
        </w:rPr>
        <w:t>在导航栏中选择“策略配置 &gt; 对象管理 &gt; 服务对象”，点击“服务组”标签页，进入显示服务组的页面，如</w:t>
      </w:r>
      <w:r>
        <w:rPr>
          <w:color w:val="0000FF"/>
          <w:u w:val="single"/>
        </w:rPr>
        <w:fldChar w:fldCharType="begin"/>
      </w:r>
      <w:r>
        <w:rPr>
          <w:color w:val="0000FF"/>
          <w:u w:val="single"/>
        </w:rPr>
        <w:instrText xml:space="preserve"> REF _Ref393375381 \r \h </w:instrText>
      </w:r>
      <w:r>
        <w:rPr>
          <w:color w:val="0000FF"/>
          <w:u w:val="single"/>
        </w:rPr>
        <w:fldChar w:fldCharType="separate"/>
      </w:r>
      <w:r>
        <w:rPr>
          <w:rFonts w:hint="eastAsia"/>
          <w:color w:val="0000FF"/>
          <w:u w:val="single"/>
        </w:rPr>
        <w:t>图28-28</w:t>
      </w:r>
      <w:r>
        <w:rPr>
          <w:color w:val="0000FF"/>
          <w:u w:val="single"/>
        </w:rPr>
        <w:fldChar w:fldCharType="end"/>
      </w:r>
      <w:r>
        <w:rPr>
          <w:rFonts w:hint="eastAsia"/>
        </w:rPr>
        <w:t>所示。点击</w:t>
      </w:r>
      <w:r>
        <w:t>&lt;</w:t>
      </w:r>
      <w:r>
        <w:rPr>
          <w:rFonts w:hint="eastAsia"/>
        </w:rPr>
        <w:t>新建</w:t>
      </w:r>
      <w:r>
        <w:t>&gt;</w:t>
      </w:r>
      <w:r>
        <w:rPr>
          <w:rFonts w:hint="eastAsia"/>
        </w:rPr>
        <w:t>按钮，弹出新建服务组的页面，如</w:t>
      </w:r>
      <w:r>
        <w:rPr>
          <w:color w:val="0000FF"/>
          <w:u w:val="single"/>
        </w:rPr>
        <w:fldChar w:fldCharType="begin"/>
      </w:r>
      <w:r>
        <w:rPr>
          <w:color w:val="0000FF"/>
          <w:u w:val="single"/>
        </w:rPr>
        <w:instrText xml:space="preserve"> REF _Ref392926135 \r \h </w:instrText>
      </w:r>
      <w:r>
        <w:rPr>
          <w:color w:val="0000FF"/>
          <w:u w:val="single"/>
        </w:rPr>
        <w:fldChar w:fldCharType="separate"/>
      </w:r>
      <w:r>
        <w:rPr>
          <w:rFonts w:hint="eastAsia"/>
          <w:color w:val="0000FF"/>
          <w:u w:val="single"/>
        </w:rPr>
        <w:t>图28-29</w:t>
      </w:r>
      <w:r>
        <w:rPr>
          <w:color w:val="0000FF"/>
          <w:u w:val="single"/>
        </w:rPr>
        <w:fldChar w:fldCharType="end"/>
      </w:r>
      <w:r>
        <w:rPr>
          <w:rFonts w:hint="eastAsia"/>
        </w:rPr>
        <w:t>所示。</w:t>
      </w:r>
    </w:p>
    <w:p w14:paraId="718650F9">
      <w:pPr>
        <w:pStyle w:val="188"/>
      </w:pPr>
      <w:bookmarkStart w:id="6387" w:name="_Ref393375381"/>
      <w:bookmarkStart w:id="6388" w:name="_Toc141874956"/>
      <w:r>
        <w:rPr>
          <w:rFonts w:hint="eastAsia"/>
        </w:rPr>
        <w:t>服务组显示界面</w:t>
      </w:r>
      <w:bookmarkEnd w:id="6387"/>
      <w:bookmarkEnd w:id="6388"/>
    </w:p>
    <w:p w14:paraId="48DD54BF">
      <w:pPr>
        <w:spacing w:before="78" w:after="78"/>
      </w:pPr>
      <w:r>
        <w:drawing>
          <wp:inline distT="0" distB="0" distL="0" distR="0">
            <wp:extent cx="5753100" cy="991870"/>
            <wp:effectExtent l="0" t="0" r="0" b="0"/>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521"/>
                    <pic:cNvPicPr>
                      <a:picLocks noChangeAspect="1"/>
                    </pic:cNvPicPr>
                  </pic:nvPicPr>
                  <pic:blipFill>
                    <a:blip r:embed="rId792"/>
                    <a:stretch>
                      <a:fillRect/>
                    </a:stretch>
                  </pic:blipFill>
                  <pic:spPr>
                    <a:xfrm>
                      <a:off x="0" y="0"/>
                      <a:ext cx="5792669" cy="998901"/>
                    </a:xfrm>
                    <a:prstGeom prst="rect">
                      <a:avLst/>
                    </a:prstGeom>
                  </pic:spPr>
                </pic:pic>
              </a:graphicData>
            </a:graphic>
          </wp:inline>
        </w:drawing>
      </w:r>
    </w:p>
    <w:p w14:paraId="6E08F9A0"/>
    <w:p w14:paraId="695D71F3">
      <w:pPr>
        <w:pStyle w:val="188"/>
      </w:pPr>
      <w:bookmarkStart w:id="6389" w:name="_Toc141874957"/>
      <w:bookmarkStart w:id="6390" w:name="_Ref392926135"/>
      <w:r>
        <w:rPr>
          <w:rFonts w:hint="eastAsia"/>
        </w:rPr>
        <w:t>添加自定义服务组</w:t>
      </w:r>
      <w:bookmarkEnd w:id="6389"/>
      <w:bookmarkEnd w:id="6390"/>
    </w:p>
    <w:p w14:paraId="40E956D0">
      <w:pPr>
        <w:spacing w:before="78" w:after="78"/>
      </w:pPr>
      <w:r>
        <w:drawing>
          <wp:inline distT="0" distB="0" distL="114300" distR="114300">
            <wp:extent cx="5400040" cy="2025650"/>
            <wp:effectExtent l="0" t="0" r="0" b="0"/>
            <wp:docPr id="272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9" name="图片 62"/>
                    <pic:cNvPicPr>
                      <a:picLocks noChangeAspect="1"/>
                    </pic:cNvPicPr>
                  </pic:nvPicPr>
                  <pic:blipFill>
                    <a:blip r:embed="rId793"/>
                    <a:stretch>
                      <a:fillRect/>
                    </a:stretch>
                  </pic:blipFill>
                  <pic:spPr>
                    <a:xfrm>
                      <a:off x="0" y="0"/>
                      <a:ext cx="5400040" cy="2025856"/>
                    </a:xfrm>
                    <a:prstGeom prst="rect">
                      <a:avLst/>
                    </a:prstGeom>
                    <a:noFill/>
                    <a:ln>
                      <a:noFill/>
                    </a:ln>
                  </pic:spPr>
                </pic:pic>
              </a:graphicData>
            </a:graphic>
          </wp:inline>
        </w:drawing>
      </w:r>
    </w:p>
    <w:p w14:paraId="52B433BE"/>
    <w:p w14:paraId="6631D31E">
      <w:r>
        <w:rPr>
          <w:rFonts w:hint="eastAsia"/>
        </w:rPr>
        <w:t>自定义服务组的详细配置如</w:t>
      </w:r>
      <w:r>
        <w:fldChar w:fldCharType="begin"/>
      </w:r>
      <w:r>
        <w:instrText xml:space="preserve"> REF _Ref392926306 \r \h </w:instrText>
      </w:r>
      <w:r>
        <w:fldChar w:fldCharType="separate"/>
      </w:r>
      <w:r>
        <w:rPr>
          <w:rFonts w:hint="eastAsia"/>
        </w:rPr>
        <w:t>图28-30</w:t>
      </w:r>
      <w:r>
        <w:fldChar w:fldCharType="end"/>
      </w:r>
      <w:r>
        <w:rPr>
          <w:rFonts w:hint="eastAsia"/>
        </w:rPr>
        <w:t>所示。</w:t>
      </w:r>
    </w:p>
    <w:p w14:paraId="207D1099"/>
    <w:p w14:paraId="78F28A3B">
      <w:pPr>
        <w:pStyle w:val="188"/>
      </w:pPr>
      <w:bookmarkStart w:id="6391" w:name="_Ref392926306"/>
      <w:bookmarkStart w:id="6392" w:name="_Toc141874958"/>
      <w:r>
        <w:rPr>
          <w:rFonts w:hint="eastAsia"/>
        </w:rPr>
        <w:t>自定义服务组详细配置表</w:t>
      </w:r>
      <w:bookmarkEnd w:id="6391"/>
      <w:bookmarkEnd w:id="6392"/>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258"/>
        <w:gridCol w:w="6710"/>
      </w:tblGrid>
      <w:tr w14:paraId="52C92CC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293" w:type="dxa"/>
            <w:tcBorders>
              <w:tl2br w:val="nil"/>
              <w:tr2bl w:val="nil"/>
            </w:tcBorders>
            <w:shd w:val="clear" w:color="auto" w:fill="538135" w:themeFill="accent6" w:themeFillShade="BF"/>
            <w:vAlign w:val="center"/>
          </w:tcPr>
          <w:p w14:paraId="0BADF2AC">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6824" w:type="dxa"/>
            <w:tcBorders>
              <w:tl2br w:val="nil"/>
              <w:tr2bl w:val="nil"/>
            </w:tcBorders>
            <w:shd w:val="clear" w:color="auto" w:fill="538135" w:themeFill="accent6" w:themeFillShade="BF"/>
            <w:vAlign w:val="center"/>
          </w:tcPr>
          <w:p w14:paraId="2B436011">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0A5255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293" w:type="dxa"/>
            <w:shd w:val="clear" w:color="auto" w:fill="auto"/>
          </w:tcPr>
          <w:p w14:paraId="0AC724B6">
            <w:pPr>
              <w:pStyle w:val="150"/>
            </w:pPr>
            <w:r>
              <w:rPr>
                <w:rFonts w:hint="eastAsia"/>
              </w:rPr>
              <w:t>名称</w:t>
            </w:r>
          </w:p>
        </w:tc>
        <w:tc>
          <w:tcPr>
            <w:tcW w:w="6824" w:type="dxa"/>
            <w:shd w:val="clear" w:color="auto" w:fill="auto"/>
          </w:tcPr>
          <w:p w14:paraId="14D814DD">
            <w:pPr>
              <w:pStyle w:val="150"/>
            </w:pPr>
            <w:r>
              <w:rPr>
                <w:rFonts w:hint="eastAsia"/>
              </w:rPr>
              <w:t>为新建服务组设置名称。</w:t>
            </w:r>
          </w:p>
        </w:tc>
      </w:tr>
      <w:tr w14:paraId="54212A9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293" w:type="dxa"/>
            <w:shd w:val="clear" w:color="auto" w:fill="auto"/>
          </w:tcPr>
          <w:p w14:paraId="1A96909D">
            <w:pPr>
              <w:pStyle w:val="150"/>
            </w:pPr>
            <w:r>
              <w:rPr>
                <w:rFonts w:hint="eastAsia"/>
              </w:rPr>
              <w:t>描述</w:t>
            </w:r>
          </w:p>
        </w:tc>
        <w:tc>
          <w:tcPr>
            <w:tcW w:w="6824" w:type="dxa"/>
            <w:shd w:val="clear" w:color="auto" w:fill="auto"/>
          </w:tcPr>
          <w:p w14:paraId="1D36A33D">
            <w:pPr>
              <w:pStyle w:val="150"/>
            </w:pPr>
            <w:r>
              <w:rPr>
                <w:rFonts w:hint="eastAsia"/>
              </w:rPr>
              <w:t>对新建服务组做描述（可选）。</w:t>
            </w:r>
          </w:p>
        </w:tc>
      </w:tr>
      <w:tr w14:paraId="50CBB86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293" w:type="dxa"/>
            <w:shd w:val="clear" w:color="auto" w:fill="auto"/>
          </w:tcPr>
          <w:p w14:paraId="176B84A7">
            <w:pPr>
              <w:pStyle w:val="150"/>
            </w:pPr>
            <w:r>
              <w:rPr>
                <w:rFonts w:hint="eastAsia"/>
              </w:rPr>
              <w:t>服务子项目</w:t>
            </w:r>
          </w:p>
        </w:tc>
        <w:tc>
          <w:tcPr>
            <w:tcW w:w="6824" w:type="dxa"/>
            <w:shd w:val="clear" w:color="auto" w:fill="auto"/>
          </w:tcPr>
          <w:p w14:paraId="12CCAB13">
            <w:pPr>
              <w:pStyle w:val="150"/>
            </w:pPr>
            <w:r>
              <w:rPr>
                <w:rFonts w:hint="eastAsia"/>
              </w:rPr>
              <w:t>预定义服务、自定义服务或服务组可被添加到服务组中。</w:t>
            </w:r>
          </w:p>
        </w:tc>
      </w:tr>
    </w:tbl>
    <w:p w14:paraId="326EA369"/>
    <w:p w14:paraId="597FB202">
      <w:r>
        <w:rPr>
          <w:rFonts w:hint="eastAsia"/>
        </w:rPr>
        <w:t>点击&lt;导入&gt;或&lt;导出&gt;可以批量导入或导出服务组对象，详细操作请参考</w:t>
      </w:r>
      <w:r>
        <w:fldChar w:fldCharType="begin"/>
      </w:r>
      <w:r>
        <w:instrText xml:space="preserve"> </w:instrText>
      </w:r>
      <w:r>
        <w:rPr>
          <w:rFonts w:hint="eastAsia"/>
        </w:rPr>
        <w:instrText xml:space="preserve">REF _Ref120131464 \h</w:instrText>
      </w:r>
      <w:r>
        <w:instrText xml:space="preserve"> </w:instrText>
      </w:r>
      <w:r>
        <w:fldChar w:fldCharType="separate"/>
      </w:r>
      <w:r>
        <w:rPr>
          <w:rFonts w:hint="eastAsia"/>
        </w:rPr>
        <w:t>导入或导出地址</w:t>
      </w:r>
      <w:r>
        <w:t>对象</w:t>
      </w:r>
      <w:r>
        <w:fldChar w:fldCharType="end"/>
      </w:r>
      <w:r>
        <w:rPr>
          <w:rFonts w:hint="eastAsia"/>
        </w:rPr>
        <w:t>。</w:t>
      </w:r>
    </w:p>
    <w:p w14:paraId="12DCDFC7">
      <w:pPr>
        <w:pStyle w:val="5"/>
      </w:pPr>
      <w:bookmarkStart w:id="6393" w:name="_Toc389059212"/>
      <w:bookmarkStart w:id="6394" w:name="_Toc141873589"/>
      <w:bookmarkStart w:id="6395" w:name="_Toc172218364"/>
      <w:bookmarkStart w:id="6396" w:name="_Toc40276296"/>
      <w:bookmarkStart w:id="6397" w:name="_Toc15485106"/>
      <w:bookmarkStart w:id="6398" w:name="_Toc474250032"/>
      <w:bookmarkStart w:id="6399" w:name="_Toc23152870"/>
      <w:bookmarkStart w:id="6400" w:name="_Toc6234876"/>
      <w:bookmarkStart w:id="6401" w:name="_Toc142401106"/>
      <w:bookmarkStart w:id="6402" w:name="_Toc194081066"/>
      <w:bookmarkStart w:id="6403" w:name="_Toc196728398"/>
      <w:bookmarkStart w:id="6404" w:name="_Toc99561681"/>
      <w:bookmarkStart w:id="6405" w:name="_Toc388265408"/>
      <w:r>
        <w:rPr>
          <w:rFonts w:hint="eastAsia"/>
        </w:rPr>
        <w:t>非标准端口配置</w:t>
      </w:r>
      <w:bookmarkEnd w:id="6393"/>
      <w:bookmarkEnd w:id="6394"/>
      <w:bookmarkEnd w:id="6395"/>
      <w:bookmarkEnd w:id="6396"/>
      <w:bookmarkEnd w:id="6397"/>
      <w:bookmarkEnd w:id="6398"/>
      <w:bookmarkEnd w:id="6399"/>
      <w:bookmarkEnd w:id="6400"/>
      <w:bookmarkEnd w:id="6401"/>
      <w:bookmarkEnd w:id="6402"/>
      <w:bookmarkEnd w:id="6403"/>
      <w:bookmarkEnd w:id="6404"/>
    </w:p>
    <w:p w14:paraId="3E81A218">
      <w:r>
        <w:rPr>
          <w:rFonts w:hint="eastAsia"/>
        </w:rPr>
        <w:t>在导航栏中选择“策略配置 &gt; 对象管理 &gt; 服务对象”，点击“非标准端口配置”标签页，进入非标准端口配置的页面，如</w:t>
      </w:r>
      <w:r>
        <w:rPr>
          <w:color w:val="0000FF"/>
          <w:u w:val="single"/>
        </w:rPr>
        <w:fldChar w:fldCharType="begin"/>
      </w:r>
      <w:r>
        <w:rPr>
          <w:color w:val="0000FF"/>
          <w:u w:val="single"/>
        </w:rPr>
        <w:instrText xml:space="preserve"> REF _Ref393273538 \r \h </w:instrText>
      </w:r>
      <w:r>
        <w:rPr>
          <w:color w:val="0000FF"/>
          <w:u w:val="single"/>
        </w:rPr>
        <w:fldChar w:fldCharType="separate"/>
      </w:r>
      <w:r>
        <w:rPr>
          <w:rFonts w:hint="eastAsia"/>
          <w:color w:val="0000FF"/>
          <w:u w:val="single"/>
        </w:rPr>
        <w:t>图28-31</w:t>
      </w:r>
      <w:r>
        <w:rPr>
          <w:color w:val="0000FF"/>
          <w:u w:val="single"/>
        </w:rPr>
        <w:fldChar w:fldCharType="end"/>
      </w:r>
      <w:r>
        <w:rPr>
          <w:rFonts w:hint="eastAsia"/>
        </w:rPr>
        <w:t>所示。</w:t>
      </w:r>
    </w:p>
    <w:p w14:paraId="0E345388">
      <w:pPr>
        <w:pStyle w:val="188"/>
      </w:pPr>
      <w:bookmarkStart w:id="6406" w:name="_Ref393273538"/>
      <w:bookmarkStart w:id="6407" w:name="_Toc141874959"/>
      <w:r>
        <w:rPr>
          <w:rFonts w:hint="eastAsia"/>
        </w:rPr>
        <w:t>非标准端口配置</w:t>
      </w:r>
      <w:bookmarkEnd w:id="6406"/>
      <w:r>
        <w:rPr>
          <w:rFonts w:hint="eastAsia"/>
        </w:rPr>
        <w:t>界面</w:t>
      </w:r>
      <w:bookmarkEnd w:id="6407"/>
    </w:p>
    <w:p w14:paraId="08752F99">
      <w:pPr>
        <w:spacing w:before="78" w:after="78"/>
      </w:pPr>
      <w:r>
        <w:drawing>
          <wp:inline distT="0" distB="0" distL="0" distR="0">
            <wp:extent cx="3609975" cy="3495675"/>
            <wp:effectExtent l="0" t="0" r="0" b="0"/>
            <wp:docPr id="709" name="图片 2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图片 2709"/>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a:xfrm>
                      <a:off x="0" y="0"/>
                      <a:ext cx="3609975" cy="3495675"/>
                    </a:xfrm>
                    <a:prstGeom prst="rect">
                      <a:avLst/>
                    </a:prstGeom>
                    <a:noFill/>
                    <a:ln>
                      <a:noFill/>
                    </a:ln>
                  </pic:spPr>
                </pic:pic>
              </a:graphicData>
            </a:graphic>
          </wp:inline>
        </w:drawing>
      </w:r>
    </w:p>
    <w:p w14:paraId="12AFB3FC"/>
    <w:p w14:paraId="7998953F">
      <w:r>
        <w:rPr>
          <w:rFonts w:hint="eastAsia"/>
        </w:rPr>
        <w:t>非标准端口的详细配置如</w:t>
      </w:r>
      <w:r>
        <w:fldChar w:fldCharType="begin"/>
      </w:r>
      <w:r>
        <w:instrText xml:space="preserve"> REF _Ref393374755 \r \h </w:instrText>
      </w:r>
      <w:r>
        <w:fldChar w:fldCharType="separate"/>
      </w:r>
      <w:r>
        <w:rPr>
          <w:rFonts w:hint="eastAsia"/>
        </w:rPr>
        <w:t>表28-1</w:t>
      </w:r>
      <w:r>
        <w:fldChar w:fldCharType="end"/>
      </w:r>
      <w:r>
        <w:rPr>
          <w:rFonts w:hint="eastAsia"/>
        </w:rPr>
        <w:t>所示：</w:t>
      </w:r>
    </w:p>
    <w:p w14:paraId="6DA295C2">
      <w:pPr>
        <w:pStyle w:val="183"/>
      </w:pPr>
      <w:bookmarkStart w:id="6408" w:name="_Toc141875627"/>
      <w:bookmarkStart w:id="6409" w:name="_Ref393374755"/>
      <w:r>
        <w:rPr>
          <w:rFonts w:hint="eastAsia"/>
        </w:rPr>
        <w:t>非标准端口详细配置表</w:t>
      </w:r>
      <w:bookmarkEnd w:id="6408"/>
      <w:bookmarkEnd w:id="6409"/>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264"/>
        <w:gridCol w:w="6704"/>
      </w:tblGrid>
      <w:tr w14:paraId="1B0F47D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295" w:type="dxa"/>
            <w:tcBorders>
              <w:tl2br w:val="nil"/>
              <w:tr2bl w:val="nil"/>
            </w:tcBorders>
            <w:shd w:val="clear" w:color="auto" w:fill="538135" w:themeFill="accent6" w:themeFillShade="BF"/>
            <w:vAlign w:val="center"/>
          </w:tcPr>
          <w:p w14:paraId="115827B2">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6822" w:type="dxa"/>
            <w:tcBorders>
              <w:tl2br w:val="nil"/>
              <w:tr2bl w:val="nil"/>
            </w:tcBorders>
            <w:shd w:val="clear" w:color="auto" w:fill="538135" w:themeFill="accent6" w:themeFillShade="BF"/>
            <w:vAlign w:val="center"/>
          </w:tcPr>
          <w:p w14:paraId="7DF780A5">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37F6F3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295" w:type="dxa"/>
            <w:shd w:val="clear" w:color="auto" w:fill="auto"/>
          </w:tcPr>
          <w:p w14:paraId="34447799">
            <w:pPr>
              <w:pStyle w:val="150"/>
            </w:pPr>
            <w:r>
              <w:rPr>
                <w:rFonts w:hint="eastAsia"/>
              </w:rPr>
              <w:t xml:space="preserve">FTP非标准端口配置 </w:t>
            </w:r>
          </w:p>
        </w:tc>
        <w:tc>
          <w:tcPr>
            <w:tcW w:w="6822" w:type="dxa"/>
            <w:shd w:val="clear" w:color="auto" w:fill="auto"/>
          </w:tcPr>
          <w:p w14:paraId="41ACF6A8">
            <w:pPr>
              <w:pStyle w:val="150"/>
            </w:pPr>
            <w:r>
              <w:rPr>
                <w:rFonts w:hint="eastAsia"/>
              </w:rPr>
              <w:t>自定义端口列表，最多配置7个，多个端口之间用“,”分开。</w:t>
            </w:r>
          </w:p>
        </w:tc>
      </w:tr>
      <w:tr w14:paraId="6D68A80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295" w:type="dxa"/>
            <w:shd w:val="clear" w:color="auto" w:fill="auto"/>
          </w:tcPr>
          <w:p w14:paraId="6ADA3ED6">
            <w:pPr>
              <w:pStyle w:val="150"/>
            </w:pPr>
            <w:r>
              <w:rPr>
                <w:rFonts w:hint="eastAsia"/>
              </w:rPr>
              <w:t>TFTP非标准端口配置</w:t>
            </w:r>
          </w:p>
        </w:tc>
        <w:tc>
          <w:tcPr>
            <w:tcW w:w="6822" w:type="dxa"/>
            <w:shd w:val="clear" w:color="auto" w:fill="auto"/>
          </w:tcPr>
          <w:p w14:paraId="51A977E0">
            <w:pPr>
              <w:pStyle w:val="150"/>
            </w:pPr>
            <w:r>
              <w:rPr>
                <w:rFonts w:hint="eastAsia"/>
              </w:rPr>
              <w:t>添加TFTP自定义端口列表，最多配置7个，多个端口之间用“,”分开。</w:t>
            </w:r>
          </w:p>
        </w:tc>
      </w:tr>
      <w:tr w14:paraId="1D95B7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295" w:type="dxa"/>
            <w:shd w:val="clear" w:color="auto" w:fill="auto"/>
          </w:tcPr>
          <w:p w14:paraId="63025A8C">
            <w:pPr>
              <w:pStyle w:val="150"/>
            </w:pPr>
            <w:r>
              <w:t>SIP非标准端口配置</w:t>
            </w:r>
          </w:p>
        </w:tc>
        <w:tc>
          <w:tcPr>
            <w:tcW w:w="6822" w:type="dxa"/>
            <w:shd w:val="clear" w:color="auto" w:fill="auto"/>
          </w:tcPr>
          <w:p w14:paraId="6C589695">
            <w:pPr>
              <w:pStyle w:val="150"/>
            </w:pPr>
            <w:r>
              <w:rPr>
                <w:rFonts w:hint="eastAsia"/>
              </w:rPr>
              <w:t>添加SIP自定义端口列表，最多配置7个，多个端口之间用“,”分开。</w:t>
            </w:r>
          </w:p>
        </w:tc>
      </w:tr>
      <w:bookmarkEnd w:id="6405"/>
    </w:tbl>
    <w:p w14:paraId="13A52764">
      <w:bookmarkStart w:id="6410" w:name="_Toc474250033"/>
    </w:p>
    <w:bookmarkEnd w:id="6410"/>
    <w:p w14:paraId="41E4DFD3">
      <w:pPr>
        <w:pStyle w:val="4"/>
      </w:pPr>
      <w:bookmarkStart w:id="6411" w:name="_Toc15485107"/>
      <w:bookmarkStart w:id="6412" w:name="_Toc40276297"/>
      <w:bookmarkStart w:id="6413" w:name="_Toc6234877"/>
      <w:bookmarkStart w:id="6414" w:name="_Toc23152871"/>
      <w:bookmarkStart w:id="6415" w:name="_Toc141873590"/>
      <w:bookmarkStart w:id="6416" w:name="_Toc99561682"/>
      <w:bookmarkStart w:id="6417" w:name="_Toc142401107"/>
      <w:bookmarkStart w:id="6418" w:name="_Toc196728399"/>
      <w:bookmarkStart w:id="6419" w:name="_Toc172218365"/>
      <w:bookmarkStart w:id="6420" w:name="_Toc194081067"/>
      <w:r>
        <w:rPr>
          <w:rFonts w:hint="eastAsia"/>
        </w:rPr>
        <w:t>时间对象</w:t>
      </w:r>
      <w:bookmarkEnd w:id="6411"/>
      <w:bookmarkEnd w:id="6412"/>
      <w:bookmarkEnd w:id="6413"/>
      <w:bookmarkEnd w:id="6414"/>
      <w:bookmarkEnd w:id="6415"/>
      <w:bookmarkEnd w:id="6416"/>
      <w:bookmarkEnd w:id="6417"/>
      <w:bookmarkEnd w:id="6418"/>
      <w:bookmarkEnd w:id="6419"/>
      <w:bookmarkEnd w:id="6420"/>
    </w:p>
    <w:p w14:paraId="046B79D9">
      <w:pPr>
        <w:pStyle w:val="5"/>
      </w:pPr>
      <w:bookmarkStart w:id="6421" w:name="_Toc6234878"/>
      <w:bookmarkStart w:id="6422" w:name="_Toc172218366"/>
      <w:bookmarkStart w:id="6423" w:name="_Toc194081068"/>
      <w:bookmarkStart w:id="6424" w:name="_Toc40276298"/>
      <w:bookmarkStart w:id="6425" w:name="_Toc141873591"/>
      <w:bookmarkStart w:id="6426" w:name="_Toc196728400"/>
      <w:bookmarkStart w:id="6427" w:name="_Toc15485108"/>
      <w:bookmarkStart w:id="6428" w:name="_Toc23152872"/>
      <w:bookmarkStart w:id="6429" w:name="_Toc99561683"/>
      <w:bookmarkStart w:id="6430" w:name="_Toc474250034"/>
      <w:bookmarkStart w:id="6431" w:name="_Toc142401108"/>
      <w:r>
        <w:t>概述</w:t>
      </w:r>
      <w:bookmarkEnd w:id="6421"/>
      <w:bookmarkEnd w:id="6422"/>
      <w:bookmarkEnd w:id="6423"/>
      <w:bookmarkEnd w:id="6424"/>
      <w:bookmarkEnd w:id="6425"/>
      <w:bookmarkEnd w:id="6426"/>
      <w:bookmarkEnd w:id="6427"/>
      <w:bookmarkEnd w:id="6428"/>
      <w:bookmarkEnd w:id="6429"/>
      <w:bookmarkEnd w:id="6430"/>
      <w:bookmarkEnd w:id="6431"/>
    </w:p>
    <w:p w14:paraId="2A2E254B">
      <w:r>
        <w:rPr>
          <w:rFonts w:hint="eastAsia"/>
        </w:rPr>
        <w:t>为了方便用户配置和管理，设备中引入了计划任务的概念，计划任务分为周期计划和单次计划。在其它功能的配置中，可以引用计划任务来定义配置生效的条件。</w:t>
      </w:r>
    </w:p>
    <w:p w14:paraId="47596F35">
      <w:r>
        <w:rPr>
          <w:rFonts w:hint="eastAsia"/>
        </w:rPr>
        <w:t>周期时间：包含日计划和周计划，配置服务在指定的周期执行。周期时间中可以定义有效时间范围和有效时间段。有效时间范围只能有一个，而有效时间段可以有多个。有效时间段之间是或的关系，满足其中一个即可；有效时间范围和有效时间段之间是与的关系，都满足才生效。</w:t>
      </w:r>
    </w:p>
    <w:p w14:paraId="4D0C309A">
      <w:r>
        <w:rPr>
          <w:rFonts w:hint="eastAsia"/>
        </w:rPr>
        <w:t>单次计划：配置服务在指定的单次时间内生效。</w:t>
      </w:r>
    </w:p>
    <w:p w14:paraId="67B15072">
      <w:pPr>
        <w:pStyle w:val="5"/>
      </w:pPr>
      <w:bookmarkStart w:id="6432" w:name="_Toc23152873"/>
      <w:bookmarkStart w:id="6433" w:name="_Toc474250035"/>
      <w:bookmarkStart w:id="6434" w:name="_Toc15485109"/>
      <w:bookmarkStart w:id="6435" w:name="_Toc6234879"/>
      <w:bookmarkStart w:id="6436" w:name="_Toc388265423"/>
      <w:bookmarkStart w:id="6437" w:name="_Toc389059223"/>
      <w:bookmarkStart w:id="6438" w:name="_Toc389749951"/>
      <w:bookmarkStart w:id="6439" w:name="_Toc40276299"/>
      <w:bookmarkStart w:id="6440" w:name="_Toc99561684"/>
      <w:bookmarkStart w:id="6441" w:name="_Toc141873592"/>
      <w:bookmarkStart w:id="6442" w:name="_Toc196728401"/>
      <w:bookmarkStart w:id="6443" w:name="_Toc172218367"/>
      <w:bookmarkStart w:id="6444" w:name="_Toc194081069"/>
      <w:bookmarkStart w:id="6445" w:name="_Toc142401109"/>
      <w:r>
        <w:rPr>
          <w:rFonts w:hint="eastAsia"/>
        </w:rPr>
        <w:t>配置日计划</w:t>
      </w:r>
      <w:bookmarkEnd w:id="6432"/>
      <w:bookmarkEnd w:id="6433"/>
      <w:bookmarkEnd w:id="6434"/>
      <w:bookmarkEnd w:id="6435"/>
      <w:bookmarkEnd w:id="6436"/>
      <w:bookmarkEnd w:id="6437"/>
      <w:bookmarkEnd w:id="6438"/>
      <w:bookmarkEnd w:id="6439"/>
      <w:bookmarkEnd w:id="6440"/>
      <w:bookmarkEnd w:id="6441"/>
      <w:bookmarkEnd w:id="6442"/>
      <w:bookmarkEnd w:id="6443"/>
      <w:bookmarkEnd w:id="6444"/>
      <w:bookmarkEnd w:id="6445"/>
    </w:p>
    <w:p w14:paraId="186810B7">
      <w:r>
        <w:rPr>
          <w:rFonts w:hint="eastAsia"/>
        </w:rPr>
        <w:t>通过菜单“策略配置 &gt; 对象管理 &gt;</w:t>
      </w:r>
      <w:r>
        <w:t xml:space="preserve"> </w:t>
      </w:r>
      <w:r>
        <w:rPr>
          <w:rFonts w:hint="eastAsia"/>
        </w:rPr>
        <w:t>时间对象</w:t>
      </w:r>
      <w:r>
        <w:t xml:space="preserve"> &gt; </w:t>
      </w:r>
      <w:r>
        <w:rPr>
          <w:rFonts w:hint="eastAsia"/>
        </w:rPr>
        <w:t>日计划”，进入如</w:t>
      </w:r>
      <w:r>
        <w:rPr>
          <w:color w:val="0000FF"/>
          <w:u w:val="single"/>
        </w:rPr>
        <w:fldChar w:fldCharType="begin"/>
      </w:r>
      <w:r>
        <w:rPr>
          <w:color w:val="0000FF"/>
          <w:u w:val="single"/>
        </w:rPr>
        <w:instrText xml:space="preserve"> REF _Ref393362033 \r \h </w:instrText>
      </w:r>
      <w:r>
        <w:rPr>
          <w:color w:val="0000FF"/>
          <w:u w:val="single"/>
        </w:rPr>
        <w:fldChar w:fldCharType="separate"/>
      </w:r>
      <w:r>
        <w:rPr>
          <w:rFonts w:hint="eastAsia"/>
          <w:color w:val="0000FF"/>
          <w:u w:val="single"/>
        </w:rPr>
        <w:t>图28-32</w:t>
      </w:r>
      <w:r>
        <w:rPr>
          <w:color w:val="0000FF"/>
          <w:u w:val="single"/>
        </w:rPr>
        <w:fldChar w:fldCharType="end"/>
      </w:r>
      <w:r>
        <w:rPr>
          <w:rFonts w:hint="eastAsia"/>
        </w:rPr>
        <w:t>所示页面。在该页面上可以新建、编辑、删除、浏览配置的日周期计划。</w:t>
      </w:r>
    </w:p>
    <w:p w14:paraId="6B55F426">
      <w:pPr>
        <w:pStyle w:val="188"/>
      </w:pPr>
      <w:bookmarkStart w:id="6446" w:name="_Toc141874960"/>
      <w:bookmarkStart w:id="6447" w:name="_Ref393362033"/>
      <w:r>
        <w:t>日计划页面</w:t>
      </w:r>
      <w:bookmarkEnd w:id="6446"/>
      <w:bookmarkEnd w:id="6447"/>
    </w:p>
    <w:p w14:paraId="5B84546F">
      <w:pPr>
        <w:spacing w:before="78" w:after="78"/>
      </w:pPr>
      <w:r>
        <w:drawing>
          <wp:inline distT="0" distB="0" distL="0" distR="0">
            <wp:extent cx="5247005" cy="1379220"/>
            <wp:effectExtent l="0" t="0" r="0" b="0"/>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524"/>
                    <pic:cNvPicPr>
                      <a:picLocks noChangeAspect="1"/>
                    </pic:cNvPicPr>
                  </pic:nvPicPr>
                  <pic:blipFill>
                    <a:blip r:embed="rId795"/>
                    <a:srcRect l="1431"/>
                    <a:stretch>
                      <a:fillRect/>
                    </a:stretch>
                  </pic:blipFill>
                  <pic:spPr>
                    <a:xfrm>
                      <a:off x="0" y="0"/>
                      <a:ext cx="5263878" cy="1383563"/>
                    </a:xfrm>
                    <a:prstGeom prst="rect">
                      <a:avLst/>
                    </a:prstGeom>
                    <a:ln>
                      <a:noFill/>
                    </a:ln>
                  </pic:spPr>
                </pic:pic>
              </a:graphicData>
            </a:graphic>
          </wp:inline>
        </w:drawing>
      </w:r>
    </w:p>
    <w:p w14:paraId="7EA7FF43"/>
    <w:p w14:paraId="0DF89E7C">
      <w:r>
        <w:rPr>
          <w:rFonts w:hint="eastAsia"/>
        </w:rPr>
        <w:t>点击</w:t>
      </w:r>
      <w:r>
        <w:t>&lt;</w:t>
      </w:r>
      <w:r>
        <w:rPr>
          <w:rFonts w:hint="eastAsia"/>
        </w:rPr>
        <w:t>新建</w:t>
      </w:r>
      <w:r>
        <w:t>&gt;</w:t>
      </w:r>
      <w:r>
        <w:rPr>
          <w:rFonts w:hint="eastAsia"/>
        </w:rPr>
        <w:t>按钮，进入如</w:t>
      </w:r>
      <w:r>
        <w:fldChar w:fldCharType="begin"/>
      </w:r>
      <w:r>
        <w:instrText xml:space="preserve"> REF _Ref393362040 \r \h </w:instrText>
      </w:r>
      <w:r>
        <w:fldChar w:fldCharType="separate"/>
      </w:r>
      <w:r>
        <w:rPr>
          <w:rFonts w:hint="eastAsia"/>
        </w:rPr>
        <w:t>图28-33</w:t>
      </w:r>
      <w:r>
        <w:fldChar w:fldCharType="end"/>
      </w:r>
      <w:r>
        <w:rPr>
          <w:rFonts w:hint="eastAsia"/>
        </w:rPr>
        <w:t>所示的新建页面，各个配置项的含义如</w:t>
      </w:r>
      <w:r>
        <w:fldChar w:fldCharType="begin"/>
      </w:r>
      <w:r>
        <w:instrText xml:space="preserve"> REF _Ref393362049 \r \h </w:instrText>
      </w:r>
      <w:r>
        <w:fldChar w:fldCharType="separate"/>
      </w:r>
      <w:r>
        <w:rPr>
          <w:rFonts w:hint="eastAsia"/>
        </w:rPr>
        <w:t>表28-1</w:t>
      </w:r>
      <w:r>
        <w:fldChar w:fldCharType="end"/>
      </w:r>
      <w:r>
        <w:rPr>
          <w:rFonts w:hint="eastAsia"/>
        </w:rPr>
        <w:t>所示。</w:t>
      </w:r>
    </w:p>
    <w:p w14:paraId="15E4B951">
      <w:pPr>
        <w:pStyle w:val="188"/>
      </w:pPr>
      <w:bookmarkStart w:id="6448" w:name="_Toc141874961"/>
      <w:bookmarkStart w:id="6449" w:name="_Ref393362040"/>
      <w:r>
        <w:t>添加日计划</w:t>
      </w:r>
      <w:bookmarkEnd w:id="6448"/>
      <w:bookmarkEnd w:id="6449"/>
    </w:p>
    <w:p w14:paraId="02A609BC">
      <w:pPr>
        <w:spacing w:before="78" w:after="78"/>
      </w:pPr>
      <w:r>
        <w:drawing>
          <wp:inline distT="0" distB="0" distL="114300" distR="114300">
            <wp:extent cx="5128260" cy="3840480"/>
            <wp:effectExtent l="0" t="0" r="7620" b="0"/>
            <wp:docPr id="2730"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0" name="图片 63"/>
                    <pic:cNvPicPr>
                      <a:picLocks noChangeAspect="1"/>
                    </pic:cNvPicPr>
                  </pic:nvPicPr>
                  <pic:blipFill>
                    <a:blip r:embed="rId796"/>
                    <a:stretch>
                      <a:fillRect/>
                    </a:stretch>
                  </pic:blipFill>
                  <pic:spPr>
                    <a:xfrm>
                      <a:off x="0" y="0"/>
                      <a:ext cx="5128260" cy="3840480"/>
                    </a:xfrm>
                    <a:prstGeom prst="rect">
                      <a:avLst/>
                    </a:prstGeom>
                    <a:noFill/>
                    <a:ln>
                      <a:noFill/>
                    </a:ln>
                  </pic:spPr>
                </pic:pic>
              </a:graphicData>
            </a:graphic>
          </wp:inline>
        </w:drawing>
      </w:r>
    </w:p>
    <w:p w14:paraId="36D01257"/>
    <w:p w14:paraId="675C716A">
      <w:pPr>
        <w:pStyle w:val="183"/>
      </w:pPr>
      <w:bookmarkStart w:id="6450" w:name="_Ref393362049"/>
      <w:bookmarkStart w:id="6451" w:name="_Toc141875628"/>
      <w:r>
        <w:t>日计划各个配置项含义描述表</w:t>
      </w:r>
      <w:bookmarkEnd w:id="6450"/>
      <w:bookmarkEnd w:id="6451"/>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3"/>
        <w:gridCol w:w="6635"/>
      </w:tblGrid>
      <w:tr w14:paraId="0AB0060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tcBorders>
              <w:tl2br w:val="nil"/>
              <w:tr2bl w:val="nil"/>
            </w:tcBorders>
            <w:shd w:val="clear" w:color="auto" w:fill="538135" w:themeFill="accent6" w:themeFillShade="BF"/>
            <w:vAlign w:val="center"/>
          </w:tcPr>
          <w:p w14:paraId="6077F03C">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84" w:type="dxa"/>
            <w:tcBorders>
              <w:tl2br w:val="nil"/>
              <w:tr2bl w:val="nil"/>
            </w:tcBorders>
            <w:shd w:val="clear" w:color="auto" w:fill="538135" w:themeFill="accent6" w:themeFillShade="BF"/>
            <w:vAlign w:val="center"/>
          </w:tcPr>
          <w:p w14:paraId="744809E2">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EEE5CD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1DE34B94">
            <w:pPr>
              <w:pStyle w:val="150"/>
            </w:pPr>
            <w:r>
              <w:t>名称</w:t>
            </w:r>
          </w:p>
        </w:tc>
        <w:tc>
          <w:tcPr>
            <w:tcW w:w="6684" w:type="dxa"/>
            <w:shd w:val="clear" w:color="auto" w:fill="auto"/>
          </w:tcPr>
          <w:p w14:paraId="33D71FDE">
            <w:pPr>
              <w:pStyle w:val="150"/>
            </w:pPr>
            <w:r>
              <w:t>新建日计划的名称。</w:t>
            </w:r>
          </w:p>
        </w:tc>
      </w:tr>
      <w:tr w14:paraId="568A5E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796C9219">
            <w:pPr>
              <w:pStyle w:val="150"/>
            </w:pPr>
            <w:r>
              <w:t>描述</w:t>
            </w:r>
          </w:p>
        </w:tc>
        <w:tc>
          <w:tcPr>
            <w:tcW w:w="6684" w:type="dxa"/>
            <w:shd w:val="clear" w:color="auto" w:fill="auto"/>
          </w:tcPr>
          <w:p w14:paraId="552DBBCC">
            <w:pPr>
              <w:pStyle w:val="150"/>
            </w:pPr>
            <w:r>
              <w:t>新建日计划的简单描述。</w:t>
            </w:r>
          </w:p>
        </w:tc>
      </w:tr>
      <w:tr w14:paraId="1686E41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1559E7BF">
            <w:pPr>
              <w:pStyle w:val="150"/>
            </w:pPr>
            <w:r>
              <w:t>开始时间</w:t>
            </w:r>
          </w:p>
        </w:tc>
        <w:tc>
          <w:tcPr>
            <w:tcW w:w="6684" w:type="dxa"/>
            <w:shd w:val="clear" w:color="auto" w:fill="auto"/>
          </w:tcPr>
          <w:p w14:paraId="351C376B">
            <w:pPr>
              <w:pStyle w:val="150"/>
            </w:pPr>
            <w:r>
              <w:t>日计划的起始时间</w:t>
            </w:r>
            <w:r>
              <w:rPr>
                <w:rFonts w:hint="eastAsia"/>
              </w:rPr>
              <w:t>，</w:t>
            </w:r>
            <w:r>
              <w:t>格式为</w:t>
            </w:r>
            <w:r>
              <w:rPr>
                <w:rFonts w:hint="eastAsia"/>
              </w:rPr>
              <w:t>：</w:t>
            </w:r>
            <w:r>
              <w:t>小时</w:t>
            </w:r>
            <w:r>
              <w:rPr>
                <w:rFonts w:hint="eastAsia"/>
              </w:rPr>
              <w:t>:分钟。</w:t>
            </w:r>
          </w:p>
        </w:tc>
      </w:tr>
      <w:tr w14:paraId="015E61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4FE8B5CC">
            <w:pPr>
              <w:pStyle w:val="150"/>
            </w:pPr>
            <w:r>
              <w:t>结束时间</w:t>
            </w:r>
          </w:p>
        </w:tc>
        <w:tc>
          <w:tcPr>
            <w:tcW w:w="6684" w:type="dxa"/>
            <w:shd w:val="clear" w:color="auto" w:fill="auto"/>
          </w:tcPr>
          <w:p w14:paraId="2D93277B">
            <w:pPr>
              <w:pStyle w:val="150"/>
            </w:pPr>
            <w:r>
              <w:t>日计划的终止时间</w:t>
            </w:r>
            <w:r>
              <w:rPr>
                <w:rFonts w:hint="eastAsia"/>
              </w:rPr>
              <w:t>，</w:t>
            </w:r>
            <w:r>
              <w:t>格式为</w:t>
            </w:r>
            <w:r>
              <w:rPr>
                <w:rFonts w:hint="eastAsia"/>
              </w:rPr>
              <w:t>：</w:t>
            </w:r>
            <w:r>
              <w:t>小时</w:t>
            </w:r>
            <w:r>
              <w:rPr>
                <w:rFonts w:hint="eastAsia"/>
              </w:rPr>
              <w:t>:分钟。</w:t>
            </w:r>
          </w:p>
        </w:tc>
      </w:tr>
      <w:tr w14:paraId="089467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1CCB0CA7">
            <w:pPr>
              <w:pStyle w:val="150"/>
            </w:pPr>
            <w:r>
              <w:t>已添加项目</w:t>
            </w:r>
          </w:p>
        </w:tc>
        <w:tc>
          <w:tcPr>
            <w:tcW w:w="6684" w:type="dxa"/>
            <w:shd w:val="clear" w:color="auto" w:fill="auto"/>
          </w:tcPr>
          <w:p w14:paraId="34B1158C">
            <w:pPr>
              <w:pStyle w:val="150"/>
            </w:pPr>
            <w:r>
              <w:rPr>
                <w:rFonts w:hint="eastAsia"/>
              </w:rPr>
              <w:t>已经添加的开始时间、结束时间。</w:t>
            </w:r>
          </w:p>
        </w:tc>
      </w:tr>
    </w:tbl>
    <w:p w14:paraId="40592DF3"/>
    <w:p w14:paraId="38448EEB">
      <w:r>
        <w:rPr>
          <w:rFonts w:hint="eastAsia"/>
        </w:rPr>
        <w:t>点击</w:t>
      </w:r>
      <w:r>
        <w:t>&lt;</w:t>
      </w:r>
      <w:r>
        <w:rPr>
          <w:rFonts w:hint="eastAsia"/>
        </w:rPr>
        <w:t>添加到列表</w:t>
      </w:r>
      <w:r>
        <w:t>&gt;</w:t>
      </w:r>
      <w:r>
        <w:rPr>
          <w:rFonts w:hint="eastAsia"/>
        </w:rPr>
        <w:t>按钮，将当前的设置添加至日计划。一个日计划，可以添加多个时间计划项目。如</w:t>
      </w:r>
      <w:r>
        <w:rPr>
          <w:color w:val="0000FF"/>
          <w:u w:val="single"/>
        </w:rPr>
        <w:fldChar w:fldCharType="begin"/>
      </w:r>
      <w:r>
        <w:rPr>
          <w:color w:val="0000FF"/>
          <w:u w:val="single"/>
        </w:rPr>
        <w:instrText xml:space="preserve"> REF _Ref393362083 \r \h </w:instrText>
      </w:r>
      <w:r>
        <w:rPr>
          <w:color w:val="0000FF"/>
          <w:u w:val="single"/>
        </w:rPr>
        <w:fldChar w:fldCharType="separate"/>
      </w:r>
      <w:r>
        <w:rPr>
          <w:rFonts w:hint="eastAsia"/>
          <w:color w:val="0000FF"/>
          <w:u w:val="single"/>
        </w:rPr>
        <w:t>图28-34</w:t>
      </w:r>
      <w:r>
        <w:rPr>
          <w:color w:val="0000FF"/>
          <w:u w:val="single"/>
        </w:rPr>
        <w:fldChar w:fldCharType="end"/>
      </w:r>
      <w:r>
        <w:rPr>
          <w:rFonts w:hint="eastAsia"/>
        </w:rPr>
        <w:t>所示。</w:t>
      </w:r>
    </w:p>
    <w:p w14:paraId="392BA20A">
      <w:pPr>
        <w:pStyle w:val="188"/>
      </w:pPr>
      <w:bookmarkStart w:id="6452" w:name="_Ref393362083"/>
      <w:bookmarkStart w:id="6453" w:name="_Toc141874962"/>
      <w:r>
        <w:t>添加多个项目</w:t>
      </w:r>
      <w:r>
        <w:rPr>
          <w:rFonts w:hint="eastAsia"/>
        </w:rPr>
        <w:t>至</w:t>
      </w:r>
      <w:r>
        <w:t>日计划</w:t>
      </w:r>
      <w:bookmarkEnd w:id="6452"/>
      <w:bookmarkEnd w:id="6453"/>
    </w:p>
    <w:p w14:paraId="59F43D36">
      <w:pPr>
        <w:spacing w:before="78" w:after="78"/>
      </w:pPr>
      <w:r>
        <w:drawing>
          <wp:inline distT="0" distB="0" distL="0" distR="0">
            <wp:extent cx="4761865" cy="3318510"/>
            <wp:effectExtent l="0" t="0" r="635" b="0"/>
            <wp:docPr id="710" name="图片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图片 710"/>
                    <pic:cNvPicPr>
                      <a:picLocks noChangeAspect="1"/>
                    </pic:cNvPicPr>
                  </pic:nvPicPr>
                  <pic:blipFill>
                    <a:blip r:embed="rId797"/>
                    <a:stretch>
                      <a:fillRect/>
                    </a:stretch>
                  </pic:blipFill>
                  <pic:spPr>
                    <a:xfrm>
                      <a:off x="0" y="0"/>
                      <a:ext cx="4763109" cy="3319726"/>
                    </a:xfrm>
                    <a:prstGeom prst="rect">
                      <a:avLst/>
                    </a:prstGeom>
                  </pic:spPr>
                </pic:pic>
              </a:graphicData>
            </a:graphic>
          </wp:inline>
        </w:drawing>
      </w:r>
    </w:p>
    <w:p w14:paraId="09DD29D2"/>
    <w:p w14:paraId="049A11AB">
      <w:r>
        <w:rPr>
          <w:rFonts w:hint="eastAsia"/>
        </w:rPr>
        <w:t>点击</w:t>
      </w:r>
      <w:r>
        <w:t>&lt;</w:t>
      </w:r>
      <w:r>
        <w:rPr>
          <w:rFonts w:hint="eastAsia"/>
        </w:rPr>
        <w:t>提交</w:t>
      </w:r>
      <w:r>
        <w:t>&gt;</w:t>
      </w:r>
      <w:r>
        <w:rPr>
          <w:rFonts w:hint="eastAsia"/>
        </w:rPr>
        <w:t>按钮，提交配置。提交配置后，可通过如</w:t>
      </w:r>
      <w:r>
        <w:rPr>
          <w:color w:val="0000FF"/>
          <w:u w:val="single"/>
        </w:rPr>
        <w:fldChar w:fldCharType="begin"/>
      </w:r>
      <w:r>
        <w:rPr>
          <w:color w:val="0000FF"/>
          <w:u w:val="single"/>
        </w:rPr>
        <w:instrText xml:space="preserve"> REF _Ref393362104 \r \h </w:instrText>
      </w:r>
      <w:r>
        <w:rPr>
          <w:color w:val="0000FF"/>
          <w:u w:val="single"/>
        </w:rPr>
        <w:fldChar w:fldCharType="separate"/>
      </w:r>
      <w:r>
        <w:rPr>
          <w:rFonts w:hint="eastAsia"/>
          <w:color w:val="0000FF"/>
          <w:u w:val="single"/>
        </w:rPr>
        <w:t>图28-35</w:t>
      </w:r>
      <w:r>
        <w:rPr>
          <w:color w:val="0000FF"/>
          <w:u w:val="single"/>
        </w:rPr>
        <w:fldChar w:fldCharType="end"/>
      </w:r>
      <w:r>
        <w:rPr>
          <w:rFonts w:hint="eastAsia"/>
        </w:rPr>
        <w:t>所示页面查看已配置条目。</w:t>
      </w:r>
    </w:p>
    <w:p w14:paraId="25A47F53">
      <w:pPr>
        <w:pStyle w:val="188"/>
      </w:pPr>
      <w:bookmarkStart w:id="6454" w:name="_Toc141874963"/>
      <w:bookmarkStart w:id="6455" w:name="_Ref393362104"/>
      <w:r>
        <w:rPr>
          <w:rFonts w:hint="eastAsia"/>
        </w:rPr>
        <w:t>日计划配置概览页面</w:t>
      </w:r>
      <w:bookmarkEnd w:id="6454"/>
      <w:bookmarkEnd w:id="6455"/>
    </w:p>
    <w:p w14:paraId="32B56174">
      <w:pPr>
        <w:spacing w:before="78" w:after="78"/>
      </w:pPr>
      <w:r>
        <w:drawing>
          <wp:inline distT="0" distB="0" distL="0" distR="0">
            <wp:extent cx="5438775" cy="1397000"/>
            <wp:effectExtent l="0" t="0" r="0" b="0"/>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527"/>
                    <pic:cNvPicPr>
                      <a:picLocks noChangeAspect="1"/>
                    </pic:cNvPicPr>
                  </pic:nvPicPr>
                  <pic:blipFill>
                    <a:blip r:embed="rId798"/>
                    <a:stretch>
                      <a:fillRect/>
                    </a:stretch>
                  </pic:blipFill>
                  <pic:spPr>
                    <a:xfrm>
                      <a:off x="0" y="0"/>
                      <a:ext cx="5446254" cy="1399141"/>
                    </a:xfrm>
                    <a:prstGeom prst="rect">
                      <a:avLst/>
                    </a:prstGeom>
                  </pic:spPr>
                </pic:pic>
              </a:graphicData>
            </a:graphic>
          </wp:inline>
        </w:drawing>
      </w:r>
    </w:p>
    <w:p w14:paraId="736871DC"/>
    <w:p w14:paraId="08E4F325">
      <w:pPr>
        <w:pStyle w:val="5"/>
      </w:pPr>
      <w:bookmarkStart w:id="6456" w:name="_Toc194081070"/>
      <w:bookmarkStart w:id="6457" w:name="_Toc142401110"/>
      <w:bookmarkStart w:id="6458" w:name="_Toc389749952"/>
      <w:bookmarkStart w:id="6459" w:name="_Toc141873593"/>
      <w:bookmarkStart w:id="6460" w:name="_Toc388265424"/>
      <w:bookmarkStart w:id="6461" w:name="_Toc6234880"/>
      <w:bookmarkStart w:id="6462" w:name="_Toc474250036"/>
      <w:bookmarkStart w:id="6463" w:name="_Toc196728402"/>
      <w:bookmarkStart w:id="6464" w:name="_Toc172218368"/>
      <w:bookmarkStart w:id="6465" w:name="_Toc40276300"/>
      <w:bookmarkStart w:id="6466" w:name="_Toc389059224"/>
      <w:bookmarkStart w:id="6467" w:name="_Toc99561685"/>
      <w:bookmarkStart w:id="6468" w:name="_Toc15485110"/>
      <w:bookmarkStart w:id="6469" w:name="_Toc23152874"/>
      <w:r>
        <w:rPr>
          <w:rFonts w:hint="eastAsia"/>
        </w:rPr>
        <w:t>配置周周期计划</w:t>
      </w:r>
      <w:bookmarkEnd w:id="6456"/>
      <w:bookmarkEnd w:id="6457"/>
      <w:bookmarkEnd w:id="6458"/>
      <w:bookmarkEnd w:id="6459"/>
      <w:bookmarkEnd w:id="6460"/>
      <w:bookmarkEnd w:id="6461"/>
      <w:bookmarkEnd w:id="6462"/>
      <w:bookmarkEnd w:id="6463"/>
      <w:bookmarkEnd w:id="6464"/>
      <w:bookmarkEnd w:id="6465"/>
      <w:bookmarkEnd w:id="6466"/>
      <w:bookmarkEnd w:id="6467"/>
      <w:bookmarkEnd w:id="6468"/>
      <w:bookmarkEnd w:id="6469"/>
    </w:p>
    <w:p w14:paraId="52508D69">
      <w:r>
        <w:rPr>
          <w:rFonts w:hint="eastAsia"/>
        </w:rPr>
        <w:t>通过菜单“策略配置 &gt; 对象管理 &gt;</w:t>
      </w:r>
      <w:r>
        <w:t xml:space="preserve"> </w:t>
      </w:r>
      <w:r>
        <w:rPr>
          <w:rFonts w:hint="eastAsia"/>
        </w:rPr>
        <w:t>时间对象</w:t>
      </w:r>
      <w:r>
        <w:t xml:space="preserve"> &gt; </w:t>
      </w:r>
      <w:r>
        <w:rPr>
          <w:rFonts w:hint="eastAsia"/>
        </w:rPr>
        <w:t>周计划”，进入如</w:t>
      </w:r>
      <w:r>
        <w:rPr>
          <w:color w:val="0000FF"/>
          <w:u w:val="single"/>
        </w:rPr>
        <w:fldChar w:fldCharType="begin"/>
      </w:r>
      <w:r>
        <w:rPr>
          <w:color w:val="0000FF"/>
          <w:u w:val="single"/>
        </w:rPr>
        <w:instrText xml:space="preserve"> REF _Ref393362111 \r \h </w:instrText>
      </w:r>
      <w:r>
        <w:rPr>
          <w:color w:val="0000FF"/>
          <w:u w:val="single"/>
        </w:rPr>
        <w:fldChar w:fldCharType="separate"/>
      </w:r>
      <w:r>
        <w:rPr>
          <w:rFonts w:hint="eastAsia"/>
          <w:color w:val="0000FF"/>
          <w:u w:val="single"/>
        </w:rPr>
        <w:t>图28-36</w:t>
      </w:r>
      <w:r>
        <w:rPr>
          <w:color w:val="0000FF"/>
          <w:u w:val="single"/>
        </w:rPr>
        <w:fldChar w:fldCharType="end"/>
      </w:r>
      <w:r>
        <w:rPr>
          <w:rFonts w:hint="eastAsia"/>
        </w:rPr>
        <w:t>所示页面。在该页面上可以新建、编辑、删除、浏览配置的周周期计划。</w:t>
      </w:r>
    </w:p>
    <w:p w14:paraId="774DCD1B">
      <w:pPr>
        <w:pStyle w:val="188"/>
      </w:pPr>
      <w:bookmarkStart w:id="6470" w:name="_Ref393362111"/>
      <w:bookmarkStart w:id="6471" w:name="_Toc141874964"/>
      <w:r>
        <w:t>周周期计划页面</w:t>
      </w:r>
      <w:bookmarkEnd w:id="6470"/>
      <w:bookmarkEnd w:id="6471"/>
    </w:p>
    <w:p w14:paraId="7EC28E73">
      <w:pPr>
        <w:spacing w:before="78" w:after="78"/>
      </w:pPr>
      <w:r>
        <w:drawing>
          <wp:inline distT="0" distB="0" distL="0" distR="0">
            <wp:extent cx="5676900" cy="899160"/>
            <wp:effectExtent l="0" t="0" r="0" b="0"/>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528"/>
                    <pic:cNvPicPr>
                      <a:picLocks noChangeAspect="1"/>
                    </pic:cNvPicPr>
                  </pic:nvPicPr>
                  <pic:blipFill>
                    <a:blip r:embed="rId799"/>
                    <a:stretch>
                      <a:fillRect/>
                    </a:stretch>
                  </pic:blipFill>
                  <pic:spPr>
                    <a:xfrm>
                      <a:off x="0" y="0"/>
                      <a:ext cx="5808538" cy="920278"/>
                    </a:xfrm>
                    <a:prstGeom prst="rect">
                      <a:avLst/>
                    </a:prstGeom>
                  </pic:spPr>
                </pic:pic>
              </a:graphicData>
            </a:graphic>
          </wp:inline>
        </w:drawing>
      </w:r>
    </w:p>
    <w:p w14:paraId="08DFC58C"/>
    <w:p w14:paraId="0BAA3167">
      <w:r>
        <w:rPr>
          <w:rFonts w:hint="eastAsia"/>
        </w:rPr>
        <w:t>点击</w:t>
      </w:r>
      <w:r>
        <w:t>&lt;</w:t>
      </w:r>
      <w:r>
        <w:rPr>
          <w:rFonts w:hint="eastAsia"/>
        </w:rPr>
        <w:t>新建</w:t>
      </w:r>
      <w:r>
        <w:t>&gt;</w:t>
      </w:r>
      <w:r>
        <w:rPr>
          <w:rFonts w:hint="eastAsia"/>
        </w:rPr>
        <w:t>按钮，进入如</w:t>
      </w:r>
      <w:r>
        <w:fldChar w:fldCharType="begin"/>
      </w:r>
      <w:r>
        <w:instrText xml:space="preserve"> REF _Ref393362120 \r \h </w:instrText>
      </w:r>
      <w:r>
        <w:fldChar w:fldCharType="separate"/>
      </w:r>
      <w:r>
        <w:rPr>
          <w:rFonts w:hint="eastAsia"/>
        </w:rPr>
        <w:t>图28-37</w:t>
      </w:r>
      <w:r>
        <w:fldChar w:fldCharType="end"/>
      </w:r>
      <w:r>
        <w:rPr>
          <w:rFonts w:hint="eastAsia"/>
        </w:rPr>
        <w:t>所示的新建页面，各个配置项的含义如</w:t>
      </w:r>
      <w:r>
        <w:fldChar w:fldCharType="begin"/>
      </w:r>
      <w:r>
        <w:instrText xml:space="preserve"> REF _Ref393362125 \r \h </w:instrText>
      </w:r>
      <w:r>
        <w:fldChar w:fldCharType="separate"/>
      </w:r>
      <w:r>
        <w:rPr>
          <w:rFonts w:hint="eastAsia"/>
        </w:rPr>
        <w:t>表28-1</w:t>
      </w:r>
      <w:r>
        <w:fldChar w:fldCharType="end"/>
      </w:r>
      <w:r>
        <w:rPr>
          <w:rFonts w:hint="eastAsia"/>
        </w:rPr>
        <w:t>所示。</w:t>
      </w:r>
    </w:p>
    <w:p w14:paraId="1B35EFF9">
      <w:pPr>
        <w:pStyle w:val="188"/>
      </w:pPr>
      <w:bookmarkStart w:id="6472" w:name="_Ref393362120"/>
      <w:bookmarkStart w:id="6473" w:name="_Toc141874965"/>
      <w:r>
        <w:t>添加周计划</w:t>
      </w:r>
      <w:bookmarkEnd w:id="6472"/>
      <w:bookmarkEnd w:id="6473"/>
    </w:p>
    <w:p w14:paraId="7F43D5BB">
      <w:pPr>
        <w:spacing w:before="78" w:after="78"/>
      </w:pPr>
      <w:r>
        <w:drawing>
          <wp:inline distT="0" distB="0" distL="114300" distR="114300">
            <wp:extent cx="4937760" cy="3787140"/>
            <wp:effectExtent l="0" t="0" r="0" b="7620"/>
            <wp:docPr id="2731"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1" name="图片 64"/>
                    <pic:cNvPicPr>
                      <a:picLocks noChangeAspect="1"/>
                    </pic:cNvPicPr>
                  </pic:nvPicPr>
                  <pic:blipFill>
                    <a:blip r:embed="rId800"/>
                    <a:stretch>
                      <a:fillRect/>
                    </a:stretch>
                  </pic:blipFill>
                  <pic:spPr>
                    <a:xfrm>
                      <a:off x="0" y="0"/>
                      <a:ext cx="4937760" cy="3787140"/>
                    </a:xfrm>
                    <a:prstGeom prst="rect">
                      <a:avLst/>
                    </a:prstGeom>
                    <a:noFill/>
                    <a:ln>
                      <a:noFill/>
                    </a:ln>
                  </pic:spPr>
                </pic:pic>
              </a:graphicData>
            </a:graphic>
          </wp:inline>
        </w:drawing>
      </w:r>
    </w:p>
    <w:p w14:paraId="686B6290"/>
    <w:p w14:paraId="7AB1236C">
      <w:pPr>
        <w:pStyle w:val="183"/>
      </w:pPr>
      <w:bookmarkStart w:id="6474" w:name="_Ref393362125"/>
      <w:bookmarkStart w:id="6475" w:name="_Toc141875629"/>
      <w:r>
        <w:t>周计划各个配置项含义描述表</w:t>
      </w:r>
      <w:bookmarkEnd w:id="6474"/>
      <w:bookmarkEnd w:id="6475"/>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3"/>
        <w:gridCol w:w="6635"/>
      </w:tblGrid>
      <w:tr w14:paraId="46ADA5F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blHeader/>
        </w:trPr>
        <w:tc>
          <w:tcPr>
            <w:tcW w:w="2348" w:type="dxa"/>
            <w:tcBorders>
              <w:tl2br w:val="nil"/>
              <w:tr2bl w:val="nil"/>
            </w:tcBorders>
            <w:shd w:val="clear" w:color="auto" w:fill="538135" w:themeFill="accent6" w:themeFillShade="BF"/>
            <w:vAlign w:val="center"/>
          </w:tcPr>
          <w:p w14:paraId="78A8E2C3">
            <w:pPr>
              <w:pStyle w:val="149"/>
              <w:wordWrap/>
              <w:rPr>
                <w:b/>
                <w:bCs/>
                <w:i w:val="0"/>
                <w:iCs w:val="0"/>
              </w:rPr>
            </w:pPr>
            <w:r>
              <w:rPr>
                <w:rFonts w:hint="eastAsia"/>
                <w:b/>
                <w:bCs/>
                <w:i w:val="0"/>
                <w:iCs w:val="0"/>
              </w:rPr>
              <w:t>标题项</w:t>
            </w:r>
          </w:p>
        </w:tc>
        <w:tc>
          <w:tcPr>
            <w:tcW w:w="6684" w:type="dxa"/>
            <w:tcBorders>
              <w:tl2br w:val="nil"/>
              <w:tr2bl w:val="nil"/>
            </w:tcBorders>
            <w:shd w:val="clear" w:color="auto" w:fill="538135" w:themeFill="accent6" w:themeFillShade="BF"/>
            <w:vAlign w:val="center"/>
          </w:tcPr>
          <w:p w14:paraId="02104EDA">
            <w:pPr>
              <w:pStyle w:val="149"/>
              <w:wordWrap/>
              <w:rPr>
                <w:b/>
                <w:bCs/>
                <w:i w:val="0"/>
                <w:iCs w:val="0"/>
              </w:rPr>
            </w:pPr>
            <w:r>
              <w:rPr>
                <w:rFonts w:hint="eastAsia"/>
                <w:b/>
                <w:bCs/>
                <w:i w:val="0"/>
                <w:iCs w:val="0"/>
              </w:rPr>
              <w:t>说明</w:t>
            </w:r>
          </w:p>
        </w:tc>
      </w:tr>
      <w:tr w14:paraId="6381338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0EC59582">
            <w:pPr>
              <w:pStyle w:val="150"/>
            </w:pPr>
            <w:r>
              <w:t>名称</w:t>
            </w:r>
          </w:p>
        </w:tc>
        <w:tc>
          <w:tcPr>
            <w:tcW w:w="6684" w:type="dxa"/>
            <w:shd w:val="clear" w:color="auto" w:fill="auto"/>
          </w:tcPr>
          <w:p w14:paraId="4D05685A">
            <w:pPr>
              <w:pStyle w:val="150"/>
            </w:pPr>
            <w:r>
              <w:t>新建周计划的名称。</w:t>
            </w:r>
          </w:p>
        </w:tc>
      </w:tr>
      <w:tr w14:paraId="59F095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6EA21B3A">
            <w:pPr>
              <w:pStyle w:val="150"/>
            </w:pPr>
            <w:r>
              <w:t>描述</w:t>
            </w:r>
          </w:p>
        </w:tc>
        <w:tc>
          <w:tcPr>
            <w:tcW w:w="6684" w:type="dxa"/>
            <w:shd w:val="clear" w:color="auto" w:fill="auto"/>
          </w:tcPr>
          <w:p w14:paraId="5BFB7CD3">
            <w:pPr>
              <w:pStyle w:val="150"/>
            </w:pPr>
            <w:r>
              <w:t>新建周计划的简单描述。</w:t>
            </w:r>
          </w:p>
        </w:tc>
      </w:tr>
      <w:tr w14:paraId="7769CF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7D95CABB">
            <w:pPr>
              <w:pStyle w:val="150"/>
            </w:pPr>
            <w:r>
              <w:t>周一至周日</w:t>
            </w:r>
          </w:p>
        </w:tc>
        <w:tc>
          <w:tcPr>
            <w:tcW w:w="6684" w:type="dxa"/>
            <w:shd w:val="clear" w:color="auto" w:fill="auto"/>
          </w:tcPr>
          <w:p w14:paraId="768F6D87">
            <w:pPr>
              <w:pStyle w:val="150"/>
            </w:pPr>
            <w:r>
              <w:rPr>
                <w:rFonts w:hint="eastAsia"/>
              </w:rPr>
              <w:t>为一周的每一天选择对应的日计划。</w:t>
            </w:r>
          </w:p>
        </w:tc>
      </w:tr>
    </w:tbl>
    <w:p w14:paraId="313CCF6E"/>
    <w:p w14:paraId="04EE74B9">
      <w:r>
        <w:rPr>
          <w:rFonts w:hint="eastAsia"/>
        </w:rPr>
        <w:t>点击</w:t>
      </w:r>
      <w:r>
        <w:t>&lt;</w:t>
      </w:r>
      <w:r>
        <w:rPr>
          <w:rFonts w:hint="eastAsia"/>
        </w:rPr>
        <w:t>提交</w:t>
      </w:r>
      <w:r>
        <w:t>&gt;</w:t>
      </w:r>
      <w:r>
        <w:rPr>
          <w:rFonts w:hint="eastAsia"/>
        </w:rPr>
        <w:t>按钮，提交配置。提交配置后，可通过如</w:t>
      </w:r>
      <w:r>
        <w:rPr>
          <w:color w:val="0000FF"/>
          <w:u w:val="single"/>
        </w:rPr>
        <w:fldChar w:fldCharType="begin"/>
      </w:r>
      <w:r>
        <w:rPr>
          <w:color w:val="0000FF"/>
          <w:u w:val="single"/>
        </w:rPr>
        <w:instrText xml:space="preserve"> REF _Ref393362137 \r \h </w:instrText>
      </w:r>
      <w:r>
        <w:rPr>
          <w:color w:val="0000FF"/>
          <w:u w:val="single"/>
        </w:rPr>
        <w:fldChar w:fldCharType="separate"/>
      </w:r>
      <w:r>
        <w:rPr>
          <w:rFonts w:hint="eastAsia"/>
          <w:color w:val="0000FF"/>
          <w:u w:val="single"/>
        </w:rPr>
        <w:t>图28-38</w:t>
      </w:r>
      <w:r>
        <w:rPr>
          <w:color w:val="0000FF"/>
          <w:u w:val="single"/>
        </w:rPr>
        <w:fldChar w:fldCharType="end"/>
      </w:r>
      <w:r>
        <w:rPr>
          <w:rFonts w:hint="eastAsia"/>
        </w:rPr>
        <w:t>所示页面查看已配置条目。</w:t>
      </w:r>
    </w:p>
    <w:p w14:paraId="4B0094CE">
      <w:pPr>
        <w:pStyle w:val="188"/>
      </w:pPr>
      <w:bookmarkStart w:id="6476" w:name="_Ref393362137"/>
      <w:bookmarkStart w:id="6477" w:name="_Toc141874966"/>
      <w:r>
        <w:rPr>
          <w:rFonts w:hint="eastAsia"/>
        </w:rPr>
        <w:t>周计划配置概览页面</w:t>
      </w:r>
      <w:bookmarkEnd w:id="6476"/>
      <w:bookmarkEnd w:id="6477"/>
    </w:p>
    <w:p w14:paraId="70597421">
      <w:pPr>
        <w:spacing w:before="78" w:after="78"/>
      </w:pPr>
      <w:r>
        <w:drawing>
          <wp:inline distT="0" distB="0" distL="0" distR="0">
            <wp:extent cx="5648325" cy="925195"/>
            <wp:effectExtent l="0" t="0" r="0" b="8255"/>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530"/>
                    <pic:cNvPicPr>
                      <a:picLocks noChangeAspect="1"/>
                    </pic:cNvPicPr>
                  </pic:nvPicPr>
                  <pic:blipFill>
                    <a:blip r:embed="rId801"/>
                    <a:stretch>
                      <a:fillRect/>
                    </a:stretch>
                  </pic:blipFill>
                  <pic:spPr>
                    <a:xfrm>
                      <a:off x="0" y="0"/>
                      <a:ext cx="5664143" cy="927960"/>
                    </a:xfrm>
                    <a:prstGeom prst="rect">
                      <a:avLst/>
                    </a:prstGeom>
                  </pic:spPr>
                </pic:pic>
              </a:graphicData>
            </a:graphic>
          </wp:inline>
        </w:drawing>
      </w:r>
    </w:p>
    <w:p w14:paraId="32C91944"/>
    <w:p w14:paraId="67DB022B">
      <w:pPr>
        <w:pStyle w:val="5"/>
      </w:pPr>
      <w:bookmarkStart w:id="6478" w:name="_Toc40276301"/>
      <w:bookmarkStart w:id="6479" w:name="_Toc23152875"/>
      <w:bookmarkStart w:id="6480" w:name="_Toc99561686"/>
      <w:bookmarkStart w:id="6481" w:name="_Toc15485111"/>
      <w:bookmarkStart w:id="6482" w:name="_Toc172218369"/>
      <w:bookmarkStart w:id="6483" w:name="_Toc142401111"/>
      <w:bookmarkStart w:id="6484" w:name="_Toc474250037"/>
      <w:bookmarkStart w:id="6485" w:name="_Toc6234881"/>
      <w:bookmarkStart w:id="6486" w:name="_Toc196728403"/>
      <w:bookmarkStart w:id="6487" w:name="_Toc194081071"/>
      <w:bookmarkStart w:id="6488" w:name="_Toc141873594"/>
      <w:r>
        <w:rPr>
          <w:rFonts w:hint="eastAsia"/>
        </w:rPr>
        <w:t>配置月计划</w:t>
      </w:r>
      <w:bookmarkEnd w:id="6478"/>
      <w:bookmarkEnd w:id="6479"/>
      <w:bookmarkEnd w:id="6480"/>
      <w:bookmarkEnd w:id="6481"/>
      <w:bookmarkEnd w:id="6482"/>
      <w:bookmarkEnd w:id="6483"/>
      <w:bookmarkEnd w:id="6484"/>
      <w:bookmarkEnd w:id="6485"/>
      <w:bookmarkEnd w:id="6486"/>
      <w:bookmarkEnd w:id="6487"/>
      <w:bookmarkEnd w:id="6488"/>
    </w:p>
    <w:p w14:paraId="57EF1BDD">
      <w:r>
        <w:rPr>
          <w:rFonts w:hint="eastAsia"/>
        </w:rPr>
        <w:t>通过菜单“策略配置 &gt; 对象管理 &gt;</w:t>
      </w:r>
      <w:r>
        <w:t xml:space="preserve"> </w:t>
      </w:r>
      <w:r>
        <w:rPr>
          <w:rFonts w:hint="eastAsia"/>
        </w:rPr>
        <w:t>时间对象</w:t>
      </w:r>
      <w:r>
        <w:t xml:space="preserve"> &gt; </w:t>
      </w:r>
      <w:r>
        <w:rPr>
          <w:rFonts w:hint="eastAsia"/>
        </w:rPr>
        <w:t>月计划”，进入如</w:t>
      </w:r>
      <w:r>
        <w:rPr>
          <w:color w:val="0000FF"/>
          <w:u w:val="single"/>
        </w:rPr>
        <w:fldChar w:fldCharType="begin"/>
      </w:r>
      <w:r>
        <w:instrText xml:space="preserve"> </w:instrText>
      </w:r>
      <w:r>
        <w:rPr>
          <w:rFonts w:hint="eastAsia"/>
        </w:rPr>
        <w:instrText xml:space="preserve">REF _Ref5630282 \r \h</w:instrText>
      </w:r>
      <w:r>
        <w:instrText xml:space="preserve"> </w:instrText>
      </w:r>
      <w:r>
        <w:rPr>
          <w:color w:val="0000FF"/>
          <w:u w:val="single"/>
        </w:rPr>
        <w:fldChar w:fldCharType="separate"/>
      </w:r>
      <w:r>
        <w:rPr>
          <w:rFonts w:hint="eastAsia"/>
        </w:rPr>
        <w:t>图28-39</w:t>
      </w:r>
      <w:r>
        <w:rPr>
          <w:color w:val="0000FF"/>
          <w:u w:val="single"/>
        </w:rPr>
        <w:fldChar w:fldCharType="end"/>
      </w:r>
      <w:r>
        <w:rPr>
          <w:rFonts w:hint="eastAsia"/>
        </w:rPr>
        <w:t>所示页面。在该页面上可以新建、编辑、删除、浏览配置的月计划。</w:t>
      </w:r>
    </w:p>
    <w:p w14:paraId="0B0CCAE0">
      <w:pPr>
        <w:pStyle w:val="188"/>
      </w:pPr>
      <w:bookmarkStart w:id="6489" w:name="_Ref5630282"/>
      <w:bookmarkStart w:id="6490" w:name="_Toc141874967"/>
      <w:r>
        <w:rPr>
          <w:rFonts w:hint="eastAsia"/>
        </w:rPr>
        <w:t>月</w:t>
      </w:r>
      <w:r>
        <w:t>计划页面</w:t>
      </w:r>
      <w:bookmarkEnd w:id="6489"/>
      <w:bookmarkEnd w:id="6490"/>
    </w:p>
    <w:p w14:paraId="04CFA1D6">
      <w:pPr>
        <w:spacing w:before="78" w:after="78"/>
      </w:pPr>
      <w:r>
        <w:drawing>
          <wp:inline distT="0" distB="0" distL="0" distR="0">
            <wp:extent cx="5724525" cy="946785"/>
            <wp:effectExtent l="0" t="0" r="0" b="5715"/>
            <wp:docPr id="531" name="图片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531"/>
                    <pic:cNvPicPr>
                      <a:picLocks noChangeAspect="1"/>
                    </pic:cNvPicPr>
                  </pic:nvPicPr>
                  <pic:blipFill>
                    <a:blip r:embed="rId802"/>
                    <a:stretch>
                      <a:fillRect/>
                    </a:stretch>
                  </pic:blipFill>
                  <pic:spPr>
                    <a:xfrm>
                      <a:off x="0" y="0"/>
                      <a:ext cx="5741563" cy="950176"/>
                    </a:xfrm>
                    <a:prstGeom prst="rect">
                      <a:avLst/>
                    </a:prstGeom>
                  </pic:spPr>
                </pic:pic>
              </a:graphicData>
            </a:graphic>
          </wp:inline>
        </w:drawing>
      </w:r>
    </w:p>
    <w:p w14:paraId="2C803389"/>
    <w:p w14:paraId="4D45C95D">
      <w:r>
        <w:rPr>
          <w:rFonts w:hint="eastAsia"/>
        </w:rPr>
        <w:t>点击</w:t>
      </w:r>
      <w:r>
        <w:t>&lt;</w:t>
      </w:r>
      <w:r>
        <w:rPr>
          <w:rFonts w:hint="eastAsia"/>
        </w:rPr>
        <w:t>新建</w:t>
      </w:r>
      <w:r>
        <w:t>&gt;</w:t>
      </w:r>
      <w:r>
        <w:rPr>
          <w:rFonts w:hint="eastAsia"/>
        </w:rPr>
        <w:t>按钮，进入如</w:t>
      </w:r>
      <w:r>
        <w:rPr>
          <w:color w:val="0000FF"/>
          <w:u w:val="single"/>
        </w:rPr>
        <w:fldChar w:fldCharType="begin"/>
      </w:r>
      <w:r>
        <w:instrText xml:space="preserve"> </w:instrText>
      </w:r>
      <w:r>
        <w:rPr>
          <w:rFonts w:hint="eastAsia"/>
        </w:rPr>
        <w:instrText xml:space="preserve">REF _Ref5630294 \r \h</w:instrText>
      </w:r>
      <w:r>
        <w:instrText xml:space="preserve"> </w:instrText>
      </w:r>
      <w:r>
        <w:rPr>
          <w:color w:val="0000FF"/>
          <w:u w:val="single"/>
        </w:rPr>
        <w:fldChar w:fldCharType="separate"/>
      </w:r>
      <w:r>
        <w:rPr>
          <w:rFonts w:hint="eastAsia"/>
        </w:rPr>
        <w:t>图28-40</w:t>
      </w:r>
      <w:r>
        <w:rPr>
          <w:color w:val="0000FF"/>
          <w:u w:val="single"/>
        </w:rPr>
        <w:fldChar w:fldCharType="end"/>
      </w:r>
      <w:r>
        <w:rPr>
          <w:rFonts w:hint="eastAsia"/>
        </w:rPr>
        <w:t>所示的新建页面，各个配置项的含义如</w:t>
      </w:r>
      <w:r>
        <w:rPr>
          <w:color w:val="0000FF"/>
          <w:u w:val="single"/>
        </w:rPr>
        <w:fldChar w:fldCharType="begin"/>
      </w:r>
      <w:r>
        <w:instrText xml:space="preserve"> </w:instrText>
      </w:r>
      <w:r>
        <w:rPr>
          <w:rFonts w:hint="eastAsia"/>
        </w:rPr>
        <w:instrText xml:space="preserve">REF _Ref5630318 \r \h</w:instrText>
      </w:r>
      <w:r>
        <w:instrText xml:space="preserve"> </w:instrText>
      </w:r>
      <w:r>
        <w:rPr>
          <w:color w:val="0000FF"/>
          <w:u w:val="single"/>
        </w:rPr>
        <w:fldChar w:fldCharType="separate"/>
      </w:r>
      <w:r>
        <w:rPr>
          <w:rFonts w:hint="eastAsia"/>
        </w:rPr>
        <w:t>表28-1</w:t>
      </w:r>
      <w:r>
        <w:rPr>
          <w:color w:val="0000FF"/>
          <w:u w:val="single"/>
        </w:rPr>
        <w:fldChar w:fldCharType="end"/>
      </w:r>
      <w:r>
        <w:rPr>
          <w:rFonts w:hint="eastAsia"/>
        </w:rPr>
        <w:t>所示。</w:t>
      </w:r>
    </w:p>
    <w:p w14:paraId="094AD047">
      <w:pPr>
        <w:pStyle w:val="188"/>
      </w:pPr>
      <w:bookmarkStart w:id="6491" w:name="_Ref5630294"/>
      <w:bookmarkStart w:id="6492" w:name="_Toc141874968"/>
      <w:r>
        <w:t>添加</w:t>
      </w:r>
      <w:r>
        <w:rPr>
          <w:rFonts w:hint="eastAsia"/>
        </w:rPr>
        <w:t>月</w:t>
      </w:r>
      <w:r>
        <w:t>计划</w:t>
      </w:r>
      <w:bookmarkEnd w:id="6491"/>
      <w:bookmarkEnd w:id="6492"/>
    </w:p>
    <w:p w14:paraId="1624DEF4">
      <w:pPr>
        <w:spacing w:before="78" w:after="78"/>
      </w:pPr>
      <w:r>
        <w:drawing>
          <wp:inline distT="0" distB="0" distL="114300" distR="114300">
            <wp:extent cx="5400040" cy="3517265"/>
            <wp:effectExtent l="0" t="0" r="0" b="6985"/>
            <wp:docPr id="1014"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图片 65"/>
                    <pic:cNvPicPr>
                      <a:picLocks noChangeAspect="1"/>
                    </pic:cNvPicPr>
                  </pic:nvPicPr>
                  <pic:blipFill>
                    <a:blip r:embed="rId803"/>
                    <a:stretch>
                      <a:fillRect/>
                    </a:stretch>
                  </pic:blipFill>
                  <pic:spPr>
                    <a:xfrm>
                      <a:off x="0" y="0"/>
                      <a:ext cx="5400040" cy="3517781"/>
                    </a:xfrm>
                    <a:prstGeom prst="rect">
                      <a:avLst/>
                    </a:prstGeom>
                    <a:noFill/>
                    <a:ln>
                      <a:noFill/>
                    </a:ln>
                  </pic:spPr>
                </pic:pic>
              </a:graphicData>
            </a:graphic>
          </wp:inline>
        </w:drawing>
      </w:r>
    </w:p>
    <w:p w14:paraId="1F8A0219"/>
    <w:p w14:paraId="0C7F2931">
      <w:pPr>
        <w:pStyle w:val="183"/>
      </w:pPr>
      <w:bookmarkStart w:id="6493" w:name="_Toc141875630"/>
      <w:bookmarkStart w:id="6494" w:name="_Ref5630318"/>
      <w:r>
        <w:rPr>
          <w:rFonts w:hint="eastAsia"/>
        </w:rPr>
        <w:t>月</w:t>
      </w:r>
      <w:r>
        <w:t>计划各个配置项含义描述表</w:t>
      </w:r>
      <w:bookmarkEnd w:id="6493"/>
      <w:bookmarkEnd w:id="6494"/>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3"/>
        <w:gridCol w:w="6635"/>
      </w:tblGrid>
      <w:tr w14:paraId="48EBB9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33" w:type="dxa"/>
            <w:tcBorders>
              <w:tl2br w:val="nil"/>
              <w:tr2bl w:val="nil"/>
            </w:tcBorders>
            <w:shd w:val="clear" w:color="auto" w:fill="538135" w:themeFill="accent6" w:themeFillShade="BF"/>
            <w:vAlign w:val="center"/>
          </w:tcPr>
          <w:p w14:paraId="055BE172">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35" w:type="dxa"/>
            <w:tcBorders>
              <w:tl2br w:val="nil"/>
              <w:tr2bl w:val="nil"/>
            </w:tcBorders>
            <w:shd w:val="clear" w:color="auto" w:fill="538135" w:themeFill="accent6" w:themeFillShade="BF"/>
            <w:vAlign w:val="center"/>
          </w:tcPr>
          <w:p w14:paraId="30E47F13">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017CB4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68" w:hRule="atLeast"/>
        </w:trPr>
        <w:tc>
          <w:tcPr>
            <w:tcW w:w="2333" w:type="dxa"/>
            <w:shd w:val="clear" w:color="auto" w:fill="auto"/>
          </w:tcPr>
          <w:p w14:paraId="162F5CD8">
            <w:pPr>
              <w:pStyle w:val="150"/>
            </w:pPr>
            <w:r>
              <w:t>名称</w:t>
            </w:r>
          </w:p>
        </w:tc>
        <w:tc>
          <w:tcPr>
            <w:tcW w:w="6635" w:type="dxa"/>
            <w:shd w:val="clear" w:color="auto" w:fill="auto"/>
          </w:tcPr>
          <w:p w14:paraId="3209769A">
            <w:pPr>
              <w:pStyle w:val="150"/>
            </w:pPr>
            <w:r>
              <w:t>新建</w:t>
            </w:r>
            <w:r>
              <w:rPr>
                <w:rFonts w:hint="eastAsia"/>
              </w:rPr>
              <w:t>月</w:t>
            </w:r>
            <w:r>
              <w:t>计划的名称。</w:t>
            </w:r>
          </w:p>
        </w:tc>
      </w:tr>
      <w:tr w14:paraId="296E0D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33" w:type="dxa"/>
            <w:shd w:val="clear" w:color="auto" w:fill="auto"/>
          </w:tcPr>
          <w:p w14:paraId="1BDD9099">
            <w:pPr>
              <w:pStyle w:val="150"/>
            </w:pPr>
            <w:r>
              <w:t>描述</w:t>
            </w:r>
          </w:p>
        </w:tc>
        <w:tc>
          <w:tcPr>
            <w:tcW w:w="6635" w:type="dxa"/>
            <w:shd w:val="clear" w:color="auto" w:fill="auto"/>
          </w:tcPr>
          <w:p w14:paraId="1E010D75">
            <w:pPr>
              <w:pStyle w:val="150"/>
            </w:pPr>
            <w:r>
              <w:t>新建</w:t>
            </w:r>
            <w:r>
              <w:rPr>
                <w:rFonts w:hint="eastAsia"/>
              </w:rPr>
              <w:t>月</w:t>
            </w:r>
            <w:r>
              <w:t>计划的简单描述。</w:t>
            </w:r>
          </w:p>
        </w:tc>
      </w:tr>
      <w:tr w14:paraId="6194FD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33" w:type="dxa"/>
            <w:shd w:val="clear" w:color="auto" w:fill="auto"/>
          </w:tcPr>
          <w:p w14:paraId="7DF9A936">
            <w:pPr>
              <w:pStyle w:val="150"/>
            </w:pPr>
            <w:r>
              <w:rPr>
                <w:rFonts w:hint="eastAsia"/>
              </w:rPr>
              <w:t xml:space="preserve">开始时间 </w:t>
            </w:r>
          </w:p>
        </w:tc>
        <w:tc>
          <w:tcPr>
            <w:tcW w:w="6635" w:type="dxa"/>
            <w:shd w:val="clear" w:color="auto" w:fill="auto"/>
          </w:tcPr>
          <w:p w14:paraId="6DDD65BD">
            <w:pPr>
              <w:pStyle w:val="150"/>
            </w:pPr>
            <w:r>
              <w:rPr>
                <w:rFonts w:hint="eastAsia"/>
              </w:rPr>
              <w:t>月计划的开始时间。</w:t>
            </w:r>
          </w:p>
        </w:tc>
      </w:tr>
      <w:tr w14:paraId="1AAF50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33" w:type="dxa"/>
            <w:shd w:val="clear" w:color="auto" w:fill="auto"/>
          </w:tcPr>
          <w:p w14:paraId="2BDC1161">
            <w:pPr>
              <w:pStyle w:val="150"/>
            </w:pPr>
            <w:r>
              <w:rPr>
                <w:rFonts w:hint="eastAsia"/>
              </w:rPr>
              <w:t xml:space="preserve">结束时间 </w:t>
            </w:r>
          </w:p>
        </w:tc>
        <w:tc>
          <w:tcPr>
            <w:tcW w:w="6635" w:type="dxa"/>
            <w:shd w:val="clear" w:color="auto" w:fill="auto"/>
          </w:tcPr>
          <w:p w14:paraId="34938703">
            <w:pPr>
              <w:pStyle w:val="150"/>
            </w:pPr>
            <w:r>
              <w:rPr>
                <w:rFonts w:hint="eastAsia"/>
              </w:rPr>
              <w:t>月计划的结束时间时间。</w:t>
            </w:r>
          </w:p>
        </w:tc>
      </w:tr>
      <w:tr w14:paraId="363F2F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33" w:type="dxa"/>
            <w:shd w:val="clear" w:color="auto" w:fill="auto"/>
          </w:tcPr>
          <w:p w14:paraId="52B363CE">
            <w:pPr>
              <w:pStyle w:val="150"/>
            </w:pPr>
            <w:r>
              <w:rPr>
                <w:rFonts w:hint="eastAsia"/>
              </w:rPr>
              <w:t>日计划</w:t>
            </w:r>
          </w:p>
        </w:tc>
        <w:tc>
          <w:tcPr>
            <w:tcW w:w="6635" w:type="dxa"/>
            <w:shd w:val="clear" w:color="auto" w:fill="auto"/>
          </w:tcPr>
          <w:p w14:paraId="4708C375">
            <w:pPr>
              <w:pStyle w:val="150"/>
            </w:pPr>
            <w:r>
              <w:rPr>
                <w:rFonts w:hint="eastAsia"/>
              </w:rPr>
              <w:t>为月计划的每一天选择对应的日计划。</w:t>
            </w:r>
          </w:p>
        </w:tc>
      </w:tr>
      <w:tr w14:paraId="77186F5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33" w:type="dxa"/>
            <w:shd w:val="clear" w:color="auto" w:fill="auto"/>
          </w:tcPr>
          <w:p w14:paraId="310967D8">
            <w:pPr>
              <w:pStyle w:val="150"/>
            </w:pPr>
            <w:r>
              <w:t>已添加项目</w:t>
            </w:r>
          </w:p>
        </w:tc>
        <w:tc>
          <w:tcPr>
            <w:tcW w:w="6635" w:type="dxa"/>
            <w:shd w:val="clear" w:color="auto" w:fill="auto"/>
          </w:tcPr>
          <w:p w14:paraId="50E18782">
            <w:pPr>
              <w:pStyle w:val="150"/>
            </w:pPr>
            <w:r>
              <w:rPr>
                <w:rFonts w:hint="eastAsia"/>
              </w:rPr>
              <w:t>已经添加的日期及对应的日计划。</w:t>
            </w:r>
          </w:p>
        </w:tc>
      </w:tr>
    </w:tbl>
    <w:p w14:paraId="7F74A376"/>
    <w:p w14:paraId="38AFE911">
      <w:r>
        <w:rPr>
          <w:rFonts w:hint="eastAsia"/>
        </w:rPr>
        <w:t>点击</w:t>
      </w:r>
      <w:r>
        <w:t>&lt;</w:t>
      </w:r>
      <w:r>
        <w:rPr>
          <w:rFonts w:hint="eastAsia"/>
        </w:rPr>
        <w:t>提交</w:t>
      </w:r>
      <w:r>
        <w:t>&gt;</w:t>
      </w:r>
      <w:r>
        <w:rPr>
          <w:rFonts w:hint="eastAsia"/>
        </w:rPr>
        <w:t>按钮，提交配置。提交配置后，可通过如</w:t>
      </w:r>
      <w:r>
        <w:rPr>
          <w:color w:val="0000FF"/>
          <w:u w:val="single"/>
        </w:rPr>
        <w:fldChar w:fldCharType="begin"/>
      </w:r>
      <w:r>
        <w:instrText xml:space="preserve"> </w:instrText>
      </w:r>
      <w:r>
        <w:rPr>
          <w:rFonts w:hint="eastAsia"/>
        </w:rPr>
        <w:instrText xml:space="preserve">REF _Ref5630340 \r \h</w:instrText>
      </w:r>
      <w:r>
        <w:instrText xml:space="preserve"> </w:instrText>
      </w:r>
      <w:r>
        <w:rPr>
          <w:color w:val="0000FF"/>
          <w:u w:val="single"/>
        </w:rPr>
        <w:fldChar w:fldCharType="separate"/>
      </w:r>
      <w:r>
        <w:rPr>
          <w:rFonts w:hint="eastAsia"/>
        </w:rPr>
        <w:t>图28-41</w:t>
      </w:r>
      <w:r>
        <w:rPr>
          <w:color w:val="0000FF"/>
          <w:u w:val="single"/>
        </w:rPr>
        <w:fldChar w:fldCharType="end"/>
      </w:r>
      <w:r>
        <w:rPr>
          <w:rFonts w:hint="eastAsia"/>
        </w:rPr>
        <w:t>所示页面查看已配置条目。</w:t>
      </w:r>
    </w:p>
    <w:p w14:paraId="4F8D0D1D">
      <w:pPr>
        <w:pStyle w:val="188"/>
      </w:pPr>
      <w:bookmarkStart w:id="6495" w:name="_Toc141874969"/>
      <w:bookmarkStart w:id="6496" w:name="_Ref5630340"/>
      <w:r>
        <w:rPr>
          <w:rFonts w:hint="eastAsia"/>
        </w:rPr>
        <w:t>月计划配置概览页面</w:t>
      </w:r>
      <w:bookmarkEnd w:id="6495"/>
      <w:bookmarkEnd w:id="6496"/>
    </w:p>
    <w:p w14:paraId="713CE680">
      <w:pPr>
        <w:spacing w:before="78" w:after="78"/>
      </w:pPr>
      <w:r>
        <w:drawing>
          <wp:inline distT="0" distB="0" distL="0" distR="0">
            <wp:extent cx="5772150" cy="1111885"/>
            <wp:effectExtent l="0" t="0" r="0" b="0"/>
            <wp:docPr id="533"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533"/>
                    <pic:cNvPicPr>
                      <a:picLocks noChangeAspect="1"/>
                    </pic:cNvPicPr>
                  </pic:nvPicPr>
                  <pic:blipFill>
                    <a:blip r:embed="rId804"/>
                    <a:stretch>
                      <a:fillRect/>
                    </a:stretch>
                  </pic:blipFill>
                  <pic:spPr>
                    <a:xfrm>
                      <a:off x="0" y="0"/>
                      <a:ext cx="5814034" cy="1120219"/>
                    </a:xfrm>
                    <a:prstGeom prst="rect">
                      <a:avLst/>
                    </a:prstGeom>
                  </pic:spPr>
                </pic:pic>
              </a:graphicData>
            </a:graphic>
          </wp:inline>
        </w:drawing>
      </w:r>
    </w:p>
    <w:p w14:paraId="4863BBF4"/>
    <w:p w14:paraId="352E586E">
      <w:pPr>
        <w:pStyle w:val="5"/>
      </w:pPr>
      <w:bookmarkStart w:id="6497" w:name="_Toc15485112"/>
      <w:bookmarkStart w:id="6498" w:name="_Toc141873595"/>
      <w:bookmarkStart w:id="6499" w:name="_Toc99561687"/>
      <w:bookmarkStart w:id="6500" w:name="_Toc23152876"/>
      <w:bookmarkStart w:id="6501" w:name="_Toc194081072"/>
      <w:bookmarkStart w:id="6502" w:name="_Toc388265425"/>
      <w:bookmarkStart w:id="6503" w:name="_Toc389059225"/>
      <w:bookmarkStart w:id="6504" w:name="_Toc196728404"/>
      <w:bookmarkStart w:id="6505" w:name="_Toc172218370"/>
      <w:bookmarkStart w:id="6506" w:name="_Toc40276302"/>
      <w:bookmarkStart w:id="6507" w:name="_Toc142401112"/>
      <w:bookmarkStart w:id="6508" w:name="_Toc389749953"/>
      <w:bookmarkStart w:id="6509" w:name="_Toc474250038"/>
      <w:bookmarkStart w:id="6510" w:name="_Toc6234882"/>
      <w:r>
        <w:rPr>
          <w:rFonts w:hint="eastAsia"/>
        </w:rPr>
        <w:t>配置单次计划</w:t>
      </w:r>
      <w:bookmarkEnd w:id="6497"/>
      <w:bookmarkEnd w:id="6498"/>
      <w:bookmarkEnd w:id="6499"/>
      <w:bookmarkEnd w:id="6500"/>
      <w:bookmarkEnd w:id="6501"/>
      <w:bookmarkEnd w:id="6502"/>
      <w:bookmarkEnd w:id="6503"/>
      <w:bookmarkEnd w:id="6504"/>
      <w:bookmarkEnd w:id="6505"/>
      <w:bookmarkEnd w:id="6506"/>
      <w:bookmarkEnd w:id="6507"/>
      <w:bookmarkEnd w:id="6508"/>
      <w:bookmarkEnd w:id="6509"/>
      <w:bookmarkEnd w:id="6510"/>
    </w:p>
    <w:p w14:paraId="4E03572A">
      <w:r>
        <w:rPr>
          <w:rFonts w:hint="eastAsia"/>
        </w:rPr>
        <w:t>通过菜单“策略配置 &gt; 对象管理 &gt;</w:t>
      </w:r>
      <w:r>
        <w:t xml:space="preserve"> </w:t>
      </w:r>
      <w:r>
        <w:rPr>
          <w:rFonts w:hint="eastAsia"/>
        </w:rPr>
        <w:t>时间对象</w:t>
      </w:r>
      <w:r>
        <w:t xml:space="preserve"> &gt; </w:t>
      </w:r>
      <w:r>
        <w:rPr>
          <w:rFonts w:hint="eastAsia"/>
        </w:rPr>
        <w:t>单次计划”，进入如</w:t>
      </w:r>
      <w:r>
        <w:rPr>
          <w:color w:val="0000FF"/>
          <w:u w:val="single"/>
        </w:rPr>
        <w:fldChar w:fldCharType="begin"/>
      </w:r>
      <w:r>
        <w:rPr>
          <w:color w:val="0000FF"/>
          <w:u w:val="single"/>
        </w:rPr>
        <w:instrText xml:space="preserve"> REF _Ref393362146 \r \h </w:instrText>
      </w:r>
      <w:r>
        <w:rPr>
          <w:color w:val="0000FF"/>
          <w:u w:val="single"/>
        </w:rPr>
        <w:fldChar w:fldCharType="separate"/>
      </w:r>
      <w:r>
        <w:rPr>
          <w:rFonts w:hint="eastAsia"/>
          <w:color w:val="0000FF"/>
          <w:u w:val="single"/>
        </w:rPr>
        <w:t>图28-42</w:t>
      </w:r>
      <w:r>
        <w:rPr>
          <w:color w:val="0000FF"/>
          <w:u w:val="single"/>
        </w:rPr>
        <w:fldChar w:fldCharType="end"/>
      </w:r>
      <w:r>
        <w:rPr>
          <w:rFonts w:hint="eastAsia"/>
        </w:rPr>
        <w:t>所示页面。在该页面上可以新建、编辑、删除、浏览配置的单次计划。</w:t>
      </w:r>
    </w:p>
    <w:p w14:paraId="7133D2FA">
      <w:pPr>
        <w:pStyle w:val="188"/>
      </w:pPr>
      <w:bookmarkStart w:id="6511" w:name="_Ref393362146"/>
      <w:bookmarkStart w:id="6512" w:name="_Toc141874970"/>
      <w:r>
        <w:t>单次计划页面</w:t>
      </w:r>
      <w:bookmarkEnd w:id="6511"/>
      <w:bookmarkEnd w:id="6512"/>
    </w:p>
    <w:p w14:paraId="6C31B029">
      <w:pPr>
        <w:spacing w:before="78" w:after="78"/>
      </w:pPr>
      <w:r>
        <w:drawing>
          <wp:inline distT="0" distB="0" distL="0" distR="0">
            <wp:extent cx="5619750" cy="987425"/>
            <wp:effectExtent l="0" t="0" r="0" b="3175"/>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534"/>
                    <pic:cNvPicPr>
                      <a:picLocks noChangeAspect="1"/>
                    </pic:cNvPicPr>
                  </pic:nvPicPr>
                  <pic:blipFill>
                    <a:blip r:embed="rId805"/>
                    <a:stretch>
                      <a:fillRect/>
                    </a:stretch>
                  </pic:blipFill>
                  <pic:spPr>
                    <a:xfrm>
                      <a:off x="0" y="0"/>
                      <a:ext cx="5640563" cy="991400"/>
                    </a:xfrm>
                    <a:prstGeom prst="rect">
                      <a:avLst/>
                    </a:prstGeom>
                  </pic:spPr>
                </pic:pic>
              </a:graphicData>
            </a:graphic>
          </wp:inline>
        </w:drawing>
      </w:r>
    </w:p>
    <w:p w14:paraId="49401219"/>
    <w:p w14:paraId="3A033701">
      <w:r>
        <w:rPr>
          <w:rFonts w:hint="eastAsia"/>
        </w:rPr>
        <w:t>点击</w:t>
      </w:r>
      <w:r>
        <w:t>&lt;</w:t>
      </w:r>
      <w:r>
        <w:rPr>
          <w:rFonts w:hint="eastAsia"/>
        </w:rPr>
        <w:t>新建</w:t>
      </w:r>
      <w:r>
        <w:t>&gt;</w:t>
      </w:r>
      <w:r>
        <w:rPr>
          <w:rFonts w:hint="eastAsia"/>
        </w:rPr>
        <w:t>按钮，进入如</w:t>
      </w:r>
      <w:r>
        <w:fldChar w:fldCharType="begin"/>
      </w:r>
      <w:r>
        <w:instrText xml:space="preserve"> REF _Ref393362152 \r \h </w:instrText>
      </w:r>
      <w:r>
        <w:fldChar w:fldCharType="separate"/>
      </w:r>
      <w:r>
        <w:rPr>
          <w:rFonts w:hint="eastAsia"/>
        </w:rPr>
        <w:t>图28-43</w:t>
      </w:r>
      <w:r>
        <w:fldChar w:fldCharType="end"/>
      </w:r>
      <w:r>
        <w:rPr>
          <w:rFonts w:hint="eastAsia"/>
        </w:rPr>
        <w:t>所示的新建页面，各个配置项的含义如</w:t>
      </w:r>
      <w:r>
        <w:fldChar w:fldCharType="begin"/>
      </w:r>
      <w:r>
        <w:instrText xml:space="preserve"> REF _Ref393362157 \r \h </w:instrText>
      </w:r>
      <w:r>
        <w:fldChar w:fldCharType="separate"/>
      </w:r>
      <w:r>
        <w:rPr>
          <w:rFonts w:hint="eastAsia"/>
        </w:rPr>
        <w:t>表28-1</w:t>
      </w:r>
      <w:r>
        <w:fldChar w:fldCharType="end"/>
      </w:r>
      <w:r>
        <w:rPr>
          <w:rFonts w:hint="eastAsia"/>
        </w:rPr>
        <w:t>所示。</w:t>
      </w:r>
    </w:p>
    <w:p w14:paraId="2861E6C0">
      <w:pPr>
        <w:pStyle w:val="188"/>
      </w:pPr>
      <w:bookmarkStart w:id="6513" w:name="_Ref393362152"/>
      <w:bookmarkStart w:id="6514" w:name="_Toc141874971"/>
      <w:r>
        <w:t>添加单次计划</w:t>
      </w:r>
      <w:bookmarkEnd w:id="6513"/>
      <w:bookmarkEnd w:id="6514"/>
    </w:p>
    <w:p w14:paraId="4EDE0EDE">
      <w:pPr>
        <w:spacing w:before="78" w:after="78"/>
      </w:pPr>
      <w:r>
        <w:drawing>
          <wp:inline distT="0" distB="0" distL="114300" distR="114300">
            <wp:extent cx="5006340" cy="2880360"/>
            <wp:effectExtent l="0" t="0" r="7620" b="0"/>
            <wp:docPr id="101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图片 66"/>
                    <pic:cNvPicPr>
                      <a:picLocks noChangeAspect="1"/>
                    </pic:cNvPicPr>
                  </pic:nvPicPr>
                  <pic:blipFill>
                    <a:blip r:embed="rId806"/>
                    <a:stretch>
                      <a:fillRect/>
                    </a:stretch>
                  </pic:blipFill>
                  <pic:spPr>
                    <a:xfrm>
                      <a:off x="0" y="0"/>
                      <a:ext cx="5006340" cy="2880360"/>
                    </a:xfrm>
                    <a:prstGeom prst="rect">
                      <a:avLst/>
                    </a:prstGeom>
                    <a:noFill/>
                    <a:ln>
                      <a:noFill/>
                    </a:ln>
                  </pic:spPr>
                </pic:pic>
              </a:graphicData>
            </a:graphic>
          </wp:inline>
        </w:drawing>
      </w:r>
    </w:p>
    <w:p w14:paraId="37ED408D"/>
    <w:p w14:paraId="23D23C43">
      <w:pPr>
        <w:pStyle w:val="183"/>
      </w:pPr>
      <w:bookmarkStart w:id="6515" w:name="_Ref393362157"/>
      <w:bookmarkStart w:id="6516" w:name="_Toc141875631"/>
      <w:r>
        <w:t>单次计划各个配置项含义描述表</w:t>
      </w:r>
      <w:bookmarkEnd w:id="6515"/>
      <w:bookmarkEnd w:id="6516"/>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2"/>
        <w:gridCol w:w="6636"/>
      </w:tblGrid>
      <w:tr w14:paraId="6A61E62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tcBorders>
              <w:tl2br w:val="nil"/>
              <w:tr2bl w:val="nil"/>
            </w:tcBorders>
            <w:shd w:val="clear" w:color="auto" w:fill="538135" w:themeFill="accent6" w:themeFillShade="BF"/>
            <w:vAlign w:val="center"/>
          </w:tcPr>
          <w:p w14:paraId="535EA46A">
            <w:pPr>
              <w:pStyle w:val="149"/>
              <w:wordWrap/>
              <w:rPr>
                <w:b/>
                <w:bCs/>
                <w:i w:val="0"/>
                <w:iCs w:val="0"/>
              </w:rPr>
            </w:pPr>
            <w:r>
              <w:rPr>
                <w:rFonts w:hint="eastAsia"/>
                <w:b/>
                <w:bCs/>
                <w:i w:val="0"/>
                <w:iCs w:val="0"/>
              </w:rPr>
              <w:t>标题项</w:t>
            </w:r>
          </w:p>
        </w:tc>
        <w:tc>
          <w:tcPr>
            <w:tcW w:w="6684" w:type="dxa"/>
            <w:tcBorders>
              <w:tl2br w:val="nil"/>
              <w:tr2bl w:val="nil"/>
            </w:tcBorders>
            <w:shd w:val="clear" w:color="auto" w:fill="538135" w:themeFill="accent6" w:themeFillShade="BF"/>
            <w:vAlign w:val="center"/>
          </w:tcPr>
          <w:p w14:paraId="70D65AAF">
            <w:pPr>
              <w:pStyle w:val="149"/>
              <w:wordWrap/>
              <w:rPr>
                <w:b/>
                <w:bCs/>
                <w:i w:val="0"/>
                <w:iCs w:val="0"/>
              </w:rPr>
            </w:pPr>
            <w:r>
              <w:rPr>
                <w:rFonts w:hint="eastAsia"/>
                <w:b/>
                <w:bCs/>
                <w:i w:val="0"/>
                <w:iCs w:val="0"/>
              </w:rPr>
              <w:t>说明</w:t>
            </w:r>
          </w:p>
        </w:tc>
      </w:tr>
      <w:tr w14:paraId="1BF3CF4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48C76CAA">
            <w:pPr>
              <w:pStyle w:val="150"/>
            </w:pPr>
            <w:r>
              <w:t>名称</w:t>
            </w:r>
          </w:p>
        </w:tc>
        <w:tc>
          <w:tcPr>
            <w:tcW w:w="6684" w:type="dxa"/>
            <w:shd w:val="clear" w:color="auto" w:fill="auto"/>
          </w:tcPr>
          <w:p w14:paraId="25A09152">
            <w:pPr>
              <w:pStyle w:val="150"/>
            </w:pPr>
            <w:r>
              <w:t>新建单次计划的名称。</w:t>
            </w:r>
          </w:p>
        </w:tc>
      </w:tr>
      <w:tr w14:paraId="2243732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7363C47C">
            <w:pPr>
              <w:pStyle w:val="150"/>
            </w:pPr>
            <w:r>
              <w:t>描述</w:t>
            </w:r>
          </w:p>
        </w:tc>
        <w:tc>
          <w:tcPr>
            <w:tcW w:w="6684" w:type="dxa"/>
            <w:shd w:val="clear" w:color="auto" w:fill="auto"/>
          </w:tcPr>
          <w:p w14:paraId="5575C640">
            <w:pPr>
              <w:pStyle w:val="150"/>
            </w:pPr>
            <w:r>
              <w:t>新建单次计划的简单描述。</w:t>
            </w:r>
          </w:p>
        </w:tc>
      </w:tr>
      <w:tr w14:paraId="0BA105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10A6245F">
            <w:pPr>
              <w:pStyle w:val="150"/>
            </w:pPr>
            <w:r>
              <w:t>日期开始</w:t>
            </w:r>
          </w:p>
        </w:tc>
        <w:tc>
          <w:tcPr>
            <w:tcW w:w="6684" w:type="dxa"/>
            <w:shd w:val="clear" w:color="auto" w:fill="auto"/>
          </w:tcPr>
          <w:p w14:paraId="50CE0BA1">
            <w:pPr>
              <w:pStyle w:val="150"/>
            </w:pPr>
            <w:r>
              <w:rPr>
                <w:rFonts w:hint="eastAsia"/>
              </w:rPr>
              <w:t>有效时间范围的起始时间（年，月，日，时，分）。</w:t>
            </w:r>
          </w:p>
        </w:tc>
      </w:tr>
      <w:tr w14:paraId="56562A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3B58A85E">
            <w:pPr>
              <w:pStyle w:val="150"/>
            </w:pPr>
            <w:r>
              <w:t>日期结束</w:t>
            </w:r>
          </w:p>
        </w:tc>
        <w:tc>
          <w:tcPr>
            <w:tcW w:w="6684" w:type="dxa"/>
            <w:shd w:val="clear" w:color="auto" w:fill="auto"/>
          </w:tcPr>
          <w:p w14:paraId="533FEC39">
            <w:pPr>
              <w:pStyle w:val="150"/>
            </w:pPr>
            <w:r>
              <w:rPr>
                <w:rFonts w:hint="eastAsia"/>
              </w:rPr>
              <w:t>有效时间范围的终止时间（年，月，日，时，分）。</w:t>
            </w:r>
          </w:p>
        </w:tc>
      </w:tr>
      <w:tr w14:paraId="79D07A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42B81AAF">
            <w:pPr>
              <w:pStyle w:val="150"/>
            </w:pPr>
            <w:r>
              <w:t>循环时间</w:t>
            </w:r>
          </w:p>
        </w:tc>
        <w:tc>
          <w:tcPr>
            <w:tcW w:w="6684" w:type="dxa"/>
            <w:shd w:val="clear" w:color="auto" w:fill="auto"/>
          </w:tcPr>
          <w:p w14:paraId="2BE48BB5">
            <w:pPr>
              <w:pStyle w:val="150"/>
            </w:pPr>
            <w:r>
              <w:rPr>
                <w:rFonts w:hint="eastAsia"/>
              </w:rPr>
              <w:t>添加从日期开始到日期结束每一天的日计划。</w:t>
            </w:r>
          </w:p>
        </w:tc>
      </w:tr>
    </w:tbl>
    <w:p w14:paraId="4DF14DEA"/>
    <w:p w14:paraId="3D46F7C7">
      <w:r>
        <w:rPr>
          <w:rFonts w:hint="eastAsia"/>
        </w:rPr>
        <w:t>点击</w:t>
      </w:r>
      <w:r>
        <w:t>&lt;</w:t>
      </w:r>
      <w:r>
        <w:rPr>
          <w:rFonts w:hint="eastAsia"/>
        </w:rPr>
        <w:t>提交</w:t>
      </w:r>
      <w:r>
        <w:t>&gt;</w:t>
      </w:r>
      <w:r>
        <w:rPr>
          <w:rFonts w:hint="eastAsia"/>
        </w:rPr>
        <w:t>按钮，提交配置。提交配置后，可通过如</w:t>
      </w:r>
      <w:r>
        <w:rPr>
          <w:color w:val="0000FF"/>
          <w:u w:val="single"/>
        </w:rPr>
        <w:fldChar w:fldCharType="begin"/>
      </w:r>
      <w:r>
        <w:rPr>
          <w:color w:val="0000FF"/>
          <w:u w:val="single"/>
        </w:rPr>
        <w:instrText xml:space="preserve"> REF _Ref393362164 \r \h </w:instrText>
      </w:r>
      <w:r>
        <w:rPr>
          <w:color w:val="0000FF"/>
          <w:u w:val="single"/>
        </w:rPr>
        <w:fldChar w:fldCharType="separate"/>
      </w:r>
      <w:r>
        <w:rPr>
          <w:rFonts w:hint="eastAsia"/>
          <w:color w:val="0000FF"/>
          <w:u w:val="single"/>
        </w:rPr>
        <w:t>图28-44</w:t>
      </w:r>
      <w:r>
        <w:rPr>
          <w:color w:val="0000FF"/>
          <w:u w:val="single"/>
        </w:rPr>
        <w:fldChar w:fldCharType="end"/>
      </w:r>
      <w:r>
        <w:rPr>
          <w:rFonts w:hint="eastAsia"/>
        </w:rPr>
        <w:t>所示页面查看已配置条目。</w:t>
      </w:r>
    </w:p>
    <w:p w14:paraId="669C6B1A">
      <w:pPr>
        <w:pStyle w:val="188"/>
      </w:pPr>
      <w:bookmarkStart w:id="6517" w:name="_Toc141874972"/>
      <w:bookmarkStart w:id="6518" w:name="_Ref393362164"/>
      <w:r>
        <w:rPr>
          <w:rFonts w:hint="eastAsia"/>
        </w:rPr>
        <w:t>单次计划配置概览页面</w:t>
      </w:r>
      <w:bookmarkEnd w:id="6517"/>
      <w:bookmarkEnd w:id="6518"/>
    </w:p>
    <w:p w14:paraId="19C5AE2C">
      <w:pPr>
        <w:spacing w:before="78" w:after="78"/>
      </w:pPr>
      <w:r>
        <w:drawing>
          <wp:inline distT="0" distB="0" distL="0" distR="0">
            <wp:extent cx="5543550" cy="1244600"/>
            <wp:effectExtent l="0" t="0" r="0" b="0"/>
            <wp:docPr id="536"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536"/>
                    <pic:cNvPicPr>
                      <a:picLocks noChangeAspect="1"/>
                    </pic:cNvPicPr>
                  </pic:nvPicPr>
                  <pic:blipFill>
                    <a:blip r:embed="rId807"/>
                    <a:stretch>
                      <a:fillRect/>
                    </a:stretch>
                  </pic:blipFill>
                  <pic:spPr>
                    <a:xfrm>
                      <a:off x="0" y="0"/>
                      <a:ext cx="5573691" cy="1251449"/>
                    </a:xfrm>
                    <a:prstGeom prst="rect">
                      <a:avLst/>
                    </a:prstGeom>
                  </pic:spPr>
                </pic:pic>
              </a:graphicData>
            </a:graphic>
          </wp:inline>
        </w:drawing>
      </w:r>
    </w:p>
    <w:p w14:paraId="4FB78CC6"/>
    <w:p w14:paraId="4FA06A03">
      <w:pPr>
        <w:pStyle w:val="4"/>
      </w:pPr>
      <w:bookmarkStart w:id="6519" w:name="_Toc6234859"/>
      <w:bookmarkStart w:id="6520" w:name="_Toc23152853"/>
      <w:bookmarkStart w:id="6521" w:name="_Toc15485089"/>
      <w:bookmarkStart w:id="6522" w:name="_Toc40276279"/>
      <w:bookmarkStart w:id="6523" w:name="_Toc99561690"/>
      <w:bookmarkStart w:id="6524" w:name="_Toc141873596"/>
      <w:bookmarkStart w:id="6525" w:name="_Toc142401113"/>
      <w:bookmarkStart w:id="6526" w:name="_Toc194081073"/>
      <w:bookmarkStart w:id="6527" w:name="_Toc172218371"/>
      <w:bookmarkStart w:id="6528" w:name="_Toc196728405"/>
      <w:bookmarkStart w:id="6529" w:name="_Toc40276305"/>
      <w:bookmarkStart w:id="6530" w:name="_Toc15485115"/>
      <w:bookmarkStart w:id="6531" w:name="_Toc23152879"/>
      <w:bookmarkStart w:id="6532" w:name="_Toc6234885"/>
      <w:bookmarkStart w:id="6533" w:name="_Toc4744483"/>
      <w:bookmarkStart w:id="6534" w:name="_Toc474250475"/>
      <w:r>
        <w:rPr>
          <w:rFonts w:hint="eastAsia"/>
        </w:rPr>
        <w:t>URL对象</w:t>
      </w:r>
      <w:bookmarkEnd w:id="6519"/>
      <w:bookmarkEnd w:id="6520"/>
      <w:bookmarkEnd w:id="6521"/>
      <w:bookmarkEnd w:id="6522"/>
      <w:bookmarkEnd w:id="6523"/>
      <w:bookmarkEnd w:id="6524"/>
      <w:bookmarkEnd w:id="6525"/>
      <w:bookmarkEnd w:id="6526"/>
      <w:bookmarkEnd w:id="6527"/>
      <w:bookmarkEnd w:id="6528"/>
    </w:p>
    <w:p w14:paraId="580FC603">
      <w:pPr>
        <w:pStyle w:val="5"/>
      </w:pPr>
      <w:bookmarkStart w:id="6535" w:name="_Toc99561691"/>
      <w:bookmarkStart w:id="6536" w:name="_Toc529430406"/>
      <w:bookmarkStart w:id="6537" w:name="_Toc142401114"/>
      <w:bookmarkStart w:id="6538" w:name="_Toc15485090"/>
      <w:bookmarkStart w:id="6539" w:name="_Toc40276280"/>
      <w:bookmarkStart w:id="6540" w:name="_Toc172218372"/>
      <w:bookmarkStart w:id="6541" w:name="_Toc194081074"/>
      <w:bookmarkStart w:id="6542" w:name="_Toc196728406"/>
      <w:bookmarkStart w:id="6543" w:name="_Toc141873597"/>
      <w:bookmarkStart w:id="6544" w:name="_Toc474250042"/>
      <w:bookmarkStart w:id="6545" w:name="_Toc6234860"/>
      <w:bookmarkStart w:id="6546" w:name="_Toc23152854"/>
      <w:r>
        <w:rPr>
          <w:rFonts w:hint="eastAsia"/>
        </w:rPr>
        <w:t>URL</w:t>
      </w:r>
      <w:r>
        <w:t>过滤简介</w:t>
      </w:r>
      <w:bookmarkEnd w:id="6535"/>
      <w:bookmarkEnd w:id="6536"/>
      <w:bookmarkEnd w:id="6537"/>
      <w:bookmarkEnd w:id="6538"/>
      <w:bookmarkEnd w:id="6539"/>
      <w:bookmarkEnd w:id="6540"/>
      <w:bookmarkEnd w:id="6541"/>
      <w:bookmarkEnd w:id="6542"/>
      <w:bookmarkEnd w:id="6543"/>
      <w:bookmarkEnd w:id="6544"/>
      <w:bookmarkEnd w:id="6545"/>
      <w:bookmarkEnd w:id="6546"/>
    </w:p>
    <w:p w14:paraId="702C4185">
      <w:r>
        <w:t>URL</w:t>
      </w:r>
      <w:r>
        <w:rPr>
          <w:rFonts w:hint="eastAsia"/>
        </w:rPr>
        <w:t>分类是根据</w:t>
      </w:r>
      <w:r>
        <w:t>URL</w:t>
      </w:r>
      <w:r>
        <w:rPr>
          <w:rFonts w:hint="eastAsia"/>
        </w:rPr>
        <w:t>请求将网站访问分成相应的类别。</w:t>
      </w:r>
      <w:r>
        <w:t>URL</w:t>
      </w:r>
      <w:r>
        <w:rPr>
          <w:rFonts w:hint="eastAsia"/>
        </w:rPr>
        <w:t>分类库是进行分类的依据，已经内置在版本当中。用户也可以依据自己的需要，自行定义新的</w:t>
      </w:r>
      <w:r>
        <w:t>URL</w:t>
      </w:r>
      <w:r>
        <w:rPr>
          <w:rFonts w:hint="eastAsia"/>
        </w:rPr>
        <w:t>分类。</w:t>
      </w:r>
    </w:p>
    <w:p w14:paraId="6CDA82C0">
      <w:r>
        <w:rPr>
          <w:rFonts w:hint="eastAsia"/>
        </w:rPr>
        <w:t>通过网站策略对其进行引用，并启用该策略，可以对相关的用户起到网站控制的作用。这样可以通过</w:t>
      </w:r>
      <w:r>
        <w:t>HTTP</w:t>
      </w:r>
      <w:r>
        <w:rPr>
          <w:rFonts w:hint="eastAsia"/>
        </w:rPr>
        <w:t>协议为用户提供应用级的安全防护和访问限制。</w:t>
      </w:r>
    </w:p>
    <w:p w14:paraId="055F558F">
      <w:bookmarkStart w:id="6547" w:name="_Toc496864076"/>
      <w:bookmarkEnd w:id="6547"/>
      <w:bookmarkStart w:id="6548" w:name="_Toc496864074"/>
      <w:bookmarkEnd w:id="6548"/>
      <w:bookmarkStart w:id="6549" w:name="_Toc496864072"/>
      <w:bookmarkEnd w:id="6549"/>
      <w:bookmarkStart w:id="6550" w:name="_Toc496864075"/>
      <w:bookmarkEnd w:id="6550"/>
      <w:bookmarkStart w:id="6551" w:name="_Toc496864096"/>
      <w:bookmarkEnd w:id="6551"/>
      <w:bookmarkStart w:id="6552" w:name="_Toc496864115"/>
      <w:bookmarkEnd w:id="6552"/>
      <w:bookmarkStart w:id="6553" w:name="_Toc496864077"/>
      <w:bookmarkEnd w:id="6553"/>
      <w:bookmarkStart w:id="6554" w:name="_Toc496864117"/>
      <w:bookmarkEnd w:id="6554"/>
      <w:bookmarkStart w:id="6555" w:name="_Toc496864119"/>
      <w:bookmarkEnd w:id="6555"/>
      <w:bookmarkStart w:id="6556" w:name="_Toc496864114"/>
      <w:bookmarkEnd w:id="6556"/>
      <w:bookmarkStart w:id="6557" w:name="_Toc496864094"/>
      <w:bookmarkEnd w:id="6557"/>
      <w:bookmarkStart w:id="6558" w:name="_Toc496864120"/>
      <w:bookmarkEnd w:id="6558"/>
      <w:bookmarkStart w:id="6559" w:name="_Toc496864097"/>
      <w:bookmarkEnd w:id="6559"/>
      <w:bookmarkStart w:id="6560" w:name="_Toc496864080"/>
      <w:bookmarkEnd w:id="6560"/>
      <w:bookmarkStart w:id="6561" w:name="_Toc496864079"/>
      <w:bookmarkEnd w:id="6561"/>
      <w:bookmarkStart w:id="6562" w:name="_Toc496864092"/>
      <w:bookmarkEnd w:id="6562"/>
      <w:bookmarkStart w:id="6563" w:name="_Toc496864095"/>
      <w:bookmarkEnd w:id="6563"/>
      <w:bookmarkStart w:id="6564" w:name="_Toc496864116"/>
      <w:bookmarkEnd w:id="6564"/>
      <w:bookmarkStart w:id="6565" w:name="_Toc496864123"/>
      <w:bookmarkEnd w:id="6565"/>
      <w:bookmarkStart w:id="6566" w:name="_Toc496864078"/>
      <w:bookmarkEnd w:id="6566"/>
      <w:bookmarkStart w:id="6567" w:name="_Toc496864112"/>
      <w:bookmarkEnd w:id="6567"/>
      <w:bookmarkStart w:id="6568" w:name="_Toc496864118"/>
      <w:bookmarkEnd w:id="6568"/>
      <w:bookmarkStart w:id="6569" w:name="_Toc496864081"/>
      <w:bookmarkEnd w:id="6569"/>
      <w:bookmarkStart w:id="6570" w:name="_Toc496864098"/>
      <w:bookmarkEnd w:id="6570"/>
      <w:bookmarkStart w:id="6571" w:name="_Toc496864099"/>
      <w:bookmarkEnd w:id="6571"/>
      <w:bookmarkStart w:id="6572" w:name="_Toc496864100"/>
      <w:bookmarkEnd w:id="6572"/>
      <w:bookmarkStart w:id="6573" w:name="_Toc496864093"/>
      <w:bookmarkEnd w:id="6573"/>
      <w:bookmarkStart w:id="6574" w:name="_Toc496864122"/>
      <w:bookmarkEnd w:id="6574"/>
      <w:bookmarkStart w:id="6575" w:name="_Toc496864102"/>
      <w:bookmarkEnd w:id="6575"/>
      <w:bookmarkStart w:id="6576" w:name="_Toc496864113"/>
      <w:bookmarkEnd w:id="6576"/>
      <w:bookmarkStart w:id="6577" w:name="_Toc496864091"/>
      <w:bookmarkEnd w:id="6577"/>
      <w:bookmarkStart w:id="6578" w:name="_Toc496864133"/>
      <w:bookmarkEnd w:id="6578"/>
      <w:bookmarkStart w:id="6579" w:name="_Toc496864121"/>
      <w:bookmarkEnd w:id="6579"/>
      <w:bookmarkStart w:id="6580" w:name="_Toc496864166"/>
      <w:bookmarkEnd w:id="6580"/>
      <w:bookmarkStart w:id="6581" w:name="_Toc496864167"/>
      <w:bookmarkEnd w:id="6581"/>
      <w:bookmarkStart w:id="6582" w:name="_Toc496864101"/>
      <w:bookmarkEnd w:id="6582"/>
      <w:bookmarkStart w:id="6583" w:name="_Toc496864171"/>
      <w:bookmarkEnd w:id="6583"/>
      <w:bookmarkStart w:id="6584" w:name="_Toc496864208"/>
      <w:bookmarkEnd w:id="6584"/>
      <w:bookmarkStart w:id="6585" w:name="_Toc496864176"/>
      <w:bookmarkEnd w:id="6585"/>
      <w:bookmarkStart w:id="6586" w:name="_Toc496864172"/>
      <w:bookmarkEnd w:id="6586"/>
      <w:bookmarkStart w:id="6587" w:name="_Toc496864177"/>
      <w:bookmarkEnd w:id="6587"/>
      <w:bookmarkStart w:id="6588" w:name="_Toc496864173"/>
      <w:bookmarkEnd w:id="6588"/>
      <w:bookmarkStart w:id="6589" w:name="_Toc496864170"/>
      <w:bookmarkEnd w:id="6589"/>
      <w:bookmarkStart w:id="6590" w:name="_Toc496864174"/>
      <w:bookmarkEnd w:id="6590"/>
      <w:bookmarkStart w:id="6591" w:name="_Toc496864169"/>
      <w:bookmarkEnd w:id="6591"/>
      <w:bookmarkStart w:id="6592" w:name="_Toc496864168"/>
      <w:bookmarkEnd w:id="6592"/>
      <w:bookmarkStart w:id="6593" w:name="_Toc496864175"/>
      <w:bookmarkEnd w:id="6593"/>
      <w:bookmarkStart w:id="6594" w:name="_Toc496864178"/>
      <w:bookmarkEnd w:id="6594"/>
      <w:bookmarkStart w:id="6595" w:name="_Toc496864179"/>
      <w:bookmarkEnd w:id="6595"/>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4A93491A">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621EB2F2">
            <w:pPr>
              <w:pStyle w:val="150"/>
              <w:adjustRightInd w:val="0"/>
              <w:snapToGrid w:val="0"/>
              <w:rPr>
                <w:color w:val="auto"/>
              </w:rPr>
            </w:pPr>
            <w:r>
              <w:rPr>
                <w:b/>
                <w:color w:val="00A0E9"/>
              </w:rPr>
              <w:drawing>
                <wp:inline distT="0" distB="0" distL="0" distR="0">
                  <wp:extent cx="260350" cy="260350"/>
                  <wp:effectExtent l="0" t="0" r="6350" b="6350"/>
                  <wp:docPr id="890" name="图片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图片 890"/>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0470" cy="260470"/>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5CCFD1EB">
            <w:pPr>
              <w:pStyle w:val="207"/>
              <w:adjustRightInd w:val="0"/>
              <w:snapToGrid w:val="0"/>
              <w:rPr>
                <w:color w:val="auto"/>
                <w:lang w:eastAsia="zh-CN"/>
              </w:rPr>
            </w:pPr>
            <w:r>
              <w:rPr>
                <w:rFonts w:hint="eastAsia"/>
                <w:color w:val="auto"/>
                <w:lang w:eastAsia="zh-CN"/>
              </w:rPr>
              <w:t>自定义URL</w:t>
            </w:r>
            <w:r>
              <w:rPr>
                <w:color w:val="auto"/>
                <w:lang w:eastAsia="zh-CN"/>
              </w:rPr>
              <w:t>分类</w:t>
            </w:r>
            <w:r>
              <w:rPr>
                <w:rFonts w:hint="eastAsia"/>
                <w:color w:val="auto"/>
                <w:lang w:eastAsia="zh-CN"/>
              </w:rPr>
              <w:t>若</w:t>
            </w:r>
            <w:r>
              <w:rPr>
                <w:color w:val="auto"/>
                <w:lang w:eastAsia="zh-CN"/>
              </w:rPr>
              <w:t>与预定义URL分类冲突，自定义URL的优先级更高。</w:t>
            </w:r>
          </w:p>
          <w:p w14:paraId="4EC3DA1C">
            <w:pPr>
              <w:pStyle w:val="207"/>
              <w:adjustRightInd w:val="0"/>
              <w:snapToGrid w:val="0"/>
              <w:rPr>
                <w:color w:val="auto"/>
                <w:lang w:eastAsia="zh-CN"/>
              </w:rPr>
            </w:pPr>
            <w:r>
              <w:rPr>
                <w:rFonts w:hint="eastAsia"/>
                <w:color w:val="auto"/>
                <w:lang w:eastAsia="zh-CN"/>
              </w:rPr>
              <w:t>自定义</w:t>
            </w:r>
            <w:r>
              <w:rPr>
                <w:color w:val="auto"/>
                <w:lang w:eastAsia="zh-CN"/>
              </w:rPr>
              <w:t>URL分类</w:t>
            </w:r>
            <w:r>
              <w:rPr>
                <w:rFonts w:hint="eastAsia"/>
                <w:color w:val="auto"/>
                <w:lang w:eastAsia="zh-CN"/>
              </w:rPr>
              <w:t>定义</w:t>
            </w:r>
            <w:r>
              <w:rPr>
                <w:color w:val="auto"/>
                <w:lang w:eastAsia="zh-CN"/>
              </w:rPr>
              <w:t>以后，</w:t>
            </w:r>
            <w:r>
              <w:rPr>
                <w:rFonts w:hint="eastAsia"/>
                <w:color w:val="auto"/>
                <w:lang w:eastAsia="zh-CN"/>
              </w:rPr>
              <w:t>即使</w:t>
            </w:r>
            <w:r>
              <w:rPr>
                <w:color w:val="auto"/>
                <w:lang w:eastAsia="zh-CN"/>
              </w:rPr>
              <w:t>策略不进行引用，其优先级依然会高于被引用的预定义URL分类。</w:t>
            </w:r>
          </w:p>
        </w:tc>
      </w:tr>
    </w:tbl>
    <w:p w14:paraId="0B2AE818"/>
    <w:p w14:paraId="3561F5C3">
      <w:pPr>
        <w:pStyle w:val="5"/>
      </w:pPr>
      <w:bookmarkStart w:id="6596" w:name="_Toc496864209"/>
      <w:bookmarkEnd w:id="6596"/>
      <w:bookmarkStart w:id="6597" w:name="_Toc23152855"/>
      <w:bookmarkStart w:id="6598" w:name="_Toc40276281"/>
      <w:bookmarkStart w:id="6599" w:name="_Toc141873598"/>
      <w:bookmarkStart w:id="6600" w:name="_Toc492996183"/>
      <w:bookmarkStart w:id="6601" w:name="_Ref511048233"/>
      <w:bookmarkStart w:id="6602" w:name="_Toc15485091"/>
      <w:bookmarkStart w:id="6603" w:name="_Toc99561692"/>
      <w:bookmarkStart w:id="6604" w:name="_Toc172218373"/>
      <w:bookmarkStart w:id="6605" w:name="_Toc194081075"/>
      <w:bookmarkStart w:id="6606" w:name="_Toc494180459"/>
      <w:bookmarkStart w:id="6607" w:name="_Toc196728407"/>
      <w:bookmarkStart w:id="6608" w:name="_Ref508091279"/>
      <w:bookmarkStart w:id="6609" w:name="_Toc142401115"/>
      <w:bookmarkStart w:id="6610" w:name="_Toc529430408"/>
      <w:bookmarkStart w:id="6611" w:name="_Toc6234861"/>
      <w:r>
        <w:rPr>
          <w:rFonts w:hint="eastAsia"/>
        </w:rPr>
        <w:t>配置</w:t>
      </w:r>
      <w:r>
        <w:t>URL</w:t>
      </w:r>
      <w:r>
        <w:rPr>
          <w:rFonts w:hint="eastAsia"/>
        </w:rPr>
        <w:t>分类</w:t>
      </w:r>
      <w:bookmarkEnd w:id="6597"/>
      <w:bookmarkEnd w:id="6598"/>
      <w:bookmarkEnd w:id="6599"/>
      <w:bookmarkEnd w:id="6600"/>
      <w:bookmarkEnd w:id="6601"/>
      <w:bookmarkEnd w:id="6602"/>
      <w:bookmarkEnd w:id="6603"/>
      <w:bookmarkEnd w:id="6604"/>
      <w:bookmarkEnd w:id="6605"/>
      <w:bookmarkEnd w:id="6606"/>
      <w:bookmarkEnd w:id="6607"/>
      <w:bookmarkEnd w:id="6608"/>
      <w:bookmarkEnd w:id="6609"/>
      <w:bookmarkEnd w:id="6610"/>
      <w:bookmarkEnd w:id="6611"/>
    </w:p>
    <w:p w14:paraId="0A1E1721">
      <w:r>
        <w:rPr>
          <w:rFonts w:hint="eastAsia"/>
        </w:rPr>
        <w:t>通过菜单“策略配置 &gt; 对象管理</w:t>
      </w:r>
      <w:r>
        <w:t>&gt; URL对象</w:t>
      </w:r>
      <w:r>
        <w:rPr>
          <w:rFonts w:hint="eastAsia"/>
        </w:rPr>
        <w:t xml:space="preserve"> </w:t>
      </w:r>
      <w:r>
        <w:t>&gt; URL</w:t>
      </w:r>
      <w:r>
        <w:rPr>
          <w:rFonts w:hint="eastAsia"/>
        </w:rPr>
        <w:t>分类”，进入如</w:t>
      </w:r>
      <w:r>
        <w:fldChar w:fldCharType="begin"/>
      </w:r>
      <w:r>
        <w:instrText xml:space="preserve"> </w:instrText>
      </w:r>
      <w:r>
        <w:rPr>
          <w:rFonts w:hint="eastAsia"/>
        </w:rPr>
        <w:instrText xml:space="preserve">REF _Ref494127479 \r \h</w:instrText>
      </w:r>
      <w:r>
        <w:instrText xml:space="preserve"> </w:instrText>
      </w:r>
      <w:r>
        <w:fldChar w:fldCharType="separate"/>
      </w:r>
      <w:r>
        <w:rPr>
          <w:rFonts w:hint="eastAsia"/>
        </w:rPr>
        <w:t>图28-45</w:t>
      </w:r>
      <w:r>
        <w:fldChar w:fldCharType="end"/>
      </w:r>
      <w:r>
        <w:rPr>
          <w:rFonts w:hint="eastAsia"/>
        </w:rPr>
        <w:t>所示界面。</w:t>
      </w:r>
    </w:p>
    <w:p w14:paraId="3F6A05EF">
      <w:pPr>
        <w:pStyle w:val="188"/>
      </w:pPr>
      <w:bookmarkStart w:id="6612" w:name="_Ref494127479"/>
      <w:bookmarkStart w:id="6613" w:name="_Toc141874973"/>
      <w:r>
        <w:t>URL</w:t>
      </w:r>
      <w:r>
        <w:rPr>
          <w:rFonts w:hint="eastAsia"/>
        </w:rPr>
        <w:t>分类展示界面</w:t>
      </w:r>
      <w:bookmarkEnd w:id="6612"/>
      <w:bookmarkEnd w:id="6613"/>
    </w:p>
    <w:p w14:paraId="61727D76">
      <w:pPr>
        <w:spacing w:before="78" w:after="78"/>
      </w:pPr>
      <w:r>
        <w:drawing>
          <wp:inline distT="0" distB="0" distL="0" distR="0">
            <wp:extent cx="5400040" cy="1830705"/>
            <wp:effectExtent l="0" t="0" r="0" b="0"/>
            <wp:docPr id="711" name="图片 2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图片 2718"/>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a:xfrm>
                      <a:off x="0" y="0"/>
                      <a:ext cx="5400040" cy="1830807"/>
                    </a:xfrm>
                    <a:prstGeom prst="rect">
                      <a:avLst/>
                    </a:prstGeom>
                    <a:noFill/>
                    <a:ln>
                      <a:noFill/>
                    </a:ln>
                  </pic:spPr>
                </pic:pic>
              </a:graphicData>
            </a:graphic>
          </wp:inline>
        </w:drawing>
      </w:r>
    </w:p>
    <w:p w14:paraId="0043F754"/>
    <w:p w14:paraId="4A7414BA">
      <w:r>
        <w:rPr>
          <w:rFonts w:hint="eastAsia"/>
        </w:rPr>
        <w:t>查看</w:t>
      </w:r>
      <w:r>
        <w:t>URL</w:t>
      </w:r>
      <w:r>
        <w:rPr>
          <w:rFonts w:hint="eastAsia"/>
        </w:rPr>
        <w:t>分类的显示信息如</w:t>
      </w:r>
      <w:r>
        <w:fldChar w:fldCharType="begin"/>
      </w:r>
      <w:r>
        <w:instrText xml:space="preserve"> </w:instrText>
      </w:r>
      <w:r>
        <w:rPr>
          <w:rFonts w:hint="eastAsia"/>
        </w:rPr>
        <w:instrText xml:space="preserve">REF _Ref494127489 \r \h</w:instrText>
      </w:r>
      <w:r>
        <w:instrText xml:space="preserve"> </w:instrText>
      </w:r>
      <w:r>
        <w:fldChar w:fldCharType="separate"/>
      </w:r>
      <w:r>
        <w:rPr>
          <w:rFonts w:hint="eastAsia"/>
        </w:rPr>
        <w:t>表28-1</w:t>
      </w:r>
      <w:r>
        <w:fldChar w:fldCharType="end"/>
      </w:r>
      <w:r>
        <w:rPr>
          <w:rFonts w:hint="eastAsia"/>
        </w:rPr>
        <w:t>所示：</w:t>
      </w:r>
    </w:p>
    <w:p w14:paraId="624BFAC9">
      <w:pPr>
        <w:pStyle w:val="183"/>
      </w:pPr>
      <w:bookmarkStart w:id="6614" w:name="_Ref494127489"/>
      <w:bookmarkStart w:id="6615" w:name="_Toc141875632"/>
      <w:r>
        <w:t>URL</w:t>
      </w:r>
      <w:r>
        <w:rPr>
          <w:rFonts w:hint="eastAsia"/>
        </w:rPr>
        <w:t>分类显示信息描述表</w:t>
      </w:r>
      <w:bookmarkEnd w:id="6614"/>
      <w:bookmarkEnd w:id="6615"/>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978"/>
        <w:gridCol w:w="6992"/>
      </w:tblGrid>
      <w:tr w14:paraId="2A8EAA9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tcBorders>
              <w:tl2br w:val="nil"/>
              <w:tr2bl w:val="nil"/>
            </w:tcBorders>
            <w:shd w:val="clear" w:color="auto" w:fill="538135" w:themeFill="accent6" w:themeFillShade="BF"/>
            <w:vAlign w:val="center"/>
          </w:tcPr>
          <w:p w14:paraId="17E0E9BB">
            <w:pPr>
              <w:pStyle w:val="149"/>
              <w:wordWrap/>
              <w:rPr>
                <w:b/>
                <w:bCs/>
                <w:i w:val="0"/>
                <w:iCs w:val="0"/>
              </w:rPr>
            </w:pPr>
            <w:r>
              <w:rPr>
                <w:rFonts w:hint="eastAsia"/>
                <w:b/>
                <w:bCs/>
                <w:i w:val="0"/>
                <w:iCs w:val="0"/>
              </w:rPr>
              <w:t>参数</w:t>
            </w:r>
          </w:p>
        </w:tc>
        <w:tc>
          <w:tcPr>
            <w:tcW w:w="6294" w:type="dxa"/>
            <w:tcBorders>
              <w:tl2br w:val="nil"/>
              <w:tr2bl w:val="nil"/>
            </w:tcBorders>
            <w:shd w:val="clear" w:color="auto" w:fill="538135" w:themeFill="accent6" w:themeFillShade="BF"/>
            <w:vAlign w:val="center"/>
          </w:tcPr>
          <w:p w14:paraId="2A737650">
            <w:pPr>
              <w:pStyle w:val="149"/>
              <w:wordWrap/>
              <w:rPr>
                <w:b/>
                <w:bCs/>
                <w:i w:val="0"/>
                <w:iCs w:val="0"/>
              </w:rPr>
            </w:pPr>
            <w:r>
              <w:rPr>
                <w:rFonts w:hint="eastAsia"/>
                <w:b/>
                <w:bCs/>
                <w:i w:val="0"/>
                <w:iCs w:val="0"/>
              </w:rPr>
              <w:t>描述</w:t>
            </w:r>
          </w:p>
        </w:tc>
      </w:tr>
      <w:tr w14:paraId="4F8D002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shd w:val="clear" w:color="auto" w:fill="auto"/>
          </w:tcPr>
          <w:p w14:paraId="3E322570">
            <w:pPr>
              <w:pStyle w:val="150"/>
            </w:pPr>
            <w:r>
              <w:rPr>
                <w:rFonts w:hint="eastAsia"/>
              </w:rPr>
              <w:t>名称</w:t>
            </w:r>
          </w:p>
        </w:tc>
        <w:tc>
          <w:tcPr>
            <w:tcW w:w="6294" w:type="dxa"/>
            <w:shd w:val="clear" w:color="auto" w:fill="auto"/>
          </w:tcPr>
          <w:p w14:paraId="24D30C56">
            <w:pPr>
              <w:pStyle w:val="150"/>
            </w:pPr>
            <w:r>
              <w:t>URL</w:t>
            </w:r>
            <w:r>
              <w:rPr>
                <w:rFonts w:hint="eastAsia"/>
              </w:rPr>
              <w:t>分类名称</w:t>
            </w:r>
          </w:p>
        </w:tc>
      </w:tr>
      <w:tr w14:paraId="7D91CD7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81" w:type="dxa"/>
            <w:shd w:val="clear" w:color="auto" w:fill="auto"/>
          </w:tcPr>
          <w:p w14:paraId="6F4AD75D">
            <w:pPr>
              <w:pStyle w:val="150"/>
            </w:pPr>
            <w:r>
              <w:rPr>
                <w:rFonts w:hint="eastAsia"/>
              </w:rPr>
              <w:t>描述</w:t>
            </w:r>
          </w:p>
        </w:tc>
        <w:tc>
          <w:tcPr>
            <w:tcW w:w="6294" w:type="dxa"/>
            <w:shd w:val="clear" w:color="auto" w:fill="auto"/>
          </w:tcPr>
          <w:p w14:paraId="253501C6">
            <w:pPr>
              <w:pStyle w:val="150"/>
            </w:pPr>
            <w:r>
              <w:t>URL</w:t>
            </w:r>
            <w:r>
              <w:rPr>
                <w:rFonts w:hint="eastAsia"/>
              </w:rPr>
              <w:t>分类描述</w:t>
            </w:r>
          </w:p>
        </w:tc>
      </w:tr>
    </w:tbl>
    <w:p w14:paraId="5D8515F7">
      <w:bookmarkStart w:id="6616" w:name="_Toc494180460"/>
      <w:bookmarkStart w:id="6617" w:name="_Toc492996184"/>
      <w:bookmarkStart w:id="6618" w:name="_Ref508091290"/>
    </w:p>
    <w:p w14:paraId="55A891C0">
      <w:pPr>
        <w:pStyle w:val="5"/>
      </w:pPr>
      <w:bookmarkStart w:id="6619" w:name="_Toc6234862"/>
      <w:bookmarkStart w:id="6620" w:name="_Toc23152856"/>
      <w:bookmarkStart w:id="6621" w:name="_Toc196728408"/>
      <w:bookmarkStart w:id="6622" w:name="_Ref511048234"/>
      <w:bookmarkStart w:id="6623" w:name="_Toc15485092"/>
      <w:bookmarkStart w:id="6624" w:name="_Toc99561693"/>
      <w:bookmarkStart w:id="6625" w:name="_Toc141873599"/>
      <w:bookmarkStart w:id="6626" w:name="_Toc142401116"/>
      <w:bookmarkStart w:id="6627" w:name="_Toc172218374"/>
      <w:bookmarkStart w:id="6628" w:name="_Toc194081076"/>
      <w:bookmarkStart w:id="6629" w:name="_Toc40276282"/>
      <w:bookmarkStart w:id="6630" w:name="_Toc529430409"/>
      <w:r>
        <w:rPr>
          <w:rFonts w:hint="eastAsia"/>
        </w:rPr>
        <w:t>配置自定义</w:t>
      </w:r>
      <w:r>
        <w:t>URL</w:t>
      </w:r>
      <w:bookmarkEnd w:id="6616"/>
      <w:bookmarkEnd w:id="6617"/>
      <w:bookmarkEnd w:id="6618"/>
      <w:bookmarkEnd w:id="6619"/>
      <w:bookmarkEnd w:id="6620"/>
      <w:bookmarkEnd w:id="6621"/>
      <w:bookmarkEnd w:id="6622"/>
      <w:bookmarkEnd w:id="6623"/>
      <w:bookmarkEnd w:id="6624"/>
      <w:bookmarkEnd w:id="6625"/>
      <w:bookmarkEnd w:id="6626"/>
      <w:bookmarkEnd w:id="6627"/>
      <w:bookmarkEnd w:id="6628"/>
      <w:bookmarkEnd w:id="6629"/>
      <w:bookmarkEnd w:id="6630"/>
      <w:r>
        <w:t xml:space="preserve"> </w:t>
      </w:r>
    </w:p>
    <w:p w14:paraId="3EEC579B">
      <w:r>
        <w:rPr>
          <w:rFonts w:hint="eastAsia"/>
        </w:rPr>
        <w:t>选择菜单“策略配置 &gt; 对象管理</w:t>
      </w:r>
      <w:r>
        <w:t>&gt; URL对象</w:t>
      </w:r>
      <w:r>
        <w:rPr>
          <w:rFonts w:hint="eastAsia"/>
        </w:rPr>
        <w:t xml:space="preserve"> </w:t>
      </w:r>
      <w:r>
        <w:t xml:space="preserve">&gt; </w:t>
      </w:r>
      <w:r>
        <w:rPr>
          <w:rFonts w:hint="eastAsia"/>
        </w:rPr>
        <w:t>自定义</w:t>
      </w:r>
      <w:r>
        <w:t>URL</w:t>
      </w:r>
      <w:r>
        <w:rPr>
          <w:rFonts w:hint="eastAsia"/>
        </w:rPr>
        <w:t>”，进入如</w:t>
      </w:r>
      <w:r>
        <w:fldChar w:fldCharType="begin"/>
      </w:r>
      <w:r>
        <w:instrText xml:space="preserve"> </w:instrText>
      </w:r>
      <w:r>
        <w:rPr>
          <w:rFonts w:hint="eastAsia"/>
        </w:rPr>
        <w:instrText xml:space="preserve">REF _Ref494127503 \r \h</w:instrText>
      </w:r>
      <w:r>
        <w:instrText xml:space="preserve"> </w:instrText>
      </w:r>
      <w:r>
        <w:fldChar w:fldCharType="separate"/>
      </w:r>
      <w:r>
        <w:rPr>
          <w:rFonts w:hint="eastAsia"/>
        </w:rPr>
        <w:t>图28-46</w:t>
      </w:r>
      <w:r>
        <w:fldChar w:fldCharType="end"/>
      </w:r>
      <w:r>
        <w:rPr>
          <w:rFonts w:hint="eastAsia"/>
        </w:rPr>
        <w:t>所示界面。</w:t>
      </w:r>
    </w:p>
    <w:p w14:paraId="0BE99B85">
      <w:pPr>
        <w:pStyle w:val="188"/>
      </w:pPr>
      <w:bookmarkStart w:id="6631" w:name="_Ref494127503"/>
      <w:bookmarkStart w:id="6632" w:name="_Toc141874974"/>
      <w:r>
        <w:rPr>
          <w:rFonts w:hint="eastAsia"/>
        </w:rPr>
        <w:t>自定义</w:t>
      </w:r>
      <w:r>
        <w:t>URL</w:t>
      </w:r>
      <w:r>
        <w:rPr>
          <w:rFonts w:hint="eastAsia"/>
        </w:rPr>
        <w:t>显示界面</w:t>
      </w:r>
      <w:bookmarkEnd w:id="6631"/>
      <w:bookmarkEnd w:id="6632"/>
    </w:p>
    <w:p w14:paraId="1BFFF85D">
      <w:pPr>
        <w:spacing w:before="78" w:after="78"/>
      </w:pPr>
      <w:r>
        <w:t xml:space="preserve"> </w:t>
      </w:r>
      <w:r>
        <w:drawing>
          <wp:inline distT="0" distB="0" distL="0" distR="0">
            <wp:extent cx="5410200" cy="1101090"/>
            <wp:effectExtent l="0" t="0" r="0" b="3810"/>
            <wp:docPr id="2746" name="图片 2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6" name="图片 2746"/>
                    <pic:cNvPicPr>
                      <a:picLocks noChangeAspect="1"/>
                    </pic:cNvPicPr>
                  </pic:nvPicPr>
                  <pic:blipFill>
                    <a:blip r:embed="rId809"/>
                    <a:stretch>
                      <a:fillRect/>
                    </a:stretch>
                  </pic:blipFill>
                  <pic:spPr>
                    <a:xfrm>
                      <a:off x="0" y="0"/>
                      <a:ext cx="5439568" cy="1107328"/>
                    </a:xfrm>
                    <a:prstGeom prst="rect">
                      <a:avLst/>
                    </a:prstGeom>
                  </pic:spPr>
                </pic:pic>
              </a:graphicData>
            </a:graphic>
          </wp:inline>
        </w:drawing>
      </w:r>
    </w:p>
    <w:p w14:paraId="45E7C05B"/>
    <w:p w14:paraId="66CB4237">
      <w:r>
        <w:rPr>
          <w:rFonts w:hint="eastAsia"/>
        </w:rPr>
        <w:t>单击“新建”按钮，可以新建自定义</w:t>
      </w:r>
      <w:r>
        <w:t>URL</w:t>
      </w:r>
      <w:r>
        <w:rPr>
          <w:rFonts w:hint="eastAsia"/>
        </w:rPr>
        <w:t>，如</w:t>
      </w:r>
      <w:r>
        <w:fldChar w:fldCharType="begin"/>
      </w:r>
      <w:r>
        <w:instrText xml:space="preserve"> </w:instrText>
      </w:r>
      <w:r>
        <w:rPr>
          <w:rFonts w:hint="eastAsia"/>
        </w:rPr>
        <w:instrText xml:space="preserve">REF _Ref494127517 \r \h</w:instrText>
      </w:r>
      <w:r>
        <w:instrText xml:space="preserve"> </w:instrText>
      </w:r>
      <w:r>
        <w:fldChar w:fldCharType="separate"/>
      </w:r>
      <w:r>
        <w:rPr>
          <w:rFonts w:hint="eastAsia"/>
        </w:rPr>
        <w:t>图28-47</w:t>
      </w:r>
      <w:r>
        <w:fldChar w:fldCharType="end"/>
      </w:r>
      <w:r>
        <w:rPr>
          <w:rFonts w:hint="eastAsia"/>
        </w:rPr>
        <w:t>所示。</w:t>
      </w:r>
    </w:p>
    <w:p w14:paraId="1EB82C0C">
      <w:pPr>
        <w:pStyle w:val="188"/>
      </w:pPr>
      <w:bookmarkStart w:id="6633" w:name="_Ref494127517"/>
      <w:bookmarkStart w:id="6634" w:name="_Toc141874975"/>
      <w:r>
        <w:rPr>
          <w:rFonts w:hint="eastAsia"/>
        </w:rPr>
        <w:t>自定义</w:t>
      </w:r>
      <w:r>
        <w:t>URL</w:t>
      </w:r>
      <w:r>
        <w:rPr>
          <w:rFonts w:hint="eastAsia"/>
        </w:rPr>
        <w:t>配置界面</w:t>
      </w:r>
      <w:bookmarkEnd w:id="6633"/>
      <w:bookmarkEnd w:id="6634"/>
    </w:p>
    <w:p w14:paraId="1A7E89B3">
      <w:pPr>
        <w:spacing w:before="78" w:after="78"/>
      </w:pPr>
      <w:r>
        <w:drawing>
          <wp:inline distT="0" distB="0" distL="0" distR="0">
            <wp:extent cx="5400040" cy="4768215"/>
            <wp:effectExtent l="0" t="0" r="0" b="0"/>
            <wp:docPr id="2733" name="图片 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3" name="图片 2733"/>
                    <pic:cNvPicPr>
                      <a:picLocks noChangeAspect="1"/>
                    </pic:cNvPicPr>
                  </pic:nvPicPr>
                  <pic:blipFill>
                    <a:blip r:embed="rId810"/>
                    <a:stretch>
                      <a:fillRect/>
                    </a:stretch>
                  </pic:blipFill>
                  <pic:spPr>
                    <a:xfrm>
                      <a:off x="0" y="0"/>
                      <a:ext cx="5400040" cy="4768597"/>
                    </a:xfrm>
                    <a:prstGeom prst="rect">
                      <a:avLst/>
                    </a:prstGeom>
                  </pic:spPr>
                </pic:pic>
              </a:graphicData>
            </a:graphic>
          </wp:inline>
        </w:drawing>
      </w:r>
    </w:p>
    <w:p w14:paraId="03755A7E"/>
    <w:p w14:paraId="481D4BAB">
      <w:r>
        <w:rPr>
          <w:rFonts w:hint="eastAsia"/>
        </w:rPr>
        <w:t>自定义</w:t>
      </w:r>
      <w:r>
        <w:t>URL</w:t>
      </w:r>
      <w:r>
        <w:rPr>
          <w:rFonts w:hint="eastAsia"/>
        </w:rPr>
        <w:t>的配置信息如</w:t>
      </w:r>
      <w:r>
        <w:fldChar w:fldCharType="begin"/>
      </w:r>
      <w:r>
        <w:instrText xml:space="preserve"> </w:instrText>
      </w:r>
      <w:r>
        <w:rPr>
          <w:rFonts w:hint="eastAsia"/>
        </w:rPr>
        <w:instrText xml:space="preserve">REF _Ref494127525 \r \h</w:instrText>
      </w:r>
      <w:r>
        <w:instrText xml:space="preserve"> </w:instrText>
      </w:r>
      <w:r>
        <w:fldChar w:fldCharType="separate"/>
      </w:r>
      <w:r>
        <w:rPr>
          <w:rFonts w:hint="eastAsia"/>
        </w:rPr>
        <w:t>表28-1</w:t>
      </w:r>
      <w:r>
        <w:fldChar w:fldCharType="end"/>
      </w:r>
      <w:r>
        <w:rPr>
          <w:rFonts w:hint="eastAsia"/>
        </w:rPr>
        <w:t>所示：</w:t>
      </w:r>
    </w:p>
    <w:p w14:paraId="26ECCC4B">
      <w:pPr>
        <w:pStyle w:val="183"/>
      </w:pPr>
      <w:bookmarkStart w:id="6635" w:name="_Ref494127525"/>
      <w:bookmarkStart w:id="6636" w:name="_Toc141875633"/>
      <w:r>
        <w:rPr>
          <w:rFonts w:hint="eastAsia"/>
        </w:rPr>
        <w:t>自定义</w:t>
      </w:r>
      <w:r>
        <w:t>URL</w:t>
      </w:r>
      <w:r>
        <w:rPr>
          <w:rFonts w:hint="eastAsia"/>
        </w:rPr>
        <w:t>配置描述表</w:t>
      </w:r>
      <w:bookmarkEnd w:id="6635"/>
      <w:bookmarkEnd w:id="6636"/>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944"/>
        <w:gridCol w:w="7026"/>
      </w:tblGrid>
      <w:tr w14:paraId="56F7DC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944" w:type="dxa"/>
            <w:tcBorders>
              <w:tl2br w:val="nil"/>
              <w:tr2bl w:val="nil"/>
            </w:tcBorders>
            <w:shd w:val="clear" w:color="auto" w:fill="538135" w:themeFill="accent6" w:themeFillShade="BF"/>
            <w:vAlign w:val="center"/>
          </w:tcPr>
          <w:p w14:paraId="656625AC">
            <w:pPr>
              <w:pStyle w:val="149"/>
              <w:wordWrap/>
              <w:rPr>
                <w:b/>
                <w:bCs/>
                <w:i w:val="0"/>
                <w:iCs w:val="0"/>
              </w:rPr>
            </w:pPr>
            <w:r>
              <w:rPr>
                <w:rFonts w:hint="eastAsia"/>
                <w:b/>
                <w:bCs/>
                <w:i w:val="0"/>
                <w:iCs w:val="0"/>
              </w:rPr>
              <w:t>参数</w:t>
            </w:r>
          </w:p>
        </w:tc>
        <w:tc>
          <w:tcPr>
            <w:tcW w:w="7026" w:type="dxa"/>
            <w:tcBorders>
              <w:tl2br w:val="nil"/>
              <w:tr2bl w:val="nil"/>
            </w:tcBorders>
            <w:shd w:val="clear" w:color="auto" w:fill="538135" w:themeFill="accent6" w:themeFillShade="BF"/>
            <w:vAlign w:val="center"/>
          </w:tcPr>
          <w:p w14:paraId="1AC01BD1">
            <w:pPr>
              <w:pStyle w:val="149"/>
              <w:wordWrap/>
              <w:rPr>
                <w:b/>
                <w:bCs/>
                <w:i w:val="0"/>
                <w:iCs w:val="0"/>
              </w:rPr>
            </w:pPr>
            <w:r>
              <w:rPr>
                <w:rFonts w:hint="eastAsia"/>
                <w:b/>
                <w:bCs/>
                <w:i w:val="0"/>
                <w:iCs w:val="0"/>
              </w:rPr>
              <w:t>描述</w:t>
            </w:r>
          </w:p>
        </w:tc>
      </w:tr>
      <w:tr w14:paraId="79F0A0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944" w:type="dxa"/>
            <w:shd w:val="clear" w:color="auto" w:fill="auto"/>
          </w:tcPr>
          <w:p w14:paraId="7DDB56BB">
            <w:pPr>
              <w:pStyle w:val="150"/>
            </w:pPr>
            <w:r>
              <w:rPr>
                <w:rFonts w:hint="eastAsia"/>
              </w:rPr>
              <w:t>名称</w:t>
            </w:r>
          </w:p>
        </w:tc>
        <w:tc>
          <w:tcPr>
            <w:tcW w:w="7026" w:type="dxa"/>
            <w:shd w:val="clear" w:color="auto" w:fill="auto"/>
          </w:tcPr>
          <w:p w14:paraId="629B469B">
            <w:pPr>
              <w:pStyle w:val="150"/>
            </w:pPr>
            <w:r>
              <w:rPr>
                <w:rFonts w:hint="eastAsia"/>
              </w:rPr>
              <w:t>自定义</w:t>
            </w:r>
            <w:r>
              <w:t>URL</w:t>
            </w:r>
            <w:r>
              <w:rPr>
                <w:rFonts w:hint="eastAsia"/>
              </w:rPr>
              <w:t>的名称，用于外部引用。</w:t>
            </w:r>
          </w:p>
        </w:tc>
      </w:tr>
      <w:tr w14:paraId="11A931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944" w:type="dxa"/>
            <w:shd w:val="clear" w:color="auto" w:fill="auto"/>
          </w:tcPr>
          <w:p w14:paraId="1F3B89C0">
            <w:pPr>
              <w:pStyle w:val="150"/>
            </w:pPr>
            <w:r>
              <w:t>URL</w:t>
            </w:r>
          </w:p>
        </w:tc>
        <w:tc>
          <w:tcPr>
            <w:tcW w:w="7026" w:type="dxa"/>
            <w:shd w:val="clear" w:color="auto" w:fill="auto"/>
          </w:tcPr>
          <w:p w14:paraId="4A203F20">
            <w:pPr>
              <w:pStyle w:val="150"/>
            </w:pPr>
            <w:r>
              <w:rPr>
                <w:rFonts w:hint="eastAsia"/>
              </w:rPr>
              <w:t>自定义URL匹配的内容，属于精确匹配，并区分大小写。支持通配符*的输入，且通配符*必须在第一个字符。</w:t>
            </w:r>
          </w:p>
          <w:p w14:paraId="52228731">
            <w:pPr>
              <w:pStyle w:val="150"/>
            </w:pPr>
            <w:r>
              <w:rPr>
                <w:rFonts w:hint="eastAsia"/>
              </w:rPr>
              <w:t>相同的自定义URL可以被多个URL对象引用。</w:t>
            </w:r>
          </w:p>
        </w:tc>
      </w:tr>
      <w:tr w14:paraId="4D8549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944" w:type="dxa"/>
            <w:shd w:val="clear" w:color="auto" w:fill="auto"/>
          </w:tcPr>
          <w:p w14:paraId="22CD852B">
            <w:pPr>
              <w:pStyle w:val="150"/>
            </w:pPr>
            <w:r>
              <w:rPr>
                <w:rFonts w:hint="eastAsia"/>
              </w:rPr>
              <w:t>域名关键字</w:t>
            </w:r>
          </w:p>
        </w:tc>
        <w:tc>
          <w:tcPr>
            <w:tcW w:w="7026" w:type="dxa"/>
            <w:shd w:val="clear" w:color="auto" w:fill="auto"/>
          </w:tcPr>
          <w:p w14:paraId="417A8A7A">
            <w:pPr>
              <w:pStyle w:val="150"/>
            </w:pPr>
            <w:r>
              <w:rPr>
                <w:rFonts w:hint="eastAsia"/>
              </w:rPr>
              <w:t>域名关键字字段，用于匹配HOST字段，属于模糊匹配。域名字段的优先级低于URL字段。即匹配到URL字段后，则域名字段不再匹配。</w:t>
            </w:r>
          </w:p>
          <w:p w14:paraId="151F4B95">
            <w:pPr>
              <w:pStyle w:val="150"/>
            </w:pPr>
            <w:r>
              <w:rPr>
                <w:rFonts w:hint="eastAsia"/>
              </w:rPr>
              <w:t>需要开启URL策略支持Referer字段查询匹配功能，请参考应用识别模式章节；</w:t>
            </w:r>
          </w:p>
          <w:p w14:paraId="6CA33DC3">
            <w:pPr>
              <w:pStyle w:val="150"/>
            </w:pPr>
            <w:r>
              <w:rPr>
                <w:rFonts w:hint="eastAsia"/>
              </w:rPr>
              <w:t>用于配置URL过滤策略时引用，URL策略的配置请参考控制策略章节。</w:t>
            </w:r>
          </w:p>
        </w:tc>
      </w:tr>
    </w:tbl>
    <w:p w14:paraId="0D579C7A">
      <w:bookmarkStart w:id="6637" w:name="_Toc494180461"/>
      <w:bookmarkStart w:id="6638" w:name="_Ref496206485"/>
      <w:bookmarkStart w:id="6639" w:name="_Toc492996185"/>
    </w:p>
    <w:p w14:paraId="751ABCB3">
      <w:pPr>
        <w:pStyle w:val="5"/>
      </w:pPr>
      <w:bookmarkStart w:id="6640" w:name="_Toc172218375"/>
      <w:bookmarkStart w:id="6641" w:name="_Ref508091300"/>
      <w:bookmarkStart w:id="6642" w:name="_Toc40276283"/>
      <w:bookmarkStart w:id="6643" w:name="_Toc141873600"/>
      <w:bookmarkStart w:id="6644" w:name="_Toc196728409"/>
      <w:bookmarkStart w:id="6645" w:name="_Toc99561694"/>
      <w:bookmarkStart w:id="6646" w:name="_Toc529430410"/>
      <w:bookmarkStart w:id="6647" w:name="_Toc23152857"/>
      <w:bookmarkStart w:id="6648" w:name="_Toc6234863"/>
      <w:bookmarkStart w:id="6649" w:name="_Toc15485093"/>
      <w:bookmarkStart w:id="6650" w:name="_Toc142401117"/>
      <w:bookmarkStart w:id="6651" w:name="_Toc194081077"/>
      <w:r>
        <w:rPr>
          <w:rFonts w:hint="eastAsia"/>
        </w:rPr>
        <w:t>配置恶意</w:t>
      </w:r>
      <w:r>
        <w:t>URL</w:t>
      </w:r>
      <w:bookmarkEnd w:id="6637"/>
      <w:bookmarkEnd w:id="6638"/>
      <w:bookmarkEnd w:id="6639"/>
      <w:bookmarkEnd w:id="6640"/>
      <w:bookmarkEnd w:id="6641"/>
      <w:bookmarkEnd w:id="6642"/>
      <w:bookmarkEnd w:id="6643"/>
      <w:bookmarkEnd w:id="6644"/>
      <w:bookmarkEnd w:id="6645"/>
      <w:bookmarkEnd w:id="6646"/>
      <w:bookmarkEnd w:id="6647"/>
      <w:bookmarkEnd w:id="6648"/>
      <w:bookmarkEnd w:id="6649"/>
      <w:bookmarkEnd w:id="6650"/>
      <w:bookmarkEnd w:id="6651"/>
    </w:p>
    <w:p w14:paraId="1DC60AB4">
      <w:r>
        <w:rPr>
          <w:rFonts w:hint="eastAsia"/>
        </w:rPr>
        <w:t>设备出厂时内置了默认恶意URL库，该库随URL分类特征库同步升级。管理员无法访问库中预定义的URL，可以新增恶意URL白名单来解决。当发现存在恶意URL库里没有的URL，可以新增到URL黑名单。</w:t>
      </w:r>
    </w:p>
    <w:p w14:paraId="51954F9D">
      <w:r>
        <w:rPr>
          <w:rFonts w:hint="eastAsia"/>
        </w:rPr>
        <w:t>选择菜单“策略配置 &gt; 对象管理</w:t>
      </w:r>
      <w:r>
        <w:t>&gt; URL对象</w:t>
      </w:r>
      <w:r>
        <w:rPr>
          <w:rFonts w:hint="eastAsia"/>
        </w:rPr>
        <w:t xml:space="preserve"> </w:t>
      </w:r>
      <w:r>
        <w:t xml:space="preserve">&gt; </w:t>
      </w:r>
      <w:r>
        <w:rPr>
          <w:rFonts w:hint="eastAsia"/>
        </w:rPr>
        <w:t>恶意</w:t>
      </w:r>
      <w:r>
        <w:t>URL配置</w:t>
      </w:r>
      <w:r>
        <w:rPr>
          <w:rFonts w:hint="eastAsia"/>
        </w:rPr>
        <w:t>”，进入如</w:t>
      </w:r>
      <w:r>
        <w:fldChar w:fldCharType="begin"/>
      </w:r>
      <w:r>
        <w:instrText xml:space="preserve"> </w:instrText>
      </w:r>
      <w:r>
        <w:rPr>
          <w:rFonts w:hint="eastAsia"/>
        </w:rPr>
        <w:instrText xml:space="preserve">REF _Ref494127581 \r \h</w:instrText>
      </w:r>
      <w:r>
        <w:instrText xml:space="preserve"> </w:instrText>
      </w:r>
      <w:r>
        <w:fldChar w:fldCharType="separate"/>
      </w:r>
      <w:r>
        <w:rPr>
          <w:rFonts w:hint="eastAsia"/>
        </w:rPr>
        <w:t>图28-48</w:t>
      </w:r>
      <w:r>
        <w:fldChar w:fldCharType="end"/>
      </w:r>
      <w:r>
        <w:rPr>
          <w:rFonts w:hint="eastAsia"/>
        </w:rPr>
        <w:t>所示界面。</w:t>
      </w:r>
    </w:p>
    <w:p w14:paraId="681C2B06">
      <w:pPr>
        <w:pStyle w:val="188"/>
      </w:pPr>
      <w:bookmarkStart w:id="6652" w:name="_Toc141874976"/>
      <w:bookmarkStart w:id="6653" w:name="_Ref494127581"/>
      <w:r>
        <w:rPr>
          <w:rFonts w:hint="eastAsia"/>
        </w:rPr>
        <w:t>恶意</w:t>
      </w:r>
      <w:r>
        <w:t>URL</w:t>
      </w:r>
      <w:r>
        <w:rPr>
          <w:rFonts w:hint="eastAsia"/>
        </w:rPr>
        <w:t>显示界面</w:t>
      </w:r>
      <w:bookmarkEnd w:id="6652"/>
      <w:bookmarkEnd w:id="6653"/>
    </w:p>
    <w:p w14:paraId="1BAB8216">
      <w:pPr>
        <w:spacing w:before="78" w:after="78"/>
      </w:pPr>
      <w:r>
        <w:drawing>
          <wp:inline distT="0" distB="0" distL="0" distR="0">
            <wp:extent cx="5400040" cy="3115310"/>
            <wp:effectExtent l="0" t="0" r="0" b="8890"/>
            <wp:docPr id="71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图片 41"/>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a:xfrm>
                      <a:off x="0" y="0"/>
                      <a:ext cx="5400040" cy="3115731"/>
                    </a:xfrm>
                    <a:prstGeom prst="rect">
                      <a:avLst/>
                    </a:prstGeom>
                    <a:noFill/>
                    <a:ln>
                      <a:noFill/>
                    </a:ln>
                  </pic:spPr>
                </pic:pic>
              </a:graphicData>
            </a:graphic>
          </wp:inline>
        </w:drawing>
      </w:r>
    </w:p>
    <w:p w14:paraId="1DAA57F7"/>
    <w:p w14:paraId="2AFD6DA2">
      <w:pPr>
        <w:rPr>
          <w:rFonts w:eastAsia="黑体" w:cs="Arial Narrow"/>
        </w:rPr>
      </w:pPr>
      <w:r>
        <w:rPr>
          <w:rFonts w:hint="eastAsia"/>
        </w:rPr>
        <w:t>恶意URL的配置信息如</w:t>
      </w:r>
      <w:r>
        <w:fldChar w:fldCharType="begin"/>
      </w:r>
      <w:r>
        <w:instrText xml:space="preserve"> </w:instrText>
      </w:r>
      <w:r>
        <w:rPr>
          <w:rFonts w:hint="eastAsia"/>
        </w:rPr>
        <w:instrText xml:space="preserve">REF _Ref5217901 \r \h</w:instrText>
      </w:r>
      <w:r>
        <w:instrText xml:space="preserve"> </w:instrText>
      </w:r>
      <w:r>
        <w:fldChar w:fldCharType="separate"/>
      </w:r>
      <w:r>
        <w:rPr>
          <w:rFonts w:hint="eastAsia"/>
        </w:rPr>
        <w:t>表28-1</w:t>
      </w:r>
      <w:r>
        <w:fldChar w:fldCharType="end"/>
      </w:r>
      <w:r>
        <w:rPr>
          <w:rFonts w:hint="eastAsia"/>
        </w:rPr>
        <w:t>所示：</w:t>
      </w:r>
    </w:p>
    <w:p w14:paraId="57639D97">
      <w:pPr>
        <w:pStyle w:val="183"/>
      </w:pPr>
      <w:bookmarkStart w:id="6654" w:name="_Toc141875634"/>
      <w:bookmarkStart w:id="6655" w:name="_Ref5217901"/>
      <w:r>
        <w:rPr>
          <w:rFonts w:hint="eastAsia"/>
        </w:rPr>
        <w:t>恶意</w:t>
      </w:r>
      <w:r>
        <w:t>URL</w:t>
      </w:r>
      <w:r>
        <w:rPr>
          <w:rFonts w:hint="eastAsia"/>
        </w:rPr>
        <w:t>配置描述表</w:t>
      </w:r>
      <w:bookmarkEnd w:id="6654"/>
      <w:bookmarkEnd w:id="6655"/>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235"/>
        <w:gridCol w:w="6735"/>
      </w:tblGrid>
      <w:tr w14:paraId="784BA8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35" w:type="dxa"/>
            <w:tcBorders>
              <w:tl2br w:val="nil"/>
              <w:tr2bl w:val="nil"/>
            </w:tcBorders>
            <w:shd w:val="clear" w:color="auto" w:fill="538135" w:themeFill="accent6" w:themeFillShade="BF"/>
            <w:vAlign w:val="center"/>
          </w:tcPr>
          <w:p w14:paraId="23A19D79">
            <w:pPr>
              <w:pStyle w:val="149"/>
              <w:wordWrap/>
              <w:rPr>
                <w:b/>
                <w:bCs/>
                <w:i w:val="0"/>
                <w:iCs w:val="0"/>
              </w:rPr>
            </w:pPr>
            <w:r>
              <w:rPr>
                <w:rFonts w:hint="eastAsia"/>
                <w:b/>
                <w:bCs/>
                <w:i w:val="0"/>
                <w:iCs w:val="0"/>
              </w:rPr>
              <w:t>参数</w:t>
            </w:r>
          </w:p>
        </w:tc>
        <w:tc>
          <w:tcPr>
            <w:tcW w:w="6735" w:type="dxa"/>
            <w:tcBorders>
              <w:tl2br w:val="nil"/>
              <w:tr2bl w:val="nil"/>
            </w:tcBorders>
            <w:shd w:val="clear" w:color="auto" w:fill="538135" w:themeFill="accent6" w:themeFillShade="BF"/>
            <w:vAlign w:val="center"/>
          </w:tcPr>
          <w:p w14:paraId="0A22E8DA">
            <w:pPr>
              <w:pStyle w:val="149"/>
              <w:wordWrap/>
              <w:rPr>
                <w:b/>
                <w:bCs/>
                <w:i w:val="0"/>
                <w:iCs w:val="0"/>
              </w:rPr>
            </w:pPr>
            <w:r>
              <w:rPr>
                <w:rFonts w:hint="eastAsia"/>
                <w:b/>
                <w:bCs/>
                <w:i w:val="0"/>
                <w:iCs w:val="0"/>
              </w:rPr>
              <w:t>描述</w:t>
            </w:r>
          </w:p>
        </w:tc>
      </w:tr>
      <w:tr w14:paraId="74FF809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35" w:type="dxa"/>
            <w:shd w:val="clear" w:color="auto" w:fill="auto"/>
          </w:tcPr>
          <w:p w14:paraId="0979A3D5">
            <w:pPr>
              <w:pStyle w:val="150"/>
            </w:pPr>
            <w:r>
              <w:rPr>
                <w:rFonts w:hint="eastAsia"/>
              </w:rPr>
              <w:t>恶意URL白名单</w:t>
            </w:r>
          </w:p>
        </w:tc>
        <w:tc>
          <w:tcPr>
            <w:tcW w:w="6735" w:type="dxa"/>
            <w:shd w:val="clear" w:color="auto" w:fill="auto"/>
          </w:tcPr>
          <w:p w14:paraId="1A8ED7F5">
            <w:pPr>
              <w:pStyle w:val="150"/>
            </w:pPr>
            <w:r>
              <w:rPr>
                <w:rFonts w:hint="eastAsia"/>
              </w:rPr>
              <w:t>恶意URL的白名单，可以对冲恶意URL黑名单的影响。</w:t>
            </w:r>
          </w:p>
        </w:tc>
      </w:tr>
      <w:tr w14:paraId="317671B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35" w:type="dxa"/>
            <w:shd w:val="clear" w:color="auto" w:fill="auto"/>
          </w:tcPr>
          <w:p w14:paraId="08F5B9C4">
            <w:pPr>
              <w:pStyle w:val="150"/>
            </w:pPr>
            <w:r>
              <w:rPr>
                <w:rFonts w:hint="eastAsia"/>
              </w:rPr>
              <w:t>恶意URL黑名单</w:t>
            </w:r>
          </w:p>
        </w:tc>
        <w:tc>
          <w:tcPr>
            <w:tcW w:w="6735" w:type="dxa"/>
            <w:shd w:val="clear" w:color="auto" w:fill="auto"/>
          </w:tcPr>
          <w:p w14:paraId="55E446A1">
            <w:pPr>
              <w:pStyle w:val="150"/>
            </w:pPr>
            <w:r>
              <w:rPr>
                <w:rFonts w:hint="eastAsia"/>
              </w:rPr>
              <w:t>恶意URL的黑名单。</w:t>
            </w:r>
          </w:p>
        </w:tc>
      </w:tr>
    </w:tbl>
    <w:p w14:paraId="27F48006">
      <w:bookmarkStart w:id="6656" w:name="_Toc494180462"/>
      <w:bookmarkStart w:id="6657" w:name="_Ref496206439"/>
      <w:bookmarkStart w:id="6658" w:name="_Toc492996186"/>
    </w:p>
    <w:p w14:paraId="69E02F28">
      <w:pPr>
        <w:pStyle w:val="5"/>
      </w:pPr>
      <w:bookmarkStart w:id="6659" w:name="_Ref508091308"/>
      <w:bookmarkStart w:id="6660" w:name="_Toc6234864"/>
      <w:bookmarkStart w:id="6661" w:name="_Toc15485094"/>
      <w:bookmarkStart w:id="6662" w:name="_Toc142401118"/>
      <w:bookmarkStart w:id="6663" w:name="_Toc529430411"/>
      <w:bookmarkStart w:id="6664" w:name="_Toc194081078"/>
      <w:bookmarkStart w:id="6665" w:name="_Toc172218376"/>
      <w:bookmarkStart w:id="6666" w:name="_Toc23152858"/>
      <w:bookmarkStart w:id="6667" w:name="_Toc141873601"/>
      <w:bookmarkStart w:id="6668" w:name="_Toc40276284"/>
      <w:bookmarkStart w:id="6669" w:name="_Toc99561695"/>
      <w:bookmarkStart w:id="6670" w:name="_Toc196728410"/>
      <w:r>
        <w:rPr>
          <w:rFonts w:hint="eastAsia"/>
        </w:rPr>
        <w:t>配置</w:t>
      </w:r>
      <w:r>
        <w:t>URL</w:t>
      </w:r>
      <w:r>
        <w:rPr>
          <w:rFonts w:hint="eastAsia"/>
        </w:rPr>
        <w:t>白名单</w:t>
      </w:r>
      <w:bookmarkEnd w:id="6656"/>
      <w:bookmarkEnd w:id="6657"/>
      <w:bookmarkEnd w:id="6658"/>
      <w:bookmarkEnd w:id="6659"/>
      <w:bookmarkEnd w:id="6660"/>
      <w:bookmarkEnd w:id="6661"/>
      <w:bookmarkEnd w:id="6662"/>
      <w:bookmarkEnd w:id="6663"/>
      <w:bookmarkEnd w:id="6664"/>
      <w:bookmarkEnd w:id="6665"/>
      <w:bookmarkEnd w:id="6666"/>
      <w:bookmarkEnd w:id="6667"/>
      <w:bookmarkEnd w:id="6668"/>
      <w:bookmarkEnd w:id="6669"/>
      <w:bookmarkEnd w:id="6670"/>
    </w:p>
    <w:p w14:paraId="587E0E96">
      <w:r>
        <w:rPr>
          <w:rFonts w:hint="eastAsia"/>
        </w:rPr>
        <w:t>当控制策略中URL过滤策略拒绝访问某一类预定义URL分类或全部预定义URL分类时，URL白名单用来允许放通在拒绝策略的URL，用户可根据实际需求，把指定的IP地址添加到自定义URL白名单对象，设置为白名单对象的URL会直接被放通。</w:t>
      </w:r>
    </w:p>
    <w:p w14:paraId="77027066">
      <w:r>
        <w:rPr>
          <w:rFonts w:hint="eastAsia"/>
        </w:rPr>
        <w:t>新增URL白名单的操作方法如下：</w:t>
      </w:r>
    </w:p>
    <w:p w14:paraId="339EE614">
      <w:r>
        <w:rPr>
          <w:rFonts w:hint="eastAsia"/>
        </w:rPr>
        <w:t>选择菜单“策略配置 &gt; 对象管理</w:t>
      </w:r>
      <w:r>
        <w:t>&gt; URL对象</w:t>
      </w:r>
      <w:r>
        <w:rPr>
          <w:rFonts w:hint="eastAsia"/>
        </w:rPr>
        <w:t xml:space="preserve"> </w:t>
      </w:r>
      <w:r>
        <w:t>&gt; URL</w:t>
      </w:r>
      <w:r>
        <w:rPr>
          <w:rFonts w:hint="eastAsia"/>
        </w:rPr>
        <w:t>白名单”，进入如</w:t>
      </w:r>
      <w:r>
        <w:rPr>
          <w:color w:val="0000FF"/>
          <w:u w:val="single"/>
        </w:rPr>
        <w:fldChar w:fldCharType="begin"/>
      </w:r>
      <w:r>
        <w:rPr>
          <w:color w:val="0000FF"/>
          <w:u w:val="single"/>
        </w:rPr>
        <w:instrText xml:space="preserve"> </w:instrText>
      </w:r>
      <w:r>
        <w:rPr>
          <w:rFonts w:hint="eastAsia"/>
          <w:color w:val="0000FF"/>
          <w:u w:val="single"/>
        </w:rPr>
        <w:instrText xml:space="preserve">REF _Ref493083852 \r \h</w:instrText>
      </w:r>
      <w:r>
        <w:rPr>
          <w:color w:val="0000FF"/>
          <w:u w:val="single"/>
        </w:rPr>
        <w:instrText xml:space="preserve"> </w:instrText>
      </w:r>
      <w:r>
        <w:rPr>
          <w:color w:val="0000FF"/>
          <w:u w:val="single"/>
        </w:rPr>
        <w:fldChar w:fldCharType="separate"/>
      </w:r>
      <w:r>
        <w:rPr>
          <w:rFonts w:hint="eastAsia"/>
          <w:color w:val="0000FF"/>
          <w:u w:val="single"/>
        </w:rPr>
        <w:t>图28-49</w:t>
      </w:r>
      <w:r>
        <w:rPr>
          <w:color w:val="0000FF"/>
          <w:u w:val="single"/>
        </w:rPr>
        <w:fldChar w:fldCharType="end"/>
      </w:r>
      <w:r>
        <w:rPr>
          <w:rFonts w:hint="eastAsia"/>
        </w:rPr>
        <w:t>所示界面。</w:t>
      </w:r>
    </w:p>
    <w:p w14:paraId="71ED4BD4">
      <w:pPr>
        <w:pStyle w:val="188"/>
      </w:pPr>
      <w:bookmarkStart w:id="6671" w:name="_Toc141874977"/>
      <w:bookmarkStart w:id="6672" w:name="_Ref493083852"/>
      <w:r>
        <w:t>URL</w:t>
      </w:r>
      <w:r>
        <w:rPr>
          <w:rFonts w:hint="eastAsia"/>
        </w:rPr>
        <w:t>白名单配置界面</w:t>
      </w:r>
      <w:bookmarkEnd w:id="6671"/>
      <w:bookmarkEnd w:id="6672"/>
    </w:p>
    <w:p w14:paraId="3782F78E">
      <w:r>
        <w:drawing>
          <wp:inline distT="0" distB="0" distL="0" distR="0">
            <wp:extent cx="5400040" cy="2057400"/>
            <wp:effectExtent l="0" t="0" r="0" b="0"/>
            <wp:docPr id="713"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图片 55"/>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a:xfrm>
                      <a:off x="0" y="0"/>
                      <a:ext cx="5400040" cy="2057558"/>
                    </a:xfrm>
                    <a:prstGeom prst="rect">
                      <a:avLst/>
                    </a:prstGeom>
                    <a:noFill/>
                    <a:ln>
                      <a:noFill/>
                    </a:ln>
                  </pic:spPr>
                </pic:pic>
              </a:graphicData>
            </a:graphic>
          </wp:inline>
        </w:drawing>
      </w:r>
    </w:p>
    <w:p w14:paraId="365FE006"/>
    <w:p w14:paraId="17220D11">
      <w:pPr>
        <w:rPr>
          <w:rFonts w:eastAsia="黑体" w:cs="Arial Narrow"/>
        </w:rPr>
      </w:pPr>
      <w:r>
        <w:rPr>
          <w:rFonts w:hint="eastAsia"/>
        </w:rPr>
        <w:t>恶意URL的配置信息如</w:t>
      </w:r>
      <w:r>
        <w:fldChar w:fldCharType="begin"/>
      </w:r>
      <w:r>
        <w:instrText xml:space="preserve"> </w:instrText>
      </w:r>
      <w:r>
        <w:rPr>
          <w:rFonts w:hint="eastAsia"/>
        </w:rPr>
        <w:instrText xml:space="preserve">REF _Ref5218047 \r \h</w:instrText>
      </w:r>
      <w:r>
        <w:instrText xml:space="preserve"> </w:instrText>
      </w:r>
      <w:r>
        <w:fldChar w:fldCharType="separate"/>
      </w:r>
      <w:r>
        <w:rPr>
          <w:rFonts w:hint="eastAsia"/>
        </w:rPr>
        <w:t>表28-1</w:t>
      </w:r>
      <w:r>
        <w:fldChar w:fldCharType="end"/>
      </w:r>
      <w:r>
        <w:rPr>
          <w:rFonts w:hint="eastAsia"/>
        </w:rPr>
        <w:t>所示：</w:t>
      </w:r>
    </w:p>
    <w:p w14:paraId="105BF236">
      <w:pPr>
        <w:pStyle w:val="183"/>
      </w:pPr>
      <w:bookmarkStart w:id="6673" w:name="_Ref5218047"/>
      <w:bookmarkStart w:id="6674" w:name="_Toc141875635"/>
      <w:r>
        <w:t>URL</w:t>
      </w:r>
      <w:r>
        <w:rPr>
          <w:rFonts w:hint="eastAsia"/>
        </w:rPr>
        <w:t>白名单配置描述表</w:t>
      </w:r>
      <w:bookmarkEnd w:id="6673"/>
      <w:bookmarkEnd w:id="6674"/>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944"/>
        <w:gridCol w:w="7026"/>
      </w:tblGrid>
      <w:tr w14:paraId="2C3D9D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781" w:type="dxa"/>
            <w:tcBorders>
              <w:tl2br w:val="nil"/>
              <w:tr2bl w:val="nil"/>
            </w:tcBorders>
            <w:shd w:val="clear" w:color="auto" w:fill="538135" w:themeFill="accent6" w:themeFillShade="BF"/>
            <w:vAlign w:val="center"/>
          </w:tcPr>
          <w:p w14:paraId="3267BB77">
            <w:pPr>
              <w:pStyle w:val="149"/>
              <w:wordWrap/>
              <w:rPr>
                <w:b/>
                <w:bCs/>
                <w:i w:val="0"/>
                <w:iCs w:val="0"/>
              </w:rPr>
            </w:pPr>
            <w:r>
              <w:rPr>
                <w:rFonts w:hint="eastAsia"/>
                <w:b/>
                <w:bCs/>
                <w:i w:val="0"/>
                <w:iCs w:val="0"/>
              </w:rPr>
              <w:t>参数</w:t>
            </w:r>
          </w:p>
        </w:tc>
        <w:tc>
          <w:tcPr>
            <w:tcW w:w="6436" w:type="dxa"/>
            <w:tcBorders>
              <w:tl2br w:val="nil"/>
              <w:tr2bl w:val="nil"/>
            </w:tcBorders>
            <w:shd w:val="clear" w:color="auto" w:fill="538135" w:themeFill="accent6" w:themeFillShade="BF"/>
            <w:vAlign w:val="center"/>
          </w:tcPr>
          <w:p w14:paraId="508F8066">
            <w:pPr>
              <w:pStyle w:val="149"/>
              <w:wordWrap/>
              <w:rPr>
                <w:b/>
                <w:bCs/>
                <w:i w:val="0"/>
                <w:iCs w:val="0"/>
              </w:rPr>
            </w:pPr>
            <w:r>
              <w:rPr>
                <w:rFonts w:hint="eastAsia"/>
                <w:b/>
                <w:bCs/>
                <w:i w:val="0"/>
                <w:iCs w:val="0"/>
              </w:rPr>
              <w:t>描述</w:t>
            </w:r>
          </w:p>
        </w:tc>
      </w:tr>
      <w:tr w14:paraId="68A073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781" w:type="dxa"/>
            <w:shd w:val="clear" w:color="auto" w:fill="auto"/>
          </w:tcPr>
          <w:p w14:paraId="52CD264E">
            <w:pPr>
              <w:pStyle w:val="150"/>
            </w:pPr>
            <w:r>
              <w:t>URL</w:t>
            </w:r>
            <w:r>
              <w:rPr>
                <w:rFonts w:hint="eastAsia"/>
              </w:rPr>
              <w:t>白名单</w:t>
            </w:r>
          </w:p>
        </w:tc>
        <w:tc>
          <w:tcPr>
            <w:tcW w:w="6436" w:type="dxa"/>
            <w:shd w:val="clear" w:color="auto" w:fill="auto"/>
          </w:tcPr>
          <w:p w14:paraId="234351A9">
            <w:pPr>
              <w:pStyle w:val="150"/>
            </w:pPr>
            <w:r>
              <w:rPr>
                <w:rFonts w:hint="eastAsia"/>
              </w:rPr>
              <w:t>配置</w:t>
            </w:r>
            <w:r>
              <w:t>URL</w:t>
            </w:r>
            <w:r>
              <w:rPr>
                <w:rFonts w:hint="eastAsia"/>
              </w:rPr>
              <w:t>的白名单，在其他策略中引用。</w:t>
            </w:r>
          </w:p>
        </w:tc>
      </w:tr>
    </w:tbl>
    <w:p w14:paraId="6E7304B7">
      <w:bookmarkStart w:id="6675" w:name="_Toc492996187"/>
      <w:bookmarkStart w:id="6676" w:name="_Toc494180463"/>
      <w:bookmarkStart w:id="6677" w:name="_Ref496206447"/>
    </w:p>
    <w:p w14:paraId="4D88DAD6">
      <w:pPr>
        <w:pStyle w:val="5"/>
      </w:pPr>
      <w:bookmarkStart w:id="6678" w:name="_Toc23152859"/>
      <w:bookmarkStart w:id="6679" w:name="_Toc141873602"/>
      <w:bookmarkStart w:id="6680" w:name="_Ref508091318"/>
      <w:bookmarkStart w:id="6681" w:name="_Toc40276285"/>
      <w:bookmarkStart w:id="6682" w:name="_Toc529430412"/>
      <w:bookmarkStart w:id="6683" w:name="_Toc99561696"/>
      <w:bookmarkStart w:id="6684" w:name="_Toc142401119"/>
      <w:bookmarkStart w:id="6685" w:name="_Toc172218377"/>
      <w:bookmarkStart w:id="6686" w:name="_Toc6234865"/>
      <w:bookmarkStart w:id="6687" w:name="_Toc15485095"/>
      <w:bookmarkStart w:id="6688" w:name="_Toc194081079"/>
      <w:bookmarkStart w:id="6689" w:name="_Toc196728411"/>
      <w:r>
        <w:rPr>
          <w:rFonts w:hint="eastAsia"/>
        </w:rPr>
        <w:t>配置</w:t>
      </w:r>
      <w:r>
        <w:t>HTTPS</w:t>
      </w:r>
      <w:r>
        <w:rPr>
          <w:rFonts w:hint="eastAsia"/>
        </w:rPr>
        <w:t>对象</w:t>
      </w:r>
      <w:bookmarkEnd w:id="6675"/>
      <w:bookmarkEnd w:id="6676"/>
      <w:bookmarkEnd w:id="6677"/>
      <w:bookmarkEnd w:id="6678"/>
      <w:bookmarkEnd w:id="6679"/>
      <w:bookmarkEnd w:id="6680"/>
      <w:bookmarkEnd w:id="6681"/>
      <w:bookmarkEnd w:id="6682"/>
      <w:bookmarkEnd w:id="6683"/>
      <w:bookmarkEnd w:id="6684"/>
      <w:bookmarkEnd w:id="6685"/>
      <w:bookmarkEnd w:id="6686"/>
      <w:bookmarkEnd w:id="6687"/>
      <w:bookmarkEnd w:id="6688"/>
      <w:bookmarkEnd w:id="6689"/>
    </w:p>
    <w:p w14:paraId="16403569">
      <w:r>
        <w:rPr>
          <w:rFonts w:hint="eastAsia"/>
        </w:rPr>
        <w:t>HTTPS是HTTP传输协议的安全增强版，用于安全的HTTP数据传输。HTTPS协议提供了身份验证与加密通讯方法，广泛用于互联网上的安全敏感通讯，例如网银支付。本文中所述的HTTPS对象指的是HTTPS URL。</w:t>
      </w:r>
    </w:p>
    <w:p w14:paraId="384DC5AD">
      <w:r>
        <w:rPr>
          <w:rFonts w:hint="eastAsia"/>
        </w:rPr>
        <w:t>通过菜单“策略配置 &gt; 对象管理</w:t>
      </w:r>
      <w:r>
        <w:t>&gt; URL对象</w:t>
      </w:r>
      <w:r>
        <w:rPr>
          <w:rFonts w:hint="eastAsia"/>
        </w:rPr>
        <w:t xml:space="preserve"> </w:t>
      </w:r>
      <w:r>
        <w:t>&gt; HTTPS</w:t>
      </w:r>
      <w:r>
        <w:rPr>
          <w:rFonts w:hint="eastAsia"/>
        </w:rPr>
        <w:t>对象”，进入如</w:t>
      </w:r>
      <w:r>
        <w:fldChar w:fldCharType="begin"/>
      </w:r>
      <w:r>
        <w:instrText xml:space="preserve"> </w:instrText>
      </w:r>
      <w:r>
        <w:rPr>
          <w:rFonts w:hint="eastAsia"/>
        </w:rPr>
        <w:instrText xml:space="preserve">REF _Ref496863891 \r \h</w:instrText>
      </w:r>
      <w:r>
        <w:instrText xml:space="preserve"> </w:instrText>
      </w:r>
      <w:r>
        <w:fldChar w:fldCharType="separate"/>
      </w:r>
      <w:r>
        <w:rPr>
          <w:rFonts w:hint="eastAsia"/>
        </w:rPr>
        <w:t>图28-50</w:t>
      </w:r>
      <w:r>
        <w:fldChar w:fldCharType="end"/>
      </w:r>
      <w:r>
        <w:rPr>
          <w:rFonts w:hint="eastAsia"/>
        </w:rPr>
        <w:t>所示。</w:t>
      </w:r>
    </w:p>
    <w:p w14:paraId="1AA55118">
      <w:pPr>
        <w:pStyle w:val="188"/>
      </w:pPr>
      <w:bookmarkStart w:id="6690" w:name="_Ref496863891"/>
      <w:bookmarkStart w:id="6691" w:name="_Toc141874978"/>
      <w:r>
        <w:t>HTTPS</w:t>
      </w:r>
      <w:r>
        <w:rPr>
          <w:rFonts w:hint="eastAsia"/>
        </w:rPr>
        <w:t>对象界面</w:t>
      </w:r>
      <w:bookmarkEnd w:id="6690"/>
      <w:bookmarkEnd w:id="6691"/>
    </w:p>
    <w:p w14:paraId="5324D7FD">
      <w:r>
        <w:drawing>
          <wp:inline distT="0" distB="0" distL="0" distR="0">
            <wp:extent cx="5476875" cy="884555"/>
            <wp:effectExtent l="0" t="0" r="0" b="0"/>
            <wp:docPr id="2750" name="图片 2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0" name="图片 2750"/>
                    <pic:cNvPicPr>
                      <a:picLocks noChangeAspect="1"/>
                    </pic:cNvPicPr>
                  </pic:nvPicPr>
                  <pic:blipFill>
                    <a:blip r:embed="rId813"/>
                    <a:stretch>
                      <a:fillRect/>
                    </a:stretch>
                  </pic:blipFill>
                  <pic:spPr>
                    <a:xfrm>
                      <a:off x="0" y="0"/>
                      <a:ext cx="5526532" cy="892801"/>
                    </a:xfrm>
                    <a:prstGeom prst="rect">
                      <a:avLst/>
                    </a:prstGeom>
                  </pic:spPr>
                </pic:pic>
              </a:graphicData>
            </a:graphic>
          </wp:inline>
        </w:drawing>
      </w:r>
    </w:p>
    <w:p w14:paraId="477EEFAF"/>
    <w:p w14:paraId="6BBDE031">
      <w:r>
        <w:rPr>
          <w:rFonts w:hint="eastAsia"/>
        </w:rPr>
        <w:t>单击&lt;新建&gt;按钮，新建</w:t>
      </w:r>
      <w:r>
        <w:t>HTTPS</w:t>
      </w:r>
      <w:r>
        <w:rPr>
          <w:rFonts w:hint="eastAsia"/>
        </w:rPr>
        <w:t>对象，如</w:t>
      </w:r>
      <w:r>
        <w:fldChar w:fldCharType="begin"/>
      </w:r>
      <w:r>
        <w:instrText xml:space="preserve"> </w:instrText>
      </w:r>
      <w:r>
        <w:rPr>
          <w:rFonts w:hint="eastAsia"/>
        </w:rPr>
        <w:instrText xml:space="preserve">REF _Ref496863901 \r \h</w:instrText>
      </w:r>
      <w:r>
        <w:instrText xml:space="preserve"> </w:instrText>
      </w:r>
      <w:r>
        <w:fldChar w:fldCharType="separate"/>
      </w:r>
      <w:r>
        <w:rPr>
          <w:rFonts w:hint="eastAsia"/>
        </w:rPr>
        <w:t>图28-51</w:t>
      </w:r>
      <w:r>
        <w:fldChar w:fldCharType="end"/>
      </w:r>
      <w:r>
        <w:rPr>
          <w:rFonts w:hint="eastAsia"/>
        </w:rPr>
        <w:t>所示。</w:t>
      </w:r>
    </w:p>
    <w:p w14:paraId="6E4EACE9">
      <w:pPr>
        <w:pStyle w:val="188"/>
      </w:pPr>
      <w:bookmarkStart w:id="6692" w:name="_Ref496863901"/>
      <w:bookmarkStart w:id="6693" w:name="_Toc141874979"/>
      <w:r>
        <w:rPr>
          <w:rFonts w:hint="eastAsia"/>
        </w:rPr>
        <w:t>新建</w:t>
      </w:r>
      <w:r>
        <w:t>HTTPS</w:t>
      </w:r>
      <w:r>
        <w:rPr>
          <w:rFonts w:hint="eastAsia"/>
        </w:rPr>
        <w:t>对象界面</w:t>
      </w:r>
      <w:bookmarkEnd w:id="6692"/>
      <w:bookmarkEnd w:id="6693"/>
    </w:p>
    <w:p w14:paraId="5B4C6340">
      <w:r>
        <w:drawing>
          <wp:inline distT="0" distB="0" distL="114300" distR="114300">
            <wp:extent cx="5400040" cy="5622925"/>
            <wp:effectExtent l="0" t="0" r="0" b="0"/>
            <wp:docPr id="101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 name="图片 67"/>
                    <pic:cNvPicPr>
                      <a:picLocks noChangeAspect="1"/>
                    </pic:cNvPicPr>
                  </pic:nvPicPr>
                  <pic:blipFill>
                    <a:blip r:embed="rId814"/>
                    <a:stretch>
                      <a:fillRect/>
                    </a:stretch>
                  </pic:blipFill>
                  <pic:spPr>
                    <a:xfrm>
                      <a:off x="0" y="0"/>
                      <a:ext cx="5400040" cy="5623490"/>
                    </a:xfrm>
                    <a:prstGeom prst="rect">
                      <a:avLst/>
                    </a:prstGeom>
                    <a:noFill/>
                    <a:ln>
                      <a:noFill/>
                    </a:ln>
                  </pic:spPr>
                </pic:pic>
              </a:graphicData>
            </a:graphic>
          </wp:inline>
        </w:drawing>
      </w:r>
    </w:p>
    <w:p w14:paraId="1C886ACA"/>
    <w:p w14:paraId="3875875F">
      <w:r>
        <w:t>HTTPS</w:t>
      </w:r>
      <w:r>
        <w:rPr>
          <w:rFonts w:hint="eastAsia"/>
        </w:rPr>
        <w:t>对象配置配置信息如</w:t>
      </w:r>
      <w:r>
        <w:fldChar w:fldCharType="begin"/>
      </w:r>
      <w:r>
        <w:instrText xml:space="preserve"> </w:instrText>
      </w:r>
      <w:r>
        <w:rPr>
          <w:rFonts w:hint="eastAsia"/>
        </w:rPr>
        <w:instrText xml:space="preserve">REF _Ref493083874 \r \h</w:instrText>
      </w:r>
      <w:r>
        <w:instrText xml:space="preserve"> </w:instrText>
      </w:r>
      <w:r>
        <w:fldChar w:fldCharType="separate"/>
      </w:r>
      <w:r>
        <w:rPr>
          <w:rFonts w:hint="eastAsia"/>
        </w:rPr>
        <w:t>表28-1</w:t>
      </w:r>
      <w:r>
        <w:fldChar w:fldCharType="end"/>
      </w:r>
      <w:r>
        <w:rPr>
          <w:rFonts w:hint="eastAsia"/>
        </w:rPr>
        <w:t>所示：</w:t>
      </w:r>
    </w:p>
    <w:p w14:paraId="0FD72600">
      <w:pPr>
        <w:pStyle w:val="183"/>
      </w:pPr>
      <w:bookmarkStart w:id="6694" w:name="_Toc141875636"/>
      <w:bookmarkStart w:id="6695" w:name="_Ref493083874"/>
      <w:r>
        <w:t>HTTPS</w:t>
      </w:r>
      <w:r>
        <w:rPr>
          <w:rFonts w:hint="eastAsia"/>
        </w:rPr>
        <w:t>对象配置描述表</w:t>
      </w:r>
      <w:bookmarkEnd w:id="6694"/>
      <w:bookmarkEnd w:id="6695"/>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298"/>
        <w:gridCol w:w="6672"/>
      </w:tblGrid>
      <w:tr w14:paraId="39189EE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98" w:type="dxa"/>
            <w:tcBorders>
              <w:tl2br w:val="nil"/>
              <w:tr2bl w:val="nil"/>
            </w:tcBorders>
            <w:shd w:val="clear" w:color="auto" w:fill="538135" w:themeFill="accent6" w:themeFillShade="BF"/>
            <w:vAlign w:val="center"/>
          </w:tcPr>
          <w:p w14:paraId="4BD98359">
            <w:pPr>
              <w:pStyle w:val="149"/>
              <w:wordWrap/>
              <w:rPr>
                <w:b/>
                <w:bCs/>
                <w:i w:val="0"/>
                <w:iCs w:val="0"/>
              </w:rPr>
            </w:pPr>
            <w:r>
              <w:rPr>
                <w:rFonts w:hint="eastAsia"/>
                <w:b/>
                <w:bCs/>
                <w:i w:val="0"/>
                <w:iCs w:val="0"/>
              </w:rPr>
              <w:t>参数</w:t>
            </w:r>
          </w:p>
        </w:tc>
        <w:tc>
          <w:tcPr>
            <w:tcW w:w="6672" w:type="dxa"/>
            <w:tcBorders>
              <w:tl2br w:val="nil"/>
              <w:tr2bl w:val="nil"/>
            </w:tcBorders>
            <w:shd w:val="clear" w:color="auto" w:fill="538135" w:themeFill="accent6" w:themeFillShade="BF"/>
            <w:vAlign w:val="center"/>
          </w:tcPr>
          <w:p w14:paraId="7290D3C2">
            <w:pPr>
              <w:pStyle w:val="149"/>
              <w:wordWrap/>
              <w:rPr>
                <w:b/>
                <w:bCs/>
                <w:i w:val="0"/>
                <w:iCs w:val="0"/>
              </w:rPr>
            </w:pPr>
            <w:r>
              <w:rPr>
                <w:rFonts w:hint="eastAsia"/>
                <w:b/>
                <w:bCs/>
                <w:i w:val="0"/>
                <w:iCs w:val="0"/>
              </w:rPr>
              <w:t>描述</w:t>
            </w:r>
          </w:p>
        </w:tc>
      </w:tr>
      <w:tr w14:paraId="3A43C7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98" w:type="dxa"/>
            <w:shd w:val="clear" w:color="auto" w:fill="auto"/>
          </w:tcPr>
          <w:p w14:paraId="0095E835">
            <w:pPr>
              <w:pStyle w:val="150"/>
            </w:pPr>
            <w:r>
              <w:rPr>
                <w:rFonts w:hint="eastAsia"/>
              </w:rPr>
              <w:t>名称</w:t>
            </w:r>
          </w:p>
        </w:tc>
        <w:tc>
          <w:tcPr>
            <w:tcW w:w="6672" w:type="dxa"/>
            <w:shd w:val="clear" w:color="auto" w:fill="auto"/>
          </w:tcPr>
          <w:p w14:paraId="11F9E145">
            <w:pPr>
              <w:pStyle w:val="150"/>
            </w:pPr>
            <w:r>
              <w:rPr>
                <w:rFonts w:hint="eastAsia"/>
              </w:rPr>
              <w:t>输入HTTPS对象的名称。1~63字符。</w:t>
            </w:r>
          </w:p>
        </w:tc>
      </w:tr>
      <w:tr w14:paraId="019427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98" w:type="dxa"/>
            <w:shd w:val="clear" w:color="auto" w:fill="auto"/>
          </w:tcPr>
          <w:p w14:paraId="55453CED">
            <w:pPr>
              <w:pStyle w:val="150"/>
            </w:pPr>
            <w:r>
              <w:rPr>
                <w:rFonts w:hint="eastAsia"/>
              </w:rPr>
              <w:t>描述</w:t>
            </w:r>
          </w:p>
        </w:tc>
        <w:tc>
          <w:tcPr>
            <w:tcW w:w="6672" w:type="dxa"/>
            <w:shd w:val="clear" w:color="auto" w:fill="auto"/>
          </w:tcPr>
          <w:p w14:paraId="5C3F4057">
            <w:pPr>
              <w:pStyle w:val="150"/>
            </w:pPr>
            <w:r>
              <w:rPr>
                <w:rFonts w:hint="eastAsia"/>
              </w:rPr>
              <w:t>输入HTTPS对象的描述信息（可选）。</w:t>
            </w:r>
          </w:p>
        </w:tc>
      </w:tr>
      <w:tr w14:paraId="4DA0B27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98" w:type="dxa"/>
            <w:shd w:val="clear" w:color="auto" w:fill="auto"/>
          </w:tcPr>
          <w:p w14:paraId="2BB0579F">
            <w:pPr>
              <w:pStyle w:val="150"/>
            </w:pPr>
            <w:r>
              <w:rPr>
                <w:rFonts w:hint="eastAsia"/>
              </w:rPr>
              <w:t>自定义HTTPS对象内容</w:t>
            </w:r>
          </w:p>
        </w:tc>
        <w:tc>
          <w:tcPr>
            <w:tcW w:w="6672" w:type="dxa"/>
            <w:shd w:val="clear" w:color="auto" w:fill="auto"/>
          </w:tcPr>
          <w:p w14:paraId="271E39EB">
            <w:pPr>
              <w:pStyle w:val="150"/>
            </w:pPr>
            <w:r>
              <w:rPr>
                <w:rFonts w:hint="eastAsia"/>
              </w:rPr>
              <w:t>输入HTTPS对象的URL地址，多个URL以回车分隔。</w:t>
            </w:r>
          </w:p>
        </w:tc>
      </w:tr>
      <w:tr w14:paraId="36A22D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98" w:type="dxa"/>
            <w:shd w:val="clear" w:color="auto" w:fill="auto"/>
          </w:tcPr>
          <w:p w14:paraId="28EB695E">
            <w:pPr>
              <w:pStyle w:val="150"/>
            </w:pPr>
            <w:r>
              <w:rPr>
                <w:rFonts w:hint="eastAsia"/>
              </w:rPr>
              <w:t>选择域名对象</w:t>
            </w:r>
          </w:p>
        </w:tc>
        <w:tc>
          <w:tcPr>
            <w:tcW w:w="6672" w:type="dxa"/>
            <w:shd w:val="clear" w:color="auto" w:fill="auto"/>
          </w:tcPr>
          <w:p w14:paraId="6A360D1E">
            <w:pPr>
              <w:pStyle w:val="150"/>
            </w:pPr>
            <w:r>
              <w:rPr>
                <w:rFonts w:hint="eastAsia"/>
              </w:rPr>
              <w:t>选择HTTPS对象所属的域名分类。</w:t>
            </w:r>
          </w:p>
        </w:tc>
      </w:tr>
    </w:tbl>
    <w:p w14:paraId="06AB6201"/>
    <w:p w14:paraId="77DB673F">
      <w:pPr>
        <w:pStyle w:val="4"/>
      </w:pPr>
      <w:bookmarkStart w:id="6696" w:name="_Toc6234856"/>
      <w:bookmarkStart w:id="6697" w:name="_Toc15485086"/>
      <w:bookmarkStart w:id="6698" w:name="_Toc142401120"/>
      <w:bookmarkStart w:id="6699" w:name="_Toc194081080"/>
      <w:bookmarkStart w:id="6700" w:name="_Toc172218378"/>
      <w:bookmarkStart w:id="6701" w:name="_Toc23152850"/>
      <w:bookmarkStart w:id="6702" w:name="_Toc141873603"/>
      <w:bookmarkStart w:id="6703" w:name="_Toc40276276"/>
      <w:bookmarkStart w:id="6704" w:name="_Toc99561697"/>
      <w:bookmarkStart w:id="6705" w:name="_Toc196728412"/>
      <w:r>
        <w:t>关键字对象</w:t>
      </w:r>
      <w:bookmarkEnd w:id="6696"/>
      <w:bookmarkEnd w:id="6697"/>
      <w:bookmarkEnd w:id="6698"/>
      <w:bookmarkEnd w:id="6699"/>
      <w:bookmarkEnd w:id="6700"/>
      <w:bookmarkEnd w:id="6701"/>
      <w:bookmarkEnd w:id="6702"/>
      <w:bookmarkEnd w:id="6703"/>
      <w:bookmarkEnd w:id="6704"/>
      <w:bookmarkEnd w:id="6705"/>
    </w:p>
    <w:p w14:paraId="3714E681">
      <w:pPr>
        <w:pStyle w:val="5"/>
      </w:pPr>
      <w:bookmarkStart w:id="6706" w:name="_Toc40276277"/>
      <w:bookmarkStart w:id="6707" w:name="_Toc6234857"/>
      <w:bookmarkStart w:id="6708" w:name="_Toc194081081"/>
      <w:bookmarkStart w:id="6709" w:name="_Toc99561698"/>
      <w:bookmarkStart w:id="6710" w:name="_Toc529430428"/>
      <w:bookmarkStart w:id="6711" w:name="_Toc474250059"/>
      <w:bookmarkStart w:id="6712" w:name="_Toc196728413"/>
      <w:bookmarkStart w:id="6713" w:name="_Toc141873604"/>
      <w:bookmarkStart w:id="6714" w:name="_Toc23152851"/>
      <w:bookmarkStart w:id="6715" w:name="_Toc142401121"/>
      <w:bookmarkStart w:id="6716" w:name="_Toc15485087"/>
      <w:bookmarkStart w:id="6717" w:name="_Toc172218379"/>
      <w:r>
        <w:rPr>
          <w:rFonts w:hint="eastAsia"/>
        </w:rPr>
        <w:t>关键字对象</w:t>
      </w:r>
      <w:r>
        <w:t>简介</w:t>
      </w:r>
      <w:bookmarkEnd w:id="6706"/>
      <w:bookmarkEnd w:id="6707"/>
      <w:bookmarkEnd w:id="6708"/>
      <w:bookmarkEnd w:id="6709"/>
      <w:bookmarkEnd w:id="6710"/>
      <w:bookmarkEnd w:id="6711"/>
      <w:bookmarkEnd w:id="6712"/>
      <w:bookmarkEnd w:id="6713"/>
      <w:bookmarkEnd w:id="6714"/>
      <w:bookmarkEnd w:id="6715"/>
      <w:bookmarkEnd w:id="6716"/>
      <w:bookmarkEnd w:id="6717"/>
    </w:p>
    <w:p w14:paraId="37DBBE34">
      <w:r>
        <w:rPr>
          <w:rFonts w:hint="eastAsia"/>
        </w:rPr>
        <w:t>关键字过滤是多个控制策略功能实现的基础，搜索引擎内容的过滤、HTTP上传、</w:t>
      </w:r>
      <w:r>
        <w:t>HTTP</w:t>
      </w:r>
      <w:r>
        <w:rPr>
          <w:rFonts w:hint="eastAsia"/>
        </w:rPr>
        <w:t>网页内容过滤、邮件控制等都依赖于此。为了简化配置，便于使用，对关键字进行了对象化处理。要使用关键字过滤，首先需要定义相应的关键字对象。定义好的关键字对象可直接在相关功能模块的配置中进行引用。</w:t>
      </w:r>
    </w:p>
    <w:p w14:paraId="041C947B">
      <w:pPr>
        <w:pStyle w:val="5"/>
      </w:pPr>
      <w:bookmarkStart w:id="6718" w:name="_Ref393476076"/>
      <w:bookmarkStart w:id="6719" w:name="_Toc196728414"/>
      <w:bookmarkStart w:id="6720" w:name="_Toc15485088"/>
      <w:bookmarkStart w:id="6721" w:name="_Toc23152852"/>
      <w:bookmarkStart w:id="6722" w:name="_Ref393476116"/>
      <w:bookmarkStart w:id="6723" w:name="_Toc474250061"/>
      <w:bookmarkStart w:id="6724" w:name="_Toc40276278"/>
      <w:bookmarkStart w:id="6725" w:name="_Toc99561699"/>
      <w:bookmarkStart w:id="6726" w:name="_Toc141873605"/>
      <w:bookmarkStart w:id="6727" w:name="_Toc142401122"/>
      <w:bookmarkStart w:id="6728" w:name="_Toc172218380"/>
      <w:bookmarkStart w:id="6729" w:name="_Toc529430430"/>
      <w:bookmarkStart w:id="6730" w:name="_Toc6234858"/>
      <w:bookmarkStart w:id="6731" w:name="_Toc194081082"/>
      <w:r>
        <w:rPr>
          <w:rFonts w:hint="eastAsia"/>
        </w:rPr>
        <w:t>关键字</w:t>
      </w:r>
      <w:bookmarkEnd w:id="6718"/>
      <w:r>
        <w:rPr>
          <w:rFonts w:hint="eastAsia"/>
        </w:rPr>
        <w:t>列表配置</w:t>
      </w:r>
      <w:bookmarkEnd w:id="6719"/>
      <w:bookmarkEnd w:id="6720"/>
      <w:bookmarkEnd w:id="6721"/>
      <w:bookmarkEnd w:id="6722"/>
      <w:bookmarkEnd w:id="6723"/>
      <w:bookmarkEnd w:id="6724"/>
      <w:bookmarkEnd w:id="6725"/>
      <w:bookmarkEnd w:id="6726"/>
      <w:bookmarkEnd w:id="6727"/>
      <w:bookmarkEnd w:id="6728"/>
      <w:bookmarkEnd w:id="6729"/>
      <w:bookmarkEnd w:id="6730"/>
      <w:bookmarkEnd w:id="6731"/>
    </w:p>
    <w:p w14:paraId="5778E004">
      <w:r>
        <w:rPr>
          <w:rFonts w:hint="eastAsia"/>
        </w:rPr>
        <w:t>通过菜单“策略配置 &gt; 对象管理 &gt; 关键字对象”，点击</w:t>
      </w:r>
      <w:r>
        <w:t>&lt;</w:t>
      </w:r>
      <w:r>
        <w:rPr>
          <w:rFonts w:hint="eastAsia"/>
        </w:rPr>
        <w:t>新建</w:t>
      </w:r>
      <w:r>
        <w:t>&gt;</w:t>
      </w:r>
      <w:r>
        <w:rPr>
          <w:rFonts w:hint="eastAsia"/>
        </w:rPr>
        <w:t>按钮，进入如</w:t>
      </w:r>
      <w:r>
        <w:rPr>
          <w:color w:val="0000FF"/>
          <w:u w:val="single"/>
        </w:rPr>
        <w:fldChar w:fldCharType="begin"/>
      </w:r>
      <w:r>
        <w:rPr>
          <w:color w:val="0000FF"/>
          <w:u w:val="single"/>
        </w:rPr>
        <w:instrText xml:space="preserve"> REF _Ref393533084 \r \h </w:instrText>
      </w:r>
      <w:r>
        <w:rPr>
          <w:color w:val="0000FF"/>
          <w:u w:val="single"/>
        </w:rPr>
        <w:fldChar w:fldCharType="separate"/>
      </w:r>
      <w:r>
        <w:rPr>
          <w:rFonts w:hint="eastAsia"/>
          <w:color w:val="0000FF"/>
          <w:u w:val="single"/>
        </w:rPr>
        <w:t>图28-52</w:t>
      </w:r>
      <w:r>
        <w:rPr>
          <w:color w:val="0000FF"/>
          <w:u w:val="single"/>
        </w:rPr>
        <w:fldChar w:fldCharType="end"/>
      </w:r>
      <w:r>
        <w:rPr>
          <w:rFonts w:hint="eastAsia"/>
        </w:rPr>
        <w:t>所示页面。</w:t>
      </w:r>
    </w:p>
    <w:p w14:paraId="5336CF2C">
      <w:pPr>
        <w:pStyle w:val="188"/>
      </w:pPr>
      <w:bookmarkStart w:id="6732" w:name="_Ref393533084"/>
      <w:bookmarkStart w:id="6733" w:name="_Toc141874980"/>
      <w:r>
        <w:rPr>
          <w:rFonts w:hint="eastAsia"/>
        </w:rPr>
        <w:t>关键字</w:t>
      </w:r>
      <w:r>
        <w:t>列表</w:t>
      </w:r>
      <w:bookmarkEnd w:id="6732"/>
      <w:bookmarkEnd w:id="6733"/>
    </w:p>
    <w:p w14:paraId="78B69D07">
      <w:pPr>
        <w:spacing w:before="78" w:after="78"/>
      </w:pPr>
      <w:r>
        <w:drawing>
          <wp:inline distT="0" distB="0" distL="114300" distR="114300">
            <wp:extent cx="5400040" cy="2688590"/>
            <wp:effectExtent l="0" t="0" r="0" b="0"/>
            <wp:docPr id="2734"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4" name="图片 68"/>
                    <pic:cNvPicPr>
                      <a:picLocks noChangeAspect="1"/>
                    </pic:cNvPicPr>
                  </pic:nvPicPr>
                  <pic:blipFill>
                    <a:blip r:embed="rId815"/>
                    <a:stretch>
                      <a:fillRect/>
                    </a:stretch>
                  </pic:blipFill>
                  <pic:spPr>
                    <a:xfrm>
                      <a:off x="0" y="0"/>
                      <a:ext cx="5400040" cy="2688805"/>
                    </a:xfrm>
                    <a:prstGeom prst="rect">
                      <a:avLst/>
                    </a:prstGeom>
                    <a:noFill/>
                    <a:ln>
                      <a:noFill/>
                    </a:ln>
                  </pic:spPr>
                </pic:pic>
              </a:graphicData>
            </a:graphic>
          </wp:inline>
        </w:drawing>
      </w:r>
    </w:p>
    <w:p w14:paraId="10B311C7"/>
    <w:p w14:paraId="40BDB910">
      <w:r>
        <w:rPr>
          <w:rFonts w:hint="eastAsia"/>
        </w:rPr>
        <w:t>关键字列表的配置项如</w:t>
      </w:r>
      <w:r>
        <w:fldChar w:fldCharType="begin"/>
      </w:r>
      <w:r>
        <w:instrText xml:space="preserve"> REF _Ref393371612 \r \h </w:instrText>
      </w:r>
      <w:r>
        <w:fldChar w:fldCharType="separate"/>
      </w:r>
      <w:r>
        <w:rPr>
          <w:rFonts w:hint="eastAsia"/>
        </w:rPr>
        <w:t>表28-1</w:t>
      </w:r>
      <w:r>
        <w:fldChar w:fldCharType="end"/>
      </w:r>
      <w:r>
        <w:rPr>
          <w:rFonts w:hint="eastAsia"/>
        </w:rPr>
        <w:t>所示：</w:t>
      </w:r>
    </w:p>
    <w:p w14:paraId="49717660">
      <w:pPr>
        <w:pStyle w:val="183"/>
      </w:pPr>
      <w:bookmarkStart w:id="6734" w:name="_Ref393371612"/>
      <w:bookmarkStart w:id="6735" w:name="_Toc141875637"/>
      <w:r>
        <w:rPr>
          <w:rFonts w:hint="eastAsia"/>
        </w:rPr>
        <w:t>关键字列表配置项描述表</w:t>
      </w:r>
      <w:bookmarkEnd w:id="6734"/>
      <w:bookmarkEnd w:id="6735"/>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773"/>
        <w:gridCol w:w="7195"/>
      </w:tblGrid>
      <w:tr w14:paraId="2E072F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tcBorders>
              <w:tl2br w:val="nil"/>
              <w:tr2bl w:val="nil"/>
            </w:tcBorders>
            <w:shd w:val="clear" w:color="auto" w:fill="538135" w:themeFill="accent6" w:themeFillShade="BF"/>
            <w:vAlign w:val="center"/>
          </w:tcPr>
          <w:p w14:paraId="20D7195E">
            <w:pPr>
              <w:pStyle w:val="149"/>
              <w:wordWrap/>
              <w:rPr>
                <w:b/>
                <w:bCs/>
                <w:i w:val="0"/>
                <w:iCs w:val="0"/>
              </w:rPr>
            </w:pPr>
            <w:r>
              <w:rPr>
                <w:rFonts w:hint="eastAsia"/>
                <w:b/>
                <w:bCs/>
                <w:i w:val="0"/>
                <w:iCs w:val="0"/>
              </w:rPr>
              <w:t>配置项</w:t>
            </w:r>
          </w:p>
        </w:tc>
        <w:tc>
          <w:tcPr>
            <w:tcW w:w="7235" w:type="dxa"/>
            <w:tcBorders>
              <w:tl2br w:val="nil"/>
              <w:tr2bl w:val="nil"/>
            </w:tcBorders>
            <w:shd w:val="clear" w:color="auto" w:fill="538135" w:themeFill="accent6" w:themeFillShade="BF"/>
            <w:vAlign w:val="center"/>
          </w:tcPr>
          <w:p w14:paraId="76F4F27A">
            <w:pPr>
              <w:pStyle w:val="149"/>
              <w:wordWrap/>
              <w:rPr>
                <w:b/>
                <w:bCs/>
                <w:i w:val="0"/>
                <w:iCs w:val="0"/>
              </w:rPr>
            </w:pPr>
            <w:r>
              <w:rPr>
                <w:rFonts w:hint="eastAsia"/>
                <w:b/>
                <w:bCs/>
                <w:i w:val="0"/>
                <w:iCs w:val="0"/>
              </w:rPr>
              <w:t>说明</w:t>
            </w:r>
          </w:p>
        </w:tc>
      </w:tr>
      <w:tr w14:paraId="3295CA0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64B71599">
            <w:pPr>
              <w:pStyle w:val="150"/>
            </w:pPr>
            <w:r>
              <w:t>名称</w:t>
            </w:r>
          </w:p>
        </w:tc>
        <w:tc>
          <w:tcPr>
            <w:tcW w:w="7235" w:type="dxa"/>
            <w:shd w:val="clear" w:color="auto" w:fill="auto"/>
          </w:tcPr>
          <w:p w14:paraId="5EC47A54">
            <w:pPr>
              <w:pStyle w:val="150"/>
            </w:pPr>
            <w:r>
              <w:rPr>
                <w:rFonts w:hint="eastAsia"/>
              </w:rPr>
              <w:t>关键字列表</w:t>
            </w:r>
            <w:r>
              <w:t>的名称。</w:t>
            </w:r>
          </w:p>
        </w:tc>
      </w:tr>
      <w:tr w14:paraId="185A14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3773218A">
            <w:pPr>
              <w:pStyle w:val="150"/>
            </w:pPr>
            <w:r>
              <w:rPr>
                <w:rFonts w:hint="eastAsia"/>
              </w:rPr>
              <w:t>描述</w:t>
            </w:r>
          </w:p>
        </w:tc>
        <w:tc>
          <w:tcPr>
            <w:tcW w:w="7235" w:type="dxa"/>
            <w:shd w:val="clear" w:color="auto" w:fill="auto"/>
          </w:tcPr>
          <w:p w14:paraId="56DA862B">
            <w:pPr>
              <w:pStyle w:val="150"/>
            </w:pPr>
            <w:r>
              <w:rPr>
                <w:rFonts w:hint="eastAsia"/>
              </w:rPr>
              <w:t>关键字列表</w:t>
            </w:r>
            <w:r>
              <w:t>的描述。</w:t>
            </w:r>
          </w:p>
        </w:tc>
      </w:tr>
      <w:tr w14:paraId="51E882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52C067A1">
            <w:pPr>
              <w:pStyle w:val="150"/>
            </w:pPr>
            <w:r>
              <w:rPr>
                <w:rFonts w:hint="eastAsia"/>
              </w:rPr>
              <w:t>内容</w:t>
            </w:r>
          </w:p>
        </w:tc>
        <w:tc>
          <w:tcPr>
            <w:tcW w:w="7235" w:type="dxa"/>
            <w:shd w:val="clear" w:color="auto" w:fill="auto"/>
          </w:tcPr>
          <w:p w14:paraId="3A545FB5">
            <w:pPr>
              <w:pStyle w:val="150"/>
            </w:pPr>
            <w:r>
              <w:rPr>
                <w:rFonts w:hint="eastAsia"/>
              </w:rPr>
              <w:t>关键字列表</w:t>
            </w:r>
            <w:r>
              <w:t>的内容，每行一个。</w:t>
            </w:r>
          </w:p>
        </w:tc>
      </w:tr>
    </w:tbl>
    <w:p w14:paraId="5FF21A07"/>
    <w:p w14:paraId="65DD5708">
      <w:pPr>
        <w:pStyle w:val="4"/>
      </w:pPr>
      <w:bookmarkStart w:id="6736" w:name="_Toc60069111"/>
      <w:bookmarkStart w:id="6737" w:name="_Toc61022592"/>
      <w:bookmarkStart w:id="6738" w:name="_Toc196728415"/>
      <w:bookmarkStart w:id="6739" w:name="_Toc142401123"/>
      <w:bookmarkStart w:id="6740" w:name="_Toc141873606"/>
      <w:bookmarkStart w:id="6741" w:name="_Toc172218381"/>
      <w:bookmarkStart w:id="6742" w:name="_Toc194081083"/>
      <w:bookmarkStart w:id="6743" w:name="_Toc99561700"/>
      <w:r>
        <w:t>文件类型对象</w:t>
      </w:r>
      <w:bookmarkEnd w:id="6736"/>
      <w:bookmarkEnd w:id="6737"/>
      <w:bookmarkEnd w:id="6738"/>
      <w:bookmarkEnd w:id="6739"/>
      <w:bookmarkEnd w:id="6740"/>
      <w:bookmarkEnd w:id="6741"/>
      <w:bookmarkEnd w:id="6742"/>
      <w:bookmarkEnd w:id="6743"/>
    </w:p>
    <w:p w14:paraId="7760BB99">
      <w:pPr>
        <w:pStyle w:val="5"/>
      </w:pPr>
      <w:bookmarkStart w:id="6744" w:name="_Toc60069112"/>
      <w:bookmarkStart w:id="6745" w:name="_Toc61022593"/>
      <w:bookmarkStart w:id="6746" w:name="_Toc196728416"/>
      <w:bookmarkStart w:id="6747" w:name="_Toc99561701"/>
      <w:bookmarkStart w:id="6748" w:name="_Toc172218382"/>
      <w:bookmarkStart w:id="6749" w:name="_Toc141873607"/>
      <w:bookmarkStart w:id="6750" w:name="_Toc194081084"/>
      <w:bookmarkStart w:id="6751" w:name="_Toc142401124"/>
      <w:r>
        <w:t>概述</w:t>
      </w:r>
      <w:bookmarkEnd w:id="6744"/>
      <w:bookmarkEnd w:id="6745"/>
      <w:bookmarkEnd w:id="6746"/>
      <w:bookmarkEnd w:id="6747"/>
      <w:bookmarkEnd w:id="6748"/>
      <w:bookmarkEnd w:id="6749"/>
      <w:bookmarkEnd w:id="6750"/>
      <w:bookmarkEnd w:id="6751"/>
    </w:p>
    <w:p w14:paraId="5509D9C9">
      <w:r>
        <w:rPr>
          <w:rFonts w:hint="eastAsia"/>
        </w:rPr>
        <w:t>为了方便用户的配置和管理，设备中引入了文件类型对象的概念。在其它功能的配置中，可以引用文件类型对象来定义配置生效的条件。</w:t>
      </w:r>
    </w:p>
    <w:p w14:paraId="75F4E1F0">
      <w:r>
        <w:t>在文件类型对象中存在预定义文件类型对象</w:t>
      </w:r>
      <w:r>
        <w:rPr>
          <w:rFonts w:hint="eastAsia"/>
        </w:rPr>
        <w:t>，主要包括：电影、音频、文本、图片、压缩文件、应用程序、office系列和其他类型文件。</w:t>
      </w:r>
    </w:p>
    <w:p w14:paraId="4E8C9FEF">
      <w:r>
        <w:t>在文件类型对象页面可以修改预定义文件类型对象</w:t>
      </w:r>
      <w:r>
        <w:rPr>
          <w:rFonts w:hint="eastAsia"/>
        </w:rPr>
        <w:t>，</w:t>
      </w:r>
      <w:r>
        <w:t>也可以新增自定义文件类型对象</w:t>
      </w:r>
      <w:r>
        <w:rPr>
          <w:rFonts w:hint="eastAsia"/>
        </w:rPr>
        <w:t>。</w:t>
      </w:r>
    </w:p>
    <w:p w14:paraId="03E07576">
      <w:pPr>
        <w:pStyle w:val="5"/>
      </w:pPr>
      <w:bookmarkStart w:id="6752" w:name="_Toc60069113"/>
      <w:bookmarkStart w:id="6753" w:name="_Toc61022594"/>
      <w:bookmarkStart w:id="6754" w:name="_Toc141873608"/>
      <w:bookmarkStart w:id="6755" w:name="_Toc142401125"/>
      <w:bookmarkStart w:id="6756" w:name="_Toc99561702"/>
      <w:bookmarkStart w:id="6757" w:name="_Toc172218383"/>
      <w:bookmarkStart w:id="6758" w:name="_Toc194081085"/>
      <w:bookmarkStart w:id="6759" w:name="_Toc196728417"/>
      <w:r>
        <w:t>配置文件类型对象</w:t>
      </w:r>
      <w:bookmarkEnd w:id="6752"/>
      <w:bookmarkEnd w:id="6753"/>
      <w:bookmarkEnd w:id="6754"/>
      <w:bookmarkEnd w:id="6755"/>
      <w:bookmarkEnd w:id="6756"/>
      <w:bookmarkEnd w:id="6757"/>
      <w:bookmarkEnd w:id="6758"/>
      <w:bookmarkEnd w:id="6759"/>
    </w:p>
    <w:p w14:paraId="5506D6FB">
      <w:r>
        <w:rPr>
          <w:rFonts w:hint="eastAsia"/>
        </w:rPr>
        <w:t>在导航栏中选择“策略配置 &gt; 对象管理 &gt; 文件类型对象”，进入文件类型对象标签页，查看所有的文件类型对象，如</w:t>
      </w:r>
      <w:r>
        <w:fldChar w:fldCharType="begin"/>
      </w:r>
      <w:r>
        <w:instrText xml:space="preserve">  REF _Ref393373672 \r \h  \* MERGEFORMAT </w:instrText>
      </w:r>
      <w:r>
        <w:fldChar w:fldCharType="separate"/>
      </w:r>
      <w:r>
        <w:rPr>
          <w:rFonts w:hint="eastAsia"/>
        </w:rPr>
        <w:t>图28-15</w:t>
      </w:r>
      <w:r>
        <w:fldChar w:fldCharType="end"/>
      </w:r>
      <w:r>
        <w:rPr>
          <w:rFonts w:hint="eastAsia"/>
        </w:rPr>
        <w:t>所示。点击</w:t>
      </w:r>
      <w:r>
        <w:t>&lt;</w:t>
      </w:r>
      <w:r>
        <w:rPr>
          <w:rFonts w:hint="eastAsia"/>
        </w:rPr>
        <w:t>新建</w:t>
      </w:r>
      <w:r>
        <w:t>&gt;</w:t>
      </w:r>
      <w:r>
        <w:rPr>
          <w:rFonts w:hint="eastAsia"/>
        </w:rPr>
        <w:t>按钮，弹出新建文件类型对象的页面，如</w:t>
      </w:r>
      <w:r>
        <w:fldChar w:fldCharType="begin"/>
      </w:r>
      <w:r>
        <w:instrText xml:space="preserve">  REF _Ref392921866 \r \h  \* MERGEFORMAT </w:instrText>
      </w:r>
      <w:r>
        <w:fldChar w:fldCharType="separate"/>
      </w:r>
      <w:r>
        <w:rPr>
          <w:rFonts w:hint="eastAsia"/>
        </w:rPr>
        <w:t>图28-16</w:t>
      </w:r>
      <w:r>
        <w:fldChar w:fldCharType="end"/>
      </w:r>
      <w:r>
        <w:rPr>
          <w:rFonts w:hint="eastAsia"/>
        </w:rPr>
        <w:t>所示。</w:t>
      </w:r>
    </w:p>
    <w:p w14:paraId="02722DFC">
      <w:pPr>
        <w:pStyle w:val="188"/>
      </w:pPr>
      <w:bookmarkStart w:id="6760" w:name="_Toc141874981"/>
      <w:r>
        <w:rPr>
          <w:rFonts w:hint="eastAsia"/>
        </w:rPr>
        <w:t>文件类型对象显示页面</w:t>
      </w:r>
      <w:bookmarkEnd w:id="6760"/>
    </w:p>
    <w:p w14:paraId="715AC501">
      <w:pPr>
        <w:pStyle w:val="175"/>
      </w:pPr>
      <w:r>
        <w:t xml:space="preserve"> </w:t>
      </w:r>
      <w:r>
        <w:drawing>
          <wp:inline distT="0" distB="0" distL="0" distR="0">
            <wp:extent cx="5680710" cy="2570480"/>
            <wp:effectExtent l="0" t="0" r="0" b="1270"/>
            <wp:docPr id="1802027863" name="图片 1802027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63" name="图片 1802027863"/>
                    <pic:cNvPicPr>
                      <a:picLocks noChangeAspect="1"/>
                    </pic:cNvPicPr>
                  </pic:nvPicPr>
                  <pic:blipFill>
                    <a:blip r:embed="rId816"/>
                    <a:stretch>
                      <a:fillRect/>
                    </a:stretch>
                  </pic:blipFill>
                  <pic:spPr>
                    <a:xfrm>
                      <a:off x="0" y="0"/>
                      <a:ext cx="5684423" cy="2572409"/>
                    </a:xfrm>
                    <a:prstGeom prst="rect">
                      <a:avLst/>
                    </a:prstGeom>
                  </pic:spPr>
                </pic:pic>
              </a:graphicData>
            </a:graphic>
          </wp:inline>
        </w:drawing>
      </w:r>
    </w:p>
    <w:p w14:paraId="4244BADD"/>
    <w:p w14:paraId="61C198A9">
      <w:pPr>
        <w:pStyle w:val="188"/>
      </w:pPr>
      <w:bookmarkStart w:id="6761" w:name="_Toc141874982"/>
      <w:r>
        <w:rPr>
          <w:rFonts w:hint="eastAsia"/>
        </w:rPr>
        <w:t>新建文件类型对象</w:t>
      </w:r>
      <w:bookmarkEnd w:id="6761"/>
    </w:p>
    <w:p w14:paraId="5B0A6635">
      <w:r>
        <w:drawing>
          <wp:inline distT="0" distB="0" distL="114300" distR="114300">
            <wp:extent cx="5234940" cy="3268980"/>
            <wp:effectExtent l="0" t="0" r="7620" b="7620"/>
            <wp:docPr id="2735"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5" name="图片 69"/>
                    <pic:cNvPicPr>
                      <a:picLocks noChangeAspect="1"/>
                    </pic:cNvPicPr>
                  </pic:nvPicPr>
                  <pic:blipFill>
                    <a:blip r:embed="rId817"/>
                    <a:stretch>
                      <a:fillRect/>
                    </a:stretch>
                  </pic:blipFill>
                  <pic:spPr>
                    <a:xfrm>
                      <a:off x="0" y="0"/>
                      <a:ext cx="5234940" cy="3268980"/>
                    </a:xfrm>
                    <a:prstGeom prst="rect">
                      <a:avLst/>
                    </a:prstGeom>
                    <a:noFill/>
                    <a:ln>
                      <a:noFill/>
                    </a:ln>
                  </pic:spPr>
                </pic:pic>
              </a:graphicData>
            </a:graphic>
          </wp:inline>
        </w:drawing>
      </w:r>
    </w:p>
    <w:p w14:paraId="38FFDECA"/>
    <w:p w14:paraId="4B12B590">
      <w:r>
        <w:rPr>
          <w:rFonts w:hint="eastAsia"/>
        </w:rPr>
        <w:t>文件类型对象的详细配置表如</w:t>
      </w:r>
      <w:r>
        <w:fldChar w:fldCharType="begin"/>
      </w:r>
      <w:r>
        <w:instrText xml:space="preserve">  REF _Ref392922968 \r \h  \* MERGEFORMAT </w:instrText>
      </w:r>
      <w:r>
        <w:fldChar w:fldCharType="separate"/>
      </w:r>
      <w:r>
        <w:rPr>
          <w:rFonts w:hint="eastAsia"/>
        </w:rPr>
        <w:t>表28-1</w:t>
      </w:r>
      <w:r>
        <w:fldChar w:fldCharType="end"/>
      </w:r>
      <w:r>
        <w:rPr>
          <w:rFonts w:hint="eastAsia"/>
        </w:rPr>
        <w:t>所示：</w:t>
      </w:r>
    </w:p>
    <w:p w14:paraId="27CC2869">
      <w:pPr>
        <w:pStyle w:val="183"/>
      </w:pPr>
      <w:bookmarkStart w:id="6762" w:name="_Toc141875638"/>
      <w:r>
        <w:rPr>
          <w:rFonts w:hint="eastAsia"/>
        </w:rPr>
        <w:t>文件类型对象的详细配置</w:t>
      </w:r>
      <w:bookmarkEnd w:id="6762"/>
    </w:p>
    <w:tbl>
      <w:tblPr>
        <w:tblStyle w:val="173"/>
        <w:tblW w:w="896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76"/>
        <w:gridCol w:w="6592"/>
      </w:tblGrid>
      <w:tr w14:paraId="2A516D1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tcBorders>
              <w:tl2br w:val="nil"/>
              <w:tr2bl w:val="nil"/>
            </w:tcBorders>
            <w:shd w:val="clear" w:color="auto" w:fill="538135" w:themeFill="accent6" w:themeFillShade="BF"/>
            <w:vAlign w:val="center"/>
          </w:tcPr>
          <w:p w14:paraId="5E37087A">
            <w:pPr>
              <w:pStyle w:val="149"/>
              <w:wordWrap/>
              <w:rPr>
                <w:b/>
                <w:bCs/>
                <w:i w:val="0"/>
                <w:iCs w:val="0"/>
              </w:rPr>
            </w:pPr>
            <w:r>
              <w:rPr>
                <w:rFonts w:hint="eastAsia"/>
                <w:b/>
                <w:bCs/>
                <w:i w:val="0"/>
                <w:iCs w:val="0"/>
              </w:rPr>
              <w:t>配置项</w:t>
            </w:r>
          </w:p>
        </w:tc>
        <w:tc>
          <w:tcPr>
            <w:tcW w:w="6592" w:type="dxa"/>
            <w:tcBorders>
              <w:tl2br w:val="nil"/>
              <w:tr2bl w:val="nil"/>
            </w:tcBorders>
            <w:shd w:val="clear" w:color="auto" w:fill="538135" w:themeFill="accent6" w:themeFillShade="BF"/>
            <w:vAlign w:val="center"/>
          </w:tcPr>
          <w:p w14:paraId="004D2357">
            <w:pPr>
              <w:pStyle w:val="149"/>
              <w:wordWrap/>
              <w:rPr>
                <w:b/>
                <w:bCs/>
                <w:i w:val="0"/>
                <w:iCs w:val="0"/>
              </w:rPr>
            </w:pPr>
            <w:r>
              <w:rPr>
                <w:rFonts w:hint="eastAsia"/>
                <w:b/>
                <w:bCs/>
                <w:i w:val="0"/>
                <w:iCs w:val="0"/>
              </w:rPr>
              <w:t>说明</w:t>
            </w:r>
          </w:p>
        </w:tc>
      </w:tr>
      <w:tr w14:paraId="4532AC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10D3C755">
            <w:pPr>
              <w:pStyle w:val="150"/>
            </w:pPr>
            <w:r>
              <w:rPr>
                <w:rFonts w:hint="eastAsia"/>
              </w:rPr>
              <w:t>名称</w:t>
            </w:r>
          </w:p>
        </w:tc>
        <w:tc>
          <w:tcPr>
            <w:tcW w:w="6592" w:type="dxa"/>
            <w:shd w:val="clear" w:color="auto" w:fill="auto"/>
          </w:tcPr>
          <w:p w14:paraId="2792C8EB">
            <w:pPr>
              <w:pStyle w:val="150"/>
            </w:pPr>
            <w:r>
              <w:rPr>
                <w:rFonts w:hint="eastAsia"/>
              </w:rPr>
              <w:t>文件类型对象的名称，为1到</w:t>
            </w:r>
            <w:r>
              <w:t>63</w:t>
            </w:r>
            <w:r>
              <w:rPr>
                <w:rFonts w:hint="eastAsia"/>
              </w:rPr>
              <w:t>个字符的字符串。</w:t>
            </w:r>
          </w:p>
        </w:tc>
      </w:tr>
      <w:tr w14:paraId="491926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4409B488">
            <w:pPr>
              <w:pStyle w:val="150"/>
            </w:pPr>
            <w:r>
              <w:rPr>
                <w:rFonts w:hint="eastAsia"/>
              </w:rPr>
              <w:t>描述</w:t>
            </w:r>
          </w:p>
        </w:tc>
        <w:tc>
          <w:tcPr>
            <w:tcW w:w="6592" w:type="dxa"/>
            <w:shd w:val="clear" w:color="auto" w:fill="auto"/>
          </w:tcPr>
          <w:p w14:paraId="435FB114">
            <w:pPr>
              <w:pStyle w:val="150"/>
            </w:pPr>
            <w:r>
              <w:rPr>
                <w:rFonts w:hint="eastAsia"/>
              </w:rPr>
              <w:t>文件类型对象的描述信息，为0到127个字符的字符串。</w:t>
            </w:r>
          </w:p>
        </w:tc>
      </w:tr>
      <w:tr w14:paraId="335FE3F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64F18A51">
            <w:pPr>
              <w:pStyle w:val="150"/>
            </w:pPr>
            <w:r>
              <w:rPr>
                <w:rFonts w:hint="eastAsia"/>
              </w:rPr>
              <w:t>文件类型</w:t>
            </w:r>
          </w:p>
        </w:tc>
        <w:tc>
          <w:tcPr>
            <w:tcW w:w="6592" w:type="dxa"/>
            <w:shd w:val="clear" w:color="auto" w:fill="auto"/>
          </w:tcPr>
          <w:p w14:paraId="21542017">
            <w:pPr>
              <w:pStyle w:val="150"/>
            </w:pPr>
            <w:r>
              <w:rPr>
                <w:rFonts w:hint="eastAsia"/>
              </w:rPr>
              <w:t>可以配置具体文件类型对象，多个文件类型用换行输入，每条允许输入1</w:t>
            </w:r>
            <w:r>
              <w:t>-15个字符</w:t>
            </w:r>
            <w:r>
              <w:rPr>
                <w:rFonts w:hint="eastAsia"/>
              </w:rPr>
              <w:t>，</w:t>
            </w:r>
            <w:r>
              <w:t>最多支持</w:t>
            </w:r>
            <w:r>
              <w:rPr>
                <w:rFonts w:hint="eastAsia"/>
              </w:rPr>
              <w:t>6</w:t>
            </w:r>
            <w:r>
              <w:t>4个</w:t>
            </w:r>
            <w:r>
              <w:rPr>
                <w:rFonts w:hint="eastAsia"/>
              </w:rPr>
              <w:t>，</w:t>
            </w:r>
            <w:r>
              <w:t>格式</w:t>
            </w:r>
            <w:r>
              <w:rPr>
                <w:rFonts w:hint="eastAsia"/>
              </w:rPr>
              <w:t>：*</w:t>
            </w:r>
            <w:r>
              <w:t>.mp3或</w:t>
            </w:r>
            <w:r>
              <w:rPr>
                <w:rFonts w:hint="eastAsia"/>
              </w:rPr>
              <w:t>.</w:t>
            </w:r>
            <w:r>
              <w:t>mp3或</w:t>
            </w:r>
            <w:r>
              <w:rPr>
                <w:rFonts w:hint="eastAsia"/>
              </w:rPr>
              <w:t>mp</w:t>
            </w:r>
            <w:r>
              <w:t>3</w:t>
            </w:r>
            <w:r>
              <w:rPr>
                <w:rFonts w:hint="eastAsia"/>
              </w:rPr>
              <w:t>。</w:t>
            </w:r>
          </w:p>
        </w:tc>
      </w:tr>
    </w:tbl>
    <w:p w14:paraId="00B8DA11"/>
    <w:p w14:paraId="4E926A28">
      <w:r>
        <w:rPr>
          <w:rFonts w:hint="eastAsia"/>
        </w:rPr>
        <w:t>点击</w:t>
      </w:r>
      <w:r>
        <w:t>&lt;</w:t>
      </w:r>
      <w:r>
        <w:rPr>
          <w:rFonts w:hint="eastAsia"/>
        </w:rPr>
        <w:t>提交</w:t>
      </w:r>
      <w:r>
        <w:t>&gt;</w:t>
      </w:r>
      <w:r>
        <w:rPr>
          <w:rFonts w:hint="eastAsia"/>
        </w:rPr>
        <w:t>按钮，可以完成文件类型对象的配置。</w:t>
      </w:r>
    </w:p>
    <w:p w14:paraId="61FF7246">
      <w:pPr>
        <w:pStyle w:val="4"/>
      </w:pPr>
      <w:bookmarkStart w:id="6763" w:name="_Toc172218384"/>
      <w:bookmarkStart w:id="6764" w:name="_Toc99561703"/>
      <w:bookmarkStart w:id="6765" w:name="_Toc141873609"/>
      <w:bookmarkStart w:id="6766" w:name="_Toc142401126"/>
      <w:bookmarkStart w:id="6767" w:name="_Toc194081086"/>
      <w:bookmarkStart w:id="6768" w:name="_Toc196728418"/>
      <w:r>
        <w:rPr>
          <w:rFonts w:hint="eastAsia"/>
        </w:rPr>
        <w:t>自定义公告</w:t>
      </w:r>
      <w:bookmarkEnd w:id="6529"/>
      <w:bookmarkEnd w:id="6530"/>
      <w:bookmarkEnd w:id="6531"/>
      <w:bookmarkEnd w:id="6532"/>
      <w:bookmarkEnd w:id="6533"/>
      <w:bookmarkEnd w:id="6763"/>
      <w:bookmarkEnd w:id="6764"/>
      <w:bookmarkEnd w:id="6765"/>
      <w:bookmarkEnd w:id="6766"/>
      <w:bookmarkEnd w:id="6767"/>
      <w:bookmarkEnd w:id="6768"/>
    </w:p>
    <w:p w14:paraId="1FCFC265">
      <w:pPr>
        <w:pStyle w:val="5"/>
      </w:pPr>
      <w:bookmarkStart w:id="6769" w:name="_Toc6234886"/>
      <w:bookmarkStart w:id="6770" w:name="_Toc172218385"/>
      <w:bookmarkStart w:id="6771" w:name="_Toc40276306"/>
      <w:bookmarkStart w:id="6772" w:name="_Toc99561704"/>
      <w:bookmarkStart w:id="6773" w:name="_Toc141873610"/>
      <w:bookmarkStart w:id="6774" w:name="_Toc23152880"/>
      <w:bookmarkStart w:id="6775" w:name="_Toc194081087"/>
      <w:bookmarkStart w:id="6776" w:name="_Toc196728419"/>
      <w:bookmarkStart w:id="6777" w:name="_Toc15485116"/>
      <w:bookmarkStart w:id="6778" w:name="_Toc142401127"/>
      <w:r>
        <w:t>概述</w:t>
      </w:r>
      <w:bookmarkEnd w:id="6769"/>
      <w:bookmarkEnd w:id="6770"/>
      <w:bookmarkEnd w:id="6771"/>
      <w:bookmarkEnd w:id="6772"/>
      <w:bookmarkEnd w:id="6773"/>
      <w:bookmarkEnd w:id="6774"/>
      <w:bookmarkEnd w:id="6775"/>
      <w:bookmarkEnd w:id="6776"/>
      <w:bookmarkEnd w:id="6777"/>
      <w:bookmarkEnd w:id="6778"/>
    </w:p>
    <w:p w14:paraId="006163CD">
      <w:r>
        <w:rPr>
          <w:rFonts w:hint="eastAsia"/>
        </w:rPr>
        <w:t>随着网络化的普及，网络的管理也日趋精细，经常需要在网络内部发布公告或通知内容。网络内部可以选择使用终端公告提醒的公告功能，公告发布后，内网终端能够在访问网页时重定向到公告页面，以达到公告的目的。设备支持推送定制的公告页面，可以用HTML或图文编辑方式添加修改公告页面内容。终端公告推送的配置，请参见“控制策略”模块资料。</w:t>
      </w:r>
    </w:p>
    <w:p w14:paraId="333E7169">
      <w:pPr>
        <w:pStyle w:val="5"/>
      </w:pPr>
      <w:bookmarkStart w:id="6779" w:name="_Toc6234887"/>
      <w:bookmarkStart w:id="6780" w:name="_Toc15485117"/>
      <w:bookmarkStart w:id="6781" w:name="_Toc99561705"/>
      <w:bookmarkStart w:id="6782" w:name="_Toc23152881"/>
      <w:bookmarkStart w:id="6783" w:name="_Toc40276307"/>
      <w:bookmarkStart w:id="6784" w:name="_Toc196728420"/>
      <w:bookmarkStart w:id="6785" w:name="_Toc141873611"/>
      <w:bookmarkStart w:id="6786" w:name="_Toc142401128"/>
      <w:bookmarkStart w:id="6787" w:name="_Toc194081088"/>
      <w:bookmarkStart w:id="6788" w:name="_Toc172218386"/>
      <w:r>
        <w:t>公告页面</w:t>
      </w:r>
      <w:bookmarkEnd w:id="6779"/>
      <w:bookmarkEnd w:id="6780"/>
      <w:bookmarkEnd w:id="6781"/>
      <w:bookmarkEnd w:id="6782"/>
      <w:bookmarkEnd w:id="6783"/>
      <w:bookmarkEnd w:id="6784"/>
      <w:bookmarkEnd w:id="6785"/>
      <w:bookmarkEnd w:id="6786"/>
      <w:bookmarkEnd w:id="6787"/>
      <w:bookmarkEnd w:id="6788"/>
    </w:p>
    <w:p w14:paraId="7D919CFD">
      <w:r>
        <w:rPr>
          <w:rFonts w:hint="eastAsia"/>
        </w:rPr>
        <w:t>通过菜单“策略配置 &gt; 对象管理</w:t>
      </w:r>
      <w:r>
        <w:t xml:space="preserve"> &gt; </w:t>
      </w:r>
      <w:r>
        <w:rPr>
          <w:rFonts w:hint="eastAsia"/>
        </w:rPr>
        <w:t>公告页面”，进入如</w:t>
      </w:r>
      <w:r>
        <w:rPr>
          <w:color w:val="0000FF"/>
          <w:u w:val="single"/>
        </w:rPr>
        <w:fldChar w:fldCharType="begin"/>
      </w:r>
      <w:r>
        <w:instrText xml:space="preserve"> </w:instrText>
      </w:r>
      <w:r>
        <w:rPr>
          <w:rFonts w:hint="eastAsia"/>
        </w:rPr>
        <w:instrText xml:space="preserve">REF _Ref4423884 \r \h</w:instrText>
      </w:r>
      <w:r>
        <w:instrText xml:space="preserve"> </w:instrText>
      </w:r>
      <w:r>
        <w:rPr>
          <w:color w:val="0000FF"/>
          <w:u w:val="single"/>
        </w:rPr>
        <w:fldChar w:fldCharType="separate"/>
      </w:r>
      <w:r>
        <w:rPr>
          <w:rFonts w:hint="eastAsia"/>
        </w:rPr>
        <w:t>图28-55</w:t>
      </w:r>
      <w:r>
        <w:rPr>
          <w:color w:val="0000FF"/>
          <w:u w:val="single"/>
        </w:rPr>
        <w:fldChar w:fldCharType="end"/>
      </w:r>
      <w:r>
        <w:rPr>
          <w:rFonts w:hint="eastAsia"/>
        </w:rPr>
        <w:t>所示页面。在该页面上可以配置自定义公告内容。各个配置项含义如</w:t>
      </w:r>
      <w:r>
        <w:rPr>
          <w:color w:val="0000FF"/>
          <w:u w:val="single"/>
        </w:rPr>
        <w:fldChar w:fldCharType="begin"/>
      </w:r>
      <w:r>
        <w:rPr>
          <w:color w:val="0000FF"/>
          <w:u w:val="single"/>
        </w:rPr>
        <w:instrText xml:space="preserve"> REF _Ref4423893 \r \h </w:instrText>
      </w:r>
      <w:r>
        <w:rPr>
          <w:color w:val="0000FF"/>
          <w:u w:val="single"/>
        </w:rPr>
        <w:fldChar w:fldCharType="separate"/>
      </w:r>
      <w:r>
        <w:rPr>
          <w:rFonts w:hint="eastAsia"/>
          <w:color w:val="0000FF"/>
          <w:u w:val="single"/>
        </w:rPr>
        <w:t>表28-1</w:t>
      </w:r>
      <w:r>
        <w:rPr>
          <w:color w:val="0000FF"/>
          <w:u w:val="single"/>
        </w:rPr>
        <w:fldChar w:fldCharType="end"/>
      </w:r>
      <w:r>
        <w:rPr>
          <w:rFonts w:hint="eastAsia"/>
        </w:rPr>
        <w:t>所示。</w:t>
      </w:r>
    </w:p>
    <w:p w14:paraId="564087F3">
      <w:pPr>
        <w:pStyle w:val="188"/>
      </w:pPr>
      <w:bookmarkStart w:id="6789" w:name="_Ref4423884"/>
      <w:bookmarkStart w:id="6790" w:name="_Toc141874983"/>
      <w:r>
        <w:rPr>
          <w:rFonts w:hint="eastAsia"/>
        </w:rPr>
        <w:t>公告页面</w:t>
      </w:r>
      <w:bookmarkEnd w:id="6789"/>
      <w:bookmarkEnd w:id="6790"/>
    </w:p>
    <w:p w14:paraId="04AC60CE">
      <w:r>
        <w:drawing>
          <wp:inline distT="0" distB="0" distL="0" distR="0">
            <wp:extent cx="5591175" cy="1203960"/>
            <wp:effectExtent l="0" t="0" r="0" b="0"/>
            <wp:docPr id="543" name="图片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543"/>
                    <pic:cNvPicPr>
                      <a:picLocks noChangeAspect="1"/>
                    </pic:cNvPicPr>
                  </pic:nvPicPr>
                  <pic:blipFill>
                    <a:blip r:embed="rId818"/>
                    <a:stretch>
                      <a:fillRect/>
                    </a:stretch>
                  </pic:blipFill>
                  <pic:spPr>
                    <a:xfrm>
                      <a:off x="0" y="0"/>
                      <a:ext cx="5627551" cy="1212159"/>
                    </a:xfrm>
                    <a:prstGeom prst="rect">
                      <a:avLst/>
                    </a:prstGeom>
                  </pic:spPr>
                </pic:pic>
              </a:graphicData>
            </a:graphic>
          </wp:inline>
        </w:drawing>
      </w:r>
    </w:p>
    <w:p w14:paraId="640A650C"/>
    <w:p w14:paraId="7DD36F9F">
      <w:pPr>
        <w:pStyle w:val="183"/>
      </w:pPr>
      <w:bookmarkStart w:id="6791" w:name="_Ref4423893"/>
      <w:bookmarkStart w:id="6792" w:name="_Toc141875639"/>
      <w:r>
        <w:rPr>
          <w:rFonts w:hint="eastAsia"/>
        </w:rPr>
        <w:t>自定义公告页面各项含义表</w:t>
      </w:r>
      <w:bookmarkEnd w:id="6791"/>
      <w:bookmarkEnd w:id="6792"/>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065"/>
        <w:gridCol w:w="6949"/>
      </w:tblGrid>
      <w:tr w14:paraId="5DA4E9B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tcBorders>
              <w:tl2br w:val="nil"/>
              <w:tr2bl w:val="nil"/>
            </w:tcBorders>
            <w:shd w:val="clear" w:color="auto" w:fill="538135" w:themeFill="accent6" w:themeFillShade="BF"/>
            <w:vAlign w:val="center"/>
          </w:tcPr>
          <w:p w14:paraId="336E270A">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949" w:type="dxa"/>
            <w:tcBorders>
              <w:tl2br w:val="nil"/>
              <w:tr2bl w:val="nil"/>
            </w:tcBorders>
            <w:shd w:val="clear" w:color="auto" w:fill="538135" w:themeFill="accent6" w:themeFillShade="BF"/>
            <w:vAlign w:val="center"/>
          </w:tcPr>
          <w:p w14:paraId="23DC8346">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A3BAE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1AA646A1">
            <w:pPr>
              <w:pStyle w:val="150"/>
            </w:pPr>
            <w:r>
              <w:rPr>
                <w:rFonts w:hint="eastAsia"/>
              </w:rPr>
              <w:t>名称</w:t>
            </w:r>
          </w:p>
        </w:tc>
        <w:tc>
          <w:tcPr>
            <w:tcW w:w="6949" w:type="dxa"/>
            <w:shd w:val="clear" w:color="auto" w:fill="auto"/>
          </w:tcPr>
          <w:p w14:paraId="77F056B7">
            <w:pPr>
              <w:pStyle w:val="150"/>
            </w:pPr>
            <w:r>
              <w:rPr>
                <w:rFonts w:hint="eastAsia"/>
              </w:rPr>
              <w:t>公告名称，点击进行公告内容编辑。</w:t>
            </w:r>
          </w:p>
        </w:tc>
      </w:tr>
      <w:tr w14:paraId="32B3FD7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3EA54699">
            <w:pPr>
              <w:pStyle w:val="150"/>
            </w:pPr>
            <w:r>
              <w:rPr>
                <w:rFonts w:hint="eastAsia"/>
              </w:rPr>
              <w:t>描述</w:t>
            </w:r>
          </w:p>
        </w:tc>
        <w:tc>
          <w:tcPr>
            <w:tcW w:w="6949" w:type="dxa"/>
            <w:shd w:val="clear" w:color="auto" w:fill="auto"/>
          </w:tcPr>
          <w:p w14:paraId="65922576">
            <w:pPr>
              <w:pStyle w:val="150"/>
            </w:pPr>
            <w:r>
              <w:rPr>
                <w:rFonts w:hint="eastAsia"/>
              </w:rPr>
              <w:t>公告描述信息</w:t>
            </w:r>
          </w:p>
        </w:tc>
      </w:tr>
      <w:tr w14:paraId="5FDD2E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3E0F1FF6">
            <w:pPr>
              <w:pStyle w:val="150"/>
            </w:pPr>
            <w:r>
              <w:rPr>
                <w:rFonts w:hint="eastAsia"/>
              </w:rPr>
              <w:t>预览</w:t>
            </w:r>
          </w:p>
        </w:tc>
        <w:tc>
          <w:tcPr>
            <w:tcW w:w="6949" w:type="dxa"/>
            <w:shd w:val="clear" w:color="auto" w:fill="auto"/>
          </w:tcPr>
          <w:p w14:paraId="6549EB85">
            <w:pPr>
              <w:pStyle w:val="150"/>
            </w:pPr>
            <w:r>
              <w:rPr>
                <w:rFonts w:hint="eastAsia"/>
              </w:rPr>
              <w:t>公告推送页面预览</w:t>
            </w:r>
          </w:p>
        </w:tc>
      </w:tr>
      <w:tr w14:paraId="5B6002A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43450EEB">
            <w:pPr>
              <w:pStyle w:val="150"/>
            </w:pPr>
            <w:r>
              <w:rPr>
                <w:rFonts w:hint="eastAsia"/>
              </w:rPr>
              <w:t>操作（复制）</w:t>
            </w:r>
          </w:p>
        </w:tc>
        <w:tc>
          <w:tcPr>
            <w:tcW w:w="6949" w:type="dxa"/>
            <w:shd w:val="clear" w:color="auto" w:fill="auto"/>
          </w:tcPr>
          <w:p w14:paraId="4B5A1EE5">
            <w:pPr>
              <w:pStyle w:val="150"/>
            </w:pPr>
            <w:r>
              <w:rPr>
                <w:rFonts w:hint="eastAsia"/>
              </w:rPr>
              <w:t>复制公告内容并创建新的公告模板</w:t>
            </w:r>
          </w:p>
        </w:tc>
      </w:tr>
      <w:tr w14:paraId="1CB7A9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0D524A69">
            <w:pPr>
              <w:pStyle w:val="150"/>
            </w:pPr>
            <w:r>
              <w:rPr>
                <w:rFonts w:hint="eastAsia"/>
              </w:rPr>
              <w:t>操作（下载）</w:t>
            </w:r>
          </w:p>
        </w:tc>
        <w:tc>
          <w:tcPr>
            <w:tcW w:w="6949" w:type="dxa"/>
            <w:shd w:val="clear" w:color="auto" w:fill="auto"/>
          </w:tcPr>
          <w:p w14:paraId="28FD6926">
            <w:pPr>
              <w:pStyle w:val="150"/>
            </w:pPr>
            <w:r>
              <w:rPr>
                <w:rFonts w:hint="eastAsia"/>
              </w:rPr>
              <w:t>导出公告模板</w:t>
            </w:r>
          </w:p>
        </w:tc>
      </w:tr>
      <w:tr w14:paraId="0FA314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4CFAE762">
            <w:pPr>
              <w:pStyle w:val="150"/>
            </w:pPr>
            <w:r>
              <w:rPr>
                <w:rFonts w:hint="eastAsia"/>
              </w:rPr>
              <w:t>操作（更新）</w:t>
            </w:r>
          </w:p>
        </w:tc>
        <w:tc>
          <w:tcPr>
            <w:tcW w:w="6949" w:type="dxa"/>
            <w:shd w:val="clear" w:color="auto" w:fill="auto"/>
          </w:tcPr>
          <w:p w14:paraId="508B6B60">
            <w:pPr>
              <w:pStyle w:val="150"/>
            </w:pPr>
            <w:r>
              <w:rPr>
                <w:rFonts w:hint="eastAsia"/>
              </w:rPr>
              <w:t>导入公告并更新现有公告模板</w:t>
            </w:r>
          </w:p>
        </w:tc>
      </w:tr>
      <w:tr w14:paraId="3AA20A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7E5159D3">
            <w:pPr>
              <w:pStyle w:val="150"/>
            </w:pPr>
            <w:r>
              <w:rPr>
                <w:rFonts w:hint="eastAsia"/>
              </w:rPr>
              <w:t>删除</w:t>
            </w:r>
          </w:p>
        </w:tc>
        <w:tc>
          <w:tcPr>
            <w:tcW w:w="6949" w:type="dxa"/>
            <w:shd w:val="clear" w:color="auto" w:fill="auto"/>
          </w:tcPr>
          <w:p w14:paraId="11EFE147">
            <w:pPr>
              <w:pStyle w:val="150"/>
            </w:pPr>
            <w:r>
              <w:rPr>
                <w:rFonts w:hint="eastAsia"/>
              </w:rPr>
              <w:t>删除公告模板</w:t>
            </w:r>
          </w:p>
        </w:tc>
      </w:tr>
    </w:tbl>
    <w:p w14:paraId="7574FDCE"/>
    <w:p w14:paraId="2439CE7C">
      <w:r>
        <w:t>点击公告名称</w:t>
      </w:r>
      <w:r>
        <w:rPr>
          <w:rFonts w:hint="eastAsia"/>
        </w:rPr>
        <w:t>，</w:t>
      </w:r>
      <w:r>
        <w:t>可以对公告页面内容进行编辑</w:t>
      </w:r>
      <w:r>
        <w:rPr>
          <w:rFonts w:hint="eastAsia"/>
        </w:rPr>
        <w:t>，如</w:t>
      </w:r>
      <w:r>
        <w:fldChar w:fldCharType="begin"/>
      </w:r>
      <w:r>
        <w:instrText xml:space="preserve"> </w:instrText>
      </w:r>
      <w:r>
        <w:rPr>
          <w:rFonts w:hint="eastAsia"/>
        </w:rPr>
        <w:instrText xml:space="preserve">REF _Ref5630142 \r \h</w:instrText>
      </w:r>
      <w:r>
        <w:instrText xml:space="preserve"> </w:instrText>
      </w:r>
      <w:r>
        <w:fldChar w:fldCharType="separate"/>
      </w:r>
      <w:r>
        <w:rPr>
          <w:rFonts w:hint="eastAsia"/>
        </w:rPr>
        <w:t>图28-56</w:t>
      </w:r>
      <w:r>
        <w:fldChar w:fldCharType="end"/>
      </w:r>
      <w:r>
        <w:t>所示</w:t>
      </w:r>
      <w:r>
        <w:rPr>
          <w:rFonts w:hint="eastAsia"/>
        </w:rPr>
        <w:t>。</w:t>
      </w:r>
    </w:p>
    <w:p w14:paraId="58B32E42">
      <w:pPr>
        <w:pStyle w:val="188"/>
      </w:pPr>
      <w:bookmarkStart w:id="6793" w:name="_Ref5630142"/>
      <w:bookmarkStart w:id="6794" w:name="_Toc141874984"/>
      <w:r>
        <w:rPr>
          <w:rFonts w:hint="eastAsia"/>
        </w:rPr>
        <w:t>编辑公告页面</w:t>
      </w:r>
      <w:bookmarkEnd w:id="6793"/>
      <w:bookmarkEnd w:id="6794"/>
    </w:p>
    <w:p w14:paraId="6D027131">
      <w:r>
        <w:drawing>
          <wp:inline distT="0" distB="0" distL="0" distR="0">
            <wp:extent cx="4591050" cy="3333750"/>
            <wp:effectExtent l="0" t="0" r="0" b="0"/>
            <wp:docPr id="71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图片 84"/>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a:xfrm>
                      <a:off x="0" y="0"/>
                      <a:ext cx="4591050" cy="3333750"/>
                    </a:xfrm>
                    <a:prstGeom prst="rect">
                      <a:avLst/>
                    </a:prstGeom>
                    <a:noFill/>
                    <a:ln>
                      <a:noFill/>
                    </a:ln>
                  </pic:spPr>
                </pic:pic>
              </a:graphicData>
            </a:graphic>
          </wp:inline>
        </w:drawing>
      </w:r>
    </w:p>
    <w:p w14:paraId="11BD4F21"/>
    <w:p w14:paraId="26914EE0">
      <w:r>
        <w:rPr>
          <w:rFonts w:hint="eastAsia"/>
        </w:rPr>
        <w:t>在公告页面，点击&lt;上传页面</w:t>
      </w:r>
      <w:r>
        <w:t>&gt;</w:t>
      </w:r>
      <w:r>
        <w:rPr>
          <w:rFonts w:hint="eastAsia"/>
        </w:rPr>
        <w:t>按钮，可导入公告并创建一个新的公告模板，如</w:t>
      </w:r>
      <w:r>
        <w:rPr>
          <w:color w:val="0000FF"/>
          <w:u w:val="single"/>
        </w:rPr>
        <w:fldChar w:fldCharType="begin"/>
      </w:r>
      <w:r>
        <w:rPr>
          <w:color w:val="0000FF"/>
          <w:u w:val="single"/>
        </w:rPr>
        <w:instrText xml:space="preserve"> REF _Ref4425177 \r \h </w:instrText>
      </w:r>
      <w:r>
        <w:rPr>
          <w:color w:val="0000FF"/>
          <w:u w:val="single"/>
        </w:rPr>
        <w:fldChar w:fldCharType="separate"/>
      </w:r>
      <w:r>
        <w:rPr>
          <w:rFonts w:hint="eastAsia"/>
          <w:color w:val="0000FF"/>
          <w:u w:val="single"/>
        </w:rPr>
        <w:t>图28-57</w:t>
      </w:r>
      <w:r>
        <w:rPr>
          <w:color w:val="0000FF"/>
          <w:u w:val="single"/>
        </w:rPr>
        <w:fldChar w:fldCharType="end"/>
      </w:r>
      <w:r>
        <w:rPr>
          <w:rFonts w:hint="eastAsia"/>
        </w:rPr>
        <w:t>所示</w:t>
      </w:r>
    </w:p>
    <w:p w14:paraId="2F8BAF75">
      <w:pPr>
        <w:pStyle w:val="188"/>
      </w:pPr>
      <w:bookmarkStart w:id="6795" w:name="_Ref4425177"/>
      <w:bookmarkStart w:id="6796" w:name="_Toc141874985"/>
      <w:r>
        <w:rPr>
          <w:rFonts w:hint="eastAsia"/>
        </w:rPr>
        <w:t>公告上传页面</w:t>
      </w:r>
      <w:bookmarkEnd w:id="6795"/>
      <w:bookmarkEnd w:id="6796"/>
    </w:p>
    <w:p w14:paraId="1CD6EB4E">
      <w:r>
        <w:drawing>
          <wp:inline distT="0" distB="0" distL="114300" distR="114300">
            <wp:extent cx="4819650" cy="1657350"/>
            <wp:effectExtent l="0" t="0" r="0" b="0"/>
            <wp:docPr id="1022"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图片 70"/>
                    <pic:cNvPicPr>
                      <a:picLocks noChangeAspect="1"/>
                    </pic:cNvPicPr>
                  </pic:nvPicPr>
                  <pic:blipFill>
                    <a:blip r:embed="rId820"/>
                    <a:stretch>
                      <a:fillRect/>
                    </a:stretch>
                  </pic:blipFill>
                  <pic:spPr>
                    <a:xfrm>
                      <a:off x="0" y="0"/>
                      <a:ext cx="4821207" cy="1657791"/>
                    </a:xfrm>
                    <a:prstGeom prst="rect">
                      <a:avLst/>
                    </a:prstGeom>
                    <a:noFill/>
                    <a:ln>
                      <a:noFill/>
                    </a:ln>
                  </pic:spPr>
                </pic:pic>
              </a:graphicData>
            </a:graphic>
          </wp:inline>
        </w:drawing>
      </w:r>
    </w:p>
    <w:p w14:paraId="7C0DD3F8"/>
    <w:bookmarkEnd w:id="6534"/>
    <w:p w14:paraId="3989B99F">
      <w:r>
        <w:br w:type="page"/>
      </w:r>
    </w:p>
    <w:p w14:paraId="73A2CB38">
      <w:pPr>
        <w:pStyle w:val="4"/>
      </w:pPr>
      <w:bookmarkStart w:id="6797" w:name="_Toc15485143"/>
      <w:bookmarkStart w:id="6798" w:name="_Toc391916876"/>
      <w:bookmarkStart w:id="6799" w:name="_Toc474250137"/>
      <w:bookmarkStart w:id="6800" w:name="_Toc6236406"/>
      <w:bookmarkStart w:id="6801" w:name="_Toc23152907"/>
      <w:bookmarkStart w:id="6802" w:name="_Toc40276328"/>
      <w:bookmarkStart w:id="6803" w:name="_Toc142401129"/>
      <w:bookmarkStart w:id="6804" w:name="_Toc141873612"/>
      <w:bookmarkStart w:id="6805" w:name="_Toc172218390"/>
      <w:bookmarkStart w:id="6806" w:name="_Toc194081089"/>
      <w:bookmarkStart w:id="6807" w:name="_Toc196728421"/>
      <w:bookmarkStart w:id="6808" w:name="_Toc99561726"/>
      <w:bookmarkStart w:id="6809" w:name="_Toc142401018"/>
      <w:bookmarkStart w:id="6810" w:name="_Ref141452901"/>
      <w:bookmarkStart w:id="6811" w:name="_Toc99561594"/>
      <w:bookmarkStart w:id="6812" w:name="_Toc172218259"/>
      <w:bookmarkStart w:id="6813" w:name="_Toc141873502"/>
      <w:r>
        <w:rPr>
          <w:rFonts w:hint="eastAsia"/>
        </w:rPr>
        <w:t>CA服务器</w:t>
      </w:r>
      <w:bookmarkEnd w:id="6797"/>
      <w:bookmarkEnd w:id="6798"/>
      <w:bookmarkEnd w:id="6799"/>
      <w:bookmarkEnd w:id="6800"/>
      <w:bookmarkEnd w:id="6801"/>
      <w:bookmarkEnd w:id="6802"/>
      <w:bookmarkEnd w:id="6803"/>
      <w:bookmarkEnd w:id="6804"/>
      <w:bookmarkEnd w:id="6805"/>
      <w:bookmarkEnd w:id="6806"/>
      <w:bookmarkEnd w:id="6807"/>
      <w:bookmarkEnd w:id="6808"/>
    </w:p>
    <w:p w14:paraId="475B27F7">
      <w:pPr>
        <w:pStyle w:val="5"/>
      </w:pPr>
      <w:bookmarkStart w:id="6814" w:name="_Toc391916877"/>
      <w:bookmarkStart w:id="6815" w:name="_Toc23152908"/>
      <w:bookmarkStart w:id="6816" w:name="_Toc141873613"/>
      <w:bookmarkStart w:id="6817" w:name="_Toc142401130"/>
      <w:bookmarkStart w:id="6818" w:name="_Toc172218391"/>
      <w:bookmarkStart w:id="6819" w:name="_Toc194081090"/>
      <w:bookmarkStart w:id="6820" w:name="_Toc474250138"/>
      <w:bookmarkStart w:id="6821" w:name="_Toc6236407"/>
      <w:bookmarkStart w:id="6822" w:name="_Toc40276329"/>
      <w:bookmarkStart w:id="6823" w:name="_Toc99561727"/>
      <w:bookmarkStart w:id="6824" w:name="_Toc15485144"/>
      <w:bookmarkStart w:id="6825" w:name="_Toc196728422"/>
      <w:r>
        <w:rPr>
          <w:rFonts w:hint="eastAsia"/>
        </w:rPr>
        <w:t>CA简介</w:t>
      </w:r>
      <w:bookmarkEnd w:id="6814"/>
      <w:bookmarkEnd w:id="6815"/>
      <w:bookmarkEnd w:id="6816"/>
      <w:bookmarkEnd w:id="6817"/>
      <w:bookmarkEnd w:id="6818"/>
      <w:bookmarkEnd w:id="6819"/>
      <w:bookmarkEnd w:id="6820"/>
      <w:bookmarkEnd w:id="6821"/>
      <w:bookmarkEnd w:id="6822"/>
      <w:bookmarkEnd w:id="6823"/>
      <w:bookmarkEnd w:id="6824"/>
      <w:bookmarkEnd w:id="6825"/>
    </w:p>
    <w:p w14:paraId="0F191C0E">
      <w:r>
        <w:t>CA中心又称CA机构，即证书授权中心(Certificate Authority)，或称证书授权机构，作为权威的、可信赖的、公正的第三方机构，专门负责发放并管理所有参与网上交易的实体所需的数字证书</w:t>
      </w:r>
      <w:r>
        <w:rPr>
          <w:rFonts w:hint="eastAsia"/>
        </w:rPr>
        <w:t>，</w:t>
      </w:r>
      <w:r>
        <w:t>承担公钥体系中公钥的合法性检验的责任。它作为一个权威机构，对密钥进行有效地管理，颁发证书证明密钥的有效性，并将公开密钥同某一个实体联系在一起。CA中心为每个使用公开密钥的用户发放一个数字证书，数字证书的作用是证明证书中列出的用户合法拥有证书中列出的公开密钥。CA机构的数字签名使得攻击者不能伪造和篡改证书。</w:t>
      </w:r>
    </w:p>
    <w:p w14:paraId="5155F916">
      <w:r>
        <w:t>本功能具有如下功能点</w:t>
      </w:r>
      <w:r>
        <w:rPr>
          <w:rFonts w:hint="eastAsia"/>
        </w:rPr>
        <w:t>：</w:t>
      </w:r>
    </w:p>
    <w:p w14:paraId="6A419D14">
      <w:r>
        <w:rPr>
          <w:rFonts w:hint="eastAsia"/>
        </w:rPr>
        <w:t>作为可信任机构，管理维护根证书，发布证书撤销列表(CRL)。</w:t>
      </w:r>
    </w:p>
    <w:p w14:paraId="7233EB2B">
      <w:r>
        <w:rPr>
          <w:rFonts w:hint="eastAsia"/>
        </w:rPr>
        <w:t>作为可信任机构，签发用户证书，撤销用户证书。</w:t>
      </w:r>
    </w:p>
    <w:p w14:paraId="4CD1C7D5">
      <w:r>
        <w:t>通过</w:t>
      </w:r>
      <w:r>
        <w:rPr>
          <w:rFonts w:hint="eastAsia"/>
        </w:rPr>
        <w:t>TFTP协议，配合TFTP服务器，</w:t>
      </w:r>
      <w:r>
        <w:t>设备可对存在的用户证书进行管理</w:t>
      </w:r>
      <w:r>
        <w:rPr>
          <w:rFonts w:hint="eastAsia"/>
        </w:rPr>
        <w:t>和</w:t>
      </w:r>
      <w:r>
        <w:t>维护</w:t>
      </w:r>
      <w:r>
        <w:rPr>
          <w:rFonts w:hint="eastAsia"/>
        </w:rPr>
        <w:t>。</w:t>
      </w:r>
    </w:p>
    <w:p w14:paraId="26EC0FEC">
      <w:pPr>
        <w:pStyle w:val="5"/>
      </w:pPr>
      <w:bookmarkStart w:id="6826" w:name="_Toc40276330"/>
      <w:bookmarkStart w:id="6827" w:name="_Toc141873614"/>
      <w:bookmarkStart w:id="6828" w:name="_Ref141815014"/>
      <w:bookmarkStart w:id="6829" w:name="_Toc6236408"/>
      <w:bookmarkStart w:id="6830" w:name="_Toc142401131"/>
      <w:bookmarkStart w:id="6831" w:name="_Toc99561728"/>
      <w:bookmarkStart w:id="6832" w:name="_Toc474250139"/>
      <w:bookmarkStart w:id="6833" w:name="_Toc15485145"/>
      <w:bookmarkStart w:id="6834" w:name="_Toc23152909"/>
      <w:bookmarkStart w:id="6835" w:name="_Toc172218392"/>
      <w:bookmarkStart w:id="6836" w:name="_Toc196728423"/>
      <w:bookmarkStart w:id="6837" w:name="_Toc194081091"/>
      <w:r>
        <w:t>根证书管理</w:t>
      </w:r>
      <w:bookmarkEnd w:id="6826"/>
      <w:bookmarkEnd w:id="6827"/>
      <w:bookmarkEnd w:id="6828"/>
      <w:bookmarkEnd w:id="6829"/>
      <w:bookmarkEnd w:id="6830"/>
      <w:bookmarkEnd w:id="6831"/>
      <w:bookmarkEnd w:id="6832"/>
      <w:bookmarkEnd w:id="6833"/>
      <w:bookmarkEnd w:id="6834"/>
      <w:bookmarkEnd w:id="6835"/>
      <w:bookmarkEnd w:id="6836"/>
      <w:bookmarkEnd w:id="6837"/>
    </w:p>
    <w:p w14:paraId="492B8688">
      <w:r>
        <w:rPr>
          <w:rFonts w:hint="eastAsia"/>
        </w:rPr>
        <w:t>通过菜单“策略配置 &gt;</w:t>
      </w:r>
      <w:r>
        <w:t xml:space="preserve"> </w:t>
      </w:r>
      <w:r>
        <w:rPr>
          <w:rFonts w:hint="eastAsia"/>
        </w:rPr>
        <w:t xml:space="preserve">对象管理 &gt; </w:t>
      </w:r>
      <w:r>
        <w:t>CA</w:t>
      </w:r>
      <w:r>
        <w:rPr>
          <w:rFonts w:hint="eastAsia"/>
        </w:rPr>
        <w:t>服务器 &gt; 根CA配置管理 &gt; 根证书管理”，进入如</w:t>
      </w:r>
      <w:r>
        <w:rPr>
          <w:color w:val="0000FF"/>
          <w:u w:val="single"/>
        </w:rPr>
        <w:fldChar w:fldCharType="begin"/>
      </w:r>
      <w:r>
        <w:rPr>
          <w:color w:val="0000FF"/>
          <w:u w:val="single"/>
        </w:rPr>
        <w:instrText xml:space="preserve"> </w:instrText>
      </w:r>
      <w:r>
        <w:rPr>
          <w:rFonts w:hint="eastAsia"/>
          <w:color w:val="0000FF"/>
          <w:u w:val="single"/>
        </w:rPr>
        <w:instrText xml:space="preserve">REF _Ref393198061 \r \h</w:instrText>
      </w:r>
      <w:r>
        <w:rPr>
          <w:color w:val="0000FF"/>
          <w:u w:val="single"/>
        </w:rPr>
        <w:instrText xml:space="preserve"> </w:instrText>
      </w:r>
      <w:r>
        <w:rPr>
          <w:color w:val="0000FF"/>
          <w:u w:val="single"/>
        </w:rPr>
        <w:fldChar w:fldCharType="separate"/>
      </w:r>
      <w:r>
        <w:rPr>
          <w:rFonts w:hint="eastAsia"/>
          <w:color w:val="0000FF"/>
          <w:u w:val="single"/>
        </w:rPr>
        <w:t>图28-58</w:t>
      </w:r>
      <w:r>
        <w:rPr>
          <w:color w:val="0000FF"/>
          <w:u w:val="single"/>
        </w:rPr>
        <w:fldChar w:fldCharType="end"/>
      </w:r>
      <w:r>
        <w:rPr>
          <w:rFonts w:hint="eastAsia"/>
        </w:rPr>
        <w:t>所示的页面。在该页面上，可以生成、导入、导出CA根证书。</w:t>
      </w:r>
    </w:p>
    <w:p w14:paraId="25D4F948">
      <w:pPr>
        <w:pStyle w:val="188"/>
      </w:pPr>
      <w:bookmarkStart w:id="6838" w:name="_Toc141874986"/>
      <w:bookmarkStart w:id="6839" w:name="_Ref393198061"/>
      <w:r>
        <w:t>根证书管理页面</w:t>
      </w:r>
      <w:bookmarkEnd w:id="6838"/>
      <w:bookmarkEnd w:id="6839"/>
    </w:p>
    <w:p w14:paraId="766C0BE1">
      <w:pPr>
        <w:spacing w:before="78" w:after="78"/>
      </w:pPr>
      <w:r>
        <w:drawing>
          <wp:inline distT="0" distB="0" distL="0" distR="0">
            <wp:extent cx="4041140" cy="3000375"/>
            <wp:effectExtent l="0" t="0" r="0" b="0"/>
            <wp:docPr id="2964" name="图片 2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4" name="图片 2964"/>
                    <pic:cNvPicPr>
                      <a:picLocks noChangeAspect="1"/>
                    </pic:cNvPicPr>
                  </pic:nvPicPr>
                  <pic:blipFill>
                    <a:blip r:embed="rId821"/>
                    <a:stretch>
                      <a:fillRect/>
                    </a:stretch>
                  </pic:blipFill>
                  <pic:spPr>
                    <a:xfrm>
                      <a:off x="0" y="0"/>
                      <a:ext cx="4077997" cy="3027507"/>
                    </a:xfrm>
                    <a:prstGeom prst="rect">
                      <a:avLst/>
                    </a:prstGeom>
                  </pic:spPr>
                </pic:pic>
              </a:graphicData>
            </a:graphic>
          </wp:inline>
        </w:drawing>
      </w:r>
    </w:p>
    <w:p w14:paraId="2A10B6F1"/>
    <w:p w14:paraId="5E470D4C">
      <w:r>
        <w:t>点击</w:t>
      </w:r>
      <w:r>
        <w:rPr>
          <w:rFonts w:hint="eastAsia"/>
        </w:rPr>
        <w:t>&lt;生成CA根证书&gt;按钮，进入如</w:t>
      </w:r>
      <w:r>
        <w:fldChar w:fldCharType="begin"/>
      </w:r>
      <w:r>
        <w:instrText xml:space="preserve"> </w:instrText>
      </w:r>
      <w:r>
        <w:rPr>
          <w:rFonts w:hint="eastAsia"/>
        </w:rPr>
        <w:instrText xml:space="preserve">REF _Ref393198070 \r \h</w:instrText>
      </w:r>
      <w:r>
        <w:instrText xml:space="preserve"> </w:instrText>
      </w:r>
      <w:r>
        <w:fldChar w:fldCharType="separate"/>
      </w:r>
      <w:r>
        <w:rPr>
          <w:rFonts w:hint="eastAsia"/>
        </w:rPr>
        <w:t>图28-59</w:t>
      </w:r>
      <w:r>
        <w:fldChar w:fldCharType="end"/>
      </w:r>
      <w:r>
        <w:rPr>
          <w:rFonts w:hint="eastAsia"/>
        </w:rPr>
        <w:t>所示页面，生成CA根证书，各个配置项的含义如</w:t>
      </w:r>
      <w:r>
        <w:fldChar w:fldCharType="begin"/>
      </w:r>
      <w:r>
        <w:instrText xml:space="preserve"> </w:instrText>
      </w:r>
      <w:r>
        <w:rPr>
          <w:rFonts w:hint="eastAsia"/>
        </w:rPr>
        <w:instrText xml:space="preserve">REF _Ref393198077 \r \h</w:instrText>
      </w:r>
      <w:r>
        <w:instrText xml:space="preserve"> </w:instrText>
      </w:r>
      <w:r>
        <w:fldChar w:fldCharType="separate"/>
      </w:r>
      <w:r>
        <w:rPr>
          <w:rFonts w:hint="eastAsia"/>
        </w:rPr>
        <w:t>表28-1</w:t>
      </w:r>
      <w:r>
        <w:fldChar w:fldCharType="end"/>
      </w:r>
      <w:r>
        <w:rPr>
          <w:rFonts w:hint="eastAsia"/>
        </w:rPr>
        <w:t>所示。</w:t>
      </w:r>
    </w:p>
    <w:p w14:paraId="66D5FCF7">
      <w:pPr>
        <w:pStyle w:val="188"/>
      </w:pPr>
      <w:bookmarkStart w:id="6840" w:name="_Toc141874987"/>
      <w:bookmarkStart w:id="6841" w:name="_Ref393198070"/>
      <w:r>
        <w:rPr>
          <w:rFonts w:hint="eastAsia"/>
        </w:rPr>
        <w:t>CA根证书配置页面</w:t>
      </w:r>
      <w:bookmarkEnd w:id="6840"/>
      <w:bookmarkEnd w:id="6841"/>
    </w:p>
    <w:p w14:paraId="3A568033">
      <w:pPr>
        <w:spacing w:before="78" w:after="78"/>
      </w:pPr>
      <w:r>
        <w:drawing>
          <wp:inline distT="0" distB="0" distL="114300" distR="114300">
            <wp:extent cx="4408170" cy="3419475"/>
            <wp:effectExtent l="0" t="0" r="0" b="0"/>
            <wp:docPr id="1024"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图片 71"/>
                    <pic:cNvPicPr>
                      <a:picLocks noChangeAspect="1"/>
                    </pic:cNvPicPr>
                  </pic:nvPicPr>
                  <pic:blipFill>
                    <a:blip r:embed="rId822"/>
                    <a:stretch>
                      <a:fillRect/>
                    </a:stretch>
                  </pic:blipFill>
                  <pic:spPr>
                    <a:xfrm>
                      <a:off x="0" y="0"/>
                      <a:ext cx="4410388" cy="3420916"/>
                    </a:xfrm>
                    <a:prstGeom prst="rect">
                      <a:avLst/>
                    </a:prstGeom>
                    <a:noFill/>
                    <a:ln>
                      <a:noFill/>
                    </a:ln>
                  </pic:spPr>
                </pic:pic>
              </a:graphicData>
            </a:graphic>
          </wp:inline>
        </w:drawing>
      </w:r>
    </w:p>
    <w:p w14:paraId="2380F0A8"/>
    <w:p w14:paraId="249D257D">
      <w:pPr>
        <w:pStyle w:val="183"/>
      </w:pPr>
      <w:bookmarkStart w:id="6842" w:name="_Ref393198077"/>
      <w:bookmarkStart w:id="6843" w:name="_Toc141875640"/>
      <w:r>
        <w:rPr>
          <w:rFonts w:hint="eastAsia"/>
        </w:rPr>
        <w:t>CA根证书配置项含义描述表</w:t>
      </w:r>
      <w:bookmarkEnd w:id="6842"/>
      <w:bookmarkEnd w:id="6843"/>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909"/>
        <w:gridCol w:w="6105"/>
      </w:tblGrid>
      <w:tr w14:paraId="10C1D6E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tcBorders>
              <w:tl2br w:val="nil"/>
              <w:tr2bl w:val="nil"/>
            </w:tcBorders>
            <w:shd w:val="clear" w:color="auto" w:fill="538135" w:themeFill="accent6" w:themeFillShade="BF"/>
            <w:vAlign w:val="center"/>
          </w:tcPr>
          <w:p w14:paraId="3BB3F8B0">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117" w:type="dxa"/>
            <w:tcBorders>
              <w:tl2br w:val="nil"/>
              <w:tr2bl w:val="nil"/>
            </w:tcBorders>
            <w:shd w:val="clear" w:color="auto" w:fill="538135" w:themeFill="accent6" w:themeFillShade="BF"/>
            <w:vAlign w:val="center"/>
          </w:tcPr>
          <w:p w14:paraId="02584E55">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A41E89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775EA626">
            <w:pPr>
              <w:pStyle w:val="150"/>
            </w:pPr>
            <w:r>
              <w:rPr>
                <w:rFonts w:hint="eastAsia"/>
              </w:rPr>
              <w:t>证书名称</w:t>
            </w:r>
          </w:p>
        </w:tc>
        <w:tc>
          <w:tcPr>
            <w:tcW w:w="6117" w:type="dxa"/>
            <w:shd w:val="clear" w:color="auto" w:fill="auto"/>
          </w:tcPr>
          <w:p w14:paraId="0518FA2B">
            <w:pPr>
              <w:pStyle w:val="150"/>
            </w:pPr>
            <w:r>
              <w:t>根</w:t>
            </w:r>
            <w:r>
              <w:rPr>
                <w:rFonts w:hint="eastAsia"/>
              </w:rPr>
              <w:t>CA证书的名称。</w:t>
            </w:r>
          </w:p>
        </w:tc>
      </w:tr>
      <w:tr w14:paraId="0848CFC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3D83A4D8">
            <w:pPr>
              <w:pStyle w:val="150"/>
            </w:pPr>
            <w:r>
              <w:rPr>
                <w:rFonts w:hint="eastAsia"/>
              </w:rPr>
              <w:t>部门</w:t>
            </w:r>
          </w:p>
        </w:tc>
        <w:tc>
          <w:tcPr>
            <w:tcW w:w="6117" w:type="dxa"/>
            <w:shd w:val="clear" w:color="auto" w:fill="auto"/>
          </w:tcPr>
          <w:p w14:paraId="7E57C5B6">
            <w:pPr>
              <w:pStyle w:val="150"/>
            </w:pPr>
            <w:r>
              <w:rPr>
                <w:rFonts w:hint="eastAsia"/>
              </w:rPr>
              <w:t>CA证书的部门信息。</w:t>
            </w:r>
          </w:p>
        </w:tc>
      </w:tr>
      <w:tr w14:paraId="47D8AF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6C56E3AC">
            <w:pPr>
              <w:pStyle w:val="150"/>
            </w:pPr>
            <w:r>
              <w:rPr>
                <w:rFonts w:hint="eastAsia"/>
              </w:rPr>
              <w:t>组织</w:t>
            </w:r>
          </w:p>
        </w:tc>
        <w:tc>
          <w:tcPr>
            <w:tcW w:w="6117" w:type="dxa"/>
            <w:shd w:val="clear" w:color="auto" w:fill="auto"/>
          </w:tcPr>
          <w:p w14:paraId="5C691F0A">
            <w:pPr>
              <w:pStyle w:val="150"/>
            </w:pPr>
            <w:r>
              <w:rPr>
                <w:rFonts w:hint="eastAsia"/>
              </w:rPr>
              <w:t>CA证书的所属组织。</w:t>
            </w:r>
          </w:p>
        </w:tc>
      </w:tr>
      <w:tr w14:paraId="67B205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5ED77E85">
            <w:pPr>
              <w:pStyle w:val="150"/>
            </w:pPr>
            <w:r>
              <w:rPr>
                <w:rFonts w:hint="eastAsia"/>
              </w:rPr>
              <w:t>位置(城市)</w:t>
            </w:r>
          </w:p>
        </w:tc>
        <w:tc>
          <w:tcPr>
            <w:tcW w:w="6117" w:type="dxa"/>
            <w:shd w:val="clear" w:color="auto" w:fill="auto"/>
          </w:tcPr>
          <w:p w14:paraId="0C1DA0E4">
            <w:pPr>
              <w:pStyle w:val="150"/>
            </w:pPr>
            <w:r>
              <w:rPr>
                <w:rFonts w:hint="eastAsia"/>
              </w:rPr>
              <w:t>CA证书所在的位置。</w:t>
            </w:r>
          </w:p>
        </w:tc>
      </w:tr>
      <w:tr w14:paraId="7AB9C7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33981AF2">
            <w:pPr>
              <w:pStyle w:val="150"/>
            </w:pPr>
            <w:r>
              <w:rPr>
                <w:rFonts w:hint="eastAsia"/>
              </w:rPr>
              <w:t>州/省</w:t>
            </w:r>
          </w:p>
        </w:tc>
        <w:tc>
          <w:tcPr>
            <w:tcW w:w="6117" w:type="dxa"/>
            <w:shd w:val="clear" w:color="auto" w:fill="auto"/>
          </w:tcPr>
          <w:p w14:paraId="6D4E9512">
            <w:pPr>
              <w:pStyle w:val="150"/>
            </w:pPr>
            <w:r>
              <w:rPr>
                <w:rFonts w:hint="eastAsia"/>
              </w:rPr>
              <w:t>CA证书所属的州或省。</w:t>
            </w:r>
          </w:p>
        </w:tc>
      </w:tr>
      <w:tr w14:paraId="2ED3573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442B46B9">
            <w:pPr>
              <w:pStyle w:val="150"/>
            </w:pPr>
            <w:r>
              <w:rPr>
                <w:rFonts w:hint="eastAsia"/>
              </w:rPr>
              <w:t>国家/地区</w:t>
            </w:r>
          </w:p>
        </w:tc>
        <w:tc>
          <w:tcPr>
            <w:tcW w:w="6117" w:type="dxa"/>
            <w:shd w:val="clear" w:color="auto" w:fill="auto"/>
          </w:tcPr>
          <w:p w14:paraId="4B44F0B6">
            <w:pPr>
              <w:pStyle w:val="150"/>
            </w:pPr>
            <w:r>
              <w:rPr>
                <w:rFonts w:hint="eastAsia"/>
              </w:rPr>
              <w:t>CA证书的国家或地区信息。</w:t>
            </w:r>
          </w:p>
        </w:tc>
      </w:tr>
      <w:tr w14:paraId="799E973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7CC60F21">
            <w:pPr>
              <w:pStyle w:val="150"/>
            </w:pPr>
            <w:r>
              <w:rPr>
                <w:rFonts w:hint="eastAsia"/>
              </w:rPr>
              <w:t>电子邮件</w:t>
            </w:r>
          </w:p>
        </w:tc>
        <w:tc>
          <w:tcPr>
            <w:tcW w:w="6117" w:type="dxa"/>
            <w:shd w:val="clear" w:color="auto" w:fill="auto"/>
          </w:tcPr>
          <w:p w14:paraId="553F54A1">
            <w:pPr>
              <w:pStyle w:val="150"/>
            </w:pPr>
            <w:r>
              <w:rPr>
                <w:rFonts w:hint="eastAsia"/>
              </w:rPr>
              <w:t>CA证书持有者的联系方式。</w:t>
            </w:r>
          </w:p>
        </w:tc>
      </w:tr>
      <w:tr w14:paraId="5F31164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541B8340">
            <w:pPr>
              <w:pStyle w:val="150"/>
            </w:pPr>
            <w:r>
              <w:rPr>
                <w:rFonts w:hint="eastAsia"/>
              </w:rPr>
              <w:t>有效期</w:t>
            </w:r>
          </w:p>
        </w:tc>
        <w:tc>
          <w:tcPr>
            <w:tcW w:w="6117" w:type="dxa"/>
            <w:shd w:val="clear" w:color="auto" w:fill="auto"/>
          </w:tcPr>
          <w:p w14:paraId="3E8714AD">
            <w:pPr>
              <w:pStyle w:val="150"/>
            </w:pPr>
            <w:r>
              <w:rPr>
                <w:rFonts w:hint="eastAsia"/>
              </w:rPr>
              <w:t>CA证书的有效时间。</w:t>
            </w:r>
          </w:p>
        </w:tc>
      </w:tr>
      <w:tr w14:paraId="10C080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79315F90">
            <w:pPr>
              <w:pStyle w:val="150"/>
            </w:pPr>
            <w:r>
              <w:rPr>
                <w:rFonts w:hint="eastAsia"/>
              </w:rPr>
              <w:t>密码</w:t>
            </w:r>
          </w:p>
        </w:tc>
        <w:tc>
          <w:tcPr>
            <w:tcW w:w="6117" w:type="dxa"/>
            <w:shd w:val="clear" w:color="auto" w:fill="auto"/>
          </w:tcPr>
          <w:p w14:paraId="762BFE1C">
            <w:pPr>
              <w:pStyle w:val="150"/>
            </w:pPr>
            <w:r>
              <w:rPr>
                <w:rFonts w:hint="eastAsia"/>
              </w:rPr>
              <w:t>CA证书的保护密码。</w:t>
            </w:r>
          </w:p>
        </w:tc>
      </w:tr>
      <w:tr w14:paraId="1192D5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440D3EA8">
            <w:pPr>
              <w:pStyle w:val="150"/>
            </w:pPr>
            <w:r>
              <w:rPr>
                <w:rFonts w:hint="eastAsia"/>
              </w:rPr>
              <w:t>密钥大小</w:t>
            </w:r>
          </w:p>
        </w:tc>
        <w:tc>
          <w:tcPr>
            <w:tcW w:w="6117" w:type="dxa"/>
            <w:shd w:val="clear" w:color="auto" w:fill="auto"/>
          </w:tcPr>
          <w:p w14:paraId="4B297C50">
            <w:pPr>
              <w:pStyle w:val="150"/>
            </w:pPr>
            <w:r>
              <w:rPr>
                <w:rFonts w:hint="eastAsia"/>
              </w:rPr>
              <w:t>CA证书对应私钥的大小。</w:t>
            </w:r>
          </w:p>
        </w:tc>
      </w:tr>
    </w:tbl>
    <w:p w14:paraId="490C6120"/>
    <w:p w14:paraId="7AF6F724">
      <w:r>
        <w:rPr>
          <w:rFonts w:hint="eastAsia"/>
        </w:rPr>
        <w:t>点击&lt;提交&gt;按钮，提交配置，生成CA根证书，如</w:t>
      </w:r>
      <w:r>
        <w:fldChar w:fldCharType="begin"/>
      </w:r>
      <w:r>
        <w:instrText xml:space="preserve"> </w:instrText>
      </w:r>
      <w:r>
        <w:rPr>
          <w:rFonts w:hint="eastAsia"/>
        </w:rPr>
        <w:instrText xml:space="preserve">REF _Ref393200429 \r \h</w:instrText>
      </w:r>
      <w:r>
        <w:instrText xml:space="preserve"> </w:instrText>
      </w:r>
      <w:r>
        <w:fldChar w:fldCharType="separate"/>
      </w:r>
      <w:r>
        <w:rPr>
          <w:rFonts w:hint="eastAsia"/>
        </w:rPr>
        <w:t>图28-60</w:t>
      </w:r>
      <w:r>
        <w:fldChar w:fldCharType="end"/>
      </w:r>
      <w:r>
        <w:rPr>
          <w:rFonts w:hint="eastAsia"/>
        </w:rPr>
        <w:t>所示。</w:t>
      </w:r>
    </w:p>
    <w:p w14:paraId="6F741D35">
      <w:pPr>
        <w:pStyle w:val="188"/>
      </w:pPr>
      <w:bookmarkStart w:id="6844" w:name="_Ref393200429"/>
      <w:bookmarkStart w:id="6845" w:name="_Toc141874988"/>
      <w:r>
        <w:rPr>
          <w:rFonts w:hint="eastAsia"/>
        </w:rPr>
        <w:t>CA根证书页面</w:t>
      </w:r>
      <w:bookmarkEnd w:id="6844"/>
      <w:bookmarkEnd w:id="6845"/>
    </w:p>
    <w:p w14:paraId="54916148">
      <w:r>
        <w:drawing>
          <wp:inline distT="0" distB="0" distL="0" distR="0">
            <wp:extent cx="5298440" cy="4638675"/>
            <wp:effectExtent l="0" t="0" r="0" b="0"/>
            <wp:docPr id="2966" name="图片 2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6" name="图片 2966"/>
                    <pic:cNvPicPr>
                      <a:picLocks noChangeAspect="1"/>
                    </pic:cNvPicPr>
                  </pic:nvPicPr>
                  <pic:blipFill>
                    <a:blip r:embed="rId823"/>
                    <a:stretch>
                      <a:fillRect/>
                    </a:stretch>
                  </pic:blipFill>
                  <pic:spPr>
                    <a:xfrm>
                      <a:off x="0" y="0"/>
                      <a:ext cx="5300085" cy="4639705"/>
                    </a:xfrm>
                    <a:prstGeom prst="rect">
                      <a:avLst/>
                    </a:prstGeom>
                  </pic:spPr>
                </pic:pic>
              </a:graphicData>
            </a:graphic>
          </wp:inline>
        </w:drawing>
      </w:r>
    </w:p>
    <w:p w14:paraId="684DD7B4"/>
    <w:p w14:paraId="0D58F859">
      <w:r>
        <w:rPr>
          <w:rFonts w:hint="eastAsia"/>
        </w:rPr>
        <w:t>点击&lt;导出CA根证书&gt;，可以通过TFTP协议，导出CA根证书至TFTP服务器。导出页面如</w:t>
      </w:r>
      <w:r>
        <w:rPr>
          <w:color w:val="0000FF"/>
          <w:u w:val="single"/>
        </w:rPr>
        <w:fldChar w:fldCharType="begin"/>
      </w:r>
      <w:r>
        <w:rPr>
          <w:color w:val="0000FF"/>
          <w:u w:val="single"/>
        </w:rPr>
        <w:instrText xml:space="preserve"> </w:instrText>
      </w:r>
      <w:r>
        <w:rPr>
          <w:rFonts w:hint="eastAsia"/>
          <w:color w:val="0000FF"/>
          <w:u w:val="single"/>
        </w:rPr>
        <w:instrText xml:space="preserve">REF _Ref393200437 \r \h</w:instrText>
      </w:r>
      <w:r>
        <w:rPr>
          <w:color w:val="0000FF"/>
          <w:u w:val="single"/>
        </w:rPr>
        <w:instrText xml:space="preserve"> </w:instrText>
      </w:r>
      <w:r>
        <w:rPr>
          <w:color w:val="0000FF"/>
          <w:u w:val="single"/>
        </w:rPr>
        <w:fldChar w:fldCharType="separate"/>
      </w:r>
      <w:r>
        <w:rPr>
          <w:rFonts w:hint="eastAsia"/>
          <w:color w:val="0000FF"/>
          <w:u w:val="single"/>
        </w:rPr>
        <w:t>图28-61</w:t>
      </w:r>
      <w:r>
        <w:rPr>
          <w:color w:val="0000FF"/>
          <w:u w:val="single"/>
        </w:rPr>
        <w:fldChar w:fldCharType="end"/>
      </w:r>
      <w:r>
        <w:rPr>
          <w:rFonts w:hint="eastAsia"/>
        </w:rPr>
        <w:t>所示。</w:t>
      </w:r>
    </w:p>
    <w:p w14:paraId="293C2DA6">
      <w:pPr>
        <w:pStyle w:val="188"/>
      </w:pPr>
      <w:bookmarkStart w:id="6846" w:name="_Ref393200437"/>
      <w:bookmarkStart w:id="6847" w:name="_Toc141874989"/>
      <w:r>
        <w:t>导出</w:t>
      </w:r>
      <w:r>
        <w:rPr>
          <w:rFonts w:hint="eastAsia"/>
        </w:rPr>
        <w:t>CA根证书页面</w:t>
      </w:r>
      <w:bookmarkEnd w:id="6846"/>
      <w:bookmarkEnd w:id="6847"/>
    </w:p>
    <w:p w14:paraId="04AFFF71">
      <w:r>
        <w:drawing>
          <wp:inline distT="0" distB="0" distL="0" distR="0">
            <wp:extent cx="5410200" cy="1544320"/>
            <wp:effectExtent l="0" t="0" r="0" b="0"/>
            <wp:docPr id="2967" name="图片 2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7" name="图片 2967"/>
                    <pic:cNvPicPr>
                      <a:picLocks noChangeAspect="1"/>
                    </pic:cNvPicPr>
                  </pic:nvPicPr>
                  <pic:blipFill>
                    <a:blip r:embed="rId824"/>
                    <a:stretch>
                      <a:fillRect/>
                    </a:stretch>
                  </pic:blipFill>
                  <pic:spPr>
                    <a:xfrm>
                      <a:off x="0" y="0"/>
                      <a:ext cx="5422202" cy="1547908"/>
                    </a:xfrm>
                    <a:prstGeom prst="rect">
                      <a:avLst/>
                    </a:prstGeom>
                  </pic:spPr>
                </pic:pic>
              </a:graphicData>
            </a:graphic>
          </wp:inline>
        </w:drawing>
      </w:r>
    </w:p>
    <w:p w14:paraId="6EE74620"/>
    <w:p w14:paraId="397A1CAE">
      <w:r>
        <w:rPr>
          <w:rFonts w:hint="eastAsia"/>
        </w:rPr>
        <w:t>可选择导出为PKCS12格式的单个证书，或者证书密钥分离格式的证书。</w:t>
      </w:r>
    </w:p>
    <w:p w14:paraId="1CAB1E26">
      <w:r>
        <w:t>点击</w:t>
      </w:r>
      <w:r>
        <w:rPr>
          <w:rFonts w:hint="eastAsia"/>
        </w:rPr>
        <w:t>&lt;导入CA根证书&gt;，可以通过TFTP协议，从TFTP服务器导入CA根证书。导入页面如</w:t>
      </w:r>
      <w:r>
        <w:fldChar w:fldCharType="begin"/>
      </w:r>
      <w:r>
        <w:instrText xml:space="preserve"> </w:instrText>
      </w:r>
      <w:r>
        <w:rPr>
          <w:rFonts w:hint="eastAsia"/>
        </w:rPr>
        <w:instrText xml:space="preserve">REF _Ref393200761 \r \h</w:instrText>
      </w:r>
      <w:r>
        <w:instrText xml:space="preserve"> </w:instrText>
      </w:r>
      <w:r>
        <w:fldChar w:fldCharType="separate"/>
      </w:r>
      <w:r>
        <w:rPr>
          <w:rFonts w:hint="eastAsia"/>
        </w:rPr>
        <w:t>图28-62</w:t>
      </w:r>
      <w:r>
        <w:fldChar w:fldCharType="end"/>
      </w:r>
      <w:r>
        <w:rPr>
          <w:rFonts w:hint="eastAsia"/>
        </w:rPr>
        <w:t>所示。各个配置项含义如</w:t>
      </w:r>
      <w:r>
        <w:fldChar w:fldCharType="begin"/>
      </w:r>
      <w:r>
        <w:instrText xml:space="preserve"> </w:instrText>
      </w:r>
      <w:r>
        <w:rPr>
          <w:rFonts w:hint="eastAsia"/>
        </w:rPr>
        <w:instrText xml:space="preserve">REF _Ref393267325 \r \h</w:instrText>
      </w:r>
      <w:r>
        <w:instrText xml:space="preserve"> </w:instrText>
      </w:r>
      <w:r>
        <w:fldChar w:fldCharType="separate"/>
      </w:r>
      <w:r>
        <w:rPr>
          <w:rFonts w:hint="eastAsia"/>
        </w:rPr>
        <w:t>表28-1</w:t>
      </w:r>
      <w:r>
        <w:fldChar w:fldCharType="end"/>
      </w:r>
      <w:r>
        <w:rPr>
          <w:rFonts w:hint="eastAsia"/>
        </w:rPr>
        <w:t>所示。</w:t>
      </w:r>
    </w:p>
    <w:p w14:paraId="6BB05099">
      <w:pPr>
        <w:pStyle w:val="188"/>
      </w:pPr>
      <w:bookmarkStart w:id="6848" w:name="_Ref393200761"/>
      <w:bookmarkStart w:id="6849" w:name="_Toc141874990"/>
      <w:r>
        <w:t>导入</w:t>
      </w:r>
      <w:r>
        <w:rPr>
          <w:rFonts w:hint="eastAsia"/>
        </w:rPr>
        <w:t>CA根证书页面</w:t>
      </w:r>
      <w:bookmarkEnd w:id="6848"/>
      <w:bookmarkEnd w:id="6849"/>
    </w:p>
    <w:p w14:paraId="6610F1A5">
      <w:r>
        <w:t xml:space="preserve"> </w:t>
      </w:r>
      <w:r>
        <w:drawing>
          <wp:inline distT="0" distB="0" distL="0" distR="0">
            <wp:extent cx="5544185" cy="2084705"/>
            <wp:effectExtent l="0" t="0" r="0" b="0"/>
            <wp:docPr id="2968" name="图片 2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8" name="图片 2968"/>
                    <pic:cNvPicPr>
                      <a:picLocks noChangeAspect="1"/>
                    </pic:cNvPicPr>
                  </pic:nvPicPr>
                  <pic:blipFill>
                    <a:blip r:embed="rId825"/>
                    <a:stretch>
                      <a:fillRect/>
                    </a:stretch>
                  </pic:blipFill>
                  <pic:spPr>
                    <a:xfrm>
                      <a:off x="0" y="0"/>
                      <a:ext cx="5556052" cy="2089376"/>
                    </a:xfrm>
                    <a:prstGeom prst="rect">
                      <a:avLst/>
                    </a:prstGeom>
                  </pic:spPr>
                </pic:pic>
              </a:graphicData>
            </a:graphic>
          </wp:inline>
        </w:drawing>
      </w:r>
    </w:p>
    <w:p w14:paraId="33132EB8"/>
    <w:p w14:paraId="01F41247">
      <w:pPr>
        <w:pStyle w:val="183"/>
      </w:pPr>
      <w:bookmarkStart w:id="6850" w:name="_Ref393267325"/>
      <w:bookmarkStart w:id="6851" w:name="_Toc141875641"/>
      <w:r>
        <w:t>导入</w:t>
      </w:r>
      <w:r>
        <w:rPr>
          <w:rFonts w:hint="eastAsia"/>
        </w:rPr>
        <w:t>CA根证书配置项含义描述表</w:t>
      </w:r>
      <w:bookmarkEnd w:id="6850"/>
      <w:bookmarkEnd w:id="6851"/>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43"/>
        <w:gridCol w:w="6671"/>
      </w:tblGrid>
      <w:tr w14:paraId="12FF1B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tcBorders>
              <w:tl2br w:val="nil"/>
              <w:tr2bl w:val="nil"/>
            </w:tcBorders>
            <w:shd w:val="clear" w:color="auto" w:fill="538135" w:themeFill="accent6" w:themeFillShade="BF"/>
            <w:vAlign w:val="center"/>
          </w:tcPr>
          <w:p w14:paraId="0B6DE192">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84" w:type="dxa"/>
            <w:tcBorders>
              <w:tl2br w:val="nil"/>
              <w:tr2bl w:val="nil"/>
            </w:tcBorders>
            <w:shd w:val="clear" w:color="auto" w:fill="538135" w:themeFill="accent6" w:themeFillShade="BF"/>
            <w:vAlign w:val="center"/>
          </w:tcPr>
          <w:p w14:paraId="1173653A">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FC36A8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5FD2E714">
            <w:pPr>
              <w:pStyle w:val="150"/>
            </w:pPr>
            <w:r>
              <w:t>上传证书类型</w:t>
            </w:r>
          </w:p>
        </w:tc>
        <w:tc>
          <w:tcPr>
            <w:tcW w:w="6684" w:type="dxa"/>
            <w:shd w:val="clear" w:color="auto" w:fill="auto"/>
          </w:tcPr>
          <w:p w14:paraId="38F7E3B0">
            <w:pPr>
              <w:pStyle w:val="150"/>
            </w:pPr>
            <w:r>
              <w:t>上传证书的类型</w:t>
            </w:r>
            <w:r>
              <w:rPr>
                <w:rFonts w:hint="eastAsia"/>
              </w:rPr>
              <w:t>，</w:t>
            </w:r>
            <w:r>
              <w:t>可以上传如下类型</w:t>
            </w:r>
            <w:r>
              <w:rPr>
                <w:rFonts w:hint="eastAsia"/>
              </w:rPr>
              <w:t>：</w:t>
            </w:r>
          </w:p>
          <w:p w14:paraId="18E6AB02">
            <w:pPr>
              <w:pStyle w:val="150"/>
            </w:pPr>
            <w:r>
              <w:t>单个证书</w:t>
            </w:r>
            <w:r>
              <w:rPr>
                <w:rFonts w:hint="eastAsia"/>
              </w:rPr>
              <w:t>：PKCS12格式的证书，证书和密钥文件一体。</w:t>
            </w:r>
          </w:p>
          <w:p w14:paraId="643B3DEC">
            <w:pPr>
              <w:pStyle w:val="150"/>
            </w:pPr>
            <w:r>
              <w:rPr>
                <w:rFonts w:hint="eastAsia"/>
              </w:rPr>
              <w:t>证书密钥分离：PEM格式的证书，证书文件和密钥文件分离。</w:t>
            </w:r>
          </w:p>
        </w:tc>
      </w:tr>
      <w:tr w14:paraId="3C3FA17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16DB07E0">
            <w:pPr>
              <w:pStyle w:val="150"/>
            </w:pPr>
            <w:r>
              <w:t>证书文件</w:t>
            </w:r>
          </w:p>
        </w:tc>
        <w:tc>
          <w:tcPr>
            <w:tcW w:w="6684" w:type="dxa"/>
            <w:shd w:val="clear" w:color="auto" w:fill="auto"/>
          </w:tcPr>
          <w:p w14:paraId="6BC9EABF">
            <w:pPr>
              <w:pStyle w:val="150"/>
            </w:pPr>
            <w:r>
              <w:t>证书密钥分离格式的证书文件。</w:t>
            </w:r>
          </w:p>
        </w:tc>
      </w:tr>
      <w:tr w14:paraId="64CC250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70212FDC">
            <w:pPr>
              <w:pStyle w:val="150"/>
            </w:pPr>
            <w:r>
              <w:t>密钥文件</w:t>
            </w:r>
          </w:p>
        </w:tc>
        <w:tc>
          <w:tcPr>
            <w:tcW w:w="6684" w:type="dxa"/>
            <w:shd w:val="clear" w:color="auto" w:fill="auto"/>
          </w:tcPr>
          <w:p w14:paraId="4435F386">
            <w:pPr>
              <w:pStyle w:val="150"/>
            </w:pPr>
            <w:r>
              <w:rPr>
                <w:rFonts w:hint="eastAsia"/>
              </w:rPr>
              <w:t>证书密钥分离格式的密钥文件。</w:t>
            </w:r>
          </w:p>
        </w:tc>
      </w:tr>
      <w:tr w14:paraId="5B04429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06B59D72">
            <w:pPr>
              <w:pStyle w:val="150"/>
            </w:pPr>
            <w:r>
              <w:t>有密钥文件的证书</w:t>
            </w:r>
          </w:p>
        </w:tc>
        <w:tc>
          <w:tcPr>
            <w:tcW w:w="6684" w:type="dxa"/>
            <w:shd w:val="clear" w:color="auto" w:fill="auto"/>
          </w:tcPr>
          <w:p w14:paraId="0065C35C">
            <w:pPr>
              <w:pStyle w:val="150"/>
            </w:pPr>
            <w:r>
              <w:rPr>
                <w:rFonts w:hint="eastAsia"/>
              </w:rPr>
              <w:t>单个证书格式的证书文件。</w:t>
            </w:r>
          </w:p>
        </w:tc>
      </w:tr>
      <w:tr w14:paraId="75AC17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4D7B6E1A">
            <w:pPr>
              <w:pStyle w:val="150"/>
            </w:pPr>
            <w:r>
              <w:rPr>
                <w:rFonts w:hint="eastAsia"/>
              </w:rPr>
              <w:t>密码</w:t>
            </w:r>
          </w:p>
        </w:tc>
        <w:tc>
          <w:tcPr>
            <w:tcW w:w="6684" w:type="dxa"/>
            <w:shd w:val="clear" w:color="auto" w:fill="auto"/>
          </w:tcPr>
          <w:p w14:paraId="133BBC1B">
            <w:pPr>
              <w:pStyle w:val="150"/>
            </w:pPr>
            <w:r>
              <w:t>单个证书格式证书的保护密码。</w:t>
            </w:r>
          </w:p>
        </w:tc>
      </w:tr>
    </w:tbl>
    <w:p w14:paraId="660B6C3D">
      <w:bookmarkStart w:id="6852" w:name="_Toc474250140"/>
    </w:p>
    <w:p w14:paraId="5F44507A">
      <w:pPr>
        <w:pStyle w:val="5"/>
      </w:pPr>
      <w:bookmarkStart w:id="6853" w:name="_Toc15485146"/>
      <w:bookmarkStart w:id="6854" w:name="_Toc40276331"/>
      <w:bookmarkStart w:id="6855" w:name="_Toc23152910"/>
      <w:bookmarkStart w:id="6856" w:name="_Toc99561729"/>
      <w:bookmarkStart w:id="6857" w:name="_Toc141873615"/>
      <w:bookmarkStart w:id="6858" w:name="_Toc142401132"/>
      <w:bookmarkStart w:id="6859" w:name="_Toc172218393"/>
      <w:bookmarkStart w:id="6860" w:name="_Toc194081092"/>
      <w:bookmarkStart w:id="6861" w:name="_Toc196728424"/>
      <w:bookmarkStart w:id="6862" w:name="_Toc6236409"/>
      <w:r>
        <w:rPr>
          <w:rFonts w:hint="eastAsia"/>
        </w:rPr>
        <w:t>CRL管理</w:t>
      </w:r>
      <w:bookmarkEnd w:id="6852"/>
      <w:bookmarkEnd w:id="6853"/>
      <w:bookmarkEnd w:id="6854"/>
      <w:bookmarkEnd w:id="6855"/>
      <w:bookmarkEnd w:id="6856"/>
      <w:bookmarkEnd w:id="6857"/>
      <w:bookmarkEnd w:id="6858"/>
      <w:bookmarkEnd w:id="6859"/>
      <w:bookmarkEnd w:id="6860"/>
      <w:bookmarkEnd w:id="6861"/>
      <w:bookmarkEnd w:id="6862"/>
    </w:p>
    <w:p w14:paraId="5AD03CDF">
      <w:r>
        <w:rPr>
          <w:rFonts w:hint="eastAsia"/>
        </w:rPr>
        <w:t>CRL（Certificate Revocation List，证书撤销列表）。由于密钥被泄露、业务终止等原因，CA可通过撤销证书立即终止证书的使用，在此情况下CA需要公布CRL来声明该证书是无效的，并列出不能再使用的证书。</w:t>
      </w:r>
    </w:p>
    <w:p w14:paraId="01BC2E14">
      <w:r>
        <w:rPr>
          <w:rFonts w:hint="eastAsia"/>
        </w:rPr>
        <w:t>通过菜单“策略配置 &gt;</w:t>
      </w:r>
      <w:r>
        <w:t xml:space="preserve"> </w:t>
      </w:r>
      <w:r>
        <w:rPr>
          <w:rFonts w:hint="eastAsia"/>
        </w:rPr>
        <w:t xml:space="preserve">对象管理 &gt; </w:t>
      </w:r>
      <w:r>
        <w:t>CA</w:t>
      </w:r>
      <w:r>
        <w:rPr>
          <w:rFonts w:hint="eastAsia"/>
        </w:rPr>
        <w:t>服务器 &gt; 根CA配置管理 &gt; CRL管理”，进入如</w:t>
      </w:r>
      <w:r>
        <w:rPr>
          <w:color w:val="0000FF"/>
          <w:u w:val="single"/>
        </w:rPr>
        <w:fldChar w:fldCharType="begin"/>
      </w:r>
      <w:r>
        <w:rPr>
          <w:color w:val="0000FF"/>
          <w:u w:val="single"/>
        </w:rPr>
        <w:instrText xml:space="preserve"> </w:instrText>
      </w:r>
      <w:r>
        <w:rPr>
          <w:rFonts w:hint="eastAsia"/>
          <w:color w:val="0000FF"/>
          <w:u w:val="single"/>
        </w:rPr>
        <w:instrText xml:space="preserve">REF _Ref393201665 \r \h</w:instrText>
      </w:r>
      <w:r>
        <w:rPr>
          <w:color w:val="0000FF"/>
          <w:u w:val="single"/>
        </w:rPr>
        <w:instrText xml:space="preserve"> </w:instrText>
      </w:r>
      <w:r>
        <w:rPr>
          <w:color w:val="0000FF"/>
          <w:u w:val="single"/>
        </w:rPr>
        <w:fldChar w:fldCharType="separate"/>
      </w:r>
      <w:r>
        <w:rPr>
          <w:rFonts w:hint="eastAsia"/>
          <w:color w:val="0000FF"/>
          <w:u w:val="single"/>
        </w:rPr>
        <w:t>图28-63</w:t>
      </w:r>
      <w:r>
        <w:rPr>
          <w:color w:val="0000FF"/>
          <w:u w:val="single"/>
        </w:rPr>
        <w:fldChar w:fldCharType="end"/>
      </w:r>
      <w:r>
        <w:rPr>
          <w:rFonts w:hint="eastAsia"/>
        </w:rPr>
        <w:t>所示的页面。在该页面上，可以更新、导出、配置CRL自动更新周期。各个配置项含义如</w:t>
      </w:r>
      <w:r>
        <w:rPr>
          <w:color w:val="0000FF"/>
          <w:u w:val="single"/>
        </w:rPr>
        <w:fldChar w:fldCharType="begin"/>
      </w:r>
      <w:r>
        <w:rPr>
          <w:color w:val="0000FF"/>
          <w:u w:val="single"/>
        </w:rPr>
        <w:instrText xml:space="preserve"> </w:instrText>
      </w:r>
      <w:r>
        <w:rPr>
          <w:rFonts w:hint="eastAsia"/>
          <w:color w:val="0000FF"/>
          <w:u w:val="single"/>
        </w:rPr>
        <w:instrText xml:space="preserve">REF _Ref393201651 \r \h</w:instrText>
      </w:r>
      <w:r>
        <w:rPr>
          <w:color w:val="0000FF"/>
          <w:u w:val="single"/>
        </w:rPr>
        <w:instrText xml:space="preserve"> </w:instrText>
      </w:r>
      <w:r>
        <w:rPr>
          <w:color w:val="0000FF"/>
          <w:u w:val="single"/>
        </w:rPr>
        <w:fldChar w:fldCharType="separate"/>
      </w:r>
      <w:r>
        <w:rPr>
          <w:rFonts w:hint="eastAsia"/>
          <w:color w:val="0000FF"/>
          <w:u w:val="single"/>
        </w:rPr>
        <w:t>表28-1</w:t>
      </w:r>
      <w:r>
        <w:rPr>
          <w:color w:val="0000FF"/>
          <w:u w:val="single"/>
        </w:rPr>
        <w:fldChar w:fldCharType="end"/>
      </w:r>
      <w:r>
        <w:rPr>
          <w:rFonts w:hint="eastAsia"/>
        </w:rPr>
        <w:t>所示。</w:t>
      </w:r>
    </w:p>
    <w:p w14:paraId="2B405A6F">
      <w:pPr>
        <w:pStyle w:val="188"/>
      </w:pPr>
      <w:bookmarkStart w:id="6863" w:name="_Ref393201665"/>
      <w:bookmarkStart w:id="6864" w:name="_Toc141874991"/>
      <w:r>
        <w:rPr>
          <w:rFonts w:hint="eastAsia"/>
        </w:rPr>
        <w:t>CRL管理页面</w:t>
      </w:r>
      <w:bookmarkEnd w:id="6863"/>
      <w:bookmarkEnd w:id="6864"/>
    </w:p>
    <w:p w14:paraId="5EDA0B66">
      <w:r>
        <w:drawing>
          <wp:inline distT="0" distB="0" distL="0" distR="0">
            <wp:extent cx="5476875" cy="5562600"/>
            <wp:effectExtent l="0" t="0" r="9525" b="0"/>
            <wp:docPr id="2969" name="图片 2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 name="图片 2969"/>
                    <pic:cNvPicPr>
                      <a:picLocks noChangeAspect="1"/>
                    </pic:cNvPicPr>
                  </pic:nvPicPr>
                  <pic:blipFill>
                    <a:blip r:embed="rId826"/>
                    <a:stretch>
                      <a:fillRect/>
                    </a:stretch>
                  </pic:blipFill>
                  <pic:spPr>
                    <a:xfrm>
                      <a:off x="0" y="0"/>
                      <a:ext cx="5480238" cy="5565521"/>
                    </a:xfrm>
                    <a:prstGeom prst="rect">
                      <a:avLst/>
                    </a:prstGeom>
                  </pic:spPr>
                </pic:pic>
              </a:graphicData>
            </a:graphic>
          </wp:inline>
        </w:drawing>
      </w:r>
    </w:p>
    <w:p w14:paraId="6DF425F0"/>
    <w:p w14:paraId="4A6058E1">
      <w:pPr>
        <w:pStyle w:val="183"/>
      </w:pPr>
      <w:bookmarkStart w:id="6865" w:name="_Ref393201651"/>
      <w:bookmarkStart w:id="6866" w:name="_Toc141875642"/>
      <w:r>
        <w:rPr>
          <w:rFonts w:hint="eastAsia"/>
        </w:rPr>
        <w:t>CRL配置项含义描述表</w:t>
      </w:r>
      <w:bookmarkEnd w:id="6865"/>
      <w:bookmarkEnd w:id="6866"/>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910"/>
        <w:gridCol w:w="6104"/>
      </w:tblGrid>
      <w:tr w14:paraId="2B548B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tcBorders>
              <w:tl2br w:val="nil"/>
              <w:tr2bl w:val="nil"/>
            </w:tcBorders>
            <w:shd w:val="clear" w:color="auto" w:fill="538135" w:themeFill="accent6" w:themeFillShade="BF"/>
            <w:vAlign w:val="center"/>
          </w:tcPr>
          <w:p w14:paraId="6D3E90C5">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117" w:type="dxa"/>
            <w:tcBorders>
              <w:tl2br w:val="nil"/>
              <w:tr2bl w:val="nil"/>
            </w:tcBorders>
            <w:shd w:val="clear" w:color="auto" w:fill="538135" w:themeFill="accent6" w:themeFillShade="BF"/>
            <w:vAlign w:val="center"/>
          </w:tcPr>
          <w:p w14:paraId="1444B806">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0D3BA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65815EB2">
            <w:pPr>
              <w:pStyle w:val="150"/>
            </w:pPr>
            <w:r>
              <w:rPr>
                <w:rFonts w:hint="eastAsia"/>
              </w:rPr>
              <w:t>CRL周期</w:t>
            </w:r>
          </w:p>
        </w:tc>
        <w:tc>
          <w:tcPr>
            <w:tcW w:w="6117" w:type="dxa"/>
            <w:shd w:val="clear" w:color="auto" w:fill="auto"/>
          </w:tcPr>
          <w:p w14:paraId="2F1AC3BB">
            <w:pPr>
              <w:pStyle w:val="150"/>
            </w:pPr>
            <w:r>
              <w:rPr>
                <w:rFonts w:hint="eastAsia"/>
              </w:rPr>
              <w:t>CRL文件自动更新的周期</w:t>
            </w:r>
          </w:p>
        </w:tc>
      </w:tr>
      <w:tr w14:paraId="3FE7D7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45A47544">
            <w:pPr>
              <w:pStyle w:val="150"/>
            </w:pPr>
            <w:r>
              <w:rPr>
                <w:rFonts w:hint="eastAsia"/>
              </w:rPr>
              <w:t>CA本地CRL下载URL</w:t>
            </w:r>
          </w:p>
        </w:tc>
        <w:tc>
          <w:tcPr>
            <w:tcW w:w="6117" w:type="dxa"/>
            <w:shd w:val="clear" w:color="auto" w:fill="auto"/>
          </w:tcPr>
          <w:p w14:paraId="513380FA">
            <w:pPr>
              <w:pStyle w:val="150"/>
            </w:pPr>
            <w:r>
              <w:rPr>
                <w:rFonts w:hint="eastAsia"/>
              </w:rPr>
              <w:t>通过HTTP协议下载CRL文件的URL</w:t>
            </w:r>
          </w:p>
        </w:tc>
      </w:tr>
    </w:tbl>
    <w:p w14:paraId="3C3F696D"/>
    <w:p w14:paraId="67BC60B9">
      <w:r>
        <w:t>点击</w:t>
      </w:r>
      <w:r>
        <w:rPr>
          <w:rFonts w:hint="eastAsia"/>
        </w:rPr>
        <w:t>&lt;更新CRL&gt;按钮，可以立刻更新CRL文件。</w:t>
      </w:r>
    </w:p>
    <w:p w14:paraId="40D78926">
      <w:r>
        <w:rPr>
          <w:rFonts w:hint="eastAsia"/>
        </w:rPr>
        <w:t>点击&lt;导出CRL列表&gt;，可以通过TFTP协议，导出CRL文件至TFTP服务器。</w:t>
      </w:r>
    </w:p>
    <w:p w14:paraId="27B55EE2">
      <w:pPr>
        <w:pStyle w:val="5"/>
      </w:pPr>
      <w:bookmarkStart w:id="6867" w:name="_Toc40276332"/>
      <w:bookmarkStart w:id="6868" w:name="_Toc99561730"/>
      <w:bookmarkStart w:id="6869" w:name="_Toc141873616"/>
      <w:bookmarkStart w:id="6870" w:name="_Toc474250141"/>
      <w:bookmarkStart w:id="6871" w:name="_Toc6236410"/>
      <w:bookmarkStart w:id="6872" w:name="_Toc15485147"/>
      <w:bookmarkStart w:id="6873" w:name="_Toc23152911"/>
      <w:bookmarkStart w:id="6874" w:name="_Toc172218394"/>
      <w:bookmarkStart w:id="6875" w:name="_Toc194081093"/>
      <w:bookmarkStart w:id="6876" w:name="_Toc196728425"/>
      <w:bookmarkStart w:id="6877" w:name="_Toc142401133"/>
      <w:r>
        <w:rPr>
          <w:rFonts w:hint="eastAsia"/>
        </w:rPr>
        <w:t>用户证书管理</w:t>
      </w:r>
      <w:bookmarkEnd w:id="6867"/>
      <w:bookmarkEnd w:id="6868"/>
      <w:bookmarkEnd w:id="6869"/>
      <w:bookmarkEnd w:id="6870"/>
      <w:bookmarkEnd w:id="6871"/>
      <w:bookmarkEnd w:id="6872"/>
      <w:bookmarkEnd w:id="6873"/>
      <w:bookmarkEnd w:id="6874"/>
      <w:bookmarkEnd w:id="6875"/>
      <w:bookmarkEnd w:id="6876"/>
      <w:bookmarkEnd w:id="6877"/>
    </w:p>
    <w:p w14:paraId="7405C30A">
      <w:r>
        <w:rPr>
          <w:rFonts w:hint="eastAsia"/>
        </w:rPr>
        <w:t>通过菜单“策略配置 &gt;</w:t>
      </w:r>
      <w:r>
        <w:t xml:space="preserve"> </w:t>
      </w:r>
      <w:r>
        <w:rPr>
          <w:rFonts w:hint="eastAsia"/>
        </w:rPr>
        <w:t xml:space="preserve">对象管理 &gt; </w:t>
      </w:r>
      <w:r>
        <w:t>CA</w:t>
      </w:r>
      <w:r>
        <w:rPr>
          <w:rFonts w:hint="eastAsia"/>
        </w:rPr>
        <w:t>服务器 &gt; 用户证书管理”，进入如</w:t>
      </w:r>
      <w:r>
        <w:rPr>
          <w:color w:val="0000FF"/>
          <w:u w:val="single"/>
        </w:rPr>
        <w:fldChar w:fldCharType="begin"/>
      </w:r>
      <w:r>
        <w:rPr>
          <w:color w:val="0000FF"/>
          <w:u w:val="single"/>
        </w:rPr>
        <w:instrText xml:space="preserve"> </w:instrText>
      </w:r>
      <w:r>
        <w:rPr>
          <w:rFonts w:hint="eastAsia"/>
          <w:color w:val="0000FF"/>
          <w:u w:val="single"/>
        </w:rPr>
        <w:instrText xml:space="preserve">REF _Ref393208929 \r \h</w:instrText>
      </w:r>
      <w:r>
        <w:rPr>
          <w:color w:val="0000FF"/>
          <w:u w:val="single"/>
        </w:rPr>
        <w:instrText xml:space="preserve"> </w:instrText>
      </w:r>
      <w:r>
        <w:rPr>
          <w:color w:val="0000FF"/>
          <w:u w:val="single"/>
        </w:rPr>
        <w:fldChar w:fldCharType="separate"/>
      </w:r>
      <w:r>
        <w:rPr>
          <w:rFonts w:hint="eastAsia"/>
          <w:color w:val="0000FF"/>
          <w:u w:val="single"/>
        </w:rPr>
        <w:t>图28-64</w:t>
      </w:r>
      <w:r>
        <w:rPr>
          <w:color w:val="0000FF"/>
          <w:u w:val="single"/>
        </w:rPr>
        <w:fldChar w:fldCharType="end"/>
      </w:r>
      <w:r>
        <w:rPr>
          <w:rFonts w:hint="eastAsia"/>
        </w:rPr>
        <w:t>所示的页面。在该页面上，可以生成、签发、撤销、删除、导出用户证书。</w:t>
      </w:r>
    </w:p>
    <w:p w14:paraId="1C1846A7">
      <w:pPr>
        <w:pStyle w:val="188"/>
      </w:pPr>
      <w:bookmarkStart w:id="6878" w:name="_Ref393208929"/>
      <w:bookmarkStart w:id="6879" w:name="_Toc141874992"/>
      <w:r>
        <w:rPr>
          <w:rFonts w:hint="eastAsia"/>
        </w:rPr>
        <w:t>用户证书管理页面</w:t>
      </w:r>
      <w:bookmarkEnd w:id="6878"/>
      <w:bookmarkEnd w:id="6879"/>
    </w:p>
    <w:p w14:paraId="6A5B3D6C">
      <w:r>
        <w:drawing>
          <wp:inline distT="0" distB="0" distL="0" distR="0">
            <wp:extent cx="5248275" cy="990600"/>
            <wp:effectExtent l="0" t="0" r="0" b="0"/>
            <wp:docPr id="2970" name="图片 2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 name="图片 2970"/>
                    <pic:cNvPicPr>
                      <a:picLocks noChangeAspect="1"/>
                    </pic:cNvPicPr>
                  </pic:nvPicPr>
                  <pic:blipFill>
                    <a:blip r:embed="rId827"/>
                    <a:stretch>
                      <a:fillRect/>
                    </a:stretch>
                  </pic:blipFill>
                  <pic:spPr>
                    <a:xfrm>
                      <a:off x="0" y="0"/>
                      <a:ext cx="5304424" cy="1001562"/>
                    </a:xfrm>
                    <a:prstGeom prst="rect">
                      <a:avLst/>
                    </a:prstGeom>
                  </pic:spPr>
                </pic:pic>
              </a:graphicData>
            </a:graphic>
          </wp:inline>
        </w:drawing>
      </w:r>
    </w:p>
    <w:p w14:paraId="49504062"/>
    <w:p w14:paraId="26C2DBE0">
      <w:r>
        <w:t>点击</w:t>
      </w:r>
      <w:r>
        <w:rPr>
          <w:rFonts w:hint="eastAsia"/>
        </w:rPr>
        <w:t>&lt;生成证书请求&gt;按钮，进入如</w:t>
      </w:r>
      <w:r>
        <w:fldChar w:fldCharType="begin"/>
      </w:r>
      <w:r>
        <w:instrText xml:space="preserve"> </w:instrText>
      </w:r>
      <w:r>
        <w:rPr>
          <w:rFonts w:hint="eastAsia"/>
        </w:rPr>
        <w:instrText xml:space="preserve">REF _Ref393208942 \r \h</w:instrText>
      </w:r>
      <w:r>
        <w:instrText xml:space="preserve"> </w:instrText>
      </w:r>
      <w:r>
        <w:fldChar w:fldCharType="separate"/>
      </w:r>
      <w:r>
        <w:rPr>
          <w:rFonts w:hint="eastAsia"/>
        </w:rPr>
        <w:t>图28-65</w:t>
      </w:r>
      <w:r>
        <w:fldChar w:fldCharType="end"/>
      </w:r>
      <w:r>
        <w:rPr>
          <w:rFonts w:hint="eastAsia"/>
        </w:rPr>
        <w:t>所示的页面，各个配置项的含义如</w:t>
      </w:r>
      <w:r>
        <w:fldChar w:fldCharType="begin"/>
      </w:r>
      <w:r>
        <w:instrText xml:space="preserve"> </w:instrText>
      </w:r>
      <w:r>
        <w:rPr>
          <w:rFonts w:hint="eastAsia"/>
        </w:rPr>
        <w:instrText xml:space="preserve">REF _Ref393208950 \r \h</w:instrText>
      </w:r>
      <w:r>
        <w:instrText xml:space="preserve"> </w:instrText>
      </w:r>
      <w:r>
        <w:fldChar w:fldCharType="separate"/>
      </w:r>
      <w:r>
        <w:rPr>
          <w:rFonts w:hint="eastAsia"/>
        </w:rPr>
        <w:t>表28-1</w:t>
      </w:r>
      <w:r>
        <w:fldChar w:fldCharType="end"/>
      </w:r>
      <w:r>
        <w:rPr>
          <w:rFonts w:hint="eastAsia"/>
        </w:rPr>
        <w:t>所示。</w:t>
      </w:r>
    </w:p>
    <w:p w14:paraId="1C79E5E9">
      <w:pPr>
        <w:pStyle w:val="188"/>
      </w:pPr>
      <w:bookmarkStart w:id="6880" w:name="_Ref393208942"/>
      <w:bookmarkStart w:id="6881" w:name="_Toc141874993"/>
      <w:r>
        <w:t>用户证书请求生成页面</w:t>
      </w:r>
      <w:bookmarkEnd w:id="6880"/>
      <w:bookmarkEnd w:id="6881"/>
    </w:p>
    <w:p w14:paraId="0B75E4B4">
      <w:pPr>
        <w:spacing w:before="78" w:after="78"/>
      </w:pPr>
      <w:r>
        <w:drawing>
          <wp:inline distT="0" distB="0" distL="114300" distR="114300">
            <wp:extent cx="5400040" cy="3773805"/>
            <wp:effectExtent l="0" t="0" r="0" b="0"/>
            <wp:docPr id="2736"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6" name="图片 72"/>
                    <pic:cNvPicPr>
                      <a:picLocks noChangeAspect="1"/>
                    </pic:cNvPicPr>
                  </pic:nvPicPr>
                  <pic:blipFill>
                    <a:blip r:embed="rId828"/>
                    <a:stretch>
                      <a:fillRect/>
                    </a:stretch>
                  </pic:blipFill>
                  <pic:spPr>
                    <a:xfrm>
                      <a:off x="0" y="0"/>
                      <a:ext cx="5400040" cy="3774061"/>
                    </a:xfrm>
                    <a:prstGeom prst="rect">
                      <a:avLst/>
                    </a:prstGeom>
                    <a:noFill/>
                    <a:ln>
                      <a:noFill/>
                    </a:ln>
                  </pic:spPr>
                </pic:pic>
              </a:graphicData>
            </a:graphic>
          </wp:inline>
        </w:drawing>
      </w:r>
    </w:p>
    <w:p w14:paraId="44D384B0"/>
    <w:p w14:paraId="01962FBB">
      <w:pPr>
        <w:pStyle w:val="183"/>
      </w:pPr>
      <w:bookmarkStart w:id="6882" w:name="_Ref393208950"/>
      <w:bookmarkStart w:id="6883" w:name="_Toc141875643"/>
      <w:r>
        <w:t>用户证书请求各个配置项含义表</w:t>
      </w:r>
      <w:bookmarkEnd w:id="6882"/>
      <w:bookmarkEnd w:id="6883"/>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909"/>
        <w:gridCol w:w="6105"/>
      </w:tblGrid>
      <w:tr w14:paraId="16A4C9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tcBorders>
              <w:tl2br w:val="nil"/>
              <w:tr2bl w:val="nil"/>
            </w:tcBorders>
            <w:shd w:val="clear" w:color="auto" w:fill="538135" w:themeFill="accent6" w:themeFillShade="BF"/>
            <w:vAlign w:val="center"/>
          </w:tcPr>
          <w:p w14:paraId="79B1B999">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117" w:type="dxa"/>
            <w:tcBorders>
              <w:tl2br w:val="nil"/>
              <w:tr2bl w:val="nil"/>
            </w:tcBorders>
            <w:shd w:val="clear" w:color="auto" w:fill="538135" w:themeFill="accent6" w:themeFillShade="BF"/>
            <w:vAlign w:val="center"/>
          </w:tcPr>
          <w:p w14:paraId="322A2A48">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46244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4ACE2AB6">
            <w:pPr>
              <w:pStyle w:val="150"/>
            </w:pPr>
            <w:r>
              <w:rPr>
                <w:rFonts w:hint="eastAsia"/>
              </w:rPr>
              <w:t>证书名称</w:t>
            </w:r>
          </w:p>
        </w:tc>
        <w:tc>
          <w:tcPr>
            <w:tcW w:w="6117" w:type="dxa"/>
            <w:shd w:val="clear" w:color="auto" w:fill="auto"/>
          </w:tcPr>
          <w:p w14:paraId="624962DB">
            <w:pPr>
              <w:pStyle w:val="150"/>
            </w:pPr>
            <w:r>
              <w:rPr>
                <w:rFonts w:hint="eastAsia"/>
              </w:rPr>
              <w:t>用户证书的名称。</w:t>
            </w:r>
          </w:p>
        </w:tc>
      </w:tr>
      <w:tr w14:paraId="6550F3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38DC4DED">
            <w:pPr>
              <w:pStyle w:val="150"/>
            </w:pPr>
            <w:r>
              <w:rPr>
                <w:rFonts w:hint="eastAsia"/>
              </w:rPr>
              <w:t>部门</w:t>
            </w:r>
          </w:p>
        </w:tc>
        <w:tc>
          <w:tcPr>
            <w:tcW w:w="6117" w:type="dxa"/>
            <w:shd w:val="clear" w:color="auto" w:fill="auto"/>
          </w:tcPr>
          <w:p w14:paraId="76A64FD1">
            <w:pPr>
              <w:pStyle w:val="150"/>
            </w:pPr>
            <w:r>
              <w:rPr>
                <w:rFonts w:hint="eastAsia"/>
              </w:rPr>
              <w:t>用户证书的部门信息。</w:t>
            </w:r>
          </w:p>
        </w:tc>
      </w:tr>
      <w:tr w14:paraId="39B2569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6D8CB3C5">
            <w:pPr>
              <w:pStyle w:val="150"/>
            </w:pPr>
            <w:r>
              <w:rPr>
                <w:rFonts w:hint="eastAsia"/>
              </w:rPr>
              <w:t>组织</w:t>
            </w:r>
          </w:p>
        </w:tc>
        <w:tc>
          <w:tcPr>
            <w:tcW w:w="6117" w:type="dxa"/>
            <w:shd w:val="clear" w:color="auto" w:fill="auto"/>
          </w:tcPr>
          <w:p w14:paraId="49D98AE5">
            <w:pPr>
              <w:pStyle w:val="150"/>
            </w:pPr>
            <w:r>
              <w:rPr>
                <w:rFonts w:hint="eastAsia"/>
              </w:rPr>
              <w:t>用户证书的所属组织。</w:t>
            </w:r>
          </w:p>
        </w:tc>
      </w:tr>
      <w:tr w14:paraId="469716B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09B1ED07">
            <w:pPr>
              <w:pStyle w:val="150"/>
            </w:pPr>
            <w:r>
              <w:rPr>
                <w:rFonts w:hint="eastAsia"/>
              </w:rPr>
              <w:t>位置(城市)</w:t>
            </w:r>
          </w:p>
        </w:tc>
        <w:tc>
          <w:tcPr>
            <w:tcW w:w="6117" w:type="dxa"/>
            <w:shd w:val="clear" w:color="auto" w:fill="auto"/>
          </w:tcPr>
          <w:p w14:paraId="09DEE22A">
            <w:pPr>
              <w:pStyle w:val="150"/>
            </w:pPr>
            <w:r>
              <w:rPr>
                <w:rFonts w:hint="eastAsia"/>
              </w:rPr>
              <w:t>用户证书所在的位置。</w:t>
            </w:r>
          </w:p>
        </w:tc>
      </w:tr>
      <w:tr w14:paraId="1C5B21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2D4F1976">
            <w:pPr>
              <w:pStyle w:val="150"/>
            </w:pPr>
            <w:r>
              <w:rPr>
                <w:rFonts w:hint="eastAsia"/>
              </w:rPr>
              <w:t>州/省</w:t>
            </w:r>
          </w:p>
        </w:tc>
        <w:tc>
          <w:tcPr>
            <w:tcW w:w="6117" w:type="dxa"/>
            <w:shd w:val="clear" w:color="auto" w:fill="auto"/>
          </w:tcPr>
          <w:p w14:paraId="4E90996F">
            <w:pPr>
              <w:pStyle w:val="150"/>
            </w:pPr>
            <w:r>
              <w:rPr>
                <w:rFonts w:hint="eastAsia"/>
              </w:rPr>
              <w:t>用户证书所属的州或省。</w:t>
            </w:r>
          </w:p>
        </w:tc>
      </w:tr>
      <w:tr w14:paraId="0328EE8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6F2C6D37">
            <w:pPr>
              <w:pStyle w:val="150"/>
            </w:pPr>
            <w:r>
              <w:rPr>
                <w:rFonts w:hint="eastAsia"/>
              </w:rPr>
              <w:t>国家/地区</w:t>
            </w:r>
          </w:p>
        </w:tc>
        <w:tc>
          <w:tcPr>
            <w:tcW w:w="6117" w:type="dxa"/>
            <w:shd w:val="clear" w:color="auto" w:fill="auto"/>
          </w:tcPr>
          <w:p w14:paraId="1666DC95">
            <w:pPr>
              <w:pStyle w:val="150"/>
            </w:pPr>
            <w:r>
              <w:rPr>
                <w:rFonts w:hint="eastAsia"/>
              </w:rPr>
              <w:t>用户证书的国家或地区信息。</w:t>
            </w:r>
          </w:p>
        </w:tc>
      </w:tr>
      <w:tr w14:paraId="10C6DED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5452DBC6">
            <w:pPr>
              <w:pStyle w:val="150"/>
            </w:pPr>
            <w:r>
              <w:rPr>
                <w:rFonts w:hint="eastAsia"/>
              </w:rPr>
              <w:t>电子邮件</w:t>
            </w:r>
          </w:p>
        </w:tc>
        <w:tc>
          <w:tcPr>
            <w:tcW w:w="6117" w:type="dxa"/>
            <w:shd w:val="clear" w:color="auto" w:fill="auto"/>
          </w:tcPr>
          <w:p w14:paraId="09C62004">
            <w:pPr>
              <w:pStyle w:val="150"/>
            </w:pPr>
            <w:r>
              <w:rPr>
                <w:rFonts w:hint="eastAsia"/>
              </w:rPr>
              <w:t>用户证书持有者的联系方式。</w:t>
            </w:r>
          </w:p>
        </w:tc>
      </w:tr>
      <w:tr w14:paraId="1748E6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385FD072">
            <w:pPr>
              <w:pStyle w:val="150"/>
            </w:pPr>
            <w:r>
              <w:rPr>
                <w:rFonts w:hint="eastAsia"/>
              </w:rPr>
              <w:t>密钥大小</w:t>
            </w:r>
          </w:p>
        </w:tc>
        <w:tc>
          <w:tcPr>
            <w:tcW w:w="6117" w:type="dxa"/>
            <w:shd w:val="clear" w:color="auto" w:fill="auto"/>
          </w:tcPr>
          <w:p w14:paraId="4ECC864C">
            <w:pPr>
              <w:pStyle w:val="150"/>
            </w:pPr>
            <w:r>
              <w:rPr>
                <w:rFonts w:hint="eastAsia"/>
              </w:rPr>
              <w:t>用户证书对应私钥的大小。</w:t>
            </w:r>
          </w:p>
        </w:tc>
      </w:tr>
    </w:tbl>
    <w:p w14:paraId="62B155A1"/>
    <w:p w14:paraId="482EF2EE">
      <w:r>
        <w:rPr>
          <w:rFonts w:hint="eastAsia"/>
        </w:rPr>
        <w:t>点击&lt;提交&gt;按钮，提交配置。提交配置后可通过如</w:t>
      </w:r>
      <w:r>
        <w:fldChar w:fldCharType="begin"/>
      </w:r>
      <w:r>
        <w:instrText xml:space="preserve"> </w:instrText>
      </w:r>
      <w:r>
        <w:rPr>
          <w:rFonts w:hint="eastAsia"/>
        </w:rPr>
        <w:instrText xml:space="preserve">REF _Ref393208982 \r \h</w:instrText>
      </w:r>
      <w:r>
        <w:instrText xml:space="preserve"> </w:instrText>
      </w:r>
      <w:r>
        <w:fldChar w:fldCharType="separate"/>
      </w:r>
      <w:r>
        <w:rPr>
          <w:rFonts w:hint="eastAsia"/>
        </w:rPr>
        <w:t>图28-66</w:t>
      </w:r>
      <w:r>
        <w:fldChar w:fldCharType="end"/>
      </w:r>
      <w:r>
        <w:rPr>
          <w:rFonts w:hint="eastAsia"/>
        </w:rPr>
        <w:t>所示的页面查看。</w:t>
      </w:r>
    </w:p>
    <w:p w14:paraId="4C2A6E73">
      <w:pPr>
        <w:pStyle w:val="188"/>
      </w:pPr>
      <w:bookmarkStart w:id="6884" w:name="_Toc141874994"/>
      <w:bookmarkStart w:id="6885" w:name="_Ref393208982"/>
      <w:r>
        <w:t>用户证书概览页面</w:t>
      </w:r>
      <w:bookmarkEnd w:id="6884"/>
      <w:bookmarkEnd w:id="6885"/>
    </w:p>
    <w:p w14:paraId="12DC1164">
      <w:r>
        <w:drawing>
          <wp:inline distT="0" distB="0" distL="0" distR="0">
            <wp:extent cx="5372100" cy="1097915"/>
            <wp:effectExtent l="0" t="0" r="0" b="6985"/>
            <wp:docPr id="2972" name="图片 2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 name="图片 2972"/>
                    <pic:cNvPicPr>
                      <a:picLocks noChangeAspect="1"/>
                    </pic:cNvPicPr>
                  </pic:nvPicPr>
                  <pic:blipFill>
                    <a:blip r:embed="rId829"/>
                    <a:stretch>
                      <a:fillRect/>
                    </a:stretch>
                  </pic:blipFill>
                  <pic:spPr>
                    <a:xfrm>
                      <a:off x="0" y="0"/>
                      <a:ext cx="5382811" cy="1100687"/>
                    </a:xfrm>
                    <a:prstGeom prst="rect">
                      <a:avLst/>
                    </a:prstGeom>
                  </pic:spPr>
                </pic:pic>
              </a:graphicData>
            </a:graphic>
          </wp:inline>
        </w:drawing>
      </w:r>
    </w:p>
    <w:p w14:paraId="1F93D41D"/>
    <w:p w14:paraId="053D2B83">
      <w:r>
        <w:rPr>
          <w:rFonts w:hint="eastAsia"/>
        </w:rPr>
        <w:t>点击&lt;签发&gt;按钮</w:t>
      </w:r>
      <w:r>
        <w:drawing>
          <wp:inline distT="0" distB="0" distL="0" distR="0">
            <wp:extent cx="199390" cy="218440"/>
            <wp:effectExtent l="0" t="0" r="0" b="0"/>
            <wp:docPr id="2973" name="图片 2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 name="图片 2973"/>
                    <pic:cNvPicPr>
                      <a:picLocks noChangeAspect="1"/>
                    </pic:cNvPicPr>
                  </pic:nvPicPr>
                  <pic:blipFill>
                    <a:blip r:embed="rId830"/>
                    <a:stretch>
                      <a:fillRect/>
                    </a:stretch>
                  </pic:blipFill>
                  <pic:spPr>
                    <a:xfrm>
                      <a:off x="0" y="0"/>
                      <a:ext cx="200000" cy="219048"/>
                    </a:xfrm>
                    <a:prstGeom prst="rect">
                      <a:avLst/>
                    </a:prstGeom>
                  </pic:spPr>
                </pic:pic>
              </a:graphicData>
            </a:graphic>
          </wp:inline>
        </w:drawing>
      </w:r>
      <w:r>
        <w:rPr>
          <w:rFonts w:hint="eastAsia"/>
        </w:rPr>
        <w:t>，进入如</w:t>
      </w:r>
      <w:r>
        <w:fldChar w:fldCharType="begin"/>
      </w:r>
      <w:r>
        <w:instrText xml:space="preserve"> </w:instrText>
      </w:r>
      <w:r>
        <w:rPr>
          <w:rFonts w:hint="eastAsia"/>
        </w:rPr>
        <w:instrText xml:space="preserve">REF _Ref393208992 \r \h</w:instrText>
      </w:r>
      <w:r>
        <w:instrText xml:space="preserve"> </w:instrText>
      </w:r>
      <w:r>
        <w:fldChar w:fldCharType="separate"/>
      </w:r>
      <w:r>
        <w:rPr>
          <w:rFonts w:hint="eastAsia"/>
        </w:rPr>
        <w:t>图28-67</w:t>
      </w:r>
      <w:r>
        <w:fldChar w:fldCharType="end"/>
      </w:r>
      <w:r>
        <w:rPr>
          <w:rFonts w:hint="eastAsia"/>
        </w:rPr>
        <w:t>所示的页面签发用户证书。各个配置项含义如</w:t>
      </w:r>
      <w:r>
        <w:fldChar w:fldCharType="begin"/>
      </w:r>
      <w:r>
        <w:instrText xml:space="preserve"> </w:instrText>
      </w:r>
      <w:r>
        <w:rPr>
          <w:rFonts w:hint="eastAsia"/>
        </w:rPr>
        <w:instrText xml:space="preserve">REF _Ref393208998 \r \h</w:instrText>
      </w:r>
      <w:r>
        <w:instrText xml:space="preserve"> </w:instrText>
      </w:r>
      <w:r>
        <w:fldChar w:fldCharType="separate"/>
      </w:r>
      <w:r>
        <w:rPr>
          <w:rFonts w:hint="eastAsia"/>
        </w:rPr>
        <w:t>表28-1</w:t>
      </w:r>
      <w:r>
        <w:fldChar w:fldCharType="end"/>
      </w:r>
      <w:r>
        <w:rPr>
          <w:rFonts w:hint="eastAsia"/>
        </w:rPr>
        <w:t>所示。</w:t>
      </w:r>
    </w:p>
    <w:p w14:paraId="16BB054D">
      <w:pPr>
        <w:pStyle w:val="188"/>
      </w:pPr>
      <w:bookmarkStart w:id="6886" w:name="_Ref393208992"/>
      <w:bookmarkStart w:id="6887" w:name="_Toc141874995"/>
      <w:r>
        <w:t>用户证书请求签发页面</w:t>
      </w:r>
      <w:bookmarkEnd w:id="6886"/>
      <w:bookmarkEnd w:id="6887"/>
    </w:p>
    <w:p w14:paraId="1FC7241B">
      <w:r>
        <w:drawing>
          <wp:inline distT="0" distB="0" distL="114300" distR="114300">
            <wp:extent cx="5097780" cy="1455420"/>
            <wp:effectExtent l="0" t="0" r="7620" b="7620"/>
            <wp:docPr id="2737"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7" name="图片 73"/>
                    <pic:cNvPicPr>
                      <a:picLocks noChangeAspect="1"/>
                    </pic:cNvPicPr>
                  </pic:nvPicPr>
                  <pic:blipFill>
                    <a:blip r:embed="rId831"/>
                    <a:stretch>
                      <a:fillRect/>
                    </a:stretch>
                  </pic:blipFill>
                  <pic:spPr>
                    <a:xfrm>
                      <a:off x="0" y="0"/>
                      <a:ext cx="5097780" cy="1455420"/>
                    </a:xfrm>
                    <a:prstGeom prst="rect">
                      <a:avLst/>
                    </a:prstGeom>
                    <a:noFill/>
                    <a:ln>
                      <a:noFill/>
                    </a:ln>
                  </pic:spPr>
                </pic:pic>
              </a:graphicData>
            </a:graphic>
          </wp:inline>
        </w:drawing>
      </w:r>
    </w:p>
    <w:p w14:paraId="35C0DE13"/>
    <w:p w14:paraId="43145692">
      <w:pPr>
        <w:pStyle w:val="183"/>
      </w:pPr>
      <w:bookmarkStart w:id="6888" w:name="_Toc141875644"/>
      <w:bookmarkStart w:id="6889" w:name="_Ref393208998"/>
      <w:r>
        <w:t>用户证书请求签发配置项含义描述表</w:t>
      </w:r>
      <w:bookmarkEnd w:id="6888"/>
      <w:bookmarkEnd w:id="6889"/>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910"/>
        <w:gridCol w:w="6104"/>
      </w:tblGrid>
      <w:tr w14:paraId="37DC51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tcBorders>
              <w:tl2br w:val="nil"/>
              <w:tr2bl w:val="nil"/>
            </w:tcBorders>
            <w:shd w:val="clear" w:color="auto" w:fill="538135" w:themeFill="accent6" w:themeFillShade="BF"/>
            <w:vAlign w:val="center"/>
          </w:tcPr>
          <w:p w14:paraId="7E49E671">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117" w:type="dxa"/>
            <w:tcBorders>
              <w:tl2br w:val="nil"/>
              <w:tr2bl w:val="nil"/>
            </w:tcBorders>
            <w:shd w:val="clear" w:color="auto" w:fill="538135" w:themeFill="accent6" w:themeFillShade="BF"/>
            <w:vAlign w:val="center"/>
          </w:tcPr>
          <w:p w14:paraId="741A8139">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08CB83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1A2CCE31">
            <w:pPr>
              <w:pStyle w:val="150"/>
            </w:pPr>
            <w:r>
              <w:rPr>
                <w:rFonts w:hint="eastAsia"/>
              </w:rPr>
              <w:t>有效期</w:t>
            </w:r>
          </w:p>
        </w:tc>
        <w:tc>
          <w:tcPr>
            <w:tcW w:w="6117" w:type="dxa"/>
            <w:shd w:val="clear" w:color="auto" w:fill="auto"/>
          </w:tcPr>
          <w:p w14:paraId="43EEF07D">
            <w:pPr>
              <w:pStyle w:val="150"/>
            </w:pPr>
            <w:r>
              <w:rPr>
                <w:rFonts w:hint="eastAsia"/>
              </w:rPr>
              <w:t>签发的用户证书的有效期</w:t>
            </w:r>
          </w:p>
        </w:tc>
      </w:tr>
      <w:tr w14:paraId="68E892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7183D06C">
            <w:pPr>
              <w:pStyle w:val="150"/>
            </w:pPr>
            <w:r>
              <w:rPr>
                <w:rFonts w:hint="eastAsia"/>
              </w:rPr>
              <w:t>密码</w:t>
            </w:r>
          </w:p>
        </w:tc>
        <w:tc>
          <w:tcPr>
            <w:tcW w:w="6117" w:type="dxa"/>
            <w:shd w:val="clear" w:color="auto" w:fill="auto"/>
          </w:tcPr>
          <w:p w14:paraId="68DFB325">
            <w:pPr>
              <w:pStyle w:val="150"/>
            </w:pPr>
            <w:r>
              <w:rPr>
                <w:rFonts w:hint="eastAsia"/>
              </w:rPr>
              <w:t>用户证书的保护密码</w:t>
            </w:r>
          </w:p>
        </w:tc>
      </w:tr>
    </w:tbl>
    <w:p w14:paraId="3D4E959D"/>
    <w:p w14:paraId="0ACE816E">
      <w:r>
        <w:rPr>
          <w:rFonts w:hint="eastAsia"/>
        </w:rPr>
        <w:t>点击&lt;提交&gt;按钮，提交配置。提交完配置后的页面如</w:t>
      </w:r>
      <w:r>
        <w:rPr>
          <w:color w:val="0000FF"/>
          <w:u w:val="single"/>
        </w:rPr>
        <w:fldChar w:fldCharType="begin"/>
      </w:r>
      <w:r>
        <w:rPr>
          <w:color w:val="0000FF"/>
          <w:u w:val="single"/>
        </w:rPr>
        <w:instrText xml:space="preserve"> </w:instrText>
      </w:r>
      <w:r>
        <w:rPr>
          <w:rFonts w:hint="eastAsia"/>
          <w:color w:val="0000FF"/>
          <w:u w:val="single"/>
        </w:rPr>
        <w:instrText xml:space="preserve">REF _Ref393209004 \r \h</w:instrText>
      </w:r>
      <w:r>
        <w:rPr>
          <w:color w:val="0000FF"/>
          <w:u w:val="single"/>
        </w:rPr>
        <w:instrText xml:space="preserve"> </w:instrText>
      </w:r>
      <w:r>
        <w:rPr>
          <w:color w:val="0000FF"/>
          <w:u w:val="single"/>
        </w:rPr>
        <w:fldChar w:fldCharType="separate"/>
      </w:r>
      <w:r>
        <w:rPr>
          <w:rFonts w:hint="eastAsia"/>
          <w:color w:val="0000FF"/>
          <w:u w:val="single"/>
        </w:rPr>
        <w:t>图28-68</w:t>
      </w:r>
      <w:r>
        <w:rPr>
          <w:color w:val="0000FF"/>
          <w:u w:val="single"/>
        </w:rPr>
        <w:fldChar w:fldCharType="end"/>
      </w:r>
      <w:r>
        <w:rPr>
          <w:rFonts w:hint="eastAsia"/>
        </w:rPr>
        <w:t>所示。在签发完证书后，就可以进行撤销、复制、查看、导出、删除的操作。</w:t>
      </w:r>
    </w:p>
    <w:p w14:paraId="2F4800D3">
      <w:pPr>
        <w:pStyle w:val="188"/>
      </w:pPr>
      <w:bookmarkStart w:id="6890" w:name="_Toc141874996"/>
      <w:bookmarkStart w:id="6891" w:name="_Ref393209004"/>
      <w:r>
        <w:t>用户证书请求签发后页面</w:t>
      </w:r>
      <w:bookmarkEnd w:id="6890"/>
      <w:bookmarkEnd w:id="6891"/>
    </w:p>
    <w:p w14:paraId="78546A67">
      <w:r>
        <w:drawing>
          <wp:inline distT="0" distB="0" distL="0" distR="0">
            <wp:extent cx="5534025" cy="1043940"/>
            <wp:effectExtent l="0" t="0" r="0" b="3810"/>
            <wp:docPr id="2975" name="图片 2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5" name="图片 2975"/>
                    <pic:cNvPicPr>
                      <a:picLocks noChangeAspect="1"/>
                    </pic:cNvPicPr>
                  </pic:nvPicPr>
                  <pic:blipFill>
                    <a:blip r:embed="rId832"/>
                    <a:stretch>
                      <a:fillRect/>
                    </a:stretch>
                  </pic:blipFill>
                  <pic:spPr>
                    <a:xfrm>
                      <a:off x="0" y="0"/>
                      <a:ext cx="5564851" cy="1050157"/>
                    </a:xfrm>
                    <a:prstGeom prst="rect">
                      <a:avLst/>
                    </a:prstGeom>
                  </pic:spPr>
                </pic:pic>
              </a:graphicData>
            </a:graphic>
          </wp:inline>
        </w:drawing>
      </w:r>
    </w:p>
    <w:p w14:paraId="5982E3C2"/>
    <w:p w14:paraId="0D686A83">
      <w:r>
        <w:rPr>
          <w:rFonts w:hint="eastAsia"/>
        </w:rPr>
        <w:t>点击&lt;复制&gt;按钮，可以将选中的证书复制到本地用户证书中。</w:t>
      </w:r>
    </w:p>
    <w:p w14:paraId="79CADFAE">
      <w:r>
        <w:rPr>
          <w:rFonts w:hint="eastAsia"/>
        </w:rPr>
        <w:t>点击&lt;删除&gt;按钮，可以删除选中的证书。</w:t>
      </w:r>
    </w:p>
    <w:p w14:paraId="76F409F9">
      <w:r>
        <w:rPr>
          <w:rFonts w:hint="eastAsia"/>
        </w:rPr>
        <w:t>点击&lt;撤销&gt;按钮，可以撤销选中的证书。撤销页面如</w:t>
      </w:r>
      <w:r>
        <w:fldChar w:fldCharType="begin"/>
      </w:r>
      <w:r>
        <w:instrText xml:space="preserve"> </w:instrText>
      </w:r>
      <w:r>
        <w:rPr>
          <w:rFonts w:hint="eastAsia"/>
        </w:rPr>
        <w:instrText xml:space="preserve">REF _Ref393209014 \r \h</w:instrText>
      </w:r>
      <w:r>
        <w:instrText xml:space="preserve"> </w:instrText>
      </w:r>
      <w:r>
        <w:fldChar w:fldCharType="separate"/>
      </w:r>
      <w:r>
        <w:rPr>
          <w:rFonts w:hint="eastAsia"/>
        </w:rPr>
        <w:t>图28-69</w:t>
      </w:r>
      <w:r>
        <w:fldChar w:fldCharType="end"/>
      </w:r>
      <w:r>
        <w:rPr>
          <w:rFonts w:hint="eastAsia"/>
        </w:rPr>
        <w:t>所示。各个配置项含义如</w:t>
      </w:r>
      <w:r>
        <w:fldChar w:fldCharType="begin"/>
      </w:r>
      <w:r>
        <w:instrText xml:space="preserve"> </w:instrText>
      </w:r>
      <w:r>
        <w:rPr>
          <w:rFonts w:hint="eastAsia"/>
        </w:rPr>
        <w:instrText xml:space="preserve">REF _Ref393209020 \r \h</w:instrText>
      </w:r>
      <w:r>
        <w:instrText xml:space="preserve"> </w:instrText>
      </w:r>
      <w:r>
        <w:fldChar w:fldCharType="separate"/>
      </w:r>
      <w:r>
        <w:rPr>
          <w:rFonts w:hint="eastAsia"/>
        </w:rPr>
        <w:t>表28-1</w:t>
      </w:r>
      <w:r>
        <w:fldChar w:fldCharType="end"/>
      </w:r>
      <w:r>
        <w:rPr>
          <w:rFonts w:hint="eastAsia"/>
        </w:rPr>
        <w:t>所示。</w:t>
      </w:r>
    </w:p>
    <w:p w14:paraId="0B2F87BA">
      <w:pPr>
        <w:pStyle w:val="188"/>
      </w:pPr>
      <w:bookmarkStart w:id="6892" w:name="_Ref393209014"/>
      <w:bookmarkStart w:id="6893" w:name="_Toc141874997"/>
      <w:r>
        <w:t>用户证书撤销页面</w:t>
      </w:r>
      <w:bookmarkEnd w:id="6892"/>
      <w:bookmarkEnd w:id="6893"/>
    </w:p>
    <w:p w14:paraId="39769E32">
      <w:r>
        <w:drawing>
          <wp:inline distT="0" distB="0" distL="0" distR="0">
            <wp:extent cx="5257800" cy="1437005"/>
            <wp:effectExtent l="0" t="0" r="0" b="0"/>
            <wp:docPr id="2976" name="图片 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6" name="图片 2976"/>
                    <pic:cNvPicPr>
                      <a:picLocks noChangeAspect="1"/>
                    </pic:cNvPicPr>
                  </pic:nvPicPr>
                  <pic:blipFill>
                    <a:blip r:embed="rId833"/>
                    <a:stretch>
                      <a:fillRect/>
                    </a:stretch>
                  </pic:blipFill>
                  <pic:spPr>
                    <a:xfrm>
                      <a:off x="0" y="0"/>
                      <a:ext cx="5264803" cy="1439046"/>
                    </a:xfrm>
                    <a:prstGeom prst="rect">
                      <a:avLst/>
                    </a:prstGeom>
                  </pic:spPr>
                </pic:pic>
              </a:graphicData>
            </a:graphic>
          </wp:inline>
        </w:drawing>
      </w:r>
    </w:p>
    <w:p w14:paraId="169FC3C7"/>
    <w:p w14:paraId="0A265415">
      <w:pPr>
        <w:pStyle w:val="183"/>
      </w:pPr>
      <w:bookmarkStart w:id="6894" w:name="_Toc141875645"/>
      <w:bookmarkStart w:id="6895" w:name="_Ref393209020"/>
      <w:r>
        <w:t>用户证书撤销配置项含义描述表</w:t>
      </w:r>
      <w:bookmarkEnd w:id="6894"/>
      <w:bookmarkEnd w:id="6895"/>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908"/>
        <w:gridCol w:w="6106"/>
      </w:tblGrid>
      <w:tr w14:paraId="35319C0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tcBorders>
              <w:tl2br w:val="nil"/>
              <w:tr2bl w:val="nil"/>
            </w:tcBorders>
            <w:shd w:val="clear" w:color="auto" w:fill="538135" w:themeFill="accent6" w:themeFillShade="BF"/>
            <w:vAlign w:val="center"/>
          </w:tcPr>
          <w:p w14:paraId="7B74523D">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117" w:type="dxa"/>
            <w:tcBorders>
              <w:tl2br w:val="nil"/>
              <w:tr2bl w:val="nil"/>
            </w:tcBorders>
            <w:shd w:val="clear" w:color="auto" w:fill="538135" w:themeFill="accent6" w:themeFillShade="BF"/>
            <w:vAlign w:val="center"/>
          </w:tcPr>
          <w:p w14:paraId="3883D93C">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031AED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4B3A9799">
            <w:pPr>
              <w:pStyle w:val="150"/>
            </w:pPr>
            <w:r>
              <w:rPr>
                <w:rFonts w:hint="eastAsia"/>
              </w:rPr>
              <w:t>撤销原因</w:t>
            </w:r>
          </w:p>
        </w:tc>
        <w:tc>
          <w:tcPr>
            <w:tcW w:w="6117" w:type="dxa"/>
            <w:shd w:val="clear" w:color="auto" w:fill="auto"/>
          </w:tcPr>
          <w:p w14:paraId="21D69C21">
            <w:pPr>
              <w:pStyle w:val="150"/>
            </w:pPr>
            <w:r>
              <w:rPr>
                <w:rFonts w:hint="eastAsia"/>
              </w:rPr>
              <w:t>撤销用户证书的原因，有如下原因：</w:t>
            </w:r>
          </w:p>
          <w:p w14:paraId="413065C5">
            <w:pPr>
              <w:pStyle w:val="150"/>
            </w:pPr>
            <w:r>
              <w:t>Unspecified</w:t>
            </w:r>
            <w:r>
              <w:rPr>
                <w:rFonts w:hint="eastAsia"/>
              </w:rPr>
              <w:t>：未指定撤销原因</w:t>
            </w:r>
          </w:p>
          <w:p w14:paraId="78BD10DA">
            <w:pPr>
              <w:pStyle w:val="150"/>
            </w:pPr>
            <w:r>
              <w:t>KeyCompromise</w:t>
            </w:r>
            <w:r>
              <w:rPr>
                <w:rFonts w:hint="eastAsia"/>
              </w:rPr>
              <w:t>：私钥泄露</w:t>
            </w:r>
          </w:p>
          <w:p w14:paraId="083C76AE">
            <w:pPr>
              <w:pStyle w:val="150"/>
            </w:pPr>
            <w:r>
              <w:t>CaCompromise</w:t>
            </w:r>
            <w:r>
              <w:rPr>
                <w:rFonts w:hint="eastAsia"/>
              </w:rPr>
              <w:t>：CA泄露</w:t>
            </w:r>
          </w:p>
          <w:p w14:paraId="12A1B1E1">
            <w:pPr>
              <w:pStyle w:val="150"/>
            </w:pPr>
            <w:r>
              <w:t>Affiliation Changed</w:t>
            </w:r>
            <w:r>
              <w:rPr>
                <w:rFonts w:hint="eastAsia"/>
              </w:rPr>
              <w:t>：</w:t>
            </w:r>
            <w:r>
              <w:t>从属关系改变</w:t>
            </w:r>
          </w:p>
        </w:tc>
      </w:tr>
    </w:tbl>
    <w:p w14:paraId="6D0D97D1"/>
    <w:p w14:paraId="3D8616BA">
      <w:r>
        <w:rPr>
          <w:rFonts w:hint="eastAsia"/>
        </w:rPr>
        <w:t>点击&lt;导出&gt;按钮，可以通过TFTP协议，导出用户证书至TFTP服务器。导出页面如</w:t>
      </w:r>
      <w:r>
        <w:rPr>
          <w:color w:val="0000FF"/>
          <w:u w:val="single"/>
        </w:rPr>
        <w:fldChar w:fldCharType="begin"/>
      </w:r>
      <w:r>
        <w:rPr>
          <w:color w:val="0000FF"/>
          <w:u w:val="single"/>
        </w:rPr>
        <w:instrText xml:space="preserve"> </w:instrText>
      </w:r>
      <w:r>
        <w:rPr>
          <w:rFonts w:hint="eastAsia"/>
          <w:color w:val="0000FF"/>
          <w:u w:val="single"/>
        </w:rPr>
        <w:instrText xml:space="preserve">REF _Ref393209027 \r \h</w:instrText>
      </w:r>
      <w:r>
        <w:rPr>
          <w:color w:val="0000FF"/>
          <w:u w:val="single"/>
        </w:rPr>
        <w:instrText xml:space="preserve"> </w:instrText>
      </w:r>
      <w:r>
        <w:rPr>
          <w:color w:val="0000FF"/>
          <w:u w:val="single"/>
        </w:rPr>
        <w:fldChar w:fldCharType="separate"/>
      </w:r>
      <w:r>
        <w:rPr>
          <w:rFonts w:hint="eastAsia"/>
          <w:color w:val="0000FF"/>
          <w:u w:val="single"/>
        </w:rPr>
        <w:t>图28-70</w:t>
      </w:r>
      <w:r>
        <w:rPr>
          <w:color w:val="0000FF"/>
          <w:u w:val="single"/>
        </w:rPr>
        <w:fldChar w:fldCharType="end"/>
      </w:r>
      <w:r>
        <w:rPr>
          <w:rFonts w:hint="eastAsia"/>
        </w:rPr>
        <w:t>所示。</w:t>
      </w:r>
    </w:p>
    <w:p w14:paraId="5C22A354">
      <w:pPr>
        <w:pStyle w:val="188"/>
      </w:pPr>
      <w:bookmarkStart w:id="6896" w:name="_Ref393209027"/>
      <w:bookmarkStart w:id="6897" w:name="_Toc141874998"/>
      <w:r>
        <w:t>导出用户证书页面</w:t>
      </w:r>
      <w:bookmarkEnd w:id="6896"/>
      <w:bookmarkEnd w:id="6897"/>
    </w:p>
    <w:p w14:paraId="37E0AB7A">
      <w:r>
        <w:drawing>
          <wp:inline distT="0" distB="0" distL="0" distR="0">
            <wp:extent cx="5553710" cy="1681480"/>
            <wp:effectExtent l="0" t="0" r="0" b="0"/>
            <wp:docPr id="2977" name="图片 2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 name="图片 2977"/>
                    <pic:cNvPicPr>
                      <a:picLocks noChangeAspect="1"/>
                    </pic:cNvPicPr>
                  </pic:nvPicPr>
                  <pic:blipFill>
                    <a:blip r:embed="rId834"/>
                    <a:stretch>
                      <a:fillRect/>
                    </a:stretch>
                  </pic:blipFill>
                  <pic:spPr>
                    <a:xfrm>
                      <a:off x="0" y="0"/>
                      <a:ext cx="5566626" cy="1685733"/>
                    </a:xfrm>
                    <a:prstGeom prst="rect">
                      <a:avLst/>
                    </a:prstGeom>
                  </pic:spPr>
                </pic:pic>
              </a:graphicData>
            </a:graphic>
          </wp:inline>
        </w:drawing>
      </w:r>
    </w:p>
    <w:p w14:paraId="411F389E"/>
    <w:p w14:paraId="65CBE24F">
      <w:r>
        <w:rPr>
          <w:rFonts w:hint="eastAsia"/>
        </w:rPr>
        <w:t>可选择导出为PKCS12格式的单个证书，或者证书密钥分离格式的证书。</w:t>
      </w:r>
    </w:p>
    <w:p w14:paraId="59B5D387">
      <w:r>
        <w:rPr>
          <w:rFonts w:hint="eastAsia"/>
        </w:rPr>
        <w:t>点击&lt;详细信息&gt;按钮，可以查看用户证书的详细信息。如</w:t>
      </w:r>
      <w:r>
        <w:fldChar w:fldCharType="begin"/>
      </w:r>
      <w:r>
        <w:instrText xml:space="preserve"> </w:instrText>
      </w:r>
      <w:r>
        <w:rPr>
          <w:rFonts w:hint="eastAsia"/>
        </w:rPr>
        <w:instrText xml:space="preserve">REF _Ref393209035 \r \h</w:instrText>
      </w:r>
      <w:r>
        <w:instrText xml:space="preserve"> </w:instrText>
      </w:r>
      <w:r>
        <w:fldChar w:fldCharType="separate"/>
      </w:r>
      <w:r>
        <w:rPr>
          <w:rFonts w:hint="eastAsia"/>
        </w:rPr>
        <w:t>图28-71</w:t>
      </w:r>
      <w:r>
        <w:fldChar w:fldCharType="end"/>
      </w:r>
      <w:r>
        <w:rPr>
          <w:rFonts w:hint="eastAsia"/>
        </w:rPr>
        <w:t>所示。</w:t>
      </w:r>
    </w:p>
    <w:p w14:paraId="2F80D249">
      <w:pPr>
        <w:pStyle w:val="188"/>
      </w:pPr>
      <w:bookmarkStart w:id="6898" w:name="_Ref393209035"/>
      <w:bookmarkStart w:id="6899" w:name="_Toc141874999"/>
      <w:r>
        <w:t>用户证书的详细信息</w:t>
      </w:r>
      <w:bookmarkEnd w:id="6898"/>
      <w:bookmarkEnd w:id="6899"/>
    </w:p>
    <w:p w14:paraId="7C10181A">
      <w:r>
        <w:drawing>
          <wp:inline distT="0" distB="0" distL="0" distR="0">
            <wp:extent cx="5508625" cy="4241800"/>
            <wp:effectExtent l="0" t="0" r="0" b="6350"/>
            <wp:docPr id="2978" name="图片 2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8" name="图片 2978"/>
                    <pic:cNvPicPr>
                      <a:picLocks noChangeAspect="1"/>
                    </pic:cNvPicPr>
                  </pic:nvPicPr>
                  <pic:blipFill>
                    <a:blip r:embed="rId835"/>
                    <a:stretch>
                      <a:fillRect/>
                    </a:stretch>
                  </pic:blipFill>
                  <pic:spPr>
                    <a:xfrm>
                      <a:off x="0" y="0"/>
                      <a:ext cx="5513608" cy="4245478"/>
                    </a:xfrm>
                    <a:prstGeom prst="rect">
                      <a:avLst/>
                    </a:prstGeom>
                  </pic:spPr>
                </pic:pic>
              </a:graphicData>
            </a:graphic>
          </wp:inline>
        </w:drawing>
      </w:r>
    </w:p>
    <w:p w14:paraId="107998A1"/>
    <w:p w14:paraId="23E123A5">
      <w:pPr>
        <w:pStyle w:val="4"/>
      </w:pPr>
      <w:bookmarkStart w:id="6900" w:name="_Toc40276336"/>
      <w:bookmarkStart w:id="6901" w:name="_Toc172218395"/>
      <w:bookmarkStart w:id="6902" w:name="_Toc194081094"/>
      <w:bookmarkStart w:id="6903" w:name="_Toc141873617"/>
      <w:bookmarkStart w:id="6904" w:name="_Toc142401134"/>
      <w:bookmarkStart w:id="6905" w:name="_Toc99561734"/>
      <w:bookmarkStart w:id="6906" w:name="_Toc23152915"/>
      <w:bookmarkStart w:id="6907" w:name="_Toc196728426"/>
      <w:bookmarkStart w:id="6908" w:name="_Toc12367548"/>
      <w:bookmarkStart w:id="6909" w:name="_Toc15485151"/>
      <w:bookmarkStart w:id="6910" w:name="_Toc12353893"/>
      <w:bookmarkStart w:id="6911" w:name="_Toc15484908"/>
      <w:bookmarkStart w:id="6912" w:name="_Toc474249991"/>
      <w:bookmarkStart w:id="6913" w:name="_Toc14951449"/>
      <w:bookmarkStart w:id="6914" w:name="_Toc474250154"/>
      <w:bookmarkStart w:id="6915" w:name="_Toc40276105"/>
      <w:bookmarkStart w:id="6916" w:name="_Toc23152672"/>
      <w:bookmarkStart w:id="6917" w:name="_Toc474250118"/>
      <w:r>
        <w:rPr>
          <w:rFonts w:hint="eastAsia"/>
        </w:rPr>
        <w:t>本地证书</w:t>
      </w:r>
      <w:bookmarkEnd w:id="6900"/>
      <w:bookmarkEnd w:id="6901"/>
      <w:bookmarkEnd w:id="6902"/>
      <w:bookmarkEnd w:id="6903"/>
      <w:bookmarkEnd w:id="6904"/>
      <w:bookmarkEnd w:id="6905"/>
      <w:bookmarkEnd w:id="6906"/>
      <w:bookmarkEnd w:id="6907"/>
      <w:bookmarkEnd w:id="6908"/>
      <w:bookmarkEnd w:id="6909"/>
    </w:p>
    <w:p w14:paraId="0F212B8A">
      <w:pPr>
        <w:pStyle w:val="5"/>
      </w:pPr>
      <w:bookmarkStart w:id="6918" w:name="_Toc392747123"/>
      <w:bookmarkStart w:id="6919" w:name="_Toc196728427"/>
      <w:bookmarkStart w:id="6920" w:name="_Toc142401135"/>
      <w:bookmarkStart w:id="6921" w:name="_Toc23152916"/>
      <w:bookmarkStart w:id="6922" w:name="_Toc141873618"/>
      <w:bookmarkStart w:id="6923" w:name="_Toc99561735"/>
      <w:bookmarkStart w:id="6924" w:name="_Toc194081095"/>
      <w:bookmarkStart w:id="6925" w:name="_Toc40276337"/>
      <w:bookmarkStart w:id="6926" w:name="_Toc15485152"/>
      <w:bookmarkStart w:id="6927" w:name="_Toc172218396"/>
      <w:bookmarkStart w:id="6928" w:name="_Toc12367549"/>
      <w:r>
        <w:rPr>
          <w:rFonts w:hint="eastAsia"/>
        </w:rPr>
        <w:t>本地证书简介</w:t>
      </w:r>
      <w:bookmarkEnd w:id="6918"/>
      <w:bookmarkEnd w:id="6919"/>
      <w:bookmarkEnd w:id="6920"/>
      <w:bookmarkEnd w:id="6921"/>
      <w:bookmarkEnd w:id="6922"/>
      <w:bookmarkEnd w:id="6923"/>
      <w:bookmarkEnd w:id="6924"/>
      <w:bookmarkEnd w:id="6925"/>
      <w:bookmarkEnd w:id="6926"/>
      <w:bookmarkEnd w:id="6927"/>
      <w:bookmarkEnd w:id="6928"/>
    </w:p>
    <w:p w14:paraId="06900243">
      <w:r>
        <w:rPr>
          <w:rFonts w:hint="eastAsia"/>
        </w:rPr>
        <w:t>本地证书包含本地用户证书，本地</w:t>
      </w:r>
      <w:r>
        <w:t>CA</w:t>
      </w:r>
      <w:r>
        <w:rPr>
          <w:rFonts w:hint="eastAsia"/>
        </w:rPr>
        <w:t>证书，</w:t>
      </w:r>
      <w:r>
        <w:t>CRL</w:t>
      </w:r>
      <w:r>
        <w:rPr>
          <w:rFonts w:hint="eastAsia"/>
        </w:rPr>
        <w:t>，以及</w:t>
      </w:r>
      <w:r>
        <w:t>CRL</w:t>
      </w:r>
      <w:r>
        <w:rPr>
          <w:rFonts w:hint="eastAsia"/>
        </w:rPr>
        <w:t>自动更新。本地用户证书是用于设备某些模块，如</w:t>
      </w:r>
      <w:r>
        <w:t>IPsec</w:t>
      </w:r>
      <w:r>
        <w:rPr>
          <w:rFonts w:hint="eastAsia"/>
        </w:rPr>
        <w:t>，在建立连接时，向远端设备进行身份验证；本地</w:t>
      </w:r>
      <w:r>
        <w:t>CA</w:t>
      </w:r>
      <w:r>
        <w:rPr>
          <w:rFonts w:hint="eastAsia"/>
        </w:rPr>
        <w:t>证书是用于设备在与远端设备建立连接时，对远端设备进行身份验证；</w:t>
      </w:r>
      <w:r>
        <w:t>CRL</w:t>
      </w:r>
      <w:r>
        <w:rPr>
          <w:rFonts w:hint="eastAsia"/>
        </w:rPr>
        <w:t>为远端设备的身份验证提供验证条件。</w:t>
      </w:r>
    </w:p>
    <w:p w14:paraId="5DB36F7F">
      <w:r>
        <w:rPr>
          <w:rFonts w:hint="eastAsia"/>
        </w:rPr>
        <w:t>本功能具有如下功能点：</w:t>
      </w:r>
    </w:p>
    <w:p w14:paraId="47C94CF4">
      <w:pPr>
        <w:pStyle w:val="162"/>
      </w:pPr>
      <w:r>
        <w:rPr>
          <w:rFonts w:hint="eastAsia"/>
        </w:rPr>
        <w:t>本地用户证书的管理和维护。</w:t>
      </w:r>
    </w:p>
    <w:p w14:paraId="109A031C">
      <w:pPr>
        <w:pStyle w:val="162"/>
      </w:pPr>
      <w:r>
        <w:rPr>
          <w:rFonts w:hint="eastAsia"/>
        </w:rPr>
        <w:t>本地CA证书的管理和维护。</w:t>
      </w:r>
    </w:p>
    <w:p w14:paraId="7F76142C">
      <w:pPr>
        <w:pStyle w:val="162"/>
      </w:pPr>
      <w:r>
        <w:t>本地</w:t>
      </w:r>
      <w:r>
        <w:rPr>
          <w:rFonts w:hint="eastAsia"/>
        </w:rPr>
        <w:t>CRL的管理和维护。包括通过TFTP Server 进行CRL文件的管理和维护，以及自动获取CRL文件的配置管理。</w:t>
      </w:r>
    </w:p>
    <w:p w14:paraId="6FF0D55E">
      <w:pPr>
        <w:pStyle w:val="5"/>
      </w:pPr>
      <w:bookmarkStart w:id="6929" w:name="_Toc12367550"/>
      <w:bookmarkStart w:id="6930" w:name="_Toc196728428"/>
      <w:bookmarkStart w:id="6931" w:name="_Toc172218397"/>
      <w:bookmarkStart w:id="6932" w:name="_Toc194081096"/>
      <w:bookmarkStart w:id="6933" w:name="_Toc142401136"/>
      <w:bookmarkStart w:id="6934" w:name="_Toc99561736"/>
      <w:bookmarkStart w:id="6935" w:name="_Toc23152917"/>
      <w:bookmarkStart w:id="6936" w:name="_Toc15485153"/>
      <w:bookmarkStart w:id="6937" w:name="_Toc40276338"/>
      <w:bookmarkStart w:id="6938" w:name="_Toc141873619"/>
      <w:r>
        <w:t>本地用户证书</w:t>
      </w:r>
      <w:bookmarkEnd w:id="6929"/>
      <w:bookmarkEnd w:id="6930"/>
      <w:bookmarkEnd w:id="6931"/>
      <w:bookmarkEnd w:id="6932"/>
      <w:bookmarkEnd w:id="6933"/>
      <w:bookmarkEnd w:id="6934"/>
      <w:bookmarkEnd w:id="6935"/>
      <w:bookmarkEnd w:id="6936"/>
      <w:bookmarkEnd w:id="6937"/>
      <w:bookmarkEnd w:id="6938"/>
    </w:p>
    <w:p w14:paraId="05365AE2">
      <w:r>
        <w:rPr>
          <w:rFonts w:hint="eastAsia"/>
        </w:rPr>
        <w:t xml:space="preserve">通过菜单“策略配置 </w:t>
      </w:r>
      <w:r>
        <w:t xml:space="preserve">&gt; </w:t>
      </w:r>
      <w:r>
        <w:rPr>
          <w:rFonts w:hint="eastAsia"/>
        </w:rPr>
        <w:t xml:space="preserve">对象管理 </w:t>
      </w:r>
      <w:r>
        <w:t xml:space="preserve">&gt; </w:t>
      </w:r>
      <w:r>
        <w:rPr>
          <w:rFonts w:hint="eastAsia"/>
        </w:rPr>
        <w:t>本地证书</w:t>
      </w:r>
      <w:r>
        <w:t xml:space="preserve"> &gt; </w:t>
      </w:r>
      <w:r>
        <w:rPr>
          <w:rFonts w:hint="eastAsia"/>
        </w:rPr>
        <w:t>证书”，进入如</w:t>
      </w:r>
      <w:r>
        <w:rPr>
          <w:color w:val="0000FF"/>
          <w:u w:val="single"/>
        </w:rPr>
        <w:fldChar w:fldCharType="begin"/>
      </w:r>
      <w:r>
        <w:rPr>
          <w:color w:val="0000FF"/>
          <w:u w:val="single"/>
        </w:rPr>
        <w:instrText xml:space="preserve"> REF _Ref393268095 \r \h </w:instrText>
      </w:r>
      <w:r>
        <w:rPr>
          <w:color w:val="0000FF"/>
          <w:u w:val="single"/>
        </w:rPr>
        <w:fldChar w:fldCharType="separate"/>
      </w:r>
      <w:r>
        <w:rPr>
          <w:rFonts w:hint="eastAsia"/>
          <w:color w:val="0000FF"/>
          <w:u w:val="single"/>
        </w:rPr>
        <w:t>图28-72</w:t>
      </w:r>
      <w:r>
        <w:rPr>
          <w:color w:val="0000FF"/>
          <w:u w:val="single"/>
        </w:rPr>
        <w:fldChar w:fldCharType="end"/>
      </w:r>
      <w:r>
        <w:rPr>
          <w:rFonts w:hint="eastAsia"/>
        </w:rPr>
        <w:t>所示页面。在该页面上，可以导入、导出、删除、查看本地用户证书。</w:t>
      </w:r>
    </w:p>
    <w:p w14:paraId="11493A97">
      <w:pPr>
        <w:pStyle w:val="188"/>
      </w:pPr>
      <w:bookmarkStart w:id="6939" w:name="_Ref393268095"/>
      <w:bookmarkStart w:id="6940" w:name="_Toc141875000"/>
      <w:r>
        <w:t>本地用户证书页面</w:t>
      </w:r>
      <w:bookmarkEnd w:id="6939"/>
      <w:bookmarkEnd w:id="6940"/>
    </w:p>
    <w:p w14:paraId="415965F5">
      <w:r>
        <w:drawing>
          <wp:inline distT="0" distB="0" distL="0" distR="0">
            <wp:extent cx="5514975" cy="937895"/>
            <wp:effectExtent l="0" t="0" r="0" b="0"/>
            <wp:docPr id="2937" name="图片 2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7" name="图片 2937"/>
                    <pic:cNvPicPr>
                      <a:picLocks noChangeAspect="1"/>
                    </pic:cNvPicPr>
                  </pic:nvPicPr>
                  <pic:blipFill>
                    <a:blip r:embed="rId836"/>
                    <a:stretch>
                      <a:fillRect/>
                    </a:stretch>
                  </pic:blipFill>
                  <pic:spPr>
                    <a:xfrm>
                      <a:off x="0" y="0"/>
                      <a:ext cx="5549062" cy="944130"/>
                    </a:xfrm>
                    <a:prstGeom prst="rect">
                      <a:avLst/>
                    </a:prstGeom>
                  </pic:spPr>
                </pic:pic>
              </a:graphicData>
            </a:graphic>
          </wp:inline>
        </w:drawing>
      </w:r>
    </w:p>
    <w:p w14:paraId="1DA93D33"/>
    <w:p w14:paraId="009D952A">
      <w:r>
        <w:rPr>
          <w:rFonts w:hint="eastAsia"/>
        </w:rPr>
        <w:t>点击</w:t>
      </w:r>
      <w:r>
        <w:t>&lt;</w:t>
      </w:r>
      <w:r>
        <w:rPr>
          <w:rFonts w:hint="eastAsia"/>
        </w:rPr>
        <w:t>导入</w:t>
      </w:r>
      <w:r>
        <w:t>&gt;</w:t>
      </w:r>
      <w:r>
        <w:rPr>
          <w:rFonts w:hint="eastAsia"/>
        </w:rPr>
        <w:t>按钮，导入本地用户证书，如</w:t>
      </w:r>
      <w:r>
        <w:fldChar w:fldCharType="begin"/>
      </w:r>
      <w:r>
        <w:instrText xml:space="preserve"> REF _Ref393268104 \r \h </w:instrText>
      </w:r>
      <w:r>
        <w:fldChar w:fldCharType="separate"/>
      </w:r>
      <w:r>
        <w:rPr>
          <w:rFonts w:hint="eastAsia"/>
        </w:rPr>
        <w:t>图28-73</w:t>
      </w:r>
      <w:r>
        <w:fldChar w:fldCharType="end"/>
      </w:r>
      <w:r>
        <w:rPr>
          <w:rFonts w:hint="eastAsia"/>
        </w:rPr>
        <w:t>所示。各个配置项的含义如</w:t>
      </w:r>
      <w:r>
        <w:fldChar w:fldCharType="begin"/>
      </w:r>
      <w:r>
        <w:instrText xml:space="preserve"> REF _Ref393268110 \r \h </w:instrText>
      </w:r>
      <w:r>
        <w:fldChar w:fldCharType="separate"/>
      </w:r>
      <w:r>
        <w:rPr>
          <w:rFonts w:hint="eastAsia"/>
        </w:rPr>
        <w:t>表28-1</w:t>
      </w:r>
      <w:r>
        <w:fldChar w:fldCharType="end"/>
      </w:r>
      <w:r>
        <w:rPr>
          <w:rFonts w:hint="eastAsia"/>
        </w:rPr>
        <w:t>所示。</w:t>
      </w:r>
    </w:p>
    <w:p w14:paraId="3870123F">
      <w:pPr>
        <w:pStyle w:val="188"/>
      </w:pPr>
      <w:bookmarkStart w:id="6941" w:name="_Ref393268104"/>
      <w:bookmarkStart w:id="6942" w:name="_Toc141875001"/>
      <w:r>
        <w:t>导入本地用户证书</w:t>
      </w:r>
      <w:bookmarkEnd w:id="6941"/>
      <w:bookmarkEnd w:id="6942"/>
    </w:p>
    <w:p w14:paraId="3E78D840">
      <w:r>
        <w:drawing>
          <wp:inline distT="0" distB="0" distL="0" distR="0">
            <wp:extent cx="5732780" cy="2361565"/>
            <wp:effectExtent l="0" t="0" r="1270" b="635"/>
            <wp:docPr id="2938" name="图片 2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8" name="图片 2938"/>
                    <pic:cNvPicPr>
                      <a:picLocks noChangeAspect="1"/>
                    </pic:cNvPicPr>
                  </pic:nvPicPr>
                  <pic:blipFill>
                    <a:blip r:embed="rId837"/>
                    <a:stretch>
                      <a:fillRect/>
                    </a:stretch>
                  </pic:blipFill>
                  <pic:spPr>
                    <a:xfrm>
                      <a:off x="0" y="0"/>
                      <a:ext cx="5733333" cy="2361905"/>
                    </a:xfrm>
                    <a:prstGeom prst="rect">
                      <a:avLst/>
                    </a:prstGeom>
                  </pic:spPr>
                </pic:pic>
              </a:graphicData>
            </a:graphic>
          </wp:inline>
        </w:drawing>
      </w:r>
    </w:p>
    <w:p w14:paraId="3D0CDAA1"/>
    <w:p w14:paraId="312C21FD">
      <w:pPr>
        <w:pStyle w:val="183"/>
      </w:pPr>
      <w:bookmarkStart w:id="6943" w:name="_Ref393268110"/>
      <w:bookmarkStart w:id="6944" w:name="_Toc141875646"/>
      <w:r>
        <w:t>导入证书各个配置项含义描述表</w:t>
      </w:r>
      <w:bookmarkEnd w:id="6943"/>
      <w:bookmarkEnd w:id="6944"/>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43"/>
        <w:gridCol w:w="6671"/>
      </w:tblGrid>
      <w:tr w14:paraId="00C47D4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tcBorders>
              <w:tl2br w:val="nil"/>
              <w:tr2bl w:val="nil"/>
            </w:tcBorders>
            <w:shd w:val="clear" w:color="auto" w:fill="538135" w:themeFill="accent6" w:themeFillShade="BF"/>
            <w:vAlign w:val="center"/>
          </w:tcPr>
          <w:p w14:paraId="0520B60A">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84" w:type="dxa"/>
            <w:tcBorders>
              <w:tl2br w:val="nil"/>
              <w:tr2bl w:val="nil"/>
            </w:tcBorders>
            <w:shd w:val="clear" w:color="auto" w:fill="538135" w:themeFill="accent6" w:themeFillShade="BF"/>
            <w:vAlign w:val="center"/>
          </w:tcPr>
          <w:p w14:paraId="52F449EA">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293937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0D06325C">
            <w:pPr>
              <w:pStyle w:val="150"/>
            </w:pPr>
            <w:r>
              <w:t>上传证书类型</w:t>
            </w:r>
          </w:p>
        </w:tc>
        <w:tc>
          <w:tcPr>
            <w:tcW w:w="6684" w:type="dxa"/>
            <w:shd w:val="clear" w:color="auto" w:fill="auto"/>
          </w:tcPr>
          <w:p w14:paraId="41C69DAF">
            <w:pPr>
              <w:pStyle w:val="150"/>
            </w:pPr>
            <w:r>
              <w:t>上传证书的类型</w:t>
            </w:r>
            <w:r>
              <w:rPr>
                <w:rFonts w:hint="eastAsia"/>
              </w:rPr>
              <w:t>，</w:t>
            </w:r>
            <w:r>
              <w:t>可以上传如下类型</w:t>
            </w:r>
            <w:r>
              <w:rPr>
                <w:rFonts w:hint="eastAsia"/>
              </w:rPr>
              <w:t>：</w:t>
            </w:r>
          </w:p>
          <w:p w14:paraId="7B9C12A2">
            <w:pPr>
              <w:pStyle w:val="150"/>
            </w:pPr>
            <w:r>
              <w:t>单个证书</w:t>
            </w:r>
            <w:r>
              <w:rPr>
                <w:rFonts w:hint="eastAsia"/>
              </w:rPr>
              <w:t>：PKCS12格式的证书，证书和密钥文件一体。</w:t>
            </w:r>
          </w:p>
          <w:p w14:paraId="2D83C118">
            <w:pPr>
              <w:pStyle w:val="150"/>
            </w:pPr>
            <w:r>
              <w:rPr>
                <w:rFonts w:hint="eastAsia"/>
              </w:rPr>
              <w:t>证书密钥分离：PEM格式的证书，证书文件和密钥文件分离。</w:t>
            </w:r>
          </w:p>
        </w:tc>
      </w:tr>
      <w:tr w14:paraId="4D940B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628CABE5">
            <w:pPr>
              <w:pStyle w:val="150"/>
            </w:pPr>
            <w:r>
              <w:t>证书文件</w:t>
            </w:r>
          </w:p>
        </w:tc>
        <w:tc>
          <w:tcPr>
            <w:tcW w:w="6684" w:type="dxa"/>
            <w:shd w:val="clear" w:color="auto" w:fill="auto"/>
          </w:tcPr>
          <w:p w14:paraId="49AB5977">
            <w:pPr>
              <w:pStyle w:val="150"/>
            </w:pPr>
            <w:r>
              <w:t>证书密钥分离格式的证书文件。</w:t>
            </w:r>
          </w:p>
        </w:tc>
      </w:tr>
      <w:tr w14:paraId="0A62453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439ACAA2">
            <w:pPr>
              <w:pStyle w:val="150"/>
            </w:pPr>
            <w:r>
              <w:t>密钥文件</w:t>
            </w:r>
          </w:p>
        </w:tc>
        <w:tc>
          <w:tcPr>
            <w:tcW w:w="6684" w:type="dxa"/>
            <w:shd w:val="clear" w:color="auto" w:fill="auto"/>
          </w:tcPr>
          <w:p w14:paraId="245C7787">
            <w:pPr>
              <w:pStyle w:val="150"/>
            </w:pPr>
            <w:r>
              <w:rPr>
                <w:rFonts w:hint="eastAsia"/>
              </w:rPr>
              <w:t>证书密钥分离格式的密钥文件。</w:t>
            </w:r>
          </w:p>
        </w:tc>
      </w:tr>
      <w:tr w14:paraId="7372DE4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77073522">
            <w:pPr>
              <w:pStyle w:val="150"/>
            </w:pPr>
            <w:r>
              <w:t>有密钥文件的证书</w:t>
            </w:r>
          </w:p>
        </w:tc>
        <w:tc>
          <w:tcPr>
            <w:tcW w:w="6684" w:type="dxa"/>
            <w:shd w:val="clear" w:color="auto" w:fill="auto"/>
          </w:tcPr>
          <w:p w14:paraId="6A8E62D8">
            <w:pPr>
              <w:pStyle w:val="150"/>
            </w:pPr>
            <w:r>
              <w:rPr>
                <w:rFonts w:hint="eastAsia"/>
              </w:rPr>
              <w:t>单个证书格式的证书文件。</w:t>
            </w:r>
          </w:p>
        </w:tc>
      </w:tr>
      <w:tr w14:paraId="668DEF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18C6DDAF">
            <w:pPr>
              <w:pStyle w:val="150"/>
            </w:pPr>
            <w:r>
              <w:rPr>
                <w:rFonts w:hint="eastAsia"/>
              </w:rPr>
              <w:t>密码</w:t>
            </w:r>
          </w:p>
        </w:tc>
        <w:tc>
          <w:tcPr>
            <w:tcW w:w="6684" w:type="dxa"/>
            <w:shd w:val="clear" w:color="auto" w:fill="auto"/>
          </w:tcPr>
          <w:p w14:paraId="20332E8F">
            <w:pPr>
              <w:pStyle w:val="150"/>
            </w:pPr>
            <w:r>
              <w:t>单个证书格式证书的保护密码。</w:t>
            </w:r>
          </w:p>
        </w:tc>
      </w:tr>
    </w:tbl>
    <w:p w14:paraId="6E233903"/>
    <w:p w14:paraId="584F1D94">
      <w:r>
        <w:rPr>
          <w:rFonts w:hint="eastAsia"/>
        </w:rPr>
        <w:t>点击</w:t>
      </w:r>
      <w:r>
        <w:t>&lt;</w:t>
      </w:r>
      <w:r>
        <w:rPr>
          <w:rFonts w:hint="eastAsia"/>
        </w:rPr>
        <w:t>提交</w:t>
      </w:r>
      <w:r>
        <w:t>&gt;</w:t>
      </w:r>
      <w:r>
        <w:rPr>
          <w:rFonts w:hint="eastAsia"/>
        </w:rPr>
        <w:t>按钮，提交配置后，可以通过如</w:t>
      </w:r>
      <w:r>
        <w:rPr>
          <w:color w:val="0000FF"/>
          <w:u w:val="single"/>
        </w:rPr>
        <w:fldChar w:fldCharType="begin"/>
      </w:r>
      <w:r>
        <w:rPr>
          <w:color w:val="0000FF"/>
          <w:u w:val="single"/>
        </w:rPr>
        <w:instrText xml:space="preserve"> REF _Ref393268117 \r \h </w:instrText>
      </w:r>
      <w:r>
        <w:rPr>
          <w:color w:val="0000FF"/>
          <w:u w:val="single"/>
        </w:rPr>
        <w:fldChar w:fldCharType="separate"/>
      </w:r>
      <w:r>
        <w:rPr>
          <w:rFonts w:hint="eastAsia"/>
          <w:color w:val="0000FF"/>
          <w:u w:val="single"/>
        </w:rPr>
        <w:t>图28-74</w:t>
      </w:r>
      <w:r>
        <w:rPr>
          <w:color w:val="0000FF"/>
          <w:u w:val="single"/>
        </w:rPr>
        <w:fldChar w:fldCharType="end"/>
      </w:r>
      <w:r>
        <w:rPr>
          <w:rFonts w:hint="eastAsia"/>
        </w:rPr>
        <w:t>所示的本地用户证书页面导出、查看、删除导入的用户证书。</w:t>
      </w:r>
    </w:p>
    <w:p w14:paraId="6E2E8969">
      <w:pPr>
        <w:pStyle w:val="188"/>
      </w:pPr>
      <w:bookmarkStart w:id="6945" w:name="_Ref393268117"/>
      <w:bookmarkStart w:id="6946" w:name="_Toc141875002"/>
      <w:r>
        <w:t>本地用户证书概览页面</w:t>
      </w:r>
      <w:bookmarkEnd w:id="6945"/>
      <w:bookmarkEnd w:id="6946"/>
    </w:p>
    <w:p w14:paraId="0A5A6866">
      <w:r>
        <w:drawing>
          <wp:inline distT="0" distB="0" distL="0" distR="0">
            <wp:extent cx="5581650" cy="1202690"/>
            <wp:effectExtent l="0" t="0" r="0" b="0"/>
            <wp:docPr id="2939" name="图片 2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9" name="图片 2939"/>
                    <pic:cNvPicPr>
                      <a:picLocks noChangeAspect="1"/>
                    </pic:cNvPicPr>
                  </pic:nvPicPr>
                  <pic:blipFill>
                    <a:blip r:embed="rId838"/>
                    <a:stretch>
                      <a:fillRect/>
                    </a:stretch>
                  </pic:blipFill>
                  <pic:spPr>
                    <a:xfrm>
                      <a:off x="0" y="0"/>
                      <a:ext cx="5596032" cy="1206407"/>
                    </a:xfrm>
                    <a:prstGeom prst="rect">
                      <a:avLst/>
                    </a:prstGeom>
                  </pic:spPr>
                </pic:pic>
              </a:graphicData>
            </a:graphic>
          </wp:inline>
        </w:drawing>
      </w:r>
    </w:p>
    <w:p w14:paraId="4963D038"/>
    <w:p w14:paraId="1537D2E8">
      <w:r>
        <w:rPr>
          <w:rFonts w:hint="eastAsia"/>
        </w:rPr>
        <w:t>点击</w:t>
      </w:r>
      <w:r>
        <w:t>&lt;</w:t>
      </w:r>
      <w:r>
        <w:rPr>
          <w:rFonts w:hint="eastAsia"/>
        </w:rPr>
        <w:t>删除</w:t>
      </w:r>
      <w:r>
        <w:t>&gt;</w:t>
      </w:r>
      <w:r>
        <w:rPr>
          <w:rFonts w:hint="eastAsia"/>
        </w:rPr>
        <w:t>按钮，可以删除选中的条目。</w:t>
      </w:r>
    </w:p>
    <w:p w14:paraId="19A2CA9A">
      <w:r>
        <w:rPr>
          <w:rFonts w:hint="eastAsia"/>
        </w:rPr>
        <w:t>点击</w:t>
      </w:r>
      <w:r>
        <w:t>&lt;</w:t>
      </w:r>
      <w:r>
        <w:rPr>
          <w:rFonts w:hint="eastAsia"/>
        </w:rPr>
        <w:t>详细信息</w:t>
      </w:r>
      <w:r>
        <w:t>&gt;</w:t>
      </w:r>
      <w:r>
        <w:rPr>
          <w:rFonts w:hint="eastAsia"/>
        </w:rPr>
        <w:t>按钮，可以查看证书的详细信息。如</w:t>
      </w:r>
      <w:r>
        <w:fldChar w:fldCharType="begin"/>
      </w:r>
      <w:r>
        <w:instrText xml:space="preserve"> REF _Ref393268125 \r \h </w:instrText>
      </w:r>
      <w:r>
        <w:fldChar w:fldCharType="separate"/>
      </w:r>
      <w:r>
        <w:rPr>
          <w:rFonts w:hint="eastAsia"/>
        </w:rPr>
        <w:t>图28-75</w:t>
      </w:r>
      <w:r>
        <w:fldChar w:fldCharType="end"/>
      </w:r>
      <w:r>
        <w:rPr>
          <w:rFonts w:hint="eastAsia"/>
        </w:rPr>
        <w:t>所示。</w:t>
      </w:r>
    </w:p>
    <w:p w14:paraId="154331E4">
      <w:pPr>
        <w:pStyle w:val="188"/>
      </w:pPr>
      <w:bookmarkStart w:id="6947" w:name="_Toc141875003"/>
      <w:bookmarkStart w:id="6948" w:name="_Ref393268125"/>
      <w:r>
        <w:t>查看本地用户证书的详细信息</w:t>
      </w:r>
      <w:bookmarkEnd w:id="6947"/>
      <w:bookmarkEnd w:id="6948"/>
    </w:p>
    <w:p w14:paraId="4DDDB74B">
      <w:r>
        <w:drawing>
          <wp:inline distT="0" distB="0" distL="0" distR="0">
            <wp:extent cx="4876800" cy="3745865"/>
            <wp:effectExtent l="0" t="0" r="0" b="6985"/>
            <wp:docPr id="2940" name="图片 2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0" name="图片 2940"/>
                    <pic:cNvPicPr>
                      <a:picLocks noChangeAspect="1"/>
                    </pic:cNvPicPr>
                  </pic:nvPicPr>
                  <pic:blipFill>
                    <a:blip r:embed="rId839"/>
                    <a:stretch>
                      <a:fillRect/>
                    </a:stretch>
                  </pic:blipFill>
                  <pic:spPr>
                    <a:xfrm>
                      <a:off x="0" y="0"/>
                      <a:ext cx="4881876" cy="3750205"/>
                    </a:xfrm>
                    <a:prstGeom prst="rect">
                      <a:avLst/>
                    </a:prstGeom>
                  </pic:spPr>
                </pic:pic>
              </a:graphicData>
            </a:graphic>
          </wp:inline>
        </w:drawing>
      </w:r>
    </w:p>
    <w:p w14:paraId="4DCD8C51"/>
    <w:p w14:paraId="618CD19F">
      <w:r>
        <w:rPr>
          <w:rFonts w:hint="eastAsia"/>
        </w:rPr>
        <w:t>点击</w:t>
      </w:r>
      <w:r>
        <w:t>&lt;</w:t>
      </w:r>
      <w:r>
        <w:rPr>
          <w:rFonts w:hint="eastAsia"/>
        </w:rPr>
        <w:t>导出</w:t>
      </w:r>
      <w:r>
        <w:t>&gt;</w:t>
      </w:r>
      <w:r>
        <w:rPr>
          <w:rFonts w:hint="eastAsia"/>
        </w:rPr>
        <w:t>按钮，可以导出本地用户证书。如</w:t>
      </w:r>
      <w:r>
        <w:fldChar w:fldCharType="begin"/>
      </w:r>
      <w:r>
        <w:instrText xml:space="preserve"> REF _Ref393268132 \r \h </w:instrText>
      </w:r>
      <w:r>
        <w:fldChar w:fldCharType="separate"/>
      </w:r>
      <w:r>
        <w:rPr>
          <w:rFonts w:hint="eastAsia"/>
        </w:rPr>
        <w:t>图28-76</w:t>
      </w:r>
      <w:r>
        <w:fldChar w:fldCharType="end"/>
      </w:r>
      <w:r>
        <w:rPr>
          <w:rFonts w:hint="eastAsia"/>
        </w:rPr>
        <w:t>所示。</w:t>
      </w:r>
    </w:p>
    <w:p w14:paraId="7252A490">
      <w:pPr>
        <w:pStyle w:val="188"/>
      </w:pPr>
      <w:bookmarkStart w:id="6949" w:name="_Toc141875004"/>
      <w:bookmarkStart w:id="6950" w:name="_Ref393268132"/>
      <w:r>
        <w:t>导出本地用户证书页面</w:t>
      </w:r>
      <w:bookmarkEnd w:id="6949"/>
      <w:bookmarkEnd w:id="6950"/>
    </w:p>
    <w:p w14:paraId="6780266A">
      <w:r>
        <w:drawing>
          <wp:inline distT="0" distB="0" distL="0" distR="0">
            <wp:extent cx="5414010" cy="1541780"/>
            <wp:effectExtent l="0" t="0" r="0" b="1270"/>
            <wp:docPr id="2941" name="图片 2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1" name="图片 2941"/>
                    <pic:cNvPicPr>
                      <a:picLocks noChangeAspect="1"/>
                    </pic:cNvPicPr>
                  </pic:nvPicPr>
                  <pic:blipFill>
                    <a:blip r:embed="rId840"/>
                    <a:stretch>
                      <a:fillRect/>
                    </a:stretch>
                  </pic:blipFill>
                  <pic:spPr>
                    <a:xfrm>
                      <a:off x="0" y="0"/>
                      <a:ext cx="5424975" cy="1544860"/>
                    </a:xfrm>
                    <a:prstGeom prst="rect">
                      <a:avLst/>
                    </a:prstGeom>
                  </pic:spPr>
                </pic:pic>
              </a:graphicData>
            </a:graphic>
          </wp:inline>
        </w:drawing>
      </w:r>
    </w:p>
    <w:p w14:paraId="3A4EA552"/>
    <w:p w14:paraId="76291B72">
      <w:r>
        <w:rPr>
          <w:rFonts w:hint="eastAsia"/>
        </w:rPr>
        <w:t>可以选择导出</w:t>
      </w:r>
      <w:r>
        <w:t>PKCS12</w:t>
      </w:r>
      <w:r>
        <w:rPr>
          <w:rFonts w:hint="eastAsia"/>
        </w:rPr>
        <w:t>格式的单个证书文件，或者</w:t>
      </w:r>
      <w:r>
        <w:t>PEM</w:t>
      </w:r>
      <w:r>
        <w:rPr>
          <w:rFonts w:hint="eastAsia"/>
        </w:rPr>
        <w:t>格式的证书密钥分离文件。</w:t>
      </w:r>
    </w:p>
    <w:p w14:paraId="220ECA65">
      <w:pPr>
        <w:pStyle w:val="5"/>
      </w:pPr>
      <w:bookmarkStart w:id="6951" w:name="_Toc15485154"/>
      <w:bookmarkStart w:id="6952" w:name="_Toc12367551"/>
      <w:bookmarkStart w:id="6953" w:name="_Toc23152918"/>
      <w:bookmarkStart w:id="6954" w:name="_Toc141873620"/>
      <w:bookmarkStart w:id="6955" w:name="_Ref141815108"/>
      <w:bookmarkStart w:id="6956" w:name="_Toc99561737"/>
      <w:bookmarkStart w:id="6957" w:name="_Toc194081097"/>
      <w:bookmarkStart w:id="6958" w:name="_Toc196728429"/>
      <w:bookmarkStart w:id="6959" w:name="_Toc40276339"/>
      <w:bookmarkStart w:id="6960" w:name="_Toc142401137"/>
      <w:bookmarkStart w:id="6961" w:name="_Toc172218398"/>
      <w:r>
        <w:rPr>
          <w:rFonts w:hint="eastAsia"/>
        </w:rPr>
        <w:t>本地CA证书</w:t>
      </w:r>
      <w:bookmarkEnd w:id="6951"/>
      <w:bookmarkEnd w:id="6952"/>
      <w:bookmarkEnd w:id="6953"/>
      <w:bookmarkEnd w:id="6954"/>
      <w:bookmarkEnd w:id="6955"/>
      <w:bookmarkEnd w:id="6956"/>
      <w:bookmarkEnd w:id="6957"/>
      <w:bookmarkEnd w:id="6958"/>
      <w:bookmarkEnd w:id="6959"/>
      <w:bookmarkEnd w:id="6960"/>
      <w:bookmarkEnd w:id="6961"/>
    </w:p>
    <w:p w14:paraId="2C774069">
      <w:r>
        <w:rPr>
          <w:rFonts w:hint="eastAsia"/>
        </w:rPr>
        <w:t xml:space="preserve">通过菜单“策略配置 </w:t>
      </w:r>
      <w:r>
        <w:t xml:space="preserve">&gt; </w:t>
      </w:r>
      <w:r>
        <w:rPr>
          <w:rFonts w:hint="eastAsia"/>
        </w:rPr>
        <w:t xml:space="preserve">对象管理 </w:t>
      </w:r>
      <w:r>
        <w:t xml:space="preserve">&gt; </w:t>
      </w:r>
      <w:r>
        <w:rPr>
          <w:rFonts w:hint="eastAsia"/>
        </w:rPr>
        <w:t>本地证书</w:t>
      </w:r>
      <w:r>
        <w:t xml:space="preserve"> &gt; </w:t>
      </w:r>
      <w:r>
        <w:rPr>
          <w:rFonts w:hint="eastAsia"/>
        </w:rPr>
        <w:t xml:space="preserve">证书 </w:t>
      </w:r>
      <w:r>
        <w:t>&gt; CA</w:t>
      </w:r>
      <w:r>
        <w:rPr>
          <w:rFonts w:hint="eastAsia"/>
        </w:rPr>
        <w:t>”，进入如</w:t>
      </w:r>
      <w:r>
        <w:rPr>
          <w:color w:val="0000FF"/>
          <w:u w:val="single"/>
        </w:rPr>
        <w:fldChar w:fldCharType="begin"/>
      </w:r>
      <w:r>
        <w:rPr>
          <w:color w:val="0000FF"/>
          <w:u w:val="single"/>
        </w:rPr>
        <w:instrText xml:space="preserve"> REF _Ref393268685 \r \h </w:instrText>
      </w:r>
      <w:r>
        <w:rPr>
          <w:color w:val="0000FF"/>
          <w:u w:val="single"/>
        </w:rPr>
        <w:fldChar w:fldCharType="separate"/>
      </w:r>
      <w:r>
        <w:rPr>
          <w:rFonts w:hint="eastAsia"/>
          <w:color w:val="0000FF"/>
          <w:u w:val="single"/>
        </w:rPr>
        <w:t>图28-77</w:t>
      </w:r>
      <w:r>
        <w:rPr>
          <w:color w:val="0000FF"/>
          <w:u w:val="single"/>
        </w:rPr>
        <w:fldChar w:fldCharType="end"/>
      </w:r>
      <w:r>
        <w:rPr>
          <w:rFonts w:hint="eastAsia"/>
        </w:rPr>
        <w:t>所示页面。在该页面上，可以导入、导出、删除、查看本地</w:t>
      </w:r>
      <w:r>
        <w:t>CA</w:t>
      </w:r>
      <w:r>
        <w:rPr>
          <w:rFonts w:hint="eastAsia"/>
        </w:rPr>
        <w:t>证书。</w:t>
      </w:r>
    </w:p>
    <w:p w14:paraId="75EECD10">
      <w:pPr>
        <w:pStyle w:val="188"/>
      </w:pPr>
      <w:bookmarkStart w:id="6962" w:name="_Ref393268685"/>
      <w:bookmarkStart w:id="6963" w:name="_Toc141875005"/>
      <w:r>
        <w:t>本地</w:t>
      </w:r>
      <w:r>
        <w:rPr>
          <w:rFonts w:hint="eastAsia"/>
        </w:rPr>
        <w:t>CA</w:t>
      </w:r>
      <w:r>
        <w:t>证书页面</w:t>
      </w:r>
      <w:bookmarkEnd w:id="6962"/>
      <w:bookmarkEnd w:id="6963"/>
    </w:p>
    <w:p w14:paraId="653DE59B">
      <w:r>
        <w:drawing>
          <wp:inline distT="0" distB="0" distL="0" distR="0">
            <wp:extent cx="5391150" cy="803275"/>
            <wp:effectExtent l="0" t="0" r="0" b="0"/>
            <wp:docPr id="2942" name="图片 2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2" name="图片 2942"/>
                    <pic:cNvPicPr>
                      <a:picLocks noChangeAspect="1"/>
                    </pic:cNvPicPr>
                  </pic:nvPicPr>
                  <pic:blipFill>
                    <a:blip r:embed="rId841"/>
                    <a:stretch>
                      <a:fillRect/>
                    </a:stretch>
                  </pic:blipFill>
                  <pic:spPr>
                    <a:xfrm>
                      <a:off x="0" y="0"/>
                      <a:ext cx="5511614" cy="821682"/>
                    </a:xfrm>
                    <a:prstGeom prst="rect">
                      <a:avLst/>
                    </a:prstGeom>
                  </pic:spPr>
                </pic:pic>
              </a:graphicData>
            </a:graphic>
          </wp:inline>
        </w:drawing>
      </w:r>
    </w:p>
    <w:p w14:paraId="129E62D3"/>
    <w:p w14:paraId="6141E143">
      <w:r>
        <w:rPr>
          <w:rFonts w:hint="eastAsia"/>
        </w:rPr>
        <w:t>点击</w:t>
      </w:r>
      <w:r>
        <w:t>&lt;</w:t>
      </w:r>
      <w:r>
        <w:rPr>
          <w:rFonts w:hint="eastAsia"/>
        </w:rPr>
        <w:t>导入</w:t>
      </w:r>
      <w:r>
        <w:t>&gt;</w:t>
      </w:r>
      <w:r>
        <w:rPr>
          <w:rFonts w:hint="eastAsia"/>
        </w:rPr>
        <w:t>按钮，导入本地</w:t>
      </w:r>
      <w:r>
        <w:t>CA</w:t>
      </w:r>
      <w:r>
        <w:rPr>
          <w:rFonts w:hint="eastAsia"/>
        </w:rPr>
        <w:t>证书，如</w:t>
      </w:r>
      <w:r>
        <w:fldChar w:fldCharType="begin"/>
      </w:r>
      <w:r>
        <w:instrText xml:space="preserve"> REF _Ref393268692 \r \h </w:instrText>
      </w:r>
      <w:r>
        <w:fldChar w:fldCharType="separate"/>
      </w:r>
      <w:r>
        <w:rPr>
          <w:rFonts w:hint="eastAsia"/>
        </w:rPr>
        <w:t>图28-78</w:t>
      </w:r>
      <w:r>
        <w:fldChar w:fldCharType="end"/>
      </w:r>
      <w:r>
        <w:rPr>
          <w:rFonts w:hint="eastAsia"/>
        </w:rPr>
        <w:t>所示。各个配置项的含义如</w:t>
      </w:r>
      <w:r>
        <w:fldChar w:fldCharType="begin"/>
      </w:r>
      <w:r>
        <w:instrText xml:space="preserve"> REF _Ref393268698 \r \h </w:instrText>
      </w:r>
      <w:r>
        <w:fldChar w:fldCharType="separate"/>
      </w:r>
      <w:r>
        <w:rPr>
          <w:rFonts w:hint="eastAsia"/>
        </w:rPr>
        <w:t>表28-1</w:t>
      </w:r>
      <w:r>
        <w:fldChar w:fldCharType="end"/>
      </w:r>
      <w:r>
        <w:rPr>
          <w:rFonts w:hint="eastAsia"/>
        </w:rPr>
        <w:t>所示。</w:t>
      </w:r>
    </w:p>
    <w:p w14:paraId="376BB26A">
      <w:pPr>
        <w:pStyle w:val="188"/>
      </w:pPr>
      <w:bookmarkStart w:id="6964" w:name="_Toc141875006"/>
      <w:bookmarkStart w:id="6965" w:name="_Ref393268692"/>
      <w:r>
        <w:t>导入本地</w:t>
      </w:r>
      <w:r>
        <w:rPr>
          <w:rFonts w:hint="eastAsia"/>
        </w:rPr>
        <w:t>CA</w:t>
      </w:r>
      <w:r>
        <w:t>证书</w:t>
      </w:r>
      <w:bookmarkEnd w:id="6964"/>
      <w:bookmarkEnd w:id="6965"/>
    </w:p>
    <w:p w14:paraId="39A855A3">
      <w:r>
        <w:drawing>
          <wp:inline distT="0" distB="0" distL="0" distR="0">
            <wp:extent cx="5520690" cy="1612265"/>
            <wp:effectExtent l="0" t="0" r="3810" b="6985"/>
            <wp:docPr id="2943" name="图片 2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3" name="图片 2943"/>
                    <pic:cNvPicPr>
                      <a:picLocks noChangeAspect="1"/>
                    </pic:cNvPicPr>
                  </pic:nvPicPr>
                  <pic:blipFill>
                    <a:blip r:embed="rId842"/>
                    <a:stretch>
                      <a:fillRect/>
                    </a:stretch>
                  </pic:blipFill>
                  <pic:spPr>
                    <a:xfrm>
                      <a:off x="0" y="0"/>
                      <a:ext cx="5532038" cy="1615591"/>
                    </a:xfrm>
                    <a:prstGeom prst="rect">
                      <a:avLst/>
                    </a:prstGeom>
                  </pic:spPr>
                </pic:pic>
              </a:graphicData>
            </a:graphic>
          </wp:inline>
        </w:drawing>
      </w:r>
    </w:p>
    <w:p w14:paraId="09EA32D9"/>
    <w:p w14:paraId="78AD6022">
      <w:pPr>
        <w:pStyle w:val="183"/>
      </w:pPr>
      <w:bookmarkStart w:id="6966" w:name="_Toc141875647"/>
      <w:bookmarkStart w:id="6967" w:name="_Ref393268698"/>
      <w:r>
        <w:t>导入证书各个配置项含义描述表</w:t>
      </w:r>
      <w:bookmarkEnd w:id="6966"/>
      <w:bookmarkEnd w:id="6967"/>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43"/>
        <w:gridCol w:w="6671"/>
      </w:tblGrid>
      <w:tr w14:paraId="01D8A9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tcBorders>
              <w:tl2br w:val="nil"/>
              <w:tr2bl w:val="nil"/>
            </w:tcBorders>
            <w:shd w:val="clear" w:color="auto" w:fill="538135" w:themeFill="accent6" w:themeFillShade="BF"/>
            <w:vAlign w:val="center"/>
          </w:tcPr>
          <w:p w14:paraId="2E4DE61F">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84" w:type="dxa"/>
            <w:tcBorders>
              <w:tl2br w:val="nil"/>
              <w:tr2bl w:val="nil"/>
            </w:tcBorders>
            <w:shd w:val="clear" w:color="auto" w:fill="538135" w:themeFill="accent6" w:themeFillShade="BF"/>
            <w:vAlign w:val="center"/>
          </w:tcPr>
          <w:p w14:paraId="7D821125">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70F3FB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6FDD5E62">
            <w:pPr>
              <w:pStyle w:val="150"/>
            </w:pPr>
            <w:r>
              <w:t>上传文件</w:t>
            </w:r>
          </w:p>
        </w:tc>
        <w:tc>
          <w:tcPr>
            <w:tcW w:w="6684" w:type="dxa"/>
            <w:shd w:val="clear" w:color="auto" w:fill="auto"/>
          </w:tcPr>
          <w:p w14:paraId="1A7AB810">
            <w:pPr>
              <w:pStyle w:val="150"/>
            </w:pPr>
            <w:r>
              <w:t>上传的</w:t>
            </w:r>
            <w:r>
              <w:rPr>
                <w:rFonts w:hint="eastAsia"/>
              </w:rPr>
              <w:t>CA证书文件，支持.cer、.pem格式的证书文件。</w:t>
            </w:r>
          </w:p>
        </w:tc>
      </w:tr>
    </w:tbl>
    <w:p w14:paraId="5B14A330"/>
    <w:p w14:paraId="41C55E73">
      <w:r>
        <w:rPr>
          <w:rFonts w:hint="eastAsia"/>
        </w:rPr>
        <w:t>点击</w:t>
      </w:r>
      <w:r>
        <w:t>&lt;</w:t>
      </w:r>
      <w:r>
        <w:rPr>
          <w:rFonts w:hint="eastAsia"/>
        </w:rPr>
        <w:t>提交</w:t>
      </w:r>
      <w:r>
        <w:t>&gt;</w:t>
      </w:r>
      <w:r>
        <w:rPr>
          <w:rFonts w:hint="eastAsia"/>
        </w:rPr>
        <w:t>按钮，提交配置后，可以通过如</w:t>
      </w:r>
      <w:r>
        <w:rPr>
          <w:color w:val="0000FF"/>
          <w:u w:val="single"/>
        </w:rPr>
        <w:fldChar w:fldCharType="begin"/>
      </w:r>
      <w:r>
        <w:rPr>
          <w:color w:val="0000FF"/>
          <w:u w:val="single"/>
        </w:rPr>
        <w:instrText xml:space="preserve"> REF _Ref393268706 \r \h </w:instrText>
      </w:r>
      <w:r>
        <w:rPr>
          <w:color w:val="0000FF"/>
          <w:u w:val="single"/>
        </w:rPr>
        <w:fldChar w:fldCharType="separate"/>
      </w:r>
      <w:r>
        <w:rPr>
          <w:rFonts w:hint="eastAsia"/>
          <w:color w:val="0000FF"/>
          <w:u w:val="single"/>
        </w:rPr>
        <w:t>图28-79</w:t>
      </w:r>
      <w:r>
        <w:rPr>
          <w:color w:val="0000FF"/>
          <w:u w:val="single"/>
        </w:rPr>
        <w:fldChar w:fldCharType="end"/>
      </w:r>
      <w:r>
        <w:rPr>
          <w:rFonts w:hint="eastAsia"/>
        </w:rPr>
        <w:t>所示的本地</w:t>
      </w:r>
      <w:r>
        <w:t>CA</w:t>
      </w:r>
      <w:r>
        <w:rPr>
          <w:rFonts w:hint="eastAsia"/>
        </w:rPr>
        <w:t>证书页面导出、查看、删除导入的</w:t>
      </w:r>
      <w:r>
        <w:t>CA</w:t>
      </w:r>
      <w:r>
        <w:rPr>
          <w:rFonts w:hint="eastAsia"/>
        </w:rPr>
        <w:t>证书。</w:t>
      </w:r>
    </w:p>
    <w:p w14:paraId="4BC53ED6">
      <w:pPr>
        <w:pStyle w:val="188"/>
      </w:pPr>
      <w:bookmarkStart w:id="6968" w:name="_Ref393268706"/>
      <w:bookmarkStart w:id="6969" w:name="_Toc141875007"/>
      <w:r>
        <w:t>本地</w:t>
      </w:r>
      <w:r>
        <w:rPr>
          <w:rFonts w:hint="eastAsia"/>
        </w:rPr>
        <w:t>CA</w:t>
      </w:r>
      <w:r>
        <w:t>证书概览页面</w:t>
      </w:r>
      <w:bookmarkEnd w:id="6968"/>
      <w:bookmarkEnd w:id="6969"/>
    </w:p>
    <w:p w14:paraId="69088882">
      <w:r>
        <w:drawing>
          <wp:inline distT="0" distB="0" distL="0" distR="0">
            <wp:extent cx="5648325" cy="1104900"/>
            <wp:effectExtent l="0" t="0" r="0" b="0"/>
            <wp:docPr id="2949" name="图片 2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9" name="图片 2949"/>
                    <pic:cNvPicPr>
                      <a:picLocks noChangeAspect="1"/>
                    </pic:cNvPicPr>
                  </pic:nvPicPr>
                  <pic:blipFill>
                    <a:blip r:embed="rId843"/>
                    <a:stretch>
                      <a:fillRect/>
                    </a:stretch>
                  </pic:blipFill>
                  <pic:spPr>
                    <a:xfrm>
                      <a:off x="0" y="0"/>
                      <a:ext cx="5677530" cy="1110885"/>
                    </a:xfrm>
                    <a:prstGeom prst="rect">
                      <a:avLst/>
                    </a:prstGeom>
                  </pic:spPr>
                </pic:pic>
              </a:graphicData>
            </a:graphic>
          </wp:inline>
        </w:drawing>
      </w:r>
    </w:p>
    <w:p w14:paraId="0769CB3B"/>
    <w:p w14:paraId="00A64E69">
      <w:r>
        <w:rPr>
          <w:rFonts w:hint="eastAsia"/>
        </w:rPr>
        <w:t>点击</w:t>
      </w:r>
      <w:r>
        <w:t>&lt;</w:t>
      </w:r>
      <w:r>
        <w:rPr>
          <w:rFonts w:hint="eastAsia"/>
        </w:rPr>
        <w:t>删除</w:t>
      </w:r>
      <w:r>
        <w:t>&gt;</w:t>
      </w:r>
      <w:r>
        <w:rPr>
          <w:rFonts w:hint="eastAsia"/>
        </w:rPr>
        <w:t>按钮，可以删除选中的条目。</w:t>
      </w:r>
    </w:p>
    <w:p w14:paraId="071AB990">
      <w:r>
        <w:rPr>
          <w:rFonts w:hint="eastAsia"/>
        </w:rPr>
        <w:t>点击</w:t>
      </w:r>
      <w:r>
        <w:t>&lt;</w:t>
      </w:r>
      <w:r>
        <w:rPr>
          <w:rFonts w:hint="eastAsia"/>
        </w:rPr>
        <w:t>详细信息</w:t>
      </w:r>
      <w:r>
        <w:t>&gt;</w:t>
      </w:r>
      <w:r>
        <w:rPr>
          <w:rFonts w:hint="eastAsia"/>
        </w:rPr>
        <w:t>按钮，可以查看证书的详细信息。如</w:t>
      </w:r>
      <w:r>
        <w:fldChar w:fldCharType="begin"/>
      </w:r>
      <w:r>
        <w:instrText xml:space="preserve"> REF _Ref393268714 \r \h </w:instrText>
      </w:r>
      <w:r>
        <w:fldChar w:fldCharType="separate"/>
      </w:r>
      <w:r>
        <w:rPr>
          <w:rFonts w:hint="eastAsia"/>
        </w:rPr>
        <w:t>图28-80</w:t>
      </w:r>
      <w:r>
        <w:fldChar w:fldCharType="end"/>
      </w:r>
      <w:r>
        <w:rPr>
          <w:rFonts w:hint="eastAsia"/>
        </w:rPr>
        <w:t>所示。</w:t>
      </w:r>
    </w:p>
    <w:p w14:paraId="274D6B42">
      <w:pPr>
        <w:pStyle w:val="188"/>
      </w:pPr>
      <w:bookmarkStart w:id="6970" w:name="_Ref393268714"/>
      <w:bookmarkStart w:id="6971" w:name="_Toc141875008"/>
      <w:r>
        <w:t>查看本地</w:t>
      </w:r>
      <w:r>
        <w:rPr>
          <w:rFonts w:hint="eastAsia"/>
        </w:rPr>
        <w:t>CA</w:t>
      </w:r>
      <w:r>
        <w:t>证书的详细信息</w:t>
      </w:r>
      <w:bookmarkEnd w:id="6970"/>
      <w:bookmarkEnd w:id="6971"/>
    </w:p>
    <w:p w14:paraId="60188CD1">
      <w:r>
        <w:drawing>
          <wp:inline distT="0" distB="0" distL="0" distR="0">
            <wp:extent cx="5124450" cy="3908425"/>
            <wp:effectExtent l="0" t="0" r="0" b="0"/>
            <wp:docPr id="2950" name="图片 2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0" name="图片 2950"/>
                    <pic:cNvPicPr>
                      <a:picLocks noChangeAspect="1"/>
                    </pic:cNvPicPr>
                  </pic:nvPicPr>
                  <pic:blipFill>
                    <a:blip r:embed="rId844"/>
                    <a:stretch>
                      <a:fillRect/>
                    </a:stretch>
                  </pic:blipFill>
                  <pic:spPr>
                    <a:xfrm>
                      <a:off x="0" y="0"/>
                      <a:ext cx="5127677" cy="3910939"/>
                    </a:xfrm>
                    <a:prstGeom prst="rect">
                      <a:avLst/>
                    </a:prstGeom>
                  </pic:spPr>
                </pic:pic>
              </a:graphicData>
            </a:graphic>
          </wp:inline>
        </w:drawing>
      </w:r>
    </w:p>
    <w:p w14:paraId="28DF1B36"/>
    <w:p w14:paraId="1223AA5B">
      <w:r>
        <w:rPr>
          <w:rFonts w:hint="eastAsia"/>
        </w:rPr>
        <w:t>点击</w:t>
      </w:r>
      <w:r>
        <w:t>&lt;</w:t>
      </w:r>
      <w:r>
        <w:rPr>
          <w:rFonts w:hint="eastAsia"/>
        </w:rPr>
        <w:t>导出</w:t>
      </w:r>
      <w:r>
        <w:t>&gt;</w:t>
      </w:r>
      <w:r>
        <w:rPr>
          <w:rFonts w:hint="eastAsia"/>
        </w:rPr>
        <w:t>按钮，可以导出本地</w:t>
      </w:r>
      <w:r>
        <w:t>CA</w:t>
      </w:r>
      <w:r>
        <w:rPr>
          <w:rFonts w:hint="eastAsia"/>
        </w:rPr>
        <w:t>证书。</w:t>
      </w:r>
    </w:p>
    <w:p w14:paraId="7D4B2053">
      <w:pPr>
        <w:pStyle w:val="5"/>
      </w:pPr>
      <w:bookmarkStart w:id="6972" w:name="_Toc40276340"/>
      <w:bookmarkStart w:id="6973" w:name="_Toc99561738"/>
      <w:bookmarkStart w:id="6974" w:name="_Toc141873621"/>
      <w:bookmarkStart w:id="6975" w:name="_Toc172218399"/>
      <w:bookmarkStart w:id="6976" w:name="_Toc196728430"/>
      <w:bookmarkStart w:id="6977" w:name="_Toc194081098"/>
      <w:bookmarkStart w:id="6978" w:name="_Toc15485155"/>
      <w:bookmarkStart w:id="6979" w:name="_Toc142401138"/>
      <w:bookmarkStart w:id="6980" w:name="_Toc12367552"/>
      <w:bookmarkStart w:id="6981" w:name="_Toc23152919"/>
      <w:r>
        <w:rPr>
          <w:rFonts w:hint="eastAsia"/>
        </w:rPr>
        <w:t>本地CRL</w:t>
      </w:r>
      <w:bookmarkEnd w:id="6972"/>
      <w:bookmarkEnd w:id="6973"/>
      <w:bookmarkEnd w:id="6974"/>
      <w:bookmarkEnd w:id="6975"/>
      <w:bookmarkEnd w:id="6976"/>
      <w:bookmarkEnd w:id="6977"/>
      <w:bookmarkEnd w:id="6978"/>
      <w:bookmarkEnd w:id="6979"/>
      <w:bookmarkEnd w:id="6980"/>
      <w:bookmarkEnd w:id="6981"/>
    </w:p>
    <w:p w14:paraId="462403FE">
      <w:r>
        <w:rPr>
          <w:rFonts w:hint="eastAsia"/>
        </w:rPr>
        <w:t xml:space="preserve">通过菜单“策略配置 </w:t>
      </w:r>
      <w:r>
        <w:t xml:space="preserve">&gt; </w:t>
      </w:r>
      <w:r>
        <w:rPr>
          <w:rFonts w:hint="eastAsia"/>
        </w:rPr>
        <w:t xml:space="preserve">对象管理 </w:t>
      </w:r>
      <w:r>
        <w:t xml:space="preserve">&gt; </w:t>
      </w:r>
      <w:r>
        <w:rPr>
          <w:rFonts w:hint="eastAsia"/>
        </w:rPr>
        <w:t>本地证书</w:t>
      </w:r>
      <w:r>
        <w:t xml:space="preserve"> &gt; </w:t>
      </w:r>
      <w:r>
        <w:rPr>
          <w:rFonts w:hint="eastAsia"/>
        </w:rPr>
        <w:t xml:space="preserve">证书 </w:t>
      </w:r>
      <w:r>
        <w:t>&gt; CRL</w:t>
      </w:r>
      <w:r>
        <w:rPr>
          <w:rFonts w:hint="eastAsia"/>
        </w:rPr>
        <w:t>”，进入如</w:t>
      </w:r>
      <w:r>
        <w:rPr>
          <w:color w:val="0000FF"/>
          <w:u w:val="single"/>
        </w:rPr>
        <w:fldChar w:fldCharType="begin"/>
      </w:r>
      <w:r>
        <w:rPr>
          <w:color w:val="0000FF"/>
          <w:u w:val="single"/>
        </w:rPr>
        <w:instrText xml:space="preserve"> REF _Ref393269550 \r \h </w:instrText>
      </w:r>
      <w:r>
        <w:rPr>
          <w:color w:val="0000FF"/>
          <w:u w:val="single"/>
        </w:rPr>
        <w:fldChar w:fldCharType="separate"/>
      </w:r>
      <w:r>
        <w:rPr>
          <w:rFonts w:hint="eastAsia"/>
          <w:color w:val="0000FF"/>
          <w:u w:val="single"/>
        </w:rPr>
        <w:t>图28-81</w:t>
      </w:r>
      <w:r>
        <w:rPr>
          <w:color w:val="0000FF"/>
          <w:u w:val="single"/>
        </w:rPr>
        <w:fldChar w:fldCharType="end"/>
      </w:r>
      <w:r>
        <w:rPr>
          <w:rFonts w:hint="eastAsia"/>
        </w:rPr>
        <w:t>所示页面。在该页面上，可以导入、导出、删除、查看本地</w:t>
      </w:r>
      <w:r>
        <w:t>CRL</w:t>
      </w:r>
      <w:r>
        <w:rPr>
          <w:rFonts w:hint="eastAsia"/>
        </w:rPr>
        <w:t>文件。</w:t>
      </w:r>
    </w:p>
    <w:p w14:paraId="6EB9FA37">
      <w:pPr>
        <w:pStyle w:val="188"/>
      </w:pPr>
      <w:bookmarkStart w:id="6982" w:name="_Ref393269550"/>
      <w:bookmarkStart w:id="6983" w:name="_Toc141875009"/>
      <w:r>
        <w:t>本地</w:t>
      </w:r>
      <w:r>
        <w:rPr>
          <w:rFonts w:hint="eastAsia"/>
        </w:rPr>
        <w:t>CRL文件</w:t>
      </w:r>
      <w:r>
        <w:t>页面</w:t>
      </w:r>
      <w:bookmarkEnd w:id="6982"/>
      <w:bookmarkEnd w:id="6983"/>
    </w:p>
    <w:p w14:paraId="6FC1131A">
      <w:r>
        <w:drawing>
          <wp:inline distT="0" distB="0" distL="0" distR="0">
            <wp:extent cx="5419725" cy="805180"/>
            <wp:effectExtent l="0" t="0" r="0" b="0"/>
            <wp:docPr id="2951" name="图片 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1" name="图片 2951"/>
                    <pic:cNvPicPr>
                      <a:picLocks noChangeAspect="1"/>
                    </pic:cNvPicPr>
                  </pic:nvPicPr>
                  <pic:blipFill>
                    <a:blip r:embed="rId845"/>
                    <a:stretch>
                      <a:fillRect/>
                    </a:stretch>
                  </pic:blipFill>
                  <pic:spPr>
                    <a:xfrm>
                      <a:off x="0" y="0"/>
                      <a:ext cx="5566442" cy="827546"/>
                    </a:xfrm>
                    <a:prstGeom prst="rect">
                      <a:avLst/>
                    </a:prstGeom>
                  </pic:spPr>
                </pic:pic>
              </a:graphicData>
            </a:graphic>
          </wp:inline>
        </w:drawing>
      </w:r>
    </w:p>
    <w:p w14:paraId="5D06C7DA"/>
    <w:p w14:paraId="682DD654">
      <w:r>
        <w:rPr>
          <w:rFonts w:hint="eastAsia"/>
        </w:rPr>
        <w:t>点击</w:t>
      </w:r>
      <w:r>
        <w:t>&lt;</w:t>
      </w:r>
      <w:r>
        <w:rPr>
          <w:rFonts w:hint="eastAsia"/>
        </w:rPr>
        <w:t>导入</w:t>
      </w:r>
      <w:r>
        <w:t>&gt;</w:t>
      </w:r>
      <w:r>
        <w:rPr>
          <w:rFonts w:hint="eastAsia"/>
        </w:rPr>
        <w:t>按钮，导入</w:t>
      </w:r>
      <w:r>
        <w:t>CRL</w:t>
      </w:r>
      <w:r>
        <w:rPr>
          <w:rFonts w:hint="eastAsia"/>
        </w:rPr>
        <w:t>文件，如</w:t>
      </w:r>
      <w:r>
        <w:fldChar w:fldCharType="begin"/>
      </w:r>
      <w:r>
        <w:instrText xml:space="preserve"> REF _Ref393269560 \r \h </w:instrText>
      </w:r>
      <w:r>
        <w:fldChar w:fldCharType="separate"/>
      </w:r>
      <w:r>
        <w:rPr>
          <w:rFonts w:hint="eastAsia"/>
        </w:rPr>
        <w:t>图28-82</w:t>
      </w:r>
      <w:r>
        <w:fldChar w:fldCharType="end"/>
      </w:r>
      <w:r>
        <w:rPr>
          <w:rFonts w:hint="eastAsia"/>
        </w:rPr>
        <w:t>所示。各个配置项的含义如</w:t>
      </w:r>
      <w:r>
        <w:fldChar w:fldCharType="begin"/>
      </w:r>
      <w:r>
        <w:instrText xml:space="preserve"> REF _Ref393269565 \r \h </w:instrText>
      </w:r>
      <w:r>
        <w:fldChar w:fldCharType="separate"/>
      </w:r>
      <w:r>
        <w:rPr>
          <w:rFonts w:hint="eastAsia"/>
        </w:rPr>
        <w:t>表28-1</w:t>
      </w:r>
      <w:r>
        <w:fldChar w:fldCharType="end"/>
      </w:r>
      <w:r>
        <w:rPr>
          <w:rFonts w:hint="eastAsia"/>
        </w:rPr>
        <w:t>所示。</w:t>
      </w:r>
    </w:p>
    <w:p w14:paraId="41843014">
      <w:pPr>
        <w:pStyle w:val="188"/>
      </w:pPr>
      <w:bookmarkStart w:id="6984" w:name="_Toc141875010"/>
      <w:bookmarkStart w:id="6985" w:name="_Ref393269560"/>
      <w:r>
        <w:t>导入</w:t>
      </w:r>
      <w:r>
        <w:rPr>
          <w:rFonts w:hint="eastAsia"/>
        </w:rPr>
        <w:t>CRL文件</w:t>
      </w:r>
      <w:bookmarkEnd w:id="6984"/>
      <w:bookmarkEnd w:id="6985"/>
    </w:p>
    <w:p w14:paraId="073547C2">
      <w:r>
        <w:drawing>
          <wp:inline distT="0" distB="0" distL="0" distR="0">
            <wp:extent cx="5600700" cy="1804670"/>
            <wp:effectExtent l="0" t="0" r="0" b="5080"/>
            <wp:docPr id="2952" name="图片 2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2" name="图片 2952"/>
                    <pic:cNvPicPr>
                      <a:picLocks noChangeAspect="1"/>
                    </pic:cNvPicPr>
                  </pic:nvPicPr>
                  <pic:blipFill>
                    <a:blip r:embed="rId846"/>
                    <a:stretch>
                      <a:fillRect/>
                    </a:stretch>
                  </pic:blipFill>
                  <pic:spPr>
                    <a:xfrm>
                      <a:off x="0" y="0"/>
                      <a:ext cx="5629178" cy="1813741"/>
                    </a:xfrm>
                    <a:prstGeom prst="rect">
                      <a:avLst/>
                    </a:prstGeom>
                  </pic:spPr>
                </pic:pic>
              </a:graphicData>
            </a:graphic>
          </wp:inline>
        </w:drawing>
      </w:r>
    </w:p>
    <w:p w14:paraId="220EA4CF"/>
    <w:p w14:paraId="26D5700B">
      <w:pPr>
        <w:pStyle w:val="183"/>
      </w:pPr>
      <w:bookmarkStart w:id="6986" w:name="_Ref393269565"/>
      <w:bookmarkStart w:id="6987" w:name="_Toc141875648"/>
      <w:r>
        <w:t>导入</w:t>
      </w:r>
      <w:r>
        <w:rPr>
          <w:rFonts w:hint="eastAsia"/>
        </w:rPr>
        <w:t>CRL</w:t>
      </w:r>
      <w:r>
        <w:t>各个配置项含义描述表</w:t>
      </w:r>
      <w:bookmarkEnd w:id="6986"/>
      <w:bookmarkEnd w:id="6987"/>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44"/>
        <w:gridCol w:w="6670"/>
      </w:tblGrid>
      <w:tr w14:paraId="1F89C2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tcBorders>
              <w:tl2br w:val="nil"/>
              <w:tr2bl w:val="nil"/>
            </w:tcBorders>
            <w:shd w:val="clear" w:color="auto" w:fill="538135" w:themeFill="accent6" w:themeFillShade="BF"/>
            <w:vAlign w:val="center"/>
          </w:tcPr>
          <w:p w14:paraId="65381D7A">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84" w:type="dxa"/>
            <w:tcBorders>
              <w:tl2br w:val="nil"/>
              <w:tr2bl w:val="nil"/>
            </w:tcBorders>
            <w:shd w:val="clear" w:color="auto" w:fill="538135" w:themeFill="accent6" w:themeFillShade="BF"/>
            <w:vAlign w:val="center"/>
          </w:tcPr>
          <w:p w14:paraId="34CFB61A">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5175E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02FE991B">
            <w:pPr>
              <w:pStyle w:val="150"/>
            </w:pPr>
            <w:r>
              <w:t>上传文件</w:t>
            </w:r>
          </w:p>
        </w:tc>
        <w:tc>
          <w:tcPr>
            <w:tcW w:w="6684" w:type="dxa"/>
            <w:shd w:val="clear" w:color="auto" w:fill="auto"/>
          </w:tcPr>
          <w:p w14:paraId="7C445900">
            <w:pPr>
              <w:pStyle w:val="150"/>
            </w:pPr>
            <w:r>
              <w:t>上传的</w:t>
            </w:r>
            <w:r>
              <w:rPr>
                <w:rFonts w:hint="eastAsia"/>
              </w:rPr>
              <w:t>CRL文件，支持.crl格式的文件。</w:t>
            </w:r>
          </w:p>
        </w:tc>
      </w:tr>
    </w:tbl>
    <w:p w14:paraId="4C7FC54E"/>
    <w:p w14:paraId="5CC11E19">
      <w:r>
        <w:rPr>
          <w:rFonts w:hint="eastAsia"/>
        </w:rPr>
        <w:t>点击</w:t>
      </w:r>
      <w:r>
        <w:t>&lt;</w:t>
      </w:r>
      <w:r>
        <w:rPr>
          <w:rFonts w:hint="eastAsia"/>
        </w:rPr>
        <w:t>提交</w:t>
      </w:r>
      <w:r>
        <w:t>&gt;</w:t>
      </w:r>
      <w:r>
        <w:rPr>
          <w:rFonts w:hint="eastAsia"/>
        </w:rPr>
        <w:t>按钮，提交配置后，可以通过如</w:t>
      </w:r>
      <w:r>
        <w:rPr>
          <w:color w:val="0000FF"/>
          <w:u w:val="single"/>
        </w:rPr>
        <w:fldChar w:fldCharType="begin"/>
      </w:r>
      <w:r>
        <w:rPr>
          <w:color w:val="0000FF"/>
          <w:u w:val="single"/>
        </w:rPr>
        <w:instrText xml:space="preserve"> REF _Ref393269574 \r \h </w:instrText>
      </w:r>
      <w:r>
        <w:rPr>
          <w:color w:val="0000FF"/>
          <w:u w:val="single"/>
        </w:rPr>
        <w:fldChar w:fldCharType="separate"/>
      </w:r>
      <w:r>
        <w:rPr>
          <w:rFonts w:hint="eastAsia"/>
          <w:color w:val="0000FF"/>
          <w:u w:val="single"/>
        </w:rPr>
        <w:t>图28-83</w:t>
      </w:r>
      <w:r>
        <w:rPr>
          <w:color w:val="0000FF"/>
          <w:u w:val="single"/>
        </w:rPr>
        <w:fldChar w:fldCharType="end"/>
      </w:r>
      <w:r>
        <w:rPr>
          <w:rFonts w:hint="eastAsia"/>
        </w:rPr>
        <w:t>所示的本地</w:t>
      </w:r>
      <w:r>
        <w:t>CRL</w:t>
      </w:r>
      <w:r>
        <w:rPr>
          <w:rFonts w:hint="eastAsia"/>
        </w:rPr>
        <w:t>页面导出、查看、删除导入的</w:t>
      </w:r>
      <w:r>
        <w:t>CRL</w:t>
      </w:r>
      <w:r>
        <w:rPr>
          <w:rFonts w:hint="eastAsia"/>
        </w:rPr>
        <w:t>文件。</w:t>
      </w:r>
    </w:p>
    <w:p w14:paraId="77AC79F9">
      <w:pPr>
        <w:pStyle w:val="188"/>
      </w:pPr>
      <w:bookmarkStart w:id="6988" w:name="_Ref393269574"/>
      <w:bookmarkStart w:id="6989" w:name="_Toc141875011"/>
      <w:r>
        <w:t>本地</w:t>
      </w:r>
      <w:r>
        <w:rPr>
          <w:rFonts w:hint="eastAsia"/>
        </w:rPr>
        <w:t>CRL文件</w:t>
      </w:r>
      <w:r>
        <w:t>概览页面</w:t>
      </w:r>
      <w:bookmarkEnd w:id="6988"/>
      <w:bookmarkEnd w:id="6989"/>
    </w:p>
    <w:p w14:paraId="2ED03DF1">
      <w:r>
        <w:drawing>
          <wp:inline distT="0" distB="0" distL="0" distR="0">
            <wp:extent cx="5725160" cy="699135"/>
            <wp:effectExtent l="0" t="0" r="0" b="5715"/>
            <wp:docPr id="2953" name="图片 2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3" name="图片 2953"/>
                    <pic:cNvPicPr>
                      <a:picLocks noChangeAspect="1"/>
                    </pic:cNvPicPr>
                  </pic:nvPicPr>
                  <pic:blipFill>
                    <a:blip r:embed="rId847"/>
                    <a:stretch>
                      <a:fillRect/>
                    </a:stretch>
                  </pic:blipFill>
                  <pic:spPr>
                    <a:xfrm>
                      <a:off x="0" y="0"/>
                      <a:ext cx="5767824" cy="704897"/>
                    </a:xfrm>
                    <a:prstGeom prst="rect">
                      <a:avLst/>
                    </a:prstGeom>
                  </pic:spPr>
                </pic:pic>
              </a:graphicData>
            </a:graphic>
          </wp:inline>
        </w:drawing>
      </w:r>
    </w:p>
    <w:p w14:paraId="05E52364"/>
    <w:p w14:paraId="428B68D4">
      <w:r>
        <w:rPr>
          <w:rFonts w:hint="eastAsia"/>
        </w:rPr>
        <w:t>点击</w:t>
      </w:r>
      <w:r>
        <w:t>&lt;</w:t>
      </w:r>
      <w:r>
        <w:rPr>
          <w:rFonts w:hint="eastAsia"/>
        </w:rPr>
        <w:t>删除</w:t>
      </w:r>
      <w:r>
        <w:t>&gt;</w:t>
      </w:r>
      <w:r>
        <w:rPr>
          <w:rFonts w:hint="eastAsia"/>
        </w:rPr>
        <w:t>按钮，可以删除选中的条目。</w:t>
      </w:r>
    </w:p>
    <w:p w14:paraId="79415B03">
      <w:r>
        <w:rPr>
          <w:rFonts w:hint="eastAsia"/>
        </w:rPr>
        <w:t>点击</w:t>
      </w:r>
      <w:r>
        <w:t>&lt;</w:t>
      </w:r>
      <w:r>
        <w:rPr>
          <w:rFonts w:hint="eastAsia"/>
        </w:rPr>
        <w:t>详细信息</w:t>
      </w:r>
      <w:r>
        <w:t>&gt;</w:t>
      </w:r>
      <w:r>
        <w:rPr>
          <w:rFonts w:hint="eastAsia"/>
        </w:rPr>
        <w:t>按钮，可以查看</w:t>
      </w:r>
      <w:r>
        <w:t>CRL</w:t>
      </w:r>
      <w:r>
        <w:rPr>
          <w:rFonts w:hint="eastAsia"/>
        </w:rPr>
        <w:t>的详细信息。如</w:t>
      </w:r>
      <w:r>
        <w:fldChar w:fldCharType="begin"/>
      </w:r>
      <w:r>
        <w:instrText xml:space="preserve"> REF _Ref393269581 \r \h </w:instrText>
      </w:r>
      <w:r>
        <w:fldChar w:fldCharType="separate"/>
      </w:r>
      <w:r>
        <w:rPr>
          <w:rFonts w:hint="eastAsia"/>
        </w:rPr>
        <w:t>图28-84</w:t>
      </w:r>
      <w:r>
        <w:fldChar w:fldCharType="end"/>
      </w:r>
      <w:r>
        <w:rPr>
          <w:rFonts w:hint="eastAsia"/>
        </w:rPr>
        <w:t>所示。</w:t>
      </w:r>
    </w:p>
    <w:p w14:paraId="5B4D85AA">
      <w:pPr>
        <w:pStyle w:val="188"/>
      </w:pPr>
      <w:bookmarkStart w:id="6990" w:name="_Ref393269581"/>
      <w:bookmarkStart w:id="6991" w:name="_Toc141875012"/>
      <w:r>
        <w:t>查看本地</w:t>
      </w:r>
      <w:r>
        <w:rPr>
          <w:rFonts w:hint="eastAsia"/>
        </w:rPr>
        <w:t>CRL文件</w:t>
      </w:r>
      <w:r>
        <w:t>的详细信息</w:t>
      </w:r>
      <w:bookmarkEnd w:id="6990"/>
      <w:bookmarkEnd w:id="6991"/>
    </w:p>
    <w:p w14:paraId="480DA319">
      <w:r>
        <w:drawing>
          <wp:inline distT="0" distB="0" distL="0" distR="0">
            <wp:extent cx="5666105" cy="4361815"/>
            <wp:effectExtent l="0" t="0" r="0" b="635"/>
            <wp:docPr id="2954" name="图片 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4" name="图片 2954"/>
                    <pic:cNvPicPr>
                      <a:picLocks noChangeAspect="1"/>
                    </pic:cNvPicPr>
                  </pic:nvPicPr>
                  <pic:blipFill>
                    <a:blip r:embed="rId848"/>
                    <a:stretch>
                      <a:fillRect/>
                    </a:stretch>
                  </pic:blipFill>
                  <pic:spPr>
                    <a:xfrm>
                      <a:off x="0" y="0"/>
                      <a:ext cx="5666667" cy="4361905"/>
                    </a:xfrm>
                    <a:prstGeom prst="rect">
                      <a:avLst/>
                    </a:prstGeom>
                  </pic:spPr>
                </pic:pic>
              </a:graphicData>
            </a:graphic>
          </wp:inline>
        </w:drawing>
      </w:r>
    </w:p>
    <w:p w14:paraId="4E36D5D7"/>
    <w:p w14:paraId="28B67831">
      <w:r>
        <w:rPr>
          <w:rFonts w:hint="eastAsia"/>
        </w:rPr>
        <w:t>点击</w:t>
      </w:r>
      <w:r>
        <w:t>&lt;</w:t>
      </w:r>
      <w:r>
        <w:rPr>
          <w:rFonts w:hint="eastAsia"/>
        </w:rPr>
        <w:t>导出</w:t>
      </w:r>
      <w:r>
        <w:t>&gt;</w:t>
      </w:r>
      <w:r>
        <w:rPr>
          <w:rFonts w:hint="eastAsia"/>
        </w:rPr>
        <w:t>按钮，可以导出本地</w:t>
      </w:r>
      <w:r>
        <w:t>CRL</w:t>
      </w:r>
      <w:r>
        <w:rPr>
          <w:rFonts w:hint="eastAsia"/>
        </w:rPr>
        <w:t>文件。</w:t>
      </w:r>
    </w:p>
    <w:p w14:paraId="7B2DB688">
      <w:pPr>
        <w:pStyle w:val="5"/>
      </w:pPr>
      <w:bookmarkStart w:id="6992" w:name="_Toc12367553"/>
      <w:bookmarkStart w:id="6993" w:name="_Toc15485156"/>
      <w:bookmarkStart w:id="6994" w:name="_Toc23152920"/>
      <w:bookmarkStart w:id="6995" w:name="_Toc40276341"/>
      <w:bookmarkStart w:id="6996" w:name="_Toc141873622"/>
      <w:bookmarkStart w:id="6997" w:name="_Toc99561739"/>
      <w:bookmarkStart w:id="6998" w:name="_Toc194081099"/>
      <w:bookmarkStart w:id="6999" w:name="_Toc142401139"/>
      <w:bookmarkStart w:id="7000" w:name="_Toc172218400"/>
      <w:bookmarkStart w:id="7001" w:name="_Toc196728431"/>
      <w:r>
        <w:rPr>
          <w:rFonts w:hint="eastAsia"/>
        </w:rPr>
        <w:t>国密证书</w:t>
      </w:r>
      <w:bookmarkEnd w:id="6992"/>
      <w:bookmarkEnd w:id="6993"/>
      <w:bookmarkEnd w:id="6994"/>
      <w:bookmarkEnd w:id="6995"/>
      <w:bookmarkEnd w:id="6996"/>
      <w:bookmarkEnd w:id="6997"/>
      <w:bookmarkEnd w:id="6998"/>
      <w:bookmarkEnd w:id="6999"/>
      <w:bookmarkEnd w:id="7000"/>
      <w:bookmarkEnd w:id="7001"/>
    </w:p>
    <w:p w14:paraId="23C06B3B">
      <w:r>
        <w:rPr>
          <w:rFonts w:hint="eastAsia"/>
        </w:rPr>
        <w:t xml:space="preserve">通过菜单“策略配置 </w:t>
      </w:r>
      <w:r>
        <w:t xml:space="preserve">&gt; </w:t>
      </w:r>
      <w:r>
        <w:rPr>
          <w:rFonts w:hint="eastAsia"/>
        </w:rPr>
        <w:t xml:space="preserve">对象管理 </w:t>
      </w:r>
      <w:r>
        <w:t xml:space="preserve">&gt; </w:t>
      </w:r>
      <w:r>
        <w:rPr>
          <w:rFonts w:hint="eastAsia"/>
        </w:rPr>
        <w:t xml:space="preserve">本地证书 </w:t>
      </w:r>
      <w:r>
        <w:t xml:space="preserve">&gt; </w:t>
      </w:r>
      <w:r>
        <w:rPr>
          <w:rFonts w:hint="eastAsia"/>
        </w:rPr>
        <w:t>证书</w:t>
      </w:r>
      <w:r>
        <w:t xml:space="preserve"> &gt; </w:t>
      </w:r>
      <w:r>
        <w:rPr>
          <w:rFonts w:hint="eastAsia"/>
        </w:rPr>
        <w:t>国密”，进入如</w:t>
      </w:r>
      <w:r>
        <w:rPr>
          <w:color w:val="0000FF"/>
          <w:u w:val="single"/>
        </w:rPr>
        <w:fldChar w:fldCharType="begin"/>
      </w:r>
      <w:r>
        <w:rPr>
          <w:color w:val="0000FF"/>
          <w:u w:val="single"/>
        </w:rPr>
        <w:instrText xml:space="preserve"> REF  </w:instrText>
      </w:r>
      <w:r>
        <w:rPr>
          <w:rFonts w:hint="eastAsia"/>
          <w:color w:val="0000FF"/>
          <w:u w:val="single"/>
        </w:rPr>
        <w:instrText xml:space="preserve">第</w:instrText>
      </w:r>
      <w:r>
        <w:rPr>
          <w:color w:val="0000FF"/>
          <w:u w:val="single"/>
        </w:rPr>
        <w:instrText xml:space="preserve">14 \h \r </w:instrText>
      </w:r>
      <w:r>
        <w:rPr>
          <w:color w:val="0000FF"/>
          <w:u w:val="single"/>
        </w:rPr>
        <w:fldChar w:fldCharType="separate"/>
      </w:r>
      <w:r>
        <w:rPr>
          <w:rFonts w:hint="eastAsia"/>
          <w:color w:val="0000FF"/>
          <w:u w:val="single"/>
        </w:rPr>
        <w:t>图28-85</w:t>
      </w:r>
      <w:r>
        <w:rPr>
          <w:color w:val="0000FF"/>
          <w:u w:val="single"/>
        </w:rPr>
        <w:fldChar w:fldCharType="end"/>
      </w:r>
      <w:r>
        <w:rPr>
          <w:rFonts w:hint="eastAsia"/>
        </w:rPr>
        <w:t>所示页面。在该页面可以新建、编辑、删除、查看本地国密配置</w:t>
      </w:r>
    </w:p>
    <w:p w14:paraId="27DE7899">
      <w:pPr>
        <w:pStyle w:val="188"/>
      </w:pPr>
      <w:bookmarkStart w:id="7002" w:name="第14"/>
      <w:bookmarkEnd w:id="7002"/>
      <w:bookmarkStart w:id="7003" w:name="_Toc141875013"/>
      <w:r>
        <w:rPr>
          <w:rFonts w:hint="eastAsia"/>
        </w:rPr>
        <w:t>本地国密</w:t>
      </w:r>
      <w:r>
        <w:t>页面</w:t>
      </w:r>
      <w:bookmarkEnd w:id="7003"/>
    </w:p>
    <w:p w14:paraId="1CC547F9">
      <w:r>
        <w:drawing>
          <wp:inline distT="0" distB="0" distL="0" distR="0">
            <wp:extent cx="5619750" cy="838835"/>
            <wp:effectExtent l="0" t="0" r="0" b="0"/>
            <wp:docPr id="2955" name="图片 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5" name="图片 2955"/>
                    <pic:cNvPicPr>
                      <a:picLocks noChangeAspect="1"/>
                    </pic:cNvPicPr>
                  </pic:nvPicPr>
                  <pic:blipFill>
                    <a:blip r:embed="rId849"/>
                    <a:stretch>
                      <a:fillRect/>
                    </a:stretch>
                  </pic:blipFill>
                  <pic:spPr>
                    <a:xfrm>
                      <a:off x="0" y="0"/>
                      <a:ext cx="5650079" cy="843497"/>
                    </a:xfrm>
                    <a:prstGeom prst="rect">
                      <a:avLst/>
                    </a:prstGeom>
                  </pic:spPr>
                </pic:pic>
              </a:graphicData>
            </a:graphic>
          </wp:inline>
        </w:drawing>
      </w:r>
    </w:p>
    <w:p w14:paraId="5766CC62"/>
    <w:p w14:paraId="1DBBBCE5">
      <w:r>
        <w:rPr>
          <w:rFonts w:hint="eastAsia"/>
        </w:rPr>
        <w:t>点击</w:t>
      </w:r>
      <w:r>
        <w:t>&lt;</w:t>
      </w:r>
      <w:r>
        <w:rPr>
          <w:rFonts w:hint="eastAsia"/>
        </w:rPr>
        <w:t>导入</w:t>
      </w:r>
      <w:r>
        <w:t>&gt;</w:t>
      </w:r>
      <w:r>
        <w:rPr>
          <w:rFonts w:hint="eastAsia"/>
        </w:rPr>
        <w:t>按钮，导入国密证书，如</w:t>
      </w:r>
      <w:r>
        <w:fldChar w:fldCharType="begin"/>
      </w:r>
      <w:r>
        <w:instrText xml:space="preserve"> REF  </w:instrText>
      </w:r>
      <w:r>
        <w:rPr>
          <w:rFonts w:hint="eastAsia"/>
        </w:rPr>
        <w:instrText xml:space="preserve">第</w:instrText>
      </w:r>
      <w:r>
        <w:instrText xml:space="preserve">15 \h \r </w:instrText>
      </w:r>
      <w:r>
        <w:fldChar w:fldCharType="separate"/>
      </w:r>
      <w:r>
        <w:rPr>
          <w:rFonts w:hint="eastAsia"/>
        </w:rPr>
        <w:t>图28-86</w:t>
      </w:r>
      <w:r>
        <w:fldChar w:fldCharType="end"/>
      </w:r>
      <w:r>
        <w:rPr>
          <w:rFonts w:hint="eastAsia"/>
        </w:rPr>
        <w:t>所示。</w:t>
      </w:r>
    </w:p>
    <w:p w14:paraId="464A693E">
      <w:pPr>
        <w:pStyle w:val="188"/>
      </w:pPr>
      <w:bookmarkStart w:id="7004" w:name="第15"/>
      <w:bookmarkEnd w:id="7004"/>
      <w:bookmarkStart w:id="7005" w:name="_Toc141875014"/>
      <w:r>
        <w:rPr>
          <w:rFonts w:hint="eastAsia"/>
        </w:rPr>
        <w:t>导入国密</w:t>
      </w:r>
      <w:r>
        <w:t>证书</w:t>
      </w:r>
      <w:r>
        <w:rPr>
          <w:rFonts w:hint="eastAsia"/>
        </w:rPr>
        <w:t>配置页面</w:t>
      </w:r>
      <w:bookmarkEnd w:id="7005"/>
    </w:p>
    <w:p w14:paraId="2FB45760">
      <w:r>
        <w:drawing>
          <wp:inline distT="0" distB="0" distL="0" distR="0">
            <wp:extent cx="5566410" cy="2867025"/>
            <wp:effectExtent l="0" t="0" r="0" b="9525"/>
            <wp:docPr id="2956" name="图片 2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6" name="图片 2956"/>
                    <pic:cNvPicPr>
                      <a:picLocks noChangeAspect="1"/>
                    </pic:cNvPicPr>
                  </pic:nvPicPr>
                  <pic:blipFill>
                    <a:blip r:embed="rId850"/>
                    <a:stretch>
                      <a:fillRect/>
                    </a:stretch>
                  </pic:blipFill>
                  <pic:spPr>
                    <a:xfrm>
                      <a:off x="0" y="0"/>
                      <a:ext cx="5578063" cy="2873264"/>
                    </a:xfrm>
                    <a:prstGeom prst="rect">
                      <a:avLst/>
                    </a:prstGeom>
                  </pic:spPr>
                </pic:pic>
              </a:graphicData>
            </a:graphic>
          </wp:inline>
        </w:drawing>
      </w:r>
      <w:r>
        <w:t xml:space="preserve"> </w:t>
      </w:r>
    </w:p>
    <w:p w14:paraId="3488CE46">
      <w:pPr>
        <w:pStyle w:val="183"/>
      </w:pPr>
      <w:bookmarkStart w:id="7006" w:name="_Toc141875649"/>
      <w:r>
        <w:t>导入</w:t>
      </w:r>
      <w:r>
        <w:rPr>
          <w:rFonts w:hint="eastAsia"/>
        </w:rPr>
        <w:t>国密证书</w:t>
      </w:r>
      <w:r>
        <w:t>各个配置项含义描述表</w:t>
      </w:r>
      <w:bookmarkEnd w:id="7006"/>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43"/>
        <w:gridCol w:w="6671"/>
      </w:tblGrid>
      <w:tr w14:paraId="05A5F0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tcBorders>
              <w:tl2br w:val="nil"/>
              <w:tr2bl w:val="nil"/>
            </w:tcBorders>
            <w:shd w:val="clear" w:color="auto" w:fill="538135" w:themeFill="accent6" w:themeFillShade="BF"/>
            <w:vAlign w:val="center"/>
          </w:tcPr>
          <w:p w14:paraId="7F5E2972">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84" w:type="dxa"/>
            <w:tcBorders>
              <w:tl2br w:val="nil"/>
              <w:tr2bl w:val="nil"/>
            </w:tcBorders>
            <w:shd w:val="clear" w:color="auto" w:fill="538135" w:themeFill="accent6" w:themeFillShade="BF"/>
            <w:vAlign w:val="center"/>
          </w:tcPr>
          <w:p w14:paraId="5A68E855">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19D85D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4A0FEB7A">
            <w:pPr>
              <w:pStyle w:val="150"/>
            </w:pPr>
            <w:r>
              <w:t>上传证书类型</w:t>
            </w:r>
          </w:p>
        </w:tc>
        <w:tc>
          <w:tcPr>
            <w:tcW w:w="6684" w:type="dxa"/>
            <w:shd w:val="clear" w:color="auto" w:fill="auto"/>
          </w:tcPr>
          <w:p w14:paraId="5FC9891A">
            <w:pPr>
              <w:pStyle w:val="150"/>
            </w:pPr>
            <w:r>
              <w:t>上传的</w:t>
            </w:r>
            <w:r>
              <w:rPr>
                <w:rFonts w:hint="eastAsia"/>
              </w:rPr>
              <w:t>CA证书文件，支持.cer、.pem格式的证书文件。</w:t>
            </w:r>
          </w:p>
        </w:tc>
      </w:tr>
      <w:tr w14:paraId="37076D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2325137A">
            <w:pPr>
              <w:pStyle w:val="150"/>
            </w:pPr>
            <w:r>
              <w:t>证书文件</w:t>
            </w:r>
          </w:p>
        </w:tc>
        <w:tc>
          <w:tcPr>
            <w:tcW w:w="6684" w:type="dxa"/>
            <w:shd w:val="clear" w:color="auto" w:fill="auto"/>
          </w:tcPr>
          <w:p w14:paraId="6068FEE4">
            <w:pPr>
              <w:pStyle w:val="150"/>
            </w:pPr>
            <w:r>
              <w:t>证书密钥分离格式的证书文件。</w:t>
            </w:r>
          </w:p>
        </w:tc>
      </w:tr>
      <w:tr w14:paraId="1E51069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32F8580C">
            <w:pPr>
              <w:pStyle w:val="150"/>
            </w:pPr>
            <w:r>
              <w:t>密钥文件</w:t>
            </w:r>
          </w:p>
        </w:tc>
        <w:tc>
          <w:tcPr>
            <w:tcW w:w="6684" w:type="dxa"/>
            <w:shd w:val="clear" w:color="auto" w:fill="auto"/>
          </w:tcPr>
          <w:p w14:paraId="7C56859E">
            <w:pPr>
              <w:pStyle w:val="150"/>
            </w:pPr>
            <w:r>
              <w:rPr>
                <w:rFonts w:hint="eastAsia"/>
              </w:rPr>
              <w:t>证书密钥分离格式的密钥文件。</w:t>
            </w:r>
          </w:p>
        </w:tc>
      </w:tr>
    </w:tbl>
    <w:p w14:paraId="2577BDEE"/>
    <w:p w14:paraId="7DBE27D4">
      <w:r>
        <w:rPr>
          <w:rFonts w:hint="eastAsia"/>
        </w:rPr>
        <w:t>点击</w:t>
      </w:r>
      <w:r>
        <w:t>&lt;</w:t>
      </w:r>
      <w:r>
        <w:rPr>
          <w:rFonts w:hint="eastAsia"/>
        </w:rPr>
        <w:t>提交</w:t>
      </w:r>
      <w:r>
        <w:t>&gt;</w:t>
      </w:r>
      <w:r>
        <w:rPr>
          <w:rFonts w:hint="eastAsia"/>
        </w:rPr>
        <w:t>按钮，提交配置后，可以通过如</w:t>
      </w:r>
      <w:r>
        <w:rPr>
          <w:color w:val="0000FF"/>
          <w:u w:val="single"/>
        </w:rPr>
        <w:fldChar w:fldCharType="begin"/>
      </w:r>
      <w:r>
        <w:rPr>
          <w:color w:val="0000FF"/>
          <w:u w:val="single"/>
        </w:rPr>
        <w:instrText xml:space="preserve"> REF  </w:instrText>
      </w:r>
      <w:r>
        <w:rPr>
          <w:rFonts w:hint="eastAsia"/>
          <w:color w:val="0000FF"/>
          <w:u w:val="single"/>
        </w:rPr>
        <w:instrText xml:space="preserve">第</w:instrText>
      </w:r>
      <w:r>
        <w:rPr>
          <w:color w:val="0000FF"/>
          <w:u w:val="single"/>
        </w:rPr>
        <w:instrText xml:space="preserve">16 \h \r </w:instrText>
      </w:r>
      <w:r>
        <w:rPr>
          <w:color w:val="0000FF"/>
          <w:u w:val="single"/>
        </w:rPr>
        <w:fldChar w:fldCharType="separate"/>
      </w:r>
      <w:r>
        <w:rPr>
          <w:rFonts w:hint="eastAsia"/>
          <w:color w:val="0000FF"/>
          <w:u w:val="single"/>
        </w:rPr>
        <w:t>图28-87</w:t>
      </w:r>
      <w:r>
        <w:rPr>
          <w:color w:val="0000FF"/>
          <w:u w:val="single"/>
        </w:rPr>
        <w:fldChar w:fldCharType="end"/>
      </w:r>
      <w:r>
        <w:rPr>
          <w:rFonts w:hint="eastAsia"/>
        </w:rPr>
        <w:t>所示的本地国密页面导出、查看、删除导入的</w:t>
      </w:r>
      <w:r>
        <w:t>CRL</w:t>
      </w:r>
      <w:r>
        <w:rPr>
          <w:rFonts w:hint="eastAsia"/>
        </w:rPr>
        <w:t>文件。</w:t>
      </w:r>
    </w:p>
    <w:p w14:paraId="030ADE17">
      <w:pPr>
        <w:pStyle w:val="188"/>
      </w:pPr>
      <w:bookmarkStart w:id="7007" w:name="第16"/>
      <w:bookmarkEnd w:id="7007"/>
      <w:bookmarkStart w:id="7008" w:name="_Toc141875015"/>
      <w:r>
        <w:rPr>
          <w:rFonts w:hint="eastAsia"/>
        </w:rPr>
        <w:t>国密证书</w:t>
      </w:r>
      <w:r>
        <w:t>概览页面</w:t>
      </w:r>
      <w:bookmarkEnd w:id="7008"/>
    </w:p>
    <w:p w14:paraId="52F6C563">
      <w:r>
        <w:drawing>
          <wp:inline distT="0" distB="0" distL="0" distR="0">
            <wp:extent cx="5610225" cy="1132840"/>
            <wp:effectExtent l="0" t="0" r="0" b="0"/>
            <wp:docPr id="2957" name="图片 2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7" name="图片 2957"/>
                    <pic:cNvPicPr>
                      <a:picLocks noChangeAspect="1"/>
                    </pic:cNvPicPr>
                  </pic:nvPicPr>
                  <pic:blipFill>
                    <a:blip r:embed="rId851"/>
                    <a:stretch>
                      <a:fillRect/>
                    </a:stretch>
                  </pic:blipFill>
                  <pic:spPr>
                    <a:xfrm>
                      <a:off x="0" y="0"/>
                      <a:ext cx="5653053" cy="1141871"/>
                    </a:xfrm>
                    <a:prstGeom prst="rect">
                      <a:avLst/>
                    </a:prstGeom>
                  </pic:spPr>
                </pic:pic>
              </a:graphicData>
            </a:graphic>
          </wp:inline>
        </w:drawing>
      </w:r>
    </w:p>
    <w:p w14:paraId="5FFF472C"/>
    <w:p w14:paraId="5F5A5C84">
      <w:r>
        <w:rPr>
          <w:rFonts w:hint="eastAsia"/>
        </w:rPr>
        <w:t>点击</w:t>
      </w:r>
      <w:r>
        <w:t>&lt;</w:t>
      </w:r>
      <w:r>
        <w:rPr>
          <w:rFonts w:hint="eastAsia"/>
        </w:rPr>
        <w:t>删除</w:t>
      </w:r>
      <w:r>
        <w:t>&gt;</w:t>
      </w:r>
      <w:r>
        <w:rPr>
          <w:rFonts w:hint="eastAsia"/>
        </w:rPr>
        <w:t>按钮，可以删除选中的条目。</w:t>
      </w:r>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088DA947">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7C41C425">
            <w:pPr>
              <w:pStyle w:val="150"/>
              <w:adjustRightInd w:val="0"/>
              <w:snapToGrid w:val="0"/>
              <w:rPr>
                <w:color w:val="auto"/>
              </w:rPr>
            </w:pPr>
            <w:r>
              <w:rPr>
                <w:b/>
                <w:color w:val="00A0E9"/>
              </w:rPr>
              <w:drawing>
                <wp:inline distT="0" distB="0" distL="0" distR="0">
                  <wp:extent cx="257175" cy="257175"/>
                  <wp:effectExtent l="0" t="0" r="9525" b="9525"/>
                  <wp:docPr id="896" name="图片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图片 896"/>
                          <pic:cNvPicPr>
                            <a:picLocks noChangeAspect="1" noChangeArrowheads="1"/>
                          </pic:cNvPicPr>
                        </pic:nvPicPr>
                        <pic:blipFill>
                          <a:blip r:embed="rId852" cstate="print">
                            <a:extLst>
                              <a:ext uri="{28A0092B-C50C-407E-A947-70E740481C1C}">
                                <a14:useLocalDpi xmlns:a14="http://schemas.microsoft.com/office/drawing/2010/main" val="0"/>
                              </a:ext>
                            </a:extLst>
                          </a:blip>
                          <a:srcRect/>
                          <a:stretch>
                            <a:fillRect/>
                          </a:stretch>
                        </pic:blipFill>
                        <pic:spPr>
                          <a:xfrm>
                            <a:off x="0" y="0"/>
                            <a:ext cx="257175" cy="257175"/>
                          </a:xfrm>
                          <a:prstGeom prst="rect">
                            <a:avLst/>
                          </a:prstGeom>
                          <a:noFill/>
                          <a:ln>
                            <a:noFill/>
                          </a:ln>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020EB04A">
            <w:pPr>
              <w:pStyle w:val="150"/>
              <w:adjustRightInd w:val="0"/>
              <w:snapToGrid w:val="0"/>
              <w:rPr>
                <w:color w:val="auto"/>
              </w:rPr>
            </w:pPr>
            <w:r>
              <w:rPr>
                <w:rFonts w:hint="eastAsia"/>
                <w:color w:val="auto"/>
              </w:rPr>
              <w:t>国密证书不支持查看详细信息及导出，&lt;详细信息&gt;和&lt;导出&gt;按钮置灰。</w:t>
            </w:r>
          </w:p>
        </w:tc>
      </w:tr>
    </w:tbl>
    <w:p w14:paraId="2B76C97E"/>
    <w:p w14:paraId="071CB90C">
      <w:pPr>
        <w:pStyle w:val="5"/>
      </w:pPr>
      <w:bookmarkStart w:id="7009" w:name="_Toc196728432"/>
      <w:bookmarkStart w:id="7010" w:name="_Toc23152921"/>
      <w:bookmarkStart w:id="7011" w:name="_Toc99561740"/>
      <w:bookmarkStart w:id="7012" w:name="_Toc141873623"/>
      <w:bookmarkStart w:id="7013" w:name="_Toc142401140"/>
      <w:bookmarkStart w:id="7014" w:name="_Toc40276342"/>
      <w:bookmarkStart w:id="7015" w:name="_Toc15485157"/>
      <w:bookmarkStart w:id="7016" w:name="_Toc172218401"/>
      <w:bookmarkStart w:id="7017" w:name="_Toc12367554"/>
      <w:bookmarkStart w:id="7018" w:name="_Toc194081100"/>
      <w:r>
        <w:rPr>
          <w:rFonts w:hint="eastAsia"/>
        </w:rPr>
        <w:t>自动获取CRL</w:t>
      </w:r>
      <w:bookmarkEnd w:id="7009"/>
      <w:bookmarkEnd w:id="7010"/>
      <w:bookmarkEnd w:id="7011"/>
      <w:bookmarkEnd w:id="7012"/>
      <w:bookmarkEnd w:id="7013"/>
      <w:bookmarkEnd w:id="7014"/>
      <w:bookmarkEnd w:id="7015"/>
      <w:bookmarkEnd w:id="7016"/>
      <w:bookmarkEnd w:id="7017"/>
      <w:bookmarkEnd w:id="7018"/>
    </w:p>
    <w:p w14:paraId="73F3C5C4">
      <w:r>
        <w:rPr>
          <w:rFonts w:hint="eastAsia"/>
        </w:rPr>
        <w:t xml:space="preserve">通过菜单“策略配置 </w:t>
      </w:r>
      <w:r>
        <w:t xml:space="preserve">&gt; </w:t>
      </w:r>
      <w:r>
        <w:rPr>
          <w:rFonts w:hint="eastAsia"/>
        </w:rPr>
        <w:t xml:space="preserve">对象管理 </w:t>
      </w:r>
      <w:r>
        <w:t xml:space="preserve">&gt; </w:t>
      </w:r>
      <w:r>
        <w:rPr>
          <w:rFonts w:hint="eastAsia"/>
        </w:rPr>
        <w:t xml:space="preserve">本地证书 </w:t>
      </w:r>
      <w:r>
        <w:t xml:space="preserve">&gt; </w:t>
      </w:r>
      <w:r>
        <w:rPr>
          <w:rFonts w:hint="eastAsia"/>
        </w:rPr>
        <w:t>自动获取</w:t>
      </w:r>
      <w:r>
        <w:t>CRL</w:t>
      </w:r>
      <w:r>
        <w:rPr>
          <w:rFonts w:hint="eastAsia"/>
        </w:rPr>
        <w:t>”，进入如</w:t>
      </w:r>
      <w:r>
        <w:rPr>
          <w:color w:val="0000FF"/>
          <w:u w:val="single"/>
        </w:rPr>
        <w:fldChar w:fldCharType="begin"/>
      </w:r>
      <w:r>
        <w:rPr>
          <w:color w:val="0000FF"/>
          <w:u w:val="single"/>
        </w:rPr>
        <w:instrText xml:space="preserve"> </w:instrText>
      </w:r>
      <w:r>
        <w:rPr>
          <w:rFonts w:hint="eastAsia"/>
          <w:color w:val="0000FF"/>
          <w:u w:val="single"/>
        </w:rPr>
        <w:instrText xml:space="preserve">REF _Ref393271289 \r \h</w:instrText>
      </w:r>
      <w:r>
        <w:rPr>
          <w:color w:val="0000FF"/>
          <w:u w:val="single"/>
        </w:rPr>
        <w:instrText xml:space="preserve"> </w:instrText>
      </w:r>
      <w:r>
        <w:rPr>
          <w:color w:val="0000FF"/>
          <w:u w:val="single"/>
        </w:rPr>
        <w:fldChar w:fldCharType="separate"/>
      </w:r>
      <w:r>
        <w:rPr>
          <w:rFonts w:hint="eastAsia"/>
          <w:color w:val="0000FF"/>
          <w:u w:val="single"/>
        </w:rPr>
        <w:t>图28-88</w:t>
      </w:r>
      <w:r>
        <w:rPr>
          <w:color w:val="0000FF"/>
          <w:u w:val="single"/>
        </w:rPr>
        <w:fldChar w:fldCharType="end"/>
      </w:r>
      <w:r>
        <w:rPr>
          <w:rFonts w:hint="eastAsia"/>
        </w:rPr>
        <w:t>所示页面。在该页面上，可以新建、编辑、删除、查看自动获取</w:t>
      </w:r>
      <w:r>
        <w:t>CRL</w:t>
      </w:r>
      <w:r>
        <w:rPr>
          <w:rFonts w:hint="eastAsia"/>
        </w:rPr>
        <w:t>配置。</w:t>
      </w:r>
    </w:p>
    <w:p w14:paraId="69F6EA2F">
      <w:pPr>
        <w:pStyle w:val="188"/>
      </w:pPr>
      <w:bookmarkStart w:id="7019" w:name="_Ref393271289"/>
      <w:bookmarkStart w:id="7020" w:name="_Toc141875016"/>
      <w:r>
        <w:t>自动获取</w:t>
      </w:r>
      <w:r>
        <w:rPr>
          <w:rFonts w:hint="eastAsia"/>
        </w:rPr>
        <w:t>CRL文件</w:t>
      </w:r>
      <w:r>
        <w:t>页面</w:t>
      </w:r>
      <w:bookmarkEnd w:id="7019"/>
      <w:bookmarkEnd w:id="7020"/>
    </w:p>
    <w:p w14:paraId="40830230">
      <w:r>
        <w:drawing>
          <wp:inline distT="0" distB="0" distL="0" distR="0">
            <wp:extent cx="5657850" cy="822325"/>
            <wp:effectExtent l="0" t="0" r="0" b="0"/>
            <wp:docPr id="2959" name="图片 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9" name="图片 2959"/>
                    <pic:cNvPicPr>
                      <a:picLocks noChangeAspect="1"/>
                    </pic:cNvPicPr>
                  </pic:nvPicPr>
                  <pic:blipFill>
                    <a:blip r:embed="rId853"/>
                    <a:stretch>
                      <a:fillRect/>
                    </a:stretch>
                  </pic:blipFill>
                  <pic:spPr>
                    <a:xfrm>
                      <a:off x="0" y="0"/>
                      <a:ext cx="5666492" cy="824196"/>
                    </a:xfrm>
                    <a:prstGeom prst="rect">
                      <a:avLst/>
                    </a:prstGeom>
                  </pic:spPr>
                </pic:pic>
              </a:graphicData>
            </a:graphic>
          </wp:inline>
        </w:drawing>
      </w:r>
    </w:p>
    <w:p w14:paraId="7CF7C19A"/>
    <w:p w14:paraId="47CB2CCD">
      <w:r>
        <w:rPr>
          <w:rFonts w:hint="eastAsia"/>
        </w:rPr>
        <w:t>点击</w:t>
      </w:r>
      <w:r>
        <w:t>&lt;</w:t>
      </w:r>
      <w:r>
        <w:rPr>
          <w:rFonts w:hint="eastAsia"/>
        </w:rPr>
        <w:t>新建</w:t>
      </w:r>
      <w:r>
        <w:t>&gt;</w:t>
      </w:r>
      <w:r>
        <w:rPr>
          <w:rFonts w:hint="eastAsia"/>
        </w:rPr>
        <w:t>按钮，新建自动获取</w:t>
      </w:r>
      <w:r>
        <w:t>CRL</w:t>
      </w:r>
      <w:r>
        <w:rPr>
          <w:rFonts w:hint="eastAsia"/>
        </w:rPr>
        <w:t>配置，如</w:t>
      </w:r>
      <w:r>
        <w:fldChar w:fldCharType="begin"/>
      </w:r>
      <w:r>
        <w:instrText xml:space="preserve"> </w:instrText>
      </w:r>
      <w:r>
        <w:rPr>
          <w:rFonts w:hint="eastAsia"/>
        </w:rPr>
        <w:instrText xml:space="preserve">REF _Ref393271299 \r \h</w:instrText>
      </w:r>
      <w:r>
        <w:instrText xml:space="preserve"> </w:instrText>
      </w:r>
      <w:r>
        <w:fldChar w:fldCharType="separate"/>
      </w:r>
      <w:r>
        <w:rPr>
          <w:rFonts w:hint="eastAsia"/>
        </w:rPr>
        <w:t>图28-89</w:t>
      </w:r>
      <w:r>
        <w:fldChar w:fldCharType="end"/>
      </w:r>
      <w:r>
        <w:rPr>
          <w:rFonts w:hint="eastAsia"/>
        </w:rPr>
        <w:t>所示。各个配置项的含义如</w:t>
      </w:r>
      <w:r>
        <w:fldChar w:fldCharType="begin"/>
      </w:r>
      <w:r>
        <w:instrText xml:space="preserve"> REF _Ref393271304 \r \h </w:instrText>
      </w:r>
      <w:r>
        <w:fldChar w:fldCharType="separate"/>
      </w:r>
      <w:r>
        <w:rPr>
          <w:rFonts w:hint="eastAsia"/>
        </w:rPr>
        <w:t>表28-1</w:t>
      </w:r>
      <w:r>
        <w:fldChar w:fldCharType="end"/>
      </w:r>
      <w:r>
        <w:rPr>
          <w:rFonts w:hint="eastAsia"/>
        </w:rPr>
        <w:t>所示。</w:t>
      </w:r>
    </w:p>
    <w:p w14:paraId="5882980D">
      <w:pPr>
        <w:pStyle w:val="188"/>
      </w:pPr>
      <w:bookmarkStart w:id="7021" w:name="_Toc141875017"/>
      <w:bookmarkStart w:id="7022" w:name="_Ref393271299"/>
      <w:r>
        <w:t>新建自动获取</w:t>
      </w:r>
      <w:r>
        <w:rPr>
          <w:rFonts w:hint="eastAsia"/>
        </w:rPr>
        <w:t>CRL配置页面</w:t>
      </w:r>
      <w:bookmarkEnd w:id="7021"/>
      <w:bookmarkEnd w:id="7022"/>
    </w:p>
    <w:p w14:paraId="251013ED">
      <w:r>
        <w:drawing>
          <wp:inline distT="0" distB="0" distL="114300" distR="114300">
            <wp:extent cx="5400040" cy="2320925"/>
            <wp:effectExtent l="0" t="0" r="0" b="3175"/>
            <wp:docPr id="1029"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图片 74"/>
                    <pic:cNvPicPr>
                      <a:picLocks noChangeAspect="1"/>
                    </pic:cNvPicPr>
                  </pic:nvPicPr>
                  <pic:blipFill>
                    <a:blip r:embed="rId854"/>
                    <a:stretch>
                      <a:fillRect/>
                    </a:stretch>
                  </pic:blipFill>
                  <pic:spPr>
                    <a:xfrm>
                      <a:off x="0" y="0"/>
                      <a:ext cx="5400040" cy="2321446"/>
                    </a:xfrm>
                    <a:prstGeom prst="rect">
                      <a:avLst/>
                    </a:prstGeom>
                    <a:noFill/>
                    <a:ln>
                      <a:noFill/>
                    </a:ln>
                  </pic:spPr>
                </pic:pic>
              </a:graphicData>
            </a:graphic>
          </wp:inline>
        </w:drawing>
      </w:r>
    </w:p>
    <w:p w14:paraId="74D91F78"/>
    <w:p w14:paraId="48993D86">
      <w:pPr>
        <w:pStyle w:val="183"/>
      </w:pPr>
      <w:bookmarkStart w:id="7023" w:name="_Ref393271304"/>
      <w:bookmarkStart w:id="7024" w:name="_Toc141875650"/>
      <w:r>
        <w:t>新建自动获取</w:t>
      </w:r>
      <w:r>
        <w:rPr>
          <w:rFonts w:hint="eastAsia"/>
        </w:rPr>
        <w:t>CRL</w:t>
      </w:r>
      <w:r>
        <w:t>各个配置项含义描述表</w:t>
      </w:r>
      <w:bookmarkEnd w:id="7023"/>
      <w:bookmarkEnd w:id="7024"/>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44"/>
        <w:gridCol w:w="6670"/>
      </w:tblGrid>
      <w:tr w14:paraId="70DA55E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tcBorders>
              <w:tl2br w:val="nil"/>
              <w:tr2bl w:val="nil"/>
            </w:tcBorders>
            <w:shd w:val="clear" w:color="auto" w:fill="538135" w:themeFill="accent6" w:themeFillShade="BF"/>
            <w:vAlign w:val="center"/>
          </w:tcPr>
          <w:p w14:paraId="39DA0C21">
            <w:pPr>
              <w:pStyle w:val="149"/>
              <w:wordWrap/>
              <w:rPr>
                <w:b/>
                <w:bCs/>
                <w:i w:val="0"/>
                <w:iCs w:val="0"/>
              </w:rPr>
            </w:pPr>
            <w:r>
              <w:rPr>
                <w:rFonts w:hint="eastAsia"/>
                <w:b/>
                <w:bCs/>
                <w:i w:val="0"/>
                <w:iCs w:val="0"/>
              </w:rPr>
              <w:t>标题项</w:t>
            </w:r>
          </w:p>
        </w:tc>
        <w:tc>
          <w:tcPr>
            <w:tcW w:w="6684" w:type="dxa"/>
            <w:tcBorders>
              <w:tl2br w:val="nil"/>
              <w:tr2bl w:val="nil"/>
            </w:tcBorders>
            <w:shd w:val="clear" w:color="auto" w:fill="538135" w:themeFill="accent6" w:themeFillShade="BF"/>
            <w:vAlign w:val="center"/>
          </w:tcPr>
          <w:p w14:paraId="7D102EA4">
            <w:pPr>
              <w:pStyle w:val="149"/>
              <w:wordWrap/>
              <w:rPr>
                <w:b/>
                <w:bCs/>
                <w:i w:val="0"/>
                <w:iCs w:val="0"/>
              </w:rPr>
            </w:pPr>
            <w:r>
              <w:rPr>
                <w:rFonts w:hint="eastAsia"/>
                <w:b/>
                <w:bCs/>
                <w:i w:val="0"/>
                <w:iCs w:val="0"/>
              </w:rPr>
              <w:t>说明</w:t>
            </w:r>
          </w:p>
        </w:tc>
      </w:tr>
      <w:tr w14:paraId="4880F7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031EFA75">
            <w:pPr>
              <w:pStyle w:val="150"/>
            </w:pPr>
            <w:r>
              <w:t>名称</w:t>
            </w:r>
          </w:p>
        </w:tc>
        <w:tc>
          <w:tcPr>
            <w:tcW w:w="6684" w:type="dxa"/>
            <w:shd w:val="clear" w:color="auto" w:fill="auto"/>
          </w:tcPr>
          <w:p w14:paraId="567B0523">
            <w:pPr>
              <w:pStyle w:val="150"/>
            </w:pPr>
            <w:r>
              <w:t>自动获取</w:t>
            </w:r>
            <w:r>
              <w:rPr>
                <w:rFonts w:hint="eastAsia"/>
              </w:rPr>
              <w:t>CRL文件的配置名称。</w:t>
            </w:r>
          </w:p>
        </w:tc>
      </w:tr>
      <w:tr w14:paraId="32986C8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16951DDB">
            <w:pPr>
              <w:pStyle w:val="150"/>
            </w:pPr>
            <w:r>
              <w:t>自动下载周期</w:t>
            </w:r>
          </w:p>
        </w:tc>
        <w:tc>
          <w:tcPr>
            <w:tcW w:w="6684" w:type="dxa"/>
            <w:shd w:val="clear" w:color="auto" w:fill="auto"/>
          </w:tcPr>
          <w:p w14:paraId="71A719DF">
            <w:pPr>
              <w:pStyle w:val="150"/>
            </w:pPr>
            <w:r>
              <w:t>自动获取</w:t>
            </w:r>
            <w:r>
              <w:rPr>
                <w:rFonts w:hint="eastAsia"/>
              </w:rPr>
              <w:t>CRL文件的周期。</w:t>
            </w:r>
          </w:p>
        </w:tc>
      </w:tr>
      <w:tr w14:paraId="55414F5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1C8791AB">
            <w:pPr>
              <w:pStyle w:val="150"/>
            </w:pPr>
            <w:r>
              <w:t>协议类型</w:t>
            </w:r>
          </w:p>
        </w:tc>
        <w:tc>
          <w:tcPr>
            <w:tcW w:w="6684" w:type="dxa"/>
            <w:shd w:val="clear" w:color="auto" w:fill="auto"/>
          </w:tcPr>
          <w:p w14:paraId="17EC09D1">
            <w:pPr>
              <w:pStyle w:val="150"/>
            </w:pPr>
            <w:r>
              <w:t>自动获取</w:t>
            </w:r>
            <w:r>
              <w:rPr>
                <w:rFonts w:hint="eastAsia"/>
              </w:rPr>
              <w:t>CRL使用的协议类型。</w:t>
            </w:r>
          </w:p>
        </w:tc>
      </w:tr>
      <w:tr w14:paraId="0325D50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458DDA8E">
            <w:pPr>
              <w:pStyle w:val="150"/>
            </w:pPr>
            <w:r>
              <w:rPr>
                <w:rFonts w:hint="eastAsia"/>
              </w:rPr>
              <w:t>HTTP服务器URL</w:t>
            </w:r>
          </w:p>
        </w:tc>
        <w:tc>
          <w:tcPr>
            <w:tcW w:w="6684" w:type="dxa"/>
            <w:shd w:val="clear" w:color="auto" w:fill="auto"/>
          </w:tcPr>
          <w:p w14:paraId="6E064F87">
            <w:pPr>
              <w:pStyle w:val="150"/>
            </w:pPr>
            <w:r>
              <w:t>使用</w:t>
            </w:r>
            <w:r>
              <w:rPr>
                <w:rFonts w:hint="eastAsia"/>
              </w:rPr>
              <w:t>HTTP获取CRL时使用的URL。</w:t>
            </w:r>
          </w:p>
        </w:tc>
      </w:tr>
      <w:tr w14:paraId="5F10714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5D69044A">
            <w:pPr>
              <w:pStyle w:val="150"/>
            </w:pPr>
            <w:r>
              <w:rPr>
                <w:rFonts w:hint="eastAsia"/>
              </w:rPr>
              <w:t>LDAP服务器名称</w:t>
            </w:r>
          </w:p>
        </w:tc>
        <w:tc>
          <w:tcPr>
            <w:tcW w:w="6684" w:type="dxa"/>
            <w:shd w:val="clear" w:color="auto" w:fill="auto"/>
          </w:tcPr>
          <w:p w14:paraId="20D679EE">
            <w:pPr>
              <w:pStyle w:val="150"/>
            </w:pPr>
            <w:r>
              <w:t>使用</w:t>
            </w:r>
            <w:r>
              <w:rPr>
                <w:rFonts w:hint="eastAsia"/>
              </w:rPr>
              <w:t>LDAP获取CRL时使用的LDAP服务器名称。</w:t>
            </w:r>
          </w:p>
        </w:tc>
      </w:tr>
    </w:tbl>
    <w:p w14:paraId="14D6BE7C"/>
    <w:p w14:paraId="0D566109">
      <w:r>
        <w:rPr>
          <w:rFonts w:hint="eastAsia"/>
        </w:rPr>
        <w:t>点击</w:t>
      </w:r>
      <w:r>
        <w:t>&lt;</w:t>
      </w:r>
      <w:r>
        <w:rPr>
          <w:rFonts w:hint="eastAsia"/>
        </w:rPr>
        <w:t>提交</w:t>
      </w:r>
      <w:r>
        <w:t>&gt;</w:t>
      </w:r>
      <w:r>
        <w:rPr>
          <w:rFonts w:hint="eastAsia"/>
        </w:rPr>
        <w:t>按钮，提交配置后，可以通过如</w:t>
      </w:r>
      <w:r>
        <w:rPr>
          <w:color w:val="0000FF"/>
          <w:u w:val="single"/>
        </w:rPr>
        <w:fldChar w:fldCharType="begin"/>
      </w:r>
      <w:r>
        <w:rPr>
          <w:color w:val="0000FF"/>
          <w:u w:val="single"/>
        </w:rPr>
        <w:instrText xml:space="preserve"> </w:instrText>
      </w:r>
      <w:r>
        <w:rPr>
          <w:rFonts w:hint="eastAsia"/>
          <w:color w:val="0000FF"/>
          <w:u w:val="single"/>
        </w:rPr>
        <w:instrText xml:space="preserve">REF _Ref393271315 \r \h</w:instrText>
      </w:r>
      <w:r>
        <w:rPr>
          <w:color w:val="0000FF"/>
          <w:u w:val="single"/>
        </w:rPr>
        <w:instrText xml:space="preserve"> </w:instrText>
      </w:r>
      <w:r>
        <w:rPr>
          <w:color w:val="0000FF"/>
          <w:u w:val="single"/>
        </w:rPr>
        <w:fldChar w:fldCharType="separate"/>
      </w:r>
      <w:r>
        <w:rPr>
          <w:rFonts w:hint="eastAsia"/>
          <w:color w:val="0000FF"/>
          <w:u w:val="single"/>
        </w:rPr>
        <w:t>图28-90</w:t>
      </w:r>
      <w:r>
        <w:rPr>
          <w:color w:val="0000FF"/>
          <w:u w:val="single"/>
        </w:rPr>
        <w:fldChar w:fldCharType="end"/>
      </w:r>
      <w:r>
        <w:rPr>
          <w:rFonts w:hint="eastAsia"/>
        </w:rPr>
        <w:t>所示的页面编辑、删除、立即获取</w:t>
      </w:r>
      <w:r>
        <w:t>CRL</w:t>
      </w:r>
      <w:r>
        <w:rPr>
          <w:rFonts w:hint="eastAsia"/>
        </w:rPr>
        <w:t>文件。</w:t>
      </w:r>
    </w:p>
    <w:p w14:paraId="45D53C68">
      <w:pPr>
        <w:pStyle w:val="188"/>
      </w:pPr>
      <w:bookmarkStart w:id="7025" w:name="_Ref393271315"/>
      <w:bookmarkStart w:id="7026" w:name="_Toc141875018"/>
      <w:r>
        <w:t>自动获取</w:t>
      </w:r>
      <w:r>
        <w:rPr>
          <w:rFonts w:hint="eastAsia"/>
        </w:rPr>
        <w:t>CRL文件配置</w:t>
      </w:r>
      <w:r>
        <w:t>概览页面</w:t>
      </w:r>
      <w:bookmarkEnd w:id="7025"/>
      <w:bookmarkEnd w:id="7026"/>
    </w:p>
    <w:p w14:paraId="207B4D15">
      <w:r>
        <w:drawing>
          <wp:inline distT="0" distB="0" distL="0" distR="0">
            <wp:extent cx="5429250" cy="1085215"/>
            <wp:effectExtent l="0" t="0" r="0" b="635"/>
            <wp:docPr id="2961" name="图片 2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1" name="图片 2961"/>
                    <pic:cNvPicPr>
                      <a:picLocks noChangeAspect="1"/>
                    </pic:cNvPicPr>
                  </pic:nvPicPr>
                  <pic:blipFill>
                    <a:blip r:embed="rId855"/>
                    <a:stretch>
                      <a:fillRect/>
                    </a:stretch>
                  </pic:blipFill>
                  <pic:spPr>
                    <a:xfrm>
                      <a:off x="0" y="0"/>
                      <a:ext cx="5431817" cy="1085912"/>
                    </a:xfrm>
                    <a:prstGeom prst="rect">
                      <a:avLst/>
                    </a:prstGeom>
                  </pic:spPr>
                </pic:pic>
              </a:graphicData>
            </a:graphic>
          </wp:inline>
        </w:drawing>
      </w:r>
    </w:p>
    <w:p w14:paraId="3548D64D"/>
    <w:p w14:paraId="4652203D">
      <w:r>
        <w:rPr>
          <w:rFonts w:hint="eastAsia"/>
        </w:rPr>
        <w:t>点击</w:t>
      </w:r>
      <w:r>
        <w:t>&lt;</w:t>
      </w:r>
      <w:r>
        <w:rPr>
          <w:rFonts w:hint="eastAsia"/>
        </w:rPr>
        <w:t>编辑</w:t>
      </w:r>
      <w:r>
        <w:t>&gt;</w:t>
      </w:r>
      <w:r>
        <w:rPr>
          <w:rFonts w:hint="eastAsia"/>
        </w:rPr>
        <w:t>按钮，可以编辑选中的条目。</w:t>
      </w:r>
    </w:p>
    <w:p w14:paraId="57AB9CF3">
      <w:r>
        <w:rPr>
          <w:rFonts w:hint="eastAsia"/>
        </w:rPr>
        <w:t>点击</w:t>
      </w:r>
      <w:r>
        <w:t>&lt;</w:t>
      </w:r>
      <w:r>
        <w:rPr>
          <w:rFonts w:hint="eastAsia"/>
        </w:rPr>
        <w:t>立即获取</w:t>
      </w:r>
      <w:r>
        <w:t>&gt;</w:t>
      </w:r>
      <w:r>
        <w:rPr>
          <w:rFonts w:hint="eastAsia"/>
        </w:rPr>
        <w:t>按钮，可以立即从配置的服务器处获取</w:t>
      </w:r>
      <w:r>
        <w:t>CRL</w:t>
      </w:r>
      <w:r>
        <w:rPr>
          <w:rFonts w:hint="eastAsia"/>
        </w:rPr>
        <w:t>文件。</w:t>
      </w:r>
    </w:p>
    <w:p w14:paraId="6DB0F97B">
      <w:r>
        <w:rPr>
          <w:rFonts w:hint="eastAsia"/>
        </w:rPr>
        <w:t>点击</w:t>
      </w:r>
      <w:r>
        <w:t>&lt;</w:t>
      </w:r>
      <w:r>
        <w:rPr>
          <w:rFonts w:hint="eastAsia"/>
        </w:rPr>
        <w:t>删除</w:t>
      </w:r>
      <w:r>
        <w:t>&gt;</w:t>
      </w:r>
      <w:r>
        <w:rPr>
          <w:rFonts w:hint="eastAsia"/>
        </w:rPr>
        <w:t>按钮，可以删除选中的条目。</w:t>
      </w:r>
    </w:p>
    <w:p w14:paraId="23396568"/>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43B144AB">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66C2B56D">
            <w:pPr>
              <w:pStyle w:val="150"/>
              <w:adjustRightInd w:val="0"/>
              <w:snapToGrid w:val="0"/>
              <w:rPr>
                <w:color w:val="auto"/>
              </w:rPr>
            </w:pPr>
            <w:bookmarkStart w:id="7027" w:name="OLE_LINK34"/>
            <w:r>
              <w:rPr>
                <w:b/>
                <w:color w:val="00A0E9"/>
              </w:rPr>
              <w:drawing>
                <wp:inline distT="0" distB="0" distL="0" distR="0">
                  <wp:extent cx="260350" cy="260350"/>
                  <wp:effectExtent l="0" t="0" r="6350" b="6350"/>
                  <wp:docPr id="897" name="图片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图片 897"/>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0470" cy="260470"/>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56B6F3BC">
            <w:pPr>
              <w:pStyle w:val="150"/>
              <w:adjustRightInd w:val="0"/>
              <w:snapToGrid w:val="0"/>
              <w:rPr>
                <w:color w:val="auto"/>
              </w:rPr>
            </w:pPr>
            <w:r>
              <w:rPr>
                <w:rFonts w:hint="eastAsia"/>
                <w:color w:val="auto"/>
              </w:rPr>
              <w:t>自动获取到的CRL文件将以配置条目名称命名。</w:t>
            </w:r>
          </w:p>
        </w:tc>
      </w:tr>
      <w:bookmarkEnd w:id="7027"/>
    </w:tbl>
    <w:p w14:paraId="38E2441F"/>
    <w:bookmarkEnd w:id="6910"/>
    <w:bookmarkEnd w:id="6911"/>
    <w:bookmarkEnd w:id="6912"/>
    <w:bookmarkEnd w:id="6913"/>
    <w:bookmarkEnd w:id="6914"/>
    <w:bookmarkEnd w:id="6915"/>
    <w:bookmarkEnd w:id="6916"/>
    <w:bookmarkEnd w:id="6917"/>
    <w:p w14:paraId="6BF3FC34">
      <w:pPr>
        <w:pStyle w:val="3"/>
      </w:pPr>
      <w:bookmarkStart w:id="7028" w:name="_Toc194081101"/>
      <w:bookmarkStart w:id="7029" w:name="_Toc196728433"/>
      <w:r>
        <w:rPr>
          <w:rFonts w:hint="eastAsia"/>
        </w:rPr>
        <w:t>安全设置</w:t>
      </w:r>
      <w:bookmarkEnd w:id="7028"/>
      <w:bookmarkEnd w:id="7029"/>
    </w:p>
    <w:p w14:paraId="0A1F444A">
      <w:pPr>
        <w:pStyle w:val="4"/>
      </w:pPr>
      <w:bookmarkStart w:id="7030" w:name="_Toc196728434"/>
      <w:bookmarkStart w:id="7031" w:name="_Toc194081102"/>
      <w:r>
        <w:rPr>
          <w:rFonts w:hint="eastAsia"/>
        </w:rPr>
        <w:t>入侵防御</w:t>
      </w:r>
      <w:bookmarkEnd w:id="7030"/>
      <w:bookmarkEnd w:id="7031"/>
    </w:p>
    <w:p w14:paraId="6C8B85D9">
      <w:pPr>
        <w:pStyle w:val="5"/>
      </w:pPr>
      <w:bookmarkStart w:id="7032" w:name="_Toc194081103"/>
      <w:bookmarkStart w:id="7033" w:name="_Toc141873760"/>
      <w:bookmarkStart w:id="7034" w:name="_Toc23152983"/>
      <w:bookmarkStart w:id="7035" w:name="_Toc40276404"/>
      <w:bookmarkStart w:id="7036" w:name="_Toc196728435"/>
      <w:bookmarkStart w:id="7037" w:name="_Toc15485219"/>
      <w:bookmarkStart w:id="7038" w:name="_Toc142401277"/>
      <w:bookmarkStart w:id="7039" w:name="_Toc172218555"/>
      <w:bookmarkStart w:id="7040" w:name="_Toc99561923"/>
      <w:r>
        <w:rPr>
          <w:rFonts w:hint="eastAsia"/>
        </w:rPr>
        <w:t>入侵防御概述</w:t>
      </w:r>
      <w:bookmarkEnd w:id="7032"/>
      <w:bookmarkEnd w:id="7033"/>
      <w:bookmarkEnd w:id="7034"/>
      <w:bookmarkEnd w:id="7035"/>
      <w:bookmarkEnd w:id="7036"/>
      <w:bookmarkEnd w:id="7037"/>
      <w:bookmarkEnd w:id="7038"/>
      <w:bookmarkEnd w:id="7039"/>
      <w:bookmarkEnd w:id="7040"/>
    </w:p>
    <w:p w14:paraId="3F9AD429">
      <w:r>
        <w:rPr>
          <w:rFonts w:hint="eastAsia"/>
        </w:rPr>
        <w:t>随着互联网的飞速发展，网络环境也变得越来越复杂，恶意攻击、木马、蠕虫病毒等混合威胁不断增大，单一的防护措施已经无能为力，企业需要对网络进行多层、深层的防护来有效保证其网络安全，而入侵防御系统则是提供深层防护体系的保障。</w:t>
      </w:r>
    </w:p>
    <w:p w14:paraId="31CA0C53">
      <w:r>
        <w:rPr>
          <w:rFonts w:hint="eastAsia"/>
        </w:rPr>
        <w:t>入侵防御</w:t>
      </w:r>
      <w:r>
        <w:t>涉</w:t>
      </w:r>
      <w:r>
        <w:rPr>
          <w:rFonts w:hint="eastAsia"/>
        </w:rPr>
        <w:t>及以</w:t>
      </w:r>
      <w:r>
        <w:t>下概念：</w:t>
      </w:r>
    </w:p>
    <w:p w14:paraId="2F47A76B">
      <w:pPr>
        <w:pStyle w:val="162"/>
      </w:pPr>
      <w:r>
        <w:t>规则模板</w:t>
      </w:r>
      <w:r>
        <w:rPr>
          <w:rFonts w:hint="eastAsia"/>
        </w:rPr>
        <w:t>：规则模板是一个或多个规则的集合，规则模板分为预定义规则模板、派生规则模板和自定义规则模板。</w:t>
      </w:r>
    </w:p>
    <w:p w14:paraId="6AEE707C">
      <w:pPr>
        <w:pStyle w:val="162"/>
      </w:pPr>
      <w:r>
        <w:rPr>
          <w:rFonts w:hint="eastAsia"/>
        </w:rPr>
        <w:t>预定义规则模板由系统自动创建，其中包含的规则以及每条规则的配置（阻断、抓包等）也都由系统预先设定，规则不允许增加或删除，每条规则的配置也不允许修改。预定义规则模板包括以下四个：</w:t>
      </w:r>
    </w:p>
    <w:p w14:paraId="585E433A">
      <w:pPr>
        <w:pStyle w:val="162"/>
      </w:pPr>
      <w:r>
        <w:rPr>
          <w:rFonts w:hint="eastAsia"/>
        </w:rPr>
        <w:t>all：包含全部规则</w:t>
      </w:r>
    </w:p>
    <w:p w14:paraId="3345DD6A">
      <w:pPr>
        <w:pStyle w:val="162"/>
      </w:pPr>
      <w:r>
        <w:rPr>
          <w:rFonts w:hint="eastAsia"/>
        </w:rPr>
        <w:t>web：包含HTTP相关规则</w:t>
      </w:r>
    </w:p>
    <w:p w14:paraId="1A4C0114">
      <w:pPr>
        <w:pStyle w:val="162"/>
      </w:pPr>
      <w:r>
        <w:rPr>
          <w:rFonts w:hint="eastAsia"/>
        </w:rPr>
        <w:t>windows：包含Windows系统漏洞规则</w:t>
      </w:r>
    </w:p>
    <w:p w14:paraId="70D2205F">
      <w:pPr>
        <w:pStyle w:val="162"/>
      </w:pPr>
      <w:r>
        <w:rPr>
          <w:rFonts w:hint="eastAsia"/>
        </w:rPr>
        <w:t>unix：包含Unix、Linux系统漏洞规则</w:t>
      </w:r>
    </w:p>
    <w:p w14:paraId="4830E0FC">
      <w:pPr>
        <w:pStyle w:val="162"/>
      </w:pPr>
      <w:r>
        <w:rPr>
          <w:rFonts w:hint="eastAsia"/>
        </w:rPr>
        <w:t>派生规则模板由预定义规则模板派生而来，其中包含的规则与对应的预定义规则模板相同，也是不允许增加或删除，但是可以修改每条规则的配置。派生规则模板由用户根据需要手动派生创建，派生规则模板不可以再派生。</w:t>
      </w:r>
    </w:p>
    <w:p w14:paraId="163402C9">
      <w:pPr>
        <w:pStyle w:val="162"/>
      </w:pPr>
      <w:r>
        <w:rPr>
          <w:rFonts w:hint="eastAsia"/>
        </w:rPr>
        <w:t>自定义规则模板完全由用户自己定义创建，其中包含的规则以及配置都可以随意修改。</w:t>
      </w:r>
    </w:p>
    <w:p w14:paraId="645B8753">
      <w:pPr>
        <w:pStyle w:val="162"/>
      </w:pPr>
      <w:r>
        <w:t>规则</w:t>
      </w:r>
      <w:r>
        <w:rPr>
          <w:rFonts w:hint="eastAsia"/>
        </w:rPr>
        <w:t>：</w:t>
      </w:r>
      <w:r>
        <w:t>规则</w:t>
      </w:r>
      <w:r>
        <w:rPr>
          <w:rFonts w:hint="eastAsia"/>
        </w:rPr>
        <w:t>除了包含有检测攻击的特征之外，还有规则严重程度、规则状态、日志、阻断、隔离、抓包，CVE、CNNVD、操作系统、发布年份、厂商，操作等。一条规则可以属于多个规则模板。</w:t>
      </w:r>
    </w:p>
    <w:p w14:paraId="26635EBC">
      <w:r>
        <w:rPr>
          <w:rFonts w:hint="eastAsia"/>
        </w:rPr>
        <w:t>入侵防御安全引擎提供自定义规则功能，通过对进入设备报文的协议类型，协议字段，字段内容形成匹配条件，并通过逻辑与、逻辑或形成多条件匹配的方式实现入侵防御。安全管理员可以使用自定义规则功能，自己写签名进行防护。自定义规则检测是基于流检测的，支持多种协议字段，其中包括IP、UDP、TCP、FTP、HTTP、ICMP、POP3、SMTP协议。对于字符串字段，可支持正则和非正则匹配的方式。</w:t>
      </w:r>
    </w:p>
    <w:p w14:paraId="4D361522">
      <w:r>
        <w:rPr>
          <w:rFonts w:hint="eastAsia"/>
        </w:rPr>
        <w:t>入侵防御的配置思路：</w:t>
      </w:r>
    </w:p>
    <w:p w14:paraId="2ED59417">
      <w:pPr>
        <w:pStyle w:val="202"/>
        <w:rPr>
          <w:lang w:eastAsia="zh-CN"/>
        </w:rPr>
      </w:pPr>
      <w:r>
        <w:rPr>
          <w:rFonts w:hint="eastAsia"/>
          <w:lang w:eastAsia="zh-CN"/>
        </w:rPr>
        <w:t>配置规则模板，决定需要对哪些事件做检测，并决定检测到攻击之后的日志和动作，可以使用系统预定义的规则模板，也可以自定义新的规则模板。</w:t>
      </w:r>
    </w:p>
    <w:p w14:paraId="529F0EEB">
      <w:pPr>
        <w:pStyle w:val="202"/>
        <w:rPr>
          <w:lang w:eastAsia="zh-CN"/>
        </w:rPr>
      </w:pPr>
      <w:r>
        <w:rPr>
          <w:rFonts w:hint="eastAsia"/>
          <w:lang w:eastAsia="zh-CN"/>
        </w:rPr>
        <w:t>配置安全控制策略，在安全控制策略中配置入侵防御策略，引用已经配置的规则模板，对命中安全策略的流量做入侵防御相关的检测。</w:t>
      </w:r>
    </w:p>
    <w:p w14:paraId="3B0C4209">
      <w:pPr>
        <w:pStyle w:val="5"/>
      </w:pPr>
      <w:bookmarkStart w:id="7041" w:name="_Toc60069234"/>
      <w:bookmarkStart w:id="7042" w:name="_Toc61022703"/>
      <w:bookmarkStart w:id="7043" w:name="_Toc44618351"/>
      <w:bookmarkStart w:id="7044" w:name="_Toc141873761"/>
      <w:bookmarkStart w:id="7045" w:name="_Toc15485220"/>
      <w:bookmarkStart w:id="7046" w:name="_Toc142401278"/>
      <w:bookmarkStart w:id="7047" w:name="_Toc196728436"/>
      <w:bookmarkStart w:id="7048" w:name="_Toc172218556"/>
      <w:bookmarkStart w:id="7049" w:name="_Toc194081104"/>
      <w:bookmarkStart w:id="7050" w:name="_Toc99561924"/>
      <w:bookmarkStart w:id="7051" w:name="_Toc41651259"/>
      <w:r>
        <w:rPr>
          <w:rFonts w:hint="eastAsia"/>
        </w:rPr>
        <w:t>入侵防御规则模板配置</w:t>
      </w:r>
      <w:bookmarkEnd w:id="7041"/>
      <w:bookmarkEnd w:id="7042"/>
      <w:bookmarkEnd w:id="7043"/>
      <w:bookmarkEnd w:id="7044"/>
      <w:bookmarkEnd w:id="7045"/>
      <w:bookmarkEnd w:id="7046"/>
      <w:bookmarkEnd w:id="7047"/>
      <w:bookmarkEnd w:id="7048"/>
      <w:bookmarkEnd w:id="7049"/>
      <w:bookmarkEnd w:id="7050"/>
      <w:bookmarkEnd w:id="7051"/>
    </w:p>
    <w:p w14:paraId="604E25FD">
      <w:pPr>
        <w:pStyle w:val="6"/>
      </w:pPr>
      <w:bookmarkStart w:id="7052" w:name="_Toc172218557"/>
      <w:bookmarkStart w:id="7053" w:name="_Toc404075369"/>
      <w:bookmarkStart w:id="7054" w:name="_Toc510628145"/>
      <w:bookmarkStart w:id="7055" w:name="_Toc15485221"/>
      <w:bookmarkStart w:id="7056" w:name="_Toc495418689"/>
      <w:bookmarkStart w:id="7057" w:name="_Toc41651260"/>
      <w:bookmarkStart w:id="7058" w:name="_Toc44618352"/>
      <w:bookmarkStart w:id="7059" w:name="_Toc61022704"/>
      <w:bookmarkStart w:id="7060" w:name="_Toc99561925"/>
      <w:bookmarkStart w:id="7061" w:name="_Toc436123114"/>
      <w:bookmarkStart w:id="7062" w:name="_Toc141873762"/>
      <w:bookmarkStart w:id="7063" w:name="_Toc142401279"/>
      <w:bookmarkStart w:id="7064" w:name="_Toc60069235"/>
      <w:bookmarkStart w:id="7065" w:name="_Toc2937464"/>
      <w:r>
        <w:rPr>
          <w:rFonts w:hint="eastAsia"/>
        </w:rPr>
        <w:t>规则模板页面</w:t>
      </w:r>
      <w:bookmarkEnd w:id="7052"/>
      <w:bookmarkEnd w:id="7053"/>
      <w:bookmarkEnd w:id="7054"/>
      <w:bookmarkEnd w:id="7055"/>
      <w:bookmarkEnd w:id="7056"/>
      <w:bookmarkEnd w:id="7057"/>
      <w:bookmarkEnd w:id="7058"/>
      <w:bookmarkEnd w:id="7059"/>
      <w:bookmarkEnd w:id="7060"/>
      <w:bookmarkEnd w:id="7061"/>
      <w:bookmarkEnd w:id="7062"/>
      <w:bookmarkEnd w:id="7063"/>
      <w:bookmarkEnd w:id="7064"/>
      <w:bookmarkEnd w:id="7065"/>
    </w:p>
    <w:p w14:paraId="31144922">
      <w:r>
        <w:rPr>
          <w:rFonts w:hint="eastAsia"/>
        </w:rPr>
        <w:t>通过菜单“策略配置&gt;安全设置&gt;入侵防御&gt;模板”，进入如</w:t>
      </w:r>
      <w:r>
        <w:fldChar w:fldCharType="begin"/>
      </w:r>
      <w:r>
        <w:instrText xml:space="preserve"> </w:instrText>
      </w:r>
      <w:r>
        <w:rPr>
          <w:rFonts w:hint="eastAsia"/>
        </w:rPr>
        <w:instrText xml:space="preserve">REF _Ref73022259 \r \h</w:instrText>
      </w:r>
      <w:r>
        <w:instrText xml:space="preserve"> </w:instrText>
      </w:r>
      <w:r>
        <w:fldChar w:fldCharType="separate"/>
      </w:r>
      <w:r>
        <w:rPr>
          <w:rFonts w:hint="eastAsia"/>
        </w:rPr>
        <w:t>图29-1</w:t>
      </w:r>
      <w:r>
        <w:fldChar w:fldCharType="end"/>
      </w:r>
      <w:r>
        <w:rPr>
          <w:rFonts w:hint="eastAsia"/>
        </w:rPr>
        <w:t>所示界面。可以查看系统预定义的规则模板和自定义的规则模板信息。</w:t>
      </w:r>
    </w:p>
    <w:p w14:paraId="7246583E">
      <w:pPr>
        <w:pStyle w:val="188"/>
      </w:pPr>
      <w:bookmarkStart w:id="7066" w:name="_Ref73022259"/>
      <w:bookmarkStart w:id="7067" w:name="_Toc141875164"/>
      <w:r>
        <w:rPr>
          <w:rFonts w:hint="eastAsia"/>
        </w:rPr>
        <w:t>入侵防御模板页面</w:t>
      </w:r>
      <w:bookmarkEnd w:id="7066"/>
      <w:bookmarkEnd w:id="7067"/>
    </w:p>
    <w:p w14:paraId="0FB439E3">
      <w:r>
        <w:drawing>
          <wp:inline distT="0" distB="0" distL="0" distR="0">
            <wp:extent cx="5619750" cy="2171700"/>
            <wp:effectExtent l="0" t="0" r="0" b="0"/>
            <wp:docPr id="1802027882" name="图片 1802027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82" name="图片 1802027882"/>
                    <pic:cNvPicPr>
                      <a:picLocks noChangeAspect="1"/>
                    </pic:cNvPicPr>
                  </pic:nvPicPr>
                  <pic:blipFill>
                    <a:blip r:embed="rId856"/>
                    <a:stretch>
                      <a:fillRect/>
                    </a:stretch>
                  </pic:blipFill>
                  <pic:spPr>
                    <a:xfrm>
                      <a:off x="0" y="0"/>
                      <a:ext cx="5624077" cy="2173429"/>
                    </a:xfrm>
                    <a:prstGeom prst="rect">
                      <a:avLst/>
                    </a:prstGeom>
                  </pic:spPr>
                </pic:pic>
              </a:graphicData>
            </a:graphic>
          </wp:inline>
        </w:drawing>
      </w:r>
      <w:r>
        <w:t xml:space="preserve"> </w:t>
      </w:r>
    </w:p>
    <w:p w14:paraId="101D7A95"/>
    <w:p w14:paraId="55F453AF">
      <w:r>
        <w:rPr>
          <w:rFonts w:hint="eastAsia"/>
        </w:rPr>
        <w:t>系统内置了All、Windows、Unix-like、和Webserver四个预定义模板。用户无法修改和删除默认模板。点击模板名称查看模板的规则集合，并可对协议异常检查进行设置。可定期升级入侵防御特征库，升级方式请参考</w:t>
      </w:r>
      <w:r>
        <w:fldChar w:fldCharType="begin"/>
      </w:r>
      <w:r>
        <w:instrText xml:space="preserve"> </w:instrText>
      </w:r>
      <w:r>
        <w:rPr>
          <w:rFonts w:hint="eastAsia"/>
        </w:rPr>
        <w:instrText xml:space="preserve">REF _Ref141816710 \h</w:instrText>
      </w:r>
      <w:r>
        <w:instrText xml:space="preserve"> </w:instrText>
      </w:r>
      <w:r>
        <w:fldChar w:fldCharType="separate"/>
      </w:r>
      <w:r>
        <w:rPr>
          <w:rFonts w:hint="eastAsia"/>
        </w:rPr>
        <w:t>升级管理</w:t>
      </w:r>
      <w:r>
        <w:fldChar w:fldCharType="end"/>
      </w:r>
      <w:r>
        <w:t>章节</w:t>
      </w:r>
      <w:r>
        <w:rPr>
          <w:rFonts w:hint="eastAsia"/>
        </w:rPr>
        <w:t>。点击</w:t>
      </w:r>
      <w:r>
        <w:drawing>
          <wp:inline distT="0" distB="0" distL="0" distR="0">
            <wp:extent cx="219075" cy="228600"/>
            <wp:effectExtent l="0" t="0" r="0" b="0"/>
            <wp:docPr id="86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图片 19"/>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a:xfrm>
                      <a:off x="0" y="0"/>
                      <a:ext cx="219075" cy="228600"/>
                    </a:xfrm>
                    <a:prstGeom prst="rect">
                      <a:avLst/>
                    </a:prstGeom>
                    <a:noFill/>
                    <a:ln>
                      <a:noFill/>
                    </a:ln>
                  </pic:spPr>
                </pic:pic>
              </a:graphicData>
            </a:graphic>
          </wp:inline>
        </w:drawing>
      </w:r>
      <w:r>
        <w:rPr>
          <w:rFonts w:hint="eastAsia"/>
        </w:rPr>
        <w:t>，即可对预定义模板进行规则派生。派生出来的规则模板会继承父模板的特征库更新。</w:t>
      </w:r>
    </w:p>
    <w:p w14:paraId="193B4B33">
      <w:pPr>
        <w:pStyle w:val="6"/>
      </w:pPr>
      <w:bookmarkStart w:id="7068" w:name="_Toc44618353"/>
      <w:bookmarkStart w:id="7069" w:name="_Toc41651261"/>
      <w:bookmarkStart w:id="7070" w:name="_Toc15485222"/>
      <w:bookmarkStart w:id="7071" w:name="_Toc404075370"/>
      <w:bookmarkStart w:id="7072" w:name="_Toc510628146"/>
      <w:bookmarkStart w:id="7073" w:name="_Toc495418690"/>
      <w:bookmarkStart w:id="7074" w:name="_Toc2937465"/>
      <w:bookmarkStart w:id="7075" w:name="_Toc436123115"/>
      <w:bookmarkStart w:id="7076" w:name="_Toc60069236"/>
      <w:bookmarkStart w:id="7077" w:name="_Toc61022705"/>
      <w:bookmarkStart w:id="7078" w:name="_Toc99561926"/>
      <w:bookmarkStart w:id="7079" w:name="_Toc142401280"/>
      <w:bookmarkStart w:id="7080" w:name="_Toc172218558"/>
      <w:bookmarkStart w:id="7081" w:name="_Toc141873763"/>
      <w:r>
        <w:rPr>
          <w:rFonts w:hint="eastAsia"/>
        </w:rPr>
        <w:t>新建</w:t>
      </w:r>
      <w:bookmarkEnd w:id="7068"/>
      <w:bookmarkEnd w:id="7069"/>
      <w:bookmarkEnd w:id="7070"/>
      <w:bookmarkEnd w:id="7071"/>
      <w:bookmarkEnd w:id="7072"/>
      <w:bookmarkEnd w:id="7073"/>
      <w:bookmarkEnd w:id="7074"/>
      <w:bookmarkEnd w:id="7075"/>
      <w:r>
        <w:rPr>
          <w:rFonts w:hint="eastAsia"/>
        </w:rPr>
        <w:t>入侵防御模板</w:t>
      </w:r>
      <w:bookmarkEnd w:id="7076"/>
      <w:bookmarkEnd w:id="7077"/>
      <w:bookmarkEnd w:id="7078"/>
      <w:bookmarkEnd w:id="7079"/>
      <w:bookmarkEnd w:id="7080"/>
      <w:bookmarkEnd w:id="7081"/>
    </w:p>
    <w:p w14:paraId="12C0A937">
      <w:pPr>
        <w:pStyle w:val="202"/>
        <w:rPr>
          <w:lang w:eastAsia="zh-CN"/>
        </w:rPr>
      </w:pPr>
      <w:r>
        <w:rPr>
          <w:rFonts w:hint="eastAsia"/>
          <w:lang w:eastAsia="zh-CN"/>
        </w:rPr>
        <w:t>在</w:t>
      </w:r>
      <w:r>
        <w:rPr>
          <w:lang w:eastAsia="zh-CN"/>
        </w:rPr>
        <w:t>模板</w:t>
      </w:r>
      <w:r>
        <w:rPr>
          <w:rFonts w:hint="eastAsia"/>
          <w:lang w:eastAsia="zh-CN"/>
        </w:rPr>
        <w:t>页面点击“</w:t>
      </w:r>
      <w:r>
        <w:rPr>
          <w:lang w:eastAsia="zh-CN"/>
        </w:rPr>
        <w:t>新建</w:t>
      </w:r>
      <w:r>
        <w:rPr>
          <w:rFonts w:hint="eastAsia"/>
          <w:lang w:eastAsia="zh-CN"/>
        </w:rPr>
        <w:t>”，系统弹出新建规则模板对话框，如</w:t>
      </w:r>
      <w:r>
        <w:fldChar w:fldCharType="begin"/>
      </w:r>
      <w:r>
        <w:rPr>
          <w:lang w:eastAsia="zh-CN"/>
        </w:rPr>
        <w:instrText xml:space="preserve"> </w:instrText>
      </w:r>
      <w:r>
        <w:rPr>
          <w:rFonts w:hint="eastAsia"/>
          <w:lang w:eastAsia="zh-CN"/>
        </w:rPr>
        <w:instrText xml:space="preserve">REF _Ref509925569 \r \h</w:instrText>
      </w:r>
      <w:r>
        <w:rPr>
          <w:lang w:eastAsia="zh-CN"/>
        </w:rPr>
        <w:instrText xml:space="preserve"> </w:instrText>
      </w:r>
      <w:r>
        <w:fldChar w:fldCharType="separate"/>
      </w:r>
      <w:r>
        <w:rPr>
          <w:rFonts w:hint="eastAsia"/>
          <w:lang w:eastAsia="zh-CN"/>
        </w:rPr>
        <w:t>图29-2</w:t>
      </w:r>
      <w:r>
        <w:fldChar w:fldCharType="end"/>
      </w:r>
      <w:r>
        <w:rPr>
          <w:rFonts w:hint="eastAsia"/>
          <w:lang w:eastAsia="zh-CN"/>
        </w:rPr>
        <w:t>所示。入侵防御规则模板配置</w:t>
      </w:r>
      <w:r>
        <w:rPr>
          <w:rFonts w:hint="eastAsia"/>
          <w:color w:val="000000" w:themeColor="text1"/>
          <w:lang w:eastAsia="zh-CN"/>
          <w14:textFill>
            <w14:solidFill>
              <w14:schemeClr w14:val="tx1"/>
            </w14:solidFill>
          </w14:textFill>
        </w:rPr>
        <w:t>信息如</w:t>
      </w:r>
      <w:r>
        <w:rPr>
          <w:color w:val="000000" w:themeColor="text1"/>
          <w14:textFill>
            <w14:solidFill>
              <w14:schemeClr w14:val="tx1"/>
            </w14:solidFill>
          </w14:textFill>
        </w:rPr>
        <w:fldChar w:fldCharType="begin"/>
      </w:r>
      <w:r>
        <w:rPr>
          <w:color w:val="000000" w:themeColor="text1"/>
          <w:lang w:eastAsia="zh-CN"/>
          <w14:textFill>
            <w14:solidFill>
              <w14:schemeClr w14:val="tx1"/>
            </w14:solidFill>
          </w14:textFill>
        </w:rPr>
        <w:instrText xml:space="preserve"> </w:instrText>
      </w:r>
      <w:r>
        <w:rPr>
          <w:rFonts w:hint="eastAsia"/>
          <w:color w:val="000000" w:themeColor="text1"/>
          <w:lang w:eastAsia="zh-CN"/>
          <w14:textFill>
            <w14:solidFill>
              <w14:schemeClr w14:val="tx1"/>
            </w14:solidFill>
          </w14:textFill>
        </w:rPr>
        <w:instrText xml:space="preserve">REF _Ref509925547 \r \h</w:instrText>
      </w:r>
      <w:r>
        <w:rPr>
          <w:color w:val="000000" w:themeColor="text1"/>
          <w:lang w:eastAsia="zh-CN"/>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lang w:eastAsia="zh-CN"/>
          <w14:textFill>
            <w14:solidFill>
              <w14:schemeClr w14:val="tx1"/>
            </w14:solidFill>
          </w14:textFill>
        </w:rPr>
        <w:t>表29-1</w:t>
      </w:r>
      <w:r>
        <w:rPr>
          <w:color w:val="000000" w:themeColor="text1"/>
          <w14:textFill>
            <w14:solidFill>
              <w14:schemeClr w14:val="tx1"/>
            </w14:solidFill>
          </w14:textFill>
        </w:rPr>
        <w:fldChar w:fldCharType="end"/>
      </w:r>
      <w:r>
        <w:rPr>
          <w:rFonts w:hint="eastAsia"/>
          <w:color w:val="000000" w:themeColor="text1"/>
          <w:lang w:eastAsia="zh-CN"/>
          <w14:textFill>
            <w14:solidFill>
              <w14:schemeClr w14:val="tx1"/>
            </w14:solidFill>
          </w14:textFill>
        </w:rPr>
        <w:t>所示：</w:t>
      </w:r>
    </w:p>
    <w:p w14:paraId="0428539D">
      <w:pPr>
        <w:pStyle w:val="188"/>
      </w:pPr>
      <w:bookmarkStart w:id="7082" w:name="_Toc421279041"/>
      <w:bookmarkStart w:id="7083" w:name="_Ref509925569"/>
      <w:bookmarkStart w:id="7084" w:name="_Toc141875165"/>
      <w:r>
        <w:rPr>
          <w:rFonts w:hint="eastAsia"/>
        </w:rPr>
        <w:t>新建入侵防御</w:t>
      </w:r>
      <w:bookmarkEnd w:id="7082"/>
      <w:bookmarkEnd w:id="7083"/>
      <w:r>
        <w:rPr>
          <w:rFonts w:hint="eastAsia"/>
        </w:rPr>
        <w:t>规则模板</w:t>
      </w:r>
      <w:bookmarkEnd w:id="7084"/>
    </w:p>
    <w:p w14:paraId="1A1C5D18">
      <w:pPr>
        <w:spacing w:before="78" w:after="78"/>
      </w:pPr>
      <w:r>
        <w:drawing>
          <wp:inline distT="0" distB="0" distL="114300" distR="114300">
            <wp:extent cx="5181600" cy="2759075"/>
            <wp:effectExtent l="0" t="0" r="0" b="3175"/>
            <wp:docPr id="86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图片 27"/>
                    <pic:cNvPicPr>
                      <a:picLocks noChangeAspect="1"/>
                    </pic:cNvPicPr>
                  </pic:nvPicPr>
                  <pic:blipFill>
                    <a:blip r:embed="rId858"/>
                    <a:stretch>
                      <a:fillRect/>
                    </a:stretch>
                  </pic:blipFill>
                  <pic:spPr>
                    <a:xfrm>
                      <a:off x="0" y="0"/>
                      <a:ext cx="5184631" cy="2761005"/>
                    </a:xfrm>
                    <a:prstGeom prst="rect">
                      <a:avLst/>
                    </a:prstGeom>
                    <a:noFill/>
                    <a:ln>
                      <a:noFill/>
                    </a:ln>
                  </pic:spPr>
                </pic:pic>
              </a:graphicData>
            </a:graphic>
          </wp:inline>
        </w:drawing>
      </w:r>
    </w:p>
    <w:p w14:paraId="4D2C17E4"/>
    <w:p w14:paraId="2F9D6C2E">
      <w:pPr>
        <w:pStyle w:val="183"/>
      </w:pPr>
      <w:bookmarkStart w:id="7085" w:name="_Ref509925547"/>
      <w:bookmarkStart w:id="7086" w:name="_Toc141875719"/>
      <w:r>
        <w:rPr>
          <w:rFonts w:hint="eastAsia"/>
        </w:rPr>
        <w:t>新建</w:t>
      </w:r>
      <w:bookmarkEnd w:id="7085"/>
      <w:r>
        <w:rPr>
          <w:rFonts w:hint="eastAsia"/>
        </w:rPr>
        <w:t>入侵防御规则模板说明</w:t>
      </w:r>
      <w:bookmarkEnd w:id="7086"/>
    </w:p>
    <w:tbl>
      <w:tblPr>
        <w:tblStyle w:val="173"/>
        <w:tblW w:w="500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468"/>
        <w:gridCol w:w="7774"/>
      </w:tblGrid>
      <w:tr w14:paraId="3BB703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794" w:type="pct"/>
            <w:tcBorders>
              <w:tl2br w:val="nil"/>
              <w:tr2bl w:val="nil"/>
            </w:tcBorders>
            <w:shd w:val="clear" w:color="auto" w:fill="538135" w:themeFill="accent6" w:themeFillShade="BF"/>
            <w:vAlign w:val="center"/>
          </w:tcPr>
          <w:p w14:paraId="454BFF32">
            <w:pPr>
              <w:pStyle w:val="149"/>
              <w:wordWrap/>
              <w:rPr>
                <w:b/>
                <w:bCs/>
                <w:i w:val="0"/>
                <w:iCs w:val="0"/>
              </w:rPr>
            </w:pPr>
            <w:r>
              <w:rPr>
                <w:b/>
                <w:bCs/>
                <w:i w:val="0"/>
                <w:iCs w:val="0"/>
              </w:rPr>
              <w:t>参数</w:t>
            </w:r>
          </w:p>
        </w:tc>
        <w:tc>
          <w:tcPr>
            <w:tcW w:w="4206" w:type="pct"/>
            <w:tcBorders>
              <w:tl2br w:val="nil"/>
              <w:tr2bl w:val="nil"/>
            </w:tcBorders>
            <w:shd w:val="clear" w:color="auto" w:fill="538135" w:themeFill="accent6" w:themeFillShade="BF"/>
            <w:vAlign w:val="center"/>
          </w:tcPr>
          <w:p w14:paraId="0F89FCE1">
            <w:pPr>
              <w:pStyle w:val="149"/>
              <w:wordWrap/>
              <w:rPr>
                <w:b/>
                <w:bCs/>
                <w:i w:val="0"/>
                <w:iCs w:val="0"/>
              </w:rPr>
            </w:pPr>
            <w:r>
              <w:rPr>
                <w:b/>
                <w:bCs/>
                <w:i w:val="0"/>
                <w:iCs w:val="0"/>
              </w:rPr>
              <w:t>说明</w:t>
            </w:r>
          </w:p>
        </w:tc>
      </w:tr>
      <w:tr w14:paraId="724CA9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794" w:type="pct"/>
            <w:shd w:val="clear" w:color="auto" w:fill="auto"/>
          </w:tcPr>
          <w:p w14:paraId="7719B4EC">
            <w:pPr>
              <w:pStyle w:val="150"/>
            </w:pPr>
            <w:r>
              <w:t>名称</w:t>
            </w:r>
          </w:p>
        </w:tc>
        <w:tc>
          <w:tcPr>
            <w:tcW w:w="4206" w:type="pct"/>
            <w:shd w:val="clear" w:color="auto" w:fill="auto"/>
          </w:tcPr>
          <w:p w14:paraId="303EBFB1">
            <w:pPr>
              <w:pStyle w:val="150"/>
            </w:pPr>
            <w:r>
              <w:rPr>
                <w:rFonts w:hint="eastAsia"/>
              </w:rPr>
              <w:t>规则模板的名称，可输入1-</w:t>
            </w:r>
            <w:r>
              <w:t>63</w:t>
            </w:r>
            <w:r>
              <w:rPr>
                <w:rFonts w:hint="eastAsia"/>
              </w:rPr>
              <w:t>个字符，且不能与已创建的规则模板名称重复。</w:t>
            </w:r>
          </w:p>
        </w:tc>
      </w:tr>
      <w:tr w14:paraId="360B46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794" w:type="pct"/>
            <w:shd w:val="clear" w:color="auto" w:fill="auto"/>
          </w:tcPr>
          <w:p w14:paraId="021B7977">
            <w:pPr>
              <w:pStyle w:val="150"/>
            </w:pPr>
            <w:r>
              <w:t>描述</w:t>
            </w:r>
          </w:p>
        </w:tc>
        <w:tc>
          <w:tcPr>
            <w:tcW w:w="4206" w:type="pct"/>
            <w:shd w:val="clear" w:color="auto" w:fill="auto"/>
          </w:tcPr>
          <w:p w14:paraId="730F8918">
            <w:pPr>
              <w:pStyle w:val="150"/>
            </w:pPr>
            <w:r>
              <w:rPr>
                <w:rFonts w:hint="eastAsia"/>
              </w:rPr>
              <w:t>规则模板</w:t>
            </w:r>
            <w:r>
              <w:t>的描述信息</w:t>
            </w:r>
            <w:r>
              <w:rPr>
                <w:rFonts w:hint="eastAsia"/>
              </w:rPr>
              <w:t>。</w:t>
            </w:r>
          </w:p>
        </w:tc>
      </w:tr>
    </w:tbl>
    <w:p w14:paraId="69A6D772"/>
    <w:p w14:paraId="40A40F20">
      <w:pPr>
        <w:pStyle w:val="202"/>
        <w:rPr>
          <w:lang w:eastAsia="zh-CN"/>
        </w:rPr>
      </w:pPr>
      <w:r>
        <w:rPr>
          <w:rFonts w:hint="eastAsia"/>
          <w:lang w:eastAsia="zh-CN"/>
        </w:rPr>
        <w:t>新建模板后，在模板列表中点击模板名称。</w:t>
      </w:r>
    </w:p>
    <w:p w14:paraId="70E508E0">
      <w:pPr>
        <w:spacing w:before="78" w:after="78"/>
        <w:rPr>
          <w:rFonts w:cs="Cambria"/>
        </w:rPr>
      </w:pPr>
      <w:r>
        <w:drawing>
          <wp:inline distT="0" distB="0" distL="0" distR="0">
            <wp:extent cx="5572125" cy="1648460"/>
            <wp:effectExtent l="0" t="0" r="0" b="8890"/>
            <wp:docPr id="86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图片 34"/>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a:xfrm>
                      <a:off x="0" y="0"/>
                      <a:ext cx="5577598" cy="1650691"/>
                    </a:xfrm>
                    <a:prstGeom prst="rect">
                      <a:avLst/>
                    </a:prstGeom>
                    <a:noFill/>
                    <a:ln>
                      <a:noFill/>
                    </a:ln>
                  </pic:spPr>
                </pic:pic>
              </a:graphicData>
            </a:graphic>
          </wp:inline>
        </w:drawing>
      </w:r>
    </w:p>
    <w:p w14:paraId="1D9279CE">
      <w:pPr>
        <w:spacing w:before="156" w:after="156"/>
        <w:ind w:left="900"/>
      </w:pPr>
      <w:r>
        <w:rPr>
          <w:rFonts w:hint="eastAsia"/>
        </w:rPr>
        <w:t>点击&lt;添加规则&gt;。</w:t>
      </w:r>
    </w:p>
    <w:p w14:paraId="17579434">
      <w:pPr>
        <w:spacing w:before="78" w:after="78"/>
      </w:pPr>
      <w:r>
        <w:drawing>
          <wp:inline distT="0" distB="0" distL="0" distR="0">
            <wp:extent cx="5419725" cy="1748790"/>
            <wp:effectExtent l="0" t="0" r="0" b="3810"/>
            <wp:docPr id="1802027877" name="图片 1802027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77" name="图片 1802027877"/>
                    <pic:cNvPicPr>
                      <a:picLocks noChangeAspect="1"/>
                    </pic:cNvPicPr>
                  </pic:nvPicPr>
                  <pic:blipFill>
                    <a:blip r:embed="rId860"/>
                    <a:stretch>
                      <a:fillRect/>
                    </a:stretch>
                  </pic:blipFill>
                  <pic:spPr>
                    <a:xfrm>
                      <a:off x="0" y="0"/>
                      <a:ext cx="5436020" cy="1754481"/>
                    </a:xfrm>
                    <a:prstGeom prst="rect">
                      <a:avLst/>
                    </a:prstGeom>
                  </pic:spPr>
                </pic:pic>
              </a:graphicData>
            </a:graphic>
          </wp:inline>
        </w:drawing>
      </w:r>
    </w:p>
    <w:p w14:paraId="15DD437E">
      <w:pPr>
        <w:pStyle w:val="202"/>
        <w:rPr>
          <w:lang w:eastAsia="zh-CN"/>
        </w:rPr>
      </w:pPr>
      <w:r>
        <w:rPr>
          <w:rFonts w:hint="eastAsia"/>
          <w:lang w:eastAsia="zh-CN"/>
        </w:rPr>
        <w:t>在弹出的“添加规则”对话框中勾选规则，点击&lt;提交</w:t>
      </w:r>
      <w:r>
        <w:rPr>
          <w:lang w:eastAsia="zh-CN"/>
        </w:rPr>
        <w:t>&gt;</w:t>
      </w:r>
      <w:r>
        <w:rPr>
          <w:rFonts w:hint="eastAsia"/>
          <w:lang w:eastAsia="zh-CN"/>
        </w:rPr>
        <w:t>，给模板添加适用的规则集。</w:t>
      </w:r>
    </w:p>
    <w:p w14:paraId="6472FFE1">
      <w:pPr>
        <w:spacing w:before="78" w:after="78"/>
      </w:pPr>
      <w:r>
        <w:drawing>
          <wp:inline distT="0" distB="0" distL="0" distR="0">
            <wp:extent cx="5467350" cy="3189605"/>
            <wp:effectExtent l="0" t="0" r="0" b="0"/>
            <wp:docPr id="1802027879" name="图片 1802027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79" name="图片 1802027879"/>
                    <pic:cNvPicPr>
                      <a:picLocks noChangeAspect="1"/>
                    </pic:cNvPicPr>
                  </pic:nvPicPr>
                  <pic:blipFill>
                    <a:blip r:embed="rId861"/>
                    <a:stretch>
                      <a:fillRect/>
                    </a:stretch>
                  </pic:blipFill>
                  <pic:spPr>
                    <a:xfrm>
                      <a:off x="0" y="0"/>
                      <a:ext cx="5469409" cy="3191198"/>
                    </a:xfrm>
                    <a:prstGeom prst="rect">
                      <a:avLst/>
                    </a:prstGeom>
                  </pic:spPr>
                </pic:pic>
              </a:graphicData>
            </a:graphic>
          </wp:inline>
        </w:drawing>
      </w:r>
    </w:p>
    <w:p w14:paraId="2ACF430A">
      <w:pPr>
        <w:pStyle w:val="202"/>
        <w:rPr>
          <w:rFonts w:ascii="Times New Roman" w:hAnsi="Times New Roman"/>
          <w:lang w:eastAsia="zh-CN"/>
        </w:rPr>
      </w:pPr>
      <w:r>
        <w:rPr>
          <w:lang w:eastAsia="zh-CN"/>
        </w:rPr>
        <w:t>选择要编辑的规则</w:t>
      </w:r>
      <w:r>
        <w:rPr>
          <w:rFonts w:hint="eastAsia"/>
          <w:lang w:eastAsia="zh-CN"/>
        </w:rPr>
        <w:t>，点击</w:t>
      </w:r>
      <w:r>
        <w:rPr>
          <w:lang w:eastAsia="zh-CN"/>
        </w:rPr>
        <w:drawing>
          <wp:inline distT="0" distB="0" distL="0" distR="0">
            <wp:extent cx="200025" cy="247650"/>
            <wp:effectExtent l="0" t="0" r="0" b="0"/>
            <wp:docPr id="871"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 name="图片 404"/>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a:xfrm>
                      <a:off x="0" y="0"/>
                      <a:ext cx="200025" cy="247650"/>
                    </a:xfrm>
                    <a:prstGeom prst="rect">
                      <a:avLst/>
                    </a:prstGeom>
                    <a:noFill/>
                    <a:ln>
                      <a:noFill/>
                    </a:ln>
                  </pic:spPr>
                </pic:pic>
              </a:graphicData>
            </a:graphic>
          </wp:inline>
        </w:drawing>
      </w:r>
      <w:r>
        <w:rPr>
          <w:rFonts w:hint="eastAsia"/>
          <w:lang w:eastAsia="zh-CN"/>
        </w:rPr>
        <w:t>图标，在弹出的对话框中修改相关信息，点击&lt;提交&gt;可修改规则。</w:t>
      </w:r>
    </w:p>
    <w:p w14:paraId="6C4BAA7A">
      <w:r>
        <w:rPr>
          <w:rFonts w:hint="eastAsia"/>
        </w:rPr>
        <w:t>对于自定义的规则模板或者派生的规则模板，可以修改规则是否启用、是否记录日志，及阻断、隔离、抓包等配置。</w:t>
      </w:r>
    </w:p>
    <w:p w14:paraId="2DD7EDFA">
      <w:pPr>
        <w:pStyle w:val="188"/>
      </w:pPr>
      <w:r>
        <w:rPr>
          <w:rFonts w:hint="eastAsia"/>
        </w:rPr>
        <w:t>规则列表编辑页面</w:t>
      </w:r>
    </w:p>
    <w:p w14:paraId="4FD159C6">
      <w:pPr>
        <w:pStyle w:val="175"/>
      </w:pPr>
      <w:r>
        <w:drawing>
          <wp:inline distT="0" distB="0" distL="0" distR="0">
            <wp:extent cx="5419725" cy="2945765"/>
            <wp:effectExtent l="0" t="0" r="0" b="6985"/>
            <wp:docPr id="1802027880" name="图片 1802027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80" name="图片 1802027880"/>
                    <pic:cNvPicPr>
                      <a:picLocks noChangeAspect="1"/>
                    </pic:cNvPicPr>
                  </pic:nvPicPr>
                  <pic:blipFill>
                    <a:blip r:embed="rId863"/>
                    <a:stretch>
                      <a:fillRect/>
                    </a:stretch>
                  </pic:blipFill>
                  <pic:spPr>
                    <a:xfrm>
                      <a:off x="0" y="0"/>
                      <a:ext cx="5423186" cy="2948178"/>
                    </a:xfrm>
                    <a:prstGeom prst="rect">
                      <a:avLst/>
                    </a:prstGeom>
                  </pic:spPr>
                </pic:pic>
              </a:graphicData>
            </a:graphic>
          </wp:inline>
        </w:drawing>
      </w:r>
      <w:r>
        <w:t xml:space="preserve"> </w:t>
      </w:r>
    </w:p>
    <w:p w14:paraId="2D6DE57C">
      <w:pPr>
        <w:pStyle w:val="175"/>
      </w:pPr>
    </w:p>
    <w:p w14:paraId="6C0996BE">
      <w:r>
        <w:rPr>
          <w:rFonts w:hint="eastAsia"/>
        </w:rPr>
        <w:t>详细配置请参见下表。</w:t>
      </w:r>
    </w:p>
    <w:tbl>
      <w:tblPr>
        <w:tblStyle w:val="173"/>
        <w:tblW w:w="8613"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099"/>
        <w:gridCol w:w="7514"/>
      </w:tblGrid>
      <w:tr w14:paraId="51017A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099" w:type="dxa"/>
            <w:tcBorders>
              <w:tl2br w:val="nil"/>
              <w:tr2bl w:val="nil"/>
            </w:tcBorders>
            <w:shd w:val="clear" w:color="auto" w:fill="538135" w:themeFill="accent6" w:themeFillShade="BF"/>
            <w:vAlign w:val="center"/>
          </w:tcPr>
          <w:p w14:paraId="46E8E8EA">
            <w:pPr>
              <w:pStyle w:val="149"/>
              <w:wordWrap/>
              <w:rPr>
                <w:b/>
                <w:bCs/>
                <w:i w:val="0"/>
                <w:iCs w:val="0"/>
              </w:rPr>
            </w:pPr>
            <w:r>
              <w:rPr>
                <w:rFonts w:hint="eastAsia"/>
                <w:b/>
                <w:bCs/>
                <w:i w:val="0"/>
                <w:iCs w:val="0"/>
              </w:rPr>
              <w:t>配置项</w:t>
            </w:r>
          </w:p>
        </w:tc>
        <w:tc>
          <w:tcPr>
            <w:tcW w:w="7514" w:type="dxa"/>
            <w:tcBorders>
              <w:tl2br w:val="nil"/>
              <w:tr2bl w:val="nil"/>
            </w:tcBorders>
            <w:shd w:val="clear" w:color="auto" w:fill="538135" w:themeFill="accent6" w:themeFillShade="BF"/>
            <w:vAlign w:val="center"/>
          </w:tcPr>
          <w:p w14:paraId="703C3671">
            <w:pPr>
              <w:pStyle w:val="149"/>
              <w:wordWrap/>
              <w:rPr>
                <w:b/>
                <w:bCs/>
                <w:i w:val="0"/>
                <w:iCs w:val="0"/>
              </w:rPr>
            </w:pPr>
            <w:r>
              <w:rPr>
                <w:rFonts w:hint="eastAsia"/>
                <w:b/>
                <w:bCs/>
                <w:i w:val="0"/>
                <w:iCs w:val="0"/>
              </w:rPr>
              <w:t>说明</w:t>
            </w:r>
          </w:p>
        </w:tc>
      </w:tr>
      <w:tr w14:paraId="344456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099" w:type="dxa"/>
            <w:shd w:val="clear" w:color="auto" w:fill="auto"/>
          </w:tcPr>
          <w:p w14:paraId="40BD8928">
            <w:pPr>
              <w:pStyle w:val="150"/>
            </w:pPr>
            <w:r>
              <w:rPr>
                <w:rFonts w:hint="eastAsia"/>
              </w:rPr>
              <w:t>启用</w:t>
            </w:r>
          </w:p>
        </w:tc>
        <w:tc>
          <w:tcPr>
            <w:tcW w:w="7514" w:type="dxa"/>
            <w:shd w:val="clear" w:color="auto" w:fill="auto"/>
          </w:tcPr>
          <w:p w14:paraId="42438B50">
            <w:pPr>
              <w:pStyle w:val="150"/>
            </w:pPr>
            <w:r>
              <w:rPr>
                <w:rFonts w:hint="eastAsia"/>
              </w:rPr>
              <w:t>启用或禁用规则。</w:t>
            </w:r>
          </w:p>
        </w:tc>
      </w:tr>
      <w:tr w14:paraId="73CE42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099" w:type="dxa"/>
            <w:shd w:val="clear" w:color="auto" w:fill="auto"/>
          </w:tcPr>
          <w:p w14:paraId="3CB18FD0">
            <w:pPr>
              <w:pStyle w:val="150"/>
            </w:pPr>
            <w:r>
              <w:rPr>
                <w:rFonts w:hint="eastAsia"/>
              </w:rPr>
              <w:t>日志</w:t>
            </w:r>
          </w:p>
        </w:tc>
        <w:tc>
          <w:tcPr>
            <w:tcW w:w="7514" w:type="dxa"/>
            <w:shd w:val="clear" w:color="auto" w:fill="auto"/>
          </w:tcPr>
          <w:p w14:paraId="02E70598">
            <w:pPr>
              <w:pStyle w:val="150"/>
            </w:pPr>
            <w:r>
              <w:rPr>
                <w:rFonts w:hint="eastAsia"/>
              </w:rPr>
              <w:t>当检测到规则事件时，选择是否生成日志以及生成日志的级别。规则事件的日志级别，包括通知、警告、告警、信息四个级别。</w:t>
            </w:r>
          </w:p>
        </w:tc>
      </w:tr>
      <w:tr w14:paraId="673D15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099" w:type="dxa"/>
            <w:shd w:val="clear" w:color="auto" w:fill="auto"/>
          </w:tcPr>
          <w:p w14:paraId="4AD36D81">
            <w:pPr>
              <w:pStyle w:val="150"/>
            </w:pPr>
            <w:r>
              <w:rPr>
                <w:rFonts w:hint="eastAsia"/>
              </w:rPr>
              <w:t>阻断</w:t>
            </w:r>
          </w:p>
        </w:tc>
        <w:tc>
          <w:tcPr>
            <w:tcW w:w="7514" w:type="dxa"/>
            <w:shd w:val="clear" w:color="auto" w:fill="auto"/>
          </w:tcPr>
          <w:p w14:paraId="2C1CC84E">
            <w:pPr>
              <w:pStyle w:val="150"/>
            </w:pPr>
            <w:r>
              <w:rPr>
                <w:rFonts w:hint="eastAsia"/>
              </w:rPr>
              <w:t>检测到规则事件时，是否进行阻断。</w:t>
            </w:r>
          </w:p>
        </w:tc>
      </w:tr>
      <w:tr w14:paraId="1DB37F9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099" w:type="dxa"/>
            <w:shd w:val="clear" w:color="auto" w:fill="auto"/>
          </w:tcPr>
          <w:p w14:paraId="2D5C8C54">
            <w:pPr>
              <w:pStyle w:val="150"/>
            </w:pPr>
            <w:r>
              <w:rPr>
                <w:rFonts w:hint="eastAsia"/>
              </w:rPr>
              <w:t>隔离</w:t>
            </w:r>
          </w:p>
        </w:tc>
        <w:tc>
          <w:tcPr>
            <w:tcW w:w="7514" w:type="dxa"/>
            <w:shd w:val="clear" w:color="auto" w:fill="auto"/>
          </w:tcPr>
          <w:p w14:paraId="528043BD">
            <w:pPr>
              <w:pStyle w:val="150"/>
            </w:pPr>
            <w:r>
              <w:rPr>
                <w:rFonts w:hint="eastAsia"/>
              </w:rPr>
              <w:t>检测到规则事件时，是否对流量进行隔离。选择“隔离”时，需要设置隔离时间。</w:t>
            </w:r>
          </w:p>
        </w:tc>
      </w:tr>
      <w:tr w14:paraId="606A82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099" w:type="dxa"/>
            <w:shd w:val="clear" w:color="auto" w:fill="auto"/>
          </w:tcPr>
          <w:p w14:paraId="0A331DE7">
            <w:pPr>
              <w:pStyle w:val="150"/>
            </w:pPr>
            <w:r>
              <w:rPr>
                <w:rFonts w:hint="eastAsia"/>
              </w:rPr>
              <w:t>抓包</w:t>
            </w:r>
          </w:p>
        </w:tc>
        <w:tc>
          <w:tcPr>
            <w:tcW w:w="7514" w:type="dxa"/>
            <w:shd w:val="clear" w:color="auto" w:fill="auto"/>
          </w:tcPr>
          <w:p w14:paraId="660ECA0F">
            <w:pPr>
              <w:pStyle w:val="150"/>
            </w:pPr>
            <w:r>
              <w:rPr>
                <w:rFonts w:hint="eastAsia"/>
              </w:rPr>
              <w:t>检测到规则事件时，是否对流量进行抓包。</w:t>
            </w:r>
          </w:p>
        </w:tc>
      </w:tr>
    </w:tbl>
    <w:p w14:paraId="711F6B02"/>
    <w:p w14:paraId="5D591B5E">
      <w:pPr>
        <w:pStyle w:val="202"/>
      </w:pPr>
      <w:r>
        <w:rPr>
          <w:rFonts w:hint="eastAsia"/>
          <w:lang w:eastAsia="zh-CN"/>
        </w:rPr>
        <w:t>选择</w:t>
      </w:r>
      <w:r>
        <w:rPr>
          <w:rStyle w:val="375"/>
          <w:rFonts w:hint="eastAsia"/>
          <w:lang w:eastAsia="zh-CN"/>
        </w:rPr>
        <w:t>“协议异常检查”页</w:t>
      </w:r>
      <w:r>
        <w:rPr>
          <w:rFonts w:hint="eastAsia"/>
          <w:lang w:eastAsia="zh-CN"/>
        </w:rPr>
        <w:t>签，可设置各类协议的检查配置信息。</w:t>
      </w:r>
      <w:r>
        <w:rPr>
          <w:rFonts w:hint="eastAsia"/>
        </w:rPr>
        <w:t>点</w:t>
      </w:r>
      <w:r>
        <w:rPr>
          <w:rStyle w:val="375"/>
          <w:rFonts w:hint="eastAsia"/>
        </w:rPr>
        <w:t>击&lt;提交</w:t>
      </w:r>
      <w:r>
        <w:rPr>
          <w:rStyle w:val="375"/>
        </w:rPr>
        <w:t>&gt;</w:t>
      </w:r>
      <w:r>
        <w:rPr>
          <w:rFonts w:hint="eastAsia"/>
        </w:rPr>
        <w:t>。</w:t>
      </w:r>
    </w:p>
    <w:p w14:paraId="3E7BD7DD">
      <w:pPr>
        <w:spacing w:before="78" w:after="78"/>
      </w:pPr>
      <w:r>
        <w:drawing>
          <wp:inline distT="0" distB="0" distL="0" distR="0">
            <wp:extent cx="5334000" cy="2774950"/>
            <wp:effectExtent l="0" t="0" r="0" b="6350"/>
            <wp:docPr id="87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图片 37"/>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a:xfrm>
                      <a:off x="0" y="0"/>
                      <a:ext cx="5336818" cy="2776475"/>
                    </a:xfrm>
                    <a:prstGeom prst="rect">
                      <a:avLst/>
                    </a:prstGeom>
                    <a:noFill/>
                    <a:ln>
                      <a:noFill/>
                    </a:ln>
                  </pic:spPr>
                </pic:pic>
              </a:graphicData>
            </a:graphic>
          </wp:inline>
        </w:drawing>
      </w:r>
    </w:p>
    <w:p w14:paraId="301516A6"/>
    <w:p w14:paraId="34129E38">
      <w:pPr>
        <w:pStyle w:val="5"/>
      </w:pPr>
      <w:bookmarkStart w:id="7087" w:name="_Toc49959185"/>
      <w:bookmarkEnd w:id="7087"/>
      <w:bookmarkStart w:id="7088" w:name="_Toc49959194"/>
      <w:bookmarkEnd w:id="7088"/>
      <w:bookmarkStart w:id="7089" w:name="_Toc49959190"/>
      <w:bookmarkEnd w:id="7089"/>
      <w:bookmarkStart w:id="7090" w:name="_Toc49959188"/>
      <w:bookmarkEnd w:id="7090"/>
      <w:bookmarkStart w:id="7091" w:name="_Toc49959193"/>
      <w:bookmarkEnd w:id="7091"/>
      <w:bookmarkStart w:id="7092" w:name="_Toc49959192"/>
      <w:bookmarkEnd w:id="7092"/>
      <w:bookmarkStart w:id="7093" w:name="_Toc49959186"/>
      <w:bookmarkEnd w:id="7093"/>
      <w:bookmarkStart w:id="7094" w:name="_Toc49959195"/>
      <w:bookmarkEnd w:id="7094"/>
      <w:bookmarkStart w:id="7095" w:name="_Toc49959217"/>
      <w:bookmarkEnd w:id="7095"/>
      <w:bookmarkStart w:id="7096" w:name="_Toc49959196"/>
      <w:bookmarkEnd w:id="7096"/>
      <w:bookmarkStart w:id="7097" w:name="_Toc49959197"/>
      <w:bookmarkEnd w:id="7097"/>
      <w:bookmarkStart w:id="7098" w:name="_Toc49959187"/>
      <w:bookmarkEnd w:id="7098"/>
      <w:bookmarkStart w:id="7099" w:name="_Toc49959191"/>
      <w:bookmarkEnd w:id="7099"/>
      <w:bookmarkStart w:id="7100" w:name="_Toc49959216"/>
      <w:bookmarkEnd w:id="7100"/>
      <w:bookmarkStart w:id="7101" w:name="_Toc49959189"/>
      <w:bookmarkEnd w:id="7101"/>
      <w:bookmarkStart w:id="7102" w:name="_Toc407804523"/>
      <w:bookmarkStart w:id="7103" w:name="_Toc40276416"/>
      <w:bookmarkStart w:id="7104" w:name="_Toc15485231"/>
      <w:bookmarkStart w:id="7105" w:name="_Toc23152995"/>
      <w:bookmarkStart w:id="7106" w:name="_Toc99561940"/>
      <w:bookmarkStart w:id="7107" w:name="_Toc142401281"/>
      <w:bookmarkStart w:id="7108" w:name="_Toc194081105"/>
      <w:bookmarkStart w:id="7109" w:name="_Toc141873764"/>
      <w:bookmarkStart w:id="7110" w:name="_Toc196728437"/>
      <w:bookmarkStart w:id="7111" w:name="_Toc172218559"/>
      <w:r>
        <w:rPr>
          <w:rFonts w:hint="eastAsia"/>
        </w:rPr>
        <w:t>入侵</w:t>
      </w:r>
      <w:r>
        <w:t>防御</w:t>
      </w:r>
      <w:bookmarkEnd w:id="7102"/>
      <w:r>
        <w:rPr>
          <w:rFonts w:hint="eastAsia"/>
        </w:rPr>
        <w:t>自定义</w:t>
      </w:r>
      <w:r>
        <w:t>规则</w:t>
      </w:r>
      <w:bookmarkEnd w:id="7103"/>
      <w:bookmarkEnd w:id="7104"/>
      <w:bookmarkEnd w:id="7105"/>
      <w:bookmarkEnd w:id="7106"/>
      <w:bookmarkEnd w:id="7107"/>
      <w:bookmarkEnd w:id="7108"/>
      <w:bookmarkEnd w:id="7109"/>
      <w:bookmarkEnd w:id="7110"/>
      <w:bookmarkEnd w:id="7111"/>
    </w:p>
    <w:p w14:paraId="494CA1DC">
      <w:r>
        <w:rPr>
          <w:rFonts w:hint="eastAsia"/>
        </w:rPr>
        <w:t>安全策略通过对进入</w:t>
      </w:r>
      <w:r>
        <w:t>设备报</w:t>
      </w:r>
      <w:r>
        <w:rPr>
          <w:rFonts w:hint="eastAsia"/>
        </w:rPr>
        <w:t>文</w:t>
      </w:r>
      <w:r>
        <w:t>的</w:t>
      </w:r>
      <w:r>
        <w:rPr>
          <w:rFonts w:hint="eastAsia"/>
        </w:rPr>
        <w:t>协议类型</w:t>
      </w:r>
      <w:r>
        <w:t>，协议字段，字段内容</w:t>
      </w:r>
      <w:r>
        <w:rPr>
          <w:rFonts w:hint="eastAsia"/>
        </w:rPr>
        <w:t>形成</w:t>
      </w:r>
      <w:r>
        <w:t>匹配条件，并</w:t>
      </w:r>
      <w:r>
        <w:rPr>
          <w:rFonts w:hint="eastAsia"/>
        </w:rPr>
        <w:t>通过</w:t>
      </w:r>
      <w:r>
        <w:t>逻辑与和逻辑或</w:t>
      </w:r>
      <w:r>
        <w:rPr>
          <w:rFonts w:hint="eastAsia"/>
        </w:rPr>
        <w:t>形成</w:t>
      </w:r>
      <w:r>
        <w:t>多条件匹配的方式</w:t>
      </w:r>
      <w:r>
        <w:rPr>
          <w:rFonts w:hint="eastAsia"/>
        </w:rPr>
        <w:t>实现入侵</w:t>
      </w:r>
      <w:r>
        <w:t>防御</w:t>
      </w:r>
      <w:r>
        <w:rPr>
          <w:rFonts w:hint="eastAsia"/>
        </w:rPr>
        <w:t>。</w:t>
      </w:r>
    </w:p>
    <w:p w14:paraId="1BEA54C2">
      <w:pPr>
        <w:pStyle w:val="202"/>
        <w:rPr>
          <w:lang w:eastAsia="zh-CN"/>
        </w:rPr>
      </w:pPr>
      <w:r>
        <w:rPr>
          <w:rFonts w:hint="eastAsia"/>
          <w:lang w:eastAsia="zh-CN"/>
        </w:rPr>
        <w:t>在导航栏中选择“策略配置&gt;安全设置&gt;</w:t>
      </w:r>
      <w:r>
        <w:rPr>
          <w:lang w:eastAsia="zh-CN"/>
        </w:rPr>
        <w:t>入侵防御</w:t>
      </w:r>
      <w:r>
        <w:rPr>
          <w:rFonts w:hint="eastAsia"/>
          <w:lang w:eastAsia="zh-CN"/>
        </w:rPr>
        <w:t>&gt;规则库”，进入</w:t>
      </w:r>
      <w:r>
        <w:rPr>
          <w:lang w:eastAsia="zh-CN"/>
        </w:rPr>
        <w:t>IPS</w:t>
      </w:r>
      <w:r>
        <w:rPr>
          <w:rFonts w:hint="eastAsia"/>
          <w:lang w:eastAsia="zh-CN"/>
        </w:rPr>
        <w:t>规则库显示界面，可以查看规则库的规则信息，包括系统预定义规则及用户自定义规则信息，如下图所示。</w:t>
      </w:r>
    </w:p>
    <w:p w14:paraId="07C2562B">
      <w:pPr>
        <w:pStyle w:val="188"/>
      </w:pPr>
      <w:bookmarkStart w:id="7112" w:name="_Toc141875166"/>
      <w:r>
        <w:rPr>
          <w:rFonts w:hint="eastAsia"/>
        </w:rPr>
        <w:t>IPS规则库显示界面</w:t>
      </w:r>
      <w:bookmarkEnd w:id="7112"/>
    </w:p>
    <w:p w14:paraId="4570723B">
      <w:r>
        <w:drawing>
          <wp:inline distT="0" distB="0" distL="0" distR="0">
            <wp:extent cx="5400040" cy="2856865"/>
            <wp:effectExtent l="0" t="0" r="0" b="635"/>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865"/>
                    <a:stretch>
                      <a:fillRect/>
                    </a:stretch>
                  </pic:blipFill>
                  <pic:spPr>
                    <a:xfrm>
                      <a:off x="0" y="0"/>
                      <a:ext cx="5400040" cy="2856865"/>
                    </a:xfrm>
                    <a:prstGeom prst="rect">
                      <a:avLst/>
                    </a:prstGeom>
                  </pic:spPr>
                </pic:pic>
              </a:graphicData>
            </a:graphic>
          </wp:inline>
        </w:drawing>
      </w:r>
    </w:p>
    <w:p w14:paraId="05DB2DA2"/>
    <w:p w14:paraId="44725E6B">
      <w:pPr>
        <w:pStyle w:val="202"/>
        <w:rPr>
          <w:lang w:eastAsia="zh-CN"/>
        </w:rPr>
      </w:pPr>
      <w:r>
        <w:rPr>
          <w:rFonts w:hint="eastAsia"/>
          <w:lang w:eastAsia="zh-CN"/>
        </w:rPr>
        <w:t>在</w:t>
      </w:r>
      <w:r>
        <w:rPr>
          <w:lang w:eastAsia="zh-CN"/>
        </w:rPr>
        <w:t>入侵防御</w:t>
      </w:r>
      <w:r>
        <w:rPr>
          <w:rFonts w:hint="eastAsia"/>
          <w:lang w:eastAsia="zh-CN"/>
        </w:rPr>
        <w:t>规则库</w:t>
      </w:r>
      <w:r>
        <w:rPr>
          <w:lang w:eastAsia="zh-CN"/>
        </w:rPr>
        <w:t>页面，</w:t>
      </w:r>
      <w:r>
        <w:rPr>
          <w:rFonts w:hint="eastAsia"/>
          <w:lang w:eastAsia="zh-CN"/>
        </w:rPr>
        <w:t>点击&lt;添加自定义规则&gt;进入IPS自定义规则配置页面</w:t>
      </w:r>
      <w:r>
        <w:rPr>
          <w:lang w:eastAsia="zh-CN"/>
        </w:rPr>
        <w:t>，如</w:t>
      </w:r>
      <w:r>
        <w:fldChar w:fldCharType="begin"/>
      </w:r>
      <w:r>
        <w:rPr>
          <w:lang w:eastAsia="zh-CN"/>
        </w:rPr>
        <w:instrText xml:space="preserve"> REF _Ref515101092 \r \h  \* MERGEFORMAT </w:instrText>
      </w:r>
      <w:r>
        <w:fldChar w:fldCharType="separate"/>
      </w:r>
      <w:r>
        <w:rPr>
          <w:rFonts w:hint="eastAsia"/>
          <w:lang w:eastAsia="zh-CN"/>
        </w:rPr>
        <w:t>图29-5</w:t>
      </w:r>
      <w:r>
        <w:fldChar w:fldCharType="end"/>
      </w:r>
      <w:r>
        <w:rPr>
          <w:rFonts w:hint="eastAsia"/>
          <w:lang w:eastAsia="zh-CN"/>
        </w:rPr>
        <w:t>所示。</w:t>
      </w:r>
    </w:p>
    <w:p w14:paraId="729CFC0B">
      <w:pPr>
        <w:pStyle w:val="188"/>
      </w:pPr>
      <w:bookmarkStart w:id="7113" w:name="_Toc141875167"/>
      <w:bookmarkStart w:id="7114" w:name="_Ref515101092"/>
      <w:r>
        <w:rPr>
          <w:rFonts w:hint="eastAsia"/>
        </w:rPr>
        <w:t>自定义规则</w:t>
      </w:r>
      <w:r>
        <w:t>配置页面图</w:t>
      </w:r>
      <w:bookmarkEnd w:id="7113"/>
      <w:bookmarkEnd w:id="7114"/>
    </w:p>
    <w:p w14:paraId="0B7E35A6">
      <w:r>
        <w:drawing>
          <wp:inline distT="0" distB="0" distL="114300" distR="114300">
            <wp:extent cx="5400040" cy="2785745"/>
            <wp:effectExtent l="0" t="0" r="0" b="0"/>
            <wp:docPr id="96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图片 38"/>
                    <pic:cNvPicPr>
                      <a:picLocks noChangeAspect="1"/>
                    </pic:cNvPicPr>
                  </pic:nvPicPr>
                  <pic:blipFill>
                    <a:blip r:embed="rId866"/>
                    <a:stretch>
                      <a:fillRect/>
                    </a:stretch>
                  </pic:blipFill>
                  <pic:spPr>
                    <a:xfrm>
                      <a:off x="0" y="0"/>
                      <a:ext cx="5400040" cy="2786376"/>
                    </a:xfrm>
                    <a:prstGeom prst="rect">
                      <a:avLst/>
                    </a:prstGeom>
                    <a:noFill/>
                    <a:ln>
                      <a:noFill/>
                    </a:ln>
                  </pic:spPr>
                </pic:pic>
              </a:graphicData>
            </a:graphic>
          </wp:inline>
        </w:drawing>
      </w:r>
      <w:r>
        <w:t xml:space="preserve"> </w:t>
      </w:r>
    </w:p>
    <w:p w14:paraId="03DCDA54"/>
    <w:p w14:paraId="4AB084C2">
      <w:r>
        <w:rPr>
          <w:rFonts w:hint="eastAsia"/>
        </w:rPr>
        <w:t>IPS自定义规则详细配置说明，如</w:t>
      </w:r>
      <w:r>
        <w:fldChar w:fldCharType="begin"/>
      </w:r>
      <w:r>
        <w:instrText xml:space="preserve"> REF _Ref515101122 \r \h  \* MERGEFORMAT </w:instrText>
      </w:r>
      <w:r>
        <w:fldChar w:fldCharType="separate"/>
      </w:r>
      <w:r>
        <w:rPr>
          <w:rFonts w:hint="eastAsia"/>
        </w:rPr>
        <w:t>表29-1</w:t>
      </w:r>
      <w:r>
        <w:fldChar w:fldCharType="end"/>
      </w:r>
      <w:r>
        <w:rPr>
          <w:rFonts w:hint="eastAsia"/>
        </w:rPr>
        <w:t>所示。</w:t>
      </w:r>
    </w:p>
    <w:p w14:paraId="70E1E1D0">
      <w:pPr>
        <w:pStyle w:val="183"/>
      </w:pPr>
      <w:bookmarkStart w:id="7115" w:name="_Ref515101122"/>
      <w:bookmarkStart w:id="7116" w:name="_Toc141875720"/>
      <w:r>
        <w:rPr>
          <w:rFonts w:hint="eastAsia"/>
        </w:rPr>
        <w:t>自定义规则</w:t>
      </w:r>
      <w:r>
        <w:t>配置页面信息描述表</w:t>
      </w:r>
      <w:bookmarkEnd w:id="7115"/>
      <w:bookmarkEnd w:id="7116"/>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809"/>
        <w:gridCol w:w="7223"/>
      </w:tblGrid>
      <w:tr w14:paraId="7294E8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809" w:type="dxa"/>
            <w:tcBorders>
              <w:tl2br w:val="nil"/>
              <w:tr2bl w:val="nil"/>
            </w:tcBorders>
            <w:shd w:val="clear" w:color="auto" w:fill="538135" w:themeFill="accent6" w:themeFillShade="BF"/>
            <w:vAlign w:val="center"/>
          </w:tcPr>
          <w:p w14:paraId="24A0D283">
            <w:pPr>
              <w:pStyle w:val="149"/>
              <w:wordWrap/>
              <w:rPr>
                <w:b/>
                <w:bCs/>
                <w:i w:val="0"/>
                <w:iCs w:val="0"/>
              </w:rPr>
            </w:pPr>
            <w:r>
              <w:rPr>
                <w:rFonts w:hint="eastAsia"/>
                <w:b/>
                <w:bCs/>
                <w:i w:val="0"/>
                <w:iCs w:val="0"/>
              </w:rPr>
              <w:t>标题项</w:t>
            </w:r>
          </w:p>
        </w:tc>
        <w:tc>
          <w:tcPr>
            <w:tcW w:w="7223" w:type="dxa"/>
            <w:tcBorders>
              <w:tl2br w:val="nil"/>
              <w:tr2bl w:val="nil"/>
            </w:tcBorders>
            <w:shd w:val="clear" w:color="auto" w:fill="538135" w:themeFill="accent6" w:themeFillShade="BF"/>
            <w:vAlign w:val="center"/>
          </w:tcPr>
          <w:p w14:paraId="48B8BF6F">
            <w:pPr>
              <w:pStyle w:val="149"/>
              <w:wordWrap/>
              <w:rPr>
                <w:b/>
                <w:bCs/>
                <w:i w:val="0"/>
                <w:iCs w:val="0"/>
              </w:rPr>
            </w:pPr>
            <w:r>
              <w:rPr>
                <w:rFonts w:hint="eastAsia"/>
                <w:b/>
                <w:bCs/>
                <w:i w:val="0"/>
                <w:iCs w:val="0"/>
              </w:rPr>
              <w:t>说明</w:t>
            </w:r>
          </w:p>
        </w:tc>
      </w:tr>
      <w:tr w14:paraId="791C51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809" w:type="dxa"/>
            <w:shd w:val="clear" w:color="auto" w:fill="auto"/>
          </w:tcPr>
          <w:p w14:paraId="55BAAEFD">
            <w:pPr>
              <w:pStyle w:val="150"/>
            </w:pPr>
            <w:r>
              <w:rPr>
                <w:rFonts w:hint="eastAsia"/>
              </w:rPr>
              <w:t>名称</w:t>
            </w:r>
          </w:p>
        </w:tc>
        <w:tc>
          <w:tcPr>
            <w:tcW w:w="7223" w:type="dxa"/>
            <w:shd w:val="clear" w:color="auto" w:fill="auto"/>
          </w:tcPr>
          <w:p w14:paraId="75D7F699">
            <w:pPr>
              <w:pStyle w:val="150"/>
            </w:pPr>
            <w:r>
              <w:rPr>
                <w:rFonts w:hint="eastAsia"/>
              </w:rPr>
              <w:t>自定义规则的名称</w:t>
            </w:r>
          </w:p>
        </w:tc>
      </w:tr>
      <w:tr w14:paraId="3CC2FE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77" w:hRule="atLeast"/>
        </w:trPr>
        <w:tc>
          <w:tcPr>
            <w:tcW w:w="1809" w:type="dxa"/>
            <w:shd w:val="clear" w:color="auto" w:fill="auto"/>
          </w:tcPr>
          <w:p w14:paraId="4E7D0537">
            <w:pPr>
              <w:pStyle w:val="150"/>
            </w:pPr>
            <w:r>
              <w:rPr>
                <w:rFonts w:hint="eastAsia"/>
              </w:rPr>
              <w:t>严重程度</w:t>
            </w:r>
          </w:p>
        </w:tc>
        <w:tc>
          <w:tcPr>
            <w:tcW w:w="7223" w:type="dxa"/>
            <w:shd w:val="clear" w:color="auto" w:fill="auto"/>
          </w:tcPr>
          <w:p w14:paraId="2D3DF3E9">
            <w:pPr>
              <w:pStyle w:val="150"/>
            </w:pPr>
            <w:r>
              <w:rPr>
                <w:rFonts w:hint="eastAsia"/>
              </w:rPr>
              <w:t>规则的严重程度，分为：低、中、高、紧急，根据规则的严重程度确定日志的级别。</w:t>
            </w:r>
          </w:p>
        </w:tc>
      </w:tr>
      <w:tr w14:paraId="00C862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809" w:type="dxa"/>
            <w:shd w:val="clear" w:color="auto" w:fill="auto"/>
          </w:tcPr>
          <w:p w14:paraId="1FB69B94">
            <w:pPr>
              <w:pStyle w:val="150"/>
            </w:pPr>
            <w:r>
              <w:rPr>
                <w:rFonts w:hint="eastAsia"/>
              </w:rPr>
              <w:t>方向</w:t>
            </w:r>
          </w:p>
        </w:tc>
        <w:tc>
          <w:tcPr>
            <w:tcW w:w="7223" w:type="dxa"/>
            <w:shd w:val="clear" w:color="auto" w:fill="auto"/>
          </w:tcPr>
          <w:p w14:paraId="3B7B35B6">
            <w:pPr>
              <w:pStyle w:val="150"/>
            </w:pPr>
            <w:r>
              <w:rPr>
                <w:rFonts w:hint="eastAsia"/>
              </w:rPr>
              <w:t>规则检测的方向：双向检测、向客户端、向服务端。</w:t>
            </w:r>
          </w:p>
        </w:tc>
      </w:tr>
      <w:tr w14:paraId="3685760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809" w:type="dxa"/>
            <w:shd w:val="clear" w:color="auto" w:fill="auto"/>
          </w:tcPr>
          <w:p w14:paraId="22816593">
            <w:pPr>
              <w:pStyle w:val="150"/>
            </w:pPr>
            <w:r>
              <w:rPr>
                <w:rFonts w:hint="eastAsia"/>
              </w:rPr>
              <w:t>协议字段</w:t>
            </w:r>
          </w:p>
        </w:tc>
        <w:tc>
          <w:tcPr>
            <w:tcW w:w="7223" w:type="dxa"/>
            <w:shd w:val="clear" w:color="auto" w:fill="auto"/>
          </w:tcPr>
          <w:p w14:paraId="59227B9D">
            <w:pPr>
              <w:pStyle w:val="150"/>
            </w:pPr>
            <w:r>
              <w:rPr>
                <w:rFonts w:hint="eastAsia"/>
              </w:rPr>
              <w:t>每个协议字段可以包含8个协议匹配条件，每个匹配条件间为逻辑或。</w:t>
            </w:r>
          </w:p>
          <w:p w14:paraId="1AED18C1">
            <w:pPr>
              <w:pStyle w:val="150"/>
            </w:pPr>
            <w:r>
              <w:rPr>
                <w:rFonts w:hint="eastAsia"/>
              </w:rPr>
              <w:t>每条自定义规则可以包含8个协议字段，协议字段之间为逻辑与。</w:t>
            </w:r>
          </w:p>
          <w:p w14:paraId="14DB76B0">
            <w:pPr>
              <w:pStyle w:val="150"/>
            </w:pPr>
            <w:r>
              <w:rPr>
                <w:rFonts w:hint="eastAsia"/>
              </w:rPr>
              <w:t>匹配时先匹配每个字段的匹配条件或进行协议字间匹配,即先或后与</w:t>
            </w:r>
          </w:p>
          <w:p w14:paraId="4264F7DB">
            <w:pPr>
              <w:pStyle w:val="150"/>
            </w:pPr>
            <w:r>
              <w:rPr>
                <w:rFonts w:hint="eastAsia"/>
              </w:rPr>
              <w:t>表达式为 (..&amp;&amp;..)||(..&amp;&amp;..)。</w:t>
            </w:r>
          </w:p>
        </w:tc>
      </w:tr>
    </w:tbl>
    <w:p w14:paraId="390EEDB3"/>
    <w:p w14:paraId="0CC1B41D">
      <w:pPr>
        <w:pStyle w:val="5"/>
      </w:pPr>
      <w:bookmarkStart w:id="7117" w:name="_Toc495418699"/>
      <w:bookmarkStart w:id="7118" w:name="_Toc404075379"/>
      <w:bookmarkStart w:id="7119" w:name="_Toc436123124"/>
      <w:bookmarkStart w:id="7120" w:name="_Toc510628155"/>
      <w:bookmarkStart w:id="7121" w:name="_Toc2937474"/>
      <w:bookmarkStart w:id="7122" w:name="_Toc23153000"/>
      <w:bookmarkStart w:id="7123" w:name="_Toc40276421"/>
      <w:bookmarkStart w:id="7124" w:name="_Toc99561944"/>
      <w:bookmarkStart w:id="7125" w:name="_Toc141873765"/>
      <w:bookmarkStart w:id="7126" w:name="_Toc142401282"/>
      <w:bookmarkStart w:id="7127" w:name="_Toc172218560"/>
      <w:bookmarkStart w:id="7128" w:name="_Toc15485236"/>
      <w:bookmarkStart w:id="7129" w:name="_Toc194081106"/>
      <w:bookmarkStart w:id="7130" w:name="_Toc196728438"/>
      <w:r>
        <w:rPr>
          <w:rFonts w:hint="eastAsia"/>
        </w:rPr>
        <w:t>入侵防御策略</w:t>
      </w:r>
      <w:bookmarkEnd w:id="7117"/>
      <w:bookmarkEnd w:id="7118"/>
      <w:bookmarkEnd w:id="7119"/>
      <w:bookmarkEnd w:id="7120"/>
      <w:bookmarkEnd w:id="7121"/>
      <w:bookmarkEnd w:id="7122"/>
      <w:bookmarkEnd w:id="7123"/>
      <w:bookmarkEnd w:id="7124"/>
      <w:bookmarkEnd w:id="7125"/>
      <w:bookmarkEnd w:id="7126"/>
      <w:bookmarkEnd w:id="7127"/>
      <w:bookmarkEnd w:id="7128"/>
      <w:bookmarkEnd w:id="7129"/>
      <w:bookmarkEnd w:id="7130"/>
    </w:p>
    <w:p w14:paraId="7E2765F8">
      <w:r>
        <w:rPr>
          <w:rFonts w:hint="eastAsia"/>
        </w:rPr>
        <w:t>要想使入侵防御护生效，必须在相应的安全策略上面启用入侵防御策略。</w:t>
      </w:r>
    </w:p>
    <w:p w14:paraId="487FC617">
      <w:r>
        <w:rPr>
          <w:rFonts w:hint="eastAsia"/>
        </w:rPr>
        <w:t>通过菜单“策略配置&gt;控制策略”进入控制策略界面，新建或者编辑一条已经存在的策略；</w:t>
      </w:r>
      <w:r>
        <w:t>点击</w:t>
      </w:r>
      <w:r>
        <w:rPr>
          <w:rFonts w:hint="eastAsia"/>
        </w:rPr>
        <w:t>“入侵防御”标签页，进入“入侵防御”配置界面，如</w:t>
      </w:r>
      <w:r>
        <w:fldChar w:fldCharType="begin"/>
      </w:r>
      <w:r>
        <w:instrText xml:space="preserve"> </w:instrText>
      </w:r>
      <w:r>
        <w:rPr>
          <w:rFonts w:hint="eastAsia"/>
        </w:rPr>
        <w:instrText xml:space="preserve">REF _Ref509930723 \r \h</w:instrText>
      </w:r>
      <w:r>
        <w:instrText xml:space="preserve"> </w:instrText>
      </w:r>
      <w:r>
        <w:fldChar w:fldCharType="separate"/>
      </w:r>
      <w:r>
        <w:rPr>
          <w:rFonts w:hint="eastAsia"/>
        </w:rPr>
        <w:t>图29-6</w:t>
      </w:r>
      <w:r>
        <w:fldChar w:fldCharType="end"/>
      </w:r>
      <w:r>
        <w:t>所示</w:t>
      </w:r>
      <w:r>
        <w:rPr>
          <w:rFonts w:hint="eastAsia"/>
        </w:rPr>
        <w:t>。各个配置项含义如</w:t>
      </w:r>
      <w:r>
        <w:fldChar w:fldCharType="begin"/>
      </w:r>
      <w:r>
        <w:instrText xml:space="preserve"> </w:instrText>
      </w:r>
      <w:r>
        <w:rPr>
          <w:rFonts w:hint="eastAsia"/>
        </w:rPr>
        <w:instrText xml:space="preserve">REF _Ref509930996 \r \h</w:instrText>
      </w:r>
      <w:r>
        <w:instrText xml:space="preserve"> </w:instrText>
      </w:r>
      <w:r>
        <w:fldChar w:fldCharType="separate"/>
      </w:r>
      <w:r>
        <w:rPr>
          <w:rFonts w:hint="eastAsia"/>
        </w:rPr>
        <w:t>表29-1</w:t>
      </w:r>
      <w:r>
        <w:fldChar w:fldCharType="end"/>
      </w:r>
      <w:r>
        <w:rPr>
          <w:rFonts w:hint="eastAsia"/>
        </w:rPr>
        <w:t>所示。</w:t>
      </w:r>
    </w:p>
    <w:p w14:paraId="68DF48E1">
      <w:pPr>
        <w:pStyle w:val="188"/>
      </w:pPr>
      <w:bookmarkStart w:id="7131" w:name="_Ref509930723"/>
      <w:bookmarkStart w:id="7132" w:name="_Toc421279056"/>
      <w:bookmarkStart w:id="7133" w:name="_Toc141875168"/>
      <w:r>
        <w:rPr>
          <w:rFonts w:hint="eastAsia"/>
        </w:rPr>
        <w:t>入侵防御策略</w:t>
      </w:r>
      <w:bookmarkEnd w:id="7131"/>
      <w:bookmarkEnd w:id="7132"/>
      <w:bookmarkEnd w:id="7133"/>
    </w:p>
    <w:p w14:paraId="58FBC87D">
      <w:r>
        <w:drawing>
          <wp:inline distT="0" distB="0" distL="0" distR="0">
            <wp:extent cx="5398770" cy="980440"/>
            <wp:effectExtent l="0" t="0" r="0" b="0"/>
            <wp:docPr id="3452" name="图片 3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2" name="图片 3452"/>
                    <pic:cNvPicPr>
                      <a:picLocks noChangeAspect="1"/>
                    </pic:cNvPicPr>
                  </pic:nvPicPr>
                  <pic:blipFill>
                    <a:blip r:embed="rId867"/>
                    <a:srcRect t="61294"/>
                    <a:stretch>
                      <a:fillRect/>
                    </a:stretch>
                  </pic:blipFill>
                  <pic:spPr>
                    <a:xfrm>
                      <a:off x="0" y="0"/>
                      <a:ext cx="5400040" cy="980588"/>
                    </a:xfrm>
                    <a:prstGeom prst="rect">
                      <a:avLst/>
                    </a:prstGeom>
                    <a:ln>
                      <a:noFill/>
                    </a:ln>
                  </pic:spPr>
                </pic:pic>
              </a:graphicData>
            </a:graphic>
          </wp:inline>
        </w:drawing>
      </w:r>
    </w:p>
    <w:p w14:paraId="4E473AB3"/>
    <w:p w14:paraId="1DA3D652">
      <w:pPr>
        <w:pStyle w:val="183"/>
      </w:pPr>
      <w:bookmarkStart w:id="7134" w:name="_Ref509930996"/>
      <w:bookmarkStart w:id="7135" w:name="_Toc141875721"/>
      <w:r>
        <w:rPr>
          <w:rFonts w:hint="eastAsia"/>
        </w:rPr>
        <w:t>入侵防御策略配置项含义描述表</w:t>
      </w:r>
      <w:bookmarkEnd w:id="7134"/>
      <w:bookmarkEnd w:id="7135"/>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526"/>
        <w:gridCol w:w="7488"/>
      </w:tblGrid>
      <w:tr w14:paraId="18C575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526" w:type="dxa"/>
            <w:tcBorders>
              <w:tl2br w:val="nil"/>
              <w:tr2bl w:val="nil"/>
            </w:tcBorders>
            <w:shd w:val="clear" w:color="auto" w:fill="538135" w:themeFill="accent6" w:themeFillShade="BF"/>
            <w:vAlign w:val="center"/>
          </w:tcPr>
          <w:p w14:paraId="3161D3D8">
            <w:pPr>
              <w:pStyle w:val="149"/>
              <w:wordWrap/>
              <w:rPr>
                <w:b/>
                <w:bCs/>
                <w:i w:val="0"/>
                <w:iCs w:val="0"/>
              </w:rPr>
            </w:pPr>
            <w:r>
              <w:rPr>
                <w:b/>
                <w:bCs/>
                <w:i w:val="0"/>
                <w:iCs w:val="0"/>
              </w:rPr>
              <w:t>参数</w:t>
            </w:r>
          </w:p>
        </w:tc>
        <w:tc>
          <w:tcPr>
            <w:tcW w:w="7488" w:type="dxa"/>
            <w:tcBorders>
              <w:tl2br w:val="nil"/>
              <w:tr2bl w:val="nil"/>
            </w:tcBorders>
            <w:shd w:val="clear" w:color="auto" w:fill="538135" w:themeFill="accent6" w:themeFillShade="BF"/>
            <w:vAlign w:val="center"/>
          </w:tcPr>
          <w:p w14:paraId="1108C6F6">
            <w:pPr>
              <w:pStyle w:val="149"/>
              <w:wordWrap/>
              <w:rPr>
                <w:b/>
                <w:bCs/>
                <w:i w:val="0"/>
                <w:iCs w:val="0"/>
              </w:rPr>
            </w:pPr>
            <w:r>
              <w:rPr>
                <w:b/>
                <w:bCs/>
                <w:i w:val="0"/>
                <w:iCs w:val="0"/>
              </w:rPr>
              <w:t>说明</w:t>
            </w:r>
          </w:p>
        </w:tc>
      </w:tr>
      <w:tr w14:paraId="2999FC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526" w:type="dxa"/>
            <w:shd w:val="clear" w:color="auto" w:fill="auto"/>
          </w:tcPr>
          <w:p w14:paraId="6A35C66F">
            <w:pPr>
              <w:pStyle w:val="150"/>
            </w:pPr>
            <w:r>
              <w:rPr>
                <w:rFonts w:hint="eastAsia"/>
              </w:rPr>
              <w:t>规则模板</w:t>
            </w:r>
          </w:p>
        </w:tc>
        <w:tc>
          <w:tcPr>
            <w:tcW w:w="7488" w:type="dxa"/>
            <w:shd w:val="clear" w:color="auto" w:fill="auto"/>
          </w:tcPr>
          <w:p w14:paraId="2C0A7E3F">
            <w:pPr>
              <w:pStyle w:val="150"/>
            </w:pPr>
            <w:r>
              <w:rPr>
                <w:rFonts w:hint="eastAsia"/>
              </w:rPr>
              <w:t>选择入侵防御使用的规则模板名称</w:t>
            </w:r>
          </w:p>
        </w:tc>
      </w:tr>
      <w:tr w14:paraId="002D57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526" w:type="dxa"/>
            <w:shd w:val="clear" w:color="auto" w:fill="auto"/>
          </w:tcPr>
          <w:p w14:paraId="136FC48D">
            <w:pPr>
              <w:pStyle w:val="150"/>
            </w:pPr>
            <w:r>
              <w:rPr>
                <w:rFonts w:hint="eastAsia"/>
              </w:rPr>
              <w:t>防护模式</w:t>
            </w:r>
          </w:p>
        </w:tc>
        <w:tc>
          <w:tcPr>
            <w:tcW w:w="7488" w:type="dxa"/>
            <w:shd w:val="clear" w:color="auto" w:fill="auto"/>
          </w:tcPr>
          <w:p w14:paraId="41D414C3">
            <w:pPr>
              <w:pStyle w:val="150"/>
            </w:pPr>
            <w:r>
              <w:rPr>
                <w:rFonts w:hint="eastAsia"/>
              </w:rPr>
              <w:t>是否启用防护模式，只有启用防护模式且模板下的规则或协议异常检查配置为阻断，匹配到策略后才会阻断流量。</w:t>
            </w:r>
          </w:p>
        </w:tc>
      </w:tr>
    </w:tbl>
    <w:p w14:paraId="669120D0">
      <w:bookmarkStart w:id="7136" w:name="_Toc404075380"/>
      <w:bookmarkStart w:id="7137" w:name="_Toc23153001"/>
      <w:bookmarkStart w:id="7138" w:name="_Toc40276422"/>
      <w:bookmarkStart w:id="7139" w:name="_Toc510628156"/>
      <w:bookmarkStart w:id="7140" w:name="_Toc495418700"/>
      <w:bookmarkStart w:id="7141" w:name="_Toc15485237"/>
      <w:bookmarkStart w:id="7142" w:name="_Toc436123125"/>
      <w:bookmarkStart w:id="7143" w:name="_Toc2937475"/>
    </w:p>
    <w:p w14:paraId="68A4AFBE">
      <w:pPr>
        <w:pStyle w:val="5"/>
      </w:pPr>
      <w:bookmarkStart w:id="7144" w:name="_Toc70415629"/>
      <w:bookmarkStart w:id="7145" w:name="_Toc141873766"/>
      <w:bookmarkStart w:id="7146" w:name="_Toc142401283"/>
      <w:bookmarkStart w:id="7147" w:name="_Toc99561945"/>
      <w:bookmarkStart w:id="7148" w:name="_Toc58604236"/>
      <w:bookmarkStart w:id="7149" w:name="_Toc196728439"/>
      <w:bookmarkStart w:id="7150" w:name="_Toc50644260"/>
      <w:bookmarkStart w:id="7151" w:name="_Toc70414692"/>
      <w:bookmarkStart w:id="7152" w:name="_Ref99555011"/>
      <w:bookmarkStart w:id="7153" w:name="_Toc172218561"/>
      <w:bookmarkStart w:id="7154" w:name="_Toc194081107"/>
      <w:r>
        <w:rPr>
          <w:rFonts w:hint="eastAsia"/>
        </w:rPr>
        <w:t>入侵日志聚合</w:t>
      </w:r>
      <w:bookmarkEnd w:id="7144"/>
      <w:bookmarkEnd w:id="7145"/>
      <w:bookmarkEnd w:id="7146"/>
      <w:bookmarkEnd w:id="7147"/>
      <w:bookmarkEnd w:id="7148"/>
      <w:bookmarkEnd w:id="7149"/>
      <w:bookmarkEnd w:id="7150"/>
      <w:bookmarkEnd w:id="7151"/>
      <w:bookmarkEnd w:id="7152"/>
      <w:bookmarkEnd w:id="7153"/>
      <w:bookmarkEnd w:id="7154"/>
    </w:p>
    <w:p w14:paraId="10F6EEA2">
      <w:r>
        <w:rPr>
          <w:rFonts w:hint="eastAsia"/>
        </w:rPr>
        <w:t>IPS入侵日志支持聚合，系统可将符合聚合规则（协议ID相同、特征规则ID相同）的日志信息进行聚合，从而减少日志数量，避免日志服务器接受冗余的日志信息。系统仅支持聚合由IPS功能所产生的日志信息。聚合的前提条件是特征规则ID、应用必须相同，然后根据聚合方式进行聚合。</w:t>
      </w:r>
    </w:p>
    <w:p w14:paraId="6C2D71D3">
      <w:r>
        <w:rPr>
          <w:rFonts w:hint="eastAsia"/>
        </w:rPr>
        <w:t>该功能默认为关闭状态。</w:t>
      </w:r>
    </w:p>
    <w:p w14:paraId="2674959A">
      <w:r>
        <w:rPr>
          <w:rFonts w:hint="eastAsia"/>
        </w:rPr>
        <w:t>通过菜单“数据中心&gt;日志中心&gt;安全日志&gt;入侵防御日志&gt;日志聚合”进入日志聚合配置界面，</w:t>
      </w:r>
      <w:r>
        <w:t>点击</w:t>
      </w:r>
      <w:r>
        <w:rPr>
          <w:rFonts w:hint="eastAsia"/>
        </w:rPr>
        <w:t>“下拉框”选择日志聚合方式，如</w:t>
      </w:r>
      <w:r>
        <w:fldChar w:fldCharType="begin"/>
      </w:r>
      <w:r>
        <w:instrText xml:space="preserve"> </w:instrText>
      </w:r>
      <w:r>
        <w:rPr>
          <w:rFonts w:hint="eastAsia"/>
        </w:rPr>
        <w:instrText xml:space="preserve">REF _Ref509930723 \r \h</w:instrText>
      </w:r>
      <w:r>
        <w:instrText xml:space="preserve"> </w:instrText>
      </w:r>
      <w:r>
        <w:fldChar w:fldCharType="separate"/>
      </w:r>
      <w:r>
        <w:rPr>
          <w:rFonts w:hint="eastAsia"/>
        </w:rPr>
        <w:t>图29-6</w:t>
      </w:r>
      <w:r>
        <w:fldChar w:fldCharType="end"/>
      </w:r>
      <w:r>
        <w:t>所示</w:t>
      </w:r>
      <w:r>
        <w:rPr>
          <w:rFonts w:hint="eastAsia"/>
        </w:rPr>
        <w:t>。各个配置项含义如</w:t>
      </w:r>
      <w:r>
        <w:fldChar w:fldCharType="begin"/>
      </w:r>
      <w:r>
        <w:instrText xml:space="preserve"> </w:instrText>
      </w:r>
      <w:r>
        <w:rPr>
          <w:rFonts w:hint="eastAsia"/>
        </w:rPr>
        <w:instrText xml:space="preserve">REF _Ref509930996 \r \h</w:instrText>
      </w:r>
      <w:r>
        <w:instrText xml:space="preserve"> </w:instrText>
      </w:r>
      <w:r>
        <w:fldChar w:fldCharType="separate"/>
      </w:r>
      <w:r>
        <w:rPr>
          <w:rFonts w:hint="eastAsia"/>
        </w:rPr>
        <w:t>表29-1</w:t>
      </w:r>
      <w:r>
        <w:fldChar w:fldCharType="end"/>
      </w:r>
      <w:r>
        <w:rPr>
          <w:rFonts w:hint="eastAsia"/>
        </w:rPr>
        <w:t>所示。</w:t>
      </w:r>
    </w:p>
    <w:p w14:paraId="619C08CA">
      <w:pPr>
        <w:pStyle w:val="188"/>
      </w:pPr>
      <w:bookmarkStart w:id="7155" w:name="_Toc141875169"/>
      <w:r>
        <w:rPr>
          <w:rFonts w:hint="eastAsia"/>
        </w:rPr>
        <w:t>入侵防御日志聚合</w:t>
      </w:r>
      <w:bookmarkEnd w:id="7155"/>
    </w:p>
    <w:p w14:paraId="3A0A110A">
      <w:r>
        <w:drawing>
          <wp:inline distT="0" distB="0" distL="0" distR="0">
            <wp:extent cx="4685665" cy="1856740"/>
            <wp:effectExtent l="0" t="0" r="635"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868"/>
                    <a:stretch>
                      <a:fillRect/>
                    </a:stretch>
                  </pic:blipFill>
                  <pic:spPr>
                    <a:xfrm>
                      <a:off x="0" y="0"/>
                      <a:ext cx="4685714" cy="1857143"/>
                    </a:xfrm>
                    <a:prstGeom prst="rect">
                      <a:avLst/>
                    </a:prstGeom>
                  </pic:spPr>
                </pic:pic>
              </a:graphicData>
            </a:graphic>
          </wp:inline>
        </w:drawing>
      </w:r>
    </w:p>
    <w:p w14:paraId="2F3C7670"/>
    <w:p w14:paraId="3D987D4E">
      <w:pPr>
        <w:pStyle w:val="183"/>
      </w:pPr>
      <w:bookmarkStart w:id="7156" w:name="_Toc141875722"/>
      <w:r>
        <w:rPr>
          <w:rFonts w:hint="eastAsia"/>
        </w:rPr>
        <w:t>入侵防御日志聚合方式配置项含义描述表</w:t>
      </w:r>
      <w:bookmarkEnd w:id="7156"/>
    </w:p>
    <w:tbl>
      <w:tblPr>
        <w:tblStyle w:val="173"/>
        <w:tblW w:w="953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668"/>
        <w:gridCol w:w="7862"/>
      </w:tblGrid>
      <w:tr w14:paraId="6404BD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68" w:type="dxa"/>
            <w:tcBorders>
              <w:tl2br w:val="nil"/>
              <w:tr2bl w:val="nil"/>
            </w:tcBorders>
            <w:shd w:val="clear" w:color="auto" w:fill="538135" w:themeFill="accent6" w:themeFillShade="BF"/>
            <w:vAlign w:val="center"/>
          </w:tcPr>
          <w:p w14:paraId="1E0BF247">
            <w:pPr>
              <w:pStyle w:val="149"/>
              <w:wordWrap/>
              <w:rPr>
                <w:b/>
                <w:bCs/>
                <w:i w:val="0"/>
                <w:iCs w:val="0"/>
              </w:rPr>
            </w:pPr>
            <w:r>
              <w:rPr>
                <w:rFonts w:hint="eastAsia"/>
                <w:b/>
                <w:bCs/>
                <w:i w:val="0"/>
                <w:iCs w:val="0"/>
              </w:rPr>
              <w:t>聚合方式</w:t>
            </w:r>
          </w:p>
        </w:tc>
        <w:tc>
          <w:tcPr>
            <w:tcW w:w="7862" w:type="dxa"/>
            <w:tcBorders>
              <w:tl2br w:val="nil"/>
              <w:tr2bl w:val="nil"/>
            </w:tcBorders>
            <w:shd w:val="clear" w:color="auto" w:fill="538135" w:themeFill="accent6" w:themeFillShade="BF"/>
            <w:vAlign w:val="center"/>
          </w:tcPr>
          <w:p w14:paraId="4B5A5892">
            <w:pPr>
              <w:pStyle w:val="149"/>
              <w:wordWrap/>
              <w:rPr>
                <w:b/>
                <w:bCs/>
                <w:i w:val="0"/>
                <w:iCs w:val="0"/>
              </w:rPr>
            </w:pPr>
            <w:r>
              <w:rPr>
                <w:b/>
                <w:bCs/>
                <w:i w:val="0"/>
                <w:iCs w:val="0"/>
              </w:rPr>
              <w:t>说明</w:t>
            </w:r>
          </w:p>
        </w:tc>
      </w:tr>
      <w:tr w14:paraId="45CBFEC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68" w:type="dxa"/>
            <w:shd w:val="clear" w:color="auto" w:fill="auto"/>
          </w:tcPr>
          <w:p w14:paraId="24E7610C">
            <w:pPr>
              <w:pStyle w:val="150"/>
            </w:pPr>
            <w:r>
              <w:rPr>
                <w:rFonts w:hint="eastAsia"/>
              </w:rPr>
              <w:t>不聚合</w:t>
            </w:r>
          </w:p>
        </w:tc>
        <w:tc>
          <w:tcPr>
            <w:tcW w:w="7862" w:type="dxa"/>
            <w:shd w:val="clear" w:color="auto" w:fill="auto"/>
          </w:tcPr>
          <w:p w14:paraId="5B82D902">
            <w:pPr>
              <w:pStyle w:val="150"/>
            </w:pPr>
            <w:r>
              <w:rPr>
                <w:rFonts w:hint="eastAsia"/>
              </w:rPr>
              <w:t>默认不聚合</w:t>
            </w:r>
          </w:p>
        </w:tc>
      </w:tr>
      <w:tr w14:paraId="4206E6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68" w:type="dxa"/>
            <w:shd w:val="clear" w:color="auto" w:fill="auto"/>
          </w:tcPr>
          <w:p w14:paraId="3DFA55C9">
            <w:pPr>
              <w:pStyle w:val="150"/>
            </w:pPr>
            <w:r>
              <w:rPr>
                <w:rFonts w:hint="eastAsia"/>
              </w:rPr>
              <w:t>按照规则聚合</w:t>
            </w:r>
          </w:p>
        </w:tc>
        <w:tc>
          <w:tcPr>
            <w:tcW w:w="7862" w:type="dxa"/>
            <w:shd w:val="clear" w:color="auto" w:fill="auto"/>
          </w:tcPr>
          <w:p w14:paraId="47B9E805">
            <w:pPr>
              <w:pStyle w:val="150"/>
            </w:pPr>
            <w:r>
              <w:rPr>
                <w:rFonts w:hint="eastAsia"/>
              </w:rPr>
              <w:t>是指一段时间之内相同规则ID、相同应用的事件只会产生一条日志。</w:t>
            </w:r>
          </w:p>
        </w:tc>
      </w:tr>
      <w:tr w14:paraId="23F5B00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68" w:type="dxa"/>
            <w:shd w:val="clear" w:color="auto" w:fill="auto"/>
          </w:tcPr>
          <w:p w14:paraId="1DB833F2">
            <w:pPr>
              <w:pStyle w:val="150"/>
            </w:pPr>
            <w:r>
              <w:rPr>
                <w:rFonts w:hint="eastAsia"/>
              </w:rPr>
              <w:t>按源IP聚合</w:t>
            </w:r>
          </w:p>
        </w:tc>
        <w:tc>
          <w:tcPr>
            <w:tcW w:w="7862" w:type="dxa"/>
            <w:shd w:val="clear" w:color="auto" w:fill="auto"/>
          </w:tcPr>
          <w:p w14:paraId="3EAD9338">
            <w:pPr>
              <w:pStyle w:val="150"/>
            </w:pPr>
            <w:r>
              <w:rPr>
                <w:rFonts w:hint="eastAsia"/>
              </w:rPr>
              <w:t>是指一段时间之内相同源IP、相同规则ID、相同应用的事件只会产生一条日志。</w:t>
            </w:r>
          </w:p>
        </w:tc>
      </w:tr>
      <w:tr w14:paraId="2AFC9AE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68" w:type="dxa"/>
            <w:shd w:val="clear" w:color="auto" w:fill="auto"/>
          </w:tcPr>
          <w:p w14:paraId="236F9AFF">
            <w:pPr>
              <w:pStyle w:val="150"/>
            </w:pPr>
            <w:r>
              <w:rPr>
                <w:rFonts w:hint="eastAsia"/>
              </w:rPr>
              <w:t>按目的IP聚合</w:t>
            </w:r>
          </w:p>
        </w:tc>
        <w:tc>
          <w:tcPr>
            <w:tcW w:w="7862" w:type="dxa"/>
            <w:shd w:val="clear" w:color="auto" w:fill="auto"/>
          </w:tcPr>
          <w:p w14:paraId="0B99EBED">
            <w:pPr>
              <w:pStyle w:val="150"/>
              <w:rPr>
                <w:bCs/>
              </w:rPr>
            </w:pPr>
            <w:r>
              <w:rPr>
                <w:rFonts w:hint="eastAsia"/>
              </w:rPr>
              <w:t>是指一段时间之内相同目的IP、相同规则ID、相同应用的事件只会产生一条日志。</w:t>
            </w:r>
          </w:p>
        </w:tc>
      </w:tr>
      <w:tr w14:paraId="413230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68" w:type="dxa"/>
            <w:shd w:val="clear" w:color="auto" w:fill="auto"/>
          </w:tcPr>
          <w:p w14:paraId="37D00F93">
            <w:pPr>
              <w:pStyle w:val="150"/>
            </w:pPr>
            <w:r>
              <w:rPr>
                <w:rFonts w:hint="eastAsia"/>
              </w:rPr>
              <w:t>按源目IP聚合</w:t>
            </w:r>
          </w:p>
        </w:tc>
        <w:tc>
          <w:tcPr>
            <w:tcW w:w="7862" w:type="dxa"/>
            <w:shd w:val="clear" w:color="auto" w:fill="auto"/>
          </w:tcPr>
          <w:p w14:paraId="43F24AF3">
            <w:pPr>
              <w:pStyle w:val="150"/>
            </w:pPr>
            <w:r>
              <w:rPr>
                <w:rFonts w:hint="eastAsia"/>
              </w:rPr>
              <w:t>是指一段时间之内相同源IP、相同目的IP、相同规则ID、相同应用的事件只会产生一条日志。</w:t>
            </w:r>
          </w:p>
        </w:tc>
      </w:tr>
    </w:tbl>
    <w:p w14:paraId="3D712D1D">
      <w:bookmarkStart w:id="7157" w:name="_Toc50644264"/>
    </w:p>
    <w:p w14:paraId="39DC77AB">
      <w:pPr>
        <w:pStyle w:val="5"/>
      </w:pPr>
      <w:bookmarkStart w:id="7158" w:name="_Toc58604237"/>
      <w:bookmarkStart w:id="7159" w:name="_Toc99561946"/>
      <w:bookmarkStart w:id="7160" w:name="_Toc70415630"/>
      <w:bookmarkStart w:id="7161" w:name="_Toc70414693"/>
      <w:bookmarkStart w:id="7162" w:name="_Ref99555118"/>
      <w:bookmarkStart w:id="7163" w:name="_Toc141873767"/>
      <w:bookmarkStart w:id="7164" w:name="_Toc142401284"/>
      <w:bookmarkStart w:id="7165" w:name="_Toc194081108"/>
      <w:bookmarkStart w:id="7166" w:name="_Toc196728440"/>
      <w:bookmarkStart w:id="7167" w:name="_Toc172218562"/>
      <w:r>
        <w:rPr>
          <w:rFonts w:hint="eastAsia"/>
        </w:rPr>
        <w:t>入侵日志告警规则</w:t>
      </w:r>
      <w:bookmarkEnd w:id="7157"/>
      <w:bookmarkEnd w:id="7158"/>
      <w:bookmarkEnd w:id="7159"/>
      <w:bookmarkEnd w:id="7160"/>
      <w:bookmarkEnd w:id="7161"/>
      <w:bookmarkEnd w:id="7162"/>
      <w:bookmarkEnd w:id="7163"/>
      <w:bookmarkEnd w:id="7164"/>
      <w:bookmarkEnd w:id="7165"/>
      <w:bookmarkEnd w:id="7166"/>
      <w:bookmarkEnd w:id="7167"/>
    </w:p>
    <w:p w14:paraId="59E7B58F">
      <w:r>
        <w:rPr>
          <w:rFonts w:hint="eastAsia"/>
        </w:rPr>
        <w:t>通过菜单“数据中心&gt;日志中心&gt;安全日志&gt;入侵防御日志&gt;告警规则”进入告警规则配置界面，</w:t>
      </w:r>
      <w:r>
        <w:t>点击</w:t>
      </w:r>
      <w:r>
        <w:rPr>
          <w:rFonts w:hint="eastAsia"/>
        </w:rPr>
        <w:t>“新建”进入告警规则配置页面，如下图</w:t>
      </w:r>
      <w:r>
        <w:t>所示</w:t>
      </w:r>
      <w:r>
        <w:rPr>
          <w:rFonts w:hint="eastAsia"/>
        </w:rPr>
        <w:t>。</w:t>
      </w:r>
    </w:p>
    <w:p w14:paraId="292D1202">
      <w:pPr>
        <w:pStyle w:val="188"/>
      </w:pPr>
      <w:bookmarkStart w:id="7168" w:name="_Toc141875170"/>
      <w:r>
        <w:rPr>
          <w:rFonts w:hint="eastAsia"/>
        </w:rPr>
        <w:t>入侵防御告警规则</w:t>
      </w:r>
      <w:bookmarkEnd w:id="7168"/>
    </w:p>
    <w:p w14:paraId="41188F26">
      <w:r>
        <w:drawing>
          <wp:inline distT="0" distB="0" distL="0" distR="0">
            <wp:extent cx="5400040" cy="4034155"/>
            <wp:effectExtent l="0" t="0" r="0" b="4445"/>
            <wp:docPr id="876" name="图片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图片 876"/>
                    <pic:cNvPicPr>
                      <a:picLocks noChangeAspect="1"/>
                    </pic:cNvPicPr>
                  </pic:nvPicPr>
                  <pic:blipFill>
                    <a:blip r:embed="rId869"/>
                    <a:stretch>
                      <a:fillRect/>
                    </a:stretch>
                  </pic:blipFill>
                  <pic:spPr>
                    <a:xfrm>
                      <a:off x="0" y="0"/>
                      <a:ext cx="5400040" cy="4034405"/>
                    </a:xfrm>
                    <a:prstGeom prst="rect">
                      <a:avLst/>
                    </a:prstGeom>
                  </pic:spPr>
                </pic:pic>
              </a:graphicData>
            </a:graphic>
          </wp:inline>
        </w:drawing>
      </w:r>
    </w:p>
    <w:p w14:paraId="66387606"/>
    <w:p w14:paraId="1F14C07D">
      <w:pPr>
        <w:pStyle w:val="183"/>
      </w:pPr>
      <w:bookmarkStart w:id="7169" w:name="_Toc141875723"/>
      <w:r>
        <w:rPr>
          <w:rFonts w:hint="eastAsia"/>
        </w:rPr>
        <w:t>入侵防御告警规则配置项含义描述表</w:t>
      </w:r>
      <w:bookmarkEnd w:id="7169"/>
    </w:p>
    <w:tbl>
      <w:tblPr>
        <w:tblStyle w:val="173"/>
        <w:tblW w:w="929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951"/>
        <w:gridCol w:w="7343"/>
      </w:tblGrid>
      <w:tr w14:paraId="744757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51" w:type="dxa"/>
            <w:tcBorders>
              <w:tl2br w:val="nil"/>
              <w:tr2bl w:val="nil"/>
            </w:tcBorders>
            <w:shd w:val="clear" w:color="auto" w:fill="538135" w:themeFill="accent6" w:themeFillShade="BF"/>
            <w:vAlign w:val="center"/>
          </w:tcPr>
          <w:p w14:paraId="7A293BFF">
            <w:pPr>
              <w:pStyle w:val="149"/>
              <w:wordWrap/>
              <w:rPr>
                <w:b/>
                <w:bCs/>
                <w:i w:val="0"/>
                <w:iCs w:val="0"/>
              </w:rPr>
            </w:pPr>
            <w:r>
              <w:rPr>
                <w:rFonts w:hint="eastAsia"/>
                <w:b/>
                <w:bCs/>
                <w:i w:val="0"/>
                <w:iCs w:val="0"/>
              </w:rPr>
              <w:t>参数</w:t>
            </w:r>
          </w:p>
        </w:tc>
        <w:tc>
          <w:tcPr>
            <w:tcW w:w="7343" w:type="dxa"/>
            <w:tcBorders>
              <w:tl2br w:val="nil"/>
              <w:tr2bl w:val="nil"/>
            </w:tcBorders>
            <w:shd w:val="clear" w:color="auto" w:fill="538135" w:themeFill="accent6" w:themeFillShade="BF"/>
            <w:vAlign w:val="center"/>
          </w:tcPr>
          <w:p w14:paraId="1AEF9582">
            <w:pPr>
              <w:pStyle w:val="149"/>
              <w:wordWrap/>
              <w:rPr>
                <w:b/>
                <w:bCs/>
                <w:i w:val="0"/>
                <w:iCs w:val="0"/>
              </w:rPr>
            </w:pPr>
            <w:r>
              <w:rPr>
                <w:b/>
                <w:bCs/>
                <w:i w:val="0"/>
                <w:iCs w:val="0"/>
              </w:rPr>
              <w:t>说明</w:t>
            </w:r>
          </w:p>
        </w:tc>
      </w:tr>
      <w:tr w14:paraId="36691E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51" w:type="dxa"/>
            <w:shd w:val="clear" w:color="auto" w:fill="auto"/>
          </w:tcPr>
          <w:p w14:paraId="6FE33163">
            <w:pPr>
              <w:pStyle w:val="150"/>
            </w:pPr>
            <w:r>
              <w:rPr>
                <w:rFonts w:hint="eastAsia"/>
              </w:rPr>
              <w:t>规则名称</w:t>
            </w:r>
          </w:p>
        </w:tc>
        <w:tc>
          <w:tcPr>
            <w:tcW w:w="7343" w:type="dxa"/>
            <w:shd w:val="clear" w:color="auto" w:fill="auto"/>
          </w:tcPr>
          <w:p w14:paraId="79EA8E7C">
            <w:pPr>
              <w:pStyle w:val="150"/>
            </w:pPr>
            <w:r>
              <w:rPr>
                <w:rFonts w:hint="eastAsia"/>
              </w:rPr>
              <w:t>告警规则名称，可输入1-</w:t>
            </w:r>
            <w:r>
              <w:t>63</w:t>
            </w:r>
            <w:r>
              <w:rPr>
                <w:rFonts w:hint="eastAsia"/>
              </w:rPr>
              <w:t>个字符，不支持中文。</w:t>
            </w:r>
          </w:p>
        </w:tc>
      </w:tr>
      <w:tr w14:paraId="5F945A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51" w:type="dxa"/>
            <w:shd w:val="clear" w:color="auto" w:fill="auto"/>
          </w:tcPr>
          <w:p w14:paraId="79B31EC1">
            <w:pPr>
              <w:pStyle w:val="150"/>
            </w:pPr>
            <w:r>
              <w:rPr>
                <w:rFonts w:hint="eastAsia"/>
              </w:rPr>
              <w:t>源地址</w:t>
            </w:r>
          </w:p>
        </w:tc>
        <w:tc>
          <w:tcPr>
            <w:tcW w:w="7343" w:type="dxa"/>
            <w:shd w:val="clear" w:color="auto" w:fill="auto"/>
          </w:tcPr>
          <w:p w14:paraId="67AFD53C">
            <w:pPr>
              <w:pStyle w:val="150"/>
            </w:pPr>
            <w:r>
              <w:rPr>
                <w:rFonts w:hint="eastAsia"/>
              </w:rPr>
              <w:t>源地址对象支持子网、范围、主机地址三种。</w:t>
            </w:r>
          </w:p>
        </w:tc>
      </w:tr>
      <w:tr w14:paraId="183709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51" w:type="dxa"/>
            <w:shd w:val="clear" w:color="auto" w:fill="auto"/>
          </w:tcPr>
          <w:p w14:paraId="59555CF3">
            <w:pPr>
              <w:pStyle w:val="150"/>
            </w:pPr>
            <w:r>
              <w:rPr>
                <w:rFonts w:hint="eastAsia"/>
              </w:rPr>
              <w:t>目的地址</w:t>
            </w:r>
          </w:p>
        </w:tc>
        <w:tc>
          <w:tcPr>
            <w:tcW w:w="7343" w:type="dxa"/>
            <w:shd w:val="clear" w:color="auto" w:fill="auto"/>
          </w:tcPr>
          <w:p w14:paraId="3ADBAADF">
            <w:pPr>
              <w:pStyle w:val="150"/>
            </w:pPr>
            <w:r>
              <w:rPr>
                <w:rFonts w:hint="eastAsia"/>
              </w:rPr>
              <w:t>目的地址对象支持子网、范围、主机地址三种。</w:t>
            </w:r>
          </w:p>
        </w:tc>
      </w:tr>
      <w:tr w14:paraId="2450455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51" w:type="dxa"/>
            <w:shd w:val="clear" w:color="auto" w:fill="auto"/>
          </w:tcPr>
          <w:p w14:paraId="12790616">
            <w:pPr>
              <w:pStyle w:val="150"/>
            </w:pPr>
            <w:r>
              <w:rPr>
                <w:rFonts w:hint="eastAsia"/>
              </w:rPr>
              <w:t>代理地址</w:t>
            </w:r>
          </w:p>
        </w:tc>
        <w:tc>
          <w:tcPr>
            <w:tcW w:w="7343" w:type="dxa"/>
            <w:shd w:val="clear" w:color="auto" w:fill="auto"/>
          </w:tcPr>
          <w:p w14:paraId="47EB2DFE">
            <w:pPr>
              <w:pStyle w:val="150"/>
            </w:pPr>
            <w:r>
              <w:rPr>
                <w:rFonts w:hint="eastAsia"/>
              </w:rPr>
              <w:t>代理地址对象：支持子网、范围、主机地址三种。</w:t>
            </w:r>
          </w:p>
        </w:tc>
      </w:tr>
      <w:tr w14:paraId="5005994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51" w:type="dxa"/>
            <w:shd w:val="clear" w:color="auto" w:fill="auto"/>
          </w:tcPr>
          <w:p w14:paraId="3681BD54">
            <w:pPr>
              <w:pStyle w:val="150"/>
            </w:pPr>
            <w:r>
              <w:rPr>
                <w:rFonts w:hint="eastAsia"/>
              </w:rPr>
              <w:t>源端口</w:t>
            </w:r>
          </w:p>
        </w:tc>
        <w:tc>
          <w:tcPr>
            <w:tcW w:w="7343" w:type="dxa"/>
            <w:shd w:val="clear" w:color="auto" w:fill="auto"/>
          </w:tcPr>
          <w:p w14:paraId="2A49105D">
            <w:pPr>
              <w:pStyle w:val="150"/>
            </w:pPr>
            <w:r>
              <w:rPr>
                <w:rFonts w:hint="eastAsia"/>
              </w:rPr>
              <w:t>范围为：0</w:t>
            </w:r>
            <w:r>
              <w:t>-65535</w:t>
            </w:r>
            <w:r>
              <w:rPr>
                <w:rFonts w:hint="eastAsia"/>
              </w:rPr>
              <w:t>，0代表任意端口。</w:t>
            </w:r>
          </w:p>
        </w:tc>
      </w:tr>
      <w:tr w14:paraId="54B0AAB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51" w:type="dxa"/>
            <w:shd w:val="clear" w:color="auto" w:fill="auto"/>
          </w:tcPr>
          <w:p w14:paraId="01D50173">
            <w:pPr>
              <w:pStyle w:val="150"/>
            </w:pPr>
            <w:r>
              <w:rPr>
                <w:rFonts w:hint="eastAsia"/>
              </w:rPr>
              <w:t>目的端口</w:t>
            </w:r>
          </w:p>
        </w:tc>
        <w:tc>
          <w:tcPr>
            <w:tcW w:w="7343" w:type="dxa"/>
            <w:shd w:val="clear" w:color="auto" w:fill="auto"/>
          </w:tcPr>
          <w:p w14:paraId="63A53A0B">
            <w:pPr>
              <w:pStyle w:val="150"/>
            </w:pPr>
            <w:r>
              <w:rPr>
                <w:rFonts w:hint="eastAsia"/>
              </w:rPr>
              <w:t>范围为：0</w:t>
            </w:r>
            <w:r>
              <w:t>-65535</w:t>
            </w:r>
            <w:r>
              <w:rPr>
                <w:rFonts w:hint="eastAsia"/>
              </w:rPr>
              <w:t>，0代表任意端口。</w:t>
            </w:r>
          </w:p>
        </w:tc>
      </w:tr>
      <w:tr w14:paraId="305A44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51" w:type="dxa"/>
            <w:shd w:val="clear" w:color="auto" w:fill="auto"/>
          </w:tcPr>
          <w:p w14:paraId="1891FC7C">
            <w:pPr>
              <w:pStyle w:val="150"/>
            </w:pPr>
            <w:r>
              <w:rPr>
                <w:rFonts w:hint="eastAsia"/>
              </w:rPr>
              <w:t>级别</w:t>
            </w:r>
          </w:p>
        </w:tc>
        <w:tc>
          <w:tcPr>
            <w:tcW w:w="7343" w:type="dxa"/>
            <w:shd w:val="clear" w:color="auto" w:fill="auto"/>
          </w:tcPr>
          <w:p w14:paraId="338FD7E5">
            <w:pPr>
              <w:pStyle w:val="150"/>
            </w:pPr>
            <w:r>
              <w:rPr>
                <w:rFonts w:hint="eastAsia"/>
              </w:rPr>
              <w:t>全部、告警、警告、通知、信息。</w:t>
            </w:r>
          </w:p>
        </w:tc>
      </w:tr>
      <w:tr w14:paraId="254895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51" w:type="dxa"/>
            <w:shd w:val="clear" w:color="auto" w:fill="auto"/>
          </w:tcPr>
          <w:p w14:paraId="1203F52B">
            <w:pPr>
              <w:pStyle w:val="150"/>
            </w:pPr>
            <w:r>
              <w:rPr>
                <w:rFonts w:hint="eastAsia"/>
              </w:rPr>
              <w:t>动作</w:t>
            </w:r>
          </w:p>
        </w:tc>
        <w:tc>
          <w:tcPr>
            <w:tcW w:w="7343" w:type="dxa"/>
            <w:shd w:val="clear" w:color="auto" w:fill="auto"/>
          </w:tcPr>
          <w:p w14:paraId="3CE12B58">
            <w:pPr>
              <w:pStyle w:val="150"/>
            </w:pPr>
            <w:r>
              <w:rPr>
                <w:rFonts w:hint="eastAsia"/>
              </w:rPr>
              <w:t>全部、允许、拒绝。</w:t>
            </w:r>
          </w:p>
        </w:tc>
      </w:tr>
      <w:tr w14:paraId="62135C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51" w:type="dxa"/>
            <w:shd w:val="clear" w:color="auto" w:fill="auto"/>
          </w:tcPr>
          <w:p w14:paraId="6CA3DFD9">
            <w:pPr>
              <w:pStyle w:val="150"/>
            </w:pPr>
            <w:r>
              <w:rPr>
                <w:rFonts w:hint="eastAsia"/>
              </w:rPr>
              <w:t>事件类型</w:t>
            </w:r>
          </w:p>
        </w:tc>
        <w:tc>
          <w:tcPr>
            <w:tcW w:w="7343" w:type="dxa"/>
            <w:shd w:val="clear" w:color="auto" w:fill="auto"/>
          </w:tcPr>
          <w:p w14:paraId="65CF7048">
            <w:pPr>
              <w:pStyle w:val="150"/>
            </w:pPr>
            <w:r>
              <w:rPr>
                <w:rFonts w:hint="eastAsia"/>
              </w:rPr>
              <w:t>选择入侵防御的事件类型。</w:t>
            </w:r>
          </w:p>
        </w:tc>
      </w:tr>
      <w:tr w14:paraId="6D8BED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51" w:type="dxa"/>
            <w:shd w:val="clear" w:color="auto" w:fill="auto"/>
          </w:tcPr>
          <w:p w14:paraId="1BC0A158">
            <w:pPr>
              <w:pStyle w:val="150"/>
            </w:pPr>
            <w:r>
              <w:rPr>
                <w:rFonts w:hint="eastAsia"/>
              </w:rPr>
              <w:t>发送频率</w:t>
            </w:r>
          </w:p>
        </w:tc>
        <w:tc>
          <w:tcPr>
            <w:tcW w:w="7343" w:type="dxa"/>
            <w:shd w:val="clear" w:color="auto" w:fill="auto"/>
          </w:tcPr>
          <w:p w14:paraId="47FA6F48">
            <w:pPr>
              <w:pStyle w:val="150"/>
            </w:pPr>
            <w:r>
              <w:rPr>
                <w:rFonts w:hint="eastAsia"/>
              </w:rPr>
              <w:t>时间范围（60-86400秒），攻击条数阈值（1~99999999）。</w:t>
            </w:r>
          </w:p>
        </w:tc>
      </w:tr>
      <w:tr w14:paraId="38345CB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51" w:type="dxa"/>
            <w:shd w:val="clear" w:color="auto" w:fill="auto"/>
          </w:tcPr>
          <w:p w14:paraId="2C2256BC">
            <w:pPr>
              <w:pStyle w:val="150"/>
            </w:pPr>
            <w:r>
              <w:rPr>
                <w:rFonts w:hint="eastAsia"/>
              </w:rPr>
              <w:t>外发设置</w:t>
            </w:r>
          </w:p>
        </w:tc>
        <w:tc>
          <w:tcPr>
            <w:tcW w:w="7343" w:type="dxa"/>
            <w:shd w:val="clear" w:color="auto" w:fill="auto"/>
          </w:tcPr>
          <w:p w14:paraId="3C66360D">
            <w:pPr>
              <w:pStyle w:val="150"/>
            </w:pPr>
            <w:r>
              <w:rPr>
                <w:rFonts w:hint="eastAsia"/>
              </w:rPr>
              <w:t>syslog ， 邮件（配置邮箱）。</w:t>
            </w:r>
          </w:p>
        </w:tc>
      </w:tr>
      <w:tr w14:paraId="14FDDA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951" w:type="dxa"/>
            <w:shd w:val="clear" w:color="auto" w:fill="auto"/>
          </w:tcPr>
          <w:p w14:paraId="4BD51FE9">
            <w:pPr>
              <w:pStyle w:val="150"/>
            </w:pPr>
            <w:r>
              <w:rPr>
                <w:rFonts w:hint="eastAsia"/>
              </w:rPr>
              <w:t>告警邮件</w:t>
            </w:r>
          </w:p>
        </w:tc>
        <w:tc>
          <w:tcPr>
            <w:tcW w:w="7343" w:type="dxa"/>
            <w:shd w:val="clear" w:color="auto" w:fill="auto"/>
          </w:tcPr>
          <w:p w14:paraId="4A36022A">
            <w:pPr>
              <w:pStyle w:val="150"/>
            </w:pPr>
            <w:r>
              <w:rPr>
                <w:rFonts w:hint="eastAsia"/>
              </w:rPr>
              <w:t>收件地址：多个邮箱回车分割，最多支持输入32个。</w:t>
            </w:r>
          </w:p>
        </w:tc>
      </w:tr>
    </w:tbl>
    <w:p w14:paraId="69C39AFE"/>
    <w:p w14:paraId="101E02A1">
      <w:pPr>
        <w:pStyle w:val="5"/>
      </w:pPr>
      <w:bookmarkStart w:id="7170" w:name="_Toc50648186"/>
      <w:bookmarkStart w:id="7171" w:name="_Toc58604238"/>
      <w:bookmarkStart w:id="7172" w:name="_Toc194081109"/>
      <w:bookmarkStart w:id="7173" w:name="_Toc99561947"/>
      <w:bookmarkStart w:id="7174" w:name="_Toc70415631"/>
      <w:bookmarkStart w:id="7175" w:name="_Toc70414694"/>
      <w:bookmarkStart w:id="7176" w:name="_Toc141873768"/>
      <w:bookmarkStart w:id="7177" w:name="_Toc142401285"/>
      <w:bookmarkStart w:id="7178" w:name="_Toc172218563"/>
      <w:bookmarkStart w:id="7179" w:name="_Toc196728441"/>
      <w:r>
        <w:rPr>
          <w:rFonts w:hint="eastAsia"/>
        </w:rPr>
        <w:t>入侵防御配置举例</w:t>
      </w:r>
      <w:bookmarkEnd w:id="7170"/>
      <w:bookmarkEnd w:id="7171"/>
      <w:bookmarkEnd w:id="7172"/>
      <w:bookmarkEnd w:id="7173"/>
      <w:bookmarkEnd w:id="7174"/>
      <w:bookmarkEnd w:id="7175"/>
      <w:bookmarkEnd w:id="7176"/>
      <w:bookmarkEnd w:id="7177"/>
      <w:bookmarkEnd w:id="7178"/>
      <w:bookmarkEnd w:id="7179"/>
    </w:p>
    <w:p w14:paraId="6A5793BB">
      <w:pPr>
        <w:pStyle w:val="6"/>
      </w:pPr>
      <w:bookmarkStart w:id="7180" w:name="_Toc99561948"/>
      <w:bookmarkStart w:id="7181" w:name="_Toc141873769"/>
      <w:bookmarkStart w:id="7182" w:name="_Toc50648187"/>
      <w:bookmarkStart w:id="7183" w:name="_Toc70415632"/>
      <w:bookmarkStart w:id="7184" w:name="_Toc70414695"/>
      <w:bookmarkStart w:id="7185" w:name="_Toc142401286"/>
      <w:bookmarkStart w:id="7186" w:name="_Toc172218564"/>
      <w:bookmarkStart w:id="7187" w:name="_Toc58604239"/>
      <w:r>
        <w:rPr>
          <w:rFonts w:hint="eastAsia"/>
        </w:rPr>
        <w:t>组网需求</w:t>
      </w:r>
      <w:bookmarkEnd w:id="7180"/>
      <w:bookmarkEnd w:id="7181"/>
      <w:bookmarkEnd w:id="7182"/>
      <w:bookmarkEnd w:id="7183"/>
      <w:bookmarkEnd w:id="7184"/>
      <w:bookmarkEnd w:id="7185"/>
      <w:bookmarkEnd w:id="7186"/>
      <w:bookmarkEnd w:id="7187"/>
    </w:p>
    <w:p w14:paraId="3CCB6472">
      <w:r>
        <w:rPr>
          <w:rFonts w:hint="eastAsia"/>
        </w:rPr>
        <w:t>如</w:t>
      </w:r>
      <w:r>
        <w:rPr>
          <w:rStyle w:val="375"/>
        </w:rPr>
        <w:t>下图</w:t>
      </w:r>
      <w:r>
        <w:rPr>
          <w:rFonts w:hint="eastAsia"/>
        </w:rPr>
        <w:t>所示，服务器通过Internet提供web和FTP服务，在设备上启用入侵防御功能来保护Web和FTP服务器。同时通过自定义规则来禁止使用除210以外的端口访问ftp服务器，且不允许上传文件和新建目录，为了减少日志量，按照规则进行日志聚合。</w:t>
      </w:r>
    </w:p>
    <w:p w14:paraId="61D93863">
      <w:pPr>
        <w:pStyle w:val="188"/>
      </w:pPr>
      <w:bookmarkStart w:id="7188" w:name="_Toc141875171"/>
      <w:r>
        <w:rPr>
          <w:rFonts w:hint="eastAsia"/>
        </w:rPr>
        <w:t>入侵防御功能配置组网图</w:t>
      </w:r>
      <w:bookmarkEnd w:id="7188"/>
    </w:p>
    <w:p w14:paraId="65551909">
      <w:pPr>
        <w:spacing w:before="78" w:after="78"/>
      </w:pPr>
      <w:r>
        <w:drawing>
          <wp:inline distT="0" distB="0" distL="0" distR="0">
            <wp:extent cx="1743075" cy="2428875"/>
            <wp:effectExtent l="0" t="0" r="9525" b="0"/>
            <wp:docPr id="3954" name="图片 3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4" name="图片 3954"/>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a:xfrm>
                      <a:off x="0" y="0"/>
                      <a:ext cx="1743075" cy="2428875"/>
                    </a:xfrm>
                    <a:prstGeom prst="rect">
                      <a:avLst/>
                    </a:prstGeom>
                    <a:noFill/>
                    <a:ln>
                      <a:noFill/>
                    </a:ln>
                  </pic:spPr>
                </pic:pic>
              </a:graphicData>
            </a:graphic>
          </wp:inline>
        </w:drawing>
      </w:r>
    </w:p>
    <w:p w14:paraId="0CAE5DC4"/>
    <w:p w14:paraId="184FE679">
      <w:pPr>
        <w:pStyle w:val="6"/>
      </w:pPr>
      <w:bookmarkStart w:id="7189" w:name="_Toc70415633"/>
      <w:bookmarkStart w:id="7190" w:name="_Toc142401287"/>
      <w:bookmarkStart w:id="7191" w:name="_Toc50648188"/>
      <w:bookmarkStart w:id="7192" w:name="_Toc58604240"/>
      <w:bookmarkStart w:id="7193" w:name="_Toc70414696"/>
      <w:bookmarkStart w:id="7194" w:name="_Toc99561949"/>
      <w:bookmarkStart w:id="7195" w:name="_Toc141873770"/>
      <w:bookmarkStart w:id="7196" w:name="_Toc172218565"/>
      <w:r>
        <w:rPr>
          <w:rFonts w:hint="eastAsia"/>
        </w:rPr>
        <w:t>配置思路</w:t>
      </w:r>
      <w:bookmarkEnd w:id="7189"/>
      <w:bookmarkEnd w:id="7190"/>
      <w:bookmarkEnd w:id="7191"/>
      <w:bookmarkEnd w:id="7192"/>
      <w:bookmarkEnd w:id="7193"/>
      <w:bookmarkEnd w:id="7194"/>
      <w:bookmarkEnd w:id="7195"/>
      <w:bookmarkEnd w:id="7196"/>
    </w:p>
    <w:p w14:paraId="4C496142">
      <w:pPr>
        <w:pStyle w:val="202"/>
        <w:rPr>
          <w:lang w:eastAsia="zh-CN"/>
        </w:rPr>
      </w:pPr>
      <w:r>
        <w:rPr>
          <w:rFonts w:hint="eastAsia"/>
          <w:lang w:eastAsia="zh-CN"/>
        </w:rPr>
        <w:t>配置模板，决定需要对哪些规则做检测，并决定检测到攻击之后的日志和动作，可以使用系统预定义的模板，也可以自定义新的模板。</w:t>
      </w:r>
    </w:p>
    <w:p w14:paraId="36250EBF">
      <w:pPr>
        <w:pStyle w:val="202"/>
        <w:rPr>
          <w:lang w:eastAsia="zh-CN"/>
        </w:rPr>
      </w:pPr>
      <w:r>
        <w:rPr>
          <w:rFonts w:hint="eastAsia"/>
          <w:lang w:eastAsia="zh-CN"/>
        </w:rPr>
        <w:t>配置控制策略，在控制策略中配置入侵防御，引用已经配置的模板，对命中控制策略的流量做入侵防御相关的检测。</w:t>
      </w:r>
    </w:p>
    <w:p w14:paraId="46B39332">
      <w:pPr>
        <w:pStyle w:val="6"/>
      </w:pPr>
      <w:bookmarkStart w:id="7197" w:name="_Toc28854095"/>
      <w:bookmarkEnd w:id="7197"/>
      <w:bookmarkStart w:id="7198" w:name="_Toc28854094"/>
      <w:bookmarkEnd w:id="7198"/>
      <w:bookmarkStart w:id="7199" w:name="_Toc28854093"/>
      <w:bookmarkEnd w:id="7199"/>
      <w:bookmarkStart w:id="7200" w:name="_Toc141873771"/>
      <w:bookmarkStart w:id="7201" w:name="_Toc70414697"/>
      <w:bookmarkStart w:id="7202" w:name="_Toc50648190"/>
      <w:bookmarkStart w:id="7203" w:name="_Toc70415634"/>
      <w:bookmarkStart w:id="7204" w:name="_Toc99561950"/>
      <w:bookmarkStart w:id="7205" w:name="_Toc142401288"/>
      <w:bookmarkStart w:id="7206" w:name="_Toc172218566"/>
      <w:bookmarkStart w:id="7207" w:name="_Toc58604241"/>
      <w:r>
        <w:rPr>
          <w:rFonts w:hint="eastAsia"/>
        </w:rPr>
        <w:t>配置注意事项</w:t>
      </w:r>
      <w:bookmarkEnd w:id="7200"/>
      <w:bookmarkEnd w:id="7201"/>
      <w:bookmarkEnd w:id="7202"/>
      <w:bookmarkEnd w:id="7203"/>
      <w:bookmarkEnd w:id="7204"/>
      <w:bookmarkEnd w:id="7205"/>
      <w:bookmarkEnd w:id="7206"/>
      <w:bookmarkEnd w:id="7207"/>
    </w:p>
    <w:p w14:paraId="7222CEE3">
      <w:pPr>
        <w:pStyle w:val="202"/>
        <w:rPr>
          <w:lang w:eastAsia="zh-CN"/>
        </w:rPr>
      </w:pPr>
      <w:r>
        <w:rPr>
          <w:rFonts w:hint="eastAsia"/>
          <w:lang w:eastAsia="zh-CN"/>
        </w:rPr>
        <w:t>入侵防御</w:t>
      </w:r>
      <w:r>
        <w:rPr>
          <w:lang w:eastAsia="zh-CN"/>
        </w:rPr>
        <w:t>策略</w:t>
      </w:r>
      <w:r>
        <w:rPr>
          <w:rFonts w:hint="eastAsia"/>
          <w:lang w:eastAsia="zh-CN"/>
        </w:rPr>
        <w:t>匹配</w:t>
      </w:r>
      <w:r>
        <w:rPr>
          <w:lang w:eastAsia="zh-CN"/>
        </w:rPr>
        <w:t>是由上至下进行匹配，</w:t>
      </w:r>
      <w:r>
        <w:rPr>
          <w:rFonts w:hint="eastAsia"/>
          <w:lang w:eastAsia="zh-CN"/>
        </w:rPr>
        <w:t>策略</w:t>
      </w:r>
      <w:r>
        <w:rPr>
          <w:lang w:eastAsia="zh-CN"/>
        </w:rPr>
        <w:t>匹配到之后将不会往下继续匹配</w:t>
      </w:r>
      <w:r>
        <w:rPr>
          <w:rFonts w:hint="eastAsia"/>
          <w:lang w:eastAsia="zh-CN"/>
        </w:rPr>
        <w:t>。</w:t>
      </w:r>
    </w:p>
    <w:p w14:paraId="3C67BF9E">
      <w:pPr>
        <w:pStyle w:val="202"/>
        <w:rPr>
          <w:lang w:eastAsia="zh-CN"/>
        </w:rPr>
      </w:pPr>
      <w:r>
        <w:rPr>
          <w:rFonts w:hint="eastAsia"/>
          <w:lang w:eastAsia="zh-CN"/>
        </w:rPr>
        <w:t>是否启用防护模式，只有启用防护模式且模板下的规则或协议异常检查配置为阻断，匹配到策略后才会阻断流量。</w:t>
      </w:r>
    </w:p>
    <w:p w14:paraId="732EF2A0">
      <w:pPr>
        <w:pStyle w:val="6"/>
      </w:pPr>
      <w:bookmarkStart w:id="7208" w:name="_Toc70415635"/>
      <w:bookmarkStart w:id="7209" w:name="_Toc70414698"/>
      <w:bookmarkStart w:id="7210" w:name="_Toc50648191"/>
      <w:bookmarkStart w:id="7211" w:name="_Toc99561951"/>
      <w:bookmarkStart w:id="7212" w:name="_Toc141873772"/>
      <w:bookmarkStart w:id="7213" w:name="_Toc172218567"/>
      <w:bookmarkStart w:id="7214" w:name="_Toc142401289"/>
      <w:bookmarkStart w:id="7215" w:name="_Toc58604242"/>
      <w:r>
        <w:rPr>
          <w:rFonts w:hint="eastAsia"/>
        </w:rPr>
        <w:t>配置步骤</w:t>
      </w:r>
      <w:bookmarkEnd w:id="7208"/>
      <w:bookmarkEnd w:id="7209"/>
      <w:bookmarkEnd w:id="7210"/>
      <w:bookmarkEnd w:id="7211"/>
      <w:bookmarkEnd w:id="7212"/>
      <w:bookmarkEnd w:id="7213"/>
      <w:bookmarkEnd w:id="7214"/>
      <w:bookmarkEnd w:id="7215"/>
    </w:p>
    <w:p w14:paraId="6B1EE958">
      <w:pPr>
        <w:pStyle w:val="202"/>
        <w:rPr>
          <w:lang w:eastAsia="zh-CN"/>
        </w:rPr>
      </w:pPr>
      <w:bookmarkStart w:id="7216" w:name="_Toc50648192"/>
      <w:r>
        <w:rPr>
          <w:rFonts w:hint="eastAsia"/>
          <w:lang w:eastAsia="zh-CN"/>
        </w:rPr>
        <w:t>配置自定义入侵防御规则</w:t>
      </w:r>
      <w:bookmarkEnd w:id="7216"/>
    </w:p>
    <w:p w14:paraId="1BEAD3AD">
      <w:r>
        <w:rPr>
          <w:rFonts w:hint="eastAsia"/>
        </w:rPr>
        <w:t>进入“策略配置&gt;安全设置&gt;入侵防御</w:t>
      </w:r>
      <w:r>
        <w:t>&gt;</w:t>
      </w:r>
      <w:r>
        <w:rPr>
          <w:rFonts w:hint="eastAsia"/>
        </w:rPr>
        <w:t>规则库”，进入IPS自定义规则配置页面，如下图所示，禁止使用除210以外的端口访问ftp服务器，且不允许上传文件和新建目录。</w:t>
      </w:r>
    </w:p>
    <w:p w14:paraId="1AC74D52">
      <w:pPr>
        <w:pStyle w:val="188"/>
      </w:pPr>
      <w:bookmarkStart w:id="7217" w:name="_Toc141875172"/>
      <w:r>
        <w:rPr>
          <w:rFonts w:hint="eastAsia"/>
        </w:rPr>
        <w:t>配置自定义入侵防御规则</w:t>
      </w:r>
      <w:bookmarkEnd w:id="7217"/>
    </w:p>
    <w:p w14:paraId="6AEE027A">
      <w:r>
        <w:drawing>
          <wp:inline distT="0" distB="0" distL="0" distR="0">
            <wp:extent cx="5615940" cy="2857500"/>
            <wp:effectExtent l="0" t="0" r="3810" b="0"/>
            <wp:docPr id="3955" name="图片 3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5" name="图片 3955"/>
                    <pic:cNvPicPr>
                      <a:picLocks noChangeAspect="1"/>
                    </pic:cNvPicPr>
                  </pic:nvPicPr>
                  <pic:blipFill>
                    <a:blip r:embed="rId871"/>
                    <a:stretch>
                      <a:fillRect/>
                    </a:stretch>
                  </pic:blipFill>
                  <pic:spPr>
                    <a:xfrm>
                      <a:off x="0" y="0"/>
                      <a:ext cx="5616000" cy="2857815"/>
                    </a:xfrm>
                    <a:prstGeom prst="rect">
                      <a:avLst/>
                    </a:prstGeom>
                  </pic:spPr>
                </pic:pic>
              </a:graphicData>
            </a:graphic>
          </wp:inline>
        </w:drawing>
      </w:r>
    </w:p>
    <w:p w14:paraId="47E1EB4B"/>
    <w:p w14:paraId="410C8885">
      <w:pPr>
        <w:pStyle w:val="202"/>
      </w:pPr>
      <w:bookmarkStart w:id="7218" w:name="_Toc50648193"/>
      <w:r>
        <w:rPr>
          <w:rFonts w:hint="eastAsia"/>
        </w:rPr>
        <w:t>配置入侵防御模板</w:t>
      </w:r>
      <w:bookmarkEnd w:id="7218"/>
    </w:p>
    <w:p w14:paraId="18DE1BDA">
      <w:r>
        <w:rPr>
          <w:rFonts w:hint="eastAsia"/>
        </w:rPr>
        <w:t>进入“策略配置&gt;安全设置&gt;入侵防御</w:t>
      </w:r>
      <w:r>
        <w:t>&gt;</w:t>
      </w:r>
      <w:r>
        <w:rPr>
          <w:rFonts w:hint="eastAsia"/>
        </w:rPr>
        <w:t>模板”，进入入侵防御配置页面，新建模板并添加规则，如</w:t>
      </w:r>
      <w:r>
        <w:rPr>
          <w:color w:val="0000FF"/>
          <w:u w:val="single"/>
        </w:rPr>
        <w:t>下图</w:t>
      </w:r>
      <w:r>
        <w:rPr>
          <w:rFonts w:hint="eastAsia"/>
        </w:rPr>
        <w:t>所示。</w:t>
      </w:r>
    </w:p>
    <w:p w14:paraId="1BDF4341">
      <w:pPr>
        <w:pStyle w:val="188"/>
      </w:pPr>
      <w:bookmarkStart w:id="7219" w:name="_Ref28961860"/>
      <w:bookmarkStart w:id="7220" w:name="_Toc141875173"/>
      <w:r>
        <w:rPr>
          <w:rFonts w:hint="eastAsia"/>
        </w:rPr>
        <w:t>配置入侵防御</w:t>
      </w:r>
      <w:bookmarkEnd w:id="7219"/>
      <w:r>
        <w:rPr>
          <w:rFonts w:hint="eastAsia"/>
        </w:rPr>
        <w:t>模板</w:t>
      </w:r>
      <w:bookmarkEnd w:id="7220"/>
    </w:p>
    <w:p w14:paraId="5F23CBE9">
      <w:r>
        <w:drawing>
          <wp:inline distT="0" distB="0" distL="114300" distR="114300">
            <wp:extent cx="5010150" cy="2674620"/>
            <wp:effectExtent l="0" t="0" r="0" b="0"/>
            <wp:docPr id="274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0" name="图片 29"/>
                    <pic:cNvPicPr>
                      <a:picLocks noChangeAspect="1"/>
                    </pic:cNvPicPr>
                  </pic:nvPicPr>
                  <pic:blipFill>
                    <a:blip r:embed="rId872"/>
                    <a:stretch>
                      <a:fillRect/>
                    </a:stretch>
                  </pic:blipFill>
                  <pic:spPr>
                    <a:xfrm>
                      <a:off x="0" y="0"/>
                      <a:ext cx="5018252" cy="2679066"/>
                    </a:xfrm>
                    <a:prstGeom prst="rect">
                      <a:avLst/>
                    </a:prstGeom>
                    <a:noFill/>
                    <a:ln>
                      <a:noFill/>
                    </a:ln>
                  </pic:spPr>
                </pic:pic>
              </a:graphicData>
            </a:graphic>
          </wp:inline>
        </w:drawing>
      </w:r>
    </w:p>
    <w:p w14:paraId="7B52856E"/>
    <w:p w14:paraId="27D5BA5C">
      <w:pPr>
        <w:pStyle w:val="202"/>
        <w:rPr>
          <w:lang w:eastAsia="zh-CN"/>
        </w:rPr>
      </w:pPr>
      <w:r>
        <w:rPr>
          <w:rFonts w:hint="eastAsia"/>
          <w:lang w:eastAsia="zh-CN"/>
        </w:rPr>
        <w:t>在模板列表中点击名称“保护SFTP和HTTP”进入模板详情页面，点击&lt;添加规则&gt;，在弹出的对话框中勾选Web攻击和拒绝服务，点击&lt;提交&gt;。</w:t>
      </w:r>
    </w:p>
    <w:p w14:paraId="4D5B1664"/>
    <w:p w14:paraId="3A76D24B">
      <w:r>
        <w:drawing>
          <wp:inline distT="0" distB="0" distL="0" distR="0">
            <wp:extent cx="5400040" cy="3140710"/>
            <wp:effectExtent l="0" t="0" r="0" b="2540"/>
            <wp:docPr id="878" name="图片 2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图片 2950"/>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a:xfrm>
                      <a:off x="0" y="0"/>
                      <a:ext cx="5400040" cy="3140925"/>
                    </a:xfrm>
                    <a:prstGeom prst="rect">
                      <a:avLst/>
                    </a:prstGeom>
                    <a:noFill/>
                    <a:ln>
                      <a:noFill/>
                    </a:ln>
                  </pic:spPr>
                </pic:pic>
              </a:graphicData>
            </a:graphic>
          </wp:inline>
        </w:drawing>
      </w:r>
    </w:p>
    <w:p w14:paraId="7B6E6A86"/>
    <w:p w14:paraId="55F98A5E">
      <w:pPr>
        <w:pStyle w:val="202"/>
      </w:pPr>
      <w:bookmarkStart w:id="7221" w:name="_Toc50648194"/>
      <w:r>
        <w:rPr>
          <w:rFonts w:hint="eastAsia"/>
        </w:rPr>
        <w:t>配置控制策略</w:t>
      </w:r>
      <w:bookmarkEnd w:id="7221"/>
    </w:p>
    <w:p w14:paraId="613E235E">
      <w:r>
        <w:rPr>
          <w:rFonts w:hint="eastAsia"/>
        </w:rPr>
        <w:t>进入“策略配置</w:t>
      </w:r>
      <w:r>
        <w:t>&gt;</w:t>
      </w:r>
      <w:r>
        <w:rPr>
          <w:rFonts w:hint="eastAsia"/>
        </w:rPr>
        <w:t>控制策略”，进入控制策略页面，如</w:t>
      </w:r>
      <w:r>
        <w:fldChar w:fldCharType="begin"/>
      </w:r>
      <w:r>
        <w:instrText xml:space="preserve"> REF _Ref28961870 \r \h  \* MERGEFORMAT </w:instrText>
      </w:r>
      <w:r>
        <w:fldChar w:fldCharType="separate"/>
      </w:r>
      <w:r>
        <w:rPr>
          <w:rFonts w:hint="eastAsia"/>
        </w:rPr>
        <w:t>图29-12</w:t>
      </w:r>
      <w:r>
        <w:fldChar w:fldCharType="end"/>
      </w:r>
      <w:r>
        <w:rPr>
          <w:rFonts w:hint="eastAsia"/>
        </w:rPr>
        <w:t>所示，新建策略，在入侵防御子菜单中启用功能并选择模板，完成后点击提交。</w:t>
      </w:r>
    </w:p>
    <w:p w14:paraId="27DFCA95">
      <w:pPr>
        <w:pStyle w:val="188"/>
      </w:pPr>
      <w:bookmarkStart w:id="7222" w:name="_Ref28961870"/>
      <w:bookmarkStart w:id="7223" w:name="_Toc141875174"/>
      <w:r>
        <w:rPr>
          <w:rFonts w:hint="eastAsia"/>
        </w:rPr>
        <w:t>配置控制策略</w:t>
      </w:r>
      <w:bookmarkEnd w:id="7222"/>
      <w:bookmarkEnd w:id="7223"/>
    </w:p>
    <w:p w14:paraId="4F6B6C27">
      <w:r>
        <w:drawing>
          <wp:inline distT="0" distB="0" distL="114300" distR="114300">
            <wp:extent cx="5400040" cy="2557145"/>
            <wp:effectExtent l="0" t="0" r="0" b="0"/>
            <wp:docPr id="274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1" name="图片 31"/>
                    <pic:cNvPicPr>
                      <a:picLocks noChangeAspect="1"/>
                    </pic:cNvPicPr>
                  </pic:nvPicPr>
                  <pic:blipFill>
                    <a:blip r:embed="rId874"/>
                    <a:stretch>
                      <a:fillRect/>
                    </a:stretch>
                  </pic:blipFill>
                  <pic:spPr>
                    <a:xfrm>
                      <a:off x="0" y="0"/>
                      <a:ext cx="5400040" cy="2557589"/>
                    </a:xfrm>
                    <a:prstGeom prst="rect">
                      <a:avLst/>
                    </a:prstGeom>
                    <a:noFill/>
                    <a:ln>
                      <a:noFill/>
                    </a:ln>
                  </pic:spPr>
                </pic:pic>
              </a:graphicData>
            </a:graphic>
          </wp:inline>
        </w:drawing>
      </w:r>
    </w:p>
    <w:p w14:paraId="6720EC95"/>
    <w:p w14:paraId="7520F6DA">
      <w:pPr>
        <w:pStyle w:val="202"/>
      </w:pPr>
      <w:bookmarkStart w:id="7224" w:name="_Toc50648195"/>
      <w:r>
        <w:rPr>
          <w:rFonts w:hint="eastAsia"/>
        </w:rPr>
        <w:t>配置日志聚合</w:t>
      </w:r>
      <w:bookmarkEnd w:id="7224"/>
    </w:p>
    <w:p w14:paraId="0CAB0A86">
      <w:r>
        <w:rPr>
          <w:rFonts w:hint="eastAsia"/>
        </w:rPr>
        <w:t>进入“数据中心&gt;日志中心&gt;安全日志&gt;入侵防御日志</w:t>
      </w:r>
      <w:r>
        <w:t>&gt;日志聚合</w:t>
      </w:r>
      <w:r>
        <w:rPr>
          <w:rFonts w:hint="eastAsia"/>
        </w:rPr>
        <w:t>”，进入日志聚合配置页面，如</w:t>
      </w:r>
      <w:r>
        <w:fldChar w:fldCharType="begin"/>
      </w:r>
      <w:r>
        <w:instrText xml:space="preserve"> REF _Ref28961870 \r \h  \* MERGEFORMAT </w:instrText>
      </w:r>
      <w:r>
        <w:fldChar w:fldCharType="separate"/>
      </w:r>
      <w:r>
        <w:rPr>
          <w:rFonts w:hint="eastAsia"/>
        </w:rPr>
        <w:t>图29-12</w:t>
      </w:r>
      <w:r>
        <w:fldChar w:fldCharType="end"/>
      </w:r>
      <w:r>
        <w:rPr>
          <w:rFonts w:hint="eastAsia"/>
        </w:rPr>
        <w:t>所示，选择聚合方式点击提交。</w:t>
      </w:r>
    </w:p>
    <w:p w14:paraId="18BF7DF0">
      <w:pPr>
        <w:pStyle w:val="188"/>
      </w:pPr>
      <w:bookmarkStart w:id="7225" w:name="_Toc141875175"/>
      <w:r>
        <w:rPr>
          <w:rFonts w:hint="eastAsia"/>
        </w:rPr>
        <w:t>配置日志聚合</w:t>
      </w:r>
      <w:bookmarkEnd w:id="7225"/>
    </w:p>
    <w:p w14:paraId="054F3011">
      <w:pPr>
        <w:spacing w:before="78" w:after="78"/>
      </w:pPr>
      <w:r>
        <w:drawing>
          <wp:inline distT="0" distB="0" distL="0" distR="0">
            <wp:extent cx="3771900" cy="1344930"/>
            <wp:effectExtent l="0" t="0" r="0" b="762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875"/>
                    <a:stretch>
                      <a:fillRect/>
                    </a:stretch>
                  </pic:blipFill>
                  <pic:spPr>
                    <a:xfrm>
                      <a:off x="0" y="0"/>
                      <a:ext cx="3780258" cy="1348126"/>
                    </a:xfrm>
                    <a:prstGeom prst="rect">
                      <a:avLst/>
                    </a:prstGeom>
                  </pic:spPr>
                </pic:pic>
              </a:graphicData>
            </a:graphic>
          </wp:inline>
        </w:drawing>
      </w:r>
    </w:p>
    <w:p w14:paraId="49F3A16A">
      <w:pPr>
        <w:pStyle w:val="6"/>
      </w:pPr>
      <w:bookmarkStart w:id="7226" w:name="_Toc50648196"/>
      <w:bookmarkEnd w:id="7226"/>
      <w:bookmarkStart w:id="7227" w:name="_Toc50648197"/>
      <w:bookmarkEnd w:id="7227"/>
      <w:bookmarkStart w:id="7228" w:name="_Toc50648198"/>
      <w:bookmarkEnd w:id="7228"/>
      <w:bookmarkStart w:id="7229" w:name="_Toc50648199"/>
      <w:bookmarkEnd w:id="7229"/>
      <w:bookmarkStart w:id="7230" w:name="_Toc50648200"/>
      <w:bookmarkEnd w:id="7230"/>
      <w:bookmarkStart w:id="7231" w:name="_Toc50648201"/>
      <w:bookmarkEnd w:id="7231"/>
      <w:bookmarkStart w:id="7232" w:name="_Toc70415636"/>
      <w:bookmarkStart w:id="7233" w:name="_Toc58604243"/>
      <w:bookmarkStart w:id="7234" w:name="_Toc142401290"/>
      <w:bookmarkStart w:id="7235" w:name="_Toc70414699"/>
      <w:bookmarkStart w:id="7236" w:name="_Toc172218568"/>
      <w:bookmarkStart w:id="7237" w:name="_Toc50648202"/>
      <w:bookmarkStart w:id="7238" w:name="_Toc141873773"/>
      <w:bookmarkStart w:id="7239" w:name="_Toc99561952"/>
      <w:r>
        <w:rPr>
          <w:rFonts w:hint="eastAsia"/>
        </w:rPr>
        <w:t>验证配置</w:t>
      </w:r>
      <w:bookmarkEnd w:id="7232"/>
      <w:bookmarkEnd w:id="7233"/>
      <w:bookmarkEnd w:id="7234"/>
      <w:bookmarkEnd w:id="7235"/>
      <w:bookmarkEnd w:id="7236"/>
      <w:bookmarkEnd w:id="7237"/>
      <w:bookmarkEnd w:id="7238"/>
      <w:bookmarkEnd w:id="7239"/>
    </w:p>
    <w:p w14:paraId="228443EA">
      <w:pPr>
        <w:pStyle w:val="202"/>
      </w:pPr>
      <w:bookmarkStart w:id="7240" w:name="_Toc50648203"/>
      <w:r>
        <w:rPr>
          <w:rFonts w:hint="eastAsia"/>
        </w:rPr>
        <w:t>默认入侵防御功能验证</w:t>
      </w:r>
      <w:bookmarkEnd w:id="7240"/>
    </w:p>
    <w:p w14:paraId="472E2AC5">
      <w:r>
        <w:rPr>
          <w:rFonts w:hint="eastAsia"/>
        </w:rPr>
        <w:t>使用测试</w:t>
      </w:r>
      <w:r>
        <w:t>PC</w:t>
      </w:r>
      <w:r>
        <w:rPr>
          <w:rFonts w:hint="eastAsia"/>
        </w:rPr>
        <w:t>进行攻击操作。在“数据中心&gt;日志中心&gt;安全日志</w:t>
      </w:r>
      <w:r>
        <w:t>&gt;</w:t>
      </w:r>
      <w:r>
        <w:rPr>
          <w:rFonts w:hint="eastAsia"/>
        </w:rPr>
        <w:t>入侵防御日志”中可看到相应攻击日志信息，如</w:t>
      </w:r>
      <w:r>
        <w:fldChar w:fldCharType="begin"/>
      </w:r>
      <w:r>
        <w:instrText xml:space="preserve"> REF _Ref28961890 \r \h  \* MERGEFORMAT </w:instrText>
      </w:r>
      <w:r>
        <w:fldChar w:fldCharType="separate"/>
      </w:r>
      <w:r>
        <w:rPr>
          <w:rFonts w:hint="eastAsia"/>
        </w:rPr>
        <w:t>图29-14</w:t>
      </w:r>
      <w:r>
        <w:fldChar w:fldCharType="end"/>
      </w:r>
      <w:r>
        <w:rPr>
          <w:rFonts w:hint="eastAsia"/>
        </w:rPr>
        <w:t>所示。</w:t>
      </w:r>
    </w:p>
    <w:p w14:paraId="512B9B56">
      <w:pPr>
        <w:pStyle w:val="188"/>
      </w:pPr>
      <w:bookmarkStart w:id="7241" w:name="_Ref28961890"/>
      <w:bookmarkStart w:id="7242" w:name="_Toc141875176"/>
      <w:r>
        <w:rPr>
          <w:rFonts w:hint="eastAsia"/>
        </w:rPr>
        <w:t>入侵日志</w:t>
      </w:r>
      <w:bookmarkEnd w:id="7241"/>
      <w:bookmarkEnd w:id="7242"/>
    </w:p>
    <w:p w14:paraId="10F30EEF">
      <w:r>
        <w:drawing>
          <wp:inline distT="0" distB="0" distL="0" distR="0">
            <wp:extent cx="5615940" cy="1274445"/>
            <wp:effectExtent l="0" t="0" r="3810" b="1905"/>
            <wp:docPr id="3960" name="图片 3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0" name="图片 3960"/>
                    <pic:cNvPicPr>
                      <a:picLocks noChangeAspect="1"/>
                    </pic:cNvPicPr>
                  </pic:nvPicPr>
                  <pic:blipFill>
                    <a:blip r:embed="rId876"/>
                    <a:srcRect t="14533"/>
                    <a:stretch>
                      <a:fillRect/>
                    </a:stretch>
                  </pic:blipFill>
                  <pic:spPr>
                    <a:xfrm>
                      <a:off x="0" y="0"/>
                      <a:ext cx="5616000" cy="1274784"/>
                    </a:xfrm>
                    <a:prstGeom prst="rect">
                      <a:avLst/>
                    </a:prstGeom>
                    <a:ln>
                      <a:noFill/>
                    </a:ln>
                  </pic:spPr>
                </pic:pic>
              </a:graphicData>
            </a:graphic>
          </wp:inline>
        </w:drawing>
      </w:r>
    </w:p>
    <w:p w14:paraId="57908E63">
      <w:pPr>
        <w:pStyle w:val="202"/>
        <w:rPr>
          <w:lang w:eastAsia="zh-CN"/>
        </w:rPr>
      </w:pPr>
      <w:bookmarkStart w:id="7243" w:name="_Toc50648204"/>
      <w:r>
        <w:rPr>
          <w:rFonts w:hint="eastAsia"/>
          <w:lang w:eastAsia="zh-CN"/>
        </w:rPr>
        <w:t>自定义入侵防御功能验证</w:t>
      </w:r>
      <w:bookmarkEnd w:id="7243"/>
    </w:p>
    <w:p w14:paraId="5FB34235">
      <w:r>
        <w:rPr>
          <w:rFonts w:hint="eastAsia"/>
        </w:rPr>
        <w:t>配置完成自定义IPS规则后，用户</w:t>
      </w:r>
      <w:r>
        <w:t>只能</w:t>
      </w:r>
      <w:r>
        <w:rPr>
          <w:rFonts w:hint="eastAsia"/>
        </w:rPr>
        <w:t>使用</w:t>
      </w:r>
      <w:r>
        <w:t xml:space="preserve"> 210</w:t>
      </w:r>
      <w:r>
        <w:rPr>
          <w:rFonts w:hint="eastAsia"/>
        </w:rPr>
        <w:t>端口</w:t>
      </w:r>
      <w:r>
        <w:t>访问</w:t>
      </w:r>
      <w:r>
        <w:rPr>
          <w:rFonts w:hint="eastAsia"/>
        </w:rPr>
        <w:t>FTP</w:t>
      </w:r>
      <w:r>
        <w:t>服务器，可以下载文件，但是无法</w:t>
      </w:r>
      <w:r>
        <w:rPr>
          <w:rFonts w:hint="eastAsia"/>
        </w:rPr>
        <w:t>上传</w:t>
      </w:r>
      <w:r>
        <w:t>和创建</w:t>
      </w:r>
      <w:r>
        <w:rPr>
          <w:rFonts w:hint="eastAsia"/>
        </w:rPr>
        <w:t>目</w:t>
      </w:r>
      <w:r>
        <w:t>录</w:t>
      </w:r>
      <w:r>
        <w:rPr>
          <w:rFonts w:hint="eastAsia"/>
        </w:rPr>
        <w:t>。否则无法登录服务器，并记录相应日志信息。使用测试PC进行FTP服务器登录操作，在“数据中心&gt;日志中心&gt;安全日志&gt;入侵防御日志”中可看到相应日志信息，如</w:t>
      </w:r>
      <w:r>
        <w:fldChar w:fldCharType="begin"/>
      </w:r>
      <w:r>
        <w:instrText xml:space="preserve"> REF _Ref28961901 \r \h  \* MERGEFORMAT </w:instrText>
      </w:r>
      <w:r>
        <w:fldChar w:fldCharType="separate"/>
      </w:r>
      <w:r>
        <w:rPr>
          <w:rFonts w:hint="eastAsia"/>
        </w:rPr>
        <w:t>图29-15</w:t>
      </w:r>
      <w:r>
        <w:fldChar w:fldCharType="end"/>
      </w:r>
      <w:r>
        <w:rPr>
          <w:rFonts w:hint="eastAsia"/>
        </w:rPr>
        <w:t>所示。</w:t>
      </w:r>
    </w:p>
    <w:p w14:paraId="7AFFC7B6">
      <w:pPr>
        <w:pStyle w:val="188"/>
      </w:pPr>
      <w:bookmarkStart w:id="7244" w:name="_Toc141875177"/>
      <w:bookmarkStart w:id="7245" w:name="_Ref28961901"/>
      <w:r>
        <w:rPr>
          <w:rFonts w:hint="eastAsia"/>
        </w:rPr>
        <w:t>入侵检测日志</w:t>
      </w:r>
      <w:bookmarkEnd w:id="7244"/>
      <w:bookmarkEnd w:id="7245"/>
    </w:p>
    <w:p w14:paraId="419D96DD">
      <w:r>
        <w:drawing>
          <wp:inline distT="0" distB="0" distL="0" distR="0">
            <wp:extent cx="5615940" cy="1188085"/>
            <wp:effectExtent l="0" t="0" r="381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877"/>
                    <a:stretch>
                      <a:fillRect/>
                    </a:stretch>
                  </pic:blipFill>
                  <pic:spPr>
                    <a:xfrm>
                      <a:off x="0" y="0"/>
                      <a:ext cx="5616000" cy="1188571"/>
                    </a:xfrm>
                    <a:prstGeom prst="rect">
                      <a:avLst/>
                    </a:prstGeom>
                  </pic:spPr>
                </pic:pic>
              </a:graphicData>
            </a:graphic>
          </wp:inline>
        </w:drawing>
      </w:r>
    </w:p>
    <w:p w14:paraId="55B17EF7"/>
    <w:p w14:paraId="1560AC0A">
      <w:pPr>
        <w:pStyle w:val="202"/>
        <w:rPr>
          <w:lang w:eastAsia="zh-CN"/>
        </w:rPr>
      </w:pPr>
      <w:r>
        <w:rPr>
          <w:rFonts w:hint="eastAsia"/>
          <w:lang w:eastAsia="zh-CN"/>
        </w:rPr>
        <w:t>点击“详细”可看到相应日志的详细信息，包括日志聚合信息等，如</w:t>
      </w:r>
      <w:r>
        <w:fldChar w:fldCharType="begin"/>
      </w:r>
      <w:r>
        <w:rPr>
          <w:lang w:eastAsia="zh-CN"/>
        </w:rPr>
        <w:instrText xml:space="preserve"> REF _Ref28961901 \r \h  \* MERGEFORMAT </w:instrText>
      </w:r>
      <w:r>
        <w:fldChar w:fldCharType="separate"/>
      </w:r>
      <w:r>
        <w:rPr>
          <w:rFonts w:hint="eastAsia"/>
          <w:lang w:eastAsia="zh-CN"/>
        </w:rPr>
        <w:t>图29-15</w:t>
      </w:r>
      <w:r>
        <w:fldChar w:fldCharType="end"/>
      </w:r>
      <w:r>
        <w:rPr>
          <w:rFonts w:hint="eastAsia"/>
          <w:lang w:eastAsia="zh-CN"/>
        </w:rPr>
        <w:t>所示。</w:t>
      </w:r>
    </w:p>
    <w:p w14:paraId="38B4BB19">
      <w:pPr>
        <w:pStyle w:val="188"/>
      </w:pPr>
      <w:bookmarkStart w:id="7246" w:name="_Toc141875178"/>
      <w:r>
        <w:rPr>
          <w:rFonts w:hint="eastAsia"/>
        </w:rPr>
        <w:t>入侵检测日志聚合信息</w:t>
      </w:r>
      <w:bookmarkEnd w:id="7246"/>
    </w:p>
    <w:p w14:paraId="087A8228">
      <w:r>
        <w:drawing>
          <wp:inline distT="0" distB="0" distL="0" distR="0">
            <wp:extent cx="5615940" cy="2846705"/>
            <wp:effectExtent l="0" t="0" r="3810" b="0"/>
            <wp:docPr id="3962" name="图片 3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2" name="图片 3962"/>
                    <pic:cNvPicPr>
                      <a:picLocks noChangeAspect="1"/>
                    </pic:cNvPicPr>
                  </pic:nvPicPr>
                  <pic:blipFill>
                    <a:blip r:embed="rId878"/>
                    <a:stretch>
                      <a:fillRect/>
                    </a:stretch>
                  </pic:blipFill>
                  <pic:spPr>
                    <a:xfrm>
                      <a:off x="0" y="0"/>
                      <a:ext cx="5616000" cy="2847328"/>
                    </a:xfrm>
                    <a:prstGeom prst="rect">
                      <a:avLst/>
                    </a:prstGeom>
                  </pic:spPr>
                </pic:pic>
              </a:graphicData>
            </a:graphic>
          </wp:inline>
        </w:drawing>
      </w:r>
    </w:p>
    <w:p w14:paraId="5EDFE45D">
      <w:r>
        <w:br w:type="page"/>
      </w:r>
    </w:p>
    <w:bookmarkEnd w:id="7136"/>
    <w:bookmarkEnd w:id="7137"/>
    <w:bookmarkEnd w:id="7138"/>
    <w:bookmarkEnd w:id="7139"/>
    <w:bookmarkEnd w:id="7140"/>
    <w:bookmarkEnd w:id="7141"/>
    <w:bookmarkEnd w:id="7142"/>
    <w:bookmarkEnd w:id="7143"/>
    <w:p w14:paraId="4E48A797">
      <w:pPr>
        <w:pStyle w:val="4"/>
      </w:pPr>
      <w:bookmarkStart w:id="7247" w:name="_Toc142401291"/>
      <w:bookmarkStart w:id="7248" w:name="_Toc436123126"/>
      <w:bookmarkStart w:id="7249" w:name="_Toc404075381"/>
      <w:bookmarkStart w:id="7250" w:name="_Toc507774294"/>
      <w:bookmarkStart w:id="7251" w:name="_Toc15485240"/>
      <w:bookmarkStart w:id="7252" w:name="_Toc23153004"/>
      <w:bookmarkStart w:id="7253" w:name="_Toc194081110"/>
      <w:bookmarkStart w:id="7254" w:name="_Toc196728442"/>
      <w:bookmarkStart w:id="7255" w:name="_Toc172218569"/>
      <w:bookmarkStart w:id="7256" w:name="_Toc141873774"/>
      <w:bookmarkStart w:id="7257" w:name="_Toc40276425"/>
      <w:bookmarkStart w:id="7258" w:name="_Toc99561953"/>
      <w:r>
        <w:rPr>
          <w:rFonts w:hint="eastAsia"/>
        </w:rPr>
        <w:t>病毒防护</w:t>
      </w:r>
      <w:bookmarkEnd w:id="7247"/>
      <w:bookmarkEnd w:id="7248"/>
      <w:bookmarkEnd w:id="7249"/>
      <w:bookmarkEnd w:id="7250"/>
      <w:bookmarkEnd w:id="7251"/>
      <w:bookmarkEnd w:id="7252"/>
      <w:bookmarkEnd w:id="7253"/>
      <w:bookmarkEnd w:id="7254"/>
      <w:bookmarkEnd w:id="7255"/>
      <w:bookmarkEnd w:id="7256"/>
      <w:bookmarkEnd w:id="7257"/>
      <w:bookmarkEnd w:id="7258"/>
    </w:p>
    <w:p w14:paraId="54522398">
      <w:pPr>
        <w:pStyle w:val="5"/>
      </w:pPr>
      <w:bookmarkStart w:id="7259" w:name="_Toc15485241"/>
      <w:bookmarkStart w:id="7260" w:name="_Toc436123127"/>
      <w:bookmarkStart w:id="7261" w:name="_Toc404075382"/>
      <w:bookmarkStart w:id="7262" w:name="_Toc507774295"/>
      <w:bookmarkStart w:id="7263" w:name="_Toc23153005"/>
      <w:bookmarkStart w:id="7264" w:name="_Toc99561954"/>
      <w:bookmarkStart w:id="7265" w:name="_Toc172218570"/>
      <w:bookmarkStart w:id="7266" w:name="_Toc40276426"/>
      <w:bookmarkStart w:id="7267" w:name="_Toc194081111"/>
      <w:bookmarkStart w:id="7268" w:name="_Toc196728443"/>
      <w:bookmarkStart w:id="7269" w:name="_Toc141873775"/>
      <w:bookmarkStart w:id="7270" w:name="_Toc142401292"/>
      <w:r>
        <w:rPr>
          <w:rFonts w:hint="eastAsia"/>
        </w:rPr>
        <w:t>病毒防护概述</w:t>
      </w:r>
      <w:bookmarkEnd w:id="7259"/>
      <w:bookmarkEnd w:id="7260"/>
      <w:bookmarkEnd w:id="7261"/>
      <w:bookmarkEnd w:id="7262"/>
      <w:bookmarkEnd w:id="7263"/>
      <w:bookmarkEnd w:id="7264"/>
      <w:bookmarkEnd w:id="7265"/>
      <w:bookmarkEnd w:id="7266"/>
      <w:bookmarkEnd w:id="7267"/>
      <w:bookmarkEnd w:id="7268"/>
      <w:bookmarkEnd w:id="7269"/>
      <w:bookmarkEnd w:id="7270"/>
    </w:p>
    <w:p w14:paraId="6E2C72F4">
      <w:pPr>
        <w:rPr>
          <w:rFonts w:ascii="Tahoma" w:hAnsi="Tahoma"/>
          <w:sz w:val="24"/>
          <w:lang w:val="zh-CN"/>
        </w:rPr>
      </w:pPr>
      <w:r>
        <w:rPr>
          <w:rFonts w:hint="eastAsia"/>
        </w:rPr>
        <w:t>设备可以针对内外网入口处，进行实时的病毒扫描，将外来病毒隔离在内网之外，实现工作站被动防御病毒之外的主动病毒防护，设备支持对最易携带病毒文件的常用协议类型（HTTP、FTP、IMAP4、POP3、SMTP等）进行病毒扫描及防护。</w:t>
      </w:r>
    </w:p>
    <w:p w14:paraId="3A42FAB2">
      <w:pPr>
        <w:pStyle w:val="5"/>
      </w:pPr>
      <w:bookmarkStart w:id="7271" w:name="_Toc141873776"/>
      <w:bookmarkStart w:id="7272" w:name="_Toc40276427"/>
      <w:bookmarkStart w:id="7273" w:name="_Toc196728444"/>
      <w:bookmarkStart w:id="7274" w:name="_Toc142401293"/>
      <w:bookmarkStart w:id="7275" w:name="_Toc172218571"/>
      <w:bookmarkStart w:id="7276" w:name="_Toc194081112"/>
      <w:bookmarkStart w:id="7277" w:name="_Toc507774296"/>
      <w:bookmarkStart w:id="7278" w:name="_Toc436123128"/>
      <w:bookmarkStart w:id="7279" w:name="_Toc404075383"/>
      <w:bookmarkStart w:id="7280" w:name="_Toc23153006"/>
      <w:bookmarkStart w:id="7281" w:name="_Toc15485242"/>
      <w:bookmarkStart w:id="7282" w:name="_Toc99561955"/>
      <w:r>
        <w:rPr>
          <w:rFonts w:hint="eastAsia"/>
        </w:rPr>
        <w:t>防病毒设定</w:t>
      </w:r>
      <w:bookmarkEnd w:id="7271"/>
      <w:bookmarkEnd w:id="7272"/>
      <w:bookmarkEnd w:id="7273"/>
      <w:bookmarkEnd w:id="7274"/>
      <w:bookmarkEnd w:id="7275"/>
      <w:bookmarkEnd w:id="7276"/>
      <w:bookmarkEnd w:id="7277"/>
      <w:bookmarkEnd w:id="7278"/>
      <w:bookmarkEnd w:id="7279"/>
      <w:bookmarkEnd w:id="7280"/>
      <w:bookmarkEnd w:id="7281"/>
      <w:bookmarkEnd w:id="7282"/>
    </w:p>
    <w:p w14:paraId="3698427A">
      <w:r>
        <w:rPr>
          <w:rFonts w:hint="eastAsia"/>
        </w:rPr>
        <w:t>通过菜单“策略配置 &gt; 安全设置 &gt; 病毒防护 &gt;</w:t>
      </w:r>
      <w:r>
        <w:t xml:space="preserve"> </w:t>
      </w:r>
      <w:r>
        <w:rPr>
          <w:rFonts w:hint="eastAsia"/>
        </w:rPr>
        <w:t>防病毒设定” 进入防病毒设定界面，编辑相关相关信息，点击“提交”。</w:t>
      </w:r>
    </w:p>
    <w:p w14:paraId="0A3B048F">
      <w:pPr>
        <w:pStyle w:val="188"/>
      </w:pPr>
      <w:bookmarkStart w:id="7283" w:name="_Toc421279061"/>
      <w:bookmarkStart w:id="7284" w:name="_Toc141875179"/>
      <w:r>
        <w:rPr>
          <w:rFonts w:hint="eastAsia"/>
        </w:rPr>
        <w:t>防病毒设定</w:t>
      </w:r>
      <w:bookmarkEnd w:id="7283"/>
      <w:bookmarkEnd w:id="7284"/>
    </w:p>
    <w:p w14:paraId="152AAB4F">
      <w:pPr>
        <w:pStyle w:val="175"/>
      </w:pPr>
      <w:r>
        <w:drawing>
          <wp:inline distT="0" distB="0" distL="0" distR="0">
            <wp:extent cx="4879975" cy="4420235"/>
            <wp:effectExtent l="0" t="0" r="0" b="0"/>
            <wp:docPr id="637" name="图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图片 637"/>
                    <pic:cNvPicPr>
                      <a:picLocks noChangeAspect="1"/>
                    </pic:cNvPicPr>
                  </pic:nvPicPr>
                  <pic:blipFill>
                    <a:blip r:embed="rId879"/>
                    <a:stretch>
                      <a:fillRect/>
                    </a:stretch>
                  </pic:blipFill>
                  <pic:spPr>
                    <a:xfrm>
                      <a:off x="0" y="0"/>
                      <a:ext cx="4886451" cy="4426192"/>
                    </a:xfrm>
                    <a:prstGeom prst="rect">
                      <a:avLst/>
                    </a:prstGeom>
                  </pic:spPr>
                </pic:pic>
              </a:graphicData>
            </a:graphic>
          </wp:inline>
        </w:drawing>
      </w:r>
    </w:p>
    <w:p w14:paraId="20FAA282"/>
    <w:p w14:paraId="4A392087">
      <w:r>
        <w:rPr>
          <w:rFonts w:hint="eastAsia"/>
        </w:rPr>
        <w:t>通过勾选启用解压按钮来启用解压功能，设置最大解压层数的值来设置解压过程中允许解压的最大层数。</w:t>
      </w:r>
    </w:p>
    <w:p w14:paraId="0CA1C9F1">
      <w:pPr>
        <w:pStyle w:val="183"/>
      </w:pPr>
      <w:r>
        <w:t>防病毒设定</w:t>
      </w:r>
      <w:r>
        <w:rPr>
          <w:rFonts w:hint="eastAsia"/>
        </w:rPr>
        <w:t>配置项含义描述表</w:t>
      </w:r>
    </w:p>
    <w:tbl>
      <w:tblPr>
        <w:tblStyle w:val="173"/>
        <w:tblW w:w="8543"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518"/>
        <w:gridCol w:w="6025"/>
      </w:tblGrid>
      <w:tr w14:paraId="37B05CF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18" w:type="dxa"/>
            <w:tcBorders>
              <w:tl2br w:val="nil"/>
              <w:tr2bl w:val="nil"/>
            </w:tcBorders>
            <w:shd w:val="clear" w:color="auto" w:fill="538135" w:themeFill="accent6" w:themeFillShade="BF"/>
            <w:vAlign w:val="center"/>
          </w:tcPr>
          <w:p w14:paraId="35CCCF6F">
            <w:pPr>
              <w:pStyle w:val="149"/>
              <w:wordWrap/>
              <w:rPr>
                <w:b/>
                <w:bCs/>
                <w:i w:val="0"/>
                <w:iCs w:val="0"/>
              </w:rPr>
            </w:pPr>
            <w:r>
              <w:rPr>
                <w:b/>
                <w:bCs/>
                <w:i w:val="0"/>
                <w:iCs w:val="0"/>
              </w:rPr>
              <w:t>参数</w:t>
            </w:r>
          </w:p>
        </w:tc>
        <w:tc>
          <w:tcPr>
            <w:tcW w:w="6025" w:type="dxa"/>
            <w:tcBorders>
              <w:tl2br w:val="nil"/>
              <w:tr2bl w:val="nil"/>
            </w:tcBorders>
            <w:shd w:val="clear" w:color="auto" w:fill="538135" w:themeFill="accent6" w:themeFillShade="BF"/>
            <w:vAlign w:val="center"/>
          </w:tcPr>
          <w:p w14:paraId="0D3EA799">
            <w:pPr>
              <w:pStyle w:val="149"/>
              <w:wordWrap/>
              <w:rPr>
                <w:b/>
                <w:bCs/>
                <w:i w:val="0"/>
                <w:iCs w:val="0"/>
              </w:rPr>
            </w:pPr>
            <w:r>
              <w:rPr>
                <w:b/>
                <w:bCs/>
                <w:i w:val="0"/>
                <w:iCs w:val="0"/>
              </w:rPr>
              <w:t>说明</w:t>
            </w:r>
          </w:p>
        </w:tc>
      </w:tr>
      <w:tr w14:paraId="75C63DB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18" w:type="dxa"/>
            <w:shd w:val="clear" w:color="auto" w:fill="auto"/>
          </w:tcPr>
          <w:p w14:paraId="03EC4FE6">
            <w:pPr>
              <w:pStyle w:val="150"/>
            </w:pPr>
            <w:r>
              <w:rPr>
                <w:rFonts w:hint="eastAsia"/>
              </w:rPr>
              <w:t>域名检查</w:t>
            </w:r>
          </w:p>
        </w:tc>
        <w:tc>
          <w:tcPr>
            <w:tcW w:w="6025" w:type="dxa"/>
            <w:shd w:val="clear" w:color="auto" w:fill="auto"/>
          </w:tcPr>
          <w:p w14:paraId="1BC1D2F2">
            <w:pPr>
              <w:pStyle w:val="150"/>
            </w:pPr>
            <w:r>
              <w:rPr>
                <w:rFonts w:hint="eastAsia"/>
              </w:rPr>
              <w:t>勾选复选框启用恶意域名检查功能。启用此功能并开启病毒防护策略后，用户使用过设备的终端访问包含恶意域名的网站时，会被阻断并记录病毒防护日志。</w:t>
            </w:r>
          </w:p>
        </w:tc>
      </w:tr>
      <w:tr w14:paraId="79F6287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18" w:type="dxa"/>
            <w:shd w:val="clear" w:color="auto" w:fill="auto"/>
          </w:tcPr>
          <w:p w14:paraId="513A9156">
            <w:pPr>
              <w:pStyle w:val="150"/>
            </w:pPr>
            <w:r>
              <w:rPr>
                <w:rFonts w:hint="eastAsia"/>
              </w:rPr>
              <w:t>启用解压</w:t>
            </w:r>
          </w:p>
        </w:tc>
        <w:tc>
          <w:tcPr>
            <w:tcW w:w="6025" w:type="dxa"/>
            <w:shd w:val="clear" w:color="auto" w:fill="auto"/>
          </w:tcPr>
          <w:p w14:paraId="4EE673D2">
            <w:pPr>
              <w:pStyle w:val="150"/>
            </w:pPr>
            <w:r>
              <w:rPr>
                <w:rFonts w:hint="eastAsia"/>
              </w:rPr>
              <w:t>勾选复选框启用文件解压功能。</w:t>
            </w:r>
          </w:p>
        </w:tc>
      </w:tr>
      <w:tr w14:paraId="61EF9AC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18" w:type="dxa"/>
            <w:shd w:val="clear" w:color="auto" w:fill="auto"/>
          </w:tcPr>
          <w:p w14:paraId="737C1E25">
            <w:pPr>
              <w:pStyle w:val="150"/>
            </w:pPr>
            <w:r>
              <w:rPr>
                <w:rFonts w:hint="eastAsia"/>
              </w:rPr>
              <w:t>最大解压层数</w:t>
            </w:r>
          </w:p>
        </w:tc>
        <w:tc>
          <w:tcPr>
            <w:tcW w:w="6025" w:type="dxa"/>
            <w:shd w:val="clear" w:color="auto" w:fill="auto"/>
          </w:tcPr>
          <w:p w14:paraId="7B9D7071">
            <w:pPr>
              <w:pStyle w:val="150"/>
            </w:pPr>
            <w:r>
              <w:rPr>
                <w:rFonts w:hint="eastAsia"/>
              </w:rPr>
              <w:t>启用文件解压功能后，设置解压的最大层数。</w:t>
            </w:r>
          </w:p>
        </w:tc>
      </w:tr>
      <w:tr w14:paraId="14424F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18" w:type="dxa"/>
            <w:shd w:val="clear" w:color="auto" w:fill="auto"/>
          </w:tcPr>
          <w:p w14:paraId="4010DA1F">
            <w:pPr>
              <w:pStyle w:val="150"/>
            </w:pPr>
            <w:r>
              <w:rPr>
                <w:rFonts w:hint="eastAsia"/>
              </w:rPr>
              <w:t>扫描所有文件/扫描文件列表</w:t>
            </w:r>
          </w:p>
        </w:tc>
        <w:tc>
          <w:tcPr>
            <w:tcW w:w="6025" w:type="dxa"/>
            <w:shd w:val="clear" w:color="auto" w:fill="auto"/>
          </w:tcPr>
          <w:p w14:paraId="618CA257">
            <w:pPr>
              <w:pStyle w:val="150"/>
            </w:pPr>
            <w:r>
              <w:rPr>
                <w:rFonts w:hint="eastAsia"/>
              </w:rPr>
              <w:t>选择扫描设备所支持的所有文件类型。</w:t>
            </w:r>
          </w:p>
          <w:p w14:paraId="6B3CBD98">
            <w:pPr>
              <w:pStyle w:val="150"/>
            </w:pPr>
            <w:r>
              <w:rPr>
                <w:rFonts w:hint="eastAsia"/>
              </w:rPr>
              <w:t>或扫描指定的文件类型。可在扫描文件列表中点击&lt;新建&gt;添加自定义文件类型。</w:t>
            </w:r>
          </w:p>
        </w:tc>
      </w:tr>
    </w:tbl>
    <w:p w14:paraId="4EFD492A"/>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08E0DA53">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75F4CE49">
            <w:pPr>
              <w:pStyle w:val="150"/>
              <w:adjustRightInd w:val="0"/>
              <w:snapToGrid w:val="0"/>
              <w:rPr>
                <w:color w:val="auto"/>
              </w:rPr>
            </w:pPr>
            <w:r>
              <w:rPr>
                <w:b/>
                <w:color w:val="auto"/>
              </w:rPr>
              <w:drawing>
                <wp:inline distT="0" distB="0" distL="0" distR="0">
                  <wp:extent cx="283210" cy="283210"/>
                  <wp:effectExtent l="0" t="0" r="2540" b="2540"/>
                  <wp:docPr id="898" name="图片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图片 898"/>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1D1A60AE">
            <w:pPr>
              <w:pStyle w:val="207"/>
              <w:adjustRightInd w:val="0"/>
              <w:snapToGrid w:val="0"/>
              <w:rPr>
                <w:color w:val="auto"/>
                <w:lang w:eastAsia="zh-CN"/>
              </w:rPr>
            </w:pPr>
            <w:r>
              <w:rPr>
                <w:rFonts w:hint="eastAsia"/>
                <w:color w:val="auto"/>
                <w:lang w:eastAsia="zh-CN"/>
              </w:rPr>
              <w:t>基于域名检测病毒的功能，需要先将病毒防护特征库升级为支持恶意域名的版本，同时需开启病毒防护策略，防护项目配置HTTP协议才能生效。</w:t>
            </w:r>
          </w:p>
          <w:p w14:paraId="4B9AB364">
            <w:pPr>
              <w:pStyle w:val="207"/>
              <w:adjustRightInd w:val="0"/>
              <w:snapToGrid w:val="0"/>
              <w:rPr>
                <w:color w:val="auto"/>
                <w:lang w:eastAsia="zh-CN"/>
              </w:rPr>
            </w:pPr>
            <w:r>
              <w:rPr>
                <w:rFonts w:hint="eastAsia"/>
                <w:color w:val="auto"/>
                <w:lang w:eastAsia="zh-CN"/>
              </w:rPr>
              <w:t>基于域名检查的病毒防护只支持对HTTP/HTTPS协议的报文进行检测，产生的病毒防护日志不携带病毒名称及文件名。</w:t>
            </w:r>
            <w:r>
              <w:rPr>
                <w:rFonts w:hint="eastAsia"/>
                <w:color w:val="auto"/>
              </w:rPr>
              <w:t>对Client Hello 报文加密的情况无法阻断</w:t>
            </w:r>
            <w:r>
              <w:rPr>
                <w:rFonts w:hint="eastAsia"/>
                <w:color w:val="auto"/>
                <w:lang w:eastAsia="zh-CN"/>
              </w:rPr>
              <w:t>。</w:t>
            </w:r>
          </w:p>
        </w:tc>
      </w:tr>
    </w:tbl>
    <w:p w14:paraId="3911A8B0"/>
    <w:p w14:paraId="75813F9A">
      <w:pPr>
        <w:pStyle w:val="5"/>
      </w:pPr>
      <w:bookmarkStart w:id="7285" w:name="_Toc194081113"/>
      <w:bookmarkStart w:id="7286" w:name="_Toc172218573"/>
      <w:bookmarkStart w:id="7287" w:name="_Toc196728445"/>
      <w:bookmarkStart w:id="7288" w:name="_Toc141873778"/>
      <w:bookmarkStart w:id="7289" w:name="_Toc436123130"/>
      <w:bookmarkStart w:id="7290" w:name="_Toc507774298"/>
      <w:bookmarkStart w:id="7291" w:name="_Toc15485244"/>
      <w:bookmarkStart w:id="7292" w:name="_Toc40276429"/>
      <w:bookmarkStart w:id="7293" w:name="_Toc99561957"/>
      <w:bookmarkStart w:id="7294" w:name="_Toc23153008"/>
      <w:bookmarkStart w:id="7295" w:name="_Toc404075385"/>
      <w:bookmarkStart w:id="7296" w:name="_Toc142401295"/>
      <w:r>
        <w:rPr>
          <w:rFonts w:hint="eastAsia"/>
        </w:rPr>
        <w:t>MD5白名单</w:t>
      </w:r>
      <w:bookmarkEnd w:id="7285"/>
      <w:bookmarkEnd w:id="7286"/>
      <w:bookmarkEnd w:id="7287"/>
    </w:p>
    <w:p w14:paraId="7A71E4B6">
      <w:pPr>
        <w:spacing w:before="120" w:after="120"/>
      </w:pPr>
      <w:r>
        <w:rPr>
          <w:rFonts w:hint="eastAsia"/>
        </w:rPr>
        <w:t>通过菜单“策略配置 &gt; 安全设置 &gt; 病毒防护 &gt;</w:t>
      </w:r>
      <w:r>
        <w:t xml:space="preserve"> </w:t>
      </w:r>
      <w:r>
        <w:rPr>
          <w:rFonts w:hint="eastAsia"/>
        </w:rPr>
        <w:t xml:space="preserve">防病毒设定 </w:t>
      </w:r>
      <w:r>
        <w:t xml:space="preserve">&gt; </w:t>
      </w:r>
      <w:r>
        <w:rPr>
          <w:rFonts w:hint="eastAsia"/>
        </w:rPr>
        <w:t>MD5白名单”进入MD5白名单配置界面，可以将文件的MD</w:t>
      </w:r>
      <w:r>
        <w:t>5值添加到白名单</w:t>
      </w:r>
      <w:r>
        <w:rPr>
          <w:rFonts w:hint="eastAsia"/>
        </w:rPr>
        <w:t>，启用MD</w:t>
      </w:r>
      <w:r>
        <w:t>5白名单后</w:t>
      </w:r>
      <w:r>
        <w:rPr>
          <w:rFonts w:hint="eastAsia"/>
        </w:rPr>
        <w:t>，检测病毒时，如果文件的MD值为</w:t>
      </w:r>
      <w:r>
        <w:t>白名单中配置的MD5</w:t>
      </w:r>
      <w:r>
        <w:rPr>
          <w:rFonts w:hint="eastAsia"/>
        </w:rPr>
        <w:t>，则认为该文件不是病毒，对文件进行放行。</w:t>
      </w:r>
    </w:p>
    <w:p w14:paraId="7E601E5D">
      <w:pPr>
        <w:pStyle w:val="188"/>
      </w:pPr>
      <w:r>
        <w:rPr>
          <w:rFonts w:hint="eastAsia"/>
        </w:rPr>
        <w:t>MD5白名单配置页面</w:t>
      </w:r>
    </w:p>
    <w:p w14:paraId="4879C68D">
      <w:pPr>
        <w:pStyle w:val="175"/>
      </w:pPr>
      <w:r>
        <w:drawing>
          <wp:inline distT="0" distB="0" distL="114300" distR="114300">
            <wp:extent cx="5662930" cy="2157730"/>
            <wp:effectExtent l="0" t="0" r="13970" b="13970"/>
            <wp:docPr id="180202787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72" name="图片 8"/>
                    <pic:cNvPicPr>
                      <a:picLocks noChangeAspect="1"/>
                    </pic:cNvPicPr>
                  </pic:nvPicPr>
                  <pic:blipFill>
                    <a:blip r:embed="rId880"/>
                    <a:stretch>
                      <a:fillRect/>
                    </a:stretch>
                  </pic:blipFill>
                  <pic:spPr>
                    <a:xfrm>
                      <a:off x="0" y="0"/>
                      <a:ext cx="5662930" cy="2157730"/>
                    </a:xfrm>
                    <a:prstGeom prst="rect">
                      <a:avLst/>
                    </a:prstGeom>
                    <a:noFill/>
                    <a:ln>
                      <a:noFill/>
                    </a:ln>
                  </pic:spPr>
                </pic:pic>
              </a:graphicData>
            </a:graphic>
          </wp:inline>
        </w:drawing>
      </w:r>
    </w:p>
    <w:p w14:paraId="02C2F74D"/>
    <w:p w14:paraId="0C9603EA">
      <w:pPr>
        <w:pStyle w:val="183"/>
      </w:pPr>
      <w:r>
        <w:rPr>
          <w:rFonts w:hint="eastAsia"/>
        </w:rPr>
        <w:t>MD</w:t>
      </w:r>
      <w:r>
        <w:t>5白名单</w:t>
      </w:r>
      <w:r>
        <w:rPr>
          <w:rFonts w:hint="eastAsia"/>
        </w:rPr>
        <w:t>配置项含义描述表</w:t>
      </w:r>
    </w:p>
    <w:tbl>
      <w:tblPr>
        <w:tblStyle w:val="173"/>
        <w:tblW w:w="8543"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518"/>
        <w:gridCol w:w="6025"/>
      </w:tblGrid>
      <w:tr w14:paraId="660BF93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18" w:type="dxa"/>
            <w:tcBorders>
              <w:tl2br w:val="nil"/>
              <w:tr2bl w:val="nil"/>
            </w:tcBorders>
            <w:shd w:val="clear" w:color="auto" w:fill="538135" w:themeFill="accent6" w:themeFillShade="BF"/>
            <w:vAlign w:val="center"/>
          </w:tcPr>
          <w:p w14:paraId="7220F1A9">
            <w:pPr>
              <w:pStyle w:val="149"/>
              <w:wordWrap/>
              <w:rPr>
                <w:b/>
                <w:bCs/>
                <w:i w:val="0"/>
                <w:iCs w:val="0"/>
              </w:rPr>
            </w:pPr>
            <w:r>
              <w:rPr>
                <w:b/>
                <w:bCs/>
                <w:i w:val="0"/>
                <w:iCs w:val="0"/>
              </w:rPr>
              <w:t>参数</w:t>
            </w:r>
          </w:p>
        </w:tc>
        <w:tc>
          <w:tcPr>
            <w:tcW w:w="6025" w:type="dxa"/>
            <w:tcBorders>
              <w:tl2br w:val="nil"/>
              <w:tr2bl w:val="nil"/>
            </w:tcBorders>
            <w:shd w:val="clear" w:color="auto" w:fill="538135" w:themeFill="accent6" w:themeFillShade="BF"/>
            <w:vAlign w:val="center"/>
          </w:tcPr>
          <w:p w14:paraId="74E3E66E">
            <w:pPr>
              <w:pStyle w:val="149"/>
              <w:wordWrap/>
              <w:rPr>
                <w:b/>
                <w:bCs/>
                <w:i w:val="0"/>
                <w:iCs w:val="0"/>
              </w:rPr>
            </w:pPr>
            <w:r>
              <w:rPr>
                <w:b/>
                <w:bCs/>
                <w:i w:val="0"/>
                <w:iCs w:val="0"/>
              </w:rPr>
              <w:t>说明</w:t>
            </w:r>
          </w:p>
        </w:tc>
      </w:tr>
      <w:tr w14:paraId="19DFDA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18" w:type="dxa"/>
            <w:shd w:val="clear" w:color="auto" w:fill="auto"/>
          </w:tcPr>
          <w:p w14:paraId="74651C3B">
            <w:pPr>
              <w:pStyle w:val="150"/>
            </w:pPr>
            <w:r>
              <w:rPr>
                <w:rFonts w:hint="eastAsia"/>
              </w:rPr>
              <w:t>启用</w:t>
            </w:r>
          </w:p>
        </w:tc>
        <w:tc>
          <w:tcPr>
            <w:tcW w:w="6025" w:type="dxa"/>
            <w:shd w:val="clear" w:color="auto" w:fill="auto"/>
          </w:tcPr>
          <w:p w14:paraId="65F8EE6E">
            <w:pPr>
              <w:pStyle w:val="150"/>
            </w:pPr>
            <w:r>
              <w:rPr>
                <w:rFonts w:hint="eastAsia"/>
              </w:rPr>
              <w:t>勾选启用MD5白名单。</w:t>
            </w:r>
          </w:p>
        </w:tc>
      </w:tr>
      <w:tr w14:paraId="4B28C65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18" w:type="dxa"/>
            <w:shd w:val="clear" w:color="auto" w:fill="auto"/>
          </w:tcPr>
          <w:p w14:paraId="3BCDAFCC">
            <w:pPr>
              <w:pStyle w:val="150"/>
            </w:pPr>
            <w:r>
              <w:rPr>
                <w:rFonts w:hint="eastAsia"/>
              </w:rPr>
              <w:t>MD5</w:t>
            </w:r>
          </w:p>
        </w:tc>
        <w:tc>
          <w:tcPr>
            <w:tcW w:w="6025" w:type="dxa"/>
            <w:shd w:val="clear" w:color="auto" w:fill="auto"/>
          </w:tcPr>
          <w:p w14:paraId="5CDDFC66">
            <w:pPr>
              <w:pStyle w:val="150"/>
            </w:pPr>
            <w:r>
              <w:rPr>
                <w:rFonts w:hint="eastAsia"/>
              </w:rPr>
              <w:t>配置需要放行的病毒MD5值，每行由数字和字母组成的32字符值，不区分大小写。</w:t>
            </w:r>
          </w:p>
        </w:tc>
      </w:tr>
      <w:bookmarkEnd w:id="7288"/>
      <w:bookmarkEnd w:id="7289"/>
      <w:bookmarkEnd w:id="7290"/>
      <w:bookmarkEnd w:id="7291"/>
      <w:bookmarkEnd w:id="7292"/>
      <w:bookmarkEnd w:id="7293"/>
      <w:bookmarkEnd w:id="7294"/>
      <w:bookmarkEnd w:id="7295"/>
      <w:bookmarkEnd w:id="7296"/>
    </w:tbl>
    <w:p w14:paraId="764E1062">
      <w:pPr>
        <w:pStyle w:val="175"/>
      </w:pPr>
      <w:bookmarkStart w:id="7297" w:name="_Toc507774300"/>
      <w:bookmarkEnd w:id="7297"/>
      <w:bookmarkStart w:id="7298" w:name="_Toc507774301"/>
      <w:bookmarkEnd w:id="7298"/>
    </w:p>
    <w:p w14:paraId="2BD76774">
      <w:pPr>
        <w:pStyle w:val="5"/>
      </w:pPr>
      <w:bookmarkStart w:id="7299" w:name="_Toc196728446"/>
      <w:bookmarkStart w:id="7300" w:name="_Toc193447147"/>
      <w:bookmarkStart w:id="7301" w:name="_Toc194081114"/>
      <w:r>
        <w:rPr>
          <w:rFonts w:hint="eastAsia"/>
        </w:rPr>
        <w:t>域名白名单</w:t>
      </w:r>
      <w:bookmarkEnd w:id="7299"/>
      <w:bookmarkEnd w:id="7300"/>
      <w:bookmarkEnd w:id="7301"/>
    </w:p>
    <w:p w14:paraId="01A89DB1">
      <w:r>
        <w:rPr>
          <w:rFonts w:hint="eastAsia"/>
        </w:rPr>
        <w:t>通过菜单“策略配置 &gt; 安全设置 &gt; 病毒防护 &gt;</w:t>
      </w:r>
      <w:r>
        <w:t xml:space="preserve"> </w:t>
      </w:r>
      <w:r>
        <w:rPr>
          <w:rFonts w:hint="eastAsia"/>
        </w:rPr>
        <w:t xml:space="preserve">防病毒设定 </w:t>
      </w:r>
      <w:r>
        <w:t xml:space="preserve">&gt; </w:t>
      </w:r>
      <w:r>
        <w:rPr>
          <w:rFonts w:hint="eastAsia"/>
        </w:rPr>
        <w:t>域名白名单”进入域名白名单配置界面，可以</w:t>
      </w:r>
      <w:r>
        <w:t>添加</w:t>
      </w:r>
      <w:r>
        <w:rPr>
          <w:rFonts w:hint="eastAsia"/>
        </w:rPr>
        <w:t>域名</w:t>
      </w:r>
      <w:r>
        <w:t>白名单</w:t>
      </w:r>
      <w:r>
        <w:rPr>
          <w:rFonts w:hint="eastAsia"/>
        </w:rPr>
        <w:t>，启用域名</w:t>
      </w:r>
      <w:r>
        <w:t>白名单后</w:t>
      </w:r>
      <w:r>
        <w:rPr>
          <w:rFonts w:hint="eastAsia"/>
        </w:rPr>
        <w:t>，检测病毒时，如果恶意域名在域名白名单配置中，则对流量进行放行。</w:t>
      </w:r>
    </w:p>
    <w:p w14:paraId="3CB64CE4">
      <w:pPr>
        <w:pStyle w:val="188"/>
      </w:pPr>
      <w:bookmarkStart w:id="7302" w:name="_Toc193447903"/>
      <w:r>
        <w:rPr>
          <w:rFonts w:hint="eastAsia"/>
        </w:rPr>
        <w:t>域名白名单配置页面</w:t>
      </w:r>
      <w:bookmarkEnd w:id="7302"/>
    </w:p>
    <w:p w14:paraId="38B0AC82">
      <w:pPr>
        <w:pStyle w:val="175"/>
      </w:pPr>
      <w:r>
        <w:drawing>
          <wp:inline distT="0" distB="0" distL="0" distR="0">
            <wp:extent cx="5400040" cy="2727960"/>
            <wp:effectExtent l="0" t="0" r="0" b="0"/>
            <wp:docPr id="639" name="图片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图片 639"/>
                    <pic:cNvPicPr>
                      <a:picLocks noChangeAspect="1"/>
                    </pic:cNvPicPr>
                  </pic:nvPicPr>
                  <pic:blipFill>
                    <a:blip r:embed="rId881"/>
                    <a:stretch>
                      <a:fillRect/>
                    </a:stretch>
                  </pic:blipFill>
                  <pic:spPr>
                    <a:xfrm>
                      <a:off x="0" y="0"/>
                      <a:ext cx="5400040" cy="2727960"/>
                    </a:xfrm>
                    <a:prstGeom prst="rect">
                      <a:avLst/>
                    </a:prstGeom>
                  </pic:spPr>
                </pic:pic>
              </a:graphicData>
            </a:graphic>
          </wp:inline>
        </w:drawing>
      </w:r>
    </w:p>
    <w:p w14:paraId="6CD6C8D2"/>
    <w:p w14:paraId="06E31914">
      <w:pPr>
        <w:pStyle w:val="183"/>
      </w:pPr>
      <w:r>
        <w:rPr>
          <w:rFonts w:hint="eastAsia"/>
        </w:rPr>
        <w:t>域名</w:t>
      </w:r>
      <w:r>
        <w:t>白名单</w:t>
      </w:r>
      <w:r>
        <w:rPr>
          <w:rFonts w:hint="eastAsia"/>
        </w:rPr>
        <w:t>配置项含义描述表</w:t>
      </w:r>
    </w:p>
    <w:tbl>
      <w:tblPr>
        <w:tblStyle w:val="173"/>
        <w:tblW w:w="8543"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093"/>
        <w:gridCol w:w="6450"/>
      </w:tblGrid>
      <w:tr w14:paraId="535649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093" w:type="dxa"/>
            <w:tcBorders>
              <w:tl2br w:val="nil"/>
              <w:tr2bl w:val="nil"/>
            </w:tcBorders>
            <w:shd w:val="clear" w:color="auto" w:fill="538135" w:themeFill="accent6" w:themeFillShade="BF"/>
            <w:vAlign w:val="center"/>
          </w:tcPr>
          <w:p w14:paraId="5145C03F">
            <w:pPr>
              <w:pStyle w:val="149"/>
              <w:wordWrap/>
              <w:rPr>
                <w:b/>
                <w:bCs/>
                <w:i w:val="0"/>
                <w:iCs w:val="0"/>
              </w:rPr>
            </w:pPr>
            <w:r>
              <w:rPr>
                <w:b/>
                <w:bCs/>
                <w:i w:val="0"/>
                <w:iCs w:val="0"/>
              </w:rPr>
              <w:t>参数</w:t>
            </w:r>
          </w:p>
        </w:tc>
        <w:tc>
          <w:tcPr>
            <w:tcW w:w="6450" w:type="dxa"/>
            <w:tcBorders>
              <w:tl2br w:val="nil"/>
              <w:tr2bl w:val="nil"/>
            </w:tcBorders>
            <w:shd w:val="clear" w:color="auto" w:fill="538135" w:themeFill="accent6" w:themeFillShade="BF"/>
            <w:vAlign w:val="center"/>
          </w:tcPr>
          <w:p w14:paraId="7BED22A0">
            <w:pPr>
              <w:pStyle w:val="149"/>
              <w:wordWrap/>
              <w:rPr>
                <w:b/>
                <w:bCs/>
                <w:i w:val="0"/>
                <w:iCs w:val="0"/>
              </w:rPr>
            </w:pPr>
            <w:r>
              <w:rPr>
                <w:b/>
                <w:bCs/>
                <w:i w:val="0"/>
                <w:iCs w:val="0"/>
              </w:rPr>
              <w:t>说明</w:t>
            </w:r>
          </w:p>
        </w:tc>
      </w:tr>
      <w:tr w14:paraId="011DAF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093" w:type="dxa"/>
            <w:shd w:val="clear" w:color="auto" w:fill="auto"/>
          </w:tcPr>
          <w:p w14:paraId="30613E1C">
            <w:pPr>
              <w:pStyle w:val="150"/>
            </w:pPr>
            <w:r>
              <w:rPr>
                <w:rFonts w:hint="eastAsia"/>
              </w:rPr>
              <w:t>启用</w:t>
            </w:r>
          </w:p>
        </w:tc>
        <w:tc>
          <w:tcPr>
            <w:tcW w:w="6450" w:type="dxa"/>
            <w:shd w:val="clear" w:color="auto" w:fill="auto"/>
          </w:tcPr>
          <w:p w14:paraId="1D9891CA">
            <w:pPr>
              <w:pStyle w:val="150"/>
            </w:pPr>
            <w:r>
              <w:rPr>
                <w:rFonts w:hint="eastAsia"/>
              </w:rPr>
              <w:t>勾选启用域名白名单。</w:t>
            </w:r>
          </w:p>
        </w:tc>
      </w:tr>
      <w:tr w14:paraId="22A03D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093" w:type="dxa"/>
            <w:shd w:val="clear" w:color="auto" w:fill="auto"/>
          </w:tcPr>
          <w:p w14:paraId="6AD52A8E">
            <w:pPr>
              <w:pStyle w:val="150"/>
            </w:pPr>
            <w:r>
              <w:rPr>
                <w:rFonts w:hint="eastAsia"/>
              </w:rPr>
              <w:t>域名</w:t>
            </w:r>
          </w:p>
        </w:tc>
        <w:tc>
          <w:tcPr>
            <w:tcW w:w="6450" w:type="dxa"/>
            <w:shd w:val="clear" w:color="auto" w:fill="auto"/>
          </w:tcPr>
          <w:p w14:paraId="0ECE7D0E">
            <w:pPr>
              <w:pStyle w:val="150"/>
            </w:pPr>
            <w:r>
              <w:rPr>
                <w:rFonts w:hint="eastAsia"/>
              </w:rPr>
              <w:t>配置需要放行的恶意域名，匹配方式为精确匹配。最多可配置</w:t>
            </w:r>
            <w:r>
              <w:t>128</w:t>
            </w:r>
            <w:r>
              <w:rPr>
                <w:rFonts w:hint="eastAsia"/>
              </w:rPr>
              <w:t>条，每条</w:t>
            </w:r>
            <w:r>
              <w:t>3-255</w:t>
            </w:r>
            <w:r>
              <w:rPr>
                <w:rFonts w:hint="eastAsia"/>
              </w:rPr>
              <w:t>字符，不区分大小写。</w:t>
            </w:r>
          </w:p>
        </w:tc>
      </w:tr>
    </w:tbl>
    <w:p w14:paraId="786A1904"/>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0C662209">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16512CDC">
            <w:pPr>
              <w:pStyle w:val="150"/>
              <w:adjustRightInd w:val="0"/>
              <w:snapToGrid w:val="0"/>
              <w:rPr>
                <w:color w:val="auto"/>
              </w:rPr>
            </w:pPr>
            <w:bookmarkStart w:id="7303" w:name="OLE_LINK36"/>
            <w:r>
              <w:rPr>
                <w:b/>
                <w:color w:val="auto"/>
              </w:rPr>
              <w:drawing>
                <wp:inline distT="0" distB="0" distL="0" distR="0">
                  <wp:extent cx="283210" cy="283210"/>
                  <wp:effectExtent l="0" t="0" r="2540" b="2540"/>
                  <wp:docPr id="899" name="图片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图片 899"/>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4332BC14">
            <w:pPr>
              <w:pStyle w:val="150"/>
              <w:adjustRightInd w:val="0"/>
              <w:snapToGrid w:val="0"/>
              <w:rPr>
                <w:color w:val="auto"/>
              </w:rPr>
            </w:pPr>
            <w:r>
              <w:rPr>
                <w:rFonts w:hint="eastAsia"/>
                <w:color w:val="auto"/>
              </w:rPr>
              <w:t>域名白名单功能仅对HTTP/HTTPS协议的报文生效。</w:t>
            </w:r>
          </w:p>
        </w:tc>
      </w:tr>
      <w:bookmarkEnd w:id="7303"/>
    </w:tbl>
    <w:p w14:paraId="208AB4FC"/>
    <w:p w14:paraId="044DEF1B">
      <w:pPr>
        <w:pStyle w:val="5"/>
      </w:pPr>
      <w:bookmarkStart w:id="7304" w:name="_Toc141873781"/>
      <w:bookmarkStart w:id="7305" w:name="_Toc40276432"/>
      <w:bookmarkStart w:id="7306" w:name="_Toc15485247"/>
      <w:bookmarkStart w:id="7307" w:name="_Toc99561960"/>
      <w:bookmarkStart w:id="7308" w:name="_Toc404075388"/>
      <w:bookmarkStart w:id="7309" w:name="_Toc436123133"/>
      <w:bookmarkStart w:id="7310" w:name="_Toc23153011"/>
      <w:bookmarkStart w:id="7311" w:name="_Toc142401298"/>
      <w:bookmarkStart w:id="7312" w:name="_Toc194081115"/>
      <w:bookmarkStart w:id="7313" w:name="_Toc196728447"/>
      <w:bookmarkStart w:id="7314" w:name="_Toc507774303"/>
      <w:bookmarkStart w:id="7315" w:name="_Toc172218574"/>
      <w:r>
        <w:rPr>
          <w:rFonts w:hint="eastAsia"/>
        </w:rPr>
        <w:t>病毒列表</w:t>
      </w:r>
      <w:bookmarkEnd w:id="7304"/>
      <w:bookmarkEnd w:id="7305"/>
      <w:bookmarkEnd w:id="7306"/>
      <w:bookmarkEnd w:id="7307"/>
      <w:bookmarkEnd w:id="7308"/>
      <w:bookmarkEnd w:id="7309"/>
      <w:bookmarkEnd w:id="7310"/>
      <w:bookmarkEnd w:id="7311"/>
      <w:bookmarkEnd w:id="7312"/>
      <w:bookmarkEnd w:id="7313"/>
      <w:bookmarkEnd w:id="7314"/>
      <w:bookmarkEnd w:id="7315"/>
    </w:p>
    <w:p w14:paraId="3CDAA431">
      <w:r>
        <w:rPr>
          <w:rFonts w:hint="eastAsia"/>
        </w:rPr>
        <w:t>进入“策略配置 &gt; 安全设置 &gt; 病毒防护 &gt;</w:t>
      </w:r>
      <w:r>
        <w:t xml:space="preserve"> </w:t>
      </w:r>
      <w:r>
        <w:rPr>
          <w:rFonts w:hint="eastAsia"/>
        </w:rPr>
        <w:t>病毒列表”，查看设备可检测的所有病毒列表。可定期升级病毒特征库升级，升级方式请参考</w:t>
      </w:r>
      <w:r>
        <w:fldChar w:fldCharType="begin"/>
      </w:r>
      <w:r>
        <w:instrText xml:space="preserve"> </w:instrText>
      </w:r>
      <w:r>
        <w:rPr>
          <w:rFonts w:hint="eastAsia"/>
        </w:rPr>
        <w:instrText xml:space="preserve">REF _Ref166830645 \h</w:instrText>
      </w:r>
      <w:r>
        <w:instrText xml:space="preserve"> </w:instrText>
      </w:r>
      <w:r>
        <w:fldChar w:fldCharType="separate"/>
      </w:r>
      <w:r>
        <w:rPr>
          <w:rFonts w:hint="eastAsia"/>
        </w:rPr>
        <w:t>升级管理</w:t>
      </w:r>
      <w:r>
        <w:fldChar w:fldCharType="end"/>
      </w:r>
      <w:r>
        <w:t>章节</w:t>
      </w:r>
      <w:r>
        <w:rPr>
          <w:rFonts w:hint="eastAsia"/>
        </w:rPr>
        <w:t>。</w:t>
      </w:r>
    </w:p>
    <w:p w14:paraId="2AD9CD49">
      <w:pPr>
        <w:pStyle w:val="188"/>
      </w:pPr>
      <w:bookmarkStart w:id="7316" w:name="_Toc421279064"/>
      <w:bookmarkStart w:id="7317" w:name="_Toc141875182"/>
      <w:r>
        <w:rPr>
          <w:rFonts w:hint="eastAsia"/>
        </w:rPr>
        <w:t>病毒列表</w:t>
      </w:r>
      <w:bookmarkEnd w:id="7316"/>
      <w:bookmarkEnd w:id="7317"/>
    </w:p>
    <w:p w14:paraId="00A52910">
      <w:r>
        <w:t xml:space="preserve"> </w:t>
      </w:r>
      <w:r>
        <w:drawing>
          <wp:inline distT="0" distB="0" distL="0" distR="0">
            <wp:extent cx="2171700" cy="3664585"/>
            <wp:effectExtent l="0" t="0" r="0" b="0"/>
            <wp:docPr id="1558" name="图片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 name="图片 1558"/>
                    <pic:cNvPicPr>
                      <a:picLocks noChangeAspect="1"/>
                    </pic:cNvPicPr>
                  </pic:nvPicPr>
                  <pic:blipFill>
                    <a:blip r:embed="rId882"/>
                    <a:stretch>
                      <a:fillRect/>
                    </a:stretch>
                  </pic:blipFill>
                  <pic:spPr>
                    <a:xfrm>
                      <a:off x="0" y="0"/>
                      <a:ext cx="2183591" cy="3684811"/>
                    </a:xfrm>
                    <a:prstGeom prst="rect">
                      <a:avLst/>
                    </a:prstGeom>
                  </pic:spPr>
                </pic:pic>
              </a:graphicData>
            </a:graphic>
          </wp:inline>
        </w:drawing>
      </w:r>
    </w:p>
    <w:p w14:paraId="5B24FF7C"/>
    <w:p w14:paraId="356A2C7D">
      <w:pPr>
        <w:pStyle w:val="5"/>
      </w:pPr>
      <w:bookmarkStart w:id="7318" w:name="_Toc196728448"/>
      <w:bookmarkStart w:id="7319" w:name="_Toc507774304"/>
      <w:bookmarkStart w:id="7320" w:name="_Toc141873782"/>
      <w:bookmarkStart w:id="7321" w:name="_Toc142401299"/>
      <w:bookmarkStart w:id="7322" w:name="_Toc40276433"/>
      <w:bookmarkStart w:id="7323" w:name="_Toc404075389"/>
      <w:bookmarkStart w:id="7324" w:name="_Toc23153012"/>
      <w:bookmarkStart w:id="7325" w:name="_Toc99561961"/>
      <w:bookmarkStart w:id="7326" w:name="_Toc194081116"/>
      <w:bookmarkStart w:id="7327" w:name="_Toc436123134"/>
      <w:bookmarkStart w:id="7328" w:name="_Toc172218575"/>
      <w:bookmarkStart w:id="7329" w:name="_Toc15485248"/>
      <w:r>
        <w:rPr>
          <w:rFonts w:hint="eastAsia"/>
        </w:rPr>
        <w:t>病毒防护策略</w:t>
      </w:r>
      <w:bookmarkEnd w:id="7318"/>
      <w:bookmarkEnd w:id="7319"/>
      <w:bookmarkEnd w:id="7320"/>
      <w:bookmarkEnd w:id="7321"/>
      <w:bookmarkEnd w:id="7322"/>
      <w:bookmarkEnd w:id="7323"/>
      <w:bookmarkEnd w:id="7324"/>
      <w:bookmarkEnd w:id="7325"/>
      <w:bookmarkEnd w:id="7326"/>
      <w:bookmarkEnd w:id="7327"/>
      <w:bookmarkEnd w:id="7328"/>
      <w:bookmarkEnd w:id="7329"/>
    </w:p>
    <w:p w14:paraId="453980B1">
      <w:r>
        <w:rPr>
          <w:rFonts w:hint="eastAsia"/>
        </w:rPr>
        <w:t>要想使病毒防护生效，必须在相应的安全策略上面启用病毒防护策略。进入“策略配置&gt;控制策略”，新建或者编辑一条已经存在的策略，如</w:t>
      </w:r>
      <w:r>
        <w:fldChar w:fldCharType="begin"/>
      </w:r>
      <w:r>
        <w:instrText xml:space="preserve"> </w:instrText>
      </w:r>
      <w:r>
        <w:rPr>
          <w:rFonts w:hint="eastAsia"/>
        </w:rPr>
        <w:instrText xml:space="preserve">REF _Ref509932366 \r \h</w:instrText>
      </w:r>
      <w:r>
        <w:instrText xml:space="preserve"> </w:instrText>
      </w:r>
      <w:r>
        <w:fldChar w:fldCharType="separate"/>
      </w:r>
      <w:r>
        <w:rPr>
          <w:rFonts w:hint="eastAsia"/>
        </w:rPr>
        <w:t>图29-21</w:t>
      </w:r>
      <w:r>
        <w:fldChar w:fldCharType="end"/>
      </w:r>
      <w:r>
        <w:t>所示</w:t>
      </w:r>
      <w:r>
        <w:rPr>
          <w:rFonts w:hint="eastAsia"/>
        </w:rPr>
        <w:t>；</w:t>
      </w:r>
      <w:r>
        <w:t>点击</w:t>
      </w:r>
      <w:r>
        <w:rPr>
          <w:rFonts w:hint="eastAsia"/>
        </w:rPr>
        <w:t>“病毒防护”标签页，进入“病毒防护”配置界面；各个配置项含义如</w:t>
      </w:r>
      <w:r>
        <w:fldChar w:fldCharType="begin"/>
      </w:r>
      <w:r>
        <w:instrText xml:space="preserve"> </w:instrText>
      </w:r>
      <w:r>
        <w:rPr>
          <w:rFonts w:hint="eastAsia"/>
        </w:rPr>
        <w:instrText xml:space="preserve">REF _Ref509932801 \r \h</w:instrText>
      </w:r>
      <w:r>
        <w:instrText xml:space="preserve"> </w:instrText>
      </w:r>
      <w:r>
        <w:fldChar w:fldCharType="separate"/>
      </w:r>
      <w:r>
        <w:rPr>
          <w:rFonts w:hint="eastAsia"/>
        </w:rPr>
        <w:t>表29-1</w:t>
      </w:r>
      <w:r>
        <w:fldChar w:fldCharType="end"/>
      </w:r>
      <w:r>
        <w:rPr>
          <w:rFonts w:hint="eastAsia"/>
        </w:rPr>
        <w:t>所示。</w:t>
      </w:r>
    </w:p>
    <w:p w14:paraId="4A0AD281">
      <w:pPr>
        <w:pStyle w:val="188"/>
      </w:pPr>
      <w:bookmarkStart w:id="7330" w:name="_Toc421279065"/>
      <w:bookmarkStart w:id="7331" w:name="_Ref509932366"/>
      <w:bookmarkStart w:id="7332" w:name="_Toc141875183"/>
      <w:r>
        <w:rPr>
          <w:rFonts w:hint="eastAsia"/>
        </w:rPr>
        <w:t>病毒防护策略</w:t>
      </w:r>
      <w:bookmarkEnd w:id="7330"/>
      <w:bookmarkEnd w:id="7331"/>
      <w:bookmarkEnd w:id="7332"/>
    </w:p>
    <w:p w14:paraId="1C3A6E4A">
      <w:r>
        <w:drawing>
          <wp:inline distT="0" distB="0" distL="0" distR="0">
            <wp:extent cx="5399405" cy="2340610"/>
            <wp:effectExtent l="0" t="0" r="0" b="254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883"/>
                    <a:srcRect t="33357"/>
                    <a:stretch>
                      <a:fillRect/>
                    </a:stretch>
                  </pic:blipFill>
                  <pic:spPr>
                    <a:xfrm>
                      <a:off x="0" y="0"/>
                      <a:ext cx="5400040" cy="2340837"/>
                    </a:xfrm>
                    <a:prstGeom prst="rect">
                      <a:avLst/>
                    </a:prstGeom>
                    <a:ln>
                      <a:noFill/>
                    </a:ln>
                  </pic:spPr>
                </pic:pic>
              </a:graphicData>
            </a:graphic>
          </wp:inline>
        </w:drawing>
      </w:r>
    </w:p>
    <w:p w14:paraId="08A5D50B"/>
    <w:p w14:paraId="5CEAB766">
      <w:pPr>
        <w:pStyle w:val="183"/>
      </w:pPr>
      <w:bookmarkStart w:id="7333" w:name="_Toc141875724"/>
      <w:r>
        <w:t>病毒防护策略</w:t>
      </w:r>
      <w:bookmarkStart w:id="7334" w:name="_Ref509932801"/>
      <w:r>
        <w:rPr>
          <w:rFonts w:hint="eastAsia"/>
        </w:rPr>
        <w:t>配置项含义描述表</w:t>
      </w:r>
      <w:bookmarkEnd w:id="7333"/>
      <w:bookmarkEnd w:id="7334"/>
    </w:p>
    <w:tbl>
      <w:tblPr>
        <w:tblStyle w:val="173"/>
        <w:tblW w:w="8543"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518"/>
        <w:gridCol w:w="6025"/>
      </w:tblGrid>
      <w:tr w14:paraId="5EF38FA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18" w:type="dxa"/>
            <w:tcBorders>
              <w:tl2br w:val="nil"/>
              <w:tr2bl w:val="nil"/>
            </w:tcBorders>
            <w:shd w:val="clear" w:color="auto" w:fill="538135" w:themeFill="accent6" w:themeFillShade="BF"/>
            <w:vAlign w:val="center"/>
          </w:tcPr>
          <w:p w14:paraId="338AAAEF">
            <w:pPr>
              <w:pStyle w:val="150"/>
              <w:wordWrap/>
              <w:rPr>
                <w:b w:val="0"/>
                <w:bCs w:val="0"/>
                <w:i w:val="0"/>
                <w:iCs w:val="0"/>
                <w:color w:val="FFFFFF" w:themeColor="background1"/>
                <w14:textFill>
                  <w14:solidFill>
                    <w14:schemeClr w14:val="bg1"/>
                  </w14:solidFill>
                </w14:textFill>
              </w:rPr>
            </w:pPr>
            <w:r>
              <w:rPr>
                <w:b w:val="0"/>
                <w:bCs w:val="0"/>
                <w:i w:val="0"/>
                <w:iCs w:val="0"/>
                <w:color w:val="FFFFFF" w:themeColor="background1"/>
                <w14:textFill>
                  <w14:solidFill>
                    <w14:schemeClr w14:val="bg1"/>
                  </w14:solidFill>
                </w14:textFill>
              </w:rPr>
              <w:t>参数</w:t>
            </w:r>
          </w:p>
        </w:tc>
        <w:tc>
          <w:tcPr>
            <w:tcW w:w="6025" w:type="dxa"/>
            <w:tcBorders>
              <w:tl2br w:val="nil"/>
              <w:tr2bl w:val="nil"/>
            </w:tcBorders>
            <w:shd w:val="clear" w:color="auto" w:fill="538135" w:themeFill="accent6" w:themeFillShade="BF"/>
            <w:vAlign w:val="center"/>
          </w:tcPr>
          <w:p w14:paraId="69CC555C">
            <w:pPr>
              <w:pStyle w:val="150"/>
              <w:wordWrap/>
              <w:rPr>
                <w:b/>
                <w:bCs w:val="0"/>
                <w:i w:val="0"/>
                <w:iCs w:val="0"/>
                <w:color w:val="FFFFFF" w:themeColor="background1"/>
                <w14:textFill>
                  <w14:solidFill>
                    <w14:schemeClr w14:val="bg1"/>
                  </w14:solidFill>
                </w14:textFill>
              </w:rPr>
            </w:pPr>
            <w:r>
              <w:rPr>
                <w:b w:val="0"/>
                <w:bCs w:val="0"/>
                <w:i w:val="0"/>
                <w:iCs w:val="0"/>
                <w:color w:val="FFFFFF" w:themeColor="background1"/>
                <w14:textFill>
                  <w14:solidFill>
                    <w14:schemeClr w14:val="bg1"/>
                  </w14:solidFill>
                </w14:textFill>
              </w:rPr>
              <w:t>说明</w:t>
            </w:r>
          </w:p>
        </w:tc>
      </w:tr>
      <w:tr w14:paraId="0CCBC7B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18" w:type="dxa"/>
            <w:shd w:val="clear" w:color="auto" w:fill="auto"/>
          </w:tcPr>
          <w:p w14:paraId="40DABC5B">
            <w:pPr>
              <w:pStyle w:val="150"/>
            </w:pPr>
            <w:r>
              <w:rPr>
                <w:rFonts w:hint="eastAsia"/>
              </w:rPr>
              <w:t>启用</w:t>
            </w:r>
          </w:p>
        </w:tc>
        <w:tc>
          <w:tcPr>
            <w:tcW w:w="6025" w:type="dxa"/>
            <w:shd w:val="clear" w:color="auto" w:fill="auto"/>
          </w:tcPr>
          <w:p w14:paraId="2278BBDD">
            <w:pPr>
              <w:pStyle w:val="150"/>
            </w:pPr>
            <w:r>
              <w:rPr>
                <w:rFonts w:hint="eastAsia"/>
              </w:rPr>
              <w:t>启用或禁用病毒防护</w:t>
            </w:r>
          </w:p>
        </w:tc>
      </w:tr>
      <w:tr w14:paraId="7C327A4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18" w:type="dxa"/>
            <w:shd w:val="clear" w:color="auto" w:fill="auto"/>
          </w:tcPr>
          <w:p w14:paraId="00BA1E7D">
            <w:pPr>
              <w:pStyle w:val="150"/>
            </w:pPr>
            <w:r>
              <w:rPr>
                <w:rFonts w:hint="eastAsia"/>
              </w:rPr>
              <w:t>日志</w:t>
            </w:r>
          </w:p>
        </w:tc>
        <w:tc>
          <w:tcPr>
            <w:tcW w:w="6025" w:type="dxa"/>
            <w:shd w:val="clear" w:color="auto" w:fill="auto"/>
          </w:tcPr>
          <w:p w14:paraId="7F3054CF">
            <w:pPr>
              <w:pStyle w:val="150"/>
            </w:pPr>
            <w:r>
              <w:rPr>
                <w:rFonts w:hint="eastAsia"/>
              </w:rPr>
              <w:t>是否记录相关日志，勾选即为记录。</w:t>
            </w:r>
          </w:p>
        </w:tc>
      </w:tr>
      <w:tr w14:paraId="7CD5169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518" w:type="dxa"/>
            <w:shd w:val="clear" w:color="auto" w:fill="auto"/>
          </w:tcPr>
          <w:p w14:paraId="37896BD4">
            <w:pPr>
              <w:pStyle w:val="150"/>
            </w:pPr>
            <w:r>
              <w:rPr>
                <w:rFonts w:hint="eastAsia"/>
              </w:rPr>
              <w:t>防护项目</w:t>
            </w:r>
          </w:p>
        </w:tc>
        <w:tc>
          <w:tcPr>
            <w:tcW w:w="6025" w:type="dxa"/>
            <w:shd w:val="clear" w:color="auto" w:fill="auto"/>
          </w:tcPr>
          <w:p w14:paraId="2DFA77DD">
            <w:pPr>
              <w:pStyle w:val="150"/>
            </w:pPr>
            <w:r>
              <w:rPr>
                <w:rFonts w:hint="eastAsia"/>
              </w:rPr>
              <w:t xml:space="preserve">HTTP、FTP、IMAP、POP3、SMTP是对应的协议类型，行为是对应的动作，有允许和阻断两种动作。 </w:t>
            </w:r>
          </w:p>
        </w:tc>
      </w:tr>
    </w:tbl>
    <w:p w14:paraId="15CFF593">
      <w:bookmarkStart w:id="7335" w:name="_Toc507774305"/>
      <w:bookmarkEnd w:id="7335"/>
    </w:p>
    <w:p w14:paraId="660CB8BB">
      <w:pPr>
        <w:pStyle w:val="4"/>
      </w:pPr>
      <w:bookmarkStart w:id="7336" w:name="_Toc507774309"/>
      <w:bookmarkEnd w:id="7336"/>
      <w:bookmarkStart w:id="7337" w:name="_Toc507774308"/>
      <w:bookmarkEnd w:id="7337"/>
      <w:bookmarkStart w:id="7338" w:name="_Toc507774310"/>
      <w:bookmarkEnd w:id="7338"/>
      <w:bookmarkStart w:id="7339" w:name="_Toc507774306"/>
      <w:bookmarkEnd w:id="7339"/>
      <w:bookmarkStart w:id="7340" w:name="_Toc507774307"/>
      <w:bookmarkEnd w:id="7340"/>
      <w:bookmarkStart w:id="7341" w:name="_Toc507774311"/>
      <w:bookmarkEnd w:id="7341"/>
      <w:bookmarkStart w:id="7342" w:name="_Toc194081117"/>
      <w:bookmarkStart w:id="7343" w:name="_Toc196728449"/>
      <w:bookmarkStart w:id="7344" w:name="_Toc23153020"/>
      <w:bookmarkStart w:id="7345" w:name="_Toc15485263"/>
      <w:bookmarkStart w:id="7346" w:name="_Toc40276441"/>
      <w:bookmarkStart w:id="7347" w:name="_Toc99561963"/>
      <w:bookmarkStart w:id="7348" w:name="_Toc141873783"/>
      <w:bookmarkStart w:id="7349" w:name="_Toc525134855"/>
      <w:bookmarkStart w:id="7350" w:name="_Toc525136014"/>
      <w:bookmarkStart w:id="7351" w:name="_Toc23153014"/>
      <w:bookmarkStart w:id="7352" w:name="_Toc40276435"/>
      <w:bookmarkStart w:id="7353" w:name="_Toc15485250"/>
      <w:bookmarkStart w:id="7354" w:name="_Toc142401300"/>
      <w:bookmarkStart w:id="7355" w:name="_Toc172218576"/>
      <w:r>
        <w:rPr>
          <w:rFonts w:hint="eastAsia"/>
        </w:rPr>
        <w:t>安全防护</w:t>
      </w:r>
      <w:bookmarkEnd w:id="7342"/>
      <w:bookmarkEnd w:id="7343"/>
    </w:p>
    <w:p w14:paraId="1117BDD8">
      <w:pPr>
        <w:pStyle w:val="5"/>
      </w:pPr>
      <w:bookmarkStart w:id="7356" w:name="_Toc70415651"/>
      <w:bookmarkStart w:id="7357" w:name="_Toc58604258"/>
      <w:bookmarkStart w:id="7358" w:name="_Toc70414714"/>
      <w:bookmarkStart w:id="7359" w:name="_Toc99561964"/>
      <w:bookmarkStart w:id="7360" w:name="_Toc142401301"/>
      <w:bookmarkStart w:id="7361" w:name="_Toc196728450"/>
      <w:bookmarkStart w:id="7362" w:name="_Toc141873784"/>
      <w:bookmarkStart w:id="7363" w:name="_Toc172218577"/>
      <w:bookmarkStart w:id="7364" w:name="_Toc194081118"/>
      <w:bookmarkStart w:id="7365" w:name="_Toc474250090"/>
      <w:bookmarkStart w:id="7366" w:name="_Toc15485264"/>
      <w:bookmarkStart w:id="7367" w:name="_Toc23153021"/>
      <w:bookmarkStart w:id="7368" w:name="_Toc15460056"/>
      <w:bookmarkStart w:id="7369" w:name="_Toc40276442"/>
      <w:r>
        <w:rPr>
          <w:rFonts w:hint="eastAsia"/>
        </w:rPr>
        <w:t>ARP/ND攻击防护</w:t>
      </w:r>
      <w:bookmarkEnd w:id="7356"/>
      <w:bookmarkEnd w:id="7357"/>
      <w:bookmarkEnd w:id="7358"/>
      <w:bookmarkEnd w:id="7359"/>
      <w:bookmarkEnd w:id="7360"/>
      <w:bookmarkEnd w:id="7361"/>
      <w:bookmarkEnd w:id="7362"/>
      <w:bookmarkEnd w:id="7363"/>
      <w:bookmarkEnd w:id="7364"/>
    </w:p>
    <w:p w14:paraId="56DACE20">
      <w:pPr>
        <w:pStyle w:val="6"/>
      </w:pPr>
      <w:bookmarkStart w:id="7370" w:name="_Toc58604259"/>
      <w:bookmarkStart w:id="7371" w:name="_Toc70414715"/>
      <w:bookmarkStart w:id="7372" w:name="_Toc99561965"/>
      <w:bookmarkStart w:id="7373" w:name="_Toc70415652"/>
      <w:bookmarkStart w:id="7374" w:name="_Toc141873785"/>
      <w:bookmarkStart w:id="7375" w:name="_Toc142401302"/>
      <w:bookmarkStart w:id="7376" w:name="_Toc172218578"/>
      <w:r>
        <w:rPr>
          <w:rFonts w:hint="eastAsia"/>
        </w:rPr>
        <w:t>ARP/ND攻击防护概述</w:t>
      </w:r>
      <w:bookmarkEnd w:id="7370"/>
      <w:bookmarkEnd w:id="7371"/>
      <w:bookmarkEnd w:id="7372"/>
      <w:bookmarkEnd w:id="7373"/>
      <w:bookmarkEnd w:id="7374"/>
      <w:bookmarkEnd w:id="7375"/>
      <w:bookmarkEnd w:id="7376"/>
    </w:p>
    <w:p w14:paraId="2322867B">
      <w:r>
        <w:rPr>
          <w:rFonts w:hint="eastAsia"/>
        </w:rPr>
        <w:t>在IPv</w:t>
      </w:r>
      <w:r>
        <w:t>4</w:t>
      </w:r>
      <w:r>
        <w:rPr>
          <w:rFonts w:hint="eastAsia"/>
        </w:rPr>
        <w:t>局域网中，通过</w:t>
      </w:r>
      <w:r>
        <w:t>ARP</w:t>
      </w:r>
      <w:r>
        <w:rPr>
          <w:rFonts w:hint="eastAsia"/>
        </w:rPr>
        <w:t>协议将</w:t>
      </w:r>
      <w:r>
        <w:t>IP</w:t>
      </w:r>
      <w:r>
        <w:rPr>
          <w:rFonts w:hint="eastAsia"/>
        </w:rPr>
        <w:t>地址转换为</w:t>
      </w:r>
      <w:r>
        <w:t>MAC</w:t>
      </w:r>
      <w:r>
        <w:rPr>
          <w:rFonts w:hint="eastAsia"/>
        </w:rPr>
        <w:t>地址。</w:t>
      </w:r>
      <w:r>
        <w:t>ARP</w:t>
      </w:r>
      <w:r>
        <w:rPr>
          <w:rFonts w:hint="eastAsia"/>
        </w:rPr>
        <w:t>协议对网络安全具有重要的意义，但是当初</w:t>
      </w:r>
      <w:r>
        <w:t>ARP</w:t>
      </w:r>
      <w:r>
        <w:rPr>
          <w:rFonts w:hint="eastAsia"/>
        </w:rPr>
        <w:t>方式的设计没有考虑到过多的安全问题，留下很多隐患，使得</w:t>
      </w:r>
      <w:r>
        <w:t>ARP</w:t>
      </w:r>
      <w:r>
        <w:rPr>
          <w:rFonts w:hint="eastAsia"/>
        </w:rPr>
        <w:t>攻击成为当前网络环境中遇到的一个非常典型的安全威胁。</w:t>
      </w:r>
    </w:p>
    <w:p w14:paraId="7E8DE2E3">
      <w:r>
        <w:rPr>
          <w:rFonts w:hint="eastAsia"/>
        </w:rPr>
        <w:t>在IPv</w:t>
      </w:r>
      <w:r>
        <w:t>6</w:t>
      </w:r>
      <w:r>
        <w:rPr>
          <w:rFonts w:hint="eastAsia"/>
        </w:rPr>
        <w:t>局域网中，通过</w:t>
      </w:r>
      <w:r>
        <w:t>ND</w:t>
      </w:r>
      <w:r>
        <w:rPr>
          <w:rFonts w:hint="eastAsia"/>
        </w:rPr>
        <w:t>协议将IP地址转换为MAC地址。由于 ND 协议并未提供认证机制，导致网络中的节点不可信，也使攻击者有机可乘，可针对 ND 协议发起一系列攻击。</w:t>
      </w:r>
    </w:p>
    <w:p w14:paraId="2446263D">
      <w:r>
        <w:rPr>
          <w:rFonts w:hint="eastAsia"/>
        </w:rPr>
        <w:t>通过伪造</w:t>
      </w:r>
      <w:r>
        <w:t>IP</w:t>
      </w:r>
      <w:r>
        <w:rPr>
          <w:rFonts w:hint="eastAsia"/>
        </w:rPr>
        <w:t>地址和</w:t>
      </w:r>
      <w:r>
        <w:t>MAC</w:t>
      </w:r>
      <w:r>
        <w:rPr>
          <w:rFonts w:hint="eastAsia"/>
        </w:rPr>
        <w:t>地址实现</w:t>
      </w:r>
      <w:r>
        <w:t>ARP</w:t>
      </w:r>
      <w:r>
        <w:rPr>
          <w:rFonts w:hint="eastAsia"/>
        </w:rPr>
        <w:t>欺骗，能够在网络中产生大量的</w:t>
      </w:r>
      <w:r>
        <w:t>ARP</w:t>
      </w:r>
      <w:r>
        <w:rPr>
          <w:rFonts w:hint="eastAsia"/>
        </w:rPr>
        <w:t>通信量，使网络阻塞，攻击者只要持续不断的发出伪造的</w:t>
      </w:r>
      <w:r>
        <w:t>ARP</w:t>
      </w:r>
      <w:r>
        <w:rPr>
          <w:rFonts w:hint="eastAsia"/>
        </w:rPr>
        <w:t>响应包就能更改目标主机</w:t>
      </w:r>
      <w:r>
        <w:t>ARP</w:t>
      </w:r>
      <w:r>
        <w:rPr>
          <w:rFonts w:hint="eastAsia"/>
        </w:rPr>
        <w:t>缓存，造成网络中断或中间人攻击。</w:t>
      </w:r>
    </w:p>
    <w:p w14:paraId="3235AABB">
      <w:r>
        <w:rPr>
          <w:rFonts w:hint="eastAsia"/>
        </w:rPr>
        <w:t>受到</w:t>
      </w:r>
      <w:r>
        <w:t>ARP</w:t>
      </w:r>
      <w:r>
        <w:rPr>
          <w:rFonts w:hint="eastAsia"/>
        </w:rPr>
        <w:t>攻击后会出现无法正常上网、</w:t>
      </w:r>
      <w:r>
        <w:t>ARP</w:t>
      </w:r>
      <w:r>
        <w:rPr>
          <w:rFonts w:hint="eastAsia"/>
        </w:rPr>
        <w:t>包爆增、不正常或错误的</w:t>
      </w:r>
      <w:r>
        <w:t>MAC</w:t>
      </w:r>
      <w:r>
        <w:rPr>
          <w:rFonts w:hint="eastAsia"/>
        </w:rPr>
        <w:t>地址、一个</w:t>
      </w:r>
      <w:r>
        <w:t>MAC</w:t>
      </w:r>
      <w:r>
        <w:rPr>
          <w:rFonts w:hint="eastAsia"/>
        </w:rPr>
        <w:t>地址对应多个</w:t>
      </w:r>
      <w:r>
        <w:t>IP</w:t>
      </w:r>
      <w:r>
        <w:rPr>
          <w:rFonts w:hint="eastAsia"/>
        </w:rPr>
        <w:t>、</w:t>
      </w:r>
      <w:r>
        <w:t>IP</w:t>
      </w:r>
      <w:r>
        <w:rPr>
          <w:rFonts w:hint="eastAsia"/>
        </w:rPr>
        <w:t>冲突等情况。</w:t>
      </w:r>
      <w:r>
        <w:t>ARP</w:t>
      </w:r>
      <w:r>
        <w:rPr>
          <w:rFonts w:hint="eastAsia"/>
        </w:rPr>
        <w:t>攻击因为技术门槛低，易于实现，在现今的网络中频频出现，有效防范</w:t>
      </w:r>
      <w:r>
        <w:t>ARP</w:t>
      </w:r>
      <w:r>
        <w:rPr>
          <w:rFonts w:hint="eastAsia"/>
        </w:rPr>
        <w:t>攻击已成为确保网络畅通的必要条件。</w:t>
      </w:r>
    </w:p>
    <w:p w14:paraId="4FE3A718">
      <w:r>
        <w:rPr>
          <w:rFonts w:hint="eastAsia"/>
        </w:rPr>
        <w:t>设备的防</w:t>
      </w:r>
      <w:r>
        <w:t>ARP/ND</w:t>
      </w:r>
      <w:r>
        <w:rPr>
          <w:rFonts w:hint="eastAsia"/>
        </w:rPr>
        <w:t>攻击功能有效识别</w:t>
      </w:r>
      <w:r>
        <w:t>ARP/ND</w:t>
      </w:r>
      <w:r>
        <w:rPr>
          <w:rFonts w:hint="eastAsia"/>
        </w:rPr>
        <w:t>欺骗攻击和</w:t>
      </w:r>
      <w:r>
        <w:t>ARP/ND flood</w:t>
      </w:r>
      <w:r>
        <w:rPr>
          <w:rFonts w:hint="eastAsia"/>
        </w:rPr>
        <w:t>攻击，对疑似攻击的行为告警，并配合</w:t>
      </w:r>
      <w:r>
        <w:t>IP-MAC</w:t>
      </w:r>
      <w:r>
        <w:rPr>
          <w:rFonts w:hint="eastAsia"/>
        </w:rPr>
        <w:t>绑定、主动保护发包及关闭</w:t>
      </w:r>
      <w:r>
        <w:t>ARP/ND</w:t>
      </w:r>
      <w:r>
        <w:rPr>
          <w:rFonts w:hint="eastAsia"/>
        </w:rPr>
        <w:t>学习等，有效防范</w:t>
      </w:r>
      <w:r>
        <w:t>ARP/ND</w:t>
      </w:r>
      <w:r>
        <w:rPr>
          <w:rFonts w:hint="eastAsia"/>
        </w:rPr>
        <w:t>攻击造成的损害。</w:t>
      </w:r>
    </w:p>
    <w:p w14:paraId="6B8E116B">
      <w:pPr>
        <w:pStyle w:val="6"/>
      </w:pPr>
      <w:bookmarkStart w:id="7377" w:name="_Toc58604263"/>
      <w:bookmarkStart w:id="7378" w:name="_Toc70414719"/>
      <w:bookmarkStart w:id="7379" w:name="_Toc70415656"/>
      <w:bookmarkStart w:id="7380" w:name="_Toc99561969"/>
      <w:bookmarkStart w:id="7381" w:name="_Toc141873786"/>
      <w:bookmarkStart w:id="7382" w:name="_Toc142401303"/>
      <w:bookmarkStart w:id="7383" w:name="_Toc172218579"/>
      <w:bookmarkStart w:id="7384" w:name="_Toc58604260"/>
      <w:bookmarkStart w:id="7385" w:name="_Toc70414716"/>
      <w:bookmarkStart w:id="7386" w:name="_Toc70415653"/>
      <w:bookmarkStart w:id="7387" w:name="_Toc99561966"/>
      <w:r>
        <w:rPr>
          <w:rFonts w:hint="eastAsia"/>
        </w:rPr>
        <w:t>防ARP欺骗</w:t>
      </w:r>
      <w:bookmarkEnd w:id="7377"/>
      <w:bookmarkEnd w:id="7378"/>
      <w:bookmarkEnd w:id="7379"/>
      <w:bookmarkEnd w:id="7380"/>
      <w:bookmarkEnd w:id="7381"/>
      <w:bookmarkEnd w:id="7382"/>
      <w:bookmarkEnd w:id="7383"/>
    </w:p>
    <w:p w14:paraId="443F1D92">
      <w:r>
        <w:rPr>
          <w:rFonts w:hint="eastAsia"/>
        </w:rPr>
        <w:t>通过菜单“策略配置&gt;安全设置&gt;安全防护</w:t>
      </w:r>
      <w:r>
        <w:t>&gt;ARP</w:t>
      </w:r>
      <w:r>
        <w:rPr>
          <w:rFonts w:hint="eastAsia"/>
        </w:rPr>
        <w:t>/ND攻击防护</w:t>
      </w:r>
      <w:r>
        <w:t>&gt;</w:t>
      </w:r>
      <w:r>
        <w:rPr>
          <w:rFonts w:hint="eastAsia"/>
        </w:rPr>
        <w:t>防</w:t>
      </w:r>
      <w:r>
        <w:t>ARP</w:t>
      </w:r>
      <w:r>
        <w:rPr>
          <w:rFonts w:hint="eastAsia"/>
        </w:rPr>
        <w:t>欺骗”使用该功能。</w:t>
      </w:r>
    </w:p>
    <w:p w14:paraId="445E52DD">
      <w:pPr>
        <w:pStyle w:val="188"/>
      </w:pPr>
      <w:bookmarkStart w:id="7388" w:name="_Ref49961336"/>
      <w:bookmarkStart w:id="7389" w:name="_Toc141875184"/>
      <w:r>
        <w:rPr>
          <w:rFonts w:hint="eastAsia"/>
        </w:rPr>
        <w:t>防ARP欺骗设置页面</w:t>
      </w:r>
      <w:bookmarkEnd w:id="7388"/>
      <w:bookmarkEnd w:id="7389"/>
    </w:p>
    <w:p w14:paraId="719DC68B">
      <w:r>
        <w:drawing>
          <wp:inline distT="0" distB="0" distL="0" distR="0">
            <wp:extent cx="5400040" cy="2099945"/>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884"/>
                    <a:stretch>
                      <a:fillRect/>
                    </a:stretch>
                  </pic:blipFill>
                  <pic:spPr>
                    <a:xfrm>
                      <a:off x="0" y="0"/>
                      <a:ext cx="5400040" cy="2099945"/>
                    </a:xfrm>
                    <a:prstGeom prst="rect">
                      <a:avLst/>
                    </a:prstGeom>
                  </pic:spPr>
                </pic:pic>
              </a:graphicData>
            </a:graphic>
          </wp:inline>
        </w:drawing>
      </w:r>
    </w:p>
    <w:p w14:paraId="4CD6AFAB"/>
    <w:p w14:paraId="631DFF9F">
      <w:pPr>
        <w:pStyle w:val="183"/>
      </w:pPr>
      <w:bookmarkStart w:id="7390" w:name="_Toc141875725"/>
      <w:r>
        <w:rPr>
          <w:rFonts w:hint="eastAsia"/>
        </w:rPr>
        <w:t>防ARP欺骗详细信息描述表</w:t>
      </w:r>
      <w:bookmarkEnd w:id="7390"/>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647"/>
        <w:gridCol w:w="7367"/>
      </w:tblGrid>
      <w:tr w14:paraId="2B95E8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47" w:type="dxa"/>
            <w:tcBorders>
              <w:tl2br w:val="nil"/>
              <w:tr2bl w:val="nil"/>
            </w:tcBorders>
            <w:shd w:val="clear" w:color="auto" w:fill="538135" w:themeFill="accent6" w:themeFillShade="BF"/>
            <w:vAlign w:val="center"/>
          </w:tcPr>
          <w:p w14:paraId="10E46210">
            <w:pPr>
              <w:pStyle w:val="149"/>
              <w:wordWrap/>
              <w:rPr>
                <w:b/>
                <w:bCs/>
                <w:i w:val="0"/>
                <w:iCs w:val="0"/>
              </w:rPr>
            </w:pPr>
            <w:r>
              <w:rPr>
                <w:rFonts w:hint="eastAsia"/>
                <w:b/>
                <w:bCs/>
                <w:i w:val="0"/>
                <w:iCs w:val="0"/>
              </w:rPr>
              <w:t>配置项</w:t>
            </w:r>
          </w:p>
        </w:tc>
        <w:tc>
          <w:tcPr>
            <w:tcW w:w="7367" w:type="dxa"/>
            <w:tcBorders>
              <w:tl2br w:val="nil"/>
              <w:tr2bl w:val="nil"/>
            </w:tcBorders>
            <w:shd w:val="clear" w:color="auto" w:fill="538135" w:themeFill="accent6" w:themeFillShade="BF"/>
            <w:vAlign w:val="center"/>
          </w:tcPr>
          <w:p w14:paraId="2492B77C">
            <w:pPr>
              <w:pStyle w:val="149"/>
              <w:wordWrap/>
              <w:rPr>
                <w:b/>
                <w:bCs/>
                <w:i w:val="0"/>
                <w:iCs w:val="0"/>
              </w:rPr>
            </w:pPr>
            <w:r>
              <w:rPr>
                <w:rFonts w:hint="eastAsia"/>
                <w:b/>
                <w:bCs/>
                <w:i w:val="0"/>
                <w:iCs w:val="0"/>
              </w:rPr>
              <w:t>说明</w:t>
            </w:r>
          </w:p>
        </w:tc>
      </w:tr>
      <w:tr w14:paraId="73AA90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47" w:type="dxa"/>
            <w:shd w:val="clear" w:color="auto" w:fill="auto"/>
          </w:tcPr>
          <w:p w14:paraId="30FE1DDB">
            <w:pPr>
              <w:pStyle w:val="150"/>
            </w:pPr>
            <w:r>
              <w:rPr>
                <w:rFonts w:hint="eastAsia"/>
              </w:rPr>
              <w:t>关闭</w:t>
            </w:r>
            <w:r>
              <w:t>ARP</w:t>
            </w:r>
            <w:r>
              <w:rPr>
                <w:rFonts w:hint="eastAsia"/>
              </w:rPr>
              <w:t>学习</w:t>
            </w:r>
          </w:p>
        </w:tc>
        <w:tc>
          <w:tcPr>
            <w:tcW w:w="7367" w:type="dxa"/>
            <w:shd w:val="clear" w:color="auto" w:fill="auto"/>
          </w:tcPr>
          <w:p w14:paraId="1FCC1767">
            <w:pPr>
              <w:pStyle w:val="150"/>
            </w:pPr>
            <w:r>
              <w:rPr>
                <w:rFonts w:hint="eastAsia"/>
              </w:rPr>
              <w:t>缺省情况下启用</w:t>
            </w:r>
            <w:r>
              <w:t>ARP</w:t>
            </w:r>
            <w:r>
              <w:rPr>
                <w:rFonts w:hint="eastAsia"/>
              </w:rPr>
              <w:t>学习，关闭后只要是不匹配</w:t>
            </w:r>
            <w:r>
              <w:t>IP-MAC</w:t>
            </w:r>
            <w:r>
              <w:rPr>
                <w:rFonts w:hint="eastAsia"/>
              </w:rPr>
              <w:t>绑定表的报文都将被丢弃，有关IP-MAC绑定配置的更多信息，请参考IPMAC绑定。</w:t>
            </w:r>
          </w:p>
        </w:tc>
      </w:tr>
      <w:tr w14:paraId="09C04B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47" w:type="dxa"/>
            <w:shd w:val="clear" w:color="auto" w:fill="auto"/>
          </w:tcPr>
          <w:p w14:paraId="7180EB45">
            <w:pPr>
              <w:pStyle w:val="150"/>
            </w:pPr>
            <w:r>
              <w:rPr>
                <w:rFonts w:hint="eastAsia"/>
              </w:rPr>
              <w:t>主动保护</w:t>
            </w:r>
          </w:p>
        </w:tc>
        <w:tc>
          <w:tcPr>
            <w:tcW w:w="7367" w:type="dxa"/>
            <w:shd w:val="clear" w:color="auto" w:fill="auto"/>
          </w:tcPr>
          <w:p w14:paraId="79CEB345">
            <w:pPr>
              <w:pStyle w:val="150"/>
            </w:pPr>
            <w:r>
              <w:rPr>
                <w:rFonts w:hint="eastAsia"/>
              </w:rPr>
              <w:t>开启该功能后，设备会按照指定的时间间隔发送主动保护列表上的免费ARP报文。免费ARP报文是一种特殊的ARP报文，该报文携带的发送端IP地址和目的IP地址都是本机IP地址，源MAC地址是本机MAC地址，目的MAC地址是广播地址。其他设备收到免费ARP报文后，如发现报文中的IP地址与设备自身的IP地址相同，会向免费ARP报文的发送设备返回应答，告知该设备的IP地址冲突。</w:t>
            </w:r>
          </w:p>
        </w:tc>
      </w:tr>
      <w:tr w14:paraId="08FDF35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47" w:type="dxa"/>
            <w:shd w:val="clear" w:color="auto" w:fill="auto"/>
          </w:tcPr>
          <w:p w14:paraId="312FEE5F">
            <w:pPr>
              <w:pStyle w:val="150"/>
            </w:pPr>
            <w:r>
              <w:rPr>
                <w:rFonts w:hint="eastAsia"/>
              </w:rPr>
              <w:t>时间间隔</w:t>
            </w:r>
          </w:p>
        </w:tc>
        <w:tc>
          <w:tcPr>
            <w:tcW w:w="7367" w:type="dxa"/>
            <w:shd w:val="clear" w:color="auto" w:fill="auto"/>
          </w:tcPr>
          <w:p w14:paraId="16D8749A">
            <w:pPr>
              <w:pStyle w:val="150"/>
            </w:pPr>
            <w:r>
              <w:rPr>
                <w:rFonts w:hint="eastAsia"/>
              </w:rPr>
              <w:t>发送主动保护列表上的</w:t>
            </w:r>
            <w:r>
              <w:t>ARP</w:t>
            </w:r>
            <w:r>
              <w:rPr>
                <w:rFonts w:hint="eastAsia"/>
              </w:rPr>
              <w:t>的时间间隔，缺省配置为</w:t>
            </w:r>
            <w:r>
              <w:t>1</w:t>
            </w:r>
            <w:r>
              <w:rPr>
                <w:rFonts w:hint="eastAsia"/>
              </w:rPr>
              <w:t>秒。</w:t>
            </w:r>
          </w:p>
        </w:tc>
      </w:tr>
    </w:tbl>
    <w:p w14:paraId="116E1233"/>
    <w:p w14:paraId="46BCF915">
      <w:r>
        <w:rPr>
          <w:rFonts w:hint="eastAsia"/>
        </w:rPr>
        <w:t>如</w:t>
      </w:r>
      <w:r>
        <w:fldChar w:fldCharType="begin"/>
      </w:r>
      <w:r>
        <w:instrText xml:space="preserve"> </w:instrText>
      </w:r>
      <w:r>
        <w:rPr>
          <w:rFonts w:hint="eastAsia"/>
        </w:rPr>
        <w:instrText xml:space="preserve">REF _Ref49961336 \r \h</w:instrText>
      </w:r>
      <w:r>
        <w:instrText xml:space="preserve"> </w:instrText>
      </w:r>
      <w:r>
        <w:fldChar w:fldCharType="separate"/>
      </w:r>
      <w:r>
        <w:rPr>
          <w:rFonts w:hint="eastAsia"/>
        </w:rPr>
        <w:t>图29-22</w:t>
      </w:r>
      <w:r>
        <w:fldChar w:fldCharType="end"/>
      </w:r>
      <w:r>
        <w:t>所示</w:t>
      </w:r>
      <w:r>
        <w:rPr>
          <w:rFonts w:hint="eastAsia"/>
        </w:rPr>
        <w:t>，在防</w:t>
      </w:r>
      <w:r>
        <w:t>ARP</w:t>
      </w:r>
      <w:r>
        <w:rPr>
          <w:rFonts w:hint="eastAsia"/>
        </w:rPr>
        <w:t>欺骗设置页面中，选择主动保护列表下的</w:t>
      </w:r>
      <w:r>
        <w:t>&lt;</w:t>
      </w:r>
      <w:r>
        <w:rPr>
          <w:rFonts w:hint="eastAsia"/>
        </w:rPr>
        <w:t>新建</w:t>
      </w:r>
      <w:r>
        <w:t>&gt;</w:t>
      </w:r>
      <w:r>
        <w:rPr>
          <w:rFonts w:hint="eastAsia"/>
        </w:rPr>
        <w:t>按钮，将弹出如下页面。</w:t>
      </w:r>
    </w:p>
    <w:p w14:paraId="5AAC6A34">
      <w:pPr>
        <w:pStyle w:val="188"/>
      </w:pPr>
      <w:bookmarkStart w:id="7391" w:name="_Toc141875185"/>
      <w:r>
        <w:rPr>
          <w:rFonts w:hint="eastAsia"/>
        </w:rPr>
        <w:t>主动保护列表页面</w:t>
      </w:r>
      <w:bookmarkEnd w:id="7391"/>
    </w:p>
    <w:p w14:paraId="237322FC">
      <w:r>
        <w:drawing>
          <wp:inline distT="0" distB="0" distL="0" distR="0">
            <wp:extent cx="5533390" cy="2719705"/>
            <wp:effectExtent l="0" t="0" r="0" b="4445"/>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885"/>
                    <a:stretch>
                      <a:fillRect/>
                    </a:stretch>
                  </pic:blipFill>
                  <pic:spPr>
                    <a:xfrm>
                      <a:off x="0" y="0"/>
                      <a:ext cx="5533390" cy="2719729"/>
                    </a:xfrm>
                    <a:prstGeom prst="rect">
                      <a:avLst/>
                    </a:prstGeom>
                  </pic:spPr>
                </pic:pic>
              </a:graphicData>
            </a:graphic>
          </wp:inline>
        </w:drawing>
      </w:r>
    </w:p>
    <w:p w14:paraId="1311EC13"/>
    <w:p w14:paraId="319A562B">
      <w:pPr>
        <w:pStyle w:val="183"/>
      </w:pPr>
      <w:bookmarkStart w:id="7392" w:name="_Toc141875726"/>
      <w:r>
        <w:rPr>
          <w:rFonts w:hint="eastAsia"/>
        </w:rPr>
        <w:t>主动保护详细信息描述表</w:t>
      </w:r>
      <w:bookmarkEnd w:id="7392"/>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376"/>
        <w:gridCol w:w="6638"/>
      </w:tblGrid>
      <w:tr w14:paraId="698912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tcBorders>
              <w:tl2br w:val="nil"/>
              <w:tr2bl w:val="nil"/>
            </w:tcBorders>
            <w:shd w:val="clear" w:color="auto" w:fill="538135" w:themeFill="accent6" w:themeFillShade="BF"/>
            <w:vAlign w:val="center"/>
          </w:tcPr>
          <w:p w14:paraId="08E86B1E">
            <w:pPr>
              <w:pStyle w:val="149"/>
              <w:wordWrap/>
              <w:rPr>
                <w:b/>
                <w:bCs/>
                <w:i w:val="0"/>
                <w:iCs w:val="0"/>
              </w:rPr>
            </w:pPr>
            <w:r>
              <w:rPr>
                <w:rFonts w:hint="eastAsia"/>
                <w:b/>
                <w:bCs/>
                <w:i w:val="0"/>
                <w:iCs w:val="0"/>
              </w:rPr>
              <w:t>配置项</w:t>
            </w:r>
          </w:p>
        </w:tc>
        <w:tc>
          <w:tcPr>
            <w:tcW w:w="6638" w:type="dxa"/>
            <w:tcBorders>
              <w:tl2br w:val="nil"/>
              <w:tr2bl w:val="nil"/>
            </w:tcBorders>
            <w:shd w:val="clear" w:color="auto" w:fill="538135" w:themeFill="accent6" w:themeFillShade="BF"/>
            <w:vAlign w:val="center"/>
          </w:tcPr>
          <w:p w14:paraId="576219EA">
            <w:pPr>
              <w:pStyle w:val="149"/>
              <w:wordWrap/>
              <w:rPr>
                <w:b/>
                <w:bCs/>
                <w:i w:val="0"/>
                <w:iCs w:val="0"/>
              </w:rPr>
            </w:pPr>
            <w:r>
              <w:rPr>
                <w:rFonts w:hint="eastAsia"/>
                <w:b/>
                <w:bCs/>
                <w:i w:val="0"/>
                <w:iCs w:val="0"/>
              </w:rPr>
              <w:t>说明</w:t>
            </w:r>
          </w:p>
        </w:tc>
      </w:tr>
      <w:tr w14:paraId="3C02062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4AA338C9">
            <w:pPr>
              <w:pStyle w:val="150"/>
            </w:pPr>
            <w:r>
              <w:rPr>
                <w:rFonts w:hint="eastAsia"/>
              </w:rPr>
              <w:t>接口</w:t>
            </w:r>
          </w:p>
        </w:tc>
        <w:tc>
          <w:tcPr>
            <w:tcW w:w="6638" w:type="dxa"/>
            <w:shd w:val="clear" w:color="auto" w:fill="auto"/>
          </w:tcPr>
          <w:p w14:paraId="72C64996">
            <w:pPr>
              <w:pStyle w:val="150"/>
            </w:pPr>
            <w:r>
              <w:t>ARP</w:t>
            </w:r>
            <w:r>
              <w:rPr>
                <w:rFonts w:hint="eastAsia"/>
              </w:rPr>
              <w:t>报文发送接口</w:t>
            </w:r>
          </w:p>
        </w:tc>
      </w:tr>
      <w:tr w14:paraId="3399A5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34B2564A">
            <w:pPr>
              <w:pStyle w:val="150"/>
            </w:pPr>
            <w:r>
              <w:rPr>
                <w:rFonts w:hint="eastAsia"/>
              </w:rPr>
              <w:t>接口保护</w:t>
            </w:r>
          </w:p>
        </w:tc>
        <w:tc>
          <w:tcPr>
            <w:tcW w:w="6638" w:type="dxa"/>
            <w:shd w:val="clear" w:color="auto" w:fill="auto"/>
          </w:tcPr>
          <w:p w14:paraId="38A52C1A">
            <w:pPr>
              <w:pStyle w:val="150"/>
            </w:pPr>
            <w:r>
              <w:rPr>
                <w:rFonts w:hint="eastAsia"/>
              </w:rPr>
              <w:t>在保护列表中加入接口地址</w:t>
            </w:r>
          </w:p>
        </w:tc>
      </w:tr>
      <w:tr w14:paraId="789E70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286B56F5">
            <w:pPr>
              <w:pStyle w:val="150"/>
            </w:pPr>
            <w:r>
              <w:t>IP</w:t>
            </w:r>
            <w:r>
              <w:rPr>
                <w:rFonts w:hint="eastAsia"/>
              </w:rPr>
              <w:t>地址</w:t>
            </w:r>
            <w:r>
              <w:t>&amp;MAC</w:t>
            </w:r>
            <w:r>
              <w:rPr>
                <w:rFonts w:hint="eastAsia"/>
              </w:rPr>
              <w:t>地址</w:t>
            </w:r>
          </w:p>
        </w:tc>
        <w:tc>
          <w:tcPr>
            <w:tcW w:w="6638" w:type="dxa"/>
            <w:shd w:val="clear" w:color="auto" w:fill="auto"/>
          </w:tcPr>
          <w:p w14:paraId="38F3B61E">
            <w:pPr>
              <w:pStyle w:val="150"/>
            </w:pPr>
            <w:r>
              <w:rPr>
                <w:rFonts w:hint="eastAsia"/>
              </w:rPr>
              <w:t>广播</w:t>
            </w:r>
            <w:r>
              <w:t>ARP</w:t>
            </w:r>
            <w:r>
              <w:rPr>
                <w:rFonts w:hint="eastAsia"/>
              </w:rPr>
              <w:t>报文的</w:t>
            </w:r>
            <w:r>
              <w:t>IP</w:t>
            </w:r>
            <w:r>
              <w:rPr>
                <w:rFonts w:hint="eastAsia"/>
              </w:rPr>
              <w:t>和</w:t>
            </w:r>
            <w:r>
              <w:t>MAC</w:t>
            </w:r>
          </w:p>
        </w:tc>
      </w:tr>
    </w:tbl>
    <w:p w14:paraId="715AEC8C"/>
    <w:p w14:paraId="4831A2FB">
      <w:pPr>
        <w:pStyle w:val="6"/>
      </w:pPr>
      <w:bookmarkStart w:id="7393" w:name="_Toc58604264"/>
      <w:bookmarkStart w:id="7394" w:name="_Toc70414720"/>
      <w:bookmarkStart w:id="7395" w:name="_Toc141873787"/>
      <w:bookmarkStart w:id="7396" w:name="_Toc99561970"/>
      <w:bookmarkStart w:id="7397" w:name="_Toc142401304"/>
      <w:bookmarkStart w:id="7398" w:name="_Toc70415657"/>
      <w:bookmarkStart w:id="7399" w:name="_Toc172218580"/>
      <w:r>
        <w:rPr>
          <w:rFonts w:hint="eastAsia"/>
        </w:rPr>
        <w:t>防</w:t>
      </w:r>
      <w:r>
        <w:t>ND</w:t>
      </w:r>
      <w:r>
        <w:rPr>
          <w:rFonts w:hint="eastAsia"/>
        </w:rPr>
        <w:t>欺骗</w:t>
      </w:r>
      <w:bookmarkEnd w:id="7393"/>
      <w:bookmarkEnd w:id="7394"/>
      <w:bookmarkEnd w:id="7395"/>
      <w:bookmarkEnd w:id="7396"/>
      <w:bookmarkEnd w:id="7397"/>
      <w:bookmarkEnd w:id="7398"/>
      <w:bookmarkEnd w:id="7399"/>
    </w:p>
    <w:p w14:paraId="33465538">
      <w:r>
        <w:rPr>
          <w:rFonts w:hint="eastAsia"/>
        </w:rPr>
        <w:t>如</w:t>
      </w:r>
      <w:r>
        <w:t>下图</w:t>
      </w:r>
      <w:r>
        <w:rPr>
          <w:rFonts w:hint="eastAsia"/>
        </w:rPr>
        <w:t>所示，通过菜单“策略配置&gt;安全设置&gt;安全防护</w:t>
      </w:r>
      <w:r>
        <w:t>&gt;ARP/ND</w:t>
      </w:r>
      <w:r>
        <w:rPr>
          <w:rFonts w:hint="eastAsia"/>
        </w:rPr>
        <w:t>攻击防护</w:t>
      </w:r>
      <w:r>
        <w:t>&gt;</w:t>
      </w:r>
      <w:r>
        <w:rPr>
          <w:rFonts w:hint="eastAsia"/>
        </w:rPr>
        <w:t>防</w:t>
      </w:r>
      <w:r>
        <w:t>ND</w:t>
      </w:r>
      <w:r>
        <w:rPr>
          <w:rFonts w:hint="eastAsia"/>
        </w:rPr>
        <w:t>欺骗”使用该功能。</w:t>
      </w:r>
    </w:p>
    <w:p w14:paraId="2C401D9C">
      <w:pPr>
        <w:pStyle w:val="188"/>
      </w:pPr>
      <w:bookmarkStart w:id="7400" w:name="_Toc141875186"/>
      <w:r>
        <w:rPr>
          <w:rFonts w:hint="eastAsia"/>
        </w:rPr>
        <w:t>防</w:t>
      </w:r>
      <w:r>
        <w:t>ND</w:t>
      </w:r>
      <w:r>
        <w:rPr>
          <w:rFonts w:hint="eastAsia"/>
        </w:rPr>
        <w:t>欺骗设置页面</w:t>
      </w:r>
      <w:bookmarkEnd w:id="7400"/>
    </w:p>
    <w:p w14:paraId="32BCC277">
      <w:r>
        <w:drawing>
          <wp:inline distT="0" distB="0" distL="0" distR="0">
            <wp:extent cx="4467225" cy="2094865"/>
            <wp:effectExtent l="0" t="0" r="0" b="635"/>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886"/>
                    <a:stretch>
                      <a:fillRect/>
                    </a:stretch>
                  </pic:blipFill>
                  <pic:spPr>
                    <a:xfrm>
                      <a:off x="0" y="0"/>
                      <a:ext cx="4469893" cy="2096182"/>
                    </a:xfrm>
                    <a:prstGeom prst="rect">
                      <a:avLst/>
                    </a:prstGeom>
                  </pic:spPr>
                </pic:pic>
              </a:graphicData>
            </a:graphic>
          </wp:inline>
        </w:drawing>
      </w:r>
    </w:p>
    <w:p w14:paraId="0E7D0C13"/>
    <w:p w14:paraId="6E44FB42">
      <w:pPr>
        <w:pStyle w:val="183"/>
      </w:pPr>
      <w:bookmarkStart w:id="7401" w:name="_Toc141875727"/>
      <w:r>
        <w:rPr>
          <w:rFonts w:hint="eastAsia"/>
        </w:rPr>
        <w:t>防</w:t>
      </w:r>
      <w:r>
        <w:t>ND</w:t>
      </w:r>
      <w:r>
        <w:rPr>
          <w:rFonts w:hint="eastAsia"/>
        </w:rPr>
        <w:t>欺骗详细信息描述表</w:t>
      </w:r>
      <w:bookmarkEnd w:id="7401"/>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647"/>
        <w:gridCol w:w="7367"/>
      </w:tblGrid>
      <w:tr w14:paraId="2629405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47" w:type="dxa"/>
            <w:tcBorders>
              <w:tl2br w:val="nil"/>
              <w:tr2bl w:val="nil"/>
            </w:tcBorders>
            <w:shd w:val="clear" w:color="auto" w:fill="538135" w:themeFill="accent6" w:themeFillShade="BF"/>
            <w:vAlign w:val="center"/>
          </w:tcPr>
          <w:p w14:paraId="67680251">
            <w:pPr>
              <w:pStyle w:val="149"/>
              <w:wordWrap/>
              <w:rPr>
                <w:b/>
                <w:bCs/>
                <w:i w:val="0"/>
                <w:iCs w:val="0"/>
              </w:rPr>
            </w:pPr>
            <w:r>
              <w:rPr>
                <w:rFonts w:hint="eastAsia"/>
                <w:b/>
                <w:bCs/>
                <w:i w:val="0"/>
                <w:iCs w:val="0"/>
              </w:rPr>
              <w:t>配置项</w:t>
            </w:r>
          </w:p>
        </w:tc>
        <w:tc>
          <w:tcPr>
            <w:tcW w:w="7367" w:type="dxa"/>
            <w:tcBorders>
              <w:tl2br w:val="nil"/>
              <w:tr2bl w:val="nil"/>
            </w:tcBorders>
            <w:shd w:val="clear" w:color="auto" w:fill="538135" w:themeFill="accent6" w:themeFillShade="BF"/>
            <w:vAlign w:val="center"/>
          </w:tcPr>
          <w:p w14:paraId="1C2DDAA2">
            <w:pPr>
              <w:pStyle w:val="149"/>
              <w:wordWrap/>
              <w:rPr>
                <w:b/>
                <w:bCs/>
                <w:i w:val="0"/>
                <w:iCs w:val="0"/>
              </w:rPr>
            </w:pPr>
            <w:r>
              <w:rPr>
                <w:rFonts w:hint="eastAsia"/>
                <w:b/>
                <w:bCs/>
                <w:i w:val="0"/>
                <w:iCs w:val="0"/>
              </w:rPr>
              <w:t>说明</w:t>
            </w:r>
          </w:p>
        </w:tc>
      </w:tr>
      <w:tr w14:paraId="29705F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47" w:type="dxa"/>
            <w:shd w:val="clear" w:color="auto" w:fill="auto"/>
          </w:tcPr>
          <w:p w14:paraId="1795E1A9">
            <w:pPr>
              <w:pStyle w:val="150"/>
            </w:pPr>
            <w:r>
              <w:rPr>
                <w:rFonts w:hint="eastAsia"/>
              </w:rPr>
              <w:t>关闭</w:t>
            </w:r>
            <w:r>
              <w:t>ND</w:t>
            </w:r>
            <w:r>
              <w:rPr>
                <w:rFonts w:hint="eastAsia"/>
              </w:rPr>
              <w:t>学习</w:t>
            </w:r>
          </w:p>
        </w:tc>
        <w:tc>
          <w:tcPr>
            <w:tcW w:w="7367" w:type="dxa"/>
            <w:shd w:val="clear" w:color="auto" w:fill="auto"/>
          </w:tcPr>
          <w:p w14:paraId="6BFECFA2">
            <w:pPr>
              <w:pStyle w:val="150"/>
            </w:pPr>
            <w:r>
              <w:rPr>
                <w:rFonts w:hint="eastAsia"/>
              </w:rPr>
              <w:t>缺省情况下启用</w:t>
            </w:r>
            <w:r>
              <w:t>ND</w:t>
            </w:r>
            <w:r>
              <w:rPr>
                <w:rFonts w:hint="eastAsia"/>
              </w:rPr>
              <w:t>学习，关闭后只要是不匹配</w:t>
            </w:r>
            <w:r>
              <w:t>IP-MAC</w:t>
            </w:r>
            <w:r>
              <w:rPr>
                <w:rFonts w:hint="eastAsia"/>
              </w:rPr>
              <w:t>绑定表的报文都将被丢弃</w:t>
            </w:r>
          </w:p>
        </w:tc>
      </w:tr>
      <w:tr w14:paraId="1E6B6F9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47" w:type="dxa"/>
            <w:shd w:val="clear" w:color="auto" w:fill="auto"/>
          </w:tcPr>
          <w:p w14:paraId="5707EADF">
            <w:pPr>
              <w:pStyle w:val="150"/>
            </w:pPr>
            <w:r>
              <w:rPr>
                <w:rFonts w:hint="eastAsia"/>
              </w:rPr>
              <w:t>N</w:t>
            </w:r>
            <w:r>
              <w:t>D</w:t>
            </w:r>
            <w:r>
              <w:rPr>
                <w:rFonts w:hint="eastAsia"/>
              </w:rPr>
              <w:t>反向</w:t>
            </w:r>
            <w:r>
              <w:t>查询</w:t>
            </w:r>
          </w:p>
        </w:tc>
        <w:tc>
          <w:tcPr>
            <w:tcW w:w="7367" w:type="dxa"/>
            <w:shd w:val="clear" w:color="auto" w:fill="auto"/>
          </w:tcPr>
          <w:p w14:paraId="65CA56A9">
            <w:pPr>
              <w:pStyle w:val="150"/>
            </w:pPr>
            <w:r>
              <w:rPr>
                <w:rFonts w:hint="eastAsia"/>
              </w:rPr>
              <w:t>点选启用或者不启用</w:t>
            </w:r>
            <w:r>
              <w:t>ND反向查询功能</w:t>
            </w:r>
          </w:p>
        </w:tc>
      </w:tr>
      <w:tr w14:paraId="4BCB5F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47" w:type="dxa"/>
            <w:shd w:val="clear" w:color="auto" w:fill="auto"/>
          </w:tcPr>
          <w:p w14:paraId="1AA466F8">
            <w:pPr>
              <w:pStyle w:val="150"/>
            </w:pPr>
            <w:r>
              <w:rPr>
                <w:rFonts w:hint="eastAsia"/>
              </w:rPr>
              <w:t>IP地址数</w:t>
            </w:r>
            <w:r>
              <w:t>检查</w:t>
            </w:r>
          </w:p>
        </w:tc>
        <w:tc>
          <w:tcPr>
            <w:tcW w:w="7367" w:type="dxa"/>
            <w:shd w:val="clear" w:color="auto" w:fill="auto"/>
          </w:tcPr>
          <w:p w14:paraId="300F08A5">
            <w:pPr>
              <w:pStyle w:val="150"/>
            </w:pPr>
            <w:r>
              <w:rPr>
                <w:rFonts w:hint="eastAsia"/>
              </w:rPr>
              <w:t>每个</w:t>
            </w:r>
            <w:r>
              <w:t>MAC</w:t>
            </w:r>
            <w:r>
              <w:rPr>
                <w:rFonts w:hint="eastAsia"/>
              </w:rPr>
              <w:t>对应的</w:t>
            </w:r>
            <w:r>
              <w:t>IP地址的最大值</w:t>
            </w:r>
            <w:r>
              <w:rPr>
                <w:rFonts w:hint="eastAsia"/>
              </w:rPr>
              <w:t>，</w:t>
            </w:r>
            <w:r>
              <w:t>参数为</w:t>
            </w:r>
            <w:r>
              <w:rPr>
                <w:rFonts w:hint="eastAsia"/>
              </w:rPr>
              <w:t>0不检查</w:t>
            </w:r>
            <w:r>
              <w:t>，</w:t>
            </w:r>
            <w:r>
              <w:rPr>
                <w:rFonts w:hint="eastAsia"/>
              </w:rPr>
              <w:t>如果</w:t>
            </w:r>
            <w:r>
              <w:t>mac地址对应的IP地址数量多于设定值则产生告警</w:t>
            </w:r>
          </w:p>
        </w:tc>
      </w:tr>
      <w:tr w14:paraId="5450CA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47" w:type="dxa"/>
            <w:shd w:val="clear" w:color="auto" w:fill="auto"/>
          </w:tcPr>
          <w:p w14:paraId="541CCA15">
            <w:pPr>
              <w:pStyle w:val="150"/>
            </w:pPr>
            <w:r>
              <w:rPr>
                <w:rFonts w:hint="eastAsia"/>
              </w:rPr>
              <w:t>主动保护</w:t>
            </w:r>
          </w:p>
        </w:tc>
        <w:tc>
          <w:tcPr>
            <w:tcW w:w="7367" w:type="dxa"/>
            <w:shd w:val="clear" w:color="auto" w:fill="auto"/>
          </w:tcPr>
          <w:p w14:paraId="6F81741F">
            <w:pPr>
              <w:pStyle w:val="150"/>
            </w:pPr>
            <w:r>
              <w:rPr>
                <w:rFonts w:hint="eastAsia"/>
              </w:rPr>
              <w:t>点选启用主动保护发包功能，每隔一定时间间隔发送一次主动保护列表上的免费</w:t>
            </w:r>
            <w:r>
              <w:t>ARP</w:t>
            </w:r>
            <w:r>
              <w:rPr>
                <w:rFonts w:hint="eastAsia"/>
              </w:rPr>
              <w:t>报文</w:t>
            </w:r>
          </w:p>
        </w:tc>
      </w:tr>
      <w:tr w14:paraId="42E40E7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47" w:type="dxa"/>
            <w:shd w:val="clear" w:color="auto" w:fill="auto"/>
          </w:tcPr>
          <w:p w14:paraId="3A64AAF1">
            <w:pPr>
              <w:pStyle w:val="150"/>
            </w:pPr>
            <w:r>
              <w:rPr>
                <w:rFonts w:hint="eastAsia"/>
              </w:rPr>
              <w:t>时间间隔</w:t>
            </w:r>
          </w:p>
        </w:tc>
        <w:tc>
          <w:tcPr>
            <w:tcW w:w="7367" w:type="dxa"/>
            <w:shd w:val="clear" w:color="auto" w:fill="auto"/>
          </w:tcPr>
          <w:p w14:paraId="42FEC54E">
            <w:pPr>
              <w:pStyle w:val="150"/>
            </w:pPr>
            <w:r>
              <w:rPr>
                <w:rFonts w:hint="eastAsia"/>
              </w:rPr>
              <w:t>发送主动保护列表上的</w:t>
            </w:r>
            <w:r>
              <w:t>ND</w:t>
            </w:r>
            <w:r>
              <w:rPr>
                <w:rFonts w:hint="eastAsia"/>
              </w:rPr>
              <w:t>时间间隔，缺省配置为</w:t>
            </w:r>
            <w:r>
              <w:t>1</w:t>
            </w:r>
            <w:r>
              <w:rPr>
                <w:rFonts w:hint="eastAsia"/>
              </w:rPr>
              <w:t>秒</w:t>
            </w:r>
          </w:p>
        </w:tc>
      </w:tr>
    </w:tbl>
    <w:p w14:paraId="420AB501"/>
    <w:p w14:paraId="2FCECACB">
      <w:r>
        <w:rPr>
          <w:rFonts w:hint="eastAsia"/>
        </w:rPr>
        <w:t>在防</w:t>
      </w:r>
      <w:r>
        <w:t>ND</w:t>
      </w:r>
      <w:r>
        <w:rPr>
          <w:rFonts w:hint="eastAsia"/>
        </w:rPr>
        <w:t>欺骗设置页面中，选择主动保护列表下的</w:t>
      </w:r>
      <w:r>
        <w:t>&lt;</w:t>
      </w:r>
      <w:r>
        <w:rPr>
          <w:rFonts w:hint="eastAsia"/>
        </w:rPr>
        <w:t>新建</w:t>
      </w:r>
      <w:r>
        <w:t>&gt;</w:t>
      </w:r>
      <w:r>
        <w:rPr>
          <w:rFonts w:hint="eastAsia"/>
        </w:rPr>
        <w:t>按钮，将弹出如下页面。</w:t>
      </w:r>
    </w:p>
    <w:p w14:paraId="2B46A903">
      <w:pPr>
        <w:pStyle w:val="188"/>
      </w:pPr>
      <w:bookmarkStart w:id="7402" w:name="_Toc141875187"/>
      <w:r>
        <w:rPr>
          <w:rFonts w:hint="eastAsia"/>
        </w:rPr>
        <w:t>主动保护列表页面</w:t>
      </w:r>
      <w:bookmarkEnd w:id="7402"/>
    </w:p>
    <w:p w14:paraId="50CE94B5">
      <w:r>
        <w:drawing>
          <wp:inline distT="0" distB="0" distL="0" distR="0">
            <wp:extent cx="5533390" cy="2717165"/>
            <wp:effectExtent l="0" t="0" r="0" b="6985"/>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887"/>
                    <a:stretch>
                      <a:fillRect/>
                    </a:stretch>
                  </pic:blipFill>
                  <pic:spPr>
                    <a:xfrm>
                      <a:off x="0" y="0"/>
                      <a:ext cx="5533390" cy="2717290"/>
                    </a:xfrm>
                    <a:prstGeom prst="rect">
                      <a:avLst/>
                    </a:prstGeom>
                  </pic:spPr>
                </pic:pic>
              </a:graphicData>
            </a:graphic>
          </wp:inline>
        </w:drawing>
      </w:r>
    </w:p>
    <w:p w14:paraId="202BBB92"/>
    <w:p w14:paraId="48C7A562">
      <w:pPr>
        <w:pStyle w:val="183"/>
      </w:pPr>
      <w:bookmarkStart w:id="7403" w:name="_Toc141875728"/>
      <w:r>
        <w:rPr>
          <w:rFonts w:hint="eastAsia"/>
        </w:rPr>
        <w:t>主动保护详细信息描述表</w:t>
      </w:r>
      <w:bookmarkEnd w:id="7403"/>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235"/>
        <w:gridCol w:w="6779"/>
      </w:tblGrid>
      <w:tr w14:paraId="095B88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235" w:type="dxa"/>
            <w:tcBorders>
              <w:tl2br w:val="nil"/>
              <w:tr2bl w:val="nil"/>
            </w:tcBorders>
            <w:shd w:val="clear" w:color="auto" w:fill="538135" w:themeFill="accent6" w:themeFillShade="BF"/>
            <w:vAlign w:val="center"/>
          </w:tcPr>
          <w:p w14:paraId="2E20762C">
            <w:pPr>
              <w:pStyle w:val="149"/>
              <w:wordWrap/>
              <w:rPr>
                <w:b/>
                <w:bCs/>
                <w:i w:val="0"/>
                <w:iCs w:val="0"/>
              </w:rPr>
            </w:pPr>
            <w:r>
              <w:rPr>
                <w:rFonts w:hint="eastAsia"/>
                <w:b/>
                <w:bCs/>
                <w:i w:val="0"/>
                <w:iCs w:val="0"/>
              </w:rPr>
              <w:t>配置项</w:t>
            </w:r>
          </w:p>
        </w:tc>
        <w:tc>
          <w:tcPr>
            <w:tcW w:w="6779" w:type="dxa"/>
            <w:tcBorders>
              <w:tl2br w:val="nil"/>
              <w:tr2bl w:val="nil"/>
            </w:tcBorders>
            <w:shd w:val="clear" w:color="auto" w:fill="538135" w:themeFill="accent6" w:themeFillShade="BF"/>
            <w:vAlign w:val="center"/>
          </w:tcPr>
          <w:p w14:paraId="2E623A18">
            <w:pPr>
              <w:pStyle w:val="149"/>
              <w:wordWrap/>
              <w:rPr>
                <w:b/>
                <w:bCs/>
                <w:i w:val="0"/>
                <w:iCs w:val="0"/>
              </w:rPr>
            </w:pPr>
            <w:r>
              <w:rPr>
                <w:rFonts w:hint="eastAsia"/>
                <w:b/>
                <w:bCs/>
                <w:i w:val="0"/>
                <w:iCs w:val="0"/>
              </w:rPr>
              <w:t>说明</w:t>
            </w:r>
          </w:p>
        </w:tc>
      </w:tr>
      <w:tr w14:paraId="366165F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235" w:type="dxa"/>
            <w:shd w:val="clear" w:color="auto" w:fill="auto"/>
          </w:tcPr>
          <w:p w14:paraId="179D0C41">
            <w:pPr>
              <w:pStyle w:val="150"/>
            </w:pPr>
            <w:r>
              <w:rPr>
                <w:rFonts w:hint="eastAsia"/>
              </w:rPr>
              <w:t>接口</w:t>
            </w:r>
          </w:p>
        </w:tc>
        <w:tc>
          <w:tcPr>
            <w:tcW w:w="6779" w:type="dxa"/>
            <w:shd w:val="clear" w:color="auto" w:fill="auto"/>
          </w:tcPr>
          <w:p w14:paraId="7EEBC7EA">
            <w:pPr>
              <w:pStyle w:val="150"/>
            </w:pPr>
            <w:r>
              <w:t>ND</w:t>
            </w:r>
            <w:r>
              <w:rPr>
                <w:rFonts w:hint="eastAsia"/>
              </w:rPr>
              <w:t>报文发送接口</w:t>
            </w:r>
          </w:p>
        </w:tc>
      </w:tr>
      <w:tr w14:paraId="19A75C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235" w:type="dxa"/>
            <w:shd w:val="clear" w:color="auto" w:fill="auto"/>
          </w:tcPr>
          <w:p w14:paraId="5191048D">
            <w:pPr>
              <w:pStyle w:val="150"/>
            </w:pPr>
            <w:r>
              <w:rPr>
                <w:rFonts w:hint="eastAsia"/>
              </w:rPr>
              <w:t>接口保护</w:t>
            </w:r>
          </w:p>
        </w:tc>
        <w:tc>
          <w:tcPr>
            <w:tcW w:w="6779" w:type="dxa"/>
            <w:shd w:val="clear" w:color="auto" w:fill="auto"/>
          </w:tcPr>
          <w:p w14:paraId="436876EE">
            <w:pPr>
              <w:pStyle w:val="150"/>
            </w:pPr>
            <w:r>
              <w:rPr>
                <w:rFonts w:hint="eastAsia"/>
              </w:rPr>
              <w:t>在保护列表中加入接口地址</w:t>
            </w:r>
          </w:p>
        </w:tc>
      </w:tr>
      <w:tr w14:paraId="4F3EC0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235" w:type="dxa"/>
            <w:shd w:val="clear" w:color="auto" w:fill="auto"/>
          </w:tcPr>
          <w:p w14:paraId="44A3FEF5">
            <w:pPr>
              <w:pStyle w:val="150"/>
            </w:pPr>
            <w:r>
              <w:t>IP</w:t>
            </w:r>
            <w:r>
              <w:rPr>
                <w:rFonts w:hint="eastAsia"/>
              </w:rPr>
              <w:t>地址</w:t>
            </w:r>
            <w:r>
              <w:t>&amp;MAC</w:t>
            </w:r>
            <w:r>
              <w:rPr>
                <w:rFonts w:hint="eastAsia"/>
              </w:rPr>
              <w:t>地址</w:t>
            </w:r>
          </w:p>
        </w:tc>
        <w:tc>
          <w:tcPr>
            <w:tcW w:w="6779" w:type="dxa"/>
            <w:shd w:val="clear" w:color="auto" w:fill="auto"/>
          </w:tcPr>
          <w:p w14:paraId="6278CC34">
            <w:pPr>
              <w:pStyle w:val="150"/>
            </w:pPr>
            <w:r>
              <w:rPr>
                <w:rFonts w:hint="eastAsia"/>
              </w:rPr>
              <w:t>ND报文的</w:t>
            </w:r>
            <w:r>
              <w:t>IP</w:t>
            </w:r>
            <w:r>
              <w:rPr>
                <w:rFonts w:hint="eastAsia"/>
              </w:rPr>
              <w:t>和</w:t>
            </w:r>
            <w:r>
              <w:t>MAC</w:t>
            </w:r>
          </w:p>
        </w:tc>
      </w:tr>
    </w:tbl>
    <w:p w14:paraId="356BF7FF"/>
    <w:p w14:paraId="0A15B108">
      <w:pPr>
        <w:pStyle w:val="6"/>
      </w:pPr>
      <w:bookmarkStart w:id="7404" w:name="_Toc142401305"/>
      <w:bookmarkStart w:id="7405" w:name="_Toc141873788"/>
      <w:bookmarkStart w:id="7406" w:name="_Toc172218581"/>
      <w:r>
        <w:rPr>
          <w:rFonts w:hint="eastAsia"/>
        </w:rPr>
        <w:t>ARP表</w:t>
      </w:r>
      <w:bookmarkEnd w:id="7384"/>
      <w:bookmarkEnd w:id="7385"/>
      <w:bookmarkEnd w:id="7386"/>
      <w:bookmarkEnd w:id="7387"/>
      <w:bookmarkEnd w:id="7404"/>
      <w:bookmarkEnd w:id="7405"/>
      <w:bookmarkEnd w:id="7406"/>
    </w:p>
    <w:p w14:paraId="7D3526A4">
      <w:pPr>
        <w:pStyle w:val="202"/>
        <w:rPr>
          <w:lang w:eastAsia="zh-CN"/>
        </w:rPr>
      </w:pPr>
      <w:r>
        <w:rPr>
          <w:rFonts w:hint="eastAsia"/>
          <w:lang w:eastAsia="zh-CN"/>
        </w:rPr>
        <w:t>通过菜单“策略配置 &gt; 安全设置 &gt; 安全防护 &gt; ARP/ND防护</w:t>
      </w:r>
      <w:r>
        <w:rPr>
          <w:lang w:eastAsia="zh-CN"/>
        </w:rPr>
        <w:t xml:space="preserve"> &gt; ARP</w:t>
      </w:r>
      <w:r>
        <w:rPr>
          <w:rFonts w:hint="eastAsia"/>
          <w:lang w:eastAsia="zh-CN"/>
        </w:rPr>
        <w:t>表”进入</w:t>
      </w:r>
      <w:r>
        <w:rPr>
          <w:lang w:eastAsia="zh-CN"/>
        </w:rPr>
        <w:t>ARP</w:t>
      </w:r>
      <w:r>
        <w:rPr>
          <w:rFonts w:hint="eastAsia"/>
          <w:lang w:eastAsia="zh-CN"/>
        </w:rPr>
        <w:t>表显示界面，如下图所示。</w:t>
      </w:r>
    </w:p>
    <w:p w14:paraId="7B185E41">
      <w:pPr>
        <w:pStyle w:val="188"/>
      </w:pPr>
      <w:bookmarkStart w:id="7407" w:name="_Toc141875188"/>
      <w:r>
        <w:rPr>
          <w:rFonts w:hint="eastAsia"/>
        </w:rPr>
        <w:t>ARP表项显示</w:t>
      </w:r>
      <w:bookmarkEnd w:id="7407"/>
    </w:p>
    <w:p w14:paraId="70E4ED67">
      <w:r>
        <w:drawing>
          <wp:inline distT="0" distB="0" distL="0" distR="0">
            <wp:extent cx="5400040" cy="1765935"/>
            <wp:effectExtent l="0" t="0" r="0" b="5715"/>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888"/>
                    <a:stretch>
                      <a:fillRect/>
                    </a:stretch>
                  </pic:blipFill>
                  <pic:spPr>
                    <a:xfrm>
                      <a:off x="0" y="0"/>
                      <a:ext cx="5400040" cy="1765935"/>
                    </a:xfrm>
                    <a:prstGeom prst="rect">
                      <a:avLst/>
                    </a:prstGeom>
                  </pic:spPr>
                </pic:pic>
              </a:graphicData>
            </a:graphic>
          </wp:inline>
        </w:drawing>
      </w:r>
    </w:p>
    <w:p w14:paraId="19748A1F">
      <w:pPr>
        <w:pStyle w:val="202"/>
      </w:pPr>
      <w:r>
        <w:rPr>
          <w:rFonts w:hint="eastAsia"/>
        </w:rPr>
        <w:t>创建IP-MAC绑定</w:t>
      </w:r>
    </w:p>
    <w:p w14:paraId="26E38AEC">
      <w:r>
        <w:rPr>
          <w:rFonts w:hint="eastAsia"/>
        </w:rPr>
        <w:t>勾选一个条目并点击&lt;IP-MAC绑定&gt;或在操作列下点击</w:t>
      </w:r>
      <w:r>
        <w:drawing>
          <wp:inline distT="0" distB="0" distL="0" distR="0">
            <wp:extent cx="189865" cy="142240"/>
            <wp:effectExtent l="0" t="0" r="635" b="0"/>
            <wp:docPr id="4984" name="图片 4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4" name="图片 4984"/>
                    <pic:cNvPicPr>
                      <a:picLocks noChangeAspect="1"/>
                    </pic:cNvPicPr>
                  </pic:nvPicPr>
                  <pic:blipFill>
                    <a:blip r:embed="rId889"/>
                    <a:stretch>
                      <a:fillRect/>
                    </a:stretch>
                  </pic:blipFill>
                  <pic:spPr>
                    <a:xfrm>
                      <a:off x="0" y="0"/>
                      <a:ext cx="190476" cy="142857"/>
                    </a:xfrm>
                    <a:prstGeom prst="rect">
                      <a:avLst/>
                    </a:prstGeom>
                  </pic:spPr>
                </pic:pic>
              </a:graphicData>
            </a:graphic>
          </wp:inline>
        </w:drawing>
      </w:r>
      <w:r>
        <w:rPr>
          <w:rFonts w:hint="eastAsia"/>
        </w:rPr>
        <w:t>图标，可将指定的条目创建IP-MAC绑定；如</w:t>
      </w:r>
      <w:r>
        <w:fldChar w:fldCharType="begin"/>
      </w:r>
      <w:r>
        <w:instrText xml:space="preserve"> </w:instrText>
      </w:r>
      <w:r>
        <w:rPr>
          <w:rFonts w:hint="eastAsia"/>
        </w:rPr>
        <w:instrText xml:space="preserve">REF _Ref96093860 \r \h</w:instrText>
      </w:r>
      <w:r>
        <w:instrText xml:space="preserve"> </w:instrText>
      </w:r>
      <w:r>
        <w:fldChar w:fldCharType="separate"/>
      </w:r>
      <w:r>
        <w:rPr>
          <w:rFonts w:hint="eastAsia"/>
        </w:rPr>
        <w:t>图29-27</w:t>
      </w:r>
      <w:r>
        <w:fldChar w:fldCharType="end"/>
      </w:r>
      <w:r>
        <w:t>所示</w:t>
      </w:r>
      <w:r>
        <w:rPr>
          <w:rFonts w:hint="eastAsia"/>
        </w:rPr>
        <w:t>；点击&lt;一键绑定&gt;对所有条目创建IP-MAC绑定。</w:t>
      </w:r>
    </w:p>
    <w:p w14:paraId="02555A67">
      <w:pPr>
        <w:pStyle w:val="188"/>
      </w:pPr>
      <w:bookmarkStart w:id="7408" w:name="_Ref96093860"/>
      <w:r>
        <w:rPr>
          <w:rFonts w:hint="eastAsia"/>
        </w:rPr>
        <w:t>创建IP-MAC绑定</w:t>
      </w:r>
      <w:bookmarkEnd w:id="7408"/>
    </w:p>
    <w:p w14:paraId="1F79CCA7">
      <w:pPr>
        <w:pStyle w:val="175"/>
      </w:pPr>
      <w:r>
        <w:drawing>
          <wp:inline distT="0" distB="0" distL="0" distR="0">
            <wp:extent cx="6120765" cy="1018540"/>
            <wp:effectExtent l="0" t="0" r="0" b="0"/>
            <wp:docPr id="4985" name="图片 4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5" name="图片 4985"/>
                    <pic:cNvPicPr>
                      <a:picLocks noChangeAspect="1"/>
                    </pic:cNvPicPr>
                  </pic:nvPicPr>
                  <pic:blipFill>
                    <a:blip r:embed="rId890"/>
                    <a:stretch>
                      <a:fillRect/>
                    </a:stretch>
                  </pic:blipFill>
                  <pic:spPr>
                    <a:xfrm>
                      <a:off x="0" y="0"/>
                      <a:ext cx="6120765" cy="1018540"/>
                    </a:xfrm>
                    <a:prstGeom prst="rect">
                      <a:avLst/>
                    </a:prstGeom>
                  </pic:spPr>
                </pic:pic>
              </a:graphicData>
            </a:graphic>
          </wp:inline>
        </w:drawing>
      </w:r>
    </w:p>
    <w:p w14:paraId="1EACF518">
      <w:pPr>
        <w:pStyle w:val="202"/>
      </w:pPr>
      <w:r>
        <w:rPr>
          <w:rFonts w:hint="eastAsia"/>
        </w:rPr>
        <w:t>新增静态ARP</w:t>
      </w:r>
    </w:p>
    <w:p w14:paraId="6C435CB4">
      <w:r>
        <w:rPr>
          <w:rFonts w:hint="eastAsia"/>
        </w:rPr>
        <w:t>点击&lt;新增静态ARP&gt;，可以手动添加静态ARP信息，如</w:t>
      </w:r>
      <w:r>
        <w:fldChar w:fldCharType="begin"/>
      </w:r>
      <w:r>
        <w:instrText xml:space="preserve"> </w:instrText>
      </w:r>
      <w:r>
        <w:rPr>
          <w:rFonts w:hint="eastAsia"/>
        </w:rPr>
        <w:instrText xml:space="preserve">REF _Ref96099296 \r \h</w:instrText>
      </w:r>
      <w:r>
        <w:instrText xml:space="preserve"> </w:instrText>
      </w:r>
      <w:r>
        <w:fldChar w:fldCharType="separate"/>
      </w:r>
      <w:r>
        <w:rPr>
          <w:rFonts w:hint="eastAsia"/>
        </w:rPr>
        <w:t>图29-28</w:t>
      </w:r>
      <w:r>
        <w:fldChar w:fldCharType="end"/>
      </w:r>
      <w:r>
        <w:t>所示</w:t>
      </w:r>
      <w:r>
        <w:rPr>
          <w:rFonts w:hint="eastAsia"/>
        </w:rPr>
        <w:t>。静态ARP是不受ARP老化机制的影响。</w:t>
      </w:r>
    </w:p>
    <w:p w14:paraId="6F484E10">
      <w:pPr>
        <w:pStyle w:val="188"/>
      </w:pPr>
      <w:bookmarkStart w:id="7409" w:name="_Ref96099296"/>
      <w:bookmarkStart w:id="7410" w:name="_Toc141875189"/>
      <w:r>
        <w:rPr>
          <w:rFonts w:hint="eastAsia"/>
        </w:rPr>
        <w:t>新增静态ARP</w:t>
      </w:r>
      <w:bookmarkEnd w:id="7409"/>
      <w:bookmarkEnd w:id="7410"/>
    </w:p>
    <w:p w14:paraId="43E7B293">
      <w:pPr>
        <w:spacing w:before="78" w:after="78"/>
      </w:pPr>
      <w:r>
        <w:drawing>
          <wp:inline distT="0" distB="0" distL="0" distR="0">
            <wp:extent cx="3333750" cy="2325370"/>
            <wp:effectExtent l="0" t="0" r="0" b="0"/>
            <wp:docPr id="4986" name="图片 4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6" name="图片 4986"/>
                    <pic:cNvPicPr>
                      <a:picLocks noChangeAspect="1"/>
                    </pic:cNvPicPr>
                  </pic:nvPicPr>
                  <pic:blipFill>
                    <a:blip r:embed="rId891"/>
                    <a:stretch>
                      <a:fillRect/>
                    </a:stretch>
                  </pic:blipFill>
                  <pic:spPr>
                    <a:xfrm>
                      <a:off x="0" y="0"/>
                      <a:ext cx="3337703" cy="2328250"/>
                    </a:xfrm>
                    <a:prstGeom prst="rect">
                      <a:avLst/>
                    </a:prstGeom>
                  </pic:spPr>
                </pic:pic>
              </a:graphicData>
            </a:graphic>
          </wp:inline>
        </w:drawing>
      </w:r>
    </w:p>
    <w:p w14:paraId="2ABA877F">
      <w:r>
        <w:rPr>
          <w:rFonts w:hint="eastAsia"/>
        </w:rPr>
        <w:t>详细配置请参见下表。</w:t>
      </w:r>
    </w:p>
    <w:p w14:paraId="50ECE1A9">
      <w:pPr>
        <w:pStyle w:val="183"/>
      </w:pPr>
      <w:bookmarkStart w:id="7411" w:name="_Toc141875729"/>
      <w:r>
        <w:t>新增静态ARP</w:t>
      </w:r>
      <w:r>
        <w:rPr>
          <w:rFonts w:hint="eastAsia"/>
        </w:rPr>
        <w:t>详细配置描述表</w:t>
      </w:r>
      <w:bookmarkEnd w:id="7411"/>
    </w:p>
    <w:tbl>
      <w:tblPr>
        <w:tblStyle w:val="173"/>
        <w:tblW w:w="0" w:type="auto"/>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189"/>
        <w:gridCol w:w="7053"/>
      </w:tblGrid>
      <w:tr w14:paraId="1BFBDD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blHeader/>
        </w:trPr>
        <w:tc>
          <w:tcPr>
            <w:tcW w:w="2263" w:type="dxa"/>
            <w:tcBorders>
              <w:tl2br w:val="nil"/>
              <w:tr2bl w:val="nil"/>
            </w:tcBorders>
            <w:shd w:val="clear" w:color="auto" w:fill="538135" w:themeFill="accent6" w:themeFillShade="BF"/>
            <w:vAlign w:val="center"/>
          </w:tcPr>
          <w:p w14:paraId="2A99F806">
            <w:pPr>
              <w:pStyle w:val="149"/>
              <w:wordWrap/>
              <w:rPr>
                <w:b/>
                <w:bCs/>
                <w:i w:val="0"/>
                <w:iCs w:val="0"/>
              </w:rPr>
            </w:pPr>
            <w:r>
              <w:rPr>
                <w:rFonts w:hint="eastAsia"/>
                <w:b/>
                <w:bCs/>
                <w:i w:val="0"/>
                <w:iCs w:val="0"/>
              </w:rPr>
              <w:t>配置项</w:t>
            </w:r>
          </w:p>
        </w:tc>
        <w:tc>
          <w:tcPr>
            <w:tcW w:w="7365" w:type="dxa"/>
            <w:tcBorders>
              <w:tl2br w:val="nil"/>
              <w:tr2bl w:val="nil"/>
            </w:tcBorders>
            <w:shd w:val="clear" w:color="auto" w:fill="538135" w:themeFill="accent6" w:themeFillShade="BF"/>
            <w:vAlign w:val="center"/>
          </w:tcPr>
          <w:p w14:paraId="6FCCB9AC">
            <w:pPr>
              <w:pStyle w:val="149"/>
              <w:wordWrap/>
              <w:rPr>
                <w:b/>
                <w:bCs/>
                <w:i w:val="0"/>
                <w:iCs w:val="0"/>
              </w:rPr>
            </w:pPr>
            <w:r>
              <w:rPr>
                <w:rFonts w:hint="eastAsia"/>
                <w:b/>
                <w:bCs/>
                <w:i w:val="0"/>
                <w:iCs w:val="0"/>
              </w:rPr>
              <w:t>说明</w:t>
            </w:r>
          </w:p>
        </w:tc>
      </w:tr>
      <w:tr w14:paraId="3E6C5F3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263" w:type="dxa"/>
            <w:shd w:val="clear" w:color="auto" w:fill="auto"/>
          </w:tcPr>
          <w:p w14:paraId="287B5428">
            <w:pPr>
              <w:pStyle w:val="150"/>
            </w:pPr>
            <w:r>
              <w:rPr>
                <w:rFonts w:hint="eastAsia"/>
              </w:rPr>
              <w:t>IP地址</w:t>
            </w:r>
          </w:p>
        </w:tc>
        <w:tc>
          <w:tcPr>
            <w:tcW w:w="7365" w:type="dxa"/>
            <w:shd w:val="clear" w:color="auto" w:fill="auto"/>
          </w:tcPr>
          <w:p w14:paraId="1E585973">
            <w:pPr>
              <w:pStyle w:val="150"/>
            </w:pPr>
            <w:r>
              <w:rPr>
                <w:rFonts w:hint="eastAsia"/>
              </w:rPr>
              <w:t>静态ARP的IP地址，只支持IPv4地址。</w:t>
            </w:r>
          </w:p>
        </w:tc>
      </w:tr>
      <w:tr w14:paraId="148121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263" w:type="dxa"/>
            <w:shd w:val="clear" w:color="auto" w:fill="auto"/>
          </w:tcPr>
          <w:p w14:paraId="5E8E14BA">
            <w:pPr>
              <w:pStyle w:val="150"/>
            </w:pPr>
            <w:r>
              <w:rPr>
                <w:rFonts w:hint="eastAsia"/>
              </w:rPr>
              <w:t>自动获取MAC地址</w:t>
            </w:r>
          </w:p>
        </w:tc>
        <w:tc>
          <w:tcPr>
            <w:tcW w:w="7365" w:type="dxa"/>
            <w:shd w:val="clear" w:color="auto" w:fill="auto"/>
          </w:tcPr>
          <w:p w14:paraId="0BBE098D">
            <w:pPr>
              <w:pStyle w:val="150"/>
            </w:pPr>
            <w:r>
              <w:rPr>
                <w:rFonts w:hint="eastAsia"/>
              </w:rPr>
              <w:t>点击&lt;自动获取</w:t>
            </w:r>
            <w:r>
              <w:t>MAC</w:t>
            </w:r>
            <w:r>
              <w:rPr>
                <w:rFonts w:hint="eastAsia"/>
              </w:rPr>
              <w:t>地址</w:t>
            </w:r>
            <w:r>
              <w:t>&gt;</w:t>
            </w:r>
            <w:r>
              <w:rPr>
                <w:rFonts w:hint="eastAsia"/>
              </w:rPr>
              <w:t>，系统根据所填IP地址自动学习到MAC地址。</w:t>
            </w:r>
          </w:p>
        </w:tc>
      </w:tr>
      <w:tr w14:paraId="12CDBA3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263" w:type="dxa"/>
            <w:shd w:val="clear" w:color="auto" w:fill="auto"/>
          </w:tcPr>
          <w:p w14:paraId="38FD0B9A">
            <w:pPr>
              <w:pStyle w:val="150"/>
            </w:pPr>
            <w:r>
              <w:rPr>
                <w:rFonts w:hint="eastAsia"/>
              </w:rPr>
              <w:t>MAC地址</w:t>
            </w:r>
          </w:p>
        </w:tc>
        <w:tc>
          <w:tcPr>
            <w:tcW w:w="7365" w:type="dxa"/>
            <w:shd w:val="clear" w:color="auto" w:fill="auto"/>
          </w:tcPr>
          <w:p w14:paraId="5EB2F77F">
            <w:pPr>
              <w:pStyle w:val="150"/>
            </w:pPr>
            <w:r>
              <w:rPr>
                <w:rFonts w:hint="eastAsia"/>
              </w:rPr>
              <w:t>Mac地址必须是单播地址。</w:t>
            </w:r>
          </w:p>
        </w:tc>
      </w:tr>
      <w:tr w14:paraId="7724CBA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263" w:type="dxa"/>
            <w:shd w:val="clear" w:color="auto" w:fill="auto"/>
          </w:tcPr>
          <w:p w14:paraId="796D020D">
            <w:pPr>
              <w:pStyle w:val="150"/>
            </w:pPr>
            <w:r>
              <w:rPr>
                <w:rFonts w:hint="eastAsia"/>
              </w:rPr>
              <w:t>接口</w:t>
            </w:r>
          </w:p>
        </w:tc>
        <w:tc>
          <w:tcPr>
            <w:tcW w:w="7365" w:type="dxa"/>
            <w:shd w:val="clear" w:color="auto" w:fill="auto"/>
          </w:tcPr>
          <w:p w14:paraId="65F4B085">
            <w:pPr>
              <w:pStyle w:val="150"/>
            </w:pPr>
            <w:r>
              <w:rPr>
                <w:rFonts w:hint="eastAsia"/>
              </w:rPr>
              <w:t>可选择自动检测或绑定接口。</w:t>
            </w:r>
          </w:p>
        </w:tc>
      </w:tr>
    </w:tbl>
    <w:p w14:paraId="59A50694"/>
    <w:p w14:paraId="2AFA3801">
      <w:pPr>
        <w:pStyle w:val="202"/>
      </w:pPr>
      <w:r>
        <w:rPr>
          <w:rFonts w:hint="eastAsia"/>
        </w:rPr>
        <w:t>转换静态ARP</w:t>
      </w:r>
    </w:p>
    <w:p w14:paraId="5C4348D7">
      <w:r>
        <w:rPr>
          <w:rFonts w:hint="eastAsia"/>
        </w:rPr>
        <w:t>勾选一个条目并点击&lt;转换静态&gt;可将选中的ARP转换为静态，如下图所示。</w:t>
      </w:r>
    </w:p>
    <w:p w14:paraId="1C4E4F14">
      <w:pPr>
        <w:pStyle w:val="188"/>
      </w:pPr>
      <w:bookmarkStart w:id="7412" w:name="_Toc141875190"/>
      <w:r>
        <w:rPr>
          <w:rFonts w:hint="eastAsia"/>
        </w:rPr>
        <w:t>将选中的ARP转换为静态</w:t>
      </w:r>
      <w:bookmarkEnd w:id="7412"/>
    </w:p>
    <w:p w14:paraId="033C661F">
      <w:pPr>
        <w:spacing w:before="78" w:after="78"/>
      </w:pPr>
      <w:r>
        <w:drawing>
          <wp:inline distT="0" distB="0" distL="0" distR="0">
            <wp:extent cx="5638800" cy="965835"/>
            <wp:effectExtent l="0" t="0" r="0" b="5715"/>
            <wp:docPr id="4990" name="图片 4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0" name="图片 4990"/>
                    <pic:cNvPicPr>
                      <a:picLocks noChangeAspect="1"/>
                    </pic:cNvPicPr>
                  </pic:nvPicPr>
                  <pic:blipFill>
                    <a:blip r:embed="rId892"/>
                    <a:stretch>
                      <a:fillRect/>
                    </a:stretch>
                  </pic:blipFill>
                  <pic:spPr>
                    <a:xfrm>
                      <a:off x="0" y="0"/>
                      <a:ext cx="5655217" cy="969231"/>
                    </a:xfrm>
                    <a:prstGeom prst="rect">
                      <a:avLst/>
                    </a:prstGeom>
                  </pic:spPr>
                </pic:pic>
              </a:graphicData>
            </a:graphic>
          </wp:inline>
        </w:drawing>
      </w:r>
    </w:p>
    <w:p w14:paraId="3F265B0D"/>
    <w:p w14:paraId="3D7FC682">
      <w:r>
        <w:rPr>
          <w:rFonts w:hint="eastAsia"/>
        </w:rPr>
        <w:t>转换后会新增一条静态ARP记录。转换后的APR记录可进行编辑或删除操作，如下图所示。</w:t>
      </w:r>
    </w:p>
    <w:p w14:paraId="69EF5053">
      <w:pPr>
        <w:pStyle w:val="188"/>
      </w:pPr>
      <w:bookmarkStart w:id="7413" w:name="_Toc141875191"/>
      <w:r>
        <w:rPr>
          <w:rFonts w:hint="eastAsia"/>
        </w:rPr>
        <w:t>转换后的静态ARP</w:t>
      </w:r>
      <w:bookmarkEnd w:id="7413"/>
    </w:p>
    <w:p w14:paraId="1CE97DF6">
      <w:pPr>
        <w:spacing w:before="78" w:after="78"/>
      </w:pPr>
      <w:r>
        <w:drawing>
          <wp:inline distT="0" distB="0" distL="0" distR="0">
            <wp:extent cx="5532755" cy="1202690"/>
            <wp:effectExtent l="0" t="0" r="0" b="0"/>
            <wp:docPr id="4991" name="图片 4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1" name="图片 4991"/>
                    <pic:cNvPicPr>
                      <a:picLocks noChangeAspect="1"/>
                    </pic:cNvPicPr>
                  </pic:nvPicPr>
                  <pic:blipFill>
                    <a:blip r:embed="rId893"/>
                    <a:stretch>
                      <a:fillRect/>
                    </a:stretch>
                  </pic:blipFill>
                  <pic:spPr>
                    <a:xfrm>
                      <a:off x="0" y="0"/>
                      <a:ext cx="5544688" cy="1205692"/>
                    </a:xfrm>
                    <a:prstGeom prst="rect">
                      <a:avLst/>
                    </a:prstGeom>
                  </pic:spPr>
                </pic:pic>
              </a:graphicData>
            </a:graphic>
          </wp:inline>
        </w:drawing>
      </w:r>
    </w:p>
    <w:p w14:paraId="4491F8DE">
      <w:r>
        <w:t>点击</w:t>
      </w:r>
      <w:r>
        <w:rPr>
          <w:rFonts w:hint="eastAsia"/>
        </w:rPr>
        <w:t>“一键清除”，选择“动态”可批量清除动态的ARP，选择“全部”可一键清除ARP表所有的记录。</w:t>
      </w:r>
    </w:p>
    <w:p w14:paraId="2F0546D3">
      <w:pPr>
        <w:pStyle w:val="175"/>
      </w:pPr>
      <w:r>
        <w:drawing>
          <wp:inline distT="0" distB="0" distL="0" distR="0">
            <wp:extent cx="5267325" cy="1606550"/>
            <wp:effectExtent l="0" t="0" r="0" b="0"/>
            <wp:docPr id="1802027883" name="图片 1802027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83" name="图片 1802027883"/>
                    <pic:cNvPicPr>
                      <a:picLocks noChangeAspect="1"/>
                    </pic:cNvPicPr>
                  </pic:nvPicPr>
                  <pic:blipFill>
                    <a:blip r:embed="rId894"/>
                    <a:stretch>
                      <a:fillRect/>
                    </a:stretch>
                  </pic:blipFill>
                  <pic:spPr>
                    <a:xfrm>
                      <a:off x="0" y="0"/>
                      <a:ext cx="5289030" cy="1613212"/>
                    </a:xfrm>
                    <a:prstGeom prst="rect">
                      <a:avLst/>
                    </a:prstGeom>
                  </pic:spPr>
                </pic:pic>
              </a:graphicData>
            </a:graphic>
          </wp:inline>
        </w:drawing>
      </w:r>
    </w:p>
    <w:p w14:paraId="787ACEE3">
      <w:pPr>
        <w:spacing w:before="78" w:after="78"/>
      </w:pPr>
    </w:p>
    <w:p w14:paraId="1A5FCA30">
      <w:pPr>
        <w:pStyle w:val="6"/>
      </w:pPr>
      <w:bookmarkStart w:id="7414" w:name="_Toc99561967"/>
      <w:bookmarkStart w:id="7415" w:name="_Toc70414717"/>
      <w:bookmarkStart w:id="7416" w:name="_Toc141873789"/>
      <w:bookmarkStart w:id="7417" w:name="_Toc70415654"/>
      <w:bookmarkStart w:id="7418" w:name="_Toc142401306"/>
      <w:bookmarkStart w:id="7419" w:name="_Toc172218582"/>
      <w:bookmarkStart w:id="7420" w:name="_Toc58604261"/>
      <w:r>
        <w:rPr>
          <w:rFonts w:hint="eastAsia"/>
        </w:rPr>
        <w:t>ND表</w:t>
      </w:r>
      <w:bookmarkEnd w:id="7414"/>
      <w:bookmarkEnd w:id="7415"/>
      <w:bookmarkEnd w:id="7416"/>
      <w:bookmarkEnd w:id="7417"/>
      <w:bookmarkEnd w:id="7418"/>
      <w:bookmarkEnd w:id="7419"/>
      <w:bookmarkEnd w:id="7420"/>
    </w:p>
    <w:p w14:paraId="67DC4051">
      <w:pPr>
        <w:pStyle w:val="202"/>
      </w:pPr>
      <w:r>
        <w:t>查看ND表项</w:t>
      </w:r>
    </w:p>
    <w:p w14:paraId="079C5C10">
      <w:r>
        <w:rPr>
          <w:rFonts w:hint="eastAsia"/>
        </w:rPr>
        <w:t>通过菜单“策略配置 &gt; 安全设置 &gt; 安全防护</w:t>
      </w:r>
      <w:r>
        <w:t xml:space="preserve"> &gt; ARP/ND</w:t>
      </w:r>
      <w:r>
        <w:rPr>
          <w:rFonts w:hint="eastAsia"/>
        </w:rPr>
        <w:t>攻击防护</w:t>
      </w:r>
      <w:r>
        <w:t xml:space="preserve"> &gt; ND</w:t>
      </w:r>
      <w:r>
        <w:rPr>
          <w:rFonts w:hint="eastAsia"/>
        </w:rPr>
        <w:t>表”进入</w:t>
      </w:r>
      <w:r>
        <w:t>ND</w:t>
      </w:r>
      <w:r>
        <w:rPr>
          <w:rFonts w:hint="eastAsia"/>
        </w:rPr>
        <w:t>表显示界面，可以查看设备上通过ND学习到的所有MAC地址及IP地址，如</w:t>
      </w:r>
      <w:r>
        <w:t>下图</w:t>
      </w:r>
      <w:r>
        <w:rPr>
          <w:rFonts w:hint="eastAsia"/>
        </w:rPr>
        <w:t>所示。</w:t>
      </w:r>
    </w:p>
    <w:p w14:paraId="1484963A">
      <w:pPr>
        <w:pStyle w:val="188"/>
      </w:pPr>
      <w:bookmarkStart w:id="7421" w:name="_Toc141875192"/>
      <w:r>
        <w:rPr>
          <w:rFonts w:hint="eastAsia"/>
        </w:rPr>
        <w:t>ND表项显示</w:t>
      </w:r>
      <w:bookmarkEnd w:id="7421"/>
    </w:p>
    <w:p w14:paraId="3D83DC54">
      <w:r>
        <w:drawing>
          <wp:inline distT="0" distB="0" distL="0" distR="0">
            <wp:extent cx="5361940" cy="1525270"/>
            <wp:effectExtent l="0" t="0" r="0" b="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pic:cNvPicPr>
                      <a:picLocks noChangeAspect="1"/>
                    </pic:cNvPicPr>
                  </pic:nvPicPr>
                  <pic:blipFill>
                    <a:blip r:embed="rId895"/>
                    <a:srcRect l="910"/>
                    <a:stretch>
                      <a:fillRect/>
                    </a:stretch>
                  </pic:blipFill>
                  <pic:spPr>
                    <a:xfrm>
                      <a:off x="0" y="0"/>
                      <a:ext cx="5396912" cy="1535218"/>
                    </a:xfrm>
                    <a:prstGeom prst="rect">
                      <a:avLst/>
                    </a:prstGeom>
                    <a:ln>
                      <a:noFill/>
                    </a:ln>
                  </pic:spPr>
                </pic:pic>
              </a:graphicData>
            </a:graphic>
          </wp:inline>
        </w:drawing>
      </w:r>
    </w:p>
    <w:p w14:paraId="06A85145"/>
    <w:p w14:paraId="024273E0">
      <w:pPr>
        <w:pStyle w:val="202"/>
      </w:pPr>
      <w:r>
        <w:t>创建</w:t>
      </w:r>
      <w:r>
        <w:rPr>
          <w:rFonts w:hint="eastAsia"/>
        </w:rPr>
        <w:t>IP-MAC绑定</w:t>
      </w:r>
    </w:p>
    <w:p w14:paraId="4A640781">
      <w:r>
        <w:rPr>
          <w:rFonts w:hint="eastAsia"/>
        </w:rPr>
        <w:t>勾选一个条目在上面工具栏点击&lt;IP-MAC绑定&gt;或在操作列下点击图标</w:t>
      </w:r>
      <w:r>
        <w:drawing>
          <wp:inline distT="0" distB="0" distL="0" distR="0">
            <wp:extent cx="142875" cy="123825"/>
            <wp:effectExtent l="0" t="0" r="9525" b="9525"/>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pic:cNvPicPr>
                      <a:picLocks noChangeAspect="1"/>
                    </pic:cNvPicPr>
                  </pic:nvPicPr>
                  <pic:blipFill>
                    <a:blip r:embed="rId896"/>
                    <a:stretch>
                      <a:fillRect/>
                    </a:stretch>
                  </pic:blipFill>
                  <pic:spPr>
                    <a:xfrm>
                      <a:off x="0" y="0"/>
                      <a:ext cx="142875" cy="123825"/>
                    </a:xfrm>
                    <a:prstGeom prst="rect">
                      <a:avLst/>
                    </a:prstGeom>
                  </pic:spPr>
                </pic:pic>
              </a:graphicData>
            </a:graphic>
          </wp:inline>
        </w:drawing>
      </w:r>
      <w:r>
        <w:rPr>
          <w:rFonts w:hint="eastAsia"/>
        </w:rPr>
        <w:t>，可将指定的条目创建IP-MAC绑定；点击&lt;一键绑定&gt;对所有条目创建IP-MAC绑定。</w:t>
      </w:r>
    </w:p>
    <w:p w14:paraId="7A80C35E">
      <w:pPr>
        <w:pStyle w:val="188"/>
      </w:pPr>
      <w:r>
        <w:rPr>
          <w:rFonts w:hint="eastAsia"/>
        </w:rPr>
        <w:t>创建IP-MAC绑定</w:t>
      </w:r>
    </w:p>
    <w:p w14:paraId="38D3E662">
      <w:r>
        <w:drawing>
          <wp:inline distT="0" distB="0" distL="0" distR="0">
            <wp:extent cx="5467350" cy="1323340"/>
            <wp:effectExtent l="0" t="0" r="0" b="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pic:cNvPicPr>
                      <a:picLocks noChangeAspect="1"/>
                    </pic:cNvPicPr>
                  </pic:nvPicPr>
                  <pic:blipFill>
                    <a:blip r:embed="rId897"/>
                    <a:stretch>
                      <a:fillRect/>
                    </a:stretch>
                  </pic:blipFill>
                  <pic:spPr>
                    <a:xfrm>
                      <a:off x="0" y="0"/>
                      <a:ext cx="5489862" cy="1329322"/>
                    </a:xfrm>
                    <a:prstGeom prst="rect">
                      <a:avLst/>
                    </a:prstGeom>
                  </pic:spPr>
                </pic:pic>
              </a:graphicData>
            </a:graphic>
          </wp:inline>
        </w:drawing>
      </w:r>
    </w:p>
    <w:p w14:paraId="343A138C">
      <w:pPr>
        <w:pStyle w:val="202"/>
      </w:pPr>
      <w:r>
        <w:t>新增静态ND</w:t>
      </w:r>
    </w:p>
    <w:p w14:paraId="330CA273">
      <w:r>
        <w:rPr>
          <w:rFonts w:hint="eastAsia"/>
        </w:rPr>
        <w:t>点击&lt;新增静态ND&gt;，可以手动添加静态ND信息，如下图所示。静态ND不受ND老化机制的影响。</w:t>
      </w:r>
    </w:p>
    <w:p w14:paraId="06C0DF49">
      <w:pPr>
        <w:pStyle w:val="188"/>
      </w:pPr>
      <w:r>
        <w:rPr>
          <w:rFonts w:hint="eastAsia"/>
        </w:rPr>
        <w:t>新增静态ND</w:t>
      </w:r>
    </w:p>
    <w:p w14:paraId="3042AE44">
      <w:r>
        <w:drawing>
          <wp:inline distT="0" distB="0" distL="0" distR="0">
            <wp:extent cx="4505325" cy="2130425"/>
            <wp:effectExtent l="0" t="0" r="0" b="3175"/>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pic:cNvPicPr>
                      <a:picLocks noChangeAspect="1"/>
                    </pic:cNvPicPr>
                  </pic:nvPicPr>
                  <pic:blipFill>
                    <a:blip r:embed="rId898"/>
                    <a:stretch>
                      <a:fillRect/>
                    </a:stretch>
                  </pic:blipFill>
                  <pic:spPr>
                    <a:xfrm>
                      <a:off x="0" y="0"/>
                      <a:ext cx="4513262" cy="2134237"/>
                    </a:xfrm>
                    <a:prstGeom prst="rect">
                      <a:avLst/>
                    </a:prstGeom>
                  </pic:spPr>
                </pic:pic>
              </a:graphicData>
            </a:graphic>
          </wp:inline>
        </w:drawing>
      </w:r>
    </w:p>
    <w:p w14:paraId="092429C5"/>
    <w:p w14:paraId="4B630D7C">
      <w:pPr>
        <w:pStyle w:val="183"/>
      </w:pPr>
      <w:r>
        <w:t>静态</w:t>
      </w:r>
      <w:r>
        <w:rPr>
          <w:rFonts w:hint="eastAsia"/>
        </w:rPr>
        <w:t>ND详细配置描述表</w:t>
      </w:r>
    </w:p>
    <w:tbl>
      <w:tblPr>
        <w:tblStyle w:val="173"/>
        <w:tblW w:w="0" w:type="auto"/>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189"/>
        <w:gridCol w:w="7053"/>
      </w:tblGrid>
      <w:tr w14:paraId="2CC52D0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263" w:type="dxa"/>
            <w:tcBorders>
              <w:tl2br w:val="nil"/>
              <w:tr2bl w:val="nil"/>
            </w:tcBorders>
            <w:shd w:val="clear" w:color="auto" w:fill="538135" w:themeFill="accent6" w:themeFillShade="BF"/>
            <w:vAlign w:val="center"/>
          </w:tcPr>
          <w:p w14:paraId="32091A40">
            <w:pPr>
              <w:pStyle w:val="149"/>
              <w:wordWrap/>
              <w:rPr>
                <w:b/>
                <w:bCs/>
                <w:i w:val="0"/>
                <w:iCs w:val="0"/>
              </w:rPr>
            </w:pPr>
            <w:r>
              <w:rPr>
                <w:rFonts w:hint="eastAsia"/>
                <w:b/>
                <w:bCs/>
                <w:i w:val="0"/>
                <w:iCs w:val="0"/>
              </w:rPr>
              <w:t>配置项</w:t>
            </w:r>
          </w:p>
        </w:tc>
        <w:tc>
          <w:tcPr>
            <w:tcW w:w="7365" w:type="dxa"/>
            <w:tcBorders>
              <w:tl2br w:val="nil"/>
              <w:tr2bl w:val="nil"/>
            </w:tcBorders>
            <w:shd w:val="clear" w:color="auto" w:fill="538135" w:themeFill="accent6" w:themeFillShade="BF"/>
            <w:vAlign w:val="center"/>
          </w:tcPr>
          <w:p w14:paraId="2240D8AD">
            <w:pPr>
              <w:pStyle w:val="149"/>
              <w:wordWrap/>
              <w:rPr>
                <w:b/>
                <w:bCs/>
                <w:i w:val="0"/>
                <w:iCs w:val="0"/>
              </w:rPr>
            </w:pPr>
            <w:r>
              <w:rPr>
                <w:rFonts w:hint="eastAsia"/>
                <w:b/>
                <w:bCs/>
                <w:i w:val="0"/>
                <w:iCs w:val="0"/>
              </w:rPr>
              <w:t>说明</w:t>
            </w:r>
          </w:p>
        </w:tc>
      </w:tr>
      <w:tr w14:paraId="2FB7053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263" w:type="dxa"/>
            <w:shd w:val="clear" w:color="auto" w:fill="auto"/>
          </w:tcPr>
          <w:p w14:paraId="235C5622">
            <w:pPr>
              <w:pStyle w:val="150"/>
            </w:pPr>
            <w:r>
              <w:rPr>
                <w:rFonts w:hint="eastAsia"/>
              </w:rPr>
              <w:t>IP地址</w:t>
            </w:r>
          </w:p>
        </w:tc>
        <w:tc>
          <w:tcPr>
            <w:tcW w:w="7365" w:type="dxa"/>
            <w:shd w:val="clear" w:color="auto" w:fill="auto"/>
          </w:tcPr>
          <w:p w14:paraId="286116DE">
            <w:pPr>
              <w:pStyle w:val="150"/>
            </w:pPr>
            <w:r>
              <w:rPr>
                <w:rFonts w:hint="eastAsia"/>
              </w:rPr>
              <w:t>静态ND的IP地址，只支持IPv6地址。</w:t>
            </w:r>
          </w:p>
        </w:tc>
      </w:tr>
      <w:tr w14:paraId="285402F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263" w:type="dxa"/>
            <w:shd w:val="clear" w:color="auto" w:fill="auto"/>
          </w:tcPr>
          <w:p w14:paraId="1B4EC14E">
            <w:pPr>
              <w:pStyle w:val="150"/>
            </w:pPr>
            <w:r>
              <w:rPr>
                <w:rFonts w:hint="eastAsia"/>
              </w:rPr>
              <w:t>自动获取MAC地址</w:t>
            </w:r>
          </w:p>
        </w:tc>
        <w:tc>
          <w:tcPr>
            <w:tcW w:w="7365" w:type="dxa"/>
            <w:shd w:val="clear" w:color="auto" w:fill="auto"/>
          </w:tcPr>
          <w:p w14:paraId="375A9006">
            <w:pPr>
              <w:pStyle w:val="150"/>
            </w:pPr>
            <w:r>
              <w:rPr>
                <w:rFonts w:hint="eastAsia"/>
              </w:rPr>
              <w:t>点击&lt;</w:t>
            </w:r>
            <w:r>
              <w:rPr>
                <w:rFonts w:hint="eastAsia"/>
                <w:b/>
                <w:bCs/>
              </w:rPr>
              <w:t>自动获取</w:t>
            </w:r>
            <w:r>
              <w:rPr>
                <w:b/>
                <w:bCs/>
              </w:rPr>
              <w:t>MAC</w:t>
            </w:r>
            <w:r>
              <w:rPr>
                <w:rFonts w:hint="eastAsia"/>
                <w:b/>
                <w:bCs/>
              </w:rPr>
              <w:t>地址</w:t>
            </w:r>
            <w:r>
              <w:rPr>
                <w:b/>
                <w:bCs/>
              </w:rPr>
              <w:t>&gt;</w:t>
            </w:r>
            <w:r>
              <w:rPr>
                <w:rFonts w:hint="eastAsia"/>
              </w:rPr>
              <w:t>，系统根据所填IP地址自动学习到MAC地址。</w:t>
            </w:r>
          </w:p>
        </w:tc>
      </w:tr>
      <w:tr w14:paraId="7E95F06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263" w:type="dxa"/>
            <w:shd w:val="clear" w:color="auto" w:fill="auto"/>
          </w:tcPr>
          <w:p w14:paraId="3A0337FE">
            <w:pPr>
              <w:pStyle w:val="150"/>
            </w:pPr>
            <w:r>
              <w:rPr>
                <w:rFonts w:hint="eastAsia"/>
              </w:rPr>
              <w:t>MAC地址</w:t>
            </w:r>
          </w:p>
        </w:tc>
        <w:tc>
          <w:tcPr>
            <w:tcW w:w="7365" w:type="dxa"/>
            <w:shd w:val="clear" w:color="auto" w:fill="auto"/>
          </w:tcPr>
          <w:p w14:paraId="2887D8D3">
            <w:pPr>
              <w:pStyle w:val="150"/>
            </w:pPr>
            <w:r>
              <w:rPr>
                <w:rFonts w:hint="eastAsia"/>
              </w:rPr>
              <w:t>Mac地址必须是单播地址。</w:t>
            </w:r>
          </w:p>
        </w:tc>
      </w:tr>
      <w:tr w14:paraId="0F8DED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263" w:type="dxa"/>
            <w:shd w:val="clear" w:color="auto" w:fill="auto"/>
          </w:tcPr>
          <w:p w14:paraId="59350393">
            <w:pPr>
              <w:pStyle w:val="150"/>
            </w:pPr>
            <w:r>
              <w:rPr>
                <w:rFonts w:hint="eastAsia"/>
              </w:rPr>
              <w:t>接口</w:t>
            </w:r>
          </w:p>
        </w:tc>
        <w:tc>
          <w:tcPr>
            <w:tcW w:w="7365" w:type="dxa"/>
            <w:shd w:val="clear" w:color="auto" w:fill="auto"/>
          </w:tcPr>
          <w:p w14:paraId="61D6FBFC">
            <w:pPr>
              <w:pStyle w:val="150"/>
            </w:pPr>
            <w:r>
              <w:rPr>
                <w:rFonts w:hint="eastAsia"/>
              </w:rPr>
              <w:t>可选择自动检测或绑定接口。</w:t>
            </w:r>
          </w:p>
        </w:tc>
      </w:tr>
    </w:tbl>
    <w:p w14:paraId="52E5EA16"/>
    <w:p w14:paraId="59522EF3">
      <w:pPr>
        <w:pStyle w:val="202"/>
      </w:pPr>
      <w:r>
        <w:rPr>
          <w:rFonts w:hint="eastAsia"/>
        </w:rPr>
        <w:t>转换静态ND</w:t>
      </w:r>
    </w:p>
    <w:p w14:paraId="40DFFBC4">
      <w:r>
        <w:rPr>
          <w:rFonts w:hint="eastAsia"/>
        </w:rPr>
        <w:t>勾选一个条目并点击&lt;转换静态&gt;可将选中的ND转换为静态ND，如下图所示。</w:t>
      </w:r>
    </w:p>
    <w:p w14:paraId="6BCA5FB9">
      <w:pPr>
        <w:pStyle w:val="188"/>
      </w:pPr>
      <w:r>
        <w:rPr>
          <w:rFonts w:hint="eastAsia"/>
        </w:rPr>
        <w:t>将选中的ND转换为静态</w:t>
      </w:r>
    </w:p>
    <w:p w14:paraId="4DC72E06">
      <w:pPr>
        <w:pStyle w:val="175"/>
      </w:pPr>
      <w:r>
        <w:drawing>
          <wp:inline distT="0" distB="0" distL="0" distR="0">
            <wp:extent cx="5753100" cy="786130"/>
            <wp:effectExtent l="0" t="0" r="0" b="0"/>
            <wp:docPr id="1296485339" name="图片 1296485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39" name="图片 1296485339"/>
                    <pic:cNvPicPr>
                      <a:picLocks noChangeAspect="1"/>
                    </pic:cNvPicPr>
                  </pic:nvPicPr>
                  <pic:blipFill>
                    <a:blip r:embed="rId899"/>
                    <a:stretch>
                      <a:fillRect/>
                    </a:stretch>
                  </pic:blipFill>
                  <pic:spPr>
                    <a:xfrm>
                      <a:off x="0" y="0"/>
                      <a:ext cx="5786544" cy="791230"/>
                    </a:xfrm>
                    <a:prstGeom prst="rect">
                      <a:avLst/>
                    </a:prstGeom>
                  </pic:spPr>
                </pic:pic>
              </a:graphicData>
            </a:graphic>
          </wp:inline>
        </w:drawing>
      </w:r>
    </w:p>
    <w:p w14:paraId="6D3D72B8">
      <w:r>
        <w:rPr>
          <w:rFonts w:hint="eastAsia"/>
        </w:rPr>
        <w:t>转换后会新增一条静态ND记录。转换后的静态ND记录可进行编辑或删除操作，如下图所示。</w:t>
      </w:r>
    </w:p>
    <w:p w14:paraId="6966F52D">
      <w:pPr>
        <w:pStyle w:val="188"/>
      </w:pPr>
      <w:r>
        <w:rPr>
          <w:rFonts w:hint="eastAsia"/>
        </w:rPr>
        <w:t>转换后的静态ND</w:t>
      </w:r>
    </w:p>
    <w:p w14:paraId="2DD8B4C3">
      <w:pPr>
        <w:pStyle w:val="175"/>
      </w:pPr>
      <w:r>
        <w:drawing>
          <wp:inline distT="0" distB="0" distL="0" distR="0">
            <wp:extent cx="5705475" cy="753745"/>
            <wp:effectExtent l="0" t="0" r="0" b="8255"/>
            <wp:docPr id="1296485340" name="图片 1296485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40" name="图片 1296485340"/>
                    <pic:cNvPicPr>
                      <a:picLocks noChangeAspect="1"/>
                    </pic:cNvPicPr>
                  </pic:nvPicPr>
                  <pic:blipFill>
                    <a:blip r:embed="rId900"/>
                    <a:stretch>
                      <a:fillRect/>
                    </a:stretch>
                  </pic:blipFill>
                  <pic:spPr>
                    <a:xfrm>
                      <a:off x="0" y="0"/>
                      <a:ext cx="5732884" cy="757724"/>
                    </a:xfrm>
                    <a:prstGeom prst="rect">
                      <a:avLst/>
                    </a:prstGeom>
                  </pic:spPr>
                </pic:pic>
              </a:graphicData>
            </a:graphic>
          </wp:inline>
        </w:drawing>
      </w:r>
    </w:p>
    <w:p w14:paraId="6D9B6884"/>
    <w:p w14:paraId="7E057B52">
      <w:pPr>
        <w:pStyle w:val="6"/>
      </w:pPr>
      <w:bookmarkStart w:id="7422" w:name="_Toc172218583"/>
      <w:bookmarkStart w:id="7423" w:name="_Toc70415655"/>
      <w:bookmarkStart w:id="7424" w:name="_Toc99561968"/>
      <w:bookmarkStart w:id="7425" w:name="_Toc141873790"/>
      <w:bookmarkStart w:id="7426" w:name="_Toc142401307"/>
      <w:bookmarkStart w:id="7427" w:name="_Toc58604262"/>
      <w:bookmarkStart w:id="7428" w:name="_Toc70414718"/>
      <w:r>
        <w:rPr>
          <w:rFonts w:hint="eastAsia"/>
        </w:rPr>
        <w:t>ARP/ND Flood攻击防护</w:t>
      </w:r>
      <w:bookmarkEnd w:id="7422"/>
      <w:bookmarkEnd w:id="7423"/>
      <w:bookmarkEnd w:id="7424"/>
      <w:bookmarkEnd w:id="7425"/>
      <w:bookmarkEnd w:id="7426"/>
      <w:bookmarkEnd w:id="7427"/>
      <w:bookmarkEnd w:id="7428"/>
    </w:p>
    <w:p w14:paraId="3359043B">
      <w:r>
        <w:rPr>
          <w:rFonts w:hint="eastAsia"/>
        </w:rPr>
        <w:t>通过菜单“策略配置 &gt; 安全设置 &gt; 安全防护</w:t>
      </w:r>
      <w:r>
        <w:t xml:space="preserve"> &gt; ARP/ND</w:t>
      </w:r>
      <w:r>
        <w:rPr>
          <w:rFonts w:hint="eastAsia"/>
        </w:rPr>
        <w:t>攻击防护</w:t>
      </w:r>
      <w:r>
        <w:t xml:space="preserve"> &gt; ARP/ND Flood</w:t>
      </w:r>
      <w:r>
        <w:rPr>
          <w:rFonts w:hint="eastAsia"/>
        </w:rPr>
        <w:t>攻击”使用该功能，如下图所示。</w:t>
      </w:r>
    </w:p>
    <w:p w14:paraId="7904269E">
      <w:pPr>
        <w:pStyle w:val="188"/>
      </w:pPr>
      <w:bookmarkStart w:id="7429" w:name="_Toc141875193"/>
      <w:r>
        <w:rPr>
          <w:rFonts w:hint="eastAsia"/>
        </w:rPr>
        <w:t>ARP/ND Flood攻击设置页面</w:t>
      </w:r>
      <w:bookmarkEnd w:id="7429"/>
    </w:p>
    <w:p w14:paraId="2F4A7DC6">
      <w:r>
        <w:drawing>
          <wp:inline distT="0" distB="0" distL="0" distR="0">
            <wp:extent cx="5400040" cy="2733675"/>
            <wp:effectExtent l="0" t="0" r="0" b="9525"/>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901"/>
                    <a:stretch>
                      <a:fillRect/>
                    </a:stretch>
                  </pic:blipFill>
                  <pic:spPr>
                    <a:xfrm>
                      <a:off x="0" y="0"/>
                      <a:ext cx="5400040" cy="2733675"/>
                    </a:xfrm>
                    <a:prstGeom prst="rect">
                      <a:avLst/>
                    </a:prstGeom>
                  </pic:spPr>
                </pic:pic>
              </a:graphicData>
            </a:graphic>
          </wp:inline>
        </w:drawing>
      </w:r>
    </w:p>
    <w:p w14:paraId="57C7F0DE"/>
    <w:p w14:paraId="2C70499E">
      <w:pPr>
        <w:pStyle w:val="183"/>
      </w:pPr>
      <w:bookmarkStart w:id="7430" w:name="_Toc141875730"/>
      <w:r>
        <w:rPr>
          <w:rFonts w:hint="eastAsia"/>
        </w:rPr>
        <w:t>ARP</w:t>
      </w:r>
      <w:r>
        <w:t>/ND</w:t>
      </w:r>
      <w:r>
        <w:rPr>
          <w:rFonts w:hint="eastAsia"/>
        </w:rPr>
        <w:t xml:space="preserve"> Flood攻击防护详细配置描述表</w:t>
      </w:r>
      <w:bookmarkEnd w:id="7430"/>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376"/>
        <w:gridCol w:w="6638"/>
      </w:tblGrid>
      <w:tr w14:paraId="28570ED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tcBorders>
              <w:tl2br w:val="nil"/>
              <w:tr2bl w:val="nil"/>
            </w:tcBorders>
            <w:shd w:val="clear" w:color="auto" w:fill="538135" w:themeFill="accent6" w:themeFillShade="BF"/>
            <w:vAlign w:val="center"/>
          </w:tcPr>
          <w:p w14:paraId="6AC50B7C">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6638" w:type="dxa"/>
            <w:tcBorders>
              <w:tl2br w:val="nil"/>
              <w:tr2bl w:val="nil"/>
            </w:tcBorders>
            <w:shd w:val="clear" w:color="auto" w:fill="538135" w:themeFill="accent6" w:themeFillShade="BF"/>
            <w:vAlign w:val="center"/>
          </w:tcPr>
          <w:p w14:paraId="24569321">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53C78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2EE1FEC4">
            <w:pPr>
              <w:pStyle w:val="150"/>
            </w:pPr>
            <w:r>
              <w:rPr>
                <w:rFonts w:hint="eastAsia"/>
              </w:rPr>
              <w:t>启用防</w:t>
            </w:r>
            <w:r>
              <w:t>ARP flood</w:t>
            </w:r>
          </w:p>
        </w:tc>
        <w:tc>
          <w:tcPr>
            <w:tcW w:w="6638" w:type="dxa"/>
            <w:shd w:val="clear" w:color="auto" w:fill="auto"/>
          </w:tcPr>
          <w:p w14:paraId="2EF76DCF">
            <w:pPr>
              <w:pStyle w:val="150"/>
            </w:pPr>
            <w:r>
              <w:rPr>
                <w:rFonts w:hint="eastAsia"/>
              </w:rPr>
              <w:t>点选启用防</w:t>
            </w:r>
            <w:r>
              <w:t>ARP Flood</w:t>
            </w:r>
            <w:r>
              <w:rPr>
                <w:rFonts w:hint="eastAsia"/>
              </w:rPr>
              <w:t>攻击</w:t>
            </w:r>
          </w:p>
        </w:tc>
      </w:tr>
      <w:tr w14:paraId="06DEF4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5BE448A8">
            <w:pPr>
              <w:pStyle w:val="150"/>
            </w:pPr>
            <w:r>
              <w:t>ARP</w:t>
            </w:r>
            <w:r>
              <w:rPr>
                <w:rFonts w:hint="eastAsia"/>
              </w:rPr>
              <w:t>攻击识别阈值</w:t>
            </w:r>
          </w:p>
        </w:tc>
        <w:tc>
          <w:tcPr>
            <w:tcW w:w="6638" w:type="dxa"/>
            <w:shd w:val="clear" w:color="auto" w:fill="auto"/>
          </w:tcPr>
          <w:p w14:paraId="5FC4402D">
            <w:pPr>
              <w:pStyle w:val="150"/>
            </w:pPr>
            <w:r>
              <w:rPr>
                <w:rFonts w:hint="eastAsia"/>
              </w:rPr>
              <w:t>一秒内收到</w:t>
            </w:r>
            <w:r>
              <w:t>ARP</w:t>
            </w:r>
            <w:r>
              <w:rPr>
                <w:rFonts w:hint="eastAsia"/>
              </w:rPr>
              <w:t>报文的数量，缺省配置为</w:t>
            </w:r>
            <w:r>
              <w:t>300</w:t>
            </w:r>
            <w:r>
              <w:rPr>
                <w:rFonts w:hint="eastAsia"/>
              </w:rPr>
              <w:t>个/秒。</w:t>
            </w:r>
          </w:p>
        </w:tc>
      </w:tr>
      <w:tr w14:paraId="6CDCA1F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326289B5">
            <w:pPr>
              <w:pStyle w:val="150"/>
            </w:pPr>
            <w:r>
              <w:rPr>
                <w:rFonts w:hint="eastAsia"/>
              </w:rPr>
              <w:t>ARP攻击主机抑制时长</w:t>
            </w:r>
          </w:p>
        </w:tc>
        <w:tc>
          <w:tcPr>
            <w:tcW w:w="6638" w:type="dxa"/>
            <w:shd w:val="clear" w:color="auto" w:fill="auto"/>
          </w:tcPr>
          <w:p w14:paraId="0949BCCC">
            <w:pPr>
              <w:pStyle w:val="150"/>
            </w:pPr>
            <w:r>
              <w:rPr>
                <w:rFonts w:hint="eastAsia"/>
              </w:rPr>
              <w:t>设置阻断时间，当系统检测到攻击时，在配置的时长内拒绝来自于该台源主机的所有其它包，缺省配置为</w:t>
            </w:r>
            <w:r>
              <w:t>60</w:t>
            </w:r>
            <w:r>
              <w:rPr>
                <w:rFonts w:hint="eastAsia"/>
              </w:rPr>
              <w:t>秒。</w:t>
            </w:r>
          </w:p>
        </w:tc>
      </w:tr>
      <w:tr w14:paraId="2126BF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673F7CD7">
            <w:pPr>
              <w:pStyle w:val="150"/>
            </w:pPr>
            <w:r>
              <w:rPr>
                <w:rFonts w:hint="eastAsia"/>
              </w:rPr>
              <w:t>启用防</w:t>
            </w:r>
            <w:r>
              <w:t>ND flood</w:t>
            </w:r>
          </w:p>
        </w:tc>
        <w:tc>
          <w:tcPr>
            <w:tcW w:w="6638" w:type="dxa"/>
            <w:shd w:val="clear" w:color="auto" w:fill="auto"/>
          </w:tcPr>
          <w:p w14:paraId="09A52FC8">
            <w:pPr>
              <w:pStyle w:val="150"/>
            </w:pPr>
            <w:r>
              <w:rPr>
                <w:rFonts w:hint="eastAsia"/>
              </w:rPr>
              <w:t>点选启用防</w:t>
            </w:r>
            <w:r>
              <w:t>ND Flood</w:t>
            </w:r>
            <w:r>
              <w:rPr>
                <w:rFonts w:hint="eastAsia"/>
              </w:rPr>
              <w:t>攻击。</w:t>
            </w:r>
          </w:p>
        </w:tc>
      </w:tr>
      <w:tr w14:paraId="7FF659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66992BDC">
            <w:pPr>
              <w:pStyle w:val="150"/>
            </w:pPr>
            <w:r>
              <w:t>ND</w:t>
            </w:r>
            <w:r>
              <w:rPr>
                <w:rFonts w:hint="eastAsia"/>
              </w:rPr>
              <w:t>攻击识别阈值</w:t>
            </w:r>
          </w:p>
        </w:tc>
        <w:tc>
          <w:tcPr>
            <w:tcW w:w="6638" w:type="dxa"/>
            <w:shd w:val="clear" w:color="auto" w:fill="auto"/>
          </w:tcPr>
          <w:p w14:paraId="1D347196">
            <w:pPr>
              <w:pStyle w:val="150"/>
            </w:pPr>
            <w:r>
              <w:rPr>
                <w:rFonts w:hint="eastAsia"/>
              </w:rPr>
              <w:t>一秒内收到</w:t>
            </w:r>
            <w:r>
              <w:t>ND</w:t>
            </w:r>
            <w:r>
              <w:rPr>
                <w:rFonts w:hint="eastAsia"/>
              </w:rPr>
              <w:t>报文的数量，缺省配置为</w:t>
            </w:r>
            <w:r>
              <w:t>300</w:t>
            </w:r>
            <w:r>
              <w:rPr>
                <w:rFonts w:hint="eastAsia"/>
              </w:rPr>
              <w:t>个/秒。</w:t>
            </w:r>
          </w:p>
        </w:tc>
      </w:tr>
      <w:tr w14:paraId="1C4C13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76" w:type="dxa"/>
            <w:shd w:val="clear" w:color="auto" w:fill="auto"/>
          </w:tcPr>
          <w:p w14:paraId="28C499C7">
            <w:pPr>
              <w:pStyle w:val="150"/>
            </w:pPr>
            <w:r>
              <w:rPr>
                <w:rFonts w:hint="eastAsia"/>
              </w:rPr>
              <w:t>ND攻击主机抑制时长</w:t>
            </w:r>
          </w:p>
        </w:tc>
        <w:tc>
          <w:tcPr>
            <w:tcW w:w="6638" w:type="dxa"/>
            <w:shd w:val="clear" w:color="auto" w:fill="auto"/>
          </w:tcPr>
          <w:p w14:paraId="194C39A4">
            <w:pPr>
              <w:pStyle w:val="150"/>
            </w:pPr>
            <w:r>
              <w:rPr>
                <w:rFonts w:hint="eastAsia"/>
              </w:rPr>
              <w:t>设置阻断时间，当系统检测到攻击时，在配置的时长内拒绝来自于该台源主机的所有其它包，缺省配置为</w:t>
            </w:r>
            <w:r>
              <w:t>60</w:t>
            </w:r>
            <w:r>
              <w:rPr>
                <w:rFonts w:hint="eastAsia"/>
              </w:rPr>
              <w:t>秒。</w:t>
            </w:r>
          </w:p>
        </w:tc>
      </w:tr>
    </w:tbl>
    <w:p w14:paraId="2DA66D81"/>
    <w:p w14:paraId="64C3BCFC">
      <w:pPr>
        <w:pStyle w:val="6"/>
      </w:pPr>
      <w:bookmarkStart w:id="7431" w:name="_Toc70414721"/>
      <w:bookmarkStart w:id="7432" w:name="_Toc70415658"/>
      <w:bookmarkStart w:id="7433" w:name="_Toc142401308"/>
      <w:bookmarkStart w:id="7434" w:name="_Toc141873791"/>
      <w:bookmarkStart w:id="7435" w:name="_Toc58604265"/>
      <w:bookmarkStart w:id="7436" w:name="_Toc99561971"/>
      <w:bookmarkStart w:id="7437" w:name="_Toc172218584"/>
      <w:r>
        <w:rPr>
          <w:rFonts w:hint="eastAsia"/>
        </w:rPr>
        <w:t>ARP/ND学习控制</w:t>
      </w:r>
      <w:bookmarkEnd w:id="7431"/>
      <w:bookmarkEnd w:id="7432"/>
      <w:bookmarkEnd w:id="7433"/>
      <w:bookmarkEnd w:id="7434"/>
      <w:bookmarkEnd w:id="7435"/>
      <w:bookmarkEnd w:id="7436"/>
      <w:bookmarkEnd w:id="7437"/>
    </w:p>
    <w:p w14:paraId="4436088E">
      <w:r>
        <w:rPr>
          <w:rFonts w:hint="eastAsia"/>
        </w:rPr>
        <w:t>如</w:t>
      </w:r>
      <w:r>
        <w:t>下图</w:t>
      </w:r>
      <w:r>
        <w:rPr>
          <w:rFonts w:hint="eastAsia"/>
        </w:rPr>
        <w:t>所示，通过菜单“策略配置 &gt; 安全设置 &gt; 安全防护</w:t>
      </w:r>
      <w:r>
        <w:t xml:space="preserve"> &gt; ARP/ND</w:t>
      </w:r>
      <w:r>
        <w:rPr>
          <w:rFonts w:hint="eastAsia"/>
        </w:rPr>
        <w:t>攻击防护</w:t>
      </w:r>
      <w:r>
        <w:t xml:space="preserve"> &gt; ARP/ND </w:t>
      </w:r>
      <w:r>
        <w:rPr>
          <w:rFonts w:hint="eastAsia"/>
        </w:rPr>
        <w:t>学习控制”使用该功能。</w:t>
      </w:r>
    </w:p>
    <w:p w14:paraId="67F316D6">
      <w:pPr>
        <w:pStyle w:val="188"/>
      </w:pPr>
      <w:bookmarkStart w:id="7438" w:name="_Ref49961771"/>
      <w:bookmarkStart w:id="7439" w:name="_Toc141875194"/>
      <w:r>
        <w:rPr>
          <w:rFonts w:hint="eastAsia"/>
        </w:rPr>
        <w:t>ARP/ND学习</w:t>
      </w:r>
      <w:r>
        <w:t>控制</w:t>
      </w:r>
      <w:r>
        <w:rPr>
          <w:rFonts w:hint="eastAsia"/>
        </w:rPr>
        <w:t>页面</w:t>
      </w:r>
      <w:bookmarkEnd w:id="7438"/>
      <w:bookmarkEnd w:id="7439"/>
    </w:p>
    <w:p w14:paraId="73BFF51E">
      <w:r>
        <w:drawing>
          <wp:inline distT="0" distB="0" distL="0" distR="0">
            <wp:extent cx="5400040" cy="841375"/>
            <wp:effectExtent l="0" t="0" r="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902"/>
                    <a:stretch>
                      <a:fillRect/>
                    </a:stretch>
                  </pic:blipFill>
                  <pic:spPr>
                    <a:xfrm>
                      <a:off x="0" y="0"/>
                      <a:ext cx="5400040" cy="841375"/>
                    </a:xfrm>
                    <a:prstGeom prst="rect">
                      <a:avLst/>
                    </a:prstGeom>
                  </pic:spPr>
                </pic:pic>
              </a:graphicData>
            </a:graphic>
          </wp:inline>
        </w:drawing>
      </w:r>
    </w:p>
    <w:p w14:paraId="262B76E3"/>
    <w:p w14:paraId="6C7CA706">
      <w:r>
        <w:rPr>
          <w:rFonts w:hint="eastAsia"/>
        </w:rPr>
        <w:t>点击“新建”，</w:t>
      </w:r>
      <w:r>
        <w:t>进入</w:t>
      </w:r>
      <w:r>
        <w:rPr>
          <w:rFonts w:hint="eastAsia"/>
        </w:rPr>
        <w:t>接口</w:t>
      </w:r>
      <w:r>
        <w:t>的ARP/ND</w:t>
      </w:r>
      <w:r>
        <w:rPr>
          <w:rFonts w:hint="eastAsia"/>
        </w:rPr>
        <w:t>控制</w:t>
      </w:r>
      <w:r>
        <w:t>子页面</w:t>
      </w:r>
      <w:r>
        <w:rPr>
          <w:rFonts w:hint="eastAsia"/>
        </w:rPr>
        <w:t>。</w:t>
      </w:r>
    </w:p>
    <w:p w14:paraId="052072BE">
      <w:pPr>
        <w:pStyle w:val="188"/>
      </w:pPr>
      <w:bookmarkStart w:id="7440" w:name="_Toc141875195"/>
      <w:r>
        <w:rPr>
          <w:rFonts w:hint="eastAsia"/>
        </w:rPr>
        <w:t>接口ARP/ND学习</w:t>
      </w:r>
      <w:r>
        <w:t>控制</w:t>
      </w:r>
      <w:r>
        <w:rPr>
          <w:rFonts w:hint="eastAsia"/>
        </w:rPr>
        <w:t>子页面</w:t>
      </w:r>
      <w:bookmarkEnd w:id="7440"/>
    </w:p>
    <w:p w14:paraId="48DE8351">
      <w:r>
        <w:drawing>
          <wp:inline distT="0" distB="0" distL="0" distR="0">
            <wp:extent cx="3381375" cy="2110740"/>
            <wp:effectExtent l="0" t="0" r="0" b="381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903"/>
                    <a:stretch>
                      <a:fillRect/>
                    </a:stretch>
                  </pic:blipFill>
                  <pic:spPr>
                    <a:xfrm>
                      <a:off x="0" y="0"/>
                      <a:ext cx="3390721" cy="2116958"/>
                    </a:xfrm>
                    <a:prstGeom prst="rect">
                      <a:avLst/>
                    </a:prstGeom>
                  </pic:spPr>
                </pic:pic>
              </a:graphicData>
            </a:graphic>
          </wp:inline>
        </w:drawing>
      </w:r>
    </w:p>
    <w:p w14:paraId="1B609F48"/>
    <w:p w14:paraId="64CB535D">
      <w:pPr>
        <w:pStyle w:val="183"/>
      </w:pPr>
      <w:bookmarkStart w:id="7441" w:name="_Toc141875731"/>
      <w:r>
        <w:rPr>
          <w:rFonts w:hint="eastAsia"/>
        </w:rPr>
        <w:t>接口ARP</w:t>
      </w:r>
      <w:r>
        <w:t>/ND</w:t>
      </w:r>
      <w:r>
        <w:rPr>
          <w:rFonts w:hint="eastAsia"/>
        </w:rPr>
        <w:t>学习控制子页面详细配置描述表</w:t>
      </w:r>
      <w:bookmarkEnd w:id="7441"/>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790"/>
        <w:gridCol w:w="7224"/>
      </w:tblGrid>
      <w:tr w14:paraId="2EB0617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90" w:type="dxa"/>
            <w:tcBorders>
              <w:tl2br w:val="nil"/>
              <w:tr2bl w:val="nil"/>
            </w:tcBorders>
            <w:shd w:val="clear" w:color="auto" w:fill="538135" w:themeFill="accent6" w:themeFillShade="BF"/>
            <w:vAlign w:val="center"/>
          </w:tcPr>
          <w:p w14:paraId="6749F831">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7224" w:type="dxa"/>
            <w:tcBorders>
              <w:tl2br w:val="nil"/>
              <w:tr2bl w:val="nil"/>
            </w:tcBorders>
            <w:shd w:val="clear" w:color="auto" w:fill="538135" w:themeFill="accent6" w:themeFillShade="BF"/>
            <w:vAlign w:val="center"/>
          </w:tcPr>
          <w:p w14:paraId="1BC34EBD">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69D9E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90" w:type="dxa"/>
            <w:shd w:val="clear" w:color="auto" w:fill="auto"/>
          </w:tcPr>
          <w:p w14:paraId="3F979334">
            <w:pPr>
              <w:pStyle w:val="150"/>
            </w:pPr>
            <w:r>
              <w:rPr>
                <w:rFonts w:hint="eastAsia"/>
              </w:rPr>
              <w:t>接口</w:t>
            </w:r>
          </w:p>
        </w:tc>
        <w:tc>
          <w:tcPr>
            <w:tcW w:w="7224" w:type="dxa"/>
            <w:shd w:val="clear" w:color="auto" w:fill="auto"/>
          </w:tcPr>
          <w:p w14:paraId="34F71998">
            <w:pPr>
              <w:pStyle w:val="150"/>
            </w:pPr>
            <w:r>
              <w:rPr>
                <w:rFonts w:hint="eastAsia"/>
              </w:rPr>
              <w:t>选择接口</w:t>
            </w:r>
          </w:p>
        </w:tc>
      </w:tr>
      <w:tr w14:paraId="6AD8C2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90" w:type="dxa"/>
            <w:shd w:val="clear" w:color="auto" w:fill="auto"/>
          </w:tcPr>
          <w:p w14:paraId="67DD5778">
            <w:pPr>
              <w:pStyle w:val="150"/>
            </w:pPr>
            <w:r>
              <w:t>ARP</w:t>
            </w:r>
            <w:r>
              <w:rPr>
                <w:rFonts w:hint="eastAsia"/>
              </w:rPr>
              <w:t>控制</w:t>
            </w:r>
          </w:p>
        </w:tc>
        <w:tc>
          <w:tcPr>
            <w:tcW w:w="7224" w:type="dxa"/>
            <w:shd w:val="clear" w:color="auto" w:fill="auto"/>
          </w:tcPr>
          <w:p w14:paraId="317183C4">
            <w:pPr>
              <w:pStyle w:val="150"/>
            </w:pPr>
            <w:r>
              <w:rPr>
                <w:rFonts w:hint="eastAsia"/>
              </w:rPr>
              <w:t>启用或</w:t>
            </w:r>
            <w:r>
              <w:t>不启用ARP</w:t>
            </w:r>
            <w:r>
              <w:rPr>
                <w:rFonts w:hint="eastAsia"/>
              </w:rPr>
              <w:t>控制</w:t>
            </w:r>
          </w:p>
        </w:tc>
      </w:tr>
      <w:tr w14:paraId="7DA9AF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90" w:type="dxa"/>
            <w:shd w:val="clear" w:color="auto" w:fill="auto"/>
          </w:tcPr>
          <w:p w14:paraId="18AF7ED2">
            <w:pPr>
              <w:pStyle w:val="150"/>
            </w:pPr>
            <w:r>
              <w:t>ND</w:t>
            </w:r>
            <w:r>
              <w:rPr>
                <w:rFonts w:hint="eastAsia"/>
              </w:rPr>
              <w:t>控制</w:t>
            </w:r>
          </w:p>
        </w:tc>
        <w:tc>
          <w:tcPr>
            <w:tcW w:w="7224" w:type="dxa"/>
            <w:shd w:val="clear" w:color="auto" w:fill="auto"/>
          </w:tcPr>
          <w:p w14:paraId="1FA0FA29">
            <w:pPr>
              <w:pStyle w:val="150"/>
            </w:pPr>
            <w:r>
              <w:rPr>
                <w:rFonts w:hint="eastAsia"/>
              </w:rPr>
              <w:t>启用或</w:t>
            </w:r>
            <w:r>
              <w:t>不启用ND</w:t>
            </w:r>
            <w:r>
              <w:rPr>
                <w:rFonts w:hint="eastAsia"/>
              </w:rPr>
              <w:t>控制</w:t>
            </w:r>
          </w:p>
        </w:tc>
      </w:tr>
    </w:tbl>
    <w:p w14:paraId="71BA6784"/>
    <w:p w14:paraId="17222B37">
      <w:pPr>
        <w:pStyle w:val="5"/>
      </w:pPr>
      <w:bookmarkStart w:id="7442" w:name="_Toc194081119"/>
      <w:bookmarkStart w:id="7443" w:name="_Toc142401309"/>
      <w:bookmarkStart w:id="7444" w:name="_Toc172218585"/>
      <w:bookmarkStart w:id="7445" w:name="_Toc141873792"/>
      <w:bookmarkStart w:id="7446" w:name="_Toc196728451"/>
      <w:bookmarkStart w:id="7447" w:name="_Toc99561978"/>
      <w:bookmarkStart w:id="7448" w:name="_Toc474250107"/>
      <w:bookmarkStart w:id="7449" w:name="_Toc15460073"/>
      <w:bookmarkStart w:id="7450" w:name="_Toc15485281"/>
      <w:bookmarkStart w:id="7451" w:name="_Toc23153038"/>
      <w:bookmarkStart w:id="7452" w:name="_Toc40276459"/>
      <w:bookmarkStart w:id="7453" w:name="_Toc99561974"/>
      <w:r>
        <w:rPr>
          <w:rFonts w:hint="eastAsia"/>
        </w:rPr>
        <w:t>异常报文攻击防护</w:t>
      </w:r>
      <w:bookmarkEnd w:id="7442"/>
      <w:bookmarkEnd w:id="7443"/>
      <w:bookmarkEnd w:id="7444"/>
      <w:bookmarkEnd w:id="7445"/>
      <w:bookmarkEnd w:id="7446"/>
      <w:bookmarkEnd w:id="7447"/>
    </w:p>
    <w:p w14:paraId="14E0A4FD">
      <w:pPr>
        <w:pStyle w:val="6"/>
      </w:pPr>
      <w:bookmarkStart w:id="7454" w:name="_Toc474250091"/>
      <w:bookmarkStart w:id="7455" w:name="_Toc15460057"/>
      <w:bookmarkStart w:id="7456" w:name="_Toc15485265"/>
      <w:bookmarkStart w:id="7457" w:name="_Toc23153022"/>
      <w:bookmarkStart w:id="7458" w:name="_Toc40276443"/>
      <w:bookmarkStart w:id="7459" w:name="_Toc99561979"/>
      <w:bookmarkStart w:id="7460" w:name="_Toc141873793"/>
      <w:bookmarkStart w:id="7461" w:name="_Toc142401310"/>
      <w:bookmarkStart w:id="7462" w:name="_Toc172218586"/>
      <w:r>
        <w:rPr>
          <w:rFonts w:hint="eastAsia"/>
        </w:rPr>
        <w:t>异常报文攻击防护概述</w:t>
      </w:r>
      <w:bookmarkEnd w:id="7454"/>
      <w:bookmarkEnd w:id="7455"/>
      <w:bookmarkEnd w:id="7456"/>
      <w:bookmarkEnd w:id="7457"/>
      <w:bookmarkEnd w:id="7458"/>
      <w:bookmarkEnd w:id="7459"/>
      <w:bookmarkEnd w:id="7460"/>
      <w:bookmarkEnd w:id="7461"/>
      <w:bookmarkEnd w:id="7462"/>
    </w:p>
    <w:p w14:paraId="092646BE">
      <w:r>
        <w:rPr>
          <w:rFonts w:hint="eastAsia"/>
        </w:rPr>
        <w:t>在网络中，有时会有一些带有攻击性质的报文传输，通常这些报文能对目标主机进行破坏，异常报文攻击防护能对这些报文进行拦截并报日志。</w:t>
      </w:r>
    </w:p>
    <w:p w14:paraId="1C74AFC8">
      <w:pPr>
        <w:pStyle w:val="6"/>
      </w:pPr>
      <w:bookmarkStart w:id="7463" w:name="_Toc388630811"/>
      <w:bookmarkStart w:id="7464" w:name="_Toc474250092"/>
      <w:bookmarkStart w:id="7465" w:name="_Toc15460058"/>
      <w:bookmarkStart w:id="7466" w:name="_Toc15485266"/>
      <w:bookmarkStart w:id="7467" w:name="_Toc23153023"/>
      <w:bookmarkStart w:id="7468" w:name="_Toc40276444"/>
      <w:bookmarkStart w:id="7469" w:name="_Toc99561980"/>
      <w:bookmarkStart w:id="7470" w:name="_Toc172218587"/>
      <w:bookmarkStart w:id="7471" w:name="_Toc142401311"/>
      <w:bookmarkStart w:id="7472" w:name="_Toc141873794"/>
      <w:r>
        <w:rPr>
          <w:rFonts w:hint="eastAsia"/>
        </w:rPr>
        <w:t>异常报文攻击防护</w:t>
      </w:r>
      <w:bookmarkEnd w:id="7463"/>
      <w:r>
        <w:rPr>
          <w:rFonts w:hint="eastAsia"/>
        </w:rPr>
        <w:t>配置</w:t>
      </w:r>
      <w:bookmarkEnd w:id="7464"/>
      <w:bookmarkEnd w:id="7465"/>
      <w:bookmarkEnd w:id="7466"/>
      <w:bookmarkEnd w:id="7467"/>
      <w:bookmarkEnd w:id="7468"/>
      <w:bookmarkEnd w:id="7469"/>
      <w:bookmarkEnd w:id="7470"/>
      <w:bookmarkEnd w:id="7471"/>
      <w:bookmarkEnd w:id="7472"/>
    </w:p>
    <w:p w14:paraId="43884D72">
      <w:r>
        <w:rPr>
          <w:rFonts w:hint="eastAsia"/>
        </w:rPr>
        <w:t xml:space="preserve">通过菜单“策略配置 &gt; 安全设置 &gt; 安全防护 </w:t>
      </w:r>
      <w:r>
        <w:t xml:space="preserve">&gt; </w:t>
      </w:r>
      <w:r>
        <w:rPr>
          <w:rFonts w:hint="eastAsia"/>
        </w:rPr>
        <w:t>异常包攻击防御”进入异常包攻击防御的配置界面，如</w:t>
      </w:r>
      <w:r>
        <w:rPr>
          <w:color w:val="0000FF"/>
          <w:u w:val="single"/>
        </w:rPr>
        <w:fldChar w:fldCharType="begin"/>
      </w:r>
      <w:r>
        <w:rPr>
          <w:color w:val="0000FF"/>
          <w:u w:val="single"/>
        </w:rPr>
        <w:instrText xml:space="preserve"> REF _Ref393799995 \r \h </w:instrText>
      </w:r>
      <w:r>
        <w:rPr>
          <w:color w:val="0000FF"/>
          <w:u w:val="single"/>
        </w:rPr>
        <w:fldChar w:fldCharType="separate"/>
      </w:r>
      <w:r>
        <w:rPr>
          <w:rFonts w:hint="eastAsia"/>
          <w:color w:val="0000FF"/>
          <w:u w:val="single"/>
        </w:rPr>
        <w:t>图29-39</w:t>
      </w:r>
      <w:r>
        <w:rPr>
          <w:color w:val="0000FF"/>
          <w:u w:val="single"/>
        </w:rPr>
        <w:fldChar w:fldCharType="end"/>
      </w:r>
      <w:r>
        <w:rPr>
          <w:rFonts w:hint="eastAsia"/>
        </w:rPr>
        <w:t>所示。</w:t>
      </w:r>
    </w:p>
    <w:p w14:paraId="5F0FD452">
      <w:pPr>
        <w:pStyle w:val="188"/>
      </w:pPr>
      <w:bookmarkStart w:id="7473" w:name="_Toc141875196"/>
      <w:bookmarkStart w:id="7474" w:name="_Ref393799995"/>
      <w:r>
        <w:rPr>
          <w:rFonts w:hint="eastAsia"/>
        </w:rPr>
        <w:t>异常报文攻击防护设置界面</w:t>
      </w:r>
      <w:bookmarkEnd w:id="7473"/>
      <w:bookmarkEnd w:id="7474"/>
    </w:p>
    <w:p w14:paraId="7D5139AF">
      <w:r>
        <w:t xml:space="preserve"> </w:t>
      </w:r>
      <w:r>
        <w:drawing>
          <wp:inline distT="0" distB="0" distL="0" distR="0">
            <wp:extent cx="3648075" cy="3656330"/>
            <wp:effectExtent l="0" t="0" r="0" b="1270"/>
            <wp:docPr id="2900" name="图片 2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0" name="图片 2900"/>
                    <pic:cNvPicPr>
                      <a:picLocks noChangeAspect="1"/>
                    </pic:cNvPicPr>
                  </pic:nvPicPr>
                  <pic:blipFill>
                    <a:blip r:embed="rId904"/>
                    <a:stretch>
                      <a:fillRect/>
                    </a:stretch>
                  </pic:blipFill>
                  <pic:spPr>
                    <a:xfrm>
                      <a:off x="0" y="0"/>
                      <a:ext cx="3652903" cy="3661643"/>
                    </a:xfrm>
                    <a:prstGeom prst="rect">
                      <a:avLst/>
                    </a:prstGeom>
                  </pic:spPr>
                </pic:pic>
              </a:graphicData>
            </a:graphic>
          </wp:inline>
        </w:drawing>
      </w:r>
    </w:p>
    <w:p w14:paraId="301EDDFE"/>
    <w:p w14:paraId="2B373703">
      <w:pPr>
        <w:pStyle w:val="183"/>
      </w:pPr>
      <w:bookmarkStart w:id="7475" w:name="_Toc141875732"/>
      <w:r>
        <w:rPr>
          <w:rFonts w:hint="eastAsia"/>
        </w:rPr>
        <w:t>异常报文攻击防护详细配置描述表</w:t>
      </w:r>
      <w:bookmarkEnd w:id="7475"/>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363"/>
        <w:gridCol w:w="7651"/>
      </w:tblGrid>
      <w:tr w14:paraId="76972DB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56" w:type="dxa"/>
            <w:tcBorders>
              <w:tl2br w:val="nil"/>
              <w:tr2bl w:val="nil"/>
            </w:tcBorders>
            <w:shd w:val="clear" w:color="auto" w:fill="538135" w:themeFill="accent6" w:themeFillShade="BF"/>
            <w:vAlign w:val="center"/>
          </w:tcPr>
          <w:p w14:paraId="00462A7C">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7612" w:type="dxa"/>
            <w:tcBorders>
              <w:tl2br w:val="nil"/>
              <w:tr2bl w:val="nil"/>
            </w:tcBorders>
            <w:shd w:val="clear" w:color="auto" w:fill="538135" w:themeFill="accent6" w:themeFillShade="BF"/>
            <w:vAlign w:val="center"/>
          </w:tcPr>
          <w:p w14:paraId="1ED899F6">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86F02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56" w:type="dxa"/>
            <w:shd w:val="clear" w:color="auto" w:fill="auto"/>
          </w:tcPr>
          <w:p w14:paraId="20C181F3">
            <w:pPr>
              <w:pStyle w:val="150"/>
            </w:pPr>
            <w:r>
              <w:rPr>
                <w:rFonts w:hint="eastAsia"/>
              </w:rPr>
              <w:t>Ping of Death</w:t>
            </w:r>
          </w:p>
        </w:tc>
        <w:tc>
          <w:tcPr>
            <w:tcW w:w="7612" w:type="dxa"/>
            <w:shd w:val="clear" w:color="auto" w:fill="auto"/>
          </w:tcPr>
          <w:p w14:paraId="3AA3113B">
            <w:pPr>
              <w:pStyle w:val="150"/>
            </w:pPr>
            <w:r>
              <w:t>ping-of-death</w:t>
            </w:r>
            <w:r>
              <w:rPr>
                <w:rFonts w:hint="eastAsia"/>
              </w:rPr>
              <w:t>攻击是通过向目的主机发送长度超过</w:t>
            </w:r>
            <w:r>
              <w:t>65535</w:t>
            </w:r>
            <w:r>
              <w:rPr>
                <w:rFonts w:hint="eastAsia"/>
              </w:rPr>
              <w:t>的</w:t>
            </w:r>
            <w:r>
              <w:t>icmp</w:t>
            </w:r>
            <w:r>
              <w:rPr>
                <w:rFonts w:hint="eastAsia"/>
              </w:rPr>
              <w:t>报文，使目的主机发生处理异常而崩溃。</w:t>
            </w:r>
          </w:p>
          <w:p w14:paraId="1CD8E8FD">
            <w:pPr>
              <w:pStyle w:val="150"/>
            </w:pPr>
            <w:r>
              <w:rPr>
                <w:rFonts w:hint="eastAsia"/>
              </w:rPr>
              <w:t>配置了防</w:t>
            </w:r>
            <w:r>
              <w:t>ping-of-death</w:t>
            </w:r>
            <w:r>
              <w:rPr>
                <w:rFonts w:hint="eastAsia"/>
              </w:rPr>
              <w:t>攻击功能后，</w:t>
            </w:r>
            <w:r>
              <w:t>设备</w:t>
            </w:r>
            <w:r>
              <w:rPr>
                <w:rFonts w:hint="eastAsia"/>
              </w:rPr>
              <w:t>可以检测出</w:t>
            </w:r>
            <w:r>
              <w:t>ping-of-death</w:t>
            </w:r>
            <w:r>
              <w:rPr>
                <w:rFonts w:hint="eastAsia"/>
              </w:rPr>
              <w:t>攻击，丢弃攻击报文并根据配置输出告警日志信息。</w:t>
            </w:r>
          </w:p>
        </w:tc>
      </w:tr>
      <w:tr w14:paraId="201083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56" w:type="dxa"/>
            <w:shd w:val="clear" w:color="auto" w:fill="auto"/>
          </w:tcPr>
          <w:p w14:paraId="65C3E633">
            <w:pPr>
              <w:pStyle w:val="150"/>
            </w:pPr>
            <w:r>
              <w:t>Land-Base</w:t>
            </w:r>
          </w:p>
        </w:tc>
        <w:tc>
          <w:tcPr>
            <w:tcW w:w="7612" w:type="dxa"/>
            <w:shd w:val="clear" w:color="auto" w:fill="auto"/>
          </w:tcPr>
          <w:p w14:paraId="27630FF7">
            <w:pPr>
              <w:pStyle w:val="150"/>
            </w:pPr>
            <w:r>
              <w:rPr>
                <w:rFonts w:hint="eastAsia"/>
              </w:rPr>
              <w:t>L</w:t>
            </w:r>
            <w:r>
              <w:t>and-base</w:t>
            </w:r>
            <w:r>
              <w:rPr>
                <w:rFonts w:hint="eastAsia"/>
              </w:rPr>
              <w:t>攻击通过向目的主机发送目的地址和源地址相同的报文，使目的主机消耗大量的系统资源，从而造成系统崩溃或死机。</w:t>
            </w:r>
          </w:p>
          <w:p w14:paraId="1E683D9D">
            <w:pPr>
              <w:pStyle w:val="150"/>
            </w:pPr>
            <w:r>
              <w:rPr>
                <w:rFonts w:hint="eastAsia"/>
              </w:rPr>
              <w:t>配置了防</w:t>
            </w:r>
            <w:r>
              <w:t>land-base</w:t>
            </w:r>
            <w:r>
              <w:rPr>
                <w:rFonts w:hint="eastAsia"/>
              </w:rPr>
              <w:t>攻击功能后，</w:t>
            </w:r>
            <w:r>
              <w:t>设备</w:t>
            </w:r>
            <w:r>
              <w:rPr>
                <w:rFonts w:hint="eastAsia"/>
              </w:rPr>
              <w:t>可以检测出L</w:t>
            </w:r>
            <w:r>
              <w:t>land-base</w:t>
            </w:r>
            <w:r>
              <w:rPr>
                <w:rFonts w:hint="eastAsia"/>
              </w:rPr>
              <w:t>攻击，丢弃攻击报文并根据配置输出告警日志信息。</w:t>
            </w:r>
          </w:p>
        </w:tc>
      </w:tr>
      <w:tr w14:paraId="6745A4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56" w:type="dxa"/>
            <w:shd w:val="clear" w:color="auto" w:fill="auto"/>
          </w:tcPr>
          <w:p w14:paraId="348EF32B">
            <w:pPr>
              <w:pStyle w:val="150"/>
            </w:pPr>
            <w:r>
              <w:t>Tear-drop</w:t>
            </w:r>
          </w:p>
        </w:tc>
        <w:tc>
          <w:tcPr>
            <w:tcW w:w="7612" w:type="dxa"/>
            <w:shd w:val="clear" w:color="auto" w:fill="auto"/>
          </w:tcPr>
          <w:p w14:paraId="6B139B26">
            <w:pPr>
              <w:pStyle w:val="150"/>
            </w:pPr>
            <w:r>
              <w:t>tear-drop</w:t>
            </w:r>
            <w:r>
              <w:rPr>
                <w:rFonts w:hint="eastAsia"/>
              </w:rPr>
              <w:t>攻击通过向目的主机发送报文偏移重叠的分片报文，使目的主机发生处理异常而崩溃配置了防T</w:t>
            </w:r>
            <w:r>
              <w:t>ear-drop</w:t>
            </w:r>
            <w:r>
              <w:rPr>
                <w:rFonts w:hint="eastAsia"/>
              </w:rPr>
              <w:t>攻击功能后，</w:t>
            </w:r>
            <w:r>
              <w:t>设备</w:t>
            </w:r>
            <w:r>
              <w:rPr>
                <w:rFonts w:hint="eastAsia"/>
              </w:rPr>
              <w:t>可以检测出T</w:t>
            </w:r>
            <w:r>
              <w:t>ear-drop</w:t>
            </w:r>
            <w:r>
              <w:rPr>
                <w:rFonts w:hint="eastAsia"/>
              </w:rPr>
              <w:t>攻击，并输出告警日志信息。</w:t>
            </w:r>
          </w:p>
          <w:p w14:paraId="6A33FB89">
            <w:pPr>
              <w:pStyle w:val="150"/>
            </w:pPr>
            <w:r>
              <w:rPr>
                <w:rFonts w:hint="eastAsia"/>
              </w:rPr>
              <w:t>因为正常报文传送也有可能出现报文重叠，因此</w:t>
            </w:r>
            <w:r>
              <w:t>设备</w:t>
            </w:r>
            <w:r>
              <w:rPr>
                <w:rFonts w:hint="eastAsia"/>
              </w:rPr>
              <w:t>不会丢弃该报文，而是采取裁减、重新组装报文的方式，发送出正常的报文。</w:t>
            </w:r>
          </w:p>
        </w:tc>
      </w:tr>
      <w:tr w14:paraId="352C25E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56" w:type="dxa"/>
            <w:shd w:val="clear" w:color="auto" w:fill="auto"/>
          </w:tcPr>
          <w:p w14:paraId="75D75F2A">
            <w:pPr>
              <w:pStyle w:val="150"/>
            </w:pPr>
            <w:r>
              <w:t>Tcp flag</w:t>
            </w:r>
          </w:p>
        </w:tc>
        <w:tc>
          <w:tcPr>
            <w:tcW w:w="7612" w:type="dxa"/>
            <w:shd w:val="clear" w:color="auto" w:fill="auto"/>
          </w:tcPr>
          <w:p w14:paraId="626AC59E">
            <w:pPr>
              <w:pStyle w:val="150"/>
            </w:pPr>
            <w:r>
              <w:t xml:space="preserve">TCP </w:t>
            </w:r>
            <w:r>
              <w:rPr>
                <w:rFonts w:hint="eastAsia"/>
              </w:rPr>
              <w:t>异常攻击防护功能开启后，缺省情况下当安全网关发现受到</w:t>
            </w:r>
            <w:r>
              <w:t xml:space="preserve">TCP </w:t>
            </w:r>
            <w:r>
              <w:rPr>
                <w:rFonts w:hint="eastAsia"/>
              </w:rPr>
              <w:t>异常攻击后，会丢弃攻击包。</w:t>
            </w:r>
          </w:p>
        </w:tc>
      </w:tr>
      <w:tr w14:paraId="5B90A0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56" w:type="dxa"/>
            <w:shd w:val="clear" w:color="auto" w:fill="auto"/>
          </w:tcPr>
          <w:p w14:paraId="79B5D64B">
            <w:pPr>
              <w:pStyle w:val="150"/>
            </w:pPr>
            <w:r>
              <w:t>Winnuke</w:t>
            </w:r>
          </w:p>
        </w:tc>
        <w:tc>
          <w:tcPr>
            <w:tcW w:w="7612" w:type="dxa"/>
            <w:shd w:val="clear" w:color="auto" w:fill="auto"/>
          </w:tcPr>
          <w:p w14:paraId="4FEAE5DE">
            <w:pPr>
              <w:pStyle w:val="150"/>
            </w:pPr>
            <w:r>
              <w:t>Winnuke</w:t>
            </w:r>
            <w:r>
              <w:rPr>
                <w:rFonts w:hint="eastAsia"/>
              </w:rPr>
              <w:t>攻击通过向目的主机的</w:t>
            </w:r>
            <w:r>
              <w:t>139</w:t>
            </w:r>
            <w:r>
              <w:rPr>
                <w:rFonts w:hint="eastAsia"/>
              </w:rPr>
              <w:t>、</w:t>
            </w:r>
            <w:r>
              <w:t>138</w:t>
            </w:r>
            <w:r>
              <w:rPr>
                <w:rFonts w:hint="eastAsia"/>
              </w:rPr>
              <w:t>、</w:t>
            </w:r>
            <w:r>
              <w:t>137</w:t>
            </w:r>
            <w:r>
              <w:rPr>
                <w:rFonts w:hint="eastAsia"/>
              </w:rPr>
              <w:t>、</w:t>
            </w:r>
            <w:r>
              <w:t>113</w:t>
            </w:r>
            <w:r>
              <w:rPr>
                <w:rFonts w:hint="eastAsia"/>
              </w:rPr>
              <w:t>、</w:t>
            </w:r>
            <w:r>
              <w:t>53</w:t>
            </w:r>
            <w:r>
              <w:rPr>
                <w:rFonts w:hint="eastAsia"/>
              </w:rPr>
              <w:t>端口发送</w:t>
            </w:r>
            <w:r>
              <w:t>TCP</w:t>
            </w:r>
            <w:r>
              <w:rPr>
                <w:rFonts w:hint="eastAsia"/>
              </w:rPr>
              <w:t>紧急标识位</w:t>
            </w:r>
            <w:r>
              <w:t>URG</w:t>
            </w:r>
            <w:r>
              <w:rPr>
                <w:rFonts w:hint="eastAsia"/>
              </w:rPr>
              <w:t>为</w:t>
            </w:r>
            <w:r>
              <w:t>1</w:t>
            </w:r>
            <w:r>
              <w:rPr>
                <w:rFonts w:hint="eastAsia"/>
              </w:rPr>
              <w:t>的带外数据报文，使系统处理异常而崩溃。</w:t>
            </w:r>
          </w:p>
          <w:p w14:paraId="018161C6">
            <w:pPr>
              <w:pStyle w:val="150"/>
            </w:pPr>
            <w:r>
              <w:rPr>
                <w:rFonts w:hint="eastAsia"/>
              </w:rPr>
              <w:t>配置了防</w:t>
            </w:r>
            <w:r>
              <w:t>Winnuke</w:t>
            </w:r>
            <w:r>
              <w:rPr>
                <w:rFonts w:hint="eastAsia"/>
              </w:rPr>
              <w:t>攻击功能后，可以检测出</w:t>
            </w:r>
            <w:r>
              <w:t>Winnuke</w:t>
            </w:r>
            <w:r>
              <w:rPr>
                <w:rFonts w:hint="eastAsia"/>
              </w:rPr>
              <w:t>攻击报文，丢弃攻击报文并根据配置输出告警日志信息。</w:t>
            </w:r>
          </w:p>
        </w:tc>
      </w:tr>
      <w:tr w14:paraId="65F566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56" w:type="dxa"/>
            <w:shd w:val="clear" w:color="auto" w:fill="auto"/>
          </w:tcPr>
          <w:p w14:paraId="566B2C57">
            <w:pPr>
              <w:pStyle w:val="150"/>
            </w:pPr>
            <w:r>
              <w:t>Smurf</w:t>
            </w:r>
          </w:p>
        </w:tc>
        <w:tc>
          <w:tcPr>
            <w:tcW w:w="7612" w:type="dxa"/>
            <w:shd w:val="clear" w:color="auto" w:fill="auto"/>
          </w:tcPr>
          <w:p w14:paraId="6890EDFA">
            <w:pPr>
              <w:pStyle w:val="150"/>
            </w:pPr>
            <w:r>
              <w:rPr>
                <w:rFonts w:hint="eastAsia"/>
              </w:rPr>
              <w:t>这种攻击方法结合使用了</w:t>
            </w:r>
            <w:r>
              <w:t>IP</w:t>
            </w:r>
            <w:r>
              <w:rPr>
                <w:rFonts w:hint="eastAsia"/>
              </w:rPr>
              <w:t>欺骗和</w:t>
            </w:r>
            <w:r>
              <w:t>ICMP</w:t>
            </w:r>
            <w:r>
              <w:rPr>
                <w:rFonts w:hint="eastAsia"/>
              </w:rPr>
              <w:t>回复方法使大量网络传输充斥目标系统，引起目标系统拒绝为正常系统进行服务。</w:t>
            </w:r>
          </w:p>
          <w:p w14:paraId="1B069100">
            <w:pPr>
              <w:pStyle w:val="150"/>
            </w:pPr>
            <w:r>
              <w:t>Smurf</w:t>
            </w:r>
            <w:r>
              <w:rPr>
                <w:rFonts w:hint="eastAsia"/>
              </w:rPr>
              <w:t>攻击通过使用将回复地址设置成受害网络的广播地址的</w:t>
            </w:r>
            <w:r>
              <w:t>ICMP</w:t>
            </w:r>
            <w:r>
              <w:rPr>
                <w:rFonts w:hint="eastAsia"/>
              </w:rPr>
              <w:t>应答请求</w:t>
            </w:r>
            <w:r>
              <w:t>(PING)</w:t>
            </w:r>
            <w:r>
              <w:rPr>
                <w:rFonts w:hint="eastAsia"/>
              </w:rPr>
              <w:t>数据包，来淹没受害主机，最终导致该网络的所有主机都对此</w:t>
            </w:r>
            <w:r>
              <w:t>ICMP</w:t>
            </w:r>
            <w:r>
              <w:rPr>
                <w:rFonts w:hint="eastAsia"/>
              </w:rPr>
              <w:t>应答请求做出答复，导致网络阻塞。</w:t>
            </w:r>
          </w:p>
        </w:tc>
      </w:tr>
      <w:tr w14:paraId="3E8D3D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56" w:type="dxa"/>
            <w:shd w:val="clear" w:color="auto" w:fill="auto"/>
          </w:tcPr>
          <w:p w14:paraId="125D702B">
            <w:pPr>
              <w:pStyle w:val="150"/>
            </w:pPr>
            <w:r>
              <w:t>I</w:t>
            </w:r>
            <w:r>
              <w:rPr>
                <w:rFonts w:hint="eastAsia"/>
              </w:rPr>
              <w:t>P</w:t>
            </w:r>
            <w:r>
              <w:t>-</w:t>
            </w:r>
            <w:r>
              <w:rPr>
                <w:rFonts w:hint="eastAsia"/>
              </w:rPr>
              <w:t>S</w:t>
            </w:r>
            <w:r>
              <w:t>poof</w:t>
            </w:r>
          </w:p>
        </w:tc>
        <w:tc>
          <w:tcPr>
            <w:tcW w:w="7612" w:type="dxa"/>
            <w:shd w:val="clear" w:color="auto" w:fill="auto"/>
          </w:tcPr>
          <w:p w14:paraId="25A4CE5B">
            <w:pPr>
              <w:pStyle w:val="150"/>
            </w:pPr>
            <w:r>
              <w:rPr>
                <w:rFonts w:hint="eastAsia"/>
              </w:rPr>
              <w:t>防护</w:t>
            </w:r>
            <w:r>
              <w:t>IP</w:t>
            </w:r>
            <w:r>
              <w:rPr>
                <w:rFonts w:hint="eastAsia"/>
              </w:rPr>
              <w:t>地址欺骗攻击，暂时用反向路由检测来实现，如果反向路由不存在或者反向路由查询结果是存在，但是该</w:t>
            </w:r>
            <w:r>
              <w:t xml:space="preserve">IP </w:t>
            </w:r>
            <w:r>
              <w:rPr>
                <w:rFonts w:hint="eastAsia"/>
              </w:rPr>
              <w:t>为目的地址的数据包离开设备的接口和收到报文的接口不一致，则认为是攻击。</w:t>
            </w:r>
          </w:p>
        </w:tc>
      </w:tr>
      <w:tr w14:paraId="60B79F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56" w:type="dxa"/>
            <w:shd w:val="clear" w:color="auto" w:fill="auto"/>
          </w:tcPr>
          <w:p w14:paraId="4B791858">
            <w:pPr>
              <w:pStyle w:val="150"/>
            </w:pPr>
            <w:r>
              <w:rPr>
                <w:rFonts w:hint="eastAsia"/>
              </w:rPr>
              <w:t>J</w:t>
            </w:r>
            <w:r>
              <w:t>olt2</w:t>
            </w:r>
          </w:p>
        </w:tc>
        <w:tc>
          <w:tcPr>
            <w:tcW w:w="7612" w:type="dxa"/>
            <w:shd w:val="clear" w:color="auto" w:fill="auto"/>
          </w:tcPr>
          <w:p w14:paraId="7FA7BAD6">
            <w:pPr>
              <w:pStyle w:val="150"/>
            </w:pPr>
            <w:r>
              <w:rPr>
                <w:rFonts w:hint="eastAsia"/>
              </w:rPr>
              <w:t>J</w:t>
            </w:r>
            <w:r>
              <w:t>olt2</w:t>
            </w:r>
            <w:r>
              <w:rPr>
                <w:rFonts w:hint="eastAsia"/>
              </w:rPr>
              <w:t>攻击通过向目的主机发送报文偏移加上报文长度超过</w:t>
            </w:r>
            <w:r>
              <w:t>65535</w:t>
            </w:r>
            <w:r>
              <w:rPr>
                <w:rFonts w:hint="eastAsia"/>
              </w:rPr>
              <w:t>的报文，使目的主机处理异常而崩溃。</w:t>
            </w:r>
          </w:p>
        </w:tc>
      </w:tr>
      <w:tr w14:paraId="667BFE4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56" w:type="dxa"/>
            <w:shd w:val="clear" w:color="auto" w:fill="auto"/>
          </w:tcPr>
          <w:p w14:paraId="7F7E13A4">
            <w:pPr>
              <w:pStyle w:val="150"/>
            </w:pPr>
            <w:r>
              <w:t>tcp sack</w:t>
            </w:r>
          </w:p>
        </w:tc>
        <w:tc>
          <w:tcPr>
            <w:tcW w:w="7612" w:type="dxa"/>
            <w:shd w:val="clear" w:color="auto" w:fill="auto"/>
          </w:tcPr>
          <w:p w14:paraId="22C479A9">
            <w:pPr>
              <w:pStyle w:val="150"/>
            </w:pPr>
            <w:r>
              <w:rPr>
                <w:rFonts w:hint="eastAsia"/>
              </w:rPr>
              <w:t>当</w:t>
            </w:r>
            <w:r>
              <w:t xml:space="preserve">tcp </w:t>
            </w:r>
            <w:r>
              <w:rPr>
                <w:rFonts w:hint="eastAsia"/>
              </w:rPr>
              <w:t>的</w:t>
            </w:r>
            <w:r>
              <w:t>mss</w:t>
            </w:r>
            <w:r>
              <w:rPr>
                <w:rFonts w:hint="eastAsia"/>
              </w:rPr>
              <w:t>很小，并且不停发布连续报文时，会触发漏洞。</w:t>
            </w:r>
          </w:p>
        </w:tc>
      </w:tr>
    </w:tbl>
    <w:p w14:paraId="3DD6678C">
      <w:bookmarkStart w:id="7476" w:name="_Toc496875220"/>
      <w:bookmarkEnd w:id="7476"/>
      <w:bookmarkStart w:id="7477" w:name="_Toc508014329"/>
      <w:bookmarkEnd w:id="7477"/>
    </w:p>
    <w:p w14:paraId="654F2E77">
      <w:pPr>
        <w:pStyle w:val="5"/>
      </w:pPr>
      <w:bookmarkStart w:id="7478" w:name="_Toc15485268"/>
      <w:bookmarkStart w:id="7479" w:name="_Toc23153025"/>
      <w:bookmarkStart w:id="7480" w:name="_Toc40276446"/>
      <w:bookmarkStart w:id="7481" w:name="_Toc99561982"/>
      <w:bookmarkStart w:id="7482" w:name="_Toc474250094"/>
      <w:bookmarkStart w:id="7483" w:name="_Toc142401312"/>
      <w:bookmarkStart w:id="7484" w:name="_Toc194081120"/>
      <w:bookmarkStart w:id="7485" w:name="_Toc141873795"/>
      <w:bookmarkStart w:id="7486" w:name="_Toc172218588"/>
      <w:bookmarkStart w:id="7487" w:name="_Toc15460060"/>
      <w:bookmarkStart w:id="7488" w:name="_Toc196728452"/>
      <w:r>
        <w:rPr>
          <w:rFonts w:hint="eastAsia"/>
        </w:rPr>
        <w:t>IPv6异常报文防护</w:t>
      </w:r>
      <w:bookmarkEnd w:id="7478"/>
      <w:bookmarkEnd w:id="7479"/>
      <w:bookmarkEnd w:id="7480"/>
      <w:bookmarkEnd w:id="7481"/>
      <w:bookmarkEnd w:id="7482"/>
      <w:bookmarkEnd w:id="7483"/>
      <w:bookmarkEnd w:id="7484"/>
      <w:bookmarkEnd w:id="7485"/>
      <w:bookmarkEnd w:id="7486"/>
      <w:bookmarkEnd w:id="7487"/>
      <w:bookmarkEnd w:id="7488"/>
    </w:p>
    <w:p w14:paraId="29B66572">
      <w:r>
        <w:rPr>
          <w:rFonts w:hint="eastAsia"/>
        </w:rPr>
        <w:t>如</w:t>
      </w:r>
      <w:r>
        <w:rPr>
          <w:color w:val="0000FF"/>
          <w:u w:val="single"/>
        </w:rPr>
        <w:fldChar w:fldCharType="begin"/>
      </w:r>
      <w:r>
        <w:rPr>
          <w:color w:val="0000FF"/>
          <w:u w:val="single"/>
        </w:rPr>
        <w:instrText xml:space="preserve"> REF _Ref407444041 \r \h </w:instrText>
      </w:r>
      <w:r>
        <w:rPr>
          <w:color w:val="0000FF"/>
          <w:u w:val="single"/>
        </w:rPr>
        <w:fldChar w:fldCharType="separate"/>
      </w:r>
      <w:r>
        <w:rPr>
          <w:rFonts w:hint="eastAsia"/>
          <w:color w:val="0000FF"/>
          <w:u w:val="single"/>
        </w:rPr>
        <w:t>图29-40</w:t>
      </w:r>
      <w:r>
        <w:rPr>
          <w:color w:val="0000FF"/>
          <w:u w:val="single"/>
        </w:rPr>
        <w:fldChar w:fldCharType="end"/>
      </w:r>
      <w:r>
        <w:rPr>
          <w:rFonts w:hint="eastAsia"/>
        </w:rPr>
        <w:t>所示，通过菜单“策略配置&gt;安全设置&gt;安全防护</w:t>
      </w:r>
      <w:r>
        <w:t>&gt;</w:t>
      </w:r>
      <w:r>
        <w:rPr>
          <w:rFonts w:hint="eastAsia"/>
        </w:rPr>
        <w:t>异常包攻击防御</w:t>
      </w:r>
      <w:r>
        <w:t>&gt;IPv6</w:t>
      </w:r>
      <w:r>
        <w:rPr>
          <w:rFonts w:hint="eastAsia"/>
        </w:rPr>
        <w:t>异常包攻击”使用该功能。</w:t>
      </w:r>
    </w:p>
    <w:p w14:paraId="555E9490">
      <w:pPr>
        <w:pStyle w:val="188"/>
      </w:pPr>
      <w:bookmarkStart w:id="7489" w:name="_Toc141875197"/>
      <w:bookmarkStart w:id="7490" w:name="_Ref407444041"/>
      <w:r>
        <w:rPr>
          <w:rFonts w:hint="eastAsia"/>
        </w:rPr>
        <w:t>IPv6异常包攻击防御的配置界面</w:t>
      </w:r>
      <w:bookmarkEnd w:id="7489"/>
      <w:bookmarkEnd w:id="7490"/>
    </w:p>
    <w:p w14:paraId="28764376">
      <w:r>
        <w:drawing>
          <wp:inline distT="0" distB="0" distL="0" distR="0">
            <wp:extent cx="3942715" cy="2847340"/>
            <wp:effectExtent l="0" t="0" r="635" b="0"/>
            <wp:docPr id="2902" name="图片 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 name="图片 2902"/>
                    <pic:cNvPicPr>
                      <a:picLocks noChangeAspect="1"/>
                    </pic:cNvPicPr>
                  </pic:nvPicPr>
                  <pic:blipFill>
                    <a:blip r:embed="rId905"/>
                    <a:stretch>
                      <a:fillRect/>
                    </a:stretch>
                  </pic:blipFill>
                  <pic:spPr>
                    <a:xfrm>
                      <a:off x="0" y="0"/>
                      <a:ext cx="3942857" cy="2847619"/>
                    </a:xfrm>
                    <a:prstGeom prst="rect">
                      <a:avLst/>
                    </a:prstGeom>
                  </pic:spPr>
                </pic:pic>
              </a:graphicData>
            </a:graphic>
          </wp:inline>
        </w:drawing>
      </w:r>
    </w:p>
    <w:p w14:paraId="5C06D5F7"/>
    <w:p w14:paraId="0D4B453E">
      <w:pPr>
        <w:pStyle w:val="183"/>
      </w:pPr>
      <w:bookmarkStart w:id="7491" w:name="_Toc141875733"/>
      <w:r>
        <w:rPr>
          <w:rFonts w:hint="eastAsia"/>
        </w:rPr>
        <w:t>IPv6异常包攻击详细信息描述表</w:t>
      </w:r>
      <w:bookmarkEnd w:id="7491"/>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506"/>
        <w:gridCol w:w="7508"/>
      </w:tblGrid>
      <w:tr w14:paraId="716566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498" w:type="dxa"/>
            <w:tcBorders>
              <w:tl2br w:val="nil"/>
              <w:tr2bl w:val="nil"/>
            </w:tcBorders>
            <w:shd w:val="clear" w:color="auto" w:fill="538135" w:themeFill="accent6" w:themeFillShade="BF"/>
            <w:vAlign w:val="center"/>
          </w:tcPr>
          <w:p w14:paraId="1BAC0D34">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7470" w:type="dxa"/>
            <w:tcBorders>
              <w:tl2br w:val="nil"/>
              <w:tr2bl w:val="nil"/>
            </w:tcBorders>
            <w:shd w:val="clear" w:color="auto" w:fill="538135" w:themeFill="accent6" w:themeFillShade="BF"/>
            <w:vAlign w:val="center"/>
          </w:tcPr>
          <w:p w14:paraId="328347C7">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F13924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498" w:type="dxa"/>
            <w:shd w:val="clear" w:color="auto" w:fill="auto"/>
          </w:tcPr>
          <w:p w14:paraId="5A1A01BC">
            <w:pPr>
              <w:pStyle w:val="150"/>
            </w:pPr>
            <w:r>
              <w:rPr>
                <w:rFonts w:hint="eastAsia"/>
              </w:rPr>
              <w:t>Winnuke</w:t>
            </w:r>
          </w:p>
        </w:tc>
        <w:tc>
          <w:tcPr>
            <w:tcW w:w="7470" w:type="dxa"/>
            <w:shd w:val="clear" w:color="auto" w:fill="auto"/>
          </w:tcPr>
          <w:p w14:paraId="32C15CD8">
            <w:pPr>
              <w:pStyle w:val="150"/>
            </w:pPr>
            <w:r>
              <w:rPr>
                <w:rFonts w:hint="eastAsia"/>
              </w:rPr>
              <w:t>winnuke报文攻击</w:t>
            </w:r>
          </w:p>
        </w:tc>
      </w:tr>
      <w:tr w14:paraId="7032A8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498" w:type="dxa"/>
            <w:shd w:val="clear" w:color="auto" w:fill="auto"/>
          </w:tcPr>
          <w:p w14:paraId="6CDE7B89">
            <w:pPr>
              <w:pStyle w:val="150"/>
            </w:pPr>
            <w:r>
              <w:rPr>
                <w:rFonts w:hint="eastAsia"/>
              </w:rPr>
              <w:t>Land-Base</w:t>
            </w:r>
          </w:p>
        </w:tc>
        <w:tc>
          <w:tcPr>
            <w:tcW w:w="7470" w:type="dxa"/>
            <w:shd w:val="clear" w:color="auto" w:fill="auto"/>
          </w:tcPr>
          <w:p w14:paraId="2E363241">
            <w:pPr>
              <w:pStyle w:val="150"/>
            </w:pPr>
            <w:r>
              <w:rPr>
                <w:rFonts w:hint="eastAsia"/>
              </w:rPr>
              <w:t>Land-Base报文攻击</w:t>
            </w:r>
          </w:p>
        </w:tc>
      </w:tr>
      <w:tr w14:paraId="3CC61E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498" w:type="dxa"/>
            <w:shd w:val="clear" w:color="auto" w:fill="auto"/>
          </w:tcPr>
          <w:p w14:paraId="626E7C44">
            <w:pPr>
              <w:pStyle w:val="150"/>
            </w:pPr>
            <w:r>
              <w:rPr>
                <w:rFonts w:hint="eastAsia"/>
              </w:rPr>
              <w:t>TCP flag</w:t>
            </w:r>
          </w:p>
        </w:tc>
        <w:tc>
          <w:tcPr>
            <w:tcW w:w="7470" w:type="dxa"/>
            <w:shd w:val="clear" w:color="auto" w:fill="auto"/>
          </w:tcPr>
          <w:p w14:paraId="43A219D7">
            <w:pPr>
              <w:pStyle w:val="150"/>
            </w:pPr>
            <w:r>
              <w:rPr>
                <w:rFonts w:hint="eastAsia"/>
              </w:rPr>
              <w:t>异常的TCP flag报文攻击</w:t>
            </w:r>
          </w:p>
        </w:tc>
      </w:tr>
      <w:tr w14:paraId="513FA76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498" w:type="dxa"/>
            <w:shd w:val="clear" w:color="auto" w:fill="auto"/>
          </w:tcPr>
          <w:p w14:paraId="178C1234">
            <w:pPr>
              <w:pStyle w:val="150"/>
            </w:pPr>
            <w:r>
              <w:rPr>
                <w:rFonts w:hint="eastAsia"/>
              </w:rPr>
              <w:t>Fraggle</w:t>
            </w:r>
          </w:p>
        </w:tc>
        <w:tc>
          <w:tcPr>
            <w:tcW w:w="7470" w:type="dxa"/>
            <w:shd w:val="clear" w:color="auto" w:fill="auto"/>
          </w:tcPr>
          <w:p w14:paraId="73A30D3C">
            <w:pPr>
              <w:pStyle w:val="150"/>
            </w:pPr>
            <w:r>
              <w:rPr>
                <w:rFonts w:hint="eastAsia"/>
              </w:rPr>
              <w:t>Fraggle报文攻击</w:t>
            </w:r>
          </w:p>
        </w:tc>
      </w:tr>
      <w:tr w14:paraId="48A90E5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498" w:type="dxa"/>
            <w:shd w:val="clear" w:color="auto" w:fill="auto"/>
          </w:tcPr>
          <w:p w14:paraId="120667A6">
            <w:pPr>
              <w:pStyle w:val="150"/>
            </w:pPr>
            <w:r>
              <w:rPr>
                <w:rFonts w:hint="eastAsia"/>
              </w:rPr>
              <w:t>IP Spoof</w:t>
            </w:r>
          </w:p>
        </w:tc>
        <w:tc>
          <w:tcPr>
            <w:tcW w:w="7470" w:type="dxa"/>
            <w:shd w:val="clear" w:color="auto" w:fill="auto"/>
          </w:tcPr>
          <w:p w14:paraId="1AC3127D">
            <w:pPr>
              <w:pStyle w:val="150"/>
            </w:pPr>
            <w:r>
              <w:rPr>
                <w:rFonts w:hint="eastAsia"/>
              </w:rPr>
              <w:t>IP地址欺骗攻击</w:t>
            </w:r>
          </w:p>
        </w:tc>
      </w:tr>
    </w:tbl>
    <w:p w14:paraId="18970927"/>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49AA9CF2">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6898EB9F">
            <w:pPr>
              <w:pStyle w:val="150"/>
              <w:adjustRightInd w:val="0"/>
              <w:snapToGrid w:val="0"/>
              <w:rPr>
                <w:color w:val="auto"/>
              </w:rPr>
            </w:pPr>
            <w:r>
              <w:rPr>
                <w:b/>
                <w:color w:val="auto"/>
              </w:rPr>
              <w:drawing>
                <wp:inline distT="0" distB="0" distL="0" distR="0">
                  <wp:extent cx="283210" cy="283210"/>
                  <wp:effectExtent l="0" t="0" r="2540" b="2540"/>
                  <wp:docPr id="900" name="图片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图片 900"/>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4D943463">
            <w:pPr>
              <w:pStyle w:val="150"/>
              <w:adjustRightInd w:val="0"/>
              <w:snapToGrid w:val="0"/>
              <w:rPr>
                <w:color w:val="auto"/>
              </w:rPr>
            </w:pPr>
            <w:r>
              <w:rPr>
                <w:rFonts w:hint="eastAsia"/>
                <w:color w:val="auto"/>
              </w:rPr>
              <w:t>IPv6异常包攻击的配置和显示等都在一个页面。</w:t>
            </w:r>
          </w:p>
        </w:tc>
      </w:tr>
    </w:tbl>
    <w:p w14:paraId="2BFB70B5">
      <w:bookmarkStart w:id="7492" w:name="_Toc496875225"/>
      <w:bookmarkEnd w:id="7492"/>
      <w:bookmarkStart w:id="7493" w:name="_Toc474250096"/>
    </w:p>
    <w:bookmarkEnd w:id="7493"/>
    <w:p w14:paraId="681F9223">
      <w:pPr>
        <w:pStyle w:val="5"/>
      </w:pPr>
      <w:bookmarkStart w:id="7494" w:name="_Toc15460063"/>
      <w:bookmarkStart w:id="7495" w:name="_Toc15485271"/>
      <w:bookmarkStart w:id="7496" w:name="_Toc23153028"/>
      <w:bookmarkStart w:id="7497" w:name="_Toc40276449"/>
      <w:bookmarkStart w:id="7498" w:name="_Toc99561985"/>
      <w:bookmarkStart w:id="7499" w:name="_Toc142401314"/>
      <w:bookmarkStart w:id="7500" w:name="_Toc172218590"/>
      <w:bookmarkStart w:id="7501" w:name="_Toc141873797"/>
      <w:bookmarkStart w:id="7502" w:name="_Toc194081121"/>
      <w:bookmarkStart w:id="7503" w:name="_Toc196728453"/>
      <w:bookmarkStart w:id="7504" w:name="_Toc474250097"/>
      <w:r>
        <w:rPr>
          <w:rFonts w:hint="eastAsia"/>
        </w:rPr>
        <w:t>扫描攻击防护</w:t>
      </w:r>
      <w:bookmarkEnd w:id="7494"/>
      <w:bookmarkEnd w:id="7495"/>
      <w:bookmarkEnd w:id="7496"/>
      <w:bookmarkEnd w:id="7497"/>
      <w:bookmarkEnd w:id="7498"/>
      <w:bookmarkEnd w:id="7499"/>
      <w:bookmarkEnd w:id="7500"/>
      <w:bookmarkEnd w:id="7501"/>
      <w:bookmarkEnd w:id="7502"/>
      <w:bookmarkEnd w:id="7503"/>
      <w:bookmarkEnd w:id="7504"/>
    </w:p>
    <w:p w14:paraId="1E36465F">
      <w:pPr>
        <w:pStyle w:val="6"/>
      </w:pPr>
      <w:bookmarkStart w:id="7505" w:name="_Toc15460064"/>
      <w:bookmarkStart w:id="7506" w:name="_Toc474250098"/>
      <w:bookmarkStart w:id="7507" w:name="_Toc99561986"/>
      <w:bookmarkStart w:id="7508" w:name="_Toc15485272"/>
      <w:bookmarkStart w:id="7509" w:name="_Toc40276450"/>
      <w:bookmarkStart w:id="7510" w:name="_Toc172218591"/>
      <w:bookmarkStart w:id="7511" w:name="_Toc141873798"/>
      <w:bookmarkStart w:id="7512" w:name="_Toc23153029"/>
      <w:bookmarkStart w:id="7513" w:name="_Toc142401315"/>
      <w:r>
        <w:rPr>
          <w:rFonts w:hint="eastAsia"/>
        </w:rPr>
        <w:t>扫描攻击防护概述</w:t>
      </w:r>
      <w:bookmarkEnd w:id="7505"/>
      <w:bookmarkEnd w:id="7506"/>
      <w:bookmarkEnd w:id="7507"/>
      <w:bookmarkEnd w:id="7508"/>
      <w:bookmarkEnd w:id="7509"/>
      <w:bookmarkEnd w:id="7510"/>
      <w:bookmarkEnd w:id="7511"/>
      <w:bookmarkEnd w:id="7512"/>
      <w:bookmarkEnd w:id="7513"/>
    </w:p>
    <w:p w14:paraId="23367571">
      <w:r>
        <w:rPr>
          <w:rFonts w:hint="eastAsia"/>
        </w:rPr>
        <w:t>扫描攻击是指，攻击者运用扫描工具对网络进行主机地址或端口的扫描，通过准确定位潜在目标的位置，探测目标系统的网络拓扑结构和启用的服务类型，为进一步侵入目标系统做准备。设备可以有效防范以上攻击，从而阻止外部的恶意攻击，保护设备和内网。当检测到此类扫描探测时，向用户进行报警提示。</w:t>
      </w:r>
    </w:p>
    <w:p w14:paraId="7B443C1A">
      <w:pPr>
        <w:pStyle w:val="6"/>
      </w:pPr>
      <w:bookmarkStart w:id="7514" w:name="_Toc40276451"/>
      <w:bookmarkStart w:id="7515" w:name="_Toc99561987"/>
      <w:bookmarkStart w:id="7516" w:name="_Toc142401316"/>
      <w:bookmarkStart w:id="7517" w:name="_Toc15460065"/>
      <w:bookmarkStart w:id="7518" w:name="_Toc141873799"/>
      <w:bookmarkStart w:id="7519" w:name="_Toc23153030"/>
      <w:bookmarkStart w:id="7520" w:name="_Toc172218592"/>
      <w:bookmarkStart w:id="7521" w:name="_Toc474250099"/>
      <w:bookmarkStart w:id="7522" w:name="_Toc15485273"/>
      <w:r>
        <w:rPr>
          <w:rFonts w:hint="eastAsia"/>
        </w:rPr>
        <w:t>扫描攻击防护配置</w:t>
      </w:r>
      <w:bookmarkEnd w:id="7514"/>
      <w:bookmarkEnd w:id="7515"/>
      <w:bookmarkEnd w:id="7516"/>
      <w:bookmarkEnd w:id="7517"/>
      <w:bookmarkEnd w:id="7518"/>
      <w:bookmarkEnd w:id="7519"/>
      <w:bookmarkEnd w:id="7520"/>
      <w:bookmarkEnd w:id="7521"/>
      <w:bookmarkEnd w:id="7522"/>
    </w:p>
    <w:p w14:paraId="03C2994D">
      <w:r>
        <w:rPr>
          <w:rFonts w:hint="eastAsia"/>
        </w:rPr>
        <w:t>通过菜单“策略配置 &gt; 安全设置 &gt; 安全防护</w:t>
      </w:r>
      <w:r>
        <w:t xml:space="preserve"> &gt; </w:t>
      </w:r>
      <w:r>
        <w:rPr>
          <w:rFonts w:hint="eastAsia"/>
        </w:rPr>
        <w:t>异常包攻击防御</w:t>
      </w:r>
      <w:r>
        <w:t xml:space="preserve"> &gt; </w:t>
      </w:r>
      <w:r>
        <w:rPr>
          <w:rFonts w:hint="eastAsia"/>
        </w:rPr>
        <w:t>扫描攻击防御”进入扫描攻击防御显示界面，如</w:t>
      </w:r>
      <w:r>
        <w:rPr>
          <w:color w:val="0000FF"/>
          <w:u w:val="single"/>
        </w:rPr>
        <w:fldChar w:fldCharType="begin"/>
      </w:r>
      <w:r>
        <w:rPr>
          <w:color w:val="0000FF"/>
          <w:u w:val="single"/>
        </w:rPr>
        <w:instrText xml:space="preserve"> REF _Ref392856766 \r \h </w:instrText>
      </w:r>
      <w:r>
        <w:rPr>
          <w:color w:val="0000FF"/>
          <w:u w:val="single"/>
        </w:rPr>
        <w:fldChar w:fldCharType="separate"/>
      </w:r>
      <w:r>
        <w:rPr>
          <w:rFonts w:hint="eastAsia"/>
          <w:color w:val="0000FF"/>
          <w:u w:val="single"/>
        </w:rPr>
        <w:t>图29-41</w:t>
      </w:r>
      <w:r>
        <w:rPr>
          <w:color w:val="0000FF"/>
          <w:u w:val="single"/>
        </w:rPr>
        <w:fldChar w:fldCharType="end"/>
      </w:r>
      <w:r>
        <w:rPr>
          <w:rFonts w:hint="eastAsia"/>
        </w:rPr>
        <w:t>所示。点击</w:t>
      </w:r>
      <w:r>
        <w:t>&lt;</w:t>
      </w:r>
      <w:r>
        <w:rPr>
          <w:rFonts w:hint="eastAsia"/>
        </w:rPr>
        <w:t>新建</w:t>
      </w:r>
      <w:r>
        <w:t>&gt;</w:t>
      </w:r>
      <w:r>
        <w:rPr>
          <w:rFonts w:hint="eastAsia"/>
        </w:rPr>
        <w:t>按钮，进入新建扫描攻击防御界面，如</w:t>
      </w:r>
      <w:r>
        <w:rPr>
          <w:color w:val="0000FF"/>
          <w:u w:val="single"/>
        </w:rPr>
        <w:fldChar w:fldCharType="begin"/>
      </w:r>
      <w:r>
        <w:rPr>
          <w:color w:val="0000FF"/>
          <w:u w:val="single"/>
        </w:rPr>
        <w:instrText xml:space="preserve"> </w:instrText>
      </w:r>
      <w:r>
        <w:rPr>
          <w:rFonts w:hint="eastAsia"/>
          <w:color w:val="0000FF"/>
          <w:u w:val="single"/>
        </w:rPr>
        <w:instrText xml:space="preserve">REF _Ref529434101 \r \h</w:instrText>
      </w:r>
      <w:r>
        <w:rPr>
          <w:color w:val="0000FF"/>
          <w:u w:val="single"/>
        </w:rPr>
        <w:instrText xml:space="preserve"> </w:instrText>
      </w:r>
      <w:r>
        <w:rPr>
          <w:color w:val="0000FF"/>
          <w:u w:val="single"/>
        </w:rPr>
        <w:fldChar w:fldCharType="separate"/>
      </w:r>
      <w:r>
        <w:rPr>
          <w:rFonts w:hint="eastAsia"/>
          <w:color w:val="0000FF"/>
          <w:u w:val="single"/>
        </w:rPr>
        <w:t>图29-42</w:t>
      </w:r>
      <w:r>
        <w:rPr>
          <w:color w:val="0000FF"/>
          <w:u w:val="single"/>
        </w:rPr>
        <w:fldChar w:fldCharType="end"/>
      </w:r>
      <w:r>
        <w:rPr>
          <w:rFonts w:hint="eastAsia"/>
        </w:rPr>
        <w:t>所示。</w:t>
      </w:r>
    </w:p>
    <w:p w14:paraId="5B7FC928">
      <w:pPr>
        <w:pStyle w:val="188"/>
      </w:pPr>
      <w:bookmarkStart w:id="7523" w:name="_Toc141875198"/>
      <w:bookmarkStart w:id="7524" w:name="_Ref392856766"/>
      <w:r>
        <w:rPr>
          <w:rFonts w:hint="eastAsia"/>
        </w:rPr>
        <w:t>扫描攻击防御显示界面</w:t>
      </w:r>
      <w:bookmarkEnd w:id="7523"/>
      <w:bookmarkEnd w:id="7524"/>
    </w:p>
    <w:p w14:paraId="5054E77C">
      <w:r>
        <w:t xml:space="preserve"> </w:t>
      </w:r>
      <w:r>
        <w:drawing>
          <wp:inline distT="0" distB="0" distL="0" distR="0">
            <wp:extent cx="5543550" cy="682625"/>
            <wp:effectExtent l="0" t="0" r="0" b="3175"/>
            <wp:docPr id="2905" name="图片 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5" name="图片 2905"/>
                    <pic:cNvPicPr>
                      <a:picLocks noChangeAspect="1"/>
                    </pic:cNvPicPr>
                  </pic:nvPicPr>
                  <pic:blipFill>
                    <a:blip r:embed="rId906"/>
                    <a:stretch>
                      <a:fillRect/>
                    </a:stretch>
                  </pic:blipFill>
                  <pic:spPr>
                    <a:xfrm>
                      <a:off x="0" y="0"/>
                      <a:ext cx="5616078" cy="692178"/>
                    </a:xfrm>
                    <a:prstGeom prst="rect">
                      <a:avLst/>
                    </a:prstGeom>
                  </pic:spPr>
                </pic:pic>
              </a:graphicData>
            </a:graphic>
          </wp:inline>
        </w:drawing>
      </w:r>
    </w:p>
    <w:p w14:paraId="1CDFD513">
      <w:bookmarkStart w:id="7525" w:name="_Ref393800209"/>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2AE6C08B">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60C49CD6">
            <w:pPr>
              <w:pStyle w:val="150"/>
              <w:adjustRightInd w:val="0"/>
              <w:snapToGrid w:val="0"/>
              <w:rPr>
                <w:color w:val="auto"/>
              </w:rPr>
            </w:pPr>
            <w:r>
              <w:rPr>
                <w:b/>
                <w:color w:val="auto"/>
              </w:rPr>
              <w:drawing>
                <wp:inline distT="0" distB="0" distL="0" distR="0">
                  <wp:extent cx="283210" cy="283210"/>
                  <wp:effectExtent l="0" t="0" r="2540" b="2540"/>
                  <wp:docPr id="903" name="图片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图片 90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71C197BA">
            <w:pPr>
              <w:pStyle w:val="150"/>
              <w:adjustRightInd w:val="0"/>
              <w:snapToGrid w:val="0"/>
              <w:rPr>
                <w:color w:val="auto"/>
              </w:rPr>
            </w:pPr>
            <w:r>
              <w:rPr>
                <w:rFonts w:hint="eastAsia"/>
                <w:color w:val="auto"/>
              </w:rPr>
              <w:t>在</w:t>
            </w:r>
            <w:r>
              <w:rPr>
                <w:color w:val="auto"/>
              </w:rPr>
              <w:t>该页面上，显示</w:t>
            </w:r>
            <w:r>
              <w:rPr>
                <w:rFonts w:hint="eastAsia"/>
                <w:color w:val="auto"/>
              </w:rPr>
              <w:t>所有配置的扫描攻击防护表项</w:t>
            </w:r>
            <w:r>
              <w:rPr>
                <w:color w:val="auto"/>
              </w:rPr>
              <w:t>，同时</w:t>
            </w:r>
            <w:r>
              <w:rPr>
                <w:rFonts w:hint="eastAsia"/>
                <w:color w:val="auto"/>
              </w:rPr>
              <w:t>能够&lt;新建&gt;</w:t>
            </w:r>
            <w:r>
              <w:rPr>
                <w:color w:val="auto"/>
              </w:rPr>
              <w:t>、</w:t>
            </w:r>
            <w:r>
              <w:rPr>
                <w:rFonts w:hint="eastAsia"/>
                <w:color w:val="auto"/>
              </w:rPr>
              <w:t>&lt;</w:t>
            </w:r>
            <w:r>
              <w:rPr>
                <w:color w:val="auto"/>
              </w:rPr>
              <w:t>编辑</w:t>
            </w:r>
            <w:r>
              <w:rPr>
                <w:rFonts w:hint="eastAsia"/>
                <w:color w:val="auto"/>
              </w:rPr>
              <w:t>&gt;和&lt;</w:t>
            </w:r>
            <w:r>
              <w:rPr>
                <w:color w:val="auto"/>
              </w:rPr>
              <w:t>删除</w:t>
            </w:r>
            <w:r>
              <w:rPr>
                <w:rFonts w:hint="eastAsia"/>
                <w:color w:val="auto"/>
              </w:rPr>
              <w:t>&gt;等。</w:t>
            </w:r>
          </w:p>
        </w:tc>
      </w:tr>
    </w:tbl>
    <w:p w14:paraId="7AB35FD1"/>
    <w:p w14:paraId="51FDF253">
      <w:pPr>
        <w:pStyle w:val="188"/>
      </w:pPr>
      <w:bookmarkStart w:id="7526" w:name="_Toc141875199"/>
      <w:bookmarkStart w:id="7527" w:name="_Ref529434101"/>
      <w:r>
        <w:rPr>
          <w:rFonts w:hint="eastAsia"/>
        </w:rPr>
        <w:t>扫描攻击防御新建页面</w:t>
      </w:r>
      <w:bookmarkEnd w:id="7525"/>
      <w:bookmarkEnd w:id="7526"/>
      <w:bookmarkEnd w:id="7527"/>
    </w:p>
    <w:p w14:paraId="16462B61">
      <w:r>
        <w:drawing>
          <wp:inline distT="0" distB="0" distL="0" distR="0">
            <wp:extent cx="5438775" cy="3413125"/>
            <wp:effectExtent l="0" t="0" r="0" b="0"/>
            <wp:docPr id="2907" name="图片 2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7" name="图片 2907"/>
                    <pic:cNvPicPr>
                      <a:picLocks noChangeAspect="1"/>
                    </pic:cNvPicPr>
                  </pic:nvPicPr>
                  <pic:blipFill>
                    <a:blip r:embed="rId907"/>
                    <a:stretch>
                      <a:fillRect/>
                    </a:stretch>
                  </pic:blipFill>
                  <pic:spPr>
                    <a:xfrm>
                      <a:off x="0" y="0"/>
                      <a:ext cx="5448752" cy="3419390"/>
                    </a:xfrm>
                    <a:prstGeom prst="rect">
                      <a:avLst/>
                    </a:prstGeom>
                  </pic:spPr>
                </pic:pic>
              </a:graphicData>
            </a:graphic>
          </wp:inline>
        </w:drawing>
      </w:r>
    </w:p>
    <w:p w14:paraId="1CFAD7D2"/>
    <w:p w14:paraId="5E3653E0">
      <w:pPr>
        <w:pStyle w:val="183"/>
      </w:pPr>
      <w:bookmarkStart w:id="7528" w:name="_Toc141875734"/>
      <w:r>
        <w:rPr>
          <w:rFonts w:hint="eastAsia"/>
        </w:rPr>
        <w:t>扫描攻击防御详细信息描述表</w:t>
      </w:r>
      <w:bookmarkEnd w:id="7528"/>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518"/>
        <w:gridCol w:w="6496"/>
      </w:tblGrid>
      <w:tr w14:paraId="593C90E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518" w:type="dxa"/>
            <w:tcBorders>
              <w:tl2br w:val="nil"/>
              <w:tr2bl w:val="nil"/>
            </w:tcBorders>
            <w:shd w:val="clear" w:color="auto" w:fill="538135" w:themeFill="accent6" w:themeFillShade="BF"/>
            <w:vAlign w:val="center"/>
          </w:tcPr>
          <w:p w14:paraId="653CA83E">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6496" w:type="dxa"/>
            <w:tcBorders>
              <w:tl2br w:val="nil"/>
              <w:tr2bl w:val="nil"/>
            </w:tcBorders>
            <w:shd w:val="clear" w:color="auto" w:fill="538135" w:themeFill="accent6" w:themeFillShade="BF"/>
            <w:vAlign w:val="center"/>
          </w:tcPr>
          <w:p w14:paraId="630F33A1">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FA28C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518" w:type="dxa"/>
            <w:shd w:val="clear" w:color="auto" w:fill="auto"/>
          </w:tcPr>
          <w:p w14:paraId="03902A4B">
            <w:pPr>
              <w:pStyle w:val="150"/>
            </w:pPr>
            <w:r>
              <w:rPr>
                <w:rFonts w:hint="eastAsia"/>
              </w:rPr>
              <w:t>选择接口</w:t>
            </w:r>
          </w:p>
        </w:tc>
        <w:tc>
          <w:tcPr>
            <w:tcW w:w="6496" w:type="dxa"/>
            <w:shd w:val="clear" w:color="auto" w:fill="auto"/>
          </w:tcPr>
          <w:p w14:paraId="4CB32516">
            <w:pPr>
              <w:pStyle w:val="150"/>
            </w:pPr>
            <w:r>
              <w:rPr>
                <w:rFonts w:hint="eastAsia"/>
              </w:rPr>
              <w:t>选择需要防护的接口</w:t>
            </w:r>
          </w:p>
        </w:tc>
      </w:tr>
      <w:tr w14:paraId="2D5009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518" w:type="dxa"/>
            <w:shd w:val="clear" w:color="auto" w:fill="auto"/>
          </w:tcPr>
          <w:p w14:paraId="69F1AD06">
            <w:pPr>
              <w:pStyle w:val="150"/>
            </w:pPr>
            <w:r>
              <w:rPr>
                <w:rFonts w:hint="eastAsia"/>
              </w:rPr>
              <w:t>启用端口扫描防护</w:t>
            </w:r>
          </w:p>
        </w:tc>
        <w:tc>
          <w:tcPr>
            <w:tcW w:w="6496" w:type="dxa"/>
            <w:shd w:val="clear" w:color="auto" w:fill="auto"/>
          </w:tcPr>
          <w:p w14:paraId="7787BC4F">
            <w:pPr>
              <w:pStyle w:val="150"/>
            </w:pPr>
            <w:r>
              <w:rPr>
                <w:rFonts w:hint="eastAsia"/>
              </w:rPr>
              <w:t>勾选复选框在接口上启用端口扫描防护，并设置端口扫描频率阈值。如果在指定的时间段内检测到的端口扫描超出阈值，系统会认定为端口扫描攻击。可以选择将攻击源IP加入到黑名单</w:t>
            </w:r>
          </w:p>
        </w:tc>
      </w:tr>
      <w:tr w14:paraId="7FEBE77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518" w:type="dxa"/>
            <w:shd w:val="clear" w:color="auto" w:fill="auto"/>
          </w:tcPr>
          <w:p w14:paraId="728C3560">
            <w:pPr>
              <w:pStyle w:val="150"/>
            </w:pPr>
            <w:r>
              <w:rPr>
                <w:rFonts w:hint="eastAsia"/>
              </w:rPr>
              <w:t>启用IP扫描防护</w:t>
            </w:r>
          </w:p>
        </w:tc>
        <w:tc>
          <w:tcPr>
            <w:tcW w:w="6496" w:type="dxa"/>
            <w:shd w:val="clear" w:color="auto" w:fill="auto"/>
          </w:tcPr>
          <w:p w14:paraId="07E89013">
            <w:pPr>
              <w:pStyle w:val="150"/>
            </w:pPr>
            <w:r>
              <w:rPr>
                <w:rFonts w:hint="eastAsia"/>
              </w:rPr>
              <w:t>勾选复选框在接口上启用IP扫描防护，并设置IP扫描频率阈值。如果在指定的时间段内检测到的IP扫描超出阈值，系统会认定为IP扫描攻击。可以选择将攻击源IP加入到黑名单。</w:t>
            </w:r>
          </w:p>
        </w:tc>
      </w:tr>
    </w:tbl>
    <w:p w14:paraId="181BB3C6">
      <w:bookmarkStart w:id="7529" w:name="_Toc496875230"/>
      <w:bookmarkEnd w:id="7529"/>
      <w:bookmarkStart w:id="7530" w:name="_Toc508014337"/>
      <w:bookmarkEnd w:id="7530"/>
    </w:p>
    <w:p w14:paraId="79CC6A00">
      <w:pPr>
        <w:pStyle w:val="5"/>
      </w:pPr>
      <w:bookmarkStart w:id="7531" w:name="_Toc474250101"/>
      <w:bookmarkStart w:id="7532" w:name="_Toc15460067"/>
      <w:bookmarkStart w:id="7533" w:name="_Toc15485275"/>
      <w:bookmarkStart w:id="7534" w:name="_Toc23153032"/>
      <w:bookmarkStart w:id="7535" w:name="_Toc40276453"/>
      <w:bookmarkStart w:id="7536" w:name="_Toc99561989"/>
      <w:bookmarkStart w:id="7537" w:name="_Toc172218593"/>
      <w:bookmarkStart w:id="7538" w:name="_Toc141873800"/>
      <w:bookmarkStart w:id="7539" w:name="_Toc196728454"/>
      <w:bookmarkStart w:id="7540" w:name="_Toc142401317"/>
      <w:bookmarkStart w:id="7541" w:name="_Toc194081122"/>
      <w:r>
        <w:rPr>
          <w:rFonts w:hint="eastAsia"/>
        </w:rPr>
        <w:t>DoS攻击防护</w:t>
      </w:r>
      <w:bookmarkEnd w:id="7531"/>
      <w:bookmarkEnd w:id="7532"/>
      <w:bookmarkEnd w:id="7533"/>
      <w:bookmarkEnd w:id="7534"/>
      <w:bookmarkEnd w:id="7535"/>
      <w:bookmarkEnd w:id="7536"/>
      <w:bookmarkEnd w:id="7537"/>
      <w:bookmarkEnd w:id="7538"/>
      <w:bookmarkEnd w:id="7539"/>
      <w:bookmarkEnd w:id="7540"/>
      <w:bookmarkEnd w:id="7541"/>
    </w:p>
    <w:p w14:paraId="320B6F3F">
      <w:pPr>
        <w:pStyle w:val="6"/>
      </w:pPr>
      <w:bookmarkStart w:id="7542" w:name="_Toc23153033"/>
      <w:bookmarkStart w:id="7543" w:name="_Toc141873801"/>
      <w:bookmarkStart w:id="7544" w:name="_Toc15460068"/>
      <w:bookmarkStart w:id="7545" w:name="_Toc15485276"/>
      <w:bookmarkStart w:id="7546" w:name="_Toc40276454"/>
      <w:bookmarkStart w:id="7547" w:name="_Toc172218594"/>
      <w:bookmarkStart w:id="7548" w:name="_Toc99561990"/>
      <w:bookmarkStart w:id="7549" w:name="_Toc474250102"/>
      <w:bookmarkStart w:id="7550" w:name="_Toc142401318"/>
      <w:r>
        <w:rPr>
          <w:rFonts w:hint="eastAsia"/>
        </w:rPr>
        <w:t>DoS攻击防护概述</w:t>
      </w:r>
      <w:bookmarkEnd w:id="7542"/>
      <w:bookmarkEnd w:id="7543"/>
      <w:bookmarkEnd w:id="7544"/>
      <w:bookmarkEnd w:id="7545"/>
      <w:bookmarkEnd w:id="7546"/>
      <w:bookmarkEnd w:id="7547"/>
      <w:bookmarkEnd w:id="7548"/>
      <w:bookmarkEnd w:id="7549"/>
      <w:bookmarkEnd w:id="7550"/>
    </w:p>
    <w:p w14:paraId="7BB7976E">
      <w:r>
        <w:t>DoS</w:t>
      </w:r>
      <w:r>
        <w:rPr>
          <w:rFonts w:hint="eastAsia"/>
        </w:rPr>
        <w:t>攻击是指，攻击者在短时间内向目标系统发送大量的虚假请求，导致目标系统疲于应付无用信息，而无法为合法用户提供正常服务，即发生拒绝服务。</w:t>
      </w:r>
    </w:p>
    <w:p w14:paraId="4D39451B">
      <w:r>
        <w:rPr>
          <w:rFonts w:hint="eastAsia"/>
        </w:rPr>
        <w:t>当前支持对以下四种攻击进行有效防范：</w:t>
      </w:r>
    </w:p>
    <w:p w14:paraId="291CF740">
      <w:pPr>
        <w:pStyle w:val="202"/>
      </w:pPr>
      <w:r>
        <w:rPr>
          <w:rFonts w:hint="eastAsia"/>
        </w:rPr>
        <w:t>S</w:t>
      </w:r>
      <w:r>
        <w:t>YN Flood</w:t>
      </w:r>
      <w:r>
        <w:rPr>
          <w:rFonts w:hint="eastAsia"/>
        </w:rPr>
        <w:t>攻击</w:t>
      </w:r>
    </w:p>
    <w:p w14:paraId="57460EF1">
      <w:r>
        <w:rPr>
          <w:rFonts w:hint="eastAsia"/>
        </w:rPr>
        <w:t>由于资源的限制，</w:t>
      </w:r>
      <w:r>
        <w:t>TCP/IP</w:t>
      </w:r>
      <w:r>
        <w:rPr>
          <w:rFonts w:hint="eastAsia"/>
        </w:rPr>
        <w:t>协议栈只能允许有限个</w:t>
      </w:r>
      <w:r>
        <w:t>TCP</w:t>
      </w:r>
      <w:r>
        <w:rPr>
          <w:rFonts w:hint="eastAsia"/>
        </w:rPr>
        <w:t>连接。</w:t>
      </w:r>
      <w:r>
        <w:t>SYN Flood</w:t>
      </w:r>
      <w:r>
        <w:rPr>
          <w:rFonts w:hint="eastAsia"/>
        </w:rPr>
        <w:t>攻击者向服务器发送伪造源地址的</w:t>
      </w:r>
      <w:r>
        <w:t>SYN</w:t>
      </w:r>
      <w:r>
        <w:rPr>
          <w:rFonts w:hint="eastAsia"/>
        </w:rPr>
        <w:t>报文，服务器在回应</w:t>
      </w:r>
      <w:r>
        <w:t>SYN ACK</w:t>
      </w:r>
      <w:r>
        <w:rPr>
          <w:rFonts w:hint="eastAsia"/>
        </w:rPr>
        <w:t>报文后，由于目的地址是伪造的，因此服务器不会收到相应的</w:t>
      </w:r>
      <w:r>
        <w:t>ACK</w:t>
      </w:r>
      <w:r>
        <w:rPr>
          <w:rFonts w:hint="eastAsia"/>
        </w:rPr>
        <w:t>报文，从而在服务器上产生一个半连接。若攻击者发送大量这样的报文，被攻击服务器上会出现大量的半连接，耗尽其系统资源，使正常的用户无法访问，直到半连接超时。</w:t>
      </w:r>
    </w:p>
    <w:p w14:paraId="35B81256">
      <w:pPr>
        <w:pStyle w:val="202"/>
      </w:pPr>
      <w:r>
        <w:t>ICMP Flood</w:t>
      </w:r>
      <w:r>
        <w:rPr>
          <w:rFonts w:hint="eastAsia"/>
        </w:rPr>
        <w:t>攻击</w:t>
      </w:r>
    </w:p>
    <w:p w14:paraId="71A43E76">
      <w:r>
        <w:t>ICMP Flood</w:t>
      </w:r>
      <w:r>
        <w:rPr>
          <w:rFonts w:hint="eastAsia"/>
        </w:rPr>
        <w:t>攻击是指，攻击者在短时间内向特定目标发送大量的</w:t>
      </w:r>
      <w:r>
        <w:t>ICMP</w:t>
      </w:r>
      <w:r>
        <w:rPr>
          <w:rFonts w:hint="eastAsia"/>
        </w:rPr>
        <w:t>请求报文，使其忙于回复这些请求，致使目标系统负担过重而不能处理正常的业务。</w:t>
      </w:r>
    </w:p>
    <w:p w14:paraId="44FD312C">
      <w:pPr>
        <w:pStyle w:val="202"/>
      </w:pPr>
      <w:r>
        <w:t>UDP Flood</w:t>
      </w:r>
      <w:r>
        <w:rPr>
          <w:rFonts w:hint="eastAsia"/>
        </w:rPr>
        <w:t>攻击</w:t>
      </w:r>
    </w:p>
    <w:p w14:paraId="40544C03">
      <w:r>
        <w:t>UDP Flood</w:t>
      </w:r>
      <w:r>
        <w:rPr>
          <w:rFonts w:hint="eastAsia"/>
        </w:rPr>
        <w:t>攻击是指，攻击者在短时间内向特定目标发送大量的</w:t>
      </w:r>
      <w:r>
        <w:t>UDP</w:t>
      </w:r>
      <w:r>
        <w:rPr>
          <w:rFonts w:hint="eastAsia"/>
        </w:rPr>
        <w:t>报文，致使目标系统负担过重而不能处理正常的业务。</w:t>
      </w:r>
    </w:p>
    <w:p w14:paraId="7CF4DF8F">
      <w:pPr>
        <w:pStyle w:val="202"/>
      </w:pPr>
      <w:r>
        <w:rPr>
          <w:rFonts w:hint="eastAsia"/>
        </w:rPr>
        <w:t>DNS</w:t>
      </w:r>
      <w:r>
        <w:t xml:space="preserve"> Flood</w:t>
      </w:r>
      <w:r>
        <w:rPr>
          <w:rFonts w:hint="eastAsia"/>
        </w:rPr>
        <w:t>攻击</w:t>
      </w:r>
    </w:p>
    <w:p w14:paraId="5931744C">
      <w:r>
        <w:t xml:space="preserve">DNS Query Flood </w:t>
      </w:r>
      <w:r>
        <w:rPr>
          <w:rFonts w:hint="eastAsia"/>
        </w:rPr>
        <w:t>攻击采用的方法是向被攻击的</w:t>
      </w:r>
      <w:r>
        <w:t xml:space="preserve">DNS </w:t>
      </w:r>
      <w:r>
        <w:rPr>
          <w:rFonts w:hint="eastAsia"/>
        </w:rPr>
        <w:t>服务器发送大量的域名解析请求，通常请求解析的域名是随机生成或者是网络上根本不存在的域名。被攻击的</w:t>
      </w:r>
      <w:r>
        <w:t xml:space="preserve">DNS </w:t>
      </w:r>
      <w:r>
        <w:rPr>
          <w:rFonts w:hint="eastAsia"/>
        </w:rPr>
        <w:t>服务器在接收到域名解析请求时，首先会在服务器上查找是否有对应的缓存，如果查找不到并且该域名无法直接由服务器解析时，</w:t>
      </w:r>
      <w:r>
        <w:t xml:space="preserve">DNS </w:t>
      </w:r>
      <w:r>
        <w:rPr>
          <w:rFonts w:hint="eastAsia"/>
        </w:rPr>
        <w:t>服务器会向其上层</w:t>
      </w:r>
      <w:r>
        <w:t xml:space="preserve">DNS </w:t>
      </w:r>
      <w:r>
        <w:rPr>
          <w:rFonts w:hint="eastAsia"/>
        </w:rPr>
        <w:t>服务器递归查询域名信息。域名解析的过程给服务器带来了很大的负载，每秒钟域名解析请求超过一定的数量就会造成</w:t>
      </w:r>
      <w:r>
        <w:t xml:space="preserve">DNS </w:t>
      </w:r>
      <w:r>
        <w:rPr>
          <w:rFonts w:hint="eastAsia"/>
        </w:rPr>
        <w:t>服务器解析域名超时。</w:t>
      </w:r>
    </w:p>
    <w:p w14:paraId="5947717B">
      <w:pPr>
        <w:pStyle w:val="6"/>
      </w:pPr>
      <w:bookmarkStart w:id="7551" w:name="_Toc142401319"/>
      <w:bookmarkStart w:id="7552" w:name="_Toc172218595"/>
      <w:bookmarkStart w:id="7553" w:name="_Toc15485277"/>
      <w:bookmarkStart w:id="7554" w:name="_Toc40276455"/>
      <w:bookmarkStart w:id="7555" w:name="_Toc474250103"/>
      <w:bookmarkStart w:id="7556" w:name="_Toc388630820"/>
      <w:bookmarkStart w:id="7557" w:name="_Toc141873802"/>
      <w:bookmarkStart w:id="7558" w:name="_Toc15460069"/>
      <w:bookmarkStart w:id="7559" w:name="_Toc23153034"/>
      <w:bookmarkStart w:id="7560" w:name="_Toc99561991"/>
      <w:r>
        <w:rPr>
          <w:rFonts w:hint="eastAsia"/>
        </w:rPr>
        <w:t>目的IP防御设置</w:t>
      </w:r>
      <w:bookmarkEnd w:id="7551"/>
      <w:bookmarkEnd w:id="7552"/>
      <w:bookmarkEnd w:id="7553"/>
      <w:bookmarkEnd w:id="7554"/>
      <w:bookmarkEnd w:id="7555"/>
      <w:bookmarkEnd w:id="7556"/>
      <w:bookmarkEnd w:id="7557"/>
      <w:bookmarkEnd w:id="7558"/>
      <w:bookmarkEnd w:id="7559"/>
      <w:bookmarkEnd w:id="7560"/>
    </w:p>
    <w:p w14:paraId="24D96EC7">
      <w:r>
        <w:rPr>
          <w:rFonts w:hint="eastAsia"/>
        </w:rPr>
        <w:t>通过菜单“策略配置 &gt; 安全设置 &gt; 安全防护</w:t>
      </w:r>
      <w:r>
        <w:t xml:space="preserve"> &gt; DoS</w:t>
      </w:r>
      <w:r>
        <w:rPr>
          <w:rFonts w:hint="eastAsia"/>
        </w:rPr>
        <w:t>攻击防护</w:t>
      </w:r>
      <w:r>
        <w:t xml:space="preserve"> &gt; </w:t>
      </w:r>
      <w:r>
        <w:rPr>
          <w:rFonts w:hint="eastAsia"/>
        </w:rPr>
        <w:t>目的</w:t>
      </w:r>
      <w:r>
        <w:t>IP</w:t>
      </w:r>
      <w:r>
        <w:rPr>
          <w:rFonts w:hint="eastAsia"/>
        </w:rPr>
        <w:t>防御”进入目的</w:t>
      </w:r>
      <w:r>
        <w:t>IP</w:t>
      </w:r>
      <w:r>
        <w:rPr>
          <w:rFonts w:hint="eastAsia"/>
        </w:rPr>
        <w:t>防御的显示界面，如</w:t>
      </w:r>
      <w:r>
        <w:rPr>
          <w:color w:val="0000FF"/>
          <w:u w:val="single"/>
        </w:rPr>
        <w:fldChar w:fldCharType="begin"/>
      </w:r>
      <w:r>
        <w:rPr>
          <w:color w:val="0000FF"/>
          <w:u w:val="single"/>
        </w:rPr>
        <w:instrText xml:space="preserve"> REF _Ref392860436 \r \h </w:instrText>
      </w:r>
      <w:r>
        <w:rPr>
          <w:color w:val="0000FF"/>
          <w:u w:val="single"/>
        </w:rPr>
        <w:fldChar w:fldCharType="separate"/>
      </w:r>
      <w:r>
        <w:rPr>
          <w:rFonts w:hint="eastAsia"/>
          <w:color w:val="0000FF"/>
          <w:u w:val="single"/>
        </w:rPr>
        <w:t>图29-43</w:t>
      </w:r>
      <w:r>
        <w:rPr>
          <w:color w:val="0000FF"/>
          <w:u w:val="single"/>
        </w:rPr>
        <w:fldChar w:fldCharType="end"/>
      </w:r>
      <w:r>
        <w:rPr>
          <w:rFonts w:hint="eastAsia"/>
        </w:rPr>
        <w:t>所示。点击</w:t>
      </w:r>
      <w:r>
        <w:t>&lt;</w:t>
      </w:r>
      <w:r>
        <w:rPr>
          <w:rFonts w:hint="eastAsia"/>
        </w:rPr>
        <w:t>新建</w:t>
      </w:r>
      <w:r>
        <w:t>&gt;</w:t>
      </w:r>
      <w:r>
        <w:rPr>
          <w:rFonts w:hint="eastAsia"/>
        </w:rPr>
        <w:t>按钮，弹出目的</w:t>
      </w:r>
      <w:r>
        <w:t>IP</w:t>
      </w:r>
      <w:r>
        <w:rPr>
          <w:rFonts w:hint="eastAsia"/>
        </w:rPr>
        <w:t>防御的配置界面，如</w:t>
      </w:r>
      <w:r>
        <w:rPr>
          <w:color w:val="0000FF"/>
          <w:u w:val="single"/>
        </w:rPr>
        <w:fldChar w:fldCharType="begin"/>
      </w:r>
      <w:r>
        <w:rPr>
          <w:color w:val="0000FF"/>
          <w:u w:val="single"/>
        </w:rPr>
        <w:instrText xml:space="preserve"> REF _Ref393799094 \r \h </w:instrText>
      </w:r>
      <w:r>
        <w:rPr>
          <w:color w:val="0000FF"/>
          <w:u w:val="single"/>
        </w:rPr>
        <w:fldChar w:fldCharType="separate"/>
      </w:r>
      <w:r>
        <w:rPr>
          <w:rFonts w:hint="eastAsia"/>
          <w:color w:val="0000FF"/>
          <w:u w:val="single"/>
        </w:rPr>
        <w:t>图29-44</w:t>
      </w:r>
      <w:r>
        <w:rPr>
          <w:color w:val="0000FF"/>
          <w:u w:val="single"/>
        </w:rPr>
        <w:fldChar w:fldCharType="end"/>
      </w:r>
      <w:r>
        <w:rPr>
          <w:rFonts w:hint="eastAsia"/>
        </w:rPr>
        <w:t>所示。</w:t>
      </w:r>
    </w:p>
    <w:p w14:paraId="447B7BC5">
      <w:pPr>
        <w:pStyle w:val="188"/>
      </w:pPr>
      <w:bookmarkStart w:id="7561" w:name="_Ref392860436"/>
      <w:bookmarkStart w:id="7562" w:name="_Toc141875200"/>
      <w:r>
        <w:rPr>
          <w:rFonts w:hint="eastAsia"/>
        </w:rPr>
        <w:t>目的IP防御显示界面</w:t>
      </w:r>
      <w:bookmarkEnd w:id="7561"/>
      <w:bookmarkEnd w:id="7562"/>
    </w:p>
    <w:p w14:paraId="5048063D">
      <w:r>
        <w:drawing>
          <wp:inline distT="0" distB="0" distL="0" distR="0">
            <wp:extent cx="5619750" cy="755650"/>
            <wp:effectExtent l="0" t="0" r="0" b="6350"/>
            <wp:docPr id="2911" name="图片 2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1" name="图片 2911"/>
                    <pic:cNvPicPr>
                      <a:picLocks noChangeAspect="1"/>
                    </pic:cNvPicPr>
                  </pic:nvPicPr>
                  <pic:blipFill>
                    <a:blip r:embed="rId908"/>
                    <a:stretch>
                      <a:fillRect/>
                    </a:stretch>
                  </pic:blipFill>
                  <pic:spPr>
                    <a:xfrm>
                      <a:off x="0" y="0"/>
                      <a:ext cx="5643995" cy="759442"/>
                    </a:xfrm>
                    <a:prstGeom prst="rect">
                      <a:avLst/>
                    </a:prstGeom>
                  </pic:spPr>
                </pic:pic>
              </a:graphicData>
            </a:graphic>
          </wp:inline>
        </w:drawing>
      </w:r>
    </w:p>
    <w:p w14:paraId="76242B8C"/>
    <w:p w14:paraId="64A78E72">
      <w:pPr>
        <w:pStyle w:val="188"/>
      </w:pPr>
      <w:bookmarkStart w:id="7563" w:name="_Ref393799094"/>
      <w:bookmarkStart w:id="7564" w:name="_Toc141875201"/>
      <w:r>
        <w:rPr>
          <w:rFonts w:hint="eastAsia"/>
        </w:rPr>
        <w:t>新建目的IP防御界面</w:t>
      </w:r>
      <w:bookmarkEnd w:id="7563"/>
      <w:bookmarkEnd w:id="7564"/>
    </w:p>
    <w:p w14:paraId="0B109D89">
      <w:pPr>
        <w:spacing w:before="78" w:after="78"/>
      </w:pPr>
      <w:r>
        <w:drawing>
          <wp:inline distT="0" distB="0" distL="0" distR="0">
            <wp:extent cx="5400040" cy="3078480"/>
            <wp:effectExtent l="0" t="0" r="0" b="7620"/>
            <wp:docPr id="88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 name="图片 54"/>
                    <pic:cNvPicPr>
                      <a:picLocks noChangeAspect="1" noChangeArrowheads="1"/>
                    </pic:cNvPicPr>
                  </pic:nvPicPr>
                  <pic:blipFill>
                    <a:blip r:embed="rId909">
                      <a:extLst>
                        <a:ext uri="{28A0092B-C50C-407E-A947-70E740481C1C}">
                          <a14:useLocalDpi xmlns:a14="http://schemas.microsoft.com/office/drawing/2010/main" val="0"/>
                        </a:ext>
                      </a:extLst>
                    </a:blip>
                    <a:srcRect/>
                    <a:stretch>
                      <a:fillRect/>
                    </a:stretch>
                  </pic:blipFill>
                  <pic:spPr>
                    <a:xfrm>
                      <a:off x="0" y="0"/>
                      <a:ext cx="5400040" cy="3078527"/>
                    </a:xfrm>
                    <a:prstGeom prst="rect">
                      <a:avLst/>
                    </a:prstGeom>
                    <a:noFill/>
                    <a:ln>
                      <a:noFill/>
                    </a:ln>
                  </pic:spPr>
                </pic:pic>
              </a:graphicData>
            </a:graphic>
          </wp:inline>
        </w:drawing>
      </w:r>
    </w:p>
    <w:p w14:paraId="17783663"/>
    <w:p w14:paraId="79CB2E7B">
      <w:pPr>
        <w:pStyle w:val="183"/>
      </w:pPr>
      <w:bookmarkStart w:id="7565" w:name="_Toc141875735"/>
      <w:r>
        <w:rPr>
          <w:rFonts w:hint="eastAsia"/>
        </w:rPr>
        <w:t>配置说明</w:t>
      </w:r>
      <w:bookmarkEnd w:id="7565"/>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943"/>
        <w:gridCol w:w="6071"/>
      </w:tblGrid>
      <w:tr w14:paraId="721DBB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943" w:type="dxa"/>
            <w:tcBorders>
              <w:tl2br w:val="nil"/>
              <w:tr2bl w:val="nil"/>
            </w:tcBorders>
            <w:shd w:val="clear" w:color="auto" w:fill="538135" w:themeFill="accent6" w:themeFillShade="BF"/>
            <w:vAlign w:val="center"/>
          </w:tcPr>
          <w:p w14:paraId="02C31F92">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6071" w:type="dxa"/>
            <w:tcBorders>
              <w:tl2br w:val="nil"/>
              <w:tr2bl w:val="nil"/>
            </w:tcBorders>
            <w:shd w:val="clear" w:color="auto" w:fill="538135" w:themeFill="accent6" w:themeFillShade="BF"/>
            <w:vAlign w:val="center"/>
          </w:tcPr>
          <w:p w14:paraId="129ED352">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A7A3D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943" w:type="dxa"/>
            <w:shd w:val="clear" w:color="auto" w:fill="auto"/>
          </w:tcPr>
          <w:p w14:paraId="79BD24A3">
            <w:pPr>
              <w:pStyle w:val="150"/>
            </w:pPr>
            <w:r>
              <w:rPr>
                <w:rFonts w:hint="eastAsia"/>
              </w:rPr>
              <w:t>指定保护主机的</w:t>
            </w:r>
            <w:r>
              <w:t>IP</w:t>
            </w:r>
            <w:r>
              <w:rPr>
                <w:rFonts w:hint="eastAsia"/>
              </w:rPr>
              <w:t>地址</w:t>
            </w:r>
          </w:p>
        </w:tc>
        <w:tc>
          <w:tcPr>
            <w:tcW w:w="6071" w:type="dxa"/>
            <w:shd w:val="clear" w:color="auto" w:fill="auto"/>
          </w:tcPr>
          <w:p w14:paraId="68337E1E">
            <w:pPr>
              <w:pStyle w:val="150"/>
            </w:pPr>
            <w:r>
              <w:rPr>
                <w:rFonts w:hint="eastAsia"/>
              </w:rPr>
              <w:t>指定保护地址范围</w:t>
            </w:r>
          </w:p>
        </w:tc>
      </w:tr>
      <w:tr w14:paraId="35FA50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943" w:type="dxa"/>
            <w:shd w:val="clear" w:color="auto" w:fill="auto"/>
          </w:tcPr>
          <w:p w14:paraId="5E8ED591">
            <w:pPr>
              <w:pStyle w:val="150"/>
            </w:pPr>
            <w:r>
              <w:t>SYN Flood</w:t>
            </w:r>
            <w:r>
              <w:rPr>
                <w:rFonts w:hint="eastAsia"/>
              </w:rPr>
              <w:t>阈值</w:t>
            </w:r>
          </w:p>
        </w:tc>
        <w:tc>
          <w:tcPr>
            <w:tcW w:w="6071" w:type="dxa"/>
            <w:shd w:val="clear" w:color="auto" w:fill="auto"/>
          </w:tcPr>
          <w:p w14:paraId="28A3FBA9">
            <w:pPr>
              <w:pStyle w:val="150"/>
            </w:pPr>
            <w:r>
              <w:rPr>
                <w:rFonts w:hint="eastAsia"/>
              </w:rPr>
              <w:t>每秒发往目的IP的最大SYN报文个数</w:t>
            </w:r>
          </w:p>
        </w:tc>
      </w:tr>
      <w:tr w14:paraId="37FCD7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943" w:type="dxa"/>
            <w:shd w:val="clear" w:color="auto" w:fill="auto"/>
          </w:tcPr>
          <w:p w14:paraId="5EDCB08C">
            <w:pPr>
              <w:pStyle w:val="150"/>
            </w:pPr>
            <w:r>
              <w:t>UDP Flood</w:t>
            </w:r>
            <w:r>
              <w:rPr>
                <w:rFonts w:hint="eastAsia"/>
              </w:rPr>
              <w:t>阈值</w:t>
            </w:r>
          </w:p>
        </w:tc>
        <w:tc>
          <w:tcPr>
            <w:tcW w:w="6071" w:type="dxa"/>
            <w:shd w:val="clear" w:color="auto" w:fill="auto"/>
          </w:tcPr>
          <w:p w14:paraId="536DD7CE">
            <w:pPr>
              <w:pStyle w:val="150"/>
            </w:pPr>
            <w:r>
              <w:rPr>
                <w:rFonts w:hint="eastAsia"/>
              </w:rPr>
              <w:t>每秒发往目的IP的最大UDP报文个数</w:t>
            </w:r>
          </w:p>
        </w:tc>
      </w:tr>
      <w:tr w14:paraId="392C710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20" w:hRule="atLeast"/>
        </w:trPr>
        <w:tc>
          <w:tcPr>
            <w:tcW w:w="2943" w:type="dxa"/>
            <w:shd w:val="clear" w:color="auto" w:fill="auto"/>
          </w:tcPr>
          <w:p w14:paraId="79EC9E88">
            <w:pPr>
              <w:pStyle w:val="150"/>
            </w:pPr>
            <w:r>
              <w:t>ICMP Flood</w:t>
            </w:r>
            <w:r>
              <w:rPr>
                <w:rFonts w:hint="eastAsia"/>
              </w:rPr>
              <w:t>阈值</w:t>
            </w:r>
          </w:p>
        </w:tc>
        <w:tc>
          <w:tcPr>
            <w:tcW w:w="6071" w:type="dxa"/>
            <w:shd w:val="clear" w:color="auto" w:fill="auto"/>
          </w:tcPr>
          <w:p w14:paraId="058ACECE">
            <w:pPr>
              <w:pStyle w:val="150"/>
            </w:pPr>
            <w:r>
              <w:rPr>
                <w:rFonts w:hint="eastAsia"/>
              </w:rPr>
              <w:t>每秒发往目的IP的最大ICMP报文个数</w:t>
            </w:r>
          </w:p>
        </w:tc>
      </w:tr>
      <w:tr w14:paraId="5E0E1C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943" w:type="dxa"/>
            <w:shd w:val="clear" w:color="auto" w:fill="auto"/>
          </w:tcPr>
          <w:p w14:paraId="78F807BB">
            <w:pPr>
              <w:pStyle w:val="150"/>
            </w:pPr>
            <w:r>
              <w:t>DNS Flood</w:t>
            </w:r>
            <w:r>
              <w:rPr>
                <w:rFonts w:hint="eastAsia"/>
              </w:rPr>
              <w:t>阈值</w:t>
            </w:r>
          </w:p>
        </w:tc>
        <w:tc>
          <w:tcPr>
            <w:tcW w:w="6071" w:type="dxa"/>
            <w:shd w:val="clear" w:color="auto" w:fill="auto"/>
          </w:tcPr>
          <w:p w14:paraId="5E4D7F00">
            <w:pPr>
              <w:pStyle w:val="150"/>
            </w:pPr>
            <w:r>
              <w:rPr>
                <w:rFonts w:hint="eastAsia"/>
              </w:rPr>
              <w:t>每秒发往目的IP的最大DNS报文个数</w:t>
            </w:r>
          </w:p>
        </w:tc>
      </w:tr>
    </w:tbl>
    <w:p w14:paraId="5E721EAF">
      <w:bookmarkStart w:id="7566" w:name="_Toc496875236"/>
      <w:bookmarkEnd w:id="7566"/>
      <w:bookmarkStart w:id="7567" w:name="_Toc508014342"/>
      <w:bookmarkEnd w:id="7567"/>
    </w:p>
    <w:p w14:paraId="5B10021B">
      <w:pPr>
        <w:pStyle w:val="6"/>
      </w:pPr>
      <w:bookmarkStart w:id="7568" w:name="_Toc15485279"/>
      <w:bookmarkStart w:id="7569" w:name="_Toc474250105"/>
      <w:bookmarkStart w:id="7570" w:name="_Toc15460071"/>
      <w:bookmarkStart w:id="7571" w:name="_Toc141873803"/>
      <w:bookmarkStart w:id="7572" w:name="_Toc142401320"/>
      <w:bookmarkStart w:id="7573" w:name="_Toc23153036"/>
      <w:bookmarkStart w:id="7574" w:name="_Toc99561993"/>
      <w:bookmarkStart w:id="7575" w:name="_Toc40276457"/>
      <w:bookmarkStart w:id="7576" w:name="_Toc172218596"/>
      <w:r>
        <w:rPr>
          <w:rFonts w:hint="eastAsia"/>
        </w:rPr>
        <w:t>接口防御设置</w:t>
      </w:r>
      <w:bookmarkEnd w:id="7568"/>
      <w:bookmarkEnd w:id="7569"/>
      <w:bookmarkEnd w:id="7570"/>
      <w:bookmarkEnd w:id="7571"/>
      <w:bookmarkEnd w:id="7572"/>
      <w:bookmarkEnd w:id="7573"/>
      <w:bookmarkEnd w:id="7574"/>
      <w:bookmarkEnd w:id="7575"/>
      <w:bookmarkEnd w:id="7576"/>
    </w:p>
    <w:p w14:paraId="102D9A2E">
      <w:r>
        <w:rPr>
          <w:rFonts w:hint="eastAsia"/>
        </w:rPr>
        <w:t>通过菜单“策略配置 &gt; 安全设置 &gt; 安全防护</w:t>
      </w:r>
      <w:r>
        <w:t xml:space="preserve"> &gt; DoS</w:t>
      </w:r>
      <w:r>
        <w:rPr>
          <w:rFonts w:hint="eastAsia"/>
        </w:rPr>
        <w:t>攻击防护</w:t>
      </w:r>
      <w:r>
        <w:t xml:space="preserve"> &gt; </w:t>
      </w:r>
      <w:r>
        <w:rPr>
          <w:rFonts w:hint="eastAsia"/>
        </w:rPr>
        <w:t>接口防御”进入接口防御显示界面，如</w:t>
      </w:r>
      <w:r>
        <w:rPr>
          <w:color w:val="0000FF"/>
          <w:u w:val="single"/>
        </w:rPr>
        <w:fldChar w:fldCharType="begin"/>
      </w:r>
      <w:r>
        <w:rPr>
          <w:color w:val="0000FF"/>
          <w:u w:val="single"/>
        </w:rPr>
        <w:instrText xml:space="preserve"> REF _Ref393799343 \r \h </w:instrText>
      </w:r>
      <w:r>
        <w:rPr>
          <w:color w:val="0000FF"/>
          <w:u w:val="single"/>
        </w:rPr>
        <w:fldChar w:fldCharType="separate"/>
      </w:r>
      <w:r>
        <w:rPr>
          <w:rFonts w:hint="eastAsia"/>
          <w:color w:val="0000FF"/>
          <w:u w:val="single"/>
        </w:rPr>
        <w:t>图29-45</w:t>
      </w:r>
      <w:r>
        <w:rPr>
          <w:color w:val="0000FF"/>
          <w:u w:val="single"/>
        </w:rPr>
        <w:fldChar w:fldCharType="end"/>
      </w:r>
      <w:r>
        <w:rPr>
          <w:rFonts w:hint="eastAsia"/>
        </w:rPr>
        <w:t>所示。点击</w:t>
      </w:r>
      <w:r>
        <w:t>&lt;</w:t>
      </w:r>
      <w:r>
        <w:rPr>
          <w:rFonts w:hint="eastAsia"/>
        </w:rPr>
        <w:t>新建</w:t>
      </w:r>
      <w:r>
        <w:t>&gt;</w:t>
      </w:r>
      <w:r>
        <w:rPr>
          <w:rFonts w:hint="eastAsia"/>
        </w:rPr>
        <w:t>按钮后，将弹出新建接口防御界面，如</w:t>
      </w:r>
      <w:r>
        <w:rPr>
          <w:color w:val="0000FF"/>
          <w:u w:val="single"/>
        </w:rPr>
        <w:fldChar w:fldCharType="begin"/>
      </w:r>
      <w:r>
        <w:rPr>
          <w:color w:val="0000FF"/>
          <w:u w:val="single"/>
        </w:rPr>
        <w:instrText xml:space="preserve"> REF _Ref393799353 \r \h </w:instrText>
      </w:r>
      <w:r>
        <w:rPr>
          <w:color w:val="0000FF"/>
          <w:u w:val="single"/>
        </w:rPr>
        <w:fldChar w:fldCharType="separate"/>
      </w:r>
      <w:r>
        <w:rPr>
          <w:rFonts w:hint="eastAsia"/>
          <w:color w:val="0000FF"/>
          <w:u w:val="single"/>
        </w:rPr>
        <w:t>图29-46</w:t>
      </w:r>
      <w:r>
        <w:rPr>
          <w:color w:val="0000FF"/>
          <w:u w:val="single"/>
        </w:rPr>
        <w:fldChar w:fldCharType="end"/>
      </w:r>
      <w:r>
        <w:rPr>
          <w:rFonts w:hint="eastAsia"/>
        </w:rPr>
        <w:t>所示。</w:t>
      </w:r>
    </w:p>
    <w:p w14:paraId="40809E6B">
      <w:pPr>
        <w:pStyle w:val="188"/>
      </w:pPr>
      <w:bookmarkStart w:id="7577" w:name="_Toc141875202"/>
      <w:bookmarkStart w:id="7578" w:name="_Ref393799343"/>
      <w:r>
        <w:rPr>
          <w:rFonts w:hint="eastAsia"/>
        </w:rPr>
        <w:t>接口防御显示界面</w:t>
      </w:r>
      <w:bookmarkEnd w:id="7577"/>
      <w:bookmarkEnd w:id="7578"/>
    </w:p>
    <w:p w14:paraId="214A4232">
      <w:r>
        <w:drawing>
          <wp:inline distT="0" distB="0" distL="0" distR="0">
            <wp:extent cx="5724525" cy="1052195"/>
            <wp:effectExtent l="0" t="0" r="0" b="0"/>
            <wp:docPr id="2915" name="图片 2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5" name="图片 2915"/>
                    <pic:cNvPicPr>
                      <a:picLocks noChangeAspect="1"/>
                    </pic:cNvPicPr>
                  </pic:nvPicPr>
                  <pic:blipFill>
                    <a:blip r:embed="rId910"/>
                    <a:stretch>
                      <a:fillRect/>
                    </a:stretch>
                  </pic:blipFill>
                  <pic:spPr>
                    <a:xfrm>
                      <a:off x="0" y="0"/>
                      <a:ext cx="5748469" cy="1056779"/>
                    </a:xfrm>
                    <a:prstGeom prst="rect">
                      <a:avLst/>
                    </a:prstGeom>
                  </pic:spPr>
                </pic:pic>
              </a:graphicData>
            </a:graphic>
          </wp:inline>
        </w:drawing>
      </w:r>
    </w:p>
    <w:p w14:paraId="38DA2B0B"/>
    <w:p w14:paraId="24B20549">
      <w:pPr>
        <w:pStyle w:val="188"/>
      </w:pPr>
      <w:bookmarkStart w:id="7579" w:name="_Toc141875203"/>
      <w:bookmarkStart w:id="7580" w:name="_Ref393799353"/>
      <w:r>
        <w:rPr>
          <w:rFonts w:hint="eastAsia"/>
        </w:rPr>
        <w:t>接口防御新建页面</w:t>
      </w:r>
      <w:bookmarkEnd w:id="7579"/>
      <w:bookmarkEnd w:id="7580"/>
    </w:p>
    <w:p w14:paraId="5C819583">
      <w:pPr>
        <w:spacing w:before="78" w:after="78"/>
      </w:pPr>
      <w:r>
        <w:drawing>
          <wp:inline distT="0" distB="0" distL="0" distR="0">
            <wp:extent cx="4599305" cy="4384040"/>
            <wp:effectExtent l="0" t="0" r="0" b="0"/>
            <wp:docPr id="88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 name="图片 58"/>
                    <pic:cNvPicPr>
                      <a:picLocks noChangeAspect="1" noChangeArrowheads="1"/>
                    </pic:cNvPicPr>
                  </pic:nvPicPr>
                  <pic:blipFill>
                    <a:blip r:embed="rId911">
                      <a:extLst>
                        <a:ext uri="{28A0092B-C50C-407E-A947-70E740481C1C}">
                          <a14:useLocalDpi xmlns:a14="http://schemas.microsoft.com/office/drawing/2010/main" val="0"/>
                        </a:ext>
                      </a:extLst>
                    </a:blip>
                    <a:srcRect/>
                    <a:stretch>
                      <a:fillRect/>
                    </a:stretch>
                  </pic:blipFill>
                  <pic:spPr>
                    <a:xfrm>
                      <a:off x="0" y="0"/>
                      <a:ext cx="4601906" cy="4386864"/>
                    </a:xfrm>
                    <a:prstGeom prst="rect">
                      <a:avLst/>
                    </a:prstGeom>
                    <a:noFill/>
                    <a:ln>
                      <a:noFill/>
                    </a:ln>
                  </pic:spPr>
                </pic:pic>
              </a:graphicData>
            </a:graphic>
          </wp:inline>
        </w:drawing>
      </w:r>
    </w:p>
    <w:p w14:paraId="7251B42E"/>
    <w:p w14:paraId="437A30A3">
      <w:pPr>
        <w:pStyle w:val="183"/>
      </w:pPr>
      <w:bookmarkStart w:id="7581" w:name="_Toc141875736"/>
      <w:r>
        <w:rPr>
          <w:rFonts w:hint="eastAsia"/>
        </w:rPr>
        <w:t>配置说明</w:t>
      </w:r>
      <w:bookmarkEnd w:id="7581"/>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790"/>
        <w:gridCol w:w="7224"/>
      </w:tblGrid>
      <w:tr w14:paraId="0316605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tcBorders>
              <w:tl2br w:val="nil"/>
              <w:tr2bl w:val="nil"/>
            </w:tcBorders>
            <w:shd w:val="clear" w:color="auto" w:fill="538135" w:themeFill="accent6" w:themeFillShade="BF"/>
            <w:vAlign w:val="center"/>
          </w:tcPr>
          <w:p w14:paraId="41A8B4A8">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7187" w:type="dxa"/>
            <w:tcBorders>
              <w:tl2br w:val="nil"/>
              <w:tr2bl w:val="nil"/>
            </w:tcBorders>
            <w:shd w:val="clear" w:color="auto" w:fill="538135" w:themeFill="accent6" w:themeFillShade="BF"/>
            <w:vAlign w:val="center"/>
          </w:tcPr>
          <w:p w14:paraId="002769E7">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7BDECC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0C7BB864">
            <w:pPr>
              <w:pStyle w:val="150"/>
            </w:pPr>
            <w:r>
              <w:rPr>
                <w:rFonts w:hint="eastAsia"/>
              </w:rPr>
              <w:t>接口名</w:t>
            </w:r>
          </w:p>
        </w:tc>
        <w:tc>
          <w:tcPr>
            <w:tcW w:w="7187" w:type="dxa"/>
            <w:shd w:val="clear" w:color="auto" w:fill="auto"/>
          </w:tcPr>
          <w:p w14:paraId="015D85B3">
            <w:pPr>
              <w:pStyle w:val="150"/>
            </w:pPr>
            <w:r>
              <w:rPr>
                <w:rFonts w:hint="eastAsia"/>
              </w:rPr>
              <w:t>选择需要防护的接口名称</w:t>
            </w:r>
          </w:p>
        </w:tc>
      </w:tr>
      <w:tr w14:paraId="65A02F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2D4AC521">
            <w:pPr>
              <w:pStyle w:val="150"/>
            </w:pPr>
            <w:r>
              <w:t>SYN Flood</w:t>
            </w:r>
            <w:r>
              <w:rPr>
                <w:rFonts w:hint="eastAsia"/>
              </w:rPr>
              <w:t>选项</w:t>
            </w:r>
          </w:p>
        </w:tc>
        <w:tc>
          <w:tcPr>
            <w:tcW w:w="7187" w:type="dxa"/>
            <w:shd w:val="clear" w:color="auto" w:fill="auto"/>
          </w:tcPr>
          <w:p w14:paraId="28795F3A">
            <w:pPr>
              <w:pStyle w:val="150"/>
            </w:pPr>
            <w:r>
              <w:rPr>
                <w:rFonts w:hint="eastAsia"/>
              </w:rPr>
              <w:t>对每台源主机进行流限制：设置源主机的流限制阈值</w:t>
            </w:r>
          </w:p>
          <w:p w14:paraId="5346FE8C">
            <w:pPr>
              <w:pStyle w:val="150"/>
            </w:pPr>
            <w:r>
              <w:rPr>
                <w:rFonts w:hint="eastAsia"/>
              </w:rPr>
              <w:t>对目标主机限制最大连接：设置目的主机的最大连接</w:t>
            </w:r>
          </w:p>
        </w:tc>
      </w:tr>
      <w:tr w14:paraId="47D55DE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4D57B23B">
            <w:pPr>
              <w:pStyle w:val="150"/>
            </w:pPr>
            <w:r>
              <w:t>UDP Flood</w:t>
            </w:r>
            <w:r>
              <w:rPr>
                <w:rFonts w:hint="eastAsia"/>
              </w:rPr>
              <w:t>选项</w:t>
            </w:r>
          </w:p>
        </w:tc>
        <w:tc>
          <w:tcPr>
            <w:tcW w:w="7187" w:type="dxa"/>
            <w:shd w:val="clear" w:color="auto" w:fill="auto"/>
          </w:tcPr>
          <w:p w14:paraId="385D4F96">
            <w:pPr>
              <w:pStyle w:val="150"/>
            </w:pPr>
            <w:r>
              <w:rPr>
                <w:rFonts w:hint="eastAsia"/>
              </w:rPr>
              <w:t>对每台源主机进行流限制：设置源主机的流限制阈值</w:t>
            </w:r>
          </w:p>
          <w:p w14:paraId="6EC2F246">
            <w:pPr>
              <w:pStyle w:val="150"/>
            </w:pPr>
            <w:r>
              <w:rPr>
                <w:rFonts w:hint="eastAsia"/>
              </w:rPr>
              <w:t>对目标主机限制最大连接：设置目的主机的最大连接</w:t>
            </w:r>
          </w:p>
        </w:tc>
      </w:tr>
      <w:tr w14:paraId="3D1F0A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5F7FD469">
            <w:pPr>
              <w:pStyle w:val="150"/>
            </w:pPr>
            <w:r>
              <w:t>ICMP Flood</w:t>
            </w:r>
            <w:r>
              <w:rPr>
                <w:rFonts w:hint="eastAsia"/>
              </w:rPr>
              <w:t>选项</w:t>
            </w:r>
          </w:p>
        </w:tc>
        <w:tc>
          <w:tcPr>
            <w:tcW w:w="7187" w:type="dxa"/>
            <w:shd w:val="clear" w:color="auto" w:fill="auto"/>
          </w:tcPr>
          <w:p w14:paraId="46049F27">
            <w:pPr>
              <w:pStyle w:val="150"/>
            </w:pPr>
            <w:r>
              <w:rPr>
                <w:rFonts w:hint="eastAsia"/>
              </w:rPr>
              <w:t>对每台源主机进行流限制：设置源主机的流限制阈值</w:t>
            </w:r>
          </w:p>
          <w:p w14:paraId="3A5A814C">
            <w:pPr>
              <w:pStyle w:val="150"/>
            </w:pPr>
            <w:r>
              <w:rPr>
                <w:rFonts w:hint="eastAsia"/>
              </w:rPr>
              <w:t>对目标主机限制最大连接：设置目的主机的最大连接</w:t>
            </w:r>
          </w:p>
        </w:tc>
      </w:tr>
      <w:tr w14:paraId="3BE69C8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6AD6BB83">
            <w:pPr>
              <w:pStyle w:val="150"/>
            </w:pPr>
            <w:r>
              <w:t>DNS Flood</w:t>
            </w:r>
            <w:r>
              <w:rPr>
                <w:rFonts w:hint="eastAsia"/>
              </w:rPr>
              <w:t>选项</w:t>
            </w:r>
          </w:p>
        </w:tc>
        <w:tc>
          <w:tcPr>
            <w:tcW w:w="7187" w:type="dxa"/>
            <w:shd w:val="clear" w:color="auto" w:fill="auto"/>
          </w:tcPr>
          <w:p w14:paraId="4AE475E4">
            <w:pPr>
              <w:pStyle w:val="150"/>
            </w:pPr>
            <w:r>
              <w:rPr>
                <w:rFonts w:hint="eastAsia"/>
              </w:rPr>
              <w:t>对每台源主机进行流限制：设置源主机的流限制阈值</w:t>
            </w:r>
          </w:p>
          <w:p w14:paraId="398B9BD9">
            <w:pPr>
              <w:pStyle w:val="150"/>
            </w:pPr>
            <w:r>
              <w:rPr>
                <w:rFonts w:hint="eastAsia"/>
              </w:rPr>
              <w:t>对目标主机限制最大连接：设置目的主机的最大连接</w:t>
            </w:r>
          </w:p>
        </w:tc>
      </w:tr>
    </w:tbl>
    <w:p w14:paraId="190F2EC6"/>
    <w:p w14:paraId="76822BF5">
      <w:pPr>
        <w:pStyle w:val="5"/>
      </w:pPr>
      <w:bookmarkStart w:id="7582" w:name="_Toc194081123"/>
      <w:bookmarkStart w:id="7583" w:name="_Toc142401321"/>
      <w:bookmarkStart w:id="7584" w:name="_Toc196728455"/>
      <w:bookmarkStart w:id="7585" w:name="_Toc141873804"/>
      <w:bookmarkStart w:id="7586" w:name="_Toc172218597"/>
      <w:r>
        <w:rPr>
          <w:rFonts w:hint="eastAsia"/>
        </w:rPr>
        <w:t>IPMAC绑定</w:t>
      </w:r>
      <w:bookmarkEnd w:id="7448"/>
      <w:bookmarkEnd w:id="7449"/>
      <w:bookmarkEnd w:id="7450"/>
      <w:bookmarkEnd w:id="7451"/>
      <w:bookmarkEnd w:id="7452"/>
      <w:bookmarkEnd w:id="7453"/>
      <w:bookmarkEnd w:id="7582"/>
      <w:bookmarkEnd w:id="7583"/>
      <w:bookmarkEnd w:id="7584"/>
      <w:bookmarkEnd w:id="7585"/>
      <w:bookmarkEnd w:id="7586"/>
    </w:p>
    <w:p w14:paraId="7ADD4186">
      <w:pPr>
        <w:pStyle w:val="6"/>
      </w:pPr>
      <w:bookmarkStart w:id="7587" w:name="_Toc474250108"/>
      <w:bookmarkStart w:id="7588" w:name="_Toc40276460"/>
      <w:bookmarkStart w:id="7589" w:name="_Toc172218598"/>
      <w:bookmarkStart w:id="7590" w:name="_Toc99561975"/>
      <w:bookmarkStart w:id="7591" w:name="_Toc15485282"/>
      <w:bookmarkStart w:id="7592" w:name="_Toc23153039"/>
      <w:bookmarkStart w:id="7593" w:name="_Toc141873805"/>
      <w:bookmarkStart w:id="7594" w:name="_Toc15460074"/>
      <w:bookmarkStart w:id="7595" w:name="_Toc142401322"/>
      <w:r>
        <w:rPr>
          <w:rFonts w:hint="eastAsia"/>
        </w:rPr>
        <w:t>IPMAC概述</w:t>
      </w:r>
      <w:bookmarkEnd w:id="7587"/>
      <w:bookmarkEnd w:id="7588"/>
      <w:bookmarkEnd w:id="7589"/>
      <w:bookmarkEnd w:id="7590"/>
      <w:bookmarkEnd w:id="7591"/>
      <w:bookmarkEnd w:id="7592"/>
      <w:bookmarkEnd w:id="7593"/>
      <w:bookmarkEnd w:id="7594"/>
      <w:bookmarkEnd w:id="7595"/>
    </w:p>
    <w:p w14:paraId="1527A4B3">
      <w:r>
        <w:t>Address Resolution Protocol (ARP)</w:t>
      </w:r>
      <w:r>
        <w:rPr>
          <w:rFonts w:hint="eastAsia"/>
        </w:rPr>
        <w:t>是寻找</w:t>
      </w:r>
      <w:r>
        <w:t>IP</w:t>
      </w:r>
      <w:r>
        <w:rPr>
          <w:rFonts w:hint="eastAsia"/>
        </w:rPr>
        <w:t>地址所对应的</w:t>
      </w:r>
      <w:r>
        <w:t>MAC</w:t>
      </w:r>
      <w:r>
        <w:rPr>
          <w:rFonts w:hint="eastAsia"/>
        </w:rPr>
        <w:t>地址的一种协议。</w:t>
      </w:r>
    </w:p>
    <w:p w14:paraId="2CE6139C">
      <w:r>
        <w:rPr>
          <w:rFonts w:hint="eastAsia"/>
        </w:rPr>
        <w:t>在以太网中，对于处于同一子网的两个通信实体来说，一次</w:t>
      </w:r>
      <w:r>
        <w:t>IP</w:t>
      </w:r>
      <w:r>
        <w:rPr>
          <w:rFonts w:hint="eastAsia"/>
        </w:rPr>
        <w:t>通信过程大致如下：</w:t>
      </w:r>
    </w:p>
    <w:p w14:paraId="118B2470">
      <w:r>
        <w:rPr>
          <w:rFonts w:hint="eastAsia"/>
        </w:rPr>
        <w:t>当源端发送一个</w:t>
      </w:r>
      <w:r>
        <w:t>IP</w:t>
      </w:r>
      <w:r>
        <w:rPr>
          <w:rFonts w:hint="eastAsia"/>
        </w:rPr>
        <w:t>包之前，它必须知道目的端的</w:t>
      </w:r>
      <w:r>
        <w:t>MAC</w:t>
      </w:r>
      <w:r>
        <w:rPr>
          <w:rFonts w:hint="eastAsia"/>
        </w:rPr>
        <w:t>地址才可以完成封装，可是此时源端只能知道目的端的</w:t>
      </w:r>
      <w:r>
        <w:t>IP</w:t>
      </w:r>
      <w:r>
        <w:rPr>
          <w:rFonts w:hint="eastAsia"/>
        </w:rPr>
        <w:t>地址（通过用户的事先配置或者查路由表），这样就必须依靠</w:t>
      </w:r>
      <w:r>
        <w:t>ARP</w:t>
      </w:r>
      <w:r>
        <w:rPr>
          <w:rFonts w:hint="eastAsia"/>
        </w:rPr>
        <w:t>协议来完成目的端</w:t>
      </w:r>
      <w:r>
        <w:t>MAC</w:t>
      </w:r>
      <w:r>
        <w:rPr>
          <w:rFonts w:hint="eastAsia"/>
        </w:rPr>
        <w:t>地址的解析。因此源端发送一个包含目的</w:t>
      </w:r>
      <w:r>
        <w:t>IP</w:t>
      </w:r>
      <w:r>
        <w:rPr>
          <w:rFonts w:hint="eastAsia"/>
        </w:rPr>
        <w:t>地址的</w:t>
      </w:r>
      <w:r>
        <w:t xml:space="preserve">ARP </w:t>
      </w:r>
      <w:r>
        <w:rPr>
          <w:rFonts w:hint="eastAsia"/>
        </w:rPr>
        <w:t>请求，目的端收到后向源端返回</w:t>
      </w:r>
      <w:r>
        <w:t>ARP</w:t>
      </w:r>
      <w:r>
        <w:rPr>
          <w:rFonts w:hint="eastAsia"/>
        </w:rPr>
        <w:t>应答，通告自己的</w:t>
      </w:r>
      <w:r>
        <w:t>MAC</w:t>
      </w:r>
      <w:r>
        <w:rPr>
          <w:rFonts w:hint="eastAsia"/>
        </w:rPr>
        <w:t>地址，源端获得目的端</w:t>
      </w:r>
      <w:r>
        <w:t>MAC</w:t>
      </w:r>
      <w:r>
        <w:rPr>
          <w:rFonts w:hint="eastAsia"/>
        </w:rPr>
        <w:t>地址后才可以将</w:t>
      </w:r>
      <w:r>
        <w:t>IP</w:t>
      </w:r>
      <w:r>
        <w:rPr>
          <w:rFonts w:hint="eastAsia"/>
        </w:rPr>
        <w:t>包封装在以太网头中发送出去。</w:t>
      </w:r>
    </w:p>
    <w:p w14:paraId="22018B38">
      <w:r>
        <w:rPr>
          <w:rFonts w:hint="eastAsia"/>
        </w:rPr>
        <w:t>由于网络中可能存在一些攻击软件仿冒某台主机上网，逃过跟踪。为了避免这种情况，设备实现了</w:t>
      </w:r>
      <w:r>
        <w:t>IP-MAC</w:t>
      </w:r>
      <w:r>
        <w:rPr>
          <w:rFonts w:hint="eastAsia"/>
        </w:rPr>
        <w:t>绑定功能，把用户的</w:t>
      </w:r>
      <w:r>
        <w:t>MAC</w:t>
      </w:r>
      <w:r>
        <w:rPr>
          <w:rFonts w:hint="eastAsia"/>
        </w:rPr>
        <w:t>和</w:t>
      </w:r>
      <w:r>
        <w:t>IP</w:t>
      </w:r>
      <w:r>
        <w:rPr>
          <w:rFonts w:hint="eastAsia"/>
        </w:rPr>
        <w:t>绑定起来。配置了</w:t>
      </w:r>
      <w:r>
        <w:t>IP-MAC</w:t>
      </w:r>
      <w:r>
        <w:rPr>
          <w:rFonts w:hint="eastAsia"/>
        </w:rPr>
        <w:t>绑定后，通过设备的报文的</w:t>
      </w:r>
      <w:r>
        <w:t>MAC</w:t>
      </w:r>
      <w:r>
        <w:rPr>
          <w:rFonts w:hint="eastAsia"/>
        </w:rPr>
        <w:t>和</w:t>
      </w:r>
      <w:r>
        <w:t>IP</w:t>
      </w:r>
      <w:r>
        <w:rPr>
          <w:rFonts w:hint="eastAsia"/>
        </w:rPr>
        <w:t>必须严格一致，否则报文将被丢弃。</w:t>
      </w:r>
    </w:p>
    <w:p w14:paraId="3046B577">
      <w:pPr>
        <w:pStyle w:val="6"/>
      </w:pPr>
      <w:bookmarkStart w:id="7596" w:name="_Toc23153040"/>
      <w:bookmarkStart w:id="7597" w:name="_Toc40276461"/>
      <w:bookmarkStart w:id="7598" w:name="_Toc141873806"/>
      <w:bookmarkStart w:id="7599" w:name="_Toc474250109"/>
      <w:bookmarkStart w:id="7600" w:name="_Toc99561976"/>
      <w:bookmarkStart w:id="7601" w:name="_Toc15485283"/>
      <w:bookmarkStart w:id="7602" w:name="_Toc142401323"/>
      <w:bookmarkStart w:id="7603" w:name="_Toc172218599"/>
      <w:bookmarkStart w:id="7604" w:name="_Toc15460075"/>
      <w:r>
        <w:rPr>
          <w:rFonts w:hint="eastAsia"/>
        </w:rPr>
        <w:t>IPMAC绑定添加</w:t>
      </w:r>
      <w:bookmarkEnd w:id="7596"/>
      <w:bookmarkEnd w:id="7597"/>
      <w:bookmarkEnd w:id="7598"/>
      <w:bookmarkEnd w:id="7599"/>
      <w:bookmarkEnd w:id="7600"/>
      <w:bookmarkEnd w:id="7601"/>
      <w:bookmarkEnd w:id="7602"/>
      <w:bookmarkEnd w:id="7603"/>
      <w:bookmarkEnd w:id="7604"/>
    </w:p>
    <w:p w14:paraId="23AC7312">
      <w:r>
        <w:rPr>
          <w:rFonts w:hint="eastAsia"/>
        </w:rPr>
        <w:t>通过菜单“策略配置&gt;安全设置&gt;安全防护&gt;ARP/ND攻击防护</w:t>
      </w:r>
      <w:r>
        <w:t>&gt;IP-MAC</w:t>
      </w:r>
      <w:r>
        <w:rPr>
          <w:rFonts w:hint="eastAsia"/>
        </w:rPr>
        <w:t>绑定”进入</w:t>
      </w:r>
      <w:r>
        <w:t>IP-MAC</w:t>
      </w:r>
      <w:r>
        <w:rPr>
          <w:rFonts w:hint="eastAsia"/>
        </w:rPr>
        <w:t>绑定显示界面，如</w:t>
      </w:r>
      <w:r>
        <w:rPr>
          <w:color w:val="0000FF"/>
          <w:u w:val="single"/>
        </w:rPr>
        <w:fldChar w:fldCharType="begin"/>
      </w:r>
      <w:r>
        <w:rPr>
          <w:color w:val="0000FF"/>
          <w:u w:val="single"/>
        </w:rPr>
        <w:instrText xml:space="preserve"> REF _Ref392862141 \r \h </w:instrText>
      </w:r>
      <w:r>
        <w:rPr>
          <w:color w:val="0000FF"/>
          <w:u w:val="single"/>
        </w:rPr>
        <w:fldChar w:fldCharType="separate"/>
      </w:r>
      <w:r>
        <w:rPr>
          <w:rFonts w:hint="eastAsia"/>
          <w:color w:val="0000FF"/>
          <w:u w:val="single"/>
        </w:rPr>
        <w:t>图29-47</w:t>
      </w:r>
      <w:r>
        <w:rPr>
          <w:color w:val="0000FF"/>
          <w:u w:val="single"/>
        </w:rPr>
        <w:fldChar w:fldCharType="end"/>
      </w:r>
      <w:r>
        <w:rPr>
          <w:rFonts w:hint="eastAsia"/>
        </w:rPr>
        <w:t>所示。点击</w:t>
      </w:r>
      <w:r>
        <w:t>&lt;</w:t>
      </w:r>
      <w:r>
        <w:rPr>
          <w:rFonts w:hint="eastAsia"/>
        </w:rPr>
        <w:t>新建</w:t>
      </w:r>
      <w:r>
        <w:t>&gt;</w:t>
      </w:r>
      <w:r>
        <w:rPr>
          <w:rFonts w:hint="eastAsia"/>
        </w:rPr>
        <w:t>按钮后，将弹出新建</w:t>
      </w:r>
      <w:r>
        <w:t>IP-MAC</w:t>
      </w:r>
      <w:r>
        <w:rPr>
          <w:rFonts w:hint="eastAsia"/>
        </w:rPr>
        <w:t>绑定界面，如</w:t>
      </w:r>
      <w:r>
        <w:rPr>
          <w:color w:val="0000FF"/>
          <w:u w:val="single"/>
        </w:rPr>
        <w:fldChar w:fldCharType="begin"/>
      </w:r>
      <w:r>
        <w:rPr>
          <w:color w:val="0000FF"/>
          <w:u w:val="single"/>
        </w:rPr>
        <w:instrText xml:space="preserve"> REF _Ref393799463 \r \h </w:instrText>
      </w:r>
      <w:r>
        <w:rPr>
          <w:color w:val="0000FF"/>
          <w:u w:val="single"/>
        </w:rPr>
        <w:fldChar w:fldCharType="separate"/>
      </w:r>
      <w:r>
        <w:rPr>
          <w:rFonts w:hint="eastAsia"/>
          <w:color w:val="0000FF"/>
          <w:u w:val="single"/>
        </w:rPr>
        <w:t>图29-48</w:t>
      </w:r>
      <w:r>
        <w:rPr>
          <w:color w:val="0000FF"/>
          <w:u w:val="single"/>
        </w:rPr>
        <w:fldChar w:fldCharType="end"/>
      </w:r>
      <w:r>
        <w:rPr>
          <w:rFonts w:hint="eastAsia"/>
        </w:rPr>
        <w:t>所示。</w:t>
      </w:r>
    </w:p>
    <w:p w14:paraId="29C72F0A">
      <w:pPr>
        <w:pStyle w:val="188"/>
      </w:pPr>
      <w:bookmarkStart w:id="7605" w:name="_Ref392862141"/>
      <w:bookmarkStart w:id="7606" w:name="_Toc141875204"/>
      <w:r>
        <w:rPr>
          <w:rFonts w:hint="eastAsia"/>
        </w:rPr>
        <w:t>IPMAC绑定显示界面</w:t>
      </w:r>
      <w:bookmarkEnd w:id="7605"/>
      <w:bookmarkEnd w:id="7606"/>
    </w:p>
    <w:p w14:paraId="596460A2">
      <w:r>
        <w:drawing>
          <wp:inline distT="0" distB="0" distL="0" distR="0">
            <wp:extent cx="5400040" cy="529590"/>
            <wp:effectExtent l="0" t="0" r="0" b="3810"/>
            <wp:docPr id="3454" name="图片 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4" name="图片 3454"/>
                    <pic:cNvPicPr>
                      <a:picLocks noChangeAspect="1"/>
                    </pic:cNvPicPr>
                  </pic:nvPicPr>
                  <pic:blipFill>
                    <a:blip r:embed="rId912"/>
                    <a:stretch>
                      <a:fillRect/>
                    </a:stretch>
                  </pic:blipFill>
                  <pic:spPr>
                    <a:xfrm>
                      <a:off x="0" y="0"/>
                      <a:ext cx="5400040" cy="530031"/>
                    </a:xfrm>
                    <a:prstGeom prst="rect">
                      <a:avLst/>
                    </a:prstGeom>
                  </pic:spPr>
                </pic:pic>
              </a:graphicData>
            </a:graphic>
          </wp:inline>
        </w:drawing>
      </w:r>
    </w:p>
    <w:p w14:paraId="7ADC040F"/>
    <w:p w14:paraId="6594B227">
      <w:pPr>
        <w:pStyle w:val="188"/>
      </w:pPr>
      <w:bookmarkStart w:id="7607" w:name="_Ref393799463"/>
      <w:bookmarkStart w:id="7608" w:name="_Toc141875205"/>
      <w:r>
        <w:rPr>
          <w:rFonts w:hint="eastAsia"/>
        </w:rPr>
        <w:t>IP-MAC绑定添加</w:t>
      </w:r>
      <w:bookmarkEnd w:id="7607"/>
      <w:bookmarkEnd w:id="7608"/>
    </w:p>
    <w:p w14:paraId="14836201">
      <w:pPr>
        <w:spacing w:before="78" w:after="78"/>
      </w:pPr>
      <w:r>
        <w:drawing>
          <wp:inline distT="0" distB="0" distL="114300" distR="114300">
            <wp:extent cx="5400040" cy="2408555"/>
            <wp:effectExtent l="0" t="0" r="0" b="0"/>
            <wp:docPr id="96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图片 36"/>
                    <pic:cNvPicPr>
                      <a:picLocks noChangeAspect="1"/>
                    </pic:cNvPicPr>
                  </pic:nvPicPr>
                  <pic:blipFill>
                    <a:blip r:embed="rId913"/>
                    <a:srcRect t="10883"/>
                    <a:stretch>
                      <a:fillRect/>
                    </a:stretch>
                  </pic:blipFill>
                  <pic:spPr>
                    <a:xfrm>
                      <a:off x="0" y="0"/>
                      <a:ext cx="5400040" cy="2408921"/>
                    </a:xfrm>
                    <a:prstGeom prst="rect">
                      <a:avLst/>
                    </a:prstGeom>
                    <a:noFill/>
                    <a:ln>
                      <a:noFill/>
                    </a:ln>
                  </pic:spPr>
                </pic:pic>
              </a:graphicData>
            </a:graphic>
          </wp:inline>
        </w:drawing>
      </w:r>
    </w:p>
    <w:p w14:paraId="0F53800E"/>
    <w:p w14:paraId="11645BB3">
      <w:pPr>
        <w:pStyle w:val="183"/>
      </w:pPr>
      <w:bookmarkStart w:id="7609" w:name="_Toc141875737"/>
      <w:r>
        <w:rPr>
          <w:rFonts w:hint="eastAsia"/>
        </w:rPr>
        <w:t>配置说明</w:t>
      </w:r>
      <w:bookmarkEnd w:id="7609"/>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506"/>
        <w:gridCol w:w="7508"/>
      </w:tblGrid>
      <w:tr w14:paraId="7DDA835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506" w:type="dxa"/>
            <w:tcBorders>
              <w:tl2br w:val="nil"/>
              <w:tr2bl w:val="nil"/>
            </w:tcBorders>
            <w:shd w:val="clear" w:color="auto" w:fill="538135" w:themeFill="accent6" w:themeFillShade="BF"/>
            <w:vAlign w:val="center"/>
          </w:tcPr>
          <w:p w14:paraId="521EA7DC">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7508" w:type="dxa"/>
            <w:tcBorders>
              <w:tl2br w:val="nil"/>
              <w:tr2bl w:val="nil"/>
            </w:tcBorders>
            <w:shd w:val="clear" w:color="auto" w:fill="538135" w:themeFill="accent6" w:themeFillShade="BF"/>
            <w:vAlign w:val="center"/>
          </w:tcPr>
          <w:p w14:paraId="7D1A87D9">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E92D5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506" w:type="dxa"/>
            <w:shd w:val="clear" w:color="auto" w:fill="auto"/>
          </w:tcPr>
          <w:p w14:paraId="42EEB0F3">
            <w:pPr>
              <w:pStyle w:val="150"/>
            </w:pPr>
            <w:r>
              <w:rPr>
                <w:rFonts w:hint="eastAsia"/>
              </w:rPr>
              <w:t>名称</w:t>
            </w:r>
          </w:p>
        </w:tc>
        <w:tc>
          <w:tcPr>
            <w:tcW w:w="7508" w:type="dxa"/>
            <w:shd w:val="clear" w:color="auto" w:fill="auto"/>
          </w:tcPr>
          <w:p w14:paraId="5A07213C">
            <w:pPr>
              <w:pStyle w:val="150"/>
            </w:pPr>
            <w:r>
              <w:rPr>
                <w:rFonts w:hint="eastAsia"/>
              </w:rPr>
              <w:t>IP-MAC绑定项的名称</w:t>
            </w:r>
          </w:p>
        </w:tc>
      </w:tr>
      <w:tr w14:paraId="6299EC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506" w:type="dxa"/>
            <w:shd w:val="clear" w:color="auto" w:fill="auto"/>
          </w:tcPr>
          <w:p w14:paraId="420861FB">
            <w:pPr>
              <w:pStyle w:val="150"/>
            </w:pPr>
            <w:r>
              <w:rPr>
                <w:rFonts w:hint="eastAsia"/>
              </w:rPr>
              <w:t>描述</w:t>
            </w:r>
          </w:p>
        </w:tc>
        <w:tc>
          <w:tcPr>
            <w:tcW w:w="7508" w:type="dxa"/>
            <w:shd w:val="clear" w:color="auto" w:fill="auto"/>
          </w:tcPr>
          <w:p w14:paraId="56A3BD16">
            <w:pPr>
              <w:pStyle w:val="150"/>
            </w:pPr>
            <w:r>
              <w:rPr>
                <w:rFonts w:hint="eastAsia"/>
              </w:rPr>
              <w:t>规则</w:t>
            </w:r>
            <w:r>
              <w:t>描述信息</w:t>
            </w:r>
          </w:p>
        </w:tc>
      </w:tr>
      <w:tr w14:paraId="6F2E7D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506" w:type="dxa"/>
            <w:shd w:val="clear" w:color="auto" w:fill="auto"/>
          </w:tcPr>
          <w:p w14:paraId="4607605B">
            <w:pPr>
              <w:pStyle w:val="150"/>
            </w:pPr>
            <w:r>
              <w:rPr>
                <w:rFonts w:hint="eastAsia"/>
              </w:rPr>
              <w:t>IP地址</w:t>
            </w:r>
          </w:p>
        </w:tc>
        <w:tc>
          <w:tcPr>
            <w:tcW w:w="7508" w:type="dxa"/>
            <w:shd w:val="clear" w:color="auto" w:fill="auto"/>
          </w:tcPr>
          <w:p w14:paraId="24085841">
            <w:pPr>
              <w:pStyle w:val="150"/>
            </w:pPr>
            <w:r>
              <w:rPr>
                <w:rFonts w:hint="eastAsia"/>
              </w:rPr>
              <w:t>绑定的IP地址</w:t>
            </w:r>
          </w:p>
        </w:tc>
      </w:tr>
      <w:tr w14:paraId="6D57677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506" w:type="dxa"/>
            <w:shd w:val="clear" w:color="auto" w:fill="auto"/>
          </w:tcPr>
          <w:p w14:paraId="6587A63D">
            <w:pPr>
              <w:pStyle w:val="150"/>
            </w:pPr>
            <w:r>
              <w:rPr>
                <w:rFonts w:hint="eastAsia"/>
              </w:rPr>
              <w:t>MAC地址</w:t>
            </w:r>
          </w:p>
        </w:tc>
        <w:tc>
          <w:tcPr>
            <w:tcW w:w="7508" w:type="dxa"/>
            <w:shd w:val="clear" w:color="auto" w:fill="auto"/>
          </w:tcPr>
          <w:p w14:paraId="20014F99">
            <w:pPr>
              <w:pStyle w:val="150"/>
            </w:pPr>
            <w:r>
              <w:rPr>
                <w:rFonts w:hint="eastAsia"/>
              </w:rPr>
              <w:t>绑定的MAC地址</w:t>
            </w:r>
          </w:p>
        </w:tc>
      </w:tr>
      <w:tr w14:paraId="1BD246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506" w:type="dxa"/>
            <w:shd w:val="clear" w:color="auto" w:fill="auto"/>
          </w:tcPr>
          <w:p w14:paraId="4D2913A0">
            <w:pPr>
              <w:pStyle w:val="150"/>
            </w:pPr>
            <w:r>
              <w:rPr>
                <w:rFonts w:hint="eastAsia"/>
              </w:rPr>
              <w:t>唯一性</w:t>
            </w:r>
          </w:p>
        </w:tc>
        <w:tc>
          <w:tcPr>
            <w:tcW w:w="7508" w:type="dxa"/>
            <w:shd w:val="clear" w:color="auto" w:fill="auto"/>
          </w:tcPr>
          <w:p w14:paraId="3BE2C169">
            <w:pPr>
              <w:pStyle w:val="150"/>
            </w:pPr>
            <w:r>
              <w:rPr>
                <w:rFonts w:hint="eastAsia"/>
              </w:rPr>
              <w:t>绑定类型</w:t>
            </w:r>
          </w:p>
          <w:p w14:paraId="05229C49">
            <w:pPr>
              <w:pStyle w:val="150"/>
            </w:pPr>
            <w:r>
              <w:rPr>
                <w:rFonts w:hint="eastAsia"/>
              </w:rPr>
              <w:t>开启表示</w:t>
            </w:r>
            <w:r>
              <w:rPr>
                <w:rFonts w:hint="eastAsia"/>
                <w:iCs/>
              </w:rPr>
              <w:t>一个MAC和一个IP地址唯一对应，</w:t>
            </w:r>
            <w:r>
              <w:rPr>
                <w:rFonts w:hint="eastAsia"/>
              </w:rPr>
              <w:t>关闭表示一个MAC地址和多个IP地址对应</w:t>
            </w:r>
          </w:p>
        </w:tc>
      </w:tr>
    </w:tbl>
    <w:p w14:paraId="6CE3CBDC">
      <w:bookmarkStart w:id="7610" w:name="_Toc474250110"/>
    </w:p>
    <w:bookmarkEnd w:id="7365"/>
    <w:bookmarkEnd w:id="7366"/>
    <w:bookmarkEnd w:id="7367"/>
    <w:bookmarkEnd w:id="7368"/>
    <w:bookmarkEnd w:id="7369"/>
    <w:bookmarkEnd w:id="7610"/>
    <w:p w14:paraId="7A10AD15">
      <w:pPr>
        <w:pStyle w:val="5"/>
      </w:pPr>
      <w:bookmarkStart w:id="7611" w:name="_Toc496875245"/>
      <w:bookmarkEnd w:id="7611"/>
      <w:bookmarkStart w:id="7612" w:name="_Toc496875222"/>
      <w:bookmarkEnd w:id="7612"/>
      <w:bookmarkStart w:id="7613" w:name="_Toc496875240"/>
      <w:bookmarkEnd w:id="7613"/>
      <w:bookmarkStart w:id="7614" w:name="_Toc496875260"/>
      <w:bookmarkEnd w:id="7614"/>
      <w:bookmarkStart w:id="7615" w:name="_Toc496875232"/>
      <w:bookmarkEnd w:id="7615"/>
      <w:bookmarkStart w:id="7616" w:name="_Toc141873810"/>
      <w:bookmarkStart w:id="7617" w:name="_Toc172218603"/>
      <w:bookmarkStart w:id="7618" w:name="_Toc194081124"/>
      <w:bookmarkStart w:id="7619" w:name="_Toc196728456"/>
      <w:bookmarkStart w:id="7620" w:name="_Toc142401327"/>
      <w:bookmarkStart w:id="7621" w:name="_Toc141873807"/>
      <w:bookmarkStart w:id="7622" w:name="_Toc142401324"/>
      <w:bookmarkStart w:id="7623" w:name="_Toc23153049"/>
      <w:bookmarkStart w:id="7624" w:name="_Toc15458739"/>
      <w:bookmarkStart w:id="7625" w:name="_Toc15485292"/>
      <w:bookmarkStart w:id="7626" w:name="_Toc40276470"/>
      <w:bookmarkStart w:id="7627" w:name="_Toc99562008"/>
      <w:bookmarkStart w:id="7628" w:name="_Toc172218600"/>
      <w:bookmarkStart w:id="7629" w:name="_Toc522105883"/>
      <w:bookmarkStart w:id="7630" w:name="_Toc99561995"/>
      <w:bookmarkStart w:id="7631" w:name="_Toc23153053"/>
      <w:bookmarkStart w:id="7632" w:name="_Toc40276474"/>
      <w:bookmarkStart w:id="7633" w:name="_Toc15485296"/>
      <w:r>
        <w:rPr>
          <w:rFonts w:hint="eastAsia"/>
        </w:rPr>
        <w:t>防暴力破解</w:t>
      </w:r>
      <w:bookmarkEnd w:id="7616"/>
      <w:bookmarkEnd w:id="7617"/>
      <w:bookmarkEnd w:id="7618"/>
      <w:bookmarkEnd w:id="7619"/>
      <w:bookmarkEnd w:id="7620"/>
    </w:p>
    <w:p w14:paraId="6CCCE9B3">
      <w:pPr>
        <w:pStyle w:val="6"/>
      </w:pPr>
      <w:bookmarkStart w:id="7634" w:name="_Toc522105884"/>
      <w:bookmarkStart w:id="7635" w:name="_Toc15485297"/>
      <w:bookmarkStart w:id="7636" w:name="_Toc172218604"/>
      <w:bookmarkStart w:id="7637" w:name="_Toc23153054"/>
      <w:bookmarkStart w:id="7638" w:name="_Toc99561996"/>
      <w:bookmarkStart w:id="7639" w:name="_Toc40276475"/>
      <w:bookmarkStart w:id="7640" w:name="_Toc141873811"/>
      <w:bookmarkStart w:id="7641" w:name="_Toc142401328"/>
      <w:r>
        <w:rPr>
          <w:rFonts w:hint="eastAsia"/>
        </w:rPr>
        <w:t>防暴力破解简介</w:t>
      </w:r>
      <w:bookmarkEnd w:id="7634"/>
      <w:bookmarkEnd w:id="7635"/>
      <w:bookmarkEnd w:id="7636"/>
      <w:bookmarkEnd w:id="7637"/>
      <w:bookmarkEnd w:id="7638"/>
      <w:bookmarkEnd w:id="7639"/>
      <w:bookmarkEnd w:id="7640"/>
      <w:bookmarkEnd w:id="7641"/>
    </w:p>
    <w:p w14:paraId="0C2E6799">
      <w:pPr>
        <w:rPr>
          <w:sz w:val="24"/>
        </w:rPr>
      </w:pPr>
      <w:r>
        <w:rPr>
          <w:rFonts w:hint="eastAsia"/>
        </w:rPr>
        <w:t>暴力破解是指攻击者通过穷举的方法登录相应服务从而获得可以登录的用户名密码对。通过检测出流量中的暴力破解行为并进行阻断。用户可配置是否开启暴力破解防御，服务类型，支持的服务类型包括ftp、telnet、smtp、http、imap、mssql、mysql、oracle、pop3、postgres，各个服务单独配置暴力破解检测时长和阈值，配置是否把攻击者加入黑名单。</w:t>
      </w:r>
    </w:p>
    <w:p w14:paraId="6B491DE3">
      <w:pPr>
        <w:pStyle w:val="6"/>
      </w:pPr>
      <w:bookmarkStart w:id="7642" w:name="_Toc522105886"/>
      <w:bookmarkStart w:id="7643" w:name="_Toc40276476"/>
      <w:bookmarkStart w:id="7644" w:name="_Toc23153055"/>
      <w:bookmarkStart w:id="7645" w:name="_Toc142401329"/>
      <w:bookmarkStart w:id="7646" w:name="_Toc99561997"/>
      <w:bookmarkStart w:id="7647" w:name="_Toc172218605"/>
      <w:bookmarkStart w:id="7648" w:name="_Toc141873812"/>
      <w:bookmarkStart w:id="7649" w:name="_Toc15485298"/>
      <w:r>
        <w:rPr>
          <w:rFonts w:hint="eastAsia"/>
        </w:rPr>
        <w:t>防暴力破解</w:t>
      </w:r>
      <w:bookmarkEnd w:id="7642"/>
      <w:r>
        <w:rPr>
          <w:rFonts w:hint="eastAsia"/>
        </w:rPr>
        <w:t>配置</w:t>
      </w:r>
      <w:bookmarkEnd w:id="7643"/>
      <w:bookmarkEnd w:id="7644"/>
      <w:bookmarkEnd w:id="7645"/>
      <w:bookmarkEnd w:id="7646"/>
      <w:bookmarkEnd w:id="7647"/>
      <w:bookmarkEnd w:id="7648"/>
      <w:bookmarkEnd w:id="7649"/>
    </w:p>
    <w:p w14:paraId="6F0C8E57">
      <w:pPr>
        <w:rPr>
          <w:bCs/>
          <w:sz w:val="30"/>
          <w:szCs w:val="44"/>
        </w:rPr>
      </w:pPr>
      <w:r>
        <w:rPr>
          <w:rFonts w:hint="eastAsia"/>
        </w:rPr>
        <w:t>如</w:t>
      </w:r>
      <w:r>
        <w:fldChar w:fldCharType="begin"/>
      </w:r>
      <w:r>
        <w:instrText xml:space="preserve"> </w:instrText>
      </w:r>
      <w:r>
        <w:rPr>
          <w:rFonts w:hint="eastAsia"/>
        </w:rPr>
        <w:instrText xml:space="preserve">REF _Ref521333427 \r \h</w:instrText>
      </w:r>
      <w:r>
        <w:instrText xml:space="preserve">  \* MERGEFORMAT </w:instrText>
      </w:r>
      <w:r>
        <w:fldChar w:fldCharType="separate"/>
      </w:r>
      <w:r>
        <w:rPr>
          <w:rFonts w:hint="eastAsia"/>
        </w:rPr>
        <w:t>图29-49</w:t>
      </w:r>
      <w:r>
        <w:fldChar w:fldCharType="end"/>
      </w:r>
      <w:r>
        <w:rPr>
          <w:rFonts w:hint="eastAsia"/>
        </w:rPr>
        <w:t>所示，在导航栏中选择“策略配置&gt;安全设置&gt;安全防护&gt;防暴力破解”，进入防暴力破解的配置界面。</w:t>
      </w:r>
    </w:p>
    <w:p w14:paraId="4FBD89A1">
      <w:pPr>
        <w:pStyle w:val="188"/>
      </w:pPr>
      <w:bookmarkStart w:id="7650" w:name="_Ref521333427"/>
      <w:bookmarkStart w:id="7651" w:name="_Toc141875207"/>
      <w:r>
        <w:rPr>
          <w:rFonts w:hint="eastAsia"/>
        </w:rPr>
        <w:t>防暴力破解配置界面</w:t>
      </w:r>
      <w:bookmarkEnd w:id="7650"/>
      <w:bookmarkEnd w:id="7651"/>
    </w:p>
    <w:p w14:paraId="3555C03A">
      <w:r>
        <w:drawing>
          <wp:inline distT="0" distB="0" distL="0" distR="0">
            <wp:extent cx="5256530" cy="4018915"/>
            <wp:effectExtent l="0" t="0" r="1270" b="635"/>
            <wp:docPr id="2934" name="图片 2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4" name="图片 2934"/>
                    <pic:cNvPicPr>
                      <a:picLocks noChangeAspect="1"/>
                    </pic:cNvPicPr>
                  </pic:nvPicPr>
                  <pic:blipFill>
                    <a:blip r:embed="rId914"/>
                    <a:stretch>
                      <a:fillRect/>
                    </a:stretch>
                  </pic:blipFill>
                  <pic:spPr>
                    <a:xfrm>
                      <a:off x="0" y="0"/>
                      <a:ext cx="5257143" cy="4019048"/>
                    </a:xfrm>
                    <a:prstGeom prst="rect">
                      <a:avLst/>
                    </a:prstGeom>
                  </pic:spPr>
                </pic:pic>
              </a:graphicData>
            </a:graphic>
          </wp:inline>
        </w:drawing>
      </w:r>
    </w:p>
    <w:p w14:paraId="35BC49A3"/>
    <w:p w14:paraId="1361C085">
      <w:pPr>
        <w:pStyle w:val="183"/>
      </w:pPr>
      <w:bookmarkStart w:id="7652" w:name="_Toc141875739"/>
      <w:r>
        <w:rPr>
          <w:rFonts w:hint="eastAsia"/>
        </w:rPr>
        <w:t>防暴力破解界面详细描述表</w:t>
      </w:r>
      <w:bookmarkEnd w:id="7652"/>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90"/>
        <w:gridCol w:w="6542"/>
      </w:tblGrid>
      <w:tr w14:paraId="7A22E8A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28235AAD">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42" w:type="dxa"/>
            <w:tcBorders>
              <w:tl2br w:val="nil"/>
              <w:tr2bl w:val="nil"/>
            </w:tcBorders>
            <w:shd w:val="clear" w:color="auto" w:fill="538135" w:themeFill="accent6" w:themeFillShade="BF"/>
            <w:vAlign w:val="center"/>
          </w:tcPr>
          <w:p w14:paraId="6F5A66B4">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385717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843F974">
            <w:pPr>
              <w:pStyle w:val="150"/>
            </w:pPr>
            <w:r>
              <w:rPr>
                <w:rFonts w:hint="eastAsia"/>
              </w:rPr>
              <w:t>启用</w:t>
            </w:r>
          </w:p>
        </w:tc>
        <w:tc>
          <w:tcPr>
            <w:tcW w:w="6542" w:type="dxa"/>
            <w:shd w:val="clear" w:color="auto" w:fill="auto"/>
          </w:tcPr>
          <w:p w14:paraId="52C5A630">
            <w:pPr>
              <w:pStyle w:val="150"/>
            </w:pPr>
            <w:r>
              <w:rPr>
                <w:rFonts w:hint="eastAsia"/>
              </w:rPr>
              <w:t>勾选启用/禁用防暴力破解功能</w:t>
            </w:r>
          </w:p>
        </w:tc>
      </w:tr>
      <w:tr w14:paraId="2855A37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315F40B2">
            <w:pPr>
              <w:pStyle w:val="150"/>
            </w:pPr>
            <w:r>
              <w:rPr>
                <w:rFonts w:hint="eastAsia"/>
              </w:rPr>
              <w:t>服务</w:t>
            </w:r>
          </w:p>
        </w:tc>
        <w:tc>
          <w:tcPr>
            <w:tcW w:w="6542" w:type="dxa"/>
            <w:shd w:val="clear" w:color="auto" w:fill="auto"/>
          </w:tcPr>
          <w:p w14:paraId="2E41AB4E">
            <w:pPr>
              <w:pStyle w:val="150"/>
            </w:pPr>
            <w:r>
              <w:rPr>
                <w:rFonts w:hint="eastAsia"/>
              </w:rPr>
              <w:t>选择监测的服务</w:t>
            </w:r>
          </w:p>
        </w:tc>
      </w:tr>
      <w:tr w14:paraId="1D73E225">
        <w:tblPrEx>
          <w:tblCellMar>
            <w:top w:w="0" w:type="dxa"/>
            <w:left w:w="108" w:type="dxa"/>
            <w:bottom w:w="0" w:type="dxa"/>
            <w:right w:w="108" w:type="dxa"/>
          </w:tblCellMar>
        </w:tblPrEx>
        <w:trPr>
          <w:trHeight w:val="419" w:hRule="atLeast"/>
        </w:trPr>
        <w:tc>
          <w:tcPr>
            <w:tcW w:w="2490" w:type="dxa"/>
            <w:shd w:val="clear" w:color="auto" w:fill="auto"/>
          </w:tcPr>
          <w:p w14:paraId="786D7ED8">
            <w:pPr>
              <w:pStyle w:val="150"/>
            </w:pPr>
            <w:r>
              <w:t>W</w:t>
            </w:r>
            <w:r>
              <w:rPr>
                <w:rFonts w:hint="eastAsia"/>
              </w:rPr>
              <w:t>eb登录保护</w:t>
            </w:r>
          </w:p>
        </w:tc>
        <w:tc>
          <w:tcPr>
            <w:tcW w:w="6542" w:type="dxa"/>
            <w:shd w:val="clear" w:color="auto" w:fill="auto"/>
          </w:tcPr>
          <w:p w14:paraId="1BA82A85">
            <w:pPr>
              <w:pStyle w:val="150"/>
            </w:pPr>
            <w:r>
              <w:rPr>
                <w:rFonts w:hint="eastAsia"/>
              </w:rPr>
              <w:t>勾选启用/禁用web登录保护功能</w:t>
            </w:r>
          </w:p>
        </w:tc>
      </w:tr>
      <w:tr w14:paraId="6F2962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01B77744">
            <w:pPr>
              <w:pStyle w:val="150"/>
            </w:pPr>
            <w:r>
              <w:rPr>
                <w:rFonts w:hint="eastAsia"/>
              </w:rPr>
              <w:t>url路径</w:t>
            </w:r>
          </w:p>
        </w:tc>
        <w:tc>
          <w:tcPr>
            <w:tcW w:w="6542" w:type="dxa"/>
            <w:shd w:val="clear" w:color="auto" w:fill="auto"/>
          </w:tcPr>
          <w:p w14:paraId="76672CAA">
            <w:pPr>
              <w:pStyle w:val="150"/>
            </w:pPr>
            <w:r>
              <w:t>W</w:t>
            </w:r>
            <w:r>
              <w:rPr>
                <w:rFonts w:hint="eastAsia"/>
              </w:rPr>
              <w:t>eb登录保护的url</w:t>
            </w:r>
          </w:p>
        </w:tc>
      </w:tr>
      <w:tr w14:paraId="6AA1F9D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1A58964">
            <w:pPr>
              <w:pStyle w:val="150"/>
            </w:pPr>
            <w:r>
              <w:rPr>
                <w:rFonts w:hint="eastAsia"/>
              </w:rPr>
              <w:t>攻击者加入黑名单</w:t>
            </w:r>
          </w:p>
        </w:tc>
        <w:tc>
          <w:tcPr>
            <w:tcW w:w="6542" w:type="dxa"/>
            <w:shd w:val="clear" w:color="auto" w:fill="auto"/>
          </w:tcPr>
          <w:p w14:paraId="6694843D">
            <w:pPr>
              <w:pStyle w:val="150"/>
            </w:pPr>
            <w:r>
              <w:rPr>
                <w:rFonts w:hint="eastAsia"/>
              </w:rPr>
              <w:t>勾选启用/禁用攻击者加入黑名单功能</w:t>
            </w:r>
          </w:p>
        </w:tc>
      </w:tr>
    </w:tbl>
    <w:p w14:paraId="62FB8E17"/>
    <w:p w14:paraId="6786FD64">
      <w:pPr>
        <w:pStyle w:val="6"/>
      </w:pPr>
      <w:bookmarkStart w:id="7653" w:name="_Toc522105887"/>
      <w:bookmarkStart w:id="7654" w:name="_Toc15485299"/>
      <w:bookmarkStart w:id="7655" w:name="_Toc23153056"/>
      <w:bookmarkStart w:id="7656" w:name="_Toc40276477"/>
      <w:bookmarkStart w:id="7657" w:name="_Toc99561998"/>
      <w:bookmarkStart w:id="7658" w:name="_Toc172218606"/>
      <w:bookmarkStart w:id="7659" w:name="_Toc141873813"/>
      <w:bookmarkStart w:id="7660" w:name="_Toc142401330"/>
      <w:r>
        <w:rPr>
          <w:rFonts w:hint="eastAsia"/>
        </w:rPr>
        <w:t>服务选择</w:t>
      </w:r>
      <w:bookmarkEnd w:id="7653"/>
      <w:bookmarkEnd w:id="7654"/>
      <w:bookmarkEnd w:id="7655"/>
      <w:bookmarkEnd w:id="7656"/>
      <w:bookmarkEnd w:id="7657"/>
      <w:bookmarkEnd w:id="7658"/>
      <w:bookmarkEnd w:id="7659"/>
      <w:bookmarkEnd w:id="7660"/>
    </w:p>
    <w:p w14:paraId="40B3DAE4">
      <w:pPr>
        <w:rPr>
          <w:bCs/>
          <w:sz w:val="30"/>
          <w:szCs w:val="44"/>
        </w:rPr>
      </w:pPr>
      <w:r>
        <w:rPr>
          <w:rFonts w:hint="eastAsia"/>
        </w:rPr>
        <w:t>如</w:t>
      </w:r>
      <w:r>
        <w:fldChar w:fldCharType="begin"/>
      </w:r>
      <w:r>
        <w:rPr>
          <w:color w:val="0000FF"/>
          <w:u w:val="single"/>
        </w:rPr>
        <w:instrText xml:space="preserve"> </w:instrText>
      </w:r>
      <w:r>
        <w:rPr>
          <w:rFonts w:hint="eastAsia"/>
          <w:color w:val="0000FF"/>
          <w:u w:val="single"/>
        </w:rPr>
        <w:instrText xml:space="preserve">REF _Ref521676089 \r \h</w:instrText>
      </w:r>
      <w:r>
        <w:rPr>
          <w:color w:val="0000FF"/>
          <w:u w:val="single"/>
        </w:rPr>
        <w:instrText xml:space="preserve"> </w:instrText>
      </w:r>
      <w:r>
        <w:instrText xml:space="preserve"> \* MERGEFORMAT </w:instrText>
      </w:r>
      <w:r>
        <w:fldChar w:fldCharType="separate"/>
      </w:r>
      <w:r>
        <w:rPr>
          <w:rFonts w:hint="eastAsia"/>
          <w:color w:val="0000FF"/>
          <w:u w:val="single"/>
        </w:rPr>
        <w:t>图29-50</w:t>
      </w:r>
      <w:r>
        <w:fldChar w:fldCharType="end"/>
      </w:r>
      <w:r>
        <w:rPr>
          <w:rFonts w:hint="eastAsia"/>
        </w:rPr>
        <w:t>所示，在导航栏中选择“策略配置&gt;安全设置&gt;安全防护&gt;防暴力破解&gt;服务”，进入服务的配置界面。点击“服务”弹框出现服务配置页面。</w:t>
      </w:r>
    </w:p>
    <w:p w14:paraId="4EE13671">
      <w:pPr>
        <w:pStyle w:val="188"/>
      </w:pPr>
      <w:bookmarkStart w:id="7661" w:name="_Ref521676089"/>
      <w:bookmarkStart w:id="7662" w:name="_Toc141875208"/>
      <w:r>
        <w:rPr>
          <w:rFonts w:hint="eastAsia"/>
        </w:rPr>
        <w:t>服务配置界面</w:t>
      </w:r>
      <w:bookmarkEnd w:id="7661"/>
      <w:bookmarkEnd w:id="7662"/>
    </w:p>
    <w:p w14:paraId="30F2702F">
      <w:r>
        <w:drawing>
          <wp:inline distT="0" distB="0" distL="0" distR="0">
            <wp:extent cx="5610225" cy="3000375"/>
            <wp:effectExtent l="0" t="0" r="0" b="0"/>
            <wp:docPr id="2935" name="图片 2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5" name="图片 2935"/>
                    <pic:cNvPicPr>
                      <a:picLocks noChangeAspect="1"/>
                    </pic:cNvPicPr>
                  </pic:nvPicPr>
                  <pic:blipFill>
                    <a:blip r:embed="rId915"/>
                    <a:stretch>
                      <a:fillRect/>
                    </a:stretch>
                  </pic:blipFill>
                  <pic:spPr>
                    <a:xfrm>
                      <a:off x="0" y="0"/>
                      <a:ext cx="5623110" cy="3007276"/>
                    </a:xfrm>
                    <a:prstGeom prst="rect">
                      <a:avLst/>
                    </a:prstGeom>
                  </pic:spPr>
                </pic:pic>
              </a:graphicData>
            </a:graphic>
          </wp:inline>
        </w:drawing>
      </w:r>
    </w:p>
    <w:p w14:paraId="5FC67A76"/>
    <w:p w14:paraId="5C54F455">
      <w:pPr>
        <w:pStyle w:val="183"/>
      </w:pPr>
      <w:bookmarkStart w:id="7663" w:name="_Toc141875740"/>
      <w:r>
        <w:rPr>
          <w:rFonts w:hint="eastAsia"/>
        </w:rPr>
        <w:t>服务配置界面详细描述表</w:t>
      </w:r>
      <w:bookmarkEnd w:id="7663"/>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90"/>
        <w:gridCol w:w="6542"/>
      </w:tblGrid>
      <w:tr w14:paraId="15D50E7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422E3732">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42" w:type="dxa"/>
            <w:tcBorders>
              <w:tl2br w:val="nil"/>
              <w:tr2bl w:val="nil"/>
            </w:tcBorders>
            <w:shd w:val="clear" w:color="auto" w:fill="538135" w:themeFill="accent6" w:themeFillShade="BF"/>
            <w:vAlign w:val="center"/>
          </w:tcPr>
          <w:p w14:paraId="02085C99">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F03A1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99967AB">
            <w:pPr>
              <w:pStyle w:val="150"/>
            </w:pPr>
            <w:r>
              <w:rPr>
                <w:rFonts w:hint="eastAsia"/>
              </w:rPr>
              <w:t>协议</w:t>
            </w:r>
          </w:p>
        </w:tc>
        <w:tc>
          <w:tcPr>
            <w:tcW w:w="6542" w:type="dxa"/>
            <w:shd w:val="clear" w:color="auto" w:fill="auto"/>
          </w:tcPr>
          <w:p w14:paraId="7D2AD393">
            <w:pPr>
              <w:pStyle w:val="150"/>
            </w:pPr>
            <w:r>
              <w:rPr>
                <w:rFonts w:hint="eastAsia"/>
              </w:rPr>
              <w:t>勾选需要开启防暴力破解功能的服务</w:t>
            </w:r>
          </w:p>
        </w:tc>
      </w:tr>
      <w:tr w14:paraId="1704BB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945F989">
            <w:pPr>
              <w:pStyle w:val="150"/>
            </w:pPr>
            <w:r>
              <w:rPr>
                <w:rFonts w:hint="eastAsia"/>
              </w:rPr>
              <w:t>检测时长</w:t>
            </w:r>
          </w:p>
        </w:tc>
        <w:tc>
          <w:tcPr>
            <w:tcW w:w="6542" w:type="dxa"/>
            <w:shd w:val="clear" w:color="auto" w:fill="auto"/>
          </w:tcPr>
          <w:p w14:paraId="0C82F52F">
            <w:pPr>
              <w:pStyle w:val="150"/>
            </w:pPr>
            <w:r>
              <w:rPr>
                <w:rFonts w:hint="eastAsia"/>
              </w:rPr>
              <w:t>防暴力破解的检测周期</w:t>
            </w:r>
          </w:p>
        </w:tc>
      </w:tr>
      <w:tr w14:paraId="50A1D6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B9FDC9F">
            <w:pPr>
              <w:pStyle w:val="150"/>
            </w:pPr>
            <w:r>
              <w:rPr>
                <w:rFonts w:hint="eastAsia"/>
              </w:rPr>
              <w:t>阈值</w:t>
            </w:r>
          </w:p>
        </w:tc>
        <w:tc>
          <w:tcPr>
            <w:tcW w:w="6542" w:type="dxa"/>
            <w:shd w:val="clear" w:color="auto" w:fill="auto"/>
          </w:tcPr>
          <w:p w14:paraId="2EDF8945">
            <w:pPr>
              <w:pStyle w:val="150"/>
            </w:pPr>
            <w:r>
              <w:rPr>
                <w:rFonts w:hint="eastAsia"/>
              </w:rPr>
              <w:t>攻击次数，达到阈值触发防暴力破解记录攻击事件</w:t>
            </w:r>
          </w:p>
        </w:tc>
      </w:tr>
    </w:tbl>
    <w:p w14:paraId="6BBAAC9F"/>
    <w:p w14:paraId="737D3F67">
      <w:pPr>
        <w:pStyle w:val="5"/>
      </w:pPr>
      <w:bookmarkStart w:id="7664" w:name="_Toc15485300"/>
      <w:bookmarkStart w:id="7665" w:name="_Toc23153057"/>
      <w:bookmarkStart w:id="7666" w:name="_Toc141873814"/>
      <w:bookmarkStart w:id="7667" w:name="_Toc99561999"/>
      <w:bookmarkStart w:id="7668" w:name="_Toc142401331"/>
      <w:bookmarkStart w:id="7669" w:name="_Toc194081125"/>
      <w:bookmarkStart w:id="7670" w:name="_Toc196728457"/>
      <w:bookmarkStart w:id="7671" w:name="_Toc40276478"/>
      <w:bookmarkStart w:id="7672" w:name="_Toc172218607"/>
      <w:bookmarkStart w:id="7673" w:name="_Toc522106829"/>
      <w:bookmarkStart w:id="7674" w:name="_Toc15485305"/>
      <w:bookmarkStart w:id="7675" w:name="_Toc15046076"/>
      <w:bookmarkStart w:id="7676" w:name="_Toc23153062"/>
      <w:bookmarkStart w:id="7677" w:name="_Toc40276483"/>
      <w:bookmarkStart w:id="7678" w:name="_Toc99562004"/>
      <w:bookmarkStart w:id="7679" w:name="_Toc141873819"/>
      <w:bookmarkStart w:id="7680" w:name="_Toc172218612"/>
      <w:bookmarkStart w:id="7681" w:name="_Toc142401336"/>
      <w:r>
        <w:rPr>
          <w:rFonts w:hint="eastAsia"/>
        </w:rPr>
        <w:t>弱密码防护</w:t>
      </w:r>
      <w:bookmarkEnd w:id="7664"/>
      <w:bookmarkEnd w:id="7665"/>
      <w:bookmarkEnd w:id="7666"/>
      <w:bookmarkEnd w:id="7667"/>
      <w:bookmarkEnd w:id="7668"/>
      <w:bookmarkEnd w:id="7669"/>
      <w:bookmarkEnd w:id="7670"/>
      <w:bookmarkEnd w:id="7671"/>
      <w:bookmarkEnd w:id="7672"/>
      <w:bookmarkEnd w:id="7673"/>
    </w:p>
    <w:p w14:paraId="26F64523">
      <w:pPr>
        <w:pStyle w:val="6"/>
      </w:pPr>
      <w:bookmarkStart w:id="7682" w:name="_Toc522106830"/>
      <w:bookmarkStart w:id="7683" w:name="_Toc15485301"/>
      <w:bookmarkStart w:id="7684" w:name="_Toc23153058"/>
      <w:bookmarkStart w:id="7685" w:name="_Toc141873815"/>
      <w:bookmarkStart w:id="7686" w:name="_Toc40276479"/>
      <w:bookmarkStart w:id="7687" w:name="_Toc99562000"/>
      <w:bookmarkStart w:id="7688" w:name="_Toc172218608"/>
      <w:bookmarkStart w:id="7689" w:name="_Toc142401332"/>
      <w:r>
        <w:rPr>
          <w:rFonts w:hint="eastAsia"/>
        </w:rPr>
        <w:t>弱密码防护简介</w:t>
      </w:r>
      <w:bookmarkEnd w:id="7682"/>
      <w:bookmarkEnd w:id="7683"/>
      <w:bookmarkEnd w:id="7684"/>
      <w:bookmarkEnd w:id="7685"/>
      <w:bookmarkEnd w:id="7686"/>
      <w:bookmarkEnd w:id="7687"/>
      <w:bookmarkEnd w:id="7688"/>
      <w:bookmarkEnd w:id="7689"/>
    </w:p>
    <w:p w14:paraId="50C706C9">
      <w:pPr>
        <w:rPr>
          <w:sz w:val="24"/>
        </w:rPr>
      </w:pPr>
      <w:r>
        <w:rPr>
          <w:rFonts w:hint="eastAsia"/>
        </w:rPr>
        <w:t>对于密码明文传输的服务，从登录报文中提取出密码并判断出密码强度，若为弱密码则产生日志，并根据配置的动作进行阻断或者放行。支持的服务包括ftp、imap、pop3、smtp、telnet。用户可以配置开启或者关闭弱密码检测功能，目标服务，弱密码密码强度。</w:t>
      </w:r>
    </w:p>
    <w:p w14:paraId="7E5C3A43">
      <w:pPr>
        <w:pStyle w:val="6"/>
      </w:pPr>
      <w:bookmarkStart w:id="7690" w:name="_Toc522106832"/>
      <w:bookmarkStart w:id="7691" w:name="_Toc23153059"/>
      <w:bookmarkStart w:id="7692" w:name="_Toc99562001"/>
      <w:bookmarkStart w:id="7693" w:name="_Toc141873816"/>
      <w:bookmarkStart w:id="7694" w:name="_Toc40276480"/>
      <w:bookmarkStart w:id="7695" w:name="_Toc15485302"/>
      <w:bookmarkStart w:id="7696" w:name="_Toc142401333"/>
      <w:bookmarkStart w:id="7697" w:name="_Toc172218609"/>
      <w:r>
        <w:rPr>
          <w:rFonts w:hint="eastAsia"/>
        </w:rPr>
        <w:t>弱密码防护</w:t>
      </w:r>
      <w:bookmarkEnd w:id="7690"/>
      <w:bookmarkEnd w:id="7691"/>
      <w:bookmarkEnd w:id="7692"/>
      <w:bookmarkEnd w:id="7693"/>
      <w:bookmarkEnd w:id="7694"/>
      <w:bookmarkEnd w:id="7695"/>
      <w:bookmarkEnd w:id="7696"/>
      <w:bookmarkEnd w:id="7697"/>
    </w:p>
    <w:p w14:paraId="33341619">
      <w:pPr>
        <w:rPr>
          <w:bCs/>
          <w:sz w:val="30"/>
          <w:szCs w:val="44"/>
        </w:rPr>
      </w:pPr>
      <w:r>
        <w:rPr>
          <w:rFonts w:hint="eastAsia"/>
        </w:rPr>
        <w:t>在导航栏中选择“策略配置&gt;安全设置&gt;安全防护&gt;弱密码防护”，进入弱密码防护的配置界面。</w:t>
      </w:r>
    </w:p>
    <w:p w14:paraId="70409D5D">
      <w:pPr>
        <w:pStyle w:val="188"/>
      </w:pPr>
      <w:bookmarkStart w:id="7698" w:name="_Toc141875209"/>
      <w:r>
        <w:rPr>
          <w:rFonts w:hint="eastAsia"/>
        </w:rPr>
        <w:t>弱密码防护配置界面</w:t>
      </w:r>
      <w:bookmarkEnd w:id="7698"/>
    </w:p>
    <w:p w14:paraId="79E1E248">
      <w:pPr>
        <w:pStyle w:val="175"/>
      </w:pPr>
      <w:r>
        <w:drawing>
          <wp:inline distT="0" distB="0" distL="0" distR="0">
            <wp:extent cx="5143500" cy="4027805"/>
            <wp:effectExtent l="0" t="0" r="0" b="0"/>
            <wp:docPr id="1802027884" name="图片 1802027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84" name="图片 1802027884"/>
                    <pic:cNvPicPr>
                      <a:picLocks noChangeAspect="1"/>
                    </pic:cNvPicPr>
                  </pic:nvPicPr>
                  <pic:blipFill>
                    <a:blip r:embed="rId916"/>
                    <a:stretch>
                      <a:fillRect/>
                    </a:stretch>
                  </pic:blipFill>
                  <pic:spPr>
                    <a:xfrm>
                      <a:off x="0" y="0"/>
                      <a:ext cx="5151983" cy="4034891"/>
                    </a:xfrm>
                    <a:prstGeom prst="rect">
                      <a:avLst/>
                    </a:prstGeom>
                  </pic:spPr>
                </pic:pic>
              </a:graphicData>
            </a:graphic>
          </wp:inline>
        </w:drawing>
      </w:r>
    </w:p>
    <w:p w14:paraId="69B2DAC4"/>
    <w:p w14:paraId="0D7F7FBA">
      <w:pPr>
        <w:pStyle w:val="183"/>
      </w:pPr>
      <w:bookmarkStart w:id="7699" w:name="_Toc141875741"/>
      <w:r>
        <w:rPr>
          <w:rFonts w:hint="eastAsia"/>
        </w:rPr>
        <w:t>防暴力破解界面详细描述表</w:t>
      </w:r>
      <w:bookmarkEnd w:id="7699"/>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036"/>
        <w:gridCol w:w="6996"/>
      </w:tblGrid>
      <w:tr w14:paraId="71A262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036" w:type="dxa"/>
            <w:tcBorders>
              <w:tl2br w:val="nil"/>
              <w:tr2bl w:val="nil"/>
            </w:tcBorders>
            <w:shd w:val="clear" w:color="auto" w:fill="538135" w:themeFill="accent6" w:themeFillShade="BF"/>
            <w:vAlign w:val="center"/>
          </w:tcPr>
          <w:p w14:paraId="6F53B2F9">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996" w:type="dxa"/>
            <w:tcBorders>
              <w:tl2br w:val="nil"/>
              <w:tr2bl w:val="nil"/>
            </w:tcBorders>
            <w:shd w:val="clear" w:color="auto" w:fill="538135" w:themeFill="accent6" w:themeFillShade="BF"/>
            <w:vAlign w:val="center"/>
          </w:tcPr>
          <w:p w14:paraId="7905E155">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8E930F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036" w:type="dxa"/>
            <w:shd w:val="clear" w:color="auto" w:fill="auto"/>
          </w:tcPr>
          <w:p w14:paraId="7DB73177">
            <w:pPr>
              <w:pStyle w:val="150"/>
            </w:pPr>
            <w:r>
              <w:rPr>
                <w:rFonts w:hint="eastAsia"/>
              </w:rPr>
              <w:t>启用</w:t>
            </w:r>
          </w:p>
        </w:tc>
        <w:tc>
          <w:tcPr>
            <w:tcW w:w="6996" w:type="dxa"/>
            <w:shd w:val="clear" w:color="auto" w:fill="auto"/>
          </w:tcPr>
          <w:p w14:paraId="77F18E33">
            <w:pPr>
              <w:pStyle w:val="150"/>
            </w:pPr>
            <w:r>
              <w:rPr>
                <w:rFonts w:hint="eastAsia"/>
              </w:rPr>
              <w:t>勾选启用/禁用弱密码防护功能。</w:t>
            </w:r>
          </w:p>
        </w:tc>
      </w:tr>
      <w:tr w14:paraId="264428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19" w:hRule="atLeast"/>
        </w:trPr>
        <w:tc>
          <w:tcPr>
            <w:tcW w:w="2036" w:type="dxa"/>
            <w:shd w:val="clear" w:color="auto" w:fill="auto"/>
          </w:tcPr>
          <w:p w14:paraId="75093A7D">
            <w:pPr>
              <w:pStyle w:val="150"/>
            </w:pPr>
            <w:r>
              <w:rPr>
                <w:rFonts w:hint="eastAsia"/>
              </w:rPr>
              <w:t>动作</w:t>
            </w:r>
          </w:p>
        </w:tc>
        <w:tc>
          <w:tcPr>
            <w:tcW w:w="6996" w:type="dxa"/>
            <w:shd w:val="clear" w:color="auto" w:fill="auto"/>
          </w:tcPr>
          <w:p w14:paraId="7E15D2C7">
            <w:pPr>
              <w:pStyle w:val="150"/>
            </w:pPr>
            <w:r>
              <w:rPr>
                <w:rFonts w:hint="eastAsia"/>
              </w:rPr>
              <w:t>选择匹配到弱密码规则后所执行动作，可选择允许或拒绝，表示对匹配到弱密码的流量进行放行或者阻断。</w:t>
            </w:r>
          </w:p>
        </w:tc>
      </w:tr>
      <w:tr w14:paraId="479BCD3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19" w:hRule="atLeast"/>
        </w:trPr>
        <w:tc>
          <w:tcPr>
            <w:tcW w:w="2036" w:type="dxa"/>
            <w:shd w:val="clear" w:color="auto" w:fill="auto"/>
          </w:tcPr>
          <w:p w14:paraId="1FDD70AD">
            <w:pPr>
              <w:pStyle w:val="150"/>
            </w:pPr>
            <w:r>
              <w:rPr>
                <w:rFonts w:hint="eastAsia"/>
              </w:rPr>
              <w:t>服务</w:t>
            </w:r>
          </w:p>
        </w:tc>
        <w:tc>
          <w:tcPr>
            <w:tcW w:w="6996" w:type="dxa"/>
            <w:shd w:val="clear" w:color="auto" w:fill="auto"/>
          </w:tcPr>
          <w:p w14:paraId="0D386588">
            <w:pPr>
              <w:pStyle w:val="150"/>
            </w:pPr>
            <w:r>
              <w:rPr>
                <w:rFonts w:hint="eastAsia"/>
              </w:rPr>
              <w:t>点击链接，在弹出的对话框中选择监测的服务，目前支持FTP、IMAP、POP3、SMTP、Telnet、HTTP六种服务类型。当选择“HTTP”时可设置Web登录防护。</w:t>
            </w:r>
          </w:p>
        </w:tc>
      </w:tr>
      <w:tr w14:paraId="634D5C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036" w:type="dxa"/>
            <w:shd w:val="clear" w:color="auto" w:fill="auto"/>
          </w:tcPr>
          <w:p w14:paraId="3F1CF41A">
            <w:pPr>
              <w:pStyle w:val="150"/>
            </w:pPr>
            <w:r>
              <w:rPr>
                <w:rFonts w:hint="eastAsia"/>
              </w:rPr>
              <w:t>弱密码规则</w:t>
            </w:r>
          </w:p>
        </w:tc>
        <w:tc>
          <w:tcPr>
            <w:tcW w:w="6996" w:type="dxa"/>
            <w:shd w:val="clear" w:color="auto" w:fill="auto"/>
          </w:tcPr>
          <w:p w14:paraId="54CD4E9A">
            <w:pPr>
              <w:pStyle w:val="150"/>
            </w:pPr>
            <w:r>
              <w:rPr>
                <w:rFonts w:hint="eastAsia"/>
              </w:rPr>
              <w:t>勾选启用/禁用弱密码防护规则。</w:t>
            </w:r>
          </w:p>
        </w:tc>
      </w:tr>
      <w:tr w14:paraId="3F2C8A7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036" w:type="dxa"/>
            <w:shd w:val="clear" w:color="auto" w:fill="auto"/>
          </w:tcPr>
          <w:p w14:paraId="29F13C5E">
            <w:pPr>
              <w:pStyle w:val="150"/>
            </w:pPr>
            <w:r>
              <w:rPr>
                <w:rFonts w:hint="eastAsia"/>
              </w:rPr>
              <w:t>自定义密码</w:t>
            </w:r>
          </w:p>
        </w:tc>
        <w:tc>
          <w:tcPr>
            <w:tcW w:w="6996" w:type="dxa"/>
            <w:shd w:val="clear" w:color="auto" w:fill="auto"/>
          </w:tcPr>
          <w:p w14:paraId="26A5BC10">
            <w:pPr>
              <w:pStyle w:val="150"/>
            </w:pPr>
            <w:r>
              <w:rPr>
                <w:rFonts w:hint="eastAsia"/>
              </w:rPr>
              <w:t>配置自定义弱密码字典，最多16条，每条1~15字符，用回车分隔。</w:t>
            </w:r>
          </w:p>
        </w:tc>
      </w:tr>
    </w:tbl>
    <w:p w14:paraId="2AC85969"/>
    <w:p w14:paraId="631ADFBE">
      <w:pPr>
        <w:pStyle w:val="6"/>
      </w:pPr>
      <w:bookmarkStart w:id="7700" w:name="_Toc23153060"/>
      <w:bookmarkStart w:id="7701" w:name="_Toc522106833"/>
      <w:bookmarkStart w:id="7702" w:name="_Toc15485303"/>
      <w:bookmarkStart w:id="7703" w:name="_Toc141873817"/>
      <w:bookmarkStart w:id="7704" w:name="_Toc40276481"/>
      <w:bookmarkStart w:id="7705" w:name="_Toc99562002"/>
      <w:bookmarkStart w:id="7706" w:name="_Toc142401334"/>
      <w:bookmarkStart w:id="7707" w:name="_Toc172218610"/>
      <w:r>
        <w:rPr>
          <w:rFonts w:hint="eastAsia"/>
        </w:rPr>
        <w:t>服务选择</w:t>
      </w:r>
      <w:bookmarkEnd w:id="7700"/>
      <w:bookmarkEnd w:id="7701"/>
      <w:bookmarkEnd w:id="7702"/>
      <w:bookmarkEnd w:id="7703"/>
      <w:bookmarkEnd w:id="7704"/>
      <w:bookmarkEnd w:id="7705"/>
      <w:bookmarkEnd w:id="7706"/>
      <w:bookmarkEnd w:id="7707"/>
    </w:p>
    <w:p w14:paraId="19066A9F">
      <w:pPr>
        <w:rPr>
          <w:bCs/>
          <w:sz w:val="30"/>
          <w:szCs w:val="44"/>
        </w:rPr>
      </w:pPr>
      <w:r>
        <w:rPr>
          <w:rFonts w:hint="eastAsia"/>
        </w:rPr>
        <w:t>在导航栏中选择“策略配置&gt;安全设置&gt;安全防护&gt;弱密码防护&gt;服务”，进入服务的配置界面。点击“服务”弹框出现服务配置页面。</w:t>
      </w:r>
    </w:p>
    <w:p w14:paraId="26350D23">
      <w:pPr>
        <w:pStyle w:val="188"/>
      </w:pPr>
      <w:bookmarkStart w:id="7708" w:name="_Toc141875210"/>
      <w:r>
        <w:rPr>
          <w:rFonts w:hint="eastAsia"/>
        </w:rPr>
        <w:t>服务配置界面</w:t>
      </w:r>
      <w:bookmarkEnd w:id="7708"/>
    </w:p>
    <w:p w14:paraId="5C45B41B">
      <w:r>
        <w:t xml:space="preserve"> </w:t>
      </w:r>
      <w:r>
        <w:drawing>
          <wp:inline distT="0" distB="0" distL="0" distR="0">
            <wp:extent cx="5124450" cy="2458085"/>
            <wp:effectExtent l="0" t="0" r="0" b="0"/>
            <wp:docPr id="3016" name="图片 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 name="图片 3016"/>
                    <pic:cNvPicPr>
                      <a:picLocks noChangeAspect="1"/>
                    </pic:cNvPicPr>
                  </pic:nvPicPr>
                  <pic:blipFill>
                    <a:blip r:embed="rId917"/>
                    <a:stretch>
                      <a:fillRect/>
                    </a:stretch>
                  </pic:blipFill>
                  <pic:spPr>
                    <a:xfrm>
                      <a:off x="0" y="0"/>
                      <a:ext cx="5137584" cy="2464591"/>
                    </a:xfrm>
                    <a:prstGeom prst="rect">
                      <a:avLst/>
                    </a:prstGeom>
                  </pic:spPr>
                </pic:pic>
              </a:graphicData>
            </a:graphic>
          </wp:inline>
        </w:drawing>
      </w:r>
    </w:p>
    <w:p w14:paraId="791B5914"/>
    <w:p w14:paraId="29355C56">
      <w:pPr>
        <w:pStyle w:val="183"/>
      </w:pPr>
      <w:bookmarkStart w:id="7709" w:name="_Toc141875742"/>
      <w:r>
        <w:rPr>
          <w:rFonts w:hint="eastAsia"/>
        </w:rPr>
        <w:t>服务配置界面详细描述表</w:t>
      </w:r>
      <w:bookmarkEnd w:id="7709"/>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90"/>
        <w:gridCol w:w="6542"/>
      </w:tblGrid>
      <w:tr w14:paraId="676A87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7F2423AF">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42" w:type="dxa"/>
            <w:tcBorders>
              <w:tl2br w:val="nil"/>
              <w:tr2bl w:val="nil"/>
            </w:tcBorders>
            <w:shd w:val="clear" w:color="auto" w:fill="538135" w:themeFill="accent6" w:themeFillShade="BF"/>
            <w:vAlign w:val="center"/>
          </w:tcPr>
          <w:p w14:paraId="2879E59D">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B1D38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CD8A226">
            <w:pPr>
              <w:pStyle w:val="150"/>
            </w:pPr>
            <w:r>
              <w:rPr>
                <w:rFonts w:hint="eastAsia"/>
              </w:rPr>
              <w:t>名称</w:t>
            </w:r>
          </w:p>
        </w:tc>
        <w:tc>
          <w:tcPr>
            <w:tcW w:w="6542" w:type="dxa"/>
            <w:shd w:val="clear" w:color="auto" w:fill="auto"/>
          </w:tcPr>
          <w:p w14:paraId="1DD18D0F">
            <w:pPr>
              <w:pStyle w:val="150"/>
            </w:pPr>
            <w:r>
              <w:rPr>
                <w:rFonts w:hint="eastAsia"/>
              </w:rPr>
              <w:t>服务名称</w:t>
            </w:r>
          </w:p>
        </w:tc>
      </w:tr>
      <w:tr w14:paraId="591481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B139EC8">
            <w:pPr>
              <w:pStyle w:val="150"/>
            </w:pPr>
            <w:r>
              <w:rPr>
                <w:rFonts w:hint="eastAsia"/>
              </w:rPr>
              <w:t>描述</w:t>
            </w:r>
          </w:p>
        </w:tc>
        <w:tc>
          <w:tcPr>
            <w:tcW w:w="6542" w:type="dxa"/>
            <w:shd w:val="clear" w:color="auto" w:fill="auto"/>
          </w:tcPr>
          <w:p w14:paraId="3ABF545F">
            <w:pPr>
              <w:pStyle w:val="150"/>
            </w:pPr>
            <w:r>
              <w:rPr>
                <w:rFonts w:hint="eastAsia"/>
              </w:rPr>
              <w:t>服务的功能描述</w:t>
            </w:r>
          </w:p>
        </w:tc>
      </w:tr>
    </w:tbl>
    <w:p w14:paraId="02C36ACA"/>
    <w:p w14:paraId="1DE48367">
      <w:pPr>
        <w:pStyle w:val="6"/>
      </w:pPr>
      <w:bookmarkStart w:id="7710" w:name="_Toc172218611"/>
      <w:bookmarkStart w:id="7711" w:name="_Toc40276482"/>
      <w:bookmarkStart w:id="7712" w:name="_Toc522106834"/>
      <w:bookmarkStart w:id="7713" w:name="_Toc99562003"/>
      <w:bookmarkStart w:id="7714" w:name="_Toc15485304"/>
      <w:bookmarkStart w:id="7715" w:name="_Toc142401335"/>
      <w:bookmarkStart w:id="7716" w:name="_Toc141873818"/>
      <w:bookmarkStart w:id="7717" w:name="_Toc23153061"/>
      <w:r>
        <w:rPr>
          <w:rFonts w:hint="eastAsia"/>
        </w:rPr>
        <w:t>弱密码规则</w:t>
      </w:r>
      <w:bookmarkEnd w:id="7710"/>
      <w:bookmarkEnd w:id="7711"/>
      <w:bookmarkEnd w:id="7712"/>
      <w:bookmarkEnd w:id="7713"/>
      <w:bookmarkEnd w:id="7714"/>
      <w:bookmarkEnd w:id="7715"/>
      <w:bookmarkEnd w:id="7716"/>
      <w:bookmarkEnd w:id="7717"/>
    </w:p>
    <w:p w14:paraId="6291CCDA">
      <w:pPr>
        <w:rPr>
          <w:bCs/>
          <w:sz w:val="30"/>
          <w:szCs w:val="44"/>
        </w:rPr>
      </w:pPr>
      <w:r>
        <w:rPr>
          <w:rFonts w:hint="eastAsia"/>
        </w:rPr>
        <w:t>如</w:t>
      </w:r>
      <w:r>
        <w:rPr>
          <w:color w:val="0000FF"/>
          <w:u w:val="single"/>
        </w:rPr>
        <w:fldChar w:fldCharType="begin"/>
      </w:r>
      <w:r>
        <w:rPr>
          <w:color w:val="0000FF"/>
          <w:u w:val="single"/>
        </w:rPr>
        <w:instrText xml:space="preserve"> REF _Ref522106262 \r \h  \* MERGEFORMAT </w:instrText>
      </w:r>
      <w:r>
        <w:rPr>
          <w:color w:val="0000FF"/>
          <w:u w:val="single"/>
        </w:rPr>
        <w:fldChar w:fldCharType="separate"/>
      </w:r>
      <w:r>
        <w:rPr>
          <w:rFonts w:hint="eastAsia"/>
          <w:color w:val="0000FF"/>
          <w:u w:val="single"/>
        </w:rPr>
        <w:t>图29-53</w:t>
      </w:r>
      <w:r>
        <w:rPr>
          <w:color w:val="0000FF"/>
          <w:u w:val="single"/>
        </w:rPr>
        <w:fldChar w:fldCharType="end"/>
      </w:r>
      <w:r>
        <w:rPr>
          <w:rFonts w:hint="eastAsia"/>
        </w:rPr>
        <w:t>所示，在导航栏中选择“策略配置&gt;安全设置&gt;安全防护&gt;弱密码防护&gt;弱密码规则”，进入规则的配置界面。点击“弱密码规则”弹框出现规则配置页面。</w:t>
      </w:r>
    </w:p>
    <w:p w14:paraId="0E6CAE26">
      <w:pPr>
        <w:pStyle w:val="188"/>
      </w:pPr>
      <w:bookmarkStart w:id="7718" w:name="_Toc141875211"/>
      <w:bookmarkStart w:id="7719" w:name="_Ref522106262"/>
      <w:r>
        <w:rPr>
          <w:rFonts w:hint="eastAsia"/>
        </w:rPr>
        <w:t>规则配置界面</w:t>
      </w:r>
      <w:bookmarkEnd w:id="7718"/>
      <w:bookmarkEnd w:id="7719"/>
    </w:p>
    <w:p w14:paraId="7A61B14E">
      <w:r>
        <w:drawing>
          <wp:inline distT="0" distB="0" distL="0" distR="0">
            <wp:extent cx="5162550" cy="3389630"/>
            <wp:effectExtent l="0" t="0" r="0" b="0"/>
            <wp:docPr id="3018" name="图片 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8" name="图片 3018"/>
                    <pic:cNvPicPr>
                      <a:picLocks noChangeAspect="1"/>
                    </pic:cNvPicPr>
                  </pic:nvPicPr>
                  <pic:blipFill>
                    <a:blip r:embed="rId918"/>
                    <a:stretch>
                      <a:fillRect/>
                    </a:stretch>
                  </pic:blipFill>
                  <pic:spPr>
                    <a:xfrm>
                      <a:off x="0" y="0"/>
                      <a:ext cx="5167081" cy="3392723"/>
                    </a:xfrm>
                    <a:prstGeom prst="rect">
                      <a:avLst/>
                    </a:prstGeom>
                  </pic:spPr>
                </pic:pic>
              </a:graphicData>
            </a:graphic>
          </wp:inline>
        </w:drawing>
      </w:r>
    </w:p>
    <w:p w14:paraId="10DC04CF"/>
    <w:p w14:paraId="63B13C42">
      <w:pPr>
        <w:pStyle w:val="183"/>
      </w:pPr>
      <w:bookmarkStart w:id="7720" w:name="_Toc141875743"/>
      <w:r>
        <w:rPr>
          <w:rFonts w:hint="eastAsia"/>
        </w:rPr>
        <w:t>规则配置界面详细描述表</w:t>
      </w:r>
      <w:bookmarkEnd w:id="7720"/>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90"/>
        <w:gridCol w:w="6542"/>
      </w:tblGrid>
      <w:tr w14:paraId="50226D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21619F9F">
            <w:pPr>
              <w:pStyle w:val="149"/>
              <w:wordWrap/>
              <w:rPr>
                <w:b/>
                <w:bCs/>
                <w:i w:val="0"/>
                <w:iCs w:val="0"/>
              </w:rPr>
            </w:pPr>
            <w:r>
              <w:rPr>
                <w:rFonts w:hint="eastAsia"/>
                <w:b/>
                <w:bCs/>
                <w:i w:val="0"/>
                <w:iCs w:val="0"/>
              </w:rPr>
              <w:t>标题项</w:t>
            </w:r>
          </w:p>
        </w:tc>
        <w:tc>
          <w:tcPr>
            <w:tcW w:w="6542" w:type="dxa"/>
            <w:tcBorders>
              <w:tl2br w:val="nil"/>
              <w:tr2bl w:val="nil"/>
            </w:tcBorders>
            <w:shd w:val="clear" w:color="auto" w:fill="538135" w:themeFill="accent6" w:themeFillShade="BF"/>
            <w:vAlign w:val="center"/>
          </w:tcPr>
          <w:p w14:paraId="393562F7">
            <w:pPr>
              <w:pStyle w:val="149"/>
              <w:wordWrap/>
              <w:rPr>
                <w:b/>
                <w:bCs/>
                <w:i w:val="0"/>
                <w:iCs w:val="0"/>
              </w:rPr>
            </w:pPr>
            <w:r>
              <w:rPr>
                <w:rFonts w:hint="eastAsia"/>
                <w:b/>
                <w:bCs/>
                <w:i w:val="0"/>
                <w:iCs w:val="0"/>
              </w:rPr>
              <w:t>说明</w:t>
            </w:r>
          </w:p>
        </w:tc>
      </w:tr>
      <w:tr w14:paraId="6F2A154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53C25FB0">
            <w:pPr>
              <w:pStyle w:val="150"/>
            </w:pPr>
            <w:r>
              <w:rPr>
                <w:rFonts w:hint="eastAsia"/>
              </w:rPr>
              <w:t>规则内容</w:t>
            </w:r>
          </w:p>
        </w:tc>
        <w:tc>
          <w:tcPr>
            <w:tcW w:w="6542" w:type="dxa"/>
            <w:shd w:val="clear" w:color="auto" w:fill="auto"/>
          </w:tcPr>
          <w:p w14:paraId="62DDB9B4">
            <w:pPr>
              <w:pStyle w:val="150"/>
            </w:pPr>
            <w:r>
              <w:rPr>
                <w:rFonts w:hint="eastAsia"/>
              </w:rPr>
              <w:t>勾选规则的详细描述</w:t>
            </w:r>
          </w:p>
        </w:tc>
      </w:tr>
    </w:tbl>
    <w:p w14:paraId="3C7EBA9A"/>
    <w:p w14:paraId="64C98B2C">
      <w:pPr>
        <w:pStyle w:val="5"/>
      </w:pPr>
      <w:bookmarkStart w:id="7721" w:name="_Toc194081126"/>
      <w:bookmarkStart w:id="7722" w:name="_Toc196728458"/>
      <w:r>
        <w:rPr>
          <w:rFonts w:hint="eastAsia"/>
        </w:rPr>
        <w:t>非法外联防护</w:t>
      </w:r>
      <w:bookmarkEnd w:id="7674"/>
      <w:bookmarkEnd w:id="7675"/>
      <w:bookmarkEnd w:id="7676"/>
      <w:bookmarkEnd w:id="7677"/>
      <w:bookmarkEnd w:id="7678"/>
      <w:bookmarkEnd w:id="7679"/>
      <w:bookmarkEnd w:id="7680"/>
      <w:bookmarkEnd w:id="7681"/>
      <w:bookmarkEnd w:id="7721"/>
      <w:bookmarkEnd w:id="7722"/>
    </w:p>
    <w:p w14:paraId="22ED0009">
      <w:pPr>
        <w:pStyle w:val="6"/>
      </w:pPr>
      <w:bookmarkStart w:id="7723" w:name="_Toc40276484"/>
      <w:bookmarkStart w:id="7724" w:name="_Toc23153063"/>
      <w:bookmarkStart w:id="7725" w:name="_Toc99562005"/>
      <w:bookmarkStart w:id="7726" w:name="_Toc141873820"/>
      <w:bookmarkStart w:id="7727" w:name="_Toc142401337"/>
      <w:bookmarkStart w:id="7728" w:name="_Toc172218613"/>
      <w:bookmarkStart w:id="7729" w:name="_Toc15046077"/>
      <w:bookmarkStart w:id="7730" w:name="_Toc15485306"/>
      <w:r>
        <w:rPr>
          <w:rFonts w:hint="eastAsia"/>
        </w:rPr>
        <w:t>非法外联防护简介</w:t>
      </w:r>
      <w:bookmarkEnd w:id="7723"/>
      <w:bookmarkEnd w:id="7724"/>
      <w:bookmarkEnd w:id="7725"/>
      <w:bookmarkEnd w:id="7726"/>
      <w:bookmarkEnd w:id="7727"/>
      <w:bookmarkEnd w:id="7728"/>
      <w:bookmarkEnd w:id="7729"/>
      <w:bookmarkEnd w:id="7730"/>
    </w:p>
    <w:p w14:paraId="79272611">
      <w:r>
        <w:rPr>
          <w:rFonts w:hint="eastAsia"/>
        </w:rPr>
        <w:t>为保证内部网络的安全可靠运行，通常采用以下两种方式对内外网实施安全隔离：</w:t>
      </w:r>
    </w:p>
    <w:p w14:paraId="6DEC6158">
      <w:r>
        <w:rPr>
          <w:rFonts w:hint="eastAsia"/>
        </w:rPr>
        <w:t>1、内、外网物理隔离</w:t>
      </w:r>
    </w:p>
    <w:p w14:paraId="205F60E3">
      <w:r>
        <w:rPr>
          <w:rFonts w:hint="eastAsia"/>
        </w:rPr>
        <w:t>内、外网进行物理隔离，严格上来讲，内外网根本就没有连通，不能相互通信，专职人员必须使用物理隔离的计算机才能访问内外网。</w:t>
      </w:r>
    </w:p>
    <w:p w14:paraId="061497F2">
      <w:r>
        <w:rPr>
          <w:rFonts w:hint="eastAsia"/>
        </w:rPr>
        <w:t>2、内、外网逻辑隔离</w:t>
      </w:r>
    </w:p>
    <w:p w14:paraId="5F15CA39">
      <w:r>
        <w:rPr>
          <w:rFonts w:hint="eastAsia"/>
        </w:rPr>
        <w:t>内、外网逻辑隔离，主要是通过划分VLAN等技术手段，隔离一些特殊群体，以实施更有针对性的安全防护，实现内部网络的相对独立性。同时在内外网连接处，一般安装防火墙或入侵检测系统对内网提供保护。</w:t>
      </w:r>
    </w:p>
    <w:p w14:paraId="61FBC618">
      <w:r>
        <w:rPr>
          <w:rFonts w:hint="eastAsia"/>
        </w:rPr>
        <w:t>但是，非法外联和非法接入等行为，很容易对物理隔离和逻辑隔离的内部网络造成损害。</w:t>
      </w:r>
    </w:p>
    <w:p w14:paraId="12EB7B4F">
      <w:r>
        <w:rPr>
          <w:rFonts w:hint="eastAsia"/>
        </w:rPr>
        <w:t>针对以上情况通过对内部网络终端或者服务器的外联行为进行识别，设定允许终端或者服务器外联的地址、外联地址的服务及端口来定义正常外联行为，定义的正常外联行为之外的所有外联行为全部作为非法外联。</w:t>
      </w:r>
    </w:p>
    <w:p w14:paraId="6EE65173">
      <w:pPr>
        <w:pStyle w:val="6"/>
      </w:pPr>
      <w:bookmarkStart w:id="7731" w:name="_Toc23153064"/>
      <w:bookmarkStart w:id="7732" w:name="_Toc99562006"/>
      <w:bookmarkStart w:id="7733" w:name="_Toc40276485"/>
      <w:bookmarkStart w:id="7734" w:name="_Toc142401338"/>
      <w:bookmarkStart w:id="7735" w:name="_Toc172218614"/>
      <w:bookmarkStart w:id="7736" w:name="_Toc15485307"/>
      <w:bookmarkStart w:id="7737" w:name="_Toc141873821"/>
      <w:bookmarkStart w:id="7738" w:name="_Toc15046079"/>
      <w:r>
        <w:rPr>
          <w:rFonts w:hint="eastAsia"/>
        </w:rPr>
        <w:t>非法外联防护</w:t>
      </w:r>
      <w:bookmarkEnd w:id="7731"/>
      <w:bookmarkEnd w:id="7732"/>
      <w:bookmarkEnd w:id="7733"/>
      <w:bookmarkEnd w:id="7734"/>
      <w:bookmarkEnd w:id="7735"/>
      <w:bookmarkEnd w:id="7736"/>
      <w:bookmarkEnd w:id="7737"/>
      <w:bookmarkEnd w:id="7738"/>
    </w:p>
    <w:p w14:paraId="14CF9B1F">
      <w:pPr>
        <w:pStyle w:val="202"/>
      </w:pPr>
      <w:r>
        <w:rPr>
          <w:rFonts w:hint="eastAsia"/>
        </w:rPr>
        <w:t>非法外联防护策略</w:t>
      </w:r>
    </w:p>
    <w:p w14:paraId="7B7EAEED">
      <w:pPr>
        <w:rPr>
          <w:bCs/>
          <w:sz w:val="30"/>
          <w:szCs w:val="44"/>
        </w:rPr>
      </w:pPr>
      <w:r>
        <w:rPr>
          <w:rFonts w:hint="eastAsia"/>
        </w:rPr>
        <w:t>在导航栏中选择“策略配置&gt;安全设置&gt;安全防护&gt;非法外联防护”，进入非法外联防护策略的配置界面。</w:t>
      </w:r>
    </w:p>
    <w:p w14:paraId="4609C2EB">
      <w:pPr>
        <w:pStyle w:val="188"/>
      </w:pPr>
      <w:bookmarkStart w:id="7739" w:name="_Toc141875212"/>
      <w:r>
        <w:rPr>
          <w:rFonts w:hint="eastAsia"/>
        </w:rPr>
        <w:t>非法外联防护策略配置界面</w:t>
      </w:r>
      <w:bookmarkEnd w:id="7739"/>
    </w:p>
    <w:p w14:paraId="7F877EEB">
      <w:r>
        <w:drawing>
          <wp:inline distT="0" distB="0" distL="0" distR="0">
            <wp:extent cx="5553075" cy="761365"/>
            <wp:effectExtent l="0" t="0" r="0" b="0"/>
            <wp:docPr id="3020" name="图片 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0" name="图片 3020"/>
                    <pic:cNvPicPr>
                      <a:picLocks noChangeAspect="1"/>
                    </pic:cNvPicPr>
                  </pic:nvPicPr>
                  <pic:blipFill>
                    <a:blip r:embed="rId919"/>
                    <a:stretch>
                      <a:fillRect/>
                    </a:stretch>
                  </pic:blipFill>
                  <pic:spPr>
                    <a:xfrm>
                      <a:off x="0" y="0"/>
                      <a:ext cx="5586903" cy="766250"/>
                    </a:xfrm>
                    <a:prstGeom prst="rect">
                      <a:avLst/>
                    </a:prstGeom>
                  </pic:spPr>
                </pic:pic>
              </a:graphicData>
            </a:graphic>
          </wp:inline>
        </w:drawing>
      </w:r>
    </w:p>
    <w:p w14:paraId="0C1CFD81"/>
    <w:p w14:paraId="4F35E25A">
      <w:pPr>
        <w:pStyle w:val="183"/>
      </w:pPr>
      <w:bookmarkStart w:id="7740" w:name="_Toc141875744"/>
      <w:r>
        <w:rPr>
          <w:rFonts w:hint="eastAsia"/>
        </w:rPr>
        <w:t>非法外联防护界面详细描述表</w:t>
      </w:r>
      <w:bookmarkEnd w:id="7740"/>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90"/>
        <w:gridCol w:w="6542"/>
      </w:tblGrid>
      <w:tr w14:paraId="71DD41B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61398224">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42" w:type="dxa"/>
            <w:tcBorders>
              <w:tl2br w:val="nil"/>
              <w:tr2bl w:val="nil"/>
            </w:tcBorders>
            <w:shd w:val="clear" w:color="auto" w:fill="538135" w:themeFill="accent6" w:themeFillShade="BF"/>
            <w:vAlign w:val="center"/>
          </w:tcPr>
          <w:p w14:paraId="76428B0C">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A2E0A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503015ED">
            <w:pPr>
              <w:pStyle w:val="150"/>
            </w:pPr>
            <w:r>
              <w:rPr>
                <w:rFonts w:hint="eastAsia"/>
              </w:rPr>
              <w:t>新建</w:t>
            </w:r>
          </w:p>
        </w:tc>
        <w:tc>
          <w:tcPr>
            <w:tcW w:w="6542" w:type="dxa"/>
            <w:shd w:val="clear" w:color="auto" w:fill="auto"/>
          </w:tcPr>
          <w:p w14:paraId="5FC60155">
            <w:pPr>
              <w:pStyle w:val="150"/>
            </w:pPr>
            <w:r>
              <w:rPr>
                <w:rFonts w:hint="eastAsia"/>
              </w:rPr>
              <w:t>新建策略</w:t>
            </w:r>
          </w:p>
        </w:tc>
      </w:tr>
      <w:tr w14:paraId="24A6EC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635E23D0">
            <w:pPr>
              <w:pStyle w:val="150"/>
            </w:pPr>
            <w:r>
              <w:rPr>
                <w:rFonts w:hint="eastAsia"/>
              </w:rPr>
              <w:t>删除</w:t>
            </w:r>
          </w:p>
        </w:tc>
        <w:tc>
          <w:tcPr>
            <w:tcW w:w="6542" w:type="dxa"/>
            <w:shd w:val="clear" w:color="auto" w:fill="auto"/>
          </w:tcPr>
          <w:p w14:paraId="2D90BCC7">
            <w:pPr>
              <w:pStyle w:val="150"/>
            </w:pPr>
            <w:r>
              <w:rPr>
                <w:rFonts w:hint="eastAsia"/>
              </w:rPr>
              <w:t>删除勾选的策略</w:t>
            </w:r>
          </w:p>
        </w:tc>
      </w:tr>
      <w:tr w14:paraId="18CFC4A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32C99633">
            <w:pPr>
              <w:pStyle w:val="150"/>
            </w:pPr>
            <w:r>
              <w:rPr>
                <w:rFonts w:hint="eastAsia"/>
              </w:rPr>
              <w:t>启用</w:t>
            </w:r>
          </w:p>
        </w:tc>
        <w:tc>
          <w:tcPr>
            <w:tcW w:w="6542" w:type="dxa"/>
            <w:shd w:val="clear" w:color="auto" w:fill="auto"/>
          </w:tcPr>
          <w:p w14:paraId="7A93F29F">
            <w:pPr>
              <w:pStyle w:val="150"/>
            </w:pPr>
            <w:r>
              <w:rPr>
                <w:rFonts w:hint="eastAsia"/>
              </w:rPr>
              <w:t>启用勾选的策略</w:t>
            </w:r>
          </w:p>
        </w:tc>
      </w:tr>
      <w:tr w14:paraId="6AC1CB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5B752E4">
            <w:pPr>
              <w:pStyle w:val="150"/>
            </w:pPr>
            <w:r>
              <w:rPr>
                <w:rFonts w:hint="eastAsia"/>
              </w:rPr>
              <w:t>禁用</w:t>
            </w:r>
          </w:p>
        </w:tc>
        <w:tc>
          <w:tcPr>
            <w:tcW w:w="6542" w:type="dxa"/>
            <w:shd w:val="clear" w:color="auto" w:fill="auto"/>
          </w:tcPr>
          <w:p w14:paraId="14F3DF14">
            <w:pPr>
              <w:pStyle w:val="150"/>
            </w:pPr>
            <w:r>
              <w:rPr>
                <w:rFonts w:hint="eastAsia"/>
              </w:rPr>
              <w:t>禁用勾选的策略</w:t>
            </w:r>
          </w:p>
        </w:tc>
      </w:tr>
      <w:tr w14:paraId="3897B3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7AD65EF">
            <w:pPr>
              <w:pStyle w:val="150"/>
            </w:pPr>
            <w:r>
              <w:rPr>
                <w:rFonts w:hint="eastAsia"/>
              </w:rPr>
              <w:t>匹配次数清零</w:t>
            </w:r>
          </w:p>
        </w:tc>
        <w:tc>
          <w:tcPr>
            <w:tcW w:w="6542" w:type="dxa"/>
            <w:shd w:val="clear" w:color="auto" w:fill="auto"/>
          </w:tcPr>
          <w:p w14:paraId="422C4D21">
            <w:pPr>
              <w:pStyle w:val="150"/>
            </w:pPr>
            <w:r>
              <w:rPr>
                <w:rFonts w:hint="eastAsia"/>
              </w:rPr>
              <w:t>清空勾选的策略</w:t>
            </w:r>
          </w:p>
        </w:tc>
      </w:tr>
      <w:tr w14:paraId="33C954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ECEC890">
            <w:pPr>
              <w:pStyle w:val="150"/>
            </w:pPr>
            <w:r>
              <w:rPr>
                <w:rFonts w:hint="eastAsia"/>
              </w:rPr>
              <w:t>操作-编辑</w:t>
            </w:r>
          </w:p>
        </w:tc>
        <w:tc>
          <w:tcPr>
            <w:tcW w:w="6542" w:type="dxa"/>
            <w:shd w:val="clear" w:color="auto" w:fill="auto"/>
          </w:tcPr>
          <w:p w14:paraId="4DF10E95">
            <w:pPr>
              <w:pStyle w:val="150"/>
            </w:pPr>
            <w:r>
              <w:rPr>
                <w:rFonts w:hint="eastAsia"/>
              </w:rPr>
              <w:t>编辑该条策略</w:t>
            </w:r>
          </w:p>
        </w:tc>
      </w:tr>
      <w:tr w14:paraId="24FC1D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4DCAF58A">
            <w:pPr>
              <w:pStyle w:val="150"/>
            </w:pPr>
            <w:r>
              <w:rPr>
                <w:rFonts w:hint="eastAsia"/>
              </w:rPr>
              <w:t>操作-删除</w:t>
            </w:r>
          </w:p>
        </w:tc>
        <w:tc>
          <w:tcPr>
            <w:tcW w:w="6542" w:type="dxa"/>
            <w:shd w:val="clear" w:color="auto" w:fill="auto"/>
          </w:tcPr>
          <w:p w14:paraId="7E3A7DE1">
            <w:pPr>
              <w:pStyle w:val="150"/>
            </w:pPr>
            <w:r>
              <w:rPr>
                <w:rFonts w:hint="eastAsia"/>
              </w:rPr>
              <w:t>删除该条策略</w:t>
            </w:r>
          </w:p>
        </w:tc>
      </w:tr>
    </w:tbl>
    <w:p w14:paraId="76FBB5B5"/>
    <w:p w14:paraId="3176D232">
      <w:pPr>
        <w:pStyle w:val="202"/>
      </w:pPr>
      <w:bookmarkStart w:id="7741" w:name="_Toc15046080"/>
      <w:r>
        <w:rPr>
          <w:rFonts w:hint="eastAsia"/>
        </w:rPr>
        <w:t>新建策略</w:t>
      </w:r>
      <w:bookmarkEnd w:id="7741"/>
    </w:p>
    <w:p w14:paraId="366AA24E">
      <w:pPr>
        <w:rPr>
          <w:bCs/>
          <w:sz w:val="30"/>
          <w:szCs w:val="44"/>
        </w:rPr>
      </w:pPr>
      <w:r>
        <w:rPr>
          <w:rFonts w:hint="eastAsia"/>
        </w:rPr>
        <w:t>在导航栏中选择“策略配置&gt;安全设置&gt;安全防护&gt;非法外联防护”，进入非法外联防护策略的配置界面。点击“新建”创建策略。</w:t>
      </w:r>
    </w:p>
    <w:p w14:paraId="33E15185">
      <w:pPr>
        <w:pStyle w:val="188"/>
      </w:pPr>
      <w:bookmarkStart w:id="7742" w:name="_Toc141875213"/>
      <w:r>
        <w:rPr>
          <w:rFonts w:hint="eastAsia"/>
        </w:rPr>
        <w:t>策略配置界面</w:t>
      </w:r>
      <w:bookmarkEnd w:id="7742"/>
    </w:p>
    <w:p w14:paraId="66012438">
      <w:pPr>
        <w:spacing w:before="78" w:after="78"/>
      </w:pPr>
      <w:r>
        <w:drawing>
          <wp:inline distT="0" distB="0" distL="0" distR="0">
            <wp:extent cx="5953125" cy="4072255"/>
            <wp:effectExtent l="0" t="0" r="0" b="4445"/>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pic:cNvPicPr>
                      <a:picLocks noChangeAspect="1"/>
                    </pic:cNvPicPr>
                  </pic:nvPicPr>
                  <pic:blipFill>
                    <a:blip r:embed="rId920"/>
                    <a:stretch>
                      <a:fillRect/>
                    </a:stretch>
                  </pic:blipFill>
                  <pic:spPr>
                    <a:xfrm>
                      <a:off x="0" y="0"/>
                      <a:ext cx="5959553" cy="4076710"/>
                    </a:xfrm>
                    <a:prstGeom prst="rect">
                      <a:avLst/>
                    </a:prstGeom>
                  </pic:spPr>
                </pic:pic>
              </a:graphicData>
            </a:graphic>
          </wp:inline>
        </w:drawing>
      </w:r>
    </w:p>
    <w:p w14:paraId="54D76E6E"/>
    <w:p w14:paraId="67B455FD">
      <w:pPr>
        <w:pStyle w:val="183"/>
      </w:pPr>
      <w:bookmarkStart w:id="7743" w:name="_Toc141875745"/>
      <w:r>
        <w:rPr>
          <w:rFonts w:hint="eastAsia"/>
        </w:rPr>
        <w:t>字典配置界面详细描述表</w:t>
      </w:r>
      <w:bookmarkEnd w:id="7743"/>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90"/>
        <w:gridCol w:w="6542"/>
      </w:tblGrid>
      <w:tr w14:paraId="0E6C7A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0C53B78F">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42" w:type="dxa"/>
            <w:tcBorders>
              <w:tl2br w:val="nil"/>
              <w:tr2bl w:val="nil"/>
            </w:tcBorders>
            <w:shd w:val="clear" w:color="auto" w:fill="538135" w:themeFill="accent6" w:themeFillShade="BF"/>
            <w:vAlign w:val="center"/>
          </w:tcPr>
          <w:p w14:paraId="02B5AAF7">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DFE8C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298163E">
            <w:pPr>
              <w:pStyle w:val="150"/>
            </w:pPr>
            <w:r>
              <w:rPr>
                <w:rFonts w:hint="eastAsia"/>
              </w:rPr>
              <w:t>启用</w:t>
            </w:r>
          </w:p>
        </w:tc>
        <w:tc>
          <w:tcPr>
            <w:tcW w:w="6542" w:type="dxa"/>
            <w:shd w:val="clear" w:color="auto" w:fill="auto"/>
          </w:tcPr>
          <w:p w14:paraId="4F9A5011">
            <w:pPr>
              <w:pStyle w:val="150"/>
            </w:pPr>
            <w:r>
              <w:rPr>
                <w:rFonts w:hint="eastAsia"/>
              </w:rPr>
              <w:t>勾选启用策略。</w:t>
            </w:r>
          </w:p>
        </w:tc>
      </w:tr>
      <w:tr w14:paraId="21AB46E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59666211">
            <w:pPr>
              <w:pStyle w:val="150"/>
            </w:pPr>
            <w:r>
              <w:rPr>
                <w:rFonts w:hint="eastAsia"/>
              </w:rPr>
              <w:t>日志</w:t>
            </w:r>
          </w:p>
        </w:tc>
        <w:tc>
          <w:tcPr>
            <w:tcW w:w="6542" w:type="dxa"/>
            <w:shd w:val="clear" w:color="auto" w:fill="auto"/>
          </w:tcPr>
          <w:p w14:paraId="47CD14FF">
            <w:pPr>
              <w:pStyle w:val="150"/>
            </w:pPr>
            <w:r>
              <w:rPr>
                <w:rFonts w:hint="eastAsia"/>
              </w:rPr>
              <w:t>勾选开启日志记录。勾选复选框在命中此条策略后生成日志。在导航栏中选择“数据中心&gt;日志中心&gt;安全日志</w:t>
            </w:r>
            <w:r>
              <w:t>&gt;</w:t>
            </w:r>
            <w:r>
              <w:rPr>
                <w:rFonts w:hint="eastAsia"/>
              </w:rPr>
              <w:t>非法外联防护日志”查看详细日志信息。</w:t>
            </w:r>
          </w:p>
        </w:tc>
      </w:tr>
      <w:tr w14:paraId="5C1E7D4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42CC5566">
            <w:pPr>
              <w:pStyle w:val="150"/>
            </w:pPr>
            <w:r>
              <w:rPr>
                <w:rFonts w:hint="eastAsia"/>
              </w:rPr>
              <w:t>动作</w:t>
            </w:r>
          </w:p>
        </w:tc>
        <w:tc>
          <w:tcPr>
            <w:tcW w:w="6542" w:type="dxa"/>
            <w:shd w:val="clear" w:color="auto" w:fill="auto"/>
          </w:tcPr>
          <w:p w14:paraId="33F51474">
            <w:pPr>
              <w:pStyle w:val="150"/>
            </w:pPr>
            <w:r>
              <w:rPr>
                <w:rFonts w:hint="eastAsia"/>
              </w:rPr>
              <w:t>匹配策略的数据允许/拒绝通过。</w:t>
            </w:r>
          </w:p>
        </w:tc>
      </w:tr>
      <w:tr w14:paraId="3FE78C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18B91684">
            <w:pPr>
              <w:pStyle w:val="150"/>
            </w:pPr>
            <w:r>
              <w:rPr>
                <w:rFonts w:hint="eastAsia"/>
              </w:rPr>
              <w:t>名称</w:t>
            </w:r>
          </w:p>
        </w:tc>
        <w:tc>
          <w:tcPr>
            <w:tcW w:w="6542" w:type="dxa"/>
            <w:shd w:val="clear" w:color="auto" w:fill="auto"/>
          </w:tcPr>
          <w:p w14:paraId="0FA173E3">
            <w:pPr>
              <w:pStyle w:val="150"/>
            </w:pPr>
            <w:r>
              <w:rPr>
                <w:rFonts w:hint="eastAsia"/>
              </w:rPr>
              <w:t>输入策略名称。1~63字符。</w:t>
            </w:r>
          </w:p>
        </w:tc>
      </w:tr>
      <w:tr w14:paraId="2545723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30FA7E55">
            <w:pPr>
              <w:pStyle w:val="150"/>
            </w:pPr>
            <w:r>
              <w:rPr>
                <w:rFonts w:hint="eastAsia"/>
              </w:rPr>
              <w:t>服务器地址</w:t>
            </w:r>
          </w:p>
        </w:tc>
        <w:tc>
          <w:tcPr>
            <w:tcW w:w="6542" w:type="dxa"/>
            <w:shd w:val="clear" w:color="auto" w:fill="auto"/>
          </w:tcPr>
          <w:p w14:paraId="14CD5BBF">
            <w:pPr>
              <w:pStyle w:val="150"/>
            </w:pPr>
            <w:r>
              <w:rPr>
                <w:rFonts w:hint="eastAsia"/>
              </w:rPr>
              <w:t>选择保护的内网服务器地址，在下拉列表中选择已创建的地址对象。</w:t>
            </w:r>
          </w:p>
        </w:tc>
      </w:tr>
      <w:tr w14:paraId="192019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43AD0C3">
            <w:pPr>
              <w:pStyle w:val="150"/>
            </w:pPr>
            <w:r>
              <w:rPr>
                <w:rFonts w:hint="eastAsia"/>
              </w:rPr>
              <w:t>服务器外联地址</w:t>
            </w:r>
          </w:p>
        </w:tc>
        <w:tc>
          <w:tcPr>
            <w:tcW w:w="6542" w:type="dxa"/>
            <w:shd w:val="clear" w:color="auto" w:fill="auto"/>
          </w:tcPr>
          <w:p w14:paraId="0F67B890">
            <w:pPr>
              <w:pStyle w:val="150"/>
            </w:pPr>
            <w:r>
              <w:rPr>
                <w:rFonts w:hint="eastAsia"/>
              </w:rPr>
              <w:t>内网允许访问的外网地址，点击&lt;新建&gt;添加允许外联的外网服务器IP地址及TCP/UDP端口号。除了此处定义的外网服务器地址外，其他外联行为都会判定为非法。</w:t>
            </w:r>
          </w:p>
        </w:tc>
      </w:tr>
    </w:tbl>
    <w:p w14:paraId="17516004"/>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0D7F8753">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1C0C17A1">
            <w:pPr>
              <w:pStyle w:val="150"/>
              <w:adjustRightInd w:val="0"/>
              <w:snapToGrid w:val="0"/>
              <w:rPr>
                <w:color w:val="auto"/>
              </w:rPr>
            </w:pPr>
            <w:r>
              <w:rPr>
                <w:b/>
                <w:color w:val="auto"/>
              </w:rPr>
              <w:drawing>
                <wp:inline distT="0" distB="0" distL="0" distR="0">
                  <wp:extent cx="283210" cy="283210"/>
                  <wp:effectExtent l="0" t="0" r="2540" b="2540"/>
                  <wp:docPr id="904" name="图片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图片 904"/>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16F343DF">
            <w:pPr>
              <w:pStyle w:val="150"/>
              <w:adjustRightInd w:val="0"/>
              <w:snapToGrid w:val="0"/>
              <w:rPr>
                <w:color w:val="auto"/>
              </w:rPr>
            </w:pPr>
            <w:r>
              <w:rPr>
                <w:rFonts w:hint="eastAsia"/>
                <w:color w:val="auto"/>
              </w:rPr>
              <w:t>服务器地址为内网中需要防护的服务器地址，请根据实际需要指定待防护的服务器地址范围，确保配置的服务器地址范围合理，配置范围过大可能会影响设备管理。</w:t>
            </w:r>
          </w:p>
        </w:tc>
      </w:tr>
    </w:tbl>
    <w:p w14:paraId="20E0F95C"/>
    <w:p w14:paraId="27DD2523">
      <w:pPr>
        <w:pStyle w:val="202"/>
      </w:pPr>
      <w:bookmarkStart w:id="7744" w:name="_Toc15046081"/>
      <w:r>
        <w:rPr>
          <w:rFonts w:hint="eastAsia"/>
        </w:rPr>
        <w:t>新建服务器外联地址</w:t>
      </w:r>
      <w:bookmarkEnd w:id="7744"/>
    </w:p>
    <w:p w14:paraId="69E68595">
      <w:pPr>
        <w:rPr>
          <w:bCs/>
          <w:sz w:val="30"/>
          <w:szCs w:val="44"/>
        </w:rPr>
      </w:pPr>
      <w:r>
        <w:rPr>
          <w:rFonts w:hint="eastAsia"/>
        </w:rPr>
        <w:t>在导航栏中选择“策略配置&gt;安全设置&gt;安全防护&gt;非法外联防护”，新建策略的弹出窗口服务器外联地址中，点击“新建”弹框出现服务器外联地址的配置窗口</w:t>
      </w:r>
    </w:p>
    <w:p w14:paraId="4B9F851D">
      <w:pPr>
        <w:pStyle w:val="188"/>
      </w:pPr>
      <w:bookmarkStart w:id="7745" w:name="_Ref522174325"/>
      <w:bookmarkStart w:id="7746" w:name="_Toc141875214"/>
      <w:r>
        <w:rPr>
          <w:rFonts w:hint="eastAsia"/>
        </w:rPr>
        <w:t>服务器外联地址配置界面</w:t>
      </w:r>
      <w:bookmarkEnd w:id="7745"/>
      <w:bookmarkEnd w:id="7746"/>
    </w:p>
    <w:p w14:paraId="41C27729">
      <w:r>
        <w:drawing>
          <wp:inline distT="0" distB="0" distL="0" distR="0">
            <wp:extent cx="5514975" cy="2981325"/>
            <wp:effectExtent l="0" t="0" r="0" b="0"/>
            <wp:docPr id="3026" name="图片 3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6" name="图片 3026"/>
                    <pic:cNvPicPr>
                      <a:picLocks noChangeAspect="1"/>
                    </pic:cNvPicPr>
                  </pic:nvPicPr>
                  <pic:blipFill>
                    <a:blip r:embed="rId921"/>
                    <a:stretch>
                      <a:fillRect/>
                    </a:stretch>
                  </pic:blipFill>
                  <pic:spPr>
                    <a:xfrm>
                      <a:off x="0" y="0"/>
                      <a:ext cx="5518941" cy="2983629"/>
                    </a:xfrm>
                    <a:prstGeom prst="rect">
                      <a:avLst/>
                    </a:prstGeom>
                  </pic:spPr>
                </pic:pic>
              </a:graphicData>
            </a:graphic>
          </wp:inline>
        </w:drawing>
      </w:r>
    </w:p>
    <w:p w14:paraId="5C6240A0"/>
    <w:p w14:paraId="40562712">
      <w:pPr>
        <w:pStyle w:val="183"/>
      </w:pPr>
      <w:bookmarkStart w:id="7747" w:name="_Toc141875746"/>
      <w:r>
        <w:rPr>
          <w:rFonts w:hint="eastAsia"/>
        </w:rPr>
        <w:t>字典配置界面详细描述表</w:t>
      </w:r>
      <w:bookmarkEnd w:id="7747"/>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90"/>
        <w:gridCol w:w="6542"/>
      </w:tblGrid>
      <w:tr w14:paraId="290D7B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4425BB6D">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42" w:type="dxa"/>
            <w:tcBorders>
              <w:tl2br w:val="nil"/>
              <w:tr2bl w:val="nil"/>
            </w:tcBorders>
            <w:shd w:val="clear" w:color="auto" w:fill="538135" w:themeFill="accent6" w:themeFillShade="BF"/>
            <w:vAlign w:val="center"/>
          </w:tcPr>
          <w:p w14:paraId="76940EEC">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FB87CA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05398386">
            <w:pPr>
              <w:pStyle w:val="150"/>
            </w:pPr>
            <w:r>
              <w:rPr>
                <w:rFonts w:hint="eastAsia"/>
              </w:rPr>
              <w:t>允许外联地址</w:t>
            </w:r>
          </w:p>
        </w:tc>
        <w:tc>
          <w:tcPr>
            <w:tcW w:w="6542" w:type="dxa"/>
            <w:shd w:val="clear" w:color="auto" w:fill="auto"/>
          </w:tcPr>
          <w:p w14:paraId="0A7759B0">
            <w:pPr>
              <w:pStyle w:val="150"/>
            </w:pPr>
            <w:r>
              <w:rPr>
                <w:rFonts w:hint="eastAsia"/>
              </w:rPr>
              <w:t>允许外联地址</w:t>
            </w:r>
          </w:p>
        </w:tc>
      </w:tr>
      <w:tr w14:paraId="0834AC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03929944">
            <w:pPr>
              <w:pStyle w:val="150"/>
            </w:pPr>
            <w:r>
              <w:t>T</w:t>
            </w:r>
            <w:r>
              <w:rPr>
                <w:rFonts w:hint="eastAsia"/>
              </w:rPr>
              <w:t>cp</w:t>
            </w:r>
          </w:p>
        </w:tc>
        <w:tc>
          <w:tcPr>
            <w:tcW w:w="6542" w:type="dxa"/>
            <w:shd w:val="clear" w:color="auto" w:fill="auto"/>
          </w:tcPr>
          <w:p w14:paraId="2A0E7895">
            <w:pPr>
              <w:pStyle w:val="150"/>
            </w:pPr>
            <w:r>
              <w:rPr>
                <w:rFonts w:hint="eastAsia"/>
              </w:rPr>
              <w:t>允许外联的tcp端口</w:t>
            </w:r>
          </w:p>
        </w:tc>
      </w:tr>
      <w:tr w14:paraId="20A004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67C758DD">
            <w:pPr>
              <w:pStyle w:val="150"/>
            </w:pPr>
            <w:r>
              <w:t>U</w:t>
            </w:r>
            <w:r>
              <w:rPr>
                <w:rFonts w:hint="eastAsia"/>
              </w:rPr>
              <w:t>dp</w:t>
            </w:r>
          </w:p>
        </w:tc>
        <w:tc>
          <w:tcPr>
            <w:tcW w:w="6542" w:type="dxa"/>
            <w:shd w:val="clear" w:color="auto" w:fill="auto"/>
          </w:tcPr>
          <w:p w14:paraId="65A907E0">
            <w:pPr>
              <w:pStyle w:val="150"/>
            </w:pPr>
            <w:r>
              <w:rPr>
                <w:rFonts w:hint="eastAsia"/>
              </w:rPr>
              <w:t>允许外联的udp端口</w:t>
            </w:r>
          </w:p>
        </w:tc>
      </w:tr>
      <w:tr w14:paraId="6107E8C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35D1D557">
            <w:pPr>
              <w:pStyle w:val="150"/>
            </w:pPr>
            <w:r>
              <w:rPr>
                <w:rFonts w:hint="eastAsia"/>
              </w:rPr>
              <w:t>I</w:t>
            </w:r>
            <w:r>
              <w:t>CMP</w:t>
            </w:r>
          </w:p>
        </w:tc>
        <w:tc>
          <w:tcPr>
            <w:tcW w:w="6542" w:type="dxa"/>
            <w:shd w:val="clear" w:color="auto" w:fill="auto"/>
          </w:tcPr>
          <w:p w14:paraId="4DF23C80">
            <w:pPr>
              <w:pStyle w:val="150"/>
            </w:pPr>
            <w:r>
              <w:rPr>
                <w:rFonts w:hint="eastAsia"/>
              </w:rPr>
              <w:t>勾选是否允许ping包</w:t>
            </w:r>
          </w:p>
        </w:tc>
      </w:tr>
    </w:tbl>
    <w:p w14:paraId="077A9BFA">
      <w:bookmarkStart w:id="7748" w:name="_Toc15046082"/>
    </w:p>
    <w:bookmarkEnd w:id="7748"/>
    <w:p w14:paraId="05BE6C56">
      <w:pPr>
        <w:pStyle w:val="6"/>
      </w:pPr>
      <w:bookmarkStart w:id="7749" w:name="_Toc142401339"/>
      <w:bookmarkStart w:id="7750" w:name="_Toc15485308"/>
      <w:bookmarkStart w:id="7751" w:name="_Toc172218615"/>
      <w:bookmarkStart w:id="7752" w:name="_Toc15046083"/>
      <w:bookmarkStart w:id="7753" w:name="_Toc141873822"/>
      <w:bookmarkStart w:id="7754" w:name="_Toc40276486"/>
      <w:bookmarkStart w:id="7755" w:name="_Toc23153065"/>
      <w:bookmarkStart w:id="7756" w:name="_Toc99562007"/>
      <w:r>
        <w:rPr>
          <w:rFonts w:hint="eastAsia"/>
        </w:rPr>
        <w:t>非法外联学习</w:t>
      </w:r>
      <w:bookmarkEnd w:id="7749"/>
      <w:bookmarkEnd w:id="7750"/>
      <w:bookmarkEnd w:id="7751"/>
      <w:bookmarkEnd w:id="7752"/>
      <w:bookmarkEnd w:id="7753"/>
      <w:bookmarkEnd w:id="7754"/>
      <w:bookmarkEnd w:id="7755"/>
      <w:bookmarkEnd w:id="7756"/>
    </w:p>
    <w:p w14:paraId="754EE0A7">
      <w:pPr>
        <w:rPr>
          <w:bCs/>
          <w:sz w:val="30"/>
          <w:szCs w:val="44"/>
        </w:rPr>
      </w:pPr>
      <w:r>
        <w:rPr>
          <w:rFonts w:hint="eastAsia"/>
        </w:rPr>
        <w:t>在导航栏中选择“策略配置&gt;安全设置&gt;安全防护&gt;非法外联防护&gt;非法外联学习”，进入非法外联学习的配置界面。</w:t>
      </w:r>
    </w:p>
    <w:p w14:paraId="6E0D5675">
      <w:pPr>
        <w:pStyle w:val="188"/>
      </w:pPr>
      <w:bookmarkStart w:id="7757" w:name="_Ref522175648"/>
      <w:bookmarkStart w:id="7758" w:name="_Toc141875215"/>
      <w:r>
        <w:rPr>
          <w:rFonts w:hint="eastAsia"/>
        </w:rPr>
        <w:t>非法外联学习配置界面</w:t>
      </w:r>
      <w:bookmarkEnd w:id="7757"/>
      <w:bookmarkEnd w:id="7758"/>
    </w:p>
    <w:p w14:paraId="10BAC702">
      <w:r>
        <w:drawing>
          <wp:inline distT="0" distB="0" distL="0" distR="0">
            <wp:extent cx="5657850" cy="2680335"/>
            <wp:effectExtent l="0" t="0" r="0" b="0"/>
            <wp:docPr id="3043" name="图片 3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3" name="图片 3043"/>
                    <pic:cNvPicPr>
                      <a:picLocks noChangeAspect="1"/>
                    </pic:cNvPicPr>
                  </pic:nvPicPr>
                  <pic:blipFill>
                    <a:blip r:embed="rId922"/>
                    <a:stretch>
                      <a:fillRect/>
                    </a:stretch>
                  </pic:blipFill>
                  <pic:spPr>
                    <a:xfrm>
                      <a:off x="0" y="0"/>
                      <a:ext cx="5672632" cy="2687718"/>
                    </a:xfrm>
                    <a:prstGeom prst="rect">
                      <a:avLst/>
                    </a:prstGeom>
                  </pic:spPr>
                </pic:pic>
              </a:graphicData>
            </a:graphic>
          </wp:inline>
        </w:drawing>
      </w:r>
    </w:p>
    <w:p w14:paraId="68715EFB"/>
    <w:p w14:paraId="6055B96B">
      <w:pPr>
        <w:pStyle w:val="183"/>
      </w:pPr>
      <w:bookmarkStart w:id="7759" w:name="_Toc141875747"/>
      <w:r>
        <w:rPr>
          <w:rFonts w:hint="eastAsia"/>
        </w:rPr>
        <w:t>非法外联学习界面详细描述表</w:t>
      </w:r>
      <w:bookmarkEnd w:id="7759"/>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90"/>
        <w:gridCol w:w="6542"/>
      </w:tblGrid>
      <w:tr w14:paraId="3072B99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53B72FD6">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42" w:type="dxa"/>
            <w:tcBorders>
              <w:tl2br w:val="nil"/>
              <w:tr2bl w:val="nil"/>
            </w:tcBorders>
            <w:shd w:val="clear" w:color="auto" w:fill="538135" w:themeFill="accent6" w:themeFillShade="BF"/>
            <w:vAlign w:val="center"/>
          </w:tcPr>
          <w:p w14:paraId="35B30926">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79AB8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3C45C372">
            <w:pPr>
              <w:pStyle w:val="150"/>
            </w:pPr>
            <w:r>
              <w:rPr>
                <w:rFonts w:hint="eastAsia"/>
              </w:rPr>
              <w:t>服务器地址</w:t>
            </w:r>
          </w:p>
        </w:tc>
        <w:tc>
          <w:tcPr>
            <w:tcW w:w="6542" w:type="dxa"/>
            <w:shd w:val="clear" w:color="auto" w:fill="auto"/>
          </w:tcPr>
          <w:p w14:paraId="5B67C919">
            <w:pPr>
              <w:pStyle w:val="150"/>
            </w:pPr>
            <w:r>
              <w:rPr>
                <w:rFonts w:hint="eastAsia"/>
              </w:rPr>
              <w:t>学习的服务器地址</w:t>
            </w:r>
          </w:p>
        </w:tc>
      </w:tr>
      <w:tr w14:paraId="7D5148C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459FEAC1">
            <w:pPr>
              <w:pStyle w:val="150"/>
            </w:pPr>
            <w:r>
              <w:rPr>
                <w:rFonts w:hint="eastAsia"/>
              </w:rPr>
              <w:t>学习时长</w:t>
            </w:r>
          </w:p>
        </w:tc>
        <w:tc>
          <w:tcPr>
            <w:tcW w:w="6542" w:type="dxa"/>
            <w:shd w:val="clear" w:color="auto" w:fill="auto"/>
          </w:tcPr>
          <w:p w14:paraId="22FDCA94">
            <w:pPr>
              <w:pStyle w:val="150"/>
            </w:pPr>
            <w:r>
              <w:rPr>
                <w:rFonts w:hint="eastAsia"/>
              </w:rPr>
              <w:t>选择学习时长</w:t>
            </w:r>
          </w:p>
        </w:tc>
      </w:tr>
      <w:tr w14:paraId="0D752A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326229A0">
            <w:pPr>
              <w:pStyle w:val="150"/>
            </w:pPr>
            <w:r>
              <w:rPr>
                <w:rFonts w:hint="eastAsia"/>
              </w:rPr>
              <w:t>进度</w:t>
            </w:r>
          </w:p>
        </w:tc>
        <w:tc>
          <w:tcPr>
            <w:tcW w:w="6542" w:type="dxa"/>
            <w:shd w:val="clear" w:color="auto" w:fill="auto"/>
          </w:tcPr>
          <w:p w14:paraId="7AE3BA76">
            <w:pPr>
              <w:pStyle w:val="150"/>
            </w:pPr>
            <w:r>
              <w:rPr>
                <w:rFonts w:hint="eastAsia"/>
              </w:rPr>
              <w:t>显示学习进度</w:t>
            </w:r>
          </w:p>
        </w:tc>
      </w:tr>
      <w:tr w14:paraId="3727588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62F867C5">
            <w:pPr>
              <w:pStyle w:val="150"/>
            </w:pPr>
            <w:r>
              <w:rPr>
                <w:rFonts w:hint="eastAsia"/>
              </w:rPr>
              <w:t>外联地址白名单</w:t>
            </w:r>
          </w:p>
        </w:tc>
        <w:tc>
          <w:tcPr>
            <w:tcW w:w="6542" w:type="dxa"/>
            <w:shd w:val="clear" w:color="auto" w:fill="auto"/>
          </w:tcPr>
          <w:p w14:paraId="6EB1D438">
            <w:pPr>
              <w:pStyle w:val="150"/>
            </w:pPr>
            <w:r>
              <w:rPr>
                <w:rFonts w:hint="eastAsia"/>
              </w:rPr>
              <w:t>不参与学习的外联目的地址</w:t>
            </w:r>
          </w:p>
        </w:tc>
      </w:tr>
      <w:tr w14:paraId="1B7F04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B7B7047">
            <w:pPr>
              <w:pStyle w:val="150"/>
            </w:pPr>
            <w:r>
              <w:rPr>
                <w:rFonts w:hint="eastAsia"/>
              </w:rPr>
              <w:t>外联协议白名单</w:t>
            </w:r>
          </w:p>
        </w:tc>
        <w:tc>
          <w:tcPr>
            <w:tcW w:w="6542" w:type="dxa"/>
            <w:shd w:val="clear" w:color="auto" w:fill="auto"/>
          </w:tcPr>
          <w:p w14:paraId="498F5A10">
            <w:pPr>
              <w:pStyle w:val="150"/>
            </w:pPr>
            <w:r>
              <w:rPr>
                <w:rFonts w:hint="eastAsia"/>
              </w:rPr>
              <w:t>不参与学习的外联目的端口</w:t>
            </w:r>
          </w:p>
        </w:tc>
      </w:tr>
      <w:tr w14:paraId="59679FD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2E9443B">
            <w:pPr>
              <w:pStyle w:val="150"/>
            </w:pPr>
            <w:r>
              <w:rPr>
                <w:rFonts w:hint="eastAsia"/>
              </w:rPr>
              <w:t>开始</w:t>
            </w:r>
          </w:p>
        </w:tc>
        <w:tc>
          <w:tcPr>
            <w:tcW w:w="6542" w:type="dxa"/>
            <w:shd w:val="clear" w:color="auto" w:fill="auto"/>
          </w:tcPr>
          <w:p w14:paraId="79EB7800">
            <w:pPr>
              <w:pStyle w:val="150"/>
            </w:pPr>
            <w:r>
              <w:rPr>
                <w:rFonts w:hint="eastAsia"/>
              </w:rPr>
              <w:t>开始学习</w:t>
            </w:r>
          </w:p>
        </w:tc>
      </w:tr>
      <w:tr w14:paraId="25A633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76C0771">
            <w:pPr>
              <w:pStyle w:val="150"/>
            </w:pPr>
            <w:r>
              <w:rPr>
                <w:rFonts w:hint="eastAsia"/>
              </w:rPr>
              <w:t>添加服务器合法连接</w:t>
            </w:r>
          </w:p>
        </w:tc>
        <w:tc>
          <w:tcPr>
            <w:tcW w:w="6542" w:type="dxa"/>
            <w:shd w:val="clear" w:color="auto" w:fill="auto"/>
          </w:tcPr>
          <w:p w14:paraId="0666826D">
            <w:pPr>
              <w:pStyle w:val="150"/>
            </w:pPr>
            <w:r>
              <w:rPr>
                <w:rFonts w:hint="eastAsia"/>
              </w:rPr>
              <w:t>学习到的外联地址添加到防护中服务器外联地址</w:t>
            </w:r>
          </w:p>
        </w:tc>
      </w:tr>
    </w:tbl>
    <w:p w14:paraId="74069CFD"/>
    <w:p w14:paraId="3CC18CF9">
      <w:pPr>
        <w:pStyle w:val="5"/>
      </w:pPr>
      <w:bookmarkStart w:id="7760" w:name="_Toc194081127"/>
      <w:bookmarkStart w:id="7761" w:name="_Toc196728459"/>
      <w:r>
        <w:rPr>
          <w:rFonts w:hint="eastAsia"/>
        </w:rPr>
        <w:t>行为模型</w:t>
      </w:r>
      <w:bookmarkEnd w:id="7621"/>
      <w:bookmarkEnd w:id="7622"/>
      <w:bookmarkEnd w:id="7623"/>
      <w:bookmarkEnd w:id="7624"/>
      <w:bookmarkEnd w:id="7625"/>
      <w:bookmarkEnd w:id="7626"/>
      <w:bookmarkEnd w:id="7627"/>
      <w:bookmarkEnd w:id="7628"/>
      <w:bookmarkEnd w:id="7760"/>
      <w:bookmarkEnd w:id="7761"/>
    </w:p>
    <w:p w14:paraId="6849F80F">
      <w:pPr>
        <w:pStyle w:val="6"/>
      </w:pPr>
      <w:r>
        <w:rPr>
          <w:rFonts w:hint="eastAsia"/>
        </w:rPr>
        <w:t xml:space="preserve"> </w:t>
      </w:r>
      <w:bookmarkStart w:id="7762" w:name="_Toc99562009"/>
      <w:bookmarkStart w:id="7763" w:name="_Toc15485293"/>
      <w:bookmarkStart w:id="7764" w:name="_Toc141873808"/>
      <w:bookmarkStart w:id="7765" w:name="_Toc172218601"/>
      <w:bookmarkStart w:id="7766" w:name="_Toc15458740"/>
      <w:bookmarkStart w:id="7767" w:name="_Toc142401325"/>
      <w:bookmarkStart w:id="7768" w:name="_Toc23153050"/>
      <w:bookmarkStart w:id="7769" w:name="_Toc40276471"/>
      <w:r>
        <w:rPr>
          <w:rFonts w:hint="eastAsia"/>
        </w:rPr>
        <w:t>行为模型简介</w:t>
      </w:r>
      <w:bookmarkEnd w:id="7762"/>
      <w:bookmarkEnd w:id="7763"/>
      <w:bookmarkEnd w:id="7764"/>
      <w:bookmarkEnd w:id="7765"/>
      <w:bookmarkEnd w:id="7766"/>
      <w:bookmarkEnd w:id="7767"/>
      <w:bookmarkEnd w:id="7768"/>
      <w:bookmarkEnd w:id="7769"/>
    </w:p>
    <w:p w14:paraId="78BE3BDA">
      <w:r>
        <w:rPr>
          <w:rFonts w:hint="eastAsia"/>
        </w:rPr>
        <w:t>行为模型（又名DNS隧道），是隐蔽信道的一种，通过将其他协议封装在DNS协议中传输建立通信。因为在我们的网络世界中DNS是一个必不可少的服务，所以大部分防火墙和入侵检测设备很少会过滤DNS流量，这就给DNS作为一种隐蔽信道提供了条件，从而可以利用它实现诸如远程控制，文件传输等操作，现在越来越多的研究证明DNS 隧道也经常在僵尸网络和APT攻击中扮演者重要的角色，因此DNS隐蔽隧道检测势在必行。</w:t>
      </w:r>
    </w:p>
    <w:p w14:paraId="350B0352">
      <w:r>
        <w:rPr>
          <w:rFonts w:hint="eastAsia"/>
        </w:rPr>
        <w:t>设备通过对DNS隐蔽隧道特征的提取和特征综合分析，来实现对DNS隐蔽隧道的检测，从而阻止DNS隧道带来的威胁。</w:t>
      </w:r>
    </w:p>
    <w:p w14:paraId="028B34A3">
      <w:pPr>
        <w:pStyle w:val="6"/>
      </w:pPr>
      <w:bookmarkStart w:id="7770" w:name="_Toc99562010"/>
      <w:bookmarkStart w:id="7771" w:name="_Toc23153051"/>
      <w:bookmarkStart w:id="7772" w:name="_Toc40276472"/>
      <w:bookmarkStart w:id="7773" w:name="_Toc15458741"/>
      <w:bookmarkStart w:id="7774" w:name="_Toc141873809"/>
      <w:bookmarkStart w:id="7775" w:name="_Toc172218602"/>
      <w:bookmarkStart w:id="7776" w:name="_Toc142401326"/>
      <w:bookmarkStart w:id="7777" w:name="_Toc15485294"/>
      <w:r>
        <w:rPr>
          <w:rFonts w:hint="eastAsia"/>
        </w:rPr>
        <w:t>行为模型</w:t>
      </w:r>
      <w:r>
        <w:t>配置</w:t>
      </w:r>
      <w:r>
        <w:rPr>
          <w:rFonts w:hint="eastAsia"/>
        </w:rPr>
        <w:t>页面</w:t>
      </w:r>
      <w:bookmarkEnd w:id="7770"/>
      <w:bookmarkEnd w:id="7771"/>
      <w:bookmarkEnd w:id="7772"/>
      <w:bookmarkEnd w:id="7773"/>
      <w:bookmarkEnd w:id="7774"/>
      <w:bookmarkEnd w:id="7775"/>
      <w:bookmarkEnd w:id="7776"/>
      <w:bookmarkEnd w:id="7777"/>
    </w:p>
    <w:p w14:paraId="316F0E82">
      <w:r>
        <w:rPr>
          <w:rFonts w:hint="eastAsia"/>
        </w:rPr>
        <w:t>通过菜单“策略配置&gt;安全设置&gt;安全防护&gt;行为模型”，编辑DNS隧道检测，</w:t>
      </w:r>
      <w:r>
        <w:t>点击</w:t>
      </w:r>
      <w:r>
        <w:rPr>
          <w:rFonts w:hint="eastAsia"/>
        </w:rPr>
        <w:t>&lt;编辑&gt;，进入如</w:t>
      </w:r>
      <w:r>
        <w:rPr>
          <w:color w:val="0000FF"/>
          <w:u w:val="single"/>
        </w:rPr>
        <w:fldChar w:fldCharType="begin"/>
      </w:r>
      <w:r>
        <w:instrText xml:space="preserve"> </w:instrText>
      </w:r>
      <w:r>
        <w:rPr>
          <w:rFonts w:hint="eastAsia"/>
        </w:rPr>
        <w:instrText xml:space="preserve">REF _Ref15458750 \r \h</w:instrText>
      </w:r>
      <w:r>
        <w:instrText xml:space="preserve"> </w:instrText>
      </w:r>
      <w:r>
        <w:rPr>
          <w:color w:val="0000FF"/>
          <w:u w:val="single"/>
        </w:rPr>
        <w:fldChar w:fldCharType="separate"/>
      </w:r>
      <w:r>
        <w:rPr>
          <w:rFonts w:hint="eastAsia"/>
        </w:rPr>
        <w:t>图29-58</w:t>
      </w:r>
      <w:r>
        <w:rPr>
          <w:color w:val="0000FF"/>
          <w:u w:val="single"/>
        </w:rPr>
        <w:fldChar w:fldCharType="end"/>
      </w:r>
      <w:r>
        <w:rPr>
          <w:rFonts w:hint="eastAsia"/>
        </w:rPr>
        <w:t>所示页面。各个配置项含义如</w:t>
      </w:r>
      <w:r>
        <w:rPr>
          <w:color w:val="0000FF"/>
          <w:u w:val="single"/>
        </w:rPr>
        <w:fldChar w:fldCharType="begin"/>
      </w:r>
      <w:r>
        <w:instrText xml:space="preserve"> </w:instrText>
      </w:r>
      <w:r>
        <w:rPr>
          <w:rFonts w:hint="eastAsia"/>
        </w:rPr>
        <w:instrText xml:space="preserve">REF _Ref15458756 \r \h</w:instrText>
      </w:r>
      <w:r>
        <w:instrText xml:space="preserve"> </w:instrText>
      </w:r>
      <w:r>
        <w:rPr>
          <w:color w:val="0000FF"/>
          <w:u w:val="single"/>
        </w:rPr>
        <w:fldChar w:fldCharType="separate"/>
      </w:r>
      <w:r>
        <w:rPr>
          <w:rFonts w:hint="eastAsia"/>
        </w:rPr>
        <w:t>表29-1</w:t>
      </w:r>
      <w:r>
        <w:rPr>
          <w:color w:val="0000FF"/>
          <w:u w:val="single"/>
        </w:rPr>
        <w:fldChar w:fldCharType="end"/>
      </w:r>
      <w:r>
        <w:rPr>
          <w:rFonts w:hint="eastAsia"/>
        </w:rPr>
        <w:t>所示。</w:t>
      </w:r>
    </w:p>
    <w:p w14:paraId="0C8C5B09">
      <w:pPr>
        <w:pStyle w:val="188"/>
      </w:pPr>
      <w:bookmarkStart w:id="7778" w:name="_Ref15458750"/>
      <w:bookmarkStart w:id="7779" w:name="_Toc141875206"/>
      <w:r>
        <w:rPr>
          <w:rFonts w:hint="eastAsia"/>
        </w:rPr>
        <w:t>DNS隧道配置页面</w:t>
      </w:r>
      <w:bookmarkEnd w:id="7778"/>
      <w:bookmarkEnd w:id="7779"/>
    </w:p>
    <w:p w14:paraId="7F8D2F86">
      <w:r>
        <w:drawing>
          <wp:inline distT="0" distB="0" distL="0" distR="0">
            <wp:extent cx="4152900" cy="4055745"/>
            <wp:effectExtent l="0" t="0" r="0" b="1905"/>
            <wp:docPr id="2927" name="图片 2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7" name="图片 2927"/>
                    <pic:cNvPicPr>
                      <a:picLocks noChangeAspect="1"/>
                    </pic:cNvPicPr>
                  </pic:nvPicPr>
                  <pic:blipFill>
                    <a:blip r:embed="rId923"/>
                    <a:stretch>
                      <a:fillRect/>
                    </a:stretch>
                  </pic:blipFill>
                  <pic:spPr>
                    <a:xfrm>
                      <a:off x="0" y="0"/>
                      <a:ext cx="4170582" cy="4073592"/>
                    </a:xfrm>
                    <a:prstGeom prst="rect">
                      <a:avLst/>
                    </a:prstGeom>
                  </pic:spPr>
                </pic:pic>
              </a:graphicData>
            </a:graphic>
          </wp:inline>
        </w:drawing>
      </w:r>
    </w:p>
    <w:p w14:paraId="66651DEA"/>
    <w:p w14:paraId="50398C1F">
      <w:pPr>
        <w:pStyle w:val="183"/>
      </w:pPr>
      <w:bookmarkStart w:id="7780" w:name="_Toc141875738"/>
      <w:bookmarkStart w:id="7781" w:name="_Ref15458756"/>
      <w:r>
        <w:rPr>
          <w:rFonts w:hint="eastAsia"/>
        </w:rPr>
        <w:t>DNS隧道配置各项含义表</w:t>
      </w:r>
      <w:bookmarkEnd w:id="7780"/>
      <w:bookmarkEnd w:id="7781"/>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43"/>
        <w:gridCol w:w="6671"/>
      </w:tblGrid>
      <w:tr w14:paraId="1E3E888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3" w:type="dxa"/>
            <w:tcBorders>
              <w:tl2br w:val="nil"/>
              <w:tr2bl w:val="nil"/>
            </w:tcBorders>
            <w:shd w:val="clear" w:color="auto" w:fill="538135" w:themeFill="accent6" w:themeFillShade="BF"/>
            <w:vAlign w:val="center"/>
          </w:tcPr>
          <w:p w14:paraId="4AC1739A">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71" w:type="dxa"/>
            <w:tcBorders>
              <w:tl2br w:val="nil"/>
              <w:tr2bl w:val="nil"/>
            </w:tcBorders>
            <w:shd w:val="clear" w:color="auto" w:fill="538135" w:themeFill="accent6" w:themeFillShade="BF"/>
            <w:vAlign w:val="center"/>
          </w:tcPr>
          <w:p w14:paraId="7A7CBBD3">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18FDA7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343" w:type="dxa"/>
            <w:shd w:val="clear" w:color="auto" w:fill="auto"/>
          </w:tcPr>
          <w:p w14:paraId="6008C569">
            <w:pPr>
              <w:pStyle w:val="150"/>
            </w:pPr>
            <w:r>
              <w:rPr>
                <w:rFonts w:hint="eastAsia"/>
              </w:rPr>
              <w:t>开启</w:t>
            </w:r>
          </w:p>
        </w:tc>
        <w:tc>
          <w:tcPr>
            <w:tcW w:w="6671" w:type="dxa"/>
            <w:shd w:val="clear" w:color="auto" w:fill="auto"/>
          </w:tcPr>
          <w:p w14:paraId="4B8A3E96">
            <w:pPr>
              <w:pStyle w:val="150"/>
            </w:pPr>
            <w:r>
              <w:rPr>
                <w:rFonts w:hint="eastAsia"/>
              </w:rPr>
              <w:t>是否开启dns隧道功能</w:t>
            </w:r>
          </w:p>
        </w:tc>
      </w:tr>
      <w:tr w14:paraId="073687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343" w:type="dxa"/>
            <w:shd w:val="clear" w:color="auto" w:fill="auto"/>
          </w:tcPr>
          <w:p w14:paraId="56BD804B">
            <w:pPr>
              <w:pStyle w:val="150"/>
            </w:pPr>
            <w:r>
              <w:rPr>
                <w:rFonts w:hint="eastAsia"/>
              </w:rPr>
              <w:t>日志</w:t>
            </w:r>
          </w:p>
        </w:tc>
        <w:tc>
          <w:tcPr>
            <w:tcW w:w="6671" w:type="dxa"/>
            <w:shd w:val="clear" w:color="auto" w:fill="auto"/>
          </w:tcPr>
          <w:p w14:paraId="3EEF8E65">
            <w:pPr>
              <w:pStyle w:val="150"/>
            </w:pPr>
            <w:r>
              <w:rPr>
                <w:rFonts w:hint="eastAsia"/>
              </w:rPr>
              <w:t>记录dns隧道日志（在安全日志-行为模型日志）</w:t>
            </w:r>
          </w:p>
        </w:tc>
      </w:tr>
      <w:tr w14:paraId="6496EA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343" w:type="dxa"/>
            <w:shd w:val="clear" w:color="auto" w:fill="auto"/>
          </w:tcPr>
          <w:p w14:paraId="51FF6FD4">
            <w:pPr>
              <w:pStyle w:val="150"/>
            </w:pPr>
            <w:r>
              <w:rPr>
                <w:rFonts w:hint="eastAsia"/>
              </w:rPr>
              <w:t>检测宽松度</w:t>
            </w:r>
          </w:p>
        </w:tc>
        <w:tc>
          <w:tcPr>
            <w:tcW w:w="6671" w:type="dxa"/>
            <w:shd w:val="clear" w:color="auto" w:fill="auto"/>
          </w:tcPr>
          <w:p w14:paraId="4F720782">
            <w:pPr>
              <w:pStyle w:val="150"/>
            </w:pPr>
            <w:r>
              <w:rPr>
                <w:rFonts w:hint="eastAsia"/>
              </w:rPr>
              <w:t>严格、适中、宽松，默认适中</w:t>
            </w:r>
          </w:p>
        </w:tc>
      </w:tr>
      <w:tr w14:paraId="011D01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343" w:type="dxa"/>
            <w:shd w:val="clear" w:color="auto" w:fill="auto"/>
          </w:tcPr>
          <w:p w14:paraId="0CBCAB3A">
            <w:pPr>
              <w:pStyle w:val="150"/>
            </w:pPr>
            <w:r>
              <w:rPr>
                <w:rFonts w:hint="eastAsia"/>
              </w:rPr>
              <w:t>检测方式</w:t>
            </w:r>
          </w:p>
        </w:tc>
        <w:tc>
          <w:tcPr>
            <w:tcW w:w="6671" w:type="dxa"/>
            <w:shd w:val="clear" w:color="auto" w:fill="auto"/>
          </w:tcPr>
          <w:p w14:paraId="3D01977A">
            <w:pPr>
              <w:pStyle w:val="150"/>
            </w:pPr>
            <w:r>
              <w:rPr>
                <w:rFonts w:hint="eastAsia"/>
              </w:rPr>
              <w:t>所有、基于异常报文、基于异常流量</w:t>
            </w:r>
          </w:p>
        </w:tc>
      </w:tr>
      <w:tr w14:paraId="451DDB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343" w:type="dxa"/>
            <w:shd w:val="clear" w:color="auto" w:fill="auto"/>
          </w:tcPr>
          <w:p w14:paraId="50C138B6">
            <w:pPr>
              <w:pStyle w:val="150"/>
            </w:pPr>
            <w:r>
              <w:rPr>
                <w:rFonts w:hint="eastAsia"/>
              </w:rPr>
              <w:t>处理动作</w:t>
            </w:r>
          </w:p>
        </w:tc>
        <w:tc>
          <w:tcPr>
            <w:tcW w:w="6671" w:type="dxa"/>
            <w:shd w:val="clear" w:color="auto" w:fill="auto"/>
          </w:tcPr>
          <w:p w14:paraId="1FA98346">
            <w:pPr>
              <w:pStyle w:val="150"/>
            </w:pPr>
            <w:r>
              <w:rPr>
                <w:rFonts w:hint="eastAsia"/>
              </w:rPr>
              <w:t>允许或拒绝</w:t>
            </w:r>
          </w:p>
        </w:tc>
      </w:tr>
      <w:tr w14:paraId="7B8DC87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343" w:type="dxa"/>
            <w:shd w:val="clear" w:color="auto" w:fill="auto"/>
          </w:tcPr>
          <w:p w14:paraId="257EDEF1">
            <w:pPr>
              <w:pStyle w:val="150"/>
            </w:pPr>
            <w:r>
              <w:rPr>
                <w:rFonts w:hint="eastAsia"/>
              </w:rPr>
              <w:t>使用预置白名单</w:t>
            </w:r>
          </w:p>
        </w:tc>
        <w:tc>
          <w:tcPr>
            <w:tcW w:w="6671" w:type="dxa"/>
            <w:shd w:val="clear" w:color="auto" w:fill="auto"/>
          </w:tcPr>
          <w:p w14:paraId="0F3B9347">
            <w:pPr>
              <w:pStyle w:val="150"/>
            </w:pPr>
            <w:r>
              <w:rPr>
                <w:rFonts w:hint="eastAsia"/>
              </w:rPr>
              <w:t>设备配置的DNS服务器地址，默认勾选（开启后不会在走dns-tunnel流程）dns透明代理和dns缓存不算在里面</w:t>
            </w:r>
          </w:p>
        </w:tc>
      </w:tr>
      <w:tr w14:paraId="4C07364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343" w:type="dxa"/>
            <w:shd w:val="clear" w:color="auto" w:fill="auto"/>
          </w:tcPr>
          <w:p w14:paraId="09501D27">
            <w:pPr>
              <w:pStyle w:val="150"/>
            </w:pPr>
            <w:r>
              <w:rPr>
                <w:rFonts w:hint="eastAsia"/>
              </w:rPr>
              <w:t>添加自定义白名单</w:t>
            </w:r>
          </w:p>
        </w:tc>
        <w:tc>
          <w:tcPr>
            <w:tcW w:w="6671" w:type="dxa"/>
            <w:shd w:val="clear" w:color="auto" w:fill="auto"/>
          </w:tcPr>
          <w:p w14:paraId="617B2354">
            <w:pPr>
              <w:pStyle w:val="150"/>
            </w:pPr>
            <w:r>
              <w:rPr>
                <w:rFonts w:hint="eastAsia"/>
              </w:rPr>
              <w:t>6</w:t>
            </w:r>
            <w:r>
              <w:t>4</w:t>
            </w:r>
            <w:r>
              <w:rPr>
                <w:rFonts w:hint="eastAsia"/>
              </w:rPr>
              <w:t>个</w:t>
            </w:r>
          </w:p>
        </w:tc>
      </w:tr>
    </w:tbl>
    <w:p w14:paraId="4BB9A5FF"/>
    <w:bookmarkEnd w:id="7629"/>
    <w:bookmarkEnd w:id="7630"/>
    <w:bookmarkEnd w:id="7631"/>
    <w:bookmarkEnd w:id="7632"/>
    <w:bookmarkEnd w:id="7633"/>
    <w:p w14:paraId="2C21F291">
      <w:pPr>
        <w:pStyle w:val="4"/>
      </w:pPr>
      <w:bookmarkStart w:id="7782" w:name="_Toc194081128"/>
      <w:bookmarkStart w:id="7783" w:name="_Toc196728460"/>
      <w:r>
        <w:t>WEB</w:t>
      </w:r>
      <w:r>
        <w:rPr>
          <w:rFonts w:hint="eastAsia"/>
        </w:rPr>
        <w:t>防护</w:t>
      </w:r>
      <w:bookmarkEnd w:id="7782"/>
      <w:bookmarkEnd w:id="7783"/>
    </w:p>
    <w:p w14:paraId="2D6370BB">
      <w:pPr>
        <w:pStyle w:val="5"/>
      </w:pPr>
      <w:bookmarkStart w:id="7784" w:name="_Toc196728461"/>
      <w:bookmarkStart w:id="7785" w:name="_Toc194081129"/>
      <w:r>
        <w:rPr>
          <w:rFonts w:hint="eastAsia"/>
        </w:rPr>
        <w:t>W</w:t>
      </w:r>
      <w:r>
        <w:t>EB</w:t>
      </w:r>
      <w:r>
        <w:rPr>
          <w:rFonts w:hint="eastAsia"/>
        </w:rPr>
        <w:t>安全防护简介</w:t>
      </w:r>
      <w:bookmarkEnd w:id="7784"/>
      <w:bookmarkEnd w:id="7785"/>
    </w:p>
    <w:p w14:paraId="5AE8776B">
      <w:pPr>
        <w:rPr>
          <w:sz w:val="24"/>
        </w:rPr>
      </w:pPr>
      <w:r>
        <w:rPr>
          <w:rFonts w:hint="eastAsia"/>
        </w:rPr>
        <w:t>随着网络信息化的发展，越来越多的企业利用Web应用系统提供客户服务，进行产品推广、市场宣传、培训服务、远程服务协作甚至网上交易。WEB2.0的发展更是加强了用户和WEB服务之间的交互性，但是各种安全问题也随之而来。WEB应用数据被窃取、网页被篡改，甚至web站点成为传播木马的傀儡，给更多访问者造成危害，带来损失；也对政府、公司形象造成严重的破坏。目前WAF防火墙产品是用户用来保护WEB应用的首要选择。为了能够给客户提供一套更完全的安全解决方案，Web应用防护作为一个功能模块，整体上基于当前的平台设计实现，增加Web应用防护策略，匹配条件是源地址、目的地址（Web服务器地址）和端口，同时在策略下配置各个防护功能（规则防护、精确访问控制、防盗链、CSRF攻击防护、CC攻击防护、应用隐藏、网页防篡改），当报文匹配策略时，就会逐一进行防护功能的处理，并执行相应的动作。</w:t>
      </w:r>
    </w:p>
    <w:p w14:paraId="233A3AA2">
      <w:pPr>
        <w:pStyle w:val="5"/>
      </w:pPr>
      <w:bookmarkStart w:id="7786" w:name="_Toc174973706"/>
      <w:bookmarkEnd w:id="7786"/>
      <w:bookmarkStart w:id="7787" w:name="_Toc194081130"/>
      <w:bookmarkStart w:id="7788" w:name="_Toc196728462"/>
      <w:r>
        <w:rPr>
          <w:rFonts w:hint="eastAsia"/>
        </w:rPr>
        <w:t>防护策略配置</w:t>
      </w:r>
      <w:bookmarkEnd w:id="7787"/>
      <w:bookmarkEnd w:id="7788"/>
    </w:p>
    <w:p w14:paraId="0BE82EDF">
      <w:pPr>
        <w:rPr>
          <w:bCs/>
          <w:sz w:val="30"/>
          <w:szCs w:val="44"/>
        </w:rPr>
      </w:pPr>
      <w:r>
        <w:rPr>
          <w:rFonts w:hint="eastAsia"/>
        </w:rPr>
        <w:t>在导航栏中选择“策略配置&gt;安全设置&gt;WEB防护&gt;防护策略”，进入防护策略的配置界面。</w:t>
      </w:r>
    </w:p>
    <w:p w14:paraId="655AE891">
      <w:pPr>
        <w:pStyle w:val="188"/>
      </w:pPr>
      <w:r>
        <w:rPr>
          <w:rFonts w:hint="eastAsia"/>
        </w:rPr>
        <w:t>防护策略界面</w:t>
      </w:r>
    </w:p>
    <w:p w14:paraId="6B98EE6C">
      <w:r>
        <w:drawing>
          <wp:inline distT="0" distB="0" distL="0" distR="0">
            <wp:extent cx="5409565" cy="967105"/>
            <wp:effectExtent l="0" t="0" r="635" b="4445"/>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526"/>
                    <pic:cNvPicPr>
                      <a:picLocks noChangeAspect="1"/>
                    </pic:cNvPicPr>
                  </pic:nvPicPr>
                  <pic:blipFill>
                    <a:blip r:embed="rId924"/>
                    <a:stretch>
                      <a:fillRect/>
                    </a:stretch>
                  </pic:blipFill>
                  <pic:spPr>
                    <a:xfrm>
                      <a:off x="0" y="0"/>
                      <a:ext cx="5506093" cy="984803"/>
                    </a:xfrm>
                    <a:prstGeom prst="rect">
                      <a:avLst/>
                    </a:prstGeom>
                  </pic:spPr>
                </pic:pic>
              </a:graphicData>
            </a:graphic>
          </wp:inline>
        </w:drawing>
      </w:r>
    </w:p>
    <w:p w14:paraId="64FF86B7"/>
    <w:p w14:paraId="39E00075">
      <w:pPr>
        <w:pStyle w:val="183"/>
      </w:pPr>
      <w:r>
        <w:rPr>
          <w:rFonts w:hint="eastAsia"/>
        </w:rPr>
        <w:t>防护策略界面详细描述表</w:t>
      </w:r>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90"/>
        <w:gridCol w:w="6542"/>
      </w:tblGrid>
      <w:tr w14:paraId="3C4DD20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19" w:hRule="atLeast"/>
        </w:trPr>
        <w:tc>
          <w:tcPr>
            <w:tcW w:w="2490" w:type="dxa"/>
            <w:tcBorders>
              <w:tl2br w:val="nil"/>
              <w:tr2bl w:val="nil"/>
            </w:tcBorders>
            <w:shd w:val="clear" w:color="auto" w:fill="538135" w:themeFill="accent6" w:themeFillShade="BF"/>
            <w:vAlign w:val="center"/>
          </w:tcPr>
          <w:p w14:paraId="617E6A82">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42" w:type="dxa"/>
            <w:tcBorders>
              <w:tl2br w:val="nil"/>
              <w:tr2bl w:val="nil"/>
            </w:tcBorders>
            <w:shd w:val="clear" w:color="auto" w:fill="538135" w:themeFill="accent6" w:themeFillShade="BF"/>
            <w:vAlign w:val="center"/>
          </w:tcPr>
          <w:p w14:paraId="49C8ED8B">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72F01D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10800D6C">
            <w:pPr>
              <w:pStyle w:val="150"/>
            </w:pPr>
            <w:r>
              <w:rPr>
                <w:rFonts w:hint="eastAsia"/>
              </w:rPr>
              <w:t>名称</w:t>
            </w:r>
          </w:p>
        </w:tc>
        <w:tc>
          <w:tcPr>
            <w:tcW w:w="6542" w:type="dxa"/>
            <w:shd w:val="clear" w:color="auto" w:fill="auto"/>
          </w:tcPr>
          <w:p w14:paraId="1B8FB3C4">
            <w:pPr>
              <w:pStyle w:val="150"/>
            </w:pPr>
            <w:r>
              <w:rPr>
                <w:rFonts w:hint="eastAsia"/>
              </w:rPr>
              <w:t>策略名称</w:t>
            </w:r>
          </w:p>
        </w:tc>
      </w:tr>
      <w:tr w14:paraId="19AC75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009FF3AE">
            <w:pPr>
              <w:pStyle w:val="150"/>
            </w:pPr>
            <w:r>
              <w:rPr>
                <w:rFonts w:hint="eastAsia"/>
              </w:rPr>
              <w:t>源地址</w:t>
            </w:r>
          </w:p>
        </w:tc>
        <w:tc>
          <w:tcPr>
            <w:tcW w:w="6542" w:type="dxa"/>
            <w:shd w:val="clear" w:color="auto" w:fill="auto"/>
          </w:tcPr>
          <w:p w14:paraId="13540765">
            <w:pPr>
              <w:pStyle w:val="150"/>
            </w:pPr>
            <w:r>
              <w:rPr>
                <w:rFonts w:hint="eastAsia"/>
              </w:rPr>
              <w:t>策略匹配的源地址</w:t>
            </w:r>
          </w:p>
        </w:tc>
      </w:tr>
      <w:tr w14:paraId="39E71E9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082388C0">
            <w:pPr>
              <w:pStyle w:val="150"/>
            </w:pPr>
            <w:r>
              <w:rPr>
                <w:rFonts w:hint="eastAsia"/>
              </w:rPr>
              <w:t>目的地址</w:t>
            </w:r>
          </w:p>
        </w:tc>
        <w:tc>
          <w:tcPr>
            <w:tcW w:w="6542" w:type="dxa"/>
            <w:shd w:val="clear" w:color="auto" w:fill="auto"/>
          </w:tcPr>
          <w:p w14:paraId="5641EB27">
            <w:pPr>
              <w:pStyle w:val="150"/>
            </w:pPr>
            <w:r>
              <w:rPr>
                <w:rFonts w:hint="eastAsia"/>
              </w:rPr>
              <w:t>策略匹配的目的地址</w:t>
            </w:r>
          </w:p>
        </w:tc>
      </w:tr>
      <w:tr w14:paraId="675E327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28E03F6">
            <w:pPr>
              <w:pStyle w:val="150"/>
            </w:pPr>
            <w:r>
              <w:rPr>
                <w:rFonts w:hint="eastAsia"/>
              </w:rPr>
              <w:t>服务端口</w:t>
            </w:r>
          </w:p>
        </w:tc>
        <w:tc>
          <w:tcPr>
            <w:tcW w:w="6542" w:type="dxa"/>
            <w:shd w:val="clear" w:color="auto" w:fill="auto"/>
          </w:tcPr>
          <w:p w14:paraId="4D3AE489">
            <w:pPr>
              <w:pStyle w:val="150"/>
            </w:pPr>
            <w:r>
              <w:rPr>
                <w:rFonts w:hint="eastAsia"/>
              </w:rPr>
              <w:t>H</w:t>
            </w:r>
            <w:r>
              <w:t>TTP</w:t>
            </w:r>
            <w:r>
              <w:rPr>
                <w:rFonts w:hint="eastAsia"/>
              </w:rPr>
              <w:t>服务的端口默认8</w:t>
            </w:r>
            <w:r>
              <w:t>0</w:t>
            </w:r>
          </w:p>
        </w:tc>
      </w:tr>
      <w:tr w14:paraId="69F4FF2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3C2B8C7">
            <w:pPr>
              <w:pStyle w:val="150"/>
            </w:pPr>
            <w:r>
              <w:rPr>
                <w:rFonts w:hint="eastAsia"/>
              </w:rPr>
              <w:t>描述</w:t>
            </w:r>
          </w:p>
        </w:tc>
        <w:tc>
          <w:tcPr>
            <w:tcW w:w="6542" w:type="dxa"/>
            <w:shd w:val="clear" w:color="auto" w:fill="auto"/>
          </w:tcPr>
          <w:p w14:paraId="003770F4">
            <w:pPr>
              <w:pStyle w:val="150"/>
            </w:pPr>
            <w:r>
              <w:rPr>
                <w:rFonts w:hint="eastAsia"/>
              </w:rPr>
              <w:t>策略描述</w:t>
            </w:r>
          </w:p>
        </w:tc>
      </w:tr>
      <w:tr w14:paraId="4A6165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19" w:hRule="atLeast"/>
        </w:trPr>
        <w:tc>
          <w:tcPr>
            <w:tcW w:w="2490" w:type="dxa"/>
            <w:shd w:val="clear" w:color="auto" w:fill="auto"/>
          </w:tcPr>
          <w:p w14:paraId="76EC818F">
            <w:pPr>
              <w:pStyle w:val="150"/>
            </w:pPr>
            <w:r>
              <w:rPr>
                <w:rFonts w:hint="eastAsia"/>
              </w:rPr>
              <w:t>启用</w:t>
            </w:r>
          </w:p>
        </w:tc>
        <w:tc>
          <w:tcPr>
            <w:tcW w:w="6542" w:type="dxa"/>
            <w:shd w:val="clear" w:color="auto" w:fill="auto"/>
          </w:tcPr>
          <w:p w14:paraId="6A333ABD">
            <w:pPr>
              <w:pStyle w:val="150"/>
            </w:pPr>
            <w:r>
              <w:rPr>
                <w:rFonts w:hint="eastAsia"/>
              </w:rPr>
              <w:t>策略状态</w:t>
            </w:r>
          </w:p>
        </w:tc>
      </w:tr>
      <w:tr w14:paraId="6C391CB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1572C371">
            <w:pPr>
              <w:pStyle w:val="150"/>
            </w:pPr>
            <w:r>
              <w:rPr>
                <w:rFonts w:hint="eastAsia"/>
              </w:rPr>
              <w:t>防护配置</w:t>
            </w:r>
          </w:p>
        </w:tc>
        <w:tc>
          <w:tcPr>
            <w:tcW w:w="6542" w:type="dxa"/>
            <w:shd w:val="clear" w:color="auto" w:fill="auto"/>
          </w:tcPr>
          <w:p w14:paraId="6EC08EF4">
            <w:pPr>
              <w:pStyle w:val="150"/>
            </w:pPr>
            <w:r>
              <w:rPr>
                <w:rFonts w:hint="eastAsia"/>
              </w:rPr>
              <w:t>策略启用的防护类型</w:t>
            </w:r>
          </w:p>
        </w:tc>
      </w:tr>
      <w:tr w14:paraId="007052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660FEF99">
            <w:pPr>
              <w:pStyle w:val="150"/>
            </w:pPr>
            <w:r>
              <w:rPr>
                <w:rFonts w:hint="eastAsia"/>
              </w:rPr>
              <w:t>操作</w:t>
            </w:r>
          </w:p>
        </w:tc>
        <w:tc>
          <w:tcPr>
            <w:tcW w:w="6542" w:type="dxa"/>
            <w:shd w:val="clear" w:color="auto" w:fill="auto"/>
          </w:tcPr>
          <w:p w14:paraId="0C67AD4E">
            <w:pPr>
              <w:pStyle w:val="150"/>
            </w:pPr>
            <w:r>
              <w:rPr>
                <w:rFonts w:hint="eastAsia"/>
              </w:rPr>
              <w:t>操作动作：编辑，删除</w:t>
            </w:r>
          </w:p>
        </w:tc>
      </w:tr>
    </w:tbl>
    <w:p w14:paraId="7012C41D"/>
    <w:p w14:paraId="1AFA92CF">
      <w:pPr>
        <w:rPr>
          <w:bCs/>
          <w:sz w:val="30"/>
          <w:szCs w:val="44"/>
        </w:rPr>
      </w:pPr>
      <w:r>
        <w:rPr>
          <w:rFonts w:hint="eastAsia"/>
        </w:rPr>
        <w:t>在导航栏中选择“策略配置&gt;安全设置&gt;WEB防护&gt;防护策略”，进入防护策略的配置界面。点击“新建”弹框进入防护策略配置界面。</w:t>
      </w:r>
    </w:p>
    <w:p w14:paraId="19DEE166">
      <w:pPr>
        <w:pStyle w:val="188"/>
      </w:pPr>
      <w:r>
        <w:rPr>
          <w:rFonts w:hint="eastAsia"/>
        </w:rPr>
        <w:t>防护策略配置界面</w:t>
      </w:r>
    </w:p>
    <w:p w14:paraId="1679C380">
      <w:pPr>
        <w:spacing w:before="78" w:after="78"/>
      </w:pPr>
      <w:r>
        <w:drawing>
          <wp:inline distT="0" distB="0" distL="114300" distR="114300">
            <wp:extent cx="5400040" cy="3284855"/>
            <wp:effectExtent l="0" t="0" r="0" b="0"/>
            <wp:docPr id="53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37"/>
                    <pic:cNvPicPr>
                      <a:picLocks noChangeAspect="1"/>
                    </pic:cNvPicPr>
                  </pic:nvPicPr>
                  <pic:blipFill>
                    <a:blip r:embed="rId925"/>
                    <a:stretch>
                      <a:fillRect/>
                    </a:stretch>
                  </pic:blipFill>
                  <pic:spPr>
                    <a:xfrm>
                      <a:off x="0" y="0"/>
                      <a:ext cx="5400040" cy="3285300"/>
                    </a:xfrm>
                    <a:prstGeom prst="rect">
                      <a:avLst/>
                    </a:prstGeom>
                    <a:noFill/>
                    <a:ln>
                      <a:noFill/>
                    </a:ln>
                  </pic:spPr>
                </pic:pic>
              </a:graphicData>
            </a:graphic>
          </wp:inline>
        </w:drawing>
      </w:r>
    </w:p>
    <w:p w14:paraId="584DB6E0"/>
    <w:p w14:paraId="386DA41D">
      <w:pPr>
        <w:pStyle w:val="183"/>
      </w:pPr>
      <w:r>
        <w:rPr>
          <w:rFonts w:hint="eastAsia"/>
        </w:rPr>
        <w:t>防护策略配置界面详细描述表</w:t>
      </w:r>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90"/>
        <w:gridCol w:w="6542"/>
      </w:tblGrid>
      <w:tr w14:paraId="4FDD5A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613DC639">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42" w:type="dxa"/>
            <w:tcBorders>
              <w:tl2br w:val="nil"/>
              <w:tr2bl w:val="nil"/>
            </w:tcBorders>
            <w:shd w:val="clear" w:color="auto" w:fill="538135" w:themeFill="accent6" w:themeFillShade="BF"/>
            <w:vAlign w:val="center"/>
          </w:tcPr>
          <w:p w14:paraId="19EA62CF">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5AE962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9E47B11">
            <w:pPr>
              <w:pStyle w:val="150"/>
            </w:pPr>
            <w:r>
              <w:rPr>
                <w:rFonts w:hint="eastAsia"/>
              </w:rPr>
              <w:t>名称</w:t>
            </w:r>
          </w:p>
        </w:tc>
        <w:tc>
          <w:tcPr>
            <w:tcW w:w="6542" w:type="dxa"/>
            <w:shd w:val="clear" w:color="auto" w:fill="auto"/>
          </w:tcPr>
          <w:p w14:paraId="4D523456">
            <w:pPr>
              <w:pStyle w:val="150"/>
            </w:pPr>
            <w:r>
              <w:rPr>
                <w:rFonts w:hint="eastAsia"/>
              </w:rPr>
              <w:t>策略名称</w:t>
            </w:r>
          </w:p>
        </w:tc>
      </w:tr>
      <w:tr w14:paraId="1F380B7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5C2C72E">
            <w:pPr>
              <w:pStyle w:val="150"/>
            </w:pPr>
            <w:r>
              <w:rPr>
                <w:rFonts w:hint="eastAsia"/>
              </w:rPr>
              <w:t>源地址</w:t>
            </w:r>
          </w:p>
        </w:tc>
        <w:tc>
          <w:tcPr>
            <w:tcW w:w="6542" w:type="dxa"/>
            <w:shd w:val="clear" w:color="auto" w:fill="auto"/>
          </w:tcPr>
          <w:p w14:paraId="4C602353">
            <w:pPr>
              <w:pStyle w:val="150"/>
            </w:pPr>
            <w:r>
              <w:rPr>
                <w:rFonts w:hint="eastAsia"/>
              </w:rPr>
              <w:t>策略匹配的源地址</w:t>
            </w:r>
          </w:p>
        </w:tc>
      </w:tr>
      <w:tr w14:paraId="3A218CF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441D4FD7">
            <w:pPr>
              <w:pStyle w:val="150"/>
            </w:pPr>
            <w:r>
              <w:rPr>
                <w:rFonts w:hint="eastAsia"/>
              </w:rPr>
              <w:t>目的地址</w:t>
            </w:r>
          </w:p>
        </w:tc>
        <w:tc>
          <w:tcPr>
            <w:tcW w:w="6542" w:type="dxa"/>
            <w:shd w:val="clear" w:color="auto" w:fill="auto"/>
          </w:tcPr>
          <w:p w14:paraId="338CC2FF">
            <w:pPr>
              <w:pStyle w:val="150"/>
            </w:pPr>
            <w:r>
              <w:rPr>
                <w:rFonts w:hint="eastAsia"/>
              </w:rPr>
              <w:t>策略匹配的目的地址</w:t>
            </w:r>
          </w:p>
        </w:tc>
      </w:tr>
      <w:tr w14:paraId="746896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342917BA">
            <w:pPr>
              <w:pStyle w:val="150"/>
            </w:pPr>
            <w:r>
              <w:rPr>
                <w:rFonts w:hint="eastAsia"/>
              </w:rPr>
              <w:t>服务端口</w:t>
            </w:r>
          </w:p>
        </w:tc>
        <w:tc>
          <w:tcPr>
            <w:tcW w:w="6542" w:type="dxa"/>
            <w:shd w:val="clear" w:color="auto" w:fill="auto"/>
          </w:tcPr>
          <w:p w14:paraId="277FFF0E">
            <w:pPr>
              <w:pStyle w:val="150"/>
            </w:pPr>
            <w:r>
              <w:rPr>
                <w:rFonts w:hint="eastAsia"/>
              </w:rPr>
              <w:t>H</w:t>
            </w:r>
            <w:r>
              <w:t>TTP</w:t>
            </w:r>
            <w:r>
              <w:rPr>
                <w:rFonts w:hint="eastAsia"/>
              </w:rPr>
              <w:t>服务的端口默认8</w:t>
            </w:r>
            <w:r>
              <w:t>0</w:t>
            </w:r>
          </w:p>
        </w:tc>
      </w:tr>
      <w:tr w14:paraId="20AB735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6B693579">
            <w:pPr>
              <w:pStyle w:val="150"/>
            </w:pPr>
            <w:r>
              <w:rPr>
                <w:rFonts w:hint="eastAsia"/>
              </w:rPr>
              <w:t>域名</w:t>
            </w:r>
          </w:p>
        </w:tc>
        <w:tc>
          <w:tcPr>
            <w:tcW w:w="6542" w:type="dxa"/>
            <w:shd w:val="clear" w:color="auto" w:fill="auto"/>
          </w:tcPr>
          <w:p w14:paraId="3E355FDD">
            <w:pPr>
              <w:pStyle w:val="150"/>
            </w:pPr>
            <w:r>
              <w:rPr>
                <w:rFonts w:hint="eastAsia"/>
              </w:rPr>
              <w:t>服务的域名，可选项</w:t>
            </w:r>
          </w:p>
        </w:tc>
      </w:tr>
      <w:tr w14:paraId="16170E3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6C7459BF">
            <w:pPr>
              <w:pStyle w:val="150"/>
            </w:pPr>
            <w:r>
              <w:rPr>
                <w:rFonts w:hint="eastAsia"/>
              </w:rPr>
              <w:t>描述</w:t>
            </w:r>
          </w:p>
        </w:tc>
        <w:tc>
          <w:tcPr>
            <w:tcW w:w="6542" w:type="dxa"/>
            <w:shd w:val="clear" w:color="auto" w:fill="auto"/>
          </w:tcPr>
          <w:p w14:paraId="46A3D45F">
            <w:pPr>
              <w:pStyle w:val="150"/>
            </w:pPr>
            <w:r>
              <w:rPr>
                <w:rFonts w:hint="eastAsia"/>
              </w:rPr>
              <w:t>策略描述</w:t>
            </w:r>
          </w:p>
        </w:tc>
      </w:tr>
      <w:tr w14:paraId="2B1A4E8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0D891552">
            <w:pPr>
              <w:pStyle w:val="150"/>
            </w:pPr>
            <w:r>
              <w:rPr>
                <w:rFonts w:hint="eastAsia"/>
              </w:rPr>
              <w:t>启用</w:t>
            </w:r>
          </w:p>
        </w:tc>
        <w:tc>
          <w:tcPr>
            <w:tcW w:w="6542" w:type="dxa"/>
            <w:shd w:val="clear" w:color="auto" w:fill="auto"/>
          </w:tcPr>
          <w:p w14:paraId="5F03AD40">
            <w:pPr>
              <w:pStyle w:val="150"/>
            </w:pPr>
            <w:r>
              <w:rPr>
                <w:rFonts w:hint="eastAsia"/>
              </w:rPr>
              <w:t>策略状态</w:t>
            </w:r>
          </w:p>
        </w:tc>
      </w:tr>
      <w:tr w14:paraId="1F1E22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B42BE66">
            <w:pPr>
              <w:pStyle w:val="150"/>
            </w:pPr>
            <w:r>
              <w:rPr>
                <w:rFonts w:hint="eastAsia"/>
              </w:rPr>
              <w:t>防护配置</w:t>
            </w:r>
          </w:p>
        </w:tc>
        <w:tc>
          <w:tcPr>
            <w:tcW w:w="6542" w:type="dxa"/>
            <w:shd w:val="clear" w:color="auto" w:fill="auto"/>
          </w:tcPr>
          <w:p w14:paraId="3A8F1B7B">
            <w:pPr>
              <w:pStyle w:val="150"/>
            </w:pPr>
            <w:r>
              <w:rPr>
                <w:rFonts w:hint="eastAsia"/>
              </w:rPr>
              <w:t>策略启用的防护类型</w:t>
            </w:r>
          </w:p>
        </w:tc>
      </w:tr>
    </w:tbl>
    <w:p w14:paraId="620BAF3F"/>
    <w:p w14:paraId="754EDBC6">
      <w:pPr>
        <w:pStyle w:val="193"/>
      </w:pPr>
      <w:r>
        <w:rPr>
          <w:lang w:eastAsia="zh-CN"/>
        </w:rPr>
        <w:drawing>
          <wp:inline distT="0" distB="0" distL="0" distR="0">
            <wp:extent cx="590550" cy="238125"/>
            <wp:effectExtent l="19050" t="0" r="0" b="0"/>
            <wp:docPr id="535" name="图片 535"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535" descr="说明"/>
                    <pic:cNvPicPr>
                      <a:picLocks noChangeAspect="1" noChangeArrowheads="1"/>
                    </pic:cNvPicPr>
                  </pic:nvPicPr>
                  <pic:blipFill>
                    <a:blip r:embed="rId92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14:paraId="6D523D9A">
      <w:pPr>
        <w:pStyle w:val="194"/>
        <w:rPr>
          <w:lang w:eastAsia="zh-CN"/>
        </w:rPr>
      </w:pPr>
      <w:r>
        <w:rPr>
          <w:rFonts w:hint="eastAsia"/>
          <w:lang w:eastAsia="zh-CN"/>
        </w:rPr>
        <w:t>Web防护的优先级是精确访问控制、规则防护、防盗链、CSRF攻击防护、CC攻击防护、网页防篡改、应用隐藏，在未阻断情况下依次防护。</w:t>
      </w:r>
    </w:p>
    <w:p w14:paraId="071234C2"/>
    <w:p w14:paraId="607EBB09">
      <w:pPr>
        <w:pStyle w:val="6"/>
      </w:pPr>
      <w:r>
        <w:rPr>
          <w:rFonts w:hint="eastAsia"/>
        </w:rPr>
        <w:t>精确访问控制</w:t>
      </w:r>
    </w:p>
    <w:p w14:paraId="78DA29D3">
      <w:r>
        <w:rPr>
          <w:rFonts w:hint="eastAsia"/>
        </w:rPr>
        <w:t>精确访问控制是指用户可以根据自己的防护需求，自行定义一些防护规则，用于控制客户端的访问。这些规则不同于引擎规则，主要是基于HTTP协议头部的检测规则，可以实现黑白名单、封禁特定的URL等功能。</w:t>
      </w:r>
    </w:p>
    <w:p w14:paraId="64837085">
      <w:pPr>
        <w:rPr>
          <w:bCs/>
          <w:sz w:val="30"/>
          <w:szCs w:val="44"/>
        </w:rPr>
      </w:pPr>
      <w:r>
        <w:rPr>
          <w:rFonts w:hint="eastAsia"/>
        </w:rPr>
        <w:t>在防护策略页面“新建策略&gt;防护配置”，进入配置界面。点击“精确访问控制”出现规则防护配置页面。</w:t>
      </w:r>
    </w:p>
    <w:p w14:paraId="21809BAC">
      <w:pPr>
        <w:pStyle w:val="188"/>
      </w:pPr>
      <w:r>
        <w:rPr>
          <w:rFonts w:hint="eastAsia"/>
        </w:rPr>
        <w:t>精确访问控制配置界面</w:t>
      </w:r>
    </w:p>
    <w:p w14:paraId="5DE0EAE7">
      <w:r>
        <w:drawing>
          <wp:inline distT="0" distB="0" distL="0" distR="0">
            <wp:extent cx="5400040" cy="961390"/>
            <wp:effectExtent l="0" t="0" r="0" b="0"/>
            <wp:docPr id="574"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574"/>
                    <pic:cNvPicPr>
                      <a:picLocks noChangeAspect="1"/>
                    </pic:cNvPicPr>
                  </pic:nvPicPr>
                  <pic:blipFill>
                    <a:blip r:embed="rId927"/>
                    <a:stretch>
                      <a:fillRect/>
                    </a:stretch>
                  </pic:blipFill>
                  <pic:spPr>
                    <a:xfrm>
                      <a:off x="0" y="0"/>
                      <a:ext cx="5400040" cy="961676"/>
                    </a:xfrm>
                    <a:prstGeom prst="rect">
                      <a:avLst/>
                    </a:prstGeom>
                  </pic:spPr>
                </pic:pic>
              </a:graphicData>
            </a:graphic>
          </wp:inline>
        </w:drawing>
      </w:r>
    </w:p>
    <w:p w14:paraId="18A07C75"/>
    <w:p w14:paraId="5FD3547E">
      <w:pPr>
        <w:pStyle w:val="183"/>
      </w:pPr>
      <w:r>
        <w:rPr>
          <w:rFonts w:hint="eastAsia"/>
        </w:rPr>
        <w:t>精确访问控制配置界面详细描述表</w:t>
      </w:r>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90"/>
        <w:gridCol w:w="6542"/>
      </w:tblGrid>
      <w:tr w14:paraId="04330D5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495D4442">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42" w:type="dxa"/>
            <w:tcBorders>
              <w:tl2br w:val="nil"/>
              <w:tr2bl w:val="nil"/>
            </w:tcBorders>
            <w:shd w:val="clear" w:color="auto" w:fill="538135" w:themeFill="accent6" w:themeFillShade="BF"/>
            <w:vAlign w:val="center"/>
          </w:tcPr>
          <w:p w14:paraId="1A1073B1">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5E1598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35948E3D">
            <w:pPr>
              <w:pStyle w:val="150"/>
            </w:pPr>
            <w:r>
              <w:rPr>
                <w:rFonts w:hint="eastAsia"/>
              </w:rPr>
              <w:t>启用</w:t>
            </w:r>
          </w:p>
        </w:tc>
        <w:tc>
          <w:tcPr>
            <w:tcW w:w="6542" w:type="dxa"/>
            <w:shd w:val="clear" w:color="auto" w:fill="auto"/>
          </w:tcPr>
          <w:p w14:paraId="1F2191C1">
            <w:pPr>
              <w:pStyle w:val="150"/>
            </w:pPr>
            <w:r>
              <w:rPr>
                <w:rFonts w:hint="eastAsia"/>
              </w:rPr>
              <w:t>启用禁用精确访问控制</w:t>
            </w:r>
          </w:p>
        </w:tc>
      </w:tr>
      <w:tr w14:paraId="4670E5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11355828">
            <w:pPr>
              <w:pStyle w:val="150"/>
            </w:pPr>
            <w:r>
              <w:rPr>
                <w:rFonts w:hint="eastAsia"/>
              </w:rPr>
              <w:t>I</w:t>
            </w:r>
            <w:r>
              <w:t>D</w:t>
            </w:r>
          </w:p>
        </w:tc>
        <w:tc>
          <w:tcPr>
            <w:tcW w:w="6542" w:type="dxa"/>
            <w:shd w:val="clear" w:color="auto" w:fill="auto"/>
          </w:tcPr>
          <w:p w14:paraId="4683B984">
            <w:pPr>
              <w:pStyle w:val="150"/>
            </w:pPr>
            <w:r>
              <w:rPr>
                <w:rFonts w:hint="eastAsia"/>
              </w:rPr>
              <w:t>规则I</w:t>
            </w:r>
            <w:r>
              <w:t>D</w:t>
            </w:r>
          </w:p>
        </w:tc>
      </w:tr>
      <w:tr w14:paraId="78870D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19" w:hRule="atLeast"/>
        </w:trPr>
        <w:tc>
          <w:tcPr>
            <w:tcW w:w="2490" w:type="dxa"/>
            <w:shd w:val="clear" w:color="auto" w:fill="auto"/>
          </w:tcPr>
          <w:p w14:paraId="742621CF">
            <w:pPr>
              <w:pStyle w:val="150"/>
            </w:pPr>
            <w:r>
              <w:rPr>
                <w:rFonts w:hint="eastAsia"/>
              </w:rPr>
              <w:t>匹配条件</w:t>
            </w:r>
          </w:p>
        </w:tc>
        <w:tc>
          <w:tcPr>
            <w:tcW w:w="6542" w:type="dxa"/>
            <w:shd w:val="clear" w:color="auto" w:fill="auto"/>
          </w:tcPr>
          <w:p w14:paraId="75EBF79C">
            <w:pPr>
              <w:pStyle w:val="150"/>
            </w:pPr>
            <w:r>
              <w:rPr>
                <w:rFonts w:hint="eastAsia"/>
              </w:rPr>
              <w:t>规则匹配条件</w:t>
            </w:r>
          </w:p>
        </w:tc>
      </w:tr>
      <w:tr w14:paraId="3A762A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028CA6F">
            <w:pPr>
              <w:pStyle w:val="150"/>
            </w:pPr>
            <w:r>
              <w:rPr>
                <w:rFonts w:hint="eastAsia"/>
              </w:rPr>
              <w:t>处理动作</w:t>
            </w:r>
          </w:p>
        </w:tc>
        <w:tc>
          <w:tcPr>
            <w:tcW w:w="6542" w:type="dxa"/>
            <w:shd w:val="clear" w:color="auto" w:fill="auto"/>
          </w:tcPr>
          <w:p w14:paraId="67EAEC3F">
            <w:pPr>
              <w:pStyle w:val="150"/>
            </w:pPr>
            <w:r>
              <w:rPr>
                <w:rFonts w:hint="eastAsia"/>
              </w:rPr>
              <w:t>精确访问规则处理动作：允许，拒绝</w:t>
            </w:r>
          </w:p>
        </w:tc>
      </w:tr>
      <w:tr w14:paraId="22210E9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6250A12A">
            <w:pPr>
              <w:pStyle w:val="150"/>
            </w:pPr>
            <w:r>
              <w:rPr>
                <w:rFonts w:hint="eastAsia"/>
              </w:rPr>
              <w:t>日志级别</w:t>
            </w:r>
          </w:p>
        </w:tc>
        <w:tc>
          <w:tcPr>
            <w:tcW w:w="6542" w:type="dxa"/>
            <w:shd w:val="clear" w:color="auto" w:fill="auto"/>
          </w:tcPr>
          <w:p w14:paraId="4A43B26E">
            <w:pPr>
              <w:pStyle w:val="150"/>
            </w:pPr>
            <w:r>
              <w:rPr>
                <w:rFonts w:hint="eastAsia"/>
              </w:rPr>
              <w:t>日志级别</w:t>
            </w:r>
          </w:p>
        </w:tc>
      </w:tr>
      <w:tr w14:paraId="445B1A8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693873AA">
            <w:pPr>
              <w:pStyle w:val="150"/>
            </w:pPr>
            <w:r>
              <w:rPr>
                <w:rFonts w:hint="eastAsia"/>
              </w:rPr>
              <w:t>描述</w:t>
            </w:r>
          </w:p>
        </w:tc>
        <w:tc>
          <w:tcPr>
            <w:tcW w:w="6542" w:type="dxa"/>
            <w:shd w:val="clear" w:color="auto" w:fill="auto"/>
          </w:tcPr>
          <w:p w14:paraId="35BA3A4B">
            <w:pPr>
              <w:pStyle w:val="150"/>
            </w:pPr>
            <w:r>
              <w:rPr>
                <w:rFonts w:hint="eastAsia"/>
              </w:rPr>
              <w:t>精确访问规则描述</w:t>
            </w:r>
          </w:p>
        </w:tc>
      </w:tr>
      <w:tr w14:paraId="495B71C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6165BC0">
            <w:pPr>
              <w:pStyle w:val="150"/>
            </w:pPr>
            <w:r>
              <w:rPr>
                <w:rFonts w:hint="eastAsia"/>
              </w:rPr>
              <w:t>操作</w:t>
            </w:r>
          </w:p>
        </w:tc>
        <w:tc>
          <w:tcPr>
            <w:tcW w:w="6542" w:type="dxa"/>
            <w:shd w:val="clear" w:color="auto" w:fill="auto"/>
          </w:tcPr>
          <w:p w14:paraId="52CACE5C">
            <w:pPr>
              <w:pStyle w:val="150"/>
            </w:pPr>
            <w:r>
              <w:rPr>
                <w:rFonts w:hint="eastAsia"/>
              </w:rPr>
              <w:t>操作动作：编辑，删除</w:t>
            </w:r>
          </w:p>
        </w:tc>
      </w:tr>
    </w:tbl>
    <w:p w14:paraId="54285DF2"/>
    <w:p w14:paraId="2BA8DC6A">
      <w:pPr>
        <w:rPr>
          <w:bCs/>
          <w:sz w:val="30"/>
          <w:szCs w:val="44"/>
        </w:rPr>
      </w:pPr>
      <w:r>
        <w:rPr>
          <w:rFonts w:hint="eastAsia"/>
        </w:rPr>
        <w:t>在精确访问控制页面。点击“新建”弹框出现精确访问控制规则配置页面。</w:t>
      </w:r>
    </w:p>
    <w:p w14:paraId="081C9DA3">
      <w:pPr>
        <w:pStyle w:val="188"/>
      </w:pPr>
      <w:r>
        <w:rPr>
          <w:rFonts w:hint="eastAsia"/>
        </w:rPr>
        <w:t>精确访问控制规则配置界面</w:t>
      </w:r>
    </w:p>
    <w:p w14:paraId="4CD8227F">
      <w:pPr>
        <w:spacing w:before="78" w:after="78"/>
      </w:pPr>
      <w:r>
        <w:drawing>
          <wp:inline distT="0" distB="0" distL="0" distR="0">
            <wp:extent cx="4972050" cy="3089910"/>
            <wp:effectExtent l="0" t="0" r="0" b="0"/>
            <wp:docPr id="1534582016" name="图片 153458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16" name="图片 1534582016"/>
                    <pic:cNvPicPr>
                      <a:picLocks noChangeAspect="1"/>
                    </pic:cNvPicPr>
                  </pic:nvPicPr>
                  <pic:blipFill>
                    <a:blip r:embed="rId928"/>
                    <a:stretch>
                      <a:fillRect/>
                    </a:stretch>
                  </pic:blipFill>
                  <pic:spPr>
                    <a:xfrm>
                      <a:off x="0" y="0"/>
                      <a:ext cx="4980511" cy="3095575"/>
                    </a:xfrm>
                    <a:prstGeom prst="rect">
                      <a:avLst/>
                    </a:prstGeom>
                  </pic:spPr>
                </pic:pic>
              </a:graphicData>
            </a:graphic>
          </wp:inline>
        </w:drawing>
      </w:r>
    </w:p>
    <w:p w14:paraId="1AB04964"/>
    <w:p w14:paraId="77FC4057">
      <w:pPr>
        <w:pStyle w:val="183"/>
      </w:pPr>
      <w:r>
        <w:rPr>
          <w:rFonts w:hint="eastAsia"/>
        </w:rPr>
        <w:t>精确访问控制规则配置界面详细描述表</w:t>
      </w:r>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90"/>
        <w:gridCol w:w="6542"/>
      </w:tblGrid>
      <w:tr w14:paraId="610D72D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233D4098">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42" w:type="dxa"/>
            <w:tcBorders>
              <w:tl2br w:val="nil"/>
              <w:tr2bl w:val="nil"/>
            </w:tcBorders>
            <w:shd w:val="clear" w:color="auto" w:fill="538135" w:themeFill="accent6" w:themeFillShade="BF"/>
            <w:vAlign w:val="center"/>
          </w:tcPr>
          <w:p w14:paraId="7FE3CBC6">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C69FBE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5BFBDBDA">
            <w:pPr>
              <w:pStyle w:val="150"/>
            </w:pPr>
            <w:r>
              <w:rPr>
                <w:rFonts w:hint="eastAsia"/>
              </w:rPr>
              <w:t>检测字段</w:t>
            </w:r>
          </w:p>
        </w:tc>
        <w:tc>
          <w:tcPr>
            <w:tcW w:w="6542" w:type="dxa"/>
            <w:shd w:val="clear" w:color="auto" w:fill="auto"/>
          </w:tcPr>
          <w:p w14:paraId="682E1F0C">
            <w:pPr>
              <w:pStyle w:val="150"/>
            </w:pPr>
            <w:r>
              <w:rPr>
                <w:rFonts w:hint="eastAsia"/>
              </w:rPr>
              <w:t>匹配的检测字段</w:t>
            </w:r>
          </w:p>
        </w:tc>
      </w:tr>
      <w:tr w14:paraId="63FDF4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18F2BADF">
            <w:pPr>
              <w:pStyle w:val="150"/>
            </w:pPr>
            <w:r>
              <w:rPr>
                <w:rFonts w:hint="eastAsia"/>
              </w:rPr>
              <w:t>匹配方式</w:t>
            </w:r>
          </w:p>
        </w:tc>
        <w:tc>
          <w:tcPr>
            <w:tcW w:w="6542" w:type="dxa"/>
            <w:shd w:val="clear" w:color="auto" w:fill="auto"/>
          </w:tcPr>
          <w:p w14:paraId="32F7B595">
            <w:pPr>
              <w:pStyle w:val="150"/>
            </w:pPr>
            <w:r>
              <w:rPr>
                <w:rFonts w:hint="eastAsia"/>
              </w:rPr>
              <w:t>匹配的方式</w:t>
            </w:r>
          </w:p>
        </w:tc>
      </w:tr>
      <w:tr w14:paraId="2D66E4D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0918896">
            <w:pPr>
              <w:pStyle w:val="150"/>
            </w:pPr>
            <w:r>
              <w:rPr>
                <w:rFonts w:hint="eastAsia"/>
              </w:rPr>
              <w:t>匹配内容</w:t>
            </w:r>
          </w:p>
        </w:tc>
        <w:tc>
          <w:tcPr>
            <w:tcW w:w="6542" w:type="dxa"/>
            <w:shd w:val="clear" w:color="auto" w:fill="auto"/>
          </w:tcPr>
          <w:p w14:paraId="0A31A3D5">
            <w:pPr>
              <w:pStyle w:val="150"/>
            </w:pPr>
            <w:r>
              <w:rPr>
                <w:rFonts w:hint="eastAsia"/>
              </w:rPr>
              <w:t>匹配的内容</w:t>
            </w:r>
          </w:p>
        </w:tc>
      </w:tr>
      <w:tr w14:paraId="2B6229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5F65EA5D">
            <w:pPr>
              <w:pStyle w:val="150"/>
            </w:pPr>
            <w:r>
              <w:rPr>
                <w:rFonts w:hint="eastAsia"/>
              </w:rPr>
              <w:t>处理动作</w:t>
            </w:r>
          </w:p>
        </w:tc>
        <w:tc>
          <w:tcPr>
            <w:tcW w:w="6542" w:type="dxa"/>
            <w:shd w:val="clear" w:color="auto" w:fill="auto"/>
          </w:tcPr>
          <w:p w14:paraId="63DCDEF4">
            <w:pPr>
              <w:pStyle w:val="150"/>
            </w:pPr>
            <w:r>
              <w:rPr>
                <w:rFonts w:hint="eastAsia"/>
              </w:rPr>
              <w:t>动作：允许，拒绝</w:t>
            </w:r>
          </w:p>
        </w:tc>
      </w:tr>
      <w:tr w14:paraId="6F9CF9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6FDC454A">
            <w:pPr>
              <w:pStyle w:val="150"/>
            </w:pPr>
            <w:r>
              <w:rPr>
                <w:rFonts w:hint="eastAsia"/>
              </w:rPr>
              <w:t>不再继续安全检查</w:t>
            </w:r>
          </w:p>
        </w:tc>
        <w:tc>
          <w:tcPr>
            <w:tcW w:w="6542" w:type="dxa"/>
            <w:shd w:val="clear" w:color="auto" w:fill="auto"/>
          </w:tcPr>
          <w:p w14:paraId="705B0A09">
            <w:pPr>
              <w:pStyle w:val="150"/>
            </w:pPr>
            <w:r>
              <w:rPr>
                <w:rFonts w:hint="eastAsia"/>
              </w:rPr>
              <w:t>其他W</w:t>
            </w:r>
            <w:r>
              <w:t>AF</w:t>
            </w:r>
            <w:r>
              <w:rPr>
                <w:rFonts w:hint="eastAsia"/>
              </w:rPr>
              <w:t>安全模块是否继续检查报文</w:t>
            </w:r>
          </w:p>
        </w:tc>
      </w:tr>
      <w:tr w14:paraId="389171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42325CE">
            <w:pPr>
              <w:pStyle w:val="150"/>
            </w:pPr>
            <w:r>
              <w:rPr>
                <w:rFonts w:hint="eastAsia"/>
              </w:rPr>
              <w:t>日志级别</w:t>
            </w:r>
          </w:p>
        </w:tc>
        <w:tc>
          <w:tcPr>
            <w:tcW w:w="6542" w:type="dxa"/>
            <w:shd w:val="clear" w:color="auto" w:fill="auto"/>
          </w:tcPr>
          <w:p w14:paraId="036E4674">
            <w:pPr>
              <w:pStyle w:val="150"/>
            </w:pPr>
            <w:r>
              <w:rPr>
                <w:rFonts w:hint="eastAsia"/>
              </w:rPr>
              <w:t>日志级别设置</w:t>
            </w:r>
          </w:p>
        </w:tc>
      </w:tr>
      <w:tr w14:paraId="78B84D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3ECCB497">
            <w:pPr>
              <w:pStyle w:val="150"/>
            </w:pPr>
            <w:r>
              <w:rPr>
                <w:rFonts w:hint="eastAsia"/>
              </w:rPr>
              <w:t>描述</w:t>
            </w:r>
          </w:p>
        </w:tc>
        <w:tc>
          <w:tcPr>
            <w:tcW w:w="6542" w:type="dxa"/>
            <w:shd w:val="clear" w:color="auto" w:fill="auto"/>
          </w:tcPr>
          <w:p w14:paraId="4E38EBBB">
            <w:pPr>
              <w:pStyle w:val="150"/>
            </w:pPr>
            <w:r>
              <w:rPr>
                <w:rFonts w:hint="eastAsia"/>
              </w:rPr>
              <w:t>规则描述</w:t>
            </w:r>
          </w:p>
        </w:tc>
      </w:tr>
      <w:tr w14:paraId="3EF0FE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518EC99B">
            <w:pPr>
              <w:pStyle w:val="150"/>
            </w:pPr>
            <w:r>
              <w:rPr>
                <w:rFonts w:hint="eastAsia"/>
              </w:rPr>
              <w:t>启用</w:t>
            </w:r>
          </w:p>
        </w:tc>
        <w:tc>
          <w:tcPr>
            <w:tcW w:w="6542" w:type="dxa"/>
            <w:shd w:val="clear" w:color="auto" w:fill="auto"/>
          </w:tcPr>
          <w:p w14:paraId="6DD9286E">
            <w:pPr>
              <w:pStyle w:val="150"/>
            </w:pPr>
            <w:r>
              <w:rPr>
                <w:rFonts w:hint="eastAsia"/>
              </w:rPr>
              <w:t>开启禁用规则</w:t>
            </w:r>
          </w:p>
        </w:tc>
      </w:tr>
    </w:tbl>
    <w:p w14:paraId="3E50BB8E"/>
    <w:p w14:paraId="3A381273">
      <w:pPr>
        <w:pStyle w:val="6"/>
      </w:pPr>
      <w:r>
        <w:rPr>
          <w:rFonts w:hint="eastAsia"/>
        </w:rPr>
        <w:t>规则防护</w:t>
      </w:r>
    </w:p>
    <w:p w14:paraId="142893C8">
      <w:r>
        <w:rPr>
          <w:rFonts w:hint="eastAsia"/>
        </w:rPr>
        <w:t>支持多种类型攻击防护（规则分类）</w:t>
      </w:r>
    </w:p>
    <w:p w14:paraId="73BA1680">
      <w:pPr>
        <w:pStyle w:val="162"/>
      </w:pPr>
      <w:r>
        <w:rPr>
          <w:rFonts w:hint="eastAsia"/>
        </w:rPr>
        <w:t>HTTP协议检查。</w:t>
      </w:r>
    </w:p>
    <w:p w14:paraId="44FE2B34">
      <w:pPr>
        <w:pStyle w:val="162"/>
      </w:pPr>
      <w:r>
        <w:rPr>
          <w:rFonts w:hint="eastAsia"/>
        </w:rPr>
        <w:t>SQL注入攻击防护。</w:t>
      </w:r>
    </w:p>
    <w:p w14:paraId="65CC49B9">
      <w:pPr>
        <w:pStyle w:val="162"/>
      </w:pPr>
      <w:r>
        <w:rPr>
          <w:rFonts w:hint="eastAsia"/>
        </w:rPr>
        <w:t>XSS攻击防护。</w:t>
      </w:r>
    </w:p>
    <w:p w14:paraId="69352442">
      <w:pPr>
        <w:pStyle w:val="162"/>
      </w:pPr>
      <w:r>
        <w:rPr>
          <w:rFonts w:hint="eastAsia"/>
        </w:rPr>
        <w:t>目录遍历防护。</w:t>
      </w:r>
    </w:p>
    <w:p w14:paraId="36BCE0F4">
      <w:pPr>
        <w:pStyle w:val="162"/>
      </w:pPr>
      <w:r>
        <w:rPr>
          <w:rFonts w:hint="eastAsia"/>
        </w:rPr>
        <w:t>恶意扫描与爬虫防护。</w:t>
      </w:r>
    </w:p>
    <w:p w14:paraId="070EB67A">
      <w:pPr>
        <w:pStyle w:val="162"/>
      </w:pPr>
      <w:r>
        <w:rPr>
          <w:rFonts w:hint="eastAsia"/>
        </w:rPr>
        <w:t>木马防护。</w:t>
      </w:r>
    </w:p>
    <w:p w14:paraId="5A7B24E2">
      <w:pPr>
        <w:pStyle w:val="162"/>
      </w:pPr>
      <w:r>
        <w:rPr>
          <w:rFonts w:hint="eastAsia"/>
        </w:rPr>
        <w:t>敏感信息泄漏防护。</w:t>
      </w:r>
    </w:p>
    <w:p w14:paraId="4142E5A4">
      <w:pPr>
        <w:pStyle w:val="162"/>
      </w:pPr>
      <w:r>
        <w:rPr>
          <w:rFonts w:hint="eastAsia"/>
        </w:rPr>
        <w:t>会话劫持防护。</w:t>
      </w:r>
    </w:p>
    <w:p w14:paraId="3E70A1DD">
      <w:pPr>
        <w:pStyle w:val="162"/>
      </w:pPr>
      <w:r>
        <w:rPr>
          <w:rFonts w:hint="eastAsia"/>
        </w:rPr>
        <w:t>文件上传防病毒扫描。</w:t>
      </w:r>
    </w:p>
    <w:p w14:paraId="01FE7A99">
      <w:pPr>
        <w:pStyle w:val="162"/>
      </w:pPr>
      <w:r>
        <w:rPr>
          <w:rFonts w:hint="eastAsia"/>
        </w:rPr>
        <w:t>其他攻击防护（命令执行，代码执行，文件包含、会话固定、HTTP响应拆分等相关规则）</w:t>
      </w:r>
    </w:p>
    <w:p w14:paraId="1AB1F4DC"/>
    <w:p w14:paraId="380B5505">
      <w:r>
        <w:rPr>
          <w:rFonts w:hint="eastAsia"/>
        </w:rPr>
        <w:t>在防护策略页面“新建策略&gt;防护配置”，进入配置界面。点击“规则防护”出现规则防护配置页面。</w:t>
      </w:r>
    </w:p>
    <w:p w14:paraId="25C97B08">
      <w:pPr>
        <w:pStyle w:val="188"/>
      </w:pPr>
      <w:r>
        <w:rPr>
          <w:rFonts w:hint="eastAsia"/>
        </w:rPr>
        <w:t>规则防护配置界面</w:t>
      </w:r>
    </w:p>
    <w:p w14:paraId="3D81B00F">
      <w:r>
        <w:drawing>
          <wp:inline distT="0" distB="0" distL="0" distR="0">
            <wp:extent cx="5400040" cy="1786255"/>
            <wp:effectExtent l="0" t="0" r="0" b="4445"/>
            <wp:docPr id="1534582019" name="图片 153458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19" name="图片 1534582019"/>
                    <pic:cNvPicPr>
                      <a:picLocks noChangeAspect="1"/>
                    </pic:cNvPicPr>
                  </pic:nvPicPr>
                  <pic:blipFill>
                    <a:blip r:embed="rId929"/>
                    <a:stretch>
                      <a:fillRect/>
                    </a:stretch>
                  </pic:blipFill>
                  <pic:spPr>
                    <a:xfrm>
                      <a:off x="0" y="0"/>
                      <a:ext cx="5400040" cy="1786856"/>
                    </a:xfrm>
                    <a:prstGeom prst="rect">
                      <a:avLst/>
                    </a:prstGeom>
                  </pic:spPr>
                </pic:pic>
              </a:graphicData>
            </a:graphic>
          </wp:inline>
        </w:drawing>
      </w:r>
    </w:p>
    <w:p w14:paraId="334BF43C"/>
    <w:p w14:paraId="03E571E6">
      <w:pPr>
        <w:pStyle w:val="183"/>
      </w:pPr>
      <w:r>
        <w:rPr>
          <w:rFonts w:hint="eastAsia"/>
        </w:rPr>
        <w:t>规则防护配置界面详细描述表</w:t>
      </w:r>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90"/>
        <w:gridCol w:w="6542"/>
      </w:tblGrid>
      <w:tr w14:paraId="10D843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144F3EB4">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42" w:type="dxa"/>
            <w:tcBorders>
              <w:tl2br w:val="nil"/>
              <w:tr2bl w:val="nil"/>
            </w:tcBorders>
            <w:shd w:val="clear" w:color="auto" w:fill="538135" w:themeFill="accent6" w:themeFillShade="BF"/>
            <w:vAlign w:val="center"/>
          </w:tcPr>
          <w:p w14:paraId="3F253112">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0D5F7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539F75CD">
            <w:pPr>
              <w:pStyle w:val="150"/>
            </w:pPr>
            <w:r>
              <w:rPr>
                <w:rFonts w:hint="eastAsia"/>
              </w:rPr>
              <w:t>启用</w:t>
            </w:r>
          </w:p>
        </w:tc>
        <w:tc>
          <w:tcPr>
            <w:tcW w:w="6542" w:type="dxa"/>
            <w:shd w:val="clear" w:color="auto" w:fill="auto"/>
          </w:tcPr>
          <w:p w14:paraId="27772512">
            <w:pPr>
              <w:pStyle w:val="150"/>
            </w:pPr>
            <w:r>
              <w:rPr>
                <w:rFonts w:hint="eastAsia"/>
              </w:rPr>
              <w:t>开启关闭规则防护</w:t>
            </w:r>
          </w:p>
        </w:tc>
      </w:tr>
      <w:tr w14:paraId="7637A57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4B74CEC6">
            <w:pPr>
              <w:pStyle w:val="150"/>
            </w:pPr>
            <w:r>
              <w:rPr>
                <w:rFonts w:hint="eastAsia"/>
              </w:rPr>
              <w:t>日志</w:t>
            </w:r>
          </w:p>
        </w:tc>
        <w:tc>
          <w:tcPr>
            <w:tcW w:w="6542" w:type="dxa"/>
            <w:shd w:val="clear" w:color="auto" w:fill="auto"/>
          </w:tcPr>
          <w:p w14:paraId="5B2D5C38">
            <w:pPr>
              <w:pStyle w:val="150"/>
            </w:pPr>
            <w:r>
              <w:rPr>
                <w:rFonts w:hint="eastAsia"/>
              </w:rPr>
              <w:t>开启关闭日志</w:t>
            </w:r>
          </w:p>
        </w:tc>
      </w:tr>
      <w:tr w14:paraId="4B3069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4FD386E5">
            <w:pPr>
              <w:pStyle w:val="150"/>
            </w:pPr>
            <w:r>
              <w:rPr>
                <w:rFonts w:hint="eastAsia"/>
              </w:rPr>
              <w:t>防护等级</w:t>
            </w:r>
          </w:p>
        </w:tc>
        <w:tc>
          <w:tcPr>
            <w:tcW w:w="6542" w:type="dxa"/>
            <w:shd w:val="clear" w:color="auto" w:fill="auto"/>
          </w:tcPr>
          <w:p w14:paraId="00EACFBE">
            <w:pPr>
              <w:pStyle w:val="150"/>
            </w:pPr>
            <w:r>
              <w:rPr>
                <w:rFonts w:hint="eastAsia"/>
              </w:rPr>
              <w:t>默认规则库模板选择</w:t>
            </w:r>
          </w:p>
        </w:tc>
      </w:tr>
      <w:tr w14:paraId="0E3130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1B5091B7">
            <w:pPr>
              <w:pStyle w:val="150"/>
            </w:pPr>
            <w:r>
              <w:rPr>
                <w:rFonts w:hint="eastAsia"/>
              </w:rPr>
              <w:t>防护类型</w:t>
            </w:r>
          </w:p>
        </w:tc>
        <w:tc>
          <w:tcPr>
            <w:tcW w:w="6542" w:type="dxa"/>
            <w:shd w:val="clear" w:color="auto" w:fill="auto"/>
          </w:tcPr>
          <w:p w14:paraId="7CF2EB13">
            <w:pPr>
              <w:pStyle w:val="150"/>
            </w:pPr>
            <w:r>
              <w:rPr>
                <w:rFonts w:hint="eastAsia"/>
              </w:rPr>
              <w:t>规则库自定义规则选择</w:t>
            </w:r>
          </w:p>
        </w:tc>
      </w:tr>
    </w:tbl>
    <w:p w14:paraId="1025A249"/>
    <w:p w14:paraId="0ECF95E7">
      <w:pPr>
        <w:rPr>
          <w:bCs/>
          <w:sz w:val="30"/>
          <w:szCs w:val="44"/>
        </w:rPr>
      </w:pPr>
      <w:r>
        <w:rPr>
          <w:rFonts w:hint="eastAsia"/>
        </w:rPr>
        <w:t>在规则防护配置界面击“防护类型”后面的蓝色超链接，弹框出现防护类型配置页面，从规则防护列表中选择适用于此条规则的防护类型及防护动作。可以选择规则组，也可以在规则组名称左侧点击</w:t>
      </w:r>
      <w:r>
        <w:drawing>
          <wp:inline distT="0" distB="0" distL="0" distR="0">
            <wp:extent cx="85725" cy="76200"/>
            <wp:effectExtent l="0" t="0" r="9525" b="0"/>
            <wp:docPr id="1534582021" name="图片 153458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21" name="图片 1534582021"/>
                    <pic:cNvPicPr>
                      <a:picLocks noChangeAspect="1"/>
                    </pic:cNvPicPr>
                  </pic:nvPicPr>
                  <pic:blipFill>
                    <a:blip r:embed="rId930"/>
                    <a:stretch>
                      <a:fillRect/>
                    </a:stretch>
                  </pic:blipFill>
                  <pic:spPr>
                    <a:xfrm>
                      <a:off x="0" y="0"/>
                      <a:ext cx="85725" cy="76200"/>
                    </a:xfrm>
                    <a:prstGeom prst="rect">
                      <a:avLst/>
                    </a:prstGeom>
                  </pic:spPr>
                </pic:pic>
              </a:graphicData>
            </a:graphic>
          </wp:inline>
        </w:drawing>
      </w:r>
      <w:r>
        <w:rPr>
          <w:rFonts w:hint="eastAsia"/>
        </w:rPr>
        <w:t>图标展开规则组后，选择特定的规则条目。</w:t>
      </w:r>
    </w:p>
    <w:p w14:paraId="4CB6680E">
      <w:pPr>
        <w:pStyle w:val="188"/>
      </w:pPr>
      <w:r>
        <w:rPr>
          <w:rFonts w:hint="eastAsia"/>
        </w:rPr>
        <w:t>防护类型配置界面</w:t>
      </w:r>
    </w:p>
    <w:p w14:paraId="0CC2B037">
      <w:r>
        <w:drawing>
          <wp:inline distT="0" distB="0" distL="0" distR="0">
            <wp:extent cx="5543550" cy="3146425"/>
            <wp:effectExtent l="0" t="0" r="0" b="0"/>
            <wp:docPr id="1534582022" name="图片 153458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22" name="图片 1534582022"/>
                    <pic:cNvPicPr>
                      <a:picLocks noChangeAspect="1"/>
                    </pic:cNvPicPr>
                  </pic:nvPicPr>
                  <pic:blipFill>
                    <a:blip r:embed="rId931"/>
                    <a:stretch>
                      <a:fillRect/>
                    </a:stretch>
                  </pic:blipFill>
                  <pic:spPr>
                    <a:xfrm>
                      <a:off x="0" y="0"/>
                      <a:ext cx="5550788" cy="3151148"/>
                    </a:xfrm>
                    <a:prstGeom prst="rect">
                      <a:avLst/>
                    </a:prstGeom>
                  </pic:spPr>
                </pic:pic>
              </a:graphicData>
            </a:graphic>
          </wp:inline>
        </w:drawing>
      </w:r>
    </w:p>
    <w:p w14:paraId="23EEDA44"/>
    <w:p w14:paraId="1D382398">
      <w:pPr>
        <w:pStyle w:val="6"/>
      </w:pPr>
      <w:r>
        <w:rPr>
          <w:rFonts w:hint="eastAsia"/>
        </w:rPr>
        <w:t>防盗链</w:t>
      </w:r>
    </w:p>
    <w:p w14:paraId="0DBA3D3D">
      <w:r>
        <w:rPr>
          <w:rFonts w:hint="eastAsia"/>
        </w:rPr>
        <w:t>盗链是指某些网站自己并没有存储内容，其资源，比如图片和文件，都是通过技术手段从其它网站盗取的。防盗链也就是禁止其它网站盗用本网站的链接，这样不仅可以避免对本网站利益的损害，还可以减轻服务器的负担。</w:t>
      </w:r>
    </w:p>
    <w:p w14:paraId="3CCBF76C">
      <w:r>
        <w:rPr>
          <w:rFonts w:hint="eastAsia"/>
        </w:rPr>
        <w:t>Web防护通过检查HTTP请求头部的referer字段来判断是否为盗链行为。该字段会存储访问目的网页的来源网页，如果该字段不为空，且其值不是允许的入口时，就认为是盗链。</w:t>
      </w:r>
    </w:p>
    <w:p w14:paraId="77DFAECA">
      <w:r>
        <w:rPr>
          <w:rFonts w:hint="eastAsia"/>
        </w:rPr>
        <w:t>防盗链支持全站防盗链、对指定的URL防盗链和对指定的文件类型防盗链。</w:t>
      </w:r>
    </w:p>
    <w:p w14:paraId="5B41834D"/>
    <w:p w14:paraId="7B570DFD">
      <w:pPr>
        <w:rPr>
          <w:bCs/>
          <w:sz w:val="30"/>
          <w:szCs w:val="44"/>
        </w:rPr>
      </w:pPr>
      <w:r>
        <w:rPr>
          <w:rFonts w:hint="eastAsia"/>
        </w:rPr>
        <w:t>在防护策略页面选择“新建策略&gt;防护配置”，进入配置界面。点击“防盗链”出现防盗链配置页面。</w:t>
      </w:r>
    </w:p>
    <w:p w14:paraId="55C0AE20">
      <w:pPr>
        <w:pStyle w:val="188"/>
      </w:pPr>
      <w:r>
        <w:rPr>
          <w:rFonts w:hint="eastAsia"/>
        </w:rPr>
        <w:t>防盗链配置界面</w:t>
      </w:r>
    </w:p>
    <w:p w14:paraId="5BE4EE58">
      <w:r>
        <w:drawing>
          <wp:inline distT="0" distB="0" distL="0" distR="0">
            <wp:extent cx="5400040" cy="2656205"/>
            <wp:effectExtent l="0" t="0" r="0" b="0"/>
            <wp:docPr id="1534582025" name="图片 153458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25" name="图片 1534582025"/>
                    <pic:cNvPicPr>
                      <a:picLocks noChangeAspect="1"/>
                    </pic:cNvPicPr>
                  </pic:nvPicPr>
                  <pic:blipFill>
                    <a:blip r:embed="rId932"/>
                    <a:stretch>
                      <a:fillRect/>
                    </a:stretch>
                  </pic:blipFill>
                  <pic:spPr>
                    <a:xfrm>
                      <a:off x="0" y="0"/>
                      <a:ext cx="5400040" cy="2656306"/>
                    </a:xfrm>
                    <a:prstGeom prst="rect">
                      <a:avLst/>
                    </a:prstGeom>
                  </pic:spPr>
                </pic:pic>
              </a:graphicData>
            </a:graphic>
          </wp:inline>
        </w:drawing>
      </w:r>
    </w:p>
    <w:p w14:paraId="7898954F"/>
    <w:p w14:paraId="10A4F4C2">
      <w:pPr>
        <w:pStyle w:val="183"/>
      </w:pPr>
      <w:r>
        <w:rPr>
          <w:rFonts w:hint="eastAsia"/>
        </w:rPr>
        <w:t>防盗链配置界面详细描述表</w:t>
      </w:r>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90"/>
        <w:gridCol w:w="6542"/>
      </w:tblGrid>
      <w:tr w14:paraId="1638CC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234E7019">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42" w:type="dxa"/>
            <w:tcBorders>
              <w:tl2br w:val="nil"/>
              <w:tr2bl w:val="nil"/>
            </w:tcBorders>
            <w:shd w:val="clear" w:color="auto" w:fill="538135" w:themeFill="accent6" w:themeFillShade="BF"/>
            <w:vAlign w:val="center"/>
          </w:tcPr>
          <w:p w14:paraId="132F3CB6">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B5CAA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1C099DFF">
            <w:pPr>
              <w:pStyle w:val="150"/>
            </w:pPr>
            <w:r>
              <w:rPr>
                <w:rFonts w:hint="eastAsia"/>
              </w:rPr>
              <w:t>启用</w:t>
            </w:r>
          </w:p>
        </w:tc>
        <w:tc>
          <w:tcPr>
            <w:tcW w:w="6542" w:type="dxa"/>
            <w:shd w:val="clear" w:color="auto" w:fill="auto"/>
          </w:tcPr>
          <w:p w14:paraId="37FEF729">
            <w:pPr>
              <w:pStyle w:val="150"/>
            </w:pPr>
            <w:r>
              <w:rPr>
                <w:rFonts w:hint="eastAsia"/>
              </w:rPr>
              <w:t>启用禁用防盗链功能</w:t>
            </w:r>
          </w:p>
        </w:tc>
      </w:tr>
      <w:tr w14:paraId="7B56E2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3CFB2DBD">
            <w:pPr>
              <w:pStyle w:val="150"/>
            </w:pPr>
            <w:r>
              <w:rPr>
                <w:rFonts w:hint="eastAsia"/>
              </w:rPr>
              <w:t>防护范围</w:t>
            </w:r>
          </w:p>
        </w:tc>
        <w:tc>
          <w:tcPr>
            <w:tcW w:w="6542" w:type="dxa"/>
            <w:shd w:val="clear" w:color="auto" w:fill="auto"/>
          </w:tcPr>
          <w:p w14:paraId="0B168E1F">
            <w:pPr>
              <w:pStyle w:val="150"/>
            </w:pPr>
            <w:r>
              <w:rPr>
                <w:rFonts w:hint="eastAsia"/>
              </w:rPr>
              <w:t>范围：全站，指定U</w:t>
            </w:r>
            <w:r>
              <w:t>RL</w:t>
            </w:r>
            <w:r>
              <w:rPr>
                <w:rFonts w:hint="eastAsia"/>
              </w:rPr>
              <w:t>，指定文件类型</w:t>
            </w:r>
          </w:p>
        </w:tc>
      </w:tr>
      <w:tr w14:paraId="27AE8BA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4F346FCD">
            <w:pPr>
              <w:pStyle w:val="150"/>
            </w:pPr>
            <w:r>
              <w:rPr>
                <w:rFonts w:hint="eastAsia"/>
              </w:rPr>
              <w:t>站点白名单</w:t>
            </w:r>
          </w:p>
        </w:tc>
        <w:tc>
          <w:tcPr>
            <w:tcW w:w="6542" w:type="dxa"/>
            <w:shd w:val="clear" w:color="auto" w:fill="auto"/>
          </w:tcPr>
          <w:p w14:paraId="29B1DE6C">
            <w:pPr>
              <w:pStyle w:val="150"/>
            </w:pPr>
            <w:r>
              <w:rPr>
                <w:rFonts w:hint="eastAsia"/>
              </w:rPr>
              <w:t>白名单站点</w:t>
            </w:r>
          </w:p>
        </w:tc>
      </w:tr>
      <w:tr w14:paraId="2E064F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6E2F9ABE">
            <w:pPr>
              <w:pStyle w:val="150"/>
            </w:pPr>
            <w:r>
              <w:rPr>
                <w:rFonts w:hint="eastAsia"/>
              </w:rPr>
              <w:t>处理动作</w:t>
            </w:r>
          </w:p>
        </w:tc>
        <w:tc>
          <w:tcPr>
            <w:tcW w:w="6542" w:type="dxa"/>
            <w:shd w:val="clear" w:color="auto" w:fill="auto"/>
          </w:tcPr>
          <w:p w14:paraId="33506382">
            <w:pPr>
              <w:pStyle w:val="150"/>
            </w:pPr>
            <w:r>
              <w:rPr>
                <w:rFonts w:hint="eastAsia"/>
              </w:rPr>
              <w:t>动作：允许，拒绝</w:t>
            </w:r>
          </w:p>
        </w:tc>
      </w:tr>
      <w:tr w14:paraId="29A988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4313F4AD">
            <w:pPr>
              <w:pStyle w:val="150"/>
            </w:pPr>
            <w:r>
              <w:rPr>
                <w:rFonts w:hint="eastAsia"/>
              </w:rPr>
              <w:t>日志级别</w:t>
            </w:r>
          </w:p>
        </w:tc>
        <w:tc>
          <w:tcPr>
            <w:tcW w:w="6542" w:type="dxa"/>
            <w:shd w:val="clear" w:color="auto" w:fill="auto"/>
          </w:tcPr>
          <w:p w14:paraId="6F9E5ED8">
            <w:pPr>
              <w:pStyle w:val="150"/>
            </w:pPr>
            <w:r>
              <w:rPr>
                <w:rFonts w:hint="eastAsia"/>
              </w:rPr>
              <w:t>日志级别设定</w:t>
            </w:r>
          </w:p>
        </w:tc>
      </w:tr>
    </w:tbl>
    <w:p w14:paraId="67D4E656"/>
    <w:p w14:paraId="6D955100">
      <w:pPr>
        <w:pStyle w:val="6"/>
      </w:pPr>
      <w:r>
        <w:rPr>
          <w:rFonts w:hint="eastAsia"/>
        </w:rPr>
        <w:t>CSRF攻击防护</w:t>
      </w:r>
    </w:p>
    <w:p w14:paraId="14514C16">
      <w:pPr>
        <w:rPr>
          <w:rFonts w:ascii="宋体" w:hAnsi="宋体" w:cs="宋体"/>
        </w:rPr>
      </w:pPr>
      <w:r>
        <w:rPr>
          <w:rFonts w:hint="eastAsia"/>
        </w:rPr>
        <w:t>CSRF 攻击可在受害者毫不知情的情况下以受害者名义伪造请求发送给受攻击站点，从而在并未授权的情况下执行在权限保护之下的操作。通过对http头中referer字段的检查，检测并防护此类攻击。通过部署web应用防火墙并对所保护的服务器配置CSRF防御功能，包括防护的url及允许访问的referer，可以有效防止网站受到CSRF攻击</w:t>
      </w:r>
      <w:r>
        <w:rPr>
          <w:rFonts w:hint="eastAsia" w:ascii="宋体" w:hAnsi="宋体" w:cs="宋体"/>
        </w:rPr>
        <w:t>。</w:t>
      </w:r>
    </w:p>
    <w:p w14:paraId="0DE0AECE"/>
    <w:p w14:paraId="7F9EBAE5">
      <w:pPr>
        <w:rPr>
          <w:bCs/>
          <w:sz w:val="30"/>
          <w:szCs w:val="44"/>
        </w:rPr>
      </w:pPr>
      <w:r>
        <w:rPr>
          <w:rFonts w:hint="eastAsia"/>
        </w:rPr>
        <w:t>在防护策略页面选择“新建策略&gt;防护配置”，进入配置界面。点击“C</w:t>
      </w:r>
      <w:r>
        <w:t>SRF</w:t>
      </w:r>
      <w:r>
        <w:rPr>
          <w:rFonts w:hint="eastAsia"/>
        </w:rPr>
        <w:t>攻击防护”出现C</w:t>
      </w:r>
      <w:r>
        <w:t>SRF</w:t>
      </w:r>
      <w:r>
        <w:rPr>
          <w:rFonts w:hint="eastAsia"/>
        </w:rPr>
        <w:t>攻击防护配置页面。</w:t>
      </w:r>
    </w:p>
    <w:p w14:paraId="0774EDE3">
      <w:pPr>
        <w:pStyle w:val="188"/>
      </w:pPr>
      <w:r>
        <w:rPr>
          <w:rFonts w:hint="eastAsia"/>
        </w:rPr>
        <w:t>C</w:t>
      </w:r>
      <w:r>
        <w:t>SRF</w:t>
      </w:r>
      <w:r>
        <w:rPr>
          <w:rFonts w:hint="eastAsia"/>
        </w:rPr>
        <w:t>攻击防护配置界面</w:t>
      </w:r>
    </w:p>
    <w:p w14:paraId="2BD6D956">
      <w:r>
        <w:drawing>
          <wp:inline distT="0" distB="0" distL="0" distR="0">
            <wp:extent cx="5400040" cy="793750"/>
            <wp:effectExtent l="0" t="0" r="0" b="6350"/>
            <wp:docPr id="1534582027" name="图片 153458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27" name="图片 1534582027"/>
                    <pic:cNvPicPr>
                      <a:picLocks noChangeAspect="1"/>
                    </pic:cNvPicPr>
                  </pic:nvPicPr>
                  <pic:blipFill>
                    <a:blip r:embed="rId933"/>
                    <a:stretch>
                      <a:fillRect/>
                    </a:stretch>
                  </pic:blipFill>
                  <pic:spPr>
                    <a:xfrm>
                      <a:off x="0" y="0"/>
                      <a:ext cx="5400040" cy="794375"/>
                    </a:xfrm>
                    <a:prstGeom prst="rect">
                      <a:avLst/>
                    </a:prstGeom>
                  </pic:spPr>
                </pic:pic>
              </a:graphicData>
            </a:graphic>
          </wp:inline>
        </w:drawing>
      </w:r>
    </w:p>
    <w:p w14:paraId="6C5C70BC"/>
    <w:p w14:paraId="315DDADA">
      <w:pPr>
        <w:pStyle w:val="183"/>
      </w:pPr>
      <w:r>
        <w:rPr>
          <w:rFonts w:hint="eastAsia"/>
        </w:rPr>
        <w:t>C</w:t>
      </w:r>
      <w:r>
        <w:t>SRF</w:t>
      </w:r>
      <w:r>
        <w:rPr>
          <w:rFonts w:hint="eastAsia"/>
        </w:rPr>
        <w:t>攻击防护配置界面详细描述表</w:t>
      </w:r>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90"/>
        <w:gridCol w:w="6542"/>
      </w:tblGrid>
      <w:tr w14:paraId="047E0F8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78A1AF17">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42" w:type="dxa"/>
            <w:tcBorders>
              <w:tl2br w:val="nil"/>
              <w:tr2bl w:val="nil"/>
            </w:tcBorders>
            <w:shd w:val="clear" w:color="auto" w:fill="538135" w:themeFill="accent6" w:themeFillShade="BF"/>
            <w:vAlign w:val="center"/>
          </w:tcPr>
          <w:p w14:paraId="6DC6F3A6">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7289BA4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326A15B">
            <w:pPr>
              <w:pStyle w:val="150"/>
            </w:pPr>
            <w:r>
              <w:rPr>
                <w:rFonts w:hint="eastAsia"/>
              </w:rPr>
              <w:t>启用</w:t>
            </w:r>
          </w:p>
        </w:tc>
        <w:tc>
          <w:tcPr>
            <w:tcW w:w="6542" w:type="dxa"/>
            <w:shd w:val="clear" w:color="auto" w:fill="auto"/>
          </w:tcPr>
          <w:p w14:paraId="2C090ECE">
            <w:pPr>
              <w:pStyle w:val="150"/>
            </w:pPr>
            <w:r>
              <w:rPr>
                <w:rFonts w:hint="eastAsia"/>
              </w:rPr>
              <w:t>勾选需要开启防暴力破解功能的服务</w:t>
            </w:r>
          </w:p>
        </w:tc>
      </w:tr>
      <w:tr w14:paraId="2FDCF59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8BCB7B3">
            <w:pPr>
              <w:pStyle w:val="150"/>
            </w:pPr>
            <w:r>
              <w:rPr>
                <w:rFonts w:hint="eastAsia"/>
              </w:rPr>
              <w:t>防护的U</w:t>
            </w:r>
            <w:r>
              <w:t>RL</w:t>
            </w:r>
          </w:p>
        </w:tc>
        <w:tc>
          <w:tcPr>
            <w:tcW w:w="6542" w:type="dxa"/>
            <w:shd w:val="clear" w:color="auto" w:fill="auto"/>
          </w:tcPr>
          <w:p w14:paraId="6AE00998">
            <w:pPr>
              <w:pStyle w:val="150"/>
            </w:pPr>
            <w:r>
              <w:rPr>
                <w:rFonts w:hint="eastAsia"/>
              </w:rPr>
              <w:t>防暴力破解的检测周期</w:t>
            </w:r>
          </w:p>
        </w:tc>
      </w:tr>
      <w:tr w14:paraId="32D81FA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4AC5A480">
            <w:pPr>
              <w:pStyle w:val="150"/>
            </w:pPr>
            <w:r>
              <w:rPr>
                <w:rFonts w:hint="eastAsia"/>
              </w:rPr>
              <w:t>允许的来源U</w:t>
            </w:r>
            <w:r>
              <w:t>RL</w:t>
            </w:r>
          </w:p>
        </w:tc>
        <w:tc>
          <w:tcPr>
            <w:tcW w:w="6542" w:type="dxa"/>
            <w:shd w:val="clear" w:color="auto" w:fill="auto"/>
          </w:tcPr>
          <w:p w14:paraId="1B44A0C3">
            <w:pPr>
              <w:pStyle w:val="150"/>
            </w:pPr>
            <w:r>
              <w:rPr>
                <w:rFonts w:hint="eastAsia"/>
              </w:rPr>
              <w:t>攻击次数，达到阈值触发防暴力破解记录攻击事件</w:t>
            </w:r>
          </w:p>
        </w:tc>
      </w:tr>
      <w:tr w14:paraId="63B095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842EFBC">
            <w:pPr>
              <w:pStyle w:val="150"/>
            </w:pPr>
            <w:r>
              <w:rPr>
                <w:rFonts w:hint="eastAsia"/>
              </w:rPr>
              <w:t>处理动作</w:t>
            </w:r>
          </w:p>
        </w:tc>
        <w:tc>
          <w:tcPr>
            <w:tcW w:w="6542" w:type="dxa"/>
            <w:shd w:val="clear" w:color="auto" w:fill="auto"/>
          </w:tcPr>
          <w:p w14:paraId="2AF3BD44">
            <w:pPr>
              <w:pStyle w:val="150"/>
            </w:pPr>
            <w:r>
              <w:rPr>
                <w:rFonts w:hint="eastAsia"/>
              </w:rPr>
              <w:t>动作：允许，拒绝</w:t>
            </w:r>
          </w:p>
        </w:tc>
      </w:tr>
      <w:tr w14:paraId="29ECB40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08640108">
            <w:pPr>
              <w:pStyle w:val="150"/>
            </w:pPr>
            <w:r>
              <w:rPr>
                <w:rFonts w:hint="eastAsia"/>
              </w:rPr>
              <w:t>日志级别</w:t>
            </w:r>
          </w:p>
        </w:tc>
        <w:tc>
          <w:tcPr>
            <w:tcW w:w="6542" w:type="dxa"/>
            <w:shd w:val="clear" w:color="auto" w:fill="auto"/>
          </w:tcPr>
          <w:p w14:paraId="7F8845DA">
            <w:pPr>
              <w:pStyle w:val="150"/>
            </w:pPr>
            <w:r>
              <w:rPr>
                <w:rFonts w:hint="eastAsia"/>
              </w:rPr>
              <w:t>日志的级别</w:t>
            </w:r>
          </w:p>
        </w:tc>
      </w:tr>
      <w:tr w14:paraId="27F1EC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8C27548">
            <w:pPr>
              <w:pStyle w:val="150"/>
            </w:pPr>
            <w:r>
              <w:rPr>
                <w:rFonts w:hint="eastAsia"/>
              </w:rPr>
              <w:t>操作</w:t>
            </w:r>
          </w:p>
        </w:tc>
        <w:tc>
          <w:tcPr>
            <w:tcW w:w="6542" w:type="dxa"/>
            <w:shd w:val="clear" w:color="auto" w:fill="auto"/>
          </w:tcPr>
          <w:p w14:paraId="571A5313">
            <w:pPr>
              <w:pStyle w:val="150"/>
            </w:pPr>
            <w:r>
              <w:rPr>
                <w:rFonts w:hint="eastAsia"/>
              </w:rPr>
              <w:t>操作动作：编辑，删除</w:t>
            </w:r>
          </w:p>
        </w:tc>
      </w:tr>
    </w:tbl>
    <w:p w14:paraId="071AFE97"/>
    <w:p w14:paraId="31A5AD11">
      <w:pPr>
        <w:rPr>
          <w:bCs/>
          <w:sz w:val="30"/>
          <w:szCs w:val="44"/>
        </w:rPr>
      </w:pPr>
      <w:r>
        <w:rPr>
          <w:rFonts w:hint="eastAsia"/>
        </w:rPr>
        <w:t>在C</w:t>
      </w:r>
      <w:r>
        <w:t>SRF</w:t>
      </w:r>
      <w:r>
        <w:rPr>
          <w:rFonts w:hint="eastAsia"/>
        </w:rPr>
        <w:t>攻击防护页面点击“新建”弹框出现C</w:t>
      </w:r>
      <w:r>
        <w:t>SRF</w:t>
      </w:r>
      <w:r>
        <w:rPr>
          <w:rFonts w:hint="eastAsia"/>
        </w:rPr>
        <w:t>攻击防护规则配置页面。</w:t>
      </w:r>
    </w:p>
    <w:p w14:paraId="3BED2038">
      <w:pPr>
        <w:pStyle w:val="188"/>
      </w:pPr>
      <w:r>
        <w:rPr>
          <w:rFonts w:hint="eastAsia"/>
        </w:rPr>
        <w:t>C</w:t>
      </w:r>
      <w:r>
        <w:t>SRF</w:t>
      </w:r>
      <w:r>
        <w:rPr>
          <w:rFonts w:hint="eastAsia"/>
        </w:rPr>
        <w:t>攻击防护配置界面</w:t>
      </w:r>
    </w:p>
    <w:p w14:paraId="12F9E348">
      <w:r>
        <w:drawing>
          <wp:inline distT="0" distB="0" distL="0" distR="0">
            <wp:extent cx="4876800" cy="3032125"/>
            <wp:effectExtent l="0" t="0" r="0" b="0"/>
            <wp:docPr id="1534582028" name="图片 153458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28" name="图片 1534582028"/>
                    <pic:cNvPicPr>
                      <a:picLocks noChangeAspect="1"/>
                    </pic:cNvPicPr>
                  </pic:nvPicPr>
                  <pic:blipFill>
                    <a:blip r:embed="rId934"/>
                    <a:stretch>
                      <a:fillRect/>
                    </a:stretch>
                  </pic:blipFill>
                  <pic:spPr>
                    <a:xfrm>
                      <a:off x="0" y="0"/>
                      <a:ext cx="4883008" cy="3035986"/>
                    </a:xfrm>
                    <a:prstGeom prst="rect">
                      <a:avLst/>
                    </a:prstGeom>
                  </pic:spPr>
                </pic:pic>
              </a:graphicData>
            </a:graphic>
          </wp:inline>
        </w:drawing>
      </w:r>
    </w:p>
    <w:p w14:paraId="1790F9F4"/>
    <w:p w14:paraId="2FD1D358">
      <w:pPr>
        <w:pStyle w:val="183"/>
      </w:pPr>
      <w:r>
        <w:rPr>
          <w:rFonts w:hint="eastAsia"/>
        </w:rPr>
        <w:t>C</w:t>
      </w:r>
      <w:r>
        <w:t>SRF</w:t>
      </w:r>
      <w:r>
        <w:rPr>
          <w:rFonts w:hint="eastAsia"/>
        </w:rPr>
        <w:t>攻击防护配置界面详细描述表</w:t>
      </w:r>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90"/>
        <w:gridCol w:w="6542"/>
      </w:tblGrid>
      <w:tr w14:paraId="1BF4F02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1FA5984F">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42" w:type="dxa"/>
            <w:tcBorders>
              <w:tl2br w:val="nil"/>
              <w:tr2bl w:val="nil"/>
            </w:tcBorders>
            <w:shd w:val="clear" w:color="auto" w:fill="538135" w:themeFill="accent6" w:themeFillShade="BF"/>
            <w:vAlign w:val="center"/>
          </w:tcPr>
          <w:p w14:paraId="2ED0D129">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8AB32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1EADF557">
            <w:pPr>
              <w:pStyle w:val="150"/>
            </w:pPr>
            <w:r>
              <w:rPr>
                <w:rFonts w:hint="eastAsia"/>
              </w:rPr>
              <w:t>防护的U</w:t>
            </w:r>
            <w:r>
              <w:t>RL</w:t>
            </w:r>
          </w:p>
        </w:tc>
        <w:tc>
          <w:tcPr>
            <w:tcW w:w="6542" w:type="dxa"/>
            <w:shd w:val="clear" w:color="auto" w:fill="auto"/>
          </w:tcPr>
          <w:p w14:paraId="12A9D709">
            <w:pPr>
              <w:pStyle w:val="150"/>
            </w:pPr>
            <w:r>
              <w:rPr>
                <w:rFonts w:hint="eastAsia"/>
              </w:rPr>
              <w:t>被保护的U</w:t>
            </w:r>
            <w:r>
              <w:t>RL</w:t>
            </w:r>
          </w:p>
        </w:tc>
      </w:tr>
      <w:tr w14:paraId="0CBB16C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AB309F3">
            <w:pPr>
              <w:pStyle w:val="150"/>
            </w:pPr>
            <w:r>
              <w:rPr>
                <w:rFonts w:hint="eastAsia"/>
              </w:rPr>
              <w:t>允许的来源U</w:t>
            </w:r>
            <w:r>
              <w:t>RL</w:t>
            </w:r>
          </w:p>
        </w:tc>
        <w:tc>
          <w:tcPr>
            <w:tcW w:w="6542" w:type="dxa"/>
            <w:shd w:val="clear" w:color="auto" w:fill="auto"/>
          </w:tcPr>
          <w:p w14:paraId="4191AD88">
            <w:pPr>
              <w:pStyle w:val="150"/>
            </w:pPr>
            <w:r>
              <w:rPr>
                <w:rFonts w:hint="eastAsia"/>
              </w:rPr>
              <w:t>允许的U</w:t>
            </w:r>
            <w:r>
              <w:t>RL</w:t>
            </w:r>
          </w:p>
        </w:tc>
      </w:tr>
      <w:tr w14:paraId="51B57FB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0066422A">
            <w:pPr>
              <w:pStyle w:val="150"/>
            </w:pPr>
            <w:r>
              <w:rPr>
                <w:rFonts w:hint="eastAsia"/>
              </w:rPr>
              <w:t>处理动作</w:t>
            </w:r>
          </w:p>
        </w:tc>
        <w:tc>
          <w:tcPr>
            <w:tcW w:w="6542" w:type="dxa"/>
            <w:shd w:val="clear" w:color="auto" w:fill="auto"/>
          </w:tcPr>
          <w:p w14:paraId="6E05059E">
            <w:pPr>
              <w:pStyle w:val="150"/>
            </w:pPr>
            <w:r>
              <w:rPr>
                <w:rFonts w:hint="eastAsia"/>
              </w:rPr>
              <w:t>动作：允许，拒绝</w:t>
            </w:r>
          </w:p>
        </w:tc>
      </w:tr>
      <w:tr w14:paraId="30D722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3AF1D810">
            <w:pPr>
              <w:pStyle w:val="150"/>
            </w:pPr>
            <w:r>
              <w:rPr>
                <w:rFonts w:hint="eastAsia"/>
              </w:rPr>
              <w:t>日志级别</w:t>
            </w:r>
          </w:p>
        </w:tc>
        <w:tc>
          <w:tcPr>
            <w:tcW w:w="6542" w:type="dxa"/>
            <w:shd w:val="clear" w:color="auto" w:fill="auto"/>
          </w:tcPr>
          <w:p w14:paraId="6AFAC151">
            <w:pPr>
              <w:pStyle w:val="150"/>
            </w:pPr>
            <w:r>
              <w:rPr>
                <w:rFonts w:hint="eastAsia"/>
              </w:rPr>
              <w:t>日志级别设定</w:t>
            </w:r>
          </w:p>
        </w:tc>
      </w:tr>
      <w:tr w14:paraId="0C9B5F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485965F7">
            <w:pPr>
              <w:pStyle w:val="150"/>
            </w:pPr>
            <w:r>
              <w:rPr>
                <w:rFonts w:hint="eastAsia"/>
              </w:rPr>
              <w:t>启用</w:t>
            </w:r>
          </w:p>
        </w:tc>
        <w:tc>
          <w:tcPr>
            <w:tcW w:w="6542" w:type="dxa"/>
            <w:shd w:val="clear" w:color="auto" w:fill="auto"/>
          </w:tcPr>
          <w:p w14:paraId="28A993E4">
            <w:pPr>
              <w:pStyle w:val="150"/>
            </w:pPr>
            <w:r>
              <w:rPr>
                <w:rFonts w:hint="eastAsia"/>
              </w:rPr>
              <w:t>启用禁用规则</w:t>
            </w:r>
          </w:p>
        </w:tc>
      </w:tr>
    </w:tbl>
    <w:p w14:paraId="3FACA5BE"/>
    <w:p w14:paraId="5D5F52D9">
      <w:pPr>
        <w:pStyle w:val="6"/>
      </w:pPr>
      <w:r>
        <w:rPr>
          <w:rFonts w:hint="eastAsia"/>
        </w:rPr>
        <w:t>CC攻击防护</w:t>
      </w:r>
    </w:p>
    <w:p w14:paraId="2CFA2D18">
      <w:r>
        <w:t>CC攻击是</w:t>
      </w:r>
      <w:r>
        <w:rPr>
          <w:rFonts w:hint="eastAsia"/>
        </w:rPr>
        <w:t>一种针对HTTP服务的DDOS攻击</w:t>
      </w:r>
      <w:r>
        <w:t>，攻击者通过代理服务器或者肉鸡向受害主机不停地</w:t>
      </w:r>
      <w:r>
        <w:rPr>
          <w:rFonts w:hint="eastAsia"/>
        </w:rPr>
        <w:t>发送</w:t>
      </w:r>
      <w:r>
        <w:t>大量</w:t>
      </w:r>
      <w:r>
        <w:rPr>
          <w:rFonts w:hint="eastAsia"/>
        </w:rPr>
        <w:t>请求包</w:t>
      </w:r>
      <w:r>
        <w:t>，</w:t>
      </w:r>
      <w:r>
        <w:rPr>
          <w:rFonts w:hint="eastAsia"/>
        </w:rPr>
        <w:t>消耗HTTP</w:t>
      </w:r>
      <w:r>
        <w:t>服务器资源，</w:t>
      </w:r>
      <w:r>
        <w:rPr>
          <w:rFonts w:hint="eastAsia"/>
        </w:rPr>
        <w:t>拖慢甚至瘫痪受害主机，从而影响正常的HTTP访问。CC攻击防护支持全站防护和对指定的URL进行防护。</w:t>
      </w:r>
    </w:p>
    <w:p w14:paraId="14A0B887">
      <w:pPr>
        <w:rPr>
          <w:bCs/>
          <w:sz w:val="30"/>
          <w:szCs w:val="44"/>
        </w:rPr>
      </w:pPr>
      <w:r>
        <w:rPr>
          <w:rFonts w:hint="eastAsia"/>
        </w:rPr>
        <w:t>在防护策略页面选择“新建策略&gt;防护配置”，进入配置界面。点击“C</w:t>
      </w:r>
      <w:r>
        <w:t>C</w:t>
      </w:r>
      <w:r>
        <w:rPr>
          <w:rFonts w:hint="eastAsia"/>
        </w:rPr>
        <w:t>攻击防护”出现C</w:t>
      </w:r>
      <w:r>
        <w:t>C</w:t>
      </w:r>
      <w:r>
        <w:rPr>
          <w:rFonts w:hint="eastAsia"/>
        </w:rPr>
        <w:t>攻击防护配置页面。</w:t>
      </w:r>
    </w:p>
    <w:p w14:paraId="74D3DF78">
      <w:pPr>
        <w:pStyle w:val="188"/>
      </w:pPr>
      <w:r>
        <w:rPr>
          <w:rFonts w:hint="eastAsia"/>
        </w:rPr>
        <w:t>C</w:t>
      </w:r>
      <w:r>
        <w:t>C</w:t>
      </w:r>
      <w:r>
        <w:rPr>
          <w:rFonts w:hint="eastAsia"/>
        </w:rPr>
        <w:t>攻击防护配置界面</w:t>
      </w:r>
    </w:p>
    <w:p w14:paraId="7F30E2EB">
      <w:r>
        <w:drawing>
          <wp:inline distT="0" distB="0" distL="0" distR="0">
            <wp:extent cx="5400040" cy="2573655"/>
            <wp:effectExtent l="0" t="0" r="0" b="0"/>
            <wp:docPr id="582" name="图片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582"/>
                    <pic:cNvPicPr>
                      <a:picLocks noChangeAspect="1"/>
                    </pic:cNvPicPr>
                  </pic:nvPicPr>
                  <pic:blipFill>
                    <a:blip r:embed="rId935"/>
                    <a:stretch>
                      <a:fillRect/>
                    </a:stretch>
                  </pic:blipFill>
                  <pic:spPr>
                    <a:xfrm>
                      <a:off x="0" y="0"/>
                      <a:ext cx="5400040" cy="2574239"/>
                    </a:xfrm>
                    <a:prstGeom prst="rect">
                      <a:avLst/>
                    </a:prstGeom>
                  </pic:spPr>
                </pic:pic>
              </a:graphicData>
            </a:graphic>
          </wp:inline>
        </w:drawing>
      </w:r>
    </w:p>
    <w:p w14:paraId="117E59F8"/>
    <w:p w14:paraId="374E37AA">
      <w:pPr>
        <w:pStyle w:val="183"/>
      </w:pPr>
      <w:r>
        <w:rPr>
          <w:rFonts w:hint="eastAsia"/>
        </w:rPr>
        <w:t>C</w:t>
      </w:r>
      <w:r>
        <w:t>C</w:t>
      </w:r>
      <w:r>
        <w:rPr>
          <w:rFonts w:hint="eastAsia"/>
        </w:rPr>
        <w:t>攻击防护配置界面详细描述表</w:t>
      </w:r>
    </w:p>
    <w:tbl>
      <w:tblPr>
        <w:tblStyle w:val="173"/>
        <w:tblW w:w="901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90"/>
        <w:gridCol w:w="6520"/>
      </w:tblGrid>
      <w:tr w14:paraId="68D196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4EBA53EB">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20" w:type="dxa"/>
            <w:tcBorders>
              <w:tl2br w:val="nil"/>
              <w:tr2bl w:val="nil"/>
            </w:tcBorders>
            <w:shd w:val="clear" w:color="auto" w:fill="538135" w:themeFill="accent6" w:themeFillShade="BF"/>
            <w:vAlign w:val="center"/>
          </w:tcPr>
          <w:p w14:paraId="5D322C12">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AE9A30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4B7D8AFC">
            <w:pPr>
              <w:pStyle w:val="150"/>
            </w:pPr>
            <w:r>
              <w:rPr>
                <w:rFonts w:hint="eastAsia"/>
              </w:rPr>
              <w:t>启用</w:t>
            </w:r>
          </w:p>
        </w:tc>
        <w:tc>
          <w:tcPr>
            <w:tcW w:w="6520" w:type="dxa"/>
            <w:shd w:val="clear" w:color="auto" w:fill="auto"/>
          </w:tcPr>
          <w:p w14:paraId="2A49C3CF">
            <w:pPr>
              <w:pStyle w:val="150"/>
            </w:pPr>
            <w:r>
              <w:rPr>
                <w:rFonts w:hint="eastAsia"/>
              </w:rPr>
              <w:t>启用禁用C</w:t>
            </w:r>
            <w:r>
              <w:t>C</w:t>
            </w:r>
            <w:r>
              <w:rPr>
                <w:rFonts w:hint="eastAsia"/>
              </w:rPr>
              <w:t>攻击防护</w:t>
            </w:r>
          </w:p>
        </w:tc>
      </w:tr>
      <w:tr w14:paraId="3F7C064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01F5028">
            <w:pPr>
              <w:pStyle w:val="150"/>
            </w:pPr>
            <w:r>
              <w:rPr>
                <w:rFonts w:hint="eastAsia"/>
              </w:rPr>
              <w:t>防护范围</w:t>
            </w:r>
          </w:p>
        </w:tc>
        <w:tc>
          <w:tcPr>
            <w:tcW w:w="6520" w:type="dxa"/>
            <w:shd w:val="clear" w:color="auto" w:fill="auto"/>
          </w:tcPr>
          <w:p w14:paraId="6C52CC7F">
            <w:pPr>
              <w:pStyle w:val="150"/>
            </w:pPr>
            <w:r>
              <w:rPr>
                <w:rFonts w:hint="eastAsia"/>
              </w:rPr>
              <w:t>范围：全站，指定U</w:t>
            </w:r>
            <w:r>
              <w:t>RL</w:t>
            </w:r>
          </w:p>
        </w:tc>
      </w:tr>
      <w:tr w14:paraId="49B61BC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140A434A">
            <w:pPr>
              <w:pStyle w:val="150"/>
            </w:pPr>
            <w:r>
              <w:rPr>
                <w:rFonts w:hint="eastAsia"/>
              </w:rPr>
              <w:t>检测时长</w:t>
            </w:r>
          </w:p>
        </w:tc>
        <w:tc>
          <w:tcPr>
            <w:tcW w:w="6520" w:type="dxa"/>
            <w:shd w:val="clear" w:color="auto" w:fill="auto"/>
          </w:tcPr>
          <w:p w14:paraId="68C431C4">
            <w:pPr>
              <w:pStyle w:val="150"/>
            </w:pPr>
            <w:r>
              <w:rPr>
                <w:rFonts w:hint="eastAsia"/>
              </w:rPr>
              <w:t>C</w:t>
            </w:r>
            <w:r>
              <w:t>C</w:t>
            </w:r>
            <w:r>
              <w:rPr>
                <w:rFonts w:hint="eastAsia"/>
              </w:rPr>
              <w:t>防护检测周期</w:t>
            </w:r>
          </w:p>
        </w:tc>
      </w:tr>
      <w:tr w14:paraId="36F7CC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6A544029">
            <w:pPr>
              <w:pStyle w:val="150"/>
            </w:pPr>
            <w:r>
              <w:rPr>
                <w:rFonts w:hint="eastAsia"/>
              </w:rPr>
              <w:t>访问次数</w:t>
            </w:r>
          </w:p>
        </w:tc>
        <w:tc>
          <w:tcPr>
            <w:tcW w:w="6520" w:type="dxa"/>
            <w:shd w:val="clear" w:color="auto" w:fill="auto"/>
          </w:tcPr>
          <w:p w14:paraId="3D2E5ECE">
            <w:pPr>
              <w:pStyle w:val="150"/>
            </w:pPr>
            <w:r>
              <w:rPr>
                <w:rFonts w:hint="eastAsia"/>
              </w:rPr>
              <w:t>访问指定url的次数</w:t>
            </w:r>
          </w:p>
        </w:tc>
      </w:tr>
      <w:tr w14:paraId="18BB3C1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5B71A3B0">
            <w:pPr>
              <w:pStyle w:val="150"/>
            </w:pPr>
            <w:r>
              <w:rPr>
                <w:rFonts w:hint="eastAsia"/>
              </w:rPr>
              <w:t>处理动作</w:t>
            </w:r>
          </w:p>
        </w:tc>
        <w:tc>
          <w:tcPr>
            <w:tcW w:w="6520" w:type="dxa"/>
            <w:shd w:val="clear" w:color="auto" w:fill="auto"/>
          </w:tcPr>
          <w:p w14:paraId="31A16C0F">
            <w:pPr>
              <w:pStyle w:val="150"/>
            </w:pPr>
            <w:r>
              <w:rPr>
                <w:rFonts w:hint="eastAsia"/>
              </w:rPr>
              <w:t>动作：允许，拒绝</w:t>
            </w:r>
          </w:p>
        </w:tc>
      </w:tr>
      <w:tr w14:paraId="1C4C71E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61FDF502">
            <w:pPr>
              <w:pStyle w:val="150"/>
            </w:pPr>
            <w:r>
              <w:rPr>
                <w:rFonts w:hint="eastAsia"/>
              </w:rPr>
              <w:t>日志级别</w:t>
            </w:r>
          </w:p>
        </w:tc>
        <w:tc>
          <w:tcPr>
            <w:tcW w:w="6520" w:type="dxa"/>
            <w:shd w:val="clear" w:color="auto" w:fill="auto"/>
          </w:tcPr>
          <w:p w14:paraId="66AD2AB6">
            <w:pPr>
              <w:pStyle w:val="150"/>
            </w:pPr>
            <w:r>
              <w:rPr>
                <w:rFonts w:hint="eastAsia"/>
              </w:rPr>
              <w:t>日志的级别设定</w:t>
            </w:r>
          </w:p>
        </w:tc>
      </w:tr>
    </w:tbl>
    <w:p w14:paraId="3BBB0A21"/>
    <w:p w14:paraId="118071F4">
      <w:pPr>
        <w:pStyle w:val="6"/>
      </w:pPr>
      <w:r>
        <w:rPr>
          <w:rFonts w:hint="eastAsia"/>
        </w:rPr>
        <w:t>网页防篡改</w:t>
      </w:r>
    </w:p>
    <w:p w14:paraId="07A04894">
      <w:pPr>
        <w:rPr>
          <w:bCs/>
          <w:sz w:val="30"/>
          <w:szCs w:val="44"/>
        </w:rPr>
      </w:pPr>
      <w:r>
        <w:rPr>
          <w:rFonts w:hint="eastAsia"/>
        </w:rPr>
        <w:t>在防护策略页面选择“新建策略&gt;防护配置”，进入配置界面。点击“网页防篡改”出现网页防篡改配置页面。</w:t>
      </w:r>
    </w:p>
    <w:p w14:paraId="2B0D0C51">
      <w:pPr>
        <w:pStyle w:val="188"/>
      </w:pPr>
      <w:r>
        <w:rPr>
          <w:rFonts w:hint="eastAsia"/>
        </w:rPr>
        <w:t>网页防篡改配置界面</w:t>
      </w:r>
    </w:p>
    <w:p w14:paraId="2E9E3BE5">
      <w:r>
        <w:drawing>
          <wp:inline distT="0" distB="0" distL="0" distR="0">
            <wp:extent cx="5400040" cy="3147695"/>
            <wp:effectExtent l="0" t="0" r="0" b="0"/>
            <wp:docPr id="583" name="图片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583"/>
                    <pic:cNvPicPr>
                      <a:picLocks noChangeAspect="1"/>
                    </pic:cNvPicPr>
                  </pic:nvPicPr>
                  <pic:blipFill>
                    <a:blip r:embed="rId936"/>
                    <a:stretch>
                      <a:fillRect/>
                    </a:stretch>
                  </pic:blipFill>
                  <pic:spPr>
                    <a:xfrm>
                      <a:off x="0" y="0"/>
                      <a:ext cx="5400040" cy="3147700"/>
                    </a:xfrm>
                    <a:prstGeom prst="rect">
                      <a:avLst/>
                    </a:prstGeom>
                  </pic:spPr>
                </pic:pic>
              </a:graphicData>
            </a:graphic>
          </wp:inline>
        </w:drawing>
      </w:r>
    </w:p>
    <w:p w14:paraId="076C8A13"/>
    <w:p w14:paraId="69F9B21F">
      <w:pPr>
        <w:pStyle w:val="183"/>
      </w:pPr>
      <w:r>
        <w:rPr>
          <w:rFonts w:hint="eastAsia"/>
        </w:rPr>
        <w:t>网页防篡改配置界面详细描述表</w:t>
      </w:r>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90"/>
        <w:gridCol w:w="6542"/>
      </w:tblGrid>
      <w:tr w14:paraId="632415A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2B334A72">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42" w:type="dxa"/>
            <w:tcBorders>
              <w:tl2br w:val="nil"/>
              <w:tr2bl w:val="nil"/>
            </w:tcBorders>
            <w:shd w:val="clear" w:color="auto" w:fill="538135" w:themeFill="accent6" w:themeFillShade="BF"/>
            <w:vAlign w:val="center"/>
          </w:tcPr>
          <w:p w14:paraId="69BBC291">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156677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A5EC356">
            <w:pPr>
              <w:pStyle w:val="150"/>
            </w:pPr>
            <w:r>
              <w:rPr>
                <w:rFonts w:hint="eastAsia"/>
              </w:rPr>
              <w:t>启用</w:t>
            </w:r>
          </w:p>
        </w:tc>
        <w:tc>
          <w:tcPr>
            <w:tcW w:w="6542" w:type="dxa"/>
            <w:shd w:val="clear" w:color="auto" w:fill="auto"/>
          </w:tcPr>
          <w:p w14:paraId="2078B221">
            <w:pPr>
              <w:pStyle w:val="150"/>
            </w:pPr>
            <w:r>
              <w:rPr>
                <w:rFonts w:hint="eastAsia"/>
              </w:rPr>
              <w:t>启用禁用网页防篡改功能</w:t>
            </w:r>
          </w:p>
        </w:tc>
      </w:tr>
      <w:tr w14:paraId="0D6B01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ACB3084">
            <w:pPr>
              <w:pStyle w:val="150"/>
            </w:pPr>
            <w:r>
              <w:rPr>
                <w:rFonts w:hint="eastAsia"/>
              </w:rPr>
              <w:t>起始U</w:t>
            </w:r>
            <w:r>
              <w:t>RL</w:t>
            </w:r>
          </w:p>
        </w:tc>
        <w:tc>
          <w:tcPr>
            <w:tcW w:w="6542" w:type="dxa"/>
            <w:shd w:val="clear" w:color="auto" w:fill="auto"/>
          </w:tcPr>
          <w:p w14:paraId="60112951">
            <w:pPr>
              <w:pStyle w:val="150"/>
            </w:pPr>
            <w:r>
              <w:rPr>
                <w:rFonts w:hint="eastAsia"/>
              </w:rPr>
              <w:t>被保护的U</w:t>
            </w:r>
            <w:r>
              <w:t>RL</w:t>
            </w:r>
          </w:p>
        </w:tc>
      </w:tr>
      <w:tr w14:paraId="37E0FC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5D3425CC">
            <w:pPr>
              <w:pStyle w:val="150"/>
            </w:pPr>
            <w:r>
              <w:rPr>
                <w:rFonts w:hint="eastAsia"/>
              </w:rPr>
              <w:t>例外U</w:t>
            </w:r>
            <w:r>
              <w:t>RL</w:t>
            </w:r>
          </w:p>
        </w:tc>
        <w:tc>
          <w:tcPr>
            <w:tcW w:w="6542" w:type="dxa"/>
            <w:shd w:val="clear" w:color="auto" w:fill="auto"/>
          </w:tcPr>
          <w:p w14:paraId="349AF620">
            <w:pPr>
              <w:pStyle w:val="150"/>
            </w:pPr>
            <w:r>
              <w:rPr>
                <w:rFonts w:hint="eastAsia"/>
              </w:rPr>
              <w:t>不检测的U</w:t>
            </w:r>
            <w:r>
              <w:t>RL</w:t>
            </w:r>
          </w:p>
        </w:tc>
      </w:tr>
      <w:tr w14:paraId="74A322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4D4369EE">
            <w:pPr>
              <w:pStyle w:val="150"/>
            </w:pPr>
            <w:r>
              <w:rPr>
                <w:rFonts w:hint="eastAsia"/>
              </w:rPr>
              <w:t>处理动作</w:t>
            </w:r>
          </w:p>
        </w:tc>
        <w:tc>
          <w:tcPr>
            <w:tcW w:w="6542" w:type="dxa"/>
            <w:shd w:val="clear" w:color="auto" w:fill="auto"/>
          </w:tcPr>
          <w:p w14:paraId="2E43A87A">
            <w:pPr>
              <w:pStyle w:val="150"/>
            </w:pPr>
            <w:r>
              <w:rPr>
                <w:rFonts w:hint="eastAsia"/>
              </w:rPr>
              <w:t>动作：允许，拒绝</w:t>
            </w:r>
          </w:p>
        </w:tc>
      </w:tr>
      <w:tr w14:paraId="5DEC00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315EC689">
            <w:pPr>
              <w:pStyle w:val="150"/>
            </w:pPr>
            <w:r>
              <w:rPr>
                <w:rFonts w:hint="eastAsia"/>
              </w:rPr>
              <w:t>日志级别</w:t>
            </w:r>
          </w:p>
        </w:tc>
        <w:tc>
          <w:tcPr>
            <w:tcW w:w="6542" w:type="dxa"/>
            <w:shd w:val="clear" w:color="auto" w:fill="auto"/>
          </w:tcPr>
          <w:p w14:paraId="1BF34007">
            <w:pPr>
              <w:pStyle w:val="150"/>
            </w:pPr>
            <w:r>
              <w:rPr>
                <w:rFonts w:hint="eastAsia"/>
              </w:rPr>
              <w:t>日志的级别设定</w:t>
            </w:r>
          </w:p>
        </w:tc>
      </w:tr>
    </w:tbl>
    <w:p w14:paraId="41D2311A">
      <w:pPr>
        <w:pStyle w:val="6"/>
      </w:pPr>
      <w:r>
        <w:rPr>
          <w:rFonts w:hint="eastAsia"/>
        </w:rPr>
        <w:t>应用隐藏</w:t>
      </w:r>
    </w:p>
    <w:p w14:paraId="37B27F79">
      <w:r>
        <w:rPr>
          <w:rFonts w:hint="eastAsia"/>
        </w:rPr>
        <w:t>应用隐藏是指隐藏HTTP服务端返回的某些信息，比如服务器版本，服务器端编码方式以及某些特定的错误码等，这些信息很可能被攻击者利用从而进行有针对的攻击，比如服务器版本为Apache/2.4.23，那么如果攻击者知道这个版本的漏洞，就能轻易的进行攻击。</w:t>
      </w:r>
    </w:p>
    <w:p w14:paraId="55D1144E">
      <w:r>
        <w:rPr>
          <w:rFonts w:hint="eastAsia"/>
        </w:rPr>
        <w:t>应用隐藏支持屏蔽HTTP头部的Server字段和X-Powered-By字段，Server字段是服务器版本信息，比如Apache/2.4.23，X-Powered-By字段是服务器端编码方式，比如PHP/5.5.38。</w:t>
      </w:r>
    </w:p>
    <w:p w14:paraId="5104DBE3">
      <w:r>
        <w:rPr>
          <w:rFonts w:hint="eastAsia"/>
        </w:rPr>
        <w:t>此外，还支持4xx（客户端错误码）和5xx（服务端错误码）错误码的检查和返回内容的替换。服务器返回的错误信息往往包含服务器的重要信息，这些信息也很可能被攻击者利用。当返回码是4xx或5xx时，设备会将返回页面替换为一个不包含任何关键信息的预设页面，避免服务器信息的泄漏。</w:t>
      </w:r>
    </w:p>
    <w:p w14:paraId="42746E5A">
      <w:r>
        <w:rPr>
          <w:rFonts w:hint="eastAsia"/>
        </w:rPr>
        <w:t>对于某个被防护的站点，Server字段的屏蔽、X-Powered-By字段的屏蔽、4xx错误码的替换以及5xx错误码的替换，都支持单独开启关闭。</w:t>
      </w:r>
    </w:p>
    <w:p w14:paraId="07BA5933">
      <w:pPr>
        <w:rPr>
          <w:bCs/>
          <w:sz w:val="30"/>
          <w:szCs w:val="44"/>
        </w:rPr>
      </w:pPr>
      <w:r>
        <w:rPr>
          <w:rFonts w:hint="eastAsia"/>
        </w:rPr>
        <w:t>在防护策略页面选择“新建策略&gt;防护配置”，进入配置界面。点击“应用隐藏”出现应用隐藏配置页面。</w:t>
      </w:r>
    </w:p>
    <w:p w14:paraId="12FCBF97">
      <w:pPr>
        <w:pStyle w:val="188"/>
      </w:pPr>
      <w:r>
        <w:rPr>
          <w:rFonts w:hint="eastAsia"/>
        </w:rPr>
        <w:t>应用隐藏配置界面</w:t>
      </w:r>
    </w:p>
    <w:p w14:paraId="054EB0F7">
      <w:r>
        <w:drawing>
          <wp:inline distT="0" distB="0" distL="0" distR="0">
            <wp:extent cx="5400040" cy="2428240"/>
            <wp:effectExtent l="0" t="0" r="0" b="0"/>
            <wp:docPr id="588" name="图片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588"/>
                    <pic:cNvPicPr>
                      <a:picLocks noChangeAspect="1"/>
                    </pic:cNvPicPr>
                  </pic:nvPicPr>
                  <pic:blipFill>
                    <a:blip r:embed="rId937"/>
                    <a:stretch>
                      <a:fillRect/>
                    </a:stretch>
                  </pic:blipFill>
                  <pic:spPr>
                    <a:xfrm>
                      <a:off x="0" y="0"/>
                      <a:ext cx="5400040" cy="2428472"/>
                    </a:xfrm>
                    <a:prstGeom prst="rect">
                      <a:avLst/>
                    </a:prstGeom>
                  </pic:spPr>
                </pic:pic>
              </a:graphicData>
            </a:graphic>
          </wp:inline>
        </w:drawing>
      </w:r>
    </w:p>
    <w:p w14:paraId="36E7B48B"/>
    <w:p w14:paraId="720616E7">
      <w:pPr>
        <w:pStyle w:val="183"/>
      </w:pPr>
      <w:r>
        <w:rPr>
          <w:rFonts w:hint="eastAsia"/>
        </w:rPr>
        <w:t>应用隐藏配置界面详细描述表</w:t>
      </w:r>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3227"/>
        <w:gridCol w:w="5805"/>
      </w:tblGrid>
      <w:tr w14:paraId="3CB2C3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3227" w:type="dxa"/>
            <w:tcBorders>
              <w:tl2br w:val="nil"/>
              <w:tr2bl w:val="nil"/>
            </w:tcBorders>
            <w:shd w:val="clear" w:color="auto" w:fill="538135" w:themeFill="accent6" w:themeFillShade="BF"/>
            <w:vAlign w:val="center"/>
          </w:tcPr>
          <w:p w14:paraId="6EA99706">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5805" w:type="dxa"/>
            <w:tcBorders>
              <w:tl2br w:val="nil"/>
              <w:tr2bl w:val="nil"/>
            </w:tcBorders>
            <w:shd w:val="clear" w:color="auto" w:fill="538135" w:themeFill="accent6" w:themeFillShade="BF"/>
            <w:vAlign w:val="center"/>
          </w:tcPr>
          <w:p w14:paraId="7B13ABCD">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8240D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3227" w:type="dxa"/>
            <w:shd w:val="clear" w:color="auto" w:fill="auto"/>
          </w:tcPr>
          <w:p w14:paraId="31067C41">
            <w:pPr>
              <w:pStyle w:val="150"/>
            </w:pPr>
            <w:r>
              <w:rPr>
                <w:rFonts w:hint="eastAsia"/>
              </w:rPr>
              <w:t>启用</w:t>
            </w:r>
          </w:p>
        </w:tc>
        <w:tc>
          <w:tcPr>
            <w:tcW w:w="5805" w:type="dxa"/>
            <w:shd w:val="clear" w:color="auto" w:fill="auto"/>
          </w:tcPr>
          <w:p w14:paraId="60D9A1E1">
            <w:pPr>
              <w:pStyle w:val="150"/>
            </w:pPr>
            <w:r>
              <w:rPr>
                <w:rFonts w:hint="eastAsia"/>
              </w:rPr>
              <w:t>启用禁用应用隐藏功能</w:t>
            </w:r>
          </w:p>
        </w:tc>
      </w:tr>
      <w:tr w14:paraId="4014C1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3227" w:type="dxa"/>
            <w:shd w:val="clear" w:color="auto" w:fill="auto"/>
          </w:tcPr>
          <w:p w14:paraId="3A27D740">
            <w:pPr>
              <w:pStyle w:val="150"/>
            </w:pPr>
            <w:r>
              <w:rPr>
                <w:rFonts w:hint="eastAsia"/>
              </w:rPr>
              <w:t>隐藏S</w:t>
            </w:r>
            <w:r>
              <w:t>erver</w:t>
            </w:r>
            <w:r>
              <w:rPr>
                <w:rFonts w:hint="eastAsia"/>
              </w:rPr>
              <w:t>信息</w:t>
            </w:r>
          </w:p>
        </w:tc>
        <w:tc>
          <w:tcPr>
            <w:tcW w:w="5805" w:type="dxa"/>
            <w:shd w:val="clear" w:color="auto" w:fill="auto"/>
          </w:tcPr>
          <w:p w14:paraId="2579789C">
            <w:pPr>
              <w:pStyle w:val="150"/>
            </w:pPr>
            <w:r>
              <w:rPr>
                <w:rFonts w:hint="eastAsia"/>
              </w:rPr>
              <w:t>隐藏服务器信息</w:t>
            </w:r>
          </w:p>
        </w:tc>
      </w:tr>
      <w:tr w14:paraId="1AF2328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3227" w:type="dxa"/>
            <w:shd w:val="clear" w:color="auto" w:fill="auto"/>
          </w:tcPr>
          <w:p w14:paraId="7755FA5B">
            <w:pPr>
              <w:pStyle w:val="150"/>
            </w:pPr>
            <w:r>
              <w:rPr>
                <w:rFonts w:hint="eastAsia"/>
              </w:rPr>
              <w:t>隐藏X</w:t>
            </w:r>
            <w:r>
              <w:t>-powered-By</w:t>
            </w:r>
          </w:p>
        </w:tc>
        <w:tc>
          <w:tcPr>
            <w:tcW w:w="5805" w:type="dxa"/>
            <w:shd w:val="clear" w:color="auto" w:fill="auto"/>
          </w:tcPr>
          <w:p w14:paraId="38727B55">
            <w:pPr>
              <w:pStyle w:val="150"/>
            </w:pPr>
            <w:r>
              <w:rPr>
                <w:rFonts w:hint="eastAsia"/>
              </w:rPr>
              <w:t>隐藏服务器信息</w:t>
            </w:r>
          </w:p>
        </w:tc>
      </w:tr>
      <w:tr w14:paraId="6DB824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3227" w:type="dxa"/>
            <w:shd w:val="clear" w:color="auto" w:fill="auto"/>
          </w:tcPr>
          <w:p w14:paraId="5889969F">
            <w:pPr>
              <w:pStyle w:val="150"/>
            </w:pPr>
            <w:r>
              <w:rPr>
                <w:rFonts w:hint="eastAsia"/>
              </w:rPr>
              <w:t>替换客户端出错页面（4</w:t>
            </w:r>
            <w:r>
              <w:t>xx</w:t>
            </w:r>
            <w:r>
              <w:rPr>
                <w:rFonts w:hint="eastAsia"/>
              </w:rPr>
              <w:t>）</w:t>
            </w:r>
          </w:p>
        </w:tc>
        <w:tc>
          <w:tcPr>
            <w:tcW w:w="5805" w:type="dxa"/>
            <w:shd w:val="clear" w:color="auto" w:fill="auto"/>
          </w:tcPr>
          <w:p w14:paraId="31643E56">
            <w:pPr>
              <w:pStyle w:val="150"/>
            </w:pPr>
            <w:r>
              <w:rPr>
                <w:rFonts w:hint="eastAsia"/>
              </w:rPr>
              <w:t>替换（4</w:t>
            </w:r>
            <w:r>
              <w:t>xx</w:t>
            </w:r>
            <w:r>
              <w:rPr>
                <w:rFonts w:hint="eastAsia"/>
              </w:rPr>
              <w:t>）指定默认页面</w:t>
            </w:r>
          </w:p>
        </w:tc>
      </w:tr>
      <w:tr w14:paraId="69FC0F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3227" w:type="dxa"/>
            <w:shd w:val="clear" w:color="auto" w:fill="auto"/>
          </w:tcPr>
          <w:p w14:paraId="4C54E374">
            <w:pPr>
              <w:pStyle w:val="150"/>
            </w:pPr>
            <w:r>
              <w:rPr>
                <w:rFonts w:hint="eastAsia"/>
              </w:rPr>
              <w:t>替换服务器端出错页面（</w:t>
            </w:r>
            <w:r>
              <w:t>5xx</w:t>
            </w:r>
            <w:r>
              <w:rPr>
                <w:rFonts w:hint="eastAsia"/>
              </w:rPr>
              <w:t>）</w:t>
            </w:r>
          </w:p>
        </w:tc>
        <w:tc>
          <w:tcPr>
            <w:tcW w:w="5805" w:type="dxa"/>
            <w:shd w:val="clear" w:color="auto" w:fill="auto"/>
          </w:tcPr>
          <w:p w14:paraId="6FA6B85F">
            <w:pPr>
              <w:pStyle w:val="150"/>
            </w:pPr>
            <w:r>
              <w:rPr>
                <w:rFonts w:hint="eastAsia"/>
              </w:rPr>
              <w:t>替换（5</w:t>
            </w:r>
            <w:r>
              <w:t>xx</w:t>
            </w:r>
            <w:r>
              <w:rPr>
                <w:rFonts w:hint="eastAsia"/>
              </w:rPr>
              <w:t>）指定默认页面</w:t>
            </w:r>
          </w:p>
        </w:tc>
      </w:tr>
      <w:tr w14:paraId="7818D0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3227" w:type="dxa"/>
            <w:shd w:val="clear" w:color="auto" w:fill="auto"/>
          </w:tcPr>
          <w:p w14:paraId="05ED2B3B">
            <w:pPr>
              <w:pStyle w:val="150"/>
            </w:pPr>
            <w:r>
              <w:rPr>
                <w:rFonts w:hint="eastAsia"/>
              </w:rPr>
              <w:t>日志级别</w:t>
            </w:r>
          </w:p>
        </w:tc>
        <w:tc>
          <w:tcPr>
            <w:tcW w:w="5805" w:type="dxa"/>
            <w:shd w:val="clear" w:color="auto" w:fill="auto"/>
          </w:tcPr>
          <w:p w14:paraId="76A020D7">
            <w:pPr>
              <w:pStyle w:val="150"/>
            </w:pPr>
            <w:r>
              <w:rPr>
                <w:rFonts w:hint="eastAsia"/>
              </w:rPr>
              <w:t>日志解绑设定</w:t>
            </w:r>
          </w:p>
        </w:tc>
      </w:tr>
    </w:tbl>
    <w:p w14:paraId="6B156D1E"/>
    <w:p w14:paraId="30080C90">
      <w:pPr>
        <w:pStyle w:val="5"/>
      </w:pPr>
      <w:bookmarkStart w:id="7789" w:name="_Toc194081131"/>
      <w:bookmarkStart w:id="7790" w:name="_Toc196728463"/>
      <w:r>
        <w:rPr>
          <w:rFonts w:hint="eastAsia"/>
        </w:rPr>
        <w:t>规则库</w:t>
      </w:r>
      <w:bookmarkEnd w:id="7789"/>
      <w:bookmarkEnd w:id="7790"/>
    </w:p>
    <w:p w14:paraId="3FD6C31C">
      <w:pPr>
        <w:rPr>
          <w:bCs/>
          <w:sz w:val="30"/>
          <w:szCs w:val="44"/>
        </w:rPr>
      </w:pPr>
      <w:r>
        <w:rPr>
          <w:rFonts w:hint="eastAsia"/>
        </w:rPr>
        <w:t>在导航栏中选择“策略配置&gt;安全设置&gt;WEB防护&gt;规则库”，进入规则库查询界面。</w:t>
      </w:r>
    </w:p>
    <w:p w14:paraId="2D07D7FF">
      <w:pPr>
        <w:pStyle w:val="188"/>
      </w:pPr>
      <w:r>
        <w:rPr>
          <w:rFonts w:hint="eastAsia"/>
        </w:rPr>
        <w:t>规则库查询界面</w:t>
      </w:r>
    </w:p>
    <w:p w14:paraId="20F62EC6">
      <w:r>
        <w:drawing>
          <wp:inline distT="0" distB="0" distL="0" distR="0">
            <wp:extent cx="5229225" cy="2757170"/>
            <wp:effectExtent l="0" t="0" r="0" b="5080"/>
            <wp:docPr id="592" name="图片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592"/>
                    <pic:cNvPicPr>
                      <a:picLocks noChangeAspect="1"/>
                    </pic:cNvPicPr>
                  </pic:nvPicPr>
                  <pic:blipFill>
                    <a:blip r:embed="rId938"/>
                    <a:stretch>
                      <a:fillRect/>
                    </a:stretch>
                  </pic:blipFill>
                  <pic:spPr>
                    <a:xfrm>
                      <a:off x="0" y="0"/>
                      <a:ext cx="5299088" cy="2794403"/>
                    </a:xfrm>
                    <a:prstGeom prst="rect">
                      <a:avLst/>
                    </a:prstGeom>
                  </pic:spPr>
                </pic:pic>
              </a:graphicData>
            </a:graphic>
          </wp:inline>
        </w:drawing>
      </w:r>
    </w:p>
    <w:p w14:paraId="1F6D334E"/>
    <w:p w14:paraId="3B55F4DA">
      <w:pPr>
        <w:pStyle w:val="183"/>
      </w:pPr>
      <w:r>
        <w:rPr>
          <w:rFonts w:hint="eastAsia"/>
        </w:rPr>
        <w:t>服务配置界面详细描述表</w:t>
      </w:r>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90"/>
        <w:gridCol w:w="6542"/>
      </w:tblGrid>
      <w:tr w14:paraId="21AF4CE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6B9F2DE7">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42" w:type="dxa"/>
            <w:tcBorders>
              <w:tl2br w:val="nil"/>
              <w:tr2bl w:val="nil"/>
            </w:tcBorders>
            <w:shd w:val="clear" w:color="auto" w:fill="538135" w:themeFill="accent6" w:themeFillShade="BF"/>
            <w:vAlign w:val="center"/>
          </w:tcPr>
          <w:p w14:paraId="54B0E789">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7438DB7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5D264DD3">
            <w:pPr>
              <w:pStyle w:val="150"/>
            </w:pPr>
            <w:r>
              <w:rPr>
                <w:rFonts w:hint="eastAsia"/>
              </w:rPr>
              <w:t>命中次数清零</w:t>
            </w:r>
          </w:p>
        </w:tc>
        <w:tc>
          <w:tcPr>
            <w:tcW w:w="6542" w:type="dxa"/>
            <w:shd w:val="clear" w:color="auto" w:fill="auto"/>
          </w:tcPr>
          <w:p w14:paraId="218486EC">
            <w:pPr>
              <w:pStyle w:val="150"/>
            </w:pPr>
            <w:r>
              <w:rPr>
                <w:rFonts w:hint="eastAsia"/>
              </w:rPr>
              <w:t>点击清空规则命中次数</w:t>
            </w:r>
          </w:p>
        </w:tc>
      </w:tr>
      <w:tr w14:paraId="6D9223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4447FB89">
            <w:pPr>
              <w:pStyle w:val="150"/>
            </w:pPr>
            <w:r>
              <w:rPr>
                <w:rFonts w:hint="eastAsia"/>
              </w:rPr>
              <w:t>名称</w:t>
            </w:r>
          </w:p>
        </w:tc>
        <w:tc>
          <w:tcPr>
            <w:tcW w:w="6542" w:type="dxa"/>
            <w:shd w:val="clear" w:color="auto" w:fill="auto"/>
          </w:tcPr>
          <w:p w14:paraId="18897D21">
            <w:pPr>
              <w:pStyle w:val="150"/>
            </w:pPr>
            <w:r>
              <w:rPr>
                <w:rFonts w:hint="eastAsia"/>
              </w:rPr>
              <w:t>规则名称</w:t>
            </w:r>
          </w:p>
        </w:tc>
      </w:tr>
      <w:tr w14:paraId="47FA45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1A7AB7CA">
            <w:pPr>
              <w:pStyle w:val="150"/>
            </w:pPr>
            <w:r>
              <w:rPr>
                <w:rFonts w:hint="eastAsia"/>
              </w:rPr>
              <w:t>规则I</w:t>
            </w:r>
            <w:r>
              <w:t>D</w:t>
            </w:r>
          </w:p>
        </w:tc>
        <w:tc>
          <w:tcPr>
            <w:tcW w:w="6542" w:type="dxa"/>
            <w:shd w:val="clear" w:color="auto" w:fill="auto"/>
          </w:tcPr>
          <w:p w14:paraId="70E97A00">
            <w:pPr>
              <w:pStyle w:val="150"/>
            </w:pPr>
            <w:r>
              <w:rPr>
                <w:rFonts w:hint="eastAsia"/>
              </w:rPr>
              <w:t>规则的I</w:t>
            </w:r>
            <w:r>
              <w:t>D</w:t>
            </w:r>
          </w:p>
        </w:tc>
      </w:tr>
      <w:tr w14:paraId="658E659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675BDBA4">
            <w:pPr>
              <w:pStyle w:val="150"/>
            </w:pPr>
            <w:r>
              <w:rPr>
                <w:rFonts w:hint="eastAsia"/>
              </w:rPr>
              <w:t>级别</w:t>
            </w:r>
          </w:p>
        </w:tc>
        <w:tc>
          <w:tcPr>
            <w:tcW w:w="6542" w:type="dxa"/>
            <w:shd w:val="clear" w:color="auto" w:fill="auto"/>
          </w:tcPr>
          <w:p w14:paraId="4A060F86">
            <w:pPr>
              <w:pStyle w:val="150"/>
            </w:pPr>
            <w:r>
              <w:rPr>
                <w:rFonts w:hint="eastAsia"/>
              </w:rPr>
              <w:t>规则的级别</w:t>
            </w:r>
          </w:p>
        </w:tc>
      </w:tr>
      <w:tr w14:paraId="5CDCF6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2DB3602">
            <w:pPr>
              <w:pStyle w:val="150"/>
            </w:pPr>
            <w:r>
              <w:rPr>
                <w:rFonts w:hint="eastAsia"/>
              </w:rPr>
              <w:t>防护等级</w:t>
            </w:r>
          </w:p>
        </w:tc>
        <w:tc>
          <w:tcPr>
            <w:tcW w:w="6542" w:type="dxa"/>
            <w:shd w:val="clear" w:color="auto" w:fill="auto"/>
          </w:tcPr>
          <w:p w14:paraId="4EB3A565">
            <w:pPr>
              <w:pStyle w:val="150"/>
            </w:pPr>
            <w:r>
              <w:rPr>
                <w:rFonts w:hint="eastAsia"/>
              </w:rPr>
              <w:t>规则的防护等级</w:t>
            </w:r>
          </w:p>
        </w:tc>
      </w:tr>
      <w:tr w14:paraId="6270269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3DBDD35">
            <w:pPr>
              <w:pStyle w:val="150"/>
            </w:pPr>
            <w:r>
              <w:rPr>
                <w:rFonts w:hint="eastAsia"/>
              </w:rPr>
              <w:t>命中次数</w:t>
            </w:r>
          </w:p>
        </w:tc>
        <w:tc>
          <w:tcPr>
            <w:tcW w:w="6542" w:type="dxa"/>
            <w:shd w:val="clear" w:color="auto" w:fill="auto"/>
          </w:tcPr>
          <w:p w14:paraId="44C20615">
            <w:pPr>
              <w:pStyle w:val="150"/>
            </w:pPr>
            <w:r>
              <w:rPr>
                <w:rFonts w:hint="eastAsia"/>
              </w:rPr>
              <w:t>规则的命中次数</w:t>
            </w:r>
          </w:p>
        </w:tc>
      </w:tr>
    </w:tbl>
    <w:p w14:paraId="0384B22B"/>
    <w:p w14:paraId="14B3CA28">
      <w:pPr>
        <w:pStyle w:val="5"/>
      </w:pPr>
      <w:bookmarkStart w:id="7791" w:name="_Toc194081132"/>
      <w:bookmarkStart w:id="7792" w:name="_Toc196728464"/>
      <w:r>
        <w:rPr>
          <w:rFonts w:hint="eastAsia"/>
        </w:rPr>
        <w:t>防篡改网页缓存</w:t>
      </w:r>
      <w:bookmarkEnd w:id="7791"/>
      <w:bookmarkEnd w:id="7792"/>
    </w:p>
    <w:p w14:paraId="505F0C4A">
      <w:pPr>
        <w:rPr>
          <w:bCs/>
          <w:sz w:val="30"/>
          <w:szCs w:val="44"/>
        </w:rPr>
      </w:pPr>
      <w:r>
        <w:rPr>
          <w:rFonts w:hint="eastAsia"/>
        </w:rPr>
        <w:t>在导航栏中选择“策略配置&gt;安全设置&gt;WEB防护&gt;防篡改网页缓存”，进入防篡改网页缓存配置界面。</w:t>
      </w:r>
    </w:p>
    <w:p w14:paraId="69674FB7">
      <w:pPr>
        <w:pStyle w:val="188"/>
      </w:pPr>
      <w:r>
        <w:rPr>
          <w:rFonts w:hint="eastAsia"/>
        </w:rPr>
        <w:t>防篡改网页缓存配置界面</w:t>
      </w:r>
    </w:p>
    <w:p w14:paraId="3B6A21B5">
      <w:r>
        <w:drawing>
          <wp:inline distT="0" distB="0" distL="0" distR="0">
            <wp:extent cx="5019675" cy="769620"/>
            <wp:effectExtent l="0" t="0" r="0" b="0"/>
            <wp:docPr id="593"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593"/>
                    <pic:cNvPicPr>
                      <a:picLocks noChangeAspect="1"/>
                    </pic:cNvPicPr>
                  </pic:nvPicPr>
                  <pic:blipFill>
                    <a:blip r:embed="rId939"/>
                    <a:stretch>
                      <a:fillRect/>
                    </a:stretch>
                  </pic:blipFill>
                  <pic:spPr>
                    <a:xfrm>
                      <a:off x="0" y="0"/>
                      <a:ext cx="5264156" cy="807181"/>
                    </a:xfrm>
                    <a:prstGeom prst="rect">
                      <a:avLst/>
                    </a:prstGeom>
                  </pic:spPr>
                </pic:pic>
              </a:graphicData>
            </a:graphic>
          </wp:inline>
        </w:drawing>
      </w:r>
    </w:p>
    <w:p w14:paraId="719BEAC0"/>
    <w:p w14:paraId="0589CB54">
      <w:pPr>
        <w:pStyle w:val="183"/>
      </w:pPr>
      <w:r>
        <w:rPr>
          <w:rFonts w:hint="eastAsia"/>
        </w:rPr>
        <w:t>防篡改网页缓存配置界面详细描述表</w:t>
      </w:r>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90"/>
        <w:gridCol w:w="6542"/>
      </w:tblGrid>
      <w:tr w14:paraId="689ADC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124A077F">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42" w:type="dxa"/>
            <w:tcBorders>
              <w:tl2br w:val="nil"/>
              <w:tr2bl w:val="nil"/>
            </w:tcBorders>
            <w:shd w:val="clear" w:color="auto" w:fill="538135" w:themeFill="accent6" w:themeFillShade="BF"/>
            <w:vAlign w:val="center"/>
          </w:tcPr>
          <w:p w14:paraId="3D0E4C88">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D2796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18099482">
            <w:pPr>
              <w:pStyle w:val="150"/>
            </w:pPr>
            <w:r>
              <w:rPr>
                <w:rFonts w:hint="eastAsia"/>
              </w:rPr>
              <w:t>缓存清理</w:t>
            </w:r>
          </w:p>
        </w:tc>
        <w:tc>
          <w:tcPr>
            <w:tcW w:w="6542" w:type="dxa"/>
            <w:shd w:val="clear" w:color="auto" w:fill="auto"/>
          </w:tcPr>
          <w:p w14:paraId="429304AF">
            <w:pPr>
              <w:pStyle w:val="150"/>
            </w:pPr>
            <w:r>
              <w:rPr>
                <w:rFonts w:hint="eastAsia"/>
              </w:rPr>
              <w:t>清理勾选的缓存U</w:t>
            </w:r>
            <w:r>
              <w:t>RL</w:t>
            </w:r>
          </w:p>
        </w:tc>
      </w:tr>
    </w:tbl>
    <w:p w14:paraId="12B345F7">
      <w:r>
        <w:br w:type="page"/>
      </w:r>
    </w:p>
    <w:bookmarkEnd w:id="7344"/>
    <w:bookmarkEnd w:id="7345"/>
    <w:bookmarkEnd w:id="7346"/>
    <w:bookmarkEnd w:id="7347"/>
    <w:bookmarkEnd w:id="7348"/>
    <w:bookmarkEnd w:id="7349"/>
    <w:bookmarkEnd w:id="7350"/>
    <w:bookmarkEnd w:id="7351"/>
    <w:bookmarkEnd w:id="7352"/>
    <w:bookmarkEnd w:id="7353"/>
    <w:bookmarkEnd w:id="7354"/>
    <w:bookmarkEnd w:id="7355"/>
    <w:p w14:paraId="7D00CE89">
      <w:pPr>
        <w:pStyle w:val="4"/>
      </w:pPr>
      <w:bookmarkStart w:id="7793" w:name="_Toc15463105"/>
      <w:bookmarkStart w:id="7794" w:name="_Toc15485309"/>
      <w:bookmarkStart w:id="7795" w:name="_Toc40276487"/>
      <w:bookmarkStart w:id="7796" w:name="_Toc99562018"/>
      <w:bookmarkStart w:id="7797" w:name="_Toc142401346"/>
      <w:bookmarkStart w:id="7798" w:name="_Toc172218635"/>
      <w:bookmarkStart w:id="7799" w:name="_Toc141873829"/>
      <w:bookmarkStart w:id="7800" w:name="_Toc194081137"/>
      <w:bookmarkStart w:id="7801" w:name="_Toc23153066"/>
      <w:bookmarkStart w:id="7802" w:name="_Toc196728465"/>
      <w:r>
        <w:t>风险扫描</w:t>
      </w:r>
      <w:bookmarkEnd w:id="7793"/>
      <w:bookmarkEnd w:id="7794"/>
      <w:bookmarkEnd w:id="7795"/>
      <w:bookmarkEnd w:id="7796"/>
      <w:bookmarkEnd w:id="7797"/>
      <w:bookmarkEnd w:id="7798"/>
      <w:bookmarkEnd w:id="7799"/>
      <w:bookmarkEnd w:id="7800"/>
      <w:bookmarkEnd w:id="7801"/>
      <w:bookmarkEnd w:id="7802"/>
    </w:p>
    <w:p w14:paraId="230050F0">
      <w:pPr>
        <w:pStyle w:val="5"/>
      </w:pPr>
      <w:bookmarkStart w:id="7803" w:name="_Toc15458592"/>
      <w:bookmarkStart w:id="7804" w:name="_Toc15463109"/>
      <w:bookmarkStart w:id="7805" w:name="_Toc40276492"/>
      <w:bookmarkStart w:id="7806" w:name="_Toc99562019"/>
      <w:bookmarkStart w:id="7807" w:name="_Toc141873830"/>
      <w:bookmarkStart w:id="7808" w:name="_Toc142401347"/>
      <w:bookmarkStart w:id="7809" w:name="_Toc15485314"/>
      <w:bookmarkStart w:id="7810" w:name="_Toc172218636"/>
      <w:bookmarkStart w:id="7811" w:name="_Toc23153071"/>
      <w:bookmarkStart w:id="7812" w:name="_Toc194081138"/>
      <w:bookmarkStart w:id="7813" w:name="_Toc196728466"/>
      <w:bookmarkStart w:id="7814" w:name="_Toc15463106"/>
      <w:bookmarkStart w:id="7815" w:name="_Toc40276488"/>
      <w:bookmarkStart w:id="7816" w:name="_Toc15485310"/>
      <w:bookmarkStart w:id="7817" w:name="_Toc23153067"/>
      <w:r>
        <w:rPr>
          <w:rFonts w:hint="eastAsia"/>
        </w:rPr>
        <w:t>端口扫描</w:t>
      </w:r>
      <w:bookmarkEnd w:id="7803"/>
      <w:bookmarkEnd w:id="7804"/>
      <w:bookmarkEnd w:id="7805"/>
      <w:bookmarkEnd w:id="7806"/>
      <w:bookmarkEnd w:id="7807"/>
      <w:bookmarkEnd w:id="7808"/>
      <w:bookmarkEnd w:id="7809"/>
      <w:bookmarkEnd w:id="7810"/>
      <w:bookmarkEnd w:id="7811"/>
      <w:bookmarkEnd w:id="7812"/>
      <w:bookmarkEnd w:id="7813"/>
    </w:p>
    <w:p w14:paraId="5E2DC1B4">
      <w:pPr>
        <w:pStyle w:val="6"/>
      </w:pPr>
      <w:bookmarkStart w:id="7818" w:name="_Toc15485315"/>
      <w:bookmarkStart w:id="7819" w:name="_Toc15458593"/>
      <w:bookmarkStart w:id="7820" w:name="_Toc40276493"/>
      <w:bookmarkStart w:id="7821" w:name="_Toc172218637"/>
      <w:bookmarkStart w:id="7822" w:name="_Toc15463110"/>
      <w:bookmarkStart w:id="7823" w:name="_Toc99562020"/>
      <w:bookmarkStart w:id="7824" w:name="_Toc141873831"/>
      <w:bookmarkStart w:id="7825" w:name="_Toc23153072"/>
      <w:bookmarkStart w:id="7826" w:name="_Toc142401348"/>
      <w:r>
        <w:rPr>
          <w:rFonts w:hint="eastAsia"/>
        </w:rPr>
        <w:t>端口扫描简介</w:t>
      </w:r>
      <w:bookmarkEnd w:id="7818"/>
      <w:bookmarkEnd w:id="7819"/>
      <w:bookmarkEnd w:id="7820"/>
      <w:bookmarkEnd w:id="7821"/>
      <w:bookmarkEnd w:id="7822"/>
      <w:bookmarkEnd w:id="7823"/>
      <w:bookmarkEnd w:id="7824"/>
      <w:bookmarkEnd w:id="7825"/>
      <w:bookmarkEnd w:id="7826"/>
    </w:p>
    <w:p w14:paraId="1C6D1147">
      <w:r>
        <w:rPr>
          <w:rFonts w:hint="eastAsia"/>
        </w:rPr>
        <w:t>端口扫描</w:t>
      </w:r>
      <w:r>
        <w:t>采用多线程方式对指定IP地址段(或单机)进行</w:t>
      </w:r>
      <w:r>
        <w:rPr>
          <w:rFonts w:hint="eastAsia"/>
        </w:rPr>
        <w:t>开发端口</w:t>
      </w:r>
      <w:r>
        <w:t>检测，支持</w:t>
      </w:r>
      <w:r>
        <w:rPr>
          <w:rFonts w:hint="eastAsia"/>
        </w:rPr>
        <w:t>自定义端口和模糊端口</w:t>
      </w:r>
      <w:r>
        <w:t>功能，提供</w:t>
      </w:r>
      <w:r>
        <w:rPr>
          <w:rFonts w:hint="eastAsia"/>
        </w:rPr>
        <w:t>单次端口扫描和周期性端口扫描</w:t>
      </w:r>
      <w:r>
        <w:t>方式</w:t>
      </w:r>
      <w:r>
        <w:rPr>
          <w:rFonts w:hint="eastAsia"/>
        </w:rPr>
        <w:t>。</w:t>
      </w:r>
    </w:p>
    <w:p w14:paraId="1F3C8013">
      <w:pPr>
        <w:pStyle w:val="6"/>
      </w:pPr>
      <w:bookmarkStart w:id="7827" w:name="_Toc99562021"/>
      <w:bookmarkStart w:id="7828" w:name="_Toc15485316"/>
      <w:bookmarkStart w:id="7829" w:name="_Toc23153073"/>
      <w:bookmarkStart w:id="7830" w:name="_Toc15458595"/>
      <w:bookmarkStart w:id="7831" w:name="_Toc15463112"/>
      <w:bookmarkStart w:id="7832" w:name="_Toc40276494"/>
      <w:bookmarkStart w:id="7833" w:name="_Toc142401349"/>
      <w:bookmarkStart w:id="7834" w:name="_Toc172218638"/>
      <w:bookmarkStart w:id="7835" w:name="_Toc141873832"/>
      <w:r>
        <w:rPr>
          <w:rFonts w:hint="eastAsia"/>
        </w:rPr>
        <w:t>端口扫描任务</w:t>
      </w:r>
      <w:bookmarkEnd w:id="7827"/>
      <w:bookmarkEnd w:id="7828"/>
      <w:bookmarkEnd w:id="7829"/>
      <w:bookmarkEnd w:id="7830"/>
      <w:bookmarkEnd w:id="7831"/>
      <w:bookmarkEnd w:id="7832"/>
      <w:bookmarkEnd w:id="7833"/>
      <w:bookmarkEnd w:id="7834"/>
      <w:bookmarkEnd w:id="7835"/>
    </w:p>
    <w:p w14:paraId="6F0A23FA">
      <w:pPr>
        <w:rPr>
          <w:bCs/>
          <w:sz w:val="30"/>
          <w:szCs w:val="44"/>
        </w:rPr>
      </w:pPr>
      <w:r>
        <w:rPr>
          <w:rFonts w:hint="eastAsia"/>
        </w:rPr>
        <w:t>如</w:t>
      </w:r>
      <w:r>
        <w:fldChar w:fldCharType="begin"/>
      </w:r>
      <w:r>
        <w:instrText xml:space="preserve"> </w:instrText>
      </w:r>
      <w:r>
        <w:rPr>
          <w:rFonts w:hint="eastAsia"/>
        </w:rPr>
        <w:instrText xml:space="preserve">REF _Ref15463211 \n</w:instrText>
      </w:r>
      <w:r>
        <w:instrText xml:space="preserve"> </w:instrText>
      </w:r>
      <w:r>
        <w:fldChar w:fldCharType="separate"/>
      </w:r>
      <w:r>
        <w:rPr>
          <w:rFonts w:hint="eastAsia"/>
        </w:rPr>
        <w:t>图29-73</w:t>
      </w:r>
      <w:r>
        <w:fldChar w:fldCharType="end"/>
      </w:r>
      <w:r>
        <w:rPr>
          <w:rFonts w:hint="eastAsia"/>
        </w:rPr>
        <w:t>所示，在导航栏中选择“策略配置&gt;安全设置&gt;风险扫描&gt;端口扫描&gt;端口扫描任务”，进入端口扫描任务的配置界面。点击“新建”创建扫描任务。</w:t>
      </w:r>
    </w:p>
    <w:p w14:paraId="73132E2B">
      <w:pPr>
        <w:pStyle w:val="188"/>
      </w:pPr>
      <w:bookmarkStart w:id="7836" w:name="_Ref15463211"/>
      <w:bookmarkStart w:id="7837" w:name="_Toc141875230"/>
      <w:r>
        <w:rPr>
          <w:rFonts w:hint="eastAsia"/>
        </w:rPr>
        <w:t>端口扫描任务配置界面</w:t>
      </w:r>
      <w:bookmarkEnd w:id="7836"/>
      <w:bookmarkEnd w:id="7837"/>
    </w:p>
    <w:p w14:paraId="41DF2DAB">
      <w:r>
        <w:drawing>
          <wp:inline distT="0" distB="0" distL="0" distR="0">
            <wp:extent cx="4114800" cy="4535170"/>
            <wp:effectExtent l="0" t="0" r="0" b="0"/>
            <wp:docPr id="891" name="图片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图片 891"/>
                    <pic:cNvPicPr>
                      <a:picLocks noChangeAspect="1"/>
                    </pic:cNvPicPr>
                  </pic:nvPicPr>
                  <pic:blipFill>
                    <a:blip r:embed="rId940"/>
                    <a:stretch>
                      <a:fillRect/>
                    </a:stretch>
                  </pic:blipFill>
                  <pic:spPr>
                    <a:xfrm>
                      <a:off x="0" y="0"/>
                      <a:ext cx="4125533" cy="4547242"/>
                    </a:xfrm>
                    <a:prstGeom prst="rect">
                      <a:avLst/>
                    </a:prstGeom>
                  </pic:spPr>
                </pic:pic>
              </a:graphicData>
            </a:graphic>
          </wp:inline>
        </w:drawing>
      </w:r>
    </w:p>
    <w:p w14:paraId="29E7D150"/>
    <w:p w14:paraId="3D55BBE2">
      <w:pPr>
        <w:pStyle w:val="183"/>
      </w:pPr>
      <w:bookmarkStart w:id="7838" w:name="_Toc141875762"/>
      <w:r>
        <w:rPr>
          <w:rFonts w:hint="eastAsia"/>
        </w:rPr>
        <w:t>端口扫描任务界面详细描述表</w:t>
      </w:r>
      <w:bookmarkEnd w:id="7838"/>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90"/>
        <w:gridCol w:w="6542"/>
      </w:tblGrid>
      <w:tr w14:paraId="7466016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1D15B46E">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42" w:type="dxa"/>
            <w:tcBorders>
              <w:tl2br w:val="nil"/>
              <w:tr2bl w:val="nil"/>
            </w:tcBorders>
            <w:shd w:val="clear" w:color="auto" w:fill="538135" w:themeFill="accent6" w:themeFillShade="BF"/>
            <w:vAlign w:val="center"/>
          </w:tcPr>
          <w:p w14:paraId="64B7A5F1">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1B589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08512ACF">
            <w:pPr>
              <w:pStyle w:val="150"/>
            </w:pPr>
            <w:r>
              <w:rPr>
                <w:rFonts w:hint="eastAsia"/>
              </w:rPr>
              <w:t>任务名称</w:t>
            </w:r>
          </w:p>
        </w:tc>
        <w:tc>
          <w:tcPr>
            <w:tcW w:w="6542" w:type="dxa"/>
            <w:shd w:val="clear" w:color="auto" w:fill="auto"/>
          </w:tcPr>
          <w:p w14:paraId="2CE3FEDF">
            <w:pPr>
              <w:pStyle w:val="150"/>
            </w:pPr>
            <w:r>
              <w:rPr>
                <w:rFonts w:hint="eastAsia"/>
              </w:rPr>
              <w:t>自定义任务名称</w:t>
            </w:r>
          </w:p>
        </w:tc>
      </w:tr>
      <w:tr w14:paraId="579EAD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6C604195">
            <w:pPr>
              <w:pStyle w:val="150"/>
            </w:pPr>
            <w:r>
              <w:rPr>
                <w:rFonts w:hint="eastAsia"/>
              </w:rPr>
              <w:t>地址项目</w:t>
            </w:r>
          </w:p>
        </w:tc>
        <w:tc>
          <w:tcPr>
            <w:tcW w:w="6542" w:type="dxa"/>
            <w:shd w:val="clear" w:color="auto" w:fill="auto"/>
          </w:tcPr>
          <w:p w14:paraId="43C0D456">
            <w:pPr>
              <w:pStyle w:val="150"/>
            </w:pPr>
            <w:r>
              <w:rPr>
                <w:rFonts w:hint="eastAsia"/>
              </w:rPr>
              <w:t>被扫描的网络地址，支持主机，网段，范围设置</w:t>
            </w:r>
          </w:p>
        </w:tc>
      </w:tr>
      <w:tr w14:paraId="59ECF45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D76B5EC">
            <w:pPr>
              <w:pStyle w:val="150"/>
            </w:pPr>
            <w:r>
              <w:rPr>
                <w:rFonts w:hint="eastAsia"/>
              </w:rPr>
              <w:t>端口</w:t>
            </w:r>
          </w:p>
        </w:tc>
        <w:tc>
          <w:tcPr>
            <w:tcW w:w="6542" w:type="dxa"/>
            <w:shd w:val="clear" w:color="auto" w:fill="auto"/>
          </w:tcPr>
          <w:p w14:paraId="4E2E1BCA">
            <w:pPr>
              <w:pStyle w:val="150"/>
            </w:pPr>
            <w:r>
              <w:rPr>
                <w:rFonts w:hint="eastAsia"/>
              </w:rPr>
              <w:t>支持自定义端口和模糊端口方式，模糊端口只支持TCP端口</w:t>
            </w:r>
          </w:p>
        </w:tc>
      </w:tr>
      <w:tr w14:paraId="45571B6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26787C5">
            <w:pPr>
              <w:pStyle w:val="150"/>
            </w:pPr>
            <w:r>
              <w:rPr>
                <w:rFonts w:hint="eastAsia"/>
              </w:rPr>
              <w:t>扫描类型</w:t>
            </w:r>
          </w:p>
        </w:tc>
        <w:tc>
          <w:tcPr>
            <w:tcW w:w="6542" w:type="dxa"/>
            <w:shd w:val="clear" w:color="auto" w:fill="auto"/>
          </w:tcPr>
          <w:p w14:paraId="08D097AA">
            <w:pPr>
              <w:pStyle w:val="150"/>
            </w:pPr>
            <w:r>
              <w:rPr>
                <w:rFonts w:hint="eastAsia"/>
              </w:rPr>
              <w:t>单次扫描或定期扫描时间配置</w:t>
            </w:r>
          </w:p>
        </w:tc>
      </w:tr>
      <w:tr w14:paraId="151378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39C3965D">
            <w:pPr>
              <w:pStyle w:val="150"/>
            </w:pPr>
            <w:r>
              <w:rPr>
                <w:rFonts w:hint="eastAsia"/>
              </w:rPr>
              <w:t>任务描述</w:t>
            </w:r>
          </w:p>
        </w:tc>
        <w:tc>
          <w:tcPr>
            <w:tcW w:w="6542" w:type="dxa"/>
            <w:shd w:val="clear" w:color="auto" w:fill="auto"/>
          </w:tcPr>
          <w:p w14:paraId="1F6C33FF">
            <w:pPr>
              <w:pStyle w:val="150"/>
            </w:pPr>
            <w:r>
              <w:rPr>
                <w:rFonts w:hint="eastAsia"/>
              </w:rPr>
              <w:t>自定义任务描述</w:t>
            </w:r>
          </w:p>
        </w:tc>
      </w:tr>
    </w:tbl>
    <w:p w14:paraId="27098A26"/>
    <w:p w14:paraId="34058C9A">
      <w:pPr>
        <w:pStyle w:val="6"/>
      </w:pPr>
      <w:bookmarkStart w:id="7839" w:name="_Toc40276495"/>
      <w:bookmarkStart w:id="7840" w:name="_Toc99562022"/>
      <w:bookmarkStart w:id="7841" w:name="_Toc142401350"/>
      <w:bookmarkStart w:id="7842" w:name="_Toc15463113"/>
      <w:bookmarkStart w:id="7843" w:name="_Toc141873833"/>
      <w:bookmarkStart w:id="7844" w:name="_Toc23153074"/>
      <w:bookmarkStart w:id="7845" w:name="_Toc172218639"/>
      <w:bookmarkStart w:id="7846" w:name="_Toc15458596"/>
      <w:bookmarkStart w:id="7847" w:name="_Toc15485317"/>
      <w:r>
        <w:rPr>
          <w:rFonts w:hint="eastAsia"/>
        </w:rPr>
        <w:t>端口扫描结果</w:t>
      </w:r>
      <w:bookmarkEnd w:id="7839"/>
      <w:bookmarkEnd w:id="7840"/>
      <w:bookmarkEnd w:id="7841"/>
      <w:bookmarkEnd w:id="7842"/>
      <w:bookmarkEnd w:id="7843"/>
      <w:bookmarkEnd w:id="7844"/>
      <w:bookmarkEnd w:id="7845"/>
      <w:bookmarkEnd w:id="7846"/>
      <w:bookmarkEnd w:id="7847"/>
    </w:p>
    <w:p w14:paraId="53EFBDA5">
      <w:pPr>
        <w:rPr>
          <w:bCs/>
          <w:sz w:val="30"/>
          <w:szCs w:val="44"/>
        </w:rPr>
      </w:pPr>
      <w:r>
        <w:rPr>
          <w:rFonts w:hint="eastAsia"/>
        </w:rPr>
        <w:t>如</w:t>
      </w:r>
      <w:r>
        <w:fldChar w:fldCharType="begin"/>
      </w:r>
      <w:r>
        <w:instrText xml:space="preserve"> </w:instrText>
      </w:r>
      <w:r>
        <w:rPr>
          <w:rFonts w:hint="eastAsia"/>
        </w:rPr>
        <w:instrText xml:space="preserve">REF _Ref15463237 \n</w:instrText>
      </w:r>
      <w:r>
        <w:instrText xml:space="preserve"> </w:instrText>
      </w:r>
      <w:r>
        <w:fldChar w:fldCharType="separate"/>
      </w:r>
      <w:r>
        <w:rPr>
          <w:rFonts w:hint="eastAsia"/>
        </w:rPr>
        <w:t>图29-74</w:t>
      </w:r>
      <w:r>
        <w:fldChar w:fldCharType="end"/>
      </w:r>
      <w:r>
        <w:rPr>
          <w:rFonts w:hint="eastAsia"/>
        </w:rPr>
        <w:t>所示，在导航栏中选择“策略配置&gt;安全设置&gt;风险扫描&gt;端口扫描&gt;端口扫描结果”，进入端口扫描结果的配置界面。</w:t>
      </w:r>
    </w:p>
    <w:p w14:paraId="2F4B4AA5">
      <w:pPr>
        <w:pStyle w:val="188"/>
      </w:pPr>
      <w:bookmarkStart w:id="7848" w:name="_Ref15463237"/>
      <w:bookmarkStart w:id="7849" w:name="_Toc141875231"/>
      <w:r>
        <w:rPr>
          <w:rFonts w:hint="eastAsia"/>
        </w:rPr>
        <w:t>端口扫描结果界面</w:t>
      </w:r>
      <w:bookmarkEnd w:id="7848"/>
      <w:bookmarkEnd w:id="7849"/>
    </w:p>
    <w:p w14:paraId="767B5E66">
      <w:r>
        <w:drawing>
          <wp:inline distT="0" distB="0" distL="0" distR="0">
            <wp:extent cx="5400040" cy="971550"/>
            <wp:effectExtent l="0" t="0" r="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941"/>
                    <a:stretch>
                      <a:fillRect/>
                    </a:stretch>
                  </pic:blipFill>
                  <pic:spPr>
                    <a:xfrm>
                      <a:off x="0" y="0"/>
                      <a:ext cx="5400040" cy="971550"/>
                    </a:xfrm>
                    <a:prstGeom prst="rect">
                      <a:avLst/>
                    </a:prstGeom>
                  </pic:spPr>
                </pic:pic>
              </a:graphicData>
            </a:graphic>
          </wp:inline>
        </w:drawing>
      </w:r>
    </w:p>
    <w:p w14:paraId="04E119AE"/>
    <w:p w14:paraId="651FA12B">
      <w:pPr>
        <w:pStyle w:val="183"/>
      </w:pPr>
      <w:bookmarkStart w:id="7850" w:name="_Toc141875763"/>
      <w:r>
        <w:rPr>
          <w:rFonts w:hint="eastAsia"/>
        </w:rPr>
        <w:t>端口扫描结果详细描述表</w:t>
      </w:r>
      <w:bookmarkEnd w:id="7850"/>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90"/>
        <w:gridCol w:w="6542"/>
      </w:tblGrid>
      <w:tr w14:paraId="46545EA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0976C910">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42" w:type="dxa"/>
            <w:tcBorders>
              <w:tl2br w:val="nil"/>
              <w:tr2bl w:val="nil"/>
            </w:tcBorders>
            <w:shd w:val="clear" w:color="auto" w:fill="538135" w:themeFill="accent6" w:themeFillShade="BF"/>
            <w:vAlign w:val="center"/>
          </w:tcPr>
          <w:p w14:paraId="2D0C2782">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4F049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DBFD787">
            <w:pPr>
              <w:pStyle w:val="150"/>
            </w:pPr>
            <w:r>
              <w:rPr>
                <w:rFonts w:hint="eastAsia"/>
              </w:rPr>
              <w:t>删除</w:t>
            </w:r>
          </w:p>
        </w:tc>
        <w:tc>
          <w:tcPr>
            <w:tcW w:w="6542" w:type="dxa"/>
            <w:shd w:val="clear" w:color="auto" w:fill="auto"/>
          </w:tcPr>
          <w:p w14:paraId="33BC2BFD">
            <w:pPr>
              <w:pStyle w:val="150"/>
            </w:pPr>
            <w:r>
              <w:rPr>
                <w:rFonts w:hint="eastAsia"/>
              </w:rPr>
              <w:t>删除端口扫描历史结果</w:t>
            </w:r>
          </w:p>
        </w:tc>
      </w:tr>
      <w:tr w14:paraId="58CF95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1407D02">
            <w:pPr>
              <w:pStyle w:val="150"/>
            </w:pPr>
            <w:r>
              <w:rPr>
                <w:rFonts w:hint="eastAsia"/>
              </w:rPr>
              <w:t>任务名称</w:t>
            </w:r>
          </w:p>
        </w:tc>
        <w:tc>
          <w:tcPr>
            <w:tcW w:w="6542" w:type="dxa"/>
            <w:shd w:val="clear" w:color="auto" w:fill="auto"/>
          </w:tcPr>
          <w:p w14:paraId="42087078">
            <w:pPr>
              <w:pStyle w:val="150"/>
            </w:pPr>
            <w:r>
              <w:rPr>
                <w:rFonts w:hint="eastAsia"/>
              </w:rPr>
              <w:t>端口扫描任务名称</w:t>
            </w:r>
          </w:p>
        </w:tc>
      </w:tr>
      <w:tr w14:paraId="0EF7B8F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E94AA19">
            <w:pPr>
              <w:pStyle w:val="150"/>
            </w:pPr>
            <w:r>
              <w:rPr>
                <w:rFonts w:hint="eastAsia"/>
              </w:rPr>
              <w:t>执行状态</w:t>
            </w:r>
          </w:p>
        </w:tc>
        <w:tc>
          <w:tcPr>
            <w:tcW w:w="6542" w:type="dxa"/>
            <w:shd w:val="clear" w:color="auto" w:fill="auto"/>
          </w:tcPr>
          <w:p w14:paraId="184E4D49">
            <w:pPr>
              <w:pStyle w:val="150"/>
            </w:pPr>
            <w:r>
              <w:rPr>
                <w:rFonts w:hint="eastAsia"/>
              </w:rPr>
              <w:t>端口扫描任务执行状态</w:t>
            </w:r>
          </w:p>
        </w:tc>
      </w:tr>
      <w:tr w14:paraId="3C08603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507EE412">
            <w:pPr>
              <w:pStyle w:val="150"/>
            </w:pPr>
            <w:r>
              <w:rPr>
                <w:rFonts w:hint="eastAsia"/>
              </w:rPr>
              <w:t>任务类型</w:t>
            </w:r>
          </w:p>
        </w:tc>
        <w:tc>
          <w:tcPr>
            <w:tcW w:w="6542" w:type="dxa"/>
            <w:shd w:val="clear" w:color="auto" w:fill="auto"/>
          </w:tcPr>
          <w:p w14:paraId="2F005D4F">
            <w:pPr>
              <w:pStyle w:val="150"/>
            </w:pPr>
            <w:r>
              <w:rPr>
                <w:rFonts w:hint="eastAsia"/>
              </w:rPr>
              <w:t>端口扫描任务周期，比如：单次、每周等</w:t>
            </w:r>
          </w:p>
        </w:tc>
      </w:tr>
      <w:tr w14:paraId="6B4786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85FE085">
            <w:pPr>
              <w:pStyle w:val="150"/>
            </w:pPr>
            <w:r>
              <w:rPr>
                <w:rFonts w:hint="eastAsia"/>
              </w:rPr>
              <w:t>目的地址</w:t>
            </w:r>
          </w:p>
        </w:tc>
        <w:tc>
          <w:tcPr>
            <w:tcW w:w="6542" w:type="dxa"/>
            <w:shd w:val="clear" w:color="auto" w:fill="auto"/>
          </w:tcPr>
          <w:p w14:paraId="01350D2F">
            <w:pPr>
              <w:pStyle w:val="150"/>
            </w:pPr>
            <w:r>
              <w:rPr>
                <w:rFonts w:hint="eastAsia"/>
              </w:rPr>
              <w:t>端口扫描IP范围</w:t>
            </w:r>
          </w:p>
        </w:tc>
      </w:tr>
      <w:tr w14:paraId="0870DE7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3209B3A5">
            <w:pPr>
              <w:pStyle w:val="150"/>
            </w:pPr>
            <w:r>
              <w:rPr>
                <w:rFonts w:hint="eastAsia"/>
              </w:rPr>
              <w:t>端口</w:t>
            </w:r>
          </w:p>
        </w:tc>
        <w:tc>
          <w:tcPr>
            <w:tcW w:w="6542" w:type="dxa"/>
            <w:shd w:val="clear" w:color="auto" w:fill="auto"/>
          </w:tcPr>
          <w:p w14:paraId="393D8700">
            <w:pPr>
              <w:pStyle w:val="150"/>
            </w:pPr>
            <w:r>
              <w:rPr>
                <w:rFonts w:hint="eastAsia"/>
              </w:rPr>
              <w:t>端口扫描端口范围</w:t>
            </w:r>
          </w:p>
        </w:tc>
      </w:tr>
      <w:tr w14:paraId="4C080A9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6D1388C5">
            <w:pPr>
              <w:pStyle w:val="150"/>
            </w:pPr>
            <w:r>
              <w:rPr>
                <w:rFonts w:hint="eastAsia"/>
              </w:rPr>
              <w:t>开始时间</w:t>
            </w:r>
          </w:p>
        </w:tc>
        <w:tc>
          <w:tcPr>
            <w:tcW w:w="6542" w:type="dxa"/>
            <w:shd w:val="clear" w:color="auto" w:fill="auto"/>
          </w:tcPr>
          <w:p w14:paraId="2172CBFA">
            <w:pPr>
              <w:pStyle w:val="150"/>
            </w:pPr>
            <w:r>
              <w:rPr>
                <w:rFonts w:hint="eastAsia"/>
              </w:rPr>
              <w:t>端口扫描开始时间</w:t>
            </w:r>
          </w:p>
        </w:tc>
      </w:tr>
      <w:tr w14:paraId="129744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6B8A20DC">
            <w:pPr>
              <w:pStyle w:val="150"/>
            </w:pPr>
            <w:r>
              <w:rPr>
                <w:rFonts w:hint="eastAsia"/>
              </w:rPr>
              <w:t>执行时长</w:t>
            </w:r>
          </w:p>
        </w:tc>
        <w:tc>
          <w:tcPr>
            <w:tcW w:w="6542" w:type="dxa"/>
            <w:shd w:val="clear" w:color="auto" w:fill="auto"/>
          </w:tcPr>
          <w:p w14:paraId="2D1B7D00">
            <w:pPr>
              <w:pStyle w:val="150"/>
            </w:pPr>
            <w:r>
              <w:rPr>
                <w:rFonts w:hint="eastAsia"/>
              </w:rPr>
              <w:t>端口扫描执行时长</w:t>
            </w:r>
          </w:p>
        </w:tc>
      </w:tr>
      <w:tr w14:paraId="0F6586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501FC173">
            <w:pPr>
              <w:pStyle w:val="150"/>
            </w:pPr>
            <w:r>
              <w:rPr>
                <w:rFonts w:hint="eastAsia"/>
              </w:rPr>
              <w:t>操作</w:t>
            </w:r>
          </w:p>
        </w:tc>
        <w:tc>
          <w:tcPr>
            <w:tcW w:w="6542" w:type="dxa"/>
            <w:shd w:val="clear" w:color="auto" w:fill="auto"/>
          </w:tcPr>
          <w:p w14:paraId="6D4D34B6">
            <w:pPr>
              <w:pStyle w:val="150"/>
            </w:pPr>
            <w:r>
              <w:rPr>
                <w:rFonts w:hint="eastAsia"/>
              </w:rPr>
              <w:t>可删除端口扫描历史记录</w:t>
            </w:r>
          </w:p>
          <w:p w14:paraId="45EC2573">
            <w:pPr>
              <w:pStyle w:val="150"/>
            </w:pPr>
            <w:r>
              <w:rPr>
                <w:rFonts w:hint="eastAsia"/>
              </w:rPr>
              <w:t>可点击详细查看详细端口扫描历史记录</w:t>
            </w:r>
          </w:p>
        </w:tc>
      </w:tr>
    </w:tbl>
    <w:p w14:paraId="749C95CD">
      <w:r>
        <w:br w:type="page"/>
      </w:r>
    </w:p>
    <w:p w14:paraId="362BCB11">
      <w:pPr>
        <w:pStyle w:val="5"/>
      </w:pPr>
      <w:bookmarkStart w:id="7851" w:name="_Toc141873834"/>
      <w:bookmarkStart w:id="7852" w:name="_Toc172218640"/>
      <w:bookmarkStart w:id="7853" w:name="_Toc196728467"/>
      <w:bookmarkStart w:id="7854" w:name="_Toc142401351"/>
      <w:bookmarkStart w:id="7855" w:name="_Toc99562023"/>
      <w:bookmarkStart w:id="7856" w:name="_Toc194081139"/>
      <w:r>
        <w:rPr>
          <w:rFonts w:hint="eastAsia"/>
        </w:rPr>
        <w:t>弱密码扫描</w:t>
      </w:r>
      <w:bookmarkEnd w:id="7814"/>
      <w:bookmarkEnd w:id="7815"/>
      <w:bookmarkEnd w:id="7816"/>
      <w:bookmarkEnd w:id="7817"/>
      <w:bookmarkEnd w:id="7851"/>
      <w:bookmarkEnd w:id="7852"/>
      <w:bookmarkEnd w:id="7853"/>
      <w:bookmarkEnd w:id="7854"/>
      <w:bookmarkEnd w:id="7855"/>
      <w:bookmarkEnd w:id="7856"/>
    </w:p>
    <w:p w14:paraId="491A0CBD">
      <w:pPr>
        <w:pStyle w:val="6"/>
      </w:pPr>
      <w:bookmarkStart w:id="7857" w:name="_Toc15463107"/>
      <w:bookmarkStart w:id="7858" w:name="_Toc15485311"/>
      <w:bookmarkStart w:id="7859" w:name="_Toc23153068"/>
      <w:bookmarkStart w:id="7860" w:name="_Toc141873835"/>
      <w:bookmarkStart w:id="7861" w:name="_Toc142401352"/>
      <w:bookmarkStart w:id="7862" w:name="_Toc40276489"/>
      <w:bookmarkStart w:id="7863" w:name="_Toc99562024"/>
      <w:bookmarkStart w:id="7864" w:name="_Toc172218641"/>
      <w:r>
        <w:rPr>
          <w:rFonts w:hint="eastAsia"/>
        </w:rPr>
        <w:t>弱密码扫描简介</w:t>
      </w:r>
      <w:bookmarkEnd w:id="7857"/>
      <w:bookmarkEnd w:id="7858"/>
      <w:bookmarkEnd w:id="7859"/>
      <w:bookmarkEnd w:id="7860"/>
      <w:bookmarkEnd w:id="7861"/>
      <w:bookmarkEnd w:id="7862"/>
      <w:bookmarkEnd w:id="7863"/>
      <w:bookmarkEnd w:id="7864"/>
    </w:p>
    <w:p w14:paraId="07678608">
      <w:r>
        <w:rPr>
          <w:rFonts w:hint="eastAsia"/>
        </w:rPr>
        <w:t>弱密码扫描</w:t>
      </w:r>
      <w:r>
        <w:t>采用多线程方式对指定IP地址段(或单机)进行</w:t>
      </w:r>
      <w:r>
        <w:rPr>
          <w:rFonts w:hint="eastAsia"/>
        </w:rPr>
        <w:t>弱密码</w:t>
      </w:r>
      <w:r>
        <w:t>检测，支持</w:t>
      </w:r>
      <w:r>
        <w:rPr>
          <w:rFonts w:hint="eastAsia"/>
        </w:rPr>
        <w:t>自定义字典</w:t>
      </w:r>
      <w:r>
        <w:t>功能，提供</w:t>
      </w:r>
      <w:r>
        <w:rPr>
          <w:rFonts w:hint="eastAsia"/>
        </w:rPr>
        <w:t>单次弱密码扫描和周期性弱密码扫描</w:t>
      </w:r>
      <w:r>
        <w:t>方式，扫描</w:t>
      </w:r>
      <w:r>
        <w:rPr>
          <w:rFonts w:hint="eastAsia"/>
        </w:rPr>
        <w:t>服务</w:t>
      </w:r>
      <w:r>
        <w:t>包括</w:t>
      </w:r>
      <w:r>
        <w:rPr>
          <w:rFonts w:hint="eastAsia"/>
        </w:rPr>
        <w:t>: ftp、ssh、telnet、imap、smtp、pop3、mssql、mysql、postgres、rlogin、vnc。</w:t>
      </w:r>
    </w:p>
    <w:p w14:paraId="298D8C71">
      <w:pPr>
        <w:pStyle w:val="6"/>
      </w:pPr>
      <w:bookmarkStart w:id="7865" w:name="_Toc141873836"/>
      <w:bookmarkStart w:id="7866" w:name="_Toc142401353"/>
      <w:bookmarkStart w:id="7867" w:name="_Toc23153069"/>
      <w:bookmarkStart w:id="7868" w:name="_Toc15485312"/>
      <w:bookmarkStart w:id="7869" w:name="_Toc40276490"/>
      <w:bookmarkStart w:id="7870" w:name="_Toc99562025"/>
      <w:bookmarkStart w:id="7871" w:name="_Toc172218642"/>
      <w:r>
        <w:rPr>
          <w:rFonts w:hint="eastAsia"/>
        </w:rPr>
        <w:t>弱密码扫描任务</w:t>
      </w:r>
      <w:bookmarkEnd w:id="7865"/>
      <w:bookmarkEnd w:id="7866"/>
      <w:bookmarkEnd w:id="7867"/>
      <w:bookmarkEnd w:id="7868"/>
      <w:bookmarkEnd w:id="7869"/>
      <w:bookmarkEnd w:id="7870"/>
      <w:bookmarkEnd w:id="7871"/>
    </w:p>
    <w:p w14:paraId="365192FC">
      <w:pPr>
        <w:rPr>
          <w:bCs/>
          <w:sz w:val="30"/>
          <w:szCs w:val="44"/>
        </w:rPr>
      </w:pPr>
      <w:r>
        <w:rPr>
          <w:rFonts w:hint="eastAsia"/>
        </w:rPr>
        <w:t>在导航栏中选择“策略配置&gt;安全设置&gt;风险扫描&gt;弱密码扫描&gt;扫描任务”，进入弱密码扫描任务的配置界面。点击“新建”创建扫描任务。</w:t>
      </w:r>
    </w:p>
    <w:p w14:paraId="72808F68">
      <w:pPr>
        <w:pStyle w:val="188"/>
      </w:pPr>
      <w:bookmarkStart w:id="7872" w:name="_Toc141875232"/>
      <w:r>
        <w:rPr>
          <w:rFonts w:hint="eastAsia"/>
        </w:rPr>
        <w:t>弱密码扫描任务配置界面</w:t>
      </w:r>
      <w:bookmarkEnd w:id="7872"/>
    </w:p>
    <w:p w14:paraId="490A7C05">
      <w:pPr>
        <w:spacing w:before="78" w:after="78"/>
      </w:pPr>
      <w:r>
        <w:drawing>
          <wp:inline distT="0" distB="0" distL="114300" distR="114300">
            <wp:extent cx="5400040" cy="4366260"/>
            <wp:effectExtent l="0" t="0" r="0" b="0"/>
            <wp:docPr id="89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图片 41"/>
                    <pic:cNvPicPr>
                      <a:picLocks noChangeAspect="1"/>
                    </pic:cNvPicPr>
                  </pic:nvPicPr>
                  <pic:blipFill>
                    <a:blip r:embed="rId942"/>
                    <a:stretch>
                      <a:fillRect/>
                    </a:stretch>
                  </pic:blipFill>
                  <pic:spPr>
                    <a:xfrm>
                      <a:off x="0" y="0"/>
                      <a:ext cx="5400040" cy="4366336"/>
                    </a:xfrm>
                    <a:prstGeom prst="rect">
                      <a:avLst/>
                    </a:prstGeom>
                    <a:noFill/>
                    <a:ln>
                      <a:noFill/>
                    </a:ln>
                  </pic:spPr>
                </pic:pic>
              </a:graphicData>
            </a:graphic>
          </wp:inline>
        </w:drawing>
      </w:r>
    </w:p>
    <w:p w14:paraId="3244B3BE"/>
    <w:p w14:paraId="10B05765">
      <w:pPr>
        <w:pStyle w:val="183"/>
      </w:pPr>
      <w:bookmarkStart w:id="7873" w:name="_Toc141875764"/>
      <w:r>
        <w:rPr>
          <w:rFonts w:hint="eastAsia"/>
        </w:rPr>
        <w:t>弱密码扫描任务界面详细描述表</w:t>
      </w:r>
      <w:bookmarkEnd w:id="7873"/>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90"/>
        <w:gridCol w:w="6542"/>
      </w:tblGrid>
      <w:tr w14:paraId="70244E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tcBorders>
              <w:tl2br w:val="nil"/>
              <w:tr2bl w:val="nil"/>
            </w:tcBorders>
            <w:shd w:val="clear" w:color="auto" w:fill="538135" w:themeFill="accent6" w:themeFillShade="BF"/>
            <w:vAlign w:val="center"/>
          </w:tcPr>
          <w:p w14:paraId="58156939">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42" w:type="dxa"/>
            <w:tcBorders>
              <w:tl2br w:val="nil"/>
              <w:tr2bl w:val="nil"/>
            </w:tcBorders>
            <w:shd w:val="clear" w:color="auto" w:fill="538135" w:themeFill="accent6" w:themeFillShade="BF"/>
            <w:vAlign w:val="center"/>
          </w:tcPr>
          <w:p w14:paraId="48729E00">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43959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3BD9D3F3">
            <w:pPr>
              <w:pStyle w:val="150"/>
            </w:pPr>
            <w:r>
              <w:rPr>
                <w:rFonts w:hint="eastAsia"/>
              </w:rPr>
              <w:t>任务名称</w:t>
            </w:r>
          </w:p>
        </w:tc>
        <w:tc>
          <w:tcPr>
            <w:tcW w:w="6542" w:type="dxa"/>
            <w:shd w:val="clear" w:color="auto" w:fill="auto"/>
          </w:tcPr>
          <w:p w14:paraId="2EA4D2D7">
            <w:pPr>
              <w:pStyle w:val="150"/>
            </w:pPr>
            <w:r>
              <w:rPr>
                <w:rFonts w:hint="eastAsia"/>
              </w:rPr>
              <w:t>自定义任务名称</w:t>
            </w:r>
          </w:p>
        </w:tc>
      </w:tr>
      <w:tr w14:paraId="6EC0C0A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72A48DB">
            <w:pPr>
              <w:pStyle w:val="150"/>
            </w:pPr>
            <w:r>
              <w:rPr>
                <w:rFonts w:hint="eastAsia"/>
              </w:rPr>
              <w:t>项目地址</w:t>
            </w:r>
          </w:p>
        </w:tc>
        <w:tc>
          <w:tcPr>
            <w:tcW w:w="6542" w:type="dxa"/>
            <w:shd w:val="clear" w:color="auto" w:fill="auto"/>
          </w:tcPr>
          <w:p w14:paraId="1C39C17E">
            <w:pPr>
              <w:pStyle w:val="150"/>
            </w:pPr>
            <w:r>
              <w:rPr>
                <w:rFonts w:hint="eastAsia"/>
              </w:rPr>
              <w:t>被扫描的网络地址，支持主机，网段，范围设置</w:t>
            </w:r>
          </w:p>
        </w:tc>
      </w:tr>
      <w:tr w14:paraId="6F349D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3AAFA17">
            <w:pPr>
              <w:pStyle w:val="150"/>
            </w:pPr>
            <w:r>
              <w:rPr>
                <w:rFonts w:hint="eastAsia"/>
              </w:rPr>
              <w:t>服务</w:t>
            </w:r>
          </w:p>
        </w:tc>
        <w:tc>
          <w:tcPr>
            <w:tcW w:w="6542" w:type="dxa"/>
            <w:shd w:val="clear" w:color="auto" w:fill="auto"/>
          </w:tcPr>
          <w:p w14:paraId="01492C49">
            <w:pPr>
              <w:pStyle w:val="150"/>
            </w:pPr>
            <w:r>
              <w:rPr>
                <w:rFonts w:hint="eastAsia"/>
              </w:rPr>
              <w:t>扫描的服务项</w:t>
            </w:r>
          </w:p>
        </w:tc>
      </w:tr>
      <w:tr w14:paraId="0A91392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508ECF73">
            <w:pPr>
              <w:pStyle w:val="150"/>
            </w:pPr>
            <w:r>
              <w:rPr>
                <w:rFonts w:hint="eastAsia"/>
              </w:rPr>
              <w:t>扫描方式</w:t>
            </w:r>
          </w:p>
        </w:tc>
        <w:tc>
          <w:tcPr>
            <w:tcW w:w="6542" w:type="dxa"/>
            <w:shd w:val="clear" w:color="auto" w:fill="auto"/>
          </w:tcPr>
          <w:p w14:paraId="11B93E21">
            <w:pPr>
              <w:pStyle w:val="150"/>
            </w:pPr>
            <w:r>
              <w:rPr>
                <w:rFonts w:hint="eastAsia"/>
              </w:rPr>
              <w:t>根据字典库内容选择不同扫描方式</w:t>
            </w:r>
          </w:p>
        </w:tc>
      </w:tr>
      <w:tr w14:paraId="379A620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004B4E3D">
            <w:pPr>
              <w:pStyle w:val="150"/>
            </w:pPr>
            <w:r>
              <w:rPr>
                <w:rFonts w:hint="eastAsia"/>
              </w:rPr>
              <w:t>空密码检测</w:t>
            </w:r>
          </w:p>
        </w:tc>
        <w:tc>
          <w:tcPr>
            <w:tcW w:w="6542" w:type="dxa"/>
            <w:shd w:val="clear" w:color="auto" w:fill="auto"/>
          </w:tcPr>
          <w:p w14:paraId="64053A4C">
            <w:pPr>
              <w:pStyle w:val="150"/>
            </w:pPr>
            <w:r>
              <w:rPr>
                <w:rFonts w:hint="eastAsia"/>
              </w:rPr>
              <w:t>开启关闭空密码检测功能</w:t>
            </w:r>
          </w:p>
        </w:tc>
      </w:tr>
      <w:tr w14:paraId="40C8BE2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38AFAEC3">
            <w:pPr>
              <w:pStyle w:val="150"/>
            </w:pPr>
            <w:r>
              <w:rPr>
                <w:rFonts w:hint="eastAsia"/>
              </w:rPr>
              <w:t>用户名和密码相同检测</w:t>
            </w:r>
          </w:p>
        </w:tc>
        <w:tc>
          <w:tcPr>
            <w:tcW w:w="6542" w:type="dxa"/>
            <w:shd w:val="clear" w:color="auto" w:fill="auto"/>
          </w:tcPr>
          <w:p w14:paraId="46D05138">
            <w:pPr>
              <w:pStyle w:val="150"/>
            </w:pPr>
            <w:r>
              <w:rPr>
                <w:rFonts w:hint="eastAsia"/>
              </w:rPr>
              <w:t>开启关闭用户名和密码相同检测功能</w:t>
            </w:r>
          </w:p>
        </w:tc>
      </w:tr>
      <w:tr w14:paraId="6DFD8E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0333B06">
            <w:pPr>
              <w:pStyle w:val="150"/>
            </w:pPr>
            <w:r>
              <w:rPr>
                <w:rFonts w:hint="eastAsia"/>
              </w:rPr>
              <w:t>扫描类型</w:t>
            </w:r>
          </w:p>
        </w:tc>
        <w:tc>
          <w:tcPr>
            <w:tcW w:w="6542" w:type="dxa"/>
            <w:shd w:val="clear" w:color="auto" w:fill="auto"/>
          </w:tcPr>
          <w:p w14:paraId="786C4E1C">
            <w:pPr>
              <w:pStyle w:val="150"/>
            </w:pPr>
            <w:r>
              <w:rPr>
                <w:rFonts w:hint="eastAsia"/>
              </w:rPr>
              <w:t>单次扫描或定期扫描时间配置</w:t>
            </w:r>
          </w:p>
        </w:tc>
      </w:tr>
      <w:tr w14:paraId="0650C11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3362913E">
            <w:pPr>
              <w:pStyle w:val="150"/>
            </w:pPr>
            <w:r>
              <w:rPr>
                <w:rFonts w:hint="eastAsia"/>
              </w:rPr>
              <w:t>任务描述</w:t>
            </w:r>
          </w:p>
        </w:tc>
        <w:tc>
          <w:tcPr>
            <w:tcW w:w="6542" w:type="dxa"/>
            <w:shd w:val="clear" w:color="auto" w:fill="auto"/>
          </w:tcPr>
          <w:p w14:paraId="676AC692">
            <w:pPr>
              <w:pStyle w:val="150"/>
            </w:pPr>
            <w:r>
              <w:rPr>
                <w:rFonts w:hint="eastAsia"/>
              </w:rPr>
              <w:t>自定义任务描述</w:t>
            </w:r>
          </w:p>
        </w:tc>
      </w:tr>
    </w:tbl>
    <w:p w14:paraId="630C07A3"/>
    <w:p w14:paraId="5F8DDD37">
      <w:pPr>
        <w:pStyle w:val="6"/>
      </w:pPr>
      <w:bookmarkStart w:id="7874" w:name="_Toc40276491"/>
      <w:bookmarkStart w:id="7875" w:name="_Toc15485313"/>
      <w:bookmarkStart w:id="7876" w:name="_Toc141873837"/>
      <w:bookmarkStart w:id="7877" w:name="_Toc23153070"/>
      <w:bookmarkStart w:id="7878" w:name="_Toc99562026"/>
      <w:bookmarkStart w:id="7879" w:name="_Toc142401354"/>
      <w:bookmarkStart w:id="7880" w:name="_Toc172218643"/>
      <w:r>
        <w:rPr>
          <w:rFonts w:hint="eastAsia"/>
        </w:rPr>
        <w:t>字典管理</w:t>
      </w:r>
      <w:bookmarkEnd w:id="7874"/>
      <w:bookmarkEnd w:id="7875"/>
      <w:bookmarkEnd w:id="7876"/>
      <w:bookmarkEnd w:id="7877"/>
      <w:bookmarkEnd w:id="7878"/>
      <w:bookmarkEnd w:id="7879"/>
      <w:bookmarkEnd w:id="7880"/>
    </w:p>
    <w:p w14:paraId="606C817D">
      <w:pPr>
        <w:rPr>
          <w:bCs/>
          <w:sz w:val="30"/>
          <w:szCs w:val="44"/>
        </w:rPr>
      </w:pPr>
      <w:r>
        <w:rPr>
          <w:rFonts w:hint="eastAsia"/>
        </w:rPr>
        <w:t>在导航栏中选择“策略配置&gt;安全设置&gt;风险扫描&gt;弱密码扫描&gt;字典管理”，进入自定义字典的配置界面。点击“新建”创建字典。</w:t>
      </w:r>
    </w:p>
    <w:p w14:paraId="3DB07193">
      <w:pPr>
        <w:pStyle w:val="188"/>
      </w:pPr>
      <w:bookmarkStart w:id="7881" w:name="_Toc141875233"/>
      <w:r>
        <w:rPr>
          <w:rFonts w:hint="eastAsia"/>
        </w:rPr>
        <w:t>字典配置界面</w:t>
      </w:r>
      <w:bookmarkEnd w:id="7881"/>
    </w:p>
    <w:p w14:paraId="3501F416">
      <w:pPr>
        <w:pStyle w:val="175"/>
      </w:pPr>
      <w:r>
        <w:drawing>
          <wp:inline distT="0" distB="0" distL="114300" distR="114300">
            <wp:extent cx="5181600" cy="3528060"/>
            <wp:effectExtent l="0" t="0" r="0" b="7620"/>
            <wp:docPr id="89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图片 42"/>
                    <pic:cNvPicPr>
                      <a:picLocks noChangeAspect="1"/>
                    </pic:cNvPicPr>
                  </pic:nvPicPr>
                  <pic:blipFill>
                    <a:blip r:embed="rId943"/>
                    <a:stretch>
                      <a:fillRect/>
                    </a:stretch>
                  </pic:blipFill>
                  <pic:spPr>
                    <a:xfrm>
                      <a:off x="0" y="0"/>
                      <a:ext cx="5181600" cy="3528060"/>
                    </a:xfrm>
                    <a:prstGeom prst="rect">
                      <a:avLst/>
                    </a:prstGeom>
                    <a:noFill/>
                    <a:ln>
                      <a:noFill/>
                    </a:ln>
                  </pic:spPr>
                </pic:pic>
              </a:graphicData>
            </a:graphic>
          </wp:inline>
        </w:drawing>
      </w:r>
    </w:p>
    <w:p w14:paraId="26FDC81C"/>
    <w:p w14:paraId="70F2A506">
      <w:pPr>
        <w:pStyle w:val="183"/>
      </w:pPr>
      <w:bookmarkStart w:id="7882" w:name="_Toc141875765"/>
      <w:r>
        <w:rPr>
          <w:rFonts w:hint="eastAsia"/>
        </w:rPr>
        <w:t>字典配置界面详细描述表</w:t>
      </w:r>
      <w:bookmarkEnd w:id="7882"/>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490"/>
        <w:gridCol w:w="6542"/>
      </w:tblGrid>
      <w:tr w14:paraId="166D2E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19" w:hRule="atLeast"/>
        </w:trPr>
        <w:tc>
          <w:tcPr>
            <w:tcW w:w="2490" w:type="dxa"/>
            <w:tcBorders>
              <w:tl2br w:val="nil"/>
              <w:tr2bl w:val="nil"/>
            </w:tcBorders>
            <w:shd w:val="clear" w:color="auto" w:fill="538135" w:themeFill="accent6" w:themeFillShade="BF"/>
            <w:vAlign w:val="center"/>
          </w:tcPr>
          <w:p w14:paraId="27B1C2A1">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542" w:type="dxa"/>
            <w:tcBorders>
              <w:tl2br w:val="nil"/>
              <w:tr2bl w:val="nil"/>
            </w:tcBorders>
            <w:shd w:val="clear" w:color="auto" w:fill="538135" w:themeFill="accent6" w:themeFillShade="BF"/>
            <w:vAlign w:val="center"/>
          </w:tcPr>
          <w:p w14:paraId="6984603F">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4639C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75AB0C20">
            <w:pPr>
              <w:pStyle w:val="150"/>
            </w:pPr>
            <w:r>
              <w:rPr>
                <w:rFonts w:hint="eastAsia"/>
              </w:rPr>
              <w:t>名称</w:t>
            </w:r>
          </w:p>
        </w:tc>
        <w:tc>
          <w:tcPr>
            <w:tcW w:w="6542" w:type="dxa"/>
            <w:shd w:val="clear" w:color="auto" w:fill="auto"/>
          </w:tcPr>
          <w:p w14:paraId="3DFD2AE6">
            <w:pPr>
              <w:pStyle w:val="150"/>
            </w:pPr>
            <w:r>
              <w:rPr>
                <w:rFonts w:hint="eastAsia"/>
              </w:rPr>
              <w:t>字典的名称</w:t>
            </w:r>
          </w:p>
        </w:tc>
      </w:tr>
      <w:tr w14:paraId="6B4A9C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6C734BD7">
            <w:pPr>
              <w:pStyle w:val="150"/>
            </w:pPr>
            <w:r>
              <w:rPr>
                <w:rFonts w:hint="eastAsia"/>
              </w:rPr>
              <w:t>描述</w:t>
            </w:r>
          </w:p>
        </w:tc>
        <w:tc>
          <w:tcPr>
            <w:tcW w:w="6542" w:type="dxa"/>
            <w:shd w:val="clear" w:color="auto" w:fill="auto"/>
          </w:tcPr>
          <w:p w14:paraId="1E317B0E">
            <w:pPr>
              <w:pStyle w:val="150"/>
            </w:pPr>
            <w:r>
              <w:rPr>
                <w:rFonts w:hint="eastAsia"/>
              </w:rPr>
              <w:t>字典的描述</w:t>
            </w:r>
          </w:p>
        </w:tc>
      </w:tr>
      <w:tr w14:paraId="75CDDFD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490" w:type="dxa"/>
            <w:shd w:val="clear" w:color="auto" w:fill="auto"/>
          </w:tcPr>
          <w:p w14:paraId="28751B4F">
            <w:pPr>
              <w:pStyle w:val="150"/>
            </w:pPr>
            <w:r>
              <w:rPr>
                <w:rFonts w:hint="eastAsia"/>
              </w:rPr>
              <w:t>自定义字典</w:t>
            </w:r>
          </w:p>
        </w:tc>
        <w:tc>
          <w:tcPr>
            <w:tcW w:w="6542" w:type="dxa"/>
            <w:shd w:val="clear" w:color="auto" w:fill="auto"/>
          </w:tcPr>
          <w:p w14:paraId="2FA55C2C">
            <w:pPr>
              <w:pStyle w:val="150"/>
            </w:pPr>
            <w:r>
              <w:rPr>
                <w:rFonts w:hint="eastAsia"/>
              </w:rPr>
              <w:t>字典内容，支持输入50个，每个长度为1~15字符，用回车分隔</w:t>
            </w:r>
          </w:p>
        </w:tc>
      </w:tr>
    </w:tbl>
    <w:p w14:paraId="761155D4"/>
    <w:p w14:paraId="1216A9AB">
      <w:pPr>
        <w:jc w:val="left"/>
      </w:pPr>
      <w:r>
        <w:br w:type="page"/>
      </w:r>
    </w:p>
    <w:p w14:paraId="0A77BE25">
      <w:pPr>
        <w:pStyle w:val="3"/>
      </w:pPr>
      <w:bookmarkStart w:id="7883" w:name="_Toc196728468"/>
      <w:bookmarkStart w:id="7884" w:name="_Toc194081140"/>
      <w:r>
        <w:rPr>
          <w:rFonts w:hint="eastAsia"/>
        </w:rPr>
        <w:t>用户管理</w:t>
      </w:r>
      <w:bookmarkEnd w:id="6809"/>
      <w:bookmarkEnd w:id="6810"/>
      <w:bookmarkEnd w:id="6811"/>
      <w:bookmarkEnd w:id="6812"/>
      <w:bookmarkEnd w:id="6813"/>
      <w:bookmarkEnd w:id="7883"/>
      <w:bookmarkEnd w:id="7884"/>
    </w:p>
    <w:p w14:paraId="2EC64DAF">
      <w:pPr>
        <w:pStyle w:val="4"/>
      </w:pPr>
      <w:bookmarkStart w:id="7885" w:name="_Toc474250124"/>
      <w:bookmarkStart w:id="7886" w:name="_Toc9006643"/>
      <w:bookmarkStart w:id="7887" w:name="_Toc15485162"/>
      <w:bookmarkStart w:id="7888" w:name="_Toc99561595"/>
      <w:bookmarkStart w:id="7889" w:name="_Toc40276347"/>
      <w:bookmarkStart w:id="7890" w:name="_Toc196728469"/>
      <w:bookmarkStart w:id="7891" w:name="_Toc194081141"/>
      <w:bookmarkStart w:id="7892" w:name="_Toc172218260"/>
      <w:bookmarkStart w:id="7893" w:name="_Toc142401019"/>
      <w:bookmarkStart w:id="7894" w:name="_Toc23152926"/>
      <w:bookmarkStart w:id="7895" w:name="_Toc141873503"/>
      <w:r>
        <w:rPr>
          <w:rFonts w:hint="eastAsia"/>
        </w:rPr>
        <w:t>概述</w:t>
      </w:r>
      <w:bookmarkEnd w:id="7885"/>
      <w:bookmarkEnd w:id="7886"/>
      <w:bookmarkEnd w:id="7887"/>
      <w:bookmarkEnd w:id="7888"/>
      <w:bookmarkEnd w:id="7889"/>
      <w:bookmarkEnd w:id="7890"/>
      <w:bookmarkEnd w:id="7891"/>
      <w:bookmarkEnd w:id="7892"/>
      <w:bookmarkEnd w:id="7893"/>
      <w:bookmarkEnd w:id="7894"/>
      <w:bookmarkEnd w:id="7895"/>
    </w:p>
    <w:p w14:paraId="089F0DEA">
      <w:pPr>
        <w:pStyle w:val="5"/>
      </w:pPr>
      <w:bookmarkStart w:id="7896" w:name="_Toc142401020"/>
      <w:bookmarkStart w:id="7897" w:name="_Toc194081142"/>
      <w:bookmarkStart w:id="7898" w:name="_Toc99561596"/>
      <w:bookmarkStart w:id="7899" w:name="_Toc196728470"/>
      <w:bookmarkStart w:id="7900" w:name="_Toc40276348"/>
      <w:bookmarkStart w:id="7901" w:name="_Toc23152927"/>
      <w:bookmarkStart w:id="7902" w:name="_Toc141873504"/>
      <w:bookmarkStart w:id="7903" w:name="_Toc9006644"/>
      <w:bookmarkStart w:id="7904" w:name="_Toc15485163"/>
      <w:bookmarkStart w:id="7905" w:name="_Toc172218261"/>
      <w:r>
        <w:rPr>
          <w:rFonts w:hint="eastAsia"/>
        </w:rPr>
        <w:t>用户和用户分类</w:t>
      </w:r>
      <w:bookmarkEnd w:id="7896"/>
      <w:bookmarkEnd w:id="7897"/>
      <w:bookmarkEnd w:id="7898"/>
      <w:bookmarkEnd w:id="7899"/>
      <w:bookmarkEnd w:id="7900"/>
      <w:bookmarkEnd w:id="7901"/>
      <w:bookmarkEnd w:id="7902"/>
      <w:bookmarkEnd w:id="7903"/>
      <w:bookmarkEnd w:id="7904"/>
      <w:bookmarkEnd w:id="7905"/>
    </w:p>
    <w:p w14:paraId="58E58D98">
      <w:r>
        <w:rPr>
          <w:rFonts w:hint="eastAsia"/>
        </w:rPr>
        <w:t>用户作为系统的一个重要资源，在安全策略、认证等功能上都会相应使用。</w:t>
      </w:r>
    </w:p>
    <w:p w14:paraId="7975D3E9">
      <w:r>
        <w:rPr>
          <w:rFonts w:hint="eastAsia"/>
        </w:rPr>
        <w:t>根据用户的认证状态，可以将用户分为两类：匿名用户和认证用户。</w:t>
      </w:r>
    </w:p>
    <w:p w14:paraId="384F8DBA">
      <w:pPr>
        <w:pStyle w:val="162"/>
      </w:pPr>
      <w:r>
        <w:rPr>
          <w:rFonts w:hint="eastAsia"/>
        </w:rPr>
        <w:t>匿名用户，是指系统未有效识别出来的用户，匿名用户不用配置，系统自动将未识别的用户IP作为匿名用户的用户名。</w:t>
      </w:r>
    </w:p>
    <w:p w14:paraId="5EFCEA9D">
      <w:pPr>
        <w:pStyle w:val="162"/>
      </w:pPr>
      <w:r>
        <w:rPr>
          <w:rFonts w:hint="eastAsia"/>
        </w:rPr>
        <w:t>认证用户， 是指根据系统配置，需要进行认证的用户。其中认证方式，支持本地用户数据库、短信认证、微信认证、访客二维码认证、RADIUS服务器/服务器组、LDAP服务器/服务器组的用户认证，认证用户所使用的IP地址可以是IPv4地址也可以是IPv6地址。</w:t>
      </w:r>
    </w:p>
    <w:p w14:paraId="27C18545">
      <w:r>
        <w:rPr>
          <w:rFonts w:hint="eastAsia"/>
        </w:rPr>
        <w:t>根据不同的用户分类，可以采取不同的用户策略，对用户的网络访问等进行权限限制和监控。</w:t>
      </w:r>
    </w:p>
    <w:p w14:paraId="462261B0">
      <w:pPr>
        <w:pStyle w:val="5"/>
      </w:pPr>
      <w:bookmarkStart w:id="7906" w:name="_Toc15485164"/>
      <w:bookmarkStart w:id="7907" w:name="_Toc23152928"/>
      <w:bookmarkStart w:id="7908" w:name="_Toc9006645"/>
      <w:bookmarkStart w:id="7909" w:name="_Toc40276349"/>
      <w:bookmarkStart w:id="7910" w:name="_Toc99561597"/>
      <w:bookmarkStart w:id="7911" w:name="_Toc194081143"/>
      <w:bookmarkStart w:id="7912" w:name="_Toc142401021"/>
      <w:bookmarkStart w:id="7913" w:name="_Toc141873505"/>
      <w:bookmarkStart w:id="7914" w:name="_Toc172218262"/>
      <w:bookmarkStart w:id="7915" w:name="_Toc196728471"/>
      <w:r>
        <w:t>用户组织结构以及属性组</w:t>
      </w:r>
      <w:bookmarkEnd w:id="7906"/>
      <w:bookmarkEnd w:id="7907"/>
      <w:bookmarkEnd w:id="7908"/>
      <w:bookmarkEnd w:id="7909"/>
      <w:bookmarkEnd w:id="7910"/>
      <w:bookmarkEnd w:id="7911"/>
      <w:bookmarkEnd w:id="7912"/>
      <w:bookmarkEnd w:id="7913"/>
      <w:bookmarkEnd w:id="7914"/>
      <w:bookmarkEnd w:id="7915"/>
    </w:p>
    <w:p w14:paraId="300A6A91">
      <w:r>
        <w:rPr>
          <w:rFonts w:hint="eastAsia"/>
        </w:rPr>
        <w:t>通过用户组织结构可以清晰的将每个用户按照组织架构进行分类处理，方便管理和维护。用户组织结构包含本地用户结构、本地属性结构和域用户结构。本地属性结构是为每个用户附加一个或者多个属性，这样可以通过属性组的方式将某一类用户进行管控；域用户结构是从LDAP服务器同步的用户结构。</w:t>
      </w:r>
    </w:p>
    <w:p w14:paraId="1AA6F70C">
      <w:r>
        <w:rPr>
          <w:rFonts w:hint="eastAsia"/>
        </w:rPr>
        <w:t>本地用户结构组包含用户和用户组，用户组可以包含用户和用户组，支持8级层级，每个层级支持1024个节点。</w:t>
      </w:r>
    </w:p>
    <w:p w14:paraId="12604DF2">
      <w:r>
        <w:rPr>
          <w:rFonts w:hint="eastAsia"/>
        </w:rPr>
        <w:t>属性组没有层级结构，全部属性组组使用并列的形式。</w:t>
      </w:r>
    </w:p>
    <w:p w14:paraId="139AF470">
      <w:r>
        <w:rPr>
          <w:rFonts w:hint="eastAsia"/>
        </w:rPr>
        <w:t>同一用户在本地用户结构组中仅可出现一次。</w:t>
      </w:r>
    </w:p>
    <w:p w14:paraId="3AA03704">
      <w:r>
        <w:rPr>
          <w:rFonts w:hint="eastAsia"/>
        </w:rPr>
        <w:t>属性组中相同用户可以同时存在于多个属性组。</w:t>
      </w:r>
    </w:p>
    <w:p w14:paraId="2F6B757D">
      <w:r>
        <w:rPr>
          <w:rFonts w:hint="eastAsia"/>
        </w:rPr>
        <w:t>域用户结构和LDAP服务器上保持一致，域用户结构内的用户和用户组不能操作，即不能新增、编辑、删除，只可查看。</w:t>
      </w:r>
    </w:p>
    <w:p w14:paraId="4886F881">
      <w:r>
        <w:rPr>
          <w:rFonts w:hint="eastAsia"/>
        </w:rPr>
        <w:t>域用户不限制总的目录层级，只要总路径长度不超过1279个字节即可成功录入。</w:t>
      </w:r>
    </w:p>
    <w:p w14:paraId="7CF83A43">
      <w:r>
        <w:rPr>
          <w:rFonts w:hint="eastAsia"/>
        </w:rPr>
        <w:t>本地用户结构和域用户结构用户组和用户共用一个规格。</w:t>
      </w:r>
    </w:p>
    <w:p w14:paraId="59E00E88">
      <w:pPr>
        <w:pStyle w:val="4"/>
      </w:pPr>
      <w:bookmarkStart w:id="7916" w:name="_Ref5647436"/>
      <w:bookmarkStart w:id="7917" w:name="_Toc40276350"/>
      <w:bookmarkStart w:id="7918" w:name="_Toc99561598"/>
      <w:bookmarkStart w:id="7919" w:name="_Toc23152929"/>
      <w:bookmarkStart w:id="7920" w:name="_Toc15485165"/>
      <w:bookmarkStart w:id="7921" w:name="_Toc9006646"/>
      <w:bookmarkStart w:id="7922" w:name="_Toc194081144"/>
      <w:bookmarkStart w:id="7923" w:name="_Toc196728472"/>
      <w:bookmarkStart w:id="7924" w:name="_Toc142401022"/>
      <w:bookmarkStart w:id="7925" w:name="_Toc141873506"/>
      <w:bookmarkStart w:id="7926" w:name="_Toc172218263"/>
      <w:r>
        <w:rPr>
          <w:rFonts w:hint="eastAsia"/>
        </w:rPr>
        <w:t>用户</w:t>
      </w:r>
      <w:bookmarkEnd w:id="7916"/>
      <w:bookmarkEnd w:id="7917"/>
      <w:bookmarkEnd w:id="7918"/>
      <w:bookmarkEnd w:id="7919"/>
      <w:bookmarkEnd w:id="7920"/>
      <w:bookmarkEnd w:id="7921"/>
      <w:r>
        <w:rPr>
          <w:rFonts w:hint="eastAsia"/>
        </w:rPr>
        <w:t>组织结构</w:t>
      </w:r>
      <w:bookmarkEnd w:id="7922"/>
      <w:bookmarkEnd w:id="7923"/>
      <w:bookmarkEnd w:id="7924"/>
      <w:bookmarkEnd w:id="7925"/>
      <w:bookmarkEnd w:id="7926"/>
    </w:p>
    <w:p w14:paraId="039A4A5B">
      <w:pPr>
        <w:pStyle w:val="5"/>
      </w:pPr>
      <w:bookmarkStart w:id="7927" w:name="_Toc196728473"/>
      <w:bookmarkStart w:id="7928" w:name="_Toc9006647"/>
      <w:bookmarkStart w:id="7929" w:name="_Toc15485166"/>
      <w:bookmarkStart w:id="7930" w:name="_Toc40276351"/>
      <w:bookmarkStart w:id="7931" w:name="_Toc99561599"/>
      <w:bookmarkStart w:id="7932" w:name="_Toc142401023"/>
      <w:bookmarkStart w:id="7933" w:name="_Toc194081145"/>
      <w:bookmarkStart w:id="7934" w:name="_Toc141873507"/>
      <w:bookmarkStart w:id="7935" w:name="_Toc23152930"/>
      <w:bookmarkStart w:id="7936" w:name="_Toc172218264"/>
      <w:r>
        <w:rPr>
          <w:rFonts w:hint="eastAsia"/>
        </w:rPr>
        <w:t>配置用户或用户组</w:t>
      </w:r>
      <w:bookmarkEnd w:id="7927"/>
      <w:bookmarkEnd w:id="7928"/>
      <w:bookmarkEnd w:id="7929"/>
      <w:bookmarkEnd w:id="7930"/>
      <w:bookmarkEnd w:id="7931"/>
      <w:bookmarkEnd w:id="7932"/>
      <w:bookmarkEnd w:id="7933"/>
      <w:bookmarkEnd w:id="7934"/>
      <w:bookmarkEnd w:id="7935"/>
      <w:bookmarkEnd w:id="7936"/>
    </w:p>
    <w:p w14:paraId="51233B75">
      <w:pPr>
        <w:pStyle w:val="6"/>
      </w:pPr>
      <w:bookmarkStart w:id="7937" w:name="_Ref167442931"/>
      <w:r>
        <w:rPr>
          <w:rFonts w:hint="eastAsia"/>
        </w:rPr>
        <w:t>创建用户和用户组</w:t>
      </w:r>
      <w:bookmarkEnd w:id="7937"/>
    </w:p>
    <w:p w14:paraId="4FACCC66">
      <w:r>
        <w:rPr>
          <w:rFonts w:hint="eastAsia"/>
        </w:rPr>
        <w:t>在导航栏中选择“用户管理 &gt; 用户管理 &gt; 用户组织结构”，选择用户显示页面，如</w:t>
      </w:r>
      <w:r>
        <w:rPr>
          <w:color w:val="0000FF"/>
          <w:u w:val="single"/>
        </w:rPr>
        <w:fldChar w:fldCharType="begin"/>
      </w:r>
      <w:r>
        <w:instrText xml:space="preserve"> </w:instrText>
      </w:r>
      <w:r>
        <w:rPr>
          <w:rFonts w:hint="eastAsia"/>
        </w:rPr>
        <w:instrText xml:space="preserve">REF _Ref4744576 \r \h</w:instrText>
      </w:r>
      <w:r>
        <w:instrText xml:space="preserve"> </w:instrText>
      </w:r>
      <w:r>
        <w:rPr>
          <w:color w:val="0000FF"/>
          <w:u w:val="single"/>
        </w:rPr>
        <w:fldChar w:fldCharType="separate"/>
      </w:r>
      <w:r>
        <w:rPr>
          <w:rFonts w:hint="eastAsia"/>
        </w:rPr>
        <w:t>图30-1</w:t>
      </w:r>
      <w:r>
        <w:rPr>
          <w:color w:val="0000FF"/>
          <w:u w:val="single"/>
        </w:rPr>
        <w:fldChar w:fldCharType="end"/>
      </w:r>
      <w:r>
        <w:rPr>
          <w:rFonts w:hint="eastAsia"/>
        </w:rPr>
        <w:t>所示。</w:t>
      </w:r>
    </w:p>
    <w:p w14:paraId="332A372D">
      <w:pPr>
        <w:pStyle w:val="188"/>
      </w:pPr>
      <w:bookmarkStart w:id="7938" w:name="_Ref4744576"/>
      <w:bookmarkStart w:id="7939" w:name="_Toc141874754"/>
      <w:r>
        <w:t>用户显示页面</w:t>
      </w:r>
      <w:bookmarkEnd w:id="7938"/>
      <w:bookmarkEnd w:id="7939"/>
    </w:p>
    <w:p w14:paraId="7593962E">
      <w:r>
        <w:drawing>
          <wp:inline distT="0" distB="0" distL="0" distR="0">
            <wp:extent cx="5400040" cy="764540"/>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944"/>
                    <a:stretch>
                      <a:fillRect/>
                    </a:stretch>
                  </pic:blipFill>
                  <pic:spPr>
                    <a:xfrm>
                      <a:off x="0" y="0"/>
                      <a:ext cx="5400040" cy="764791"/>
                    </a:xfrm>
                    <a:prstGeom prst="rect">
                      <a:avLst/>
                    </a:prstGeom>
                  </pic:spPr>
                </pic:pic>
              </a:graphicData>
            </a:graphic>
          </wp:inline>
        </w:drawing>
      </w:r>
    </w:p>
    <w:p w14:paraId="39F564F0">
      <w:r>
        <w:rPr>
          <w:rFonts w:hint="eastAsia"/>
        </w:rPr>
        <w:t>页面的详细说明如</w:t>
      </w:r>
      <w:r>
        <w:rPr>
          <w:color w:val="0000FF"/>
          <w:u w:val="single"/>
        </w:rPr>
        <w:fldChar w:fldCharType="begin"/>
      </w:r>
      <w:r>
        <w:instrText xml:space="preserve"> </w:instrText>
      </w:r>
      <w:r>
        <w:rPr>
          <w:rFonts w:hint="eastAsia"/>
        </w:rPr>
        <w:instrText xml:space="preserve">REF _Ref4744598 \r \h</w:instrText>
      </w:r>
      <w:r>
        <w:instrText xml:space="preserve"> </w:instrText>
      </w:r>
      <w:r>
        <w:rPr>
          <w:color w:val="0000FF"/>
          <w:u w:val="single"/>
        </w:rPr>
        <w:fldChar w:fldCharType="separate"/>
      </w:r>
      <w:r>
        <w:rPr>
          <w:rFonts w:hint="eastAsia"/>
        </w:rPr>
        <w:t>表30-1</w:t>
      </w:r>
      <w:r>
        <w:rPr>
          <w:color w:val="0000FF"/>
          <w:u w:val="single"/>
        </w:rPr>
        <w:fldChar w:fldCharType="end"/>
      </w:r>
      <w:r>
        <w:rPr>
          <w:rFonts w:hint="eastAsia"/>
        </w:rPr>
        <w:t>所示。</w:t>
      </w:r>
    </w:p>
    <w:p w14:paraId="162E1957">
      <w:pPr>
        <w:pStyle w:val="183"/>
      </w:pPr>
      <w:bookmarkStart w:id="7940" w:name="_Toc141875550"/>
      <w:bookmarkStart w:id="7941" w:name="_Ref4744598"/>
      <w:r>
        <w:rPr>
          <w:rFonts w:hint="eastAsia"/>
        </w:rPr>
        <w:t>用户组的详细说明</w:t>
      </w:r>
      <w:bookmarkEnd w:id="7940"/>
      <w:bookmarkEnd w:id="7941"/>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214"/>
        <w:gridCol w:w="7800"/>
      </w:tblGrid>
      <w:tr w14:paraId="28458D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214" w:type="dxa"/>
            <w:tcBorders>
              <w:tl2br w:val="nil"/>
              <w:tr2bl w:val="nil"/>
            </w:tcBorders>
            <w:shd w:val="clear" w:color="auto" w:fill="538135" w:themeFill="accent6" w:themeFillShade="BF"/>
            <w:vAlign w:val="center"/>
          </w:tcPr>
          <w:p w14:paraId="018EE365">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7800" w:type="dxa"/>
            <w:tcBorders>
              <w:tl2br w:val="nil"/>
              <w:tr2bl w:val="nil"/>
            </w:tcBorders>
            <w:shd w:val="clear" w:color="auto" w:fill="538135" w:themeFill="accent6" w:themeFillShade="BF"/>
            <w:vAlign w:val="center"/>
          </w:tcPr>
          <w:p w14:paraId="61B6436D">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C7D87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214" w:type="dxa"/>
            <w:shd w:val="clear" w:color="auto" w:fill="auto"/>
          </w:tcPr>
          <w:p w14:paraId="0F432851">
            <w:pPr>
              <w:pStyle w:val="150"/>
            </w:pPr>
            <w:r>
              <w:rPr>
                <w:rFonts w:hint="eastAsia"/>
              </w:rPr>
              <w:t>组织结构</w:t>
            </w:r>
          </w:p>
        </w:tc>
        <w:tc>
          <w:tcPr>
            <w:tcW w:w="7800" w:type="dxa"/>
            <w:shd w:val="clear" w:color="auto" w:fill="auto"/>
          </w:tcPr>
          <w:p w14:paraId="1E6E674C">
            <w:pPr>
              <w:pStyle w:val="150"/>
            </w:pPr>
            <w:r>
              <w:rPr>
                <w:rFonts w:hint="eastAsia"/>
              </w:rPr>
              <w:t>以树形结构的方式展示所有用户的组织结构信息，最大支持8级的组织结构。</w:t>
            </w:r>
          </w:p>
        </w:tc>
      </w:tr>
      <w:tr w14:paraId="3F5CF3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214" w:type="dxa"/>
            <w:shd w:val="clear" w:color="auto" w:fill="auto"/>
          </w:tcPr>
          <w:p w14:paraId="46B4EF00">
            <w:pPr>
              <w:pStyle w:val="150"/>
            </w:pPr>
            <w:r>
              <w:rPr>
                <w:rFonts w:hint="eastAsia"/>
              </w:rPr>
              <w:t>名称</w:t>
            </w:r>
          </w:p>
        </w:tc>
        <w:tc>
          <w:tcPr>
            <w:tcW w:w="7800" w:type="dxa"/>
            <w:shd w:val="clear" w:color="auto" w:fill="auto"/>
          </w:tcPr>
          <w:p w14:paraId="2641A4D3">
            <w:pPr>
              <w:pStyle w:val="150"/>
            </w:pPr>
            <w:r>
              <w:rPr>
                <w:rFonts w:hint="eastAsia"/>
              </w:rPr>
              <w:t>该用户组下的用户或者下一级用户组的名称，1-</w:t>
            </w:r>
            <w:r>
              <w:t>127</w:t>
            </w:r>
            <w:r>
              <w:rPr>
                <w:rFonts w:hint="eastAsia"/>
              </w:rPr>
              <w:t>字符。</w:t>
            </w:r>
          </w:p>
        </w:tc>
      </w:tr>
      <w:tr w14:paraId="31A2E6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214" w:type="dxa"/>
            <w:shd w:val="clear" w:color="auto" w:fill="auto"/>
          </w:tcPr>
          <w:p w14:paraId="6BFABA61">
            <w:pPr>
              <w:pStyle w:val="150"/>
            </w:pPr>
            <w:r>
              <w:rPr>
                <w:rFonts w:hint="eastAsia"/>
              </w:rPr>
              <w:t>描述</w:t>
            </w:r>
          </w:p>
        </w:tc>
        <w:tc>
          <w:tcPr>
            <w:tcW w:w="7800" w:type="dxa"/>
            <w:shd w:val="clear" w:color="auto" w:fill="auto"/>
          </w:tcPr>
          <w:p w14:paraId="0CCD0E1B">
            <w:pPr>
              <w:pStyle w:val="150"/>
            </w:pPr>
            <w:r>
              <w:rPr>
                <w:rFonts w:hint="eastAsia"/>
              </w:rPr>
              <w:t>用户组或者用户的描述信息，没有则为空。</w:t>
            </w:r>
          </w:p>
        </w:tc>
      </w:tr>
      <w:tr w14:paraId="3FE8BD7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214" w:type="dxa"/>
            <w:shd w:val="clear" w:color="auto" w:fill="auto"/>
          </w:tcPr>
          <w:p w14:paraId="517DC4EE">
            <w:pPr>
              <w:pStyle w:val="150"/>
            </w:pPr>
            <w:r>
              <w:rPr>
                <w:rFonts w:hint="eastAsia"/>
              </w:rPr>
              <w:t>类型</w:t>
            </w:r>
          </w:p>
        </w:tc>
        <w:tc>
          <w:tcPr>
            <w:tcW w:w="7800" w:type="dxa"/>
            <w:shd w:val="clear" w:color="auto" w:fill="auto"/>
          </w:tcPr>
          <w:p w14:paraId="60F8B29B">
            <w:pPr>
              <w:pStyle w:val="150"/>
            </w:pPr>
            <w:r>
              <w:rPr>
                <w:rFonts w:hint="eastAsia"/>
              </w:rPr>
              <w:t>此行对应的是用户组或用户。</w:t>
            </w:r>
          </w:p>
        </w:tc>
      </w:tr>
      <w:tr w14:paraId="4DE9D0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214" w:type="dxa"/>
            <w:shd w:val="clear" w:color="auto" w:fill="auto"/>
          </w:tcPr>
          <w:p w14:paraId="5EB9AAA4">
            <w:pPr>
              <w:pStyle w:val="150"/>
            </w:pPr>
            <w:r>
              <w:rPr>
                <w:rFonts w:hint="eastAsia"/>
              </w:rPr>
              <w:t>所属用户组</w:t>
            </w:r>
          </w:p>
        </w:tc>
        <w:tc>
          <w:tcPr>
            <w:tcW w:w="7800" w:type="dxa"/>
            <w:shd w:val="clear" w:color="auto" w:fill="auto"/>
          </w:tcPr>
          <w:p w14:paraId="13D42DB2">
            <w:pPr>
              <w:pStyle w:val="150"/>
            </w:pPr>
            <w:r>
              <w:rPr>
                <w:rFonts w:hint="eastAsia"/>
              </w:rPr>
              <w:t>上一级用户组的名称，如果该用户组的所属用户组为“/”，则表示该用户的上一级用户组为根组。</w:t>
            </w:r>
          </w:p>
        </w:tc>
      </w:tr>
      <w:tr w14:paraId="420FB89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214" w:type="dxa"/>
            <w:shd w:val="clear" w:color="auto" w:fill="auto"/>
          </w:tcPr>
          <w:p w14:paraId="1DF14367">
            <w:pPr>
              <w:pStyle w:val="150"/>
            </w:pPr>
            <w:r>
              <w:rPr>
                <w:rFonts w:hint="eastAsia"/>
              </w:rPr>
              <w:t>绑定范围</w:t>
            </w:r>
          </w:p>
        </w:tc>
        <w:tc>
          <w:tcPr>
            <w:tcW w:w="7800" w:type="dxa"/>
            <w:shd w:val="clear" w:color="auto" w:fill="auto"/>
          </w:tcPr>
          <w:p w14:paraId="4BB38C07">
            <w:pPr>
              <w:pStyle w:val="150"/>
            </w:pPr>
            <w:r>
              <w:rPr>
                <w:rFonts w:hint="eastAsia"/>
              </w:rPr>
              <w:t>显示该用户绑定的IP或者MAC地址。</w:t>
            </w:r>
          </w:p>
        </w:tc>
      </w:tr>
      <w:tr w14:paraId="0F118D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214" w:type="dxa"/>
            <w:shd w:val="clear" w:color="auto" w:fill="auto"/>
          </w:tcPr>
          <w:p w14:paraId="70286C36">
            <w:pPr>
              <w:pStyle w:val="150"/>
            </w:pPr>
            <w:r>
              <w:rPr>
                <w:rFonts w:hint="eastAsia"/>
              </w:rPr>
              <w:t>状态</w:t>
            </w:r>
          </w:p>
        </w:tc>
        <w:tc>
          <w:tcPr>
            <w:tcW w:w="7800" w:type="dxa"/>
            <w:shd w:val="clear" w:color="auto" w:fill="auto"/>
          </w:tcPr>
          <w:p w14:paraId="59CC5624">
            <w:pPr>
              <w:pStyle w:val="150"/>
            </w:pPr>
            <w:r>
              <w:rPr>
                <w:rFonts w:hint="eastAsia"/>
              </w:rPr>
              <w:t>该用户是否生效。</w:t>
            </w:r>
          </w:p>
        </w:tc>
      </w:tr>
      <w:tr w14:paraId="0D30EFF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214" w:type="dxa"/>
            <w:shd w:val="clear" w:color="auto" w:fill="auto"/>
          </w:tcPr>
          <w:p w14:paraId="2F5EF91C">
            <w:pPr>
              <w:pStyle w:val="150"/>
            </w:pPr>
            <w:r>
              <w:rPr>
                <w:rFonts w:hint="eastAsia"/>
              </w:rPr>
              <w:t>引用</w:t>
            </w:r>
          </w:p>
        </w:tc>
        <w:tc>
          <w:tcPr>
            <w:tcW w:w="7800" w:type="dxa"/>
            <w:shd w:val="clear" w:color="auto" w:fill="auto"/>
          </w:tcPr>
          <w:p w14:paraId="698778C4">
            <w:pPr>
              <w:pStyle w:val="150"/>
            </w:pPr>
            <w:r>
              <w:rPr>
                <w:rFonts w:hint="eastAsia"/>
              </w:rPr>
              <w:t>该用户在系统中被策略引用的次数。</w:t>
            </w:r>
          </w:p>
        </w:tc>
      </w:tr>
      <w:tr w14:paraId="5DA04C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214" w:type="dxa"/>
            <w:shd w:val="clear" w:color="auto" w:fill="auto"/>
          </w:tcPr>
          <w:p w14:paraId="29738F42">
            <w:pPr>
              <w:pStyle w:val="150"/>
            </w:pPr>
            <w:r>
              <w:rPr>
                <w:rFonts w:hint="eastAsia"/>
              </w:rPr>
              <w:t>操作</w:t>
            </w:r>
          </w:p>
        </w:tc>
        <w:tc>
          <w:tcPr>
            <w:tcW w:w="7800" w:type="dxa"/>
            <w:shd w:val="clear" w:color="auto" w:fill="auto"/>
          </w:tcPr>
          <w:p w14:paraId="514BA25B">
            <w:pPr>
              <w:pStyle w:val="150"/>
            </w:pPr>
            <w:r>
              <w:rPr>
                <w:rFonts w:hint="eastAsia"/>
              </w:rPr>
              <w:t>可以修改或者删除该用户或者用户组，被引用或者预定义的用户和用户组不能被删除。</w:t>
            </w:r>
          </w:p>
        </w:tc>
      </w:tr>
    </w:tbl>
    <w:p w14:paraId="69A5D912"/>
    <w:p w14:paraId="1A85808D">
      <w:r>
        <w:rPr>
          <w:rFonts w:hint="eastAsia"/>
        </w:rPr>
        <w:t>选择“用户管理 &gt; 用户管理 &gt; 用户组织结构”，将鼠标移至&lt;新建&gt;按钮，在下拉框中选择“组”，进入用户组的新建页面，如</w:t>
      </w:r>
      <w:r>
        <w:rPr>
          <w:color w:val="0000FF"/>
          <w:u w:val="single"/>
        </w:rPr>
        <w:fldChar w:fldCharType="begin"/>
      </w:r>
      <w:r>
        <w:instrText xml:space="preserve"> </w:instrText>
      </w:r>
      <w:r>
        <w:rPr>
          <w:rFonts w:hint="eastAsia"/>
        </w:rPr>
        <w:instrText xml:space="preserve">REF _Ref4744637 \r \h</w:instrText>
      </w:r>
      <w:r>
        <w:instrText xml:space="preserve"> </w:instrText>
      </w:r>
      <w:r>
        <w:rPr>
          <w:color w:val="0000FF"/>
          <w:u w:val="single"/>
        </w:rPr>
        <w:fldChar w:fldCharType="separate"/>
      </w:r>
      <w:r>
        <w:rPr>
          <w:rFonts w:hint="eastAsia"/>
        </w:rPr>
        <w:t>图30-2</w:t>
      </w:r>
      <w:r>
        <w:rPr>
          <w:color w:val="0000FF"/>
          <w:u w:val="single"/>
        </w:rPr>
        <w:fldChar w:fldCharType="end"/>
      </w:r>
      <w:r>
        <w:rPr>
          <w:rFonts w:hint="eastAsia"/>
        </w:rPr>
        <w:t>所示。</w:t>
      </w:r>
    </w:p>
    <w:p w14:paraId="0EA1621D">
      <w:pPr>
        <w:pStyle w:val="188"/>
      </w:pPr>
      <w:bookmarkStart w:id="7942" w:name="_Toc141874755"/>
      <w:bookmarkStart w:id="7943" w:name="_Ref4744637"/>
      <w:r>
        <w:t>用户组</w:t>
      </w:r>
      <w:r>
        <w:rPr>
          <w:rFonts w:hint="eastAsia"/>
        </w:rPr>
        <w:t>新建</w:t>
      </w:r>
      <w:r>
        <w:t>页面</w:t>
      </w:r>
      <w:bookmarkEnd w:id="7942"/>
      <w:bookmarkEnd w:id="7943"/>
    </w:p>
    <w:p w14:paraId="603DB18C">
      <w:pPr>
        <w:spacing w:before="79" w:after="79"/>
      </w:pPr>
      <w:r>
        <w:drawing>
          <wp:inline distT="0" distB="0" distL="0" distR="0">
            <wp:extent cx="5400040" cy="277114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945"/>
                    <a:stretch>
                      <a:fillRect/>
                    </a:stretch>
                  </pic:blipFill>
                  <pic:spPr>
                    <a:xfrm>
                      <a:off x="0" y="0"/>
                      <a:ext cx="5400040" cy="2771449"/>
                    </a:xfrm>
                    <a:prstGeom prst="rect">
                      <a:avLst/>
                    </a:prstGeom>
                  </pic:spPr>
                </pic:pic>
              </a:graphicData>
            </a:graphic>
          </wp:inline>
        </w:drawing>
      </w:r>
    </w:p>
    <w:p w14:paraId="39D13ED9"/>
    <w:p w14:paraId="2B64CF65">
      <w:r>
        <w:rPr>
          <w:rFonts w:hint="eastAsia"/>
        </w:rPr>
        <w:t>页面的详细说明如</w:t>
      </w:r>
      <w:r>
        <w:rPr>
          <w:color w:val="0000FF"/>
          <w:u w:val="single"/>
        </w:rPr>
        <w:fldChar w:fldCharType="begin"/>
      </w:r>
      <w:r>
        <w:instrText xml:space="preserve"> </w:instrText>
      </w:r>
      <w:r>
        <w:rPr>
          <w:rFonts w:hint="eastAsia"/>
        </w:rPr>
        <w:instrText xml:space="preserve">REF _Ref4744654 \r \h</w:instrText>
      </w:r>
      <w:r>
        <w:instrText xml:space="preserve"> </w:instrText>
      </w:r>
      <w:r>
        <w:rPr>
          <w:color w:val="0000FF"/>
          <w:u w:val="single"/>
        </w:rPr>
        <w:fldChar w:fldCharType="separate"/>
      </w:r>
      <w:r>
        <w:rPr>
          <w:rFonts w:hint="eastAsia"/>
        </w:rPr>
        <w:t>表30-1</w:t>
      </w:r>
      <w:r>
        <w:rPr>
          <w:color w:val="0000FF"/>
          <w:u w:val="single"/>
        </w:rPr>
        <w:fldChar w:fldCharType="end"/>
      </w:r>
      <w:r>
        <w:rPr>
          <w:rFonts w:hint="eastAsia"/>
        </w:rPr>
        <w:t>所示。</w:t>
      </w:r>
    </w:p>
    <w:p w14:paraId="557510E2">
      <w:pPr>
        <w:pStyle w:val="183"/>
      </w:pPr>
      <w:bookmarkStart w:id="7944" w:name="_Toc141875551"/>
      <w:bookmarkStart w:id="7945" w:name="_Ref4744654"/>
      <w:r>
        <w:rPr>
          <w:rFonts w:hint="eastAsia"/>
        </w:rPr>
        <w:t>用户组新建页面详细说明</w:t>
      </w:r>
      <w:bookmarkEnd w:id="7944"/>
      <w:bookmarkEnd w:id="7945"/>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56C546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tcBorders>
              <w:tl2br w:val="nil"/>
              <w:tr2bl w:val="nil"/>
            </w:tcBorders>
            <w:shd w:val="clear" w:color="auto" w:fill="538135" w:themeFill="accent6" w:themeFillShade="BF"/>
            <w:vAlign w:val="center"/>
          </w:tcPr>
          <w:p w14:paraId="07159AFA">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6" w:type="dxa"/>
            <w:tcBorders>
              <w:tl2br w:val="nil"/>
              <w:tr2bl w:val="nil"/>
            </w:tcBorders>
            <w:shd w:val="clear" w:color="auto" w:fill="538135" w:themeFill="accent6" w:themeFillShade="BF"/>
            <w:vAlign w:val="center"/>
          </w:tcPr>
          <w:p w14:paraId="62E7195F">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8642D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6927BECF">
            <w:pPr>
              <w:pStyle w:val="150"/>
            </w:pPr>
            <w:r>
              <w:rPr>
                <w:rFonts w:hint="eastAsia"/>
              </w:rPr>
              <w:t>名称</w:t>
            </w:r>
          </w:p>
        </w:tc>
        <w:tc>
          <w:tcPr>
            <w:tcW w:w="6816" w:type="dxa"/>
            <w:shd w:val="clear" w:color="auto" w:fill="auto"/>
          </w:tcPr>
          <w:p w14:paraId="34CFF12D">
            <w:pPr>
              <w:pStyle w:val="150"/>
            </w:pPr>
            <w:r>
              <w:rPr>
                <w:rFonts w:hint="eastAsia"/>
              </w:rPr>
              <w:t>用户组的名称。</w:t>
            </w:r>
          </w:p>
        </w:tc>
      </w:tr>
      <w:tr w14:paraId="2B3D9B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262CC604">
            <w:pPr>
              <w:pStyle w:val="150"/>
            </w:pPr>
            <w:r>
              <w:rPr>
                <w:rFonts w:hint="eastAsia"/>
              </w:rPr>
              <w:t>描述</w:t>
            </w:r>
          </w:p>
        </w:tc>
        <w:tc>
          <w:tcPr>
            <w:tcW w:w="6816" w:type="dxa"/>
            <w:shd w:val="clear" w:color="auto" w:fill="auto"/>
          </w:tcPr>
          <w:p w14:paraId="1EB545A5">
            <w:pPr>
              <w:pStyle w:val="150"/>
            </w:pPr>
            <w:r>
              <w:rPr>
                <w:rFonts w:hint="eastAsia"/>
              </w:rPr>
              <w:t>用户组的描述。</w:t>
            </w:r>
          </w:p>
        </w:tc>
      </w:tr>
      <w:tr w14:paraId="75977AD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7588AE1A">
            <w:pPr>
              <w:pStyle w:val="150"/>
            </w:pPr>
            <w:r>
              <w:rPr>
                <w:rFonts w:hint="eastAsia"/>
              </w:rPr>
              <w:t>路径</w:t>
            </w:r>
          </w:p>
        </w:tc>
        <w:tc>
          <w:tcPr>
            <w:tcW w:w="6816" w:type="dxa"/>
            <w:shd w:val="clear" w:color="auto" w:fill="auto"/>
          </w:tcPr>
          <w:p w14:paraId="178C1F3F">
            <w:pPr>
              <w:pStyle w:val="150"/>
            </w:pPr>
            <w:r>
              <w:rPr>
                <w:rFonts w:hint="eastAsia"/>
              </w:rPr>
              <w:t>选择用户组的上级部门。只支持添加到本地用户结构中，不支持添加到本地属性结构组。</w:t>
            </w:r>
          </w:p>
        </w:tc>
      </w:tr>
      <w:tr w14:paraId="52111CE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4F508AD5">
            <w:pPr>
              <w:pStyle w:val="150"/>
            </w:pPr>
            <w:r>
              <w:rPr>
                <w:rFonts w:hint="eastAsia"/>
              </w:rPr>
              <w:t>IP/IP地址段</w:t>
            </w:r>
          </w:p>
        </w:tc>
        <w:tc>
          <w:tcPr>
            <w:tcW w:w="6816" w:type="dxa"/>
            <w:shd w:val="clear" w:color="auto" w:fill="auto"/>
          </w:tcPr>
          <w:p w14:paraId="5FEAE99D">
            <w:pPr>
              <w:pStyle w:val="150"/>
            </w:pPr>
            <w:r>
              <w:rPr>
                <w:rFonts w:hint="eastAsia"/>
              </w:rPr>
              <w:t>设置用户组的IP或IP地址段，支持IPv4和IPv6。</w:t>
            </w:r>
          </w:p>
        </w:tc>
      </w:tr>
    </w:tbl>
    <w:p w14:paraId="758DAC57"/>
    <w:p w14:paraId="5719862E">
      <w:r>
        <w:rPr>
          <w:rFonts w:hint="eastAsia"/>
        </w:rPr>
        <w:t>按照需求输入对应的项目后，单击&lt;提交&gt;，即可将该用户组加入到选择的路径下。</w:t>
      </w:r>
    </w:p>
    <w:p w14:paraId="093D873A">
      <w:r>
        <w:rPr>
          <w:rFonts w:hint="eastAsia"/>
        </w:rPr>
        <w:t>选择“用户管理 &gt; 用户管理 &gt; 用户组织结构”，将鼠标移至&lt;新建&gt;按钮，在下拉框中选择“用户”，进入用户的新建页面，如</w:t>
      </w:r>
      <w:r>
        <w:rPr>
          <w:color w:val="0000FF"/>
          <w:u w:val="single"/>
        </w:rPr>
        <w:fldChar w:fldCharType="begin"/>
      </w:r>
      <w:r>
        <w:instrText xml:space="preserve"> </w:instrText>
      </w:r>
      <w:r>
        <w:rPr>
          <w:rFonts w:hint="eastAsia"/>
        </w:rPr>
        <w:instrText xml:space="preserve">REF _Ref4744673 \r \h</w:instrText>
      </w:r>
      <w:r>
        <w:instrText xml:space="preserve"> </w:instrText>
      </w:r>
      <w:r>
        <w:rPr>
          <w:color w:val="0000FF"/>
          <w:u w:val="single"/>
        </w:rPr>
        <w:fldChar w:fldCharType="separate"/>
      </w:r>
      <w:r>
        <w:rPr>
          <w:rFonts w:hint="eastAsia"/>
        </w:rPr>
        <w:t>图30-3</w:t>
      </w:r>
      <w:r>
        <w:rPr>
          <w:color w:val="0000FF"/>
          <w:u w:val="single"/>
        </w:rPr>
        <w:fldChar w:fldCharType="end"/>
      </w:r>
      <w:r>
        <w:rPr>
          <w:rFonts w:hint="eastAsia"/>
        </w:rPr>
        <w:t>所示。</w:t>
      </w:r>
    </w:p>
    <w:p w14:paraId="187980DB">
      <w:pPr>
        <w:pStyle w:val="188"/>
      </w:pPr>
      <w:bookmarkStart w:id="7946" w:name="_Ref4744673"/>
      <w:bookmarkStart w:id="7947" w:name="_Toc141874756"/>
      <w:r>
        <w:t>用户</w:t>
      </w:r>
      <w:r>
        <w:rPr>
          <w:rFonts w:hint="eastAsia"/>
        </w:rPr>
        <w:t>新建</w:t>
      </w:r>
      <w:r>
        <w:t>页面</w:t>
      </w:r>
      <w:bookmarkEnd w:id="7946"/>
      <w:bookmarkEnd w:id="7947"/>
    </w:p>
    <w:p w14:paraId="085121A9">
      <w:r>
        <w:t xml:space="preserve"> </w:t>
      </w:r>
      <w:r>
        <w:drawing>
          <wp:inline distT="0" distB="0" distL="0" distR="0">
            <wp:extent cx="5124450" cy="5354955"/>
            <wp:effectExtent l="0" t="0" r="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a:blip r:embed="rId946"/>
                    <a:stretch>
                      <a:fillRect/>
                    </a:stretch>
                  </pic:blipFill>
                  <pic:spPr>
                    <a:xfrm>
                      <a:off x="0" y="0"/>
                      <a:ext cx="5127957" cy="5358869"/>
                    </a:xfrm>
                    <a:prstGeom prst="rect">
                      <a:avLst/>
                    </a:prstGeom>
                  </pic:spPr>
                </pic:pic>
              </a:graphicData>
            </a:graphic>
          </wp:inline>
        </w:drawing>
      </w:r>
    </w:p>
    <w:p w14:paraId="2B850A8A"/>
    <w:p w14:paraId="29F2282D">
      <w:r>
        <w:rPr>
          <w:rFonts w:hint="eastAsia"/>
        </w:rPr>
        <w:t>页面的详细说明如</w:t>
      </w:r>
      <w:r>
        <w:rPr>
          <w:color w:val="0000FF"/>
          <w:u w:val="single"/>
        </w:rPr>
        <w:fldChar w:fldCharType="begin"/>
      </w:r>
      <w:r>
        <w:instrText xml:space="preserve"> </w:instrText>
      </w:r>
      <w:r>
        <w:rPr>
          <w:rFonts w:hint="eastAsia"/>
        </w:rPr>
        <w:instrText xml:space="preserve">REF _Ref4744690 \r \h</w:instrText>
      </w:r>
      <w:r>
        <w:instrText xml:space="preserve"> </w:instrText>
      </w:r>
      <w:r>
        <w:rPr>
          <w:color w:val="0000FF"/>
          <w:u w:val="single"/>
        </w:rPr>
        <w:fldChar w:fldCharType="separate"/>
      </w:r>
      <w:r>
        <w:rPr>
          <w:rFonts w:hint="eastAsia"/>
        </w:rPr>
        <w:t>表30-1</w:t>
      </w:r>
      <w:r>
        <w:rPr>
          <w:color w:val="0000FF"/>
          <w:u w:val="single"/>
        </w:rPr>
        <w:fldChar w:fldCharType="end"/>
      </w:r>
      <w:r>
        <w:rPr>
          <w:rFonts w:hint="eastAsia"/>
        </w:rPr>
        <w:t>所示。</w:t>
      </w:r>
    </w:p>
    <w:p w14:paraId="49FC0A3B">
      <w:pPr>
        <w:pStyle w:val="183"/>
      </w:pPr>
      <w:bookmarkStart w:id="7948" w:name="_Ref4744690"/>
      <w:bookmarkStart w:id="7949" w:name="_Toc141875552"/>
      <w:r>
        <w:rPr>
          <w:rFonts w:hint="eastAsia"/>
        </w:rPr>
        <w:t>用户新建页面详细说明</w:t>
      </w:r>
      <w:bookmarkEnd w:id="7948"/>
      <w:bookmarkEnd w:id="7949"/>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696"/>
        <w:gridCol w:w="7319"/>
      </w:tblGrid>
      <w:tr w14:paraId="4277912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366" w:hRule="atLeast"/>
        </w:trPr>
        <w:tc>
          <w:tcPr>
            <w:tcW w:w="1696" w:type="dxa"/>
            <w:tcBorders>
              <w:tl2br w:val="nil"/>
              <w:tr2bl w:val="nil"/>
            </w:tcBorders>
            <w:shd w:val="clear" w:color="auto" w:fill="538135" w:themeFill="accent6" w:themeFillShade="BF"/>
            <w:vAlign w:val="center"/>
          </w:tcPr>
          <w:p w14:paraId="65216900">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7319" w:type="dxa"/>
            <w:tcBorders>
              <w:tl2br w:val="nil"/>
              <w:tr2bl w:val="nil"/>
            </w:tcBorders>
            <w:shd w:val="clear" w:color="auto" w:fill="538135" w:themeFill="accent6" w:themeFillShade="BF"/>
            <w:vAlign w:val="center"/>
          </w:tcPr>
          <w:p w14:paraId="4DC61099">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9C93F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66" w:hRule="atLeast"/>
        </w:trPr>
        <w:tc>
          <w:tcPr>
            <w:tcW w:w="1696" w:type="dxa"/>
            <w:shd w:val="clear" w:color="auto" w:fill="auto"/>
          </w:tcPr>
          <w:p w14:paraId="000766C6">
            <w:pPr>
              <w:pStyle w:val="150"/>
            </w:pPr>
            <w:r>
              <w:t>启用</w:t>
            </w:r>
          </w:p>
        </w:tc>
        <w:tc>
          <w:tcPr>
            <w:tcW w:w="7319" w:type="dxa"/>
            <w:shd w:val="clear" w:color="auto" w:fill="auto"/>
          </w:tcPr>
          <w:p w14:paraId="36FE6DDB">
            <w:pPr>
              <w:pStyle w:val="150"/>
              <w:rPr>
                <w:rFonts w:eastAsia="楷体_GB2312"/>
              </w:rPr>
            </w:pPr>
            <w:r>
              <w:t>用户是否启用</w:t>
            </w:r>
            <w:r>
              <w:rPr>
                <w:rFonts w:hint="eastAsia"/>
              </w:rPr>
              <w:t>。</w:t>
            </w:r>
          </w:p>
        </w:tc>
      </w:tr>
      <w:tr w14:paraId="12E4CCE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66" w:hRule="atLeast"/>
        </w:trPr>
        <w:tc>
          <w:tcPr>
            <w:tcW w:w="1696" w:type="dxa"/>
            <w:shd w:val="clear" w:color="auto" w:fill="auto"/>
          </w:tcPr>
          <w:p w14:paraId="189CC484">
            <w:pPr>
              <w:pStyle w:val="150"/>
            </w:pPr>
            <w:r>
              <w:rPr>
                <w:rFonts w:hint="eastAsia"/>
              </w:rPr>
              <w:t>登录名</w:t>
            </w:r>
          </w:p>
        </w:tc>
        <w:tc>
          <w:tcPr>
            <w:tcW w:w="7319" w:type="dxa"/>
            <w:shd w:val="clear" w:color="auto" w:fill="auto"/>
          </w:tcPr>
          <w:p w14:paraId="512BA84F">
            <w:pPr>
              <w:pStyle w:val="150"/>
              <w:rPr>
                <w:rFonts w:eastAsia="楷体_GB2312"/>
              </w:rPr>
            </w:pPr>
            <w:r>
              <w:rPr>
                <w:rFonts w:hint="eastAsia"/>
              </w:rPr>
              <w:t>设置用户登录时所使用的用户名。</w:t>
            </w:r>
          </w:p>
        </w:tc>
      </w:tr>
      <w:tr w14:paraId="77A3DD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66" w:hRule="atLeast"/>
        </w:trPr>
        <w:tc>
          <w:tcPr>
            <w:tcW w:w="1696" w:type="dxa"/>
            <w:shd w:val="clear" w:color="auto" w:fill="auto"/>
          </w:tcPr>
          <w:p w14:paraId="6E9634A0">
            <w:pPr>
              <w:pStyle w:val="150"/>
            </w:pPr>
            <w:r>
              <w:rPr>
                <w:rFonts w:hint="eastAsia"/>
              </w:rPr>
              <w:t>描述</w:t>
            </w:r>
          </w:p>
        </w:tc>
        <w:tc>
          <w:tcPr>
            <w:tcW w:w="7319" w:type="dxa"/>
            <w:shd w:val="clear" w:color="auto" w:fill="auto"/>
          </w:tcPr>
          <w:p w14:paraId="136DD57D">
            <w:pPr>
              <w:pStyle w:val="150"/>
              <w:rPr>
                <w:rFonts w:eastAsia="楷体_GB2312"/>
              </w:rPr>
            </w:pPr>
            <w:r>
              <w:rPr>
                <w:rFonts w:hint="eastAsia"/>
              </w:rPr>
              <w:t>关于用户的描述信息（可选）。</w:t>
            </w:r>
          </w:p>
        </w:tc>
      </w:tr>
      <w:tr w14:paraId="7B23A7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66" w:hRule="atLeast"/>
        </w:trPr>
        <w:tc>
          <w:tcPr>
            <w:tcW w:w="1696" w:type="dxa"/>
            <w:shd w:val="clear" w:color="auto" w:fill="auto"/>
          </w:tcPr>
          <w:p w14:paraId="64763199">
            <w:pPr>
              <w:pStyle w:val="150"/>
            </w:pPr>
            <w:r>
              <w:rPr>
                <w:rFonts w:hint="eastAsia"/>
              </w:rPr>
              <w:t>手机号</w:t>
            </w:r>
          </w:p>
        </w:tc>
        <w:tc>
          <w:tcPr>
            <w:tcW w:w="7319" w:type="dxa"/>
            <w:shd w:val="clear" w:color="auto" w:fill="auto"/>
          </w:tcPr>
          <w:p w14:paraId="2559A535">
            <w:pPr>
              <w:pStyle w:val="150"/>
            </w:pPr>
            <w:r>
              <w:rPr>
                <w:rFonts w:hint="eastAsia"/>
              </w:rPr>
              <w:t>可配置用户的手机号码，，长度为</w:t>
            </w:r>
            <w:r>
              <w:t>0</w:t>
            </w:r>
            <w:r>
              <w:rPr>
                <w:rFonts w:hint="eastAsia"/>
              </w:rPr>
              <w:t>-</w:t>
            </w:r>
            <w:r>
              <w:t>11</w:t>
            </w:r>
            <w:r>
              <w:rPr>
                <w:rFonts w:hint="eastAsia"/>
              </w:rPr>
              <w:t>个字符。</w:t>
            </w:r>
          </w:p>
        </w:tc>
      </w:tr>
      <w:tr w14:paraId="596D41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66" w:hRule="atLeast"/>
        </w:trPr>
        <w:tc>
          <w:tcPr>
            <w:tcW w:w="1696" w:type="dxa"/>
            <w:shd w:val="clear" w:color="auto" w:fill="auto"/>
          </w:tcPr>
          <w:p w14:paraId="21EE792E">
            <w:pPr>
              <w:pStyle w:val="150"/>
            </w:pPr>
            <w:r>
              <w:rPr>
                <w:rFonts w:hint="eastAsia"/>
              </w:rPr>
              <w:t>邮箱</w:t>
            </w:r>
          </w:p>
        </w:tc>
        <w:tc>
          <w:tcPr>
            <w:tcW w:w="7319" w:type="dxa"/>
            <w:shd w:val="clear" w:color="auto" w:fill="auto"/>
          </w:tcPr>
          <w:p w14:paraId="54ABAF34">
            <w:pPr>
              <w:pStyle w:val="150"/>
            </w:pPr>
            <w:r>
              <w:rPr>
                <w:rFonts w:hint="eastAsia"/>
              </w:rPr>
              <w:t>可配置用户的邮箱地址，长度为0-63个字符。</w:t>
            </w:r>
          </w:p>
        </w:tc>
      </w:tr>
      <w:tr w14:paraId="456ED4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66" w:hRule="atLeast"/>
        </w:trPr>
        <w:tc>
          <w:tcPr>
            <w:tcW w:w="1696" w:type="dxa"/>
            <w:shd w:val="clear" w:color="auto" w:fill="auto"/>
          </w:tcPr>
          <w:p w14:paraId="4F72A1EC">
            <w:pPr>
              <w:pStyle w:val="150"/>
            </w:pPr>
            <w:r>
              <w:rPr>
                <w:rFonts w:hint="eastAsia"/>
              </w:rPr>
              <w:t>微信Openid</w:t>
            </w:r>
          </w:p>
        </w:tc>
        <w:tc>
          <w:tcPr>
            <w:tcW w:w="7319" w:type="dxa"/>
            <w:shd w:val="clear" w:color="auto" w:fill="auto"/>
          </w:tcPr>
          <w:p w14:paraId="7BBAB997">
            <w:pPr>
              <w:pStyle w:val="150"/>
            </w:pPr>
            <w:r>
              <w:rPr>
                <w:rFonts w:hint="eastAsia"/>
              </w:rPr>
              <w:t>可配置用户的微信Openid，长度为0-127个字符。</w:t>
            </w:r>
          </w:p>
        </w:tc>
      </w:tr>
      <w:tr w14:paraId="10A7A7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66" w:hRule="atLeast"/>
        </w:trPr>
        <w:tc>
          <w:tcPr>
            <w:tcW w:w="1696" w:type="dxa"/>
            <w:shd w:val="clear" w:color="auto" w:fill="auto"/>
          </w:tcPr>
          <w:p w14:paraId="47D7920A">
            <w:pPr>
              <w:pStyle w:val="150"/>
            </w:pPr>
            <w:r>
              <w:rPr>
                <w:rFonts w:hint="eastAsia"/>
              </w:rPr>
              <w:t>所属组</w:t>
            </w:r>
          </w:p>
        </w:tc>
        <w:tc>
          <w:tcPr>
            <w:tcW w:w="7319" w:type="dxa"/>
            <w:shd w:val="clear" w:color="auto" w:fill="auto"/>
          </w:tcPr>
          <w:p w14:paraId="340A77EE">
            <w:pPr>
              <w:pStyle w:val="150"/>
              <w:rPr>
                <w:rFonts w:eastAsia="楷体_GB2312"/>
              </w:rPr>
            </w:pPr>
            <w:r>
              <w:rPr>
                <w:rFonts w:hint="eastAsia"/>
              </w:rPr>
              <w:t>将用户添加到用户组。只支持添加到组织结构中，不支持添加到属性组。</w:t>
            </w:r>
          </w:p>
        </w:tc>
      </w:tr>
      <w:tr w14:paraId="5FFADF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66" w:hRule="atLeast"/>
        </w:trPr>
        <w:tc>
          <w:tcPr>
            <w:tcW w:w="1696" w:type="dxa"/>
            <w:shd w:val="clear" w:color="auto" w:fill="auto"/>
          </w:tcPr>
          <w:p w14:paraId="0ACAE808">
            <w:pPr>
              <w:pStyle w:val="150"/>
            </w:pPr>
            <w:r>
              <w:rPr>
                <w:rFonts w:hint="eastAsia"/>
              </w:rPr>
              <w:t>本地密码</w:t>
            </w:r>
          </w:p>
        </w:tc>
        <w:tc>
          <w:tcPr>
            <w:tcW w:w="7319" w:type="dxa"/>
            <w:shd w:val="clear" w:color="auto" w:fill="auto"/>
          </w:tcPr>
          <w:p w14:paraId="25343C52">
            <w:pPr>
              <w:pStyle w:val="150"/>
              <w:rPr>
                <w:rFonts w:eastAsia="楷体_GB2312"/>
              </w:rPr>
            </w:pPr>
            <w:r>
              <w:rPr>
                <w:rFonts w:hint="eastAsia"/>
              </w:rPr>
              <w:t>勾选之后设置用户的本地密码，需配合本地认证功能进行用户身份校验。不勾选代表此用户为无密码或者为第三方服务器认证用户，密码记录在地三方服务器。</w:t>
            </w:r>
          </w:p>
        </w:tc>
      </w:tr>
      <w:tr w14:paraId="7CB4155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66" w:hRule="atLeast"/>
        </w:trPr>
        <w:tc>
          <w:tcPr>
            <w:tcW w:w="1696" w:type="dxa"/>
            <w:shd w:val="clear" w:color="auto" w:fill="auto"/>
          </w:tcPr>
          <w:p w14:paraId="3652417C">
            <w:pPr>
              <w:pStyle w:val="150"/>
            </w:pPr>
            <w:r>
              <w:t>确认密码</w:t>
            </w:r>
          </w:p>
        </w:tc>
        <w:tc>
          <w:tcPr>
            <w:tcW w:w="7319" w:type="dxa"/>
            <w:shd w:val="clear" w:color="auto" w:fill="auto"/>
          </w:tcPr>
          <w:p w14:paraId="0CA6F93B">
            <w:pPr>
              <w:pStyle w:val="150"/>
              <w:rPr>
                <w:rFonts w:eastAsia="楷体_GB2312"/>
              </w:rPr>
            </w:pPr>
            <w:r>
              <w:t>重新确认一次密码</w:t>
            </w:r>
            <w:r>
              <w:rPr>
                <w:rFonts w:hint="eastAsia"/>
              </w:rPr>
              <w:t>，</w:t>
            </w:r>
            <w:r>
              <w:t>防止误操作</w:t>
            </w:r>
            <w:r>
              <w:rPr>
                <w:rFonts w:hint="eastAsia"/>
              </w:rPr>
              <w:t>。</w:t>
            </w:r>
          </w:p>
        </w:tc>
      </w:tr>
      <w:tr w14:paraId="6DEBDD2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66" w:hRule="atLeast"/>
        </w:trPr>
        <w:tc>
          <w:tcPr>
            <w:tcW w:w="1696" w:type="dxa"/>
            <w:shd w:val="clear" w:color="auto" w:fill="auto"/>
          </w:tcPr>
          <w:p w14:paraId="23A37A55">
            <w:pPr>
              <w:pStyle w:val="150"/>
            </w:pPr>
            <w:r>
              <w:t>允许修改密码</w:t>
            </w:r>
          </w:p>
        </w:tc>
        <w:tc>
          <w:tcPr>
            <w:tcW w:w="7319" w:type="dxa"/>
            <w:shd w:val="clear" w:color="auto" w:fill="auto"/>
          </w:tcPr>
          <w:p w14:paraId="5198CC8B">
            <w:pPr>
              <w:pStyle w:val="150"/>
            </w:pPr>
            <w:r>
              <w:t>允许本地认证用户修改登录密码</w:t>
            </w:r>
            <w:r>
              <w:rPr>
                <w:rFonts w:hint="eastAsia"/>
              </w:rPr>
              <w:t>。</w:t>
            </w:r>
          </w:p>
        </w:tc>
      </w:tr>
      <w:tr w14:paraId="3A92E2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66" w:hRule="atLeast"/>
        </w:trPr>
        <w:tc>
          <w:tcPr>
            <w:tcW w:w="1696" w:type="dxa"/>
            <w:shd w:val="clear" w:color="auto" w:fill="auto"/>
          </w:tcPr>
          <w:p w14:paraId="0C8F9675">
            <w:pPr>
              <w:pStyle w:val="150"/>
            </w:pPr>
            <w:r>
              <w:t>初次认证修改密码</w:t>
            </w:r>
          </w:p>
        </w:tc>
        <w:tc>
          <w:tcPr>
            <w:tcW w:w="7319" w:type="dxa"/>
            <w:shd w:val="clear" w:color="auto" w:fill="auto"/>
          </w:tcPr>
          <w:p w14:paraId="7B8BBB06">
            <w:pPr>
              <w:pStyle w:val="150"/>
            </w:pPr>
            <w:r>
              <w:t>强制本地认证用户在</w:t>
            </w:r>
            <w:r>
              <w:rPr>
                <w:rFonts w:hint="eastAsia"/>
              </w:rPr>
              <w:t>首次</w:t>
            </w:r>
            <w:r>
              <w:t>登录时修改密码</w:t>
            </w:r>
            <w:r>
              <w:rPr>
                <w:rFonts w:hint="eastAsia"/>
              </w:rPr>
              <w:t>。</w:t>
            </w:r>
          </w:p>
        </w:tc>
      </w:tr>
      <w:tr w14:paraId="221DA3E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66" w:hRule="atLeast"/>
        </w:trPr>
        <w:tc>
          <w:tcPr>
            <w:tcW w:w="1696" w:type="dxa"/>
            <w:shd w:val="clear" w:color="auto" w:fill="auto"/>
          </w:tcPr>
          <w:p w14:paraId="2FF6AC6B">
            <w:pPr>
              <w:pStyle w:val="150"/>
              <w:rPr>
                <w:rFonts w:eastAsia="楷体_GB2312"/>
              </w:rPr>
            </w:pPr>
            <w:r>
              <w:rPr>
                <w:rFonts w:hint="eastAsia"/>
              </w:rPr>
              <w:t>绑定范围</w:t>
            </w:r>
          </w:p>
        </w:tc>
        <w:tc>
          <w:tcPr>
            <w:tcW w:w="7319" w:type="dxa"/>
            <w:shd w:val="clear" w:color="auto" w:fill="auto"/>
          </w:tcPr>
          <w:p w14:paraId="25415858">
            <w:pPr>
              <w:pStyle w:val="150"/>
            </w:pPr>
            <w:r>
              <w:rPr>
                <w:rFonts w:hint="eastAsia"/>
              </w:rPr>
              <w:t>设置用户的静态绑定对象，可以为IP地址、IP地址范围、子网段或MAC地址。</w:t>
            </w:r>
          </w:p>
          <w:p w14:paraId="56E6E8C8">
            <w:pPr>
              <w:pStyle w:val="150"/>
            </w:pPr>
            <w:r>
              <w:rPr>
                <w:rFonts w:hint="eastAsia"/>
              </w:rPr>
              <w:t>同时设置了本地密码和绑定范围后，如果上线用户属于绑定范围，则在线用户列表中展示的用户名为登录名中所设置的用户名，否则展示的用户名为IP地址，展示的认证方式为“未认证”。</w:t>
            </w:r>
          </w:p>
          <w:p w14:paraId="737D1F10">
            <w:pPr>
              <w:pStyle w:val="150"/>
              <w:rPr>
                <w:rFonts w:eastAsia="楷体_GB2312"/>
              </w:rPr>
            </w:pPr>
            <w:r>
              <w:rPr>
                <w:rFonts w:hint="eastAsia"/>
              </w:rPr>
              <w:t>如果上线用户不属于绑定范围，且上网IP匹配本地认证策略，则该用户可以使用本地密码进行身份认证。认证成功后，在线用户列表中展示的认证方式为“本地认证”。</w:t>
            </w:r>
          </w:p>
        </w:tc>
      </w:tr>
      <w:tr w14:paraId="3919C4C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66" w:hRule="atLeast"/>
        </w:trPr>
        <w:tc>
          <w:tcPr>
            <w:tcW w:w="1696" w:type="dxa"/>
            <w:shd w:val="clear" w:color="auto" w:fill="auto"/>
          </w:tcPr>
          <w:p w14:paraId="662658FE">
            <w:pPr>
              <w:pStyle w:val="150"/>
            </w:pPr>
            <w:r>
              <w:rPr>
                <w:rFonts w:hint="eastAsia"/>
              </w:rPr>
              <w:t>排除地址范围</w:t>
            </w:r>
          </w:p>
        </w:tc>
        <w:tc>
          <w:tcPr>
            <w:tcW w:w="7319" w:type="dxa"/>
            <w:shd w:val="clear" w:color="auto" w:fill="auto"/>
          </w:tcPr>
          <w:p w14:paraId="6830F451">
            <w:pPr>
              <w:pStyle w:val="150"/>
              <w:rPr>
                <w:rFonts w:eastAsia="楷体_GB2312"/>
              </w:rPr>
            </w:pPr>
            <w:r>
              <w:rPr>
                <w:rFonts w:hint="eastAsia"/>
              </w:rPr>
              <w:t>设置绑定范围内的排除IP地址或地址段，即不应用静态绑定的IP地址或地址段，只支持IPv4地址。</w:t>
            </w:r>
          </w:p>
        </w:tc>
      </w:tr>
    </w:tbl>
    <w:p w14:paraId="2C9F0213"/>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7E50236F">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34C83232">
            <w:pPr>
              <w:pStyle w:val="150"/>
              <w:adjustRightInd w:val="0"/>
              <w:snapToGrid w:val="0"/>
              <w:rPr>
                <w:color w:val="auto"/>
              </w:rPr>
            </w:pPr>
            <w:r>
              <w:rPr>
                <w:b/>
                <w:color w:val="auto"/>
              </w:rPr>
              <w:drawing>
                <wp:inline distT="0" distB="0" distL="0" distR="0">
                  <wp:extent cx="283210" cy="283210"/>
                  <wp:effectExtent l="0" t="0" r="2540" b="2540"/>
                  <wp:docPr id="910" name="图片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 name="图片 910"/>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7F3A6560">
            <w:pPr>
              <w:pStyle w:val="150"/>
              <w:adjustRightInd w:val="0"/>
              <w:snapToGrid w:val="0"/>
              <w:rPr>
                <w:color w:val="auto"/>
              </w:rPr>
            </w:pPr>
            <w:r>
              <w:rPr>
                <w:rFonts w:hint="eastAsia"/>
                <w:color w:val="auto"/>
              </w:rPr>
              <w:t>配置了用户的登录名、手机号、邮箱、微信Openid后，可以使用用户名、手机号、邮箱 、微信Openid进行本地WEB认证，认证成功后在线用户处显示本地用户名。</w:t>
            </w:r>
          </w:p>
        </w:tc>
      </w:tr>
    </w:tbl>
    <w:p w14:paraId="7E721844"/>
    <w:p w14:paraId="7A19D259">
      <w:r>
        <w:rPr>
          <w:rFonts w:hint="eastAsia"/>
        </w:rPr>
        <w:t>点击“高级选项”页签，切换到用户的高级选项配置页面，如下图所示。</w:t>
      </w:r>
    </w:p>
    <w:p w14:paraId="4BA7A508">
      <w:pPr>
        <w:pStyle w:val="188"/>
      </w:pPr>
      <w:bookmarkStart w:id="7950" w:name="_Toc141874757"/>
      <w:r>
        <w:t>用户</w:t>
      </w:r>
      <w:r>
        <w:rPr>
          <w:rFonts w:hint="eastAsia"/>
        </w:rPr>
        <w:t>高级配置</w:t>
      </w:r>
      <w:r>
        <w:t>页面</w:t>
      </w:r>
      <w:bookmarkEnd w:id="7950"/>
    </w:p>
    <w:p w14:paraId="7972F1C1">
      <w:r>
        <w:drawing>
          <wp:inline distT="0" distB="0" distL="0" distR="0">
            <wp:extent cx="5572125" cy="3253740"/>
            <wp:effectExtent l="0" t="0" r="0" b="3810"/>
            <wp:docPr id="815778179" name="图片 815778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778179" name="图片 815778179"/>
                    <pic:cNvPicPr>
                      <a:picLocks noChangeAspect="1"/>
                    </pic:cNvPicPr>
                  </pic:nvPicPr>
                  <pic:blipFill>
                    <a:blip r:embed="rId947"/>
                    <a:stretch>
                      <a:fillRect/>
                    </a:stretch>
                  </pic:blipFill>
                  <pic:spPr>
                    <a:xfrm>
                      <a:off x="0" y="0"/>
                      <a:ext cx="5576002" cy="3256621"/>
                    </a:xfrm>
                    <a:prstGeom prst="rect">
                      <a:avLst/>
                    </a:prstGeom>
                  </pic:spPr>
                </pic:pic>
              </a:graphicData>
            </a:graphic>
          </wp:inline>
        </w:drawing>
      </w:r>
    </w:p>
    <w:p w14:paraId="49B16EC0">
      <w:pPr>
        <w:pStyle w:val="183"/>
      </w:pPr>
      <w:bookmarkStart w:id="7951" w:name="_Toc141875553"/>
      <w:r>
        <w:rPr>
          <w:rFonts w:hint="eastAsia"/>
        </w:rPr>
        <w:t>用户高级配置页面详细说明</w:t>
      </w:r>
      <w:bookmarkEnd w:id="7951"/>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42B389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36F29C7C">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6" w:type="dxa"/>
            <w:tcBorders>
              <w:tl2br w:val="nil"/>
              <w:tr2bl w:val="nil"/>
            </w:tcBorders>
            <w:shd w:val="clear" w:color="auto" w:fill="538135" w:themeFill="accent6" w:themeFillShade="BF"/>
            <w:vAlign w:val="center"/>
          </w:tcPr>
          <w:p w14:paraId="146A07A2">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A2D614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7CA9F233">
            <w:pPr>
              <w:pStyle w:val="150"/>
            </w:pPr>
            <w:r>
              <w:rPr>
                <w:rFonts w:hint="eastAsia"/>
              </w:rPr>
              <w:t>用户登录唯一性检查</w:t>
            </w:r>
          </w:p>
        </w:tc>
        <w:tc>
          <w:tcPr>
            <w:tcW w:w="6816" w:type="dxa"/>
            <w:shd w:val="clear" w:color="auto" w:fill="auto"/>
          </w:tcPr>
          <w:p w14:paraId="1EBD95ED">
            <w:pPr>
              <w:pStyle w:val="150"/>
            </w:pPr>
            <w:r>
              <w:rPr>
                <w:rFonts w:hint="eastAsia"/>
              </w:rPr>
              <w:t>是否启用用户</w:t>
            </w:r>
            <w:r>
              <w:t>唯一性检查的配置方式</w:t>
            </w:r>
            <w:r>
              <w:rPr>
                <w:rFonts w:hint="eastAsia"/>
              </w:rPr>
              <w:t>，</w:t>
            </w:r>
            <w:r>
              <w:t>勾选为启用</w:t>
            </w:r>
            <w:r>
              <w:rPr>
                <w:rFonts w:hint="eastAsia"/>
              </w:rPr>
              <w:t>。</w:t>
            </w:r>
          </w:p>
        </w:tc>
      </w:tr>
      <w:tr w14:paraId="4FFE30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69F94212">
            <w:pPr>
              <w:pStyle w:val="150"/>
            </w:pPr>
            <w:r>
              <w:rPr>
                <w:rFonts w:hint="eastAsia"/>
              </w:rPr>
              <w:t>单一账号登录</w:t>
            </w:r>
          </w:p>
        </w:tc>
        <w:tc>
          <w:tcPr>
            <w:tcW w:w="6816" w:type="dxa"/>
            <w:shd w:val="clear" w:color="auto" w:fill="auto"/>
          </w:tcPr>
          <w:p w14:paraId="1A689A9D">
            <w:pPr>
              <w:pStyle w:val="150"/>
            </w:pPr>
            <w:r>
              <w:rPr>
                <w:rFonts w:hint="eastAsia"/>
              </w:rPr>
              <w:t>同一时间只允许同一账号登录一次。</w:t>
            </w:r>
          </w:p>
          <w:p w14:paraId="3A0025FE">
            <w:pPr>
              <w:pStyle w:val="150"/>
            </w:pPr>
            <w:r>
              <w:rPr>
                <w:rFonts w:hint="eastAsia"/>
              </w:rPr>
              <w:t>启用单一账号登录后，可针对已登录用户做如下2种处理方式：</w:t>
            </w:r>
          </w:p>
          <w:p w14:paraId="32BE5A84">
            <w:pPr>
              <w:pStyle w:val="150"/>
            </w:pPr>
            <w:r>
              <w:rPr>
                <w:rFonts w:hint="eastAsia"/>
              </w:rPr>
              <w:t>踢出已登录用户：如果新用户登录，老的用户将会被踢下线；</w:t>
            </w:r>
          </w:p>
          <w:p w14:paraId="4BA33A3E">
            <w:pPr>
              <w:pStyle w:val="150"/>
            </w:pPr>
            <w:r>
              <w:rPr>
                <w:rFonts w:hint="eastAsia"/>
              </w:rPr>
              <w:t>禁止同名用户再次登录：如果老用户已经登录，新用户将不能以此用户名登录。</w:t>
            </w:r>
          </w:p>
        </w:tc>
      </w:tr>
      <w:tr w14:paraId="63DC7CD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6598298B">
            <w:pPr>
              <w:pStyle w:val="150"/>
            </w:pPr>
            <w:r>
              <w:rPr>
                <w:rFonts w:hint="eastAsia"/>
              </w:rPr>
              <w:t>允许重复登录</w:t>
            </w:r>
          </w:p>
        </w:tc>
        <w:tc>
          <w:tcPr>
            <w:tcW w:w="6816" w:type="dxa"/>
            <w:shd w:val="clear" w:color="auto" w:fill="auto"/>
          </w:tcPr>
          <w:p w14:paraId="197EA16D">
            <w:pPr>
              <w:pStyle w:val="150"/>
            </w:pPr>
            <w:r>
              <w:rPr>
                <w:rFonts w:hint="eastAsia"/>
              </w:rPr>
              <w:t>同一时间允许同一账号登录多次。</w:t>
            </w:r>
          </w:p>
          <w:p w14:paraId="2A03839A">
            <w:pPr>
              <w:pStyle w:val="150"/>
            </w:pPr>
            <w:r>
              <w:rPr>
                <w:rFonts w:hint="eastAsia"/>
              </w:rPr>
              <w:t>启用允许重复登录后，允许个数支持无限制和限制登录个数。</w:t>
            </w:r>
          </w:p>
        </w:tc>
      </w:tr>
      <w:tr w14:paraId="114AA6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1CAE3267">
            <w:pPr>
              <w:pStyle w:val="150"/>
            </w:pPr>
            <w:r>
              <w:rPr>
                <w:rFonts w:hint="eastAsia"/>
              </w:rPr>
              <w:t>账户过期时间</w:t>
            </w:r>
          </w:p>
        </w:tc>
        <w:tc>
          <w:tcPr>
            <w:tcW w:w="6816" w:type="dxa"/>
            <w:shd w:val="clear" w:color="auto" w:fill="auto"/>
          </w:tcPr>
          <w:p w14:paraId="61D05B47">
            <w:pPr>
              <w:pStyle w:val="150"/>
            </w:pPr>
            <w:r>
              <w:rPr>
                <w:rFonts w:hint="eastAsia"/>
              </w:rPr>
              <w:t>账号有效期，可选择永不过期或者在某天后过期。</w:t>
            </w:r>
          </w:p>
        </w:tc>
      </w:tr>
      <w:tr w14:paraId="19037F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77D068AE">
            <w:pPr>
              <w:pStyle w:val="150"/>
            </w:pPr>
            <w:r>
              <w:rPr>
                <w:rFonts w:hint="eastAsia"/>
              </w:rPr>
              <w:t>自定义属性</w:t>
            </w:r>
          </w:p>
        </w:tc>
        <w:tc>
          <w:tcPr>
            <w:tcW w:w="6816" w:type="dxa"/>
            <w:shd w:val="clear" w:color="auto" w:fill="auto"/>
          </w:tcPr>
          <w:p w14:paraId="114CCB02">
            <w:pPr>
              <w:pStyle w:val="150"/>
            </w:pPr>
            <w:r>
              <w:rPr>
                <w:rFonts w:hint="eastAsia"/>
              </w:rPr>
              <w:t>配置用户属性，点击&lt;新建&gt;选择自定义的属性名和属性值，也可以选择文本，自定义属性。选择文本时自定义的属性值不会同步显示在“用户管理&gt;用户管理&gt;高级选项”的自定义属性列表中。</w:t>
            </w:r>
          </w:p>
          <w:p w14:paraId="4A14BF80">
            <w:pPr>
              <w:pStyle w:val="150"/>
            </w:pPr>
            <w:r>
              <w:rPr>
                <w:rFonts w:hint="eastAsia"/>
              </w:rPr>
              <w:t>选择用户管理，在菜单栏选择“用户管理&gt;用户管理&gt;高级选项”可以自定义属性，详细配置请参考高级选项。</w:t>
            </w:r>
          </w:p>
        </w:tc>
      </w:tr>
    </w:tbl>
    <w:p w14:paraId="362DB844"/>
    <w:p w14:paraId="1302D86E">
      <w:r>
        <w:rPr>
          <w:rFonts w:hint="eastAsia"/>
        </w:rPr>
        <w:t>按照需求输入对应的项目后，单击&lt;提交&gt;，即可将该用户加入到选择的用户组下。</w:t>
      </w:r>
    </w:p>
    <w:p w14:paraId="6F35B1A0">
      <w:pPr>
        <w:pStyle w:val="6"/>
      </w:pPr>
      <w:r>
        <w:rPr>
          <w:rFonts w:hint="eastAsia"/>
        </w:rPr>
        <w:t>变更用户创建属性</w:t>
      </w:r>
    </w:p>
    <w:p w14:paraId="79EC33C5">
      <w:r>
        <w:rPr>
          <w:rFonts w:hint="eastAsia"/>
        </w:rPr>
        <w:t>根据创建用户的来源不同，在用户组织结构中的用户信息中显示该用户的创建属性，例如管理员添加、ARP扫描录入、认证录入等。</w:t>
      </w:r>
    </w:p>
    <w:p w14:paraId="758AF517">
      <w:pPr>
        <w:pStyle w:val="188"/>
      </w:pPr>
      <w:bookmarkStart w:id="7952" w:name="_Toc141874758"/>
      <w:r>
        <w:rPr>
          <w:rFonts w:hint="eastAsia"/>
        </w:rPr>
        <w:t>查看</w:t>
      </w:r>
      <w:bookmarkStart w:id="7953" w:name="_Ref4744706"/>
      <w:r>
        <w:rPr>
          <w:rFonts w:hint="eastAsia"/>
        </w:rPr>
        <w:t>用户</w:t>
      </w:r>
      <w:r>
        <w:t>创建</w:t>
      </w:r>
      <w:r>
        <w:rPr>
          <w:rFonts w:hint="eastAsia"/>
        </w:rPr>
        <w:t>属性</w:t>
      </w:r>
      <w:bookmarkEnd w:id="7952"/>
      <w:bookmarkEnd w:id="7953"/>
    </w:p>
    <w:p w14:paraId="6EE95C2D">
      <w:r>
        <w:drawing>
          <wp:inline distT="0" distB="0" distL="0" distR="0">
            <wp:extent cx="5400040" cy="1151255"/>
            <wp:effectExtent l="0" t="0" r="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948"/>
                    <a:stretch>
                      <a:fillRect/>
                    </a:stretch>
                  </pic:blipFill>
                  <pic:spPr>
                    <a:xfrm>
                      <a:off x="0" y="0"/>
                      <a:ext cx="5400040" cy="1151388"/>
                    </a:xfrm>
                    <a:prstGeom prst="rect">
                      <a:avLst/>
                    </a:prstGeom>
                  </pic:spPr>
                </pic:pic>
              </a:graphicData>
            </a:graphic>
          </wp:inline>
        </w:drawing>
      </w:r>
    </w:p>
    <w:p w14:paraId="09822F0D">
      <w:pPr>
        <w:spacing w:before="120" w:after="120"/>
      </w:pPr>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5C683ACE">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51084E9F">
            <w:pPr>
              <w:pStyle w:val="150"/>
              <w:adjustRightInd w:val="0"/>
              <w:snapToGrid w:val="0"/>
              <w:rPr>
                <w:color w:val="auto"/>
              </w:rPr>
            </w:pPr>
            <w:r>
              <w:rPr>
                <w:b/>
                <w:color w:val="auto"/>
              </w:rPr>
              <w:drawing>
                <wp:inline distT="0" distB="0" distL="0" distR="0">
                  <wp:extent cx="283210" cy="283210"/>
                  <wp:effectExtent l="0" t="0" r="2540" b="2540"/>
                  <wp:docPr id="912" name="图片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图片 91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46BD04A6">
            <w:pPr>
              <w:pStyle w:val="150"/>
              <w:adjustRightInd w:val="0"/>
              <w:snapToGrid w:val="0"/>
              <w:rPr>
                <w:color w:val="auto"/>
              </w:rPr>
            </w:pPr>
            <w:r>
              <w:rPr>
                <w:rFonts w:hint="eastAsia"/>
                <w:color w:val="auto"/>
              </w:rPr>
              <w:t>仅用户支持创建属性，用户组不支持创建属性，且创建属性不支持导入导出。</w:t>
            </w:r>
          </w:p>
        </w:tc>
      </w:tr>
    </w:tbl>
    <w:p w14:paraId="19566E6A"/>
    <w:p w14:paraId="23D69128">
      <w:r>
        <w:rPr>
          <w:rFonts w:hint="eastAsia"/>
        </w:rPr>
        <w:t>如果用户的创建属性非管理员添加时，管理员点击用户的编辑按钮，编辑相关信息，点击&lt;提交&gt;，会提示“该用户非管理员创建，是否转换为自建用户？”。</w:t>
      </w:r>
    </w:p>
    <w:p w14:paraId="798B6B4B">
      <w:pPr>
        <w:pStyle w:val="188"/>
      </w:pPr>
      <w:bookmarkStart w:id="7954" w:name="_Toc141874759"/>
      <w:r>
        <w:rPr>
          <w:rFonts w:hint="eastAsia"/>
        </w:rPr>
        <w:t>变更用户创建属性</w:t>
      </w:r>
      <w:bookmarkEnd w:id="7954"/>
    </w:p>
    <w:p w14:paraId="74A00C30">
      <w:pPr>
        <w:spacing w:before="79" w:after="79"/>
      </w:pPr>
      <w:r>
        <w:drawing>
          <wp:inline distT="0" distB="0" distL="0" distR="0">
            <wp:extent cx="5191125" cy="5217160"/>
            <wp:effectExtent l="0" t="0" r="0" b="254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949"/>
                    <a:stretch>
                      <a:fillRect/>
                    </a:stretch>
                  </pic:blipFill>
                  <pic:spPr>
                    <a:xfrm>
                      <a:off x="0" y="0"/>
                      <a:ext cx="5193080" cy="5219482"/>
                    </a:xfrm>
                    <a:prstGeom prst="rect">
                      <a:avLst/>
                    </a:prstGeom>
                  </pic:spPr>
                </pic:pic>
              </a:graphicData>
            </a:graphic>
          </wp:inline>
        </w:drawing>
      </w:r>
    </w:p>
    <w:p w14:paraId="3B0075AA">
      <w:pPr>
        <w:spacing w:before="120" w:after="120"/>
      </w:pPr>
      <w:r>
        <w:rPr>
          <w:rFonts w:hint="eastAsia"/>
        </w:rPr>
        <w:t>点击&lt;确定&gt;会进行创建属性的变更，该</w:t>
      </w:r>
      <w:r>
        <w:t>用户的创建属性</w:t>
      </w:r>
      <w:r>
        <w:rPr>
          <w:rFonts w:hint="eastAsia"/>
        </w:rPr>
        <w:t>变更为“管理员添加”。</w:t>
      </w:r>
    </w:p>
    <w:p w14:paraId="1BAEC7B6">
      <w:pPr>
        <w:pStyle w:val="6"/>
      </w:pPr>
      <w:r>
        <w:rPr>
          <w:rFonts w:hint="eastAsia"/>
        </w:rPr>
        <w:t>查看用户引用信息</w:t>
      </w:r>
    </w:p>
    <w:p w14:paraId="1B305980">
      <w:r>
        <w:rPr>
          <w:rFonts w:hint="eastAsia"/>
          <w:bCs/>
        </w:rPr>
        <w:t>选</w:t>
      </w:r>
      <w:r>
        <w:rPr>
          <w:rFonts w:hint="eastAsia"/>
        </w:rPr>
        <w:t>择“用户管理&gt;用户管理&gt;用户组织结构”</w:t>
      </w:r>
      <w:r>
        <w:t>，</w:t>
      </w:r>
      <w:r>
        <w:rPr>
          <w:rFonts w:hint="eastAsia"/>
        </w:rPr>
        <w:t>查看设备上已配置的所有用户和用户组，当</w:t>
      </w:r>
      <w:r>
        <w:t>用户</w:t>
      </w:r>
      <w:r>
        <w:rPr>
          <w:rFonts w:hint="eastAsia"/>
        </w:rPr>
        <w:t>或用户</w:t>
      </w:r>
      <w:r>
        <w:t>组被</w:t>
      </w:r>
      <w:r>
        <w:rPr>
          <w:rFonts w:hint="eastAsia"/>
        </w:rPr>
        <w:t>其他</w:t>
      </w:r>
      <w:r>
        <w:t>策略引用后，</w:t>
      </w:r>
      <w:r>
        <w:rPr>
          <w:rFonts w:hint="eastAsia"/>
        </w:rPr>
        <w:t>会</w:t>
      </w:r>
      <w:r>
        <w:t>显示</w:t>
      </w:r>
      <w:r>
        <w:rPr>
          <w:rFonts w:hint="eastAsia"/>
        </w:rPr>
        <w:t>用户</w:t>
      </w:r>
      <w:r>
        <w:t>或用户组</w:t>
      </w:r>
      <w:r>
        <w:rPr>
          <w:rFonts w:hint="eastAsia"/>
        </w:rPr>
        <w:t>被</w:t>
      </w:r>
      <w:r>
        <w:t>引用</w:t>
      </w:r>
      <w:r>
        <w:rPr>
          <w:rFonts w:hint="eastAsia"/>
        </w:rPr>
        <w:t>的</w:t>
      </w:r>
      <w:r>
        <w:t>次数</w:t>
      </w:r>
      <w:r>
        <w:rPr>
          <w:rFonts w:hint="eastAsia"/>
        </w:rPr>
        <w:t>，</w:t>
      </w:r>
      <w:r>
        <w:t>未被引用的则</w:t>
      </w:r>
      <w:r>
        <w:rPr>
          <w:rFonts w:hint="eastAsia"/>
        </w:rPr>
        <w:t>显示</w:t>
      </w:r>
      <w:r>
        <w:t>为</w:t>
      </w:r>
      <w:r>
        <w:rPr>
          <w:rFonts w:hint="eastAsia"/>
        </w:rPr>
        <w:t>0。</w:t>
      </w:r>
    </w:p>
    <w:p w14:paraId="28E648CF">
      <w:pPr>
        <w:pStyle w:val="188"/>
      </w:pPr>
      <w:bookmarkStart w:id="7955" w:name="_Toc141874760"/>
      <w:r>
        <w:rPr>
          <w:rFonts w:hint="eastAsia"/>
        </w:rPr>
        <w:t>查看用户引用信息</w:t>
      </w:r>
      <w:bookmarkEnd w:id="7955"/>
    </w:p>
    <w:p w14:paraId="258407B7">
      <w:pPr>
        <w:spacing w:before="79" w:after="79"/>
      </w:pPr>
      <w:r>
        <w:drawing>
          <wp:inline distT="0" distB="0" distL="0" distR="0">
            <wp:extent cx="5305425" cy="1330960"/>
            <wp:effectExtent l="0" t="0" r="0" b="254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950"/>
                    <a:srcRect t="11034"/>
                    <a:stretch>
                      <a:fillRect/>
                    </a:stretch>
                  </pic:blipFill>
                  <pic:spPr>
                    <a:xfrm>
                      <a:off x="0" y="0"/>
                      <a:ext cx="5318101" cy="1334767"/>
                    </a:xfrm>
                    <a:prstGeom prst="rect">
                      <a:avLst/>
                    </a:prstGeom>
                    <a:ln>
                      <a:noFill/>
                    </a:ln>
                  </pic:spPr>
                </pic:pic>
              </a:graphicData>
            </a:graphic>
          </wp:inline>
        </w:drawing>
      </w:r>
    </w:p>
    <w:p w14:paraId="5528BB24">
      <w:r>
        <w:rPr>
          <w:rFonts w:hint="eastAsia"/>
        </w:rPr>
        <w:t>点击引用次数</w:t>
      </w:r>
      <w:r>
        <w:t>，可以查看</w:t>
      </w:r>
      <w:r>
        <w:rPr>
          <w:rFonts w:hint="eastAsia"/>
        </w:rPr>
        <w:t>该</w:t>
      </w:r>
      <w:r>
        <w:t>用户</w:t>
      </w:r>
      <w:r>
        <w:rPr>
          <w:rFonts w:hint="eastAsia"/>
        </w:rPr>
        <w:t>/用户组</w:t>
      </w:r>
      <w:r>
        <w:t>被策略引用的详细信息</w:t>
      </w:r>
      <w:r>
        <w:rPr>
          <w:rFonts w:hint="eastAsia"/>
        </w:rPr>
        <w:t>。</w:t>
      </w:r>
    </w:p>
    <w:p w14:paraId="16A02EBF">
      <w:pPr>
        <w:pStyle w:val="188"/>
      </w:pPr>
      <w:bookmarkStart w:id="7956" w:name="_Toc141874761"/>
      <w:r>
        <w:rPr>
          <w:rFonts w:hint="eastAsia"/>
        </w:rPr>
        <w:t>用户引用详细信息</w:t>
      </w:r>
      <w:bookmarkEnd w:id="7956"/>
    </w:p>
    <w:p w14:paraId="1A2E009F">
      <w:pPr>
        <w:spacing w:before="79" w:after="79"/>
      </w:pPr>
      <w:r>
        <w:drawing>
          <wp:inline distT="0" distB="0" distL="0" distR="0">
            <wp:extent cx="5695950" cy="3802380"/>
            <wp:effectExtent l="0" t="0" r="0" b="762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951"/>
                    <a:stretch>
                      <a:fillRect/>
                    </a:stretch>
                  </pic:blipFill>
                  <pic:spPr>
                    <a:xfrm>
                      <a:off x="0" y="0"/>
                      <a:ext cx="5699132" cy="3804546"/>
                    </a:xfrm>
                    <a:prstGeom prst="rect">
                      <a:avLst/>
                    </a:prstGeom>
                  </pic:spPr>
                </pic:pic>
              </a:graphicData>
            </a:graphic>
          </wp:inline>
        </w:drawing>
      </w:r>
    </w:p>
    <w:p w14:paraId="6C262B6B">
      <w:pPr>
        <w:pStyle w:val="6"/>
      </w:pPr>
      <w:r>
        <w:t>导出用户和用户组</w:t>
      </w:r>
    </w:p>
    <w:p w14:paraId="0F5C99B1">
      <w:r>
        <w:rPr>
          <w:rFonts w:hint="eastAsia"/>
        </w:rPr>
        <w:t>在用户显示页面，勾选需要导出的用户和用户组信息，再单击页面上方的</w:t>
      </w:r>
      <w:r>
        <w:t>&lt;</w:t>
      </w:r>
      <w:r>
        <w:rPr>
          <w:rFonts w:hint="eastAsia"/>
        </w:rPr>
        <w:t>导出</w:t>
      </w:r>
      <w:r>
        <w:t>&gt;</w:t>
      </w:r>
      <w:r>
        <w:rPr>
          <w:rFonts w:hint="eastAsia"/>
        </w:rPr>
        <w:t>按钮，可以将所选的本地用户和用户组导出成</w:t>
      </w:r>
      <w:r>
        <w:t>csv</w:t>
      </w:r>
      <w:r>
        <w:rPr>
          <w:rFonts w:hint="eastAsia"/>
        </w:rPr>
        <w:t>文件。</w:t>
      </w:r>
    </w:p>
    <w:p w14:paraId="6E80CB7A">
      <w:pPr>
        <w:pStyle w:val="188"/>
      </w:pPr>
      <w:bookmarkStart w:id="7957" w:name="_Toc141874762"/>
      <w:r>
        <w:rPr>
          <w:rFonts w:hint="eastAsia"/>
        </w:rPr>
        <w:t>导出用户组</w:t>
      </w:r>
      <w:bookmarkEnd w:id="7957"/>
    </w:p>
    <w:p w14:paraId="5E0AFFA7">
      <w:r>
        <w:drawing>
          <wp:inline distT="0" distB="0" distL="0" distR="0">
            <wp:extent cx="5400040" cy="737870"/>
            <wp:effectExtent l="0" t="0" r="0" b="508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pic:cNvPicPr>
                  </pic:nvPicPr>
                  <pic:blipFill>
                    <a:blip r:embed="rId952"/>
                    <a:srcRect t="12889"/>
                    <a:stretch>
                      <a:fillRect/>
                    </a:stretch>
                  </pic:blipFill>
                  <pic:spPr>
                    <a:xfrm>
                      <a:off x="0" y="0"/>
                      <a:ext cx="5400040" cy="738457"/>
                    </a:xfrm>
                    <a:prstGeom prst="rect">
                      <a:avLst/>
                    </a:prstGeom>
                    <a:ln>
                      <a:noFill/>
                    </a:ln>
                  </pic:spPr>
                </pic:pic>
              </a:graphicData>
            </a:graphic>
          </wp:inline>
        </w:drawing>
      </w:r>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77BCC513">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104C9CDA">
            <w:pPr>
              <w:pStyle w:val="150"/>
              <w:adjustRightInd w:val="0"/>
              <w:snapToGrid w:val="0"/>
              <w:rPr>
                <w:color w:val="auto"/>
              </w:rPr>
            </w:pPr>
            <w:r>
              <w:rPr>
                <w:b/>
                <w:color w:val="auto"/>
              </w:rPr>
              <w:drawing>
                <wp:inline distT="0" distB="0" distL="0" distR="0">
                  <wp:extent cx="283210" cy="283210"/>
                  <wp:effectExtent l="0" t="0" r="2540" b="2540"/>
                  <wp:docPr id="914" name="图片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图片 914"/>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662A16E2">
            <w:pPr>
              <w:pStyle w:val="150"/>
              <w:adjustRightInd w:val="0"/>
              <w:snapToGrid w:val="0"/>
              <w:rPr>
                <w:color w:val="auto"/>
              </w:rPr>
            </w:pPr>
            <w:r>
              <w:rPr>
                <w:rFonts w:hint="eastAsia"/>
                <w:color w:val="auto"/>
              </w:rPr>
              <w:t>导出的文件中只包含勾选的用户或者用户组信息，用户组内的用户或者下一级用户组信息不能导出。</w:t>
            </w:r>
          </w:p>
        </w:tc>
      </w:tr>
    </w:tbl>
    <w:p w14:paraId="69BCA7C1"/>
    <w:p w14:paraId="057C91A0">
      <w:pPr>
        <w:pStyle w:val="6"/>
      </w:pPr>
      <w:r>
        <w:rPr>
          <w:rFonts w:hint="eastAsia"/>
        </w:rPr>
        <w:t>导入用户和用户组</w:t>
      </w:r>
    </w:p>
    <w:p w14:paraId="16EB59EE">
      <w:r>
        <w:rPr>
          <w:rFonts w:hint="eastAsia"/>
        </w:rPr>
        <w:t>在用户显示页面单击</w:t>
      </w:r>
      <w:r>
        <w:t>&lt;</w:t>
      </w:r>
      <w:r>
        <w:rPr>
          <w:rFonts w:hint="eastAsia"/>
        </w:rPr>
        <w:t>导入</w:t>
      </w:r>
      <w:r>
        <w:t>&gt;</w:t>
      </w:r>
      <w:r>
        <w:rPr>
          <w:rFonts w:hint="eastAsia"/>
        </w:rPr>
        <w:t>按钮，弹出导入用户弹窗，在弹窗的左下角单击“下载模板”，可以下载用户导入模板，将用户和用户组信息录入模板后，在弹窗的上传文件名称中选择修改后的模板，并勾选需要的选项，单击&lt;提交&gt;按钮即可将用户或者用户组导入到系统中。</w:t>
      </w:r>
    </w:p>
    <w:p w14:paraId="5DE5B8C8">
      <w:pPr>
        <w:pStyle w:val="188"/>
      </w:pPr>
      <w:bookmarkStart w:id="7958" w:name="_Toc141874763"/>
      <w:r>
        <w:rPr>
          <w:rFonts w:hint="eastAsia"/>
        </w:rPr>
        <w:t>导入用户组</w:t>
      </w:r>
      <w:bookmarkEnd w:id="7958"/>
    </w:p>
    <w:p w14:paraId="50EEA8C5">
      <w:r>
        <w:drawing>
          <wp:inline distT="0" distB="0" distL="0" distR="0">
            <wp:extent cx="5400040" cy="2874645"/>
            <wp:effectExtent l="0" t="0" r="0" b="1905"/>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pic:cNvPicPr>
                  </pic:nvPicPr>
                  <pic:blipFill>
                    <a:blip r:embed="rId953"/>
                    <a:stretch>
                      <a:fillRect/>
                    </a:stretch>
                  </pic:blipFill>
                  <pic:spPr>
                    <a:xfrm>
                      <a:off x="0" y="0"/>
                      <a:ext cx="5400040" cy="2874940"/>
                    </a:xfrm>
                    <a:prstGeom prst="rect">
                      <a:avLst/>
                    </a:prstGeom>
                  </pic:spPr>
                </pic:pic>
              </a:graphicData>
            </a:graphic>
          </wp:inline>
        </w:drawing>
      </w:r>
      <w:r>
        <w:rPr/>
        <w:br w:type="textWrapping" w:clear="all"/>
      </w:r>
    </w:p>
    <w:p w14:paraId="6ECD7EC8">
      <w:r>
        <w:rPr>
          <w:rFonts w:hint="eastAsia"/>
        </w:rPr>
        <w:t>导入用户的详细说明如下表所示。</w:t>
      </w:r>
    </w:p>
    <w:p w14:paraId="5C85AA1A">
      <w:pPr>
        <w:pStyle w:val="183"/>
      </w:pPr>
      <w:bookmarkStart w:id="7959" w:name="_Toc141875554"/>
      <w:r>
        <w:rPr>
          <w:rFonts w:hint="eastAsia"/>
        </w:rPr>
        <w:t>导入用户详细说明</w:t>
      </w:r>
      <w:bookmarkEnd w:id="7959"/>
    </w:p>
    <w:tbl>
      <w:tblPr>
        <w:tblStyle w:val="173"/>
        <w:tblW w:w="0" w:type="auto"/>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3057"/>
        <w:gridCol w:w="6061"/>
      </w:tblGrid>
      <w:tr w14:paraId="0C33E1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057" w:type="dxa"/>
            <w:tcBorders>
              <w:tl2br w:val="nil"/>
              <w:tr2bl w:val="nil"/>
            </w:tcBorders>
            <w:shd w:val="clear" w:color="auto" w:fill="538135" w:themeFill="accent6" w:themeFillShade="BF"/>
            <w:vAlign w:val="center"/>
          </w:tcPr>
          <w:p w14:paraId="0EDB9392">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061" w:type="dxa"/>
            <w:tcBorders>
              <w:tl2br w:val="nil"/>
              <w:tr2bl w:val="nil"/>
            </w:tcBorders>
            <w:shd w:val="clear" w:color="auto" w:fill="538135" w:themeFill="accent6" w:themeFillShade="BF"/>
            <w:vAlign w:val="center"/>
          </w:tcPr>
          <w:p w14:paraId="18B8FFA3">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B9A06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057" w:type="dxa"/>
            <w:shd w:val="clear" w:color="auto" w:fill="auto"/>
          </w:tcPr>
          <w:p w14:paraId="3D5F3B80">
            <w:pPr>
              <w:pStyle w:val="150"/>
            </w:pPr>
            <w:r>
              <w:rPr>
                <w:rFonts w:hint="eastAsia"/>
              </w:rPr>
              <w:t>上传文件名称</w:t>
            </w:r>
          </w:p>
        </w:tc>
        <w:tc>
          <w:tcPr>
            <w:tcW w:w="6061" w:type="dxa"/>
            <w:shd w:val="clear" w:color="auto" w:fill="auto"/>
          </w:tcPr>
          <w:p w14:paraId="097A8056">
            <w:pPr>
              <w:pStyle w:val="150"/>
            </w:pPr>
            <w:r>
              <w:rPr>
                <w:rFonts w:hint="eastAsia"/>
              </w:rPr>
              <w:t>选择本地已经录入用户的模板文件。</w:t>
            </w:r>
          </w:p>
        </w:tc>
      </w:tr>
      <w:tr w14:paraId="7D18B20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057" w:type="dxa"/>
            <w:shd w:val="clear" w:color="auto" w:fill="auto"/>
          </w:tcPr>
          <w:p w14:paraId="1F021E10">
            <w:pPr>
              <w:pStyle w:val="150"/>
            </w:pPr>
            <w:r>
              <w:rPr>
                <w:rFonts w:hint="eastAsia"/>
              </w:rPr>
              <w:t>当用户所属组不存在时，自动创建</w:t>
            </w:r>
          </w:p>
        </w:tc>
        <w:tc>
          <w:tcPr>
            <w:tcW w:w="6061" w:type="dxa"/>
            <w:shd w:val="clear" w:color="auto" w:fill="auto"/>
          </w:tcPr>
          <w:p w14:paraId="2F4820A2">
            <w:pPr>
              <w:pStyle w:val="150"/>
            </w:pPr>
            <w:r>
              <w:rPr>
                <w:rFonts w:hint="eastAsia"/>
              </w:rPr>
              <w:t>勾选后，如所填写的所属用户组在本地不存在，则自动创建该用户组。</w:t>
            </w:r>
          </w:p>
        </w:tc>
      </w:tr>
      <w:tr w14:paraId="35AE9F0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057" w:type="dxa"/>
            <w:shd w:val="clear" w:color="auto" w:fill="auto"/>
          </w:tcPr>
          <w:p w14:paraId="3771B152">
            <w:pPr>
              <w:pStyle w:val="150"/>
            </w:pPr>
            <w:r>
              <w:rPr>
                <w:rFonts w:hint="eastAsia"/>
              </w:rPr>
              <w:t>对本地已经存在的用户</w:t>
            </w:r>
          </w:p>
        </w:tc>
        <w:tc>
          <w:tcPr>
            <w:tcW w:w="6061" w:type="dxa"/>
            <w:shd w:val="clear" w:color="auto" w:fill="auto"/>
          </w:tcPr>
          <w:p w14:paraId="1FAC726E">
            <w:pPr>
              <w:pStyle w:val="150"/>
            </w:pPr>
            <w:r>
              <w:rPr>
                <w:rFonts w:hint="eastAsia"/>
              </w:rPr>
              <w:t>可以选择继续覆盖本地用户或者跳过该用户的导入。</w:t>
            </w:r>
          </w:p>
        </w:tc>
      </w:tr>
      <w:tr w14:paraId="792139F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057" w:type="dxa"/>
            <w:shd w:val="clear" w:color="auto" w:fill="auto"/>
          </w:tcPr>
          <w:p w14:paraId="0718C5AA">
            <w:pPr>
              <w:pStyle w:val="150"/>
            </w:pPr>
            <w:r>
              <w:rPr>
                <w:rFonts w:hint="eastAsia"/>
              </w:rPr>
              <w:t>对有本地密码的用户，要求初次登录时修改初始密码</w:t>
            </w:r>
          </w:p>
        </w:tc>
        <w:tc>
          <w:tcPr>
            <w:tcW w:w="6061" w:type="dxa"/>
            <w:shd w:val="clear" w:color="auto" w:fill="auto"/>
          </w:tcPr>
          <w:p w14:paraId="5C63BB9C">
            <w:pPr>
              <w:pStyle w:val="150"/>
            </w:pPr>
            <w:r>
              <w:rPr>
                <w:rFonts w:hint="eastAsia"/>
              </w:rPr>
              <w:t>勾选后，有本地密码的用户首次登录时要求修改初始密码。</w:t>
            </w:r>
          </w:p>
        </w:tc>
      </w:tr>
    </w:tbl>
    <w:p w14:paraId="0ABABBD0">
      <w:pPr>
        <w:pStyle w:val="6"/>
      </w:pPr>
      <w:r>
        <w:rPr>
          <w:rFonts w:hint="eastAsia"/>
        </w:rPr>
        <w:t>移动用户和用户组</w:t>
      </w:r>
    </w:p>
    <w:p w14:paraId="38C3DBD3">
      <w:r>
        <w:rPr>
          <w:rFonts w:hint="eastAsia"/>
        </w:rPr>
        <w:t>通过用户和用户组移动功能，可以同时将多个用户或者用户组以及用户组中的子用户组和用户移动到指定的用户组中。</w:t>
      </w:r>
    </w:p>
    <w:p w14:paraId="4CD50F82">
      <w:bookmarkStart w:id="7960" w:name="OLE_LINK76"/>
      <w:bookmarkStart w:id="7961" w:name="OLE_LINK75"/>
      <w:bookmarkStart w:id="7962" w:name="OLE_LINK69"/>
      <w:bookmarkStart w:id="7963" w:name="OLE_LINK68"/>
      <w:r>
        <w:rPr>
          <w:rFonts w:hint="eastAsia"/>
        </w:rPr>
        <w:t>通过菜单“用户管理 &gt; 用户管理 &gt; 用户组织结构”，选择勾选需要移动的用户或者用户组（也可以通过选择按钮快捷选择用户和用户组），单击&lt;移动&gt;，在用户组选择弹窗中单击目标用户组，即可将选中的用户和用户组移动到目标用户组中。如</w:t>
      </w:r>
      <w:r>
        <w:fldChar w:fldCharType="begin"/>
      </w:r>
      <w:r>
        <w:instrText xml:space="preserve"> </w:instrText>
      </w:r>
      <w:r>
        <w:rPr>
          <w:rFonts w:hint="eastAsia"/>
        </w:rPr>
        <w:instrText xml:space="preserve">REF _Ref517979648 \r \h</w:instrText>
      </w:r>
      <w:r>
        <w:instrText xml:space="preserve"> </w:instrText>
      </w:r>
      <w:r>
        <w:fldChar w:fldCharType="separate"/>
      </w:r>
      <w:r>
        <w:rPr>
          <w:rFonts w:hint="eastAsia"/>
        </w:rPr>
        <w:t>图30-11</w:t>
      </w:r>
      <w:r>
        <w:fldChar w:fldCharType="end"/>
      </w:r>
      <w:r>
        <w:t>所示</w:t>
      </w:r>
      <w:r>
        <w:rPr>
          <w:rFonts w:hint="eastAsia"/>
        </w:rPr>
        <w:t>。</w:t>
      </w:r>
    </w:p>
    <w:p w14:paraId="24C0D09C">
      <w:pPr>
        <w:pStyle w:val="188"/>
      </w:pPr>
      <w:bookmarkStart w:id="7964" w:name="_Toc141874764"/>
      <w:bookmarkStart w:id="7965" w:name="_Ref517979648"/>
      <w:r>
        <w:rPr>
          <w:rFonts w:hint="eastAsia"/>
        </w:rPr>
        <w:t>用户和用户组移动</w:t>
      </w:r>
      <w:bookmarkEnd w:id="7964"/>
      <w:bookmarkEnd w:id="7965"/>
    </w:p>
    <w:p w14:paraId="140FB71C">
      <w:r>
        <w:drawing>
          <wp:inline distT="0" distB="0" distL="0" distR="0">
            <wp:extent cx="4829175" cy="3401060"/>
            <wp:effectExtent l="0" t="0" r="0" b="8890"/>
            <wp:docPr id="2711" name="图片 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1" name="图片 2711"/>
                    <pic:cNvPicPr>
                      <a:picLocks noChangeAspect="1"/>
                    </pic:cNvPicPr>
                  </pic:nvPicPr>
                  <pic:blipFill>
                    <a:blip r:embed="rId954"/>
                    <a:stretch>
                      <a:fillRect/>
                    </a:stretch>
                  </pic:blipFill>
                  <pic:spPr>
                    <a:xfrm>
                      <a:off x="0" y="0"/>
                      <a:ext cx="4846935" cy="3413824"/>
                    </a:xfrm>
                    <a:prstGeom prst="rect">
                      <a:avLst/>
                    </a:prstGeom>
                  </pic:spPr>
                </pic:pic>
              </a:graphicData>
            </a:graphic>
          </wp:inline>
        </w:drawing>
      </w:r>
    </w:p>
    <w:p w14:paraId="39F056C2"/>
    <w:bookmarkEnd w:id="7960"/>
    <w:bookmarkEnd w:id="7961"/>
    <w:bookmarkEnd w:id="7962"/>
    <w:bookmarkEnd w:id="7963"/>
    <w:p w14:paraId="543D230C">
      <w:pPr>
        <w:pStyle w:val="6"/>
      </w:pPr>
      <w:bookmarkStart w:id="7966" w:name="_Toc15485167"/>
      <w:bookmarkStart w:id="7967" w:name="_Toc23152931"/>
      <w:bookmarkStart w:id="7968" w:name="_Toc40276352"/>
      <w:bookmarkStart w:id="7969" w:name="_Toc9006648"/>
      <w:bookmarkStart w:id="7970" w:name="_Toc99561600"/>
      <w:r>
        <w:rPr>
          <w:rFonts w:hint="eastAsia"/>
        </w:rPr>
        <w:t>批量编辑用户</w:t>
      </w:r>
      <w:bookmarkEnd w:id="7966"/>
      <w:bookmarkEnd w:id="7967"/>
      <w:bookmarkEnd w:id="7968"/>
      <w:bookmarkEnd w:id="7969"/>
      <w:bookmarkEnd w:id="7970"/>
    </w:p>
    <w:p w14:paraId="487663A4">
      <w:r>
        <w:rPr>
          <w:rFonts w:hint="eastAsia"/>
        </w:rPr>
        <w:t>使用用户批量编辑功能，可以同时对多个用户属性进行编辑。</w:t>
      </w:r>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106F8664">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377135F8">
            <w:pPr>
              <w:pStyle w:val="150"/>
              <w:adjustRightInd w:val="0"/>
              <w:snapToGrid w:val="0"/>
              <w:rPr>
                <w:color w:val="auto"/>
              </w:rPr>
            </w:pPr>
            <w:r>
              <w:rPr>
                <w:b/>
                <w:color w:val="auto"/>
              </w:rPr>
              <w:drawing>
                <wp:inline distT="0" distB="0" distL="0" distR="0">
                  <wp:extent cx="283210" cy="283210"/>
                  <wp:effectExtent l="0" t="0" r="2540" b="2540"/>
                  <wp:docPr id="916" name="图片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图片 91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0D30490F">
            <w:pPr>
              <w:pStyle w:val="150"/>
              <w:adjustRightInd w:val="0"/>
              <w:snapToGrid w:val="0"/>
              <w:rPr>
                <w:color w:val="auto"/>
              </w:rPr>
            </w:pPr>
            <w:r>
              <w:rPr>
                <w:rFonts w:hint="eastAsia"/>
                <w:color w:val="auto"/>
              </w:rPr>
              <w:t>仅用户支持批量编辑功能，用户组不支持批量编辑。</w:t>
            </w:r>
          </w:p>
        </w:tc>
      </w:tr>
    </w:tbl>
    <w:p w14:paraId="2A5E4F92"/>
    <w:p w14:paraId="7F1F6751">
      <w:r>
        <w:rPr>
          <w:rFonts w:hint="eastAsia"/>
        </w:rPr>
        <w:t>选择“用户管理 &gt; 用户管理 &gt; 用户组织结构”，进入用户列表，勾选需要批量修改的用户，单击列表上方的&lt;批量编辑&gt;按钮，即可进入批量编辑用户页面。如</w:t>
      </w:r>
      <w:r>
        <w:fldChar w:fldCharType="begin"/>
      </w:r>
      <w:r>
        <w:instrText xml:space="preserve"> </w:instrText>
      </w:r>
      <w:r>
        <w:rPr>
          <w:rFonts w:hint="eastAsia"/>
        </w:rPr>
        <w:instrText xml:space="preserve">REF _Ref5635658 \r \h</w:instrText>
      </w:r>
      <w:r>
        <w:instrText xml:space="preserve"> </w:instrText>
      </w:r>
      <w:r>
        <w:fldChar w:fldCharType="separate"/>
      </w:r>
      <w:r>
        <w:rPr>
          <w:rFonts w:hint="eastAsia"/>
        </w:rPr>
        <w:t>图30-12</w:t>
      </w:r>
      <w:r>
        <w:fldChar w:fldCharType="end"/>
      </w:r>
      <w:r>
        <w:rPr>
          <w:rFonts w:hint="eastAsia"/>
        </w:rPr>
        <w:t>所示。</w:t>
      </w:r>
    </w:p>
    <w:p w14:paraId="72CB9DB9">
      <w:pPr>
        <w:pStyle w:val="188"/>
      </w:pPr>
      <w:bookmarkStart w:id="7971" w:name="_Ref5635658"/>
      <w:bookmarkStart w:id="7972" w:name="_Toc141874765"/>
      <w:r>
        <w:rPr>
          <w:rFonts w:hint="eastAsia"/>
        </w:rPr>
        <w:t>批量编辑用户</w:t>
      </w:r>
      <w:bookmarkEnd w:id="7971"/>
      <w:bookmarkEnd w:id="7972"/>
    </w:p>
    <w:p w14:paraId="086EBE38">
      <w:r>
        <w:drawing>
          <wp:inline distT="0" distB="0" distL="0" distR="0">
            <wp:extent cx="4286250" cy="3898265"/>
            <wp:effectExtent l="0" t="0" r="0" b="6985"/>
            <wp:docPr id="1379" name="图片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图片 1379"/>
                    <pic:cNvPicPr>
                      <a:picLocks noChangeAspect="1"/>
                    </pic:cNvPicPr>
                  </pic:nvPicPr>
                  <pic:blipFill>
                    <a:blip r:embed="rId955"/>
                    <a:stretch>
                      <a:fillRect/>
                    </a:stretch>
                  </pic:blipFill>
                  <pic:spPr>
                    <a:xfrm>
                      <a:off x="0" y="0"/>
                      <a:ext cx="4302152" cy="3913088"/>
                    </a:xfrm>
                    <a:prstGeom prst="rect">
                      <a:avLst/>
                    </a:prstGeom>
                  </pic:spPr>
                </pic:pic>
              </a:graphicData>
            </a:graphic>
          </wp:inline>
        </w:drawing>
      </w:r>
    </w:p>
    <w:p w14:paraId="1B840F23"/>
    <w:p w14:paraId="34456C4F">
      <w:r>
        <w:rPr>
          <w:rFonts w:hint="eastAsia"/>
        </w:rPr>
        <w:t>批量编辑用户页面的详细说明如下表所示。</w:t>
      </w:r>
    </w:p>
    <w:p w14:paraId="6658EE2F">
      <w:pPr>
        <w:pStyle w:val="183"/>
      </w:pPr>
      <w:bookmarkStart w:id="7973" w:name="_Toc141875555"/>
      <w:r>
        <w:rPr>
          <w:rFonts w:hint="eastAsia"/>
        </w:rPr>
        <w:t>批量编辑用户页面说明</w:t>
      </w:r>
      <w:bookmarkEnd w:id="7973"/>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271"/>
        <w:gridCol w:w="7761"/>
      </w:tblGrid>
      <w:tr w14:paraId="05028E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271" w:type="dxa"/>
            <w:tcBorders>
              <w:tl2br w:val="nil"/>
              <w:tr2bl w:val="nil"/>
            </w:tcBorders>
            <w:shd w:val="clear" w:color="auto" w:fill="538135" w:themeFill="accent6" w:themeFillShade="BF"/>
            <w:vAlign w:val="center"/>
          </w:tcPr>
          <w:p w14:paraId="7CB678F5">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761" w:type="dxa"/>
            <w:tcBorders>
              <w:tl2br w:val="nil"/>
              <w:tr2bl w:val="nil"/>
            </w:tcBorders>
            <w:shd w:val="clear" w:color="auto" w:fill="538135" w:themeFill="accent6" w:themeFillShade="BF"/>
            <w:vAlign w:val="center"/>
          </w:tcPr>
          <w:p w14:paraId="7F4B40D1">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BBF7F3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271" w:type="dxa"/>
            <w:shd w:val="clear" w:color="auto" w:fill="auto"/>
          </w:tcPr>
          <w:p w14:paraId="4E2E536D">
            <w:pPr>
              <w:pStyle w:val="150"/>
            </w:pPr>
            <w:r>
              <w:rPr>
                <w:rFonts w:hint="eastAsia"/>
              </w:rPr>
              <w:t>用户</w:t>
            </w:r>
          </w:p>
        </w:tc>
        <w:tc>
          <w:tcPr>
            <w:tcW w:w="7761" w:type="dxa"/>
            <w:shd w:val="clear" w:color="auto" w:fill="auto"/>
          </w:tcPr>
          <w:p w14:paraId="62435277">
            <w:pPr>
              <w:pStyle w:val="150"/>
              <w:rPr>
                <w:rFonts w:eastAsia="楷体_GB2312"/>
              </w:rPr>
            </w:pPr>
            <w:r>
              <w:rPr>
                <w:rFonts w:hint="eastAsia"/>
              </w:rPr>
              <w:t>进行批量编辑的</w:t>
            </w:r>
            <w:r>
              <w:t>用户</w:t>
            </w:r>
          </w:p>
        </w:tc>
      </w:tr>
      <w:tr w14:paraId="7C2160A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77" w:hRule="atLeast"/>
        </w:trPr>
        <w:tc>
          <w:tcPr>
            <w:tcW w:w="1271" w:type="dxa"/>
            <w:shd w:val="clear" w:color="auto" w:fill="auto"/>
          </w:tcPr>
          <w:p w14:paraId="0C802E9C">
            <w:pPr>
              <w:pStyle w:val="150"/>
            </w:pPr>
            <w:r>
              <w:rPr>
                <w:rFonts w:hint="eastAsia"/>
              </w:rPr>
              <w:t>用户状态</w:t>
            </w:r>
          </w:p>
        </w:tc>
        <w:tc>
          <w:tcPr>
            <w:tcW w:w="7761" w:type="dxa"/>
            <w:shd w:val="clear" w:color="auto" w:fill="auto"/>
          </w:tcPr>
          <w:p w14:paraId="2C88D10B">
            <w:pPr>
              <w:pStyle w:val="150"/>
              <w:rPr>
                <w:rFonts w:eastAsia="楷体_GB2312"/>
              </w:rPr>
            </w:pPr>
            <w:r>
              <w:rPr>
                <w:rFonts w:hint="eastAsia"/>
              </w:rPr>
              <w:t>勾选</w:t>
            </w:r>
            <w:r>
              <w:t>则修改用户状态，不勾选则不修改用户</w:t>
            </w:r>
            <w:r>
              <w:rPr>
                <w:rFonts w:hint="eastAsia"/>
              </w:rPr>
              <w:t>状态</w:t>
            </w:r>
          </w:p>
          <w:p w14:paraId="17C85995">
            <w:pPr>
              <w:pStyle w:val="150"/>
              <w:rPr>
                <w:rFonts w:eastAsia="楷体_GB2312"/>
              </w:rPr>
            </w:pPr>
            <w:r>
              <w:rPr>
                <w:rFonts w:hint="eastAsia"/>
              </w:rPr>
              <w:t>勾选后</w:t>
            </w:r>
            <w:r>
              <w:t>，</w:t>
            </w:r>
            <w:r>
              <w:rPr>
                <w:rFonts w:hint="eastAsia"/>
              </w:rPr>
              <w:t>选择</w:t>
            </w:r>
            <w:r>
              <w:t>启用则</w:t>
            </w:r>
            <w:r>
              <w:rPr>
                <w:rFonts w:hint="eastAsia"/>
              </w:rPr>
              <w:t>选择</w:t>
            </w:r>
            <w:r>
              <w:t>的用户状态批量修改为启用</w:t>
            </w:r>
            <w:r>
              <w:rPr>
                <w:rFonts w:hint="eastAsia"/>
              </w:rPr>
              <w:t>；</w:t>
            </w:r>
            <w:r>
              <w:t>选择禁用则批量修改为禁用。</w:t>
            </w:r>
          </w:p>
        </w:tc>
      </w:tr>
      <w:tr w14:paraId="5A2CA1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77" w:hRule="atLeast"/>
        </w:trPr>
        <w:tc>
          <w:tcPr>
            <w:tcW w:w="1271" w:type="dxa"/>
            <w:shd w:val="clear" w:color="auto" w:fill="auto"/>
          </w:tcPr>
          <w:p w14:paraId="2785B100">
            <w:pPr>
              <w:pStyle w:val="150"/>
            </w:pPr>
            <w:r>
              <w:rPr>
                <w:rFonts w:hint="eastAsia"/>
              </w:rPr>
              <w:t>密码设置</w:t>
            </w:r>
          </w:p>
        </w:tc>
        <w:tc>
          <w:tcPr>
            <w:tcW w:w="7761" w:type="dxa"/>
            <w:shd w:val="clear" w:color="auto" w:fill="auto"/>
          </w:tcPr>
          <w:p w14:paraId="4EE407AB">
            <w:pPr>
              <w:pStyle w:val="150"/>
              <w:rPr>
                <w:rFonts w:eastAsia="楷体_GB2312"/>
              </w:rPr>
            </w:pPr>
            <w:r>
              <w:rPr>
                <w:rFonts w:hint="eastAsia"/>
              </w:rPr>
              <w:t>选择</w:t>
            </w:r>
            <w:r>
              <w:t>用户的密码统一重置</w:t>
            </w:r>
            <w:r>
              <w:rPr>
                <w:rFonts w:hint="eastAsia"/>
              </w:rPr>
              <w:t>密码。</w:t>
            </w:r>
          </w:p>
          <w:p w14:paraId="1D070D94">
            <w:pPr>
              <w:pStyle w:val="150"/>
              <w:rPr>
                <w:rFonts w:eastAsia="楷体_GB2312"/>
              </w:rPr>
            </w:pPr>
            <w:r>
              <w:rPr>
                <w:rFonts w:hint="eastAsia"/>
              </w:rPr>
              <w:t>勾选允许</w:t>
            </w:r>
            <w:r>
              <w:t>修改密码则用户允许自行修改密码</w:t>
            </w:r>
          </w:p>
          <w:p w14:paraId="32A0B42B">
            <w:pPr>
              <w:pStyle w:val="150"/>
              <w:rPr>
                <w:rFonts w:eastAsia="楷体_GB2312"/>
              </w:rPr>
            </w:pPr>
            <w:r>
              <w:rPr>
                <w:rFonts w:hint="eastAsia"/>
              </w:rPr>
              <w:t>勾选初次</w:t>
            </w:r>
            <w:r>
              <w:t>认证修改</w:t>
            </w:r>
            <w:r>
              <w:rPr>
                <w:rFonts w:hint="eastAsia"/>
              </w:rPr>
              <w:t>密码</w:t>
            </w:r>
            <w:r>
              <w:t>则用户初次登录是强制修改密码。</w:t>
            </w:r>
          </w:p>
        </w:tc>
      </w:tr>
    </w:tbl>
    <w:p w14:paraId="7D3A8BB8"/>
    <w:p w14:paraId="4A0F14F8">
      <w:pPr>
        <w:pStyle w:val="5"/>
      </w:pPr>
      <w:bookmarkStart w:id="7974" w:name="_Toc172218265"/>
      <w:bookmarkStart w:id="7975" w:name="_Toc137560364"/>
      <w:bookmarkStart w:id="7976" w:name="_Toc194081146"/>
      <w:bookmarkStart w:id="7977" w:name="_Toc141873508"/>
      <w:bookmarkStart w:id="7978" w:name="_Toc196728474"/>
      <w:bookmarkStart w:id="7979" w:name="_Toc142401024"/>
      <w:r>
        <w:rPr>
          <w:rFonts w:hint="eastAsia"/>
        </w:rPr>
        <w:t>新建属性组</w:t>
      </w:r>
      <w:bookmarkEnd w:id="7974"/>
      <w:bookmarkEnd w:id="7975"/>
      <w:bookmarkEnd w:id="7976"/>
      <w:bookmarkEnd w:id="7977"/>
      <w:bookmarkEnd w:id="7978"/>
      <w:bookmarkEnd w:id="7979"/>
    </w:p>
    <w:p w14:paraId="3FA44323">
      <w:r>
        <w:rPr>
          <w:rFonts w:hint="eastAsia"/>
          <w:bCs/>
        </w:rPr>
        <w:t>选择“用户管理&gt;用户管理</w:t>
      </w:r>
      <w:r>
        <w:rPr>
          <w:rFonts w:hint="eastAsia"/>
        </w:rPr>
        <w:t>&gt;用户组织结构</w:t>
      </w:r>
      <w:r>
        <w:rPr>
          <w:rFonts w:hint="eastAsia"/>
          <w:bCs/>
        </w:rPr>
        <w:t>”，在左侧导航树中选择</w:t>
      </w:r>
      <w:r>
        <w:rPr>
          <w:rFonts w:hint="eastAsia"/>
        </w:rPr>
        <w:t>本地属性结构展示系统上已配置的所有属性组。属性组没有层级结构，即属性组内只能包含用户，不能包含用户组，且组内用户全部为并列结构。</w:t>
      </w:r>
    </w:p>
    <w:p w14:paraId="3BF8D029">
      <w:pPr>
        <w:pStyle w:val="188"/>
        <w:rPr>
          <w:rFonts w:cs="Cambria"/>
        </w:rPr>
      </w:pPr>
      <w:r>
        <w:t xml:space="preserve"> </w:t>
      </w:r>
      <w:bookmarkStart w:id="7980" w:name="_Toc141874766"/>
      <w:r>
        <w:t>本地属性结构</w:t>
      </w:r>
    </w:p>
    <w:p w14:paraId="1BB075C7">
      <w:pPr>
        <w:pStyle w:val="175"/>
        <w:rPr>
          <w:rFonts w:cs="Cambria"/>
        </w:rPr>
      </w:pPr>
      <w:r>
        <w:drawing>
          <wp:inline distT="0" distB="0" distL="0" distR="0">
            <wp:extent cx="5229225" cy="1664335"/>
            <wp:effectExtent l="0" t="0" r="0"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956"/>
                    <a:srcRect t="9312"/>
                    <a:stretch>
                      <a:fillRect/>
                    </a:stretch>
                  </pic:blipFill>
                  <pic:spPr>
                    <a:xfrm>
                      <a:off x="0" y="0"/>
                      <a:ext cx="5240137" cy="1668058"/>
                    </a:xfrm>
                    <a:prstGeom prst="rect">
                      <a:avLst/>
                    </a:prstGeom>
                    <a:ln>
                      <a:noFill/>
                    </a:ln>
                  </pic:spPr>
                </pic:pic>
              </a:graphicData>
            </a:graphic>
          </wp:inline>
        </w:drawing>
      </w:r>
      <w:bookmarkEnd w:id="7980"/>
    </w:p>
    <w:p w14:paraId="5BA30186">
      <w:r>
        <w:rPr>
          <w:rFonts w:hint="eastAsia"/>
        </w:rPr>
        <w:t>点击&lt;新建</w:t>
      </w:r>
      <w:r>
        <w:t>&gt;</w:t>
      </w:r>
      <w:r>
        <w:rPr>
          <w:rFonts w:hint="eastAsia"/>
        </w:rPr>
        <w:t>并从下拉框选择“组”创建新的属性组，编辑相关信息，点击&lt;提交</w:t>
      </w:r>
      <w:r>
        <w:t>&gt;</w:t>
      </w:r>
      <w:r>
        <w:rPr>
          <w:rFonts w:hint="eastAsia"/>
        </w:rPr>
        <w:t>。</w:t>
      </w:r>
    </w:p>
    <w:p w14:paraId="69427F15">
      <w:pPr>
        <w:pStyle w:val="188"/>
        <w:rPr>
          <w:rFonts w:cs="Cambria"/>
        </w:rPr>
      </w:pPr>
      <w:bookmarkStart w:id="7981" w:name="_Toc141874767"/>
      <w:r>
        <w:t xml:space="preserve">创建属性组 </w:t>
      </w:r>
    </w:p>
    <w:p w14:paraId="177E4E4B">
      <w:pPr>
        <w:pStyle w:val="175"/>
        <w:rPr>
          <w:rFonts w:cs="Cambria"/>
        </w:rPr>
      </w:pPr>
      <w:r>
        <w:drawing>
          <wp:inline distT="0" distB="0" distL="0" distR="0">
            <wp:extent cx="5295900" cy="2693670"/>
            <wp:effectExtent l="0" t="0" r="0" b="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pic:cNvPicPr>
                      <a:picLocks noChangeAspect="1"/>
                    </pic:cNvPicPr>
                  </pic:nvPicPr>
                  <pic:blipFill>
                    <a:blip r:embed="rId957"/>
                    <a:srcRect t="7630"/>
                    <a:stretch>
                      <a:fillRect/>
                    </a:stretch>
                  </pic:blipFill>
                  <pic:spPr>
                    <a:xfrm>
                      <a:off x="0" y="0"/>
                      <a:ext cx="5302826" cy="2697630"/>
                    </a:xfrm>
                    <a:prstGeom prst="rect">
                      <a:avLst/>
                    </a:prstGeom>
                    <a:ln>
                      <a:noFill/>
                    </a:ln>
                  </pic:spPr>
                </pic:pic>
              </a:graphicData>
            </a:graphic>
          </wp:inline>
        </w:drawing>
      </w:r>
      <w:bookmarkEnd w:id="7981"/>
    </w:p>
    <w:p w14:paraId="638E5A34">
      <w:r>
        <w:rPr>
          <w:rFonts w:hint="eastAsia"/>
        </w:rPr>
        <w:t>详细配置请参见下表。</w:t>
      </w:r>
    </w:p>
    <w:tbl>
      <w:tblPr>
        <w:tblStyle w:val="173"/>
        <w:tblW w:w="8771"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526"/>
        <w:gridCol w:w="7245"/>
      </w:tblGrid>
      <w:tr w14:paraId="3F3199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1" w:hRule="atLeast"/>
        </w:trPr>
        <w:tc>
          <w:tcPr>
            <w:tcW w:w="1526" w:type="dxa"/>
            <w:tcBorders>
              <w:tl2br w:val="nil"/>
              <w:tr2bl w:val="nil"/>
            </w:tcBorders>
            <w:shd w:val="clear" w:color="auto" w:fill="538135" w:themeFill="accent6" w:themeFillShade="BF"/>
            <w:vAlign w:val="center"/>
          </w:tcPr>
          <w:p w14:paraId="67275741">
            <w:pPr>
              <w:pStyle w:val="150"/>
              <w:wordWrap/>
              <w:rPr>
                <w:rFonts w:cs="Cambria"/>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7245" w:type="dxa"/>
            <w:tcBorders>
              <w:tl2br w:val="nil"/>
              <w:tr2bl w:val="nil"/>
            </w:tcBorders>
            <w:shd w:val="clear" w:color="auto" w:fill="538135" w:themeFill="accent6" w:themeFillShade="BF"/>
            <w:vAlign w:val="center"/>
          </w:tcPr>
          <w:p w14:paraId="6B4B34B3">
            <w:pPr>
              <w:pStyle w:val="150"/>
              <w:wordWrap/>
              <w:rPr>
                <w:rFonts w:cs="Cambria"/>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95E689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1" w:hRule="atLeast"/>
        </w:trPr>
        <w:tc>
          <w:tcPr>
            <w:tcW w:w="1526" w:type="dxa"/>
            <w:shd w:val="clear" w:color="auto" w:fill="auto"/>
          </w:tcPr>
          <w:p w14:paraId="6CEB36AB">
            <w:pPr>
              <w:pStyle w:val="150"/>
            </w:pPr>
            <w:r>
              <w:rPr>
                <w:rFonts w:hint="eastAsia"/>
              </w:rPr>
              <w:t>名称</w:t>
            </w:r>
          </w:p>
        </w:tc>
        <w:tc>
          <w:tcPr>
            <w:tcW w:w="7245" w:type="dxa"/>
            <w:shd w:val="clear" w:color="auto" w:fill="auto"/>
          </w:tcPr>
          <w:p w14:paraId="169D3DF4">
            <w:pPr>
              <w:pStyle w:val="150"/>
            </w:pPr>
            <w:r>
              <w:rPr>
                <w:rFonts w:hint="eastAsia"/>
              </w:rPr>
              <w:t>输入属性组名称。</w:t>
            </w:r>
          </w:p>
        </w:tc>
      </w:tr>
      <w:tr w14:paraId="7C1C01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1" w:hRule="atLeast"/>
        </w:trPr>
        <w:tc>
          <w:tcPr>
            <w:tcW w:w="1526" w:type="dxa"/>
            <w:shd w:val="clear" w:color="auto" w:fill="auto"/>
          </w:tcPr>
          <w:p w14:paraId="25E07155">
            <w:pPr>
              <w:pStyle w:val="150"/>
            </w:pPr>
            <w:r>
              <w:rPr>
                <w:rFonts w:hint="eastAsia"/>
              </w:rPr>
              <w:t>描述</w:t>
            </w:r>
          </w:p>
        </w:tc>
        <w:tc>
          <w:tcPr>
            <w:tcW w:w="7245" w:type="dxa"/>
            <w:shd w:val="clear" w:color="auto" w:fill="auto"/>
          </w:tcPr>
          <w:p w14:paraId="2E688DFD">
            <w:pPr>
              <w:pStyle w:val="150"/>
            </w:pPr>
            <w:r>
              <w:rPr>
                <w:rFonts w:hint="eastAsia"/>
              </w:rPr>
              <w:t>添加属性组的描述信息（可选）。</w:t>
            </w:r>
          </w:p>
        </w:tc>
      </w:tr>
      <w:tr w14:paraId="2E6FE6C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1" w:hRule="atLeast"/>
        </w:trPr>
        <w:tc>
          <w:tcPr>
            <w:tcW w:w="1526" w:type="dxa"/>
            <w:shd w:val="clear" w:color="auto" w:fill="auto"/>
          </w:tcPr>
          <w:p w14:paraId="595FFC0D">
            <w:pPr>
              <w:pStyle w:val="150"/>
            </w:pPr>
            <w:r>
              <w:rPr>
                <w:rFonts w:hint="eastAsia"/>
              </w:rPr>
              <w:t>自定义属性</w:t>
            </w:r>
          </w:p>
        </w:tc>
        <w:tc>
          <w:tcPr>
            <w:tcW w:w="7245" w:type="dxa"/>
            <w:shd w:val="clear" w:color="auto" w:fill="auto"/>
          </w:tcPr>
          <w:p w14:paraId="52555377">
            <w:pPr>
              <w:pStyle w:val="150"/>
            </w:pPr>
            <w:r>
              <w:rPr>
                <w:rFonts w:hint="eastAsia"/>
              </w:rPr>
              <w:t>属性组赋予的属性，点击&lt;新建&gt;可以给该属性组赋予属性。</w:t>
            </w:r>
          </w:p>
        </w:tc>
      </w:tr>
    </w:tbl>
    <w:p w14:paraId="15F54560">
      <w:pPr>
        <w:pStyle w:val="5"/>
      </w:pPr>
      <w:bookmarkStart w:id="7982" w:name="_Toc196728475"/>
      <w:bookmarkStart w:id="7983" w:name="_Toc137560365"/>
      <w:bookmarkStart w:id="7984" w:name="_Toc142401025"/>
      <w:bookmarkStart w:id="7985" w:name="_Toc172218266"/>
      <w:bookmarkStart w:id="7986" w:name="_Toc141873509"/>
      <w:bookmarkStart w:id="7987" w:name="_Toc194081147"/>
      <w:r>
        <w:rPr>
          <w:rFonts w:hint="eastAsia"/>
        </w:rPr>
        <w:t>导入或导出属性</w:t>
      </w:r>
      <w:r>
        <w:t>组</w:t>
      </w:r>
      <w:bookmarkEnd w:id="7982"/>
      <w:bookmarkEnd w:id="7983"/>
      <w:bookmarkEnd w:id="7984"/>
      <w:bookmarkEnd w:id="7985"/>
      <w:bookmarkEnd w:id="7986"/>
      <w:bookmarkEnd w:id="7987"/>
    </w:p>
    <w:p w14:paraId="7D73289F">
      <w:r>
        <w:rPr>
          <w:rFonts w:hint="eastAsia"/>
        </w:rPr>
        <w:t>也可以通过直接上传c</w:t>
      </w:r>
      <w:r>
        <w:t>sv</w:t>
      </w:r>
      <w:r>
        <w:rPr>
          <w:rFonts w:hint="eastAsia"/>
        </w:rPr>
        <w:t>文件的方式导入属性组，或将当前配置的属性组以c</w:t>
      </w:r>
      <w:r>
        <w:t>sv</w:t>
      </w:r>
      <w:r>
        <w:rPr>
          <w:rFonts w:hint="eastAsia"/>
        </w:rPr>
        <w:t>文件格式导出。</w:t>
      </w:r>
    </w:p>
    <w:p w14:paraId="45EA572B">
      <w:pPr>
        <w:pStyle w:val="188"/>
      </w:pPr>
      <w:bookmarkStart w:id="7988" w:name="_Toc141874768"/>
      <w:r>
        <w:rPr>
          <w:rFonts w:hint="eastAsia"/>
        </w:rPr>
        <w:t>导入导出属性组</w:t>
      </w:r>
      <w:bookmarkEnd w:id="7988"/>
    </w:p>
    <w:p w14:paraId="4A1EECC1">
      <w:pPr>
        <w:spacing w:before="79" w:after="79"/>
      </w:pPr>
      <w:r>
        <w:drawing>
          <wp:inline distT="0" distB="0" distL="0" distR="0">
            <wp:extent cx="5062855" cy="1760220"/>
            <wp:effectExtent l="0" t="0" r="4445"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958"/>
                    <a:srcRect t="8962"/>
                    <a:stretch>
                      <a:fillRect/>
                    </a:stretch>
                  </pic:blipFill>
                  <pic:spPr>
                    <a:xfrm>
                      <a:off x="0" y="0"/>
                      <a:ext cx="5071297" cy="1763746"/>
                    </a:xfrm>
                    <a:prstGeom prst="rect">
                      <a:avLst/>
                    </a:prstGeom>
                    <a:ln>
                      <a:noFill/>
                    </a:ln>
                  </pic:spPr>
                </pic:pic>
              </a:graphicData>
            </a:graphic>
          </wp:inline>
        </w:drawing>
      </w:r>
    </w:p>
    <w:p w14:paraId="1F6D83AE">
      <w:r>
        <w:rPr>
          <w:rFonts w:hint="eastAsia"/>
        </w:rPr>
        <w:t>导入属性</w:t>
      </w:r>
      <w:r>
        <w:t>组</w:t>
      </w:r>
      <w:r>
        <w:rPr>
          <w:rFonts w:hint="eastAsia"/>
        </w:rPr>
        <w:t>的操作方法如下：</w:t>
      </w:r>
    </w:p>
    <w:p w14:paraId="47615C56">
      <w:r>
        <w:rPr>
          <w:rFonts w:hint="eastAsia"/>
        </w:rPr>
        <w:t>点击&lt;导入</w:t>
      </w:r>
      <w:r>
        <w:t>&gt;</w:t>
      </w:r>
      <w:r>
        <w:rPr>
          <w:rFonts w:hint="eastAsia"/>
        </w:rPr>
        <w:t>，在弹出的导入用户对话框中点击&lt;下载模板</w:t>
      </w:r>
      <w:r>
        <w:t>&gt;</w:t>
      </w:r>
      <w:r>
        <w:rPr>
          <w:rFonts w:hint="eastAsia"/>
        </w:rPr>
        <w:t>，下载模板文件至本地。</w:t>
      </w:r>
    </w:p>
    <w:p w14:paraId="7D203CEF">
      <w:pPr>
        <w:pStyle w:val="188"/>
      </w:pPr>
      <w:bookmarkStart w:id="7989" w:name="_Toc141874769"/>
      <w:r>
        <w:rPr>
          <w:rFonts w:hint="eastAsia"/>
        </w:rPr>
        <w:t>导入属性组</w:t>
      </w:r>
      <w:bookmarkEnd w:id="7989"/>
    </w:p>
    <w:p w14:paraId="58CE9A07">
      <w:pPr>
        <w:spacing w:before="79" w:after="79"/>
      </w:pPr>
      <w:r>
        <w:drawing>
          <wp:inline distT="0" distB="0" distL="0" distR="0">
            <wp:extent cx="6120130" cy="3297555"/>
            <wp:effectExtent l="0" t="0" r="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pic:cNvPicPr>
                  </pic:nvPicPr>
                  <pic:blipFill>
                    <a:blip r:embed="rId959"/>
                    <a:stretch>
                      <a:fillRect/>
                    </a:stretch>
                  </pic:blipFill>
                  <pic:spPr>
                    <a:xfrm>
                      <a:off x="0" y="0"/>
                      <a:ext cx="6120130" cy="3297555"/>
                    </a:xfrm>
                    <a:prstGeom prst="rect">
                      <a:avLst/>
                    </a:prstGeom>
                  </pic:spPr>
                </pic:pic>
              </a:graphicData>
            </a:graphic>
          </wp:inline>
        </w:drawing>
      </w:r>
    </w:p>
    <w:p w14:paraId="08F7EC77">
      <w:r>
        <w:rPr>
          <w:rFonts w:hint="eastAsia"/>
        </w:rPr>
        <w:t>根据模板文件示例编辑模板文件并保存。</w:t>
      </w:r>
    </w:p>
    <w:p w14:paraId="2A37569E">
      <w:r>
        <w:rPr>
          <w:rFonts w:hint="eastAsia"/>
        </w:rPr>
        <w:t>在导入用户对话框中点击&lt;选择文件</w:t>
      </w:r>
      <w:r>
        <w:t>&gt;</w:t>
      </w:r>
      <w:r>
        <w:rPr>
          <w:rFonts w:hint="eastAsia"/>
        </w:rPr>
        <w:t>，选择编辑好的模板文件，设置相关选项，点击&lt;提交</w:t>
      </w:r>
      <w:r>
        <w:t>&gt;</w:t>
      </w:r>
      <w:r>
        <w:rPr>
          <w:rFonts w:hint="eastAsia"/>
        </w:rPr>
        <w:t>即可导入属性组。</w:t>
      </w:r>
    </w:p>
    <w:p w14:paraId="2802A685">
      <w:r>
        <w:rPr>
          <w:rFonts w:hint="eastAsia"/>
        </w:rPr>
        <w:t>导出用户的操作方法如下：</w:t>
      </w:r>
    </w:p>
    <w:p w14:paraId="08BAFBDC">
      <w:r>
        <w:rPr>
          <w:rFonts w:hint="eastAsia"/>
        </w:rPr>
        <w:t>勾选要导出</w:t>
      </w:r>
      <w:r>
        <w:t>的属性组</w:t>
      </w:r>
      <w:r>
        <w:rPr>
          <w:rFonts w:hint="eastAsia"/>
        </w:rPr>
        <w:t>，点击&lt;</w:t>
      </w:r>
      <w:r>
        <w:rPr>
          <w:rFonts w:hint="eastAsia"/>
          <w:b/>
          <w:bCs/>
        </w:rPr>
        <w:t>导出</w:t>
      </w:r>
      <w:r>
        <w:t>&gt;</w:t>
      </w:r>
      <w:r>
        <w:rPr>
          <w:rFonts w:hint="eastAsia"/>
        </w:rPr>
        <w:t>，即可将属性</w:t>
      </w:r>
      <w:r>
        <w:t>组</w:t>
      </w:r>
      <w:r>
        <w:rPr>
          <w:rFonts w:hint="eastAsia"/>
        </w:rPr>
        <w:t>信息导出至本地。</w:t>
      </w:r>
    </w:p>
    <w:p w14:paraId="085CDB9A">
      <w:pPr>
        <w:pStyle w:val="188"/>
      </w:pPr>
      <w:bookmarkStart w:id="7990" w:name="_Toc141874770"/>
      <w:r>
        <w:rPr>
          <w:rFonts w:hint="eastAsia"/>
        </w:rPr>
        <w:t>导出属性组</w:t>
      </w:r>
      <w:bookmarkEnd w:id="7990"/>
    </w:p>
    <w:p w14:paraId="6D614AA8">
      <w:pPr>
        <w:spacing w:before="79" w:after="79"/>
      </w:pPr>
      <w:r>
        <w:drawing>
          <wp:inline distT="0" distB="0" distL="0" distR="0">
            <wp:extent cx="5534025" cy="1582420"/>
            <wp:effectExtent l="0" t="0" r="0"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pic:cNvPicPr>
                      <a:picLocks noChangeAspect="1"/>
                    </pic:cNvPicPr>
                  </pic:nvPicPr>
                  <pic:blipFill>
                    <a:blip r:embed="rId960"/>
                    <a:stretch>
                      <a:fillRect/>
                    </a:stretch>
                  </pic:blipFill>
                  <pic:spPr>
                    <a:xfrm>
                      <a:off x="0" y="0"/>
                      <a:ext cx="5539572" cy="1584048"/>
                    </a:xfrm>
                    <a:prstGeom prst="rect">
                      <a:avLst/>
                    </a:prstGeom>
                  </pic:spPr>
                </pic:pic>
              </a:graphicData>
            </a:graphic>
          </wp:inline>
        </w:drawing>
      </w:r>
    </w:p>
    <w:p w14:paraId="4879F336">
      <w:pPr>
        <w:pStyle w:val="5"/>
      </w:pPr>
      <w:bookmarkStart w:id="7991" w:name="_Toc109663924"/>
      <w:bookmarkStart w:id="7992" w:name="_Toc137560366"/>
      <w:bookmarkStart w:id="7993" w:name="_Toc141873510"/>
      <w:bookmarkStart w:id="7994" w:name="_Toc172218267"/>
      <w:bookmarkStart w:id="7995" w:name="_Toc194081148"/>
      <w:bookmarkStart w:id="7996" w:name="_Toc196728476"/>
      <w:bookmarkStart w:id="7997" w:name="_Toc142401026"/>
      <w:r>
        <w:rPr>
          <w:rFonts w:hint="eastAsia"/>
        </w:rPr>
        <w:t>查看</w:t>
      </w:r>
      <w:r>
        <w:t>域用户</w:t>
      </w:r>
      <w:bookmarkEnd w:id="7991"/>
      <w:r>
        <w:rPr>
          <w:rFonts w:hint="eastAsia"/>
        </w:rPr>
        <w:t>结构</w:t>
      </w:r>
      <w:bookmarkEnd w:id="7992"/>
      <w:bookmarkEnd w:id="7993"/>
      <w:bookmarkEnd w:id="7994"/>
      <w:bookmarkEnd w:id="7995"/>
      <w:bookmarkEnd w:id="7996"/>
      <w:bookmarkEnd w:id="7997"/>
    </w:p>
    <w:p w14:paraId="097432EA">
      <w:r>
        <w:rPr>
          <w:rFonts w:hint="eastAsia"/>
        </w:rPr>
        <w:t>通过LDAP服务器上的用户。通过LDAP同步将LDAP服务器上的用户同步</w:t>
      </w:r>
      <w:r>
        <w:t>到设备后，</w:t>
      </w:r>
      <w:r>
        <w:rPr>
          <w:rFonts w:hint="eastAsia"/>
        </w:rPr>
        <w:t>AD域</w:t>
      </w:r>
      <w:r>
        <w:t>上的用户或用户组会同步到域用户</w:t>
      </w:r>
      <w:r>
        <w:rPr>
          <w:rFonts w:hint="eastAsia"/>
        </w:rPr>
        <w:t>结构下</w:t>
      </w:r>
      <w:r>
        <w:t>。</w:t>
      </w:r>
      <w:r>
        <w:rPr>
          <w:rFonts w:hint="eastAsia"/>
        </w:rPr>
        <w:t>LDAP同步的</w:t>
      </w:r>
      <w:r>
        <w:t>详细配置请参考</w:t>
      </w:r>
      <w:r>
        <w:rPr>
          <w:rFonts w:hint="eastAsia"/>
        </w:rPr>
        <w:t>LDAP同步。</w:t>
      </w:r>
    </w:p>
    <w:p w14:paraId="49D1FBBF">
      <w:pPr>
        <w:pStyle w:val="188"/>
      </w:pPr>
      <w:bookmarkStart w:id="7998" w:name="_Toc141874771"/>
      <w:r>
        <w:rPr>
          <w:rFonts w:hint="eastAsia"/>
        </w:rPr>
        <w:t>域用户结构</w:t>
      </w:r>
      <w:bookmarkEnd w:id="7998"/>
    </w:p>
    <w:p w14:paraId="17B3A5D5">
      <w:pPr>
        <w:spacing w:before="79" w:after="79"/>
      </w:pPr>
      <w:r>
        <w:drawing>
          <wp:inline distT="0" distB="0" distL="0" distR="0">
            <wp:extent cx="5534025" cy="1195070"/>
            <wp:effectExtent l="0" t="0" r="0" b="508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pic:cNvPicPr>
                      <a:picLocks noChangeAspect="1"/>
                    </pic:cNvPicPr>
                  </pic:nvPicPr>
                  <pic:blipFill>
                    <a:blip r:embed="rId961"/>
                    <a:srcRect t="10912"/>
                    <a:stretch>
                      <a:fillRect/>
                    </a:stretch>
                  </pic:blipFill>
                  <pic:spPr>
                    <a:xfrm>
                      <a:off x="0" y="0"/>
                      <a:ext cx="5543550" cy="1197518"/>
                    </a:xfrm>
                    <a:prstGeom prst="rect">
                      <a:avLst/>
                    </a:prstGeom>
                    <a:ln>
                      <a:noFill/>
                    </a:ln>
                  </pic:spPr>
                </pic:pic>
              </a:graphicData>
            </a:graphic>
          </wp:inline>
        </w:drawing>
      </w:r>
    </w:p>
    <w:p w14:paraId="61ED8EE1">
      <w:r>
        <w:rPr>
          <w:rFonts w:hint="eastAsia"/>
        </w:rPr>
        <w:t>LDAP同步</w:t>
      </w:r>
      <w:r>
        <w:t>任务被删除或者</w:t>
      </w:r>
      <w:r>
        <w:rPr>
          <w:rFonts w:hint="eastAsia"/>
        </w:rPr>
        <w:t>任务</w:t>
      </w:r>
      <w:r>
        <w:t>禁用，域用户结构中的用户</w:t>
      </w:r>
      <w:r>
        <w:rPr>
          <w:rFonts w:hint="eastAsia"/>
        </w:rPr>
        <w:t>也会</w:t>
      </w:r>
      <w:r>
        <w:t>随之删除。</w:t>
      </w:r>
    </w:p>
    <w:p w14:paraId="718F37E9"/>
    <w:p w14:paraId="1E60CE3F">
      <w:r>
        <w:br w:type="page"/>
      </w:r>
    </w:p>
    <w:p w14:paraId="02D5103F">
      <w:pPr>
        <w:pStyle w:val="4"/>
      </w:pPr>
      <w:bookmarkStart w:id="7999" w:name="_Toc142401027"/>
      <w:bookmarkStart w:id="8000" w:name="_Toc196728477"/>
      <w:bookmarkStart w:id="8001" w:name="_Toc141873511"/>
      <w:bookmarkStart w:id="8002" w:name="_Toc172218268"/>
      <w:bookmarkStart w:id="8003" w:name="_Toc99561648"/>
      <w:bookmarkStart w:id="8004" w:name="_Toc194081149"/>
      <w:r>
        <w:rPr>
          <w:rFonts w:hint="eastAsia"/>
        </w:rPr>
        <w:t>用户同步</w:t>
      </w:r>
      <w:bookmarkEnd w:id="7999"/>
      <w:bookmarkEnd w:id="8000"/>
      <w:bookmarkEnd w:id="8001"/>
      <w:bookmarkEnd w:id="8002"/>
      <w:bookmarkEnd w:id="8003"/>
      <w:bookmarkEnd w:id="8004"/>
    </w:p>
    <w:p w14:paraId="42DCEDB2">
      <w:pPr>
        <w:pStyle w:val="5"/>
      </w:pPr>
      <w:bookmarkStart w:id="8005" w:name="_Toc15485169"/>
      <w:bookmarkStart w:id="8006" w:name="_Toc99561649"/>
      <w:bookmarkStart w:id="8007" w:name="_Toc142401028"/>
      <w:bookmarkStart w:id="8008" w:name="_Toc172218269"/>
      <w:bookmarkStart w:id="8009" w:name="_Toc141873512"/>
      <w:bookmarkStart w:id="8010" w:name="_Toc6234830"/>
      <w:bookmarkStart w:id="8011" w:name="_Toc23152933"/>
      <w:bookmarkStart w:id="8012" w:name="_Toc194081150"/>
      <w:bookmarkStart w:id="8013" w:name="_Toc196728478"/>
      <w:bookmarkStart w:id="8014" w:name="_Toc40276354"/>
      <w:r>
        <w:rPr>
          <w:rFonts w:hint="eastAsia"/>
        </w:rPr>
        <w:t>概述</w:t>
      </w:r>
      <w:bookmarkEnd w:id="8005"/>
      <w:bookmarkEnd w:id="8006"/>
      <w:bookmarkEnd w:id="8007"/>
      <w:bookmarkEnd w:id="8008"/>
      <w:bookmarkEnd w:id="8009"/>
      <w:bookmarkEnd w:id="8010"/>
      <w:bookmarkEnd w:id="8011"/>
      <w:bookmarkEnd w:id="8012"/>
      <w:bookmarkEnd w:id="8013"/>
      <w:bookmarkEnd w:id="8014"/>
    </w:p>
    <w:p w14:paraId="309790F8">
      <w:r>
        <w:rPr>
          <w:rFonts w:hint="eastAsia"/>
        </w:rPr>
        <w:t>用户</w:t>
      </w:r>
      <w:r>
        <w:t>同步</w:t>
      </w:r>
      <w:r>
        <w:rPr>
          <w:rFonts w:hint="eastAsia"/>
        </w:rPr>
        <w:t>包括LDAP同步、SNMP同步和ARP扫描，其中LDAP</w:t>
      </w:r>
      <w:r>
        <w:t>同步</w:t>
      </w:r>
      <w:r>
        <w:rPr>
          <w:rFonts w:hint="eastAsia"/>
        </w:rPr>
        <w:t>需要先配置LDAP</w:t>
      </w:r>
      <w:r>
        <w:t>服务</w:t>
      </w:r>
      <w:r>
        <w:rPr>
          <w:rFonts w:hint="eastAsia"/>
        </w:rPr>
        <w:t>器后，</w:t>
      </w:r>
      <w:r>
        <w:t>在</w:t>
      </w:r>
      <w:r>
        <w:rPr>
          <w:rFonts w:hint="eastAsia"/>
        </w:rPr>
        <w:t>LDAP</w:t>
      </w:r>
      <w:r>
        <w:t>同步</w:t>
      </w:r>
      <w:r>
        <w:rPr>
          <w:rFonts w:hint="eastAsia"/>
        </w:rPr>
        <w:t>里调用LDAP服务器进行同步，LDAP服务器的配置可参考“用户和用户认证”章节的相关内容。</w:t>
      </w:r>
    </w:p>
    <w:p w14:paraId="41A159A1">
      <w:r>
        <w:rPr>
          <w:rFonts w:hint="eastAsia"/>
        </w:rPr>
        <w:t>同步成功录入设备的用户支持策略调用、QOS控制、策略路由等模块的引用控制。</w:t>
      </w:r>
    </w:p>
    <w:p w14:paraId="65F83FAA">
      <w:pPr>
        <w:pStyle w:val="5"/>
      </w:pPr>
      <w:bookmarkStart w:id="8015" w:name="_Toc70415328"/>
      <w:bookmarkStart w:id="8016" w:name="_Toc142401029"/>
      <w:bookmarkStart w:id="8017" w:name="_Toc58603922"/>
      <w:bookmarkStart w:id="8018" w:name="_Toc172218270"/>
      <w:bookmarkStart w:id="8019" w:name="_Toc194081151"/>
      <w:bookmarkStart w:id="8020" w:name="_Toc196728479"/>
      <w:bookmarkStart w:id="8021" w:name="_Toc70414391"/>
      <w:bookmarkStart w:id="8022" w:name="_Toc99561650"/>
      <w:bookmarkStart w:id="8023" w:name="_Toc141873513"/>
      <w:r>
        <w:rPr>
          <w:rFonts w:hint="eastAsia"/>
        </w:rPr>
        <w:t>原理描述</w:t>
      </w:r>
      <w:bookmarkEnd w:id="8015"/>
      <w:bookmarkEnd w:id="8016"/>
      <w:bookmarkEnd w:id="8017"/>
      <w:bookmarkEnd w:id="8018"/>
      <w:bookmarkEnd w:id="8019"/>
      <w:bookmarkEnd w:id="8020"/>
      <w:bookmarkEnd w:id="8021"/>
      <w:bookmarkEnd w:id="8022"/>
      <w:bookmarkEnd w:id="8023"/>
    </w:p>
    <w:p w14:paraId="2701B0A8">
      <w:pPr>
        <w:pStyle w:val="176"/>
        <w:spacing w:before="156" w:after="156"/>
      </w:pPr>
      <w:r>
        <w:rPr>
          <w:rFonts w:hint="eastAsia"/>
        </w:rPr>
        <w:t>LDAP同步</w:t>
      </w:r>
    </w:p>
    <w:p w14:paraId="7FAF5637">
      <w:r>
        <w:rPr>
          <w:rFonts w:hint="eastAsia"/>
        </w:rPr>
        <w:t>通过LDAP协议报文将LDAP服务器上的用户同步到本地，然后可以按照实际需求分别对同步下来的用户组和用户进行相关功能的引用控制，比如：审计策略、控制策略、流控策略、限额策略等，LDAP同步分为两种同步类型，分别为按OU(组织单位)同步和按安全组同步，配置为按OU同步时即按照OU区分所属用户组，按照LDAP服务器上OU的配置来进行同步，即每个OU同步下来后为一个用户组，此OU下包含的OU和用户也分别对应到此用户组下的用户组和用户，同理配置为按安全组同步时按照安全组区分所属用户组，即每个安全组同步下来后为一个用户组，此安全组下包含的安全组和用户也分别对应到此用户组下的用户组和用户，配置按照OU同步时，安全组就不会同步下来作为用户组了，同理如果配置为安全组，那此BASE DN下的OU也就不会被同步下来作为用户组了；可以开启自动同步，开启自动同步后需配置起始时间和间隔时间，起始时间表示在每天的这个时间点进行同步，间隔时间表示本次执行同步后每经过配置的间隔时间后再执行同步。</w:t>
      </w:r>
    </w:p>
    <w:p w14:paraId="5CCB4FFB">
      <w:pPr>
        <w:pStyle w:val="176"/>
        <w:spacing w:before="156" w:after="156"/>
      </w:pPr>
      <w:r>
        <w:rPr>
          <w:rFonts w:hint="eastAsia"/>
        </w:rPr>
        <w:t>SNMP同步</w:t>
      </w:r>
    </w:p>
    <w:p w14:paraId="048B66AF">
      <w:r>
        <w:rPr>
          <w:rFonts w:hint="eastAsia"/>
        </w:rPr>
        <w:t>通过SNMP协议报文获取三层交换机上的ARP表，从而得到了内网PC真实的IP和MAC地址对应关系，同步下来的IP地址和MAC地址的对应关系可以录入到用户组也可以进行IP-MAC绑定。录入到用户组支持手工录入和自动录入，录入的用户以IP地址作为用户名，绑定其IP及MAC地址，即此IP或MAC其中任何一个匹配均认为是此用户，此同步录入的用户属于静态绑定的用户，不会再进行其它方式的认证同时用户录入到本地后，可以针对此录入的用户组或用户进行相关功能的引用控制，比如：审计策略、控制策略、流控策略、限额策略等。SNMP同步支持任务周期配置，即每经过任务周期的时间进行一次同步，支持配置时间为2-36000秒。</w:t>
      </w:r>
    </w:p>
    <w:p w14:paraId="408FEE3C">
      <w:pPr>
        <w:pStyle w:val="176"/>
        <w:spacing w:before="156" w:after="156"/>
      </w:pPr>
      <w:r>
        <w:rPr>
          <w:rFonts w:hint="eastAsia"/>
        </w:rPr>
        <w:t>ARP扫描</w:t>
      </w:r>
    </w:p>
    <w:p w14:paraId="72EEEDDC">
      <w:r>
        <w:rPr>
          <w:rFonts w:hint="eastAsia"/>
        </w:rPr>
        <w:t>通过ARP请求报文来获取内网PC的IP和MAC地址对应关系，同步下来的IP地址和MAC地址的对应关系可以录入到用户组也可以进行IP-MAC绑定。录入到用户组支持手工录入和自动录入，录入的用户以IP地址作为用户名，绑定其IP地址，此同步录入的用户属于静态绑定的用户，不会再进行其它方式的认证同时用户录入到本地后，可以针对此录入的用户组或用户进行相关功能的引用控制，比如：审计策略、控制策略、流控策略、限额策略等。ARP扫描支持任务周期配置，即每经过任务周期的时间进行一次同步，支持配置时间为10-36000秒。由于ARP报文为二层报文，无法跨越三层网络，因此要求ARP扫描的网段必须是设备接口的直连网段。</w:t>
      </w:r>
    </w:p>
    <w:p w14:paraId="53280A28">
      <w:pPr>
        <w:pStyle w:val="5"/>
      </w:pPr>
      <w:bookmarkStart w:id="8024" w:name="_Toc70415330"/>
      <w:bookmarkStart w:id="8025" w:name="_Toc99561652"/>
      <w:bookmarkStart w:id="8026" w:name="_Toc141873514"/>
      <w:bookmarkStart w:id="8027" w:name="_Toc142401030"/>
      <w:bookmarkStart w:id="8028" w:name="_Toc58603924"/>
      <w:bookmarkStart w:id="8029" w:name="_Toc70414393"/>
      <w:bookmarkStart w:id="8030" w:name="_Toc172218271"/>
      <w:bookmarkStart w:id="8031" w:name="_Toc196728480"/>
      <w:bookmarkStart w:id="8032" w:name="_Toc194081152"/>
      <w:r>
        <w:t>用户同步流程</w:t>
      </w:r>
      <w:bookmarkEnd w:id="8024"/>
      <w:bookmarkEnd w:id="8025"/>
      <w:bookmarkEnd w:id="8026"/>
      <w:bookmarkEnd w:id="8027"/>
      <w:bookmarkEnd w:id="8028"/>
      <w:bookmarkEnd w:id="8029"/>
      <w:bookmarkEnd w:id="8030"/>
      <w:bookmarkEnd w:id="8031"/>
      <w:bookmarkEnd w:id="8032"/>
    </w:p>
    <w:p w14:paraId="421A7679">
      <w:pPr>
        <w:pStyle w:val="6"/>
      </w:pPr>
      <w:bookmarkStart w:id="8033" w:name="_Toc2706822"/>
      <w:bookmarkStart w:id="8034" w:name="_Toc46147408"/>
      <w:r>
        <w:t>LDAP</w:t>
      </w:r>
      <w:r>
        <w:rPr>
          <w:rFonts w:hint="eastAsia"/>
        </w:rPr>
        <w:t>同步用户流程</w:t>
      </w:r>
      <w:bookmarkEnd w:id="8033"/>
      <w:bookmarkEnd w:id="8034"/>
    </w:p>
    <w:p w14:paraId="0C3FE6E9">
      <w:pPr>
        <w:pStyle w:val="202"/>
        <w:rPr>
          <w:lang w:eastAsia="zh-CN"/>
        </w:rPr>
      </w:pPr>
      <w:r>
        <w:rPr>
          <w:rFonts w:hint="eastAsia"/>
          <w:lang w:eastAsia="zh-CN"/>
        </w:rPr>
        <w:t>L</w:t>
      </w:r>
      <w:r>
        <w:rPr>
          <w:lang w:eastAsia="zh-CN"/>
        </w:rPr>
        <w:t>DAP同步主要是通过</w:t>
      </w:r>
      <w:r>
        <w:rPr>
          <w:rFonts w:hint="eastAsia"/>
          <w:lang w:eastAsia="zh-CN"/>
        </w:rPr>
        <w:t>L</w:t>
      </w:r>
      <w:r>
        <w:rPr>
          <w:lang w:eastAsia="zh-CN"/>
        </w:rPr>
        <w:t>DAP协议报文来获取配置的</w:t>
      </w:r>
      <w:r>
        <w:rPr>
          <w:rFonts w:hint="eastAsia"/>
          <w:lang w:eastAsia="zh-CN"/>
        </w:rPr>
        <w:t>B</w:t>
      </w:r>
      <w:r>
        <w:rPr>
          <w:lang w:eastAsia="zh-CN"/>
        </w:rPr>
        <w:t>ase DN下的</w:t>
      </w:r>
      <w:r>
        <w:rPr>
          <w:rFonts w:hint="eastAsia"/>
          <w:lang w:eastAsia="zh-CN"/>
        </w:rPr>
        <w:t>用户</w:t>
      </w:r>
      <w:r>
        <w:rPr>
          <w:lang w:eastAsia="zh-CN"/>
        </w:rPr>
        <w:t>组织关系</w:t>
      </w:r>
      <w:r>
        <w:rPr>
          <w:rFonts w:hint="eastAsia"/>
          <w:lang w:eastAsia="zh-CN"/>
        </w:rPr>
        <w:t>，以用户组（配置按O</w:t>
      </w:r>
      <w:r>
        <w:rPr>
          <w:lang w:eastAsia="zh-CN"/>
        </w:rPr>
        <w:t>U同步时</w:t>
      </w:r>
      <w:r>
        <w:rPr>
          <w:rFonts w:hint="eastAsia"/>
          <w:lang w:eastAsia="zh-CN"/>
        </w:rPr>
        <w:t>，</w:t>
      </w:r>
      <w:r>
        <w:rPr>
          <w:lang w:eastAsia="zh-CN"/>
        </w:rPr>
        <w:t>即按照</w:t>
      </w:r>
      <w:r>
        <w:rPr>
          <w:rFonts w:hint="eastAsia"/>
          <w:lang w:eastAsia="zh-CN"/>
        </w:rPr>
        <w:t>L</w:t>
      </w:r>
      <w:r>
        <w:rPr>
          <w:lang w:eastAsia="zh-CN"/>
        </w:rPr>
        <w:t>DAP服务器上的</w:t>
      </w:r>
      <w:r>
        <w:rPr>
          <w:rFonts w:hint="eastAsia"/>
          <w:lang w:eastAsia="zh-CN"/>
        </w:rPr>
        <w:t>O</w:t>
      </w:r>
      <w:r>
        <w:rPr>
          <w:lang w:eastAsia="zh-CN"/>
        </w:rPr>
        <w:t>U</w:t>
      </w:r>
      <w:r>
        <w:rPr>
          <w:rFonts w:hint="eastAsia"/>
          <w:lang w:eastAsia="zh-CN"/>
        </w:rPr>
        <w:t>来区分</w:t>
      </w:r>
      <w:r>
        <w:rPr>
          <w:lang w:eastAsia="zh-CN"/>
        </w:rPr>
        <w:t>录入用户组配置</w:t>
      </w:r>
      <w:r>
        <w:rPr>
          <w:rFonts w:hint="eastAsia"/>
          <w:lang w:eastAsia="zh-CN"/>
        </w:rPr>
        <w:t>，</w:t>
      </w:r>
      <w:r>
        <w:rPr>
          <w:lang w:eastAsia="zh-CN"/>
        </w:rPr>
        <w:t>配置按安全组同步时</w:t>
      </w:r>
      <w:r>
        <w:rPr>
          <w:rFonts w:hint="eastAsia"/>
          <w:lang w:eastAsia="zh-CN"/>
        </w:rPr>
        <w:t>，</w:t>
      </w:r>
      <w:r>
        <w:rPr>
          <w:lang w:eastAsia="zh-CN"/>
        </w:rPr>
        <w:t>即</w:t>
      </w:r>
      <w:r>
        <w:rPr>
          <w:rFonts w:hint="eastAsia"/>
          <w:lang w:eastAsia="zh-CN"/>
        </w:rPr>
        <w:t>L</w:t>
      </w:r>
      <w:r>
        <w:rPr>
          <w:lang w:eastAsia="zh-CN"/>
        </w:rPr>
        <w:t>DAP服务器上的</w:t>
      </w:r>
      <w:r>
        <w:rPr>
          <w:rFonts w:hint="eastAsia"/>
          <w:lang w:eastAsia="zh-CN"/>
        </w:rPr>
        <w:t>安全组来区分</w:t>
      </w:r>
      <w:r>
        <w:rPr>
          <w:lang w:eastAsia="zh-CN"/>
        </w:rPr>
        <w:t>录入用户组配置</w:t>
      </w:r>
      <w:r>
        <w:rPr>
          <w:rFonts w:hint="eastAsia"/>
          <w:lang w:eastAsia="zh-CN"/>
        </w:rPr>
        <w:t xml:space="preserve"> ）单元为单位，循环读取从</w:t>
      </w:r>
      <w:r>
        <w:rPr>
          <w:lang w:eastAsia="zh-CN"/>
        </w:rPr>
        <w:t>LDAP</w:t>
      </w:r>
      <w:r>
        <w:rPr>
          <w:rFonts w:hint="eastAsia"/>
          <w:lang w:eastAsia="zh-CN"/>
        </w:rPr>
        <w:t>服务器上发送回来的用户组及其包含的用户信息。</w:t>
      </w:r>
    </w:p>
    <w:p w14:paraId="0A8A4227">
      <w:pPr>
        <w:pStyle w:val="202"/>
        <w:rPr>
          <w:lang w:eastAsia="zh-CN"/>
        </w:rPr>
      </w:pPr>
      <w:r>
        <w:rPr>
          <w:rFonts w:hint="eastAsia"/>
          <w:lang w:eastAsia="zh-CN"/>
        </w:rPr>
        <w:t>检查获取的用户组及用户数量是否到达或超过本地设备规格，若到达设备最大规格则将获取的信息丢弃结束同步过程，否则检查是否超过用户组用户最大规格，若超过则跳过此用户组单元，继续获取下一个用户组单元，直至获取完成或者到达设备规格；如不超过则将获取到的用户组及用户信息先保存到本地缓存中。</w:t>
      </w:r>
    </w:p>
    <w:p w14:paraId="75188CE9">
      <w:pPr>
        <w:pStyle w:val="202"/>
        <w:rPr>
          <w:lang w:eastAsia="zh-CN"/>
        </w:rPr>
      </w:pPr>
      <w:r>
        <w:rPr>
          <w:rFonts w:hint="eastAsia"/>
          <w:lang w:eastAsia="zh-CN"/>
        </w:rPr>
        <w:t>当一个用户组单元的信息获取完整后，将本地设备中同属于一个</w:t>
      </w:r>
      <w:r>
        <w:rPr>
          <w:lang w:eastAsia="zh-CN"/>
        </w:rPr>
        <w:t>LDAP</w:t>
      </w:r>
      <w:r>
        <w:rPr>
          <w:rFonts w:hint="eastAsia"/>
          <w:lang w:eastAsia="zh-CN"/>
        </w:rPr>
        <w:t>服务器的用户及用户组置</w:t>
      </w:r>
      <w:r>
        <w:rPr>
          <w:lang w:eastAsia="zh-CN"/>
        </w:rPr>
        <w:t>LDAP</w:t>
      </w:r>
      <w:r>
        <w:rPr>
          <w:rFonts w:hint="eastAsia"/>
          <w:lang w:eastAsia="zh-CN"/>
        </w:rPr>
        <w:t>标记，然后将获取的用户组单元信息其下发给</w:t>
      </w:r>
      <w:r>
        <w:rPr>
          <w:lang w:eastAsia="zh-CN"/>
        </w:rPr>
        <w:t>DPLAN</w:t>
      </w:r>
      <w:r>
        <w:rPr>
          <w:rFonts w:hint="eastAsia"/>
          <w:lang w:eastAsia="zh-CN"/>
        </w:rPr>
        <w:t>用以用户的认证以及设备本地用户的添加保存。在</w:t>
      </w:r>
      <w:r>
        <w:rPr>
          <w:lang w:eastAsia="zh-CN"/>
        </w:rPr>
        <w:t>DPLAN</w:t>
      </w:r>
      <w:r>
        <w:rPr>
          <w:rFonts w:hint="eastAsia"/>
          <w:lang w:eastAsia="zh-CN"/>
        </w:rPr>
        <w:t>保存用户及用户组时将已存在的用户及用户组的</w:t>
      </w:r>
      <w:r>
        <w:rPr>
          <w:lang w:eastAsia="zh-CN"/>
        </w:rPr>
        <w:t>LDAP</w:t>
      </w:r>
      <w:r>
        <w:rPr>
          <w:rFonts w:hint="eastAsia"/>
          <w:lang w:eastAsia="zh-CN"/>
        </w:rPr>
        <w:t>标记取消。</w:t>
      </w:r>
    </w:p>
    <w:p w14:paraId="49E2B012">
      <w:r>
        <w:rPr>
          <w:rFonts w:hint="eastAsia"/>
        </w:rPr>
        <w:t>同步完成初始化同步标识等变量，释放已建立的会话，结束同步。</w:t>
      </w:r>
    </w:p>
    <w:p w14:paraId="18896BE6">
      <w:pPr>
        <w:pStyle w:val="6"/>
      </w:pPr>
      <w:bookmarkStart w:id="8035" w:name="_Toc46147409"/>
      <w:r>
        <w:rPr>
          <w:rFonts w:hint="eastAsia"/>
        </w:rPr>
        <w:t>SNMP同步流程</w:t>
      </w:r>
      <w:bookmarkEnd w:id="8035"/>
    </w:p>
    <w:p w14:paraId="6AFD035C">
      <w:pPr>
        <w:pStyle w:val="202"/>
        <w:rPr>
          <w:lang w:eastAsia="zh-CN"/>
        </w:rPr>
      </w:pPr>
      <w:r>
        <w:rPr>
          <w:rFonts w:hint="eastAsia"/>
          <w:lang w:eastAsia="zh-CN"/>
        </w:rPr>
        <w:t>S</w:t>
      </w:r>
      <w:r>
        <w:rPr>
          <w:lang w:eastAsia="zh-CN"/>
        </w:rPr>
        <w:t>NMP</w:t>
      </w:r>
      <w:r>
        <w:rPr>
          <w:rFonts w:hint="eastAsia"/>
          <w:lang w:eastAsia="zh-CN"/>
        </w:rPr>
        <w:t>同步主要是设备通过S</w:t>
      </w:r>
      <w:r>
        <w:rPr>
          <w:lang w:eastAsia="zh-CN"/>
        </w:rPr>
        <w:t>NMP</w:t>
      </w:r>
      <w:r>
        <w:rPr>
          <w:rFonts w:hint="eastAsia"/>
          <w:lang w:eastAsia="zh-CN"/>
        </w:rPr>
        <w:t>协议学习三层交换机上的ARP表，获得内网</w:t>
      </w:r>
      <w:r>
        <w:rPr>
          <w:lang w:eastAsia="zh-CN"/>
        </w:rPr>
        <w:t>PC</w:t>
      </w:r>
      <w:r>
        <w:rPr>
          <w:rFonts w:hint="eastAsia"/>
          <w:lang w:eastAsia="zh-CN"/>
        </w:rPr>
        <w:t>的</w:t>
      </w:r>
      <w:r>
        <w:rPr>
          <w:lang w:eastAsia="zh-CN"/>
        </w:rPr>
        <w:t>IP</w:t>
      </w:r>
      <w:r>
        <w:rPr>
          <w:rFonts w:hint="eastAsia"/>
          <w:lang w:eastAsia="zh-CN"/>
        </w:rPr>
        <w:t>和</w:t>
      </w:r>
      <w:r>
        <w:rPr>
          <w:lang w:eastAsia="zh-CN"/>
        </w:rPr>
        <w:t>MAC</w:t>
      </w:r>
      <w:r>
        <w:rPr>
          <w:rFonts w:hint="eastAsia"/>
          <w:lang w:eastAsia="zh-CN"/>
        </w:rPr>
        <w:t>对应</w:t>
      </w:r>
      <w:r>
        <w:rPr>
          <w:lang w:eastAsia="zh-CN"/>
        </w:rPr>
        <w:t>关系</w:t>
      </w:r>
      <w:r>
        <w:rPr>
          <w:rFonts w:hint="eastAsia"/>
          <w:lang w:eastAsia="zh-CN"/>
        </w:rPr>
        <w:t>，</w:t>
      </w:r>
      <w:r>
        <w:rPr>
          <w:lang w:eastAsia="zh-CN"/>
        </w:rPr>
        <w:t>设备会通过</w:t>
      </w:r>
      <w:r>
        <w:rPr>
          <w:rFonts w:hint="eastAsia"/>
          <w:lang w:eastAsia="zh-CN"/>
        </w:rPr>
        <w:t>S</w:t>
      </w:r>
      <w:r>
        <w:rPr>
          <w:lang w:eastAsia="zh-CN"/>
        </w:rPr>
        <w:t>NMP报文去</w:t>
      </w:r>
      <w:r>
        <w:rPr>
          <w:rFonts w:hint="eastAsia"/>
          <w:lang w:eastAsia="zh-CN"/>
        </w:rPr>
        <w:t>请求</w:t>
      </w:r>
      <w:r>
        <w:rPr>
          <w:lang w:eastAsia="zh-CN"/>
        </w:rPr>
        <w:t>交换机上记录</w:t>
      </w:r>
      <w:r>
        <w:rPr>
          <w:rFonts w:hint="eastAsia"/>
          <w:lang w:eastAsia="zh-CN"/>
        </w:rPr>
        <w:t>A</w:t>
      </w:r>
      <w:r>
        <w:rPr>
          <w:lang w:eastAsia="zh-CN"/>
        </w:rPr>
        <w:t>RP表的mib节点来获取到其上面的</w:t>
      </w:r>
      <w:r>
        <w:rPr>
          <w:rFonts w:hint="eastAsia"/>
          <w:lang w:eastAsia="zh-CN"/>
        </w:rPr>
        <w:t>I</w:t>
      </w:r>
      <w:r>
        <w:rPr>
          <w:lang w:eastAsia="zh-CN"/>
        </w:rPr>
        <w:t>P与</w:t>
      </w:r>
      <w:r>
        <w:rPr>
          <w:rFonts w:hint="eastAsia"/>
          <w:lang w:eastAsia="zh-CN"/>
        </w:rPr>
        <w:t>M</w:t>
      </w:r>
      <w:r>
        <w:rPr>
          <w:lang w:eastAsia="zh-CN"/>
        </w:rPr>
        <w:t>AC的对应关系</w:t>
      </w:r>
      <w:r>
        <w:rPr>
          <w:rFonts w:hint="eastAsia"/>
          <w:lang w:eastAsia="zh-CN"/>
        </w:rPr>
        <w:t>，然后根据配置选择是否自动录入</w:t>
      </w:r>
      <w:r>
        <w:rPr>
          <w:lang w:eastAsia="zh-CN"/>
        </w:rPr>
        <w:t>到相应的用户组或者通过同步结果手工执行录入到用户组或</w:t>
      </w:r>
      <w:r>
        <w:rPr>
          <w:rFonts w:hint="eastAsia"/>
          <w:lang w:eastAsia="zh-CN"/>
        </w:rPr>
        <w:t>I</w:t>
      </w:r>
      <w:r>
        <w:rPr>
          <w:lang w:eastAsia="zh-CN"/>
        </w:rPr>
        <w:t>P</w:t>
      </w:r>
      <w:r>
        <w:rPr>
          <w:rFonts w:hint="eastAsia"/>
          <w:lang w:eastAsia="zh-CN"/>
        </w:rPr>
        <w:t>-</w:t>
      </w:r>
      <w:r>
        <w:rPr>
          <w:lang w:eastAsia="zh-CN"/>
        </w:rPr>
        <w:t>MAC绑定</w:t>
      </w:r>
      <w:r>
        <w:rPr>
          <w:rFonts w:hint="eastAsia"/>
          <w:lang w:eastAsia="zh-CN"/>
        </w:rPr>
        <w:t>.。</w:t>
      </w:r>
    </w:p>
    <w:p w14:paraId="0776D218">
      <w:pPr>
        <w:pStyle w:val="202"/>
        <w:rPr>
          <w:lang w:eastAsia="zh-CN"/>
        </w:rPr>
      </w:pPr>
      <w:r>
        <w:rPr>
          <w:rFonts w:hint="eastAsia"/>
          <w:lang w:eastAsia="zh-CN"/>
        </w:rPr>
        <w:t>交换机</w:t>
      </w:r>
      <w:r>
        <w:rPr>
          <w:lang w:eastAsia="zh-CN"/>
        </w:rPr>
        <w:t>上已开启</w:t>
      </w:r>
      <w:r>
        <w:rPr>
          <w:rFonts w:hint="eastAsia"/>
          <w:lang w:eastAsia="zh-CN"/>
        </w:rPr>
        <w:t>SNMP代理</w:t>
      </w:r>
      <w:r>
        <w:rPr>
          <w:lang w:eastAsia="zh-CN"/>
        </w:rPr>
        <w:t>功能</w:t>
      </w:r>
      <w:r>
        <w:rPr>
          <w:rFonts w:hint="eastAsia"/>
          <w:lang w:eastAsia="zh-CN"/>
        </w:rPr>
        <w:t>。</w:t>
      </w:r>
    </w:p>
    <w:p w14:paraId="746684F5">
      <w:pPr>
        <w:pStyle w:val="202"/>
        <w:rPr>
          <w:lang w:eastAsia="zh-CN"/>
        </w:rPr>
      </w:pPr>
      <w:r>
        <w:rPr>
          <w:rFonts w:hint="eastAsia"/>
          <w:lang w:eastAsia="zh-CN"/>
        </w:rPr>
        <w:t>设备与</w:t>
      </w:r>
      <w:r>
        <w:rPr>
          <w:lang w:eastAsia="zh-CN"/>
        </w:rPr>
        <w:t>交换机网络可达</w:t>
      </w:r>
      <w:r>
        <w:rPr>
          <w:rFonts w:hint="eastAsia"/>
          <w:lang w:eastAsia="zh-CN"/>
        </w:rPr>
        <w:t>。</w:t>
      </w:r>
    </w:p>
    <w:p w14:paraId="1C07AB95">
      <w:pPr>
        <w:pStyle w:val="202"/>
        <w:rPr>
          <w:lang w:eastAsia="zh-CN"/>
        </w:rPr>
      </w:pPr>
      <w:r>
        <w:rPr>
          <w:rFonts w:hint="eastAsia"/>
          <w:lang w:eastAsia="zh-CN"/>
        </w:rPr>
        <w:t>设备上配置的团体字</w:t>
      </w:r>
      <w:r>
        <w:rPr>
          <w:lang w:eastAsia="zh-CN"/>
        </w:rPr>
        <w:t>与</w:t>
      </w:r>
      <w:r>
        <w:rPr>
          <w:rFonts w:hint="eastAsia"/>
          <w:lang w:eastAsia="zh-CN"/>
        </w:rPr>
        <w:t>交换机团体字一致。</w:t>
      </w:r>
    </w:p>
    <w:p w14:paraId="6D4E4147">
      <w:pPr>
        <w:pStyle w:val="6"/>
      </w:pPr>
      <w:bookmarkStart w:id="8036" w:name="_Toc46147410"/>
      <w:r>
        <w:rPr>
          <w:rFonts w:hint="eastAsia"/>
        </w:rPr>
        <w:t>A</w:t>
      </w:r>
      <w:r>
        <w:t>RP</w:t>
      </w:r>
      <w:r>
        <w:rPr>
          <w:rFonts w:hint="eastAsia"/>
        </w:rPr>
        <w:t>扫描流程</w:t>
      </w:r>
      <w:bookmarkEnd w:id="8036"/>
    </w:p>
    <w:p w14:paraId="6E2B2BF0">
      <w:pPr>
        <w:pStyle w:val="202"/>
        <w:rPr>
          <w:lang w:eastAsia="zh-CN"/>
        </w:rPr>
      </w:pPr>
      <w:r>
        <w:rPr>
          <w:lang w:eastAsia="zh-CN"/>
        </w:rPr>
        <w:t>ARP</w:t>
      </w:r>
      <w:r>
        <w:rPr>
          <w:rFonts w:hint="eastAsia"/>
          <w:lang w:eastAsia="zh-CN"/>
        </w:rPr>
        <w:t>扫描主要通过</w:t>
      </w:r>
      <w:r>
        <w:rPr>
          <w:lang w:eastAsia="zh-CN"/>
        </w:rPr>
        <w:t>ARP</w:t>
      </w:r>
      <w:r>
        <w:rPr>
          <w:rFonts w:hint="eastAsia"/>
          <w:lang w:eastAsia="zh-CN"/>
        </w:rPr>
        <w:t>协议探测同网段主机地址，从而获取到内网P</w:t>
      </w:r>
      <w:r>
        <w:rPr>
          <w:lang w:eastAsia="zh-CN"/>
        </w:rPr>
        <w:t>C的</w:t>
      </w:r>
      <w:r>
        <w:rPr>
          <w:rFonts w:hint="eastAsia"/>
          <w:lang w:eastAsia="zh-CN"/>
        </w:rPr>
        <w:t>I</w:t>
      </w:r>
      <w:r>
        <w:rPr>
          <w:lang w:eastAsia="zh-CN"/>
        </w:rPr>
        <w:t>P地址和</w:t>
      </w:r>
      <w:r>
        <w:rPr>
          <w:rFonts w:hint="eastAsia"/>
          <w:lang w:eastAsia="zh-CN"/>
        </w:rPr>
        <w:t>M</w:t>
      </w:r>
      <w:r>
        <w:rPr>
          <w:lang w:eastAsia="zh-CN"/>
        </w:rPr>
        <w:t>AC的对应关系</w:t>
      </w:r>
      <w:r>
        <w:rPr>
          <w:rFonts w:hint="eastAsia"/>
          <w:lang w:eastAsia="zh-CN"/>
        </w:rPr>
        <w:t>。</w:t>
      </w:r>
      <w:r>
        <w:rPr>
          <w:lang w:eastAsia="zh-CN"/>
        </w:rPr>
        <w:t>设备根据配置的扫描网段依次</w:t>
      </w:r>
      <w:r>
        <w:rPr>
          <w:rFonts w:hint="eastAsia"/>
          <w:lang w:eastAsia="zh-CN"/>
        </w:rPr>
        <w:t>发送A</w:t>
      </w:r>
      <w:r>
        <w:rPr>
          <w:lang w:eastAsia="zh-CN"/>
        </w:rPr>
        <w:t>RP请求报文</w:t>
      </w:r>
      <w:r>
        <w:rPr>
          <w:rFonts w:hint="eastAsia"/>
          <w:lang w:eastAsia="zh-CN"/>
        </w:rPr>
        <w:t>，监听A</w:t>
      </w:r>
      <w:r>
        <w:rPr>
          <w:lang w:eastAsia="zh-CN"/>
        </w:rPr>
        <w:t>RP回复报文来获取对应的</w:t>
      </w:r>
      <w:r>
        <w:rPr>
          <w:rFonts w:hint="eastAsia"/>
          <w:lang w:eastAsia="zh-CN"/>
        </w:rPr>
        <w:t>M</w:t>
      </w:r>
      <w:r>
        <w:rPr>
          <w:lang w:eastAsia="zh-CN"/>
        </w:rPr>
        <w:t>AC地址</w:t>
      </w:r>
      <w:r>
        <w:rPr>
          <w:rFonts w:hint="eastAsia"/>
          <w:lang w:eastAsia="zh-CN"/>
        </w:rPr>
        <w:t>，然后根据配置选择是否自动录入</w:t>
      </w:r>
      <w:r>
        <w:rPr>
          <w:lang w:eastAsia="zh-CN"/>
        </w:rPr>
        <w:t>到相应的用户组或者通过同步结果手工执行录入到用户组或</w:t>
      </w:r>
      <w:r>
        <w:rPr>
          <w:rFonts w:hint="eastAsia"/>
          <w:lang w:eastAsia="zh-CN"/>
        </w:rPr>
        <w:t>I</w:t>
      </w:r>
      <w:r>
        <w:rPr>
          <w:lang w:eastAsia="zh-CN"/>
        </w:rPr>
        <w:t>P</w:t>
      </w:r>
      <w:r>
        <w:rPr>
          <w:rFonts w:hint="eastAsia"/>
          <w:lang w:eastAsia="zh-CN"/>
        </w:rPr>
        <w:t>-</w:t>
      </w:r>
      <w:r>
        <w:rPr>
          <w:lang w:eastAsia="zh-CN"/>
        </w:rPr>
        <w:t>MAC绑定</w:t>
      </w:r>
      <w:r>
        <w:rPr>
          <w:rFonts w:hint="eastAsia"/>
          <w:lang w:eastAsia="zh-CN"/>
        </w:rPr>
        <w:t>.。</w:t>
      </w:r>
    </w:p>
    <w:p w14:paraId="09418CCD">
      <w:pPr>
        <w:pStyle w:val="202"/>
        <w:rPr>
          <w:lang w:eastAsia="zh-CN"/>
        </w:rPr>
      </w:pPr>
      <w:r>
        <w:rPr>
          <w:rFonts w:hint="eastAsia"/>
          <w:lang w:eastAsia="zh-CN"/>
        </w:rPr>
        <w:t>ARP扫描地址段必须是和设备同一网段.</w:t>
      </w:r>
    </w:p>
    <w:p w14:paraId="32C35CA1">
      <w:pPr>
        <w:pStyle w:val="5"/>
      </w:pPr>
      <w:bookmarkStart w:id="8037" w:name="_Toc196728481"/>
      <w:bookmarkStart w:id="8038" w:name="_Toc70414394"/>
      <w:bookmarkStart w:id="8039" w:name="_Toc141873515"/>
      <w:bookmarkStart w:id="8040" w:name="_Toc58603925"/>
      <w:bookmarkStart w:id="8041" w:name="_Toc142401031"/>
      <w:bookmarkStart w:id="8042" w:name="_Toc70415331"/>
      <w:bookmarkStart w:id="8043" w:name="_Toc172218272"/>
      <w:bookmarkStart w:id="8044" w:name="_Toc194081153"/>
      <w:bookmarkStart w:id="8045" w:name="_Toc99561653"/>
      <w:r>
        <w:t>配置用户同步</w:t>
      </w:r>
      <w:bookmarkEnd w:id="8037"/>
      <w:bookmarkEnd w:id="8038"/>
      <w:bookmarkEnd w:id="8039"/>
      <w:bookmarkEnd w:id="8040"/>
      <w:bookmarkEnd w:id="8041"/>
      <w:bookmarkEnd w:id="8042"/>
      <w:bookmarkEnd w:id="8043"/>
      <w:bookmarkEnd w:id="8044"/>
      <w:bookmarkEnd w:id="8045"/>
    </w:p>
    <w:p w14:paraId="0BC56342">
      <w:pPr>
        <w:pStyle w:val="6"/>
      </w:pPr>
      <w:bookmarkStart w:id="8046" w:name="_Toc23152934"/>
      <w:bookmarkStart w:id="8047" w:name="_Toc40276355"/>
      <w:bookmarkStart w:id="8048" w:name="_Toc15485170"/>
      <w:bookmarkStart w:id="8049" w:name="_Toc6234831"/>
      <w:bookmarkStart w:id="8050" w:name="_Toc99561654"/>
      <w:r>
        <w:t>用户</w:t>
      </w:r>
      <w:r>
        <w:rPr>
          <w:rFonts w:hint="eastAsia"/>
        </w:rPr>
        <w:t>同步任务页</w:t>
      </w:r>
      <w:bookmarkEnd w:id="8046"/>
      <w:bookmarkEnd w:id="8047"/>
      <w:bookmarkEnd w:id="8048"/>
      <w:bookmarkEnd w:id="8049"/>
      <w:bookmarkEnd w:id="8050"/>
    </w:p>
    <w:p w14:paraId="2E7D9B7E">
      <w:bookmarkStart w:id="8051" w:name="_Toc4146037"/>
      <w:bookmarkEnd w:id="8051"/>
      <w:bookmarkStart w:id="8052" w:name="_Toc4146042"/>
      <w:bookmarkEnd w:id="8052"/>
      <w:bookmarkStart w:id="8053" w:name="_Toc4146043"/>
      <w:bookmarkEnd w:id="8053"/>
      <w:bookmarkStart w:id="8054" w:name="_Toc4146044"/>
      <w:bookmarkEnd w:id="8054"/>
      <w:bookmarkStart w:id="8055" w:name="_Toc4146045"/>
      <w:bookmarkEnd w:id="8055"/>
      <w:bookmarkStart w:id="8056" w:name="_Toc4146046"/>
      <w:bookmarkEnd w:id="8056"/>
      <w:bookmarkStart w:id="8057" w:name="_Toc4145990"/>
      <w:bookmarkEnd w:id="8057"/>
      <w:bookmarkStart w:id="8058" w:name="_Toc4146013"/>
      <w:bookmarkEnd w:id="8058"/>
      <w:bookmarkStart w:id="8059" w:name="_Toc4146041"/>
      <w:bookmarkEnd w:id="8059"/>
      <w:bookmarkStart w:id="8060" w:name="_Toc4146040"/>
      <w:bookmarkEnd w:id="8060"/>
      <w:bookmarkStart w:id="8061" w:name="_Toc4145994"/>
      <w:bookmarkEnd w:id="8061"/>
      <w:bookmarkStart w:id="8062" w:name="_Toc4145995"/>
      <w:bookmarkEnd w:id="8062"/>
      <w:bookmarkStart w:id="8063" w:name="_Toc4146014"/>
      <w:bookmarkEnd w:id="8063"/>
      <w:bookmarkStart w:id="8064" w:name="_Toc4145989"/>
      <w:bookmarkEnd w:id="8064"/>
      <w:bookmarkStart w:id="8065" w:name="_Toc4145991"/>
      <w:bookmarkEnd w:id="8065"/>
      <w:bookmarkStart w:id="8066" w:name="_Toc4146011"/>
      <w:bookmarkEnd w:id="8066"/>
      <w:bookmarkStart w:id="8067" w:name="_Toc4146016"/>
      <w:bookmarkEnd w:id="8067"/>
      <w:bookmarkStart w:id="8068" w:name="_Toc4146015"/>
      <w:bookmarkEnd w:id="8068"/>
      <w:bookmarkStart w:id="8069" w:name="_Toc4146012"/>
      <w:bookmarkEnd w:id="8069"/>
      <w:bookmarkStart w:id="8070" w:name="_Toc4146018"/>
      <w:bookmarkEnd w:id="8070"/>
      <w:bookmarkStart w:id="8071" w:name="_Toc4146038"/>
      <w:bookmarkEnd w:id="8071"/>
      <w:bookmarkStart w:id="8072" w:name="_Toc4146039"/>
      <w:bookmarkEnd w:id="8072"/>
      <w:bookmarkStart w:id="8073" w:name="_Toc4145992"/>
      <w:bookmarkEnd w:id="8073"/>
      <w:bookmarkStart w:id="8074" w:name="_Toc4146017"/>
      <w:bookmarkEnd w:id="8074"/>
      <w:bookmarkStart w:id="8075" w:name="_Toc4145993"/>
      <w:bookmarkEnd w:id="8075"/>
      <w:bookmarkStart w:id="8076" w:name="_Toc4146104"/>
      <w:bookmarkEnd w:id="8076"/>
      <w:bookmarkStart w:id="8077" w:name="_Toc4146070"/>
      <w:bookmarkEnd w:id="8077"/>
      <w:bookmarkStart w:id="8078" w:name="_Toc4146099"/>
      <w:bookmarkEnd w:id="8078"/>
      <w:bookmarkStart w:id="8079" w:name="_Toc4146076"/>
      <w:bookmarkEnd w:id="8079"/>
      <w:bookmarkStart w:id="8080" w:name="_Toc4146094"/>
      <w:bookmarkEnd w:id="8080"/>
      <w:bookmarkStart w:id="8081" w:name="_Toc4146050"/>
      <w:bookmarkEnd w:id="8081"/>
      <w:bookmarkStart w:id="8082" w:name="_Toc4146051"/>
      <w:bookmarkEnd w:id="8082"/>
      <w:bookmarkStart w:id="8083" w:name="_Toc4146069"/>
      <w:bookmarkEnd w:id="8083"/>
      <w:bookmarkStart w:id="8084" w:name="_Toc4146073"/>
      <w:bookmarkEnd w:id="8084"/>
      <w:bookmarkStart w:id="8085" w:name="_Toc4146074"/>
      <w:bookmarkEnd w:id="8085"/>
      <w:bookmarkStart w:id="8086" w:name="_Toc4146071"/>
      <w:bookmarkEnd w:id="8086"/>
      <w:bookmarkStart w:id="8087" w:name="_Toc4146072"/>
      <w:bookmarkEnd w:id="8087"/>
      <w:bookmarkStart w:id="8088" w:name="_Toc4146075"/>
      <w:bookmarkEnd w:id="8088"/>
      <w:bookmarkStart w:id="8089" w:name="_Toc4146047"/>
      <w:bookmarkEnd w:id="8089"/>
      <w:bookmarkStart w:id="8090" w:name="_Toc4146092"/>
      <w:bookmarkEnd w:id="8090"/>
      <w:bookmarkStart w:id="8091" w:name="_Toc4146096"/>
      <w:bookmarkEnd w:id="8091"/>
      <w:bookmarkStart w:id="8092" w:name="_Toc4146097"/>
      <w:bookmarkEnd w:id="8092"/>
      <w:bookmarkStart w:id="8093" w:name="_Toc4146100"/>
      <w:bookmarkEnd w:id="8093"/>
      <w:bookmarkStart w:id="8094" w:name="_Toc4146101"/>
      <w:bookmarkEnd w:id="8094"/>
      <w:bookmarkStart w:id="8095" w:name="_Toc4146048"/>
      <w:bookmarkEnd w:id="8095"/>
      <w:bookmarkStart w:id="8096" w:name="_Toc4146049"/>
      <w:bookmarkEnd w:id="8096"/>
      <w:bookmarkStart w:id="8097" w:name="_Toc4146093"/>
      <w:bookmarkEnd w:id="8097"/>
      <w:bookmarkStart w:id="8098" w:name="_Toc4146052"/>
      <w:bookmarkEnd w:id="8098"/>
      <w:bookmarkStart w:id="8099" w:name="_Toc4146095"/>
      <w:bookmarkEnd w:id="8099"/>
      <w:bookmarkStart w:id="8100" w:name="_Toc4146103"/>
      <w:bookmarkEnd w:id="8100"/>
      <w:bookmarkStart w:id="8101" w:name="_Toc4146053"/>
      <w:bookmarkEnd w:id="8101"/>
      <w:bookmarkStart w:id="8102" w:name="_Toc4146098"/>
      <w:bookmarkEnd w:id="8102"/>
      <w:bookmarkStart w:id="8103" w:name="_Toc4146102"/>
      <w:bookmarkEnd w:id="8103"/>
      <w:r>
        <w:rPr>
          <w:rFonts w:hint="eastAsia"/>
        </w:rPr>
        <w:t>在导航栏中选择“</w:t>
      </w:r>
      <w:r>
        <w:t>用户管理 &gt; 用户管理&gt;用户同步</w:t>
      </w:r>
      <w:r>
        <w:rPr>
          <w:rFonts w:hint="eastAsia"/>
        </w:rPr>
        <w:t>”，进入用户同步</w:t>
      </w:r>
      <w:r>
        <w:t>任务页面，</w:t>
      </w:r>
      <w:r>
        <w:rPr>
          <w:rFonts w:hint="eastAsia"/>
        </w:rPr>
        <w:t>可查看已配置的用户同步任务，</w:t>
      </w:r>
      <w:r>
        <w:t>如</w:t>
      </w:r>
      <w:r>
        <w:fldChar w:fldCharType="begin"/>
      </w:r>
      <w:r>
        <w:instrText xml:space="preserve"> REF _Ref517982376 \r \h  \* MERGEFORMAT </w:instrText>
      </w:r>
      <w:r>
        <w:fldChar w:fldCharType="separate"/>
      </w:r>
      <w:r>
        <w:rPr>
          <w:rFonts w:hint="eastAsia"/>
        </w:rPr>
        <w:t>图30-19</w:t>
      </w:r>
      <w:r>
        <w:fldChar w:fldCharType="end"/>
      </w:r>
      <w:r>
        <w:t>所示</w:t>
      </w:r>
      <w:r>
        <w:rPr>
          <w:rFonts w:hint="eastAsia"/>
        </w:rPr>
        <w:t>。</w:t>
      </w:r>
    </w:p>
    <w:p w14:paraId="23C2F350">
      <w:pPr>
        <w:pStyle w:val="188"/>
      </w:pPr>
      <w:bookmarkStart w:id="8104" w:name="_Ref517982376"/>
      <w:bookmarkStart w:id="8105" w:name="_Toc141874772"/>
      <w:r>
        <w:rPr>
          <w:rFonts w:hint="eastAsia"/>
        </w:rPr>
        <w:t>用户</w:t>
      </w:r>
      <w:r>
        <w:t>同步任务列表</w:t>
      </w:r>
      <w:bookmarkEnd w:id="8104"/>
      <w:bookmarkEnd w:id="8105"/>
    </w:p>
    <w:p w14:paraId="08FD02EE">
      <w:r>
        <w:drawing>
          <wp:inline distT="0" distB="0" distL="0" distR="0">
            <wp:extent cx="5638800" cy="930910"/>
            <wp:effectExtent l="0" t="0" r="0" b="2540"/>
            <wp:docPr id="2720" name="图片 2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0" name="图片 2720"/>
                    <pic:cNvPicPr>
                      <a:picLocks noChangeAspect="1"/>
                    </pic:cNvPicPr>
                  </pic:nvPicPr>
                  <pic:blipFill>
                    <a:blip r:embed="rId962"/>
                    <a:stretch>
                      <a:fillRect/>
                    </a:stretch>
                  </pic:blipFill>
                  <pic:spPr>
                    <a:xfrm>
                      <a:off x="0" y="0"/>
                      <a:ext cx="5655785" cy="934123"/>
                    </a:xfrm>
                    <a:prstGeom prst="rect">
                      <a:avLst/>
                    </a:prstGeom>
                  </pic:spPr>
                </pic:pic>
              </a:graphicData>
            </a:graphic>
          </wp:inline>
        </w:drawing>
      </w:r>
    </w:p>
    <w:p w14:paraId="6D662725"/>
    <w:p w14:paraId="02F8A99C">
      <w:r>
        <w:rPr>
          <w:rFonts w:hint="eastAsia"/>
        </w:rPr>
        <w:t>用户同步</w:t>
      </w:r>
      <w:r>
        <w:t>任务页面详细信息如</w:t>
      </w:r>
      <w:r>
        <w:fldChar w:fldCharType="begin"/>
      </w:r>
      <w:r>
        <w:instrText xml:space="preserve"> REF _Ref518032552 \r \h  \* MERGEFORMAT </w:instrText>
      </w:r>
      <w:r>
        <w:fldChar w:fldCharType="separate"/>
      </w:r>
      <w:r>
        <w:rPr>
          <w:rFonts w:hint="eastAsia"/>
        </w:rPr>
        <w:t>表30-1</w:t>
      </w:r>
      <w:r>
        <w:fldChar w:fldCharType="end"/>
      </w:r>
      <w:r>
        <w:t>所示</w:t>
      </w:r>
    </w:p>
    <w:p w14:paraId="188F8032">
      <w:pPr>
        <w:pStyle w:val="183"/>
      </w:pPr>
      <w:bookmarkStart w:id="8106" w:name="_Ref518032552"/>
      <w:bookmarkStart w:id="8107" w:name="_Toc141875556"/>
      <w:r>
        <w:rPr>
          <w:rFonts w:hint="eastAsia"/>
        </w:rPr>
        <w:t>用户</w:t>
      </w:r>
      <w:r>
        <w:t>同步任务列表详细信息表</w:t>
      </w:r>
      <w:bookmarkEnd w:id="8106"/>
      <w:bookmarkEnd w:id="8107"/>
    </w:p>
    <w:tbl>
      <w:tblPr>
        <w:tblStyle w:val="173"/>
        <w:tblW w:w="903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923"/>
        <w:gridCol w:w="7109"/>
      </w:tblGrid>
      <w:tr w14:paraId="436A34B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19" w:hRule="atLeast"/>
        </w:trPr>
        <w:tc>
          <w:tcPr>
            <w:tcW w:w="1923" w:type="dxa"/>
            <w:tcBorders>
              <w:tl2br w:val="nil"/>
              <w:tr2bl w:val="nil"/>
            </w:tcBorders>
            <w:shd w:val="clear" w:color="auto" w:fill="538135" w:themeFill="accent6" w:themeFillShade="BF"/>
            <w:vAlign w:val="center"/>
          </w:tcPr>
          <w:p w14:paraId="5435AC52">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109" w:type="dxa"/>
            <w:tcBorders>
              <w:tl2br w:val="nil"/>
              <w:tr2bl w:val="nil"/>
            </w:tcBorders>
            <w:shd w:val="clear" w:color="auto" w:fill="538135" w:themeFill="accent6" w:themeFillShade="BF"/>
            <w:vAlign w:val="center"/>
          </w:tcPr>
          <w:p w14:paraId="2A20B270">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18391C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923" w:type="dxa"/>
            <w:shd w:val="clear" w:color="auto" w:fill="auto"/>
          </w:tcPr>
          <w:p w14:paraId="5C7491D7">
            <w:pPr>
              <w:pStyle w:val="150"/>
            </w:pPr>
            <w:r>
              <w:rPr>
                <w:rFonts w:hint="eastAsia"/>
              </w:rPr>
              <w:t>新建</w:t>
            </w:r>
          </w:p>
        </w:tc>
        <w:tc>
          <w:tcPr>
            <w:tcW w:w="7109" w:type="dxa"/>
            <w:shd w:val="clear" w:color="auto" w:fill="auto"/>
          </w:tcPr>
          <w:p w14:paraId="7F0BC4A3">
            <w:pPr>
              <w:pStyle w:val="150"/>
            </w:pPr>
            <w:r>
              <w:rPr>
                <w:rFonts w:hint="eastAsia"/>
              </w:rPr>
              <w:t>新建</w:t>
            </w:r>
            <w:r>
              <w:t>任务</w:t>
            </w:r>
          </w:p>
        </w:tc>
      </w:tr>
      <w:tr w14:paraId="6E4B5F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923" w:type="dxa"/>
            <w:shd w:val="clear" w:color="auto" w:fill="auto"/>
          </w:tcPr>
          <w:p w14:paraId="2F7B92B9">
            <w:pPr>
              <w:pStyle w:val="150"/>
            </w:pPr>
            <w:r>
              <w:rPr>
                <w:rFonts w:hint="eastAsia"/>
              </w:rPr>
              <w:t>删除</w:t>
            </w:r>
          </w:p>
        </w:tc>
        <w:tc>
          <w:tcPr>
            <w:tcW w:w="7109" w:type="dxa"/>
            <w:shd w:val="clear" w:color="auto" w:fill="auto"/>
          </w:tcPr>
          <w:p w14:paraId="32B8957B">
            <w:pPr>
              <w:pStyle w:val="150"/>
            </w:pPr>
            <w:r>
              <w:rPr>
                <w:rFonts w:hint="eastAsia"/>
              </w:rPr>
              <w:t>批量</w:t>
            </w:r>
            <w:r>
              <w:t>删除任务</w:t>
            </w:r>
          </w:p>
        </w:tc>
      </w:tr>
      <w:tr w14:paraId="348AE8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923" w:type="dxa"/>
            <w:shd w:val="clear" w:color="auto" w:fill="auto"/>
          </w:tcPr>
          <w:p w14:paraId="5C9F2C7C">
            <w:pPr>
              <w:pStyle w:val="150"/>
            </w:pPr>
            <w:r>
              <w:rPr>
                <w:rFonts w:hint="eastAsia"/>
              </w:rPr>
              <w:t>名称</w:t>
            </w:r>
          </w:p>
        </w:tc>
        <w:tc>
          <w:tcPr>
            <w:tcW w:w="7109" w:type="dxa"/>
            <w:shd w:val="clear" w:color="auto" w:fill="auto"/>
          </w:tcPr>
          <w:p w14:paraId="617A869C">
            <w:pPr>
              <w:pStyle w:val="150"/>
            </w:pPr>
            <w:r>
              <w:rPr>
                <w:rFonts w:hint="eastAsia"/>
              </w:rPr>
              <w:t>任务</w:t>
            </w:r>
            <w:r>
              <w:t>名称</w:t>
            </w:r>
          </w:p>
        </w:tc>
      </w:tr>
      <w:tr w14:paraId="209E2D8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923" w:type="dxa"/>
            <w:shd w:val="clear" w:color="auto" w:fill="auto"/>
          </w:tcPr>
          <w:p w14:paraId="4FFE1BA6">
            <w:pPr>
              <w:pStyle w:val="150"/>
            </w:pPr>
            <w:r>
              <w:rPr>
                <w:rFonts w:hint="eastAsia"/>
              </w:rPr>
              <w:t>描述</w:t>
            </w:r>
          </w:p>
        </w:tc>
        <w:tc>
          <w:tcPr>
            <w:tcW w:w="7109" w:type="dxa"/>
            <w:shd w:val="clear" w:color="auto" w:fill="auto"/>
          </w:tcPr>
          <w:p w14:paraId="6277950E">
            <w:pPr>
              <w:pStyle w:val="150"/>
            </w:pPr>
            <w:r>
              <w:rPr>
                <w:rFonts w:hint="eastAsia"/>
              </w:rPr>
              <w:t>任务</w:t>
            </w:r>
            <w:r>
              <w:t>描述</w:t>
            </w:r>
          </w:p>
        </w:tc>
      </w:tr>
      <w:tr w14:paraId="05531F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923" w:type="dxa"/>
            <w:shd w:val="clear" w:color="auto" w:fill="auto"/>
          </w:tcPr>
          <w:p w14:paraId="6F46508A">
            <w:pPr>
              <w:pStyle w:val="150"/>
            </w:pPr>
            <w:r>
              <w:rPr>
                <w:rFonts w:hint="eastAsia"/>
              </w:rPr>
              <w:t>状态</w:t>
            </w:r>
          </w:p>
        </w:tc>
        <w:tc>
          <w:tcPr>
            <w:tcW w:w="7109" w:type="dxa"/>
            <w:shd w:val="clear" w:color="auto" w:fill="auto"/>
          </w:tcPr>
          <w:p w14:paraId="778CA18F">
            <w:pPr>
              <w:pStyle w:val="150"/>
            </w:pPr>
            <w:r>
              <w:rPr>
                <w:rFonts w:hint="eastAsia"/>
              </w:rPr>
              <w:t>任务状态</w:t>
            </w:r>
          </w:p>
          <w:p w14:paraId="691EECA6">
            <w:pPr>
              <w:pStyle w:val="150"/>
            </w:pPr>
            <w:r>
              <w:rPr>
                <w:rFonts w:hint="eastAsia"/>
              </w:rPr>
              <w:t>启用</w:t>
            </w:r>
          </w:p>
          <w:p w14:paraId="62698654">
            <w:pPr>
              <w:pStyle w:val="150"/>
            </w:pPr>
            <w:r>
              <w:rPr>
                <w:rFonts w:hint="eastAsia"/>
              </w:rPr>
              <w:t>禁用</w:t>
            </w:r>
          </w:p>
        </w:tc>
      </w:tr>
      <w:tr w14:paraId="2ED8C3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923" w:type="dxa"/>
            <w:shd w:val="clear" w:color="auto" w:fill="auto"/>
          </w:tcPr>
          <w:p w14:paraId="60DFF94E">
            <w:pPr>
              <w:pStyle w:val="150"/>
            </w:pPr>
            <w:r>
              <w:rPr>
                <w:rFonts w:hint="eastAsia"/>
              </w:rPr>
              <w:t>同步</w:t>
            </w:r>
            <w:r>
              <w:t>类型</w:t>
            </w:r>
          </w:p>
        </w:tc>
        <w:tc>
          <w:tcPr>
            <w:tcW w:w="7109" w:type="dxa"/>
            <w:shd w:val="clear" w:color="auto" w:fill="auto"/>
          </w:tcPr>
          <w:p w14:paraId="0B6C1E20">
            <w:pPr>
              <w:pStyle w:val="150"/>
            </w:pPr>
            <w:r>
              <w:rPr>
                <w:rFonts w:hint="eastAsia"/>
              </w:rPr>
              <w:t>LDAP同步</w:t>
            </w:r>
          </w:p>
          <w:p w14:paraId="4DCC5D9B">
            <w:pPr>
              <w:pStyle w:val="150"/>
            </w:pPr>
            <w:r>
              <w:t>SNMP</w:t>
            </w:r>
            <w:r>
              <w:rPr>
                <w:rFonts w:hint="eastAsia"/>
              </w:rPr>
              <w:t>同步</w:t>
            </w:r>
          </w:p>
          <w:p w14:paraId="342FF50D">
            <w:pPr>
              <w:pStyle w:val="150"/>
            </w:pPr>
            <w:r>
              <w:t>ARP</w:t>
            </w:r>
            <w:r>
              <w:rPr>
                <w:rFonts w:hint="eastAsia"/>
              </w:rPr>
              <w:t>扫描</w:t>
            </w:r>
          </w:p>
        </w:tc>
      </w:tr>
      <w:tr w14:paraId="078E83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923" w:type="dxa"/>
            <w:shd w:val="clear" w:color="auto" w:fill="auto"/>
          </w:tcPr>
          <w:p w14:paraId="4CC630D5">
            <w:pPr>
              <w:pStyle w:val="150"/>
            </w:pPr>
            <w:r>
              <w:rPr>
                <w:rFonts w:hint="eastAsia"/>
              </w:rPr>
              <w:t>同步</w:t>
            </w:r>
            <w:r>
              <w:t>周期</w:t>
            </w:r>
          </w:p>
        </w:tc>
        <w:tc>
          <w:tcPr>
            <w:tcW w:w="7109" w:type="dxa"/>
            <w:shd w:val="clear" w:color="auto" w:fill="auto"/>
          </w:tcPr>
          <w:p w14:paraId="6A4C2E06">
            <w:pPr>
              <w:pStyle w:val="150"/>
            </w:pPr>
            <w:r>
              <w:rPr>
                <w:rFonts w:hint="eastAsia"/>
              </w:rPr>
              <w:t>任务</w:t>
            </w:r>
            <w:r>
              <w:t>执行的周期</w:t>
            </w:r>
          </w:p>
        </w:tc>
      </w:tr>
      <w:tr w14:paraId="18A485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923" w:type="dxa"/>
            <w:shd w:val="clear" w:color="auto" w:fill="auto"/>
          </w:tcPr>
          <w:p w14:paraId="0154F858">
            <w:pPr>
              <w:pStyle w:val="150"/>
            </w:pPr>
            <w:r>
              <w:rPr>
                <w:rFonts w:hint="eastAsia"/>
              </w:rPr>
              <w:t>自动</w:t>
            </w:r>
            <w:r>
              <w:t>录入</w:t>
            </w:r>
          </w:p>
        </w:tc>
        <w:tc>
          <w:tcPr>
            <w:tcW w:w="7109" w:type="dxa"/>
            <w:shd w:val="clear" w:color="auto" w:fill="auto"/>
          </w:tcPr>
          <w:p w14:paraId="33C7F23B">
            <w:pPr>
              <w:pStyle w:val="150"/>
            </w:pPr>
            <w:r>
              <w:rPr>
                <w:rFonts w:hint="eastAsia"/>
              </w:rPr>
              <w:t>是</w:t>
            </w:r>
            <w:r>
              <w:t>或者否</w:t>
            </w:r>
          </w:p>
        </w:tc>
      </w:tr>
      <w:tr w14:paraId="23F478B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923" w:type="dxa"/>
            <w:shd w:val="clear" w:color="auto" w:fill="auto"/>
          </w:tcPr>
          <w:p w14:paraId="7AB54E54">
            <w:pPr>
              <w:pStyle w:val="150"/>
            </w:pPr>
            <w:r>
              <w:rPr>
                <w:rFonts w:hint="eastAsia"/>
              </w:rPr>
              <w:t>同步状态</w:t>
            </w:r>
          </w:p>
        </w:tc>
        <w:tc>
          <w:tcPr>
            <w:tcW w:w="7109" w:type="dxa"/>
            <w:shd w:val="clear" w:color="auto" w:fill="auto"/>
          </w:tcPr>
          <w:p w14:paraId="188AE80A">
            <w:pPr>
              <w:pStyle w:val="150"/>
            </w:pPr>
            <w:r>
              <w:rPr>
                <w:rFonts w:hint="eastAsia"/>
              </w:rPr>
              <w:t>任务</w:t>
            </w:r>
            <w:r>
              <w:t>执行</w:t>
            </w:r>
            <w:r>
              <w:rPr>
                <w:rFonts w:hint="eastAsia"/>
              </w:rPr>
              <w:t>状态</w:t>
            </w:r>
            <w:r>
              <w:t>结果，</w:t>
            </w:r>
            <w:r>
              <w:rPr>
                <w:rFonts w:hint="eastAsia"/>
              </w:rPr>
              <w:t>同步</w:t>
            </w:r>
            <w:r>
              <w:t>成功或者同步失败</w:t>
            </w:r>
            <w:r>
              <w:rPr>
                <w:rFonts w:hint="eastAsia"/>
              </w:rPr>
              <w:t>。</w:t>
            </w:r>
          </w:p>
        </w:tc>
      </w:tr>
      <w:tr w14:paraId="38FA19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923" w:type="dxa"/>
            <w:shd w:val="clear" w:color="auto" w:fill="auto"/>
          </w:tcPr>
          <w:p w14:paraId="74C7B6FB">
            <w:pPr>
              <w:pStyle w:val="150"/>
            </w:pPr>
            <w:r>
              <w:rPr>
                <w:rFonts w:hint="eastAsia"/>
              </w:rPr>
              <w:t>操作</w:t>
            </w:r>
          </w:p>
        </w:tc>
        <w:tc>
          <w:tcPr>
            <w:tcW w:w="7109" w:type="dxa"/>
            <w:shd w:val="clear" w:color="auto" w:fill="auto"/>
          </w:tcPr>
          <w:p w14:paraId="2CC3A55C">
            <w:pPr>
              <w:pStyle w:val="150"/>
            </w:pPr>
            <w:r>
              <w:drawing>
                <wp:inline distT="0" distB="0" distL="0" distR="0">
                  <wp:extent cx="133350" cy="125730"/>
                  <wp:effectExtent l="0" t="0" r="0" b="7620"/>
                  <wp:docPr id="539"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539"/>
                          <pic:cNvPicPr>
                            <a:picLocks noChangeAspect="1"/>
                          </pic:cNvPicPr>
                        </pic:nvPicPr>
                        <pic:blipFill>
                          <a:blip r:embed="rId963"/>
                          <a:stretch>
                            <a:fillRect/>
                          </a:stretch>
                        </pic:blipFill>
                        <pic:spPr>
                          <a:xfrm>
                            <a:off x="0" y="0"/>
                            <a:ext cx="137951" cy="130692"/>
                          </a:xfrm>
                          <a:prstGeom prst="rect">
                            <a:avLst/>
                          </a:prstGeom>
                        </pic:spPr>
                      </pic:pic>
                    </a:graphicData>
                  </a:graphic>
                </wp:inline>
              </w:drawing>
            </w:r>
            <w:r>
              <w:rPr>
                <w:rFonts w:hint="eastAsia"/>
              </w:rPr>
              <w:t>立即</w:t>
            </w:r>
            <w:r>
              <w:t>同步，单击即可执行同步任务</w:t>
            </w:r>
            <w:r>
              <w:rPr>
                <w:rFonts w:hint="eastAsia"/>
              </w:rPr>
              <w:t>；</w:t>
            </w:r>
          </w:p>
          <w:p w14:paraId="68AB7CBB">
            <w:pPr>
              <w:pStyle w:val="150"/>
            </w:pPr>
            <w:r>
              <w:drawing>
                <wp:inline distT="0" distB="0" distL="0" distR="0">
                  <wp:extent cx="133350" cy="133350"/>
                  <wp:effectExtent l="0" t="0" r="0" b="0"/>
                  <wp:docPr id="540"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540"/>
                          <pic:cNvPicPr>
                            <a:picLocks noChangeAspect="1"/>
                          </pic:cNvPicPr>
                        </pic:nvPicPr>
                        <pic:blipFill>
                          <a:blip r:embed="rId964"/>
                          <a:stretch>
                            <a:fillRect/>
                          </a:stretch>
                        </pic:blipFill>
                        <pic:spPr>
                          <a:xfrm>
                            <a:off x="0" y="0"/>
                            <a:ext cx="133350" cy="133350"/>
                          </a:xfrm>
                          <a:prstGeom prst="rect">
                            <a:avLst/>
                          </a:prstGeom>
                        </pic:spPr>
                      </pic:pic>
                    </a:graphicData>
                  </a:graphic>
                </wp:inline>
              </w:drawing>
            </w:r>
            <w:r>
              <w:rPr>
                <w:rFonts w:hint="eastAsia"/>
              </w:rPr>
              <w:t>同步</w:t>
            </w:r>
            <w:r>
              <w:t>结果，单击显示同步结果</w:t>
            </w:r>
            <w:r>
              <w:rPr>
                <w:rFonts w:hint="eastAsia"/>
              </w:rPr>
              <w:t>；</w:t>
            </w:r>
          </w:p>
          <w:p w14:paraId="15DD089F">
            <w:pPr>
              <w:pStyle w:val="150"/>
            </w:pPr>
            <w:r>
              <w:drawing>
                <wp:inline distT="0" distB="0" distL="0" distR="0">
                  <wp:extent cx="123825" cy="130175"/>
                  <wp:effectExtent l="0" t="0" r="0" b="3175"/>
                  <wp:docPr id="546" name="图片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546"/>
                          <pic:cNvPicPr>
                            <a:picLocks noChangeAspect="1"/>
                          </pic:cNvPicPr>
                        </pic:nvPicPr>
                        <pic:blipFill>
                          <a:blip r:embed="rId965"/>
                          <a:stretch>
                            <a:fillRect/>
                          </a:stretch>
                        </pic:blipFill>
                        <pic:spPr>
                          <a:xfrm>
                            <a:off x="0" y="0"/>
                            <a:ext cx="124013" cy="130540"/>
                          </a:xfrm>
                          <a:prstGeom prst="rect">
                            <a:avLst/>
                          </a:prstGeom>
                        </pic:spPr>
                      </pic:pic>
                    </a:graphicData>
                  </a:graphic>
                </wp:inline>
              </w:drawing>
            </w:r>
            <w:r>
              <w:rPr>
                <w:rFonts w:hint="eastAsia"/>
              </w:rPr>
              <w:t>编辑</w:t>
            </w:r>
            <w:r>
              <w:t>，单击进入任务编辑</w:t>
            </w:r>
            <w:r>
              <w:rPr>
                <w:rFonts w:hint="eastAsia"/>
              </w:rPr>
              <w:t>页面；</w:t>
            </w:r>
          </w:p>
          <w:p w14:paraId="5BA08ACF">
            <w:pPr>
              <w:pStyle w:val="150"/>
            </w:pPr>
            <w:r>
              <w:drawing>
                <wp:inline distT="0" distB="0" distL="0" distR="0">
                  <wp:extent cx="156845" cy="142875"/>
                  <wp:effectExtent l="0" t="0" r="0" b="0"/>
                  <wp:docPr id="550" name="图片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550"/>
                          <pic:cNvPicPr>
                            <a:picLocks noChangeAspect="1"/>
                          </pic:cNvPicPr>
                        </pic:nvPicPr>
                        <pic:blipFill>
                          <a:blip r:embed="rId966"/>
                          <a:stretch>
                            <a:fillRect/>
                          </a:stretch>
                        </pic:blipFill>
                        <pic:spPr>
                          <a:xfrm>
                            <a:off x="0" y="0"/>
                            <a:ext cx="157482" cy="143165"/>
                          </a:xfrm>
                          <a:prstGeom prst="rect">
                            <a:avLst/>
                          </a:prstGeom>
                        </pic:spPr>
                      </pic:pic>
                    </a:graphicData>
                  </a:graphic>
                </wp:inline>
              </w:drawing>
            </w:r>
            <w:r>
              <w:rPr>
                <w:rFonts w:hint="eastAsia"/>
              </w:rPr>
              <w:t>删除</w:t>
            </w:r>
            <w:r>
              <w:t>，删除</w:t>
            </w:r>
            <w:r>
              <w:rPr>
                <w:rFonts w:hint="eastAsia"/>
              </w:rPr>
              <w:t>同步</w:t>
            </w:r>
            <w:r>
              <w:t>任务</w:t>
            </w:r>
            <w:r>
              <w:rPr>
                <w:rFonts w:hint="eastAsia"/>
              </w:rPr>
              <w:t>。</w:t>
            </w:r>
          </w:p>
        </w:tc>
      </w:tr>
    </w:tbl>
    <w:p w14:paraId="6DA72488"/>
    <w:p w14:paraId="40315A69">
      <w:pPr>
        <w:pStyle w:val="6"/>
      </w:pPr>
      <w:bookmarkStart w:id="8108" w:name="_Toc15485171"/>
      <w:bookmarkStart w:id="8109" w:name="_Toc23152935"/>
      <w:bookmarkStart w:id="8110" w:name="_Toc6234832"/>
      <w:bookmarkStart w:id="8111" w:name="_Toc99561655"/>
      <w:bookmarkStart w:id="8112" w:name="_Toc40276356"/>
      <w:r>
        <w:rPr>
          <w:rFonts w:hint="eastAsia"/>
        </w:rPr>
        <w:t>配置LDAP同步</w:t>
      </w:r>
      <w:bookmarkEnd w:id="8108"/>
      <w:bookmarkEnd w:id="8109"/>
      <w:bookmarkEnd w:id="8110"/>
      <w:bookmarkEnd w:id="8111"/>
      <w:bookmarkEnd w:id="8112"/>
    </w:p>
    <w:p w14:paraId="4066424A">
      <w:r>
        <w:rPr>
          <w:rFonts w:hint="eastAsia"/>
        </w:rPr>
        <w:t>在导航栏中选择“用户管理 &gt; 用户管理&gt;用户同步”，单击&lt;新建&gt;按钮，选择&lt;LDAP同步&gt;进入LDAP同步配置界面，如</w:t>
      </w:r>
      <w:r>
        <w:fldChar w:fldCharType="begin"/>
      </w:r>
      <w:r>
        <w:instrText xml:space="preserve"> </w:instrText>
      </w:r>
      <w:r>
        <w:rPr>
          <w:rFonts w:hint="eastAsia"/>
        </w:rPr>
        <w:instrText xml:space="preserve">REF _Ref4578476 \r \h</w:instrText>
      </w:r>
      <w:r>
        <w:instrText xml:space="preserve"> </w:instrText>
      </w:r>
      <w:r>
        <w:fldChar w:fldCharType="separate"/>
      </w:r>
      <w:r>
        <w:rPr>
          <w:rFonts w:hint="eastAsia"/>
        </w:rPr>
        <w:t>图30-20</w:t>
      </w:r>
      <w:r>
        <w:fldChar w:fldCharType="end"/>
      </w:r>
      <w:r>
        <w:rPr>
          <w:rFonts w:hint="eastAsia"/>
        </w:rPr>
        <w:t>所示；LDAP同步详细参数如</w:t>
      </w:r>
      <w:r>
        <w:fldChar w:fldCharType="begin"/>
      </w:r>
      <w:r>
        <w:instrText xml:space="preserve"> </w:instrText>
      </w:r>
      <w:r>
        <w:rPr>
          <w:rFonts w:hint="eastAsia"/>
        </w:rPr>
        <w:instrText xml:space="preserve">REF _Ref4578477 \r \h</w:instrText>
      </w:r>
      <w:r>
        <w:instrText xml:space="preserve"> </w:instrText>
      </w:r>
      <w:r>
        <w:fldChar w:fldCharType="separate"/>
      </w:r>
      <w:r>
        <w:rPr>
          <w:rFonts w:hint="eastAsia"/>
        </w:rPr>
        <w:t>表30-1</w:t>
      </w:r>
      <w:r>
        <w:fldChar w:fldCharType="end"/>
      </w:r>
      <w:r>
        <w:rPr>
          <w:rFonts w:hint="eastAsia"/>
        </w:rPr>
        <w:t>所示。</w:t>
      </w:r>
    </w:p>
    <w:p w14:paraId="2E09EA0D">
      <w:pPr>
        <w:pStyle w:val="188"/>
      </w:pPr>
      <w:bookmarkStart w:id="8113" w:name="_Ref4578476"/>
      <w:bookmarkStart w:id="8114" w:name="_Toc141874773"/>
      <w:r>
        <w:rPr>
          <w:rFonts w:hint="eastAsia"/>
        </w:rPr>
        <w:t>LDAP同步配置界面</w:t>
      </w:r>
      <w:bookmarkEnd w:id="8113"/>
      <w:bookmarkEnd w:id="8114"/>
    </w:p>
    <w:p w14:paraId="4D64AE0B">
      <w:pPr>
        <w:spacing w:before="79" w:after="79"/>
      </w:pPr>
      <w:r>
        <w:drawing>
          <wp:inline distT="0" distB="0" distL="0" distR="0">
            <wp:extent cx="4429125" cy="4334510"/>
            <wp:effectExtent l="0" t="0" r="0" b="8890"/>
            <wp:docPr id="4970" name="图片 4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0" name="图片 4970"/>
                    <pic:cNvPicPr>
                      <a:picLocks noChangeAspect="1"/>
                    </pic:cNvPicPr>
                  </pic:nvPicPr>
                  <pic:blipFill>
                    <a:blip r:embed="rId967"/>
                    <a:stretch>
                      <a:fillRect/>
                    </a:stretch>
                  </pic:blipFill>
                  <pic:spPr>
                    <a:xfrm>
                      <a:off x="0" y="0"/>
                      <a:ext cx="4430628" cy="4335993"/>
                    </a:xfrm>
                    <a:prstGeom prst="rect">
                      <a:avLst/>
                    </a:prstGeom>
                  </pic:spPr>
                </pic:pic>
              </a:graphicData>
            </a:graphic>
          </wp:inline>
        </w:drawing>
      </w:r>
    </w:p>
    <w:p w14:paraId="2A75B41D"/>
    <w:p w14:paraId="008B8765">
      <w:pPr>
        <w:pStyle w:val="183"/>
      </w:pPr>
      <w:bookmarkStart w:id="8115" w:name="_Ref4578477"/>
      <w:bookmarkStart w:id="8116" w:name="_Toc141875557"/>
      <w:r>
        <w:rPr>
          <w:rFonts w:hint="eastAsia"/>
        </w:rPr>
        <w:t>LDAP同步界面参数说明</w:t>
      </w:r>
      <w:bookmarkEnd w:id="8115"/>
      <w:bookmarkEnd w:id="8116"/>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078"/>
        <w:gridCol w:w="6892"/>
      </w:tblGrid>
      <w:tr w14:paraId="43E38E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20" w:hRule="atLeast"/>
        </w:trPr>
        <w:tc>
          <w:tcPr>
            <w:tcW w:w="2078" w:type="dxa"/>
            <w:tcBorders>
              <w:tl2br w:val="nil"/>
              <w:tr2bl w:val="nil"/>
            </w:tcBorders>
            <w:shd w:val="clear" w:color="auto" w:fill="538135" w:themeFill="accent6" w:themeFillShade="BF"/>
            <w:vAlign w:val="center"/>
          </w:tcPr>
          <w:p w14:paraId="03D5CC6A">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参数</w:t>
            </w:r>
          </w:p>
        </w:tc>
        <w:tc>
          <w:tcPr>
            <w:tcW w:w="6892" w:type="dxa"/>
            <w:tcBorders>
              <w:tl2br w:val="nil"/>
              <w:tr2bl w:val="nil"/>
            </w:tcBorders>
            <w:shd w:val="clear" w:color="auto" w:fill="538135" w:themeFill="accent6" w:themeFillShade="BF"/>
            <w:vAlign w:val="center"/>
          </w:tcPr>
          <w:p w14:paraId="3C0FC41E">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FCFEB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78" w:type="dxa"/>
            <w:shd w:val="clear" w:color="auto" w:fill="auto"/>
          </w:tcPr>
          <w:p w14:paraId="0BDB7F75">
            <w:pPr>
              <w:pStyle w:val="150"/>
            </w:pPr>
            <w:r>
              <w:rPr>
                <w:rFonts w:hint="eastAsia"/>
              </w:rPr>
              <w:t>启用</w:t>
            </w:r>
          </w:p>
        </w:tc>
        <w:tc>
          <w:tcPr>
            <w:tcW w:w="6892" w:type="dxa"/>
            <w:shd w:val="clear" w:color="auto" w:fill="auto"/>
          </w:tcPr>
          <w:p w14:paraId="7EB56425">
            <w:pPr>
              <w:pStyle w:val="150"/>
            </w:pPr>
            <w:r>
              <w:rPr>
                <w:rFonts w:hint="eastAsia"/>
              </w:rPr>
              <w:t>勾选启用后策略生效，默认是勾选状态</w:t>
            </w:r>
          </w:p>
        </w:tc>
      </w:tr>
      <w:tr w14:paraId="281E4CF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78" w:type="dxa"/>
            <w:shd w:val="clear" w:color="auto" w:fill="auto"/>
          </w:tcPr>
          <w:p w14:paraId="369AF97B">
            <w:pPr>
              <w:pStyle w:val="150"/>
            </w:pPr>
            <w:r>
              <w:rPr>
                <w:rFonts w:hint="eastAsia"/>
              </w:rPr>
              <w:t>名称</w:t>
            </w:r>
          </w:p>
        </w:tc>
        <w:tc>
          <w:tcPr>
            <w:tcW w:w="6892" w:type="dxa"/>
            <w:shd w:val="clear" w:color="auto" w:fill="auto"/>
          </w:tcPr>
          <w:p w14:paraId="7261AC5C">
            <w:pPr>
              <w:pStyle w:val="150"/>
            </w:pPr>
            <w:r>
              <w:rPr>
                <w:rFonts w:hint="eastAsia"/>
              </w:rPr>
              <w:t>LDAP同步条目名称。</w:t>
            </w:r>
          </w:p>
        </w:tc>
      </w:tr>
      <w:tr w14:paraId="5986B57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78" w:type="dxa"/>
            <w:shd w:val="clear" w:color="auto" w:fill="auto"/>
          </w:tcPr>
          <w:p w14:paraId="2D7B9033">
            <w:pPr>
              <w:pStyle w:val="150"/>
            </w:pPr>
            <w:r>
              <w:rPr>
                <w:rFonts w:hint="eastAsia"/>
              </w:rPr>
              <w:t>描述</w:t>
            </w:r>
          </w:p>
        </w:tc>
        <w:tc>
          <w:tcPr>
            <w:tcW w:w="6892" w:type="dxa"/>
            <w:shd w:val="clear" w:color="auto" w:fill="auto"/>
          </w:tcPr>
          <w:p w14:paraId="7857C0A7">
            <w:pPr>
              <w:pStyle w:val="150"/>
            </w:pPr>
            <w:r>
              <w:rPr>
                <w:rFonts w:hint="eastAsia"/>
              </w:rPr>
              <w:t>LDAP同步描述信息。</w:t>
            </w:r>
          </w:p>
        </w:tc>
      </w:tr>
      <w:tr w14:paraId="301810C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78" w:type="dxa"/>
            <w:shd w:val="clear" w:color="auto" w:fill="auto"/>
          </w:tcPr>
          <w:p w14:paraId="1FED48C4">
            <w:pPr>
              <w:pStyle w:val="150"/>
            </w:pPr>
            <w:r>
              <w:rPr>
                <w:rFonts w:hint="eastAsia"/>
              </w:rPr>
              <w:t>LDAP服务器</w:t>
            </w:r>
          </w:p>
        </w:tc>
        <w:tc>
          <w:tcPr>
            <w:tcW w:w="6892" w:type="dxa"/>
            <w:shd w:val="clear" w:color="auto" w:fill="auto"/>
          </w:tcPr>
          <w:p w14:paraId="6D0D3E33">
            <w:pPr>
              <w:pStyle w:val="150"/>
            </w:pPr>
            <w:r>
              <w:rPr>
                <w:rFonts w:hint="eastAsia"/>
              </w:rPr>
              <w:t>选择引用的</w:t>
            </w:r>
            <w:r>
              <w:t>LDAP</w:t>
            </w:r>
            <w:r>
              <w:rPr>
                <w:rFonts w:hint="eastAsia"/>
              </w:rPr>
              <w:t>服务器。</w:t>
            </w:r>
          </w:p>
        </w:tc>
      </w:tr>
      <w:tr w14:paraId="55A421B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78" w:type="dxa"/>
            <w:shd w:val="clear" w:color="auto" w:fill="auto"/>
          </w:tcPr>
          <w:p w14:paraId="2649866E">
            <w:pPr>
              <w:pStyle w:val="150"/>
            </w:pPr>
            <w:r>
              <w:rPr>
                <w:rFonts w:hint="eastAsia"/>
              </w:rPr>
              <w:t>同步类型</w:t>
            </w:r>
          </w:p>
        </w:tc>
        <w:tc>
          <w:tcPr>
            <w:tcW w:w="6892" w:type="dxa"/>
            <w:shd w:val="clear" w:color="auto" w:fill="auto"/>
          </w:tcPr>
          <w:p w14:paraId="6DB6EA66">
            <w:pPr>
              <w:pStyle w:val="150"/>
            </w:pPr>
            <w:r>
              <w:rPr>
                <w:rFonts w:hint="eastAsia"/>
              </w:rPr>
              <w:t>选择按O</w:t>
            </w:r>
            <w:r>
              <w:t>U</w:t>
            </w:r>
            <w:r>
              <w:rPr>
                <w:rFonts w:hint="eastAsia"/>
              </w:rPr>
              <w:t>（</w:t>
            </w:r>
            <w:r>
              <w:t>Organization Unit</w:t>
            </w:r>
            <w:r>
              <w:rPr>
                <w:rFonts w:hint="eastAsia"/>
              </w:rPr>
              <w:t>）或安全组同步用户。</w:t>
            </w:r>
          </w:p>
          <w:p w14:paraId="1D4B2CFD">
            <w:pPr>
              <w:pStyle w:val="207"/>
            </w:pPr>
            <w:r>
              <w:t>按OU同步</w:t>
            </w:r>
            <w:r>
              <w:rPr>
                <w:rFonts w:hint="eastAsia"/>
              </w:rPr>
              <w:t>：</w:t>
            </w:r>
            <w:r>
              <w:t>OU</w:t>
            </w:r>
            <w:r>
              <w:rPr>
                <w:rFonts w:hint="eastAsia"/>
              </w:rPr>
              <w:t>同步</w:t>
            </w:r>
            <w:r>
              <w:t>AD</w:t>
            </w:r>
            <w:r>
              <w:rPr>
                <w:rFonts w:hint="eastAsia"/>
              </w:rPr>
              <w:t>域下OU用户；</w:t>
            </w:r>
          </w:p>
          <w:p w14:paraId="6809A8F8">
            <w:pPr>
              <w:pStyle w:val="207"/>
              <w:rPr>
                <w:lang w:eastAsia="zh-CN"/>
              </w:rPr>
            </w:pPr>
            <w:r>
              <w:rPr>
                <w:lang w:eastAsia="zh-CN"/>
              </w:rPr>
              <w:t>按安全组同步</w:t>
            </w:r>
            <w:r>
              <w:rPr>
                <w:rFonts w:hint="eastAsia"/>
                <w:lang w:eastAsia="zh-CN"/>
              </w:rPr>
              <w:t>：安全组同步AD域下组用户。</w:t>
            </w:r>
          </w:p>
        </w:tc>
      </w:tr>
      <w:tr w14:paraId="75705A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78" w:type="dxa"/>
            <w:shd w:val="clear" w:color="auto" w:fill="auto"/>
          </w:tcPr>
          <w:p w14:paraId="14AF1BDD">
            <w:pPr>
              <w:pStyle w:val="150"/>
            </w:pPr>
            <w:r>
              <w:rPr>
                <w:rFonts w:hint="eastAsia"/>
              </w:rPr>
              <w:t>自动同步</w:t>
            </w:r>
          </w:p>
        </w:tc>
        <w:tc>
          <w:tcPr>
            <w:tcW w:w="6892" w:type="dxa"/>
            <w:shd w:val="clear" w:color="auto" w:fill="auto"/>
          </w:tcPr>
          <w:p w14:paraId="1CCCBCB6">
            <w:pPr>
              <w:pStyle w:val="150"/>
            </w:pPr>
            <w:r>
              <w:rPr>
                <w:rFonts w:hint="eastAsia"/>
              </w:rPr>
              <w:t>启用或禁用自动同步功能。</w:t>
            </w:r>
          </w:p>
        </w:tc>
      </w:tr>
      <w:tr w14:paraId="62518F5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78" w:type="dxa"/>
            <w:shd w:val="clear" w:color="auto" w:fill="auto"/>
          </w:tcPr>
          <w:p w14:paraId="72440632">
            <w:pPr>
              <w:pStyle w:val="150"/>
            </w:pPr>
            <w:r>
              <w:rPr>
                <w:rFonts w:hint="eastAsia"/>
              </w:rPr>
              <w:t>起始时间</w:t>
            </w:r>
          </w:p>
        </w:tc>
        <w:tc>
          <w:tcPr>
            <w:tcW w:w="6892" w:type="dxa"/>
            <w:shd w:val="clear" w:color="auto" w:fill="auto"/>
          </w:tcPr>
          <w:p w14:paraId="36AE9331">
            <w:pPr>
              <w:pStyle w:val="150"/>
            </w:pPr>
            <w:r>
              <w:rPr>
                <w:rFonts w:hint="eastAsia" w:asciiTheme="minorEastAsia" w:hAnsiTheme="minorEastAsia" w:eastAsiaTheme="minorEastAsia"/>
              </w:rPr>
              <w:t>LDAP</w:t>
            </w:r>
            <w:r>
              <w:rPr>
                <w:rFonts w:hint="eastAsia"/>
              </w:rPr>
              <w:t>同步条目创建后开始同步的时间。</w:t>
            </w:r>
          </w:p>
        </w:tc>
      </w:tr>
      <w:tr w14:paraId="673A7DB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78" w:type="dxa"/>
            <w:shd w:val="clear" w:color="auto" w:fill="auto"/>
          </w:tcPr>
          <w:p w14:paraId="6DF52D49">
            <w:pPr>
              <w:pStyle w:val="150"/>
            </w:pPr>
            <w:r>
              <w:rPr>
                <w:rFonts w:hint="eastAsia"/>
              </w:rPr>
              <w:t>间隔时间</w:t>
            </w:r>
          </w:p>
        </w:tc>
        <w:tc>
          <w:tcPr>
            <w:tcW w:w="6892" w:type="dxa"/>
            <w:shd w:val="clear" w:color="auto" w:fill="auto"/>
          </w:tcPr>
          <w:p w14:paraId="71D72F32">
            <w:pPr>
              <w:pStyle w:val="150"/>
            </w:pPr>
            <w:r>
              <w:rPr>
                <w:rFonts w:hint="eastAsia" w:asciiTheme="minorEastAsia" w:hAnsiTheme="minorEastAsia" w:eastAsiaTheme="minorEastAsia"/>
              </w:rPr>
              <w:t>LDAP</w:t>
            </w:r>
            <w:r>
              <w:rPr>
                <w:rFonts w:hint="eastAsia"/>
              </w:rPr>
              <w:t>同步条目创建后按照时间间隔进行同步。</w:t>
            </w:r>
          </w:p>
        </w:tc>
      </w:tr>
      <w:tr w14:paraId="6289D73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78" w:type="dxa"/>
            <w:shd w:val="clear" w:color="auto" w:fill="auto"/>
          </w:tcPr>
          <w:p w14:paraId="49F676C7">
            <w:pPr>
              <w:pStyle w:val="150"/>
            </w:pPr>
            <w:r>
              <w:rPr>
                <w:rFonts w:hint="eastAsia"/>
              </w:rPr>
              <w:t>用户组</w:t>
            </w:r>
          </w:p>
        </w:tc>
        <w:tc>
          <w:tcPr>
            <w:tcW w:w="6892" w:type="dxa"/>
            <w:shd w:val="clear" w:color="auto" w:fill="auto"/>
          </w:tcPr>
          <w:p w14:paraId="0F379633">
            <w:pPr>
              <w:pStyle w:val="150"/>
              <w:rPr>
                <w:rFonts w:asciiTheme="minorEastAsia" w:hAnsiTheme="minorEastAsia" w:eastAsiaTheme="minorEastAsia"/>
              </w:rPr>
            </w:pPr>
            <w:r>
              <w:rPr>
                <w:rFonts w:hint="eastAsia"/>
              </w:rPr>
              <w:t>LDAP用户/用户组可录入到指定用户组下</w:t>
            </w:r>
          </w:p>
        </w:tc>
      </w:tr>
    </w:tbl>
    <w:p w14:paraId="5D11B3F7"/>
    <w:p w14:paraId="0B31EEEA">
      <w:pPr>
        <w:pStyle w:val="6"/>
      </w:pPr>
      <w:bookmarkStart w:id="8117" w:name="_Toc23152936"/>
      <w:bookmarkStart w:id="8118" w:name="_Toc99561656"/>
      <w:bookmarkStart w:id="8119" w:name="_Toc40276357"/>
      <w:bookmarkStart w:id="8120" w:name="_Toc6234833"/>
      <w:bookmarkStart w:id="8121" w:name="_Toc15485172"/>
      <w:r>
        <w:rPr>
          <w:rFonts w:hint="eastAsia"/>
        </w:rPr>
        <w:t>配置SNMP同步</w:t>
      </w:r>
      <w:bookmarkEnd w:id="8117"/>
      <w:bookmarkEnd w:id="8118"/>
      <w:bookmarkEnd w:id="8119"/>
      <w:bookmarkEnd w:id="8120"/>
      <w:bookmarkEnd w:id="8121"/>
    </w:p>
    <w:p w14:paraId="15A734DE">
      <w:r>
        <w:rPr>
          <w:rFonts w:hint="eastAsia"/>
        </w:rPr>
        <w:t>在导航栏中选择“用户管理 &gt; 用户管理&gt;用户同步”，单击&lt;新建&gt;按钮，选择&lt;SNMP同步&gt;</w:t>
      </w:r>
      <w:r>
        <w:t xml:space="preserve"> 进入</w:t>
      </w:r>
      <w:r>
        <w:rPr>
          <w:rFonts w:hint="eastAsia"/>
        </w:rPr>
        <w:t>SNMP同步配置界面，如</w:t>
      </w:r>
      <w:r>
        <w:fldChar w:fldCharType="begin"/>
      </w:r>
      <w:r>
        <w:instrText xml:space="preserve"> </w:instrText>
      </w:r>
      <w:r>
        <w:rPr>
          <w:rFonts w:hint="eastAsia"/>
        </w:rPr>
        <w:instrText xml:space="preserve">REF _Ref4578478 \r \h</w:instrText>
      </w:r>
      <w:r>
        <w:instrText xml:space="preserve"> </w:instrText>
      </w:r>
      <w:r>
        <w:fldChar w:fldCharType="separate"/>
      </w:r>
      <w:r>
        <w:rPr>
          <w:rFonts w:hint="eastAsia"/>
        </w:rPr>
        <w:t>图30-21</w:t>
      </w:r>
      <w:r>
        <w:fldChar w:fldCharType="end"/>
      </w:r>
      <w:r>
        <w:rPr>
          <w:rFonts w:hint="eastAsia"/>
        </w:rPr>
        <w:t>所示；SNMP同步详细参数如</w:t>
      </w:r>
      <w:r>
        <w:fldChar w:fldCharType="begin"/>
      </w:r>
      <w:r>
        <w:instrText xml:space="preserve"> </w:instrText>
      </w:r>
      <w:r>
        <w:rPr>
          <w:rFonts w:hint="eastAsia"/>
        </w:rPr>
        <w:instrText xml:space="preserve">REF _Ref4578479 \r \h</w:instrText>
      </w:r>
      <w:r>
        <w:instrText xml:space="preserve"> </w:instrText>
      </w:r>
      <w:r>
        <w:fldChar w:fldCharType="separate"/>
      </w:r>
      <w:r>
        <w:rPr>
          <w:rFonts w:hint="eastAsia"/>
        </w:rPr>
        <w:t>表30-1</w:t>
      </w:r>
      <w:r>
        <w:fldChar w:fldCharType="end"/>
      </w:r>
      <w:r>
        <w:rPr>
          <w:rFonts w:hint="eastAsia"/>
        </w:rPr>
        <w:t>所示。</w:t>
      </w:r>
    </w:p>
    <w:p w14:paraId="4AA3E26B">
      <w:pPr>
        <w:pStyle w:val="188"/>
      </w:pPr>
      <w:bookmarkStart w:id="8122" w:name="_Ref4578478"/>
      <w:bookmarkStart w:id="8123" w:name="_Toc141874774"/>
      <w:r>
        <w:rPr>
          <w:rFonts w:hint="eastAsia"/>
        </w:rPr>
        <w:t>SNMP同步配置界面</w:t>
      </w:r>
      <w:bookmarkEnd w:id="8122"/>
      <w:bookmarkEnd w:id="8123"/>
    </w:p>
    <w:p w14:paraId="0C31FE70">
      <w:r>
        <w:drawing>
          <wp:inline distT="0" distB="0" distL="0" distR="0">
            <wp:extent cx="5400040" cy="2999740"/>
            <wp:effectExtent l="0" t="0" r="0" b="0"/>
            <wp:docPr id="4972" name="图片 4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2" name="图片 4972"/>
                    <pic:cNvPicPr>
                      <a:picLocks noChangeAspect="1"/>
                    </pic:cNvPicPr>
                  </pic:nvPicPr>
                  <pic:blipFill>
                    <a:blip r:embed="rId968"/>
                    <a:srcRect t="6789"/>
                    <a:stretch>
                      <a:fillRect/>
                    </a:stretch>
                  </pic:blipFill>
                  <pic:spPr>
                    <a:xfrm>
                      <a:off x="0" y="0"/>
                      <a:ext cx="5400040" cy="2999773"/>
                    </a:xfrm>
                    <a:prstGeom prst="rect">
                      <a:avLst/>
                    </a:prstGeom>
                    <a:ln>
                      <a:noFill/>
                    </a:ln>
                  </pic:spPr>
                </pic:pic>
              </a:graphicData>
            </a:graphic>
          </wp:inline>
        </w:drawing>
      </w:r>
    </w:p>
    <w:p w14:paraId="74FAC0D0">
      <w:pPr>
        <w:pStyle w:val="183"/>
      </w:pPr>
      <w:bookmarkStart w:id="8124" w:name="_Toc141875558"/>
      <w:bookmarkStart w:id="8125" w:name="_Ref4578479"/>
      <w:r>
        <w:rPr>
          <w:rFonts w:hint="eastAsia"/>
        </w:rPr>
        <w:t>SNMP同步界面参数说明</w:t>
      </w:r>
      <w:bookmarkEnd w:id="8124"/>
      <w:bookmarkEnd w:id="8125"/>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809"/>
        <w:gridCol w:w="7161"/>
      </w:tblGrid>
      <w:tr w14:paraId="4C0432C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tcBorders>
              <w:tl2br w:val="nil"/>
              <w:tr2bl w:val="nil"/>
            </w:tcBorders>
            <w:shd w:val="clear" w:color="auto" w:fill="538135" w:themeFill="accent6" w:themeFillShade="BF"/>
            <w:vAlign w:val="center"/>
          </w:tcPr>
          <w:p w14:paraId="52C3D942">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参数</w:t>
            </w:r>
          </w:p>
        </w:tc>
        <w:tc>
          <w:tcPr>
            <w:tcW w:w="7161" w:type="dxa"/>
            <w:tcBorders>
              <w:tl2br w:val="nil"/>
              <w:tr2bl w:val="nil"/>
            </w:tcBorders>
            <w:shd w:val="clear" w:color="auto" w:fill="538135" w:themeFill="accent6" w:themeFillShade="BF"/>
            <w:vAlign w:val="center"/>
          </w:tcPr>
          <w:p w14:paraId="3E728FD2">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66E9B9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581C9458">
            <w:pPr>
              <w:pStyle w:val="150"/>
            </w:pPr>
            <w:r>
              <w:rPr>
                <w:rFonts w:hint="eastAsia"/>
              </w:rPr>
              <w:t>启用</w:t>
            </w:r>
          </w:p>
        </w:tc>
        <w:tc>
          <w:tcPr>
            <w:tcW w:w="7161" w:type="dxa"/>
            <w:shd w:val="clear" w:color="auto" w:fill="auto"/>
          </w:tcPr>
          <w:p w14:paraId="5B73D992">
            <w:pPr>
              <w:pStyle w:val="150"/>
            </w:pPr>
            <w:r>
              <w:t>SNMP</w:t>
            </w:r>
            <w:r>
              <w:rPr>
                <w:rFonts w:hint="eastAsia"/>
              </w:rPr>
              <w:t>同步功能启用、禁用。</w:t>
            </w:r>
          </w:p>
        </w:tc>
      </w:tr>
      <w:tr w14:paraId="7BB1B29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5C52E83C">
            <w:pPr>
              <w:pStyle w:val="150"/>
            </w:pPr>
            <w:r>
              <w:rPr>
                <w:rFonts w:hint="eastAsia"/>
              </w:rPr>
              <w:t>名称</w:t>
            </w:r>
          </w:p>
        </w:tc>
        <w:tc>
          <w:tcPr>
            <w:tcW w:w="7161" w:type="dxa"/>
            <w:shd w:val="clear" w:color="auto" w:fill="auto"/>
          </w:tcPr>
          <w:p w14:paraId="73A42879">
            <w:pPr>
              <w:pStyle w:val="150"/>
            </w:pPr>
            <w:r>
              <w:t>SNMP</w:t>
            </w:r>
            <w:r>
              <w:rPr>
                <w:rFonts w:hint="eastAsia"/>
              </w:rPr>
              <w:t>同步条目名称。</w:t>
            </w:r>
          </w:p>
        </w:tc>
      </w:tr>
      <w:tr w14:paraId="2E12DD4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6B1E89F3">
            <w:pPr>
              <w:pStyle w:val="150"/>
            </w:pPr>
            <w:r>
              <w:rPr>
                <w:rFonts w:hint="eastAsia"/>
              </w:rPr>
              <w:t>描述</w:t>
            </w:r>
          </w:p>
        </w:tc>
        <w:tc>
          <w:tcPr>
            <w:tcW w:w="7161" w:type="dxa"/>
            <w:shd w:val="clear" w:color="auto" w:fill="auto"/>
          </w:tcPr>
          <w:p w14:paraId="0D9F29CA">
            <w:pPr>
              <w:pStyle w:val="150"/>
            </w:pPr>
            <w:r>
              <w:t>SNMP</w:t>
            </w:r>
            <w:r>
              <w:rPr>
                <w:rFonts w:hint="eastAsia"/>
              </w:rPr>
              <w:t>同步描述信息。</w:t>
            </w:r>
          </w:p>
        </w:tc>
      </w:tr>
      <w:tr w14:paraId="0BD0EF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24BF13A1">
            <w:pPr>
              <w:pStyle w:val="150"/>
            </w:pPr>
            <w:r>
              <w:rPr>
                <w:rFonts w:hint="eastAsia"/>
              </w:rPr>
              <w:t>IP地址</w:t>
            </w:r>
          </w:p>
        </w:tc>
        <w:tc>
          <w:tcPr>
            <w:tcW w:w="7161" w:type="dxa"/>
            <w:shd w:val="clear" w:color="auto" w:fill="auto"/>
          </w:tcPr>
          <w:p w14:paraId="5160DB7B">
            <w:pPr>
              <w:pStyle w:val="150"/>
            </w:pPr>
            <w:r>
              <w:rPr>
                <w:rFonts w:hint="eastAsia"/>
              </w:rPr>
              <w:t>交换机</w:t>
            </w:r>
            <w:r>
              <w:t>ip</w:t>
            </w:r>
            <w:r>
              <w:rPr>
                <w:rFonts w:hint="eastAsia"/>
              </w:rPr>
              <w:t>地址，需要</w:t>
            </w:r>
            <w:r>
              <w:t>与</w:t>
            </w:r>
            <w:r>
              <w:rPr>
                <w:rFonts w:hint="eastAsia"/>
              </w:rPr>
              <w:t>设备互通。</w:t>
            </w:r>
          </w:p>
        </w:tc>
      </w:tr>
      <w:tr w14:paraId="3A9371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6978385A">
            <w:pPr>
              <w:pStyle w:val="150"/>
            </w:pPr>
            <w:r>
              <w:rPr>
                <w:rFonts w:hint="eastAsia"/>
              </w:rPr>
              <w:t>MAC地址</w:t>
            </w:r>
          </w:p>
        </w:tc>
        <w:tc>
          <w:tcPr>
            <w:tcW w:w="7161" w:type="dxa"/>
            <w:shd w:val="clear" w:color="auto" w:fill="auto"/>
          </w:tcPr>
          <w:p w14:paraId="4416D26D">
            <w:pPr>
              <w:pStyle w:val="150"/>
            </w:pPr>
            <w:r>
              <w:t>设备与交换机接口的IP/MAC</w:t>
            </w:r>
            <w:r>
              <w:rPr>
                <w:rFonts w:hint="eastAsia"/>
              </w:rPr>
              <w:t>地址。</w:t>
            </w:r>
          </w:p>
        </w:tc>
      </w:tr>
      <w:tr w14:paraId="2BA4E5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4575DD11">
            <w:pPr>
              <w:pStyle w:val="150"/>
            </w:pPr>
            <w:r>
              <w:rPr>
                <w:rFonts w:hint="eastAsia"/>
              </w:rPr>
              <w:t>团体名</w:t>
            </w:r>
          </w:p>
        </w:tc>
        <w:tc>
          <w:tcPr>
            <w:tcW w:w="7161" w:type="dxa"/>
            <w:shd w:val="clear" w:color="auto" w:fill="auto"/>
          </w:tcPr>
          <w:p w14:paraId="55AEBD66">
            <w:pPr>
              <w:pStyle w:val="150"/>
            </w:pPr>
            <w:r>
              <w:rPr>
                <w:rFonts w:hint="eastAsia"/>
              </w:rPr>
              <w:t>交换机启用snmp功能所配置的团体字。</w:t>
            </w:r>
          </w:p>
        </w:tc>
      </w:tr>
      <w:tr w14:paraId="177D53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6FFD5605">
            <w:pPr>
              <w:pStyle w:val="150"/>
            </w:pPr>
            <w:r>
              <w:rPr>
                <w:rFonts w:hint="eastAsia"/>
              </w:rPr>
              <w:t>版本号</w:t>
            </w:r>
          </w:p>
        </w:tc>
        <w:tc>
          <w:tcPr>
            <w:tcW w:w="7161" w:type="dxa"/>
            <w:shd w:val="clear" w:color="auto" w:fill="auto"/>
          </w:tcPr>
          <w:p w14:paraId="64D9ED9C">
            <w:pPr>
              <w:pStyle w:val="150"/>
            </w:pPr>
            <w:r>
              <w:rPr>
                <w:rFonts w:hint="eastAsia"/>
              </w:rPr>
              <w:t>交换机</w:t>
            </w:r>
            <w:r>
              <w:t>snmp</w:t>
            </w:r>
            <w:r>
              <w:rPr>
                <w:rFonts w:hint="eastAsia"/>
              </w:rPr>
              <w:t>版本号，支持V1、V2和V3。</w:t>
            </w:r>
          </w:p>
        </w:tc>
      </w:tr>
      <w:tr w14:paraId="3B0875F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3E0519BF">
            <w:pPr>
              <w:pStyle w:val="150"/>
            </w:pPr>
            <w:r>
              <w:rPr>
                <w:rFonts w:hint="eastAsia"/>
              </w:rPr>
              <w:t>任务周期</w:t>
            </w:r>
          </w:p>
        </w:tc>
        <w:tc>
          <w:tcPr>
            <w:tcW w:w="7161" w:type="dxa"/>
            <w:shd w:val="clear" w:color="auto" w:fill="auto"/>
          </w:tcPr>
          <w:p w14:paraId="64B97D4A">
            <w:pPr>
              <w:pStyle w:val="150"/>
            </w:pPr>
            <w:r>
              <w:rPr>
                <w:rFonts w:hint="eastAsia"/>
              </w:rPr>
              <w:t>启用后按照所配置的时间进行</w:t>
            </w:r>
            <w:r>
              <w:t>snmp</w:t>
            </w:r>
            <w:r>
              <w:rPr>
                <w:rFonts w:hint="eastAsia"/>
              </w:rPr>
              <w:t>用户同步。</w:t>
            </w:r>
          </w:p>
        </w:tc>
      </w:tr>
      <w:tr w14:paraId="7E4CA0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4EA28F1F">
            <w:pPr>
              <w:pStyle w:val="150"/>
            </w:pPr>
            <w:r>
              <w:rPr>
                <w:rFonts w:hint="eastAsia"/>
              </w:rPr>
              <w:t>自动录入</w:t>
            </w:r>
          </w:p>
        </w:tc>
        <w:tc>
          <w:tcPr>
            <w:tcW w:w="7161" w:type="dxa"/>
            <w:shd w:val="clear" w:color="auto" w:fill="auto"/>
          </w:tcPr>
          <w:p w14:paraId="4D5984E8">
            <w:pPr>
              <w:pStyle w:val="150"/>
            </w:pPr>
            <w:r>
              <w:rPr>
                <w:rFonts w:hint="eastAsia"/>
              </w:rPr>
              <w:t>启用后同步用户录入设备可选指定用户组录入用户，不启用只同步不录入。</w:t>
            </w:r>
          </w:p>
        </w:tc>
      </w:tr>
      <w:tr w14:paraId="131EB3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5CBC27D8">
            <w:pPr>
              <w:pStyle w:val="150"/>
            </w:pPr>
            <w:r>
              <w:rPr>
                <w:rFonts w:hint="eastAsia"/>
              </w:rPr>
              <w:t>录入方式</w:t>
            </w:r>
          </w:p>
        </w:tc>
        <w:tc>
          <w:tcPr>
            <w:tcW w:w="7161" w:type="dxa"/>
            <w:shd w:val="clear" w:color="auto" w:fill="auto"/>
          </w:tcPr>
          <w:p w14:paraId="39516901">
            <w:pPr>
              <w:pStyle w:val="150"/>
            </w:pPr>
            <w:r>
              <w:rPr>
                <w:rFonts w:hint="eastAsia"/>
              </w:rPr>
              <w:t>默认录入：以IP地址作为录入名，绑定IP地址及MAC地址；</w:t>
            </w:r>
          </w:p>
          <w:p w14:paraId="0336158C">
            <w:pPr>
              <w:pStyle w:val="150"/>
            </w:pPr>
            <w:r>
              <w:rPr>
                <w:rFonts w:hint="eastAsia"/>
              </w:rPr>
              <w:t>IP录入：以IP地址作为录入名，只绑定IP地址；</w:t>
            </w:r>
          </w:p>
          <w:p w14:paraId="4CE54897">
            <w:pPr>
              <w:pStyle w:val="150"/>
            </w:pPr>
            <w:r>
              <w:rPr>
                <w:rFonts w:hint="eastAsia"/>
              </w:rPr>
              <w:t>MAC录入：以MAC地址作为录入名，只绑定MAC地址。</w:t>
            </w:r>
          </w:p>
        </w:tc>
      </w:tr>
      <w:tr w14:paraId="3A1AF3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1BDB323E">
            <w:pPr>
              <w:pStyle w:val="150"/>
            </w:pPr>
            <w:r>
              <w:rPr>
                <w:rFonts w:hint="eastAsia"/>
              </w:rPr>
              <w:t>IPMAC自动绑定</w:t>
            </w:r>
          </w:p>
        </w:tc>
        <w:tc>
          <w:tcPr>
            <w:tcW w:w="7161" w:type="dxa"/>
            <w:shd w:val="clear" w:color="auto" w:fill="auto"/>
          </w:tcPr>
          <w:p w14:paraId="43233E54">
            <w:pPr>
              <w:pStyle w:val="150"/>
            </w:pPr>
            <w:r>
              <w:rPr>
                <w:rFonts w:hint="eastAsia"/>
              </w:rPr>
              <w:t>启用后，设备自动把第一次学到的IP/MAC进行唯一性绑定，无需手工绑定。</w:t>
            </w:r>
          </w:p>
        </w:tc>
      </w:tr>
    </w:tbl>
    <w:p w14:paraId="36EE384B">
      <w:bookmarkStart w:id="8126" w:name="_Toc6234834"/>
      <w:bookmarkStart w:id="8127" w:name="_Toc15485173"/>
      <w:bookmarkStart w:id="8128" w:name="_Toc23152937"/>
      <w:bookmarkStart w:id="8129" w:name="_Toc40276358"/>
      <w:bookmarkStart w:id="8130" w:name="_Toc99561657"/>
    </w:p>
    <w:p w14:paraId="6BF26006">
      <w:r>
        <w:rPr>
          <w:rFonts w:hint="eastAsia"/>
        </w:rPr>
        <w:t xml:space="preserve">创建完成后，在用户同步页签右侧“操作”列下点击 </w:t>
      </w:r>
      <w:r>
        <w:drawing>
          <wp:inline distT="0" distB="0" distL="114300" distR="114300">
            <wp:extent cx="161925" cy="198120"/>
            <wp:effectExtent l="0" t="0" r="0" b="0"/>
            <wp:docPr id="935"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图片 84"/>
                    <pic:cNvPicPr>
                      <a:picLocks noChangeAspect="1"/>
                    </pic:cNvPicPr>
                  </pic:nvPicPr>
                  <pic:blipFill>
                    <a:blip r:embed="rId969"/>
                    <a:stretch>
                      <a:fillRect/>
                    </a:stretch>
                  </pic:blipFill>
                  <pic:spPr>
                    <a:xfrm>
                      <a:off x="0" y="0"/>
                      <a:ext cx="163341" cy="200463"/>
                    </a:xfrm>
                    <a:prstGeom prst="rect">
                      <a:avLst/>
                    </a:prstGeom>
                    <a:noFill/>
                    <a:ln>
                      <a:noFill/>
                    </a:ln>
                  </pic:spPr>
                </pic:pic>
              </a:graphicData>
            </a:graphic>
          </wp:inline>
        </w:drawing>
      </w:r>
      <w:r>
        <w:t xml:space="preserve"> </w:t>
      </w:r>
      <w:r>
        <w:rPr>
          <w:rFonts w:hint="eastAsia"/>
        </w:rPr>
        <w:t>图标立即执行S</w:t>
      </w:r>
      <w:r>
        <w:t>NMP</w:t>
      </w:r>
      <w:r>
        <w:rPr>
          <w:rFonts w:hint="eastAsia"/>
        </w:rPr>
        <w:t xml:space="preserve">同步任务，或点击 </w:t>
      </w:r>
      <w:r>
        <w:drawing>
          <wp:inline distT="0" distB="0" distL="114300" distR="114300">
            <wp:extent cx="151130" cy="197485"/>
            <wp:effectExtent l="0" t="0" r="1270" b="0"/>
            <wp:docPr id="936"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图片 85"/>
                    <pic:cNvPicPr>
                      <a:picLocks noChangeAspect="1"/>
                    </pic:cNvPicPr>
                  </pic:nvPicPr>
                  <pic:blipFill>
                    <a:blip r:embed="rId970"/>
                    <a:stretch>
                      <a:fillRect/>
                    </a:stretch>
                  </pic:blipFill>
                  <pic:spPr>
                    <a:xfrm>
                      <a:off x="0" y="0"/>
                      <a:ext cx="151200" cy="198000"/>
                    </a:xfrm>
                    <a:prstGeom prst="rect">
                      <a:avLst/>
                    </a:prstGeom>
                    <a:noFill/>
                    <a:ln>
                      <a:noFill/>
                    </a:ln>
                  </pic:spPr>
                </pic:pic>
              </a:graphicData>
            </a:graphic>
          </wp:inline>
        </w:drawing>
      </w:r>
      <w:r>
        <w:rPr>
          <w:rFonts w:hint="eastAsia"/>
        </w:rPr>
        <w:t xml:space="preserve"> 图标查看同步结果。如果同步的用户信息中I</w:t>
      </w:r>
      <w:r>
        <w:t>P</w:t>
      </w:r>
      <w:r>
        <w:rPr>
          <w:rFonts w:hint="eastAsia"/>
        </w:rPr>
        <w:t>、M</w:t>
      </w:r>
      <w:r>
        <w:t>AC</w:t>
      </w:r>
      <w:r>
        <w:rPr>
          <w:rFonts w:hint="eastAsia"/>
        </w:rPr>
        <w:t>地址匹配到I</w:t>
      </w:r>
      <w:r>
        <w:t>P-MAC</w:t>
      </w:r>
      <w:r>
        <w:rPr>
          <w:rFonts w:hint="eastAsia"/>
        </w:rPr>
        <w:t>绑定中的条目，状态栏下会展示“已绑定”，否则会展示“未绑定”。有关I</w:t>
      </w:r>
      <w:r>
        <w:t>P-MAC</w:t>
      </w:r>
      <w:r>
        <w:rPr>
          <w:rFonts w:hint="eastAsia"/>
        </w:rPr>
        <w:t>绑定的更多信息请参考</w:t>
      </w:r>
      <w:r>
        <w:fldChar w:fldCharType="begin"/>
      </w:r>
      <w:r>
        <w:instrText xml:space="preserve"> REF _Ref141791330 \h </w:instrText>
      </w:r>
      <w:r>
        <w:fldChar w:fldCharType="separate"/>
      </w:r>
      <w:r>
        <w:rPr>
          <w:rFonts w:hint="eastAsia"/>
        </w:rPr>
        <w:t>I</w:t>
      </w:r>
      <w:r>
        <w:t>P-MAC</w:t>
      </w:r>
      <w:r>
        <w:rPr>
          <w:rFonts w:hint="eastAsia"/>
        </w:rPr>
        <w:t>绑定</w:t>
      </w:r>
      <w:r>
        <w:fldChar w:fldCharType="end"/>
      </w:r>
      <w:r>
        <w:rPr>
          <w:rFonts w:hint="eastAsia"/>
        </w:rPr>
        <w:t>。</w:t>
      </w:r>
    </w:p>
    <w:p w14:paraId="4C5AAAA8">
      <w:pPr>
        <w:pStyle w:val="373"/>
        <w:rPr>
          <w:rFonts w:ascii="Times New Roman" w:hAnsi="Times New Roman"/>
        </w:rPr>
      </w:pPr>
      <w:r>
        <w:drawing>
          <wp:inline distT="0" distB="0" distL="0" distR="0">
            <wp:extent cx="5262880" cy="2395855"/>
            <wp:effectExtent l="0" t="0" r="0" b="4445"/>
            <wp:docPr id="4973" name="图片 4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3" name="图片 4973"/>
                    <pic:cNvPicPr>
                      <a:picLocks noChangeAspect="1"/>
                    </pic:cNvPicPr>
                  </pic:nvPicPr>
                  <pic:blipFill>
                    <a:blip r:embed="rId971"/>
                    <a:stretch>
                      <a:fillRect/>
                    </a:stretch>
                  </pic:blipFill>
                  <pic:spPr>
                    <a:xfrm>
                      <a:off x="0" y="0"/>
                      <a:ext cx="5275924" cy="2402029"/>
                    </a:xfrm>
                    <a:prstGeom prst="rect">
                      <a:avLst/>
                    </a:prstGeom>
                  </pic:spPr>
                </pic:pic>
              </a:graphicData>
            </a:graphic>
          </wp:inline>
        </w:drawing>
      </w:r>
    </w:p>
    <w:p w14:paraId="4D51DF33"/>
    <w:p w14:paraId="58EC7E25">
      <w:pPr>
        <w:pStyle w:val="6"/>
      </w:pPr>
      <w:r>
        <w:rPr>
          <w:rFonts w:hint="eastAsia"/>
        </w:rPr>
        <w:t>ARP扫描</w:t>
      </w:r>
      <w:bookmarkEnd w:id="8126"/>
      <w:bookmarkEnd w:id="8127"/>
      <w:bookmarkEnd w:id="8128"/>
      <w:bookmarkEnd w:id="8129"/>
      <w:bookmarkEnd w:id="8130"/>
    </w:p>
    <w:p w14:paraId="03B02A63">
      <w:r>
        <w:rPr>
          <w:rFonts w:hint="eastAsia"/>
        </w:rPr>
        <w:t>在导航栏中选择“用户管理 &gt; 用户管理&gt;用户同步”，单击&lt;新建&gt;按钮，</w:t>
      </w:r>
      <w:r>
        <w:t>选择</w:t>
      </w:r>
      <w:r>
        <w:rPr>
          <w:rFonts w:hint="eastAsia"/>
        </w:rPr>
        <w:t xml:space="preserve">&lt;ARP扫描&gt; </w:t>
      </w:r>
      <w:r>
        <w:t>进入</w:t>
      </w:r>
      <w:r>
        <w:rPr>
          <w:rFonts w:hint="eastAsia"/>
        </w:rPr>
        <w:t>ARP扫描配置界面，如</w:t>
      </w:r>
      <w:r>
        <w:fldChar w:fldCharType="begin"/>
      </w:r>
      <w:r>
        <w:instrText xml:space="preserve"> </w:instrText>
      </w:r>
      <w:r>
        <w:rPr>
          <w:rFonts w:hint="eastAsia"/>
        </w:rPr>
        <w:instrText xml:space="preserve">REF _Ref4578480 \r \h</w:instrText>
      </w:r>
      <w:r>
        <w:instrText xml:space="preserve"> </w:instrText>
      </w:r>
      <w:r>
        <w:fldChar w:fldCharType="separate"/>
      </w:r>
      <w:r>
        <w:rPr>
          <w:rFonts w:hint="eastAsia"/>
        </w:rPr>
        <w:t>图30-22</w:t>
      </w:r>
      <w:r>
        <w:fldChar w:fldCharType="end"/>
      </w:r>
      <w:r>
        <w:rPr>
          <w:rFonts w:hint="eastAsia"/>
        </w:rPr>
        <w:t>所示；ARP扫描详细参数如</w:t>
      </w:r>
      <w:r>
        <w:fldChar w:fldCharType="begin"/>
      </w:r>
      <w:r>
        <w:instrText xml:space="preserve"> </w:instrText>
      </w:r>
      <w:r>
        <w:rPr>
          <w:rFonts w:hint="eastAsia"/>
        </w:rPr>
        <w:instrText xml:space="preserve">REF _Ref4578482 \r \h</w:instrText>
      </w:r>
      <w:r>
        <w:instrText xml:space="preserve"> </w:instrText>
      </w:r>
      <w:r>
        <w:fldChar w:fldCharType="separate"/>
      </w:r>
      <w:r>
        <w:rPr>
          <w:rFonts w:hint="eastAsia"/>
        </w:rPr>
        <w:t>表30-1</w:t>
      </w:r>
      <w:r>
        <w:fldChar w:fldCharType="end"/>
      </w:r>
      <w:r>
        <w:rPr>
          <w:rFonts w:hint="eastAsia"/>
        </w:rPr>
        <w:t>所示。</w:t>
      </w:r>
    </w:p>
    <w:p w14:paraId="1856BC62">
      <w:pPr>
        <w:pStyle w:val="188"/>
      </w:pPr>
      <w:bookmarkStart w:id="8131" w:name="_Ref4578480"/>
      <w:bookmarkStart w:id="8132" w:name="_Toc141874775"/>
      <w:r>
        <w:rPr>
          <w:rFonts w:hint="eastAsia"/>
        </w:rPr>
        <w:t>ARP扫描配置界面</w:t>
      </w:r>
      <w:bookmarkEnd w:id="8131"/>
      <w:bookmarkEnd w:id="8132"/>
    </w:p>
    <w:p w14:paraId="5285B9B7">
      <w:pPr>
        <w:spacing w:before="79" w:after="79"/>
      </w:pPr>
      <w:r>
        <w:drawing>
          <wp:inline distT="0" distB="0" distL="0" distR="0">
            <wp:extent cx="4789170" cy="2863850"/>
            <wp:effectExtent l="0" t="0" r="0" b="0"/>
            <wp:docPr id="4975" name="图片 4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5" name="图片 4975"/>
                    <pic:cNvPicPr>
                      <a:picLocks noChangeAspect="1"/>
                    </pic:cNvPicPr>
                  </pic:nvPicPr>
                  <pic:blipFill>
                    <a:blip r:embed="rId972"/>
                    <a:srcRect t="6337"/>
                    <a:stretch>
                      <a:fillRect/>
                    </a:stretch>
                  </pic:blipFill>
                  <pic:spPr>
                    <a:xfrm>
                      <a:off x="0" y="0"/>
                      <a:ext cx="4798658" cy="2869835"/>
                    </a:xfrm>
                    <a:prstGeom prst="rect">
                      <a:avLst/>
                    </a:prstGeom>
                    <a:ln>
                      <a:noFill/>
                    </a:ln>
                  </pic:spPr>
                </pic:pic>
              </a:graphicData>
            </a:graphic>
          </wp:inline>
        </w:drawing>
      </w:r>
    </w:p>
    <w:p w14:paraId="6F329192"/>
    <w:p w14:paraId="0207840E">
      <w:pPr>
        <w:pStyle w:val="183"/>
      </w:pPr>
      <w:bookmarkStart w:id="8133" w:name="_Ref4578482"/>
      <w:bookmarkStart w:id="8134" w:name="_Toc141875559"/>
      <w:r>
        <w:rPr>
          <w:rFonts w:hint="eastAsia"/>
        </w:rPr>
        <w:t>ARP扫描界面参数说明</w:t>
      </w:r>
      <w:bookmarkEnd w:id="8133"/>
      <w:bookmarkEnd w:id="8134"/>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809"/>
        <w:gridCol w:w="7161"/>
      </w:tblGrid>
      <w:tr w14:paraId="1A4958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tcBorders>
              <w:tl2br w:val="nil"/>
              <w:tr2bl w:val="nil"/>
            </w:tcBorders>
            <w:shd w:val="clear" w:color="auto" w:fill="538135" w:themeFill="accent6" w:themeFillShade="BF"/>
            <w:vAlign w:val="center"/>
          </w:tcPr>
          <w:p w14:paraId="7561C3DB">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参数</w:t>
            </w:r>
          </w:p>
        </w:tc>
        <w:tc>
          <w:tcPr>
            <w:tcW w:w="7161" w:type="dxa"/>
            <w:tcBorders>
              <w:tl2br w:val="nil"/>
              <w:tr2bl w:val="nil"/>
            </w:tcBorders>
            <w:shd w:val="clear" w:color="auto" w:fill="538135" w:themeFill="accent6" w:themeFillShade="BF"/>
            <w:vAlign w:val="center"/>
          </w:tcPr>
          <w:p w14:paraId="42A3A04C">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D88F8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0AC99F81">
            <w:pPr>
              <w:pStyle w:val="150"/>
            </w:pPr>
            <w:r>
              <w:rPr>
                <w:rFonts w:hint="eastAsia"/>
              </w:rPr>
              <w:t>启用</w:t>
            </w:r>
          </w:p>
        </w:tc>
        <w:tc>
          <w:tcPr>
            <w:tcW w:w="7161" w:type="dxa"/>
            <w:shd w:val="clear" w:color="auto" w:fill="auto"/>
          </w:tcPr>
          <w:p w14:paraId="73F8DED1">
            <w:pPr>
              <w:pStyle w:val="150"/>
            </w:pPr>
            <w:r>
              <w:t>ARP</w:t>
            </w:r>
            <w:r>
              <w:rPr>
                <w:rFonts w:hint="eastAsia"/>
              </w:rPr>
              <w:t>扫描功能启用、禁用。</w:t>
            </w:r>
          </w:p>
        </w:tc>
      </w:tr>
      <w:tr w14:paraId="3E89E1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7AB7FAE7">
            <w:pPr>
              <w:pStyle w:val="150"/>
            </w:pPr>
            <w:r>
              <w:rPr>
                <w:rFonts w:hint="eastAsia"/>
              </w:rPr>
              <w:t>名称</w:t>
            </w:r>
          </w:p>
        </w:tc>
        <w:tc>
          <w:tcPr>
            <w:tcW w:w="7161" w:type="dxa"/>
            <w:shd w:val="clear" w:color="auto" w:fill="auto"/>
          </w:tcPr>
          <w:p w14:paraId="7F2160C2">
            <w:pPr>
              <w:pStyle w:val="150"/>
            </w:pPr>
            <w:r>
              <w:rPr>
                <w:rFonts w:hint="eastAsia"/>
              </w:rPr>
              <w:t>ARP扫描条目名称。</w:t>
            </w:r>
          </w:p>
        </w:tc>
      </w:tr>
      <w:tr w14:paraId="002FE4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4AA06C72">
            <w:pPr>
              <w:pStyle w:val="150"/>
            </w:pPr>
            <w:r>
              <w:rPr>
                <w:rFonts w:hint="eastAsia"/>
              </w:rPr>
              <w:t>描述</w:t>
            </w:r>
          </w:p>
        </w:tc>
        <w:tc>
          <w:tcPr>
            <w:tcW w:w="7161" w:type="dxa"/>
            <w:shd w:val="clear" w:color="auto" w:fill="auto"/>
          </w:tcPr>
          <w:p w14:paraId="076D1E4B">
            <w:pPr>
              <w:pStyle w:val="150"/>
            </w:pPr>
            <w:r>
              <w:t>ARP</w:t>
            </w:r>
            <w:r>
              <w:rPr>
                <w:rFonts w:hint="eastAsia"/>
              </w:rPr>
              <w:t>扫描描述信息。</w:t>
            </w:r>
          </w:p>
        </w:tc>
      </w:tr>
      <w:tr w14:paraId="42CA49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4863F0D3">
            <w:pPr>
              <w:pStyle w:val="150"/>
            </w:pPr>
            <w:r>
              <w:rPr>
                <w:rFonts w:hint="eastAsia"/>
              </w:rPr>
              <w:t>扫描网段</w:t>
            </w:r>
          </w:p>
        </w:tc>
        <w:tc>
          <w:tcPr>
            <w:tcW w:w="7161" w:type="dxa"/>
            <w:shd w:val="clear" w:color="auto" w:fill="auto"/>
          </w:tcPr>
          <w:p w14:paraId="3D1AA8CB">
            <w:pPr>
              <w:pStyle w:val="150"/>
            </w:pPr>
            <w:r>
              <w:rPr>
                <w:rFonts w:hint="eastAsia"/>
              </w:rPr>
              <w:t>需要和设备是同一网段，例如接口1</w:t>
            </w:r>
            <w:r>
              <w:t>92.168.1.1</w:t>
            </w:r>
            <w:r>
              <w:rPr>
                <w:rFonts w:hint="eastAsia"/>
              </w:rPr>
              <w:t>/</w:t>
            </w:r>
            <w:r>
              <w:t>24</w:t>
            </w:r>
            <w:r>
              <w:rPr>
                <w:rFonts w:hint="eastAsia"/>
              </w:rPr>
              <w:t>，扫描需要配置成1</w:t>
            </w:r>
            <w:r>
              <w:t>92.168.1.0</w:t>
            </w:r>
            <w:r>
              <w:rPr>
                <w:rFonts w:hint="eastAsia"/>
              </w:rPr>
              <w:t>/</w:t>
            </w:r>
            <w:r>
              <w:t>24</w:t>
            </w:r>
            <w:r>
              <w:rPr>
                <w:rFonts w:hint="eastAsia"/>
              </w:rPr>
              <w:t>。</w:t>
            </w:r>
          </w:p>
        </w:tc>
      </w:tr>
      <w:tr w14:paraId="6F6213F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656B6C89">
            <w:pPr>
              <w:pStyle w:val="150"/>
            </w:pPr>
            <w:r>
              <w:rPr>
                <w:rFonts w:hint="eastAsia"/>
              </w:rPr>
              <w:t>任务周期</w:t>
            </w:r>
          </w:p>
        </w:tc>
        <w:tc>
          <w:tcPr>
            <w:tcW w:w="7161" w:type="dxa"/>
            <w:shd w:val="clear" w:color="auto" w:fill="auto"/>
          </w:tcPr>
          <w:p w14:paraId="652FA1E1">
            <w:pPr>
              <w:pStyle w:val="150"/>
            </w:pPr>
            <w:r>
              <w:rPr>
                <w:rFonts w:hint="eastAsia"/>
              </w:rPr>
              <w:t>启用后按照所配置的时间进行</w:t>
            </w:r>
            <w:r>
              <w:t>ARP</w:t>
            </w:r>
            <w:r>
              <w:rPr>
                <w:rFonts w:hint="eastAsia"/>
              </w:rPr>
              <w:t>扫描同步。</w:t>
            </w:r>
          </w:p>
        </w:tc>
      </w:tr>
      <w:tr w14:paraId="7FF372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20A50C21">
            <w:pPr>
              <w:pStyle w:val="150"/>
            </w:pPr>
            <w:r>
              <w:rPr>
                <w:rFonts w:hint="eastAsia"/>
              </w:rPr>
              <w:t>自动录入</w:t>
            </w:r>
          </w:p>
        </w:tc>
        <w:tc>
          <w:tcPr>
            <w:tcW w:w="7161" w:type="dxa"/>
            <w:shd w:val="clear" w:color="auto" w:fill="auto"/>
          </w:tcPr>
          <w:p w14:paraId="76CF0B5A">
            <w:pPr>
              <w:pStyle w:val="150"/>
            </w:pPr>
            <w:r>
              <w:rPr>
                <w:rFonts w:hint="eastAsia"/>
              </w:rPr>
              <w:t>启用后同步用户录入设备可选指定用户组录入用户，不启用只同步不录入。</w:t>
            </w:r>
          </w:p>
        </w:tc>
      </w:tr>
      <w:tr w14:paraId="42CA223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39892807">
            <w:pPr>
              <w:pStyle w:val="150"/>
            </w:pPr>
            <w:r>
              <w:rPr>
                <w:rFonts w:hint="eastAsia"/>
              </w:rPr>
              <w:t>IPMAC自动绑定</w:t>
            </w:r>
          </w:p>
        </w:tc>
        <w:tc>
          <w:tcPr>
            <w:tcW w:w="7161" w:type="dxa"/>
            <w:shd w:val="clear" w:color="auto" w:fill="auto"/>
          </w:tcPr>
          <w:p w14:paraId="5DD15581">
            <w:pPr>
              <w:pStyle w:val="150"/>
            </w:pPr>
            <w:r>
              <w:rPr>
                <w:rFonts w:hint="eastAsia"/>
              </w:rPr>
              <w:t>启用后，设备自动把第一次学到的IP/MAC进行唯一性绑定，无需手工绑定。</w:t>
            </w:r>
          </w:p>
        </w:tc>
      </w:tr>
    </w:tbl>
    <w:p w14:paraId="5F8F3E1E"/>
    <w:p w14:paraId="154EF033">
      <w:r>
        <w:rPr>
          <w:rFonts w:hint="eastAsia"/>
        </w:rPr>
        <w:t xml:space="preserve">创建完成后，在右侧操作列下点击 </w:t>
      </w:r>
      <w:r>
        <w:drawing>
          <wp:inline distT="0" distB="0" distL="114300" distR="114300">
            <wp:extent cx="209550" cy="257175"/>
            <wp:effectExtent l="0" t="0" r="0" b="9525"/>
            <wp:docPr id="939"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图片 88"/>
                    <pic:cNvPicPr>
                      <a:picLocks noChangeAspect="1"/>
                    </pic:cNvPicPr>
                  </pic:nvPicPr>
                  <pic:blipFill>
                    <a:blip r:embed="rId969"/>
                    <a:stretch>
                      <a:fillRect/>
                    </a:stretch>
                  </pic:blipFill>
                  <pic:spPr>
                    <a:xfrm>
                      <a:off x="0" y="0"/>
                      <a:ext cx="209550" cy="257175"/>
                    </a:xfrm>
                    <a:prstGeom prst="rect">
                      <a:avLst/>
                    </a:prstGeom>
                    <a:noFill/>
                    <a:ln>
                      <a:noFill/>
                    </a:ln>
                  </pic:spPr>
                </pic:pic>
              </a:graphicData>
            </a:graphic>
          </wp:inline>
        </w:drawing>
      </w:r>
      <w:r>
        <w:t xml:space="preserve"> </w:t>
      </w:r>
      <w:r>
        <w:rPr>
          <w:rFonts w:hint="eastAsia"/>
        </w:rPr>
        <w:t>图标立即执行A</w:t>
      </w:r>
      <w:r>
        <w:t>RP</w:t>
      </w:r>
      <w:r>
        <w:rPr>
          <w:rFonts w:hint="eastAsia"/>
        </w:rPr>
        <w:t xml:space="preserve">扫描任务，点击 </w:t>
      </w:r>
      <w:r>
        <w:drawing>
          <wp:inline distT="0" distB="0" distL="114300" distR="114300">
            <wp:extent cx="190500" cy="247650"/>
            <wp:effectExtent l="0" t="0" r="0" b="0"/>
            <wp:docPr id="940"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图片 89"/>
                    <pic:cNvPicPr>
                      <a:picLocks noChangeAspect="1"/>
                    </pic:cNvPicPr>
                  </pic:nvPicPr>
                  <pic:blipFill>
                    <a:blip r:embed="rId970"/>
                    <a:stretch>
                      <a:fillRect/>
                    </a:stretch>
                  </pic:blipFill>
                  <pic:spPr>
                    <a:xfrm>
                      <a:off x="0" y="0"/>
                      <a:ext cx="190500" cy="247650"/>
                    </a:xfrm>
                    <a:prstGeom prst="rect">
                      <a:avLst/>
                    </a:prstGeom>
                    <a:noFill/>
                    <a:ln>
                      <a:noFill/>
                    </a:ln>
                  </pic:spPr>
                </pic:pic>
              </a:graphicData>
            </a:graphic>
          </wp:inline>
        </w:drawing>
      </w:r>
      <w:r>
        <w:rPr>
          <w:rFonts w:hint="eastAsia"/>
        </w:rPr>
        <w:t xml:space="preserve"> 图标展示同步结果。</w:t>
      </w:r>
    </w:p>
    <w:p w14:paraId="10618C34">
      <w:pPr>
        <w:spacing w:before="79" w:after="79"/>
        <w:rPr>
          <w:rFonts w:cs="Cambria"/>
        </w:rPr>
      </w:pPr>
      <w:r>
        <w:drawing>
          <wp:inline distT="0" distB="0" distL="0" distR="0">
            <wp:extent cx="5015230" cy="2334895"/>
            <wp:effectExtent l="0" t="0" r="0" b="8255"/>
            <wp:docPr id="4976" name="图片 4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6" name="图片 4976"/>
                    <pic:cNvPicPr>
                      <a:picLocks noChangeAspect="1"/>
                    </pic:cNvPicPr>
                  </pic:nvPicPr>
                  <pic:blipFill>
                    <a:blip r:embed="rId973"/>
                    <a:stretch>
                      <a:fillRect/>
                    </a:stretch>
                  </pic:blipFill>
                  <pic:spPr>
                    <a:xfrm>
                      <a:off x="0" y="0"/>
                      <a:ext cx="5029099" cy="2341834"/>
                    </a:xfrm>
                    <a:prstGeom prst="rect">
                      <a:avLst/>
                    </a:prstGeom>
                  </pic:spPr>
                </pic:pic>
              </a:graphicData>
            </a:graphic>
          </wp:inline>
        </w:drawing>
      </w:r>
    </w:p>
    <w:p w14:paraId="094C58CC"/>
    <w:p w14:paraId="50F73C89">
      <w:pPr>
        <w:pStyle w:val="6"/>
      </w:pPr>
      <w:bookmarkStart w:id="8135" w:name="_Toc133265674"/>
      <w:r>
        <w:rPr>
          <w:rFonts w:hint="eastAsia"/>
        </w:rPr>
        <w:t>数据库同步</w:t>
      </w:r>
      <w:bookmarkEnd w:id="8135"/>
    </w:p>
    <w:p w14:paraId="37DA36FA">
      <w:pPr>
        <w:spacing w:before="120" w:after="120"/>
      </w:pPr>
      <w:r>
        <w:rPr>
          <w:rFonts w:hint="eastAsia"/>
        </w:rPr>
        <w:t>在</w:t>
      </w:r>
      <w:r>
        <w:t>用户</w:t>
      </w:r>
      <w:r>
        <w:rPr>
          <w:rFonts w:hint="eastAsia"/>
        </w:rPr>
        <w:t>已有一套数据库系统存储用户组织结构信息的前提下，可以通过使用设备的数据库同步功能在Web界面上配置SQL查询语句，去主动查询数据库系统中的用户组织结构列表，并同步到设备本地的用户组织结构中，管理员不需要再在设备上配置用户的账号和密码等属性，可借助已有的数据库系统实现对用户的统一管理。</w:t>
      </w:r>
    </w:p>
    <w:p w14:paraId="497BDB2D">
      <w:pPr>
        <w:widowControl/>
        <w:numPr>
          <w:ilvl w:val="0"/>
          <w:numId w:val="8"/>
        </w:numPr>
        <w:tabs>
          <w:tab w:val="clear" w:pos="1134"/>
        </w:tabs>
        <w:spacing w:before="120" w:after="120" w:line="240" w:lineRule="auto"/>
      </w:pPr>
      <w:r>
        <w:rPr>
          <w:rFonts w:hint="eastAsia"/>
        </w:rPr>
        <w:t>同步成功后，可以按照实际需求分别对同步到本地的用户组和用户进行相关功能的引用控制，比如：审计策略、控制策略、流控策略、限额策略等。</w:t>
      </w:r>
    </w:p>
    <w:p w14:paraId="2F943CB1">
      <w:pPr>
        <w:widowControl/>
        <w:numPr>
          <w:ilvl w:val="0"/>
          <w:numId w:val="8"/>
        </w:numPr>
        <w:tabs>
          <w:tab w:val="clear" w:pos="1134"/>
        </w:tabs>
        <w:spacing w:before="120" w:after="120" w:line="240" w:lineRule="auto"/>
      </w:pPr>
      <w:r>
        <w:rPr>
          <w:rFonts w:hint="eastAsia"/>
        </w:rPr>
        <w:t>设备支持将数据库中的用户名、组织结构和密码同步到本地，终端用户在认证的时候可以直接使用同步到用户组织架构中的用户名、密码进行本地认证。</w:t>
      </w:r>
    </w:p>
    <w:p w14:paraId="64E928FE">
      <w:r>
        <w:rPr>
          <w:rFonts w:hint="eastAsia"/>
        </w:rPr>
        <w:t>在用户同步页面点击&lt;新建</w:t>
      </w:r>
      <w:r>
        <w:t>&gt;</w:t>
      </w:r>
      <w:r>
        <w:rPr>
          <w:rFonts w:hint="eastAsia"/>
        </w:rPr>
        <w:t>并从下拉框选择&lt;数据库同步</w:t>
      </w:r>
      <w:r>
        <w:t>&gt;</w:t>
      </w:r>
      <w:r>
        <w:rPr>
          <w:rFonts w:hint="eastAsia"/>
        </w:rPr>
        <w:t>创建新的数据库同步任务，编辑相关信息，点击&lt;</w:t>
      </w:r>
      <w:r>
        <w:rPr>
          <w:rFonts w:hint="eastAsia"/>
          <w:bCs/>
        </w:rPr>
        <w:t>提交</w:t>
      </w:r>
      <w:r>
        <w:t>&gt;</w:t>
      </w:r>
      <w:r>
        <w:rPr>
          <w:rFonts w:hint="eastAsia"/>
        </w:rPr>
        <w:t>。</w:t>
      </w:r>
    </w:p>
    <w:p w14:paraId="5FD6782E">
      <w:pPr>
        <w:pStyle w:val="188"/>
      </w:pPr>
      <w:bookmarkStart w:id="8136" w:name="_Toc141874776"/>
      <w:r>
        <w:rPr>
          <w:rFonts w:hint="eastAsia"/>
        </w:rPr>
        <w:t>数据库同步配置页面</w:t>
      </w:r>
      <w:bookmarkEnd w:id="8136"/>
    </w:p>
    <w:p w14:paraId="41CD69BB">
      <w:pPr>
        <w:spacing w:before="79" w:after="79"/>
        <w:rPr>
          <w:rFonts w:cs="Cambria"/>
        </w:rPr>
      </w:pPr>
      <w:r>
        <w:drawing>
          <wp:inline distT="0" distB="0" distL="0" distR="0">
            <wp:extent cx="5238750" cy="4264660"/>
            <wp:effectExtent l="0" t="0" r="0" b="2540"/>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503"/>
                    <pic:cNvPicPr>
                      <a:picLocks noChangeAspect="1"/>
                    </pic:cNvPicPr>
                  </pic:nvPicPr>
                  <pic:blipFill>
                    <a:blip r:embed="rId974"/>
                    <a:stretch>
                      <a:fillRect/>
                    </a:stretch>
                  </pic:blipFill>
                  <pic:spPr>
                    <a:xfrm>
                      <a:off x="0" y="0"/>
                      <a:ext cx="5241803" cy="4267734"/>
                    </a:xfrm>
                    <a:prstGeom prst="rect">
                      <a:avLst/>
                    </a:prstGeom>
                  </pic:spPr>
                </pic:pic>
              </a:graphicData>
            </a:graphic>
          </wp:inline>
        </w:drawing>
      </w:r>
    </w:p>
    <w:p w14:paraId="005E0FCB">
      <w:pPr>
        <w:pStyle w:val="183"/>
      </w:pPr>
      <w:bookmarkStart w:id="8137" w:name="_Toc141875560"/>
      <w:r>
        <w:rPr>
          <w:rFonts w:hint="eastAsia"/>
        </w:rPr>
        <w:t>数据库同步详细配置说明</w:t>
      </w:r>
      <w:bookmarkEnd w:id="8137"/>
    </w:p>
    <w:tbl>
      <w:tblPr>
        <w:tblStyle w:val="173"/>
        <w:tblW w:w="500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597"/>
        <w:gridCol w:w="7645"/>
      </w:tblGrid>
      <w:tr w14:paraId="67C21F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864" w:type="pct"/>
            <w:tcBorders>
              <w:tl2br w:val="nil"/>
              <w:tr2bl w:val="nil"/>
            </w:tcBorders>
            <w:shd w:val="clear" w:color="auto" w:fill="538135" w:themeFill="accent6" w:themeFillShade="BF"/>
            <w:vAlign w:val="center"/>
          </w:tcPr>
          <w:p w14:paraId="33907E97">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4136" w:type="pct"/>
            <w:tcBorders>
              <w:tl2br w:val="nil"/>
              <w:tr2bl w:val="nil"/>
            </w:tcBorders>
            <w:shd w:val="clear" w:color="auto" w:fill="538135" w:themeFill="accent6" w:themeFillShade="BF"/>
            <w:vAlign w:val="center"/>
          </w:tcPr>
          <w:p w14:paraId="49554843">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1E6DD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864" w:type="pct"/>
            <w:shd w:val="clear" w:color="auto" w:fill="auto"/>
          </w:tcPr>
          <w:p w14:paraId="1D4570C3">
            <w:pPr>
              <w:pStyle w:val="150"/>
            </w:pPr>
            <w:r>
              <w:rPr>
                <w:rFonts w:hint="eastAsia"/>
              </w:rPr>
              <w:t>启用</w:t>
            </w:r>
          </w:p>
        </w:tc>
        <w:tc>
          <w:tcPr>
            <w:tcW w:w="4136" w:type="pct"/>
            <w:shd w:val="clear" w:color="auto" w:fill="auto"/>
          </w:tcPr>
          <w:p w14:paraId="0C039E91">
            <w:pPr>
              <w:pStyle w:val="150"/>
            </w:pPr>
            <w:r>
              <w:rPr>
                <w:rFonts w:hint="eastAsia"/>
              </w:rPr>
              <w:t>数据库同步功能启用、禁用。</w:t>
            </w:r>
          </w:p>
        </w:tc>
      </w:tr>
      <w:tr w14:paraId="74A4D7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864" w:type="pct"/>
            <w:shd w:val="clear" w:color="auto" w:fill="auto"/>
          </w:tcPr>
          <w:p w14:paraId="10C17E32">
            <w:pPr>
              <w:pStyle w:val="150"/>
            </w:pPr>
            <w:r>
              <w:rPr>
                <w:rFonts w:hint="eastAsia"/>
              </w:rPr>
              <w:t>名称</w:t>
            </w:r>
          </w:p>
        </w:tc>
        <w:tc>
          <w:tcPr>
            <w:tcW w:w="4136" w:type="pct"/>
            <w:shd w:val="clear" w:color="auto" w:fill="auto"/>
          </w:tcPr>
          <w:p w14:paraId="6A12F744">
            <w:pPr>
              <w:pStyle w:val="150"/>
            </w:pPr>
            <w:r>
              <w:rPr>
                <w:rFonts w:hint="eastAsia"/>
              </w:rPr>
              <w:t>数据库同步条目名称。</w:t>
            </w:r>
          </w:p>
        </w:tc>
      </w:tr>
      <w:tr w14:paraId="555650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864" w:type="pct"/>
            <w:shd w:val="clear" w:color="auto" w:fill="auto"/>
          </w:tcPr>
          <w:p w14:paraId="72FB777B">
            <w:pPr>
              <w:pStyle w:val="150"/>
            </w:pPr>
            <w:r>
              <w:rPr>
                <w:rFonts w:hint="eastAsia"/>
              </w:rPr>
              <w:t>描述</w:t>
            </w:r>
          </w:p>
        </w:tc>
        <w:tc>
          <w:tcPr>
            <w:tcW w:w="4136" w:type="pct"/>
            <w:shd w:val="clear" w:color="auto" w:fill="auto"/>
          </w:tcPr>
          <w:p w14:paraId="34239D4D">
            <w:pPr>
              <w:pStyle w:val="150"/>
            </w:pPr>
            <w:r>
              <w:rPr>
                <w:rFonts w:hint="eastAsia"/>
              </w:rPr>
              <w:t>数据库同步描述信息。</w:t>
            </w:r>
          </w:p>
        </w:tc>
      </w:tr>
      <w:tr w14:paraId="2A6B504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864" w:type="pct"/>
            <w:shd w:val="clear" w:color="auto" w:fill="auto"/>
          </w:tcPr>
          <w:p w14:paraId="6B6BE957">
            <w:pPr>
              <w:pStyle w:val="150"/>
            </w:pPr>
            <w:r>
              <w:rPr>
                <w:rFonts w:hint="eastAsia"/>
              </w:rPr>
              <w:t>自动同步</w:t>
            </w:r>
          </w:p>
        </w:tc>
        <w:tc>
          <w:tcPr>
            <w:tcW w:w="4136" w:type="pct"/>
            <w:shd w:val="clear" w:color="auto" w:fill="auto"/>
          </w:tcPr>
          <w:p w14:paraId="25E3ACDD">
            <w:pPr>
              <w:pStyle w:val="150"/>
            </w:pPr>
            <w:r>
              <w:rPr>
                <w:rFonts w:hint="eastAsia"/>
              </w:rPr>
              <w:t>勾选复选框启用自动同步功能，并设置自动同步的间隔时间。</w:t>
            </w:r>
          </w:p>
        </w:tc>
      </w:tr>
      <w:tr w14:paraId="2AE1BF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864" w:type="pct"/>
            <w:shd w:val="clear" w:color="auto" w:fill="auto"/>
          </w:tcPr>
          <w:p w14:paraId="71F4BF1D">
            <w:pPr>
              <w:pStyle w:val="150"/>
            </w:pPr>
            <w:r>
              <w:rPr>
                <w:rFonts w:hint="eastAsia"/>
              </w:rPr>
              <w:t>数据库服务器</w:t>
            </w:r>
          </w:p>
        </w:tc>
        <w:tc>
          <w:tcPr>
            <w:tcW w:w="4136" w:type="pct"/>
            <w:shd w:val="clear" w:color="auto" w:fill="auto"/>
          </w:tcPr>
          <w:p w14:paraId="5554A243">
            <w:pPr>
              <w:pStyle w:val="150"/>
            </w:pPr>
            <w:r>
              <w:rPr>
                <w:rFonts w:hint="eastAsia"/>
              </w:rPr>
              <w:t>选择要用于同步用户信息的数据库服务器。点击&lt;新建&gt;可以</w:t>
            </w:r>
            <w:r>
              <w:t>创建数据库服务器，详细配置请参考</w:t>
            </w:r>
            <w:r>
              <w:rPr>
                <w:rFonts w:hint="eastAsia"/>
              </w:rPr>
              <w:t>数据库服务器。</w:t>
            </w:r>
          </w:p>
        </w:tc>
      </w:tr>
      <w:tr w14:paraId="4FAAFC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864" w:type="pct"/>
            <w:shd w:val="clear" w:color="auto" w:fill="auto"/>
          </w:tcPr>
          <w:p w14:paraId="3177BA51">
            <w:pPr>
              <w:pStyle w:val="150"/>
            </w:pPr>
            <w:r>
              <w:rPr>
                <w:rFonts w:hint="eastAsia"/>
              </w:rPr>
              <w:t>同步字段</w:t>
            </w:r>
          </w:p>
        </w:tc>
        <w:tc>
          <w:tcPr>
            <w:tcW w:w="4136" w:type="pct"/>
            <w:shd w:val="clear" w:color="auto" w:fill="auto"/>
          </w:tcPr>
          <w:p w14:paraId="5933733E">
            <w:pPr>
              <w:pStyle w:val="150"/>
            </w:pPr>
            <w:r>
              <w:rPr>
                <w:rFonts w:hint="eastAsia"/>
              </w:rPr>
              <w:t>选择同步到本地的用户的字段，可选择用户名、组织结构和密码，其中用户名为必选，不可取消；组织结构、密码为可选。</w:t>
            </w:r>
          </w:p>
          <w:p w14:paraId="25D8E5BF">
            <w:pPr>
              <w:pStyle w:val="150"/>
            </w:pPr>
            <w:r>
              <w:t>选择同步组织结构后</w:t>
            </w:r>
            <w:r>
              <w:rPr>
                <w:rFonts w:hint="eastAsia"/>
              </w:rPr>
              <w:t>，</w:t>
            </w:r>
            <w:r>
              <w:t>可以设置组路径分隔符</w:t>
            </w:r>
            <w:r>
              <w:rPr>
                <w:rFonts w:hint="eastAsia"/>
              </w:rPr>
              <w:t>，默认分隔符是“/”。</w:t>
            </w:r>
          </w:p>
          <w:p w14:paraId="0CF28A29">
            <w:pPr>
              <w:pStyle w:val="150"/>
            </w:pPr>
            <w:r>
              <w:t>选择同步密码后</w:t>
            </w:r>
            <w:r>
              <w:rPr>
                <w:rFonts w:hint="eastAsia"/>
              </w:rPr>
              <w:t>，可以将用户名、密码录入到本地，基于本地Web认证功能，可以对同步后的用户进行本地认证。</w:t>
            </w:r>
          </w:p>
        </w:tc>
      </w:tr>
      <w:tr w14:paraId="14468C1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864" w:type="pct"/>
            <w:shd w:val="clear" w:color="auto" w:fill="auto"/>
          </w:tcPr>
          <w:p w14:paraId="6D95FD35">
            <w:pPr>
              <w:pStyle w:val="150"/>
            </w:pPr>
            <w:r>
              <w:rPr>
                <w:rFonts w:hint="eastAsia"/>
              </w:rPr>
              <w:t>执行同步的SQL语句</w:t>
            </w:r>
          </w:p>
        </w:tc>
        <w:tc>
          <w:tcPr>
            <w:tcW w:w="4136" w:type="pct"/>
            <w:shd w:val="clear" w:color="auto" w:fill="auto"/>
          </w:tcPr>
          <w:p w14:paraId="2E1FC7F3">
            <w:pPr>
              <w:pStyle w:val="150"/>
            </w:pPr>
            <w:r>
              <w:rPr>
                <w:rFonts w:hint="eastAsia"/>
              </w:rPr>
              <w:t>获取组织结构的SQL语句，例如：SELECT 用户名，组名FROM 组织结构信息列表。</w:t>
            </w:r>
          </w:p>
        </w:tc>
      </w:tr>
      <w:tr w14:paraId="352AEF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19" w:hRule="atLeast"/>
        </w:trPr>
        <w:tc>
          <w:tcPr>
            <w:tcW w:w="864" w:type="pct"/>
            <w:shd w:val="clear" w:color="auto" w:fill="auto"/>
          </w:tcPr>
          <w:p w14:paraId="717A48BE">
            <w:pPr>
              <w:pStyle w:val="150"/>
            </w:pPr>
            <w:r>
              <w:rPr>
                <w:rFonts w:hint="eastAsia"/>
              </w:rPr>
              <w:t>组路径分割符</w:t>
            </w:r>
          </w:p>
        </w:tc>
        <w:tc>
          <w:tcPr>
            <w:tcW w:w="4136" w:type="pct"/>
            <w:shd w:val="clear" w:color="auto" w:fill="auto"/>
          </w:tcPr>
          <w:p w14:paraId="7B4585CC">
            <w:pPr>
              <w:pStyle w:val="150"/>
            </w:pPr>
            <w:r>
              <w:rPr>
                <w:rFonts w:hint="eastAsia"/>
              </w:rPr>
              <w:t>组路径默认分隔符为/，若数据库中不是以/为分隔符，则需要向用户了解并填写正确的分隔符，才能正确同步结构。</w:t>
            </w:r>
          </w:p>
        </w:tc>
      </w:tr>
      <w:tr w14:paraId="73EA16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864" w:type="pct"/>
            <w:shd w:val="clear" w:color="auto" w:fill="auto"/>
          </w:tcPr>
          <w:p w14:paraId="4B257160">
            <w:pPr>
              <w:pStyle w:val="150"/>
            </w:pPr>
            <w:r>
              <w:rPr>
                <w:rFonts w:hint="eastAsia"/>
              </w:rPr>
              <w:t>录入的组路径</w:t>
            </w:r>
          </w:p>
        </w:tc>
        <w:tc>
          <w:tcPr>
            <w:tcW w:w="4136" w:type="pct"/>
            <w:shd w:val="clear" w:color="auto" w:fill="auto"/>
          </w:tcPr>
          <w:p w14:paraId="767B5147">
            <w:pPr>
              <w:pStyle w:val="150"/>
            </w:pPr>
            <w:r>
              <w:rPr>
                <w:rFonts w:hint="eastAsia"/>
              </w:rPr>
              <w:t>数据库同步到的组织结构信息导入到指定的组织结构目录下。</w:t>
            </w:r>
          </w:p>
        </w:tc>
      </w:tr>
      <w:tr w14:paraId="3BC260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864" w:type="pct"/>
            <w:shd w:val="clear" w:color="auto" w:fill="auto"/>
          </w:tcPr>
          <w:p w14:paraId="765E4F96">
            <w:pPr>
              <w:pStyle w:val="150"/>
            </w:pPr>
            <w:r>
              <w:rPr>
                <w:rFonts w:hint="eastAsia"/>
              </w:rPr>
              <w:t>测试有效性</w:t>
            </w:r>
          </w:p>
        </w:tc>
        <w:tc>
          <w:tcPr>
            <w:tcW w:w="4136" w:type="pct"/>
            <w:shd w:val="clear" w:color="auto" w:fill="auto"/>
          </w:tcPr>
          <w:p w14:paraId="1B20289A">
            <w:pPr>
              <w:pStyle w:val="150"/>
            </w:pPr>
            <w:r>
              <w:rPr>
                <w:rFonts w:hint="eastAsia"/>
              </w:rPr>
              <w:t>点击后，弹出窗口显示SQL语句的执行结果。</w:t>
            </w:r>
          </w:p>
        </w:tc>
      </w:tr>
    </w:tbl>
    <w:p w14:paraId="2AF196F0">
      <w:r>
        <w:rPr>
          <w:rFonts w:hint="eastAsia"/>
        </w:rPr>
        <w:t>创建完成后，在右侧</w:t>
      </w:r>
      <w:r>
        <w:rPr>
          <w:rFonts w:hint="eastAsia"/>
          <w:bCs/>
        </w:rPr>
        <w:t>操作</w:t>
      </w:r>
      <w:r>
        <w:rPr>
          <w:rFonts w:hint="eastAsia"/>
        </w:rPr>
        <w:t xml:space="preserve">列下点击 </w:t>
      </w:r>
      <w:r>
        <w:drawing>
          <wp:inline distT="0" distB="0" distL="114300" distR="114300">
            <wp:extent cx="209550" cy="257175"/>
            <wp:effectExtent l="0" t="0" r="0" b="9525"/>
            <wp:docPr id="497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8" name="图片 88"/>
                    <pic:cNvPicPr>
                      <a:picLocks noChangeAspect="1"/>
                    </pic:cNvPicPr>
                  </pic:nvPicPr>
                  <pic:blipFill>
                    <a:blip r:embed="rId969"/>
                    <a:stretch>
                      <a:fillRect/>
                    </a:stretch>
                  </pic:blipFill>
                  <pic:spPr>
                    <a:xfrm>
                      <a:off x="0" y="0"/>
                      <a:ext cx="209550" cy="257175"/>
                    </a:xfrm>
                    <a:prstGeom prst="rect">
                      <a:avLst/>
                    </a:prstGeom>
                    <a:noFill/>
                    <a:ln>
                      <a:noFill/>
                    </a:ln>
                  </pic:spPr>
                </pic:pic>
              </a:graphicData>
            </a:graphic>
          </wp:inline>
        </w:drawing>
      </w:r>
      <w:r>
        <w:t xml:space="preserve"> </w:t>
      </w:r>
      <w:r>
        <w:rPr>
          <w:rFonts w:hint="eastAsia"/>
        </w:rPr>
        <w:t>图标立即执行A</w:t>
      </w:r>
      <w:r>
        <w:t>RP</w:t>
      </w:r>
      <w:r>
        <w:rPr>
          <w:rFonts w:hint="eastAsia"/>
        </w:rPr>
        <w:t xml:space="preserve">扫描任务，点击 </w:t>
      </w:r>
      <w:r>
        <w:drawing>
          <wp:inline distT="0" distB="0" distL="114300" distR="114300">
            <wp:extent cx="190500" cy="247650"/>
            <wp:effectExtent l="0" t="0" r="0" b="0"/>
            <wp:docPr id="497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9" name="图片 89"/>
                    <pic:cNvPicPr>
                      <a:picLocks noChangeAspect="1"/>
                    </pic:cNvPicPr>
                  </pic:nvPicPr>
                  <pic:blipFill>
                    <a:blip r:embed="rId970"/>
                    <a:stretch>
                      <a:fillRect/>
                    </a:stretch>
                  </pic:blipFill>
                  <pic:spPr>
                    <a:xfrm>
                      <a:off x="0" y="0"/>
                      <a:ext cx="190500" cy="247650"/>
                    </a:xfrm>
                    <a:prstGeom prst="rect">
                      <a:avLst/>
                    </a:prstGeom>
                    <a:noFill/>
                    <a:ln>
                      <a:noFill/>
                    </a:ln>
                  </pic:spPr>
                </pic:pic>
              </a:graphicData>
            </a:graphic>
          </wp:inline>
        </w:drawing>
      </w:r>
      <w:r>
        <w:rPr>
          <w:rFonts w:hint="eastAsia"/>
        </w:rPr>
        <w:t xml:space="preserve"> 图标展示同步结果。</w:t>
      </w:r>
    </w:p>
    <w:p w14:paraId="11384C2F">
      <w:pPr>
        <w:spacing w:before="79" w:after="79"/>
        <w:rPr>
          <w:rFonts w:cs="Cambria"/>
        </w:rPr>
      </w:pPr>
      <w:r>
        <w:drawing>
          <wp:inline distT="0" distB="0" distL="0" distR="0">
            <wp:extent cx="4152900" cy="3143250"/>
            <wp:effectExtent l="0" t="0" r="0" b="0"/>
            <wp:docPr id="498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0" name="图片 8"/>
                    <pic:cNvPicPr>
                      <a:picLocks noChangeAspect="1" noChangeArrowheads="1"/>
                    </pic:cNvPicPr>
                  </pic:nvPicPr>
                  <pic:blipFill>
                    <a:blip r:embed="rId975">
                      <a:extLst>
                        <a:ext uri="{28A0092B-C50C-407E-A947-70E740481C1C}">
                          <a14:useLocalDpi xmlns:a14="http://schemas.microsoft.com/office/drawing/2010/main" val="0"/>
                        </a:ext>
                      </a:extLst>
                    </a:blip>
                    <a:srcRect/>
                    <a:stretch>
                      <a:fillRect/>
                    </a:stretch>
                  </pic:blipFill>
                  <pic:spPr>
                    <a:xfrm>
                      <a:off x="0" y="0"/>
                      <a:ext cx="4152900" cy="3143250"/>
                    </a:xfrm>
                    <a:prstGeom prst="rect">
                      <a:avLst/>
                    </a:prstGeom>
                    <a:noFill/>
                    <a:ln>
                      <a:noFill/>
                    </a:ln>
                  </pic:spPr>
                </pic:pic>
              </a:graphicData>
            </a:graphic>
          </wp:inline>
        </w:drawing>
      </w:r>
    </w:p>
    <w:p w14:paraId="37CF5621">
      <w:pPr>
        <w:pStyle w:val="4"/>
      </w:pPr>
      <w:bookmarkStart w:id="8138" w:name="_Toc194081154"/>
      <w:bookmarkStart w:id="8139" w:name="_Ref141791325"/>
      <w:bookmarkStart w:id="8140" w:name="_Toc142401032"/>
      <w:bookmarkStart w:id="8141" w:name="_Toc137560372"/>
      <w:bookmarkStart w:id="8142" w:name="_Toc172218273"/>
      <w:bookmarkStart w:id="8143" w:name="_Toc196728482"/>
      <w:bookmarkStart w:id="8144" w:name="_Ref141791330"/>
      <w:bookmarkStart w:id="8145" w:name="_Toc111107798"/>
      <w:bookmarkStart w:id="8146" w:name="_Toc141873516"/>
      <w:r>
        <w:rPr>
          <w:rFonts w:hint="eastAsia"/>
        </w:rPr>
        <w:t>I</w:t>
      </w:r>
      <w:r>
        <w:t>P-MAC</w:t>
      </w:r>
      <w:r>
        <w:rPr>
          <w:rFonts w:hint="eastAsia"/>
        </w:rPr>
        <w:t>绑定</w:t>
      </w:r>
      <w:bookmarkEnd w:id="8138"/>
      <w:bookmarkEnd w:id="8139"/>
      <w:bookmarkEnd w:id="8140"/>
      <w:bookmarkEnd w:id="8141"/>
      <w:bookmarkEnd w:id="8142"/>
      <w:bookmarkEnd w:id="8143"/>
      <w:bookmarkEnd w:id="8144"/>
      <w:bookmarkEnd w:id="8145"/>
      <w:bookmarkEnd w:id="8146"/>
    </w:p>
    <w:p w14:paraId="28280C87">
      <w:r>
        <w:rPr>
          <w:rFonts w:hint="eastAsia"/>
        </w:rPr>
        <w:t>可将用户终端的I</w:t>
      </w:r>
      <w:r>
        <w:t>P</w:t>
      </w:r>
      <w:r>
        <w:rPr>
          <w:rFonts w:hint="eastAsia"/>
        </w:rPr>
        <w:t>及M</w:t>
      </w:r>
      <w:r>
        <w:t>AC</w:t>
      </w:r>
      <w:r>
        <w:rPr>
          <w:rFonts w:hint="eastAsia"/>
        </w:rPr>
        <w:t>进行绑定，增强用户访问网络的安全性。启用该功能后，通过设备报文的</w:t>
      </w:r>
      <w:r>
        <w:t>MAC</w:t>
      </w:r>
      <w:r>
        <w:rPr>
          <w:rFonts w:hint="eastAsia"/>
        </w:rPr>
        <w:t>和</w:t>
      </w:r>
      <w:r>
        <w:t>IP</w:t>
      </w:r>
      <w:r>
        <w:rPr>
          <w:rFonts w:hint="eastAsia"/>
        </w:rPr>
        <w:t>地址必须与绑定关系保持严格一致，否则报文将被丢弃。</w:t>
      </w:r>
    </w:p>
    <w:p w14:paraId="23755709">
      <w:r>
        <w:rPr>
          <w:rFonts w:hint="eastAsia"/>
          <w:bCs/>
        </w:rPr>
        <w:t>选择</w:t>
      </w:r>
      <w:r>
        <w:rPr>
          <w:rStyle w:val="375"/>
          <w:rFonts w:hint="eastAsia"/>
        </w:rPr>
        <w:t>“用户管理&gt;用户管理&gt;IP-MAC绑定”</w:t>
      </w:r>
      <w:r>
        <w:rPr>
          <w:rFonts w:hint="eastAsia"/>
          <w:bCs/>
        </w:rPr>
        <w:t>，</w:t>
      </w:r>
      <w:r>
        <w:rPr>
          <w:rFonts w:hint="eastAsia"/>
        </w:rPr>
        <w:t>查看设备上已有的IP-MAC绑定配置。</w:t>
      </w:r>
    </w:p>
    <w:p w14:paraId="6798AC64">
      <w:pPr>
        <w:pStyle w:val="188"/>
      </w:pPr>
      <w:bookmarkStart w:id="8147" w:name="_Toc141874777"/>
      <w:r>
        <w:rPr>
          <w:rFonts w:hint="eastAsia"/>
        </w:rPr>
        <w:t>IP-MAC绑定显示页面</w:t>
      </w:r>
      <w:bookmarkEnd w:id="8147"/>
    </w:p>
    <w:p w14:paraId="671A540A">
      <w:pPr>
        <w:spacing w:before="79" w:after="79"/>
        <w:rPr>
          <w:rFonts w:cs="Cambria"/>
        </w:rPr>
      </w:pPr>
      <w:r>
        <w:drawing>
          <wp:inline distT="0" distB="0" distL="0" distR="0">
            <wp:extent cx="5495925" cy="692150"/>
            <wp:effectExtent l="0" t="0" r="0" b="0"/>
            <wp:docPr id="30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40"/>
                    <pic:cNvPicPr>
                      <a:picLocks noChangeAspect="1" noChangeArrowheads="1"/>
                    </pic:cNvPicPr>
                  </pic:nvPicPr>
                  <pic:blipFill>
                    <a:blip r:embed="rId976">
                      <a:extLst>
                        <a:ext uri="{28A0092B-C50C-407E-A947-70E740481C1C}">
                          <a14:useLocalDpi xmlns:a14="http://schemas.microsoft.com/office/drawing/2010/main" val="0"/>
                        </a:ext>
                      </a:extLst>
                    </a:blip>
                    <a:srcRect t="20588"/>
                    <a:stretch>
                      <a:fillRect/>
                    </a:stretch>
                  </pic:blipFill>
                  <pic:spPr>
                    <a:xfrm>
                      <a:off x="0" y="0"/>
                      <a:ext cx="5529290" cy="696536"/>
                    </a:xfrm>
                    <a:prstGeom prst="rect">
                      <a:avLst/>
                    </a:prstGeom>
                    <a:noFill/>
                    <a:ln>
                      <a:noFill/>
                    </a:ln>
                  </pic:spPr>
                </pic:pic>
              </a:graphicData>
            </a:graphic>
          </wp:inline>
        </w:drawing>
      </w:r>
    </w:p>
    <w:p w14:paraId="7816EA0F">
      <w:r>
        <w:rPr>
          <w:rFonts w:hint="eastAsia"/>
        </w:rPr>
        <w:t>新建I</w:t>
      </w:r>
      <w:r>
        <w:t>P-MAC</w:t>
      </w:r>
      <w:r>
        <w:rPr>
          <w:rFonts w:hint="eastAsia"/>
        </w:rPr>
        <w:t>绑定条目的操作方法如下：</w:t>
      </w:r>
    </w:p>
    <w:p w14:paraId="221E26E7">
      <w:r>
        <w:rPr>
          <w:rFonts w:hint="eastAsia"/>
        </w:rPr>
        <w:t>点击&lt;新建</w:t>
      </w:r>
      <w:r>
        <w:t>&gt;</w:t>
      </w:r>
      <w:r>
        <w:rPr>
          <w:rFonts w:hint="eastAsia"/>
        </w:rPr>
        <w:t>，编辑相关信息，点击&lt;提交</w:t>
      </w:r>
      <w:r>
        <w:t>&gt;</w:t>
      </w:r>
      <w:r>
        <w:rPr>
          <w:rFonts w:hint="eastAsia"/>
        </w:rPr>
        <w:t>。</w:t>
      </w:r>
    </w:p>
    <w:p w14:paraId="79C743A8">
      <w:pPr>
        <w:pStyle w:val="188"/>
      </w:pPr>
      <w:bookmarkStart w:id="8148" w:name="_Toc141874778"/>
      <w:r>
        <w:rPr>
          <w:rFonts w:hint="eastAsia"/>
        </w:rPr>
        <w:t>IP-MAC绑定配置页面</w:t>
      </w:r>
      <w:bookmarkEnd w:id="8148"/>
    </w:p>
    <w:p w14:paraId="6C7B78C4">
      <w:pPr>
        <w:spacing w:before="79" w:after="79"/>
      </w:pPr>
      <w:r>
        <w:drawing>
          <wp:inline distT="0" distB="0" distL="0" distR="0">
            <wp:extent cx="5186680" cy="1929765"/>
            <wp:effectExtent l="0" t="0" r="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pic:cNvPicPr>
                      <a:picLocks noChangeAspect="1"/>
                    </pic:cNvPicPr>
                  </pic:nvPicPr>
                  <pic:blipFill>
                    <a:blip r:embed="rId977"/>
                    <a:srcRect t="14940"/>
                    <a:stretch>
                      <a:fillRect/>
                    </a:stretch>
                  </pic:blipFill>
                  <pic:spPr>
                    <a:xfrm>
                      <a:off x="0" y="0"/>
                      <a:ext cx="5201645" cy="1935910"/>
                    </a:xfrm>
                    <a:prstGeom prst="rect">
                      <a:avLst/>
                    </a:prstGeom>
                    <a:ln>
                      <a:noFill/>
                    </a:ln>
                  </pic:spPr>
                </pic:pic>
              </a:graphicData>
            </a:graphic>
          </wp:inline>
        </w:drawing>
      </w:r>
    </w:p>
    <w:p w14:paraId="57D4F768">
      <w:r>
        <w:rPr>
          <w:rFonts w:hint="eastAsia"/>
        </w:rPr>
        <w:t>I</w:t>
      </w:r>
      <w:r>
        <w:t>P-MAC</w:t>
      </w:r>
      <w:r>
        <w:rPr>
          <w:rFonts w:hint="eastAsia"/>
        </w:rPr>
        <w:t>绑定配置项及详细说明如下。</w:t>
      </w:r>
    </w:p>
    <w:tbl>
      <w:tblPr>
        <w:tblStyle w:val="173"/>
        <w:tblW w:w="500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111"/>
        <w:gridCol w:w="7131"/>
      </w:tblGrid>
      <w:tr w14:paraId="279DBA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142" w:type="pct"/>
            <w:tcBorders>
              <w:tl2br w:val="nil"/>
              <w:tr2bl w:val="nil"/>
            </w:tcBorders>
            <w:shd w:val="clear" w:color="auto" w:fill="538135" w:themeFill="accent6" w:themeFillShade="BF"/>
            <w:vAlign w:val="center"/>
          </w:tcPr>
          <w:p w14:paraId="20242288">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3858" w:type="pct"/>
            <w:tcBorders>
              <w:tl2br w:val="nil"/>
              <w:tr2bl w:val="nil"/>
            </w:tcBorders>
            <w:shd w:val="clear" w:color="auto" w:fill="538135" w:themeFill="accent6" w:themeFillShade="BF"/>
            <w:vAlign w:val="center"/>
          </w:tcPr>
          <w:p w14:paraId="254D7567">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7A11F4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142" w:type="pct"/>
            <w:shd w:val="clear" w:color="auto" w:fill="auto"/>
          </w:tcPr>
          <w:p w14:paraId="690972CE">
            <w:pPr>
              <w:pStyle w:val="150"/>
            </w:pPr>
            <w:r>
              <w:rPr>
                <w:rFonts w:hint="eastAsia"/>
              </w:rPr>
              <w:t>名称</w:t>
            </w:r>
          </w:p>
        </w:tc>
        <w:tc>
          <w:tcPr>
            <w:tcW w:w="3858" w:type="pct"/>
            <w:shd w:val="clear" w:color="auto" w:fill="auto"/>
          </w:tcPr>
          <w:p w14:paraId="2A8637A8">
            <w:pPr>
              <w:pStyle w:val="150"/>
            </w:pPr>
            <w:r>
              <w:rPr>
                <w:rFonts w:hint="eastAsia"/>
              </w:rPr>
              <w:t>输入I</w:t>
            </w:r>
            <w:r>
              <w:t>P-MAC</w:t>
            </w:r>
            <w:r>
              <w:rPr>
                <w:rFonts w:hint="eastAsia"/>
              </w:rPr>
              <w:t>绑定条目的名称。1~</w:t>
            </w:r>
            <w:r>
              <w:t>63</w:t>
            </w:r>
            <w:r>
              <w:rPr>
                <w:rFonts w:hint="eastAsia"/>
              </w:rPr>
              <w:t>字符。</w:t>
            </w:r>
          </w:p>
        </w:tc>
      </w:tr>
      <w:tr w14:paraId="73D8A81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142" w:type="pct"/>
            <w:shd w:val="clear" w:color="auto" w:fill="auto"/>
          </w:tcPr>
          <w:p w14:paraId="1DD65118">
            <w:pPr>
              <w:pStyle w:val="150"/>
            </w:pPr>
            <w:r>
              <w:rPr>
                <w:rFonts w:hint="eastAsia"/>
              </w:rPr>
              <w:t>描述</w:t>
            </w:r>
          </w:p>
        </w:tc>
        <w:tc>
          <w:tcPr>
            <w:tcW w:w="3858" w:type="pct"/>
            <w:shd w:val="clear" w:color="auto" w:fill="auto"/>
          </w:tcPr>
          <w:p w14:paraId="41F1C9D4">
            <w:pPr>
              <w:pStyle w:val="150"/>
            </w:pPr>
            <w:r>
              <w:rPr>
                <w:rFonts w:hint="eastAsia"/>
              </w:rPr>
              <w:t>输入I</w:t>
            </w:r>
            <w:r>
              <w:t>P-MAC</w:t>
            </w:r>
            <w:r>
              <w:rPr>
                <w:rFonts w:hint="eastAsia"/>
              </w:rPr>
              <w:t>绑定条目的描述信息（可选）。</w:t>
            </w:r>
          </w:p>
        </w:tc>
      </w:tr>
      <w:tr w14:paraId="66ED42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142" w:type="pct"/>
            <w:shd w:val="clear" w:color="auto" w:fill="auto"/>
          </w:tcPr>
          <w:p w14:paraId="59B6B2DC">
            <w:pPr>
              <w:pStyle w:val="150"/>
            </w:pPr>
            <w:r>
              <w:rPr>
                <w:rFonts w:hint="eastAsia"/>
              </w:rPr>
              <w:t>I</w:t>
            </w:r>
            <w:r>
              <w:t>P</w:t>
            </w:r>
            <w:r>
              <w:rPr>
                <w:rFonts w:hint="eastAsia"/>
              </w:rPr>
              <w:t>地址/</w:t>
            </w:r>
            <w:r>
              <w:t>MAC</w:t>
            </w:r>
            <w:r>
              <w:rPr>
                <w:rFonts w:hint="eastAsia"/>
              </w:rPr>
              <w:t>地址</w:t>
            </w:r>
          </w:p>
        </w:tc>
        <w:tc>
          <w:tcPr>
            <w:tcW w:w="3858" w:type="pct"/>
            <w:shd w:val="clear" w:color="auto" w:fill="auto"/>
          </w:tcPr>
          <w:p w14:paraId="50F876AA">
            <w:pPr>
              <w:pStyle w:val="150"/>
            </w:pPr>
            <w:r>
              <w:rPr>
                <w:rFonts w:hint="eastAsia"/>
              </w:rPr>
              <w:t>输入绑定的I</w:t>
            </w:r>
            <w:r>
              <w:t>P</w:t>
            </w:r>
            <w:r>
              <w:rPr>
                <w:rFonts w:hint="eastAsia"/>
              </w:rPr>
              <w:t>地址和M</w:t>
            </w:r>
            <w:r>
              <w:t>AC</w:t>
            </w:r>
            <w:r>
              <w:rPr>
                <w:rFonts w:hint="eastAsia"/>
              </w:rPr>
              <w:t>地址。</w:t>
            </w:r>
          </w:p>
        </w:tc>
      </w:tr>
      <w:tr w14:paraId="142398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142" w:type="pct"/>
            <w:shd w:val="clear" w:color="auto" w:fill="auto"/>
          </w:tcPr>
          <w:p w14:paraId="37158F6A">
            <w:pPr>
              <w:pStyle w:val="150"/>
            </w:pPr>
            <w:r>
              <w:rPr>
                <w:rFonts w:hint="eastAsia"/>
              </w:rPr>
              <w:t>唯一性</w:t>
            </w:r>
          </w:p>
        </w:tc>
        <w:tc>
          <w:tcPr>
            <w:tcW w:w="3858" w:type="pct"/>
            <w:shd w:val="clear" w:color="auto" w:fill="auto"/>
          </w:tcPr>
          <w:p w14:paraId="512BB09F">
            <w:pPr>
              <w:pStyle w:val="150"/>
            </w:pPr>
            <w:r>
              <w:rPr>
                <w:rFonts w:hint="eastAsia"/>
              </w:rPr>
              <w:t>勾选复选框后，一个M</w:t>
            </w:r>
            <w:r>
              <w:t>AC</w:t>
            </w:r>
            <w:r>
              <w:rPr>
                <w:rFonts w:hint="eastAsia"/>
              </w:rPr>
              <w:t>地址只能与一个I</w:t>
            </w:r>
            <w:r>
              <w:t>P</w:t>
            </w:r>
            <w:r>
              <w:rPr>
                <w:rFonts w:hint="eastAsia"/>
              </w:rPr>
              <w:t>地址绑定，否则一个M</w:t>
            </w:r>
            <w:r>
              <w:t>AC</w:t>
            </w:r>
            <w:r>
              <w:rPr>
                <w:rFonts w:hint="eastAsia"/>
              </w:rPr>
              <w:t>地址可以与多个I</w:t>
            </w:r>
            <w:r>
              <w:t>P</w:t>
            </w:r>
            <w:r>
              <w:rPr>
                <w:rFonts w:hint="eastAsia"/>
              </w:rPr>
              <w:t>地址绑定。</w:t>
            </w:r>
          </w:p>
        </w:tc>
      </w:tr>
    </w:tbl>
    <w:p w14:paraId="34A9F6E5"/>
    <w:p w14:paraId="777183C8">
      <w:r>
        <w:rPr>
          <w:rFonts w:hint="eastAsia"/>
        </w:rPr>
        <w:t>其他操作：</w:t>
      </w:r>
    </w:p>
    <w:p w14:paraId="58D992A1">
      <w:r>
        <w:rPr>
          <w:rFonts w:hint="eastAsia"/>
        </w:rPr>
        <w:t>在</w:t>
      </w:r>
      <w:r>
        <w:rPr>
          <w:rFonts w:hint="eastAsia"/>
          <w:bCs/>
        </w:rPr>
        <w:t>操作</w:t>
      </w:r>
      <w:r>
        <w:rPr>
          <w:rFonts w:hint="eastAsia"/>
        </w:rPr>
        <w:t>列下点击</w:t>
      </w:r>
      <w:r>
        <w:drawing>
          <wp:inline distT="0" distB="0" distL="0" distR="0">
            <wp:extent cx="123825" cy="123825"/>
            <wp:effectExtent l="0" t="0" r="0" b="0"/>
            <wp:docPr id="310"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8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a:xfrm>
                      <a:off x="0" y="0"/>
                      <a:ext cx="123825" cy="123825"/>
                    </a:xfrm>
                    <a:prstGeom prst="rect">
                      <a:avLst/>
                    </a:prstGeom>
                    <a:noFill/>
                    <a:ln>
                      <a:noFill/>
                    </a:ln>
                  </pic:spPr>
                </pic:pic>
              </a:graphicData>
            </a:graphic>
          </wp:inline>
        </w:drawing>
      </w:r>
      <w:r>
        <w:rPr>
          <w:rFonts w:hint="eastAsia"/>
        </w:rPr>
        <w:t>图标修改已有的条目。</w:t>
      </w:r>
    </w:p>
    <w:p w14:paraId="2DDB17CF">
      <w:r>
        <w:rPr>
          <w:rFonts w:hint="eastAsia"/>
        </w:rPr>
        <w:t>点击&lt;</w:t>
      </w:r>
      <w:r>
        <w:rPr>
          <w:rFonts w:hint="eastAsia"/>
          <w:bCs/>
        </w:rPr>
        <w:t>下载模板</w:t>
      </w:r>
      <w:r>
        <w:t>&gt;</w:t>
      </w:r>
      <w:r>
        <w:rPr>
          <w:rFonts w:hint="eastAsia"/>
        </w:rPr>
        <w:t>，可下载模板文件，编辑模板文件并保存。之后点击&lt;</w:t>
      </w:r>
      <w:r>
        <w:rPr>
          <w:rFonts w:hint="eastAsia"/>
          <w:bCs/>
        </w:rPr>
        <w:t>导入</w:t>
      </w:r>
      <w:r>
        <w:t>&gt;</w:t>
      </w:r>
      <w:r>
        <w:rPr>
          <w:rFonts w:hint="eastAsia"/>
        </w:rPr>
        <w:t>，选择编辑后的模板文件，即可批量导入I</w:t>
      </w:r>
      <w:r>
        <w:t>P-MAC</w:t>
      </w:r>
      <w:r>
        <w:rPr>
          <w:rFonts w:hint="eastAsia"/>
        </w:rPr>
        <w:t>绑定条目。</w:t>
      </w:r>
    </w:p>
    <w:p w14:paraId="492D3A90">
      <w:r>
        <w:rPr>
          <w:rFonts w:hint="eastAsia"/>
        </w:rPr>
        <w:t>点击&lt;</w:t>
      </w:r>
      <w:r>
        <w:rPr>
          <w:rFonts w:hint="eastAsia"/>
          <w:bCs/>
        </w:rPr>
        <w:t>导出</w:t>
      </w:r>
      <w:r>
        <w:t>&gt;</w:t>
      </w:r>
      <w:r>
        <w:rPr>
          <w:rFonts w:hint="eastAsia"/>
        </w:rPr>
        <w:t>，导出I</w:t>
      </w:r>
      <w:r>
        <w:t>P-MAC</w:t>
      </w:r>
      <w:r>
        <w:rPr>
          <w:rFonts w:hint="eastAsia"/>
        </w:rPr>
        <w:t>条目。</w:t>
      </w:r>
    </w:p>
    <w:p w14:paraId="672C8266">
      <w:pPr>
        <w:pStyle w:val="4"/>
      </w:pPr>
      <w:bookmarkStart w:id="8149" w:name="_Toc141873517"/>
      <w:bookmarkStart w:id="8150" w:name="_Toc142401033"/>
      <w:bookmarkStart w:id="8151" w:name="_Toc137560373"/>
      <w:bookmarkStart w:id="8152" w:name="_Toc194081155"/>
      <w:bookmarkStart w:id="8153" w:name="_Ref120122721"/>
      <w:bookmarkStart w:id="8154" w:name="_Toc172218274"/>
      <w:bookmarkStart w:id="8155" w:name="_Toc196728483"/>
      <w:r>
        <w:rPr>
          <w:rFonts w:hint="eastAsia"/>
        </w:rPr>
        <w:t>高级</w:t>
      </w:r>
      <w:r>
        <w:t>选项</w:t>
      </w:r>
      <w:bookmarkEnd w:id="8149"/>
      <w:bookmarkEnd w:id="8150"/>
      <w:bookmarkEnd w:id="8151"/>
      <w:bookmarkEnd w:id="8152"/>
      <w:bookmarkEnd w:id="8153"/>
      <w:bookmarkEnd w:id="8154"/>
      <w:bookmarkEnd w:id="8155"/>
    </w:p>
    <w:p w14:paraId="319365F6">
      <w:pPr>
        <w:pStyle w:val="5"/>
      </w:pPr>
      <w:bookmarkStart w:id="8156" w:name="_Toc194081156"/>
      <w:bookmarkStart w:id="8157" w:name="_Toc172218275"/>
      <w:bookmarkStart w:id="8158" w:name="_Ref167459853"/>
      <w:bookmarkStart w:id="8159" w:name="_Toc196728484"/>
      <w:r>
        <w:rPr>
          <w:rFonts w:hint="eastAsia"/>
        </w:rPr>
        <w:t>自定义</w:t>
      </w:r>
      <w:r>
        <w:t>属性</w:t>
      </w:r>
      <w:bookmarkEnd w:id="8156"/>
      <w:bookmarkEnd w:id="8157"/>
      <w:bookmarkEnd w:id="8158"/>
      <w:bookmarkEnd w:id="8159"/>
    </w:p>
    <w:p w14:paraId="7EBB5F36">
      <w:r>
        <w:rPr>
          <w:rFonts w:hint="eastAsia"/>
        </w:rPr>
        <w:t>用户</w:t>
      </w:r>
      <w:r>
        <w:t>可以</w:t>
      </w:r>
      <w:r>
        <w:rPr>
          <w:rFonts w:hint="eastAsia"/>
        </w:rPr>
        <w:t>创建自定义</w:t>
      </w:r>
      <w:r>
        <w:t>属性的</w:t>
      </w:r>
      <w:r>
        <w:rPr>
          <w:rFonts w:hint="eastAsia"/>
        </w:rPr>
        <w:t>属性</w:t>
      </w:r>
      <w:r>
        <w:t>名</w:t>
      </w:r>
      <w:r>
        <w:rPr>
          <w:rFonts w:hint="eastAsia"/>
        </w:rPr>
        <w:t>（key）</w:t>
      </w:r>
      <w:r>
        <w:t>和属性值</w:t>
      </w:r>
      <w:r>
        <w:rPr>
          <w:rFonts w:hint="eastAsia"/>
        </w:rPr>
        <w:t>（value）</w:t>
      </w:r>
      <w:r>
        <w:t>，</w:t>
      </w:r>
      <w:r>
        <w:rPr>
          <w:rFonts w:hint="eastAsia"/>
        </w:rPr>
        <w:t>在</w:t>
      </w:r>
      <w:r>
        <w:t>用户</w:t>
      </w:r>
      <w:r>
        <w:rPr>
          <w:rFonts w:hint="eastAsia"/>
        </w:rPr>
        <w:t>、属性组及用户自注册配置</w:t>
      </w:r>
      <w:r>
        <w:t>页面，</w:t>
      </w:r>
      <w:r>
        <w:rPr>
          <w:rFonts w:hint="eastAsia"/>
        </w:rPr>
        <w:t>可以引用</w:t>
      </w:r>
      <w:r>
        <w:t>自定义的属性</w:t>
      </w:r>
      <w:r>
        <w:rPr>
          <w:rFonts w:hint="eastAsia"/>
        </w:rPr>
        <w:t>。引用</w:t>
      </w:r>
      <w:r>
        <w:t>的属性</w:t>
      </w:r>
      <w:r>
        <w:rPr>
          <w:rFonts w:hint="eastAsia"/>
        </w:rPr>
        <w:t>组</w:t>
      </w:r>
      <w:r>
        <w:t>为</w:t>
      </w:r>
      <w:r>
        <w:rPr>
          <w:rFonts w:hint="eastAsia"/>
        </w:rPr>
        <w:t>一个或者多个“key-value”组合，多个组合之间是“与”的</w:t>
      </w:r>
      <w:r>
        <w:t>关系</w:t>
      </w:r>
      <w:r>
        <w:rPr>
          <w:rFonts w:hint="eastAsia"/>
        </w:rPr>
        <w:t>，即同时满足“key-value”组合的用户，能与该属性组匹配；配置策略时可以引用属性组，该属性组下的用户匹配对应的策略；所有用户都可以具备一样的属性。</w:t>
      </w:r>
    </w:p>
    <w:p w14:paraId="75409A71">
      <w:pPr>
        <w:rPr>
          <w:rStyle w:val="375"/>
        </w:rPr>
      </w:pPr>
      <w:r>
        <w:rPr>
          <w:rFonts w:hint="eastAsia"/>
          <w:bCs/>
        </w:rPr>
        <w:t>选择“用户管理 &gt; 用户管理</w:t>
      </w:r>
      <w:r>
        <w:rPr>
          <w:rStyle w:val="375"/>
          <w:rFonts w:hint="eastAsia"/>
        </w:rPr>
        <w:t>&gt;高级选项”，</w:t>
      </w:r>
      <w:r>
        <w:rPr>
          <w:rStyle w:val="375"/>
        </w:rPr>
        <w:t>进入</w:t>
      </w:r>
      <w:r>
        <w:rPr>
          <w:rStyle w:val="375"/>
          <w:rFonts w:hint="eastAsia"/>
        </w:rPr>
        <w:t>自定义</w:t>
      </w:r>
      <w:r>
        <w:rPr>
          <w:rStyle w:val="375"/>
        </w:rPr>
        <w:t>属性界面</w:t>
      </w:r>
      <w:r>
        <w:rPr>
          <w:rStyle w:val="375"/>
          <w:rFonts w:hint="eastAsia"/>
        </w:rPr>
        <w:t>，展示系统上已配置的所有自定义属性信息。</w:t>
      </w:r>
    </w:p>
    <w:p w14:paraId="4A71DCC2">
      <w:pPr>
        <w:pStyle w:val="188"/>
        <w:rPr>
          <w:rStyle w:val="375"/>
        </w:rPr>
      </w:pPr>
      <w:bookmarkStart w:id="8160" w:name="_Toc141874779"/>
      <w:r>
        <w:rPr>
          <w:rStyle w:val="375"/>
          <w:rFonts w:hint="eastAsia"/>
        </w:rPr>
        <w:t>自定义属性页面</w:t>
      </w:r>
      <w:bookmarkEnd w:id="8160"/>
    </w:p>
    <w:p w14:paraId="0D2ED41F">
      <w:pPr>
        <w:spacing w:before="79" w:after="79"/>
      </w:pPr>
      <w:r>
        <w:drawing>
          <wp:inline distT="0" distB="0" distL="0" distR="0">
            <wp:extent cx="3838575" cy="1139190"/>
            <wp:effectExtent l="0" t="0" r="0" b="3810"/>
            <wp:docPr id="1802027841" name="图片 1802027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41" name="图片 1802027841"/>
                    <pic:cNvPicPr>
                      <a:picLocks noChangeAspect="1"/>
                    </pic:cNvPicPr>
                  </pic:nvPicPr>
                  <pic:blipFill>
                    <a:blip r:embed="rId978"/>
                    <a:stretch>
                      <a:fillRect/>
                    </a:stretch>
                  </pic:blipFill>
                  <pic:spPr>
                    <a:xfrm>
                      <a:off x="0" y="0"/>
                      <a:ext cx="3845911" cy="1141755"/>
                    </a:xfrm>
                    <a:prstGeom prst="rect">
                      <a:avLst/>
                    </a:prstGeom>
                  </pic:spPr>
                </pic:pic>
              </a:graphicData>
            </a:graphic>
          </wp:inline>
        </w:drawing>
      </w:r>
    </w:p>
    <w:p w14:paraId="588C7457">
      <w:pPr>
        <w:snapToGrid w:val="0"/>
        <w:spacing w:before="120" w:after="120" w:line="276" w:lineRule="auto"/>
      </w:pPr>
    </w:p>
    <w:p w14:paraId="1F580799">
      <w:r>
        <w:rPr>
          <w:rFonts w:hint="eastAsia"/>
        </w:rPr>
        <w:t>点击&lt;</w:t>
      </w:r>
      <w:r>
        <w:rPr>
          <w:rFonts w:hint="eastAsia"/>
          <w:b/>
        </w:rPr>
        <w:t>新建</w:t>
      </w:r>
      <w:r>
        <w:t>&gt;</w:t>
      </w:r>
      <w:r>
        <w:rPr>
          <w:rFonts w:hint="eastAsia"/>
        </w:rPr>
        <w:t>，编辑相关信息，点击&lt;</w:t>
      </w:r>
      <w:r>
        <w:rPr>
          <w:rFonts w:hint="eastAsia"/>
          <w:b/>
          <w:bCs/>
        </w:rPr>
        <w:t>提交</w:t>
      </w:r>
      <w:r>
        <w:t>&gt;</w:t>
      </w:r>
      <w:r>
        <w:rPr>
          <w:rFonts w:hint="eastAsia"/>
        </w:rPr>
        <w:t>。</w:t>
      </w:r>
    </w:p>
    <w:p w14:paraId="0F2831D5">
      <w:pPr>
        <w:spacing w:before="79" w:after="79"/>
      </w:pPr>
      <w:r>
        <w:drawing>
          <wp:inline distT="0" distB="0" distL="0" distR="0">
            <wp:extent cx="4967605" cy="2152015"/>
            <wp:effectExtent l="0" t="0" r="4445" b="635"/>
            <wp:docPr id="4955" name="图片 4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5" name="图片 4955"/>
                    <pic:cNvPicPr>
                      <a:picLocks noChangeAspect="1"/>
                    </pic:cNvPicPr>
                  </pic:nvPicPr>
                  <pic:blipFill>
                    <a:blip r:embed="rId979"/>
                    <a:srcRect t="9434"/>
                    <a:stretch>
                      <a:fillRect/>
                    </a:stretch>
                  </pic:blipFill>
                  <pic:spPr>
                    <a:xfrm>
                      <a:off x="0" y="0"/>
                      <a:ext cx="4977028" cy="2156471"/>
                    </a:xfrm>
                    <a:prstGeom prst="rect">
                      <a:avLst/>
                    </a:prstGeom>
                    <a:ln>
                      <a:noFill/>
                    </a:ln>
                  </pic:spPr>
                </pic:pic>
              </a:graphicData>
            </a:graphic>
          </wp:inline>
        </w:drawing>
      </w:r>
    </w:p>
    <w:p w14:paraId="140C632A">
      <w:pPr>
        <w:snapToGrid w:val="0"/>
        <w:spacing w:before="120" w:after="120" w:line="276" w:lineRule="auto"/>
      </w:pPr>
    </w:p>
    <w:p w14:paraId="3A45113C">
      <w:r>
        <w:rPr>
          <w:rFonts w:hint="eastAsia"/>
        </w:rPr>
        <w:t>自定义</w:t>
      </w:r>
      <w:r>
        <w:t>属性</w:t>
      </w:r>
      <w:r>
        <w:rPr>
          <w:rFonts w:hint="eastAsia"/>
        </w:rPr>
        <w:t>配置项及详细说明如下。</w:t>
      </w:r>
    </w:p>
    <w:tbl>
      <w:tblPr>
        <w:tblStyle w:val="173"/>
        <w:tblW w:w="500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111"/>
        <w:gridCol w:w="7131"/>
      </w:tblGrid>
      <w:tr w14:paraId="6DDBE2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142" w:type="pct"/>
            <w:tcBorders>
              <w:tl2br w:val="nil"/>
              <w:tr2bl w:val="nil"/>
            </w:tcBorders>
            <w:shd w:val="clear" w:color="auto" w:fill="538135" w:themeFill="accent6" w:themeFillShade="BF"/>
            <w:vAlign w:val="center"/>
          </w:tcPr>
          <w:p w14:paraId="06B2EF83">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3858" w:type="pct"/>
            <w:tcBorders>
              <w:tl2br w:val="nil"/>
              <w:tr2bl w:val="nil"/>
            </w:tcBorders>
            <w:shd w:val="clear" w:color="auto" w:fill="538135" w:themeFill="accent6" w:themeFillShade="BF"/>
            <w:vAlign w:val="center"/>
          </w:tcPr>
          <w:p w14:paraId="199B175C">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1A9000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142" w:type="pct"/>
            <w:shd w:val="clear" w:color="auto" w:fill="auto"/>
          </w:tcPr>
          <w:p w14:paraId="2794519B">
            <w:pPr>
              <w:pStyle w:val="150"/>
            </w:pPr>
            <w:r>
              <w:rPr>
                <w:rFonts w:hint="eastAsia"/>
              </w:rPr>
              <w:t>属性名</w:t>
            </w:r>
          </w:p>
        </w:tc>
        <w:tc>
          <w:tcPr>
            <w:tcW w:w="3858" w:type="pct"/>
            <w:shd w:val="clear" w:color="auto" w:fill="auto"/>
          </w:tcPr>
          <w:p w14:paraId="000B6EDF">
            <w:pPr>
              <w:pStyle w:val="150"/>
            </w:pPr>
            <w:r>
              <w:rPr>
                <w:rFonts w:hint="eastAsia"/>
              </w:rPr>
              <w:t>用户属性名。</w:t>
            </w:r>
          </w:p>
        </w:tc>
      </w:tr>
      <w:tr w14:paraId="432CEB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142" w:type="pct"/>
            <w:shd w:val="clear" w:color="auto" w:fill="auto"/>
          </w:tcPr>
          <w:p w14:paraId="5B731463">
            <w:pPr>
              <w:pStyle w:val="150"/>
            </w:pPr>
            <w:r>
              <w:rPr>
                <w:rFonts w:hint="eastAsia"/>
              </w:rPr>
              <w:t>属性值</w:t>
            </w:r>
          </w:p>
        </w:tc>
        <w:tc>
          <w:tcPr>
            <w:tcW w:w="3858" w:type="pct"/>
            <w:shd w:val="clear" w:color="auto" w:fill="auto"/>
          </w:tcPr>
          <w:p w14:paraId="68E20D81">
            <w:pPr>
              <w:pStyle w:val="150"/>
            </w:pPr>
            <w:r>
              <w:rPr>
                <w:rFonts w:hint="eastAsia"/>
              </w:rPr>
              <w:t>用户属性值，</w:t>
            </w:r>
            <w:r>
              <w:t>多个属性</w:t>
            </w:r>
            <w:r>
              <w:rPr>
                <w:rFonts w:hint="eastAsia"/>
              </w:rPr>
              <w:t>以</w:t>
            </w:r>
            <w:r>
              <w:t>回车分隔，最多</w:t>
            </w:r>
            <w:r>
              <w:rPr>
                <w:rFonts w:hint="eastAsia"/>
              </w:rPr>
              <w:t>可</w:t>
            </w:r>
            <w:r>
              <w:t>配置</w:t>
            </w:r>
            <w:r>
              <w:rPr>
                <w:rFonts w:hint="eastAsia"/>
              </w:rPr>
              <w:t>128个</w:t>
            </w:r>
            <w:r>
              <w:t>。</w:t>
            </w:r>
          </w:p>
        </w:tc>
      </w:tr>
    </w:tbl>
    <w:p w14:paraId="2D45F01D">
      <w:pPr>
        <w:spacing w:before="120" w:after="120"/>
      </w:pPr>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57CA7DC9">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1CD3B945">
            <w:pPr>
              <w:pStyle w:val="150"/>
              <w:adjustRightInd w:val="0"/>
              <w:snapToGrid w:val="0"/>
              <w:rPr>
                <w:color w:val="auto"/>
              </w:rPr>
            </w:pPr>
            <w:bookmarkStart w:id="8161" w:name="OLE_LINK37"/>
            <w:r>
              <w:rPr>
                <w:b/>
                <w:color w:val="auto"/>
              </w:rPr>
              <w:drawing>
                <wp:inline distT="0" distB="0" distL="0" distR="0">
                  <wp:extent cx="283210" cy="283210"/>
                  <wp:effectExtent l="0" t="0" r="2540" b="2540"/>
                  <wp:docPr id="919" name="图片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01774624">
            <w:pPr>
              <w:pStyle w:val="150"/>
              <w:adjustRightInd w:val="0"/>
              <w:snapToGrid w:val="0"/>
              <w:rPr>
                <w:color w:val="auto"/>
              </w:rPr>
            </w:pPr>
            <w:r>
              <w:rPr>
                <w:rFonts w:hint="eastAsia"/>
                <w:color w:val="auto"/>
              </w:rPr>
              <w:t>如果删除自定义属性的属性名，即删除该自定义属性后会同步删除所有用户、属性组或自注册用户中对应的自定义属性；如果删除自定义属性中的属性值，则对应的用户和属性组里的属性值不会删除，只是变成文本显示。</w:t>
            </w:r>
          </w:p>
        </w:tc>
      </w:tr>
      <w:bookmarkEnd w:id="8161"/>
    </w:tbl>
    <w:p w14:paraId="6A9D97C6"/>
    <w:p w14:paraId="3AD46C15">
      <w:pPr>
        <w:pStyle w:val="5"/>
      </w:pPr>
      <w:bookmarkStart w:id="8162" w:name="_Toc196728485"/>
      <w:bookmarkStart w:id="8163" w:name="_Toc160730174"/>
      <w:bookmarkStart w:id="8164" w:name="_Toc172218276"/>
      <w:bookmarkStart w:id="8165" w:name="_Toc157090925"/>
      <w:bookmarkStart w:id="8166" w:name="_Toc11580"/>
      <w:bookmarkStart w:id="8167" w:name="_Toc194081157"/>
      <w:r>
        <w:t>用户密码设置</w:t>
      </w:r>
      <w:bookmarkEnd w:id="8162"/>
      <w:bookmarkEnd w:id="8163"/>
      <w:bookmarkEnd w:id="8164"/>
      <w:bookmarkEnd w:id="8165"/>
      <w:bookmarkEnd w:id="8166"/>
      <w:bookmarkEnd w:id="8167"/>
    </w:p>
    <w:p w14:paraId="024343B7">
      <w:r>
        <w:rPr>
          <w:rFonts w:hint="eastAsia"/>
        </w:rPr>
        <w:t>在“用户管理&gt;用户管理&gt;用户组织结构”中创建本地用户时，需要设置用户的密码。根据不用的应用场景，可以对密码的强度要求及有效期进行不同的设置，管理员设置用户密码时，系统会根据设置的条件对密码进行校验，符合要求的才可以通过校验、设置成功。</w:t>
      </w:r>
    </w:p>
    <w:p w14:paraId="69896E0A">
      <w:r>
        <w:rPr>
          <w:rFonts w:hint="eastAsia"/>
        </w:rPr>
        <w:t>设备支持设置的密码限制条件包括：</w:t>
      </w:r>
    </w:p>
    <w:p w14:paraId="584F5611">
      <w:pPr>
        <w:pStyle w:val="162"/>
      </w:pPr>
      <w:r>
        <w:rPr>
          <w:rFonts w:hint="eastAsia"/>
        </w:rPr>
        <w:t>设置用户密码最小长度</w:t>
      </w:r>
    </w:p>
    <w:p w14:paraId="76A5B240">
      <w:pPr>
        <w:pStyle w:val="162"/>
      </w:pPr>
      <w:r>
        <w:rPr>
          <w:rFonts w:hint="eastAsia"/>
        </w:rPr>
        <w:t>设置密码必须包括数字或字母或特殊字符</w:t>
      </w:r>
    </w:p>
    <w:p w14:paraId="4DB4268D">
      <w:pPr>
        <w:pStyle w:val="162"/>
      </w:pPr>
      <w:r>
        <w:rPr>
          <w:rFonts w:hint="eastAsia"/>
        </w:rPr>
        <w:t>设置用户密码不能等于用户名</w:t>
      </w:r>
    </w:p>
    <w:p w14:paraId="1337DF3E">
      <w:pPr>
        <w:pStyle w:val="162"/>
      </w:pPr>
      <w:r>
        <w:rPr>
          <w:rFonts w:hint="eastAsia"/>
        </w:rPr>
        <w:t>设置新密码不能与旧密码相同</w:t>
      </w:r>
    </w:p>
    <w:p w14:paraId="617C1634">
      <w:r>
        <w:rPr>
          <w:rFonts w:hint="eastAsia"/>
        </w:rPr>
        <w:t>如果设置了密码的有效期，用户在进行本地WEB认证时，如果使用的用户密码超过有效期，则不能通过认证，需管理员重新设置密码后才可生效。</w:t>
      </w:r>
    </w:p>
    <w:p w14:paraId="706CAA12">
      <w:r>
        <w:rPr>
          <w:rFonts w:hint="eastAsia"/>
        </w:rPr>
        <w:t>在导航栏中选择“用户管理&gt;用户管理&gt;高级选项&gt;用户密码设置”，进入用户密码设置页面，如下图所示。</w:t>
      </w:r>
    </w:p>
    <w:p w14:paraId="13C564EF">
      <w:pPr>
        <w:pStyle w:val="188"/>
      </w:pPr>
      <w:r>
        <w:t>用户密码设置页面</w:t>
      </w:r>
    </w:p>
    <w:p w14:paraId="16BDE9FC">
      <w:pPr>
        <w:pStyle w:val="175"/>
      </w:pPr>
      <w:r>
        <w:drawing>
          <wp:inline distT="0" distB="0" distL="0" distR="0">
            <wp:extent cx="3667125" cy="3390900"/>
            <wp:effectExtent l="0" t="0" r="9525" b="0"/>
            <wp:docPr id="1802027854" name="图片 1802027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54" name="图片 1802027854"/>
                    <pic:cNvPicPr>
                      <a:picLocks noChangeAspect="1"/>
                    </pic:cNvPicPr>
                  </pic:nvPicPr>
                  <pic:blipFill>
                    <a:blip r:embed="rId980"/>
                    <a:stretch>
                      <a:fillRect/>
                    </a:stretch>
                  </pic:blipFill>
                  <pic:spPr>
                    <a:xfrm>
                      <a:off x="0" y="0"/>
                      <a:ext cx="3667125" cy="3390900"/>
                    </a:xfrm>
                    <a:prstGeom prst="rect">
                      <a:avLst/>
                    </a:prstGeom>
                  </pic:spPr>
                </pic:pic>
              </a:graphicData>
            </a:graphic>
          </wp:inline>
        </w:drawing>
      </w:r>
    </w:p>
    <w:p w14:paraId="0EC63520">
      <w:pPr>
        <w:pStyle w:val="183"/>
      </w:pPr>
      <w:r>
        <w:rPr>
          <w:rFonts w:hint="eastAsia"/>
        </w:rPr>
        <w:t>用户密码设置界面的详细说明</w:t>
      </w:r>
    </w:p>
    <w:tbl>
      <w:tblPr>
        <w:tblStyle w:val="173"/>
        <w:tblW w:w="4605"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135"/>
        <w:gridCol w:w="6377"/>
      </w:tblGrid>
      <w:tr w14:paraId="17BF6BA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54" w:type="pct"/>
            <w:tcBorders>
              <w:tl2br w:val="nil"/>
              <w:tr2bl w:val="nil"/>
            </w:tcBorders>
            <w:shd w:val="clear" w:color="auto" w:fill="538135" w:themeFill="accent6" w:themeFillShade="BF"/>
            <w:vAlign w:val="center"/>
          </w:tcPr>
          <w:p w14:paraId="64F0D887">
            <w:pPr>
              <w:pStyle w:val="149"/>
              <w:wordWrap/>
              <w:rPr>
                <w:b/>
                <w:bCs/>
                <w:i w:val="0"/>
                <w:iCs w:val="0"/>
              </w:rPr>
            </w:pPr>
            <w:r>
              <w:rPr>
                <w:rFonts w:hint="eastAsia"/>
                <w:b/>
                <w:bCs/>
                <w:i w:val="0"/>
                <w:iCs w:val="0"/>
              </w:rPr>
              <w:t>项目</w:t>
            </w:r>
          </w:p>
        </w:tc>
        <w:tc>
          <w:tcPr>
            <w:tcW w:w="3745" w:type="pct"/>
            <w:tcBorders>
              <w:tl2br w:val="nil"/>
              <w:tr2bl w:val="nil"/>
            </w:tcBorders>
            <w:shd w:val="clear" w:color="auto" w:fill="538135" w:themeFill="accent6" w:themeFillShade="BF"/>
            <w:vAlign w:val="center"/>
          </w:tcPr>
          <w:p w14:paraId="06AF8CF6">
            <w:pPr>
              <w:pStyle w:val="149"/>
              <w:wordWrap/>
              <w:rPr>
                <w:b/>
                <w:bCs/>
                <w:i w:val="0"/>
                <w:iCs w:val="0"/>
              </w:rPr>
            </w:pPr>
            <w:r>
              <w:rPr>
                <w:rFonts w:hint="eastAsia"/>
                <w:b/>
                <w:bCs/>
                <w:i w:val="0"/>
                <w:iCs w:val="0"/>
              </w:rPr>
              <w:t>说明</w:t>
            </w:r>
          </w:p>
        </w:tc>
      </w:tr>
      <w:tr w14:paraId="7B36189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54" w:type="pct"/>
            <w:shd w:val="clear" w:color="auto" w:fill="auto"/>
          </w:tcPr>
          <w:p w14:paraId="25916E36">
            <w:pPr>
              <w:pStyle w:val="150"/>
            </w:pPr>
            <w:r>
              <w:rPr>
                <w:rFonts w:hint="eastAsia"/>
              </w:rPr>
              <w:t>密码不能等于用户名</w:t>
            </w:r>
          </w:p>
        </w:tc>
        <w:tc>
          <w:tcPr>
            <w:tcW w:w="3745" w:type="pct"/>
            <w:shd w:val="clear" w:color="auto" w:fill="auto"/>
          </w:tcPr>
          <w:p w14:paraId="573DDC37">
            <w:pPr>
              <w:pStyle w:val="150"/>
            </w:pPr>
            <w:r>
              <w:rPr>
                <w:rFonts w:hint="eastAsia"/>
              </w:rPr>
              <w:t>设置是否允许用户的密码与用户名相同。勾选后，在“用户管理&gt;用户管理&gt;用户组织结构”页面，新建用户时，系统会对设置的密码进行检查，如果与用户名相同，则不能提交且弹出提示信息。</w:t>
            </w:r>
            <w:r>
              <w:t xml:space="preserve"> </w:t>
            </w:r>
          </w:p>
        </w:tc>
      </w:tr>
      <w:tr w14:paraId="00E306B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54" w:type="pct"/>
            <w:shd w:val="clear" w:color="auto" w:fill="auto"/>
          </w:tcPr>
          <w:p w14:paraId="65599D23">
            <w:pPr>
              <w:pStyle w:val="150"/>
            </w:pPr>
            <w:r>
              <w:rPr>
                <w:rFonts w:hint="eastAsia"/>
              </w:rPr>
              <w:t>新密码不能与旧密码相同</w:t>
            </w:r>
          </w:p>
        </w:tc>
        <w:tc>
          <w:tcPr>
            <w:tcW w:w="3745" w:type="pct"/>
            <w:shd w:val="clear" w:color="auto" w:fill="auto"/>
          </w:tcPr>
          <w:p w14:paraId="39EE2A8C">
            <w:pPr>
              <w:pStyle w:val="150"/>
            </w:pPr>
            <w:r>
              <w:rPr>
                <w:rFonts w:hint="eastAsia"/>
              </w:rPr>
              <w:t>设置是否允许用户的新密码与用户旧密码相同</w:t>
            </w:r>
            <w:r>
              <w:t>。</w:t>
            </w:r>
            <w:r>
              <w:rPr>
                <w:rFonts w:hint="eastAsia"/>
              </w:rPr>
              <w:t>勾选后，在“用户管理&gt;用户管理&gt;用户组织结构”页面，新建用户时，系统会对设置的密码进行检查，如果与旧密码相同，则不能提交且弹出提示信息。</w:t>
            </w:r>
          </w:p>
        </w:tc>
      </w:tr>
      <w:tr w14:paraId="1F62D5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54" w:type="pct"/>
            <w:shd w:val="clear" w:color="auto" w:fill="auto"/>
          </w:tcPr>
          <w:p w14:paraId="20865E3F">
            <w:pPr>
              <w:pStyle w:val="150"/>
            </w:pPr>
            <w:r>
              <w:rPr>
                <w:rFonts w:hint="eastAsia"/>
              </w:rPr>
              <w:t>限制密码最小长度</w:t>
            </w:r>
          </w:p>
        </w:tc>
        <w:tc>
          <w:tcPr>
            <w:tcW w:w="3745" w:type="pct"/>
            <w:shd w:val="clear" w:color="auto" w:fill="auto"/>
          </w:tcPr>
          <w:p w14:paraId="5DDA6BB5">
            <w:pPr>
              <w:pStyle w:val="150"/>
            </w:pPr>
            <w:r>
              <w:rPr>
                <w:rFonts w:hint="eastAsia"/>
              </w:rPr>
              <w:t>是否限制密码最小长度，并设置最小长度的值，取值范围为1-31个字符</w:t>
            </w:r>
            <w:r>
              <w:t>。勾选后</w:t>
            </w:r>
            <w:r>
              <w:rPr>
                <w:rFonts w:hint="eastAsia"/>
              </w:rPr>
              <w:t>，在“用户管理&gt;用户管理&gt;用户组织结构”页面，新建用户时，系统会对设置的密码进行检查，如果密码的字符长度小于设置的最小长度值，则不能提交且弹出提示信息。</w:t>
            </w:r>
          </w:p>
        </w:tc>
      </w:tr>
      <w:tr w14:paraId="4C1EB1B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54" w:type="pct"/>
            <w:shd w:val="clear" w:color="auto" w:fill="auto"/>
          </w:tcPr>
          <w:p w14:paraId="2DA1E66D">
            <w:pPr>
              <w:pStyle w:val="150"/>
            </w:pPr>
            <w:r>
              <w:rPr>
                <w:rFonts w:hint="eastAsia"/>
              </w:rPr>
              <w:t>密码有效期</w:t>
            </w:r>
          </w:p>
        </w:tc>
        <w:tc>
          <w:tcPr>
            <w:tcW w:w="3745" w:type="pct"/>
            <w:shd w:val="clear" w:color="auto" w:fill="auto"/>
          </w:tcPr>
          <w:p w14:paraId="3711AFCD">
            <w:pPr>
              <w:pStyle w:val="150"/>
            </w:pPr>
            <w:r>
              <w:rPr>
                <w:rFonts w:hint="eastAsia"/>
              </w:rPr>
              <w:t>启用/禁用密码有效期，并设置有效期，取值范围为1-365 天</w:t>
            </w:r>
            <w:r>
              <w:t>。勾选后</w:t>
            </w:r>
            <w:r>
              <w:rPr>
                <w:rFonts w:hint="eastAsia"/>
              </w:rPr>
              <w:t>，管理员创建的用户 进行本地WEB认证时，系统会对认证用户密码的有效期进行验证，如果密码超过有效期限，则无法通过认证并弹出相关提示。</w:t>
            </w:r>
          </w:p>
          <w:p w14:paraId="3C921AE6">
            <w:pPr>
              <w:pStyle w:val="150"/>
            </w:pPr>
            <w:r>
              <w:t>登录设备CLI界面</w:t>
            </w:r>
            <w:r>
              <w:rPr>
                <w:rFonts w:hint="eastAsia"/>
              </w:rPr>
              <w:t>，</w:t>
            </w:r>
            <w:r>
              <w:t>通过</w:t>
            </w:r>
            <w:r>
              <w:rPr>
                <w:rStyle w:val="228"/>
              </w:rPr>
              <w:t>show</w:t>
            </w:r>
            <w:r>
              <w:t xml:space="preserve"> </w:t>
            </w:r>
            <w:r>
              <w:rPr>
                <w:rStyle w:val="228"/>
              </w:rPr>
              <w:t>running</w:t>
            </w:r>
            <w:r>
              <w:t>-</w:t>
            </w:r>
            <w:r>
              <w:rPr>
                <w:rStyle w:val="228"/>
              </w:rPr>
              <w:t>config</w:t>
            </w:r>
            <w:r>
              <w:t xml:space="preserve"> </w:t>
            </w:r>
            <w:r>
              <w:rPr>
                <w:rStyle w:val="228"/>
              </w:rPr>
              <w:t xml:space="preserve">user </w:t>
            </w:r>
            <w:r>
              <w:rPr>
                <w:rFonts w:hint="eastAsia"/>
              </w:rPr>
              <w:t>命令可以查看用户密码有效期的开始时间。</w:t>
            </w:r>
          </w:p>
        </w:tc>
      </w:tr>
      <w:tr w14:paraId="195304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54" w:type="pct"/>
            <w:shd w:val="clear" w:color="auto" w:fill="auto"/>
          </w:tcPr>
          <w:p w14:paraId="509469E2">
            <w:pPr>
              <w:pStyle w:val="150"/>
            </w:pPr>
            <w:r>
              <w:rPr>
                <w:rFonts w:hint="eastAsia"/>
              </w:rPr>
              <w:t>密码必须包括</w:t>
            </w:r>
          </w:p>
        </w:tc>
        <w:tc>
          <w:tcPr>
            <w:tcW w:w="3745" w:type="pct"/>
            <w:shd w:val="clear" w:color="auto" w:fill="auto"/>
          </w:tcPr>
          <w:p w14:paraId="68AEE9FA">
            <w:pPr>
              <w:pStyle w:val="150"/>
            </w:pPr>
            <w:r>
              <w:rPr>
                <w:rFonts w:hint="eastAsia"/>
              </w:rPr>
              <w:t>设置用户密码必须包含的字符，可以勾选数字、字母及特殊字符，可不勾选或者勾选任意个数。勾选后，在“用户管理&gt;用户管理&gt;用户组织结构”页面，新建用户时，系统会检查设置的密码中是否包含必须的字符选项，如果不包含则不能提交且弹出相关提示。</w:t>
            </w:r>
          </w:p>
        </w:tc>
      </w:tr>
    </w:tbl>
    <w:p w14:paraId="20E8EC13"/>
    <w:p w14:paraId="22B55797">
      <w:pPr>
        <w:pStyle w:val="193"/>
      </w:pPr>
      <w:r>
        <w:rPr>
          <w:lang w:eastAsia="zh-CN"/>
        </w:rPr>
        <w:drawing>
          <wp:inline distT="0" distB="0" distL="0" distR="0">
            <wp:extent cx="590550" cy="238125"/>
            <wp:effectExtent l="19050" t="0" r="0" b="0"/>
            <wp:docPr id="912532344" name="图片 912532344"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532344" name="图片 912532344" descr="说明"/>
                    <pic:cNvPicPr>
                      <a:picLocks noChangeAspect="1" noChangeArrowheads="1"/>
                    </pic:cNvPicPr>
                  </pic:nvPicPr>
                  <pic:blipFill>
                    <a:blip r:embed="rId92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14:paraId="21EE08A9">
      <w:pPr>
        <w:pStyle w:val="209"/>
        <w:tabs>
          <w:tab w:val="left" w:pos="1134"/>
        </w:tabs>
        <w:rPr>
          <w:lang w:eastAsia="zh-CN"/>
        </w:rPr>
      </w:pPr>
      <w:r>
        <w:rPr>
          <w:rFonts w:hint="eastAsia"/>
          <w:lang w:eastAsia="zh-CN"/>
        </w:rPr>
        <w:t>如果导入的用户密码是密文，则无法校验密码复杂度是否符合要求。</w:t>
      </w:r>
    </w:p>
    <w:p w14:paraId="43CEF5D7">
      <w:pPr>
        <w:pStyle w:val="209"/>
        <w:tabs>
          <w:tab w:val="left" w:pos="1134"/>
        </w:tabs>
        <w:rPr>
          <w:lang w:eastAsia="zh-CN"/>
        </w:rPr>
      </w:pPr>
      <w:r>
        <w:rPr>
          <w:rFonts w:hint="eastAsia"/>
          <w:lang w:eastAsia="zh-CN"/>
        </w:rPr>
        <w:t>用户密码设置功能只检查管理员创建的用户，其他用户（第三方同步、用户自注册创建的用户等）都不进行检查，具体要求依赖相关功能；执行show</w:t>
      </w:r>
      <w:r>
        <w:rPr>
          <w:lang w:eastAsia="zh-CN"/>
        </w:rPr>
        <w:t xml:space="preserve"> </w:t>
      </w:r>
      <w:r>
        <w:rPr>
          <w:rFonts w:hint="eastAsia"/>
          <w:lang w:eastAsia="zh-CN"/>
        </w:rPr>
        <w:t>running-config user命令时，也不显示其他用户的有效期时间。</w:t>
      </w:r>
    </w:p>
    <w:p w14:paraId="75BA06A7"/>
    <w:p w14:paraId="7C9E34CB">
      <w:r>
        <w:br w:type="page"/>
      </w:r>
    </w:p>
    <w:p w14:paraId="5C5C40F6">
      <w:pPr>
        <w:pStyle w:val="3"/>
      </w:pPr>
      <w:bookmarkStart w:id="8168" w:name="_Toc15485178"/>
      <w:bookmarkStart w:id="8169" w:name="_Toc23152942"/>
      <w:bookmarkStart w:id="8170" w:name="_Ref141452908"/>
      <w:bookmarkStart w:id="8171" w:name="_Toc40276363"/>
      <w:bookmarkStart w:id="8172" w:name="_Toc99561601"/>
      <w:bookmarkStart w:id="8173" w:name="_Ref141876277"/>
      <w:bookmarkStart w:id="8174" w:name="_Toc172218277"/>
      <w:bookmarkStart w:id="8175" w:name="_Toc194081158"/>
      <w:bookmarkStart w:id="8176" w:name="_Toc196728486"/>
      <w:bookmarkStart w:id="8177" w:name="_Toc142401034"/>
      <w:bookmarkStart w:id="8178" w:name="_Toc141873518"/>
      <w:r>
        <w:t>认证</w:t>
      </w:r>
      <w:bookmarkEnd w:id="8168"/>
      <w:bookmarkEnd w:id="8169"/>
      <w:bookmarkEnd w:id="8170"/>
      <w:bookmarkEnd w:id="8171"/>
      <w:bookmarkEnd w:id="8172"/>
      <w:r>
        <w:t>管理</w:t>
      </w:r>
      <w:bookmarkEnd w:id="8173"/>
      <w:bookmarkEnd w:id="8174"/>
      <w:bookmarkEnd w:id="8175"/>
      <w:bookmarkEnd w:id="8176"/>
      <w:bookmarkEnd w:id="8177"/>
      <w:bookmarkEnd w:id="8178"/>
    </w:p>
    <w:p w14:paraId="5A3508E3">
      <w:pPr>
        <w:pStyle w:val="4"/>
      </w:pPr>
      <w:bookmarkStart w:id="8179" w:name="_Toc142401035"/>
      <w:bookmarkStart w:id="8180" w:name="_Toc141873519"/>
      <w:bookmarkStart w:id="8181" w:name="_Toc196728487"/>
      <w:bookmarkStart w:id="8182" w:name="_Toc194081159"/>
      <w:bookmarkStart w:id="8183" w:name="_Toc15485179"/>
      <w:bookmarkStart w:id="8184" w:name="_Toc9006650"/>
      <w:bookmarkStart w:id="8185" w:name="_Toc40276364"/>
      <w:bookmarkStart w:id="8186" w:name="_Toc99561602"/>
      <w:bookmarkStart w:id="8187" w:name="_Toc23152943"/>
      <w:bookmarkStart w:id="8188" w:name="_Toc172218278"/>
      <w:r>
        <w:rPr>
          <w:rFonts w:hint="eastAsia"/>
        </w:rPr>
        <w:t>配置概述</w:t>
      </w:r>
      <w:bookmarkEnd w:id="8179"/>
      <w:bookmarkEnd w:id="8180"/>
      <w:bookmarkEnd w:id="8181"/>
      <w:bookmarkEnd w:id="8182"/>
      <w:bookmarkEnd w:id="8183"/>
      <w:bookmarkEnd w:id="8184"/>
      <w:bookmarkEnd w:id="8185"/>
      <w:bookmarkEnd w:id="8186"/>
      <w:bookmarkEnd w:id="8187"/>
      <w:bookmarkEnd w:id="8188"/>
    </w:p>
    <w:p w14:paraId="3FA2DF68">
      <w:r>
        <w:rPr>
          <w:rFonts w:hint="eastAsia"/>
        </w:rPr>
        <w:t>用户认证配置的推荐步骤如</w:t>
      </w:r>
      <w:r>
        <w:rPr>
          <w:color w:val="0000FF"/>
          <w:u w:val="single"/>
        </w:rPr>
        <w:fldChar w:fldCharType="begin"/>
      </w:r>
      <w:r>
        <w:instrText xml:space="preserve"> </w:instrText>
      </w:r>
      <w:r>
        <w:rPr>
          <w:rFonts w:hint="eastAsia"/>
        </w:rPr>
        <w:instrText xml:space="preserve">REF _Ref5635822 \r \h</w:instrText>
      </w:r>
      <w:r>
        <w:instrText xml:space="preserve"> </w:instrText>
      </w:r>
      <w:r>
        <w:rPr>
          <w:color w:val="0000FF"/>
          <w:u w:val="single"/>
        </w:rPr>
        <w:fldChar w:fldCharType="separate"/>
      </w:r>
      <w:r>
        <w:rPr>
          <w:rFonts w:hint="eastAsia"/>
        </w:rPr>
        <w:t>表31-1</w:t>
      </w:r>
      <w:r>
        <w:rPr>
          <w:color w:val="0000FF"/>
          <w:u w:val="single"/>
        </w:rPr>
        <w:fldChar w:fldCharType="end"/>
      </w:r>
      <w:r>
        <w:rPr>
          <w:rFonts w:hint="eastAsia"/>
        </w:rPr>
        <w:t>所示。</w:t>
      </w:r>
    </w:p>
    <w:p w14:paraId="666164AE">
      <w:pPr>
        <w:pStyle w:val="183"/>
      </w:pPr>
      <w:bookmarkStart w:id="8189" w:name="_Toc141875561"/>
      <w:bookmarkStart w:id="8190" w:name="_Ref5635822"/>
      <w:r>
        <w:t>用户和用户认证配置</w:t>
      </w:r>
      <w:r>
        <w:rPr>
          <w:rFonts w:hint="eastAsia"/>
        </w:rPr>
        <w:t>的推荐步骤</w:t>
      </w:r>
      <w:bookmarkEnd w:id="8189"/>
      <w:bookmarkEnd w:id="8190"/>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3021"/>
        <w:gridCol w:w="3083"/>
        <w:gridCol w:w="2910"/>
      </w:tblGrid>
      <w:tr w14:paraId="258460E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3021" w:type="dxa"/>
            <w:tcBorders>
              <w:tl2br w:val="nil"/>
              <w:tr2bl w:val="nil"/>
            </w:tcBorders>
            <w:shd w:val="clear" w:color="auto" w:fill="538135" w:themeFill="accent6" w:themeFillShade="BF"/>
            <w:vAlign w:val="center"/>
          </w:tcPr>
          <w:p w14:paraId="4160677D">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配置任务</w:t>
            </w:r>
          </w:p>
        </w:tc>
        <w:tc>
          <w:tcPr>
            <w:tcW w:w="3083" w:type="dxa"/>
            <w:tcBorders>
              <w:tl2br w:val="nil"/>
              <w:tr2bl w:val="nil"/>
            </w:tcBorders>
            <w:shd w:val="clear" w:color="auto" w:fill="538135" w:themeFill="accent6" w:themeFillShade="BF"/>
            <w:vAlign w:val="center"/>
          </w:tcPr>
          <w:p w14:paraId="2A6EFF0D">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c>
          <w:tcPr>
            <w:tcW w:w="2910" w:type="dxa"/>
            <w:tcBorders>
              <w:tl2br w:val="nil"/>
              <w:tr2bl w:val="nil"/>
            </w:tcBorders>
            <w:shd w:val="clear" w:color="auto" w:fill="538135" w:themeFill="accent6" w:themeFillShade="BF"/>
            <w:vAlign w:val="center"/>
          </w:tcPr>
          <w:p w14:paraId="7F3B6AFD">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详细配置</w:t>
            </w:r>
          </w:p>
        </w:tc>
      </w:tr>
      <w:tr w14:paraId="741E5C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3021" w:type="dxa"/>
            <w:shd w:val="clear" w:color="auto" w:fill="auto"/>
          </w:tcPr>
          <w:p w14:paraId="628539AE">
            <w:pPr>
              <w:pStyle w:val="150"/>
            </w:pPr>
            <w:r>
              <w:t>配置用户和用户组</w:t>
            </w:r>
          </w:p>
        </w:tc>
        <w:tc>
          <w:tcPr>
            <w:tcW w:w="3083" w:type="dxa"/>
            <w:shd w:val="clear" w:color="auto" w:fill="auto"/>
          </w:tcPr>
          <w:p w14:paraId="2C02ACEB">
            <w:pPr>
              <w:pStyle w:val="150"/>
            </w:pPr>
            <w:r>
              <w:rPr>
                <w:rFonts w:hint="eastAsia"/>
              </w:rPr>
              <w:t>必选</w:t>
            </w:r>
          </w:p>
        </w:tc>
        <w:tc>
          <w:tcPr>
            <w:tcW w:w="2910" w:type="dxa"/>
            <w:shd w:val="clear" w:color="auto" w:fill="auto"/>
          </w:tcPr>
          <w:p w14:paraId="7DB06BA4">
            <w:pPr>
              <w:pStyle w:val="150"/>
            </w:pPr>
            <w:r>
              <w:fldChar w:fldCharType="begin"/>
            </w:r>
            <w:r>
              <w:instrText xml:space="preserve"> REF _Ref5647436 \r \h  \* MERGEFORMAT </w:instrText>
            </w:r>
            <w:r>
              <w:fldChar w:fldCharType="separate"/>
            </w:r>
            <w:r>
              <w:t>30.2</w:t>
            </w:r>
            <w:r>
              <w:fldChar w:fldCharType="end"/>
            </w:r>
          </w:p>
        </w:tc>
      </w:tr>
      <w:tr w14:paraId="54204C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3021" w:type="dxa"/>
            <w:shd w:val="clear" w:color="auto" w:fill="auto"/>
          </w:tcPr>
          <w:p w14:paraId="4BC4FB68">
            <w:pPr>
              <w:pStyle w:val="150"/>
            </w:pPr>
            <w:r>
              <w:t>配置认证服务器</w:t>
            </w:r>
          </w:p>
        </w:tc>
        <w:tc>
          <w:tcPr>
            <w:tcW w:w="3083" w:type="dxa"/>
            <w:shd w:val="clear" w:color="auto" w:fill="auto"/>
          </w:tcPr>
          <w:p w14:paraId="5EED92A1">
            <w:pPr>
              <w:pStyle w:val="150"/>
            </w:pPr>
            <w:r>
              <w:rPr>
                <w:rFonts w:hint="eastAsia"/>
              </w:rPr>
              <w:t>可选（使用第三方认证服务器时选择。）</w:t>
            </w:r>
          </w:p>
        </w:tc>
        <w:tc>
          <w:tcPr>
            <w:tcW w:w="2910" w:type="dxa"/>
            <w:shd w:val="clear" w:color="auto" w:fill="auto"/>
          </w:tcPr>
          <w:p w14:paraId="5B1F2020">
            <w:pPr>
              <w:pStyle w:val="150"/>
            </w:pPr>
            <w:r>
              <w:fldChar w:fldCharType="begin"/>
            </w:r>
            <w:r>
              <w:instrText xml:space="preserve"> REF _Ref5647447 \r \h  \* MERGEFORMAT </w:instrText>
            </w:r>
            <w:r>
              <w:fldChar w:fldCharType="separate"/>
            </w:r>
            <w:r>
              <w:t>31.2</w:t>
            </w:r>
            <w:r>
              <w:fldChar w:fldCharType="end"/>
            </w:r>
          </w:p>
        </w:tc>
      </w:tr>
      <w:tr w14:paraId="318E7C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3021" w:type="dxa"/>
            <w:shd w:val="clear" w:color="auto" w:fill="auto"/>
          </w:tcPr>
          <w:p w14:paraId="76186C43">
            <w:pPr>
              <w:pStyle w:val="150"/>
            </w:pPr>
            <w:r>
              <w:rPr>
                <w:rFonts w:hint="eastAsia"/>
              </w:rPr>
              <w:t>第三方用户同步</w:t>
            </w:r>
          </w:p>
        </w:tc>
        <w:tc>
          <w:tcPr>
            <w:tcW w:w="3083" w:type="dxa"/>
            <w:shd w:val="clear" w:color="auto" w:fill="auto"/>
          </w:tcPr>
          <w:p w14:paraId="21FE2C78">
            <w:pPr>
              <w:pStyle w:val="150"/>
            </w:pPr>
            <w:r>
              <w:rPr>
                <w:rFonts w:hint="eastAsia"/>
              </w:rPr>
              <w:t>可选（使用第三方认证服务器时选择。）</w:t>
            </w:r>
          </w:p>
        </w:tc>
        <w:tc>
          <w:tcPr>
            <w:tcW w:w="2910" w:type="dxa"/>
            <w:shd w:val="clear" w:color="auto" w:fill="auto"/>
          </w:tcPr>
          <w:p w14:paraId="2EFCC140">
            <w:pPr>
              <w:pStyle w:val="150"/>
            </w:pPr>
            <w:r>
              <w:fldChar w:fldCharType="begin"/>
            </w:r>
            <w:r>
              <w:instrText xml:space="preserve"> REF _Ref5647471 \r \h  \* MERGEFORMAT </w:instrText>
            </w:r>
            <w:r>
              <w:fldChar w:fldCharType="separate"/>
            </w:r>
            <w:r>
              <w:t>31.6</w:t>
            </w:r>
            <w:r>
              <w:fldChar w:fldCharType="end"/>
            </w:r>
          </w:p>
        </w:tc>
      </w:tr>
      <w:tr w14:paraId="7960E8F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3021" w:type="dxa"/>
            <w:shd w:val="clear" w:color="auto" w:fill="auto"/>
          </w:tcPr>
          <w:p w14:paraId="425B97A5">
            <w:pPr>
              <w:pStyle w:val="150"/>
            </w:pPr>
            <w:r>
              <w:rPr>
                <w:rFonts w:hint="eastAsia"/>
              </w:rPr>
              <w:t>配置高级选项</w:t>
            </w:r>
          </w:p>
        </w:tc>
        <w:tc>
          <w:tcPr>
            <w:tcW w:w="3083" w:type="dxa"/>
            <w:shd w:val="clear" w:color="auto" w:fill="auto"/>
          </w:tcPr>
          <w:p w14:paraId="4ED55EF8">
            <w:pPr>
              <w:pStyle w:val="150"/>
            </w:pPr>
            <w:r>
              <w:rPr>
                <w:rFonts w:hint="eastAsia"/>
              </w:rPr>
              <w:t>必选</w:t>
            </w:r>
          </w:p>
        </w:tc>
        <w:tc>
          <w:tcPr>
            <w:tcW w:w="2910" w:type="dxa"/>
            <w:shd w:val="clear" w:color="auto" w:fill="auto"/>
          </w:tcPr>
          <w:p w14:paraId="6AA93B9D">
            <w:pPr>
              <w:pStyle w:val="150"/>
            </w:pPr>
            <w:r>
              <w:fldChar w:fldCharType="begin"/>
            </w:r>
            <w:r>
              <w:instrText xml:space="preserve"> REF _Ref5647480 \r \h  \* MERGEFORMAT </w:instrText>
            </w:r>
            <w:r>
              <w:fldChar w:fldCharType="separate"/>
            </w:r>
            <w:r>
              <w:t>31.8</w:t>
            </w:r>
            <w:r>
              <w:fldChar w:fldCharType="end"/>
            </w:r>
          </w:p>
        </w:tc>
      </w:tr>
      <w:tr w14:paraId="32C1631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3021" w:type="dxa"/>
            <w:shd w:val="clear" w:color="auto" w:fill="auto"/>
          </w:tcPr>
          <w:p w14:paraId="15D68ABA">
            <w:pPr>
              <w:pStyle w:val="150"/>
            </w:pPr>
            <w:r>
              <w:rPr>
                <w:rFonts w:hint="eastAsia"/>
              </w:rPr>
              <w:t>配置认证设置</w:t>
            </w:r>
          </w:p>
        </w:tc>
        <w:tc>
          <w:tcPr>
            <w:tcW w:w="3083" w:type="dxa"/>
            <w:shd w:val="clear" w:color="auto" w:fill="auto"/>
          </w:tcPr>
          <w:p w14:paraId="6294B532">
            <w:pPr>
              <w:pStyle w:val="150"/>
            </w:pPr>
            <w:r>
              <w:t>必选</w:t>
            </w:r>
          </w:p>
        </w:tc>
        <w:tc>
          <w:tcPr>
            <w:tcW w:w="2910" w:type="dxa"/>
            <w:shd w:val="clear" w:color="auto" w:fill="auto"/>
          </w:tcPr>
          <w:p w14:paraId="7DF81EC5">
            <w:pPr>
              <w:pStyle w:val="150"/>
            </w:pPr>
            <w:r>
              <w:fldChar w:fldCharType="begin"/>
            </w:r>
            <w:r>
              <w:instrText xml:space="preserve"> REF _Ref5647509 \r \h  \* MERGEFORMAT </w:instrText>
            </w:r>
            <w:r>
              <w:fldChar w:fldCharType="separate"/>
            </w:r>
            <w:r>
              <w:t>31.3</w:t>
            </w:r>
            <w:r>
              <w:fldChar w:fldCharType="end"/>
            </w:r>
          </w:p>
        </w:tc>
      </w:tr>
      <w:tr w14:paraId="382446E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3021" w:type="dxa"/>
            <w:shd w:val="clear" w:color="auto" w:fill="auto"/>
          </w:tcPr>
          <w:p w14:paraId="4002C551">
            <w:pPr>
              <w:pStyle w:val="150"/>
            </w:pPr>
            <w:r>
              <w:t>配置</w:t>
            </w:r>
            <w:r>
              <w:rPr>
                <w:rFonts w:hint="eastAsia"/>
              </w:rPr>
              <w:t>认证</w:t>
            </w:r>
            <w:r>
              <w:t>策略</w:t>
            </w:r>
          </w:p>
        </w:tc>
        <w:tc>
          <w:tcPr>
            <w:tcW w:w="3083" w:type="dxa"/>
            <w:shd w:val="clear" w:color="auto" w:fill="auto"/>
          </w:tcPr>
          <w:p w14:paraId="4558801A">
            <w:pPr>
              <w:pStyle w:val="150"/>
            </w:pPr>
            <w:r>
              <w:rPr>
                <w:rFonts w:hint="eastAsia"/>
              </w:rPr>
              <w:t>可选</w:t>
            </w:r>
          </w:p>
        </w:tc>
        <w:tc>
          <w:tcPr>
            <w:tcW w:w="2910" w:type="dxa"/>
            <w:shd w:val="clear" w:color="auto" w:fill="auto"/>
          </w:tcPr>
          <w:p w14:paraId="6F3750D1">
            <w:pPr>
              <w:pStyle w:val="150"/>
            </w:pPr>
            <w:r>
              <w:fldChar w:fldCharType="begin"/>
            </w:r>
            <w:r>
              <w:instrText xml:space="preserve"> REF _Ref393124501 \r \h  \* MERGEFORMAT </w:instrText>
            </w:r>
            <w:r>
              <w:fldChar w:fldCharType="separate"/>
            </w:r>
            <w:r>
              <w:t>31.2</w:t>
            </w:r>
            <w:r>
              <w:fldChar w:fldCharType="end"/>
            </w:r>
          </w:p>
        </w:tc>
      </w:tr>
    </w:tbl>
    <w:p w14:paraId="62C1EC9B"/>
    <w:p w14:paraId="449ECF79">
      <w:pPr>
        <w:pStyle w:val="4"/>
      </w:pPr>
      <w:bookmarkStart w:id="8191" w:name="_Toc172218279"/>
      <w:bookmarkStart w:id="8192" w:name="_Toc194081160"/>
      <w:bookmarkStart w:id="8193" w:name="_Toc141873520"/>
      <w:bookmarkStart w:id="8194" w:name="_Toc142401036"/>
      <w:bookmarkStart w:id="8195" w:name="_Toc15485197"/>
      <w:bookmarkStart w:id="8196" w:name="_Toc474250130"/>
      <w:bookmarkStart w:id="8197" w:name="_Toc99561633"/>
      <w:bookmarkStart w:id="8198" w:name="_Toc23152961"/>
      <w:bookmarkStart w:id="8199" w:name="_Toc9006668"/>
      <w:bookmarkStart w:id="8200" w:name="_Toc40276382"/>
      <w:bookmarkStart w:id="8201" w:name="_Ref393124501"/>
      <w:bookmarkStart w:id="8202" w:name="_Toc196728488"/>
      <w:bookmarkStart w:id="8203" w:name="_Toc15485180"/>
      <w:bookmarkStart w:id="8204" w:name="_Toc23152944"/>
      <w:bookmarkStart w:id="8205" w:name="_Toc99561603"/>
      <w:bookmarkStart w:id="8206" w:name="_Ref5647447"/>
      <w:bookmarkStart w:id="8207" w:name="_Toc40276365"/>
      <w:bookmarkStart w:id="8208" w:name="_Toc9006651"/>
      <w:r>
        <w:rPr>
          <w:rFonts w:hint="eastAsia"/>
        </w:rPr>
        <w:t>认证</w:t>
      </w:r>
      <w:r>
        <w:t>策略</w:t>
      </w:r>
      <w:bookmarkEnd w:id="8191"/>
      <w:bookmarkEnd w:id="8192"/>
      <w:bookmarkEnd w:id="8193"/>
      <w:bookmarkEnd w:id="8194"/>
      <w:bookmarkEnd w:id="8195"/>
      <w:bookmarkEnd w:id="8196"/>
      <w:bookmarkEnd w:id="8197"/>
      <w:bookmarkEnd w:id="8198"/>
      <w:bookmarkEnd w:id="8199"/>
      <w:bookmarkEnd w:id="8200"/>
      <w:bookmarkEnd w:id="8201"/>
      <w:bookmarkEnd w:id="8202"/>
    </w:p>
    <w:p w14:paraId="1B8A34A5">
      <w:pPr>
        <w:pStyle w:val="5"/>
      </w:pPr>
      <w:bookmarkStart w:id="8209" w:name="_Toc40276383"/>
      <w:bookmarkStart w:id="8210" w:name="_Toc172218280"/>
      <w:bookmarkStart w:id="8211" w:name="_Toc196728489"/>
      <w:bookmarkStart w:id="8212" w:name="_Toc99561634"/>
      <w:bookmarkStart w:id="8213" w:name="_Toc4677150"/>
      <w:bookmarkStart w:id="8214" w:name="_Toc494295584"/>
      <w:bookmarkStart w:id="8215" w:name="_Toc141873521"/>
      <w:bookmarkStart w:id="8216" w:name="_Toc142401037"/>
      <w:bookmarkStart w:id="8217" w:name="_Toc15485198"/>
      <w:bookmarkStart w:id="8218" w:name="_Toc23152962"/>
      <w:bookmarkStart w:id="8219" w:name="_Toc194081161"/>
      <w:bookmarkStart w:id="8220" w:name="_Toc9006669"/>
      <w:bookmarkStart w:id="8221" w:name="_Hlk4083160"/>
      <w:r>
        <w:rPr>
          <w:rFonts w:hint="eastAsia"/>
        </w:rPr>
        <w:t>认证策略概述</w:t>
      </w:r>
      <w:bookmarkEnd w:id="8209"/>
      <w:bookmarkEnd w:id="8210"/>
      <w:bookmarkEnd w:id="8211"/>
      <w:bookmarkEnd w:id="8212"/>
      <w:bookmarkEnd w:id="8213"/>
      <w:bookmarkEnd w:id="8214"/>
      <w:bookmarkEnd w:id="8215"/>
      <w:bookmarkEnd w:id="8216"/>
      <w:bookmarkEnd w:id="8217"/>
      <w:bookmarkEnd w:id="8218"/>
      <w:bookmarkEnd w:id="8219"/>
      <w:bookmarkEnd w:id="8220"/>
    </w:p>
    <w:bookmarkEnd w:id="8221"/>
    <w:p w14:paraId="20124FB2">
      <w:r>
        <w:rPr>
          <w:rFonts w:hint="eastAsia"/>
        </w:rPr>
        <w:t>认证策略录入配置主要针对第三方用户，目的是将存在于第三方的用户加入设备，便于做策略限制等。</w:t>
      </w:r>
    </w:p>
    <w:p w14:paraId="79882A84">
      <w:pPr>
        <w:pStyle w:val="188"/>
      </w:pPr>
      <w:bookmarkStart w:id="8222" w:name="_Toc141874780"/>
      <w:r>
        <w:rPr>
          <w:rFonts w:hint="eastAsia"/>
        </w:rPr>
        <w:t>用户认证策略流程图</w:t>
      </w:r>
      <w:bookmarkEnd w:id="8222"/>
    </w:p>
    <w:p w14:paraId="77D3F566">
      <w:pPr>
        <w:spacing w:before="79" w:after="79"/>
      </w:pPr>
      <w:r>
        <w:drawing>
          <wp:inline distT="0" distB="0" distL="0" distR="0">
            <wp:extent cx="3418840" cy="3037840"/>
            <wp:effectExtent l="0" t="0" r="0" b="0"/>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pic:cNvPicPr>
                      <a:picLocks noChangeAspect="1" noChangeArrowheads="1"/>
                    </pic:cNvPicPr>
                  </pic:nvPicPr>
                  <pic:blipFill>
                    <a:blip r:embed="rId981">
                      <a:extLst>
                        <a:ext uri="{28A0092B-C50C-407E-A947-70E740481C1C}">
                          <a14:useLocalDpi xmlns:a14="http://schemas.microsoft.com/office/drawing/2010/main" val="0"/>
                        </a:ext>
                      </a:extLst>
                    </a:blip>
                    <a:srcRect/>
                    <a:stretch>
                      <a:fillRect/>
                    </a:stretch>
                  </pic:blipFill>
                  <pic:spPr>
                    <a:xfrm>
                      <a:off x="0" y="0"/>
                      <a:ext cx="3418840" cy="3037840"/>
                    </a:xfrm>
                    <a:prstGeom prst="rect">
                      <a:avLst/>
                    </a:prstGeom>
                    <a:noFill/>
                  </pic:spPr>
                </pic:pic>
              </a:graphicData>
            </a:graphic>
          </wp:inline>
        </w:drawing>
      </w:r>
      <w:r>
        <w:rPr>
          <w:rFonts w:hint="eastAsia"/>
        </w:rPr>
        <w:t xml:space="preserve"> </w:t>
      </w:r>
    </w:p>
    <w:p w14:paraId="197A362E"/>
    <w:p w14:paraId="007D3A63">
      <w:pPr>
        <w:pStyle w:val="5"/>
      </w:pPr>
      <w:bookmarkStart w:id="8223" w:name="_Toc99561635"/>
      <w:bookmarkStart w:id="8224" w:name="_Toc196728490"/>
      <w:bookmarkStart w:id="8225" w:name="_Toc23152963"/>
      <w:bookmarkStart w:id="8226" w:name="_Toc9006670"/>
      <w:bookmarkStart w:id="8227" w:name="_Toc15485199"/>
      <w:bookmarkStart w:id="8228" w:name="_Toc40276384"/>
      <w:bookmarkStart w:id="8229" w:name="_Toc142401038"/>
      <w:bookmarkStart w:id="8230" w:name="_Toc172218281"/>
      <w:bookmarkStart w:id="8231" w:name="_Toc141873522"/>
      <w:bookmarkStart w:id="8232" w:name="_Toc194081162"/>
      <w:bookmarkStart w:id="8233" w:name="_Toc4677151"/>
      <w:r>
        <w:rPr>
          <w:rFonts w:hint="eastAsia"/>
        </w:rPr>
        <w:t>配置认证策略</w:t>
      </w:r>
      <w:bookmarkEnd w:id="8223"/>
      <w:bookmarkEnd w:id="8224"/>
      <w:bookmarkEnd w:id="8225"/>
      <w:bookmarkEnd w:id="8226"/>
      <w:bookmarkEnd w:id="8227"/>
      <w:bookmarkEnd w:id="8228"/>
      <w:bookmarkEnd w:id="8229"/>
      <w:bookmarkEnd w:id="8230"/>
      <w:bookmarkEnd w:id="8231"/>
      <w:bookmarkEnd w:id="8232"/>
      <w:bookmarkEnd w:id="8233"/>
    </w:p>
    <w:p w14:paraId="5F3599DE">
      <w:r>
        <w:rPr>
          <w:rFonts w:hint="eastAsia"/>
        </w:rPr>
        <w:t>在导航栏中选择“用户管理&gt;认证管理&gt;认证策略”，单击&lt;新建&gt;</w:t>
      </w:r>
      <w:r>
        <w:t>按钮</w:t>
      </w:r>
      <w:r>
        <w:rPr>
          <w:rFonts w:hint="eastAsia"/>
        </w:rPr>
        <w:t>，进入认证策略的配置页面，如</w:t>
      </w:r>
      <w:r>
        <w:fldChar w:fldCharType="begin"/>
      </w:r>
      <w:r>
        <w:instrText xml:space="preserve"> </w:instrText>
      </w:r>
      <w:r>
        <w:rPr>
          <w:rFonts w:hint="eastAsia"/>
        </w:rPr>
        <w:instrText xml:space="preserve">REF _Ref4660332 \r \h</w:instrText>
      </w:r>
      <w:r>
        <w:instrText xml:space="preserve"> </w:instrText>
      </w:r>
      <w:r>
        <w:fldChar w:fldCharType="separate"/>
      </w:r>
      <w:r>
        <w:rPr>
          <w:rFonts w:hint="eastAsia"/>
        </w:rPr>
        <w:t>图31-2</w:t>
      </w:r>
      <w:r>
        <w:fldChar w:fldCharType="end"/>
      </w:r>
      <w:r>
        <w:rPr>
          <w:rFonts w:hint="eastAsia"/>
        </w:rPr>
        <w:t>所示。</w:t>
      </w:r>
    </w:p>
    <w:p w14:paraId="265CB271">
      <w:pPr>
        <w:pStyle w:val="188"/>
      </w:pPr>
      <w:bookmarkStart w:id="8234" w:name="_Toc141874781"/>
      <w:bookmarkStart w:id="8235" w:name="_Ref4660332"/>
      <w:r>
        <w:t>认证策略配置界面</w:t>
      </w:r>
      <w:bookmarkEnd w:id="8234"/>
      <w:bookmarkEnd w:id="8235"/>
      <w:r>
        <w:rPr>
          <w:rFonts w:hint="eastAsia"/>
        </w:rPr>
        <w:t>-</w:t>
      </w:r>
      <w:r>
        <w:t>本地WEB认证</w:t>
      </w:r>
    </w:p>
    <w:p w14:paraId="4D36615B">
      <w:pPr>
        <w:pStyle w:val="175"/>
      </w:pPr>
      <w:r>
        <w:drawing>
          <wp:inline distT="0" distB="0" distL="0" distR="0">
            <wp:extent cx="4229100" cy="6499860"/>
            <wp:effectExtent l="0" t="0" r="0" b="0"/>
            <wp:docPr id="1802027847" name="图片 1802027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47" name="图片 1802027847"/>
                    <pic:cNvPicPr>
                      <a:picLocks noChangeAspect="1"/>
                    </pic:cNvPicPr>
                  </pic:nvPicPr>
                  <pic:blipFill>
                    <a:blip r:embed="rId982"/>
                    <a:stretch>
                      <a:fillRect/>
                    </a:stretch>
                  </pic:blipFill>
                  <pic:spPr>
                    <a:xfrm>
                      <a:off x="0" y="0"/>
                      <a:ext cx="4230736" cy="6502797"/>
                    </a:xfrm>
                    <a:prstGeom prst="rect">
                      <a:avLst/>
                    </a:prstGeom>
                  </pic:spPr>
                </pic:pic>
              </a:graphicData>
            </a:graphic>
          </wp:inline>
        </w:drawing>
      </w:r>
    </w:p>
    <w:p w14:paraId="3A41C4C3"/>
    <w:p w14:paraId="08264B7A">
      <w:pPr>
        <w:pStyle w:val="188"/>
      </w:pPr>
      <w:bookmarkStart w:id="8236" w:name="_Ref160728908"/>
      <w:r>
        <w:t>认证策略配置界面</w:t>
      </w:r>
      <w:r>
        <w:rPr>
          <w:rFonts w:hint="eastAsia"/>
        </w:rPr>
        <w:t>-</w:t>
      </w:r>
      <w:r>
        <w:t>混合认证</w:t>
      </w:r>
      <w:bookmarkEnd w:id="8236"/>
    </w:p>
    <w:p w14:paraId="402A4A9B">
      <w:r>
        <w:drawing>
          <wp:inline distT="0" distB="0" distL="0" distR="0">
            <wp:extent cx="4484370" cy="5198745"/>
            <wp:effectExtent l="0" t="0" r="0" b="1905"/>
            <wp:docPr id="815778182" name="图片 815778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778182" name="图片 815778182"/>
                    <pic:cNvPicPr>
                      <a:picLocks noChangeAspect="1"/>
                    </pic:cNvPicPr>
                  </pic:nvPicPr>
                  <pic:blipFill>
                    <a:blip r:embed="rId983"/>
                    <a:stretch>
                      <a:fillRect/>
                    </a:stretch>
                  </pic:blipFill>
                  <pic:spPr>
                    <a:xfrm>
                      <a:off x="0" y="0"/>
                      <a:ext cx="4488840" cy="5203938"/>
                    </a:xfrm>
                    <a:prstGeom prst="rect">
                      <a:avLst/>
                    </a:prstGeom>
                  </pic:spPr>
                </pic:pic>
              </a:graphicData>
            </a:graphic>
          </wp:inline>
        </w:drawing>
      </w:r>
    </w:p>
    <w:p w14:paraId="317CFA7F">
      <w:r>
        <w:drawing>
          <wp:inline distT="0" distB="0" distL="0" distR="0">
            <wp:extent cx="4279900" cy="3069590"/>
            <wp:effectExtent l="0" t="0" r="6350" b="0"/>
            <wp:docPr id="815778183" name="图片 815778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778183" name="图片 815778183"/>
                    <pic:cNvPicPr>
                      <a:picLocks noChangeAspect="1"/>
                    </pic:cNvPicPr>
                  </pic:nvPicPr>
                  <pic:blipFill>
                    <a:blip r:embed="rId984"/>
                    <a:stretch>
                      <a:fillRect/>
                    </a:stretch>
                  </pic:blipFill>
                  <pic:spPr>
                    <a:xfrm>
                      <a:off x="0" y="0"/>
                      <a:ext cx="4293836" cy="3079764"/>
                    </a:xfrm>
                    <a:prstGeom prst="rect">
                      <a:avLst/>
                    </a:prstGeom>
                  </pic:spPr>
                </pic:pic>
              </a:graphicData>
            </a:graphic>
          </wp:inline>
        </w:drawing>
      </w:r>
    </w:p>
    <w:p w14:paraId="22A299FA">
      <w:r>
        <w:rPr>
          <w:rFonts w:hint="eastAsia"/>
        </w:rPr>
        <w:t>认证策略参数详细说明，如</w:t>
      </w:r>
      <w:r>
        <w:fldChar w:fldCharType="begin"/>
      </w:r>
      <w:r>
        <w:instrText xml:space="preserve"> </w:instrText>
      </w:r>
      <w:r>
        <w:rPr>
          <w:rFonts w:hint="eastAsia"/>
        </w:rPr>
        <w:instrText xml:space="preserve">REF _Ref4677190 \r \h</w:instrText>
      </w:r>
      <w:r>
        <w:instrText xml:space="preserve"> </w:instrText>
      </w:r>
      <w:r>
        <w:fldChar w:fldCharType="separate"/>
      </w:r>
      <w:r>
        <w:rPr>
          <w:rFonts w:hint="eastAsia"/>
        </w:rPr>
        <w:t>表31-1</w:t>
      </w:r>
      <w:r>
        <w:fldChar w:fldCharType="end"/>
      </w:r>
      <w:r>
        <w:rPr>
          <w:rFonts w:hint="eastAsia"/>
        </w:rPr>
        <w:t>所示</w:t>
      </w:r>
    </w:p>
    <w:p w14:paraId="52F9DC5E">
      <w:pPr>
        <w:pStyle w:val="183"/>
      </w:pPr>
      <w:bookmarkStart w:id="8237" w:name="_Ref4677190"/>
      <w:bookmarkStart w:id="8238" w:name="_Toc141875562"/>
      <w:r>
        <w:t>认证策略</w:t>
      </w:r>
      <w:r>
        <w:rPr>
          <w:rFonts w:hint="eastAsia"/>
        </w:rPr>
        <w:t>配置参数详细说明</w:t>
      </w:r>
      <w:bookmarkEnd w:id="8237"/>
      <w:bookmarkEnd w:id="8238"/>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639"/>
        <w:gridCol w:w="7331"/>
      </w:tblGrid>
      <w:tr w14:paraId="4DCEE6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20" w:hRule="atLeast"/>
        </w:trPr>
        <w:tc>
          <w:tcPr>
            <w:tcW w:w="1639" w:type="dxa"/>
            <w:tcBorders>
              <w:tl2br w:val="nil"/>
              <w:tr2bl w:val="nil"/>
            </w:tcBorders>
            <w:shd w:val="clear" w:color="auto" w:fill="538135" w:themeFill="accent6" w:themeFillShade="BF"/>
            <w:vAlign w:val="center"/>
          </w:tcPr>
          <w:p w14:paraId="5687E61A">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w:t>
            </w:r>
          </w:p>
        </w:tc>
        <w:tc>
          <w:tcPr>
            <w:tcW w:w="7331" w:type="dxa"/>
            <w:tcBorders>
              <w:tl2br w:val="nil"/>
              <w:tr2bl w:val="nil"/>
            </w:tcBorders>
            <w:shd w:val="clear" w:color="auto" w:fill="538135" w:themeFill="accent6" w:themeFillShade="BF"/>
            <w:vAlign w:val="center"/>
          </w:tcPr>
          <w:p w14:paraId="36935920">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F93B2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15777AEB">
            <w:pPr>
              <w:pStyle w:val="150"/>
            </w:pPr>
            <w:r>
              <w:rPr>
                <w:rFonts w:hint="eastAsia"/>
              </w:rPr>
              <w:t>启用</w:t>
            </w:r>
          </w:p>
        </w:tc>
        <w:tc>
          <w:tcPr>
            <w:tcW w:w="7331" w:type="dxa"/>
            <w:shd w:val="clear" w:color="auto" w:fill="auto"/>
          </w:tcPr>
          <w:p w14:paraId="23B34611">
            <w:pPr>
              <w:pStyle w:val="150"/>
            </w:pPr>
            <w:r>
              <w:rPr>
                <w:rFonts w:hint="eastAsia"/>
              </w:rPr>
              <w:t>认证策略启用或禁用。</w:t>
            </w:r>
          </w:p>
        </w:tc>
      </w:tr>
      <w:tr w14:paraId="720BC5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503768CE">
            <w:pPr>
              <w:pStyle w:val="150"/>
            </w:pPr>
            <w:r>
              <w:rPr>
                <w:rFonts w:hint="eastAsia"/>
              </w:rPr>
              <w:t>名称</w:t>
            </w:r>
          </w:p>
        </w:tc>
        <w:tc>
          <w:tcPr>
            <w:tcW w:w="7331" w:type="dxa"/>
            <w:shd w:val="clear" w:color="auto" w:fill="auto"/>
          </w:tcPr>
          <w:p w14:paraId="78BC7CC7">
            <w:pPr>
              <w:pStyle w:val="150"/>
            </w:pPr>
            <w:r>
              <w:rPr>
                <w:rFonts w:hint="eastAsia"/>
              </w:rPr>
              <w:t>认证策略的名称。</w:t>
            </w:r>
          </w:p>
        </w:tc>
      </w:tr>
      <w:tr w14:paraId="3202EB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489ACB8B">
            <w:pPr>
              <w:pStyle w:val="150"/>
            </w:pPr>
            <w:r>
              <w:rPr>
                <w:rFonts w:hint="eastAsia"/>
              </w:rPr>
              <w:t>描述</w:t>
            </w:r>
          </w:p>
        </w:tc>
        <w:tc>
          <w:tcPr>
            <w:tcW w:w="7331" w:type="dxa"/>
            <w:shd w:val="clear" w:color="auto" w:fill="auto"/>
          </w:tcPr>
          <w:p w14:paraId="757F5C40">
            <w:pPr>
              <w:pStyle w:val="150"/>
            </w:pPr>
            <w:r>
              <w:rPr>
                <w:rFonts w:hint="eastAsia"/>
              </w:rPr>
              <w:t>认证策略描述信息填写。</w:t>
            </w:r>
          </w:p>
        </w:tc>
      </w:tr>
      <w:tr w14:paraId="2D672F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350D947A">
            <w:pPr>
              <w:pStyle w:val="150"/>
            </w:pPr>
            <w:r>
              <w:rPr>
                <w:rFonts w:hint="eastAsia"/>
              </w:rPr>
              <w:t>源接口</w:t>
            </w:r>
          </w:p>
        </w:tc>
        <w:tc>
          <w:tcPr>
            <w:tcW w:w="7331" w:type="dxa"/>
            <w:shd w:val="clear" w:color="auto" w:fill="auto"/>
          </w:tcPr>
          <w:p w14:paraId="6505DFCA">
            <w:pPr>
              <w:pStyle w:val="150"/>
            </w:pPr>
            <w:r>
              <w:rPr>
                <w:rFonts w:hint="eastAsia"/>
              </w:rPr>
              <w:t>认证策略源接口。</w:t>
            </w:r>
          </w:p>
        </w:tc>
      </w:tr>
      <w:tr w14:paraId="77F832C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6A985F5B">
            <w:pPr>
              <w:pStyle w:val="150"/>
            </w:pPr>
            <w:r>
              <w:rPr>
                <w:rFonts w:hint="eastAsia"/>
              </w:rPr>
              <w:t>源地址</w:t>
            </w:r>
          </w:p>
        </w:tc>
        <w:tc>
          <w:tcPr>
            <w:tcW w:w="7331" w:type="dxa"/>
            <w:shd w:val="clear" w:color="auto" w:fill="auto"/>
          </w:tcPr>
          <w:p w14:paraId="728F212A">
            <w:pPr>
              <w:pStyle w:val="150"/>
            </w:pPr>
            <w:r>
              <w:rPr>
                <w:rFonts w:hint="eastAsia"/>
              </w:rPr>
              <w:t>认证策略源地址对象或地址组，可直接新建地址对象。</w:t>
            </w:r>
          </w:p>
        </w:tc>
      </w:tr>
      <w:tr w14:paraId="0B4DFE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07C1EE11">
            <w:pPr>
              <w:pStyle w:val="150"/>
            </w:pPr>
            <w:r>
              <w:rPr>
                <w:rFonts w:hint="eastAsia"/>
              </w:rPr>
              <w:t>目的接口</w:t>
            </w:r>
          </w:p>
        </w:tc>
        <w:tc>
          <w:tcPr>
            <w:tcW w:w="7331" w:type="dxa"/>
            <w:shd w:val="clear" w:color="auto" w:fill="auto"/>
          </w:tcPr>
          <w:p w14:paraId="35D6C4F0">
            <w:pPr>
              <w:pStyle w:val="150"/>
            </w:pPr>
            <w:r>
              <w:rPr>
                <w:rFonts w:hint="eastAsia"/>
              </w:rPr>
              <w:t>认证策略目的接口。</w:t>
            </w:r>
          </w:p>
        </w:tc>
      </w:tr>
      <w:tr w14:paraId="70406C4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4A3AD9B1">
            <w:pPr>
              <w:pStyle w:val="150"/>
            </w:pPr>
            <w:r>
              <w:rPr>
                <w:rFonts w:hint="eastAsia"/>
              </w:rPr>
              <w:t>目的地址</w:t>
            </w:r>
          </w:p>
        </w:tc>
        <w:tc>
          <w:tcPr>
            <w:tcW w:w="7331" w:type="dxa"/>
            <w:shd w:val="clear" w:color="auto" w:fill="auto"/>
          </w:tcPr>
          <w:p w14:paraId="4EBE293A">
            <w:pPr>
              <w:pStyle w:val="150"/>
            </w:pPr>
            <w:r>
              <w:rPr>
                <w:rFonts w:hint="eastAsia"/>
              </w:rPr>
              <w:t>认证策略目的地址对象或地址组，可直接新建地址对象。</w:t>
            </w:r>
          </w:p>
        </w:tc>
      </w:tr>
      <w:tr w14:paraId="699F29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72881585">
            <w:pPr>
              <w:pStyle w:val="150"/>
            </w:pPr>
            <w:r>
              <w:rPr>
                <w:rFonts w:hint="eastAsia"/>
              </w:rPr>
              <w:t>认证方式</w:t>
            </w:r>
          </w:p>
        </w:tc>
        <w:tc>
          <w:tcPr>
            <w:tcW w:w="7331" w:type="dxa"/>
            <w:shd w:val="clear" w:color="auto" w:fill="auto"/>
          </w:tcPr>
          <w:p w14:paraId="69AE9536">
            <w:pPr>
              <w:pStyle w:val="150"/>
            </w:pPr>
            <w:r>
              <w:rPr>
                <w:rFonts w:hint="eastAsia"/>
              </w:rPr>
              <w:t>认证策略认证方式可选本地WEB认证、微信认证、短信认证、Portal Server认证、免认证、SAM认证、单点登录、访客二维码认证、混合认证、IC卡认证、APP认证、POP3认证、钉钉认证、企业微信认证、CAS认证、OAUTH认证。</w:t>
            </w:r>
          </w:p>
        </w:tc>
      </w:tr>
      <w:tr w14:paraId="49C23D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19FDBCDD">
            <w:pPr>
              <w:pStyle w:val="150"/>
            </w:pPr>
            <w:r>
              <w:rPr>
                <w:rFonts w:hint="eastAsia"/>
              </w:rPr>
              <w:t>首选认证方式</w:t>
            </w:r>
          </w:p>
        </w:tc>
        <w:tc>
          <w:tcPr>
            <w:tcW w:w="7331" w:type="dxa"/>
            <w:shd w:val="clear" w:color="auto" w:fill="auto"/>
          </w:tcPr>
          <w:p w14:paraId="36432A80">
            <w:pPr>
              <w:pStyle w:val="150"/>
            </w:pPr>
            <w:r>
              <w:rPr>
                <w:rFonts w:hint="eastAsia"/>
              </w:rPr>
              <w:t>认证方式选择“混合认证”时，可以设置首选的认证方式。</w:t>
            </w:r>
          </w:p>
        </w:tc>
      </w:tr>
      <w:tr w14:paraId="36C814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3BBF3365">
            <w:pPr>
              <w:pStyle w:val="150"/>
            </w:pPr>
            <w:r>
              <w:rPr>
                <w:rFonts w:hint="eastAsia"/>
              </w:rPr>
              <w:t>用户范围</w:t>
            </w:r>
          </w:p>
        </w:tc>
        <w:tc>
          <w:tcPr>
            <w:tcW w:w="7331" w:type="dxa"/>
            <w:shd w:val="clear" w:color="auto" w:fill="auto"/>
          </w:tcPr>
          <w:p w14:paraId="31236AE1">
            <w:pPr>
              <w:pStyle w:val="150"/>
            </w:pPr>
            <w:r>
              <w:rPr>
                <w:rFonts w:hint="eastAsia"/>
              </w:rPr>
              <w:t>点击“选择用户”选择本地用户。</w:t>
            </w:r>
          </w:p>
        </w:tc>
      </w:tr>
      <w:tr w14:paraId="7889A0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20" w:hRule="atLeast"/>
        </w:trPr>
        <w:tc>
          <w:tcPr>
            <w:tcW w:w="1639" w:type="dxa"/>
            <w:shd w:val="clear" w:color="auto" w:fill="auto"/>
          </w:tcPr>
          <w:p w14:paraId="34CC24A1">
            <w:pPr>
              <w:pStyle w:val="150"/>
            </w:pPr>
            <w:r>
              <w:rPr>
                <w:rFonts w:hint="eastAsia"/>
              </w:rPr>
              <w:t>时间</w:t>
            </w:r>
          </w:p>
        </w:tc>
        <w:tc>
          <w:tcPr>
            <w:tcW w:w="7331" w:type="dxa"/>
            <w:shd w:val="clear" w:color="auto" w:fill="auto"/>
          </w:tcPr>
          <w:p w14:paraId="16A5FA8D">
            <w:pPr>
              <w:pStyle w:val="150"/>
            </w:pPr>
            <w:r>
              <w:rPr>
                <w:rFonts w:hint="eastAsia"/>
              </w:rPr>
              <w:t>认证策略时间对象，时间对象有效期内策略生效，时间对象无效的时候认证策略为禁用状态。</w:t>
            </w:r>
          </w:p>
        </w:tc>
      </w:tr>
      <w:tr w14:paraId="6C4E93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20" w:hRule="atLeast"/>
        </w:trPr>
        <w:tc>
          <w:tcPr>
            <w:tcW w:w="1639" w:type="dxa"/>
            <w:shd w:val="clear" w:color="auto" w:fill="auto"/>
          </w:tcPr>
          <w:p w14:paraId="52D89DB1">
            <w:pPr>
              <w:pStyle w:val="150"/>
            </w:pPr>
            <w:r>
              <w:rPr>
                <w:rFonts w:hint="eastAsia"/>
              </w:rPr>
              <w:t>启用自注册</w:t>
            </w:r>
          </w:p>
        </w:tc>
        <w:tc>
          <w:tcPr>
            <w:tcW w:w="7331" w:type="dxa"/>
            <w:shd w:val="clear" w:color="auto" w:fill="auto"/>
          </w:tcPr>
          <w:p w14:paraId="5B266DC9">
            <w:pPr>
              <w:pStyle w:val="150"/>
            </w:pPr>
            <w:r>
              <w:rPr>
                <w:rFonts w:hint="eastAsia"/>
              </w:rPr>
              <w:t>选择是否启用自注册，选择新建的自注册对象。请参考</w:t>
            </w:r>
            <w:r>
              <w:fldChar w:fldCharType="begin"/>
            </w:r>
            <w:r>
              <w:instrText xml:space="preserve"> </w:instrText>
            </w:r>
            <w:r>
              <w:rPr>
                <w:rFonts w:hint="eastAsia"/>
              </w:rPr>
              <w:instrText xml:space="preserve">REF _Ref99526037 \h</w:instrText>
            </w:r>
            <w:r>
              <w:instrText xml:space="preserve">  \* MERGEFORMAT </w:instrText>
            </w:r>
            <w:r>
              <w:fldChar w:fldCharType="separate"/>
            </w:r>
            <w:r>
              <w:rPr>
                <w:rFonts w:hint="eastAsia"/>
              </w:rPr>
              <w:t>用户自注册</w:t>
            </w:r>
            <w:r>
              <w:fldChar w:fldCharType="end"/>
            </w:r>
            <w:r>
              <w:rPr>
                <w:rFonts w:hint="eastAsia"/>
              </w:rPr>
              <w:t>章节。</w:t>
            </w:r>
          </w:p>
        </w:tc>
      </w:tr>
      <w:tr w14:paraId="06A459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1D86535D">
            <w:pPr>
              <w:pStyle w:val="150"/>
            </w:pPr>
            <w:r>
              <w:rPr>
                <w:rFonts w:hint="eastAsia"/>
              </w:rPr>
              <w:t>用户</w:t>
            </w:r>
            <w:r>
              <w:t>组</w:t>
            </w:r>
          </w:p>
        </w:tc>
        <w:tc>
          <w:tcPr>
            <w:tcW w:w="7331" w:type="dxa"/>
            <w:shd w:val="clear" w:color="auto" w:fill="auto"/>
          </w:tcPr>
          <w:p w14:paraId="4538D5F3">
            <w:pPr>
              <w:pStyle w:val="150"/>
            </w:pPr>
            <w:r>
              <w:rPr>
                <w:rFonts w:hint="eastAsia"/>
              </w:rPr>
              <w:t>默认不选择用户组，第三方用户认证成功后不录入用户；选择用户组后，第三方用户认证成功后录入指定的用户组。</w:t>
            </w:r>
          </w:p>
          <w:p w14:paraId="3074A9D7">
            <w:pPr>
              <w:pStyle w:val="150"/>
            </w:pPr>
            <w:r>
              <w:rPr>
                <w:rFonts w:hint="eastAsia"/>
              </w:rPr>
              <w:t>该功能主要针对于第三方认证的用户，目的将存储在第三方服务器的用户导入设备。如果需要对第三方认证的用户进行策略限制等，建议选择录入指定的用户组。</w:t>
            </w:r>
          </w:p>
        </w:tc>
      </w:tr>
      <w:tr w14:paraId="2851890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6A07668A">
            <w:pPr>
              <w:pStyle w:val="150"/>
            </w:pPr>
            <w:r>
              <w:rPr>
                <w:rFonts w:hint="eastAsia"/>
              </w:rPr>
              <w:t>用户有效时间</w:t>
            </w:r>
          </w:p>
        </w:tc>
        <w:tc>
          <w:tcPr>
            <w:tcW w:w="7331" w:type="dxa"/>
            <w:shd w:val="clear" w:color="auto" w:fill="auto"/>
          </w:tcPr>
          <w:p w14:paraId="38F5A1F6">
            <w:pPr>
              <w:pStyle w:val="150"/>
            </w:pPr>
            <w:r>
              <w:rPr>
                <w:rFonts w:hint="eastAsia"/>
              </w:rPr>
              <w:t>用户有效期指的是第三方用户录入</w:t>
            </w:r>
            <w:r>
              <w:t>方式</w:t>
            </w:r>
            <w:r>
              <w:rPr>
                <w:rFonts w:hint="eastAsia"/>
              </w:rPr>
              <w:t>：</w:t>
            </w:r>
          </w:p>
          <w:p w14:paraId="42532E70">
            <w:pPr>
              <w:pStyle w:val="150"/>
            </w:pPr>
            <w:r>
              <w:t>永久</w:t>
            </w:r>
            <w:r>
              <w:rPr>
                <w:rFonts w:hint="eastAsia"/>
              </w:rPr>
              <w:t>录入：第三方用户认证成功后录入指定组，永久有效。</w:t>
            </w:r>
          </w:p>
          <w:p w14:paraId="0C2950E3">
            <w:pPr>
              <w:pStyle w:val="150"/>
            </w:pPr>
            <w:r>
              <w:rPr>
                <w:rFonts w:hint="eastAsia"/>
              </w:rPr>
              <w:t>有效期至：第三方用户认证成功后录入指定组，设备运行时间到配置的时间当天2</w:t>
            </w:r>
            <w:r>
              <w:t>3</w:t>
            </w:r>
            <w:r>
              <w:rPr>
                <w:rFonts w:hint="eastAsia"/>
              </w:rPr>
              <w:t>:</w:t>
            </w:r>
            <w:r>
              <w:t>59</w:t>
            </w:r>
            <w:r>
              <w:rPr>
                <w:rFonts w:hint="eastAsia"/>
              </w:rPr>
              <w:t>后，录入的用户状态变为不启用，认证策略也变为不启用。</w:t>
            </w:r>
          </w:p>
          <w:p w14:paraId="2810D1E8">
            <w:pPr>
              <w:pStyle w:val="150"/>
            </w:pPr>
            <w:r>
              <w:rPr>
                <w:rFonts w:hint="eastAsia"/>
              </w:rPr>
              <w:t>临时录入：第三方用户认证成功后录入指定组，用户注销下线后，录入的用户组里用户自动删除。</w:t>
            </w:r>
          </w:p>
        </w:tc>
      </w:tr>
      <w:tr w14:paraId="16A965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5B02798E">
            <w:pPr>
              <w:pStyle w:val="150"/>
            </w:pPr>
            <w:r>
              <w:rPr>
                <w:rFonts w:hint="eastAsia"/>
              </w:rPr>
              <w:t>IP-MAC绑定</w:t>
            </w:r>
          </w:p>
        </w:tc>
        <w:tc>
          <w:tcPr>
            <w:tcW w:w="7331" w:type="dxa"/>
            <w:shd w:val="clear" w:color="auto" w:fill="auto"/>
          </w:tcPr>
          <w:p w14:paraId="08FE1647">
            <w:pPr>
              <w:pStyle w:val="150"/>
            </w:pPr>
            <w:r>
              <w:rPr>
                <w:rFonts w:hint="eastAsia"/>
              </w:rPr>
              <w:t>认证录入用户时对用户的IP和MAC进行绑定，保证终端一对一接入网络。</w:t>
            </w:r>
          </w:p>
        </w:tc>
      </w:tr>
      <w:tr w14:paraId="61A8CA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7BA8CDAC">
            <w:pPr>
              <w:pStyle w:val="150"/>
            </w:pPr>
            <w:r>
              <w:rPr>
                <w:rFonts w:hint="eastAsia"/>
              </w:rPr>
              <w:t>录入用户绑定</w:t>
            </w:r>
          </w:p>
        </w:tc>
        <w:tc>
          <w:tcPr>
            <w:tcW w:w="7331" w:type="dxa"/>
            <w:shd w:val="clear" w:color="auto" w:fill="auto"/>
          </w:tcPr>
          <w:p w14:paraId="15E73354">
            <w:pPr>
              <w:pStyle w:val="150"/>
            </w:pPr>
            <w:r>
              <w:rPr>
                <w:rFonts w:hint="eastAsia"/>
              </w:rPr>
              <w:t>用户认证之后将用户名和IP或者MAC进行绑定，在有效期内，用户可以直接上线，不需要认证，也不需要一直有流量触发。</w:t>
            </w:r>
          </w:p>
        </w:tc>
      </w:tr>
      <w:tr w14:paraId="542FBA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235DFDD8">
            <w:pPr>
              <w:pStyle w:val="150"/>
            </w:pPr>
            <w:r>
              <w:rPr>
                <w:rFonts w:hint="eastAsia"/>
              </w:rPr>
              <w:t>超时时间</w:t>
            </w:r>
          </w:p>
        </w:tc>
        <w:tc>
          <w:tcPr>
            <w:tcW w:w="7331" w:type="dxa"/>
            <w:shd w:val="clear" w:color="auto" w:fill="auto"/>
          </w:tcPr>
          <w:p w14:paraId="67E01C5C">
            <w:pPr>
              <w:pStyle w:val="150"/>
            </w:pPr>
            <w:r>
              <w:rPr>
                <w:rFonts w:hint="eastAsia"/>
              </w:rPr>
              <w:t>勾选后启用认证用户的超时时间，在时间段内没有流量设备会强制用户下线。</w:t>
            </w:r>
          </w:p>
          <w:p w14:paraId="1BACEDE9">
            <w:pPr>
              <w:pStyle w:val="150"/>
            </w:pPr>
            <w:r>
              <w:rPr>
                <w:rFonts w:hint="eastAsia"/>
              </w:rPr>
              <w:t>认证策略的超时时间优先级高于认证方式的超时时间。</w:t>
            </w:r>
          </w:p>
        </w:tc>
      </w:tr>
      <w:tr w14:paraId="3B9E20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4603ECC3">
            <w:pPr>
              <w:pStyle w:val="150"/>
            </w:pPr>
            <w:r>
              <w:rPr>
                <w:rFonts w:hint="eastAsia"/>
              </w:rPr>
              <w:t>强制重登录间隔</w:t>
            </w:r>
          </w:p>
        </w:tc>
        <w:tc>
          <w:tcPr>
            <w:tcW w:w="7331" w:type="dxa"/>
            <w:shd w:val="clear" w:color="auto" w:fill="auto"/>
          </w:tcPr>
          <w:p w14:paraId="1F9EC2D8">
            <w:pPr>
              <w:pStyle w:val="150"/>
            </w:pPr>
            <w:r>
              <w:rPr>
                <w:rFonts w:hint="eastAsia"/>
              </w:rPr>
              <w:t>勾选后启用认证用户的强制重登录时间，从用户登录时间开始，超时后用户将会被强制下线。</w:t>
            </w:r>
          </w:p>
          <w:p w14:paraId="28A58F51">
            <w:pPr>
              <w:pStyle w:val="150"/>
            </w:pPr>
            <w:r>
              <w:rPr>
                <w:rFonts w:hint="eastAsia"/>
              </w:rPr>
              <w:t>认证策略的强制重登录间隔优先级高于认证方式的强制重登录间隔。</w:t>
            </w:r>
          </w:p>
          <w:p w14:paraId="7277EEC3">
            <w:pPr>
              <w:pStyle w:val="150"/>
            </w:pPr>
            <w:r>
              <w:t>可以设置具体的时间</w:t>
            </w:r>
            <w:r>
              <w:rPr>
                <w:rFonts w:hint="eastAsia"/>
              </w:rPr>
              <w:t>，</w:t>
            </w:r>
            <w:r>
              <w:t>也可以选择时间对象</w:t>
            </w:r>
            <w:r>
              <w:rPr>
                <w:rFonts w:hint="eastAsia"/>
              </w:rPr>
              <w:t>，两者只能选择一项。</w:t>
            </w:r>
          </w:p>
          <w:p w14:paraId="7E0FB4F5">
            <w:pPr>
              <w:pStyle w:val="150"/>
            </w:pPr>
            <w:r>
              <w:rPr>
                <w:rFonts w:hint="eastAsia"/>
              </w:rPr>
              <w:t>强制重登录下线会删无感知列表，不会再无感知上线。</w:t>
            </w:r>
          </w:p>
        </w:tc>
      </w:tr>
      <w:tr w14:paraId="4303BAB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3C5588B1">
            <w:pPr>
              <w:pStyle w:val="150"/>
            </w:pPr>
            <w:r>
              <w:rPr>
                <w:rFonts w:hint="eastAsia"/>
              </w:rPr>
              <w:t>启用二次认证</w:t>
            </w:r>
          </w:p>
        </w:tc>
        <w:tc>
          <w:tcPr>
            <w:tcW w:w="7331" w:type="dxa"/>
            <w:shd w:val="clear" w:color="auto" w:fill="auto"/>
          </w:tcPr>
          <w:p w14:paraId="3869B27C">
            <w:pPr>
              <w:pStyle w:val="150"/>
            </w:pPr>
            <w:r>
              <w:rPr>
                <w:rFonts w:hint="eastAsia"/>
              </w:rPr>
              <w:t>只有认证方式选择本地认证和微信认证时，可以启用二次认证。</w:t>
            </w:r>
          </w:p>
          <w:p w14:paraId="49F12420">
            <w:pPr>
              <w:pStyle w:val="150"/>
            </w:pPr>
            <w:r>
              <w:rPr>
                <w:rFonts w:hint="eastAsia"/>
              </w:rPr>
              <w:t>启用后，对认证用户进行双重认证，终端用户需两次认证都通过后才可以上网。</w:t>
            </w:r>
          </w:p>
        </w:tc>
      </w:tr>
      <w:tr w14:paraId="3A6649C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011FB9B5">
            <w:pPr>
              <w:pStyle w:val="150"/>
            </w:pPr>
            <w:r>
              <w:rPr>
                <w:rFonts w:hint="eastAsia"/>
              </w:rPr>
              <w:t>二次认证方式</w:t>
            </w:r>
          </w:p>
        </w:tc>
        <w:tc>
          <w:tcPr>
            <w:tcW w:w="7331" w:type="dxa"/>
            <w:shd w:val="clear" w:color="auto" w:fill="auto"/>
          </w:tcPr>
          <w:p w14:paraId="39240E73">
            <w:pPr>
              <w:pStyle w:val="150"/>
            </w:pPr>
            <w:r>
              <w:t>启用二次认证后</w:t>
            </w:r>
            <w:r>
              <w:rPr>
                <w:rFonts w:hint="eastAsia"/>
              </w:rPr>
              <w:t>，</w:t>
            </w:r>
            <w:r>
              <w:t>点击下拉框选择二次认证的认证方式</w:t>
            </w:r>
            <w:r>
              <w:rPr>
                <w:rFonts w:hint="eastAsia"/>
              </w:rPr>
              <w:t>。</w:t>
            </w:r>
          </w:p>
          <w:p w14:paraId="374B2660">
            <w:pPr>
              <w:pStyle w:val="150"/>
            </w:pPr>
            <w:r>
              <w:rPr>
                <w:rFonts w:hint="eastAsia"/>
              </w:rPr>
              <w:t>认证方式选择本地认证方式时，二次认证只能选择短信认证；</w:t>
            </w:r>
          </w:p>
          <w:p w14:paraId="590BF296">
            <w:pPr>
              <w:pStyle w:val="150"/>
            </w:pPr>
            <w:r>
              <w:rPr>
                <w:rFonts w:hint="eastAsia"/>
              </w:rPr>
              <w:t>认证方式选择微信认证方式时，二次认证可以选择本地WEB认证或短信认证。</w:t>
            </w:r>
          </w:p>
        </w:tc>
      </w:tr>
      <w:tr w14:paraId="2F89CA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0129E0C5">
            <w:pPr>
              <w:pStyle w:val="150"/>
            </w:pPr>
            <w:r>
              <w:rPr>
                <w:rFonts w:hint="eastAsia"/>
              </w:rPr>
              <w:t>手机范围校验</w:t>
            </w:r>
          </w:p>
        </w:tc>
        <w:tc>
          <w:tcPr>
            <w:tcW w:w="7331" w:type="dxa"/>
            <w:shd w:val="clear" w:color="auto" w:fill="auto"/>
          </w:tcPr>
          <w:p w14:paraId="3EA087E2">
            <w:pPr>
              <w:pStyle w:val="150"/>
            </w:pPr>
            <w:r>
              <w:t>认证方式选择</w:t>
            </w:r>
            <w:r>
              <w:rPr>
                <w:rFonts w:hint="eastAsia"/>
              </w:rPr>
              <w:t>“短信认证”时可配置，</w:t>
            </w:r>
            <w:r>
              <w:t>勾选后</w:t>
            </w:r>
            <w:r>
              <w:rPr>
                <w:rFonts w:hint="eastAsia"/>
              </w:rPr>
              <w:t>，</w:t>
            </w:r>
            <w:r>
              <w:t>仅允许用户组织结构中存在的手机号进行验证</w:t>
            </w:r>
            <w:r>
              <w:rPr>
                <w:rFonts w:hint="eastAsia"/>
              </w:rPr>
              <w:t>。</w:t>
            </w:r>
          </w:p>
        </w:tc>
      </w:tr>
      <w:tr w14:paraId="4E09CDA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54222803">
            <w:pPr>
              <w:pStyle w:val="150"/>
            </w:pPr>
            <w:r>
              <w:rPr>
                <w:rFonts w:hint="eastAsia"/>
              </w:rPr>
              <w:t>手机自注册</w:t>
            </w:r>
          </w:p>
        </w:tc>
        <w:tc>
          <w:tcPr>
            <w:tcW w:w="7331" w:type="dxa"/>
            <w:shd w:val="clear" w:color="auto" w:fill="auto"/>
          </w:tcPr>
          <w:p w14:paraId="3D65DE98">
            <w:pPr>
              <w:pStyle w:val="150"/>
            </w:pPr>
            <w:r>
              <w:t>该功能与</w:t>
            </w:r>
            <w:r>
              <w:rPr>
                <w:rFonts w:hint="eastAsia"/>
              </w:rPr>
              <w:t>“本地WEB认证”和“短信认证”配套使用，至少选择这两种认证方式时可以配置，如</w:t>
            </w:r>
            <w:r>
              <w:fldChar w:fldCharType="begin"/>
            </w:r>
            <w:r>
              <w:instrText xml:space="preserve"> </w:instrText>
            </w:r>
            <w:r>
              <w:rPr>
                <w:rFonts w:hint="eastAsia"/>
              </w:rPr>
              <w:instrText xml:space="preserve">REF _Ref160728908 \r \h</w:instrText>
            </w:r>
            <w:r>
              <w:instrText xml:space="preserve">  \* MERGEFORMAT </w:instrText>
            </w:r>
            <w:r>
              <w:fldChar w:fldCharType="separate"/>
            </w:r>
            <w:r>
              <w:rPr>
                <w:rFonts w:hint="eastAsia"/>
              </w:rPr>
              <w:t>图31-3</w:t>
            </w:r>
            <w:r>
              <w:fldChar w:fldCharType="end"/>
            </w:r>
            <w:r>
              <w:t>所示</w:t>
            </w:r>
            <w:r>
              <w:rPr>
                <w:rFonts w:hint="eastAsia"/>
              </w:rPr>
              <w:t>，且同时勾选“手机范围校验”。</w:t>
            </w:r>
          </w:p>
          <w:p w14:paraId="08194F74">
            <w:pPr>
              <w:pStyle w:val="150"/>
            </w:pPr>
            <w:r>
              <w:rPr>
                <w:rFonts w:hint="eastAsia"/>
              </w:rPr>
              <w:t>勾选后，用户使用本地账号密码登录后，在认证成功界面，可以自行绑定或者更换手机号。</w:t>
            </w:r>
          </w:p>
        </w:tc>
      </w:tr>
      <w:tr w14:paraId="204C94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6922BE67">
            <w:pPr>
              <w:pStyle w:val="150"/>
            </w:pPr>
            <w:r>
              <w:rPr>
                <w:rFonts w:hint="eastAsia"/>
              </w:rPr>
              <w:t>微信范围校验</w:t>
            </w:r>
          </w:p>
        </w:tc>
        <w:tc>
          <w:tcPr>
            <w:tcW w:w="7331" w:type="dxa"/>
            <w:shd w:val="clear" w:color="auto" w:fill="auto"/>
          </w:tcPr>
          <w:p w14:paraId="74EF6D9A">
            <w:pPr>
              <w:pStyle w:val="150"/>
            </w:pPr>
            <w:r>
              <w:t>认证方式选择</w:t>
            </w:r>
            <w:r>
              <w:rPr>
                <w:rFonts w:hint="eastAsia"/>
              </w:rPr>
              <w:t>“微信认证”时可配置，</w:t>
            </w:r>
            <w:r>
              <w:t>勾选后</w:t>
            </w:r>
            <w:r>
              <w:rPr>
                <w:rFonts w:hint="eastAsia"/>
              </w:rPr>
              <w:t>，</w:t>
            </w:r>
            <w:r>
              <w:t>仅允许用户组织结构中存在的微信号进行验证</w:t>
            </w:r>
            <w:r>
              <w:rPr>
                <w:rFonts w:hint="eastAsia"/>
              </w:rPr>
              <w:t>。</w:t>
            </w:r>
          </w:p>
        </w:tc>
      </w:tr>
      <w:tr w14:paraId="0B0CF6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34E1077D">
            <w:pPr>
              <w:pStyle w:val="150"/>
            </w:pPr>
            <w:r>
              <w:rPr>
                <w:rFonts w:hint="eastAsia"/>
              </w:rPr>
              <w:t>微信自注册</w:t>
            </w:r>
          </w:p>
        </w:tc>
        <w:tc>
          <w:tcPr>
            <w:tcW w:w="7331" w:type="dxa"/>
            <w:shd w:val="clear" w:color="auto" w:fill="auto"/>
          </w:tcPr>
          <w:p w14:paraId="37E919E2">
            <w:pPr>
              <w:pStyle w:val="150"/>
            </w:pPr>
            <w:r>
              <w:t>该功能与</w:t>
            </w:r>
            <w:r>
              <w:rPr>
                <w:rFonts w:hint="eastAsia"/>
              </w:rPr>
              <w:t>“本地WEB认证”和“短信认证”配套使用，至少选择这两种认证方式时可以配置，如</w:t>
            </w:r>
            <w:r>
              <w:fldChar w:fldCharType="begin"/>
            </w:r>
            <w:r>
              <w:instrText xml:space="preserve"> </w:instrText>
            </w:r>
            <w:r>
              <w:rPr>
                <w:rFonts w:hint="eastAsia"/>
              </w:rPr>
              <w:instrText xml:space="preserve">REF _Ref160728908 \r \h</w:instrText>
            </w:r>
            <w:r>
              <w:instrText xml:space="preserve">  \* MERGEFORMAT </w:instrText>
            </w:r>
            <w:r>
              <w:fldChar w:fldCharType="separate"/>
            </w:r>
            <w:r>
              <w:rPr>
                <w:rFonts w:hint="eastAsia"/>
              </w:rPr>
              <w:t>图31-3</w:t>
            </w:r>
            <w:r>
              <w:fldChar w:fldCharType="end"/>
            </w:r>
            <w:r>
              <w:t>所示</w:t>
            </w:r>
            <w:r>
              <w:rPr>
                <w:rFonts w:hint="eastAsia"/>
              </w:rPr>
              <w:t>，且同时勾选“微信范围校验”。</w:t>
            </w:r>
          </w:p>
          <w:p w14:paraId="0492B3EB">
            <w:pPr>
              <w:pStyle w:val="150"/>
            </w:pPr>
            <w:r>
              <w:rPr>
                <w:rFonts w:hint="eastAsia"/>
              </w:rPr>
              <w:t>勾选后，用户使用本地账号密码登录后，在认证成功界面，可以自行绑定或者更换微信账号。</w:t>
            </w:r>
          </w:p>
        </w:tc>
      </w:tr>
    </w:tbl>
    <w:p w14:paraId="474335F9"/>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167"/>
        <w:gridCol w:w="7367"/>
      </w:tblGrid>
      <w:tr w14:paraId="3A54B479">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6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552C8207">
            <w:pPr>
              <w:pStyle w:val="150"/>
              <w:adjustRightInd w:val="0"/>
              <w:snapToGrid w:val="0"/>
              <w:rPr>
                <w:color w:val="auto"/>
              </w:rPr>
            </w:pPr>
            <w:bookmarkStart w:id="8239" w:name="OLE_LINK38"/>
            <w:r>
              <w:rPr>
                <w:b/>
                <w:color w:val="auto"/>
              </w:rPr>
              <w:drawing>
                <wp:inline distT="0" distB="0" distL="0" distR="0">
                  <wp:extent cx="283210" cy="283210"/>
                  <wp:effectExtent l="0" t="0" r="2540" b="2540"/>
                  <wp:docPr id="920" name="图片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图片 920"/>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43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4CBA1CB8">
            <w:pPr>
              <w:pStyle w:val="150"/>
              <w:adjustRightInd w:val="0"/>
              <w:snapToGrid w:val="0"/>
              <w:rPr>
                <w:color w:val="auto"/>
              </w:rPr>
            </w:pPr>
            <w:r>
              <w:rPr>
                <w:rFonts w:hint="eastAsia"/>
                <w:color w:val="auto"/>
              </w:rPr>
              <w:t>强制重登录间隔选择时间对象时，可以选择日计划或者周计划，并且日计划和周计划都不考虑跨天的情况；</w:t>
            </w:r>
          </w:p>
          <w:p w14:paraId="1AECA63F">
            <w:pPr>
              <w:pStyle w:val="150"/>
              <w:adjustRightInd w:val="0"/>
              <w:snapToGrid w:val="0"/>
              <w:rPr>
                <w:color w:val="auto"/>
              </w:rPr>
            </w:pPr>
            <w:r>
              <w:rPr>
                <w:rFonts w:hint="eastAsia"/>
                <w:color w:val="auto"/>
              </w:rPr>
              <w:t>选择日计划时：</w:t>
            </w:r>
          </w:p>
          <w:p w14:paraId="03B28BD8">
            <w:pPr>
              <w:pStyle w:val="207"/>
              <w:adjustRightInd w:val="0"/>
              <w:snapToGrid w:val="0"/>
              <w:rPr>
                <w:color w:val="auto"/>
              </w:rPr>
            </w:pPr>
            <w:r>
              <w:rPr>
                <w:rFonts w:hint="eastAsia"/>
                <w:color w:val="auto"/>
                <w:lang w:eastAsia="zh-CN"/>
              </w:rPr>
              <w:t>当前配置的时间段结束时间大于上线时间时，取最小的时间间隔结束时间为强制重登录时间间隔。（例如：配置了时间对象</w:t>
            </w:r>
            <w:r>
              <w:rPr>
                <w:color w:val="auto"/>
                <w:lang w:eastAsia="zh-CN"/>
              </w:rPr>
              <w:t>9:00-10:00</w:t>
            </w:r>
            <w:r>
              <w:rPr>
                <w:rFonts w:hint="eastAsia"/>
                <w:color w:val="auto"/>
                <w:lang w:eastAsia="zh-CN"/>
              </w:rPr>
              <w:t>和</w:t>
            </w:r>
            <w:r>
              <w:rPr>
                <w:color w:val="auto"/>
                <w:lang w:eastAsia="zh-CN"/>
              </w:rPr>
              <w:t>12:00-13:00</w:t>
            </w:r>
            <w:r>
              <w:rPr>
                <w:rFonts w:hint="eastAsia"/>
                <w:color w:val="auto"/>
                <w:lang w:eastAsia="zh-CN"/>
              </w:rPr>
              <w:t>，用户在</w:t>
            </w:r>
            <w:r>
              <w:rPr>
                <w:color w:val="auto"/>
                <w:lang w:eastAsia="zh-CN"/>
              </w:rPr>
              <w:t>8:00</w:t>
            </w:r>
            <w:r>
              <w:rPr>
                <w:rFonts w:hint="eastAsia"/>
                <w:color w:val="auto"/>
                <w:lang w:eastAsia="zh-CN"/>
              </w:rPr>
              <w:t>上线，匹配策略会在</w:t>
            </w:r>
            <w:r>
              <w:rPr>
                <w:color w:val="auto"/>
                <w:lang w:eastAsia="zh-CN"/>
              </w:rPr>
              <w:t>10:00</w:t>
            </w:r>
            <w:r>
              <w:rPr>
                <w:rFonts w:hint="eastAsia"/>
                <w:color w:val="auto"/>
                <w:lang w:eastAsia="zh-CN"/>
              </w:rPr>
              <w:t>强制重登录下线。</w:t>
            </w:r>
            <w:r>
              <w:rPr>
                <w:rFonts w:hint="eastAsia"/>
                <w:color w:val="auto"/>
              </w:rPr>
              <w:t>）</w:t>
            </w:r>
          </w:p>
          <w:p w14:paraId="73AB7F7C">
            <w:pPr>
              <w:pStyle w:val="207"/>
              <w:adjustRightInd w:val="0"/>
              <w:snapToGrid w:val="0"/>
              <w:rPr>
                <w:color w:val="auto"/>
              </w:rPr>
            </w:pPr>
            <w:r>
              <w:rPr>
                <w:rFonts w:hint="eastAsia"/>
                <w:color w:val="auto"/>
                <w:lang w:eastAsia="zh-CN"/>
              </w:rPr>
              <w:t>当前配置的时间段结束时间小于上线时间时，取</w:t>
            </w:r>
            <w:r>
              <w:rPr>
                <w:color w:val="auto"/>
                <w:lang w:eastAsia="zh-CN"/>
              </w:rPr>
              <w:t>23:59(86340)</w:t>
            </w:r>
            <w:r>
              <w:rPr>
                <w:rFonts w:hint="eastAsia"/>
                <w:color w:val="auto"/>
                <w:lang w:eastAsia="zh-CN"/>
              </w:rPr>
              <w:t>减去当前上线时间为强制重登录时间间隔。（例如：配置了时间对象</w:t>
            </w:r>
            <w:r>
              <w:rPr>
                <w:color w:val="auto"/>
                <w:lang w:eastAsia="zh-CN"/>
              </w:rPr>
              <w:t>9:00-10:00</w:t>
            </w:r>
            <w:r>
              <w:rPr>
                <w:rFonts w:hint="eastAsia"/>
                <w:color w:val="auto"/>
                <w:lang w:eastAsia="zh-CN"/>
              </w:rPr>
              <w:t>，用户在</w:t>
            </w:r>
            <w:r>
              <w:rPr>
                <w:color w:val="auto"/>
                <w:lang w:eastAsia="zh-CN"/>
              </w:rPr>
              <w:t>11:00</w:t>
            </w:r>
            <w:r>
              <w:rPr>
                <w:rFonts w:hint="eastAsia"/>
                <w:color w:val="auto"/>
                <w:lang w:eastAsia="zh-CN"/>
              </w:rPr>
              <w:t>上线，匹配策略会在</w:t>
            </w:r>
            <w:r>
              <w:rPr>
                <w:color w:val="auto"/>
                <w:lang w:eastAsia="zh-CN"/>
              </w:rPr>
              <w:t>23:59</w:t>
            </w:r>
            <w:r>
              <w:rPr>
                <w:rFonts w:hint="eastAsia"/>
                <w:color w:val="auto"/>
                <w:lang w:eastAsia="zh-CN"/>
              </w:rPr>
              <w:t>强制重登录下线。</w:t>
            </w:r>
            <w:r>
              <w:rPr>
                <w:rFonts w:hint="eastAsia"/>
                <w:color w:val="auto"/>
              </w:rPr>
              <w:t>）</w:t>
            </w:r>
          </w:p>
          <w:p w14:paraId="1546A3B9">
            <w:pPr>
              <w:pStyle w:val="207"/>
              <w:adjustRightInd w:val="0"/>
              <w:snapToGrid w:val="0"/>
              <w:rPr>
                <w:color w:val="auto"/>
              </w:rPr>
            </w:pPr>
            <w:r>
              <w:rPr>
                <w:rFonts w:hint="eastAsia"/>
                <w:color w:val="auto"/>
                <w:lang w:eastAsia="zh-CN"/>
              </w:rPr>
              <w:t>当日计划为</w:t>
            </w:r>
            <w:r>
              <w:rPr>
                <w:color w:val="auto"/>
                <w:lang w:eastAsia="zh-CN"/>
              </w:rPr>
              <w:t>always</w:t>
            </w:r>
            <w:r>
              <w:rPr>
                <w:rFonts w:hint="eastAsia"/>
                <w:color w:val="auto"/>
                <w:lang w:eastAsia="zh-CN"/>
              </w:rPr>
              <w:t>时，取</w:t>
            </w:r>
            <w:r>
              <w:rPr>
                <w:color w:val="auto"/>
                <w:lang w:eastAsia="zh-CN"/>
              </w:rPr>
              <w:t>23:59(86340)</w:t>
            </w:r>
            <w:r>
              <w:rPr>
                <w:rFonts w:hint="eastAsia"/>
                <w:color w:val="auto"/>
                <w:lang w:eastAsia="zh-CN"/>
              </w:rPr>
              <w:t>减去当前上线时间为强制重登录时间间隔</w:t>
            </w:r>
            <w:r>
              <w:rPr>
                <w:color w:val="auto"/>
                <w:lang w:eastAsia="zh-CN"/>
              </w:rPr>
              <w:t>.</w:t>
            </w:r>
            <w:r>
              <w:rPr>
                <w:rFonts w:hint="eastAsia"/>
                <w:color w:val="auto"/>
                <w:lang w:eastAsia="zh-CN"/>
              </w:rPr>
              <w:t>。（例如：配置了时间对象为</w:t>
            </w:r>
            <w:r>
              <w:rPr>
                <w:color w:val="auto"/>
                <w:lang w:eastAsia="zh-CN"/>
              </w:rPr>
              <w:t>always</w:t>
            </w:r>
            <w:r>
              <w:rPr>
                <w:rFonts w:hint="eastAsia"/>
                <w:color w:val="auto"/>
                <w:lang w:eastAsia="zh-CN"/>
              </w:rPr>
              <w:t>，用户在当天任意时间上线，匹配策略都会在</w:t>
            </w:r>
            <w:r>
              <w:rPr>
                <w:color w:val="auto"/>
                <w:lang w:eastAsia="zh-CN"/>
              </w:rPr>
              <w:t>23:59</w:t>
            </w:r>
            <w:r>
              <w:rPr>
                <w:rFonts w:hint="eastAsia"/>
                <w:color w:val="auto"/>
                <w:lang w:eastAsia="zh-CN"/>
              </w:rPr>
              <w:t>强制重登录下线。</w:t>
            </w:r>
            <w:r>
              <w:rPr>
                <w:rFonts w:hint="eastAsia"/>
                <w:color w:val="auto"/>
              </w:rPr>
              <w:t>）</w:t>
            </w:r>
          </w:p>
          <w:p w14:paraId="5203A46E">
            <w:pPr>
              <w:pStyle w:val="207"/>
              <w:adjustRightInd w:val="0"/>
              <w:snapToGrid w:val="0"/>
              <w:rPr>
                <w:color w:val="auto"/>
              </w:rPr>
            </w:pPr>
            <w:r>
              <w:rPr>
                <w:rFonts w:hint="eastAsia"/>
                <w:color w:val="auto"/>
                <w:lang w:eastAsia="zh-CN"/>
              </w:rPr>
              <w:t>日计划没有配置时间段，取</w:t>
            </w:r>
            <w:r>
              <w:rPr>
                <w:color w:val="auto"/>
                <w:lang w:eastAsia="zh-CN"/>
              </w:rPr>
              <w:t>23:59(86340)</w:t>
            </w:r>
            <w:r>
              <w:rPr>
                <w:rFonts w:hint="eastAsia"/>
                <w:color w:val="auto"/>
                <w:lang w:eastAsia="zh-CN"/>
              </w:rPr>
              <w:t>减去当前上线时间为强制重登录时间间隔</w:t>
            </w:r>
            <w:r>
              <w:rPr>
                <w:color w:val="auto"/>
                <w:lang w:eastAsia="zh-CN"/>
              </w:rPr>
              <w:t>.</w:t>
            </w:r>
            <w:r>
              <w:rPr>
                <w:rFonts w:hint="eastAsia"/>
                <w:color w:val="auto"/>
                <w:lang w:eastAsia="zh-CN"/>
              </w:rPr>
              <w:t>。（例如：配置了时间对象为空，用户在当天任意时间上线，匹配策略都会在</w:t>
            </w:r>
            <w:r>
              <w:rPr>
                <w:color w:val="auto"/>
                <w:lang w:eastAsia="zh-CN"/>
              </w:rPr>
              <w:t>23:59</w:t>
            </w:r>
            <w:r>
              <w:rPr>
                <w:rFonts w:hint="eastAsia"/>
                <w:color w:val="auto"/>
                <w:lang w:eastAsia="zh-CN"/>
              </w:rPr>
              <w:t>强制重登录下线。</w:t>
            </w:r>
            <w:r>
              <w:rPr>
                <w:rFonts w:hint="eastAsia"/>
                <w:color w:val="auto"/>
              </w:rPr>
              <w:t>）</w:t>
            </w:r>
          </w:p>
          <w:p w14:paraId="70C800F3">
            <w:pPr>
              <w:pStyle w:val="150"/>
              <w:adjustRightInd w:val="0"/>
              <w:snapToGrid w:val="0"/>
              <w:rPr>
                <w:color w:val="auto"/>
              </w:rPr>
            </w:pPr>
            <w:r>
              <w:rPr>
                <w:rFonts w:hint="eastAsia"/>
                <w:color w:val="auto"/>
              </w:rPr>
              <w:t>选择周计划时：</w:t>
            </w:r>
          </w:p>
          <w:p w14:paraId="278527CD">
            <w:pPr>
              <w:pStyle w:val="150"/>
              <w:adjustRightInd w:val="0"/>
              <w:snapToGrid w:val="0"/>
              <w:rPr>
                <w:color w:val="auto"/>
              </w:rPr>
            </w:pPr>
            <w:r>
              <w:rPr>
                <w:rFonts w:hint="eastAsia"/>
                <w:color w:val="auto"/>
              </w:rPr>
              <w:t>先匹配当前登录时间有没有配置日计划，如果没有配置则取23:59(86340)减去当前上线时间为强制重登录时间间隔，如果有配置日计划则按照上述日计划逻辑处理。</w:t>
            </w:r>
          </w:p>
        </w:tc>
      </w:tr>
      <w:bookmarkEnd w:id="8239"/>
    </w:tbl>
    <w:p w14:paraId="36941800"/>
    <w:p w14:paraId="787A763C">
      <w:pPr>
        <w:pStyle w:val="5"/>
      </w:pPr>
      <w:bookmarkStart w:id="8240" w:name="_Toc194081163"/>
      <w:bookmarkStart w:id="8241" w:name="_Toc111107863"/>
      <w:bookmarkStart w:id="8242" w:name="_Toc79479551"/>
      <w:bookmarkStart w:id="8243" w:name="_Toc172218282"/>
      <w:bookmarkStart w:id="8244" w:name="_Toc196728491"/>
      <w:bookmarkStart w:id="8245" w:name="_Toc143078394"/>
      <w:r>
        <w:rPr>
          <w:rFonts w:hint="eastAsia"/>
        </w:rPr>
        <w:t>导入认证策略</w:t>
      </w:r>
      <w:bookmarkEnd w:id="8240"/>
      <w:bookmarkEnd w:id="8241"/>
      <w:bookmarkEnd w:id="8242"/>
      <w:bookmarkEnd w:id="8243"/>
      <w:bookmarkEnd w:id="8244"/>
      <w:bookmarkEnd w:id="8245"/>
    </w:p>
    <w:p w14:paraId="0D16C167">
      <w:r>
        <w:rPr>
          <w:rFonts w:hint="eastAsia"/>
        </w:rPr>
        <w:t>通过导入认证策略的方法可以提高创建认证策略的效率。</w:t>
      </w:r>
    </w:p>
    <w:p w14:paraId="3D064B95">
      <w:pPr>
        <w:pStyle w:val="202"/>
        <w:rPr>
          <w:lang w:eastAsia="zh-CN"/>
        </w:rPr>
      </w:pPr>
      <w:r>
        <w:rPr>
          <w:rFonts w:hint="eastAsia"/>
          <w:lang w:eastAsia="zh-CN"/>
        </w:rPr>
        <w:t>点击&lt;下载模板&gt;，将模板文件下载至本地。</w:t>
      </w:r>
    </w:p>
    <w:p w14:paraId="358E71B0">
      <w:pPr>
        <w:pStyle w:val="175"/>
      </w:pPr>
      <w:r>
        <w:drawing>
          <wp:inline distT="0" distB="0" distL="0" distR="0">
            <wp:extent cx="5648325" cy="638175"/>
            <wp:effectExtent l="0" t="0" r="0" b="9525"/>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pic:cNvPicPr>
                  </pic:nvPicPr>
                  <pic:blipFill>
                    <a:blip r:embed="rId985"/>
                    <a:stretch>
                      <a:fillRect/>
                    </a:stretch>
                  </pic:blipFill>
                  <pic:spPr>
                    <a:xfrm>
                      <a:off x="0" y="0"/>
                      <a:ext cx="5707147" cy="645444"/>
                    </a:xfrm>
                    <a:prstGeom prst="rect">
                      <a:avLst/>
                    </a:prstGeom>
                  </pic:spPr>
                </pic:pic>
              </a:graphicData>
            </a:graphic>
          </wp:inline>
        </w:drawing>
      </w:r>
    </w:p>
    <w:p w14:paraId="34AC4F9E">
      <w:pPr>
        <w:pStyle w:val="202"/>
        <w:rPr>
          <w:lang w:eastAsia="zh-CN"/>
        </w:rPr>
      </w:pPr>
      <w:r>
        <w:rPr>
          <w:rFonts w:hint="eastAsia"/>
          <w:lang w:eastAsia="zh-CN"/>
        </w:rPr>
        <w:t>按照样例格式编辑模板文件并保存。</w:t>
      </w:r>
    </w:p>
    <w:p w14:paraId="517742B4">
      <w:pPr>
        <w:pStyle w:val="175"/>
      </w:pPr>
      <w:r>
        <w:drawing>
          <wp:inline distT="0" distB="0" distL="0" distR="0">
            <wp:extent cx="6120130" cy="669290"/>
            <wp:effectExtent l="0" t="0" r="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pic:cNvPicPr>
                  </pic:nvPicPr>
                  <pic:blipFill>
                    <a:blip r:embed="rId986"/>
                    <a:stretch>
                      <a:fillRect/>
                    </a:stretch>
                  </pic:blipFill>
                  <pic:spPr>
                    <a:xfrm>
                      <a:off x="0" y="0"/>
                      <a:ext cx="6120130" cy="669290"/>
                    </a:xfrm>
                    <a:prstGeom prst="rect">
                      <a:avLst/>
                    </a:prstGeom>
                  </pic:spPr>
                </pic:pic>
              </a:graphicData>
            </a:graphic>
          </wp:inline>
        </w:drawing>
      </w:r>
    </w:p>
    <w:p w14:paraId="6746D937">
      <w:pPr>
        <w:pStyle w:val="202"/>
        <w:rPr>
          <w:lang w:eastAsia="zh-CN"/>
        </w:rPr>
      </w:pPr>
      <w:r>
        <w:rPr>
          <w:rFonts w:hint="eastAsia"/>
          <w:lang w:eastAsia="zh-CN"/>
        </w:rPr>
        <w:t>点击&lt;导入&gt;，在弹出的导入认证策略对话框中点击&lt;选择文件&gt;，选择编辑好的模板文件，点击&lt;提交</w:t>
      </w:r>
      <w:r>
        <w:rPr>
          <w:lang w:eastAsia="zh-CN"/>
        </w:rPr>
        <w:t>&gt;</w:t>
      </w:r>
      <w:r>
        <w:rPr>
          <w:rFonts w:hint="eastAsia"/>
          <w:lang w:eastAsia="zh-CN"/>
        </w:rPr>
        <w:t>。</w:t>
      </w:r>
    </w:p>
    <w:p w14:paraId="24080D6A">
      <w:pPr>
        <w:pStyle w:val="175"/>
      </w:pPr>
      <w:r>
        <w:drawing>
          <wp:inline distT="0" distB="0" distL="114300" distR="114300">
            <wp:extent cx="4417060" cy="1452245"/>
            <wp:effectExtent l="0" t="0" r="2540" b="14605"/>
            <wp:docPr id="985"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图片 59"/>
                    <pic:cNvPicPr>
                      <a:picLocks noChangeAspect="1"/>
                    </pic:cNvPicPr>
                  </pic:nvPicPr>
                  <pic:blipFill>
                    <a:blip r:embed="rId987"/>
                    <a:stretch>
                      <a:fillRect/>
                    </a:stretch>
                  </pic:blipFill>
                  <pic:spPr>
                    <a:xfrm>
                      <a:off x="0" y="0"/>
                      <a:ext cx="4417060" cy="1452245"/>
                    </a:xfrm>
                    <a:prstGeom prst="rect">
                      <a:avLst/>
                    </a:prstGeom>
                    <a:noFill/>
                    <a:ln>
                      <a:noFill/>
                    </a:ln>
                  </pic:spPr>
                </pic:pic>
              </a:graphicData>
            </a:graphic>
          </wp:inline>
        </w:drawing>
      </w:r>
    </w:p>
    <w:p w14:paraId="63F76DB4"/>
    <w:p w14:paraId="26387632">
      <w:pPr>
        <w:pStyle w:val="4"/>
      </w:pPr>
      <w:bookmarkStart w:id="8246" w:name="_Toc149840569"/>
      <w:bookmarkStart w:id="8247" w:name="_Toc172218283"/>
      <w:bookmarkStart w:id="8248" w:name="_Toc194081164"/>
      <w:bookmarkStart w:id="8249" w:name="_Toc196728492"/>
      <w:bookmarkStart w:id="8250" w:name="_Toc23152947"/>
      <w:bookmarkStart w:id="8251" w:name="_Toc40276368"/>
      <w:bookmarkStart w:id="8252" w:name="_Toc9006654"/>
      <w:bookmarkStart w:id="8253" w:name="_Toc99561608"/>
      <w:bookmarkStart w:id="8254" w:name="_Ref5647509"/>
      <w:bookmarkStart w:id="8255" w:name="_Toc15485183"/>
      <w:r>
        <w:rPr>
          <w:rFonts w:hint="eastAsia"/>
        </w:rPr>
        <w:t>双重认证</w:t>
      </w:r>
      <w:bookmarkEnd w:id="8246"/>
      <w:bookmarkEnd w:id="8247"/>
      <w:bookmarkEnd w:id="8248"/>
      <w:bookmarkEnd w:id="8249"/>
    </w:p>
    <w:p w14:paraId="5F1B33E7">
      <w:pPr>
        <w:pStyle w:val="5"/>
      </w:pPr>
      <w:bookmarkStart w:id="8256" w:name="_Toc148457597"/>
      <w:bookmarkStart w:id="8257" w:name="_Toc194081165"/>
      <w:bookmarkStart w:id="8258" w:name="_Toc149840570"/>
      <w:bookmarkStart w:id="8259" w:name="_Toc196728493"/>
      <w:bookmarkStart w:id="8260" w:name="_Toc172218284"/>
      <w:r>
        <w:rPr>
          <w:rFonts w:hint="eastAsia"/>
        </w:rPr>
        <w:t>概述</w:t>
      </w:r>
      <w:bookmarkEnd w:id="8256"/>
      <w:bookmarkEnd w:id="8257"/>
      <w:bookmarkEnd w:id="8258"/>
      <w:bookmarkEnd w:id="8259"/>
      <w:bookmarkEnd w:id="8260"/>
    </w:p>
    <w:p w14:paraId="31A319A8">
      <w:r>
        <w:t>对于安全性要求较高的场景</w:t>
      </w:r>
      <w:r>
        <w:rPr>
          <w:rFonts w:hint="eastAsia"/>
        </w:rPr>
        <w:t>，</w:t>
      </w:r>
      <w:r>
        <w:t>要求对上网人员的身份信息进行增强校验</w:t>
      </w:r>
      <w:r>
        <w:rPr>
          <w:rFonts w:hint="eastAsia"/>
        </w:rPr>
        <w:t>，提高接入网络的安全性，防止身份盗用等安全问题。同时获取终端用户的实名信息，方便进行营销、推广。</w:t>
      </w:r>
    </w:p>
    <w:p w14:paraId="591C1BB8">
      <w:r>
        <w:rPr>
          <w:rFonts w:hint="eastAsia"/>
        </w:rPr>
        <w:t>设备支持配置双重认证策略，用户通过设备访问网络时，通过首次认证后，还需要进行二次认证，两次认证都认证通过后，才可以访问外网，认证用户上线成功。</w:t>
      </w:r>
    </w:p>
    <w:p w14:paraId="26604BF2">
      <w:r>
        <w:rPr>
          <w:rFonts w:hint="eastAsia"/>
        </w:rPr>
        <w:t>认证策略选择本地认证、微信认证时，可配置双重认证，二次认证认证方式包括本地认证、短信认证。双重认证策略支持以下三种组合方式：</w:t>
      </w:r>
    </w:p>
    <w:p w14:paraId="574E3E2E">
      <w:pPr>
        <w:pStyle w:val="162"/>
      </w:pPr>
      <w:r>
        <w:rPr>
          <w:rFonts w:hint="eastAsia"/>
        </w:rPr>
        <w:t>本地认证+短信认证</w:t>
      </w:r>
    </w:p>
    <w:p w14:paraId="6FB45E8C">
      <w:pPr>
        <w:pStyle w:val="162"/>
      </w:pPr>
      <w:r>
        <w:rPr>
          <w:rFonts w:hint="eastAsia"/>
        </w:rPr>
        <w:t>微信认证+短信认证</w:t>
      </w:r>
    </w:p>
    <w:p w14:paraId="759C1A04">
      <w:pPr>
        <w:pStyle w:val="162"/>
      </w:pPr>
      <w:r>
        <w:rPr>
          <w:rFonts w:hint="eastAsia"/>
        </w:rPr>
        <w:t>微信认证+本地认证</w:t>
      </w:r>
    </w:p>
    <w:p w14:paraId="009F00B8">
      <w:pPr>
        <w:pStyle w:val="5"/>
      </w:pPr>
      <w:bookmarkStart w:id="8261" w:name="_Toc148457598"/>
      <w:bookmarkStart w:id="8262" w:name="_Toc172218285"/>
      <w:bookmarkStart w:id="8263" w:name="_Toc196728494"/>
      <w:bookmarkStart w:id="8264" w:name="_Toc194081166"/>
      <w:bookmarkStart w:id="8265" w:name="_Toc149840571"/>
      <w:r>
        <w:rPr>
          <w:rFonts w:hint="eastAsia"/>
        </w:rPr>
        <w:t>使用限制和注意事项</w:t>
      </w:r>
      <w:bookmarkEnd w:id="8261"/>
      <w:bookmarkEnd w:id="8262"/>
      <w:bookmarkEnd w:id="8263"/>
      <w:bookmarkEnd w:id="8264"/>
      <w:bookmarkEnd w:id="8265"/>
    </w:p>
    <w:p w14:paraId="6EEB50A8">
      <w:pPr>
        <w:pStyle w:val="162"/>
      </w:pPr>
      <w:r>
        <w:rPr>
          <w:rFonts w:hint="eastAsia"/>
        </w:rPr>
        <w:t>如果认证策略上配置了超时时间、强制重登录间隔，则以认证策略上配置的为准；如果认证策略上没有配置，均以首次认证方式上配置的为准。</w:t>
      </w:r>
    </w:p>
    <w:p w14:paraId="5482379D">
      <w:pPr>
        <w:pStyle w:val="162"/>
      </w:pPr>
      <w:r>
        <w:rPr>
          <w:rFonts w:hint="eastAsia"/>
        </w:rPr>
        <w:t>双重认证配置本地认证+短信认证，且启用终端注册功能，终端注册的用户审批之后将以静态绑定用户上线，不会进行双重认证。</w:t>
      </w:r>
    </w:p>
    <w:p w14:paraId="229C6DB6">
      <w:pPr>
        <w:pStyle w:val="162"/>
      </w:pPr>
      <w:r>
        <w:rPr>
          <w:rFonts w:hint="eastAsia"/>
        </w:rPr>
        <w:t>双重认证不支持IPv6网络认证。因为只有本地认证支持IPv6，其他认证方式不支持IPv6，即使配置了双重认证，认证流量为IPv6时，只按照策略的首次认证类型进行单一认证。如配置本地认证+短信认证，请求IPv6业务时直接可以访问外网IPv6业务，不进行二次认证。</w:t>
      </w:r>
    </w:p>
    <w:p w14:paraId="66299344">
      <w:pPr>
        <w:pStyle w:val="162"/>
      </w:pPr>
      <w:r>
        <w:rPr>
          <w:rFonts w:hint="eastAsia"/>
        </w:rPr>
        <w:t>微信认证选择小程序认证不支持双重认证，微信小程序认证功能已停止维护。设备上小程序配置选项保留用于客户自己开发小程序与设备对接进行使用。</w:t>
      </w:r>
    </w:p>
    <w:p w14:paraId="640381BA">
      <w:pPr>
        <w:pStyle w:val="162"/>
      </w:pPr>
      <w:r>
        <w:rPr>
          <w:rFonts w:hint="eastAsia"/>
        </w:rPr>
        <w:t>首次认证选择微信认证，二次认证不支持加密认证。由于二次认证选择加密认证之后，微信认证公众号上跳转二次认证时SSL握手连接建立不起来，终端直接发送FIN报文断开了连接，所以首次认证选择微信认证时，二次认证不能勾选加密认证。</w:t>
      </w:r>
    </w:p>
    <w:p w14:paraId="7594973B">
      <w:pPr>
        <w:pStyle w:val="162"/>
      </w:pPr>
      <w:r>
        <w:rPr>
          <w:rFonts w:hint="eastAsia"/>
        </w:rPr>
        <w:t>双重认证中首次认证是本地WEB认证时，认证账号以首次认证账号上线，且认证方式为首次认证方式；首次认证是微信认证时，认证账号以二次认证账号上线，且认证方式为首次认证方式；用户上下线日志只记录首次认证方式的信息。</w:t>
      </w:r>
    </w:p>
    <w:p w14:paraId="607AAA64">
      <w:pPr>
        <w:pStyle w:val="5"/>
      </w:pPr>
      <w:bookmarkStart w:id="8266" w:name="_Toc149840572"/>
      <w:bookmarkStart w:id="8267" w:name="_Toc148457599"/>
      <w:bookmarkStart w:id="8268" w:name="_Toc194081167"/>
      <w:bookmarkStart w:id="8269" w:name="_Toc172218286"/>
      <w:bookmarkStart w:id="8270" w:name="_Toc196728495"/>
      <w:r>
        <w:rPr>
          <w:rFonts w:hint="eastAsia"/>
        </w:rPr>
        <w:t>配置双重认证</w:t>
      </w:r>
      <w:bookmarkEnd w:id="8266"/>
      <w:bookmarkEnd w:id="8267"/>
      <w:bookmarkEnd w:id="8268"/>
      <w:bookmarkEnd w:id="8269"/>
      <w:bookmarkEnd w:id="8270"/>
    </w:p>
    <w:p w14:paraId="5CE7B730">
      <w:r>
        <w:rPr>
          <w:rFonts w:hint="eastAsia"/>
        </w:rPr>
        <w:t>在导航栏中选择“用户管理&gt;认证管理&gt;认证策略”，单击&lt;新建&gt;</w:t>
      </w:r>
      <w:r>
        <w:t>按钮</w:t>
      </w:r>
      <w:r>
        <w:rPr>
          <w:rFonts w:hint="eastAsia"/>
        </w:rPr>
        <w:t>，进入“认证策略”配置页面，配置双重认证策略。认证方式选择本地W</w:t>
      </w:r>
      <w:r>
        <w:t>EB</w:t>
      </w:r>
      <w:r>
        <w:rPr>
          <w:rFonts w:hint="eastAsia"/>
        </w:rPr>
        <w:t>认证或微信认证时，认证页面上会显示二次认证配置选项，如</w:t>
      </w:r>
      <w:r>
        <w:fldChar w:fldCharType="begin"/>
      </w:r>
      <w:r>
        <w:instrText xml:space="preserve"> </w:instrText>
      </w:r>
      <w:r>
        <w:rPr>
          <w:rFonts w:hint="eastAsia"/>
        </w:rPr>
        <w:instrText xml:space="preserve">REF _Ref148445432 \r \h</w:instrText>
      </w:r>
      <w:r>
        <w:instrText xml:space="preserve"> </w:instrText>
      </w:r>
      <w:r>
        <w:fldChar w:fldCharType="separate"/>
      </w:r>
      <w:r>
        <w:rPr>
          <w:rFonts w:hint="eastAsia"/>
        </w:rPr>
        <w:t>图31-4</w:t>
      </w:r>
      <w:r>
        <w:fldChar w:fldCharType="end"/>
      </w:r>
      <w:r>
        <w:rPr>
          <w:rFonts w:hint="eastAsia"/>
        </w:rPr>
        <w:t>、</w:t>
      </w:r>
      <w:r>
        <w:fldChar w:fldCharType="begin"/>
      </w:r>
      <w:r>
        <w:instrText xml:space="preserve"> REF _Ref148445434 \r \h </w:instrText>
      </w:r>
      <w:r>
        <w:fldChar w:fldCharType="separate"/>
      </w:r>
      <w:r>
        <w:rPr>
          <w:rFonts w:hint="eastAsia"/>
        </w:rPr>
        <w:t>图31-5</w:t>
      </w:r>
      <w:r>
        <w:fldChar w:fldCharType="end"/>
      </w:r>
      <w:r>
        <w:t>所示</w:t>
      </w:r>
      <w:r>
        <w:rPr>
          <w:rFonts w:hint="eastAsia"/>
        </w:rPr>
        <w:t>。</w:t>
      </w:r>
    </w:p>
    <w:p w14:paraId="406B85C1">
      <w:r>
        <w:t>配置双重认证</w:t>
      </w:r>
      <w:r>
        <w:rPr>
          <w:rFonts w:hint="eastAsia"/>
        </w:rPr>
        <w:t>，</w:t>
      </w:r>
      <w:r>
        <w:t>需要根据所选的认证方式</w:t>
      </w:r>
      <w:r>
        <w:rPr>
          <w:rFonts w:hint="eastAsia"/>
        </w:rPr>
        <w:t>，配置相关认证的参数，详细配置请参考</w:t>
      </w:r>
      <w:r>
        <w:fldChar w:fldCharType="begin"/>
      </w:r>
      <w:r>
        <w:instrText xml:space="preserve"> </w:instrText>
      </w:r>
      <w:r>
        <w:rPr>
          <w:rFonts w:hint="eastAsia"/>
        </w:rPr>
        <w:instrText xml:space="preserve">REF _Ref150528683 \h</w:instrText>
      </w:r>
      <w:r>
        <w:instrText xml:space="preserve"> </w:instrText>
      </w:r>
      <w:r>
        <w:fldChar w:fldCharType="separate"/>
      </w:r>
      <w:r>
        <w:rPr>
          <w:rFonts w:hint="eastAsia"/>
        </w:rPr>
        <w:t>本地</w:t>
      </w:r>
      <w:r>
        <w:t>WEB</w:t>
      </w:r>
      <w:r>
        <w:rPr>
          <w:rFonts w:hint="eastAsia"/>
        </w:rPr>
        <w:t>认证</w:t>
      </w:r>
      <w:r>
        <w:fldChar w:fldCharType="end"/>
      </w:r>
      <w:r>
        <w:rPr>
          <w:rFonts w:hint="eastAsia"/>
        </w:rPr>
        <w:t>、</w:t>
      </w:r>
      <w:r>
        <w:fldChar w:fldCharType="begin"/>
      </w:r>
      <w:r>
        <w:instrText xml:space="preserve"> </w:instrText>
      </w:r>
      <w:r>
        <w:rPr>
          <w:rFonts w:hint="eastAsia"/>
        </w:rPr>
        <w:instrText xml:space="preserve">REF _Ref150528684 \h</w:instrText>
      </w:r>
      <w:r>
        <w:instrText xml:space="preserve"> </w:instrText>
      </w:r>
      <w:r>
        <w:fldChar w:fldCharType="separate"/>
      </w:r>
      <w:r>
        <w:t>微信认证</w:t>
      </w:r>
      <w:r>
        <w:fldChar w:fldCharType="end"/>
      </w:r>
      <w:r>
        <w:rPr>
          <w:rFonts w:hint="eastAsia"/>
        </w:rPr>
        <w:t>、</w:t>
      </w:r>
      <w:r>
        <w:fldChar w:fldCharType="begin"/>
      </w:r>
      <w:r>
        <w:instrText xml:space="preserve"> </w:instrText>
      </w:r>
      <w:r>
        <w:rPr>
          <w:rFonts w:hint="eastAsia"/>
        </w:rPr>
        <w:instrText xml:space="preserve">REF _Ref150528685 \h</w:instrText>
      </w:r>
      <w:r>
        <w:instrText xml:space="preserve"> </w:instrText>
      </w:r>
      <w:r>
        <w:fldChar w:fldCharType="separate"/>
      </w:r>
      <w:r>
        <w:rPr>
          <w:rFonts w:hint="eastAsia"/>
        </w:rPr>
        <w:t>短信认证</w:t>
      </w:r>
      <w:r>
        <w:fldChar w:fldCharType="end"/>
      </w:r>
      <w:r>
        <w:rPr>
          <w:rFonts w:hint="eastAsia"/>
        </w:rPr>
        <w:t>相关配置。</w:t>
      </w:r>
    </w:p>
    <w:p w14:paraId="77F7045E">
      <w:pPr>
        <w:pStyle w:val="188"/>
      </w:pPr>
      <w:bookmarkStart w:id="8271" w:name="_Ref148445432"/>
      <w:r>
        <w:rPr>
          <w:rFonts w:hint="eastAsia"/>
        </w:rPr>
        <w:t>配置认证策略-认证方式为本地WEB认证</w:t>
      </w:r>
      <w:bookmarkEnd w:id="8271"/>
    </w:p>
    <w:p w14:paraId="5A6F8062">
      <w:pPr>
        <w:pStyle w:val="175"/>
      </w:pPr>
      <w:r>
        <w:drawing>
          <wp:inline distT="0" distB="0" distL="0" distR="0">
            <wp:extent cx="4953000" cy="7484745"/>
            <wp:effectExtent l="0" t="0" r="0" b="1905"/>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988"/>
                    <a:stretch>
                      <a:fillRect/>
                    </a:stretch>
                  </pic:blipFill>
                  <pic:spPr>
                    <a:xfrm>
                      <a:off x="0" y="0"/>
                      <a:ext cx="4954445" cy="7487095"/>
                    </a:xfrm>
                    <a:prstGeom prst="rect">
                      <a:avLst/>
                    </a:prstGeom>
                  </pic:spPr>
                </pic:pic>
              </a:graphicData>
            </a:graphic>
          </wp:inline>
        </w:drawing>
      </w:r>
    </w:p>
    <w:p w14:paraId="029D21B9"/>
    <w:p w14:paraId="61235BD2">
      <w:pPr>
        <w:pStyle w:val="188"/>
      </w:pPr>
      <w:bookmarkStart w:id="8272" w:name="_Ref148445434"/>
      <w:r>
        <w:rPr>
          <w:rFonts w:hint="eastAsia"/>
        </w:rPr>
        <w:t>配置认证策略-认证方式为微信认证</w:t>
      </w:r>
      <w:bookmarkEnd w:id="8272"/>
    </w:p>
    <w:p w14:paraId="2486682D">
      <w:pPr>
        <w:pStyle w:val="175"/>
      </w:pPr>
      <w:r>
        <w:drawing>
          <wp:inline distT="0" distB="0" distL="0" distR="0">
            <wp:extent cx="4552950" cy="6198235"/>
            <wp:effectExtent l="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989"/>
                    <a:stretch>
                      <a:fillRect/>
                    </a:stretch>
                  </pic:blipFill>
                  <pic:spPr>
                    <a:xfrm>
                      <a:off x="0" y="0"/>
                      <a:ext cx="4557714" cy="6205266"/>
                    </a:xfrm>
                    <a:prstGeom prst="rect">
                      <a:avLst/>
                    </a:prstGeom>
                  </pic:spPr>
                </pic:pic>
              </a:graphicData>
            </a:graphic>
          </wp:inline>
        </w:drawing>
      </w:r>
    </w:p>
    <w:p w14:paraId="53574B81"/>
    <w:p w14:paraId="56F886CD">
      <w:pPr>
        <w:pStyle w:val="183"/>
      </w:pPr>
      <w:r>
        <w:rPr>
          <w:rFonts w:hint="eastAsia"/>
        </w:rPr>
        <w:t>开启双重认证</w:t>
      </w:r>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639"/>
        <w:gridCol w:w="7375"/>
      </w:tblGrid>
      <w:tr w14:paraId="4AF4F4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tcBorders>
              <w:tl2br w:val="nil"/>
              <w:tr2bl w:val="nil"/>
            </w:tcBorders>
            <w:shd w:val="clear" w:color="auto" w:fill="538135" w:themeFill="accent6" w:themeFillShade="BF"/>
            <w:vAlign w:val="center"/>
          </w:tcPr>
          <w:p w14:paraId="175858BE">
            <w:pPr>
              <w:pStyle w:val="149"/>
              <w:wordWrap/>
              <w:rPr>
                <w:b/>
                <w:bCs/>
                <w:i w:val="0"/>
                <w:iCs w:val="0"/>
              </w:rPr>
            </w:pPr>
            <w:r>
              <w:rPr>
                <w:rFonts w:hint="eastAsia"/>
                <w:b/>
                <w:bCs/>
                <w:i w:val="0"/>
                <w:iCs w:val="0"/>
              </w:rPr>
              <w:t>配置项</w:t>
            </w:r>
          </w:p>
        </w:tc>
        <w:tc>
          <w:tcPr>
            <w:tcW w:w="7375" w:type="dxa"/>
            <w:tcBorders>
              <w:tl2br w:val="nil"/>
              <w:tr2bl w:val="nil"/>
            </w:tcBorders>
            <w:shd w:val="clear" w:color="auto" w:fill="538135" w:themeFill="accent6" w:themeFillShade="BF"/>
            <w:vAlign w:val="center"/>
          </w:tcPr>
          <w:p w14:paraId="33512493">
            <w:pPr>
              <w:pStyle w:val="149"/>
              <w:wordWrap/>
              <w:rPr>
                <w:b/>
                <w:bCs/>
                <w:i w:val="0"/>
                <w:iCs w:val="0"/>
              </w:rPr>
            </w:pPr>
            <w:r>
              <w:rPr>
                <w:rFonts w:hint="eastAsia"/>
                <w:b/>
                <w:bCs/>
                <w:i w:val="0"/>
                <w:iCs w:val="0"/>
              </w:rPr>
              <w:t>说明</w:t>
            </w:r>
          </w:p>
        </w:tc>
      </w:tr>
      <w:tr w14:paraId="0DAF026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32431F44">
            <w:pPr>
              <w:pStyle w:val="150"/>
            </w:pPr>
            <w:r>
              <w:rPr>
                <w:rFonts w:hint="eastAsia"/>
              </w:rPr>
              <w:t>启用二次认证</w:t>
            </w:r>
          </w:p>
        </w:tc>
        <w:tc>
          <w:tcPr>
            <w:tcW w:w="7375" w:type="dxa"/>
            <w:shd w:val="clear" w:color="auto" w:fill="auto"/>
          </w:tcPr>
          <w:p w14:paraId="5413424D">
            <w:pPr>
              <w:pStyle w:val="150"/>
            </w:pPr>
            <w:r>
              <w:rPr>
                <w:rFonts w:hint="eastAsia"/>
              </w:rPr>
              <w:t>只有认证方式选择本地认证和微信认证时，可以启用二次认证。</w:t>
            </w:r>
          </w:p>
          <w:p w14:paraId="01E37292">
            <w:pPr>
              <w:pStyle w:val="150"/>
            </w:pPr>
            <w:r>
              <w:rPr>
                <w:rFonts w:hint="eastAsia"/>
              </w:rPr>
              <w:t>启用后，对认证用户进行双重认证，终端用户需两次认证都通过后才可以上网。</w:t>
            </w:r>
          </w:p>
        </w:tc>
      </w:tr>
      <w:tr w14:paraId="36484AB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0DFC58E8">
            <w:pPr>
              <w:pStyle w:val="150"/>
            </w:pPr>
            <w:r>
              <w:rPr>
                <w:rFonts w:hint="eastAsia"/>
              </w:rPr>
              <w:t>二次认证方式</w:t>
            </w:r>
          </w:p>
        </w:tc>
        <w:tc>
          <w:tcPr>
            <w:tcW w:w="7375" w:type="dxa"/>
            <w:shd w:val="clear" w:color="auto" w:fill="auto"/>
          </w:tcPr>
          <w:p w14:paraId="24EB6FD5">
            <w:pPr>
              <w:pStyle w:val="150"/>
            </w:pPr>
            <w:r>
              <w:t>启用二次认证后</w:t>
            </w:r>
            <w:r>
              <w:rPr>
                <w:rFonts w:hint="eastAsia"/>
              </w:rPr>
              <w:t>，</w:t>
            </w:r>
            <w:r>
              <w:t>点击下拉框选择二次认证的认证方式</w:t>
            </w:r>
            <w:r>
              <w:rPr>
                <w:rFonts w:hint="eastAsia"/>
              </w:rPr>
              <w:t>。</w:t>
            </w:r>
          </w:p>
          <w:p w14:paraId="772E1704">
            <w:pPr>
              <w:pStyle w:val="150"/>
            </w:pPr>
            <w:r>
              <w:rPr>
                <w:rFonts w:hint="eastAsia"/>
              </w:rPr>
              <w:t>认证方式选择本地认证方式时，二次认证只能选择短信认证；</w:t>
            </w:r>
          </w:p>
          <w:p w14:paraId="3E35F016">
            <w:pPr>
              <w:pStyle w:val="150"/>
            </w:pPr>
            <w:r>
              <w:rPr>
                <w:rFonts w:hint="eastAsia"/>
              </w:rPr>
              <w:t>认证方式选择微信认证方式时，二次认证可以选择本地WEB认证或短信认证。</w:t>
            </w:r>
          </w:p>
        </w:tc>
      </w:tr>
    </w:tbl>
    <w:p w14:paraId="0E683132"/>
    <w:p w14:paraId="4E33FA4B">
      <w:pPr>
        <w:pStyle w:val="5"/>
      </w:pPr>
      <w:bookmarkStart w:id="8273" w:name="_Toc149840573"/>
      <w:bookmarkStart w:id="8274" w:name="_Toc172218287"/>
      <w:bookmarkStart w:id="8275" w:name="_Toc194081168"/>
      <w:bookmarkStart w:id="8276" w:name="_Toc196728496"/>
      <w:bookmarkStart w:id="8277" w:name="_Toc148457600"/>
      <w:r>
        <w:rPr>
          <w:rFonts w:hint="eastAsia"/>
        </w:rPr>
        <w:t>双重认证配置举例</w:t>
      </w:r>
      <w:bookmarkEnd w:id="8273"/>
      <w:bookmarkEnd w:id="8274"/>
      <w:bookmarkEnd w:id="8275"/>
      <w:bookmarkEnd w:id="8276"/>
      <w:bookmarkEnd w:id="8277"/>
    </w:p>
    <w:p w14:paraId="3B15F2C0">
      <w:pPr>
        <w:pStyle w:val="6"/>
      </w:pPr>
      <w:bookmarkStart w:id="8278" w:name="_Toc148457601"/>
      <w:r>
        <w:rPr>
          <w:rFonts w:hint="eastAsia"/>
        </w:rPr>
        <w:t>组网需求</w:t>
      </w:r>
      <w:bookmarkEnd w:id="8278"/>
    </w:p>
    <w:p w14:paraId="540E91FB">
      <w:r>
        <w:rPr>
          <w:rFonts w:hint="eastAsia"/>
        </w:rPr>
        <w:t>某公司内网存在研发网段和测试网段，IP地址分别为172.16.12.0/24和172.16.13.0/24。使用设备的的ge1和ge6接口路由模式部署在网络中，设备作为出口网关设备。在设备上针对研发网段的用户开启微信认证+本地认证功能，针对测试网段的用户开启本地认证+短信认证功能。</w:t>
      </w:r>
    </w:p>
    <w:p w14:paraId="4E03290B">
      <w:pPr>
        <w:pStyle w:val="6"/>
      </w:pPr>
      <w:bookmarkStart w:id="8279" w:name="_Toc148457602"/>
      <w:r>
        <w:rPr>
          <w:rFonts w:hint="eastAsia"/>
        </w:rPr>
        <w:t>组网图</w:t>
      </w:r>
      <w:bookmarkEnd w:id="8279"/>
    </w:p>
    <w:p w14:paraId="6A4A632F">
      <w:pPr>
        <w:pStyle w:val="188"/>
      </w:pPr>
      <w:r>
        <w:rPr>
          <w:rFonts w:hint="eastAsia"/>
        </w:rPr>
        <w:t>双重认证配置举例组网图</w:t>
      </w:r>
    </w:p>
    <w:p w14:paraId="42CBFA42">
      <w:pPr>
        <w:pStyle w:val="175"/>
      </w:pPr>
      <w:r>
        <w:drawing>
          <wp:inline distT="0" distB="0" distL="114300" distR="114300">
            <wp:extent cx="2924175" cy="3478530"/>
            <wp:effectExtent l="0" t="0" r="0" b="7620"/>
            <wp:docPr id="3130" name="图片 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0" name="图片 3130"/>
                    <pic:cNvPicPr>
                      <a:picLocks noChangeAspect="1"/>
                    </pic:cNvPicPr>
                  </pic:nvPicPr>
                  <pic:blipFill>
                    <a:blip r:embed="rId990"/>
                    <a:stretch>
                      <a:fillRect/>
                    </a:stretch>
                  </pic:blipFill>
                  <pic:spPr>
                    <a:xfrm>
                      <a:off x="0" y="0"/>
                      <a:ext cx="2927492" cy="3482810"/>
                    </a:xfrm>
                    <a:prstGeom prst="rect">
                      <a:avLst/>
                    </a:prstGeom>
                    <a:noFill/>
                    <a:ln>
                      <a:noFill/>
                    </a:ln>
                  </pic:spPr>
                </pic:pic>
              </a:graphicData>
            </a:graphic>
          </wp:inline>
        </w:drawing>
      </w:r>
    </w:p>
    <w:p w14:paraId="264C9D4E">
      <w:pPr>
        <w:pStyle w:val="6"/>
      </w:pPr>
      <w:bookmarkStart w:id="8280" w:name="_Toc148457603"/>
      <w:r>
        <w:rPr>
          <w:rFonts w:hint="eastAsia"/>
        </w:rPr>
        <w:t>配置步骤</w:t>
      </w:r>
      <w:bookmarkEnd w:id="8280"/>
    </w:p>
    <w:p w14:paraId="643B7F51">
      <w:pPr>
        <w:pStyle w:val="202"/>
      </w:pPr>
      <w:r>
        <w:rPr>
          <w:rFonts w:hint="eastAsia"/>
        </w:rPr>
        <w:t>配置认证策略</w:t>
      </w:r>
    </w:p>
    <w:p w14:paraId="5990394A">
      <w:r>
        <w:rPr>
          <w:rFonts w:hint="eastAsia"/>
        </w:rPr>
        <w:t>进入“用户管理&gt;认证管理&gt;认证策略”页面，配置两条认证策略，ge1接口对应网段配置微信认证+本地认证的认证策略，ge6接口对应网段配置本地认证+短信认证的认证策略。</w:t>
      </w:r>
    </w:p>
    <w:p w14:paraId="0CF2B72F">
      <w:pPr>
        <w:pStyle w:val="188"/>
      </w:pPr>
      <w:r>
        <w:rPr>
          <w:rFonts w:hint="eastAsia"/>
        </w:rPr>
        <w:t>配置微信认证+本地认证策略</w:t>
      </w:r>
    </w:p>
    <w:p w14:paraId="566A3DBF">
      <w:pPr>
        <w:pStyle w:val="175"/>
      </w:pPr>
      <w:r>
        <w:drawing>
          <wp:inline distT="0" distB="0" distL="114300" distR="114300">
            <wp:extent cx="4505325" cy="6032500"/>
            <wp:effectExtent l="0" t="0" r="0" b="6350"/>
            <wp:docPr id="17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5"/>
                    <pic:cNvPicPr>
                      <a:picLocks noChangeAspect="1"/>
                    </pic:cNvPicPr>
                  </pic:nvPicPr>
                  <pic:blipFill>
                    <a:blip r:embed="rId991"/>
                    <a:stretch>
                      <a:fillRect/>
                    </a:stretch>
                  </pic:blipFill>
                  <pic:spPr>
                    <a:xfrm>
                      <a:off x="0" y="0"/>
                      <a:ext cx="4510082" cy="6039363"/>
                    </a:xfrm>
                    <a:prstGeom prst="rect">
                      <a:avLst/>
                    </a:prstGeom>
                    <a:noFill/>
                    <a:ln>
                      <a:noFill/>
                    </a:ln>
                  </pic:spPr>
                </pic:pic>
              </a:graphicData>
            </a:graphic>
          </wp:inline>
        </w:drawing>
      </w:r>
    </w:p>
    <w:p w14:paraId="44CFA0A7"/>
    <w:p w14:paraId="6C52FF75">
      <w:pPr>
        <w:pStyle w:val="188"/>
      </w:pPr>
      <w:r>
        <w:rPr>
          <w:rFonts w:hint="eastAsia"/>
        </w:rPr>
        <w:t>配置本地认证+短信认证策略</w:t>
      </w:r>
    </w:p>
    <w:p w14:paraId="471F0EB5">
      <w:pPr>
        <w:pStyle w:val="175"/>
      </w:pPr>
      <w:r>
        <w:drawing>
          <wp:inline distT="0" distB="0" distL="114300" distR="114300">
            <wp:extent cx="4800600" cy="7103110"/>
            <wp:effectExtent l="0" t="0" r="0" b="2540"/>
            <wp:docPr id="29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6"/>
                    <pic:cNvPicPr>
                      <a:picLocks noChangeAspect="1"/>
                    </pic:cNvPicPr>
                  </pic:nvPicPr>
                  <pic:blipFill>
                    <a:blip r:embed="rId992"/>
                    <a:stretch>
                      <a:fillRect/>
                    </a:stretch>
                  </pic:blipFill>
                  <pic:spPr>
                    <a:xfrm>
                      <a:off x="0" y="0"/>
                      <a:ext cx="4803307" cy="7107407"/>
                    </a:xfrm>
                    <a:prstGeom prst="rect">
                      <a:avLst/>
                    </a:prstGeom>
                    <a:noFill/>
                    <a:ln>
                      <a:noFill/>
                    </a:ln>
                  </pic:spPr>
                </pic:pic>
              </a:graphicData>
            </a:graphic>
          </wp:inline>
        </w:drawing>
      </w:r>
    </w:p>
    <w:p w14:paraId="0D84227A"/>
    <w:p w14:paraId="212B6B4D">
      <w:pPr>
        <w:pStyle w:val="202"/>
      </w:pPr>
      <w:r>
        <w:rPr>
          <w:rFonts w:hint="eastAsia"/>
        </w:rPr>
        <w:t>配置本地认证用户</w:t>
      </w:r>
    </w:p>
    <w:p w14:paraId="19C03FAB">
      <w:r>
        <w:rPr>
          <w:rFonts w:hint="eastAsia"/>
        </w:rPr>
        <w:t>进入“用户管理 &gt; 用户管理&gt;用户组织结构”页面，配置本地认证用户账号信息。</w:t>
      </w:r>
    </w:p>
    <w:p w14:paraId="7F573CAA">
      <w:pPr>
        <w:pStyle w:val="188"/>
      </w:pPr>
      <w:r>
        <w:rPr>
          <w:rFonts w:hint="eastAsia"/>
        </w:rPr>
        <w:t>配置本地认证用户</w:t>
      </w:r>
    </w:p>
    <w:p w14:paraId="50BF32C7">
      <w:pPr>
        <w:pStyle w:val="175"/>
      </w:pPr>
      <w:r>
        <w:drawing>
          <wp:inline distT="0" distB="0" distL="0" distR="0">
            <wp:extent cx="5686425" cy="1350010"/>
            <wp:effectExtent l="0" t="0" r="0" b="254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pic:cNvPicPr>
                      <a:picLocks noChangeAspect="1"/>
                    </pic:cNvPicPr>
                  </pic:nvPicPr>
                  <pic:blipFill>
                    <a:blip r:embed="rId993"/>
                    <a:stretch>
                      <a:fillRect/>
                    </a:stretch>
                  </pic:blipFill>
                  <pic:spPr>
                    <a:xfrm>
                      <a:off x="0" y="0"/>
                      <a:ext cx="5709625" cy="1356021"/>
                    </a:xfrm>
                    <a:prstGeom prst="rect">
                      <a:avLst/>
                    </a:prstGeom>
                  </pic:spPr>
                </pic:pic>
              </a:graphicData>
            </a:graphic>
          </wp:inline>
        </w:drawing>
      </w:r>
    </w:p>
    <w:p w14:paraId="520BE138"/>
    <w:p w14:paraId="2CCC14E2">
      <w:pPr>
        <w:pStyle w:val="202"/>
      </w:pPr>
      <w:r>
        <w:rPr>
          <w:rFonts w:hint="eastAsia"/>
        </w:rPr>
        <w:t>配置短信服务</w:t>
      </w:r>
    </w:p>
    <w:p w14:paraId="2C49FF64">
      <w:r>
        <w:rPr>
          <w:rFonts w:hint="eastAsia"/>
        </w:rPr>
        <w:t>进入“系统配置&gt;服务器管理&gt;短信服务”页面，配置短信服务对象。</w:t>
      </w:r>
    </w:p>
    <w:p w14:paraId="2DD75846">
      <w:pPr>
        <w:pStyle w:val="188"/>
      </w:pPr>
      <w:r>
        <w:rPr>
          <w:rFonts w:hint="eastAsia"/>
        </w:rPr>
        <w:t>配置短信服务</w:t>
      </w:r>
    </w:p>
    <w:p w14:paraId="39625111">
      <w:pPr>
        <w:pStyle w:val="175"/>
      </w:pPr>
      <w:r>
        <w:drawing>
          <wp:inline distT="0" distB="0" distL="0" distR="0">
            <wp:extent cx="5400675" cy="2310130"/>
            <wp:effectExtent l="0" t="0" r="0" b="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pic:cNvPicPr>
                      <a:picLocks noChangeAspect="1"/>
                    </pic:cNvPicPr>
                  </pic:nvPicPr>
                  <pic:blipFill>
                    <a:blip r:embed="rId994"/>
                    <a:stretch>
                      <a:fillRect/>
                    </a:stretch>
                  </pic:blipFill>
                  <pic:spPr>
                    <a:xfrm>
                      <a:off x="0" y="0"/>
                      <a:ext cx="5404567" cy="2311997"/>
                    </a:xfrm>
                    <a:prstGeom prst="rect">
                      <a:avLst/>
                    </a:prstGeom>
                  </pic:spPr>
                </pic:pic>
              </a:graphicData>
            </a:graphic>
          </wp:inline>
        </w:drawing>
      </w:r>
    </w:p>
    <w:p w14:paraId="0BCCD8A3"/>
    <w:p w14:paraId="4C9FA86D">
      <w:pPr>
        <w:pStyle w:val="202"/>
        <w:rPr>
          <w:lang w:eastAsia="zh-CN"/>
        </w:rPr>
      </w:pPr>
      <w:r>
        <w:rPr>
          <w:rFonts w:hint="eastAsia"/>
          <w:lang w:eastAsia="zh-CN"/>
        </w:rPr>
        <w:t>配置本地WEB认证参数</w:t>
      </w:r>
    </w:p>
    <w:p w14:paraId="240D34D1">
      <w:r>
        <w:rPr>
          <w:rFonts w:hint="eastAsia"/>
        </w:rPr>
        <w:t>进入“用户管理&gt;认证管理&gt;认证方式&gt;本地WEB认证”页面，配置本地WEB认证参数，不勾选加密认证。</w:t>
      </w:r>
    </w:p>
    <w:p w14:paraId="29AFF9E3">
      <w:pPr>
        <w:pStyle w:val="188"/>
      </w:pPr>
      <w:r>
        <w:rPr>
          <w:rFonts w:hint="eastAsia"/>
        </w:rPr>
        <w:t>配置本地WEB认证参数</w:t>
      </w:r>
    </w:p>
    <w:p w14:paraId="5F1249A3">
      <w:pPr>
        <w:pStyle w:val="175"/>
      </w:pPr>
      <w:r>
        <w:drawing>
          <wp:inline distT="0" distB="0" distL="114300" distR="114300">
            <wp:extent cx="5221605" cy="3679825"/>
            <wp:effectExtent l="0" t="0" r="17145" b="15875"/>
            <wp:docPr id="3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9"/>
                    <pic:cNvPicPr>
                      <a:picLocks noChangeAspect="1"/>
                    </pic:cNvPicPr>
                  </pic:nvPicPr>
                  <pic:blipFill>
                    <a:blip r:embed="rId995"/>
                    <a:stretch>
                      <a:fillRect/>
                    </a:stretch>
                  </pic:blipFill>
                  <pic:spPr>
                    <a:xfrm>
                      <a:off x="0" y="0"/>
                      <a:ext cx="5221605" cy="3679825"/>
                    </a:xfrm>
                    <a:prstGeom prst="rect">
                      <a:avLst/>
                    </a:prstGeom>
                    <a:noFill/>
                    <a:ln>
                      <a:noFill/>
                    </a:ln>
                  </pic:spPr>
                </pic:pic>
              </a:graphicData>
            </a:graphic>
          </wp:inline>
        </w:drawing>
      </w:r>
    </w:p>
    <w:p w14:paraId="5B9FD9B1"/>
    <w:p w14:paraId="1E6F2F39">
      <w:pPr>
        <w:pStyle w:val="202"/>
      </w:pPr>
      <w:r>
        <w:rPr>
          <w:rFonts w:hint="eastAsia"/>
        </w:rPr>
        <w:t>配置微信认证参数</w:t>
      </w:r>
    </w:p>
    <w:p w14:paraId="2A7361F8">
      <w:r>
        <w:rPr>
          <w:rFonts w:hint="eastAsia"/>
        </w:rPr>
        <w:t>进入“用户管理&gt;认证管理&gt;认证方式&gt;微信认证”页面，配置微信认证参数。</w:t>
      </w:r>
    </w:p>
    <w:p w14:paraId="27822CC7">
      <w:pPr>
        <w:pStyle w:val="188"/>
      </w:pPr>
      <w:r>
        <w:rPr>
          <w:rFonts w:hint="eastAsia"/>
        </w:rPr>
        <w:t>配置微信认证参数</w:t>
      </w:r>
    </w:p>
    <w:p w14:paraId="47FCA549">
      <w:pPr>
        <w:pStyle w:val="175"/>
      </w:pPr>
      <w:r>
        <w:drawing>
          <wp:inline distT="0" distB="0" distL="0" distR="0">
            <wp:extent cx="5591175" cy="3846830"/>
            <wp:effectExtent l="0" t="0" r="0" b="127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pic:cNvPicPr>
                      <a:picLocks noChangeAspect="1"/>
                    </pic:cNvPicPr>
                  </pic:nvPicPr>
                  <pic:blipFill>
                    <a:blip r:embed="rId996"/>
                    <a:stretch>
                      <a:fillRect/>
                    </a:stretch>
                  </pic:blipFill>
                  <pic:spPr>
                    <a:xfrm>
                      <a:off x="0" y="0"/>
                      <a:ext cx="5598229" cy="3852195"/>
                    </a:xfrm>
                    <a:prstGeom prst="rect">
                      <a:avLst/>
                    </a:prstGeom>
                  </pic:spPr>
                </pic:pic>
              </a:graphicData>
            </a:graphic>
          </wp:inline>
        </w:drawing>
      </w:r>
    </w:p>
    <w:p w14:paraId="425DB6F0"/>
    <w:p w14:paraId="203FF1BA">
      <w:pPr>
        <w:pStyle w:val="202"/>
      </w:pPr>
      <w:r>
        <w:rPr>
          <w:rFonts w:hint="eastAsia"/>
        </w:rPr>
        <w:t>配置短信认证参数</w:t>
      </w:r>
    </w:p>
    <w:p w14:paraId="50292C8F">
      <w:r>
        <w:rPr>
          <w:rFonts w:hint="eastAsia"/>
        </w:rPr>
        <w:t>进入“用户管理&gt;认证管理&gt;认证方式&gt;短信认证”页面，配置短信认证参数，选择已创建的短信对象，不勾选加密认证。</w:t>
      </w:r>
    </w:p>
    <w:p w14:paraId="569F486F">
      <w:pPr>
        <w:pStyle w:val="188"/>
      </w:pPr>
      <w:r>
        <w:rPr>
          <w:rFonts w:hint="eastAsia"/>
        </w:rPr>
        <w:t>配置短信认证参数</w:t>
      </w:r>
    </w:p>
    <w:p w14:paraId="37AAA60A">
      <w:pPr>
        <w:pStyle w:val="175"/>
      </w:pPr>
      <w:r>
        <w:drawing>
          <wp:inline distT="0" distB="0" distL="114300" distR="114300">
            <wp:extent cx="4048125" cy="3004185"/>
            <wp:effectExtent l="0" t="0" r="0" b="5715"/>
            <wp:docPr id="3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11"/>
                    <pic:cNvPicPr>
                      <a:picLocks noChangeAspect="1"/>
                    </pic:cNvPicPr>
                  </pic:nvPicPr>
                  <pic:blipFill>
                    <a:blip r:embed="rId997"/>
                    <a:stretch>
                      <a:fillRect/>
                    </a:stretch>
                  </pic:blipFill>
                  <pic:spPr>
                    <a:xfrm>
                      <a:off x="0" y="0"/>
                      <a:ext cx="4050909" cy="3006600"/>
                    </a:xfrm>
                    <a:prstGeom prst="rect">
                      <a:avLst/>
                    </a:prstGeom>
                    <a:noFill/>
                    <a:ln>
                      <a:noFill/>
                    </a:ln>
                  </pic:spPr>
                </pic:pic>
              </a:graphicData>
            </a:graphic>
          </wp:inline>
        </w:drawing>
      </w:r>
    </w:p>
    <w:p w14:paraId="28B08DB3"/>
    <w:p w14:paraId="1838CB1F">
      <w:pPr>
        <w:pStyle w:val="202"/>
      </w:pPr>
      <w:r>
        <w:rPr>
          <w:rFonts w:hint="eastAsia"/>
        </w:rPr>
        <w:t>配置用户识别范围</w:t>
      </w:r>
    </w:p>
    <w:p w14:paraId="55D5157D">
      <w:r>
        <w:rPr>
          <w:rFonts w:hint="eastAsia"/>
        </w:rPr>
        <w:t>进入“用户管理&gt;认证管理&gt;高级选项”页面，配置用户识别范围为认证测试网段。</w:t>
      </w:r>
    </w:p>
    <w:p w14:paraId="6AA64336">
      <w:pPr>
        <w:pStyle w:val="188"/>
      </w:pPr>
      <w:r>
        <w:rPr>
          <w:rFonts w:hint="eastAsia"/>
        </w:rPr>
        <w:t>用户识别范围</w:t>
      </w:r>
    </w:p>
    <w:p w14:paraId="076D508D">
      <w:pPr>
        <w:pStyle w:val="175"/>
      </w:pPr>
      <w:r>
        <w:drawing>
          <wp:inline distT="0" distB="0" distL="114300" distR="114300">
            <wp:extent cx="3867150" cy="5181600"/>
            <wp:effectExtent l="0" t="0" r="0" b="0"/>
            <wp:docPr id="3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1"/>
                    <pic:cNvPicPr>
                      <a:picLocks noChangeAspect="1"/>
                    </pic:cNvPicPr>
                  </pic:nvPicPr>
                  <pic:blipFill>
                    <a:blip r:embed="rId998"/>
                    <a:stretch>
                      <a:fillRect/>
                    </a:stretch>
                  </pic:blipFill>
                  <pic:spPr>
                    <a:xfrm>
                      <a:off x="0" y="0"/>
                      <a:ext cx="3872071" cy="5188382"/>
                    </a:xfrm>
                    <a:prstGeom prst="rect">
                      <a:avLst/>
                    </a:prstGeom>
                    <a:noFill/>
                    <a:ln>
                      <a:noFill/>
                    </a:ln>
                  </pic:spPr>
                </pic:pic>
              </a:graphicData>
            </a:graphic>
          </wp:inline>
        </w:drawing>
      </w:r>
    </w:p>
    <w:p w14:paraId="07B7F436"/>
    <w:p w14:paraId="37207DEE">
      <w:pPr>
        <w:pStyle w:val="202"/>
      </w:pPr>
      <w:r>
        <w:rPr>
          <w:rFonts w:hint="eastAsia"/>
        </w:rPr>
        <w:t>配置DNS服务器</w:t>
      </w:r>
    </w:p>
    <w:p w14:paraId="748BE3C8">
      <w:r>
        <w:rPr>
          <w:rFonts w:hint="eastAsia"/>
        </w:rPr>
        <w:t>进入“网络</w:t>
      </w:r>
      <w:r>
        <w:t>配置</w:t>
      </w:r>
      <w:r>
        <w:rPr>
          <w:rFonts w:hint="eastAsia"/>
        </w:rPr>
        <w:t>&gt;基础网络&gt;DNS服务&gt;DNS服务器”，配置DNS服务器。</w:t>
      </w:r>
    </w:p>
    <w:p w14:paraId="35AE6512">
      <w:pPr>
        <w:pStyle w:val="188"/>
      </w:pPr>
      <w:r>
        <w:rPr>
          <w:rFonts w:hint="eastAsia"/>
        </w:rPr>
        <w:t>配置DNS服务器</w:t>
      </w:r>
    </w:p>
    <w:p w14:paraId="7E682F4A">
      <w:pPr>
        <w:pStyle w:val="175"/>
      </w:pPr>
      <w:r>
        <w:drawing>
          <wp:inline distT="0" distB="0" distL="114300" distR="114300">
            <wp:extent cx="4572000" cy="2552065"/>
            <wp:effectExtent l="0" t="0" r="0" b="635"/>
            <wp:docPr id="32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12"/>
                    <pic:cNvPicPr>
                      <a:picLocks noChangeAspect="1"/>
                    </pic:cNvPicPr>
                  </pic:nvPicPr>
                  <pic:blipFill>
                    <a:blip r:embed="rId999"/>
                    <a:stretch>
                      <a:fillRect/>
                    </a:stretch>
                  </pic:blipFill>
                  <pic:spPr>
                    <a:xfrm>
                      <a:off x="0" y="0"/>
                      <a:ext cx="4579481" cy="2556383"/>
                    </a:xfrm>
                    <a:prstGeom prst="rect">
                      <a:avLst/>
                    </a:prstGeom>
                    <a:noFill/>
                    <a:ln>
                      <a:noFill/>
                    </a:ln>
                  </pic:spPr>
                </pic:pic>
              </a:graphicData>
            </a:graphic>
          </wp:inline>
        </w:drawing>
      </w:r>
    </w:p>
    <w:p w14:paraId="7DEB1C38"/>
    <w:p w14:paraId="3FA697BD">
      <w:r>
        <w:rPr>
          <w:rFonts w:hint="eastAsia"/>
        </w:rPr>
        <w:t>配置静态路由</w:t>
      </w:r>
    </w:p>
    <w:p w14:paraId="75181030">
      <w:r>
        <w:rPr>
          <w:rFonts w:hint="eastAsia"/>
        </w:rPr>
        <w:t>进入“网络配置&gt;接口配置&gt;路由管理&gt;静态路由”页面，配置一条静态缺省路由。</w:t>
      </w:r>
    </w:p>
    <w:p w14:paraId="3731FC2C">
      <w:pPr>
        <w:pStyle w:val="188"/>
      </w:pPr>
      <w:r>
        <w:rPr>
          <w:rFonts w:hint="eastAsia"/>
        </w:rPr>
        <w:t>配置静态路由</w:t>
      </w:r>
    </w:p>
    <w:p w14:paraId="13A3EBD8">
      <w:pPr>
        <w:pStyle w:val="175"/>
      </w:pPr>
      <w:r>
        <w:drawing>
          <wp:inline distT="0" distB="0" distL="0" distR="0">
            <wp:extent cx="5662930" cy="1022350"/>
            <wp:effectExtent l="0" t="0" r="0" b="635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pic:cNvPicPr>
                      <a:picLocks noChangeAspect="1"/>
                    </pic:cNvPicPr>
                  </pic:nvPicPr>
                  <pic:blipFill>
                    <a:blip r:embed="rId1000"/>
                    <a:stretch>
                      <a:fillRect/>
                    </a:stretch>
                  </pic:blipFill>
                  <pic:spPr>
                    <a:xfrm>
                      <a:off x="0" y="0"/>
                      <a:ext cx="5694913" cy="1028133"/>
                    </a:xfrm>
                    <a:prstGeom prst="rect">
                      <a:avLst/>
                    </a:prstGeom>
                  </pic:spPr>
                </pic:pic>
              </a:graphicData>
            </a:graphic>
          </wp:inline>
        </w:drawing>
      </w:r>
    </w:p>
    <w:p w14:paraId="129B785E">
      <w:pPr>
        <w:pStyle w:val="202"/>
      </w:pPr>
      <w:r>
        <w:rPr>
          <w:rFonts w:hint="eastAsia"/>
        </w:rPr>
        <w:t>配置控制策略</w:t>
      </w:r>
    </w:p>
    <w:p w14:paraId="716558C8">
      <w:r>
        <w:rPr>
          <w:rFonts w:hint="eastAsia"/>
        </w:rPr>
        <w:t>进入“策略配置&gt;控制策略”页面，配置一条允许的控制策略。</w:t>
      </w:r>
    </w:p>
    <w:p w14:paraId="580BD80E">
      <w:pPr>
        <w:pStyle w:val="188"/>
      </w:pPr>
      <w:r>
        <w:rPr>
          <w:rFonts w:hint="eastAsia"/>
        </w:rPr>
        <w:t>配置控制策略</w:t>
      </w:r>
    </w:p>
    <w:p w14:paraId="596C8466">
      <w:pPr>
        <w:pStyle w:val="175"/>
      </w:pPr>
      <w:r>
        <w:drawing>
          <wp:inline distT="0" distB="0" distL="0" distR="0">
            <wp:extent cx="5662930" cy="635000"/>
            <wp:effectExtent l="0" t="0" r="0" b="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pic:cNvPicPr>
                      <a:picLocks noChangeAspect="1"/>
                    </pic:cNvPicPr>
                  </pic:nvPicPr>
                  <pic:blipFill>
                    <a:blip r:embed="rId1001"/>
                    <a:stretch>
                      <a:fillRect/>
                    </a:stretch>
                  </pic:blipFill>
                  <pic:spPr>
                    <a:xfrm>
                      <a:off x="0" y="0"/>
                      <a:ext cx="5693492" cy="638583"/>
                    </a:xfrm>
                    <a:prstGeom prst="rect">
                      <a:avLst/>
                    </a:prstGeom>
                  </pic:spPr>
                </pic:pic>
              </a:graphicData>
            </a:graphic>
          </wp:inline>
        </w:drawing>
      </w:r>
    </w:p>
    <w:p w14:paraId="33202BCD">
      <w:pPr>
        <w:pStyle w:val="202"/>
      </w:pPr>
      <w:r>
        <w:rPr>
          <w:rFonts w:hint="eastAsia"/>
        </w:rPr>
        <w:t>配置源NAT策略</w:t>
      </w:r>
    </w:p>
    <w:p w14:paraId="743D1CC7">
      <w:r>
        <w:rPr>
          <w:rFonts w:hint="eastAsia"/>
        </w:rPr>
        <w:t>进入“策略配置&gt;NAT转换策略&gt;源NAT”页面，配置一条源NAT策略</w:t>
      </w:r>
      <w:r>
        <w:t>。</w:t>
      </w:r>
    </w:p>
    <w:p w14:paraId="6785FF2B">
      <w:pPr>
        <w:pStyle w:val="188"/>
      </w:pPr>
      <w:r>
        <w:rPr>
          <w:rFonts w:hint="eastAsia"/>
        </w:rPr>
        <w:t>配置源NAT策略</w:t>
      </w:r>
    </w:p>
    <w:p w14:paraId="1A9AFEA6">
      <w:r>
        <w:drawing>
          <wp:inline distT="0" distB="0" distL="0" distR="0">
            <wp:extent cx="5705475" cy="697230"/>
            <wp:effectExtent l="0" t="0" r="0" b="762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pic:cNvPicPr>
                      <a:picLocks noChangeAspect="1"/>
                    </pic:cNvPicPr>
                  </pic:nvPicPr>
                  <pic:blipFill>
                    <a:blip r:embed="rId1002"/>
                    <a:stretch>
                      <a:fillRect/>
                    </a:stretch>
                  </pic:blipFill>
                  <pic:spPr>
                    <a:xfrm>
                      <a:off x="0" y="0"/>
                      <a:ext cx="5715614" cy="698588"/>
                    </a:xfrm>
                    <a:prstGeom prst="rect">
                      <a:avLst/>
                    </a:prstGeom>
                  </pic:spPr>
                </pic:pic>
              </a:graphicData>
            </a:graphic>
          </wp:inline>
        </w:drawing>
      </w:r>
    </w:p>
    <w:p w14:paraId="4727DA9B">
      <w:pPr>
        <w:pStyle w:val="6"/>
      </w:pPr>
      <w:bookmarkStart w:id="8281" w:name="_Toc148457604"/>
      <w:r>
        <w:rPr>
          <w:rFonts w:hint="eastAsia"/>
        </w:rPr>
        <w:t>配置及使用注意事项</w:t>
      </w:r>
      <w:bookmarkEnd w:id="8281"/>
    </w:p>
    <w:p w14:paraId="5EFA3DE7">
      <w:pPr>
        <w:pStyle w:val="162"/>
      </w:pPr>
      <w:r>
        <w:rPr>
          <w:rFonts w:hint="eastAsia"/>
        </w:rPr>
        <w:t>微信认证中认证URL需要与微信公众号平台上配置一致，如果配置的是域名方式，则需要在设备上针对该域名配置DNS映射关系。</w:t>
      </w:r>
    </w:p>
    <w:p w14:paraId="4125BFB4">
      <w:pPr>
        <w:pStyle w:val="162"/>
      </w:pPr>
      <w:r>
        <w:rPr>
          <w:rFonts w:hint="eastAsia"/>
        </w:rPr>
        <w:t>购买的短信服务需支持发送短信功能。</w:t>
      </w:r>
    </w:p>
    <w:p w14:paraId="60382EBC">
      <w:pPr>
        <w:pStyle w:val="6"/>
      </w:pPr>
      <w:bookmarkStart w:id="8282" w:name="_Toc148457605"/>
      <w:r>
        <w:rPr>
          <w:rFonts w:hint="eastAsia"/>
        </w:rPr>
        <w:t>验证配置</w:t>
      </w:r>
      <w:bookmarkEnd w:id="8282"/>
    </w:p>
    <w:p w14:paraId="6665D409">
      <w:pPr>
        <w:pStyle w:val="202"/>
        <w:rPr>
          <w:lang w:eastAsia="zh-CN"/>
        </w:rPr>
      </w:pPr>
      <w:r>
        <w:rPr>
          <w:rFonts w:hint="eastAsia"/>
          <w:lang w:eastAsia="zh-CN"/>
        </w:rPr>
        <w:t>研发网段使用移动端过设备访问外网先进行微信认证再进行本地认证，两次认证通过之后才能访问外网。</w:t>
      </w:r>
    </w:p>
    <w:p w14:paraId="6B845321">
      <w:r>
        <w:rPr>
          <w:rFonts w:hint="eastAsia"/>
        </w:rPr>
        <w:t>终端用户访问外网，先弹出微信认证页面，打开微信搜索公众号，通过关键词回复，单击“点完上网”完成微信认证。</w:t>
      </w:r>
    </w:p>
    <w:p w14:paraId="4E760E7A">
      <w:pPr>
        <w:pStyle w:val="188"/>
      </w:pPr>
      <w:r>
        <w:t>移动端微信认证页面</w:t>
      </w:r>
    </w:p>
    <w:p w14:paraId="221630F8">
      <w:pPr>
        <w:pStyle w:val="175"/>
      </w:pPr>
      <w:r>
        <w:drawing>
          <wp:inline distT="0" distB="0" distL="114300" distR="114300">
            <wp:extent cx="2181225" cy="4732655"/>
            <wp:effectExtent l="0" t="0" r="0" b="0"/>
            <wp:docPr id="3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
                    <pic:cNvPicPr>
                      <a:picLocks noChangeAspect="1"/>
                    </pic:cNvPicPr>
                  </pic:nvPicPr>
                  <pic:blipFill>
                    <a:blip r:embed="rId1003"/>
                    <a:stretch>
                      <a:fillRect/>
                    </a:stretch>
                  </pic:blipFill>
                  <pic:spPr>
                    <a:xfrm>
                      <a:off x="0" y="0"/>
                      <a:ext cx="2187064" cy="4745849"/>
                    </a:xfrm>
                    <a:prstGeom prst="rect">
                      <a:avLst/>
                    </a:prstGeom>
                    <a:noFill/>
                    <a:ln>
                      <a:noFill/>
                    </a:ln>
                  </pic:spPr>
                </pic:pic>
              </a:graphicData>
            </a:graphic>
          </wp:inline>
        </w:drawing>
      </w:r>
    </w:p>
    <w:p w14:paraId="48615AFB"/>
    <w:p w14:paraId="59EC348F">
      <w:r>
        <w:rPr>
          <w:rFonts w:hint="eastAsia"/>
        </w:rPr>
        <w:t>移动终端弹出本地认证页面。</w:t>
      </w:r>
    </w:p>
    <w:p w14:paraId="55A948EF">
      <w:pPr>
        <w:pStyle w:val="188"/>
      </w:pPr>
      <w:r>
        <w:t>移动端本地认证页面</w:t>
      </w:r>
    </w:p>
    <w:p w14:paraId="5A5FE3BF">
      <w:pPr>
        <w:pStyle w:val="175"/>
      </w:pPr>
      <w:r>
        <w:drawing>
          <wp:inline distT="0" distB="0" distL="114300" distR="114300">
            <wp:extent cx="2664460" cy="3781425"/>
            <wp:effectExtent l="0" t="0" r="2540" b="9525"/>
            <wp:docPr id="3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4"/>
                    <pic:cNvPicPr>
                      <a:picLocks noChangeAspect="1"/>
                    </pic:cNvPicPr>
                  </pic:nvPicPr>
                  <pic:blipFill>
                    <a:blip r:embed="rId1004"/>
                    <a:srcRect b="34911"/>
                    <a:stretch>
                      <a:fillRect/>
                    </a:stretch>
                  </pic:blipFill>
                  <pic:spPr>
                    <a:xfrm>
                      <a:off x="0" y="0"/>
                      <a:ext cx="2664460" cy="3781425"/>
                    </a:xfrm>
                    <a:prstGeom prst="rect">
                      <a:avLst/>
                    </a:prstGeom>
                    <a:noFill/>
                    <a:ln>
                      <a:noFill/>
                    </a:ln>
                  </pic:spPr>
                </pic:pic>
              </a:graphicData>
            </a:graphic>
          </wp:inline>
        </w:drawing>
      </w:r>
    </w:p>
    <w:p w14:paraId="2BB0F7F2"/>
    <w:p w14:paraId="3F24C56C">
      <w:r>
        <w:rPr>
          <w:rFonts w:hint="eastAsia"/>
        </w:rPr>
        <w:t>本地认证成功之后跳转到微信认证成功页面。</w:t>
      </w:r>
    </w:p>
    <w:p w14:paraId="00B69728">
      <w:pPr>
        <w:pStyle w:val="188"/>
      </w:pPr>
      <w:r>
        <w:t>双重认证成功页面</w:t>
      </w:r>
    </w:p>
    <w:p w14:paraId="77D1819D">
      <w:pPr>
        <w:pStyle w:val="175"/>
      </w:pPr>
      <w:r>
        <w:drawing>
          <wp:inline distT="0" distB="0" distL="114300" distR="114300">
            <wp:extent cx="3105150" cy="3421380"/>
            <wp:effectExtent l="0" t="0" r="0" b="7620"/>
            <wp:docPr id="3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5"/>
                    <pic:cNvPicPr>
                      <a:picLocks noChangeAspect="1"/>
                    </pic:cNvPicPr>
                  </pic:nvPicPr>
                  <pic:blipFill>
                    <a:blip r:embed="rId1005"/>
                    <a:stretch>
                      <a:fillRect/>
                    </a:stretch>
                  </pic:blipFill>
                  <pic:spPr>
                    <a:xfrm>
                      <a:off x="0" y="0"/>
                      <a:ext cx="3111207" cy="3428090"/>
                    </a:xfrm>
                    <a:prstGeom prst="rect">
                      <a:avLst/>
                    </a:prstGeom>
                    <a:noFill/>
                    <a:ln>
                      <a:noFill/>
                    </a:ln>
                  </pic:spPr>
                </pic:pic>
              </a:graphicData>
            </a:graphic>
          </wp:inline>
        </w:drawing>
      </w:r>
    </w:p>
    <w:p w14:paraId="3B666B0F"/>
    <w:p w14:paraId="6325E99A">
      <w:r>
        <w:rPr>
          <w:rFonts w:hint="eastAsia"/>
        </w:rPr>
        <w:t>设备上在线用户显示为微信认证，认证账号显示为本地认证账号。</w:t>
      </w:r>
    </w:p>
    <w:p w14:paraId="407F99E7">
      <w:pPr>
        <w:pStyle w:val="188"/>
      </w:pPr>
      <w:r>
        <w:t>在线用户</w:t>
      </w:r>
    </w:p>
    <w:p w14:paraId="7A400E67">
      <w:pPr>
        <w:pStyle w:val="175"/>
      </w:pPr>
      <w:r>
        <w:drawing>
          <wp:inline distT="0" distB="0" distL="0" distR="0">
            <wp:extent cx="5791200" cy="680720"/>
            <wp:effectExtent l="0" t="0" r="0" b="5080"/>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pic:cNvPicPr>
                      <a:picLocks noChangeAspect="1"/>
                    </pic:cNvPicPr>
                  </pic:nvPicPr>
                  <pic:blipFill>
                    <a:blip r:embed="rId1006"/>
                    <a:stretch>
                      <a:fillRect/>
                    </a:stretch>
                  </pic:blipFill>
                  <pic:spPr>
                    <a:xfrm>
                      <a:off x="0" y="0"/>
                      <a:ext cx="5810129" cy="683012"/>
                    </a:xfrm>
                    <a:prstGeom prst="rect">
                      <a:avLst/>
                    </a:prstGeom>
                  </pic:spPr>
                </pic:pic>
              </a:graphicData>
            </a:graphic>
          </wp:inline>
        </w:drawing>
      </w:r>
    </w:p>
    <w:p w14:paraId="06757D4F"/>
    <w:p w14:paraId="6454E4C9">
      <w:r>
        <w:rPr>
          <w:rFonts w:hint="eastAsia"/>
        </w:rPr>
        <w:t>用户上下线日志显示为微信认证，认证账号为本地认证账号信息。</w:t>
      </w:r>
    </w:p>
    <w:p w14:paraId="27D9EFDA">
      <w:pPr>
        <w:pStyle w:val="188"/>
      </w:pPr>
      <w:r>
        <w:t>用户上线下认证</w:t>
      </w:r>
    </w:p>
    <w:p w14:paraId="6ED34932">
      <w:pPr>
        <w:pStyle w:val="175"/>
      </w:pPr>
      <w:r>
        <w:drawing>
          <wp:inline distT="0" distB="0" distL="0" distR="0">
            <wp:extent cx="6120130" cy="757555"/>
            <wp:effectExtent l="0" t="0" r="0" b="4445"/>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pic:cNvPicPr>
                      <a:picLocks noChangeAspect="1"/>
                    </pic:cNvPicPr>
                  </pic:nvPicPr>
                  <pic:blipFill>
                    <a:blip r:embed="rId1007"/>
                    <a:stretch>
                      <a:fillRect/>
                    </a:stretch>
                  </pic:blipFill>
                  <pic:spPr>
                    <a:xfrm>
                      <a:off x="0" y="0"/>
                      <a:ext cx="6120130" cy="757555"/>
                    </a:xfrm>
                    <a:prstGeom prst="rect">
                      <a:avLst/>
                    </a:prstGeom>
                  </pic:spPr>
                </pic:pic>
              </a:graphicData>
            </a:graphic>
          </wp:inline>
        </w:drawing>
      </w:r>
    </w:p>
    <w:p w14:paraId="3AABFC8C"/>
    <w:p w14:paraId="73046A96">
      <w:pPr>
        <w:pStyle w:val="202"/>
        <w:rPr>
          <w:lang w:eastAsia="zh-CN"/>
        </w:rPr>
      </w:pPr>
      <w:r>
        <w:rPr>
          <w:rFonts w:hint="eastAsia"/>
          <w:lang w:eastAsia="zh-CN"/>
        </w:rPr>
        <w:t>测试网段使用终端过设备访问外网先进行本地认证再进行短信认证，两次认证通过之后才能访问外网。</w:t>
      </w:r>
    </w:p>
    <w:p w14:paraId="0B79F3A2">
      <w:r>
        <w:rPr>
          <w:rFonts w:hint="eastAsia"/>
        </w:rPr>
        <w:t>测试终端过设备访问外网先弹出本地认证页面。</w:t>
      </w:r>
    </w:p>
    <w:p w14:paraId="60843A22">
      <w:pPr>
        <w:pStyle w:val="188"/>
      </w:pPr>
      <w:r>
        <w:rPr>
          <w:rFonts w:hint="eastAsia"/>
        </w:rPr>
        <w:t>本地WEB认证页面</w:t>
      </w:r>
    </w:p>
    <w:p w14:paraId="4BB7119A">
      <w:pPr>
        <w:pStyle w:val="175"/>
      </w:pPr>
      <w:r>
        <w:drawing>
          <wp:inline distT="0" distB="0" distL="0" distR="0">
            <wp:extent cx="5295900" cy="2585720"/>
            <wp:effectExtent l="0" t="0" r="0" b="5080"/>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pic:cNvPicPr>
                      <a:picLocks noChangeAspect="1"/>
                    </pic:cNvPicPr>
                  </pic:nvPicPr>
                  <pic:blipFill>
                    <a:blip r:embed="rId1008"/>
                    <a:stretch>
                      <a:fillRect/>
                    </a:stretch>
                  </pic:blipFill>
                  <pic:spPr>
                    <a:xfrm>
                      <a:off x="0" y="0"/>
                      <a:ext cx="5301002" cy="2588350"/>
                    </a:xfrm>
                    <a:prstGeom prst="rect">
                      <a:avLst/>
                    </a:prstGeom>
                  </pic:spPr>
                </pic:pic>
              </a:graphicData>
            </a:graphic>
          </wp:inline>
        </w:drawing>
      </w:r>
    </w:p>
    <w:p w14:paraId="492B2653"/>
    <w:p w14:paraId="176A0EC7">
      <w:r>
        <w:rPr>
          <w:rFonts w:hint="eastAsia"/>
        </w:rPr>
        <w:t>本地认证完之后跳转到短信认证页面。</w:t>
      </w:r>
    </w:p>
    <w:p w14:paraId="5AC5ACDA">
      <w:pPr>
        <w:pStyle w:val="188"/>
      </w:pPr>
      <w:r>
        <w:rPr>
          <w:rFonts w:hint="eastAsia"/>
        </w:rPr>
        <w:t>短信认证页面</w:t>
      </w:r>
    </w:p>
    <w:p w14:paraId="6C8508C0">
      <w:pPr>
        <w:pStyle w:val="175"/>
      </w:pPr>
      <w:r>
        <w:drawing>
          <wp:inline distT="0" distB="0" distL="0" distR="0">
            <wp:extent cx="5372100" cy="2567305"/>
            <wp:effectExtent l="0" t="0" r="0" b="4445"/>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pic:cNvPicPr>
                      <a:picLocks noChangeAspect="1"/>
                    </pic:cNvPicPr>
                  </pic:nvPicPr>
                  <pic:blipFill>
                    <a:blip r:embed="rId1009"/>
                    <a:stretch>
                      <a:fillRect/>
                    </a:stretch>
                  </pic:blipFill>
                  <pic:spPr>
                    <a:xfrm>
                      <a:off x="0" y="0"/>
                      <a:ext cx="5376218" cy="2569852"/>
                    </a:xfrm>
                    <a:prstGeom prst="rect">
                      <a:avLst/>
                    </a:prstGeom>
                  </pic:spPr>
                </pic:pic>
              </a:graphicData>
            </a:graphic>
          </wp:inline>
        </w:drawing>
      </w:r>
    </w:p>
    <w:p w14:paraId="46AD9A9F"/>
    <w:p w14:paraId="0D119CC2">
      <w:r>
        <w:rPr>
          <w:rFonts w:hint="eastAsia"/>
        </w:rPr>
        <w:t>短信认证成功之后跳转到本地认证成功页面。</w:t>
      </w:r>
    </w:p>
    <w:p w14:paraId="77B76D87">
      <w:pPr>
        <w:pStyle w:val="188"/>
      </w:pPr>
      <w:r>
        <w:rPr>
          <w:rFonts w:hint="eastAsia"/>
        </w:rPr>
        <w:t>本地认证成功页面</w:t>
      </w:r>
    </w:p>
    <w:p w14:paraId="52F1D6F1">
      <w:pPr>
        <w:pStyle w:val="175"/>
      </w:pPr>
      <w:r>
        <w:drawing>
          <wp:inline distT="0" distB="0" distL="0" distR="0">
            <wp:extent cx="5372100" cy="2580005"/>
            <wp:effectExtent l="0" t="0" r="0" b="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pic:cNvPicPr>
                      <a:picLocks noChangeAspect="1"/>
                    </pic:cNvPicPr>
                  </pic:nvPicPr>
                  <pic:blipFill>
                    <a:blip r:embed="rId1010"/>
                    <a:stretch>
                      <a:fillRect/>
                    </a:stretch>
                  </pic:blipFill>
                  <pic:spPr>
                    <a:xfrm>
                      <a:off x="0" y="0"/>
                      <a:ext cx="5373083" cy="2580618"/>
                    </a:xfrm>
                    <a:prstGeom prst="rect">
                      <a:avLst/>
                    </a:prstGeom>
                  </pic:spPr>
                </pic:pic>
              </a:graphicData>
            </a:graphic>
          </wp:inline>
        </w:drawing>
      </w:r>
    </w:p>
    <w:p w14:paraId="22CFC1FB"/>
    <w:p w14:paraId="17517947">
      <w:r>
        <w:rPr>
          <w:rFonts w:hint="eastAsia"/>
        </w:rPr>
        <w:t>设备上在线用户显示为本地认证，认证账号显示为本地认证账号。</w:t>
      </w:r>
    </w:p>
    <w:p w14:paraId="2BA64A06">
      <w:pPr>
        <w:pStyle w:val="188"/>
      </w:pPr>
      <w:r>
        <w:rPr>
          <w:rFonts w:hint="eastAsia"/>
        </w:rPr>
        <w:t>在线用户</w:t>
      </w:r>
    </w:p>
    <w:p w14:paraId="2572889F">
      <w:pPr>
        <w:pStyle w:val="175"/>
      </w:pPr>
      <w:r>
        <w:drawing>
          <wp:inline distT="0" distB="0" distL="0" distR="0">
            <wp:extent cx="5568950" cy="758190"/>
            <wp:effectExtent l="0" t="0" r="0" b="3810"/>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pic:cNvPicPr>
                      <a:picLocks noChangeAspect="1"/>
                    </pic:cNvPicPr>
                  </pic:nvPicPr>
                  <pic:blipFill>
                    <a:blip r:embed="rId1011"/>
                    <a:stretch>
                      <a:fillRect/>
                    </a:stretch>
                  </pic:blipFill>
                  <pic:spPr>
                    <a:xfrm>
                      <a:off x="0" y="0"/>
                      <a:ext cx="5581965" cy="760440"/>
                    </a:xfrm>
                    <a:prstGeom prst="rect">
                      <a:avLst/>
                    </a:prstGeom>
                  </pic:spPr>
                </pic:pic>
              </a:graphicData>
            </a:graphic>
          </wp:inline>
        </w:drawing>
      </w:r>
    </w:p>
    <w:p w14:paraId="35EFF755">
      <w:r>
        <w:rPr>
          <w:rFonts w:hint="eastAsia"/>
        </w:rPr>
        <w:t>用户上下线日志中显示本地认证，认证账号信息显示为本地认证账号。</w:t>
      </w:r>
    </w:p>
    <w:p w14:paraId="51F03ADD">
      <w:pPr>
        <w:pStyle w:val="188"/>
      </w:pPr>
      <w:r>
        <w:rPr>
          <w:rFonts w:hint="eastAsia"/>
        </w:rPr>
        <w:t>用户上下线日志</w:t>
      </w:r>
    </w:p>
    <w:p w14:paraId="080F18F7">
      <w:pPr>
        <w:pStyle w:val="175"/>
      </w:pPr>
      <w:r>
        <w:drawing>
          <wp:inline distT="0" distB="0" distL="0" distR="0">
            <wp:extent cx="6120130" cy="790575"/>
            <wp:effectExtent l="0" t="0" r="0" b="9525"/>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63"/>
                    <pic:cNvPicPr>
                      <a:picLocks noChangeAspect="1"/>
                    </pic:cNvPicPr>
                  </pic:nvPicPr>
                  <pic:blipFill>
                    <a:blip r:embed="rId1012"/>
                    <a:stretch>
                      <a:fillRect/>
                    </a:stretch>
                  </pic:blipFill>
                  <pic:spPr>
                    <a:xfrm>
                      <a:off x="0" y="0"/>
                      <a:ext cx="6120130" cy="790575"/>
                    </a:xfrm>
                    <a:prstGeom prst="rect">
                      <a:avLst/>
                    </a:prstGeom>
                  </pic:spPr>
                </pic:pic>
              </a:graphicData>
            </a:graphic>
          </wp:inline>
        </w:drawing>
      </w:r>
    </w:p>
    <w:p w14:paraId="463D65B1"/>
    <w:p w14:paraId="3C73065A">
      <w:pPr>
        <w:pStyle w:val="4"/>
      </w:pPr>
      <w:bookmarkStart w:id="8283" w:name="_Toc141873524"/>
      <w:bookmarkStart w:id="8284" w:name="_Toc172218288"/>
      <w:bookmarkStart w:id="8285" w:name="_Toc194081169"/>
      <w:bookmarkStart w:id="8286" w:name="_Toc142401040"/>
      <w:bookmarkStart w:id="8287" w:name="_Toc196728497"/>
      <w:r>
        <w:t>认证</w:t>
      </w:r>
      <w:bookmarkEnd w:id="8250"/>
      <w:bookmarkEnd w:id="8251"/>
      <w:bookmarkEnd w:id="8252"/>
      <w:bookmarkEnd w:id="8253"/>
      <w:bookmarkEnd w:id="8254"/>
      <w:bookmarkEnd w:id="8255"/>
      <w:r>
        <w:t>方式</w:t>
      </w:r>
      <w:bookmarkEnd w:id="8283"/>
      <w:bookmarkEnd w:id="8284"/>
      <w:bookmarkEnd w:id="8285"/>
      <w:bookmarkEnd w:id="8286"/>
      <w:bookmarkEnd w:id="8287"/>
    </w:p>
    <w:p w14:paraId="23C77660">
      <w:pPr>
        <w:pStyle w:val="5"/>
      </w:pPr>
      <w:bookmarkStart w:id="8288" w:name="_Toc40276370"/>
      <w:bookmarkStart w:id="8289" w:name="_Toc172218289"/>
      <w:bookmarkStart w:id="8290" w:name="_Toc9006656"/>
      <w:bookmarkStart w:id="8291" w:name="_Toc15485185"/>
      <w:bookmarkStart w:id="8292" w:name="_Toc23152949"/>
      <w:bookmarkStart w:id="8293" w:name="_Toc141873525"/>
      <w:bookmarkStart w:id="8294" w:name="_Toc142401041"/>
      <w:bookmarkStart w:id="8295" w:name="_Toc196728498"/>
      <w:bookmarkStart w:id="8296" w:name="_Toc99561610"/>
      <w:bookmarkStart w:id="8297" w:name="_Toc194081170"/>
      <w:bookmarkStart w:id="8298" w:name="_Ref150528683"/>
      <w:r>
        <w:rPr>
          <w:rFonts w:hint="eastAsia"/>
        </w:rPr>
        <w:t>本地</w:t>
      </w:r>
      <w:r>
        <w:t>WEB</w:t>
      </w:r>
      <w:r>
        <w:rPr>
          <w:rFonts w:hint="eastAsia"/>
        </w:rPr>
        <w:t>认证</w:t>
      </w:r>
      <w:bookmarkEnd w:id="8288"/>
      <w:bookmarkEnd w:id="8289"/>
      <w:bookmarkEnd w:id="8290"/>
      <w:bookmarkEnd w:id="8291"/>
      <w:bookmarkEnd w:id="8292"/>
      <w:bookmarkEnd w:id="8293"/>
      <w:bookmarkEnd w:id="8294"/>
      <w:bookmarkEnd w:id="8295"/>
      <w:bookmarkEnd w:id="8296"/>
      <w:bookmarkEnd w:id="8297"/>
      <w:bookmarkEnd w:id="8298"/>
    </w:p>
    <w:p w14:paraId="361505E3">
      <w:r>
        <w:rPr>
          <w:rFonts w:hint="eastAsia"/>
        </w:rPr>
        <w:t>在导航栏中选择“用户管理&gt;认证管理&gt;认证方式 &gt; 本地</w:t>
      </w:r>
      <w:r>
        <w:t>WEB</w:t>
      </w:r>
      <w:r>
        <w:rPr>
          <w:rFonts w:hint="eastAsia"/>
        </w:rPr>
        <w:t>认证”，进入本地</w:t>
      </w:r>
      <w:r>
        <w:t>WEB</w:t>
      </w:r>
      <w:r>
        <w:rPr>
          <w:rFonts w:hint="eastAsia"/>
        </w:rPr>
        <w:t>认证配置页面，页面显示了当前的本地</w:t>
      </w:r>
      <w:r>
        <w:t>WEB</w:t>
      </w:r>
      <w:r>
        <w:rPr>
          <w:rFonts w:hint="eastAsia"/>
        </w:rPr>
        <w:t>认证配置，如</w:t>
      </w:r>
      <w:r>
        <w:rPr>
          <w:color w:val="0000FF"/>
          <w:u w:val="single"/>
        </w:rPr>
        <w:fldChar w:fldCharType="begin"/>
      </w:r>
      <w:r>
        <w:instrText xml:space="preserve"> </w:instrText>
      </w:r>
      <w:r>
        <w:rPr>
          <w:rFonts w:hint="eastAsia"/>
        </w:rPr>
        <w:instrText xml:space="preserve">REF _Ref5642918 \r \h</w:instrText>
      </w:r>
      <w:r>
        <w:instrText xml:space="preserve"> </w:instrText>
      </w:r>
      <w:r>
        <w:rPr>
          <w:color w:val="0000FF"/>
          <w:u w:val="single"/>
        </w:rPr>
        <w:fldChar w:fldCharType="separate"/>
      </w:r>
      <w:r>
        <w:rPr>
          <w:rFonts w:hint="eastAsia"/>
        </w:rPr>
        <w:t>图31-29</w:t>
      </w:r>
      <w:r>
        <w:rPr>
          <w:color w:val="0000FF"/>
          <w:u w:val="single"/>
        </w:rPr>
        <w:fldChar w:fldCharType="end"/>
      </w:r>
      <w:r>
        <w:rPr>
          <w:rFonts w:hint="eastAsia"/>
        </w:rPr>
        <w:t>所示。</w:t>
      </w:r>
    </w:p>
    <w:p w14:paraId="5F8F941A">
      <w:pPr>
        <w:pStyle w:val="188"/>
      </w:pPr>
      <w:bookmarkStart w:id="8299" w:name="_Ref5642918"/>
      <w:bookmarkStart w:id="8300" w:name="_Toc141874792"/>
      <w:r>
        <w:t>本地WEB认证配置页面</w:t>
      </w:r>
      <w:r>
        <w:rPr>
          <w:rFonts w:hint="eastAsia"/>
        </w:rPr>
        <w:t>(允许重复登录)</w:t>
      </w:r>
      <w:bookmarkEnd w:id="8299"/>
      <w:bookmarkEnd w:id="8300"/>
    </w:p>
    <w:p w14:paraId="2231A3F5">
      <w:pPr>
        <w:pStyle w:val="175"/>
      </w:pPr>
      <w:r>
        <w:drawing>
          <wp:inline distT="0" distB="0" distL="0" distR="0">
            <wp:extent cx="5086350" cy="4656455"/>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icPr>
                  <pic:blipFill>
                    <a:blip r:embed="rId1013"/>
                    <a:stretch>
                      <a:fillRect/>
                    </a:stretch>
                  </pic:blipFill>
                  <pic:spPr>
                    <a:xfrm>
                      <a:off x="0" y="0"/>
                      <a:ext cx="5093359" cy="4663232"/>
                    </a:xfrm>
                    <a:prstGeom prst="rect">
                      <a:avLst/>
                    </a:prstGeom>
                  </pic:spPr>
                </pic:pic>
              </a:graphicData>
            </a:graphic>
          </wp:inline>
        </w:drawing>
      </w:r>
    </w:p>
    <w:p w14:paraId="656BA0CE"/>
    <w:p w14:paraId="6D04DE84">
      <w:r>
        <w:rPr>
          <w:rFonts w:hint="eastAsia"/>
        </w:rPr>
        <w:t>系统默认选择允许重复登录，如果选择单一账号登录点选框，页面如</w:t>
      </w:r>
      <w:r>
        <w:rPr>
          <w:color w:val="0000FF"/>
          <w:u w:val="single"/>
        </w:rPr>
        <w:fldChar w:fldCharType="begin"/>
      </w:r>
      <w:r>
        <w:instrText xml:space="preserve"> </w:instrText>
      </w:r>
      <w:r>
        <w:rPr>
          <w:rFonts w:hint="eastAsia"/>
        </w:rPr>
        <w:instrText xml:space="preserve">REF _Ref5643049 \r \h</w:instrText>
      </w:r>
      <w:r>
        <w:instrText xml:space="preserve"> </w:instrText>
      </w:r>
      <w:r>
        <w:rPr>
          <w:color w:val="0000FF"/>
          <w:u w:val="single"/>
        </w:rPr>
        <w:fldChar w:fldCharType="separate"/>
      </w:r>
      <w:r>
        <w:rPr>
          <w:rFonts w:hint="eastAsia"/>
        </w:rPr>
        <w:t>图31-30</w:t>
      </w:r>
      <w:r>
        <w:rPr>
          <w:color w:val="0000FF"/>
          <w:u w:val="single"/>
        </w:rPr>
        <w:fldChar w:fldCharType="end"/>
      </w:r>
      <w:r>
        <w:rPr>
          <w:rFonts w:hint="eastAsia"/>
        </w:rPr>
        <w:t>所示。</w:t>
      </w:r>
    </w:p>
    <w:p w14:paraId="6ED96C6E">
      <w:pPr>
        <w:pStyle w:val="188"/>
      </w:pPr>
      <w:bookmarkStart w:id="8301" w:name="_Ref5643049"/>
      <w:bookmarkStart w:id="8302" w:name="_Toc141874793"/>
      <w:r>
        <w:t>本地WEB认证配置页面</w:t>
      </w:r>
      <w:r>
        <w:rPr>
          <w:rFonts w:hint="eastAsia"/>
        </w:rPr>
        <w:t>(单一账号登录)</w:t>
      </w:r>
      <w:bookmarkEnd w:id="8301"/>
      <w:bookmarkEnd w:id="8302"/>
    </w:p>
    <w:p w14:paraId="2621A92E">
      <w:pPr>
        <w:spacing w:before="79" w:after="79"/>
      </w:pPr>
      <w:r>
        <w:drawing>
          <wp:inline distT="0" distB="0" distL="0" distR="0">
            <wp:extent cx="5314950" cy="4828540"/>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1014"/>
                    <a:stretch>
                      <a:fillRect/>
                    </a:stretch>
                  </pic:blipFill>
                  <pic:spPr>
                    <a:xfrm>
                      <a:off x="0" y="0"/>
                      <a:ext cx="5316273" cy="4829817"/>
                    </a:xfrm>
                    <a:prstGeom prst="rect">
                      <a:avLst/>
                    </a:prstGeom>
                  </pic:spPr>
                </pic:pic>
              </a:graphicData>
            </a:graphic>
          </wp:inline>
        </w:drawing>
      </w:r>
    </w:p>
    <w:p w14:paraId="74640EDE"/>
    <w:p w14:paraId="3D9B4D97">
      <w:r>
        <w:rPr>
          <w:rFonts w:hint="eastAsia"/>
        </w:rPr>
        <w:t>页面的详细说明如</w:t>
      </w:r>
      <w:r>
        <w:rPr>
          <w:color w:val="0000FF"/>
          <w:u w:val="single"/>
        </w:rPr>
        <w:fldChar w:fldCharType="begin"/>
      </w:r>
      <w:r>
        <w:instrText xml:space="preserve"> </w:instrText>
      </w:r>
      <w:r>
        <w:rPr>
          <w:rFonts w:hint="eastAsia"/>
        </w:rPr>
        <w:instrText xml:space="preserve">REF _Ref6233838 \r \h</w:instrText>
      </w:r>
      <w:r>
        <w:instrText xml:space="preserve"> </w:instrText>
      </w:r>
      <w:r>
        <w:rPr>
          <w:color w:val="0000FF"/>
          <w:u w:val="single"/>
        </w:rPr>
        <w:fldChar w:fldCharType="separate"/>
      </w:r>
      <w:r>
        <w:rPr>
          <w:rFonts w:hint="eastAsia"/>
        </w:rPr>
        <w:t>表31-1</w:t>
      </w:r>
      <w:r>
        <w:rPr>
          <w:color w:val="0000FF"/>
          <w:u w:val="single"/>
        </w:rPr>
        <w:fldChar w:fldCharType="end"/>
      </w:r>
      <w:r>
        <w:rPr>
          <w:rFonts w:hint="eastAsia"/>
        </w:rPr>
        <w:t>所示。</w:t>
      </w:r>
    </w:p>
    <w:p w14:paraId="09FC65E9">
      <w:pPr>
        <w:pStyle w:val="183"/>
      </w:pPr>
      <w:bookmarkStart w:id="8303" w:name="_Toc141875563"/>
      <w:bookmarkStart w:id="8304" w:name="_Ref6233838"/>
      <w:r>
        <w:rPr>
          <w:rFonts w:hint="eastAsia"/>
        </w:rPr>
        <w:t>本地WEB认证配置详细说明</w:t>
      </w:r>
      <w:bookmarkEnd w:id="8303"/>
      <w:bookmarkEnd w:id="8304"/>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951"/>
        <w:gridCol w:w="7063"/>
      </w:tblGrid>
      <w:tr w14:paraId="175AE8C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51" w:type="dxa"/>
            <w:tcBorders>
              <w:tl2br w:val="nil"/>
              <w:tr2bl w:val="nil"/>
            </w:tcBorders>
            <w:shd w:val="clear" w:color="auto" w:fill="538135" w:themeFill="accent6" w:themeFillShade="BF"/>
            <w:vAlign w:val="center"/>
          </w:tcPr>
          <w:p w14:paraId="32DE5D22">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7063" w:type="dxa"/>
            <w:tcBorders>
              <w:tl2br w:val="nil"/>
              <w:tr2bl w:val="nil"/>
            </w:tcBorders>
            <w:shd w:val="clear" w:color="auto" w:fill="538135" w:themeFill="accent6" w:themeFillShade="BF"/>
            <w:vAlign w:val="center"/>
          </w:tcPr>
          <w:p w14:paraId="17A7B1C1">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00AD8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51" w:type="dxa"/>
            <w:shd w:val="clear" w:color="auto" w:fill="auto"/>
          </w:tcPr>
          <w:p w14:paraId="15A09520">
            <w:pPr>
              <w:pStyle w:val="150"/>
            </w:pPr>
            <w:r>
              <w:rPr>
                <w:rFonts w:hint="eastAsia"/>
              </w:rPr>
              <w:t>用户唯一性检查</w:t>
            </w:r>
          </w:p>
        </w:tc>
        <w:tc>
          <w:tcPr>
            <w:tcW w:w="7063" w:type="dxa"/>
            <w:shd w:val="clear" w:color="auto" w:fill="auto"/>
          </w:tcPr>
          <w:p w14:paraId="4C85B202">
            <w:pPr>
              <w:pStyle w:val="150"/>
            </w:pPr>
            <w:r>
              <w:rPr>
                <w:rFonts w:hint="eastAsia"/>
              </w:rPr>
              <w:t>用户</w:t>
            </w:r>
            <w:r>
              <w:t>唯一性检查的配置方式。</w:t>
            </w:r>
          </w:p>
        </w:tc>
      </w:tr>
      <w:tr w14:paraId="0D3F8B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51" w:type="dxa"/>
            <w:shd w:val="clear" w:color="auto" w:fill="auto"/>
          </w:tcPr>
          <w:p w14:paraId="7B154F27">
            <w:pPr>
              <w:pStyle w:val="150"/>
            </w:pPr>
            <w:r>
              <w:rPr>
                <w:rFonts w:hint="eastAsia"/>
              </w:rPr>
              <w:t>单一账户登录</w:t>
            </w:r>
          </w:p>
        </w:tc>
        <w:tc>
          <w:tcPr>
            <w:tcW w:w="7063" w:type="dxa"/>
            <w:shd w:val="clear" w:color="auto" w:fill="auto"/>
          </w:tcPr>
          <w:p w14:paraId="7B8A8C91">
            <w:pPr>
              <w:pStyle w:val="150"/>
            </w:pPr>
            <w:r>
              <w:rPr>
                <w:rFonts w:hint="eastAsia"/>
              </w:rPr>
              <w:t>同一时间只允许同一账号登录一次。</w:t>
            </w:r>
          </w:p>
        </w:tc>
      </w:tr>
      <w:tr w14:paraId="198380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51" w:type="dxa"/>
            <w:shd w:val="clear" w:color="auto" w:fill="auto"/>
          </w:tcPr>
          <w:p w14:paraId="59CB9BA9">
            <w:pPr>
              <w:pStyle w:val="150"/>
            </w:pPr>
            <w:r>
              <w:rPr>
                <w:rFonts w:hint="eastAsia"/>
              </w:rPr>
              <w:t>踢出已登录用户</w:t>
            </w:r>
          </w:p>
        </w:tc>
        <w:tc>
          <w:tcPr>
            <w:tcW w:w="7063" w:type="dxa"/>
            <w:shd w:val="clear" w:color="auto" w:fill="auto"/>
          </w:tcPr>
          <w:p w14:paraId="731F7975">
            <w:pPr>
              <w:pStyle w:val="150"/>
            </w:pPr>
            <w:r>
              <w:rPr>
                <w:rFonts w:hint="eastAsia"/>
              </w:rPr>
              <w:t>如果新用户登录，老的用户将会被踢下线。</w:t>
            </w:r>
          </w:p>
        </w:tc>
      </w:tr>
      <w:tr w14:paraId="068C28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20" w:hRule="atLeast"/>
        </w:trPr>
        <w:tc>
          <w:tcPr>
            <w:tcW w:w="1951" w:type="dxa"/>
            <w:shd w:val="clear" w:color="auto" w:fill="auto"/>
          </w:tcPr>
          <w:p w14:paraId="64DC161A">
            <w:pPr>
              <w:pStyle w:val="150"/>
            </w:pPr>
            <w:r>
              <w:rPr>
                <w:rFonts w:hint="eastAsia"/>
              </w:rPr>
              <w:t>禁止同名用户再次登录</w:t>
            </w:r>
          </w:p>
        </w:tc>
        <w:tc>
          <w:tcPr>
            <w:tcW w:w="7063" w:type="dxa"/>
            <w:shd w:val="clear" w:color="auto" w:fill="auto"/>
          </w:tcPr>
          <w:p w14:paraId="6A48D123">
            <w:pPr>
              <w:pStyle w:val="150"/>
            </w:pPr>
            <w:r>
              <w:rPr>
                <w:rFonts w:hint="eastAsia"/>
              </w:rPr>
              <w:t>如果老用户已经登录，新用户将不能以此用户名登录。</w:t>
            </w:r>
          </w:p>
        </w:tc>
      </w:tr>
      <w:tr w14:paraId="2BFE271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51" w:type="dxa"/>
            <w:shd w:val="clear" w:color="auto" w:fill="auto"/>
          </w:tcPr>
          <w:p w14:paraId="4A0AAD37">
            <w:pPr>
              <w:pStyle w:val="150"/>
            </w:pPr>
            <w:r>
              <w:rPr>
                <w:rFonts w:hint="eastAsia"/>
              </w:rPr>
              <w:t>允许重复登录</w:t>
            </w:r>
          </w:p>
        </w:tc>
        <w:tc>
          <w:tcPr>
            <w:tcW w:w="7063" w:type="dxa"/>
            <w:shd w:val="clear" w:color="auto" w:fill="auto"/>
          </w:tcPr>
          <w:p w14:paraId="16A3FBC3">
            <w:pPr>
              <w:pStyle w:val="150"/>
            </w:pPr>
            <w:r>
              <w:rPr>
                <w:rFonts w:hint="eastAsia"/>
              </w:rPr>
              <w:t>同一时间允许同一账号登录多次。</w:t>
            </w:r>
          </w:p>
        </w:tc>
      </w:tr>
      <w:tr w14:paraId="0D0B3C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51" w:type="dxa"/>
            <w:shd w:val="clear" w:color="auto" w:fill="auto"/>
          </w:tcPr>
          <w:p w14:paraId="502E0FCB">
            <w:pPr>
              <w:pStyle w:val="150"/>
            </w:pPr>
            <w:r>
              <w:rPr>
                <w:rFonts w:hint="eastAsia"/>
              </w:rPr>
              <w:t>允许个数</w:t>
            </w:r>
          </w:p>
        </w:tc>
        <w:tc>
          <w:tcPr>
            <w:tcW w:w="7063" w:type="dxa"/>
            <w:shd w:val="clear" w:color="auto" w:fill="auto"/>
          </w:tcPr>
          <w:p w14:paraId="1220BD4F">
            <w:pPr>
              <w:pStyle w:val="150"/>
            </w:pPr>
            <w:r>
              <w:rPr>
                <w:rFonts w:hint="eastAsia"/>
              </w:rPr>
              <w:t>允许同一账号登录的次数，可以选择无限制，也可以设定2到1000的数值。</w:t>
            </w:r>
          </w:p>
        </w:tc>
      </w:tr>
      <w:tr w14:paraId="0A538DF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51" w:type="dxa"/>
            <w:shd w:val="clear" w:color="auto" w:fill="auto"/>
          </w:tcPr>
          <w:p w14:paraId="030A47C3">
            <w:pPr>
              <w:pStyle w:val="150"/>
            </w:pPr>
            <w:r>
              <w:rPr>
                <w:rFonts w:hint="eastAsia"/>
              </w:rPr>
              <w:t>加密认证</w:t>
            </w:r>
          </w:p>
        </w:tc>
        <w:tc>
          <w:tcPr>
            <w:tcW w:w="7063" w:type="dxa"/>
            <w:shd w:val="clear" w:color="auto" w:fill="auto"/>
          </w:tcPr>
          <w:p w14:paraId="3C6FC34E">
            <w:pPr>
              <w:pStyle w:val="150"/>
            </w:pPr>
            <w:r>
              <w:rPr>
                <w:rFonts w:hint="eastAsia"/>
              </w:rPr>
              <w:t>勾选后，认证过程中对终端与设备之间的认证报文进行加密处理。</w:t>
            </w:r>
          </w:p>
          <w:p w14:paraId="26A45B69">
            <w:pPr>
              <w:pStyle w:val="150"/>
            </w:pPr>
            <w:r>
              <w:rPr>
                <w:rFonts w:hint="eastAsia"/>
              </w:rPr>
              <w:t>如密码存储在LDAP、RADIUS等第三方服务器上，终端与设备之间的认证报文进行加密处理，但设备与服务器之间的交互报文不加密。</w:t>
            </w:r>
          </w:p>
        </w:tc>
      </w:tr>
      <w:tr w14:paraId="7F5ADF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51" w:type="dxa"/>
            <w:shd w:val="clear" w:color="auto" w:fill="auto"/>
          </w:tcPr>
          <w:p w14:paraId="427AB0EC">
            <w:pPr>
              <w:pStyle w:val="150"/>
            </w:pPr>
            <w:r>
              <w:rPr>
                <w:rFonts w:hint="eastAsia"/>
              </w:rPr>
              <w:t>客户端超时</w:t>
            </w:r>
          </w:p>
        </w:tc>
        <w:tc>
          <w:tcPr>
            <w:tcW w:w="7063" w:type="dxa"/>
            <w:shd w:val="clear" w:color="auto" w:fill="auto"/>
          </w:tcPr>
          <w:p w14:paraId="77E2264C">
            <w:pPr>
              <w:pStyle w:val="150"/>
            </w:pPr>
            <w:r>
              <w:rPr>
                <w:rFonts w:hint="eastAsia"/>
              </w:rPr>
              <w:t>配置客户端超时方式和超时时间，超时方式包含：心跳超时、流量超时。</w:t>
            </w:r>
          </w:p>
          <w:p w14:paraId="39E42646">
            <w:pPr>
              <w:pStyle w:val="150"/>
            </w:pPr>
            <w:r>
              <w:rPr>
                <w:rFonts w:hint="eastAsia"/>
              </w:rPr>
              <w:t>心跳</w:t>
            </w:r>
            <w:r>
              <w:t>超时</w:t>
            </w:r>
            <w:r>
              <w:rPr>
                <w:rFonts w:hint="eastAsia"/>
              </w:rPr>
              <w:t>：用户</w:t>
            </w:r>
            <w:r>
              <w:t>认证上线</w:t>
            </w:r>
            <w:r>
              <w:rPr>
                <w:rFonts w:hint="eastAsia"/>
              </w:rPr>
              <w:t>后</w:t>
            </w:r>
            <w:r>
              <w:t>的页面会定期发心跳报文，如果页面关闭心跳报文会停止</w:t>
            </w:r>
            <w:r>
              <w:rPr>
                <w:rFonts w:hint="eastAsia"/>
              </w:rPr>
              <w:t>发</w:t>
            </w:r>
            <w:r>
              <w:t>送，如果超过超时时间设备未收到心跳报文会将用户踢下线</w:t>
            </w:r>
            <w:r>
              <w:rPr>
                <w:rFonts w:hint="eastAsia"/>
              </w:rPr>
              <w:t>发</w:t>
            </w:r>
            <w:r>
              <w:t>送</w:t>
            </w:r>
            <w:r>
              <w:rPr>
                <w:rFonts w:hint="eastAsia"/>
              </w:rPr>
              <w:t>；</w:t>
            </w:r>
          </w:p>
          <w:p w14:paraId="009D1E3B">
            <w:pPr>
              <w:pStyle w:val="150"/>
            </w:pPr>
            <w:r>
              <w:rPr>
                <w:rFonts w:hint="eastAsia"/>
              </w:rPr>
              <w:t>流量</w:t>
            </w:r>
            <w:r>
              <w:t>超时：设备检测用户</w:t>
            </w:r>
            <w:r>
              <w:rPr>
                <w:rFonts w:hint="eastAsia"/>
              </w:rPr>
              <w:t>产</w:t>
            </w:r>
            <w:r>
              <w:t>生流量，如果超过超时时间都未检测到用户流量会将用户踢下线</w:t>
            </w:r>
            <w:r>
              <w:rPr>
                <w:rFonts w:hint="eastAsia"/>
              </w:rPr>
              <w:t xml:space="preserve"> ；</w:t>
            </w:r>
          </w:p>
          <w:p w14:paraId="269D65E6">
            <w:pPr>
              <w:pStyle w:val="150"/>
            </w:pPr>
            <w:r>
              <w:rPr>
                <w:rFonts w:hint="eastAsia"/>
              </w:rPr>
              <w:t>不</w:t>
            </w:r>
            <w:r>
              <w:t>勾选</w:t>
            </w:r>
            <w:r>
              <w:rPr>
                <w:rFonts w:hint="eastAsia"/>
              </w:rPr>
              <w:t>超时</w:t>
            </w:r>
            <w:r>
              <w:t>时间默认不超时</w:t>
            </w:r>
          </w:p>
        </w:tc>
      </w:tr>
      <w:tr w14:paraId="39C97E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51" w:type="dxa"/>
            <w:shd w:val="clear" w:color="auto" w:fill="auto"/>
          </w:tcPr>
          <w:p w14:paraId="5C367663">
            <w:pPr>
              <w:pStyle w:val="150"/>
            </w:pPr>
            <w:r>
              <w:rPr>
                <w:rFonts w:hint="eastAsia"/>
              </w:rPr>
              <w:t>强制重登录间隔</w:t>
            </w:r>
          </w:p>
        </w:tc>
        <w:tc>
          <w:tcPr>
            <w:tcW w:w="7063" w:type="dxa"/>
            <w:shd w:val="clear" w:color="auto" w:fill="auto"/>
          </w:tcPr>
          <w:p w14:paraId="3068A688">
            <w:pPr>
              <w:pStyle w:val="150"/>
            </w:pPr>
            <w:r>
              <w:rPr>
                <w:rFonts w:hint="eastAsia"/>
              </w:rPr>
              <w:t>WEB强制重新认证时间。如果</w:t>
            </w:r>
            <w:r>
              <w:t>开启无感知，用户</w:t>
            </w:r>
            <w:r>
              <w:rPr>
                <w:rFonts w:hint="eastAsia"/>
              </w:rPr>
              <w:t>被</w:t>
            </w:r>
            <w:r>
              <w:t>强制</w:t>
            </w:r>
            <w:r>
              <w:rPr>
                <w:rFonts w:hint="eastAsia"/>
              </w:rPr>
              <w:t>重</w:t>
            </w:r>
            <w:r>
              <w:t>登录踢下线后，会重新匹配无感知上线</w:t>
            </w:r>
            <w:r>
              <w:rPr>
                <w:rFonts w:hint="eastAsia"/>
              </w:rPr>
              <w:t>。</w:t>
            </w:r>
          </w:p>
        </w:tc>
      </w:tr>
      <w:tr w14:paraId="32D395A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51" w:type="dxa"/>
            <w:shd w:val="clear" w:color="auto" w:fill="auto"/>
          </w:tcPr>
          <w:p w14:paraId="0213798A">
            <w:pPr>
              <w:pStyle w:val="150"/>
            </w:pPr>
            <w:r>
              <w:rPr>
                <w:rFonts w:hint="eastAsia"/>
              </w:rPr>
              <w:t>无感知</w:t>
            </w:r>
          </w:p>
        </w:tc>
        <w:tc>
          <w:tcPr>
            <w:tcW w:w="7063" w:type="dxa"/>
            <w:shd w:val="clear" w:color="auto" w:fill="auto"/>
          </w:tcPr>
          <w:p w14:paraId="402A5389">
            <w:pPr>
              <w:pStyle w:val="150"/>
            </w:pPr>
            <w:r>
              <w:rPr>
                <w:rFonts w:hint="eastAsia"/>
              </w:rPr>
              <w:t>用户无感知认证功能及超时时间，默认值10080分钟，当认证用户上线</w:t>
            </w:r>
            <w:r>
              <w:t>后会</w:t>
            </w:r>
            <w:r>
              <w:rPr>
                <w:rFonts w:hint="eastAsia"/>
              </w:rPr>
              <w:t>将</w:t>
            </w:r>
            <w:r>
              <w:t>用户</w:t>
            </w:r>
            <w:r>
              <w:rPr>
                <w:rFonts w:hint="eastAsia"/>
              </w:rPr>
              <w:t>MAC加入</w:t>
            </w:r>
            <w:r>
              <w:t>无感知列表，如果用户因超时下线</w:t>
            </w:r>
            <w:r>
              <w:rPr>
                <w:rFonts w:hint="eastAsia"/>
              </w:rPr>
              <w:t>，在</w:t>
            </w:r>
            <w:r>
              <w:t>无</w:t>
            </w:r>
            <w:r>
              <w:rPr>
                <w:rFonts w:hint="eastAsia"/>
              </w:rPr>
              <w:t>感知周期</w:t>
            </w:r>
            <w:r>
              <w:t>内，用户再次</w:t>
            </w:r>
            <w:r>
              <w:rPr>
                <w:rFonts w:hint="eastAsia"/>
              </w:rPr>
              <w:t>上</w:t>
            </w:r>
            <w:r>
              <w:t>网产生</w:t>
            </w:r>
            <w:r>
              <w:rPr>
                <w:rFonts w:hint="eastAsia"/>
              </w:rPr>
              <w:t>流量</w:t>
            </w:r>
            <w:r>
              <w:t>时，会</w:t>
            </w:r>
            <w:r>
              <w:rPr>
                <w:rFonts w:hint="eastAsia"/>
              </w:rPr>
              <w:t>直接匹配</w:t>
            </w:r>
            <w:r>
              <w:t>无感知列表上线，无需</w:t>
            </w:r>
            <w:r>
              <w:rPr>
                <w:rFonts w:hint="eastAsia"/>
              </w:rPr>
              <w:t>再</w:t>
            </w:r>
            <w:r>
              <w:t>次认证。</w:t>
            </w:r>
          </w:p>
        </w:tc>
      </w:tr>
      <w:tr w14:paraId="3E7C91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51" w:type="dxa"/>
            <w:shd w:val="clear" w:color="auto" w:fill="auto"/>
          </w:tcPr>
          <w:p w14:paraId="7A20DAD7">
            <w:pPr>
              <w:pStyle w:val="150"/>
            </w:pPr>
            <w:r>
              <w:t>页面跳转设置</w:t>
            </w:r>
          </w:p>
        </w:tc>
        <w:tc>
          <w:tcPr>
            <w:tcW w:w="7063" w:type="dxa"/>
            <w:shd w:val="clear" w:color="auto" w:fill="auto"/>
          </w:tcPr>
          <w:p w14:paraId="59786CA1">
            <w:pPr>
              <w:pStyle w:val="150"/>
            </w:pPr>
            <w:r>
              <w:t>之前访问的页面</w:t>
            </w:r>
            <w:r>
              <w:rPr>
                <w:rFonts w:hint="eastAsia"/>
              </w:rPr>
              <w:t>：WEB认证成功后跳转到用户认证之前访问的页面。</w:t>
            </w:r>
          </w:p>
          <w:p w14:paraId="7BEC4682">
            <w:pPr>
              <w:pStyle w:val="150"/>
            </w:pPr>
            <w:r>
              <w:rPr>
                <w:rFonts w:hint="eastAsia"/>
              </w:rPr>
              <w:t>重定向URL：WEB认证成功后将重定向到指定的URL资源页面。</w:t>
            </w:r>
          </w:p>
          <w:p w14:paraId="3259EA41">
            <w:pPr>
              <w:pStyle w:val="150"/>
            </w:pPr>
            <w:r>
              <w:t>认证结果页面</w:t>
            </w:r>
            <w:r>
              <w:rPr>
                <w:rFonts w:hint="eastAsia"/>
              </w:rPr>
              <w:t>：WEB认证后跳转到认证登录结果页面。</w:t>
            </w:r>
          </w:p>
        </w:tc>
      </w:tr>
      <w:tr w14:paraId="4270668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51" w:type="dxa"/>
            <w:shd w:val="clear" w:color="auto" w:fill="auto"/>
          </w:tcPr>
          <w:p w14:paraId="4BE156C7">
            <w:pPr>
              <w:pStyle w:val="150"/>
            </w:pPr>
            <w:r>
              <w:t>找回密码</w:t>
            </w:r>
          </w:p>
        </w:tc>
        <w:tc>
          <w:tcPr>
            <w:tcW w:w="7063" w:type="dxa"/>
            <w:shd w:val="clear" w:color="auto" w:fill="auto"/>
          </w:tcPr>
          <w:p w14:paraId="1ECB00C3">
            <w:pPr>
              <w:pStyle w:val="150"/>
            </w:pPr>
            <w:r>
              <w:rPr>
                <w:rFonts w:hint="eastAsia"/>
              </w:rPr>
              <w:t>勾选后启用找回密码功能，本地用户在进行本地WEB认证时，点击“忘记密码”可以通过绑定的手机号进行密码找回操作认证时忘记密码。</w:t>
            </w:r>
          </w:p>
          <w:p w14:paraId="6CE904F7">
            <w:pPr>
              <w:pStyle w:val="150"/>
            </w:pPr>
            <w:r>
              <w:t>此功能前提是本地用户已绑定注册了手机号码</w:t>
            </w:r>
            <w:r>
              <w:rPr>
                <w:rFonts w:hint="eastAsia"/>
              </w:rPr>
              <w:t>，</w:t>
            </w:r>
            <w:r>
              <w:t>相关配置请参考</w:t>
            </w:r>
            <w:r>
              <w:rPr>
                <w:rFonts w:hint="eastAsia"/>
              </w:rPr>
              <w:t xml:space="preserve"> </w:t>
            </w:r>
            <w:r>
              <w:fldChar w:fldCharType="begin"/>
            </w:r>
            <w:r>
              <w:instrText xml:space="preserve"> </w:instrText>
            </w:r>
            <w:r>
              <w:rPr>
                <w:rFonts w:hint="eastAsia"/>
              </w:rPr>
              <w:instrText xml:space="preserve">REF _Ref167442931 \h</w:instrText>
            </w:r>
            <w:r>
              <w:instrText xml:space="preserve">  \* MERGEFORMAT </w:instrText>
            </w:r>
            <w:r>
              <w:fldChar w:fldCharType="separate"/>
            </w:r>
            <w:r>
              <w:rPr>
                <w:rFonts w:hint="eastAsia"/>
              </w:rPr>
              <w:t>创建用户和用户组</w:t>
            </w:r>
            <w:r>
              <w:fldChar w:fldCharType="end"/>
            </w:r>
            <w:r>
              <w:rPr>
                <w:rFonts w:hint="eastAsia"/>
              </w:rPr>
              <w:t>。</w:t>
            </w:r>
          </w:p>
        </w:tc>
      </w:tr>
      <w:tr w14:paraId="7D5644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51" w:type="dxa"/>
            <w:shd w:val="clear" w:color="auto" w:fill="auto"/>
          </w:tcPr>
          <w:p w14:paraId="6D1AFB92">
            <w:pPr>
              <w:pStyle w:val="150"/>
            </w:pPr>
            <w:r>
              <w:t>短信对象</w:t>
            </w:r>
          </w:p>
        </w:tc>
        <w:tc>
          <w:tcPr>
            <w:tcW w:w="7063" w:type="dxa"/>
            <w:shd w:val="clear" w:color="auto" w:fill="auto"/>
          </w:tcPr>
          <w:p w14:paraId="3F3213C3">
            <w:pPr>
              <w:pStyle w:val="150"/>
            </w:pPr>
            <w:r>
              <w:rPr>
                <w:rFonts w:hint="eastAsia"/>
              </w:rPr>
              <w:t>勾选找回密码后，需要选择已配置好的短信对象，</w:t>
            </w:r>
            <w:r>
              <w:t>或者单击</w:t>
            </w:r>
            <w:r>
              <w:rPr>
                <w:rFonts w:hint="eastAsia"/>
              </w:rPr>
              <w:t>“新建”创建，短信服务对象的配置请参考</w:t>
            </w:r>
            <w:r>
              <w:fldChar w:fldCharType="begin"/>
            </w:r>
            <w:r>
              <w:instrText xml:space="preserve"> </w:instrText>
            </w:r>
            <w:r>
              <w:rPr>
                <w:rFonts w:hint="eastAsia"/>
              </w:rPr>
              <w:instrText xml:space="preserve">REF _Ref167438935 \h</w:instrText>
            </w:r>
            <w:r>
              <w:instrText xml:space="preserve">  \* MERGEFORMAT </w:instrText>
            </w:r>
            <w:r>
              <w:fldChar w:fldCharType="separate"/>
            </w:r>
            <w:r>
              <w:rPr>
                <w:rFonts w:hint="eastAsia"/>
              </w:rPr>
              <w:t>配置短信服务</w:t>
            </w:r>
            <w:r>
              <w:fldChar w:fldCharType="end"/>
            </w:r>
            <w:r>
              <w:rPr>
                <w:rFonts w:hint="eastAsia"/>
              </w:rPr>
              <w:t>。</w:t>
            </w:r>
          </w:p>
          <w:p w14:paraId="7F2D0643">
            <w:pPr>
              <w:pStyle w:val="150"/>
            </w:pPr>
            <w:r>
              <w:rPr>
                <w:rFonts w:hint="eastAsia"/>
              </w:rPr>
              <w:t>用于找回密码时根据手机号码获取验证码，需保证短信通知服务器可以正常发送验证码。</w:t>
            </w:r>
          </w:p>
        </w:tc>
      </w:tr>
    </w:tbl>
    <w:p w14:paraId="71818A45"/>
    <w:p w14:paraId="11A26DE2">
      <w:r>
        <w:rPr>
          <w:rFonts w:hint="eastAsia"/>
        </w:rPr>
        <w:t>输入完毕后，点击</w:t>
      </w:r>
      <w:r>
        <w:t>&lt;</w:t>
      </w:r>
      <w:r>
        <w:rPr>
          <w:rFonts w:hint="eastAsia"/>
        </w:rPr>
        <w:t>提交</w:t>
      </w:r>
      <w:r>
        <w:t>&gt;</w:t>
      </w:r>
      <w:r>
        <w:rPr>
          <w:rFonts w:hint="eastAsia"/>
        </w:rPr>
        <w:t>按钮，应用配置。</w:t>
      </w:r>
    </w:p>
    <w:p w14:paraId="45ED4D05"/>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7128C052">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020F0A6D">
            <w:pPr>
              <w:pStyle w:val="150"/>
              <w:adjustRightInd w:val="0"/>
              <w:snapToGrid w:val="0"/>
              <w:rPr>
                <w:color w:val="auto"/>
              </w:rPr>
            </w:pPr>
            <w:r>
              <w:rPr>
                <w:b/>
                <w:color w:val="auto"/>
              </w:rPr>
              <w:drawing>
                <wp:inline distT="0" distB="0" distL="0" distR="0">
                  <wp:extent cx="283210" cy="283210"/>
                  <wp:effectExtent l="0" t="0" r="2540" b="2540"/>
                  <wp:docPr id="925" name="图片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图片 925"/>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160FA48F">
            <w:pPr>
              <w:pStyle w:val="150"/>
              <w:adjustRightInd w:val="0"/>
              <w:snapToGrid w:val="0"/>
              <w:rPr>
                <w:color w:val="auto"/>
              </w:rPr>
            </w:pPr>
            <w:r>
              <w:rPr>
                <w:rFonts w:hint="eastAsia"/>
                <w:color w:val="auto"/>
              </w:rPr>
              <w:t>配置了用户的登录名、手机号、邮箱、微信Openid后，可以使用用户名、手机号、邮箱 、微信Openid进行本地WEB认证，认证成功后在线用户处显示本地用户名。</w:t>
            </w:r>
          </w:p>
        </w:tc>
      </w:tr>
    </w:tbl>
    <w:p w14:paraId="5FE9670E"/>
    <w:p w14:paraId="3BB08339">
      <w:pPr>
        <w:pStyle w:val="5"/>
      </w:pPr>
      <w:bookmarkStart w:id="8305" w:name="_Toc141873526"/>
      <w:bookmarkStart w:id="8306" w:name="_Toc142401042"/>
      <w:bookmarkStart w:id="8307" w:name="_Ref150528684"/>
      <w:bookmarkStart w:id="8308" w:name="_Toc172218290"/>
      <w:bookmarkStart w:id="8309" w:name="_Toc99561611"/>
      <w:bookmarkStart w:id="8310" w:name="_Toc194081171"/>
      <w:bookmarkStart w:id="8311" w:name="_Toc196728499"/>
      <w:bookmarkStart w:id="8312" w:name="_Toc9006657"/>
      <w:bookmarkStart w:id="8313" w:name="_Toc15485186"/>
      <w:bookmarkStart w:id="8314" w:name="_Toc23152950"/>
      <w:bookmarkStart w:id="8315" w:name="_Toc40276371"/>
      <w:r>
        <w:t>微信认证</w:t>
      </w:r>
      <w:bookmarkEnd w:id="8305"/>
      <w:bookmarkEnd w:id="8306"/>
      <w:bookmarkEnd w:id="8307"/>
      <w:bookmarkEnd w:id="8308"/>
      <w:bookmarkEnd w:id="8309"/>
      <w:bookmarkEnd w:id="8310"/>
      <w:bookmarkEnd w:id="8311"/>
    </w:p>
    <w:p w14:paraId="7DA6E357">
      <w:pPr>
        <w:pStyle w:val="6"/>
      </w:pPr>
      <w:r>
        <w:t>简介</w:t>
      </w:r>
    </w:p>
    <w:p w14:paraId="066C854F">
      <w:r>
        <w:t>微信认证支持两种认证方式：</w:t>
      </w:r>
    </w:p>
    <w:p w14:paraId="0C42CF31">
      <w:r>
        <w:t>通过认证URL认证。用户单击公众号指定的超链接（认证URL），该报文被设备截获，并与设备配置的认证URL进行对比，如果匹配则认证成功，并以终端IP为用户名上线。</w:t>
      </w:r>
    </w:p>
    <w:p w14:paraId="7A1333B5">
      <w:r>
        <w:t>通过小程序认证。用户授权小程序完成认证，小程序将获取的OpenID和手机号发给设备，设备以此将终端上线</w:t>
      </w:r>
      <w:r>
        <w:rPr>
          <w:rFonts w:hint="eastAsia"/>
        </w:rPr>
        <w:t>，支持公众号唤醒小程序方式或者浏览器唤醒小程序方式</w:t>
      </w:r>
      <w:r>
        <w:t>。</w:t>
      </w:r>
    </w:p>
    <w:p w14:paraId="1D580C16"/>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1164B8C9">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3F120BE7">
            <w:pPr>
              <w:pStyle w:val="150"/>
              <w:adjustRightInd w:val="0"/>
              <w:snapToGrid w:val="0"/>
              <w:rPr>
                <w:color w:val="auto"/>
              </w:rPr>
            </w:pPr>
            <w:r>
              <w:rPr>
                <w:b/>
                <w:color w:val="auto"/>
              </w:rPr>
              <w:drawing>
                <wp:inline distT="0" distB="0" distL="0" distR="0">
                  <wp:extent cx="283210" cy="283210"/>
                  <wp:effectExtent l="0" t="0" r="2540" b="2540"/>
                  <wp:docPr id="926" name="图片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图片 92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325F69A5">
            <w:pPr>
              <w:pStyle w:val="150"/>
              <w:adjustRightInd w:val="0"/>
              <w:snapToGrid w:val="0"/>
              <w:rPr>
                <w:color w:val="auto"/>
              </w:rPr>
            </w:pPr>
            <w:r>
              <w:rPr>
                <w:rFonts w:hint="eastAsia"/>
                <w:color w:val="auto"/>
              </w:rPr>
              <w:t>微信小程序功能已停止维护，建议更换其他认证方式或者自行开发配套的小程序。如需自行开发认证小程序，请联系技术服务人员获取相关接口文档。</w:t>
            </w:r>
          </w:p>
        </w:tc>
      </w:tr>
    </w:tbl>
    <w:p w14:paraId="18B49E45"/>
    <w:p w14:paraId="64288286">
      <w:pPr>
        <w:pStyle w:val="6"/>
      </w:pPr>
      <w:r>
        <w:t>原理描述</w:t>
      </w:r>
    </w:p>
    <w:p w14:paraId="012442A3">
      <w:pPr>
        <w:pStyle w:val="374"/>
        <w:spacing w:before="156" w:after="156"/>
        <w:ind w:firstLine="422"/>
        <w:rPr>
          <w:b/>
        </w:rPr>
      </w:pPr>
      <w:r>
        <w:rPr>
          <w:rFonts w:hint="eastAsia"/>
          <w:b/>
        </w:rPr>
        <w:t>通过认证</w:t>
      </w:r>
      <w:r>
        <w:rPr>
          <w:b/>
        </w:rPr>
        <w:t>URL</w:t>
      </w:r>
      <w:r>
        <w:rPr>
          <w:rFonts w:hint="eastAsia"/>
          <w:b/>
        </w:rPr>
        <w:t>认证的流程如下：</w:t>
      </w:r>
    </w:p>
    <w:p w14:paraId="671D0AE1">
      <w:pPr>
        <w:pStyle w:val="202"/>
        <w:rPr>
          <w:lang w:eastAsia="zh-CN"/>
        </w:rPr>
      </w:pPr>
      <w:r>
        <w:rPr>
          <w:lang w:eastAsia="zh-CN"/>
        </w:rPr>
        <w:t>用户访问外网触发弹出认证页面，认证页面说明认证的步骤以及商家公众号信息。</w:t>
      </w:r>
    </w:p>
    <w:p w14:paraId="60374543">
      <w:pPr>
        <w:pStyle w:val="202"/>
        <w:rPr>
          <w:lang w:eastAsia="zh-CN"/>
        </w:rPr>
      </w:pPr>
      <w:r>
        <w:rPr>
          <w:lang w:eastAsia="zh-CN"/>
        </w:rPr>
        <w:t>用户单击认证页面上的认证按钮，设备临时放通终端的流量，唤醒微信。</w:t>
      </w:r>
    </w:p>
    <w:p w14:paraId="4368F361">
      <w:pPr>
        <w:pStyle w:val="202"/>
        <w:rPr>
          <w:lang w:eastAsia="zh-CN"/>
        </w:rPr>
      </w:pPr>
      <w:r>
        <w:rPr>
          <w:lang w:eastAsia="zh-CN"/>
        </w:rPr>
        <w:t>用户根据认证页面的提示，手动搜索公众号并关注（也可以通过扫码）。然后在公众号中输入关键字（比如：我要上网）或单击菜单。</w:t>
      </w:r>
    </w:p>
    <w:p w14:paraId="2C4DBA7D">
      <w:pPr>
        <w:pStyle w:val="202"/>
        <w:rPr>
          <w:lang w:eastAsia="zh-CN"/>
        </w:rPr>
      </w:pPr>
      <w:r>
        <w:rPr>
          <w:lang w:eastAsia="zh-CN"/>
        </w:rPr>
        <w:t>公众平台根据之前的配置，对关键字或菜单请求返回认证URL，并向用户呈现为带超链接的文本信息（比如：点我上网）。</w:t>
      </w:r>
    </w:p>
    <w:p w14:paraId="3CF8169E">
      <w:pPr>
        <w:pStyle w:val="202"/>
        <w:rPr>
          <w:lang w:eastAsia="zh-CN"/>
        </w:rPr>
      </w:pPr>
      <w:r>
        <w:rPr>
          <w:lang w:eastAsia="zh-CN"/>
        </w:rPr>
        <w:t>用户单击该文本信息，微信对认证URL发起访问。</w:t>
      </w:r>
    </w:p>
    <w:p w14:paraId="148870A3">
      <w:pPr>
        <w:pStyle w:val="202"/>
        <w:rPr>
          <w:lang w:eastAsia="zh-CN"/>
        </w:rPr>
      </w:pPr>
      <w:r>
        <w:rPr>
          <w:lang w:eastAsia="zh-CN"/>
        </w:rPr>
        <w:t>设备劫持该请求，判断是否是微信流量、并与设备配置的认证URL进行匹配，并以终端的IP为用户名将用户上线，完成微信认证。</w:t>
      </w:r>
    </w:p>
    <w:p w14:paraId="5155CA65">
      <w:pPr>
        <w:pStyle w:val="374"/>
        <w:spacing w:before="156" w:after="156"/>
        <w:ind w:firstLine="422"/>
        <w:rPr>
          <w:b/>
        </w:rPr>
      </w:pPr>
      <w:r>
        <w:rPr>
          <w:rFonts w:hint="eastAsia"/>
          <w:b/>
        </w:rPr>
        <w:t>通过公众号唤醒小程序认证的流程如下：</w:t>
      </w:r>
    </w:p>
    <w:p w14:paraId="634272D6">
      <w:pPr>
        <w:pStyle w:val="202"/>
        <w:numPr>
          <w:ilvl w:val="7"/>
          <w:numId w:val="32"/>
        </w:numPr>
        <w:rPr>
          <w:lang w:eastAsia="zh-CN"/>
        </w:rPr>
      </w:pPr>
      <w:r>
        <w:rPr>
          <w:lang w:eastAsia="zh-CN"/>
        </w:rPr>
        <w:t>用户访问外网触发弹出认证页面，认证页面说明认证的步骤以及商家公众号信息。</w:t>
      </w:r>
    </w:p>
    <w:p w14:paraId="073C5609">
      <w:pPr>
        <w:pStyle w:val="202"/>
        <w:rPr>
          <w:lang w:eastAsia="zh-CN"/>
        </w:rPr>
      </w:pPr>
      <w:r>
        <w:rPr>
          <w:lang w:eastAsia="zh-CN"/>
        </w:rPr>
        <w:t>用户单击认证页面上的认证按钮，设备临时放通终端的流量，唤醒微信</w:t>
      </w:r>
      <w:r>
        <w:rPr>
          <w:rFonts w:hint="eastAsia"/>
          <w:lang w:eastAsia="zh-CN"/>
        </w:rPr>
        <w:t>（如果选择浏览器唤醒小程序方式，就会跳转到默认浏览器，然后直接弹出小程序进行认证）</w:t>
      </w:r>
      <w:r>
        <w:rPr>
          <w:lang w:eastAsia="zh-CN"/>
        </w:rPr>
        <w:t>。</w:t>
      </w:r>
    </w:p>
    <w:p w14:paraId="30BD4607">
      <w:pPr>
        <w:pStyle w:val="202"/>
        <w:rPr>
          <w:lang w:eastAsia="zh-CN"/>
        </w:rPr>
      </w:pPr>
      <w:r>
        <w:rPr>
          <w:lang w:eastAsia="zh-CN"/>
        </w:rPr>
        <w:t>用户根据认证页面的提示，手动搜索公众号并关注（也可以通过扫码）。然后在公众号中输入关键字（比如：我要上网）或单击菜单。</w:t>
      </w:r>
    </w:p>
    <w:p w14:paraId="68343B34">
      <w:pPr>
        <w:pStyle w:val="202"/>
        <w:rPr>
          <w:lang w:eastAsia="zh-CN"/>
        </w:rPr>
      </w:pPr>
      <w:r>
        <w:rPr>
          <w:lang w:eastAsia="zh-CN"/>
        </w:rPr>
        <w:t>公众平台根据之前的配置，对关键字或菜单请求推送小程序。</w:t>
      </w:r>
    </w:p>
    <w:p w14:paraId="36D030BA">
      <w:pPr>
        <w:pStyle w:val="202"/>
        <w:rPr>
          <w:lang w:eastAsia="zh-CN"/>
        </w:rPr>
      </w:pPr>
      <w:r>
        <w:rPr>
          <w:lang w:eastAsia="zh-CN"/>
        </w:rPr>
        <w:t>用户打开小程序，单击授权申请进行OpenID和手机号的授权。</w:t>
      </w:r>
    </w:p>
    <w:p w14:paraId="6BEA2C8E">
      <w:pPr>
        <w:pStyle w:val="202"/>
        <w:rPr>
          <w:lang w:eastAsia="zh-CN"/>
        </w:rPr>
      </w:pPr>
      <w:r>
        <w:rPr>
          <w:lang w:eastAsia="zh-CN"/>
        </w:rPr>
        <w:t>设备创建微信用户对象并上线，完成微信认证。</w:t>
      </w:r>
    </w:p>
    <w:p w14:paraId="11BC2D63">
      <w:pPr>
        <w:pStyle w:val="374"/>
        <w:spacing w:before="156" w:after="156"/>
        <w:ind w:firstLine="422"/>
        <w:rPr>
          <w:b/>
        </w:rPr>
      </w:pPr>
      <w:r>
        <w:rPr>
          <w:rFonts w:hint="eastAsia"/>
          <w:b/>
        </w:rPr>
        <w:t>通过浏览器唤醒小程序认证的流程如下：</w:t>
      </w:r>
    </w:p>
    <w:p w14:paraId="7B25F4B8">
      <w:pPr>
        <w:pStyle w:val="202"/>
        <w:numPr>
          <w:ilvl w:val="7"/>
          <w:numId w:val="33"/>
        </w:numPr>
        <w:rPr>
          <w:lang w:eastAsia="zh-CN"/>
        </w:rPr>
      </w:pPr>
      <w:r>
        <w:rPr>
          <w:rFonts w:hint="eastAsia"/>
          <w:lang w:eastAsia="zh-CN"/>
        </w:rPr>
        <w:t>用户访问外网触发弹出认证页面，认证页面提示点击界面打开微信小程序按钮进行验证。</w:t>
      </w:r>
    </w:p>
    <w:p w14:paraId="7A2A3B2A">
      <w:pPr>
        <w:pStyle w:val="202"/>
        <w:rPr>
          <w:lang w:eastAsia="zh-CN"/>
        </w:rPr>
      </w:pPr>
      <w:r>
        <w:rPr>
          <w:rFonts w:hint="eastAsia"/>
          <w:lang w:eastAsia="zh-CN"/>
        </w:rPr>
        <w:t>用户单击认证页面上的认证按钮，设备临时放通终端的流量，手机跳转到默认浏览器，然后直接弹出小程序。</w:t>
      </w:r>
    </w:p>
    <w:p w14:paraId="412CB212">
      <w:pPr>
        <w:pStyle w:val="202"/>
        <w:rPr>
          <w:lang w:eastAsia="zh-CN"/>
        </w:rPr>
      </w:pPr>
      <w:r>
        <w:rPr>
          <w:rFonts w:hint="eastAsia"/>
          <w:lang w:eastAsia="zh-CN"/>
        </w:rPr>
        <w:t>用户打开小程序，单击授权申请进行OpenID和手机号的授权。</w:t>
      </w:r>
    </w:p>
    <w:p w14:paraId="6AB82119">
      <w:pPr>
        <w:pStyle w:val="202"/>
        <w:rPr>
          <w:lang w:eastAsia="zh-CN"/>
        </w:rPr>
      </w:pPr>
      <w:r>
        <w:rPr>
          <w:rFonts w:hint="eastAsia"/>
          <w:lang w:eastAsia="zh-CN"/>
        </w:rPr>
        <w:t>设备创建微信用户对象并上线，完成微信认证。</w:t>
      </w:r>
    </w:p>
    <w:p w14:paraId="34DA9DA4">
      <w:pPr>
        <w:pStyle w:val="6"/>
      </w:pPr>
      <w:r>
        <w:t>配置微信认证</w:t>
      </w:r>
    </w:p>
    <w:p w14:paraId="41DE6316">
      <w:r>
        <w:t>在导航栏中选择“用户管理 &gt; 认证管理 &gt; 认证方式 &gt; 微信认证”，进入微信认证配置界面，如</w:t>
      </w:r>
      <w:r>
        <w:fldChar w:fldCharType="begin"/>
      </w:r>
      <w:r>
        <w:instrText xml:space="preserve">REF _ref37543207 \r \h</w:instrText>
      </w:r>
      <w:r>
        <w:fldChar w:fldCharType="separate"/>
      </w:r>
      <w:r>
        <w:rPr>
          <w:rFonts w:hint="eastAsia"/>
        </w:rPr>
        <w:t>图31-31</w:t>
      </w:r>
      <w:r>
        <w:fldChar w:fldCharType="end"/>
      </w:r>
      <w:r>
        <w:t>所示。</w:t>
      </w:r>
    </w:p>
    <w:p w14:paraId="0B8C19EA">
      <w:pPr>
        <w:pStyle w:val="188"/>
      </w:pPr>
      <w:bookmarkStart w:id="8316" w:name="_ref37543207"/>
      <w:bookmarkEnd w:id="8316"/>
      <w:bookmarkStart w:id="8317" w:name="_Toc141874794"/>
      <w:r>
        <w:t>微信认证配置界面</w:t>
      </w:r>
      <w:bookmarkEnd w:id="8317"/>
    </w:p>
    <w:p w14:paraId="18CACE19">
      <w:pPr>
        <w:spacing w:before="79" w:after="79"/>
      </w:pPr>
      <w:r>
        <w:drawing>
          <wp:inline distT="0" distB="0" distL="0" distR="0">
            <wp:extent cx="5391150" cy="3414395"/>
            <wp:effectExtent l="0" t="0" r="0" b="0"/>
            <wp:docPr id="1296485323" name="图片 1296485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23" name="图片 1296485323"/>
                    <pic:cNvPicPr>
                      <a:picLocks noChangeAspect="1"/>
                    </pic:cNvPicPr>
                  </pic:nvPicPr>
                  <pic:blipFill>
                    <a:blip r:embed="rId1015"/>
                    <a:stretch>
                      <a:fillRect/>
                    </a:stretch>
                  </pic:blipFill>
                  <pic:spPr>
                    <a:xfrm>
                      <a:off x="0" y="0"/>
                      <a:ext cx="5392798" cy="3415961"/>
                    </a:xfrm>
                    <a:prstGeom prst="rect">
                      <a:avLst/>
                    </a:prstGeom>
                  </pic:spPr>
                </pic:pic>
              </a:graphicData>
            </a:graphic>
          </wp:inline>
        </w:drawing>
      </w:r>
    </w:p>
    <w:p w14:paraId="37514F61"/>
    <w:p w14:paraId="455EFBDA">
      <w:r>
        <w:t>界面详细说明如</w:t>
      </w:r>
      <w:r>
        <w:fldChar w:fldCharType="begin"/>
      </w:r>
      <w:r>
        <w:instrText xml:space="preserve">REF _table17151940 \r \h</w:instrText>
      </w:r>
      <w:r>
        <w:fldChar w:fldCharType="separate"/>
      </w:r>
      <w:r>
        <w:rPr>
          <w:rFonts w:hint="eastAsia"/>
        </w:rPr>
        <w:t>表31-1</w:t>
      </w:r>
      <w:r>
        <w:fldChar w:fldCharType="end"/>
      </w:r>
      <w:r>
        <w:t>所示。</w:t>
      </w:r>
    </w:p>
    <w:p w14:paraId="67F0BC33">
      <w:pPr>
        <w:pStyle w:val="183"/>
      </w:pPr>
      <w:bookmarkStart w:id="8318" w:name="_table17151940"/>
      <w:bookmarkEnd w:id="8318"/>
      <w:bookmarkStart w:id="8319" w:name="_Toc141875564"/>
      <w:r>
        <w:t>微信认证配置界面详细说明</w:t>
      </w:r>
      <w:bookmarkEnd w:id="8319"/>
    </w:p>
    <w:tbl>
      <w:tblPr>
        <w:tblStyle w:val="173"/>
        <w:tblW w:w="793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526"/>
        <w:gridCol w:w="6412"/>
      </w:tblGrid>
      <w:tr w14:paraId="2170EDE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61" w:type="pct"/>
            <w:tcBorders>
              <w:tl2br w:val="nil"/>
              <w:tr2bl w:val="nil"/>
            </w:tcBorders>
            <w:shd w:val="clear" w:color="auto" w:fill="538135" w:themeFill="accent6" w:themeFillShade="BF"/>
            <w:vAlign w:val="center"/>
          </w:tcPr>
          <w:p w14:paraId="1970E0D9">
            <w:pPr>
              <w:pStyle w:val="150"/>
              <w:wordWrap/>
              <w:rPr>
                <w:b w:val="0"/>
                <w:bCs w:val="0"/>
                <w:i w:val="0"/>
                <w:iCs w:val="0"/>
                <w:color w:val="FFFFFF" w:themeColor="background1"/>
                <w14:textFill>
                  <w14:solidFill>
                    <w14:schemeClr w14:val="bg1"/>
                  </w14:solidFill>
                </w14:textFill>
              </w:rPr>
            </w:pPr>
            <w:r>
              <w:rPr>
                <w:b w:val="0"/>
                <w:bCs w:val="0"/>
                <w:i w:val="0"/>
                <w:iCs w:val="0"/>
                <w:color w:val="FFFFFF" w:themeColor="background1"/>
                <w14:textFill>
                  <w14:solidFill>
                    <w14:schemeClr w14:val="bg1"/>
                  </w14:solidFill>
                </w14:textFill>
              </w:rPr>
              <w:t>参数</w:t>
            </w:r>
          </w:p>
        </w:tc>
        <w:tc>
          <w:tcPr>
            <w:tcW w:w="4039" w:type="pct"/>
            <w:tcBorders>
              <w:tl2br w:val="nil"/>
              <w:tr2bl w:val="nil"/>
            </w:tcBorders>
            <w:shd w:val="clear" w:color="auto" w:fill="538135" w:themeFill="accent6" w:themeFillShade="BF"/>
            <w:vAlign w:val="center"/>
          </w:tcPr>
          <w:p w14:paraId="1A6EA306">
            <w:pPr>
              <w:pStyle w:val="150"/>
              <w:wordWrap/>
              <w:rPr>
                <w:b w:val="0"/>
                <w:bCs w:val="0"/>
                <w:i w:val="0"/>
                <w:iCs w:val="0"/>
                <w:color w:val="FFFFFF" w:themeColor="background1"/>
                <w14:textFill>
                  <w14:solidFill>
                    <w14:schemeClr w14:val="bg1"/>
                  </w14:solidFill>
                </w14:textFill>
              </w:rPr>
            </w:pPr>
            <w:r>
              <w:rPr>
                <w:b w:val="0"/>
                <w:bCs w:val="0"/>
                <w:i w:val="0"/>
                <w:iCs w:val="0"/>
                <w:color w:val="FFFFFF" w:themeColor="background1"/>
                <w14:textFill>
                  <w14:solidFill>
                    <w14:schemeClr w14:val="bg1"/>
                  </w14:solidFill>
                </w14:textFill>
              </w:rPr>
              <w:t>说明</w:t>
            </w:r>
          </w:p>
        </w:tc>
      </w:tr>
      <w:tr w14:paraId="011EBD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61" w:type="pct"/>
            <w:shd w:val="clear" w:color="auto" w:fill="auto"/>
          </w:tcPr>
          <w:p w14:paraId="04629C45">
            <w:pPr>
              <w:pStyle w:val="150"/>
            </w:pPr>
            <w:r>
              <w:t>超时时间</w:t>
            </w:r>
          </w:p>
        </w:tc>
        <w:tc>
          <w:tcPr>
            <w:tcW w:w="4039" w:type="pct"/>
            <w:shd w:val="clear" w:color="auto" w:fill="auto"/>
          </w:tcPr>
          <w:p w14:paraId="5611BA23">
            <w:pPr>
              <w:pStyle w:val="150"/>
            </w:pPr>
            <w:r>
              <w:t>微信认证用户超时时间，默认值为15分钟。在时间段内没有流量设备会强制用户下线。</w:t>
            </w:r>
          </w:p>
        </w:tc>
      </w:tr>
      <w:tr w14:paraId="6244B06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61" w:type="pct"/>
            <w:shd w:val="clear" w:color="auto" w:fill="auto"/>
          </w:tcPr>
          <w:p w14:paraId="136A59C4">
            <w:pPr>
              <w:pStyle w:val="150"/>
            </w:pPr>
            <w:r>
              <w:rPr>
                <w:rFonts w:hint="eastAsia"/>
              </w:rPr>
              <w:t>强制重登录间隔</w:t>
            </w:r>
          </w:p>
        </w:tc>
        <w:tc>
          <w:tcPr>
            <w:tcW w:w="4039" w:type="pct"/>
            <w:shd w:val="clear" w:color="auto" w:fill="auto"/>
          </w:tcPr>
          <w:p w14:paraId="72026E0C">
            <w:pPr>
              <w:pStyle w:val="150"/>
            </w:pPr>
            <w:r>
              <w:rPr>
                <w:rFonts w:hint="eastAsia"/>
              </w:rPr>
              <w:t>微信认证的用户强制重登录时间，用户认证上线后，从用户登录时间开始，超时后，不管用户是否在线，系统都会将该用户强制下线。</w:t>
            </w:r>
          </w:p>
        </w:tc>
      </w:tr>
      <w:tr w14:paraId="5BD52E1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61" w:type="pct"/>
            <w:shd w:val="clear" w:color="auto" w:fill="auto"/>
          </w:tcPr>
          <w:p w14:paraId="002FCF76">
            <w:pPr>
              <w:pStyle w:val="150"/>
            </w:pPr>
            <w:r>
              <w:t>无感知</w:t>
            </w:r>
          </w:p>
        </w:tc>
        <w:tc>
          <w:tcPr>
            <w:tcW w:w="4039" w:type="pct"/>
            <w:shd w:val="clear" w:color="auto" w:fill="auto"/>
          </w:tcPr>
          <w:p w14:paraId="4536A142">
            <w:pPr>
              <w:pStyle w:val="150"/>
            </w:pPr>
            <w:r>
              <w:t>用户无感知认证功能及超时时间，默认值为10080分钟，当认证用户首次认证下线后，在超时时间内再次上网无需认证，可以无感知上线。</w:t>
            </w:r>
          </w:p>
        </w:tc>
      </w:tr>
      <w:tr w14:paraId="01AFD2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61" w:type="pct"/>
            <w:shd w:val="clear" w:color="auto" w:fill="auto"/>
          </w:tcPr>
          <w:p w14:paraId="1C5599F9">
            <w:pPr>
              <w:pStyle w:val="150"/>
            </w:pPr>
            <w:r>
              <w:rPr>
                <w:rFonts w:hint="eastAsia"/>
              </w:rPr>
              <w:t>认证方式</w:t>
            </w:r>
          </w:p>
        </w:tc>
        <w:tc>
          <w:tcPr>
            <w:tcW w:w="4039" w:type="pct"/>
            <w:shd w:val="clear" w:color="auto" w:fill="auto"/>
          </w:tcPr>
          <w:p w14:paraId="1B009DBB">
            <w:pPr>
              <w:pStyle w:val="150"/>
            </w:pPr>
            <w:r>
              <w:rPr>
                <w:rFonts w:hint="eastAsia"/>
              </w:rPr>
              <w:t>认证方式支持认证URL认证和小程序认证两种方式，认证URL方式需要关注公众号，按照认证步骤点击认证URL进行认证；小程序认证方式可以选择公众号唤醒小程序或者浏览器唤醒小程序方式，点击小程序进行认证上线。</w:t>
            </w:r>
          </w:p>
        </w:tc>
      </w:tr>
      <w:tr w14:paraId="0EEF417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61" w:type="pct"/>
            <w:shd w:val="clear" w:color="auto" w:fill="auto"/>
          </w:tcPr>
          <w:p w14:paraId="51208C87">
            <w:pPr>
              <w:pStyle w:val="150"/>
            </w:pPr>
            <w:r>
              <w:t>公众号名称</w:t>
            </w:r>
          </w:p>
        </w:tc>
        <w:tc>
          <w:tcPr>
            <w:tcW w:w="4039" w:type="pct"/>
            <w:shd w:val="clear" w:color="auto" w:fill="auto"/>
          </w:tcPr>
          <w:p w14:paraId="68BBFD3F">
            <w:pPr>
              <w:pStyle w:val="150"/>
            </w:pPr>
            <w:r>
              <w:t>微信公众平台申请的公众号名称，该名称会在认证页面上显示。</w:t>
            </w:r>
          </w:p>
        </w:tc>
      </w:tr>
      <w:tr w14:paraId="371DE35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c>
          <w:tcPr>
            <w:tcW w:w="961" w:type="pct"/>
            <w:shd w:val="clear" w:color="auto" w:fill="auto"/>
          </w:tcPr>
          <w:p w14:paraId="0BAE4094">
            <w:pPr>
              <w:pStyle w:val="150"/>
            </w:pPr>
            <w:r>
              <w:t>应用ID</w:t>
            </w:r>
          </w:p>
        </w:tc>
        <w:tc>
          <w:tcPr>
            <w:tcW w:w="4039" w:type="pct"/>
            <w:shd w:val="clear" w:color="auto" w:fill="auto"/>
          </w:tcPr>
          <w:p w14:paraId="36F02DE8">
            <w:pPr>
              <w:pStyle w:val="150"/>
            </w:pPr>
            <w:r>
              <w:t>微信公众平台，开发者中心的开发者ID中的APPID项。</w:t>
            </w:r>
          </w:p>
        </w:tc>
      </w:tr>
      <w:tr w14:paraId="0EAD91A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61" w:type="pct"/>
            <w:shd w:val="clear" w:color="auto" w:fill="auto"/>
          </w:tcPr>
          <w:p w14:paraId="10A75414">
            <w:pPr>
              <w:pStyle w:val="150"/>
            </w:pPr>
            <w:r>
              <w:t>应用密钥</w:t>
            </w:r>
          </w:p>
        </w:tc>
        <w:tc>
          <w:tcPr>
            <w:tcW w:w="4039" w:type="pct"/>
            <w:shd w:val="clear" w:color="auto" w:fill="auto"/>
          </w:tcPr>
          <w:p w14:paraId="7E514413">
            <w:pPr>
              <w:pStyle w:val="150"/>
            </w:pPr>
            <w:r>
              <w:t>微信公众平台，开发者中心的开发者ID中的APPSECRET项。</w:t>
            </w:r>
          </w:p>
        </w:tc>
      </w:tr>
      <w:tr w14:paraId="103E31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61" w:type="pct"/>
            <w:shd w:val="clear" w:color="auto" w:fill="auto"/>
          </w:tcPr>
          <w:p w14:paraId="33BA6E98">
            <w:pPr>
              <w:pStyle w:val="150"/>
            </w:pPr>
            <w:r>
              <w:t>认证步骤说明</w:t>
            </w:r>
          </w:p>
        </w:tc>
        <w:tc>
          <w:tcPr>
            <w:tcW w:w="4039" w:type="pct"/>
            <w:shd w:val="clear" w:color="auto" w:fill="auto"/>
          </w:tcPr>
          <w:p w14:paraId="12318168">
            <w:pPr>
              <w:pStyle w:val="150"/>
            </w:pPr>
            <w:r>
              <w:t>对应弹出的认证portal页面的第5步操作步骤说明，默认配置为“请点击认证菜单进行微信认证”，支持用户自定义配置，可以参考提示信息中说明。</w:t>
            </w:r>
          </w:p>
        </w:tc>
      </w:tr>
      <w:tr w14:paraId="446489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c>
          <w:tcPr>
            <w:tcW w:w="961" w:type="pct"/>
            <w:shd w:val="clear" w:color="auto" w:fill="auto"/>
          </w:tcPr>
          <w:p w14:paraId="3CFDB040">
            <w:pPr>
              <w:pStyle w:val="150"/>
            </w:pPr>
            <w:r>
              <w:t>认证URL</w:t>
            </w:r>
          </w:p>
        </w:tc>
        <w:tc>
          <w:tcPr>
            <w:tcW w:w="4039" w:type="pct"/>
            <w:shd w:val="clear" w:color="auto" w:fill="auto"/>
          </w:tcPr>
          <w:p w14:paraId="6B5F5C4B">
            <w:pPr>
              <w:pStyle w:val="150"/>
            </w:pPr>
            <w:r>
              <w:rPr>
                <w:rFonts w:hint="eastAsia"/>
              </w:rPr>
              <w:t>用户名为ip时为必填项，不可以配置网络中已经存在的url，需要与微信公众平台配置的链接一致；用户名为openid或手机号时为非必填项</w:t>
            </w:r>
            <w:r>
              <w:t>。</w:t>
            </w:r>
          </w:p>
        </w:tc>
      </w:tr>
      <w:tr w14:paraId="33F9CF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61" w:type="pct"/>
            <w:shd w:val="clear" w:color="auto" w:fill="auto"/>
          </w:tcPr>
          <w:p w14:paraId="5FF44A14">
            <w:pPr>
              <w:pStyle w:val="150"/>
            </w:pPr>
            <w:r>
              <w:rPr>
                <w:rFonts w:hint="eastAsia"/>
              </w:rPr>
              <w:t>用户名</w:t>
            </w:r>
          </w:p>
        </w:tc>
        <w:tc>
          <w:tcPr>
            <w:tcW w:w="4039" w:type="pct"/>
            <w:shd w:val="clear" w:color="auto" w:fill="auto"/>
          </w:tcPr>
          <w:p w14:paraId="39CACBD0">
            <w:pPr>
              <w:pStyle w:val="150"/>
            </w:pPr>
            <w:r>
              <w:rPr>
                <w:rFonts w:hint="eastAsia"/>
              </w:rPr>
              <w:t>选择小程序认证方式时用户名支持OpenID、手机号。选择认证URL认证方式时用户名为IP。</w:t>
            </w:r>
          </w:p>
        </w:tc>
      </w:tr>
      <w:tr w14:paraId="1F1A88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61" w:type="pct"/>
            <w:shd w:val="clear" w:color="auto" w:fill="auto"/>
          </w:tcPr>
          <w:p w14:paraId="119FA1B2">
            <w:pPr>
              <w:pStyle w:val="150"/>
            </w:pPr>
            <w:r>
              <w:rPr>
                <w:rFonts w:hint="eastAsia"/>
              </w:rPr>
              <w:t>唤醒方式</w:t>
            </w:r>
          </w:p>
        </w:tc>
        <w:tc>
          <w:tcPr>
            <w:tcW w:w="4039" w:type="pct"/>
            <w:shd w:val="clear" w:color="auto" w:fill="auto"/>
          </w:tcPr>
          <w:p w14:paraId="340AD858">
            <w:pPr>
              <w:pStyle w:val="150"/>
            </w:pPr>
            <w:r>
              <w:rPr>
                <w:rFonts w:hint="eastAsia"/>
              </w:rPr>
              <w:t>小程序认证方式支持公众号唤醒和浏览器唤醒，公众号唤醒小程序需要关注公众号点击公众号下发小程序跳转连接唤醒，浏览器唤醒小程序方式可以在浏览器弹出的小程序跳转连接直接跳转到小程序进行认证上线。</w:t>
            </w:r>
          </w:p>
        </w:tc>
      </w:tr>
      <w:tr w14:paraId="6A767D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61" w:type="pct"/>
            <w:shd w:val="clear" w:color="auto" w:fill="auto"/>
          </w:tcPr>
          <w:p w14:paraId="57E14923">
            <w:pPr>
              <w:pStyle w:val="150"/>
            </w:pPr>
            <w:r>
              <w:rPr>
                <w:rFonts w:hint="eastAsia"/>
              </w:rPr>
              <w:t>小程序跳转链接</w:t>
            </w:r>
          </w:p>
        </w:tc>
        <w:tc>
          <w:tcPr>
            <w:tcW w:w="4039" w:type="pct"/>
            <w:shd w:val="clear" w:color="auto" w:fill="auto"/>
          </w:tcPr>
          <w:p w14:paraId="78BFA053">
            <w:pPr>
              <w:pStyle w:val="150"/>
            </w:pPr>
            <w:r>
              <w:rPr>
                <w:rFonts w:hint="eastAsia"/>
              </w:rPr>
              <w:t>浏览器唤醒小程序的跳转链接，该功能已停止维护，建议使用自己开发的认证小程序，需要按照统一的通信规则进行联调（如需联调，请联系技术服务人员获取相关接口文档），小程序跳转链接应填写认证小程序在微信开发者工具云开发控制台设置的静态网站域名。</w:t>
            </w:r>
          </w:p>
        </w:tc>
      </w:tr>
    </w:tbl>
    <w:p w14:paraId="5EB86565"/>
    <w:p w14:paraId="6316B6BF">
      <w:pPr>
        <w:pStyle w:val="5"/>
      </w:pPr>
      <w:bookmarkStart w:id="8320" w:name="_Ref194078207"/>
      <w:bookmarkStart w:id="8321" w:name="_Toc194081172"/>
      <w:bookmarkStart w:id="8322" w:name="_Toc172218291"/>
      <w:bookmarkStart w:id="8323" w:name="_Toc99561612"/>
      <w:bookmarkStart w:id="8324" w:name="_Toc80264545"/>
      <w:bookmarkStart w:id="8325" w:name="_Ref150528685"/>
      <w:bookmarkStart w:id="8326" w:name="_Toc142401043"/>
      <w:bookmarkStart w:id="8327" w:name="_Toc196728500"/>
      <w:bookmarkStart w:id="8328" w:name="_Toc141873527"/>
      <w:r>
        <w:rPr>
          <w:rFonts w:hint="eastAsia"/>
        </w:rPr>
        <w:t>短信认证</w:t>
      </w:r>
      <w:bookmarkEnd w:id="8320"/>
      <w:bookmarkEnd w:id="8321"/>
      <w:bookmarkEnd w:id="8322"/>
      <w:bookmarkEnd w:id="8323"/>
      <w:bookmarkEnd w:id="8324"/>
      <w:bookmarkEnd w:id="8325"/>
      <w:bookmarkEnd w:id="8326"/>
      <w:bookmarkEnd w:id="8327"/>
      <w:bookmarkEnd w:id="8328"/>
    </w:p>
    <w:p w14:paraId="796D9C2B">
      <w:pPr>
        <w:pStyle w:val="6"/>
      </w:pPr>
      <w:r>
        <w:t>短信认证简介</w:t>
      </w:r>
    </w:p>
    <w:p w14:paraId="7D0D1534">
      <w:r>
        <w:rPr>
          <w:rFonts w:hint="eastAsia"/>
        </w:rPr>
        <w:t>在短信认证中，通过手机获取短信认证码方式认证上网。认证通过后用手机号填充用户名请求，设备收到后进行对比，对比成功完成用户认证，用户名为手机号。</w:t>
      </w:r>
    </w:p>
    <w:p w14:paraId="79F36832">
      <w:r>
        <w:rPr>
          <w:rFonts w:hint="eastAsia"/>
        </w:rPr>
        <w:t>与其他认证方式相同，终端访问外网的流量都会被重定向到认证页面，用户通过认证页面提交获取验证码的请求。设备收到请求后，生成验证码，并将手机号和带验证码的短信内容，通过短信服务商提供的接口，向短信服务器发出发送验证码的请求。短信服务器收到请求后，向指定手机号发送验证码。用户根据收到的验证码，提交认证。</w:t>
      </w:r>
    </w:p>
    <w:p w14:paraId="09F12D32">
      <w:pPr>
        <w:pStyle w:val="6"/>
      </w:pPr>
      <w:r>
        <w:rPr>
          <w:rFonts w:hint="eastAsia"/>
        </w:rPr>
        <w:t>配置短信网关</w:t>
      </w:r>
    </w:p>
    <w:p w14:paraId="045F815A">
      <w:r>
        <w:rPr>
          <w:rFonts w:hint="eastAsia"/>
        </w:rPr>
        <w:t>短信网关是当终端与设备对接时，给认证终端指定的手机号下发授权验证码的设备。目前设备已支持与多家短信厂商的对接，并支持基于http协议及soap协议的短信网关通用框架，实现与预定义之外的短信厂商服务器对接。</w:t>
      </w:r>
    </w:p>
    <w:p w14:paraId="5EF21749">
      <w:r>
        <w:t>配置短信认证</w:t>
      </w:r>
      <w:r>
        <w:rPr>
          <w:rFonts w:hint="eastAsia"/>
        </w:rPr>
        <w:t>，</w:t>
      </w:r>
      <w:r>
        <w:t>需要先根据对接的短信厂商不同</w:t>
      </w:r>
      <w:r>
        <w:rPr>
          <w:rFonts w:hint="eastAsia"/>
        </w:rPr>
        <w:t>，</w:t>
      </w:r>
      <w:r>
        <w:t>配置对应的短信服务网关</w:t>
      </w:r>
      <w:r>
        <w:rPr>
          <w:rFonts w:hint="eastAsia"/>
        </w:rPr>
        <w:t>。更多信息请参考</w:t>
      </w:r>
      <w:r>
        <w:fldChar w:fldCharType="begin"/>
      </w:r>
      <w:r>
        <w:instrText xml:space="preserve"> </w:instrText>
      </w:r>
      <w:r>
        <w:rPr>
          <w:rFonts w:hint="eastAsia"/>
        </w:rPr>
        <w:instrText xml:space="preserve">REF _Ref99553605 \h</w:instrText>
      </w:r>
      <w:r>
        <w:instrText xml:space="preserve">  \* MERGEFORMAT </w:instrText>
      </w:r>
      <w:r>
        <w:fldChar w:fldCharType="separate"/>
      </w:r>
      <w:r>
        <w:rPr>
          <w:rFonts w:hint="eastAsia"/>
        </w:rPr>
        <w:t>配置短信服务</w:t>
      </w:r>
      <w:r>
        <w:fldChar w:fldCharType="end"/>
      </w:r>
      <w:r>
        <w:t>章节</w:t>
      </w:r>
      <w:r>
        <w:rPr>
          <w:rFonts w:hint="eastAsia"/>
        </w:rPr>
        <w:t>。</w:t>
      </w:r>
    </w:p>
    <w:p w14:paraId="08743133">
      <w:pPr>
        <w:pStyle w:val="6"/>
      </w:pPr>
      <w:r>
        <w:t>配置短信认证</w:t>
      </w:r>
    </w:p>
    <w:p w14:paraId="6C9037A8">
      <w:r>
        <w:rPr>
          <w:rFonts w:hint="eastAsia"/>
        </w:rPr>
        <w:t xml:space="preserve">在导航栏中选择“用户管理 &gt; 认证管理 &gt; 认证方式 </w:t>
      </w:r>
      <w:r>
        <w:t xml:space="preserve">&gt; </w:t>
      </w:r>
      <w:r>
        <w:rPr>
          <w:rFonts w:hint="eastAsia"/>
        </w:rPr>
        <w:t>短信认证”，进入短信认证配置页面，如</w:t>
      </w:r>
      <w:r>
        <w:fldChar w:fldCharType="begin"/>
      </w:r>
      <w:r>
        <w:instrText xml:space="preserve">  REF _Ref6233887 \r \h  \* MERGEFORMAT </w:instrText>
      </w:r>
      <w:r>
        <w:fldChar w:fldCharType="separate"/>
      </w:r>
      <w:r>
        <w:rPr>
          <w:rFonts w:hint="eastAsia"/>
        </w:rPr>
        <w:t>图31-32</w:t>
      </w:r>
      <w:r>
        <w:fldChar w:fldCharType="end"/>
      </w:r>
      <w:r>
        <w:rPr>
          <w:rFonts w:hint="eastAsia"/>
        </w:rPr>
        <w:t>所示。</w:t>
      </w:r>
    </w:p>
    <w:p w14:paraId="73B428D5">
      <w:pPr>
        <w:pStyle w:val="188"/>
      </w:pPr>
      <w:bookmarkStart w:id="8329" w:name="_Toc141874795"/>
      <w:bookmarkStart w:id="8330" w:name="_Ref6233887"/>
      <w:r>
        <w:rPr>
          <w:rFonts w:hint="eastAsia"/>
        </w:rPr>
        <w:t>短信认证配置页面</w:t>
      </w:r>
      <w:bookmarkEnd w:id="8329"/>
      <w:bookmarkEnd w:id="8330"/>
    </w:p>
    <w:p w14:paraId="618F5682">
      <w:pPr>
        <w:pStyle w:val="175"/>
      </w:pPr>
      <w:r>
        <w:drawing>
          <wp:inline distT="0" distB="0" distL="0" distR="0">
            <wp:extent cx="5400040" cy="3699510"/>
            <wp:effectExtent l="0" t="0" r="0" b="0"/>
            <wp:docPr id="657" name="图片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图片 657"/>
                    <pic:cNvPicPr>
                      <a:picLocks noChangeAspect="1"/>
                    </pic:cNvPicPr>
                  </pic:nvPicPr>
                  <pic:blipFill>
                    <a:blip r:embed="rId1016"/>
                    <a:stretch>
                      <a:fillRect/>
                    </a:stretch>
                  </pic:blipFill>
                  <pic:spPr>
                    <a:xfrm>
                      <a:off x="0" y="0"/>
                      <a:ext cx="5400040" cy="3699510"/>
                    </a:xfrm>
                    <a:prstGeom prst="rect">
                      <a:avLst/>
                    </a:prstGeom>
                  </pic:spPr>
                </pic:pic>
              </a:graphicData>
            </a:graphic>
          </wp:inline>
        </w:drawing>
      </w:r>
    </w:p>
    <w:p w14:paraId="52F69F0E"/>
    <w:p w14:paraId="5A40B027">
      <w:r>
        <w:rPr>
          <w:rFonts w:hint="eastAsia"/>
        </w:rPr>
        <w:t>页面的详细说明如</w:t>
      </w:r>
      <w:r>
        <w:fldChar w:fldCharType="begin"/>
      </w:r>
      <w:r>
        <w:instrText xml:space="preserve">  REF _Ref6233894 \r \h  \* MERGEFORMAT </w:instrText>
      </w:r>
      <w:r>
        <w:fldChar w:fldCharType="separate"/>
      </w:r>
      <w:r>
        <w:rPr>
          <w:rFonts w:hint="eastAsia"/>
        </w:rPr>
        <w:t>表31-1</w:t>
      </w:r>
      <w:r>
        <w:fldChar w:fldCharType="end"/>
      </w:r>
      <w:r>
        <w:rPr>
          <w:rFonts w:hint="eastAsia"/>
        </w:rPr>
        <w:t>所示。</w:t>
      </w:r>
    </w:p>
    <w:p w14:paraId="7EB2C0B9">
      <w:pPr>
        <w:pStyle w:val="183"/>
      </w:pPr>
      <w:bookmarkStart w:id="8331" w:name="_Toc141875565"/>
      <w:bookmarkStart w:id="8332" w:name="_Ref6233894"/>
      <w:r>
        <w:rPr>
          <w:rFonts w:hint="eastAsia"/>
        </w:rPr>
        <w:t>短信认证配置页面详细说明</w:t>
      </w:r>
      <w:bookmarkEnd w:id="8331"/>
      <w:bookmarkEnd w:id="8332"/>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668"/>
        <w:gridCol w:w="7346"/>
      </w:tblGrid>
      <w:tr w14:paraId="461A68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68" w:type="dxa"/>
            <w:tcBorders>
              <w:tl2br w:val="nil"/>
              <w:tr2bl w:val="nil"/>
            </w:tcBorders>
            <w:shd w:val="clear" w:color="auto" w:fill="538135" w:themeFill="accent6" w:themeFillShade="BF"/>
            <w:vAlign w:val="center"/>
          </w:tcPr>
          <w:p w14:paraId="2A988360">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7346" w:type="dxa"/>
            <w:tcBorders>
              <w:tl2br w:val="nil"/>
              <w:tr2bl w:val="nil"/>
            </w:tcBorders>
            <w:shd w:val="clear" w:color="auto" w:fill="538135" w:themeFill="accent6" w:themeFillShade="BF"/>
            <w:vAlign w:val="center"/>
          </w:tcPr>
          <w:p w14:paraId="37F4D19E">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12C39C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64" w:hRule="atLeast"/>
        </w:trPr>
        <w:tc>
          <w:tcPr>
            <w:tcW w:w="1668" w:type="dxa"/>
            <w:shd w:val="clear" w:color="auto" w:fill="auto"/>
          </w:tcPr>
          <w:p w14:paraId="7E324D9E">
            <w:pPr>
              <w:pStyle w:val="150"/>
            </w:pPr>
            <w:r>
              <w:rPr>
                <w:rFonts w:hint="eastAsia"/>
              </w:rPr>
              <w:t>启用</w:t>
            </w:r>
          </w:p>
        </w:tc>
        <w:tc>
          <w:tcPr>
            <w:tcW w:w="7346" w:type="dxa"/>
            <w:shd w:val="clear" w:color="auto" w:fill="auto"/>
          </w:tcPr>
          <w:p w14:paraId="6AD8907F">
            <w:pPr>
              <w:pStyle w:val="150"/>
            </w:pPr>
            <w:r>
              <w:rPr>
                <w:rFonts w:hint="eastAsia"/>
              </w:rPr>
              <w:t>启用开关，开启后可配置页面其它参数。</w:t>
            </w:r>
          </w:p>
        </w:tc>
      </w:tr>
      <w:tr w14:paraId="616A847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68" w:type="dxa"/>
            <w:shd w:val="clear" w:color="auto" w:fill="auto"/>
          </w:tcPr>
          <w:p w14:paraId="68B1081D">
            <w:pPr>
              <w:pStyle w:val="150"/>
            </w:pPr>
            <w:r>
              <w:rPr>
                <w:rFonts w:hint="eastAsia"/>
              </w:rPr>
              <w:t>超时时间</w:t>
            </w:r>
          </w:p>
        </w:tc>
        <w:tc>
          <w:tcPr>
            <w:tcW w:w="7346" w:type="dxa"/>
            <w:shd w:val="clear" w:color="auto" w:fill="auto"/>
          </w:tcPr>
          <w:p w14:paraId="6A9140A9">
            <w:pPr>
              <w:pStyle w:val="150"/>
            </w:pPr>
            <w:r>
              <w:rPr>
                <w:rFonts w:hint="eastAsia"/>
              </w:rPr>
              <w:t>短信认证用户超时时间，默认值为15分钟，在时间段内没有流量设备会强制用户下线。</w:t>
            </w:r>
          </w:p>
        </w:tc>
      </w:tr>
      <w:tr w14:paraId="39755C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68" w:type="dxa"/>
            <w:shd w:val="clear" w:color="auto" w:fill="auto"/>
          </w:tcPr>
          <w:p w14:paraId="4E688061">
            <w:pPr>
              <w:pStyle w:val="150"/>
            </w:pPr>
            <w:r>
              <w:rPr>
                <w:rFonts w:hint="eastAsia"/>
              </w:rPr>
              <w:t>强制重登录间隔</w:t>
            </w:r>
          </w:p>
        </w:tc>
        <w:tc>
          <w:tcPr>
            <w:tcW w:w="7346" w:type="dxa"/>
            <w:shd w:val="clear" w:color="auto" w:fill="auto"/>
          </w:tcPr>
          <w:p w14:paraId="1A11D717">
            <w:pPr>
              <w:pStyle w:val="150"/>
            </w:pPr>
            <w:r>
              <w:rPr>
                <w:rFonts w:hint="eastAsia"/>
              </w:rPr>
              <w:t>短信认证的用户强制重登录时间，用户认证上线后，从用户登录时间开始，超时后，不管用户是否在线，系统都会将该用户强制下线。</w:t>
            </w:r>
          </w:p>
        </w:tc>
      </w:tr>
      <w:tr w14:paraId="434522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68" w:type="dxa"/>
            <w:shd w:val="clear" w:color="auto" w:fill="auto"/>
          </w:tcPr>
          <w:p w14:paraId="666F6D12">
            <w:pPr>
              <w:pStyle w:val="150"/>
            </w:pPr>
            <w:r>
              <w:rPr>
                <w:rFonts w:hint="eastAsia"/>
              </w:rPr>
              <w:t>无感知</w:t>
            </w:r>
          </w:p>
        </w:tc>
        <w:tc>
          <w:tcPr>
            <w:tcW w:w="7346" w:type="dxa"/>
            <w:shd w:val="clear" w:color="auto" w:fill="auto"/>
          </w:tcPr>
          <w:p w14:paraId="5BB82A8C">
            <w:pPr>
              <w:pStyle w:val="150"/>
            </w:pPr>
            <w:r>
              <w:rPr>
                <w:rFonts w:hint="eastAsia"/>
              </w:rPr>
              <w:t>用户无感知认证功能及超时时间，默认值10080分钟，当认证用户首次认证下线后，在超时时间内再次上网无需认证，可以无感知上线。</w:t>
            </w:r>
          </w:p>
        </w:tc>
      </w:tr>
      <w:tr w14:paraId="56AEE65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68" w:type="dxa"/>
            <w:shd w:val="clear" w:color="auto" w:fill="auto"/>
          </w:tcPr>
          <w:p w14:paraId="4E5C0D7D">
            <w:pPr>
              <w:pStyle w:val="150"/>
            </w:pPr>
            <w:r>
              <w:rPr>
                <w:rFonts w:hint="eastAsia"/>
              </w:rPr>
              <w:t>加密认证</w:t>
            </w:r>
          </w:p>
        </w:tc>
        <w:tc>
          <w:tcPr>
            <w:tcW w:w="7346" w:type="dxa"/>
            <w:shd w:val="clear" w:color="auto" w:fill="auto"/>
          </w:tcPr>
          <w:p w14:paraId="3C7E5C7C">
            <w:pPr>
              <w:pStyle w:val="150"/>
            </w:pPr>
            <w:r>
              <w:t>勾选为使用加密方式进行认证，防止用户名和密码在传输过程中泄露，如果关闭加密认证会存在安全风险</w:t>
            </w:r>
            <w:r>
              <w:rPr>
                <w:rFonts w:hint="eastAsia"/>
              </w:rPr>
              <w:t>，</w:t>
            </w:r>
            <w:r>
              <w:t>默认为勾选。</w:t>
            </w:r>
          </w:p>
        </w:tc>
      </w:tr>
      <w:tr w14:paraId="4B270E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68" w:type="dxa"/>
            <w:shd w:val="clear" w:color="auto" w:fill="auto"/>
          </w:tcPr>
          <w:p w14:paraId="0EC7D45A">
            <w:pPr>
              <w:pStyle w:val="150"/>
            </w:pPr>
            <w:r>
              <w:rPr>
                <w:rFonts w:hint="eastAsia"/>
              </w:rPr>
              <w:t>验证码超时时间</w:t>
            </w:r>
          </w:p>
        </w:tc>
        <w:tc>
          <w:tcPr>
            <w:tcW w:w="7346" w:type="dxa"/>
            <w:shd w:val="clear" w:color="auto" w:fill="auto"/>
          </w:tcPr>
          <w:p w14:paraId="232A4961">
            <w:pPr>
              <w:pStyle w:val="150"/>
            </w:pPr>
            <w:r>
              <w:rPr>
                <w:rFonts w:hint="eastAsia"/>
              </w:rPr>
              <w:t>通过下拉框的方式，可以配置申请短信验证码的超时时间，可以配置的值为：60、90、120、150、180（单位是秒），默认为180（秒）。</w:t>
            </w:r>
          </w:p>
          <w:p w14:paraId="284DC90F">
            <w:pPr>
              <w:pStyle w:val="150"/>
            </w:pPr>
            <w:r>
              <w:rPr>
                <w:rFonts w:hint="eastAsia"/>
              </w:rPr>
              <w:t>短信下发成功后，系统开始计时，达到超时时间后，短信验证码失效；超时后如需进行短信认证，需要重新申请短信验证码。</w:t>
            </w:r>
          </w:p>
        </w:tc>
      </w:tr>
      <w:tr w14:paraId="5ED4324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68" w:type="dxa"/>
            <w:shd w:val="clear" w:color="auto" w:fill="auto"/>
          </w:tcPr>
          <w:p w14:paraId="346349D8">
            <w:pPr>
              <w:pStyle w:val="150"/>
            </w:pPr>
            <w:r>
              <w:t>页面跳转设置</w:t>
            </w:r>
          </w:p>
        </w:tc>
        <w:tc>
          <w:tcPr>
            <w:tcW w:w="7346" w:type="dxa"/>
            <w:shd w:val="clear" w:color="auto" w:fill="auto"/>
          </w:tcPr>
          <w:p w14:paraId="6014B00B">
            <w:pPr>
              <w:pStyle w:val="150"/>
            </w:pPr>
            <w:r>
              <w:t>之前访问的页面</w:t>
            </w:r>
            <w:r>
              <w:rPr>
                <w:rFonts w:hint="eastAsia"/>
              </w:rPr>
              <w:t>：WEB认证成功后跳转到用户认证之前访问的页面。</w:t>
            </w:r>
          </w:p>
          <w:p w14:paraId="14B28844">
            <w:pPr>
              <w:pStyle w:val="150"/>
            </w:pPr>
            <w:r>
              <w:rPr>
                <w:rFonts w:hint="eastAsia"/>
              </w:rPr>
              <w:t>重定向URL：WEB认证成功后将重定向到指定的URL资源页面。</w:t>
            </w:r>
          </w:p>
          <w:p w14:paraId="20224C42">
            <w:pPr>
              <w:pStyle w:val="150"/>
            </w:pPr>
            <w:r>
              <w:t>认证结果页面</w:t>
            </w:r>
            <w:r>
              <w:rPr>
                <w:rFonts w:hint="eastAsia"/>
              </w:rPr>
              <w:t>：WEB认证后跳转到认证登录结果页面。</w:t>
            </w:r>
          </w:p>
        </w:tc>
      </w:tr>
      <w:tr w14:paraId="0AB886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68" w:type="dxa"/>
            <w:shd w:val="clear" w:color="auto" w:fill="auto"/>
          </w:tcPr>
          <w:p w14:paraId="0D98BCE3">
            <w:pPr>
              <w:pStyle w:val="150"/>
            </w:pPr>
            <w:r>
              <w:rPr>
                <w:rFonts w:hint="eastAsia"/>
              </w:rPr>
              <w:t>国内短信对象</w:t>
            </w:r>
          </w:p>
        </w:tc>
        <w:tc>
          <w:tcPr>
            <w:tcW w:w="7346" w:type="dxa"/>
            <w:shd w:val="clear" w:color="auto" w:fill="auto"/>
          </w:tcPr>
          <w:p w14:paraId="3792F8B4">
            <w:pPr>
              <w:pStyle w:val="150"/>
            </w:pPr>
            <w:r>
              <w:rPr>
                <w:rFonts w:hint="eastAsia"/>
              </w:rPr>
              <w:t>通过下拉框选中创建的国内短信对象，用以对国内大陆地区的手机号进行短信认证。点击&lt;新建&gt;可以创建短信服务对象。</w:t>
            </w:r>
          </w:p>
          <w:p w14:paraId="1C5BD9A0">
            <w:pPr>
              <w:pStyle w:val="150"/>
            </w:pPr>
            <w:r>
              <w:rPr>
                <w:rFonts w:hint="eastAsia"/>
              </w:rPr>
              <w:t>国际短信区号：在下拉列表中选择当前所属国家或/地区的区号，用以在进行短信认证时，指定短信认证使用的短信接口，如果用户在短信认证时选择的区号与设备配置一致，则使用国内短信接口进行认证，如果不一致，则使用国际短信接口进行认证。</w:t>
            </w:r>
          </w:p>
        </w:tc>
      </w:tr>
      <w:tr w14:paraId="3A3E63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68" w:type="dxa"/>
            <w:shd w:val="clear" w:color="auto" w:fill="auto"/>
          </w:tcPr>
          <w:p w14:paraId="640C98E4">
            <w:pPr>
              <w:pStyle w:val="150"/>
            </w:pPr>
            <w:r>
              <w:rPr>
                <w:rFonts w:hint="eastAsia"/>
              </w:rPr>
              <w:t>内容描述</w:t>
            </w:r>
          </w:p>
        </w:tc>
        <w:tc>
          <w:tcPr>
            <w:tcW w:w="7346" w:type="dxa"/>
            <w:shd w:val="clear" w:color="auto" w:fill="auto"/>
          </w:tcPr>
          <w:p w14:paraId="52524C1A">
            <w:pPr>
              <w:pStyle w:val="150"/>
            </w:pPr>
            <w:r>
              <w:rPr>
                <w:rFonts w:hint="eastAsia"/>
              </w:rPr>
              <w:t>定制短信显示内容。长度为1-256个字符，必须包含标签 &lt;identifying-code&gt;，表示验证码。</w:t>
            </w:r>
          </w:p>
        </w:tc>
      </w:tr>
      <w:tr w14:paraId="618F8A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68" w:type="dxa"/>
            <w:shd w:val="clear" w:color="auto" w:fill="auto"/>
          </w:tcPr>
          <w:p w14:paraId="066EA39E">
            <w:pPr>
              <w:pStyle w:val="150"/>
            </w:pPr>
            <w:r>
              <w:rPr>
                <w:rFonts w:hint="eastAsia"/>
              </w:rPr>
              <w:t>国际短信对象</w:t>
            </w:r>
          </w:p>
        </w:tc>
        <w:tc>
          <w:tcPr>
            <w:tcW w:w="7346" w:type="dxa"/>
            <w:shd w:val="clear" w:color="auto" w:fill="auto"/>
          </w:tcPr>
          <w:p w14:paraId="5D878CB5">
            <w:pPr>
              <w:pStyle w:val="150"/>
            </w:pPr>
            <w:r>
              <w:rPr>
                <w:rFonts w:hint="eastAsia"/>
              </w:rPr>
              <w:t>在下拉列表中选择进行国际短信认证使用的短信对象，用以对国外地区手机号码进行短信认证。该短信对象需支持国际短信接口。</w:t>
            </w:r>
          </w:p>
          <w:p w14:paraId="342DF151">
            <w:pPr>
              <w:pStyle w:val="150"/>
            </w:pPr>
            <w:r>
              <w:rPr>
                <w:rFonts w:hint="eastAsia"/>
              </w:rPr>
              <w:t>点击&lt;新建&gt;可以创建短信服务对象。</w:t>
            </w:r>
          </w:p>
        </w:tc>
      </w:tr>
    </w:tbl>
    <w:p w14:paraId="5AAF84C3"/>
    <w:p w14:paraId="1A851298">
      <w:pPr>
        <w:pStyle w:val="6"/>
      </w:pPr>
      <w:bookmarkStart w:id="8333" w:name="_Toc68617577"/>
      <w:r>
        <w:rPr>
          <w:rFonts w:hint="eastAsia"/>
        </w:rPr>
        <w:t>配置短信认证策略</w:t>
      </w:r>
      <w:bookmarkEnd w:id="8333"/>
    </w:p>
    <w:p w14:paraId="7E271E51">
      <w:r>
        <w:rPr>
          <w:rFonts w:hint="eastAsia"/>
        </w:rPr>
        <w:t>在导航栏中选择“用户管理&gt;认证管理&gt;认证策略”，单击新建进入认证策略配置页面，启用认证策略，认证方式选择“短信认证”。有关认证策略配置的更多信息，请</w:t>
      </w:r>
      <w:r>
        <w:t>参考</w:t>
      </w:r>
      <w:r>
        <w:fldChar w:fldCharType="begin"/>
      </w:r>
      <w:r>
        <w:instrText xml:space="preserve"> REF _Ref393124501 \h  \* MERGEFORMAT </w:instrText>
      </w:r>
      <w:r>
        <w:fldChar w:fldCharType="separate"/>
      </w:r>
      <w:r>
        <w:rPr>
          <w:rFonts w:hint="eastAsia"/>
        </w:rPr>
        <w:t>认证</w:t>
      </w:r>
      <w:r>
        <w:t>策略</w:t>
      </w:r>
      <w:r>
        <w:fldChar w:fldCharType="end"/>
      </w:r>
      <w:r>
        <w:t>章节。</w:t>
      </w:r>
    </w:p>
    <w:p w14:paraId="3DC3061B">
      <w:pPr>
        <w:pStyle w:val="5"/>
      </w:pPr>
      <w:bookmarkStart w:id="8334" w:name="_Toc183719202"/>
      <w:bookmarkStart w:id="8335" w:name="_Toc25143"/>
      <w:bookmarkStart w:id="8336" w:name="_Toc157090939"/>
      <w:bookmarkStart w:id="8337" w:name="_Toc194081173"/>
      <w:bookmarkStart w:id="8338" w:name="_Toc196728501"/>
      <w:r>
        <w:t>Portal Server</w:t>
      </w:r>
      <w:r>
        <w:rPr>
          <w:rFonts w:hint="eastAsia"/>
        </w:rPr>
        <w:t>认证</w:t>
      </w:r>
      <w:bookmarkEnd w:id="8334"/>
      <w:bookmarkEnd w:id="8335"/>
      <w:bookmarkEnd w:id="8336"/>
      <w:bookmarkEnd w:id="8337"/>
      <w:bookmarkEnd w:id="8338"/>
    </w:p>
    <w:p w14:paraId="7DCE1D3C">
      <w:r>
        <w:rPr>
          <w:rFonts w:hint="eastAsia"/>
        </w:rPr>
        <w:t>启用Portal</w:t>
      </w:r>
      <w:r>
        <w:t xml:space="preserve"> </w:t>
      </w:r>
      <w:r>
        <w:rPr>
          <w:rFonts w:hint="eastAsia"/>
        </w:rPr>
        <w:t>Server认证功能后，用户打开浏览器访问互联网页面会被重定向到Portal服务器的认证界面，结合第三方认证服务器完成认证。</w:t>
      </w:r>
    </w:p>
    <w:p w14:paraId="6744886C">
      <w:r>
        <w:rPr>
          <w:rFonts w:hint="eastAsia"/>
        </w:rPr>
        <w:t>支持对接AAS服务器、IMC服务器和城市热点服务器。</w:t>
      </w:r>
    </w:p>
    <w:p w14:paraId="4B327A5D">
      <w:pPr>
        <w:pStyle w:val="6"/>
      </w:pPr>
      <w:r>
        <w:rPr>
          <w:rFonts w:hint="eastAsia"/>
        </w:rPr>
        <w:t>AAS认证</w:t>
      </w:r>
    </w:p>
    <w:p w14:paraId="6A8D2789">
      <w:r>
        <w:rPr>
          <w:rFonts w:hint="eastAsia"/>
        </w:rPr>
        <w:t xml:space="preserve">在导航栏中选择“用户管理 &gt; 认证管理 &gt; 认证方式 </w:t>
      </w:r>
      <w:r>
        <w:t>&gt; Portal Server</w:t>
      </w:r>
      <w:r>
        <w:rPr>
          <w:rFonts w:hint="eastAsia"/>
        </w:rPr>
        <w:t>”，进入</w:t>
      </w:r>
      <w:r>
        <w:t>Portal Server</w:t>
      </w:r>
      <w:r>
        <w:rPr>
          <w:rFonts w:hint="eastAsia"/>
        </w:rPr>
        <w:t>配置页面，Portal协议选择“AAS</w:t>
      </w:r>
      <w:r>
        <w:t xml:space="preserve"> </w:t>
      </w:r>
      <w:r>
        <w:rPr>
          <w:rFonts w:hint="eastAsia"/>
        </w:rPr>
        <w:t>Portal</w:t>
      </w:r>
      <w:r>
        <w:t xml:space="preserve"> 2.0</w:t>
      </w:r>
      <w:r>
        <w:rPr>
          <w:rFonts w:hint="eastAsia"/>
        </w:rPr>
        <w:t>”，配置与AAS认证服务器对接，如下图所示。</w:t>
      </w:r>
    </w:p>
    <w:p w14:paraId="4432A63C">
      <w:pPr>
        <w:pStyle w:val="188"/>
      </w:pPr>
      <w:bookmarkStart w:id="8339" w:name="_Ref6233855"/>
      <w:r>
        <w:rPr>
          <w:rFonts w:hint="eastAsia"/>
        </w:rPr>
        <w:t>Portal Server配置页面</w:t>
      </w:r>
      <w:bookmarkEnd w:id="8339"/>
      <w:r>
        <w:rPr>
          <w:rFonts w:hint="eastAsia"/>
        </w:rPr>
        <w:t>-AAS</w:t>
      </w:r>
      <w:r>
        <w:t xml:space="preserve"> </w:t>
      </w:r>
      <w:r>
        <w:rPr>
          <w:rFonts w:hint="eastAsia"/>
        </w:rPr>
        <w:t>Portal</w:t>
      </w:r>
      <w:r>
        <w:t xml:space="preserve"> 2.0</w:t>
      </w:r>
      <w:r>
        <w:rPr>
          <w:rFonts w:hint="eastAsia"/>
        </w:rPr>
        <w:t>协议</w:t>
      </w:r>
    </w:p>
    <w:p w14:paraId="6620221D">
      <w:pPr>
        <w:pStyle w:val="175"/>
      </w:pPr>
      <w:r>
        <w:drawing>
          <wp:inline distT="0" distB="0" distL="114300" distR="114300">
            <wp:extent cx="6112510" cy="3366135"/>
            <wp:effectExtent l="0" t="0" r="2540" b="5715"/>
            <wp:docPr id="612"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图片 66"/>
                    <pic:cNvPicPr>
                      <a:picLocks noChangeAspect="1"/>
                    </pic:cNvPicPr>
                  </pic:nvPicPr>
                  <pic:blipFill>
                    <a:blip r:embed="rId1017"/>
                    <a:stretch>
                      <a:fillRect/>
                    </a:stretch>
                  </pic:blipFill>
                  <pic:spPr>
                    <a:xfrm>
                      <a:off x="0" y="0"/>
                      <a:ext cx="6112510" cy="3366135"/>
                    </a:xfrm>
                    <a:prstGeom prst="rect">
                      <a:avLst/>
                    </a:prstGeom>
                    <a:noFill/>
                    <a:ln>
                      <a:noFill/>
                    </a:ln>
                  </pic:spPr>
                </pic:pic>
              </a:graphicData>
            </a:graphic>
          </wp:inline>
        </w:drawing>
      </w:r>
    </w:p>
    <w:p w14:paraId="79C995F6"/>
    <w:p w14:paraId="458AFFFE">
      <w:r>
        <w:rPr>
          <w:rFonts w:hint="eastAsia"/>
        </w:rPr>
        <w:t>页面的详细说明如下表所示。</w:t>
      </w:r>
    </w:p>
    <w:p w14:paraId="008B9668">
      <w:pPr>
        <w:pStyle w:val="183"/>
      </w:pPr>
      <w:bookmarkStart w:id="8340" w:name="_Ref6233862"/>
      <w:r>
        <w:rPr>
          <w:rFonts w:hint="eastAsia"/>
        </w:rPr>
        <w:t>Port Server</w:t>
      </w:r>
      <w:r>
        <w:t>-</w:t>
      </w:r>
      <w:r>
        <w:rPr>
          <w:rFonts w:hint="eastAsia"/>
        </w:rPr>
        <w:t>AAS</w:t>
      </w:r>
      <w:r>
        <w:t xml:space="preserve"> </w:t>
      </w:r>
      <w:r>
        <w:rPr>
          <w:rFonts w:hint="eastAsia"/>
        </w:rPr>
        <w:t>Portal</w:t>
      </w:r>
      <w:r>
        <w:t xml:space="preserve"> 2.0</w:t>
      </w:r>
      <w:r>
        <w:rPr>
          <w:rFonts w:hint="eastAsia"/>
        </w:rPr>
        <w:t>协议页面详细说明</w:t>
      </w:r>
      <w:bookmarkEnd w:id="8340"/>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230389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0615D32D">
            <w:pPr>
              <w:pStyle w:val="149"/>
              <w:wordWrap/>
              <w:rPr>
                <w:b/>
                <w:bCs/>
                <w:i w:val="0"/>
                <w:iCs w:val="0"/>
              </w:rPr>
            </w:pPr>
            <w:r>
              <w:rPr>
                <w:rFonts w:hint="eastAsia"/>
                <w:b/>
                <w:bCs/>
                <w:i w:val="0"/>
                <w:iCs w:val="0"/>
              </w:rPr>
              <w:t>项目</w:t>
            </w:r>
          </w:p>
        </w:tc>
        <w:tc>
          <w:tcPr>
            <w:tcW w:w="6816" w:type="dxa"/>
            <w:tcBorders>
              <w:tl2br w:val="nil"/>
              <w:tr2bl w:val="nil"/>
            </w:tcBorders>
            <w:shd w:val="clear" w:color="auto" w:fill="538135" w:themeFill="accent6" w:themeFillShade="BF"/>
            <w:vAlign w:val="center"/>
          </w:tcPr>
          <w:p w14:paraId="0E530C17">
            <w:pPr>
              <w:pStyle w:val="149"/>
              <w:wordWrap/>
              <w:rPr>
                <w:b/>
                <w:bCs/>
                <w:i w:val="0"/>
                <w:iCs w:val="0"/>
              </w:rPr>
            </w:pPr>
            <w:r>
              <w:rPr>
                <w:rFonts w:hint="eastAsia"/>
                <w:b/>
                <w:bCs/>
                <w:i w:val="0"/>
                <w:iCs w:val="0"/>
              </w:rPr>
              <w:t>说明</w:t>
            </w:r>
          </w:p>
        </w:tc>
      </w:tr>
      <w:tr w14:paraId="7F2BE3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9CA8E4A">
            <w:pPr>
              <w:pStyle w:val="150"/>
            </w:pPr>
            <w:r>
              <w:rPr>
                <w:rFonts w:hint="eastAsia"/>
              </w:rPr>
              <w:t>启用</w:t>
            </w:r>
          </w:p>
        </w:tc>
        <w:tc>
          <w:tcPr>
            <w:tcW w:w="6816" w:type="dxa"/>
            <w:shd w:val="clear" w:color="auto" w:fill="auto"/>
          </w:tcPr>
          <w:p w14:paraId="4AC192DC">
            <w:pPr>
              <w:pStyle w:val="150"/>
            </w:pPr>
            <w:r>
              <w:rPr>
                <w:rFonts w:hint="eastAsia"/>
              </w:rPr>
              <w:t>勾选复选框在设备上开启Portal认证。</w:t>
            </w:r>
          </w:p>
        </w:tc>
      </w:tr>
      <w:tr w14:paraId="42F2E4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1D3EB6A">
            <w:pPr>
              <w:pStyle w:val="150"/>
            </w:pPr>
            <w:r>
              <w:rPr>
                <w:rFonts w:hint="eastAsia"/>
              </w:rPr>
              <w:t>认证服务器</w:t>
            </w:r>
          </w:p>
        </w:tc>
        <w:tc>
          <w:tcPr>
            <w:tcW w:w="6816" w:type="dxa"/>
            <w:shd w:val="clear" w:color="auto" w:fill="auto"/>
          </w:tcPr>
          <w:p w14:paraId="49FB2623">
            <w:pPr>
              <w:pStyle w:val="150"/>
            </w:pPr>
            <w:r>
              <w:rPr>
                <w:rFonts w:hint="eastAsia"/>
              </w:rPr>
              <w:t>Portal认证使用的R</w:t>
            </w:r>
            <w:r>
              <w:t>ADIUS</w:t>
            </w:r>
            <w:r>
              <w:rPr>
                <w:rFonts w:hint="eastAsia"/>
              </w:rPr>
              <w:t>服务器或R</w:t>
            </w:r>
            <w:r>
              <w:t>ADIUS</w:t>
            </w:r>
            <w:r>
              <w:rPr>
                <w:rFonts w:hint="eastAsia"/>
              </w:rPr>
              <w:t>服务器组名称。</w:t>
            </w:r>
          </w:p>
        </w:tc>
      </w:tr>
      <w:tr w14:paraId="386F96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7B304B01">
            <w:pPr>
              <w:pStyle w:val="150"/>
            </w:pPr>
            <w:r>
              <w:t>P</w:t>
            </w:r>
            <w:r>
              <w:rPr>
                <w:rFonts w:hint="eastAsia"/>
              </w:rPr>
              <w:t>ortal协议</w:t>
            </w:r>
          </w:p>
        </w:tc>
        <w:tc>
          <w:tcPr>
            <w:tcW w:w="6816" w:type="dxa"/>
            <w:shd w:val="clear" w:color="auto" w:fill="auto"/>
          </w:tcPr>
          <w:p w14:paraId="06BA698A">
            <w:pPr>
              <w:pStyle w:val="150"/>
            </w:pPr>
            <w:r>
              <w:rPr>
                <w:rFonts w:hint="eastAsia"/>
              </w:rPr>
              <w:t>可选择AAS</w:t>
            </w:r>
            <w:r>
              <w:t xml:space="preserve"> </w:t>
            </w:r>
            <w:r>
              <w:rPr>
                <w:rFonts w:hint="eastAsia"/>
              </w:rPr>
              <w:t>Portal</w:t>
            </w:r>
            <w:r>
              <w:t xml:space="preserve"> 2.0</w:t>
            </w:r>
            <w:r>
              <w:rPr>
                <w:rFonts w:hint="eastAsia"/>
              </w:rPr>
              <w:t>、HUAWEI</w:t>
            </w:r>
            <w:r>
              <w:t xml:space="preserve"> </w:t>
            </w:r>
            <w:r>
              <w:rPr>
                <w:rFonts w:hint="eastAsia"/>
              </w:rPr>
              <w:t>Portal</w:t>
            </w:r>
            <w:r>
              <w:t xml:space="preserve"> 2.0</w:t>
            </w:r>
            <w:r>
              <w:rPr>
                <w:rFonts w:hint="eastAsia"/>
              </w:rPr>
              <w:t>和CMCC</w:t>
            </w:r>
            <w:r>
              <w:t>2.0</w:t>
            </w:r>
            <w:r>
              <w:rPr>
                <w:rFonts w:hint="eastAsia"/>
              </w:rPr>
              <w:t>，根据对接的Portal</w:t>
            </w:r>
            <w:r>
              <w:t xml:space="preserve"> </w:t>
            </w:r>
            <w:r>
              <w:rPr>
                <w:rFonts w:hint="eastAsia"/>
              </w:rPr>
              <w:t>服务器选择，此处选择AAS</w:t>
            </w:r>
            <w:r>
              <w:t xml:space="preserve"> </w:t>
            </w:r>
            <w:r>
              <w:rPr>
                <w:rFonts w:hint="eastAsia"/>
              </w:rPr>
              <w:t>Portal</w:t>
            </w:r>
            <w:r>
              <w:t xml:space="preserve"> 2.0</w:t>
            </w:r>
            <w:r>
              <w:rPr>
                <w:rFonts w:hint="eastAsia"/>
              </w:rPr>
              <w:t>。</w:t>
            </w:r>
          </w:p>
        </w:tc>
      </w:tr>
      <w:tr w14:paraId="487A1A2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9014" w:type="dxa"/>
            <w:gridSpan w:val="2"/>
            <w:shd w:val="clear" w:color="auto" w:fill="auto"/>
          </w:tcPr>
          <w:p w14:paraId="2BED44EE">
            <w:pPr>
              <w:pStyle w:val="150"/>
            </w:pPr>
            <w:r>
              <w:rPr>
                <w:rFonts w:hint="eastAsia"/>
              </w:rPr>
              <w:t>Portal服务器1</w:t>
            </w:r>
          </w:p>
        </w:tc>
      </w:tr>
      <w:tr w14:paraId="122D8B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F4B27A3">
            <w:pPr>
              <w:pStyle w:val="150"/>
            </w:pPr>
            <w:r>
              <w:rPr>
                <w:rFonts w:hint="eastAsia"/>
              </w:rPr>
              <w:t>服务器地址</w:t>
            </w:r>
          </w:p>
        </w:tc>
        <w:tc>
          <w:tcPr>
            <w:tcW w:w="6816" w:type="dxa"/>
            <w:shd w:val="clear" w:color="auto" w:fill="auto"/>
          </w:tcPr>
          <w:p w14:paraId="513C5249">
            <w:pPr>
              <w:pStyle w:val="150"/>
            </w:pPr>
            <w:r>
              <w:rPr>
                <w:rFonts w:hint="eastAsia"/>
              </w:rPr>
              <w:t>Portal服务器的IP地址或域名。</w:t>
            </w:r>
          </w:p>
        </w:tc>
      </w:tr>
      <w:tr w14:paraId="62EC59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78510E39">
            <w:pPr>
              <w:pStyle w:val="150"/>
            </w:pPr>
            <w:r>
              <w:rPr>
                <w:rFonts w:hint="eastAsia"/>
              </w:rPr>
              <w:t>端口</w:t>
            </w:r>
          </w:p>
        </w:tc>
        <w:tc>
          <w:tcPr>
            <w:tcW w:w="6816" w:type="dxa"/>
            <w:shd w:val="clear" w:color="auto" w:fill="auto"/>
          </w:tcPr>
          <w:p w14:paraId="589B8FE6">
            <w:pPr>
              <w:pStyle w:val="150"/>
            </w:pPr>
            <w:r>
              <w:rPr>
                <w:rFonts w:hint="eastAsia"/>
              </w:rPr>
              <w:t>Portal服务器的端口。</w:t>
            </w:r>
          </w:p>
        </w:tc>
      </w:tr>
      <w:tr w14:paraId="1E2173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203903A3">
            <w:pPr>
              <w:pStyle w:val="150"/>
            </w:pPr>
            <w:r>
              <w:rPr>
                <w:rFonts w:hint="eastAsia"/>
              </w:rPr>
              <w:t>认证密钥</w:t>
            </w:r>
          </w:p>
        </w:tc>
        <w:tc>
          <w:tcPr>
            <w:tcW w:w="6816" w:type="dxa"/>
            <w:shd w:val="clear" w:color="auto" w:fill="auto"/>
          </w:tcPr>
          <w:p w14:paraId="464D4A1F">
            <w:pPr>
              <w:pStyle w:val="150"/>
            </w:pPr>
            <w:r>
              <w:rPr>
                <w:rFonts w:hint="eastAsia"/>
              </w:rPr>
              <w:t>Portal服务器认证时校验的的密钥，需要与认证服务器对应的认证密钥一致。非必填项，如果认证服务器未配置认证密钥，则不需要填写。</w:t>
            </w:r>
          </w:p>
        </w:tc>
      </w:tr>
      <w:tr w14:paraId="5BF5F1F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44BB4F4">
            <w:pPr>
              <w:pStyle w:val="150"/>
            </w:pPr>
            <w:r>
              <w:rPr>
                <w:rFonts w:hint="eastAsia"/>
              </w:rPr>
              <w:t>认证URL</w:t>
            </w:r>
          </w:p>
        </w:tc>
        <w:tc>
          <w:tcPr>
            <w:tcW w:w="6816" w:type="dxa"/>
            <w:shd w:val="clear" w:color="auto" w:fill="auto"/>
          </w:tcPr>
          <w:p w14:paraId="6769ABF0">
            <w:pPr>
              <w:pStyle w:val="150"/>
            </w:pPr>
            <w:r>
              <w:rPr>
                <w:rFonts w:hint="eastAsia"/>
              </w:rPr>
              <w:t>设置Portal认证时的重新定向URL。</w:t>
            </w:r>
          </w:p>
        </w:tc>
      </w:tr>
      <w:tr w14:paraId="4505890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550CADB">
            <w:pPr>
              <w:pStyle w:val="150"/>
            </w:pPr>
            <w:r>
              <w:rPr>
                <w:rFonts w:hint="eastAsia"/>
              </w:rPr>
              <w:t>Portal服务器</w:t>
            </w:r>
            <w:r>
              <w:t>2</w:t>
            </w:r>
          </w:p>
        </w:tc>
        <w:tc>
          <w:tcPr>
            <w:tcW w:w="6816" w:type="dxa"/>
            <w:shd w:val="clear" w:color="auto" w:fill="auto"/>
          </w:tcPr>
          <w:p w14:paraId="0782EE88">
            <w:pPr>
              <w:pStyle w:val="150"/>
            </w:pPr>
            <w:r>
              <w:rPr>
                <w:rFonts w:hint="eastAsia"/>
              </w:rPr>
              <w:t>可以配置对接两个Portal服务器，配置同Portal服务器1</w:t>
            </w:r>
          </w:p>
        </w:tc>
      </w:tr>
      <w:tr w14:paraId="419BACF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065F503">
            <w:pPr>
              <w:pStyle w:val="150"/>
            </w:pPr>
            <w:r>
              <w:t>快速无感知</w:t>
            </w:r>
          </w:p>
        </w:tc>
        <w:tc>
          <w:tcPr>
            <w:tcW w:w="6816" w:type="dxa"/>
            <w:shd w:val="clear" w:color="auto" w:fill="auto"/>
          </w:tcPr>
          <w:p w14:paraId="62751B0D">
            <w:pPr>
              <w:pStyle w:val="150"/>
            </w:pPr>
            <w:r>
              <w:rPr>
                <w:rFonts w:hint="eastAsia"/>
              </w:rPr>
              <w:t>启用快速无感知功能后，通过Portal认证的用户由于超时下线后重新登录时无需再次认证。</w:t>
            </w:r>
          </w:p>
        </w:tc>
      </w:tr>
      <w:tr w14:paraId="00F493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C46A55F">
            <w:pPr>
              <w:pStyle w:val="150"/>
            </w:pPr>
            <w:r>
              <w:rPr>
                <w:rFonts w:hint="eastAsia"/>
              </w:rPr>
              <w:t>无感知认证方式</w:t>
            </w:r>
          </w:p>
        </w:tc>
        <w:tc>
          <w:tcPr>
            <w:tcW w:w="6816" w:type="dxa"/>
            <w:shd w:val="clear" w:color="auto" w:fill="auto"/>
          </w:tcPr>
          <w:p w14:paraId="0D42DEBE">
            <w:pPr>
              <w:pStyle w:val="150"/>
            </w:pPr>
            <w:r>
              <w:rPr>
                <w:rFonts w:hint="eastAsia"/>
              </w:rPr>
              <w:t>勾选“快速无感知”复选框后，可选择MAC绑定Portal查询和MAC绑定Radius查询两种方式。</w:t>
            </w:r>
          </w:p>
          <w:p w14:paraId="5967DF76">
            <w:pPr>
              <w:pStyle w:val="150"/>
            </w:pPr>
            <w:r>
              <w:rPr>
                <w:rFonts w:hint="eastAsia"/>
              </w:rPr>
              <w:t>对接城市热点服务器时需选择MAC绑定Radius查询。对接的服务器是AAS和IMC服务器时选择MAC绑定Portal查询。</w:t>
            </w:r>
          </w:p>
        </w:tc>
      </w:tr>
      <w:tr w14:paraId="6E7A3F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1D6E275">
            <w:pPr>
              <w:pStyle w:val="150"/>
            </w:pPr>
            <w:r>
              <w:rPr>
                <w:rFonts w:hint="eastAsia"/>
              </w:rPr>
              <w:t>超时时间</w:t>
            </w:r>
          </w:p>
        </w:tc>
        <w:tc>
          <w:tcPr>
            <w:tcW w:w="6816" w:type="dxa"/>
            <w:shd w:val="clear" w:color="auto" w:fill="auto"/>
          </w:tcPr>
          <w:p w14:paraId="6BBA8B2D">
            <w:pPr>
              <w:pStyle w:val="150"/>
            </w:pPr>
            <w:r>
              <w:rPr>
                <w:rFonts w:hint="eastAsia"/>
              </w:rPr>
              <w:t>用户认证的超时时间，在时间段内没有流量设备会强制用户下线。</w:t>
            </w:r>
          </w:p>
        </w:tc>
      </w:tr>
      <w:tr w14:paraId="19E7066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62E2D89B">
            <w:pPr>
              <w:pStyle w:val="150"/>
            </w:pPr>
            <w:r>
              <w:rPr>
                <w:rFonts w:hint="eastAsia"/>
              </w:rPr>
              <w:t>强制重登录间隔</w:t>
            </w:r>
          </w:p>
        </w:tc>
        <w:tc>
          <w:tcPr>
            <w:tcW w:w="6816" w:type="dxa"/>
            <w:shd w:val="clear" w:color="auto" w:fill="auto"/>
          </w:tcPr>
          <w:p w14:paraId="339C9AAF">
            <w:pPr>
              <w:pStyle w:val="150"/>
            </w:pPr>
            <w:r>
              <w:rPr>
                <w:rFonts w:hint="eastAsia"/>
              </w:rPr>
              <w:t>Portal认证的用户强制重登录时间，用户认证上线后，从用户登录时间开始，超时后，不管用户是否在线，系统都会将该用户强制下线。</w:t>
            </w:r>
          </w:p>
        </w:tc>
      </w:tr>
    </w:tbl>
    <w:p w14:paraId="4EECE37F"/>
    <w:p w14:paraId="70E06FAD">
      <w:pPr>
        <w:pStyle w:val="6"/>
      </w:pPr>
      <w:r>
        <w:rPr>
          <w:rFonts w:hint="eastAsia"/>
        </w:rPr>
        <w:t>城市热点认证</w:t>
      </w:r>
    </w:p>
    <w:p w14:paraId="6D29394E">
      <w:r>
        <w:rPr>
          <w:rFonts w:hint="eastAsia"/>
        </w:rPr>
        <w:t xml:space="preserve">在导航栏中选择“用户管理 &gt; 认证管理 &gt; 认证方式 </w:t>
      </w:r>
      <w:r>
        <w:t>&gt; Portal Server</w:t>
      </w:r>
      <w:r>
        <w:rPr>
          <w:rFonts w:hint="eastAsia"/>
        </w:rPr>
        <w:t>”，进入</w:t>
      </w:r>
      <w:r>
        <w:t>Portal Server</w:t>
      </w:r>
      <w:r>
        <w:rPr>
          <w:rFonts w:hint="eastAsia"/>
        </w:rPr>
        <w:t>配置页面，Portal协议选择“</w:t>
      </w:r>
      <w:r>
        <w:t>HUAWEI Portal 2.0</w:t>
      </w:r>
      <w:r>
        <w:rPr>
          <w:rFonts w:hint="eastAsia"/>
        </w:rPr>
        <w:t>”，配置与城市热点认证服务器对接，如下图所示。</w:t>
      </w:r>
    </w:p>
    <w:p w14:paraId="6188501B">
      <w:pPr>
        <w:pStyle w:val="188"/>
      </w:pPr>
      <w:r>
        <w:rPr>
          <w:rFonts w:hint="eastAsia"/>
        </w:rPr>
        <w:t>Portal Server配置页面-</w:t>
      </w:r>
      <w:r>
        <w:t>HUAWEI Portal 2.0</w:t>
      </w:r>
      <w:r>
        <w:rPr>
          <w:rFonts w:hint="eastAsia"/>
        </w:rPr>
        <w:t>协议</w:t>
      </w:r>
    </w:p>
    <w:p w14:paraId="457615DE">
      <w:pPr>
        <w:pStyle w:val="175"/>
      </w:pPr>
      <w:r>
        <w:drawing>
          <wp:inline distT="0" distB="0" distL="0" distR="0">
            <wp:extent cx="6120130" cy="4136390"/>
            <wp:effectExtent l="0" t="0" r="0" b="0"/>
            <wp:docPr id="614" name="图片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614"/>
                    <pic:cNvPicPr>
                      <a:picLocks noChangeAspect="1"/>
                    </pic:cNvPicPr>
                  </pic:nvPicPr>
                  <pic:blipFill>
                    <a:blip r:embed="rId1018"/>
                    <a:stretch>
                      <a:fillRect/>
                    </a:stretch>
                  </pic:blipFill>
                  <pic:spPr>
                    <a:xfrm>
                      <a:off x="0" y="0"/>
                      <a:ext cx="6120130" cy="4136390"/>
                    </a:xfrm>
                    <a:prstGeom prst="rect">
                      <a:avLst/>
                    </a:prstGeom>
                  </pic:spPr>
                </pic:pic>
              </a:graphicData>
            </a:graphic>
          </wp:inline>
        </w:drawing>
      </w:r>
    </w:p>
    <w:p w14:paraId="5E31BB5D"/>
    <w:p w14:paraId="34EDD732">
      <w:r>
        <w:rPr>
          <w:rFonts w:hint="eastAsia"/>
        </w:rPr>
        <w:t>页面的详细说明如下表所示。</w:t>
      </w:r>
    </w:p>
    <w:p w14:paraId="23656F09">
      <w:pPr>
        <w:pStyle w:val="183"/>
      </w:pPr>
      <w:r>
        <w:rPr>
          <w:rFonts w:hint="eastAsia"/>
        </w:rPr>
        <w:t>Port Server</w:t>
      </w:r>
      <w:r>
        <w:t>- HUAWEI Portal 2.0</w:t>
      </w:r>
      <w:r>
        <w:rPr>
          <w:rFonts w:hint="eastAsia"/>
        </w:rPr>
        <w:t>协议页面详细说明</w:t>
      </w:r>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7007A7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056165E5">
            <w:pPr>
              <w:pStyle w:val="149"/>
              <w:wordWrap/>
              <w:rPr>
                <w:b/>
                <w:bCs/>
                <w:i w:val="0"/>
                <w:iCs w:val="0"/>
              </w:rPr>
            </w:pPr>
            <w:r>
              <w:rPr>
                <w:rFonts w:hint="eastAsia"/>
                <w:b/>
                <w:bCs/>
                <w:i w:val="0"/>
                <w:iCs w:val="0"/>
              </w:rPr>
              <w:t>项目</w:t>
            </w:r>
          </w:p>
        </w:tc>
        <w:tc>
          <w:tcPr>
            <w:tcW w:w="6816" w:type="dxa"/>
            <w:tcBorders>
              <w:tl2br w:val="nil"/>
              <w:tr2bl w:val="nil"/>
            </w:tcBorders>
            <w:shd w:val="clear" w:color="auto" w:fill="538135" w:themeFill="accent6" w:themeFillShade="BF"/>
            <w:vAlign w:val="center"/>
          </w:tcPr>
          <w:p w14:paraId="048EA975">
            <w:pPr>
              <w:pStyle w:val="149"/>
              <w:wordWrap/>
              <w:rPr>
                <w:b/>
                <w:bCs/>
                <w:i w:val="0"/>
                <w:iCs w:val="0"/>
              </w:rPr>
            </w:pPr>
            <w:r>
              <w:rPr>
                <w:rFonts w:hint="eastAsia"/>
                <w:b/>
                <w:bCs/>
                <w:i w:val="0"/>
                <w:iCs w:val="0"/>
              </w:rPr>
              <w:t>说明</w:t>
            </w:r>
          </w:p>
        </w:tc>
      </w:tr>
      <w:tr w14:paraId="1E6B0A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70C002F4">
            <w:pPr>
              <w:pStyle w:val="150"/>
            </w:pPr>
            <w:r>
              <w:rPr>
                <w:rFonts w:hint="eastAsia"/>
              </w:rPr>
              <w:t>启用</w:t>
            </w:r>
          </w:p>
        </w:tc>
        <w:tc>
          <w:tcPr>
            <w:tcW w:w="6816" w:type="dxa"/>
            <w:shd w:val="clear" w:color="auto" w:fill="auto"/>
          </w:tcPr>
          <w:p w14:paraId="113E4F0B">
            <w:pPr>
              <w:pStyle w:val="150"/>
            </w:pPr>
            <w:r>
              <w:rPr>
                <w:rFonts w:hint="eastAsia"/>
              </w:rPr>
              <w:t>勾选复选框在设备上开启Portal认证。</w:t>
            </w:r>
          </w:p>
        </w:tc>
      </w:tr>
      <w:tr w14:paraId="41C7BDE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B90D238">
            <w:pPr>
              <w:pStyle w:val="150"/>
            </w:pPr>
            <w:r>
              <w:rPr>
                <w:rFonts w:hint="eastAsia"/>
              </w:rPr>
              <w:t>认证服务器</w:t>
            </w:r>
          </w:p>
        </w:tc>
        <w:tc>
          <w:tcPr>
            <w:tcW w:w="6816" w:type="dxa"/>
            <w:shd w:val="clear" w:color="auto" w:fill="auto"/>
          </w:tcPr>
          <w:p w14:paraId="4DDD6710">
            <w:pPr>
              <w:pStyle w:val="150"/>
            </w:pPr>
            <w:r>
              <w:rPr>
                <w:rFonts w:hint="eastAsia"/>
              </w:rPr>
              <w:t>Portal认证使用的R</w:t>
            </w:r>
            <w:r>
              <w:t>ADIUS</w:t>
            </w:r>
            <w:r>
              <w:rPr>
                <w:rFonts w:hint="eastAsia"/>
              </w:rPr>
              <w:t>服务器或R</w:t>
            </w:r>
            <w:r>
              <w:t>ADIUS</w:t>
            </w:r>
            <w:r>
              <w:rPr>
                <w:rFonts w:hint="eastAsia"/>
              </w:rPr>
              <w:t>服务器组名称。</w:t>
            </w:r>
          </w:p>
        </w:tc>
      </w:tr>
      <w:tr w14:paraId="67A78CF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26CD591B">
            <w:pPr>
              <w:pStyle w:val="150"/>
            </w:pPr>
            <w:r>
              <w:t>P</w:t>
            </w:r>
            <w:r>
              <w:rPr>
                <w:rFonts w:hint="eastAsia"/>
              </w:rPr>
              <w:t>ortal协议</w:t>
            </w:r>
          </w:p>
        </w:tc>
        <w:tc>
          <w:tcPr>
            <w:tcW w:w="6816" w:type="dxa"/>
            <w:shd w:val="clear" w:color="auto" w:fill="auto"/>
          </w:tcPr>
          <w:p w14:paraId="2EE022E6">
            <w:pPr>
              <w:pStyle w:val="150"/>
            </w:pPr>
            <w:r>
              <w:rPr>
                <w:rFonts w:hint="eastAsia"/>
              </w:rPr>
              <w:t>可选择AAS</w:t>
            </w:r>
            <w:r>
              <w:t xml:space="preserve"> </w:t>
            </w:r>
            <w:r>
              <w:rPr>
                <w:rFonts w:hint="eastAsia"/>
              </w:rPr>
              <w:t>Portal</w:t>
            </w:r>
            <w:r>
              <w:t xml:space="preserve"> 2.0</w:t>
            </w:r>
            <w:r>
              <w:rPr>
                <w:rFonts w:hint="eastAsia"/>
              </w:rPr>
              <w:t>、HUAWEI</w:t>
            </w:r>
            <w:r>
              <w:t xml:space="preserve"> </w:t>
            </w:r>
            <w:r>
              <w:rPr>
                <w:rFonts w:hint="eastAsia"/>
              </w:rPr>
              <w:t>Portal</w:t>
            </w:r>
            <w:r>
              <w:t xml:space="preserve"> 2.0</w:t>
            </w:r>
            <w:r>
              <w:rPr>
                <w:rFonts w:hint="eastAsia"/>
              </w:rPr>
              <w:t>和CMCC</w:t>
            </w:r>
            <w:r>
              <w:t>2.0</w:t>
            </w:r>
            <w:r>
              <w:rPr>
                <w:rFonts w:hint="eastAsia"/>
              </w:rPr>
              <w:t>，根据对接的Portal</w:t>
            </w:r>
            <w:r>
              <w:t xml:space="preserve"> </w:t>
            </w:r>
            <w:r>
              <w:rPr>
                <w:rFonts w:hint="eastAsia"/>
              </w:rPr>
              <w:t>服务器选择，此处选择HUAWEI</w:t>
            </w:r>
            <w:r>
              <w:t xml:space="preserve"> </w:t>
            </w:r>
            <w:r>
              <w:rPr>
                <w:rFonts w:hint="eastAsia"/>
              </w:rPr>
              <w:t>Portal</w:t>
            </w:r>
            <w:r>
              <w:t xml:space="preserve"> 2.0</w:t>
            </w:r>
            <w:r>
              <w:rPr>
                <w:rFonts w:hint="eastAsia"/>
              </w:rPr>
              <w:t>。</w:t>
            </w:r>
          </w:p>
        </w:tc>
      </w:tr>
      <w:tr w14:paraId="1F924A4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21D807DF">
            <w:pPr>
              <w:pStyle w:val="150"/>
            </w:pPr>
            <w:r>
              <w:rPr>
                <w:rFonts w:hint="eastAsia"/>
              </w:rPr>
              <w:t>服务器地址</w:t>
            </w:r>
          </w:p>
        </w:tc>
        <w:tc>
          <w:tcPr>
            <w:tcW w:w="6816" w:type="dxa"/>
            <w:shd w:val="clear" w:color="auto" w:fill="auto"/>
          </w:tcPr>
          <w:p w14:paraId="77B2C090">
            <w:pPr>
              <w:pStyle w:val="150"/>
            </w:pPr>
            <w:r>
              <w:rPr>
                <w:rFonts w:hint="eastAsia"/>
              </w:rPr>
              <w:t>Portal服务器的IP地址或域名。</w:t>
            </w:r>
          </w:p>
        </w:tc>
      </w:tr>
      <w:tr w14:paraId="3791EA2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A374F7E">
            <w:pPr>
              <w:pStyle w:val="150"/>
            </w:pPr>
            <w:r>
              <w:rPr>
                <w:rFonts w:hint="eastAsia"/>
              </w:rPr>
              <w:t>端口</w:t>
            </w:r>
          </w:p>
        </w:tc>
        <w:tc>
          <w:tcPr>
            <w:tcW w:w="6816" w:type="dxa"/>
            <w:shd w:val="clear" w:color="auto" w:fill="auto"/>
          </w:tcPr>
          <w:p w14:paraId="46F1713C">
            <w:pPr>
              <w:pStyle w:val="150"/>
            </w:pPr>
            <w:r>
              <w:rPr>
                <w:rFonts w:hint="eastAsia"/>
              </w:rPr>
              <w:t>Portal服务器的端口。</w:t>
            </w:r>
          </w:p>
        </w:tc>
      </w:tr>
      <w:tr w14:paraId="710E39D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73D1C950">
            <w:pPr>
              <w:pStyle w:val="150"/>
            </w:pPr>
            <w:r>
              <w:rPr>
                <w:rFonts w:hint="eastAsia"/>
              </w:rPr>
              <w:t>共享密钥</w:t>
            </w:r>
          </w:p>
        </w:tc>
        <w:tc>
          <w:tcPr>
            <w:tcW w:w="6816" w:type="dxa"/>
            <w:shd w:val="clear" w:color="auto" w:fill="auto"/>
          </w:tcPr>
          <w:p w14:paraId="522503C3">
            <w:pPr>
              <w:pStyle w:val="150"/>
            </w:pPr>
            <w:r>
              <w:rPr>
                <w:rFonts w:hint="eastAsia"/>
              </w:rPr>
              <w:t>必填项，Portal服务器校验的共享密钥，需要与认证服务器密钥一致。</w:t>
            </w:r>
          </w:p>
        </w:tc>
      </w:tr>
      <w:tr w14:paraId="66D7678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9CEADF3">
            <w:pPr>
              <w:pStyle w:val="150"/>
            </w:pPr>
            <w:r>
              <w:rPr>
                <w:rFonts w:hint="eastAsia"/>
              </w:rPr>
              <w:t>认证URL</w:t>
            </w:r>
          </w:p>
        </w:tc>
        <w:tc>
          <w:tcPr>
            <w:tcW w:w="6816" w:type="dxa"/>
            <w:shd w:val="clear" w:color="auto" w:fill="auto"/>
          </w:tcPr>
          <w:p w14:paraId="18F41507">
            <w:pPr>
              <w:pStyle w:val="150"/>
            </w:pPr>
            <w:r>
              <w:rPr>
                <w:rFonts w:hint="eastAsia"/>
              </w:rPr>
              <w:t>设置Portal认证时的重新定向URL。</w:t>
            </w:r>
          </w:p>
        </w:tc>
      </w:tr>
      <w:tr w14:paraId="6E3C4A5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70ABE33C">
            <w:pPr>
              <w:pStyle w:val="150"/>
            </w:pPr>
            <w:r>
              <w:t>快速无感知</w:t>
            </w:r>
          </w:p>
        </w:tc>
        <w:tc>
          <w:tcPr>
            <w:tcW w:w="6816" w:type="dxa"/>
            <w:shd w:val="clear" w:color="auto" w:fill="auto"/>
          </w:tcPr>
          <w:p w14:paraId="0D39674A">
            <w:pPr>
              <w:pStyle w:val="150"/>
            </w:pPr>
            <w:r>
              <w:rPr>
                <w:rFonts w:hint="eastAsia"/>
              </w:rPr>
              <w:t>启用快速无感知功能后，通过Portal认证的用户由于超时下线后重新登录时无需再次认证。</w:t>
            </w:r>
          </w:p>
        </w:tc>
      </w:tr>
      <w:tr w14:paraId="6EEC45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19FCB7E3">
            <w:pPr>
              <w:pStyle w:val="150"/>
            </w:pPr>
            <w:r>
              <w:rPr>
                <w:rFonts w:hint="eastAsia"/>
              </w:rPr>
              <w:t>无感知认证方式</w:t>
            </w:r>
          </w:p>
        </w:tc>
        <w:tc>
          <w:tcPr>
            <w:tcW w:w="6816" w:type="dxa"/>
            <w:shd w:val="clear" w:color="auto" w:fill="auto"/>
          </w:tcPr>
          <w:p w14:paraId="0F272FA6">
            <w:pPr>
              <w:pStyle w:val="150"/>
            </w:pPr>
            <w:r>
              <w:rPr>
                <w:rFonts w:hint="eastAsia"/>
              </w:rPr>
              <w:t>勾选“快速无感知”复选框后，可选择MAC绑定Portal查询和MAC绑定Radius查询两种方式。</w:t>
            </w:r>
          </w:p>
          <w:p w14:paraId="6D5B9EE9">
            <w:pPr>
              <w:pStyle w:val="150"/>
            </w:pPr>
            <w:r>
              <w:rPr>
                <w:rFonts w:hint="eastAsia"/>
              </w:rPr>
              <w:t>对接城市热点服务器时需选择MAC绑定Radius查询。对接的服务器是AAS和IMC服务器时选择MAC绑定Portal查询。</w:t>
            </w:r>
          </w:p>
        </w:tc>
      </w:tr>
      <w:tr w14:paraId="7B92E4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7942B975">
            <w:pPr>
              <w:pStyle w:val="150"/>
            </w:pPr>
            <w:r>
              <w:rPr>
                <w:rFonts w:hint="eastAsia"/>
              </w:rPr>
              <w:t>超时时间</w:t>
            </w:r>
          </w:p>
        </w:tc>
        <w:tc>
          <w:tcPr>
            <w:tcW w:w="6816" w:type="dxa"/>
            <w:shd w:val="clear" w:color="auto" w:fill="auto"/>
          </w:tcPr>
          <w:p w14:paraId="0FD1B82A">
            <w:pPr>
              <w:pStyle w:val="150"/>
            </w:pPr>
            <w:r>
              <w:rPr>
                <w:rFonts w:hint="eastAsia"/>
              </w:rPr>
              <w:t>用户认证的超时时间，在时间段内没有流量设备会强制用户下线。</w:t>
            </w:r>
          </w:p>
        </w:tc>
      </w:tr>
      <w:tr w14:paraId="0FD2115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D4464F3">
            <w:pPr>
              <w:pStyle w:val="150"/>
            </w:pPr>
            <w:r>
              <w:rPr>
                <w:rFonts w:hint="eastAsia"/>
              </w:rPr>
              <w:t>强制重登录间隔</w:t>
            </w:r>
          </w:p>
        </w:tc>
        <w:tc>
          <w:tcPr>
            <w:tcW w:w="6816" w:type="dxa"/>
            <w:shd w:val="clear" w:color="auto" w:fill="auto"/>
          </w:tcPr>
          <w:p w14:paraId="53E19305">
            <w:pPr>
              <w:pStyle w:val="150"/>
            </w:pPr>
            <w:r>
              <w:rPr>
                <w:rFonts w:hint="eastAsia"/>
              </w:rPr>
              <w:t>Portal认证的用户强制重登录时间，用户认证上线后，从用户登录时间开始，超时后，不管用户是否在线，系统都会将该用户强制下线。</w:t>
            </w:r>
          </w:p>
        </w:tc>
      </w:tr>
    </w:tbl>
    <w:p w14:paraId="08F101DE"/>
    <w:p w14:paraId="20E15666">
      <w:pPr>
        <w:pStyle w:val="6"/>
      </w:pPr>
      <w:r>
        <w:rPr>
          <w:rFonts w:hint="eastAsia"/>
        </w:rPr>
        <w:t>IMC认证</w:t>
      </w:r>
    </w:p>
    <w:p w14:paraId="7FBC5C18">
      <w:r>
        <w:rPr>
          <w:rFonts w:hint="eastAsia"/>
        </w:rPr>
        <w:t xml:space="preserve">在导航栏中选择“用户管理 &gt; 认证管理 &gt; 认证方式 </w:t>
      </w:r>
      <w:r>
        <w:t>&gt; Portal Server</w:t>
      </w:r>
      <w:r>
        <w:rPr>
          <w:rFonts w:hint="eastAsia"/>
        </w:rPr>
        <w:t>”，进入</w:t>
      </w:r>
      <w:r>
        <w:t>Portal Server</w:t>
      </w:r>
      <w:r>
        <w:rPr>
          <w:rFonts w:hint="eastAsia"/>
        </w:rPr>
        <w:t>配置页面，Portal协议选择“CMCC</w:t>
      </w:r>
      <w:r>
        <w:t xml:space="preserve"> 2.0</w:t>
      </w:r>
      <w:r>
        <w:rPr>
          <w:rFonts w:hint="eastAsia"/>
        </w:rPr>
        <w:t>”，配置与IMC认证服务器对接，如下图所示。</w:t>
      </w:r>
    </w:p>
    <w:p w14:paraId="78260B23">
      <w:pPr>
        <w:pStyle w:val="188"/>
      </w:pPr>
      <w:r>
        <w:rPr>
          <w:rFonts w:hint="eastAsia"/>
        </w:rPr>
        <w:t>Portal Server配置页面-CMCC</w:t>
      </w:r>
      <w:r>
        <w:t xml:space="preserve"> 2.0</w:t>
      </w:r>
      <w:r>
        <w:rPr>
          <w:rFonts w:hint="eastAsia"/>
        </w:rPr>
        <w:t>协议</w:t>
      </w:r>
    </w:p>
    <w:p w14:paraId="668638D2">
      <w:pPr>
        <w:pStyle w:val="175"/>
      </w:pPr>
      <w:r>
        <w:drawing>
          <wp:inline distT="0" distB="0" distL="0" distR="0">
            <wp:extent cx="5695950" cy="3625850"/>
            <wp:effectExtent l="0" t="0" r="0" b="0"/>
            <wp:docPr id="615" name="图片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图片 615"/>
                    <pic:cNvPicPr>
                      <a:picLocks noChangeAspect="1"/>
                    </pic:cNvPicPr>
                  </pic:nvPicPr>
                  <pic:blipFill>
                    <a:blip r:embed="rId1019"/>
                    <a:stretch>
                      <a:fillRect/>
                    </a:stretch>
                  </pic:blipFill>
                  <pic:spPr>
                    <a:xfrm>
                      <a:off x="0" y="0"/>
                      <a:ext cx="5705416" cy="3632334"/>
                    </a:xfrm>
                    <a:prstGeom prst="rect">
                      <a:avLst/>
                    </a:prstGeom>
                  </pic:spPr>
                </pic:pic>
              </a:graphicData>
            </a:graphic>
          </wp:inline>
        </w:drawing>
      </w:r>
    </w:p>
    <w:p w14:paraId="463EBAE9"/>
    <w:p w14:paraId="6F9568B0">
      <w:r>
        <w:rPr>
          <w:rFonts w:hint="eastAsia"/>
        </w:rPr>
        <w:t>页面的详细说明如下表所示。</w:t>
      </w:r>
    </w:p>
    <w:p w14:paraId="51DE254B">
      <w:pPr>
        <w:pStyle w:val="183"/>
      </w:pPr>
      <w:r>
        <w:rPr>
          <w:rFonts w:hint="eastAsia"/>
        </w:rPr>
        <w:t>Port Server</w:t>
      </w:r>
      <w:r>
        <w:t>-</w:t>
      </w:r>
      <w:r>
        <w:rPr>
          <w:rFonts w:hint="eastAsia"/>
        </w:rPr>
        <w:t xml:space="preserve"> CMCC</w:t>
      </w:r>
      <w:r>
        <w:t xml:space="preserve"> 2.0</w:t>
      </w:r>
      <w:r>
        <w:rPr>
          <w:rFonts w:hint="eastAsia"/>
        </w:rPr>
        <w:t>协议页面详细说明</w:t>
      </w:r>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357EA6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524983BD">
            <w:pPr>
              <w:pStyle w:val="149"/>
              <w:wordWrap/>
              <w:rPr>
                <w:b/>
                <w:bCs/>
                <w:i w:val="0"/>
                <w:iCs w:val="0"/>
              </w:rPr>
            </w:pPr>
            <w:r>
              <w:rPr>
                <w:rFonts w:hint="eastAsia"/>
                <w:b/>
                <w:bCs/>
                <w:i w:val="0"/>
                <w:iCs w:val="0"/>
              </w:rPr>
              <w:t>项目</w:t>
            </w:r>
          </w:p>
        </w:tc>
        <w:tc>
          <w:tcPr>
            <w:tcW w:w="6816" w:type="dxa"/>
            <w:tcBorders>
              <w:tl2br w:val="nil"/>
              <w:tr2bl w:val="nil"/>
            </w:tcBorders>
            <w:shd w:val="clear" w:color="auto" w:fill="538135" w:themeFill="accent6" w:themeFillShade="BF"/>
            <w:vAlign w:val="center"/>
          </w:tcPr>
          <w:p w14:paraId="694FCD2A">
            <w:pPr>
              <w:pStyle w:val="149"/>
              <w:wordWrap/>
              <w:rPr>
                <w:b/>
                <w:bCs/>
                <w:i w:val="0"/>
                <w:iCs w:val="0"/>
              </w:rPr>
            </w:pPr>
            <w:r>
              <w:rPr>
                <w:rFonts w:hint="eastAsia"/>
                <w:b/>
                <w:bCs/>
                <w:i w:val="0"/>
                <w:iCs w:val="0"/>
              </w:rPr>
              <w:t>说明</w:t>
            </w:r>
          </w:p>
        </w:tc>
      </w:tr>
      <w:tr w14:paraId="3927F0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6C5E845">
            <w:pPr>
              <w:pStyle w:val="150"/>
            </w:pPr>
            <w:r>
              <w:rPr>
                <w:rFonts w:hint="eastAsia"/>
              </w:rPr>
              <w:t>启用</w:t>
            </w:r>
          </w:p>
        </w:tc>
        <w:tc>
          <w:tcPr>
            <w:tcW w:w="6816" w:type="dxa"/>
            <w:shd w:val="clear" w:color="auto" w:fill="auto"/>
          </w:tcPr>
          <w:p w14:paraId="016C7743">
            <w:pPr>
              <w:pStyle w:val="150"/>
            </w:pPr>
            <w:r>
              <w:rPr>
                <w:rFonts w:hint="eastAsia"/>
              </w:rPr>
              <w:t>勾选复选框在设备上开启Portal认证。</w:t>
            </w:r>
          </w:p>
        </w:tc>
      </w:tr>
      <w:tr w14:paraId="2F6DA63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C4DA970">
            <w:pPr>
              <w:pStyle w:val="150"/>
            </w:pPr>
            <w:r>
              <w:rPr>
                <w:rFonts w:hint="eastAsia"/>
              </w:rPr>
              <w:t>认证服务器</w:t>
            </w:r>
          </w:p>
        </w:tc>
        <w:tc>
          <w:tcPr>
            <w:tcW w:w="6816" w:type="dxa"/>
            <w:shd w:val="clear" w:color="auto" w:fill="auto"/>
          </w:tcPr>
          <w:p w14:paraId="5A69FF22">
            <w:pPr>
              <w:pStyle w:val="150"/>
            </w:pPr>
            <w:r>
              <w:rPr>
                <w:rFonts w:hint="eastAsia"/>
              </w:rPr>
              <w:t>Portal认证使用的R</w:t>
            </w:r>
            <w:r>
              <w:t>ADIUS</w:t>
            </w:r>
            <w:r>
              <w:rPr>
                <w:rFonts w:hint="eastAsia"/>
              </w:rPr>
              <w:t>服务器或R</w:t>
            </w:r>
            <w:r>
              <w:t>ADIUS</w:t>
            </w:r>
            <w:r>
              <w:rPr>
                <w:rFonts w:hint="eastAsia"/>
              </w:rPr>
              <w:t>服务器组名称。</w:t>
            </w:r>
          </w:p>
        </w:tc>
      </w:tr>
      <w:tr w14:paraId="0FED8B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1C8DCD1E">
            <w:pPr>
              <w:pStyle w:val="150"/>
            </w:pPr>
            <w:r>
              <w:t>P</w:t>
            </w:r>
            <w:r>
              <w:rPr>
                <w:rFonts w:hint="eastAsia"/>
              </w:rPr>
              <w:t>ortal协议</w:t>
            </w:r>
          </w:p>
        </w:tc>
        <w:tc>
          <w:tcPr>
            <w:tcW w:w="6816" w:type="dxa"/>
            <w:shd w:val="clear" w:color="auto" w:fill="auto"/>
          </w:tcPr>
          <w:p w14:paraId="0702C288">
            <w:pPr>
              <w:pStyle w:val="150"/>
            </w:pPr>
            <w:r>
              <w:rPr>
                <w:rFonts w:hint="eastAsia"/>
              </w:rPr>
              <w:t>可选择AAS</w:t>
            </w:r>
            <w:r>
              <w:t xml:space="preserve"> </w:t>
            </w:r>
            <w:r>
              <w:rPr>
                <w:rFonts w:hint="eastAsia"/>
              </w:rPr>
              <w:t>Portal</w:t>
            </w:r>
            <w:r>
              <w:t xml:space="preserve"> 2.0</w:t>
            </w:r>
            <w:r>
              <w:rPr>
                <w:rFonts w:hint="eastAsia"/>
              </w:rPr>
              <w:t>、HUAWEI</w:t>
            </w:r>
            <w:r>
              <w:t xml:space="preserve"> </w:t>
            </w:r>
            <w:r>
              <w:rPr>
                <w:rFonts w:hint="eastAsia"/>
              </w:rPr>
              <w:t>Portal</w:t>
            </w:r>
            <w:r>
              <w:t xml:space="preserve"> 2.0</w:t>
            </w:r>
            <w:r>
              <w:rPr>
                <w:rFonts w:hint="eastAsia"/>
              </w:rPr>
              <w:t>和CMCC</w:t>
            </w:r>
            <w:r>
              <w:t>2.0</w:t>
            </w:r>
            <w:r>
              <w:rPr>
                <w:rFonts w:hint="eastAsia"/>
              </w:rPr>
              <w:t>，根据对接的Portal</w:t>
            </w:r>
            <w:r>
              <w:t xml:space="preserve"> </w:t>
            </w:r>
            <w:r>
              <w:rPr>
                <w:rFonts w:hint="eastAsia"/>
              </w:rPr>
              <w:t>服务器选择，此处选择AAS</w:t>
            </w:r>
            <w:r>
              <w:t xml:space="preserve"> </w:t>
            </w:r>
            <w:r>
              <w:rPr>
                <w:rFonts w:hint="eastAsia"/>
              </w:rPr>
              <w:t>Portal</w:t>
            </w:r>
            <w:r>
              <w:t xml:space="preserve"> 2.0</w:t>
            </w:r>
            <w:r>
              <w:rPr>
                <w:rFonts w:hint="eastAsia"/>
              </w:rPr>
              <w:t>。</w:t>
            </w:r>
          </w:p>
        </w:tc>
      </w:tr>
      <w:tr w14:paraId="0899CD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2710CB77">
            <w:pPr>
              <w:pStyle w:val="150"/>
            </w:pPr>
            <w:r>
              <w:rPr>
                <w:rFonts w:hint="eastAsia"/>
              </w:rPr>
              <w:t>服务器地址</w:t>
            </w:r>
          </w:p>
        </w:tc>
        <w:tc>
          <w:tcPr>
            <w:tcW w:w="6816" w:type="dxa"/>
            <w:shd w:val="clear" w:color="auto" w:fill="auto"/>
          </w:tcPr>
          <w:p w14:paraId="4A5A6321">
            <w:pPr>
              <w:pStyle w:val="150"/>
            </w:pPr>
            <w:r>
              <w:rPr>
                <w:rFonts w:hint="eastAsia"/>
              </w:rPr>
              <w:t>Portal服务器的IP地址或域名。</w:t>
            </w:r>
          </w:p>
        </w:tc>
      </w:tr>
      <w:tr w14:paraId="69F695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F5DDEF9">
            <w:pPr>
              <w:pStyle w:val="150"/>
            </w:pPr>
            <w:r>
              <w:rPr>
                <w:rFonts w:hint="eastAsia"/>
              </w:rPr>
              <w:t>端口</w:t>
            </w:r>
          </w:p>
        </w:tc>
        <w:tc>
          <w:tcPr>
            <w:tcW w:w="6816" w:type="dxa"/>
            <w:shd w:val="clear" w:color="auto" w:fill="auto"/>
          </w:tcPr>
          <w:p w14:paraId="1F3FB45A">
            <w:pPr>
              <w:pStyle w:val="150"/>
            </w:pPr>
            <w:r>
              <w:rPr>
                <w:rFonts w:hint="eastAsia"/>
              </w:rPr>
              <w:t>Portal服务器的端口。</w:t>
            </w:r>
          </w:p>
        </w:tc>
      </w:tr>
      <w:tr w14:paraId="776224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33D2EB54">
            <w:pPr>
              <w:pStyle w:val="150"/>
            </w:pPr>
            <w:r>
              <w:rPr>
                <w:rFonts w:hint="eastAsia"/>
              </w:rPr>
              <w:t>认证URL</w:t>
            </w:r>
          </w:p>
        </w:tc>
        <w:tc>
          <w:tcPr>
            <w:tcW w:w="6816" w:type="dxa"/>
            <w:shd w:val="clear" w:color="auto" w:fill="auto"/>
          </w:tcPr>
          <w:p w14:paraId="3D9AD174">
            <w:pPr>
              <w:pStyle w:val="150"/>
            </w:pPr>
            <w:r>
              <w:rPr>
                <w:rFonts w:hint="eastAsia"/>
              </w:rPr>
              <w:t>设置Portal认证时的重新定向URL。</w:t>
            </w:r>
          </w:p>
        </w:tc>
      </w:tr>
      <w:tr w14:paraId="0F9FA3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B101F44">
            <w:pPr>
              <w:pStyle w:val="150"/>
            </w:pPr>
            <w:r>
              <w:t>快速无感知</w:t>
            </w:r>
          </w:p>
        </w:tc>
        <w:tc>
          <w:tcPr>
            <w:tcW w:w="6816" w:type="dxa"/>
            <w:shd w:val="clear" w:color="auto" w:fill="auto"/>
          </w:tcPr>
          <w:p w14:paraId="048C2622">
            <w:pPr>
              <w:pStyle w:val="150"/>
            </w:pPr>
            <w:r>
              <w:rPr>
                <w:rFonts w:hint="eastAsia"/>
              </w:rPr>
              <w:t>启用快速无感知功能后，通过Portal认证的用户由于超时下线后重新登录时无需再次认证。</w:t>
            </w:r>
          </w:p>
        </w:tc>
      </w:tr>
      <w:tr w14:paraId="599419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7A447B85">
            <w:pPr>
              <w:pStyle w:val="150"/>
            </w:pPr>
            <w:r>
              <w:rPr>
                <w:rFonts w:hint="eastAsia"/>
              </w:rPr>
              <w:t>无感知认证方式</w:t>
            </w:r>
          </w:p>
        </w:tc>
        <w:tc>
          <w:tcPr>
            <w:tcW w:w="6816" w:type="dxa"/>
            <w:shd w:val="clear" w:color="auto" w:fill="auto"/>
          </w:tcPr>
          <w:p w14:paraId="30438CA9">
            <w:pPr>
              <w:pStyle w:val="150"/>
            </w:pPr>
            <w:r>
              <w:rPr>
                <w:rFonts w:hint="eastAsia"/>
              </w:rPr>
              <w:t>勾选“快速无感知”复选框后，可选择MAC绑定Portal查询和MAC绑定Radius查询两种方式。</w:t>
            </w:r>
          </w:p>
          <w:p w14:paraId="2A78063D">
            <w:pPr>
              <w:pStyle w:val="150"/>
            </w:pPr>
            <w:r>
              <w:rPr>
                <w:rFonts w:hint="eastAsia"/>
              </w:rPr>
              <w:t>对接城市热点服务器时需选择MAC绑定Radius查询。对接的服务器是AAS和IMC服务器时选择MAC绑定Portal查询。</w:t>
            </w:r>
          </w:p>
        </w:tc>
      </w:tr>
      <w:tr w14:paraId="746955E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21A88D5C">
            <w:pPr>
              <w:pStyle w:val="150"/>
            </w:pPr>
            <w:r>
              <w:rPr>
                <w:rFonts w:hint="eastAsia"/>
              </w:rPr>
              <w:t>超时时间</w:t>
            </w:r>
          </w:p>
        </w:tc>
        <w:tc>
          <w:tcPr>
            <w:tcW w:w="6816" w:type="dxa"/>
            <w:shd w:val="clear" w:color="auto" w:fill="auto"/>
          </w:tcPr>
          <w:p w14:paraId="5A43C1A9">
            <w:pPr>
              <w:pStyle w:val="150"/>
            </w:pPr>
            <w:r>
              <w:rPr>
                <w:rFonts w:hint="eastAsia"/>
              </w:rPr>
              <w:t>用户认证的超时时间，在时间段内没有流量设备会强制用户下线。</w:t>
            </w:r>
          </w:p>
        </w:tc>
      </w:tr>
      <w:tr w14:paraId="60352E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8121D4C">
            <w:pPr>
              <w:pStyle w:val="150"/>
            </w:pPr>
            <w:r>
              <w:rPr>
                <w:rFonts w:hint="eastAsia"/>
              </w:rPr>
              <w:t>强制重登录间隔</w:t>
            </w:r>
          </w:p>
        </w:tc>
        <w:tc>
          <w:tcPr>
            <w:tcW w:w="6816" w:type="dxa"/>
            <w:shd w:val="clear" w:color="auto" w:fill="auto"/>
          </w:tcPr>
          <w:p w14:paraId="39FAA914">
            <w:pPr>
              <w:pStyle w:val="150"/>
            </w:pPr>
            <w:r>
              <w:rPr>
                <w:rFonts w:hint="eastAsia"/>
              </w:rPr>
              <w:t>Portal认证的用户强制重登录时间，用户认证上线后，从用户登录时间开始，超时后，不管用户是否在线，系统都会将该用户强制下线。</w:t>
            </w:r>
          </w:p>
        </w:tc>
      </w:tr>
    </w:tbl>
    <w:p w14:paraId="73381F06"/>
    <w:bookmarkEnd w:id="8312"/>
    <w:bookmarkEnd w:id="8313"/>
    <w:bookmarkEnd w:id="8314"/>
    <w:bookmarkEnd w:id="8315"/>
    <w:p w14:paraId="4B0B245D">
      <w:pPr>
        <w:pStyle w:val="5"/>
      </w:pPr>
      <w:bookmarkStart w:id="8341" w:name="_Toc194081174"/>
      <w:bookmarkStart w:id="8342" w:name="_Toc40276398"/>
      <w:bookmarkStart w:id="8343" w:name="_Toc196728502"/>
      <w:bookmarkStart w:id="8344" w:name="_Toc141873529"/>
      <w:bookmarkStart w:id="8345" w:name="_Toc6237940"/>
      <w:bookmarkStart w:id="8346" w:name="_Toc99561614"/>
      <w:bookmarkStart w:id="8347" w:name="_Toc142401045"/>
      <w:bookmarkStart w:id="8348" w:name="_Toc15485213"/>
      <w:bookmarkStart w:id="8349" w:name="_Toc23152977"/>
      <w:bookmarkStart w:id="8350" w:name="_Toc172218293"/>
      <w:bookmarkStart w:id="8351" w:name="_Toc9006660"/>
      <w:bookmarkStart w:id="8352" w:name="_Toc40276374"/>
      <w:bookmarkStart w:id="8353" w:name="_Toc23152953"/>
      <w:bookmarkStart w:id="8354" w:name="_Toc15485189"/>
      <w:r>
        <w:rPr>
          <w:rFonts w:hint="eastAsia"/>
        </w:rPr>
        <w:t>Portal逃生</w:t>
      </w:r>
      <w:bookmarkEnd w:id="8341"/>
      <w:bookmarkEnd w:id="8342"/>
      <w:bookmarkEnd w:id="8343"/>
      <w:bookmarkEnd w:id="8344"/>
      <w:bookmarkEnd w:id="8345"/>
      <w:bookmarkEnd w:id="8346"/>
      <w:bookmarkEnd w:id="8347"/>
      <w:bookmarkEnd w:id="8348"/>
      <w:bookmarkEnd w:id="8349"/>
      <w:bookmarkEnd w:id="8350"/>
    </w:p>
    <w:p w14:paraId="057ECEF1">
      <w:pPr>
        <w:pStyle w:val="6"/>
      </w:pPr>
      <w:bookmarkStart w:id="8355" w:name="_Toc15485214"/>
      <w:bookmarkStart w:id="8356" w:name="_Toc40276399"/>
      <w:bookmarkStart w:id="8357" w:name="_Toc6237941"/>
      <w:bookmarkStart w:id="8358" w:name="_Toc23152978"/>
      <w:r>
        <w:t>P</w:t>
      </w:r>
      <w:r>
        <w:rPr>
          <w:rFonts w:hint="eastAsia"/>
        </w:rPr>
        <w:t>ortal逃生介绍</w:t>
      </w:r>
      <w:bookmarkEnd w:id="8355"/>
      <w:bookmarkEnd w:id="8356"/>
      <w:bookmarkEnd w:id="8357"/>
      <w:bookmarkEnd w:id="8358"/>
    </w:p>
    <w:p w14:paraId="6CD5AE24">
      <w:bookmarkStart w:id="8359" w:name="OLE_LINK102"/>
      <w:r>
        <w:rPr>
          <w:rFonts w:hint="eastAsia"/>
        </w:rPr>
        <w:t>启用Portal认证后，如果Portal服务器宕机会造成用户无法通过认证，无任何网络访问权限。Portal逃生即在接入设备探测到Portal服务器宕机时，授予用户特定的网络访问权限，满足基本的网络访问需求。</w:t>
      </w:r>
    </w:p>
    <w:p w14:paraId="5C869CED">
      <w:r>
        <w:rPr>
          <w:rFonts w:hint="eastAsia"/>
        </w:rPr>
        <w:t>已认证用户为：</w:t>
      </w:r>
      <w:bookmarkStart w:id="8360" w:name="OLE_LINK10"/>
      <w:bookmarkStart w:id="8361" w:name="OLE_LINK9"/>
      <w:r>
        <w:rPr>
          <w:rFonts w:hint="eastAsia"/>
        </w:rPr>
        <w:t>设备启动后新认证的在线用户和设备启动前曾经认证过的未在线用户</w:t>
      </w:r>
      <w:bookmarkEnd w:id="8360"/>
      <w:bookmarkEnd w:id="8361"/>
      <w:r>
        <w:rPr>
          <w:rFonts w:hint="eastAsia"/>
        </w:rPr>
        <w:t>。</w:t>
      </w:r>
    </w:p>
    <w:p w14:paraId="333F280F">
      <w:r>
        <w:rPr>
          <w:rFonts w:hint="eastAsia"/>
        </w:rPr>
        <w:t>Portal逃生包括以下两种模式：</w:t>
      </w:r>
    </w:p>
    <w:p w14:paraId="18F099E0">
      <w:pPr>
        <w:pStyle w:val="162"/>
      </w:pPr>
      <w:r>
        <w:rPr>
          <w:rFonts w:hint="eastAsia"/>
        </w:rPr>
        <w:t>全局逃生模式：</w:t>
      </w:r>
      <w:bookmarkStart w:id="8362" w:name="OLE_LINK3"/>
      <w:bookmarkStart w:id="8363" w:name="OLE_LINK4"/>
      <w:r>
        <w:rPr>
          <w:rFonts w:hint="eastAsia"/>
        </w:rPr>
        <w:t>开始逃生时，所有用户均可上网</w:t>
      </w:r>
      <w:bookmarkEnd w:id="8362"/>
      <w:bookmarkEnd w:id="8363"/>
      <w:r>
        <w:rPr>
          <w:rFonts w:hint="eastAsia"/>
        </w:rPr>
        <w:t>。</w:t>
      </w:r>
    </w:p>
    <w:p w14:paraId="614BD25B">
      <w:pPr>
        <w:pStyle w:val="162"/>
      </w:pPr>
      <w:r>
        <w:rPr>
          <w:rFonts w:hint="eastAsia"/>
        </w:rPr>
        <w:t>已认证用户逃生模式：开始逃生时，只有已认证用户才可上网。</w:t>
      </w:r>
    </w:p>
    <w:bookmarkEnd w:id="8359"/>
    <w:p w14:paraId="34D1DECD"/>
    <w:p w14:paraId="725D2DF8">
      <w:pPr>
        <w:pStyle w:val="6"/>
      </w:pPr>
      <w:bookmarkStart w:id="8364" w:name="_Toc6237942"/>
      <w:bookmarkStart w:id="8365" w:name="_Toc15485215"/>
      <w:bookmarkStart w:id="8366" w:name="_Toc40276400"/>
      <w:bookmarkStart w:id="8367" w:name="_Toc23152979"/>
      <w:r>
        <w:t>P</w:t>
      </w:r>
      <w:r>
        <w:rPr>
          <w:rFonts w:hint="eastAsia"/>
        </w:rPr>
        <w:t>ortal逃生的配置</w:t>
      </w:r>
      <w:bookmarkEnd w:id="8364"/>
      <w:bookmarkEnd w:id="8365"/>
      <w:bookmarkEnd w:id="8366"/>
      <w:bookmarkEnd w:id="8367"/>
    </w:p>
    <w:p w14:paraId="7BB97894">
      <w:r>
        <w:rPr>
          <w:rFonts w:hint="eastAsia"/>
        </w:rPr>
        <w:t>通过菜单“用户管理&gt;认证管理&gt;</w:t>
      </w:r>
      <w:r>
        <w:t>认证方式</w:t>
      </w:r>
      <w:r>
        <w:rPr>
          <w:rFonts w:hint="eastAsia"/>
        </w:rPr>
        <w:t>&gt;portal</w:t>
      </w:r>
      <w:r>
        <w:t xml:space="preserve"> </w:t>
      </w:r>
      <w:r>
        <w:rPr>
          <w:rFonts w:hint="eastAsia"/>
        </w:rPr>
        <w:t>server&gt;portal逃生”，进入如</w:t>
      </w:r>
      <w:r>
        <w:rPr>
          <w:color w:val="0000FF"/>
          <w:u w:val="single"/>
        </w:rPr>
        <w:fldChar w:fldCharType="begin"/>
      </w:r>
      <w:r>
        <w:rPr>
          <w:color w:val="0000FF"/>
          <w:u w:val="single"/>
        </w:rPr>
        <w:instrText xml:space="preserve"> </w:instrText>
      </w:r>
      <w:r>
        <w:rPr>
          <w:rFonts w:hint="eastAsia"/>
          <w:color w:val="0000FF"/>
          <w:u w:val="single"/>
        </w:rPr>
        <w:instrText xml:space="preserve">REF _Ref511048673 \r \h</w:instrText>
      </w:r>
      <w:r>
        <w:rPr>
          <w:color w:val="0000FF"/>
          <w:u w:val="single"/>
        </w:rPr>
        <w:instrText xml:space="preserve"> </w:instrText>
      </w:r>
      <w:r>
        <w:rPr>
          <w:color w:val="0000FF"/>
          <w:u w:val="single"/>
        </w:rPr>
        <w:fldChar w:fldCharType="separate"/>
      </w:r>
      <w:r>
        <w:rPr>
          <w:rFonts w:hint="eastAsia"/>
          <w:color w:val="0000FF"/>
          <w:u w:val="single"/>
        </w:rPr>
        <w:t>图31-36</w:t>
      </w:r>
      <w:r>
        <w:rPr>
          <w:color w:val="0000FF"/>
          <w:u w:val="single"/>
        </w:rPr>
        <w:fldChar w:fldCharType="end"/>
      </w:r>
      <w:r>
        <w:rPr>
          <w:rFonts w:hint="eastAsia"/>
        </w:rPr>
        <w:t>所示的页面。在该页面上，可以开启portal逃生的功能。</w:t>
      </w:r>
    </w:p>
    <w:p w14:paraId="1553BEC7">
      <w:pPr>
        <w:pStyle w:val="188"/>
      </w:pPr>
      <w:bookmarkStart w:id="8368" w:name="_Ref511048673"/>
      <w:bookmarkStart w:id="8369" w:name="_Toc141874797"/>
      <w:r>
        <w:rPr>
          <w:rFonts w:hint="eastAsia"/>
        </w:rPr>
        <w:t>开启portal逃生功能</w:t>
      </w:r>
      <w:bookmarkEnd w:id="8368"/>
      <w:bookmarkEnd w:id="8369"/>
    </w:p>
    <w:p w14:paraId="48CA9941">
      <w:r>
        <w:t xml:space="preserve"> </w:t>
      </w:r>
      <w:r>
        <w:drawing>
          <wp:inline distT="0" distB="0" distL="0" distR="0">
            <wp:extent cx="5219700" cy="2026920"/>
            <wp:effectExtent l="0" t="0" r="0" b="0"/>
            <wp:docPr id="3399" name="图片 3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9" name="图片 3399"/>
                    <pic:cNvPicPr>
                      <a:picLocks noChangeAspect="1"/>
                    </pic:cNvPicPr>
                  </pic:nvPicPr>
                  <pic:blipFill>
                    <a:blip r:embed="rId1020"/>
                    <a:stretch>
                      <a:fillRect/>
                    </a:stretch>
                  </pic:blipFill>
                  <pic:spPr>
                    <a:xfrm>
                      <a:off x="0" y="0"/>
                      <a:ext cx="5229859" cy="2031013"/>
                    </a:xfrm>
                    <a:prstGeom prst="rect">
                      <a:avLst/>
                    </a:prstGeom>
                  </pic:spPr>
                </pic:pic>
              </a:graphicData>
            </a:graphic>
          </wp:inline>
        </w:drawing>
      </w:r>
    </w:p>
    <w:p w14:paraId="1F663EF6"/>
    <w:p w14:paraId="308A2FDF">
      <w:r>
        <w:rPr>
          <w:rFonts w:hint="eastAsia"/>
        </w:rPr>
        <w:t>勾选“启用”地址探测，选择“地址探测对象”，进入如</w:t>
      </w:r>
      <w:r>
        <w:fldChar w:fldCharType="begin"/>
      </w:r>
      <w:r>
        <w:instrText xml:space="preserve"> </w:instrText>
      </w:r>
      <w:r>
        <w:rPr>
          <w:rFonts w:hint="eastAsia"/>
        </w:rPr>
        <w:instrText xml:space="preserve">REF _Ref511048684 \r \h</w:instrText>
      </w:r>
      <w:r>
        <w:instrText xml:space="preserve"> </w:instrText>
      </w:r>
      <w:r>
        <w:fldChar w:fldCharType="separate"/>
      </w:r>
      <w:r>
        <w:rPr>
          <w:rFonts w:hint="eastAsia"/>
        </w:rPr>
        <w:t>图31-37</w:t>
      </w:r>
      <w:r>
        <w:fldChar w:fldCharType="end"/>
      </w:r>
      <w:r>
        <w:rPr>
          <w:rFonts w:hint="eastAsia"/>
        </w:rPr>
        <w:t>所示的portal逃生的配置页面。</w:t>
      </w:r>
    </w:p>
    <w:p w14:paraId="405B42F2">
      <w:pPr>
        <w:pStyle w:val="188"/>
      </w:pPr>
      <w:bookmarkStart w:id="8370" w:name="_Ref511048684"/>
      <w:bookmarkStart w:id="8371" w:name="_Toc141874798"/>
      <w:r>
        <w:t>P</w:t>
      </w:r>
      <w:r>
        <w:rPr>
          <w:rFonts w:hint="eastAsia"/>
        </w:rPr>
        <w:t>ortal逃生选择地址探测对象</w:t>
      </w:r>
      <w:bookmarkEnd w:id="8370"/>
      <w:bookmarkEnd w:id="8371"/>
    </w:p>
    <w:p w14:paraId="08241BF4">
      <w:r>
        <w:drawing>
          <wp:inline distT="0" distB="0" distL="0" distR="0">
            <wp:extent cx="4619625" cy="2091055"/>
            <wp:effectExtent l="0" t="0" r="0" b="0"/>
            <wp:docPr id="3401" name="图片 3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1" name="图片 3401"/>
                    <pic:cNvPicPr>
                      <a:picLocks noChangeAspect="1"/>
                    </pic:cNvPicPr>
                  </pic:nvPicPr>
                  <pic:blipFill>
                    <a:blip r:embed="rId1021"/>
                    <a:stretch>
                      <a:fillRect/>
                    </a:stretch>
                  </pic:blipFill>
                  <pic:spPr>
                    <a:xfrm>
                      <a:off x="0" y="0"/>
                      <a:ext cx="4625541" cy="2094151"/>
                    </a:xfrm>
                    <a:prstGeom prst="rect">
                      <a:avLst/>
                    </a:prstGeom>
                  </pic:spPr>
                </pic:pic>
              </a:graphicData>
            </a:graphic>
          </wp:inline>
        </w:drawing>
      </w:r>
    </w:p>
    <w:p w14:paraId="6C51118A"/>
    <w:p w14:paraId="7D1ADA48">
      <w:pPr>
        <w:pStyle w:val="183"/>
      </w:pPr>
      <w:bookmarkStart w:id="8372" w:name="_Toc141875567"/>
      <w:r>
        <w:t>P</w:t>
      </w:r>
      <w:r>
        <w:rPr>
          <w:rFonts w:hint="eastAsia"/>
        </w:rPr>
        <w:t>ortal逃生的配置项含义</w:t>
      </w:r>
      <w:bookmarkEnd w:id="8372"/>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909"/>
        <w:gridCol w:w="6105"/>
      </w:tblGrid>
      <w:tr w14:paraId="530D9B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tcBorders>
              <w:tl2br w:val="nil"/>
              <w:tr2bl w:val="nil"/>
            </w:tcBorders>
            <w:shd w:val="clear" w:color="auto" w:fill="538135" w:themeFill="accent6" w:themeFillShade="BF"/>
            <w:vAlign w:val="center"/>
          </w:tcPr>
          <w:p w14:paraId="0A3505CE">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117" w:type="dxa"/>
            <w:tcBorders>
              <w:tl2br w:val="nil"/>
              <w:tr2bl w:val="nil"/>
            </w:tcBorders>
            <w:shd w:val="clear" w:color="auto" w:fill="538135" w:themeFill="accent6" w:themeFillShade="BF"/>
            <w:vAlign w:val="center"/>
          </w:tcPr>
          <w:p w14:paraId="2F2C56E0">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53AEB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4C07ECD6">
            <w:pPr>
              <w:pStyle w:val="150"/>
            </w:pPr>
            <w:r>
              <w:rPr>
                <w:rFonts w:hint="eastAsia"/>
              </w:rPr>
              <w:t>不启用</w:t>
            </w:r>
          </w:p>
        </w:tc>
        <w:tc>
          <w:tcPr>
            <w:tcW w:w="6117" w:type="dxa"/>
            <w:shd w:val="clear" w:color="auto" w:fill="auto"/>
          </w:tcPr>
          <w:p w14:paraId="6715AA80">
            <w:pPr>
              <w:pStyle w:val="150"/>
            </w:pPr>
            <w:r>
              <w:rPr>
                <w:rFonts w:hint="eastAsia"/>
              </w:rPr>
              <w:t>关闭portal功能。</w:t>
            </w:r>
          </w:p>
        </w:tc>
      </w:tr>
      <w:tr w14:paraId="370FE1B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0073439A">
            <w:pPr>
              <w:pStyle w:val="150"/>
            </w:pPr>
            <w:r>
              <w:rPr>
                <w:rFonts w:hint="eastAsia"/>
              </w:rPr>
              <w:t>全部用户逃生</w:t>
            </w:r>
          </w:p>
        </w:tc>
        <w:tc>
          <w:tcPr>
            <w:tcW w:w="6117" w:type="dxa"/>
            <w:shd w:val="clear" w:color="auto" w:fill="auto"/>
          </w:tcPr>
          <w:p w14:paraId="60F5216B">
            <w:pPr>
              <w:pStyle w:val="150"/>
            </w:pPr>
            <w:r>
              <w:rPr>
                <w:rFonts w:hint="eastAsia"/>
              </w:rPr>
              <w:t>开始逃生时，所有用户均可上网。</w:t>
            </w:r>
          </w:p>
        </w:tc>
      </w:tr>
      <w:tr w14:paraId="7C6688F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7753C2C2">
            <w:pPr>
              <w:pStyle w:val="150"/>
            </w:pPr>
            <w:r>
              <w:rPr>
                <w:rFonts w:hint="eastAsia"/>
              </w:rPr>
              <w:t>已认证用户逃生</w:t>
            </w:r>
          </w:p>
        </w:tc>
        <w:tc>
          <w:tcPr>
            <w:tcW w:w="6117" w:type="dxa"/>
            <w:shd w:val="clear" w:color="auto" w:fill="auto"/>
          </w:tcPr>
          <w:p w14:paraId="63638808">
            <w:pPr>
              <w:pStyle w:val="150"/>
            </w:pPr>
            <w:r>
              <w:rPr>
                <w:rFonts w:hint="eastAsia"/>
              </w:rPr>
              <w:t>开始逃生时，只有已认证用户才可上网。</w:t>
            </w:r>
          </w:p>
        </w:tc>
      </w:tr>
      <w:tr w14:paraId="774C52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04A1B225">
            <w:pPr>
              <w:pStyle w:val="150"/>
            </w:pPr>
            <w:r>
              <w:rPr>
                <w:rFonts w:hint="eastAsia"/>
              </w:rPr>
              <w:t>地址探测</w:t>
            </w:r>
          </w:p>
        </w:tc>
        <w:tc>
          <w:tcPr>
            <w:tcW w:w="6117" w:type="dxa"/>
            <w:shd w:val="clear" w:color="auto" w:fill="auto"/>
          </w:tcPr>
          <w:p w14:paraId="4A3BE851">
            <w:pPr>
              <w:pStyle w:val="150"/>
            </w:pPr>
            <w:r>
              <w:rPr>
                <w:rFonts w:hint="eastAsia"/>
              </w:rPr>
              <w:t>勾选复选框启用地址探测，并选择一个Portal服务器的IP地址。设备会探测Portal服务器是否存活以确定是否启用Portal逃生功能。</w:t>
            </w:r>
          </w:p>
        </w:tc>
      </w:tr>
    </w:tbl>
    <w:p w14:paraId="45F59D43"/>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1BD239B5">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50FA97C9">
            <w:pPr>
              <w:pStyle w:val="150"/>
              <w:adjustRightInd w:val="0"/>
              <w:snapToGrid w:val="0"/>
              <w:rPr>
                <w:color w:val="auto"/>
              </w:rPr>
            </w:pPr>
            <w:r>
              <w:rPr>
                <w:b/>
                <w:color w:val="auto"/>
              </w:rPr>
              <w:drawing>
                <wp:inline distT="0" distB="0" distL="0" distR="0">
                  <wp:extent cx="283210" cy="283210"/>
                  <wp:effectExtent l="0" t="0" r="2540" b="2540"/>
                  <wp:docPr id="927" name="图片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图片 92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63775C31">
            <w:pPr>
              <w:pStyle w:val="207"/>
              <w:adjustRightInd w:val="0"/>
              <w:snapToGrid w:val="0"/>
              <w:rPr>
                <w:color w:val="auto"/>
                <w:lang w:eastAsia="zh-CN"/>
              </w:rPr>
            </w:pPr>
            <w:r>
              <w:rPr>
                <w:rFonts w:hint="eastAsia"/>
                <w:color w:val="auto"/>
                <w:lang w:eastAsia="zh-CN"/>
              </w:rPr>
              <w:t>已认证用户逃生，包含设备启动后新认证的在线用户和设备启动前曾经认证过的未在线用户。</w:t>
            </w:r>
          </w:p>
          <w:p w14:paraId="7518BB89">
            <w:pPr>
              <w:pStyle w:val="207"/>
              <w:adjustRightInd w:val="0"/>
              <w:snapToGrid w:val="0"/>
              <w:rPr>
                <w:color w:val="auto"/>
                <w:lang w:eastAsia="zh-CN"/>
              </w:rPr>
            </w:pPr>
            <w:r>
              <w:rPr>
                <w:rFonts w:hint="eastAsia"/>
                <w:color w:val="auto"/>
                <w:lang w:eastAsia="zh-CN"/>
              </w:rPr>
              <w:t>对于全局逃生模式，要求在逃生时所有用户均可上网、逃生结束后未认证用户均需认证。也就意味着，在逃生期间在线用户不发生变动。</w:t>
            </w:r>
          </w:p>
          <w:p w14:paraId="50DF5AA6">
            <w:pPr>
              <w:pStyle w:val="207"/>
              <w:adjustRightInd w:val="0"/>
              <w:snapToGrid w:val="0"/>
              <w:rPr>
                <w:color w:val="auto"/>
                <w:lang w:eastAsia="zh-CN"/>
              </w:rPr>
            </w:pPr>
            <w:r>
              <w:rPr>
                <w:rFonts w:hint="eastAsia"/>
                <w:color w:val="auto"/>
                <w:lang w:eastAsia="zh-CN"/>
              </w:rPr>
              <w:t>1G内存设备存储规格为1000。</w:t>
            </w:r>
          </w:p>
          <w:p w14:paraId="23A57117">
            <w:pPr>
              <w:pStyle w:val="207"/>
              <w:adjustRightInd w:val="0"/>
              <w:snapToGrid w:val="0"/>
              <w:rPr>
                <w:color w:val="auto"/>
                <w:lang w:eastAsia="zh-CN"/>
              </w:rPr>
            </w:pPr>
            <w:r>
              <w:rPr>
                <w:rFonts w:hint="eastAsia"/>
                <w:color w:val="auto"/>
                <w:lang w:eastAsia="zh-CN"/>
              </w:rPr>
              <w:t>2G内存设备存储规格为5000。</w:t>
            </w:r>
          </w:p>
          <w:p w14:paraId="1CF05095">
            <w:pPr>
              <w:pStyle w:val="207"/>
              <w:adjustRightInd w:val="0"/>
              <w:snapToGrid w:val="0"/>
              <w:rPr>
                <w:color w:val="auto"/>
                <w:lang w:eastAsia="zh-CN"/>
              </w:rPr>
            </w:pPr>
            <w:r>
              <w:rPr>
                <w:rFonts w:hint="eastAsia"/>
                <w:color w:val="auto"/>
                <w:lang w:eastAsia="zh-CN"/>
              </w:rPr>
              <w:t>4G内存设备（含小于8G设备）存储规格为1W。</w:t>
            </w:r>
          </w:p>
          <w:p w14:paraId="389DE11F">
            <w:pPr>
              <w:pStyle w:val="207"/>
              <w:adjustRightInd w:val="0"/>
              <w:snapToGrid w:val="0"/>
              <w:rPr>
                <w:color w:val="auto"/>
                <w:lang w:eastAsia="zh-CN"/>
              </w:rPr>
            </w:pPr>
            <w:r>
              <w:rPr>
                <w:rFonts w:hint="eastAsia"/>
                <w:color w:val="auto"/>
                <w:lang w:eastAsia="zh-CN"/>
              </w:rPr>
              <w:t>8G及超8G内存设备规格为2W。</w:t>
            </w:r>
          </w:p>
        </w:tc>
      </w:tr>
    </w:tbl>
    <w:p w14:paraId="0749C91A"/>
    <w:p w14:paraId="34B49994">
      <w:pPr>
        <w:pStyle w:val="5"/>
      </w:pPr>
      <w:bookmarkStart w:id="8373" w:name="_Toc194081175"/>
      <w:bookmarkStart w:id="8374" w:name="_Toc141873530"/>
      <w:bookmarkStart w:id="8375" w:name="_Toc99561615"/>
      <w:bookmarkStart w:id="8376" w:name="_Toc172218294"/>
      <w:bookmarkStart w:id="8377" w:name="_Toc196728503"/>
      <w:bookmarkStart w:id="8378" w:name="_Toc142401046"/>
      <w:r>
        <w:rPr>
          <w:rFonts w:hint="eastAsia"/>
        </w:rPr>
        <w:t>免认证</w:t>
      </w:r>
      <w:bookmarkEnd w:id="8351"/>
      <w:bookmarkEnd w:id="8352"/>
      <w:bookmarkEnd w:id="8353"/>
      <w:bookmarkEnd w:id="8354"/>
      <w:bookmarkEnd w:id="8373"/>
      <w:bookmarkEnd w:id="8374"/>
      <w:bookmarkEnd w:id="8375"/>
      <w:bookmarkEnd w:id="8376"/>
      <w:bookmarkEnd w:id="8377"/>
      <w:bookmarkEnd w:id="8378"/>
    </w:p>
    <w:p w14:paraId="0F747FE9">
      <w:r>
        <w:rPr>
          <w:rFonts w:hint="eastAsia"/>
        </w:rPr>
        <w:t>启用免认证功能后，用户打开浏览器访问互联网页面时，无需提供任何认证信息，可以直接上线，或者被重定向到免认证界面，只需输入验证码即可上网。</w:t>
      </w:r>
    </w:p>
    <w:p w14:paraId="035BC984">
      <w:pPr>
        <w:pStyle w:val="202"/>
        <w:rPr>
          <w:lang w:eastAsia="zh-CN"/>
        </w:rPr>
      </w:pPr>
      <w:r>
        <w:rPr>
          <w:rFonts w:hint="eastAsia"/>
          <w:lang w:eastAsia="zh-CN"/>
        </w:rPr>
        <w:t>在导航栏中选择“用户管理&gt;认证管理&gt;认证方式</w:t>
      </w:r>
      <w:r>
        <w:rPr>
          <w:lang w:eastAsia="zh-CN"/>
        </w:rPr>
        <w:t>&gt;</w:t>
      </w:r>
      <w:r>
        <w:rPr>
          <w:rFonts w:hint="eastAsia"/>
          <w:lang w:eastAsia="zh-CN"/>
        </w:rPr>
        <w:t>免认证”，进入免认证配置页面，如</w:t>
      </w:r>
      <w:r>
        <w:rPr>
          <w:color w:val="0000FF"/>
          <w:u w:val="single"/>
        </w:rPr>
        <w:fldChar w:fldCharType="begin"/>
      </w:r>
      <w:r>
        <w:rPr>
          <w:lang w:eastAsia="zh-CN"/>
        </w:rPr>
        <w:instrText xml:space="preserve"> </w:instrText>
      </w:r>
      <w:r>
        <w:rPr>
          <w:rFonts w:hint="eastAsia"/>
          <w:lang w:eastAsia="zh-CN"/>
        </w:rPr>
        <w:instrText xml:space="preserve">REF _Ref6233903 \r \h</w:instrText>
      </w:r>
      <w:r>
        <w:rPr>
          <w:lang w:eastAsia="zh-CN"/>
        </w:rPr>
        <w:instrText xml:space="preserve"> </w:instrText>
      </w:r>
      <w:r>
        <w:rPr>
          <w:color w:val="0000FF"/>
          <w:u w:val="single"/>
        </w:rPr>
        <w:fldChar w:fldCharType="separate"/>
      </w:r>
      <w:r>
        <w:rPr>
          <w:rFonts w:hint="eastAsia"/>
          <w:lang w:eastAsia="zh-CN"/>
        </w:rPr>
        <w:t>图31-38</w:t>
      </w:r>
      <w:r>
        <w:rPr>
          <w:color w:val="0000FF"/>
          <w:u w:val="single"/>
        </w:rPr>
        <w:fldChar w:fldCharType="end"/>
      </w:r>
      <w:r>
        <w:rPr>
          <w:rFonts w:hint="eastAsia"/>
          <w:lang w:eastAsia="zh-CN"/>
        </w:rPr>
        <w:t>所示。</w:t>
      </w:r>
    </w:p>
    <w:p w14:paraId="734E8572">
      <w:pPr>
        <w:pStyle w:val="188"/>
      </w:pPr>
      <w:bookmarkStart w:id="8379" w:name="_Toc141874808"/>
      <w:bookmarkStart w:id="8380" w:name="_Ref6233903"/>
      <w:r>
        <w:rPr>
          <w:rFonts w:hint="eastAsia"/>
        </w:rPr>
        <w:t>免认证配置页面</w:t>
      </w:r>
      <w:bookmarkEnd w:id="8379"/>
      <w:bookmarkEnd w:id="8380"/>
    </w:p>
    <w:p w14:paraId="266264F8">
      <w:r>
        <w:drawing>
          <wp:inline distT="0" distB="0" distL="0" distR="0">
            <wp:extent cx="5648325" cy="2139950"/>
            <wp:effectExtent l="0" t="0" r="0"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1022"/>
                    <a:stretch>
                      <a:fillRect/>
                    </a:stretch>
                  </pic:blipFill>
                  <pic:spPr>
                    <a:xfrm>
                      <a:off x="0" y="0"/>
                      <a:ext cx="5653541" cy="2141999"/>
                    </a:xfrm>
                    <a:prstGeom prst="rect">
                      <a:avLst/>
                    </a:prstGeom>
                  </pic:spPr>
                </pic:pic>
              </a:graphicData>
            </a:graphic>
          </wp:inline>
        </w:drawing>
      </w:r>
    </w:p>
    <w:p w14:paraId="27C84FFE"/>
    <w:p w14:paraId="4AB18B34">
      <w:r>
        <w:rPr>
          <w:rFonts w:hint="eastAsia"/>
        </w:rPr>
        <w:t>页面的详细说明如</w:t>
      </w:r>
      <w:r>
        <w:rPr>
          <w:color w:val="0000FF"/>
          <w:u w:val="single"/>
        </w:rPr>
        <w:fldChar w:fldCharType="begin"/>
      </w:r>
      <w:r>
        <w:instrText xml:space="preserve"> </w:instrText>
      </w:r>
      <w:r>
        <w:rPr>
          <w:rFonts w:hint="eastAsia"/>
        </w:rPr>
        <w:instrText xml:space="preserve">REF _Ref6233909 \r \h</w:instrText>
      </w:r>
      <w:r>
        <w:instrText xml:space="preserve"> </w:instrText>
      </w:r>
      <w:r>
        <w:rPr>
          <w:color w:val="0000FF"/>
          <w:u w:val="single"/>
        </w:rPr>
        <w:fldChar w:fldCharType="separate"/>
      </w:r>
      <w:r>
        <w:rPr>
          <w:rFonts w:hint="eastAsia"/>
        </w:rPr>
        <w:t>表31-1</w:t>
      </w:r>
      <w:r>
        <w:rPr>
          <w:color w:val="0000FF"/>
          <w:u w:val="single"/>
        </w:rPr>
        <w:fldChar w:fldCharType="end"/>
      </w:r>
      <w:r>
        <w:rPr>
          <w:rFonts w:hint="eastAsia"/>
        </w:rPr>
        <w:t>所示。</w:t>
      </w:r>
    </w:p>
    <w:p w14:paraId="1836321E">
      <w:pPr>
        <w:pStyle w:val="183"/>
      </w:pPr>
      <w:bookmarkStart w:id="8381" w:name="_Toc141875568"/>
      <w:bookmarkStart w:id="8382" w:name="_Ref6233909"/>
      <w:r>
        <w:rPr>
          <w:rFonts w:hint="eastAsia"/>
        </w:rPr>
        <w:t>免认证配置页面详细说明</w:t>
      </w:r>
      <w:bookmarkEnd w:id="8381"/>
      <w:bookmarkEnd w:id="8382"/>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4B832D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722D75C6">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6" w:type="dxa"/>
            <w:tcBorders>
              <w:tl2br w:val="nil"/>
              <w:tr2bl w:val="nil"/>
            </w:tcBorders>
            <w:shd w:val="clear" w:color="auto" w:fill="538135" w:themeFill="accent6" w:themeFillShade="BF"/>
            <w:vAlign w:val="center"/>
          </w:tcPr>
          <w:p w14:paraId="550C14B4">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D27E35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26C1E16">
            <w:pPr>
              <w:pStyle w:val="150"/>
            </w:pPr>
            <w:r>
              <w:rPr>
                <w:rFonts w:hint="eastAsia"/>
              </w:rPr>
              <w:t>超时时间</w:t>
            </w:r>
          </w:p>
        </w:tc>
        <w:tc>
          <w:tcPr>
            <w:tcW w:w="6816" w:type="dxa"/>
            <w:shd w:val="clear" w:color="auto" w:fill="auto"/>
          </w:tcPr>
          <w:p w14:paraId="08CAF50F">
            <w:pPr>
              <w:pStyle w:val="150"/>
            </w:pPr>
            <w:r>
              <w:rPr>
                <w:rFonts w:hint="eastAsia"/>
              </w:rPr>
              <w:t>免认证用户超时时间，默认值为15分钟。</w:t>
            </w:r>
          </w:p>
        </w:tc>
      </w:tr>
      <w:tr w14:paraId="2EA8C5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2E4A7058">
            <w:pPr>
              <w:pStyle w:val="150"/>
            </w:pPr>
            <w:r>
              <w:rPr>
                <w:rFonts w:hint="eastAsia"/>
              </w:rPr>
              <w:t>强制重登录间隔</w:t>
            </w:r>
          </w:p>
        </w:tc>
        <w:tc>
          <w:tcPr>
            <w:tcW w:w="6816" w:type="dxa"/>
            <w:shd w:val="clear" w:color="auto" w:fill="auto"/>
          </w:tcPr>
          <w:p w14:paraId="78C4BD8D">
            <w:pPr>
              <w:pStyle w:val="150"/>
            </w:pPr>
            <w:r>
              <w:rPr>
                <w:rFonts w:hint="eastAsia"/>
              </w:rPr>
              <w:t>免认证的用户强制重登录时间，用户认证上线后，从用户登录时间开始，超时后，不管用户是否在线，系统都会将该用户强制下线。</w:t>
            </w:r>
          </w:p>
        </w:tc>
      </w:tr>
      <w:tr w14:paraId="5499E5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1BA9F1F0">
            <w:pPr>
              <w:pStyle w:val="150"/>
            </w:pPr>
            <w:r>
              <w:rPr>
                <w:rFonts w:hint="eastAsia"/>
              </w:rPr>
              <w:t>认证类型</w:t>
            </w:r>
          </w:p>
        </w:tc>
        <w:tc>
          <w:tcPr>
            <w:tcW w:w="6816" w:type="dxa"/>
            <w:shd w:val="clear" w:color="auto" w:fill="auto"/>
          </w:tcPr>
          <w:p w14:paraId="61B33EC8">
            <w:pPr>
              <w:pStyle w:val="150"/>
            </w:pPr>
            <w:r>
              <w:rPr>
                <w:rFonts w:hint="eastAsia"/>
              </w:rPr>
              <w:t>可以选择弹Portal上线和直接上线两种方式：</w:t>
            </w:r>
          </w:p>
          <w:p w14:paraId="347C5A25">
            <w:pPr>
              <w:pStyle w:val="150"/>
            </w:pPr>
            <w:r>
              <w:t>选择弹Portal</w:t>
            </w:r>
            <w:r>
              <w:rPr>
                <w:rFonts w:hint="eastAsia"/>
              </w:rPr>
              <w:t>：用户访问外网时弹出免认证页面，输入验证码进行验证后即可上网。</w:t>
            </w:r>
          </w:p>
          <w:p w14:paraId="219B0EF7">
            <w:pPr>
              <w:pStyle w:val="150"/>
            </w:pPr>
            <w:r>
              <w:t>直接上线</w:t>
            </w:r>
            <w:r>
              <w:rPr>
                <w:rFonts w:hint="eastAsia"/>
              </w:rPr>
              <w:t>：不弹出免认证页面直接可以上网。</w:t>
            </w:r>
          </w:p>
        </w:tc>
      </w:tr>
      <w:tr w14:paraId="114B7D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2EFA128B">
            <w:pPr>
              <w:pStyle w:val="150"/>
            </w:pPr>
            <w:r>
              <w:t>页面跳转设置</w:t>
            </w:r>
          </w:p>
        </w:tc>
        <w:tc>
          <w:tcPr>
            <w:tcW w:w="6816" w:type="dxa"/>
            <w:shd w:val="clear" w:color="auto" w:fill="auto"/>
          </w:tcPr>
          <w:p w14:paraId="4AA62980">
            <w:pPr>
              <w:pStyle w:val="150"/>
            </w:pPr>
            <w:r>
              <w:t>之前访问的页面</w:t>
            </w:r>
            <w:r>
              <w:rPr>
                <w:rFonts w:hint="eastAsia"/>
              </w:rPr>
              <w:t>：WEB认证成功后跳转到用户认证之前访问的页面。</w:t>
            </w:r>
          </w:p>
          <w:p w14:paraId="6392E685">
            <w:pPr>
              <w:pStyle w:val="150"/>
            </w:pPr>
            <w:r>
              <w:rPr>
                <w:rFonts w:hint="eastAsia"/>
              </w:rPr>
              <w:t>重定向URL：WEB认证成功后将重定向到指定的URL资源页面。</w:t>
            </w:r>
          </w:p>
          <w:p w14:paraId="15A2600D">
            <w:pPr>
              <w:pStyle w:val="150"/>
            </w:pPr>
            <w:r>
              <w:t>认证结果页面</w:t>
            </w:r>
            <w:r>
              <w:rPr>
                <w:rFonts w:hint="eastAsia"/>
              </w:rPr>
              <w:t>：WEB认证后跳转到认证登录结果页面。</w:t>
            </w:r>
          </w:p>
        </w:tc>
      </w:tr>
    </w:tbl>
    <w:p w14:paraId="180C53DA"/>
    <w:p w14:paraId="2BF98526">
      <w:pPr>
        <w:pStyle w:val="202"/>
      </w:pPr>
      <w:r>
        <w:rPr>
          <w:rFonts w:hint="eastAsia"/>
        </w:rPr>
        <w:t>配置认证策略</w:t>
      </w:r>
    </w:p>
    <w:p w14:paraId="1E75CA10">
      <w:r>
        <w:rPr>
          <w:rFonts w:hint="eastAsia"/>
        </w:rPr>
        <w:t>在导航栏中选择“用户管理&gt;认证管理&gt;认证策略”，配置认证策略，启用认证策略，认证方式选择“免认证”。有关认证策略配置的更多信息，请</w:t>
      </w:r>
      <w:r>
        <w:t>参考</w:t>
      </w:r>
      <w:r>
        <w:fldChar w:fldCharType="begin"/>
      </w:r>
      <w:r>
        <w:instrText xml:space="preserve"> REF _Ref393124501 \h  \* MERGEFORMAT </w:instrText>
      </w:r>
      <w:r>
        <w:fldChar w:fldCharType="separate"/>
      </w:r>
      <w:r>
        <w:rPr>
          <w:rFonts w:hint="eastAsia"/>
        </w:rPr>
        <w:t>认证</w:t>
      </w:r>
      <w:r>
        <w:t>策略</w:t>
      </w:r>
      <w:r>
        <w:fldChar w:fldCharType="end"/>
      </w:r>
      <w:r>
        <w:t>章节。</w:t>
      </w:r>
    </w:p>
    <w:p w14:paraId="27D597B0">
      <w:pPr>
        <w:pStyle w:val="5"/>
      </w:pPr>
      <w:bookmarkStart w:id="8383" w:name="_Toc23152970"/>
      <w:bookmarkStart w:id="8384" w:name="_Toc194081176"/>
      <w:bookmarkStart w:id="8385" w:name="_Toc141873531"/>
      <w:bookmarkStart w:id="8386" w:name="_Toc6234766"/>
      <w:bookmarkStart w:id="8387" w:name="_Toc196728504"/>
      <w:bookmarkStart w:id="8388" w:name="_Toc142401047"/>
      <w:bookmarkStart w:id="8389" w:name="_Toc40276391"/>
      <w:bookmarkStart w:id="8390" w:name="_Toc15485206"/>
      <w:bookmarkStart w:id="8391" w:name="_Toc172218295"/>
      <w:bookmarkStart w:id="8392" w:name="_Toc494295583"/>
      <w:bookmarkStart w:id="8393" w:name="_Toc99561662"/>
      <w:bookmarkStart w:id="8394" w:name="_Toc23152954"/>
      <w:bookmarkStart w:id="8395" w:name="_Toc99561616"/>
      <w:bookmarkStart w:id="8396" w:name="_Toc15485190"/>
      <w:bookmarkStart w:id="8397" w:name="_Toc5027649"/>
      <w:bookmarkStart w:id="8398" w:name="_Toc9006661"/>
      <w:bookmarkStart w:id="8399" w:name="_Toc40276375"/>
      <w:r>
        <w:rPr>
          <w:rFonts w:hint="eastAsia"/>
        </w:rPr>
        <w:t>单点登录</w:t>
      </w:r>
      <w:bookmarkEnd w:id="8383"/>
      <w:bookmarkEnd w:id="8384"/>
      <w:bookmarkEnd w:id="8385"/>
      <w:bookmarkEnd w:id="8386"/>
      <w:bookmarkEnd w:id="8387"/>
      <w:bookmarkEnd w:id="8388"/>
      <w:bookmarkEnd w:id="8389"/>
      <w:bookmarkEnd w:id="8390"/>
      <w:bookmarkEnd w:id="8391"/>
      <w:bookmarkEnd w:id="8392"/>
      <w:bookmarkEnd w:id="8393"/>
    </w:p>
    <w:p w14:paraId="4829068A">
      <w:pPr>
        <w:pStyle w:val="6"/>
      </w:pPr>
      <w:bookmarkStart w:id="8400" w:name="_Toc15485207"/>
      <w:bookmarkStart w:id="8401" w:name="_Toc23152971"/>
      <w:bookmarkStart w:id="8402" w:name="_Toc6234767"/>
      <w:bookmarkStart w:id="8403" w:name="_Toc99561663"/>
      <w:bookmarkStart w:id="8404" w:name="_Toc40276392"/>
      <w:r>
        <w:rPr>
          <w:rFonts w:hint="eastAsia"/>
        </w:rPr>
        <w:t>概述</w:t>
      </w:r>
      <w:bookmarkEnd w:id="8400"/>
      <w:bookmarkEnd w:id="8401"/>
      <w:bookmarkEnd w:id="8402"/>
      <w:bookmarkEnd w:id="8403"/>
      <w:bookmarkEnd w:id="8404"/>
    </w:p>
    <w:p w14:paraId="68ECC089">
      <w:r>
        <w:rPr>
          <w:rFonts w:hint="eastAsia"/>
        </w:rPr>
        <w:t>单点登录全称Single Sign On（以下简称SSO），是指在多系统应用群中登录一个系统，便可在其他系统中得到授权而无需再次登录，包括单点登录与单点注销两部分。</w:t>
      </w:r>
    </w:p>
    <w:p w14:paraId="5DA330E4">
      <w:r>
        <w:rPr>
          <w:rFonts w:hint="eastAsia"/>
        </w:rPr>
        <w:t>AD域单点登录功能是指用户通过登录AD域服务器，实现Windows 登录和上网的账号认证。当用户通过域账号登录到某个AD 域后，不需要再输入账号密码，自动通过设备的上网认证，实现单点登录功能。</w:t>
      </w:r>
    </w:p>
    <w:p w14:paraId="589794F6">
      <w:pPr>
        <w:pStyle w:val="6"/>
      </w:pPr>
      <w:bookmarkStart w:id="8405" w:name="_Toc40276393"/>
      <w:bookmarkStart w:id="8406" w:name="_Toc15485208"/>
      <w:bookmarkStart w:id="8407" w:name="_Toc99561664"/>
      <w:bookmarkStart w:id="8408" w:name="_Toc494295585"/>
      <w:bookmarkStart w:id="8409" w:name="_Toc6234768"/>
      <w:bookmarkStart w:id="8410" w:name="_Toc23152972"/>
      <w:r>
        <w:t>原理描述</w:t>
      </w:r>
      <w:bookmarkEnd w:id="8405"/>
      <w:bookmarkEnd w:id="8406"/>
      <w:bookmarkEnd w:id="8407"/>
      <w:bookmarkEnd w:id="8408"/>
      <w:bookmarkEnd w:id="8409"/>
      <w:bookmarkEnd w:id="8410"/>
    </w:p>
    <w:p w14:paraId="4A3A7E0E">
      <w:r>
        <w:rPr>
          <w:rFonts w:hint="eastAsia"/>
        </w:rPr>
        <w:t>AD域服务器配置组策略，加载sso_setup.exe脚本（登录脚本），当用户以域账号正常登录AD域服务器时，获取到相应组策略，执行sso_setup.exe脚本向网关发送认证登录报文；当域用户从域中注销时，执行sso_setup.exe脚本向网关发送注销报文，AD域服务器首次配置完成后，整个认证登录、注销过程都不需要用户参与。</w:t>
      </w:r>
    </w:p>
    <w:p w14:paraId="4102AD03">
      <w:r>
        <w:rPr>
          <w:rFonts w:hint="eastAsia"/>
        </w:rPr>
        <w:t>网关监听指定的udp端口，接收域用户通过登录脚本发送的域用户单点登录信息。</w:t>
      </w:r>
    </w:p>
    <w:p w14:paraId="1EB42256">
      <w:r>
        <w:rPr>
          <w:rFonts w:hint="eastAsia"/>
        </w:rPr>
        <w:t>登录报文加密传输，且可防止回放攻击。</w:t>
      </w:r>
    </w:p>
    <w:p w14:paraId="7F95F356">
      <w:r>
        <w:rPr>
          <w:rFonts w:hint="eastAsia"/>
        </w:rPr>
        <w:t>网关设备收到登录报文后，对报文信息进行校验，校验通过后对用户执行登录操作，若收到退出报文，则对用户执行注销操作。</w:t>
      </w:r>
    </w:p>
    <w:p w14:paraId="7A2EDF96">
      <w:r>
        <w:rPr>
          <w:rFonts w:hint="eastAsia"/>
        </w:rPr>
        <w:t>单点登录配置、登录流程如下：</w:t>
      </w:r>
    </w:p>
    <w:p w14:paraId="73448629">
      <w:pPr>
        <w:pStyle w:val="202"/>
        <w:rPr>
          <w:lang w:eastAsia="zh-CN"/>
        </w:rPr>
      </w:pPr>
      <w:r>
        <w:rPr>
          <w:rFonts w:hint="eastAsia"/>
          <w:lang w:eastAsia="zh-CN"/>
        </w:rPr>
        <w:t>域管理员配置AD域服务器，加载用户上下线时需执行的脚本程序。</w:t>
      </w:r>
    </w:p>
    <w:p w14:paraId="26DBB8B9">
      <w:pPr>
        <w:pStyle w:val="202"/>
        <w:rPr>
          <w:lang w:eastAsia="zh-CN"/>
        </w:rPr>
      </w:pPr>
      <w:r>
        <w:rPr>
          <w:rFonts w:hint="eastAsia"/>
          <w:lang w:eastAsia="zh-CN"/>
        </w:rPr>
        <w:t>网关开启单点登录功能，配置通信密钥，配置单点登录认证策略。</w:t>
      </w:r>
    </w:p>
    <w:p w14:paraId="564A655A">
      <w:pPr>
        <w:pStyle w:val="202"/>
        <w:rPr>
          <w:lang w:eastAsia="zh-CN"/>
        </w:rPr>
      </w:pPr>
      <w:r>
        <w:rPr>
          <w:rFonts w:hint="eastAsia"/>
          <w:lang w:eastAsia="zh-CN"/>
        </w:rPr>
        <w:t>域用户成功登录域服务器，执行登录脚本，向网关发送认证消息。</w:t>
      </w:r>
    </w:p>
    <w:p w14:paraId="7F1F06DB">
      <w:pPr>
        <w:pStyle w:val="202"/>
        <w:rPr>
          <w:lang w:eastAsia="zh-CN"/>
        </w:rPr>
      </w:pPr>
      <w:r>
        <w:rPr>
          <w:rFonts w:hint="eastAsia"/>
          <w:lang w:eastAsia="zh-CN"/>
        </w:rPr>
        <w:t>网关收到认证报文后，自动完成用户上网认证；收到注销报文，自动完成用户注销。</w:t>
      </w:r>
    </w:p>
    <w:p w14:paraId="6457059A">
      <w:pPr>
        <w:pStyle w:val="6"/>
      </w:pPr>
      <w:bookmarkStart w:id="8411" w:name="_Toc40276394"/>
      <w:bookmarkStart w:id="8412" w:name="_Toc15485209"/>
      <w:bookmarkStart w:id="8413" w:name="_Toc99561665"/>
      <w:bookmarkStart w:id="8414" w:name="_Toc494295586"/>
      <w:bookmarkStart w:id="8415" w:name="_Toc23152973"/>
      <w:bookmarkStart w:id="8416" w:name="_Toc6234769"/>
      <w:r>
        <w:rPr>
          <w:rFonts w:hint="eastAsia"/>
        </w:rPr>
        <w:t>配置单点登录</w:t>
      </w:r>
      <w:bookmarkEnd w:id="8411"/>
      <w:bookmarkEnd w:id="8412"/>
      <w:bookmarkEnd w:id="8413"/>
      <w:bookmarkEnd w:id="8414"/>
      <w:bookmarkEnd w:id="8415"/>
      <w:bookmarkEnd w:id="8416"/>
    </w:p>
    <w:p w14:paraId="797EE37F">
      <w:bookmarkStart w:id="8417" w:name="_Toc40276395"/>
      <w:bookmarkStart w:id="8418" w:name="_Toc15485210"/>
      <w:bookmarkStart w:id="8419" w:name="_Toc23152974"/>
      <w:bookmarkStart w:id="8420" w:name="_Toc6234770"/>
      <w:bookmarkStart w:id="8421" w:name="_Toc99561666"/>
      <w:r>
        <w:t>配置单点登录全局参数</w:t>
      </w:r>
      <w:bookmarkEnd w:id="8417"/>
      <w:bookmarkEnd w:id="8418"/>
      <w:bookmarkEnd w:id="8419"/>
      <w:bookmarkEnd w:id="8420"/>
      <w:bookmarkEnd w:id="8421"/>
    </w:p>
    <w:p w14:paraId="13EA7753">
      <w:r>
        <w:rPr>
          <w:rFonts w:hint="eastAsia"/>
        </w:rPr>
        <w:t>在导航栏中选择“用户管理 &gt; 认证管理 &gt; 认证方式 &gt; 单点登录”，进入单点登录全局参数配置页面，如</w:t>
      </w:r>
      <w:r>
        <w:rPr>
          <w:color w:val="0000FF"/>
          <w:u w:val="single"/>
        </w:rPr>
        <w:fldChar w:fldCharType="begin"/>
      </w:r>
      <w:r>
        <w:rPr>
          <w:color w:val="0000FF"/>
          <w:u w:val="single"/>
        </w:rPr>
        <w:instrText xml:space="preserve"> </w:instrText>
      </w:r>
      <w:r>
        <w:rPr>
          <w:rFonts w:hint="eastAsia"/>
          <w:color w:val="0000FF"/>
          <w:u w:val="single"/>
        </w:rPr>
        <w:instrText xml:space="preserve">REF _Ref495479987 \r \h</w:instrText>
      </w:r>
      <w:r>
        <w:rPr>
          <w:color w:val="0000FF"/>
          <w:u w:val="single"/>
        </w:rPr>
        <w:instrText xml:space="preserve"> </w:instrText>
      </w:r>
      <w:r>
        <w:rPr>
          <w:color w:val="0000FF"/>
          <w:u w:val="single"/>
        </w:rPr>
        <w:fldChar w:fldCharType="separate"/>
      </w:r>
      <w:r>
        <w:rPr>
          <w:rFonts w:hint="eastAsia"/>
          <w:color w:val="0000FF"/>
          <w:u w:val="single"/>
        </w:rPr>
        <w:t>图31-39</w:t>
      </w:r>
      <w:r>
        <w:rPr>
          <w:color w:val="0000FF"/>
          <w:u w:val="single"/>
        </w:rPr>
        <w:fldChar w:fldCharType="end"/>
      </w:r>
      <w:r>
        <w:rPr>
          <w:rFonts w:hint="eastAsia"/>
        </w:rPr>
        <w:t>所示</w:t>
      </w:r>
    </w:p>
    <w:p w14:paraId="24F06C1E">
      <w:pPr>
        <w:pStyle w:val="188"/>
      </w:pPr>
      <w:bookmarkStart w:id="8422" w:name="_Ref495479987"/>
      <w:bookmarkStart w:id="8423" w:name="_Toc141874809"/>
      <w:r>
        <w:rPr>
          <w:rFonts w:hint="eastAsia"/>
        </w:rPr>
        <w:t>单点登录全局参数配置页面</w:t>
      </w:r>
      <w:bookmarkEnd w:id="8422"/>
      <w:bookmarkEnd w:id="8423"/>
    </w:p>
    <w:p w14:paraId="367080E2">
      <w:pPr>
        <w:spacing w:before="79" w:after="79"/>
      </w:pPr>
      <w:r>
        <w:drawing>
          <wp:inline distT="0" distB="0" distL="0" distR="0">
            <wp:extent cx="5334000" cy="2183130"/>
            <wp:effectExtent l="0" t="0" r="0" b="762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1023"/>
                    <a:stretch>
                      <a:fillRect/>
                    </a:stretch>
                  </pic:blipFill>
                  <pic:spPr>
                    <a:xfrm>
                      <a:off x="0" y="0"/>
                      <a:ext cx="5353666" cy="2191348"/>
                    </a:xfrm>
                    <a:prstGeom prst="rect">
                      <a:avLst/>
                    </a:prstGeom>
                  </pic:spPr>
                </pic:pic>
              </a:graphicData>
            </a:graphic>
          </wp:inline>
        </w:drawing>
      </w:r>
    </w:p>
    <w:p w14:paraId="150D2A9B"/>
    <w:p w14:paraId="3528413E">
      <w:r>
        <w:rPr>
          <w:rFonts w:hint="eastAsia"/>
        </w:rPr>
        <w:t>单点登录全局配置参数详细说明，如</w:t>
      </w:r>
      <w:r>
        <w:fldChar w:fldCharType="begin"/>
      </w:r>
      <w:r>
        <w:instrText xml:space="preserve"> </w:instrText>
      </w:r>
      <w:r>
        <w:rPr>
          <w:rFonts w:hint="eastAsia"/>
        </w:rPr>
        <w:instrText xml:space="preserve">REF _Ref495480029 \r \h</w:instrText>
      </w:r>
      <w:r>
        <w:instrText xml:space="preserve"> </w:instrText>
      </w:r>
      <w:r>
        <w:fldChar w:fldCharType="separate"/>
      </w:r>
      <w:r>
        <w:rPr>
          <w:rFonts w:hint="eastAsia"/>
        </w:rPr>
        <w:t>表31-1</w:t>
      </w:r>
      <w:r>
        <w:fldChar w:fldCharType="end"/>
      </w:r>
      <w:r>
        <w:rPr>
          <w:rFonts w:hint="eastAsia"/>
        </w:rPr>
        <w:t>所示</w:t>
      </w:r>
    </w:p>
    <w:p w14:paraId="645BC58E">
      <w:pPr>
        <w:pStyle w:val="183"/>
      </w:pPr>
      <w:bookmarkStart w:id="8424" w:name="_Toc141875569"/>
      <w:bookmarkStart w:id="8425" w:name="_Ref495480029"/>
      <w:r>
        <w:rPr>
          <w:rFonts w:hint="eastAsia"/>
        </w:rPr>
        <w:t>全局配置参数详细说明</w:t>
      </w:r>
      <w:bookmarkEnd w:id="8424"/>
      <w:bookmarkEnd w:id="8425"/>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756"/>
        <w:gridCol w:w="6214"/>
      </w:tblGrid>
      <w:tr w14:paraId="6F6135C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773" w:type="dxa"/>
            <w:tcBorders>
              <w:tl2br w:val="nil"/>
              <w:tr2bl w:val="nil"/>
            </w:tcBorders>
            <w:shd w:val="clear" w:color="auto" w:fill="538135" w:themeFill="accent6" w:themeFillShade="BF"/>
            <w:vAlign w:val="center"/>
          </w:tcPr>
          <w:p w14:paraId="2FB6D737">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w:t>
            </w:r>
          </w:p>
        </w:tc>
        <w:tc>
          <w:tcPr>
            <w:tcW w:w="6232" w:type="dxa"/>
            <w:tcBorders>
              <w:tl2br w:val="nil"/>
              <w:tr2bl w:val="nil"/>
            </w:tcBorders>
            <w:shd w:val="clear" w:color="auto" w:fill="538135" w:themeFill="accent6" w:themeFillShade="BF"/>
            <w:vAlign w:val="center"/>
          </w:tcPr>
          <w:p w14:paraId="146B31C6">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3C262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773" w:type="dxa"/>
            <w:shd w:val="clear" w:color="auto" w:fill="auto"/>
          </w:tcPr>
          <w:p w14:paraId="7F58B349">
            <w:pPr>
              <w:pStyle w:val="150"/>
            </w:pPr>
            <w:r>
              <w:rPr>
                <w:rFonts w:hint="eastAsia"/>
              </w:rPr>
              <w:t>启用</w:t>
            </w:r>
          </w:p>
        </w:tc>
        <w:tc>
          <w:tcPr>
            <w:tcW w:w="6232" w:type="dxa"/>
            <w:shd w:val="clear" w:color="auto" w:fill="auto"/>
          </w:tcPr>
          <w:p w14:paraId="08E2E6F1">
            <w:pPr>
              <w:pStyle w:val="150"/>
            </w:pPr>
            <w:r>
              <w:rPr>
                <w:rFonts w:hint="eastAsia"/>
              </w:rPr>
              <w:t>单点登录启用或禁用，默认未启用。</w:t>
            </w:r>
          </w:p>
        </w:tc>
      </w:tr>
      <w:tr w14:paraId="289EA99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773" w:type="dxa"/>
            <w:shd w:val="clear" w:color="auto" w:fill="auto"/>
          </w:tcPr>
          <w:p w14:paraId="5359DA7D">
            <w:pPr>
              <w:pStyle w:val="150"/>
            </w:pPr>
            <w:r>
              <w:rPr>
                <w:rFonts w:hint="eastAsia"/>
              </w:rPr>
              <w:t>下载单点登录程序</w:t>
            </w:r>
          </w:p>
        </w:tc>
        <w:tc>
          <w:tcPr>
            <w:tcW w:w="6232" w:type="dxa"/>
            <w:shd w:val="clear" w:color="auto" w:fill="auto"/>
          </w:tcPr>
          <w:p w14:paraId="391FD6AF">
            <w:pPr>
              <w:pStyle w:val="150"/>
            </w:pPr>
            <w:r>
              <w:rPr>
                <w:rFonts w:hint="eastAsia"/>
              </w:rPr>
              <w:t>单点登录程序用于AD域服务器配置登录脚本，包括sso_setup.exe和ssoserver_setup.exe两个应用程序；</w:t>
            </w:r>
          </w:p>
          <w:p w14:paraId="157BD949">
            <w:pPr>
              <w:pStyle w:val="207"/>
              <w:rPr>
                <w:lang w:eastAsia="zh-CN"/>
              </w:rPr>
            </w:pPr>
            <w:r>
              <w:rPr>
                <w:rFonts w:hint="eastAsia"/>
                <w:lang w:eastAsia="zh-CN"/>
              </w:rPr>
              <w:t>sso_setup.exe应用程序：主要在域PC登录时通过AD域服务器下发自动安装，安装成功之后给设备发送指定的上下线报文的信息。</w:t>
            </w:r>
          </w:p>
          <w:p w14:paraId="4B4B739A">
            <w:pPr>
              <w:pStyle w:val="207"/>
            </w:pPr>
            <w:r>
              <w:rPr>
                <w:rFonts w:hint="eastAsia"/>
              </w:rPr>
              <w:t>ssoserver_setup.exe应用程序：ssoserver为一个下载单点登录程序安装包的http/https服务器，此程序可根据实际需要安装，当域PC与AD域服务器通信出现异常无法通过域服务器自动安装sso_setup.exe程序时，可以安装ssoserver_setup.exe程序，将sso_setup.exe程序放到ssoserver程序安装的目录下，并在ssoserver安装目录下配置好对应的sso.ini文件，域PC通过访问http://www.sso.pub:880/sso_setup.exe下载程序手动安装，程序手动安装之后会通过8443端口自动到ssoserver上获取sso.ini文件里的配置信息。</w:t>
            </w:r>
          </w:p>
        </w:tc>
      </w:tr>
      <w:tr w14:paraId="20C41D5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773" w:type="dxa"/>
            <w:shd w:val="clear" w:color="auto" w:fill="auto"/>
          </w:tcPr>
          <w:p w14:paraId="69DE07F5">
            <w:pPr>
              <w:pStyle w:val="150"/>
            </w:pPr>
            <w:r>
              <w:rPr>
                <w:rFonts w:hint="eastAsia"/>
              </w:rPr>
              <w:t>会话密钥</w:t>
            </w:r>
          </w:p>
        </w:tc>
        <w:tc>
          <w:tcPr>
            <w:tcW w:w="6232" w:type="dxa"/>
            <w:shd w:val="clear" w:color="auto" w:fill="auto"/>
          </w:tcPr>
          <w:p w14:paraId="05E441FC">
            <w:pPr>
              <w:pStyle w:val="150"/>
            </w:pPr>
            <w:r>
              <w:rPr>
                <w:rFonts w:hint="eastAsia"/>
              </w:rPr>
              <w:t>网关配置密钥，与AD域服务器上脚本参数或者sso.ini文件里密钥配置保持一致，长度为1-</w:t>
            </w:r>
            <w:r>
              <w:t>127</w:t>
            </w:r>
            <w:r>
              <w:rPr>
                <w:rFonts w:hint="eastAsia"/>
              </w:rPr>
              <w:t>个字符，不允许输入空格和中文。</w:t>
            </w:r>
          </w:p>
        </w:tc>
      </w:tr>
    </w:tbl>
    <w:p w14:paraId="1EA56BD1"/>
    <w:p w14:paraId="4B25FE07">
      <w:r>
        <w:rPr>
          <w:rFonts w:hint="eastAsia"/>
        </w:rPr>
        <w:t>单击“下载域单点登录程序”下载单点登录脚本文件，下载完成后的压缩包内文件如</w:t>
      </w:r>
      <w:r>
        <w:rPr>
          <w:color w:val="0000FF"/>
          <w:u w:val="single"/>
        </w:rPr>
        <w:fldChar w:fldCharType="begin"/>
      </w:r>
      <w:r>
        <w:rPr>
          <w:color w:val="0000FF"/>
          <w:u w:val="single"/>
        </w:rPr>
        <w:instrText xml:space="preserve"> </w:instrText>
      </w:r>
      <w:r>
        <w:rPr>
          <w:rFonts w:hint="eastAsia"/>
          <w:color w:val="0000FF"/>
          <w:u w:val="single"/>
        </w:rPr>
        <w:instrText xml:space="preserve">REF _Ref495480052 \r \h</w:instrText>
      </w:r>
      <w:r>
        <w:rPr>
          <w:color w:val="0000FF"/>
          <w:u w:val="single"/>
        </w:rPr>
        <w:instrText xml:space="preserve"> </w:instrText>
      </w:r>
      <w:r>
        <w:rPr>
          <w:color w:val="0000FF"/>
          <w:u w:val="single"/>
        </w:rPr>
        <w:fldChar w:fldCharType="separate"/>
      </w:r>
      <w:r>
        <w:rPr>
          <w:rFonts w:hint="eastAsia"/>
          <w:color w:val="0000FF"/>
          <w:u w:val="single"/>
        </w:rPr>
        <w:t>图31-40</w:t>
      </w:r>
      <w:r>
        <w:rPr>
          <w:color w:val="0000FF"/>
          <w:u w:val="single"/>
        </w:rPr>
        <w:fldChar w:fldCharType="end"/>
      </w:r>
      <w:r>
        <w:rPr>
          <w:rFonts w:hint="eastAsia"/>
        </w:rPr>
        <w:t>所示。</w:t>
      </w:r>
    </w:p>
    <w:p w14:paraId="0B8F28DD">
      <w:pPr>
        <w:pStyle w:val="188"/>
      </w:pPr>
      <w:bookmarkStart w:id="8426" w:name="_Ref495480052"/>
      <w:bookmarkStart w:id="8427" w:name="_Toc141874810"/>
      <w:r>
        <w:rPr>
          <w:rFonts w:hint="eastAsia"/>
        </w:rPr>
        <w:t>压缩包文件</w:t>
      </w:r>
      <w:bookmarkEnd w:id="8426"/>
      <w:bookmarkEnd w:id="8427"/>
    </w:p>
    <w:p w14:paraId="0E1F635B">
      <w:pPr>
        <w:spacing w:before="79" w:after="79"/>
      </w:pPr>
      <w:r>
        <w:drawing>
          <wp:inline distT="0" distB="0" distL="114300" distR="114300">
            <wp:extent cx="5400040" cy="1143000"/>
            <wp:effectExtent l="0" t="0" r="0" b="0"/>
            <wp:docPr id="38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2"/>
                    <pic:cNvPicPr>
                      <a:picLocks noChangeAspect="1"/>
                    </pic:cNvPicPr>
                  </pic:nvPicPr>
                  <pic:blipFill>
                    <a:blip r:embed="rId1024"/>
                    <a:stretch>
                      <a:fillRect/>
                    </a:stretch>
                  </pic:blipFill>
                  <pic:spPr>
                    <a:xfrm>
                      <a:off x="0" y="0"/>
                      <a:ext cx="5400040" cy="1143047"/>
                    </a:xfrm>
                    <a:prstGeom prst="rect">
                      <a:avLst/>
                    </a:prstGeom>
                    <a:noFill/>
                    <a:ln>
                      <a:noFill/>
                    </a:ln>
                  </pic:spPr>
                </pic:pic>
              </a:graphicData>
            </a:graphic>
          </wp:inline>
        </w:drawing>
      </w:r>
    </w:p>
    <w:p w14:paraId="65334EF5">
      <w:bookmarkStart w:id="8428" w:name="_Toc99561667"/>
      <w:bookmarkStart w:id="8429" w:name="_Toc97137509"/>
      <w:r>
        <w:t>配置单点登录认证策略</w:t>
      </w:r>
      <w:bookmarkEnd w:id="8428"/>
      <w:bookmarkEnd w:id="8429"/>
    </w:p>
    <w:p w14:paraId="7C68EFFB">
      <w:r>
        <w:rPr>
          <w:rFonts w:hint="eastAsia"/>
        </w:rPr>
        <w:t>在导航栏中选择“用户管理 &gt; 认证管理 &gt; 认证策略”，进入认证策略显示页面，单击“新建”</w:t>
      </w:r>
      <w:r>
        <w:t>‌</w:t>
      </w:r>
      <w:r>
        <w:rPr>
          <w:rFonts w:hint="eastAsia"/>
        </w:rPr>
        <w:t>按钮，进入认证策略配置页面，如</w:t>
      </w:r>
      <w:r>
        <w:t>下图</w:t>
      </w:r>
      <w:r>
        <w:rPr>
          <w:rFonts w:hint="eastAsia"/>
        </w:rPr>
        <w:t>所示，认证方式选择单点登录。</w:t>
      </w:r>
    </w:p>
    <w:p w14:paraId="60CB6E5C">
      <w:pPr>
        <w:pStyle w:val="188"/>
      </w:pPr>
      <w:bookmarkStart w:id="8430" w:name="_Toc141874811"/>
      <w:r>
        <w:rPr>
          <w:rFonts w:hint="eastAsia"/>
        </w:rPr>
        <w:t>认证策略配置页面</w:t>
      </w:r>
      <w:bookmarkEnd w:id="8430"/>
    </w:p>
    <w:p w14:paraId="7755BB20">
      <w:pPr>
        <w:spacing w:before="79" w:after="79"/>
      </w:pPr>
      <w:r>
        <w:drawing>
          <wp:inline distT="0" distB="0" distL="114300" distR="114300">
            <wp:extent cx="4076700" cy="4416425"/>
            <wp:effectExtent l="0" t="0" r="0" b="3175"/>
            <wp:docPr id="38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31"/>
                    <pic:cNvPicPr>
                      <a:picLocks noChangeAspect="1"/>
                    </pic:cNvPicPr>
                  </pic:nvPicPr>
                  <pic:blipFill>
                    <a:blip r:embed="rId1025"/>
                    <a:stretch>
                      <a:fillRect/>
                    </a:stretch>
                  </pic:blipFill>
                  <pic:spPr>
                    <a:xfrm>
                      <a:off x="0" y="0"/>
                      <a:ext cx="4077425" cy="4417210"/>
                    </a:xfrm>
                    <a:prstGeom prst="rect">
                      <a:avLst/>
                    </a:prstGeom>
                    <a:noFill/>
                    <a:ln>
                      <a:noFill/>
                    </a:ln>
                  </pic:spPr>
                </pic:pic>
              </a:graphicData>
            </a:graphic>
          </wp:inline>
        </w:drawing>
      </w:r>
    </w:p>
    <w:p w14:paraId="2EF8B68F">
      <w:pPr>
        <w:pStyle w:val="6"/>
      </w:pPr>
      <w:bookmarkStart w:id="8431" w:name="_Toc70415345"/>
      <w:bookmarkStart w:id="8432" w:name="_Toc58603939"/>
      <w:bookmarkStart w:id="8433" w:name="_Toc99561668"/>
      <w:r>
        <w:t>配置AD域服务器</w:t>
      </w:r>
      <w:bookmarkEnd w:id="8431"/>
      <w:bookmarkEnd w:id="8432"/>
      <w:bookmarkEnd w:id="8433"/>
    </w:p>
    <w:p w14:paraId="16805036">
      <w:pPr>
        <w:pStyle w:val="202"/>
      </w:pPr>
      <w:r>
        <w:rPr>
          <w:rFonts w:hint="eastAsia"/>
        </w:rPr>
        <w:t>进入组策略：以W</w:t>
      </w:r>
      <w:r>
        <w:t>indows 2008 server</w:t>
      </w:r>
      <w:r>
        <w:rPr>
          <w:rFonts w:hint="eastAsia"/>
        </w:rPr>
        <w:t>为例，登录到</w:t>
      </w:r>
      <w:r>
        <w:t>AD</w:t>
      </w:r>
      <w:r>
        <w:rPr>
          <w:rFonts w:hint="eastAsia"/>
        </w:rPr>
        <w:t>域服务器，“运行”中输入gpmc.msc。</w:t>
      </w:r>
    </w:p>
    <w:p w14:paraId="5391ED4D">
      <w:pPr>
        <w:pStyle w:val="202"/>
      </w:pPr>
      <w:r>
        <w:rPr>
          <w:rFonts w:hint="eastAsia"/>
        </w:rPr>
        <w:t>选择“Default Domian Policy&gt;用户配置&gt;脚本（登录/注销）”。</w:t>
      </w:r>
    </w:p>
    <w:p w14:paraId="204979F7">
      <w:pPr>
        <w:pStyle w:val="188"/>
      </w:pPr>
      <w:bookmarkStart w:id="8434" w:name="_Toc141874812"/>
      <w:bookmarkStart w:id="8435" w:name="_Ref495480071"/>
      <w:r>
        <w:rPr>
          <w:rFonts w:hint="eastAsia"/>
        </w:rPr>
        <w:t>组策略管理</w:t>
      </w:r>
      <w:bookmarkEnd w:id="8434"/>
      <w:bookmarkEnd w:id="8435"/>
    </w:p>
    <w:p w14:paraId="3DD8CE26">
      <w:r>
        <w:drawing>
          <wp:inline distT="0" distB="0" distL="0" distR="0">
            <wp:extent cx="5791200" cy="3892550"/>
            <wp:effectExtent l="0" t="0" r="0" b="0"/>
            <wp:docPr id="407"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07"/>
                    <pic:cNvPicPr>
                      <a:picLocks noChangeAspect="1"/>
                    </pic:cNvPicPr>
                  </pic:nvPicPr>
                  <pic:blipFill>
                    <a:blip r:embed="rId1026"/>
                    <a:stretch>
                      <a:fillRect/>
                    </a:stretch>
                  </pic:blipFill>
                  <pic:spPr>
                    <a:xfrm>
                      <a:off x="0" y="0"/>
                      <a:ext cx="5813845" cy="3908270"/>
                    </a:xfrm>
                    <a:prstGeom prst="rect">
                      <a:avLst/>
                    </a:prstGeom>
                  </pic:spPr>
                </pic:pic>
              </a:graphicData>
            </a:graphic>
          </wp:inline>
        </w:drawing>
      </w:r>
    </w:p>
    <w:p w14:paraId="41696457"/>
    <w:p w14:paraId="033B43F6">
      <w:pPr>
        <w:pStyle w:val="202"/>
        <w:rPr>
          <w:lang w:eastAsia="zh-CN"/>
        </w:rPr>
      </w:pPr>
      <w:r>
        <w:rPr>
          <w:rFonts w:hint="eastAsia"/>
          <w:lang w:eastAsia="zh-CN"/>
        </w:rPr>
        <w:t>双击“登录”选项，选择“显示文件”，将下载的sso_setup.exe文件拷贝到此目录。</w:t>
      </w:r>
    </w:p>
    <w:p w14:paraId="13AAEC7E">
      <w:pPr>
        <w:pStyle w:val="188"/>
      </w:pPr>
      <w:bookmarkStart w:id="8436" w:name="_Toc141874813"/>
      <w:r>
        <w:rPr>
          <w:rFonts w:hint="eastAsia"/>
        </w:rPr>
        <w:t>登录脚本设置</w:t>
      </w:r>
      <w:bookmarkEnd w:id="8436"/>
    </w:p>
    <w:p w14:paraId="1F3F5321">
      <w:pPr>
        <w:spacing w:before="79" w:after="79"/>
      </w:pPr>
      <w:r>
        <w:drawing>
          <wp:inline distT="0" distB="0" distL="114300" distR="114300">
            <wp:extent cx="3238500" cy="3364230"/>
            <wp:effectExtent l="0" t="0" r="0" b="7620"/>
            <wp:docPr id="40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5"/>
                    <pic:cNvPicPr>
                      <a:picLocks noChangeAspect="1"/>
                    </pic:cNvPicPr>
                  </pic:nvPicPr>
                  <pic:blipFill>
                    <a:blip r:embed="rId1027"/>
                    <a:stretch>
                      <a:fillRect/>
                    </a:stretch>
                  </pic:blipFill>
                  <pic:spPr>
                    <a:xfrm>
                      <a:off x="0" y="0"/>
                      <a:ext cx="3242893" cy="3368831"/>
                    </a:xfrm>
                    <a:prstGeom prst="rect">
                      <a:avLst/>
                    </a:prstGeom>
                    <a:noFill/>
                    <a:ln>
                      <a:noFill/>
                    </a:ln>
                  </pic:spPr>
                </pic:pic>
              </a:graphicData>
            </a:graphic>
          </wp:inline>
        </w:drawing>
      </w:r>
    </w:p>
    <w:p w14:paraId="5B64C9B1"/>
    <w:p w14:paraId="449A67B0">
      <w:pPr>
        <w:pStyle w:val="188"/>
      </w:pPr>
      <w:bookmarkStart w:id="8437" w:name="_Toc141874814"/>
      <w:r>
        <w:t>显示文件</w:t>
      </w:r>
      <w:bookmarkEnd w:id="8437"/>
    </w:p>
    <w:p w14:paraId="7288A35A">
      <w:pPr>
        <w:spacing w:before="79" w:after="79"/>
      </w:pPr>
      <w:r>
        <w:drawing>
          <wp:inline distT="0" distB="0" distL="114300" distR="114300">
            <wp:extent cx="5000625" cy="3089910"/>
            <wp:effectExtent l="0" t="0" r="0" b="0"/>
            <wp:docPr id="39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6"/>
                    <pic:cNvPicPr>
                      <a:picLocks noChangeAspect="1"/>
                    </pic:cNvPicPr>
                  </pic:nvPicPr>
                  <pic:blipFill>
                    <a:blip r:embed="rId1028"/>
                    <a:stretch>
                      <a:fillRect/>
                    </a:stretch>
                  </pic:blipFill>
                  <pic:spPr>
                    <a:xfrm>
                      <a:off x="0" y="0"/>
                      <a:ext cx="5003659" cy="3091981"/>
                    </a:xfrm>
                    <a:prstGeom prst="rect">
                      <a:avLst/>
                    </a:prstGeom>
                    <a:noFill/>
                    <a:ln>
                      <a:noFill/>
                    </a:ln>
                  </pic:spPr>
                </pic:pic>
              </a:graphicData>
            </a:graphic>
          </wp:inline>
        </w:drawing>
      </w:r>
    </w:p>
    <w:p w14:paraId="7EEF9A6B"/>
    <w:p w14:paraId="4903FC46">
      <w:pPr>
        <w:pStyle w:val="202"/>
        <w:rPr>
          <w:lang w:eastAsia="zh-CN"/>
        </w:rPr>
      </w:pPr>
      <w:r>
        <w:rPr>
          <w:rFonts w:hint="eastAsia"/>
          <w:lang w:eastAsia="zh-CN"/>
        </w:rPr>
        <w:t>返回“登录”属性窗口，单击“添加”，在弹出的窗口中设置脚本名以及脚本参数，脚本参数有以下两种配置方式。</w:t>
      </w:r>
    </w:p>
    <w:p w14:paraId="38F1D795">
      <w:pPr>
        <w:pStyle w:val="162"/>
      </w:pPr>
      <w:r>
        <w:rPr>
          <w:rFonts w:hint="eastAsia"/>
        </w:rPr>
        <w:t>格式1</w:t>
      </w:r>
    </w:p>
    <w:p w14:paraId="30E833EA">
      <w:r>
        <w:rPr>
          <w:rFonts w:hint="eastAsia"/>
        </w:rPr>
        <w:t>以“/S Value1 Value 2 Value 3”的形式包含四个参数，参数间以空格隔开，四个参数缺一不可，其中：</w:t>
      </w:r>
    </w:p>
    <w:p w14:paraId="571C681B">
      <w:pPr>
        <w:spacing w:before="158" w:after="158"/>
      </w:pPr>
      <w:r>
        <w:rPr>
          <w:rFonts w:hint="eastAsia"/>
        </w:rPr>
        <w:t>/S：代表程序静默安装（即自动安装），必须大写；</w:t>
      </w:r>
    </w:p>
    <w:p w14:paraId="77D2B450">
      <w:pPr>
        <w:spacing w:before="158" w:after="158"/>
      </w:pPr>
      <w:r>
        <w:rPr>
          <w:rFonts w:hint="eastAsia"/>
        </w:rPr>
        <w:t>Value 1：代表内网用户可访问到的设备网口IP；</w:t>
      </w:r>
    </w:p>
    <w:p w14:paraId="695C5F77">
      <w:pPr>
        <w:spacing w:before="158" w:after="158"/>
      </w:pPr>
      <w:r>
        <w:rPr>
          <w:rFonts w:hint="eastAsia"/>
        </w:rPr>
        <w:t>Value 2：代表设备监听端口（固定为6622，不可改变）；</w:t>
      </w:r>
    </w:p>
    <w:p w14:paraId="17C7428E">
      <w:pPr>
        <w:spacing w:before="158" w:after="158"/>
      </w:pPr>
      <w:r>
        <w:rPr>
          <w:rFonts w:hint="eastAsia"/>
        </w:rPr>
        <w:t>Value 3：代表通信密钥（必须同设备侧单点登录全局参数设置的密钥统一）。</w:t>
      </w:r>
    </w:p>
    <w:p w14:paraId="525111C2">
      <w:pPr>
        <w:pStyle w:val="188"/>
      </w:pPr>
      <w:bookmarkStart w:id="8438" w:name="_Toc141874815"/>
      <w:bookmarkStart w:id="8439" w:name="_Ref495480118"/>
      <w:r>
        <w:rPr>
          <w:rFonts w:hint="eastAsia"/>
        </w:rPr>
        <w:t>配置脚本</w:t>
      </w:r>
      <w:r>
        <w:t>，</w:t>
      </w:r>
      <w:r>
        <w:rPr>
          <w:rFonts w:hint="eastAsia"/>
        </w:rPr>
        <w:t>带</w:t>
      </w:r>
      <w:r>
        <w:t>4</w:t>
      </w:r>
      <w:r>
        <w:rPr>
          <w:rFonts w:hint="eastAsia"/>
        </w:rPr>
        <w:t>个参数</w:t>
      </w:r>
      <w:bookmarkEnd w:id="8438"/>
      <w:bookmarkEnd w:id="8439"/>
    </w:p>
    <w:p w14:paraId="0B2326F5">
      <w:pPr>
        <w:spacing w:before="79" w:after="79"/>
      </w:pPr>
      <w:r>
        <w:drawing>
          <wp:inline distT="0" distB="0" distL="114300" distR="114300">
            <wp:extent cx="3752850" cy="1657350"/>
            <wp:effectExtent l="0" t="0" r="0" b="0"/>
            <wp:docPr id="39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7"/>
                    <pic:cNvPicPr>
                      <a:picLocks noChangeAspect="1"/>
                    </pic:cNvPicPr>
                  </pic:nvPicPr>
                  <pic:blipFill>
                    <a:blip r:embed="rId1029"/>
                    <a:stretch>
                      <a:fillRect/>
                    </a:stretch>
                  </pic:blipFill>
                  <pic:spPr>
                    <a:xfrm>
                      <a:off x="0" y="0"/>
                      <a:ext cx="3752850" cy="1657350"/>
                    </a:xfrm>
                    <a:prstGeom prst="rect">
                      <a:avLst/>
                    </a:prstGeom>
                    <a:noFill/>
                    <a:ln>
                      <a:noFill/>
                    </a:ln>
                  </pic:spPr>
                </pic:pic>
              </a:graphicData>
            </a:graphic>
          </wp:inline>
        </w:drawing>
      </w:r>
    </w:p>
    <w:p w14:paraId="5E9A328F">
      <w:pPr>
        <w:pStyle w:val="162"/>
      </w:pPr>
      <w:r>
        <w:rPr>
          <w:rFonts w:hint="eastAsia"/>
        </w:rPr>
        <w:t>格式2</w:t>
      </w:r>
    </w:p>
    <w:p w14:paraId="5C928292">
      <w:r>
        <w:rPr>
          <w:rFonts w:hint="eastAsia"/>
        </w:rPr>
        <w:t>以“/S Title1=value1 Title 2=value2 …… Title15=value15”的形式包含多个参数，参数间以空格隔开，且参数的Title部分建议都大写。</w:t>
      </w:r>
    </w:p>
    <w:p w14:paraId="7BA80715">
      <w:pPr>
        <w:pStyle w:val="188"/>
      </w:pPr>
      <w:bookmarkStart w:id="8440" w:name="_Ref495480246"/>
      <w:bookmarkStart w:id="8441" w:name="_Toc141874816"/>
      <w:r>
        <w:rPr>
          <w:rFonts w:hint="eastAsia"/>
        </w:rPr>
        <w:t>脚本配置，带多个参数</w:t>
      </w:r>
      <w:bookmarkEnd w:id="8440"/>
      <w:bookmarkEnd w:id="8441"/>
    </w:p>
    <w:p w14:paraId="7824ADFB">
      <w:pPr>
        <w:spacing w:before="79" w:after="79"/>
      </w:pPr>
      <w:r>
        <w:drawing>
          <wp:inline distT="0" distB="0" distL="114300" distR="114300">
            <wp:extent cx="3743325" cy="1638300"/>
            <wp:effectExtent l="0" t="0" r="9525" b="0"/>
            <wp:docPr id="40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8"/>
                    <pic:cNvPicPr>
                      <a:picLocks noChangeAspect="1"/>
                    </pic:cNvPicPr>
                  </pic:nvPicPr>
                  <pic:blipFill>
                    <a:blip r:embed="rId1030"/>
                    <a:stretch>
                      <a:fillRect/>
                    </a:stretch>
                  </pic:blipFill>
                  <pic:spPr>
                    <a:xfrm>
                      <a:off x="0" y="0"/>
                      <a:ext cx="3743325" cy="1638300"/>
                    </a:xfrm>
                    <a:prstGeom prst="rect">
                      <a:avLst/>
                    </a:prstGeom>
                    <a:noFill/>
                    <a:ln>
                      <a:noFill/>
                    </a:ln>
                  </pic:spPr>
                </pic:pic>
              </a:graphicData>
            </a:graphic>
          </wp:inline>
        </w:drawing>
      </w:r>
    </w:p>
    <w:p w14:paraId="3233720B">
      <w:r>
        <w:rPr>
          <w:rFonts w:hint="eastAsia"/>
        </w:rPr>
        <w:t>目前支持的参数有如下项：</w:t>
      </w:r>
    </w:p>
    <w:p w14:paraId="7AAACD36">
      <w:pPr>
        <w:spacing w:before="158" w:after="158"/>
      </w:pPr>
      <w:r>
        <w:rPr>
          <w:rFonts w:hint="eastAsia"/>
        </w:rPr>
        <w:t>/S：表示静默安装单点登录程序；</w:t>
      </w:r>
    </w:p>
    <w:p w14:paraId="058F79D2">
      <w:pPr>
        <w:spacing w:before="158" w:after="158"/>
      </w:pPr>
      <w:r>
        <w:rPr>
          <w:rFonts w:hint="eastAsia"/>
        </w:rPr>
        <w:t>IP=192.168.1.1 ：代表设备地址；</w:t>
      </w:r>
    </w:p>
    <w:p w14:paraId="6C4121A9">
      <w:pPr>
        <w:spacing w:before="158" w:after="158"/>
      </w:pPr>
      <w:r>
        <w:rPr>
          <w:rFonts w:hint="eastAsia"/>
        </w:rPr>
        <w:t>PORT=6622 ：代表设备监听端口；</w:t>
      </w:r>
    </w:p>
    <w:p w14:paraId="19B54F53">
      <w:pPr>
        <w:spacing w:before="158" w:after="158"/>
      </w:pPr>
      <w:r>
        <w:rPr>
          <w:rFonts w:hint="eastAsia"/>
        </w:rPr>
        <w:t>KEY=admin.123 ：代表域PC与设备之间的通信密钥，与设备端配置需要保持一致；</w:t>
      </w:r>
    </w:p>
    <w:p w14:paraId="5BB0F19A">
      <w:pPr>
        <w:spacing w:before="158" w:after="158"/>
      </w:pPr>
      <w:r>
        <w:rPr>
          <w:rFonts w:hint="eastAsia"/>
        </w:rPr>
        <w:t>HB=1：代表心跳开关，默认开启，0表示关闭；</w:t>
      </w:r>
    </w:p>
    <w:p w14:paraId="2E31819B">
      <w:pPr>
        <w:spacing w:before="158" w:after="158"/>
      </w:pPr>
      <w:r>
        <w:rPr>
          <w:rFonts w:hint="eastAsia"/>
        </w:rPr>
        <w:t>HBI=30 ：代表心跳时间间隔，默认30，单位秒，范围30-600之间的正整数；</w:t>
      </w:r>
    </w:p>
    <w:p w14:paraId="3C45D6EC">
      <w:pPr>
        <w:spacing w:before="158" w:after="158"/>
      </w:pPr>
      <w:r>
        <w:rPr>
          <w:rFonts w:hint="eastAsia"/>
        </w:rPr>
        <w:t>UDI=30 ：代表配置更新时间间隔以及配置更新开关，不配置表示关闭，配置表示打开，默认30，单位秒，范围30-600之间的正整数。</w:t>
      </w:r>
    </w:p>
    <w:p w14:paraId="5E52FDBD"/>
    <w:p w14:paraId="30DD2BFB">
      <w:pPr>
        <w:pStyle w:val="202"/>
        <w:rPr>
          <w:lang w:eastAsia="zh-CN"/>
        </w:rPr>
      </w:pPr>
      <w:r>
        <w:rPr>
          <w:rFonts w:hint="eastAsia"/>
          <w:lang w:eastAsia="zh-CN"/>
        </w:rPr>
        <w:t>更新组策略，为了使用更改的组策略立即生效，需要刷新组策略，刷新组策略命令为</w:t>
      </w:r>
      <w:r>
        <w:rPr>
          <w:rFonts w:hint="eastAsia"/>
          <w:b/>
          <w:lang w:eastAsia="zh-CN"/>
        </w:rPr>
        <w:t>gpupdate.exe</w:t>
      </w:r>
      <w:r>
        <w:rPr>
          <w:rStyle w:val="375"/>
          <w:rFonts w:hint="eastAsia"/>
          <w:lang w:eastAsia="zh-CN"/>
        </w:rPr>
        <w:t>，刷</w:t>
      </w:r>
      <w:r>
        <w:rPr>
          <w:rFonts w:hint="eastAsia"/>
          <w:lang w:eastAsia="zh-CN"/>
        </w:rPr>
        <w:t>新组策略后，域用户重新上线，即可生效。</w:t>
      </w:r>
    </w:p>
    <w:p w14:paraId="2FECFA60">
      <w:pPr>
        <w:pStyle w:val="6"/>
      </w:pPr>
      <w:bookmarkStart w:id="8442" w:name="_Toc18532"/>
      <w:bookmarkStart w:id="8443" w:name="_Toc97137513"/>
      <w:bookmarkStart w:id="8444" w:name="_Toc99561669"/>
      <w:r>
        <w:rPr>
          <w:rFonts w:hint="eastAsia"/>
        </w:rPr>
        <w:t>AD域服务器上安装ssoserver_setup.exe（可选）</w:t>
      </w:r>
      <w:bookmarkEnd w:id="8442"/>
      <w:bookmarkEnd w:id="8443"/>
      <w:bookmarkEnd w:id="8444"/>
    </w:p>
    <w:p w14:paraId="314E0593">
      <w:r>
        <w:rPr>
          <w:rFonts w:hint="eastAsia"/>
        </w:rPr>
        <w:t>当域PC加入AD域服务器后，如果与服务器通信异常时，无法通过AD域脚本参数推送单点登录程序自动安装，则需要通过其他方式下载单点登录程序客户端到域PC上安装。</w:t>
      </w:r>
    </w:p>
    <w:p w14:paraId="1938A3EF">
      <w:r>
        <w:rPr>
          <w:rFonts w:hint="eastAsia"/>
          <w:b/>
        </w:rPr>
        <w:t>方法一：</w:t>
      </w:r>
      <w:r>
        <w:rPr>
          <w:rFonts w:hint="eastAsia"/>
        </w:rPr>
        <w:t>可以直接通过设备上下载单点登录程序（但此项仅管理员有操作权限，普通用户无登录设备权限，普通用户只能通过管理员提供的单点登录程序安装）在域PC上安装，域PC上安装之后还需要将加密的配置文件（sso.ini）拷贝到sso_setup.exe程序安装的目录下，用户才可上线；</w:t>
      </w:r>
    </w:p>
    <w:p w14:paraId="2CF5BEE6">
      <w:pPr>
        <w:rPr>
          <w:lang w:eastAsia="en-US"/>
        </w:rPr>
      </w:pPr>
      <w:r>
        <w:rPr>
          <w:rFonts w:hint="eastAsia"/>
          <w:b/>
          <w:lang w:eastAsia="en-US"/>
        </w:rPr>
        <w:t>方法二：</w:t>
      </w:r>
      <w:r>
        <w:rPr>
          <w:rFonts w:hint="eastAsia"/>
          <w:lang w:eastAsia="en-US"/>
        </w:rPr>
        <w:t>安装ssoserver_setup.exe程序，此程序安装之后拥有http和https方式下载服务，将sso_setup.exe程序放到ssoserver_setup.exe安装目录下，并在安装目录下配置好对应的sso.ini文件，域PC通过http://www.sso.pub:880/sso_setup.exe下载登录脚本程序手动安装，安装完之后域PC会通过https的8443端口自动到ssoserver上获取sso.ini文件。</w:t>
      </w:r>
    </w:p>
    <w:p w14:paraId="6AA9446F">
      <w:pPr>
        <w:pStyle w:val="374"/>
        <w:spacing w:before="156" w:after="156"/>
        <w:ind w:firstLine="422"/>
        <w:rPr>
          <w:b/>
        </w:rPr>
      </w:pPr>
      <w:bookmarkStart w:id="8445" w:name="_Toc97137514"/>
      <w:bookmarkStart w:id="8446" w:name="_Toc28898"/>
      <w:r>
        <w:rPr>
          <w:rFonts w:hint="eastAsia"/>
          <w:b/>
        </w:rPr>
        <w:t>ssoserver_setup.exe程序安装</w:t>
      </w:r>
      <w:bookmarkEnd w:id="8445"/>
      <w:bookmarkEnd w:id="8446"/>
      <w:r>
        <w:rPr>
          <w:rFonts w:hint="eastAsia"/>
          <w:b/>
        </w:rPr>
        <w:t>步骤如下：</w:t>
      </w:r>
    </w:p>
    <w:p w14:paraId="7AB35014">
      <w:pPr>
        <w:pStyle w:val="202"/>
        <w:rPr>
          <w:lang w:eastAsia="zh-CN"/>
        </w:rPr>
      </w:pPr>
      <w:r>
        <w:rPr>
          <w:rFonts w:hint="eastAsia"/>
          <w:lang w:eastAsia="zh-CN"/>
        </w:rPr>
        <w:t>双击ssoserver_setup.exe程序，安装前建议先将360安全软件退出再安装（原因是安装程序会设置开启自启动360安全软件会误阻断导致程序无法启动），点击安装，默认点击下一步。</w:t>
      </w:r>
    </w:p>
    <w:p w14:paraId="4C1415D6">
      <w:pPr>
        <w:pStyle w:val="188"/>
      </w:pPr>
      <w:bookmarkStart w:id="8447" w:name="_Toc141874817"/>
      <w:r>
        <w:rPr>
          <w:rFonts w:hint="eastAsia"/>
        </w:rPr>
        <w:t>ssoserver程序安装</w:t>
      </w:r>
      <w:bookmarkEnd w:id="8447"/>
    </w:p>
    <w:p w14:paraId="39969546">
      <w:pPr>
        <w:spacing w:before="79" w:after="79"/>
      </w:pPr>
      <w:r>
        <w:drawing>
          <wp:inline distT="0" distB="0" distL="114300" distR="114300">
            <wp:extent cx="4772025" cy="3419475"/>
            <wp:effectExtent l="0" t="0" r="9525" b="9525"/>
            <wp:docPr id="4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9"/>
                    <pic:cNvPicPr>
                      <a:picLocks noChangeAspect="1"/>
                    </pic:cNvPicPr>
                  </pic:nvPicPr>
                  <pic:blipFill>
                    <a:blip r:embed="rId1031"/>
                    <a:stretch>
                      <a:fillRect/>
                    </a:stretch>
                  </pic:blipFill>
                  <pic:spPr>
                    <a:xfrm>
                      <a:off x="0" y="0"/>
                      <a:ext cx="4772025" cy="3419475"/>
                    </a:xfrm>
                    <a:prstGeom prst="rect">
                      <a:avLst/>
                    </a:prstGeom>
                    <a:noFill/>
                    <a:ln>
                      <a:noFill/>
                    </a:ln>
                  </pic:spPr>
                </pic:pic>
              </a:graphicData>
            </a:graphic>
          </wp:inline>
        </w:drawing>
      </w:r>
    </w:p>
    <w:p w14:paraId="60E972CC">
      <w:pPr>
        <w:pStyle w:val="202"/>
      </w:pPr>
      <w:r>
        <w:rPr>
          <w:rFonts w:hint="eastAsia"/>
        </w:rPr>
        <w:t>点击下一步，安装目录默认C盘（</w:t>
      </w:r>
      <w:r>
        <w:t>“C:\Users\Administrator\AppData\Roaming\sso_server”</w:t>
      </w:r>
      <w:r>
        <w:rPr>
          <w:rFonts w:hint="eastAsia"/>
        </w:rPr>
        <w:t>），也可指定到其他安装目录，此处需要记录一下对应的安装目录，便于安装完之后配置sso.ini文件和存放sso_setup.exe程序需要到此安装目录。</w:t>
      </w:r>
    </w:p>
    <w:p w14:paraId="76E5EA2D">
      <w:pPr>
        <w:pStyle w:val="188"/>
      </w:pPr>
      <w:bookmarkStart w:id="8448" w:name="_Toc141874818"/>
      <w:r>
        <w:rPr>
          <w:rFonts w:hint="eastAsia"/>
        </w:rPr>
        <w:t>ssoserver程序安装目录</w:t>
      </w:r>
      <w:bookmarkEnd w:id="8448"/>
    </w:p>
    <w:p w14:paraId="6D55BA07">
      <w:pPr>
        <w:spacing w:before="79" w:after="79"/>
      </w:pPr>
      <w:r>
        <w:drawing>
          <wp:inline distT="0" distB="0" distL="114300" distR="114300">
            <wp:extent cx="4105275" cy="2927350"/>
            <wp:effectExtent l="0" t="0" r="0" b="6350"/>
            <wp:docPr id="4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10"/>
                    <pic:cNvPicPr>
                      <a:picLocks noChangeAspect="1"/>
                    </pic:cNvPicPr>
                  </pic:nvPicPr>
                  <pic:blipFill>
                    <a:blip r:embed="rId1032"/>
                    <a:stretch>
                      <a:fillRect/>
                    </a:stretch>
                  </pic:blipFill>
                  <pic:spPr>
                    <a:xfrm>
                      <a:off x="0" y="0"/>
                      <a:ext cx="4111353" cy="2932000"/>
                    </a:xfrm>
                    <a:prstGeom prst="rect">
                      <a:avLst/>
                    </a:prstGeom>
                    <a:noFill/>
                    <a:ln>
                      <a:noFill/>
                    </a:ln>
                  </pic:spPr>
                </pic:pic>
              </a:graphicData>
            </a:graphic>
          </wp:inline>
        </w:drawing>
      </w:r>
    </w:p>
    <w:p w14:paraId="0CCE9E26"/>
    <w:p w14:paraId="6D95D82A">
      <w:pPr>
        <w:pStyle w:val="202"/>
      </w:pPr>
      <w:r>
        <w:rPr>
          <w:rFonts w:hint="eastAsia"/>
          <w:lang w:eastAsia="zh-CN"/>
        </w:rPr>
        <w:t>点击安装，安装完成之后默认勾选“运行sso_server”和“开启自启动”，此选项不用修改，如果取消勾选，则程序不会自动运行，需要到安装目录去手动启用。</w:t>
      </w:r>
      <w:r>
        <w:rPr>
          <w:rFonts w:hint="eastAsia"/>
        </w:rPr>
        <w:t>点击“完成”安装，ssoserver安装完成。</w:t>
      </w:r>
    </w:p>
    <w:p w14:paraId="2892C496">
      <w:pPr>
        <w:pStyle w:val="188"/>
      </w:pPr>
      <w:bookmarkStart w:id="8449" w:name="_Toc141874819"/>
      <w:r>
        <w:rPr>
          <w:rFonts w:hint="eastAsia"/>
        </w:rPr>
        <w:t>ssoserver程序安装完成</w:t>
      </w:r>
      <w:bookmarkEnd w:id="8449"/>
    </w:p>
    <w:p w14:paraId="218C75C0">
      <w:pPr>
        <w:spacing w:before="79" w:after="79"/>
      </w:pPr>
      <w:r>
        <w:drawing>
          <wp:inline distT="0" distB="0" distL="114300" distR="114300">
            <wp:extent cx="4781550" cy="3438525"/>
            <wp:effectExtent l="0" t="0" r="0" b="9525"/>
            <wp:docPr id="4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11"/>
                    <pic:cNvPicPr>
                      <a:picLocks noChangeAspect="1"/>
                    </pic:cNvPicPr>
                  </pic:nvPicPr>
                  <pic:blipFill>
                    <a:blip r:embed="rId1033"/>
                    <a:stretch>
                      <a:fillRect/>
                    </a:stretch>
                  </pic:blipFill>
                  <pic:spPr>
                    <a:xfrm>
                      <a:off x="0" y="0"/>
                      <a:ext cx="4781550" cy="3438525"/>
                    </a:xfrm>
                    <a:prstGeom prst="rect">
                      <a:avLst/>
                    </a:prstGeom>
                    <a:noFill/>
                    <a:ln>
                      <a:noFill/>
                    </a:ln>
                  </pic:spPr>
                </pic:pic>
              </a:graphicData>
            </a:graphic>
          </wp:inline>
        </w:drawing>
      </w:r>
    </w:p>
    <w:p w14:paraId="248E16A0">
      <w:pPr>
        <w:pStyle w:val="202"/>
      </w:pPr>
      <w:r>
        <w:rPr>
          <w:rFonts w:hint="eastAsia"/>
        </w:rPr>
        <w:t>安装完成后可以在任务管理器里查看到serve.exe进程，表示ssoserver程序已运行。</w:t>
      </w:r>
    </w:p>
    <w:p w14:paraId="7A06C3B9">
      <w:pPr>
        <w:pStyle w:val="188"/>
      </w:pPr>
      <w:bookmarkStart w:id="8450" w:name="_Toc141874820"/>
      <w:r>
        <w:rPr>
          <w:rFonts w:hint="eastAsia"/>
        </w:rPr>
        <w:t>任务管理查看ssoserver程序进程</w:t>
      </w:r>
      <w:bookmarkEnd w:id="8450"/>
    </w:p>
    <w:p w14:paraId="708F9AF9">
      <w:pPr>
        <w:spacing w:before="79" w:after="79"/>
      </w:pPr>
      <w:r>
        <w:drawing>
          <wp:inline distT="0" distB="0" distL="114300" distR="114300">
            <wp:extent cx="5534025" cy="2877185"/>
            <wp:effectExtent l="0" t="0" r="0" b="0"/>
            <wp:docPr id="41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29"/>
                    <pic:cNvPicPr>
                      <a:picLocks noChangeAspect="1"/>
                    </pic:cNvPicPr>
                  </pic:nvPicPr>
                  <pic:blipFill>
                    <a:blip r:embed="rId1034"/>
                    <a:stretch>
                      <a:fillRect/>
                    </a:stretch>
                  </pic:blipFill>
                  <pic:spPr>
                    <a:xfrm>
                      <a:off x="0" y="0"/>
                      <a:ext cx="5541824" cy="2881426"/>
                    </a:xfrm>
                    <a:prstGeom prst="rect">
                      <a:avLst/>
                    </a:prstGeom>
                    <a:noFill/>
                    <a:ln>
                      <a:noFill/>
                    </a:ln>
                  </pic:spPr>
                </pic:pic>
              </a:graphicData>
            </a:graphic>
          </wp:inline>
        </w:drawing>
      </w:r>
    </w:p>
    <w:p w14:paraId="50392B95"/>
    <w:p w14:paraId="3C49C6F9">
      <w:pPr>
        <w:pStyle w:val="202"/>
      </w:pPr>
      <w:r>
        <w:rPr>
          <w:rFonts w:hint="eastAsia"/>
        </w:rPr>
        <w:t>进入到ssoserver安装目录下（</w:t>
      </w:r>
      <w:r>
        <w:t>“C:\Users\Administrator\AppData\Roaming\sso_server”</w:t>
      </w:r>
      <w:r>
        <w:rPr>
          <w:rFonts w:hint="eastAsia"/>
        </w:rPr>
        <w:t>），将sso_setup.exe拷贝到如下目录。</w:t>
      </w:r>
    </w:p>
    <w:p w14:paraId="7563221C">
      <w:pPr>
        <w:pStyle w:val="188"/>
      </w:pPr>
      <w:bookmarkStart w:id="8451" w:name="_Toc141874821"/>
      <w:r>
        <w:rPr>
          <w:rFonts w:hint="eastAsia"/>
        </w:rPr>
        <w:t>sso_setup.exe程序拷贝到ssoserver程序安装目录</w:t>
      </w:r>
      <w:bookmarkEnd w:id="8451"/>
    </w:p>
    <w:p w14:paraId="77207C56">
      <w:pPr>
        <w:spacing w:before="79" w:after="79"/>
      </w:pPr>
      <w:r>
        <w:drawing>
          <wp:inline distT="0" distB="0" distL="114300" distR="114300">
            <wp:extent cx="5267325" cy="2082165"/>
            <wp:effectExtent l="0" t="0" r="0" b="0"/>
            <wp:docPr id="41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12"/>
                    <pic:cNvPicPr>
                      <a:picLocks noChangeAspect="1"/>
                    </pic:cNvPicPr>
                  </pic:nvPicPr>
                  <pic:blipFill>
                    <a:blip r:embed="rId1035"/>
                    <a:stretch>
                      <a:fillRect/>
                    </a:stretch>
                  </pic:blipFill>
                  <pic:spPr>
                    <a:xfrm>
                      <a:off x="0" y="0"/>
                      <a:ext cx="5272038" cy="2084334"/>
                    </a:xfrm>
                    <a:prstGeom prst="rect">
                      <a:avLst/>
                    </a:prstGeom>
                    <a:noFill/>
                    <a:ln>
                      <a:noFill/>
                    </a:ln>
                  </pic:spPr>
                </pic:pic>
              </a:graphicData>
            </a:graphic>
          </wp:inline>
        </w:drawing>
      </w:r>
    </w:p>
    <w:p w14:paraId="344EEC4C"/>
    <w:p w14:paraId="52CBFF97">
      <w:pPr>
        <w:pStyle w:val="202"/>
        <w:rPr>
          <w:lang w:eastAsia="zh-CN"/>
        </w:rPr>
      </w:pPr>
      <w:r>
        <w:rPr>
          <w:rFonts w:hint="eastAsia"/>
          <w:lang w:eastAsia="zh-CN"/>
        </w:rPr>
        <w:t>在该目录下双击打开sso.ini文件，修改配置文件里的GWIP（设备的IP地址）和SessionKey（与设备单点登录会话密钥配置一致）信息，其他参数不用修改，并保存。</w:t>
      </w:r>
    </w:p>
    <w:p w14:paraId="771937D7">
      <w:pPr>
        <w:pStyle w:val="188"/>
      </w:pPr>
      <w:bookmarkStart w:id="8452" w:name="_Toc141874822"/>
      <w:r>
        <w:rPr>
          <w:rFonts w:hint="eastAsia"/>
        </w:rPr>
        <w:t>修改ssoserver安装目录下sso.ini文件</w:t>
      </w:r>
      <w:bookmarkEnd w:id="8452"/>
    </w:p>
    <w:p w14:paraId="1D803A34">
      <w:pPr>
        <w:spacing w:before="79" w:after="79"/>
      </w:pPr>
      <w:r>
        <w:drawing>
          <wp:inline distT="0" distB="0" distL="114300" distR="114300">
            <wp:extent cx="5447030" cy="3123565"/>
            <wp:effectExtent l="0" t="0" r="1270" b="635"/>
            <wp:docPr id="41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13"/>
                    <pic:cNvPicPr>
                      <a:picLocks noChangeAspect="1"/>
                    </pic:cNvPicPr>
                  </pic:nvPicPr>
                  <pic:blipFill>
                    <a:blip r:embed="rId1036"/>
                    <a:stretch>
                      <a:fillRect/>
                    </a:stretch>
                  </pic:blipFill>
                  <pic:spPr>
                    <a:xfrm>
                      <a:off x="0" y="0"/>
                      <a:ext cx="5447030" cy="3123565"/>
                    </a:xfrm>
                    <a:prstGeom prst="rect">
                      <a:avLst/>
                    </a:prstGeom>
                    <a:noFill/>
                    <a:ln>
                      <a:noFill/>
                    </a:ln>
                  </pic:spPr>
                </pic:pic>
              </a:graphicData>
            </a:graphic>
          </wp:inline>
        </w:drawing>
      </w:r>
    </w:p>
    <w:p w14:paraId="5B45A38C"/>
    <w:p w14:paraId="19A016B7">
      <w:pPr>
        <w:pStyle w:val="183"/>
      </w:pPr>
      <w:bookmarkStart w:id="8453" w:name="_Toc141875570"/>
      <w:r>
        <w:rPr>
          <w:rFonts w:hint="eastAsia"/>
        </w:rPr>
        <w:t>sso.ini配置文件参数说明</w:t>
      </w:r>
      <w:bookmarkEnd w:id="8453"/>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239"/>
        <w:gridCol w:w="6731"/>
      </w:tblGrid>
      <w:tr w14:paraId="4CCC5B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39" w:type="dxa"/>
            <w:tcBorders>
              <w:tl2br w:val="nil"/>
              <w:tr2bl w:val="nil"/>
            </w:tcBorders>
            <w:shd w:val="clear" w:color="auto" w:fill="538135" w:themeFill="accent6" w:themeFillShade="BF"/>
            <w:vAlign w:val="center"/>
          </w:tcPr>
          <w:p w14:paraId="2D9430B1">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参数</w:t>
            </w:r>
          </w:p>
        </w:tc>
        <w:tc>
          <w:tcPr>
            <w:tcW w:w="6731" w:type="dxa"/>
            <w:tcBorders>
              <w:tl2br w:val="nil"/>
              <w:tr2bl w:val="nil"/>
            </w:tcBorders>
            <w:shd w:val="clear" w:color="auto" w:fill="538135" w:themeFill="accent6" w:themeFillShade="BF"/>
            <w:vAlign w:val="center"/>
          </w:tcPr>
          <w:p w14:paraId="291CB159">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ADEF3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39" w:type="dxa"/>
            <w:shd w:val="clear" w:color="auto" w:fill="auto"/>
          </w:tcPr>
          <w:p w14:paraId="56EE8C13">
            <w:pPr>
              <w:pStyle w:val="150"/>
            </w:pPr>
            <w:r>
              <w:t>EnableHeartBeat</w:t>
            </w:r>
          </w:p>
        </w:tc>
        <w:tc>
          <w:tcPr>
            <w:tcW w:w="6731" w:type="dxa"/>
            <w:shd w:val="clear" w:color="auto" w:fill="auto"/>
          </w:tcPr>
          <w:p w14:paraId="1880A8F8">
            <w:pPr>
              <w:pStyle w:val="150"/>
            </w:pPr>
            <w:r>
              <w:rPr>
                <w:rFonts w:hint="eastAsia"/>
              </w:rPr>
              <w:t>是否启动心跳功能（</w:t>
            </w:r>
            <w:r>
              <w:t>0</w:t>
            </w:r>
            <w:r>
              <w:rPr>
                <w:rFonts w:hint="eastAsia"/>
              </w:rPr>
              <w:t>：关闭 ，</w:t>
            </w:r>
            <w:r>
              <w:t xml:space="preserve"> 1</w:t>
            </w:r>
            <w:r>
              <w:rPr>
                <w:rFonts w:hint="eastAsia"/>
              </w:rPr>
              <w:t>：开启），默认为1开启状态</w:t>
            </w:r>
          </w:p>
        </w:tc>
      </w:tr>
      <w:tr w14:paraId="715DBD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39" w:type="dxa"/>
            <w:shd w:val="clear" w:color="auto" w:fill="auto"/>
          </w:tcPr>
          <w:p w14:paraId="762DABC8">
            <w:pPr>
              <w:pStyle w:val="150"/>
            </w:pPr>
            <w:r>
              <w:rPr>
                <w:rFonts w:hint="eastAsia"/>
              </w:rPr>
              <w:t>UpdateInterval</w:t>
            </w:r>
          </w:p>
        </w:tc>
        <w:tc>
          <w:tcPr>
            <w:tcW w:w="6731" w:type="dxa"/>
            <w:shd w:val="clear" w:color="auto" w:fill="auto"/>
          </w:tcPr>
          <w:p w14:paraId="51241C47">
            <w:pPr>
              <w:pStyle w:val="150"/>
            </w:pPr>
            <w:r>
              <w:rPr>
                <w:rFonts w:hint="eastAsia"/>
              </w:rPr>
              <w:t>配置更新时间间隔，单位秒，默认30s，范围是30-600之间的正整数</w:t>
            </w:r>
          </w:p>
        </w:tc>
      </w:tr>
      <w:tr w14:paraId="7B9550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39" w:type="dxa"/>
            <w:shd w:val="clear" w:color="auto" w:fill="auto"/>
          </w:tcPr>
          <w:p w14:paraId="342CDBE6">
            <w:pPr>
              <w:pStyle w:val="150"/>
            </w:pPr>
            <w:r>
              <w:t>HeartBeatInterval</w:t>
            </w:r>
          </w:p>
        </w:tc>
        <w:tc>
          <w:tcPr>
            <w:tcW w:w="6731" w:type="dxa"/>
            <w:shd w:val="clear" w:color="auto" w:fill="auto"/>
          </w:tcPr>
          <w:p w14:paraId="37FCE2CB">
            <w:pPr>
              <w:pStyle w:val="150"/>
            </w:pPr>
            <w:r>
              <w:rPr>
                <w:rFonts w:hint="eastAsia"/>
              </w:rPr>
              <w:t>发送心跳的时间间隔（正整数，范围</w:t>
            </w:r>
            <w:r>
              <w:t>[</w:t>
            </w:r>
            <w:r>
              <w:rPr>
                <w:rFonts w:hint="eastAsia"/>
              </w:rPr>
              <w:t>30</w:t>
            </w:r>
            <w:r>
              <w:t xml:space="preserve">, </w:t>
            </w:r>
            <w:r>
              <w:rPr>
                <w:rFonts w:hint="eastAsia"/>
              </w:rPr>
              <w:t>600</w:t>
            </w:r>
            <w:r>
              <w:t>]</w:t>
            </w:r>
            <w:r>
              <w:rPr>
                <w:rFonts w:hint="eastAsia"/>
              </w:rPr>
              <w:t>，默认值：</w:t>
            </w:r>
            <w:r>
              <w:t>30</w:t>
            </w:r>
            <w:r>
              <w:rPr>
                <w:rFonts w:hint="eastAsia"/>
              </w:rPr>
              <w:t>）</w:t>
            </w:r>
          </w:p>
        </w:tc>
      </w:tr>
      <w:tr w14:paraId="1F4DEF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39" w:type="dxa"/>
            <w:shd w:val="clear" w:color="auto" w:fill="auto"/>
          </w:tcPr>
          <w:p w14:paraId="2A3389AD">
            <w:pPr>
              <w:pStyle w:val="150"/>
            </w:pPr>
            <w:r>
              <w:t>GWIP</w:t>
            </w:r>
          </w:p>
        </w:tc>
        <w:tc>
          <w:tcPr>
            <w:tcW w:w="6731" w:type="dxa"/>
            <w:shd w:val="clear" w:color="auto" w:fill="auto"/>
          </w:tcPr>
          <w:p w14:paraId="16358C24">
            <w:pPr>
              <w:pStyle w:val="150"/>
            </w:pPr>
            <w:r>
              <w:rPr>
                <w:rFonts w:hint="eastAsia"/>
              </w:rPr>
              <w:t>网关的</w:t>
            </w:r>
            <w:r>
              <w:t>IP</w:t>
            </w:r>
          </w:p>
        </w:tc>
      </w:tr>
      <w:tr w14:paraId="430435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39" w:type="dxa"/>
            <w:shd w:val="clear" w:color="auto" w:fill="auto"/>
          </w:tcPr>
          <w:p w14:paraId="0BF6A569">
            <w:pPr>
              <w:pStyle w:val="150"/>
            </w:pPr>
            <w:r>
              <w:t>SessionKey</w:t>
            </w:r>
          </w:p>
        </w:tc>
        <w:tc>
          <w:tcPr>
            <w:tcW w:w="6731" w:type="dxa"/>
            <w:shd w:val="clear" w:color="auto" w:fill="auto"/>
          </w:tcPr>
          <w:p w14:paraId="10345742">
            <w:pPr>
              <w:pStyle w:val="150"/>
            </w:pPr>
            <w:r>
              <w:rPr>
                <w:rFonts w:hint="eastAsia"/>
              </w:rPr>
              <w:t>会话密钥（大小写敏感、支持特殊字符，最长</w:t>
            </w:r>
            <w:r>
              <w:t>32</w:t>
            </w:r>
            <w:r>
              <w:rPr>
                <w:rFonts w:hint="eastAsia"/>
              </w:rPr>
              <w:t>个字符）</w:t>
            </w:r>
          </w:p>
        </w:tc>
      </w:tr>
      <w:tr w14:paraId="7CCE00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39" w:type="dxa"/>
            <w:shd w:val="clear" w:color="auto" w:fill="auto"/>
          </w:tcPr>
          <w:p w14:paraId="13891862">
            <w:pPr>
              <w:pStyle w:val="150"/>
            </w:pPr>
            <w:r>
              <w:t>Port</w:t>
            </w:r>
          </w:p>
        </w:tc>
        <w:tc>
          <w:tcPr>
            <w:tcW w:w="6731" w:type="dxa"/>
            <w:shd w:val="clear" w:color="auto" w:fill="auto"/>
          </w:tcPr>
          <w:p w14:paraId="0D792D5D">
            <w:pPr>
              <w:pStyle w:val="150"/>
            </w:pPr>
            <w:r>
              <w:rPr>
                <w:rFonts w:hint="eastAsia"/>
              </w:rPr>
              <w:t>端口号（</w:t>
            </w:r>
            <w:r>
              <w:t>6622</w:t>
            </w:r>
            <w:r>
              <w:rPr>
                <w:rFonts w:hint="eastAsia"/>
              </w:rPr>
              <w:t>，不能改变）</w:t>
            </w:r>
          </w:p>
        </w:tc>
      </w:tr>
    </w:tbl>
    <w:p w14:paraId="05F180E7"/>
    <w:p w14:paraId="1CEAD48B">
      <w:r>
        <w:rPr>
          <w:rFonts w:hint="eastAsia"/>
        </w:rPr>
        <w:t>Ssoserver安装目录下还有一个config.ini文件，此文件用来更新sso_setup.exe程序。</w:t>
      </w:r>
    </w:p>
    <w:p w14:paraId="77E89BEE">
      <w:pPr>
        <w:pStyle w:val="188"/>
      </w:pPr>
      <w:bookmarkStart w:id="8454" w:name="_Toc141874823"/>
      <w:r>
        <w:rPr>
          <w:rFonts w:hint="eastAsia"/>
        </w:rPr>
        <w:t>ssoserver安装目录下config.ini文件</w:t>
      </w:r>
      <w:bookmarkEnd w:id="8454"/>
    </w:p>
    <w:p w14:paraId="31B2E595">
      <w:pPr>
        <w:spacing w:before="79" w:after="79"/>
      </w:pPr>
      <w:r>
        <w:drawing>
          <wp:inline distT="0" distB="0" distL="114300" distR="114300">
            <wp:extent cx="5685155" cy="3135630"/>
            <wp:effectExtent l="0" t="0" r="10795" b="7620"/>
            <wp:docPr id="41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14"/>
                    <pic:cNvPicPr>
                      <a:picLocks noChangeAspect="1"/>
                    </pic:cNvPicPr>
                  </pic:nvPicPr>
                  <pic:blipFill>
                    <a:blip r:embed="rId1037"/>
                    <a:stretch>
                      <a:fillRect/>
                    </a:stretch>
                  </pic:blipFill>
                  <pic:spPr>
                    <a:xfrm>
                      <a:off x="0" y="0"/>
                      <a:ext cx="5685155" cy="3135630"/>
                    </a:xfrm>
                    <a:prstGeom prst="rect">
                      <a:avLst/>
                    </a:prstGeom>
                    <a:noFill/>
                    <a:ln>
                      <a:noFill/>
                    </a:ln>
                  </pic:spPr>
                </pic:pic>
              </a:graphicData>
            </a:graphic>
          </wp:inline>
        </w:drawing>
      </w:r>
    </w:p>
    <w:p w14:paraId="371E632A"/>
    <w:p w14:paraId="23CF1A86">
      <w:pPr>
        <w:pStyle w:val="183"/>
      </w:pPr>
      <w:bookmarkStart w:id="8455" w:name="_Toc141875571"/>
      <w:r>
        <w:t>config.ini</w:t>
      </w:r>
      <w:r>
        <w:rPr>
          <w:rFonts w:hint="eastAsia"/>
        </w:rPr>
        <w:t>配置文件参数说明</w:t>
      </w:r>
      <w:bookmarkEnd w:id="8455"/>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239"/>
        <w:gridCol w:w="6731"/>
      </w:tblGrid>
      <w:tr w14:paraId="6684BB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39" w:type="dxa"/>
            <w:tcBorders>
              <w:tl2br w:val="nil"/>
              <w:tr2bl w:val="nil"/>
            </w:tcBorders>
            <w:shd w:val="clear" w:color="auto" w:fill="538135" w:themeFill="accent6" w:themeFillShade="BF"/>
            <w:vAlign w:val="center"/>
          </w:tcPr>
          <w:p w14:paraId="5B395F78">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参数</w:t>
            </w:r>
          </w:p>
        </w:tc>
        <w:tc>
          <w:tcPr>
            <w:tcW w:w="6731" w:type="dxa"/>
            <w:tcBorders>
              <w:tl2br w:val="nil"/>
              <w:tr2bl w:val="nil"/>
            </w:tcBorders>
            <w:shd w:val="clear" w:color="auto" w:fill="538135" w:themeFill="accent6" w:themeFillShade="BF"/>
            <w:vAlign w:val="center"/>
          </w:tcPr>
          <w:p w14:paraId="431061CD">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E2A537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39" w:type="dxa"/>
            <w:shd w:val="clear" w:color="auto" w:fill="auto"/>
          </w:tcPr>
          <w:p w14:paraId="0D26A35D">
            <w:pPr>
              <w:pStyle w:val="150"/>
            </w:pPr>
            <w:r>
              <w:rPr>
                <w:rFonts w:hint="eastAsia"/>
              </w:rPr>
              <w:t>VER</w:t>
            </w:r>
          </w:p>
        </w:tc>
        <w:tc>
          <w:tcPr>
            <w:tcW w:w="6731" w:type="dxa"/>
            <w:shd w:val="clear" w:color="auto" w:fill="auto"/>
          </w:tcPr>
          <w:p w14:paraId="1E55D71E">
            <w:pPr>
              <w:pStyle w:val="150"/>
            </w:pPr>
            <w:r>
              <w:rPr>
                <w:rFonts w:hint="eastAsia"/>
              </w:rPr>
              <w:t>代表sso_setup.exe的版本号，首次发布版本号为1.0，如果后续sso_setup.exe程序有更新，可以将程序版本号进行修改，并将对应程序放到此目录下。</w:t>
            </w:r>
          </w:p>
        </w:tc>
      </w:tr>
      <w:tr w14:paraId="0AB91E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39" w:type="dxa"/>
            <w:shd w:val="clear" w:color="auto" w:fill="auto"/>
          </w:tcPr>
          <w:p w14:paraId="18D00313">
            <w:pPr>
              <w:pStyle w:val="150"/>
            </w:pPr>
            <w:r>
              <w:rPr>
                <w:rFonts w:hint="eastAsia"/>
              </w:rPr>
              <w:t>FILE</w:t>
            </w:r>
          </w:p>
        </w:tc>
        <w:tc>
          <w:tcPr>
            <w:tcW w:w="6731" w:type="dxa"/>
            <w:shd w:val="clear" w:color="auto" w:fill="auto"/>
          </w:tcPr>
          <w:p w14:paraId="7F12AE64">
            <w:pPr>
              <w:pStyle w:val="150"/>
            </w:pPr>
            <w:r>
              <w:rPr>
                <w:rFonts w:hint="eastAsia"/>
              </w:rPr>
              <w:t>sso_setup.exe程序名称，此名称不支持修改，修改后下发给客户端会导致安装失败。</w:t>
            </w:r>
          </w:p>
        </w:tc>
      </w:tr>
    </w:tbl>
    <w:p w14:paraId="7AE33F08"/>
    <w:p w14:paraId="7AF6222B">
      <w:pPr>
        <w:keepNext/>
        <w:pBdr>
          <w:top w:val="single" w:color="auto" w:sz="8" w:space="1"/>
        </w:pBdr>
        <w:jc w:val="left"/>
        <w:rPr>
          <w:lang w:eastAsia="en-US"/>
        </w:rPr>
      </w:pPr>
      <w:r>
        <w:drawing>
          <wp:inline distT="0" distB="0" distL="0" distR="0">
            <wp:extent cx="590550" cy="238125"/>
            <wp:effectExtent l="19050" t="0" r="0" b="0"/>
            <wp:docPr id="420" name="图片 420"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descr="说明"/>
                    <pic:cNvPicPr>
                      <a:picLocks noChangeAspect="1" noChangeArrowheads="1"/>
                    </pic:cNvPicPr>
                  </pic:nvPicPr>
                  <pic:blipFill>
                    <a:blip r:embed="rId92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14:paraId="4F89CD06">
      <w:pPr>
        <w:keepNext/>
        <w:pBdr>
          <w:bottom w:val="single" w:color="auto" w:sz="8" w:space="1"/>
        </w:pBdr>
        <w:jc w:val="left"/>
        <w:rPr>
          <w:rFonts w:eastAsia="楷体_GB2312"/>
        </w:rPr>
      </w:pPr>
      <w:r>
        <w:rPr>
          <w:rFonts w:hint="eastAsia" w:eastAsia="楷体_GB2312"/>
        </w:rPr>
        <w:t>如果AD服务器有安全软件或开启了自带的防火墙，需要放通TCP的880和8443端口。因为PC使用880端口下载单点登录程序，单点登录程序安装后通过8443端口获取sso.ini文件中的配置参数。</w:t>
      </w:r>
    </w:p>
    <w:p w14:paraId="748B2D54"/>
    <w:p w14:paraId="1A56DAAA">
      <w:pPr>
        <w:pStyle w:val="6"/>
      </w:pPr>
      <w:bookmarkStart w:id="8456" w:name="_Toc97137515"/>
      <w:bookmarkStart w:id="8457" w:name="_Toc10371"/>
      <w:r>
        <w:rPr>
          <w:rFonts w:hint="eastAsia"/>
        </w:rPr>
        <w:t>www.sso.pub域名配置</w:t>
      </w:r>
      <w:bookmarkEnd w:id="8456"/>
      <w:bookmarkEnd w:id="8457"/>
      <w:r>
        <w:rPr>
          <w:rFonts w:hint="eastAsia"/>
        </w:rPr>
        <w:t>（可选）</w:t>
      </w:r>
    </w:p>
    <w:p w14:paraId="110F7C02">
      <w:r>
        <w:rPr>
          <w:rFonts w:hint="eastAsia"/>
        </w:rPr>
        <w:t>ssoserver_setup.exe程序安装完之后，还需要配置DNS域名信息，具体配置如下：</w:t>
      </w:r>
    </w:p>
    <w:p w14:paraId="1A1520CF">
      <w:pPr>
        <w:pStyle w:val="202"/>
        <w:rPr>
          <w:lang w:eastAsia="zh-CN"/>
        </w:rPr>
      </w:pPr>
      <w:r>
        <w:rPr>
          <w:rFonts w:hint="eastAsia"/>
          <w:lang w:eastAsia="zh-CN"/>
        </w:rPr>
        <w:t>AD域服务器“开始菜单&gt;管理工具&gt;DNS”，打开DNS管理页面。</w:t>
      </w:r>
    </w:p>
    <w:p w14:paraId="37987500">
      <w:pPr>
        <w:pStyle w:val="188"/>
      </w:pPr>
      <w:bookmarkStart w:id="8458" w:name="_Toc141874824"/>
      <w:r>
        <w:rPr>
          <w:rFonts w:hint="eastAsia"/>
        </w:rPr>
        <w:t>DNS管理页面</w:t>
      </w:r>
      <w:bookmarkEnd w:id="8458"/>
    </w:p>
    <w:p w14:paraId="6ECD45A2">
      <w:pPr>
        <w:spacing w:before="79" w:after="79"/>
      </w:pPr>
      <w:r>
        <w:drawing>
          <wp:inline distT="0" distB="0" distL="114300" distR="114300">
            <wp:extent cx="5133975" cy="1362075"/>
            <wp:effectExtent l="0" t="0" r="9525" b="9525"/>
            <wp:docPr id="42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15"/>
                    <pic:cNvPicPr>
                      <a:picLocks noChangeAspect="1"/>
                    </pic:cNvPicPr>
                  </pic:nvPicPr>
                  <pic:blipFill>
                    <a:blip r:embed="rId1038"/>
                    <a:stretch>
                      <a:fillRect/>
                    </a:stretch>
                  </pic:blipFill>
                  <pic:spPr>
                    <a:xfrm>
                      <a:off x="0" y="0"/>
                      <a:ext cx="5133975" cy="1362075"/>
                    </a:xfrm>
                    <a:prstGeom prst="rect">
                      <a:avLst/>
                    </a:prstGeom>
                    <a:noFill/>
                    <a:ln>
                      <a:noFill/>
                    </a:ln>
                  </pic:spPr>
                </pic:pic>
              </a:graphicData>
            </a:graphic>
          </wp:inline>
        </w:drawing>
      </w:r>
    </w:p>
    <w:p w14:paraId="53F54060"/>
    <w:p w14:paraId="02B38BB4">
      <w:pPr>
        <w:pStyle w:val="202"/>
        <w:rPr>
          <w:lang w:eastAsia="zh-CN"/>
        </w:rPr>
      </w:pPr>
      <w:r>
        <w:rPr>
          <w:lang w:eastAsia="zh-CN"/>
        </w:rPr>
        <w:t>在“正向查找区域”点右键，选择“新建区域”打开新建区域向导。</w:t>
      </w:r>
    </w:p>
    <w:p w14:paraId="3D03304A">
      <w:pPr>
        <w:spacing w:before="158" w:after="158"/>
        <w:ind w:left="900"/>
      </w:pPr>
      <w:r>
        <w:rPr>
          <w:rFonts w:hint="eastAsia"/>
        </w:rPr>
        <w:t>右击新建区域</w:t>
      </w:r>
    </w:p>
    <w:p w14:paraId="3E604DB1">
      <w:pPr>
        <w:spacing w:before="79" w:after="79"/>
      </w:pPr>
      <w:r>
        <w:drawing>
          <wp:inline distT="0" distB="0" distL="114300" distR="114300">
            <wp:extent cx="4552950" cy="2171700"/>
            <wp:effectExtent l="0" t="0" r="0" b="0"/>
            <wp:docPr id="42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16"/>
                    <pic:cNvPicPr>
                      <a:picLocks noChangeAspect="1"/>
                    </pic:cNvPicPr>
                  </pic:nvPicPr>
                  <pic:blipFill>
                    <a:blip r:embed="rId1039"/>
                    <a:stretch>
                      <a:fillRect/>
                    </a:stretch>
                  </pic:blipFill>
                  <pic:spPr>
                    <a:xfrm>
                      <a:off x="0" y="0"/>
                      <a:ext cx="4552950" cy="2171700"/>
                    </a:xfrm>
                    <a:prstGeom prst="rect">
                      <a:avLst/>
                    </a:prstGeom>
                    <a:noFill/>
                    <a:ln>
                      <a:noFill/>
                    </a:ln>
                  </pic:spPr>
                </pic:pic>
              </a:graphicData>
            </a:graphic>
          </wp:inline>
        </w:drawing>
      </w:r>
    </w:p>
    <w:p w14:paraId="0F9162BC"/>
    <w:p w14:paraId="57857B32">
      <w:pPr>
        <w:pStyle w:val="202"/>
        <w:rPr>
          <w:lang w:eastAsia="zh-CN"/>
        </w:rPr>
      </w:pPr>
      <w:r>
        <w:rPr>
          <w:lang w:eastAsia="zh-CN"/>
        </w:rPr>
        <w:t>新建区域向导，点击“下一步”。</w:t>
      </w:r>
    </w:p>
    <w:p w14:paraId="36D41025">
      <w:pPr>
        <w:pStyle w:val="188"/>
      </w:pPr>
      <w:bookmarkStart w:id="8459" w:name="_Toc141874825"/>
      <w:r>
        <w:rPr>
          <w:rFonts w:hint="eastAsia"/>
        </w:rPr>
        <w:t>新建区域向导</w:t>
      </w:r>
      <w:bookmarkEnd w:id="8459"/>
    </w:p>
    <w:p w14:paraId="007C3343">
      <w:pPr>
        <w:spacing w:before="79" w:after="79"/>
      </w:pPr>
      <w:r>
        <w:drawing>
          <wp:inline distT="0" distB="0" distL="114300" distR="114300">
            <wp:extent cx="4016375" cy="2924175"/>
            <wp:effectExtent l="0" t="0" r="3175" b="0"/>
            <wp:docPr id="42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18"/>
                    <pic:cNvPicPr>
                      <a:picLocks noChangeAspect="1"/>
                    </pic:cNvPicPr>
                  </pic:nvPicPr>
                  <pic:blipFill>
                    <a:blip r:embed="rId1040"/>
                    <a:stretch>
                      <a:fillRect/>
                    </a:stretch>
                  </pic:blipFill>
                  <pic:spPr>
                    <a:xfrm>
                      <a:off x="0" y="0"/>
                      <a:ext cx="4026936" cy="2931547"/>
                    </a:xfrm>
                    <a:prstGeom prst="rect">
                      <a:avLst/>
                    </a:prstGeom>
                    <a:noFill/>
                    <a:ln>
                      <a:noFill/>
                    </a:ln>
                  </pic:spPr>
                </pic:pic>
              </a:graphicData>
            </a:graphic>
          </wp:inline>
        </w:drawing>
      </w:r>
    </w:p>
    <w:p w14:paraId="37C74052"/>
    <w:p w14:paraId="71FB5F5B">
      <w:pPr>
        <w:pStyle w:val="202"/>
        <w:rPr>
          <w:lang w:eastAsia="zh-CN"/>
        </w:rPr>
      </w:pPr>
      <w:r>
        <w:rPr>
          <w:rFonts w:hint="eastAsia"/>
          <w:lang w:eastAsia="zh-CN"/>
        </w:rPr>
        <w:t>区域类型选择主要区域，点击“下一步”。</w:t>
      </w:r>
    </w:p>
    <w:p w14:paraId="53861BFF">
      <w:pPr>
        <w:pStyle w:val="188"/>
      </w:pPr>
      <w:bookmarkStart w:id="8460" w:name="_Toc141874826"/>
      <w:r>
        <w:rPr>
          <w:rFonts w:hint="eastAsia"/>
        </w:rPr>
        <w:t>区域类型</w:t>
      </w:r>
      <w:bookmarkEnd w:id="8460"/>
    </w:p>
    <w:p w14:paraId="5AECDBE1">
      <w:pPr>
        <w:spacing w:before="79" w:after="79"/>
      </w:pPr>
      <w:r>
        <w:drawing>
          <wp:inline distT="0" distB="0" distL="114300" distR="114300">
            <wp:extent cx="4857750" cy="3524250"/>
            <wp:effectExtent l="0" t="0" r="0" b="0"/>
            <wp:docPr id="42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19"/>
                    <pic:cNvPicPr>
                      <a:picLocks noChangeAspect="1"/>
                    </pic:cNvPicPr>
                  </pic:nvPicPr>
                  <pic:blipFill>
                    <a:blip r:embed="rId1041"/>
                    <a:stretch>
                      <a:fillRect/>
                    </a:stretch>
                  </pic:blipFill>
                  <pic:spPr>
                    <a:xfrm>
                      <a:off x="0" y="0"/>
                      <a:ext cx="4857750" cy="3524250"/>
                    </a:xfrm>
                    <a:prstGeom prst="rect">
                      <a:avLst/>
                    </a:prstGeom>
                    <a:noFill/>
                    <a:ln>
                      <a:noFill/>
                    </a:ln>
                  </pic:spPr>
                </pic:pic>
              </a:graphicData>
            </a:graphic>
          </wp:inline>
        </w:drawing>
      </w:r>
    </w:p>
    <w:p w14:paraId="4BBC2333"/>
    <w:p w14:paraId="0B9F3AEA">
      <w:pPr>
        <w:pStyle w:val="202"/>
      </w:pPr>
      <w:r>
        <w:rPr>
          <w:rFonts w:hint="eastAsia"/>
        </w:rPr>
        <w:t>Active Directory区域传送作用域，点击“下一步”。</w:t>
      </w:r>
    </w:p>
    <w:p w14:paraId="76A3DF3F">
      <w:pPr>
        <w:pStyle w:val="188"/>
      </w:pPr>
      <w:bookmarkStart w:id="8461" w:name="_Toc141874827"/>
      <w:r>
        <w:rPr>
          <w:rFonts w:hint="eastAsia"/>
        </w:rPr>
        <w:t>区域传送作用域</w:t>
      </w:r>
      <w:bookmarkEnd w:id="8461"/>
    </w:p>
    <w:p w14:paraId="07B87597">
      <w:pPr>
        <w:spacing w:before="79" w:after="79"/>
      </w:pPr>
      <w:r>
        <w:drawing>
          <wp:inline distT="0" distB="0" distL="114300" distR="114300">
            <wp:extent cx="4486275" cy="3265805"/>
            <wp:effectExtent l="0" t="0" r="0" b="0"/>
            <wp:docPr id="42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20"/>
                    <pic:cNvPicPr>
                      <a:picLocks noChangeAspect="1"/>
                    </pic:cNvPicPr>
                  </pic:nvPicPr>
                  <pic:blipFill>
                    <a:blip r:embed="rId1042"/>
                    <a:stretch>
                      <a:fillRect/>
                    </a:stretch>
                  </pic:blipFill>
                  <pic:spPr>
                    <a:xfrm>
                      <a:off x="0" y="0"/>
                      <a:ext cx="4491874" cy="3270014"/>
                    </a:xfrm>
                    <a:prstGeom prst="rect">
                      <a:avLst/>
                    </a:prstGeom>
                    <a:noFill/>
                    <a:ln>
                      <a:noFill/>
                    </a:ln>
                  </pic:spPr>
                </pic:pic>
              </a:graphicData>
            </a:graphic>
          </wp:inline>
        </w:drawing>
      </w:r>
    </w:p>
    <w:p w14:paraId="4A83E584"/>
    <w:p w14:paraId="4108D39E">
      <w:pPr>
        <w:pStyle w:val="202"/>
      </w:pPr>
      <w:r>
        <w:rPr>
          <w:rFonts w:hint="eastAsia"/>
        </w:rPr>
        <w:t>区域名称配置为“www.sso.pub”，点击“下一步”。</w:t>
      </w:r>
    </w:p>
    <w:p w14:paraId="0AAB2600">
      <w:pPr>
        <w:pStyle w:val="188"/>
      </w:pPr>
      <w:bookmarkStart w:id="8462" w:name="_Toc141874828"/>
      <w:r>
        <w:rPr>
          <w:rFonts w:hint="eastAsia"/>
        </w:rPr>
        <w:t>区域名称配置</w:t>
      </w:r>
      <w:bookmarkEnd w:id="8462"/>
    </w:p>
    <w:p w14:paraId="62DD7A0E">
      <w:pPr>
        <w:spacing w:before="79" w:after="79"/>
      </w:pPr>
      <w:r>
        <w:drawing>
          <wp:inline distT="0" distB="0" distL="114300" distR="114300">
            <wp:extent cx="4867275" cy="3524250"/>
            <wp:effectExtent l="0" t="0" r="9525" b="0"/>
            <wp:docPr id="42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21"/>
                    <pic:cNvPicPr>
                      <a:picLocks noChangeAspect="1"/>
                    </pic:cNvPicPr>
                  </pic:nvPicPr>
                  <pic:blipFill>
                    <a:blip r:embed="rId1043"/>
                    <a:stretch>
                      <a:fillRect/>
                    </a:stretch>
                  </pic:blipFill>
                  <pic:spPr>
                    <a:xfrm>
                      <a:off x="0" y="0"/>
                      <a:ext cx="4867275" cy="3524250"/>
                    </a:xfrm>
                    <a:prstGeom prst="rect">
                      <a:avLst/>
                    </a:prstGeom>
                    <a:noFill/>
                    <a:ln>
                      <a:noFill/>
                    </a:ln>
                  </pic:spPr>
                </pic:pic>
              </a:graphicData>
            </a:graphic>
          </wp:inline>
        </w:drawing>
      </w:r>
    </w:p>
    <w:p w14:paraId="65A063CB"/>
    <w:p w14:paraId="5521547C">
      <w:pPr>
        <w:pStyle w:val="202"/>
        <w:rPr>
          <w:lang w:eastAsia="zh-CN"/>
        </w:rPr>
      </w:pPr>
      <w:r>
        <w:rPr>
          <w:rFonts w:hint="eastAsia"/>
          <w:lang w:eastAsia="zh-CN"/>
        </w:rPr>
        <w:t>动态更新选择“不允许动态更新”，点击“下一步”。</w:t>
      </w:r>
    </w:p>
    <w:p w14:paraId="7AB30EE8">
      <w:pPr>
        <w:pStyle w:val="188"/>
      </w:pPr>
      <w:bookmarkStart w:id="8463" w:name="_Toc141874829"/>
      <w:r>
        <w:rPr>
          <w:rFonts w:hint="eastAsia"/>
        </w:rPr>
        <w:t>动态更新</w:t>
      </w:r>
      <w:bookmarkEnd w:id="8463"/>
    </w:p>
    <w:p w14:paraId="424FCFC5">
      <w:pPr>
        <w:spacing w:before="79" w:after="79"/>
      </w:pPr>
      <w:r>
        <w:drawing>
          <wp:inline distT="0" distB="0" distL="114300" distR="114300">
            <wp:extent cx="4362450" cy="3202940"/>
            <wp:effectExtent l="0" t="0" r="0" b="0"/>
            <wp:docPr id="42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22"/>
                    <pic:cNvPicPr>
                      <a:picLocks noChangeAspect="1"/>
                    </pic:cNvPicPr>
                  </pic:nvPicPr>
                  <pic:blipFill>
                    <a:blip r:embed="rId1044"/>
                    <a:stretch>
                      <a:fillRect/>
                    </a:stretch>
                  </pic:blipFill>
                  <pic:spPr>
                    <a:xfrm>
                      <a:off x="0" y="0"/>
                      <a:ext cx="4363906" cy="3204207"/>
                    </a:xfrm>
                    <a:prstGeom prst="rect">
                      <a:avLst/>
                    </a:prstGeom>
                    <a:noFill/>
                    <a:ln>
                      <a:noFill/>
                    </a:ln>
                  </pic:spPr>
                </pic:pic>
              </a:graphicData>
            </a:graphic>
          </wp:inline>
        </w:drawing>
      </w:r>
    </w:p>
    <w:p w14:paraId="0AE28B37"/>
    <w:p w14:paraId="30037DDF">
      <w:pPr>
        <w:pStyle w:val="202"/>
        <w:rPr>
          <w:lang w:eastAsia="zh-CN"/>
        </w:rPr>
      </w:pPr>
      <w:r>
        <w:rPr>
          <w:rFonts w:hint="eastAsia"/>
          <w:lang w:eastAsia="zh-CN"/>
        </w:rPr>
        <w:t>正在完成新建区域向导，点击“完成”。</w:t>
      </w:r>
    </w:p>
    <w:p w14:paraId="11009308">
      <w:pPr>
        <w:pStyle w:val="188"/>
      </w:pPr>
      <w:bookmarkStart w:id="8464" w:name="_Toc141874830"/>
      <w:r>
        <w:rPr>
          <w:rFonts w:hint="eastAsia"/>
        </w:rPr>
        <w:t>新建区域配置完成</w:t>
      </w:r>
      <w:bookmarkEnd w:id="8464"/>
    </w:p>
    <w:p w14:paraId="5E15442A">
      <w:pPr>
        <w:spacing w:before="79" w:after="79"/>
      </w:pPr>
      <w:r>
        <w:drawing>
          <wp:inline distT="0" distB="0" distL="114300" distR="114300">
            <wp:extent cx="4857750" cy="3524250"/>
            <wp:effectExtent l="0" t="0" r="0" b="0"/>
            <wp:docPr id="42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23"/>
                    <pic:cNvPicPr>
                      <a:picLocks noChangeAspect="1"/>
                    </pic:cNvPicPr>
                  </pic:nvPicPr>
                  <pic:blipFill>
                    <a:blip r:embed="rId1045"/>
                    <a:stretch>
                      <a:fillRect/>
                    </a:stretch>
                  </pic:blipFill>
                  <pic:spPr>
                    <a:xfrm>
                      <a:off x="0" y="0"/>
                      <a:ext cx="4857750" cy="3524250"/>
                    </a:xfrm>
                    <a:prstGeom prst="rect">
                      <a:avLst/>
                    </a:prstGeom>
                    <a:noFill/>
                    <a:ln>
                      <a:noFill/>
                    </a:ln>
                  </pic:spPr>
                </pic:pic>
              </a:graphicData>
            </a:graphic>
          </wp:inline>
        </w:drawing>
      </w:r>
    </w:p>
    <w:p w14:paraId="70E4EA2E">
      <w:pPr>
        <w:pStyle w:val="202"/>
      </w:pPr>
      <w:r>
        <w:rPr>
          <w:rFonts w:hint="eastAsia"/>
        </w:rPr>
        <w:t>DNS管理界面展开“正向查找区域&gt;wwww.sso.pub”，在右侧空白处点击右键，选择“新建主机”。</w:t>
      </w:r>
    </w:p>
    <w:p w14:paraId="18F8C845">
      <w:pPr>
        <w:pStyle w:val="188"/>
      </w:pPr>
      <w:bookmarkStart w:id="8465" w:name="_Toc141874831"/>
      <w:r>
        <w:rPr>
          <w:rFonts w:hint="eastAsia"/>
        </w:rPr>
        <w:t>右击新建主机</w:t>
      </w:r>
      <w:bookmarkEnd w:id="8465"/>
    </w:p>
    <w:p w14:paraId="1B27C5BA">
      <w:pPr>
        <w:spacing w:before="79" w:after="79"/>
      </w:pPr>
      <w:r>
        <w:drawing>
          <wp:inline distT="0" distB="0" distL="114300" distR="114300">
            <wp:extent cx="4876800" cy="3118485"/>
            <wp:effectExtent l="0" t="0" r="0" b="5715"/>
            <wp:docPr id="43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24"/>
                    <pic:cNvPicPr>
                      <a:picLocks noChangeAspect="1"/>
                    </pic:cNvPicPr>
                  </pic:nvPicPr>
                  <pic:blipFill>
                    <a:blip r:embed="rId1046"/>
                    <a:stretch>
                      <a:fillRect/>
                    </a:stretch>
                  </pic:blipFill>
                  <pic:spPr>
                    <a:xfrm>
                      <a:off x="0" y="0"/>
                      <a:ext cx="4903193" cy="3135437"/>
                    </a:xfrm>
                    <a:prstGeom prst="rect">
                      <a:avLst/>
                    </a:prstGeom>
                    <a:noFill/>
                    <a:ln>
                      <a:noFill/>
                    </a:ln>
                  </pic:spPr>
                </pic:pic>
              </a:graphicData>
            </a:graphic>
          </wp:inline>
        </w:drawing>
      </w:r>
    </w:p>
    <w:p w14:paraId="5FD92F0F"/>
    <w:p w14:paraId="29EF3F06">
      <w:pPr>
        <w:pStyle w:val="202"/>
        <w:rPr>
          <w:lang w:eastAsia="zh-CN"/>
        </w:rPr>
      </w:pPr>
      <w:r>
        <w:rPr>
          <w:rFonts w:hint="eastAsia"/>
          <w:lang w:eastAsia="zh-CN"/>
        </w:rPr>
        <w:t>弹出新建主机配置界面，IP地址配置为“10.1.163.41”即安装ssoserver这台服务器的IP地址（也就是AD域服务器地址），点击 “添加主机”。</w:t>
      </w:r>
    </w:p>
    <w:p w14:paraId="5A518439">
      <w:pPr>
        <w:pStyle w:val="188"/>
      </w:pPr>
      <w:bookmarkStart w:id="8466" w:name="_Toc141874832"/>
      <w:r>
        <w:rPr>
          <w:rFonts w:hint="eastAsia"/>
        </w:rPr>
        <w:t>添加主机地址</w:t>
      </w:r>
      <w:bookmarkEnd w:id="8466"/>
    </w:p>
    <w:p w14:paraId="044A5DA5">
      <w:pPr>
        <w:spacing w:before="79" w:after="79"/>
      </w:pPr>
      <w:r>
        <w:drawing>
          <wp:inline distT="0" distB="0" distL="114300" distR="114300">
            <wp:extent cx="3381375" cy="3171825"/>
            <wp:effectExtent l="0" t="0" r="9525" b="9525"/>
            <wp:docPr id="43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25"/>
                    <pic:cNvPicPr>
                      <a:picLocks noChangeAspect="1"/>
                    </pic:cNvPicPr>
                  </pic:nvPicPr>
                  <pic:blipFill>
                    <a:blip r:embed="rId1047"/>
                    <a:stretch>
                      <a:fillRect/>
                    </a:stretch>
                  </pic:blipFill>
                  <pic:spPr>
                    <a:xfrm>
                      <a:off x="0" y="0"/>
                      <a:ext cx="3381375" cy="3171825"/>
                    </a:xfrm>
                    <a:prstGeom prst="rect">
                      <a:avLst/>
                    </a:prstGeom>
                    <a:noFill/>
                    <a:ln>
                      <a:noFill/>
                    </a:ln>
                  </pic:spPr>
                </pic:pic>
              </a:graphicData>
            </a:graphic>
          </wp:inline>
        </w:drawing>
      </w:r>
    </w:p>
    <w:p w14:paraId="33F73BBD">
      <w:pPr>
        <w:pStyle w:val="202"/>
        <w:rPr>
          <w:lang w:eastAsia="zh-CN"/>
        </w:rPr>
      </w:pPr>
      <w:r>
        <w:rPr>
          <w:rFonts w:hint="eastAsia"/>
          <w:lang w:eastAsia="zh-CN"/>
        </w:rPr>
        <w:t>点击“确定”后并点击“完成”，主机记录配置完成。</w:t>
      </w:r>
    </w:p>
    <w:p w14:paraId="2EBB8F5D">
      <w:pPr>
        <w:pStyle w:val="188"/>
      </w:pPr>
      <w:bookmarkStart w:id="8467" w:name="_Toc141874833"/>
      <w:r>
        <w:rPr>
          <w:rFonts w:hint="eastAsia"/>
        </w:rPr>
        <w:t>点击确定</w:t>
      </w:r>
      <w:bookmarkEnd w:id="8467"/>
    </w:p>
    <w:p w14:paraId="6C77A41F">
      <w:pPr>
        <w:spacing w:before="79" w:after="79"/>
      </w:pPr>
      <w:r>
        <w:drawing>
          <wp:inline distT="0" distB="0" distL="114300" distR="114300">
            <wp:extent cx="3409950" cy="3171825"/>
            <wp:effectExtent l="0" t="0" r="0" b="9525"/>
            <wp:docPr id="43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26"/>
                    <pic:cNvPicPr>
                      <a:picLocks noChangeAspect="1"/>
                    </pic:cNvPicPr>
                  </pic:nvPicPr>
                  <pic:blipFill>
                    <a:blip r:embed="rId1048"/>
                    <a:stretch>
                      <a:fillRect/>
                    </a:stretch>
                  </pic:blipFill>
                  <pic:spPr>
                    <a:xfrm>
                      <a:off x="0" y="0"/>
                      <a:ext cx="3409950" cy="3171825"/>
                    </a:xfrm>
                    <a:prstGeom prst="rect">
                      <a:avLst/>
                    </a:prstGeom>
                    <a:noFill/>
                    <a:ln>
                      <a:noFill/>
                    </a:ln>
                  </pic:spPr>
                </pic:pic>
              </a:graphicData>
            </a:graphic>
          </wp:inline>
        </w:drawing>
      </w:r>
    </w:p>
    <w:p w14:paraId="44E02216"/>
    <w:p w14:paraId="65888453">
      <w:pPr>
        <w:pStyle w:val="188"/>
      </w:pPr>
      <w:bookmarkStart w:id="8468" w:name="_Toc141874834"/>
      <w:r>
        <w:rPr>
          <w:rFonts w:hint="eastAsia"/>
        </w:rPr>
        <w:t>点击完成</w:t>
      </w:r>
      <w:bookmarkEnd w:id="8468"/>
    </w:p>
    <w:p w14:paraId="4149584B">
      <w:pPr>
        <w:spacing w:before="79" w:after="79"/>
      </w:pPr>
      <w:r>
        <w:drawing>
          <wp:inline distT="0" distB="0" distL="114300" distR="114300">
            <wp:extent cx="3381375" cy="3200400"/>
            <wp:effectExtent l="0" t="0" r="9525" b="0"/>
            <wp:docPr id="43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27"/>
                    <pic:cNvPicPr>
                      <a:picLocks noChangeAspect="1"/>
                    </pic:cNvPicPr>
                  </pic:nvPicPr>
                  <pic:blipFill>
                    <a:blip r:embed="rId1049"/>
                    <a:stretch>
                      <a:fillRect/>
                    </a:stretch>
                  </pic:blipFill>
                  <pic:spPr>
                    <a:xfrm>
                      <a:off x="0" y="0"/>
                      <a:ext cx="3381375" cy="3200400"/>
                    </a:xfrm>
                    <a:prstGeom prst="rect">
                      <a:avLst/>
                    </a:prstGeom>
                    <a:noFill/>
                    <a:ln>
                      <a:noFill/>
                    </a:ln>
                  </pic:spPr>
                </pic:pic>
              </a:graphicData>
            </a:graphic>
          </wp:inline>
        </w:drawing>
      </w:r>
    </w:p>
    <w:p w14:paraId="35CCFD8E"/>
    <w:p w14:paraId="1427EEEE">
      <w:pPr>
        <w:pStyle w:val="188"/>
      </w:pPr>
      <w:bookmarkStart w:id="8469" w:name="_Toc141874835"/>
      <w:r>
        <w:rPr>
          <w:rFonts w:hint="eastAsia"/>
        </w:rPr>
        <w:t>配置完成后查看www.sso.pub主机地址</w:t>
      </w:r>
      <w:bookmarkEnd w:id="8469"/>
    </w:p>
    <w:p w14:paraId="5B05D8BB">
      <w:pPr>
        <w:spacing w:before="79" w:after="79"/>
      </w:pPr>
      <w:r>
        <w:drawing>
          <wp:inline distT="0" distB="0" distL="114300" distR="114300">
            <wp:extent cx="5374640" cy="1699260"/>
            <wp:effectExtent l="0" t="0" r="16510" b="15240"/>
            <wp:docPr id="43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28"/>
                    <pic:cNvPicPr>
                      <a:picLocks noChangeAspect="1"/>
                    </pic:cNvPicPr>
                  </pic:nvPicPr>
                  <pic:blipFill>
                    <a:blip r:embed="rId1050"/>
                    <a:stretch>
                      <a:fillRect/>
                    </a:stretch>
                  </pic:blipFill>
                  <pic:spPr>
                    <a:xfrm>
                      <a:off x="0" y="0"/>
                      <a:ext cx="5374640" cy="1699260"/>
                    </a:xfrm>
                    <a:prstGeom prst="rect">
                      <a:avLst/>
                    </a:prstGeom>
                    <a:noFill/>
                    <a:ln>
                      <a:noFill/>
                    </a:ln>
                  </pic:spPr>
                </pic:pic>
              </a:graphicData>
            </a:graphic>
          </wp:inline>
        </w:drawing>
      </w:r>
    </w:p>
    <w:p w14:paraId="0A586796"/>
    <w:p w14:paraId="7C8A9D4F">
      <w:r>
        <w:rPr>
          <w:rFonts w:hint="eastAsia"/>
        </w:rPr>
        <w:t>至此ssoserver_setup.exe所有配置完成。</w:t>
      </w:r>
    </w:p>
    <w:p w14:paraId="6CC1EC43">
      <w:pPr>
        <w:rPr>
          <w:rFonts w:eastAsia="黑体"/>
          <w:bCs/>
          <w:color w:val="800000"/>
          <w:sz w:val="24"/>
          <w:szCs w:val="36"/>
        </w:rPr>
      </w:pPr>
      <w:r>
        <w:rPr>
          <w:rFonts w:hint="eastAsia"/>
        </w:rPr>
        <w:t>域pc可通过http://www.sso.pub:880/sso_setup.exe下载单点登录程序包进行手动安装，如果无法访问，请检查AD域服务器上防火墙是否放通了880和8443端口。</w:t>
      </w:r>
    </w:p>
    <w:p w14:paraId="6691BD40">
      <w:pPr>
        <w:pStyle w:val="6"/>
      </w:pPr>
      <w:bookmarkStart w:id="8470" w:name="_Toc12094"/>
      <w:bookmarkStart w:id="8471" w:name="_Toc97137516"/>
      <w:bookmarkStart w:id="8472" w:name="_Toc99561670"/>
      <w:bookmarkStart w:id="8473" w:name="_Toc7655"/>
      <w:r>
        <w:rPr>
          <w:rFonts w:hint="eastAsia"/>
        </w:rPr>
        <w:t>使用限制及注意事项</w:t>
      </w:r>
      <w:bookmarkEnd w:id="8470"/>
      <w:bookmarkEnd w:id="8471"/>
      <w:bookmarkEnd w:id="8472"/>
    </w:p>
    <w:p w14:paraId="00162449">
      <w:pPr>
        <w:pStyle w:val="162"/>
      </w:pPr>
      <w:r>
        <w:t>单点登录功能目前仅支持AD域系统，不支持其他系统。</w:t>
      </w:r>
    </w:p>
    <w:p w14:paraId="6C7AA470">
      <w:pPr>
        <w:pStyle w:val="162"/>
      </w:pPr>
      <w:r>
        <w:t>支持的AD域服务器有Windows 2003 server、Windows 2008 server、Windows 2012 server、Windows 201</w:t>
      </w:r>
      <w:r>
        <w:rPr>
          <w:rFonts w:hint="eastAsia"/>
        </w:rPr>
        <w:t xml:space="preserve">6 </w:t>
      </w:r>
      <w:r>
        <w:t>server、Windows 2019 server。</w:t>
      </w:r>
    </w:p>
    <w:p w14:paraId="38034511">
      <w:pPr>
        <w:pStyle w:val="162"/>
      </w:pPr>
      <w:r>
        <w:t>由于sso_setup.exe和ssoserver_setup.exe程序安装会在系统上添加自启动项，通过主流安全软件扫描有可能会被误阻断的现象，安装时需关注此项，如出现误阻断需要在杀毒软件上添加允许程序操作安装成功，</w:t>
      </w:r>
      <w:r>
        <w:rPr>
          <w:rFonts w:hint="eastAsia"/>
        </w:rPr>
        <w:t>如果</w:t>
      </w:r>
      <w:r>
        <w:t>ssoserver_setup.exe程序安装设置允许程序操作时，程序进程还是会被阻断的情况，导致ssoserver的serve进程被隐藏无法启动，此时重新安装也无法启动serve进程（出现此情况卸载ssoserver程序然后重启服务器，将360安全软件退出再重新安装），最好是将360安全软件退出安装程序。</w:t>
      </w:r>
    </w:p>
    <w:p w14:paraId="707D5F56">
      <w:pPr>
        <w:pStyle w:val="162"/>
      </w:pPr>
      <w:r>
        <w:t>sso_setup.exe和ssoserver_setup.exe程序下载安装会受杀毒软件扫描</w:t>
      </w:r>
      <w:r>
        <w:rPr>
          <w:rFonts w:hint="eastAsia"/>
        </w:rPr>
        <w:t>（目前程序已提交微软、360杀毒、腾讯管家主流杀毒软件扫描，但是并不能完全保证杀毒软件不误识别的情况）</w:t>
      </w:r>
      <w:r>
        <w:t>，杀毒软件有可能存在误识别病毒或木马的情况，如果存在此情况</w:t>
      </w:r>
      <w:r>
        <w:rPr>
          <w:rFonts w:hint="eastAsia"/>
        </w:rPr>
        <w:t>可先退出杀毒软件下载或者将软件添加信任。</w:t>
      </w:r>
      <w:bookmarkEnd w:id="8473"/>
    </w:p>
    <w:p w14:paraId="14BF4EFF">
      <w:pPr>
        <w:pStyle w:val="5"/>
      </w:pPr>
      <w:bookmarkStart w:id="8474" w:name="_Toc137560450"/>
      <w:bookmarkStart w:id="8475" w:name="_Toc141873532"/>
      <w:bookmarkStart w:id="8476" w:name="_Toc172218296"/>
      <w:bookmarkStart w:id="8477" w:name="_Toc194081177"/>
      <w:bookmarkStart w:id="8478" w:name="_Toc196728505"/>
      <w:bookmarkStart w:id="8479" w:name="_Toc142401048"/>
      <w:r>
        <w:rPr>
          <w:rFonts w:hint="eastAsia"/>
        </w:rPr>
        <w:t>配置AD</w:t>
      </w:r>
      <w:r>
        <w:t>域</w:t>
      </w:r>
      <w:r>
        <w:rPr>
          <w:rFonts w:hint="eastAsia"/>
        </w:rPr>
        <w:t>单点登录</w:t>
      </w:r>
      <w:bookmarkEnd w:id="8474"/>
      <w:bookmarkEnd w:id="8475"/>
      <w:bookmarkEnd w:id="8476"/>
      <w:bookmarkEnd w:id="8477"/>
      <w:bookmarkEnd w:id="8478"/>
      <w:bookmarkEnd w:id="8479"/>
    </w:p>
    <w:p w14:paraId="0A463DB8">
      <w:pPr>
        <w:rPr>
          <w:rFonts w:asciiTheme="minorEastAsia" w:hAnsiTheme="minorEastAsia"/>
        </w:rPr>
      </w:pPr>
      <w:r>
        <w:rPr>
          <w:rFonts w:hint="eastAsia"/>
        </w:rPr>
        <w:t>AD域单点登录适用于客户内网已有AD域统一管理内网用户，部署设备后希望设备和AD域结合，加入域的终端用户登录PC之后，上网过程中不需要再认证一次。</w:t>
      </w:r>
      <w:r>
        <w:rPr>
          <w:rFonts w:hint="eastAsia" w:asciiTheme="minorEastAsia" w:hAnsiTheme="minorEastAsia"/>
        </w:rPr>
        <w:t>在设备不使用脚本单点登录方式时，可以选择AD域监控单点功能，通过获取</w:t>
      </w:r>
      <w:r>
        <w:rPr>
          <w:rFonts w:asciiTheme="minorEastAsia" w:hAnsiTheme="minorEastAsia"/>
        </w:rPr>
        <w:t>AD服务器上用户的上线日志</w:t>
      </w:r>
      <w:r>
        <w:rPr>
          <w:rFonts w:hint="eastAsia" w:asciiTheme="minorEastAsia" w:hAnsiTheme="minorEastAsia"/>
        </w:rPr>
        <w:t>，用来认证域PC用户上线。</w:t>
      </w:r>
    </w:p>
    <w:p w14:paraId="43BA6E58">
      <w:pPr>
        <w:rPr>
          <w:rStyle w:val="375"/>
        </w:rPr>
      </w:pPr>
      <w:r>
        <w:rPr>
          <w:rFonts w:hint="eastAsia"/>
          <w:bCs/>
        </w:rPr>
        <w:t>选择“</w:t>
      </w:r>
      <w:r>
        <w:rPr>
          <w:rStyle w:val="375"/>
          <w:rFonts w:hint="eastAsia"/>
        </w:rPr>
        <w:t>用户管理&gt;认证管理&gt;认证方式&gt;单点登录”，</w:t>
      </w:r>
      <w:r>
        <w:rPr>
          <w:rStyle w:val="375"/>
        </w:rPr>
        <w:t>选择AD</w:t>
      </w:r>
      <w:r>
        <w:rPr>
          <w:rStyle w:val="375"/>
          <w:rFonts w:hint="eastAsia"/>
        </w:rPr>
        <w:t>域单点登录页签</w:t>
      </w:r>
      <w:r>
        <w:rPr>
          <w:rStyle w:val="375"/>
        </w:rPr>
        <w:t>，</w:t>
      </w:r>
      <w:r>
        <w:rPr>
          <w:rStyle w:val="375"/>
          <w:rFonts w:hint="eastAsia"/>
        </w:rPr>
        <w:t>进入AD域单点登录页面，可以查看系统上已创建</w:t>
      </w:r>
      <w:r>
        <w:rPr>
          <w:rStyle w:val="375"/>
        </w:rPr>
        <w:t>的</w:t>
      </w:r>
      <w:r>
        <w:rPr>
          <w:rStyle w:val="375"/>
          <w:rFonts w:hint="eastAsia"/>
        </w:rPr>
        <w:t>域</w:t>
      </w:r>
      <w:r>
        <w:rPr>
          <w:rStyle w:val="375"/>
        </w:rPr>
        <w:t>控制器信息</w:t>
      </w:r>
      <w:r>
        <w:rPr>
          <w:rStyle w:val="375"/>
          <w:rFonts w:hint="eastAsia"/>
        </w:rPr>
        <w:t>。</w:t>
      </w:r>
    </w:p>
    <w:p w14:paraId="62281024">
      <w:pPr>
        <w:pStyle w:val="188"/>
      </w:pPr>
      <w:bookmarkStart w:id="8480" w:name="_Toc141874836"/>
      <w:r>
        <w:rPr>
          <w:rStyle w:val="375"/>
        </w:rPr>
        <w:t>AD</w:t>
      </w:r>
      <w:r>
        <w:rPr>
          <w:rStyle w:val="375"/>
          <w:rFonts w:hint="eastAsia"/>
        </w:rPr>
        <w:t>域单点登录页面</w:t>
      </w:r>
      <w:bookmarkEnd w:id="8480"/>
    </w:p>
    <w:p w14:paraId="36001DAE">
      <w:pPr>
        <w:spacing w:before="120" w:after="120"/>
      </w:pPr>
      <w:r>
        <w:drawing>
          <wp:inline distT="0" distB="0" distL="0" distR="0">
            <wp:extent cx="5681980" cy="808990"/>
            <wp:effectExtent l="0" t="0" r="0" b="0"/>
            <wp:docPr id="4981" name="图片 4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1" name="图片 4981"/>
                    <pic:cNvPicPr>
                      <a:picLocks noChangeAspect="1"/>
                    </pic:cNvPicPr>
                  </pic:nvPicPr>
                  <pic:blipFill>
                    <a:blip r:embed="rId1051"/>
                    <a:srcRect t="23424"/>
                    <a:stretch>
                      <a:fillRect/>
                    </a:stretch>
                  </pic:blipFill>
                  <pic:spPr>
                    <a:xfrm>
                      <a:off x="0" y="0"/>
                      <a:ext cx="5728069" cy="816003"/>
                    </a:xfrm>
                    <a:prstGeom prst="rect">
                      <a:avLst/>
                    </a:prstGeom>
                    <a:ln>
                      <a:noFill/>
                    </a:ln>
                  </pic:spPr>
                </pic:pic>
              </a:graphicData>
            </a:graphic>
          </wp:inline>
        </w:drawing>
      </w:r>
    </w:p>
    <w:p w14:paraId="3D7F6591">
      <w:pPr>
        <w:spacing w:before="120" w:after="120"/>
      </w:pPr>
    </w:p>
    <w:p w14:paraId="5B683ED8">
      <w:r>
        <w:rPr>
          <w:rFonts w:hint="eastAsia"/>
        </w:rPr>
        <w:t>点击&lt;</w:t>
      </w:r>
      <w:r>
        <w:rPr>
          <w:rFonts w:hint="eastAsia"/>
          <w:b/>
        </w:rPr>
        <w:t>新建</w:t>
      </w:r>
      <w:r>
        <w:t>&gt;</w:t>
      </w:r>
      <w:r>
        <w:rPr>
          <w:rFonts w:hint="eastAsia"/>
        </w:rPr>
        <w:t>，编辑相关信息，点击&lt;</w:t>
      </w:r>
      <w:r>
        <w:rPr>
          <w:rFonts w:hint="eastAsia"/>
          <w:b/>
          <w:bCs/>
        </w:rPr>
        <w:t>提交</w:t>
      </w:r>
      <w:r>
        <w:t>&gt;</w:t>
      </w:r>
      <w:r>
        <w:rPr>
          <w:rFonts w:hint="eastAsia"/>
        </w:rPr>
        <w:t>。</w:t>
      </w:r>
    </w:p>
    <w:p w14:paraId="493FD622">
      <w:pPr>
        <w:pStyle w:val="188"/>
      </w:pPr>
      <w:bookmarkStart w:id="8481" w:name="_Toc141874837"/>
      <w:r>
        <w:rPr>
          <w:rStyle w:val="375"/>
          <w:rFonts w:hint="eastAsia"/>
        </w:rPr>
        <w:t>域</w:t>
      </w:r>
      <w:r>
        <w:rPr>
          <w:rStyle w:val="375"/>
        </w:rPr>
        <w:t>控制器配置页面</w:t>
      </w:r>
      <w:bookmarkEnd w:id="8481"/>
    </w:p>
    <w:p w14:paraId="3106C53F">
      <w:pPr>
        <w:pStyle w:val="175"/>
      </w:pPr>
      <w:r>
        <w:drawing>
          <wp:inline distT="0" distB="0" distL="0" distR="0">
            <wp:extent cx="5248275" cy="303403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1052"/>
                    <a:stretch>
                      <a:fillRect/>
                    </a:stretch>
                  </pic:blipFill>
                  <pic:spPr>
                    <a:xfrm>
                      <a:off x="0" y="0"/>
                      <a:ext cx="5254146" cy="3037570"/>
                    </a:xfrm>
                    <a:prstGeom prst="rect">
                      <a:avLst/>
                    </a:prstGeom>
                  </pic:spPr>
                </pic:pic>
              </a:graphicData>
            </a:graphic>
          </wp:inline>
        </w:drawing>
      </w:r>
    </w:p>
    <w:p w14:paraId="6BC9D521">
      <w:r>
        <w:rPr>
          <w:rFonts w:hint="eastAsia"/>
        </w:rPr>
        <w:t>详细配置请参见下表。</w:t>
      </w:r>
    </w:p>
    <w:tbl>
      <w:tblPr>
        <w:tblStyle w:val="173"/>
        <w:tblW w:w="500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767"/>
        <w:gridCol w:w="7475"/>
      </w:tblGrid>
      <w:tr w14:paraId="54E0042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956" w:type="pct"/>
            <w:tcBorders>
              <w:tl2br w:val="nil"/>
              <w:tr2bl w:val="nil"/>
            </w:tcBorders>
            <w:shd w:val="clear" w:color="auto" w:fill="538135" w:themeFill="accent6" w:themeFillShade="BF"/>
            <w:vAlign w:val="center"/>
          </w:tcPr>
          <w:p w14:paraId="39024BA0">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4044" w:type="pct"/>
            <w:tcBorders>
              <w:tl2br w:val="nil"/>
              <w:tr2bl w:val="nil"/>
            </w:tcBorders>
            <w:shd w:val="clear" w:color="auto" w:fill="538135" w:themeFill="accent6" w:themeFillShade="BF"/>
            <w:vAlign w:val="center"/>
          </w:tcPr>
          <w:p w14:paraId="281BFDB0">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2D23E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956" w:type="pct"/>
            <w:shd w:val="clear" w:color="auto" w:fill="auto"/>
          </w:tcPr>
          <w:p w14:paraId="310B52DC">
            <w:pPr>
              <w:pStyle w:val="150"/>
            </w:pPr>
            <w:r>
              <w:rPr>
                <w:rFonts w:hint="eastAsia"/>
              </w:rPr>
              <w:t>启用</w:t>
            </w:r>
          </w:p>
        </w:tc>
        <w:tc>
          <w:tcPr>
            <w:tcW w:w="4044" w:type="pct"/>
            <w:shd w:val="clear" w:color="auto" w:fill="auto"/>
          </w:tcPr>
          <w:p w14:paraId="1A7698D7">
            <w:pPr>
              <w:pStyle w:val="150"/>
            </w:pPr>
            <w:r>
              <w:rPr>
                <w:rFonts w:hint="eastAsia"/>
              </w:rPr>
              <w:t>AD域单点登录启用或禁用。</w:t>
            </w:r>
          </w:p>
        </w:tc>
      </w:tr>
      <w:tr w14:paraId="13341E8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956" w:type="pct"/>
            <w:shd w:val="clear" w:color="auto" w:fill="auto"/>
          </w:tcPr>
          <w:p w14:paraId="66B6AE3E">
            <w:pPr>
              <w:pStyle w:val="150"/>
            </w:pPr>
            <w:r>
              <w:rPr>
                <w:rFonts w:hint="eastAsia"/>
              </w:rPr>
              <w:t>名称</w:t>
            </w:r>
          </w:p>
        </w:tc>
        <w:tc>
          <w:tcPr>
            <w:tcW w:w="4044" w:type="pct"/>
            <w:shd w:val="clear" w:color="auto" w:fill="auto"/>
          </w:tcPr>
          <w:p w14:paraId="09476681">
            <w:pPr>
              <w:pStyle w:val="150"/>
            </w:pPr>
            <w:r>
              <w:rPr>
                <w:rFonts w:hint="eastAsia"/>
              </w:rPr>
              <w:t>域控制器名称。</w:t>
            </w:r>
          </w:p>
        </w:tc>
      </w:tr>
      <w:tr w14:paraId="4CD8C9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956" w:type="pct"/>
            <w:shd w:val="clear" w:color="auto" w:fill="auto"/>
          </w:tcPr>
          <w:p w14:paraId="51832B2E">
            <w:pPr>
              <w:pStyle w:val="150"/>
            </w:pPr>
            <w:r>
              <w:rPr>
                <w:rFonts w:hint="eastAsia"/>
              </w:rPr>
              <w:t>域DNS服务器</w:t>
            </w:r>
          </w:p>
        </w:tc>
        <w:tc>
          <w:tcPr>
            <w:tcW w:w="4044" w:type="pct"/>
            <w:shd w:val="clear" w:color="auto" w:fill="auto"/>
          </w:tcPr>
          <w:p w14:paraId="301C6844">
            <w:pPr>
              <w:pStyle w:val="150"/>
            </w:pPr>
            <w:r>
              <w:rPr>
                <w:rFonts w:hint="eastAsia"/>
              </w:rPr>
              <w:t>域DNS服务器地址，可以用来解析域名。</w:t>
            </w:r>
          </w:p>
        </w:tc>
      </w:tr>
      <w:tr w14:paraId="3518B7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956" w:type="pct"/>
            <w:shd w:val="clear" w:color="auto" w:fill="auto"/>
          </w:tcPr>
          <w:p w14:paraId="33B33FF2">
            <w:pPr>
              <w:pStyle w:val="150"/>
            </w:pPr>
            <w:r>
              <w:rPr>
                <w:rFonts w:hint="eastAsia"/>
              </w:rPr>
              <w:t>域名</w:t>
            </w:r>
          </w:p>
        </w:tc>
        <w:tc>
          <w:tcPr>
            <w:tcW w:w="4044" w:type="pct"/>
            <w:shd w:val="clear" w:color="auto" w:fill="auto"/>
          </w:tcPr>
          <w:p w14:paraId="7EA90459">
            <w:pPr>
              <w:pStyle w:val="150"/>
            </w:pPr>
            <w:r>
              <w:rPr>
                <w:rFonts w:hint="eastAsia"/>
              </w:rPr>
              <w:t>填写域服务器对应的域名。点击域名解析按钮，可自动解析出所有的域控制器的IP地址。</w:t>
            </w:r>
          </w:p>
        </w:tc>
      </w:tr>
      <w:tr w14:paraId="32F0C8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956" w:type="pct"/>
            <w:shd w:val="clear" w:color="auto" w:fill="auto"/>
          </w:tcPr>
          <w:p w14:paraId="10477C50">
            <w:pPr>
              <w:pStyle w:val="150"/>
            </w:pPr>
            <w:r>
              <w:rPr>
                <w:rFonts w:hint="eastAsia"/>
              </w:rPr>
              <w:t>域服务器IP</w:t>
            </w:r>
          </w:p>
        </w:tc>
        <w:tc>
          <w:tcPr>
            <w:tcW w:w="4044" w:type="pct"/>
            <w:shd w:val="clear" w:color="auto" w:fill="auto"/>
          </w:tcPr>
          <w:p w14:paraId="0E891E93">
            <w:pPr>
              <w:pStyle w:val="150"/>
            </w:pPr>
            <w:r>
              <w:rPr>
                <w:rFonts w:hint="eastAsia"/>
              </w:rPr>
              <w:t>可以手动填写域服务器对应的IP地址，或者通过域名解析导入域服务器IP。</w:t>
            </w:r>
          </w:p>
          <w:p w14:paraId="2178D0D9">
            <w:pPr>
              <w:pStyle w:val="150"/>
            </w:pPr>
            <w:r>
              <w:rPr>
                <w:rFonts w:hint="eastAsia"/>
              </w:rPr>
              <w:t>如果认证前终端和域控服务器无法通信，会导致域控服务器无上线的事件日志；因此需确保策略配置不影响终端与域服务器通信。</w:t>
            </w:r>
          </w:p>
        </w:tc>
      </w:tr>
      <w:tr w14:paraId="5245BE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956" w:type="pct"/>
            <w:shd w:val="clear" w:color="auto" w:fill="auto"/>
          </w:tcPr>
          <w:p w14:paraId="5A528F98">
            <w:pPr>
              <w:pStyle w:val="150"/>
            </w:pPr>
            <w:r>
              <w:rPr>
                <w:rFonts w:hint="eastAsia"/>
              </w:rPr>
              <w:t>域账号</w:t>
            </w:r>
          </w:p>
        </w:tc>
        <w:tc>
          <w:tcPr>
            <w:tcW w:w="4044" w:type="pct"/>
            <w:shd w:val="clear" w:color="auto" w:fill="auto"/>
          </w:tcPr>
          <w:p w14:paraId="2C5BA13F">
            <w:pPr>
              <w:pStyle w:val="150"/>
            </w:pPr>
            <w:r>
              <w:rPr>
                <w:rFonts w:hint="eastAsia"/>
              </w:rPr>
              <w:t>AD域服务器有管理员权限的账号。</w:t>
            </w:r>
          </w:p>
        </w:tc>
      </w:tr>
      <w:tr w14:paraId="2F9E48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956" w:type="pct"/>
            <w:shd w:val="clear" w:color="auto" w:fill="auto"/>
          </w:tcPr>
          <w:p w14:paraId="58A4AC68">
            <w:pPr>
              <w:pStyle w:val="150"/>
            </w:pPr>
            <w:r>
              <w:rPr>
                <w:rFonts w:hint="eastAsia"/>
              </w:rPr>
              <w:t>域账号密码</w:t>
            </w:r>
          </w:p>
        </w:tc>
        <w:tc>
          <w:tcPr>
            <w:tcW w:w="4044" w:type="pct"/>
            <w:shd w:val="clear" w:color="auto" w:fill="auto"/>
          </w:tcPr>
          <w:p w14:paraId="4076FB95">
            <w:pPr>
              <w:pStyle w:val="150"/>
            </w:pPr>
            <w:r>
              <w:rPr>
                <w:rFonts w:hint="eastAsia"/>
              </w:rPr>
              <w:t>域账号对应的密码。</w:t>
            </w:r>
          </w:p>
        </w:tc>
      </w:tr>
      <w:tr w14:paraId="496AD6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956" w:type="pct"/>
            <w:shd w:val="clear" w:color="auto" w:fill="auto"/>
          </w:tcPr>
          <w:p w14:paraId="665F0A6C">
            <w:pPr>
              <w:pStyle w:val="150"/>
            </w:pPr>
            <w:r>
              <w:rPr>
                <w:rFonts w:hint="eastAsia"/>
              </w:rPr>
              <w:t>日志eventID</w:t>
            </w:r>
          </w:p>
        </w:tc>
        <w:tc>
          <w:tcPr>
            <w:tcW w:w="4044" w:type="pct"/>
            <w:shd w:val="clear" w:color="auto" w:fill="auto"/>
          </w:tcPr>
          <w:p w14:paraId="671FC8E5">
            <w:pPr>
              <w:pStyle w:val="150"/>
            </w:pPr>
            <w:r>
              <w:rPr>
                <w:rFonts w:hint="eastAsia"/>
              </w:rPr>
              <w:t>用来读取AD域上的事件类型，可多选，一般4624登录。</w:t>
            </w:r>
          </w:p>
        </w:tc>
      </w:tr>
    </w:tbl>
    <w:p w14:paraId="22A48647"/>
    <w:p w14:paraId="1CC01BAD">
      <w:pPr>
        <w:pStyle w:val="5"/>
      </w:pPr>
      <w:bookmarkStart w:id="8482" w:name="_Toc142401049"/>
      <w:bookmarkStart w:id="8483" w:name="_Toc172218297"/>
      <w:bookmarkStart w:id="8484" w:name="_Toc196728506"/>
      <w:bookmarkStart w:id="8485" w:name="_Toc194081178"/>
      <w:bookmarkStart w:id="8486" w:name="_Toc141873533"/>
      <w:r>
        <w:rPr>
          <w:rFonts w:hint="eastAsia"/>
        </w:rPr>
        <w:t>访客二维码认证</w:t>
      </w:r>
      <w:bookmarkEnd w:id="8394"/>
      <w:bookmarkEnd w:id="8395"/>
      <w:bookmarkEnd w:id="8396"/>
      <w:bookmarkEnd w:id="8397"/>
      <w:bookmarkEnd w:id="8398"/>
      <w:bookmarkEnd w:id="8399"/>
      <w:bookmarkEnd w:id="8482"/>
      <w:bookmarkEnd w:id="8483"/>
      <w:bookmarkEnd w:id="8484"/>
      <w:bookmarkEnd w:id="8485"/>
      <w:bookmarkEnd w:id="8486"/>
    </w:p>
    <w:p w14:paraId="10F27313">
      <w:pPr>
        <w:pStyle w:val="6"/>
      </w:pPr>
      <w:r>
        <w:t>访客二维码认证概述</w:t>
      </w:r>
    </w:p>
    <w:p w14:paraId="40354E5C">
      <w:r>
        <w:rPr>
          <w:rFonts w:hint="eastAsia"/>
        </w:rPr>
        <w:t>访客二维码认证主要针对下列三种场景：</w:t>
      </w:r>
    </w:p>
    <w:p w14:paraId="580BEA93">
      <w:pPr>
        <w:pStyle w:val="162"/>
      </w:pPr>
      <w:r>
        <w:rPr>
          <w:rFonts w:hint="eastAsia"/>
        </w:rPr>
        <w:t>对于企业访客，联网时，终端弹出认证二维码，由公司内部审核人员（比如前台），扫描二维码，备注访客信息，然后实现访客上网；</w:t>
      </w:r>
    </w:p>
    <w:p w14:paraId="5C32EA5C">
      <w:pPr>
        <w:pStyle w:val="162"/>
      </w:pPr>
      <w:r>
        <w:rPr>
          <w:rFonts w:hint="eastAsia"/>
        </w:rPr>
        <w:t>对于酒店客户，手机可以通过微信认证上网，而笔记本无法进行微信认证，可以选择二维码认证，客户通过已经认证的手机，扫描笔记本二维码完成认证，最终实现笔记本上网。这种方式下，不需要弹出审核页面，直接以审核人身份上网。</w:t>
      </w:r>
    </w:p>
    <w:p w14:paraId="2855A6E9">
      <w:pPr>
        <w:pStyle w:val="162"/>
      </w:pPr>
      <w:r>
        <w:rPr>
          <w:rFonts w:hint="eastAsia"/>
        </w:rPr>
        <w:t>对于企业访客，联网时，终端弹出认证portal，访客需要填写用户信息后生成二维码，由公司内部审核人员扫描二维码，授权访客上网。</w:t>
      </w:r>
    </w:p>
    <w:p w14:paraId="78F10A2A">
      <w:pPr>
        <w:pStyle w:val="374"/>
        <w:spacing w:before="156" w:after="156"/>
        <w:ind w:firstLine="422"/>
        <w:rPr>
          <w:b/>
        </w:rPr>
      </w:pPr>
      <w:r>
        <w:rPr>
          <w:rFonts w:hint="eastAsia"/>
          <w:b/>
        </w:rPr>
        <w:t>二维码认证的认证流程如下：</w:t>
      </w:r>
    </w:p>
    <w:p w14:paraId="521FDF13">
      <w:pPr>
        <w:pStyle w:val="202"/>
        <w:rPr>
          <w:lang w:eastAsia="zh-CN"/>
        </w:rPr>
      </w:pPr>
      <w:r>
        <w:rPr>
          <w:rFonts w:hint="eastAsia"/>
          <w:lang w:eastAsia="zh-CN"/>
        </w:rPr>
        <w:t>在设备上配置二维码认证。配置内容有：终端超时时间、二维码超时时间、无感知功能、审核人、审核方式等。</w:t>
      </w:r>
    </w:p>
    <w:p w14:paraId="2BBDB272">
      <w:pPr>
        <w:pStyle w:val="202"/>
        <w:rPr>
          <w:lang w:eastAsia="zh-CN"/>
        </w:rPr>
      </w:pPr>
      <w:r>
        <w:rPr>
          <w:rFonts w:hint="eastAsia"/>
          <w:lang w:eastAsia="zh-CN"/>
        </w:rPr>
        <w:t>在设备上配置认证策略。认证方式选择“二维码认证”，可配置用户录入方式等。</w:t>
      </w:r>
    </w:p>
    <w:p w14:paraId="27739163">
      <w:pPr>
        <w:pStyle w:val="202"/>
        <w:rPr>
          <w:lang w:eastAsia="zh-CN"/>
        </w:rPr>
      </w:pPr>
      <w:r>
        <w:rPr>
          <w:rFonts w:hint="eastAsia"/>
          <w:lang w:eastAsia="zh-CN"/>
        </w:rPr>
        <w:t>访客终端流量到达设备时，匹配到策略的流量会被设备劫持，设备将流量重定向到二维码认证页面URL（比如，通过302报文），验证URL中的审核方式：</w:t>
      </w:r>
    </w:p>
    <w:p w14:paraId="179D51DE">
      <w:pPr>
        <w:numPr>
          <w:ilvl w:val="1"/>
          <w:numId w:val="34"/>
        </w:numPr>
        <w:spacing w:before="158" w:after="158" w:line="240" w:lineRule="auto"/>
        <w:ind w:firstLine="420"/>
      </w:pPr>
      <w:r>
        <w:rPr>
          <w:rFonts w:hint="eastAsia"/>
        </w:rPr>
        <w:t>如果审核方式是：“访客填写用户信息，审核人扫码，授权访客上线”，则重定向到访客编辑页面，访客终端弹出编辑框，备注自己的用户名提交后，设备再生成二维码页面；</w:t>
      </w:r>
    </w:p>
    <w:p w14:paraId="095A6F65">
      <w:pPr>
        <w:numPr>
          <w:ilvl w:val="1"/>
          <w:numId w:val="34"/>
        </w:numPr>
        <w:spacing w:before="158" w:after="158" w:line="240" w:lineRule="auto"/>
        <w:ind w:firstLine="420"/>
      </w:pPr>
      <w:r>
        <w:rPr>
          <w:rFonts w:hint="eastAsia"/>
        </w:rPr>
        <w:t>如果审核方式是另外两种方式，则直接生成二维码页面。</w:t>
      </w:r>
    </w:p>
    <w:p w14:paraId="6D701C94">
      <w:r>
        <w:rPr>
          <w:rFonts w:hint="eastAsia"/>
        </w:rPr>
        <w:t>在终端，二维码认证页面周期向设备查询认证结果。</w:t>
      </w:r>
    </w:p>
    <w:p w14:paraId="01053E06">
      <w:pPr>
        <w:pStyle w:val="202"/>
        <w:rPr>
          <w:lang w:eastAsia="zh-CN"/>
        </w:rPr>
      </w:pPr>
      <w:r>
        <w:rPr>
          <w:rFonts w:hint="eastAsia"/>
          <w:lang w:eastAsia="zh-CN"/>
        </w:rPr>
        <w:t>审核人通过手机微信或QQ扫描认证二维码，微信或QQ解析二维码，得到指向设备的URL，然后向设备请求该URL。</w:t>
      </w:r>
    </w:p>
    <w:p w14:paraId="41292127">
      <w:pPr>
        <w:pStyle w:val="202"/>
        <w:rPr>
          <w:lang w:eastAsia="zh-CN"/>
        </w:rPr>
      </w:pPr>
      <w:r>
        <w:rPr>
          <w:rFonts w:hint="eastAsia"/>
          <w:lang w:eastAsia="zh-CN"/>
        </w:rPr>
        <w:t>设备收到URL的请求包时，先验证该URL中的时间是否超时，如果超时，则将请求重定向到验证码过期页面。如果没有超时，就验证请求者身份，如果不是配置的审核人，则返回无权限审核页面。如果是审核人，则查看配置的审核方式，如果是：“审核人扫码，备注后授权访客上线”，则重定向到审核页面；如果审核方式是：“审核人扫码，授权访客以审核人身份上线”，则客户直接以审核人用户名上线。</w:t>
      </w:r>
    </w:p>
    <w:p w14:paraId="61E9BF1E">
      <w:pPr>
        <w:pStyle w:val="202"/>
        <w:rPr>
          <w:lang w:eastAsia="zh-CN"/>
        </w:rPr>
      </w:pPr>
      <w:r>
        <w:rPr>
          <w:rFonts w:hint="eastAsia"/>
          <w:lang w:eastAsia="zh-CN"/>
        </w:rPr>
        <w:t>审核人手机收到设备返回的审核页面，根据提示，填写客户信息，并授权用户上线；</w:t>
      </w:r>
    </w:p>
    <w:p w14:paraId="5F55C10E">
      <w:pPr>
        <w:pStyle w:val="202"/>
        <w:rPr>
          <w:lang w:eastAsia="zh-CN"/>
        </w:rPr>
      </w:pPr>
      <w:r>
        <w:rPr>
          <w:rFonts w:hint="eastAsia"/>
          <w:lang w:eastAsia="zh-CN"/>
        </w:rPr>
        <w:t>设备收到审核信息后，新建动态用户，并将客户终端IP关联到该动态用户，完成上线。二维码认证用户上线后可以通过终端页面主动注销，也可以因超时、管理员踢出而下线。</w:t>
      </w:r>
    </w:p>
    <w:p w14:paraId="77DC2A26">
      <w:pPr>
        <w:pStyle w:val="6"/>
      </w:pPr>
      <w:bookmarkStart w:id="8487" w:name="_Toc58603899"/>
      <w:bookmarkStart w:id="8488" w:name="_Toc99561617"/>
      <w:bookmarkStart w:id="8489" w:name="_Toc70415305"/>
      <w:bookmarkStart w:id="8490" w:name="_Toc70414368"/>
      <w:r>
        <w:rPr>
          <w:rFonts w:hint="eastAsia"/>
        </w:rPr>
        <w:t>访客二维码认证配置</w:t>
      </w:r>
    </w:p>
    <w:p w14:paraId="5449DB81">
      <w:r>
        <w:rPr>
          <w:rFonts w:hint="eastAsia"/>
        </w:rPr>
        <w:t>在导航栏中选择“用户管理&gt;认证管理&gt;认证方式</w:t>
      </w:r>
      <w:r>
        <w:t>&gt;</w:t>
      </w:r>
      <w:r>
        <w:rPr>
          <w:rFonts w:hint="eastAsia"/>
        </w:rPr>
        <w:t>访客二维码认证”，进入访客二维码认证页面，页面显示了当前的访客二维码认证配置，如</w:t>
      </w:r>
      <w:r>
        <w:fldChar w:fldCharType="begin"/>
      </w:r>
      <w:r>
        <w:instrText xml:space="preserve"> </w:instrText>
      </w:r>
      <w:r>
        <w:rPr>
          <w:rFonts w:hint="eastAsia"/>
        </w:rPr>
        <w:instrText xml:space="preserve">REF _Ref5125425 \r \h</w:instrText>
      </w:r>
      <w:r>
        <w:instrText xml:space="preserve"> </w:instrText>
      </w:r>
      <w:r>
        <w:fldChar w:fldCharType="separate"/>
      </w:r>
      <w:r>
        <w:rPr>
          <w:rFonts w:hint="eastAsia"/>
        </w:rPr>
        <w:t>图31-68</w:t>
      </w:r>
      <w:r>
        <w:fldChar w:fldCharType="end"/>
      </w:r>
      <w:r>
        <w:rPr>
          <w:rFonts w:hint="eastAsia"/>
        </w:rPr>
        <w:t>所示。</w:t>
      </w:r>
    </w:p>
    <w:p w14:paraId="3076CCB0">
      <w:pPr>
        <w:pStyle w:val="188"/>
      </w:pPr>
      <w:bookmarkStart w:id="8491" w:name="_Ref5125425"/>
      <w:bookmarkStart w:id="8492" w:name="_Toc141874838"/>
      <w:r>
        <w:rPr>
          <w:rFonts w:hint="eastAsia"/>
        </w:rPr>
        <w:t>访客二维码认证</w:t>
      </w:r>
      <w:r>
        <w:t>页面</w:t>
      </w:r>
      <w:bookmarkEnd w:id="8491"/>
      <w:bookmarkEnd w:id="8492"/>
    </w:p>
    <w:p w14:paraId="58975A32">
      <w:r>
        <w:drawing>
          <wp:inline distT="0" distB="0" distL="0" distR="0">
            <wp:extent cx="5398770" cy="4007485"/>
            <wp:effectExtent l="0" t="0" r="0" b="0"/>
            <wp:docPr id="1296485327" name="图片 1296485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27" name="图片 1296485327"/>
                    <pic:cNvPicPr>
                      <a:picLocks noChangeAspect="1"/>
                    </pic:cNvPicPr>
                  </pic:nvPicPr>
                  <pic:blipFill>
                    <a:blip r:embed="rId1053"/>
                    <a:stretch>
                      <a:fillRect/>
                    </a:stretch>
                  </pic:blipFill>
                  <pic:spPr>
                    <a:xfrm>
                      <a:off x="0" y="0"/>
                      <a:ext cx="5401981" cy="4010289"/>
                    </a:xfrm>
                    <a:prstGeom prst="rect">
                      <a:avLst/>
                    </a:prstGeom>
                  </pic:spPr>
                </pic:pic>
              </a:graphicData>
            </a:graphic>
          </wp:inline>
        </w:drawing>
      </w:r>
    </w:p>
    <w:p w14:paraId="416C1D56"/>
    <w:p w14:paraId="6BAE38AB">
      <w:r>
        <w:rPr>
          <w:rFonts w:hint="eastAsia"/>
        </w:rPr>
        <w:t>页面的详细说明如</w:t>
      </w:r>
      <w:r>
        <w:fldChar w:fldCharType="begin"/>
      </w:r>
      <w:r>
        <w:instrText xml:space="preserve"> </w:instrText>
      </w:r>
      <w:r>
        <w:rPr>
          <w:rFonts w:hint="eastAsia"/>
        </w:rPr>
        <w:instrText xml:space="preserve">REF _Ref5125455 \r \h</w:instrText>
      </w:r>
      <w:r>
        <w:instrText xml:space="preserve"> </w:instrText>
      </w:r>
      <w:r>
        <w:fldChar w:fldCharType="separate"/>
      </w:r>
      <w:r>
        <w:rPr>
          <w:rFonts w:hint="eastAsia"/>
        </w:rPr>
        <w:t>表31-1</w:t>
      </w:r>
      <w:r>
        <w:fldChar w:fldCharType="end"/>
      </w:r>
      <w:r>
        <w:rPr>
          <w:rFonts w:hint="eastAsia"/>
        </w:rPr>
        <w:t>所示。</w:t>
      </w:r>
    </w:p>
    <w:p w14:paraId="15C0DC74">
      <w:pPr>
        <w:pStyle w:val="183"/>
      </w:pPr>
      <w:bookmarkStart w:id="8493" w:name="_Ref5125455"/>
      <w:bookmarkStart w:id="8494" w:name="_Toc141875572"/>
      <w:r>
        <w:rPr>
          <w:rFonts w:hint="eastAsia"/>
        </w:rPr>
        <w:t>访客二维码认证配置详细说明</w:t>
      </w:r>
      <w:bookmarkEnd w:id="8493"/>
      <w:bookmarkEnd w:id="8494"/>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639"/>
        <w:gridCol w:w="7375"/>
      </w:tblGrid>
      <w:tr w14:paraId="38BDCB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tcBorders>
              <w:tl2br w:val="nil"/>
              <w:tr2bl w:val="nil"/>
            </w:tcBorders>
            <w:shd w:val="clear" w:color="auto" w:fill="538135" w:themeFill="accent6" w:themeFillShade="BF"/>
            <w:vAlign w:val="center"/>
          </w:tcPr>
          <w:p w14:paraId="22D60A03">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7375" w:type="dxa"/>
            <w:tcBorders>
              <w:tl2br w:val="nil"/>
              <w:tr2bl w:val="nil"/>
            </w:tcBorders>
            <w:shd w:val="clear" w:color="auto" w:fill="538135" w:themeFill="accent6" w:themeFillShade="BF"/>
            <w:vAlign w:val="center"/>
          </w:tcPr>
          <w:p w14:paraId="084ACD97">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ACCC1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643BCA65">
            <w:pPr>
              <w:pStyle w:val="150"/>
            </w:pPr>
            <w:r>
              <w:rPr>
                <w:rFonts w:hint="eastAsia"/>
              </w:rPr>
              <w:t>超时时间</w:t>
            </w:r>
          </w:p>
        </w:tc>
        <w:tc>
          <w:tcPr>
            <w:tcW w:w="7375" w:type="dxa"/>
            <w:shd w:val="clear" w:color="auto" w:fill="auto"/>
          </w:tcPr>
          <w:p w14:paraId="64D06C04">
            <w:pPr>
              <w:pStyle w:val="150"/>
            </w:pPr>
            <w:r>
              <w:rPr>
                <w:rFonts w:hint="eastAsia"/>
              </w:rPr>
              <w:t>二维码认证成功用户无流量的情况下超时时间。默认值为1</w:t>
            </w:r>
            <w:r>
              <w:t>5</w:t>
            </w:r>
            <w:r>
              <w:rPr>
                <w:rFonts w:hint="eastAsia"/>
              </w:rPr>
              <w:t>分钟，可输入的范围为1-144000分钟。</w:t>
            </w:r>
          </w:p>
        </w:tc>
      </w:tr>
      <w:tr w14:paraId="4291A2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0C33A1FA">
            <w:pPr>
              <w:pStyle w:val="150"/>
            </w:pPr>
            <w:r>
              <w:rPr>
                <w:rFonts w:hint="eastAsia"/>
              </w:rPr>
              <w:t>强制重登录间隔</w:t>
            </w:r>
          </w:p>
        </w:tc>
        <w:tc>
          <w:tcPr>
            <w:tcW w:w="7375" w:type="dxa"/>
            <w:shd w:val="clear" w:color="auto" w:fill="auto"/>
          </w:tcPr>
          <w:p w14:paraId="33D9B8C1">
            <w:pPr>
              <w:pStyle w:val="150"/>
            </w:pPr>
            <w:r>
              <w:rPr>
                <w:rFonts w:hint="eastAsia"/>
              </w:rPr>
              <w:t>二维码认证的用户强制重登录时间，用户认证上线后，从用户登录时间开始，超时后，不管用户是否在线，系统都会将该用户强制下线。</w:t>
            </w:r>
          </w:p>
        </w:tc>
      </w:tr>
      <w:tr w14:paraId="3F397C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68066411">
            <w:pPr>
              <w:pStyle w:val="150"/>
            </w:pPr>
            <w:r>
              <w:rPr>
                <w:rFonts w:hint="eastAsia"/>
              </w:rPr>
              <w:t>二维码超时</w:t>
            </w:r>
          </w:p>
        </w:tc>
        <w:tc>
          <w:tcPr>
            <w:tcW w:w="7375" w:type="dxa"/>
            <w:shd w:val="clear" w:color="auto" w:fill="auto"/>
          </w:tcPr>
          <w:p w14:paraId="5839DF54">
            <w:pPr>
              <w:pStyle w:val="150"/>
              <w:rPr>
                <w:rFonts w:ascii="微软雅黑" w:hAnsi="微软雅黑" w:eastAsia="微软雅黑" w:cs="宋体"/>
                <w:color w:val="000000"/>
              </w:rPr>
            </w:pPr>
            <w:r>
              <w:rPr>
                <w:rFonts w:hint="eastAsia"/>
              </w:rPr>
              <w:t>二维码认证时二维码超时时间。默认值为5分钟，可输入的范围为2-10分钟。</w:t>
            </w:r>
          </w:p>
        </w:tc>
      </w:tr>
      <w:tr w14:paraId="68AFBD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1B728B91">
            <w:pPr>
              <w:pStyle w:val="150"/>
            </w:pPr>
            <w:r>
              <w:rPr>
                <w:rFonts w:hint="eastAsia"/>
              </w:rPr>
              <w:t>无感知</w:t>
            </w:r>
          </w:p>
        </w:tc>
        <w:tc>
          <w:tcPr>
            <w:tcW w:w="7375" w:type="dxa"/>
            <w:shd w:val="clear" w:color="auto" w:fill="auto"/>
          </w:tcPr>
          <w:p w14:paraId="146102A9">
            <w:pPr>
              <w:pStyle w:val="150"/>
            </w:pPr>
            <w:r>
              <w:rPr>
                <w:rFonts w:hint="eastAsia"/>
              </w:rPr>
              <w:t>二维码认证成功用户无流量超时下线后，在无感知配置时间内，可以无需认证直接上线。</w:t>
            </w:r>
          </w:p>
        </w:tc>
      </w:tr>
      <w:tr w14:paraId="44B25B5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390E421E">
            <w:pPr>
              <w:pStyle w:val="150"/>
            </w:pPr>
            <w:r>
              <w:rPr>
                <w:rFonts w:hint="eastAsia"/>
              </w:rPr>
              <w:t>页面跳转</w:t>
            </w:r>
          </w:p>
        </w:tc>
        <w:tc>
          <w:tcPr>
            <w:tcW w:w="7375" w:type="dxa"/>
            <w:shd w:val="clear" w:color="auto" w:fill="auto"/>
          </w:tcPr>
          <w:p w14:paraId="730B3F8E">
            <w:pPr>
              <w:pStyle w:val="150"/>
            </w:pPr>
            <w:r>
              <w:rPr>
                <w:rFonts w:hint="eastAsia"/>
              </w:rPr>
              <w:t>认证成功后，跳转页面，支持三种：</w:t>
            </w:r>
          </w:p>
          <w:p w14:paraId="11920F71">
            <w:pPr>
              <w:pStyle w:val="207"/>
            </w:pPr>
            <w:r>
              <w:rPr>
                <w:rFonts w:hint="eastAsia"/>
              </w:rPr>
              <w:t>之前访问的页面</w:t>
            </w:r>
          </w:p>
          <w:p w14:paraId="2B672869">
            <w:pPr>
              <w:pStyle w:val="207"/>
            </w:pPr>
            <w:r>
              <w:rPr>
                <w:rFonts w:hint="eastAsia"/>
              </w:rPr>
              <w:t>重定向URL</w:t>
            </w:r>
          </w:p>
          <w:p w14:paraId="2F860D20">
            <w:pPr>
              <w:pStyle w:val="207"/>
            </w:pPr>
            <w:r>
              <w:rPr>
                <w:rFonts w:hint="eastAsia"/>
              </w:rPr>
              <w:t>认证结果页面</w:t>
            </w:r>
          </w:p>
        </w:tc>
      </w:tr>
      <w:tr w14:paraId="15F1F9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09661256">
            <w:pPr>
              <w:pStyle w:val="150"/>
            </w:pPr>
            <w:r>
              <w:rPr>
                <w:rFonts w:hint="eastAsia"/>
              </w:rPr>
              <w:t>审核人</w:t>
            </w:r>
          </w:p>
        </w:tc>
        <w:tc>
          <w:tcPr>
            <w:tcW w:w="7375" w:type="dxa"/>
            <w:shd w:val="clear" w:color="auto" w:fill="auto"/>
          </w:tcPr>
          <w:p w14:paraId="2BDA33E7">
            <w:pPr>
              <w:pStyle w:val="150"/>
            </w:pPr>
            <w:r>
              <w:rPr>
                <w:rFonts w:hint="eastAsia"/>
              </w:rPr>
              <w:t>单击“选择用户”配置审核人，可以选择用户组织结构中的用户和用户组（如选择用户组，则该组中所有用户均为审核人），可以配置多个；如果配置为any，表示选择所有已认证的用户。</w:t>
            </w:r>
          </w:p>
          <w:p w14:paraId="6D05E368">
            <w:pPr>
              <w:pStyle w:val="150"/>
            </w:pPr>
            <w:r>
              <w:rPr>
                <w:rFonts w:hint="eastAsia"/>
              </w:rPr>
              <w:t>二维码认证时，需要使用已配置的且通过认证上线的审核人手机扫描认证二维码，否则会提示无审核权限。</w:t>
            </w:r>
          </w:p>
        </w:tc>
      </w:tr>
      <w:tr w14:paraId="5B1E67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39" w:type="dxa"/>
            <w:shd w:val="clear" w:color="auto" w:fill="auto"/>
          </w:tcPr>
          <w:p w14:paraId="7EF7D32C">
            <w:pPr>
              <w:pStyle w:val="150"/>
            </w:pPr>
            <w:r>
              <w:rPr>
                <w:rFonts w:hint="eastAsia"/>
              </w:rPr>
              <w:t>审核方式</w:t>
            </w:r>
          </w:p>
        </w:tc>
        <w:tc>
          <w:tcPr>
            <w:tcW w:w="7375" w:type="dxa"/>
            <w:shd w:val="clear" w:color="auto" w:fill="auto"/>
          </w:tcPr>
          <w:p w14:paraId="046D4B41">
            <w:pPr>
              <w:pStyle w:val="150"/>
            </w:pPr>
            <w:r>
              <w:rPr>
                <w:rFonts w:hint="eastAsia"/>
              </w:rPr>
              <w:t>支持三种审核方式：</w:t>
            </w:r>
          </w:p>
          <w:p w14:paraId="6FECB149">
            <w:pPr>
              <w:pStyle w:val="150"/>
            </w:pPr>
            <w:r>
              <w:rPr>
                <w:rFonts w:hint="eastAsia"/>
                <w:b/>
              </w:rPr>
              <w:t>审核人扫码，备注后授权访客上线：</w:t>
            </w:r>
            <w:r>
              <w:rPr>
                <w:rFonts w:hint="eastAsia"/>
              </w:rPr>
              <w:t>访客上网时终端弹出认证二维码，审核人员扫描二维码，备注访客信息后授权访客上线。</w:t>
            </w:r>
          </w:p>
          <w:p w14:paraId="665A31F5">
            <w:pPr>
              <w:pStyle w:val="150"/>
            </w:pPr>
            <w:r>
              <w:rPr>
                <w:rFonts w:hint="eastAsia"/>
                <w:b/>
              </w:rPr>
              <w:t>审核人扫码，授权访客以审核人身份上线：</w:t>
            </w:r>
            <w:r>
              <w:rPr>
                <w:rFonts w:hint="eastAsia"/>
              </w:rPr>
              <w:t>不弹审核页面，审核人直接扫描二维码完成认证后，以审核人身份登录，访客本人即可完成审核。例如，酒店住客已经完成微信认证，但微信认证不适用于笔记本电脑，此时可以选择此种审核方式，使用手机在笔记本上扫描二维码即可完成笔记本的上网认证审核。</w:t>
            </w:r>
          </w:p>
          <w:p w14:paraId="2D3B6856">
            <w:pPr>
              <w:pStyle w:val="150"/>
            </w:pPr>
            <w:r>
              <w:rPr>
                <w:rFonts w:hint="eastAsia"/>
                <w:b/>
              </w:rPr>
              <w:t>访客填写用户信息，审核人扫码，授权访客上线：</w:t>
            </w:r>
            <w:r>
              <w:rPr>
                <w:rFonts w:hint="eastAsia"/>
              </w:rPr>
              <w:t>访客上网时终端弹出认证Portal，访客需要填写用户信息后生成二维码，由审核人员扫描二维码，授权访客上线。</w:t>
            </w:r>
          </w:p>
        </w:tc>
      </w:tr>
    </w:tbl>
    <w:p w14:paraId="38639C29"/>
    <w:p w14:paraId="606AAD34">
      <w:r>
        <w:rPr>
          <w:rFonts w:hint="eastAsia"/>
        </w:rPr>
        <w:t>输入完毕后，点击</w:t>
      </w:r>
      <w:r>
        <w:t>&lt;</w:t>
      </w:r>
      <w:r>
        <w:rPr>
          <w:rFonts w:hint="eastAsia"/>
        </w:rPr>
        <w:t>提交</w:t>
      </w:r>
      <w:r>
        <w:t>&gt;</w:t>
      </w:r>
      <w:r>
        <w:rPr>
          <w:rFonts w:hint="eastAsia"/>
        </w:rPr>
        <w:t>按钮，应用配置。</w:t>
      </w:r>
    </w:p>
    <w:p w14:paraId="77839BB3">
      <w:pPr>
        <w:jc w:val="left"/>
      </w:pPr>
    </w:p>
    <w:p w14:paraId="0EF90CE1">
      <w:pPr>
        <w:pStyle w:val="5"/>
      </w:pPr>
      <w:bookmarkStart w:id="8495" w:name="_Toc141873534"/>
      <w:bookmarkStart w:id="8496" w:name="_Toc172218298"/>
      <w:bookmarkStart w:id="8497" w:name="_Toc194081179"/>
      <w:bookmarkStart w:id="8498" w:name="_Toc142401050"/>
      <w:bookmarkStart w:id="8499" w:name="_Toc196728507"/>
      <w:r>
        <w:t>IC卡认证</w:t>
      </w:r>
      <w:bookmarkEnd w:id="8487"/>
      <w:bookmarkEnd w:id="8488"/>
      <w:bookmarkEnd w:id="8489"/>
      <w:bookmarkEnd w:id="8490"/>
      <w:bookmarkEnd w:id="8495"/>
      <w:bookmarkEnd w:id="8496"/>
      <w:bookmarkEnd w:id="8497"/>
      <w:bookmarkEnd w:id="8498"/>
      <w:bookmarkEnd w:id="8499"/>
    </w:p>
    <w:p w14:paraId="036FC81E">
      <w:r>
        <w:t>IC卡认证是在一些上网管控要求严格的场景，用户在使用网络服务时需要使用自己的IC卡进行认证等操作后，才允许用户访问网络。</w:t>
      </w:r>
      <w:r>
        <w:rPr>
          <w:rFonts w:hint="eastAsia"/>
        </w:rPr>
        <w:t>设备支持安装包导入，管理员导入安装包后，用户可以在认证页面下载IC卡认证程序，进行IC卡认证。</w:t>
      </w:r>
    </w:p>
    <w:p w14:paraId="725CD919">
      <w:pPr>
        <w:pStyle w:val="6"/>
      </w:pPr>
      <w:r>
        <w:rPr>
          <w:rFonts w:hint="eastAsia"/>
        </w:rPr>
        <w:t>IC卡认证配置</w:t>
      </w:r>
    </w:p>
    <w:p w14:paraId="6F0188BE">
      <w:r>
        <w:t>在导航栏中选择“用户管理 &gt; 认证管理 &gt; 认证方式 &gt; IC卡认证”，进入IC卡认证配置界面，如</w:t>
      </w:r>
      <w:r>
        <w:fldChar w:fldCharType="begin"/>
      </w:r>
      <w:r>
        <w:instrText xml:space="preserve">REF _ref37543216 \r \h</w:instrText>
      </w:r>
      <w:r>
        <w:fldChar w:fldCharType="separate"/>
      </w:r>
      <w:r>
        <w:rPr>
          <w:rFonts w:hint="eastAsia"/>
        </w:rPr>
        <w:t>图31-69</w:t>
      </w:r>
      <w:r>
        <w:fldChar w:fldCharType="end"/>
      </w:r>
      <w:r>
        <w:t>所示。</w:t>
      </w:r>
    </w:p>
    <w:p w14:paraId="28E7DA2F">
      <w:pPr>
        <w:pStyle w:val="188"/>
      </w:pPr>
      <w:bookmarkStart w:id="8500" w:name="_ref37543216"/>
      <w:bookmarkEnd w:id="8500"/>
      <w:bookmarkStart w:id="8501" w:name="_Toc141874839"/>
      <w:r>
        <w:t>IC卡配置页面</w:t>
      </w:r>
      <w:bookmarkEnd w:id="8501"/>
    </w:p>
    <w:p w14:paraId="61AA0BF9">
      <w:r>
        <w:drawing>
          <wp:inline distT="0" distB="0" distL="0" distR="0">
            <wp:extent cx="4669155" cy="2929890"/>
            <wp:effectExtent l="0" t="0" r="0" b="3810"/>
            <wp:docPr id="1296485328" name="图片 1296485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28" name="图片 1296485328"/>
                    <pic:cNvPicPr>
                      <a:picLocks noChangeAspect="1"/>
                    </pic:cNvPicPr>
                  </pic:nvPicPr>
                  <pic:blipFill>
                    <a:blip r:embed="rId1054"/>
                    <a:stretch>
                      <a:fillRect/>
                    </a:stretch>
                  </pic:blipFill>
                  <pic:spPr>
                    <a:xfrm>
                      <a:off x="0" y="0"/>
                      <a:ext cx="4674517" cy="2933196"/>
                    </a:xfrm>
                    <a:prstGeom prst="rect">
                      <a:avLst/>
                    </a:prstGeom>
                  </pic:spPr>
                </pic:pic>
              </a:graphicData>
            </a:graphic>
          </wp:inline>
        </w:drawing>
      </w:r>
    </w:p>
    <w:p w14:paraId="539A338F"/>
    <w:p w14:paraId="5DB8E890">
      <w:pPr>
        <w:pStyle w:val="183"/>
      </w:pPr>
      <w:bookmarkStart w:id="8502" w:name="_Toc141875573"/>
      <w:r>
        <w:t>IC认证配置界面详细说明</w:t>
      </w:r>
      <w:bookmarkEnd w:id="8502"/>
    </w:p>
    <w:tbl>
      <w:tblPr>
        <w:tblStyle w:val="173"/>
        <w:tblW w:w="793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384"/>
        <w:gridCol w:w="6554"/>
      </w:tblGrid>
      <w:tr w14:paraId="6360DB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c>
          <w:tcPr>
            <w:tcW w:w="872" w:type="pct"/>
            <w:tcBorders>
              <w:tl2br w:val="nil"/>
              <w:tr2bl w:val="nil"/>
            </w:tcBorders>
            <w:shd w:val="clear" w:color="auto" w:fill="538135" w:themeFill="accent6" w:themeFillShade="BF"/>
            <w:vAlign w:val="center"/>
          </w:tcPr>
          <w:p w14:paraId="19BEC092">
            <w:pPr>
              <w:pStyle w:val="150"/>
              <w:wordWrap/>
              <w:rPr>
                <w:b w:val="0"/>
                <w:bCs w:val="0"/>
                <w:i w:val="0"/>
                <w:iCs w:val="0"/>
                <w:color w:val="FFFFFF" w:themeColor="background1"/>
                <w14:textFill>
                  <w14:solidFill>
                    <w14:schemeClr w14:val="bg1"/>
                  </w14:solidFill>
                </w14:textFill>
              </w:rPr>
            </w:pPr>
            <w:r>
              <w:rPr>
                <w:b w:val="0"/>
                <w:bCs w:val="0"/>
                <w:i w:val="0"/>
                <w:iCs w:val="0"/>
                <w:color w:val="FFFFFF" w:themeColor="background1"/>
                <w14:textFill>
                  <w14:solidFill>
                    <w14:schemeClr w14:val="bg1"/>
                  </w14:solidFill>
                </w14:textFill>
              </w:rPr>
              <w:t>参数</w:t>
            </w:r>
          </w:p>
        </w:tc>
        <w:tc>
          <w:tcPr>
            <w:tcW w:w="4128" w:type="pct"/>
            <w:tcBorders>
              <w:tl2br w:val="nil"/>
              <w:tr2bl w:val="nil"/>
            </w:tcBorders>
            <w:shd w:val="clear" w:color="auto" w:fill="538135" w:themeFill="accent6" w:themeFillShade="BF"/>
            <w:vAlign w:val="center"/>
          </w:tcPr>
          <w:p w14:paraId="45EE55DD">
            <w:pPr>
              <w:pStyle w:val="150"/>
              <w:wordWrap/>
              <w:rPr>
                <w:b w:val="0"/>
                <w:bCs w:val="0"/>
                <w:i w:val="0"/>
                <w:iCs w:val="0"/>
                <w:color w:val="FFFFFF" w:themeColor="background1"/>
                <w14:textFill>
                  <w14:solidFill>
                    <w14:schemeClr w14:val="bg1"/>
                  </w14:solidFill>
                </w14:textFill>
              </w:rPr>
            </w:pPr>
            <w:r>
              <w:rPr>
                <w:b w:val="0"/>
                <w:bCs w:val="0"/>
                <w:i w:val="0"/>
                <w:iCs w:val="0"/>
                <w:color w:val="FFFFFF" w:themeColor="background1"/>
                <w14:textFill>
                  <w14:solidFill>
                    <w14:schemeClr w14:val="bg1"/>
                  </w14:solidFill>
                </w14:textFill>
              </w:rPr>
              <w:t>说明</w:t>
            </w:r>
          </w:p>
        </w:tc>
      </w:tr>
      <w:tr w14:paraId="45B78F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72" w:type="pct"/>
            <w:shd w:val="clear" w:color="auto" w:fill="auto"/>
          </w:tcPr>
          <w:p w14:paraId="15C9CE8D">
            <w:pPr>
              <w:pStyle w:val="150"/>
            </w:pPr>
            <w:r>
              <w:rPr>
                <w:rFonts w:hint="eastAsia"/>
              </w:rPr>
              <w:t>本地检查</w:t>
            </w:r>
          </w:p>
        </w:tc>
        <w:tc>
          <w:tcPr>
            <w:tcW w:w="4128" w:type="pct"/>
            <w:shd w:val="clear" w:color="auto" w:fill="auto"/>
          </w:tcPr>
          <w:p w14:paraId="7A05A5D3">
            <w:pPr>
              <w:pStyle w:val="150"/>
            </w:pPr>
            <w:r>
              <w:rPr>
                <w:rFonts w:hint="eastAsia"/>
              </w:rPr>
              <w:t>用户刷卡时，设备识别IC卡信息，与IC卡卡号信息校验，如果没有对应的IC卡卡号，则认证失败。</w:t>
            </w:r>
          </w:p>
        </w:tc>
      </w:tr>
      <w:tr w14:paraId="3DF26AB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72" w:type="pct"/>
            <w:shd w:val="clear" w:color="auto" w:fill="auto"/>
          </w:tcPr>
          <w:p w14:paraId="2DF9D79A">
            <w:pPr>
              <w:pStyle w:val="150"/>
            </w:pPr>
            <w:r>
              <w:rPr>
                <w:rFonts w:hint="eastAsia"/>
              </w:rPr>
              <w:t>超时时间</w:t>
            </w:r>
          </w:p>
        </w:tc>
        <w:tc>
          <w:tcPr>
            <w:tcW w:w="4128" w:type="pct"/>
            <w:shd w:val="clear" w:color="auto" w:fill="auto"/>
          </w:tcPr>
          <w:p w14:paraId="64D0EBC9">
            <w:pPr>
              <w:pStyle w:val="150"/>
            </w:pPr>
            <w:r>
              <w:rPr>
                <w:rFonts w:hint="eastAsia"/>
              </w:rPr>
              <w:t>IC认证用户超时时间，默认值为15分钟。在时间段内没有流量设备会强制用户下线。</w:t>
            </w:r>
          </w:p>
        </w:tc>
      </w:tr>
      <w:tr w14:paraId="59FFC5F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72" w:type="pct"/>
            <w:shd w:val="clear" w:color="auto" w:fill="auto"/>
          </w:tcPr>
          <w:p w14:paraId="17F5C402">
            <w:pPr>
              <w:pStyle w:val="150"/>
            </w:pPr>
            <w:r>
              <w:rPr>
                <w:rFonts w:hint="eastAsia"/>
              </w:rPr>
              <w:t>强制重登录间隔</w:t>
            </w:r>
          </w:p>
        </w:tc>
        <w:tc>
          <w:tcPr>
            <w:tcW w:w="4128" w:type="pct"/>
            <w:shd w:val="clear" w:color="auto" w:fill="auto"/>
          </w:tcPr>
          <w:p w14:paraId="4A6D310E">
            <w:pPr>
              <w:pStyle w:val="150"/>
            </w:pPr>
            <w:r>
              <w:rPr>
                <w:rFonts w:hint="eastAsia"/>
              </w:rPr>
              <w:t>IC卡认证的用户强制重登录时间，用户认证上线后，从用户登录时间开始，超时后，不管用户是否在线，系统都会将该用户强制下线。</w:t>
            </w:r>
          </w:p>
        </w:tc>
      </w:tr>
      <w:tr w14:paraId="3D9983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72" w:type="pct"/>
            <w:shd w:val="clear" w:color="auto" w:fill="auto"/>
          </w:tcPr>
          <w:p w14:paraId="445B8E4B">
            <w:pPr>
              <w:pStyle w:val="150"/>
            </w:pPr>
            <w:r>
              <w:rPr>
                <w:rFonts w:hint="eastAsia"/>
              </w:rPr>
              <w:t>安装包导入</w:t>
            </w:r>
          </w:p>
        </w:tc>
        <w:tc>
          <w:tcPr>
            <w:tcW w:w="4128" w:type="pct"/>
            <w:shd w:val="clear" w:color="auto" w:fill="auto"/>
          </w:tcPr>
          <w:p w14:paraId="076EB81A">
            <w:pPr>
              <w:pStyle w:val="150"/>
            </w:pPr>
            <w:r>
              <w:rPr>
                <w:rFonts w:hint="eastAsia"/>
              </w:rPr>
              <w:t>管理员导入IC卡安装程序，导入后用户认证时可以下载，导入名称必须为ic_card.exe，点击上传导入成功后即可生效（不需要单击提交）。</w:t>
            </w:r>
          </w:p>
        </w:tc>
      </w:tr>
      <w:tr w14:paraId="456F22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72" w:type="pct"/>
            <w:shd w:val="clear" w:color="auto" w:fill="auto"/>
          </w:tcPr>
          <w:p w14:paraId="455C7F13">
            <w:pPr>
              <w:pStyle w:val="150"/>
            </w:pPr>
            <w:r>
              <w:rPr>
                <w:rFonts w:hint="eastAsia"/>
              </w:rPr>
              <w:t>提交</w:t>
            </w:r>
          </w:p>
        </w:tc>
        <w:tc>
          <w:tcPr>
            <w:tcW w:w="4128" w:type="pct"/>
            <w:shd w:val="clear" w:color="auto" w:fill="auto"/>
          </w:tcPr>
          <w:p w14:paraId="0883DAD7">
            <w:pPr>
              <w:pStyle w:val="150"/>
            </w:pPr>
            <w:r>
              <w:rPr>
                <w:rFonts w:hint="eastAsia"/>
              </w:rPr>
              <w:t>下发配置。</w:t>
            </w:r>
          </w:p>
        </w:tc>
      </w:tr>
    </w:tbl>
    <w:p w14:paraId="539AC59E"/>
    <w:p w14:paraId="739C2619">
      <w:pPr>
        <w:pStyle w:val="6"/>
      </w:pPr>
      <w:r>
        <w:rPr>
          <w:rFonts w:hint="eastAsia"/>
        </w:rPr>
        <w:t>IC卡卡号信息</w:t>
      </w:r>
    </w:p>
    <w:p w14:paraId="486E75E8">
      <w:r>
        <w:t>单击选择</w:t>
      </w:r>
      <w:r>
        <w:rPr>
          <w:rFonts w:hint="eastAsia"/>
        </w:rPr>
        <w:t>“IC</w:t>
      </w:r>
      <w:r>
        <w:t>卡卡号信息</w:t>
      </w:r>
      <w:r>
        <w:rPr>
          <w:rFonts w:hint="eastAsia"/>
        </w:rPr>
        <w:t>”标签页</w:t>
      </w:r>
      <w:r>
        <w:t>，进入IC卡</w:t>
      </w:r>
      <w:r>
        <w:rPr>
          <w:rFonts w:hint="eastAsia"/>
        </w:rPr>
        <w:t>卡</w:t>
      </w:r>
      <w:r>
        <w:t>号信息配置页面，在该页面</w:t>
      </w:r>
      <w:r>
        <w:rPr>
          <w:rFonts w:hint="eastAsia"/>
        </w:rPr>
        <w:t>可以查询、导入、导出IC卡卡号信息，如</w:t>
      </w:r>
      <w:r>
        <w:fldChar w:fldCharType="begin"/>
      </w:r>
      <w:r>
        <w:instrText xml:space="preserve"> </w:instrText>
      </w:r>
      <w:r>
        <w:rPr>
          <w:rFonts w:hint="eastAsia"/>
        </w:rPr>
        <w:instrText xml:space="preserve">REF _Ref72252450 \r \h</w:instrText>
      </w:r>
      <w:r>
        <w:instrText xml:space="preserve"> </w:instrText>
      </w:r>
      <w:r>
        <w:fldChar w:fldCharType="separate"/>
      </w:r>
      <w:r>
        <w:rPr>
          <w:rFonts w:hint="eastAsia"/>
        </w:rPr>
        <w:t>图31-70</w:t>
      </w:r>
      <w:r>
        <w:fldChar w:fldCharType="end"/>
      </w:r>
      <w:r>
        <w:t>所示</w:t>
      </w:r>
      <w:r>
        <w:rPr>
          <w:rFonts w:hint="eastAsia"/>
        </w:rPr>
        <w:t>。</w:t>
      </w:r>
    </w:p>
    <w:p w14:paraId="50AE239E">
      <w:r>
        <w:rPr>
          <w:rFonts w:hint="eastAsia"/>
        </w:rPr>
        <w:t>导入IC卡卡号信息后，当用户完成认证后，在线用户显示的用户名为导入的IC卡卡号对应的用户名，否则显示为IC卡卡号。</w:t>
      </w:r>
    </w:p>
    <w:p w14:paraId="4399322D">
      <w:pPr>
        <w:pStyle w:val="188"/>
      </w:pPr>
      <w:bookmarkStart w:id="8503" w:name="_Ref72252450"/>
      <w:bookmarkStart w:id="8504" w:name="_Toc141874840"/>
      <w:r>
        <w:rPr>
          <w:rFonts w:hint="eastAsia"/>
        </w:rPr>
        <w:t>IC卡卡号信息页面</w:t>
      </w:r>
      <w:bookmarkEnd w:id="8503"/>
      <w:bookmarkEnd w:id="8504"/>
    </w:p>
    <w:p w14:paraId="6726B0A7">
      <w:r>
        <w:drawing>
          <wp:inline distT="0" distB="0" distL="0" distR="0">
            <wp:extent cx="5181600" cy="1381125"/>
            <wp:effectExtent l="0" t="0" r="0" b="0"/>
            <wp:docPr id="436" name="图片 2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2977"/>
                    <pic:cNvPicPr>
                      <a:picLocks noChangeAspect="1" noChangeArrowheads="1"/>
                    </pic:cNvPicPr>
                  </pic:nvPicPr>
                  <pic:blipFill>
                    <a:blip r:embed="rId1055">
                      <a:extLst>
                        <a:ext uri="{28A0092B-C50C-407E-A947-70E740481C1C}">
                          <a14:useLocalDpi xmlns:a14="http://schemas.microsoft.com/office/drawing/2010/main" val="0"/>
                        </a:ext>
                      </a:extLst>
                    </a:blip>
                    <a:srcRect/>
                    <a:stretch>
                      <a:fillRect/>
                    </a:stretch>
                  </pic:blipFill>
                  <pic:spPr>
                    <a:xfrm>
                      <a:off x="0" y="0"/>
                      <a:ext cx="5181600" cy="1381125"/>
                    </a:xfrm>
                    <a:prstGeom prst="rect">
                      <a:avLst/>
                    </a:prstGeom>
                    <a:noFill/>
                    <a:ln>
                      <a:noFill/>
                    </a:ln>
                  </pic:spPr>
                </pic:pic>
              </a:graphicData>
            </a:graphic>
          </wp:inline>
        </w:drawing>
      </w:r>
    </w:p>
    <w:p w14:paraId="5253DB5F">
      <w:r>
        <w:t>单击</w:t>
      </w:r>
      <w:r>
        <w:rPr>
          <w:rFonts w:hint="eastAsia"/>
        </w:rPr>
        <w:t>“查询”按钮，可以根据用户名和卡号查询IC卡卡号信息。</w:t>
      </w:r>
    </w:p>
    <w:p w14:paraId="7613AA25">
      <w:r>
        <w:rPr>
          <w:rFonts w:hint="eastAsia"/>
        </w:rPr>
        <w:t>单击“导出”按钮，可以导出IC卡卡号信息，下载后的文件为csv格式，文件的内容如</w:t>
      </w:r>
      <w:r>
        <w:fldChar w:fldCharType="begin"/>
      </w:r>
      <w:r>
        <w:instrText xml:space="preserve"> </w:instrText>
      </w:r>
      <w:r>
        <w:rPr>
          <w:rFonts w:hint="eastAsia"/>
        </w:rPr>
        <w:instrText xml:space="preserve">REF _Ref72400529 \r \h</w:instrText>
      </w:r>
      <w:r>
        <w:instrText xml:space="preserve"> </w:instrText>
      </w:r>
      <w:r>
        <w:fldChar w:fldCharType="separate"/>
      </w:r>
      <w:r>
        <w:rPr>
          <w:rFonts w:hint="eastAsia"/>
        </w:rPr>
        <w:t>图31-71</w:t>
      </w:r>
      <w:r>
        <w:fldChar w:fldCharType="end"/>
      </w:r>
      <w:r>
        <w:rPr>
          <w:rFonts w:hint="eastAsia"/>
        </w:rPr>
        <w:t>所示。</w:t>
      </w:r>
    </w:p>
    <w:p w14:paraId="6B733717">
      <w:pPr>
        <w:pStyle w:val="188"/>
      </w:pPr>
      <w:bookmarkStart w:id="8505" w:name="_Ref72400529"/>
      <w:bookmarkStart w:id="8506" w:name="_Toc141874841"/>
      <w:r>
        <w:rPr>
          <w:rFonts w:hint="eastAsia"/>
        </w:rPr>
        <w:t>导出的IC卡卡号信息文件</w:t>
      </w:r>
      <w:bookmarkEnd w:id="8505"/>
      <w:bookmarkEnd w:id="8506"/>
    </w:p>
    <w:p w14:paraId="3E154BB1">
      <w:r>
        <w:drawing>
          <wp:inline distT="0" distB="0" distL="114300" distR="114300">
            <wp:extent cx="2962275" cy="1000125"/>
            <wp:effectExtent l="0" t="0" r="9525" b="9525"/>
            <wp:docPr id="51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515"/>
                    <pic:cNvPicPr>
                      <a:picLocks noChangeAspect="1"/>
                    </pic:cNvPicPr>
                  </pic:nvPicPr>
                  <pic:blipFill>
                    <a:blip r:embed="rId1056"/>
                    <a:stretch>
                      <a:fillRect/>
                    </a:stretch>
                  </pic:blipFill>
                  <pic:spPr>
                    <a:xfrm>
                      <a:off x="0" y="0"/>
                      <a:ext cx="2962275" cy="1000125"/>
                    </a:xfrm>
                    <a:prstGeom prst="rect">
                      <a:avLst/>
                    </a:prstGeom>
                    <a:noFill/>
                    <a:ln>
                      <a:noFill/>
                    </a:ln>
                  </pic:spPr>
                </pic:pic>
              </a:graphicData>
            </a:graphic>
          </wp:inline>
        </w:drawing>
      </w:r>
    </w:p>
    <w:p w14:paraId="52059327">
      <w:r>
        <w:rPr>
          <w:rFonts w:hint="eastAsia"/>
        </w:rPr>
        <w:t>如需导入IC卡信息，可以在导出的IC卡信息文件中，录入需要导入的IC卡卡号信息后保存文件，导入信息字段的说明如</w:t>
      </w:r>
      <w:r>
        <w:fldChar w:fldCharType="begin"/>
      </w:r>
      <w:r>
        <w:instrText xml:space="preserve"> </w:instrText>
      </w:r>
      <w:r>
        <w:rPr>
          <w:rFonts w:hint="eastAsia"/>
        </w:rPr>
        <w:instrText xml:space="preserve">REF _Ref72401508 \r \h</w:instrText>
      </w:r>
      <w:r>
        <w:instrText xml:space="preserve"> </w:instrText>
      </w:r>
      <w:r>
        <w:fldChar w:fldCharType="separate"/>
      </w:r>
      <w:r>
        <w:rPr>
          <w:rFonts w:hint="eastAsia"/>
        </w:rPr>
        <w:t>表31-1</w:t>
      </w:r>
      <w:r>
        <w:fldChar w:fldCharType="end"/>
      </w:r>
      <w:r>
        <w:t>所示</w:t>
      </w:r>
      <w:r>
        <w:rPr>
          <w:rFonts w:hint="eastAsia"/>
        </w:rPr>
        <w:t>。</w:t>
      </w:r>
    </w:p>
    <w:p w14:paraId="3AEB0E71">
      <w:pPr>
        <w:pStyle w:val="183"/>
      </w:pPr>
      <w:bookmarkStart w:id="8507" w:name="_Ref72401508"/>
      <w:bookmarkStart w:id="8508" w:name="_Toc141875574"/>
      <w:r>
        <w:rPr>
          <w:rFonts w:hint="eastAsia"/>
        </w:rPr>
        <w:t>IC卡卡号信息</w:t>
      </w:r>
      <w:bookmarkEnd w:id="8507"/>
      <w:r>
        <w:rPr>
          <w:rFonts w:hint="eastAsia"/>
        </w:rPr>
        <w:t>字段说明</w:t>
      </w:r>
      <w:bookmarkEnd w:id="8508"/>
    </w:p>
    <w:tbl>
      <w:tblPr>
        <w:tblStyle w:val="173"/>
        <w:tblW w:w="437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231"/>
        <w:gridCol w:w="5847"/>
      </w:tblGrid>
      <w:tr w14:paraId="0BEC1C0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381" w:type="pct"/>
            <w:tcBorders>
              <w:tl2br w:val="nil"/>
              <w:tr2bl w:val="nil"/>
            </w:tcBorders>
            <w:shd w:val="clear" w:color="auto" w:fill="538135" w:themeFill="accent6" w:themeFillShade="BF"/>
            <w:vAlign w:val="center"/>
          </w:tcPr>
          <w:p w14:paraId="6695E5A2">
            <w:pPr>
              <w:pStyle w:val="150"/>
              <w:wordWrap/>
              <w:rPr>
                <w:b w:val="0"/>
                <w:bCs w:val="0"/>
                <w:i w:val="0"/>
                <w:iCs w:val="0"/>
                <w:color w:val="FFFFFF" w:themeColor="background1"/>
                <w14:textFill>
                  <w14:solidFill>
                    <w14:schemeClr w14:val="bg1"/>
                  </w14:solidFill>
                </w14:textFill>
              </w:rPr>
            </w:pPr>
            <w:r>
              <w:rPr>
                <w:b w:val="0"/>
                <w:bCs w:val="0"/>
                <w:i w:val="0"/>
                <w:iCs w:val="0"/>
                <w:color w:val="FFFFFF" w:themeColor="background1"/>
                <w14:textFill>
                  <w14:solidFill>
                    <w14:schemeClr w14:val="bg1"/>
                  </w14:solidFill>
                </w14:textFill>
              </w:rPr>
              <w:t>参数</w:t>
            </w:r>
          </w:p>
        </w:tc>
        <w:tc>
          <w:tcPr>
            <w:tcW w:w="3619" w:type="pct"/>
            <w:tcBorders>
              <w:tl2br w:val="nil"/>
              <w:tr2bl w:val="nil"/>
            </w:tcBorders>
            <w:shd w:val="clear" w:color="auto" w:fill="538135" w:themeFill="accent6" w:themeFillShade="BF"/>
            <w:vAlign w:val="center"/>
          </w:tcPr>
          <w:p w14:paraId="1F9756DD">
            <w:pPr>
              <w:pStyle w:val="150"/>
              <w:wordWrap/>
              <w:rPr>
                <w:b w:val="0"/>
                <w:bCs w:val="0"/>
                <w:i w:val="0"/>
                <w:iCs w:val="0"/>
                <w:color w:val="FFFFFF" w:themeColor="background1"/>
                <w14:textFill>
                  <w14:solidFill>
                    <w14:schemeClr w14:val="bg1"/>
                  </w14:solidFill>
                </w14:textFill>
              </w:rPr>
            </w:pPr>
            <w:r>
              <w:rPr>
                <w:b w:val="0"/>
                <w:bCs w:val="0"/>
                <w:i w:val="0"/>
                <w:iCs w:val="0"/>
                <w:color w:val="FFFFFF" w:themeColor="background1"/>
                <w14:textFill>
                  <w14:solidFill>
                    <w14:schemeClr w14:val="bg1"/>
                  </w14:solidFill>
                </w14:textFill>
              </w:rPr>
              <w:t>说明</w:t>
            </w:r>
          </w:p>
        </w:tc>
      </w:tr>
      <w:tr w14:paraId="3CB643B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381" w:type="pct"/>
            <w:shd w:val="clear" w:color="auto" w:fill="auto"/>
          </w:tcPr>
          <w:p w14:paraId="7BFCE84D">
            <w:pPr>
              <w:pStyle w:val="150"/>
            </w:pPr>
            <w:r>
              <w:rPr>
                <w:rFonts w:hint="eastAsia"/>
              </w:rPr>
              <w:t>IC卡卡号</w:t>
            </w:r>
          </w:p>
        </w:tc>
        <w:tc>
          <w:tcPr>
            <w:tcW w:w="3619" w:type="pct"/>
            <w:shd w:val="clear" w:color="auto" w:fill="auto"/>
          </w:tcPr>
          <w:p w14:paraId="3068BA0D">
            <w:pPr>
              <w:pStyle w:val="150"/>
            </w:pPr>
            <w:r>
              <w:rPr>
                <w:rFonts w:hint="eastAsia"/>
              </w:rPr>
              <w:t>用户刷卡认证时使用的IC卡卡号，最大长度63字符。</w:t>
            </w:r>
          </w:p>
        </w:tc>
      </w:tr>
      <w:tr w14:paraId="13956B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381" w:type="pct"/>
            <w:shd w:val="clear" w:color="auto" w:fill="auto"/>
          </w:tcPr>
          <w:p w14:paraId="37517A49">
            <w:pPr>
              <w:pStyle w:val="150"/>
            </w:pPr>
            <w:r>
              <w:rPr>
                <w:rFonts w:hint="eastAsia"/>
              </w:rPr>
              <w:t>用户名</w:t>
            </w:r>
          </w:p>
        </w:tc>
        <w:tc>
          <w:tcPr>
            <w:tcW w:w="3619" w:type="pct"/>
            <w:shd w:val="clear" w:color="auto" w:fill="auto"/>
          </w:tcPr>
          <w:p w14:paraId="4BCD0714">
            <w:pPr>
              <w:pStyle w:val="150"/>
            </w:pPr>
            <w:r>
              <w:rPr>
                <w:rFonts w:hint="eastAsia"/>
              </w:rPr>
              <w:t>与IC卡卡号对应的用户名，最大长度127字符。</w:t>
            </w:r>
          </w:p>
        </w:tc>
      </w:tr>
    </w:tbl>
    <w:p w14:paraId="66564428"/>
    <w:p w14:paraId="1681AFD0">
      <w:r>
        <w:rPr>
          <w:rFonts w:hint="eastAsia"/>
        </w:rPr>
        <w:t>单击“导入”按钮，弹出导入IC卡卡号信息页面，单击“选择文件”选择修改后的IC卡卡号信息文件，单击“提交”即可将IC卡卡号信息导入到系统中。导入后的IC卡信息会覆盖已存在的数据。</w:t>
      </w:r>
    </w:p>
    <w:p w14:paraId="08428D04">
      <w:pPr>
        <w:pStyle w:val="188"/>
      </w:pPr>
      <w:bookmarkStart w:id="8509" w:name="_Toc141874842"/>
      <w:r>
        <w:rPr>
          <w:rFonts w:hint="eastAsia"/>
        </w:rPr>
        <w:t>导入IC卡卡号信息页面</w:t>
      </w:r>
      <w:bookmarkEnd w:id="8509"/>
    </w:p>
    <w:p w14:paraId="7C288CBE">
      <w:r>
        <w:drawing>
          <wp:inline distT="0" distB="0" distL="0" distR="0">
            <wp:extent cx="5675630" cy="1580515"/>
            <wp:effectExtent l="0" t="0" r="1270" b="635"/>
            <wp:docPr id="555" name="图片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555"/>
                    <pic:cNvPicPr>
                      <a:picLocks noChangeAspect="1"/>
                    </pic:cNvPicPr>
                  </pic:nvPicPr>
                  <pic:blipFill>
                    <a:blip r:embed="rId1057"/>
                    <a:stretch>
                      <a:fillRect/>
                    </a:stretch>
                  </pic:blipFill>
                  <pic:spPr>
                    <a:xfrm>
                      <a:off x="0" y="0"/>
                      <a:ext cx="5676190" cy="1580952"/>
                    </a:xfrm>
                    <a:prstGeom prst="rect">
                      <a:avLst/>
                    </a:prstGeom>
                  </pic:spPr>
                </pic:pic>
              </a:graphicData>
            </a:graphic>
          </wp:inline>
        </w:drawing>
      </w:r>
    </w:p>
    <w:p w14:paraId="3FB31A36">
      <w:pPr>
        <w:widowControl/>
        <w:spacing w:line="240" w:lineRule="auto"/>
        <w:ind w:firstLine="0"/>
        <w:jc w:val="left"/>
      </w:pPr>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34DC92EA">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44608DE8">
            <w:pPr>
              <w:pStyle w:val="150"/>
              <w:adjustRightInd w:val="0"/>
              <w:snapToGrid w:val="0"/>
              <w:rPr>
                <w:color w:val="auto"/>
              </w:rPr>
            </w:pPr>
            <w:r>
              <w:rPr>
                <w:b/>
                <w:color w:val="auto"/>
              </w:rPr>
              <w:drawing>
                <wp:inline distT="0" distB="0" distL="0" distR="0">
                  <wp:extent cx="283210" cy="283210"/>
                  <wp:effectExtent l="0" t="0" r="2540" b="2540"/>
                  <wp:docPr id="930" name="图片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图片 930"/>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5ED6E81E">
            <w:pPr>
              <w:pStyle w:val="207"/>
              <w:adjustRightInd w:val="0"/>
              <w:snapToGrid w:val="0"/>
              <w:rPr>
                <w:color w:val="auto"/>
                <w:lang w:eastAsia="zh-CN"/>
              </w:rPr>
            </w:pPr>
            <w:r>
              <w:rPr>
                <w:rFonts w:hint="eastAsia"/>
                <w:color w:val="auto"/>
                <w:lang w:eastAsia="zh-CN"/>
              </w:rPr>
              <w:t>导入文件必须为CSV格式，卡号最大长度为63字符，用户名最大长度为1</w:t>
            </w:r>
            <w:r>
              <w:rPr>
                <w:color w:val="auto"/>
                <w:lang w:eastAsia="zh-CN"/>
              </w:rPr>
              <w:t>27个字符</w:t>
            </w:r>
            <w:r>
              <w:rPr>
                <w:rFonts w:hint="eastAsia"/>
                <w:color w:val="auto"/>
                <w:lang w:eastAsia="zh-CN"/>
              </w:rPr>
              <w:t>。</w:t>
            </w:r>
          </w:p>
          <w:p w14:paraId="7593AD53">
            <w:pPr>
              <w:pStyle w:val="207"/>
              <w:adjustRightInd w:val="0"/>
              <w:snapToGrid w:val="0"/>
              <w:rPr>
                <w:color w:val="auto"/>
                <w:lang w:eastAsia="zh-CN"/>
              </w:rPr>
            </w:pPr>
            <w:r>
              <w:rPr>
                <w:rFonts w:hint="eastAsia"/>
                <w:color w:val="auto"/>
                <w:lang w:eastAsia="zh-CN"/>
              </w:rPr>
              <w:t>目前支持两三种型号卡机，旧款D8，新款750VL、HS108。</w:t>
            </w:r>
          </w:p>
          <w:p w14:paraId="4730C403">
            <w:pPr>
              <w:pStyle w:val="207"/>
              <w:adjustRightInd w:val="0"/>
              <w:snapToGrid w:val="0"/>
              <w:rPr>
                <w:color w:val="auto"/>
                <w:lang w:eastAsia="zh-CN"/>
              </w:rPr>
            </w:pPr>
            <w:r>
              <w:rPr>
                <w:rFonts w:hint="eastAsia"/>
                <w:color w:val="auto"/>
              </w:rPr>
              <w:t>新款750VL卡机支持WIN7、WIN10系统，旧款D8卡机只支持WIN10，HS108卡机支持WIN7、WIN10系统。</w:t>
            </w:r>
          </w:p>
        </w:tc>
      </w:tr>
    </w:tbl>
    <w:p w14:paraId="6348A417"/>
    <w:p w14:paraId="55015345">
      <w:pPr>
        <w:pStyle w:val="5"/>
      </w:pPr>
      <w:bookmarkStart w:id="8510" w:name="_Toc60069193"/>
      <w:bookmarkStart w:id="8511" w:name="_Toc61022671"/>
      <w:bookmarkStart w:id="8512" w:name="_Toc172218299"/>
      <w:bookmarkStart w:id="8513" w:name="_Toc99561618"/>
      <w:bookmarkStart w:id="8514" w:name="_Toc196728508"/>
      <w:bookmarkStart w:id="8515" w:name="_Toc44618318"/>
      <w:bookmarkStart w:id="8516" w:name="_Toc142401051"/>
      <w:bookmarkStart w:id="8517" w:name="_Toc194081180"/>
      <w:bookmarkStart w:id="8518" w:name="_Toc141873535"/>
      <w:r>
        <w:rPr>
          <w:rFonts w:hint="eastAsia"/>
        </w:rPr>
        <w:t>APP认证</w:t>
      </w:r>
      <w:bookmarkEnd w:id="8510"/>
      <w:bookmarkEnd w:id="8511"/>
      <w:bookmarkEnd w:id="8512"/>
      <w:bookmarkEnd w:id="8513"/>
      <w:bookmarkEnd w:id="8514"/>
      <w:bookmarkEnd w:id="8515"/>
      <w:bookmarkEnd w:id="8516"/>
      <w:bookmarkEnd w:id="8517"/>
      <w:bookmarkEnd w:id="8518"/>
    </w:p>
    <w:p w14:paraId="2EE46D1D">
      <w:r>
        <w:rPr>
          <w:rFonts w:hint="eastAsia"/>
        </w:rPr>
        <w:t>随着手机的普及，手机的使用已是人们生活中不可分割的一部分。手机APP已成为时下的主流，不仅为我们的生活带来了极大的便利，还使移动办公成为了可能。因此，在客户场景中使用用户认证功能与APP进行联动，从而使认证用户才能使用网络服务。</w:t>
      </w:r>
    </w:p>
    <w:p w14:paraId="0C3AAC5B">
      <w:r>
        <w:rPr>
          <w:rFonts w:hint="eastAsia"/>
        </w:rPr>
        <w:t>在导航栏中选择“用户管理&gt;认证管理&gt;认证方式</w:t>
      </w:r>
      <w:r>
        <w:t>&gt;</w:t>
      </w:r>
      <w:r>
        <w:rPr>
          <w:rFonts w:hint="eastAsia"/>
        </w:rPr>
        <w:t>APP认证”，进入APP认证配置页面，如</w:t>
      </w:r>
      <w:r>
        <w:t>下图</w:t>
      </w:r>
      <w:r>
        <w:rPr>
          <w:rFonts w:hint="eastAsia"/>
        </w:rPr>
        <w:t>所示。</w:t>
      </w:r>
    </w:p>
    <w:p w14:paraId="41F2E917">
      <w:pPr>
        <w:pStyle w:val="188"/>
      </w:pPr>
      <w:bookmarkStart w:id="8519" w:name="_Toc141874843"/>
      <w:r>
        <w:rPr>
          <w:rFonts w:hint="eastAsia"/>
        </w:rPr>
        <w:t>APP认证配置页面</w:t>
      </w:r>
      <w:bookmarkEnd w:id="8519"/>
    </w:p>
    <w:p w14:paraId="1EE4DC84">
      <w:r>
        <w:drawing>
          <wp:inline distT="0" distB="0" distL="0" distR="0">
            <wp:extent cx="5353050" cy="4019550"/>
            <wp:effectExtent l="0" t="0" r="0" b="0"/>
            <wp:docPr id="1296485330" name="图片 1296485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30" name="图片 1296485330"/>
                    <pic:cNvPicPr>
                      <a:picLocks noChangeAspect="1"/>
                    </pic:cNvPicPr>
                  </pic:nvPicPr>
                  <pic:blipFill>
                    <a:blip r:embed="rId1058"/>
                    <a:stretch>
                      <a:fillRect/>
                    </a:stretch>
                  </pic:blipFill>
                  <pic:spPr>
                    <a:xfrm>
                      <a:off x="0" y="0"/>
                      <a:ext cx="5356393" cy="4022574"/>
                    </a:xfrm>
                    <a:prstGeom prst="rect">
                      <a:avLst/>
                    </a:prstGeom>
                  </pic:spPr>
                </pic:pic>
              </a:graphicData>
            </a:graphic>
          </wp:inline>
        </w:drawing>
      </w:r>
    </w:p>
    <w:p w14:paraId="4CEC8088"/>
    <w:p w14:paraId="280BAD4F">
      <w:r>
        <w:rPr>
          <w:rFonts w:hint="eastAsia"/>
        </w:rPr>
        <w:t>页面的详细说明如</w:t>
      </w:r>
      <w:r>
        <w:fldChar w:fldCharType="begin"/>
      </w:r>
      <w:r>
        <w:instrText xml:space="preserve"> </w:instrText>
      </w:r>
      <w:r>
        <w:rPr>
          <w:rFonts w:hint="eastAsia"/>
        </w:rPr>
        <w:instrText xml:space="preserve">REF _Ref59901622 \r \h</w:instrText>
      </w:r>
      <w:r>
        <w:instrText xml:space="preserve"> </w:instrText>
      </w:r>
      <w:r>
        <w:fldChar w:fldCharType="separate"/>
      </w:r>
      <w:r>
        <w:rPr>
          <w:rFonts w:hint="eastAsia"/>
        </w:rPr>
        <w:t>表31-1</w:t>
      </w:r>
      <w:r>
        <w:fldChar w:fldCharType="end"/>
      </w:r>
      <w:r>
        <w:rPr>
          <w:rFonts w:hint="eastAsia"/>
        </w:rPr>
        <w:t>所示。</w:t>
      </w:r>
    </w:p>
    <w:p w14:paraId="6304899D">
      <w:pPr>
        <w:pStyle w:val="183"/>
      </w:pPr>
      <w:bookmarkStart w:id="8520" w:name="_Ref59901622"/>
      <w:bookmarkStart w:id="8521" w:name="_Toc141875575"/>
      <w:r>
        <w:rPr>
          <w:rFonts w:hint="eastAsia"/>
        </w:rPr>
        <w:t>APP认证配置页面详细说明</w:t>
      </w:r>
      <w:bookmarkEnd w:id="8520"/>
      <w:bookmarkEnd w:id="8521"/>
    </w:p>
    <w:tbl>
      <w:tblPr>
        <w:tblStyle w:val="173"/>
        <w:tblW w:w="793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377"/>
        <w:gridCol w:w="3078"/>
        <w:gridCol w:w="3483"/>
      </w:tblGrid>
      <w:tr w14:paraId="373FF5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67" w:type="pct"/>
            <w:tcBorders>
              <w:tl2br w:val="nil"/>
              <w:tr2bl w:val="nil"/>
            </w:tcBorders>
            <w:shd w:val="clear" w:color="auto" w:fill="538135" w:themeFill="accent6" w:themeFillShade="BF"/>
            <w:vAlign w:val="center"/>
          </w:tcPr>
          <w:p w14:paraId="402024AD">
            <w:pPr>
              <w:pStyle w:val="150"/>
              <w:wordWrap/>
              <w:rPr>
                <w:b w:val="0"/>
                <w:bCs w:val="0"/>
                <w:i w:val="0"/>
                <w:iCs w:val="0"/>
                <w:color w:val="FFFFFF" w:themeColor="background1"/>
                <w14:textFill>
                  <w14:solidFill>
                    <w14:schemeClr w14:val="bg1"/>
                  </w14:solidFill>
                </w14:textFill>
              </w:rPr>
            </w:pPr>
            <w:r>
              <w:rPr>
                <w:b w:val="0"/>
                <w:bCs w:val="0"/>
                <w:i w:val="0"/>
                <w:iCs w:val="0"/>
                <w:color w:val="FFFFFF" w:themeColor="background1"/>
                <w14:textFill>
                  <w14:solidFill>
                    <w14:schemeClr w14:val="bg1"/>
                  </w14:solidFill>
                </w14:textFill>
              </w:rPr>
              <w:t>参数</w:t>
            </w:r>
          </w:p>
        </w:tc>
        <w:tc>
          <w:tcPr>
            <w:tcW w:w="1939" w:type="pct"/>
            <w:tcBorders>
              <w:tl2br w:val="nil"/>
              <w:tr2bl w:val="nil"/>
            </w:tcBorders>
            <w:shd w:val="clear" w:color="auto" w:fill="538135" w:themeFill="accent6" w:themeFillShade="BF"/>
            <w:vAlign w:val="center"/>
          </w:tcPr>
          <w:p w14:paraId="2C2BD61E">
            <w:pPr>
              <w:pStyle w:val="150"/>
              <w:wordWrap/>
              <w:rPr>
                <w:b w:val="0"/>
                <w:bCs w:val="0"/>
                <w:i w:val="0"/>
                <w:iCs w:val="0"/>
                <w:color w:val="FFFFFF" w:themeColor="background1"/>
                <w14:textFill>
                  <w14:solidFill>
                    <w14:schemeClr w14:val="bg1"/>
                  </w14:solidFill>
                </w14:textFill>
              </w:rPr>
            </w:pPr>
            <w:r>
              <w:rPr>
                <w:b w:val="0"/>
                <w:bCs w:val="0"/>
                <w:i w:val="0"/>
                <w:iCs w:val="0"/>
                <w:color w:val="FFFFFF" w:themeColor="background1"/>
                <w14:textFill>
                  <w14:solidFill>
                    <w14:schemeClr w14:val="bg1"/>
                  </w14:solidFill>
                </w14:textFill>
              </w:rPr>
              <w:t>说明</w:t>
            </w:r>
          </w:p>
        </w:tc>
        <w:tc>
          <w:tcPr>
            <w:tcW w:w="2194" w:type="pct"/>
            <w:tcBorders>
              <w:tl2br w:val="nil"/>
              <w:tr2bl w:val="nil"/>
            </w:tcBorders>
            <w:shd w:val="clear" w:color="auto" w:fill="538135" w:themeFill="accent6" w:themeFillShade="BF"/>
            <w:vAlign w:val="center"/>
          </w:tcPr>
          <w:p w14:paraId="28C20B80">
            <w:pPr>
              <w:pStyle w:val="150"/>
              <w:wordWrap/>
              <w:rPr>
                <w:b w:val="0"/>
                <w:bCs w:val="0"/>
                <w:i w:val="0"/>
                <w:iCs w:val="0"/>
                <w:color w:val="FFFFFF" w:themeColor="background1"/>
                <w14:textFill>
                  <w14:solidFill>
                    <w14:schemeClr w14:val="bg1"/>
                  </w14:solidFill>
                </w14:textFill>
              </w:rPr>
            </w:pPr>
            <w:r>
              <w:rPr>
                <w:b w:val="0"/>
                <w:bCs w:val="0"/>
                <w:i w:val="0"/>
                <w:iCs w:val="0"/>
                <w:color w:val="FFFFFF" w:themeColor="background1"/>
                <w14:textFill>
                  <w14:solidFill>
                    <w14:schemeClr w14:val="bg1"/>
                  </w14:solidFill>
                </w14:textFill>
              </w:rPr>
              <w:t>取值建议</w:t>
            </w:r>
          </w:p>
        </w:tc>
      </w:tr>
      <w:tr w14:paraId="27489A1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67" w:type="pct"/>
            <w:shd w:val="clear" w:color="auto" w:fill="auto"/>
          </w:tcPr>
          <w:p w14:paraId="2BC2E4AC">
            <w:pPr>
              <w:pStyle w:val="150"/>
            </w:pPr>
            <w:r>
              <w:t>超时时间</w:t>
            </w:r>
          </w:p>
        </w:tc>
        <w:tc>
          <w:tcPr>
            <w:tcW w:w="1939" w:type="pct"/>
            <w:shd w:val="clear" w:color="auto" w:fill="auto"/>
          </w:tcPr>
          <w:p w14:paraId="6ECB56E0">
            <w:pPr>
              <w:pStyle w:val="150"/>
            </w:pPr>
            <w:r>
              <w:t>APP认证用户超时时间，在时间段内没有流量设备会强制用户下线。</w:t>
            </w:r>
          </w:p>
        </w:tc>
        <w:tc>
          <w:tcPr>
            <w:tcW w:w="2194" w:type="pct"/>
            <w:shd w:val="clear" w:color="auto" w:fill="auto"/>
          </w:tcPr>
          <w:p w14:paraId="09D0B8A7">
            <w:pPr>
              <w:pStyle w:val="150"/>
            </w:pPr>
            <w:r>
              <w:t>默认值为15分钟，可输入的范围为1-144000分钟。</w:t>
            </w:r>
          </w:p>
        </w:tc>
      </w:tr>
      <w:tr w14:paraId="7319AF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67" w:type="pct"/>
            <w:shd w:val="clear" w:color="auto" w:fill="auto"/>
          </w:tcPr>
          <w:p w14:paraId="274C1968">
            <w:pPr>
              <w:pStyle w:val="150"/>
            </w:pPr>
            <w:r>
              <w:rPr>
                <w:rFonts w:hint="eastAsia"/>
              </w:rPr>
              <w:t>强制重登录间隔</w:t>
            </w:r>
          </w:p>
        </w:tc>
        <w:tc>
          <w:tcPr>
            <w:tcW w:w="1939" w:type="pct"/>
            <w:shd w:val="clear" w:color="auto" w:fill="auto"/>
          </w:tcPr>
          <w:p w14:paraId="2D777556">
            <w:pPr>
              <w:pStyle w:val="150"/>
            </w:pPr>
            <w:r>
              <w:rPr>
                <w:rFonts w:hint="eastAsia"/>
              </w:rPr>
              <w:t>设置APP认证的用户强制重登录时间，用户认证上线后，从用户登录时间开始，超时后，不管用户是否在线，系统都会将该用户强制下线。</w:t>
            </w:r>
          </w:p>
        </w:tc>
        <w:tc>
          <w:tcPr>
            <w:tcW w:w="2194" w:type="pct"/>
            <w:shd w:val="clear" w:color="auto" w:fill="auto"/>
          </w:tcPr>
          <w:p w14:paraId="5ADD33D1">
            <w:pPr>
              <w:pStyle w:val="150"/>
            </w:pPr>
            <w:r>
              <w:rPr>
                <w:rFonts w:hint="eastAsia"/>
              </w:rPr>
              <w:t>默认值为480分钟，可输入的范围为1-144000分钟。</w:t>
            </w:r>
          </w:p>
        </w:tc>
      </w:tr>
      <w:tr w14:paraId="3E520C4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67" w:type="pct"/>
            <w:shd w:val="clear" w:color="auto" w:fill="auto"/>
          </w:tcPr>
          <w:p w14:paraId="3B5C2158">
            <w:pPr>
              <w:pStyle w:val="150"/>
            </w:pPr>
            <w:r>
              <w:t>无感知</w:t>
            </w:r>
          </w:p>
        </w:tc>
        <w:tc>
          <w:tcPr>
            <w:tcW w:w="1939" w:type="pct"/>
            <w:shd w:val="clear" w:color="auto" w:fill="auto"/>
          </w:tcPr>
          <w:p w14:paraId="5877EE3B">
            <w:pPr>
              <w:pStyle w:val="150"/>
            </w:pPr>
            <w:r>
              <w:t>用户无感知认证功能及超时时间，当认证用户首次认证下线后，在超时时间内再次上网无需认证，可以无感知上线。</w:t>
            </w:r>
          </w:p>
        </w:tc>
        <w:tc>
          <w:tcPr>
            <w:tcW w:w="2194" w:type="pct"/>
            <w:shd w:val="clear" w:color="auto" w:fill="auto"/>
          </w:tcPr>
          <w:p w14:paraId="0BFB2F4B">
            <w:pPr>
              <w:pStyle w:val="150"/>
            </w:pPr>
            <w:r>
              <w:t>默认值为10分钟，可输入的范围为1-144000分钟。</w:t>
            </w:r>
          </w:p>
        </w:tc>
      </w:tr>
      <w:tr w14:paraId="200B8F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67" w:type="pct"/>
            <w:shd w:val="clear" w:color="auto" w:fill="auto"/>
          </w:tcPr>
          <w:p w14:paraId="6CAD5322">
            <w:pPr>
              <w:pStyle w:val="150"/>
            </w:pPr>
            <w:r>
              <w:t>服务器白名单</w:t>
            </w:r>
          </w:p>
        </w:tc>
        <w:tc>
          <w:tcPr>
            <w:tcW w:w="1939" w:type="pct"/>
            <w:shd w:val="clear" w:color="auto" w:fill="auto"/>
          </w:tcPr>
          <w:p w14:paraId="505B35AA">
            <w:pPr>
              <w:pStyle w:val="150"/>
            </w:pPr>
            <w:r>
              <w:t>添加APP软件下载的服务器地址。</w:t>
            </w:r>
          </w:p>
        </w:tc>
        <w:tc>
          <w:tcPr>
            <w:tcW w:w="2194" w:type="pct"/>
            <w:shd w:val="clear" w:color="auto" w:fill="auto"/>
          </w:tcPr>
          <w:p w14:paraId="56268D67">
            <w:pPr>
              <w:pStyle w:val="150"/>
            </w:pPr>
            <w:r>
              <w:t>可以输入IP格式或域名格式的地址，单击“添加到列表”。</w:t>
            </w:r>
          </w:p>
        </w:tc>
      </w:tr>
      <w:tr w14:paraId="7A94BC5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67" w:type="pct"/>
            <w:shd w:val="clear" w:color="auto" w:fill="auto"/>
          </w:tcPr>
          <w:p w14:paraId="7693787F">
            <w:pPr>
              <w:pStyle w:val="150"/>
            </w:pPr>
            <w:r>
              <w:t>规则一</w:t>
            </w:r>
          </w:p>
        </w:tc>
        <w:tc>
          <w:tcPr>
            <w:tcW w:w="1939" w:type="pct"/>
            <w:shd w:val="clear" w:color="auto" w:fill="auto"/>
          </w:tcPr>
          <w:p w14:paraId="12829720">
            <w:pPr>
              <w:pStyle w:val="150"/>
            </w:pPr>
            <w:r>
              <w:t>添加在app登录url请求中用户名称位置，在规则中填写用户名起始符和用户名终止符，规则一为必填项。</w:t>
            </w:r>
          </w:p>
        </w:tc>
        <w:tc>
          <w:tcPr>
            <w:tcW w:w="2194" w:type="pct"/>
            <w:shd w:val="clear" w:color="auto" w:fill="auto"/>
          </w:tcPr>
          <w:p w14:paraId="36EC6B2F">
            <w:pPr>
              <w:pStyle w:val="150"/>
            </w:pPr>
            <w:r>
              <w:t>APP账号登录支持GET和POST两种方式。首先使用抓包软件抓整个APP应用登录过程的报文，然后过滤找到包含登录账号的GET报文或POST表单报文，根据报文内容用户名提取规则配置用户名起始符。</w:t>
            </w:r>
          </w:p>
          <w:p w14:paraId="26D8CBA2">
            <w:pPr>
              <w:pStyle w:val="150"/>
            </w:pPr>
            <w:r>
              <w:rPr>
                <w:rFonts w:hint="eastAsia"/>
              </w:rPr>
              <w:t>示例报文如下：GET /login.html?account=test0&amp;mac=48-a1-95-57-6e-93&amp;ipaddr=172.16.11.170&amp;logintime=20190916092633 HTTP/1.1。</w:t>
            </w:r>
          </w:p>
          <w:p w14:paraId="6608CC5B">
            <w:pPr>
              <w:pStyle w:val="150"/>
            </w:pPr>
            <w:r>
              <w:rPr>
                <w:rFonts w:hint="eastAsia"/>
              </w:rPr>
              <w:t>根据报文内容用户名提取规则需要配置为：用户名起始符为account=；用户名终止符为&amp;。</w:t>
            </w:r>
          </w:p>
        </w:tc>
      </w:tr>
      <w:tr w14:paraId="4A5E03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67" w:type="pct"/>
            <w:shd w:val="clear" w:color="auto" w:fill="auto"/>
          </w:tcPr>
          <w:p w14:paraId="370A240E">
            <w:pPr>
              <w:pStyle w:val="150"/>
            </w:pPr>
            <w:r>
              <w:t>规则二</w:t>
            </w:r>
          </w:p>
        </w:tc>
        <w:tc>
          <w:tcPr>
            <w:tcW w:w="1939" w:type="pct"/>
            <w:shd w:val="clear" w:color="auto" w:fill="auto"/>
          </w:tcPr>
          <w:p w14:paraId="1B160DD2">
            <w:pPr>
              <w:pStyle w:val="150"/>
            </w:pPr>
            <w:r>
              <w:t>添加在app登录url请求中用户名称位置，在规则中填写用户名起始符和用户名终止符，规则二为非必填项。</w:t>
            </w:r>
          </w:p>
        </w:tc>
        <w:tc>
          <w:tcPr>
            <w:tcW w:w="2194" w:type="pct"/>
            <w:shd w:val="clear" w:color="auto" w:fill="auto"/>
          </w:tcPr>
          <w:p w14:paraId="381CF7DF">
            <w:pPr>
              <w:pStyle w:val="150"/>
            </w:pPr>
            <w:r>
              <w:t>-</w:t>
            </w:r>
          </w:p>
        </w:tc>
      </w:tr>
      <w:tr w14:paraId="673053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67" w:type="pct"/>
            <w:shd w:val="clear" w:color="auto" w:fill="auto"/>
          </w:tcPr>
          <w:p w14:paraId="13C858E3">
            <w:pPr>
              <w:pStyle w:val="150"/>
            </w:pPr>
            <w:r>
              <w:t>PC下载地址</w:t>
            </w:r>
          </w:p>
        </w:tc>
        <w:tc>
          <w:tcPr>
            <w:tcW w:w="1939" w:type="pct"/>
            <w:shd w:val="clear" w:color="auto" w:fill="auto"/>
          </w:tcPr>
          <w:p w14:paraId="0806B723">
            <w:pPr>
              <w:pStyle w:val="150"/>
            </w:pPr>
            <w:r>
              <w:t>填写PC端下载APP应用的连接地址。</w:t>
            </w:r>
          </w:p>
        </w:tc>
        <w:tc>
          <w:tcPr>
            <w:tcW w:w="2194" w:type="pct"/>
            <w:shd w:val="clear" w:color="auto" w:fill="auto"/>
          </w:tcPr>
          <w:p w14:paraId="04AC75D0">
            <w:pPr>
              <w:pStyle w:val="150"/>
            </w:pPr>
            <w:r>
              <w:t>长度为1-512字符，前缀必须为http或https，且仅可设置一条URL。</w:t>
            </w:r>
          </w:p>
        </w:tc>
      </w:tr>
      <w:tr w14:paraId="7F6B159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67" w:type="pct"/>
            <w:shd w:val="clear" w:color="auto" w:fill="auto"/>
          </w:tcPr>
          <w:p w14:paraId="440406C6">
            <w:pPr>
              <w:pStyle w:val="150"/>
            </w:pPr>
            <w:r>
              <w:t>IOS下载地址</w:t>
            </w:r>
          </w:p>
        </w:tc>
        <w:tc>
          <w:tcPr>
            <w:tcW w:w="1939" w:type="pct"/>
            <w:shd w:val="clear" w:color="auto" w:fill="auto"/>
          </w:tcPr>
          <w:p w14:paraId="6984ACE0">
            <w:pPr>
              <w:pStyle w:val="150"/>
            </w:pPr>
            <w:r>
              <w:t>填写IOS端下载APP应用的连接地址。</w:t>
            </w:r>
          </w:p>
        </w:tc>
        <w:tc>
          <w:tcPr>
            <w:tcW w:w="2194" w:type="pct"/>
            <w:shd w:val="clear" w:color="auto" w:fill="auto"/>
          </w:tcPr>
          <w:p w14:paraId="21E8EA23">
            <w:pPr>
              <w:pStyle w:val="150"/>
            </w:pPr>
            <w:r>
              <w:t>长度为1-512字符，前缀必须为http或https，且仅可设置一条URL。</w:t>
            </w:r>
          </w:p>
        </w:tc>
      </w:tr>
      <w:tr w14:paraId="71BC98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67" w:type="pct"/>
            <w:shd w:val="clear" w:color="auto" w:fill="auto"/>
          </w:tcPr>
          <w:p w14:paraId="4A28D3CB">
            <w:pPr>
              <w:pStyle w:val="150"/>
            </w:pPr>
            <w:r>
              <w:t>Android下载地址</w:t>
            </w:r>
          </w:p>
        </w:tc>
        <w:tc>
          <w:tcPr>
            <w:tcW w:w="1939" w:type="pct"/>
            <w:shd w:val="clear" w:color="auto" w:fill="auto"/>
          </w:tcPr>
          <w:p w14:paraId="1B51EF96">
            <w:pPr>
              <w:pStyle w:val="150"/>
            </w:pPr>
            <w:r>
              <w:t>填写Android端下载APP应用的连接地址。</w:t>
            </w:r>
          </w:p>
        </w:tc>
        <w:tc>
          <w:tcPr>
            <w:tcW w:w="2194" w:type="pct"/>
            <w:shd w:val="clear" w:color="auto" w:fill="auto"/>
          </w:tcPr>
          <w:p w14:paraId="316102FE">
            <w:pPr>
              <w:pStyle w:val="150"/>
            </w:pPr>
            <w:r>
              <w:t>长度为1-512字符，前缀必须为http或https，且仅可设置一条URL。</w:t>
            </w:r>
          </w:p>
        </w:tc>
      </w:tr>
    </w:tbl>
    <w:p w14:paraId="6B2A92A3"/>
    <w:p w14:paraId="5B4875EB">
      <w:pPr>
        <w:pStyle w:val="5"/>
      </w:pPr>
      <w:bookmarkStart w:id="8522" w:name="_Toc60042713"/>
      <w:bookmarkEnd w:id="8522"/>
      <w:bookmarkStart w:id="8523" w:name="_Toc60068362"/>
      <w:bookmarkEnd w:id="8523"/>
      <w:bookmarkStart w:id="8524" w:name="_Toc60069194"/>
      <w:bookmarkEnd w:id="8524"/>
      <w:bookmarkStart w:id="8525" w:name="_Toc60042714"/>
      <w:bookmarkEnd w:id="8525"/>
      <w:bookmarkStart w:id="8526" w:name="_Toc60068363"/>
      <w:bookmarkEnd w:id="8526"/>
      <w:bookmarkStart w:id="8527" w:name="_Toc60069195"/>
      <w:bookmarkEnd w:id="8527"/>
      <w:bookmarkStart w:id="8528" w:name="_Toc60068364"/>
      <w:bookmarkEnd w:id="8528"/>
      <w:bookmarkStart w:id="8529" w:name="_Toc60042716"/>
      <w:bookmarkEnd w:id="8529"/>
      <w:bookmarkStart w:id="8530" w:name="_Toc60068365"/>
      <w:bookmarkEnd w:id="8530"/>
      <w:bookmarkStart w:id="8531" w:name="_Toc60069197"/>
      <w:bookmarkEnd w:id="8531"/>
      <w:bookmarkStart w:id="8532" w:name="_Toc60042715"/>
      <w:bookmarkEnd w:id="8532"/>
      <w:bookmarkStart w:id="8533" w:name="_Toc60069196"/>
      <w:bookmarkEnd w:id="8533"/>
      <w:bookmarkStart w:id="8534" w:name="_Toc194081181"/>
      <w:bookmarkStart w:id="8535" w:name="_Toc196728509"/>
      <w:bookmarkStart w:id="8536" w:name="_Toc141873536"/>
      <w:bookmarkStart w:id="8537" w:name="_Toc60069198"/>
      <w:bookmarkStart w:id="8538" w:name="_Toc142401052"/>
      <w:bookmarkStart w:id="8539" w:name="_Toc44618319"/>
      <w:bookmarkStart w:id="8540" w:name="_Toc61022672"/>
      <w:bookmarkStart w:id="8541" w:name="_Toc99561619"/>
      <w:bookmarkStart w:id="8542" w:name="_Toc172218300"/>
      <w:r>
        <w:rPr>
          <w:rFonts w:hint="eastAsia"/>
        </w:rPr>
        <w:t>POP</w:t>
      </w:r>
      <w:r>
        <w:t>3</w:t>
      </w:r>
      <w:r>
        <w:rPr>
          <w:rFonts w:hint="eastAsia"/>
        </w:rPr>
        <w:t>认证</w:t>
      </w:r>
      <w:bookmarkEnd w:id="8534"/>
      <w:bookmarkEnd w:id="8535"/>
      <w:bookmarkEnd w:id="8536"/>
      <w:bookmarkEnd w:id="8537"/>
      <w:bookmarkEnd w:id="8538"/>
      <w:bookmarkEnd w:id="8539"/>
      <w:bookmarkEnd w:id="8540"/>
      <w:bookmarkEnd w:id="8541"/>
      <w:bookmarkEnd w:id="8542"/>
    </w:p>
    <w:p w14:paraId="05E09835">
      <w:r>
        <w:rPr>
          <w:rFonts w:hint="eastAsia"/>
        </w:rPr>
        <w:t>POP3认证是指用户在使网络服务时，可以在认证页面中输入内网或外网邮箱服务器中的邮箱账号和密码进行认证，从而使认证用户接入使用网络。</w:t>
      </w:r>
    </w:p>
    <w:p w14:paraId="143BE8F2">
      <w:r>
        <w:rPr>
          <w:rFonts w:hint="eastAsia"/>
        </w:rPr>
        <w:t>在导航栏中选择“用户管理&gt;认证管理&gt;认证方式</w:t>
      </w:r>
      <w:r>
        <w:t>&gt;</w:t>
      </w:r>
      <w:r>
        <w:rPr>
          <w:rFonts w:hint="eastAsia"/>
        </w:rPr>
        <w:t>P</w:t>
      </w:r>
      <w:r>
        <w:t>OP3</w:t>
      </w:r>
      <w:r>
        <w:rPr>
          <w:rFonts w:hint="eastAsia"/>
        </w:rPr>
        <w:t>认证”，进入POP3认证配置页面，如</w:t>
      </w:r>
      <w:r>
        <w:fldChar w:fldCharType="begin"/>
      </w:r>
      <w:r>
        <w:instrText xml:space="preserve"> </w:instrText>
      </w:r>
      <w:r>
        <w:rPr>
          <w:rFonts w:hint="eastAsia"/>
        </w:rPr>
        <w:instrText xml:space="preserve">REF _Ref59901598 \r \h</w:instrText>
      </w:r>
      <w:r>
        <w:instrText xml:space="preserve"> </w:instrText>
      </w:r>
      <w:r>
        <w:fldChar w:fldCharType="separate"/>
      </w:r>
      <w:r>
        <w:rPr>
          <w:rFonts w:hint="eastAsia"/>
        </w:rPr>
        <w:t>图31-74</w:t>
      </w:r>
      <w:r>
        <w:fldChar w:fldCharType="end"/>
      </w:r>
      <w:r>
        <w:rPr>
          <w:rFonts w:hint="eastAsia"/>
        </w:rPr>
        <w:t>所示。</w:t>
      </w:r>
    </w:p>
    <w:p w14:paraId="59644E86">
      <w:pPr>
        <w:pStyle w:val="188"/>
      </w:pPr>
      <w:bookmarkStart w:id="8543" w:name="_Ref59901598"/>
      <w:bookmarkStart w:id="8544" w:name="_Toc141874844"/>
      <w:r>
        <w:rPr>
          <w:rFonts w:hint="eastAsia"/>
        </w:rPr>
        <w:t>POP</w:t>
      </w:r>
      <w:r>
        <w:t>3</w:t>
      </w:r>
      <w:r>
        <w:rPr>
          <w:rFonts w:hint="eastAsia"/>
        </w:rPr>
        <w:t>认证配置页面</w:t>
      </w:r>
      <w:bookmarkEnd w:id="8543"/>
      <w:bookmarkEnd w:id="8544"/>
    </w:p>
    <w:p w14:paraId="782556DF">
      <w:r>
        <w:drawing>
          <wp:inline distT="0" distB="0" distL="0" distR="0">
            <wp:extent cx="5505450" cy="2288540"/>
            <wp:effectExtent l="0" t="0" r="0" b="0"/>
            <wp:docPr id="1296485331" name="图片 1296485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31" name="图片 1296485331"/>
                    <pic:cNvPicPr>
                      <a:picLocks noChangeAspect="1"/>
                    </pic:cNvPicPr>
                  </pic:nvPicPr>
                  <pic:blipFill>
                    <a:blip r:embed="rId1059"/>
                    <a:stretch>
                      <a:fillRect/>
                    </a:stretch>
                  </pic:blipFill>
                  <pic:spPr>
                    <a:xfrm>
                      <a:off x="0" y="0"/>
                      <a:ext cx="5509298" cy="2290491"/>
                    </a:xfrm>
                    <a:prstGeom prst="rect">
                      <a:avLst/>
                    </a:prstGeom>
                  </pic:spPr>
                </pic:pic>
              </a:graphicData>
            </a:graphic>
          </wp:inline>
        </w:drawing>
      </w:r>
    </w:p>
    <w:p w14:paraId="4B82B44E"/>
    <w:p w14:paraId="704BE196">
      <w:r>
        <w:rPr>
          <w:rFonts w:hint="eastAsia"/>
        </w:rPr>
        <w:t>页面的详细说明如</w:t>
      </w:r>
      <w:r>
        <w:fldChar w:fldCharType="begin"/>
      </w:r>
      <w:r>
        <w:instrText xml:space="preserve"> </w:instrText>
      </w:r>
      <w:r>
        <w:rPr>
          <w:rFonts w:hint="eastAsia"/>
        </w:rPr>
        <w:instrText xml:space="preserve">REF _Ref59901571 \r \h</w:instrText>
      </w:r>
      <w:r>
        <w:instrText xml:space="preserve"> </w:instrText>
      </w:r>
      <w:r>
        <w:fldChar w:fldCharType="separate"/>
      </w:r>
      <w:r>
        <w:rPr>
          <w:rFonts w:hint="eastAsia"/>
        </w:rPr>
        <w:t>表31-1</w:t>
      </w:r>
      <w:r>
        <w:fldChar w:fldCharType="end"/>
      </w:r>
      <w:r>
        <w:rPr>
          <w:rFonts w:hint="eastAsia"/>
        </w:rPr>
        <w:t>所示。</w:t>
      </w:r>
    </w:p>
    <w:p w14:paraId="2A1A1BBF">
      <w:pPr>
        <w:pStyle w:val="183"/>
      </w:pPr>
      <w:bookmarkStart w:id="8545" w:name="_Toc141875576"/>
      <w:bookmarkStart w:id="8546" w:name="_Ref59901571"/>
      <w:r>
        <w:rPr>
          <w:rFonts w:hint="eastAsia"/>
        </w:rPr>
        <w:t>POP</w:t>
      </w:r>
      <w:r>
        <w:t>3认证</w:t>
      </w:r>
      <w:r>
        <w:rPr>
          <w:rFonts w:hint="eastAsia"/>
        </w:rPr>
        <w:t>配置页面详细说明</w:t>
      </w:r>
      <w:bookmarkEnd w:id="8545"/>
      <w:bookmarkEnd w:id="8546"/>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72455A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46A749B9">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6" w:type="dxa"/>
            <w:tcBorders>
              <w:tl2br w:val="nil"/>
              <w:tr2bl w:val="nil"/>
            </w:tcBorders>
            <w:shd w:val="clear" w:color="auto" w:fill="538135" w:themeFill="accent6" w:themeFillShade="BF"/>
            <w:vAlign w:val="center"/>
          </w:tcPr>
          <w:p w14:paraId="1AC42829">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8ADA4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69A338C9">
            <w:pPr>
              <w:pStyle w:val="150"/>
            </w:pPr>
            <w:r>
              <w:rPr>
                <w:rFonts w:hint="eastAsia"/>
              </w:rPr>
              <w:t>认证服务器</w:t>
            </w:r>
          </w:p>
        </w:tc>
        <w:tc>
          <w:tcPr>
            <w:tcW w:w="6816" w:type="dxa"/>
            <w:shd w:val="clear" w:color="auto" w:fill="auto"/>
          </w:tcPr>
          <w:p w14:paraId="35C66F6E">
            <w:pPr>
              <w:pStyle w:val="150"/>
            </w:pPr>
            <w:r>
              <w:rPr>
                <w:rFonts w:hint="eastAsia"/>
              </w:rPr>
              <w:t>选择POP</w:t>
            </w:r>
            <w:r>
              <w:t>3</w:t>
            </w:r>
            <w:r>
              <w:rPr>
                <w:rFonts w:hint="eastAsia"/>
              </w:rPr>
              <w:t>认证</w:t>
            </w:r>
            <w:r>
              <w:t>服务器，需要在</w:t>
            </w:r>
            <w:r>
              <w:rPr>
                <w:rFonts w:hint="eastAsia"/>
              </w:rPr>
              <w:t>“认证</w:t>
            </w:r>
            <w:r>
              <w:t>管理-认证服务器</w:t>
            </w:r>
            <w:r>
              <w:rPr>
                <w:rFonts w:hint="eastAsia"/>
              </w:rPr>
              <w:t>”中</w:t>
            </w:r>
            <w:r>
              <w:t>添加</w:t>
            </w:r>
            <w:r>
              <w:rPr>
                <w:rFonts w:hint="eastAsia"/>
              </w:rPr>
              <w:t>。</w:t>
            </w:r>
          </w:p>
        </w:tc>
      </w:tr>
      <w:tr w14:paraId="0B9C14D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89938FF">
            <w:pPr>
              <w:pStyle w:val="150"/>
            </w:pPr>
            <w:r>
              <w:rPr>
                <w:rFonts w:hint="eastAsia"/>
              </w:rPr>
              <w:t>超时时间</w:t>
            </w:r>
          </w:p>
        </w:tc>
        <w:tc>
          <w:tcPr>
            <w:tcW w:w="6816" w:type="dxa"/>
            <w:shd w:val="clear" w:color="auto" w:fill="auto"/>
          </w:tcPr>
          <w:p w14:paraId="092C82A1">
            <w:pPr>
              <w:pStyle w:val="150"/>
            </w:pPr>
            <w:r>
              <w:rPr>
                <w:rFonts w:hint="eastAsia"/>
              </w:rPr>
              <w:t>POP</w:t>
            </w:r>
            <w:r>
              <w:t>3</w:t>
            </w:r>
            <w:r>
              <w:rPr>
                <w:rFonts w:hint="eastAsia"/>
              </w:rPr>
              <w:t>认证</w:t>
            </w:r>
            <w:r>
              <w:t>的超时时间，</w:t>
            </w:r>
            <w:r>
              <w:rPr>
                <w:rFonts w:hint="eastAsia"/>
              </w:rPr>
              <w:t>该时间段内没有任何来自客户端的流量的话，用户将会被强制下线。</w:t>
            </w:r>
          </w:p>
        </w:tc>
      </w:tr>
      <w:tr w14:paraId="41244C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7DD90280">
            <w:pPr>
              <w:pStyle w:val="150"/>
            </w:pPr>
            <w:r>
              <w:rPr>
                <w:rFonts w:hint="eastAsia"/>
              </w:rPr>
              <w:t>强制重登录间隔</w:t>
            </w:r>
          </w:p>
        </w:tc>
        <w:tc>
          <w:tcPr>
            <w:tcW w:w="6816" w:type="dxa"/>
            <w:shd w:val="clear" w:color="auto" w:fill="auto"/>
          </w:tcPr>
          <w:p w14:paraId="0941ECC1">
            <w:pPr>
              <w:pStyle w:val="150"/>
            </w:pPr>
            <w:r>
              <w:rPr>
                <w:rFonts w:hint="eastAsia"/>
              </w:rPr>
              <w:t>设置POP3认证的用户强制重登录时间，用户认证上线后，从用户登录时间开始，超时后，不管用户是否在线，系统都会将该用户强制下线。</w:t>
            </w:r>
          </w:p>
        </w:tc>
      </w:tr>
      <w:tr w14:paraId="6D7D73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288A5C2C">
            <w:pPr>
              <w:pStyle w:val="150"/>
            </w:pPr>
            <w:r>
              <w:rPr>
                <w:rFonts w:hint="eastAsia"/>
              </w:rPr>
              <w:t>无感知</w:t>
            </w:r>
          </w:p>
        </w:tc>
        <w:tc>
          <w:tcPr>
            <w:tcW w:w="6816" w:type="dxa"/>
            <w:shd w:val="clear" w:color="auto" w:fill="auto"/>
          </w:tcPr>
          <w:p w14:paraId="5EFEBBF4">
            <w:pPr>
              <w:pStyle w:val="150"/>
            </w:pPr>
            <w:r>
              <w:rPr>
                <w:rFonts w:hint="eastAsia"/>
              </w:rPr>
              <w:t>POP</w:t>
            </w:r>
            <w:r>
              <w:t>3</w:t>
            </w:r>
            <w:r>
              <w:rPr>
                <w:rFonts w:hint="eastAsia"/>
              </w:rPr>
              <w:t>认证</w:t>
            </w:r>
            <w:r>
              <w:t>的</w:t>
            </w:r>
            <w:r>
              <w:rPr>
                <w:rFonts w:hint="eastAsia"/>
              </w:rPr>
              <w:t>无感知时间</w:t>
            </w:r>
            <w:r>
              <w:t>，</w:t>
            </w:r>
            <w:r>
              <w:rPr>
                <w:rFonts w:hint="eastAsia"/>
              </w:rPr>
              <w:t>该时间</w:t>
            </w:r>
            <w:r>
              <w:t>范围之内继续保持认证成功状态</w:t>
            </w:r>
            <w:r>
              <w:rPr>
                <w:rFonts w:hint="eastAsia"/>
              </w:rPr>
              <w:t>。</w:t>
            </w:r>
          </w:p>
        </w:tc>
      </w:tr>
      <w:tr w14:paraId="718DEA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0CF87F7">
            <w:pPr>
              <w:pStyle w:val="150"/>
            </w:pPr>
            <w:r>
              <w:rPr>
                <w:rFonts w:hint="eastAsia"/>
              </w:rPr>
              <w:t>页面跳转</w:t>
            </w:r>
            <w:r>
              <w:t>设置</w:t>
            </w:r>
          </w:p>
        </w:tc>
        <w:tc>
          <w:tcPr>
            <w:tcW w:w="6816" w:type="dxa"/>
            <w:shd w:val="clear" w:color="auto" w:fill="auto"/>
          </w:tcPr>
          <w:p w14:paraId="349FCD26">
            <w:pPr>
              <w:pStyle w:val="150"/>
            </w:pPr>
            <w:r>
              <w:rPr>
                <w:rFonts w:hint="eastAsia"/>
              </w:rPr>
              <w:t>设置认证</w:t>
            </w:r>
            <w:r>
              <w:t>成功之后页面跳转情况</w:t>
            </w:r>
            <w:r>
              <w:rPr>
                <w:rFonts w:hint="eastAsia"/>
              </w:rPr>
              <w:t>。</w:t>
            </w:r>
          </w:p>
        </w:tc>
      </w:tr>
    </w:tbl>
    <w:p w14:paraId="6C589906"/>
    <w:p w14:paraId="1DF36881">
      <w:r>
        <w:rPr>
          <w:rFonts w:hint="eastAsia"/>
        </w:rPr>
        <w:t>POP</w:t>
      </w:r>
      <w:r>
        <w:t>3服务器的配置请参见</w:t>
      </w:r>
      <w:r>
        <w:fldChar w:fldCharType="begin"/>
      </w:r>
      <w:r>
        <w:instrText xml:space="preserve"> REF _Ref72946496 \r \h </w:instrText>
      </w:r>
      <w:r>
        <w:fldChar w:fldCharType="separate"/>
      </w:r>
      <w:r>
        <w:t>31.5.3</w:t>
      </w:r>
      <w:r>
        <w:fldChar w:fldCharType="end"/>
      </w:r>
      <w:r>
        <w:fldChar w:fldCharType="begin"/>
      </w:r>
      <w:r>
        <w:instrText xml:space="preserve"> REF _Ref72946503 \h </w:instrText>
      </w:r>
      <w:r>
        <w:fldChar w:fldCharType="separate"/>
      </w:r>
      <w:r>
        <w:rPr>
          <w:rFonts w:hint="eastAsia"/>
        </w:rPr>
        <w:t>配置POP</w:t>
      </w:r>
      <w:r>
        <w:t>3服务器</w:t>
      </w:r>
      <w:r>
        <w:fldChar w:fldCharType="end"/>
      </w:r>
      <w:r>
        <w:t xml:space="preserve"> 章节</w:t>
      </w:r>
      <w:r>
        <w:rPr>
          <w:rFonts w:hint="eastAsia"/>
        </w:rPr>
        <w:t>。</w:t>
      </w:r>
    </w:p>
    <w:p w14:paraId="1DFCD0F1">
      <w:pPr>
        <w:pStyle w:val="5"/>
      </w:pPr>
      <w:bookmarkStart w:id="8547" w:name="_Toc196728510"/>
      <w:bookmarkStart w:id="8548" w:name="_Toc61022673"/>
      <w:bookmarkStart w:id="8549" w:name="_Toc194081182"/>
      <w:bookmarkStart w:id="8550" w:name="_Toc60069199"/>
      <w:bookmarkStart w:id="8551" w:name="_Toc99561620"/>
      <w:bookmarkStart w:id="8552" w:name="_Toc141873537"/>
      <w:bookmarkStart w:id="8553" w:name="_Toc44618320"/>
      <w:bookmarkStart w:id="8554" w:name="_Toc142401053"/>
      <w:bookmarkStart w:id="8555" w:name="_Toc172218301"/>
      <w:r>
        <w:rPr>
          <w:rFonts w:hint="eastAsia"/>
        </w:rPr>
        <w:t>钉钉认证</w:t>
      </w:r>
      <w:bookmarkEnd w:id="8547"/>
      <w:bookmarkEnd w:id="8548"/>
      <w:bookmarkEnd w:id="8549"/>
      <w:bookmarkEnd w:id="8550"/>
      <w:bookmarkEnd w:id="8551"/>
      <w:bookmarkEnd w:id="8552"/>
      <w:bookmarkEnd w:id="8553"/>
      <w:bookmarkEnd w:id="8554"/>
      <w:bookmarkEnd w:id="8555"/>
    </w:p>
    <w:p w14:paraId="06E86A3F">
      <w:pPr>
        <w:pStyle w:val="6"/>
      </w:pPr>
      <w:r>
        <w:t>简介</w:t>
      </w:r>
    </w:p>
    <w:p w14:paraId="1D40AB4F">
      <w:r>
        <w:rPr>
          <w:rFonts w:hint="eastAsia"/>
        </w:rPr>
        <w:t>用户通过钉钉认证授权的方式进行验证身份后上网。主要应用于企业网络场景，便于企业网络人员通过钉钉应用进行上网行为的管理。</w:t>
      </w:r>
    </w:p>
    <w:p w14:paraId="54F8C6EC">
      <w:r>
        <w:t>钉钉认证的认证流程如下</w:t>
      </w:r>
      <w:r>
        <w:rPr>
          <w:rFonts w:hint="eastAsia"/>
        </w:rPr>
        <w:t>：</w:t>
      </w:r>
    </w:p>
    <w:p w14:paraId="66F421AD">
      <w:pPr>
        <w:pStyle w:val="202"/>
        <w:rPr>
          <w:lang w:eastAsia="zh-CN"/>
        </w:rPr>
      </w:pPr>
      <w:r>
        <w:rPr>
          <w:rFonts w:hint="eastAsia"/>
          <w:lang w:eastAsia="zh-CN"/>
        </w:rPr>
        <w:t>在设备上配置认证策略。</w:t>
      </w:r>
    </w:p>
    <w:p w14:paraId="3EBCD0CD">
      <w:pPr>
        <w:pStyle w:val="202"/>
        <w:rPr>
          <w:lang w:eastAsia="zh-CN"/>
        </w:rPr>
      </w:pPr>
      <w:r>
        <w:rPr>
          <w:rFonts w:hint="eastAsia"/>
          <w:lang w:eastAsia="zh-CN"/>
        </w:rPr>
        <w:t>对用户PC访问外网的流量进行劫持并触发用户认证弹Portal。</w:t>
      </w:r>
    </w:p>
    <w:p w14:paraId="6CA311FA">
      <w:pPr>
        <w:pStyle w:val="202"/>
        <w:rPr>
          <w:lang w:eastAsia="zh-CN"/>
        </w:rPr>
      </w:pPr>
      <w:r>
        <w:rPr>
          <w:rFonts w:hint="eastAsia"/>
          <w:lang w:eastAsia="zh-CN"/>
        </w:rPr>
        <w:t>PC用户获取钉钉授权登录的二维码，用户使用手机扫描获取到的二维码，并向钉钉服务器发送确认信息。</w:t>
      </w:r>
    </w:p>
    <w:p w14:paraId="46F584ED">
      <w:pPr>
        <w:pStyle w:val="202"/>
        <w:rPr>
          <w:lang w:eastAsia="zh-CN"/>
        </w:rPr>
      </w:pPr>
      <w:r>
        <w:rPr>
          <w:rFonts w:hint="eastAsia"/>
          <w:lang w:eastAsia="zh-CN"/>
        </w:rPr>
        <w:t>用户手机点击“请打开钉钉认证上网”，会自动跳转到钉钉应用进行认证操作。</w:t>
      </w:r>
    </w:p>
    <w:p w14:paraId="53F96185">
      <w:pPr>
        <w:pStyle w:val="202"/>
        <w:rPr>
          <w:lang w:eastAsia="zh-CN"/>
        </w:rPr>
      </w:pPr>
      <w:r>
        <w:rPr>
          <w:rFonts w:hint="eastAsia"/>
          <w:lang w:eastAsia="zh-CN"/>
        </w:rPr>
        <w:t>服务器会将确认后的相关信息返回给用户PC或手机终端，此时PC或手机终端再通过回调地址将数据发送给设备。</w:t>
      </w:r>
    </w:p>
    <w:p w14:paraId="211F1AF6">
      <w:pPr>
        <w:pStyle w:val="202"/>
        <w:rPr>
          <w:lang w:eastAsia="zh-CN"/>
        </w:rPr>
      </w:pPr>
      <w:r>
        <w:rPr>
          <w:rFonts w:hint="eastAsia"/>
          <w:lang w:eastAsia="zh-CN"/>
        </w:rPr>
        <w:t>设备使用用户通过回调地址提供的信息向钉钉服务器获取用户的认证信息。</w:t>
      </w:r>
    </w:p>
    <w:p w14:paraId="415A1B92">
      <w:pPr>
        <w:pStyle w:val="202"/>
        <w:rPr>
          <w:lang w:eastAsia="zh-CN"/>
        </w:rPr>
      </w:pPr>
      <w:r>
        <w:rPr>
          <w:rFonts w:hint="eastAsia"/>
          <w:lang w:eastAsia="zh-CN"/>
        </w:rPr>
        <w:t>用户认证信息获取成功，使用获取到的信息将用户上线。</w:t>
      </w:r>
    </w:p>
    <w:p w14:paraId="38E07F77">
      <w:pPr>
        <w:pStyle w:val="202"/>
        <w:rPr>
          <w:lang w:eastAsia="zh-CN"/>
        </w:rPr>
      </w:pPr>
      <w:r>
        <w:rPr>
          <w:rFonts w:hint="eastAsia"/>
          <w:lang w:eastAsia="zh-CN"/>
        </w:rPr>
        <w:t>用户上线成功后放通后续用户的所有流量。</w:t>
      </w:r>
    </w:p>
    <w:p w14:paraId="1786C064">
      <w:pPr>
        <w:pStyle w:val="6"/>
      </w:pPr>
      <w:r>
        <w:rPr>
          <w:rFonts w:hint="eastAsia"/>
        </w:rPr>
        <w:t>钉钉认证配置</w:t>
      </w:r>
    </w:p>
    <w:p w14:paraId="278F6CBC">
      <w:r>
        <w:rPr>
          <w:rFonts w:hint="eastAsia"/>
        </w:rPr>
        <w:t>在导航栏中选择“用户管理&gt;认证管理&gt;认证方式</w:t>
      </w:r>
      <w:r>
        <w:t>&gt;</w:t>
      </w:r>
      <w:r>
        <w:rPr>
          <w:rFonts w:hint="eastAsia"/>
        </w:rPr>
        <w:t>钉钉认证”，进入钉钉认证配置页面，如</w:t>
      </w:r>
      <w:r>
        <w:t>下图</w:t>
      </w:r>
      <w:r>
        <w:rPr>
          <w:rFonts w:hint="eastAsia"/>
        </w:rPr>
        <w:t>所示。</w:t>
      </w:r>
    </w:p>
    <w:p w14:paraId="444B28CF">
      <w:pPr>
        <w:pStyle w:val="188"/>
      </w:pPr>
      <w:bookmarkStart w:id="8556" w:name="_Toc141874845"/>
      <w:r>
        <w:rPr>
          <w:rFonts w:hint="eastAsia"/>
        </w:rPr>
        <w:t>钉钉认证配置页面</w:t>
      </w:r>
      <w:bookmarkEnd w:id="8556"/>
    </w:p>
    <w:p w14:paraId="1269761A">
      <w:r>
        <w:drawing>
          <wp:inline distT="0" distB="0" distL="0" distR="0">
            <wp:extent cx="5126355" cy="3747770"/>
            <wp:effectExtent l="0" t="0" r="0" b="5080"/>
            <wp:docPr id="1296485332" name="图片 1296485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32" name="图片 1296485332"/>
                    <pic:cNvPicPr>
                      <a:picLocks noChangeAspect="1"/>
                    </pic:cNvPicPr>
                  </pic:nvPicPr>
                  <pic:blipFill>
                    <a:blip r:embed="rId1060"/>
                    <a:stretch>
                      <a:fillRect/>
                    </a:stretch>
                  </pic:blipFill>
                  <pic:spPr>
                    <a:xfrm>
                      <a:off x="0" y="0"/>
                      <a:ext cx="5129057" cy="3750204"/>
                    </a:xfrm>
                    <a:prstGeom prst="rect">
                      <a:avLst/>
                    </a:prstGeom>
                  </pic:spPr>
                </pic:pic>
              </a:graphicData>
            </a:graphic>
          </wp:inline>
        </w:drawing>
      </w:r>
    </w:p>
    <w:p w14:paraId="72E4824F"/>
    <w:p w14:paraId="4367F9C0">
      <w:r>
        <w:rPr>
          <w:rFonts w:hint="eastAsia"/>
        </w:rPr>
        <w:t>页面的详细说明如</w:t>
      </w:r>
      <w:r>
        <w:fldChar w:fldCharType="begin"/>
      </w:r>
      <w:r>
        <w:instrText xml:space="preserve"> </w:instrText>
      </w:r>
      <w:r>
        <w:rPr>
          <w:rFonts w:hint="eastAsia"/>
        </w:rPr>
        <w:instrText xml:space="preserve">REF _Ref59901537 \r \h</w:instrText>
      </w:r>
      <w:r>
        <w:instrText xml:space="preserve"> </w:instrText>
      </w:r>
      <w:r>
        <w:fldChar w:fldCharType="separate"/>
      </w:r>
      <w:r>
        <w:rPr>
          <w:rFonts w:hint="eastAsia"/>
        </w:rPr>
        <w:t>表31-1</w:t>
      </w:r>
      <w:r>
        <w:fldChar w:fldCharType="end"/>
      </w:r>
      <w:r>
        <w:rPr>
          <w:rFonts w:hint="eastAsia"/>
        </w:rPr>
        <w:t>所示。</w:t>
      </w:r>
    </w:p>
    <w:p w14:paraId="06E507B5">
      <w:pPr>
        <w:pStyle w:val="183"/>
      </w:pPr>
      <w:bookmarkStart w:id="8557" w:name="_Toc141875577"/>
      <w:bookmarkStart w:id="8558" w:name="_Ref59901537"/>
      <w:r>
        <w:rPr>
          <w:rFonts w:hint="eastAsia"/>
        </w:rPr>
        <w:t>钉钉认证配置页面详细说明</w:t>
      </w:r>
      <w:bookmarkEnd w:id="8557"/>
      <w:bookmarkEnd w:id="8558"/>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45EBB7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1B654CC6">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6" w:type="dxa"/>
            <w:tcBorders>
              <w:tl2br w:val="nil"/>
              <w:tr2bl w:val="nil"/>
            </w:tcBorders>
            <w:shd w:val="clear" w:color="auto" w:fill="538135" w:themeFill="accent6" w:themeFillShade="BF"/>
            <w:vAlign w:val="center"/>
          </w:tcPr>
          <w:p w14:paraId="183F0D3E">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D6EA09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7EF22B81">
            <w:pPr>
              <w:pStyle w:val="150"/>
            </w:pPr>
            <w:r>
              <w:rPr>
                <w:rFonts w:hint="eastAsia"/>
              </w:rPr>
              <w:t>启用</w:t>
            </w:r>
          </w:p>
        </w:tc>
        <w:tc>
          <w:tcPr>
            <w:tcW w:w="6816" w:type="dxa"/>
            <w:shd w:val="clear" w:color="auto" w:fill="auto"/>
          </w:tcPr>
          <w:p w14:paraId="2B7BF4E4">
            <w:pPr>
              <w:pStyle w:val="150"/>
            </w:pPr>
            <w:r>
              <w:rPr>
                <w:rFonts w:hint="eastAsia"/>
              </w:rPr>
              <w:t>是否启用</w:t>
            </w:r>
            <w:r>
              <w:t>钉钉认证</w:t>
            </w:r>
            <w:r>
              <w:rPr>
                <w:rFonts w:hint="eastAsia"/>
              </w:rPr>
              <w:t>。</w:t>
            </w:r>
          </w:p>
        </w:tc>
      </w:tr>
      <w:tr w14:paraId="71DB49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281307C3">
            <w:pPr>
              <w:pStyle w:val="150"/>
            </w:pPr>
            <w:r>
              <w:rPr>
                <w:rFonts w:hint="eastAsia"/>
              </w:rPr>
              <w:t>超时时间</w:t>
            </w:r>
          </w:p>
        </w:tc>
        <w:tc>
          <w:tcPr>
            <w:tcW w:w="6816" w:type="dxa"/>
            <w:shd w:val="clear" w:color="auto" w:fill="auto"/>
          </w:tcPr>
          <w:p w14:paraId="7D1D8DF1">
            <w:pPr>
              <w:pStyle w:val="150"/>
            </w:pPr>
            <w:r>
              <w:rPr>
                <w:rFonts w:hint="eastAsia"/>
              </w:rPr>
              <w:t>钉钉认证的超时时间，默认值为15分钟，在时间段内没有流量设备会强制用户下线。</w:t>
            </w:r>
          </w:p>
        </w:tc>
      </w:tr>
      <w:tr w14:paraId="1CC540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48DF375">
            <w:pPr>
              <w:pStyle w:val="150"/>
            </w:pPr>
            <w:r>
              <w:rPr>
                <w:rFonts w:hint="eastAsia"/>
              </w:rPr>
              <w:t>强制重登录间隔</w:t>
            </w:r>
          </w:p>
        </w:tc>
        <w:tc>
          <w:tcPr>
            <w:tcW w:w="6816" w:type="dxa"/>
            <w:shd w:val="clear" w:color="auto" w:fill="auto"/>
          </w:tcPr>
          <w:p w14:paraId="54C1757E">
            <w:pPr>
              <w:pStyle w:val="150"/>
            </w:pPr>
            <w:r>
              <w:rPr>
                <w:rFonts w:hint="eastAsia"/>
              </w:rPr>
              <w:t>设置钉钉认证的用户强制重登录时间，用户认证上线后，从用户登录时间开始，超时后，不管用户是否在线，系统都会将该用户强制下线。</w:t>
            </w:r>
          </w:p>
        </w:tc>
      </w:tr>
      <w:tr w14:paraId="69CBCC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63A3EA1">
            <w:pPr>
              <w:pStyle w:val="150"/>
            </w:pPr>
            <w:r>
              <w:rPr>
                <w:rFonts w:hint="eastAsia"/>
              </w:rPr>
              <w:t>页面跳转设置</w:t>
            </w:r>
          </w:p>
        </w:tc>
        <w:tc>
          <w:tcPr>
            <w:tcW w:w="6816" w:type="dxa"/>
            <w:shd w:val="clear" w:color="auto" w:fill="auto"/>
          </w:tcPr>
          <w:p w14:paraId="13817E02">
            <w:pPr>
              <w:pStyle w:val="150"/>
            </w:pPr>
            <w:r>
              <w:rPr>
                <w:rFonts w:hint="eastAsia"/>
              </w:rPr>
              <w:t>设置认证成功之后页面跳转情况。</w:t>
            </w:r>
          </w:p>
        </w:tc>
      </w:tr>
      <w:tr w14:paraId="71468F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A658037">
            <w:pPr>
              <w:pStyle w:val="150"/>
            </w:pPr>
            <w:r>
              <w:rPr>
                <w:rFonts w:hint="eastAsia"/>
              </w:rPr>
              <w:t>回调地址</w:t>
            </w:r>
          </w:p>
        </w:tc>
        <w:tc>
          <w:tcPr>
            <w:tcW w:w="6816" w:type="dxa"/>
            <w:shd w:val="clear" w:color="auto" w:fill="auto"/>
          </w:tcPr>
          <w:p w14:paraId="32F4A6F5">
            <w:pPr>
              <w:pStyle w:val="150"/>
            </w:pPr>
            <w:r>
              <w:rPr>
                <w:rFonts w:hint="eastAsia"/>
              </w:rPr>
              <w:t>在钉钉服务器用来指定跳转回设备的URL地址，输入格式为：设备管理地址IP+指定端口，目前只支持http。</w:t>
            </w:r>
          </w:p>
          <w:p w14:paraId="6EB5CAD6">
            <w:pPr>
              <w:pStyle w:val="150"/>
            </w:pPr>
            <w:r>
              <w:rPr>
                <w:rFonts w:hint="eastAsia"/>
              </w:rPr>
              <w:t>例如：http://192.168.1.1:8000/</w:t>
            </w:r>
          </w:p>
          <w:p w14:paraId="4F3358AC">
            <w:pPr>
              <w:pStyle w:val="150"/>
            </w:pPr>
            <w:r>
              <w:rPr>
                <w:rFonts w:hint="eastAsia"/>
              </w:rPr>
              <w:t>配置必须和钉钉服务器配置保持一致。</w:t>
            </w:r>
          </w:p>
          <w:p w14:paraId="7FDD8BBB">
            <w:pPr>
              <w:pStyle w:val="150"/>
            </w:pPr>
            <w:r>
              <w:rPr>
                <w:rFonts w:hint="eastAsia"/>
              </w:rPr>
              <w:t>即在钉钉服务器用来指定跳转回设备的URL地址。</w:t>
            </w:r>
          </w:p>
        </w:tc>
      </w:tr>
      <w:tr w14:paraId="2B696D1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3AFDEF90">
            <w:pPr>
              <w:pStyle w:val="150"/>
            </w:pPr>
            <w:r>
              <w:rPr>
                <w:rFonts w:hint="eastAsia"/>
              </w:rPr>
              <w:t>AppID</w:t>
            </w:r>
          </w:p>
        </w:tc>
        <w:tc>
          <w:tcPr>
            <w:tcW w:w="6816" w:type="dxa"/>
            <w:shd w:val="clear" w:color="auto" w:fill="auto"/>
          </w:tcPr>
          <w:p w14:paraId="3ADC2AF9">
            <w:pPr>
              <w:pStyle w:val="150"/>
            </w:pPr>
            <w:r>
              <w:rPr>
                <w:rFonts w:hint="eastAsia"/>
              </w:rPr>
              <w:t>钉钉服务器配置的AppID。在钉钉开放平台https://open-dev.dingtalk.com设置扫码登录应用授权，钉钉服务器自动生成的个人钉钉的唯一标识</w:t>
            </w:r>
          </w:p>
        </w:tc>
      </w:tr>
      <w:tr w14:paraId="02C32B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68C0FDD">
            <w:pPr>
              <w:pStyle w:val="150"/>
            </w:pPr>
            <w:r>
              <w:rPr>
                <w:rFonts w:hint="eastAsia"/>
              </w:rPr>
              <w:t>AppSecret</w:t>
            </w:r>
          </w:p>
        </w:tc>
        <w:tc>
          <w:tcPr>
            <w:tcW w:w="6816" w:type="dxa"/>
            <w:shd w:val="clear" w:color="auto" w:fill="auto"/>
          </w:tcPr>
          <w:p w14:paraId="46493D58">
            <w:pPr>
              <w:pStyle w:val="150"/>
            </w:pPr>
            <w:r>
              <w:rPr>
                <w:rFonts w:hint="eastAsia"/>
              </w:rPr>
              <w:t>钉钉服务器配置的AppSecret，钉钉服务器自动生成的应用秘钥。</w:t>
            </w:r>
          </w:p>
        </w:tc>
      </w:tr>
      <w:tr w14:paraId="2E7CB4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14618DCE">
            <w:pPr>
              <w:pStyle w:val="150"/>
            </w:pPr>
            <w:r>
              <w:rPr>
                <w:rFonts w:hint="eastAsia"/>
              </w:rPr>
              <w:t>企业ID</w:t>
            </w:r>
          </w:p>
        </w:tc>
        <w:tc>
          <w:tcPr>
            <w:tcW w:w="6816" w:type="dxa"/>
            <w:shd w:val="clear" w:color="auto" w:fill="auto"/>
          </w:tcPr>
          <w:p w14:paraId="7D89E755">
            <w:pPr>
              <w:pStyle w:val="150"/>
            </w:pPr>
            <w:r>
              <w:rPr>
                <w:rFonts w:hint="eastAsia"/>
              </w:rPr>
              <w:t>钉钉服务器配置的企业ID，从钉钉认证服务器获取的enterpriseid（企业id）唯一标识。</w:t>
            </w:r>
          </w:p>
        </w:tc>
      </w:tr>
      <w:tr w14:paraId="3265B72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1206A2C">
            <w:pPr>
              <w:pStyle w:val="150"/>
            </w:pPr>
            <w:r>
              <w:rPr>
                <w:rFonts w:hint="eastAsia"/>
              </w:rPr>
              <w:t>自动获取所属组</w:t>
            </w:r>
          </w:p>
        </w:tc>
        <w:tc>
          <w:tcPr>
            <w:tcW w:w="6816" w:type="dxa"/>
            <w:shd w:val="clear" w:color="auto" w:fill="auto"/>
          </w:tcPr>
          <w:p w14:paraId="5395BC4D">
            <w:pPr>
              <w:pStyle w:val="150"/>
            </w:pPr>
            <w:r>
              <w:rPr>
                <w:rFonts w:hint="eastAsia"/>
              </w:rPr>
              <w:t>选择是否自动获取所属组。</w:t>
            </w:r>
          </w:p>
        </w:tc>
      </w:tr>
      <w:tr w14:paraId="174027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20" w:hRule="atLeast"/>
        </w:trPr>
        <w:tc>
          <w:tcPr>
            <w:tcW w:w="2198" w:type="dxa"/>
            <w:shd w:val="clear" w:color="auto" w:fill="auto"/>
          </w:tcPr>
          <w:p w14:paraId="03304F07">
            <w:pPr>
              <w:pStyle w:val="150"/>
            </w:pPr>
            <w:r>
              <w:rPr>
                <w:rFonts w:hint="eastAsia"/>
              </w:rPr>
              <w:t>路径</w:t>
            </w:r>
          </w:p>
        </w:tc>
        <w:tc>
          <w:tcPr>
            <w:tcW w:w="6816" w:type="dxa"/>
            <w:shd w:val="clear" w:color="auto" w:fill="auto"/>
          </w:tcPr>
          <w:p w14:paraId="6F547CAF">
            <w:pPr>
              <w:pStyle w:val="150"/>
            </w:pPr>
            <w:r>
              <w:rPr>
                <w:rFonts w:hint="eastAsia"/>
              </w:rPr>
              <w:t>开启自动获取所属组时，会将认证用户自动获取并在“数据中心&gt;系统监控&gt;在线用户&gt;属性组&gt;认证用户”中显示；同时可以手动配置认证用户所属路径。</w:t>
            </w:r>
          </w:p>
        </w:tc>
      </w:tr>
    </w:tbl>
    <w:p w14:paraId="1343FFB4"/>
    <w:p w14:paraId="32B54527">
      <w:pPr>
        <w:pStyle w:val="5"/>
      </w:pPr>
      <w:bookmarkStart w:id="8559" w:name="_Toc173418802"/>
      <w:bookmarkStart w:id="8560" w:name="_Toc157090949"/>
      <w:bookmarkStart w:id="8561" w:name="_Toc194081183"/>
      <w:bookmarkStart w:id="8562" w:name="_Toc196728511"/>
      <w:bookmarkStart w:id="8563" w:name="_Toc174642778"/>
      <w:bookmarkStart w:id="8564" w:name="_Toc20927"/>
      <w:r>
        <w:t>酒店会员认证</w:t>
      </w:r>
      <w:bookmarkEnd w:id="8559"/>
      <w:bookmarkEnd w:id="8560"/>
      <w:bookmarkEnd w:id="8561"/>
      <w:bookmarkEnd w:id="8562"/>
      <w:bookmarkEnd w:id="8563"/>
      <w:bookmarkEnd w:id="8564"/>
    </w:p>
    <w:p w14:paraId="6F2ABBD0">
      <w:r>
        <w:rPr>
          <w:rFonts w:hint="eastAsia"/>
        </w:rPr>
        <w:t>点击导航栏的“用户管理&gt;认证管理&gt;认证方式 &gt;</w:t>
      </w:r>
      <w:r>
        <w:t xml:space="preserve"> </w:t>
      </w:r>
      <w:r>
        <w:rPr>
          <w:rFonts w:hint="eastAsia"/>
        </w:rPr>
        <w:t>酒店会员认证”，进入酒店会员认证配置页面。</w:t>
      </w:r>
    </w:p>
    <w:p w14:paraId="557401D0">
      <w:pPr>
        <w:pStyle w:val="188"/>
      </w:pPr>
      <w:r>
        <w:rPr>
          <w:rFonts w:hint="eastAsia"/>
        </w:rPr>
        <w:t>酒店会员认证配置页面</w:t>
      </w:r>
    </w:p>
    <w:p w14:paraId="5E766E17">
      <w:pPr>
        <w:pStyle w:val="175"/>
      </w:pPr>
      <w:r>
        <w:drawing>
          <wp:inline distT="0" distB="0" distL="0" distR="0">
            <wp:extent cx="4843145" cy="3162300"/>
            <wp:effectExtent l="0" t="0" r="0" b="0"/>
            <wp:docPr id="1133" name="图片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 name="图片 1133"/>
                    <pic:cNvPicPr>
                      <a:picLocks noChangeAspect="1"/>
                    </pic:cNvPicPr>
                  </pic:nvPicPr>
                  <pic:blipFill>
                    <a:blip r:embed="rId1061"/>
                    <a:stretch>
                      <a:fillRect/>
                    </a:stretch>
                  </pic:blipFill>
                  <pic:spPr>
                    <a:xfrm>
                      <a:off x="0" y="0"/>
                      <a:ext cx="4851387" cy="3167647"/>
                    </a:xfrm>
                    <a:prstGeom prst="rect">
                      <a:avLst/>
                    </a:prstGeom>
                  </pic:spPr>
                </pic:pic>
              </a:graphicData>
            </a:graphic>
          </wp:inline>
        </w:drawing>
      </w:r>
    </w:p>
    <w:p w14:paraId="006A46EB"/>
    <w:p w14:paraId="082F61B1">
      <w:r>
        <w:rPr>
          <w:rFonts w:hint="eastAsia"/>
        </w:rPr>
        <w:t>页面的详细说明如</w:t>
      </w:r>
      <w:r>
        <w:t>下表</w:t>
      </w:r>
      <w:r>
        <w:rPr>
          <w:rFonts w:hint="eastAsia"/>
        </w:rPr>
        <w:t>所示。</w:t>
      </w:r>
    </w:p>
    <w:p w14:paraId="1CC37F3F">
      <w:pPr>
        <w:pStyle w:val="183"/>
      </w:pPr>
      <w:r>
        <w:rPr>
          <w:rFonts w:hint="eastAsia"/>
        </w:rPr>
        <w:t>酒店会员认证配置页面详细说明</w:t>
      </w:r>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68B6EA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12F55EDB">
            <w:pPr>
              <w:pStyle w:val="149"/>
              <w:wordWrap/>
              <w:rPr>
                <w:b/>
                <w:bCs/>
                <w:i w:val="0"/>
                <w:iCs w:val="0"/>
              </w:rPr>
            </w:pPr>
            <w:r>
              <w:rPr>
                <w:rFonts w:hint="eastAsia"/>
                <w:b/>
                <w:bCs/>
                <w:i w:val="0"/>
                <w:iCs w:val="0"/>
              </w:rPr>
              <w:t>项目</w:t>
            </w:r>
          </w:p>
        </w:tc>
        <w:tc>
          <w:tcPr>
            <w:tcW w:w="6816" w:type="dxa"/>
            <w:tcBorders>
              <w:tl2br w:val="nil"/>
              <w:tr2bl w:val="nil"/>
            </w:tcBorders>
            <w:shd w:val="clear" w:color="auto" w:fill="538135" w:themeFill="accent6" w:themeFillShade="BF"/>
            <w:vAlign w:val="center"/>
          </w:tcPr>
          <w:p w14:paraId="6A44B3E9">
            <w:pPr>
              <w:pStyle w:val="149"/>
              <w:wordWrap/>
              <w:rPr>
                <w:b/>
                <w:bCs/>
                <w:i w:val="0"/>
                <w:iCs w:val="0"/>
              </w:rPr>
            </w:pPr>
            <w:r>
              <w:rPr>
                <w:rFonts w:hint="eastAsia"/>
                <w:b/>
                <w:bCs/>
                <w:i w:val="0"/>
                <w:iCs w:val="0"/>
              </w:rPr>
              <w:t>说明</w:t>
            </w:r>
          </w:p>
        </w:tc>
      </w:tr>
      <w:tr w14:paraId="096B76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C538005">
            <w:pPr>
              <w:pStyle w:val="150"/>
            </w:pPr>
            <w:r>
              <w:rPr>
                <w:rFonts w:hint="eastAsia"/>
              </w:rPr>
              <w:t>设备ID</w:t>
            </w:r>
          </w:p>
        </w:tc>
        <w:tc>
          <w:tcPr>
            <w:tcW w:w="6816" w:type="dxa"/>
            <w:shd w:val="clear" w:color="auto" w:fill="auto"/>
          </w:tcPr>
          <w:p w14:paraId="3A632ABD">
            <w:pPr>
              <w:pStyle w:val="150"/>
            </w:pPr>
            <w:r>
              <w:rPr>
                <w:rFonts w:hint="eastAsia"/>
              </w:rPr>
              <w:t>配置设备ID。</w:t>
            </w:r>
          </w:p>
        </w:tc>
      </w:tr>
      <w:tr w14:paraId="5ACEA8F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7AA308D9">
            <w:pPr>
              <w:pStyle w:val="150"/>
            </w:pPr>
            <w:r>
              <w:rPr>
                <w:rFonts w:hint="eastAsia"/>
              </w:rPr>
              <w:t>超时时间</w:t>
            </w:r>
          </w:p>
        </w:tc>
        <w:tc>
          <w:tcPr>
            <w:tcW w:w="6816" w:type="dxa"/>
            <w:shd w:val="clear" w:color="auto" w:fill="auto"/>
          </w:tcPr>
          <w:p w14:paraId="5B976A1C">
            <w:pPr>
              <w:pStyle w:val="150"/>
            </w:pPr>
            <w:r>
              <w:rPr>
                <w:rFonts w:hint="eastAsia"/>
              </w:rPr>
              <w:t>认证</w:t>
            </w:r>
            <w:r>
              <w:t>的超时时间，</w:t>
            </w:r>
            <w:r>
              <w:rPr>
                <w:rFonts w:hint="eastAsia"/>
              </w:rPr>
              <w:t>默认值为15分钟，在时间段内没有流量设备会强制用户下线。</w:t>
            </w:r>
          </w:p>
        </w:tc>
      </w:tr>
      <w:tr w14:paraId="4EF222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535AC34">
            <w:pPr>
              <w:pStyle w:val="150"/>
            </w:pPr>
            <w:r>
              <w:rPr>
                <w:rFonts w:hint="eastAsia"/>
              </w:rPr>
              <w:t>强制重登录间隔</w:t>
            </w:r>
          </w:p>
        </w:tc>
        <w:tc>
          <w:tcPr>
            <w:tcW w:w="6816" w:type="dxa"/>
            <w:shd w:val="clear" w:color="auto" w:fill="auto"/>
          </w:tcPr>
          <w:p w14:paraId="371C2CDE">
            <w:pPr>
              <w:pStyle w:val="150"/>
            </w:pPr>
            <w:r>
              <w:rPr>
                <w:rFonts w:hint="eastAsia"/>
              </w:rPr>
              <w:t>设置酒店会员认证的用户强制重登录时间，用户认证上线后，从用户登录时间开始，超时后，不管用户是否在线，系统都会将该用户强制下线。</w:t>
            </w:r>
          </w:p>
        </w:tc>
      </w:tr>
      <w:tr w14:paraId="1E1E8E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3A2850FC">
            <w:pPr>
              <w:pStyle w:val="150"/>
            </w:pPr>
            <w:r>
              <w:t>Portal URL</w:t>
            </w:r>
          </w:p>
        </w:tc>
        <w:tc>
          <w:tcPr>
            <w:tcW w:w="6816" w:type="dxa"/>
            <w:shd w:val="clear" w:color="auto" w:fill="auto"/>
          </w:tcPr>
          <w:p w14:paraId="37B7B81A">
            <w:pPr>
              <w:pStyle w:val="150"/>
            </w:pPr>
            <w:r>
              <w:rPr>
                <w:rFonts w:hint="eastAsia"/>
              </w:rPr>
              <w:t>对接酒店服务器提供的Portal认证时重定向的URL。</w:t>
            </w:r>
          </w:p>
        </w:tc>
      </w:tr>
      <w:tr w14:paraId="5DC3FF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153FECF9">
            <w:pPr>
              <w:pStyle w:val="150"/>
            </w:pPr>
            <w:r>
              <w:rPr>
                <w:rFonts w:hint="eastAsia"/>
              </w:rPr>
              <w:t>认证URL</w:t>
            </w:r>
          </w:p>
        </w:tc>
        <w:tc>
          <w:tcPr>
            <w:tcW w:w="6816" w:type="dxa"/>
            <w:shd w:val="clear" w:color="auto" w:fill="auto"/>
          </w:tcPr>
          <w:p w14:paraId="5072C387">
            <w:pPr>
              <w:pStyle w:val="150"/>
            </w:pPr>
            <w:r>
              <w:rPr>
                <w:rFonts w:hint="eastAsia"/>
              </w:rPr>
              <w:t>对接酒店服务器提供的Portal认证时重定向的URL。</w:t>
            </w:r>
          </w:p>
        </w:tc>
      </w:tr>
      <w:tr w14:paraId="14C48B8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3258D47">
            <w:pPr>
              <w:pStyle w:val="150"/>
            </w:pPr>
            <w:r>
              <w:rPr>
                <w:rFonts w:hint="eastAsia"/>
              </w:rPr>
              <w:t>公钥</w:t>
            </w:r>
          </w:p>
        </w:tc>
        <w:tc>
          <w:tcPr>
            <w:tcW w:w="6816" w:type="dxa"/>
            <w:shd w:val="clear" w:color="auto" w:fill="auto"/>
          </w:tcPr>
          <w:p w14:paraId="12A9BD01">
            <w:pPr>
              <w:pStyle w:val="150"/>
            </w:pPr>
            <w:r>
              <w:rPr>
                <w:rFonts w:hint="eastAsia"/>
              </w:rPr>
              <w:t>公钥(Public Key)是通过一种算法得到的一个密钥,公钥是密钥对中公开的部分</w:t>
            </w:r>
          </w:p>
        </w:tc>
      </w:tr>
      <w:tr w14:paraId="2E0519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329B4C6">
            <w:pPr>
              <w:pStyle w:val="150"/>
            </w:pPr>
            <w:r>
              <w:rPr>
                <w:rFonts w:hint="eastAsia"/>
              </w:rPr>
              <w:t>私钥</w:t>
            </w:r>
          </w:p>
        </w:tc>
        <w:tc>
          <w:tcPr>
            <w:tcW w:w="6816" w:type="dxa"/>
            <w:shd w:val="clear" w:color="auto" w:fill="auto"/>
          </w:tcPr>
          <w:p w14:paraId="0208FE01">
            <w:pPr>
              <w:pStyle w:val="150"/>
            </w:pPr>
            <w:r>
              <w:rPr>
                <w:rFonts w:hint="eastAsia"/>
              </w:rPr>
              <w:t>私钥(Private Key)是通过一种算法得到的一个密钥,私钥是密钥对中非公开的部分</w:t>
            </w:r>
          </w:p>
        </w:tc>
      </w:tr>
    </w:tbl>
    <w:p w14:paraId="14A93809"/>
    <w:p w14:paraId="3AD76233">
      <w:pPr>
        <w:pStyle w:val="5"/>
      </w:pPr>
      <w:bookmarkStart w:id="8565" w:name="_Toc19554"/>
      <w:bookmarkStart w:id="8566" w:name="_Toc157090950"/>
      <w:bookmarkStart w:id="8567" w:name="_Toc174642779"/>
      <w:bookmarkStart w:id="8568" w:name="_Toc194081184"/>
      <w:bookmarkStart w:id="8569" w:name="_Toc196728512"/>
      <w:bookmarkStart w:id="8570" w:name="_Toc173418803"/>
      <w:r>
        <w:t>第三方小程序认证</w:t>
      </w:r>
      <w:bookmarkEnd w:id="8565"/>
      <w:bookmarkEnd w:id="8566"/>
      <w:bookmarkEnd w:id="8567"/>
      <w:bookmarkEnd w:id="8568"/>
      <w:bookmarkEnd w:id="8569"/>
      <w:bookmarkEnd w:id="8570"/>
    </w:p>
    <w:p w14:paraId="73DF0974">
      <w:r>
        <w:rPr>
          <w:rFonts w:hint="eastAsia"/>
        </w:rPr>
        <w:t>通过第三方小程序认证，设备接收第三方小程序推送过来的用户信息，解析后将用户以第三方小程序认证的方式上线，支持配置在线用户超时时间和加密秘钥。</w:t>
      </w:r>
    </w:p>
    <w:p w14:paraId="4E7A998E">
      <w:r>
        <w:rPr>
          <w:rFonts w:hint="eastAsia"/>
        </w:rPr>
        <w:t>点击导航栏的“用户管理 &gt; 认证管理 &gt; 认证方式 &gt;</w:t>
      </w:r>
      <w:r>
        <w:t xml:space="preserve"> </w:t>
      </w:r>
      <w:r>
        <w:rPr>
          <w:rFonts w:hint="eastAsia"/>
        </w:rPr>
        <w:t>第三方</w:t>
      </w:r>
      <w:r>
        <w:t>小程序认证</w:t>
      </w:r>
      <w:r>
        <w:rPr>
          <w:rFonts w:hint="eastAsia"/>
        </w:rPr>
        <w:t>”，进入第三方小程序</w:t>
      </w:r>
      <w:r>
        <w:t>认证</w:t>
      </w:r>
      <w:r>
        <w:rPr>
          <w:rFonts w:hint="eastAsia"/>
        </w:rPr>
        <w:t>的显示页面，如</w:t>
      </w:r>
      <w:r>
        <w:fldChar w:fldCharType="begin"/>
      </w:r>
      <w:r>
        <w:instrText xml:space="preserve">  REF _Ref393792561 \r \h  \* MERGEFORMAT </w:instrText>
      </w:r>
      <w:r>
        <w:fldChar w:fldCharType="separate"/>
      </w:r>
      <w:r>
        <w:rPr>
          <w:rFonts w:hint="eastAsia"/>
        </w:rPr>
        <w:t>图31-77</w:t>
      </w:r>
      <w:r>
        <w:fldChar w:fldCharType="end"/>
      </w:r>
      <w:r>
        <w:rPr>
          <w:rFonts w:hint="eastAsia"/>
        </w:rPr>
        <w:t>所示。在“超时</w:t>
      </w:r>
      <w:r>
        <w:t>时间</w:t>
      </w:r>
      <w:r>
        <w:rPr>
          <w:rFonts w:hint="eastAsia"/>
        </w:rPr>
        <w:t>”输入框</w:t>
      </w:r>
      <w:r>
        <w:t>中</w:t>
      </w:r>
      <w:r>
        <w:rPr>
          <w:rFonts w:hint="eastAsia"/>
        </w:rPr>
        <w:t>，输入用户</w:t>
      </w:r>
      <w:r>
        <w:t>上线</w:t>
      </w:r>
      <w:r>
        <w:rPr>
          <w:rFonts w:hint="eastAsia"/>
        </w:rPr>
        <w:t>超时</w:t>
      </w:r>
      <w:r>
        <w:t>时间</w:t>
      </w:r>
      <w:r>
        <w:rPr>
          <w:rFonts w:hint="eastAsia"/>
        </w:rPr>
        <w:t>(默认</w:t>
      </w:r>
      <w:r>
        <w:t>是</w:t>
      </w:r>
      <w:r>
        <w:rPr>
          <w:rFonts w:hint="eastAsia"/>
        </w:rPr>
        <w:t>15分钟)，在“加密</w:t>
      </w:r>
      <w:r>
        <w:t>秘钥</w:t>
      </w:r>
      <w:r>
        <w:rPr>
          <w:rFonts w:hint="eastAsia"/>
        </w:rPr>
        <w:t>”输入</w:t>
      </w:r>
      <w:r>
        <w:t>框中，输入</w:t>
      </w:r>
      <w:r>
        <w:rPr>
          <w:rFonts w:hint="eastAsia"/>
        </w:rPr>
        <w:t>秘钥</w:t>
      </w:r>
      <w:r>
        <w:t>字符串</w:t>
      </w:r>
      <w:r>
        <w:rPr>
          <w:rFonts w:hint="eastAsia"/>
        </w:rPr>
        <w:t>（只</w:t>
      </w:r>
      <w:r>
        <w:t>支持数字和字母的输入</w:t>
      </w:r>
      <w:r>
        <w:rPr>
          <w:rFonts w:hint="eastAsia"/>
        </w:rPr>
        <w:t>）。</w:t>
      </w:r>
    </w:p>
    <w:p w14:paraId="5061C483">
      <w:pPr>
        <w:pStyle w:val="188"/>
      </w:pPr>
      <w:bookmarkStart w:id="8571" w:name="_Ref393792561"/>
      <w:r>
        <w:rPr>
          <w:rFonts w:hint="eastAsia"/>
        </w:rPr>
        <w:t>第三方小程序认证</w:t>
      </w:r>
      <w:r>
        <w:t>配置</w:t>
      </w:r>
      <w:r>
        <w:rPr>
          <w:rFonts w:hint="eastAsia"/>
        </w:rPr>
        <w:t>界面</w:t>
      </w:r>
      <w:bookmarkEnd w:id="8571"/>
    </w:p>
    <w:p w14:paraId="51BCACF5">
      <w:pPr>
        <w:pStyle w:val="175"/>
      </w:pPr>
      <w:r>
        <w:drawing>
          <wp:inline distT="0" distB="0" distL="0" distR="0">
            <wp:extent cx="5124450" cy="1764665"/>
            <wp:effectExtent l="0" t="0" r="0" b="6985"/>
            <wp:docPr id="1134" name="图片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图片 1134"/>
                    <pic:cNvPicPr>
                      <a:picLocks noChangeAspect="1"/>
                    </pic:cNvPicPr>
                  </pic:nvPicPr>
                  <pic:blipFill>
                    <a:blip r:embed="rId1062"/>
                    <a:stretch>
                      <a:fillRect/>
                    </a:stretch>
                  </pic:blipFill>
                  <pic:spPr>
                    <a:xfrm>
                      <a:off x="0" y="0"/>
                      <a:ext cx="5166682" cy="1779767"/>
                    </a:xfrm>
                    <a:prstGeom prst="rect">
                      <a:avLst/>
                    </a:prstGeom>
                  </pic:spPr>
                </pic:pic>
              </a:graphicData>
            </a:graphic>
          </wp:inline>
        </w:drawing>
      </w:r>
    </w:p>
    <w:p w14:paraId="4E4404E6">
      <w:pPr>
        <w:pStyle w:val="183"/>
      </w:pPr>
      <w:bookmarkStart w:id="8572" w:name="_Ref458614648"/>
      <w:r>
        <w:rPr>
          <w:rFonts w:hint="eastAsia"/>
        </w:rPr>
        <w:t>第三方</w:t>
      </w:r>
      <w:r>
        <w:t>小程序</w:t>
      </w:r>
      <w:r>
        <w:rPr>
          <w:rFonts w:hint="eastAsia"/>
        </w:rPr>
        <w:t>详细信息描述表</w:t>
      </w:r>
      <w:bookmarkEnd w:id="8572"/>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506"/>
        <w:gridCol w:w="7508"/>
      </w:tblGrid>
      <w:tr w14:paraId="5FF906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506" w:type="dxa"/>
            <w:tcBorders>
              <w:tl2br w:val="nil"/>
              <w:tr2bl w:val="nil"/>
            </w:tcBorders>
            <w:shd w:val="clear" w:color="auto" w:fill="538135" w:themeFill="accent6" w:themeFillShade="BF"/>
            <w:vAlign w:val="center"/>
          </w:tcPr>
          <w:p w14:paraId="227CD9DA">
            <w:pPr>
              <w:pStyle w:val="149"/>
              <w:wordWrap/>
              <w:rPr>
                <w:b/>
                <w:bCs/>
                <w:i w:val="0"/>
                <w:iCs w:val="0"/>
              </w:rPr>
            </w:pPr>
            <w:r>
              <w:rPr>
                <w:rFonts w:hint="eastAsia"/>
                <w:b/>
                <w:bCs/>
                <w:i w:val="0"/>
                <w:iCs w:val="0"/>
              </w:rPr>
              <w:t>配置项</w:t>
            </w:r>
          </w:p>
        </w:tc>
        <w:tc>
          <w:tcPr>
            <w:tcW w:w="7508" w:type="dxa"/>
            <w:tcBorders>
              <w:tl2br w:val="nil"/>
              <w:tr2bl w:val="nil"/>
            </w:tcBorders>
            <w:shd w:val="clear" w:color="auto" w:fill="538135" w:themeFill="accent6" w:themeFillShade="BF"/>
            <w:vAlign w:val="center"/>
          </w:tcPr>
          <w:p w14:paraId="2ABE420F">
            <w:pPr>
              <w:pStyle w:val="149"/>
              <w:wordWrap/>
              <w:rPr>
                <w:b/>
                <w:bCs/>
                <w:i w:val="0"/>
                <w:iCs w:val="0"/>
              </w:rPr>
            </w:pPr>
            <w:r>
              <w:rPr>
                <w:rFonts w:hint="eastAsia"/>
                <w:b/>
                <w:bCs/>
                <w:i w:val="0"/>
                <w:iCs w:val="0"/>
              </w:rPr>
              <w:t>说明</w:t>
            </w:r>
          </w:p>
        </w:tc>
      </w:tr>
      <w:tr w14:paraId="708838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506" w:type="dxa"/>
            <w:shd w:val="clear" w:color="auto" w:fill="auto"/>
          </w:tcPr>
          <w:p w14:paraId="6F7485ED">
            <w:pPr>
              <w:pStyle w:val="150"/>
            </w:pPr>
            <w:r>
              <w:rPr>
                <w:rFonts w:hint="eastAsia"/>
              </w:rPr>
              <w:t>超时时间</w:t>
            </w:r>
          </w:p>
        </w:tc>
        <w:tc>
          <w:tcPr>
            <w:tcW w:w="7508" w:type="dxa"/>
            <w:shd w:val="clear" w:color="auto" w:fill="auto"/>
          </w:tcPr>
          <w:p w14:paraId="6442C4E4">
            <w:pPr>
              <w:pStyle w:val="150"/>
            </w:pPr>
            <w:r>
              <w:rPr>
                <w:rFonts w:hint="eastAsia"/>
              </w:rPr>
              <w:t>取值</w:t>
            </w:r>
            <w:r>
              <w:t>范围是</w:t>
            </w:r>
            <w:r>
              <w:rPr>
                <w:rFonts w:hint="eastAsia"/>
              </w:rPr>
              <w:t>1</w:t>
            </w:r>
            <w:r>
              <w:t>-144000</w:t>
            </w:r>
            <w:r>
              <w:rPr>
                <w:rFonts w:hint="eastAsia"/>
              </w:rPr>
              <w:t>分钟</w:t>
            </w:r>
            <w:r>
              <w:t>，默认是</w:t>
            </w:r>
            <w:r>
              <w:rPr>
                <w:rFonts w:hint="eastAsia"/>
              </w:rPr>
              <w:t>15分钟。</w:t>
            </w:r>
          </w:p>
        </w:tc>
      </w:tr>
      <w:tr w14:paraId="3B43EF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506" w:type="dxa"/>
            <w:shd w:val="clear" w:color="auto" w:fill="auto"/>
          </w:tcPr>
          <w:p w14:paraId="34FE4947">
            <w:pPr>
              <w:pStyle w:val="150"/>
            </w:pPr>
            <w:r>
              <w:rPr>
                <w:rFonts w:hint="eastAsia"/>
              </w:rPr>
              <w:t>强制重登录间隔</w:t>
            </w:r>
          </w:p>
        </w:tc>
        <w:tc>
          <w:tcPr>
            <w:tcW w:w="7508" w:type="dxa"/>
            <w:shd w:val="clear" w:color="auto" w:fill="auto"/>
          </w:tcPr>
          <w:p w14:paraId="1A4DF1DA">
            <w:pPr>
              <w:pStyle w:val="150"/>
            </w:pPr>
            <w:r>
              <w:rPr>
                <w:rFonts w:hint="eastAsia"/>
              </w:rPr>
              <w:t>设置第三方小程序认证的用户强制重登录时间，用户认证上线后，从用户登录时间开始，超时后，不管用户是否在线，系统都会将该用户强制下线。</w:t>
            </w:r>
          </w:p>
        </w:tc>
      </w:tr>
      <w:tr w14:paraId="059730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506" w:type="dxa"/>
            <w:shd w:val="clear" w:color="auto" w:fill="auto"/>
          </w:tcPr>
          <w:p w14:paraId="38479090">
            <w:pPr>
              <w:pStyle w:val="150"/>
            </w:pPr>
            <w:r>
              <w:rPr>
                <w:rFonts w:hint="eastAsia"/>
              </w:rPr>
              <w:t>加密秘钥</w:t>
            </w:r>
          </w:p>
        </w:tc>
        <w:tc>
          <w:tcPr>
            <w:tcW w:w="7508" w:type="dxa"/>
            <w:shd w:val="clear" w:color="auto" w:fill="auto"/>
          </w:tcPr>
          <w:p w14:paraId="2C81AB59">
            <w:pPr>
              <w:pStyle w:val="150"/>
            </w:pPr>
            <w:r>
              <w:rPr>
                <w:rFonts w:hint="eastAsia"/>
              </w:rPr>
              <w:t>只</w:t>
            </w:r>
            <w:r>
              <w:t>支持数字和字母</w:t>
            </w:r>
            <w:r>
              <w:rPr>
                <w:rFonts w:hint="eastAsia"/>
              </w:rPr>
              <w:t>，支持</w:t>
            </w:r>
            <w:r>
              <w:t>的长度范围是</w:t>
            </w:r>
            <w:r>
              <w:rPr>
                <w:rFonts w:hint="eastAsia"/>
              </w:rPr>
              <w:t>0</w:t>
            </w:r>
            <w:r>
              <w:t>-63</w:t>
            </w:r>
            <w:r>
              <w:rPr>
                <w:rFonts w:hint="eastAsia"/>
              </w:rPr>
              <w:t>字符；加密</w:t>
            </w:r>
            <w:r>
              <w:t>秘钥</w:t>
            </w:r>
            <w:r>
              <w:rPr>
                <w:rFonts w:hint="eastAsia"/>
              </w:rPr>
              <w:t>由</w:t>
            </w:r>
            <w:r>
              <w:t>第三方小</w:t>
            </w:r>
            <w:r>
              <w:rPr>
                <w:rFonts w:hint="eastAsia"/>
              </w:rPr>
              <w:t>程序</w:t>
            </w:r>
            <w:r>
              <w:t>的开发者提供</w:t>
            </w:r>
            <w:r>
              <w:rPr>
                <w:rFonts w:hint="eastAsia"/>
              </w:rPr>
              <w:t>。</w:t>
            </w:r>
          </w:p>
        </w:tc>
      </w:tr>
    </w:tbl>
    <w:p w14:paraId="1424D1F1"/>
    <w:p w14:paraId="6396C777">
      <w:pPr>
        <w:pStyle w:val="5"/>
      </w:pPr>
      <w:bookmarkStart w:id="8573" w:name="_Toc162341430"/>
      <w:bookmarkEnd w:id="8573"/>
      <w:bookmarkStart w:id="8574" w:name="_Toc162362864"/>
      <w:bookmarkEnd w:id="8574"/>
      <w:bookmarkStart w:id="8575" w:name="_Toc162362135"/>
      <w:bookmarkEnd w:id="8575"/>
      <w:bookmarkStart w:id="8576" w:name="_Toc162342153"/>
      <w:bookmarkEnd w:id="8576"/>
      <w:bookmarkStart w:id="8577" w:name="_Toc162362137"/>
      <w:bookmarkEnd w:id="8577"/>
      <w:bookmarkStart w:id="8578" w:name="_Toc162341433"/>
      <w:bookmarkEnd w:id="8578"/>
      <w:bookmarkStart w:id="8579" w:name="_Toc162353583"/>
      <w:bookmarkEnd w:id="8579"/>
      <w:bookmarkStart w:id="8580" w:name="_Toc162362136"/>
      <w:bookmarkEnd w:id="8580"/>
      <w:bookmarkStart w:id="8581" w:name="_Toc162362140"/>
      <w:bookmarkEnd w:id="8581"/>
      <w:bookmarkStart w:id="8582" w:name="_Toc162341434"/>
      <w:bookmarkEnd w:id="8582"/>
      <w:bookmarkStart w:id="8583" w:name="_Toc162362865"/>
      <w:bookmarkEnd w:id="8583"/>
      <w:bookmarkStart w:id="8584" w:name="_Toc162353579"/>
      <w:bookmarkEnd w:id="8584"/>
      <w:bookmarkStart w:id="8585" w:name="_Toc162341435"/>
      <w:bookmarkEnd w:id="8585"/>
      <w:bookmarkStart w:id="8586" w:name="_Toc162341432"/>
      <w:bookmarkEnd w:id="8586"/>
      <w:bookmarkStart w:id="8587" w:name="_Toc162353582"/>
      <w:bookmarkEnd w:id="8587"/>
      <w:bookmarkStart w:id="8588" w:name="_Toc162362869"/>
      <w:bookmarkEnd w:id="8588"/>
      <w:bookmarkStart w:id="8589" w:name="_Toc162342151"/>
      <w:bookmarkEnd w:id="8589"/>
      <w:bookmarkStart w:id="8590" w:name="_Toc162341436"/>
      <w:bookmarkEnd w:id="8590"/>
      <w:bookmarkStart w:id="8591" w:name="_Toc162341431"/>
      <w:bookmarkEnd w:id="8591"/>
      <w:bookmarkStart w:id="8592" w:name="_Toc162342154"/>
      <w:bookmarkEnd w:id="8592"/>
      <w:bookmarkStart w:id="8593" w:name="_Toc162342148"/>
      <w:bookmarkEnd w:id="8593"/>
      <w:bookmarkStart w:id="8594" w:name="_Toc162342149"/>
      <w:bookmarkEnd w:id="8594"/>
      <w:bookmarkStart w:id="8595" w:name="_Toc162342150"/>
      <w:bookmarkEnd w:id="8595"/>
      <w:bookmarkStart w:id="8596" w:name="_Toc162362868"/>
      <w:bookmarkEnd w:id="8596"/>
      <w:bookmarkStart w:id="8597" w:name="_Toc162362866"/>
      <w:bookmarkEnd w:id="8597"/>
      <w:bookmarkStart w:id="8598" w:name="_Toc162353580"/>
      <w:bookmarkEnd w:id="8598"/>
      <w:bookmarkStart w:id="8599" w:name="_Toc162353581"/>
      <w:bookmarkEnd w:id="8599"/>
      <w:bookmarkStart w:id="8600" w:name="_Toc162362867"/>
      <w:bookmarkEnd w:id="8600"/>
      <w:bookmarkStart w:id="8601" w:name="_Toc162362138"/>
      <w:bookmarkEnd w:id="8601"/>
      <w:bookmarkStart w:id="8602" w:name="_Toc162353578"/>
      <w:bookmarkEnd w:id="8602"/>
      <w:bookmarkStart w:id="8603" w:name="_Toc162342152"/>
      <w:bookmarkEnd w:id="8603"/>
      <w:bookmarkStart w:id="8604" w:name="_Toc162362139"/>
      <w:bookmarkEnd w:id="8604"/>
      <w:bookmarkStart w:id="8605" w:name="_Toc162341460"/>
      <w:bookmarkEnd w:id="8605"/>
      <w:bookmarkStart w:id="8606" w:name="_Toc162342178"/>
      <w:bookmarkEnd w:id="8606"/>
      <w:bookmarkStart w:id="8607" w:name="_Toc162353608"/>
      <w:bookmarkEnd w:id="8607"/>
      <w:bookmarkStart w:id="8608" w:name="_Toc162362894"/>
      <w:bookmarkEnd w:id="8608"/>
      <w:bookmarkStart w:id="8609" w:name="_Toc162362163"/>
      <w:bookmarkEnd w:id="8609"/>
      <w:bookmarkStart w:id="8610" w:name="_Toc162353609"/>
      <w:bookmarkEnd w:id="8610"/>
      <w:bookmarkStart w:id="8611" w:name="_Toc162362895"/>
      <w:bookmarkEnd w:id="8611"/>
      <w:bookmarkStart w:id="8612" w:name="_Toc162353606"/>
      <w:bookmarkEnd w:id="8612"/>
      <w:bookmarkStart w:id="8613" w:name="_Toc162341462"/>
      <w:bookmarkEnd w:id="8613"/>
      <w:bookmarkStart w:id="8614" w:name="_Toc162362141"/>
      <w:bookmarkEnd w:id="8614"/>
      <w:bookmarkStart w:id="8615" w:name="_Toc162353607"/>
      <w:bookmarkEnd w:id="8615"/>
      <w:bookmarkStart w:id="8616" w:name="_Toc162341461"/>
      <w:bookmarkEnd w:id="8616"/>
      <w:bookmarkStart w:id="8617" w:name="_Toc162342179"/>
      <w:bookmarkEnd w:id="8617"/>
      <w:bookmarkStart w:id="8618" w:name="_Toc162362166"/>
      <w:bookmarkEnd w:id="8618"/>
      <w:bookmarkStart w:id="8619" w:name="_Toc162342180"/>
      <w:bookmarkEnd w:id="8619"/>
      <w:bookmarkStart w:id="8620" w:name="_Toc162353610"/>
      <w:bookmarkEnd w:id="8620"/>
      <w:bookmarkStart w:id="8621" w:name="_Toc162362167"/>
      <w:bookmarkEnd w:id="8621"/>
      <w:bookmarkStart w:id="8622" w:name="_Toc162362892"/>
      <w:bookmarkEnd w:id="8622"/>
      <w:bookmarkStart w:id="8623" w:name="_Toc162362870"/>
      <w:bookmarkEnd w:id="8623"/>
      <w:bookmarkStart w:id="8624" w:name="_Toc162362896"/>
      <w:bookmarkEnd w:id="8624"/>
      <w:bookmarkStart w:id="8625" w:name="_Toc162341458"/>
      <w:bookmarkEnd w:id="8625"/>
      <w:bookmarkStart w:id="8626" w:name="_Toc162342176"/>
      <w:bookmarkEnd w:id="8626"/>
      <w:bookmarkStart w:id="8627" w:name="_Toc162362164"/>
      <w:bookmarkEnd w:id="8627"/>
      <w:bookmarkStart w:id="8628" w:name="_Toc162341463"/>
      <w:bookmarkEnd w:id="8628"/>
      <w:bookmarkStart w:id="8629" w:name="_Toc162342181"/>
      <w:bookmarkEnd w:id="8629"/>
      <w:bookmarkStart w:id="8630" w:name="_Toc162353611"/>
      <w:bookmarkEnd w:id="8630"/>
      <w:bookmarkStart w:id="8631" w:name="_Toc162362168"/>
      <w:bookmarkEnd w:id="8631"/>
      <w:bookmarkStart w:id="8632" w:name="_Toc162353584"/>
      <w:bookmarkEnd w:id="8632"/>
      <w:bookmarkStart w:id="8633" w:name="_Toc162341459"/>
      <w:bookmarkEnd w:id="8633"/>
      <w:bookmarkStart w:id="8634" w:name="_Toc162342177"/>
      <w:bookmarkEnd w:id="8634"/>
      <w:bookmarkStart w:id="8635" w:name="_Toc162362893"/>
      <w:bookmarkEnd w:id="8635"/>
      <w:bookmarkStart w:id="8636" w:name="_Toc162362165"/>
      <w:bookmarkEnd w:id="8636"/>
      <w:bookmarkStart w:id="8637" w:name="_Toc162362169"/>
      <w:bookmarkEnd w:id="8637"/>
      <w:bookmarkStart w:id="8638" w:name="_Toc162342182"/>
      <w:bookmarkEnd w:id="8638"/>
      <w:bookmarkStart w:id="8639" w:name="_Toc162362897"/>
      <w:bookmarkEnd w:id="8639"/>
      <w:bookmarkStart w:id="8640" w:name="_Toc162342183"/>
      <w:bookmarkEnd w:id="8640"/>
      <w:bookmarkStart w:id="8641" w:name="_Toc162353613"/>
      <w:bookmarkEnd w:id="8641"/>
      <w:bookmarkStart w:id="8642" w:name="_Toc162341465"/>
      <w:bookmarkEnd w:id="8642"/>
      <w:bookmarkStart w:id="8643" w:name="_Toc162341475"/>
      <w:bookmarkEnd w:id="8643"/>
      <w:bookmarkStart w:id="8644" w:name="_Toc162353623"/>
      <w:bookmarkEnd w:id="8644"/>
      <w:bookmarkStart w:id="8645" w:name="_Toc162362170"/>
      <w:bookmarkEnd w:id="8645"/>
      <w:bookmarkStart w:id="8646" w:name="_Toc162362899"/>
      <w:bookmarkEnd w:id="8646"/>
      <w:bookmarkStart w:id="8647" w:name="_Toc162362180"/>
      <w:bookmarkEnd w:id="8647"/>
      <w:bookmarkStart w:id="8648" w:name="_Toc162362909"/>
      <w:bookmarkEnd w:id="8648"/>
      <w:bookmarkStart w:id="8649" w:name="_Toc162362898"/>
      <w:bookmarkEnd w:id="8649"/>
      <w:bookmarkStart w:id="8650" w:name="_Toc162342193"/>
      <w:bookmarkEnd w:id="8650"/>
      <w:bookmarkStart w:id="8651" w:name="_Toc162353612"/>
      <w:bookmarkEnd w:id="8651"/>
      <w:bookmarkStart w:id="8652" w:name="_Toc162341464"/>
      <w:bookmarkEnd w:id="8652"/>
      <w:bookmarkStart w:id="8653" w:name="_Toc196728513"/>
      <w:bookmarkStart w:id="8654" w:name="_Toc99561623"/>
      <w:bookmarkStart w:id="8655" w:name="_Toc194081185"/>
      <w:bookmarkStart w:id="8656" w:name="_Toc141873540"/>
      <w:bookmarkStart w:id="8657" w:name="_Toc172218302"/>
      <w:bookmarkStart w:id="8658" w:name="_Toc142401056"/>
      <w:r>
        <w:t>企业微信认证</w:t>
      </w:r>
      <w:bookmarkEnd w:id="8653"/>
      <w:bookmarkEnd w:id="8654"/>
      <w:bookmarkEnd w:id="8655"/>
      <w:bookmarkEnd w:id="8656"/>
      <w:bookmarkEnd w:id="8657"/>
      <w:bookmarkEnd w:id="8658"/>
    </w:p>
    <w:p w14:paraId="2A6F13EC">
      <w:r>
        <w:rPr>
          <w:rFonts w:hint="eastAsia"/>
        </w:rPr>
        <w:t>企业微信认证是用户在客户端上网时，可通过移动端的企业微信扫描设备推送的二维码，实现认证，通过认证后用户即可在设备侧上线，通过设备进行上网。</w:t>
      </w:r>
    </w:p>
    <w:p w14:paraId="025C0999">
      <w:pPr>
        <w:pStyle w:val="6"/>
      </w:pPr>
      <w:r>
        <w:t>配置企业微信管理后台</w:t>
      </w:r>
    </w:p>
    <w:p w14:paraId="1FE8E34A">
      <w:r>
        <w:rPr>
          <w:rFonts w:hint="eastAsia"/>
        </w:rPr>
        <w:t>在设备上配置企业微信认证前，需要先登录企业微信管理后台进行相关配置，也可以在设备的企业微信认证配置页面，单击&lt;配置指导&gt;查看详细说明。配置步骤如下：</w:t>
      </w:r>
    </w:p>
    <w:p w14:paraId="446443E9">
      <w:pPr>
        <w:pStyle w:val="202"/>
        <w:rPr>
          <w:lang w:eastAsia="zh-CN"/>
        </w:rPr>
      </w:pPr>
      <w:r>
        <w:rPr>
          <w:rFonts w:hint="eastAsia"/>
          <w:lang w:eastAsia="zh-CN"/>
        </w:rPr>
        <w:t>登录企业微信管理后台，地址如下：</w:t>
      </w:r>
    </w:p>
    <w:p w14:paraId="558E0AB3">
      <w:r>
        <w:t>https://work.weixin.qq.com/wework_admin/loginpage_wx?from=myhome</w:t>
      </w:r>
    </w:p>
    <w:p w14:paraId="453D52B0">
      <w:pPr>
        <w:pStyle w:val="202"/>
        <w:rPr>
          <w:lang w:eastAsia="zh-CN"/>
        </w:rPr>
      </w:pPr>
      <w:r>
        <w:rPr>
          <w:rFonts w:hint="eastAsia"/>
          <w:lang w:eastAsia="zh-CN"/>
        </w:rPr>
        <w:t>选择“我的企业&gt;企业信息”，获取企业ID，对应设备企业微信认证配置参数中的AppID。</w:t>
      </w:r>
    </w:p>
    <w:p w14:paraId="5C9A05B9">
      <w:pPr>
        <w:pStyle w:val="202"/>
        <w:rPr>
          <w:lang w:eastAsia="zh-CN"/>
        </w:rPr>
      </w:pPr>
      <w:r>
        <w:rPr>
          <w:rFonts w:hint="eastAsia"/>
          <w:lang w:eastAsia="zh-CN"/>
        </w:rPr>
        <w:t>选择“应用管理&gt;应用”，在自建下点击“创建应用”，应用名称填“我要上网”。</w:t>
      </w:r>
    </w:p>
    <w:p w14:paraId="1BDA779B">
      <w:pPr>
        <w:pStyle w:val="202"/>
      </w:pPr>
      <w:r>
        <w:rPr>
          <w:rFonts w:hint="eastAsia"/>
          <w:lang w:eastAsia="zh-CN"/>
        </w:rPr>
        <w:t>点击进入“我要上网”应用（此时企业微信服务器会给这个应用颁发一个AgentID和Secret。</w:t>
      </w:r>
      <w:r>
        <w:rPr>
          <w:rFonts w:hint="eastAsia"/>
        </w:rPr>
        <w:t>AgentID是授权方的网页应用ID；Secret用于Client向认证服务器获取access token时加密使用的）。</w:t>
      </w:r>
    </w:p>
    <w:p w14:paraId="272B3047">
      <w:pPr>
        <w:pStyle w:val="202"/>
      </w:pPr>
      <w:r>
        <w:rPr>
          <w:rFonts w:hint="eastAsia"/>
        </w:rPr>
        <w:t>获取AgentID和Secret，对应设备企业微信认证配置参数中的AgentID、AppSecret。</w:t>
      </w:r>
    </w:p>
    <w:p w14:paraId="3EE7EBC2">
      <w:pPr>
        <w:pStyle w:val="202"/>
        <w:rPr>
          <w:lang w:eastAsia="zh-CN"/>
        </w:rPr>
      </w:pPr>
      <w:r>
        <w:rPr>
          <w:rFonts w:hint="eastAsia"/>
          <w:lang w:eastAsia="zh-CN"/>
        </w:rPr>
        <w:t>点击进入“网页授权及JS-SDK”，填入回调地址域名，例如：lgtest.com:8000。</w:t>
      </w:r>
    </w:p>
    <w:p w14:paraId="624C54C1">
      <w:pPr>
        <w:pStyle w:val="202"/>
        <w:rPr>
          <w:lang w:eastAsia="zh-CN"/>
        </w:rPr>
      </w:pPr>
      <w:r>
        <w:rPr>
          <w:rFonts w:hint="eastAsia"/>
          <w:lang w:eastAsia="zh-CN"/>
        </w:rPr>
        <w:t>启用“企业微信授权登录”，在“web网页”下面填入授权回调域名，例如：lgtest.com:8000。</w:t>
      </w:r>
    </w:p>
    <w:p w14:paraId="255C63CE">
      <w:pPr>
        <w:pStyle w:val="202"/>
      </w:pPr>
      <w:r>
        <w:rPr>
          <w:rFonts w:hint="eastAsia"/>
        </w:rPr>
        <w:t>启用“工作台应用主页”，填入https://open.weixin.qq.com/connect/oauth2/authorize?appid=ww84b3066845e835b6&amp;redirect_uri=http://lgtest.com:8000/wxwork_auth.php?action=miniprogram_wxcode&amp;response_type=code&amp;scope=snsapi_base&amp;state=qywechat-#wechat_redirect。</w:t>
      </w:r>
    </w:p>
    <w:p w14:paraId="646D9AB1">
      <w:pPr>
        <w:rPr>
          <w:lang w:eastAsia="en-US"/>
        </w:rPr>
      </w:pPr>
      <w:r>
        <w:rPr>
          <w:rFonts w:hint="eastAsia"/>
          <w:lang w:eastAsia="en-US"/>
        </w:rPr>
        <w:t>其中app</w:t>
      </w:r>
      <w:r>
        <w:rPr>
          <w:rStyle w:val="286"/>
          <w:rFonts w:hint="eastAsia"/>
        </w:rPr>
        <w:t>i</w:t>
      </w:r>
      <w:r>
        <w:rPr>
          <w:rFonts w:hint="eastAsia"/>
          <w:lang w:eastAsia="en-US"/>
        </w:rPr>
        <w:t>d替换为步骤2获取的AppID（即企业ID），direct_uri替换为回调地址。</w:t>
      </w:r>
    </w:p>
    <w:p w14:paraId="5BD475BB">
      <w:pPr>
        <w:pStyle w:val="6"/>
      </w:pPr>
      <w:r>
        <w:rPr>
          <w:rFonts w:hint="eastAsia"/>
        </w:rPr>
        <w:t>配置企业微信认证</w:t>
      </w:r>
    </w:p>
    <w:p w14:paraId="00B56353">
      <w:r>
        <w:rPr>
          <w:rFonts w:hint="eastAsia"/>
        </w:rPr>
        <w:t>点击导航栏的“用户管理 &gt; 认证管理 &gt; 认证方式 &gt;企业微信认证”，进入企业微信认证的配置页面，如</w:t>
      </w:r>
      <w:r>
        <w:t>下图</w:t>
      </w:r>
      <w:r>
        <w:rPr>
          <w:rFonts w:hint="eastAsia"/>
        </w:rPr>
        <w:t>所示。</w:t>
      </w:r>
    </w:p>
    <w:p w14:paraId="49B01934">
      <w:pPr>
        <w:pStyle w:val="188"/>
      </w:pPr>
      <w:bookmarkStart w:id="8659" w:name="_Toc141874848"/>
      <w:r>
        <w:rPr>
          <w:rFonts w:hint="eastAsia"/>
        </w:rPr>
        <w:t>企业微信认证配置页面</w:t>
      </w:r>
      <w:bookmarkEnd w:id="8659"/>
    </w:p>
    <w:p w14:paraId="03C3C69F">
      <w:r>
        <w:drawing>
          <wp:inline distT="0" distB="0" distL="0" distR="0">
            <wp:extent cx="5525135" cy="378079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063"/>
                    <a:stretch>
                      <a:fillRect/>
                    </a:stretch>
                  </pic:blipFill>
                  <pic:spPr>
                    <a:xfrm>
                      <a:off x="0" y="0"/>
                      <a:ext cx="5529401" cy="3784179"/>
                    </a:xfrm>
                    <a:prstGeom prst="rect">
                      <a:avLst/>
                    </a:prstGeom>
                  </pic:spPr>
                </pic:pic>
              </a:graphicData>
            </a:graphic>
          </wp:inline>
        </w:drawing>
      </w:r>
    </w:p>
    <w:p w14:paraId="08A781D4"/>
    <w:p w14:paraId="1D2C611C">
      <w:r>
        <w:rPr>
          <w:rFonts w:hint="eastAsia"/>
        </w:rPr>
        <w:t>企业微信认证配置页面详细说明</w:t>
      </w:r>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506"/>
        <w:gridCol w:w="7508"/>
      </w:tblGrid>
      <w:tr w14:paraId="68E3E6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506" w:type="dxa"/>
            <w:tcBorders>
              <w:tl2br w:val="nil"/>
              <w:tr2bl w:val="nil"/>
            </w:tcBorders>
            <w:shd w:val="clear" w:color="auto" w:fill="538135" w:themeFill="accent6" w:themeFillShade="BF"/>
            <w:vAlign w:val="center"/>
          </w:tcPr>
          <w:p w14:paraId="4A962066">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7508" w:type="dxa"/>
            <w:tcBorders>
              <w:tl2br w:val="nil"/>
              <w:tr2bl w:val="nil"/>
            </w:tcBorders>
            <w:shd w:val="clear" w:color="auto" w:fill="538135" w:themeFill="accent6" w:themeFillShade="BF"/>
            <w:vAlign w:val="center"/>
          </w:tcPr>
          <w:p w14:paraId="7C65CFDA">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0EA83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506" w:type="dxa"/>
            <w:shd w:val="clear" w:color="auto" w:fill="auto"/>
          </w:tcPr>
          <w:p w14:paraId="0A0E32D6">
            <w:pPr>
              <w:pStyle w:val="150"/>
            </w:pPr>
            <w:r>
              <w:rPr>
                <w:rFonts w:hint="eastAsia"/>
              </w:rPr>
              <w:t>启用</w:t>
            </w:r>
          </w:p>
        </w:tc>
        <w:tc>
          <w:tcPr>
            <w:tcW w:w="7508" w:type="dxa"/>
            <w:shd w:val="clear" w:color="auto" w:fill="auto"/>
          </w:tcPr>
          <w:p w14:paraId="5DC10505">
            <w:pPr>
              <w:pStyle w:val="150"/>
            </w:pPr>
            <w:r>
              <w:rPr>
                <w:rFonts w:hint="eastAsia"/>
              </w:rPr>
              <w:t>勾选复选框启用企业微信认证功能。</w:t>
            </w:r>
          </w:p>
        </w:tc>
      </w:tr>
      <w:tr w14:paraId="16EBF3C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506" w:type="dxa"/>
            <w:shd w:val="clear" w:color="auto" w:fill="auto"/>
          </w:tcPr>
          <w:p w14:paraId="4FBF1606">
            <w:pPr>
              <w:pStyle w:val="150"/>
            </w:pPr>
            <w:r>
              <w:rPr>
                <w:rFonts w:hint="eastAsia"/>
              </w:rPr>
              <w:t>超时时间</w:t>
            </w:r>
          </w:p>
        </w:tc>
        <w:tc>
          <w:tcPr>
            <w:tcW w:w="7508" w:type="dxa"/>
            <w:shd w:val="clear" w:color="auto" w:fill="auto"/>
          </w:tcPr>
          <w:p w14:paraId="70BCD2B2">
            <w:pPr>
              <w:pStyle w:val="150"/>
            </w:pPr>
            <w:r>
              <w:rPr>
                <w:rFonts w:hint="eastAsia"/>
              </w:rPr>
              <w:t>设置企业微信认证的超时时间。如果在该时间段内无任何来自客户端的流量，用户将会被强制下线。</w:t>
            </w:r>
          </w:p>
        </w:tc>
      </w:tr>
      <w:tr w14:paraId="57F4798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506" w:type="dxa"/>
            <w:shd w:val="clear" w:color="auto" w:fill="auto"/>
          </w:tcPr>
          <w:p w14:paraId="74F499C5">
            <w:pPr>
              <w:pStyle w:val="150"/>
            </w:pPr>
            <w:r>
              <w:rPr>
                <w:rFonts w:hint="eastAsia"/>
              </w:rPr>
              <w:t>强制重登录间隔</w:t>
            </w:r>
          </w:p>
        </w:tc>
        <w:tc>
          <w:tcPr>
            <w:tcW w:w="7508" w:type="dxa"/>
            <w:shd w:val="clear" w:color="auto" w:fill="auto"/>
          </w:tcPr>
          <w:p w14:paraId="66BC1167">
            <w:pPr>
              <w:pStyle w:val="150"/>
            </w:pPr>
            <w:r>
              <w:rPr>
                <w:rFonts w:hint="eastAsia"/>
              </w:rPr>
              <w:t>设置企业微信认证的用户强制重登录时间，用户认证上线后，从用户登录时间开始，超时后，不管用户是否在线，系统都会将该用户强制下线。</w:t>
            </w:r>
          </w:p>
        </w:tc>
      </w:tr>
      <w:tr w14:paraId="12A33B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506" w:type="dxa"/>
            <w:shd w:val="clear" w:color="auto" w:fill="auto"/>
          </w:tcPr>
          <w:p w14:paraId="58E80DF5">
            <w:pPr>
              <w:pStyle w:val="150"/>
            </w:pPr>
            <w:r>
              <w:rPr>
                <w:rFonts w:hint="eastAsia"/>
              </w:rPr>
              <w:t>页面跳转设置</w:t>
            </w:r>
          </w:p>
        </w:tc>
        <w:tc>
          <w:tcPr>
            <w:tcW w:w="7508" w:type="dxa"/>
            <w:shd w:val="clear" w:color="auto" w:fill="auto"/>
          </w:tcPr>
          <w:p w14:paraId="596C53E2">
            <w:pPr>
              <w:pStyle w:val="150"/>
            </w:pPr>
            <w:r>
              <w:rPr>
                <w:rFonts w:hint="eastAsia"/>
              </w:rPr>
              <w:t>认证成功后继续访问的页面。</w:t>
            </w:r>
          </w:p>
          <w:p w14:paraId="2BDAE3D0">
            <w:pPr>
              <w:pStyle w:val="150"/>
            </w:pPr>
            <w:r>
              <w:rPr>
                <w:rFonts w:hint="eastAsia"/>
              </w:rPr>
              <w:t>之前访问的页面：用户认证前访问的页面。</w:t>
            </w:r>
          </w:p>
          <w:p w14:paraId="07626CD2">
            <w:pPr>
              <w:pStyle w:val="150"/>
            </w:pPr>
            <w:r>
              <w:rPr>
                <w:rFonts w:hint="eastAsia"/>
              </w:rPr>
              <w:t>重定向URL：自定义的重定向URL。</w:t>
            </w:r>
          </w:p>
          <w:p w14:paraId="65F567FD">
            <w:pPr>
              <w:pStyle w:val="150"/>
            </w:pPr>
            <w:r>
              <w:rPr>
                <w:rFonts w:hint="eastAsia"/>
              </w:rPr>
              <w:t>认证结果页面。</w:t>
            </w:r>
          </w:p>
        </w:tc>
      </w:tr>
      <w:tr w14:paraId="352918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506" w:type="dxa"/>
            <w:shd w:val="clear" w:color="auto" w:fill="auto"/>
          </w:tcPr>
          <w:p w14:paraId="1B2DF770">
            <w:pPr>
              <w:pStyle w:val="150"/>
            </w:pPr>
            <w:r>
              <w:rPr>
                <w:rFonts w:hint="eastAsia"/>
              </w:rPr>
              <w:t>接口参数配置</w:t>
            </w:r>
          </w:p>
        </w:tc>
        <w:tc>
          <w:tcPr>
            <w:tcW w:w="7508" w:type="dxa"/>
            <w:shd w:val="clear" w:color="auto" w:fill="auto"/>
          </w:tcPr>
          <w:p w14:paraId="4D7A5309">
            <w:pPr>
              <w:pStyle w:val="150"/>
            </w:pPr>
            <w:r>
              <w:rPr>
                <w:rFonts w:hint="eastAsia"/>
              </w:rPr>
              <w:t>点击&lt;配置指导&gt;，根据指导信息配置接口参数。接口参数需要与企业微信管理后台保持一致。</w:t>
            </w:r>
          </w:p>
          <w:p w14:paraId="68D067D1">
            <w:pPr>
              <w:pStyle w:val="150"/>
            </w:pPr>
            <w:r>
              <w:rPr>
                <w:rFonts w:hint="eastAsia"/>
              </w:rPr>
              <w:t>回调地址：为管理IP地址+指定端口，只支持HTTP。</w:t>
            </w:r>
          </w:p>
          <w:p w14:paraId="1E2BBE2E">
            <w:pPr>
              <w:pStyle w:val="150"/>
            </w:pPr>
            <w:r>
              <w:rPr>
                <w:rFonts w:hint="eastAsia"/>
              </w:rPr>
              <w:t>AppID：填入在企业微信管理后台配置的企业ID。</w:t>
            </w:r>
          </w:p>
          <w:p w14:paraId="0F2BAADA">
            <w:pPr>
              <w:pStyle w:val="150"/>
            </w:pPr>
            <w:r>
              <w:rPr>
                <w:rFonts w:hint="eastAsia"/>
              </w:rPr>
              <w:t>AppSecret：填入在企业微信管理后台获取的Secret。</w:t>
            </w:r>
          </w:p>
          <w:p w14:paraId="19463342">
            <w:pPr>
              <w:pStyle w:val="150"/>
            </w:pPr>
            <w:r>
              <w:rPr>
                <w:rFonts w:hint="eastAsia"/>
              </w:rPr>
              <w:t>AgentId：填入在企业微信管理后台获取的AgentId。</w:t>
            </w:r>
          </w:p>
        </w:tc>
      </w:tr>
      <w:tr w14:paraId="710AD2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506" w:type="dxa"/>
            <w:shd w:val="clear" w:color="auto" w:fill="auto"/>
          </w:tcPr>
          <w:p w14:paraId="048DC4CF">
            <w:pPr>
              <w:pStyle w:val="150"/>
            </w:pPr>
            <w:r>
              <w:rPr>
                <w:rFonts w:hint="eastAsia"/>
              </w:rPr>
              <w:t>自动获取所属组</w:t>
            </w:r>
          </w:p>
        </w:tc>
        <w:tc>
          <w:tcPr>
            <w:tcW w:w="7508" w:type="dxa"/>
            <w:shd w:val="clear" w:color="auto" w:fill="auto"/>
          </w:tcPr>
          <w:p w14:paraId="4DC3F13F">
            <w:pPr>
              <w:pStyle w:val="150"/>
            </w:pPr>
            <w:r>
              <w:rPr>
                <w:rFonts w:hint="eastAsia"/>
              </w:rPr>
              <w:t>勾选复选框，自动获取用户所属的用户组。</w:t>
            </w:r>
          </w:p>
        </w:tc>
      </w:tr>
      <w:tr w14:paraId="29FB343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506" w:type="dxa"/>
            <w:shd w:val="clear" w:color="auto" w:fill="auto"/>
          </w:tcPr>
          <w:p w14:paraId="473F5509">
            <w:pPr>
              <w:pStyle w:val="150"/>
            </w:pPr>
            <w:r>
              <w:rPr>
                <w:rFonts w:hint="eastAsia"/>
              </w:rPr>
              <w:t>路径</w:t>
            </w:r>
          </w:p>
        </w:tc>
        <w:tc>
          <w:tcPr>
            <w:tcW w:w="7508" w:type="dxa"/>
            <w:shd w:val="clear" w:color="auto" w:fill="auto"/>
          </w:tcPr>
          <w:p w14:paraId="63AE1F7F">
            <w:pPr>
              <w:pStyle w:val="150"/>
            </w:pPr>
            <w:r>
              <w:rPr>
                <w:rFonts w:hint="eastAsia"/>
              </w:rPr>
              <w:t>设置获取到的用户所属组信息在本地指定路径下创建用户组，并将用户录入到该组下。</w:t>
            </w:r>
          </w:p>
        </w:tc>
      </w:tr>
    </w:tbl>
    <w:p w14:paraId="58617B4D"/>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07E7207E">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7D63D6D8">
            <w:pPr>
              <w:pStyle w:val="150"/>
              <w:adjustRightInd w:val="0"/>
              <w:snapToGrid w:val="0"/>
              <w:rPr>
                <w:color w:val="auto"/>
              </w:rPr>
            </w:pPr>
            <w:bookmarkStart w:id="8660" w:name="OLE_LINK39"/>
            <w:r>
              <w:rPr>
                <w:b/>
                <w:color w:val="auto"/>
              </w:rPr>
              <w:drawing>
                <wp:inline distT="0" distB="0" distL="0" distR="0">
                  <wp:extent cx="283210" cy="283210"/>
                  <wp:effectExtent l="0" t="0" r="2540" b="2540"/>
                  <wp:docPr id="931" name="图片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图片 93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670C6BA7">
            <w:pPr>
              <w:pStyle w:val="207"/>
              <w:adjustRightInd w:val="0"/>
              <w:snapToGrid w:val="0"/>
              <w:rPr>
                <w:color w:val="auto"/>
                <w:lang w:eastAsia="zh-CN"/>
              </w:rPr>
            </w:pPr>
            <w:r>
              <w:rPr>
                <w:rFonts w:hint="eastAsia"/>
                <w:color w:val="auto"/>
                <w:lang w:eastAsia="zh-CN"/>
              </w:rPr>
              <w:t>由于需要与第三方平台（服务器）进行交互，所以必须确保设备可以访问外网。</w:t>
            </w:r>
          </w:p>
          <w:p w14:paraId="628AD323">
            <w:pPr>
              <w:pStyle w:val="207"/>
              <w:adjustRightInd w:val="0"/>
              <w:snapToGrid w:val="0"/>
              <w:rPr>
                <w:color w:val="auto"/>
                <w:lang w:eastAsia="zh-CN"/>
              </w:rPr>
            </w:pPr>
            <w:r>
              <w:rPr>
                <w:rFonts w:hint="eastAsia"/>
                <w:color w:val="auto"/>
                <w:lang w:eastAsia="zh-CN"/>
              </w:rPr>
              <w:t>需要配置DNS服务器，用以域名解析。</w:t>
            </w:r>
          </w:p>
          <w:p w14:paraId="02D2CE05">
            <w:pPr>
              <w:pStyle w:val="207"/>
              <w:adjustRightInd w:val="0"/>
              <w:snapToGrid w:val="0"/>
              <w:rPr>
                <w:color w:val="auto"/>
                <w:lang w:eastAsia="zh-CN"/>
              </w:rPr>
            </w:pPr>
            <w:r>
              <w:rPr>
                <w:rFonts w:hint="eastAsia"/>
                <w:color w:val="auto"/>
                <w:lang w:eastAsia="zh-CN"/>
              </w:rPr>
              <w:t>使用前请先到第三方平台（服务器）进行注册并获取对接参数相关信息。</w:t>
            </w:r>
          </w:p>
          <w:p w14:paraId="7A361596">
            <w:pPr>
              <w:pStyle w:val="207"/>
              <w:adjustRightInd w:val="0"/>
              <w:snapToGrid w:val="0"/>
              <w:rPr>
                <w:color w:val="auto"/>
                <w:lang w:eastAsia="zh-CN"/>
              </w:rPr>
            </w:pPr>
            <w:r>
              <w:rPr>
                <w:rFonts w:hint="eastAsia"/>
                <w:color w:val="auto"/>
                <w:lang w:eastAsia="zh-CN"/>
              </w:rPr>
              <w:t>因为流量放通时间默认是1分钟，所以需要认证用户在1分钟内完成扫码认证。</w:t>
            </w:r>
          </w:p>
        </w:tc>
      </w:tr>
      <w:bookmarkEnd w:id="8660"/>
    </w:tbl>
    <w:p w14:paraId="0D50B7C0"/>
    <w:p w14:paraId="2EC42E9D">
      <w:pPr>
        <w:pStyle w:val="6"/>
      </w:pPr>
      <w:r>
        <w:rPr>
          <w:rFonts w:hint="eastAsia"/>
        </w:rPr>
        <w:t>配置认证策略</w:t>
      </w:r>
    </w:p>
    <w:p w14:paraId="373CF741">
      <w:r>
        <w:rPr>
          <w:rFonts w:hint="eastAsia"/>
        </w:rPr>
        <w:t>在导航栏中选择“用户管理&gt;认证管理&gt;认证策略”，单击新建进入认证策略配置页面，启用认证策略，认证方式选择“企业微信认证”，详细配置请参考</w:t>
      </w:r>
      <w:r>
        <w:fldChar w:fldCharType="begin"/>
      </w:r>
      <w:r>
        <w:instrText xml:space="preserve"> </w:instrText>
      </w:r>
      <w:r>
        <w:rPr>
          <w:rFonts w:hint="eastAsia"/>
        </w:rPr>
        <w:instrText xml:space="preserve">REF _Ref393124501 \h</w:instrText>
      </w:r>
      <w:r>
        <w:instrText xml:space="preserve">  \* MERGEFORMAT </w:instrText>
      </w:r>
      <w:r>
        <w:fldChar w:fldCharType="separate"/>
      </w:r>
      <w:r>
        <w:rPr>
          <w:rFonts w:hint="eastAsia"/>
        </w:rPr>
        <w:t>认证</w:t>
      </w:r>
      <w:r>
        <w:t>策略</w:t>
      </w:r>
      <w:r>
        <w:fldChar w:fldCharType="end"/>
      </w:r>
      <w:r>
        <w:t>章节</w:t>
      </w:r>
      <w:r>
        <w:rPr>
          <w:rFonts w:hint="eastAsia"/>
        </w:rPr>
        <w:t>。</w:t>
      </w:r>
    </w:p>
    <w:p w14:paraId="38E657A0">
      <w:pPr>
        <w:pStyle w:val="5"/>
      </w:pPr>
      <w:bookmarkStart w:id="8661" w:name="_Toc141873541"/>
      <w:bookmarkStart w:id="8662" w:name="_Toc137560459"/>
      <w:bookmarkStart w:id="8663" w:name="_Toc142401057"/>
      <w:bookmarkStart w:id="8664" w:name="_Toc172218303"/>
      <w:bookmarkStart w:id="8665" w:name="_Toc194081186"/>
      <w:bookmarkStart w:id="8666" w:name="_Toc196728514"/>
      <w:r>
        <w:t>CAS认证</w:t>
      </w:r>
      <w:bookmarkEnd w:id="8661"/>
      <w:bookmarkEnd w:id="8662"/>
      <w:bookmarkEnd w:id="8663"/>
      <w:bookmarkEnd w:id="8664"/>
      <w:bookmarkEnd w:id="8665"/>
      <w:bookmarkEnd w:id="8666"/>
    </w:p>
    <w:p w14:paraId="77BC54E3">
      <w:r>
        <w:rPr>
          <w:rFonts w:hint="eastAsia"/>
        </w:rPr>
        <w:t>CAS（Central Authentication Service）是一种单点登录协议，允许一个用户访问多个应用程序，而只需向认证服务器提供一次凭证（如用户名和密码），避免重复登录认证，同时降低用户名和密码信息泄露的风险。</w:t>
      </w:r>
    </w:p>
    <w:p w14:paraId="0F117869">
      <w:r>
        <w:t>有些企业在内部网络中部署有CAS认证服务器</w:t>
      </w:r>
      <w:r>
        <w:rPr>
          <w:rFonts w:hint="eastAsia"/>
        </w:rPr>
        <w:t>，</w:t>
      </w:r>
      <w:r>
        <w:t>使用统一身份认证平台</w:t>
      </w:r>
      <w:r>
        <w:rPr>
          <w:rFonts w:hint="eastAsia"/>
        </w:rPr>
        <w:t>，</w:t>
      </w:r>
      <w:r>
        <w:t>实现对用户的统一认证</w:t>
      </w:r>
      <w:r>
        <w:rPr>
          <w:rFonts w:hint="eastAsia"/>
        </w:rPr>
        <w:t>，</w:t>
      </w:r>
      <w:r>
        <w:t>用户只需一次登录即可访问多个应用程序</w:t>
      </w:r>
      <w:r>
        <w:rPr>
          <w:rFonts w:hint="eastAsia"/>
        </w:rPr>
        <w:t>，</w:t>
      </w:r>
      <w:r>
        <w:t>提供工作效率和安全性</w:t>
      </w:r>
      <w:r>
        <w:rPr>
          <w:rFonts w:hint="eastAsia"/>
        </w:rPr>
        <w:t>。</w:t>
      </w:r>
    </w:p>
    <w:p w14:paraId="2C451602">
      <w:r>
        <w:rPr>
          <w:rFonts w:hint="eastAsia"/>
        </w:rPr>
        <w:t>设备支持CAS认证方式，将用户的用户名和密码信息通过CAS认证服务器进行验证，根据CAS认证服务器返回的认证结果，实现用户的认证。</w:t>
      </w:r>
    </w:p>
    <w:p w14:paraId="716A179A">
      <w:r>
        <w:t>认证的流程如下：</w:t>
      </w:r>
    </w:p>
    <w:p w14:paraId="0E1856B9">
      <w:pPr>
        <w:pStyle w:val="202"/>
        <w:rPr>
          <w:lang w:eastAsia="zh-CN"/>
        </w:rPr>
      </w:pPr>
      <w:r>
        <w:rPr>
          <w:rFonts w:hint="eastAsia"/>
          <w:lang w:eastAsia="zh-CN"/>
        </w:rPr>
        <w:t>终端用户访问外部网络资源；</w:t>
      </w:r>
    </w:p>
    <w:p w14:paraId="56C3C0B6">
      <w:pPr>
        <w:pStyle w:val="202"/>
        <w:rPr>
          <w:lang w:eastAsia="zh-CN"/>
        </w:rPr>
      </w:pPr>
      <w:r>
        <w:rPr>
          <w:rFonts w:hint="eastAsia"/>
          <w:lang w:eastAsia="zh-CN"/>
        </w:rPr>
        <w:t>设备对用户访问外网的流量进行劫持，重定向到CAS服务器的登录页面；</w:t>
      </w:r>
    </w:p>
    <w:p w14:paraId="2EC4E73A">
      <w:pPr>
        <w:pStyle w:val="202"/>
        <w:rPr>
          <w:lang w:eastAsia="zh-CN"/>
        </w:rPr>
      </w:pPr>
      <w:r>
        <w:rPr>
          <w:rFonts w:hint="eastAsia"/>
          <w:lang w:eastAsia="zh-CN"/>
        </w:rPr>
        <w:t>用户输入登录信息，通过CAS服务器进行认证。</w:t>
      </w:r>
    </w:p>
    <w:p w14:paraId="52E75F21">
      <w:pPr>
        <w:pStyle w:val="202"/>
        <w:rPr>
          <w:lang w:eastAsia="zh-CN"/>
        </w:rPr>
      </w:pPr>
      <w:r>
        <w:rPr>
          <w:rFonts w:hint="eastAsia"/>
          <w:lang w:eastAsia="zh-CN"/>
        </w:rPr>
        <w:t>CAS服务器将认证结果返回给设备；</w:t>
      </w:r>
    </w:p>
    <w:p w14:paraId="113964A2">
      <w:pPr>
        <w:pStyle w:val="202"/>
        <w:rPr>
          <w:lang w:eastAsia="zh-CN"/>
        </w:rPr>
      </w:pPr>
      <w:r>
        <w:rPr>
          <w:rFonts w:hint="eastAsia"/>
          <w:lang w:eastAsia="zh-CN"/>
        </w:rPr>
        <w:t>设备对用户进行验证，通过后对用户流量进行放行；否则，用户认证失败。</w:t>
      </w:r>
    </w:p>
    <w:p w14:paraId="61D6670D">
      <w:pPr>
        <w:pStyle w:val="6"/>
      </w:pPr>
      <w:bookmarkStart w:id="8667" w:name="_Toc123824732"/>
      <w:r>
        <w:rPr>
          <w:rFonts w:hint="eastAsia"/>
        </w:rPr>
        <w:t>配置CAS服务器管理后台</w:t>
      </w:r>
      <w:bookmarkEnd w:id="8667"/>
    </w:p>
    <w:p w14:paraId="793C5382">
      <w:pPr>
        <w:pStyle w:val="202"/>
        <w:rPr>
          <w:lang w:eastAsia="zh-CN"/>
        </w:rPr>
      </w:pPr>
      <w:r>
        <w:rPr>
          <w:rFonts w:hint="eastAsia"/>
          <w:lang w:eastAsia="zh-CN"/>
        </w:rPr>
        <w:t>登录CAS服务器管理后台。</w:t>
      </w:r>
    </w:p>
    <w:p w14:paraId="1A5C90C0">
      <w:pPr>
        <w:pStyle w:val="202"/>
        <w:rPr>
          <w:lang w:eastAsia="zh-CN"/>
        </w:rPr>
      </w:pPr>
      <w:r>
        <w:rPr>
          <w:rFonts w:hint="eastAsia"/>
          <w:lang w:eastAsia="zh-CN"/>
        </w:rPr>
        <w:t>添加CAS的访问服务。</w:t>
      </w:r>
    </w:p>
    <w:p w14:paraId="6C29C63A">
      <w:pPr>
        <w:pStyle w:val="202"/>
      </w:pPr>
      <w:r>
        <w:rPr>
          <w:rFonts w:hint="eastAsia"/>
          <w:lang w:eastAsia="zh-CN"/>
        </w:rPr>
        <w:t>接入类型配置“CAS”，回调地址是PC访问网站后重定向页面（即设备的认证portal页面地址）。</w:t>
      </w:r>
      <w:r>
        <w:rPr>
          <w:rFonts w:hint="eastAsia"/>
        </w:rPr>
        <w:t>配置如下：</w:t>
      </w:r>
    </w:p>
    <w:p w14:paraId="19A68CEB">
      <w:pPr>
        <w:pStyle w:val="162"/>
      </w:pPr>
      <w:r>
        <w:rPr>
          <w:rFonts w:hint="eastAsia"/>
        </w:rPr>
        <w:t>CAS认证回调地址：</w:t>
      </w:r>
      <w:r>
        <w:t>HTTP:// $</w:t>
      </w:r>
      <w:r>
        <w:rPr>
          <w:rFonts w:hint="eastAsia"/>
        </w:rPr>
        <w:t>{</w:t>
      </w:r>
      <w:r>
        <w:t xml:space="preserve"> ip</w:t>
      </w:r>
      <w:r>
        <w:rPr>
          <w:rFonts w:hint="eastAsia"/>
        </w:rPr>
        <w:t>addr }</w:t>
      </w:r>
      <w:r>
        <w:t>:8000/portal/cas/index.html</w:t>
      </w:r>
    </w:p>
    <w:p w14:paraId="2578D1F0">
      <w:pPr>
        <w:pStyle w:val="162"/>
      </w:pPr>
      <w:r>
        <w:t>混合认证</w:t>
      </w:r>
      <w:r>
        <w:rPr>
          <w:rFonts w:hint="eastAsia"/>
        </w:rPr>
        <w:t>-CAS认证回调地址：</w:t>
      </w:r>
      <w:r>
        <w:t>HTTP:// $</w:t>
      </w:r>
      <w:r>
        <w:rPr>
          <w:rFonts w:hint="eastAsia"/>
        </w:rPr>
        <w:t>{</w:t>
      </w:r>
      <w:r>
        <w:t xml:space="preserve"> ip</w:t>
      </w:r>
      <w:r>
        <w:rPr>
          <w:rFonts w:hint="eastAsia"/>
        </w:rPr>
        <w:t>addr }</w:t>
      </w:r>
      <w:r>
        <w:t>:8000/portal/adv/cas_index.html</w:t>
      </w:r>
    </w:p>
    <w:p w14:paraId="271AB15E">
      <w:pPr>
        <w:pStyle w:val="162"/>
      </w:pPr>
      <w:r>
        <w:t>其中ipaddr</w:t>
      </w:r>
      <w:r>
        <w:rPr>
          <w:rFonts w:hint="eastAsia"/>
        </w:rPr>
        <w:t>是设备推送认证页面的接口地址。</w:t>
      </w:r>
    </w:p>
    <w:p w14:paraId="46131A12">
      <w:pPr>
        <w:spacing w:before="120" w:after="120"/>
      </w:pPr>
    </w:p>
    <w:p w14:paraId="65DC03D9">
      <w:pPr>
        <w:pStyle w:val="193"/>
      </w:pPr>
      <w:r>
        <w:rPr>
          <w:lang w:eastAsia="zh-CN"/>
        </w:rPr>
        <w:drawing>
          <wp:inline distT="0" distB="0" distL="0" distR="0">
            <wp:extent cx="590550" cy="238125"/>
            <wp:effectExtent l="19050" t="0" r="0" b="0"/>
            <wp:docPr id="4983" name="图片 4983"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3" name="图片 4983" descr="说明"/>
                    <pic:cNvPicPr>
                      <a:picLocks noChangeAspect="1" noChangeArrowheads="1"/>
                    </pic:cNvPicPr>
                  </pic:nvPicPr>
                  <pic:blipFill>
                    <a:blip r:embed="rId92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14:paraId="448C7778">
      <w:pPr>
        <w:pStyle w:val="194"/>
        <w:rPr>
          <w:lang w:eastAsia="zh-CN"/>
        </w:rPr>
      </w:pPr>
      <w:r>
        <w:rPr>
          <w:rFonts w:hint="eastAsia"/>
          <w:lang w:eastAsia="zh-CN"/>
        </w:rPr>
        <w:t>不同的CA服务器配置会有差异，请根据实际使用的服务器进行配置。</w:t>
      </w:r>
    </w:p>
    <w:p w14:paraId="5BD0160D">
      <w:pPr>
        <w:spacing w:before="80" w:after="80"/>
      </w:pPr>
    </w:p>
    <w:p w14:paraId="58EADA4C">
      <w:pPr>
        <w:pStyle w:val="6"/>
      </w:pPr>
      <w:bookmarkStart w:id="8668" w:name="_Toc123824733"/>
      <w:r>
        <w:rPr>
          <w:rFonts w:hint="eastAsia"/>
        </w:rPr>
        <w:t>在设备端配置CAS服务器</w:t>
      </w:r>
      <w:bookmarkEnd w:id="8668"/>
    </w:p>
    <w:p w14:paraId="44C56CD3">
      <w:r>
        <w:rPr>
          <w:rFonts w:hint="eastAsia"/>
        </w:rPr>
        <w:t>在导航栏中选择“用户管理&gt;认证管理&gt;认证服务器”，进入认证服务器页面，点击&lt;新建&gt;按钮，选择“CAS服务器”，进入CAS服务器配置页面。详细配置请参见</w:t>
      </w:r>
      <w:r>
        <w:fldChar w:fldCharType="begin"/>
      </w:r>
      <w:r>
        <w:instrText xml:space="preserve"> </w:instrText>
      </w:r>
      <w:r>
        <w:rPr>
          <w:rFonts w:hint="eastAsia"/>
        </w:rPr>
        <w:instrText xml:space="preserve">REF _Ref135409429 \h</w:instrText>
      </w:r>
      <w:r>
        <w:instrText xml:space="preserve"> </w:instrText>
      </w:r>
      <w:r>
        <w:fldChar w:fldCharType="separate"/>
      </w:r>
      <w:r>
        <w:rPr>
          <w:rFonts w:hint="eastAsia"/>
        </w:rPr>
        <w:t>配置CAS服务器</w:t>
      </w:r>
      <w:r>
        <w:fldChar w:fldCharType="end"/>
      </w:r>
      <w:r>
        <w:t>章节</w:t>
      </w:r>
      <w:r>
        <w:rPr>
          <w:rFonts w:hint="eastAsia"/>
        </w:rPr>
        <w:t>。</w:t>
      </w:r>
    </w:p>
    <w:p w14:paraId="64ECC4F9">
      <w:pPr>
        <w:pStyle w:val="6"/>
      </w:pPr>
      <w:bookmarkStart w:id="8669" w:name="_Toc123824734"/>
      <w:r>
        <w:rPr>
          <w:rFonts w:hint="eastAsia"/>
        </w:rPr>
        <w:t>配置CAS认证</w:t>
      </w:r>
      <w:bookmarkEnd w:id="8669"/>
    </w:p>
    <w:p w14:paraId="6A4D7AFE">
      <w:r>
        <w:rPr>
          <w:rFonts w:hint="eastAsia"/>
        </w:rPr>
        <w:t>在导航栏中选择“用户管理&gt;认证管理&gt;认证方式&gt;CAS认证”，进入CAS认证配置页面，如下图所示。</w:t>
      </w:r>
    </w:p>
    <w:p w14:paraId="397449C0">
      <w:pPr>
        <w:pStyle w:val="188"/>
      </w:pPr>
      <w:bookmarkStart w:id="8670" w:name="_Toc141874849"/>
      <w:r>
        <w:rPr>
          <w:rFonts w:hint="eastAsia"/>
        </w:rPr>
        <w:t>CAS认证配置页面</w:t>
      </w:r>
      <w:bookmarkEnd w:id="8670"/>
    </w:p>
    <w:p w14:paraId="3D3E1EAC">
      <w:pPr>
        <w:spacing w:before="79" w:after="79"/>
      </w:pPr>
      <w:r>
        <w:drawing>
          <wp:inline distT="0" distB="0" distL="0" distR="0">
            <wp:extent cx="5400040" cy="2499995"/>
            <wp:effectExtent l="0" t="0" r="0"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pic:cNvPicPr>
                      <a:picLocks noChangeAspect="1"/>
                    </pic:cNvPicPr>
                  </pic:nvPicPr>
                  <pic:blipFill>
                    <a:blip r:embed="rId1064"/>
                    <a:stretch>
                      <a:fillRect/>
                    </a:stretch>
                  </pic:blipFill>
                  <pic:spPr>
                    <a:xfrm>
                      <a:off x="0" y="0"/>
                      <a:ext cx="5400040" cy="2500558"/>
                    </a:xfrm>
                    <a:prstGeom prst="rect">
                      <a:avLst/>
                    </a:prstGeom>
                  </pic:spPr>
                </pic:pic>
              </a:graphicData>
            </a:graphic>
          </wp:inline>
        </w:drawing>
      </w:r>
    </w:p>
    <w:p w14:paraId="132B70BF"/>
    <w:p w14:paraId="04911513">
      <w:pPr>
        <w:pStyle w:val="183"/>
      </w:pPr>
      <w:bookmarkStart w:id="8671" w:name="_Toc141875580"/>
      <w:r>
        <w:rPr>
          <w:rFonts w:hint="eastAsia"/>
        </w:rPr>
        <w:t>CAS认证配置详细说明</w:t>
      </w:r>
      <w:bookmarkEnd w:id="8671"/>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7"/>
      </w:tblGrid>
      <w:tr w14:paraId="10D613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4CE22A88">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7" w:type="dxa"/>
            <w:tcBorders>
              <w:tl2br w:val="nil"/>
              <w:tr2bl w:val="nil"/>
            </w:tcBorders>
            <w:shd w:val="clear" w:color="auto" w:fill="538135" w:themeFill="accent6" w:themeFillShade="BF"/>
            <w:vAlign w:val="center"/>
          </w:tcPr>
          <w:p w14:paraId="1B8678D4">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DD345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7FAAFEC9">
            <w:pPr>
              <w:pStyle w:val="150"/>
            </w:pPr>
            <w:r>
              <w:rPr>
                <w:rFonts w:hint="eastAsia"/>
              </w:rPr>
              <w:t>认证服务器</w:t>
            </w:r>
          </w:p>
        </w:tc>
        <w:tc>
          <w:tcPr>
            <w:tcW w:w="6817" w:type="dxa"/>
            <w:shd w:val="clear" w:color="auto" w:fill="auto"/>
          </w:tcPr>
          <w:p w14:paraId="5DFD69DE">
            <w:pPr>
              <w:pStyle w:val="150"/>
            </w:pPr>
            <w:r>
              <w:rPr>
                <w:rFonts w:hint="eastAsia"/>
              </w:rPr>
              <w:t>选择创建的CAS服务器。</w:t>
            </w:r>
          </w:p>
        </w:tc>
      </w:tr>
      <w:tr w14:paraId="09CE5A5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D1BA0B9">
            <w:pPr>
              <w:pStyle w:val="150"/>
            </w:pPr>
            <w:r>
              <w:rPr>
                <w:rFonts w:hint="eastAsia"/>
              </w:rPr>
              <w:t>超时时间</w:t>
            </w:r>
          </w:p>
        </w:tc>
        <w:tc>
          <w:tcPr>
            <w:tcW w:w="6817" w:type="dxa"/>
            <w:shd w:val="clear" w:color="auto" w:fill="auto"/>
          </w:tcPr>
          <w:p w14:paraId="77F1942C">
            <w:pPr>
              <w:pStyle w:val="150"/>
              <w:rPr>
                <w:rFonts w:asciiTheme="minorEastAsia" w:hAnsiTheme="minorEastAsia" w:eastAsiaTheme="minorEastAsia"/>
              </w:rPr>
            </w:pPr>
            <w:r>
              <w:rPr>
                <w:rFonts w:hint="eastAsia" w:asciiTheme="minorEastAsia" w:hAnsiTheme="minorEastAsia" w:eastAsiaTheme="minorEastAsia"/>
              </w:rPr>
              <w:t>配置CAS认证用户超时下线时间，</w:t>
            </w:r>
            <w:r>
              <w:rPr>
                <w:rFonts w:hint="eastAsia"/>
              </w:rPr>
              <w:t>如果在该时间段内无任何来自客户端的流量，用户将会被强制下线。</w:t>
            </w:r>
          </w:p>
        </w:tc>
      </w:tr>
      <w:tr w14:paraId="04E3874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C6B927E">
            <w:pPr>
              <w:pStyle w:val="150"/>
            </w:pPr>
            <w:r>
              <w:rPr>
                <w:rFonts w:hint="eastAsia"/>
              </w:rPr>
              <w:t>强制重登录间隔</w:t>
            </w:r>
          </w:p>
        </w:tc>
        <w:tc>
          <w:tcPr>
            <w:tcW w:w="6817" w:type="dxa"/>
            <w:shd w:val="clear" w:color="auto" w:fill="auto"/>
          </w:tcPr>
          <w:p w14:paraId="55DFC709">
            <w:pPr>
              <w:pStyle w:val="150"/>
            </w:pPr>
            <w:r>
              <w:rPr>
                <w:rFonts w:hint="eastAsia"/>
              </w:rPr>
              <w:t>配置CAS认证用户强制重登录时间，从用户登录时间开始，超时后用户将会被强制下线。</w:t>
            </w:r>
          </w:p>
        </w:tc>
      </w:tr>
      <w:tr w14:paraId="7C96CA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27C87A11">
            <w:pPr>
              <w:pStyle w:val="150"/>
            </w:pPr>
            <w:r>
              <w:rPr>
                <w:rFonts w:hint="eastAsia"/>
              </w:rPr>
              <w:t>无感知</w:t>
            </w:r>
          </w:p>
        </w:tc>
        <w:tc>
          <w:tcPr>
            <w:tcW w:w="6817" w:type="dxa"/>
            <w:shd w:val="clear" w:color="auto" w:fill="auto"/>
          </w:tcPr>
          <w:p w14:paraId="50FFB385">
            <w:pPr>
              <w:pStyle w:val="150"/>
            </w:pPr>
            <w:r>
              <w:rPr>
                <w:rFonts w:hint="eastAsia"/>
              </w:rPr>
              <w:t>配置CAS认证用户无感知时间，当认证用户首次认证下线后，在超时时间内再次上网无需认证，可以无感知上线。</w:t>
            </w:r>
          </w:p>
        </w:tc>
      </w:tr>
      <w:tr w14:paraId="7DAAB19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3FF22A93">
            <w:pPr>
              <w:pStyle w:val="150"/>
            </w:pPr>
            <w:r>
              <w:rPr>
                <w:rFonts w:hint="eastAsia"/>
              </w:rPr>
              <w:t>页面跳转设置</w:t>
            </w:r>
          </w:p>
        </w:tc>
        <w:tc>
          <w:tcPr>
            <w:tcW w:w="6817" w:type="dxa"/>
            <w:shd w:val="clear" w:color="auto" w:fill="auto"/>
          </w:tcPr>
          <w:p w14:paraId="48582796">
            <w:pPr>
              <w:pStyle w:val="150"/>
            </w:pPr>
            <w:r>
              <w:rPr>
                <w:rFonts w:hint="eastAsia"/>
              </w:rPr>
              <w:t>配置认证成功后的页面跳转：</w:t>
            </w:r>
          </w:p>
          <w:p w14:paraId="78F38BB1">
            <w:pPr>
              <w:pStyle w:val="150"/>
            </w:pPr>
            <w:r>
              <w:rPr>
                <w:rFonts w:hint="eastAsia"/>
              </w:rPr>
              <w:t>跳转到之前访问的页面；</w:t>
            </w:r>
          </w:p>
          <w:p w14:paraId="3242FC37">
            <w:pPr>
              <w:pStyle w:val="150"/>
            </w:pPr>
            <w:r>
              <w:rPr>
                <w:rFonts w:hint="eastAsia"/>
              </w:rPr>
              <w:t>跳转到指定页面；</w:t>
            </w:r>
          </w:p>
          <w:p w14:paraId="4ED287A5">
            <w:pPr>
              <w:pStyle w:val="150"/>
            </w:pPr>
            <w:r>
              <w:rPr>
                <w:rFonts w:hint="eastAsia"/>
              </w:rPr>
              <w:t>认证成功的页面。</w:t>
            </w:r>
          </w:p>
        </w:tc>
      </w:tr>
    </w:tbl>
    <w:p w14:paraId="186BAFDF"/>
    <w:p w14:paraId="7646B289">
      <w:pPr>
        <w:pStyle w:val="6"/>
      </w:pPr>
      <w:bookmarkStart w:id="8672" w:name="_Toc123824736"/>
      <w:r>
        <w:rPr>
          <w:rFonts w:hint="eastAsia"/>
        </w:rPr>
        <w:t>配置认证策略</w:t>
      </w:r>
      <w:bookmarkEnd w:id="8672"/>
    </w:p>
    <w:p w14:paraId="113C1846">
      <w:r>
        <w:rPr>
          <w:rFonts w:hint="eastAsia"/>
        </w:rPr>
        <w:t>在导航栏中选择“用户管理&gt;认证管理&gt;认证策略”，点击&lt;新建&gt;按钮，进入认证策略配置页面，如下图所示。认证方式选择“CAS认证”，详细配置请参考用户认证策略</w:t>
      </w:r>
      <w:r>
        <w:t>章节</w:t>
      </w:r>
      <w:r>
        <w:rPr>
          <w:rFonts w:hint="eastAsia"/>
        </w:rPr>
        <w:t>。</w:t>
      </w:r>
    </w:p>
    <w:p w14:paraId="497BFB7D">
      <w:pPr>
        <w:pStyle w:val="188"/>
      </w:pPr>
      <w:bookmarkStart w:id="8673" w:name="_Toc141874850"/>
      <w:r>
        <w:rPr>
          <w:rFonts w:hint="eastAsia"/>
        </w:rPr>
        <w:t>认证策略配置页面</w:t>
      </w:r>
      <w:bookmarkEnd w:id="8673"/>
    </w:p>
    <w:p w14:paraId="346BBDE2">
      <w:pPr>
        <w:spacing w:before="79" w:after="79"/>
      </w:pPr>
      <w:r>
        <w:drawing>
          <wp:inline distT="0" distB="0" distL="0" distR="0">
            <wp:extent cx="4581525" cy="6300470"/>
            <wp:effectExtent l="0" t="0" r="0" b="5080"/>
            <wp:docPr id="1802027844" name="图片 1802027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44" name="图片 1802027844"/>
                    <pic:cNvPicPr>
                      <a:picLocks noChangeAspect="1"/>
                    </pic:cNvPicPr>
                  </pic:nvPicPr>
                  <pic:blipFill>
                    <a:blip r:embed="rId1065"/>
                    <a:stretch>
                      <a:fillRect/>
                    </a:stretch>
                  </pic:blipFill>
                  <pic:spPr>
                    <a:xfrm>
                      <a:off x="0" y="0"/>
                      <a:ext cx="4584147" cy="6304277"/>
                    </a:xfrm>
                    <a:prstGeom prst="rect">
                      <a:avLst/>
                    </a:prstGeom>
                  </pic:spPr>
                </pic:pic>
              </a:graphicData>
            </a:graphic>
          </wp:inline>
        </w:drawing>
      </w:r>
    </w:p>
    <w:p w14:paraId="246047EB"/>
    <w:p w14:paraId="1CB3BA6C">
      <w:r>
        <w:t>配置完成后</w:t>
      </w:r>
      <w:r>
        <w:rPr>
          <w:rFonts w:hint="eastAsia"/>
        </w:rPr>
        <w:t>，</w:t>
      </w:r>
      <w:r>
        <w:t>单击</w:t>
      </w:r>
      <w:r>
        <w:rPr>
          <w:rFonts w:hint="eastAsia"/>
        </w:rPr>
        <w:t>“提交”。</w:t>
      </w:r>
    </w:p>
    <w:p w14:paraId="36036F9E">
      <w:pPr>
        <w:pStyle w:val="6"/>
      </w:pPr>
      <w:r>
        <w:rPr>
          <w:rFonts w:hint="eastAsia"/>
        </w:rPr>
        <w:t>配置认证方式白名单</w:t>
      </w:r>
    </w:p>
    <w:p w14:paraId="3CDDC495">
      <w:pPr>
        <w:pStyle w:val="193"/>
      </w:pPr>
      <w:r>
        <w:rPr>
          <w:lang w:eastAsia="zh-CN"/>
        </w:rPr>
        <w:drawing>
          <wp:inline distT="0" distB="0" distL="0" distR="0">
            <wp:extent cx="590550" cy="238125"/>
            <wp:effectExtent l="19050" t="0" r="0" b="0"/>
            <wp:docPr id="1296485325" name="图片 1296485325"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25" name="图片 1296485325" descr="说明"/>
                    <pic:cNvPicPr>
                      <a:picLocks noChangeAspect="1" noChangeArrowheads="1"/>
                    </pic:cNvPicPr>
                  </pic:nvPicPr>
                  <pic:blipFill>
                    <a:blip r:embed="rId92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14:paraId="22CB6D36">
      <w:pPr>
        <w:pStyle w:val="194"/>
        <w:rPr>
          <w:lang w:eastAsia="zh-CN"/>
        </w:rPr>
      </w:pPr>
      <w:r>
        <w:rPr>
          <w:lang w:eastAsia="zh-CN"/>
        </w:rPr>
        <w:t>设备对CAS认证默认放通指定的流量</w:t>
      </w:r>
      <w:r>
        <w:rPr>
          <w:rFonts w:hint="eastAsia"/>
          <w:lang w:eastAsia="zh-CN"/>
        </w:rPr>
        <w:t>，进行</w:t>
      </w:r>
      <w:r>
        <w:rPr>
          <w:lang w:eastAsia="zh-CN"/>
        </w:rPr>
        <w:t>认证时</w:t>
      </w:r>
      <w:r>
        <w:rPr>
          <w:rFonts w:hint="eastAsia"/>
          <w:lang w:eastAsia="zh-CN"/>
        </w:rPr>
        <w:t>，</w:t>
      </w:r>
      <w:r>
        <w:rPr>
          <w:lang w:eastAsia="zh-CN"/>
        </w:rPr>
        <w:t>只对配置的白名单条目进行流量放通</w:t>
      </w:r>
      <w:r>
        <w:rPr>
          <w:rFonts w:hint="eastAsia"/>
          <w:lang w:eastAsia="zh-CN"/>
        </w:rPr>
        <w:t>。配置CAS认证时，需要将CAS服务器的地址添加到CAS认证的自定义白名单中，或者设置设备的放通模式为“放通所有流量”，从而与CAS服务器进行交互。</w:t>
      </w:r>
    </w:p>
    <w:p w14:paraId="7129655D">
      <w:pPr>
        <w:rPr>
          <w:bCs/>
        </w:rPr>
      </w:pPr>
    </w:p>
    <w:p w14:paraId="5C229C31">
      <w:r>
        <w:rPr>
          <w:rFonts w:hint="eastAsia"/>
          <w:bCs/>
        </w:rPr>
        <w:t>选择“</w:t>
      </w:r>
      <w:r>
        <w:rPr>
          <w:rFonts w:hint="eastAsia"/>
        </w:rPr>
        <w:t>用户管理&gt;认证管理</w:t>
      </w:r>
      <w:r>
        <w:t>&gt;</w:t>
      </w:r>
      <w:r>
        <w:rPr>
          <w:rFonts w:hint="eastAsia"/>
        </w:rPr>
        <w:t>高级选项”</w:t>
      </w:r>
      <w:r>
        <w:rPr>
          <w:rFonts w:hint="eastAsia"/>
          <w:bCs/>
        </w:rPr>
        <w:t>，选择</w:t>
      </w:r>
      <w:r>
        <w:rPr>
          <w:rFonts w:hint="eastAsia"/>
        </w:rPr>
        <w:t>认证方式白名单</w:t>
      </w:r>
      <w:r>
        <w:rPr>
          <w:rFonts w:hint="eastAsia"/>
          <w:bCs/>
        </w:rPr>
        <w:t>页签</w:t>
      </w:r>
      <w:r>
        <w:rPr>
          <w:rFonts w:hint="eastAsia"/>
        </w:rPr>
        <w:t>，点击“CAS认证”后面的编辑按钮，将CAS服务器的地址添加到自定义白名单。详细配置请参见</w:t>
      </w:r>
      <w:r>
        <w:fldChar w:fldCharType="begin"/>
      </w:r>
      <w:r>
        <w:instrText xml:space="preserve"> </w:instrText>
      </w:r>
      <w:r>
        <w:rPr>
          <w:rFonts w:hint="eastAsia"/>
        </w:rPr>
        <w:instrText xml:space="preserve">REF _Ref154651495 \h</w:instrText>
      </w:r>
      <w:r>
        <w:instrText xml:space="preserve"> </w:instrText>
      </w:r>
      <w:r>
        <w:fldChar w:fldCharType="separate"/>
      </w:r>
      <w:r>
        <w:rPr>
          <w:rFonts w:hint="eastAsia"/>
        </w:rPr>
        <w:t>认证方式白名单</w:t>
      </w:r>
      <w:r>
        <w:fldChar w:fldCharType="end"/>
      </w:r>
      <w:r>
        <w:rPr>
          <w:rFonts w:hint="eastAsia"/>
        </w:rPr>
        <w:t>。</w:t>
      </w:r>
    </w:p>
    <w:p w14:paraId="36CEE3EF">
      <w:pPr>
        <w:pStyle w:val="188"/>
      </w:pPr>
      <w:r>
        <w:rPr>
          <w:rFonts w:hint="eastAsia"/>
        </w:rPr>
        <w:t>配置认证方式白名单</w:t>
      </w:r>
    </w:p>
    <w:p w14:paraId="3A0B2363">
      <w:r>
        <w:drawing>
          <wp:inline distT="0" distB="0" distL="0" distR="0">
            <wp:extent cx="5768340" cy="2914650"/>
            <wp:effectExtent l="0" t="0" r="3810" b="0"/>
            <wp:docPr id="1802027840" name="图片 1802027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40" name="图片 1802027840"/>
                    <pic:cNvPicPr>
                      <a:picLocks noChangeAspect="1"/>
                    </pic:cNvPicPr>
                  </pic:nvPicPr>
                  <pic:blipFill>
                    <a:blip r:embed="rId1066"/>
                    <a:stretch>
                      <a:fillRect/>
                    </a:stretch>
                  </pic:blipFill>
                  <pic:spPr>
                    <a:xfrm>
                      <a:off x="0" y="0"/>
                      <a:ext cx="5771520" cy="2916300"/>
                    </a:xfrm>
                    <a:prstGeom prst="rect">
                      <a:avLst/>
                    </a:prstGeom>
                  </pic:spPr>
                </pic:pic>
              </a:graphicData>
            </a:graphic>
          </wp:inline>
        </w:drawing>
      </w:r>
    </w:p>
    <w:p w14:paraId="58596574"/>
    <w:p w14:paraId="789600D5">
      <w:pPr>
        <w:pStyle w:val="6"/>
      </w:pPr>
      <w:r>
        <w:rPr>
          <w:rFonts w:hint="eastAsia"/>
        </w:rPr>
        <w:t>使用限制及注意事项</w:t>
      </w:r>
    </w:p>
    <w:p w14:paraId="2DAAE896">
      <w:pPr>
        <w:pStyle w:val="162"/>
      </w:pPr>
      <w:r>
        <w:rPr>
          <w:rFonts w:hint="eastAsia"/>
        </w:rPr>
        <w:t>CAS认证时默认放通1分钟流量，需要在1分钟内完成认证。</w:t>
      </w:r>
    </w:p>
    <w:p w14:paraId="10A98A0D">
      <w:pPr>
        <w:pStyle w:val="162"/>
      </w:pPr>
      <w:r>
        <w:rPr>
          <w:rFonts w:hint="eastAsia"/>
        </w:rPr>
        <w:t>CAS服务器配置为非标端口（非8080/80/443）时不能进行认证。</w:t>
      </w:r>
    </w:p>
    <w:p w14:paraId="5321DA1B">
      <w:pPr>
        <w:pStyle w:val="162"/>
      </w:pPr>
      <w:r>
        <w:rPr>
          <w:rFonts w:hint="eastAsia"/>
        </w:rPr>
        <w:t>设备无法即时感知用户帐号权限变化并进行相应处理，即用户在设备上认证上线后，在CAS服务器上注销或禁用用户，无法使用户在设备上下线。</w:t>
      </w:r>
    </w:p>
    <w:p w14:paraId="54B91F4A">
      <w:pPr>
        <w:pStyle w:val="162"/>
      </w:pPr>
      <w:r>
        <w:rPr>
          <w:rFonts w:hint="eastAsia"/>
        </w:rPr>
        <w:t>用户名长度限制为1-127字符，超过127字符不能在设备上认证上线。</w:t>
      </w:r>
    </w:p>
    <w:p w14:paraId="5CF23FC9">
      <w:pPr>
        <w:pStyle w:val="162"/>
      </w:pPr>
      <w:r>
        <w:rPr>
          <w:rFonts w:hint="eastAsia"/>
        </w:rPr>
        <w:t>用户名支持中文数字字母以及字符(不包含空格'"`/\)，用户名包含不支持的特殊字符进行认证可以认证成功，不支持的特殊字符用_代替。</w:t>
      </w:r>
    </w:p>
    <w:p w14:paraId="5485DD0E">
      <w:pPr>
        <w:pStyle w:val="162"/>
      </w:pPr>
      <w:r>
        <w:rPr>
          <w:rFonts w:hint="eastAsia"/>
        </w:rPr>
        <w:t>HA主主环境需要在CAS服务器上配置两个回调地址，分别为主控设备接口地址和备控设备接口地址Portal</w:t>
      </w:r>
      <w:r>
        <w:t xml:space="preserve"> </w:t>
      </w:r>
      <w:r>
        <w:rPr>
          <w:rFonts w:hint="eastAsia"/>
        </w:rPr>
        <w:t>URL。</w:t>
      </w:r>
    </w:p>
    <w:p w14:paraId="2E7E5687">
      <w:pPr>
        <w:pStyle w:val="162"/>
      </w:pPr>
      <w:r>
        <w:rPr>
          <w:rFonts w:hint="eastAsia"/>
        </w:rPr>
        <w:t>HA环境主机上清除CAS认证无感知列表，备机不会同步清除，备机可以执行</w:t>
      </w:r>
      <w:r>
        <w:t>clear</w:t>
      </w:r>
      <w:r>
        <w:rPr>
          <w:rFonts w:hint="eastAsia"/>
        </w:rPr>
        <w:t xml:space="preserve"> </w:t>
      </w:r>
      <w:r>
        <w:t>user</w:t>
      </w:r>
      <w:r>
        <w:rPr>
          <w:rFonts w:hint="eastAsia"/>
        </w:rPr>
        <w:t>-</w:t>
      </w:r>
      <w:r>
        <w:t>waa</w:t>
      </w:r>
      <w:r>
        <w:rPr>
          <w:rFonts w:hint="eastAsia"/>
        </w:rPr>
        <w:t xml:space="preserve"> </w:t>
      </w:r>
      <w:r>
        <w:t>cas</w:t>
      </w:r>
      <w:r>
        <w:rPr>
          <w:rFonts w:hint="eastAsia"/>
        </w:rPr>
        <w:t>-</w:t>
      </w:r>
      <w:r>
        <w:t>waa</w:t>
      </w:r>
      <w:r>
        <w:rPr>
          <w:rFonts w:hint="eastAsia"/>
        </w:rPr>
        <w:t>命令进行清除。</w:t>
      </w:r>
    </w:p>
    <w:p w14:paraId="3FCA36DC">
      <w:pPr>
        <w:pStyle w:val="162"/>
      </w:pPr>
      <w:r>
        <w:rPr>
          <w:rFonts w:hint="eastAsia"/>
        </w:rPr>
        <w:t>CAS认证不支持IPv6。</w:t>
      </w:r>
    </w:p>
    <w:p w14:paraId="4BA76A24">
      <w:pPr>
        <w:pStyle w:val="5"/>
      </w:pPr>
      <w:bookmarkStart w:id="8674" w:name="_Toc137560460"/>
      <w:bookmarkStart w:id="8675" w:name="_Toc141873542"/>
      <w:bookmarkStart w:id="8676" w:name="_Toc142401058"/>
      <w:bookmarkStart w:id="8677" w:name="_Toc172218304"/>
      <w:bookmarkStart w:id="8678" w:name="_Toc194081187"/>
      <w:bookmarkStart w:id="8679" w:name="_Toc196728515"/>
      <w:r>
        <w:rPr>
          <w:rFonts w:hint="eastAsia"/>
        </w:rPr>
        <w:t>OAUTH认证</w:t>
      </w:r>
      <w:bookmarkEnd w:id="8674"/>
      <w:bookmarkEnd w:id="8675"/>
      <w:bookmarkEnd w:id="8676"/>
      <w:bookmarkEnd w:id="8677"/>
      <w:bookmarkEnd w:id="8678"/>
      <w:bookmarkEnd w:id="8679"/>
    </w:p>
    <w:p w14:paraId="709FC735">
      <w:r>
        <w:rPr>
          <w:rFonts w:hint="eastAsia"/>
        </w:rPr>
        <w:t>OAUTH认证功能是设备与OAUTH服务器进行对接，用户在使网络服务时，可以在认证页面中输入OAUTH服务器的账号和密码进行认证，从而使认证用户接入使用网络。</w:t>
      </w:r>
    </w:p>
    <w:p w14:paraId="3CAA3E2E">
      <w:pPr>
        <w:pStyle w:val="6"/>
      </w:pPr>
      <w:r>
        <w:rPr>
          <w:rFonts w:hint="eastAsia"/>
        </w:rPr>
        <w:t>配置OAUTH认证服务器</w:t>
      </w:r>
    </w:p>
    <w:p w14:paraId="6A204359">
      <w:r>
        <w:rPr>
          <w:rFonts w:hint="eastAsia"/>
        </w:rPr>
        <w:t>在导航栏中选择“用户管理&gt;认证管理&gt;认证服务器”，进入认证服务器页面，点击&lt;新建&gt;按钮，选择“</w:t>
      </w:r>
      <w:r>
        <w:t>OAUTH</w:t>
      </w:r>
      <w:r>
        <w:rPr>
          <w:rFonts w:hint="eastAsia"/>
        </w:rPr>
        <w:t>服务器”，进入</w:t>
      </w:r>
      <w:r>
        <w:t>OAUTH</w:t>
      </w:r>
      <w:r>
        <w:rPr>
          <w:rFonts w:hint="eastAsia"/>
        </w:rPr>
        <w:t>服务器配置页面。详细配置请参见</w:t>
      </w:r>
      <w:r>
        <w:fldChar w:fldCharType="begin"/>
      </w:r>
      <w:r>
        <w:instrText xml:space="preserve"> </w:instrText>
      </w:r>
      <w:r>
        <w:rPr>
          <w:rFonts w:hint="eastAsia"/>
        </w:rPr>
        <w:instrText xml:space="preserve">REF _Ref136865779 \h</w:instrText>
      </w:r>
      <w:r>
        <w:instrText xml:space="preserve"> </w:instrText>
      </w:r>
      <w:r>
        <w:fldChar w:fldCharType="separate"/>
      </w:r>
      <w:r>
        <w:t>配置OAUTH服务器</w:t>
      </w:r>
      <w:r>
        <w:fldChar w:fldCharType="end"/>
      </w:r>
      <w:r>
        <w:t>章节</w:t>
      </w:r>
      <w:r>
        <w:rPr>
          <w:rFonts w:hint="eastAsia"/>
        </w:rPr>
        <w:t>。</w:t>
      </w:r>
    </w:p>
    <w:p w14:paraId="72C4A8F6">
      <w:pPr>
        <w:pStyle w:val="6"/>
      </w:pPr>
      <w:r>
        <w:rPr>
          <w:rFonts w:hint="eastAsia"/>
        </w:rPr>
        <w:t>配置OAUTH认证</w:t>
      </w:r>
    </w:p>
    <w:p w14:paraId="7D92DA54">
      <w:r>
        <w:rPr>
          <w:rFonts w:hint="eastAsia"/>
        </w:rPr>
        <w:t>在导航栏中选择“用户管理&gt;认证管理&gt;认证方式&gt;OAUTH认证”，进入OAUTH认证配置页面，编辑相关信息，点击&lt;提交</w:t>
      </w:r>
      <w:r>
        <w:t>&gt;</w:t>
      </w:r>
      <w:r>
        <w:rPr>
          <w:rFonts w:hint="eastAsia"/>
        </w:rPr>
        <w:t>。</w:t>
      </w:r>
    </w:p>
    <w:p w14:paraId="05CEB730">
      <w:pPr>
        <w:pStyle w:val="188"/>
      </w:pPr>
      <w:bookmarkStart w:id="8680" w:name="_Toc141874851"/>
      <w:r>
        <w:rPr>
          <w:rFonts w:hint="eastAsia"/>
        </w:rPr>
        <w:t>OAUTH认证配置页面</w:t>
      </w:r>
      <w:bookmarkEnd w:id="8680"/>
    </w:p>
    <w:p w14:paraId="66566ADA">
      <w:pPr>
        <w:spacing w:before="79" w:after="79"/>
      </w:pPr>
      <w:r>
        <w:drawing>
          <wp:inline distT="0" distB="0" distL="0" distR="0">
            <wp:extent cx="5400040" cy="2509520"/>
            <wp:effectExtent l="0" t="0" r="0" b="508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pic:cNvPicPr>
                      <a:picLocks noChangeAspect="1"/>
                    </pic:cNvPicPr>
                  </pic:nvPicPr>
                  <pic:blipFill>
                    <a:blip r:embed="rId1067"/>
                    <a:stretch>
                      <a:fillRect/>
                    </a:stretch>
                  </pic:blipFill>
                  <pic:spPr>
                    <a:xfrm>
                      <a:off x="0" y="0"/>
                      <a:ext cx="5400040" cy="2510083"/>
                    </a:xfrm>
                    <a:prstGeom prst="rect">
                      <a:avLst/>
                    </a:prstGeom>
                  </pic:spPr>
                </pic:pic>
              </a:graphicData>
            </a:graphic>
          </wp:inline>
        </w:drawing>
      </w:r>
    </w:p>
    <w:p w14:paraId="1C4E12CD">
      <w:r>
        <w:rPr>
          <w:rFonts w:hint="eastAsia"/>
        </w:rPr>
        <w:t>详细配置请参见下表。</w:t>
      </w:r>
    </w:p>
    <w:tbl>
      <w:tblPr>
        <w:tblStyle w:val="173"/>
        <w:tblW w:w="964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718"/>
        <w:gridCol w:w="7930"/>
      </w:tblGrid>
      <w:tr w14:paraId="176A96C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718" w:type="dxa"/>
            <w:tcBorders>
              <w:tl2br w:val="nil"/>
              <w:tr2bl w:val="nil"/>
            </w:tcBorders>
            <w:shd w:val="clear" w:color="auto" w:fill="538135" w:themeFill="accent6" w:themeFillShade="BF"/>
            <w:vAlign w:val="center"/>
          </w:tcPr>
          <w:p w14:paraId="7A3401A2">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7930" w:type="dxa"/>
            <w:tcBorders>
              <w:tl2br w:val="nil"/>
              <w:tr2bl w:val="nil"/>
            </w:tcBorders>
            <w:shd w:val="clear" w:color="auto" w:fill="538135" w:themeFill="accent6" w:themeFillShade="BF"/>
            <w:vAlign w:val="center"/>
          </w:tcPr>
          <w:p w14:paraId="382FA8C6">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B2880D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718" w:type="dxa"/>
            <w:shd w:val="clear" w:color="auto" w:fill="auto"/>
          </w:tcPr>
          <w:p w14:paraId="6F2680B7">
            <w:pPr>
              <w:pStyle w:val="150"/>
            </w:pPr>
            <w:r>
              <w:rPr>
                <w:rFonts w:hint="eastAsia"/>
              </w:rPr>
              <w:t>认证服务器</w:t>
            </w:r>
          </w:p>
        </w:tc>
        <w:tc>
          <w:tcPr>
            <w:tcW w:w="7930" w:type="dxa"/>
            <w:shd w:val="clear" w:color="auto" w:fill="auto"/>
          </w:tcPr>
          <w:p w14:paraId="3324F06E">
            <w:pPr>
              <w:pStyle w:val="150"/>
            </w:pPr>
            <w:r>
              <w:rPr>
                <w:rFonts w:hint="eastAsia"/>
              </w:rPr>
              <w:t>选择一个认证服务器。需选择已创建的OAUTH服务器，关于OAUTH服务器的更多信息请参考</w:t>
            </w:r>
            <w:r>
              <w:fldChar w:fldCharType="begin"/>
            </w:r>
            <w:r>
              <w:instrText xml:space="preserve"> </w:instrText>
            </w:r>
            <w:r>
              <w:rPr>
                <w:rFonts w:hint="eastAsia"/>
              </w:rPr>
              <w:instrText xml:space="preserve">REF _Ref136865779 \h</w:instrText>
            </w:r>
            <w:r>
              <w:instrText xml:space="preserve">  \* MERGEFORMAT </w:instrText>
            </w:r>
            <w:r>
              <w:fldChar w:fldCharType="separate"/>
            </w:r>
            <w:r>
              <w:t>配置OAUTH服务器</w:t>
            </w:r>
            <w:r>
              <w:fldChar w:fldCharType="end"/>
            </w:r>
            <w:r>
              <w:rPr>
                <w:rFonts w:hint="eastAsia"/>
              </w:rPr>
              <w:t>。</w:t>
            </w:r>
          </w:p>
        </w:tc>
      </w:tr>
      <w:tr w14:paraId="60CA53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718" w:type="dxa"/>
            <w:shd w:val="clear" w:color="auto" w:fill="auto"/>
          </w:tcPr>
          <w:p w14:paraId="4BE423AE">
            <w:pPr>
              <w:pStyle w:val="150"/>
            </w:pPr>
            <w:r>
              <w:rPr>
                <w:rFonts w:hint="eastAsia"/>
              </w:rPr>
              <w:t>超时时间</w:t>
            </w:r>
          </w:p>
        </w:tc>
        <w:tc>
          <w:tcPr>
            <w:tcW w:w="7930" w:type="dxa"/>
            <w:shd w:val="clear" w:color="auto" w:fill="auto"/>
          </w:tcPr>
          <w:p w14:paraId="0A39A70D">
            <w:pPr>
              <w:pStyle w:val="150"/>
            </w:pPr>
            <w:r>
              <w:rPr>
                <w:rFonts w:hint="eastAsia"/>
              </w:rPr>
              <w:t>配置OAUTH认证用户超时下线时间，如果在该时间段内无任何来自客户端的流量，用户将会被强制下线。</w:t>
            </w:r>
          </w:p>
        </w:tc>
      </w:tr>
      <w:tr w14:paraId="73A61F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718" w:type="dxa"/>
            <w:shd w:val="clear" w:color="auto" w:fill="auto"/>
          </w:tcPr>
          <w:p w14:paraId="4CE77FB5">
            <w:pPr>
              <w:pStyle w:val="150"/>
            </w:pPr>
            <w:r>
              <w:rPr>
                <w:rFonts w:hint="eastAsia"/>
              </w:rPr>
              <w:t>强制重登录间隔</w:t>
            </w:r>
          </w:p>
        </w:tc>
        <w:tc>
          <w:tcPr>
            <w:tcW w:w="7930" w:type="dxa"/>
            <w:shd w:val="clear" w:color="auto" w:fill="auto"/>
          </w:tcPr>
          <w:p w14:paraId="681B1FF6">
            <w:pPr>
              <w:pStyle w:val="150"/>
            </w:pPr>
            <w:r>
              <w:rPr>
                <w:rFonts w:hint="eastAsia"/>
              </w:rPr>
              <w:t>配置OAUTH认证用户强制重登录时间，从用户登录时间开始，超时后用户将会被强制下线。</w:t>
            </w:r>
          </w:p>
        </w:tc>
      </w:tr>
      <w:tr w14:paraId="50436A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1718" w:type="dxa"/>
            <w:shd w:val="clear" w:color="auto" w:fill="auto"/>
          </w:tcPr>
          <w:p w14:paraId="4702D54C">
            <w:pPr>
              <w:pStyle w:val="150"/>
            </w:pPr>
            <w:r>
              <w:rPr>
                <w:rFonts w:hint="eastAsia"/>
              </w:rPr>
              <w:t>无感知</w:t>
            </w:r>
          </w:p>
        </w:tc>
        <w:tc>
          <w:tcPr>
            <w:tcW w:w="7930" w:type="dxa"/>
            <w:shd w:val="clear" w:color="auto" w:fill="auto"/>
          </w:tcPr>
          <w:p w14:paraId="52BDA3D8">
            <w:pPr>
              <w:pStyle w:val="150"/>
            </w:pPr>
            <w:r>
              <w:rPr>
                <w:rFonts w:hint="eastAsia"/>
              </w:rPr>
              <w:t>配置OAUTH认证用户无感知时间，当认证用户首次认证下线后，在超时时间内再次上网无需认证，可以无感知上线。</w:t>
            </w:r>
          </w:p>
        </w:tc>
      </w:tr>
      <w:tr w14:paraId="6BBEC4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508" w:hRule="atLeast"/>
        </w:trPr>
        <w:tc>
          <w:tcPr>
            <w:tcW w:w="1718" w:type="dxa"/>
            <w:shd w:val="clear" w:color="auto" w:fill="auto"/>
          </w:tcPr>
          <w:p w14:paraId="454BA44B">
            <w:pPr>
              <w:pStyle w:val="150"/>
            </w:pPr>
            <w:r>
              <w:rPr>
                <w:rFonts w:hint="eastAsia"/>
              </w:rPr>
              <w:t>页面跳转设置</w:t>
            </w:r>
          </w:p>
        </w:tc>
        <w:tc>
          <w:tcPr>
            <w:tcW w:w="7930" w:type="dxa"/>
            <w:shd w:val="clear" w:color="auto" w:fill="auto"/>
          </w:tcPr>
          <w:p w14:paraId="01EABA73">
            <w:pPr>
              <w:pStyle w:val="150"/>
            </w:pPr>
            <w:r>
              <w:rPr>
                <w:rFonts w:hint="eastAsia"/>
              </w:rPr>
              <w:t>认证成功后继续访问的页面。</w:t>
            </w:r>
          </w:p>
          <w:p w14:paraId="24FF8227">
            <w:pPr>
              <w:pStyle w:val="150"/>
            </w:pPr>
            <w:r>
              <w:rPr>
                <w:rFonts w:hint="eastAsia"/>
              </w:rPr>
              <w:t>之前访问的页面：用户认证前访问的页面。</w:t>
            </w:r>
          </w:p>
          <w:p w14:paraId="7930EABB">
            <w:pPr>
              <w:pStyle w:val="150"/>
            </w:pPr>
            <w:r>
              <w:rPr>
                <w:rFonts w:hint="eastAsia"/>
              </w:rPr>
              <w:t>重定向U</w:t>
            </w:r>
            <w:r>
              <w:t>RL</w:t>
            </w:r>
            <w:r>
              <w:rPr>
                <w:rFonts w:hint="eastAsia"/>
              </w:rPr>
              <w:t>：自定义的重定向U</w:t>
            </w:r>
            <w:r>
              <w:t>RL</w:t>
            </w:r>
            <w:r>
              <w:rPr>
                <w:rFonts w:hint="eastAsia"/>
              </w:rPr>
              <w:t>。</w:t>
            </w:r>
          </w:p>
          <w:p w14:paraId="64AA1399">
            <w:pPr>
              <w:pStyle w:val="150"/>
            </w:pPr>
            <w:r>
              <w:rPr>
                <w:rFonts w:hint="eastAsia"/>
              </w:rPr>
              <w:t>认证结果页面。</w:t>
            </w:r>
          </w:p>
        </w:tc>
      </w:tr>
    </w:tbl>
    <w:p w14:paraId="108910A1">
      <w:pPr>
        <w:spacing w:before="120" w:after="120"/>
      </w:pPr>
    </w:p>
    <w:p w14:paraId="5B3E7B71">
      <w:pPr>
        <w:pStyle w:val="6"/>
      </w:pPr>
      <w:r>
        <w:rPr>
          <w:rFonts w:hint="eastAsia"/>
        </w:rPr>
        <w:t>配置认证方式白名单</w:t>
      </w:r>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36F5D0AD">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5DA8515F">
            <w:pPr>
              <w:pStyle w:val="150"/>
              <w:adjustRightInd w:val="0"/>
              <w:snapToGrid w:val="0"/>
              <w:rPr>
                <w:color w:val="auto"/>
              </w:rPr>
            </w:pPr>
            <w:r>
              <w:rPr>
                <w:b/>
                <w:color w:val="auto"/>
              </w:rPr>
              <w:drawing>
                <wp:inline distT="0" distB="0" distL="0" distR="0">
                  <wp:extent cx="283210" cy="283210"/>
                  <wp:effectExtent l="0" t="0" r="2540" b="2540"/>
                  <wp:docPr id="937" name="图片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图片 93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1D468F57">
            <w:pPr>
              <w:pStyle w:val="150"/>
              <w:adjustRightInd w:val="0"/>
              <w:snapToGrid w:val="0"/>
              <w:rPr>
                <w:color w:val="auto"/>
              </w:rPr>
            </w:pPr>
            <w:r>
              <w:rPr>
                <w:color w:val="auto"/>
              </w:rPr>
              <w:t>设备对</w:t>
            </w:r>
            <w:r>
              <w:rPr>
                <w:rFonts w:hint="eastAsia"/>
                <w:color w:val="auto"/>
              </w:rPr>
              <w:t>OAUTH</w:t>
            </w:r>
            <w:r>
              <w:rPr>
                <w:color w:val="auto"/>
              </w:rPr>
              <w:t>认证默认放通指定的流量</w:t>
            </w:r>
            <w:r>
              <w:rPr>
                <w:rFonts w:hint="eastAsia"/>
                <w:color w:val="auto"/>
              </w:rPr>
              <w:t>，进行</w:t>
            </w:r>
            <w:r>
              <w:rPr>
                <w:color w:val="auto"/>
              </w:rPr>
              <w:t>认证时</w:t>
            </w:r>
            <w:r>
              <w:rPr>
                <w:rFonts w:hint="eastAsia"/>
                <w:color w:val="auto"/>
              </w:rPr>
              <w:t>，</w:t>
            </w:r>
            <w:r>
              <w:rPr>
                <w:color w:val="auto"/>
              </w:rPr>
              <w:t>只对配置的白名单条目进行流量放通</w:t>
            </w:r>
            <w:r>
              <w:rPr>
                <w:rFonts w:hint="eastAsia"/>
                <w:color w:val="auto"/>
              </w:rPr>
              <w:t>。配置OAUTH认证时，需要将OAUTH服务器的地址添加到OAUTH认证的自定义白名单中，或者设置设备的放通模式为“放通所有流量”，从而与OAUTH服务器进行交互。</w:t>
            </w:r>
          </w:p>
        </w:tc>
      </w:tr>
    </w:tbl>
    <w:p w14:paraId="146E5E3C">
      <w:pPr>
        <w:rPr>
          <w:bCs/>
        </w:rPr>
      </w:pPr>
    </w:p>
    <w:p w14:paraId="0712812F">
      <w:r>
        <w:rPr>
          <w:rFonts w:hint="eastAsia"/>
          <w:bCs/>
        </w:rPr>
        <w:t>选择“</w:t>
      </w:r>
      <w:r>
        <w:rPr>
          <w:rFonts w:hint="eastAsia"/>
        </w:rPr>
        <w:t>用户管理&gt;认证管理</w:t>
      </w:r>
      <w:r>
        <w:t>&gt;</w:t>
      </w:r>
      <w:r>
        <w:rPr>
          <w:rFonts w:hint="eastAsia"/>
        </w:rPr>
        <w:t>高级选项”</w:t>
      </w:r>
      <w:r>
        <w:rPr>
          <w:rFonts w:hint="eastAsia"/>
          <w:bCs/>
        </w:rPr>
        <w:t>，选择</w:t>
      </w:r>
      <w:r>
        <w:rPr>
          <w:rFonts w:hint="eastAsia"/>
        </w:rPr>
        <w:t>认证方式白名单</w:t>
      </w:r>
      <w:r>
        <w:rPr>
          <w:rFonts w:hint="eastAsia"/>
          <w:bCs/>
        </w:rPr>
        <w:t>页签</w:t>
      </w:r>
      <w:r>
        <w:rPr>
          <w:rFonts w:hint="eastAsia"/>
        </w:rPr>
        <w:t>，点击“OAUTH认证”后面的编辑按钮，将OAUTH服务器的地址添加到自定义白名单。详细配置请参见</w:t>
      </w:r>
      <w:r>
        <w:fldChar w:fldCharType="begin"/>
      </w:r>
      <w:r>
        <w:instrText xml:space="preserve"> </w:instrText>
      </w:r>
      <w:r>
        <w:rPr>
          <w:rFonts w:hint="eastAsia"/>
        </w:rPr>
        <w:instrText xml:space="preserve">REF _Ref154651495 \h</w:instrText>
      </w:r>
      <w:r>
        <w:instrText xml:space="preserve"> </w:instrText>
      </w:r>
      <w:r>
        <w:fldChar w:fldCharType="separate"/>
      </w:r>
      <w:r>
        <w:rPr>
          <w:rFonts w:hint="eastAsia"/>
        </w:rPr>
        <w:t>认证方式白名单</w:t>
      </w:r>
      <w:r>
        <w:fldChar w:fldCharType="end"/>
      </w:r>
      <w:r>
        <w:rPr>
          <w:rFonts w:hint="eastAsia"/>
        </w:rPr>
        <w:t>。</w:t>
      </w:r>
    </w:p>
    <w:p w14:paraId="6BF2A776">
      <w:pPr>
        <w:pStyle w:val="188"/>
      </w:pPr>
      <w:r>
        <w:rPr>
          <w:rFonts w:hint="eastAsia"/>
        </w:rPr>
        <w:t>配置认证方式白名单</w:t>
      </w:r>
    </w:p>
    <w:p w14:paraId="570F4D55">
      <w:r>
        <w:drawing>
          <wp:inline distT="0" distB="0" distL="0" distR="0">
            <wp:extent cx="6120130" cy="3098800"/>
            <wp:effectExtent l="0" t="0" r="0" b="6350"/>
            <wp:docPr id="1802027843" name="图片 1802027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43" name="图片 1802027843"/>
                    <pic:cNvPicPr>
                      <a:picLocks noChangeAspect="1"/>
                    </pic:cNvPicPr>
                  </pic:nvPicPr>
                  <pic:blipFill>
                    <a:blip r:embed="rId1068"/>
                    <a:stretch>
                      <a:fillRect/>
                    </a:stretch>
                  </pic:blipFill>
                  <pic:spPr>
                    <a:xfrm>
                      <a:off x="0" y="0"/>
                      <a:ext cx="6120130" cy="3098800"/>
                    </a:xfrm>
                    <a:prstGeom prst="rect">
                      <a:avLst/>
                    </a:prstGeom>
                  </pic:spPr>
                </pic:pic>
              </a:graphicData>
            </a:graphic>
          </wp:inline>
        </w:drawing>
      </w:r>
    </w:p>
    <w:p w14:paraId="01168C47">
      <w:pPr>
        <w:spacing w:before="120" w:after="120"/>
      </w:pPr>
    </w:p>
    <w:p w14:paraId="59101D77">
      <w:pPr>
        <w:pStyle w:val="6"/>
      </w:pPr>
      <w:r>
        <w:rPr>
          <w:rFonts w:hint="eastAsia"/>
        </w:rPr>
        <w:t>配置</w:t>
      </w:r>
      <w:r>
        <w:t>OAUTH</w:t>
      </w:r>
      <w:r>
        <w:rPr>
          <w:rFonts w:hint="eastAsia"/>
        </w:rPr>
        <w:t>认证策略</w:t>
      </w:r>
    </w:p>
    <w:p w14:paraId="5A47355F">
      <w:r>
        <w:rPr>
          <w:rFonts w:hint="eastAsia"/>
        </w:rPr>
        <w:t>在导航栏中选择“用户管理&gt;认证管理&gt;认证策略”，点击&lt;新建&gt;按钮，进入认证策略配置页面，启用认证策略，认证方式选择</w:t>
      </w:r>
      <w:r>
        <w:t>OAUTH</w:t>
      </w:r>
      <w:r>
        <w:rPr>
          <w:rFonts w:hint="eastAsia"/>
        </w:rPr>
        <w:t>认证，编辑相关信息，点击&lt;提交</w:t>
      </w:r>
      <w:r>
        <w:t>&gt;</w:t>
      </w:r>
      <w:r>
        <w:rPr>
          <w:rFonts w:hint="eastAsia"/>
        </w:rPr>
        <w:t>。</w:t>
      </w:r>
    </w:p>
    <w:p w14:paraId="78D76C54">
      <w:pPr>
        <w:pStyle w:val="188"/>
      </w:pPr>
      <w:bookmarkStart w:id="8681" w:name="_Toc141874852"/>
      <w:r>
        <w:rPr>
          <w:rFonts w:hint="eastAsia"/>
        </w:rPr>
        <w:t>配置</w:t>
      </w:r>
      <w:r>
        <w:t>OAUTH</w:t>
      </w:r>
      <w:r>
        <w:rPr>
          <w:rFonts w:hint="eastAsia"/>
        </w:rPr>
        <w:t>认证策略</w:t>
      </w:r>
      <w:bookmarkEnd w:id="8681"/>
    </w:p>
    <w:p w14:paraId="7B63C527">
      <w:pPr>
        <w:spacing w:before="79" w:after="79"/>
      </w:pPr>
      <w:r>
        <w:drawing>
          <wp:inline distT="0" distB="0" distL="0" distR="0">
            <wp:extent cx="4620260" cy="6426200"/>
            <wp:effectExtent l="0" t="0" r="8890" b="0"/>
            <wp:docPr id="1802027845" name="图片 1802027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45" name="图片 1802027845"/>
                    <pic:cNvPicPr>
                      <a:picLocks noChangeAspect="1"/>
                    </pic:cNvPicPr>
                  </pic:nvPicPr>
                  <pic:blipFill>
                    <a:blip r:embed="rId1069"/>
                    <a:stretch>
                      <a:fillRect/>
                    </a:stretch>
                  </pic:blipFill>
                  <pic:spPr>
                    <a:xfrm>
                      <a:off x="0" y="0"/>
                      <a:ext cx="4623119" cy="6430259"/>
                    </a:xfrm>
                    <a:prstGeom prst="rect">
                      <a:avLst/>
                    </a:prstGeom>
                  </pic:spPr>
                </pic:pic>
              </a:graphicData>
            </a:graphic>
          </wp:inline>
        </w:drawing>
      </w:r>
    </w:p>
    <w:p w14:paraId="3D8F6613">
      <w:pPr>
        <w:pStyle w:val="6"/>
      </w:pPr>
      <w:bookmarkStart w:id="8682" w:name="_Toc61022674"/>
      <w:bookmarkStart w:id="8683" w:name="_Toc60069200"/>
      <w:bookmarkStart w:id="8684" w:name="_Toc44618321"/>
      <w:bookmarkStart w:id="8685" w:name="_Toc99561624"/>
      <w:r>
        <w:rPr>
          <w:rFonts w:hint="eastAsia"/>
        </w:rPr>
        <w:t>使用限制及注意事项</w:t>
      </w:r>
    </w:p>
    <w:p w14:paraId="414BB8F3">
      <w:pPr>
        <w:pStyle w:val="162"/>
      </w:pPr>
      <w:r>
        <w:rPr>
          <w:rFonts w:hint="eastAsia"/>
        </w:rPr>
        <w:t>OAUTH服务器不支持服务器组。</w:t>
      </w:r>
    </w:p>
    <w:p w14:paraId="11031826">
      <w:pPr>
        <w:pStyle w:val="162"/>
      </w:pPr>
      <w:r>
        <w:rPr>
          <w:rFonts w:hint="eastAsia"/>
        </w:rPr>
        <w:t>OAUTH服务器规格为128个。</w:t>
      </w:r>
    </w:p>
    <w:p w14:paraId="3EC2236D">
      <w:pPr>
        <w:pStyle w:val="162"/>
      </w:pPr>
      <w:r>
        <w:t>OAUTH</w:t>
      </w:r>
      <w:r>
        <w:rPr>
          <w:rFonts w:hint="eastAsia"/>
        </w:rPr>
        <w:t>认证时默认放通1分钟流量，需要在1分钟内完成认证。</w:t>
      </w:r>
    </w:p>
    <w:p w14:paraId="38D5DA39">
      <w:pPr>
        <w:pStyle w:val="162"/>
      </w:pPr>
      <w:r>
        <w:rPr>
          <w:rFonts w:hint="eastAsia"/>
        </w:rPr>
        <w:t>设备无法即时感知用户帐号权限变化并进行相应处理，即用户在设备上认证上线后，在CAS服务器上注销或禁用用户，无法使用户在设备上下线。</w:t>
      </w:r>
    </w:p>
    <w:p w14:paraId="7F219D70">
      <w:pPr>
        <w:pStyle w:val="162"/>
      </w:pPr>
      <w:r>
        <w:rPr>
          <w:rFonts w:hint="eastAsia"/>
        </w:rPr>
        <w:t>用户名长度限制为1-127字符，超过127字符不能在设备上认证上线。</w:t>
      </w:r>
    </w:p>
    <w:p w14:paraId="47A1BEA2">
      <w:pPr>
        <w:pStyle w:val="162"/>
      </w:pPr>
      <w:r>
        <w:rPr>
          <w:rFonts w:hint="eastAsia"/>
        </w:rPr>
        <w:t>用户名支持中文数字字母以及字符(不包含空格'"`/\)，用户名包含不支持的特殊字符进行认证可以认证成功，不支持的特殊字符用_代替。</w:t>
      </w:r>
    </w:p>
    <w:p w14:paraId="231B2AE3">
      <w:pPr>
        <w:pStyle w:val="162"/>
      </w:pPr>
      <w:r>
        <w:rPr>
          <w:rFonts w:hint="eastAsia"/>
        </w:rPr>
        <w:t>HA环境主机上清除</w:t>
      </w:r>
      <w:r>
        <w:t>OAUTH</w:t>
      </w:r>
      <w:r>
        <w:rPr>
          <w:rFonts w:hint="eastAsia"/>
        </w:rPr>
        <w:t>认证无感知列表，备机不会同步清除，备机可以执行clear user-waa cas-waa命令进行清除。</w:t>
      </w:r>
    </w:p>
    <w:p w14:paraId="64491EBA">
      <w:pPr>
        <w:pStyle w:val="162"/>
      </w:pPr>
      <w:r>
        <w:t>OAUTH</w:t>
      </w:r>
      <w:r>
        <w:rPr>
          <w:rFonts w:hint="eastAsia"/>
        </w:rPr>
        <w:t>认证不支持IPv6。</w:t>
      </w:r>
    </w:p>
    <w:p w14:paraId="642CC4B9"/>
    <w:p w14:paraId="2483D06A">
      <w:pPr>
        <w:pStyle w:val="5"/>
      </w:pPr>
      <w:bookmarkStart w:id="8686" w:name="_Toc193447216"/>
      <w:bookmarkStart w:id="8687" w:name="_Toc196728516"/>
      <w:bookmarkStart w:id="8688" w:name="_Toc194081188"/>
      <w:r>
        <w:rPr>
          <w:rFonts w:hint="eastAsia"/>
        </w:rPr>
        <w:t>移动SIM认证</w:t>
      </w:r>
      <w:bookmarkEnd w:id="8686"/>
      <w:bookmarkEnd w:id="8687"/>
      <w:bookmarkEnd w:id="8688"/>
    </w:p>
    <w:p w14:paraId="6FDF38DD">
      <w:pPr>
        <w:pStyle w:val="6"/>
      </w:pPr>
      <w:r>
        <w:rPr>
          <w:rFonts w:hint="eastAsia"/>
        </w:rPr>
        <w:t>简介</w:t>
      </w:r>
    </w:p>
    <w:p w14:paraId="619565A0">
      <w:r>
        <w:rPr>
          <w:rFonts w:hint="eastAsia"/>
        </w:rPr>
        <w:t>移动超级SIM卡认证基于先进的SIM卡技术，利用SIM卡中集成的SE安全芯片，对访问设备的用户进行身份识别与验证。通过将超级SIM卡作为身份载体，结合特定的加密算法和通信协议，实现快速、可靠的认证，确保只有授权的SIM卡用户能够通过设备访问网络资源。</w:t>
      </w:r>
    </w:p>
    <w:p w14:paraId="3B68A855">
      <w:r>
        <w:rPr>
          <w:rFonts w:hint="eastAsia"/>
        </w:rPr>
        <w:t>设备通过与移动网络相关认证平台进行交互，利用SIM卡的相关信息来验证用户身份。用户通过PC端和手机端访问网络时，通过绑定身份的超级SIM卡号实现一键认证，无需输入复杂密码或反复接收短信验证码，方便、快捷。</w:t>
      </w:r>
    </w:p>
    <w:p w14:paraId="390E8C5C">
      <w:r>
        <w:rPr>
          <w:rFonts w:hint="eastAsia"/>
        </w:rPr>
        <w:t>认证流程如下：</w:t>
      </w:r>
    </w:p>
    <w:p w14:paraId="7E2B8A32">
      <w:pPr>
        <w:pStyle w:val="202"/>
        <w:rPr>
          <w:lang w:eastAsia="zh-CN"/>
        </w:rPr>
      </w:pPr>
      <w:r>
        <w:rPr>
          <w:rFonts w:hint="eastAsia"/>
          <w:lang w:eastAsia="zh-CN"/>
        </w:rPr>
        <w:t>终端用户访问外部网络资源时，设备对用户访问外网的流量进行劫持，重定向到移动SIM认证页面。</w:t>
      </w:r>
    </w:p>
    <w:p w14:paraId="6761AC21">
      <w:pPr>
        <w:pStyle w:val="202"/>
        <w:rPr>
          <w:lang w:eastAsia="zh-CN"/>
        </w:rPr>
      </w:pPr>
      <w:r>
        <w:rPr>
          <w:rFonts w:hint="eastAsia"/>
          <w:lang w:eastAsia="zh-CN"/>
        </w:rPr>
        <w:t>用户在认证页面上输入手机号，点击“登录”。</w:t>
      </w:r>
    </w:p>
    <w:p w14:paraId="29155385">
      <w:pPr>
        <w:pStyle w:val="202"/>
        <w:rPr>
          <w:lang w:eastAsia="zh-CN"/>
        </w:rPr>
      </w:pPr>
      <w:r>
        <w:rPr>
          <w:rFonts w:hint="eastAsia"/>
          <w:lang w:eastAsia="zh-CN"/>
        </w:rPr>
        <w:t>设备向SIM认证平台发送请求，查询用户输入的手机号是否支持SIM卡认证。</w:t>
      </w:r>
    </w:p>
    <w:p w14:paraId="3231CD84">
      <w:pPr>
        <w:pStyle w:val="202"/>
        <w:rPr>
          <w:lang w:eastAsia="zh-CN"/>
        </w:rPr>
      </w:pPr>
      <w:r>
        <w:rPr>
          <w:rFonts w:hint="eastAsia"/>
          <w:lang w:eastAsia="zh-CN"/>
        </w:rPr>
        <w:t>如果手机号不支持SIM卡认证，则进入普通短信认证流程。</w:t>
      </w:r>
    </w:p>
    <w:p w14:paraId="3BA5FD45">
      <w:pPr>
        <w:pStyle w:val="202"/>
        <w:rPr>
          <w:lang w:eastAsia="zh-CN"/>
        </w:rPr>
      </w:pPr>
      <w:r>
        <w:rPr>
          <w:rFonts w:hint="eastAsia"/>
          <w:lang w:eastAsia="zh-CN"/>
        </w:rPr>
        <w:t>如果手机号支持SIM卡认证，则向用户下发SIM认证消息。</w:t>
      </w:r>
    </w:p>
    <w:p w14:paraId="69F2225F">
      <w:pPr>
        <w:pStyle w:val="202"/>
        <w:rPr>
          <w:lang w:eastAsia="zh-CN"/>
        </w:rPr>
      </w:pPr>
      <w:r>
        <w:rPr>
          <w:rFonts w:hint="eastAsia"/>
          <w:lang w:eastAsia="zh-CN"/>
        </w:rPr>
        <w:t>用户手机端弹出SIM卡消息，并输入设置的密码进行确认。</w:t>
      </w:r>
    </w:p>
    <w:p w14:paraId="091D7C58">
      <w:pPr>
        <w:pStyle w:val="202"/>
        <w:rPr>
          <w:lang w:eastAsia="zh-CN"/>
        </w:rPr>
      </w:pPr>
      <w:r>
        <w:rPr>
          <w:rFonts w:hint="eastAsia"/>
          <w:lang w:eastAsia="zh-CN"/>
        </w:rPr>
        <w:t>认证平台将认证结果返回给设备。</w:t>
      </w:r>
    </w:p>
    <w:p w14:paraId="4B37E9AD">
      <w:pPr>
        <w:pStyle w:val="202"/>
        <w:rPr>
          <w:lang w:eastAsia="zh-CN"/>
        </w:rPr>
      </w:pPr>
      <w:r>
        <w:rPr>
          <w:rFonts w:hint="eastAsia"/>
          <w:lang w:eastAsia="zh-CN"/>
        </w:rPr>
        <w:t>设备对用户进行验证，通过后对用户流量进行放行；否则，用户认证失败。</w:t>
      </w:r>
    </w:p>
    <w:p w14:paraId="3B0C640B"/>
    <w:p w14:paraId="6566DDCC">
      <w:pPr>
        <w:pStyle w:val="6"/>
      </w:pPr>
      <w:bookmarkStart w:id="8689" w:name="_Toc22957"/>
      <w:r>
        <w:rPr>
          <w:rFonts w:hint="eastAsia"/>
        </w:rPr>
        <w:t>配置移动SIM认证</w:t>
      </w:r>
      <w:bookmarkEnd w:id="8689"/>
    </w:p>
    <w:p w14:paraId="3657D937">
      <w:pPr>
        <w:pStyle w:val="202"/>
        <w:rPr>
          <w:lang w:eastAsia="zh-CN"/>
        </w:rPr>
      </w:pPr>
      <w:r>
        <w:rPr>
          <w:rFonts w:hint="eastAsia"/>
          <w:lang w:eastAsia="zh-CN"/>
        </w:rPr>
        <w:t>配置移动SIM认证参数</w:t>
      </w:r>
    </w:p>
    <w:p w14:paraId="6334E15B">
      <w:r>
        <w:rPr>
          <w:rFonts w:hint="eastAsia"/>
        </w:rPr>
        <w:t>进入“用户管理&gt;认证管理&gt;认证方式&gt;移动SIM认证”，配置移动SIM认证参数。</w:t>
      </w:r>
    </w:p>
    <w:p w14:paraId="7EB639BF">
      <w:pPr>
        <w:pStyle w:val="188"/>
      </w:pPr>
      <w:bookmarkStart w:id="8690" w:name="_Toc193448049"/>
      <w:r>
        <w:rPr>
          <w:rFonts w:hint="eastAsia"/>
        </w:rPr>
        <w:t>移动SIM认证配置页面</w:t>
      </w:r>
      <w:bookmarkEnd w:id="8690"/>
    </w:p>
    <w:p w14:paraId="2FD23E7D">
      <w:pPr>
        <w:pStyle w:val="175"/>
      </w:pPr>
      <w:r>
        <w:drawing>
          <wp:inline distT="0" distB="0" distL="0" distR="0">
            <wp:extent cx="5400040" cy="3636010"/>
            <wp:effectExtent l="0" t="0" r="0" b="2540"/>
            <wp:docPr id="658" name="图片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图片 658"/>
                    <pic:cNvPicPr>
                      <a:picLocks noChangeAspect="1"/>
                    </pic:cNvPicPr>
                  </pic:nvPicPr>
                  <pic:blipFill>
                    <a:blip r:embed="rId1070"/>
                    <a:stretch>
                      <a:fillRect/>
                    </a:stretch>
                  </pic:blipFill>
                  <pic:spPr>
                    <a:xfrm>
                      <a:off x="0" y="0"/>
                      <a:ext cx="5400040" cy="3636010"/>
                    </a:xfrm>
                    <a:prstGeom prst="rect">
                      <a:avLst/>
                    </a:prstGeom>
                  </pic:spPr>
                </pic:pic>
              </a:graphicData>
            </a:graphic>
          </wp:inline>
        </w:drawing>
      </w:r>
    </w:p>
    <w:p w14:paraId="2FB3FCAE"/>
    <w:p w14:paraId="26F16CB0">
      <w:pPr>
        <w:pStyle w:val="183"/>
      </w:pPr>
      <w:r>
        <w:rPr>
          <w:rFonts w:hint="eastAsia"/>
        </w:rPr>
        <w:t>移动SIM认证页面详细说明</w:t>
      </w:r>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17"/>
        <w:gridCol w:w="6394"/>
        <w:gridCol w:w="503"/>
      </w:tblGrid>
      <w:tr w14:paraId="00FE0F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235" w:type="dxa"/>
            <w:tcBorders>
              <w:tl2br w:val="nil"/>
              <w:tr2bl w:val="nil"/>
            </w:tcBorders>
            <w:shd w:val="clear" w:color="auto" w:fill="538135" w:themeFill="accent6" w:themeFillShade="BF"/>
            <w:vAlign w:val="center"/>
          </w:tcPr>
          <w:p w14:paraId="16E36EBC">
            <w:pPr>
              <w:pStyle w:val="149"/>
              <w:wordWrap/>
              <w:rPr>
                <w:b/>
                <w:bCs/>
                <w:i w:val="0"/>
                <w:iCs w:val="0"/>
              </w:rPr>
            </w:pPr>
            <w:r>
              <w:rPr>
                <w:rFonts w:hint="eastAsia"/>
                <w:b/>
                <w:bCs/>
                <w:i w:val="0"/>
                <w:iCs w:val="0"/>
              </w:rPr>
              <w:t>配置项</w:t>
            </w:r>
          </w:p>
        </w:tc>
        <w:tc>
          <w:tcPr>
            <w:tcW w:w="6779" w:type="dxa"/>
            <w:gridSpan w:val="2"/>
            <w:tcBorders>
              <w:tl2br w:val="nil"/>
              <w:tr2bl w:val="nil"/>
            </w:tcBorders>
            <w:shd w:val="clear" w:color="auto" w:fill="538135" w:themeFill="accent6" w:themeFillShade="BF"/>
            <w:vAlign w:val="center"/>
          </w:tcPr>
          <w:p w14:paraId="2E1BF11F">
            <w:pPr>
              <w:pStyle w:val="149"/>
              <w:wordWrap/>
              <w:rPr>
                <w:b/>
                <w:bCs/>
                <w:i w:val="0"/>
                <w:iCs w:val="0"/>
              </w:rPr>
            </w:pPr>
            <w:r>
              <w:rPr>
                <w:rFonts w:hint="eastAsia"/>
                <w:b/>
                <w:bCs/>
                <w:i w:val="0"/>
                <w:iCs w:val="0"/>
              </w:rPr>
              <w:t>说明</w:t>
            </w:r>
          </w:p>
        </w:tc>
      </w:tr>
      <w:tr w14:paraId="17239C8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gridAfter w:val="1"/>
          <w:wAfter w:w="534" w:type="dxa"/>
          <w:trHeight w:val="420" w:hRule="atLeast"/>
        </w:trPr>
        <w:tc>
          <w:tcPr>
            <w:tcW w:w="2235" w:type="dxa"/>
            <w:shd w:val="clear" w:color="auto" w:fill="auto"/>
          </w:tcPr>
          <w:p w14:paraId="2DA18D6E">
            <w:pPr>
              <w:pStyle w:val="150"/>
            </w:pPr>
            <w:r>
              <w:rPr>
                <w:rFonts w:hint="eastAsia"/>
              </w:rPr>
              <w:t>启用</w:t>
            </w:r>
          </w:p>
        </w:tc>
        <w:tc>
          <w:tcPr>
            <w:tcW w:w="6779" w:type="dxa"/>
            <w:shd w:val="clear" w:color="auto" w:fill="auto"/>
          </w:tcPr>
          <w:p w14:paraId="29BB727B">
            <w:pPr>
              <w:pStyle w:val="150"/>
            </w:pPr>
            <w:r>
              <w:rPr>
                <w:rFonts w:hint="eastAsia"/>
              </w:rPr>
              <w:t>勾选框，勾选启用SIM认证，去勾选禁用SIM认证。</w:t>
            </w:r>
          </w:p>
        </w:tc>
      </w:tr>
      <w:tr w14:paraId="11CC74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gridAfter w:val="1"/>
          <w:wAfter w:w="534" w:type="dxa"/>
          <w:trHeight w:val="420" w:hRule="atLeast"/>
        </w:trPr>
        <w:tc>
          <w:tcPr>
            <w:tcW w:w="2235" w:type="dxa"/>
            <w:shd w:val="clear" w:color="auto" w:fill="auto"/>
          </w:tcPr>
          <w:p w14:paraId="4C38E64F">
            <w:pPr>
              <w:pStyle w:val="150"/>
            </w:pPr>
            <w:r>
              <w:rPr>
                <w:rFonts w:hint="eastAsia"/>
              </w:rPr>
              <w:t>超时时间</w:t>
            </w:r>
          </w:p>
        </w:tc>
        <w:tc>
          <w:tcPr>
            <w:tcW w:w="6779" w:type="dxa"/>
            <w:shd w:val="clear" w:color="auto" w:fill="auto"/>
          </w:tcPr>
          <w:p w14:paraId="3DE83F2D">
            <w:pPr>
              <w:pStyle w:val="150"/>
            </w:pPr>
            <w:r>
              <w:rPr>
                <w:rFonts w:hint="eastAsia"/>
              </w:rPr>
              <w:t>勾选框，勾选后启用超时时间，可配置范围1-144000 分钟，去勾选禁用超时时间，默认15分钟。</w:t>
            </w:r>
          </w:p>
        </w:tc>
      </w:tr>
      <w:tr w14:paraId="1909E20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gridAfter w:val="1"/>
          <w:wAfter w:w="534" w:type="dxa"/>
          <w:trHeight w:val="420" w:hRule="atLeast"/>
        </w:trPr>
        <w:tc>
          <w:tcPr>
            <w:tcW w:w="2235" w:type="dxa"/>
            <w:shd w:val="clear" w:color="auto" w:fill="auto"/>
          </w:tcPr>
          <w:p w14:paraId="6BA49D5C">
            <w:pPr>
              <w:pStyle w:val="150"/>
            </w:pPr>
            <w:r>
              <w:rPr>
                <w:rFonts w:hint="eastAsia"/>
              </w:rPr>
              <w:t>强制重登录间隔</w:t>
            </w:r>
          </w:p>
        </w:tc>
        <w:tc>
          <w:tcPr>
            <w:tcW w:w="6779" w:type="dxa"/>
            <w:shd w:val="clear" w:color="auto" w:fill="auto"/>
          </w:tcPr>
          <w:p w14:paraId="2535B913">
            <w:pPr>
              <w:pStyle w:val="150"/>
            </w:pPr>
            <w:r>
              <w:rPr>
                <w:rFonts w:hint="eastAsia"/>
              </w:rPr>
              <w:t>设置SIM卡认证的用户强制重登录时间，用户认证上线后，从用户登录时间开始，超时后，不管用户是否在线，系统都会将该用户强制下线。</w:t>
            </w:r>
          </w:p>
        </w:tc>
      </w:tr>
      <w:tr w14:paraId="7F5D62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gridAfter w:val="1"/>
          <w:wAfter w:w="534" w:type="dxa"/>
          <w:trHeight w:val="420" w:hRule="atLeast"/>
        </w:trPr>
        <w:tc>
          <w:tcPr>
            <w:tcW w:w="2235" w:type="dxa"/>
            <w:shd w:val="clear" w:color="auto" w:fill="auto"/>
          </w:tcPr>
          <w:p w14:paraId="2B31BF87">
            <w:pPr>
              <w:pStyle w:val="150"/>
            </w:pPr>
            <w:r>
              <w:rPr>
                <w:rFonts w:hint="eastAsia"/>
              </w:rPr>
              <w:t>无感知</w:t>
            </w:r>
          </w:p>
        </w:tc>
        <w:tc>
          <w:tcPr>
            <w:tcW w:w="6779" w:type="dxa"/>
            <w:shd w:val="clear" w:color="auto" w:fill="auto"/>
          </w:tcPr>
          <w:p w14:paraId="2E8D575D">
            <w:pPr>
              <w:pStyle w:val="150"/>
            </w:pPr>
            <w:r>
              <w:rPr>
                <w:rFonts w:hint="eastAsia"/>
              </w:rPr>
              <w:t>配置SIM卡认证用户无感知时间，当认证用户首次认证下线后，在超时时间内再次上网无需认证，可以无感知上线。</w:t>
            </w:r>
          </w:p>
        </w:tc>
      </w:tr>
      <w:tr w14:paraId="6DA4DDE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gridAfter w:val="1"/>
          <w:wAfter w:w="534" w:type="dxa"/>
          <w:trHeight w:val="420" w:hRule="atLeast"/>
        </w:trPr>
        <w:tc>
          <w:tcPr>
            <w:tcW w:w="2235" w:type="dxa"/>
            <w:shd w:val="clear" w:color="auto" w:fill="auto"/>
          </w:tcPr>
          <w:p w14:paraId="3CA802C6">
            <w:pPr>
              <w:pStyle w:val="150"/>
            </w:pPr>
            <w:r>
              <w:rPr>
                <w:rFonts w:hint="eastAsia"/>
              </w:rPr>
              <w:t>页面跳转设置</w:t>
            </w:r>
          </w:p>
        </w:tc>
        <w:tc>
          <w:tcPr>
            <w:tcW w:w="6779" w:type="dxa"/>
            <w:shd w:val="clear" w:color="auto" w:fill="auto"/>
          </w:tcPr>
          <w:p w14:paraId="147F2B17">
            <w:pPr>
              <w:pStyle w:val="150"/>
            </w:pPr>
            <w:r>
              <w:rPr>
                <w:rFonts w:hint="eastAsia"/>
              </w:rPr>
              <w:t>单选，可以选择“之前访问的页面”、“重定向URL”、“认证结果页面”。默认“之前访问的页面”，选择“重定向URL”后，输入需要重定向的URL地址。</w:t>
            </w:r>
          </w:p>
        </w:tc>
      </w:tr>
      <w:tr w14:paraId="3C9A4F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gridAfter w:val="1"/>
          <w:wAfter w:w="534" w:type="dxa"/>
          <w:trHeight w:val="420" w:hRule="atLeast"/>
        </w:trPr>
        <w:tc>
          <w:tcPr>
            <w:tcW w:w="2235" w:type="dxa"/>
            <w:shd w:val="clear" w:color="auto" w:fill="auto"/>
          </w:tcPr>
          <w:p w14:paraId="68E2E5B9">
            <w:pPr>
              <w:pStyle w:val="150"/>
            </w:pPr>
            <w:r>
              <w:rPr>
                <w:rFonts w:hint="eastAsia"/>
              </w:rPr>
              <w:t>回调地址</w:t>
            </w:r>
          </w:p>
        </w:tc>
        <w:tc>
          <w:tcPr>
            <w:tcW w:w="6779" w:type="dxa"/>
            <w:shd w:val="clear" w:color="auto" w:fill="auto"/>
          </w:tcPr>
          <w:p w14:paraId="6393EA8F">
            <w:pPr>
              <w:pStyle w:val="150"/>
            </w:pPr>
            <w:r>
              <w:rPr>
                <w:rFonts w:hint="eastAsia"/>
              </w:rPr>
              <w:t>填入访问设备的回调地址，该配置和移动SIM认证服务器保持一致。</w:t>
            </w:r>
          </w:p>
        </w:tc>
      </w:tr>
      <w:tr w14:paraId="56489C2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gridAfter w:val="1"/>
          <w:wAfter w:w="534" w:type="dxa"/>
          <w:trHeight w:val="420" w:hRule="atLeast"/>
        </w:trPr>
        <w:tc>
          <w:tcPr>
            <w:tcW w:w="2235" w:type="dxa"/>
            <w:shd w:val="clear" w:color="auto" w:fill="auto"/>
          </w:tcPr>
          <w:p w14:paraId="06EAF21A">
            <w:pPr>
              <w:pStyle w:val="150"/>
            </w:pPr>
            <w:r>
              <w:rPr>
                <w:rFonts w:hint="eastAsia"/>
              </w:rPr>
              <w:t>回调端口</w:t>
            </w:r>
          </w:p>
        </w:tc>
        <w:tc>
          <w:tcPr>
            <w:tcW w:w="6779" w:type="dxa"/>
            <w:shd w:val="clear" w:color="auto" w:fill="auto"/>
          </w:tcPr>
          <w:p w14:paraId="7E56780E">
            <w:pPr>
              <w:pStyle w:val="150"/>
            </w:pPr>
            <w:r>
              <w:rPr>
                <w:rFonts w:hint="eastAsia"/>
              </w:rPr>
              <w:t>填写回调端口，范围：1-65535。</w:t>
            </w:r>
          </w:p>
        </w:tc>
      </w:tr>
      <w:tr w14:paraId="344E92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gridAfter w:val="1"/>
          <w:wAfter w:w="534" w:type="dxa"/>
          <w:trHeight w:val="420" w:hRule="atLeast"/>
        </w:trPr>
        <w:tc>
          <w:tcPr>
            <w:tcW w:w="2235" w:type="dxa"/>
            <w:shd w:val="clear" w:color="auto" w:fill="auto"/>
          </w:tcPr>
          <w:p w14:paraId="3A9B9A1A">
            <w:pPr>
              <w:pStyle w:val="150"/>
            </w:pPr>
            <w:r>
              <w:rPr>
                <w:rFonts w:hint="eastAsia"/>
              </w:rPr>
              <w:t>ApID</w:t>
            </w:r>
          </w:p>
        </w:tc>
        <w:tc>
          <w:tcPr>
            <w:tcW w:w="6779" w:type="dxa"/>
            <w:shd w:val="clear" w:color="auto" w:fill="auto"/>
          </w:tcPr>
          <w:p w14:paraId="7E739CAD">
            <w:pPr>
              <w:pStyle w:val="150"/>
            </w:pPr>
            <w:r>
              <w:rPr>
                <w:rFonts w:hint="eastAsia"/>
              </w:rPr>
              <w:t>填写移动SIM认证服务器提供的ApID信息。</w:t>
            </w:r>
          </w:p>
        </w:tc>
      </w:tr>
      <w:tr w14:paraId="5E3B79B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gridAfter w:val="1"/>
          <w:wAfter w:w="534" w:type="dxa"/>
          <w:trHeight w:val="420" w:hRule="atLeast"/>
        </w:trPr>
        <w:tc>
          <w:tcPr>
            <w:tcW w:w="2235" w:type="dxa"/>
            <w:shd w:val="clear" w:color="auto" w:fill="auto"/>
          </w:tcPr>
          <w:p w14:paraId="4560E455">
            <w:pPr>
              <w:pStyle w:val="150"/>
            </w:pPr>
            <w:r>
              <w:rPr>
                <w:rFonts w:hint="eastAsia"/>
              </w:rPr>
              <w:t>AppID</w:t>
            </w:r>
          </w:p>
        </w:tc>
        <w:tc>
          <w:tcPr>
            <w:tcW w:w="6779" w:type="dxa"/>
            <w:shd w:val="clear" w:color="auto" w:fill="auto"/>
          </w:tcPr>
          <w:p w14:paraId="31247223">
            <w:pPr>
              <w:pStyle w:val="150"/>
            </w:pPr>
            <w:r>
              <w:rPr>
                <w:rFonts w:hint="eastAsia"/>
              </w:rPr>
              <w:t>填写移动SIM认证服务器提供的AppID信息。</w:t>
            </w:r>
          </w:p>
        </w:tc>
      </w:tr>
      <w:tr w14:paraId="6932C0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gridAfter w:val="1"/>
          <w:wAfter w:w="534" w:type="dxa"/>
          <w:trHeight w:val="420" w:hRule="atLeast"/>
        </w:trPr>
        <w:tc>
          <w:tcPr>
            <w:tcW w:w="2235" w:type="dxa"/>
            <w:shd w:val="clear" w:color="auto" w:fill="auto"/>
          </w:tcPr>
          <w:p w14:paraId="2AB92285">
            <w:pPr>
              <w:pStyle w:val="150"/>
            </w:pPr>
            <w:r>
              <w:rPr>
                <w:rFonts w:hint="eastAsia"/>
              </w:rPr>
              <w:t>AppKey</w:t>
            </w:r>
          </w:p>
        </w:tc>
        <w:tc>
          <w:tcPr>
            <w:tcW w:w="6779" w:type="dxa"/>
            <w:shd w:val="clear" w:color="auto" w:fill="auto"/>
          </w:tcPr>
          <w:p w14:paraId="1B6E1545">
            <w:pPr>
              <w:pStyle w:val="150"/>
            </w:pPr>
            <w:r>
              <w:rPr>
                <w:rFonts w:hint="eastAsia"/>
              </w:rPr>
              <w:t>填写移动SIM认证服务器提供的AppKey信息，该字段可以为空，请根据移动SIM认证服务器认证要求进行填写。</w:t>
            </w:r>
          </w:p>
        </w:tc>
      </w:tr>
      <w:tr w14:paraId="79EB95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gridAfter w:val="1"/>
          <w:wAfter w:w="534" w:type="dxa"/>
          <w:trHeight w:val="420" w:hRule="atLeast"/>
        </w:trPr>
        <w:tc>
          <w:tcPr>
            <w:tcW w:w="2235" w:type="dxa"/>
            <w:shd w:val="clear" w:color="auto" w:fill="auto"/>
          </w:tcPr>
          <w:p w14:paraId="5B0DC116">
            <w:pPr>
              <w:pStyle w:val="150"/>
            </w:pPr>
            <w:r>
              <w:rPr>
                <w:rFonts w:hint="eastAsia"/>
              </w:rPr>
              <w:t>Template ID</w:t>
            </w:r>
          </w:p>
        </w:tc>
        <w:tc>
          <w:tcPr>
            <w:tcW w:w="6779" w:type="dxa"/>
            <w:shd w:val="clear" w:color="auto" w:fill="auto"/>
          </w:tcPr>
          <w:p w14:paraId="39B54382">
            <w:pPr>
              <w:pStyle w:val="150"/>
            </w:pPr>
            <w:r>
              <w:rPr>
                <w:rFonts w:hint="eastAsia"/>
              </w:rPr>
              <w:t>填写移动SIM认证服务器提供的Template ID信息。</w:t>
            </w:r>
          </w:p>
        </w:tc>
      </w:tr>
      <w:tr w14:paraId="2400E3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gridAfter w:val="1"/>
          <w:wAfter w:w="534" w:type="dxa"/>
          <w:trHeight w:val="420" w:hRule="atLeast"/>
        </w:trPr>
        <w:tc>
          <w:tcPr>
            <w:tcW w:w="2235" w:type="dxa"/>
            <w:shd w:val="clear" w:color="auto" w:fill="auto"/>
          </w:tcPr>
          <w:p w14:paraId="5DE20020">
            <w:pPr>
              <w:pStyle w:val="150"/>
            </w:pPr>
            <w:r>
              <w:rPr>
                <w:rFonts w:hint="eastAsia"/>
              </w:rPr>
              <w:t>网关地址</w:t>
            </w:r>
          </w:p>
        </w:tc>
        <w:tc>
          <w:tcPr>
            <w:tcW w:w="6779" w:type="dxa"/>
            <w:shd w:val="clear" w:color="auto" w:fill="auto"/>
          </w:tcPr>
          <w:p w14:paraId="422BC3BC">
            <w:pPr>
              <w:pStyle w:val="150"/>
            </w:pPr>
            <w:r>
              <w:rPr>
                <w:rFonts w:hint="eastAsia"/>
              </w:rPr>
              <w:t>填写移动SIM认证服务器提供的网关地址信息。</w:t>
            </w:r>
          </w:p>
        </w:tc>
      </w:tr>
      <w:tr w14:paraId="3DBD26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gridAfter w:val="1"/>
          <w:wAfter w:w="534" w:type="dxa"/>
          <w:trHeight w:val="420" w:hRule="atLeast"/>
        </w:trPr>
        <w:tc>
          <w:tcPr>
            <w:tcW w:w="2235" w:type="dxa"/>
            <w:shd w:val="clear" w:color="auto" w:fill="auto"/>
          </w:tcPr>
          <w:p w14:paraId="512A6E22">
            <w:pPr>
              <w:pStyle w:val="150"/>
            </w:pPr>
            <w:r>
              <w:rPr>
                <w:rFonts w:hint="eastAsia"/>
              </w:rPr>
              <w:t>国密证书</w:t>
            </w:r>
          </w:p>
        </w:tc>
        <w:tc>
          <w:tcPr>
            <w:tcW w:w="6779" w:type="dxa"/>
            <w:shd w:val="clear" w:color="auto" w:fill="auto"/>
          </w:tcPr>
          <w:p w14:paraId="63D000D7">
            <w:pPr>
              <w:pStyle w:val="150"/>
            </w:pPr>
            <w:r>
              <w:rPr>
                <w:rFonts w:hint="eastAsia"/>
              </w:rPr>
              <w:t>选择在移动SIM认证服务器进行认证的国密证书，需先将国密证书导入设备本地。</w:t>
            </w:r>
          </w:p>
        </w:tc>
      </w:tr>
      <w:tr w14:paraId="7ED15E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gridAfter w:val="1"/>
          <w:wAfter w:w="534" w:type="dxa"/>
          <w:trHeight w:val="420" w:hRule="atLeast"/>
        </w:trPr>
        <w:tc>
          <w:tcPr>
            <w:tcW w:w="2235" w:type="dxa"/>
            <w:shd w:val="clear" w:color="auto" w:fill="auto"/>
          </w:tcPr>
          <w:p w14:paraId="1C8B1E61">
            <w:pPr>
              <w:pStyle w:val="150"/>
            </w:pPr>
            <w:r>
              <w:rPr>
                <w:rFonts w:hint="eastAsia"/>
              </w:rPr>
              <w:t>回调端口访问白名单</w:t>
            </w:r>
          </w:p>
        </w:tc>
        <w:tc>
          <w:tcPr>
            <w:tcW w:w="6779" w:type="dxa"/>
            <w:shd w:val="clear" w:color="auto" w:fill="auto"/>
          </w:tcPr>
          <w:p w14:paraId="20191F45">
            <w:pPr>
              <w:pStyle w:val="150"/>
            </w:pPr>
            <w:r>
              <w:rPr>
                <w:rFonts w:hint="eastAsia"/>
              </w:rPr>
              <w:t>根据需要填写可以访问设备回调端口的白名单地址或者域名，默认为空，所有地址都可访问设备回调端口。</w:t>
            </w:r>
          </w:p>
        </w:tc>
      </w:tr>
    </w:tbl>
    <w:p w14:paraId="4113E296"/>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7B75E4F2">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608D563B">
            <w:pPr>
              <w:pStyle w:val="150"/>
              <w:adjustRightInd w:val="0"/>
              <w:snapToGrid w:val="0"/>
              <w:rPr>
                <w:color w:val="auto"/>
              </w:rPr>
            </w:pPr>
            <w:r>
              <w:rPr>
                <w:b/>
                <w:color w:val="auto"/>
              </w:rPr>
              <w:drawing>
                <wp:inline distT="0" distB="0" distL="0" distR="0">
                  <wp:extent cx="283210" cy="283210"/>
                  <wp:effectExtent l="0" t="0" r="2540" b="2540"/>
                  <wp:docPr id="938" name="图片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图片 938"/>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4BBF4486">
            <w:pPr>
              <w:pStyle w:val="207"/>
              <w:adjustRightInd w:val="0"/>
              <w:snapToGrid w:val="0"/>
              <w:rPr>
                <w:color w:val="auto"/>
                <w:lang w:eastAsia="zh-CN"/>
              </w:rPr>
            </w:pPr>
            <w:r>
              <w:rPr>
                <w:rFonts w:hint="eastAsia"/>
                <w:color w:val="auto"/>
                <w:lang w:eastAsia="zh-CN"/>
              </w:rPr>
              <w:t>如果输入的手机号不支持移动SIM认证，页面会弹出提示信息跳转到短信认证页面。</w:t>
            </w:r>
          </w:p>
          <w:p w14:paraId="2931EDA0">
            <w:pPr>
              <w:pStyle w:val="207"/>
              <w:adjustRightInd w:val="0"/>
              <w:snapToGrid w:val="0"/>
              <w:rPr>
                <w:color w:val="auto"/>
                <w:lang w:eastAsia="zh-CN"/>
              </w:rPr>
            </w:pPr>
            <w:r>
              <w:rPr>
                <w:rFonts w:hint="eastAsia"/>
                <w:color w:val="auto"/>
                <w:lang w:eastAsia="zh-CN"/>
              </w:rPr>
              <w:t xml:space="preserve">跳转到短信认证页面后，如果需要继续认证上线，必须在短信认证方式中配置短信对象，具体配置请参考 </w:t>
            </w:r>
            <w:r>
              <w:rPr>
                <w:color w:val="auto"/>
              </w:rPr>
              <w:fldChar w:fldCharType="begin"/>
            </w:r>
            <w:r>
              <w:rPr>
                <w:color w:val="auto"/>
                <w:lang w:eastAsia="zh-CN"/>
              </w:rPr>
              <w:instrText xml:space="preserve"> </w:instrText>
            </w:r>
            <w:r>
              <w:rPr>
                <w:rFonts w:hint="eastAsia"/>
                <w:color w:val="auto"/>
                <w:lang w:eastAsia="zh-CN"/>
              </w:rPr>
              <w:instrText xml:space="preserve">REF _Ref194078207 \h</w:instrText>
            </w:r>
            <w:r>
              <w:rPr>
                <w:color w:val="auto"/>
                <w:lang w:eastAsia="zh-CN"/>
              </w:rPr>
              <w:instrText xml:space="preserve">  \* MERGEFORMAT </w:instrText>
            </w:r>
            <w:r>
              <w:rPr>
                <w:color w:val="auto"/>
              </w:rPr>
              <w:fldChar w:fldCharType="separate"/>
            </w:r>
            <w:r>
              <w:rPr>
                <w:rFonts w:hint="eastAsia"/>
                <w:color w:val="auto"/>
                <w:lang w:eastAsia="zh-CN"/>
              </w:rPr>
              <w:t>短信认证</w:t>
            </w:r>
            <w:r>
              <w:rPr>
                <w:color w:val="auto"/>
              </w:rPr>
              <w:fldChar w:fldCharType="end"/>
            </w:r>
            <w:r>
              <w:rPr>
                <w:rFonts w:hint="eastAsia"/>
                <w:color w:val="auto"/>
                <w:lang w:eastAsia="zh-CN"/>
              </w:rPr>
              <w:t>。</w:t>
            </w:r>
          </w:p>
        </w:tc>
      </w:tr>
    </w:tbl>
    <w:p w14:paraId="7D20E536"/>
    <w:p w14:paraId="72064452">
      <w:pPr>
        <w:pStyle w:val="202"/>
      </w:pPr>
      <w:r>
        <w:rPr>
          <w:rFonts w:hint="eastAsia"/>
        </w:rPr>
        <w:t>配置认证策略</w:t>
      </w:r>
    </w:p>
    <w:p w14:paraId="7577F9CB">
      <w:r>
        <w:rPr>
          <w:rFonts w:hint="eastAsia"/>
        </w:rPr>
        <w:t>进入“用户管理&gt;认证管理&gt;认证策略”，点击“新建”新建认证策略，认证方式选择“移动SIM认证”，如下图所示。详细配置请参考用户认证策略</w:t>
      </w:r>
      <w:r>
        <w:t>章节</w:t>
      </w:r>
      <w:r>
        <w:rPr>
          <w:rFonts w:hint="eastAsia"/>
        </w:rPr>
        <w:t>。</w:t>
      </w:r>
    </w:p>
    <w:p w14:paraId="16B6D244">
      <w:pPr>
        <w:pStyle w:val="188"/>
      </w:pPr>
      <w:bookmarkStart w:id="8691" w:name="_Toc193448050"/>
      <w:r>
        <w:rPr>
          <w:rFonts w:hint="eastAsia"/>
        </w:rPr>
        <w:t>新建SIM认证策略页面</w:t>
      </w:r>
      <w:bookmarkEnd w:id="8691"/>
    </w:p>
    <w:p w14:paraId="7EAD355E">
      <w:pPr>
        <w:pStyle w:val="175"/>
      </w:pPr>
      <w:r>
        <w:drawing>
          <wp:inline distT="0" distB="0" distL="114300" distR="114300">
            <wp:extent cx="4551680" cy="5162550"/>
            <wp:effectExtent l="0" t="0" r="1270" b="0"/>
            <wp:docPr id="66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图片 5"/>
                    <pic:cNvPicPr>
                      <a:picLocks noChangeAspect="1"/>
                    </pic:cNvPicPr>
                  </pic:nvPicPr>
                  <pic:blipFill>
                    <a:blip r:embed="rId1071"/>
                    <a:stretch>
                      <a:fillRect/>
                    </a:stretch>
                  </pic:blipFill>
                  <pic:spPr>
                    <a:xfrm>
                      <a:off x="0" y="0"/>
                      <a:ext cx="4554246" cy="5164807"/>
                    </a:xfrm>
                    <a:prstGeom prst="rect">
                      <a:avLst/>
                    </a:prstGeom>
                    <a:noFill/>
                    <a:ln>
                      <a:noFill/>
                    </a:ln>
                  </pic:spPr>
                </pic:pic>
              </a:graphicData>
            </a:graphic>
          </wp:inline>
        </w:drawing>
      </w:r>
    </w:p>
    <w:p w14:paraId="55E55FF7"/>
    <w:p w14:paraId="5B9F7AA5">
      <w:pPr>
        <w:pStyle w:val="6"/>
      </w:pPr>
      <w:r>
        <w:rPr>
          <w:rFonts w:hint="eastAsia"/>
        </w:rPr>
        <w:t>用户终端进行移动</w:t>
      </w:r>
      <w:r>
        <w:t>SIM认证</w:t>
      </w:r>
    </w:p>
    <w:p w14:paraId="1030E5B5">
      <w:pPr>
        <w:pStyle w:val="202"/>
        <w:rPr>
          <w:lang w:eastAsia="zh-CN"/>
        </w:rPr>
      </w:pPr>
      <w:r>
        <w:rPr>
          <w:rFonts w:hint="eastAsia"/>
          <w:lang w:eastAsia="zh-CN"/>
        </w:rPr>
        <w:t>用户</w:t>
      </w:r>
      <w:r>
        <w:rPr>
          <w:lang w:eastAsia="zh-CN"/>
        </w:rPr>
        <w:t>通过PC或手机端</w:t>
      </w:r>
      <w:r>
        <w:rPr>
          <w:rFonts w:hint="eastAsia"/>
          <w:lang w:eastAsia="zh-CN"/>
        </w:rPr>
        <w:t>访问外网时，在弹出的</w:t>
      </w:r>
      <w:r>
        <w:rPr>
          <w:lang w:eastAsia="zh-CN"/>
        </w:rPr>
        <w:t>P</w:t>
      </w:r>
      <w:r>
        <w:rPr>
          <w:rFonts w:hint="eastAsia"/>
          <w:lang w:eastAsia="zh-CN"/>
        </w:rPr>
        <w:t>ortal页面进行移动SIM认证操作。</w:t>
      </w:r>
    </w:p>
    <w:p w14:paraId="3EE91B75">
      <w:pPr>
        <w:pStyle w:val="188"/>
      </w:pPr>
      <w:bookmarkStart w:id="8692" w:name="_Toc193448051"/>
      <w:r>
        <w:rPr>
          <w:rFonts w:hint="eastAsia"/>
        </w:rPr>
        <w:t>移动SIM认证Portal页面</w:t>
      </w:r>
      <w:bookmarkEnd w:id="8692"/>
    </w:p>
    <w:p w14:paraId="0FCF3505">
      <w:pPr>
        <w:pStyle w:val="175"/>
      </w:pPr>
      <w:r>
        <w:drawing>
          <wp:inline distT="0" distB="0" distL="114300" distR="114300">
            <wp:extent cx="2952750" cy="2286000"/>
            <wp:effectExtent l="0" t="0" r="0" b="0"/>
            <wp:docPr id="66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11"/>
                    <pic:cNvPicPr>
                      <a:picLocks noChangeAspect="1"/>
                    </pic:cNvPicPr>
                  </pic:nvPicPr>
                  <pic:blipFill>
                    <a:blip r:embed="rId1072"/>
                    <a:stretch>
                      <a:fillRect/>
                    </a:stretch>
                  </pic:blipFill>
                  <pic:spPr>
                    <a:xfrm>
                      <a:off x="0" y="0"/>
                      <a:ext cx="2952750" cy="2286000"/>
                    </a:xfrm>
                    <a:prstGeom prst="rect">
                      <a:avLst/>
                    </a:prstGeom>
                    <a:noFill/>
                    <a:ln>
                      <a:noFill/>
                    </a:ln>
                  </pic:spPr>
                </pic:pic>
              </a:graphicData>
            </a:graphic>
          </wp:inline>
        </w:drawing>
      </w:r>
    </w:p>
    <w:p w14:paraId="1B31A84E"/>
    <w:p w14:paraId="5B12879C">
      <w:pPr>
        <w:pStyle w:val="202"/>
        <w:rPr>
          <w:lang w:eastAsia="zh-CN"/>
        </w:rPr>
      </w:pPr>
      <w:r>
        <w:rPr>
          <w:rFonts w:hint="eastAsia"/>
          <w:lang w:eastAsia="zh-CN"/>
        </w:rPr>
        <w:t>收入SIM卡手机号，点击“登录”，弹出页面，如下图所示。</w:t>
      </w:r>
    </w:p>
    <w:p w14:paraId="70E94C40">
      <w:pPr>
        <w:pStyle w:val="188"/>
      </w:pPr>
      <w:bookmarkStart w:id="8693" w:name="_Toc193448052"/>
      <w:r>
        <w:rPr>
          <w:rFonts w:hint="eastAsia"/>
        </w:rPr>
        <w:t>SIM卡认证提示页面</w:t>
      </w:r>
      <w:bookmarkEnd w:id="8693"/>
    </w:p>
    <w:p w14:paraId="411F389F">
      <w:pPr>
        <w:pStyle w:val="175"/>
      </w:pPr>
      <w:r>
        <w:drawing>
          <wp:inline distT="0" distB="0" distL="114300" distR="114300">
            <wp:extent cx="4038600" cy="1800225"/>
            <wp:effectExtent l="0" t="0" r="0" b="9525"/>
            <wp:docPr id="66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9"/>
                    <pic:cNvPicPr>
                      <a:picLocks noChangeAspect="1"/>
                    </pic:cNvPicPr>
                  </pic:nvPicPr>
                  <pic:blipFill>
                    <a:blip r:embed="rId1073"/>
                    <a:stretch>
                      <a:fillRect/>
                    </a:stretch>
                  </pic:blipFill>
                  <pic:spPr>
                    <a:xfrm>
                      <a:off x="0" y="0"/>
                      <a:ext cx="4038600" cy="1800225"/>
                    </a:xfrm>
                    <a:prstGeom prst="rect">
                      <a:avLst/>
                    </a:prstGeom>
                    <a:noFill/>
                    <a:ln>
                      <a:noFill/>
                    </a:ln>
                  </pic:spPr>
                </pic:pic>
              </a:graphicData>
            </a:graphic>
          </wp:inline>
        </w:drawing>
      </w:r>
    </w:p>
    <w:p w14:paraId="65CC11E3">
      <w:pPr>
        <w:pStyle w:val="202"/>
        <w:rPr>
          <w:lang w:eastAsia="zh-CN"/>
        </w:rPr>
      </w:pPr>
      <w:r>
        <w:rPr>
          <w:rFonts w:hint="eastAsia"/>
          <w:lang w:eastAsia="zh-CN"/>
        </w:rPr>
        <w:t>点击“确认”，SIM卡手机端弹出SIM卡校验信息，输入设置的密码（如果是第一次进行SIM认证，会弹出设置密码的提示页面）。</w:t>
      </w:r>
    </w:p>
    <w:p w14:paraId="60D72168">
      <w:pPr>
        <w:pStyle w:val="188"/>
      </w:pPr>
      <w:bookmarkStart w:id="8694" w:name="_Toc193448053"/>
      <w:r>
        <w:rPr>
          <w:rFonts w:hint="eastAsia"/>
        </w:rPr>
        <w:t>SIM卡校验信息页面</w:t>
      </w:r>
      <w:bookmarkEnd w:id="8694"/>
    </w:p>
    <w:p w14:paraId="38297ADC">
      <w:pPr>
        <w:pStyle w:val="175"/>
      </w:pPr>
      <w:r>
        <w:drawing>
          <wp:inline distT="0" distB="0" distL="114300" distR="114300">
            <wp:extent cx="2838450" cy="3465830"/>
            <wp:effectExtent l="0" t="0" r="0" b="1270"/>
            <wp:docPr id="66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图片 10"/>
                    <pic:cNvPicPr>
                      <a:picLocks noChangeAspect="1"/>
                    </pic:cNvPicPr>
                  </pic:nvPicPr>
                  <pic:blipFill>
                    <a:blip r:embed="rId1074"/>
                    <a:stretch>
                      <a:fillRect/>
                    </a:stretch>
                  </pic:blipFill>
                  <pic:spPr>
                    <a:xfrm>
                      <a:off x="0" y="0"/>
                      <a:ext cx="2845197" cy="3474286"/>
                    </a:xfrm>
                    <a:prstGeom prst="rect">
                      <a:avLst/>
                    </a:prstGeom>
                    <a:noFill/>
                    <a:ln>
                      <a:noFill/>
                    </a:ln>
                  </pic:spPr>
                </pic:pic>
              </a:graphicData>
            </a:graphic>
          </wp:inline>
        </w:drawing>
      </w:r>
    </w:p>
    <w:p w14:paraId="2A5B08DD"/>
    <w:p w14:paraId="016FCFF2">
      <w:pPr>
        <w:pStyle w:val="202"/>
        <w:rPr>
          <w:lang w:eastAsia="zh-CN"/>
        </w:rPr>
      </w:pPr>
      <w:r>
        <w:rPr>
          <w:rFonts w:hint="eastAsia"/>
          <w:lang w:eastAsia="zh-CN"/>
        </w:rPr>
        <w:t>输入正确的密码后点击“保存”，认证登录成功，即可访问外网。认证成功页面如下图所示。</w:t>
      </w:r>
    </w:p>
    <w:p w14:paraId="3989193B">
      <w:pPr>
        <w:pStyle w:val="188"/>
      </w:pPr>
      <w:bookmarkStart w:id="8695" w:name="_Toc193448054"/>
      <w:r>
        <w:rPr>
          <w:rFonts w:hint="eastAsia"/>
        </w:rPr>
        <w:t>移动SIM认证成功页面</w:t>
      </w:r>
      <w:bookmarkEnd w:id="8695"/>
    </w:p>
    <w:p w14:paraId="5B99CD9E">
      <w:pPr>
        <w:pStyle w:val="175"/>
      </w:pPr>
      <w:r>
        <w:drawing>
          <wp:inline distT="0" distB="0" distL="114300" distR="114300">
            <wp:extent cx="2981325" cy="2495550"/>
            <wp:effectExtent l="0" t="0" r="9525" b="0"/>
            <wp:docPr id="66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图片 8"/>
                    <pic:cNvPicPr>
                      <a:picLocks noChangeAspect="1"/>
                    </pic:cNvPicPr>
                  </pic:nvPicPr>
                  <pic:blipFill>
                    <a:blip r:embed="rId1075"/>
                    <a:stretch>
                      <a:fillRect/>
                    </a:stretch>
                  </pic:blipFill>
                  <pic:spPr>
                    <a:xfrm>
                      <a:off x="0" y="0"/>
                      <a:ext cx="2981325" cy="2495550"/>
                    </a:xfrm>
                    <a:prstGeom prst="rect">
                      <a:avLst/>
                    </a:prstGeom>
                    <a:noFill/>
                    <a:ln>
                      <a:noFill/>
                    </a:ln>
                  </pic:spPr>
                </pic:pic>
              </a:graphicData>
            </a:graphic>
          </wp:inline>
        </w:drawing>
      </w:r>
    </w:p>
    <w:p w14:paraId="3671FBE4"/>
    <w:p w14:paraId="4DD93D55">
      <w:pPr>
        <w:pStyle w:val="5"/>
      </w:pPr>
      <w:bookmarkStart w:id="8696" w:name="_Toc141873543"/>
      <w:bookmarkStart w:id="8697" w:name="_Toc196728517"/>
      <w:bookmarkStart w:id="8698" w:name="_Toc142401059"/>
      <w:bookmarkStart w:id="8699" w:name="_Toc172218305"/>
      <w:bookmarkStart w:id="8700" w:name="_Toc194081189"/>
      <w:r>
        <w:rPr>
          <w:rFonts w:hint="eastAsia"/>
        </w:rPr>
        <w:t>混合认证</w:t>
      </w:r>
      <w:bookmarkEnd w:id="8682"/>
      <w:bookmarkEnd w:id="8683"/>
      <w:bookmarkEnd w:id="8684"/>
      <w:bookmarkEnd w:id="8685"/>
      <w:bookmarkEnd w:id="8696"/>
      <w:bookmarkEnd w:id="8697"/>
      <w:bookmarkEnd w:id="8698"/>
      <w:bookmarkEnd w:id="8699"/>
      <w:bookmarkEnd w:id="8700"/>
    </w:p>
    <w:p w14:paraId="2212C81D">
      <w:r>
        <w:rPr>
          <w:rFonts w:hint="eastAsia"/>
        </w:rPr>
        <w:t>混合认证是指认证策略中认证方式为混合认证，混合方式可以选择一种或者多种认证，在用户弹出的认证页面中可以选择其中一种进行认证即可。</w:t>
      </w:r>
    </w:p>
    <w:p w14:paraId="4593B908">
      <w:r>
        <w:rPr>
          <w:rFonts w:hint="eastAsia"/>
        </w:rPr>
        <w:t>在导航栏中选择“用户管理&gt;认证管理&gt;认证方式</w:t>
      </w:r>
      <w:r>
        <w:t>&gt;</w:t>
      </w:r>
      <w:r>
        <w:rPr>
          <w:rFonts w:hint="eastAsia"/>
        </w:rPr>
        <w:t>混合认证”，进入混合认证配置页面，如</w:t>
      </w:r>
      <w:r>
        <w:fldChar w:fldCharType="begin"/>
      </w:r>
      <w:r>
        <w:instrText xml:space="preserve"> </w:instrText>
      </w:r>
      <w:r>
        <w:rPr>
          <w:rFonts w:hint="eastAsia"/>
        </w:rPr>
        <w:instrText xml:space="preserve">REF _Ref59901513 \r \h</w:instrText>
      </w:r>
      <w:r>
        <w:instrText xml:space="preserve"> </w:instrText>
      </w:r>
      <w:r>
        <w:fldChar w:fldCharType="separate"/>
      </w:r>
      <w:r>
        <w:rPr>
          <w:rFonts w:hint="eastAsia"/>
        </w:rPr>
        <w:t>图31-91</w:t>
      </w:r>
      <w:r>
        <w:fldChar w:fldCharType="end"/>
      </w:r>
      <w:r>
        <w:rPr>
          <w:rFonts w:hint="eastAsia"/>
        </w:rPr>
        <w:t>所示。</w:t>
      </w:r>
    </w:p>
    <w:p w14:paraId="4F2E4019">
      <w:pPr>
        <w:pStyle w:val="188"/>
      </w:pPr>
      <w:bookmarkStart w:id="8701" w:name="_Ref59901513"/>
      <w:bookmarkStart w:id="8702" w:name="_Toc141874853"/>
      <w:r>
        <w:rPr>
          <w:rFonts w:hint="eastAsia"/>
        </w:rPr>
        <w:t>混合认证配置页面</w:t>
      </w:r>
      <w:bookmarkEnd w:id="8701"/>
      <w:bookmarkEnd w:id="8702"/>
    </w:p>
    <w:p w14:paraId="3C5DD0E7">
      <w:r>
        <w:drawing>
          <wp:inline distT="0" distB="0" distL="0" distR="0">
            <wp:extent cx="3136900" cy="1393190"/>
            <wp:effectExtent l="0" t="0" r="6350" b="0"/>
            <wp:docPr id="3961" name="图片 3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1" name="图片 3961"/>
                    <pic:cNvPicPr>
                      <a:picLocks noChangeAspect="1"/>
                    </pic:cNvPicPr>
                  </pic:nvPicPr>
                  <pic:blipFill>
                    <a:blip r:embed="rId1076"/>
                    <a:stretch>
                      <a:fillRect/>
                    </a:stretch>
                  </pic:blipFill>
                  <pic:spPr>
                    <a:xfrm>
                      <a:off x="0" y="0"/>
                      <a:ext cx="3143434" cy="1396302"/>
                    </a:xfrm>
                    <a:prstGeom prst="rect">
                      <a:avLst/>
                    </a:prstGeom>
                  </pic:spPr>
                </pic:pic>
              </a:graphicData>
            </a:graphic>
          </wp:inline>
        </w:drawing>
      </w:r>
    </w:p>
    <w:p w14:paraId="7624153E"/>
    <w:p w14:paraId="614FD7DE">
      <w:r>
        <w:rPr>
          <w:rFonts w:hint="eastAsia"/>
        </w:rPr>
        <w:t>页面的详细说明如</w:t>
      </w:r>
      <w:r>
        <w:fldChar w:fldCharType="begin"/>
      </w:r>
      <w:r>
        <w:instrText xml:space="preserve"> REF _Ref59901484 \r \h </w:instrText>
      </w:r>
      <w:r>
        <w:fldChar w:fldCharType="separate"/>
      </w:r>
      <w:r>
        <w:rPr>
          <w:rFonts w:hint="eastAsia"/>
        </w:rPr>
        <w:t>表31-1</w:t>
      </w:r>
      <w:r>
        <w:fldChar w:fldCharType="end"/>
      </w:r>
      <w:r>
        <w:rPr>
          <w:rFonts w:hint="eastAsia"/>
        </w:rPr>
        <w:t>所示。</w:t>
      </w:r>
    </w:p>
    <w:p w14:paraId="4F1952AA">
      <w:pPr>
        <w:pStyle w:val="183"/>
      </w:pPr>
      <w:bookmarkStart w:id="8703" w:name="_Ref59901484"/>
      <w:bookmarkStart w:id="8704" w:name="_Toc141875581"/>
      <w:r>
        <w:rPr>
          <w:rFonts w:hint="eastAsia"/>
        </w:rPr>
        <w:t>混合配置页面详细说明</w:t>
      </w:r>
      <w:bookmarkEnd w:id="8703"/>
      <w:bookmarkEnd w:id="8704"/>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28C5472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198516A2">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6" w:type="dxa"/>
            <w:tcBorders>
              <w:tl2br w:val="nil"/>
              <w:tr2bl w:val="nil"/>
            </w:tcBorders>
            <w:shd w:val="clear" w:color="auto" w:fill="538135" w:themeFill="accent6" w:themeFillShade="BF"/>
            <w:vAlign w:val="center"/>
          </w:tcPr>
          <w:p w14:paraId="21C1F449">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ECEDFF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334834BB">
            <w:pPr>
              <w:pStyle w:val="150"/>
            </w:pPr>
            <w:r>
              <w:rPr>
                <w:rFonts w:hint="eastAsia"/>
              </w:rPr>
              <w:t>页面跳转</w:t>
            </w:r>
            <w:r>
              <w:t>设置</w:t>
            </w:r>
          </w:p>
        </w:tc>
        <w:tc>
          <w:tcPr>
            <w:tcW w:w="6816" w:type="dxa"/>
            <w:shd w:val="clear" w:color="auto" w:fill="auto"/>
          </w:tcPr>
          <w:p w14:paraId="741BCA4A">
            <w:pPr>
              <w:pStyle w:val="150"/>
            </w:pPr>
            <w:r>
              <w:rPr>
                <w:rFonts w:hint="eastAsia"/>
              </w:rPr>
              <w:t>之前访问的页面：认证成功后跳转到认证前访问的页面；</w:t>
            </w:r>
          </w:p>
          <w:p w14:paraId="692C6959">
            <w:pPr>
              <w:pStyle w:val="150"/>
            </w:pPr>
            <w:r>
              <w:rPr>
                <w:rFonts w:hint="eastAsia"/>
              </w:rPr>
              <w:t>重定向URL：认证成功后将重定向到指定的URL资源页面；</w:t>
            </w:r>
          </w:p>
          <w:p w14:paraId="67D26DE5">
            <w:pPr>
              <w:pStyle w:val="150"/>
            </w:pPr>
            <w:r>
              <w:rPr>
                <w:rFonts w:hint="eastAsia"/>
              </w:rPr>
              <w:t>认证结果页面：认证成功后停留在认证结果页面。</w:t>
            </w:r>
          </w:p>
        </w:tc>
      </w:tr>
    </w:tbl>
    <w:p w14:paraId="31736857"/>
    <w:p w14:paraId="3376A860">
      <w:r>
        <w:t>在导航栏中选择“用户管理 &gt; 认证管理 &gt; 认证策略”，进入认证策略配置界面，勾选启用，认证方式选择“混合认证”，并勾选一个或多个认证方式。认证方式支持微信认证、本地WEB认证、短信认证、访客二维码认证</w:t>
      </w:r>
      <w:r>
        <w:rPr>
          <w:rFonts w:hint="eastAsia"/>
        </w:rPr>
        <w:t>等</w:t>
      </w:r>
      <w:r>
        <w:t>。</w:t>
      </w:r>
    </w:p>
    <w:p w14:paraId="6A262B63">
      <w:pPr>
        <w:pStyle w:val="188"/>
      </w:pPr>
      <w:bookmarkStart w:id="8705" w:name="_Toc141874854"/>
      <w:r>
        <w:t>混合认证配置页面</w:t>
      </w:r>
      <w:bookmarkEnd w:id="8705"/>
    </w:p>
    <w:p w14:paraId="555B5DDD">
      <w:pPr>
        <w:spacing w:before="79" w:after="79"/>
      </w:pPr>
      <w:r>
        <w:drawing>
          <wp:inline distT="0" distB="0" distL="0" distR="0">
            <wp:extent cx="4639945" cy="6271895"/>
            <wp:effectExtent l="0" t="0" r="8255" b="0"/>
            <wp:docPr id="1802027846" name="图片 1802027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46" name="图片 1802027846"/>
                    <pic:cNvPicPr>
                      <a:picLocks noChangeAspect="1"/>
                    </pic:cNvPicPr>
                  </pic:nvPicPr>
                  <pic:blipFill>
                    <a:blip r:embed="rId1077"/>
                    <a:stretch>
                      <a:fillRect/>
                    </a:stretch>
                  </pic:blipFill>
                  <pic:spPr>
                    <a:xfrm>
                      <a:off x="0" y="0"/>
                      <a:ext cx="4651185" cy="6286982"/>
                    </a:xfrm>
                    <a:prstGeom prst="rect">
                      <a:avLst/>
                    </a:prstGeom>
                  </pic:spPr>
                </pic:pic>
              </a:graphicData>
            </a:graphic>
          </wp:inline>
        </w:drawing>
      </w:r>
    </w:p>
    <w:p w14:paraId="2D2CCC84"/>
    <w:p w14:paraId="2AAEA6A4">
      <w:r>
        <w:t>认证方式的配置请参考相关认证方式的配置章节。</w:t>
      </w:r>
    </w:p>
    <w:p w14:paraId="093BAE62">
      <w:pPr>
        <w:pStyle w:val="5"/>
      </w:pPr>
      <w:bookmarkStart w:id="8706" w:name="_Toc194081190"/>
      <w:bookmarkStart w:id="8707" w:name="_Toc196728518"/>
      <w:bookmarkStart w:id="8708" w:name="_Toc9006655"/>
      <w:bookmarkStart w:id="8709" w:name="_Toc15485184"/>
      <w:bookmarkStart w:id="8710" w:name="_Toc40276369"/>
      <w:bookmarkStart w:id="8711" w:name="_Toc99561609"/>
      <w:bookmarkStart w:id="8712" w:name="_Toc141873544"/>
      <w:bookmarkStart w:id="8713" w:name="_Toc172218306"/>
      <w:bookmarkStart w:id="8714" w:name="_Toc142401060"/>
      <w:bookmarkStart w:id="8715" w:name="_Toc23152948"/>
      <w:r>
        <w:rPr>
          <w:rFonts w:hint="eastAsia"/>
        </w:rPr>
        <w:t>认证模板设置</w:t>
      </w:r>
      <w:bookmarkEnd w:id="8706"/>
      <w:bookmarkEnd w:id="8707"/>
      <w:bookmarkEnd w:id="8708"/>
      <w:bookmarkEnd w:id="8709"/>
      <w:bookmarkEnd w:id="8710"/>
      <w:bookmarkEnd w:id="8711"/>
      <w:bookmarkEnd w:id="8712"/>
      <w:bookmarkEnd w:id="8713"/>
      <w:bookmarkEnd w:id="8714"/>
      <w:bookmarkEnd w:id="8715"/>
    </w:p>
    <w:p w14:paraId="519DA00B">
      <w:pPr>
        <w:pStyle w:val="6"/>
      </w:pPr>
      <w:r>
        <w:rPr>
          <w:rFonts w:hint="eastAsia"/>
        </w:rPr>
        <w:t>认证模板设置</w:t>
      </w:r>
    </w:p>
    <w:p w14:paraId="2711B9E9">
      <w:r>
        <w:rPr>
          <w:rFonts w:hint="eastAsia"/>
        </w:rPr>
        <w:t>在导航栏中选择“用户管理&gt;认证管理&gt;认证方式&gt;认证模板设置”，进入认证模板显示页面，页面显示了当前所有认证模板的类型，如</w:t>
      </w:r>
      <w:r>
        <w:rPr>
          <w:color w:val="0000FF"/>
          <w:u w:val="single"/>
        </w:rPr>
        <w:fldChar w:fldCharType="begin"/>
      </w:r>
      <w:r>
        <w:rPr>
          <w:color w:val="0000FF"/>
          <w:u w:val="single"/>
        </w:rPr>
        <w:instrText xml:space="preserve"> REF _Ref458611081 \r \h </w:instrText>
      </w:r>
      <w:r>
        <w:rPr>
          <w:color w:val="0000FF"/>
          <w:u w:val="single"/>
        </w:rPr>
        <w:fldChar w:fldCharType="separate"/>
      </w:r>
      <w:r>
        <w:rPr>
          <w:rFonts w:hint="eastAsia"/>
          <w:color w:val="0000FF"/>
          <w:u w:val="single"/>
        </w:rPr>
        <w:t>图31-93</w:t>
      </w:r>
      <w:r>
        <w:rPr>
          <w:color w:val="0000FF"/>
          <w:u w:val="single"/>
        </w:rPr>
        <w:fldChar w:fldCharType="end"/>
      </w:r>
      <w:r>
        <w:rPr>
          <w:rFonts w:hint="eastAsia"/>
        </w:rPr>
        <w:t>所示。</w:t>
      </w:r>
    </w:p>
    <w:p w14:paraId="6E15F968">
      <w:pPr>
        <w:pStyle w:val="188"/>
      </w:pPr>
      <w:bookmarkStart w:id="8716" w:name="_Toc141874855"/>
      <w:bookmarkStart w:id="8717" w:name="_Ref458611081"/>
      <w:r>
        <w:rPr>
          <w:rFonts w:hint="eastAsia"/>
        </w:rPr>
        <w:t>认证模板设置页面</w:t>
      </w:r>
      <w:bookmarkEnd w:id="8716"/>
      <w:bookmarkEnd w:id="8717"/>
    </w:p>
    <w:p w14:paraId="5C0DFBD9">
      <w:r>
        <w:drawing>
          <wp:inline distT="0" distB="0" distL="0" distR="0">
            <wp:extent cx="5400040" cy="3872230"/>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1078"/>
                    <a:stretch>
                      <a:fillRect/>
                    </a:stretch>
                  </pic:blipFill>
                  <pic:spPr>
                    <a:xfrm>
                      <a:off x="0" y="0"/>
                      <a:ext cx="5400040" cy="3872230"/>
                    </a:xfrm>
                    <a:prstGeom prst="rect">
                      <a:avLst/>
                    </a:prstGeom>
                  </pic:spPr>
                </pic:pic>
              </a:graphicData>
            </a:graphic>
          </wp:inline>
        </w:drawing>
      </w:r>
    </w:p>
    <w:p w14:paraId="1F83916B"/>
    <w:p w14:paraId="156E8AB1">
      <w:pPr>
        <w:pStyle w:val="183"/>
      </w:pPr>
      <w:bookmarkStart w:id="8718" w:name="_Toc141875582"/>
      <w:r>
        <w:rPr>
          <w:rFonts w:hint="eastAsia"/>
        </w:rPr>
        <w:t>认证模板设置页面详细说明</w:t>
      </w:r>
      <w:bookmarkEnd w:id="8718"/>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3FA53C9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4CCB7374">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7" w:type="dxa"/>
            <w:tcBorders>
              <w:tl2br w:val="nil"/>
              <w:tr2bl w:val="nil"/>
            </w:tcBorders>
            <w:shd w:val="clear" w:color="auto" w:fill="538135" w:themeFill="accent6" w:themeFillShade="BF"/>
            <w:vAlign w:val="center"/>
          </w:tcPr>
          <w:p w14:paraId="34190A19">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382A6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1117E90">
            <w:pPr>
              <w:pStyle w:val="150"/>
            </w:pPr>
            <w:r>
              <w:rPr>
                <w:rFonts w:hint="eastAsia"/>
              </w:rPr>
              <w:t>名称</w:t>
            </w:r>
          </w:p>
        </w:tc>
        <w:tc>
          <w:tcPr>
            <w:tcW w:w="6817" w:type="dxa"/>
            <w:shd w:val="clear" w:color="auto" w:fill="auto"/>
          </w:tcPr>
          <w:p w14:paraId="573125C4">
            <w:pPr>
              <w:pStyle w:val="150"/>
            </w:pPr>
            <w:r>
              <w:rPr>
                <w:rFonts w:hint="eastAsia"/>
              </w:rPr>
              <w:t>认证模板名称，不支持编辑。</w:t>
            </w:r>
          </w:p>
        </w:tc>
      </w:tr>
      <w:tr w14:paraId="633A0C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1640DF7E">
            <w:pPr>
              <w:pStyle w:val="150"/>
            </w:pPr>
            <w:r>
              <w:rPr>
                <w:rFonts w:hint="eastAsia"/>
              </w:rPr>
              <w:t>描述</w:t>
            </w:r>
          </w:p>
        </w:tc>
        <w:tc>
          <w:tcPr>
            <w:tcW w:w="6817" w:type="dxa"/>
            <w:shd w:val="clear" w:color="auto" w:fill="auto"/>
          </w:tcPr>
          <w:p w14:paraId="51CA916E">
            <w:pPr>
              <w:pStyle w:val="150"/>
            </w:pPr>
            <w:r>
              <w:rPr>
                <w:rFonts w:hint="eastAsia"/>
              </w:rPr>
              <w:t>认证模板描述，不支持编辑。</w:t>
            </w:r>
          </w:p>
        </w:tc>
      </w:tr>
      <w:tr w14:paraId="36CFCC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505B313">
            <w:pPr>
              <w:pStyle w:val="150"/>
            </w:pPr>
            <w:r>
              <w:rPr>
                <w:rFonts w:hint="eastAsia"/>
              </w:rPr>
              <w:t>预览</w:t>
            </w:r>
          </w:p>
        </w:tc>
        <w:tc>
          <w:tcPr>
            <w:tcW w:w="6817" w:type="dxa"/>
            <w:shd w:val="clear" w:color="auto" w:fill="auto"/>
          </w:tcPr>
          <w:p w14:paraId="06B3B267">
            <w:pPr>
              <w:pStyle w:val="150"/>
            </w:pPr>
            <w:r>
              <w:rPr>
                <w:rFonts w:hint="eastAsia"/>
              </w:rPr>
              <w:t>模板设置完成后支持PC端和移动端效果预览。</w:t>
            </w:r>
          </w:p>
        </w:tc>
      </w:tr>
      <w:tr w14:paraId="45F7F2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CE01FC4">
            <w:pPr>
              <w:pStyle w:val="150"/>
            </w:pPr>
            <w:r>
              <w:rPr>
                <w:rFonts w:hint="eastAsia"/>
              </w:rPr>
              <w:t>操作</w:t>
            </w:r>
          </w:p>
        </w:tc>
        <w:tc>
          <w:tcPr>
            <w:tcW w:w="6817" w:type="dxa"/>
            <w:shd w:val="clear" w:color="auto" w:fill="auto"/>
          </w:tcPr>
          <w:p w14:paraId="1D2F9871">
            <w:pPr>
              <w:pStyle w:val="150"/>
            </w:pPr>
            <w:r>
              <w:rPr>
                <w:rFonts w:hint="eastAsia"/>
              </w:rPr>
              <w:t>对模板进行编辑、重置等操作。</w:t>
            </w:r>
          </w:p>
        </w:tc>
      </w:tr>
    </w:tbl>
    <w:p w14:paraId="5424D512"/>
    <w:p w14:paraId="240EFCAA"/>
    <w:p w14:paraId="6DFFD986">
      <w:pPr>
        <w:pStyle w:val="6"/>
      </w:pPr>
      <w:r>
        <w:rPr>
          <w:rFonts w:hint="eastAsia"/>
        </w:rPr>
        <w:t>本地认证模板</w:t>
      </w:r>
    </w:p>
    <w:p w14:paraId="0B48ECBC">
      <w:r>
        <w:rPr>
          <w:rFonts w:hint="eastAsia"/>
        </w:rPr>
        <w:t>在导航栏中选择“用户管理&gt;认证管理&gt;认证方式&gt;认证模板设置</w:t>
      </w:r>
      <w:r>
        <w:t>&gt;</w:t>
      </w:r>
      <w:r>
        <w:rPr>
          <w:rFonts w:hint="eastAsia"/>
        </w:rPr>
        <w:t>本地认证模板”，点击操作中的</w:t>
      </w:r>
      <w:r>
        <w:t>&lt;</w:t>
      </w:r>
      <w:r>
        <w:rPr>
          <w:rFonts w:hint="eastAsia"/>
        </w:rPr>
        <w:t>编辑</w:t>
      </w:r>
      <w:r>
        <w:t>&gt;</w:t>
      </w:r>
      <w:r>
        <w:rPr>
          <w:rFonts w:hint="eastAsia"/>
        </w:rPr>
        <w:t>按钮进入本地认证模板配置页面，页面显示了当前的本地认证模板配置，如</w:t>
      </w:r>
      <w:r>
        <w:rPr>
          <w:color w:val="0000FF"/>
          <w:u w:val="single"/>
        </w:rPr>
        <w:fldChar w:fldCharType="begin"/>
      </w:r>
      <w:r>
        <w:rPr>
          <w:color w:val="0000FF"/>
          <w:u w:val="single"/>
        </w:rPr>
        <w:instrText xml:space="preserve"> REF _Ref458611105 \r \h </w:instrText>
      </w:r>
      <w:r>
        <w:rPr>
          <w:color w:val="0000FF"/>
          <w:u w:val="single"/>
        </w:rPr>
        <w:fldChar w:fldCharType="separate"/>
      </w:r>
      <w:r>
        <w:rPr>
          <w:rFonts w:hint="eastAsia"/>
          <w:color w:val="0000FF"/>
          <w:u w:val="single"/>
        </w:rPr>
        <w:t>图31-94</w:t>
      </w:r>
      <w:r>
        <w:rPr>
          <w:color w:val="0000FF"/>
          <w:u w:val="single"/>
        </w:rPr>
        <w:fldChar w:fldCharType="end"/>
      </w:r>
      <w:r>
        <w:rPr>
          <w:rFonts w:hint="eastAsia"/>
        </w:rPr>
        <w:t>所示。</w:t>
      </w:r>
    </w:p>
    <w:p w14:paraId="07AE8FF0">
      <w:pPr>
        <w:pStyle w:val="188"/>
      </w:pPr>
      <w:bookmarkStart w:id="8719" w:name="_Toc141874856"/>
      <w:bookmarkStart w:id="8720" w:name="_Ref458611105"/>
      <w:r>
        <w:t>本地认证</w:t>
      </w:r>
      <w:r>
        <w:rPr>
          <w:rFonts w:hint="eastAsia"/>
        </w:rPr>
        <w:t>模板</w:t>
      </w:r>
      <w:r>
        <w:t>配置页面</w:t>
      </w:r>
      <w:bookmarkEnd w:id="8719"/>
      <w:bookmarkEnd w:id="8720"/>
    </w:p>
    <w:p w14:paraId="4ED4A109">
      <w:r>
        <w:drawing>
          <wp:inline distT="0" distB="0" distL="114300" distR="114300">
            <wp:extent cx="4754245" cy="4532630"/>
            <wp:effectExtent l="0" t="0" r="8255" b="1270"/>
            <wp:docPr id="38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2"/>
                    <pic:cNvPicPr>
                      <a:picLocks noChangeAspect="1"/>
                    </pic:cNvPicPr>
                  </pic:nvPicPr>
                  <pic:blipFill>
                    <a:blip r:embed="rId1079"/>
                    <a:stretch>
                      <a:fillRect/>
                    </a:stretch>
                  </pic:blipFill>
                  <pic:spPr>
                    <a:xfrm>
                      <a:off x="0" y="0"/>
                      <a:ext cx="4754245" cy="4532630"/>
                    </a:xfrm>
                    <a:prstGeom prst="rect">
                      <a:avLst/>
                    </a:prstGeom>
                    <a:noFill/>
                    <a:ln>
                      <a:noFill/>
                    </a:ln>
                  </pic:spPr>
                </pic:pic>
              </a:graphicData>
            </a:graphic>
          </wp:inline>
        </w:drawing>
      </w:r>
    </w:p>
    <w:p w14:paraId="4E32AE9C"/>
    <w:p w14:paraId="0961766F">
      <w:r>
        <w:rPr>
          <w:rFonts w:hint="eastAsia"/>
        </w:rPr>
        <w:t>页面的详细说明如</w:t>
      </w:r>
      <w:r>
        <w:fldChar w:fldCharType="begin"/>
      </w:r>
      <w:r>
        <w:instrText xml:space="preserve"> REF _Ref458611162 \r \h </w:instrText>
      </w:r>
      <w:r>
        <w:fldChar w:fldCharType="separate"/>
      </w:r>
      <w:r>
        <w:rPr>
          <w:rFonts w:hint="eastAsia"/>
        </w:rPr>
        <w:t>表31-1</w:t>
      </w:r>
      <w:r>
        <w:fldChar w:fldCharType="end"/>
      </w:r>
      <w:r>
        <w:rPr>
          <w:rFonts w:hint="eastAsia"/>
        </w:rPr>
        <w:t>所示。</w:t>
      </w:r>
    </w:p>
    <w:p w14:paraId="7B09390B">
      <w:pPr>
        <w:pStyle w:val="183"/>
      </w:pPr>
      <w:bookmarkStart w:id="8721" w:name="_Ref458611162"/>
      <w:bookmarkStart w:id="8722" w:name="_Toc141875583"/>
      <w:r>
        <w:rPr>
          <w:rFonts w:hint="eastAsia"/>
        </w:rPr>
        <w:t>本地认证模板配置详细说明</w:t>
      </w:r>
      <w:bookmarkEnd w:id="8721"/>
      <w:bookmarkEnd w:id="8722"/>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22A854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2BDE4818">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7" w:type="dxa"/>
            <w:tcBorders>
              <w:tl2br w:val="nil"/>
              <w:tr2bl w:val="nil"/>
            </w:tcBorders>
            <w:shd w:val="clear" w:color="auto" w:fill="538135" w:themeFill="accent6" w:themeFillShade="BF"/>
            <w:vAlign w:val="center"/>
          </w:tcPr>
          <w:p w14:paraId="0980862E">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6FD321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2EC9F7E4">
            <w:pPr>
              <w:pStyle w:val="150"/>
            </w:pPr>
            <w:r>
              <w:rPr>
                <w:rFonts w:hint="eastAsia"/>
              </w:rPr>
              <w:t>标签页名称</w:t>
            </w:r>
          </w:p>
        </w:tc>
        <w:tc>
          <w:tcPr>
            <w:tcW w:w="6817" w:type="dxa"/>
            <w:shd w:val="clear" w:color="auto" w:fill="auto"/>
          </w:tcPr>
          <w:p w14:paraId="1537C13E">
            <w:pPr>
              <w:pStyle w:val="150"/>
            </w:pPr>
            <w:r>
              <w:rPr>
                <w:rFonts w:hint="eastAsia"/>
              </w:rPr>
              <w:t>本地认证</w:t>
            </w:r>
            <w:r>
              <w:t>P</w:t>
            </w:r>
            <w:r>
              <w:rPr>
                <w:rFonts w:hint="eastAsia"/>
              </w:rPr>
              <w:t>ortal页面显示的标签名称。</w:t>
            </w:r>
          </w:p>
        </w:tc>
      </w:tr>
      <w:tr w14:paraId="3F07410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A76F8D8">
            <w:pPr>
              <w:pStyle w:val="150"/>
            </w:pPr>
            <w:r>
              <w:rPr>
                <w:rFonts w:hint="eastAsia"/>
              </w:rPr>
              <w:t>欢迎词</w:t>
            </w:r>
          </w:p>
        </w:tc>
        <w:tc>
          <w:tcPr>
            <w:tcW w:w="6817" w:type="dxa"/>
            <w:shd w:val="clear" w:color="auto" w:fill="auto"/>
          </w:tcPr>
          <w:p w14:paraId="11352634">
            <w:pPr>
              <w:pStyle w:val="150"/>
            </w:pPr>
            <w:r>
              <w:rPr>
                <w:rFonts w:hint="eastAsia"/>
              </w:rPr>
              <w:t>本地认证模板欢迎词。</w:t>
            </w:r>
          </w:p>
        </w:tc>
      </w:tr>
      <w:tr w14:paraId="2C71DA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1457775A">
            <w:pPr>
              <w:pStyle w:val="150"/>
            </w:pPr>
            <w:r>
              <w:rPr>
                <w:rFonts w:hint="eastAsia"/>
              </w:rPr>
              <w:t>免责声明</w:t>
            </w:r>
          </w:p>
        </w:tc>
        <w:tc>
          <w:tcPr>
            <w:tcW w:w="6817" w:type="dxa"/>
            <w:shd w:val="clear" w:color="auto" w:fill="auto"/>
          </w:tcPr>
          <w:p w14:paraId="7A8A732F">
            <w:pPr>
              <w:pStyle w:val="150"/>
            </w:pPr>
            <w:r>
              <w:rPr>
                <w:rFonts w:hint="eastAsia"/>
              </w:rPr>
              <w:t>本地认证模板免责声明。</w:t>
            </w:r>
          </w:p>
        </w:tc>
      </w:tr>
      <w:tr w14:paraId="2B74EF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26E470CC">
            <w:pPr>
              <w:pStyle w:val="150"/>
            </w:pPr>
            <w:r>
              <w:rPr>
                <w:rFonts w:hint="eastAsia"/>
              </w:rPr>
              <w:t>按钮颜色</w:t>
            </w:r>
          </w:p>
        </w:tc>
        <w:tc>
          <w:tcPr>
            <w:tcW w:w="6817" w:type="dxa"/>
            <w:shd w:val="clear" w:color="auto" w:fill="auto"/>
          </w:tcPr>
          <w:p w14:paraId="24C81907">
            <w:pPr>
              <w:pStyle w:val="150"/>
            </w:pPr>
            <w:r>
              <w:rPr>
                <w:rFonts w:hint="eastAsia"/>
              </w:rPr>
              <w:t>登录按钮颜色。</w:t>
            </w:r>
          </w:p>
        </w:tc>
      </w:tr>
      <w:tr w14:paraId="685115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027C3EE">
            <w:pPr>
              <w:pStyle w:val="150"/>
            </w:pPr>
            <w:r>
              <w:t>L</w:t>
            </w:r>
            <w:r>
              <w:rPr>
                <w:rFonts w:hint="eastAsia"/>
              </w:rPr>
              <w:t>ogo图片</w:t>
            </w:r>
          </w:p>
        </w:tc>
        <w:tc>
          <w:tcPr>
            <w:tcW w:w="6817" w:type="dxa"/>
            <w:shd w:val="clear" w:color="auto" w:fill="auto"/>
          </w:tcPr>
          <w:p w14:paraId="50946770">
            <w:pPr>
              <w:pStyle w:val="150"/>
            </w:pPr>
            <w:r>
              <w:rPr>
                <w:rFonts w:hint="eastAsia"/>
              </w:rPr>
              <w:t>Logo图片设置</w:t>
            </w:r>
            <w:r>
              <w:t xml:space="preserve"> 。</w:t>
            </w:r>
          </w:p>
        </w:tc>
      </w:tr>
      <w:tr w14:paraId="14171D5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9BA179F">
            <w:pPr>
              <w:pStyle w:val="150"/>
            </w:pPr>
            <w:r>
              <w:rPr>
                <w:rFonts w:hint="eastAsia"/>
              </w:rPr>
              <w:t>背景图片</w:t>
            </w:r>
          </w:p>
        </w:tc>
        <w:tc>
          <w:tcPr>
            <w:tcW w:w="6817" w:type="dxa"/>
            <w:shd w:val="clear" w:color="auto" w:fill="auto"/>
          </w:tcPr>
          <w:p w14:paraId="4328ECF4">
            <w:pPr>
              <w:pStyle w:val="150"/>
            </w:pPr>
            <w:r>
              <w:rPr>
                <w:rFonts w:hint="eastAsia"/>
              </w:rPr>
              <w:t>本地认证Portal页面背景图片。</w:t>
            </w:r>
          </w:p>
        </w:tc>
      </w:tr>
    </w:tbl>
    <w:p w14:paraId="55CD5E22"/>
    <w:p w14:paraId="42A11BCA">
      <w:r>
        <w:rPr>
          <w:rFonts w:hint="eastAsia"/>
        </w:rPr>
        <w:t>输入完毕后，点击</w:t>
      </w:r>
      <w:r>
        <w:t>&lt;</w:t>
      </w:r>
      <w:r>
        <w:rPr>
          <w:rFonts w:hint="eastAsia"/>
        </w:rPr>
        <w:t>提交</w:t>
      </w:r>
      <w:r>
        <w:t>&gt;</w:t>
      </w:r>
      <w:r>
        <w:rPr>
          <w:rFonts w:hint="eastAsia"/>
        </w:rPr>
        <w:t>按钮，应用配置，点击</w:t>
      </w:r>
      <w:r>
        <w:t>&lt;</w:t>
      </w:r>
      <w:r>
        <w:rPr>
          <w:rFonts w:hint="eastAsia"/>
        </w:rPr>
        <w:t>取消</w:t>
      </w:r>
      <w:r>
        <w:t>&gt;</w:t>
      </w:r>
      <w:r>
        <w:rPr>
          <w:rFonts w:hint="eastAsia"/>
        </w:rPr>
        <w:t>按钮，取消配置修改。</w:t>
      </w:r>
    </w:p>
    <w:p w14:paraId="39B3DB44">
      <w:r>
        <w:rPr>
          <w:rFonts w:hint="eastAsia"/>
        </w:rPr>
        <w:t>点击预览</w:t>
      </w:r>
      <w:r>
        <w:drawing>
          <wp:inline distT="0" distB="0" distL="0" distR="0">
            <wp:extent cx="209550" cy="180975"/>
            <wp:effectExtent l="0" t="0" r="0" b="9525"/>
            <wp:docPr id="1388" name="图片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 name="图片 1388"/>
                    <pic:cNvPicPr>
                      <a:picLocks noChangeAspect="1"/>
                    </pic:cNvPicPr>
                  </pic:nvPicPr>
                  <pic:blipFill>
                    <a:blip r:embed="rId1080"/>
                    <a:stretch>
                      <a:fillRect/>
                    </a:stretch>
                  </pic:blipFill>
                  <pic:spPr>
                    <a:xfrm>
                      <a:off x="0" y="0"/>
                      <a:ext cx="209550" cy="180975"/>
                    </a:xfrm>
                    <a:prstGeom prst="rect">
                      <a:avLst/>
                    </a:prstGeom>
                  </pic:spPr>
                </pic:pic>
              </a:graphicData>
            </a:graphic>
          </wp:inline>
        </w:drawing>
      </w:r>
      <w:r>
        <w:t xml:space="preserve"> </w:t>
      </w:r>
      <w:r>
        <w:rPr>
          <w:rFonts w:hint="eastAsia"/>
        </w:rPr>
        <w:t>图标查看</w:t>
      </w:r>
      <w:r>
        <w:t>PC</w:t>
      </w:r>
      <w:r>
        <w:rPr>
          <w:rFonts w:hint="eastAsia"/>
        </w:rPr>
        <w:t>终端预览效果，如</w:t>
      </w:r>
      <w:r>
        <w:fldChar w:fldCharType="begin"/>
      </w:r>
      <w:r>
        <w:instrText xml:space="preserve"> REF _Ref458611223 \r \h </w:instrText>
      </w:r>
      <w:r>
        <w:fldChar w:fldCharType="separate"/>
      </w:r>
      <w:r>
        <w:rPr>
          <w:rFonts w:hint="eastAsia"/>
        </w:rPr>
        <w:t>图31-95</w:t>
      </w:r>
      <w:r>
        <w:fldChar w:fldCharType="end"/>
      </w:r>
      <w:r>
        <w:rPr>
          <w:rFonts w:hint="eastAsia"/>
        </w:rPr>
        <w:t>所示。</w:t>
      </w:r>
    </w:p>
    <w:p w14:paraId="43EF9319">
      <w:pPr>
        <w:pStyle w:val="188"/>
      </w:pPr>
      <w:bookmarkStart w:id="8723" w:name="_Ref458611223"/>
      <w:bookmarkStart w:id="8724" w:name="_Toc141874857"/>
      <w:r>
        <w:rPr>
          <w:rFonts w:hint="eastAsia"/>
        </w:rPr>
        <w:t>本地认证模板PC终端预览效果</w:t>
      </w:r>
      <w:bookmarkEnd w:id="8723"/>
      <w:bookmarkEnd w:id="8724"/>
    </w:p>
    <w:p w14:paraId="58EB064A">
      <w:r>
        <w:drawing>
          <wp:inline distT="0" distB="0" distL="0" distR="0">
            <wp:extent cx="5400040" cy="2216785"/>
            <wp:effectExtent l="0" t="0" r="0" b="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pic:cNvPicPr>
                      <a:picLocks noChangeAspect="1"/>
                    </pic:cNvPicPr>
                  </pic:nvPicPr>
                  <pic:blipFill>
                    <a:blip r:embed="rId1081"/>
                    <a:stretch>
                      <a:fillRect/>
                    </a:stretch>
                  </pic:blipFill>
                  <pic:spPr>
                    <a:xfrm>
                      <a:off x="0" y="0"/>
                      <a:ext cx="5400040" cy="2216785"/>
                    </a:xfrm>
                    <a:prstGeom prst="rect">
                      <a:avLst/>
                    </a:prstGeom>
                  </pic:spPr>
                </pic:pic>
              </a:graphicData>
            </a:graphic>
          </wp:inline>
        </w:drawing>
      </w:r>
    </w:p>
    <w:p w14:paraId="4B5D276A"/>
    <w:p w14:paraId="4FBDE1E0">
      <w:r>
        <w:rPr>
          <w:rFonts w:hint="eastAsia"/>
        </w:rPr>
        <w:t>点击预览</w:t>
      </w:r>
      <w:r>
        <w:drawing>
          <wp:inline distT="0" distB="0" distL="0" distR="0">
            <wp:extent cx="133350" cy="209550"/>
            <wp:effectExtent l="0" t="0" r="0" b="0"/>
            <wp:docPr id="1390" name="图片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 name="图片 1390"/>
                    <pic:cNvPicPr>
                      <a:picLocks noChangeAspect="1"/>
                    </pic:cNvPicPr>
                  </pic:nvPicPr>
                  <pic:blipFill>
                    <a:blip r:embed="rId1082"/>
                    <a:stretch>
                      <a:fillRect/>
                    </a:stretch>
                  </pic:blipFill>
                  <pic:spPr>
                    <a:xfrm>
                      <a:off x="0" y="0"/>
                      <a:ext cx="133350" cy="209550"/>
                    </a:xfrm>
                    <a:prstGeom prst="rect">
                      <a:avLst/>
                    </a:prstGeom>
                  </pic:spPr>
                </pic:pic>
              </a:graphicData>
            </a:graphic>
          </wp:inline>
        </w:drawing>
      </w:r>
      <w:r>
        <w:rPr>
          <w:rFonts w:hint="eastAsia"/>
        </w:rPr>
        <w:t>图标查看移动终端预览效果，如</w:t>
      </w:r>
      <w:r>
        <w:fldChar w:fldCharType="begin"/>
      </w:r>
      <w:r>
        <w:instrText xml:space="preserve"> REF _Ref458611287 \r \h </w:instrText>
      </w:r>
      <w:r>
        <w:fldChar w:fldCharType="separate"/>
      </w:r>
      <w:r>
        <w:rPr>
          <w:rFonts w:hint="eastAsia"/>
        </w:rPr>
        <w:t>图31-96</w:t>
      </w:r>
      <w:r>
        <w:fldChar w:fldCharType="end"/>
      </w:r>
      <w:r>
        <w:rPr>
          <w:rFonts w:hint="eastAsia"/>
        </w:rPr>
        <w:t>所示。</w:t>
      </w:r>
    </w:p>
    <w:p w14:paraId="428F3C72">
      <w:pPr>
        <w:pStyle w:val="188"/>
      </w:pPr>
      <w:bookmarkStart w:id="8725" w:name="_Toc141874858"/>
      <w:bookmarkStart w:id="8726" w:name="_Ref458611287"/>
      <w:r>
        <w:rPr>
          <w:rFonts w:hint="eastAsia"/>
        </w:rPr>
        <w:t>本地认证模板移动终端预览效果</w:t>
      </w:r>
      <w:bookmarkEnd w:id="8725"/>
      <w:bookmarkEnd w:id="8726"/>
    </w:p>
    <w:p w14:paraId="0C0EB4BD">
      <w:pPr>
        <w:spacing w:before="79" w:after="79"/>
      </w:pPr>
      <w:r>
        <w:drawing>
          <wp:inline distT="0" distB="0" distL="0" distR="0">
            <wp:extent cx="1819275" cy="3453765"/>
            <wp:effectExtent l="0" t="0" r="0" b="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pic:cNvPicPr>
                  </pic:nvPicPr>
                  <pic:blipFill>
                    <a:blip r:embed="rId1083">
                      <a:extLst>
                        <a:ext uri="{28A0092B-C50C-407E-A947-70E740481C1C}">
                          <a14:useLocalDpi xmlns:a14="http://schemas.microsoft.com/office/drawing/2010/main" val="0"/>
                        </a:ext>
                      </a:extLst>
                    </a:blip>
                    <a:stretch>
                      <a:fillRect/>
                    </a:stretch>
                  </pic:blipFill>
                  <pic:spPr>
                    <a:xfrm>
                      <a:off x="0" y="0"/>
                      <a:ext cx="1823280" cy="3461509"/>
                    </a:xfrm>
                    <a:prstGeom prst="rect">
                      <a:avLst/>
                    </a:prstGeom>
                  </pic:spPr>
                </pic:pic>
              </a:graphicData>
            </a:graphic>
          </wp:inline>
        </w:drawing>
      </w:r>
    </w:p>
    <w:p w14:paraId="2B38698A"/>
    <w:p w14:paraId="2E35936C">
      <w:pPr>
        <w:pStyle w:val="6"/>
      </w:pPr>
      <w:r>
        <w:rPr>
          <w:rFonts w:hint="eastAsia"/>
        </w:rPr>
        <w:t>微信认证模板</w:t>
      </w:r>
    </w:p>
    <w:p w14:paraId="58656A3A">
      <w:r>
        <w:rPr>
          <w:rFonts w:hint="eastAsia"/>
        </w:rPr>
        <w:t>在导航栏中选择“用户管理&gt;认证管理&gt;认证方式&gt;认证模板设置</w:t>
      </w:r>
      <w:r>
        <w:t>&gt;</w:t>
      </w:r>
      <w:r>
        <w:rPr>
          <w:rFonts w:hint="eastAsia"/>
        </w:rPr>
        <w:t>微信认证模板”，点击操作中的</w:t>
      </w:r>
      <w:r>
        <w:t>&lt;</w:t>
      </w:r>
      <w:r>
        <w:rPr>
          <w:rFonts w:hint="eastAsia"/>
        </w:rPr>
        <w:t>编辑</w:t>
      </w:r>
      <w:r>
        <w:t>&gt;</w:t>
      </w:r>
      <w:r>
        <w:rPr>
          <w:rFonts w:hint="eastAsia"/>
        </w:rPr>
        <w:t>按钮进入微信认证模板配置页面，页面显示了当前的微信认证模板配置，如</w:t>
      </w:r>
      <w:r>
        <w:rPr>
          <w:color w:val="0000FF"/>
          <w:u w:val="single"/>
        </w:rPr>
        <w:fldChar w:fldCharType="begin"/>
      </w:r>
      <w:r>
        <w:rPr>
          <w:color w:val="0000FF"/>
          <w:u w:val="single"/>
        </w:rPr>
        <w:instrText xml:space="preserve"> REF _Ref458611318 \r \h </w:instrText>
      </w:r>
      <w:r>
        <w:rPr>
          <w:color w:val="0000FF"/>
          <w:u w:val="single"/>
        </w:rPr>
        <w:fldChar w:fldCharType="separate"/>
      </w:r>
      <w:r>
        <w:rPr>
          <w:rFonts w:hint="eastAsia"/>
          <w:color w:val="0000FF"/>
          <w:u w:val="single"/>
        </w:rPr>
        <w:t>图31-97</w:t>
      </w:r>
      <w:r>
        <w:rPr>
          <w:color w:val="0000FF"/>
          <w:u w:val="single"/>
        </w:rPr>
        <w:fldChar w:fldCharType="end"/>
      </w:r>
      <w:r>
        <w:rPr>
          <w:rFonts w:hint="eastAsia"/>
        </w:rPr>
        <w:t>所示。</w:t>
      </w:r>
    </w:p>
    <w:p w14:paraId="45A924A9">
      <w:pPr>
        <w:pStyle w:val="188"/>
      </w:pPr>
      <w:bookmarkStart w:id="8727" w:name="_Toc141874859"/>
      <w:bookmarkStart w:id="8728" w:name="_Ref458611318"/>
      <w:r>
        <w:rPr>
          <w:rFonts w:hint="eastAsia"/>
        </w:rPr>
        <w:t>微信</w:t>
      </w:r>
      <w:r>
        <w:t>认证</w:t>
      </w:r>
      <w:r>
        <w:rPr>
          <w:rFonts w:hint="eastAsia"/>
        </w:rPr>
        <w:t>模板</w:t>
      </w:r>
      <w:r>
        <w:t>配置页面</w:t>
      </w:r>
      <w:bookmarkEnd w:id="8727"/>
      <w:bookmarkEnd w:id="8728"/>
    </w:p>
    <w:p w14:paraId="04F04F53">
      <w:r>
        <w:drawing>
          <wp:inline distT="0" distB="0" distL="114300" distR="114300">
            <wp:extent cx="4418965" cy="3431540"/>
            <wp:effectExtent l="0" t="0" r="635" b="16510"/>
            <wp:docPr id="82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图片 34"/>
                    <pic:cNvPicPr>
                      <a:picLocks noChangeAspect="1"/>
                    </pic:cNvPicPr>
                  </pic:nvPicPr>
                  <pic:blipFill>
                    <a:blip r:embed="rId1084"/>
                    <a:stretch>
                      <a:fillRect/>
                    </a:stretch>
                  </pic:blipFill>
                  <pic:spPr>
                    <a:xfrm>
                      <a:off x="0" y="0"/>
                      <a:ext cx="4418965" cy="3431540"/>
                    </a:xfrm>
                    <a:prstGeom prst="rect">
                      <a:avLst/>
                    </a:prstGeom>
                    <a:noFill/>
                    <a:ln>
                      <a:noFill/>
                    </a:ln>
                  </pic:spPr>
                </pic:pic>
              </a:graphicData>
            </a:graphic>
          </wp:inline>
        </w:drawing>
      </w:r>
    </w:p>
    <w:p w14:paraId="121FD429"/>
    <w:p w14:paraId="6A1AD46D">
      <w:r>
        <w:rPr>
          <w:rFonts w:hint="eastAsia"/>
        </w:rPr>
        <w:t>页面的详细说明如</w:t>
      </w:r>
      <w:r>
        <w:fldChar w:fldCharType="begin"/>
      </w:r>
      <w:r>
        <w:instrText xml:space="preserve"> REF _Ref458611338 \r \h </w:instrText>
      </w:r>
      <w:r>
        <w:fldChar w:fldCharType="separate"/>
      </w:r>
      <w:r>
        <w:rPr>
          <w:rFonts w:hint="eastAsia"/>
        </w:rPr>
        <w:t>表31-1</w:t>
      </w:r>
      <w:r>
        <w:fldChar w:fldCharType="end"/>
      </w:r>
      <w:r>
        <w:rPr>
          <w:rFonts w:hint="eastAsia"/>
        </w:rPr>
        <w:t>所示。</w:t>
      </w:r>
    </w:p>
    <w:p w14:paraId="225447E5">
      <w:pPr>
        <w:pStyle w:val="183"/>
      </w:pPr>
      <w:bookmarkStart w:id="8729" w:name="_Ref458611338"/>
      <w:bookmarkStart w:id="8730" w:name="_Toc141875584"/>
      <w:r>
        <w:rPr>
          <w:rFonts w:hint="eastAsia"/>
        </w:rPr>
        <w:t>微信认证模板配置详细说明</w:t>
      </w:r>
      <w:bookmarkEnd w:id="8729"/>
      <w:bookmarkEnd w:id="8730"/>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73B3442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1656DE0E">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6" w:type="dxa"/>
            <w:tcBorders>
              <w:tl2br w:val="nil"/>
              <w:tr2bl w:val="nil"/>
            </w:tcBorders>
            <w:shd w:val="clear" w:color="auto" w:fill="538135" w:themeFill="accent6" w:themeFillShade="BF"/>
            <w:vAlign w:val="center"/>
          </w:tcPr>
          <w:p w14:paraId="1D918BF7">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A27F8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3F4A08DF">
            <w:pPr>
              <w:pStyle w:val="150"/>
            </w:pPr>
            <w:r>
              <w:rPr>
                <w:rFonts w:hint="eastAsia"/>
              </w:rPr>
              <w:t>标签页名称</w:t>
            </w:r>
          </w:p>
        </w:tc>
        <w:tc>
          <w:tcPr>
            <w:tcW w:w="6816" w:type="dxa"/>
            <w:shd w:val="clear" w:color="auto" w:fill="auto"/>
          </w:tcPr>
          <w:p w14:paraId="16432D27">
            <w:pPr>
              <w:pStyle w:val="150"/>
            </w:pPr>
            <w:r>
              <w:rPr>
                <w:rFonts w:hint="eastAsia"/>
              </w:rPr>
              <w:t>微信认证</w:t>
            </w:r>
            <w:r>
              <w:t>P</w:t>
            </w:r>
            <w:r>
              <w:rPr>
                <w:rFonts w:hint="eastAsia"/>
              </w:rPr>
              <w:t>ortal页面显示的标签名称。</w:t>
            </w:r>
          </w:p>
        </w:tc>
      </w:tr>
      <w:tr w14:paraId="66FB00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A6F5D99">
            <w:pPr>
              <w:pStyle w:val="150"/>
            </w:pPr>
            <w:r>
              <w:rPr>
                <w:rFonts w:hint="eastAsia"/>
              </w:rPr>
              <w:t>欢迎词</w:t>
            </w:r>
          </w:p>
        </w:tc>
        <w:tc>
          <w:tcPr>
            <w:tcW w:w="6816" w:type="dxa"/>
            <w:shd w:val="clear" w:color="auto" w:fill="auto"/>
          </w:tcPr>
          <w:p w14:paraId="7D66ACAA">
            <w:pPr>
              <w:pStyle w:val="150"/>
            </w:pPr>
            <w:r>
              <w:rPr>
                <w:rFonts w:hint="eastAsia"/>
              </w:rPr>
              <w:t>微信认证模板欢迎词。</w:t>
            </w:r>
          </w:p>
        </w:tc>
      </w:tr>
      <w:tr w14:paraId="59CF3E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6419E87">
            <w:pPr>
              <w:pStyle w:val="150"/>
            </w:pPr>
            <w:r>
              <w:rPr>
                <w:rFonts w:hint="eastAsia"/>
              </w:rPr>
              <w:t>免责声明</w:t>
            </w:r>
          </w:p>
        </w:tc>
        <w:tc>
          <w:tcPr>
            <w:tcW w:w="6816" w:type="dxa"/>
            <w:shd w:val="clear" w:color="auto" w:fill="auto"/>
          </w:tcPr>
          <w:p w14:paraId="5E6B6A06">
            <w:pPr>
              <w:pStyle w:val="150"/>
            </w:pPr>
            <w:r>
              <w:rPr>
                <w:rFonts w:hint="eastAsia"/>
              </w:rPr>
              <w:t>微信认证模板免责声明。</w:t>
            </w:r>
          </w:p>
        </w:tc>
      </w:tr>
      <w:tr w14:paraId="1E6745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7EABD0EB">
            <w:pPr>
              <w:pStyle w:val="150"/>
            </w:pPr>
            <w:r>
              <w:t>L</w:t>
            </w:r>
            <w:r>
              <w:rPr>
                <w:rFonts w:hint="eastAsia"/>
              </w:rPr>
              <w:t>ogo图片</w:t>
            </w:r>
          </w:p>
        </w:tc>
        <w:tc>
          <w:tcPr>
            <w:tcW w:w="6816" w:type="dxa"/>
            <w:shd w:val="clear" w:color="auto" w:fill="auto"/>
          </w:tcPr>
          <w:p w14:paraId="207AB465">
            <w:pPr>
              <w:pStyle w:val="150"/>
            </w:pPr>
            <w:r>
              <w:rPr>
                <w:rFonts w:hint="eastAsia"/>
              </w:rPr>
              <w:t>Logo图片设置</w:t>
            </w:r>
            <w:r>
              <w:t xml:space="preserve"> 。</w:t>
            </w:r>
          </w:p>
        </w:tc>
      </w:tr>
      <w:tr w14:paraId="713254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7AD8C226">
            <w:pPr>
              <w:pStyle w:val="150"/>
            </w:pPr>
            <w:r>
              <w:rPr>
                <w:rFonts w:hint="eastAsia"/>
              </w:rPr>
              <w:t>背景图片</w:t>
            </w:r>
          </w:p>
        </w:tc>
        <w:tc>
          <w:tcPr>
            <w:tcW w:w="6816" w:type="dxa"/>
            <w:shd w:val="clear" w:color="auto" w:fill="auto"/>
          </w:tcPr>
          <w:p w14:paraId="689D2F74">
            <w:pPr>
              <w:pStyle w:val="150"/>
            </w:pPr>
            <w:r>
              <w:rPr>
                <w:rFonts w:hint="eastAsia"/>
              </w:rPr>
              <w:t>微信认证Portal页面背景图片。</w:t>
            </w:r>
          </w:p>
        </w:tc>
      </w:tr>
    </w:tbl>
    <w:p w14:paraId="32E17B49"/>
    <w:p w14:paraId="0F437ADC">
      <w:r>
        <w:rPr>
          <w:rFonts w:hint="eastAsia"/>
        </w:rPr>
        <w:t>输入完毕后，点击</w:t>
      </w:r>
      <w:r>
        <w:t>&lt;</w:t>
      </w:r>
      <w:r>
        <w:rPr>
          <w:rFonts w:hint="eastAsia"/>
        </w:rPr>
        <w:t>提交</w:t>
      </w:r>
      <w:r>
        <w:t>&gt;</w:t>
      </w:r>
      <w:r>
        <w:rPr>
          <w:rFonts w:hint="eastAsia"/>
        </w:rPr>
        <w:t>按钮，应用配置，点击</w:t>
      </w:r>
      <w:r>
        <w:t>&lt;</w:t>
      </w:r>
      <w:r>
        <w:rPr>
          <w:rFonts w:hint="eastAsia"/>
        </w:rPr>
        <w:t>取消</w:t>
      </w:r>
      <w:r>
        <w:t>&gt;</w:t>
      </w:r>
      <w:r>
        <w:rPr>
          <w:rFonts w:hint="eastAsia"/>
        </w:rPr>
        <w:t>按钮，取消配置修改。</w:t>
      </w:r>
    </w:p>
    <w:p w14:paraId="2ACD0D82">
      <w:r>
        <w:rPr>
          <w:rFonts w:hint="eastAsia"/>
        </w:rPr>
        <w:t>点击操作中的</w:t>
      </w:r>
      <w:r>
        <w:t>&lt;</w:t>
      </w:r>
      <w:r>
        <w:rPr>
          <w:rFonts w:hint="eastAsia"/>
        </w:rPr>
        <w:t>成功页面编辑</w:t>
      </w:r>
      <w:r>
        <w:t>&gt;</w:t>
      </w:r>
      <w:r>
        <w:rPr>
          <w:rFonts w:hint="eastAsia"/>
        </w:rPr>
        <w:t>按钮进入微信认证商家页面模板配置，页面显示了当前的微信认证商家页面模板配置，如</w:t>
      </w:r>
      <w:r>
        <w:rPr>
          <w:color w:val="0000FF"/>
          <w:u w:val="single"/>
        </w:rPr>
        <w:fldChar w:fldCharType="begin"/>
      </w:r>
      <w:r>
        <w:rPr>
          <w:color w:val="0000FF"/>
          <w:u w:val="single"/>
        </w:rPr>
        <w:instrText xml:space="preserve"> REF _Ref458611360 \r \h </w:instrText>
      </w:r>
      <w:r>
        <w:rPr>
          <w:color w:val="0000FF"/>
          <w:u w:val="single"/>
        </w:rPr>
        <w:fldChar w:fldCharType="separate"/>
      </w:r>
      <w:r>
        <w:rPr>
          <w:rFonts w:hint="eastAsia"/>
          <w:color w:val="0000FF"/>
          <w:u w:val="single"/>
        </w:rPr>
        <w:t>图31-98</w:t>
      </w:r>
      <w:r>
        <w:rPr>
          <w:color w:val="0000FF"/>
          <w:u w:val="single"/>
        </w:rPr>
        <w:fldChar w:fldCharType="end"/>
      </w:r>
      <w:r>
        <w:rPr>
          <w:rFonts w:hint="eastAsia"/>
        </w:rPr>
        <w:t>所示。</w:t>
      </w:r>
    </w:p>
    <w:p w14:paraId="178C07ED">
      <w:pPr>
        <w:pStyle w:val="188"/>
      </w:pPr>
      <w:bookmarkStart w:id="8731" w:name="_Toc141874860"/>
      <w:bookmarkStart w:id="8732" w:name="_Ref458611360"/>
      <w:r>
        <w:rPr>
          <w:rFonts w:hint="eastAsia"/>
        </w:rPr>
        <w:t>微信</w:t>
      </w:r>
      <w:r>
        <w:t>认证</w:t>
      </w:r>
      <w:r>
        <w:rPr>
          <w:rFonts w:hint="eastAsia"/>
        </w:rPr>
        <w:t>商家页面模板</w:t>
      </w:r>
      <w:r>
        <w:t>配置</w:t>
      </w:r>
      <w:bookmarkEnd w:id="8731"/>
      <w:bookmarkEnd w:id="8732"/>
    </w:p>
    <w:p w14:paraId="7218BE73">
      <w:r>
        <w:drawing>
          <wp:inline distT="0" distB="0" distL="114300" distR="114300">
            <wp:extent cx="4709160" cy="2694940"/>
            <wp:effectExtent l="0" t="0" r="15240" b="10160"/>
            <wp:docPr id="82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图片 35"/>
                    <pic:cNvPicPr>
                      <a:picLocks noChangeAspect="1"/>
                    </pic:cNvPicPr>
                  </pic:nvPicPr>
                  <pic:blipFill>
                    <a:blip r:embed="rId1085"/>
                    <a:stretch>
                      <a:fillRect/>
                    </a:stretch>
                  </pic:blipFill>
                  <pic:spPr>
                    <a:xfrm>
                      <a:off x="0" y="0"/>
                      <a:ext cx="4709160" cy="2694940"/>
                    </a:xfrm>
                    <a:prstGeom prst="rect">
                      <a:avLst/>
                    </a:prstGeom>
                    <a:noFill/>
                    <a:ln>
                      <a:noFill/>
                    </a:ln>
                  </pic:spPr>
                </pic:pic>
              </a:graphicData>
            </a:graphic>
          </wp:inline>
        </w:drawing>
      </w:r>
    </w:p>
    <w:p w14:paraId="3A4F3A30"/>
    <w:p w14:paraId="0C781962">
      <w:r>
        <w:rPr>
          <w:rFonts w:hint="eastAsia"/>
        </w:rPr>
        <w:t>页面详细说明如下表所示。</w:t>
      </w:r>
    </w:p>
    <w:p w14:paraId="76728530">
      <w:pPr>
        <w:pStyle w:val="183"/>
      </w:pPr>
      <w:bookmarkStart w:id="8733" w:name="_Toc141875585"/>
      <w:r>
        <w:rPr>
          <w:rFonts w:hint="eastAsia"/>
        </w:rPr>
        <w:t>微信认证商家页面模板配置详细说明</w:t>
      </w:r>
      <w:bookmarkEnd w:id="8733"/>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3DE2E75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tcBorders>
              <w:tl2br w:val="nil"/>
              <w:tr2bl w:val="nil"/>
            </w:tcBorders>
            <w:shd w:val="clear" w:color="auto" w:fill="538135" w:themeFill="accent6" w:themeFillShade="BF"/>
            <w:vAlign w:val="center"/>
          </w:tcPr>
          <w:p w14:paraId="226C724F">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6" w:type="dxa"/>
            <w:tcBorders>
              <w:tl2br w:val="nil"/>
              <w:tr2bl w:val="nil"/>
            </w:tcBorders>
            <w:shd w:val="clear" w:color="auto" w:fill="538135" w:themeFill="accent6" w:themeFillShade="BF"/>
            <w:vAlign w:val="center"/>
          </w:tcPr>
          <w:p w14:paraId="3569FB85">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AC534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44D2067E">
            <w:pPr>
              <w:pStyle w:val="150"/>
            </w:pPr>
            <w:r>
              <w:rPr>
                <w:rFonts w:hint="eastAsia"/>
              </w:rPr>
              <w:t>标签页名称</w:t>
            </w:r>
          </w:p>
        </w:tc>
        <w:tc>
          <w:tcPr>
            <w:tcW w:w="6816" w:type="dxa"/>
            <w:shd w:val="clear" w:color="auto" w:fill="auto"/>
          </w:tcPr>
          <w:p w14:paraId="484FDC5A">
            <w:pPr>
              <w:pStyle w:val="150"/>
            </w:pPr>
            <w:r>
              <w:rPr>
                <w:rFonts w:hint="eastAsia"/>
              </w:rPr>
              <w:t>微信认证</w:t>
            </w:r>
            <w:r>
              <w:t>P</w:t>
            </w:r>
            <w:r>
              <w:rPr>
                <w:rFonts w:hint="eastAsia"/>
              </w:rPr>
              <w:t>ortal页面显示的标签名称。</w:t>
            </w:r>
          </w:p>
        </w:tc>
      </w:tr>
      <w:tr w14:paraId="757B4A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3A7FAB7F">
            <w:pPr>
              <w:pStyle w:val="150"/>
            </w:pPr>
            <w:r>
              <w:rPr>
                <w:rFonts w:hint="eastAsia"/>
              </w:rPr>
              <w:t>欢迎词</w:t>
            </w:r>
          </w:p>
        </w:tc>
        <w:tc>
          <w:tcPr>
            <w:tcW w:w="6816" w:type="dxa"/>
            <w:shd w:val="clear" w:color="auto" w:fill="auto"/>
          </w:tcPr>
          <w:p w14:paraId="4EE2FFC7">
            <w:pPr>
              <w:pStyle w:val="150"/>
            </w:pPr>
            <w:r>
              <w:rPr>
                <w:rFonts w:hint="eastAsia"/>
              </w:rPr>
              <w:t>认证后的欢迎词。</w:t>
            </w:r>
          </w:p>
        </w:tc>
      </w:tr>
      <w:tr w14:paraId="7F421AC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15E844EA">
            <w:pPr>
              <w:pStyle w:val="150"/>
            </w:pPr>
            <w:r>
              <w:rPr>
                <w:rFonts w:hint="eastAsia"/>
              </w:rPr>
              <w:t>背景图片</w:t>
            </w:r>
          </w:p>
        </w:tc>
        <w:tc>
          <w:tcPr>
            <w:tcW w:w="6816" w:type="dxa"/>
            <w:shd w:val="clear" w:color="auto" w:fill="auto"/>
          </w:tcPr>
          <w:p w14:paraId="0AA88D51">
            <w:pPr>
              <w:pStyle w:val="150"/>
            </w:pPr>
            <w:r>
              <w:rPr>
                <w:rFonts w:hint="eastAsia"/>
              </w:rPr>
              <w:t>微信认证显示成功后页面的背景图片。</w:t>
            </w:r>
          </w:p>
        </w:tc>
      </w:tr>
    </w:tbl>
    <w:p w14:paraId="2609AFD7"/>
    <w:p w14:paraId="5CAB8E77">
      <w:r>
        <w:rPr>
          <w:rFonts w:hint="eastAsia"/>
        </w:rPr>
        <w:t>输入完毕后，点击</w:t>
      </w:r>
      <w:r>
        <w:t>&lt;</w:t>
      </w:r>
      <w:r>
        <w:rPr>
          <w:rFonts w:hint="eastAsia"/>
        </w:rPr>
        <w:t>提交</w:t>
      </w:r>
      <w:r>
        <w:t>&gt;</w:t>
      </w:r>
      <w:r>
        <w:rPr>
          <w:rFonts w:hint="eastAsia"/>
        </w:rPr>
        <w:t>按钮，应用配置，点击</w:t>
      </w:r>
      <w:r>
        <w:t>&lt;</w:t>
      </w:r>
      <w:r>
        <w:rPr>
          <w:rFonts w:hint="eastAsia"/>
        </w:rPr>
        <w:t>取消</w:t>
      </w:r>
      <w:r>
        <w:t>&gt;</w:t>
      </w:r>
      <w:r>
        <w:rPr>
          <w:rFonts w:hint="eastAsia"/>
        </w:rPr>
        <w:t>按钮，取消配置修改。</w:t>
      </w:r>
    </w:p>
    <w:p w14:paraId="3C855062">
      <w:r>
        <w:rPr>
          <w:rFonts w:hint="eastAsia"/>
        </w:rPr>
        <w:t>点击预览</w:t>
      </w:r>
      <w:r>
        <w:drawing>
          <wp:inline distT="0" distB="0" distL="0" distR="0">
            <wp:extent cx="209550" cy="180975"/>
            <wp:effectExtent l="0" t="0" r="0" b="9525"/>
            <wp:docPr id="1392" name="图片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 name="图片 1392"/>
                    <pic:cNvPicPr>
                      <a:picLocks noChangeAspect="1"/>
                    </pic:cNvPicPr>
                  </pic:nvPicPr>
                  <pic:blipFill>
                    <a:blip r:embed="rId1080"/>
                    <a:stretch>
                      <a:fillRect/>
                    </a:stretch>
                  </pic:blipFill>
                  <pic:spPr>
                    <a:xfrm>
                      <a:off x="0" y="0"/>
                      <a:ext cx="209550" cy="180975"/>
                    </a:xfrm>
                    <a:prstGeom prst="rect">
                      <a:avLst/>
                    </a:prstGeom>
                  </pic:spPr>
                </pic:pic>
              </a:graphicData>
            </a:graphic>
          </wp:inline>
        </w:drawing>
      </w:r>
      <w:r>
        <w:t xml:space="preserve"> </w:t>
      </w:r>
      <w:r>
        <w:rPr>
          <w:rFonts w:hint="eastAsia"/>
        </w:rPr>
        <w:t>图标查看</w:t>
      </w:r>
      <w:r>
        <w:t>PC</w:t>
      </w:r>
      <w:r>
        <w:rPr>
          <w:rFonts w:hint="eastAsia"/>
        </w:rPr>
        <w:t>终端预览效果，如</w:t>
      </w:r>
      <w:r>
        <w:fldChar w:fldCharType="begin"/>
      </w:r>
      <w:r>
        <w:instrText xml:space="preserve"> REF _Ref458611377 \r \h  \* MERGEFORMAT </w:instrText>
      </w:r>
      <w:r>
        <w:fldChar w:fldCharType="separate"/>
      </w:r>
      <w:r>
        <w:rPr>
          <w:rFonts w:hint="eastAsia"/>
        </w:rPr>
        <w:t>图31-99</w:t>
      </w:r>
      <w:r>
        <w:fldChar w:fldCharType="end"/>
      </w:r>
      <w:r>
        <w:rPr>
          <w:rFonts w:hint="eastAsia"/>
        </w:rPr>
        <w:t>所示。</w:t>
      </w:r>
    </w:p>
    <w:p w14:paraId="6169A1AE">
      <w:pPr>
        <w:pStyle w:val="188"/>
      </w:pPr>
      <w:bookmarkStart w:id="8734" w:name="_Toc141874861"/>
      <w:bookmarkStart w:id="8735" w:name="_Ref458611377"/>
      <w:r>
        <w:rPr>
          <w:rFonts w:hint="eastAsia"/>
        </w:rPr>
        <w:t>微信认证模板PC终端预览效果</w:t>
      </w:r>
      <w:bookmarkEnd w:id="8734"/>
      <w:bookmarkEnd w:id="8735"/>
    </w:p>
    <w:p w14:paraId="2C6C8780">
      <w:r>
        <w:drawing>
          <wp:inline distT="0" distB="0" distL="114300" distR="114300">
            <wp:extent cx="5400040" cy="2076450"/>
            <wp:effectExtent l="0" t="0" r="0" b="0"/>
            <wp:docPr id="38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6"/>
                    <pic:cNvPicPr>
                      <a:picLocks noChangeAspect="1"/>
                    </pic:cNvPicPr>
                  </pic:nvPicPr>
                  <pic:blipFill>
                    <a:blip r:embed="rId1086"/>
                    <a:srcRect b="18362"/>
                    <a:stretch>
                      <a:fillRect/>
                    </a:stretch>
                  </pic:blipFill>
                  <pic:spPr>
                    <a:xfrm>
                      <a:off x="0" y="0"/>
                      <a:ext cx="5400040" cy="2076709"/>
                    </a:xfrm>
                    <a:prstGeom prst="rect">
                      <a:avLst/>
                    </a:prstGeom>
                    <a:noFill/>
                    <a:ln>
                      <a:noFill/>
                    </a:ln>
                  </pic:spPr>
                </pic:pic>
              </a:graphicData>
            </a:graphic>
          </wp:inline>
        </w:drawing>
      </w:r>
    </w:p>
    <w:p w14:paraId="5A96F391"/>
    <w:p w14:paraId="6C0AF91C">
      <w:pPr>
        <w:pStyle w:val="193"/>
      </w:pPr>
      <w:r>
        <w:rPr>
          <w:lang w:eastAsia="zh-CN"/>
        </w:rPr>
        <w:drawing>
          <wp:inline distT="0" distB="0" distL="0" distR="0">
            <wp:extent cx="590550" cy="238125"/>
            <wp:effectExtent l="19050" t="0" r="0" b="0"/>
            <wp:docPr id="1394" name="图片 1394"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 name="图片 1394" descr="说明"/>
                    <pic:cNvPicPr>
                      <a:picLocks noChangeAspect="1" noChangeArrowheads="1"/>
                    </pic:cNvPicPr>
                  </pic:nvPicPr>
                  <pic:blipFill>
                    <a:blip r:embed="rId92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14:paraId="7C03958A">
      <w:pPr>
        <w:pStyle w:val="194"/>
        <w:spacing w:after="156"/>
        <w:rPr>
          <w:lang w:eastAsia="zh-CN"/>
        </w:rPr>
      </w:pPr>
      <w:r>
        <w:rPr>
          <w:rFonts w:hint="eastAsia"/>
          <w:lang w:eastAsia="zh-CN"/>
        </w:rPr>
        <w:t>目前微信公众平台仅支持移动端微信认证，不支持PC端微信认证。</w:t>
      </w:r>
    </w:p>
    <w:p w14:paraId="308CBE67"/>
    <w:p w14:paraId="22714538">
      <w:r>
        <w:rPr>
          <w:rFonts w:hint="eastAsia"/>
        </w:rPr>
        <w:t>点击预览</w:t>
      </w:r>
      <w:r>
        <w:drawing>
          <wp:inline distT="0" distB="0" distL="0" distR="0">
            <wp:extent cx="133350" cy="209550"/>
            <wp:effectExtent l="0" t="0" r="0" b="0"/>
            <wp:docPr id="1395" name="图片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图片 1395"/>
                    <pic:cNvPicPr>
                      <a:picLocks noChangeAspect="1"/>
                    </pic:cNvPicPr>
                  </pic:nvPicPr>
                  <pic:blipFill>
                    <a:blip r:embed="rId1082"/>
                    <a:stretch>
                      <a:fillRect/>
                    </a:stretch>
                  </pic:blipFill>
                  <pic:spPr>
                    <a:xfrm>
                      <a:off x="0" y="0"/>
                      <a:ext cx="133350" cy="209550"/>
                    </a:xfrm>
                    <a:prstGeom prst="rect">
                      <a:avLst/>
                    </a:prstGeom>
                  </pic:spPr>
                </pic:pic>
              </a:graphicData>
            </a:graphic>
          </wp:inline>
        </w:drawing>
      </w:r>
      <w:r>
        <w:rPr>
          <w:rFonts w:hint="eastAsia"/>
        </w:rPr>
        <w:t>图标查看移动终端预览效果，如</w:t>
      </w:r>
      <w:r>
        <w:fldChar w:fldCharType="begin"/>
      </w:r>
      <w:r>
        <w:instrText xml:space="preserve"> REF _Ref458611389 \r \h </w:instrText>
      </w:r>
      <w:r>
        <w:fldChar w:fldCharType="separate"/>
      </w:r>
      <w:r>
        <w:rPr>
          <w:rFonts w:hint="eastAsia"/>
        </w:rPr>
        <w:t>图31-100</w:t>
      </w:r>
      <w:r>
        <w:fldChar w:fldCharType="end"/>
      </w:r>
      <w:r>
        <w:rPr>
          <w:rFonts w:hint="eastAsia"/>
        </w:rPr>
        <w:t>所示</w:t>
      </w:r>
    </w:p>
    <w:p w14:paraId="6E7939FA">
      <w:pPr>
        <w:pStyle w:val="188"/>
      </w:pPr>
      <w:bookmarkStart w:id="8736" w:name="_Ref458611389"/>
      <w:bookmarkStart w:id="8737" w:name="_Toc141874862"/>
      <w:r>
        <w:rPr>
          <w:rFonts w:hint="eastAsia"/>
        </w:rPr>
        <w:t>微信认证模板移动终端预览效果</w:t>
      </w:r>
      <w:bookmarkEnd w:id="8736"/>
      <w:bookmarkEnd w:id="8737"/>
    </w:p>
    <w:p w14:paraId="3BB21459">
      <w:pPr>
        <w:spacing w:before="79" w:after="79"/>
      </w:pPr>
      <w:r>
        <w:drawing>
          <wp:inline distT="0" distB="0" distL="114300" distR="114300">
            <wp:extent cx="1885950" cy="3679190"/>
            <wp:effectExtent l="0" t="0" r="0" b="0"/>
            <wp:docPr id="38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7"/>
                    <pic:cNvPicPr>
                      <a:picLocks noChangeAspect="1"/>
                    </pic:cNvPicPr>
                  </pic:nvPicPr>
                  <pic:blipFill>
                    <a:blip r:embed="rId1087"/>
                    <a:stretch>
                      <a:fillRect/>
                    </a:stretch>
                  </pic:blipFill>
                  <pic:spPr>
                    <a:xfrm>
                      <a:off x="0" y="0"/>
                      <a:ext cx="1889221" cy="3685719"/>
                    </a:xfrm>
                    <a:prstGeom prst="rect">
                      <a:avLst/>
                    </a:prstGeom>
                    <a:noFill/>
                    <a:ln>
                      <a:noFill/>
                    </a:ln>
                  </pic:spPr>
                </pic:pic>
              </a:graphicData>
            </a:graphic>
          </wp:inline>
        </w:drawing>
      </w:r>
    </w:p>
    <w:p w14:paraId="39C35CCB"/>
    <w:p w14:paraId="16CBB602">
      <w:pPr>
        <w:pStyle w:val="6"/>
      </w:pPr>
      <w:r>
        <w:rPr>
          <w:rFonts w:hint="eastAsia"/>
        </w:rPr>
        <w:t>短信认证模板</w:t>
      </w:r>
    </w:p>
    <w:p w14:paraId="20123189">
      <w:r>
        <w:rPr>
          <w:rFonts w:hint="eastAsia"/>
        </w:rPr>
        <w:t>在导航栏中选择“用户管理&gt;认证管理&gt;认证方式&gt;认证模板设置</w:t>
      </w:r>
      <w:r>
        <w:t>&gt;</w:t>
      </w:r>
      <w:r>
        <w:rPr>
          <w:rFonts w:hint="eastAsia"/>
        </w:rPr>
        <w:t>短信认证模板”，点击操作中的</w:t>
      </w:r>
      <w:r>
        <w:t>&lt;</w:t>
      </w:r>
      <w:r>
        <w:rPr>
          <w:rFonts w:hint="eastAsia"/>
        </w:rPr>
        <w:t>编辑</w:t>
      </w:r>
      <w:r>
        <w:t>&gt;</w:t>
      </w:r>
      <w:r>
        <w:rPr>
          <w:rFonts w:hint="eastAsia"/>
        </w:rPr>
        <w:t>按钮进入短信认证模板配置页面，页面显示了当前的短信认证模板配置，如</w:t>
      </w:r>
      <w:r>
        <w:rPr>
          <w:color w:val="0000FF"/>
          <w:u w:val="single"/>
        </w:rPr>
        <w:fldChar w:fldCharType="begin"/>
      </w:r>
      <w:r>
        <w:rPr>
          <w:color w:val="0000FF"/>
          <w:u w:val="single"/>
        </w:rPr>
        <w:instrText xml:space="preserve"> REF _Ref458611400 \r \h </w:instrText>
      </w:r>
      <w:r>
        <w:rPr>
          <w:color w:val="0000FF"/>
          <w:u w:val="single"/>
        </w:rPr>
        <w:fldChar w:fldCharType="separate"/>
      </w:r>
      <w:r>
        <w:rPr>
          <w:rFonts w:hint="eastAsia"/>
          <w:color w:val="0000FF"/>
          <w:u w:val="single"/>
        </w:rPr>
        <w:t>图31-101</w:t>
      </w:r>
      <w:r>
        <w:rPr>
          <w:color w:val="0000FF"/>
          <w:u w:val="single"/>
        </w:rPr>
        <w:fldChar w:fldCharType="end"/>
      </w:r>
      <w:r>
        <w:rPr>
          <w:rFonts w:hint="eastAsia"/>
        </w:rPr>
        <w:t>所示。</w:t>
      </w:r>
    </w:p>
    <w:p w14:paraId="75032132">
      <w:pPr>
        <w:pStyle w:val="188"/>
      </w:pPr>
      <w:bookmarkStart w:id="8738" w:name="_Toc141874863"/>
      <w:bookmarkStart w:id="8739" w:name="_Ref458611400"/>
      <w:r>
        <w:rPr>
          <w:rFonts w:hint="eastAsia"/>
        </w:rPr>
        <w:t>短信</w:t>
      </w:r>
      <w:r>
        <w:t>认证</w:t>
      </w:r>
      <w:r>
        <w:rPr>
          <w:rFonts w:hint="eastAsia"/>
        </w:rPr>
        <w:t>模板</w:t>
      </w:r>
      <w:r>
        <w:t>配置页面</w:t>
      </w:r>
      <w:bookmarkEnd w:id="8738"/>
      <w:bookmarkEnd w:id="8739"/>
    </w:p>
    <w:p w14:paraId="141D5F7F">
      <w:pPr>
        <w:spacing w:before="79" w:after="79"/>
      </w:pPr>
      <w:r>
        <w:drawing>
          <wp:inline distT="0" distB="0" distL="114300" distR="114300">
            <wp:extent cx="4324985" cy="4091305"/>
            <wp:effectExtent l="0" t="0" r="18415" b="4445"/>
            <wp:docPr id="497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4" name="图片 36"/>
                    <pic:cNvPicPr>
                      <a:picLocks noChangeAspect="1"/>
                    </pic:cNvPicPr>
                  </pic:nvPicPr>
                  <pic:blipFill>
                    <a:blip r:embed="rId1088"/>
                    <a:stretch>
                      <a:fillRect/>
                    </a:stretch>
                  </pic:blipFill>
                  <pic:spPr>
                    <a:xfrm>
                      <a:off x="0" y="0"/>
                      <a:ext cx="4324985" cy="4091305"/>
                    </a:xfrm>
                    <a:prstGeom prst="rect">
                      <a:avLst/>
                    </a:prstGeom>
                    <a:noFill/>
                    <a:ln>
                      <a:noFill/>
                    </a:ln>
                  </pic:spPr>
                </pic:pic>
              </a:graphicData>
            </a:graphic>
          </wp:inline>
        </w:drawing>
      </w:r>
    </w:p>
    <w:p w14:paraId="45E54701"/>
    <w:p w14:paraId="07E1D03A">
      <w:r>
        <w:rPr>
          <w:rFonts w:hint="eastAsia"/>
        </w:rPr>
        <w:t>页面的详细说明如</w:t>
      </w:r>
      <w:r>
        <w:fldChar w:fldCharType="begin"/>
      </w:r>
      <w:r>
        <w:instrText xml:space="preserve"> REF _Ref458611414 \r \h </w:instrText>
      </w:r>
      <w:r>
        <w:fldChar w:fldCharType="separate"/>
      </w:r>
      <w:r>
        <w:rPr>
          <w:rFonts w:hint="eastAsia"/>
        </w:rPr>
        <w:t>表31-1</w:t>
      </w:r>
      <w:r>
        <w:fldChar w:fldCharType="end"/>
      </w:r>
      <w:r>
        <w:rPr>
          <w:rFonts w:hint="eastAsia"/>
        </w:rPr>
        <w:t>所示。</w:t>
      </w:r>
    </w:p>
    <w:p w14:paraId="7CFDF2E5">
      <w:pPr>
        <w:pStyle w:val="183"/>
      </w:pPr>
      <w:bookmarkStart w:id="8740" w:name="_Ref458611414"/>
      <w:bookmarkStart w:id="8741" w:name="_Toc141875586"/>
      <w:r>
        <w:rPr>
          <w:rFonts w:hint="eastAsia"/>
        </w:rPr>
        <w:t>短信认证模板配置详细说明</w:t>
      </w:r>
      <w:bookmarkEnd w:id="8740"/>
      <w:bookmarkEnd w:id="8741"/>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05057DE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355C3361">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6" w:type="dxa"/>
            <w:tcBorders>
              <w:tl2br w:val="nil"/>
              <w:tr2bl w:val="nil"/>
            </w:tcBorders>
            <w:shd w:val="clear" w:color="auto" w:fill="538135" w:themeFill="accent6" w:themeFillShade="BF"/>
            <w:vAlign w:val="center"/>
          </w:tcPr>
          <w:p w14:paraId="2D2BD134">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04526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3EBAC6E1">
            <w:pPr>
              <w:pStyle w:val="150"/>
            </w:pPr>
            <w:r>
              <w:rPr>
                <w:rFonts w:hint="eastAsia"/>
              </w:rPr>
              <w:t>标签页名称</w:t>
            </w:r>
          </w:p>
        </w:tc>
        <w:tc>
          <w:tcPr>
            <w:tcW w:w="6816" w:type="dxa"/>
            <w:shd w:val="clear" w:color="auto" w:fill="auto"/>
          </w:tcPr>
          <w:p w14:paraId="1E6C6AAD">
            <w:pPr>
              <w:pStyle w:val="150"/>
            </w:pPr>
            <w:r>
              <w:rPr>
                <w:rFonts w:hint="eastAsia"/>
              </w:rPr>
              <w:t>短信认证</w:t>
            </w:r>
            <w:r>
              <w:t>P</w:t>
            </w:r>
            <w:r>
              <w:rPr>
                <w:rFonts w:hint="eastAsia"/>
              </w:rPr>
              <w:t>ortal页面显示的标签名称。</w:t>
            </w:r>
          </w:p>
        </w:tc>
      </w:tr>
      <w:tr w14:paraId="01724A9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37E39495">
            <w:pPr>
              <w:pStyle w:val="150"/>
            </w:pPr>
            <w:r>
              <w:rPr>
                <w:rFonts w:hint="eastAsia"/>
              </w:rPr>
              <w:t>欢迎词</w:t>
            </w:r>
          </w:p>
        </w:tc>
        <w:tc>
          <w:tcPr>
            <w:tcW w:w="6816" w:type="dxa"/>
            <w:shd w:val="clear" w:color="auto" w:fill="auto"/>
          </w:tcPr>
          <w:p w14:paraId="30C7F0EC">
            <w:pPr>
              <w:pStyle w:val="150"/>
            </w:pPr>
            <w:r>
              <w:rPr>
                <w:rFonts w:hint="eastAsia"/>
              </w:rPr>
              <w:t>短信认证模板欢迎词。</w:t>
            </w:r>
          </w:p>
        </w:tc>
      </w:tr>
      <w:tr w14:paraId="041FE68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18A3D620">
            <w:pPr>
              <w:pStyle w:val="150"/>
            </w:pPr>
            <w:r>
              <w:rPr>
                <w:rFonts w:hint="eastAsia"/>
              </w:rPr>
              <w:t>免责声明</w:t>
            </w:r>
          </w:p>
        </w:tc>
        <w:tc>
          <w:tcPr>
            <w:tcW w:w="6816" w:type="dxa"/>
            <w:shd w:val="clear" w:color="auto" w:fill="auto"/>
          </w:tcPr>
          <w:p w14:paraId="605A529B">
            <w:pPr>
              <w:pStyle w:val="150"/>
            </w:pPr>
            <w:r>
              <w:rPr>
                <w:rFonts w:hint="eastAsia"/>
              </w:rPr>
              <w:t>短信认证模板免责声明。</w:t>
            </w:r>
          </w:p>
        </w:tc>
      </w:tr>
      <w:tr w14:paraId="188C65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6DAAB18">
            <w:pPr>
              <w:pStyle w:val="150"/>
            </w:pPr>
            <w:r>
              <w:rPr>
                <w:rFonts w:hint="eastAsia"/>
              </w:rPr>
              <w:t>发送按钮颜色</w:t>
            </w:r>
          </w:p>
        </w:tc>
        <w:tc>
          <w:tcPr>
            <w:tcW w:w="6816" w:type="dxa"/>
            <w:shd w:val="clear" w:color="auto" w:fill="auto"/>
          </w:tcPr>
          <w:p w14:paraId="1DE29575">
            <w:pPr>
              <w:pStyle w:val="150"/>
            </w:pPr>
            <w:r>
              <w:rPr>
                <w:rFonts w:hint="eastAsia"/>
              </w:rPr>
              <w:t>发送短信验证码按钮颜色。</w:t>
            </w:r>
          </w:p>
        </w:tc>
      </w:tr>
      <w:tr w14:paraId="68E96C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D2DEB77">
            <w:pPr>
              <w:pStyle w:val="150"/>
            </w:pPr>
            <w:r>
              <w:rPr>
                <w:rFonts w:hint="eastAsia"/>
              </w:rPr>
              <w:t>登录按钮颜色</w:t>
            </w:r>
          </w:p>
        </w:tc>
        <w:tc>
          <w:tcPr>
            <w:tcW w:w="6816" w:type="dxa"/>
            <w:shd w:val="clear" w:color="auto" w:fill="auto"/>
          </w:tcPr>
          <w:p w14:paraId="45AF15F0">
            <w:pPr>
              <w:pStyle w:val="150"/>
            </w:pPr>
            <w:r>
              <w:rPr>
                <w:rFonts w:hint="eastAsia"/>
              </w:rPr>
              <w:t>点击认证登录按钮颜色。</w:t>
            </w:r>
          </w:p>
        </w:tc>
      </w:tr>
      <w:tr w14:paraId="26205F2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DF95186">
            <w:pPr>
              <w:pStyle w:val="150"/>
            </w:pPr>
            <w:r>
              <w:t>L</w:t>
            </w:r>
            <w:r>
              <w:rPr>
                <w:rFonts w:hint="eastAsia"/>
              </w:rPr>
              <w:t>ogo图片</w:t>
            </w:r>
          </w:p>
        </w:tc>
        <w:tc>
          <w:tcPr>
            <w:tcW w:w="6816" w:type="dxa"/>
            <w:shd w:val="clear" w:color="auto" w:fill="auto"/>
          </w:tcPr>
          <w:p w14:paraId="40B9773E">
            <w:pPr>
              <w:pStyle w:val="150"/>
            </w:pPr>
            <w:r>
              <w:rPr>
                <w:rFonts w:hint="eastAsia"/>
              </w:rPr>
              <w:t>Logo图片设置</w:t>
            </w:r>
            <w:r>
              <w:t xml:space="preserve"> 。</w:t>
            </w:r>
          </w:p>
        </w:tc>
      </w:tr>
      <w:tr w14:paraId="4B11CF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2EEA4D8">
            <w:pPr>
              <w:pStyle w:val="150"/>
            </w:pPr>
            <w:r>
              <w:rPr>
                <w:rFonts w:hint="eastAsia"/>
              </w:rPr>
              <w:t>背景图片</w:t>
            </w:r>
          </w:p>
        </w:tc>
        <w:tc>
          <w:tcPr>
            <w:tcW w:w="6816" w:type="dxa"/>
            <w:shd w:val="clear" w:color="auto" w:fill="auto"/>
          </w:tcPr>
          <w:p w14:paraId="5836D838">
            <w:pPr>
              <w:pStyle w:val="150"/>
            </w:pPr>
            <w:r>
              <w:rPr>
                <w:rFonts w:hint="eastAsia"/>
              </w:rPr>
              <w:t>短信认证Porta页面背景图片。</w:t>
            </w:r>
          </w:p>
        </w:tc>
      </w:tr>
    </w:tbl>
    <w:p w14:paraId="055E0E85"/>
    <w:p w14:paraId="045FC163">
      <w:r>
        <w:rPr>
          <w:rFonts w:hint="eastAsia"/>
        </w:rPr>
        <w:t>输入完毕后，点击</w:t>
      </w:r>
      <w:r>
        <w:t>&lt;</w:t>
      </w:r>
      <w:r>
        <w:rPr>
          <w:rFonts w:hint="eastAsia"/>
        </w:rPr>
        <w:t>提交</w:t>
      </w:r>
      <w:r>
        <w:t>&gt;</w:t>
      </w:r>
      <w:r>
        <w:rPr>
          <w:rFonts w:hint="eastAsia"/>
        </w:rPr>
        <w:t>按钮，应用配置，点击</w:t>
      </w:r>
      <w:r>
        <w:t>&lt;</w:t>
      </w:r>
      <w:r>
        <w:rPr>
          <w:rFonts w:hint="eastAsia"/>
        </w:rPr>
        <w:t>取消</w:t>
      </w:r>
      <w:r>
        <w:t>&gt;</w:t>
      </w:r>
      <w:r>
        <w:rPr>
          <w:rFonts w:hint="eastAsia"/>
        </w:rPr>
        <w:t>按钮，取消配置修改。</w:t>
      </w:r>
    </w:p>
    <w:p w14:paraId="688AA7DD">
      <w:r>
        <w:rPr>
          <w:rFonts w:hint="eastAsia"/>
        </w:rPr>
        <w:t>点击预览</w:t>
      </w:r>
      <w:r>
        <w:drawing>
          <wp:inline distT="0" distB="0" distL="0" distR="0">
            <wp:extent cx="209550" cy="180975"/>
            <wp:effectExtent l="0" t="0" r="0" b="9525"/>
            <wp:docPr id="1397" name="图片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 name="图片 1397"/>
                    <pic:cNvPicPr>
                      <a:picLocks noChangeAspect="1"/>
                    </pic:cNvPicPr>
                  </pic:nvPicPr>
                  <pic:blipFill>
                    <a:blip r:embed="rId1080"/>
                    <a:stretch>
                      <a:fillRect/>
                    </a:stretch>
                  </pic:blipFill>
                  <pic:spPr>
                    <a:xfrm>
                      <a:off x="0" y="0"/>
                      <a:ext cx="209550" cy="180975"/>
                    </a:xfrm>
                    <a:prstGeom prst="rect">
                      <a:avLst/>
                    </a:prstGeom>
                  </pic:spPr>
                </pic:pic>
              </a:graphicData>
            </a:graphic>
          </wp:inline>
        </w:drawing>
      </w:r>
      <w:r>
        <w:t xml:space="preserve"> </w:t>
      </w:r>
      <w:r>
        <w:rPr>
          <w:rFonts w:hint="eastAsia"/>
        </w:rPr>
        <w:t>图标查看</w:t>
      </w:r>
      <w:r>
        <w:t>PC</w:t>
      </w:r>
      <w:r>
        <w:rPr>
          <w:rFonts w:hint="eastAsia"/>
        </w:rPr>
        <w:t>终端预览效果，如</w:t>
      </w:r>
      <w:r>
        <w:fldChar w:fldCharType="begin"/>
      </w:r>
      <w:r>
        <w:instrText xml:space="preserve"> REF _Ref458611425 \r \h </w:instrText>
      </w:r>
      <w:r>
        <w:fldChar w:fldCharType="separate"/>
      </w:r>
      <w:r>
        <w:rPr>
          <w:rFonts w:hint="eastAsia"/>
        </w:rPr>
        <w:t>图31-102</w:t>
      </w:r>
      <w:r>
        <w:fldChar w:fldCharType="end"/>
      </w:r>
      <w:r>
        <w:rPr>
          <w:rFonts w:hint="eastAsia"/>
        </w:rPr>
        <w:t>所示。</w:t>
      </w:r>
    </w:p>
    <w:p w14:paraId="2A56AC44">
      <w:pPr>
        <w:pStyle w:val="188"/>
      </w:pPr>
      <w:bookmarkStart w:id="8742" w:name="_Toc141874864"/>
      <w:bookmarkStart w:id="8743" w:name="_Ref458611425"/>
      <w:r>
        <w:rPr>
          <w:rFonts w:hint="eastAsia"/>
        </w:rPr>
        <w:t>短信认证模板PC终端预览效果</w:t>
      </w:r>
      <w:bookmarkEnd w:id="8742"/>
      <w:bookmarkEnd w:id="8743"/>
    </w:p>
    <w:p w14:paraId="5A1B8485">
      <w:pPr>
        <w:pStyle w:val="175"/>
      </w:pPr>
      <w:r>
        <w:t xml:space="preserve"> </w:t>
      </w:r>
      <w:r>
        <w:drawing>
          <wp:inline distT="0" distB="0" distL="0" distR="0">
            <wp:extent cx="5600700" cy="1829435"/>
            <wp:effectExtent l="0" t="0" r="0" b="0"/>
            <wp:docPr id="671" name="图片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图片 671"/>
                    <pic:cNvPicPr>
                      <a:picLocks noChangeAspect="1"/>
                    </pic:cNvPicPr>
                  </pic:nvPicPr>
                  <pic:blipFill>
                    <a:blip r:embed="rId1089"/>
                    <a:stretch>
                      <a:fillRect/>
                    </a:stretch>
                  </pic:blipFill>
                  <pic:spPr>
                    <a:xfrm>
                      <a:off x="0" y="0"/>
                      <a:ext cx="5607579" cy="1832151"/>
                    </a:xfrm>
                    <a:prstGeom prst="rect">
                      <a:avLst/>
                    </a:prstGeom>
                  </pic:spPr>
                </pic:pic>
              </a:graphicData>
            </a:graphic>
          </wp:inline>
        </w:drawing>
      </w:r>
    </w:p>
    <w:p w14:paraId="6CB7B7A8"/>
    <w:p w14:paraId="5F0DA3F6">
      <w:r>
        <w:rPr>
          <w:rFonts w:hint="eastAsia"/>
        </w:rPr>
        <w:t>点击预览</w:t>
      </w:r>
      <w:r>
        <w:drawing>
          <wp:inline distT="0" distB="0" distL="0" distR="0">
            <wp:extent cx="133350" cy="209550"/>
            <wp:effectExtent l="0" t="0" r="0" b="0"/>
            <wp:docPr id="1399" name="图片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图片 1399"/>
                    <pic:cNvPicPr>
                      <a:picLocks noChangeAspect="1"/>
                    </pic:cNvPicPr>
                  </pic:nvPicPr>
                  <pic:blipFill>
                    <a:blip r:embed="rId1082"/>
                    <a:stretch>
                      <a:fillRect/>
                    </a:stretch>
                  </pic:blipFill>
                  <pic:spPr>
                    <a:xfrm>
                      <a:off x="0" y="0"/>
                      <a:ext cx="133350" cy="209550"/>
                    </a:xfrm>
                    <a:prstGeom prst="rect">
                      <a:avLst/>
                    </a:prstGeom>
                  </pic:spPr>
                </pic:pic>
              </a:graphicData>
            </a:graphic>
          </wp:inline>
        </w:drawing>
      </w:r>
      <w:r>
        <w:rPr>
          <w:rFonts w:hint="eastAsia"/>
        </w:rPr>
        <w:t>图标查看移动终端预览效果，如</w:t>
      </w:r>
      <w:r>
        <w:fldChar w:fldCharType="begin"/>
      </w:r>
      <w:r>
        <w:instrText xml:space="preserve"> REF _Ref458611443 \r \h </w:instrText>
      </w:r>
      <w:r>
        <w:fldChar w:fldCharType="separate"/>
      </w:r>
      <w:r>
        <w:rPr>
          <w:rFonts w:hint="eastAsia"/>
        </w:rPr>
        <w:t>图31-103</w:t>
      </w:r>
      <w:r>
        <w:fldChar w:fldCharType="end"/>
      </w:r>
      <w:r>
        <w:rPr>
          <w:rFonts w:hint="eastAsia"/>
        </w:rPr>
        <w:t>所示</w:t>
      </w:r>
      <w:r>
        <w:t xml:space="preserve"> </w:t>
      </w:r>
    </w:p>
    <w:p w14:paraId="2957FEFE">
      <w:pPr>
        <w:pStyle w:val="188"/>
      </w:pPr>
      <w:bookmarkStart w:id="8744" w:name="_Ref458611443"/>
      <w:bookmarkStart w:id="8745" w:name="_Toc141874865"/>
      <w:r>
        <w:rPr>
          <w:rFonts w:hint="eastAsia"/>
        </w:rPr>
        <w:t>短信认证模板移动终端预览效果</w:t>
      </w:r>
      <w:bookmarkEnd w:id="8744"/>
      <w:bookmarkEnd w:id="8745"/>
    </w:p>
    <w:p w14:paraId="2FDE1BF5">
      <w:pPr>
        <w:pStyle w:val="175"/>
      </w:pPr>
      <w:r>
        <w:t xml:space="preserve"> </w:t>
      </w:r>
      <w:r>
        <w:drawing>
          <wp:inline distT="0" distB="0" distL="0" distR="0">
            <wp:extent cx="1847850" cy="3534410"/>
            <wp:effectExtent l="0" t="0" r="0" b="8890"/>
            <wp:docPr id="672" name="图片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图片 672"/>
                    <pic:cNvPicPr>
                      <a:picLocks noChangeAspect="1"/>
                    </pic:cNvPicPr>
                  </pic:nvPicPr>
                  <pic:blipFill>
                    <a:blip r:embed="rId1090"/>
                    <a:stretch>
                      <a:fillRect/>
                    </a:stretch>
                  </pic:blipFill>
                  <pic:spPr>
                    <a:xfrm>
                      <a:off x="0" y="0"/>
                      <a:ext cx="1850843" cy="3540502"/>
                    </a:xfrm>
                    <a:prstGeom prst="rect">
                      <a:avLst/>
                    </a:prstGeom>
                  </pic:spPr>
                </pic:pic>
              </a:graphicData>
            </a:graphic>
          </wp:inline>
        </w:drawing>
      </w:r>
    </w:p>
    <w:p w14:paraId="76E35CFE"/>
    <w:p w14:paraId="0B73780F">
      <w:pPr>
        <w:pStyle w:val="6"/>
      </w:pPr>
      <w:r>
        <w:rPr>
          <w:rFonts w:hint="eastAsia"/>
        </w:rPr>
        <w:t>免认证模板</w:t>
      </w:r>
    </w:p>
    <w:p w14:paraId="67D18D9F">
      <w:r>
        <w:rPr>
          <w:rFonts w:hint="eastAsia"/>
        </w:rPr>
        <w:t>在导航栏中选择“用户管理&gt;认证管理&gt;认证方式&gt;认证模板设置</w:t>
      </w:r>
      <w:r>
        <w:t>&gt;</w:t>
      </w:r>
      <w:r>
        <w:rPr>
          <w:rFonts w:hint="eastAsia"/>
        </w:rPr>
        <w:t>免认证模板”，点击操作中的</w:t>
      </w:r>
      <w:r>
        <w:t>&lt;</w:t>
      </w:r>
      <w:r>
        <w:rPr>
          <w:rFonts w:hint="eastAsia"/>
        </w:rPr>
        <w:t>编辑</w:t>
      </w:r>
      <w:r>
        <w:t>&gt;</w:t>
      </w:r>
      <w:r>
        <w:rPr>
          <w:rFonts w:hint="eastAsia"/>
        </w:rPr>
        <w:t>按钮进入免认证模板配置页面，页面显示了当前的免认证模板配置，如</w:t>
      </w:r>
      <w:r>
        <w:rPr>
          <w:color w:val="0000FF"/>
          <w:u w:val="single"/>
        </w:rPr>
        <w:fldChar w:fldCharType="begin"/>
      </w:r>
      <w:r>
        <w:rPr>
          <w:color w:val="0000FF"/>
          <w:u w:val="single"/>
        </w:rPr>
        <w:instrText xml:space="preserve"> REF _Ref458611459 \r \h </w:instrText>
      </w:r>
      <w:r>
        <w:rPr>
          <w:color w:val="0000FF"/>
          <w:u w:val="single"/>
        </w:rPr>
        <w:fldChar w:fldCharType="separate"/>
      </w:r>
      <w:r>
        <w:rPr>
          <w:rFonts w:hint="eastAsia"/>
          <w:color w:val="0000FF"/>
          <w:u w:val="single"/>
        </w:rPr>
        <w:t>图31-104</w:t>
      </w:r>
      <w:r>
        <w:rPr>
          <w:color w:val="0000FF"/>
          <w:u w:val="single"/>
        </w:rPr>
        <w:fldChar w:fldCharType="end"/>
      </w:r>
      <w:r>
        <w:rPr>
          <w:rFonts w:hint="eastAsia"/>
        </w:rPr>
        <w:t>所示。</w:t>
      </w:r>
    </w:p>
    <w:p w14:paraId="6D32F31D">
      <w:pPr>
        <w:pStyle w:val="188"/>
      </w:pPr>
      <w:bookmarkStart w:id="8746" w:name="_Ref458611459"/>
      <w:bookmarkStart w:id="8747" w:name="_Toc141874866"/>
      <w:r>
        <w:rPr>
          <w:rFonts w:hint="eastAsia"/>
        </w:rPr>
        <w:t>免</w:t>
      </w:r>
      <w:r>
        <w:t>认证</w:t>
      </w:r>
      <w:r>
        <w:rPr>
          <w:rFonts w:hint="eastAsia"/>
        </w:rPr>
        <w:t>模板</w:t>
      </w:r>
      <w:r>
        <w:t>配置页面</w:t>
      </w:r>
      <w:bookmarkEnd w:id="8746"/>
      <w:bookmarkEnd w:id="8747"/>
    </w:p>
    <w:p w14:paraId="56A57E05">
      <w:pPr>
        <w:spacing w:before="79" w:after="79"/>
      </w:pPr>
      <w:r>
        <w:drawing>
          <wp:inline distT="0" distB="0" distL="114300" distR="114300">
            <wp:extent cx="4843780" cy="5099685"/>
            <wp:effectExtent l="0" t="0" r="13970" b="5715"/>
            <wp:docPr id="46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
                    <pic:cNvPicPr>
                      <a:picLocks noChangeAspect="1"/>
                    </pic:cNvPicPr>
                  </pic:nvPicPr>
                  <pic:blipFill>
                    <a:blip r:embed="rId1091"/>
                    <a:stretch>
                      <a:fillRect/>
                    </a:stretch>
                  </pic:blipFill>
                  <pic:spPr>
                    <a:xfrm>
                      <a:off x="0" y="0"/>
                      <a:ext cx="4843780" cy="5099685"/>
                    </a:xfrm>
                    <a:prstGeom prst="rect">
                      <a:avLst/>
                    </a:prstGeom>
                    <a:noFill/>
                    <a:ln>
                      <a:noFill/>
                    </a:ln>
                  </pic:spPr>
                </pic:pic>
              </a:graphicData>
            </a:graphic>
          </wp:inline>
        </w:drawing>
      </w:r>
    </w:p>
    <w:p w14:paraId="25E0619B"/>
    <w:p w14:paraId="2C0D3E58">
      <w:r>
        <w:rPr>
          <w:rFonts w:hint="eastAsia"/>
        </w:rPr>
        <w:t>页面的详细说明如</w:t>
      </w:r>
      <w:r>
        <w:fldChar w:fldCharType="begin"/>
      </w:r>
      <w:r>
        <w:instrText xml:space="preserve"> REF _Ref458611474 \r \h </w:instrText>
      </w:r>
      <w:r>
        <w:fldChar w:fldCharType="separate"/>
      </w:r>
      <w:r>
        <w:rPr>
          <w:rFonts w:hint="eastAsia"/>
        </w:rPr>
        <w:t>表31-1</w:t>
      </w:r>
      <w:r>
        <w:fldChar w:fldCharType="end"/>
      </w:r>
      <w:r>
        <w:rPr>
          <w:rFonts w:hint="eastAsia"/>
        </w:rPr>
        <w:t>所示。</w:t>
      </w:r>
    </w:p>
    <w:p w14:paraId="131D70F1">
      <w:pPr>
        <w:pStyle w:val="183"/>
      </w:pPr>
      <w:bookmarkStart w:id="8748" w:name="_Ref458611474"/>
      <w:bookmarkStart w:id="8749" w:name="_Toc141875587"/>
      <w:r>
        <w:rPr>
          <w:rFonts w:hint="eastAsia"/>
        </w:rPr>
        <w:t>免认证模板配置详细说明</w:t>
      </w:r>
      <w:bookmarkEnd w:id="8748"/>
      <w:bookmarkEnd w:id="8749"/>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3AE6AF2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6B827F27">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6" w:type="dxa"/>
            <w:tcBorders>
              <w:tl2br w:val="nil"/>
              <w:tr2bl w:val="nil"/>
            </w:tcBorders>
            <w:shd w:val="clear" w:color="auto" w:fill="538135" w:themeFill="accent6" w:themeFillShade="BF"/>
            <w:vAlign w:val="center"/>
          </w:tcPr>
          <w:p w14:paraId="0854DE74">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70054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3EDB438A">
            <w:pPr>
              <w:pStyle w:val="150"/>
            </w:pPr>
            <w:r>
              <w:rPr>
                <w:rFonts w:hint="eastAsia"/>
              </w:rPr>
              <w:t>标签页名称</w:t>
            </w:r>
          </w:p>
        </w:tc>
        <w:tc>
          <w:tcPr>
            <w:tcW w:w="6816" w:type="dxa"/>
            <w:shd w:val="clear" w:color="auto" w:fill="auto"/>
          </w:tcPr>
          <w:p w14:paraId="7CBAD813">
            <w:pPr>
              <w:pStyle w:val="150"/>
            </w:pPr>
            <w:r>
              <w:rPr>
                <w:rFonts w:hint="eastAsia"/>
              </w:rPr>
              <w:t>免认证</w:t>
            </w:r>
            <w:r>
              <w:t>P</w:t>
            </w:r>
            <w:r>
              <w:rPr>
                <w:rFonts w:hint="eastAsia"/>
              </w:rPr>
              <w:t>ortal页面显示的标签名称。</w:t>
            </w:r>
          </w:p>
        </w:tc>
      </w:tr>
      <w:tr w14:paraId="52F9F4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2A46596">
            <w:pPr>
              <w:pStyle w:val="150"/>
            </w:pPr>
            <w:r>
              <w:rPr>
                <w:rFonts w:hint="eastAsia"/>
              </w:rPr>
              <w:t>欢迎词</w:t>
            </w:r>
          </w:p>
        </w:tc>
        <w:tc>
          <w:tcPr>
            <w:tcW w:w="6816" w:type="dxa"/>
            <w:shd w:val="clear" w:color="auto" w:fill="auto"/>
          </w:tcPr>
          <w:p w14:paraId="07DA0B8E">
            <w:pPr>
              <w:pStyle w:val="150"/>
            </w:pPr>
            <w:r>
              <w:rPr>
                <w:rFonts w:hint="eastAsia"/>
              </w:rPr>
              <w:t>免认证模板欢迎词。</w:t>
            </w:r>
          </w:p>
        </w:tc>
      </w:tr>
      <w:tr w14:paraId="34BDAF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A31D289">
            <w:pPr>
              <w:pStyle w:val="150"/>
            </w:pPr>
            <w:r>
              <w:rPr>
                <w:rFonts w:hint="eastAsia"/>
              </w:rPr>
              <w:t>免责声明</w:t>
            </w:r>
          </w:p>
        </w:tc>
        <w:tc>
          <w:tcPr>
            <w:tcW w:w="6816" w:type="dxa"/>
            <w:shd w:val="clear" w:color="auto" w:fill="auto"/>
          </w:tcPr>
          <w:p w14:paraId="4466BF17">
            <w:pPr>
              <w:pStyle w:val="150"/>
            </w:pPr>
            <w:r>
              <w:rPr>
                <w:rFonts w:hint="eastAsia"/>
              </w:rPr>
              <w:t>免认证模板免责声明。</w:t>
            </w:r>
          </w:p>
        </w:tc>
      </w:tr>
      <w:tr w14:paraId="640CE8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6C0B01EE">
            <w:pPr>
              <w:pStyle w:val="150"/>
            </w:pPr>
            <w:r>
              <w:rPr>
                <w:rFonts w:hint="eastAsia"/>
              </w:rPr>
              <w:t>免认证描述</w:t>
            </w:r>
          </w:p>
        </w:tc>
        <w:tc>
          <w:tcPr>
            <w:tcW w:w="6816" w:type="dxa"/>
            <w:shd w:val="clear" w:color="auto" w:fill="auto"/>
          </w:tcPr>
          <w:p w14:paraId="7D55EA5D">
            <w:pPr>
              <w:pStyle w:val="150"/>
            </w:pPr>
            <w:r>
              <w:rPr>
                <w:rFonts w:hint="eastAsia"/>
              </w:rPr>
              <w:t>免认证portal页面显示的描述信息。</w:t>
            </w:r>
          </w:p>
        </w:tc>
      </w:tr>
      <w:tr w14:paraId="19836F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E53582D">
            <w:pPr>
              <w:pStyle w:val="150"/>
            </w:pPr>
            <w:r>
              <w:rPr>
                <w:rFonts w:hint="eastAsia"/>
              </w:rPr>
              <w:t>按钮颜色</w:t>
            </w:r>
          </w:p>
        </w:tc>
        <w:tc>
          <w:tcPr>
            <w:tcW w:w="6816" w:type="dxa"/>
            <w:shd w:val="clear" w:color="auto" w:fill="auto"/>
          </w:tcPr>
          <w:p w14:paraId="3E6A9283">
            <w:pPr>
              <w:pStyle w:val="150"/>
            </w:pPr>
            <w:r>
              <w:rPr>
                <w:rFonts w:hint="eastAsia"/>
              </w:rPr>
              <w:t>免认证登录按钮颜色。</w:t>
            </w:r>
          </w:p>
        </w:tc>
      </w:tr>
      <w:tr w14:paraId="60D16A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624A052C">
            <w:pPr>
              <w:pStyle w:val="150"/>
            </w:pPr>
            <w:r>
              <w:t>L</w:t>
            </w:r>
            <w:r>
              <w:rPr>
                <w:rFonts w:hint="eastAsia"/>
              </w:rPr>
              <w:t>ogo图片</w:t>
            </w:r>
          </w:p>
        </w:tc>
        <w:tc>
          <w:tcPr>
            <w:tcW w:w="6816" w:type="dxa"/>
            <w:shd w:val="clear" w:color="auto" w:fill="auto"/>
          </w:tcPr>
          <w:p w14:paraId="4CB542D3">
            <w:pPr>
              <w:pStyle w:val="150"/>
            </w:pPr>
            <w:r>
              <w:rPr>
                <w:rFonts w:hint="eastAsia"/>
              </w:rPr>
              <w:t>免认证模板Logo图片</w:t>
            </w:r>
            <w:r>
              <w:t xml:space="preserve"> 。</w:t>
            </w:r>
          </w:p>
        </w:tc>
      </w:tr>
      <w:tr w14:paraId="3A12C1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CE8CB8A">
            <w:pPr>
              <w:pStyle w:val="150"/>
            </w:pPr>
            <w:r>
              <w:rPr>
                <w:rFonts w:hint="eastAsia"/>
              </w:rPr>
              <w:t>背景图片</w:t>
            </w:r>
          </w:p>
        </w:tc>
        <w:tc>
          <w:tcPr>
            <w:tcW w:w="6816" w:type="dxa"/>
            <w:shd w:val="clear" w:color="auto" w:fill="auto"/>
          </w:tcPr>
          <w:p w14:paraId="69D561B8">
            <w:pPr>
              <w:pStyle w:val="150"/>
            </w:pPr>
            <w:r>
              <w:rPr>
                <w:rFonts w:hint="eastAsia"/>
              </w:rPr>
              <w:t>免认证Portal页面背景图片。</w:t>
            </w:r>
          </w:p>
        </w:tc>
      </w:tr>
    </w:tbl>
    <w:p w14:paraId="7CA7C657"/>
    <w:p w14:paraId="4B70FEDA">
      <w:r>
        <w:rPr>
          <w:rFonts w:hint="eastAsia"/>
        </w:rPr>
        <w:t>输入完毕后，点击</w:t>
      </w:r>
      <w:r>
        <w:t>&lt;</w:t>
      </w:r>
      <w:r>
        <w:rPr>
          <w:rFonts w:hint="eastAsia"/>
        </w:rPr>
        <w:t>提交</w:t>
      </w:r>
      <w:r>
        <w:t>&gt;</w:t>
      </w:r>
      <w:r>
        <w:rPr>
          <w:rFonts w:hint="eastAsia"/>
        </w:rPr>
        <w:t>按钮，应用配置，点击</w:t>
      </w:r>
      <w:r>
        <w:t>&lt;</w:t>
      </w:r>
      <w:r>
        <w:rPr>
          <w:rFonts w:hint="eastAsia"/>
        </w:rPr>
        <w:t>取消</w:t>
      </w:r>
      <w:r>
        <w:t>&gt;</w:t>
      </w:r>
      <w:r>
        <w:rPr>
          <w:rFonts w:hint="eastAsia"/>
        </w:rPr>
        <w:t>按钮，取消配置修改。</w:t>
      </w:r>
    </w:p>
    <w:p w14:paraId="48EDC5CA">
      <w:r>
        <w:rPr>
          <w:rFonts w:hint="eastAsia"/>
        </w:rPr>
        <w:t>点击预览</w:t>
      </w:r>
      <w:r>
        <w:drawing>
          <wp:inline distT="0" distB="0" distL="0" distR="0">
            <wp:extent cx="209550" cy="180975"/>
            <wp:effectExtent l="0" t="0" r="0" b="9525"/>
            <wp:docPr id="1401" name="图片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 name="图片 1401"/>
                    <pic:cNvPicPr>
                      <a:picLocks noChangeAspect="1"/>
                    </pic:cNvPicPr>
                  </pic:nvPicPr>
                  <pic:blipFill>
                    <a:blip r:embed="rId1080"/>
                    <a:stretch>
                      <a:fillRect/>
                    </a:stretch>
                  </pic:blipFill>
                  <pic:spPr>
                    <a:xfrm>
                      <a:off x="0" y="0"/>
                      <a:ext cx="209550" cy="180975"/>
                    </a:xfrm>
                    <a:prstGeom prst="rect">
                      <a:avLst/>
                    </a:prstGeom>
                  </pic:spPr>
                </pic:pic>
              </a:graphicData>
            </a:graphic>
          </wp:inline>
        </w:drawing>
      </w:r>
      <w:r>
        <w:t xml:space="preserve"> </w:t>
      </w:r>
      <w:r>
        <w:rPr>
          <w:rFonts w:hint="eastAsia"/>
        </w:rPr>
        <w:t>图标查看</w:t>
      </w:r>
      <w:r>
        <w:t>PC</w:t>
      </w:r>
      <w:r>
        <w:rPr>
          <w:rFonts w:hint="eastAsia"/>
        </w:rPr>
        <w:t>终端预览效果，如</w:t>
      </w:r>
      <w:r>
        <w:fldChar w:fldCharType="begin"/>
      </w:r>
      <w:r>
        <w:instrText xml:space="preserve"> REF _Ref458611628 \r \h </w:instrText>
      </w:r>
      <w:r>
        <w:fldChar w:fldCharType="separate"/>
      </w:r>
      <w:r>
        <w:rPr>
          <w:rFonts w:hint="eastAsia"/>
        </w:rPr>
        <w:t>图31-105</w:t>
      </w:r>
      <w:r>
        <w:fldChar w:fldCharType="end"/>
      </w:r>
      <w:r>
        <w:rPr>
          <w:rFonts w:hint="eastAsia"/>
        </w:rPr>
        <w:t>所示。</w:t>
      </w:r>
    </w:p>
    <w:p w14:paraId="64C9B2FE">
      <w:pPr>
        <w:pStyle w:val="188"/>
      </w:pPr>
      <w:bookmarkStart w:id="8750" w:name="_Ref458611628"/>
      <w:bookmarkStart w:id="8751" w:name="_Toc141874867"/>
      <w:r>
        <w:rPr>
          <w:rFonts w:hint="eastAsia"/>
        </w:rPr>
        <w:t>免认证模板PC终端预览效果</w:t>
      </w:r>
      <w:bookmarkEnd w:id="8750"/>
      <w:bookmarkEnd w:id="8751"/>
    </w:p>
    <w:p w14:paraId="28E4A798">
      <w:pPr>
        <w:spacing w:before="79" w:after="79"/>
      </w:pPr>
      <w:r>
        <w:drawing>
          <wp:inline distT="0" distB="0" distL="114300" distR="114300">
            <wp:extent cx="5276850" cy="2495550"/>
            <wp:effectExtent l="0" t="0" r="0" b="0"/>
            <wp:docPr id="46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12"/>
                    <pic:cNvPicPr>
                      <a:picLocks noChangeAspect="1"/>
                    </pic:cNvPicPr>
                  </pic:nvPicPr>
                  <pic:blipFill>
                    <a:blip r:embed="rId1092"/>
                    <a:srcRect b="17734"/>
                    <a:stretch>
                      <a:fillRect/>
                    </a:stretch>
                  </pic:blipFill>
                  <pic:spPr>
                    <a:xfrm>
                      <a:off x="0" y="0"/>
                      <a:ext cx="5282042" cy="2497709"/>
                    </a:xfrm>
                    <a:prstGeom prst="rect">
                      <a:avLst/>
                    </a:prstGeom>
                    <a:noFill/>
                    <a:ln>
                      <a:noFill/>
                    </a:ln>
                  </pic:spPr>
                </pic:pic>
              </a:graphicData>
            </a:graphic>
          </wp:inline>
        </w:drawing>
      </w:r>
    </w:p>
    <w:p w14:paraId="66FE4C95"/>
    <w:p w14:paraId="44CCCC37">
      <w:r>
        <w:rPr>
          <w:rFonts w:hint="eastAsia"/>
        </w:rPr>
        <w:t>点击预览</w:t>
      </w:r>
      <w:r>
        <w:drawing>
          <wp:inline distT="0" distB="0" distL="0" distR="0">
            <wp:extent cx="133350" cy="209550"/>
            <wp:effectExtent l="0" t="0" r="0" b="0"/>
            <wp:docPr id="1403" name="图片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 name="图片 1403"/>
                    <pic:cNvPicPr>
                      <a:picLocks noChangeAspect="1"/>
                    </pic:cNvPicPr>
                  </pic:nvPicPr>
                  <pic:blipFill>
                    <a:blip r:embed="rId1082"/>
                    <a:stretch>
                      <a:fillRect/>
                    </a:stretch>
                  </pic:blipFill>
                  <pic:spPr>
                    <a:xfrm>
                      <a:off x="0" y="0"/>
                      <a:ext cx="133350" cy="209550"/>
                    </a:xfrm>
                    <a:prstGeom prst="rect">
                      <a:avLst/>
                    </a:prstGeom>
                  </pic:spPr>
                </pic:pic>
              </a:graphicData>
            </a:graphic>
          </wp:inline>
        </w:drawing>
      </w:r>
      <w:r>
        <w:rPr>
          <w:rFonts w:hint="eastAsia"/>
        </w:rPr>
        <w:t>图标查看移动终端预览效果，如</w:t>
      </w:r>
      <w:r>
        <w:fldChar w:fldCharType="begin"/>
      </w:r>
      <w:r>
        <w:instrText xml:space="preserve"> REF _Ref458611642 \r \h </w:instrText>
      </w:r>
      <w:r>
        <w:fldChar w:fldCharType="separate"/>
      </w:r>
      <w:r>
        <w:rPr>
          <w:rFonts w:hint="eastAsia"/>
        </w:rPr>
        <w:t>图31-106</w:t>
      </w:r>
      <w:r>
        <w:fldChar w:fldCharType="end"/>
      </w:r>
      <w:r>
        <w:rPr>
          <w:rFonts w:hint="eastAsia"/>
        </w:rPr>
        <w:t>所示</w:t>
      </w:r>
      <w:r>
        <w:t xml:space="preserve"> </w:t>
      </w:r>
    </w:p>
    <w:p w14:paraId="7FC33CE2">
      <w:pPr>
        <w:pStyle w:val="188"/>
      </w:pPr>
      <w:bookmarkStart w:id="8752" w:name="_Ref458611642"/>
      <w:bookmarkStart w:id="8753" w:name="_Toc141874868"/>
      <w:r>
        <w:rPr>
          <w:rFonts w:hint="eastAsia"/>
        </w:rPr>
        <w:t>免认证模板移动终端预览效果</w:t>
      </w:r>
      <w:bookmarkEnd w:id="8752"/>
      <w:bookmarkEnd w:id="8753"/>
    </w:p>
    <w:p w14:paraId="0003A151">
      <w:pPr>
        <w:spacing w:before="79" w:after="79"/>
      </w:pPr>
      <w:r>
        <w:drawing>
          <wp:inline distT="0" distB="0" distL="114300" distR="114300">
            <wp:extent cx="1854835" cy="3601720"/>
            <wp:effectExtent l="0" t="0" r="12065" b="17780"/>
            <wp:docPr id="47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13"/>
                    <pic:cNvPicPr>
                      <a:picLocks noChangeAspect="1"/>
                    </pic:cNvPicPr>
                  </pic:nvPicPr>
                  <pic:blipFill>
                    <a:blip r:embed="rId1093"/>
                    <a:stretch>
                      <a:fillRect/>
                    </a:stretch>
                  </pic:blipFill>
                  <pic:spPr>
                    <a:xfrm>
                      <a:off x="0" y="0"/>
                      <a:ext cx="1854835" cy="3601720"/>
                    </a:xfrm>
                    <a:prstGeom prst="rect">
                      <a:avLst/>
                    </a:prstGeom>
                    <a:noFill/>
                    <a:ln>
                      <a:noFill/>
                    </a:ln>
                  </pic:spPr>
                </pic:pic>
              </a:graphicData>
            </a:graphic>
          </wp:inline>
        </w:drawing>
      </w:r>
    </w:p>
    <w:p w14:paraId="2650539B"/>
    <w:p w14:paraId="72A4171B">
      <w:pPr>
        <w:pStyle w:val="6"/>
      </w:pPr>
      <w:r>
        <w:rPr>
          <w:rFonts w:hint="eastAsia"/>
        </w:rPr>
        <w:t>访客二维码认证模板</w:t>
      </w:r>
    </w:p>
    <w:p w14:paraId="1C175E82">
      <w:r>
        <w:rPr>
          <w:rFonts w:hint="eastAsia"/>
        </w:rPr>
        <w:t>在导航栏中选择“用户管理&gt;认证管理&gt;认证方式&gt;认证模板设置</w:t>
      </w:r>
      <w:r>
        <w:t>&gt;访客</w:t>
      </w:r>
      <w:r>
        <w:rPr>
          <w:rFonts w:hint="eastAsia"/>
        </w:rPr>
        <w:t>二维码认证模板”，点击操作中的</w:t>
      </w:r>
      <w:r>
        <w:t>&lt;</w:t>
      </w:r>
      <w:r>
        <w:rPr>
          <w:rFonts w:hint="eastAsia"/>
        </w:rPr>
        <w:t>编辑</w:t>
      </w:r>
      <w:r>
        <w:t>&gt;</w:t>
      </w:r>
      <w:r>
        <w:rPr>
          <w:rFonts w:hint="eastAsia"/>
        </w:rPr>
        <w:t>按钮进入二维码认证模板配置页面，页面显示了当前的二维码认证模板配置，如</w:t>
      </w:r>
      <w:r>
        <w:rPr>
          <w:color w:val="0000FF"/>
          <w:u w:val="single"/>
        </w:rPr>
        <w:fldChar w:fldCharType="begin"/>
      </w:r>
      <w:r>
        <w:instrText xml:space="preserve"> </w:instrText>
      </w:r>
      <w:r>
        <w:rPr>
          <w:rFonts w:hint="eastAsia"/>
        </w:rPr>
        <w:instrText xml:space="preserve">REF _Ref6233755 \r \h</w:instrText>
      </w:r>
      <w:r>
        <w:instrText xml:space="preserve"> </w:instrText>
      </w:r>
      <w:r>
        <w:rPr>
          <w:color w:val="0000FF"/>
          <w:u w:val="single"/>
        </w:rPr>
        <w:fldChar w:fldCharType="separate"/>
      </w:r>
      <w:r>
        <w:rPr>
          <w:rFonts w:hint="eastAsia"/>
        </w:rPr>
        <w:t>图31-107</w:t>
      </w:r>
      <w:r>
        <w:rPr>
          <w:color w:val="0000FF"/>
          <w:u w:val="single"/>
        </w:rPr>
        <w:fldChar w:fldCharType="end"/>
      </w:r>
      <w:r>
        <w:rPr>
          <w:rFonts w:hint="eastAsia"/>
        </w:rPr>
        <w:t>所示。</w:t>
      </w:r>
    </w:p>
    <w:p w14:paraId="47916E7A">
      <w:pPr>
        <w:pStyle w:val="188"/>
      </w:pPr>
      <w:bookmarkStart w:id="8754" w:name="_Ref6233755"/>
      <w:bookmarkStart w:id="8755" w:name="_Toc141874869"/>
      <w:r>
        <w:rPr>
          <w:rFonts w:hint="eastAsia"/>
        </w:rPr>
        <w:t>二维码</w:t>
      </w:r>
      <w:r>
        <w:t>认证</w:t>
      </w:r>
      <w:r>
        <w:rPr>
          <w:rFonts w:hint="eastAsia"/>
        </w:rPr>
        <w:t>模板</w:t>
      </w:r>
      <w:r>
        <w:t>配置页面</w:t>
      </w:r>
      <w:bookmarkEnd w:id="8754"/>
      <w:bookmarkEnd w:id="8755"/>
    </w:p>
    <w:p w14:paraId="31482293">
      <w:pPr>
        <w:spacing w:before="79" w:after="79"/>
      </w:pPr>
      <w:r>
        <w:drawing>
          <wp:inline distT="0" distB="0" distL="114300" distR="114300">
            <wp:extent cx="4479290" cy="4244975"/>
            <wp:effectExtent l="0" t="0" r="16510" b="3175"/>
            <wp:docPr id="47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49"/>
                    <pic:cNvPicPr>
                      <a:picLocks noChangeAspect="1"/>
                    </pic:cNvPicPr>
                  </pic:nvPicPr>
                  <pic:blipFill>
                    <a:blip r:embed="rId1094"/>
                    <a:stretch>
                      <a:fillRect/>
                    </a:stretch>
                  </pic:blipFill>
                  <pic:spPr>
                    <a:xfrm>
                      <a:off x="0" y="0"/>
                      <a:ext cx="4479290" cy="4244975"/>
                    </a:xfrm>
                    <a:prstGeom prst="rect">
                      <a:avLst/>
                    </a:prstGeom>
                    <a:noFill/>
                    <a:ln>
                      <a:noFill/>
                    </a:ln>
                  </pic:spPr>
                </pic:pic>
              </a:graphicData>
            </a:graphic>
          </wp:inline>
        </w:drawing>
      </w:r>
    </w:p>
    <w:p w14:paraId="37633C97"/>
    <w:p w14:paraId="751848DD">
      <w:r>
        <w:rPr>
          <w:rFonts w:hint="eastAsia"/>
        </w:rPr>
        <w:t>页面的详细说明如</w:t>
      </w:r>
      <w:r>
        <w:fldChar w:fldCharType="begin"/>
      </w:r>
      <w:r>
        <w:instrText xml:space="preserve"> </w:instrText>
      </w:r>
      <w:r>
        <w:rPr>
          <w:rFonts w:hint="eastAsia"/>
        </w:rPr>
        <w:instrText xml:space="preserve">REF _Ref6233760 \r \h</w:instrText>
      </w:r>
      <w:r>
        <w:instrText xml:space="preserve"> </w:instrText>
      </w:r>
      <w:r>
        <w:fldChar w:fldCharType="separate"/>
      </w:r>
      <w:r>
        <w:rPr>
          <w:rFonts w:hint="eastAsia"/>
        </w:rPr>
        <w:t>表31-1</w:t>
      </w:r>
      <w:r>
        <w:fldChar w:fldCharType="end"/>
      </w:r>
      <w:r>
        <w:rPr>
          <w:rFonts w:hint="eastAsia"/>
        </w:rPr>
        <w:t>所示。</w:t>
      </w:r>
    </w:p>
    <w:p w14:paraId="3FB04896">
      <w:pPr>
        <w:pStyle w:val="183"/>
      </w:pPr>
      <w:bookmarkStart w:id="8756" w:name="_Ref6233760"/>
      <w:bookmarkStart w:id="8757" w:name="_Toc141875588"/>
      <w:r>
        <w:t>二维码</w:t>
      </w:r>
      <w:r>
        <w:rPr>
          <w:rFonts w:hint="eastAsia"/>
        </w:rPr>
        <w:t>认证模板配置详细说明</w:t>
      </w:r>
      <w:bookmarkEnd w:id="8756"/>
      <w:bookmarkEnd w:id="8757"/>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0B5673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68DD7789">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7" w:type="dxa"/>
            <w:tcBorders>
              <w:tl2br w:val="nil"/>
              <w:tr2bl w:val="nil"/>
            </w:tcBorders>
            <w:shd w:val="clear" w:color="auto" w:fill="538135" w:themeFill="accent6" w:themeFillShade="BF"/>
            <w:vAlign w:val="center"/>
          </w:tcPr>
          <w:p w14:paraId="133FA2D5">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6EBC1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E9E0449">
            <w:pPr>
              <w:pStyle w:val="150"/>
            </w:pPr>
            <w:r>
              <w:rPr>
                <w:rFonts w:hint="eastAsia"/>
              </w:rPr>
              <w:t>标签页名称</w:t>
            </w:r>
          </w:p>
        </w:tc>
        <w:tc>
          <w:tcPr>
            <w:tcW w:w="6817" w:type="dxa"/>
            <w:shd w:val="clear" w:color="auto" w:fill="auto"/>
          </w:tcPr>
          <w:p w14:paraId="5F172B7A">
            <w:pPr>
              <w:pStyle w:val="150"/>
            </w:pPr>
            <w:r>
              <w:rPr>
                <w:rFonts w:hint="eastAsia"/>
              </w:rPr>
              <w:t>二维码认证</w:t>
            </w:r>
            <w:r>
              <w:t>P</w:t>
            </w:r>
            <w:r>
              <w:rPr>
                <w:rFonts w:hint="eastAsia"/>
              </w:rPr>
              <w:t>ortal页面显示的标签名称。</w:t>
            </w:r>
          </w:p>
        </w:tc>
      </w:tr>
      <w:tr w14:paraId="2F913A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6D7232A9">
            <w:pPr>
              <w:pStyle w:val="150"/>
            </w:pPr>
            <w:r>
              <w:rPr>
                <w:rFonts w:hint="eastAsia"/>
              </w:rPr>
              <w:t>欢迎词</w:t>
            </w:r>
          </w:p>
        </w:tc>
        <w:tc>
          <w:tcPr>
            <w:tcW w:w="6817" w:type="dxa"/>
            <w:shd w:val="clear" w:color="auto" w:fill="auto"/>
          </w:tcPr>
          <w:p w14:paraId="510E604D">
            <w:pPr>
              <w:pStyle w:val="150"/>
            </w:pPr>
            <w:r>
              <w:rPr>
                <w:rFonts w:hint="eastAsia"/>
              </w:rPr>
              <w:t>二维码认证模板欢迎词。</w:t>
            </w:r>
          </w:p>
        </w:tc>
      </w:tr>
      <w:tr w14:paraId="59A876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718A63C0">
            <w:pPr>
              <w:pStyle w:val="150"/>
            </w:pPr>
            <w:r>
              <w:rPr>
                <w:rFonts w:hint="eastAsia"/>
              </w:rPr>
              <w:t>免责声明</w:t>
            </w:r>
          </w:p>
        </w:tc>
        <w:tc>
          <w:tcPr>
            <w:tcW w:w="6817" w:type="dxa"/>
            <w:shd w:val="clear" w:color="auto" w:fill="auto"/>
          </w:tcPr>
          <w:p w14:paraId="6521B84E">
            <w:pPr>
              <w:pStyle w:val="150"/>
            </w:pPr>
            <w:r>
              <w:rPr>
                <w:rFonts w:hint="eastAsia"/>
              </w:rPr>
              <w:t>二维码认证免责声明。</w:t>
            </w:r>
          </w:p>
        </w:tc>
      </w:tr>
      <w:tr w14:paraId="24BDE53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2ED3471A">
            <w:pPr>
              <w:pStyle w:val="150"/>
            </w:pPr>
            <w:r>
              <w:rPr>
                <w:rFonts w:hint="eastAsia"/>
              </w:rPr>
              <w:t>按钮颜色</w:t>
            </w:r>
          </w:p>
        </w:tc>
        <w:tc>
          <w:tcPr>
            <w:tcW w:w="6817" w:type="dxa"/>
            <w:shd w:val="clear" w:color="auto" w:fill="auto"/>
          </w:tcPr>
          <w:p w14:paraId="7A5B89AF">
            <w:pPr>
              <w:pStyle w:val="150"/>
            </w:pPr>
            <w:r>
              <w:rPr>
                <w:rFonts w:hint="eastAsia"/>
              </w:rPr>
              <w:t>登录按钮颜色。</w:t>
            </w:r>
          </w:p>
        </w:tc>
      </w:tr>
      <w:tr w14:paraId="46D9AC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240FB638">
            <w:pPr>
              <w:pStyle w:val="150"/>
            </w:pPr>
            <w:r>
              <w:t>L</w:t>
            </w:r>
            <w:r>
              <w:rPr>
                <w:rFonts w:hint="eastAsia"/>
              </w:rPr>
              <w:t>ogo图片</w:t>
            </w:r>
          </w:p>
        </w:tc>
        <w:tc>
          <w:tcPr>
            <w:tcW w:w="6817" w:type="dxa"/>
            <w:shd w:val="clear" w:color="auto" w:fill="auto"/>
          </w:tcPr>
          <w:p w14:paraId="09CE3526">
            <w:pPr>
              <w:pStyle w:val="150"/>
            </w:pPr>
            <w:r>
              <w:rPr>
                <w:rFonts w:hint="eastAsia"/>
              </w:rPr>
              <w:t>Logo图片设置</w:t>
            </w:r>
            <w:r>
              <w:t xml:space="preserve"> 。</w:t>
            </w:r>
          </w:p>
        </w:tc>
      </w:tr>
      <w:tr w14:paraId="30EE2A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27AD1FBE">
            <w:pPr>
              <w:pStyle w:val="150"/>
            </w:pPr>
            <w:r>
              <w:rPr>
                <w:rFonts w:hint="eastAsia"/>
              </w:rPr>
              <w:t>背景图片</w:t>
            </w:r>
          </w:p>
        </w:tc>
        <w:tc>
          <w:tcPr>
            <w:tcW w:w="6817" w:type="dxa"/>
            <w:shd w:val="clear" w:color="auto" w:fill="auto"/>
          </w:tcPr>
          <w:p w14:paraId="37A786E1">
            <w:pPr>
              <w:pStyle w:val="150"/>
            </w:pPr>
            <w:r>
              <w:rPr>
                <w:rFonts w:hint="eastAsia"/>
              </w:rPr>
              <w:t>二维码认证Portal页面背景图片。</w:t>
            </w:r>
          </w:p>
        </w:tc>
      </w:tr>
    </w:tbl>
    <w:p w14:paraId="3BEDA643"/>
    <w:p w14:paraId="2710285D">
      <w:r>
        <w:rPr>
          <w:rFonts w:hint="eastAsia"/>
        </w:rPr>
        <w:t>输入完毕后，点击</w:t>
      </w:r>
      <w:r>
        <w:t>&lt;</w:t>
      </w:r>
      <w:r>
        <w:rPr>
          <w:rFonts w:hint="eastAsia"/>
        </w:rPr>
        <w:t>提交</w:t>
      </w:r>
      <w:r>
        <w:t>&gt;</w:t>
      </w:r>
      <w:r>
        <w:rPr>
          <w:rFonts w:hint="eastAsia"/>
        </w:rPr>
        <w:t>按钮，应用配置，点击</w:t>
      </w:r>
      <w:r>
        <w:t>&lt;</w:t>
      </w:r>
      <w:r>
        <w:rPr>
          <w:rFonts w:hint="eastAsia"/>
        </w:rPr>
        <w:t>取消</w:t>
      </w:r>
      <w:r>
        <w:t>&gt;</w:t>
      </w:r>
      <w:r>
        <w:rPr>
          <w:rFonts w:hint="eastAsia"/>
        </w:rPr>
        <w:t>按钮，取消配置修改。</w:t>
      </w:r>
    </w:p>
    <w:p w14:paraId="31E95153">
      <w:r>
        <w:rPr>
          <w:rFonts w:hint="eastAsia"/>
        </w:rPr>
        <w:t>点击预览</w:t>
      </w:r>
      <w:r>
        <w:drawing>
          <wp:inline distT="0" distB="0" distL="0" distR="0">
            <wp:extent cx="154305" cy="133350"/>
            <wp:effectExtent l="0" t="0" r="0" b="0"/>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485"/>
                    <pic:cNvPicPr>
                      <a:picLocks noChangeAspect="1"/>
                    </pic:cNvPicPr>
                  </pic:nvPicPr>
                  <pic:blipFill>
                    <a:blip r:embed="rId1080"/>
                    <a:stretch>
                      <a:fillRect/>
                    </a:stretch>
                  </pic:blipFill>
                  <pic:spPr>
                    <a:xfrm>
                      <a:off x="0" y="0"/>
                      <a:ext cx="157188" cy="135753"/>
                    </a:xfrm>
                    <a:prstGeom prst="rect">
                      <a:avLst/>
                    </a:prstGeom>
                  </pic:spPr>
                </pic:pic>
              </a:graphicData>
            </a:graphic>
          </wp:inline>
        </w:drawing>
      </w:r>
      <w:r>
        <w:t xml:space="preserve"> </w:t>
      </w:r>
      <w:r>
        <w:rPr>
          <w:rFonts w:hint="eastAsia"/>
        </w:rPr>
        <w:t>图标查看</w:t>
      </w:r>
      <w:r>
        <w:t>PC</w:t>
      </w:r>
      <w:r>
        <w:rPr>
          <w:rFonts w:hint="eastAsia"/>
        </w:rPr>
        <w:t>终端预览效果，如</w:t>
      </w:r>
      <w:r>
        <w:fldChar w:fldCharType="begin"/>
      </w:r>
      <w:r>
        <w:instrText xml:space="preserve"> </w:instrText>
      </w:r>
      <w:r>
        <w:rPr>
          <w:rFonts w:hint="eastAsia"/>
        </w:rPr>
        <w:instrText xml:space="preserve">REF _Ref6233768 \r \h</w:instrText>
      </w:r>
      <w:r>
        <w:instrText xml:space="preserve"> </w:instrText>
      </w:r>
      <w:r>
        <w:fldChar w:fldCharType="separate"/>
      </w:r>
      <w:r>
        <w:rPr>
          <w:rFonts w:hint="eastAsia"/>
        </w:rPr>
        <w:t>图31-108</w:t>
      </w:r>
      <w:r>
        <w:fldChar w:fldCharType="end"/>
      </w:r>
      <w:r>
        <w:rPr>
          <w:rFonts w:hint="eastAsia"/>
        </w:rPr>
        <w:t>所示。</w:t>
      </w:r>
    </w:p>
    <w:p w14:paraId="5EE1B950">
      <w:pPr>
        <w:pStyle w:val="188"/>
      </w:pPr>
      <w:bookmarkStart w:id="8758" w:name="_Toc141874870"/>
      <w:bookmarkStart w:id="8759" w:name="_Ref6233768"/>
      <w:r>
        <w:rPr>
          <w:rFonts w:hint="eastAsia"/>
        </w:rPr>
        <w:t>二维码认证模板PC终端预览效果</w:t>
      </w:r>
      <w:bookmarkEnd w:id="8758"/>
      <w:bookmarkEnd w:id="8759"/>
    </w:p>
    <w:p w14:paraId="148F1BF0">
      <w:r>
        <w:drawing>
          <wp:inline distT="0" distB="0" distL="0" distR="0">
            <wp:extent cx="5438775" cy="2056765"/>
            <wp:effectExtent l="0" t="0" r="0" b="635"/>
            <wp:docPr id="1405" name="图片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 name="图片 1405"/>
                    <pic:cNvPicPr>
                      <a:picLocks noChangeAspect="1"/>
                    </pic:cNvPicPr>
                  </pic:nvPicPr>
                  <pic:blipFill>
                    <a:blip r:embed="rId1095"/>
                    <a:stretch>
                      <a:fillRect/>
                    </a:stretch>
                  </pic:blipFill>
                  <pic:spPr>
                    <a:xfrm>
                      <a:off x="0" y="0"/>
                      <a:ext cx="5469761" cy="2068966"/>
                    </a:xfrm>
                    <a:prstGeom prst="rect">
                      <a:avLst/>
                    </a:prstGeom>
                  </pic:spPr>
                </pic:pic>
              </a:graphicData>
            </a:graphic>
          </wp:inline>
        </w:drawing>
      </w:r>
    </w:p>
    <w:p w14:paraId="512F92EA"/>
    <w:p w14:paraId="2923F4D9">
      <w:r>
        <w:rPr>
          <w:rFonts w:hint="eastAsia"/>
        </w:rPr>
        <w:t>点击预览</w:t>
      </w:r>
      <w:r>
        <w:drawing>
          <wp:inline distT="0" distB="0" distL="0" distR="0">
            <wp:extent cx="133350" cy="209550"/>
            <wp:effectExtent l="0" t="0" r="0" b="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86"/>
                    <pic:cNvPicPr>
                      <a:picLocks noChangeAspect="1"/>
                    </pic:cNvPicPr>
                  </pic:nvPicPr>
                  <pic:blipFill>
                    <a:blip r:embed="rId1082"/>
                    <a:stretch>
                      <a:fillRect/>
                    </a:stretch>
                  </pic:blipFill>
                  <pic:spPr>
                    <a:xfrm>
                      <a:off x="0" y="0"/>
                      <a:ext cx="133350" cy="209550"/>
                    </a:xfrm>
                    <a:prstGeom prst="rect">
                      <a:avLst/>
                    </a:prstGeom>
                  </pic:spPr>
                </pic:pic>
              </a:graphicData>
            </a:graphic>
          </wp:inline>
        </w:drawing>
      </w:r>
      <w:r>
        <w:rPr>
          <w:rFonts w:hint="eastAsia"/>
        </w:rPr>
        <w:t>图标查看移动终端预览效果，如</w:t>
      </w:r>
      <w:r>
        <w:fldChar w:fldCharType="begin"/>
      </w:r>
      <w:r>
        <w:instrText xml:space="preserve"> </w:instrText>
      </w:r>
      <w:r>
        <w:rPr>
          <w:rFonts w:hint="eastAsia"/>
        </w:rPr>
        <w:instrText xml:space="preserve">REF _Ref6233772 \r \h</w:instrText>
      </w:r>
      <w:r>
        <w:instrText xml:space="preserve"> </w:instrText>
      </w:r>
      <w:r>
        <w:fldChar w:fldCharType="separate"/>
      </w:r>
      <w:r>
        <w:rPr>
          <w:rFonts w:hint="eastAsia"/>
        </w:rPr>
        <w:t>图31-109</w:t>
      </w:r>
      <w:r>
        <w:fldChar w:fldCharType="end"/>
      </w:r>
      <w:r>
        <w:rPr>
          <w:rFonts w:hint="eastAsia"/>
        </w:rPr>
        <w:t>所示。</w:t>
      </w:r>
    </w:p>
    <w:p w14:paraId="6374FA81">
      <w:pPr>
        <w:pStyle w:val="188"/>
      </w:pPr>
      <w:bookmarkStart w:id="8760" w:name="_Ref6233772"/>
      <w:bookmarkStart w:id="8761" w:name="_Toc141874871"/>
      <w:r>
        <w:rPr>
          <w:rFonts w:hint="eastAsia"/>
        </w:rPr>
        <w:t>二维码认证模板移动终端预览效果</w:t>
      </w:r>
      <w:bookmarkEnd w:id="8760"/>
      <w:bookmarkEnd w:id="8761"/>
    </w:p>
    <w:p w14:paraId="19BB0041">
      <w:pPr>
        <w:spacing w:before="79" w:after="79"/>
      </w:pPr>
      <w:r>
        <w:drawing>
          <wp:inline distT="0" distB="0" distL="0" distR="0">
            <wp:extent cx="1781810" cy="3095625"/>
            <wp:effectExtent l="0" t="0" r="8890" b="0"/>
            <wp:docPr id="1406" name="图片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 name="图片 1406"/>
                    <pic:cNvPicPr>
                      <a:picLocks noChangeAspect="1"/>
                    </pic:cNvPicPr>
                  </pic:nvPicPr>
                  <pic:blipFill>
                    <a:blip r:embed="rId1096"/>
                    <a:stretch>
                      <a:fillRect/>
                    </a:stretch>
                  </pic:blipFill>
                  <pic:spPr>
                    <a:xfrm>
                      <a:off x="0" y="0"/>
                      <a:ext cx="1806398" cy="3137688"/>
                    </a:xfrm>
                    <a:prstGeom prst="rect">
                      <a:avLst/>
                    </a:prstGeom>
                  </pic:spPr>
                </pic:pic>
              </a:graphicData>
            </a:graphic>
          </wp:inline>
        </w:drawing>
      </w:r>
    </w:p>
    <w:p w14:paraId="36058BD7">
      <w:pPr>
        <w:pStyle w:val="6"/>
      </w:pPr>
      <w:r>
        <w:rPr>
          <w:rFonts w:hint="eastAsia"/>
        </w:rPr>
        <w:t>APP认证模板</w:t>
      </w:r>
    </w:p>
    <w:p w14:paraId="0DD282DD">
      <w:r>
        <w:rPr>
          <w:rFonts w:hint="eastAsia"/>
        </w:rPr>
        <w:t>在导航栏中选择“用户管理&gt;认证管理&gt;认证方式&gt;认证模板设置</w:t>
      </w:r>
      <w:r>
        <w:t>&gt;</w:t>
      </w:r>
      <w:r>
        <w:rPr>
          <w:rFonts w:hint="eastAsia"/>
        </w:rPr>
        <w:t>APP认证模板”，点击操作中的</w:t>
      </w:r>
      <w:r>
        <w:t>&lt;</w:t>
      </w:r>
      <w:r>
        <w:rPr>
          <w:rFonts w:hint="eastAsia"/>
        </w:rPr>
        <w:t>编辑</w:t>
      </w:r>
      <w:r>
        <w:t>&gt;</w:t>
      </w:r>
      <w:r>
        <w:rPr>
          <w:rFonts w:hint="eastAsia"/>
        </w:rPr>
        <w:t>按钮进入APP认证模板配置页面，页面显示了当前的APP认证模板配置，如</w:t>
      </w:r>
      <w:r>
        <w:rPr>
          <w:color w:val="0000FF"/>
          <w:u w:val="single"/>
        </w:rPr>
        <w:fldChar w:fldCharType="begin"/>
      </w:r>
      <w:r>
        <w:instrText xml:space="preserve"> </w:instrText>
      </w:r>
      <w:r>
        <w:rPr>
          <w:rFonts w:hint="eastAsia"/>
        </w:rPr>
        <w:instrText xml:space="preserve">REF _Ref59899644 \r \h</w:instrText>
      </w:r>
      <w:r>
        <w:instrText xml:space="preserve"> </w:instrText>
      </w:r>
      <w:r>
        <w:rPr>
          <w:color w:val="0000FF"/>
          <w:u w:val="single"/>
        </w:rPr>
        <w:fldChar w:fldCharType="separate"/>
      </w:r>
      <w:r>
        <w:rPr>
          <w:rFonts w:hint="eastAsia"/>
        </w:rPr>
        <w:t>图31-110</w:t>
      </w:r>
      <w:r>
        <w:rPr>
          <w:color w:val="0000FF"/>
          <w:u w:val="single"/>
        </w:rPr>
        <w:fldChar w:fldCharType="end"/>
      </w:r>
      <w:r>
        <w:rPr>
          <w:rFonts w:hint="eastAsia"/>
        </w:rPr>
        <w:t>所示。</w:t>
      </w:r>
    </w:p>
    <w:p w14:paraId="5FF2FDE6">
      <w:pPr>
        <w:pStyle w:val="188"/>
      </w:pPr>
      <w:bookmarkStart w:id="8762" w:name="_Ref59899644"/>
      <w:bookmarkStart w:id="8763" w:name="_Toc141874872"/>
      <w:r>
        <w:rPr>
          <w:rFonts w:hint="eastAsia"/>
        </w:rPr>
        <w:t>APP</w:t>
      </w:r>
      <w:r>
        <w:t>认证</w:t>
      </w:r>
      <w:r>
        <w:rPr>
          <w:rFonts w:hint="eastAsia"/>
        </w:rPr>
        <w:t>模板</w:t>
      </w:r>
      <w:r>
        <w:t>配置页面</w:t>
      </w:r>
      <w:bookmarkEnd w:id="8762"/>
      <w:bookmarkEnd w:id="8763"/>
    </w:p>
    <w:p w14:paraId="08034171">
      <w:pPr>
        <w:spacing w:before="79" w:after="79"/>
      </w:pPr>
      <w:r>
        <w:drawing>
          <wp:inline distT="0" distB="0" distL="114300" distR="114300">
            <wp:extent cx="4976495" cy="4129405"/>
            <wp:effectExtent l="0" t="0" r="14605" b="4445"/>
            <wp:docPr id="478"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51"/>
                    <pic:cNvPicPr>
                      <a:picLocks noChangeAspect="1"/>
                    </pic:cNvPicPr>
                  </pic:nvPicPr>
                  <pic:blipFill>
                    <a:blip r:embed="rId1097"/>
                    <a:stretch>
                      <a:fillRect/>
                    </a:stretch>
                  </pic:blipFill>
                  <pic:spPr>
                    <a:xfrm>
                      <a:off x="0" y="0"/>
                      <a:ext cx="4976495" cy="4129405"/>
                    </a:xfrm>
                    <a:prstGeom prst="rect">
                      <a:avLst/>
                    </a:prstGeom>
                    <a:noFill/>
                    <a:ln>
                      <a:noFill/>
                    </a:ln>
                  </pic:spPr>
                </pic:pic>
              </a:graphicData>
            </a:graphic>
          </wp:inline>
        </w:drawing>
      </w:r>
    </w:p>
    <w:p w14:paraId="7FF23A34"/>
    <w:p w14:paraId="0AAFD8E7">
      <w:r>
        <w:rPr>
          <w:rFonts w:hint="eastAsia"/>
        </w:rPr>
        <w:t>页面的详细说明如</w:t>
      </w:r>
      <w:r>
        <w:fldChar w:fldCharType="begin"/>
      </w:r>
      <w:r>
        <w:instrText xml:space="preserve"> </w:instrText>
      </w:r>
      <w:r>
        <w:rPr>
          <w:rFonts w:hint="eastAsia"/>
        </w:rPr>
        <w:instrText xml:space="preserve">REF _Ref6233760 \r \h</w:instrText>
      </w:r>
      <w:r>
        <w:instrText xml:space="preserve"> </w:instrText>
      </w:r>
      <w:r>
        <w:fldChar w:fldCharType="separate"/>
      </w:r>
      <w:r>
        <w:rPr>
          <w:rFonts w:hint="eastAsia"/>
        </w:rPr>
        <w:t>表31-1</w:t>
      </w:r>
      <w:r>
        <w:fldChar w:fldCharType="end"/>
      </w:r>
      <w:r>
        <w:rPr>
          <w:rFonts w:hint="eastAsia"/>
        </w:rPr>
        <w:t>所示。</w:t>
      </w:r>
    </w:p>
    <w:p w14:paraId="1720BAB6">
      <w:pPr>
        <w:pStyle w:val="183"/>
      </w:pPr>
      <w:bookmarkStart w:id="8764" w:name="_Toc141875589"/>
      <w:r>
        <w:rPr>
          <w:rFonts w:hint="eastAsia"/>
        </w:rPr>
        <w:t>APP认证模板配置详细说明</w:t>
      </w:r>
      <w:bookmarkEnd w:id="8764"/>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1AF9AA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5DA792B6">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6" w:type="dxa"/>
            <w:tcBorders>
              <w:tl2br w:val="nil"/>
              <w:tr2bl w:val="nil"/>
            </w:tcBorders>
            <w:shd w:val="clear" w:color="auto" w:fill="538135" w:themeFill="accent6" w:themeFillShade="BF"/>
            <w:vAlign w:val="center"/>
          </w:tcPr>
          <w:p w14:paraId="00B42B9C">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74F7E1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771B78D4">
            <w:pPr>
              <w:pStyle w:val="150"/>
            </w:pPr>
            <w:r>
              <w:rPr>
                <w:rFonts w:hint="eastAsia"/>
              </w:rPr>
              <w:t>标签页名称</w:t>
            </w:r>
          </w:p>
        </w:tc>
        <w:tc>
          <w:tcPr>
            <w:tcW w:w="6816" w:type="dxa"/>
            <w:shd w:val="clear" w:color="auto" w:fill="auto"/>
          </w:tcPr>
          <w:p w14:paraId="73F76558">
            <w:pPr>
              <w:pStyle w:val="150"/>
            </w:pPr>
            <w:r>
              <w:rPr>
                <w:rFonts w:hint="eastAsia"/>
              </w:rPr>
              <w:t>APP认证Portal页面显示的标签名称。</w:t>
            </w:r>
          </w:p>
        </w:tc>
      </w:tr>
      <w:tr w14:paraId="55E3AA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648066FD">
            <w:pPr>
              <w:pStyle w:val="150"/>
            </w:pPr>
            <w:r>
              <w:rPr>
                <w:rFonts w:hint="eastAsia"/>
              </w:rPr>
              <w:t>欢迎词</w:t>
            </w:r>
          </w:p>
        </w:tc>
        <w:tc>
          <w:tcPr>
            <w:tcW w:w="6816" w:type="dxa"/>
            <w:shd w:val="clear" w:color="auto" w:fill="auto"/>
          </w:tcPr>
          <w:p w14:paraId="2CFBE096">
            <w:pPr>
              <w:pStyle w:val="150"/>
            </w:pPr>
            <w:r>
              <w:rPr>
                <w:rFonts w:hint="eastAsia"/>
              </w:rPr>
              <w:t>APP认证模板欢迎词。</w:t>
            </w:r>
          </w:p>
        </w:tc>
      </w:tr>
      <w:tr w14:paraId="63B55F8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1A1CE2FA">
            <w:pPr>
              <w:pStyle w:val="150"/>
            </w:pPr>
            <w:r>
              <w:rPr>
                <w:rFonts w:hint="eastAsia"/>
              </w:rPr>
              <w:t>按钮颜色</w:t>
            </w:r>
          </w:p>
        </w:tc>
        <w:tc>
          <w:tcPr>
            <w:tcW w:w="6816" w:type="dxa"/>
            <w:shd w:val="clear" w:color="auto" w:fill="auto"/>
          </w:tcPr>
          <w:p w14:paraId="613C5C7F">
            <w:pPr>
              <w:pStyle w:val="150"/>
            </w:pPr>
            <w:r>
              <w:rPr>
                <w:rFonts w:hint="eastAsia"/>
              </w:rPr>
              <w:t>登录按钮颜色。</w:t>
            </w:r>
          </w:p>
        </w:tc>
      </w:tr>
      <w:tr w14:paraId="6E7260E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01DE33B">
            <w:pPr>
              <w:pStyle w:val="150"/>
            </w:pPr>
            <w:r>
              <w:t>L</w:t>
            </w:r>
            <w:r>
              <w:rPr>
                <w:rFonts w:hint="eastAsia"/>
              </w:rPr>
              <w:t>ogo图片</w:t>
            </w:r>
          </w:p>
        </w:tc>
        <w:tc>
          <w:tcPr>
            <w:tcW w:w="6816" w:type="dxa"/>
            <w:shd w:val="clear" w:color="auto" w:fill="auto"/>
          </w:tcPr>
          <w:p w14:paraId="55A32294">
            <w:pPr>
              <w:pStyle w:val="150"/>
            </w:pPr>
            <w:r>
              <w:rPr>
                <w:rFonts w:hint="eastAsia"/>
              </w:rPr>
              <w:t>Logo图片设置</w:t>
            </w:r>
            <w:r>
              <w:t xml:space="preserve"> 。</w:t>
            </w:r>
          </w:p>
        </w:tc>
      </w:tr>
      <w:tr w14:paraId="73BF49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34FD6A25">
            <w:pPr>
              <w:pStyle w:val="150"/>
            </w:pPr>
            <w:r>
              <w:rPr>
                <w:rFonts w:hint="eastAsia"/>
              </w:rPr>
              <w:t>背景图片</w:t>
            </w:r>
          </w:p>
        </w:tc>
        <w:tc>
          <w:tcPr>
            <w:tcW w:w="6816" w:type="dxa"/>
            <w:shd w:val="clear" w:color="auto" w:fill="auto"/>
          </w:tcPr>
          <w:p w14:paraId="78DDE5A1">
            <w:pPr>
              <w:pStyle w:val="150"/>
            </w:pPr>
            <w:r>
              <w:rPr>
                <w:rFonts w:hint="eastAsia"/>
              </w:rPr>
              <w:t>APP认证页面背景图片。</w:t>
            </w:r>
          </w:p>
        </w:tc>
      </w:tr>
    </w:tbl>
    <w:p w14:paraId="0C7A32D0"/>
    <w:p w14:paraId="46FC1B9F">
      <w:r>
        <w:rPr>
          <w:rFonts w:hint="eastAsia"/>
        </w:rPr>
        <w:t>输入完毕后，点击</w:t>
      </w:r>
      <w:r>
        <w:t>&lt;</w:t>
      </w:r>
      <w:r>
        <w:rPr>
          <w:rFonts w:hint="eastAsia"/>
        </w:rPr>
        <w:t>提交</w:t>
      </w:r>
      <w:r>
        <w:t>&gt;</w:t>
      </w:r>
      <w:r>
        <w:rPr>
          <w:rFonts w:hint="eastAsia"/>
        </w:rPr>
        <w:t>按钮，应用配置，点击</w:t>
      </w:r>
      <w:r>
        <w:t>&lt;</w:t>
      </w:r>
      <w:r>
        <w:rPr>
          <w:rFonts w:hint="eastAsia"/>
        </w:rPr>
        <w:t>取消</w:t>
      </w:r>
      <w:r>
        <w:t>&gt;</w:t>
      </w:r>
      <w:r>
        <w:rPr>
          <w:rFonts w:hint="eastAsia"/>
        </w:rPr>
        <w:t>按钮，取消配置修改。</w:t>
      </w:r>
    </w:p>
    <w:p w14:paraId="50BC763B">
      <w:r>
        <w:rPr>
          <w:rFonts w:hint="eastAsia"/>
        </w:rPr>
        <w:t>点击预览</w:t>
      </w:r>
      <w:r>
        <w:drawing>
          <wp:inline distT="0" distB="0" distL="0" distR="0">
            <wp:extent cx="154305" cy="133350"/>
            <wp:effectExtent l="0" t="0" r="0" b="0"/>
            <wp:docPr id="584" name="图片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图片 584"/>
                    <pic:cNvPicPr>
                      <a:picLocks noChangeAspect="1"/>
                    </pic:cNvPicPr>
                  </pic:nvPicPr>
                  <pic:blipFill>
                    <a:blip r:embed="rId1080"/>
                    <a:stretch>
                      <a:fillRect/>
                    </a:stretch>
                  </pic:blipFill>
                  <pic:spPr>
                    <a:xfrm>
                      <a:off x="0" y="0"/>
                      <a:ext cx="157188" cy="135753"/>
                    </a:xfrm>
                    <a:prstGeom prst="rect">
                      <a:avLst/>
                    </a:prstGeom>
                  </pic:spPr>
                </pic:pic>
              </a:graphicData>
            </a:graphic>
          </wp:inline>
        </w:drawing>
      </w:r>
      <w:r>
        <w:t xml:space="preserve"> </w:t>
      </w:r>
      <w:r>
        <w:rPr>
          <w:rFonts w:hint="eastAsia"/>
        </w:rPr>
        <w:t>图标查看</w:t>
      </w:r>
      <w:r>
        <w:t>PC</w:t>
      </w:r>
      <w:r>
        <w:rPr>
          <w:rFonts w:hint="eastAsia"/>
        </w:rPr>
        <w:t>终端预览效果，如</w:t>
      </w:r>
      <w:r>
        <w:fldChar w:fldCharType="begin"/>
      </w:r>
      <w:r>
        <w:instrText xml:space="preserve"> </w:instrText>
      </w:r>
      <w:r>
        <w:rPr>
          <w:rFonts w:hint="eastAsia"/>
        </w:rPr>
        <w:instrText xml:space="preserve">REF _Ref59899696 \r \h</w:instrText>
      </w:r>
      <w:r>
        <w:instrText xml:space="preserve"> </w:instrText>
      </w:r>
      <w:r>
        <w:fldChar w:fldCharType="separate"/>
      </w:r>
      <w:r>
        <w:rPr>
          <w:rFonts w:hint="eastAsia"/>
        </w:rPr>
        <w:t>图31-111</w:t>
      </w:r>
      <w:r>
        <w:fldChar w:fldCharType="end"/>
      </w:r>
      <w:r>
        <w:rPr>
          <w:rFonts w:hint="eastAsia"/>
        </w:rPr>
        <w:t>所示。</w:t>
      </w:r>
    </w:p>
    <w:p w14:paraId="69109C9C">
      <w:pPr>
        <w:pStyle w:val="188"/>
      </w:pPr>
      <w:bookmarkStart w:id="8765" w:name="_Ref59899696"/>
      <w:bookmarkStart w:id="8766" w:name="_Toc141874873"/>
      <w:r>
        <w:rPr>
          <w:rFonts w:hint="eastAsia"/>
        </w:rPr>
        <w:t>APP认证模板PC终端预览效果</w:t>
      </w:r>
      <w:bookmarkEnd w:id="8765"/>
      <w:bookmarkEnd w:id="8766"/>
    </w:p>
    <w:p w14:paraId="3D54EB15">
      <w:pPr>
        <w:spacing w:before="79" w:after="79"/>
      </w:pPr>
      <w:r>
        <w:drawing>
          <wp:inline distT="0" distB="0" distL="0" distR="0">
            <wp:extent cx="4739640" cy="1774825"/>
            <wp:effectExtent l="0" t="0" r="3810" b="0"/>
            <wp:docPr id="585" name="图片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585"/>
                    <pic:cNvPicPr>
                      <a:picLocks noChangeAspect="1"/>
                    </pic:cNvPicPr>
                  </pic:nvPicPr>
                  <pic:blipFill>
                    <a:blip r:embed="rId1098"/>
                    <a:stretch>
                      <a:fillRect/>
                    </a:stretch>
                  </pic:blipFill>
                  <pic:spPr>
                    <a:xfrm>
                      <a:off x="0" y="0"/>
                      <a:ext cx="4751383" cy="1779674"/>
                    </a:xfrm>
                    <a:prstGeom prst="rect">
                      <a:avLst/>
                    </a:prstGeom>
                  </pic:spPr>
                </pic:pic>
              </a:graphicData>
            </a:graphic>
          </wp:inline>
        </w:drawing>
      </w:r>
    </w:p>
    <w:p w14:paraId="7DCB595F"/>
    <w:p w14:paraId="7D307C0E">
      <w:r>
        <w:rPr>
          <w:rFonts w:hint="eastAsia"/>
        </w:rPr>
        <w:t>点击预览</w:t>
      </w:r>
      <w:r>
        <w:drawing>
          <wp:inline distT="0" distB="0" distL="0" distR="0">
            <wp:extent cx="133350" cy="209550"/>
            <wp:effectExtent l="0" t="0" r="0" b="0"/>
            <wp:docPr id="586" name="图片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586"/>
                    <pic:cNvPicPr>
                      <a:picLocks noChangeAspect="1"/>
                    </pic:cNvPicPr>
                  </pic:nvPicPr>
                  <pic:blipFill>
                    <a:blip r:embed="rId1082"/>
                    <a:stretch>
                      <a:fillRect/>
                    </a:stretch>
                  </pic:blipFill>
                  <pic:spPr>
                    <a:xfrm>
                      <a:off x="0" y="0"/>
                      <a:ext cx="133350" cy="209550"/>
                    </a:xfrm>
                    <a:prstGeom prst="rect">
                      <a:avLst/>
                    </a:prstGeom>
                  </pic:spPr>
                </pic:pic>
              </a:graphicData>
            </a:graphic>
          </wp:inline>
        </w:drawing>
      </w:r>
      <w:r>
        <w:rPr>
          <w:rFonts w:hint="eastAsia"/>
        </w:rPr>
        <w:t>图标查看移动终端预览效果，如</w:t>
      </w:r>
      <w:r>
        <w:fldChar w:fldCharType="begin"/>
      </w:r>
      <w:r>
        <w:instrText xml:space="preserve"> </w:instrText>
      </w:r>
      <w:r>
        <w:rPr>
          <w:rFonts w:hint="eastAsia"/>
        </w:rPr>
        <w:instrText xml:space="preserve">REF _Ref59899769 \r \h</w:instrText>
      </w:r>
      <w:r>
        <w:instrText xml:space="preserve"> </w:instrText>
      </w:r>
      <w:r>
        <w:fldChar w:fldCharType="separate"/>
      </w:r>
      <w:r>
        <w:rPr>
          <w:rFonts w:hint="eastAsia"/>
        </w:rPr>
        <w:t>图31-112</w:t>
      </w:r>
      <w:r>
        <w:fldChar w:fldCharType="end"/>
      </w:r>
      <w:r>
        <w:rPr>
          <w:rFonts w:hint="eastAsia"/>
        </w:rPr>
        <w:t>所示。</w:t>
      </w:r>
    </w:p>
    <w:p w14:paraId="481430AD">
      <w:pPr>
        <w:pStyle w:val="188"/>
      </w:pPr>
      <w:bookmarkStart w:id="8767" w:name="_Ref59899769"/>
      <w:bookmarkStart w:id="8768" w:name="_Toc141874874"/>
      <w:r>
        <w:rPr>
          <w:rFonts w:hint="eastAsia"/>
        </w:rPr>
        <w:t>APP认证模板移动终端预览效果</w:t>
      </w:r>
      <w:bookmarkEnd w:id="8767"/>
      <w:bookmarkEnd w:id="8768"/>
    </w:p>
    <w:p w14:paraId="499C45F9">
      <w:pPr>
        <w:spacing w:before="79" w:after="79"/>
      </w:pPr>
      <w:r>
        <w:drawing>
          <wp:inline distT="0" distB="0" distL="0" distR="0">
            <wp:extent cx="1740535" cy="3385185"/>
            <wp:effectExtent l="0" t="0" r="0" b="5715"/>
            <wp:docPr id="587" name="图片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587"/>
                    <pic:cNvPicPr>
                      <a:picLocks noChangeAspect="1"/>
                    </pic:cNvPicPr>
                  </pic:nvPicPr>
                  <pic:blipFill>
                    <a:blip r:embed="rId1099"/>
                    <a:stretch>
                      <a:fillRect/>
                    </a:stretch>
                  </pic:blipFill>
                  <pic:spPr>
                    <a:xfrm>
                      <a:off x="0" y="0"/>
                      <a:ext cx="1745997" cy="3396178"/>
                    </a:xfrm>
                    <a:prstGeom prst="rect">
                      <a:avLst/>
                    </a:prstGeom>
                  </pic:spPr>
                </pic:pic>
              </a:graphicData>
            </a:graphic>
          </wp:inline>
        </w:drawing>
      </w:r>
    </w:p>
    <w:p w14:paraId="0B35353B"/>
    <w:p w14:paraId="1347CEC2">
      <w:pPr>
        <w:pStyle w:val="6"/>
      </w:pPr>
      <w:r>
        <w:rPr>
          <w:rFonts w:hint="eastAsia"/>
        </w:rPr>
        <w:t>POP</w:t>
      </w:r>
      <w:r>
        <w:t>3</w:t>
      </w:r>
      <w:r>
        <w:rPr>
          <w:rFonts w:hint="eastAsia"/>
        </w:rPr>
        <w:t>认证模板</w:t>
      </w:r>
    </w:p>
    <w:p w14:paraId="44D3B667">
      <w:r>
        <w:rPr>
          <w:rFonts w:hint="eastAsia"/>
        </w:rPr>
        <w:t>在导航栏中选择“用户管理&gt;认证管理&gt;认证方式&gt;认证模板设置</w:t>
      </w:r>
      <w:r>
        <w:t>&gt;POP3</w:t>
      </w:r>
      <w:r>
        <w:rPr>
          <w:rFonts w:hint="eastAsia"/>
        </w:rPr>
        <w:t>认证模板”，点击操作中的</w:t>
      </w:r>
      <w:r>
        <w:t>&lt;</w:t>
      </w:r>
      <w:r>
        <w:rPr>
          <w:rFonts w:hint="eastAsia"/>
        </w:rPr>
        <w:t>编辑</w:t>
      </w:r>
      <w:r>
        <w:t>&gt;</w:t>
      </w:r>
      <w:r>
        <w:rPr>
          <w:rFonts w:hint="eastAsia"/>
        </w:rPr>
        <w:t>按钮进入</w:t>
      </w:r>
      <w:r>
        <w:t>POP3</w:t>
      </w:r>
      <w:r>
        <w:rPr>
          <w:rFonts w:hint="eastAsia"/>
        </w:rPr>
        <w:t>认证模板配置页面，页面显示了当前的</w:t>
      </w:r>
      <w:r>
        <w:t>POP3</w:t>
      </w:r>
      <w:r>
        <w:rPr>
          <w:rFonts w:hint="eastAsia"/>
        </w:rPr>
        <w:t>认证模板配置，如</w:t>
      </w:r>
      <w:r>
        <w:rPr>
          <w:color w:val="0000FF"/>
          <w:u w:val="single"/>
        </w:rPr>
        <w:fldChar w:fldCharType="begin"/>
      </w:r>
      <w:r>
        <w:instrText xml:space="preserve"> </w:instrText>
      </w:r>
      <w:r>
        <w:rPr>
          <w:rFonts w:hint="eastAsia"/>
        </w:rPr>
        <w:instrText xml:space="preserve">REF _Ref59900150 \r \h</w:instrText>
      </w:r>
      <w:r>
        <w:instrText xml:space="preserve"> </w:instrText>
      </w:r>
      <w:r>
        <w:rPr>
          <w:color w:val="0000FF"/>
          <w:u w:val="single"/>
        </w:rPr>
        <w:fldChar w:fldCharType="separate"/>
      </w:r>
      <w:r>
        <w:rPr>
          <w:rFonts w:hint="eastAsia"/>
        </w:rPr>
        <w:t>图31-113</w:t>
      </w:r>
      <w:r>
        <w:rPr>
          <w:color w:val="0000FF"/>
          <w:u w:val="single"/>
        </w:rPr>
        <w:fldChar w:fldCharType="end"/>
      </w:r>
      <w:r>
        <w:rPr>
          <w:rFonts w:hint="eastAsia"/>
        </w:rPr>
        <w:t>所示。</w:t>
      </w:r>
    </w:p>
    <w:p w14:paraId="090963AA">
      <w:pPr>
        <w:pStyle w:val="188"/>
      </w:pPr>
      <w:bookmarkStart w:id="8769" w:name="_Ref59900150"/>
      <w:bookmarkStart w:id="8770" w:name="_Toc141874875"/>
      <w:r>
        <w:t>POP3认证</w:t>
      </w:r>
      <w:r>
        <w:rPr>
          <w:rFonts w:hint="eastAsia"/>
        </w:rPr>
        <w:t>模板</w:t>
      </w:r>
      <w:r>
        <w:t>配置页面</w:t>
      </w:r>
      <w:bookmarkEnd w:id="8769"/>
      <w:bookmarkEnd w:id="8770"/>
    </w:p>
    <w:p w14:paraId="484126DB">
      <w:pPr>
        <w:spacing w:before="79" w:after="79"/>
      </w:pPr>
      <w:r>
        <w:drawing>
          <wp:inline distT="0" distB="0" distL="114300" distR="114300">
            <wp:extent cx="4714875" cy="4497705"/>
            <wp:effectExtent l="0" t="0" r="9525" b="17145"/>
            <wp:docPr id="97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 name="图片 52"/>
                    <pic:cNvPicPr>
                      <a:picLocks noChangeAspect="1"/>
                    </pic:cNvPicPr>
                  </pic:nvPicPr>
                  <pic:blipFill>
                    <a:blip r:embed="rId1100"/>
                    <a:stretch>
                      <a:fillRect/>
                    </a:stretch>
                  </pic:blipFill>
                  <pic:spPr>
                    <a:xfrm>
                      <a:off x="0" y="0"/>
                      <a:ext cx="4714875" cy="4497705"/>
                    </a:xfrm>
                    <a:prstGeom prst="rect">
                      <a:avLst/>
                    </a:prstGeom>
                    <a:noFill/>
                    <a:ln>
                      <a:noFill/>
                    </a:ln>
                  </pic:spPr>
                </pic:pic>
              </a:graphicData>
            </a:graphic>
          </wp:inline>
        </w:drawing>
      </w:r>
    </w:p>
    <w:p w14:paraId="067C7EF2"/>
    <w:p w14:paraId="711EC627">
      <w:r>
        <w:rPr>
          <w:rFonts w:hint="eastAsia"/>
        </w:rPr>
        <w:t>页面的详细说明如</w:t>
      </w:r>
      <w:r>
        <w:fldChar w:fldCharType="begin"/>
      </w:r>
      <w:r>
        <w:instrText xml:space="preserve"> </w:instrText>
      </w:r>
      <w:r>
        <w:rPr>
          <w:rFonts w:hint="eastAsia"/>
        </w:rPr>
        <w:instrText xml:space="preserve">REF _Ref59900380 \r \h</w:instrText>
      </w:r>
      <w:r>
        <w:instrText xml:space="preserve"> </w:instrText>
      </w:r>
      <w:r>
        <w:fldChar w:fldCharType="separate"/>
      </w:r>
      <w:r>
        <w:rPr>
          <w:rFonts w:hint="eastAsia"/>
        </w:rPr>
        <w:t>表31-1</w:t>
      </w:r>
      <w:r>
        <w:fldChar w:fldCharType="end"/>
      </w:r>
      <w:r>
        <w:rPr>
          <w:rFonts w:hint="eastAsia"/>
        </w:rPr>
        <w:t>所示。</w:t>
      </w:r>
    </w:p>
    <w:p w14:paraId="44A4C7DE">
      <w:pPr>
        <w:pStyle w:val="183"/>
      </w:pPr>
      <w:bookmarkStart w:id="8771" w:name="_Ref59900380"/>
      <w:bookmarkStart w:id="8772" w:name="_Toc141875590"/>
      <w:r>
        <w:t>POP3</w:t>
      </w:r>
      <w:r>
        <w:rPr>
          <w:rFonts w:hint="eastAsia"/>
        </w:rPr>
        <w:t>认证模板配置详细说明</w:t>
      </w:r>
      <w:bookmarkEnd w:id="8771"/>
      <w:bookmarkEnd w:id="8772"/>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0CE901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009479AD">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6" w:type="dxa"/>
            <w:tcBorders>
              <w:tl2br w:val="nil"/>
              <w:tr2bl w:val="nil"/>
            </w:tcBorders>
            <w:shd w:val="clear" w:color="auto" w:fill="538135" w:themeFill="accent6" w:themeFillShade="BF"/>
            <w:vAlign w:val="center"/>
          </w:tcPr>
          <w:p w14:paraId="5B0C9625">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28D26C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61E7AA4D">
            <w:pPr>
              <w:pStyle w:val="150"/>
            </w:pPr>
            <w:r>
              <w:rPr>
                <w:rFonts w:hint="eastAsia"/>
              </w:rPr>
              <w:t>标签页名称</w:t>
            </w:r>
          </w:p>
        </w:tc>
        <w:tc>
          <w:tcPr>
            <w:tcW w:w="6816" w:type="dxa"/>
            <w:shd w:val="clear" w:color="auto" w:fill="auto"/>
          </w:tcPr>
          <w:p w14:paraId="0F7D3CAB">
            <w:pPr>
              <w:pStyle w:val="150"/>
            </w:pPr>
            <w:r>
              <w:rPr>
                <w:rFonts w:hint="eastAsia"/>
              </w:rPr>
              <w:t>POP</w:t>
            </w:r>
            <w:r>
              <w:t>3</w:t>
            </w:r>
            <w:r>
              <w:rPr>
                <w:rFonts w:hint="eastAsia"/>
              </w:rPr>
              <w:t>认证Portal页面显示的标签名称。</w:t>
            </w:r>
          </w:p>
        </w:tc>
      </w:tr>
      <w:tr w14:paraId="2757750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C15F5D8">
            <w:pPr>
              <w:pStyle w:val="150"/>
            </w:pPr>
            <w:r>
              <w:rPr>
                <w:rFonts w:hint="eastAsia"/>
              </w:rPr>
              <w:t>欢迎词</w:t>
            </w:r>
          </w:p>
        </w:tc>
        <w:tc>
          <w:tcPr>
            <w:tcW w:w="6816" w:type="dxa"/>
            <w:shd w:val="clear" w:color="auto" w:fill="auto"/>
          </w:tcPr>
          <w:p w14:paraId="41850682">
            <w:pPr>
              <w:pStyle w:val="150"/>
            </w:pPr>
            <w:r>
              <w:rPr>
                <w:rFonts w:hint="eastAsia"/>
              </w:rPr>
              <w:t>POP</w:t>
            </w:r>
            <w:r>
              <w:t>3</w:t>
            </w:r>
            <w:r>
              <w:rPr>
                <w:rFonts w:hint="eastAsia"/>
              </w:rPr>
              <w:t>认证模板欢迎词。</w:t>
            </w:r>
          </w:p>
        </w:tc>
      </w:tr>
      <w:tr w14:paraId="638C7D0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61326D08">
            <w:pPr>
              <w:pStyle w:val="150"/>
            </w:pPr>
            <w:r>
              <w:rPr>
                <w:rFonts w:hint="eastAsia"/>
              </w:rPr>
              <w:t>免责声明</w:t>
            </w:r>
          </w:p>
        </w:tc>
        <w:tc>
          <w:tcPr>
            <w:tcW w:w="6816" w:type="dxa"/>
            <w:shd w:val="clear" w:color="auto" w:fill="auto"/>
          </w:tcPr>
          <w:p w14:paraId="668DA8AA">
            <w:pPr>
              <w:pStyle w:val="150"/>
            </w:pPr>
            <w:r>
              <w:rPr>
                <w:rFonts w:hint="eastAsia"/>
              </w:rPr>
              <w:t>POP</w:t>
            </w:r>
            <w:r>
              <w:t>3</w:t>
            </w:r>
            <w:r>
              <w:rPr>
                <w:rFonts w:hint="eastAsia"/>
              </w:rPr>
              <w:t>认证免责声明。</w:t>
            </w:r>
          </w:p>
        </w:tc>
      </w:tr>
      <w:tr w14:paraId="598948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1FA4D494">
            <w:pPr>
              <w:pStyle w:val="150"/>
            </w:pPr>
            <w:r>
              <w:rPr>
                <w:rFonts w:hint="eastAsia"/>
              </w:rPr>
              <w:t>按钮颜色</w:t>
            </w:r>
          </w:p>
        </w:tc>
        <w:tc>
          <w:tcPr>
            <w:tcW w:w="6816" w:type="dxa"/>
            <w:shd w:val="clear" w:color="auto" w:fill="auto"/>
          </w:tcPr>
          <w:p w14:paraId="117BE83E">
            <w:pPr>
              <w:pStyle w:val="150"/>
            </w:pPr>
            <w:r>
              <w:rPr>
                <w:rFonts w:hint="eastAsia"/>
              </w:rPr>
              <w:t>登录按钮颜色。</w:t>
            </w:r>
          </w:p>
        </w:tc>
      </w:tr>
      <w:tr w14:paraId="5F980F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29CDC2F">
            <w:pPr>
              <w:pStyle w:val="150"/>
            </w:pPr>
            <w:r>
              <w:t>L</w:t>
            </w:r>
            <w:r>
              <w:rPr>
                <w:rFonts w:hint="eastAsia"/>
              </w:rPr>
              <w:t>ogo图片</w:t>
            </w:r>
          </w:p>
        </w:tc>
        <w:tc>
          <w:tcPr>
            <w:tcW w:w="6816" w:type="dxa"/>
            <w:shd w:val="clear" w:color="auto" w:fill="auto"/>
          </w:tcPr>
          <w:p w14:paraId="56B7ADEC">
            <w:pPr>
              <w:pStyle w:val="150"/>
            </w:pPr>
            <w:r>
              <w:rPr>
                <w:rFonts w:hint="eastAsia"/>
              </w:rPr>
              <w:t>Logo图片设置</w:t>
            </w:r>
            <w:r>
              <w:t xml:space="preserve"> 。</w:t>
            </w:r>
          </w:p>
        </w:tc>
      </w:tr>
      <w:tr w14:paraId="0ABC1E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678742A9">
            <w:pPr>
              <w:pStyle w:val="150"/>
            </w:pPr>
            <w:r>
              <w:rPr>
                <w:rFonts w:hint="eastAsia"/>
              </w:rPr>
              <w:t>背景图片</w:t>
            </w:r>
          </w:p>
        </w:tc>
        <w:tc>
          <w:tcPr>
            <w:tcW w:w="6816" w:type="dxa"/>
            <w:shd w:val="clear" w:color="auto" w:fill="auto"/>
          </w:tcPr>
          <w:p w14:paraId="4B1549C6">
            <w:pPr>
              <w:pStyle w:val="150"/>
            </w:pPr>
            <w:r>
              <w:t>POP3</w:t>
            </w:r>
            <w:r>
              <w:rPr>
                <w:rFonts w:hint="eastAsia"/>
              </w:rPr>
              <w:t>认证页面背景图片。</w:t>
            </w:r>
          </w:p>
        </w:tc>
      </w:tr>
    </w:tbl>
    <w:p w14:paraId="6DF85694"/>
    <w:p w14:paraId="6B1E4D3F">
      <w:r>
        <w:rPr>
          <w:rFonts w:hint="eastAsia"/>
        </w:rPr>
        <w:t>输入完毕后，点击</w:t>
      </w:r>
      <w:r>
        <w:t>&lt;</w:t>
      </w:r>
      <w:r>
        <w:rPr>
          <w:rFonts w:hint="eastAsia"/>
        </w:rPr>
        <w:t>提交</w:t>
      </w:r>
      <w:r>
        <w:t>&gt;</w:t>
      </w:r>
      <w:r>
        <w:rPr>
          <w:rFonts w:hint="eastAsia"/>
        </w:rPr>
        <w:t>按钮，应用配置，点击</w:t>
      </w:r>
      <w:r>
        <w:t>&lt;</w:t>
      </w:r>
      <w:r>
        <w:rPr>
          <w:rFonts w:hint="eastAsia"/>
        </w:rPr>
        <w:t>取消</w:t>
      </w:r>
      <w:r>
        <w:t>&gt;</w:t>
      </w:r>
      <w:r>
        <w:rPr>
          <w:rFonts w:hint="eastAsia"/>
        </w:rPr>
        <w:t>按钮，取消配置修改。</w:t>
      </w:r>
    </w:p>
    <w:p w14:paraId="04864FDE">
      <w:r>
        <w:rPr>
          <w:rFonts w:hint="eastAsia"/>
        </w:rPr>
        <w:t>点击预览</w:t>
      </w:r>
      <w:r>
        <w:drawing>
          <wp:inline distT="0" distB="0" distL="0" distR="0">
            <wp:extent cx="154305" cy="133350"/>
            <wp:effectExtent l="0" t="0" r="0" b="0"/>
            <wp:docPr id="589" name="图片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589"/>
                    <pic:cNvPicPr>
                      <a:picLocks noChangeAspect="1"/>
                    </pic:cNvPicPr>
                  </pic:nvPicPr>
                  <pic:blipFill>
                    <a:blip r:embed="rId1080"/>
                    <a:stretch>
                      <a:fillRect/>
                    </a:stretch>
                  </pic:blipFill>
                  <pic:spPr>
                    <a:xfrm>
                      <a:off x="0" y="0"/>
                      <a:ext cx="157188" cy="135753"/>
                    </a:xfrm>
                    <a:prstGeom prst="rect">
                      <a:avLst/>
                    </a:prstGeom>
                  </pic:spPr>
                </pic:pic>
              </a:graphicData>
            </a:graphic>
          </wp:inline>
        </w:drawing>
      </w:r>
      <w:r>
        <w:t xml:space="preserve"> </w:t>
      </w:r>
      <w:r>
        <w:rPr>
          <w:rFonts w:hint="eastAsia"/>
        </w:rPr>
        <w:t>图标查看</w:t>
      </w:r>
      <w:r>
        <w:t>PC</w:t>
      </w:r>
      <w:r>
        <w:rPr>
          <w:rFonts w:hint="eastAsia"/>
        </w:rPr>
        <w:t>终端预览效果，如</w:t>
      </w:r>
      <w:r>
        <w:fldChar w:fldCharType="begin"/>
      </w:r>
      <w:r>
        <w:instrText xml:space="preserve"> </w:instrText>
      </w:r>
      <w:r>
        <w:rPr>
          <w:rFonts w:hint="eastAsia"/>
        </w:rPr>
        <w:instrText xml:space="preserve">REF _Ref59900585 \r \h</w:instrText>
      </w:r>
      <w:r>
        <w:instrText xml:space="preserve"> </w:instrText>
      </w:r>
      <w:r>
        <w:fldChar w:fldCharType="separate"/>
      </w:r>
      <w:r>
        <w:rPr>
          <w:rFonts w:hint="eastAsia"/>
        </w:rPr>
        <w:t>图31-114</w:t>
      </w:r>
      <w:r>
        <w:fldChar w:fldCharType="end"/>
      </w:r>
      <w:r>
        <w:rPr>
          <w:rFonts w:hint="eastAsia"/>
        </w:rPr>
        <w:t>所示。</w:t>
      </w:r>
    </w:p>
    <w:p w14:paraId="2FB2B35E">
      <w:pPr>
        <w:pStyle w:val="188"/>
      </w:pPr>
      <w:bookmarkStart w:id="8773" w:name="_Ref59900585"/>
      <w:bookmarkStart w:id="8774" w:name="_Toc141874876"/>
      <w:r>
        <w:t>POP3</w:t>
      </w:r>
      <w:r>
        <w:rPr>
          <w:rFonts w:hint="eastAsia"/>
        </w:rPr>
        <w:t>认证模板PC终端预览效果</w:t>
      </w:r>
      <w:bookmarkEnd w:id="8773"/>
      <w:bookmarkEnd w:id="8774"/>
    </w:p>
    <w:p w14:paraId="7597EE11">
      <w:pPr>
        <w:spacing w:before="79" w:after="79"/>
      </w:pPr>
      <w:r>
        <w:drawing>
          <wp:inline distT="0" distB="0" distL="0" distR="0">
            <wp:extent cx="4716145" cy="1776730"/>
            <wp:effectExtent l="0" t="0" r="8255" b="0"/>
            <wp:docPr id="590" name="图片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590"/>
                    <pic:cNvPicPr>
                      <a:picLocks noChangeAspect="1"/>
                    </pic:cNvPicPr>
                  </pic:nvPicPr>
                  <pic:blipFill>
                    <a:blip r:embed="rId1101"/>
                    <a:stretch>
                      <a:fillRect/>
                    </a:stretch>
                  </pic:blipFill>
                  <pic:spPr>
                    <a:xfrm>
                      <a:off x="0" y="0"/>
                      <a:ext cx="4724075" cy="1779738"/>
                    </a:xfrm>
                    <a:prstGeom prst="rect">
                      <a:avLst/>
                    </a:prstGeom>
                  </pic:spPr>
                </pic:pic>
              </a:graphicData>
            </a:graphic>
          </wp:inline>
        </w:drawing>
      </w:r>
    </w:p>
    <w:p w14:paraId="609508F8"/>
    <w:p w14:paraId="5086099B">
      <w:r>
        <w:rPr>
          <w:rFonts w:hint="eastAsia"/>
        </w:rPr>
        <w:t>点击预览</w:t>
      </w:r>
      <w:r>
        <w:drawing>
          <wp:inline distT="0" distB="0" distL="0" distR="0">
            <wp:extent cx="133350" cy="209550"/>
            <wp:effectExtent l="0" t="0" r="0" b="0"/>
            <wp:docPr id="591" name="图片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591"/>
                    <pic:cNvPicPr>
                      <a:picLocks noChangeAspect="1"/>
                    </pic:cNvPicPr>
                  </pic:nvPicPr>
                  <pic:blipFill>
                    <a:blip r:embed="rId1082"/>
                    <a:stretch>
                      <a:fillRect/>
                    </a:stretch>
                  </pic:blipFill>
                  <pic:spPr>
                    <a:xfrm>
                      <a:off x="0" y="0"/>
                      <a:ext cx="133350" cy="209550"/>
                    </a:xfrm>
                    <a:prstGeom prst="rect">
                      <a:avLst/>
                    </a:prstGeom>
                  </pic:spPr>
                </pic:pic>
              </a:graphicData>
            </a:graphic>
          </wp:inline>
        </w:drawing>
      </w:r>
      <w:r>
        <w:rPr>
          <w:rFonts w:hint="eastAsia"/>
        </w:rPr>
        <w:t>图标查看移动终端预览效果，如</w:t>
      </w:r>
      <w:r>
        <w:fldChar w:fldCharType="begin"/>
      </w:r>
      <w:r>
        <w:instrText xml:space="preserve"> </w:instrText>
      </w:r>
      <w:r>
        <w:rPr>
          <w:rFonts w:hint="eastAsia"/>
        </w:rPr>
        <w:instrText xml:space="preserve">REF _Ref59900613 \r \h</w:instrText>
      </w:r>
      <w:r>
        <w:instrText xml:space="preserve"> </w:instrText>
      </w:r>
      <w:r>
        <w:fldChar w:fldCharType="separate"/>
      </w:r>
      <w:r>
        <w:rPr>
          <w:rFonts w:hint="eastAsia"/>
        </w:rPr>
        <w:t>图31-115</w:t>
      </w:r>
      <w:r>
        <w:fldChar w:fldCharType="end"/>
      </w:r>
      <w:r>
        <w:rPr>
          <w:rFonts w:hint="eastAsia"/>
        </w:rPr>
        <w:t>所示。</w:t>
      </w:r>
    </w:p>
    <w:p w14:paraId="412B4E49">
      <w:pPr>
        <w:pStyle w:val="188"/>
      </w:pPr>
      <w:bookmarkStart w:id="8775" w:name="_Ref59900613"/>
      <w:bookmarkStart w:id="8776" w:name="_Toc141874877"/>
      <w:r>
        <w:t>POP3</w:t>
      </w:r>
      <w:r>
        <w:rPr>
          <w:rFonts w:hint="eastAsia"/>
        </w:rPr>
        <w:t>认证模板移动终端预览效果</w:t>
      </w:r>
      <w:bookmarkEnd w:id="8775"/>
      <w:bookmarkEnd w:id="8776"/>
    </w:p>
    <w:p w14:paraId="35670B3B">
      <w:pPr>
        <w:spacing w:before="79" w:after="79"/>
      </w:pPr>
      <w:r>
        <w:drawing>
          <wp:inline distT="0" distB="0" distL="114300" distR="114300">
            <wp:extent cx="1543050" cy="2976245"/>
            <wp:effectExtent l="0" t="0" r="0" b="0"/>
            <wp:docPr id="48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24"/>
                    <pic:cNvPicPr>
                      <a:picLocks noChangeAspect="1"/>
                    </pic:cNvPicPr>
                  </pic:nvPicPr>
                  <pic:blipFill>
                    <a:blip r:embed="rId1102"/>
                    <a:stretch>
                      <a:fillRect/>
                    </a:stretch>
                  </pic:blipFill>
                  <pic:spPr>
                    <a:xfrm>
                      <a:off x="0" y="0"/>
                      <a:ext cx="1544836" cy="2980012"/>
                    </a:xfrm>
                    <a:prstGeom prst="rect">
                      <a:avLst/>
                    </a:prstGeom>
                    <a:noFill/>
                    <a:ln>
                      <a:noFill/>
                    </a:ln>
                  </pic:spPr>
                </pic:pic>
              </a:graphicData>
            </a:graphic>
          </wp:inline>
        </w:drawing>
      </w:r>
    </w:p>
    <w:p w14:paraId="4D269F90"/>
    <w:p w14:paraId="5DC43BF1">
      <w:pPr>
        <w:pStyle w:val="6"/>
      </w:pPr>
      <w:r>
        <w:rPr>
          <w:rFonts w:hint="eastAsia"/>
        </w:rPr>
        <w:t>钉钉认证模板</w:t>
      </w:r>
    </w:p>
    <w:p w14:paraId="4C3C6437">
      <w:r>
        <w:rPr>
          <w:rFonts w:hint="eastAsia"/>
        </w:rPr>
        <w:t>在导航栏中选择“用户管理&gt;认证管理&gt;认证方式&gt;认证模板设置</w:t>
      </w:r>
      <w:r>
        <w:t>&gt;</w:t>
      </w:r>
      <w:r>
        <w:rPr>
          <w:rFonts w:hint="eastAsia"/>
        </w:rPr>
        <w:t>钉钉认证模板”，点击操作中的</w:t>
      </w:r>
      <w:r>
        <w:t>&lt;</w:t>
      </w:r>
      <w:r>
        <w:rPr>
          <w:rFonts w:hint="eastAsia"/>
        </w:rPr>
        <w:t>编辑</w:t>
      </w:r>
      <w:r>
        <w:t>&gt;</w:t>
      </w:r>
      <w:r>
        <w:rPr>
          <w:rFonts w:hint="eastAsia"/>
        </w:rPr>
        <w:t>按钮进入钉钉认证模板配置页面，页面显示了当前的钉钉认证模板配置，如</w:t>
      </w:r>
      <w:r>
        <w:rPr>
          <w:color w:val="0000FF"/>
          <w:u w:val="single"/>
        </w:rPr>
        <w:fldChar w:fldCharType="begin"/>
      </w:r>
      <w:r>
        <w:instrText xml:space="preserve"> </w:instrText>
      </w:r>
      <w:r>
        <w:rPr>
          <w:rFonts w:hint="eastAsia"/>
        </w:rPr>
        <w:instrText xml:space="preserve">REF _Ref59900150 \r \h</w:instrText>
      </w:r>
      <w:r>
        <w:instrText xml:space="preserve"> </w:instrText>
      </w:r>
      <w:r>
        <w:rPr>
          <w:color w:val="0000FF"/>
          <w:u w:val="single"/>
        </w:rPr>
        <w:fldChar w:fldCharType="separate"/>
      </w:r>
      <w:r>
        <w:rPr>
          <w:rFonts w:hint="eastAsia"/>
        </w:rPr>
        <w:t>图31-113</w:t>
      </w:r>
      <w:r>
        <w:rPr>
          <w:color w:val="0000FF"/>
          <w:u w:val="single"/>
        </w:rPr>
        <w:fldChar w:fldCharType="end"/>
      </w:r>
      <w:r>
        <w:rPr>
          <w:rFonts w:hint="eastAsia"/>
        </w:rPr>
        <w:t>所示。</w:t>
      </w:r>
    </w:p>
    <w:p w14:paraId="43DD7FC0">
      <w:pPr>
        <w:pStyle w:val="188"/>
      </w:pPr>
      <w:bookmarkStart w:id="8777" w:name="_Toc141874878"/>
      <w:r>
        <w:rPr>
          <w:rFonts w:hint="eastAsia"/>
        </w:rPr>
        <w:t>钉钉</w:t>
      </w:r>
      <w:r>
        <w:t>认证</w:t>
      </w:r>
      <w:r>
        <w:rPr>
          <w:rFonts w:hint="eastAsia"/>
        </w:rPr>
        <w:t>模板</w:t>
      </w:r>
      <w:r>
        <w:t>配置页面</w:t>
      </w:r>
      <w:bookmarkEnd w:id="8777"/>
    </w:p>
    <w:p w14:paraId="237AC690">
      <w:pPr>
        <w:spacing w:before="79" w:after="79"/>
      </w:pPr>
      <w:r>
        <w:drawing>
          <wp:inline distT="0" distB="0" distL="114300" distR="114300">
            <wp:extent cx="4606925" cy="4386580"/>
            <wp:effectExtent l="0" t="0" r="3175" b="13970"/>
            <wp:docPr id="47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53"/>
                    <pic:cNvPicPr>
                      <a:picLocks noChangeAspect="1"/>
                    </pic:cNvPicPr>
                  </pic:nvPicPr>
                  <pic:blipFill>
                    <a:blip r:embed="rId1103"/>
                    <a:stretch>
                      <a:fillRect/>
                    </a:stretch>
                  </pic:blipFill>
                  <pic:spPr>
                    <a:xfrm>
                      <a:off x="0" y="0"/>
                      <a:ext cx="4606925" cy="4386580"/>
                    </a:xfrm>
                    <a:prstGeom prst="rect">
                      <a:avLst/>
                    </a:prstGeom>
                    <a:noFill/>
                    <a:ln>
                      <a:noFill/>
                    </a:ln>
                  </pic:spPr>
                </pic:pic>
              </a:graphicData>
            </a:graphic>
          </wp:inline>
        </w:drawing>
      </w:r>
    </w:p>
    <w:p w14:paraId="382045AD"/>
    <w:p w14:paraId="491DBCA3">
      <w:r>
        <w:rPr>
          <w:rFonts w:hint="eastAsia"/>
        </w:rPr>
        <w:t>页面的详细说明如</w:t>
      </w:r>
      <w:r>
        <w:fldChar w:fldCharType="begin"/>
      </w:r>
      <w:r>
        <w:instrText xml:space="preserve"> </w:instrText>
      </w:r>
      <w:r>
        <w:rPr>
          <w:rFonts w:hint="eastAsia"/>
        </w:rPr>
        <w:instrText xml:space="preserve">REF _Ref59900380 \r \h</w:instrText>
      </w:r>
      <w:r>
        <w:instrText xml:space="preserve"> </w:instrText>
      </w:r>
      <w:r>
        <w:fldChar w:fldCharType="separate"/>
      </w:r>
      <w:r>
        <w:rPr>
          <w:rFonts w:hint="eastAsia"/>
        </w:rPr>
        <w:t>表31-1</w:t>
      </w:r>
      <w:r>
        <w:fldChar w:fldCharType="end"/>
      </w:r>
      <w:r>
        <w:rPr>
          <w:rFonts w:hint="eastAsia"/>
        </w:rPr>
        <w:t>所示。</w:t>
      </w:r>
    </w:p>
    <w:p w14:paraId="14DA9B4D">
      <w:pPr>
        <w:pStyle w:val="183"/>
      </w:pPr>
      <w:bookmarkStart w:id="8778" w:name="_Toc141875591"/>
      <w:r>
        <w:rPr>
          <w:rFonts w:hint="eastAsia"/>
        </w:rPr>
        <w:t>钉钉认证模板配置详细说明</w:t>
      </w:r>
      <w:bookmarkEnd w:id="8778"/>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48A9812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21848389">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6" w:type="dxa"/>
            <w:tcBorders>
              <w:tl2br w:val="nil"/>
              <w:tr2bl w:val="nil"/>
            </w:tcBorders>
            <w:shd w:val="clear" w:color="auto" w:fill="538135" w:themeFill="accent6" w:themeFillShade="BF"/>
            <w:vAlign w:val="center"/>
          </w:tcPr>
          <w:p w14:paraId="73B6D8D6">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A6429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29CD89DE">
            <w:pPr>
              <w:pStyle w:val="150"/>
            </w:pPr>
            <w:r>
              <w:rPr>
                <w:rFonts w:hint="eastAsia"/>
              </w:rPr>
              <w:t>标签页名称</w:t>
            </w:r>
          </w:p>
        </w:tc>
        <w:tc>
          <w:tcPr>
            <w:tcW w:w="6816" w:type="dxa"/>
            <w:shd w:val="clear" w:color="auto" w:fill="auto"/>
          </w:tcPr>
          <w:p w14:paraId="4D2EE06A">
            <w:pPr>
              <w:pStyle w:val="150"/>
            </w:pPr>
            <w:r>
              <w:rPr>
                <w:rFonts w:hint="eastAsia"/>
              </w:rPr>
              <w:t>钉钉认证Portal页面显示的标签名称。</w:t>
            </w:r>
          </w:p>
        </w:tc>
      </w:tr>
      <w:tr w14:paraId="5780D4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20" w:hRule="atLeast"/>
        </w:trPr>
        <w:tc>
          <w:tcPr>
            <w:tcW w:w="2198" w:type="dxa"/>
            <w:shd w:val="clear" w:color="auto" w:fill="auto"/>
          </w:tcPr>
          <w:p w14:paraId="0F947D81">
            <w:pPr>
              <w:pStyle w:val="150"/>
            </w:pPr>
            <w:r>
              <w:rPr>
                <w:rFonts w:hint="eastAsia"/>
              </w:rPr>
              <w:t>欢迎词</w:t>
            </w:r>
          </w:p>
        </w:tc>
        <w:tc>
          <w:tcPr>
            <w:tcW w:w="6816" w:type="dxa"/>
            <w:shd w:val="clear" w:color="auto" w:fill="auto"/>
          </w:tcPr>
          <w:p w14:paraId="4E9F7CBA">
            <w:pPr>
              <w:pStyle w:val="150"/>
            </w:pPr>
            <w:r>
              <w:rPr>
                <w:rFonts w:hint="eastAsia"/>
              </w:rPr>
              <w:t>钉钉认证模板欢迎词。</w:t>
            </w:r>
          </w:p>
        </w:tc>
      </w:tr>
      <w:tr w14:paraId="64F9B7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469A491">
            <w:pPr>
              <w:pStyle w:val="150"/>
            </w:pPr>
            <w:r>
              <w:rPr>
                <w:rFonts w:hint="eastAsia"/>
              </w:rPr>
              <w:t>免责声明</w:t>
            </w:r>
          </w:p>
        </w:tc>
        <w:tc>
          <w:tcPr>
            <w:tcW w:w="6816" w:type="dxa"/>
            <w:shd w:val="clear" w:color="auto" w:fill="auto"/>
          </w:tcPr>
          <w:p w14:paraId="63DB091E">
            <w:pPr>
              <w:pStyle w:val="150"/>
            </w:pPr>
            <w:r>
              <w:rPr>
                <w:rFonts w:hint="eastAsia"/>
              </w:rPr>
              <w:t>钉钉认证免责声明。</w:t>
            </w:r>
          </w:p>
        </w:tc>
      </w:tr>
      <w:tr w14:paraId="2CCCFED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B0D8053">
            <w:pPr>
              <w:pStyle w:val="150"/>
            </w:pPr>
            <w:r>
              <w:rPr>
                <w:rFonts w:hint="eastAsia"/>
              </w:rPr>
              <w:t>按钮颜色</w:t>
            </w:r>
          </w:p>
        </w:tc>
        <w:tc>
          <w:tcPr>
            <w:tcW w:w="6816" w:type="dxa"/>
            <w:shd w:val="clear" w:color="auto" w:fill="auto"/>
          </w:tcPr>
          <w:p w14:paraId="3000E138">
            <w:pPr>
              <w:pStyle w:val="150"/>
            </w:pPr>
            <w:r>
              <w:rPr>
                <w:rFonts w:hint="eastAsia"/>
              </w:rPr>
              <w:t>登录按钮颜色。</w:t>
            </w:r>
          </w:p>
        </w:tc>
      </w:tr>
      <w:tr w14:paraId="37C3357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F59E569">
            <w:pPr>
              <w:pStyle w:val="150"/>
            </w:pPr>
            <w:r>
              <w:t>L</w:t>
            </w:r>
            <w:r>
              <w:rPr>
                <w:rFonts w:hint="eastAsia"/>
              </w:rPr>
              <w:t>ogo图片</w:t>
            </w:r>
          </w:p>
        </w:tc>
        <w:tc>
          <w:tcPr>
            <w:tcW w:w="6816" w:type="dxa"/>
            <w:shd w:val="clear" w:color="auto" w:fill="auto"/>
          </w:tcPr>
          <w:p w14:paraId="46C2BC6B">
            <w:pPr>
              <w:pStyle w:val="150"/>
            </w:pPr>
            <w:r>
              <w:rPr>
                <w:rFonts w:hint="eastAsia"/>
              </w:rPr>
              <w:t>Logo图片设置</w:t>
            </w:r>
            <w:r>
              <w:t xml:space="preserve"> 。</w:t>
            </w:r>
          </w:p>
        </w:tc>
      </w:tr>
      <w:tr w14:paraId="1A5187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6E68226">
            <w:pPr>
              <w:pStyle w:val="150"/>
            </w:pPr>
            <w:r>
              <w:rPr>
                <w:rFonts w:hint="eastAsia"/>
              </w:rPr>
              <w:t>背景图片</w:t>
            </w:r>
          </w:p>
        </w:tc>
        <w:tc>
          <w:tcPr>
            <w:tcW w:w="6816" w:type="dxa"/>
            <w:shd w:val="clear" w:color="auto" w:fill="auto"/>
          </w:tcPr>
          <w:p w14:paraId="641BD1EE">
            <w:pPr>
              <w:pStyle w:val="150"/>
            </w:pPr>
            <w:r>
              <w:rPr>
                <w:rFonts w:hint="eastAsia"/>
              </w:rPr>
              <w:t>钉钉认证页面背景图片。</w:t>
            </w:r>
          </w:p>
        </w:tc>
      </w:tr>
    </w:tbl>
    <w:p w14:paraId="44C4627E"/>
    <w:p w14:paraId="3D036114">
      <w:r>
        <w:rPr>
          <w:rFonts w:hint="eastAsia"/>
        </w:rPr>
        <w:t>输入完毕后，点击</w:t>
      </w:r>
      <w:r>
        <w:t>&lt;</w:t>
      </w:r>
      <w:r>
        <w:rPr>
          <w:rFonts w:hint="eastAsia"/>
        </w:rPr>
        <w:t>提交</w:t>
      </w:r>
      <w:r>
        <w:t>&gt;</w:t>
      </w:r>
      <w:r>
        <w:rPr>
          <w:rFonts w:hint="eastAsia"/>
        </w:rPr>
        <w:t>按钮，应用配置，点击</w:t>
      </w:r>
      <w:r>
        <w:t>&lt;</w:t>
      </w:r>
      <w:r>
        <w:rPr>
          <w:rFonts w:hint="eastAsia"/>
        </w:rPr>
        <w:t>取消</w:t>
      </w:r>
      <w:r>
        <w:t>&gt;</w:t>
      </w:r>
      <w:r>
        <w:rPr>
          <w:rFonts w:hint="eastAsia"/>
        </w:rPr>
        <w:t>按钮，取消配置修改。</w:t>
      </w:r>
    </w:p>
    <w:p w14:paraId="45B005EC">
      <w:r>
        <w:rPr>
          <w:rFonts w:hint="eastAsia"/>
        </w:rPr>
        <w:t>点击预览</w:t>
      </w:r>
      <w:r>
        <w:drawing>
          <wp:inline distT="0" distB="0" distL="0" distR="0">
            <wp:extent cx="154305" cy="133350"/>
            <wp:effectExtent l="0" t="0" r="0" b="0"/>
            <wp:docPr id="3907" name="图片 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7" name="图片 3907"/>
                    <pic:cNvPicPr>
                      <a:picLocks noChangeAspect="1"/>
                    </pic:cNvPicPr>
                  </pic:nvPicPr>
                  <pic:blipFill>
                    <a:blip r:embed="rId1080"/>
                    <a:stretch>
                      <a:fillRect/>
                    </a:stretch>
                  </pic:blipFill>
                  <pic:spPr>
                    <a:xfrm>
                      <a:off x="0" y="0"/>
                      <a:ext cx="157188" cy="135753"/>
                    </a:xfrm>
                    <a:prstGeom prst="rect">
                      <a:avLst/>
                    </a:prstGeom>
                  </pic:spPr>
                </pic:pic>
              </a:graphicData>
            </a:graphic>
          </wp:inline>
        </w:drawing>
      </w:r>
      <w:r>
        <w:t xml:space="preserve"> </w:t>
      </w:r>
      <w:r>
        <w:rPr>
          <w:rFonts w:hint="eastAsia"/>
        </w:rPr>
        <w:t>图标查看</w:t>
      </w:r>
      <w:r>
        <w:t>PC</w:t>
      </w:r>
      <w:r>
        <w:rPr>
          <w:rFonts w:hint="eastAsia"/>
        </w:rPr>
        <w:t>终端预览效果，如</w:t>
      </w:r>
      <w:r>
        <w:fldChar w:fldCharType="begin"/>
      </w:r>
      <w:r>
        <w:instrText xml:space="preserve"> </w:instrText>
      </w:r>
      <w:r>
        <w:rPr>
          <w:rFonts w:hint="eastAsia"/>
        </w:rPr>
        <w:instrText xml:space="preserve">REF _Ref59900585 \r \h</w:instrText>
      </w:r>
      <w:r>
        <w:instrText xml:space="preserve"> </w:instrText>
      </w:r>
      <w:r>
        <w:fldChar w:fldCharType="separate"/>
      </w:r>
      <w:r>
        <w:rPr>
          <w:rFonts w:hint="eastAsia"/>
        </w:rPr>
        <w:t>图31-114</w:t>
      </w:r>
      <w:r>
        <w:fldChar w:fldCharType="end"/>
      </w:r>
      <w:r>
        <w:rPr>
          <w:rFonts w:hint="eastAsia"/>
        </w:rPr>
        <w:t>所示。</w:t>
      </w:r>
    </w:p>
    <w:p w14:paraId="0CDFF76B">
      <w:pPr>
        <w:pStyle w:val="188"/>
      </w:pPr>
      <w:bookmarkStart w:id="8779" w:name="_Toc141874879"/>
      <w:r>
        <w:rPr>
          <w:rFonts w:hint="eastAsia"/>
        </w:rPr>
        <w:t>钉钉认证模板PC终端预览效果</w:t>
      </w:r>
      <w:bookmarkEnd w:id="8779"/>
    </w:p>
    <w:p w14:paraId="07237EB2">
      <w:pPr>
        <w:spacing w:before="79" w:after="79"/>
      </w:pPr>
      <w:r>
        <w:drawing>
          <wp:inline distT="0" distB="0" distL="0" distR="0">
            <wp:extent cx="4236085" cy="1549400"/>
            <wp:effectExtent l="0" t="0" r="0" b="0"/>
            <wp:docPr id="3931" name="图片 3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1" name="图片 3931"/>
                    <pic:cNvPicPr>
                      <a:picLocks noChangeAspect="1"/>
                    </pic:cNvPicPr>
                  </pic:nvPicPr>
                  <pic:blipFill>
                    <a:blip r:embed="rId1104"/>
                    <a:stretch>
                      <a:fillRect/>
                    </a:stretch>
                  </pic:blipFill>
                  <pic:spPr>
                    <a:xfrm>
                      <a:off x="0" y="0"/>
                      <a:ext cx="4244562" cy="1552846"/>
                    </a:xfrm>
                    <a:prstGeom prst="rect">
                      <a:avLst/>
                    </a:prstGeom>
                  </pic:spPr>
                </pic:pic>
              </a:graphicData>
            </a:graphic>
          </wp:inline>
        </w:drawing>
      </w:r>
    </w:p>
    <w:p w14:paraId="77C01654"/>
    <w:p w14:paraId="1F25800A">
      <w:r>
        <w:rPr>
          <w:rFonts w:hint="eastAsia"/>
        </w:rPr>
        <w:t>点击预览</w:t>
      </w:r>
      <w:r>
        <w:drawing>
          <wp:inline distT="0" distB="0" distL="0" distR="0">
            <wp:extent cx="133350" cy="209550"/>
            <wp:effectExtent l="0" t="0" r="0" b="0"/>
            <wp:docPr id="3926" name="图片 3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6" name="图片 3926"/>
                    <pic:cNvPicPr>
                      <a:picLocks noChangeAspect="1"/>
                    </pic:cNvPicPr>
                  </pic:nvPicPr>
                  <pic:blipFill>
                    <a:blip r:embed="rId1082"/>
                    <a:stretch>
                      <a:fillRect/>
                    </a:stretch>
                  </pic:blipFill>
                  <pic:spPr>
                    <a:xfrm>
                      <a:off x="0" y="0"/>
                      <a:ext cx="133350" cy="209550"/>
                    </a:xfrm>
                    <a:prstGeom prst="rect">
                      <a:avLst/>
                    </a:prstGeom>
                  </pic:spPr>
                </pic:pic>
              </a:graphicData>
            </a:graphic>
          </wp:inline>
        </w:drawing>
      </w:r>
      <w:r>
        <w:rPr>
          <w:rFonts w:hint="eastAsia"/>
        </w:rPr>
        <w:t>图标查看移动终端预览效果，如</w:t>
      </w:r>
      <w:r>
        <w:fldChar w:fldCharType="begin"/>
      </w:r>
      <w:r>
        <w:instrText xml:space="preserve"> </w:instrText>
      </w:r>
      <w:r>
        <w:rPr>
          <w:rFonts w:hint="eastAsia"/>
        </w:rPr>
        <w:instrText xml:space="preserve">REF _Ref59900613 \r \h</w:instrText>
      </w:r>
      <w:r>
        <w:instrText xml:space="preserve"> </w:instrText>
      </w:r>
      <w:r>
        <w:fldChar w:fldCharType="separate"/>
      </w:r>
      <w:r>
        <w:rPr>
          <w:rFonts w:hint="eastAsia"/>
        </w:rPr>
        <w:t>图31-115</w:t>
      </w:r>
      <w:r>
        <w:fldChar w:fldCharType="end"/>
      </w:r>
      <w:r>
        <w:rPr>
          <w:rFonts w:hint="eastAsia"/>
        </w:rPr>
        <w:t>所示。</w:t>
      </w:r>
    </w:p>
    <w:p w14:paraId="7CADCC48">
      <w:pPr>
        <w:pStyle w:val="188"/>
      </w:pPr>
      <w:bookmarkStart w:id="8780" w:name="_Toc141874880"/>
      <w:r>
        <w:rPr>
          <w:rFonts w:hint="eastAsia"/>
        </w:rPr>
        <w:t>钉钉认证模板移动终端预览效果</w:t>
      </w:r>
      <w:bookmarkEnd w:id="8780"/>
    </w:p>
    <w:p w14:paraId="3282DF64">
      <w:pPr>
        <w:spacing w:before="79" w:after="79"/>
      </w:pPr>
      <w:r>
        <w:drawing>
          <wp:inline distT="0" distB="0" distL="0" distR="0">
            <wp:extent cx="1828800" cy="3325495"/>
            <wp:effectExtent l="0" t="0" r="0" b="8255"/>
            <wp:docPr id="3936" name="图片 3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6" name="图片 3936"/>
                    <pic:cNvPicPr>
                      <a:picLocks noChangeAspect="1"/>
                    </pic:cNvPicPr>
                  </pic:nvPicPr>
                  <pic:blipFill>
                    <a:blip r:embed="rId1105"/>
                    <a:stretch>
                      <a:fillRect/>
                    </a:stretch>
                  </pic:blipFill>
                  <pic:spPr>
                    <a:xfrm>
                      <a:off x="0" y="0"/>
                      <a:ext cx="1839899" cy="3346218"/>
                    </a:xfrm>
                    <a:prstGeom prst="rect">
                      <a:avLst/>
                    </a:prstGeom>
                  </pic:spPr>
                </pic:pic>
              </a:graphicData>
            </a:graphic>
          </wp:inline>
        </w:drawing>
      </w:r>
    </w:p>
    <w:p w14:paraId="61C0D545">
      <w:pPr>
        <w:pStyle w:val="6"/>
      </w:pPr>
      <w:r>
        <w:rPr>
          <w:rFonts w:hint="eastAsia"/>
        </w:rPr>
        <w:t>企业微信认证模板</w:t>
      </w:r>
    </w:p>
    <w:p w14:paraId="3DC29F05">
      <w:r>
        <w:rPr>
          <w:rFonts w:hint="eastAsia"/>
        </w:rPr>
        <w:t>在导航栏中选择“用户管理&gt;认证管理&gt;认证方式&gt;认证模板设置</w:t>
      </w:r>
      <w:r>
        <w:t>&gt;</w:t>
      </w:r>
      <w:r>
        <w:rPr>
          <w:rFonts w:hint="eastAsia"/>
        </w:rPr>
        <w:t>企业微信认证模板”，点击操作中的</w:t>
      </w:r>
      <w:r>
        <w:t>&lt;</w:t>
      </w:r>
      <w:r>
        <w:rPr>
          <w:rFonts w:hint="eastAsia"/>
        </w:rPr>
        <w:t>编辑</w:t>
      </w:r>
      <w:r>
        <w:t>&gt;</w:t>
      </w:r>
      <w:r>
        <w:rPr>
          <w:rFonts w:hint="eastAsia"/>
        </w:rPr>
        <w:t>按钮进入钉钉认证模板配置页面，页面显示了当前的企业微信认证模板配置，如</w:t>
      </w:r>
      <w:r>
        <w:t>下图</w:t>
      </w:r>
      <w:r>
        <w:rPr>
          <w:rFonts w:hint="eastAsia"/>
        </w:rPr>
        <w:t>所示。</w:t>
      </w:r>
    </w:p>
    <w:p w14:paraId="6E5B4C52">
      <w:pPr>
        <w:pStyle w:val="188"/>
      </w:pPr>
      <w:bookmarkStart w:id="8781" w:name="_Toc141874881"/>
      <w:r>
        <w:rPr>
          <w:rFonts w:hint="eastAsia"/>
        </w:rPr>
        <w:t>企业微信</w:t>
      </w:r>
      <w:r>
        <w:t>认证</w:t>
      </w:r>
      <w:r>
        <w:rPr>
          <w:rFonts w:hint="eastAsia"/>
        </w:rPr>
        <w:t>模板</w:t>
      </w:r>
      <w:r>
        <w:t>配置页面</w:t>
      </w:r>
      <w:bookmarkEnd w:id="8781"/>
    </w:p>
    <w:p w14:paraId="3F8BC6E5">
      <w:pPr>
        <w:spacing w:before="79" w:after="79"/>
      </w:pPr>
      <w:r>
        <w:drawing>
          <wp:inline distT="0" distB="0" distL="0" distR="0">
            <wp:extent cx="4905375" cy="4627245"/>
            <wp:effectExtent l="0" t="0" r="0" b="1905"/>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481"/>
                    <pic:cNvPicPr>
                      <a:picLocks noChangeAspect="1"/>
                    </pic:cNvPicPr>
                  </pic:nvPicPr>
                  <pic:blipFill>
                    <a:blip r:embed="rId1106"/>
                    <a:stretch>
                      <a:fillRect/>
                    </a:stretch>
                  </pic:blipFill>
                  <pic:spPr>
                    <a:xfrm>
                      <a:off x="0" y="0"/>
                      <a:ext cx="4906982" cy="4628920"/>
                    </a:xfrm>
                    <a:prstGeom prst="rect">
                      <a:avLst/>
                    </a:prstGeom>
                  </pic:spPr>
                </pic:pic>
              </a:graphicData>
            </a:graphic>
          </wp:inline>
        </w:drawing>
      </w:r>
    </w:p>
    <w:p w14:paraId="705A289D"/>
    <w:p w14:paraId="4DD4FEAE">
      <w:r>
        <w:rPr>
          <w:rFonts w:hint="eastAsia"/>
        </w:rPr>
        <w:t>页面的详细说明如</w:t>
      </w:r>
      <w:r>
        <w:fldChar w:fldCharType="begin"/>
      </w:r>
      <w:r>
        <w:instrText xml:space="preserve"> </w:instrText>
      </w:r>
      <w:r>
        <w:rPr>
          <w:rFonts w:hint="eastAsia"/>
        </w:rPr>
        <w:instrText xml:space="preserve">REF _Ref59900380 \r \h</w:instrText>
      </w:r>
      <w:r>
        <w:instrText xml:space="preserve"> </w:instrText>
      </w:r>
      <w:r>
        <w:fldChar w:fldCharType="separate"/>
      </w:r>
      <w:r>
        <w:rPr>
          <w:rFonts w:hint="eastAsia"/>
        </w:rPr>
        <w:t>表31-1</w:t>
      </w:r>
      <w:r>
        <w:fldChar w:fldCharType="end"/>
      </w:r>
      <w:r>
        <w:rPr>
          <w:rFonts w:hint="eastAsia"/>
        </w:rPr>
        <w:t>所示。</w:t>
      </w:r>
    </w:p>
    <w:p w14:paraId="7F3B258F">
      <w:pPr>
        <w:pStyle w:val="183"/>
      </w:pPr>
      <w:bookmarkStart w:id="8782" w:name="_Toc141875592"/>
      <w:r>
        <w:rPr>
          <w:rFonts w:hint="eastAsia"/>
        </w:rPr>
        <w:t>企业</w:t>
      </w:r>
      <w:r>
        <w:t>微信</w:t>
      </w:r>
      <w:r>
        <w:rPr>
          <w:rFonts w:hint="eastAsia"/>
        </w:rPr>
        <w:t>认证模板配置详细说明</w:t>
      </w:r>
      <w:bookmarkEnd w:id="8782"/>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704BBE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1B1CE2AD">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6" w:type="dxa"/>
            <w:tcBorders>
              <w:tl2br w:val="nil"/>
              <w:tr2bl w:val="nil"/>
            </w:tcBorders>
            <w:shd w:val="clear" w:color="auto" w:fill="538135" w:themeFill="accent6" w:themeFillShade="BF"/>
            <w:vAlign w:val="center"/>
          </w:tcPr>
          <w:p w14:paraId="3E30C6E9">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68407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24C89CAD">
            <w:pPr>
              <w:pStyle w:val="150"/>
            </w:pPr>
            <w:r>
              <w:rPr>
                <w:rFonts w:hint="eastAsia"/>
              </w:rPr>
              <w:t>标签页名称</w:t>
            </w:r>
          </w:p>
        </w:tc>
        <w:tc>
          <w:tcPr>
            <w:tcW w:w="6816" w:type="dxa"/>
            <w:shd w:val="clear" w:color="auto" w:fill="auto"/>
          </w:tcPr>
          <w:p w14:paraId="3F2F595C">
            <w:pPr>
              <w:pStyle w:val="150"/>
            </w:pPr>
            <w:r>
              <w:rPr>
                <w:rFonts w:hint="eastAsia"/>
              </w:rPr>
              <w:t>企业</w:t>
            </w:r>
            <w:r>
              <w:t>微信</w:t>
            </w:r>
            <w:r>
              <w:rPr>
                <w:rFonts w:hint="eastAsia"/>
              </w:rPr>
              <w:t>认证Portal页面显示的标签名称。</w:t>
            </w:r>
          </w:p>
        </w:tc>
      </w:tr>
      <w:tr w14:paraId="3AD965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6219BA04">
            <w:pPr>
              <w:pStyle w:val="150"/>
            </w:pPr>
            <w:r>
              <w:rPr>
                <w:rFonts w:hint="eastAsia"/>
              </w:rPr>
              <w:t>欢迎词</w:t>
            </w:r>
          </w:p>
        </w:tc>
        <w:tc>
          <w:tcPr>
            <w:tcW w:w="6816" w:type="dxa"/>
            <w:shd w:val="clear" w:color="auto" w:fill="auto"/>
          </w:tcPr>
          <w:p w14:paraId="10021481">
            <w:pPr>
              <w:pStyle w:val="150"/>
            </w:pPr>
            <w:r>
              <w:rPr>
                <w:rFonts w:hint="eastAsia"/>
              </w:rPr>
              <w:t>企业</w:t>
            </w:r>
            <w:r>
              <w:t>微信</w:t>
            </w:r>
            <w:r>
              <w:rPr>
                <w:rFonts w:hint="eastAsia"/>
              </w:rPr>
              <w:t>认证模板欢迎词。</w:t>
            </w:r>
          </w:p>
        </w:tc>
      </w:tr>
      <w:tr w14:paraId="1A8695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11E0B91">
            <w:pPr>
              <w:pStyle w:val="150"/>
            </w:pPr>
            <w:r>
              <w:rPr>
                <w:rFonts w:hint="eastAsia"/>
              </w:rPr>
              <w:t>免责声明</w:t>
            </w:r>
          </w:p>
        </w:tc>
        <w:tc>
          <w:tcPr>
            <w:tcW w:w="6816" w:type="dxa"/>
            <w:shd w:val="clear" w:color="auto" w:fill="auto"/>
          </w:tcPr>
          <w:p w14:paraId="38AE873A">
            <w:pPr>
              <w:pStyle w:val="150"/>
            </w:pPr>
            <w:r>
              <w:rPr>
                <w:rFonts w:hint="eastAsia"/>
              </w:rPr>
              <w:t>企业</w:t>
            </w:r>
            <w:r>
              <w:t>微信</w:t>
            </w:r>
            <w:r>
              <w:rPr>
                <w:rFonts w:hint="eastAsia"/>
              </w:rPr>
              <w:t>认证免责声明。</w:t>
            </w:r>
          </w:p>
        </w:tc>
      </w:tr>
      <w:tr w14:paraId="77AAE0F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20" w:hRule="atLeast"/>
        </w:trPr>
        <w:tc>
          <w:tcPr>
            <w:tcW w:w="2198" w:type="dxa"/>
            <w:shd w:val="clear" w:color="auto" w:fill="auto"/>
          </w:tcPr>
          <w:p w14:paraId="382EFD72">
            <w:pPr>
              <w:pStyle w:val="150"/>
            </w:pPr>
            <w:r>
              <w:rPr>
                <w:rFonts w:hint="eastAsia"/>
              </w:rPr>
              <w:t>按钮颜色</w:t>
            </w:r>
          </w:p>
        </w:tc>
        <w:tc>
          <w:tcPr>
            <w:tcW w:w="6816" w:type="dxa"/>
            <w:shd w:val="clear" w:color="auto" w:fill="auto"/>
          </w:tcPr>
          <w:p w14:paraId="7DBDDBEC">
            <w:pPr>
              <w:pStyle w:val="150"/>
            </w:pPr>
            <w:r>
              <w:rPr>
                <w:rFonts w:hint="eastAsia"/>
              </w:rPr>
              <w:t>登录按钮颜色。</w:t>
            </w:r>
          </w:p>
        </w:tc>
      </w:tr>
      <w:tr w14:paraId="1E0685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718499A0">
            <w:pPr>
              <w:pStyle w:val="150"/>
            </w:pPr>
            <w:r>
              <w:t>L</w:t>
            </w:r>
            <w:r>
              <w:rPr>
                <w:rFonts w:hint="eastAsia"/>
              </w:rPr>
              <w:t>ogo图片</w:t>
            </w:r>
          </w:p>
        </w:tc>
        <w:tc>
          <w:tcPr>
            <w:tcW w:w="6816" w:type="dxa"/>
            <w:shd w:val="clear" w:color="auto" w:fill="auto"/>
          </w:tcPr>
          <w:p w14:paraId="070676C1">
            <w:pPr>
              <w:pStyle w:val="150"/>
            </w:pPr>
            <w:r>
              <w:rPr>
                <w:rFonts w:hint="eastAsia"/>
              </w:rPr>
              <w:t>Logo图片设置</w:t>
            </w:r>
            <w:r>
              <w:t xml:space="preserve"> 。</w:t>
            </w:r>
          </w:p>
        </w:tc>
      </w:tr>
      <w:tr w14:paraId="7A127D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7B434D8F">
            <w:pPr>
              <w:pStyle w:val="150"/>
            </w:pPr>
            <w:r>
              <w:rPr>
                <w:rFonts w:hint="eastAsia"/>
              </w:rPr>
              <w:t>背景图片</w:t>
            </w:r>
          </w:p>
        </w:tc>
        <w:tc>
          <w:tcPr>
            <w:tcW w:w="6816" w:type="dxa"/>
            <w:shd w:val="clear" w:color="auto" w:fill="auto"/>
          </w:tcPr>
          <w:p w14:paraId="60034F9F">
            <w:pPr>
              <w:pStyle w:val="150"/>
            </w:pPr>
            <w:r>
              <w:rPr>
                <w:rFonts w:hint="eastAsia"/>
              </w:rPr>
              <w:t>企业</w:t>
            </w:r>
            <w:r>
              <w:t>微信</w:t>
            </w:r>
            <w:r>
              <w:rPr>
                <w:rFonts w:hint="eastAsia"/>
              </w:rPr>
              <w:t>认证页面背景图片。</w:t>
            </w:r>
          </w:p>
        </w:tc>
      </w:tr>
    </w:tbl>
    <w:p w14:paraId="326653B3"/>
    <w:p w14:paraId="1AA5C196">
      <w:r>
        <w:rPr>
          <w:rFonts w:hint="eastAsia"/>
        </w:rPr>
        <w:t>输入完毕后，点击</w:t>
      </w:r>
      <w:r>
        <w:t>&lt;</w:t>
      </w:r>
      <w:r>
        <w:rPr>
          <w:rFonts w:hint="eastAsia"/>
        </w:rPr>
        <w:t>提交</w:t>
      </w:r>
      <w:r>
        <w:t>&gt;</w:t>
      </w:r>
      <w:r>
        <w:rPr>
          <w:rFonts w:hint="eastAsia"/>
        </w:rPr>
        <w:t>按钮，应用配置，点击</w:t>
      </w:r>
      <w:r>
        <w:t>&lt;</w:t>
      </w:r>
      <w:r>
        <w:rPr>
          <w:rFonts w:hint="eastAsia"/>
        </w:rPr>
        <w:t>取消</w:t>
      </w:r>
      <w:r>
        <w:t>&gt;</w:t>
      </w:r>
      <w:r>
        <w:rPr>
          <w:rFonts w:hint="eastAsia"/>
        </w:rPr>
        <w:t>按钮，取消配置修改。</w:t>
      </w:r>
    </w:p>
    <w:p w14:paraId="64005CE0">
      <w:r>
        <w:rPr>
          <w:rFonts w:hint="eastAsia"/>
        </w:rPr>
        <w:t>点击预览</w:t>
      </w:r>
      <w:r>
        <w:drawing>
          <wp:inline distT="0" distB="0" distL="0" distR="0">
            <wp:extent cx="154305" cy="133350"/>
            <wp:effectExtent l="0" t="0" r="0" b="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pic:cNvPicPr>
                      <a:picLocks noChangeAspect="1"/>
                    </pic:cNvPicPr>
                  </pic:nvPicPr>
                  <pic:blipFill>
                    <a:blip r:embed="rId1080"/>
                    <a:stretch>
                      <a:fillRect/>
                    </a:stretch>
                  </pic:blipFill>
                  <pic:spPr>
                    <a:xfrm>
                      <a:off x="0" y="0"/>
                      <a:ext cx="157188" cy="135753"/>
                    </a:xfrm>
                    <a:prstGeom prst="rect">
                      <a:avLst/>
                    </a:prstGeom>
                  </pic:spPr>
                </pic:pic>
              </a:graphicData>
            </a:graphic>
          </wp:inline>
        </w:drawing>
      </w:r>
      <w:r>
        <w:t xml:space="preserve"> </w:t>
      </w:r>
      <w:r>
        <w:rPr>
          <w:rFonts w:hint="eastAsia"/>
        </w:rPr>
        <w:t>图标查看</w:t>
      </w:r>
      <w:r>
        <w:t>PC</w:t>
      </w:r>
      <w:r>
        <w:rPr>
          <w:rFonts w:hint="eastAsia"/>
        </w:rPr>
        <w:t>终端预览效果，如</w:t>
      </w:r>
      <w:r>
        <w:fldChar w:fldCharType="begin"/>
      </w:r>
      <w:r>
        <w:instrText xml:space="preserve"> </w:instrText>
      </w:r>
      <w:r>
        <w:rPr>
          <w:rFonts w:hint="eastAsia"/>
        </w:rPr>
        <w:instrText xml:space="preserve">REF _Ref59900585 \r \h</w:instrText>
      </w:r>
      <w:r>
        <w:instrText xml:space="preserve"> </w:instrText>
      </w:r>
      <w:r>
        <w:fldChar w:fldCharType="separate"/>
      </w:r>
      <w:r>
        <w:rPr>
          <w:rFonts w:hint="eastAsia"/>
        </w:rPr>
        <w:t>图31-114</w:t>
      </w:r>
      <w:r>
        <w:fldChar w:fldCharType="end"/>
      </w:r>
      <w:r>
        <w:rPr>
          <w:rFonts w:hint="eastAsia"/>
        </w:rPr>
        <w:t>所示。</w:t>
      </w:r>
    </w:p>
    <w:p w14:paraId="7CF7DEDA">
      <w:pPr>
        <w:pStyle w:val="188"/>
      </w:pPr>
      <w:bookmarkStart w:id="8783" w:name="_Toc141874882"/>
      <w:r>
        <w:rPr>
          <w:rFonts w:hint="eastAsia"/>
        </w:rPr>
        <w:t>企业</w:t>
      </w:r>
      <w:r>
        <w:t>微信</w:t>
      </w:r>
      <w:r>
        <w:rPr>
          <w:rFonts w:hint="eastAsia"/>
        </w:rPr>
        <w:t>认证模板PC终端预览效果</w:t>
      </w:r>
      <w:bookmarkEnd w:id="8783"/>
    </w:p>
    <w:p w14:paraId="4C2D5D76">
      <w:r>
        <w:drawing>
          <wp:inline distT="0" distB="0" distL="0" distR="0">
            <wp:extent cx="4866640" cy="2351405"/>
            <wp:effectExtent l="0" t="0" r="0" b="0"/>
            <wp:docPr id="3170" name="图片 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0" name="图片 3170"/>
                    <pic:cNvPicPr>
                      <a:picLocks noChangeAspect="1"/>
                    </pic:cNvPicPr>
                  </pic:nvPicPr>
                  <pic:blipFill>
                    <a:blip r:embed="rId1107"/>
                    <a:stretch>
                      <a:fillRect/>
                    </a:stretch>
                  </pic:blipFill>
                  <pic:spPr>
                    <a:xfrm>
                      <a:off x="0" y="0"/>
                      <a:ext cx="4871856" cy="2354004"/>
                    </a:xfrm>
                    <a:prstGeom prst="rect">
                      <a:avLst/>
                    </a:prstGeom>
                  </pic:spPr>
                </pic:pic>
              </a:graphicData>
            </a:graphic>
          </wp:inline>
        </w:drawing>
      </w:r>
    </w:p>
    <w:p w14:paraId="036752E9"/>
    <w:p w14:paraId="2DE45C5C">
      <w:r>
        <w:rPr>
          <w:rFonts w:hint="eastAsia"/>
        </w:rPr>
        <w:t>点击预览</w:t>
      </w:r>
      <w:r>
        <w:drawing>
          <wp:inline distT="0" distB="0" distL="0" distR="0">
            <wp:extent cx="133350" cy="209550"/>
            <wp:effectExtent l="0" t="0" r="0"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pic:cNvPicPr>
                      <a:picLocks noChangeAspect="1"/>
                    </pic:cNvPicPr>
                  </pic:nvPicPr>
                  <pic:blipFill>
                    <a:blip r:embed="rId1082"/>
                    <a:stretch>
                      <a:fillRect/>
                    </a:stretch>
                  </pic:blipFill>
                  <pic:spPr>
                    <a:xfrm>
                      <a:off x="0" y="0"/>
                      <a:ext cx="133350" cy="209550"/>
                    </a:xfrm>
                    <a:prstGeom prst="rect">
                      <a:avLst/>
                    </a:prstGeom>
                  </pic:spPr>
                </pic:pic>
              </a:graphicData>
            </a:graphic>
          </wp:inline>
        </w:drawing>
      </w:r>
      <w:r>
        <w:rPr>
          <w:rFonts w:hint="eastAsia"/>
        </w:rPr>
        <w:t>图标查看移动终端预览效果，如</w:t>
      </w:r>
      <w:r>
        <w:fldChar w:fldCharType="begin"/>
      </w:r>
      <w:r>
        <w:instrText xml:space="preserve"> </w:instrText>
      </w:r>
      <w:r>
        <w:rPr>
          <w:rFonts w:hint="eastAsia"/>
        </w:rPr>
        <w:instrText xml:space="preserve">REF _Ref59900613 \r \h</w:instrText>
      </w:r>
      <w:r>
        <w:instrText xml:space="preserve"> </w:instrText>
      </w:r>
      <w:r>
        <w:fldChar w:fldCharType="separate"/>
      </w:r>
      <w:r>
        <w:rPr>
          <w:rFonts w:hint="eastAsia"/>
        </w:rPr>
        <w:t>图31-115</w:t>
      </w:r>
      <w:r>
        <w:fldChar w:fldCharType="end"/>
      </w:r>
      <w:r>
        <w:rPr>
          <w:rFonts w:hint="eastAsia"/>
        </w:rPr>
        <w:t>所示。</w:t>
      </w:r>
    </w:p>
    <w:p w14:paraId="2CB7F33D">
      <w:pPr>
        <w:pStyle w:val="188"/>
      </w:pPr>
      <w:bookmarkStart w:id="8784" w:name="_Toc141874883"/>
      <w:r>
        <w:rPr>
          <w:rFonts w:hint="eastAsia"/>
        </w:rPr>
        <w:t>企业</w:t>
      </w:r>
      <w:r>
        <w:t>微信</w:t>
      </w:r>
      <w:r>
        <w:rPr>
          <w:rFonts w:hint="eastAsia"/>
        </w:rPr>
        <w:t>认证模板移动终端预览效果</w:t>
      </w:r>
      <w:bookmarkEnd w:id="8784"/>
    </w:p>
    <w:p w14:paraId="27FB3F62">
      <w:pPr>
        <w:spacing w:before="79" w:after="79"/>
      </w:pPr>
      <w:r>
        <w:drawing>
          <wp:inline distT="0" distB="0" distL="0" distR="0">
            <wp:extent cx="1981200" cy="3800475"/>
            <wp:effectExtent l="0" t="0" r="0" b="9525"/>
            <wp:docPr id="3131" name="图片 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1" name="图片 3131"/>
                    <pic:cNvPicPr>
                      <a:picLocks noChangeAspect="1"/>
                    </pic:cNvPicPr>
                  </pic:nvPicPr>
                  <pic:blipFill>
                    <a:blip r:embed="rId1108"/>
                    <a:stretch>
                      <a:fillRect/>
                    </a:stretch>
                  </pic:blipFill>
                  <pic:spPr>
                    <a:xfrm>
                      <a:off x="0" y="0"/>
                      <a:ext cx="1982276" cy="3802856"/>
                    </a:xfrm>
                    <a:prstGeom prst="rect">
                      <a:avLst/>
                    </a:prstGeom>
                  </pic:spPr>
                </pic:pic>
              </a:graphicData>
            </a:graphic>
          </wp:inline>
        </w:drawing>
      </w:r>
    </w:p>
    <w:p w14:paraId="6CBB4C5E"/>
    <w:p w14:paraId="686DB412">
      <w:pPr>
        <w:pStyle w:val="6"/>
      </w:pPr>
      <w:bookmarkStart w:id="8785" w:name="_Toc123824735"/>
      <w:r>
        <w:rPr>
          <w:rFonts w:hint="eastAsia"/>
        </w:rPr>
        <w:t>CAS认证模板</w:t>
      </w:r>
      <w:bookmarkEnd w:id="8785"/>
    </w:p>
    <w:p w14:paraId="53A2158B">
      <w:r>
        <w:rPr>
          <w:rFonts w:hint="eastAsia"/>
        </w:rPr>
        <w:t>在导航栏中选择“用户管理&gt;认证管理&gt;认证方式&gt;认证模板设置”，进入认证模板设置页面，点击CAS认证模板的&lt;编辑&gt;按钮，进入CAS认证模板编辑页面，如下图所示。</w:t>
      </w:r>
    </w:p>
    <w:p w14:paraId="0C214AC5">
      <w:pPr>
        <w:pStyle w:val="188"/>
      </w:pPr>
      <w:bookmarkStart w:id="8786" w:name="_Toc141874884"/>
      <w:r>
        <w:rPr>
          <w:rFonts w:hint="eastAsia"/>
        </w:rPr>
        <w:t>CAS认证模板编辑页面</w:t>
      </w:r>
      <w:bookmarkEnd w:id="8786"/>
    </w:p>
    <w:p w14:paraId="743E0FCD">
      <w:pPr>
        <w:spacing w:before="79" w:after="79"/>
      </w:pPr>
      <w:r>
        <w:drawing>
          <wp:inline distT="0" distB="0" distL="0" distR="0">
            <wp:extent cx="5274310" cy="4942205"/>
            <wp:effectExtent l="0" t="0" r="2540" b="0"/>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82"/>
                    <pic:cNvPicPr>
                      <a:picLocks noChangeAspect="1"/>
                    </pic:cNvPicPr>
                  </pic:nvPicPr>
                  <pic:blipFill>
                    <a:blip r:embed="rId1109"/>
                    <a:stretch>
                      <a:fillRect/>
                    </a:stretch>
                  </pic:blipFill>
                  <pic:spPr>
                    <a:xfrm>
                      <a:off x="0" y="0"/>
                      <a:ext cx="5274310" cy="4942224"/>
                    </a:xfrm>
                    <a:prstGeom prst="rect">
                      <a:avLst/>
                    </a:prstGeom>
                  </pic:spPr>
                </pic:pic>
              </a:graphicData>
            </a:graphic>
          </wp:inline>
        </w:drawing>
      </w:r>
    </w:p>
    <w:p w14:paraId="0BF11A12">
      <w:pPr>
        <w:pStyle w:val="183"/>
      </w:pPr>
      <w:bookmarkStart w:id="8787" w:name="_Toc141875593"/>
      <w:r>
        <w:rPr>
          <w:rFonts w:hint="eastAsia"/>
        </w:rPr>
        <w:t>CAS认证模板配置详细说明</w:t>
      </w:r>
      <w:bookmarkEnd w:id="8787"/>
    </w:p>
    <w:tbl>
      <w:tblPr>
        <w:tblStyle w:val="173"/>
        <w:tblW w:w="500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253"/>
        <w:gridCol w:w="6989"/>
      </w:tblGrid>
      <w:tr w14:paraId="108B9E5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20" w:hRule="atLeast"/>
        </w:trPr>
        <w:tc>
          <w:tcPr>
            <w:tcW w:w="1219" w:type="pct"/>
            <w:tcBorders>
              <w:tl2br w:val="nil"/>
              <w:tr2bl w:val="nil"/>
            </w:tcBorders>
            <w:shd w:val="clear" w:color="auto" w:fill="538135" w:themeFill="accent6" w:themeFillShade="BF"/>
            <w:vAlign w:val="center"/>
          </w:tcPr>
          <w:p w14:paraId="3B81DBE9">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3781" w:type="pct"/>
            <w:tcBorders>
              <w:tl2br w:val="nil"/>
              <w:tr2bl w:val="nil"/>
            </w:tcBorders>
            <w:shd w:val="clear" w:color="auto" w:fill="538135" w:themeFill="accent6" w:themeFillShade="BF"/>
            <w:vAlign w:val="center"/>
          </w:tcPr>
          <w:p w14:paraId="7FDE5C65">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8F7E1B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19" w:type="pct"/>
            <w:shd w:val="clear" w:color="auto" w:fill="auto"/>
          </w:tcPr>
          <w:p w14:paraId="5745DE4C">
            <w:pPr>
              <w:pStyle w:val="150"/>
            </w:pPr>
            <w:r>
              <w:t>标签页名称</w:t>
            </w:r>
          </w:p>
        </w:tc>
        <w:tc>
          <w:tcPr>
            <w:tcW w:w="3781" w:type="pct"/>
            <w:shd w:val="clear" w:color="auto" w:fill="auto"/>
          </w:tcPr>
          <w:p w14:paraId="2E6DE506">
            <w:pPr>
              <w:pStyle w:val="150"/>
            </w:pPr>
            <w:r>
              <w:rPr>
                <w:rFonts w:hint="eastAsia" w:cs="Arial" w:asciiTheme="minorEastAsia" w:hAnsiTheme="minorEastAsia" w:eastAsiaTheme="minorEastAsia"/>
              </w:rPr>
              <w:t>配置</w:t>
            </w:r>
            <w:r>
              <w:rPr>
                <w:rFonts w:hint="eastAsia"/>
              </w:rPr>
              <w:t>标签页名称</w:t>
            </w:r>
          </w:p>
        </w:tc>
      </w:tr>
      <w:tr w14:paraId="399FEF5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19" w:type="pct"/>
            <w:shd w:val="clear" w:color="auto" w:fill="auto"/>
          </w:tcPr>
          <w:p w14:paraId="689BB8DE">
            <w:pPr>
              <w:pStyle w:val="150"/>
            </w:pPr>
            <w:r>
              <w:t>欢迎词</w:t>
            </w:r>
          </w:p>
        </w:tc>
        <w:tc>
          <w:tcPr>
            <w:tcW w:w="3781" w:type="pct"/>
            <w:shd w:val="clear" w:color="auto" w:fill="auto"/>
          </w:tcPr>
          <w:p w14:paraId="3910191B">
            <w:pPr>
              <w:pStyle w:val="150"/>
            </w:pPr>
            <w:r>
              <w:rPr>
                <w:rFonts w:hint="eastAsia"/>
              </w:rPr>
              <w:t>配置欢迎词</w:t>
            </w:r>
          </w:p>
        </w:tc>
      </w:tr>
      <w:tr w14:paraId="5EED82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19" w:type="pct"/>
            <w:shd w:val="clear" w:color="auto" w:fill="auto"/>
          </w:tcPr>
          <w:p w14:paraId="47AD7781">
            <w:pPr>
              <w:pStyle w:val="150"/>
            </w:pPr>
            <w:r>
              <w:t>免责声明</w:t>
            </w:r>
          </w:p>
        </w:tc>
        <w:tc>
          <w:tcPr>
            <w:tcW w:w="3781" w:type="pct"/>
            <w:shd w:val="clear" w:color="auto" w:fill="auto"/>
          </w:tcPr>
          <w:p w14:paraId="64CE71B8">
            <w:pPr>
              <w:pStyle w:val="150"/>
            </w:pPr>
            <w:r>
              <w:rPr>
                <w:rFonts w:hint="eastAsia"/>
              </w:rPr>
              <w:t>配置免责声明</w:t>
            </w:r>
          </w:p>
        </w:tc>
      </w:tr>
      <w:tr w14:paraId="2F1A0B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19" w:type="pct"/>
            <w:shd w:val="clear" w:color="auto" w:fill="auto"/>
          </w:tcPr>
          <w:p w14:paraId="58A9B180">
            <w:pPr>
              <w:pStyle w:val="150"/>
            </w:pPr>
            <w:r>
              <w:t>按钮颜色</w:t>
            </w:r>
          </w:p>
        </w:tc>
        <w:tc>
          <w:tcPr>
            <w:tcW w:w="3781" w:type="pct"/>
            <w:shd w:val="clear" w:color="auto" w:fill="auto"/>
          </w:tcPr>
          <w:p w14:paraId="010B71D1">
            <w:pPr>
              <w:pStyle w:val="150"/>
            </w:pPr>
            <w:r>
              <w:rPr>
                <w:rFonts w:hint="eastAsia"/>
              </w:rPr>
              <w:t>配置按钮颜色</w:t>
            </w:r>
          </w:p>
        </w:tc>
      </w:tr>
      <w:tr w14:paraId="60C3E81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19" w:type="pct"/>
            <w:shd w:val="clear" w:color="auto" w:fill="auto"/>
          </w:tcPr>
          <w:p w14:paraId="1529F7A3">
            <w:pPr>
              <w:pStyle w:val="150"/>
            </w:pPr>
            <w:r>
              <w:rPr>
                <w:rFonts w:hint="eastAsia"/>
              </w:rPr>
              <w:t>Logo图片</w:t>
            </w:r>
          </w:p>
        </w:tc>
        <w:tc>
          <w:tcPr>
            <w:tcW w:w="3781" w:type="pct"/>
            <w:shd w:val="clear" w:color="auto" w:fill="auto"/>
          </w:tcPr>
          <w:p w14:paraId="060DF6DB">
            <w:pPr>
              <w:pStyle w:val="150"/>
              <w:rPr>
                <w:rFonts w:cs="Arial" w:asciiTheme="minorEastAsia" w:hAnsiTheme="minorEastAsia" w:eastAsiaTheme="minorEastAsia"/>
              </w:rPr>
            </w:pPr>
            <w:r>
              <w:rPr>
                <w:rFonts w:hint="eastAsia" w:cs="Arial" w:asciiTheme="minorEastAsia" w:hAnsiTheme="minorEastAsia" w:eastAsiaTheme="minorEastAsia"/>
              </w:rPr>
              <w:t>配置</w:t>
            </w:r>
            <w:r>
              <w:rPr>
                <w:rFonts w:hint="eastAsia"/>
              </w:rPr>
              <w:t>Logo图片</w:t>
            </w:r>
          </w:p>
        </w:tc>
      </w:tr>
      <w:tr w14:paraId="6E6868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19" w:type="pct"/>
            <w:shd w:val="clear" w:color="auto" w:fill="auto"/>
          </w:tcPr>
          <w:p w14:paraId="56ABA936">
            <w:pPr>
              <w:pStyle w:val="150"/>
            </w:pPr>
            <w:r>
              <w:t>背景图片</w:t>
            </w:r>
          </w:p>
        </w:tc>
        <w:tc>
          <w:tcPr>
            <w:tcW w:w="3781" w:type="pct"/>
            <w:shd w:val="clear" w:color="auto" w:fill="auto"/>
          </w:tcPr>
          <w:p w14:paraId="12875F87">
            <w:pPr>
              <w:pStyle w:val="150"/>
              <w:rPr>
                <w:rFonts w:cs="Arial" w:asciiTheme="minorEastAsia" w:hAnsiTheme="minorEastAsia" w:eastAsiaTheme="minorEastAsia"/>
              </w:rPr>
            </w:pPr>
            <w:r>
              <w:rPr>
                <w:rFonts w:hint="eastAsia" w:cs="Arial" w:asciiTheme="minorEastAsia" w:hAnsiTheme="minorEastAsia" w:eastAsiaTheme="minorEastAsia"/>
              </w:rPr>
              <w:t>配置</w:t>
            </w:r>
            <w:r>
              <w:t>背景图片</w:t>
            </w:r>
          </w:p>
        </w:tc>
      </w:tr>
    </w:tbl>
    <w:p w14:paraId="367EDC82"/>
    <w:p w14:paraId="3BDE3C92">
      <w:r>
        <w:rPr>
          <w:rFonts w:hint="eastAsia"/>
        </w:rPr>
        <w:t>输入完毕后，点击</w:t>
      </w:r>
      <w:r>
        <w:t>&lt;</w:t>
      </w:r>
      <w:r>
        <w:rPr>
          <w:rFonts w:hint="eastAsia"/>
        </w:rPr>
        <w:t>提交</w:t>
      </w:r>
      <w:r>
        <w:t>&gt;</w:t>
      </w:r>
      <w:r>
        <w:rPr>
          <w:rFonts w:hint="eastAsia"/>
        </w:rPr>
        <w:t>按钮，应用配置，点击</w:t>
      </w:r>
      <w:r>
        <w:t>&lt;</w:t>
      </w:r>
      <w:r>
        <w:rPr>
          <w:rFonts w:hint="eastAsia"/>
        </w:rPr>
        <w:t>取消</w:t>
      </w:r>
      <w:r>
        <w:t>&gt;</w:t>
      </w:r>
      <w:r>
        <w:rPr>
          <w:rFonts w:hint="eastAsia"/>
        </w:rPr>
        <w:t>按钮，取消配置修改。</w:t>
      </w:r>
    </w:p>
    <w:p w14:paraId="57C6829B">
      <w:r>
        <w:rPr>
          <w:rFonts w:hint="eastAsia"/>
        </w:rPr>
        <w:t>点击预览图标</w:t>
      </w:r>
      <w:r>
        <w:drawing>
          <wp:inline distT="0" distB="0" distL="0" distR="0">
            <wp:extent cx="228600" cy="123825"/>
            <wp:effectExtent l="0" t="0" r="0" b="9525"/>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83"/>
                    <pic:cNvPicPr>
                      <a:picLocks noChangeAspect="1"/>
                    </pic:cNvPicPr>
                  </pic:nvPicPr>
                  <pic:blipFill>
                    <a:blip r:embed="rId1110"/>
                    <a:stretch>
                      <a:fillRect/>
                    </a:stretch>
                  </pic:blipFill>
                  <pic:spPr>
                    <a:xfrm>
                      <a:off x="0" y="0"/>
                      <a:ext cx="228600" cy="123825"/>
                    </a:xfrm>
                    <a:prstGeom prst="rect">
                      <a:avLst/>
                    </a:prstGeom>
                  </pic:spPr>
                </pic:pic>
              </a:graphicData>
            </a:graphic>
          </wp:inline>
        </w:drawing>
      </w:r>
      <w:r>
        <w:rPr>
          <w:rFonts w:hint="eastAsia"/>
        </w:rPr>
        <w:t>可查看</w:t>
      </w:r>
      <w:r>
        <w:t>PC</w:t>
      </w:r>
      <w:r>
        <w:rPr>
          <w:rFonts w:hint="eastAsia"/>
        </w:rPr>
        <w:t>终端预览效果，点击预览图标</w:t>
      </w:r>
      <w:r>
        <w:drawing>
          <wp:inline distT="0" distB="0" distL="0" distR="0">
            <wp:extent cx="133350" cy="152400"/>
            <wp:effectExtent l="0" t="0" r="0" b="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84"/>
                    <pic:cNvPicPr>
                      <a:picLocks noChangeAspect="1"/>
                    </pic:cNvPicPr>
                  </pic:nvPicPr>
                  <pic:blipFill>
                    <a:blip r:embed="rId1111"/>
                    <a:stretch>
                      <a:fillRect/>
                    </a:stretch>
                  </pic:blipFill>
                  <pic:spPr>
                    <a:xfrm>
                      <a:off x="0" y="0"/>
                      <a:ext cx="133350" cy="152400"/>
                    </a:xfrm>
                    <a:prstGeom prst="rect">
                      <a:avLst/>
                    </a:prstGeom>
                  </pic:spPr>
                </pic:pic>
              </a:graphicData>
            </a:graphic>
          </wp:inline>
        </w:drawing>
      </w:r>
      <w:r>
        <w:rPr>
          <w:rFonts w:hint="eastAsia"/>
        </w:rPr>
        <w:t>查看移动终端预览效果。</w:t>
      </w:r>
    </w:p>
    <w:p w14:paraId="758D5EC7">
      <w:pPr>
        <w:pStyle w:val="6"/>
      </w:pPr>
      <w:bookmarkStart w:id="8788" w:name="OLE_LINK47"/>
      <w:bookmarkStart w:id="8789" w:name="OLE_LINK46"/>
      <w:r>
        <w:t>OAUTH</w:t>
      </w:r>
      <w:r>
        <w:rPr>
          <w:rFonts w:hint="eastAsia"/>
        </w:rPr>
        <w:t>认证模板</w:t>
      </w:r>
    </w:p>
    <w:p w14:paraId="4B79FCC4">
      <w:r>
        <w:rPr>
          <w:rFonts w:hint="eastAsia"/>
        </w:rPr>
        <w:t>在导航栏中选择“用户管理&gt;认证管理&gt;认证方式&gt;认证模板设置”，进入认证模板设置页面，点击</w:t>
      </w:r>
      <w:r>
        <w:t>OAUTH</w:t>
      </w:r>
      <w:r>
        <w:rPr>
          <w:rFonts w:hint="eastAsia"/>
        </w:rPr>
        <w:t>认证模板的&lt;编辑&gt;按钮，进入</w:t>
      </w:r>
      <w:r>
        <w:t>OAUTH</w:t>
      </w:r>
      <w:r>
        <w:rPr>
          <w:rFonts w:hint="eastAsia"/>
        </w:rPr>
        <w:t>认证模板编辑页面，如下图所示。</w:t>
      </w:r>
    </w:p>
    <w:p w14:paraId="21E2CA70">
      <w:pPr>
        <w:pStyle w:val="188"/>
      </w:pPr>
      <w:bookmarkStart w:id="8790" w:name="_Toc141874885"/>
      <w:r>
        <w:t>OAUTH</w:t>
      </w:r>
      <w:r>
        <w:rPr>
          <w:rFonts w:hint="eastAsia"/>
        </w:rPr>
        <w:t>认证模板编辑页面</w:t>
      </w:r>
      <w:bookmarkEnd w:id="8790"/>
    </w:p>
    <w:p w14:paraId="147CFF5C">
      <w:pPr>
        <w:spacing w:before="79" w:after="79"/>
      </w:pPr>
      <w:r>
        <w:drawing>
          <wp:inline distT="0" distB="0" distL="0" distR="0">
            <wp:extent cx="5048250" cy="4697095"/>
            <wp:effectExtent l="0" t="0" r="0" b="8255"/>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497"/>
                    <pic:cNvPicPr>
                      <a:picLocks noChangeAspect="1"/>
                    </pic:cNvPicPr>
                  </pic:nvPicPr>
                  <pic:blipFill>
                    <a:blip r:embed="rId1112"/>
                    <a:stretch>
                      <a:fillRect/>
                    </a:stretch>
                  </pic:blipFill>
                  <pic:spPr>
                    <a:xfrm>
                      <a:off x="0" y="0"/>
                      <a:ext cx="5050894" cy="4699673"/>
                    </a:xfrm>
                    <a:prstGeom prst="rect">
                      <a:avLst/>
                    </a:prstGeom>
                  </pic:spPr>
                </pic:pic>
              </a:graphicData>
            </a:graphic>
          </wp:inline>
        </w:drawing>
      </w:r>
    </w:p>
    <w:p w14:paraId="1A5D29A4">
      <w:pPr>
        <w:pStyle w:val="183"/>
      </w:pPr>
      <w:bookmarkStart w:id="8791" w:name="_Toc141875594"/>
      <w:r>
        <w:rPr>
          <w:rFonts w:hint="eastAsia"/>
        </w:rPr>
        <w:t>CAS认证模板配置详细说明</w:t>
      </w:r>
      <w:bookmarkEnd w:id="8791"/>
    </w:p>
    <w:tbl>
      <w:tblPr>
        <w:tblStyle w:val="173"/>
        <w:tblW w:w="500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253"/>
        <w:gridCol w:w="6989"/>
      </w:tblGrid>
      <w:tr w14:paraId="5A3D457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19" w:type="pct"/>
            <w:tcBorders>
              <w:tl2br w:val="nil"/>
              <w:tr2bl w:val="nil"/>
            </w:tcBorders>
            <w:shd w:val="clear" w:color="auto" w:fill="538135" w:themeFill="accent6" w:themeFillShade="BF"/>
            <w:vAlign w:val="center"/>
          </w:tcPr>
          <w:p w14:paraId="03133B6B">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3781" w:type="pct"/>
            <w:tcBorders>
              <w:tl2br w:val="nil"/>
              <w:tr2bl w:val="nil"/>
            </w:tcBorders>
            <w:shd w:val="clear" w:color="auto" w:fill="538135" w:themeFill="accent6" w:themeFillShade="BF"/>
            <w:vAlign w:val="center"/>
          </w:tcPr>
          <w:p w14:paraId="13DB2C40">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24E96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19" w:type="pct"/>
            <w:shd w:val="clear" w:color="auto" w:fill="auto"/>
          </w:tcPr>
          <w:p w14:paraId="7B9E5871">
            <w:pPr>
              <w:pStyle w:val="150"/>
            </w:pPr>
            <w:r>
              <w:t>标签页名称</w:t>
            </w:r>
          </w:p>
        </w:tc>
        <w:tc>
          <w:tcPr>
            <w:tcW w:w="3781" w:type="pct"/>
            <w:shd w:val="clear" w:color="auto" w:fill="auto"/>
          </w:tcPr>
          <w:p w14:paraId="04B3D713">
            <w:pPr>
              <w:pStyle w:val="150"/>
            </w:pPr>
            <w:r>
              <w:rPr>
                <w:rFonts w:hint="eastAsia"/>
              </w:rPr>
              <w:t>配置认证页面的标签页名称，范围1-127字符</w:t>
            </w:r>
          </w:p>
        </w:tc>
      </w:tr>
      <w:tr w14:paraId="6575F14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19" w:type="pct"/>
            <w:shd w:val="clear" w:color="auto" w:fill="auto"/>
          </w:tcPr>
          <w:p w14:paraId="1BE8A366">
            <w:pPr>
              <w:pStyle w:val="150"/>
            </w:pPr>
            <w:r>
              <w:t>欢迎词</w:t>
            </w:r>
          </w:p>
        </w:tc>
        <w:tc>
          <w:tcPr>
            <w:tcW w:w="3781" w:type="pct"/>
            <w:shd w:val="clear" w:color="auto" w:fill="auto"/>
          </w:tcPr>
          <w:p w14:paraId="46D145F7">
            <w:pPr>
              <w:pStyle w:val="150"/>
              <w:rPr>
                <w:rFonts w:cs="Arial" w:asciiTheme="minorEastAsia" w:hAnsiTheme="minorEastAsia" w:eastAsiaTheme="minorEastAsia"/>
              </w:rPr>
            </w:pPr>
            <w:r>
              <w:rPr>
                <w:rFonts w:hint="eastAsia"/>
              </w:rPr>
              <w:t>配置认证页面的欢迎词，范围1-63字符</w:t>
            </w:r>
          </w:p>
        </w:tc>
      </w:tr>
      <w:tr w14:paraId="64EE3B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19" w:type="pct"/>
            <w:shd w:val="clear" w:color="auto" w:fill="auto"/>
          </w:tcPr>
          <w:p w14:paraId="78B5A40D">
            <w:pPr>
              <w:pStyle w:val="150"/>
            </w:pPr>
            <w:r>
              <w:t>免责声明</w:t>
            </w:r>
          </w:p>
        </w:tc>
        <w:tc>
          <w:tcPr>
            <w:tcW w:w="3781" w:type="pct"/>
            <w:shd w:val="clear" w:color="auto" w:fill="auto"/>
          </w:tcPr>
          <w:p w14:paraId="6B638B91">
            <w:pPr>
              <w:pStyle w:val="150"/>
              <w:rPr>
                <w:rFonts w:cs="Arial" w:asciiTheme="minorEastAsia" w:hAnsiTheme="minorEastAsia" w:eastAsiaTheme="minorEastAsia"/>
              </w:rPr>
            </w:pPr>
            <w:r>
              <w:rPr>
                <w:rFonts w:hint="eastAsia"/>
              </w:rPr>
              <w:t>配置认证页面的免责声明，范围0-9999字符</w:t>
            </w:r>
          </w:p>
        </w:tc>
      </w:tr>
      <w:tr w14:paraId="7085B42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19" w:type="pct"/>
            <w:shd w:val="clear" w:color="auto" w:fill="auto"/>
          </w:tcPr>
          <w:p w14:paraId="2279FB20">
            <w:pPr>
              <w:pStyle w:val="150"/>
            </w:pPr>
            <w:r>
              <w:t>按钮颜色</w:t>
            </w:r>
          </w:p>
        </w:tc>
        <w:tc>
          <w:tcPr>
            <w:tcW w:w="3781" w:type="pct"/>
            <w:shd w:val="clear" w:color="auto" w:fill="auto"/>
          </w:tcPr>
          <w:p w14:paraId="3CA3BC90">
            <w:pPr>
              <w:pStyle w:val="150"/>
              <w:rPr>
                <w:rFonts w:cs="Arial" w:asciiTheme="minorEastAsia" w:hAnsiTheme="minorEastAsia" w:eastAsiaTheme="minorEastAsia"/>
              </w:rPr>
            </w:pPr>
            <w:r>
              <w:rPr>
                <w:rFonts w:hint="eastAsia"/>
              </w:rPr>
              <w:t>配置认证页面的按钮颜色</w:t>
            </w:r>
          </w:p>
        </w:tc>
      </w:tr>
      <w:tr w14:paraId="3C8A05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19" w:type="pct"/>
            <w:shd w:val="clear" w:color="auto" w:fill="auto"/>
          </w:tcPr>
          <w:p w14:paraId="545D462F">
            <w:pPr>
              <w:pStyle w:val="150"/>
            </w:pPr>
            <w:r>
              <w:rPr>
                <w:rFonts w:hint="eastAsia"/>
              </w:rPr>
              <w:t>Logo图片</w:t>
            </w:r>
          </w:p>
        </w:tc>
        <w:tc>
          <w:tcPr>
            <w:tcW w:w="3781" w:type="pct"/>
            <w:shd w:val="clear" w:color="auto" w:fill="auto"/>
          </w:tcPr>
          <w:p w14:paraId="195A6965">
            <w:pPr>
              <w:pStyle w:val="150"/>
              <w:rPr>
                <w:rFonts w:cs="Arial" w:asciiTheme="minorEastAsia" w:hAnsiTheme="minorEastAsia" w:eastAsiaTheme="minorEastAsia"/>
              </w:rPr>
            </w:pPr>
            <w:r>
              <w:rPr>
                <w:rFonts w:hint="eastAsia"/>
              </w:rPr>
              <w:t>配置认证页面的Logo图片</w:t>
            </w:r>
          </w:p>
        </w:tc>
      </w:tr>
      <w:tr w14:paraId="312A887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19" w:type="pct"/>
            <w:shd w:val="clear" w:color="auto" w:fill="auto"/>
          </w:tcPr>
          <w:p w14:paraId="16107FCD">
            <w:pPr>
              <w:pStyle w:val="150"/>
            </w:pPr>
            <w:r>
              <w:t>背景图片</w:t>
            </w:r>
          </w:p>
        </w:tc>
        <w:tc>
          <w:tcPr>
            <w:tcW w:w="3781" w:type="pct"/>
            <w:shd w:val="clear" w:color="auto" w:fill="auto"/>
          </w:tcPr>
          <w:p w14:paraId="1203A701">
            <w:pPr>
              <w:pStyle w:val="150"/>
              <w:rPr>
                <w:rFonts w:cs="Arial" w:asciiTheme="minorEastAsia" w:hAnsiTheme="minorEastAsia" w:eastAsiaTheme="minorEastAsia"/>
              </w:rPr>
            </w:pPr>
            <w:r>
              <w:rPr>
                <w:rFonts w:hint="eastAsia"/>
              </w:rPr>
              <w:t>配置认证页面的背景图片</w:t>
            </w:r>
          </w:p>
        </w:tc>
      </w:tr>
    </w:tbl>
    <w:p w14:paraId="47C0F792"/>
    <w:p w14:paraId="50E66F6F">
      <w:r>
        <w:rPr>
          <w:rFonts w:hint="eastAsia"/>
        </w:rPr>
        <w:t>输入完毕后，点击</w:t>
      </w:r>
      <w:r>
        <w:t>&lt;</w:t>
      </w:r>
      <w:r>
        <w:rPr>
          <w:rFonts w:hint="eastAsia"/>
        </w:rPr>
        <w:t>提交</w:t>
      </w:r>
      <w:r>
        <w:t>&gt;</w:t>
      </w:r>
      <w:r>
        <w:rPr>
          <w:rFonts w:hint="eastAsia"/>
        </w:rPr>
        <w:t>按钮，应用配置，点击</w:t>
      </w:r>
      <w:r>
        <w:t>&lt;</w:t>
      </w:r>
      <w:r>
        <w:rPr>
          <w:rFonts w:hint="eastAsia"/>
        </w:rPr>
        <w:t>取消</w:t>
      </w:r>
      <w:r>
        <w:t>&gt;</w:t>
      </w:r>
      <w:r>
        <w:rPr>
          <w:rFonts w:hint="eastAsia"/>
        </w:rPr>
        <w:t>按钮，取消配置修改。</w:t>
      </w:r>
    </w:p>
    <w:p w14:paraId="334DD589">
      <w:r>
        <w:rPr>
          <w:rFonts w:hint="eastAsia"/>
        </w:rPr>
        <w:t>点击预览图标</w:t>
      </w:r>
      <w:r>
        <w:drawing>
          <wp:inline distT="0" distB="0" distL="0" distR="0">
            <wp:extent cx="228600" cy="123825"/>
            <wp:effectExtent l="0" t="0" r="0" b="9525"/>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498"/>
                    <pic:cNvPicPr>
                      <a:picLocks noChangeAspect="1"/>
                    </pic:cNvPicPr>
                  </pic:nvPicPr>
                  <pic:blipFill>
                    <a:blip r:embed="rId1110"/>
                    <a:stretch>
                      <a:fillRect/>
                    </a:stretch>
                  </pic:blipFill>
                  <pic:spPr>
                    <a:xfrm>
                      <a:off x="0" y="0"/>
                      <a:ext cx="228600" cy="123825"/>
                    </a:xfrm>
                    <a:prstGeom prst="rect">
                      <a:avLst/>
                    </a:prstGeom>
                  </pic:spPr>
                </pic:pic>
              </a:graphicData>
            </a:graphic>
          </wp:inline>
        </w:drawing>
      </w:r>
      <w:r>
        <w:rPr>
          <w:rFonts w:hint="eastAsia"/>
        </w:rPr>
        <w:t>可查看</w:t>
      </w:r>
      <w:r>
        <w:t>PC</w:t>
      </w:r>
      <w:r>
        <w:rPr>
          <w:rFonts w:hint="eastAsia"/>
        </w:rPr>
        <w:t>终端预览效果，点击预览图标</w:t>
      </w:r>
      <w:r>
        <w:drawing>
          <wp:inline distT="0" distB="0" distL="0" distR="0">
            <wp:extent cx="133350" cy="152400"/>
            <wp:effectExtent l="0" t="0" r="0" b="0"/>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499"/>
                    <pic:cNvPicPr>
                      <a:picLocks noChangeAspect="1"/>
                    </pic:cNvPicPr>
                  </pic:nvPicPr>
                  <pic:blipFill>
                    <a:blip r:embed="rId1111"/>
                    <a:stretch>
                      <a:fillRect/>
                    </a:stretch>
                  </pic:blipFill>
                  <pic:spPr>
                    <a:xfrm>
                      <a:off x="0" y="0"/>
                      <a:ext cx="133350" cy="152400"/>
                    </a:xfrm>
                    <a:prstGeom prst="rect">
                      <a:avLst/>
                    </a:prstGeom>
                  </pic:spPr>
                </pic:pic>
              </a:graphicData>
            </a:graphic>
          </wp:inline>
        </w:drawing>
      </w:r>
      <w:r>
        <w:rPr>
          <w:rFonts w:hint="eastAsia"/>
        </w:rPr>
        <w:t>查看移动终端预览效果。</w:t>
      </w:r>
    </w:p>
    <w:p w14:paraId="4C05A4F0">
      <w:pPr>
        <w:pStyle w:val="6"/>
      </w:pPr>
      <w:r>
        <w:rPr>
          <w:rFonts w:hint="eastAsia"/>
        </w:rPr>
        <w:t>移动SIM认证模板模板</w:t>
      </w:r>
    </w:p>
    <w:p w14:paraId="0F955F8F">
      <w:r>
        <w:rPr>
          <w:rFonts w:hint="eastAsia"/>
        </w:rPr>
        <w:t>在导航栏中选择“用户管理&gt;认证管理&gt;认证方式&gt;认证模板设置”，进入认证模板设置页面，点击移动SIM认证模板的&lt;编辑&gt;按钮，进入移动SIM认证模板编辑页面，如下图所示。</w:t>
      </w:r>
    </w:p>
    <w:p w14:paraId="707FB8A7">
      <w:pPr>
        <w:pStyle w:val="188"/>
      </w:pPr>
      <w:r>
        <w:t>OAUTH</w:t>
      </w:r>
      <w:r>
        <w:rPr>
          <w:rFonts w:hint="eastAsia"/>
        </w:rPr>
        <w:t>认证模板编辑页面</w:t>
      </w:r>
    </w:p>
    <w:p w14:paraId="6EDBD859">
      <w:pPr>
        <w:pStyle w:val="175"/>
      </w:pPr>
      <w:r>
        <w:drawing>
          <wp:inline distT="0" distB="0" distL="0" distR="0">
            <wp:extent cx="4600575" cy="4265295"/>
            <wp:effectExtent l="0" t="0" r="0" b="1905"/>
            <wp:docPr id="731" name="图片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图片 731"/>
                    <pic:cNvPicPr>
                      <a:picLocks noChangeAspect="1"/>
                    </pic:cNvPicPr>
                  </pic:nvPicPr>
                  <pic:blipFill>
                    <a:blip r:embed="rId1113"/>
                    <a:stretch>
                      <a:fillRect/>
                    </a:stretch>
                  </pic:blipFill>
                  <pic:spPr>
                    <a:xfrm>
                      <a:off x="0" y="0"/>
                      <a:ext cx="4602820" cy="4267515"/>
                    </a:xfrm>
                    <a:prstGeom prst="rect">
                      <a:avLst/>
                    </a:prstGeom>
                  </pic:spPr>
                </pic:pic>
              </a:graphicData>
            </a:graphic>
          </wp:inline>
        </w:drawing>
      </w:r>
    </w:p>
    <w:p w14:paraId="0307CDF0">
      <w:pPr>
        <w:pStyle w:val="183"/>
      </w:pPr>
      <w:r>
        <w:rPr>
          <w:rFonts w:hint="eastAsia"/>
        </w:rPr>
        <w:t>移动SIM认证模板配置详细说明</w:t>
      </w:r>
    </w:p>
    <w:tbl>
      <w:tblPr>
        <w:tblStyle w:val="173"/>
        <w:tblW w:w="500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253"/>
        <w:gridCol w:w="6989"/>
      </w:tblGrid>
      <w:tr w14:paraId="797E4B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19" w:type="pct"/>
            <w:tcBorders>
              <w:tl2br w:val="nil"/>
              <w:tr2bl w:val="nil"/>
            </w:tcBorders>
            <w:shd w:val="clear" w:color="auto" w:fill="538135" w:themeFill="accent6" w:themeFillShade="BF"/>
            <w:vAlign w:val="center"/>
          </w:tcPr>
          <w:p w14:paraId="5D74308D">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3781" w:type="pct"/>
            <w:tcBorders>
              <w:tl2br w:val="nil"/>
              <w:tr2bl w:val="nil"/>
            </w:tcBorders>
            <w:shd w:val="clear" w:color="auto" w:fill="538135" w:themeFill="accent6" w:themeFillShade="BF"/>
            <w:vAlign w:val="center"/>
          </w:tcPr>
          <w:p w14:paraId="4D776C30">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CD9D3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19" w:type="pct"/>
            <w:shd w:val="clear" w:color="auto" w:fill="auto"/>
          </w:tcPr>
          <w:p w14:paraId="7D251917">
            <w:pPr>
              <w:pStyle w:val="150"/>
            </w:pPr>
            <w:r>
              <w:t>标签页名称</w:t>
            </w:r>
          </w:p>
        </w:tc>
        <w:tc>
          <w:tcPr>
            <w:tcW w:w="3781" w:type="pct"/>
            <w:shd w:val="clear" w:color="auto" w:fill="auto"/>
          </w:tcPr>
          <w:p w14:paraId="13408277">
            <w:pPr>
              <w:pStyle w:val="150"/>
            </w:pPr>
            <w:r>
              <w:rPr>
                <w:rFonts w:hint="eastAsia"/>
              </w:rPr>
              <w:t>配置认证页面的标签页名称，范围1-127字符</w:t>
            </w:r>
          </w:p>
        </w:tc>
      </w:tr>
      <w:tr w14:paraId="30809E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19" w:type="pct"/>
            <w:shd w:val="clear" w:color="auto" w:fill="auto"/>
          </w:tcPr>
          <w:p w14:paraId="3B934E75">
            <w:pPr>
              <w:pStyle w:val="150"/>
            </w:pPr>
            <w:r>
              <w:t>欢迎词</w:t>
            </w:r>
          </w:p>
        </w:tc>
        <w:tc>
          <w:tcPr>
            <w:tcW w:w="3781" w:type="pct"/>
            <w:shd w:val="clear" w:color="auto" w:fill="auto"/>
          </w:tcPr>
          <w:p w14:paraId="1D35B580">
            <w:pPr>
              <w:pStyle w:val="150"/>
              <w:rPr>
                <w:rFonts w:cs="Arial" w:asciiTheme="minorEastAsia" w:hAnsiTheme="minorEastAsia" w:eastAsiaTheme="minorEastAsia"/>
              </w:rPr>
            </w:pPr>
            <w:r>
              <w:rPr>
                <w:rFonts w:hint="eastAsia"/>
              </w:rPr>
              <w:t>配置认证页面的欢迎词，范围1-63字符</w:t>
            </w:r>
          </w:p>
        </w:tc>
      </w:tr>
      <w:tr w14:paraId="117B3E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19" w:type="pct"/>
            <w:shd w:val="clear" w:color="auto" w:fill="auto"/>
          </w:tcPr>
          <w:p w14:paraId="514F8A1F">
            <w:pPr>
              <w:pStyle w:val="150"/>
            </w:pPr>
            <w:r>
              <w:t>免责声明</w:t>
            </w:r>
          </w:p>
        </w:tc>
        <w:tc>
          <w:tcPr>
            <w:tcW w:w="3781" w:type="pct"/>
            <w:shd w:val="clear" w:color="auto" w:fill="auto"/>
          </w:tcPr>
          <w:p w14:paraId="7372AD9C">
            <w:pPr>
              <w:pStyle w:val="150"/>
              <w:rPr>
                <w:rFonts w:cs="Arial" w:asciiTheme="minorEastAsia" w:hAnsiTheme="minorEastAsia" w:eastAsiaTheme="minorEastAsia"/>
              </w:rPr>
            </w:pPr>
            <w:r>
              <w:rPr>
                <w:rFonts w:hint="eastAsia"/>
              </w:rPr>
              <w:t>配置认证页面的免责声明，范围0-9999字符</w:t>
            </w:r>
          </w:p>
        </w:tc>
      </w:tr>
      <w:tr w14:paraId="612E337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19" w:type="pct"/>
            <w:shd w:val="clear" w:color="auto" w:fill="auto"/>
          </w:tcPr>
          <w:p w14:paraId="401A501B">
            <w:pPr>
              <w:pStyle w:val="150"/>
            </w:pPr>
            <w:r>
              <w:t>按钮颜色</w:t>
            </w:r>
          </w:p>
        </w:tc>
        <w:tc>
          <w:tcPr>
            <w:tcW w:w="3781" w:type="pct"/>
            <w:shd w:val="clear" w:color="auto" w:fill="auto"/>
          </w:tcPr>
          <w:p w14:paraId="4C7FE2D7">
            <w:pPr>
              <w:pStyle w:val="150"/>
              <w:rPr>
                <w:rFonts w:cs="Arial" w:asciiTheme="minorEastAsia" w:hAnsiTheme="minorEastAsia" w:eastAsiaTheme="minorEastAsia"/>
              </w:rPr>
            </w:pPr>
            <w:r>
              <w:rPr>
                <w:rFonts w:hint="eastAsia"/>
              </w:rPr>
              <w:t>配置认证页面的按钮颜色</w:t>
            </w:r>
          </w:p>
        </w:tc>
      </w:tr>
      <w:tr w14:paraId="28AE7B9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20" w:hRule="atLeast"/>
        </w:trPr>
        <w:tc>
          <w:tcPr>
            <w:tcW w:w="1219" w:type="pct"/>
            <w:shd w:val="clear" w:color="auto" w:fill="auto"/>
          </w:tcPr>
          <w:p w14:paraId="447827A7">
            <w:pPr>
              <w:pStyle w:val="150"/>
            </w:pPr>
            <w:r>
              <w:rPr>
                <w:rFonts w:hint="eastAsia"/>
              </w:rPr>
              <w:t>Logo图片</w:t>
            </w:r>
          </w:p>
        </w:tc>
        <w:tc>
          <w:tcPr>
            <w:tcW w:w="3781" w:type="pct"/>
            <w:shd w:val="clear" w:color="auto" w:fill="auto"/>
          </w:tcPr>
          <w:p w14:paraId="509614F3">
            <w:pPr>
              <w:pStyle w:val="150"/>
              <w:rPr>
                <w:rFonts w:cs="Arial" w:asciiTheme="minorEastAsia" w:hAnsiTheme="minorEastAsia" w:eastAsiaTheme="minorEastAsia"/>
              </w:rPr>
            </w:pPr>
            <w:r>
              <w:rPr>
                <w:rFonts w:hint="eastAsia"/>
              </w:rPr>
              <w:t>配置认证页面的Logo图片</w:t>
            </w:r>
          </w:p>
        </w:tc>
      </w:tr>
      <w:tr w14:paraId="6DDF02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19" w:type="pct"/>
            <w:shd w:val="clear" w:color="auto" w:fill="auto"/>
          </w:tcPr>
          <w:p w14:paraId="48C8AE2B">
            <w:pPr>
              <w:pStyle w:val="150"/>
            </w:pPr>
            <w:r>
              <w:t>背景图片</w:t>
            </w:r>
          </w:p>
        </w:tc>
        <w:tc>
          <w:tcPr>
            <w:tcW w:w="3781" w:type="pct"/>
            <w:shd w:val="clear" w:color="auto" w:fill="auto"/>
          </w:tcPr>
          <w:p w14:paraId="55CE7EB0">
            <w:pPr>
              <w:pStyle w:val="150"/>
              <w:rPr>
                <w:rFonts w:cs="Arial" w:asciiTheme="minorEastAsia" w:hAnsiTheme="minorEastAsia" w:eastAsiaTheme="minorEastAsia"/>
              </w:rPr>
            </w:pPr>
            <w:r>
              <w:rPr>
                <w:rFonts w:hint="eastAsia"/>
              </w:rPr>
              <w:t>配置认证页面的背景图片</w:t>
            </w:r>
          </w:p>
        </w:tc>
      </w:tr>
    </w:tbl>
    <w:p w14:paraId="1F690292"/>
    <w:p w14:paraId="1A945B68">
      <w:r>
        <w:rPr>
          <w:rFonts w:hint="eastAsia"/>
        </w:rPr>
        <w:t>输入完毕后，点击</w:t>
      </w:r>
      <w:r>
        <w:t>&lt;</w:t>
      </w:r>
      <w:r>
        <w:rPr>
          <w:rFonts w:hint="eastAsia"/>
        </w:rPr>
        <w:t>提交</w:t>
      </w:r>
      <w:r>
        <w:t>&gt;</w:t>
      </w:r>
      <w:r>
        <w:rPr>
          <w:rFonts w:hint="eastAsia"/>
        </w:rPr>
        <w:t>按钮，应用配置，点击</w:t>
      </w:r>
      <w:r>
        <w:t>&lt;</w:t>
      </w:r>
      <w:r>
        <w:rPr>
          <w:rFonts w:hint="eastAsia"/>
        </w:rPr>
        <w:t>取消</w:t>
      </w:r>
      <w:r>
        <w:t>&gt;</w:t>
      </w:r>
      <w:r>
        <w:rPr>
          <w:rFonts w:hint="eastAsia"/>
        </w:rPr>
        <w:t>按钮，取消配置修改。</w:t>
      </w:r>
    </w:p>
    <w:p w14:paraId="48835961">
      <w:r>
        <w:rPr>
          <w:rFonts w:hint="eastAsia"/>
        </w:rPr>
        <w:t>点击预览图标</w:t>
      </w:r>
      <w:r>
        <w:drawing>
          <wp:inline distT="0" distB="0" distL="0" distR="0">
            <wp:extent cx="228600" cy="123825"/>
            <wp:effectExtent l="0" t="0" r="0" b="9525"/>
            <wp:docPr id="694" name="图片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图片 694"/>
                    <pic:cNvPicPr>
                      <a:picLocks noChangeAspect="1"/>
                    </pic:cNvPicPr>
                  </pic:nvPicPr>
                  <pic:blipFill>
                    <a:blip r:embed="rId1110"/>
                    <a:stretch>
                      <a:fillRect/>
                    </a:stretch>
                  </pic:blipFill>
                  <pic:spPr>
                    <a:xfrm>
                      <a:off x="0" y="0"/>
                      <a:ext cx="228600" cy="123825"/>
                    </a:xfrm>
                    <a:prstGeom prst="rect">
                      <a:avLst/>
                    </a:prstGeom>
                  </pic:spPr>
                </pic:pic>
              </a:graphicData>
            </a:graphic>
          </wp:inline>
        </w:drawing>
      </w:r>
      <w:r>
        <w:rPr>
          <w:rFonts w:hint="eastAsia"/>
        </w:rPr>
        <w:t>可查看</w:t>
      </w:r>
      <w:r>
        <w:t>PC</w:t>
      </w:r>
      <w:r>
        <w:rPr>
          <w:rFonts w:hint="eastAsia"/>
        </w:rPr>
        <w:t>终端预览效果，点击预览图标</w:t>
      </w:r>
      <w:r>
        <w:drawing>
          <wp:inline distT="0" distB="0" distL="0" distR="0">
            <wp:extent cx="133350" cy="152400"/>
            <wp:effectExtent l="0" t="0" r="0" b="0"/>
            <wp:docPr id="730" name="图片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图片 730"/>
                    <pic:cNvPicPr>
                      <a:picLocks noChangeAspect="1"/>
                    </pic:cNvPicPr>
                  </pic:nvPicPr>
                  <pic:blipFill>
                    <a:blip r:embed="rId1111"/>
                    <a:stretch>
                      <a:fillRect/>
                    </a:stretch>
                  </pic:blipFill>
                  <pic:spPr>
                    <a:xfrm>
                      <a:off x="0" y="0"/>
                      <a:ext cx="133350" cy="152400"/>
                    </a:xfrm>
                    <a:prstGeom prst="rect">
                      <a:avLst/>
                    </a:prstGeom>
                  </pic:spPr>
                </pic:pic>
              </a:graphicData>
            </a:graphic>
          </wp:inline>
        </w:drawing>
      </w:r>
      <w:r>
        <w:rPr>
          <w:rFonts w:hint="eastAsia"/>
        </w:rPr>
        <w:t>查看移动终端预览效果。</w:t>
      </w:r>
    </w:p>
    <w:p w14:paraId="7208CBB5"/>
    <w:bookmarkEnd w:id="8788"/>
    <w:bookmarkEnd w:id="8789"/>
    <w:p w14:paraId="567BC70E">
      <w:pPr>
        <w:pStyle w:val="6"/>
      </w:pPr>
      <w:r>
        <w:rPr>
          <w:rFonts w:hint="eastAsia"/>
        </w:rPr>
        <w:t>混合认证模板</w:t>
      </w:r>
    </w:p>
    <w:p w14:paraId="659037EE">
      <w:r>
        <w:rPr>
          <w:rFonts w:hint="eastAsia"/>
        </w:rPr>
        <w:t>在导航栏中选择“用户管理&gt;认证管理&gt;认证方式&gt;认证模板设置</w:t>
      </w:r>
      <w:r>
        <w:t>&gt;</w:t>
      </w:r>
      <w:r>
        <w:rPr>
          <w:rFonts w:hint="eastAsia"/>
        </w:rPr>
        <w:t>混合认证模板”，点击操作中的</w:t>
      </w:r>
      <w:r>
        <w:t>&lt;</w:t>
      </w:r>
      <w:r>
        <w:rPr>
          <w:rFonts w:hint="eastAsia"/>
        </w:rPr>
        <w:t>编辑</w:t>
      </w:r>
      <w:r>
        <w:t>&gt;</w:t>
      </w:r>
      <w:r>
        <w:rPr>
          <w:rFonts w:hint="eastAsia"/>
        </w:rPr>
        <w:t>按钮进入混合认证模板配置页面，页面显示了当前的混合认证模板配置，如</w:t>
      </w:r>
      <w:r>
        <w:rPr>
          <w:color w:val="0000FF"/>
          <w:u w:val="single"/>
        </w:rPr>
        <w:fldChar w:fldCharType="begin"/>
      </w:r>
      <w:r>
        <w:rPr>
          <w:color w:val="0000FF"/>
          <w:u w:val="single"/>
        </w:rPr>
        <w:instrText xml:space="preserve"> REF _Ref458611676 \r \h </w:instrText>
      </w:r>
      <w:r>
        <w:rPr>
          <w:color w:val="0000FF"/>
          <w:u w:val="single"/>
        </w:rPr>
        <w:fldChar w:fldCharType="separate"/>
      </w:r>
      <w:r>
        <w:rPr>
          <w:rFonts w:hint="eastAsia"/>
          <w:color w:val="0000FF"/>
          <w:u w:val="single"/>
        </w:rPr>
        <w:t>图31-125</w:t>
      </w:r>
      <w:r>
        <w:rPr>
          <w:color w:val="0000FF"/>
          <w:u w:val="single"/>
        </w:rPr>
        <w:fldChar w:fldCharType="end"/>
      </w:r>
      <w:r>
        <w:rPr>
          <w:rFonts w:hint="eastAsia"/>
        </w:rPr>
        <w:t>所示。</w:t>
      </w:r>
    </w:p>
    <w:p w14:paraId="68BE891D">
      <w:pPr>
        <w:pStyle w:val="188"/>
      </w:pPr>
      <w:bookmarkStart w:id="8792" w:name="_Ref458611676"/>
      <w:bookmarkStart w:id="8793" w:name="_Toc141874886"/>
      <w:r>
        <w:rPr>
          <w:rFonts w:hint="eastAsia"/>
        </w:rPr>
        <w:t>混合认证模板</w:t>
      </w:r>
      <w:r>
        <w:t>配置页面</w:t>
      </w:r>
      <w:bookmarkEnd w:id="8792"/>
      <w:bookmarkEnd w:id="8793"/>
    </w:p>
    <w:p w14:paraId="709F0DB3">
      <w:pPr>
        <w:spacing w:before="79" w:after="79"/>
      </w:pPr>
      <w:r>
        <w:drawing>
          <wp:inline distT="0" distB="0" distL="114300" distR="114300">
            <wp:extent cx="4632325" cy="4533265"/>
            <wp:effectExtent l="0" t="0" r="15875" b="635"/>
            <wp:docPr id="98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图片 55"/>
                    <pic:cNvPicPr>
                      <a:picLocks noChangeAspect="1"/>
                    </pic:cNvPicPr>
                  </pic:nvPicPr>
                  <pic:blipFill>
                    <a:blip r:embed="rId1114"/>
                    <a:stretch>
                      <a:fillRect/>
                    </a:stretch>
                  </pic:blipFill>
                  <pic:spPr>
                    <a:xfrm>
                      <a:off x="0" y="0"/>
                      <a:ext cx="4632325" cy="4533265"/>
                    </a:xfrm>
                    <a:prstGeom prst="rect">
                      <a:avLst/>
                    </a:prstGeom>
                    <a:noFill/>
                    <a:ln>
                      <a:noFill/>
                    </a:ln>
                  </pic:spPr>
                </pic:pic>
              </a:graphicData>
            </a:graphic>
          </wp:inline>
        </w:drawing>
      </w:r>
    </w:p>
    <w:p w14:paraId="20DD8903"/>
    <w:p w14:paraId="6DDDEAAA">
      <w:r>
        <w:rPr>
          <w:rFonts w:hint="eastAsia"/>
        </w:rPr>
        <w:t>页面的详细说明如</w:t>
      </w:r>
      <w:r>
        <w:fldChar w:fldCharType="begin"/>
      </w:r>
      <w:r>
        <w:instrText xml:space="preserve"> REF _Ref458611709 \r \h </w:instrText>
      </w:r>
      <w:r>
        <w:fldChar w:fldCharType="separate"/>
      </w:r>
      <w:r>
        <w:rPr>
          <w:rFonts w:hint="eastAsia"/>
        </w:rPr>
        <w:t>表31-1</w:t>
      </w:r>
      <w:r>
        <w:fldChar w:fldCharType="end"/>
      </w:r>
      <w:r>
        <w:rPr>
          <w:rFonts w:hint="eastAsia"/>
        </w:rPr>
        <w:t>所示。</w:t>
      </w:r>
    </w:p>
    <w:p w14:paraId="75806CE6">
      <w:pPr>
        <w:pStyle w:val="183"/>
      </w:pPr>
      <w:bookmarkStart w:id="8794" w:name="_Ref458611709"/>
      <w:bookmarkStart w:id="8795" w:name="_Toc141875595"/>
      <w:r>
        <w:rPr>
          <w:rFonts w:hint="eastAsia"/>
        </w:rPr>
        <w:t>混合认证模板基本配置详细说明</w:t>
      </w:r>
      <w:bookmarkEnd w:id="8794"/>
      <w:bookmarkEnd w:id="8795"/>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7BEE92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5ADE982F">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6" w:type="dxa"/>
            <w:tcBorders>
              <w:tl2br w:val="nil"/>
              <w:tr2bl w:val="nil"/>
            </w:tcBorders>
            <w:shd w:val="clear" w:color="auto" w:fill="538135" w:themeFill="accent6" w:themeFillShade="BF"/>
            <w:vAlign w:val="center"/>
          </w:tcPr>
          <w:p w14:paraId="28811AD1">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D0A61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A6F6DAA">
            <w:pPr>
              <w:pStyle w:val="150"/>
            </w:pPr>
            <w:r>
              <w:rPr>
                <w:rFonts w:hint="eastAsia"/>
              </w:rPr>
              <w:t>标签页名称</w:t>
            </w:r>
          </w:p>
        </w:tc>
        <w:tc>
          <w:tcPr>
            <w:tcW w:w="6816" w:type="dxa"/>
            <w:shd w:val="clear" w:color="auto" w:fill="auto"/>
          </w:tcPr>
          <w:p w14:paraId="6FCED691">
            <w:pPr>
              <w:pStyle w:val="150"/>
            </w:pPr>
            <w:r>
              <w:rPr>
                <w:rFonts w:hint="eastAsia"/>
              </w:rPr>
              <w:t>混合认证模板</w:t>
            </w:r>
            <w:r>
              <w:t>P</w:t>
            </w:r>
            <w:r>
              <w:rPr>
                <w:rFonts w:hint="eastAsia"/>
              </w:rPr>
              <w:t>ortal页面显示的标签名称。</w:t>
            </w:r>
          </w:p>
        </w:tc>
      </w:tr>
      <w:tr w14:paraId="44608FF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242AA26">
            <w:pPr>
              <w:pStyle w:val="150"/>
            </w:pPr>
            <w:r>
              <w:rPr>
                <w:rFonts w:hint="eastAsia"/>
              </w:rPr>
              <w:t>欢迎词</w:t>
            </w:r>
          </w:p>
        </w:tc>
        <w:tc>
          <w:tcPr>
            <w:tcW w:w="6816" w:type="dxa"/>
            <w:shd w:val="clear" w:color="auto" w:fill="auto"/>
          </w:tcPr>
          <w:p w14:paraId="1286470E">
            <w:pPr>
              <w:pStyle w:val="150"/>
            </w:pPr>
            <w:r>
              <w:rPr>
                <w:rFonts w:hint="eastAsia"/>
              </w:rPr>
              <w:t>混合认证模板欢迎词。</w:t>
            </w:r>
          </w:p>
        </w:tc>
      </w:tr>
      <w:tr w14:paraId="010D0C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780EE0C">
            <w:pPr>
              <w:pStyle w:val="150"/>
            </w:pPr>
            <w:r>
              <w:rPr>
                <w:rFonts w:hint="eastAsia"/>
              </w:rPr>
              <w:t>免责声明</w:t>
            </w:r>
          </w:p>
        </w:tc>
        <w:tc>
          <w:tcPr>
            <w:tcW w:w="6816" w:type="dxa"/>
            <w:shd w:val="clear" w:color="auto" w:fill="auto"/>
          </w:tcPr>
          <w:p w14:paraId="383915FB">
            <w:pPr>
              <w:pStyle w:val="150"/>
            </w:pPr>
            <w:r>
              <w:rPr>
                <w:rFonts w:hint="eastAsia"/>
              </w:rPr>
              <w:t>混合认证模板免责声明。</w:t>
            </w:r>
          </w:p>
        </w:tc>
      </w:tr>
      <w:tr w14:paraId="430711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6CB602FD">
            <w:pPr>
              <w:pStyle w:val="150"/>
            </w:pPr>
            <w:r>
              <w:rPr>
                <w:rFonts w:hint="eastAsia"/>
              </w:rPr>
              <w:t>登录按钮颜色</w:t>
            </w:r>
          </w:p>
        </w:tc>
        <w:tc>
          <w:tcPr>
            <w:tcW w:w="6816" w:type="dxa"/>
            <w:shd w:val="clear" w:color="auto" w:fill="auto"/>
          </w:tcPr>
          <w:p w14:paraId="1D9D9FC5">
            <w:pPr>
              <w:pStyle w:val="150"/>
            </w:pPr>
            <w:r>
              <w:rPr>
                <w:rFonts w:hint="eastAsia"/>
              </w:rPr>
              <w:t>混合认证模板登录按钮颜色。</w:t>
            </w:r>
          </w:p>
        </w:tc>
      </w:tr>
      <w:tr w14:paraId="03F2B9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1305EF2">
            <w:pPr>
              <w:pStyle w:val="150"/>
            </w:pPr>
            <w:r>
              <w:t>L</w:t>
            </w:r>
            <w:r>
              <w:rPr>
                <w:rFonts w:hint="eastAsia"/>
              </w:rPr>
              <w:t>ogo图片</w:t>
            </w:r>
          </w:p>
        </w:tc>
        <w:tc>
          <w:tcPr>
            <w:tcW w:w="6816" w:type="dxa"/>
            <w:shd w:val="clear" w:color="auto" w:fill="auto"/>
          </w:tcPr>
          <w:p w14:paraId="37B70976">
            <w:pPr>
              <w:pStyle w:val="150"/>
            </w:pPr>
            <w:r>
              <w:rPr>
                <w:rFonts w:hint="eastAsia"/>
              </w:rPr>
              <w:t>Logo图片设置</w:t>
            </w:r>
            <w:r>
              <w:t xml:space="preserve"> 。</w:t>
            </w:r>
          </w:p>
        </w:tc>
      </w:tr>
      <w:tr w14:paraId="0D1C0A7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11BF78F1">
            <w:pPr>
              <w:pStyle w:val="150"/>
            </w:pPr>
            <w:r>
              <w:rPr>
                <w:rFonts w:hint="eastAsia"/>
              </w:rPr>
              <w:t>背景图片</w:t>
            </w:r>
          </w:p>
        </w:tc>
        <w:tc>
          <w:tcPr>
            <w:tcW w:w="6816" w:type="dxa"/>
            <w:shd w:val="clear" w:color="auto" w:fill="auto"/>
          </w:tcPr>
          <w:p w14:paraId="798F64D4">
            <w:pPr>
              <w:pStyle w:val="150"/>
            </w:pPr>
            <w:r>
              <w:rPr>
                <w:rFonts w:hint="eastAsia"/>
              </w:rPr>
              <w:t>混合认证模板Portal页面背景图片，同时支持3张背景图片混合认证显示。</w:t>
            </w:r>
          </w:p>
        </w:tc>
      </w:tr>
    </w:tbl>
    <w:p w14:paraId="07CA04A5"/>
    <w:p w14:paraId="6C20F51F">
      <w:r>
        <w:rPr>
          <w:rFonts w:hint="eastAsia"/>
        </w:rPr>
        <w:t>输入完毕后，点击</w:t>
      </w:r>
      <w:r>
        <w:t>&lt;</w:t>
      </w:r>
      <w:r>
        <w:rPr>
          <w:rFonts w:hint="eastAsia"/>
        </w:rPr>
        <w:t>提交</w:t>
      </w:r>
      <w:r>
        <w:t>&gt;</w:t>
      </w:r>
      <w:r>
        <w:rPr>
          <w:rFonts w:hint="eastAsia"/>
        </w:rPr>
        <w:t>按钮，应用配置，点击</w:t>
      </w:r>
      <w:r>
        <w:t>&lt;</w:t>
      </w:r>
      <w:r>
        <w:rPr>
          <w:rFonts w:hint="eastAsia"/>
        </w:rPr>
        <w:t>取消</w:t>
      </w:r>
      <w:r>
        <w:t>&gt;</w:t>
      </w:r>
      <w:r>
        <w:rPr>
          <w:rFonts w:hint="eastAsia"/>
        </w:rPr>
        <w:t>按钮，取消配置修改。</w:t>
      </w:r>
    </w:p>
    <w:p w14:paraId="47689588">
      <w:r>
        <w:rPr>
          <w:rFonts w:hint="eastAsia"/>
        </w:rPr>
        <w:t>点击操作中的</w:t>
      </w:r>
      <w:r>
        <w:t>&lt;</w:t>
      </w:r>
      <w:r>
        <w:rPr>
          <w:rFonts w:hint="eastAsia"/>
        </w:rPr>
        <w:t>高级配置</w:t>
      </w:r>
      <w:r>
        <w:t>&gt;</w:t>
      </w:r>
      <w:r>
        <w:rPr>
          <w:rFonts w:hint="eastAsia"/>
        </w:rPr>
        <w:t>按钮进入混合认证模板高级配置，页面显示了当前的混合认证模板高级配置，如</w:t>
      </w:r>
      <w:r>
        <w:rPr>
          <w:color w:val="0000FF"/>
          <w:u w:val="single"/>
        </w:rPr>
        <w:fldChar w:fldCharType="begin"/>
      </w:r>
      <w:r>
        <w:rPr>
          <w:color w:val="0000FF"/>
          <w:u w:val="single"/>
        </w:rPr>
        <w:instrText xml:space="preserve"> REF _Ref458611724 \r \h </w:instrText>
      </w:r>
      <w:r>
        <w:rPr>
          <w:color w:val="0000FF"/>
          <w:u w:val="single"/>
        </w:rPr>
        <w:fldChar w:fldCharType="separate"/>
      </w:r>
      <w:r>
        <w:rPr>
          <w:rFonts w:hint="eastAsia"/>
          <w:color w:val="0000FF"/>
          <w:u w:val="single"/>
        </w:rPr>
        <w:t>图31-126</w:t>
      </w:r>
      <w:r>
        <w:rPr>
          <w:color w:val="0000FF"/>
          <w:u w:val="single"/>
        </w:rPr>
        <w:fldChar w:fldCharType="end"/>
      </w:r>
      <w:r>
        <w:rPr>
          <w:rFonts w:hint="eastAsia"/>
        </w:rPr>
        <w:t>所示。</w:t>
      </w:r>
    </w:p>
    <w:p w14:paraId="123D5235">
      <w:pPr>
        <w:pStyle w:val="188"/>
      </w:pPr>
      <w:bookmarkStart w:id="8796" w:name="_Ref458611724"/>
      <w:bookmarkStart w:id="8797" w:name="_Toc141874887"/>
      <w:r>
        <w:rPr>
          <w:rFonts w:hint="eastAsia"/>
        </w:rPr>
        <w:t>混合认证模板高级</w:t>
      </w:r>
      <w:r>
        <w:t>配置</w:t>
      </w:r>
      <w:bookmarkEnd w:id="8796"/>
      <w:bookmarkEnd w:id="8797"/>
    </w:p>
    <w:p w14:paraId="55877FE3">
      <w:pPr>
        <w:spacing w:before="79" w:after="79"/>
      </w:pPr>
      <w:r>
        <w:drawing>
          <wp:inline distT="0" distB="0" distL="114300" distR="114300">
            <wp:extent cx="5124450" cy="2595880"/>
            <wp:effectExtent l="0" t="0" r="0" b="0"/>
            <wp:docPr id="50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18"/>
                    <pic:cNvPicPr>
                      <a:picLocks noChangeAspect="1"/>
                    </pic:cNvPicPr>
                  </pic:nvPicPr>
                  <pic:blipFill>
                    <a:blip r:embed="rId1115"/>
                    <a:stretch>
                      <a:fillRect/>
                    </a:stretch>
                  </pic:blipFill>
                  <pic:spPr>
                    <a:xfrm>
                      <a:off x="0" y="0"/>
                      <a:ext cx="5136806" cy="2602648"/>
                    </a:xfrm>
                    <a:prstGeom prst="rect">
                      <a:avLst/>
                    </a:prstGeom>
                    <a:noFill/>
                    <a:ln>
                      <a:noFill/>
                    </a:ln>
                  </pic:spPr>
                </pic:pic>
              </a:graphicData>
            </a:graphic>
          </wp:inline>
        </w:drawing>
      </w:r>
    </w:p>
    <w:p w14:paraId="4A420FFD"/>
    <w:p w14:paraId="636C45A8">
      <w:r>
        <w:rPr>
          <w:rFonts w:hint="eastAsia"/>
        </w:rPr>
        <w:t>页面详细说明如</w:t>
      </w:r>
      <w:r>
        <w:fldChar w:fldCharType="begin"/>
      </w:r>
      <w:r>
        <w:instrText xml:space="preserve"> REF _Ref458611746 \r \h </w:instrText>
      </w:r>
      <w:r>
        <w:fldChar w:fldCharType="separate"/>
      </w:r>
      <w:r>
        <w:rPr>
          <w:rFonts w:hint="eastAsia"/>
        </w:rPr>
        <w:t>表31-1</w:t>
      </w:r>
      <w:r>
        <w:fldChar w:fldCharType="end"/>
      </w:r>
      <w:r>
        <w:rPr>
          <w:rFonts w:hint="eastAsia"/>
        </w:rPr>
        <w:t>所示。</w:t>
      </w:r>
    </w:p>
    <w:p w14:paraId="4BB93BB0">
      <w:pPr>
        <w:pStyle w:val="183"/>
      </w:pPr>
      <w:bookmarkStart w:id="8798" w:name="_Ref458611746"/>
      <w:bookmarkStart w:id="8799" w:name="_Toc141875596"/>
      <w:r>
        <w:rPr>
          <w:rFonts w:hint="eastAsia"/>
        </w:rPr>
        <w:t>混合认证模板高级配置详细说明</w:t>
      </w:r>
      <w:bookmarkEnd w:id="8798"/>
      <w:bookmarkEnd w:id="8799"/>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34BBABE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1C3399DE">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7" w:type="dxa"/>
            <w:tcBorders>
              <w:tl2br w:val="nil"/>
              <w:tr2bl w:val="nil"/>
            </w:tcBorders>
            <w:shd w:val="clear" w:color="auto" w:fill="538135" w:themeFill="accent6" w:themeFillShade="BF"/>
            <w:vAlign w:val="center"/>
          </w:tcPr>
          <w:p w14:paraId="02A2A5B4">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357CF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1EBDA724">
            <w:pPr>
              <w:pStyle w:val="150"/>
            </w:pPr>
            <w:r>
              <w:rPr>
                <w:rFonts w:hint="eastAsia"/>
              </w:rPr>
              <w:t>发送按钮颜色</w:t>
            </w:r>
          </w:p>
        </w:tc>
        <w:tc>
          <w:tcPr>
            <w:tcW w:w="6817" w:type="dxa"/>
            <w:shd w:val="clear" w:color="auto" w:fill="auto"/>
          </w:tcPr>
          <w:p w14:paraId="6CC1D6BC">
            <w:pPr>
              <w:pStyle w:val="150"/>
            </w:pPr>
            <w:r>
              <w:rPr>
                <w:rFonts w:hint="eastAsia"/>
              </w:rPr>
              <w:t>短信认证发送短信验证码的按钮颜色。</w:t>
            </w:r>
          </w:p>
        </w:tc>
      </w:tr>
      <w:tr w14:paraId="665749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3AB2D187">
            <w:pPr>
              <w:pStyle w:val="150"/>
            </w:pPr>
            <w:r>
              <w:rPr>
                <w:rFonts w:hint="eastAsia"/>
              </w:rPr>
              <w:t>免认证描述</w:t>
            </w:r>
          </w:p>
        </w:tc>
        <w:tc>
          <w:tcPr>
            <w:tcW w:w="6817" w:type="dxa"/>
            <w:shd w:val="clear" w:color="auto" w:fill="auto"/>
          </w:tcPr>
          <w:p w14:paraId="791CF105">
            <w:pPr>
              <w:pStyle w:val="150"/>
            </w:pPr>
            <w:r>
              <w:rPr>
                <w:rFonts w:hint="eastAsia"/>
              </w:rPr>
              <w:t>免认证描述信息。</w:t>
            </w:r>
          </w:p>
        </w:tc>
      </w:tr>
    </w:tbl>
    <w:p w14:paraId="3DB9CFFF"/>
    <w:p w14:paraId="1C6D3744">
      <w:r>
        <w:rPr>
          <w:rFonts w:hint="eastAsia"/>
        </w:rPr>
        <w:t>输入完毕后，点击</w:t>
      </w:r>
      <w:r>
        <w:t>&lt;</w:t>
      </w:r>
      <w:r>
        <w:rPr>
          <w:rFonts w:hint="eastAsia"/>
        </w:rPr>
        <w:t>提交</w:t>
      </w:r>
      <w:r>
        <w:t>&gt;</w:t>
      </w:r>
      <w:r>
        <w:rPr>
          <w:rFonts w:hint="eastAsia"/>
        </w:rPr>
        <w:t>按钮，应用配置，点击</w:t>
      </w:r>
      <w:r>
        <w:t>&lt;</w:t>
      </w:r>
      <w:r>
        <w:rPr>
          <w:rFonts w:hint="eastAsia"/>
        </w:rPr>
        <w:t>取消</w:t>
      </w:r>
      <w:r>
        <w:t>&gt;</w:t>
      </w:r>
      <w:r>
        <w:rPr>
          <w:rFonts w:hint="eastAsia"/>
        </w:rPr>
        <w:t>按钮，取消配置修改。</w:t>
      </w:r>
    </w:p>
    <w:p w14:paraId="24EDE613">
      <w:r>
        <w:rPr>
          <w:rFonts w:hint="eastAsia"/>
        </w:rPr>
        <w:t>点击预览</w:t>
      </w:r>
      <w:r>
        <w:drawing>
          <wp:inline distT="0" distB="0" distL="0" distR="0">
            <wp:extent cx="209550" cy="180975"/>
            <wp:effectExtent l="0" t="0" r="0" b="9525"/>
            <wp:docPr id="1407" name="图片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 name="图片 1407"/>
                    <pic:cNvPicPr>
                      <a:picLocks noChangeAspect="1"/>
                    </pic:cNvPicPr>
                  </pic:nvPicPr>
                  <pic:blipFill>
                    <a:blip r:embed="rId1080"/>
                    <a:stretch>
                      <a:fillRect/>
                    </a:stretch>
                  </pic:blipFill>
                  <pic:spPr>
                    <a:xfrm>
                      <a:off x="0" y="0"/>
                      <a:ext cx="209550" cy="180975"/>
                    </a:xfrm>
                    <a:prstGeom prst="rect">
                      <a:avLst/>
                    </a:prstGeom>
                  </pic:spPr>
                </pic:pic>
              </a:graphicData>
            </a:graphic>
          </wp:inline>
        </w:drawing>
      </w:r>
      <w:r>
        <w:t xml:space="preserve"> </w:t>
      </w:r>
      <w:r>
        <w:rPr>
          <w:rFonts w:hint="eastAsia"/>
        </w:rPr>
        <w:t>图标查看</w:t>
      </w:r>
      <w:r>
        <w:t>PC</w:t>
      </w:r>
      <w:r>
        <w:rPr>
          <w:rFonts w:hint="eastAsia"/>
        </w:rPr>
        <w:t>终端预览效果，如</w:t>
      </w:r>
      <w:r>
        <w:fldChar w:fldCharType="begin"/>
      </w:r>
      <w:r>
        <w:instrText xml:space="preserve"> REF _Ref458611761 \r \h </w:instrText>
      </w:r>
      <w:r>
        <w:fldChar w:fldCharType="separate"/>
      </w:r>
      <w:r>
        <w:rPr>
          <w:rFonts w:hint="eastAsia"/>
        </w:rPr>
        <w:t>图31-127</w:t>
      </w:r>
      <w:r>
        <w:fldChar w:fldCharType="end"/>
      </w:r>
      <w:r>
        <w:rPr>
          <w:rFonts w:hint="eastAsia"/>
        </w:rPr>
        <w:t>所示。</w:t>
      </w:r>
    </w:p>
    <w:p w14:paraId="55A02D7C">
      <w:pPr>
        <w:pStyle w:val="188"/>
      </w:pPr>
      <w:bookmarkStart w:id="8800" w:name="_Toc141874888"/>
      <w:bookmarkStart w:id="8801" w:name="_Ref458611761"/>
      <w:r>
        <w:rPr>
          <w:rFonts w:hint="eastAsia"/>
        </w:rPr>
        <w:t>混合认证模板PC终端预览效果</w:t>
      </w:r>
      <w:bookmarkEnd w:id="8800"/>
      <w:bookmarkEnd w:id="8801"/>
    </w:p>
    <w:p w14:paraId="7CFDCBEE">
      <w:pPr>
        <w:spacing w:before="79" w:after="79"/>
      </w:pPr>
      <w:r>
        <w:drawing>
          <wp:inline distT="0" distB="0" distL="114300" distR="114300">
            <wp:extent cx="5400040" cy="1741170"/>
            <wp:effectExtent l="0" t="0" r="0" b="0"/>
            <wp:docPr id="981"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图片 56"/>
                    <pic:cNvPicPr>
                      <a:picLocks noChangeAspect="1"/>
                    </pic:cNvPicPr>
                  </pic:nvPicPr>
                  <pic:blipFill>
                    <a:blip r:embed="rId1116"/>
                    <a:stretch>
                      <a:fillRect/>
                    </a:stretch>
                  </pic:blipFill>
                  <pic:spPr>
                    <a:xfrm>
                      <a:off x="0" y="0"/>
                      <a:ext cx="5400040" cy="1741478"/>
                    </a:xfrm>
                    <a:prstGeom prst="rect">
                      <a:avLst/>
                    </a:prstGeom>
                    <a:noFill/>
                    <a:ln>
                      <a:noFill/>
                    </a:ln>
                  </pic:spPr>
                </pic:pic>
              </a:graphicData>
            </a:graphic>
          </wp:inline>
        </w:drawing>
      </w:r>
    </w:p>
    <w:p w14:paraId="2F855A28"/>
    <w:p w14:paraId="29E06B34">
      <w:r>
        <w:rPr>
          <w:rFonts w:hint="eastAsia"/>
        </w:rPr>
        <w:t>点击预览</w:t>
      </w:r>
      <w:r>
        <w:drawing>
          <wp:inline distT="0" distB="0" distL="0" distR="0">
            <wp:extent cx="133350" cy="209550"/>
            <wp:effectExtent l="0" t="0" r="0" b="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pic:cNvPicPr>
                      <a:picLocks noChangeAspect="1"/>
                    </pic:cNvPicPr>
                  </pic:nvPicPr>
                  <pic:blipFill>
                    <a:blip r:embed="rId1082"/>
                    <a:stretch>
                      <a:fillRect/>
                    </a:stretch>
                  </pic:blipFill>
                  <pic:spPr>
                    <a:xfrm>
                      <a:off x="0" y="0"/>
                      <a:ext cx="133350" cy="209550"/>
                    </a:xfrm>
                    <a:prstGeom prst="rect">
                      <a:avLst/>
                    </a:prstGeom>
                  </pic:spPr>
                </pic:pic>
              </a:graphicData>
            </a:graphic>
          </wp:inline>
        </w:drawing>
      </w:r>
      <w:r>
        <w:rPr>
          <w:rFonts w:hint="eastAsia"/>
        </w:rPr>
        <w:t>图标查看移动终端预览效果，如</w:t>
      </w:r>
      <w:r>
        <w:fldChar w:fldCharType="begin"/>
      </w:r>
      <w:r>
        <w:instrText xml:space="preserve"> REF _Ref458611772 \r \h </w:instrText>
      </w:r>
      <w:r>
        <w:fldChar w:fldCharType="separate"/>
      </w:r>
      <w:r>
        <w:rPr>
          <w:rFonts w:hint="eastAsia"/>
        </w:rPr>
        <w:t>图31-128</w:t>
      </w:r>
      <w:r>
        <w:fldChar w:fldCharType="end"/>
      </w:r>
      <w:r>
        <w:rPr>
          <w:rFonts w:hint="eastAsia"/>
        </w:rPr>
        <w:t>所示</w:t>
      </w:r>
      <w:r>
        <w:t xml:space="preserve"> </w:t>
      </w:r>
    </w:p>
    <w:p w14:paraId="217D65FC">
      <w:pPr>
        <w:pStyle w:val="188"/>
      </w:pPr>
      <w:bookmarkStart w:id="8802" w:name="_Ref458611772"/>
      <w:bookmarkStart w:id="8803" w:name="_Toc141874889"/>
      <w:r>
        <w:rPr>
          <w:rFonts w:hint="eastAsia"/>
        </w:rPr>
        <w:t>混合认证模板移动终端预览效果</w:t>
      </w:r>
      <w:bookmarkEnd w:id="8802"/>
      <w:bookmarkEnd w:id="8803"/>
    </w:p>
    <w:p w14:paraId="62BE41F2">
      <w:pPr>
        <w:spacing w:before="79" w:after="79"/>
      </w:pPr>
      <w:r>
        <w:drawing>
          <wp:inline distT="0" distB="0" distL="114300" distR="114300">
            <wp:extent cx="1610360" cy="3076575"/>
            <wp:effectExtent l="0" t="0" r="8890" b="0"/>
            <wp:docPr id="982"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图片 57"/>
                    <pic:cNvPicPr>
                      <a:picLocks noChangeAspect="1"/>
                    </pic:cNvPicPr>
                  </pic:nvPicPr>
                  <pic:blipFill>
                    <a:blip r:embed="rId1117"/>
                    <a:stretch>
                      <a:fillRect/>
                    </a:stretch>
                  </pic:blipFill>
                  <pic:spPr>
                    <a:xfrm>
                      <a:off x="0" y="0"/>
                      <a:ext cx="1614053" cy="3083011"/>
                    </a:xfrm>
                    <a:prstGeom prst="rect">
                      <a:avLst/>
                    </a:prstGeom>
                    <a:noFill/>
                    <a:ln>
                      <a:noFill/>
                    </a:ln>
                  </pic:spPr>
                </pic:pic>
              </a:graphicData>
            </a:graphic>
          </wp:inline>
        </w:drawing>
      </w:r>
    </w:p>
    <w:p w14:paraId="37F4D31B"/>
    <w:p w14:paraId="465385C1">
      <w:pPr>
        <w:pStyle w:val="4"/>
      </w:pPr>
      <w:bookmarkStart w:id="8804" w:name="_Toc172218307"/>
      <w:bookmarkStart w:id="8805" w:name="_Toc194081191"/>
      <w:bookmarkStart w:id="8806" w:name="_Toc141873545"/>
      <w:bookmarkStart w:id="8807" w:name="_Toc142401061"/>
      <w:bookmarkStart w:id="8808" w:name="_Toc196728519"/>
      <w:r>
        <w:rPr>
          <w:rFonts w:hint="eastAsia"/>
        </w:rPr>
        <w:t>配置认证服务器</w:t>
      </w:r>
      <w:bookmarkEnd w:id="8203"/>
      <w:bookmarkEnd w:id="8204"/>
      <w:bookmarkEnd w:id="8205"/>
      <w:bookmarkEnd w:id="8206"/>
      <w:bookmarkEnd w:id="8207"/>
      <w:bookmarkEnd w:id="8208"/>
      <w:bookmarkEnd w:id="8804"/>
      <w:bookmarkEnd w:id="8805"/>
      <w:bookmarkEnd w:id="8806"/>
      <w:bookmarkEnd w:id="8807"/>
      <w:bookmarkEnd w:id="8808"/>
    </w:p>
    <w:p w14:paraId="0D3F19E1">
      <w:r>
        <w:t>本小节中的认证服务器是指第三方的</w:t>
      </w:r>
      <w:r>
        <w:rPr>
          <w:rFonts w:hint="eastAsia"/>
        </w:rPr>
        <w:t>Radius、LDAP、POP3、数据库认证服务器、CAS服务器及OAUTH服务器，</w:t>
      </w:r>
      <w:r>
        <w:t>主要用于第三方用户同步和认证</w:t>
      </w:r>
      <w:r>
        <w:rPr>
          <w:rFonts w:hint="eastAsia"/>
        </w:rPr>
        <w:t>。</w:t>
      </w:r>
    </w:p>
    <w:p w14:paraId="48D07B45">
      <w:pPr>
        <w:pStyle w:val="162"/>
      </w:pPr>
      <w:r>
        <w:rPr>
          <w:rFonts w:hint="eastAsia"/>
        </w:rPr>
        <w:t>LDAP是轻量目录访问协议(Lightweight Directory Access Protocol)的缩写，是互联网上目录服务的通用访问协议。LDAP服务可以有效解决众多网络服务的用户账户问题，LDAP服务器是用于查询和更新LDAP目录的服务器，包括用户账号目录。</w:t>
      </w:r>
    </w:p>
    <w:p w14:paraId="0115D831">
      <w:pPr>
        <w:pStyle w:val="162"/>
      </w:pPr>
      <w:r>
        <w:rPr>
          <w:rFonts w:hint="eastAsia"/>
        </w:rPr>
        <w:t>RADIUS是远程认证拨号用户服务（Remote Authentication Dial In User Service）的缩写，广泛应用于小区宽带上网、IP电话、移动电话预付费、无线网络接入等业务。RADIUS服务器负责接收用户的连接请求、认证用户，然后向请求方返回所有必要的配置信息。</w:t>
      </w:r>
    </w:p>
    <w:p w14:paraId="3E138646">
      <w:pPr>
        <w:pStyle w:val="162"/>
      </w:pPr>
      <w:r>
        <w:rPr>
          <w:rFonts w:hint="eastAsia"/>
        </w:rPr>
        <w:t>POP3（Post Office Protocol version3），即邮局协议第3版。POP3采用的是C/S通信模型。设备提供POP3认证方式，配置客户网络中POP3认证服务器，用户信息存放在POP3服务器上，在上网之前，用户使用Outlook、Foxmail之类的客户端登录POP3服务器收发一次邮件，设备通过监听模式监听到用户登录的信息，则会自动识别并认证通过该用户，此时用户可以直接上网，而不需再次输入用户名密码。</w:t>
      </w:r>
    </w:p>
    <w:p w14:paraId="0E13074C">
      <w:pPr>
        <w:pStyle w:val="162"/>
      </w:pPr>
      <w:r>
        <w:rPr>
          <w:rFonts w:hint="eastAsia"/>
        </w:rPr>
        <w:t>数据库服务器是用户自己的存储用户认证信息和组织结构信息的数据库系统，后台数据库为PostgreSQL数据库，可以通过使用设备的数据库用户同步功能在Web界面上配置SQL查询语句，去主动查询数据库系统中的已认证用户列表，并同步到设备的在线用户列表中，从而实现用户通过数据库认证时，即通过设备的用户认证，同样的，用户从数据库认证系统中注销，也自动完成了在设备上的注销（即数据库方式的单点登录/注销）。</w:t>
      </w:r>
    </w:p>
    <w:p w14:paraId="0B0BA1B7">
      <w:pPr>
        <w:pStyle w:val="162"/>
      </w:pPr>
      <w:r>
        <w:rPr>
          <w:rFonts w:hint="eastAsia"/>
        </w:rPr>
        <w:t>CAS（中央认证服务）是基于CAS协议的认证服务器。CAS是一个基于Web的开源身份验证协议。它提供了一种基于浏览器重定向的单点登录（SSO）框架。它的主要功能是提供一种简单的方式让应用程序对用户进行认证，同时它还可以在多个应用程序之间提供单点登录。CAS包含两个部分：CAS Server 和 CAS Client。CAS Server是一个提供认证的服务器，主要负责对用户的认证工作；CAS Client 负责处理对客户端受保护资源的访问请求，需要登录时，重定向到 CAS Server。</w:t>
      </w:r>
    </w:p>
    <w:p w14:paraId="5847984F">
      <w:pPr>
        <w:pStyle w:val="162"/>
      </w:pPr>
      <w:r>
        <w:rPr>
          <w:rFonts w:hint="eastAsia"/>
        </w:rPr>
        <w:t>OAuth 2.0 是一种授权机制，主要用来颁发令牌（token）, 协议标准是 RFC 6749 。OAuth 的核心就是向第三方应用颁发令牌。OAuth 引入了一个授权层，用来分离两种不同的角色：客户端和资源所有者。资源所有者同意以后，资源服务器可以向客户端颁发令牌。客户端通过令牌，去请求数据。OAuth 2.0 规定了四种获得令牌的流程：</w:t>
      </w:r>
    </w:p>
    <w:p w14:paraId="4DAAFCB2">
      <w:pPr>
        <w:numPr>
          <w:ilvl w:val="1"/>
          <w:numId w:val="8"/>
        </w:numPr>
      </w:pPr>
      <w:r>
        <w:rPr>
          <w:rFonts w:hint="eastAsia"/>
        </w:rPr>
        <w:t>授权码（Authorization Request）</w:t>
      </w:r>
    </w:p>
    <w:p w14:paraId="33AD0504">
      <w:pPr>
        <w:numPr>
          <w:ilvl w:val="1"/>
          <w:numId w:val="8"/>
        </w:numPr>
      </w:pPr>
      <w:r>
        <w:rPr>
          <w:rFonts w:hint="eastAsia"/>
        </w:rPr>
        <w:t>隐藏式（Implicit Grant）</w:t>
      </w:r>
    </w:p>
    <w:p w14:paraId="0FA647D1">
      <w:pPr>
        <w:numPr>
          <w:ilvl w:val="1"/>
          <w:numId w:val="8"/>
        </w:numPr>
      </w:pPr>
      <w:r>
        <w:rPr>
          <w:rFonts w:hint="eastAsia"/>
        </w:rPr>
        <w:t>密码式（Resource Owner Password Credentials Grant）：</w:t>
      </w:r>
    </w:p>
    <w:p w14:paraId="791DDCD6">
      <w:pPr>
        <w:numPr>
          <w:ilvl w:val="1"/>
          <w:numId w:val="8"/>
        </w:numPr>
      </w:pPr>
      <w:r>
        <w:rPr>
          <w:rFonts w:hint="eastAsia"/>
        </w:rPr>
        <w:t>客户端凭证（Client Credentials Grant）</w:t>
      </w:r>
    </w:p>
    <w:p w14:paraId="09ADFBA0">
      <w:pPr>
        <w:ind w:left="420"/>
      </w:pPr>
      <w:r>
        <w:rPr>
          <w:rFonts w:hint="eastAsia"/>
        </w:rPr>
        <w:t>设备支持通过OAuth 2.0授权码模式的接口协议实现用户的认证。</w:t>
      </w:r>
    </w:p>
    <w:p w14:paraId="729AE298">
      <w:pPr>
        <w:ind w:left="289"/>
      </w:pPr>
      <w:r>
        <w:rPr>
          <w:rFonts w:hint="eastAsia"/>
        </w:rPr>
        <w:t>管理员可以将具有相同或相似属性的认证服务器添加到服务器组以方便管理。</w:t>
      </w:r>
    </w:p>
    <w:p w14:paraId="3AF3C746">
      <w:pPr>
        <w:pStyle w:val="5"/>
      </w:pPr>
      <w:bookmarkStart w:id="8809" w:name="_Toc23152945"/>
      <w:bookmarkStart w:id="8810" w:name="_Toc196728520"/>
      <w:bookmarkStart w:id="8811" w:name="_Toc172218308"/>
      <w:bookmarkStart w:id="8812" w:name="_Toc194081192"/>
      <w:bookmarkStart w:id="8813" w:name="_Toc142401062"/>
      <w:bookmarkStart w:id="8814" w:name="_Toc15485181"/>
      <w:bookmarkStart w:id="8815" w:name="_Toc40276366"/>
      <w:bookmarkStart w:id="8816" w:name="_Toc99561604"/>
      <w:bookmarkStart w:id="8817" w:name="_Ref99442009"/>
      <w:bookmarkStart w:id="8818" w:name="_Toc141873546"/>
      <w:bookmarkStart w:id="8819" w:name="_Toc9006652"/>
      <w:r>
        <w:rPr>
          <w:rFonts w:hint="eastAsia"/>
        </w:rPr>
        <w:t>配置LDAP</w:t>
      </w:r>
      <w:bookmarkEnd w:id="8809"/>
      <w:bookmarkEnd w:id="8810"/>
      <w:bookmarkEnd w:id="8811"/>
      <w:bookmarkEnd w:id="8812"/>
      <w:bookmarkEnd w:id="8813"/>
      <w:bookmarkEnd w:id="8814"/>
      <w:bookmarkEnd w:id="8815"/>
      <w:bookmarkEnd w:id="8816"/>
      <w:bookmarkEnd w:id="8817"/>
      <w:bookmarkEnd w:id="8818"/>
      <w:bookmarkEnd w:id="8819"/>
    </w:p>
    <w:p w14:paraId="35308B31">
      <w:pPr>
        <w:pStyle w:val="6"/>
      </w:pPr>
      <w:bookmarkStart w:id="8820" w:name="_Toc4593061"/>
      <w:bookmarkEnd w:id="8820"/>
      <w:bookmarkStart w:id="8821" w:name="_Toc4076787"/>
      <w:bookmarkEnd w:id="8821"/>
      <w:bookmarkStart w:id="8822" w:name="_Toc4600642"/>
      <w:bookmarkEnd w:id="8822"/>
      <w:bookmarkStart w:id="8823" w:name="_Toc494295542"/>
      <w:bookmarkStart w:id="8824" w:name="_Toc4600643"/>
      <w:r>
        <w:t>配置LDAP服务器</w:t>
      </w:r>
      <w:bookmarkEnd w:id="8823"/>
      <w:bookmarkEnd w:id="8824"/>
    </w:p>
    <w:p w14:paraId="2258AA93">
      <w:r>
        <w:rPr>
          <w:rFonts w:hint="eastAsia"/>
        </w:rPr>
        <w:t>在导航栏中选择“用户管理&gt;认证管理&gt;认证服务器”，将鼠标移至&lt;新建&gt;按钮，在下拉框中选择“</w:t>
      </w:r>
      <w:r>
        <w:t>LDAP</w:t>
      </w:r>
      <w:r>
        <w:rPr>
          <w:rFonts w:hint="eastAsia"/>
        </w:rPr>
        <w:t>服务器”，进入LDAP服务器的配置界面，如</w:t>
      </w:r>
      <w:r>
        <w:fldChar w:fldCharType="begin"/>
      </w:r>
      <w:r>
        <w:instrText xml:space="preserve"> </w:instrText>
      </w:r>
      <w:r>
        <w:rPr>
          <w:rFonts w:hint="eastAsia"/>
        </w:rPr>
        <w:instrText xml:space="preserve">REF _Ref494445546 \r \h</w:instrText>
      </w:r>
      <w:r>
        <w:instrText xml:space="preserve"> </w:instrText>
      </w:r>
      <w:r>
        <w:fldChar w:fldCharType="separate"/>
      </w:r>
      <w:r>
        <w:rPr>
          <w:rFonts w:hint="eastAsia"/>
        </w:rPr>
        <w:t>图31-129</w:t>
      </w:r>
      <w:r>
        <w:fldChar w:fldCharType="end"/>
      </w:r>
      <w:r>
        <w:rPr>
          <w:rFonts w:hint="eastAsia"/>
        </w:rPr>
        <w:t>所示。LDAP服务器详细参数如</w:t>
      </w:r>
      <w:r>
        <w:rPr>
          <w:color w:val="0000FF"/>
          <w:u w:val="single"/>
        </w:rPr>
        <w:fldChar w:fldCharType="begin"/>
      </w:r>
      <w:r>
        <w:rPr>
          <w:color w:val="0000FF"/>
          <w:u w:val="single"/>
        </w:rPr>
        <w:instrText xml:space="preserve"> </w:instrText>
      </w:r>
      <w:r>
        <w:rPr>
          <w:rFonts w:hint="eastAsia"/>
          <w:color w:val="0000FF"/>
          <w:u w:val="single"/>
        </w:rPr>
        <w:instrText xml:space="preserve">REF _Ref494445554 \r \h</w:instrText>
      </w:r>
      <w:r>
        <w:rPr>
          <w:color w:val="0000FF"/>
          <w:u w:val="single"/>
        </w:rPr>
        <w:instrText xml:space="preserve"> </w:instrText>
      </w:r>
      <w:r>
        <w:rPr>
          <w:color w:val="0000FF"/>
          <w:u w:val="single"/>
        </w:rPr>
        <w:fldChar w:fldCharType="separate"/>
      </w:r>
      <w:r>
        <w:rPr>
          <w:rFonts w:hint="eastAsia"/>
          <w:color w:val="0000FF"/>
          <w:u w:val="single"/>
        </w:rPr>
        <w:t>表31-1</w:t>
      </w:r>
      <w:r>
        <w:rPr>
          <w:color w:val="0000FF"/>
          <w:u w:val="single"/>
        </w:rPr>
        <w:fldChar w:fldCharType="end"/>
      </w:r>
      <w:r>
        <w:rPr>
          <w:rFonts w:hint="eastAsia"/>
        </w:rPr>
        <w:t>所示。</w:t>
      </w:r>
    </w:p>
    <w:p w14:paraId="3E947FBA">
      <w:pPr>
        <w:pStyle w:val="188"/>
      </w:pPr>
      <w:bookmarkStart w:id="8825" w:name="_Ref494445546"/>
      <w:bookmarkStart w:id="8826" w:name="_Toc141874890"/>
      <w:r>
        <w:rPr>
          <w:rFonts w:hint="eastAsia"/>
        </w:rPr>
        <w:t>LDAP服务器配置界面</w:t>
      </w:r>
      <w:bookmarkEnd w:id="8825"/>
      <w:bookmarkEnd w:id="8826"/>
    </w:p>
    <w:p w14:paraId="61F4D07E">
      <w:r>
        <w:drawing>
          <wp:inline distT="0" distB="0" distL="0" distR="0">
            <wp:extent cx="4933950" cy="4463415"/>
            <wp:effectExtent l="0" t="0" r="0" b="0"/>
            <wp:docPr id="1296485322" name="图片 1296485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22" name="图片 1296485322"/>
                    <pic:cNvPicPr>
                      <a:picLocks noChangeAspect="1"/>
                    </pic:cNvPicPr>
                  </pic:nvPicPr>
                  <pic:blipFill>
                    <a:blip r:embed="rId1118"/>
                    <a:stretch>
                      <a:fillRect/>
                    </a:stretch>
                  </pic:blipFill>
                  <pic:spPr>
                    <a:xfrm>
                      <a:off x="0" y="0"/>
                      <a:ext cx="4941147" cy="4470514"/>
                    </a:xfrm>
                    <a:prstGeom prst="rect">
                      <a:avLst/>
                    </a:prstGeom>
                  </pic:spPr>
                </pic:pic>
              </a:graphicData>
            </a:graphic>
          </wp:inline>
        </w:drawing>
      </w:r>
    </w:p>
    <w:p w14:paraId="07EF6E62"/>
    <w:p w14:paraId="076A5BB4">
      <w:pPr>
        <w:pStyle w:val="183"/>
      </w:pPr>
      <w:bookmarkStart w:id="8827" w:name="_Toc141875597"/>
      <w:bookmarkStart w:id="8828" w:name="_Ref494445554"/>
      <w:r>
        <w:rPr>
          <w:rFonts w:hint="eastAsia"/>
        </w:rPr>
        <w:t>LDAP服务器界面的详细说明</w:t>
      </w:r>
      <w:bookmarkEnd w:id="8827"/>
      <w:bookmarkEnd w:id="8828"/>
    </w:p>
    <w:tbl>
      <w:tblPr>
        <w:tblStyle w:val="173"/>
        <w:tblW w:w="500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140"/>
        <w:gridCol w:w="7102"/>
      </w:tblGrid>
      <w:tr w14:paraId="5FC390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158" w:type="pct"/>
            <w:tcBorders>
              <w:tl2br w:val="nil"/>
              <w:tr2bl w:val="nil"/>
            </w:tcBorders>
            <w:shd w:val="clear" w:color="auto" w:fill="538135" w:themeFill="accent6" w:themeFillShade="BF"/>
            <w:vAlign w:val="center"/>
          </w:tcPr>
          <w:p w14:paraId="164CC16A">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参数</w:t>
            </w:r>
          </w:p>
        </w:tc>
        <w:tc>
          <w:tcPr>
            <w:tcW w:w="3842" w:type="pct"/>
            <w:tcBorders>
              <w:tl2br w:val="nil"/>
              <w:tr2bl w:val="nil"/>
            </w:tcBorders>
            <w:shd w:val="clear" w:color="auto" w:fill="538135" w:themeFill="accent6" w:themeFillShade="BF"/>
            <w:vAlign w:val="center"/>
          </w:tcPr>
          <w:p w14:paraId="19A4BBC1">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8D040A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158" w:type="pct"/>
            <w:shd w:val="clear" w:color="auto" w:fill="auto"/>
          </w:tcPr>
          <w:p w14:paraId="6C7B85F0">
            <w:pPr>
              <w:pStyle w:val="150"/>
            </w:pPr>
            <w:r>
              <w:rPr>
                <w:rFonts w:hint="eastAsia"/>
              </w:rPr>
              <w:t>服务器名称</w:t>
            </w:r>
          </w:p>
        </w:tc>
        <w:tc>
          <w:tcPr>
            <w:tcW w:w="3842" w:type="pct"/>
            <w:shd w:val="clear" w:color="auto" w:fill="auto"/>
          </w:tcPr>
          <w:p w14:paraId="59CE423F">
            <w:pPr>
              <w:pStyle w:val="150"/>
            </w:pPr>
            <w:r>
              <w:rPr>
                <w:rFonts w:hint="eastAsia"/>
              </w:rPr>
              <w:t>LDAP服务器名称。</w:t>
            </w:r>
          </w:p>
        </w:tc>
      </w:tr>
      <w:tr w14:paraId="7324F84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158" w:type="pct"/>
            <w:shd w:val="clear" w:color="auto" w:fill="auto"/>
          </w:tcPr>
          <w:p w14:paraId="484E2C3A">
            <w:pPr>
              <w:pStyle w:val="150"/>
            </w:pPr>
            <w:r>
              <w:rPr>
                <w:rFonts w:hint="eastAsia"/>
              </w:rPr>
              <w:t>服务器IP</w:t>
            </w:r>
          </w:p>
        </w:tc>
        <w:tc>
          <w:tcPr>
            <w:tcW w:w="3842" w:type="pct"/>
            <w:shd w:val="clear" w:color="auto" w:fill="auto"/>
          </w:tcPr>
          <w:p w14:paraId="7A037ED0">
            <w:pPr>
              <w:pStyle w:val="150"/>
            </w:pPr>
            <w:r>
              <w:rPr>
                <w:rFonts w:hint="eastAsia"/>
              </w:rPr>
              <w:t>LDAP服务器地址。</w:t>
            </w:r>
          </w:p>
        </w:tc>
      </w:tr>
      <w:tr w14:paraId="62D209C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158" w:type="pct"/>
            <w:shd w:val="clear" w:color="auto" w:fill="auto"/>
          </w:tcPr>
          <w:p w14:paraId="6C55D2C5">
            <w:pPr>
              <w:pStyle w:val="150"/>
            </w:pPr>
            <w:r>
              <w:rPr>
                <w:rFonts w:hint="eastAsia"/>
              </w:rPr>
              <w:t>端口</w:t>
            </w:r>
          </w:p>
        </w:tc>
        <w:tc>
          <w:tcPr>
            <w:tcW w:w="3842" w:type="pct"/>
            <w:shd w:val="clear" w:color="auto" w:fill="auto"/>
          </w:tcPr>
          <w:p w14:paraId="3383D012">
            <w:pPr>
              <w:pStyle w:val="150"/>
            </w:pPr>
            <w:r>
              <w:rPr>
                <w:rFonts w:hint="eastAsia"/>
              </w:rPr>
              <w:t>LDAP服务器端口，默认389明文，暂时不支持636加密同步。</w:t>
            </w:r>
          </w:p>
        </w:tc>
      </w:tr>
      <w:tr w14:paraId="4017DD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158" w:type="pct"/>
            <w:shd w:val="clear" w:color="auto" w:fill="auto"/>
          </w:tcPr>
          <w:p w14:paraId="2ECEA6FC">
            <w:pPr>
              <w:pStyle w:val="150"/>
            </w:pPr>
            <w:r>
              <w:rPr>
                <w:rFonts w:hint="eastAsia"/>
              </w:rPr>
              <w:t>通用标识</w:t>
            </w:r>
          </w:p>
        </w:tc>
        <w:tc>
          <w:tcPr>
            <w:tcW w:w="3842" w:type="pct"/>
            <w:shd w:val="clear" w:color="auto" w:fill="auto"/>
          </w:tcPr>
          <w:p w14:paraId="48E8DD26">
            <w:pPr>
              <w:pStyle w:val="150"/>
            </w:pPr>
            <w:r>
              <w:t>cn</w:t>
            </w:r>
            <w:r>
              <w:rPr>
                <w:rFonts w:hint="eastAsia" w:asciiTheme="minorEastAsia" w:hAnsiTheme="minorEastAsia" w:eastAsiaTheme="minorEastAsia"/>
              </w:rPr>
              <w:t>：</w:t>
            </w:r>
            <w:r>
              <w:rPr>
                <w:rFonts w:hint="eastAsia"/>
              </w:rPr>
              <w:t>全称</w:t>
            </w:r>
            <w:r>
              <w:t xml:space="preserve"> common name</w:t>
            </w:r>
            <w:r>
              <w:rPr>
                <w:rFonts w:hint="eastAsia"/>
              </w:rPr>
              <w:t>，配置</w:t>
            </w:r>
            <w:r>
              <w:t>cn</w:t>
            </w:r>
            <w:r>
              <w:rPr>
                <w:rFonts w:hint="eastAsia"/>
              </w:rPr>
              <w:t>时，同步、认证都使用标识名。</w:t>
            </w:r>
          </w:p>
          <w:p w14:paraId="2878DF36">
            <w:pPr>
              <w:pStyle w:val="150"/>
            </w:pPr>
            <w:r>
              <w:t>sAMAccountName：</w:t>
            </w:r>
            <w:r>
              <w:rPr>
                <w:rFonts w:hint="eastAsia" w:eastAsia="微软雅黑"/>
              </w:rPr>
              <w:t>同步和认证使用登录名。</w:t>
            </w:r>
          </w:p>
        </w:tc>
      </w:tr>
      <w:tr w14:paraId="4E3EEB8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158" w:type="pct"/>
            <w:shd w:val="clear" w:color="auto" w:fill="auto"/>
          </w:tcPr>
          <w:p w14:paraId="6E94A601">
            <w:pPr>
              <w:pStyle w:val="150"/>
            </w:pPr>
            <w:r>
              <w:rPr>
                <w:rFonts w:hint="eastAsia"/>
              </w:rPr>
              <w:t>Base DN</w:t>
            </w:r>
          </w:p>
        </w:tc>
        <w:tc>
          <w:tcPr>
            <w:tcW w:w="3842" w:type="pct"/>
            <w:shd w:val="clear" w:color="auto" w:fill="auto"/>
          </w:tcPr>
          <w:p w14:paraId="57B17769">
            <w:pPr>
              <w:pStyle w:val="150"/>
            </w:pPr>
            <w:r>
              <w:rPr>
                <w:rFonts w:hint="eastAsia"/>
              </w:rPr>
              <w:t>用于获取同步信息的服务器域名路径。</w:t>
            </w:r>
          </w:p>
        </w:tc>
      </w:tr>
      <w:tr w14:paraId="0FE718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158" w:type="pct"/>
            <w:shd w:val="clear" w:color="auto" w:fill="auto"/>
          </w:tcPr>
          <w:p w14:paraId="5EDDB770">
            <w:pPr>
              <w:pStyle w:val="150"/>
            </w:pPr>
            <w:r>
              <w:rPr>
                <w:rFonts w:hint="eastAsia"/>
              </w:rPr>
              <w:t>管理员</w:t>
            </w:r>
          </w:p>
        </w:tc>
        <w:tc>
          <w:tcPr>
            <w:tcW w:w="3842" w:type="pct"/>
            <w:shd w:val="clear" w:color="auto" w:fill="auto"/>
          </w:tcPr>
          <w:p w14:paraId="7AD31C06">
            <w:pPr>
              <w:pStyle w:val="150"/>
            </w:pPr>
            <w:r>
              <w:rPr>
                <w:rFonts w:hint="eastAsia"/>
              </w:rPr>
              <w:t>拥有管理权限的域服务器管理员。</w:t>
            </w:r>
          </w:p>
        </w:tc>
      </w:tr>
      <w:tr w14:paraId="4BECBB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158" w:type="pct"/>
            <w:shd w:val="clear" w:color="auto" w:fill="auto"/>
          </w:tcPr>
          <w:p w14:paraId="2F9C2135">
            <w:pPr>
              <w:pStyle w:val="150"/>
            </w:pPr>
            <w:r>
              <w:rPr>
                <w:rFonts w:hint="eastAsia"/>
              </w:rPr>
              <w:t>管理员密码</w:t>
            </w:r>
          </w:p>
        </w:tc>
        <w:tc>
          <w:tcPr>
            <w:tcW w:w="3842" w:type="pct"/>
            <w:shd w:val="clear" w:color="auto" w:fill="auto"/>
          </w:tcPr>
          <w:p w14:paraId="13B2C2ED">
            <w:pPr>
              <w:pStyle w:val="150"/>
            </w:pPr>
            <w:r>
              <w:rPr>
                <w:rFonts w:hint="eastAsia"/>
              </w:rPr>
              <w:t>LDAP服务器的管理员密码。</w:t>
            </w:r>
          </w:p>
        </w:tc>
      </w:tr>
      <w:tr w14:paraId="297145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158" w:type="pct"/>
            <w:shd w:val="clear" w:color="auto" w:fill="auto"/>
          </w:tcPr>
          <w:p w14:paraId="53DAD543">
            <w:pPr>
              <w:pStyle w:val="150"/>
            </w:pPr>
            <w:r>
              <w:rPr>
                <w:rFonts w:hint="eastAsia"/>
              </w:rPr>
              <w:t>开启加密</w:t>
            </w:r>
          </w:p>
        </w:tc>
        <w:tc>
          <w:tcPr>
            <w:tcW w:w="3842" w:type="pct"/>
            <w:shd w:val="clear" w:color="auto" w:fill="auto"/>
          </w:tcPr>
          <w:p w14:paraId="0D344615">
            <w:pPr>
              <w:pStyle w:val="150"/>
            </w:pPr>
            <w:r>
              <w:rPr>
                <w:rFonts w:hint="eastAsia"/>
              </w:rPr>
              <w:t>勾选加密后，用户同步时会使用TLS加密通信；LDAP服务器开启TLS加密不支持认证，只支持LDAP同步。</w:t>
            </w:r>
          </w:p>
        </w:tc>
      </w:tr>
      <w:tr w14:paraId="4C2063A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158" w:type="pct"/>
            <w:shd w:val="clear" w:color="auto" w:fill="auto"/>
          </w:tcPr>
          <w:p w14:paraId="7990CAAD">
            <w:pPr>
              <w:pStyle w:val="150"/>
            </w:pPr>
            <w:r>
              <w:rPr>
                <w:rFonts w:hint="eastAsia"/>
              </w:rPr>
              <w:t>测试有效性</w:t>
            </w:r>
          </w:p>
        </w:tc>
        <w:tc>
          <w:tcPr>
            <w:tcW w:w="3842" w:type="pct"/>
            <w:shd w:val="clear" w:color="auto" w:fill="auto"/>
          </w:tcPr>
          <w:p w14:paraId="42BC47EF">
            <w:pPr>
              <w:pStyle w:val="150"/>
            </w:pPr>
            <w:r>
              <w:rPr>
                <w:rFonts w:hint="eastAsia"/>
              </w:rPr>
              <w:t>点击&lt;测试有效性&gt;测试目标LDAP服务器是否可用。</w:t>
            </w:r>
          </w:p>
        </w:tc>
      </w:tr>
      <w:tr w14:paraId="717F01D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158" w:type="pct"/>
            <w:shd w:val="clear" w:color="auto" w:fill="auto"/>
          </w:tcPr>
          <w:p w14:paraId="119CEB79">
            <w:pPr>
              <w:pStyle w:val="150"/>
            </w:pPr>
            <w:r>
              <w:rPr>
                <w:rFonts w:hint="eastAsia"/>
              </w:rPr>
              <w:t>分页搜索</w:t>
            </w:r>
          </w:p>
        </w:tc>
        <w:tc>
          <w:tcPr>
            <w:tcW w:w="3842" w:type="pct"/>
            <w:shd w:val="clear" w:color="auto" w:fill="auto"/>
          </w:tcPr>
          <w:p w14:paraId="4C022B97">
            <w:pPr>
              <w:pStyle w:val="150"/>
            </w:pPr>
            <w:r>
              <w:rPr>
                <w:rFonts w:hint="eastAsia"/>
              </w:rPr>
              <w:t>勾选分页搜索，如果AD域服务器支持分页搜索时，可以勾选此选项。支持Windows server 2008及以上服务器。</w:t>
            </w:r>
          </w:p>
          <w:p w14:paraId="0A4F2743">
            <w:pPr>
              <w:pStyle w:val="150"/>
            </w:pPr>
            <w:r>
              <w:rPr>
                <w:rFonts w:hint="eastAsia"/>
              </w:rPr>
              <w:t>Windows Server服务器为避免一次性返回过多条记录而导致LDAP服务器过载或响应延迟增加，默认设置maxpagesize（单个搜索结果中返回的最大对象数）为1000以保护系统资源和提高性能。当maxpagesize设置小于域用户组时，设备会出现同步AD域用户组不完整情况。</w:t>
            </w:r>
          </w:p>
          <w:p w14:paraId="19A1DBEE">
            <w:pPr>
              <w:pStyle w:val="150"/>
            </w:pPr>
            <w:r>
              <w:rPr>
                <w:rFonts w:hint="eastAsia"/>
              </w:rPr>
              <w:t>设置分页读取AD域组织结构，可以保证设备能获取完整的AD域组织结构。</w:t>
            </w:r>
          </w:p>
        </w:tc>
      </w:tr>
      <w:tr w14:paraId="58C1A4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158" w:type="pct"/>
            <w:shd w:val="clear" w:color="auto" w:fill="auto"/>
          </w:tcPr>
          <w:p w14:paraId="307680C7">
            <w:pPr>
              <w:pStyle w:val="150"/>
            </w:pPr>
            <w:r>
              <w:rPr>
                <w:rFonts w:hint="eastAsia"/>
              </w:rPr>
              <w:t>页面大小</w:t>
            </w:r>
          </w:p>
        </w:tc>
        <w:tc>
          <w:tcPr>
            <w:tcW w:w="3842" w:type="pct"/>
            <w:shd w:val="clear" w:color="auto" w:fill="auto"/>
          </w:tcPr>
          <w:p w14:paraId="4D372CE1">
            <w:pPr>
              <w:pStyle w:val="150"/>
            </w:pPr>
            <w:r>
              <w:rPr>
                <w:rFonts w:hint="eastAsia"/>
              </w:rPr>
              <w:t>默认空为无限制，配置范围为100-800，指一次同步的用户组的个数。</w:t>
            </w:r>
          </w:p>
        </w:tc>
      </w:tr>
    </w:tbl>
    <w:p w14:paraId="17D9707B">
      <w:bookmarkStart w:id="8829" w:name="_Toc4600646"/>
    </w:p>
    <w:p w14:paraId="0BBCCA4C">
      <w:pPr>
        <w:pStyle w:val="6"/>
      </w:pPr>
      <w:r>
        <w:t>配置LDAP组</w:t>
      </w:r>
      <w:bookmarkEnd w:id="8829"/>
    </w:p>
    <w:p w14:paraId="64A96E25">
      <w:r>
        <w:rPr>
          <w:rFonts w:hint="eastAsia"/>
        </w:rPr>
        <w:t>在导航栏中选择“用户管理&gt;认证管理&gt;认证服务器&gt;服务器组”，将鼠标移至&lt;新建&gt;按钮，在下拉框中选择“</w:t>
      </w:r>
      <w:r>
        <w:t>LDAP</w:t>
      </w:r>
      <w:r>
        <w:rPr>
          <w:rFonts w:hint="eastAsia"/>
        </w:rPr>
        <w:t>组”，进入LDAP组配置界面，如</w:t>
      </w:r>
      <w:r>
        <w:rPr>
          <w:color w:val="0000FF"/>
          <w:u w:val="single"/>
        </w:rPr>
        <w:fldChar w:fldCharType="begin"/>
      </w:r>
      <w:r>
        <w:rPr>
          <w:color w:val="0000FF"/>
          <w:u w:val="single"/>
        </w:rPr>
        <w:instrText xml:space="preserve"> </w:instrText>
      </w:r>
      <w:r>
        <w:rPr>
          <w:rFonts w:hint="eastAsia"/>
          <w:color w:val="0000FF"/>
          <w:u w:val="single"/>
        </w:rPr>
        <w:instrText xml:space="preserve">REF _Ref494445583 \r \h</w:instrText>
      </w:r>
      <w:r>
        <w:rPr>
          <w:color w:val="0000FF"/>
          <w:u w:val="single"/>
        </w:rPr>
        <w:instrText xml:space="preserve"> </w:instrText>
      </w:r>
      <w:r>
        <w:rPr>
          <w:color w:val="0000FF"/>
          <w:u w:val="single"/>
        </w:rPr>
        <w:fldChar w:fldCharType="separate"/>
      </w:r>
      <w:r>
        <w:rPr>
          <w:rFonts w:hint="eastAsia"/>
          <w:color w:val="0000FF"/>
          <w:u w:val="single"/>
        </w:rPr>
        <w:t>图31-130</w:t>
      </w:r>
      <w:r>
        <w:rPr>
          <w:color w:val="0000FF"/>
          <w:u w:val="single"/>
        </w:rPr>
        <w:fldChar w:fldCharType="end"/>
      </w:r>
      <w:r>
        <w:rPr>
          <w:rFonts w:hint="eastAsia"/>
        </w:rPr>
        <w:t>所示。LDAP组详细参数如</w:t>
      </w:r>
      <w:r>
        <w:rPr>
          <w:color w:val="0000FF"/>
          <w:u w:val="single"/>
        </w:rPr>
        <w:fldChar w:fldCharType="begin"/>
      </w:r>
      <w:r>
        <w:instrText xml:space="preserve"> </w:instrText>
      </w:r>
      <w:r>
        <w:rPr>
          <w:rFonts w:hint="eastAsia"/>
        </w:rPr>
        <w:instrText xml:space="preserve">REF _Ref5640029 \r \h</w:instrText>
      </w:r>
      <w:r>
        <w:instrText xml:space="preserve"> </w:instrText>
      </w:r>
      <w:r>
        <w:rPr>
          <w:color w:val="0000FF"/>
          <w:u w:val="single"/>
        </w:rPr>
        <w:fldChar w:fldCharType="separate"/>
      </w:r>
      <w:r>
        <w:rPr>
          <w:rFonts w:hint="eastAsia"/>
        </w:rPr>
        <w:t>表31-1</w:t>
      </w:r>
      <w:r>
        <w:rPr>
          <w:color w:val="0000FF"/>
          <w:u w:val="single"/>
        </w:rPr>
        <w:fldChar w:fldCharType="end"/>
      </w:r>
      <w:r>
        <w:rPr>
          <w:rFonts w:hint="eastAsia"/>
        </w:rPr>
        <w:t>所示。</w:t>
      </w:r>
    </w:p>
    <w:p w14:paraId="52F3658B">
      <w:pPr>
        <w:pStyle w:val="188"/>
      </w:pPr>
      <w:bookmarkStart w:id="8830" w:name="_Toc141874891"/>
      <w:bookmarkStart w:id="8831" w:name="_Ref494445583"/>
      <w:r>
        <w:rPr>
          <w:rFonts w:hint="eastAsia"/>
        </w:rPr>
        <w:t>LDAP组新建界面</w:t>
      </w:r>
      <w:bookmarkEnd w:id="8830"/>
      <w:bookmarkEnd w:id="8831"/>
    </w:p>
    <w:p w14:paraId="5E8B791C">
      <w:r>
        <w:drawing>
          <wp:inline distT="0" distB="0" distL="114300" distR="114300">
            <wp:extent cx="5400040" cy="3394075"/>
            <wp:effectExtent l="0" t="0" r="0" b="0"/>
            <wp:docPr id="50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27"/>
                    <pic:cNvPicPr>
                      <a:picLocks noChangeAspect="1"/>
                    </pic:cNvPicPr>
                  </pic:nvPicPr>
                  <pic:blipFill>
                    <a:blip r:embed="rId1119"/>
                    <a:srcRect r="5792"/>
                    <a:stretch>
                      <a:fillRect/>
                    </a:stretch>
                  </pic:blipFill>
                  <pic:spPr>
                    <a:xfrm>
                      <a:off x="0" y="0"/>
                      <a:ext cx="5400040" cy="3394141"/>
                    </a:xfrm>
                    <a:prstGeom prst="rect">
                      <a:avLst/>
                    </a:prstGeom>
                    <a:noFill/>
                    <a:ln>
                      <a:noFill/>
                    </a:ln>
                  </pic:spPr>
                </pic:pic>
              </a:graphicData>
            </a:graphic>
          </wp:inline>
        </w:drawing>
      </w:r>
    </w:p>
    <w:p w14:paraId="27B20B6E"/>
    <w:p w14:paraId="746D2FC8">
      <w:pPr>
        <w:pStyle w:val="183"/>
      </w:pPr>
      <w:bookmarkStart w:id="8832" w:name="_Ref5640029"/>
      <w:bookmarkStart w:id="8833" w:name="_Toc141875598"/>
      <w:r>
        <w:rPr>
          <w:rFonts w:hint="eastAsia"/>
        </w:rPr>
        <w:t>LDAP组界面的详细说明</w:t>
      </w:r>
      <w:bookmarkEnd w:id="8832"/>
      <w:bookmarkEnd w:id="8833"/>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720"/>
        <w:gridCol w:w="6250"/>
      </w:tblGrid>
      <w:tr w14:paraId="2A44477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402" w:type="dxa"/>
            <w:tcBorders>
              <w:tl2br w:val="nil"/>
              <w:tr2bl w:val="nil"/>
            </w:tcBorders>
            <w:shd w:val="clear" w:color="auto" w:fill="538135" w:themeFill="accent6" w:themeFillShade="BF"/>
            <w:vAlign w:val="center"/>
          </w:tcPr>
          <w:p w14:paraId="1BCF0E09">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参数</w:t>
            </w:r>
          </w:p>
        </w:tc>
        <w:tc>
          <w:tcPr>
            <w:tcW w:w="5520" w:type="dxa"/>
            <w:tcBorders>
              <w:tl2br w:val="nil"/>
              <w:tr2bl w:val="nil"/>
            </w:tcBorders>
            <w:shd w:val="clear" w:color="auto" w:fill="538135" w:themeFill="accent6" w:themeFillShade="BF"/>
            <w:vAlign w:val="center"/>
          </w:tcPr>
          <w:p w14:paraId="715A24D7">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469E7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402" w:type="dxa"/>
            <w:shd w:val="clear" w:color="auto" w:fill="auto"/>
          </w:tcPr>
          <w:p w14:paraId="18756CEE">
            <w:pPr>
              <w:pStyle w:val="150"/>
            </w:pPr>
            <w:r>
              <w:rPr>
                <w:rFonts w:hint="eastAsia"/>
              </w:rPr>
              <w:t>名称</w:t>
            </w:r>
          </w:p>
        </w:tc>
        <w:tc>
          <w:tcPr>
            <w:tcW w:w="5520" w:type="dxa"/>
            <w:shd w:val="clear" w:color="auto" w:fill="auto"/>
          </w:tcPr>
          <w:p w14:paraId="6BE0A6BF">
            <w:pPr>
              <w:pStyle w:val="150"/>
            </w:pPr>
            <w:r>
              <w:rPr>
                <w:rFonts w:hint="eastAsia"/>
              </w:rPr>
              <w:t>LDAP组名称。</w:t>
            </w:r>
          </w:p>
        </w:tc>
      </w:tr>
      <w:tr w14:paraId="2257D1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402" w:type="dxa"/>
            <w:shd w:val="clear" w:color="auto" w:fill="auto"/>
          </w:tcPr>
          <w:p w14:paraId="0DEC55B1">
            <w:pPr>
              <w:pStyle w:val="150"/>
            </w:pPr>
            <w:r>
              <w:rPr>
                <w:rFonts w:hint="eastAsia"/>
              </w:rPr>
              <w:t>服务器列表</w:t>
            </w:r>
          </w:p>
        </w:tc>
        <w:tc>
          <w:tcPr>
            <w:tcW w:w="5520" w:type="dxa"/>
            <w:shd w:val="clear" w:color="auto" w:fill="auto"/>
          </w:tcPr>
          <w:p w14:paraId="3EA02FD5">
            <w:pPr>
              <w:pStyle w:val="150"/>
            </w:pPr>
            <w:r>
              <w:rPr>
                <w:rFonts w:hint="eastAsia"/>
              </w:rPr>
              <w:t>已配置的LDAP服务器名称，最多可加入5个服务器。</w:t>
            </w:r>
          </w:p>
        </w:tc>
      </w:tr>
    </w:tbl>
    <w:p w14:paraId="1E11B966"/>
    <w:p w14:paraId="29024277">
      <w:pPr>
        <w:pStyle w:val="6"/>
      </w:pPr>
      <w:bookmarkStart w:id="8834" w:name="_Toc4600647"/>
      <w:r>
        <w:t>LDAP组用法</w:t>
      </w:r>
      <w:bookmarkEnd w:id="8834"/>
    </w:p>
    <w:p w14:paraId="56BCA2D9">
      <w:r>
        <w:rPr>
          <w:rFonts w:hint="eastAsia"/>
        </w:rPr>
        <w:t>在“用户管理&gt;认证管理&gt;高级选项&gt;全局配置&gt;认证配置”处，选择LDAP组统一认证。</w:t>
      </w:r>
    </w:p>
    <w:p w14:paraId="1DC053F3">
      <w:pPr>
        <w:pStyle w:val="6"/>
      </w:pPr>
      <w:bookmarkStart w:id="8835" w:name="_Toc4600648"/>
      <w:r>
        <w:t>LDAP认证的两种方式</w:t>
      </w:r>
      <w:bookmarkEnd w:id="8835"/>
    </w:p>
    <w:p w14:paraId="76614114">
      <w:r>
        <w:rPr>
          <w:rFonts w:hint="eastAsia"/>
        </w:rPr>
        <w:t>LDAP用户认证通用名标识有两种类型分别是CN和sAMAccountName，如</w:t>
      </w:r>
      <w:r>
        <w:fldChar w:fldCharType="begin"/>
      </w:r>
      <w:r>
        <w:instrText xml:space="preserve"> </w:instrText>
      </w:r>
      <w:r>
        <w:rPr>
          <w:rFonts w:hint="eastAsia"/>
        </w:rPr>
        <w:instrText xml:space="preserve">REF _Ref5640200 \r \h</w:instrText>
      </w:r>
      <w:r>
        <w:instrText xml:space="preserve"> </w:instrText>
      </w:r>
      <w:r>
        <w:fldChar w:fldCharType="separate"/>
      </w:r>
      <w:r>
        <w:rPr>
          <w:rFonts w:hint="eastAsia"/>
        </w:rPr>
        <w:t>图31-131</w:t>
      </w:r>
      <w:r>
        <w:fldChar w:fldCharType="end"/>
      </w:r>
      <w:r>
        <w:t>所示</w:t>
      </w:r>
      <w:r>
        <w:rPr>
          <w:rFonts w:hint="eastAsia"/>
        </w:rPr>
        <w:t>。</w:t>
      </w:r>
    </w:p>
    <w:p w14:paraId="0C0A9820">
      <w:pPr>
        <w:pStyle w:val="188"/>
      </w:pPr>
      <w:bookmarkStart w:id="8836" w:name="_Ref5640200"/>
      <w:bookmarkStart w:id="8837" w:name="_Toc141874892"/>
      <w:r>
        <w:rPr>
          <w:rFonts w:hint="eastAsia"/>
        </w:rPr>
        <w:t>LDAP用户认证通用名标识类型</w:t>
      </w:r>
      <w:bookmarkEnd w:id="8836"/>
      <w:bookmarkEnd w:id="8837"/>
      <w:bookmarkStart w:id="8838" w:name="_Hlk4074916"/>
    </w:p>
    <w:bookmarkEnd w:id="8838"/>
    <w:p w14:paraId="0D7AC0D8">
      <w:r>
        <w:drawing>
          <wp:inline distT="0" distB="0" distL="0" distR="0">
            <wp:extent cx="5238750" cy="3983355"/>
            <wp:effectExtent l="0" t="0" r="0" b="0"/>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507"/>
                    <pic:cNvPicPr>
                      <a:picLocks noChangeAspect="1"/>
                    </pic:cNvPicPr>
                  </pic:nvPicPr>
                  <pic:blipFill>
                    <a:blip r:embed="rId1120"/>
                    <a:stretch>
                      <a:fillRect/>
                    </a:stretch>
                  </pic:blipFill>
                  <pic:spPr>
                    <a:xfrm>
                      <a:off x="0" y="0"/>
                      <a:ext cx="5244317" cy="3988053"/>
                    </a:xfrm>
                    <a:prstGeom prst="rect">
                      <a:avLst/>
                    </a:prstGeom>
                  </pic:spPr>
                </pic:pic>
              </a:graphicData>
            </a:graphic>
          </wp:inline>
        </w:drawing>
      </w:r>
    </w:p>
    <w:p w14:paraId="3944E14E"/>
    <w:p w14:paraId="22844814">
      <w:r>
        <w:rPr>
          <w:rFonts w:hint="eastAsia"/>
        </w:rPr>
        <w:t>CN：使用的是标识名进行认证，标识名使用CN时服务器用户配置</w:t>
      </w:r>
      <w:r>
        <w:t>如</w:t>
      </w:r>
      <w:r>
        <w:fldChar w:fldCharType="begin"/>
      </w:r>
      <w:r>
        <w:instrText xml:space="preserve"> REF _Ref5640385 \r \h </w:instrText>
      </w:r>
      <w:r>
        <w:fldChar w:fldCharType="separate"/>
      </w:r>
      <w:r>
        <w:rPr>
          <w:rFonts w:hint="eastAsia"/>
        </w:rPr>
        <w:t>图31-132</w:t>
      </w:r>
      <w:r>
        <w:fldChar w:fldCharType="end"/>
      </w:r>
      <w:r>
        <w:t>所示</w:t>
      </w:r>
      <w:r>
        <w:rPr>
          <w:rFonts w:hint="eastAsia"/>
        </w:rPr>
        <w:t>。</w:t>
      </w:r>
    </w:p>
    <w:p w14:paraId="47CDD978">
      <w:pPr>
        <w:pStyle w:val="188"/>
      </w:pPr>
      <w:bookmarkStart w:id="8839" w:name="_Ref5640385"/>
      <w:bookmarkStart w:id="8840" w:name="_Toc141874893"/>
      <w:r>
        <w:rPr>
          <w:rFonts w:hint="eastAsia"/>
        </w:rPr>
        <w:t>标识名使用CN时服务器用户配置</w:t>
      </w:r>
      <w:bookmarkEnd w:id="8839"/>
      <w:bookmarkEnd w:id="8840"/>
    </w:p>
    <w:p w14:paraId="3F1C9EE5">
      <w:r>
        <w:t xml:space="preserve"> </w:t>
      </w:r>
      <w:r>
        <w:drawing>
          <wp:inline distT="0" distB="0" distL="0" distR="0">
            <wp:extent cx="5433060" cy="3800475"/>
            <wp:effectExtent l="0" t="0" r="0" b="0"/>
            <wp:docPr id="1383" name="图片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 name="图片 1383"/>
                    <pic:cNvPicPr>
                      <a:picLocks noChangeAspect="1"/>
                    </pic:cNvPicPr>
                  </pic:nvPicPr>
                  <pic:blipFill>
                    <a:blip r:embed="rId1121"/>
                    <a:stretch>
                      <a:fillRect/>
                    </a:stretch>
                  </pic:blipFill>
                  <pic:spPr>
                    <a:xfrm>
                      <a:off x="0" y="0"/>
                      <a:ext cx="5433518" cy="3800475"/>
                    </a:xfrm>
                    <a:prstGeom prst="rect">
                      <a:avLst/>
                    </a:prstGeom>
                  </pic:spPr>
                </pic:pic>
              </a:graphicData>
            </a:graphic>
          </wp:inline>
        </w:drawing>
      </w:r>
    </w:p>
    <w:p w14:paraId="480889E9"/>
    <w:p w14:paraId="0A9F9DDE">
      <w:r>
        <w:t>sAMAccountName</w:t>
      </w:r>
      <w:r>
        <w:rPr>
          <w:rFonts w:hint="eastAsia"/>
        </w:rPr>
        <w:t>：使用的是登录名进行认证，标识名使用s</w:t>
      </w:r>
      <w:r>
        <w:t>AMAcountName</w:t>
      </w:r>
      <w:r>
        <w:rPr>
          <w:rFonts w:hint="eastAsia"/>
        </w:rPr>
        <w:t>时服务器用户配置如</w:t>
      </w:r>
      <w:r>
        <w:fldChar w:fldCharType="begin"/>
      </w:r>
      <w:r>
        <w:instrText xml:space="preserve"> </w:instrText>
      </w:r>
      <w:r>
        <w:rPr>
          <w:rFonts w:hint="eastAsia"/>
        </w:rPr>
        <w:instrText xml:space="preserve">REF _Ref5640486 \r \h</w:instrText>
      </w:r>
      <w:r>
        <w:instrText xml:space="preserve"> </w:instrText>
      </w:r>
      <w:r>
        <w:fldChar w:fldCharType="separate"/>
      </w:r>
      <w:r>
        <w:rPr>
          <w:rFonts w:hint="eastAsia"/>
        </w:rPr>
        <w:t>图31-133</w:t>
      </w:r>
      <w:r>
        <w:fldChar w:fldCharType="end"/>
      </w:r>
      <w:r>
        <w:t>所示</w:t>
      </w:r>
      <w:r>
        <w:rPr>
          <w:rFonts w:hint="eastAsia"/>
        </w:rPr>
        <w:t>。</w:t>
      </w:r>
    </w:p>
    <w:p w14:paraId="2878088B">
      <w:pPr>
        <w:pStyle w:val="188"/>
      </w:pPr>
      <w:bookmarkStart w:id="8841" w:name="_Ref5640486"/>
      <w:bookmarkStart w:id="8842" w:name="_Toc141874894"/>
      <w:r>
        <w:rPr>
          <w:rFonts w:hint="eastAsia"/>
        </w:rPr>
        <w:t>标识名使用s</w:t>
      </w:r>
      <w:r>
        <w:t>AMAcountName</w:t>
      </w:r>
      <w:r>
        <w:rPr>
          <w:rFonts w:hint="eastAsia"/>
        </w:rPr>
        <w:t>时服务器用户配置</w:t>
      </w:r>
      <w:bookmarkEnd w:id="8841"/>
      <w:bookmarkEnd w:id="8842"/>
    </w:p>
    <w:p w14:paraId="1FEC8D7F">
      <w:r>
        <w:drawing>
          <wp:inline distT="0" distB="0" distL="0" distR="0">
            <wp:extent cx="5000625" cy="3268980"/>
            <wp:effectExtent l="0" t="0" r="0" b="762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3"/>
                    <pic:cNvPicPr>
                      <a:picLocks noChangeAspect="1"/>
                    </pic:cNvPicPr>
                  </pic:nvPicPr>
                  <pic:blipFill>
                    <a:blip r:embed="rId1122"/>
                    <a:stretch>
                      <a:fillRect/>
                    </a:stretch>
                  </pic:blipFill>
                  <pic:spPr>
                    <a:xfrm>
                      <a:off x="0" y="0"/>
                      <a:ext cx="5068847" cy="3314026"/>
                    </a:xfrm>
                    <a:prstGeom prst="rect">
                      <a:avLst/>
                    </a:prstGeom>
                  </pic:spPr>
                </pic:pic>
              </a:graphicData>
            </a:graphic>
          </wp:inline>
        </w:drawing>
      </w:r>
    </w:p>
    <w:p w14:paraId="50FD022C"/>
    <w:p w14:paraId="1549454D"/>
    <w:p w14:paraId="36F4635B">
      <w:pPr>
        <w:pStyle w:val="5"/>
      </w:pPr>
      <w:bookmarkStart w:id="8843" w:name="_Toc172218309"/>
      <w:bookmarkStart w:id="8844" w:name="_Toc99561605"/>
      <w:bookmarkStart w:id="8845" w:name="_Ref99442018"/>
      <w:bookmarkStart w:id="8846" w:name="_Toc141873547"/>
      <w:bookmarkStart w:id="8847" w:name="_Toc194081193"/>
      <w:bookmarkStart w:id="8848" w:name="_Toc196728521"/>
      <w:bookmarkStart w:id="8849" w:name="_Toc40276367"/>
      <w:bookmarkStart w:id="8850" w:name="_Toc15485182"/>
      <w:bookmarkStart w:id="8851" w:name="_Toc9006653"/>
      <w:bookmarkStart w:id="8852" w:name="_Toc23152946"/>
      <w:bookmarkStart w:id="8853" w:name="_Toc142401063"/>
      <w:r>
        <w:rPr>
          <w:rFonts w:hint="eastAsia"/>
        </w:rPr>
        <w:t>配置RADIUS</w:t>
      </w:r>
      <w:bookmarkEnd w:id="8843"/>
      <w:bookmarkEnd w:id="8844"/>
      <w:bookmarkEnd w:id="8845"/>
      <w:bookmarkEnd w:id="8846"/>
      <w:bookmarkEnd w:id="8847"/>
      <w:bookmarkEnd w:id="8848"/>
      <w:bookmarkEnd w:id="8849"/>
      <w:bookmarkEnd w:id="8850"/>
      <w:bookmarkEnd w:id="8851"/>
      <w:bookmarkEnd w:id="8852"/>
      <w:bookmarkEnd w:id="8853"/>
    </w:p>
    <w:p w14:paraId="58945F5E">
      <w:pPr>
        <w:pStyle w:val="6"/>
      </w:pPr>
      <w:r>
        <w:t>配置RADIUS</w:t>
      </w:r>
      <w:r>
        <w:rPr>
          <w:rFonts w:hint="eastAsia"/>
        </w:rPr>
        <w:t>服务器</w:t>
      </w:r>
    </w:p>
    <w:p w14:paraId="4F1B73A9">
      <w:r>
        <w:rPr>
          <w:rFonts w:hint="eastAsia"/>
        </w:rPr>
        <w:t>在导航栏中选择“用户管理&gt;认证管理&gt;认证服务器”，将鼠标移至&lt;新建&gt;按钮，在下拉框中选择“</w:t>
      </w:r>
      <w:r>
        <w:t>RADIUS</w:t>
      </w:r>
      <w:r>
        <w:rPr>
          <w:rFonts w:hint="eastAsia"/>
        </w:rPr>
        <w:t>服务器”，进入</w:t>
      </w:r>
      <w:r>
        <w:t>RADIUS</w:t>
      </w:r>
      <w:r>
        <w:rPr>
          <w:rFonts w:hint="eastAsia"/>
        </w:rPr>
        <w:t>服务器的配置界面，如</w:t>
      </w:r>
      <w:r>
        <w:fldChar w:fldCharType="begin"/>
      </w:r>
      <w:r>
        <w:instrText xml:space="preserve"> </w:instrText>
      </w:r>
      <w:r>
        <w:rPr>
          <w:rFonts w:hint="eastAsia"/>
        </w:rPr>
        <w:instrText xml:space="preserve">REF _Ref5641001 \r \h</w:instrText>
      </w:r>
      <w:r>
        <w:instrText xml:space="preserve"> </w:instrText>
      </w:r>
      <w:r>
        <w:fldChar w:fldCharType="separate"/>
      </w:r>
      <w:r>
        <w:rPr>
          <w:rFonts w:hint="eastAsia"/>
        </w:rPr>
        <w:t>图31-134</w:t>
      </w:r>
      <w:r>
        <w:fldChar w:fldCharType="end"/>
      </w:r>
      <w:r>
        <w:rPr>
          <w:rFonts w:hint="eastAsia"/>
        </w:rPr>
        <w:t>所示。</w:t>
      </w:r>
      <w:r>
        <w:t>RADIUS</w:t>
      </w:r>
      <w:r>
        <w:rPr>
          <w:rFonts w:hint="eastAsia"/>
        </w:rPr>
        <w:t>服务器详细参数如</w:t>
      </w:r>
      <w:r>
        <w:rPr>
          <w:color w:val="0000FF"/>
          <w:u w:val="single"/>
        </w:rPr>
        <w:fldChar w:fldCharType="begin"/>
      </w:r>
      <w:r>
        <w:instrText xml:space="preserve"> </w:instrText>
      </w:r>
      <w:r>
        <w:rPr>
          <w:rFonts w:hint="eastAsia"/>
        </w:rPr>
        <w:instrText xml:space="preserve">REF _Ref5641025 \r \h</w:instrText>
      </w:r>
      <w:r>
        <w:instrText xml:space="preserve"> </w:instrText>
      </w:r>
      <w:r>
        <w:rPr>
          <w:color w:val="0000FF"/>
          <w:u w:val="single"/>
        </w:rPr>
        <w:fldChar w:fldCharType="separate"/>
      </w:r>
      <w:r>
        <w:rPr>
          <w:rFonts w:hint="eastAsia"/>
        </w:rPr>
        <w:t>表31-1</w:t>
      </w:r>
      <w:r>
        <w:rPr>
          <w:color w:val="0000FF"/>
          <w:u w:val="single"/>
        </w:rPr>
        <w:fldChar w:fldCharType="end"/>
      </w:r>
      <w:r>
        <w:rPr>
          <w:rFonts w:hint="eastAsia"/>
        </w:rPr>
        <w:t>所示。</w:t>
      </w:r>
    </w:p>
    <w:p w14:paraId="6B31046A">
      <w:pPr>
        <w:pStyle w:val="188"/>
      </w:pPr>
      <w:bookmarkStart w:id="8854" w:name="_Toc141874895"/>
      <w:bookmarkStart w:id="8855" w:name="_Ref5641001"/>
      <w:r>
        <w:rPr>
          <w:rFonts w:hint="eastAsia"/>
        </w:rPr>
        <w:t>RADIUS服务器配置页面</w:t>
      </w:r>
      <w:bookmarkEnd w:id="8854"/>
      <w:bookmarkEnd w:id="8855"/>
    </w:p>
    <w:p w14:paraId="52835789">
      <w:r>
        <w:drawing>
          <wp:inline distT="0" distB="0" distL="114300" distR="114300">
            <wp:extent cx="5400040" cy="3204845"/>
            <wp:effectExtent l="0" t="0" r="0" b="0"/>
            <wp:docPr id="60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图片 28"/>
                    <pic:cNvPicPr>
                      <a:picLocks noChangeAspect="1"/>
                    </pic:cNvPicPr>
                  </pic:nvPicPr>
                  <pic:blipFill>
                    <a:blip r:embed="rId1123"/>
                    <a:srcRect r="8294"/>
                    <a:stretch>
                      <a:fillRect/>
                    </a:stretch>
                  </pic:blipFill>
                  <pic:spPr>
                    <a:xfrm>
                      <a:off x="0" y="0"/>
                      <a:ext cx="5400040" cy="3205185"/>
                    </a:xfrm>
                    <a:prstGeom prst="rect">
                      <a:avLst/>
                    </a:prstGeom>
                    <a:noFill/>
                    <a:ln>
                      <a:noFill/>
                    </a:ln>
                  </pic:spPr>
                </pic:pic>
              </a:graphicData>
            </a:graphic>
          </wp:inline>
        </w:drawing>
      </w:r>
    </w:p>
    <w:p w14:paraId="13C1F485"/>
    <w:p w14:paraId="12CE4C50">
      <w:pPr>
        <w:pStyle w:val="183"/>
      </w:pPr>
      <w:bookmarkStart w:id="8856" w:name="_Toc141875599"/>
      <w:bookmarkStart w:id="8857" w:name="_Ref5641025"/>
      <w:r>
        <w:rPr>
          <w:rFonts w:hint="eastAsia"/>
        </w:rPr>
        <w:t>RADIUS服务器创建页面详细说明</w:t>
      </w:r>
      <w:bookmarkEnd w:id="8856"/>
      <w:bookmarkEnd w:id="8857"/>
    </w:p>
    <w:tbl>
      <w:tblPr>
        <w:tblStyle w:val="173"/>
        <w:tblW w:w="500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253"/>
        <w:gridCol w:w="6989"/>
      </w:tblGrid>
      <w:tr w14:paraId="03FB723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19" w:type="pct"/>
            <w:tcBorders>
              <w:tl2br w:val="nil"/>
              <w:tr2bl w:val="nil"/>
            </w:tcBorders>
            <w:shd w:val="clear" w:color="auto" w:fill="538135" w:themeFill="accent6" w:themeFillShade="BF"/>
            <w:vAlign w:val="center"/>
          </w:tcPr>
          <w:p w14:paraId="0F52632B">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3781" w:type="pct"/>
            <w:tcBorders>
              <w:tl2br w:val="nil"/>
              <w:tr2bl w:val="nil"/>
            </w:tcBorders>
            <w:shd w:val="clear" w:color="auto" w:fill="538135" w:themeFill="accent6" w:themeFillShade="BF"/>
            <w:vAlign w:val="center"/>
          </w:tcPr>
          <w:p w14:paraId="66B334BF">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753116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19" w:type="pct"/>
            <w:shd w:val="clear" w:color="auto" w:fill="auto"/>
          </w:tcPr>
          <w:p w14:paraId="60592787">
            <w:pPr>
              <w:pStyle w:val="150"/>
            </w:pPr>
            <w:r>
              <w:rPr>
                <w:rFonts w:hint="eastAsia"/>
              </w:rPr>
              <w:t>服务器名称</w:t>
            </w:r>
          </w:p>
        </w:tc>
        <w:tc>
          <w:tcPr>
            <w:tcW w:w="3781" w:type="pct"/>
            <w:shd w:val="clear" w:color="auto" w:fill="auto"/>
          </w:tcPr>
          <w:p w14:paraId="574E62CC">
            <w:pPr>
              <w:pStyle w:val="150"/>
            </w:pPr>
            <w:r>
              <w:rPr>
                <w:rFonts w:hint="eastAsia"/>
              </w:rPr>
              <w:t>RADIUS服务器名称。</w:t>
            </w:r>
          </w:p>
        </w:tc>
      </w:tr>
      <w:tr w14:paraId="10F54E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19" w:type="pct"/>
            <w:shd w:val="clear" w:color="auto" w:fill="auto"/>
          </w:tcPr>
          <w:p w14:paraId="7739505D">
            <w:pPr>
              <w:pStyle w:val="150"/>
            </w:pPr>
            <w:r>
              <w:rPr>
                <w:rFonts w:hint="eastAsia"/>
              </w:rPr>
              <w:t>服务器地址</w:t>
            </w:r>
          </w:p>
        </w:tc>
        <w:tc>
          <w:tcPr>
            <w:tcW w:w="3781" w:type="pct"/>
            <w:shd w:val="clear" w:color="auto" w:fill="auto"/>
          </w:tcPr>
          <w:p w14:paraId="6CCD0993">
            <w:pPr>
              <w:pStyle w:val="150"/>
            </w:pPr>
            <w:r>
              <w:rPr>
                <w:rFonts w:hint="eastAsia"/>
              </w:rPr>
              <w:t>RADIUS服务器地址。</w:t>
            </w:r>
          </w:p>
        </w:tc>
      </w:tr>
      <w:tr w14:paraId="66CE809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19" w:type="pct"/>
            <w:shd w:val="clear" w:color="auto" w:fill="auto"/>
          </w:tcPr>
          <w:p w14:paraId="2DC22578">
            <w:pPr>
              <w:pStyle w:val="150"/>
            </w:pPr>
            <w:r>
              <w:rPr>
                <w:rFonts w:hint="eastAsia"/>
              </w:rPr>
              <w:t>服务器密码</w:t>
            </w:r>
          </w:p>
        </w:tc>
        <w:tc>
          <w:tcPr>
            <w:tcW w:w="3781" w:type="pct"/>
            <w:shd w:val="clear" w:color="auto" w:fill="auto"/>
          </w:tcPr>
          <w:p w14:paraId="0C244743">
            <w:pPr>
              <w:pStyle w:val="150"/>
            </w:pPr>
            <w:r>
              <w:rPr>
                <w:rFonts w:hint="eastAsia"/>
              </w:rPr>
              <w:t>RADIUS服务器密码。</w:t>
            </w:r>
          </w:p>
        </w:tc>
      </w:tr>
      <w:tr w14:paraId="5891B9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20" w:hRule="atLeast"/>
        </w:trPr>
        <w:tc>
          <w:tcPr>
            <w:tcW w:w="1219" w:type="pct"/>
            <w:shd w:val="clear" w:color="auto" w:fill="auto"/>
          </w:tcPr>
          <w:p w14:paraId="1B2759D3">
            <w:pPr>
              <w:pStyle w:val="150"/>
            </w:pPr>
            <w:r>
              <w:rPr>
                <w:rFonts w:hint="eastAsia"/>
              </w:rPr>
              <w:t>端口</w:t>
            </w:r>
          </w:p>
        </w:tc>
        <w:tc>
          <w:tcPr>
            <w:tcW w:w="3781" w:type="pct"/>
            <w:shd w:val="clear" w:color="auto" w:fill="auto"/>
          </w:tcPr>
          <w:p w14:paraId="4FADC5FF">
            <w:pPr>
              <w:pStyle w:val="150"/>
            </w:pPr>
            <w:r>
              <w:rPr>
                <w:rFonts w:hint="eastAsia"/>
              </w:rPr>
              <w:t>RADIUS服务器端口，缺省为1812。</w:t>
            </w:r>
          </w:p>
        </w:tc>
      </w:tr>
      <w:tr w14:paraId="42D2A3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19" w:type="pct"/>
            <w:shd w:val="clear" w:color="auto" w:fill="auto"/>
          </w:tcPr>
          <w:p w14:paraId="69818DBC">
            <w:pPr>
              <w:pStyle w:val="150"/>
            </w:pPr>
            <w:r>
              <w:rPr>
                <w:rFonts w:hint="eastAsia"/>
              </w:rPr>
              <w:t>认证方式</w:t>
            </w:r>
          </w:p>
        </w:tc>
        <w:tc>
          <w:tcPr>
            <w:tcW w:w="3781" w:type="pct"/>
            <w:shd w:val="clear" w:color="auto" w:fill="auto"/>
          </w:tcPr>
          <w:p w14:paraId="2A275AC9">
            <w:pPr>
              <w:pStyle w:val="150"/>
            </w:pPr>
            <w:r>
              <w:rPr>
                <w:rFonts w:hint="eastAsia"/>
              </w:rPr>
              <w:t>可以选择pap或chap两种认证方式，chap比pap认证方式更安全，建议选择chap。</w:t>
            </w:r>
          </w:p>
        </w:tc>
      </w:tr>
      <w:tr w14:paraId="207C5E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19" w:type="pct"/>
            <w:shd w:val="clear" w:color="auto" w:fill="auto"/>
          </w:tcPr>
          <w:p w14:paraId="25DD9803">
            <w:pPr>
              <w:pStyle w:val="150"/>
            </w:pPr>
            <w:r>
              <w:rPr>
                <w:rFonts w:hint="eastAsia"/>
              </w:rPr>
              <w:t>测试有效性</w:t>
            </w:r>
          </w:p>
        </w:tc>
        <w:tc>
          <w:tcPr>
            <w:tcW w:w="3781" w:type="pct"/>
            <w:shd w:val="clear" w:color="auto" w:fill="auto"/>
          </w:tcPr>
          <w:p w14:paraId="411D6A1B">
            <w:pPr>
              <w:pStyle w:val="150"/>
            </w:pPr>
            <w:r>
              <w:rPr>
                <w:rFonts w:hint="eastAsia"/>
              </w:rPr>
              <w:t>点击&lt;测试有效性&gt;测试目标RADIUS服务器是否可用。</w:t>
            </w:r>
          </w:p>
        </w:tc>
      </w:tr>
    </w:tbl>
    <w:p w14:paraId="5E3F8CE2"/>
    <w:p w14:paraId="470C9BA8">
      <w:r>
        <w:rPr>
          <w:rFonts w:hint="eastAsia"/>
        </w:rPr>
        <w:t>输入完毕后，点击</w:t>
      </w:r>
      <w:r>
        <w:t>&lt;</w:t>
      </w:r>
      <w:r>
        <w:rPr>
          <w:rFonts w:hint="eastAsia"/>
        </w:rPr>
        <w:t>提交</w:t>
      </w:r>
      <w:r>
        <w:t>&gt;</w:t>
      </w:r>
      <w:r>
        <w:rPr>
          <w:rFonts w:hint="eastAsia"/>
        </w:rPr>
        <w:t>按钮，应用配置。</w:t>
      </w:r>
    </w:p>
    <w:p w14:paraId="49BC68E7">
      <w:r>
        <w:rPr>
          <w:rFonts w:hint="eastAsia"/>
        </w:rPr>
        <w:t>在认证服务器显示页面，选中</w:t>
      </w:r>
      <w:r>
        <w:t>RADIUS</w:t>
      </w:r>
      <w:r>
        <w:rPr>
          <w:rFonts w:hint="eastAsia"/>
        </w:rPr>
        <w:t>服务器后，点击页面上上方的</w:t>
      </w:r>
      <w:r>
        <w:t>&lt;</w:t>
      </w:r>
      <w:r>
        <w:rPr>
          <w:rFonts w:hint="eastAsia"/>
        </w:rPr>
        <w:t>删除</w:t>
      </w:r>
      <w:r>
        <w:t>&gt;</w:t>
      </w:r>
      <w:r>
        <w:rPr>
          <w:rFonts w:hint="eastAsia"/>
        </w:rPr>
        <w:t>按钮，或者点击对应</w:t>
      </w:r>
      <w:r>
        <w:t>RADIUS</w:t>
      </w:r>
      <w:r>
        <w:rPr>
          <w:rFonts w:hint="eastAsia"/>
        </w:rPr>
        <w:t>服务器的</w:t>
      </w:r>
      <w:r>
        <w:t>&lt;</w:t>
      </w:r>
      <w:r>
        <w:rPr>
          <w:rFonts w:hint="eastAsia"/>
        </w:rPr>
        <w:t>删除</w:t>
      </w:r>
      <w:r>
        <w:t>&gt;</w:t>
      </w:r>
      <w:r>
        <w:rPr>
          <w:rFonts w:hint="eastAsia"/>
        </w:rPr>
        <w:t>按钮，如</w:t>
      </w:r>
      <w:r>
        <w:rPr>
          <w:color w:val="0000FF"/>
          <w:u w:val="single"/>
        </w:rPr>
        <w:fldChar w:fldCharType="begin"/>
      </w:r>
      <w:r>
        <w:instrText xml:space="preserve"> </w:instrText>
      </w:r>
      <w:r>
        <w:rPr>
          <w:rFonts w:hint="eastAsia"/>
        </w:rPr>
        <w:instrText xml:space="preserve">REF _Ref5641282 \r \h</w:instrText>
      </w:r>
      <w:r>
        <w:instrText xml:space="preserve"> </w:instrText>
      </w:r>
      <w:r>
        <w:rPr>
          <w:color w:val="0000FF"/>
          <w:u w:val="single"/>
        </w:rPr>
        <w:fldChar w:fldCharType="separate"/>
      </w:r>
      <w:r>
        <w:rPr>
          <w:rFonts w:hint="eastAsia"/>
        </w:rPr>
        <w:t>图31-135</w:t>
      </w:r>
      <w:r>
        <w:rPr>
          <w:color w:val="0000FF"/>
          <w:u w:val="single"/>
        </w:rPr>
        <w:fldChar w:fldCharType="end"/>
      </w:r>
      <w:r>
        <w:rPr>
          <w:rFonts w:hint="eastAsia"/>
        </w:rPr>
        <w:t>所示，可以删除对应的</w:t>
      </w:r>
      <w:r>
        <w:t>RADIUS</w:t>
      </w:r>
      <w:r>
        <w:rPr>
          <w:rFonts w:hint="eastAsia"/>
        </w:rPr>
        <w:t>服务器。</w:t>
      </w:r>
    </w:p>
    <w:p w14:paraId="5C113CD5">
      <w:pPr>
        <w:pStyle w:val="188"/>
      </w:pPr>
      <w:bookmarkStart w:id="8858" w:name="_Toc141874896"/>
      <w:bookmarkStart w:id="8859" w:name="_Ref5641282"/>
      <w:r>
        <w:t>删除</w:t>
      </w:r>
      <w:r>
        <w:rPr>
          <w:rFonts w:hint="eastAsia"/>
        </w:rPr>
        <w:t>RADIUS服务器</w:t>
      </w:r>
      <w:bookmarkEnd w:id="8858"/>
      <w:bookmarkEnd w:id="8859"/>
    </w:p>
    <w:p w14:paraId="1C57AC32">
      <w:r>
        <w:drawing>
          <wp:inline distT="0" distB="0" distL="0" distR="0">
            <wp:extent cx="5629275" cy="1009015"/>
            <wp:effectExtent l="0" t="0" r="0" b="635"/>
            <wp:docPr id="1385" name="图片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 name="图片 1385"/>
                    <pic:cNvPicPr>
                      <a:picLocks noChangeAspect="1"/>
                    </pic:cNvPicPr>
                  </pic:nvPicPr>
                  <pic:blipFill>
                    <a:blip r:embed="rId1124"/>
                    <a:stretch>
                      <a:fillRect/>
                    </a:stretch>
                  </pic:blipFill>
                  <pic:spPr>
                    <a:xfrm>
                      <a:off x="0" y="0"/>
                      <a:ext cx="5650135" cy="1012910"/>
                    </a:xfrm>
                    <a:prstGeom prst="rect">
                      <a:avLst/>
                    </a:prstGeom>
                  </pic:spPr>
                </pic:pic>
              </a:graphicData>
            </a:graphic>
          </wp:inline>
        </w:drawing>
      </w:r>
    </w:p>
    <w:p w14:paraId="6A75B475"/>
    <w:p w14:paraId="4098D27B">
      <w:pPr>
        <w:pStyle w:val="6"/>
      </w:pPr>
      <w:r>
        <w:rPr>
          <w:rFonts w:hint="eastAsia"/>
        </w:rPr>
        <w:t>RADIUS组配置</w:t>
      </w:r>
    </w:p>
    <w:p w14:paraId="41CF9AB1">
      <w:r>
        <w:rPr>
          <w:rFonts w:hint="eastAsia"/>
        </w:rPr>
        <w:t>在导航栏中选择“用户管理&gt;认证管理&gt;认证服务器&gt;服务器组”，将鼠标移至&lt;新建&gt;按钮，在下拉框中选择“</w:t>
      </w:r>
      <w:r>
        <w:t>RADIUS</w:t>
      </w:r>
      <w:r>
        <w:rPr>
          <w:rFonts w:hint="eastAsia"/>
        </w:rPr>
        <w:t>组”，进入</w:t>
      </w:r>
      <w:r>
        <w:t>RADIUS</w:t>
      </w:r>
      <w:r>
        <w:rPr>
          <w:rFonts w:hint="eastAsia"/>
        </w:rPr>
        <w:t>组配置界面，如</w:t>
      </w:r>
      <w:r>
        <w:rPr>
          <w:color w:val="0000FF"/>
          <w:u w:val="single"/>
        </w:rPr>
        <w:fldChar w:fldCharType="begin"/>
      </w:r>
      <w:r>
        <w:instrText xml:space="preserve"> </w:instrText>
      </w:r>
      <w:r>
        <w:rPr>
          <w:rFonts w:hint="eastAsia"/>
        </w:rPr>
        <w:instrText xml:space="preserve">REF _Ref5641555 \r \h</w:instrText>
      </w:r>
      <w:r>
        <w:instrText xml:space="preserve"> </w:instrText>
      </w:r>
      <w:r>
        <w:rPr>
          <w:color w:val="0000FF"/>
          <w:u w:val="single"/>
        </w:rPr>
        <w:fldChar w:fldCharType="separate"/>
      </w:r>
      <w:r>
        <w:rPr>
          <w:rFonts w:hint="eastAsia"/>
        </w:rPr>
        <w:t>图31-136</w:t>
      </w:r>
      <w:r>
        <w:rPr>
          <w:color w:val="0000FF"/>
          <w:u w:val="single"/>
        </w:rPr>
        <w:fldChar w:fldCharType="end"/>
      </w:r>
      <w:r>
        <w:rPr>
          <w:rFonts w:hint="eastAsia"/>
        </w:rPr>
        <w:t>所示。</w:t>
      </w:r>
      <w:r>
        <w:t>RADIUS</w:t>
      </w:r>
      <w:r>
        <w:rPr>
          <w:rFonts w:hint="eastAsia"/>
        </w:rPr>
        <w:t>组详细参数如</w:t>
      </w:r>
      <w:r>
        <w:rPr>
          <w:color w:val="0000FF"/>
          <w:u w:val="single"/>
        </w:rPr>
        <w:fldChar w:fldCharType="begin"/>
      </w:r>
      <w:r>
        <w:instrText xml:space="preserve"> </w:instrText>
      </w:r>
      <w:r>
        <w:rPr>
          <w:rFonts w:hint="eastAsia"/>
        </w:rPr>
        <w:instrText xml:space="preserve">REF _Ref5641570 \r \h</w:instrText>
      </w:r>
      <w:r>
        <w:instrText xml:space="preserve"> </w:instrText>
      </w:r>
      <w:r>
        <w:rPr>
          <w:color w:val="0000FF"/>
          <w:u w:val="single"/>
        </w:rPr>
        <w:fldChar w:fldCharType="separate"/>
      </w:r>
      <w:r>
        <w:rPr>
          <w:rFonts w:hint="eastAsia"/>
        </w:rPr>
        <w:t>表31-1</w:t>
      </w:r>
      <w:r>
        <w:rPr>
          <w:color w:val="0000FF"/>
          <w:u w:val="single"/>
        </w:rPr>
        <w:fldChar w:fldCharType="end"/>
      </w:r>
      <w:r>
        <w:rPr>
          <w:rFonts w:hint="eastAsia"/>
        </w:rPr>
        <w:t>所示。</w:t>
      </w:r>
    </w:p>
    <w:p w14:paraId="546E4241">
      <w:pPr>
        <w:pStyle w:val="188"/>
      </w:pPr>
      <w:bookmarkStart w:id="8860" w:name="_Ref5641555"/>
      <w:bookmarkStart w:id="8861" w:name="_Toc141874897"/>
      <w:r>
        <w:rPr>
          <w:rFonts w:hint="eastAsia"/>
        </w:rPr>
        <w:t>RADIUS服务器组配置页面</w:t>
      </w:r>
      <w:bookmarkEnd w:id="8860"/>
      <w:bookmarkEnd w:id="8861"/>
    </w:p>
    <w:p w14:paraId="24F09C2B">
      <w:r>
        <w:drawing>
          <wp:inline distT="0" distB="0" distL="114300" distR="114300">
            <wp:extent cx="5400040" cy="3282950"/>
            <wp:effectExtent l="0" t="0" r="0" b="0"/>
            <wp:docPr id="60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图片 29"/>
                    <pic:cNvPicPr>
                      <a:picLocks noChangeAspect="1"/>
                    </pic:cNvPicPr>
                  </pic:nvPicPr>
                  <pic:blipFill>
                    <a:blip r:embed="rId1125"/>
                    <a:stretch>
                      <a:fillRect/>
                    </a:stretch>
                  </pic:blipFill>
                  <pic:spPr>
                    <a:xfrm>
                      <a:off x="0" y="0"/>
                      <a:ext cx="5400040" cy="3283202"/>
                    </a:xfrm>
                    <a:prstGeom prst="rect">
                      <a:avLst/>
                    </a:prstGeom>
                    <a:noFill/>
                    <a:ln>
                      <a:noFill/>
                    </a:ln>
                  </pic:spPr>
                </pic:pic>
              </a:graphicData>
            </a:graphic>
          </wp:inline>
        </w:drawing>
      </w:r>
    </w:p>
    <w:p w14:paraId="3DA3EE52"/>
    <w:p w14:paraId="54FA8B51">
      <w:pPr>
        <w:pStyle w:val="183"/>
      </w:pPr>
      <w:bookmarkStart w:id="8862" w:name="_Toc141875600"/>
      <w:bookmarkStart w:id="8863" w:name="_Ref5641570"/>
      <w:r>
        <w:rPr>
          <w:rFonts w:hint="eastAsia"/>
        </w:rPr>
        <w:t>RADIUS服务器组创建页面详细说明</w:t>
      </w:r>
      <w:bookmarkEnd w:id="8862"/>
      <w:bookmarkEnd w:id="8863"/>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7CDB2D0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2ABF7FDD">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7" w:type="dxa"/>
            <w:tcBorders>
              <w:tl2br w:val="nil"/>
              <w:tr2bl w:val="nil"/>
            </w:tcBorders>
            <w:shd w:val="clear" w:color="auto" w:fill="538135" w:themeFill="accent6" w:themeFillShade="BF"/>
            <w:vAlign w:val="center"/>
          </w:tcPr>
          <w:p w14:paraId="0F99082C">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D487B8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7F5AD2A8">
            <w:pPr>
              <w:pStyle w:val="150"/>
            </w:pPr>
            <w:r>
              <w:rPr>
                <w:rFonts w:hint="eastAsia"/>
              </w:rPr>
              <w:t>名称</w:t>
            </w:r>
          </w:p>
        </w:tc>
        <w:tc>
          <w:tcPr>
            <w:tcW w:w="6817" w:type="dxa"/>
            <w:shd w:val="clear" w:color="auto" w:fill="auto"/>
          </w:tcPr>
          <w:p w14:paraId="5A507FED">
            <w:pPr>
              <w:pStyle w:val="150"/>
            </w:pPr>
            <w:r>
              <w:rPr>
                <w:rFonts w:hint="eastAsia"/>
              </w:rPr>
              <w:t>RADIUS服务器组名称。</w:t>
            </w:r>
          </w:p>
        </w:tc>
      </w:tr>
      <w:tr w14:paraId="65ACB1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0B8522C">
            <w:pPr>
              <w:pStyle w:val="150"/>
            </w:pPr>
            <w:r>
              <w:rPr>
                <w:rFonts w:hint="eastAsia"/>
              </w:rPr>
              <w:t>服务器列表</w:t>
            </w:r>
          </w:p>
        </w:tc>
        <w:tc>
          <w:tcPr>
            <w:tcW w:w="6817" w:type="dxa"/>
            <w:shd w:val="clear" w:color="auto" w:fill="auto"/>
          </w:tcPr>
          <w:p w14:paraId="7A35312E">
            <w:pPr>
              <w:pStyle w:val="150"/>
            </w:pPr>
            <w:r>
              <w:rPr>
                <w:rFonts w:hint="eastAsia"/>
              </w:rPr>
              <w:t>已经配置的RADIUS服务器列表。</w:t>
            </w:r>
          </w:p>
        </w:tc>
      </w:tr>
    </w:tbl>
    <w:p w14:paraId="2D299012"/>
    <w:p w14:paraId="2E88C1EE">
      <w:r>
        <w:rPr>
          <w:rFonts w:hint="eastAsia"/>
        </w:rPr>
        <w:t>选中左边的服务器列表中的服务器，点击</w:t>
      </w:r>
      <w:r>
        <w:t>&lt;</w:t>
      </w:r>
      <w:r>
        <w:rPr>
          <w:rFonts w:hint="eastAsia"/>
        </w:rPr>
        <w:t>添加</w:t>
      </w:r>
      <w:r>
        <w:t>&gt;</w:t>
      </w:r>
      <w:r>
        <w:rPr>
          <w:rFonts w:hint="eastAsia"/>
        </w:rPr>
        <w:t>按钮，可以将选中服务器添加到服务器组中。</w:t>
      </w:r>
    </w:p>
    <w:p w14:paraId="4F849490">
      <w:r>
        <w:rPr>
          <w:rFonts w:hint="eastAsia"/>
        </w:rPr>
        <w:t>选中右边的服务器列表中的服务器，点击</w:t>
      </w:r>
      <w:r>
        <w:t>&lt;</w:t>
      </w:r>
      <w:r>
        <w:rPr>
          <w:rFonts w:hint="eastAsia"/>
        </w:rPr>
        <w:t>删除</w:t>
      </w:r>
      <w:r>
        <w:t>&gt;</w:t>
      </w:r>
      <w:r>
        <w:rPr>
          <w:rFonts w:hint="eastAsia"/>
        </w:rPr>
        <w:t>按钮，可以将选中服务器从服务器组中删除。</w:t>
      </w:r>
    </w:p>
    <w:p w14:paraId="2C442EA2">
      <w:r>
        <w:rPr>
          <w:rFonts w:hint="eastAsia"/>
        </w:rPr>
        <w:t>输入完毕后，点击</w:t>
      </w:r>
      <w:r>
        <w:t>&lt;</w:t>
      </w:r>
      <w:r>
        <w:rPr>
          <w:rFonts w:hint="eastAsia"/>
        </w:rPr>
        <w:t>提交</w:t>
      </w:r>
      <w:r>
        <w:t>&gt;</w:t>
      </w:r>
      <w:r>
        <w:rPr>
          <w:rFonts w:hint="eastAsia"/>
        </w:rPr>
        <w:t>按钮，应用配置。</w:t>
      </w:r>
    </w:p>
    <w:p w14:paraId="4EBDB9EB">
      <w:r>
        <w:rPr>
          <w:rFonts w:hint="eastAsia"/>
        </w:rPr>
        <w:t>在</w:t>
      </w:r>
      <w:r>
        <w:t>RADIUS</w:t>
      </w:r>
      <w:r>
        <w:rPr>
          <w:rFonts w:hint="eastAsia"/>
        </w:rPr>
        <w:t>服务器组显示页面，点击对应</w:t>
      </w:r>
      <w:r>
        <w:t>RADIUS</w:t>
      </w:r>
      <w:r>
        <w:rPr>
          <w:rFonts w:hint="eastAsia"/>
        </w:rPr>
        <w:t>服务器组的</w:t>
      </w:r>
      <w:r>
        <w:t>&lt;</w:t>
      </w:r>
      <w:r>
        <w:rPr>
          <w:rFonts w:hint="eastAsia"/>
        </w:rPr>
        <w:t>删除</w:t>
      </w:r>
      <w:r>
        <w:t>&gt;</w:t>
      </w:r>
      <w:r>
        <w:rPr>
          <w:rFonts w:hint="eastAsia"/>
        </w:rPr>
        <w:t>按钮，可以删除对应的</w:t>
      </w:r>
      <w:r>
        <w:t>RADIUS</w:t>
      </w:r>
      <w:r>
        <w:rPr>
          <w:rFonts w:hint="eastAsia"/>
        </w:rPr>
        <w:t>服务器。</w:t>
      </w:r>
    </w:p>
    <w:p w14:paraId="5F9247A2">
      <w:pPr>
        <w:pStyle w:val="5"/>
      </w:pPr>
      <w:bookmarkStart w:id="8864" w:name="_Toc196728522"/>
      <w:bookmarkStart w:id="8865" w:name="_Toc172218310"/>
      <w:bookmarkStart w:id="8866" w:name="_Toc141873548"/>
      <w:bookmarkStart w:id="8867" w:name="_Toc99561606"/>
      <w:bookmarkStart w:id="8868" w:name="_Toc142401064"/>
      <w:bookmarkStart w:id="8869" w:name="_Toc194081194"/>
      <w:bookmarkStart w:id="8870" w:name="_Ref72946503"/>
      <w:bookmarkStart w:id="8871" w:name="_Ref72946496"/>
      <w:bookmarkStart w:id="8872" w:name="_Toc61022661"/>
      <w:bookmarkStart w:id="8873" w:name="_Toc60069183"/>
      <w:r>
        <w:rPr>
          <w:rFonts w:hint="eastAsia"/>
        </w:rPr>
        <w:t>配置POP</w:t>
      </w:r>
      <w:r>
        <w:t>3服务器</w:t>
      </w:r>
      <w:bookmarkEnd w:id="8864"/>
      <w:bookmarkEnd w:id="8865"/>
      <w:bookmarkEnd w:id="8866"/>
      <w:bookmarkEnd w:id="8867"/>
      <w:bookmarkEnd w:id="8868"/>
      <w:bookmarkEnd w:id="8869"/>
      <w:bookmarkEnd w:id="8870"/>
      <w:bookmarkEnd w:id="8871"/>
      <w:bookmarkEnd w:id="8872"/>
      <w:bookmarkEnd w:id="8873"/>
    </w:p>
    <w:p w14:paraId="09D2F4D6">
      <w:r>
        <w:t>在导航栏中选择</w:t>
      </w:r>
      <w:r>
        <w:rPr>
          <w:rFonts w:hint="eastAsia"/>
        </w:rPr>
        <w:t>“</w:t>
      </w:r>
      <w:r>
        <w:t>用户管理 &gt; 认证管理 &gt; 认证服务器 &gt; 认证服务器</w:t>
      </w:r>
      <w:r>
        <w:rPr>
          <w:rFonts w:hint="eastAsia"/>
        </w:rPr>
        <w:t>”</w:t>
      </w:r>
      <w:r>
        <w:t>，进入认证服务器界面。将鼠标移至</w:t>
      </w:r>
      <w:r>
        <w:rPr>
          <w:rFonts w:hint="eastAsia"/>
        </w:rPr>
        <w:t>“</w:t>
      </w:r>
      <w:r>
        <w:t>新建</w:t>
      </w:r>
      <w:r>
        <w:rPr>
          <w:rFonts w:hint="eastAsia"/>
        </w:rPr>
        <w:t>”</w:t>
      </w:r>
      <w:r>
        <w:t>按钮，在下拉框中选择</w:t>
      </w:r>
      <w:r>
        <w:rPr>
          <w:rFonts w:hint="eastAsia"/>
        </w:rPr>
        <w:t>“</w:t>
      </w:r>
      <w:r>
        <w:t>POP3服务器</w:t>
      </w:r>
      <w:r>
        <w:rPr>
          <w:rFonts w:hint="eastAsia"/>
        </w:rPr>
        <w:t>”</w:t>
      </w:r>
      <w:r>
        <w:t>，进入POP3服务器的配置界面，如</w:t>
      </w:r>
      <w:r>
        <w:fldChar w:fldCharType="begin"/>
      </w:r>
      <w:r>
        <w:instrText xml:space="preserve">REF _ref37959075 \r \h</w:instrText>
      </w:r>
      <w:r>
        <w:fldChar w:fldCharType="separate"/>
      </w:r>
      <w:r>
        <w:rPr>
          <w:rFonts w:hint="eastAsia"/>
        </w:rPr>
        <w:t>图31-137</w:t>
      </w:r>
      <w:r>
        <w:fldChar w:fldCharType="end"/>
      </w:r>
      <w:r>
        <w:t>所示。POP3服务器详细参数如</w:t>
      </w:r>
      <w:r>
        <w:fldChar w:fldCharType="begin"/>
      </w:r>
      <w:r>
        <w:instrText xml:space="preserve">REF _table38513715 \r \h</w:instrText>
      </w:r>
      <w:r>
        <w:fldChar w:fldCharType="separate"/>
      </w:r>
      <w:r>
        <w:rPr>
          <w:rFonts w:hint="eastAsia"/>
        </w:rPr>
        <w:t>表31-1</w:t>
      </w:r>
      <w:r>
        <w:fldChar w:fldCharType="end"/>
      </w:r>
      <w:r>
        <w:t>所示。</w:t>
      </w:r>
    </w:p>
    <w:p w14:paraId="7D076731">
      <w:pPr>
        <w:pStyle w:val="188"/>
      </w:pPr>
      <w:bookmarkStart w:id="8874" w:name="_ref37959075"/>
      <w:bookmarkEnd w:id="8874"/>
      <w:bookmarkStart w:id="8875" w:name="_Toc141874898"/>
      <w:r>
        <w:t>POP3服务器配置界面</w:t>
      </w:r>
      <w:bookmarkEnd w:id="8875"/>
    </w:p>
    <w:p w14:paraId="200EBE82">
      <w:r>
        <w:drawing>
          <wp:inline distT="0" distB="0" distL="114300" distR="114300">
            <wp:extent cx="5400040" cy="3089275"/>
            <wp:effectExtent l="0" t="0" r="0" b="0"/>
            <wp:docPr id="60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图片 30"/>
                    <pic:cNvPicPr>
                      <a:picLocks noChangeAspect="1"/>
                    </pic:cNvPicPr>
                  </pic:nvPicPr>
                  <pic:blipFill>
                    <a:blip r:embed="rId1126"/>
                    <a:stretch>
                      <a:fillRect/>
                    </a:stretch>
                  </pic:blipFill>
                  <pic:spPr>
                    <a:xfrm>
                      <a:off x="0" y="0"/>
                      <a:ext cx="5400040" cy="3089901"/>
                    </a:xfrm>
                    <a:prstGeom prst="rect">
                      <a:avLst/>
                    </a:prstGeom>
                    <a:noFill/>
                    <a:ln>
                      <a:noFill/>
                    </a:ln>
                  </pic:spPr>
                </pic:pic>
              </a:graphicData>
            </a:graphic>
          </wp:inline>
        </w:drawing>
      </w:r>
    </w:p>
    <w:p w14:paraId="70AF56DE">
      <w:pPr>
        <w:pStyle w:val="183"/>
      </w:pPr>
      <w:bookmarkStart w:id="8876" w:name="_table38513715"/>
      <w:bookmarkEnd w:id="8876"/>
      <w:bookmarkStart w:id="8877" w:name="_Toc141875601"/>
      <w:r>
        <w:t>POP3服务器界面的详细说明</w:t>
      </w:r>
      <w:bookmarkEnd w:id="8877"/>
    </w:p>
    <w:tbl>
      <w:tblPr>
        <w:tblStyle w:val="173"/>
        <w:tblW w:w="500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863"/>
        <w:gridCol w:w="7379"/>
      </w:tblGrid>
      <w:tr w14:paraId="2B167F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08" w:type="pct"/>
            <w:tcBorders>
              <w:tl2br w:val="nil"/>
              <w:tr2bl w:val="nil"/>
            </w:tcBorders>
            <w:shd w:val="clear" w:color="auto" w:fill="538135" w:themeFill="accent6" w:themeFillShade="BF"/>
            <w:vAlign w:val="center"/>
          </w:tcPr>
          <w:p w14:paraId="11A47418">
            <w:pPr>
              <w:pStyle w:val="150"/>
              <w:wordWrap/>
              <w:rPr>
                <w:b/>
                <w:bCs w:val="0"/>
                <w:i w:val="0"/>
                <w:iCs w:val="0"/>
                <w:color w:val="FFFFFF" w:themeColor="background1"/>
                <w14:textFill>
                  <w14:solidFill>
                    <w14:schemeClr w14:val="bg1"/>
                  </w14:solidFill>
                </w14:textFill>
              </w:rPr>
            </w:pPr>
            <w:r>
              <w:rPr>
                <w:b w:val="0"/>
                <w:bCs w:val="0"/>
                <w:i w:val="0"/>
                <w:iCs w:val="0"/>
                <w:color w:val="FFFFFF" w:themeColor="background1"/>
                <w14:textFill>
                  <w14:solidFill>
                    <w14:schemeClr w14:val="bg1"/>
                  </w14:solidFill>
                </w14:textFill>
              </w:rPr>
              <w:t>参数</w:t>
            </w:r>
          </w:p>
        </w:tc>
        <w:tc>
          <w:tcPr>
            <w:tcW w:w="3992" w:type="pct"/>
            <w:tcBorders>
              <w:tl2br w:val="nil"/>
              <w:tr2bl w:val="nil"/>
            </w:tcBorders>
            <w:shd w:val="clear" w:color="auto" w:fill="538135" w:themeFill="accent6" w:themeFillShade="BF"/>
            <w:vAlign w:val="center"/>
          </w:tcPr>
          <w:p w14:paraId="6D06707E">
            <w:pPr>
              <w:pStyle w:val="150"/>
              <w:wordWrap/>
              <w:rPr>
                <w:b/>
                <w:bCs w:val="0"/>
                <w:i w:val="0"/>
                <w:iCs w:val="0"/>
                <w:color w:val="FFFFFF" w:themeColor="background1"/>
                <w14:textFill>
                  <w14:solidFill>
                    <w14:schemeClr w14:val="bg1"/>
                  </w14:solidFill>
                </w14:textFill>
              </w:rPr>
            </w:pPr>
            <w:r>
              <w:rPr>
                <w:b w:val="0"/>
                <w:bCs w:val="0"/>
                <w:i w:val="0"/>
                <w:iCs w:val="0"/>
                <w:color w:val="FFFFFF" w:themeColor="background1"/>
                <w14:textFill>
                  <w14:solidFill>
                    <w14:schemeClr w14:val="bg1"/>
                  </w14:solidFill>
                </w14:textFill>
              </w:rPr>
              <w:t>说明</w:t>
            </w:r>
          </w:p>
        </w:tc>
      </w:tr>
      <w:tr w14:paraId="000A36C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08" w:type="pct"/>
            <w:shd w:val="clear" w:color="auto" w:fill="auto"/>
          </w:tcPr>
          <w:p w14:paraId="191F35D9">
            <w:pPr>
              <w:pStyle w:val="150"/>
            </w:pPr>
            <w:r>
              <w:t>服务器名称</w:t>
            </w:r>
          </w:p>
        </w:tc>
        <w:tc>
          <w:tcPr>
            <w:tcW w:w="3992" w:type="pct"/>
            <w:shd w:val="clear" w:color="auto" w:fill="auto"/>
          </w:tcPr>
          <w:p w14:paraId="5D617D21">
            <w:pPr>
              <w:pStyle w:val="150"/>
            </w:pPr>
            <w:r>
              <w:t>设备上用来唯一标识POP3服务器的名称，与POP3服务器本身的名称无关，可以相同也可以不同。</w:t>
            </w:r>
          </w:p>
        </w:tc>
      </w:tr>
      <w:tr w14:paraId="202216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08" w:type="pct"/>
            <w:shd w:val="clear" w:color="auto" w:fill="auto"/>
          </w:tcPr>
          <w:p w14:paraId="22E43754">
            <w:pPr>
              <w:pStyle w:val="150"/>
            </w:pPr>
            <w:r>
              <w:t>服务器地址</w:t>
            </w:r>
          </w:p>
        </w:tc>
        <w:tc>
          <w:tcPr>
            <w:tcW w:w="3992" w:type="pct"/>
            <w:shd w:val="clear" w:color="auto" w:fill="auto"/>
          </w:tcPr>
          <w:p w14:paraId="282B4C7D">
            <w:pPr>
              <w:pStyle w:val="150"/>
            </w:pPr>
            <w:r>
              <w:t>POP3服务器地址。输入提供认证服务的POP3服务器的IP地址。</w:t>
            </w:r>
          </w:p>
        </w:tc>
      </w:tr>
      <w:tr w14:paraId="323EF9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c>
          <w:tcPr>
            <w:tcW w:w="1008" w:type="pct"/>
            <w:shd w:val="clear" w:color="auto" w:fill="auto"/>
          </w:tcPr>
          <w:p w14:paraId="56CBC3D5">
            <w:pPr>
              <w:pStyle w:val="150"/>
            </w:pPr>
            <w:r>
              <w:t>服务器端口</w:t>
            </w:r>
          </w:p>
        </w:tc>
        <w:tc>
          <w:tcPr>
            <w:tcW w:w="3992" w:type="pct"/>
            <w:shd w:val="clear" w:color="auto" w:fill="auto"/>
          </w:tcPr>
          <w:p w14:paraId="6224A0F0">
            <w:pPr>
              <w:pStyle w:val="150"/>
            </w:pPr>
            <w:r>
              <w:t>POP3服务器端口，缺省为995。</w:t>
            </w:r>
          </w:p>
        </w:tc>
      </w:tr>
      <w:tr w14:paraId="7FA760A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08" w:type="pct"/>
            <w:shd w:val="clear" w:color="auto" w:fill="auto"/>
          </w:tcPr>
          <w:p w14:paraId="35049BF5">
            <w:pPr>
              <w:pStyle w:val="150"/>
            </w:pPr>
            <w:r>
              <w:t>SSL</w:t>
            </w:r>
          </w:p>
        </w:tc>
        <w:tc>
          <w:tcPr>
            <w:tcW w:w="3992" w:type="pct"/>
            <w:shd w:val="clear" w:color="auto" w:fill="auto"/>
          </w:tcPr>
          <w:p w14:paraId="0CDFC579">
            <w:pPr>
              <w:pStyle w:val="150"/>
            </w:pPr>
            <w:r>
              <w:t>可以选择勾选SSL加密和不勾选SSL加密。默认勾选SSL加密方式，勾选SSL加密方式提高安全性，防止用户名和密码在传输中泄漏。</w:t>
            </w:r>
          </w:p>
        </w:tc>
      </w:tr>
      <w:tr w14:paraId="4004B4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08" w:type="pct"/>
            <w:shd w:val="clear" w:color="auto" w:fill="auto"/>
          </w:tcPr>
          <w:p w14:paraId="53342BF4">
            <w:pPr>
              <w:pStyle w:val="150"/>
            </w:pPr>
            <w:r>
              <w:rPr>
                <w:rFonts w:hint="eastAsia"/>
              </w:rPr>
              <w:t>测试有效性</w:t>
            </w:r>
          </w:p>
        </w:tc>
        <w:tc>
          <w:tcPr>
            <w:tcW w:w="3992" w:type="pct"/>
            <w:shd w:val="clear" w:color="auto" w:fill="auto"/>
          </w:tcPr>
          <w:p w14:paraId="13871386">
            <w:pPr>
              <w:pStyle w:val="150"/>
            </w:pPr>
            <w:r>
              <w:rPr>
                <w:rFonts w:hint="eastAsia"/>
              </w:rPr>
              <w:t>点击&lt;测试有效性&gt;测试目标RADIUS服务器是否可用。</w:t>
            </w:r>
          </w:p>
        </w:tc>
      </w:tr>
    </w:tbl>
    <w:p w14:paraId="0F7B3ACD"/>
    <w:p w14:paraId="058B7E2D">
      <w:r>
        <w:t>在导航栏中选择</w:t>
      </w:r>
      <w:r>
        <w:rPr>
          <w:rFonts w:hint="eastAsia"/>
        </w:rPr>
        <w:t>“</w:t>
      </w:r>
      <w:r>
        <w:t>用户管理 &gt; 认证管理 &gt; 认证服务器 &gt; 服务器组</w:t>
      </w:r>
      <w:r>
        <w:rPr>
          <w:rFonts w:hint="eastAsia"/>
        </w:rPr>
        <w:t>”</w:t>
      </w:r>
      <w:r>
        <w:t>，将鼠标移至“新建”按钮，在下拉框中选择</w:t>
      </w:r>
      <w:r>
        <w:rPr>
          <w:rFonts w:hint="eastAsia"/>
        </w:rPr>
        <w:t>“</w:t>
      </w:r>
      <w:r>
        <w:t>POP3组</w:t>
      </w:r>
      <w:r>
        <w:rPr>
          <w:rFonts w:hint="eastAsia"/>
        </w:rPr>
        <w:t>”</w:t>
      </w:r>
      <w:r>
        <w:t>，进入POP3组配置界面，如</w:t>
      </w:r>
      <w:r>
        <w:fldChar w:fldCharType="begin"/>
      </w:r>
      <w:r>
        <w:instrText xml:space="preserve">REF _ref37958976 \r \h</w:instrText>
      </w:r>
      <w:r>
        <w:fldChar w:fldCharType="separate"/>
      </w:r>
      <w:r>
        <w:rPr>
          <w:rFonts w:hint="eastAsia"/>
        </w:rPr>
        <w:t>图31-138</w:t>
      </w:r>
      <w:r>
        <w:fldChar w:fldCharType="end"/>
      </w:r>
      <w:r>
        <w:t>所示。</w:t>
      </w:r>
    </w:p>
    <w:p w14:paraId="5374448F">
      <w:pPr>
        <w:pStyle w:val="188"/>
      </w:pPr>
      <w:bookmarkStart w:id="8878" w:name="_ref37958976"/>
      <w:bookmarkEnd w:id="8878"/>
      <w:bookmarkStart w:id="8879" w:name="_Toc141874899"/>
      <w:r>
        <w:t>POP3服务器组新建界面</w:t>
      </w:r>
      <w:bookmarkEnd w:id="8879"/>
    </w:p>
    <w:p w14:paraId="2E771557">
      <w:pPr>
        <w:spacing w:before="79" w:after="79"/>
      </w:pPr>
      <w:r>
        <w:drawing>
          <wp:inline distT="0" distB="0" distL="114300" distR="114300">
            <wp:extent cx="5400040" cy="3347085"/>
            <wp:effectExtent l="0" t="0" r="0" b="5715"/>
            <wp:docPr id="64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31"/>
                    <pic:cNvPicPr>
                      <a:picLocks noChangeAspect="1"/>
                    </pic:cNvPicPr>
                  </pic:nvPicPr>
                  <pic:blipFill>
                    <a:blip r:embed="rId1127"/>
                    <a:stretch>
                      <a:fillRect/>
                    </a:stretch>
                  </pic:blipFill>
                  <pic:spPr>
                    <a:xfrm>
                      <a:off x="0" y="0"/>
                      <a:ext cx="5400040" cy="3347419"/>
                    </a:xfrm>
                    <a:prstGeom prst="rect">
                      <a:avLst/>
                    </a:prstGeom>
                    <a:noFill/>
                    <a:ln>
                      <a:noFill/>
                    </a:ln>
                  </pic:spPr>
                </pic:pic>
              </a:graphicData>
            </a:graphic>
          </wp:inline>
        </w:drawing>
      </w:r>
    </w:p>
    <w:p w14:paraId="297A79F5">
      <w:pPr>
        <w:pStyle w:val="183"/>
      </w:pPr>
      <w:bookmarkStart w:id="8880" w:name="_Toc141875602"/>
      <w:r>
        <w:t>POP3服务器组界面的详细说明</w:t>
      </w:r>
      <w:bookmarkEnd w:id="8880"/>
    </w:p>
    <w:tbl>
      <w:tblPr>
        <w:tblStyle w:val="173"/>
        <w:tblW w:w="793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381"/>
        <w:gridCol w:w="5557"/>
      </w:tblGrid>
      <w:tr w14:paraId="1145057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500" w:type="pct"/>
            <w:tcBorders>
              <w:tl2br w:val="nil"/>
              <w:tr2bl w:val="nil"/>
            </w:tcBorders>
            <w:shd w:val="clear" w:color="auto" w:fill="538135" w:themeFill="accent6" w:themeFillShade="BF"/>
            <w:vAlign w:val="center"/>
          </w:tcPr>
          <w:p w14:paraId="5AA56D31">
            <w:pPr>
              <w:pStyle w:val="150"/>
              <w:wordWrap/>
              <w:rPr>
                <w:b w:val="0"/>
                <w:bCs w:val="0"/>
                <w:i w:val="0"/>
                <w:iCs w:val="0"/>
                <w:color w:val="FFFFFF" w:themeColor="background1"/>
                <w14:textFill>
                  <w14:solidFill>
                    <w14:schemeClr w14:val="bg1"/>
                  </w14:solidFill>
                </w14:textFill>
              </w:rPr>
            </w:pPr>
            <w:r>
              <w:rPr>
                <w:b w:val="0"/>
                <w:bCs w:val="0"/>
                <w:i w:val="0"/>
                <w:iCs w:val="0"/>
                <w:color w:val="FFFFFF" w:themeColor="background1"/>
                <w14:textFill>
                  <w14:solidFill>
                    <w14:schemeClr w14:val="bg1"/>
                  </w14:solidFill>
                </w14:textFill>
              </w:rPr>
              <w:t>参数</w:t>
            </w:r>
          </w:p>
        </w:tc>
        <w:tc>
          <w:tcPr>
            <w:tcW w:w="3500" w:type="pct"/>
            <w:tcBorders>
              <w:tl2br w:val="nil"/>
              <w:tr2bl w:val="nil"/>
            </w:tcBorders>
            <w:shd w:val="clear" w:color="auto" w:fill="538135" w:themeFill="accent6" w:themeFillShade="BF"/>
            <w:vAlign w:val="center"/>
          </w:tcPr>
          <w:p w14:paraId="175ACBB1">
            <w:pPr>
              <w:pStyle w:val="150"/>
              <w:wordWrap/>
              <w:rPr>
                <w:b w:val="0"/>
                <w:bCs w:val="0"/>
                <w:i w:val="0"/>
                <w:iCs w:val="0"/>
                <w:color w:val="FFFFFF" w:themeColor="background1"/>
                <w14:textFill>
                  <w14:solidFill>
                    <w14:schemeClr w14:val="bg1"/>
                  </w14:solidFill>
                </w14:textFill>
              </w:rPr>
            </w:pPr>
            <w:r>
              <w:rPr>
                <w:b w:val="0"/>
                <w:bCs w:val="0"/>
                <w:i w:val="0"/>
                <w:iCs w:val="0"/>
                <w:color w:val="FFFFFF" w:themeColor="background1"/>
                <w14:textFill>
                  <w14:solidFill>
                    <w14:schemeClr w14:val="bg1"/>
                  </w14:solidFill>
                </w14:textFill>
              </w:rPr>
              <w:t>说明</w:t>
            </w:r>
          </w:p>
        </w:tc>
      </w:tr>
      <w:tr w14:paraId="1C4781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500" w:type="pct"/>
            <w:shd w:val="clear" w:color="auto" w:fill="auto"/>
          </w:tcPr>
          <w:p w14:paraId="1FEE861C">
            <w:pPr>
              <w:pStyle w:val="150"/>
            </w:pPr>
            <w:r>
              <w:t>名称</w:t>
            </w:r>
          </w:p>
        </w:tc>
        <w:tc>
          <w:tcPr>
            <w:tcW w:w="3500" w:type="pct"/>
            <w:shd w:val="clear" w:color="auto" w:fill="auto"/>
          </w:tcPr>
          <w:p w14:paraId="1C9BB3A5">
            <w:pPr>
              <w:pStyle w:val="150"/>
            </w:pPr>
            <w:r>
              <w:t>POP3服务器组名称。</w:t>
            </w:r>
          </w:p>
        </w:tc>
      </w:tr>
      <w:tr w14:paraId="79C6DDD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500" w:type="pct"/>
            <w:shd w:val="clear" w:color="auto" w:fill="auto"/>
          </w:tcPr>
          <w:p w14:paraId="7E49A785">
            <w:pPr>
              <w:pStyle w:val="150"/>
            </w:pPr>
            <w:r>
              <w:t>服务器列表</w:t>
            </w:r>
          </w:p>
        </w:tc>
        <w:tc>
          <w:tcPr>
            <w:tcW w:w="3500" w:type="pct"/>
            <w:shd w:val="clear" w:color="auto" w:fill="auto"/>
          </w:tcPr>
          <w:p w14:paraId="6AAC946C">
            <w:pPr>
              <w:pStyle w:val="150"/>
            </w:pPr>
            <w:r>
              <w:t>已经配置的POP3服务器列表。</w:t>
            </w:r>
          </w:p>
        </w:tc>
      </w:tr>
    </w:tbl>
    <w:p w14:paraId="5D3A069B"/>
    <w:p w14:paraId="161C3F74">
      <w:r>
        <w:t>选中左边的服务器列表中的服务器，单击“添加”按钮，可以将选中服务器添加到服务器组中；选中右边的服务器列表中的服务器，单击“删除”按钮，可以将选中服务器从服务器组中删除。</w:t>
      </w:r>
    </w:p>
    <w:p w14:paraId="54BB0222">
      <w:pPr>
        <w:pStyle w:val="5"/>
      </w:pPr>
      <w:bookmarkStart w:id="8881" w:name="_Toc196728523"/>
      <w:bookmarkStart w:id="8882" w:name="_Toc142401065"/>
      <w:bookmarkStart w:id="8883" w:name="_Toc80264540"/>
      <w:bookmarkStart w:id="8884" w:name="_Toc71634682"/>
      <w:bookmarkStart w:id="8885" w:name="_Ref72396414"/>
      <w:bookmarkStart w:id="8886" w:name="_Toc172218311"/>
      <w:bookmarkStart w:id="8887" w:name="_Ref97909850"/>
      <w:bookmarkStart w:id="8888" w:name="_Toc194081195"/>
      <w:bookmarkStart w:id="8889" w:name="_Toc99561607"/>
      <w:bookmarkStart w:id="8890" w:name="_Toc141873549"/>
      <w:r>
        <w:rPr>
          <w:rFonts w:hint="eastAsia"/>
        </w:rPr>
        <w:t>配置数据库服务器</w:t>
      </w:r>
      <w:bookmarkEnd w:id="8881"/>
      <w:bookmarkEnd w:id="8882"/>
      <w:bookmarkEnd w:id="8883"/>
      <w:bookmarkEnd w:id="8884"/>
      <w:bookmarkEnd w:id="8885"/>
      <w:bookmarkEnd w:id="8886"/>
      <w:bookmarkEnd w:id="8887"/>
      <w:bookmarkEnd w:id="8888"/>
      <w:bookmarkEnd w:id="8889"/>
      <w:bookmarkEnd w:id="8890"/>
    </w:p>
    <w:p w14:paraId="254DA6A6">
      <w:r>
        <w:rPr>
          <w:rFonts w:hint="eastAsia"/>
        </w:rPr>
        <w:t>在导航栏中选择“用户管理&gt;认证管理&gt;认证服务器”，将鼠标移至&lt;新建&gt;按钮，在下拉框中选择“</w:t>
      </w:r>
      <w:r>
        <w:t>数据库</w:t>
      </w:r>
      <w:r>
        <w:rPr>
          <w:rFonts w:hint="eastAsia"/>
        </w:rPr>
        <w:t>服务器”，进入</w:t>
      </w:r>
      <w:r>
        <w:t>数据库</w:t>
      </w:r>
      <w:r>
        <w:rPr>
          <w:rFonts w:hint="eastAsia"/>
        </w:rPr>
        <w:t>服务器的配置界面。</w:t>
      </w:r>
    </w:p>
    <w:p w14:paraId="2EFEEF0B">
      <w:pPr>
        <w:pStyle w:val="188"/>
      </w:pPr>
      <w:bookmarkStart w:id="8891" w:name="_Toc141874900"/>
      <w:r>
        <w:rPr>
          <w:rFonts w:hint="eastAsia"/>
        </w:rPr>
        <w:t>数据库服务器配置页面</w:t>
      </w:r>
      <w:bookmarkEnd w:id="8891"/>
    </w:p>
    <w:p w14:paraId="05255071">
      <w:r>
        <w:drawing>
          <wp:inline distT="0" distB="0" distL="0" distR="0">
            <wp:extent cx="5400040" cy="4476115"/>
            <wp:effectExtent l="0" t="0" r="0" b="635"/>
            <wp:docPr id="668" name="图片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图片 668"/>
                    <pic:cNvPicPr>
                      <a:picLocks noChangeAspect="1"/>
                    </pic:cNvPicPr>
                  </pic:nvPicPr>
                  <pic:blipFill>
                    <a:blip r:embed="rId1128"/>
                    <a:stretch>
                      <a:fillRect/>
                    </a:stretch>
                  </pic:blipFill>
                  <pic:spPr>
                    <a:xfrm>
                      <a:off x="0" y="0"/>
                      <a:ext cx="5400040" cy="4476688"/>
                    </a:xfrm>
                    <a:prstGeom prst="rect">
                      <a:avLst/>
                    </a:prstGeom>
                  </pic:spPr>
                </pic:pic>
              </a:graphicData>
            </a:graphic>
          </wp:inline>
        </w:drawing>
      </w:r>
    </w:p>
    <w:p w14:paraId="038BB18E"/>
    <w:p w14:paraId="21275866">
      <w:pPr>
        <w:pStyle w:val="183"/>
      </w:pPr>
      <w:bookmarkStart w:id="8892" w:name="_Toc141875603"/>
      <w:r>
        <w:rPr>
          <w:rFonts w:hint="eastAsia"/>
        </w:rPr>
        <w:t>数据库服务器创建页面详细说明</w:t>
      </w:r>
      <w:bookmarkEnd w:id="8892"/>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206A70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7D77034A">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6" w:type="dxa"/>
            <w:tcBorders>
              <w:tl2br w:val="nil"/>
              <w:tr2bl w:val="nil"/>
            </w:tcBorders>
            <w:shd w:val="clear" w:color="auto" w:fill="538135" w:themeFill="accent6" w:themeFillShade="BF"/>
            <w:vAlign w:val="center"/>
          </w:tcPr>
          <w:p w14:paraId="59C61D9A">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67E03A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2E5EDA13">
            <w:pPr>
              <w:pStyle w:val="150"/>
            </w:pPr>
            <w:r>
              <w:rPr>
                <w:rFonts w:hint="eastAsia"/>
              </w:rPr>
              <w:t>服务器名称</w:t>
            </w:r>
          </w:p>
        </w:tc>
        <w:tc>
          <w:tcPr>
            <w:tcW w:w="6816" w:type="dxa"/>
            <w:shd w:val="clear" w:color="auto" w:fill="auto"/>
          </w:tcPr>
          <w:p w14:paraId="07E0CF51">
            <w:pPr>
              <w:pStyle w:val="150"/>
            </w:pPr>
            <w:r>
              <w:rPr>
                <w:rFonts w:hint="eastAsia"/>
              </w:rPr>
              <w:t>数据库服务器名称。</w:t>
            </w:r>
          </w:p>
        </w:tc>
      </w:tr>
      <w:tr w14:paraId="6A06E44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3B601F53">
            <w:pPr>
              <w:pStyle w:val="150"/>
            </w:pPr>
            <w:r>
              <w:rPr>
                <w:rFonts w:hint="eastAsia"/>
              </w:rPr>
              <w:t>类型</w:t>
            </w:r>
          </w:p>
        </w:tc>
        <w:tc>
          <w:tcPr>
            <w:tcW w:w="6816" w:type="dxa"/>
            <w:shd w:val="clear" w:color="auto" w:fill="auto"/>
          </w:tcPr>
          <w:p w14:paraId="719E8951">
            <w:pPr>
              <w:pStyle w:val="150"/>
            </w:pPr>
            <w:r>
              <w:rPr>
                <w:rFonts w:hint="eastAsia"/>
              </w:rPr>
              <w:t>数据库服务器类型，如P</w:t>
            </w:r>
            <w:r>
              <w:t>ostgreSQL</w:t>
            </w:r>
            <w:r>
              <w:rPr>
                <w:rFonts w:hint="eastAsia"/>
              </w:rPr>
              <w:t>。</w:t>
            </w:r>
          </w:p>
        </w:tc>
      </w:tr>
      <w:tr w14:paraId="45BCCCE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257081BD">
            <w:pPr>
              <w:pStyle w:val="150"/>
            </w:pPr>
            <w:r>
              <w:rPr>
                <w:rFonts w:hint="eastAsia"/>
              </w:rPr>
              <w:t>服务器I</w:t>
            </w:r>
            <w:r>
              <w:t>P</w:t>
            </w:r>
          </w:p>
        </w:tc>
        <w:tc>
          <w:tcPr>
            <w:tcW w:w="6816" w:type="dxa"/>
            <w:shd w:val="clear" w:color="auto" w:fill="auto"/>
          </w:tcPr>
          <w:p w14:paraId="682DF27E">
            <w:pPr>
              <w:pStyle w:val="150"/>
            </w:pPr>
            <w:r>
              <w:rPr>
                <w:rFonts w:hint="eastAsia"/>
              </w:rPr>
              <w:t>数据库服务器的I</w:t>
            </w:r>
            <w:r>
              <w:t>P地址</w:t>
            </w:r>
            <w:r>
              <w:rPr>
                <w:rFonts w:hint="eastAsia"/>
              </w:rPr>
              <w:t>。</w:t>
            </w:r>
          </w:p>
        </w:tc>
      </w:tr>
      <w:tr w14:paraId="30DA49F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770C85F0">
            <w:pPr>
              <w:pStyle w:val="150"/>
            </w:pPr>
            <w:r>
              <w:rPr>
                <w:rFonts w:hint="eastAsia"/>
              </w:rPr>
              <w:t>端口</w:t>
            </w:r>
          </w:p>
        </w:tc>
        <w:tc>
          <w:tcPr>
            <w:tcW w:w="6816" w:type="dxa"/>
            <w:shd w:val="clear" w:color="auto" w:fill="auto"/>
          </w:tcPr>
          <w:p w14:paraId="367B3CDA">
            <w:pPr>
              <w:pStyle w:val="150"/>
            </w:pPr>
            <w:r>
              <w:rPr>
                <w:rFonts w:hint="eastAsia"/>
              </w:rPr>
              <w:t>数据库服务器端口，一般为</w:t>
            </w:r>
            <w:r>
              <w:t>5432</w:t>
            </w:r>
            <w:r>
              <w:rPr>
                <w:rFonts w:hint="eastAsia"/>
              </w:rPr>
              <w:t>。</w:t>
            </w:r>
          </w:p>
        </w:tc>
      </w:tr>
      <w:tr w14:paraId="5A2565B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1556419">
            <w:pPr>
              <w:pStyle w:val="150"/>
            </w:pPr>
            <w:r>
              <w:rPr>
                <w:rFonts w:hint="eastAsia"/>
              </w:rPr>
              <w:t>数据库编码</w:t>
            </w:r>
          </w:p>
        </w:tc>
        <w:tc>
          <w:tcPr>
            <w:tcW w:w="6816" w:type="dxa"/>
            <w:shd w:val="clear" w:color="auto" w:fill="auto"/>
          </w:tcPr>
          <w:p w14:paraId="03EDF039">
            <w:pPr>
              <w:pStyle w:val="150"/>
            </w:pPr>
            <w:r>
              <w:rPr>
                <w:rFonts w:hint="eastAsia"/>
              </w:rPr>
              <w:t>数据库</w:t>
            </w:r>
            <w:r>
              <w:t>服务器存储内容的编码方式</w:t>
            </w:r>
            <w:r>
              <w:rPr>
                <w:rFonts w:hint="eastAsia"/>
              </w:rPr>
              <w:t>，</w:t>
            </w:r>
            <w:r>
              <w:t>支持</w:t>
            </w:r>
            <w:r>
              <w:rPr>
                <w:rFonts w:hint="eastAsia"/>
              </w:rPr>
              <w:t>U</w:t>
            </w:r>
            <w:r>
              <w:t>TF-8\GBK\BIG5</w:t>
            </w:r>
            <w:r>
              <w:rPr>
                <w:rFonts w:hint="eastAsia"/>
              </w:rPr>
              <w:t>。</w:t>
            </w:r>
          </w:p>
        </w:tc>
      </w:tr>
      <w:tr w14:paraId="670AB3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67BC015C">
            <w:pPr>
              <w:pStyle w:val="150"/>
            </w:pPr>
            <w:r>
              <w:rPr>
                <w:rFonts w:hint="eastAsia"/>
              </w:rPr>
              <w:t>用户名</w:t>
            </w:r>
          </w:p>
        </w:tc>
        <w:tc>
          <w:tcPr>
            <w:tcW w:w="6816" w:type="dxa"/>
            <w:shd w:val="clear" w:color="auto" w:fill="auto"/>
          </w:tcPr>
          <w:p w14:paraId="328D0522">
            <w:pPr>
              <w:pStyle w:val="150"/>
            </w:pPr>
            <w:r>
              <w:t>数据库服务器的合法用户名</w:t>
            </w:r>
          </w:p>
        </w:tc>
      </w:tr>
      <w:tr w14:paraId="414329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20991B60">
            <w:pPr>
              <w:pStyle w:val="150"/>
            </w:pPr>
            <w:r>
              <w:rPr>
                <w:rFonts w:hint="eastAsia"/>
              </w:rPr>
              <w:t>密码</w:t>
            </w:r>
          </w:p>
        </w:tc>
        <w:tc>
          <w:tcPr>
            <w:tcW w:w="6816" w:type="dxa"/>
            <w:shd w:val="clear" w:color="auto" w:fill="auto"/>
          </w:tcPr>
          <w:p w14:paraId="2CBBF217">
            <w:pPr>
              <w:pStyle w:val="150"/>
            </w:pPr>
            <w:r>
              <w:t>数据库服务器的合法密码</w:t>
            </w:r>
          </w:p>
        </w:tc>
      </w:tr>
      <w:tr w14:paraId="6E10C7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89763F3">
            <w:pPr>
              <w:pStyle w:val="150"/>
            </w:pPr>
            <w:r>
              <w:rPr>
                <w:rFonts w:hint="eastAsia"/>
              </w:rPr>
              <w:t>数据库名</w:t>
            </w:r>
          </w:p>
        </w:tc>
        <w:tc>
          <w:tcPr>
            <w:tcW w:w="6816" w:type="dxa"/>
            <w:shd w:val="clear" w:color="auto" w:fill="auto"/>
          </w:tcPr>
          <w:p w14:paraId="72E248D3">
            <w:pPr>
              <w:pStyle w:val="150"/>
            </w:pPr>
            <w:r>
              <w:t>数据库服务器中的数据库表名称</w:t>
            </w:r>
          </w:p>
        </w:tc>
      </w:tr>
      <w:tr w14:paraId="5ED2E2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14D1CF7F">
            <w:pPr>
              <w:pStyle w:val="150"/>
            </w:pPr>
            <w:r>
              <w:rPr>
                <w:rFonts w:hint="eastAsia"/>
              </w:rPr>
              <w:t>超时时间</w:t>
            </w:r>
          </w:p>
        </w:tc>
        <w:tc>
          <w:tcPr>
            <w:tcW w:w="6816" w:type="dxa"/>
            <w:shd w:val="clear" w:color="auto" w:fill="auto"/>
          </w:tcPr>
          <w:p w14:paraId="5012083D">
            <w:pPr>
              <w:pStyle w:val="150"/>
            </w:pPr>
            <w:r>
              <w:t>设备与数据库交互信息的超时时间</w:t>
            </w:r>
          </w:p>
        </w:tc>
      </w:tr>
      <w:tr w14:paraId="6AF900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B4745C0">
            <w:pPr>
              <w:pStyle w:val="150"/>
            </w:pPr>
            <w:r>
              <w:rPr>
                <w:rFonts w:hint="eastAsia"/>
              </w:rPr>
              <w:t>测试有效性</w:t>
            </w:r>
          </w:p>
        </w:tc>
        <w:tc>
          <w:tcPr>
            <w:tcW w:w="6816" w:type="dxa"/>
            <w:shd w:val="clear" w:color="auto" w:fill="auto"/>
          </w:tcPr>
          <w:p w14:paraId="584BB203">
            <w:pPr>
              <w:pStyle w:val="150"/>
            </w:pPr>
            <w:r>
              <w:t>测试设备与数据库服务器是否能正常通信</w:t>
            </w:r>
          </w:p>
        </w:tc>
      </w:tr>
    </w:tbl>
    <w:p w14:paraId="6D848A5A"/>
    <w:p w14:paraId="10BC9A68">
      <w:r>
        <w:rPr>
          <w:rFonts w:hint="eastAsia"/>
        </w:rPr>
        <w:t>输入完毕后，点击</w:t>
      </w:r>
      <w:r>
        <w:t>&lt;</w:t>
      </w:r>
      <w:r>
        <w:rPr>
          <w:rFonts w:hint="eastAsia"/>
        </w:rPr>
        <w:t>提交</w:t>
      </w:r>
      <w:r>
        <w:t>&gt;</w:t>
      </w:r>
      <w:r>
        <w:rPr>
          <w:rFonts w:hint="eastAsia"/>
        </w:rPr>
        <w:t>按钮，应用配置。</w:t>
      </w:r>
    </w:p>
    <w:p w14:paraId="2E7C3710">
      <w:r>
        <w:rPr>
          <w:rFonts w:hint="eastAsia"/>
        </w:rPr>
        <w:t>在认证服务器显示页面，选中</w:t>
      </w:r>
      <w:r>
        <w:t>数据库</w:t>
      </w:r>
      <w:r>
        <w:rPr>
          <w:rFonts w:hint="eastAsia"/>
        </w:rPr>
        <w:t>服务器后，点击页面上上方的</w:t>
      </w:r>
      <w:r>
        <w:t>&lt;</w:t>
      </w:r>
      <w:r>
        <w:rPr>
          <w:rFonts w:hint="eastAsia"/>
        </w:rPr>
        <w:t>删除</w:t>
      </w:r>
      <w:r>
        <w:t>&gt;</w:t>
      </w:r>
      <w:r>
        <w:rPr>
          <w:rFonts w:hint="eastAsia"/>
        </w:rPr>
        <w:t>按钮，或者点击对应</w:t>
      </w:r>
      <w:r>
        <w:t>数据库</w:t>
      </w:r>
      <w:r>
        <w:rPr>
          <w:rFonts w:hint="eastAsia"/>
        </w:rPr>
        <w:t>服务器的</w:t>
      </w:r>
      <w:r>
        <w:t>&lt;</w:t>
      </w:r>
      <w:r>
        <w:rPr>
          <w:rFonts w:hint="eastAsia"/>
        </w:rPr>
        <w:t>删除</w:t>
      </w:r>
      <w:r>
        <w:t>&gt;</w:t>
      </w:r>
      <w:r>
        <w:rPr>
          <w:rFonts w:hint="eastAsia"/>
        </w:rPr>
        <w:t>按钮，可以删除对应的</w:t>
      </w:r>
      <w:r>
        <w:t>数据库</w:t>
      </w:r>
      <w:r>
        <w:rPr>
          <w:rFonts w:hint="eastAsia"/>
        </w:rPr>
        <w:t>服务器。</w:t>
      </w:r>
    </w:p>
    <w:p w14:paraId="6E592BE3">
      <w:pPr>
        <w:pStyle w:val="188"/>
      </w:pPr>
      <w:bookmarkStart w:id="8893" w:name="_Toc141874901"/>
      <w:r>
        <w:t>删除</w:t>
      </w:r>
      <w:r>
        <w:rPr>
          <w:rFonts w:hint="eastAsia"/>
        </w:rPr>
        <w:t>数据库服务器</w:t>
      </w:r>
      <w:bookmarkEnd w:id="8893"/>
    </w:p>
    <w:p w14:paraId="6DF5A3D1">
      <w:r>
        <w:drawing>
          <wp:inline distT="0" distB="0" distL="0" distR="0">
            <wp:extent cx="5715000" cy="630555"/>
            <wp:effectExtent l="0" t="0" r="0" b="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pic:cNvPicPr>
                      <a:picLocks noChangeAspect="1"/>
                    </pic:cNvPicPr>
                  </pic:nvPicPr>
                  <pic:blipFill>
                    <a:blip r:embed="rId1129"/>
                    <a:stretch>
                      <a:fillRect/>
                    </a:stretch>
                  </pic:blipFill>
                  <pic:spPr>
                    <a:xfrm>
                      <a:off x="0" y="0"/>
                      <a:ext cx="5810094" cy="641347"/>
                    </a:xfrm>
                    <a:prstGeom prst="rect">
                      <a:avLst/>
                    </a:prstGeom>
                  </pic:spPr>
                </pic:pic>
              </a:graphicData>
            </a:graphic>
          </wp:inline>
        </w:drawing>
      </w:r>
    </w:p>
    <w:p w14:paraId="039A689D">
      <w:pPr>
        <w:pStyle w:val="5"/>
      </w:pPr>
      <w:bookmarkStart w:id="8894" w:name="_Ref135409429"/>
      <w:bookmarkStart w:id="8895" w:name="_Toc196728524"/>
      <w:bookmarkStart w:id="8896" w:name="_Toc172218312"/>
      <w:bookmarkStart w:id="8897" w:name="_Toc141873550"/>
      <w:bookmarkStart w:id="8898" w:name="_Toc142401066"/>
      <w:bookmarkStart w:id="8899" w:name="_Toc194081196"/>
      <w:bookmarkStart w:id="8900" w:name="_Toc137560468"/>
      <w:r>
        <w:rPr>
          <w:rFonts w:hint="eastAsia"/>
        </w:rPr>
        <w:t>配置CAS服务器</w:t>
      </w:r>
      <w:bookmarkEnd w:id="8894"/>
      <w:bookmarkEnd w:id="8895"/>
      <w:bookmarkEnd w:id="8896"/>
      <w:bookmarkEnd w:id="8897"/>
      <w:bookmarkEnd w:id="8898"/>
      <w:bookmarkEnd w:id="8899"/>
      <w:bookmarkEnd w:id="8900"/>
    </w:p>
    <w:p w14:paraId="55AC00DD">
      <w:r>
        <w:rPr>
          <w:rFonts w:hint="eastAsia"/>
        </w:rPr>
        <w:t>在导航栏中选择“用户管理&gt;认证管理&gt;认证服务器”，进入认证服务器页面，点击&lt;新建&gt;按钮，选择“CAS服务器”，进入CAS服务器配置页面，如下图所示。</w:t>
      </w:r>
    </w:p>
    <w:p w14:paraId="42A9F01B">
      <w:pPr>
        <w:pStyle w:val="188"/>
      </w:pPr>
      <w:bookmarkStart w:id="8901" w:name="_Toc141874902"/>
      <w:r>
        <w:rPr>
          <w:rFonts w:hint="eastAsia"/>
        </w:rPr>
        <w:t>CAS服务器配置页面</w:t>
      </w:r>
      <w:bookmarkEnd w:id="8901"/>
    </w:p>
    <w:p w14:paraId="0C6D2323">
      <w:pPr>
        <w:spacing w:before="79" w:after="79"/>
        <w:rPr>
          <w:b/>
        </w:rPr>
      </w:pPr>
      <w:r>
        <w:drawing>
          <wp:inline distT="0" distB="0" distL="0" distR="0">
            <wp:extent cx="5400040" cy="2546350"/>
            <wp:effectExtent l="0" t="0" r="0" b="6350"/>
            <wp:docPr id="669" name="图片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图片 669"/>
                    <pic:cNvPicPr>
                      <a:picLocks noChangeAspect="1"/>
                    </pic:cNvPicPr>
                  </pic:nvPicPr>
                  <pic:blipFill>
                    <a:blip r:embed="rId1130"/>
                    <a:stretch>
                      <a:fillRect/>
                    </a:stretch>
                  </pic:blipFill>
                  <pic:spPr>
                    <a:xfrm>
                      <a:off x="0" y="0"/>
                      <a:ext cx="5400040" cy="2546502"/>
                    </a:xfrm>
                    <a:prstGeom prst="rect">
                      <a:avLst/>
                    </a:prstGeom>
                  </pic:spPr>
                </pic:pic>
              </a:graphicData>
            </a:graphic>
          </wp:inline>
        </w:drawing>
      </w:r>
    </w:p>
    <w:p w14:paraId="51E9BBB2"/>
    <w:p w14:paraId="0ED28E88">
      <w:r>
        <w:rPr>
          <w:rFonts w:hint="eastAsia"/>
        </w:rPr>
        <w:t>详细配置说明见下表：</w:t>
      </w:r>
    </w:p>
    <w:tbl>
      <w:tblPr>
        <w:tblStyle w:val="173"/>
        <w:tblW w:w="500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767"/>
        <w:gridCol w:w="7475"/>
      </w:tblGrid>
      <w:tr w14:paraId="3EF9F2D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956" w:type="pct"/>
            <w:tcBorders>
              <w:tl2br w:val="nil"/>
              <w:tr2bl w:val="nil"/>
            </w:tcBorders>
            <w:shd w:val="clear" w:color="auto" w:fill="538135" w:themeFill="accent6" w:themeFillShade="BF"/>
            <w:vAlign w:val="center"/>
          </w:tcPr>
          <w:p w14:paraId="3EB2BC57">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4044" w:type="pct"/>
            <w:tcBorders>
              <w:tl2br w:val="nil"/>
              <w:tr2bl w:val="nil"/>
            </w:tcBorders>
            <w:shd w:val="clear" w:color="auto" w:fill="538135" w:themeFill="accent6" w:themeFillShade="BF"/>
            <w:vAlign w:val="center"/>
          </w:tcPr>
          <w:p w14:paraId="69F033A3">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AF105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956" w:type="pct"/>
            <w:shd w:val="clear" w:color="auto" w:fill="auto"/>
          </w:tcPr>
          <w:p w14:paraId="15E62143">
            <w:pPr>
              <w:pStyle w:val="150"/>
            </w:pPr>
            <w:r>
              <w:rPr>
                <w:rFonts w:hint="eastAsia"/>
              </w:rPr>
              <w:t>服务器名称</w:t>
            </w:r>
          </w:p>
        </w:tc>
        <w:tc>
          <w:tcPr>
            <w:tcW w:w="4044" w:type="pct"/>
            <w:shd w:val="clear" w:color="auto" w:fill="auto"/>
          </w:tcPr>
          <w:p w14:paraId="3896C42F">
            <w:pPr>
              <w:pStyle w:val="150"/>
            </w:pPr>
            <w:r>
              <w:rPr>
                <w:rFonts w:hint="eastAsia"/>
              </w:rPr>
              <w:t>配置服务器名称</w:t>
            </w:r>
          </w:p>
        </w:tc>
      </w:tr>
      <w:tr w14:paraId="0FB6137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956" w:type="pct"/>
            <w:shd w:val="clear" w:color="auto" w:fill="auto"/>
          </w:tcPr>
          <w:p w14:paraId="5B6A3C4E">
            <w:pPr>
              <w:pStyle w:val="150"/>
            </w:pPr>
            <w:r>
              <w:rPr>
                <w:rFonts w:hint="eastAsia"/>
              </w:rPr>
              <w:t>描述</w:t>
            </w:r>
          </w:p>
        </w:tc>
        <w:tc>
          <w:tcPr>
            <w:tcW w:w="4044" w:type="pct"/>
            <w:shd w:val="clear" w:color="auto" w:fill="auto"/>
          </w:tcPr>
          <w:p w14:paraId="15985308">
            <w:pPr>
              <w:pStyle w:val="150"/>
            </w:pPr>
            <w:r>
              <w:rPr>
                <w:rFonts w:hint="eastAsia"/>
              </w:rPr>
              <w:t>配置服务器描述</w:t>
            </w:r>
          </w:p>
        </w:tc>
      </w:tr>
      <w:tr w14:paraId="0A1B6EF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956" w:type="pct"/>
            <w:shd w:val="clear" w:color="auto" w:fill="auto"/>
          </w:tcPr>
          <w:p w14:paraId="57150FCC">
            <w:pPr>
              <w:pStyle w:val="150"/>
            </w:pPr>
            <w:r>
              <w:rPr>
                <w:rFonts w:hint="eastAsia"/>
              </w:rPr>
              <w:t>关键字</w:t>
            </w:r>
          </w:p>
        </w:tc>
        <w:tc>
          <w:tcPr>
            <w:tcW w:w="4044" w:type="pct"/>
            <w:shd w:val="clear" w:color="auto" w:fill="auto"/>
          </w:tcPr>
          <w:p w14:paraId="5E0BE9F6">
            <w:pPr>
              <w:pStyle w:val="150"/>
            </w:pPr>
            <w:r>
              <w:t>配置关键字</w:t>
            </w:r>
            <w:r>
              <w:rPr>
                <w:rFonts w:hint="eastAsia"/>
              </w:rPr>
              <w:t>，用于识别CAS服务器返回报文关键字，获取用户名。</w:t>
            </w:r>
            <w:r>
              <w:t>默认为</w:t>
            </w:r>
            <w:r>
              <w:rPr>
                <w:rFonts w:hint="eastAsia"/>
              </w:rPr>
              <w:t>“</w:t>
            </w:r>
            <w:r>
              <w:t>cas:serviceResponse&gt;cas:authenticationSuccess&gt;cas:user</w:t>
            </w:r>
            <w:r>
              <w:rPr>
                <w:rFonts w:hint="eastAsia"/>
              </w:rPr>
              <w:t>”</w:t>
            </w:r>
          </w:p>
        </w:tc>
      </w:tr>
      <w:tr w14:paraId="1CF4C3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956" w:type="pct"/>
            <w:shd w:val="clear" w:color="auto" w:fill="auto"/>
          </w:tcPr>
          <w:p w14:paraId="597BCE98">
            <w:pPr>
              <w:pStyle w:val="150"/>
            </w:pPr>
            <w:r>
              <w:rPr>
                <w:rFonts w:hint="eastAsia"/>
              </w:rPr>
              <w:t>校验版本</w:t>
            </w:r>
          </w:p>
        </w:tc>
        <w:tc>
          <w:tcPr>
            <w:tcW w:w="4044" w:type="pct"/>
            <w:shd w:val="clear" w:color="auto" w:fill="auto"/>
          </w:tcPr>
          <w:p w14:paraId="7DB17C26">
            <w:pPr>
              <w:pStyle w:val="150"/>
            </w:pPr>
            <w:r>
              <w:rPr>
                <w:rFonts w:hint="eastAsia"/>
              </w:rPr>
              <w:t>配置校验版本，可选cas2.0或cas3.0，根据CAS服务器进行配置。</w:t>
            </w:r>
          </w:p>
        </w:tc>
      </w:tr>
      <w:tr w14:paraId="15C393F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trPr>
        <w:tc>
          <w:tcPr>
            <w:tcW w:w="956" w:type="pct"/>
            <w:shd w:val="clear" w:color="auto" w:fill="auto"/>
          </w:tcPr>
          <w:p w14:paraId="74F63B5D">
            <w:pPr>
              <w:pStyle w:val="150"/>
            </w:pPr>
            <w:r>
              <w:rPr>
                <w:rFonts w:hint="eastAsia"/>
              </w:rPr>
              <w:t>URL</w:t>
            </w:r>
          </w:p>
        </w:tc>
        <w:tc>
          <w:tcPr>
            <w:tcW w:w="4044" w:type="pct"/>
            <w:shd w:val="clear" w:color="auto" w:fill="auto"/>
          </w:tcPr>
          <w:p w14:paraId="2550546D">
            <w:pPr>
              <w:pStyle w:val="150"/>
            </w:pPr>
            <w:r>
              <w:rPr>
                <w:rFonts w:hint="eastAsia"/>
              </w:rPr>
              <w:t>配置CAS服务器登录界面的地址，与CAS服务器的配置一致。</w:t>
            </w:r>
          </w:p>
        </w:tc>
      </w:tr>
    </w:tbl>
    <w:p w14:paraId="0B1057AE"/>
    <w:p w14:paraId="0D0065BC">
      <w:pPr>
        <w:pStyle w:val="5"/>
      </w:pPr>
      <w:bookmarkStart w:id="8902" w:name="_Toc196728525"/>
      <w:bookmarkStart w:id="8903" w:name="_Toc141873551"/>
      <w:bookmarkStart w:id="8904" w:name="_Toc172218313"/>
      <w:bookmarkStart w:id="8905" w:name="_Toc142401067"/>
      <w:bookmarkStart w:id="8906" w:name="_Ref136865779"/>
      <w:bookmarkStart w:id="8907" w:name="_Toc194081197"/>
      <w:bookmarkStart w:id="8908" w:name="_Toc137560469"/>
      <w:r>
        <w:t>配置OAUTH服务器</w:t>
      </w:r>
      <w:bookmarkEnd w:id="8902"/>
      <w:bookmarkEnd w:id="8903"/>
      <w:bookmarkEnd w:id="8904"/>
      <w:bookmarkEnd w:id="8905"/>
      <w:bookmarkEnd w:id="8906"/>
      <w:bookmarkEnd w:id="8907"/>
      <w:bookmarkEnd w:id="8908"/>
    </w:p>
    <w:p w14:paraId="634BA7A0">
      <w:r>
        <w:rPr>
          <w:rFonts w:hint="eastAsia"/>
        </w:rPr>
        <w:t>在导航栏中选择“用户管理&gt;认证管理&gt;认证服务器”，点击&lt;新建</w:t>
      </w:r>
      <w:r>
        <w:t>&gt;</w:t>
      </w:r>
      <w:r>
        <w:rPr>
          <w:rFonts w:hint="eastAsia"/>
        </w:rPr>
        <w:t>并从下拉菜单选择“</w:t>
      </w:r>
      <w:r>
        <w:t>OAUTH</w:t>
      </w:r>
      <w:r>
        <w:rPr>
          <w:rFonts w:hint="eastAsia"/>
        </w:rPr>
        <w:t>服务器”，编辑相关信息，点击&lt;提交</w:t>
      </w:r>
      <w:r>
        <w:t>&gt;</w:t>
      </w:r>
      <w:r>
        <w:rPr>
          <w:rFonts w:hint="eastAsia"/>
        </w:rPr>
        <w:t>即可新建</w:t>
      </w:r>
      <w:r>
        <w:t>OAUTH</w:t>
      </w:r>
      <w:r>
        <w:rPr>
          <w:rFonts w:hint="eastAsia"/>
        </w:rPr>
        <w:t>服务器。</w:t>
      </w:r>
    </w:p>
    <w:p w14:paraId="686A8628">
      <w:pPr>
        <w:pStyle w:val="188"/>
      </w:pPr>
      <w:bookmarkStart w:id="8909" w:name="_Toc141874903"/>
      <w:r>
        <w:t>OAUTH</w:t>
      </w:r>
      <w:r>
        <w:rPr>
          <w:rFonts w:hint="eastAsia"/>
        </w:rPr>
        <w:t>服务器配置页面</w:t>
      </w:r>
      <w:bookmarkEnd w:id="8909"/>
    </w:p>
    <w:p w14:paraId="59A98EFC">
      <w:pPr>
        <w:spacing w:before="79" w:after="79"/>
      </w:pPr>
      <w:r>
        <w:drawing>
          <wp:inline distT="0" distB="0" distL="0" distR="0">
            <wp:extent cx="5400040" cy="4037965"/>
            <wp:effectExtent l="0" t="0" r="0" b="635"/>
            <wp:docPr id="670" name="图片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图片 670"/>
                    <pic:cNvPicPr>
                      <a:picLocks noChangeAspect="1"/>
                    </pic:cNvPicPr>
                  </pic:nvPicPr>
                  <pic:blipFill>
                    <a:blip r:embed="rId1131"/>
                    <a:stretch>
                      <a:fillRect/>
                    </a:stretch>
                  </pic:blipFill>
                  <pic:spPr>
                    <a:xfrm>
                      <a:off x="0" y="0"/>
                      <a:ext cx="5400040" cy="4038544"/>
                    </a:xfrm>
                    <a:prstGeom prst="rect">
                      <a:avLst/>
                    </a:prstGeom>
                  </pic:spPr>
                </pic:pic>
              </a:graphicData>
            </a:graphic>
          </wp:inline>
        </w:drawing>
      </w:r>
    </w:p>
    <w:p w14:paraId="58DF4D4F">
      <w:pPr>
        <w:spacing w:before="120" w:after="120"/>
      </w:pPr>
    </w:p>
    <w:p w14:paraId="09A5C1E5">
      <w:pPr>
        <w:pStyle w:val="183"/>
      </w:pPr>
      <w:bookmarkStart w:id="8910" w:name="_Toc141875604"/>
      <w:r>
        <w:t>OAUTH服务器</w:t>
      </w:r>
      <w:r>
        <w:rPr>
          <w:rFonts w:hint="eastAsia"/>
        </w:rPr>
        <w:t>详细配置说明</w:t>
      </w:r>
      <w:bookmarkEnd w:id="8910"/>
    </w:p>
    <w:tbl>
      <w:tblPr>
        <w:tblStyle w:val="173"/>
        <w:tblW w:w="500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92"/>
        <w:gridCol w:w="6850"/>
      </w:tblGrid>
      <w:tr w14:paraId="577D2D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294" w:type="pct"/>
            <w:tcBorders>
              <w:tl2br w:val="nil"/>
              <w:tr2bl w:val="nil"/>
            </w:tcBorders>
            <w:shd w:val="clear" w:color="auto" w:fill="538135" w:themeFill="accent6" w:themeFillShade="BF"/>
            <w:vAlign w:val="center"/>
          </w:tcPr>
          <w:p w14:paraId="370C1AC6">
            <w:pPr>
              <w:pStyle w:val="149"/>
              <w:wordWrap/>
              <w:rPr>
                <w:b/>
                <w:bCs/>
                <w:i w:val="0"/>
                <w:iCs w:val="0"/>
              </w:rPr>
            </w:pPr>
            <w:r>
              <w:rPr>
                <w:rFonts w:hint="eastAsia"/>
                <w:b/>
                <w:bCs/>
                <w:i w:val="0"/>
                <w:iCs w:val="0"/>
              </w:rPr>
              <w:t>参数</w:t>
            </w:r>
          </w:p>
        </w:tc>
        <w:tc>
          <w:tcPr>
            <w:tcW w:w="3706" w:type="pct"/>
            <w:tcBorders>
              <w:tl2br w:val="nil"/>
              <w:tr2bl w:val="nil"/>
            </w:tcBorders>
            <w:shd w:val="clear" w:color="auto" w:fill="538135" w:themeFill="accent6" w:themeFillShade="BF"/>
            <w:vAlign w:val="center"/>
          </w:tcPr>
          <w:p w14:paraId="666BFAB0">
            <w:pPr>
              <w:pStyle w:val="149"/>
              <w:wordWrap/>
              <w:rPr>
                <w:b/>
                <w:bCs/>
                <w:i w:val="0"/>
                <w:iCs w:val="0"/>
              </w:rPr>
            </w:pPr>
            <w:r>
              <w:rPr>
                <w:rFonts w:hint="eastAsia"/>
                <w:b/>
                <w:bCs/>
                <w:i w:val="0"/>
                <w:iCs w:val="0"/>
              </w:rPr>
              <w:t>说明</w:t>
            </w:r>
          </w:p>
        </w:tc>
      </w:tr>
      <w:tr w14:paraId="04CAA90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294" w:type="pct"/>
            <w:shd w:val="clear" w:color="auto" w:fill="auto"/>
          </w:tcPr>
          <w:p w14:paraId="783BA948">
            <w:pPr>
              <w:pStyle w:val="150"/>
            </w:pPr>
            <w:r>
              <w:t>服务器名称</w:t>
            </w:r>
          </w:p>
        </w:tc>
        <w:tc>
          <w:tcPr>
            <w:tcW w:w="3706" w:type="pct"/>
            <w:shd w:val="clear" w:color="auto" w:fill="auto"/>
          </w:tcPr>
          <w:p w14:paraId="23DA325C">
            <w:pPr>
              <w:pStyle w:val="150"/>
            </w:pPr>
            <w:r>
              <w:t>配置OAUTH服务器名称</w:t>
            </w:r>
            <w:r>
              <w:rPr>
                <w:rFonts w:hint="eastAsia"/>
              </w:rPr>
              <w:t>，1-63字符</w:t>
            </w:r>
            <w:r>
              <w:t>。</w:t>
            </w:r>
          </w:p>
        </w:tc>
      </w:tr>
      <w:tr w14:paraId="7470F3D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294" w:type="pct"/>
            <w:shd w:val="clear" w:color="auto" w:fill="auto"/>
          </w:tcPr>
          <w:p w14:paraId="6DC2139A">
            <w:pPr>
              <w:pStyle w:val="150"/>
            </w:pPr>
            <w:r>
              <w:t>描述</w:t>
            </w:r>
          </w:p>
        </w:tc>
        <w:tc>
          <w:tcPr>
            <w:tcW w:w="3706" w:type="pct"/>
            <w:shd w:val="clear" w:color="auto" w:fill="auto"/>
          </w:tcPr>
          <w:p w14:paraId="4976FA66">
            <w:pPr>
              <w:pStyle w:val="150"/>
            </w:pPr>
            <w:r>
              <w:t>配置OAUTH服务器描述</w:t>
            </w:r>
            <w:r>
              <w:rPr>
                <w:rFonts w:hint="eastAsia"/>
              </w:rPr>
              <w:t>，</w:t>
            </w:r>
            <w:r>
              <w:t>0~127字符。</w:t>
            </w:r>
          </w:p>
        </w:tc>
      </w:tr>
      <w:tr w14:paraId="4D6899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294" w:type="pct"/>
            <w:shd w:val="clear" w:color="auto" w:fill="auto"/>
          </w:tcPr>
          <w:p w14:paraId="2C4788AD">
            <w:pPr>
              <w:pStyle w:val="150"/>
            </w:pPr>
            <w:r>
              <w:t>回调地址</w:t>
            </w:r>
          </w:p>
        </w:tc>
        <w:tc>
          <w:tcPr>
            <w:tcW w:w="3706" w:type="pct"/>
            <w:shd w:val="clear" w:color="auto" w:fill="auto"/>
          </w:tcPr>
          <w:p w14:paraId="4F531B34">
            <w:pPr>
              <w:pStyle w:val="150"/>
            </w:pPr>
            <w:r>
              <w:t>设备的管理IP地址加指定端口。</w:t>
            </w:r>
          </w:p>
          <w:p w14:paraId="4247893C">
            <w:pPr>
              <w:pStyle w:val="150"/>
            </w:pPr>
            <w:r>
              <w:t>例如：http://192.168.1.1:8000/，OAUTH服务器上的回调地址需要与设备上配置的回调地址保持一致。</w:t>
            </w:r>
          </w:p>
        </w:tc>
      </w:tr>
      <w:tr w14:paraId="476B7A4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294" w:type="pct"/>
            <w:shd w:val="clear" w:color="auto" w:fill="auto"/>
          </w:tcPr>
          <w:p w14:paraId="40D53052">
            <w:pPr>
              <w:pStyle w:val="150"/>
            </w:pPr>
            <w:r>
              <w:t>appID</w:t>
            </w:r>
          </w:p>
        </w:tc>
        <w:tc>
          <w:tcPr>
            <w:tcW w:w="3706" w:type="pct"/>
            <w:shd w:val="clear" w:color="auto" w:fill="auto"/>
          </w:tcPr>
          <w:p w14:paraId="4DAB8072">
            <w:pPr>
              <w:pStyle w:val="150"/>
            </w:pPr>
            <w:r>
              <w:t>填入在OAUTH服务器后台配置的appID</w:t>
            </w:r>
            <w:r>
              <w:rPr>
                <w:rFonts w:hint="eastAsia"/>
              </w:rPr>
              <w:t>，</w:t>
            </w:r>
            <w:r>
              <w:t>与OAUTH服务器保持一致。</w:t>
            </w:r>
          </w:p>
        </w:tc>
      </w:tr>
      <w:tr w14:paraId="4D963D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294" w:type="pct"/>
            <w:shd w:val="clear" w:color="auto" w:fill="auto"/>
          </w:tcPr>
          <w:p w14:paraId="013E6F47">
            <w:pPr>
              <w:pStyle w:val="150"/>
            </w:pPr>
            <w:r>
              <w:t>appSecret</w:t>
            </w:r>
          </w:p>
        </w:tc>
        <w:tc>
          <w:tcPr>
            <w:tcW w:w="3706" w:type="pct"/>
            <w:shd w:val="clear" w:color="auto" w:fill="auto"/>
          </w:tcPr>
          <w:p w14:paraId="533FB1D6">
            <w:pPr>
              <w:pStyle w:val="150"/>
            </w:pPr>
            <w:r>
              <w:t>填入在OAUTH服务器后台获取的Secret</w:t>
            </w:r>
            <w:r>
              <w:rPr>
                <w:rFonts w:hint="eastAsia"/>
              </w:rPr>
              <w:t>，</w:t>
            </w:r>
            <w:r>
              <w:t>与OAUTH服务器保持一致。</w:t>
            </w:r>
          </w:p>
        </w:tc>
      </w:tr>
      <w:tr w14:paraId="1D7A559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294" w:type="pct"/>
            <w:shd w:val="clear" w:color="auto" w:fill="auto"/>
          </w:tcPr>
          <w:p w14:paraId="17C90079">
            <w:pPr>
              <w:pStyle w:val="150"/>
            </w:pPr>
            <w:r>
              <w:t>重定向URL</w:t>
            </w:r>
          </w:p>
        </w:tc>
        <w:tc>
          <w:tcPr>
            <w:tcW w:w="3706" w:type="pct"/>
            <w:shd w:val="clear" w:color="auto" w:fill="auto"/>
          </w:tcPr>
          <w:p w14:paraId="1523E7A5">
            <w:pPr>
              <w:pStyle w:val="150"/>
            </w:pPr>
            <w:r>
              <w:t>OAUTH认证的登录页面地址。3-127字符，格式如 http(s)://www.example.com/index.html</w:t>
            </w:r>
          </w:p>
        </w:tc>
      </w:tr>
      <w:tr w14:paraId="6581A60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294" w:type="pct"/>
            <w:shd w:val="clear" w:color="auto" w:fill="auto"/>
          </w:tcPr>
          <w:p w14:paraId="79319774">
            <w:pPr>
              <w:pStyle w:val="150"/>
            </w:pPr>
            <w:r>
              <w:t>accessToken获取地址</w:t>
            </w:r>
          </w:p>
        </w:tc>
        <w:tc>
          <w:tcPr>
            <w:tcW w:w="3706" w:type="pct"/>
            <w:shd w:val="clear" w:color="auto" w:fill="auto"/>
          </w:tcPr>
          <w:p w14:paraId="7E8C4009">
            <w:pPr>
              <w:pStyle w:val="150"/>
            </w:pPr>
            <w:r>
              <w:rPr>
                <w:rFonts w:hint="eastAsia"/>
              </w:rPr>
              <w:t>OAUTH认证</w:t>
            </w:r>
            <w:r>
              <w:t>获取access token的请求地址。</w:t>
            </w:r>
          </w:p>
        </w:tc>
      </w:tr>
      <w:tr w14:paraId="54B1CEE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294" w:type="pct"/>
            <w:shd w:val="clear" w:color="auto" w:fill="auto"/>
          </w:tcPr>
          <w:p w14:paraId="39CC72FA">
            <w:pPr>
              <w:pStyle w:val="150"/>
            </w:pPr>
            <w:r>
              <w:t>accessToken请求类型</w:t>
            </w:r>
          </w:p>
        </w:tc>
        <w:tc>
          <w:tcPr>
            <w:tcW w:w="3706" w:type="pct"/>
            <w:shd w:val="clear" w:color="auto" w:fill="auto"/>
          </w:tcPr>
          <w:p w14:paraId="7363BF61">
            <w:pPr>
              <w:pStyle w:val="150"/>
            </w:pPr>
            <w:r>
              <w:t>获取access token 请求的方式</w:t>
            </w:r>
            <w:r>
              <w:rPr>
                <w:rFonts w:hint="eastAsia"/>
              </w:rPr>
              <w:t>，</w:t>
            </w:r>
            <w:r>
              <w:t>选择GET或POST，默认是GET。</w:t>
            </w:r>
          </w:p>
        </w:tc>
      </w:tr>
      <w:tr w14:paraId="06551B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294" w:type="pct"/>
            <w:shd w:val="clear" w:color="auto" w:fill="auto"/>
          </w:tcPr>
          <w:p w14:paraId="445BEFC1">
            <w:pPr>
              <w:pStyle w:val="150"/>
            </w:pPr>
            <w:r>
              <w:t>获取用户信息请求地址</w:t>
            </w:r>
          </w:p>
        </w:tc>
        <w:tc>
          <w:tcPr>
            <w:tcW w:w="3706" w:type="pct"/>
            <w:shd w:val="clear" w:color="auto" w:fill="auto"/>
          </w:tcPr>
          <w:p w14:paraId="1609858C">
            <w:pPr>
              <w:pStyle w:val="150"/>
            </w:pPr>
            <w:r>
              <w:rPr>
                <w:rFonts w:hint="eastAsia"/>
              </w:rPr>
              <w:t>OAUTH认证</w:t>
            </w:r>
            <w:r>
              <w:t>获取用户信息</w:t>
            </w:r>
            <w:r>
              <w:rPr>
                <w:rFonts w:hint="eastAsia"/>
              </w:rPr>
              <w:t>（</w:t>
            </w:r>
            <w:r>
              <w:t>userinfo</w:t>
            </w:r>
            <w:r>
              <w:rPr>
                <w:rFonts w:hint="eastAsia"/>
              </w:rPr>
              <w:t>）</w:t>
            </w:r>
            <w:r>
              <w:t>的请求地址。</w:t>
            </w:r>
          </w:p>
        </w:tc>
      </w:tr>
      <w:tr w14:paraId="3E7A755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294" w:type="pct"/>
            <w:shd w:val="clear" w:color="auto" w:fill="auto"/>
          </w:tcPr>
          <w:p w14:paraId="0A18A6C6">
            <w:pPr>
              <w:pStyle w:val="150"/>
            </w:pPr>
            <w:r>
              <w:t>获取用户信息请求类型</w:t>
            </w:r>
          </w:p>
        </w:tc>
        <w:tc>
          <w:tcPr>
            <w:tcW w:w="3706" w:type="pct"/>
            <w:shd w:val="clear" w:color="auto" w:fill="auto"/>
          </w:tcPr>
          <w:p w14:paraId="6EC2B3D9">
            <w:pPr>
              <w:pStyle w:val="150"/>
            </w:pPr>
            <w:r>
              <w:t>请求获取用户信息</w:t>
            </w:r>
            <w:r>
              <w:rPr>
                <w:rFonts w:hint="eastAsia"/>
              </w:rPr>
              <w:t>（</w:t>
            </w:r>
            <w:r>
              <w:t>userinfo</w:t>
            </w:r>
            <w:r>
              <w:rPr>
                <w:rFonts w:hint="eastAsia"/>
              </w:rPr>
              <w:t>）</w:t>
            </w:r>
            <w:r>
              <w:t>的请求地址的类型，选择GET或POST，默认是GET。</w:t>
            </w:r>
          </w:p>
        </w:tc>
      </w:tr>
      <w:tr w14:paraId="3C1112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294" w:type="pct"/>
            <w:shd w:val="clear" w:color="auto" w:fill="auto"/>
          </w:tcPr>
          <w:p w14:paraId="7AF40E20">
            <w:pPr>
              <w:pStyle w:val="150"/>
            </w:pPr>
            <w:r>
              <w:t>获取用户信息所需参数</w:t>
            </w:r>
          </w:p>
        </w:tc>
        <w:tc>
          <w:tcPr>
            <w:tcW w:w="3706" w:type="pct"/>
            <w:shd w:val="clear" w:color="auto" w:fill="auto"/>
          </w:tcPr>
          <w:p w14:paraId="7FCED011">
            <w:pPr>
              <w:pStyle w:val="150"/>
            </w:pPr>
            <w:r>
              <w:t>会添加到获取用户信息</w:t>
            </w:r>
            <w:r>
              <w:rPr>
                <w:rFonts w:hint="eastAsia"/>
              </w:rPr>
              <w:t>（</w:t>
            </w:r>
            <w:r>
              <w:t>userinfo</w:t>
            </w:r>
            <w:r>
              <w:rPr>
                <w:rFonts w:hint="eastAsia"/>
              </w:rPr>
              <w:t>）</w:t>
            </w:r>
            <w:r>
              <w:t>的请求地址的http url参数或者http head参数。</w:t>
            </w:r>
          </w:p>
        </w:tc>
      </w:tr>
      <w:tr w14:paraId="0B8EA0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294" w:type="pct"/>
            <w:shd w:val="clear" w:color="auto" w:fill="auto"/>
          </w:tcPr>
          <w:p w14:paraId="75FF180E">
            <w:pPr>
              <w:pStyle w:val="150"/>
            </w:pPr>
            <w:r>
              <w:t>授权范围</w:t>
            </w:r>
          </w:p>
        </w:tc>
        <w:tc>
          <w:tcPr>
            <w:tcW w:w="3706" w:type="pct"/>
            <w:shd w:val="clear" w:color="auto" w:fill="auto"/>
          </w:tcPr>
          <w:p w14:paraId="564AB856">
            <w:pPr>
              <w:pStyle w:val="150"/>
            </w:pPr>
            <w:r>
              <w:t>OAUTH授权允许客户端使用“scope”请求参数指定访问请求的范围。</w:t>
            </w:r>
          </w:p>
        </w:tc>
      </w:tr>
      <w:tr w14:paraId="533E6CB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294" w:type="pct"/>
            <w:shd w:val="clear" w:color="auto" w:fill="auto"/>
          </w:tcPr>
          <w:p w14:paraId="79BA841F">
            <w:pPr>
              <w:pStyle w:val="150"/>
            </w:pPr>
            <w:r>
              <w:t>获取方式</w:t>
            </w:r>
          </w:p>
        </w:tc>
        <w:tc>
          <w:tcPr>
            <w:tcW w:w="3706" w:type="pct"/>
            <w:shd w:val="clear" w:color="auto" w:fill="auto"/>
          </w:tcPr>
          <w:p w14:paraId="036BA24F">
            <w:pPr>
              <w:pStyle w:val="150"/>
            </w:pPr>
            <w:r>
              <w:t>获取用户信息参数方式。URL参数或HTTP头部参数，默认是URL参数。</w:t>
            </w:r>
          </w:p>
        </w:tc>
      </w:tr>
      <w:tr w14:paraId="59BB0F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c>
          <w:tcPr>
            <w:tcW w:w="1294" w:type="pct"/>
            <w:shd w:val="clear" w:color="auto" w:fill="auto"/>
          </w:tcPr>
          <w:p w14:paraId="1CDD9547">
            <w:pPr>
              <w:pStyle w:val="150"/>
            </w:pPr>
            <w:r>
              <w:t>获取用户关键字</w:t>
            </w:r>
          </w:p>
        </w:tc>
        <w:tc>
          <w:tcPr>
            <w:tcW w:w="3706" w:type="pct"/>
            <w:shd w:val="clear" w:color="auto" w:fill="auto"/>
          </w:tcPr>
          <w:p w14:paraId="7BB494BD">
            <w:pPr>
              <w:pStyle w:val="150"/>
            </w:pPr>
            <w:r>
              <w:t>OAUTH认证的</w:t>
            </w:r>
            <w:r>
              <w:rPr>
                <w:rFonts w:hint="eastAsia"/>
              </w:rPr>
              <w:t>获取用户信息</w:t>
            </w:r>
            <w:r>
              <w:t>userinfo返回的json报文中对应用户名的JSON字段。</w:t>
            </w:r>
          </w:p>
        </w:tc>
      </w:tr>
    </w:tbl>
    <w:p w14:paraId="78521AA6"/>
    <w:p w14:paraId="00D549BF">
      <w:pPr>
        <w:pStyle w:val="4"/>
      </w:pPr>
      <w:bookmarkStart w:id="8911" w:name="_Toc80264572"/>
      <w:bookmarkStart w:id="8912" w:name="_Ref99526037"/>
      <w:bookmarkStart w:id="8913" w:name="_Toc99561636"/>
      <w:bookmarkStart w:id="8914" w:name="_Toc194081198"/>
      <w:bookmarkStart w:id="8915" w:name="_Toc142401068"/>
      <w:bookmarkStart w:id="8916" w:name="_Toc172218314"/>
      <w:bookmarkStart w:id="8917" w:name="_Toc141873552"/>
      <w:bookmarkStart w:id="8918" w:name="_Toc196728526"/>
      <w:bookmarkStart w:id="8919" w:name="_Ref5647471"/>
      <w:bookmarkStart w:id="8920" w:name="_Toc23152955"/>
      <w:bookmarkStart w:id="8921" w:name="_Toc40276376"/>
      <w:bookmarkStart w:id="8922" w:name="_Toc99561625"/>
      <w:bookmarkStart w:id="8923" w:name="_Toc9006662"/>
      <w:bookmarkStart w:id="8924" w:name="_Toc15485191"/>
      <w:r>
        <w:rPr>
          <w:rFonts w:hint="eastAsia"/>
        </w:rPr>
        <w:t>用户自注册</w:t>
      </w:r>
      <w:bookmarkEnd w:id="8911"/>
      <w:bookmarkEnd w:id="8912"/>
      <w:bookmarkEnd w:id="8913"/>
      <w:bookmarkEnd w:id="8914"/>
      <w:bookmarkEnd w:id="8915"/>
      <w:bookmarkEnd w:id="8916"/>
      <w:bookmarkEnd w:id="8917"/>
      <w:bookmarkEnd w:id="8918"/>
    </w:p>
    <w:p w14:paraId="117AC62F">
      <w:pPr>
        <w:pStyle w:val="5"/>
      </w:pPr>
      <w:bookmarkStart w:id="8925" w:name="_Toc141873553"/>
      <w:bookmarkStart w:id="8926" w:name="_Toc194081199"/>
      <w:bookmarkStart w:id="8927" w:name="_Toc99561637"/>
      <w:bookmarkStart w:id="8928" w:name="_Toc172218315"/>
      <w:bookmarkStart w:id="8929" w:name="_Toc80264573"/>
      <w:bookmarkStart w:id="8930" w:name="_Toc196728527"/>
      <w:bookmarkStart w:id="8931" w:name="_Toc142401069"/>
      <w:r>
        <w:rPr>
          <w:rFonts w:hint="eastAsia"/>
        </w:rPr>
        <w:t>概述</w:t>
      </w:r>
      <w:bookmarkEnd w:id="8925"/>
      <w:bookmarkEnd w:id="8926"/>
      <w:bookmarkEnd w:id="8927"/>
      <w:bookmarkEnd w:id="8928"/>
      <w:bookmarkEnd w:id="8929"/>
      <w:bookmarkEnd w:id="8930"/>
      <w:bookmarkEnd w:id="8931"/>
    </w:p>
    <w:p w14:paraId="2E11A97B">
      <w:r>
        <w:rPr>
          <w:rFonts w:hint="eastAsia"/>
        </w:rPr>
        <w:t>本地Web认证支持用户自注册功能，根据选择的用户自注册对象，在用户认证页面给用户提供自注册账号的功能。通过用户自注册代替管理员注册的方式来实现用户账号的获取，进而通过认证进行上网。</w:t>
      </w:r>
    </w:p>
    <w:p w14:paraId="769F9FB2">
      <w:r>
        <w:rPr>
          <w:rFonts w:hint="eastAsia"/>
        </w:rPr>
        <w:t>用户自注册对象按照注册对象分为以下两种：</w:t>
      </w:r>
    </w:p>
    <w:p w14:paraId="64BE6736">
      <w:pPr>
        <w:pStyle w:val="162"/>
      </w:pPr>
      <w:r>
        <w:rPr>
          <w:rFonts w:hint="eastAsia"/>
        </w:rPr>
        <w:t>账号注册：通过申请账号，审批通过后可在任意终端上，通过账号进行认证登录。</w:t>
      </w:r>
    </w:p>
    <w:p w14:paraId="778A684B">
      <w:pPr>
        <w:pStyle w:val="162"/>
      </w:pPr>
      <w:r>
        <w:rPr>
          <w:rFonts w:hint="eastAsia"/>
        </w:rPr>
        <w:t>终端注册：通过绑定IP或Mac来申请终端，审批通过后必须使用绑定的终端进行登录，并无需认证直接可以上网。</w:t>
      </w:r>
    </w:p>
    <w:p w14:paraId="13CFF1BF">
      <w:r>
        <w:rPr>
          <w:rFonts w:hint="eastAsia"/>
        </w:rPr>
        <w:t>认证成功后，账号注册的用户名、密码、手机号、邮箱等用户信息，会同步至设备的用户组织结构中。</w:t>
      </w:r>
    </w:p>
    <w:p w14:paraId="2B79E077">
      <w:pPr>
        <w:pStyle w:val="5"/>
      </w:pPr>
      <w:bookmarkStart w:id="8932" w:name="_Toc172218316"/>
      <w:bookmarkStart w:id="8933" w:name="_Toc194081200"/>
      <w:bookmarkStart w:id="8934" w:name="_Toc196728528"/>
      <w:r>
        <w:t>配置</w:t>
      </w:r>
      <w:r>
        <w:rPr>
          <w:rFonts w:hint="eastAsia"/>
        </w:rPr>
        <w:t>自定义属性（可选）</w:t>
      </w:r>
      <w:bookmarkEnd w:id="8932"/>
      <w:bookmarkEnd w:id="8933"/>
      <w:bookmarkEnd w:id="8934"/>
    </w:p>
    <w:p w14:paraId="7DA4F1EB">
      <w:pPr>
        <w:rPr>
          <w:rStyle w:val="375"/>
        </w:rPr>
      </w:pPr>
      <w:r>
        <w:rPr>
          <w:rFonts w:hint="eastAsia"/>
          <w:bCs/>
        </w:rPr>
        <w:t>选择“用户管理 &gt; 用户管理</w:t>
      </w:r>
      <w:r>
        <w:rPr>
          <w:rStyle w:val="375"/>
          <w:rFonts w:hint="eastAsia"/>
        </w:rPr>
        <w:t>&gt;高级选项”，</w:t>
      </w:r>
      <w:r>
        <w:rPr>
          <w:rStyle w:val="375"/>
        </w:rPr>
        <w:t>进入</w:t>
      </w:r>
      <w:r>
        <w:rPr>
          <w:rStyle w:val="375"/>
          <w:rFonts w:hint="eastAsia"/>
        </w:rPr>
        <w:t>自定义</w:t>
      </w:r>
      <w:r>
        <w:rPr>
          <w:rStyle w:val="375"/>
        </w:rPr>
        <w:t>属性界面</w:t>
      </w:r>
      <w:r>
        <w:rPr>
          <w:rStyle w:val="375"/>
          <w:rFonts w:hint="eastAsia"/>
        </w:rPr>
        <w:t>，单击“新建”创建自定义属性，如下图所示。</w:t>
      </w:r>
    </w:p>
    <w:p w14:paraId="3BE1C985">
      <w:pPr>
        <w:rPr>
          <w:rStyle w:val="375"/>
        </w:rPr>
      </w:pPr>
      <w:r>
        <w:rPr>
          <w:rStyle w:val="375"/>
          <w:rFonts w:hint="eastAsia"/>
        </w:rPr>
        <w:t>配置用户自注册时，如需用户在注册页面填写除默认的注册内容外，还需增加自定义用户注册内容，需先创建自定义属性，在配置用户自注册对象时进行引用。</w:t>
      </w:r>
    </w:p>
    <w:p w14:paraId="5FFCC49D">
      <w:pPr>
        <w:pStyle w:val="188"/>
        <w:rPr>
          <w:rStyle w:val="375"/>
        </w:rPr>
      </w:pPr>
      <w:r>
        <w:rPr>
          <w:rStyle w:val="375"/>
          <w:rFonts w:hint="eastAsia"/>
        </w:rPr>
        <w:t>新建自定义属性</w:t>
      </w:r>
    </w:p>
    <w:p w14:paraId="7F0F97F1">
      <w:r>
        <w:drawing>
          <wp:inline distT="0" distB="0" distL="114300" distR="114300">
            <wp:extent cx="5562600" cy="2369185"/>
            <wp:effectExtent l="0" t="0" r="0" b="12065"/>
            <wp:docPr id="12964853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53" name="图片 1"/>
                    <pic:cNvPicPr>
                      <a:picLocks noChangeAspect="1"/>
                    </pic:cNvPicPr>
                  </pic:nvPicPr>
                  <pic:blipFill>
                    <a:blip r:embed="rId1132"/>
                    <a:stretch>
                      <a:fillRect/>
                    </a:stretch>
                  </pic:blipFill>
                  <pic:spPr>
                    <a:xfrm>
                      <a:off x="0" y="0"/>
                      <a:ext cx="5562600" cy="2369185"/>
                    </a:xfrm>
                    <a:prstGeom prst="rect">
                      <a:avLst/>
                    </a:prstGeom>
                    <a:noFill/>
                    <a:ln>
                      <a:noFill/>
                    </a:ln>
                  </pic:spPr>
                </pic:pic>
              </a:graphicData>
            </a:graphic>
          </wp:inline>
        </w:drawing>
      </w:r>
    </w:p>
    <w:p w14:paraId="144501BF"/>
    <w:p w14:paraId="3660C658">
      <w:pPr>
        <w:pStyle w:val="5"/>
      </w:pPr>
      <w:bookmarkStart w:id="8935" w:name="_Toc172218317"/>
      <w:bookmarkStart w:id="8936" w:name="_Toc196728529"/>
      <w:bookmarkStart w:id="8937" w:name="_Toc99561638"/>
      <w:bookmarkStart w:id="8938" w:name="_Toc194081201"/>
      <w:bookmarkStart w:id="8939" w:name="_Toc141873554"/>
      <w:bookmarkStart w:id="8940" w:name="_Toc142401070"/>
      <w:bookmarkStart w:id="8941" w:name="_Toc80264574"/>
      <w:r>
        <w:t>配置</w:t>
      </w:r>
      <w:r>
        <w:rPr>
          <w:rFonts w:hint="eastAsia"/>
        </w:rPr>
        <w:t>用户自注册</w:t>
      </w:r>
      <w:bookmarkEnd w:id="8935"/>
      <w:bookmarkEnd w:id="8936"/>
      <w:bookmarkEnd w:id="8937"/>
      <w:bookmarkEnd w:id="8938"/>
      <w:bookmarkEnd w:id="8939"/>
      <w:bookmarkEnd w:id="8940"/>
      <w:bookmarkEnd w:id="8941"/>
    </w:p>
    <w:p w14:paraId="39A5DC29">
      <w:pPr>
        <w:pStyle w:val="6"/>
      </w:pPr>
      <w:bookmarkStart w:id="8942" w:name="_Ref167460415"/>
      <w:r>
        <w:t>账号注册</w:t>
      </w:r>
      <w:bookmarkEnd w:id="8942"/>
    </w:p>
    <w:p w14:paraId="2AFBE198">
      <w:pPr>
        <w:pStyle w:val="202"/>
        <w:rPr>
          <w:lang w:eastAsia="zh-CN"/>
        </w:rPr>
      </w:pPr>
      <w:r>
        <w:rPr>
          <w:rFonts w:hint="eastAsia"/>
          <w:lang w:eastAsia="zh-CN"/>
        </w:rPr>
        <w:t>进入“用户管理&gt;认证管理&gt;用户自注册”，点击&lt;新建&gt;并从下拉菜单选择“账号注册”，进入账号自注册对象配置页面，如下图所示。</w:t>
      </w:r>
    </w:p>
    <w:p w14:paraId="1C0A4FC0">
      <w:pPr>
        <w:pStyle w:val="188"/>
      </w:pPr>
      <w:bookmarkStart w:id="8943" w:name="_Toc141874904"/>
      <w:r>
        <w:rPr>
          <w:rFonts w:hint="eastAsia"/>
        </w:rPr>
        <w:t>账号注册配置界面</w:t>
      </w:r>
      <w:bookmarkEnd w:id="8943"/>
    </w:p>
    <w:p w14:paraId="52A22FD2">
      <w:r>
        <w:drawing>
          <wp:inline distT="0" distB="0" distL="0" distR="0">
            <wp:extent cx="4572000" cy="3462020"/>
            <wp:effectExtent l="0" t="0" r="0" b="5080"/>
            <wp:docPr id="1296485342" name="图片 1296485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42" name="图片 1296485342"/>
                    <pic:cNvPicPr>
                      <a:picLocks noChangeAspect="1"/>
                    </pic:cNvPicPr>
                  </pic:nvPicPr>
                  <pic:blipFill>
                    <a:blip r:embed="rId1133"/>
                    <a:stretch>
                      <a:fillRect/>
                    </a:stretch>
                  </pic:blipFill>
                  <pic:spPr>
                    <a:xfrm>
                      <a:off x="0" y="0"/>
                      <a:ext cx="4577529" cy="3466271"/>
                    </a:xfrm>
                    <a:prstGeom prst="rect">
                      <a:avLst/>
                    </a:prstGeom>
                  </pic:spPr>
                </pic:pic>
              </a:graphicData>
            </a:graphic>
          </wp:inline>
        </w:drawing>
      </w:r>
    </w:p>
    <w:p w14:paraId="33117889"/>
    <w:p w14:paraId="4049F32A">
      <w:pPr>
        <w:pStyle w:val="183"/>
      </w:pPr>
      <w:bookmarkStart w:id="8944" w:name="_Toc141875605"/>
      <w:r>
        <w:rPr>
          <w:rFonts w:hint="eastAsia"/>
        </w:rPr>
        <w:t>账号注册配置说明</w:t>
      </w:r>
      <w:bookmarkEnd w:id="8944"/>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7"/>
      </w:tblGrid>
      <w:tr w14:paraId="52920A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70027277">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7" w:type="dxa"/>
            <w:tcBorders>
              <w:tl2br w:val="nil"/>
              <w:tr2bl w:val="nil"/>
            </w:tcBorders>
            <w:shd w:val="clear" w:color="auto" w:fill="538135" w:themeFill="accent6" w:themeFillShade="BF"/>
            <w:vAlign w:val="center"/>
          </w:tcPr>
          <w:p w14:paraId="28EE21C3">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63AEB6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7A16132">
            <w:pPr>
              <w:pStyle w:val="150"/>
            </w:pPr>
            <w:r>
              <w:rPr>
                <w:rFonts w:hint="eastAsia"/>
              </w:rPr>
              <w:t>名称</w:t>
            </w:r>
          </w:p>
        </w:tc>
        <w:tc>
          <w:tcPr>
            <w:tcW w:w="6817" w:type="dxa"/>
            <w:shd w:val="clear" w:color="auto" w:fill="auto"/>
          </w:tcPr>
          <w:p w14:paraId="151A8A5E">
            <w:pPr>
              <w:pStyle w:val="150"/>
            </w:pPr>
            <w:r>
              <w:rPr>
                <w:rFonts w:hint="eastAsia"/>
              </w:rPr>
              <w:t>自注册对象的名称。</w:t>
            </w:r>
          </w:p>
        </w:tc>
      </w:tr>
      <w:tr w14:paraId="1863E51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D658B30">
            <w:pPr>
              <w:pStyle w:val="150"/>
            </w:pPr>
            <w:r>
              <w:rPr>
                <w:rFonts w:hint="eastAsia"/>
              </w:rPr>
              <w:t>注册内容项</w:t>
            </w:r>
          </w:p>
        </w:tc>
        <w:tc>
          <w:tcPr>
            <w:tcW w:w="6817" w:type="dxa"/>
            <w:shd w:val="clear" w:color="auto" w:fill="auto"/>
          </w:tcPr>
          <w:p w14:paraId="0B996FD5">
            <w:pPr>
              <w:pStyle w:val="150"/>
            </w:pPr>
            <w:r>
              <w:rPr>
                <w:rFonts w:hint="eastAsia"/>
              </w:rPr>
              <w:t>单击</w:t>
            </w:r>
            <w:r>
              <w:drawing>
                <wp:inline distT="0" distB="0" distL="0" distR="0">
                  <wp:extent cx="180340" cy="151765"/>
                  <wp:effectExtent l="0" t="0" r="0" b="635"/>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1134"/>
                          <a:stretch>
                            <a:fillRect/>
                          </a:stretch>
                        </pic:blipFill>
                        <pic:spPr>
                          <a:xfrm>
                            <a:off x="0" y="0"/>
                            <a:ext cx="180952" cy="152381"/>
                          </a:xfrm>
                          <a:prstGeom prst="rect">
                            <a:avLst/>
                          </a:prstGeom>
                        </pic:spPr>
                      </pic:pic>
                    </a:graphicData>
                  </a:graphic>
                </wp:inline>
              </w:drawing>
            </w:r>
            <w:r>
              <w:rPr>
                <w:rFonts w:hint="eastAsia"/>
              </w:rPr>
              <w:t>可设置为是否必填项，可以设置预置邮箱域名，用户名、密码为必填项。</w:t>
            </w:r>
          </w:p>
        </w:tc>
      </w:tr>
      <w:tr w14:paraId="4FE7CA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B598637">
            <w:pPr>
              <w:pStyle w:val="150"/>
            </w:pPr>
            <w:r>
              <w:rPr>
                <w:rFonts w:hint="eastAsia"/>
              </w:rPr>
              <w:t>注册用户所属组</w:t>
            </w:r>
          </w:p>
        </w:tc>
        <w:tc>
          <w:tcPr>
            <w:tcW w:w="6817" w:type="dxa"/>
            <w:shd w:val="clear" w:color="auto" w:fill="auto"/>
          </w:tcPr>
          <w:p w14:paraId="447ECF69">
            <w:pPr>
              <w:pStyle w:val="150"/>
            </w:pPr>
            <w:r>
              <w:rPr>
                <w:rFonts w:hint="eastAsia"/>
              </w:rPr>
              <w:t>选择用户录入方式，可以指定注册用户所属用户组，也可以让注册的用户和认证策略用户在一个用户组，或让用户自己选择需要录入的用户组。</w:t>
            </w:r>
          </w:p>
        </w:tc>
      </w:tr>
      <w:tr w14:paraId="3116FC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A4CDAC4">
            <w:pPr>
              <w:pStyle w:val="150"/>
            </w:pPr>
            <w:r>
              <w:rPr>
                <w:rFonts w:hint="eastAsia"/>
              </w:rPr>
              <w:t>账号有效期</w:t>
            </w:r>
          </w:p>
        </w:tc>
        <w:tc>
          <w:tcPr>
            <w:tcW w:w="6817" w:type="dxa"/>
            <w:shd w:val="clear" w:color="auto" w:fill="auto"/>
          </w:tcPr>
          <w:p w14:paraId="417142A8">
            <w:pPr>
              <w:pStyle w:val="150"/>
            </w:pPr>
            <w:r>
              <w:rPr>
                <w:rFonts w:hint="eastAsia"/>
              </w:rPr>
              <w:t>选择账号的有效时间，超过有效期后账号失效。</w:t>
            </w:r>
          </w:p>
        </w:tc>
      </w:tr>
      <w:tr w14:paraId="2A38ABC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9DCC471">
            <w:pPr>
              <w:pStyle w:val="150"/>
            </w:pPr>
            <w:r>
              <w:rPr>
                <w:rFonts w:hint="eastAsia"/>
              </w:rPr>
              <w:t>预览注册页面</w:t>
            </w:r>
          </w:p>
        </w:tc>
        <w:tc>
          <w:tcPr>
            <w:tcW w:w="6817" w:type="dxa"/>
            <w:shd w:val="clear" w:color="auto" w:fill="auto"/>
          </w:tcPr>
          <w:p w14:paraId="05690D87">
            <w:pPr>
              <w:pStyle w:val="150"/>
            </w:pPr>
            <w:r>
              <w:rPr>
                <w:rFonts w:hint="eastAsia"/>
              </w:rPr>
              <w:t>查看注册提交的页面，预览页面布局。</w:t>
            </w:r>
          </w:p>
        </w:tc>
      </w:tr>
    </w:tbl>
    <w:p w14:paraId="5B23439E"/>
    <w:p w14:paraId="72E5D911">
      <w:pPr>
        <w:pStyle w:val="202"/>
        <w:rPr>
          <w:lang w:eastAsia="zh-CN"/>
        </w:rPr>
      </w:pPr>
      <w:r>
        <w:rPr>
          <w:rFonts w:hint="eastAsia"/>
          <w:lang w:eastAsia="zh-CN"/>
        </w:rPr>
        <w:t>（可选）在注册内容项列表框单击“新增”，可添加自定义注册内容项，如</w:t>
      </w:r>
      <w:r>
        <w:fldChar w:fldCharType="begin"/>
      </w:r>
      <w:r>
        <w:rPr>
          <w:lang w:eastAsia="zh-CN"/>
        </w:rPr>
        <w:instrText xml:space="preserve"> </w:instrText>
      </w:r>
      <w:r>
        <w:rPr>
          <w:rFonts w:hint="eastAsia"/>
          <w:lang w:eastAsia="zh-CN"/>
        </w:rPr>
        <w:instrText xml:space="preserve">REF _Ref167460078 \r \h</w:instrText>
      </w:r>
      <w:r>
        <w:rPr>
          <w:lang w:eastAsia="zh-CN"/>
        </w:rPr>
        <w:instrText xml:space="preserve"> </w:instrText>
      </w:r>
      <w:r>
        <w:fldChar w:fldCharType="separate"/>
      </w:r>
      <w:r>
        <w:rPr>
          <w:rFonts w:hint="eastAsia"/>
          <w:lang w:eastAsia="zh-CN"/>
        </w:rPr>
        <w:t>图31-145</w:t>
      </w:r>
      <w:r>
        <w:fldChar w:fldCharType="end"/>
      </w:r>
      <w:r>
        <w:rPr>
          <w:rFonts w:hint="eastAsia"/>
          <w:lang w:eastAsia="zh-CN"/>
        </w:rPr>
        <w:t>所示。在下拉列表中选择已配置的自定义属性，详细配置请参考</w:t>
      </w:r>
      <w:r>
        <w:fldChar w:fldCharType="begin"/>
      </w:r>
      <w:r>
        <w:rPr>
          <w:lang w:eastAsia="zh-CN"/>
        </w:rPr>
        <w:instrText xml:space="preserve"> </w:instrText>
      </w:r>
      <w:r>
        <w:rPr>
          <w:rFonts w:hint="eastAsia"/>
          <w:lang w:eastAsia="zh-CN"/>
        </w:rPr>
        <w:instrText xml:space="preserve">REF _Ref167459853 \h</w:instrText>
      </w:r>
      <w:r>
        <w:rPr>
          <w:lang w:eastAsia="zh-CN"/>
        </w:rPr>
        <w:instrText xml:space="preserve"> </w:instrText>
      </w:r>
      <w:r>
        <w:fldChar w:fldCharType="separate"/>
      </w:r>
      <w:r>
        <w:rPr>
          <w:rFonts w:hint="eastAsia"/>
          <w:lang w:eastAsia="zh-CN"/>
        </w:rPr>
        <w:t>自定义</w:t>
      </w:r>
      <w:r>
        <w:rPr>
          <w:lang w:eastAsia="zh-CN"/>
        </w:rPr>
        <w:t>属性</w:t>
      </w:r>
      <w:r>
        <w:fldChar w:fldCharType="end"/>
      </w:r>
      <w:r>
        <w:rPr>
          <w:rFonts w:hint="eastAsia"/>
          <w:lang w:eastAsia="zh-CN"/>
        </w:rPr>
        <w:t>。</w:t>
      </w:r>
    </w:p>
    <w:p w14:paraId="76C544C1">
      <w:r>
        <w:rPr>
          <w:rFonts w:hint="eastAsia"/>
        </w:rPr>
        <w:t>添加后，用户认证时，弹出的自注册页面会显示自定义的注册项，如果勾选“必填”，该注册内容项必须填写；自定义注册内容项最多可配置8个。</w:t>
      </w:r>
    </w:p>
    <w:p w14:paraId="08EB8964">
      <w:pPr>
        <w:pStyle w:val="188"/>
      </w:pPr>
      <w:bookmarkStart w:id="8945" w:name="_Ref167460078"/>
      <w:r>
        <w:t>新增自定义注册内容项</w:t>
      </w:r>
      <w:bookmarkEnd w:id="8945"/>
    </w:p>
    <w:p w14:paraId="4F027CBF">
      <w:pPr>
        <w:pStyle w:val="175"/>
      </w:pPr>
      <w:r>
        <w:drawing>
          <wp:inline distT="0" distB="0" distL="0" distR="0">
            <wp:extent cx="5269865" cy="2103755"/>
            <wp:effectExtent l="0" t="0" r="6985" b="0"/>
            <wp:docPr id="1296485347" name="图片 1296485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47" name="图片 1296485347"/>
                    <pic:cNvPicPr>
                      <a:picLocks noChangeAspect="1"/>
                    </pic:cNvPicPr>
                  </pic:nvPicPr>
                  <pic:blipFill>
                    <a:blip r:embed="rId1135"/>
                    <a:stretch>
                      <a:fillRect/>
                    </a:stretch>
                  </pic:blipFill>
                  <pic:spPr>
                    <a:xfrm>
                      <a:off x="0" y="0"/>
                      <a:ext cx="5276218" cy="2106875"/>
                    </a:xfrm>
                    <a:prstGeom prst="rect">
                      <a:avLst/>
                    </a:prstGeom>
                  </pic:spPr>
                </pic:pic>
              </a:graphicData>
            </a:graphic>
          </wp:inline>
        </w:drawing>
      </w:r>
    </w:p>
    <w:p w14:paraId="2D7886CD"/>
    <w:p w14:paraId="03D83108">
      <w:pPr>
        <w:pStyle w:val="202"/>
        <w:rPr>
          <w:lang w:eastAsia="zh-CN"/>
        </w:rPr>
      </w:pPr>
      <w:r>
        <w:rPr>
          <w:rFonts w:hint="eastAsia"/>
          <w:lang w:eastAsia="zh-CN"/>
        </w:rPr>
        <w:t>选择“审批设置”，进入审批设置页面，如下图所示。</w:t>
      </w:r>
    </w:p>
    <w:p w14:paraId="17DDA91F">
      <w:pPr>
        <w:pStyle w:val="188"/>
      </w:pPr>
      <w:r>
        <w:rPr>
          <w:rFonts w:hint="eastAsia"/>
        </w:rPr>
        <w:t>审批设置页面</w:t>
      </w:r>
    </w:p>
    <w:p w14:paraId="2DADB9FE">
      <w:r>
        <w:drawing>
          <wp:inline distT="0" distB="0" distL="114300" distR="114300">
            <wp:extent cx="5269865" cy="3330575"/>
            <wp:effectExtent l="0" t="0" r="6985" b="3175"/>
            <wp:docPr id="2918" name="图片 2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8" name="图片 2918"/>
                    <pic:cNvPicPr>
                      <a:picLocks noChangeAspect="1"/>
                    </pic:cNvPicPr>
                  </pic:nvPicPr>
                  <pic:blipFill>
                    <a:blip r:embed="rId1136"/>
                    <a:stretch>
                      <a:fillRect/>
                    </a:stretch>
                  </pic:blipFill>
                  <pic:spPr>
                    <a:xfrm>
                      <a:off x="0" y="0"/>
                      <a:ext cx="5269865" cy="3330575"/>
                    </a:xfrm>
                    <a:prstGeom prst="rect">
                      <a:avLst/>
                    </a:prstGeom>
                    <a:noFill/>
                    <a:ln>
                      <a:noFill/>
                    </a:ln>
                  </pic:spPr>
                </pic:pic>
              </a:graphicData>
            </a:graphic>
          </wp:inline>
        </w:drawing>
      </w:r>
    </w:p>
    <w:p w14:paraId="7CC513CB"/>
    <w:p w14:paraId="2F9560BD">
      <w:pPr>
        <w:pStyle w:val="183"/>
      </w:pPr>
      <w:bookmarkStart w:id="8946" w:name="_Toc141875606"/>
      <w:r>
        <w:rPr>
          <w:rFonts w:hint="eastAsia"/>
        </w:rPr>
        <w:t>审批设置页面说明</w:t>
      </w:r>
      <w:bookmarkEnd w:id="8946"/>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7"/>
      </w:tblGrid>
      <w:tr w14:paraId="7C4EC1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10ACEE3B">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7" w:type="dxa"/>
            <w:tcBorders>
              <w:tl2br w:val="nil"/>
              <w:tr2bl w:val="nil"/>
            </w:tcBorders>
            <w:shd w:val="clear" w:color="auto" w:fill="538135" w:themeFill="accent6" w:themeFillShade="BF"/>
            <w:vAlign w:val="center"/>
          </w:tcPr>
          <w:p w14:paraId="553C106B">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05CF1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7463E82E">
            <w:pPr>
              <w:pStyle w:val="150"/>
            </w:pPr>
            <w:r>
              <w:rPr>
                <w:rFonts w:hint="eastAsia"/>
              </w:rPr>
              <w:t>审批方式</w:t>
            </w:r>
          </w:p>
        </w:tc>
        <w:tc>
          <w:tcPr>
            <w:tcW w:w="6817" w:type="dxa"/>
            <w:shd w:val="clear" w:color="auto" w:fill="auto"/>
          </w:tcPr>
          <w:p w14:paraId="37CF2220">
            <w:pPr>
              <w:pStyle w:val="150"/>
            </w:pPr>
            <w:r>
              <w:rPr>
                <w:rFonts w:hint="eastAsia"/>
              </w:rPr>
              <w:t>选择是否需要审批，勾选需要审批后则需要选择审批人。</w:t>
            </w:r>
          </w:p>
        </w:tc>
      </w:tr>
      <w:tr w14:paraId="569D4AC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28A4E238">
            <w:pPr>
              <w:pStyle w:val="150"/>
            </w:pPr>
            <w:r>
              <w:rPr>
                <w:rFonts w:hint="eastAsia"/>
              </w:rPr>
              <w:t>审批人设置</w:t>
            </w:r>
          </w:p>
        </w:tc>
        <w:tc>
          <w:tcPr>
            <w:tcW w:w="6817" w:type="dxa"/>
            <w:shd w:val="clear" w:color="auto" w:fill="auto"/>
          </w:tcPr>
          <w:p w14:paraId="588738DD">
            <w:pPr>
              <w:pStyle w:val="150"/>
            </w:pPr>
            <w:r>
              <w:rPr>
                <w:rFonts w:hint="eastAsia"/>
              </w:rPr>
              <w:t>选择审批的管理员，其中设备审计员不能执行审批权限。</w:t>
            </w:r>
          </w:p>
        </w:tc>
      </w:tr>
      <w:tr w14:paraId="0E0E8DF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6B4B967A">
            <w:pPr>
              <w:pStyle w:val="150"/>
            </w:pPr>
            <w:r>
              <w:rPr>
                <w:rFonts w:hint="eastAsia"/>
              </w:rPr>
              <w:t>结果通知方式</w:t>
            </w:r>
          </w:p>
        </w:tc>
        <w:tc>
          <w:tcPr>
            <w:tcW w:w="6817" w:type="dxa"/>
            <w:shd w:val="clear" w:color="auto" w:fill="auto"/>
          </w:tcPr>
          <w:p w14:paraId="4DD8B7C3">
            <w:pPr>
              <w:pStyle w:val="150"/>
            </w:pPr>
            <w:r>
              <w:rPr>
                <w:rFonts w:hint="eastAsia"/>
              </w:rPr>
              <w:t>是否需要邮箱通知，选择邮箱通知后需要配置邮箱服务器，自注册信息中邮箱默认变为必填项。</w:t>
            </w:r>
          </w:p>
        </w:tc>
      </w:tr>
    </w:tbl>
    <w:p w14:paraId="5F699D5D"/>
    <w:p w14:paraId="71C6E80D">
      <w:pPr>
        <w:pStyle w:val="6"/>
      </w:pPr>
      <w:r>
        <w:t>终端注册</w:t>
      </w:r>
    </w:p>
    <w:p w14:paraId="76C130CE">
      <w:r>
        <w:rPr>
          <w:rFonts w:hint="eastAsia"/>
        </w:rPr>
        <w:t>进入“用户管理&gt;认证管理&gt;用户自注册”，点击&lt;新建&gt;并从下拉菜单选择“终端注册”，进入终端自注册对象配置页面。如下图所示。</w:t>
      </w:r>
    </w:p>
    <w:p w14:paraId="6C7A593A">
      <w:pPr>
        <w:pStyle w:val="188"/>
      </w:pPr>
      <w:bookmarkStart w:id="8947" w:name="_Toc141874905"/>
      <w:r>
        <w:rPr>
          <w:rFonts w:hint="eastAsia"/>
        </w:rPr>
        <w:t>终端注册配置界面</w:t>
      </w:r>
      <w:bookmarkEnd w:id="8947"/>
    </w:p>
    <w:p w14:paraId="2CBDF2CB">
      <w:r>
        <w:drawing>
          <wp:inline distT="0" distB="0" distL="0" distR="0">
            <wp:extent cx="5457825" cy="3716655"/>
            <wp:effectExtent l="0" t="0" r="0" b="0"/>
            <wp:docPr id="1296485348" name="图片 1296485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48" name="图片 1296485348"/>
                    <pic:cNvPicPr>
                      <a:picLocks noChangeAspect="1"/>
                    </pic:cNvPicPr>
                  </pic:nvPicPr>
                  <pic:blipFill>
                    <a:blip r:embed="rId1137"/>
                    <a:stretch>
                      <a:fillRect/>
                    </a:stretch>
                  </pic:blipFill>
                  <pic:spPr>
                    <a:xfrm>
                      <a:off x="0" y="0"/>
                      <a:ext cx="5461853" cy="3719997"/>
                    </a:xfrm>
                    <a:prstGeom prst="rect">
                      <a:avLst/>
                    </a:prstGeom>
                  </pic:spPr>
                </pic:pic>
              </a:graphicData>
            </a:graphic>
          </wp:inline>
        </w:drawing>
      </w:r>
    </w:p>
    <w:p w14:paraId="0E181ECE"/>
    <w:p w14:paraId="4E627C22">
      <w:pPr>
        <w:pStyle w:val="183"/>
      </w:pPr>
      <w:bookmarkStart w:id="8948" w:name="_Toc141875607"/>
      <w:r>
        <w:rPr>
          <w:rFonts w:hint="eastAsia"/>
        </w:rPr>
        <w:t>终端注册配置说明</w:t>
      </w:r>
      <w:bookmarkEnd w:id="8948"/>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7"/>
      </w:tblGrid>
      <w:tr w14:paraId="5E3C0F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33410024">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7" w:type="dxa"/>
            <w:tcBorders>
              <w:tl2br w:val="nil"/>
              <w:tr2bl w:val="nil"/>
            </w:tcBorders>
            <w:shd w:val="clear" w:color="auto" w:fill="538135" w:themeFill="accent6" w:themeFillShade="BF"/>
            <w:vAlign w:val="center"/>
          </w:tcPr>
          <w:p w14:paraId="5FAF2C1C">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BE40F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12B9FD4">
            <w:pPr>
              <w:pStyle w:val="150"/>
            </w:pPr>
            <w:r>
              <w:rPr>
                <w:rFonts w:hint="eastAsia"/>
              </w:rPr>
              <w:t>名称</w:t>
            </w:r>
          </w:p>
        </w:tc>
        <w:tc>
          <w:tcPr>
            <w:tcW w:w="6817" w:type="dxa"/>
            <w:shd w:val="clear" w:color="auto" w:fill="auto"/>
          </w:tcPr>
          <w:p w14:paraId="419F6B4C">
            <w:pPr>
              <w:pStyle w:val="150"/>
            </w:pPr>
            <w:r>
              <w:rPr>
                <w:rFonts w:hint="eastAsia"/>
              </w:rPr>
              <w:t>自注册对象的名称。</w:t>
            </w:r>
          </w:p>
        </w:tc>
      </w:tr>
      <w:tr w14:paraId="69F54E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17442F0D">
            <w:pPr>
              <w:pStyle w:val="150"/>
            </w:pPr>
            <w:r>
              <w:t>注册内容项</w:t>
            </w:r>
          </w:p>
        </w:tc>
        <w:tc>
          <w:tcPr>
            <w:tcW w:w="6817" w:type="dxa"/>
            <w:shd w:val="clear" w:color="auto" w:fill="auto"/>
          </w:tcPr>
          <w:p w14:paraId="2DCDB66D">
            <w:pPr>
              <w:pStyle w:val="150"/>
            </w:pPr>
            <w:r>
              <w:rPr>
                <w:rFonts w:hint="eastAsia"/>
              </w:rPr>
              <w:t>单击</w:t>
            </w:r>
            <w:r>
              <w:drawing>
                <wp:inline distT="0" distB="0" distL="0" distR="0">
                  <wp:extent cx="180340" cy="151765"/>
                  <wp:effectExtent l="0" t="0" r="0" b="635"/>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pic:cNvPicPr>
                        </pic:nvPicPr>
                        <pic:blipFill>
                          <a:blip r:embed="rId1134"/>
                          <a:stretch>
                            <a:fillRect/>
                          </a:stretch>
                        </pic:blipFill>
                        <pic:spPr>
                          <a:xfrm>
                            <a:off x="0" y="0"/>
                            <a:ext cx="180952" cy="152381"/>
                          </a:xfrm>
                          <a:prstGeom prst="rect">
                            <a:avLst/>
                          </a:prstGeom>
                        </pic:spPr>
                      </pic:pic>
                    </a:graphicData>
                  </a:graphic>
                </wp:inline>
              </w:drawing>
            </w:r>
            <w:r>
              <w:rPr>
                <w:rFonts w:hint="eastAsia"/>
              </w:rPr>
              <w:t>可设置为是否必填项，可以设置预置邮箱域名。</w:t>
            </w:r>
          </w:p>
          <w:p w14:paraId="47DC4FFC">
            <w:pPr>
              <w:pStyle w:val="150"/>
            </w:pPr>
            <w:r>
              <w:t>点击</w:t>
            </w:r>
            <w:r>
              <w:rPr>
                <w:rFonts w:hint="eastAsia"/>
              </w:rPr>
              <w:t xml:space="preserve">“新增”可添加自定义注册内容项，详细配置请参考 </w:t>
            </w:r>
            <w:r>
              <w:fldChar w:fldCharType="begin"/>
            </w:r>
            <w:r>
              <w:instrText xml:space="preserve"> </w:instrText>
            </w:r>
            <w:r>
              <w:rPr>
                <w:rFonts w:hint="eastAsia"/>
              </w:rPr>
              <w:instrText xml:space="preserve">REF _Ref167460415 \h</w:instrText>
            </w:r>
            <w:r>
              <w:instrText xml:space="preserve">  \* MERGEFORMAT </w:instrText>
            </w:r>
            <w:r>
              <w:fldChar w:fldCharType="separate"/>
            </w:r>
            <w:r>
              <w:t>账号注册</w:t>
            </w:r>
            <w:r>
              <w:fldChar w:fldCharType="end"/>
            </w:r>
            <w:r>
              <w:t>的相关配置步骤</w:t>
            </w:r>
            <w:r>
              <w:rPr>
                <w:rFonts w:hint="eastAsia"/>
              </w:rPr>
              <w:t>。</w:t>
            </w:r>
          </w:p>
        </w:tc>
      </w:tr>
      <w:tr w14:paraId="35B431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2E31A19">
            <w:pPr>
              <w:pStyle w:val="150"/>
            </w:pPr>
            <w:r>
              <w:rPr>
                <w:rFonts w:hint="eastAsia"/>
              </w:rPr>
              <w:t>注册用户所属组</w:t>
            </w:r>
          </w:p>
        </w:tc>
        <w:tc>
          <w:tcPr>
            <w:tcW w:w="6817" w:type="dxa"/>
            <w:shd w:val="clear" w:color="auto" w:fill="auto"/>
          </w:tcPr>
          <w:p w14:paraId="5D6CE5AE">
            <w:pPr>
              <w:pStyle w:val="150"/>
            </w:pPr>
            <w:r>
              <w:rPr>
                <w:rFonts w:hint="eastAsia"/>
              </w:rPr>
              <w:t>选择用户录入方式，可以指定注册用户所属用户组，也可以让注册的用户和认证策略用户在一个用户组，或让用户自己选择需要录入的用户组。</w:t>
            </w:r>
          </w:p>
        </w:tc>
      </w:tr>
      <w:tr w14:paraId="196E0B6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CE2DF83">
            <w:pPr>
              <w:pStyle w:val="150"/>
            </w:pPr>
            <w:r>
              <w:rPr>
                <w:rFonts w:hint="eastAsia"/>
              </w:rPr>
              <w:t>绑定方式</w:t>
            </w:r>
          </w:p>
        </w:tc>
        <w:tc>
          <w:tcPr>
            <w:tcW w:w="6817" w:type="dxa"/>
            <w:shd w:val="clear" w:color="auto" w:fill="auto"/>
          </w:tcPr>
          <w:p w14:paraId="06A595BC">
            <w:pPr>
              <w:pStyle w:val="150"/>
            </w:pPr>
            <w:r>
              <w:rPr>
                <w:rFonts w:hint="eastAsia"/>
              </w:rPr>
              <w:t>选择终端绑定的方式，IP或者Mac地址。</w:t>
            </w:r>
          </w:p>
        </w:tc>
      </w:tr>
      <w:tr w14:paraId="05746C4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2DB8AB3D">
            <w:pPr>
              <w:pStyle w:val="150"/>
            </w:pPr>
            <w:r>
              <w:rPr>
                <w:rFonts w:hint="eastAsia"/>
              </w:rPr>
              <w:t>账号有效期</w:t>
            </w:r>
          </w:p>
        </w:tc>
        <w:tc>
          <w:tcPr>
            <w:tcW w:w="6817" w:type="dxa"/>
            <w:shd w:val="clear" w:color="auto" w:fill="auto"/>
          </w:tcPr>
          <w:p w14:paraId="208E12D0">
            <w:pPr>
              <w:pStyle w:val="150"/>
            </w:pPr>
            <w:r>
              <w:rPr>
                <w:rFonts w:hint="eastAsia"/>
              </w:rPr>
              <w:t>选择账号的有效时间，超过有效期后账号失效。</w:t>
            </w:r>
          </w:p>
        </w:tc>
      </w:tr>
      <w:tr w14:paraId="7C92918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E6A10BE">
            <w:pPr>
              <w:pStyle w:val="150"/>
            </w:pPr>
            <w:r>
              <w:rPr>
                <w:rFonts w:hint="eastAsia"/>
              </w:rPr>
              <w:t>预览注册页面</w:t>
            </w:r>
          </w:p>
        </w:tc>
        <w:tc>
          <w:tcPr>
            <w:tcW w:w="6817" w:type="dxa"/>
            <w:shd w:val="clear" w:color="auto" w:fill="auto"/>
          </w:tcPr>
          <w:p w14:paraId="26113107">
            <w:pPr>
              <w:pStyle w:val="150"/>
            </w:pPr>
            <w:r>
              <w:rPr>
                <w:rFonts w:hint="eastAsia"/>
              </w:rPr>
              <w:t>查看注册提交的页面，预览页面布局。</w:t>
            </w:r>
          </w:p>
        </w:tc>
      </w:tr>
    </w:tbl>
    <w:p w14:paraId="1DE542BB"/>
    <w:p w14:paraId="7F3DC863">
      <w:r>
        <w:rPr>
          <w:rFonts w:hint="eastAsia"/>
        </w:rPr>
        <w:t>选择“审批设置”，进入审批设置页面，如下图所示。</w:t>
      </w:r>
    </w:p>
    <w:p w14:paraId="003D709C">
      <w:pPr>
        <w:pStyle w:val="188"/>
      </w:pPr>
      <w:bookmarkStart w:id="8949" w:name="_Toc141874906"/>
      <w:r>
        <w:rPr>
          <w:rFonts w:hint="eastAsia"/>
        </w:rPr>
        <w:t>审批设置页面</w:t>
      </w:r>
      <w:bookmarkEnd w:id="8949"/>
    </w:p>
    <w:p w14:paraId="5015C0DA">
      <w:r>
        <w:drawing>
          <wp:inline distT="0" distB="0" distL="114300" distR="114300">
            <wp:extent cx="5269865" cy="3330575"/>
            <wp:effectExtent l="0" t="0" r="6985" b="3175"/>
            <wp:docPr id="2945" name="图片 2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5" name="图片 2945"/>
                    <pic:cNvPicPr>
                      <a:picLocks noChangeAspect="1"/>
                    </pic:cNvPicPr>
                  </pic:nvPicPr>
                  <pic:blipFill>
                    <a:blip r:embed="rId1136"/>
                    <a:stretch>
                      <a:fillRect/>
                    </a:stretch>
                  </pic:blipFill>
                  <pic:spPr>
                    <a:xfrm>
                      <a:off x="0" y="0"/>
                      <a:ext cx="5269865" cy="3330575"/>
                    </a:xfrm>
                    <a:prstGeom prst="rect">
                      <a:avLst/>
                    </a:prstGeom>
                    <a:noFill/>
                    <a:ln>
                      <a:noFill/>
                    </a:ln>
                  </pic:spPr>
                </pic:pic>
              </a:graphicData>
            </a:graphic>
          </wp:inline>
        </w:drawing>
      </w:r>
    </w:p>
    <w:p w14:paraId="6D943D2A"/>
    <w:p w14:paraId="6AFB77E8">
      <w:pPr>
        <w:pStyle w:val="183"/>
      </w:pPr>
      <w:bookmarkStart w:id="8950" w:name="_Toc141875608"/>
      <w:r>
        <w:rPr>
          <w:rFonts w:hint="eastAsia"/>
        </w:rPr>
        <w:t>审批设置页面说明</w:t>
      </w:r>
      <w:bookmarkEnd w:id="8950"/>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7"/>
      </w:tblGrid>
      <w:tr w14:paraId="6B5464F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4C33DEAA">
            <w:pPr>
              <w:pStyle w:val="149"/>
              <w:wordWrap/>
              <w:rPr>
                <w:b/>
                <w:bCs/>
                <w:i w:val="0"/>
                <w:iCs w:val="0"/>
              </w:rPr>
            </w:pPr>
            <w:r>
              <w:rPr>
                <w:rFonts w:hint="eastAsia"/>
                <w:b/>
                <w:bCs/>
                <w:i w:val="0"/>
                <w:iCs w:val="0"/>
              </w:rPr>
              <w:t>项目</w:t>
            </w:r>
          </w:p>
        </w:tc>
        <w:tc>
          <w:tcPr>
            <w:tcW w:w="6817" w:type="dxa"/>
            <w:tcBorders>
              <w:tl2br w:val="nil"/>
              <w:tr2bl w:val="nil"/>
            </w:tcBorders>
            <w:shd w:val="clear" w:color="auto" w:fill="538135" w:themeFill="accent6" w:themeFillShade="BF"/>
            <w:vAlign w:val="center"/>
          </w:tcPr>
          <w:p w14:paraId="7CF2026F">
            <w:pPr>
              <w:pStyle w:val="149"/>
              <w:wordWrap/>
              <w:rPr>
                <w:b/>
                <w:bCs/>
                <w:i w:val="0"/>
                <w:iCs w:val="0"/>
              </w:rPr>
            </w:pPr>
            <w:r>
              <w:rPr>
                <w:rFonts w:hint="eastAsia"/>
                <w:b/>
                <w:bCs/>
                <w:i w:val="0"/>
                <w:iCs w:val="0"/>
              </w:rPr>
              <w:t>说明</w:t>
            </w:r>
          </w:p>
        </w:tc>
      </w:tr>
      <w:tr w14:paraId="6313C9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1FB34A1A">
            <w:pPr>
              <w:pStyle w:val="150"/>
            </w:pPr>
            <w:r>
              <w:rPr>
                <w:rFonts w:hint="eastAsia"/>
              </w:rPr>
              <w:t>审批方式</w:t>
            </w:r>
          </w:p>
        </w:tc>
        <w:tc>
          <w:tcPr>
            <w:tcW w:w="6817" w:type="dxa"/>
            <w:shd w:val="clear" w:color="auto" w:fill="auto"/>
          </w:tcPr>
          <w:p w14:paraId="3C2E9B97">
            <w:pPr>
              <w:pStyle w:val="150"/>
            </w:pPr>
            <w:r>
              <w:rPr>
                <w:rFonts w:hint="eastAsia"/>
              </w:rPr>
              <w:t>选择是否需要审批，勾选需要审批后则需要选择审批人。</w:t>
            </w:r>
          </w:p>
        </w:tc>
      </w:tr>
      <w:tr w14:paraId="332A6A4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913A481">
            <w:pPr>
              <w:pStyle w:val="150"/>
            </w:pPr>
            <w:r>
              <w:rPr>
                <w:rFonts w:hint="eastAsia"/>
              </w:rPr>
              <w:t>审批人设置</w:t>
            </w:r>
          </w:p>
        </w:tc>
        <w:tc>
          <w:tcPr>
            <w:tcW w:w="6817" w:type="dxa"/>
            <w:shd w:val="clear" w:color="auto" w:fill="auto"/>
          </w:tcPr>
          <w:p w14:paraId="519A9A9D">
            <w:pPr>
              <w:pStyle w:val="150"/>
            </w:pPr>
            <w:r>
              <w:rPr>
                <w:rFonts w:hint="eastAsia"/>
              </w:rPr>
              <w:t>选择审批的管理员，其中设备审计员不能执行审批权限。</w:t>
            </w:r>
          </w:p>
        </w:tc>
      </w:tr>
      <w:tr w14:paraId="3A6199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7D3B04B2">
            <w:pPr>
              <w:pStyle w:val="150"/>
            </w:pPr>
            <w:r>
              <w:rPr>
                <w:rFonts w:hint="eastAsia"/>
              </w:rPr>
              <w:t>结果通知方式</w:t>
            </w:r>
          </w:p>
        </w:tc>
        <w:tc>
          <w:tcPr>
            <w:tcW w:w="6817" w:type="dxa"/>
            <w:shd w:val="clear" w:color="auto" w:fill="auto"/>
          </w:tcPr>
          <w:p w14:paraId="5C300CA2">
            <w:pPr>
              <w:pStyle w:val="150"/>
            </w:pPr>
            <w:r>
              <w:rPr>
                <w:rFonts w:hint="eastAsia"/>
              </w:rPr>
              <w:t>是否需要邮箱通知，选择邮箱通知后需要配置邮箱服务器，自注册信息中邮箱默认变为必填项。</w:t>
            </w:r>
          </w:p>
        </w:tc>
      </w:tr>
    </w:tbl>
    <w:p w14:paraId="4D437292"/>
    <w:p w14:paraId="2F8F2315">
      <w:pPr>
        <w:pStyle w:val="5"/>
      </w:pPr>
      <w:bookmarkStart w:id="8951" w:name="_Toc80264575"/>
      <w:bookmarkStart w:id="8952" w:name="_Toc142401071"/>
      <w:bookmarkStart w:id="8953" w:name="_Toc194081202"/>
      <w:bookmarkStart w:id="8954" w:name="_Toc196728530"/>
      <w:bookmarkStart w:id="8955" w:name="_Toc99561639"/>
      <w:bookmarkStart w:id="8956" w:name="_Toc172218318"/>
      <w:bookmarkStart w:id="8957" w:name="_Toc141873555"/>
      <w:r>
        <w:rPr>
          <w:rFonts w:hint="eastAsia"/>
        </w:rPr>
        <w:t>配置认证策略</w:t>
      </w:r>
      <w:bookmarkEnd w:id="8951"/>
      <w:bookmarkEnd w:id="8952"/>
      <w:bookmarkEnd w:id="8953"/>
      <w:bookmarkEnd w:id="8954"/>
      <w:bookmarkEnd w:id="8955"/>
      <w:bookmarkEnd w:id="8956"/>
      <w:bookmarkEnd w:id="8957"/>
    </w:p>
    <w:p w14:paraId="2141A084">
      <w:r>
        <w:rPr>
          <w:rFonts w:hint="eastAsia"/>
        </w:rPr>
        <w:t>进入“用户管理&gt;认证管理&gt;认证策略”，单击&lt;新建&gt;，进入认证策略配置页面。选择是否启用自注册，选择新建的自注册对象，如下图所示。</w:t>
      </w:r>
    </w:p>
    <w:p w14:paraId="6DB7B128">
      <w:pPr>
        <w:pStyle w:val="188"/>
      </w:pPr>
      <w:bookmarkStart w:id="8958" w:name="_Toc141874907"/>
      <w:r>
        <w:rPr>
          <w:rFonts w:hint="eastAsia"/>
        </w:rPr>
        <w:t>用户自注册认证策略配置页面</w:t>
      </w:r>
      <w:bookmarkEnd w:id="8958"/>
    </w:p>
    <w:p w14:paraId="3B143721">
      <w:pPr>
        <w:spacing w:before="79" w:after="79"/>
      </w:pPr>
      <w:r>
        <w:drawing>
          <wp:inline distT="0" distB="0" distL="114300" distR="114300">
            <wp:extent cx="4396105" cy="5274945"/>
            <wp:effectExtent l="0" t="0" r="4445" b="1905"/>
            <wp:docPr id="673"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图片 72"/>
                    <pic:cNvPicPr>
                      <a:picLocks noChangeAspect="1"/>
                    </pic:cNvPicPr>
                  </pic:nvPicPr>
                  <pic:blipFill>
                    <a:blip r:embed="rId1138"/>
                    <a:stretch>
                      <a:fillRect/>
                    </a:stretch>
                  </pic:blipFill>
                  <pic:spPr>
                    <a:xfrm>
                      <a:off x="0" y="0"/>
                      <a:ext cx="4400168" cy="5280438"/>
                    </a:xfrm>
                    <a:prstGeom prst="rect">
                      <a:avLst/>
                    </a:prstGeom>
                    <a:noFill/>
                    <a:ln>
                      <a:noFill/>
                    </a:ln>
                  </pic:spPr>
                </pic:pic>
              </a:graphicData>
            </a:graphic>
          </wp:inline>
        </w:drawing>
      </w:r>
    </w:p>
    <w:p w14:paraId="1193C089">
      <w:pPr>
        <w:pStyle w:val="5"/>
      </w:pPr>
      <w:bookmarkStart w:id="8959" w:name="_Toc172218319"/>
      <w:bookmarkStart w:id="8960" w:name="_Toc194081203"/>
      <w:bookmarkStart w:id="8961" w:name="_Toc196728531"/>
      <w:r>
        <w:rPr>
          <w:rFonts w:hint="eastAsia"/>
        </w:rPr>
        <w:t>提交自注册信息</w:t>
      </w:r>
      <w:bookmarkEnd w:id="8959"/>
      <w:bookmarkEnd w:id="8960"/>
      <w:bookmarkEnd w:id="8961"/>
    </w:p>
    <w:p w14:paraId="6C4E0F8C">
      <w:r>
        <w:t>配置用户自注册完成后</w:t>
      </w:r>
      <w:r>
        <w:rPr>
          <w:rFonts w:hint="eastAsia"/>
        </w:rPr>
        <w:t>，</w:t>
      </w:r>
      <w:r>
        <w:t>用户访问外网时</w:t>
      </w:r>
      <w:r>
        <w:rPr>
          <w:rFonts w:hint="eastAsia"/>
        </w:rPr>
        <w:t>，</w:t>
      </w:r>
      <w:r>
        <w:t>弹出注册页面</w:t>
      </w:r>
      <w:r>
        <w:rPr>
          <w:rFonts w:hint="eastAsia"/>
        </w:rPr>
        <w:t>，输入注册的信息后单击“提交”，提交管理员审批。</w:t>
      </w:r>
    </w:p>
    <w:p w14:paraId="09B76E84">
      <w:pPr>
        <w:pStyle w:val="188"/>
      </w:pPr>
      <w:r>
        <w:rPr>
          <w:rFonts w:hint="eastAsia"/>
        </w:rPr>
        <w:t>用户注册页面</w:t>
      </w:r>
    </w:p>
    <w:p w14:paraId="5D176CC8">
      <w:r>
        <w:drawing>
          <wp:inline distT="0" distB="0" distL="0" distR="0">
            <wp:extent cx="2381250" cy="2978150"/>
            <wp:effectExtent l="0" t="0" r="0" b="0"/>
            <wp:docPr id="1296485354" name="图片 1296485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54" name="图片 1296485354"/>
                    <pic:cNvPicPr>
                      <a:picLocks noChangeAspect="1"/>
                    </pic:cNvPicPr>
                  </pic:nvPicPr>
                  <pic:blipFill>
                    <a:blip r:embed="rId1139"/>
                    <a:stretch>
                      <a:fillRect/>
                    </a:stretch>
                  </pic:blipFill>
                  <pic:spPr>
                    <a:xfrm>
                      <a:off x="0" y="0"/>
                      <a:ext cx="2384927" cy="2983052"/>
                    </a:xfrm>
                    <a:prstGeom prst="rect">
                      <a:avLst/>
                    </a:prstGeom>
                  </pic:spPr>
                </pic:pic>
              </a:graphicData>
            </a:graphic>
          </wp:inline>
        </w:drawing>
      </w:r>
    </w:p>
    <w:p w14:paraId="66B522A6"/>
    <w:p w14:paraId="4DFF2D05">
      <w:pPr>
        <w:pStyle w:val="5"/>
      </w:pPr>
      <w:bookmarkStart w:id="8962" w:name="_Toc141873556"/>
      <w:bookmarkStart w:id="8963" w:name="_Toc142401072"/>
      <w:bookmarkStart w:id="8964" w:name="_Toc172218320"/>
      <w:bookmarkStart w:id="8965" w:name="_Toc80264576"/>
      <w:bookmarkStart w:id="8966" w:name="_Toc99561640"/>
      <w:bookmarkStart w:id="8967" w:name="_Toc196728532"/>
      <w:bookmarkStart w:id="8968" w:name="_Toc194081204"/>
      <w:r>
        <w:rPr>
          <w:rFonts w:hint="eastAsia"/>
        </w:rPr>
        <w:t>管理员审批</w:t>
      </w:r>
      <w:bookmarkEnd w:id="8962"/>
      <w:bookmarkEnd w:id="8963"/>
      <w:bookmarkEnd w:id="8964"/>
      <w:bookmarkEnd w:id="8965"/>
      <w:bookmarkEnd w:id="8966"/>
      <w:bookmarkEnd w:id="8967"/>
      <w:bookmarkEnd w:id="8968"/>
    </w:p>
    <w:p w14:paraId="516EF62D">
      <w:pPr>
        <w:pStyle w:val="6"/>
      </w:pPr>
      <w:r>
        <w:t>查看审批列表</w:t>
      </w:r>
    </w:p>
    <w:p w14:paraId="28E702A0">
      <w:r>
        <w:rPr>
          <w:rFonts w:hint="eastAsia"/>
        </w:rPr>
        <w:t>使用设置的审批管理员账号登录设备Web管理页面，进入“用户管理&gt;认证管理&gt;用户自注册&gt;审批列表”，可以查看待审批的用户列表，如下图所示。</w:t>
      </w:r>
    </w:p>
    <w:p w14:paraId="415C8BA4">
      <w:pPr>
        <w:pStyle w:val="188"/>
      </w:pPr>
      <w:bookmarkStart w:id="8969" w:name="_Toc141874908"/>
      <w:r>
        <w:rPr>
          <w:rFonts w:hint="eastAsia"/>
        </w:rPr>
        <w:t>审批列表</w:t>
      </w:r>
      <w:bookmarkEnd w:id="8969"/>
    </w:p>
    <w:p w14:paraId="1665F26A">
      <w:r>
        <w:drawing>
          <wp:inline distT="0" distB="0" distL="0" distR="0">
            <wp:extent cx="6120765" cy="965835"/>
            <wp:effectExtent l="0" t="0" r="0" b="5715"/>
            <wp:docPr id="1802027855" name="图片 1802027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55" name="图片 1802027855"/>
                    <pic:cNvPicPr>
                      <a:picLocks noChangeAspect="1"/>
                    </pic:cNvPicPr>
                  </pic:nvPicPr>
                  <pic:blipFill>
                    <a:blip r:embed="rId1140"/>
                    <a:stretch>
                      <a:fillRect/>
                    </a:stretch>
                  </pic:blipFill>
                  <pic:spPr>
                    <a:xfrm>
                      <a:off x="0" y="0"/>
                      <a:ext cx="6120765" cy="965835"/>
                    </a:xfrm>
                    <a:prstGeom prst="rect">
                      <a:avLst/>
                    </a:prstGeom>
                  </pic:spPr>
                </pic:pic>
              </a:graphicData>
            </a:graphic>
          </wp:inline>
        </w:drawing>
      </w:r>
    </w:p>
    <w:p w14:paraId="60118C32">
      <w:pPr>
        <w:pStyle w:val="6"/>
      </w:pPr>
      <w:r>
        <w:t>查看审批列表详情</w:t>
      </w:r>
    </w:p>
    <w:p w14:paraId="1C3C4324">
      <w:r>
        <w:t>单击</w:t>
      </w:r>
      <w:r>
        <w:rPr>
          <w:rFonts w:hint="eastAsia"/>
        </w:rPr>
        <w:t>&lt;</w:t>
      </w:r>
      <w:r>
        <w:t>详细&gt;按钮可以查看申请审批的详细信息</w:t>
      </w:r>
      <w:r>
        <w:rPr>
          <w:rFonts w:hint="eastAsia"/>
        </w:rPr>
        <w:t>，</w:t>
      </w:r>
      <w:r>
        <w:t>如下图所示</w:t>
      </w:r>
      <w:r>
        <w:rPr>
          <w:rFonts w:hint="eastAsia"/>
        </w:rPr>
        <w:t>。</w:t>
      </w:r>
    </w:p>
    <w:p w14:paraId="4EE881E9">
      <w:pPr>
        <w:pStyle w:val="188"/>
      </w:pPr>
      <w:bookmarkStart w:id="8970" w:name="_Toc141874909"/>
      <w:r>
        <w:rPr>
          <w:rFonts w:hint="eastAsia"/>
        </w:rPr>
        <w:t>审批列表详情页面</w:t>
      </w:r>
      <w:bookmarkEnd w:id="8970"/>
    </w:p>
    <w:p w14:paraId="48CCAC93">
      <w:r>
        <w:drawing>
          <wp:inline distT="0" distB="0" distL="0" distR="0">
            <wp:extent cx="5591175" cy="2372360"/>
            <wp:effectExtent l="0" t="0" r="0" b="8890"/>
            <wp:docPr id="1296485352" name="图片 1296485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52" name="图片 1296485352"/>
                    <pic:cNvPicPr>
                      <a:picLocks noChangeAspect="1"/>
                    </pic:cNvPicPr>
                  </pic:nvPicPr>
                  <pic:blipFill>
                    <a:blip r:embed="rId1141"/>
                    <a:stretch>
                      <a:fillRect/>
                    </a:stretch>
                  </pic:blipFill>
                  <pic:spPr>
                    <a:xfrm>
                      <a:off x="0" y="0"/>
                      <a:ext cx="5597484" cy="2375518"/>
                    </a:xfrm>
                    <a:prstGeom prst="rect">
                      <a:avLst/>
                    </a:prstGeom>
                  </pic:spPr>
                </pic:pic>
              </a:graphicData>
            </a:graphic>
          </wp:inline>
        </w:drawing>
      </w:r>
    </w:p>
    <w:p w14:paraId="6F055093"/>
    <w:p w14:paraId="39F11B0D">
      <w:pPr>
        <w:pStyle w:val="6"/>
      </w:pPr>
      <w:r>
        <w:rPr>
          <w:rFonts w:hint="eastAsia"/>
        </w:rPr>
        <w:t>审批操作</w:t>
      </w:r>
    </w:p>
    <w:p w14:paraId="71A7A11B">
      <w:r>
        <w:rPr>
          <w:rFonts w:hint="eastAsia"/>
        </w:rPr>
        <w:t>单击审批按钮</w:t>
      </w:r>
      <w:r>
        <w:drawing>
          <wp:inline distT="0" distB="0" distL="0" distR="0">
            <wp:extent cx="189865" cy="161290"/>
            <wp:effectExtent l="0" t="0" r="635" b="0"/>
            <wp:docPr id="2993" name="图片 2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3" name="图片 2993"/>
                    <pic:cNvPicPr>
                      <a:picLocks noChangeAspect="1"/>
                    </pic:cNvPicPr>
                  </pic:nvPicPr>
                  <pic:blipFill>
                    <a:blip r:embed="rId1142"/>
                    <a:stretch>
                      <a:fillRect/>
                    </a:stretch>
                  </pic:blipFill>
                  <pic:spPr>
                    <a:xfrm>
                      <a:off x="0" y="0"/>
                      <a:ext cx="190476" cy="161905"/>
                    </a:xfrm>
                    <a:prstGeom prst="rect">
                      <a:avLst/>
                    </a:prstGeom>
                  </pic:spPr>
                </pic:pic>
              </a:graphicData>
            </a:graphic>
          </wp:inline>
        </w:drawing>
      </w:r>
      <w:r>
        <w:rPr>
          <w:rFonts w:hint="eastAsia"/>
        </w:rPr>
        <w:t>通过审批，可以输入通过意见，单击&lt;提交&gt;</w:t>
      </w:r>
      <w:r>
        <w:t>完成审批</w:t>
      </w:r>
      <w:r>
        <w:rPr>
          <w:rFonts w:hint="eastAsia"/>
        </w:rPr>
        <w:t>，如下图所示。审批通过的用户才可以使用注册的账号密码登录上网。</w:t>
      </w:r>
    </w:p>
    <w:p w14:paraId="46DC6B6A">
      <w:pPr>
        <w:pStyle w:val="188"/>
      </w:pPr>
      <w:bookmarkStart w:id="8971" w:name="_Toc141874910"/>
      <w:r>
        <w:rPr>
          <w:rFonts w:hint="eastAsia"/>
        </w:rPr>
        <w:t>审批通过页面</w:t>
      </w:r>
      <w:bookmarkEnd w:id="8971"/>
    </w:p>
    <w:p w14:paraId="11119CD9">
      <w:r>
        <w:drawing>
          <wp:inline distT="0" distB="0" distL="0" distR="0">
            <wp:extent cx="5638800" cy="2553335"/>
            <wp:effectExtent l="0" t="0" r="0" b="0"/>
            <wp:docPr id="2994" name="图片 2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4" name="图片 2994"/>
                    <pic:cNvPicPr>
                      <a:picLocks noChangeAspect="1"/>
                    </pic:cNvPicPr>
                  </pic:nvPicPr>
                  <pic:blipFill>
                    <a:blip r:embed="rId1143"/>
                    <a:stretch>
                      <a:fillRect/>
                    </a:stretch>
                  </pic:blipFill>
                  <pic:spPr>
                    <a:xfrm>
                      <a:off x="0" y="0"/>
                      <a:ext cx="5642693" cy="2555281"/>
                    </a:xfrm>
                    <a:prstGeom prst="rect">
                      <a:avLst/>
                    </a:prstGeom>
                  </pic:spPr>
                </pic:pic>
              </a:graphicData>
            </a:graphic>
          </wp:inline>
        </w:drawing>
      </w:r>
    </w:p>
    <w:p w14:paraId="6BBAF46A"/>
    <w:p w14:paraId="7E3F8090">
      <w:r>
        <w:rPr>
          <w:rFonts w:hint="eastAsia"/>
        </w:rPr>
        <w:t>单击审批按钮</w:t>
      </w:r>
      <w:r>
        <w:drawing>
          <wp:inline distT="0" distB="0" distL="0" distR="0">
            <wp:extent cx="180340" cy="161290"/>
            <wp:effectExtent l="0" t="0" r="0" b="0"/>
            <wp:docPr id="3006" name="图片 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6" name="图片 3006"/>
                    <pic:cNvPicPr>
                      <a:picLocks noChangeAspect="1"/>
                    </pic:cNvPicPr>
                  </pic:nvPicPr>
                  <pic:blipFill>
                    <a:blip r:embed="rId1144"/>
                    <a:stretch>
                      <a:fillRect/>
                    </a:stretch>
                  </pic:blipFill>
                  <pic:spPr>
                    <a:xfrm>
                      <a:off x="0" y="0"/>
                      <a:ext cx="180952" cy="161905"/>
                    </a:xfrm>
                    <a:prstGeom prst="rect">
                      <a:avLst/>
                    </a:prstGeom>
                  </pic:spPr>
                </pic:pic>
              </a:graphicData>
            </a:graphic>
          </wp:inline>
        </w:drawing>
      </w:r>
      <w:r>
        <w:rPr>
          <w:rFonts w:hint="eastAsia"/>
        </w:rPr>
        <w:t>拒绝审批，可以输入拒绝意见，单击&lt;提交&gt;</w:t>
      </w:r>
      <w:r>
        <w:t>完成审批</w:t>
      </w:r>
      <w:r>
        <w:rPr>
          <w:rFonts w:hint="eastAsia"/>
        </w:rPr>
        <w:t>，如下图所示。审批未通过的用户不可以使用注册的账号密码登录上网。</w:t>
      </w:r>
    </w:p>
    <w:p w14:paraId="65341077">
      <w:pPr>
        <w:pStyle w:val="188"/>
      </w:pPr>
      <w:bookmarkStart w:id="8972" w:name="_Toc141874911"/>
      <w:r>
        <w:rPr>
          <w:rFonts w:hint="eastAsia"/>
        </w:rPr>
        <w:t>审批拒绝页面</w:t>
      </w:r>
      <w:bookmarkEnd w:id="8972"/>
    </w:p>
    <w:p w14:paraId="1968A4B0">
      <w:r>
        <w:drawing>
          <wp:inline distT="0" distB="0" distL="0" distR="0">
            <wp:extent cx="5543550" cy="2444750"/>
            <wp:effectExtent l="0" t="0" r="0"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icPr>
                  <pic:blipFill>
                    <a:blip r:embed="rId1145"/>
                    <a:stretch>
                      <a:fillRect/>
                    </a:stretch>
                  </pic:blipFill>
                  <pic:spPr>
                    <a:xfrm>
                      <a:off x="0" y="0"/>
                      <a:ext cx="5549584" cy="2447482"/>
                    </a:xfrm>
                    <a:prstGeom prst="rect">
                      <a:avLst/>
                    </a:prstGeom>
                  </pic:spPr>
                </pic:pic>
              </a:graphicData>
            </a:graphic>
          </wp:inline>
        </w:drawing>
      </w:r>
    </w:p>
    <w:p w14:paraId="5E82A64A"/>
    <w:p w14:paraId="5532411E">
      <w:r>
        <w:rPr>
          <w:rFonts w:hint="eastAsia"/>
        </w:rPr>
        <w:t>在审批列表中选择多个审批记录，点击</w:t>
      </w:r>
      <w:r>
        <w:drawing>
          <wp:inline distT="0" distB="0" distL="0" distR="0">
            <wp:extent cx="732790" cy="208915"/>
            <wp:effectExtent l="0" t="0" r="0" b="635"/>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1146"/>
                    <a:stretch>
                      <a:fillRect/>
                    </a:stretch>
                  </pic:blipFill>
                  <pic:spPr>
                    <a:xfrm>
                      <a:off x="0" y="0"/>
                      <a:ext cx="733333" cy="209524"/>
                    </a:xfrm>
                    <a:prstGeom prst="rect">
                      <a:avLst/>
                    </a:prstGeom>
                  </pic:spPr>
                </pic:pic>
              </a:graphicData>
            </a:graphic>
          </wp:inline>
        </w:drawing>
      </w:r>
      <w:r>
        <w:rPr>
          <w:rFonts w:hint="eastAsia"/>
        </w:rPr>
        <w:t>或</w:t>
      </w:r>
      <w:r>
        <w:drawing>
          <wp:inline distT="0" distB="0" distL="0" distR="0">
            <wp:extent cx="713740" cy="180340"/>
            <wp:effectExtent l="0" t="0" r="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1147"/>
                    <a:stretch>
                      <a:fillRect/>
                    </a:stretch>
                  </pic:blipFill>
                  <pic:spPr>
                    <a:xfrm>
                      <a:off x="0" y="0"/>
                      <a:ext cx="714286" cy="180952"/>
                    </a:xfrm>
                    <a:prstGeom prst="rect">
                      <a:avLst/>
                    </a:prstGeom>
                  </pic:spPr>
                </pic:pic>
              </a:graphicData>
            </a:graphic>
          </wp:inline>
        </w:drawing>
      </w:r>
      <w:r>
        <w:rPr>
          <w:rFonts w:hint="eastAsia"/>
        </w:rPr>
        <w:t>，可以批量进行审批。</w:t>
      </w:r>
    </w:p>
    <w:p w14:paraId="03F90CBF">
      <w:pPr>
        <w:pStyle w:val="188"/>
      </w:pPr>
      <w:bookmarkStart w:id="8973" w:name="_Toc141874912"/>
      <w:r>
        <w:rPr>
          <w:rFonts w:hint="eastAsia"/>
        </w:rPr>
        <w:t>用户自注册批量审批页面</w:t>
      </w:r>
      <w:bookmarkEnd w:id="8973"/>
    </w:p>
    <w:p w14:paraId="046A9DA2">
      <w:pPr>
        <w:spacing w:before="79" w:after="79"/>
      </w:pPr>
      <w:r>
        <w:drawing>
          <wp:inline distT="0" distB="0" distL="114300" distR="114300">
            <wp:extent cx="4833620" cy="2051050"/>
            <wp:effectExtent l="0" t="0" r="5080" b="6350"/>
            <wp:docPr id="4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2"/>
                    <pic:cNvPicPr>
                      <a:picLocks noChangeAspect="1"/>
                    </pic:cNvPicPr>
                  </pic:nvPicPr>
                  <pic:blipFill>
                    <a:blip r:embed="rId1148"/>
                    <a:stretch>
                      <a:fillRect/>
                    </a:stretch>
                  </pic:blipFill>
                  <pic:spPr>
                    <a:xfrm>
                      <a:off x="0" y="0"/>
                      <a:ext cx="4833620" cy="2051050"/>
                    </a:xfrm>
                    <a:prstGeom prst="rect">
                      <a:avLst/>
                    </a:prstGeom>
                    <a:noFill/>
                    <a:ln>
                      <a:noFill/>
                    </a:ln>
                  </pic:spPr>
                </pic:pic>
              </a:graphicData>
            </a:graphic>
          </wp:inline>
        </w:drawing>
      </w:r>
    </w:p>
    <w:p w14:paraId="092E03B5">
      <w:pPr>
        <w:spacing w:before="79" w:after="79"/>
      </w:pPr>
    </w:p>
    <w:p w14:paraId="4550DE8A">
      <w:pPr>
        <w:pStyle w:val="4"/>
      </w:pPr>
      <w:r>
        <w:rPr>
          <w:rFonts w:hint="eastAsia"/>
        </w:rPr>
        <w:t xml:space="preserve"> </w:t>
      </w:r>
      <w:bookmarkStart w:id="8974" w:name="_Toc172218321"/>
      <w:bookmarkStart w:id="8975" w:name="_Toc196728533"/>
      <w:bookmarkStart w:id="8976" w:name="_Toc194081205"/>
      <w:r>
        <w:rPr>
          <w:rFonts w:hint="eastAsia"/>
        </w:rPr>
        <w:t>802.1x认证配置</w:t>
      </w:r>
      <w:bookmarkEnd w:id="8974"/>
      <w:bookmarkEnd w:id="8975"/>
      <w:bookmarkEnd w:id="8976"/>
    </w:p>
    <w:p w14:paraId="4A763F48">
      <w:r>
        <w:rPr>
          <w:rFonts w:hint="eastAsia"/>
        </w:rPr>
        <w:t>802.1X协议是一种基于端口的网络接入控制协议（Port based network access control protocol）。“基于端口的网络接入控制”是指在局域网接入设备的端口这一级验证用户身份并控制其访问权限，通过802.1X认证能够实现保护企业内网安全性的目的。</w:t>
      </w:r>
    </w:p>
    <w:p w14:paraId="35667D41">
      <w:r>
        <w:rPr>
          <w:rFonts w:hint="eastAsia"/>
        </w:rPr>
        <w:t>802.1x认证的优点如下：</w:t>
      </w:r>
    </w:p>
    <w:p w14:paraId="37E0071F">
      <w:pPr>
        <w:pStyle w:val="162"/>
      </w:pPr>
      <w:r>
        <w:rPr>
          <w:rFonts w:hint="eastAsia"/>
        </w:rPr>
        <w:t>802.1X协议为二层协议，不需要到达三层，对接入设备的整体性能要求不高，可以有效降低建网成本。</w:t>
      </w:r>
    </w:p>
    <w:p w14:paraId="287E084E">
      <w:pPr>
        <w:pStyle w:val="162"/>
      </w:pPr>
      <w:r>
        <w:rPr>
          <w:rFonts w:hint="eastAsia"/>
        </w:rPr>
        <w:t>认证报文和数据报文通过逻辑接口分离，提高安全性。</w:t>
      </w:r>
    </w:p>
    <w:p w14:paraId="06115C3A"/>
    <w:p w14:paraId="630BBFE9">
      <w:r>
        <w:rPr>
          <w:rFonts w:hint="eastAsia"/>
        </w:rPr>
        <w:t>802.1x认证可以应用在企业网、校园网等网络中：</w:t>
      </w:r>
    </w:p>
    <w:p w14:paraId="54CE393E">
      <w:pPr>
        <w:pStyle w:val="202"/>
        <w:rPr>
          <w:lang w:eastAsia="zh-CN"/>
        </w:rPr>
      </w:pPr>
      <w:r>
        <w:rPr>
          <w:rFonts w:hint="eastAsia"/>
          <w:lang w:eastAsia="zh-CN"/>
        </w:rPr>
        <w:t>企业网中，为保证企业内部网络的安全性，需控制用户对网络的访问，只有通过认证的用户，才允许访问管理员授权的网络资源。</w:t>
      </w:r>
    </w:p>
    <w:p w14:paraId="178C2153">
      <w:pPr>
        <w:pStyle w:val="202"/>
        <w:rPr>
          <w:lang w:eastAsia="zh-CN"/>
        </w:rPr>
      </w:pPr>
      <w:r>
        <w:rPr>
          <w:rFonts w:hint="eastAsia"/>
          <w:lang w:eastAsia="zh-CN"/>
        </w:rPr>
        <w:t>校园网中，用户通过Proxy上网来实现“一个账号多人使用”的情况较普遍，引起了运营商的强烈关注。802.1x代理用户检测特性可以很好的解决这一场景。</w:t>
      </w:r>
    </w:p>
    <w:p w14:paraId="75E72113">
      <w:pPr>
        <w:pStyle w:val="5"/>
      </w:pPr>
      <w:bookmarkStart w:id="8977" w:name="_Toc196728534"/>
      <w:bookmarkStart w:id="8978" w:name="_Toc172218322"/>
      <w:bookmarkStart w:id="8979" w:name="_Toc194081206"/>
      <w:r>
        <w:rPr>
          <w:rFonts w:hint="eastAsia"/>
        </w:rPr>
        <w:t>配置802.1x认证</w:t>
      </w:r>
      <w:bookmarkEnd w:id="8977"/>
      <w:bookmarkEnd w:id="8978"/>
      <w:bookmarkEnd w:id="8979"/>
    </w:p>
    <w:p w14:paraId="3EECD162">
      <w:r>
        <w:rPr>
          <w:rFonts w:hint="eastAsia" w:asciiTheme="minorEastAsia" w:hAnsiTheme="minorEastAsia" w:eastAsiaTheme="minorEastAsia"/>
        </w:rPr>
        <w:t>在导航栏中选择“用户管理 &gt; 认证管理</w:t>
      </w:r>
      <w:r>
        <w:rPr>
          <w:rFonts w:asciiTheme="minorEastAsia" w:hAnsiTheme="minorEastAsia" w:eastAsiaTheme="minorEastAsia"/>
        </w:rPr>
        <w:t xml:space="preserve"> </w:t>
      </w:r>
      <w:r>
        <w:rPr>
          <w:rFonts w:hint="eastAsia" w:asciiTheme="minorEastAsia" w:hAnsiTheme="minorEastAsia" w:eastAsiaTheme="minorEastAsia"/>
        </w:rPr>
        <w:t>&gt;</w:t>
      </w:r>
      <w:r>
        <w:rPr>
          <w:rFonts w:asciiTheme="minorEastAsia" w:hAnsiTheme="minorEastAsia" w:eastAsiaTheme="minorEastAsia"/>
        </w:rPr>
        <w:t xml:space="preserve"> </w:t>
      </w:r>
      <w:r>
        <w:rPr>
          <w:rFonts w:hint="eastAsia" w:asciiTheme="minorEastAsia" w:hAnsiTheme="minorEastAsia" w:eastAsiaTheme="minorEastAsia"/>
        </w:rPr>
        <w:t>802.1x认证配置”，进入802.1x认证配置页面，编辑相关信息，点击&lt;提交&gt;。</w:t>
      </w:r>
    </w:p>
    <w:p w14:paraId="1E2983A1">
      <w:pPr>
        <w:pStyle w:val="188"/>
      </w:pPr>
      <w:r>
        <w:rPr>
          <w:rFonts w:hint="eastAsia"/>
        </w:rPr>
        <w:t>802.1x认证配置页面</w:t>
      </w:r>
    </w:p>
    <w:p w14:paraId="39AB87F6">
      <w:pPr>
        <w:pStyle w:val="175"/>
      </w:pPr>
      <w:r>
        <w:drawing>
          <wp:inline distT="0" distB="0" distL="114300" distR="114300">
            <wp:extent cx="3476625" cy="4945380"/>
            <wp:effectExtent l="0" t="0" r="0" b="7620"/>
            <wp:docPr id="3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1"/>
                    <pic:cNvPicPr>
                      <a:picLocks noChangeAspect="1"/>
                    </pic:cNvPicPr>
                  </pic:nvPicPr>
                  <pic:blipFill>
                    <a:blip r:embed="rId1149"/>
                    <a:stretch>
                      <a:fillRect/>
                    </a:stretch>
                  </pic:blipFill>
                  <pic:spPr>
                    <a:xfrm>
                      <a:off x="0" y="0"/>
                      <a:ext cx="3483361" cy="4955575"/>
                    </a:xfrm>
                    <a:prstGeom prst="rect">
                      <a:avLst/>
                    </a:prstGeom>
                    <a:noFill/>
                    <a:ln>
                      <a:noFill/>
                    </a:ln>
                  </pic:spPr>
                </pic:pic>
              </a:graphicData>
            </a:graphic>
          </wp:inline>
        </w:drawing>
      </w:r>
    </w:p>
    <w:p w14:paraId="048BC55B"/>
    <w:p w14:paraId="011EF780">
      <w:pPr>
        <w:pStyle w:val="183"/>
      </w:pPr>
      <w:r>
        <w:rPr>
          <w:rFonts w:hint="eastAsia"/>
        </w:rPr>
        <w:t>802.1x认证配置详细说明</w:t>
      </w:r>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461"/>
        <w:gridCol w:w="6553"/>
      </w:tblGrid>
      <w:tr w14:paraId="01148FF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461" w:type="dxa"/>
            <w:tcBorders>
              <w:tl2br w:val="nil"/>
              <w:tr2bl w:val="nil"/>
            </w:tcBorders>
            <w:shd w:val="clear" w:color="auto" w:fill="538135" w:themeFill="accent6" w:themeFillShade="BF"/>
            <w:vAlign w:val="center"/>
          </w:tcPr>
          <w:p w14:paraId="1C0988E6">
            <w:pPr>
              <w:pStyle w:val="149"/>
              <w:wordWrap/>
              <w:rPr>
                <w:b/>
                <w:bCs/>
                <w:i w:val="0"/>
                <w:iCs w:val="0"/>
              </w:rPr>
            </w:pPr>
            <w:r>
              <w:rPr>
                <w:rFonts w:hint="eastAsia"/>
                <w:b/>
                <w:bCs/>
                <w:i w:val="0"/>
                <w:iCs w:val="0"/>
              </w:rPr>
              <w:t>配置项</w:t>
            </w:r>
          </w:p>
        </w:tc>
        <w:tc>
          <w:tcPr>
            <w:tcW w:w="6553" w:type="dxa"/>
            <w:tcBorders>
              <w:tl2br w:val="nil"/>
              <w:tr2bl w:val="nil"/>
            </w:tcBorders>
            <w:shd w:val="clear" w:color="auto" w:fill="538135" w:themeFill="accent6" w:themeFillShade="BF"/>
            <w:vAlign w:val="center"/>
          </w:tcPr>
          <w:p w14:paraId="34D59727">
            <w:pPr>
              <w:pStyle w:val="149"/>
              <w:wordWrap/>
              <w:rPr>
                <w:b/>
                <w:bCs/>
                <w:i w:val="0"/>
                <w:iCs w:val="0"/>
              </w:rPr>
            </w:pPr>
            <w:r>
              <w:rPr>
                <w:rFonts w:hint="eastAsia"/>
                <w:b/>
                <w:bCs/>
                <w:i w:val="0"/>
                <w:iCs w:val="0"/>
              </w:rPr>
              <w:t>说明</w:t>
            </w:r>
          </w:p>
        </w:tc>
      </w:tr>
      <w:tr w14:paraId="7CA9F8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461" w:type="dxa"/>
            <w:shd w:val="clear" w:color="auto" w:fill="auto"/>
          </w:tcPr>
          <w:p w14:paraId="0CE3E24B">
            <w:pPr>
              <w:pStyle w:val="150"/>
            </w:pPr>
            <w:r>
              <w:rPr>
                <w:rFonts w:hint="eastAsia"/>
              </w:rPr>
              <w:t>启用</w:t>
            </w:r>
          </w:p>
        </w:tc>
        <w:tc>
          <w:tcPr>
            <w:tcW w:w="6553" w:type="dxa"/>
            <w:shd w:val="clear" w:color="auto" w:fill="auto"/>
          </w:tcPr>
          <w:p w14:paraId="1D6D1421">
            <w:pPr>
              <w:pStyle w:val="150"/>
            </w:pPr>
            <w:r>
              <w:rPr>
                <w:rFonts w:hint="eastAsia"/>
              </w:rPr>
              <w:t>勾选复选框启用802.1x认证</w:t>
            </w:r>
          </w:p>
        </w:tc>
      </w:tr>
      <w:tr w14:paraId="0B6BEA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461" w:type="dxa"/>
            <w:shd w:val="clear" w:color="auto" w:fill="auto"/>
          </w:tcPr>
          <w:p w14:paraId="1FA1B28F">
            <w:pPr>
              <w:pStyle w:val="150"/>
            </w:pPr>
            <w:r>
              <w:rPr>
                <w:rFonts w:hint="eastAsia"/>
              </w:rPr>
              <w:t>服务器认证端口</w:t>
            </w:r>
          </w:p>
        </w:tc>
        <w:tc>
          <w:tcPr>
            <w:tcW w:w="6553" w:type="dxa"/>
            <w:shd w:val="clear" w:color="auto" w:fill="auto"/>
          </w:tcPr>
          <w:p w14:paraId="194BC908">
            <w:pPr>
              <w:pStyle w:val="150"/>
            </w:pPr>
            <w:r>
              <w:rPr>
                <w:rFonts w:hint="eastAsia"/>
              </w:rPr>
              <w:t>配置认证端口，取值范围1-65535</w:t>
            </w:r>
          </w:p>
        </w:tc>
      </w:tr>
      <w:tr w14:paraId="4E1351E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461" w:type="dxa"/>
            <w:shd w:val="clear" w:color="auto" w:fill="auto"/>
          </w:tcPr>
          <w:p w14:paraId="460C81F4">
            <w:pPr>
              <w:pStyle w:val="150"/>
            </w:pPr>
            <w:r>
              <w:rPr>
                <w:rFonts w:hint="eastAsia"/>
              </w:rPr>
              <w:t>服务器计费端口</w:t>
            </w:r>
          </w:p>
        </w:tc>
        <w:tc>
          <w:tcPr>
            <w:tcW w:w="6553" w:type="dxa"/>
            <w:shd w:val="clear" w:color="auto" w:fill="auto"/>
          </w:tcPr>
          <w:p w14:paraId="68E2563D">
            <w:pPr>
              <w:pStyle w:val="150"/>
            </w:pPr>
            <w:r>
              <w:rPr>
                <w:rFonts w:hint="eastAsia"/>
              </w:rPr>
              <w:t>配置计费端口，取值范围1-65535</w:t>
            </w:r>
          </w:p>
        </w:tc>
      </w:tr>
      <w:tr w14:paraId="1A78E2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461" w:type="dxa"/>
            <w:shd w:val="clear" w:color="auto" w:fill="auto"/>
          </w:tcPr>
          <w:p w14:paraId="5638F7E8">
            <w:pPr>
              <w:pStyle w:val="150"/>
            </w:pPr>
            <w:r>
              <w:rPr>
                <w:rFonts w:hint="eastAsia"/>
              </w:rPr>
              <w:t>服务器密码</w:t>
            </w:r>
          </w:p>
        </w:tc>
        <w:tc>
          <w:tcPr>
            <w:tcW w:w="6553" w:type="dxa"/>
            <w:shd w:val="clear" w:color="auto" w:fill="auto"/>
          </w:tcPr>
          <w:p w14:paraId="628B70F2">
            <w:pPr>
              <w:pStyle w:val="150"/>
            </w:pPr>
            <w:r>
              <w:rPr>
                <w:rFonts w:hint="eastAsia"/>
              </w:rPr>
              <w:t>配置认证服务器密码</w:t>
            </w:r>
          </w:p>
        </w:tc>
      </w:tr>
      <w:tr w14:paraId="7C1F115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461" w:type="dxa"/>
            <w:shd w:val="clear" w:color="auto" w:fill="auto"/>
          </w:tcPr>
          <w:p w14:paraId="2AA1F272">
            <w:pPr>
              <w:pStyle w:val="150"/>
            </w:pPr>
            <w:r>
              <w:rPr>
                <w:rFonts w:hint="eastAsia"/>
              </w:rPr>
              <w:t>用户范围</w:t>
            </w:r>
          </w:p>
        </w:tc>
        <w:tc>
          <w:tcPr>
            <w:tcW w:w="6553" w:type="dxa"/>
            <w:shd w:val="clear" w:color="auto" w:fill="auto"/>
          </w:tcPr>
          <w:p w14:paraId="21DED1B0">
            <w:pPr>
              <w:pStyle w:val="150"/>
            </w:pPr>
            <w:r>
              <w:rPr>
                <w:rFonts w:hint="eastAsia"/>
              </w:rPr>
              <w:t>配置802.1X 认证本地用户范围，点击“选择用户”从本地用户中选择。</w:t>
            </w:r>
          </w:p>
        </w:tc>
      </w:tr>
      <w:tr w14:paraId="33D7DB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461" w:type="dxa"/>
            <w:shd w:val="clear" w:color="auto" w:fill="auto"/>
          </w:tcPr>
          <w:p w14:paraId="4EE956F4">
            <w:pPr>
              <w:pStyle w:val="150"/>
            </w:pPr>
            <w:r>
              <w:rPr>
                <w:rFonts w:hint="eastAsia"/>
              </w:rPr>
              <w:t>超时时间</w:t>
            </w:r>
          </w:p>
        </w:tc>
        <w:tc>
          <w:tcPr>
            <w:tcW w:w="6553" w:type="dxa"/>
            <w:shd w:val="clear" w:color="auto" w:fill="auto"/>
          </w:tcPr>
          <w:p w14:paraId="68B99D63">
            <w:pPr>
              <w:pStyle w:val="150"/>
            </w:pPr>
            <w:r>
              <w:rPr>
                <w:rFonts w:hint="eastAsia"/>
              </w:rPr>
              <w:t>设置802.1X认证的超时时间。该时间段内没有任何来自客户端的流量的话，用户将会被强制下线。</w:t>
            </w:r>
          </w:p>
        </w:tc>
      </w:tr>
      <w:tr w14:paraId="5293D5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461" w:type="dxa"/>
            <w:shd w:val="clear" w:color="auto" w:fill="auto"/>
          </w:tcPr>
          <w:p w14:paraId="7B0C6CA0">
            <w:pPr>
              <w:pStyle w:val="150"/>
            </w:pPr>
            <w:r>
              <w:rPr>
                <w:rFonts w:hint="eastAsia"/>
              </w:rPr>
              <w:t>强制重登录间隔</w:t>
            </w:r>
          </w:p>
        </w:tc>
        <w:tc>
          <w:tcPr>
            <w:tcW w:w="6553" w:type="dxa"/>
            <w:shd w:val="clear" w:color="auto" w:fill="auto"/>
          </w:tcPr>
          <w:p w14:paraId="26B03FFF">
            <w:pPr>
              <w:pStyle w:val="150"/>
            </w:pPr>
            <w:r>
              <w:rPr>
                <w:rFonts w:hint="eastAsia"/>
              </w:rPr>
              <w:t>设置802.1X认证强制重登录时间，从用户登录时间开始，超时后用户将会被强制下线。</w:t>
            </w:r>
          </w:p>
        </w:tc>
      </w:tr>
      <w:tr w14:paraId="4798FBE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461" w:type="dxa"/>
            <w:shd w:val="clear" w:color="auto" w:fill="auto"/>
          </w:tcPr>
          <w:p w14:paraId="0C7294BA">
            <w:pPr>
              <w:pStyle w:val="150"/>
            </w:pPr>
            <w:r>
              <w:rPr>
                <w:rFonts w:hint="eastAsia"/>
              </w:rPr>
              <w:t>无感知</w:t>
            </w:r>
          </w:p>
        </w:tc>
        <w:tc>
          <w:tcPr>
            <w:tcW w:w="6553" w:type="dxa"/>
            <w:shd w:val="clear" w:color="auto" w:fill="auto"/>
          </w:tcPr>
          <w:p w14:paraId="22C05566">
            <w:pPr>
              <w:pStyle w:val="150"/>
            </w:pPr>
            <w:r>
              <w:rPr>
                <w:rFonts w:hint="eastAsia"/>
              </w:rPr>
              <w:t>配置802.1x认证用户无感知超时时间，当认证用户首次认证下线后，在超时时间内再次上网无需认证，可以无感知上线。</w:t>
            </w:r>
          </w:p>
        </w:tc>
      </w:tr>
      <w:tr w14:paraId="580EB1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461" w:type="dxa"/>
            <w:shd w:val="clear" w:color="auto" w:fill="auto"/>
          </w:tcPr>
          <w:p w14:paraId="5303A7B3">
            <w:pPr>
              <w:pStyle w:val="150"/>
            </w:pPr>
            <w:r>
              <w:rPr>
                <w:rFonts w:hint="eastAsia"/>
              </w:rPr>
              <w:t>NAS同步下线</w:t>
            </w:r>
          </w:p>
        </w:tc>
        <w:tc>
          <w:tcPr>
            <w:tcW w:w="6553" w:type="dxa"/>
            <w:shd w:val="clear" w:color="auto" w:fill="auto"/>
          </w:tcPr>
          <w:p w14:paraId="4E456A60">
            <w:pPr>
              <w:pStyle w:val="150"/>
            </w:pPr>
            <w:r>
              <w:rPr>
                <w:rFonts w:hint="eastAsia"/>
              </w:rPr>
              <w:t>启用NAS同步下线功能。启用此功能后，当在线用户下线时，设备会将该用户的下线消息同步给NAS设备，实现用户同步下线。</w:t>
            </w:r>
          </w:p>
        </w:tc>
      </w:tr>
      <w:tr w14:paraId="0D3B29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461" w:type="dxa"/>
            <w:shd w:val="clear" w:color="auto" w:fill="auto"/>
          </w:tcPr>
          <w:p w14:paraId="46B79B2C">
            <w:pPr>
              <w:pStyle w:val="150"/>
            </w:pPr>
            <w:r>
              <w:rPr>
                <w:rFonts w:hint="eastAsia"/>
              </w:rPr>
              <w:t>NAS RADIUS服务密码</w:t>
            </w:r>
          </w:p>
        </w:tc>
        <w:tc>
          <w:tcPr>
            <w:tcW w:w="6553" w:type="dxa"/>
            <w:shd w:val="clear" w:color="auto" w:fill="auto"/>
          </w:tcPr>
          <w:p w14:paraId="0CC8C506">
            <w:pPr>
              <w:pStyle w:val="150"/>
            </w:pPr>
            <w:r>
              <w:rPr>
                <w:rFonts w:hint="eastAsia"/>
              </w:rPr>
              <w:t>配置NAS设备Radius服务密码。</w:t>
            </w:r>
          </w:p>
        </w:tc>
      </w:tr>
      <w:tr w14:paraId="199A0F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461" w:type="dxa"/>
            <w:shd w:val="clear" w:color="auto" w:fill="auto"/>
          </w:tcPr>
          <w:p w14:paraId="31A3E36C">
            <w:pPr>
              <w:pStyle w:val="150"/>
            </w:pPr>
            <w:r>
              <w:rPr>
                <w:rFonts w:hint="eastAsia"/>
              </w:rPr>
              <w:t>用户组</w:t>
            </w:r>
          </w:p>
        </w:tc>
        <w:tc>
          <w:tcPr>
            <w:tcW w:w="6553" w:type="dxa"/>
            <w:shd w:val="clear" w:color="auto" w:fill="auto"/>
          </w:tcPr>
          <w:p w14:paraId="77586313">
            <w:pPr>
              <w:pStyle w:val="150"/>
            </w:pPr>
            <w:r>
              <w:rPr>
                <w:rFonts w:hint="eastAsia"/>
              </w:rPr>
              <w:t>选择通过认证用户将要加入的用户组。</w:t>
            </w:r>
          </w:p>
          <w:p w14:paraId="14DDBCA0">
            <w:pPr>
              <w:pStyle w:val="150"/>
            </w:pPr>
            <w:r>
              <w:rPr>
                <w:rFonts w:hint="eastAsia"/>
              </w:rPr>
              <w:t>此功能主要针对第三方用户，目的是将存在于第三方的用户加入设备，便于做策略限制等，此功能不影响本地已有用户，只会新增用户，不会修改已有用户信息。用户组不选择时，用户有效时间为临时上线。</w:t>
            </w:r>
          </w:p>
        </w:tc>
      </w:tr>
      <w:tr w14:paraId="2303B4C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461" w:type="dxa"/>
            <w:shd w:val="clear" w:color="auto" w:fill="auto"/>
          </w:tcPr>
          <w:p w14:paraId="4645355F">
            <w:pPr>
              <w:pStyle w:val="150"/>
            </w:pPr>
            <w:r>
              <w:rPr>
                <w:rFonts w:hint="eastAsia"/>
              </w:rPr>
              <w:t>用户有效时间</w:t>
            </w:r>
          </w:p>
        </w:tc>
        <w:tc>
          <w:tcPr>
            <w:tcW w:w="6553" w:type="dxa"/>
            <w:shd w:val="clear" w:color="auto" w:fill="auto"/>
          </w:tcPr>
          <w:p w14:paraId="681D594C">
            <w:pPr>
              <w:pStyle w:val="150"/>
            </w:pPr>
            <w:r>
              <w:rPr>
                <w:rFonts w:hint="eastAsia"/>
              </w:rPr>
              <w:t>指定通过认证的第三方用户的有效时间。</w:t>
            </w:r>
          </w:p>
          <w:p w14:paraId="48F7A601">
            <w:pPr>
              <w:pStyle w:val="207"/>
              <w:rPr>
                <w:lang w:eastAsia="zh-CN"/>
              </w:rPr>
            </w:pPr>
            <w:r>
              <w:rPr>
                <w:rFonts w:hint="eastAsia"/>
                <w:lang w:eastAsia="zh-CN"/>
              </w:rPr>
              <w:t>永久录入：录入到设备的用户不会被自动删除，长期有效。</w:t>
            </w:r>
          </w:p>
          <w:p w14:paraId="5FA855B2">
            <w:pPr>
              <w:pStyle w:val="207"/>
              <w:rPr>
                <w:lang w:eastAsia="zh-CN"/>
              </w:rPr>
            </w:pPr>
            <w:r>
              <w:rPr>
                <w:rFonts w:hint="eastAsia"/>
                <w:lang w:eastAsia="zh-CN"/>
              </w:rPr>
              <w:t>有效期至：到达指定日期后，录入到设备的用户及该条认证策略都会失效。</w:t>
            </w:r>
          </w:p>
          <w:p w14:paraId="57EC65A1">
            <w:pPr>
              <w:pStyle w:val="207"/>
              <w:rPr>
                <w:lang w:eastAsia="zh-CN"/>
              </w:rPr>
            </w:pPr>
            <w:r>
              <w:rPr>
                <w:rFonts w:hint="eastAsia"/>
                <w:lang w:eastAsia="zh-CN"/>
              </w:rPr>
              <w:t>临时录入：临时上线的用户不会添加到组织结构中。用户注销下线后，录入到设备的用户会被自动删除。</w:t>
            </w:r>
          </w:p>
        </w:tc>
      </w:tr>
      <w:tr w14:paraId="28E4ADC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461" w:type="dxa"/>
            <w:shd w:val="clear" w:color="auto" w:fill="auto"/>
          </w:tcPr>
          <w:p w14:paraId="603AB6E4">
            <w:pPr>
              <w:pStyle w:val="150"/>
            </w:pPr>
            <w:r>
              <w:rPr>
                <w:rFonts w:hint="eastAsia"/>
              </w:rPr>
              <w:t>用户登录唯一性检查</w:t>
            </w:r>
          </w:p>
        </w:tc>
        <w:tc>
          <w:tcPr>
            <w:tcW w:w="6553" w:type="dxa"/>
            <w:shd w:val="clear" w:color="auto" w:fill="auto"/>
          </w:tcPr>
          <w:p w14:paraId="4787340D">
            <w:pPr>
              <w:pStyle w:val="150"/>
            </w:pPr>
            <w:r>
              <w:rPr>
                <w:rFonts w:hint="eastAsia"/>
              </w:rPr>
              <w:t>配置用户登录唯一性检查，可以配置为：单一账户登录、允许重复登录。</w:t>
            </w:r>
          </w:p>
        </w:tc>
      </w:tr>
      <w:tr w14:paraId="193D96E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461" w:type="dxa"/>
            <w:shd w:val="clear" w:color="auto" w:fill="auto"/>
          </w:tcPr>
          <w:p w14:paraId="67EBFAC4">
            <w:pPr>
              <w:pStyle w:val="150"/>
            </w:pPr>
            <w:r>
              <w:rPr>
                <w:rFonts w:hint="eastAsia"/>
              </w:rPr>
              <w:t>允许个数</w:t>
            </w:r>
          </w:p>
        </w:tc>
        <w:tc>
          <w:tcPr>
            <w:tcW w:w="6553" w:type="dxa"/>
            <w:shd w:val="clear" w:color="auto" w:fill="auto"/>
          </w:tcPr>
          <w:p w14:paraId="63002FFB">
            <w:pPr>
              <w:pStyle w:val="150"/>
            </w:pPr>
            <w:r>
              <w:rPr>
                <w:rFonts w:hint="eastAsia"/>
              </w:rPr>
              <w:t>配置为允许重复登录时，允许个数可以配置，参数可以配置为：无限制、允许登录数（取值范围：2-1000）。</w:t>
            </w:r>
          </w:p>
        </w:tc>
      </w:tr>
      <w:tr w14:paraId="2A6D80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461" w:type="dxa"/>
            <w:shd w:val="clear" w:color="auto" w:fill="auto"/>
          </w:tcPr>
          <w:p w14:paraId="6AD3439B">
            <w:pPr>
              <w:pStyle w:val="150"/>
            </w:pPr>
            <w:r>
              <w:rPr>
                <w:rFonts w:hint="eastAsia"/>
              </w:rPr>
              <w:t>该用户已登录</w:t>
            </w:r>
          </w:p>
        </w:tc>
        <w:tc>
          <w:tcPr>
            <w:tcW w:w="6553" w:type="dxa"/>
            <w:shd w:val="clear" w:color="auto" w:fill="auto"/>
          </w:tcPr>
          <w:p w14:paraId="45D57EC7">
            <w:pPr>
              <w:pStyle w:val="150"/>
            </w:pPr>
            <w:r>
              <w:rPr>
                <w:rFonts w:hint="eastAsia"/>
              </w:rPr>
              <w:t>配置为单一账号登录时，该用户已登录可以配置，参数可以配置为：踢出已登录用户、禁止同名用户再次登录。</w:t>
            </w:r>
          </w:p>
        </w:tc>
      </w:tr>
    </w:tbl>
    <w:p w14:paraId="45EDFAEF"/>
    <w:p w14:paraId="55C0825B">
      <w:pPr>
        <w:pStyle w:val="5"/>
      </w:pPr>
      <w:bookmarkStart w:id="8980" w:name="_Toc196728535"/>
      <w:bookmarkStart w:id="8981" w:name="_Toc172218323"/>
      <w:bookmarkStart w:id="8982" w:name="_Toc194081207"/>
      <w:r>
        <w:rPr>
          <w:rFonts w:hint="eastAsia"/>
        </w:rPr>
        <w:t>配置802.1x vlan</w:t>
      </w:r>
      <w:bookmarkEnd w:id="8980"/>
      <w:bookmarkEnd w:id="8981"/>
      <w:bookmarkEnd w:id="8982"/>
      <w:r>
        <w:t xml:space="preserve"> </w:t>
      </w:r>
    </w:p>
    <w:p w14:paraId="5555CD9A">
      <w:r>
        <w:rPr>
          <w:rFonts w:hint="eastAsia"/>
        </w:rPr>
        <w:t>在导航栏中选择“用户管理 &gt; 用户管理</w:t>
      </w:r>
      <w:r>
        <w:t xml:space="preserve"> </w:t>
      </w:r>
      <w:r>
        <w:rPr>
          <w:rFonts w:hint="eastAsia"/>
        </w:rPr>
        <w:t>&gt;</w:t>
      </w:r>
      <w:r>
        <w:t xml:space="preserve"> </w:t>
      </w:r>
      <w:r>
        <w:rPr>
          <w:rFonts w:hint="eastAsia"/>
        </w:rPr>
        <w:t>用户组织结构” ，单击“新建”选择用户或用户组，可以配置用户或用户组所属的vlan，Radius认证成功后，设备会携带用户/组的vlan</w:t>
      </w:r>
      <w:r>
        <w:t xml:space="preserve"> </w:t>
      </w:r>
      <w:r>
        <w:rPr>
          <w:rFonts w:hint="eastAsia"/>
        </w:rPr>
        <w:t>ID下发给交换机(vlan 0 不下发)。</w:t>
      </w:r>
    </w:p>
    <w:p w14:paraId="57BD600A">
      <w:pPr>
        <w:pStyle w:val="188"/>
      </w:pPr>
      <w:r>
        <w:rPr>
          <w:rFonts w:hint="eastAsia"/>
        </w:rPr>
        <w:t>用户802.1x vlan配置页面</w:t>
      </w:r>
    </w:p>
    <w:p w14:paraId="171A4A55">
      <w:pPr>
        <w:pStyle w:val="175"/>
      </w:pPr>
      <w:r>
        <w:drawing>
          <wp:inline distT="0" distB="0" distL="114300" distR="114300">
            <wp:extent cx="5160010" cy="2976880"/>
            <wp:effectExtent l="0" t="0" r="2540" b="0"/>
            <wp:docPr id="3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2"/>
                    <pic:cNvPicPr>
                      <a:picLocks noChangeAspect="1"/>
                    </pic:cNvPicPr>
                  </pic:nvPicPr>
                  <pic:blipFill>
                    <a:blip r:embed="rId1150"/>
                    <a:stretch>
                      <a:fillRect/>
                    </a:stretch>
                  </pic:blipFill>
                  <pic:spPr>
                    <a:xfrm>
                      <a:off x="0" y="0"/>
                      <a:ext cx="5176149" cy="2986343"/>
                    </a:xfrm>
                    <a:prstGeom prst="rect">
                      <a:avLst/>
                    </a:prstGeom>
                    <a:noFill/>
                    <a:ln>
                      <a:noFill/>
                    </a:ln>
                  </pic:spPr>
                </pic:pic>
              </a:graphicData>
            </a:graphic>
          </wp:inline>
        </w:drawing>
      </w:r>
    </w:p>
    <w:p w14:paraId="66A26B87"/>
    <w:p w14:paraId="00041348">
      <w:pPr>
        <w:pStyle w:val="188"/>
      </w:pPr>
      <w:r>
        <w:rPr>
          <w:rFonts w:hint="eastAsia"/>
        </w:rPr>
        <w:t>用户组802.1x vlan配置页面</w:t>
      </w:r>
    </w:p>
    <w:p w14:paraId="37646096">
      <w:pPr>
        <w:pStyle w:val="175"/>
      </w:pPr>
      <w:r>
        <w:drawing>
          <wp:inline distT="0" distB="0" distL="114300" distR="114300">
            <wp:extent cx="5175885" cy="2131060"/>
            <wp:effectExtent l="0" t="0" r="5715" b="2540"/>
            <wp:docPr id="3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
                    <pic:cNvPicPr>
                      <a:picLocks noChangeAspect="1"/>
                    </pic:cNvPicPr>
                  </pic:nvPicPr>
                  <pic:blipFill>
                    <a:blip r:embed="rId1151"/>
                    <a:stretch>
                      <a:fillRect/>
                    </a:stretch>
                  </pic:blipFill>
                  <pic:spPr>
                    <a:xfrm>
                      <a:off x="0" y="0"/>
                      <a:ext cx="5187897" cy="2136414"/>
                    </a:xfrm>
                    <a:prstGeom prst="rect">
                      <a:avLst/>
                    </a:prstGeom>
                    <a:noFill/>
                    <a:ln>
                      <a:noFill/>
                    </a:ln>
                  </pic:spPr>
                </pic:pic>
              </a:graphicData>
            </a:graphic>
          </wp:inline>
        </w:drawing>
      </w:r>
    </w:p>
    <w:p w14:paraId="20DA3383"/>
    <w:p w14:paraId="6DF6E1D5">
      <w:pPr>
        <w:pStyle w:val="5"/>
      </w:pPr>
      <w:bookmarkStart w:id="8983" w:name="_Toc172218324"/>
      <w:bookmarkStart w:id="8984" w:name="_Toc194081208"/>
      <w:bookmarkStart w:id="8985" w:name="_Toc196728536"/>
      <w:r>
        <w:rPr>
          <w:rFonts w:hint="eastAsia"/>
        </w:rPr>
        <w:t>配置交换机设备</w:t>
      </w:r>
      <w:bookmarkEnd w:id="8983"/>
      <w:bookmarkEnd w:id="8984"/>
      <w:bookmarkEnd w:id="8985"/>
    </w:p>
    <w:p w14:paraId="33429FE4">
      <w:r>
        <w:rPr>
          <w:rFonts w:hint="eastAsia"/>
        </w:rPr>
        <w:t>需要在三层交换机上开启8</w:t>
      </w:r>
      <w:r>
        <w:t>02.1</w:t>
      </w:r>
      <w:r>
        <w:rPr>
          <w:rFonts w:hint="eastAsia"/>
        </w:rPr>
        <w:t>x认证，并配置认证和计费服务器IP地址、端口、密钥，由于不同交换机配置不同，此处不进行详细说明，具体操作见相应产品的配置说明书。</w:t>
      </w:r>
    </w:p>
    <w:p w14:paraId="1DFCBCE1">
      <w:r>
        <w:rPr>
          <w:rFonts w:hint="eastAsia"/>
        </w:rPr>
        <w:t>配置时需注意：配置的密钥和端口要与设备上相关配置保持一致。</w:t>
      </w:r>
    </w:p>
    <w:p w14:paraId="03E6CF6B">
      <w:pPr>
        <w:pStyle w:val="5"/>
      </w:pPr>
      <w:bookmarkStart w:id="8986" w:name="_Toc194081209"/>
      <w:bookmarkStart w:id="8987" w:name="_Toc196728537"/>
      <w:bookmarkStart w:id="8988" w:name="_Toc172218325"/>
      <w:r>
        <w:rPr>
          <w:rFonts w:hint="eastAsia"/>
        </w:rPr>
        <w:t>联动交换机</w:t>
      </w:r>
      <w:bookmarkEnd w:id="8986"/>
      <w:bookmarkEnd w:id="8987"/>
      <w:bookmarkEnd w:id="8988"/>
    </w:p>
    <w:p w14:paraId="48B000E1">
      <w:pPr>
        <w:rPr>
          <w:rFonts w:asciiTheme="minorEastAsia" w:hAnsiTheme="minorEastAsia" w:eastAsiaTheme="minorEastAsia"/>
        </w:rPr>
      </w:pPr>
      <w:r>
        <w:rPr>
          <w:rFonts w:hint="eastAsia" w:asciiTheme="minorEastAsia" w:hAnsiTheme="minorEastAsia" w:eastAsiaTheme="minorEastAsia"/>
        </w:rPr>
        <w:t>在导航栏中选择“用户管理 &gt; 认证管理</w:t>
      </w:r>
      <w:r>
        <w:rPr>
          <w:rFonts w:asciiTheme="minorEastAsia" w:hAnsiTheme="minorEastAsia" w:eastAsiaTheme="minorEastAsia"/>
        </w:rPr>
        <w:t xml:space="preserve"> </w:t>
      </w:r>
      <w:r>
        <w:rPr>
          <w:rFonts w:hint="eastAsia" w:asciiTheme="minorEastAsia" w:hAnsiTheme="minorEastAsia" w:eastAsiaTheme="minorEastAsia"/>
        </w:rPr>
        <w:t>&gt;</w:t>
      </w:r>
      <w:r>
        <w:rPr>
          <w:rFonts w:asciiTheme="minorEastAsia" w:hAnsiTheme="minorEastAsia" w:eastAsiaTheme="minorEastAsia"/>
        </w:rPr>
        <w:t xml:space="preserve"> </w:t>
      </w:r>
      <w:r>
        <w:rPr>
          <w:rFonts w:hint="eastAsia" w:asciiTheme="minorEastAsia" w:hAnsiTheme="minorEastAsia" w:eastAsiaTheme="minorEastAsia"/>
        </w:rPr>
        <w:t>8</w:t>
      </w:r>
      <w:r>
        <w:rPr>
          <w:rFonts w:asciiTheme="minorEastAsia" w:hAnsiTheme="minorEastAsia" w:eastAsiaTheme="minorEastAsia"/>
        </w:rPr>
        <w:t>02.1</w:t>
      </w:r>
      <w:r>
        <w:rPr>
          <w:rFonts w:hint="eastAsia" w:asciiTheme="minorEastAsia" w:hAnsiTheme="minorEastAsia" w:eastAsiaTheme="minorEastAsia"/>
        </w:rPr>
        <w:t>x认证配置 &gt;</w:t>
      </w:r>
      <w:r>
        <w:rPr>
          <w:rFonts w:asciiTheme="minorEastAsia" w:hAnsiTheme="minorEastAsia" w:eastAsiaTheme="minorEastAsia"/>
        </w:rPr>
        <w:t xml:space="preserve"> </w:t>
      </w:r>
      <w:r>
        <w:rPr>
          <w:rFonts w:hint="eastAsia" w:asciiTheme="minorEastAsia" w:hAnsiTheme="minorEastAsia" w:eastAsiaTheme="minorEastAsia"/>
        </w:rPr>
        <w:t>联动交换机”，在该页面中，可以查看到交换机和设备联动的相关信息，如下图所示。可以查看当下挂交换机设备进行RADIUS认证的状态，包括交换机IP地址、设备名称、认证成功、失败的统计数量等。</w:t>
      </w:r>
    </w:p>
    <w:p w14:paraId="231E9CBE">
      <w:pPr>
        <w:pStyle w:val="188"/>
      </w:pPr>
      <w:r>
        <w:rPr>
          <w:rFonts w:hint="eastAsia"/>
        </w:rPr>
        <w:t>联动交换机页面</w:t>
      </w:r>
    </w:p>
    <w:p w14:paraId="686FF92A">
      <w:r>
        <w:drawing>
          <wp:inline distT="0" distB="0" distL="0" distR="0">
            <wp:extent cx="5648325" cy="1364615"/>
            <wp:effectExtent l="0" t="0" r="0" b="6985"/>
            <wp:docPr id="1296485324" name="图片 1296485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24" name="图片 1296485324"/>
                    <pic:cNvPicPr>
                      <a:picLocks noChangeAspect="1"/>
                    </pic:cNvPicPr>
                  </pic:nvPicPr>
                  <pic:blipFill>
                    <a:blip r:embed="rId1152"/>
                    <a:stretch>
                      <a:fillRect/>
                    </a:stretch>
                  </pic:blipFill>
                  <pic:spPr>
                    <a:xfrm>
                      <a:off x="0" y="0"/>
                      <a:ext cx="5670051" cy="1370013"/>
                    </a:xfrm>
                    <a:prstGeom prst="rect">
                      <a:avLst/>
                    </a:prstGeom>
                  </pic:spPr>
                </pic:pic>
              </a:graphicData>
            </a:graphic>
          </wp:inline>
        </w:drawing>
      </w:r>
    </w:p>
    <w:p w14:paraId="2AB6BFCA">
      <w:r>
        <w:rPr>
          <w:rFonts w:hint="eastAsia"/>
        </w:rPr>
        <w:t>单击</w:t>
      </w:r>
      <w:r>
        <w:drawing>
          <wp:inline distT="0" distB="0" distL="0" distR="0">
            <wp:extent cx="152400" cy="171450"/>
            <wp:effectExtent l="0" t="0" r="0" b="0"/>
            <wp:docPr id="1296485358" name="图片 1296485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58" name="图片 1296485358"/>
                    <pic:cNvPicPr>
                      <a:picLocks noChangeAspect="1"/>
                    </pic:cNvPicPr>
                  </pic:nvPicPr>
                  <pic:blipFill>
                    <a:blip r:embed="rId1153"/>
                    <a:stretch>
                      <a:fillRect/>
                    </a:stretch>
                  </pic:blipFill>
                  <pic:spPr>
                    <a:xfrm>
                      <a:off x="0" y="0"/>
                      <a:ext cx="152400" cy="171450"/>
                    </a:xfrm>
                    <a:prstGeom prst="rect">
                      <a:avLst/>
                    </a:prstGeom>
                  </pic:spPr>
                </pic:pic>
              </a:graphicData>
            </a:graphic>
          </wp:inline>
        </w:drawing>
      </w:r>
      <w:r>
        <w:rPr>
          <w:rFonts w:hint="eastAsia"/>
        </w:rPr>
        <w:t>按钮，可以删除展示的交换机信息。</w:t>
      </w:r>
    </w:p>
    <w:p w14:paraId="3FE861B4">
      <w:pPr>
        <w:pStyle w:val="5"/>
      </w:pPr>
      <w:bookmarkStart w:id="8989" w:name="_Toc172218326"/>
      <w:bookmarkStart w:id="8990" w:name="_Toc194081210"/>
      <w:bookmarkStart w:id="8991" w:name="_Toc196728538"/>
      <w:r>
        <w:rPr>
          <w:rFonts w:hint="eastAsia"/>
        </w:rPr>
        <w:t>VLAN关联用户</w:t>
      </w:r>
      <w:bookmarkEnd w:id="8989"/>
      <w:bookmarkEnd w:id="8990"/>
      <w:bookmarkEnd w:id="8991"/>
    </w:p>
    <w:p w14:paraId="50F90E81">
      <w:r>
        <w:rPr>
          <w:rFonts w:hint="eastAsia"/>
        </w:rPr>
        <w:t>可以批量修改用户/用户组和vlan的映射关系。可以查看用户/用户组下802.1x vlan信息。用户/用户组下，可以在详情页面查看到802.1x 的vlan。 用户RADIUS认证后，会携带用户/组的vlan</w:t>
      </w:r>
      <w:r>
        <w:t xml:space="preserve"> </w:t>
      </w:r>
      <w:r>
        <w:rPr>
          <w:rFonts w:hint="eastAsia"/>
        </w:rPr>
        <w:t>ID (vlan</w:t>
      </w:r>
      <w:r>
        <w:t xml:space="preserve"> </w:t>
      </w:r>
      <w:r>
        <w:rPr>
          <w:rFonts w:hint="eastAsia"/>
        </w:rPr>
        <w:t>0 不下发)。</w:t>
      </w:r>
    </w:p>
    <w:p w14:paraId="7DAE5C14">
      <w:pPr>
        <w:pStyle w:val="188"/>
      </w:pPr>
      <w:r>
        <w:rPr>
          <w:rFonts w:hint="eastAsia"/>
        </w:rPr>
        <w:t>VLAN关联用户页面</w:t>
      </w:r>
    </w:p>
    <w:p w14:paraId="250F56B7">
      <w:r>
        <w:drawing>
          <wp:inline distT="0" distB="0" distL="0" distR="0">
            <wp:extent cx="5901690" cy="1327150"/>
            <wp:effectExtent l="0" t="0" r="3810" b="6350"/>
            <wp:docPr id="1296485360" name="图片 129648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60" name="图片 1296485360"/>
                    <pic:cNvPicPr>
                      <a:picLocks noChangeAspect="1"/>
                    </pic:cNvPicPr>
                  </pic:nvPicPr>
                  <pic:blipFill>
                    <a:blip r:embed="rId1154"/>
                    <a:stretch>
                      <a:fillRect/>
                    </a:stretch>
                  </pic:blipFill>
                  <pic:spPr>
                    <a:xfrm>
                      <a:off x="0" y="0"/>
                      <a:ext cx="5912265" cy="1329784"/>
                    </a:xfrm>
                    <a:prstGeom prst="rect">
                      <a:avLst/>
                    </a:prstGeom>
                  </pic:spPr>
                </pic:pic>
              </a:graphicData>
            </a:graphic>
          </wp:inline>
        </w:drawing>
      </w:r>
    </w:p>
    <w:p w14:paraId="587E703D">
      <w:pPr>
        <w:pStyle w:val="4"/>
      </w:pPr>
      <w:bookmarkStart w:id="8992" w:name="_Toc194081211"/>
      <w:bookmarkStart w:id="8993" w:name="_Toc172218327"/>
      <w:bookmarkStart w:id="8994" w:name="_Toc141873558"/>
      <w:bookmarkStart w:id="8995" w:name="_Toc142401074"/>
      <w:bookmarkStart w:id="8996" w:name="_Toc196728539"/>
      <w:bookmarkStart w:id="8997" w:name="_Toc9006667"/>
      <w:bookmarkStart w:id="8998" w:name="_Toc23152960"/>
      <w:bookmarkStart w:id="8999" w:name="_Toc40276381"/>
      <w:bookmarkStart w:id="9000" w:name="_Toc99561632"/>
      <w:bookmarkStart w:id="9001" w:name="_Toc15485196"/>
      <w:bookmarkStart w:id="9002" w:name="_Ref5647480"/>
      <w:r>
        <w:t>高级选项</w:t>
      </w:r>
      <w:bookmarkEnd w:id="8992"/>
      <w:bookmarkEnd w:id="8993"/>
      <w:bookmarkEnd w:id="8994"/>
      <w:bookmarkEnd w:id="8995"/>
      <w:bookmarkEnd w:id="8996"/>
    </w:p>
    <w:p w14:paraId="05A4B220">
      <w:pPr>
        <w:pStyle w:val="5"/>
      </w:pPr>
      <w:bookmarkStart w:id="9003" w:name="_Toc172218328"/>
      <w:bookmarkStart w:id="9004" w:name="_Toc196728540"/>
      <w:bookmarkStart w:id="9005" w:name="_Toc194081212"/>
      <w:bookmarkStart w:id="9006" w:name="_Toc141873559"/>
      <w:bookmarkStart w:id="9007" w:name="_Toc142401075"/>
      <w:r>
        <w:t>全局配置</w:t>
      </w:r>
      <w:bookmarkEnd w:id="8997"/>
      <w:bookmarkEnd w:id="8998"/>
      <w:bookmarkEnd w:id="8999"/>
      <w:bookmarkEnd w:id="9000"/>
      <w:bookmarkEnd w:id="9001"/>
      <w:bookmarkEnd w:id="9002"/>
      <w:bookmarkEnd w:id="9003"/>
      <w:bookmarkEnd w:id="9004"/>
      <w:bookmarkEnd w:id="9005"/>
      <w:bookmarkEnd w:id="9006"/>
      <w:bookmarkEnd w:id="9007"/>
    </w:p>
    <w:p w14:paraId="1A522090">
      <w:r>
        <w:rPr>
          <w:rFonts w:hint="eastAsia"/>
        </w:rPr>
        <w:t>在导航栏中选择“用户管理&gt;认证管理&gt;高级选项</w:t>
      </w:r>
      <w:r>
        <w:t>&gt;</w:t>
      </w:r>
      <w:r>
        <w:rPr>
          <w:rFonts w:hint="eastAsia"/>
        </w:rPr>
        <w:t>全局配置”，进入全局配置页面，页面显示了当前的识别配置和认证配置，如</w:t>
      </w:r>
      <w:r>
        <w:rPr>
          <w:color w:val="0000FF"/>
          <w:u w:val="single"/>
        </w:rPr>
        <w:fldChar w:fldCharType="begin"/>
      </w:r>
      <w:r>
        <w:instrText xml:space="preserve"> </w:instrText>
      </w:r>
      <w:r>
        <w:rPr>
          <w:rFonts w:hint="eastAsia"/>
        </w:rPr>
        <w:instrText xml:space="preserve">REF _Ref6233955 \r \h</w:instrText>
      </w:r>
      <w:r>
        <w:instrText xml:space="preserve"> </w:instrText>
      </w:r>
      <w:r>
        <w:rPr>
          <w:color w:val="0000FF"/>
          <w:u w:val="single"/>
        </w:rPr>
        <w:fldChar w:fldCharType="separate"/>
      </w:r>
      <w:r>
        <w:rPr>
          <w:rFonts w:hint="eastAsia"/>
        </w:rPr>
        <w:t>图31-161</w:t>
      </w:r>
      <w:r>
        <w:rPr>
          <w:color w:val="0000FF"/>
          <w:u w:val="single"/>
        </w:rPr>
        <w:fldChar w:fldCharType="end"/>
      </w:r>
      <w:r>
        <w:rPr>
          <w:rFonts w:hint="eastAsia"/>
        </w:rPr>
        <w:t>所示。</w:t>
      </w:r>
    </w:p>
    <w:p w14:paraId="5BB7EADC">
      <w:pPr>
        <w:pStyle w:val="188"/>
      </w:pPr>
      <w:bookmarkStart w:id="9008" w:name="_Toc141874921"/>
      <w:bookmarkStart w:id="9009" w:name="_Ref6233955"/>
      <w:r>
        <w:t>全局配置页面</w:t>
      </w:r>
      <w:bookmarkEnd w:id="9008"/>
      <w:bookmarkEnd w:id="9009"/>
    </w:p>
    <w:p w14:paraId="39B9DCC1">
      <w:pPr>
        <w:pStyle w:val="175"/>
      </w:pPr>
      <w:r>
        <w:drawing>
          <wp:inline distT="0" distB="0" distL="0" distR="0">
            <wp:extent cx="5229225" cy="5256530"/>
            <wp:effectExtent l="0" t="0" r="0" b="1270"/>
            <wp:docPr id="941" name="图片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图片 941"/>
                    <pic:cNvPicPr>
                      <a:picLocks noChangeAspect="1"/>
                    </pic:cNvPicPr>
                  </pic:nvPicPr>
                  <pic:blipFill>
                    <a:blip r:embed="rId1155"/>
                    <a:stretch>
                      <a:fillRect/>
                    </a:stretch>
                  </pic:blipFill>
                  <pic:spPr>
                    <a:xfrm>
                      <a:off x="0" y="0"/>
                      <a:ext cx="5238878" cy="5266599"/>
                    </a:xfrm>
                    <a:prstGeom prst="rect">
                      <a:avLst/>
                    </a:prstGeom>
                  </pic:spPr>
                </pic:pic>
              </a:graphicData>
            </a:graphic>
          </wp:inline>
        </w:drawing>
      </w:r>
    </w:p>
    <w:p w14:paraId="2A56A1FF"/>
    <w:p w14:paraId="58916ADC">
      <w:r>
        <w:rPr>
          <w:rFonts w:hint="eastAsia"/>
        </w:rPr>
        <w:t>页面的详细说明如</w:t>
      </w:r>
      <w:r>
        <w:rPr>
          <w:color w:val="0000FF"/>
          <w:u w:val="single"/>
        </w:rPr>
        <w:fldChar w:fldCharType="begin"/>
      </w:r>
      <w:r>
        <w:instrText xml:space="preserve"> </w:instrText>
      </w:r>
      <w:r>
        <w:rPr>
          <w:rFonts w:hint="eastAsia"/>
        </w:rPr>
        <w:instrText xml:space="preserve">REF _Ref6233960 \r \h</w:instrText>
      </w:r>
      <w:r>
        <w:instrText xml:space="preserve"> </w:instrText>
      </w:r>
      <w:r>
        <w:rPr>
          <w:color w:val="0000FF"/>
          <w:u w:val="single"/>
        </w:rPr>
        <w:fldChar w:fldCharType="separate"/>
      </w:r>
      <w:r>
        <w:rPr>
          <w:rFonts w:hint="eastAsia"/>
        </w:rPr>
        <w:t>表31-1</w:t>
      </w:r>
      <w:r>
        <w:rPr>
          <w:color w:val="0000FF"/>
          <w:u w:val="single"/>
        </w:rPr>
        <w:fldChar w:fldCharType="end"/>
      </w:r>
      <w:r>
        <w:rPr>
          <w:rFonts w:hint="eastAsia"/>
        </w:rPr>
        <w:t>所示。</w:t>
      </w:r>
    </w:p>
    <w:p w14:paraId="5DBD4EBD">
      <w:pPr>
        <w:pStyle w:val="183"/>
      </w:pPr>
      <w:bookmarkStart w:id="9010" w:name="_Ref6233960"/>
      <w:bookmarkStart w:id="9011" w:name="_Toc141875609"/>
      <w:r>
        <w:t>全局</w:t>
      </w:r>
      <w:r>
        <w:rPr>
          <w:rFonts w:hint="eastAsia"/>
        </w:rPr>
        <w:t>配置详细说明</w:t>
      </w:r>
      <w:bookmarkEnd w:id="9010"/>
      <w:bookmarkEnd w:id="9011"/>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651038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42829A2D">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6" w:type="dxa"/>
            <w:tcBorders>
              <w:tl2br w:val="nil"/>
              <w:tr2bl w:val="nil"/>
            </w:tcBorders>
            <w:shd w:val="clear" w:color="auto" w:fill="538135" w:themeFill="accent6" w:themeFillShade="BF"/>
            <w:vAlign w:val="center"/>
          </w:tcPr>
          <w:p w14:paraId="2761914F">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EB6F78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3A60C82D">
            <w:pPr>
              <w:pStyle w:val="150"/>
            </w:pPr>
            <w:r>
              <w:rPr>
                <w:rFonts w:hint="eastAsia"/>
              </w:rPr>
              <w:t>识别范围</w:t>
            </w:r>
          </w:p>
        </w:tc>
        <w:tc>
          <w:tcPr>
            <w:tcW w:w="6816" w:type="dxa"/>
            <w:shd w:val="clear" w:color="auto" w:fill="auto"/>
          </w:tcPr>
          <w:p w14:paraId="2DEC31CD">
            <w:pPr>
              <w:pStyle w:val="150"/>
            </w:pPr>
            <w:r>
              <w:t>标示用户识别范围的地址对象或者地址对象组。</w:t>
            </w:r>
          </w:p>
          <w:p w14:paraId="593F5BF0">
            <w:pPr>
              <w:pStyle w:val="150"/>
            </w:pPr>
            <w:r>
              <w:rPr>
                <w:rFonts w:hint="eastAsia"/>
              </w:rPr>
              <w:t>用户只有同时在用户识别范围内和相应的认证网段中，使用流量的时候才会触发认证过程。如该用户不在用户识别范围内，则不会触发认证过程，也不会识别为匿名用户；如该用户在用户识别范围内，但不在任何一个认证网段中，则该用户被识别为匿名用户。</w:t>
            </w:r>
          </w:p>
        </w:tc>
      </w:tr>
      <w:tr w14:paraId="186DA8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7C43D59A">
            <w:pPr>
              <w:pStyle w:val="150"/>
            </w:pPr>
            <w:r>
              <w:rPr>
                <w:rFonts w:hint="eastAsia"/>
              </w:rPr>
              <w:t>识别模式</w:t>
            </w:r>
          </w:p>
        </w:tc>
        <w:tc>
          <w:tcPr>
            <w:tcW w:w="6816" w:type="dxa"/>
            <w:shd w:val="clear" w:color="auto" w:fill="auto"/>
          </w:tcPr>
          <w:p w14:paraId="51667F0A">
            <w:pPr>
              <w:pStyle w:val="150"/>
              <w:rPr>
                <w:rFonts w:eastAsia="微软雅黑"/>
              </w:rPr>
            </w:pPr>
            <w:r>
              <w:rPr>
                <w:rFonts w:hint="eastAsia"/>
                <w:shd w:val="clear" w:color="auto" w:fill="FFFFFF"/>
              </w:rPr>
              <w:t>识别模式分为“启发模式”和“强制模式”两种，默认配置为强制模式，识别范围默认配置均为private私网地址段。</w:t>
            </w:r>
          </w:p>
          <w:p w14:paraId="6424737B">
            <w:pPr>
              <w:pStyle w:val="150"/>
              <w:rPr>
                <w:rFonts w:eastAsia="微软雅黑"/>
              </w:rPr>
            </w:pPr>
            <w:r>
              <w:rPr>
                <w:rFonts w:hint="eastAsia"/>
              </w:rPr>
              <w:t>“启发模式”指的是，优先将属于识别范围的</w:t>
            </w:r>
            <w:r>
              <w:rPr>
                <w:rFonts w:eastAsia="微软雅黑"/>
              </w:rPr>
              <w:t>IP</w:t>
            </w:r>
            <w:r>
              <w:rPr>
                <w:rFonts w:hint="eastAsia"/>
              </w:rPr>
              <w:t>地址识别为在线用户，并且根据流量发起方先识别源</w:t>
            </w:r>
            <w:r>
              <w:rPr>
                <w:rFonts w:eastAsia="微软雅黑"/>
              </w:rPr>
              <w:t>IP</w:t>
            </w:r>
            <w:r>
              <w:rPr>
                <w:rFonts w:hint="eastAsia"/>
              </w:rPr>
              <w:t>，再识别目的</w:t>
            </w:r>
            <w:r>
              <w:rPr>
                <w:rFonts w:eastAsia="微软雅黑"/>
              </w:rPr>
              <w:t>IP</w:t>
            </w:r>
            <w:r>
              <w:rPr>
                <w:rFonts w:hint="eastAsia"/>
              </w:rPr>
              <w:t>，如果源</w:t>
            </w:r>
            <w:r>
              <w:rPr>
                <w:rFonts w:eastAsia="微软雅黑"/>
              </w:rPr>
              <w:t>IP</w:t>
            </w:r>
            <w:r>
              <w:rPr>
                <w:rFonts w:hint="eastAsia"/>
              </w:rPr>
              <w:t>和目的</w:t>
            </w:r>
            <w:r>
              <w:rPr>
                <w:rFonts w:eastAsia="微软雅黑"/>
              </w:rPr>
              <w:t>IP</w:t>
            </w:r>
            <w:r>
              <w:rPr>
                <w:rFonts w:hint="eastAsia"/>
              </w:rPr>
              <w:t>都不在识别范围中时则将源</w:t>
            </w:r>
            <w:r>
              <w:rPr>
                <w:rFonts w:eastAsia="微软雅黑"/>
              </w:rPr>
              <w:t>IP</w:t>
            </w:r>
            <w:r>
              <w:rPr>
                <w:rFonts w:hint="eastAsia"/>
              </w:rPr>
              <w:t>识别为在线用户。</w:t>
            </w:r>
          </w:p>
          <w:p w14:paraId="656F0F25">
            <w:pPr>
              <w:pStyle w:val="150"/>
              <w:rPr>
                <w:rFonts w:eastAsia="微软雅黑"/>
              </w:rPr>
            </w:pPr>
            <w:r>
              <w:rPr>
                <w:rFonts w:hint="eastAsia"/>
              </w:rPr>
              <w:t>“启发模式”使用场景：对用户识别要求不严格的情况下使用启发模式，在线用户中会出现非识别范围内的用户（如：同时出现私网IP和公网IP的用户），所以统计到的在线用户数量会比较多，在此模式下需要将识别范围修改成内网实际使用的地址网段，否则会导致用户识别不精确。</w:t>
            </w:r>
          </w:p>
          <w:p w14:paraId="70A4F9FF">
            <w:pPr>
              <w:pStyle w:val="150"/>
              <w:rPr>
                <w:rFonts w:ascii="微软雅黑" w:hAnsi="微软雅黑" w:eastAsia="微软雅黑"/>
              </w:rPr>
            </w:pPr>
            <w:r>
              <w:rPr>
                <w:rFonts w:hint="eastAsia"/>
              </w:rPr>
              <w:t>“强制模式”指的是，</w:t>
            </w:r>
            <w:r>
              <w:rPr>
                <w:rFonts w:hint="eastAsia"/>
                <w:shd w:val="clear" w:color="auto" w:fill="FFFFFF"/>
              </w:rPr>
              <w:t>只将属于识别范围的</w:t>
            </w:r>
            <w:r>
              <w:rPr>
                <w:rFonts w:eastAsia="微软雅黑"/>
                <w:shd w:val="clear" w:color="auto" w:fill="FFFFFF"/>
              </w:rPr>
              <w:t>IP</w:t>
            </w:r>
            <w:r>
              <w:rPr>
                <w:rFonts w:hint="eastAsia"/>
                <w:shd w:val="clear" w:color="auto" w:fill="FFFFFF"/>
              </w:rPr>
              <w:t>地址识别为在线用户，并且根据流量发起方先识别源</w:t>
            </w:r>
            <w:r>
              <w:rPr>
                <w:rFonts w:eastAsia="微软雅黑"/>
                <w:shd w:val="clear" w:color="auto" w:fill="FFFFFF"/>
              </w:rPr>
              <w:t>IP</w:t>
            </w:r>
            <w:r>
              <w:rPr>
                <w:rFonts w:hint="eastAsia"/>
                <w:shd w:val="clear" w:color="auto" w:fill="FFFFFF"/>
              </w:rPr>
              <w:t>，再识别目的</w:t>
            </w:r>
            <w:r>
              <w:rPr>
                <w:rFonts w:eastAsia="微软雅黑"/>
                <w:shd w:val="clear" w:color="auto" w:fill="FFFFFF"/>
              </w:rPr>
              <w:t>IP，</w:t>
            </w:r>
            <w:r>
              <w:rPr>
                <w:rFonts w:hint="eastAsia"/>
                <w:shd w:val="clear" w:color="auto" w:fill="FFFFFF"/>
              </w:rPr>
              <w:t>只有源IP或目的IP地址中的一个属于识别范围时，才会被识别为在线用户；否则此IP地址流量不受系统转发流程中用户识别后的所有功能模块限制，如：用户策略</w:t>
            </w:r>
            <w:r>
              <w:rPr>
                <w:shd w:val="clear" w:color="auto" w:fill="FFFFFF"/>
              </w:rPr>
              <w:t>、</w:t>
            </w:r>
            <w:r>
              <w:rPr>
                <w:rFonts w:hint="eastAsia"/>
                <w:shd w:val="clear" w:color="auto" w:fill="FFFFFF"/>
              </w:rPr>
              <w:t>安全</w:t>
            </w:r>
            <w:r>
              <w:rPr>
                <w:shd w:val="clear" w:color="auto" w:fill="FFFFFF"/>
              </w:rPr>
              <w:t>策略、</w:t>
            </w:r>
            <w:r>
              <w:rPr>
                <w:rFonts w:hint="eastAsia"/>
                <w:shd w:val="clear" w:color="auto" w:fill="FFFFFF"/>
              </w:rPr>
              <w:t>应用</w:t>
            </w:r>
            <w:r>
              <w:rPr>
                <w:shd w:val="clear" w:color="auto" w:fill="FFFFFF"/>
              </w:rPr>
              <w:t>识别</w:t>
            </w:r>
            <w:r>
              <w:rPr>
                <w:rFonts w:hint="eastAsia"/>
                <w:shd w:val="clear" w:color="auto" w:fill="FFFFFF"/>
              </w:rPr>
              <w:t>和</w:t>
            </w:r>
            <w:r>
              <w:rPr>
                <w:shd w:val="clear" w:color="auto" w:fill="FFFFFF"/>
              </w:rPr>
              <w:t>审计、</w:t>
            </w:r>
            <w:r>
              <w:rPr>
                <w:rFonts w:hint="eastAsia"/>
                <w:shd w:val="clear" w:color="auto" w:fill="FFFFFF"/>
              </w:rPr>
              <w:t>入侵</w:t>
            </w:r>
            <w:r>
              <w:rPr>
                <w:shd w:val="clear" w:color="auto" w:fill="FFFFFF"/>
              </w:rPr>
              <w:t>检测、病毒防护</w:t>
            </w:r>
            <w:r>
              <w:rPr>
                <w:rFonts w:hint="eastAsia"/>
                <w:shd w:val="clear" w:color="auto" w:fill="FFFFFF"/>
              </w:rPr>
              <w:t>、QOS。</w:t>
            </w:r>
          </w:p>
          <w:p w14:paraId="041799A3">
            <w:pPr>
              <w:pStyle w:val="150"/>
              <w:rPr>
                <w:rFonts w:ascii="微软雅黑" w:hAnsi="微软雅黑" w:eastAsia="微软雅黑"/>
              </w:rPr>
            </w:pPr>
            <w:r>
              <w:rPr>
                <w:rFonts w:hint="eastAsia"/>
              </w:rPr>
              <w:t>“强制模式”使用场景：对用户识别要求严格的情况下使用强制模式，在线用户中只会存在识别范围内的用户，过滤掉了不属于内网地址段的用户，精简了在线用户列表，只显示用户真正关心的数据，同时提升了设备性能，</w:t>
            </w:r>
            <w:r>
              <w:rPr>
                <w:rFonts w:hint="eastAsia"/>
                <w:shd w:val="clear" w:color="auto" w:fill="FFFFFF"/>
              </w:rPr>
              <w:t>不在识别范围内的IP流量不走用户认证流程，避免了对用户不关心数据的处理，在此模式下务必将识别范围修改成内网实际使用的地址网段，避免因识别范围配置错误导致的用户关心的IP地址流量不受用户策略控制的情况出现。</w:t>
            </w:r>
          </w:p>
        </w:tc>
      </w:tr>
      <w:tr w14:paraId="417EAB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1DAB040">
            <w:pPr>
              <w:pStyle w:val="150"/>
            </w:pPr>
            <w:r>
              <w:rPr>
                <w:rFonts w:hint="eastAsia"/>
              </w:rPr>
              <w:t>启用第三方认证</w:t>
            </w:r>
          </w:p>
        </w:tc>
        <w:tc>
          <w:tcPr>
            <w:tcW w:w="6816" w:type="dxa"/>
            <w:shd w:val="clear" w:color="auto" w:fill="auto"/>
          </w:tcPr>
          <w:p w14:paraId="7DA86D86">
            <w:pPr>
              <w:pStyle w:val="150"/>
            </w:pPr>
            <w:r>
              <w:rPr>
                <w:rFonts w:hint="eastAsia"/>
              </w:rPr>
              <w:t>是否启用第三方认证。</w:t>
            </w:r>
          </w:p>
        </w:tc>
      </w:tr>
      <w:tr w14:paraId="18877A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33886CC9">
            <w:pPr>
              <w:pStyle w:val="150"/>
            </w:pPr>
            <w:r>
              <w:rPr>
                <w:rFonts w:hint="eastAsia"/>
              </w:rPr>
              <w:t>认证方式</w:t>
            </w:r>
          </w:p>
        </w:tc>
        <w:tc>
          <w:tcPr>
            <w:tcW w:w="6816" w:type="dxa"/>
            <w:shd w:val="clear" w:color="auto" w:fill="auto"/>
          </w:tcPr>
          <w:p w14:paraId="13C21AB6">
            <w:pPr>
              <w:pStyle w:val="150"/>
            </w:pPr>
            <w:r>
              <w:rPr>
                <w:rFonts w:hint="eastAsia"/>
              </w:rPr>
              <w:t>选择一个第三方认证服务器，目前只支持LDAP和RADIUS两种服务器类型。</w:t>
            </w:r>
          </w:p>
        </w:tc>
      </w:tr>
      <w:tr w14:paraId="05605E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207C1DC5">
            <w:pPr>
              <w:pStyle w:val="150"/>
            </w:pPr>
            <w:r>
              <w:rPr>
                <w:rFonts w:hint="eastAsia"/>
              </w:rPr>
              <w:t>RADIUS</w:t>
            </w:r>
          </w:p>
        </w:tc>
        <w:tc>
          <w:tcPr>
            <w:tcW w:w="6816" w:type="dxa"/>
            <w:shd w:val="clear" w:color="auto" w:fill="auto"/>
          </w:tcPr>
          <w:p w14:paraId="548ECD21">
            <w:pPr>
              <w:pStyle w:val="150"/>
            </w:pPr>
            <w:r>
              <w:rPr>
                <w:rFonts w:hint="eastAsia"/>
              </w:rPr>
              <w:t>选择已配置的RADIUS服务器或服务器组。</w:t>
            </w:r>
          </w:p>
        </w:tc>
      </w:tr>
      <w:tr w14:paraId="3CCFA9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D173E54">
            <w:pPr>
              <w:pStyle w:val="150"/>
            </w:pPr>
            <w:r>
              <w:rPr>
                <w:rFonts w:hint="eastAsia"/>
              </w:rPr>
              <w:t>Ldap</w:t>
            </w:r>
          </w:p>
        </w:tc>
        <w:tc>
          <w:tcPr>
            <w:tcW w:w="6816" w:type="dxa"/>
            <w:shd w:val="clear" w:color="auto" w:fill="auto"/>
          </w:tcPr>
          <w:p w14:paraId="5FBEFBD3">
            <w:pPr>
              <w:pStyle w:val="150"/>
            </w:pPr>
            <w:r>
              <w:rPr>
                <w:rFonts w:hint="eastAsia"/>
              </w:rPr>
              <w:t>选择已配置的LDAP服务器或服务器组。</w:t>
            </w:r>
          </w:p>
        </w:tc>
      </w:tr>
      <w:tr w14:paraId="051775E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59E5B58">
            <w:pPr>
              <w:pStyle w:val="150"/>
            </w:pPr>
            <w:r>
              <w:rPr>
                <w:rFonts w:hint="eastAsia"/>
              </w:rPr>
              <w:t>https弹portal</w:t>
            </w:r>
          </w:p>
        </w:tc>
        <w:tc>
          <w:tcPr>
            <w:tcW w:w="6816" w:type="dxa"/>
            <w:shd w:val="clear" w:color="auto" w:fill="auto"/>
          </w:tcPr>
          <w:p w14:paraId="2723022E">
            <w:pPr>
              <w:pStyle w:val="150"/>
            </w:pPr>
            <w:r>
              <w:rPr>
                <w:rFonts w:hint="eastAsia"/>
              </w:rPr>
              <w:t>勾选后，用户在访问HTTPS网站时也可以弹出认证页面。</w:t>
            </w:r>
          </w:p>
        </w:tc>
      </w:tr>
      <w:tr w14:paraId="4A98C7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7013EF6B">
            <w:pPr>
              <w:pStyle w:val="150"/>
            </w:pPr>
            <w:r>
              <w:rPr>
                <w:rFonts w:hint="eastAsia"/>
              </w:rPr>
              <w:t>https弹portal告警消除</w:t>
            </w:r>
          </w:p>
        </w:tc>
        <w:tc>
          <w:tcPr>
            <w:tcW w:w="6816" w:type="dxa"/>
            <w:shd w:val="clear" w:color="auto" w:fill="auto"/>
          </w:tcPr>
          <w:p w14:paraId="47D4D268">
            <w:pPr>
              <w:pStyle w:val="150"/>
            </w:pPr>
            <w:r>
              <w:rPr>
                <w:rFonts w:hint="eastAsia"/>
              </w:rPr>
              <w:t>当用户访问HTTPS时，弹出</w:t>
            </w:r>
            <w:r>
              <w:t>P</w:t>
            </w:r>
            <w:r>
              <w:rPr>
                <w:rFonts w:hint="eastAsia"/>
              </w:rPr>
              <w:t>ortal前会有告警。勾选后则不弹出告警。</w:t>
            </w:r>
          </w:p>
        </w:tc>
      </w:tr>
      <w:tr w14:paraId="6D13B90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6226C2A3">
            <w:pPr>
              <w:pStyle w:val="150"/>
            </w:pPr>
            <w:r>
              <w:rPr>
                <w:rFonts w:hint="eastAsia"/>
              </w:rPr>
              <w:t>加密认证告警消除</w:t>
            </w:r>
          </w:p>
        </w:tc>
        <w:tc>
          <w:tcPr>
            <w:tcW w:w="6816" w:type="dxa"/>
            <w:shd w:val="clear" w:color="auto" w:fill="auto"/>
          </w:tcPr>
          <w:p w14:paraId="0405C99A">
            <w:pPr>
              <w:pStyle w:val="150"/>
            </w:pPr>
            <w:r>
              <w:rPr>
                <w:rFonts w:hint="eastAsia"/>
              </w:rPr>
              <w:t>本地Web认证、短信认证有加密功能，当开启加密时，访问的所有HTTP和HTTPS都被加密为HTTPS，该功能用于消除加密后的HTTPS站点的告警。</w:t>
            </w:r>
          </w:p>
        </w:tc>
      </w:tr>
      <w:tr w14:paraId="261655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28AD9E67">
            <w:pPr>
              <w:pStyle w:val="150"/>
            </w:pPr>
            <w:r>
              <w:rPr>
                <w:rFonts w:hint="eastAsia"/>
              </w:rPr>
              <w:t>用户MAC感知</w:t>
            </w:r>
          </w:p>
        </w:tc>
        <w:tc>
          <w:tcPr>
            <w:tcW w:w="6816" w:type="dxa"/>
            <w:shd w:val="clear" w:color="auto" w:fill="auto"/>
          </w:tcPr>
          <w:p w14:paraId="27A2A811">
            <w:pPr>
              <w:pStyle w:val="150"/>
            </w:pPr>
            <w:r>
              <w:rPr>
                <w:rFonts w:hint="eastAsia"/>
              </w:rPr>
              <w:t>开启用户MAC感知后，如检测到用户的MAC地址发生变化，则强制用户重新认证。（开启跨三层MAC地址学习功能时会发生用户MAC地址变更的情况。）</w:t>
            </w:r>
          </w:p>
        </w:tc>
      </w:tr>
      <w:tr w14:paraId="2D982E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1CA2C31">
            <w:pPr>
              <w:pStyle w:val="150"/>
            </w:pPr>
            <w:r>
              <w:rPr>
                <w:rFonts w:hint="eastAsia"/>
              </w:rPr>
              <w:t>伪Portal抑制</w:t>
            </w:r>
          </w:p>
        </w:tc>
        <w:tc>
          <w:tcPr>
            <w:tcW w:w="6816" w:type="dxa"/>
            <w:shd w:val="clear" w:color="auto" w:fill="auto"/>
          </w:tcPr>
          <w:p w14:paraId="040E246D">
            <w:pPr>
              <w:pStyle w:val="150"/>
            </w:pPr>
            <w:r>
              <w:rPr>
                <w:rFonts w:hint="eastAsia"/>
              </w:rPr>
              <w:t>对于Portal重定向支持HTTP302方式和Html-refresh方式，选择HTTP302方式时对所有请求都响应，伪Portal抑制不生效；选择Html-refresh方式时，只响应浏览器的请求，伪Portal抑制生效。</w:t>
            </w:r>
          </w:p>
        </w:tc>
      </w:tr>
      <w:tr w14:paraId="5B7D133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22F9617">
            <w:pPr>
              <w:pStyle w:val="150"/>
            </w:pPr>
            <w:r>
              <w:rPr>
                <w:rFonts w:hint="eastAsia"/>
              </w:rPr>
              <w:t>用户认证验证码</w:t>
            </w:r>
          </w:p>
        </w:tc>
        <w:tc>
          <w:tcPr>
            <w:tcW w:w="6816" w:type="dxa"/>
            <w:shd w:val="clear" w:color="auto" w:fill="auto"/>
          </w:tcPr>
          <w:p w14:paraId="369DB6DD">
            <w:pPr>
              <w:pStyle w:val="150"/>
            </w:pPr>
            <w:r>
              <w:rPr>
                <w:rFonts w:hint="eastAsia"/>
              </w:rPr>
              <w:t>只对本地认证、免认证、pop3认证、混合认证（本地认证、免认证）生效。</w:t>
            </w:r>
          </w:p>
        </w:tc>
      </w:tr>
      <w:tr w14:paraId="741519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1B7915DF">
            <w:pPr>
              <w:pStyle w:val="150"/>
            </w:pPr>
            <w:r>
              <w:rPr>
                <w:rFonts w:hint="eastAsia"/>
              </w:rPr>
              <w:t>虚拟地址</w:t>
            </w:r>
          </w:p>
        </w:tc>
        <w:tc>
          <w:tcPr>
            <w:tcW w:w="6816" w:type="dxa"/>
            <w:shd w:val="clear" w:color="auto" w:fill="auto"/>
          </w:tcPr>
          <w:p w14:paraId="7D1889DC">
            <w:pPr>
              <w:pStyle w:val="150"/>
            </w:pPr>
            <w:bookmarkStart w:id="9012" w:name="OLE_LINK80"/>
            <w:bookmarkStart w:id="9013" w:name="OLE_LINK79"/>
            <w:r>
              <w:rPr>
                <w:rFonts w:hint="eastAsia"/>
              </w:rPr>
              <w:t>开启后，用户进行认证时弹出的Portal页面地址显示配置的虚拟地址（IPv4地址）。仅对本机的认证Portal页面（Portal地址为设备接口地址的认证页面）生效，从而实现对设备真实接口地址进行隐藏。</w:t>
            </w:r>
          </w:p>
          <w:p w14:paraId="316DBDBA">
            <w:pPr>
              <w:pStyle w:val="150"/>
            </w:pPr>
            <w:r>
              <w:rPr>
                <w:rFonts w:hint="eastAsia"/>
              </w:rPr>
              <w:t>该功能不支持旁路部署模式。</w:t>
            </w:r>
          </w:p>
          <w:bookmarkEnd w:id="9012"/>
          <w:bookmarkEnd w:id="9013"/>
          <w:p w14:paraId="0F48BA05">
            <w:pPr>
              <w:pStyle w:val="150"/>
            </w:pPr>
            <w:bookmarkStart w:id="9014" w:name="OLE_LINK81"/>
            <w:bookmarkStart w:id="9015" w:name="OLE_LINK82"/>
            <w:r>
              <w:rPr>
                <w:rFonts w:hint="eastAsia"/>
              </w:rPr>
              <w:t>如果设备是路由模式部署，设备要作为网关下一跳的一环，只有这样流量才会到达设备，否则流量到达不了设备，功能不生效。</w:t>
            </w:r>
            <w:bookmarkEnd w:id="9014"/>
            <w:bookmarkEnd w:id="9015"/>
          </w:p>
        </w:tc>
      </w:tr>
      <w:tr w14:paraId="0BE099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D6BCD7D">
            <w:pPr>
              <w:pStyle w:val="150"/>
            </w:pPr>
            <w:bookmarkStart w:id="9016" w:name="OLE_LINK83"/>
            <w:r>
              <w:rPr>
                <w:rFonts w:hint="eastAsia"/>
              </w:rPr>
              <w:t>虚拟IPv4地址</w:t>
            </w:r>
            <w:bookmarkEnd w:id="9016"/>
          </w:p>
        </w:tc>
        <w:tc>
          <w:tcPr>
            <w:tcW w:w="6816" w:type="dxa"/>
            <w:shd w:val="clear" w:color="auto" w:fill="auto"/>
          </w:tcPr>
          <w:p w14:paraId="3C29EC96">
            <w:pPr>
              <w:pStyle w:val="150"/>
            </w:pPr>
            <w:bookmarkStart w:id="9017" w:name="OLE_LINK84"/>
            <w:bookmarkStart w:id="9018" w:name="OLE_LINK85"/>
            <w:r>
              <w:rPr>
                <w:rFonts w:hint="eastAsia"/>
              </w:rPr>
              <w:t>支持IPv4单播地址。</w:t>
            </w:r>
          </w:p>
          <w:p w14:paraId="0BB723AF">
            <w:pPr>
              <w:pStyle w:val="150"/>
            </w:pPr>
            <w:r>
              <w:rPr>
                <w:rFonts w:hint="eastAsia"/>
              </w:rPr>
              <w:t>虚拟地址不能与终端PC及设备地址配置为同一网段，否则将无法弹出认证页面。</w:t>
            </w:r>
            <w:bookmarkEnd w:id="9017"/>
            <w:bookmarkEnd w:id="9018"/>
          </w:p>
        </w:tc>
      </w:tr>
      <w:tr w14:paraId="14A772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68568057">
            <w:pPr>
              <w:pStyle w:val="150"/>
            </w:pPr>
            <w:r>
              <w:rPr>
                <w:rFonts w:hint="eastAsia"/>
              </w:rPr>
              <w:t>用户登录唯一性检查</w:t>
            </w:r>
          </w:p>
        </w:tc>
        <w:tc>
          <w:tcPr>
            <w:tcW w:w="6816" w:type="dxa"/>
            <w:shd w:val="clear" w:color="auto" w:fill="auto"/>
          </w:tcPr>
          <w:p w14:paraId="59866A43">
            <w:pPr>
              <w:pStyle w:val="150"/>
            </w:pPr>
            <w:r>
              <w:rPr>
                <w:rFonts w:hint="eastAsia"/>
              </w:rPr>
              <w:t>是否启用全局用户登录唯一性检查，勾选为启用。</w:t>
            </w:r>
          </w:p>
        </w:tc>
      </w:tr>
      <w:tr w14:paraId="578B0B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76D96F6E">
            <w:pPr>
              <w:pStyle w:val="150"/>
            </w:pPr>
            <w:r>
              <w:rPr>
                <w:rFonts w:hint="eastAsia"/>
              </w:rPr>
              <w:t>单一账号登录</w:t>
            </w:r>
          </w:p>
        </w:tc>
        <w:tc>
          <w:tcPr>
            <w:tcW w:w="6816" w:type="dxa"/>
            <w:shd w:val="clear" w:color="auto" w:fill="auto"/>
          </w:tcPr>
          <w:p w14:paraId="0E94BF48">
            <w:pPr>
              <w:pStyle w:val="150"/>
            </w:pPr>
            <w:r>
              <w:rPr>
                <w:rFonts w:hint="eastAsia"/>
              </w:rPr>
              <w:t>同一时间只允许同一账号登录一次。</w:t>
            </w:r>
          </w:p>
          <w:p w14:paraId="7B7AEB6B">
            <w:pPr>
              <w:pStyle w:val="150"/>
            </w:pPr>
            <w:r>
              <w:rPr>
                <w:rFonts w:hint="eastAsia"/>
              </w:rPr>
              <w:t>启用单一账号登录后，针对已登录用户有两种处理方式：</w:t>
            </w:r>
          </w:p>
          <w:p w14:paraId="35A665E7">
            <w:pPr>
              <w:pStyle w:val="207"/>
              <w:numPr>
                <w:ilvl w:val="0"/>
                <w:numId w:val="24"/>
              </w:numPr>
              <w:rPr>
                <w:lang w:eastAsia="zh-CN"/>
              </w:rPr>
            </w:pPr>
            <w:r>
              <w:rPr>
                <w:rFonts w:hint="eastAsia"/>
                <w:lang w:eastAsia="zh-CN"/>
              </w:rPr>
              <w:t>踢出已登录用户：如果新用户登录，老的用户将会被踢下线；</w:t>
            </w:r>
          </w:p>
          <w:p w14:paraId="4BA01679">
            <w:pPr>
              <w:pStyle w:val="207"/>
              <w:numPr>
                <w:ilvl w:val="0"/>
                <w:numId w:val="24"/>
              </w:numPr>
              <w:rPr>
                <w:lang w:eastAsia="zh-CN"/>
              </w:rPr>
            </w:pPr>
            <w:r>
              <w:rPr>
                <w:rFonts w:hint="eastAsia"/>
                <w:lang w:eastAsia="zh-CN"/>
              </w:rPr>
              <w:t>禁止同名用户再次登录：如果老用户已经登录，新用户将不能以此用户名登录。</w:t>
            </w:r>
          </w:p>
        </w:tc>
      </w:tr>
      <w:tr w14:paraId="72F4638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C4CD9E0">
            <w:pPr>
              <w:pStyle w:val="150"/>
            </w:pPr>
            <w:r>
              <w:rPr>
                <w:rFonts w:hint="eastAsia"/>
              </w:rPr>
              <w:t>允许重复登录</w:t>
            </w:r>
          </w:p>
        </w:tc>
        <w:tc>
          <w:tcPr>
            <w:tcW w:w="6816" w:type="dxa"/>
            <w:shd w:val="clear" w:color="auto" w:fill="auto"/>
          </w:tcPr>
          <w:p w14:paraId="7B4F25E9">
            <w:pPr>
              <w:pStyle w:val="150"/>
            </w:pPr>
            <w:r>
              <w:rPr>
                <w:rFonts w:hint="eastAsia"/>
              </w:rPr>
              <w:t>同一时间允许同一账号登录多次。</w:t>
            </w:r>
          </w:p>
          <w:p w14:paraId="266E5D0C">
            <w:pPr>
              <w:pStyle w:val="150"/>
            </w:pPr>
            <w:r>
              <w:rPr>
                <w:rFonts w:hint="eastAsia"/>
              </w:rPr>
              <w:t>启用允许重复登录后，允许个数支持无限制和限制登录个数。</w:t>
            </w:r>
          </w:p>
        </w:tc>
      </w:tr>
      <w:tr w14:paraId="14611FB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249A5D60">
            <w:pPr>
              <w:pStyle w:val="150"/>
            </w:pPr>
            <w:r>
              <w:rPr>
                <w:rFonts w:hint="eastAsia"/>
              </w:rPr>
              <w:t>绑定范围与密码同时校验</w:t>
            </w:r>
          </w:p>
        </w:tc>
        <w:tc>
          <w:tcPr>
            <w:tcW w:w="6816" w:type="dxa"/>
            <w:shd w:val="clear" w:color="auto" w:fill="auto"/>
          </w:tcPr>
          <w:p w14:paraId="50FCFC1F">
            <w:pPr>
              <w:pStyle w:val="150"/>
            </w:pPr>
            <w:r>
              <w:rPr>
                <w:rFonts w:hint="eastAsia"/>
              </w:rPr>
              <w:t>启用后，需要校验用户的IP地址是否在识别范围内，并同时校验用户的密码是否正确。</w:t>
            </w:r>
          </w:p>
        </w:tc>
      </w:tr>
    </w:tbl>
    <w:p w14:paraId="6D0A328D"/>
    <w:p w14:paraId="3B423639">
      <w:r>
        <w:rPr>
          <w:rFonts w:hint="eastAsia"/>
        </w:rPr>
        <w:t>输入完毕后，点击</w:t>
      </w:r>
      <w:r>
        <w:t>&lt;</w:t>
      </w:r>
      <w:r>
        <w:rPr>
          <w:rFonts w:hint="eastAsia"/>
        </w:rPr>
        <w:t>提交</w:t>
      </w:r>
      <w:r>
        <w:t>&gt;</w:t>
      </w:r>
      <w:r>
        <w:rPr>
          <w:rFonts w:hint="eastAsia"/>
        </w:rPr>
        <w:t>按钮，应用配置。</w:t>
      </w:r>
    </w:p>
    <w:p w14:paraId="7626EADE">
      <w:pPr>
        <w:pStyle w:val="5"/>
      </w:pPr>
      <w:bookmarkStart w:id="9019" w:name="_Toc141873560"/>
      <w:bookmarkStart w:id="9020" w:name="_Toc172218329"/>
      <w:bookmarkStart w:id="9021" w:name="_Toc142401076"/>
      <w:bookmarkStart w:id="9022" w:name="_Toc194081213"/>
      <w:bookmarkStart w:id="9023" w:name="_Toc196728541"/>
      <w:r>
        <w:rPr>
          <w:rFonts w:hint="eastAsia"/>
        </w:rPr>
        <w:t>第</w:t>
      </w:r>
      <w:r>
        <w:t>三方用户</w:t>
      </w:r>
      <w:r>
        <w:rPr>
          <w:rFonts w:hint="eastAsia"/>
        </w:rPr>
        <w:t>同</w:t>
      </w:r>
      <w:r>
        <w:t>步</w:t>
      </w:r>
      <w:bookmarkEnd w:id="8919"/>
      <w:bookmarkEnd w:id="8920"/>
      <w:bookmarkEnd w:id="8921"/>
      <w:bookmarkEnd w:id="8922"/>
      <w:bookmarkEnd w:id="8923"/>
      <w:bookmarkEnd w:id="8924"/>
      <w:bookmarkEnd w:id="9019"/>
      <w:bookmarkEnd w:id="9020"/>
      <w:bookmarkEnd w:id="9021"/>
      <w:bookmarkEnd w:id="9022"/>
      <w:bookmarkEnd w:id="9023"/>
    </w:p>
    <w:p w14:paraId="4E0D2F66">
      <w:r>
        <w:rPr>
          <w:rFonts w:hint="eastAsia"/>
        </w:rPr>
        <w:t>设备支持第三方用户同步功能，即将通过第三方服务器认证的用户同步到本地设备，添加到本地列表及用户组。目前设备支持与数据库服务器、RADIUS服务器、Web服务器、深澜认证服务器、城市热点认证服务器、PPPoE服务器、安美认证服务器等进行第三方用户同步。</w:t>
      </w:r>
    </w:p>
    <w:p w14:paraId="6AE0337E">
      <w:pPr>
        <w:pStyle w:val="6"/>
      </w:pPr>
      <w:bookmarkStart w:id="9024" w:name="_Toc93672190"/>
      <w:bookmarkStart w:id="9025" w:name="_Toc99561626"/>
      <w:r>
        <w:rPr>
          <w:rFonts w:hint="eastAsia"/>
        </w:rPr>
        <w:t>数据库用户同步接口</w:t>
      </w:r>
      <w:bookmarkEnd w:id="9024"/>
      <w:bookmarkEnd w:id="9025"/>
    </w:p>
    <w:p w14:paraId="36246801">
      <w:r>
        <w:rPr>
          <w:rFonts w:hint="eastAsia"/>
        </w:rPr>
        <w:t>配置数据库同步的前提需要已具备Postgresql数据库，且用户认证信息会存储在数据库中。设备端数据库服务器的配置请参考</w:t>
      </w:r>
      <w:r>
        <w:fldChar w:fldCharType="begin"/>
      </w:r>
      <w:r>
        <w:instrText xml:space="preserve"> </w:instrText>
      </w:r>
      <w:r>
        <w:rPr>
          <w:rFonts w:hint="eastAsia"/>
        </w:rPr>
        <w:instrText xml:space="preserve">REF _Ref97909850 \h</w:instrText>
      </w:r>
      <w:r>
        <w:instrText xml:space="preserve">  \* MERGEFORMAT </w:instrText>
      </w:r>
      <w:r>
        <w:fldChar w:fldCharType="separate"/>
      </w:r>
      <w:r>
        <w:rPr>
          <w:rFonts w:hint="eastAsia"/>
        </w:rPr>
        <w:t>配置数据库服务器</w:t>
      </w:r>
      <w:r>
        <w:fldChar w:fldCharType="end"/>
      </w:r>
      <w:r>
        <w:rPr>
          <w:rFonts w:hint="eastAsia"/>
        </w:rPr>
        <w:t>。</w:t>
      </w:r>
    </w:p>
    <w:p w14:paraId="2DB6B253">
      <w:r>
        <w:rPr>
          <w:rFonts w:hint="eastAsia"/>
        </w:rPr>
        <w:t>选择“用户管理&gt;认证管理&gt;高级选项”，选择数据库用户用户同步页签进入数据库用户同步接口配置页面。</w:t>
      </w:r>
    </w:p>
    <w:p w14:paraId="54E3EA53">
      <w:pPr>
        <w:pStyle w:val="188"/>
      </w:pPr>
      <w:bookmarkStart w:id="9026" w:name="_Toc141874922"/>
      <w:r>
        <w:rPr>
          <w:rFonts w:hint="eastAsia"/>
        </w:rPr>
        <w:t>数据库用户同步接口配置页面</w:t>
      </w:r>
      <w:bookmarkEnd w:id="9026"/>
    </w:p>
    <w:p w14:paraId="46A159A1">
      <w:pPr>
        <w:spacing w:before="79" w:after="79"/>
        <w:rPr>
          <w:rFonts w:ascii="方正兰亭黑简体" w:hAnsi="方正兰亭黑简体" w:cs="Cambria"/>
        </w:rPr>
      </w:pPr>
      <w:r>
        <w:drawing>
          <wp:inline distT="0" distB="0" distL="0" distR="0">
            <wp:extent cx="5638800" cy="3148965"/>
            <wp:effectExtent l="0" t="0" r="0" b="0"/>
            <wp:docPr id="655" name="图片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655"/>
                    <pic:cNvPicPr>
                      <a:picLocks noChangeAspect="1"/>
                    </pic:cNvPicPr>
                  </pic:nvPicPr>
                  <pic:blipFill>
                    <a:blip r:embed="rId1156"/>
                    <a:stretch>
                      <a:fillRect/>
                    </a:stretch>
                  </pic:blipFill>
                  <pic:spPr>
                    <a:xfrm>
                      <a:off x="0" y="0"/>
                      <a:ext cx="5641955" cy="3151135"/>
                    </a:xfrm>
                    <a:prstGeom prst="rect">
                      <a:avLst/>
                    </a:prstGeom>
                  </pic:spPr>
                </pic:pic>
              </a:graphicData>
            </a:graphic>
          </wp:inline>
        </w:drawing>
      </w:r>
    </w:p>
    <w:p w14:paraId="36F84969"/>
    <w:p w14:paraId="6E250567">
      <w:r>
        <w:rPr>
          <w:rFonts w:hint="eastAsia"/>
        </w:rPr>
        <w:t>数据库用户同步的配置项及详细说明如下。</w:t>
      </w:r>
    </w:p>
    <w:tbl>
      <w:tblPr>
        <w:tblStyle w:val="173"/>
        <w:tblW w:w="964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70"/>
        <w:gridCol w:w="7478"/>
      </w:tblGrid>
      <w:tr w14:paraId="51DB27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170" w:type="dxa"/>
            <w:tcBorders>
              <w:tl2br w:val="nil"/>
              <w:tr2bl w:val="nil"/>
            </w:tcBorders>
            <w:shd w:val="clear" w:color="auto" w:fill="538135" w:themeFill="accent6" w:themeFillShade="BF"/>
            <w:vAlign w:val="center"/>
          </w:tcPr>
          <w:p w14:paraId="1D4D2C78">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7478" w:type="dxa"/>
            <w:tcBorders>
              <w:tl2br w:val="nil"/>
              <w:tr2bl w:val="nil"/>
            </w:tcBorders>
            <w:shd w:val="clear" w:color="auto" w:fill="538135" w:themeFill="accent6" w:themeFillShade="BF"/>
            <w:vAlign w:val="center"/>
          </w:tcPr>
          <w:p w14:paraId="34AFA860">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7E34ED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170" w:type="dxa"/>
            <w:shd w:val="clear" w:color="auto" w:fill="auto"/>
          </w:tcPr>
          <w:p w14:paraId="5F9543F1">
            <w:pPr>
              <w:pStyle w:val="150"/>
            </w:pPr>
            <w:r>
              <w:rPr>
                <w:rFonts w:hint="eastAsia"/>
              </w:rPr>
              <w:t>启用</w:t>
            </w:r>
          </w:p>
        </w:tc>
        <w:tc>
          <w:tcPr>
            <w:tcW w:w="7478" w:type="dxa"/>
            <w:shd w:val="clear" w:color="auto" w:fill="auto"/>
          </w:tcPr>
          <w:p w14:paraId="7C5C5BA6">
            <w:pPr>
              <w:pStyle w:val="150"/>
            </w:pPr>
            <w:r>
              <w:rPr>
                <w:rFonts w:hint="eastAsia"/>
              </w:rPr>
              <w:t>是否启用数据库用户同步功能。开启数据库用户同步功能后，设备会根据同步间隔定期通过数据库select语句去目标服务器上获取表中的用户信息（用户名+IP），动态缓存到设备本地特定目录下，后续对应的IP产生流量过设备时，则会直接加入在线用户，显示为对应的用户名。</w:t>
            </w:r>
          </w:p>
        </w:tc>
      </w:tr>
      <w:tr w14:paraId="2D38BC6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170" w:type="dxa"/>
            <w:shd w:val="clear" w:color="auto" w:fill="auto"/>
          </w:tcPr>
          <w:p w14:paraId="4F79241C">
            <w:pPr>
              <w:pStyle w:val="150"/>
            </w:pPr>
            <w:r>
              <w:rPr>
                <w:rFonts w:hint="eastAsia"/>
              </w:rPr>
              <w:t>用户同步IP范围</w:t>
            </w:r>
          </w:p>
        </w:tc>
        <w:tc>
          <w:tcPr>
            <w:tcW w:w="7478" w:type="dxa"/>
            <w:shd w:val="clear" w:color="auto" w:fill="auto"/>
          </w:tcPr>
          <w:p w14:paraId="756B3763">
            <w:pPr>
              <w:pStyle w:val="150"/>
            </w:pPr>
            <w:r>
              <w:rPr>
                <w:rFonts w:hint="eastAsia"/>
              </w:rPr>
              <w:t>同步数据库用户的过滤条件，在IP范围内的用户信息才会同步到本地。</w:t>
            </w:r>
          </w:p>
        </w:tc>
      </w:tr>
      <w:tr w14:paraId="511DF5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170" w:type="dxa"/>
            <w:shd w:val="clear" w:color="auto" w:fill="auto"/>
          </w:tcPr>
          <w:p w14:paraId="74A0F443">
            <w:pPr>
              <w:pStyle w:val="150"/>
            </w:pPr>
            <w:r>
              <w:rPr>
                <w:rFonts w:hint="eastAsia"/>
              </w:rPr>
              <w:t>数据库服务器</w:t>
            </w:r>
          </w:p>
        </w:tc>
        <w:tc>
          <w:tcPr>
            <w:tcW w:w="7478" w:type="dxa"/>
            <w:shd w:val="clear" w:color="auto" w:fill="auto"/>
          </w:tcPr>
          <w:p w14:paraId="5DC7B2A9">
            <w:pPr>
              <w:pStyle w:val="150"/>
            </w:pPr>
            <w:r>
              <w:rPr>
                <w:rFonts w:hint="eastAsia"/>
              </w:rPr>
              <w:t>显示已配置的数据库服务器，根据需要选择正确的服务器即可。</w:t>
            </w:r>
          </w:p>
        </w:tc>
      </w:tr>
      <w:tr w14:paraId="199AA0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170" w:type="dxa"/>
            <w:shd w:val="clear" w:color="auto" w:fill="auto"/>
          </w:tcPr>
          <w:p w14:paraId="0554B6BE">
            <w:pPr>
              <w:pStyle w:val="150"/>
            </w:pPr>
            <w:r>
              <w:rPr>
                <w:rFonts w:hint="eastAsia"/>
              </w:rPr>
              <w:t>获取已认证用户列表的SQL语句</w:t>
            </w:r>
          </w:p>
        </w:tc>
        <w:tc>
          <w:tcPr>
            <w:tcW w:w="7478" w:type="dxa"/>
            <w:shd w:val="clear" w:color="auto" w:fill="auto"/>
          </w:tcPr>
          <w:p w14:paraId="1DF34B40">
            <w:pPr>
              <w:pStyle w:val="150"/>
            </w:pPr>
            <w:r>
              <w:rPr>
                <w:rFonts w:hint="eastAsia"/>
              </w:rPr>
              <w:t>通过配置正确的SQL语句从数据库中的特定表中获取特定的字段内容（用户名+IP）。如：select username,ip from usertable;</w:t>
            </w:r>
          </w:p>
        </w:tc>
      </w:tr>
      <w:tr w14:paraId="49360A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170" w:type="dxa"/>
            <w:shd w:val="clear" w:color="auto" w:fill="auto"/>
          </w:tcPr>
          <w:p w14:paraId="5C1AAE47">
            <w:pPr>
              <w:pStyle w:val="150"/>
            </w:pPr>
            <w:r>
              <w:rPr>
                <w:rFonts w:hint="eastAsia"/>
              </w:rPr>
              <w:t>同步间隔</w:t>
            </w:r>
          </w:p>
        </w:tc>
        <w:tc>
          <w:tcPr>
            <w:tcW w:w="7478" w:type="dxa"/>
            <w:shd w:val="clear" w:color="auto" w:fill="auto"/>
          </w:tcPr>
          <w:p w14:paraId="069CD222">
            <w:pPr>
              <w:pStyle w:val="150"/>
            </w:pPr>
            <w:r>
              <w:rPr>
                <w:rFonts w:hint="eastAsia"/>
              </w:rPr>
              <w:t>设备周期性跟数据库服务器同步用户信息的时间间隔。</w:t>
            </w:r>
          </w:p>
        </w:tc>
      </w:tr>
      <w:tr w14:paraId="117F8B2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trPr>
        <w:tc>
          <w:tcPr>
            <w:tcW w:w="2170" w:type="dxa"/>
            <w:shd w:val="clear" w:color="auto" w:fill="auto"/>
          </w:tcPr>
          <w:p w14:paraId="394C8A92">
            <w:pPr>
              <w:pStyle w:val="150"/>
            </w:pPr>
            <w:r>
              <w:rPr>
                <w:rFonts w:hint="eastAsia"/>
              </w:rPr>
              <w:t>测试有效性</w:t>
            </w:r>
          </w:p>
        </w:tc>
        <w:tc>
          <w:tcPr>
            <w:tcW w:w="7478" w:type="dxa"/>
            <w:shd w:val="clear" w:color="auto" w:fill="auto"/>
          </w:tcPr>
          <w:p w14:paraId="486CD04A">
            <w:pPr>
              <w:pStyle w:val="150"/>
            </w:pPr>
            <w:r>
              <w:rPr>
                <w:rFonts w:hint="eastAsia"/>
              </w:rPr>
              <w:t>点击测试有效性测试设备是否能从数据库服务器获取到用户信息。</w:t>
            </w:r>
          </w:p>
        </w:tc>
      </w:tr>
    </w:tbl>
    <w:p w14:paraId="650998E7"/>
    <w:p w14:paraId="3C3BB1EE">
      <w:pPr>
        <w:pStyle w:val="6"/>
      </w:pPr>
      <w:bookmarkStart w:id="9027" w:name="_Toc9006663"/>
      <w:bookmarkStart w:id="9028" w:name="_Toc40276377"/>
      <w:bookmarkStart w:id="9029" w:name="_Toc15485192"/>
      <w:bookmarkStart w:id="9030" w:name="_Toc99561627"/>
      <w:bookmarkStart w:id="9031" w:name="_Toc23152956"/>
      <w:r>
        <w:rPr>
          <w:rFonts w:hint="eastAsia"/>
        </w:rPr>
        <w:t>第三方用户同步接口</w:t>
      </w:r>
      <w:bookmarkEnd w:id="9027"/>
      <w:bookmarkEnd w:id="9028"/>
      <w:bookmarkEnd w:id="9029"/>
      <w:bookmarkEnd w:id="9030"/>
      <w:bookmarkEnd w:id="9031"/>
    </w:p>
    <w:p w14:paraId="5925D366">
      <w:r>
        <w:rPr>
          <w:rFonts w:hint="eastAsia"/>
        </w:rPr>
        <w:t>在导航栏中选择“用户管理&gt;认证管理&gt;高级选项&gt;第三方用户同步&gt;第三方用户同步”，进入第三方</w:t>
      </w:r>
      <w:r>
        <w:t>用户</w:t>
      </w:r>
      <w:r>
        <w:rPr>
          <w:rFonts w:hint="eastAsia"/>
        </w:rPr>
        <w:t>同步配置页面，如</w:t>
      </w:r>
      <w:r>
        <w:rPr>
          <w:color w:val="0000FF"/>
          <w:u w:val="single"/>
        </w:rPr>
        <w:fldChar w:fldCharType="begin"/>
      </w:r>
      <w:r>
        <w:instrText xml:space="preserve"> </w:instrText>
      </w:r>
      <w:r>
        <w:rPr>
          <w:rFonts w:hint="eastAsia"/>
        </w:rPr>
        <w:instrText xml:space="preserve">REF _Ref6233934 \r \h</w:instrText>
      </w:r>
      <w:r>
        <w:instrText xml:space="preserve"> </w:instrText>
      </w:r>
      <w:r>
        <w:rPr>
          <w:color w:val="0000FF"/>
          <w:u w:val="single"/>
        </w:rPr>
        <w:fldChar w:fldCharType="separate"/>
      </w:r>
      <w:r>
        <w:rPr>
          <w:rFonts w:hint="eastAsia"/>
        </w:rPr>
        <w:t>图31-163</w:t>
      </w:r>
      <w:r>
        <w:rPr>
          <w:color w:val="0000FF"/>
          <w:u w:val="single"/>
        </w:rPr>
        <w:fldChar w:fldCharType="end"/>
      </w:r>
      <w:r>
        <w:rPr>
          <w:rFonts w:hint="eastAsia"/>
        </w:rPr>
        <w:t>所示。</w:t>
      </w:r>
    </w:p>
    <w:p w14:paraId="1B2BC507">
      <w:pPr>
        <w:pStyle w:val="188"/>
      </w:pPr>
      <w:bookmarkStart w:id="9032" w:name="_Ref6233934"/>
      <w:bookmarkStart w:id="9033" w:name="_Toc141874923"/>
      <w:r>
        <w:rPr>
          <w:rFonts w:hint="eastAsia"/>
        </w:rPr>
        <w:t>第</w:t>
      </w:r>
      <w:r>
        <w:t>三方用户同步配置页面</w:t>
      </w:r>
      <w:bookmarkEnd w:id="9032"/>
      <w:bookmarkEnd w:id="9033"/>
    </w:p>
    <w:p w14:paraId="79325044">
      <w:r>
        <w:drawing>
          <wp:inline distT="0" distB="0" distL="0" distR="0">
            <wp:extent cx="5581650" cy="3467100"/>
            <wp:effectExtent l="0" t="0" r="0" b="0"/>
            <wp:docPr id="1802027848" name="图片 1802027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48" name="图片 1802027848"/>
                    <pic:cNvPicPr>
                      <a:picLocks noChangeAspect="1"/>
                    </pic:cNvPicPr>
                  </pic:nvPicPr>
                  <pic:blipFill>
                    <a:blip r:embed="rId1157"/>
                    <a:stretch>
                      <a:fillRect/>
                    </a:stretch>
                  </pic:blipFill>
                  <pic:spPr>
                    <a:xfrm>
                      <a:off x="0" y="0"/>
                      <a:ext cx="5584256" cy="3468867"/>
                    </a:xfrm>
                    <a:prstGeom prst="rect">
                      <a:avLst/>
                    </a:prstGeom>
                  </pic:spPr>
                </pic:pic>
              </a:graphicData>
            </a:graphic>
          </wp:inline>
        </w:drawing>
      </w:r>
    </w:p>
    <w:p w14:paraId="1A3E3FC9"/>
    <w:p w14:paraId="6121B7E4">
      <w:r>
        <w:rPr>
          <w:rFonts w:hint="eastAsia"/>
        </w:rPr>
        <w:t>页面的详细说明如</w:t>
      </w:r>
      <w:r>
        <w:rPr>
          <w:color w:val="0000FF"/>
          <w:u w:val="single"/>
        </w:rPr>
        <w:fldChar w:fldCharType="begin"/>
      </w:r>
      <w:r>
        <w:instrText xml:space="preserve"> </w:instrText>
      </w:r>
      <w:r>
        <w:rPr>
          <w:rFonts w:hint="eastAsia"/>
        </w:rPr>
        <w:instrText xml:space="preserve">REF _Ref6233941 \r \h</w:instrText>
      </w:r>
      <w:r>
        <w:instrText xml:space="preserve"> </w:instrText>
      </w:r>
      <w:r>
        <w:rPr>
          <w:color w:val="0000FF"/>
          <w:u w:val="single"/>
        </w:rPr>
        <w:fldChar w:fldCharType="separate"/>
      </w:r>
      <w:r>
        <w:rPr>
          <w:rFonts w:hint="eastAsia"/>
        </w:rPr>
        <w:t>表31-1</w:t>
      </w:r>
      <w:r>
        <w:rPr>
          <w:color w:val="0000FF"/>
          <w:u w:val="single"/>
        </w:rPr>
        <w:fldChar w:fldCharType="end"/>
      </w:r>
      <w:r>
        <w:rPr>
          <w:rFonts w:hint="eastAsia"/>
        </w:rPr>
        <w:t>所示。</w:t>
      </w:r>
    </w:p>
    <w:p w14:paraId="659896AB">
      <w:pPr>
        <w:pStyle w:val="183"/>
      </w:pPr>
      <w:bookmarkStart w:id="9034" w:name="_Ref6233941"/>
      <w:bookmarkStart w:id="9035" w:name="_Toc141875610"/>
      <w:r>
        <w:rPr>
          <w:rFonts w:hint="eastAsia"/>
        </w:rPr>
        <w:t>第三方用户同步接口配置详细说明</w:t>
      </w:r>
      <w:bookmarkEnd w:id="9034"/>
      <w:bookmarkEnd w:id="9035"/>
    </w:p>
    <w:tbl>
      <w:tblPr>
        <w:tblStyle w:val="173"/>
        <w:tblW w:w="8869"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835"/>
        <w:gridCol w:w="7034"/>
      </w:tblGrid>
      <w:tr w14:paraId="285A80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835" w:type="dxa"/>
            <w:tcBorders>
              <w:tl2br w:val="nil"/>
              <w:tr2bl w:val="nil"/>
            </w:tcBorders>
            <w:shd w:val="clear" w:color="auto" w:fill="538135" w:themeFill="accent6" w:themeFillShade="BF"/>
            <w:vAlign w:val="center"/>
          </w:tcPr>
          <w:p w14:paraId="29D90D17">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7034" w:type="dxa"/>
            <w:tcBorders>
              <w:tl2br w:val="nil"/>
              <w:tr2bl w:val="nil"/>
            </w:tcBorders>
            <w:shd w:val="clear" w:color="auto" w:fill="538135" w:themeFill="accent6" w:themeFillShade="BF"/>
            <w:vAlign w:val="center"/>
          </w:tcPr>
          <w:p w14:paraId="06D80593">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D27F6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869" w:type="dxa"/>
            <w:gridSpan w:val="2"/>
            <w:shd w:val="clear" w:color="auto" w:fill="auto"/>
          </w:tcPr>
          <w:p w14:paraId="32F49C96">
            <w:pPr>
              <w:pStyle w:val="150"/>
            </w:pPr>
            <w:r>
              <w:rPr>
                <w:rFonts w:hint="eastAsia"/>
              </w:rPr>
              <w:t>第三方用户同步接口</w:t>
            </w:r>
          </w:p>
        </w:tc>
      </w:tr>
      <w:tr w14:paraId="259169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835" w:type="dxa"/>
            <w:shd w:val="clear" w:color="auto" w:fill="auto"/>
          </w:tcPr>
          <w:p w14:paraId="312BDF5D">
            <w:pPr>
              <w:pStyle w:val="150"/>
            </w:pPr>
            <w:r>
              <w:rPr>
                <w:rFonts w:hint="eastAsia"/>
              </w:rPr>
              <w:t>用户名</w:t>
            </w:r>
          </w:p>
        </w:tc>
        <w:tc>
          <w:tcPr>
            <w:tcW w:w="7034" w:type="dxa"/>
            <w:shd w:val="clear" w:color="auto" w:fill="auto"/>
          </w:tcPr>
          <w:p w14:paraId="7B24CAD3">
            <w:pPr>
              <w:pStyle w:val="150"/>
            </w:pPr>
            <w:r>
              <w:rPr>
                <w:rFonts w:hint="eastAsia"/>
              </w:rPr>
              <w:t>选择用户同步到设备本地后显示的用户名类型。</w:t>
            </w:r>
            <w:r>
              <w:t>可选择登录名或者真实名字</w:t>
            </w:r>
            <w:r>
              <w:rPr>
                <w:rFonts w:hint="eastAsia"/>
              </w:rPr>
              <w:t>，</w:t>
            </w:r>
            <w:r>
              <w:t>分别显示为</w:t>
            </w:r>
            <w:r>
              <w:rPr>
                <w:rFonts w:hint="eastAsia"/>
              </w:rPr>
              <w:t>第三方认证服务器同步的</w:t>
            </w:r>
            <w:r>
              <w:t>登录名或者真实</w:t>
            </w:r>
            <w:r>
              <w:rPr>
                <w:rFonts w:hint="eastAsia"/>
              </w:rPr>
              <w:t>姓名，如未同步真实姓名，则会显示登录名。</w:t>
            </w:r>
          </w:p>
          <w:p w14:paraId="4D85EAE6">
            <w:pPr>
              <w:pStyle w:val="150"/>
            </w:pPr>
            <w:r>
              <w:t>默认为登录名</w:t>
            </w:r>
            <w:r>
              <w:rPr>
                <w:rFonts w:hint="eastAsia"/>
              </w:rPr>
              <w:t>。</w:t>
            </w:r>
          </w:p>
        </w:tc>
      </w:tr>
      <w:tr w14:paraId="6B1CAE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835" w:type="dxa"/>
            <w:shd w:val="clear" w:color="auto" w:fill="auto"/>
          </w:tcPr>
          <w:p w14:paraId="56807599">
            <w:pPr>
              <w:pStyle w:val="150"/>
            </w:pPr>
            <w:r>
              <w:rPr>
                <w:rFonts w:hint="eastAsia"/>
              </w:rPr>
              <w:t>用户组</w:t>
            </w:r>
          </w:p>
        </w:tc>
        <w:tc>
          <w:tcPr>
            <w:tcW w:w="7034" w:type="dxa"/>
            <w:shd w:val="clear" w:color="auto" w:fill="auto"/>
          </w:tcPr>
          <w:p w14:paraId="192C6040">
            <w:pPr>
              <w:pStyle w:val="150"/>
            </w:pPr>
            <w:r>
              <w:rPr>
                <w:rFonts w:hint="eastAsia"/>
              </w:rPr>
              <w:t>配置第三方用户同步录入的用户组，同步成功后，设备会将上线成功的用户录入到所配置的本地用户组中。</w:t>
            </w:r>
          </w:p>
          <w:p w14:paraId="56753FC8">
            <w:pPr>
              <w:pStyle w:val="150"/>
            </w:pPr>
            <w:r>
              <w:rPr>
                <w:rFonts w:hint="eastAsia"/>
              </w:rPr>
              <w:t>只支持选择本地用户结构及其子组，用户下线后，设备会将该用户同步删除。</w:t>
            </w:r>
          </w:p>
        </w:tc>
      </w:tr>
      <w:tr w14:paraId="44FF2CF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835" w:type="dxa"/>
            <w:shd w:val="clear" w:color="auto" w:fill="auto"/>
          </w:tcPr>
          <w:p w14:paraId="466EA630">
            <w:pPr>
              <w:pStyle w:val="150"/>
            </w:pPr>
            <w:r>
              <w:rPr>
                <w:rFonts w:hint="eastAsia"/>
              </w:rPr>
              <w:t>服务</w:t>
            </w:r>
            <w:r>
              <w:t>器</w:t>
            </w:r>
            <w:r>
              <w:rPr>
                <w:rFonts w:hint="eastAsia"/>
              </w:rPr>
              <w:t>1/服务</w:t>
            </w:r>
            <w:r>
              <w:t>器</w:t>
            </w:r>
            <w:r>
              <w:rPr>
                <w:rFonts w:hint="eastAsia"/>
              </w:rPr>
              <w:t>2</w:t>
            </w:r>
          </w:p>
        </w:tc>
        <w:tc>
          <w:tcPr>
            <w:tcW w:w="7034" w:type="dxa"/>
            <w:shd w:val="clear" w:color="auto" w:fill="auto"/>
          </w:tcPr>
          <w:p w14:paraId="1DEA6A5D">
            <w:pPr>
              <w:pStyle w:val="150"/>
            </w:pPr>
            <w:r>
              <w:rPr>
                <w:rFonts w:hint="eastAsia"/>
              </w:rPr>
              <w:t>勾选复选框在设备上启用第三方用户同步接口</w:t>
            </w:r>
            <w:r>
              <w:t>功能</w:t>
            </w:r>
            <w:r>
              <w:rPr>
                <w:rFonts w:hint="eastAsia"/>
              </w:rPr>
              <w:t>。开启第三方用户同步接口功能后，第三方认证服务器将用户上线下报文发送到设备的UDP9999端口，设备通过上下线报文来识别用户。支持</w:t>
            </w:r>
            <w:r>
              <w:t>同</w:t>
            </w:r>
            <w:r>
              <w:rPr>
                <w:rFonts w:hint="eastAsia"/>
              </w:rPr>
              <w:t>时</w:t>
            </w:r>
            <w:r>
              <w:t>配置两个对接服务器。</w:t>
            </w:r>
          </w:p>
        </w:tc>
      </w:tr>
      <w:tr w14:paraId="323292C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835" w:type="dxa"/>
            <w:shd w:val="clear" w:color="auto" w:fill="auto"/>
          </w:tcPr>
          <w:p w14:paraId="0C6D5FB2">
            <w:pPr>
              <w:pStyle w:val="150"/>
            </w:pPr>
            <w:r>
              <w:rPr>
                <w:rFonts w:hint="eastAsia"/>
              </w:rPr>
              <w:t>服务器名称</w:t>
            </w:r>
          </w:p>
        </w:tc>
        <w:tc>
          <w:tcPr>
            <w:tcW w:w="7034" w:type="dxa"/>
            <w:shd w:val="clear" w:color="auto" w:fill="auto"/>
          </w:tcPr>
          <w:p w14:paraId="5AFCE037">
            <w:pPr>
              <w:pStyle w:val="150"/>
            </w:pPr>
            <w:r>
              <w:rPr>
                <w:rFonts w:hint="eastAsia"/>
              </w:rPr>
              <w:t>第三方认证服务器的名称。</w:t>
            </w:r>
          </w:p>
        </w:tc>
      </w:tr>
      <w:tr w14:paraId="7C2C6BB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835" w:type="dxa"/>
            <w:shd w:val="clear" w:color="auto" w:fill="auto"/>
          </w:tcPr>
          <w:p w14:paraId="59365667">
            <w:pPr>
              <w:pStyle w:val="150"/>
            </w:pPr>
            <w:r>
              <w:rPr>
                <w:rFonts w:hint="eastAsia"/>
              </w:rPr>
              <w:t>服务器地址</w:t>
            </w:r>
          </w:p>
        </w:tc>
        <w:tc>
          <w:tcPr>
            <w:tcW w:w="7034" w:type="dxa"/>
            <w:shd w:val="clear" w:color="auto" w:fill="auto"/>
          </w:tcPr>
          <w:p w14:paraId="149D9366">
            <w:pPr>
              <w:pStyle w:val="150"/>
            </w:pPr>
            <w:r>
              <w:rPr>
                <w:rFonts w:hint="eastAsia"/>
              </w:rPr>
              <w:t>第三方认证服务器的IP地址。</w:t>
            </w:r>
          </w:p>
        </w:tc>
      </w:tr>
      <w:tr w14:paraId="416673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835" w:type="dxa"/>
            <w:shd w:val="clear" w:color="auto" w:fill="auto"/>
          </w:tcPr>
          <w:p w14:paraId="4F2C7BFB">
            <w:pPr>
              <w:pStyle w:val="150"/>
            </w:pPr>
            <w:r>
              <w:rPr>
                <w:rFonts w:hint="eastAsia"/>
              </w:rPr>
              <w:t>密钥</w:t>
            </w:r>
          </w:p>
        </w:tc>
        <w:tc>
          <w:tcPr>
            <w:tcW w:w="7034" w:type="dxa"/>
            <w:shd w:val="clear" w:color="auto" w:fill="auto"/>
          </w:tcPr>
          <w:p w14:paraId="789D30CF">
            <w:pPr>
              <w:pStyle w:val="150"/>
            </w:pPr>
            <w:r>
              <w:rPr>
                <w:rFonts w:hint="eastAsia"/>
              </w:rPr>
              <w:t>与第三方认证服务器之间对接的密钥，需要与对端服务器上的配置保持一致。</w:t>
            </w:r>
          </w:p>
        </w:tc>
      </w:tr>
    </w:tbl>
    <w:p w14:paraId="125F65FE"/>
    <w:p w14:paraId="70D886A8">
      <w:pPr>
        <w:pStyle w:val="193"/>
      </w:pPr>
      <w:r>
        <w:rPr>
          <w:lang w:eastAsia="zh-CN"/>
        </w:rPr>
        <w:drawing>
          <wp:inline distT="0" distB="0" distL="0" distR="0">
            <wp:extent cx="590550" cy="238125"/>
            <wp:effectExtent l="19050" t="0" r="0" b="0"/>
            <wp:docPr id="1296485315" name="图片 1296485315"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15" name="图片 1296485315" descr="说明"/>
                    <pic:cNvPicPr>
                      <a:picLocks noChangeAspect="1" noChangeArrowheads="1"/>
                    </pic:cNvPicPr>
                  </pic:nvPicPr>
                  <pic:blipFill>
                    <a:blip r:embed="rId92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14:paraId="3DB2BC83">
      <w:pPr>
        <w:pStyle w:val="194"/>
        <w:rPr>
          <w:lang w:eastAsia="zh-CN"/>
        </w:rPr>
      </w:pPr>
      <w:r>
        <w:rPr>
          <w:lang w:eastAsia="zh-CN"/>
        </w:rPr>
        <w:t>第三方用户同步的同一用户支持同时使用IPv4和</w:t>
      </w:r>
      <w:r>
        <w:rPr>
          <w:rFonts w:hint="eastAsia"/>
          <w:lang w:eastAsia="zh-CN"/>
        </w:rPr>
        <w:t>I</w:t>
      </w:r>
      <w:r>
        <w:rPr>
          <w:lang w:eastAsia="zh-CN"/>
        </w:rPr>
        <w:t>Pv6地址上线</w:t>
      </w:r>
      <w:r>
        <w:rPr>
          <w:rFonts w:hint="eastAsia"/>
          <w:lang w:eastAsia="zh-CN"/>
        </w:rPr>
        <w:t>。</w:t>
      </w:r>
    </w:p>
    <w:p w14:paraId="0CF6D392">
      <w:pPr>
        <w:pStyle w:val="194"/>
        <w:rPr>
          <w:lang w:eastAsia="zh-CN"/>
        </w:rPr>
      </w:pPr>
      <w:r>
        <w:rPr>
          <w:rFonts w:hint="eastAsia"/>
          <w:lang w:eastAsia="zh-CN"/>
        </w:rPr>
        <w:t>第三方用户同步成功后，录入本地的用户均为临时用户，下线后会进行删除；</w:t>
      </w:r>
    </w:p>
    <w:p w14:paraId="741F43AE">
      <w:pPr>
        <w:pStyle w:val="194"/>
        <w:rPr>
          <w:lang w:eastAsia="zh-CN"/>
        </w:rPr>
      </w:pPr>
      <w:r>
        <w:rPr>
          <w:rFonts w:hint="eastAsia"/>
          <w:lang w:eastAsia="zh-CN"/>
        </w:rPr>
        <w:t>第三方用户同步接口服务器1与服务器2共用一个用户组。</w:t>
      </w:r>
    </w:p>
    <w:p w14:paraId="6E745A87"/>
    <w:p w14:paraId="00C1D1AD">
      <w:r>
        <w:rPr>
          <w:rFonts w:hint="eastAsia"/>
        </w:rPr>
        <w:t>输入完毕后，点击</w:t>
      </w:r>
      <w:r>
        <w:t>&lt;</w:t>
      </w:r>
      <w:r>
        <w:rPr>
          <w:rFonts w:hint="eastAsia"/>
        </w:rPr>
        <w:t>提交</w:t>
      </w:r>
      <w:r>
        <w:t>&gt;</w:t>
      </w:r>
      <w:r>
        <w:rPr>
          <w:rFonts w:hint="eastAsia"/>
        </w:rPr>
        <w:t>按钮，应用配置。</w:t>
      </w:r>
    </w:p>
    <w:p w14:paraId="26958B3A"/>
    <w:p w14:paraId="520AFE72">
      <w:pPr>
        <w:pStyle w:val="6"/>
      </w:pPr>
      <w:bookmarkStart w:id="9036" w:name="_Toc23152957"/>
      <w:bookmarkStart w:id="9037" w:name="_Toc99561628"/>
      <w:bookmarkStart w:id="9038" w:name="_Toc40276378"/>
      <w:bookmarkStart w:id="9039" w:name="_Toc9006664"/>
      <w:bookmarkStart w:id="9040" w:name="_Toc15485193"/>
      <w:r>
        <w:rPr>
          <w:rFonts w:hint="eastAsia"/>
        </w:rPr>
        <w:t>R</w:t>
      </w:r>
      <w:r>
        <w:t>adius</w:t>
      </w:r>
      <w:r>
        <w:rPr>
          <w:rFonts w:hint="eastAsia"/>
        </w:rPr>
        <w:t>用户同步</w:t>
      </w:r>
      <w:bookmarkEnd w:id="9036"/>
      <w:bookmarkEnd w:id="9037"/>
      <w:bookmarkEnd w:id="9038"/>
      <w:bookmarkEnd w:id="9039"/>
      <w:bookmarkEnd w:id="9040"/>
    </w:p>
    <w:p w14:paraId="0AD0409C">
      <w:r>
        <w:rPr>
          <w:rFonts w:hint="eastAsia"/>
        </w:rPr>
        <w:t>在导航栏中选择“用户管理&gt;认证管理&gt;高级选项&gt;第三方用户同步&gt;Radius用户同步”，进入Radius用户同步配置页面，如</w:t>
      </w:r>
      <w:r>
        <w:rPr>
          <w:color w:val="0000FF"/>
          <w:u w:val="single"/>
        </w:rPr>
        <w:fldChar w:fldCharType="begin"/>
      </w:r>
      <w:r>
        <w:instrText xml:space="preserve"> </w:instrText>
      </w:r>
      <w:r>
        <w:rPr>
          <w:rFonts w:hint="eastAsia"/>
        </w:rPr>
        <w:instrText xml:space="preserve">REF _Ref9006380 \r \h</w:instrText>
      </w:r>
      <w:r>
        <w:instrText xml:space="preserve"> </w:instrText>
      </w:r>
      <w:r>
        <w:rPr>
          <w:color w:val="0000FF"/>
          <w:u w:val="single"/>
        </w:rPr>
        <w:fldChar w:fldCharType="separate"/>
      </w:r>
      <w:r>
        <w:rPr>
          <w:rFonts w:hint="eastAsia"/>
        </w:rPr>
        <w:t>图31-164</w:t>
      </w:r>
      <w:r>
        <w:rPr>
          <w:color w:val="0000FF"/>
          <w:u w:val="single"/>
        </w:rPr>
        <w:fldChar w:fldCharType="end"/>
      </w:r>
      <w:r>
        <w:rPr>
          <w:rFonts w:hint="eastAsia"/>
        </w:rPr>
        <w:t>所示。</w:t>
      </w:r>
    </w:p>
    <w:p w14:paraId="724B4CBA">
      <w:pPr>
        <w:pStyle w:val="188"/>
      </w:pPr>
      <w:bookmarkStart w:id="9041" w:name="_Toc141874924"/>
      <w:bookmarkStart w:id="9042" w:name="_Ref9006380"/>
      <w:r>
        <w:rPr>
          <w:rFonts w:hint="eastAsia"/>
        </w:rPr>
        <w:t>Radiu</w:t>
      </w:r>
      <w:r>
        <w:t>s用户同步配置页面</w:t>
      </w:r>
      <w:bookmarkEnd w:id="9041"/>
      <w:bookmarkEnd w:id="9042"/>
    </w:p>
    <w:p w14:paraId="4DCB7447">
      <w:r>
        <w:drawing>
          <wp:inline distT="0" distB="0" distL="0" distR="0">
            <wp:extent cx="5514975" cy="1811655"/>
            <wp:effectExtent l="0" t="0" r="0" b="0"/>
            <wp:docPr id="1802027849" name="图片 1802027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49" name="图片 1802027849"/>
                    <pic:cNvPicPr>
                      <a:picLocks noChangeAspect="1"/>
                    </pic:cNvPicPr>
                  </pic:nvPicPr>
                  <pic:blipFill>
                    <a:blip r:embed="rId1158"/>
                    <a:stretch>
                      <a:fillRect/>
                    </a:stretch>
                  </pic:blipFill>
                  <pic:spPr>
                    <a:xfrm>
                      <a:off x="0" y="0"/>
                      <a:ext cx="5521566" cy="1814360"/>
                    </a:xfrm>
                    <a:prstGeom prst="rect">
                      <a:avLst/>
                    </a:prstGeom>
                  </pic:spPr>
                </pic:pic>
              </a:graphicData>
            </a:graphic>
          </wp:inline>
        </w:drawing>
      </w:r>
    </w:p>
    <w:p w14:paraId="1138B99D"/>
    <w:p w14:paraId="48356C24">
      <w:r>
        <w:rPr>
          <w:rFonts w:hint="eastAsia"/>
        </w:rPr>
        <w:t>页面的详细说明如</w:t>
      </w:r>
      <w:r>
        <w:rPr>
          <w:color w:val="0000FF"/>
          <w:u w:val="single"/>
        </w:rPr>
        <w:fldChar w:fldCharType="begin"/>
      </w:r>
      <w:r>
        <w:instrText xml:space="preserve"> </w:instrText>
      </w:r>
      <w:r>
        <w:rPr>
          <w:rFonts w:hint="eastAsia"/>
        </w:rPr>
        <w:instrText xml:space="preserve">REF _Ref9006677 \r \h</w:instrText>
      </w:r>
      <w:r>
        <w:instrText xml:space="preserve"> </w:instrText>
      </w:r>
      <w:r>
        <w:rPr>
          <w:color w:val="0000FF"/>
          <w:u w:val="single"/>
        </w:rPr>
        <w:fldChar w:fldCharType="separate"/>
      </w:r>
      <w:r>
        <w:rPr>
          <w:rFonts w:hint="eastAsia"/>
        </w:rPr>
        <w:t>表31-1</w:t>
      </w:r>
      <w:r>
        <w:rPr>
          <w:color w:val="0000FF"/>
          <w:u w:val="single"/>
        </w:rPr>
        <w:fldChar w:fldCharType="end"/>
      </w:r>
      <w:r>
        <w:rPr>
          <w:rFonts w:hint="eastAsia"/>
        </w:rPr>
        <w:t>所示。</w:t>
      </w:r>
    </w:p>
    <w:p w14:paraId="44826C15">
      <w:pPr>
        <w:pStyle w:val="183"/>
      </w:pPr>
      <w:bookmarkStart w:id="9043" w:name="_Ref9006677"/>
      <w:bookmarkStart w:id="9044" w:name="_Toc141875611"/>
      <w:r>
        <w:rPr>
          <w:rFonts w:hint="eastAsia"/>
        </w:rPr>
        <w:t>Radius用户同步配置详细说明</w:t>
      </w:r>
      <w:bookmarkEnd w:id="9043"/>
      <w:bookmarkEnd w:id="9044"/>
    </w:p>
    <w:tbl>
      <w:tblPr>
        <w:tblStyle w:val="173"/>
        <w:tblW w:w="8869"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835"/>
        <w:gridCol w:w="7034"/>
      </w:tblGrid>
      <w:tr w14:paraId="636C32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c>
          <w:tcPr>
            <w:tcW w:w="1835" w:type="dxa"/>
            <w:tcBorders>
              <w:tl2br w:val="nil"/>
              <w:tr2bl w:val="nil"/>
            </w:tcBorders>
            <w:shd w:val="clear" w:color="auto" w:fill="538135" w:themeFill="accent6" w:themeFillShade="BF"/>
            <w:vAlign w:val="center"/>
          </w:tcPr>
          <w:p w14:paraId="5A7934A6">
            <w:pPr>
              <w:pStyle w:val="149"/>
              <w:wordWrap/>
              <w:rPr>
                <w:b/>
                <w:bCs/>
                <w:i w:val="0"/>
                <w:iCs w:val="0"/>
              </w:rPr>
            </w:pPr>
            <w:r>
              <w:rPr>
                <w:rFonts w:hint="eastAsia"/>
                <w:b/>
                <w:bCs/>
                <w:i w:val="0"/>
                <w:iCs w:val="0"/>
              </w:rPr>
              <w:t>项目</w:t>
            </w:r>
          </w:p>
        </w:tc>
        <w:tc>
          <w:tcPr>
            <w:tcW w:w="7034" w:type="dxa"/>
            <w:tcBorders>
              <w:tl2br w:val="nil"/>
              <w:tr2bl w:val="nil"/>
            </w:tcBorders>
            <w:shd w:val="clear" w:color="auto" w:fill="538135" w:themeFill="accent6" w:themeFillShade="BF"/>
            <w:vAlign w:val="center"/>
          </w:tcPr>
          <w:p w14:paraId="76E5A808">
            <w:pPr>
              <w:pStyle w:val="149"/>
              <w:wordWrap/>
              <w:rPr>
                <w:b/>
                <w:bCs/>
                <w:i w:val="0"/>
                <w:iCs w:val="0"/>
              </w:rPr>
            </w:pPr>
            <w:r>
              <w:rPr>
                <w:rFonts w:hint="eastAsia"/>
                <w:b/>
                <w:bCs/>
                <w:i w:val="0"/>
                <w:iCs w:val="0"/>
              </w:rPr>
              <w:t>说明</w:t>
            </w:r>
          </w:p>
        </w:tc>
      </w:tr>
      <w:tr w14:paraId="541454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869" w:type="dxa"/>
            <w:gridSpan w:val="2"/>
            <w:shd w:val="clear" w:color="auto" w:fill="auto"/>
          </w:tcPr>
          <w:p w14:paraId="48C8A2A4">
            <w:pPr>
              <w:pStyle w:val="150"/>
            </w:pPr>
            <w:r>
              <w:rPr>
                <w:rFonts w:hint="eastAsia" w:asciiTheme="minorEastAsia" w:hAnsiTheme="minorEastAsia"/>
              </w:rPr>
              <w:t>R</w:t>
            </w:r>
            <w:r>
              <w:t>Radius</w:t>
            </w:r>
            <w:r>
              <w:rPr>
                <w:rFonts w:hint="eastAsia"/>
              </w:rPr>
              <w:t>用户同步</w:t>
            </w:r>
          </w:p>
        </w:tc>
      </w:tr>
      <w:tr w14:paraId="01EB4C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835" w:type="dxa"/>
            <w:shd w:val="clear" w:color="auto" w:fill="auto"/>
          </w:tcPr>
          <w:p w14:paraId="2B072E65">
            <w:pPr>
              <w:pStyle w:val="150"/>
            </w:pPr>
            <w:r>
              <w:rPr>
                <w:rFonts w:hint="eastAsia"/>
              </w:rPr>
              <w:t>启用</w:t>
            </w:r>
          </w:p>
        </w:tc>
        <w:tc>
          <w:tcPr>
            <w:tcW w:w="7034" w:type="dxa"/>
            <w:shd w:val="clear" w:color="auto" w:fill="auto"/>
          </w:tcPr>
          <w:p w14:paraId="4D8BA950">
            <w:pPr>
              <w:pStyle w:val="150"/>
            </w:pPr>
            <w:r>
              <w:rPr>
                <w:rFonts w:hint="eastAsia"/>
              </w:rPr>
              <w:t>是否启用Radius用户同步，启用该功能后，用户的Radius报文经过设备，即可通过Radius报文来识别用户。</w:t>
            </w:r>
          </w:p>
        </w:tc>
      </w:tr>
      <w:tr w14:paraId="49EE645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835" w:type="dxa"/>
            <w:shd w:val="clear" w:color="auto" w:fill="auto"/>
          </w:tcPr>
          <w:p w14:paraId="3AF5411B">
            <w:pPr>
              <w:pStyle w:val="150"/>
            </w:pPr>
            <w:r>
              <w:rPr>
                <w:rFonts w:hint="eastAsia"/>
              </w:rPr>
              <w:t>Radius服务器</w:t>
            </w:r>
          </w:p>
        </w:tc>
        <w:tc>
          <w:tcPr>
            <w:tcW w:w="7034" w:type="dxa"/>
            <w:shd w:val="clear" w:color="auto" w:fill="auto"/>
          </w:tcPr>
          <w:p w14:paraId="6DCF6F51">
            <w:pPr>
              <w:pStyle w:val="150"/>
            </w:pPr>
            <w:r>
              <w:rPr>
                <w:rFonts w:hint="eastAsia"/>
              </w:rPr>
              <w:t>配置要监听的Radius服务器地址，只支持IPv4地址，默认为空（为空表示监听所有地址）。</w:t>
            </w:r>
          </w:p>
        </w:tc>
      </w:tr>
      <w:tr w14:paraId="30C04D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835" w:type="dxa"/>
            <w:shd w:val="clear" w:color="auto" w:fill="auto"/>
          </w:tcPr>
          <w:p w14:paraId="598C6FCA">
            <w:pPr>
              <w:pStyle w:val="150"/>
            </w:pPr>
            <w:r>
              <w:t>Radius认证端口</w:t>
            </w:r>
          </w:p>
        </w:tc>
        <w:tc>
          <w:tcPr>
            <w:tcW w:w="7034" w:type="dxa"/>
            <w:shd w:val="clear" w:color="auto" w:fill="auto"/>
          </w:tcPr>
          <w:p w14:paraId="7BA980D4">
            <w:pPr>
              <w:pStyle w:val="150"/>
            </w:pPr>
            <w:r>
              <w:rPr>
                <w:rFonts w:hint="eastAsia"/>
              </w:rPr>
              <w:t>Radius服务器上认证报文的接收端口，默认为1812。支持</w:t>
            </w:r>
            <w:r>
              <w:t>修改成</w:t>
            </w:r>
            <w:r>
              <w:rPr>
                <w:rFonts w:hint="eastAsia"/>
              </w:rPr>
              <w:t>其他使用</w:t>
            </w:r>
            <w:r>
              <w:t>的端口.</w:t>
            </w:r>
          </w:p>
        </w:tc>
      </w:tr>
      <w:tr w14:paraId="7909F5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835" w:type="dxa"/>
            <w:shd w:val="clear" w:color="auto" w:fill="auto"/>
          </w:tcPr>
          <w:p w14:paraId="5C5CF961">
            <w:pPr>
              <w:pStyle w:val="150"/>
            </w:pPr>
            <w:r>
              <w:rPr>
                <w:rFonts w:hint="eastAsia"/>
              </w:rPr>
              <w:t>Radius计费端口</w:t>
            </w:r>
          </w:p>
        </w:tc>
        <w:tc>
          <w:tcPr>
            <w:tcW w:w="7034" w:type="dxa"/>
            <w:shd w:val="clear" w:color="auto" w:fill="auto"/>
          </w:tcPr>
          <w:p w14:paraId="75D7F61F">
            <w:pPr>
              <w:pStyle w:val="150"/>
            </w:pPr>
            <w:r>
              <w:rPr>
                <w:rFonts w:hint="eastAsia"/>
              </w:rPr>
              <w:t>Radius服务器上计费报文的接收端口，默认为1813。支持</w:t>
            </w:r>
            <w:r>
              <w:t>修改成</w:t>
            </w:r>
            <w:r>
              <w:rPr>
                <w:rFonts w:hint="eastAsia"/>
              </w:rPr>
              <w:t>其他</w:t>
            </w:r>
            <w:r>
              <w:t>使用的端口.</w:t>
            </w:r>
          </w:p>
        </w:tc>
      </w:tr>
      <w:tr w14:paraId="6A3667C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835" w:type="dxa"/>
            <w:shd w:val="clear" w:color="auto" w:fill="auto"/>
          </w:tcPr>
          <w:p w14:paraId="0E0BD6D0">
            <w:pPr>
              <w:pStyle w:val="150"/>
            </w:pPr>
            <w:r>
              <w:rPr>
                <w:rFonts w:hint="eastAsia"/>
              </w:rPr>
              <w:t>用户组</w:t>
            </w:r>
          </w:p>
        </w:tc>
        <w:tc>
          <w:tcPr>
            <w:tcW w:w="7034" w:type="dxa"/>
            <w:shd w:val="clear" w:color="auto" w:fill="auto"/>
          </w:tcPr>
          <w:p w14:paraId="773C953E">
            <w:pPr>
              <w:pStyle w:val="150"/>
            </w:pPr>
            <w:r>
              <w:rPr>
                <w:rFonts w:hint="eastAsia"/>
              </w:rPr>
              <w:t>用户同步的目的用户组。通过</w:t>
            </w:r>
            <w:r>
              <w:t>Radius</w:t>
            </w:r>
            <w:r>
              <w:rPr>
                <w:rFonts w:hint="eastAsia"/>
              </w:rPr>
              <w:t>报文</w:t>
            </w:r>
            <w:r>
              <w:t>识别的用户加入到配置的用户中。</w:t>
            </w:r>
          </w:p>
        </w:tc>
      </w:tr>
    </w:tbl>
    <w:p w14:paraId="4437373F"/>
    <w:p w14:paraId="154F4774">
      <w:r>
        <w:rPr>
          <w:rFonts w:hint="eastAsia"/>
        </w:rPr>
        <w:t>配置完毕后，点击</w:t>
      </w:r>
      <w:r>
        <w:t>&lt;</w:t>
      </w:r>
      <w:r>
        <w:rPr>
          <w:rFonts w:hint="eastAsia"/>
        </w:rPr>
        <w:t>提交</w:t>
      </w:r>
      <w:r>
        <w:t>&gt;</w:t>
      </w:r>
      <w:r>
        <w:rPr>
          <w:rFonts w:hint="eastAsia"/>
        </w:rPr>
        <w:t>按钮，应用配置。</w:t>
      </w:r>
    </w:p>
    <w:p w14:paraId="1D74DF45">
      <w:pPr>
        <w:pStyle w:val="6"/>
      </w:pPr>
      <w:bookmarkStart w:id="9045" w:name="_Toc15485194"/>
      <w:bookmarkStart w:id="9046" w:name="_Toc9006665"/>
      <w:bookmarkStart w:id="9047" w:name="_Toc99561629"/>
      <w:bookmarkStart w:id="9048" w:name="_Toc23152958"/>
      <w:bookmarkStart w:id="9049" w:name="_Toc40276379"/>
      <w:r>
        <w:rPr>
          <w:rFonts w:hint="eastAsia"/>
        </w:rPr>
        <w:t>web用户同步</w:t>
      </w:r>
      <w:bookmarkEnd w:id="9045"/>
      <w:bookmarkEnd w:id="9046"/>
      <w:bookmarkEnd w:id="9047"/>
      <w:bookmarkEnd w:id="9048"/>
      <w:bookmarkEnd w:id="9049"/>
    </w:p>
    <w:p w14:paraId="27A62166">
      <w:r>
        <w:rPr>
          <w:rFonts w:hint="eastAsia"/>
        </w:rPr>
        <w:t>在导航栏中选择“用户管理&gt;认证管理&gt;高级选项&gt;第三方用户同步&gt;web用户同步”，进入web</w:t>
      </w:r>
      <w:r>
        <w:t>用户</w:t>
      </w:r>
      <w:r>
        <w:rPr>
          <w:rFonts w:hint="eastAsia"/>
        </w:rPr>
        <w:t>同步配置页面，如</w:t>
      </w:r>
      <w:r>
        <w:rPr>
          <w:color w:val="0000FF"/>
          <w:u w:val="single"/>
        </w:rPr>
        <w:fldChar w:fldCharType="begin"/>
      </w:r>
      <w:r>
        <w:instrText xml:space="preserve"> </w:instrText>
      </w:r>
      <w:r>
        <w:rPr>
          <w:rFonts w:hint="eastAsia"/>
        </w:rPr>
        <w:instrText xml:space="preserve">REF _Ref9006757 \r \h</w:instrText>
      </w:r>
      <w:r>
        <w:instrText xml:space="preserve"> </w:instrText>
      </w:r>
      <w:r>
        <w:rPr>
          <w:color w:val="0000FF"/>
          <w:u w:val="single"/>
        </w:rPr>
        <w:fldChar w:fldCharType="separate"/>
      </w:r>
      <w:r>
        <w:rPr>
          <w:rFonts w:hint="eastAsia"/>
        </w:rPr>
        <w:t>图31-165</w:t>
      </w:r>
      <w:r>
        <w:rPr>
          <w:color w:val="0000FF"/>
          <w:u w:val="single"/>
        </w:rPr>
        <w:fldChar w:fldCharType="end"/>
      </w:r>
      <w:r>
        <w:rPr>
          <w:rFonts w:hint="eastAsia"/>
        </w:rPr>
        <w:t>所示。</w:t>
      </w:r>
    </w:p>
    <w:p w14:paraId="2B5C1CE6">
      <w:pPr>
        <w:pStyle w:val="188"/>
      </w:pPr>
      <w:bookmarkStart w:id="9050" w:name="_Ref9006757"/>
      <w:bookmarkStart w:id="9051" w:name="_Toc141874925"/>
      <w:r>
        <w:rPr>
          <w:rFonts w:hint="eastAsia"/>
        </w:rPr>
        <w:t>web</w:t>
      </w:r>
      <w:r>
        <w:t>用户同步</w:t>
      </w:r>
      <w:r>
        <w:rPr>
          <w:rFonts w:hint="eastAsia"/>
        </w:rPr>
        <w:t>(http流量经过设备)</w:t>
      </w:r>
      <w:r>
        <w:t>配置页面</w:t>
      </w:r>
      <w:bookmarkEnd w:id="9050"/>
      <w:bookmarkEnd w:id="9051"/>
    </w:p>
    <w:p w14:paraId="07CD6B0A">
      <w:r>
        <w:drawing>
          <wp:inline distT="0" distB="0" distL="0" distR="0">
            <wp:extent cx="5819775" cy="2472690"/>
            <wp:effectExtent l="0" t="0" r="0" b="3810"/>
            <wp:docPr id="1802027850" name="图片 1802027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50" name="图片 1802027850"/>
                    <pic:cNvPicPr>
                      <a:picLocks noChangeAspect="1"/>
                    </pic:cNvPicPr>
                  </pic:nvPicPr>
                  <pic:blipFill>
                    <a:blip r:embed="rId1159"/>
                    <a:stretch>
                      <a:fillRect/>
                    </a:stretch>
                  </pic:blipFill>
                  <pic:spPr>
                    <a:xfrm>
                      <a:off x="0" y="0"/>
                      <a:ext cx="5822611" cy="2473915"/>
                    </a:xfrm>
                    <a:prstGeom prst="rect">
                      <a:avLst/>
                    </a:prstGeom>
                  </pic:spPr>
                </pic:pic>
              </a:graphicData>
            </a:graphic>
          </wp:inline>
        </w:drawing>
      </w:r>
    </w:p>
    <w:p w14:paraId="6E901D0C">
      <w:r>
        <w:drawing>
          <wp:inline distT="0" distB="0" distL="0" distR="0">
            <wp:extent cx="5400040" cy="3125470"/>
            <wp:effectExtent l="0" t="0" r="0" b="0"/>
            <wp:docPr id="682" name="图片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图片 682"/>
                    <pic:cNvPicPr>
                      <a:picLocks noChangeAspect="1"/>
                    </pic:cNvPicPr>
                  </pic:nvPicPr>
                  <pic:blipFill>
                    <a:blip r:embed="rId1160"/>
                    <a:stretch>
                      <a:fillRect/>
                    </a:stretch>
                  </pic:blipFill>
                  <pic:spPr>
                    <a:xfrm>
                      <a:off x="0" y="0"/>
                      <a:ext cx="5400040" cy="3125838"/>
                    </a:xfrm>
                    <a:prstGeom prst="rect">
                      <a:avLst/>
                    </a:prstGeom>
                  </pic:spPr>
                </pic:pic>
              </a:graphicData>
            </a:graphic>
          </wp:inline>
        </w:drawing>
      </w:r>
    </w:p>
    <w:p w14:paraId="29B73AF7">
      <w:r>
        <w:rPr>
          <w:rFonts w:hint="eastAsia"/>
        </w:rPr>
        <w:t>页面的详细说明如</w:t>
      </w:r>
      <w:r>
        <w:rPr>
          <w:color w:val="0000FF"/>
          <w:u w:val="single"/>
        </w:rPr>
        <w:fldChar w:fldCharType="begin"/>
      </w:r>
      <w:r>
        <w:instrText xml:space="preserve"> </w:instrText>
      </w:r>
      <w:r>
        <w:rPr>
          <w:rFonts w:hint="eastAsia"/>
        </w:rPr>
        <w:instrText xml:space="preserve">REF _Ref9006769 \r \h</w:instrText>
      </w:r>
      <w:r>
        <w:instrText xml:space="preserve"> </w:instrText>
      </w:r>
      <w:r>
        <w:rPr>
          <w:color w:val="0000FF"/>
          <w:u w:val="single"/>
        </w:rPr>
        <w:fldChar w:fldCharType="separate"/>
      </w:r>
      <w:r>
        <w:rPr>
          <w:rFonts w:hint="eastAsia"/>
        </w:rPr>
        <w:t>表31-1</w:t>
      </w:r>
      <w:r>
        <w:rPr>
          <w:color w:val="0000FF"/>
          <w:u w:val="single"/>
        </w:rPr>
        <w:fldChar w:fldCharType="end"/>
      </w:r>
      <w:r>
        <w:rPr>
          <w:rFonts w:hint="eastAsia"/>
        </w:rPr>
        <w:t>所示。</w:t>
      </w:r>
    </w:p>
    <w:p w14:paraId="755DD4E4">
      <w:pPr>
        <w:pStyle w:val="183"/>
      </w:pPr>
      <w:bookmarkStart w:id="9052" w:name="_Ref9006769"/>
      <w:bookmarkStart w:id="9053" w:name="_Toc141875612"/>
      <w:r>
        <w:rPr>
          <w:rFonts w:hint="eastAsia"/>
        </w:rPr>
        <w:t>web用户同步配置详细说明</w:t>
      </w:r>
      <w:bookmarkEnd w:id="9052"/>
      <w:bookmarkEnd w:id="9053"/>
    </w:p>
    <w:tbl>
      <w:tblPr>
        <w:tblStyle w:val="173"/>
        <w:tblW w:w="8869"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469"/>
        <w:gridCol w:w="7400"/>
      </w:tblGrid>
      <w:tr w14:paraId="3B69310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469" w:type="dxa"/>
            <w:tcBorders>
              <w:tl2br w:val="nil"/>
              <w:tr2bl w:val="nil"/>
            </w:tcBorders>
            <w:shd w:val="clear" w:color="auto" w:fill="538135" w:themeFill="accent6" w:themeFillShade="BF"/>
            <w:vAlign w:val="center"/>
          </w:tcPr>
          <w:p w14:paraId="2BBD33C1">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7400" w:type="dxa"/>
            <w:tcBorders>
              <w:tl2br w:val="nil"/>
              <w:tr2bl w:val="nil"/>
            </w:tcBorders>
            <w:shd w:val="clear" w:color="auto" w:fill="538135" w:themeFill="accent6" w:themeFillShade="BF"/>
            <w:vAlign w:val="center"/>
          </w:tcPr>
          <w:p w14:paraId="14772F95">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0E18C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869" w:type="dxa"/>
            <w:gridSpan w:val="2"/>
            <w:shd w:val="clear" w:color="auto" w:fill="auto"/>
          </w:tcPr>
          <w:p w14:paraId="4D89F750">
            <w:pPr>
              <w:pStyle w:val="150"/>
            </w:pPr>
            <w:r>
              <w:rPr>
                <w:rFonts w:hint="eastAsia"/>
              </w:rPr>
              <w:t>HTTP流量经过设备</w:t>
            </w:r>
          </w:p>
        </w:tc>
      </w:tr>
      <w:tr w14:paraId="0CFD8F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469" w:type="dxa"/>
            <w:shd w:val="clear" w:color="auto" w:fill="auto"/>
          </w:tcPr>
          <w:p w14:paraId="27E68542">
            <w:pPr>
              <w:pStyle w:val="150"/>
            </w:pPr>
            <w:r>
              <w:rPr>
                <w:rFonts w:hint="eastAsia"/>
              </w:rPr>
              <w:t>启用</w:t>
            </w:r>
          </w:p>
        </w:tc>
        <w:tc>
          <w:tcPr>
            <w:tcW w:w="7400" w:type="dxa"/>
            <w:shd w:val="clear" w:color="auto" w:fill="auto"/>
          </w:tcPr>
          <w:p w14:paraId="5192EF92">
            <w:pPr>
              <w:pStyle w:val="150"/>
            </w:pPr>
            <w:r>
              <w:rPr>
                <w:rFonts w:hint="eastAsia"/>
              </w:rPr>
              <w:t>是否启用web用户同步，启用该功能后，第三方Web服务器将会把HTTP认证报文同步到设备，设备会通过报文识别用户并同步到设备。</w:t>
            </w:r>
          </w:p>
        </w:tc>
      </w:tr>
      <w:tr w14:paraId="72FAAD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469" w:type="dxa"/>
            <w:shd w:val="clear" w:color="auto" w:fill="auto"/>
          </w:tcPr>
          <w:p w14:paraId="7677FF90">
            <w:pPr>
              <w:pStyle w:val="150"/>
            </w:pPr>
            <w:r>
              <w:rPr>
                <w:rFonts w:hint="eastAsia"/>
              </w:rPr>
              <w:t>Web服务器</w:t>
            </w:r>
          </w:p>
        </w:tc>
        <w:tc>
          <w:tcPr>
            <w:tcW w:w="7400" w:type="dxa"/>
            <w:shd w:val="clear" w:color="auto" w:fill="auto"/>
          </w:tcPr>
          <w:p w14:paraId="74942920">
            <w:pPr>
              <w:pStyle w:val="150"/>
            </w:pPr>
            <w:r>
              <w:rPr>
                <w:rFonts w:hint="eastAsia"/>
              </w:rPr>
              <w:t>配置web服务器，支持域名、IP地址、IP地址加端口。</w:t>
            </w:r>
          </w:p>
        </w:tc>
      </w:tr>
      <w:tr w14:paraId="7B1FD0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469" w:type="dxa"/>
            <w:shd w:val="clear" w:color="auto" w:fill="auto"/>
          </w:tcPr>
          <w:p w14:paraId="15E00C75">
            <w:pPr>
              <w:pStyle w:val="150"/>
            </w:pPr>
            <w:r>
              <w:rPr>
                <w:rFonts w:hint="eastAsia"/>
              </w:rPr>
              <w:t>类型</w:t>
            </w:r>
          </w:p>
        </w:tc>
        <w:tc>
          <w:tcPr>
            <w:tcW w:w="7400" w:type="dxa"/>
            <w:shd w:val="clear" w:color="auto" w:fill="auto"/>
          </w:tcPr>
          <w:p w14:paraId="4F4A9415">
            <w:pPr>
              <w:pStyle w:val="150"/>
            </w:pPr>
            <w:r>
              <w:rPr>
                <w:rFonts w:hint="eastAsia"/>
              </w:rPr>
              <w:t>支持从URL请求参数、Cookie值或P</w:t>
            </w:r>
            <w:r>
              <w:t>OST</w:t>
            </w:r>
            <w:r>
              <w:rPr>
                <w:rFonts w:hint="eastAsia"/>
              </w:rPr>
              <w:t>表单中获取认证用户名。</w:t>
            </w:r>
          </w:p>
        </w:tc>
      </w:tr>
      <w:tr w14:paraId="0B97804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469" w:type="dxa"/>
            <w:shd w:val="clear" w:color="auto" w:fill="auto"/>
          </w:tcPr>
          <w:p w14:paraId="0E91ADA3">
            <w:pPr>
              <w:pStyle w:val="150"/>
            </w:pPr>
            <w:r>
              <w:t>URL</w:t>
            </w:r>
            <w:r>
              <w:rPr>
                <w:rFonts w:hint="eastAsia"/>
              </w:rPr>
              <w:t>参数名</w:t>
            </w:r>
          </w:p>
        </w:tc>
        <w:tc>
          <w:tcPr>
            <w:tcW w:w="7400" w:type="dxa"/>
            <w:shd w:val="clear" w:color="auto" w:fill="auto"/>
          </w:tcPr>
          <w:p w14:paraId="05BF010A">
            <w:pPr>
              <w:pStyle w:val="150"/>
            </w:pPr>
            <w:r>
              <w:rPr>
                <w:rFonts w:hint="eastAsia"/>
              </w:rPr>
              <w:t>对应的报文字段中查询配置的用户名关键字，配置用户名获取类型为URL请求参数时配置对应URL参数名；配置用户名获取类型为Cookie值时配置对应Cookie名；配置用户名获取类型为POST表单时配置对应用户表单名称。</w:t>
            </w:r>
          </w:p>
        </w:tc>
      </w:tr>
      <w:tr w14:paraId="57E6D15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469" w:type="dxa"/>
            <w:shd w:val="clear" w:color="auto" w:fill="auto"/>
          </w:tcPr>
          <w:p w14:paraId="4E21CF22">
            <w:pPr>
              <w:pStyle w:val="150"/>
            </w:pPr>
            <w:r>
              <w:rPr>
                <w:rFonts w:hint="eastAsia"/>
              </w:rPr>
              <w:t>用户组</w:t>
            </w:r>
          </w:p>
        </w:tc>
        <w:tc>
          <w:tcPr>
            <w:tcW w:w="7400" w:type="dxa"/>
            <w:shd w:val="clear" w:color="auto" w:fill="auto"/>
          </w:tcPr>
          <w:p w14:paraId="021417EF">
            <w:pPr>
              <w:pStyle w:val="150"/>
            </w:pPr>
            <w:r>
              <w:rPr>
                <w:rFonts w:hint="eastAsia"/>
              </w:rPr>
              <w:t>选择从Web服务器同步过来用户所加入的用户组，默认属于Web用户组。。</w:t>
            </w:r>
          </w:p>
        </w:tc>
      </w:tr>
      <w:tr w14:paraId="329AF2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469" w:type="dxa"/>
            <w:shd w:val="clear" w:color="auto" w:fill="auto"/>
          </w:tcPr>
          <w:p w14:paraId="4CFAB6B3">
            <w:pPr>
              <w:pStyle w:val="150"/>
            </w:pPr>
            <w:r>
              <w:rPr>
                <w:rFonts w:hint="eastAsia"/>
              </w:rPr>
              <w:t>启用认证关键字</w:t>
            </w:r>
          </w:p>
        </w:tc>
        <w:tc>
          <w:tcPr>
            <w:tcW w:w="7400" w:type="dxa"/>
            <w:shd w:val="clear" w:color="auto" w:fill="auto"/>
          </w:tcPr>
          <w:p w14:paraId="493FE0AC">
            <w:pPr>
              <w:pStyle w:val="150"/>
            </w:pPr>
            <w:r>
              <w:rPr>
                <w:rFonts w:hint="eastAsia"/>
              </w:rPr>
              <w:t>是否启用认证关键字，启用该功能后，支持校验服务器响应。</w:t>
            </w:r>
          </w:p>
        </w:tc>
      </w:tr>
      <w:tr w14:paraId="3B9D10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469" w:type="dxa"/>
            <w:shd w:val="clear" w:color="auto" w:fill="auto"/>
          </w:tcPr>
          <w:p w14:paraId="7D5D195C">
            <w:pPr>
              <w:pStyle w:val="150"/>
            </w:pPr>
            <w:r>
              <w:rPr>
                <w:rFonts w:hint="eastAsia"/>
              </w:rPr>
              <w:t>认证成功关键字</w:t>
            </w:r>
          </w:p>
        </w:tc>
        <w:tc>
          <w:tcPr>
            <w:tcW w:w="7400" w:type="dxa"/>
            <w:shd w:val="clear" w:color="auto" w:fill="auto"/>
          </w:tcPr>
          <w:p w14:paraId="77A2CCF0">
            <w:pPr>
              <w:pStyle w:val="150"/>
            </w:pPr>
            <w:r>
              <w:rPr>
                <w:rFonts w:hint="eastAsia"/>
              </w:rPr>
              <w:t>启用认证成功关键字后，响应报文匹配到配置的认证成功关键字后用户才可上线，否则用户上线失败。</w:t>
            </w:r>
          </w:p>
        </w:tc>
      </w:tr>
      <w:tr w14:paraId="4D2A9E5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469" w:type="dxa"/>
            <w:shd w:val="clear" w:color="auto" w:fill="auto"/>
          </w:tcPr>
          <w:p w14:paraId="138ABA40">
            <w:pPr>
              <w:pStyle w:val="150"/>
            </w:pPr>
            <w:r>
              <w:rPr>
                <w:rFonts w:hint="eastAsia"/>
              </w:rPr>
              <w:t>认证失败关键字</w:t>
            </w:r>
          </w:p>
        </w:tc>
        <w:tc>
          <w:tcPr>
            <w:tcW w:w="7400" w:type="dxa"/>
            <w:shd w:val="clear" w:color="auto" w:fill="auto"/>
          </w:tcPr>
          <w:p w14:paraId="4C17EEA2">
            <w:pPr>
              <w:pStyle w:val="150"/>
            </w:pPr>
            <w:r>
              <w:rPr>
                <w:rFonts w:hint="eastAsia"/>
              </w:rPr>
              <w:t>启用认证失败关键字后，响应报文匹配到配置的认证失败关键字后用户上线失败，否则用户上线。</w:t>
            </w:r>
          </w:p>
        </w:tc>
      </w:tr>
      <w:tr w14:paraId="30A2BBB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869" w:type="dxa"/>
            <w:gridSpan w:val="2"/>
            <w:shd w:val="clear" w:color="auto" w:fill="auto"/>
          </w:tcPr>
          <w:p w14:paraId="770908C7">
            <w:pPr>
              <w:pStyle w:val="150"/>
            </w:pPr>
            <w:r>
              <w:rPr>
                <w:rFonts w:hint="eastAsia"/>
              </w:rPr>
              <w:t>HTTP流量到达设备</w:t>
            </w:r>
          </w:p>
        </w:tc>
      </w:tr>
      <w:tr w14:paraId="38C6855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469" w:type="dxa"/>
            <w:shd w:val="clear" w:color="auto" w:fill="auto"/>
          </w:tcPr>
          <w:p w14:paraId="6E0769D0">
            <w:pPr>
              <w:pStyle w:val="150"/>
            </w:pPr>
            <w:r>
              <w:rPr>
                <w:rFonts w:hint="eastAsia"/>
              </w:rPr>
              <w:t>启用</w:t>
            </w:r>
          </w:p>
        </w:tc>
        <w:tc>
          <w:tcPr>
            <w:tcW w:w="7400" w:type="dxa"/>
            <w:shd w:val="clear" w:color="auto" w:fill="auto"/>
          </w:tcPr>
          <w:p w14:paraId="2D733BB6">
            <w:pPr>
              <w:pStyle w:val="150"/>
            </w:pPr>
            <w:r>
              <w:rPr>
                <w:rFonts w:hint="eastAsia"/>
              </w:rPr>
              <w:t>勾选复选框在设备上启用Web用户同步功能。启用该功能后，第三方Web服务器将会把HTTP认证报文同步到设备，设备会通过报文识别用户并同步到设备。</w:t>
            </w:r>
          </w:p>
        </w:tc>
      </w:tr>
      <w:tr w14:paraId="3B8454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469" w:type="dxa"/>
            <w:shd w:val="clear" w:color="auto" w:fill="auto"/>
          </w:tcPr>
          <w:p w14:paraId="32F72F3B">
            <w:pPr>
              <w:pStyle w:val="150"/>
            </w:pPr>
            <w:r>
              <w:rPr>
                <w:rFonts w:hint="eastAsia"/>
              </w:rPr>
              <w:t>URL</w:t>
            </w:r>
          </w:p>
        </w:tc>
        <w:tc>
          <w:tcPr>
            <w:tcW w:w="7400" w:type="dxa"/>
            <w:shd w:val="clear" w:color="auto" w:fill="auto"/>
          </w:tcPr>
          <w:p w14:paraId="4FDBBA3B">
            <w:pPr>
              <w:pStyle w:val="150"/>
            </w:pPr>
            <w:r>
              <w:rPr>
                <w:rFonts w:hint="eastAsia"/>
              </w:rPr>
              <w:t>设置HTTP请求的资源路径。</w:t>
            </w:r>
          </w:p>
        </w:tc>
      </w:tr>
      <w:tr w14:paraId="0246FA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469" w:type="dxa"/>
            <w:shd w:val="clear" w:color="auto" w:fill="auto"/>
          </w:tcPr>
          <w:p w14:paraId="5EA7E87C">
            <w:pPr>
              <w:pStyle w:val="150"/>
            </w:pPr>
            <w:r>
              <w:rPr>
                <w:rFonts w:hint="eastAsia"/>
              </w:rPr>
              <w:t>服务器端口</w:t>
            </w:r>
          </w:p>
        </w:tc>
        <w:tc>
          <w:tcPr>
            <w:tcW w:w="7400" w:type="dxa"/>
            <w:shd w:val="clear" w:color="auto" w:fill="auto"/>
          </w:tcPr>
          <w:p w14:paraId="6A8EC5CB">
            <w:pPr>
              <w:pStyle w:val="150"/>
            </w:pPr>
            <w:r>
              <w:rPr>
                <w:rFonts w:hint="eastAsia"/>
              </w:rPr>
              <w:t>设置用于接收第三方认证报文的设备服务端口。</w:t>
            </w:r>
          </w:p>
        </w:tc>
      </w:tr>
      <w:tr w14:paraId="4754747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469" w:type="dxa"/>
            <w:shd w:val="clear" w:color="auto" w:fill="auto"/>
          </w:tcPr>
          <w:p w14:paraId="78010C58">
            <w:pPr>
              <w:pStyle w:val="150"/>
            </w:pPr>
            <w:r>
              <w:rPr>
                <w:rFonts w:hint="eastAsia"/>
              </w:rPr>
              <w:t>用户组</w:t>
            </w:r>
          </w:p>
        </w:tc>
        <w:tc>
          <w:tcPr>
            <w:tcW w:w="7400" w:type="dxa"/>
            <w:shd w:val="clear" w:color="auto" w:fill="auto"/>
          </w:tcPr>
          <w:p w14:paraId="5B437E63">
            <w:pPr>
              <w:pStyle w:val="150"/>
            </w:pPr>
            <w:r>
              <w:rPr>
                <w:rFonts w:hint="eastAsia"/>
              </w:rPr>
              <w:t>用户默认属于Web用户同步，可以修改所属用户组。</w:t>
            </w:r>
          </w:p>
        </w:tc>
      </w:tr>
      <w:tr w14:paraId="621E40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469" w:type="dxa"/>
            <w:shd w:val="clear" w:color="auto" w:fill="auto"/>
          </w:tcPr>
          <w:p w14:paraId="0E0473D7">
            <w:pPr>
              <w:pStyle w:val="150"/>
            </w:pPr>
            <w:r>
              <w:rPr>
                <w:rFonts w:hint="eastAsia"/>
              </w:rPr>
              <w:t>上线信息同步</w:t>
            </w:r>
          </w:p>
        </w:tc>
        <w:tc>
          <w:tcPr>
            <w:tcW w:w="7400" w:type="dxa"/>
            <w:shd w:val="clear" w:color="auto" w:fill="auto"/>
          </w:tcPr>
          <w:p w14:paraId="5BDCAF95">
            <w:pPr>
              <w:pStyle w:val="150"/>
            </w:pPr>
            <w:r>
              <w:rPr>
                <w:rFonts w:hint="eastAsia"/>
              </w:rPr>
              <w:t>启用上线信息同步：勾选复选框在设备上启用上线信息同步功能。启用该功能后，支持匹配到配置上线信息后用户上线。</w:t>
            </w:r>
          </w:p>
          <w:p w14:paraId="3C48D4F9">
            <w:pPr>
              <w:pStyle w:val="150"/>
            </w:pPr>
            <w:r>
              <w:rPr>
                <w:rFonts w:hint="eastAsia"/>
              </w:rPr>
              <w:t>上线标记：认证上线请求报文匹配到上线标记后用户才可上线，否则用户上线失败。</w:t>
            </w:r>
          </w:p>
          <w:p w14:paraId="511F393C">
            <w:pPr>
              <w:pStyle w:val="150"/>
            </w:pPr>
            <w:r>
              <w:rPr>
                <w:rFonts w:hint="eastAsia"/>
              </w:rPr>
              <w:t>上线用户名：认证上线请求报文匹配到上线用户名起始及终止符后用户才可上线，否则用户上线失败。</w:t>
            </w:r>
          </w:p>
          <w:p w14:paraId="35E39867">
            <w:pPr>
              <w:pStyle w:val="150"/>
            </w:pPr>
            <w:r>
              <w:rPr>
                <w:rFonts w:hint="eastAsia"/>
              </w:rPr>
              <w:t>上线用户IP：认证上线请求报文匹配到上线用户IP的起始及终止符后用户才可上线，否则用户上线失败。</w:t>
            </w:r>
          </w:p>
          <w:p w14:paraId="775A6694">
            <w:pPr>
              <w:pStyle w:val="150"/>
            </w:pPr>
            <w:r>
              <w:rPr>
                <w:rFonts w:hint="eastAsia"/>
              </w:rPr>
              <w:t>上线用户MAC：认证上线请求报文匹配到上线用户MAC起始及终止符后用户才可上线，否则用户上线失败。</w:t>
            </w:r>
          </w:p>
        </w:tc>
      </w:tr>
      <w:tr w14:paraId="613DFF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469" w:type="dxa"/>
            <w:shd w:val="clear" w:color="auto" w:fill="auto"/>
          </w:tcPr>
          <w:p w14:paraId="3DA482C5">
            <w:pPr>
              <w:pStyle w:val="150"/>
            </w:pPr>
            <w:r>
              <w:rPr>
                <w:rFonts w:hint="eastAsia"/>
              </w:rPr>
              <w:t>下线信息同步</w:t>
            </w:r>
          </w:p>
        </w:tc>
        <w:tc>
          <w:tcPr>
            <w:tcW w:w="7400" w:type="dxa"/>
            <w:shd w:val="clear" w:color="auto" w:fill="auto"/>
          </w:tcPr>
          <w:p w14:paraId="6B398972">
            <w:pPr>
              <w:pStyle w:val="150"/>
            </w:pPr>
            <w:r>
              <w:rPr>
                <w:rFonts w:hint="eastAsia"/>
              </w:rPr>
              <w:t>启用下线信息同步：勾选复选框在设备上启用下线信息同步功能。启用该功能后，支持匹配到配置下线信息后用户下线。</w:t>
            </w:r>
          </w:p>
          <w:p w14:paraId="195AB801">
            <w:pPr>
              <w:pStyle w:val="150"/>
            </w:pPr>
            <w:r>
              <w:rPr>
                <w:rFonts w:hint="eastAsia"/>
              </w:rPr>
              <w:t>下线标记：认证下线请求报文匹配到下线标记后用户才可下线，否则用户下线失败。</w:t>
            </w:r>
          </w:p>
          <w:p w14:paraId="4851ACE5">
            <w:pPr>
              <w:pStyle w:val="150"/>
            </w:pPr>
            <w:r>
              <w:rPr>
                <w:rFonts w:hint="eastAsia"/>
              </w:rPr>
              <w:t>下线用户名：认证下线请求报文匹配到下线用户名起始及终止符后用户才可下线，否则用户下线失败。</w:t>
            </w:r>
          </w:p>
          <w:p w14:paraId="00629F51">
            <w:pPr>
              <w:pStyle w:val="150"/>
            </w:pPr>
            <w:r>
              <w:rPr>
                <w:rFonts w:hint="eastAsia"/>
              </w:rPr>
              <w:t>下线用户IP：认证下线请求报文匹配到下线用户IP的起始及终止符后用户才可下线，否则用户下线失败。</w:t>
            </w:r>
          </w:p>
          <w:p w14:paraId="62869CE6">
            <w:pPr>
              <w:pStyle w:val="150"/>
            </w:pPr>
            <w:r>
              <w:rPr>
                <w:rFonts w:hint="eastAsia"/>
              </w:rPr>
              <w:t>下线用户MAC：认证下线请求报文匹配到下线用户MAC起始及终止符后用户才可下线，否则用户下线失败。</w:t>
            </w:r>
          </w:p>
        </w:tc>
      </w:tr>
    </w:tbl>
    <w:p w14:paraId="227C8843">
      <w:bookmarkStart w:id="9054" w:name="_Toc40276380"/>
      <w:bookmarkStart w:id="9055" w:name="_Toc99561631"/>
      <w:bookmarkStart w:id="9056" w:name="_Toc23152959"/>
      <w:bookmarkStart w:id="9057" w:name="_Toc15485195"/>
      <w:bookmarkStart w:id="9058" w:name="_Toc9006666"/>
    </w:p>
    <w:p w14:paraId="1E842465">
      <w:pPr>
        <w:pStyle w:val="6"/>
      </w:pPr>
      <w:r>
        <w:rPr>
          <w:rFonts w:hint="eastAsia"/>
        </w:rPr>
        <w:t>第三方SAM用户同步</w:t>
      </w:r>
    </w:p>
    <w:p w14:paraId="4E74F70E">
      <w:r>
        <w:rPr>
          <w:rFonts w:hint="eastAsia"/>
        </w:rPr>
        <w:t>在导航栏中选择“用户管理&gt;认证管理&gt;高级选项&gt;第三方用户同步&gt;</w:t>
      </w:r>
      <w:r>
        <w:rPr>
          <w:rFonts w:hint="eastAsia" w:asciiTheme="minorEastAsia" w:hAnsiTheme="minorEastAsia" w:eastAsiaTheme="minorEastAsia"/>
        </w:rPr>
        <w:t>第三方S</w:t>
      </w:r>
      <w:r>
        <w:rPr>
          <w:rFonts w:asciiTheme="minorEastAsia" w:hAnsiTheme="minorEastAsia" w:eastAsiaTheme="minorEastAsia"/>
        </w:rPr>
        <w:t>AM用户同步</w:t>
      </w:r>
      <w:r>
        <w:rPr>
          <w:rFonts w:hint="eastAsia"/>
        </w:rPr>
        <w:t>”，进入</w:t>
      </w:r>
      <w:r>
        <w:rPr>
          <w:rFonts w:hint="eastAsia" w:asciiTheme="minorEastAsia" w:hAnsiTheme="minorEastAsia" w:eastAsiaTheme="minorEastAsia"/>
        </w:rPr>
        <w:t>第三方S</w:t>
      </w:r>
      <w:r>
        <w:rPr>
          <w:rFonts w:asciiTheme="minorEastAsia" w:hAnsiTheme="minorEastAsia" w:eastAsiaTheme="minorEastAsia"/>
        </w:rPr>
        <w:t>AM用户同步</w:t>
      </w:r>
      <w:r>
        <w:rPr>
          <w:rFonts w:hint="eastAsia"/>
        </w:rPr>
        <w:t>配置页面。</w:t>
      </w:r>
    </w:p>
    <w:p w14:paraId="7836AF0C">
      <w:pPr>
        <w:pStyle w:val="175"/>
      </w:pPr>
      <w:r>
        <w:drawing>
          <wp:inline distT="0" distB="0" distL="0" distR="0">
            <wp:extent cx="5429250" cy="2955925"/>
            <wp:effectExtent l="0" t="0" r="0" b="0"/>
            <wp:docPr id="1534582033" name="图片 153458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33" name="图片 1534582033"/>
                    <pic:cNvPicPr>
                      <a:picLocks noChangeAspect="1"/>
                    </pic:cNvPicPr>
                  </pic:nvPicPr>
                  <pic:blipFill>
                    <a:blip r:embed="rId1161"/>
                    <a:stretch>
                      <a:fillRect/>
                    </a:stretch>
                  </pic:blipFill>
                  <pic:spPr>
                    <a:xfrm>
                      <a:off x="0" y="0"/>
                      <a:ext cx="5434318" cy="2958740"/>
                    </a:xfrm>
                    <a:prstGeom prst="rect">
                      <a:avLst/>
                    </a:prstGeom>
                  </pic:spPr>
                </pic:pic>
              </a:graphicData>
            </a:graphic>
          </wp:inline>
        </w:drawing>
      </w:r>
    </w:p>
    <w:p w14:paraId="64E64CD4">
      <w:r>
        <w:rPr>
          <w:rFonts w:hint="eastAsia"/>
        </w:rPr>
        <w:t>页面的详细说明如下表所示。</w:t>
      </w:r>
    </w:p>
    <w:p w14:paraId="721E4963">
      <w:pPr>
        <w:pStyle w:val="183"/>
      </w:pPr>
      <w:r>
        <w:rPr>
          <w:rFonts w:hint="eastAsia"/>
        </w:rPr>
        <w:t>第三方</w:t>
      </w:r>
      <w:r>
        <w:t>SAM用户</w:t>
      </w:r>
      <w:r>
        <w:rPr>
          <w:rFonts w:hint="eastAsia"/>
        </w:rPr>
        <w:t>配置详细说明</w:t>
      </w:r>
    </w:p>
    <w:tbl>
      <w:tblPr>
        <w:tblStyle w:val="173"/>
        <w:tblW w:w="8869"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835"/>
        <w:gridCol w:w="7034"/>
      </w:tblGrid>
      <w:tr w14:paraId="7515413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835" w:type="dxa"/>
            <w:tcBorders>
              <w:tl2br w:val="nil"/>
              <w:tr2bl w:val="nil"/>
            </w:tcBorders>
            <w:shd w:val="clear" w:color="auto" w:fill="538135" w:themeFill="accent6" w:themeFillShade="BF"/>
            <w:vAlign w:val="center"/>
          </w:tcPr>
          <w:p w14:paraId="0EF25C25">
            <w:pPr>
              <w:pStyle w:val="149"/>
              <w:wordWrap/>
              <w:rPr>
                <w:b/>
                <w:bCs/>
                <w:i w:val="0"/>
                <w:iCs w:val="0"/>
              </w:rPr>
            </w:pPr>
            <w:r>
              <w:rPr>
                <w:rFonts w:hint="eastAsia"/>
                <w:b/>
                <w:bCs/>
                <w:i w:val="0"/>
                <w:iCs w:val="0"/>
              </w:rPr>
              <w:t>项目</w:t>
            </w:r>
          </w:p>
        </w:tc>
        <w:tc>
          <w:tcPr>
            <w:tcW w:w="7034" w:type="dxa"/>
            <w:tcBorders>
              <w:tl2br w:val="nil"/>
              <w:tr2bl w:val="nil"/>
            </w:tcBorders>
            <w:shd w:val="clear" w:color="auto" w:fill="538135" w:themeFill="accent6" w:themeFillShade="BF"/>
            <w:vAlign w:val="center"/>
          </w:tcPr>
          <w:p w14:paraId="02C5B09E">
            <w:pPr>
              <w:pStyle w:val="149"/>
              <w:wordWrap/>
              <w:rPr>
                <w:b/>
                <w:bCs/>
                <w:i w:val="0"/>
                <w:iCs w:val="0"/>
              </w:rPr>
            </w:pPr>
            <w:r>
              <w:rPr>
                <w:rFonts w:hint="eastAsia"/>
                <w:b/>
                <w:bCs/>
                <w:i w:val="0"/>
                <w:iCs w:val="0"/>
              </w:rPr>
              <w:t>说明</w:t>
            </w:r>
          </w:p>
        </w:tc>
      </w:tr>
      <w:tr w14:paraId="2FEA109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8869" w:type="dxa"/>
            <w:gridSpan w:val="2"/>
            <w:shd w:val="clear" w:color="auto" w:fill="auto"/>
          </w:tcPr>
          <w:p w14:paraId="4B73AE14">
            <w:pPr>
              <w:rPr>
                <w:rFonts w:cs="Arial"/>
              </w:rPr>
            </w:pPr>
            <w:r>
              <w:rPr>
                <w:rFonts w:hint="eastAsia" w:cs="Arial"/>
              </w:rPr>
              <w:t>第三方S</w:t>
            </w:r>
            <w:r>
              <w:rPr>
                <w:rFonts w:cs="Arial"/>
              </w:rPr>
              <w:t>AM</w:t>
            </w:r>
            <w:r>
              <w:rPr>
                <w:rFonts w:hint="eastAsia" w:cs="Arial"/>
              </w:rPr>
              <w:t>用户同步</w:t>
            </w:r>
          </w:p>
        </w:tc>
      </w:tr>
      <w:tr w14:paraId="1AC3E3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835" w:type="dxa"/>
            <w:shd w:val="clear" w:color="auto" w:fill="auto"/>
          </w:tcPr>
          <w:p w14:paraId="418BCDE5">
            <w:pPr>
              <w:rPr>
                <w:rFonts w:cs="Arial"/>
              </w:rPr>
            </w:pPr>
            <w:r>
              <w:rPr>
                <w:rFonts w:hint="eastAsia" w:cs="Arial"/>
              </w:rPr>
              <w:t>启用</w:t>
            </w:r>
          </w:p>
        </w:tc>
        <w:tc>
          <w:tcPr>
            <w:tcW w:w="7034" w:type="dxa"/>
            <w:shd w:val="clear" w:color="auto" w:fill="auto"/>
          </w:tcPr>
          <w:p w14:paraId="2B669DE3">
            <w:pPr>
              <w:rPr>
                <w:rFonts w:cs="Arial"/>
              </w:rPr>
            </w:pPr>
            <w:r>
              <w:rPr>
                <w:rFonts w:cs="Arial"/>
              </w:rPr>
              <w:t>开启或关闭第三方SAM用户同步功能。</w:t>
            </w:r>
          </w:p>
        </w:tc>
      </w:tr>
      <w:tr w14:paraId="009A74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835" w:type="dxa"/>
            <w:shd w:val="clear" w:color="auto" w:fill="auto"/>
          </w:tcPr>
          <w:p w14:paraId="67EF541E">
            <w:pPr>
              <w:rPr>
                <w:rFonts w:cs="Arial"/>
              </w:rPr>
            </w:pPr>
            <w:r>
              <w:rPr>
                <w:rFonts w:hint="eastAsia" w:cs="Arial"/>
              </w:rPr>
              <w:t>端口</w:t>
            </w:r>
          </w:p>
        </w:tc>
        <w:tc>
          <w:tcPr>
            <w:tcW w:w="7034" w:type="dxa"/>
            <w:shd w:val="clear" w:color="auto" w:fill="auto"/>
          </w:tcPr>
          <w:p w14:paraId="637AFF21">
            <w:pPr>
              <w:rPr>
                <w:rFonts w:cs="Arial"/>
              </w:rPr>
            </w:pPr>
            <w:r>
              <w:rPr>
                <w:rFonts w:cs="Arial"/>
              </w:rPr>
              <w:t>配置第三方SAM用户同步监听端口。默认端口2012。</w:t>
            </w:r>
          </w:p>
        </w:tc>
      </w:tr>
      <w:tr w14:paraId="56F4C1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835" w:type="dxa"/>
            <w:shd w:val="clear" w:color="auto" w:fill="auto"/>
          </w:tcPr>
          <w:p w14:paraId="40864215">
            <w:pPr>
              <w:rPr>
                <w:rFonts w:cs="Arial"/>
              </w:rPr>
            </w:pPr>
            <w:r>
              <w:rPr>
                <w:rFonts w:hint="eastAsia" w:cs="Arial"/>
              </w:rPr>
              <w:t>超时时间</w:t>
            </w:r>
          </w:p>
        </w:tc>
        <w:tc>
          <w:tcPr>
            <w:tcW w:w="7034" w:type="dxa"/>
            <w:shd w:val="clear" w:color="auto" w:fill="auto"/>
          </w:tcPr>
          <w:p w14:paraId="79A2005C">
            <w:pPr>
              <w:rPr>
                <w:rFonts w:cs="Arial"/>
              </w:rPr>
            </w:pPr>
            <w:r>
              <w:rPr>
                <w:rFonts w:cs="Arial"/>
              </w:rPr>
              <w:t>配置第三方SAM用户无流量超时下线时间。默认</w:t>
            </w:r>
            <w:r>
              <w:rPr>
                <w:rFonts w:hint="eastAsia" w:cs="Arial"/>
              </w:rPr>
              <w:t>1</w:t>
            </w:r>
            <w:r>
              <w:rPr>
                <w:rFonts w:cs="Arial"/>
              </w:rPr>
              <w:t>5分钟。</w:t>
            </w:r>
          </w:p>
        </w:tc>
      </w:tr>
      <w:tr w14:paraId="71411C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835" w:type="dxa"/>
            <w:shd w:val="clear" w:color="auto" w:fill="auto"/>
          </w:tcPr>
          <w:p w14:paraId="06BCDE53">
            <w:pPr>
              <w:rPr>
                <w:rFonts w:cs="Arial"/>
              </w:rPr>
            </w:pPr>
            <w:r>
              <w:rPr>
                <w:rFonts w:hint="eastAsia" w:cs="Arial"/>
              </w:rPr>
              <w:t>用户组</w:t>
            </w:r>
          </w:p>
        </w:tc>
        <w:tc>
          <w:tcPr>
            <w:tcW w:w="7034" w:type="dxa"/>
            <w:shd w:val="clear" w:color="auto" w:fill="auto"/>
          </w:tcPr>
          <w:p w14:paraId="16A9D6BE">
            <w:pPr>
              <w:rPr>
                <w:rFonts w:cs="Arial"/>
              </w:rPr>
            </w:pPr>
            <w:r>
              <w:rPr>
                <w:rFonts w:hint="eastAsia" w:cs="Arial"/>
              </w:rPr>
              <w:t>配置第三方用户同步录入的用户组，同步成功后，设备会将上线成功的用户录入到所配置的本地用户组中。</w:t>
            </w:r>
          </w:p>
          <w:p w14:paraId="0CA00088">
            <w:pPr>
              <w:rPr>
                <w:rFonts w:cs="Arial"/>
              </w:rPr>
            </w:pPr>
            <w:r>
              <w:rPr>
                <w:rFonts w:hint="eastAsia" w:cs="Arial"/>
              </w:rPr>
              <w:t>只支持选择本地用户结构及其子组，用户下线后，设备会将该用户同步删除。</w:t>
            </w:r>
          </w:p>
        </w:tc>
      </w:tr>
      <w:tr w14:paraId="72F6778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835" w:type="dxa"/>
            <w:shd w:val="clear" w:color="auto" w:fill="auto"/>
          </w:tcPr>
          <w:p w14:paraId="69E1C73A">
            <w:pPr>
              <w:rPr>
                <w:rFonts w:cs="Arial"/>
              </w:rPr>
            </w:pPr>
            <w:r>
              <w:rPr>
                <w:rFonts w:hint="eastAsia" w:cs="Arial"/>
              </w:rPr>
              <w:t>用户名</w:t>
            </w:r>
          </w:p>
        </w:tc>
        <w:tc>
          <w:tcPr>
            <w:tcW w:w="7034" w:type="dxa"/>
            <w:shd w:val="clear" w:color="auto" w:fill="auto"/>
          </w:tcPr>
          <w:p w14:paraId="15A4EBCB">
            <w:pPr>
              <w:rPr>
                <w:rFonts w:cs="Arial"/>
              </w:rPr>
            </w:pPr>
            <w:r>
              <w:rPr>
                <w:rFonts w:hint="eastAsia" w:cs="Arial"/>
              </w:rPr>
              <w:t>选择用户同步到设备本地后显示的用户名类型。</w:t>
            </w:r>
            <w:r>
              <w:rPr>
                <w:rFonts w:cs="Arial"/>
              </w:rPr>
              <w:t>可选择登录名或者真实名字</w:t>
            </w:r>
            <w:r>
              <w:rPr>
                <w:rFonts w:hint="eastAsia" w:cs="Arial"/>
              </w:rPr>
              <w:t>，</w:t>
            </w:r>
            <w:r>
              <w:rPr>
                <w:rFonts w:cs="Arial"/>
              </w:rPr>
              <w:t>分别显示为</w:t>
            </w:r>
            <w:r>
              <w:rPr>
                <w:rFonts w:hint="eastAsia" w:cs="Arial"/>
              </w:rPr>
              <w:t>第三方</w:t>
            </w:r>
            <w:r>
              <w:rPr>
                <w:rFonts w:cs="Arial"/>
              </w:rPr>
              <w:t>SAM用户</w:t>
            </w:r>
            <w:r>
              <w:rPr>
                <w:rFonts w:hint="eastAsia" w:cs="Arial"/>
              </w:rPr>
              <w:t>同步的</w:t>
            </w:r>
            <w:r>
              <w:rPr>
                <w:rFonts w:cs="Arial"/>
              </w:rPr>
              <w:t>登录名或者真实</w:t>
            </w:r>
            <w:r>
              <w:rPr>
                <w:rFonts w:hint="eastAsia" w:cs="Arial"/>
              </w:rPr>
              <w:t>姓名，如未同步真实姓名，则会显示登录名（</w:t>
            </w:r>
            <w:r>
              <w:rPr>
                <w:rFonts w:cs="Arial"/>
              </w:rPr>
              <w:t>默认为登录名</w:t>
            </w:r>
            <w:r>
              <w:rPr>
                <w:rFonts w:hint="eastAsia" w:cs="Arial"/>
              </w:rPr>
              <w:t>）。</w:t>
            </w:r>
          </w:p>
        </w:tc>
      </w:tr>
      <w:tr w14:paraId="371038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835" w:type="dxa"/>
            <w:shd w:val="clear" w:color="auto" w:fill="auto"/>
          </w:tcPr>
          <w:p w14:paraId="74554DE3">
            <w:pPr>
              <w:rPr>
                <w:rFonts w:cs="Arial"/>
              </w:rPr>
            </w:pPr>
            <w:r>
              <w:rPr>
                <w:rFonts w:hint="eastAsia" w:cs="Arial"/>
              </w:rPr>
              <w:t>服务器</w:t>
            </w:r>
          </w:p>
        </w:tc>
        <w:tc>
          <w:tcPr>
            <w:tcW w:w="7034" w:type="dxa"/>
            <w:shd w:val="clear" w:color="auto" w:fill="auto"/>
          </w:tcPr>
          <w:p w14:paraId="0799EC70">
            <w:pPr>
              <w:rPr>
                <w:rFonts w:cs="Arial"/>
              </w:rPr>
            </w:pPr>
            <w:r>
              <w:rPr>
                <w:rFonts w:cs="Arial"/>
              </w:rPr>
              <w:t>A.B.C.D，SAM服务器地址</w:t>
            </w:r>
            <w:r>
              <w:rPr>
                <w:rFonts w:hint="eastAsia" w:cs="Arial"/>
              </w:rPr>
              <w:t>。</w:t>
            </w:r>
          </w:p>
        </w:tc>
      </w:tr>
    </w:tbl>
    <w:p w14:paraId="0458B428"/>
    <w:p w14:paraId="5A042331">
      <w:pPr>
        <w:pStyle w:val="6"/>
      </w:pPr>
      <w:r>
        <w:rPr>
          <w:rFonts w:hint="eastAsia"/>
        </w:rPr>
        <w:t>其他用户同步</w:t>
      </w:r>
      <w:bookmarkEnd w:id="9054"/>
      <w:bookmarkEnd w:id="9055"/>
      <w:bookmarkEnd w:id="9056"/>
      <w:bookmarkEnd w:id="9057"/>
      <w:bookmarkEnd w:id="9058"/>
    </w:p>
    <w:p w14:paraId="6BC705A2">
      <w:r>
        <w:rPr>
          <w:rFonts w:hint="eastAsia"/>
        </w:rPr>
        <w:t>在导航栏中选择“用户管理&gt;认证管理&gt;高级选项&gt;第三方用户同步&gt;其他用户同步”，进入其他用户同步配置页面，如</w:t>
      </w:r>
      <w:r>
        <w:rPr>
          <w:color w:val="0000FF"/>
          <w:u w:val="single"/>
        </w:rPr>
        <w:fldChar w:fldCharType="begin"/>
      </w:r>
      <w:r>
        <w:instrText xml:space="preserve"> </w:instrText>
      </w:r>
      <w:r>
        <w:rPr>
          <w:rFonts w:hint="eastAsia"/>
        </w:rPr>
        <w:instrText xml:space="preserve">REF _Ref9006777 \r \h</w:instrText>
      </w:r>
      <w:r>
        <w:instrText xml:space="preserve"> </w:instrText>
      </w:r>
      <w:r>
        <w:rPr>
          <w:color w:val="0000FF"/>
          <w:u w:val="single"/>
        </w:rPr>
        <w:fldChar w:fldCharType="separate"/>
      </w:r>
      <w:r>
        <w:rPr>
          <w:rFonts w:hint="eastAsia"/>
        </w:rPr>
        <w:t>图31-166</w:t>
      </w:r>
      <w:r>
        <w:rPr>
          <w:color w:val="0000FF"/>
          <w:u w:val="single"/>
        </w:rPr>
        <w:fldChar w:fldCharType="end"/>
      </w:r>
      <w:r>
        <w:rPr>
          <w:rFonts w:hint="eastAsia"/>
        </w:rPr>
        <w:t>所示。</w:t>
      </w:r>
    </w:p>
    <w:p w14:paraId="4D301B33">
      <w:pPr>
        <w:pStyle w:val="188"/>
      </w:pPr>
      <w:bookmarkStart w:id="9059" w:name="_Toc141874926"/>
      <w:bookmarkStart w:id="9060" w:name="_Ref9006777"/>
      <w:r>
        <w:rPr>
          <w:rFonts w:hint="eastAsia"/>
        </w:rPr>
        <w:t>其他</w:t>
      </w:r>
      <w:r>
        <w:t>用户同步配置页面</w:t>
      </w:r>
      <w:bookmarkEnd w:id="9059"/>
      <w:bookmarkEnd w:id="9060"/>
    </w:p>
    <w:p w14:paraId="49905D67">
      <w:pPr>
        <w:spacing w:before="79" w:after="79"/>
      </w:pPr>
      <w:r>
        <w:drawing>
          <wp:inline distT="0" distB="0" distL="0" distR="0">
            <wp:extent cx="4552950" cy="2700020"/>
            <wp:effectExtent l="0" t="0" r="0" b="5080"/>
            <wp:docPr id="815778176" name="图片 815778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778176" name="图片 815778176"/>
                    <pic:cNvPicPr>
                      <a:picLocks noChangeAspect="1"/>
                    </pic:cNvPicPr>
                  </pic:nvPicPr>
                  <pic:blipFill>
                    <a:blip r:embed="rId1162"/>
                    <a:stretch>
                      <a:fillRect/>
                    </a:stretch>
                  </pic:blipFill>
                  <pic:spPr>
                    <a:xfrm>
                      <a:off x="0" y="0"/>
                      <a:ext cx="4586352" cy="2720120"/>
                    </a:xfrm>
                    <a:prstGeom prst="rect">
                      <a:avLst/>
                    </a:prstGeom>
                  </pic:spPr>
                </pic:pic>
              </a:graphicData>
            </a:graphic>
          </wp:inline>
        </w:drawing>
      </w:r>
    </w:p>
    <w:p w14:paraId="425C0525"/>
    <w:p w14:paraId="5F3E3647">
      <w:r>
        <w:rPr>
          <w:rFonts w:hint="eastAsia"/>
        </w:rPr>
        <w:t>页面的详细说明如</w:t>
      </w:r>
      <w:r>
        <w:rPr>
          <w:color w:val="0000FF"/>
          <w:u w:val="single"/>
        </w:rPr>
        <w:fldChar w:fldCharType="begin"/>
      </w:r>
      <w:r>
        <w:instrText xml:space="preserve"> </w:instrText>
      </w:r>
      <w:r>
        <w:rPr>
          <w:rFonts w:hint="eastAsia"/>
        </w:rPr>
        <w:instrText xml:space="preserve">REF _Ref9006782 \r \h</w:instrText>
      </w:r>
      <w:r>
        <w:instrText xml:space="preserve"> </w:instrText>
      </w:r>
      <w:r>
        <w:rPr>
          <w:color w:val="0000FF"/>
          <w:u w:val="single"/>
        </w:rPr>
        <w:fldChar w:fldCharType="separate"/>
      </w:r>
      <w:r>
        <w:rPr>
          <w:rFonts w:hint="eastAsia"/>
        </w:rPr>
        <w:t>表31-1</w:t>
      </w:r>
      <w:r>
        <w:rPr>
          <w:color w:val="0000FF"/>
          <w:u w:val="single"/>
        </w:rPr>
        <w:fldChar w:fldCharType="end"/>
      </w:r>
      <w:r>
        <w:rPr>
          <w:rFonts w:hint="eastAsia"/>
        </w:rPr>
        <w:t>所示。</w:t>
      </w:r>
    </w:p>
    <w:p w14:paraId="70B539D3">
      <w:pPr>
        <w:pStyle w:val="183"/>
      </w:pPr>
      <w:bookmarkStart w:id="9061" w:name="_Toc141875613"/>
      <w:bookmarkStart w:id="9062" w:name="_Ref9006782"/>
      <w:r>
        <w:rPr>
          <w:rFonts w:hint="eastAsia"/>
        </w:rPr>
        <w:t>其他用户同步配置详细说明</w:t>
      </w:r>
      <w:bookmarkEnd w:id="9061"/>
      <w:bookmarkEnd w:id="9062"/>
    </w:p>
    <w:tbl>
      <w:tblPr>
        <w:tblStyle w:val="173"/>
        <w:tblW w:w="500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468"/>
        <w:gridCol w:w="7774"/>
      </w:tblGrid>
      <w:tr w14:paraId="16F877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94" w:type="pct"/>
            <w:tcBorders>
              <w:tl2br w:val="nil"/>
              <w:tr2bl w:val="nil"/>
            </w:tcBorders>
            <w:shd w:val="clear" w:color="auto" w:fill="538135" w:themeFill="accent6" w:themeFillShade="BF"/>
            <w:vAlign w:val="center"/>
          </w:tcPr>
          <w:p w14:paraId="73785367">
            <w:pPr>
              <w:pStyle w:val="149"/>
              <w:wordWrap/>
              <w:rPr>
                <w:b/>
                <w:bCs/>
                <w:i w:val="0"/>
                <w:iCs w:val="0"/>
              </w:rPr>
            </w:pPr>
            <w:r>
              <w:rPr>
                <w:rFonts w:hint="eastAsia"/>
                <w:b/>
                <w:bCs/>
                <w:i w:val="0"/>
                <w:iCs w:val="0"/>
              </w:rPr>
              <w:t>项目</w:t>
            </w:r>
          </w:p>
        </w:tc>
        <w:tc>
          <w:tcPr>
            <w:tcW w:w="4206" w:type="pct"/>
            <w:tcBorders>
              <w:tl2br w:val="nil"/>
              <w:tr2bl w:val="nil"/>
            </w:tcBorders>
            <w:shd w:val="clear" w:color="auto" w:fill="538135" w:themeFill="accent6" w:themeFillShade="BF"/>
            <w:vAlign w:val="center"/>
          </w:tcPr>
          <w:p w14:paraId="6A248B14">
            <w:pPr>
              <w:pStyle w:val="149"/>
              <w:wordWrap/>
              <w:rPr>
                <w:b/>
                <w:bCs/>
                <w:i w:val="0"/>
                <w:iCs w:val="0"/>
              </w:rPr>
            </w:pPr>
            <w:r>
              <w:rPr>
                <w:rFonts w:hint="eastAsia"/>
                <w:b/>
                <w:bCs/>
                <w:i w:val="0"/>
                <w:iCs w:val="0"/>
              </w:rPr>
              <w:t>说明</w:t>
            </w:r>
          </w:p>
        </w:tc>
      </w:tr>
      <w:tr w14:paraId="09FB8F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000" w:type="pct"/>
            <w:gridSpan w:val="2"/>
            <w:shd w:val="clear" w:color="auto" w:fill="auto"/>
          </w:tcPr>
          <w:p w14:paraId="550A5F6C">
            <w:pPr>
              <w:pStyle w:val="150"/>
            </w:pPr>
            <w:r>
              <w:rPr>
                <w:rFonts w:hint="eastAsia"/>
              </w:rPr>
              <w:t>其他用户同步</w:t>
            </w:r>
          </w:p>
        </w:tc>
      </w:tr>
      <w:tr w14:paraId="764C98E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94" w:type="pct"/>
            <w:shd w:val="clear" w:color="auto" w:fill="auto"/>
          </w:tcPr>
          <w:p w14:paraId="12B800E3">
            <w:pPr>
              <w:pStyle w:val="150"/>
            </w:pPr>
            <w:r>
              <w:rPr>
                <w:rFonts w:hint="eastAsia"/>
              </w:rPr>
              <w:t>深澜</w:t>
            </w:r>
          </w:p>
        </w:tc>
        <w:tc>
          <w:tcPr>
            <w:tcW w:w="4206" w:type="pct"/>
            <w:shd w:val="clear" w:color="auto" w:fill="auto"/>
          </w:tcPr>
          <w:p w14:paraId="3806C1FB">
            <w:pPr>
              <w:pStyle w:val="150"/>
            </w:pPr>
            <w:r>
              <w:rPr>
                <w:rFonts w:hint="eastAsia"/>
              </w:rPr>
              <w:t>勾选表示与深澜认证服务器对接。开启此</w:t>
            </w:r>
            <w:r>
              <w:t>功能</w:t>
            </w:r>
            <w:r>
              <w:rPr>
                <w:rFonts w:hint="eastAsia"/>
              </w:rPr>
              <w:t>后</w:t>
            </w:r>
            <w:r>
              <w:t>，</w:t>
            </w:r>
            <w:r>
              <w:rPr>
                <w:rFonts w:hint="eastAsia"/>
              </w:rPr>
              <w:t>配置</w:t>
            </w:r>
            <w:r>
              <w:rPr>
                <w:rFonts w:hint="eastAsia" w:eastAsiaTheme="minorEastAsia"/>
              </w:rPr>
              <w:t>深澜</w:t>
            </w:r>
            <w:r>
              <w:t>服务器发送相应的报文到设备</w:t>
            </w:r>
            <w:r>
              <w:rPr>
                <w:rFonts w:hint="eastAsia"/>
              </w:rPr>
              <w:t>，</w:t>
            </w:r>
            <w:r>
              <w:t>即可识别用户</w:t>
            </w:r>
            <w:r>
              <w:rPr>
                <w:rFonts w:hint="eastAsia"/>
              </w:rPr>
              <w:t>。</w:t>
            </w:r>
          </w:p>
        </w:tc>
      </w:tr>
      <w:tr w14:paraId="35478A5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94" w:type="pct"/>
            <w:shd w:val="clear" w:color="auto" w:fill="auto"/>
          </w:tcPr>
          <w:p w14:paraId="73925371">
            <w:pPr>
              <w:pStyle w:val="150"/>
            </w:pPr>
            <w:r>
              <w:rPr>
                <w:rFonts w:hint="eastAsia"/>
              </w:rPr>
              <w:t>城市热点</w:t>
            </w:r>
          </w:p>
        </w:tc>
        <w:tc>
          <w:tcPr>
            <w:tcW w:w="4206" w:type="pct"/>
            <w:shd w:val="clear" w:color="auto" w:fill="auto"/>
          </w:tcPr>
          <w:p w14:paraId="4F98168D">
            <w:pPr>
              <w:pStyle w:val="150"/>
            </w:pPr>
            <w:r>
              <w:rPr>
                <w:rFonts w:hint="eastAsia"/>
              </w:rPr>
              <w:t>勾选表示与城市热点认证服务器对接。开启此</w:t>
            </w:r>
            <w:r>
              <w:t>功能</w:t>
            </w:r>
            <w:r>
              <w:rPr>
                <w:rFonts w:hint="eastAsia"/>
              </w:rPr>
              <w:t>后</w:t>
            </w:r>
            <w:r>
              <w:t>，</w:t>
            </w:r>
            <w:r>
              <w:rPr>
                <w:rFonts w:hint="eastAsia"/>
              </w:rPr>
              <w:t>配置</w:t>
            </w:r>
            <w:r>
              <w:rPr>
                <w:rFonts w:hint="eastAsia" w:eastAsiaTheme="minorEastAsia"/>
              </w:rPr>
              <w:t>城市热点</w:t>
            </w:r>
            <w:r>
              <w:t>服务器发送相应的报文到设备</w:t>
            </w:r>
            <w:r>
              <w:rPr>
                <w:rFonts w:hint="eastAsia"/>
              </w:rPr>
              <w:t>，</w:t>
            </w:r>
            <w:r>
              <w:t>即可识别用户</w:t>
            </w:r>
            <w:r>
              <w:rPr>
                <w:rFonts w:hint="eastAsia"/>
              </w:rPr>
              <w:t>。</w:t>
            </w:r>
          </w:p>
          <w:p w14:paraId="18A60CD8">
            <w:pPr>
              <w:pStyle w:val="150"/>
            </w:pPr>
            <w:r>
              <w:rPr>
                <w:rFonts w:hint="eastAsia"/>
              </w:rPr>
              <w:t>第三方城市热点用户同步支持将同步的用户录入到本地指定的用户组，可以实现基于用户组的控制。默认录入到“默认组”，可以通过</w:t>
            </w:r>
            <w:r>
              <w:rPr>
                <w:b/>
              </w:rPr>
              <w:t>user</w:t>
            </w:r>
            <w:r>
              <w:rPr>
                <w:rFonts w:hint="eastAsia"/>
              </w:rPr>
              <w:t>-</w:t>
            </w:r>
            <w:r>
              <w:rPr>
                <w:b/>
              </w:rPr>
              <w:t>sols</w:t>
            </w:r>
            <w:r>
              <w:rPr>
                <w:rFonts w:hint="eastAsia"/>
              </w:rPr>
              <w:t xml:space="preserve"> </w:t>
            </w:r>
            <w:r>
              <w:rPr>
                <w:b/>
              </w:rPr>
              <w:t>record</w:t>
            </w:r>
            <w:r>
              <w:rPr>
                <w:rFonts w:hint="eastAsia"/>
              </w:rPr>
              <w:t>-</w:t>
            </w:r>
            <w:r>
              <w:rPr>
                <w:b/>
              </w:rPr>
              <w:t>group</w:t>
            </w:r>
            <w:r>
              <w:rPr>
                <w:rFonts w:hint="eastAsia"/>
              </w:rPr>
              <w:t xml:space="preserve"> </w:t>
            </w:r>
            <w:r>
              <w:rPr>
                <w:i/>
              </w:rPr>
              <w:t>UPATH</w:t>
            </w:r>
            <w:r>
              <w:rPr>
                <w:rFonts w:hint="eastAsia"/>
              </w:rPr>
              <w:t xml:space="preserve"> 命令配置录入到指定的用户组。</w:t>
            </w:r>
          </w:p>
        </w:tc>
      </w:tr>
      <w:tr w14:paraId="06E82E2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94" w:type="pct"/>
            <w:shd w:val="clear" w:color="auto" w:fill="auto"/>
          </w:tcPr>
          <w:p w14:paraId="14931D93">
            <w:pPr>
              <w:pStyle w:val="150"/>
            </w:pPr>
            <w:r>
              <w:rPr>
                <w:rFonts w:hint="eastAsia"/>
              </w:rPr>
              <w:t>PPPOE</w:t>
            </w:r>
          </w:p>
        </w:tc>
        <w:tc>
          <w:tcPr>
            <w:tcW w:w="4206" w:type="pct"/>
            <w:shd w:val="clear" w:color="auto" w:fill="auto"/>
          </w:tcPr>
          <w:p w14:paraId="6AE24E71">
            <w:pPr>
              <w:pStyle w:val="150"/>
            </w:pPr>
            <w:r>
              <w:rPr>
                <w:rFonts w:hint="eastAsia"/>
              </w:rPr>
              <w:t>勾选表示与PPPOE服务器用户同步。通过</w:t>
            </w:r>
            <w:r>
              <w:t>PPPoE</w:t>
            </w:r>
            <w:r>
              <w:rPr>
                <w:rFonts w:hint="eastAsia"/>
              </w:rPr>
              <w:t>报文</w:t>
            </w:r>
            <w:r>
              <w:t>识别用户</w:t>
            </w:r>
            <w:r>
              <w:rPr>
                <w:rFonts w:hint="eastAsia"/>
              </w:rPr>
              <w:t>并在</w:t>
            </w:r>
            <w:r>
              <w:t>本地</w:t>
            </w:r>
            <w:r>
              <w:rPr>
                <w:rFonts w:hint="eastAsia"/>
              </w:rPr>
              <w:t>用户</w:t>
            </w:r>
            <w:r>
              <w:t>界面创建</w:t>
            </w:r>
            <w:r>
              <w:rPr>
                <w:rFonts w:hint="eastAsia"/>
              </w:rPr>
              <w:t>相应</w:t>
            </w:r>
            <w:r>
              <w:t>的用户PPPOE</w:t>
            </w:r>
            <w:r>
              <w:rPr>
                <w:rFonts w:hint="eastAsia"/>
              </w:rPr>
              <w:t>账号</w:t>
            </w:r>
            <w:r>
              <w:t>。</w:t>
            </w:r>
          </w:p>
        </w:tc>
      </w:tr>
      <w:tr w14:paraId="05DA49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94" w:type="pct"/>
            <w:shd w:val="clear" w:color="auto" w:fill="auto"/>
          </w:tcPr>
          <w:p w14:paraId="14404832">
            <w:pPr>
              <w:pStyle w:val="150"/>
            </w:pPr>
            <w:r>
              <w:rPr>
                <w:rFonts w:hint="eastAsia"/>
              </w:rPr>
              <w:t>安美</w:t>
            </w:r>
          </w:p>
        </w:tc>
        <w:tc>
          <w:tcPr>
            <w:tcW w:w="4206" w:type="pct"/>
            <w:shd w:val="clear" w:color="auto" w:fill="auto"/>
          </w:tcPr>
          <w:p w14:paraId="011E6376">
            <w:pPr>
              <w:pStyle w:val="150"/>
            </w:pPr>
            <w:r>
              <w:rPr>
                <w:rFonts w:hint="eastAsia"/>
              </w:rPr>
              <w:t>勾选表示与安美认证服务器对接。开启此</w:t>
            </w:r>
            <w:r>
              <w:t>功能</w:t>
            </w:r>
            <w:r>
              <w:rPr>
                <w:rFonts w:hint="eastAsia"/>
              </w:rPr>
              <w:t>后</w:t>
            </w:r>
            <w:r>
              <w:t>，</w:t>
            </w:r>
            <w:r>
              <w:rPr>
                <w:rFonts w:hint="eastAsia"/>
              </w:rPr>
              <w:t>配置安</w:t>
            </w:r>
            <w:r>
              <w:t>美服务器发送相应的报文到设备</w:t>
            </w:r>
            <w:r>
              <w:rPr>
                <w:rFonts w:hint="eastAsia"/>
              </w:rPr>
              <w:t>，</w:t>
            </w:r>
            <w:r>
              <w:t>即可识别用户</w:t>
            </w:r>
            <w:r>
              <w:rPr>
                <w:rFonts w:hint="eastAsia"/>
              </w:rPr>
              <w:t>。</w:t>
            </w:r>
          </w:p>
        </w:tc>
      </w:tr>
      <w:tr w14:paraId="0CB3BD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794" w:type="pct"/>
            <w:shd w:val="clear" w:color="auto" w:fill="auto"/>
          </w:tcPr>
          <w:p w14:paraId="223B3252">
            <w:pPr>
              <w:pStyle w:val="150"/>
            </w:pPr>
            <w:r>
              <w:rPr>
                <w:rFonts w:hint="eastAsia"/>
              </w:rPr>
              <w:t>DDI终端用户</w:t>
            </w:r>
          </w:p>
        </w:tc>
        <w:tc>
          <w:tcPr>
            <w:tcW w:w="4206" w:type="pct"/>
            <w:shd w:val="clear" w:color="auto" w:fill="auto"/>
          </w:tcPr>
          <w:p w14:paraId="540631DD">
            <w:pPr>
              <w:pStyle w:val="150"/>
            </w:pPr>
            <w:r>
              <w:rPr>
                <w:rFonts w:hint="eastAsia"/>
              </w:rPr>
              <w:t>勾选表示与DDI设备对接。开启此功能后，配置DDI设备发送相应的报文到设备，即可关联终端用户使用的终端型号。</w:t>
            </w:r>
          </w:p>
        </w:tc>
      </w:tr>
    </w:tbl>
    <w:p w14:paraId="66692C29"/>
    <w:p w14:paraId="6BD00BD1">
      <w:r>
        <w:rPr>
          <w:rFonts w:hint="eastAsia"/>
        </w:rPr>
        <w:t>输入完毕后，点击</w:t>
      </w:r>
      <w:r>
        <w:t>&lt;</w:t>
      </w:r>
      <w:r>
        <w:rPr>
          <w:rFonts w:hint="eastAsia"/>
        </w:rPr>
        <w:t>提交</w:t>
      </w:r>
      <w:r>
        <w:t>&gt;</w:t>
      </w:r>
      <w:r>
        <w:rPr>
          <w:rFonts w:hint="eastAsia"/>
        </w:rPr>
        <w:t>按钮，应用配置。</w:t>
      </w:r>
    </w:p>
    <w:p w14:paraId="2762327C">
      <w:pPr>
        <w:pStyle w:val="6"/>
      </w:pPr>
      <w:r>
        <w:rPr>
          <w:rFonts w:hint="eastAsia"/>
        </w:rPr>
        <w:t>未同步用户Portal推送</w:t>
      </w:r>
    </w:p>
    <w:p w14:paraId="7D3785B3">
      <w:r>
        <w:rPr>
          <w:rFonts w:hint="eastAsia"/>
          <w:bCs/>
        </w:rPr>
        <w:t>选择“</w:t>
      </w:r>
      <w:r>
        <w:rPr>
          <w:rFonts w:hint="eastAsia"/>
        </w:rPr>
        <w:t>用户管理&gt;认证管理&gt;高级选项</w:t>
      </w:r>
      <w:r>
        <w:rPr>
          <w:rFonts w:hint="eastAsia"/>
          <w:bCs/>
        </w:rPr>
        <w:t>”，选择</w:t>
      </w:r>
      <w:r>
        <w:rPr>
          <w:rFonts w:hint="eastAsia"/>
        </w:rPr>
        <w:t>第三方用户同步</w:t>
      </w:r>
      <w:r>
        <w:rPr>
          <w:rFonts w:hint="eastAsia"/>
          <w:bCs/>
        </w:rPr>
        <w:t>页签</w:t>
      </w:r>
      <w:r>
        <w:rPr>
          <w:rFonts w:hint="eastAsia"/>
        </w:rPr>
        <w:t>。</w:t>
      </w:r>
      <w:r>
        <w:rPr>
          <w:rFonts w:hint="eastAsia"/>
          <w:bCs/>
        </w:rPr>
        <w:t>选择未同步用户</w:t>
      </w:r>
      <w:r>
        <w:rPr>
          <w:bCs/>
        </w:rPr>
        <w:t>Portal</w:t>
      </w:r>
      <w:r>
        <w:rPr>
          <w:rFonts w:hint="eastAsia"/>
          <w:bCs/>
        </w:rPr>
        <w:t>推送</w:t>
      </w:r>
      <w:r>
        <w:rPr>
          <w:rFonts w:hint="eastAsia"/>
        </w:rPr>
        <w:t>进入未同步用户Portal推送配置页面，编辑相关信息，点击&lt;</w:t>
      </w:r>
      <w:r>
        <w:rPr>
          <w:rFonts w:hint="eastAsia"/>
          <w:bCs/>
        </w:rPr>
        <w:t>提交</w:t>
      </w:r>
      <w:r>
        <w:t>&gt;</w:t>
      </w:r>
      <w:r>
        <w:rPr>
          <w:rFonts w:hint="eastAsia"/>
        </w:rPr>
        <w:t>。可以针对未认证的用户指定地址范围，进行Portal推送。</w:t>
      </w:r>
    </w:p>
    <w:p w14:paraId="56112F3E">
      <w:pPr>
        <w:pStyle w:val="188"/>
      </w:pPr>
      <w:bookmarkStart w:id="9063" w:name="_Toc141874927"/>
      <w:r>
        <w:rPr>
          <w:rFonts w:hint="eastAsia"/>
        </w:rPr>
        <w:t>未同步用户Portal推送页面</w:t>
      </w:r>
      <w:bookmarkEnd w:id="9063"/>
    </w:p>
    <w:p w14:paraId="6C4E4A3E">
      <w:pPr>
        <w:spacing w:before="79" w:after="79"/>
      </w:pPr>
      <w:r>
        <w:drawing>
          <wp:inline distT="0" distB="0" distL="0" distR="0">
            <wp:extent cx="5715000" cy="2275205"/>
            <wp:effectExtent l="0" t="0" r="0" b="0"/>
            <wp:docPr id="815778178" name="图片 815778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778178" name="图片 815778178"/>
                    <pic:cNvPicPr>
                      <a:picLocks noChangeAspect="1"/>
                    </pic:cNvPicPr>
                  </pic:nvPicPr>
                  <pic:blipFill>
                    <a:blip r:embed="rId1163"/>
                    <a:stretch>
                      <a:fillRect/>
                    </a:stretch>
                  </pic:blipFill>
                  <pic:spPr>
                    <a:xfrm>
                      <a:off x="0" y="0"/>
                      <a:ext cx="5725105" cy="2279825"/>
                    </a:xfrm>
                    <a:prstGeom prst="rect">
                      <a:avLst/>
                    </a:prstGeom>
                  </pic:spPr>
                </pic:pic>
              </a:graphicData>
            </a:graphic>
          </wp:inline>
        </w:drawing>
      </w:r>
    </w:p>
    <w:p w14:paraId="12831BDF">
      <w:pPr>
        <w:pStyle w:val="183"/>
      </w:pPr>
      <w:bookmarkStart w:id="9064" w:name="_Toc141875614"/>
      <w:r>
        <w:rPr>
          <w:rFonts w:hint="eastAsia"/>
        </w:rPr>
        <w:t>未同步用户Portal推送配置详细说明</w:t>
      </w:r>
      <w:bookmarkEnd w:id="9064"/>
    </w:p>
    <w:tbl>
      <w:tblPr>
        <w:tblStyle w:val="173"/>
        <w:tblW w:w="500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919"/>
        <w:gridCol w:w="7323"/>
      </w:tblGrid>
      <w:tr w14:paraId="3976C16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038" w:type="pct"/>
            <w:tcBorders>
              <w:tl2br w:val="nil"/>
              <w:tr2bl w:val="nil"/>
            </w:tcBorders>
            <w:shd w:val="clear" w:color="auto" w:fill="538135" w:themeFill="accent6" w:themeFillShade="BF"/>
            <w:vAlign w:val="center"/>
          </w:tcPr>
          <w:p w14:paraId="4AD0EA7D">
            <w:pPr>
              <w:pStyle w:val="149"/>
              <w:wordWrap/>
              <w:rPr>
                <w:b/>
                <w:bCs/>
                <w:i w:val="0"/>
                <w:iCs w:val="0"/>
              </w:rPr>
            </w:pPr>
            <w:r>
              <w:rPr>
                <w:rFonts w:hint="eastAsia"/>
                <w:b/>
                <w:bCs/>
                <w:i w:val="0"/>
                <w:iCs w:val="0"/>
              </w:rPr>
              <w:t>配置项</w:t>
            </w:r>
          </w:p>
        </w:tc>
        <w:tc>
          <w:tcPr>
            <w:tcW w:w="3962" w:type="pct"/>
            <w:tcBorders>
              <w:tl2br w:val="nil"/>
              <w:tr2bl w:val="nil"/>
            </w:tcBorders>
            <w:shd w:val="clear" w:color="auto" w:fill="538135" w:themeFill="accent6" w:themeFillShade="BF"/>
            <w:vAlign w:val="center"/>
          </w:tcPr>
          <w:p w14:paraId="4BC0AB41">
            <w:pPr>
              <w:pStyle w:val="149"/>
              <w:wordWrap/>
              <w:rPr>
                <w:b/>
                <w:bCs/>
                <w:i w:val="0"/>
                <w:iCs w:val="0"/>
              </w:rPr>
            </w:pPr>
            <w:r>
              <w:rPr>
                <w:rFonts w:hint="eastAsia"/>
                <w:b/>
                <w:bCs/>
                <w:i w:val="0"/>
                <w:iCs w:val="0"/>
              </w:rPr>
              <w:t>说明</w:t>
            </w:r>
          </w:p>
        </w:tc>
      </w:tr>
      <w:tr w14:paraId="672B29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038" w:type="pct"/>
            <w:shd w:val="clear" w:color="auto" w:fill="auto"/>
          </w:tcPr>
          <w:p w14:paraId="1BE5FEEF">
            <w:pPr>
              <w:pStyle w:val="150"/>
            </w:pPr>
            <w:r>
              <w:rPr>
                <w:rFonts w:hint="eastAsia"/>
              </w:rPr>
              <w:t>启用</w:t>
            </w:r>
          </w:p>
        </w:tc>
        <w:tc>
          <w:tcPr>
            <w:tcW w:w="3962" w:type="pct"/>
            <w:shd w:val="clear" w:color="auto" w:fill="auto"/>
          </w:tcPr>
          <w:p w14:paraId="6171D5FD">
            <w:pPr>
              <w:pStyle w:val="150"/>
            </w:pPr>
            <w:r>
              <w:rPr>
                <w:rFonts w:hint="eastAsia"/>
              </w:rPr>
              <w:t>勾选为启用，不勾选为禁用。</w:t>
            </w:r>
          </w:p>
        </w:tc>
      </w:tr>
      <w:tr w14:paraId="28C2B0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038" w:type="pct"/>
            <w:shd w:val="clear" w:color="auto" w:fill="auto"/>
          </w:tcPr>
          <w:p w14:paraId="7DE2C345">
            <w:pPr>
              <w:pStyle w:val="150"/>
            </w:pPr>
            <w:r>
              <w:rPr>
                <w:rFonts w:hint="eastAsia"/>
                <w:shd w:val="clear" w:color="auto" w:fill="FFFFFF"/>
              </w:rPr>
              <w:t>用户同步</w:t>
            </w:r>
            <w:r>
              <w:rPr>
                <w:shd w:val="clear" w:color="auto" w:fill="FFFFFF"/>
              </w:rPr>
              <w:t>IP</w:t>
            </w:r>
            <w:r>
              <w:rPr>
                <w:rFonts w:hint="eastAsia"/>
                <w:shd w:val="clear" w:color="auto" w:fill="FFFFFF"/>
              </w:rPr>
              <w:t>范围</w:t>
            </w:r>
          </w:p>
        </w:tc>
        <w:tc>
          <w:tcPr>
            <w:tcW w:w="3962" w:type="pct"/>
            <w:shd w:val="clear" w:color="auto" w:fill="auto"/>
          </w:tcPr>
          <w:p w14:paraId="7F6A36BB">
            <w:pPr>
              <w:pStyle w:val="150"/>
            </w:pPr>
            <w:r>
              <w:rPr>
                <w:rFonts w:hint="eastAsia"/>
              </w:rPr>
              <w:t>配置推送地址范围。</w:t>
            </w:r>
          </w:p>
        </w:tc>
      </w:tr>
      <w:tr w14:paraId="1D07529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038" w:type="pct"/>
            <w:shd w:val="clear" w:color="auto" w:fill="auto"/>
          </w:tcPr>
          <w:p w14:paraId="4FEB8FC5">
            <w:pPr>
              <w:pStyle w:val="150"/>
            </w:pPr>
            <w:r>
              <w:rPr>
                <w:rFonts w:hint="eastAsia"/>
                <w:shd w:val="clear" w:color="auto" w:fill="FFFFFF"/>
              </w:rPr>
              <w:t>重定向</w:t>
            </w:r>
            <w:r>
              <w:rPr>
                <w:shd w:val="clear" w:color="auto" w:fill="FFFFFF"/>
              </w:rPr>
              <w:t>URL</w:t>
            </w:r>
          </w:p>
        </w:tc>
        <w:tc>
          <w:tcPr>
            <w:tcW w:w="3962" w:type="pct"/>
            <w:shd w:val="clear" w:color="auto" w:fill="auto"/>
          </w:tcPr>
          <w:p w14:paraId="1AF751BC">
            <w:pPr>
              <w:pStyle w:val="150"/>
            </w:pPr>
            <w:r>
              <w:rPr>
                <w:rFonts w:hint="eastAsia"/>
              </w:rPr>
              <w:t>配置认证的Portal页面。可输入3-127个字符。</w:t>
            </w:r>
          </w:p>
        </w:tc>
      </w:tr>
    </w:tbl>
    <w:p w14:paraId="3CF94F84">
      <w:pPr>
        <w:snapToGrid w:val="0"/>
        <w:spacing w:before="120" w:after="120" w:line="276" w:lineRule="auto"/>
      </w:pPr>
    </w:p>
    <w:p w14:paraId="436C45CE">
      <w:pPr>
        <w:pStyle w:val="5"/>
      </w:pPr>
      <w:bookmarkStart w:id="9065" w:name="_Toc137560479"/>
      <w:bookmarkStart w:id="9066" w:name="_Toc141873561"/>
      <w:bookmarkStart w:id="9067" w:name="_Toc196728542"/>
      <w:bookmarkStart w:id="9068" w:name="_Toc172218330"/>
      <w:bookmarkStart w:id="9069" w:name="_Toc142401077"/>
      <w:bookmarkStart w:id="9070" w:name="_Toc194081214"/>
      <w:r>
        <w:rPr>
          <w:rFonts w:hint="eastAsia"/>
        </w:rPr>
        <w:t>认证策略白名单</w:t>
      </w:r>
      <w:bookmarkEnd w:id="9065"/>
      <w:bookmarkEnd w:id="9066"/>
      <w:bookmarkEnd w:id="9067"/>
      <w:bookmarkEnd w:id="9068"/>
      <w:bookmarkEnd w:id="9069"/>
      <w:bookmarkEnd w:id="9070"/>
    </w:p>
    <w:p w14:paraId="2BBEDB49">
      <w:r>
        <w:t>设备</w:t>
      </w:r>
      <w:r>
        <w:rPr>
          <w:rFonts w:hint="eastAsia"/>
        </w:rPr>
        <w:t>支持认证策略白名单功能，配置认证策略后，可以对需要访问的地址加入认证策略白名单，终端用户访问加入认证策略白名单的网站时，将会跳过用户认证，不弹出认证页面。</w:t>
      </w:r>
    </w:p>
    <w:p w14:paraId="53EF4521">
      <w:r>
        <w:rPr>
          <w:rFonts w:hint="eastAsia"/>
          <w:bCs/>
        </w:rPr>
        <w:t>选择“</w:t>
      </w:r>
      <w:r>
        <w:rPr>
          <w:rFonts w:hint="eastAsia"/>
        </w:rPr>
        <w:t>用户管理&gt;认证管理&gt;高级选项”</w:t>
      </w:r>
      <w:r>
        <w:rPr>
          <w:rFonts w:hint="eastAsia"/>
          <w:bCs/>
        </w:rPr>
        <w:t>，选择</w:t>
      </w:r>
      <w:r>
        <w:rPr>
          <w:rFonts w:hint="eastAsia"/>
        </w:rPr>
        <w:t>认证策略白名单</w:t>
      </w:r>
      <w:r>
        <w:rPr>
          <w:rFonts w:hint="eastAsia"/>
          <w:bCs/>
        </w:rPr>
        <w:t>页签</w:t>
      </w:r>
      <w:r>
        <w:rPr>
          <w:rFonts w:hint="eastAsia"/>
        </w:rPr>
        <w:t>，查看设备上已配置的认证策略白名单。</w:t>
      </w:r>
    </w:p>
    <w:p w14:paraId="7B8AEF13">
      <w:r>
        <w:rPr>
          <w:rFonts w:hint="eastAsia"/>
        </w:rPr>
        <w:t>点击&lt;新建&gt;，编辑相关信息，</w:t>
      </w:r>
    </w:p>
    <w:p w14:paraId="1D3BD304">
      <w:r>
        <w:rPr>
          <w:rFonts w:hint="eastAsia"/>
        </w:rPr>
        <w:t>点击&lt;提交&gt;可新建认证策略白名单。</w:t>
      </w:r>
    </w:p>
    <w:p w14:paraId="1B1AF3A2">
      <w:pPr>
        <w:pStyle w:val="188"/>
      </w:pPr>
      <w:bookmarkStart w:id="9071" w:name="_Toc141874928"/>
      <w:r>
        <w:rPr>
          <w:rFonts w:hint="eastAsia"/>
        </w:rPr>
        <w:t>认证策略白名单配置页面</w:t>
      </w:r>
      <w:bookmarkEnd w:id="9071"/>
    </w:p>
    <w:p w14:paraId="740143A6">
      <w:pPr>
        <w:spacing w:before="79" w:after="79"/>
        <w:rPr>
          <w:rFonts w:cs="Cambria"/>
        </w:rPr>
      </w:pPr>
      <w:r>
        <w:drawing>
          <wp:inline distT="0" distB="0" distL="0" distR="0">
            <wp:extent cx="5424805" cy="1168400"/>
            <wp:effectExtent l="0" t="0" r="4445"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1164"/>
                    <a:srcRect t="16324"/>
                    <a:stretch>
                      <a:fillRect/>
                    </a:stretch>
                  </pic:blipFill>
                  <pic:spPr>
                    <a:xfrm>
                      <a:off x="0" y="0"/>
                      <a:ext cx="5436394" cy="1170985"/>
                    </a:xfrm>
                    <a:prstGeom prst="rect">
                      <a:avLst/>
                    </a:prstGeom>
                    <a:ln>
                      <a:noFill/>
                    </a:ln>
                  </pic:spPr>
                </pic:pic>
              </a:graphicData>
            </a:graphic>
          </wp:inline>
        </w:drawing>
      </w:r>
    </w:p>
    <w:p w14:paraId="6F8D212D">
      <w:r>
        <w:rPr>
          <w:rFonts w:hint="eastAsia"/>
        </w:rPr>
        <w:t>详细配置请参见下表。</w:t>
      </w:r>
    </w:p>
    <w:tbl>
      <w:tblPr>
        <w:tblStyle w:val="173"/>
        <w:tblW w:w="500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468"/>
        <w:gridCol w:w="7774"/>
      </w:tblGrid>
      <w:tr w14:paraId="46E6CE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794" w:type="pct"/>
            <w:tcBorders>
              <w:tl2br w:val="nil"/>
              <w:tr2bl w:val="nil"/>
            </w:tcBorders>
            <w:shd w:val="clear" w:color="auto" w:fill="538135" w:themeFill="accent6" w:themeFillShade="BF"/>
            <w:vAlign w:val="center"/>
          </w:tcPr>
          <w:p w14:paraId="143EAE84">
            <w:pPr>
              <w:pStyle w:val="149"/>
              <w:wordWrap/>
              <w:rPr>
                <w:b/>
                <w:bCs/>
                <w:i w:val="0"/>
                <w:iCs w:val="0"/>
              </w:rPr>
            </w:pPr>
            <w:r>
              <w:rPr>
                <w:rFonts w:hint="eastAsia"/>
                <w:b/>
                <w:bCs/>
                <w:i w:val="0"/>
                <w:iCs w:val="0"/>
              </w:rPr>
              <w:t>标题</w:t>
            </w:r>
          </w:p>
        </w:tc>
        <w:tc>
          <w:tcPr>
            <w:tcW w:w="4206" w:type="pct"/>
            <w:tcBorders>
              <w:tl2br w:val="nil"/>
              <w:tr2bl w:val="nil"/>
            </w:tcBorders>
            <w:shd w:val="clear" w:color="auto" w:fill="538135" w:themeFill="accent6" w:themeFillShade="BF"/>
            <w:vAlign w:val="center"/>
          </w:tcPr>
          <w:p w14:paraId="43B9B879">
            <w:pPr>
              <w:pStyle w:val="149"/>
              <w:wordWrap/>
              <w:rPr>
                <w:b/>
                <w:bCs/>
                <w:i w:val="0"/>
                <w:iCs w:val="0"/>
              </w:rPr>
            </w:pPr>
            <w:r>
              <w:rPr>
                <w:rFonts w:hint="eastAsia"/>
                <w:b/>
                <w:bCs/>
                <w:i w:val="0"/>
                <w:iCs w:val="0"/>
              </w:rPr>
              <w:t>说明</w:t>
            </w:r>
          </w:p>
        </w:tc>
      </w:tr>
      <w:tr w14:paraId="4520803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794" w:type="pct"/>
            <w:shd w:val="clear" w:color="auto" w:fill="auto"/>
          </w:tcPr>
          <w:p w14:paraId="1F8BF3F7">
            <w:pPr>
              <w:pStyle w:val="150"/>
            </w:pPr>
            <w:r>
              <w:rPr>
                <w:rFonts w:hint="eastAsia"/>
              </w:rPr>
              <w:t>主机名</w:t>
            </w:r>
          </w:p>
        </w:tc>
        <w:tc>
          <w:tcPr>
            <w:tcW w:w="4206" w:type="pct"/>
            <w:shd w:val="clear" w:color="auto" w:fill="auto"/>
          </w:tcPr>
          <w:p w14:paraId="571B15CF">
            <w:pPr>
              <w:pStyle w:val="150"/>
            </w:pPr>
            <w:r>
              <w:rPr>
                <w:rFonts w:hint="eastAsia"/>
              </w:rPr>
              <w:t>认证策略白名单地址为目的地址，支持</w:t>
            </w:r>
            <w:r>
              <w:t>IP</w:t>
            </w:r>
            <w:r>
              <w:rPr>
                <w:rFonts w:hint="eastAsia"/>
              </w:rPr>
              <w:t>v</w:t>
            </w:r>
            <w:r>
              <w:t>4</w:t>
            </w:r>
            <w:r>
              <w:rPr>
                <w:rFonts w:hint="eastAsia"/>
              </w:rPr>
              <w:t>和</w:t>
            </w:r>
            <w:r>
              <w:t>IP</w:t>
            </w:r>
            <w:r>
              <w:rPr>
                <w:rFonts w:hint="eastAsia"/>
              </w:rPr>
              <w:t>v</w:t>
            </w:r>
            <w:r>
              <w:t>6</w:t>
            </w:r>
            <w:r>
              <w:rPr>
                <w:rFonts w:hint="eastAsia"/>
              </w:rPr>
              <w:t>和域名方式。</w:t>
            </w:r>
          </w:p>
        </w:tc>
      </w:tr>
      <w:tr w14:paraId="5C125C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794" w:type="pct"/>
            <w:shd w:val="clear" w:color="auto" w:fill="auto"/>
          </w:tcPr>
          <w:p w14:paraId="0AE2910D">
            <w:pPr>
              <w:pStyle w:val="150"/>
            </w:pPr>
            <w:r>
              <w:rPr>
                <w:rFonts w:hint="eastAsia"/>
              </w:rPr>
              <w:t>排除</w:t>
            </w:r>
          </w:p>
        </w:tc>
        <w:tc>
          <w:tcPr>
            <w:tcW w:w="4206" w:type="pct"/>
            <w:shd w:val="clear" w:color="auto" w:fill="auto"/>
          </w:tcPr>
          <w:p w14:paraId="30E34A82">
            <w:pPr>
              <w:pStyle w:val="150"/>
            </w:pPr>
            <w:r>
              <w:t>主机名配置为排除时，配置认证策略，访问该主机会弹出认证页面；主机名不配置排除时，配置认证策略，访问该主机不会弹认证页面。</w:t>
            </w:r>
          </w:p>
          <w:p w14:paraId="1AAE2C34">
            <w:pPr>
              <w:pStyle w:val="150"/>
            </w:pPr>
            <w:r>
              <w:rPr>
                <w:rFonts w:hint="eastAsia"/>
              </w:rPr>
              <w:t>例如：</w:t>
            </w:r>
          </w:p>
          <w:p w14:paraId="26E28B9A">
            <w:pPr>
              <w:pStyle w:val="150"/>
            </w:pPr>
            <w:r>
              <w:rPr>
                <w:rFonts w:hint="eastAsia"/>
              </w:rPr>
              <w:t>配置一条baidu.com认证策略白名单，再配置一条排除的认证策略白名单map.baidu.com，此时访问www.baidu.com不会弹出认证页面，访问map.baidu.com会弹出认证页面。</w:t>
            </w:r>
          </w:p>
        </w:tc>
      </w:tr>
    </w:tbl>
    <w:p w14:paraId="47632988">
      <w:pPr>
        <w:snapToGrid w:val="0"/>
        <w:spacing w:before="158" w:after="158" w:line="276" w:lineRule="auto"/>
      </w:pPr>
    </w:p>
    <w:p w14:paraId="423D1E13">
      <w:pPr>
        <w:pStyle w:val="5"/>
      </w:pPr>
      <w:bookmarkStart w:id="9072" w:name="_Toc196728543"/>
      <w:bookmarkStart w:id="9073" w:name="_Toc172218331"/>
      <w:bookmarkStart w:id="9074" w:name="_Toc194081215"/>
      <w:bookmarkStart w:id="9075" w:name="_Toc157091099"/>
      <w:bookmarkStart w:id="9076" w:name="_Toc31084"/>
      <w:bookmarkStart w:id="9077" w:name="_Ref154651495"/>
      <w:bookmarkStart w:id="9078" w:name="_Toc160730350"/>
      <w:r>
        <w:rPr>
          <w:rFonts w:hint="eastAsia"/>
        </w:rPr>
        <w:t>认证方式白名单</w:t>
      </w:r>
      <w:bookmarkEnd w:id="9072"/>
      <w:bookmarkEnd w:id="9073"/>
      <w:bookmarkEnd w:id="9074"/>
      <w:bookmarkEnd w:id="9075"/>
      <w:bookmarkEnd w:id="9076"/>
      <w:bookmarkEnd w:id="9077"/>
      <w:bookmarkEnd w:id="9078"/>
    </w:p>
    <w:p w14:paraId="3DB7864F">
      <w:r>
        <w:rPr>
          <w:rFonts w:hint="eastAsia"/>
        </w:rPr>
        <w:t>设备支持对特定的认证方式设置白名单功能，可以对钉钉认证、微信认证等需要与应用服务器进行交互的认证方式进行临时的流量放通。流量放通的内容分为预定义与自定义，预定义是通过分析认证应用的流量将使用到的域名或者IP地址内置到系统中。用户可以通过自定义方式进行配置，将需要放通的域名或者IP地址配置到自定义中，起到流量放通的效果。</w:t>
      </w:r>
    </w:p>
    <w:p w14:paraId="44A86282">
      <w:pPr>
        <w:pStyle w:val="202"/>
        <w:rPr>
          <w:lang w:eastAsia="zh-CN"/>
        </w:rPr>
      </w:pPr>
      <w:r>
        <w:rPr>
          <w:rFonts w:hint="eastAsia"/>
          <w:bCs/>
          <w:lang w:eastAsia="zh-CN"/>
        </w:rPr>
        <w:t>选择“</w:t>
      </w:r>
      <w:r>
        <w:rPr>
          <w:rFonts w:hint="eastAsia"/>
          <w:lang w:eastAsia="zh-CN"/>
        </w:rPr>
        <w:t>用户管理&gt;认证管理</w:t>
      </w:r>
      <w:r>
        <w:rPr>
          <w:lang w:eastAsia="zh-CN"/>
        </w:rPr>
        <w:t>&gt;</w:t>
      </w:r>
      <w:r>
        <w:rPr>
          <w:rFonts w:hint="eastAsia"/>
          <w:lang w:eastAsia="zh-CN"/>
        </w:rPr>
        <w:t>高级选项”</w:t>
      </w:r>
      <w:r>
        <w:rPr>
          <w:rFonts w:hint="eastAsia"/>
          <w:bCs/>
          <w:lang w:eastAsia="zh-CN"/>
        </w:rPr>
        <w:t>，选择</w:t>
      </w:r>
      <w:r>
        <w:rPr>
          <w:rFonts w:hint="eastAsia"/>
          <w:lang w:eastAsia="zh-CN"/>
        </w:rPr>
        <w:t>认证方式白名单</w:t>
      </w:r>
      <w:r>
        <w:rPr>
          <w:rFonts w:hint="eastAsia"/>
          <w:bCs/>
          <w:lang w:eastAsia="zh-CN"/>
        </w:rPr>
        <w:t>页签</w:t>
      </w:r>
      <w:r>
        <w:rPr>
          <w:rFonts w:hint="eastAsia"/>
          <w:lang w:eastAsia="zh-CN"/>
        </w:rPr>
        <w:t>，查看设备上已配置的认证方式白名单。</w:t>
      </w:r>
    </w:p>
    <w:p w14:paraId="0AD7FEF4">
      <w:pPr>
        <w:pStyle w:val="188"/>
      </w:pPr>
      <w:r>
        <w:rPr>
          <w:rFonts w:hint="eastAsia"/>
        </w:rPr>
        <w:t>认证方式白名单</w:t>
      </w:r>
      <w:r>
        <w:t>查看页面</w:t>
      </w:r>
    </w:p>
    <w:p w14:paraId="1B5C956F">
      <w:pPr>
        <w:pStyle w:val="175"/>
        <w:rPr>
          <w:rFonts w:cs="Cambria"/>
          <w:szCs w:val="21"/>
        </w:rPr>
      </w:pPr>
      <w:r>
        <w:drawing>
          <wp:inline distT="0" distB="0" distL="0" distR="0">
            <wp:extent cx="5257800" cy="3046730"/>
            <wp:effectExtent l="0" t="0" r="0" b="1270"/>
            <wp:docPr id="1802027851" name="图片 1802027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51" name="图片 1802027851"/>
                    <pic:cNvPicPr>
                      <a:picLocks noChangeAspect="1"/>
                    </pic:cNvPicPr>
                  </pic:nvPicPr>
                  <pic:blipFill>
                    <a:blip r:embed="rId1165"/>
                    <a:stretch>
                      <a:fillRect/>
                    </a:stretch>
                  </pic:blipFill>
                  <pic:spPr>
                    <a:xfrm>
                      <a:off x="0" y="0"/>
                      <a:ext cx="5275568" cy="3057071"/>
                    </a:xfrm>
                    <a:prstGeom prst="rect">
                      <a:avLst/>
                    </a:prstGeom>
                  </pic:spPr>
                </pic:pic>
              </a:graphicData>
            </a:graphic>
          </wp:inline>
        </w:drawing>
      </w:r>
    </w:p>
    <w:p w14:paraId="49DD7F0B"/>
    <w:p w14:paraId="515F99EB">
      <w:pPr>
        <w:pStyle w:val="202"/>
        <w:rPr>
          <w:lang w:eastAsia="zh-CN"/>
        </w:rPr>
      </w:pPr>
      <w:r>
        <w:rPr>
          <w:rFonts w:hint="eastAsia"/>
          <w:lang w:eastAsia="zh-CN"/>
        </w:rPr>
        <w:t>点击左上角的设置，可以配置流量放通的模式与放通流量的时间。</w:t>
      </w:r>
    </w:p>
    <w:p w14:paraId="5BA0ACCD">
      <w:pPr>
        <w:pStyle w:val="188"/>
      </w:pPr>
      <w:r>
        <w:rPr>
          <w:rFonts w:hint="eastAsia"/>
        </w:rPr>
        <w:t>认证流量放通设置</w:t>
      </w:r>
      <w:r>
        <w:t>页面</w:t>
      </w:r>
    </w:p>
    <w:p w14:paraId="3E122BE9">
      <w:r>
        <w:drawing>
          <wp:inline distT="0" distB="0" distL="0" distR="0">
            <wp:extent cx="4406265" cy="1747520"/>
            <wp:effectExtent l="0" t="0" r="0" b="5080"/>
            <wp:docPr id="1802027852" name="图片 1802027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52" name="图片 1802027852"/>
                    <pic:cNvPicPr>
                      <a:picLocks noChangeAspect="1"/>
                    </pic:cNvPicPr>
                  </pic:nvPicPr>
                  <pic:blipFill>
                    <a:blip r:embed="rId1166"/>
                    <a:stretch>
                      <a:fillRect/>
                    </a:stretch>
                  </pic:blipFill>
                  <pic:spPr>
                    <a:xfrm>
                      <a:off x="0" y="0"/>
                      <a:ext cx="4438257" cy="1760474"/>
                    </a:xfrm>
                    <a:prstGeom prst="rect">
                      <a:avLst/>
                    </a:prstGeom>
                  </pic:spPr>
                </pic:pic>
              </a:graphicData>
            </a:graphic>
          </wp:inline>
        </w:drawing>
      </w:r>
    </w:p>
    <w:p w14:paraId="5A2B51A6">
      <w:pPr>
        <w:spacing w:before="158" w:after="158"/>
      </w:pPr>
      <w:r>
        <w:rPr>
          <w:rFonts w:hint="eastAsia"/>
        </w:rPr>
        <w:t>详细配置请参见下表。</w:t>
      </w:r>
    </w:p>
    <w:p w14:paraId="4AE83C7F">
      <w:pPr>
        <w:pStyle w:val="183"/>
      </w:pPr>
      <w:r>
        <w:rPr>
          <w:rFonts w:hint="eastAsia"/>
        </w:rPr>
        <w:t>认证流量放通设置详细说明</w:t>
      </w:r>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894"/>
        <w:gridCol w:w="7076"/>
      </w:tblGrid>
      <w:tr w14:paraId="56BF31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94" w:type="dxa"/>
            <w:tcBorders>
              <w:tl2br w:val="nil"/>
              <w:tr2bl w:val="nil"/>
            </w:tcBorders>
            <w:shd w:val="clear" w:color="auto" w:fill="538135" w:themeFill="accent6" w:themeFillShade="BF"/>
            <w:vAlign w:val="center"/>
          </w:tcPr>
          <w:p w14:paraId="4A65C341">
            <w:pPr>
              <w:pStyle w:val="149"/>
              <w:wordWrap/>
              <w:rPr>
                <w:b/>
                <w:bCs/>
                <w:i w:val="0"/>
                <w:iCs w:val="0"/>
              </w:rPr>
            </w:pPr>
            <w:r>
              <w:rPr>
                <w:rFonts w:hint="eastAsia"/>
                <w:b/>
                <w:bCs/>
                <w:i w:val="0"/>
                <w:iCs w:val="0"/>
              </w:rPr>
              <w:t>标题</w:t>
            </w:r>
          </w:p>
        </w:tc>
        <w:tc>
          <w:tcPr>
            <w:tcW w:w="7076" w:type="dxa"/>
            <w:tcBorders>
              <w:tl2br w:val="nil"/>
              <w:tr2bl w:val="nil"/>
            </w:tcBorders>
            <w:shd w:val="clear" w:color="auto" w:fill="538135" w:themeFill="accent6" w:themeFillShade="BF"/>
            <w:vAlign w:val="center"/>
          </w:tcPr>
          <w:p w14:paraId="3D007CC4">
            <w:pPr>
              <w:pStyle w:val="149"/>
              <w:wordWrap/>
              <w:rPr>
                <w:b/>
                <w:bCs/>
                <w:i w:val="0"/>
                <w:iCs w:val="0"/>
              </w:rPr>
            </w:pPr>
            <w:r>
              <w:rPr>
                <w:rFonts w:hint="eastAsia"/>
                <w:b/>
                <w:bCs/>
                <w:i w:val="0"/>
                <w:iCs w:val="0"/>
              </w:rPr>
              <w:t>说明</w:t>
            </w:r>
          </w:p>
        </w:tc>
      </w:tr>
      <w:tr w14:paraId="3306316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94" w:type="dxa"/>
            <w:shd w:val="clear" w:color="auto" w:fill="auto"/>
          </w:tcPr>
          <w:p w14:paraId="7FCBEB11">
            <w:pPr>
              <w:pStyle w:val="150"/>
            </w:pPr>
            <w:r>
              <w:rPr>
                <w:rFonts w:hint="eastAsia"/>
              </w:rPr>
              <w:t>放通模式</w:t>
            </w:r>
          </w:p>
        </w:tc>
        <w:tc>
          <w:tcPr>
            <w:tcW w:w="7076" w:type="dxa"/>
            <w:shd w:val="clear" w:color="auto" w:fill="auto"/>
          </w:tcPr>
          <w:p w14:paraId="4D05DA98">
            <w:pPr>
              <w:pStyle w:val="150"/>
            </w:pPr>
            <w:r>
              <w:rPr>
                <w:rFonts w:hint="eastAsia"/>
              </w:rPr>
              <w:t>选择放通所有流量，用户在认证的时候，设备会将所有流量都放通，此时白名单中的条目不生效。</w:t>
            </w:r>
          </w:p>
          <w:p w14:paraId="749FD6F3">
            <w:pPr>
              <w:pStyle w:val="150"/>
            </w:pPr>
            <w:r>
              <w:rPr>
                <w:rFonts w:hint="eastAsia"/>
              </w:rPr>
              <w:t>选择放通指定流量，用户在认证的时候，设备只会将白名单中配置的条目进行流量放通</w:t>
            </w:r>
          </w:p>
        </w:tc>
      </w:tr>
      <w:tr w14:paraId="2B5339E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94" w:type="dxa"/>
            <w:shd w:val="clear" w:color="auto" w:fill="auto"/>
          </w:tcPr>
          <w:p w14:paraId="0FA1D91E">
            <w:pPr>
              <w:pStyle w:val="150"/>
            </w:pPr>
            <w:r>
              <w:rPr>
                <w:rFonts w:hint="eastAsia"/>
              </w:rPr>
              <w:t>放通时间</w:t>
            </w:r>
          </w:p>
        </w:tc>
        <w:tc>
          <w:tcPr>
            <w:tcW w:w="7076" w:type="dxa"/>
            <w:shd w:val="clear" w:color="auto" w:fill="auto"/>
          </w:tcPr>
          <w:p w14:paraId="4F131D2D">
            <w:pPr>
              <w:pStyle w:val="150"/>
            </w:pPr>
            <w:r>
              <w:rPr>
                <w:rFonts w:hint="eastAsia"/>
              </w:rPr>
              <w:t>设置认证流量放通的时间，默认为6</w:t>
            </w:r>
            <w:r>
              <w:t>0秒</w:t>
            </w:r>
            <w:r>
              <w:rPr>
                <w:rFonts w:hint="eastAsia"/>
              </w:rPr>
              <w:t>，</w:t>
            </w:r>
            <w:r>
              <w:t>范围为</w:t>
            </w:r>
            <w:r>
              <w:rPr>
                <w:rFonts w:hint="eastAsia"/>
              </w:rPr>
              <w:t>20-180 秒。</w:t>
            </w:r>
          </w:p>
        </w:tc>
      </w:tr>
    </w:tbl>
    <w:p w14:paraId="32E1956F"/>
    <w:p w14:paraId="132E8B7C">
      <w:r>
        <w:rPr>
          <w:rFonts w:hint="eastAsia"/>
        </w:rPr>
        <w:t>点击&lt;编辑&gt;，可配置自定义认证方式白名单。</w:t>
      </w:r>
    </w:p>
    <w:p w14:paraId="7BA9C472">
      <w:pPr>
        <w:pStyle w:val="188"/>
      </w:pPr>
      <w:r>
        <w:rPr>
          <w:rFonts w:hint="eastAsia"/>
        </w:rPr>
        <w:t>认证方式白名单配置</w:t>
      </w:r>
      <w:r>
        <w:t>页面</w:t>
      </w:r>
    </w:p>
    <w:p w14:paraId="3AE256A8">
      <w:pPr>
        <w:pStyle w:val="175"/>
      </w:pPr>
      <w:r>
        <w:drawing>
          <wp:inline distT="0" distB="0" distL="0" distR="0">
            <wp:extent cx="6120130" cy="3021965"/>
            <wp:effectExtent l="0" t="0" r="0" b="6985"/>
            <wp:docPr id="1802027853" name="图片 1802027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53" name="图片 1802027853"/>
                    <pic:cNvPicPr>
                      <a:picLocks noChangeAspect="1"/>
                    </pic:cNvPicPr>
                  </pic:nvPicPr>
                  <pic:blipFill>
                    <a:blip r:embed="rId1167"/>
                    <a:stretch>
                      <a:fillRect/>
                    </a:stretch>
                  </pic:blipFill>
                  <pic:spPr>
                    <a:xfrm>
                      <a:off x="0" y="0"/>
                      <a:ext cx="6120130" cy="3021965"/>
                    </a:xfrm>
                    <a:prstGeom prst="rect">
                      <a:avLst/>
                    </a:prstGeom>
                  </pic:spPr>
                </pic:pic>
              </a:graphicData>
            </a:graphic>
          </wp:inline>
        </w:drawing>
      </w:r>
    </w:p>
    <w:p w14:paraId="18232DA5">
      <w:pPr>
        <w:spacing w:before="158" w:after="158"/>
      </w:pPr>
      <w:r>
        <w:rPr>
          <w:rFonts w:hint="eastAsia"/>
        </w:rPr>
        <w:t>详细配置请参见下表。</w:t>
      </w:r>
    </w:p>
    <w:p w14:paraId="189AD8C7">
      <w:pPr>
        <w:pStyle w:val="183"/>
      </w:pPr>
      <w:r>
        <w:rPr>
          <w:rFonts w:hint="eastAsia"/>
        </w:rPr>
        <w:t>认证方式白名单配置详细说明</w:t>
      </w:r>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19"/>
        <w:gridCol w:w="6651"/>
      </w:tblGrid>
      <w:tr w14:paraId="7270755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19" w:type="dxa"/>
            <w:tcBorders>
              <w:tl2br w:val="nil"/>
              <w:tr2bl w:val="nil"/>
            </w:tcBorders>
            <w:shd w:val="clear" w:color="auto" w:fill="538135" w:themeFill="accent6" w:themeFillShade="BF"/>
            <w:vAlign w:val="center"/>
          </w:tcPr>
          <w:p w14:paraId="077B08DD">
            <w:pPr>
              <w:pStyle w:val="149"/>
              <w:wordWrap/>
              <w:rPr>
                <w:b/>
                <w:bCs/>
                <w:i w:val="0"/>
                <w:iCs w:val="0"/>
              </w:rPr>
            </w:pPr>
            <w:r>
              <w:rPr>
                <w:rFonts w:hint="eastAsia"/>
                <w:b/>
                <w:bCs/>
                <w:i w:val="0"/>
                <w:iCs w:val="0"/>
              </w:rPr>
              <w:t>标题</w:t>
            </w:r>
          </w:p>
        </w:tc>
        <w:tc>
          <w:tcPr>
            <w:tcW w:w="6651" w:type="dxa"/>
            <w:tcBorders>
              <w:tl2br w:val="nil"/>
              <w:tr2bl w:val="nil"/>
            </w:tcBorders>
            <w:shd w:val="clear" w:color="auto" w:fill="538135" w:themeFill="accent6" w:themeFillShade="BF"/>
            <w:vAlign w:val="center"/>
          </w:tcPr>
          <w:p w14:paraId="160FAD1A">
            <w:pPr>
              <w:pStyle w:val="149"/>
              <w:wordWrap/>
              <w:rPr>
                <w:b/>
                <w:bCs/>
                <w:i w:val="0"/>
                <w:iCs w:val="0"/>
              </w:rPr>
            </w:pPr>
            <w:r>
              <w:rPr>
                <w:rFonts w:hint="eastAsia"/>
                <w:b/>
                <w:bCs/>
                <w:i w:val="0"/>
                <w:iCs w:val="0"/>
              </w:rPr>
              <w:t>说明</w:t>
            </w:r>
          </w:p>
        </w:tc>
      </w:tr>
      <w:tr w14:paraId="505DF75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19" w:type="dxa"/>
            <w:shd w:val="clear" w:color="auto" w:fill="auto"/>
          </w:tcPr>
          <w:p w14:paraId="5F537675">
            <w:pPr>
              <w:pStyle w:val="150"/>
            </w:pPr>
            <w:r>
              <w:rPr>
                <w:rFonts w:hint="eastAsia"/>
              </w:rPr>
              <w:t>自定义</w:t>
            </w:r>
          </w:p>
        </w:tc>
        <w:tc>
          <w:tcPr>
            <w:tcW w:w="6651" w:type="dxa"/>
            <w:shd w:val="clear" w:color="auto" w:fill="auto"/>
          </w:tcPr>
          <w:p w14:paraId="1FF44225">
            <w:pPr>
              <w:pStyle w:val="150"/>
            </w:pPr>
            <w:r>
              <w:rPr>
                <w:rFonts w:hint="eastAsia"/>
              </w:rPr>
              <w:t>添加认证方式的自定义白名单，支持配置IPv4地址与域名。认证时，</w:t>
            </w:r>
          </w:p>
          <w:p w14:paraId="789A3E89">
            <w:pPr>
              <w:pStyle w:val="150"/>
            </w:pPr>
            <w:r>
              <w:rPr>
                <w:rFonts w:hint="eastAsia"/>
              </w:rPr>
              <w:t>将需要放通的域名或者IP地址配置到自定义中，起到流量放通的效果。</w:t>
            </w:r>
          </w:p>
        </w:tc>
      </w:tr>
    </w:tbl>
    <w:p w14:paraId="3FE6C243">
      <w:pPr>
        <w:snapToGrid w:val="0"/>
        <w:spacing w:before="158" w:after="158" w:line="276" w:lineRule="auto"/>
      </w:pPr>
    </w:p>
    <w:p w14:paraId="12B74F45">
      <w:pPr>
        <w:jc w:val="left"/>
      </w:pPr>
      <w:r>
        <w:br w:type="page"/>
      </w:r>
    </w:p>
    <w:p w14:paraId="1D68D61F">
      <w:pPr>
        <w:pStyle w:val="3"/>
      </w:pPr>
      <w:bookmarkStart w:id="9079" w:name="_Toc196728544"/>
      <w:bookmarkStart w:id="9080" w:name="_Toc174644770"/>
      <w:bookmarkStart w:id="9081" w:name="_Toc194081216"/>
      <w:bookmarkStart w:id="9082" w:name="_Ref50020538"/>
      <w:bookmarkStart w:id="9083" w:name="_Toc35875477"/>
      <w:bookmarkStart w:id="9084" w:name="_Toc79479597"/>
      <w:bookmarkStart w:id="9085" w:name="_Toc111107916"/>
      <w:bookmarkStart w:id="9086" w:name="_Toc35875779"/>
      <w:bookmarkStart w:id="9087" w:name="_Toc474250126"/>
      <w:r>
        <w:rPr>
          <w:rFonts w:hint="eastAsia"/>
        </w:rPr>
        <w:t>终端准入管理</w:t>
      </w:r>
      <w:bookmarkEnd w:id="9079"/>
      <w:bookmarkEnd w:id="9080"/>
      <w:bookmarkEnd w:id="9081"/>
    </w:p>
    <w:p w14:paraId="59EB24BF">
      <w:pPr>
        <w:pStyle w:val="4"/>
      </w:pPr>
      <w:bookmarkStart w:id="9088" w:name="_Toc194081217"/>
      <w:bookmarkStart w:id="9089" w:name="_Toc174644771"/>
      <w:bookmarkStart w:id="9090" w:name="_Toc196728545"/>
      <w:r>
        <w:rPr>
          <w:rFonts w:hint="eastAsia"/>
        </w:rPr>
        <w:t>概述</w:t>
      </w:r>
      <w:bookmarkEnd w:id="9088"/>
      <w:bookmarkEnd w:id="9089"/>
      <w:bookmarkEnd w:id="9090"/>
    </w:p>
    <w:p w14:paraId="2CEDAA26">
      <w:r>
        <w:rPr>
          <w:rFonts w:hint="eastAsia"/>
        </w:rPr>
        <w:t>设备与插件对接，通过给终端推送插件，让终端安装</w:t>
      </w:r>
      <w:r>
        <w:t>插件</w:t>
      </w:r>
      <w:r>
        <w:rPr>
          <w:rFonts w:hint="eastAsia"/>
        </w:rPr>
        <w:t>的</w:t>
      </w:r>
      <w:r>
        <w:t>方式，</w:t>
      </w:r>
      <w:r>
        <w:rPr>
          <w:rFonts w:hint="eastAsia"/>
        </w:rPr>
        <w:t>实现对用户</w:t>
      </w:r>
      <w:r>
        <w:t>终端</w:t>
      </w:r>
      <w:r>
        <w:rPr>
          <w:rFonts w:hint="eastAsia"/>
        </w:rPr>
        <w:t>的</w:t>
      </w:r>
      <w:r>
        <w:t>行为审计</w:t>
      </w:r>
      <w:r>
        <w:rPr>
          <w:rFonts w:hint="eastAsia"/>
        </w:rPr>
        <w:t>及控制，主要</w:t>
      </w:r>
      <w:r>
        <w:t>包括以下功能</w:t>
      </w:r>
      <w:r>
        <w:rPr>
          <w:rFonts w:hint="eastAsia"/>
        </w:rPr>
        <w:t>：</w:t>
      </w:r>
    </w:p>
    <w:p w14:paraId="34A549D3">
      <w:pPr>
        <w:pStyle w:val="162"/>
      </w:pPr>
      <w:r>
        <w:rPr>
          <w:rFonts w:hint="eastAsia"/>
        </w:rPr>
        <w:t>用户终端行为基础配置。</w:t>
      </w:r>
    </w:p>
    <w:p w14:paraId="440DEB35">
      <w:pPr>
        <w:pStyle w:val="162"/>
      </w:pPr>
      <w:r>
        <w:rPr>
          <w:rFonts w:hint="eastAsia"/>
        </w:rPr>
        <w:t>用户终端行为</w:t>
      </w:r>
      <w:r>
        <w:t>审计策略配置</w:t>
      </w:r>
      <w:r>
        <w:rPr>
          <w:rFonts w:hint="eastAsia"/>
        </w:rPr>
        <w:t>。</w:t>
      </w:r>
    </w:p>
    <w:p w14:paraId="65053C00">
      <w:pPr>
        <w:pStyle w:val="162"/>
      </w:pPr>
      <w:r>
        <w:rPr>
          <w:rFonts w:hint="eastAsia"/>
        </w:rPr>
        <w:t>规则对象配置。</w:t>
      </w:r>
    </w:p>
    <w:p w14:paraId="14DBAD7C">
      <w:pPr>
        <w:pStyle w:val="162"/>
      </w:pPr>
      <w:r>
        <w:rPr>
          <w:rFonts w:hint="eastAsia"/>
        </w:rPr>
        <w:t>准入策略配置。</w:t>
      </w:r>
    </w:p>
    <w:p w14:paraId="4A9B2D96">
      <w:pPr>
        <w:pStyle w:val="162"/>
      </w:pPr>
      <w:r>
        <w:rPr>
          <w:rFonts w:hint="eastAsia"/>
        </w:rPr>
        <w:t>设备作为控制器</w:t>
      </w:r>
      <w:r>
        <w:t>为用户终端推送插件。</w:t>
      </w:r>
    </w:p>
    <w:p w14:paraId="3E30AE88">
      <w:pPr>
        <w:pStyle w:val="162"/>
      </w:pPr>
      <w:r>
        <w:t>设备</w:t>
      </w:r>
      <w:r>
        <w:rPr>
          <w:rFonts w:hint="eastAsia"/>
        </w:rPr>
        <w:t>作为</w:t>
      </w:r>
      <w:r>
        <w:t>服务器接收</w:t>
      </w:r>
      <w:r>
        <w:rPr>
          <w:rFonts w:hint="eastAsia"/>
        </w:rPr>
        <w:t>和</w:t>
      </w:r>
      <w:r>
        <w:t>响应用户终端</w:t>
      </w:r>
      <w:r>
        <w:rPr>
          <w:rFonts w:hint="eastAsia"/>
        </w:rPr>
        <w:t>推送</w:t>
      </w:r>
      <w:r>
        <w:t>过</w:t>
      </w:r>
      <w:r>
        <w:rPr>
          <w:rFonts w:hint="eastAsia"/>
        </w:rPr>
        <w:t>来</w:t>
      </w:r>
      <w:r>
        <w:t>的</w:t>
      </w:r>
      <w:r>
        <w:rPr>
          <w:rFonts w:hint="eastAsia"/>
        </w:rPr>
        <w:t>消息。</w:t>
      </w:r>
      <w:r>
        <w:t>包括策略的获取</w:t>
      </w:r>
      <w:r>
        <w:rPr>
          <w:rFonts w:hint="eastAsia"/>
        </w:rPr>
        <w:t>、</w:t>
      </w:r>
      <w:r>
        <w:t>日志的接收</w:t>
      </w:r>
      <w:r>
        <w:rPr>
          <w:rFonts w:hint="eastAsia"/>
        </w:rPr>
        <w:t>、</w:t>
      </w:r>
      <w:r>
        <w:t>存储</w:t>
      </w:r>
      <w:r>
        <w:rPr>
          <w:rFonts w:hint="eastAsia"/>
        </w:rPr>
        <w:t>和</w:t>
      </w:r>
      <w:r>
        <w:t>展示</w:t>
      </w:r>
      <w:r>
        <w:rPr>
          <w:rFonts w:hint="eastAsia"/>
        </w:rPr>
        <w:t>。</w:t>
      </w:r>
    </w:p>
    <w:p w14:paraId="225F0995"/>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3537F048">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382DF787">
            <w:pPr>
              <w:pStyle w:val="150"/>
              <w:adjustRightInd w:val="0"/>
              <w:snapToGrid w:val="0"/>
              <w:rPr>
                <w:color w:val="auto"/>
              </w:rPr>
            </w:pPr>
            <w:r>
              <w:rPr>
                <w:b/>
                <w:color w:val="00A0E9"/>
              </w:rPr>
              <w:drawing>
                <wp:inline distT="0" distB="0" distL="0" distR="0">
                  <wp:extent cx="260350" cy="260350"/>
                  <wp:effectExtent l="0" t="0" r="6350" b="6350"/>
                  <wp:docPr id="943" name="图片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图片 943"/>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0470" cy="260470"/>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567DDA98">
            <w:pPr>
              <w:pStyle w:val="150"/>
              <w:adjustRightInd w:val="0"/>
              <w:snapToGrid w:val="0"/>
              <w:rPr>
                <w:color w:val="auto"/>
              </w:rPr>
            </w:pPr>
            <w:r>
              <w:rPr>
                <w:rFonts w:hint="eastAsia"/>
                <w:color w:val="auto"/>
              </w:rPr>
              <w:t>启用终端审计功能会监控并记录监管范围内用户电脑的浏览器行为、IM工具（如QQ、微信、钉钉等）的聊天记录、邮件收发情况、U盘传输记录以及系统日志等，可能会涉及用户的个人隐私数据。请管理员在开启客户端审计功能时，通知并取得被监管人员的同意！谨慎开启此功能！</w:t>
            </w:r>
          </w:p>
        </w:tc>
      </w:tr>
    </w:tbl>
    <w:p w14:paraId="59854B37"/>
    <w:p w14:paraId="32FF59F1">
      <w:pPr>
        <w:pStyle w:val="4"/>
      </w:pPr>
      <w:bookmarkStart w:id="9091" w:name="_Toc174644772"/>
      <w:bookmarkStart w:id="9092" w:name="_Toc194081218"/>
      <w:bookmarkStart w:id="9093" w:name="_Toc196728546"/>
      <w:r>
        <w:rPr>
          <w:rFonts w:hint="eastAsia"/>
        </w:rPr>
        <w:t>配置选项配置</w:t>
      </w:r>
      <w:bookmarkEnd w:id="9091"/>
      <w:bookmarkEnd w:id="9092"/>
      <w:bookmarkEnd w:id="9093"/>
    </w:p>
    <w:p w14:paraId="092A50F7">
      <w:pPr>
        <w:pStyle w:val="5"/>
      </w:pPr>
      <w:bookmarkStart w:id="9094" w:name="_Toc194081219"/>
      <w:bookmarkStart w:id="9095" w:name="_Toc174644773"/>
      <w:bookmarkStart w:id="9096" w:name="_Toc196728547"/>
      <w:r>
        <w:rPr>
          <w:rFonts w:hint="eastAsia"/>
        </w:rPr>
        <w:t>配置选项</w:t>
      </w:r>
      <w:bookmarkEnd w:id="9094"/>
      <w:bookmarkEnd w:id="9095"/>
      <w:bookmarkEnd w:id="9096"/>
    </w:p>
    <w:p w14:paraId="3770C21D">
      <w:r>
        <w:rPr>
          <w:rFonts w:hint="eastAsia"/>
        </w:rPr>
        <w:t>在导航栏中选择“用户管理&gt;终端准入管理&gt;配置选项”，进入“配置选项”设置页面，如下图所示。</w:t>
      </w:r>
    </w:p>
    <w:p w14:paraId="7BD396B7">
      <w:pPr>
        <w:pStyle w:val="188"/>
      </w:pPr>
      <w:r>
        <w:rPr>
          <w:rFonts w:hint="eastAsia"/>
        </w:rPr>
        <w:t>配置选项设置页面</w:t>
      </w:r>
    </w:p>
    <w:p w14:paraId="7F49F5EB">
      <w:pPr>
        <w:pStyle w:val="175"/>
      </w:pPr>
      <w:r>
        <w:drawing>
          <wp:inline distT="0" distB="0" distL="114300" distR="114300">
            <wp:extent cx="4695825" cy="4112260"/>
            <wp:effectExtent l="0" t="0" r="9525" b="2540"/>
            <wp:docPr id="6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图片 1"/>
                    <pic:cNvPicPr>
                      <a:picLocks noChangeAspect="1"/>
                    </pic:cNvPicPr>
                  </pic:nvPicPr>
                  <pic:blipFill>
                    <a:blip r:embed="rId1168"/>
                    <a:stretch>
                      <a:fillRect/>
                    </a:stretch>
                  </pic:blipFill>
                  <pic:spPr>
                    <a:xfrm>
                      <a:off x="0" y="0"/>
                      <a:ext cx="4695825" cy="4112260"/>
                    </a:xfrm>
                    <a:prstGeom prst="rect">
                      <a:avLst/>
                    </a:prstGeom>
                    <a:noFill/>
                    <a:ln>
                      <a:noFill/>
                    </a:ln>
                  </pic:spPr>
                </pic:pic>
              </a:graphicData>
            </a:graphic>
          </wp:inline>
        </w:drawing>
      </w:r>
    </w:p>
    <w:p w14:paraId="536C39EC"/>
    <w:p w14:paraId="79F6EED1">
      <w:pPr>
        <w:pStyle w:val="183"/>
      </w:pPr>
      <w:r>
        <w:rPr>
          <w:rFonts w:hint="eastAsia"/>
        </w:rPr>
        <w:t>配置选项界面的详细说明</w:t>
      </w:r>
    </w:p>
    <w:tbl>
      <w:tblPr>
        <w:tblStyle w:val="173"/>
        <w:tblW w:w="4605"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135"/>
        <w:gridCol w:w="6377"/>
      </w:tblGrid>
      <w:tr w14:paraId="64ED188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54" w:type="pct"/>
            <w:tcBorders>
              <w:tl2br w:val="nil"/>
              <w:tr2bl w:val="nil"/>
            </w:tcBorders>
            <w:shd w:val="clear" w:color="auto" w:fill="538135" w:themeFill="accent6" w:themeFillShade="BF"/>
            <w:vAlign w:val="center"/>
          </w:tcPr>
          <w:p w14:paraId="1134D133">
            <w:pPr>
              <w:pStyle w:val="149"/>
              <w:wordWrap/>
              <w:rPr>
                <w:b/>
                <w:bCs/>
                <w:i w:val="0"/>
                <w:iCs w:val="0"/>
              </w:rPr>
            </w:pPr>
            <w:r>
              <w:rPr>
                <w:rFonts w:hint="eastAsia"/>
                <w:b/>
                <w:bCs/>
                <w:i w:val="0"/>
                <w:iCs w:val="0"/>
              </w:rPr>
              <w:t>项目</w:t>
            </w:r>
          </w:p>
        </w:tc>
        <w:tc>
          <w:tcPr>
            <w:tcW w:w="3745" w:type="pct"/>
            <w:tcBorders>
              <w:tl2br w:val="nil"/>
              <w:tr2bl w:val="nil"/>
            </w:tcBorders>
            <w:shd w:val="clear" w:color="auto" w:fill="538135" w:themeFill="accent6" w:themeFillShade="BF"/>
            <w:vAlign w:val="center"/>
          </w:tcPr>
          <w:p w14:paraId="324A3C03">
            <w:pPr>
              <w:pStyle w:val="149"/>
              <w:wordWrap/>
              <w:rPr>
                <w:b/>
                <w:bCs/>
                <w:i w:val="0"/>
                <w:iCs w:val="0"/>
              </w:rPr>
            </w:pPr>
            <w:r>
              <w:rPr>
                <w:rFonts w:hint="eastAsia"/>
                <w:b/>
                <w:bCs/>
                <w:i w:val="0"/>
                <w:iCs w:val="0"/>
              </w:rPr>
              <w:t>说明</w:t>
            </w:r>
          </w:p>
        </w:tc>
      </w:tr>
      <w:tr w14:paraId="2DF517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54" w:type="pct"/>
            <w:shd w:val="clear" w:color="auto" w:fill="auto"/>
          </w:tcPr>
          <w:p w14:paraId="76D3D4C7">
            <w:pPr>
              <w:pStyle w:val="150"/>
            </w:pPr>
            <w:r>
              <w:rPr>
                <w:rFonts w:hint="eastAsia"/>
              </w:rPr>
              <w:t>监听服务</w:t>
            </w:r>
          </w:p>
        </w:tc>
        <w:tc>
          <w:tcPr>
            <w:tcW w:w="3745" w:type="pct"/>
            <w:shd w:val="clear" w:color="auto" w:fill="auto"/>
          </w:tcPr>
          <w:p w14:paraId="3796C44A">
            <w:pPr>
              <w:pStyle w:val="150"/>
            </w:pPr>
            <w:r>
              <w:rPr>
                <w:rFonts w:hint="eastAsia"/>
              </w:rPr>
              <w:t>启用/禁用终端准入管理功能。</w:t>
            </w:r>
          </w:p>
        </w:tc>
      </w:tr>
      <w:tr w14:paraId="69C64A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54" w:type="pct"/>
            <w:shd w:val="clear" w:color="auto" w:fill="auto"/>
          </w:tcPr>
          <w:p w14:paraId="2E893629">
            <w:pPr>
              <w:pStyle w:val="150"/>
            </w:pPr>
            <w:r>
              <w:rPr>
                <w:rFonts w:hint="eastAsia"/>
              </w:rPr>
              <w:t>HTTPS加密传输</w:t>
            </w:r>
          </w:p>
        </w:tc>
        <w:tc>
          <w:tcPr>
            <w:tcW w:w="3745" w:type="pct"/>
            <w:shd w:val="clear" w:color="auto" w:fill="auto"/>
          </w:tcPr>
          <w:p w14:paraId="60EF82CF">
            <w:pPr>
              <w:pStyle w:val="150"/>
            </w:pPr>
            <w:r>
              <w:rPr>
                <w:rFonts w:hint="eastAsia"/>
              </w:rPr>
              <w:t>启用时，设备和</w:t>
            </w:r>
            <w:r>
              <w:t>终端</w:t>
            </w:r>
            <w:r>
              <w:rPr>
                <w:rFonts w:hint="eastAsia"/>
              </w:rPr>
              <w:t>插件之间使用HTTPS加密传输；</w:t>
            </w:r>
          </w:p>
          <w:p w14:paraId="5F7A16B7">
            <w:pPr>
              <w:pStyle w:val="150"/>
            </w:pPr>
            <w:r>
              <w:rPr>
                <w:rFonts w:hint="eastAsia"/>
              </w:rPr>
              <w:t>不启用时，设备和</w:t>
            </w:r>
            <w:r>
              <w:t>终端</w:t>
            </w:r>
            <w:r>
              <w:rPr>
                <w:rFonts w:hint="eastAsia"/>
              </w:rPr>
              <w:t>插件之间使用HTTP传输。</w:t>
            </w:r>
          </w:p>
        </w:tc>
      </w:tr>
      <w:tr w14:paraId="7BDBB1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54" w:type="pct"/>
            <w:shd w:val="clear" w:color="auto" w:fill="auto"/>
          </w:tcPr>
          <w:p w14:paraId="771DC51D">
            <w:pPr>
              <w:pStyle w:val="150"/>
            </w:pPr>
            <w:r>
              <w:rPr>
                <w:rFonts w:hint="eastAsia"/>
              </w:rPr>
              <w:t>保活周期</w:t>
            </w:r>
          </w:p>
        </w:tc>
        <w:tc>
          <w:tcPr>
            <w:tcW w:w="3745" w:type="pct"/>
            <w:shd w:val="clear" w:color="auto" w:fill="auto"/>
          </w:tcPr>
          <w:p w14:paraId="4C1FD282">
            <w:pPr>
              <w:pStyle w:val="150"/>
            </w:pPr>
            <w:r>
              <w:rPr>
                <w:rFonts w:hint="eastAsia"/>
              </w:rPr>
              <w:t>终端PC向设备发送保活报文</w:t>
            </w:r>
            <w:r>
              <w:t>的间隔时间，</w:t>
            </w:r>
            <w:r>
              <w:rPr>
                <w:rFonts w:hint="eastAsia"/>
              </w:rPr>
              <w:t>可</w:t>
            </w:r>
            <w:r>
              <w:t>配置范围为60-7200</w:t>
            </w:r>
            <w:r>
              <w:rPr>
                <w:rFonts w:hint="eastAsia"/>
              </w:rPr>
              <w:t>秒。</w:t>
            </w:r>
          </w:p>
        </w:tc>
      </w:tr>
      <w:tr w14:paraId="6814B0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54" w:type="pct"/>
            <w:shd w:val="clear" w:color="auto" w:fill="auto"/>
          </w:tcPr>
          <w:p w14:paraId="36354109">
            <w:pPr>
              <w:pStyle w:val="150"/>
            </w:pPr>
            <w:r>
              <w:rPr>
                <w:rFonts w:hint="eastAsia"/>
              </w:rPr>
              <w:t>客户端卸载密码</w:t>
            </w:r>
          </w:p>
        </w:tc>
        <w:tc>
          <w:tcPr>
            <w:tcW w:w="3745" w:type="pct"/>
            <w:shd w:val="clear" w:color="auto" w:fill="auto"/>
          </w:tcPr>
          <w:p w14:paraId="340CBF53">
            <w:pPr>
              <w:pStyle w:val="150"/>
            </w:pPr>
            <w:r>
              <w:rPr>
                <w:rFonts w:hint="eastAsia"/>
              </w:rPr>
              <w:t>启用并配置客户端卸载密码后，终端卸载插件时需要输入配置的密码。</w:t>
            </w:r>
          </w:p>
        </w:tc>
      </w:tr>
      <w:tr w14:paraId="2B9AA3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54" w:type="pct"/>
            <w:shd w:val="clear" w:color="auto" w:fill="auto"/>
          </w:tcPr>
          <w:p w14:paraId="7CCFF759">
            <w:pPr>
              <w:pStyle w:val="150"/>
            </w:pPr>
            <w:r>
              <w:rPr>
                <w:rFonts w:hint="eastAsia"/>
              </w:rPr>
              <w:t>推送模式</w:t>
            </w:r>
          </w:p>
        </w:tc>
        <w:tc>
          <w:tcPr>
            <w:tcW w:w="3745" w:type="pct"/>
            <w:shd w:val="clear" w:color="auto" w:fill="auto"/>
          </w:tcPr>
          <w:p w14:paraId="5150FEBA">
            <w:pPr>
              <w:pStyle w:val="207"/>
              <w:tabs>
                <w:tab w:val="left" w:pos="1134"/>
              </w:tabs>
              <w:rPr>
                <w:lang w:eastAsia="zh-CN"/>
              </w:rPr>
            </w:pPr>
            <w:r>
              <w:rPr>
                <w:rFonts w:hint="eastAsia"/>
                <w:lang w:eastAsia="zh-CN"/>
              </w:rPr>
              <w:t>系统Portal推送客户端：如果在推送IP范围内的终端没有安装插件，终端访问外网会重定向到插件下载页面。</w:t>
            </w:r>
          </w:p>
          <w:p w14:paraId="2B4906E7">
            <w:pPr>
              <w:pStyle w:val="207"/>
              <w:tabs>
                <w:tab w:val="left" w:pos="1134"/>
              </w:tabs>
              <w:rPr>
                <w:lang w:eastAsia="zh-CN"/>
              </w:rPr>
            </w:pPr>
            <w:r>
              <w:rPr>
                <w:rFonts w:hint="eastAsia"/>
                <w:lang w:eastAsia="zh-CN"/>
              </w:rPr>
              <w:t>客户端准入控制静默模式：不会进行插件推送行为。</w:t>
            </w:r>
          </w:p>
        </w:tc>
      </w:tr>
      <w:tr w14:paraId="272438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54" w:type="pct"/>
            <w:shd w:val="clear" w:color="auto" w:fill="auto"/>
          </w:tcPr>
          <w:p w14:paraId="668DF861">
            <w:pPr>
              <w:pStyle w:val="150"/>
            </w:pPr>
            <w:r>
              <w:rPr>
                <w:rFonts w:hint="eastAsia"/>
              </w:rPr>
              <w:t>未安装插件</w:t>
            </w:r>
          </w:p>
        </w:tc>
        <w:tc>
          <w:tcPr>
            <w:tcW w:w="3745" w:type="pct"/>
            <w:shd w:val="clear" w:color="auto" w:fill="auto"/>
          </w:tcPr>
          <w:p w14:paraId="6F7E94ED">
            <w:pPr>
              <w:pStyle w:val="150"/>
            </w:pPr>
            <w:r>
              <w:rPr>
                <w:rFonts w:hint="eastAsia"/>
              </w:rPr>
              <w:t>设置对于未安装插件终端的处理方式：</w:t>
            </w:r>
          </w:p>
          <w:p w14:paraId="66243351">
            <w:pPr>
              <w:pStyle w:val="207"/>
              <w:tabs>
                <w:tab w:val="left" w:pos="1134"/>
              </w:tabs>
              <w:rPr>
                <w:lang w:eastAsia="zh-CN"/>
              </w:rPr>
            </w:pPr>
            <w:r>
              <w:rPr>
                <w:rFonts w:hint="eastAsia"/>
                <w:lang w:eastAsia="zh-CN"/>
              </w:rPr>
              <w:t>视为检查失败，禁止上网：如果在推送IP地址范围内的终端未安装插件，终端访问网络会被阻断。</w:t>
            </w:r>
          </w:p>
          <w:p w14:paraId="15D1A7EF">
            <w:pPr>
              <w:pStyle w:val="207"/>
              <w:tabs>
                <w:tab w:val="left" w:pos="1134"/>
              </w:tabs>
              <w:rPr>
                <w:lang w:eastAsia="zh-CN"/>
              </w:rPr>
            </w:pPr>
            <w:r>
              <w:rPr>
                <w:rFonts w:hint="eastAsia"/>
                <w:lang w:eastAsia="zh-CN"/>
              </w:rPr>
              <w:t>允许上网：如果在推送IP地址范围内的终端未安装插件，终端可以正常访问网络。</w:t>
            </w:r>
          </w:p>
        </w:tc>
      </w:tr>
      <w:tr w14:paraId="1A2919D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54" w:type="pct"/>
            <w:shd w:val="clear" w:color="auto" w:fill="auto"/>
          </w:tcPr>
          <w:p w14:paraId="33A47E39">
            <w:pPr>
              <w:pStyle w:val="150"/>
            </w:pPr>
            <w:r>
              <w:rPr>
                <w:rFonts w:hint="eastAsia"/>
              </w:rPr>
              <w:t>推送IP地址范围</w:t>
            </w:r>
          </w:p>
        </w:tc>
        <w:tc>
          <w:tcPr>
            <w:tcW w:w="3745" w:type="pct"/>
            <w:shd w:val="clear" w:color="auto" w:fill="auto"/>
          </w:tcPr>
          <w:p w14:paraId="488B1172">
            <w:pPr>
              <w:pStyle w:val="150"/>
            </w:pPr>
            <w:r>
              <w:rPr>
                <w:rFonts w:hint="eastAsia"/>
              </w:rPr>
              <w:t>设置</w:t>
            </w:r>
            <w:r>
              <w:t>推送插件的客户端地址范围，支持</w:t>
            </w:r>
            <w:r>
              <w:rPr>
                <w:rFonts w:hint="eastAsia"/>
              </w:rPr>
              <w:t>IPv4和I</w:t>
            </w:r>
            <w:r>
              <w:t>Pv6</w:t>
            </w:r>
            <w:r>
              <w:rPr>
                <w:rFonts w:hint="eastAsia"/>
              </w:rPr>
              <w:t>地址</w:t>
            </w:r>
            <w:r>
              <w:t>，</w:t>
            </w:r>
            <w:r>
              <w:rPr>
                <w:rFonts w:hint="eastAsia"/>
              </w:rPr>
              <w:t>最多</w:t>
            </w:r>
            <w:r>
              <w:t>支持16</w:t>
            </w:r>
            <w:r>
              <w:rPr>
                <w:rFonts w:hint="eastAsia"/>
              </w:rPr>
              <w:t>条</w:t>
            </w:r>
            <w:r>
              <w:t>配置。</w:t>
            </w:r>
          </w:p>
        </w:tc>
      </w:tr>
      <w:tr w14:paraId="63168A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54" w:type="pct"/>
            <w:shd w:val="clear" w:color="auto" w:fill="auto"/>
          </w:tcPr>
          <w:p w14:paraId="35D1BF6D">
            <w:pPr>
              <w:pStyle w:val="150"/>
            </w:pPr>
            <w:r>
              <w:rPr>
                <w:rFonts w:hint="eastAsia"/>
              </w:rPr>
              <w:t>准入插件安装包</w:t>
            </w:r>
          </w:p>
        </w:tc>
        <w:tc>
          <w:tcPr>
            <w:tcW w:w="3745" w:type="pct"/>
            <w:shd w:val="clear" w:color="auto" w:fill="auto"/>
          </w:tcPr>
          <w:p w14:paraId="4AA97C68">
            <w:pPr>
              <w:pStyle w:val="150"/>
            </w:pPr>
            <w:r>
              <w:rPr>
                <w:rFonts w:hint="eastAsia"/>
              </w:rPr>
              <w:t>客户端</w:t>
            </w:r>
            <w:r>
              <w:t>安装的插件</w:t>
            </w:r>
            <w:r>
              <w:rPr>
                <w:rFonts w:hint="eastAsia"/>
              </w:rPr>
              <w:t>文件</w:t>
            </w:r>
            <w:r>
              <w:t>，</w:t>
            </w:r>
            <w:r>
              <w:rPr>
                <w:rFonts w:hint="eastAsia"/>
              </w:rPr>
              <w:t>设备上</w:t>
            </w:r>
            <w:r>
              <w:t>默认没有插件文件，需要手动上传</w:t>
            </w:r>
            <w:r>
              <w:rPr>
                <w:rFonts w:hint="eastAsia"/>
              </w:rPr>
              <w:t>，单击“选择文件”上传</w:t>
            </w:r>
            <w:r>
              <w:t>。</w:t>
            </w:r>
          </w:p>
        </w:tc>
      </w:tr>
    </w:tbl>
    <w:p w14:paraId="72C79AF4"/>
    <w:p w14:paraId="6E907C2C">
      <w:pPr>
        <w:pStyle w:val="5"/>
      </w:pPr>
      <w:bookmarkStart w:id="9097" w:name="_Toc194081220"/>
      <w:bookmarkStart w:id="9098" w:name="_Toc196728548"/>
      <w:bookmarkStart w:id="9099" w:name="_Toc174644774"/>
      <w:r>
        <w:rPr>
          <w:rFonts w:hint="eastAsia"/>
        </w:rPr>
        <w:t>插件模板设置</w:t>
      </w:r>
      <w:bookmarkEnd w:id="9097"/>
      <w:bookmarkEnd w:id="9098"/>
      <w:bookmarkEnd w:id="9099"/>
    </w:p>
    <w:p w14:paraId="37F895CD">
      <w:r>
        <w:rPr>
          <w:rFonts w:hint="eastAsia"/>
        </w:rPr>
        <w:t>在导航栏中选择“用户管理&gt;终端准入管理&gt;配置选项”，单击选择“插件</w:t>
      </w:r>
      <w:r>
        <w:t>模板设置</w:t>
      </w:r>
      <w:r>
        <w:rPr>
          <w:rFonts w:hint="eastAsia"/>
        </w:rPr>
        <w:t>”标签页，进入插件</w:t>
      </w:r>
      <w:r>
        <w:t>模板设置</w:t>
      </w:r>
      <w:r>
        <w:rPr>
          <w:rFonts w:hint="eastAsia"/>
        </w:rPr>
        <w:t>页面，可以预览或编辑插件推送的页面样式。如下图所示。</w:t>
      </w:r>
    </w:p>
    <w:p w14:paraId="5697B004">
      <w:pPr>
        <w:pStyle w:val="188"/>
      </w:pPr>
      <w:r>
        <w:rPr>
          <w:rFonts w:hint="eastAsia"/>
        </w:rPr>
        <w:t>插件模板设置页面</w:t>
      </w:r>
    </w:p>
    <w:p w14:paraId="14485B6D">
      <w:pPr>
        <w:pStyle w:val="175"/>
      </w:pPr>
      <w:r>
        <w:drawing>
          <wp:inline distT="0" distB="0" distL="0" distR="0">
            <wp:extent cx="5803900" cy="727075"/>
            <wp:effectExtent l="0" t="0" r="6350" b="15875"/>
            <wp:docPr id="643" name="图片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643"/>
                    <pic:cNvPicPr>
                      <a:picLocks noChangeAspect="1"/>
                    </pic:cNvPicPr>
                  </pic:nvPicPr>
                  <pic:blipFill>
                    <a:blip r:embed="rId1169">
                      <a:extLst>
                        <a:ext uri="{28A0092B-C50C-407E-A947-70E740481C1C}">
                          <a14:useLocalDpi xmlns:a14="http://schemas.microsoft.com/office/drawing/2010/main" val="0"/>
                        </a:ext>
                      </a:extLst>
                    </a:blip>
                    <a:stretch>
                      <a:fillRect/>
                    </a:stretch>
                  </pic:blipFill>
                  <pic:spPr>
                    <a:xfrm>
                      <a:off x="0" y="0"/>
                      <a:ext cx="5803900" cy="727075"/>
                    </a:xfrm>
                    <a:prstGeom prst="rect">
                      <a:avLst/>
                    </a:prstGeom>
                  </pic:spPr>
                </pic:pic>
              </a:graphicData>
            </a:graphic>
          </wp:inline>
        </w:drawing>
      </w:r>
    </w:p>
    <w:p w14:paraId="36E8337F"/>
    <w:p w14:paraId="050C733F">
      <w:pPr>
        <w:pStyle w:val="183"/>
      </w:pPr>
      <w:r>
        <w:rPr>
          <w:rFonts w:hint="eastAsia"/>
        </w:rPr>
        <w:t>插件模板设置页面的详细说明</w:t>
      </w:r>
    </w:p>
    <w:tbl>
      <w:tblPr>
        <w:tblStyle w:val="173"/>
        <w:tblW w:w="4605"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137"/>
        <w:gridCol w:w="6375"/>
      </w:tblGrid>
      <w:tr w14:paraId="2353844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55" w:type="pct"/>
            <w:tcBorders>
              <w:tl2br w:val="nil"/>
              <w:tr2bl w:val="nil"/>
            </w:tcBorders>
            <w:shd w:val="clear" w:color="auto" w:fill="538135" w:themeFill="accent6" w:themeFillShade="BF"/>
            <w:vAlign w:val="center"/>
          </w:tcPr>
          <w:p w14:paraId="49ADDEC6">
            <w:pPr>
              <w:pStyle w:val="149"/>
              <w:wordWrap/>
              <w:rPr>
                <w:b/>
                <w:bCs/>
                <w:i w:val="0"/>
                <w:iCs w:val="0"/>
              </w:rPr>
            </w:pPr>
            <w:r>
              <w:rPr>
                <w:rFonts w:hint="eastAsia"/>
                <w:b/>
                <w:bCs/>
                <w:i w:val="0"/>
                <w:iCs w:val="0"/>
              </w:rPr>
              <w:t>项目</w:t>
            </w:r>
          </w:p>
        </w:tc>
        <w:tc>
          <w:tcPr>
            <w:tcW w:w="3745" w:type="pct"/>
            <w:tcBorders>
              <w:tl2br w:val="nil"/>
              <w:tr2bl w:val="nil"/>
            </w:tcBorders>
            <w:shd w:val="clear" w:color="auto" w:fill="538135" w:themeFill="accent6" w:themeFillShade="BF"/>
            <w:vAlign w:val="center"/>
          </w:tcPr>
          <w:p w14:paraId="2E48362F">
            <w:pPr>
              <w:pStyle w:val="149"/>
              <w:wordWrap/>
              <w:rPr>
                <w:b/>
                <w:bCs/>
                <w:i w:val="0"/>
                <w:iCs w:val="0"/>
              </w:rPr>
            </w:pPr>
            <w:r>
              <w:rPr>
                <w:rFonts w:hint="eastAsia"/>
                <w:b/>
                <w:bCs/>
                <w:i w:val="0"/>
                <w:iCs w:val="0"/>
              </w:rPr>
              <w:t>说明</w:t>
            </w:r>
          </w:p>
        </w:tc>
      </w:tr>
      <w:tr w14:paraId="5F513D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55" w:type="pct"/>
            <w:shd w:val="clear" w:color="auto" w:fill="auto"/>
          </w:tcPr>
          <w:p w14:paraId="5605DA5A">
            <w:pPr>
              <w:pStyle w:val="150"/>
            </w:pPr>
            <w:r>
              <w:rPr>
                <w:rFonts w:hint="eastAsia"/>
              </w:rPr>
              <w:t>预览</w:t>
            </w:r>
          </w:p>
        </w:tc>
        <w:tc>
          <w:tcPr>
            <w:tcW w:w="3745" w:type="pct"/>
            <w:shd w:val="clear" w:color="auto" w:fill="auto"/>
          </w:tcPr>
          <w:p w14:paraId="39968AA2">
            <w:pPr>
              <w:pStyle w:val="150"/>
            </w:pPr>
            <w:r>
              <w:rPr>
                <w:rFonts w:hint="eastAsia"/>
              </w:rPr>
              <w:t>预览客户端推送插件的页面样式</w:t>
            </w:r>
          </w:p>
        </w:tc>
      </w:tr>
      <w:tr w14:paraId="1C6073E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55" w:type="pct"/>
            <w:shd w:val="clear" w:color="auto" w:fill="auto"/>
          </w:tcPr>
          <w:p w14:paraId="4ABD7A61">
            <w:pPr>
              <w:pStyle w:val="150"/>
            </w:pPr>
            <w:r>
              <w:rPr>
                <w:rFonts w:hint="eastAsia"/>
              </w:rPr>
              <w:t>编辑</w:t>
            </w:r>
          </w:p>
        </w:tc>
        <w:tc>
          <w:tcPr>
            <w:tcW w:w="3745" w:type="pct"/>
            <w:shd w:val="clear" w:color="auto" w:fill="auto"/>
          </w:tcPr>
          <w:p w14:paraId="620CB3F4">
            <w:pPr>
              <w:pStyle w:val="150"/>
            </w:pPr>
            <w:r>
              <w:rPr>
                <w:rFonts w:hint="eastAsia"/>
              </w:rPr>
              <w:t>插件页面样式的自定义配置：标签页名称、欢迎词、登录按钮的颜色以及logo 图片，背景图片的设置。</w:t>
            </w:r>
          </w:p>
        </w:tc>
      </w:tr>
      <w:tr w14:paraId="72A291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55" w:type="pct"/>
            <w:shd w:val="clear" w:color="auto" w:fill="auto"/>
          </w:tcPr>
          <w:p w14:paraId="3B4A4938">
            <w:pPr>
              <w:pStyle w:val="150"/>
            </w:pPr>
            <w:r>
              <w:rPr>
                <w:rFonts w:hint="eastAsia"/>
              </w:rPr>
              <w:t>重置</w:t>
            </w:r>
          </w:p>
        </w:tc>
        <w:tc>
          <w:tcPr>
            <w:tcW w:w="3745" w:type="pct"/>
            <w:shd w:val="clear" w:color="auto" w:fill="auto"/>
          </w:tcPr>
          <w:p w14:paraId="2BE7B1F3">
            <w:pPr>
              <w:pStyle w:val="150"/>
            </w:pPr>
            <w:r>
              <w:rPr>
                <w:rFonts w:hint="eastAsia"/>
              </w:rPr>
              <w:t>插件模板恢复默认值</w:t>
            </w:r>
          </w:p>
        </w:tc>
      </w:tr>
    </w:tbl>
    <w:p w14:paraId="61B45CEC"/>
    <w:p w14:paraId="5F5DB4F5">
      <w:pPr>
        <w:pStyle w:val="4"/>
      </w:pPr>
      <w:bookmarkStart w:id="9100" w:name="_Toc196728549"/>
      <w:bookmarkStart w:id="9101" w:name="_Toc174644775"/>
      <w:bookmarkStart w:id="9102" w:name="_Toc194081221"/>
      <w:r>
        <w:rPr>
          <w:rFonts w:hint="eastAsia"/>
        </w:rPr>
        <w:t>配置终端审计策略</w:t>
      </w:r>
      <w:bookmarkEnd w:id="9100"/>
      <w:bookmarkEnd w:id="9101"/>
      <w:bookmarkEnd w:id="9102"/>
    </w:p>
    <w:p w14:paraId="28F3F213">
      <w:r>
        <w:rPr>
          <w:rFonts w:hint="eastAsia"/>
        </w:rPr>
        <w:t>在导航栏中选择“用户管理&gt;终端准入管理&gt;审计策略”，进入“终端审计”配置页面。如下图所示。</w:t>
      </w:r>
    </w:p>
    <w:p w14:paraId="319A78ED">
      <w:pPr>
        <w:pStyle w:val="188"/>
      </w:pPr>
      <w:r>
        <w:rPr>
          <w:rFonts w:hint="eastAsia"/>
        </w:rPr>
        <w:t>终端审计配置页面</w:t>
      </w:r>
    </w:p>
    <w:p w14:paraId="0E1DF484">
      <w:pPr>
        <w:pStyle w:val="175"/>
      </w:pPr>
      <w:r>
        <w:drawing>
          <wp:inline distT="0" distB="0" distL="114300" distR="114300">
            <wp:extent cx="4605020" cy="3467100"/>
            <wp:effectExtent l="0" t="0" r="5080" b="0"/>
            <wp:docPr id="6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5"/>
                    <pic:cNvPicPr>
                      <a:picLocks noChangeAspect="1"/>
                    </pic:cNvPicPr>
                  </pic:nvPicPr>
                  <pic:blipFill>
                    <a:blip r:embed="rId1170"/>
                    <a:srcRect r="4819" b="8403"/>
                    <a:stretch>
                      <a:fillRect/>
                    </a:stretch>
                  </pic:blipFill>
                  <pic:spPr>
                    <a:xfrm>
                      <a:off x="0" y="0"/>
                      <a:ext cx="4622045" cy="3479770"/>
                    </a:xfrm>
                    <a:prstGeom prst="rect">
                      <a:avLst/>
                    </a:prstGeom>
                    <a:noFill/>
                    <a:ln>
                      <a:noFill/>
                    </a:ln>
                  </pic:spPr>
                </pic:pic>
              </a:graphicData>
            </a:graphic>
          </wp:inline>
        </w:drawing>
      </w:r>
    </w:p>
    <w:p w14:paraId="2E3A2C51"/>
    <w:p w14:paraId="08C2FA64">
      <w:pPr>
        <w:pStyle w:val="183"/>
      </w:pPr>
      <w:r>
        <w:rPr>
          <w:rFonts w:hint="eastAsia"/>
        </w:rPr>
        <w:t>终端审计配置详细说明</w:t>
      </w:r>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85"/>
        <w:gridCol w:w="6930"/>
      </w:tblGrid>
      <w:tr w14:paraId="293DECF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tcBorders>
              <w:tl2br w:val="nil"/>
              <w:tr2bl w:val="nil"/>
            </w:tcBorders>
            <w:shd w:val="clear" w:color="auto" w:fill="538135" w:themeFill="accent6" w:themeFillShade="BF"/>
            <w:vAlign w:val="center"/>
          </w:tcPr>
          <w:p w14:paraId="3B0C9570">
            <w:pPr>
              <w:pStyle w:val="149"/>
              <w:wordWrap/>
              <w:rPr>
                <w:b/>
                <w:bCs/>
                <w:i w:val="0"/>
                <w:iCs w:val="0"/>
              </w:rPr>
            </w:pPr>
            <w:r>
              <w:rPr>
                <w:rFonts w:hint="eastAsia"/>
                <w:b/>
                <w:bCs/>
                <w:i w:val="0"/>
                <w:iCs w:val="0"/>
              </w:rPr>
              <w:t>项目</w:t>
            </w:r>
          </w:p>
        </w:tc>
        <w:tc>
          <w:tcPr>
            <w:tcW w:w="6930" w:type="dxa"/>
            <w:tcBorders>
              <w:tl2br w:val="nil"/>
              <w:tr2bl w:val="nil"/>
            </w:tcBorders>
            <w:shd w:val="clear" w:color="auto" w:fill="538135" w:themeFill="accent6" w:themeFillShade="BF"/>
            <w:vAlign w:val="center"/>
          </w:tcPr>
          <w:p w14:paraId="6CCDAB9F">
            <w:pPr>
              <w:pStyle w:val="149"/>
              <w:wordWrap/>
              <w:rPr>
                <w:b/>
                <w:bCs/>
                <w:i w:val="0"/>
                <w:iCs w:val="0"/>
              </w:rPr>
            </w:pPr>
            <w:r>
              <w:rPr>
                <w:rFonts w:hint="eastAsia"/>
                <w:b/>
                <w:bCs/>
                <w:i w:val="0"/>
                <w:iCs w:val="0"/>
              </w:rPr>
              <w:t>说明</w:t>
            </w:r>
          </w:p>
        </w:tc>
      </w:tr>
      <w:tr w14:paraId="46364C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20" w:hRule="atLeast"/>
        </w:trPr>
        <w:tc>
          <w:tcPr>
            <w:tcW w:w="2085" w:type="dxa"/>
            <w:shd w:val="clear" w:color="auto" w:fill="auto"/>
          </w:tcPr>
          <w:p w14:paraId="47B8C9D3">
            <w:pPr>
              <w:pStyle w:val="150"/>
            </w:pPr>
            <w:r>
              <w:rPr>
                <w:rFonts w:hint="eastAsia"/>
              </w:rPr>
              <w:t>启用审计</w:t>
            </w:r>
          </w:p>
        </w:tc>
        <w:tc>
          <w:tcPr>
            <w:tcW w:w="6930" w:type="dxa"/>
            <w:shd w:val="clear" w:color="auto" w:fill="auto"/>
          </w:tcPr>
          <w:p w14:paraId="1723746E">
            <w:pPr>
              <w:pStyle w:val="150"/>
            </w:pPr>
            <w:r>
              <w:rPr>
                <w:rFonts w:hint="eastAsia"/>
              </w:rPr>
              <w:t>启用/禁用审计。禁用后，插件对终端PC所有行为都不进行审计。</w:t>
            </w:r>
          </w:p>
        </w:tc>
      </w:tr>
      <w:tr w14:paraId="6885A8E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2C120E09">
            <w:pPr>
              <w:pStyle w:val="150"/>
            </w:pPr>
            <w:r>
              <w:rPr>
                <w:rFonts w:hint="eastAsia"/>
              </w:rPr>
              <w:t>IM审计</w:t>
            </w:r>
          </w:p>
        </w:tc>
        <w:tc>
          <w:tcPr>
            <w:tcW w:w="6930" w:type="dxa"/>
            <w:shd w:val="clear" w:color="auto" w:fill="auto"/>
          </w:tcPr>
          <w:p w14:paraId="4BB13687">
            <w:pPr>
              <w:pStyle w:val="150"/>
            </w:pPr>
            <w:r>
              <w:rPr>
                <w:rFonts w:hint="eastAsia"/>
              </w:rPr>
              <w:t>启用/禁用IM审计功能。禁用后，插件不对终端PC的IM应用行为进行审计。</w:t>
            </w:r>
          </w:p>
        </w:tc>
      </w:tr>
      <w:tr w14:paraId="2AFBC5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6AAE0AF9">
            <w:pPr>
              <w:pStyle w:val="150"/>
            </w:pPr>
            <w:r>
              <w:rPr>
                <w:rFonts w:hint="eastAsia"/>
              </w:rPr>
              <w:t>IM文件备份阈值</w:t>
            </w:r>
          </w:p>
        </w:tc>
        <w:tc>
          <w:tcPr>
            <w:tcW w:w="6930" w:type="dxa"/>
            <w:shd w:val="clear" w:color="auto" w:fill="auto"/>
          </w:tcPr>
          <w:p w14:paraId="31E7D6DD">
            <w:pPr>
              <w:pStyle w:val="150"/>
            </w:pPr>
            <w:r>
              <w:rPr>
                <w:rFonts w:hint="eastAsia"/>
              </w:rPr>
              <w:t>IM文件备份阈值配置范围1-10M，默认2M。</w:t>
            </w:r>
          </w:p>
          <w:p w14:paraId="262A9F0C">
            <w:pPr>
              <w:pStyle w:val="150"/>
            </w:pPr>
            <w:r>
              <w:rPr>
                <w:rFonts w:hint="eastAsia"/>
              </w:rPr>
              <w:t>阈值范围内的IM聊天文件，插件可以审计日志并上传到设备；</w:t>
            </w:r>
          </w:p>
          <w:p w14:paraId="4C246321">
            <w:pPr>
              <w:pStyle w:val="150"/>
            </w:pPr>
            <w:r>
              <w:rPr>
                <w:rFonts w:hint="eastAsia"/>
              </w:rPr>
              <w:t>超过阈值的IM聊天文件，插件只审计日志，不上传文件到设备。</w:t>
            </w:r>
          </w:p>
        </w:tc>
      </w:tr>
      <w:tr w14:paraId="23A1A1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17DB4BC7">
            <w:pPr>
              <w:pStyle w:val="150"/>
            </w:pPr>
            <w:r>
              <w:rPr>
                <w:rFonts w:hint="eastAsia"/>
              </w:rPr>
              <w:t>IM审计文件类型</w:t>
            </w:r>
            <w:r>
              <w:rPr>
                <w:rFonts w:hint="eastAsia"/>
              </w:rPr>
              <w:tab/>
            </w:r>
          </w:p>
        </w:tc>
        <w:tc>
          <w:tcPr>
            <w:tcW w:w="6930" w:type="dxa"/>
            <w:shd w:val="clear" w:color="auto" w:fill="auto"/>
          </w:tcPr>
          <w:p w14:paraId="52F6C12C">
            <w:pPr>
              <w:pStyle w:val="150"/>
            </w:pPr>
            <w:r>
              <w:rPr>
                <w:rFonts w:hint="eastAsia"/>
              </w:rPr>
              <w:t>不配置IM审计文件类型时，所有的文件类型都能进行审计，产生相应的审计日志并上报文件；</w:t>
            </w:r>
          </w:p>
          <w:p w14:paraId="5F5D9172">
            <w:pPr>
              <w:pStyle w:val="150"/>
            </w:pPr>
            <w:r>
              <w:rPr>
                <w:rFonts w:hint="eastAsia"/>
              </w:rPr>
              <w:t>配置IM审计文件类型，所以文件类型都会审计，只会上报配置的文件类型的文件，其他类型文件不会上报。</w:t>
            </w:r>
          </w:p>
        </w:tc>
      </w:tr>
      <w:tr w14:paraId="140A3FE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0AC8F1B8">
            <w:pPr>
              <w:pStyle w:val="150"/>
            </w:pPr>
            <w:r>
              <w:rPr>
                <w:shd w:val="clear" w:color="auto" w:fill="FFFFFF"/>
              </w:rPr>
              <w:t>浏览器上网审计</w:t>
            </w:r>
          </w:p>
        </w:tc>
        <w:tc>
          <w:tcPr>
            <w:tcW w:w="6930" w:type="dxa"/>
            <w:shd w:val="clear" w:color="auto" w:fill="auto"/>
          </w:tcPr>
          <w:p w14:paraId="59EDD4D1">
            <w:pPr>
              <w:pStyle w:val="150"/>
            </w:pPr>
            <w:r>
              <w:rPr>
                <w:rFonts w:hint="eastAsia"/>
              </w:rPr>
              <w:t>启用/禁用浏览器上网审计。禁用后，插件不对终端PC的浏览器上网行为进行审计。</w:t>
            </w:r>
          </w:p>
        </w:tc>
      </w:tr>
      <w:tr w14:paraId="0354A6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68414811">
            <w:pPr>
              <w:pStyle w:val="150"/>
              <w:rPr>
                <w:shd w:val="clear" w:color="auto" w:fill="FFFFFF"/>
              </w:rPr>
            </w:pPr>
            <w:r>
              <w:rPr>
                <w:rFonts w:hint="eastAsia"/>
                <w:shd w:val="clear" w:color="auto" w:fill="FFFFFF"/>
              </w:rPr>
              <w:t>客户端邮件审计</w:t>
            </w:r>
          </w:p>
        </w:tc>
        <w:tc>
          <w:tcPr>
            <w:tcW w:w="6930" w:type="dxa"/>
            <w:shd w:val="clear" w:color="auto" w:fill="auto"/>
          </w:tcPr>
          <w:p w14:paraId="2B76B042">
            <w:pPr>
              <w:pStyle w:val="150"/>
            </w:pPr>
            <w:r>
              <w:rPr>
                <w:rFonts w:hint="eastAsia"/>
              </w:rPr>
              <w:t>启用/禁用</w:t>
            </w:r>
            <w:r>
              <w:rPr>
                <w:rFonts w:hint="eastAsia" w:ascii="Tahoma" w:hAnsi="Tahoma" w:cs="Tahoma"/>
                <w:color w:val="333333"/>
                <w:shd w:val="clear" w:color="auto" w:fill="FFFFFF"/>
              </w:rPr>
              <w:t>客户端邮件审计。禁用</w:t>
            </w:r>
            <w:r>
              <w:rPr>
                <w:rFonts w:hint="eastAsia"/>
              </w:rPr>
              <w:t>后，插件不对终端PC的客户端邮件行为进行审计。</w:t>
            </w:r>
          </w:p>
        </w:tc>
      </w:tr>
      <w:tr w14:paraId="2C5D09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61720A0C">
            <w:pPr>
              <w:pStyle w:val="150"/>
              <w:rPr>
                <w:shd w:val="clear" w:color="auto" w:fill="FFFFFF"/>
              </w:rPr>
            </w:pPr>
            <w:r>
              <w:rPr>
                <w:rFonts w:hint="eastAsia"/>
                <w:shd w:val="clear" w:color="auto" w:fill="FFFFFF"/>
              </w:rPr>
              <w:t>邮件文件备份阈值</w:t>
            </w:r>
            <w:r>
              <w:rPr>
                <w:rFonts w:hint="eastAsia"/>
                <w:shd w:val="clear" w:color="auto" w:fill="FFFFFF"/>
              </w:rPr>
              <w:tab/>
            </w:r>
          </w:p>
        </w:tc>
        <w:tc>
          <w:tcPr>
            <w:tcW w:w="6930" w:type="dxa"/>
            <w:shd w:val="clear" w:color="auto" w:fill="auto"/>
          </w:tcPr>
          <w:p w14:paraId="6EF84E58">
            <w:pPr>
              <w:pStyle w:val="150"/>
            </w:pPr>
            <w:r>
              <w:rPr>
                <w:rFonts w:hint="eastAsia"/>
              </w:rPr>
              <w:t>邮件文件备份阈值配置范围1-10M，默认2M。</w:t>
            </w:r>
          </w:p>
          <w:p w14:paraId="46E26A99">
            <w:pPr>
              <w:pStyle w:val="150"/>
            </w:pPr>
            <w:r>
              <w:rPr>
                <w:rFonts w:hint="eastAsia"/>
              </w:rPr>
              <w:t>阈值范围内的邮件，插件可以审计日志并上传邮件到设备；</w:t>
            </w:r>
          </w:p>
          <w:p w14:paraId="77204752">
            <w:pPr>
              <w:pStyle w:val="150"/>
            </w:pPr>
            <w:r>
              <w:rPr>
                <w:rFonts w:hint="eastAsia"/>
              </w:rPr>
              <w:t>超过阈值的邮件，插件只审计日志，不上传文件到设备。</w:t>
            </w:r>
          </w:p>
        </w:tc>
      </w:tr>
      <w:tr w14:paraId="05AFF9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084359E3">
            <w:pPr>
              <w:pStyle w:val="150"/>
              <w:rPr>
                <w:shd w:val="clear" w:color="auto" w:fill="FFFFFF"/>
              </w:rPr>
            </w:pPr>
            <w:r>
              <w:rPr>
                <w:rFonts w:hint="eastAsia"/>
                <w:shd w:val="clear" w:color="auto" w:fill="FFFFFF"/>
              </w:rPr>
              <w:t>USB审计</w:t>
            </w:r>
          </w:p>
        </w:tc>
        <w:tc>
          <w:tcPr>
            <w:tcW w:w="6930" w:type="dxa"/>
            <w:shd w:val="clear" w:color="auto" w:fill="auto"/>
          </w:tcPr>
          <w:p w14:paraId="1ADC04C7">
            <w:pPr>
              <w:pStyle w:val="150"/>
            </w:pPr>
            <w:r>
              <w:rPr>
                <w:rFonts w:hint="eastAsia"/>
              </w:rPr>
              <w:t>启用/禁用</w:t>
            </w:r>
            <w:r>
              <w:rPr>
                <w:rFonts w:hint="eastAsia" w:ascii="Tahoma" w:hAnsi="Tahoma" w:cs="Tahoma"/>
                <w:color w:val="333333"/>
                <w:shd w:val="clear" w:color="auto" w:fill="FFFFFF"/>
              </w:rPr>
              <w:t>USB审计。禁用</w:t>
            </w:r>
            <w:r>
              <w:rPr>
                <w:rFonts w:hint="eastAsia"/>
              </w:rPr>
              <w:t>后，插件不对终端PC的USB行为进行审计。</w:t>
            </w:r>
          </w:p>
        </w:tc>
      </w:tr>
      <w:tr w14:paraId="73334B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4AFC8D04">
            <w:pPr>
              <w:pStyle w:val="150"/>
              <w:rPr>
                <w:shd w:val="clear" w:color="auto" w:fill="FFFFFF"/>
              </w:rPr>
            </w:pPr>
            <w:r>
              <w:rPr>
                <w:rFonts w:hint="eastAsia"/>
                <w:shd w:val="clear" w:color="auto" w:fill="FFFFFF"/>
              </w:rPr>
              <w:t>USB文件备份阈值</w:t>
            </w:r>
          </w:p>
        </w:tc>
        <w:tc>
          <w:tcPr>
            <w:tcW w:w="6930" w:type="dxa"/>
            <w:shd w:val="clear" w:color="auto" w:fill="auto"/>
          </w:tcPr>
          <w:p w14:paraId="55BA9E34">
            <w:pPr>
              <w:pStyle w:val="150"/>
            </w:pPr>
            <w:r>
              <w:rPr>
                <w:rFonts w:hint="eastAsia"/>
              </w:rPr>
              <w:t>USB文件备份阈值配置范围1-10M，默认2M。</w:t>
            </w:r>
          </w:p>
          <w:p w14:paraId="7354233A">
            <w:pPr>
              <w:pStyle w:val="150"/>
            </w:pPr>
            <w:r>
              <w:rPr>
                <w:rFonts w:hint="eastAsia"/>
              </w:rPr>
              <w:t>阈值范围内的文件，插件可以审计日志并上传邮件到设备；</w:t>
            </w:r>
          </w:p>
          <w:p w14:paraId="7DD86F50">
            <w:pPr>
              <w:pStyle w:val="150"/>
            </w:pPr>
            <w:r>
              <w:rPr>
                <w:rFonts w:hint="eastAsia"/>
              </w:rPr>
              <w:t>超过阈值的文件，插件只审计日志，不上传文件到设备。</w:t>
            </w:r>
          </w:p>
        </w:tc>
      </w:tr>
      <w:tr w14:paraId="0C5A48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11D1DB81">
            <w:pPr>
              <w:pStyle w:val="150"/>
              <w:rPr>
                <w:shd w:val="clear" w:color="auto" w:fill="FFFFFF"/>
              </w:rPr>
            </w:pPr>
            <w:r>
              <w:rPr>
                <w:rFonts w:hint="eastAsia"/>
                <w:shd w:val="clear" w:color="auto" w:fill="FFFFFF"/>
              </w:rPr>
              <w:t>进程列表审计</w:t>
            </w:r>
          </w:p>
        </w:tc>
        <w:tc>
          <w:tcPr>
            <w:tcW w:w="6930" w:type="dxa"/>
            <w:shd w:val="clear" w:color="auto" w:fill="auto"/>
          </w:tcPr>
          <w:p w14:paraId="3ADEB1DD">
            <w:pPr>
              <w:pStyle w:val="150"/>
            </w:pPr>
            <w:r>
              <w:rPr>
                <w:rFonts w:hint="eastAsia"/>
              </w:rPr>
              <w:t>启用/禁用进程列表审计功能。禁用后，插件不对终端PC的进程进行审计。</w:t>
            </w:r>
          </w:p>
        </w:tc>
      </w:tr>
    </w:tbl>
    <w:p w14:paraId="7E9C0879"/>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0814D49F">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7FA6F6CF">
            <w:pPr>
              <w:pStyle w:val="150"/>
              <w:adjustRightInd w:val="0"/>
              <w:snapToGrid w:val="0"/>
              <w:rPr>
                <w:color w:val="auto"/>
              </w:rPr>
            </w:pPr>
            <w:r>
              <w:rPr>
                <w:b/>
                <w:color w:val="auto"/>
              </w:rPr>
              <w:drawing>
                <wp:inline distT="0" distB="0" distL="0" distR="0">
                  <wp:extent cx="283210" cy="283210"/>
                  <wp:effectExtent l="0" t="0" r="2540" b="2540"/>
                  <wp:docPr id="944" name="图片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图片 944"/>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352C3D1D">
            <w:pPr>
              <w:pStyle w:val="207"/>
              <w:adjustRightInd w:val="0"/>
              <w:snapToGrid w:val="0"/>
              <w:rPr>
                <w:color w:val="auto"/>
                <w:lang w:eastAsia="zh-CN"/>
              </w:rPr>
            </w:pPr>
            <w:r>
              <w:rPr>
                <w:rFonts w:hint="eastAsia"/>
                <w:color w:val="auto"/>
                <w:lang w:eastAsia="zh-CN"/>
              </w:rPr>
              <w:t>支持IM聊天工具包括QQ、微信、钉钉、阿里旺旺、TIM、企业微信。</w:t>
            </w:r>
          </w:p>
          <w:p w14:paraId="7D314185">
            <w:pPr>
              <w:pStyle w:val="207"/>
              <w:adjustRightInd w:val="0"/>
              <w:snapToGrid w:val="0"/>
              <w:rPr>
                <w:color w:val="auto"/>
              </w:rPr>
            </w:pPr>
            <w:r>
              <w:rPr>
                <w:rFonts w:hint="eastAsia"/>
                <w:color w:val="auto"/>
              </w:rPr>
              <w:t>支持浏览器包括谷歌、火狐、360安全浏览器、360极速浏览器、搜狗、微软Edge及IE；目前只支持部分https网站审计。</w:t>
            </w:r>
          </w:p>
          <w:p w14:paraId="65AB902A">
            <w:pPr>
              <w:pStyle w:val="207"/>
              <w:adjustRightInd w:val="0"/>
              <w:snapToGrid w:val="0"/>
              <w:rPr>
                <w:color w:val="auto"/>
                <w:lang w:eastAsia="zh-CN"/>
              </w:rPr>
            </w:pPr>
            <w:r>
              <w:rPr>
                <w:rFonts w:hint="eastAsia"/>
                <w:color w:val="auto"/>
                <w:lang w:eastAsia="zh-CN"/>
              </w:rPr>
              <w:t>支持U盘及移动硬盘审计。</w:t>
            </w:r>
          </w:p>
          <w:p w14:paraId="01C6770D">
            <w:pPr>
              <w:pStyle w:val="207"/>
              <w:adjustRightInd w:val="0"/>
              <w:snapToGrid w:val="0"/>
              <w:rPr>
                <w:color w:val="auto"/>
              </w:rPr>
            </w:pPr>
            <w:r>
              <w:rPr>
                <w:rFonts w:hint="eastAsia"/>
                <w:color w:val="auto"/>
              </w:rPr>
              <w:t>支持邮箱包括Foxmail和outlook2016。</w:t>
            </w:r>
          </w:p>
          <w:p w14:paraId="435752EB">
            <w:pPr>
              <w:pStyle w:val="207"/>
              <w:adjustRightInd w:val="0"/>
              <w:snapToGrid w:val="0"/>
              <w:rPr>
                <w:color w:val="auto"/>
                <w:lang w:eastAsia="zh-CN"/>
              </w:rPr>
            </w:pPr>
            <w:r>
              <w:rPr>
                <w:rFonts w:hint="eastAsia"/>
                <w:color w:val="auto"/>
                <w:lang w:eastAsia="zh-CN"/>
              </w:rPr>
              <w:t>进程列表日志默认10分钟发送一次。</w:t>
            </w:r>
          </w:p>
        </w:tc>
      </w:tr>
    </w:tbl>
    <w:p w14:paraId="03698702"/>
    <w:p w14:paraId="026D0417">
      <w:pPr>
        <w:pStyle w:val="4"/>
      </w:pPr>
      <w:bookmarkStart w:id="9103" w:name="_Toc196728550"/>
      <w:bookmarkStart w:id="9104" w:name="_Toc174644776"/>
      <w:bookmarkStart w:id="9105" w:name="_Toc194081222"/>
      <w:r>
        <w:rPr>
          <w:rFonts w:hint="eastAsia"/>
        </w:rPr>
        <w:t>配置终端准入策略</w:t>
      </w:r>
      <w:bookmarkEnd w:id="9103"/>
      <w:bookmarkEnd w:id="9104"/>
      <w:bookmarkEnd w:id="9105"/>
    </w:p>
    <w:p w14:paraId="2B4287DA">
      <w:pPr>
        <w:pStyle w:val="5"/>
      </w:pPr>
      <w:bookmarkStart w:id="9106" w:name="_Toc174644777"/>
      <w:bookmarkStart w:id="9107" w:name="_Toc196728551"/>
      <w:bookmarkStart w:id="9108" w:name="_Toc194081223"/>
      <w:r>
        <w:rPr>
          <w:rFonts w:hint="eastAsia"/>
        </w:rPr>
        <w:t>准入策略</w:t>
      </w:r>
      <w:bookmarkEnd w:id="9106"/>
      <w:bookmarkEnd w:id="9107"/>
      <w:bookmarkEnd w:id="9108"/>
    </w:p>
    <w:p w14:paraId="32627118">
      <w:r>
        <w:rPr>
          <w:rFonts w:hint="eastAsia"/>
        </w:rPr>
        <w:t>在导航栏中选择“用户管理&gt;终端准入管理&gt;准入策略”，进入“准入策略”页面，点击“新建”，进入准入策略配置页面。如下图所示。</w:t>
      </w:r>
    </w:p>
    <w:p w14:paraId="0599675C">
      <w:pPr>
        <w:pStyle w:val="188"/>
      </w:pPr>
      <w:r>
        <w:rPr>
          <w:rFonts w:hint="eastAsia"/>
        </w:rPr>
        <w:t>准入策略配置页面</w:t>
      </w:r>
    </w:p>
    <w:p w14:paraId="691EEC64">
      <w:pPr>
        <w:pStyle w:val="175"/>
        <w:rPr>
          <w:rFonts w:cs="Arial Narrow"/>
          <w:sz w:val="18"/>
          <w:szCs w:val="18"/>
        </w:rPr>
      </w:pPr>
      <w:r>
        <w:drawing>
          <wp:inline distT="0" distB="0" distL="114300" distR="114300">
            <wp:extent cx="6113145" cy="6135370"/>
            <wp:effectExtent l="0" t="0" r="1905" b="17780"/>
            <wp:docPr id="64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7"/>
                    <pic:cNvPicPr>
                      <a:picLocks noChangeAspect="1"/>
                    </pic:cNvPicPr>
                  </pic:nvPicPr>
                  <pic:blipFill>
                    <a:blip r:embed="rId1171"/>
                    <a:stretch>
                      <a:fillRect/>
                    </a:stretch>
                  </pic:blipFill>
                  <pic:spPr>
                    <a:xfrm>
                      <a:off x="0" y="0"/>
                      <a:ext cx="6113145" cy="6135370"/>
                    </a:xfrm>
                    <a:prstGeom prst="rect">
                      <a:avLst/>
                    </a:prstGeom>
                    <a:noFill/>
                    <a:ln>
                      <a:noFill/>
                    </a:ln>
                  </pic:spPr>
                </pic:pic>
              </a:graphicData>
            </a:graphic>
          </wp:inline>
        </w:drawing>
      </w:r>
    </w:p>
    <w:p w14:paraId="625FAC77">
      <w:pPr>
        <w:pStyle w:val="183"/>
      </w:pPr>
      <w:r>
        <w:rPr>
          <w:rFonts w:hint="eastAsia"/>
        </w:rPr>
        <w:t>准入策略配置详细说明</w:t>
      </w:r>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85"/>
        <w:gridCol w:w="6930"/>
      </w:tblGrid>
      <w:tr w14:paraId="6F4FA5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tcBorders>
              <w:tl2br w:val="nil"/>
              <w:tr2bl w:val="nil"/>
            </w:tcBorders>
            <w:shd w:val="clear" w:color="auto" w:fill="538135" w:themeFill="accent6" w:themeFillShade="BF"/>
            <w:vAlign w:val="center"/>
          </w:tcPr>
          <w:p w14:paraId="0B683FE7">
            <w:pPr>
              <w:pStyle w:val="149"/>
              <w:wordWrap/>
              <w:rPr>
                <w:b/>
                <w:bCs/>
                <w:i w:val="0"/>
                <w:iCs w:val="0"/>
              </w:rPr>
            </w:pPr>
            <w:r>
              <w:rPr>
                <w:rFonts w:hint="eastAsia"/>
                <w:b/>
                <w:bCs/>
                <w:i w:val="0"/>
                <w:iCs w:val="0"/>
              </w:rPr>
              <w:t>项目</w:t>
            </w:r>
          </w:p>
        </w:tc>
        <w:tc>
          <w:tcPr>
            <w:tcW w:w="6930" w:type="dxa"/>
            <w:tcBorders>
              <w:tl2br w:val="nil"/>
              <w:tr2bl w:val="nil"/>
            </w:tcBorders>
            <w:shd w:val="clear" w:color="auto" w:fill="538135" w:themeFill="accent6" w:themeFillShade="BF"/>
            <w:vAlign w:val="center"/>
          </w:tcPr>
          <w:p w14:paraId="39683F42">
            <w:pPr>
              <w:pStyle w:val="149"/>
              <w:wordWrap/>
              <w:rPr>
                <w:b/>
                <w:bCs/>
                <w:i w:val="0"/>
                <w:iCs w:val="0"/>
              </w:rPr>
            </w:pPr>
            <w:r>
              <w:rPr>
                <w:rFonts w:hint="eastAsia"/>
                <w:b/>
                <w:bCs/>
                <w:i w:val="0"/>
                <w:iCs w:val="0"/>
              </w:rPr>
              <w:t>说明</w:t>
            </w:r>
          </w:p>
        </w:tc>
      </w:tr>
      <w:tr w14:paraId="63BB746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5D913B52">
            <w:pPr>
              <w:pStyle w:val="150"/>
            </w:pPr>
            <w:r>
              <w:rPr>
                <w:rFonts w:hint="eastAsia"/>
              </w:rPr>
              <w:t>启用</w:t>
            </w:r>
          </w:p>
        </w:tc>
        <w:tc>
          <w:tcPr>
            <w:tcW w:w="6930" w:type="dxa"/>
            <w:shd w:val="clear" w:color="auto" w:fill="auto"/>
          </w:tcPr>
          <w:p w14:paraId="279D9720">
            <w:pPr>
              <w:pStyle w:val="150"/>
            </w:pPr>
            <w:r>
              <w:rPr>
                <w:rFonts w:hint="eastAsia"/>
              </w:rPr>
              <w:t>启用/禁用准入策略。</w:t>
            </w:r>
          </w:p>
        </w:tc>
      </w:tr>
      <w:tr w14:paraId="284A454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296D5BBA">
            <w:pPr>
              <w:pStyle w:val="150"/>
            </w:pPr>
            <w:r>
              <w:rPr>
                <w:rFonts w:hint="eastAsia"/>
              </w:rPr>
              <w:t>策略名称</w:t>
            </w:r>
          </w:p>
        </w:tc>
        <w:tc>
          <w:tcPr>
            <w:tcW w:w="6930" w:type="dxa"/>
            <w:shd w:val="clear" w:color="auto" w:fill="auto"/>
          </w:tcPr>
          <w:p w14:paraId="6364ACE9">
            <w:pPr>
              <w:pStyle w:val="150"/>
            </w:pPr>
            <w:r>
              <w:rPr>
                <w:rFonts w:hint="eastAsia"/>
              </w:rPr>
              <w:t>配置准入策略名称。</w:t>
            </w:r>
          </w:p>
        </w:tc>
      </w:tr>
      <w:tr w14:paraId="6B496A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44509E71">
            <w:pPr>
              <w:pStyle w:val="150"/>
            </w:pPr>
            <w:r>
              <w:rPr>
                <w:rFonts w:hint="eastAsia"/>
              </w:rPr>
              <w:t>策略描述</w:t>
            </w:r>
          </w:p>
        </w:tc>
        <w:tc>
          <w:tcPr>
            <w:tcW w:w="6930" w:type="dxa"/>
            <w:shd w:val="clear" w:color="auto" w:fill="auto"/>
          </w:tcPr>
          <w:p w14:paraId="63DB333C">
            <w:pPr>
              <w:pStyle w:val="150"/>
            </w:pPr>
            <w:r>
              <w:rPr>
                <w:rFonts w:hint="eastAsia"/>
              </w:rPr>
              <w:t>配置准入策略描述。</w:t>
            </w:r>
          </w:p>
        </w:tc>
      </w:tr>
      <w:tr w14:paraId="0516FE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7A9AAF8B">
            <w:pPr>
              <w:pStyle w:val="150"/>
            </w:pPr>
            <w:r>
              <w:rPr>
                <w:rFonts w:hint="eastAsia"/>
              </w:rPr>
              <w:t>用户</w:t>
            </w:r>
          </w:p>
        </w:tc>
        <w:tc>
          <w:tcPr>
            <w:tcW w:w="6930" w:type="dxa"/>
            <w:shd w:val="clear" w:color="auto" w:fill="auto"/>
          </w:tcPr>
          <w:p w14:paraId="1B4D71E4">
            <w:pPr>
              <w:pStyle w:val="150"/>
            </w:pPr>
            <w:r>
              <w:rPr>
                <w:rFonts w:hint="eastAsia"/>
              </w:rPr>
              <w:t>引用或排除用户、用户组。</w:t>
            </w:r>
          </w:p>
        </w:tc>
      </w:tr>
      <w:tr w14:paraId="2FDDB7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5E22406B">
            <w:pPr>
              <w:pStyle w:val="150"/>
            </w:pPr>
            <w:r>
              <w:rPr>
                <w:rFonts w:hint="eastAsia"/>
              </w:rPr>
              <w:t>用户IP地址</w:t>
            </w:r>
          </w:p>
        </w:tc>
        <w:tc>
          <w:tcPr>
            <w:tcW w:w="6930" w:type="dxa"/>
            <w:shd w:val="clear" w:color="auto" w:fill="auto"/>
          </w:tcPr>
          <w:p w14:paraId="630E1F90">
            <w:pPr>
              <w:pStyle w:val="150"/>
            </w:pPr>
            <w:r>
              <w:rPr>
                <w:rFonts w:hint="eastAsia"/>
              </w:rPr>
              <w:t>配置需要匹配的IP地址。</w:t>
            </w:r>
          </w:p>
        </w:tc>
      </w:tr>
      <w:tr w14:paraId="5A3289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67CACC5D">
            <w:pPr>
              <w:pStyle w:val="150"/>
              <w:rPr>
                <w:shd w:val="clear" w:color="auto" w:fill="FFFFFF"/>
              </w:rPr>
            </w:pPr>
            <w:r>
              <w:rPr>
                <w:rFonts w:hint="eastAsia"/>
                <w:shd w:val="clear" w:color="auto" w:fill="FFFFFF"/>
              </w:rPr>
              <w:t>规则对象</w:t>
            </w:r>
          </w:p>
        </w:tc>
        <w:tc>
          <w:tcPr>
            <w:tcW w:w="6930" w:type="dxa"/>
            <w:shd w:val="clear" w:color="auto" w:fill="auto"/>
          </w:tcPr>
          <w:p w14:paraId="6A0EF0A3">
            <w:pPr>
              <w:pStyle w:val="150"/>
            </w:pPr>
            <w:r>
              <w:rPr>
                <w:rFonts w:hint="eastAsia"/>
              </w:rPr>
              <w:t>选择需要生效的规则对象，最多选择32条。</w:t>
            </w:r>
          </w:p>
        </w:tc>
      </w:tr>
    </w:tbl>
    <w:p w14:paraId="1AE3CB94">
      <w:pPr>
        <w:rPr>
          <w:rFonts w:cs="Arial Narrow"/>
          <w:sz w:val="18"/>
          <w:szCs w:val="18"/>
        </w:rPr>
      </w:pPr>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21A29304">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2B6B8BCD">
            <w:pPr>
              <w:pStyle w:val="150"/>
              <w:adjustRightInd w:val="0"/>
              <w:snapToGrid w:val="0"/>
              <w:rPr>
                <w:color w:val="auto"/>
              </w:rPr>
            </w:pPr>
            <w:r>
              <w:rPr>
                <w:b/>
                <w:color w:val="auto"/>
              </w:rPr>
              <w:drawing>
                <wp:inline distT="0" distB="0" distL="0" distR="0">
                  <wp:extent cx="283210" cy="283210"/>
                  <wp:effectExtent l="0" t="0" r="2540" b="2540"/>
                  <wp:docPr id="945" name="图片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图片 945"/>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62129653">
            <w:pPr>
              <w:pStyle w:val="207"/>
              <w:adjustRightInd w:val="0"/>
              <w:snapToGrid w:val="0"/>
              <w:rPr>
                <w:color w:val="auto"/>
                <w:lang w:eastAsia="zh-CN"/>
              </w:rPr>
            </w:pPr>
            <w:r>
              <w:rPr>
                <w:rFonts w:hint="eastAsia"/>
                <w:color w:val="auto"/>
                <w:lang w:eastAsia="zh-CN"/>
              </w:rPr>
              <w:t>用户和用户IP地址不能同时为空，同时配置用户和用户IP地址时只要匹配其中一个就算匹配到策略；</w:t>
            </w:r>
          </w:p>
          <w:p w14:paraId="57DF03D3">
            <w:pPr>
              <w:pStyle w:val="207"/>
              <w:adjustRightInd w:val="0"/>
              <w:snapToGrid w:val="0"/>
              <w:rPr>
                <w:color w:val="auto"/>
                <w:lang w:eastAsia="zh-CN"/>
              </w:rPr>
            </w:pPr>
            <w:r>
              <w:rPr>
                <w:rFonts w:hint="eastAsia"/>
                <w:color w:val="auto"/>
                <w:lang w:eastAsia="zh-CN"/>
              </w:rPr>
              <w:t>一条准入策略最多引用一条杀软检查规则、登录域检查规则、操作系统规则、补丁检测规则、Windows账号规则、防篡改检查规则、外联检查规则、外设管控规则。</w:t>
            </w:r>
          </w:p>
        </w:tc>
      </w:tr>
    </w:tbl>
    <w:p w14:paraId="515B00AA">
      <w:pPr>
        <w:rPr>
          <w:rFonts w:cs="Arial Narrow"/>
          <w:sz w:val="18"/>
          <w:szCs w:val="18"/>
        </w:rPr>
      </w:pPr>
    </w:p>
    <w:p w14:paraId="3005AF3A">
      <w:pPr>
        <w:pStyle w:val="5"/>
      </w:pPr>
      <w:bookmarkStart w:id="9109" w:name="_Toc174644778"/>
      <w:bookmarkStart w:id="9110" w:name="_Toc194081224"/>
      <w:bookmarkStart w:id="9111" w:name="_Toc196728552"/>
      <w:r>
        <w:rPr>
          <w:rFonts w:hint="eastAsia"/>
        </w:rPr>
        <w:t>规则对象</w:t>
      </w:r>
      <w:bookmarkEnd w:id="9109"/>
      <w:bookmarkEnd w:id="9110"/>
      <w:bookmarkEnd w:id="9111"/>
    </w:p>
    <w:p w14:paraId="65202254">
      <w:pPr>
        <w:pStyle w:val="6"/>
      </w:pPr>
      <w:r>
        <w:rPr>
          <w:rFonts w:hint="eastAsia"/>
        </w:rPr>
        <w:t>杀软检查规则</w:t>
      </w:r>
    </w:p>
    <w:p w14:paraId="1CD1DDB0">
      <w:r>
        <w:rPr>
          <w:rFonts w:hint="eastAsia"/>
        </w:rPr>
        <w:t>在导航栏中选择“用户管理&gt;终端准入管理&gt;准入策略”，单击选择“规则对象”标签页，进入规则对象页面，将鼠标悬停在“新建”按钮，选择“检查规则</w:t>
      </w:r>
      <w:r>
        <w:t>&gt;</w:t>
      </w:r>
      <w:r>
        <w:rPr>
          <w:rFonts w:hint="eastAsia"/>
        </w:rPr>
        <w:t>杀软检查规则”，进入杀软检查规则配置页面，如下图所示。</w:t>
      </w:r>
    </w:p>
    <w:p w14:paraId="3A32755D">
      <w:pPr>
        <w:pStyle w:val="188"/>
      </w:pPr>
      <w:r>
        <w:rPr>
          <w:rFonts w:hint="eastAsia"/>
        </w:rPr>
        <w:t>杀软检查规则配置页面</w:t>
      </w:r>
    </w:p>
    <w:p w14:paraId="3CCD551D">
      <w:pPr>
        <w:pStyle w:val="175"/>
      </w:pPr>
      <w:r>
        <w:drawing>
          <wp:inline distT="0" distB="0" distL="114300" distR="114300">
            <wp:extent cx="6115685" cy="2882265"/>
            <wp:effectExtent l="0" t="0" r="18415" b="13335"/>
            <wp:docPr id="65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28"/>
                    <pic:cNvPicPr>
                      <a:picLocks noChangeAspect="1"/>
                    </pic:cNvPicPr>
                  </pic:nvPicPr>
                  <pic:blipFill>
                    <a:blip r:embed="rId1172"/>
                    <a:stretch>
                      <a:fillRect/>
                    </a:stretch>
                  </pic:blipFill>
                  <pic:spPr>
                    <a:xfrm>
                      <a:off x="0" y="0"/>
                      <a:ext cx="6115685" cy="2882265"/>
                    </a:xfrm>
                    <a:prstGeom prst="rect">
                      <a:avLst/>
                    </a:prstGeom>
                    <a:noFill/>
                    <a:ln>
                      <a:noFill/>
                    </a:ln>
                  </pic:spPr>
                </pic:pic>
              </a:graphicData>
            </a:graphic>
          </wp:inline>
        </w:drawing>
      </w:r>
    </w:p>
    <w:p w14:paraId="2C471BB1">
      <w:pPr>
        <w:pStyle w:val="175"/>
      </w:pPr>
      <w:r>
        <w:drawing>
          <wp:inline distT="0" distB="0" distL="114300" distR="114300">
            <wp:extent cx="6113780" cy="932815"/>
            <wp:effectExtent l="0" t="0" r="1270" b="635"/>
            <wp:docPr id="65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29"/>
                    <pic:cNvPicPr>
                      <a:picLocks noChangeAspect="1"/>
                    </pic:cNvPicPr>
                  </pic:nvPicPr>
                  <pic:blipFill>
                    <a:blip r:embed="rId1173"/>
                    <a:stretch>
                      <a:fillRect/>
                    </a:stretch>
                  </pic:blipFill>
                  <pic:spPr>
                    <a:xfrm>
                      <a:off x="0" y="0"/>
                      <a:ext cx="6113780" cy="932815"/>
                    </a:xfrm>
                    <a:prstGeom prst="rect">
                      <a:avLst/>
                    </a:prstGeom>
                    <a:noFill/>
                    <a:ln>
                      <a:noFill/>
                    </a:ln>
                  </pic:spPr>
                </pic:pic>
              </a:graphicData>
            </a:graphic>
          </wp:inline>
        </w:drawing>
      </w:r>
    </w:p>
    <w:p w14:paraId="3EFE2D31">
      <w:pPr>
        <w:rPr>
          <w:rFonts w:cs="Arial Narrow"/>
          <w:sz w:val="18"/>
          <w:szCs w:val="18"/>
        </w:rPr>
      </w:pPr>
    </w:p>
    <w:p w14:paraId="38188D1D">
      <w:pPr>
        <w:pStyle w:val="183"/>
      </w:pPr>
      <w:r>
        <w:rPr>
          <w:rFonts w:hint="eastAsia"/>
        </w:rPr>
        <w:t>杀软检查规则配置说明</w:t>
      </w:r>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85"/>
        <w:gridCol w:w="6930"/>
      </w:tblGrid>
      <w:tr w14:paraId="7CFA67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tcBorders>
              <w:tl2br w:val="nil"/>
              <w:tr2bl w:val="nil"/>
            </w:tcBorders>
            <w:shd w:val="clear" w:color="auto" w:fill="538135" w:themeFill="accent6" w:themeFillShade="BF"/>
            <w:vAlign w:val="center"/>
          </w:tcPr>
          <w:p w14:paraId="20EA62FC">
            <w:pPr>
              <w:pStyle w:val="149"/>
              <w:wordWrap/>
              <w:rPr>
                <w:b/>
                <w:bCs/>
                <w:i w:val="0"/>
                <w:iCs w:val="0"/>
              </w:rPr>
            </w:pPr>
            <w:r>
              <w:rPr>
                <w:rFonts w:hint="eastAsia"/>
                <w:b/>
                <w:bCs/>
                <w:i w:val="0"/>
                <w:iCs w:val="0"/>
              </w:rPr>
              <w:t>项目</w:t>
            </w:r>
          </w:p>
        </w:tc>
        <w:tc>
          <w:tcPr>
            <w:tcW w:w="6930" w:type="dxa"/>
            <w:tcBorders>
              <w:tl2br w:val="nil"/>
              <w:tr2bl w:val="nil"/>
            </w:tcBorders>
            <w:shd w:val="clear" w:color="auto" w:fill="538135" w:themeFill="accent6" w:themeFillShade="BF"/>
            <w:vAlign w:val="center"/>
          </w:tcPr>
          <w:p w14:paraId="5AE42208">
            <w:pPr>
              <w:pStyle w:val="149"/>
              <w:wordWrap/>
              <w:rPr>
                <w:b/>
                <w:bCs/>
                <w:i w:val="0"/>
                <w:iCs w:val="0"/>
              </w:rPr>
            </w:pPr>
            <w:r>
              <w:rPr>
                <w:rFonts w:hint="eastAsia"/>
                <w:b/>
                <w:bCs/>
                <w:i w:val="0"/>
                <w:iCs w:val="0"/>
              </w:rPr>
              <w:t>说明</w:t>
            </w:r>
          </w:p>
        </w:tc>
      </w:tr>
      <w:tr w14:paraId="2BBE97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2D613DC4">
            <w:pPr>
              <w:pStyle w:val="150"/>
            </w:pPr>
            <w:r>
              <w:rPr>
                <w:rFonts w:hint="eastAsia"/>
              </w:rPr>
              <w:t>规则名称</w:t>
            </w:r>
          </w:p>
        </w:tc>
        <w:tc>
          <w:tcPr>
            <w:tcW w:w="6930" w:type="dxa"/>
            <w:shd w:val="clear" w:color="auto" w:fill="auto"/>
          </w:tcPr>
          <w:p w14:paraId="068B5EC0">
            <w:pPr>
              <w:pStyle w:val="150"/>
            </w:pPr>
            <w:r>
              <w:rPr>
                <w:rFonts w:hint="eastAsia"/>
              </w:rPr>
              <w:t>配置规则对象名称。</w:t>
            </w:r>
          </w:p>
        </w:tc>
      </w:tr>
      <w:tr w14:paraId="37CCC27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49C17352">
            <w:pPr>
              <w:pStyle w:val="150"/>
            </w:pPr>
            <w:r>
              <w:rPr>
                <w:rFonts w:hint="eastAsia"/>
              </w:rPr>
              <w:t>规则描述</w:t>
            </w:r>
          </w:p>
        </w:tc>
        <w:tc>
          <w:tcPr>
            <w:tcW w:w="6930" w:type="dxa"/>
            <w:shd w:val="clear" w:color="auto" w:fill="auto"/>
          </w:tcPr>
          <w:p w14:paraId="1D71F4E5">
            <w:pPr>
              <w:pStyle w:val="150"/>
            </w:pPr>
            <w:r>
              <w:rPr>
                <w:rFonts w:hint="eastAsia"/>
              </w:rPr>
              <w:t>配置规则对象描述。</w:t>
            </w:r>
          </w:p>
        </w:tc>
      </w:tr>
      <w:tr w14:paraId="3093A61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454C4D4E">
            <w:pPr>
              <w:pStyle w:val="150"/>
            </w:pPr>
            <w:r>
              <w:rPr>
                <w:rFonts w:hint="eastAsia"/>
              </w:rPr>
              <w:t>检查项配置</w:t>
            </w:r>
          </w:p>
        </w:tc>
        <w:tc>
          <w:tcPr>
            <w:tcW w:w="6930" w:type="dxa"/>
            <w:shd w:val="clear" w:color="auto" w:fill="auto"/>
          </w:tcPr>
          <w:p w14:paraId="1B3E8487">
            <w:pPr>
              <w:pStyle w:val="150"/>
            </w:pPr>
            <w:r>
              <w:rPr>
                <w:rFonts w:hint="eastAsia"/>
              </w:rPr>
              <w:t>支持13种杀毒软件。</w:t>
            </w:r>
          </w:p>
          <w:p w14:paraId="486EE4B1">
            <w:pPr>
              <w:pStyle w:val="150"/>
            </w:pPr>
            <w:r>
              <w:rPr>
                <w:rFonts w:hint="eastAsia"/>
              </w:rPr>
              <w:t>支持勾选杀毒软件，支持编辑杀毒软件配置版本要求和病毒库未更新天数要求。</w:t>
            </w:r>
          </w:p>
          <w:p w14:paraId="6148363C">
            <w:pPr>
              <w:pStyle w:val="207"/>
              <w:tabs>
                <w:tab w:val="left" w:pos="1134"/>
              </w:tabs>
              <w:rPr>
                <w:lang w:eastAsia="zh-CN"/>
              </w:rPr>
            </w:pPr>
            <w:r>
              <w:rPr>
                <w:rFonts w:hint="eastAsia"/>
                <w:lang w:eastAsia="zh-CN"/>
              </w:rPr>
              <w:t>安装并运行对应杀毒软件且符合版本及病毒库未更新天数要求，视为合规；</w:t>
            </w:r>
          </w:p>
          <w:p w14:paraId="2A559721">
            <w:pPr>
              <w:pStyle w:val="207"/>
              <w:tabs>
                <w:tab w:val="left" w:pos="1134"/>
              </w:tabs>
              <w:rPr>
                <w:lang w:eastAsia="zh-CN"/>
              </w:rPr>
            </w:pPr>
            <w:r>
              <w:rPr>
                <w:rFonts w:hint="eastAsia"/>
                <w:lang w:eastAsia="zh-CN"/>
              </w:rPr>
              <w:t>勾选多个杀毒软件，符合选中任意一款软件要求，视为合规。</w:t>
            </w:r>
          </w:p>
        </w:tc>
      </w:tr>
      <w:tr w14:paraId="28AA7A4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2B5725FB">
            <w:pPr>
              <w:pStyle w:val="150"/>
            </w:pPr>
            <w:r>
              <w:rPr>
                <w:rFonts w:hint="eastAsia"/>
              </w:rPr>
              <w:t>违规处置</w:t>
            </w:r>
          </w:p>
        </w:tc>
        <w:tc>
          <w:tcPr>
            <w:tcW w:w="6930" w:type="dxa"/>
            <w:shd w:val="clear" w:color="auto" w:fill="auto"/>
          </w:tcPr>
          <w:p w14:paraId="4958EA6C">
            <w:pPr>
              <w:pStyle w:val="207"/>
              <w:tabs>
                <w:tab w:val="left" w:pos="1134"/>
              </w:tabs>
              <w:rPr>
                <w:lang w:eastAsia="zh-CN"/>
              </w:rPr>
            </w:pPr>
            <w:r>
              <w:rPr>
                <w:rFonts w:hint="eastAsia"/>
                <w:lang w:eastAsia="zh-CN"/>
              </w:rPr>
              <w:t>禁止上网并提示用户：违规后禁止终端上网，弹窗提示并上报日志。</w:t>
            </w:r>
          </w:p>
          <w:p w14:paraId="7325FBB6">
            <w:pPr>
              <w:pStyle w:val="207"/>
              <w:tabs>
                <w:tab w:val="left" w:pos="1134"/>
              </w:tabs>
              <w:rPr>
                <w:lang w:eastAsia="zh-CN"/>
              </w:rPr>
            </w:pPr>
            <w:r>
              <w:rPr>
                <w:rFonts w:hint="eastAsia"/>
                <w:lang w:eastAsia="zh-CN"/>
              </w:rPr>
              <w:t>提示用户：违规后弹窗提示并上报日志。</w:t>
            </w:r>
          </w:p>
          <w:p w14:paraId="13366417">
            <w:pPr>
              <w:pStyle w:val="207"/>
              <w:tabs>
                <w:tab w:val="left" w:pos="1134"/>
              </w:tabs>
              <w:rPr>
                <w:lang w:eastAsia="zh-CN"/>
              </w:rPr>
            </w:pPr>
            <w:r>
              <w:rPr>
                <w:rFonts w:hint="eastAsia"/>
                <w:lang w:eastAsia="zh-CN"/>
              </w:rPr>
              <w:t>只记录结果：违规后只上报日志。</w:t>
            </w:r>
          </w:p>
        </w:tc>
      </w:tr>
      <w:tr w14:paraId="4B08E5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2F21F147">
            <w:pPr>
              <w:pStyle w:val="150"/>
              <w:rPr>
                <w:shd w:val="clear" w:color="auto" w:fill="FFFFFF"/>
              </w:rPr>
            </w:pPr>
            <w:r>
              <w:rPr>
                <w:rFonts w:hint="eastAsia"/>
                <w:shd w:val="clear" w:color="auto" w:fill="FFFFFF"/>
              </w:rPr>
              <w:t>提示内容</w:t>
            </w:r>
          </w:p>
        </w:tc>
        <w:tc>
          <w:tcPr>
            <w:tcW w:w="6930" w:type="dxa"/>
            <w:shd w:val="clear" w:color="auto" w:fill="auto"/>
          </w:tcPr>
          <w:p w14:paraId="4431F175">
            <w:pPr>
              <w:pStyle w:val="150"/>
            </w:pPr>
            <w:r>
              <w:rPr>
                <w:rFonts w:hint="eastAsia"/>
              </w:rPr>
              <w:t>配置自定义提示内容。</w:t>
            </w:r>
          </w:p>
        </w:tc>
      </w:tr>
      <w:tr w14:paraId="119B7E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2F6B84CF">
            <w:pPr>
              <w:pStyle w:val="150"/>
              <w:rPr>
                <w:shd w:val="clear" w:color="auto" w:fill="FFFFFF"/>
              </w:rPr>
            </w:pPr>
            <w:r>
              <w:rPr>
                <w:rFonts w:hint="eastAsia"/>
                <w:shd w:val="clear" w:color="auto" w:fill="FFFFFF"/>
              </w:rPr>
              <w:t>预览</w:t>
            </w:r>
          </w:p>
        </w:tc>
        <w:tc>
          <w:tcPr>
            <w:tcW w:w="6930" w:type="dxa"/>
            <w:shd w:val="clear" w:color="auto" w:fill="auto"/>
          </w:tcPr>
          <w:p w14:paraId="4AD2BCA2">
            <w:pPr>
              <w:pStyle w:val="150"/>
            </w:pPr>
            <w:r>
              <w:rPr>
                <w:rFonts w:hint="eastAsia"/>
              </w:rPr>
              <w:t>预览弹窗提示信息。</w:t>
            </w:r>
          </w:p>
        </w:tc>
      </w:tr>
    </w:tbl>
    <w:p w14:paraId="1562F46C">
      <w:pPr>
        <w:rPr>
          <w:rFonts w:cs="Arial Narrow"/>
          <w:sz w:val="18"/>
          <w:szCs w:val="18"/>
        </w:rPr>
      </w:pPr>
    </w:p>
    <w:p w14:paraId="10477E2C">
      <w:pPr>
        <w:pStyle w:val="6"/>
      </w:pPr>
      <w:r>
        <w:rPr>
          <w:rFonts w:hint="eastAsia"/>
        </w:rPr>
        <w:t>登录域检查规则</w:t>
      </w:r>
    </w:p>
    <w:p w14:paraId="21C01489">
      <w:r>
        <w:rPr>
          <w:rFonts w:hint="eastAsia"/>
        </w:rPr>
        <w:t>在导航栏中选择“用户管理&gt;终端准入管理&gt;准入策略”，单击选择“规则对象”标签页，进入规则对象页面，将鼠标悬停在“新建”按钮，选择“检查规则</w:t>
      </w:r>
      <w:r>
        <w:t>&gt;</w:t>
      </w:r>
      <w:r>
        <w:rPr>
          <w:rFonts w:hint="eastAsia"/>
        </w:rPr>
        <w:t>登录域检查规则”，进入登录域检查规则配置页面，如下图所示。</w:t>
      </w:r>
    </w:p>
    <w:p w14:paraId="60E0883C">
      <w:pPr>
        <w:pStyle w:val="188"/>
      </w:pPr>
      <w:r>
        <w:rPr>
          <w:rFonts w:hint="eastAsia"/>
        </w:rPr>
        <w:t>登录域检查规则配置页面</w:t>
      </w:r>
    </w:p>
    <w:p w14:paraId="20D7560B">
      <w:pPr>
        <w:pStyle w:val="175"/>
      </w:pPr>
      <w:r>
        <w:drawing>
          <wp:inline distT="0" distB="0" distL="114300" distR="114300">
            <wp:extent cx="6115685" cy="2968625"/>
            <wp:effectExtent l="0" t="0" r="18415" b="3175"/>
            <wp:docPr id="65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26"/>
                    <pic:cNvPicPr>
                      <a:picLocks noChangeAspect="1"/>
                    </pic:cNvPicPr>
                  </pic:nvPicPr>
                  <pic:blipFill>
                    <a:blip r:embed="rId1174"/>
                    <a:stretch>
                      <a:fillRect/>
                    </a:stretch>
                  </pic:blipFill>
                  <pic:spPr>
                    <a:xfrm>
                      <a:off x="0" y="0"/>
                      <a:ext cx="6115685" cy="2968625"/>
                    </a:xfrm>
                    <a:prstGeom prst="rect">
                      <a:avLst/>
                    </a:prstGeom>
                    <a:noFill/>
                    <a:ln>
                      <a:noFill/>
                    </a:ln>
                  </pic:spPr>
                </pic:pic>
              </a:graphicData>
            </a:graphic>
          </wp:inline>
        </w:drawing>
      </w:r>
    </w:p>
    <w:p w14:paraId="000C9B39">
      <w:pPr>
        <w:rPr>
          <w:rFonts w:cs="Arial Narrow"/>
          <w:sz w:val="18"/>
          <w:szCs w:val="18"/>
        </w:rPr>
      </w:pPr>
      <w:r>
        <w:drawing>
          <wp:inline distT="0" distB="0" distL="114300" distR="114300">
            <wp:extent cx="6115685" cy="1052830"/>
            <wp:effectExtent l="0" t="0" r="18415" b="13970"/>
            <wp:docPr id="65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27"/>
                    <pic:cNvPicPr>
                      <a:picLocks noChangeAspect="1"/>
                    </pic:cNvPicPr>
                  </pic:nvPicPr>
                  <pic:blipFill>
                    <a:blip r:embed="rId1175"/>
                    <a:stretch>
                      <a:fillRect/>
                    </a:stretch>
                  </pic:blipFill>
                  <pic:spPr>
                    <a:xfrm>
                      <a:off x="0" y="0"/>
                      <a:ext cx="6115685" cy="1052830"/>
                    </a:xfrm>
                    <a:prstGeom prst="rect">
                      <a:avLst/>
                    </a:prstGeom>
                    <a:noFill/>
                    <a:ln>
                      <a:noFill/>
                    </a:ln>
                  </pic:spPr>
                </pic:pic>
              </a:graphicData>
            </a:graphic>
          </wp:inline>
        </w:drawing>
      </w:r>
    </w:p>
    <w:p w14:paraId="7EAB8829">
      <w:pPr>
        <w:rPr>
          <w:rFonts w:cs="Arial Narrow"/>
          <w:sz w:val="18"/>
          <w:szCs w:val="18"/>
        </w:rPr>
      </w:pPr>
    </w:p>
    <w:p w14:paraId="15937E6A">
      <w:pPr>
        <w:pStyle w:val="183"/>
      </w:pPr>
      <w:r>
        <w:rPr>
          <w:rFonts w:hint="eastAsia"/>
        </w:rPr>
        <w:t>登录域检查规则配置说明</w:t>
      </w:r>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85"/>
        <w:gridCol w:w="6930"/>
      </w:tblGrid>
      <w:tr w14:paraId="4DCDCF5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tcBorders>
              <w:tl2br w:val="nil"/>
              <w:tr2bl w:val="nil"/>
            </w:tcBorders>
            <w:shd w:val="clear" w:color="auto" w:fill="538135" w:themeFill="accent6" w:themeFillShade="BF"/>
            <w:vAlign w:val="center"/>
          </w:tcPr>
          <w:p w14:paraId="566570D0">
            <w:pPr>
              <w:pStyle w:val="149"/>
              <w:wordWrap/>
              <w:rPr>
                <w:b/>
                <w:bCs/>
                <w:i w:val="0"/>
                <w:iCs w:val="0"/>
              </w:rPr>
            </w:pPr>
            <w:r>
              <w:rPr>
                <w:rFonts w:hint="eastAsia"/>
                <w:b/>
                <w:bCs/>
                <w:i w:val="0"/>
                <w:iCs w:val="0"/>
              </w:rPr>
              <w:t>项目</w:t>
            </w:r>
          </w:p>
        </w:tc>
        <w:tc>
          <w:tcPr>
            <w:tcW w:w="6930" w:type="dxa"/>
            <w:tcBorders>
              <w:tl2br w:val="nil"/>
              <w:tr2bl w:val="nil"/>
            </w:tcBorders>
            <w:shd w:val="clear" w:color="auto" w:fill="538135" w:themeFill="accent6" w:themeFillShade="BF"/>
            <w:vAlign w:val="center"/>
          </w:tcPr>
          <w:p w14:paraId="0CA5C045">
            <w:pPr>
              <w:pStyle w:val="149"/>
              <w:wordWrap/>
              <w:rPr>
                <w:b/>
                <w:bCs/>
                <w:i w:val="0"/>
                <w:iCs w:val="0"/>
              </w:rPr>
            </w:pPr>
            <w:r>
              <w:rPr>
                <w:rFonts w:hint="eastAsia"/>
                <w:b/>
                <w:bCs/>
                <w:i w:val="0"/>
                <w:iCs w:val="0"/>
              </w:rPr>
              <w:t>说明</w:t>
            </w:r>
          </w:p>
        </w:tc>
      </w:tr>
      <w:tr w14:paraId="6913D55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6B97FFE4">
            <w:pPr>
              <w:pStyle w:val="150"/>
            </w:pPr>
            <w:r>
              <w:rPr>
                <w:rFonts w:hint="eastAsia"/>
              </w:rPr>
              <w:t>规则名称</w:t>
            </w:r>
          </w:p>
        </w:tc>
        <w:tc>
          <w:tcPr>
            <w:tcW w:w="6930" w:type="dxa"/>
            <w:shd w:val="clear" w:color="auto" w:fill="auto"/>
          </w:tcPr>
          <w:p w14:paraId="4140AC03">
            <w:pPr>
              <w:pStyle w:val="150"/>
            </w:pPr>
            <w:r>
              <w:rPr>
                <w:rFonts w:hint="eastAsia"/>
              </w:rPr>
              <w:t>配置规则对象名称。</w:t>
            </w:r>
          </w:p>
        </w:tc>
      </w:tr>
      <w:tr w14:paraId="403019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38ED4EAA">
            <w:pPr>
              <w:pStyle w:val="150"/>
            </w:pPr>
            <w:r>
              <w:rPr>
                <w:rFonts w:hint="eastAsia"/>
              </w:rPr>
              <w:t>规则描述</w:t>
            </w:r>
          </w:p>
        </w:tc>
        <w:tc>
          <w:tcPr>
            <w:tcW w:w="6930" w:type="dxa"/>
            <w:shd w:val="clear" w:color="auto" w:fill="auto"/>
          </w:tcPr>
          <w:p w14:paraId="02EFAF98">
            <w:pPr>
              <w:pStyle w:val="150"/>
            </w:pPr>
            <w:r>
              <w:rPr>
                <w:rFonts w:hint="eastAsia"/>
              </w:rPr>
              <w:t>配置规则对象描述。</w:t>
            </w:r>
          </w:p>
        </w:tc>
      </w:tr>
      <w:tr w14:paraId="132C38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105EC243">
            <w:pPr>
              <w:pStyle w:val="150"/>
            </w:pPr>
            <w:r>
              <w:rPr>
                <w:rFonts w:hint="eastAsia"/>
              </w:rPr>
              <w:t>检查项配置</w:t>
            </w:r>
          </w:p>
        </w:tc>
        <w:tc>
          <w:tcPr>
            <w:tcW w:w="6930" w:type="dxa"/>
            <w:shd w:val="clear" w:color="auto" w:fill="auto"/>
          </w:tcPr>
          <w:p w14:paraId="1E4F3AD1">
            <w:pPr>
              <w:pStyle w:val="150"/>
            </w:pPr>
            <w:r>
              <w:rPr>
                <w:rFonts w:hint="eastAsia"/>
              </w:rPr>
              <w:t>必须登录到域：要求安装插件终端必须登录到域，若没有登录到域，视为违规。</w:t>
            </w:r>
          </w:p>
          <w:p w14:paraId="6090196C">
            <w:pPr>
              <w:pStyle w:val="150"/>
            </w:pPr>
            <w:r>
              <w:rPr>
                <w:rFonts w:hint="eastAsia"/>
              </w:rPr>
              <w:t>必须登录到指定域：要求安装插件终端必须登录到指定的域，若没有登录到指定域，视为违规。</w:t>
            </w:r>
          </w:p>
        </w:tc>
      </w:tr>
      <w:tr w14:paraId="45BC51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228422CC">
            <w:pPr>
              <w:pStyle w:val="150"/>
            </w:pPr>
            <w:r>
              <w:rPr>
                <w:rFonts w:hint="eastAsia"/>
              </w:rPr>
              <w:t>指定域名</w:t>
            </w:r>
          </w:p>
        </w:tc>
        <w:tc>
          <w:tcPr>
            <w:tcW w:w="6930" w:type="dxa"/>
            <w:shd w:val="clear" w:color="auto" w:fill="auto"/>
          </w:tcPr>
          <w:p w14:paraId="42379E16">
            <w:pPr>
              <w:pStyle w:val="150"/>
            </w:pPr>
            <w:r>
              <w:rPr>
                <w:rFonts w:hint="eastAsia"/>
              </w:rPr>
              <w:t>配置指定域名，最多支持配置16条；</w:t>
            </w:r>
          </w:p>
          <w:p w14:paraId="6AB891C0">
            <w:pPr>
              <w:pStyle w:val="150"/>
            </w:pPr>
            <w:r>
              <w:rPr>
                <w:rFonts w:hint="eastAsia"/>
              </w:rPr>
              <w:t>填写多个域名时，只要登录到其中一个域就视为合规。</w:t>
            </w:r>
          </w:p>
        </w:tc>
      </w:tr>
      <w:tr w14:paraId="66860C3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649C4579">
            <w:pPr>
              <w:pStyle w:val="150"/>
            </w:pPr>
            <w:r>
              <w:rPr>
                <w:rFonts w:hint="eastAsia"/>
              </w:rPr>
              <w:t>违规处置</w:t>
            </w:r>
          </w:p>
        </w:tc>
        <w:tc>
          <w:tcPr>
            <w:tcW w:w="6930" w:type="dxa"/>
            <w:shd w:val="clear" w:color="auto" w:fill="auto"/>
          </w:tcPr>
          <w:p w14:paraId="5A221EC7">
            <w:pPr>
              <w:pStyle w:val="150"/>
            </w:pPr>
            <w:r>
              <w:rPr>
                <w:rFonts w:hint="eastAsia"/>
              </w:rPr>
              <w:t>禁止上网并提示用户：违规后禁止终端上网，弹窗提示并上报日志</w:t>
            </w:r>
          </w:p>
          <w:p w14:paraId="6A03A0BE">
            <w:pPr>
              <w:pStyle w:val="150"/>
            </w:pPr>
            <w:r>
              <w:rPr>
                <w:rFonts w:hint="eastAsia"/>
              </w:rPr>
              <w:t>提示用户：违规后弹窗提示并上报日志</w:t>
            </w:r>
          </w:p>
          <w:p w14:paraId="283A7ACE">
            <w:pPr>
              <w:pStyle w:val="150"/>
            </w:pPr>
            <w:r>
              <w:rPr>
                <w:rFonts w:hint="eastAsia"/>
              </w:rPr>
              <w:t>只记录结果：违规后只上报日志</w:t>
            </w:r>
          </w:p>
        </w:tc>
      </w:tr>
      <w:tr w14:paraId="3CFC2D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3F90BDCE">
            <w:pPr>
              <w:pStyle w:val="150"/>
              <w:rPr>
                <w:shd w:val="clear" w:color="auto" w:fill="FFFFFF"/>
              </w:rPr>
            </w:pPr>
            <w:r>
              <w:rPr>
                <w:rFonts w:hint="eastAsia"/>
                <w:shd w:val="clear" w:color="auto" w:fill="FFFFFF"/>
              </w:rPr>
              <w:t>提示内容</w:t>
            </w:r>
          </w:p>
        </w:tc>
        <w:tc>
          <w:tcPr>
            <w:tcW w:w="6930" w:type="dxa"/>
            <w:shd w:val="clear" w:color="auto" w:fill="auto"/>
          </w:tcPr>
          <w:p w14:paraId="2ECE5769">
            <w:pPr>
              <w:pStyle w:val="150"/>
            </w:pPr>
            <w:r>
              <w:rPr>
                <w:rFonts w:hint="eastAsia"/>
              </w:rPr>
              <w:t>配置自定义提示内容</w:t>
            </w:r>
          </w:p>
        </w:tc>
      </w:tr>
      <w:tr w14:paraId="182B66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31604BB0">
            <w:pPr>
              <w:pStyle w:val="150"/>
              <w:rPr>
                <w:shd w:val="clear" w:color="auto" w:fill="FFFFFF"/>
              </w:rPr>
            </w:pPr>
            <w:r>
              <w:rPr>
                <w:rFonts w:hint="eastAsia"/>
                <w:shd w:val="clear" w:color="auto" w:fill="FFFFFF"/>
              </w:rPr>
              <w:t>预览</w:t>
            </w:r>
          </w:p>
        </w:tc>
        <w:tc>
          <w:tcPr>
            <w:tcW w:w="6930" w:type="dxa"/>
            <w:shd w:val="clear" w:color="auto" w:fill="auto"/>
          </w:tcPr>
          <w:p w14:paraId="56446033">
            <w:pPr>
              <w:pStyle w:val="150"/>
            </w:pPr>
            <w:r>
              <w:rPr>
                <w:rFonts w:hint="eastAsia"/>
              </w:rPr>
              <w:t>预览弹窗提示信息</w:t>
            </w:r>
          </w:p>
        </w:tc>
      </w:tr>
    </w:tbl>
    <w:p w14:paraId="54039FFB">
      <w:pPr>
        <w:rPr>
          <w:rFonts w:cs="Arial Narrow"/>
          <w:sz w:val="18"/>
          <w:szCs w:val="18"/>
        </w:rPr>
      </w:pPr>
    </w:p>
    <w:p w14:paraId="2A1D4CFB">
      <w:pPr>
        <w:pStyle w:val="6"/>
      </w:pPr>
      <w:r>
        <w:rPr>
          <w:rFonts w:hint="eastAsia"/>
        </w:rPr>
        <w:t>操作系统规则</w:t>
      </w:r>
    </w:p>
    <w:p w14:paraId="411F0922">
      <w:r>
        <w:rPr>
          <w:rFonts w:hint="eastAsia"/>
        </w:rPr>
        <w:t>在导航栏中选择“用户管理&gt;终端准入管理&gt;准入策略”，单击选择“规则对象”标签页，进入规则对象页面，将鼠标悬停在“新建”按钮，选择“检查规则&gt;操作系统规则”，进入操作系统规则配置页面，如下图所示。</w:t>
      </w:r>
    </w:p>
    <w:p w14:paraId="5EAE2FEC">
      <w:pPr>
        <w:pStyle w:val="188"/>
        <w:rPr>
          <w:szCs w:val="18"/>
        </w:rPr>
      </w:pPr>
      <w:r>
        <w:rPr>
          <w:rFonts w:hint="eastAsia"/>
        </w:rPr>
        <w:t>操作系统规则配置页面</w:t>
      </w:r>
    </w:p>
    <w:p w14:paraId="5B715104">
      <w:pPr>
        <w:pStyle w:val="175"/>
        <w:rPr>
          <w:rFonts w:cs="Arial Narrow"/>
          <w:sz w:val="18"/>
          <w:szCs w:val="18"/>
        </w:rPr>
      </w:pPr>
      <w:r>
        <w:drawing>
          <wp:inline distT="0" distB="0" distL="114300" distR="114300">
            <wp:extent cx="5812790" cy="3108960"/>
            <wp:effectExtent l="0" t="0" r="16510" b="15240"/>
            <wp:docPr id="65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14"/>
                    <pic:cNvPicPr>
                      <a:picLocks noChangeAspect="1"/>
                    </pic:cNvPicPr>
                  </pic:nvPicPr>
                  <pic:blipFill>
                    <a:blip r:embed="rId1176"/>
                    <a:stretch>
                      <a:fillRect/>
                    </a:stretch>
                  </pic:blipFill>
                  <pic:spPr>
                    <a:xfrm>
                      <a:off x="0" y="0"/>
                      <a:ext cx="5812790" cy="3108960"/>
                    </a:xfrm>
                    <a:prstGeom prst="rect">
                      <a:avLst/>
                    </a:prstGeom>
                    <a:noFill/>
                    <a:ln>
                      <a:noFill/>
                    </a:ln>
                  </pic:spPr>
                </pic:pic>
              </a:graphicData>
            </a:graphic>
          </wp:inline>
        </w:drawing>
      </w:r>
    </w:p>
    <w:p w14:paraId="253DEFF4">
      <w:pPr>
        <w:pStyle w:val="183"/>
      </w:pPr>
      <w:r>
        <w:rPr>
          <w:rFonts w:hint="eastAsia"/>
        </w:rPr>
        <w:t>操作系统规则配置说明</w:t>
      </w:r>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85"/>
        <w:gridCol w:w="6930"/>
      </w:tblGrid>
      <w:tr w14:paraId="7ABBAF7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tcBorders>
              <w:tl2br w:val="nil"/>
              <w:tr2bl w:val="nil"/>
            </w:tcBorders>
            <w:shd w:val="clear" w:color="auto" w:fill="538135" w:themeFill="accent6" w:themeFillShade="BF"/>
            <w:vAlign w:val="center"/>
          </w:tcPr>
          <w:p w14:paraId="542B33E3">
            <w:pPr>
              <w:pStyle w:val="149"/>
              <w:wordWrap/>
              <w:rPr>
                <w:b/>
                <w:bCs/>
                <w:i w:val="0"/>
                <w:iCs w:val="0"/>
              </w:rPr>
            </w:pPr>
            <w:r>
              <w:rPr>
                <w:rFonts w:hint="eastAsia"/>
                <w:b/>
                <w:bCs/>
                <w:i w:val="0"/>
                <w:iCs w:val="0"/>
              </w:rPr>
              <w:t>项目</w:t>
            </w:r>
          </w:p>
        </w:tc>
        <w:tc>
          <w:tcPr>
            <w:tcW w:w="6930" w:type="dxa"/>
            <w:tcBorders>
              <w:tl2br w:val="nil"/>
              <w:tr2bl w:val="nil"/>
            </w:tcBorders>
            <w:shd w:val="clear" w:color="auto" w:fill="538135" w:themeFill="accent6" w:themeFillShade="BF"/>
            <w:vAlign w:val="center"/>
          </w:tcPr>
          <w:p w14:paraId="187279E9">
            <w:pPr>
              <w:pStyle w:val="149"/>
              <w:wordWrap/>
              <w:rPr>
                <w:b/>
                <w:bCs/>
                <w:i w:val="0"/>
                <w:iCs w:val="0"/>
              </w:rPr>
            </w:pPr>
            <w:r>
              <w:rPr>
                <w:rFonts w:hint="eastAsia"/>
                <w:b/>
                <w:bCs/>
                <w:i w:val="0"/>
                <w:iCs w:val="0"/>
              </w:rPr>
              <w:t>说明</w:t>
            </w:r>
          </w:p>
        </w:tc>
      </w:tr>
      <w:tr w14:paraId="5C02BF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0D466D0D">
            <w:pPr>
              <w:pStyle w:val="150"/>
            </w:pPr>
            <w:r>
              <w:rPr>
                <w:rFonts w:hint="eastAsia"/>
              </w:rPr>
              <w:t>规则名称</w:t>
            </w:r>
          </w:p>
        </w:tc>
        <w:tc>
          <w:tcPr>
            <w:tcW w:w="6930" w:type="dxa"/>
            <w:shd w:val="clear" w:color="auto" w:fill="auto"/>
          </w:tcPr>
          <w:p w14:paraId="61D24DE2">
            <w:pPr>
              <w:pStyle w:val="150"/>
            </w:pPr>
            <w:r>
              <w:rPr>
                <w:rFonts w:hint="eastAsia"/>
              </w:rPr>
              <w:t>配置规则对象名称。</w:t>
            </w:r>
          </w:p>
        </w:tc>
      </w:tr>
      <w:tr w14:paraId="6F6C50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7086E57C">
            <w:pPr>
              <w:pStyle w:val="150"/>
            </w:pPr>
            <w:r>
              <w:rPr>
                <w:rFonts w:hint="eastAsia"/>
              </w:rPr>
              <w:t>规则描述</w:t>
            </w:r>
          </w:p>
        </w:tc>
        <w:tc>
          <w:tcPr>
            <w:tcW w:w="6930" w:type="dxa"/>
            <w:shd w:val="clear" w:color="auto" w:fill="auto"/>
          </w:tcPr>
          <w:p w14:paraId="021EB758">
            <w:pPr>
              <w:pStyle w:val="150"/>
            </w:pPr>
            <w:r>
              <w:rPr>
                <w:rFonts w:hint="eastAsia"/>
              </w:rPr>
              <w:t>配置规则对象描述。</w:t>
            </w:r>
          </w:p>
        </w:tc>
      </w:tr>
      <w:tr w14:paraId="2BD7843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295F24E3">
            <w:pPr>
              <w:pStyle w:val="150"/>
            </w:pPr>
            <w:r>
              <w:rPr>
                <w:rFonts w:hint="eastAsia"/>
              </w:rPr>
              <w:t>操作系统配置</w:t>
            </w:r>
          </w:p>
        </w:tc>
        <w:tc>
          <w:tcPr>
            <w:tcW w:w="6930" w:type="dxa"/>
            <w:shd w:val="clear" w:color="auto" w:fill="auto"/>
          </w:tcPr>
          <w:p w14:paraId="4216D994">
            <w:pPr>
              <w:pStyle w:val="150"/>
              <w:rPr>
                <w:lang w:bidi="ar"/>
              </w:rPr>
            </w:pPr>
            <w:r>
              <w:rPr>
                <w:rFonts w:hint="eastAsia"/>
              </w:rPr>
              <w:t>支持勾选</w:t>
            </w:r>
            <w:r>
              <w:rPr>
                <w:lang w:bidi="ar"/>
              </w:rPr>
              <w:t xml:space="preserve">Windows </w:t>
            </w:r>
            <w:r>
              <w:rPr>
                <w:rFonts w:hint="eastAsia"/>
                <w:lang w:bidi="ar"/>
              </w:rPr>
              <w:t>7</w:t>
            </w:r>
            <w:r>
              <w:rPr>
                <w:rFonts w:hint="eastAsia" w:ascii="Microsoft YaHei UI" w:hAnsi="Microsoft YaHei UI" w:eastAsia="Microsoft YaHei UI" w:cs="Microsoft YaHei UI"/>
                <w:lang w:bidi="ar"/>
              </w:rPr>
              <w:t>、</w:t>
            </w:r>
            <w:r>
              <w:rPr>
                <w:lang w:bidi="ar"/>
              </w:rPr>
              <w:t xml:space="preserve">Windows </w:t>
            </w:r>
            <w:r>
              <w:rPr>
                <w:rFonts w:hint="eastAsia"/>
                <w:lang w:bidi="ar"/>
              </w:rPr>
              <w:t>8</w:t>
            </w:r>
            <w:r>
              <w:rPr>
                <w:rFonts w:hint="eastAsia" w:ascii="Microsoft YaHei UI" w:hAnsi="Microsoft YaHei UI" w:eastAsia="Microsoft YaHei UI" w:cs="Microsoft YaHei UI"/>
                <w:lang w:bidi="ar"/>
              </w:rPr>
              <w:t>、</w:t>
            </w:r>
            <w:r>
              <w:rPr>
                <w:lang w:bidi="ar"/>
              </w:rPr>
              <w:t xml:space="preserve">Windows </w:t>
            </w:r>
            <w:r>
              <w:rPr>
                <w:rFonts w:hint="eastAsia"/>
                <w:lang w:bidi="ar"/>
              </w:rPr>
              <w:t>8.1</w:t>
            </w:r>
            <w:r>
              <w:rPr>
                <w:rFonts w:hint="eastAsia" w:ascii="Microsoft YaHei UI" w:hAnsi="Microsoft YaHei UI" w:eastAsia="Microsoft YaHei UI" w:cs="Microsoft YaHei UI"/>
                <w:lang w:bidi="ar"/>
              </w:rPr>
              <w:t>、</w:t>
            </w:r>
            <w:r>
              <w:rPr>
                <w:lang w:bidi="ar"/>
              </w:rPr>
              <w:t xml:space="preserve">Windows </w:t>
            </w:r>
            <w:r>
              <w:rPr>
                <w:rFonts w:hint="eastAsia"/>
                <w:lang w:bidi="ar"/>
              </w:rPr>
              <w:t>10</w:t>
            </w:r>
            <w:r>
              <w:rPr>
                <w:rFonts w:hint="eastAsia" w:ascii="Microsoft YaHei UI" w:hAnsi="Microsoft YaHei UI" w:eastAsia="Microsoft YaHei UI" w:cs="Microsoft YaHei UI"/>
                <w:lang w:bidi="ar"/>
              </w:rPr>
              <w:t>、</w:t>
            </w:r>
            <w:r>
              <w:rPr>
                <w:lang w:bidi="ar"/>
              </w:rPr>
              <w:t xml:space="preserve">Windows </w:t>
            </w:r>
            <w:r>
              <w:rPr>
                <w:rFonts w:hint="eastAsia"/>
                <w:lang w:bidi="ar"/>
              </w:rPr>
              <w:t>11</w:t>
            </w:r>
            <w:r>
              <w:rPr>
                <w:rFonts w:hint="eastAsia" w:ascii="Microsoft YaHei UI" w:hAnsi="Microsoft YaHei UI" w:eastAsia="Microsoft YaHei UI" w:cs="Microsoft YaHei UI"/>
                <w:lang w:bidi="ar"/>
              </w:rPr>
              <w:t>；</w:t>
            </w:r>
          </w:p>
          <w:p w14:paraId="01A5D6B0">
            <w:pPr>
              <w:jc w:val="left"/>
              <w:rPr>
                <w:rFonts w:cs="Arial"/>
              </w:rPr>
            </w:pPr>
            <w:r>
              <w:rPr>
                <w:rFonts w:hint="eastAsia" w:ascii="Microsoft YaHei UI" w:hAnsi="Microsoft YaHei UI" w:eastAsia="Microsoft YaHei UI" w:cs="Microsoft YaHei UI"/>
                <w:color w:val="333333"/>
                <w:kern w:val="0"/>
                <w:sz w:val="18"/>
                <w:szCs w:val="18"/>
                <w:lang w:bidi="ar"/>
              </w:rPr>
              <w:t>只允许使用勾选的操作系统；</w:t>
            </w:r>
          </w:p>
          <w:p w14:paraId="5229E232">
            <w:pPr>
              <w:pStyle w:val="150"/>
            </w:pPr>
            <w:r>
              <w:rPr>
                <w:rFonts w:hint="eastAsia"/>
              </w:rPr>
              <w:t>终端使用操作系统不在勾选内，视为违规。</w:t>
            </w:r>
          </w:p>
        </w:tc>
      </w:tr>
      <w:tr w14:paraId="186975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05F7EE14">
            <w:pPr>
              <w:pStyle w:val="150"/>
            </w:pPr>
            <w:r>
              <w:rPr>
                <w:rFonts w:hint="eastAsia"/>
              </w:rPr>
              <w:t>违规处置</w:t>
            </w:r>
          </w:p>
        </w:tc>
        <w:tc>
          <w:tcPr>
            <w:tcW w:w="6930" w:type="dxa"/>
            <w:shd w:val="clear" w:color="auto" w:fill="auto"/>
          </w:tcPr>
          <w:p w14:paraId="13751C4E">
            <w:pPr>
              <w:pStyle w:val="150"/>
            </w:pPr>
            <w:r>
              <w:rPr>
                <w:rFonts w:hint="eastAsia"/>
              </w:rPr>
              <w:t>禁止上网并提示用户：违规后禁止终端上网，弹窗提示并上报日志</w:t>
            </w:r>
          </w:p>
          <w:p w14:paraId="0ECBA82B">
            <w:pPr>
              <w:pStyle w:val="150"/>
            </w:pPr>
            <w:r>
              <w:rPr>
                <w:rFonts w:hint="eastAsia"/>
              </w:rPr>
              <w:t>提示用户：违规后弹窗提示并上报日志</w:t>
            </w:r>
          </w:p>
          <w:p w14:paraId="35FF2634">
            <w:pPr>
              <w:pStyle w:val="150"/>
            </w:pPr>
            <w:r>
              <w:rPr>
                <w:rFonts w:hint="eastAsia"/>
              </w:rPr>
              <w:t>只记录结果：违规后只上报日志</w:t>
            </w:r>
          </w:p>
        </w:tc>
      </w:tr>
      <w:tr w14:paraId="069FC9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20D35C90">
            <w:pPr>
              <w:pStyle w:val="150"/>
              <w:rPr>
                <w:shd w:val="clear" w:color="auto" w:fill="FFFFFF"/>
              </w:rPr>
            </w:pPr>
            <w:r>
              <w:rPr>
                <w:rFonts w:hint="eastAsia"/>
                <w:shd w:val="clear" w:color="auto" w:fill="FFFFFF"/>
              </w:rPr>
              <w:t>提示内容</w:t>
            </w:r>
          </w:p>
        </w:tc>
        <w:tc>
          <w:tcPr>
            <w:tcW w:w="6930" w:type="dxa"/>
            <w:shd w:val="clear" w:color="auto" w:fill="auto"/>
          </w:tcPr>
          <w:p w14:paraId="6792D26F">
            <w:pPr>
              <w:pStyle w:val="150"/>
            </w:pPr>
            <w:r>
              <w:rPr>
                <w:rFonts w:hint="eastAsia"/>
              </w:rPr>
              <w:t>配置自定义提示内容</w:t>
            </w:r>
          </w:p>
        </w:tc>
      </w:tr>
      <w:tr w14:paraId="1AA7728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3AF505C2">
            <w:pPr>
              <w:pStyle w:val="150"/>
              <w:rPr>
                <w:shd w:val="clear" w:color="auto" w:fill="FFFFFF"/>
              </w:rPr>
            </w:pPr>
            <w:r>
              <w:rPr>
                <w:rFonts w:hint="eastAsia"/>
                <w:shd w:val="clear" w:color="auto" w:fill="FFFFFF"/>
              </w:rPr>
              <w:t>预览</w:t>
            </w:r>
          </w:p>
        </w:tc>
        <w:tc>
          <w:tcPr>
            <w:tcW w:w="6930" w:type="dxa"/>
            <w:shd w:val="clear" w:color="auto" w:fill="auto"/>
          </w:tcPr>
          <w:p w14:paraId="64EAB17A">
            <w:pPr>
              <w:pStyle w:val="150"/>
            </w:pPr>
            <w:r>
              <w:rPr>
                <w:rFonts w:hint="eastAsia"/>
              </w:rPr>
              <w:t>预览弹窗提示信息</w:t>
            </w:r>
          </w:p>
        </w:tc>
      </w:tr>
    </w:tbl>
    <w:p w14:paraId="24E1A3C0">
      <w:pPr>
        <w:rPr>
          <w:rFonts w:cs="Arial Narrow"/>
          <w:sz w:val="18"/>
          <w:szCs w:val="18"/>
        </w:rPr>
      </w:pPr>
    </w:p>
    <w:p w14:paraId="7F53B624">
      <w:pPr>
        <w:pStyle w:val="6"/>
      </w:pPr>
      <w:r>
        <w:rPr>
          <w:rFonts w:hint="eastAsia"/>
        </w:rPr>
        <w:t>进程检查规则</w:t>
      </w:r>
    </w:p>
    <w:p w14:paraId="497F8886">
      <w:r>
        <w:rPr>
          <w:rFonts w:hint="eastAsia"/>
        </w:rPr>
        <w:t>在导航栏中选择“用户管理&gt;终端准入管理&gt;准入策略”，单击选择“规则对象”标签页，进入规则对象页面，将鼠标悬停在“新建”按钮，选择“检查规则&gt;进程检查规则”，进入进程检查规则配置页面，如下图所示。</w:t>
      </w:r>
    </w:p>
    <w:p w14:paraId="3CA569DA">
      <w:pPr>
        <w:pStyle w:val="188"/>
        <w:rPr>
          <w:szCs w:val="18"/>
        </w:rPr>
      </w:pPr>
      <w:r>
        <w:rPr>
          <w:rFonts w:hint="eastAsia"/>
        </w:rPr>
        <w:t>进程检查规则配置页面</w:t>
      </w:r>
    </w:p>
    <w:p w14:paraId="30DA9CA0">
      <w:r>
        <w:drawing>
          <wp:inline distT="0" distB="0" distL="114300" distR="114300">
            <wp:extent cx="6113780" cy="2656205"/>
            <wp:effectExtent l="0" t="0" r="1270" b="10795"/>
            <wp:docPr id="65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图片 15"/>
                    <pic:cNvPicPr>
                      <a:picLocks noChangeAspect="1"/>
                    </pic:cNvPicPr>
                  </pic:nvPicPr>
                  <pic:blipFill>
                    <a:blip r:embed="rId1177"/>
                    <a:stretch>
                      <a:fillRect/>
                    </a:stretch>
                  </pic:blipFill>
                  <pic:spPr>
                    <a:xfrm>
                      <a:off x="0" y="0"/>
                      <a:ext cx="6113780" cy="2656205"/>
                    </a:xfrm>
                    <a:prstGeom prst="rect">
                      <a:avLst/>
                    </a:prstGeom>
                    <a:noFill/>
                    <a:ln>
                      <a:noFill/>
                    </a:ln>
                  </pic:spPr>
                </pic:pic>
              </a:graphicData>
            </a:graphic>
          </wp:inline>
        </w:drawing>
      </w:r>
    </w:p>
    <w:p w14:paraId="4DB76417">
      <w:r>
        <w:drawing>
          <wp:inline distT="0" distB="0" distL="114300" distR="114300">
            <wp:extent cx="6114415" cy="1300480"/>
            <wp:effectExtent l="0" t="0" r="635" b="13970"/>
            <wp:docPr id="65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图片 16"/>
                    <pic:cNvPicPr>
                      <a:picLocks noChangeAspect="1"/>
                    </pic:cNvPicPr>
                  </pic:nvPicPr>
                  <pic:blipFill>
                    <a:blip r:embed="rId1178"/>
                    <a:stretch>
                      <a:fillRect/>
                    </a:stretch>
                  </pic:blipFill>
                  <pic:spPr>
                    <a:xfrm>
                      <a:off x="0" y="0"/>
                      <a:ext cx="6114415" cy="1300480"/>
                    </a:xfrm>
                    <a:prstGeom prst="rect">
                      <a:avLst/>
                    </a:prstGeom>
                    <a:noFill/>
                    <a:ln>
                      <a:noFill/>
                    </a:ln>
                  </pic:spPr>
                </pic:pic>
              </a:graphicData>
            </a:graphic>
          </wp:inline>
        </w:drawing>
      </w:r>
    </w:p>
    <w:p w14:paraId="0F87A884">
      <w:pPr>
        <w:pStyle w:val="183"/>
      </w:pPr>
      <w:r>
        <w:rPr>
          <w:rFonts w:hint="eastAsia"/>
        </w:rPr>
        <w:t>进程检查规则配置说明</w:t>
      </w:r>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85"/>
        <w:gridCol w:w="6930"/>
      </w:tblGrid>
      <w:tr w14:paraId="6847331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tcBorders>
              <w:tl2br w:val="nil"/>
              <w:tr2bl w:val="nil"/>
            </w:tcBorders>
            <w:shd w:val="clear" w:color="auto" w:fill="538135" w:themeFill="accent6" w:themeFillShade="BF"/>
            <w:vAlign w:val="center"/>
          </w:tcPr>
          <w:p w14:paraId="6258817B">
            <w:pPr>
              <w:pStyle w:val="149"/>
              <w:wordWrap/>
              <w:rPr>
                <w:b/>
                <w:bCs/>
                <w:i w:val="0"/>
                <w:iCs w:val="0"/>
              </w:rPr>
            </w:pPr>
            <w:r>
              <w:rPr>
                <w:rFonts w:hint="eastAsia"/>
                <w:b/>
                <w:bCs/>
                <w:i w:val="0"/>
                <w:iCs w:val="0"/>
              </w:rPr>
              <w:t>项目</w:t>
            </w:r>
          </w:p>
        </w:tc>
        <w:tc>
          <w:tcPr>
            <w:tcW w:w="6930" w:type="dxa"/>
            <w:tcBorders>
              <w:tl2br w:val="nil"/>
              <w:tr2bl w:val="nil"/>
            </w:tcBorders>
            <w:shd w:val="clear" w:color="auto" w:fill="538135" w:themeFill="accent6" w:themeFillShade="BF"/>
            <w:vAlign w:val="center"/>
          </w:tcPr>
          <w:p w14:paraId="786C27FE">
            <w:pPr>
              <w:pStyle w:val="149"/>
              <w:wordWrap/>
              <w:rPr>
                <w:b/>
                <w:bCs/>
                <w:i w:val="0"/>
                <w:iCs w:val="0"/>
              </w:rPr>
            </w:pPr>
            <w:r>
              <w:rPr>
                <w:rFonts w:hint="eastAsia"/>
                <w:b/>
                <w:bCs/>
                <w:i w:val="0"/>
                <w:iCs w:val="0"/>
              </w:rPr>
              <w:t>说明</w:t>
            </w:r>
          </w:p>
        </w:tc>
      </w:tr>
      <w:tr w14:paraId="407A08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0E7F978E">
            <w:pPr>
              <w:pStyle w:val="150"/>
            </w:pPr>
            <w:r>
              <w:rPr>
                <w:rFonts w:hint="eastAsia"/>
              </w:rPr>
              <w:t>规则名称</w:t>
            </w:r>
          </w:p>
        </w:tc>
        <w:tc>
          <w:tcPr>
            <w:tcW w:w="6930" w:type="dxa"/>
            <w:shd w:val="clear" w:color="auto" w:fill="auto"/>
          </w:tcPr>
          <w:p w14:paraId="4FE5DDC7">
            <w:pPr>
              <w:pStyle w:val="150"/>
            </w:pPr>
            <w:r>
              <w:rPr>
                <w:rFonts w:hint="eastAsia"/>
              </w:rPr>
              <w:t>配置规则对象名称。</w:t>
            </w:r>
          </w:p>
        </w:tc>
      </w:tr>
      <w:tr w14:paraId="48CF28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20" w:hRule="atLeast"/>
        </w:trPr>
        <w:tc>
          <w:tcPr>
            <w:tcW w:w="2085" w:type="dxa"/>
            <w:shd w:val="clear" w:color="auto" w:fill="auto"/>
          </w:tcPr>
          <w:p w14:paraId="24980A2D">
            <w:pPr>
              <w:pStyle w:val="150"/>
            </w:pPr>
            <w:r>
              <w:rPr>
                <w:rFonts w:hint="eastAsia"/>
              </w:rPr>
              <w:t>规则描述</w:t>
            </w:r>
          </w:p>
        </w:tc>
        <w:tc>
          <w:tcPr>
            <w:tcW w:w="6930" w:type="dxa"/>
            <w:shd w:val="clear" w:color="auto" w:fill="auto"/>
          </w:tcPr>
          <w:p w14:paraId="77CB2ECB">
            <w:pPr>
              <w:pStyle w:val="150"/>
            </w:pPr>
            <w:r>
              <w:rPr>
                <w:rFonts w:hint="eastAsia"/>
              </w:rPr>
              <w:t>配置规则对象描述。</w:t>
            </w:r>
          </w:p>
        </w:tc>
      </w:tr>
      <w:tr w14:paraId="7CB5139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4E5BCD54">
            <w:pPr>
              <w:pStyle w:val="150"/>
            </w:pPr>
            <w:r>
              <w:rPr>
                <w:rFonts w:hint="eastAsia"/>
              </w:rPr>
              <w:t>进程名称</w:t>
            </w:r>
          </w:p>
        </w:tc>
        <w:tc>
          <w:tcPr>
            <w:tcW w:w="6930" w:type="dxa"/>
            <w:shd w:val="clear" w:color="auto" w:fill="auto"/>
          </w:tcPr>
          <w:p w14:paraId="32E0FF76">
            <w:pPr>
              <w:pStyle w:val="150"/>
            </w:pPr>
            <w:r>
              <w:rPr>
                <w:rFonts w:hint="eastAsia"/>
              </w:rPr>
              <w:t>配置运行程序的进程名称，不支持模糊匹配。</w:t>
            </w:r>
          </w:p>
        </w:tc>
      </w:tr>
      <w:tr w14:paraId="2C0E9CD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49BCFA12">
            <w:pPr>
              <w:pStyle w:val="150"/>
            </w:pPr>
            <w:r>
              <w:rPr>
                <w:rFonts w:hint="eastAsia"/>
              </w:rPr>
              <w:t>窗口名称</w:t>
            </w:r>
          </w:p>
        </w:tc>
        <w:tc>
          <w:tcPr>
            <w:tcW w:w="6930" w:type="dxa"/>
            <w:shd w:val="clear" w:color="auto" w:fill="auto"/>
          </w:tcPr>
          <w:p w14:paraId="71D24E31">
            <w:pPr>
              <w:pStyle w:val="150"/>
            </w:pPr>
            <w:r>
              <w:rPr>
                <w:rFonts w:hint="eastAsia"/>
              </w:rPr>
              <w:t>配置运行程序的窗口名称，不支持模糊匹配。</w:t>
            </w:r>
          </w:p>
        </w:tc>
      </w:tr>
      <w:tr w14:paraId="0A837EF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47A3EBCD">
            <w:pPr>
              <w:pStyle w:val="150"/>
            </w:pPr>
            <w:r>
              <w:rPr>
                <w:rFonts w:hint="eastAsia"/>
              </w:rPr>
              <w:t>程序路径</w:t>
            </w:r>
          </w:p>
        </w:tc>
        <w:tc>
          <w:tcPr>
            <w:tcW w:w="6930" w:type="dxa"/>
            <w:shd w:val="clear" w:color="auto" w:fill="auto"/>
          </w:tcPr>
          <w:p w14:paraId="7699EF6F">
            <w:pPr>
              <w:pStyle w:val="150"/>
            </w:pPr>
            <w:r>
              <w:rPr>
                <w:rFonts w:hint="eastAsia"/>
              </w:rPr>
              <w:t>只适用于“开启进程”，不用于匹配，支持配置绝对路径或环境变量。</w:t>
            </w:r>
          </w:p>
        </w:tc>
      </w:tr>
      <w:tr w14:paraId="7EAAE2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71AABD7E">
            <w:pPr>
              <w:pStyle w:val="150"/>
            </w:pPr>
            <w:r>
              <w:rPr>
                <w:rFonts w:hint="eastAsia"/>
              </w:rPr>
              <w:t>进程状态</w:t>
            </w:r>
          </w:p>
        </w:tc>
        <w:tc>
          <w:tcPr>
            <w:tcW w:w="6930" w:type="dxa"/>
            <w:shd w:val="clear" w:color="auto" w:fill="auto"/>
          </w:tcPr>
          <w:p w14:paraId="3E347CF7">
            <w:pPr>
              <w:pStyle w:val="150"/>
            </w:pPr>
            <w:r>
              <w:rPr>
                <w:rFonts w:hint="eastAsia"/>
              </w:rPr>
              <w:t>配置进程状态“正在运行”或“没有运行”</w:t>
            </w:r>
          </w:p>
        </w:tc>
      </w:tr>
      <w:tr w14:paraId="01ECC8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7CC6E39B">
            <w:pPr>
              <w:pStyle w:val="150"/>
            </w:pPr>
            <w:r>
              <w:rPr>
                <w:rFonts w:hint="eastAsia"/>
              </w:rPr>
              <w:t>匹配程序MD5值</w:t>
            </w:r>
          </w:p>
        </w:tc>
        <w:tc>
          <w:tcPr>
            <w:tcW w:w="6930" w:type="dxa"/>
            <w:shd w:val="clear" w:color="auto" w:fill="auto"/>
          </w:tcPr>
          <w:p w14:paraId="7516ACB6">
            <w:pPr>
              <w:pStyle w:val="150"/>
            </w:pPr>
            <w:r>
              <w:rPr>
                <w:rFonts w:hint="eastAsia"/>
              </w:rPr>
              <w:t>配置运行程序的MD5值。</w:t>
            </w:r>
          </w:p>
        </w:tc>
      </w:tr>
      <w:tr w14:paraId="5C83E9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73D90AAB">
            <w:pPr>
              <w:pStyle w:val="150"/>
            </w:pPr>
            <w:r>
              <w:rPr>
                <w:rFonts w:hint="eastAsia"/>
              </w:rPr>
              <w:t>匹配程序大小</w:t>
            </w:r>
          </w:p>
        </w:tc>
        <w:tc>
          <w:tcPr>
            <w:tcW w:w="6930" w:type="dxa"/>
            <w:shd w:val="clear" w:color="auto" w:fill="auto"/>
          </w:tcPr>
          <w:p w14:paraId="687B47F1">
            <w:pPr>
              <w:pStyle w:val="150"/>
            </w:pPr>
            <w:r>
              <w:rPr>
                <w:rFonts w:hint="eastAsia"/>
              </w:rPr>
              <w:t>配置运行程序的大小。</w:t>
            </w:r>
          </w:p>
        </w:tc>
      </w:tr>
      <w:tr w14:paraId="3173E1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4B964502">
            <w:pPr>
              <w:pStyle w:val="150"/>
            </w:pPr>
            <w:r>
              <w:rPr>
                <w:rFonts w:hint="eastAsia"/>
              </w:rPr>
              <w:t>违规处置</w:t>
            </w:r>
          </w:p>
        </w:tc>
        <w:tc>
          <w:tcPr>
            <w:tcW w:w="6930" w:type="dxa"/>
            <w:shd w:val="clear" w:color="auto" w:fill="auto"/>
          </w:tcPr>
          <w:p w14:paraId="5EE244C0">
            <w:pPr>
              <w:pStyle w:val="207"/>
              <w:tabs>
                <w:tab w:val="left" w:pos="1134"/>
              </w:tabs>
              <w:rPr>
                <w:lang w:eastAsia="zh-CN"/>
              </w:rPr>
            </w:pPr>
            <w:r>
              <w:rPr>
                <w:rFonts w:hint="eastAsia"/>
                <w:lang w:eastAsia="zh-CN"/>
              </w:rPr>
              <w:t>禁止上网并提示用户：违规后禁止终端上网，弹窗提示并上报日志；</w:t>
            </w:r>
          </w:p>
          <w:p w14:paraId="29747097">
            <w:pPr>
              <w:pStyle w:val="207"/>
              <w:tabs>
                <w:tab w:val="left" w:pos="1134"/>
              </w:tabs>
              <w:rPr>
                <w:lang w:eastAsia="zh-CN"/>
              </w:rPr>
            </w:pPr>
            <w:r>
              <w:rPr>
                <w:rFonts w:hint="eastAsia"/>
                <w:lang w:eastAsia="zh-CN"/>
              </w:rPr>
              <w:t>提示用户：违规后弹窗提示并上报日志；</w:t>
            </w:r>
          </w:p>
          <w:p w14:paraId="7310077A">
            <w:pPr>
              <w:pStyle w:val="207"/>
              <w:tabs>
                <w:tab w:val="left" w:pos="1134"/>
              </w:tabs>
              <w:rPr>
                <w:lang w:eastAsia="zh-CN"/>
              </w:rPr>
            </w:pPr>
            <w:r>
              <w:rPr>
                <w:rFonts w:hint="eastAsia"/>
                <w:lang w:eastAsia="zh-CN"/>
              </w:rPr>
              <w:t>只记录结果：违规后只上报日志；</w:t>
            </w:r>
          </w:p>
          <w:p w14:paraId="48FBBD1E">
            <w:pPr>
              <w:pStyle w:val="207"/>
              <w:tabs>
                <w:tab w:val="left" w:pos="1134"/>
              </w:tabs>
              <w:rPr>
                <w:lang w:eastAsia="zh-CN"/>
              </w:rPr>
            </w:pPr>
            <w:r>
              <w:rPr>
                <w:rFonts w:hint="eastAsia"/>
                <w:lang w:eastAsia="zh-CN"/>
              </w:rPr>
              <w:t>停止进程：进程状态为“正在运行”时可选，违规后停止对应进程；</w:t>
            </w:r>
          </w:p>
          <w:p w14:paraId="7C931404">
            <w:pPr>
              <w:pStyle w:val="207"/>
              <w:tabs>
                <w:tab w:val="left" w:pos="1134"/>
              </w:tabs>
              <w:rPr>
                <w:lang w:eastAsia="zh-CN"/>
              </w:rPr>
            </w:pPr>
            <w:r>
              <w:rPr>
                <w:rFonts w:hint="eastAsia"/>
                <w:lang w:eastAsia="zh-CN"/>
              </w:rPr>
              <w:t>开启进程：进程状态为“没有运行”时可选，违规后开启对应进程。</w:t>
            </w:r>
          </w:p>
        </w:tc>
      </w:tr>
      <w:tr w14:paraId="7605DE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45A960BD">
            <w:pPr>
              <w:pStyle w:val="150"/>
              <w:rPr>
                <w:shd w:val="clear" w:color="auto" w:fill="FFFFFF"/>
              </w:rPr>
            </w:pPr>
            <w:r>
              <w:rPr>
                <w:rFonts w:hint="eastAsia"/>
                <w:shd w:val="clear" w:color="auto" w:fill="FFFFFF"/>
              </w:rPr>
              <w:t>提示内容</w:t>
            </w:r>
          </w:p>
        </w:tc>
        <w:tc>
          <w:tcPr>
            <w:tcW w:w="6930" w:type="dxa"/>
            <w:shd w:val="clear" w:color="auto" w:fill="auto"/>
          </w:tcPr>
          <w:p w14:paraId="0DF11D83">
            <w:pPr>
              <w:pStyle w:val="150"/>
            </w:pPr>
            <w:r>
              <w:rPr>
                <w:rFonts w:hint="eastAsia"/>
              </w:rPr>
              <w:t>配置自定义提示内。</w:t>
            </w:r>
          </w:p>
        </w:tc>
      </w:tr>
      <w:tr w14:paraId="2EC5FB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5A41C28E">
            <w:pPr>
              <w:pStyle w:val="150"/>
              <w:rPr>
                <w:shd w:val="clear" w:color="auto" w:fill="FFFFFF"/>
              </w:rPr>
            </w:pPr>
            <w:r>
              <w:rPr>
                <w:rFonts w:hint="eastAsia"/>
                <w:shd w:val="clear" w:color="auto" w:fill="FFFFFF"/>
              </w:rPr>
              <w:t>预览</w:t>
            </w:r>
          </w:p>
        </w:tc>
        <w:tc>
          <w:tcPr>
            <w:tcW w:w="6930" w:type="dxa"/>
            <w:shd w:val="clear" w:color="auto" w:fill="auto"/>
          </w:tcPr>
          <w:p w14:paraId="27D19821">
            <w:pPr>
              <w:pStyle w:val="150"/>
            </w:pPr>
            <w:r>
              <w:rPr>
                <w:rFonts w:hint="eastAsia"/>
              </w:rPr>
              <w:t>预览弹窗提示信息。</w:t>
            </w:r>
          </w:p>
        </w:tc>
      </w:tr>
    </w:tbl>
    <w:p w14:paraId="7C5FDB43">
      <w:pPr>
        <w:rPr>
          <w:rFonts w:cs="Arial Narrow"/>
          <w:sz w:val="18"/>
          <w:szCs w:val="18"/>
        </w:rPr>
      </w:pPr>
    </w:p>
    <w:p w14:paraId="046BA3D0">
      <w:pPr>
        <w:pStyle w:val="6"/>
      </w:pPr>
      <w:r>
        <w:rPr>
          <w:rFonts w:hint="eastAsia"/>
        </w:rPr>
        <w:t>文件规则</w:t>
      </w:r>
    </w:p>
    <w:p w14:paraId="30780974">
      <w:r>
        <w:rPr>
          <w:rFonts w:hint="eastAsia"/>
        </w:rPr>
        <w:t>在导航栏中选择“用户管理&gt;终端准入管理&gt;准入策略”，单击选择“规则对象”标签页，进入规则对象页面，将鼠标悬停在“新建”按钮，选择“检查规则&gt;文件规则”，进入文件规则配置页面，如下图所示。</w:t>
      </w:r>
    </w:p>
    <w:p w14:paraId="080F6509">
      <w:pPr>
        <w:pStyle w:val="188"/>
        <w:rPr>
          <w:szCs w:val="18"/>
        </w:rPr>
      </w:pPr>
      <w:r>
        <w:rPr>
          <w:rFonts w:hint="eastAsia"/>
        </w:rPr>
        <w:t>文件规则配置页面</w:t>
      </w:r>
    </w:p>
    <w:p w14:paraId="51A3BF18">
      <w:r>
        <w:drawing>
          <wp:inline distT="0" distB="0" distL="114300" distR="114300">
            <wp:extent cx="5648325" cy="3006090"/>
            <wp:effectExtent l="0" t="0" r="9525" b="3810"/>
            <wp:docPr id="66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图片 17"/>
                    <pic:cNvPicPr>
                      <a:picLocks noChangeAspect="1"/>
                    </pic:cNvPicPr>
                  </pic:nvPicPr>
                  <pic:blipFill>
                    <a:blip r:embed="rId1179"/>
                    <a:stretch>
                      <a:fillRect/>
                    </a:stretch>
                  </pic:blipFill>
                  <pic:spPr>
                    <a:xfrm>
                      <a:off x="0" y="0"/>
                      <a:ext cx="5648325" cy="3006090"/>
                    </a:xfrm>
                    <a:prstGeom prst="rect">
                      <a:avLst/>
                    </a:prstGeom>
                    <a:noFill/>
                    <a:ln>
                      <a:noFill/>
                    </a:ln>
                  </pic:spPr>
                </pic:pic>
              </a:graphicData>
            </a:graphic>
          </wp:inline>
        </w:drawing>
      </w:r>
    </w:p>
    <w:p w14:paraId="11E6D7BC">
      <w:pPr>
        <w:pStyle w:val="183"/>
      </w:pPr>
      <w:r>
        <w:rPr>
          <w:rFonts w:hint="eastAsia"/>
        </w:rPr>
        <w:t>文件规则配置说明</w:t>
      </w:r>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85"/>
        <w:gridCol w:w="6930"/>
      </w:tblGrid>
      <w:tr w14:paraId="1F0935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tcBorders>
              <w:tl2br w:val="nil"/>
              <w:tr2bl w:val="nil"/>
            </w:tcBorders>
            <w:shd w:val="clear" w:color="auto" w:fill="538135" w:themeFill="accent6" w:themeFillShade="BF"/>
            <w:vAlign w:val="center"/>
          </w:tcPr>
          <w:p w14:paraId="5FEEFCDE">
            <w:pPr>
              <w:pStyle w:val="149"/>
              <w:wordWrap/>
              <w:rPr>
                <w:b/>
                <w:bCs/>
                <w:i w:val="0"/>
                <w:iCs w:val="0"/>
              </w:rPr>
            </w:pPr>
            <w:r>
              <w:rPr>
                <w:rFonts w:hint="eastAsia"/>
                <w:b/>
                <w:bCs/>
                <w:i w:val="0"/>
                <w:iCs w:val="0"/>
              </w:rPr>
              <w:t>项目</w:t>
            </w:r>
          </w:p>
        </w:tc>
        <w:tc>
          <w:tcPr>
            <w:tcW w:w="6930" w:type="dxa"/>
            <w:tcBorders>
              <w:tl2br w:val="nil"/>
              <w:tr2bl w:val="nil"/>
            </w:tcBorders>
            <w:shd w:val="clear" w:color="auto" w:fill="538135" w:themeFill="accent6" w:themeFillShade="BF"/>
            <w:vAlign w:val="center"/>
          </w:tcPr>
          <w:p w14:paraId="6E67CBFA">
            <w:pPr>
              <w:pStyle w:val="149"/>
              <w:wordWrap/>
              <w:rPr>
                <w:b/>
                <w:bCs/>
                <w:i w:val="0"/>
                <w:iCs w:val="0"/>
              </w:rPr>
            </w:pPr>
            <w:r>
              <w:rPr>
                <w:rFonts w:hint="eastAsia"/>
                <w:b/>
                <w:bCs/>
                <w:i w:val="0"/>
                <w:iCs w:val="0"/>
              </w:rPr>
              <w:t>说明</w:t>
            </w:r>
          </w:p>
        </w:tc>
      </w:tr>
      <w:tr w14:paraId="3FCD419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3F4D9738">
            <w:pPr>
              <w:pStyle w:val="150"/>
            </w:pPr>
            <w:r>
              <w:rPr>
                <w:rFonts w:hint="eastAsia"/>
              </w:rPr>
              <w:t>规则名称</w:t>
            </w:r>
          </w:p>
        </w:tc>
        <w:tc>
          <w:tcPr>
            <w:tcW w:w="6930" w:type="dxa"/>
            <w:shd w:val="clear" w:color="auto" w:fill="auto"/>
          </w:tcPr>
          <w:p w14:paraId="1EAF228D">
            <w:pPr>
              <w:pStyle w:val="150"/>
            </w:pPr>
            <w:r>
              <w:rPr>
                <w:rFonts w:hint="eastAsia"/>
              </w:rPr>
              <w:t>配置规则对象名称。</w:t>
            </w:r>
          </w:p>
        </w:tc>
      </w:tr>
      <w:tr w14:paraId="0252F03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4059BA1C">
            <w:pPr>
              <w:pStyle w:val="150"/>
            </w:pPr>
            <w:r>
              <w:rPr>
                <w:rFonts w:hint="eastAsia"/>
              </w:rPr>
              <w:t>规则描述</w:t>
            </w:r>
          </w:p>
        </w:tc>
        <w:tc>
          <w:tcPr>
            <w:tcW w:w="6930" w:type="dxa"/>
            <w:shd w:val="clear" w:color="auto" w:fill="auto"/>
          </w:tcPr>
          <w:p w14:paraId="4D459ADD">
            <w:pPr>
              <w:pStyle w:val="150"/>
            </w:pPr>
            <w:r>
              <w:rPr>
                <w:rFonts w:hint="eastAsia"/>
              </w:rPr>
              <w:t>配置规则对象描述。</w:t>
            </w:r>
          </w:p>
        </w:tc>
      </w:tr>
      <w:tr w14:paraId="2C3A45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42D574D2">
            <w:pPr>
              <w:pStyle w:val="150"/>
            </w:pPr>
            <w:r>
              <w:rPr>
                <w:rFonts w:hint="eastAsia"/>
              </w:rPr>
              <w:t>文件路径</w:t>
            </w:r>
          </w:p>
        </w:tc>
        <w:tc>
          <w:tcPr>
            <w:tcW w:w="6930" w:type="dxa"/>
            <w:shd w:val="clear" w:color="auto" w:fill="auto"/>
          </w:tcPr>
          <w:p w14:paraId="11EF8126">
            <w:pPr>
              <w:pStyle w:val="150"/>
            </w:pPr>
            <w:r>
              <w:rPr>
                <w:rFonts w:hint="eastAsia"/>
              </w:rPr>
              <w:t>配置文件的路径，不支持模糊匹配。</w:t>
            </w:r>
          </w:p>
        </w:tc>
      </w:tr>
      <w:tr w14:paraId="4CDAE02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528EF002">
            <w:pPr>
              <w:pStyle w:val="150"/>
            </w:pPr>
            <w:r>
              <w:rPr>
                <w:rFonts w:hint="eastAsia"/>
              </w:rPr>
              <w:t>文件状态</w:t>
            </w:r>
          </w:p>
        </w:tc>
        <w:tc>
          <w:tcPr>
            <w:tcW w:w="6930" w:type="dxa"/>
            <w:shd w:val="clear" w:color="auto" w:fill="auto"/>
          </w:tcPr>
          <w:p w14:paraId="509A5C7C">
            <w:pPr>
              <w:pStyle w:val="150"/>
            </w:pPr>
            <w:r>
              <w:rPr>
                <w:rFonts w:hint="eastAsia"/>
              </w:rPr>
              <w:t>配置文件状态“文件存在”或“文件不存在”。</w:t>
            </w:r>
          </w:p>
        </w:tc>
      </w:tr>
      <w:tr w14:paraId="456BC83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03D53F16">
            <w:pPr>
              <w:pStyle w:val="150"/>
            </w:pPr>
            <w:r>
              <w:rPr>
                <w:rFonts w:hint="eastAsia"/>
              </w:rPr>
              <w:t>匹配程序MD5值</w:t>
            </w:r>
          </w:p>
        </w:tc>
        <w:tc>
          <w:tcPr>
            <w:tcW w:w="6930" w:type="dxa"/>
            <w:shd w:val="clear" w:color="auto" w:fill="auto"/>
          </w:tcPr>
          <w:p w14:paraId="26E1F474">
            <w:pPr>
              <w:pStyle w:val="150"/>
            </w:pPr>
            <w:r>
              <w:rPr>
                <w:rFonts w:hint="eastAsia"/>
              </w:rPr>
              <w:t>配置文件的MD5值。</w:t>
            </w:r>
          </w:p>
        </w:tc>
      </w:tr>
      <w:tr w14:paraId="42A6633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52ED3ADA">
            <w:pPr>
              <w:pStyle w:val="150"/>
            </w:pPr>
            <w:r>
              <w:rPr>
                <w:rFonts w:hint="eastAsia"/>
              </w:rPr>
              <w:t>匹配程序大小</w:t>
            </w:r>
          </w:p>
        </w:tc>
        <w:tc>
          <w:tcPr>
            <w:tcW w:w="6930" w:type="dxa"/>
            <w:shd w:val="clear" w:color="auto" w:fill="auto"/>
          </w:tcPr>
          <w:p w14:paraId="71F7989B">
            <w:pPr>
              <w:pStyle w:val="150"/>
            </w:pPr>
            <w:r>
              <w:rPr>
                <w:rFonts w:hint="eastAsia"/>
              </w:rPr>
              <w:t>配置文件的大小。</w:t>
            </w:r>
          </w:p>
        </w:tc>
      </w:tr>
      <w:tr w14:paraId="010AD8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043977B9">
            <w:pPr>
              <w:pStyle w:val="150"/>
            </w:pPr>
            <w:r>
              <w:rPr>
                <w:rFonts w:hint="eastAsia"/>
              </w:rPr>
              <w:t>违规处置</w:t>
            </w:r>
          </w:p>
        </w:tc>
        <w:tc>
          <w:tcPr>
            <w:tcW w:w="6930" w:type="dxa"/>
            <w:shd w:val="clear" w:color="auto" w:fill="auto"/>
          </w:tcPr>
          <w:p w14:paraId="2BB2AAE8">
            <w:pPr>
              <w:pStyle w:val="207"/>
              <w:tabs>
                <w:tab w:val="left" w:pos="1134"/>
              </w:tabs>
              <w:rPr>
                <w:lang w:eastAsia="zh-CN"/>
              </w:rPr>
            </w:pPr>
            <w:r>
              <w:rPr>
                <w:rFonts w:hint="eastAsia"/>
                <w:lang w:eastAsia="zh-CN"/>
              </w:rPr>
              <w:t>禁止上网并提示用户：违规后禁止终端上网，弹窗提示并上报日志；</w:t>
            </w:r>
          </w:p>
          <w:p w14:paraId="005350B0">
            <w:pPr>
              <w:pStyle w:val="207"/>
              <w:tabs>
                <w:tab w:val="left" w:pos="1134"/>
              </w:tabs>
              <w:rPr>
                <w:lang w:eastAsia="zh-CN"/>
              </w:rPr>
            </w:pPr>
            <w:r>
              <w:rPr>
                <w:rFonts w:hint="eastAsia"/>
                <w:lang w:eastAsia="zh-CN"/>
              </w:rPr>
              <w:t>提示用户：违规后弹窗提示并上报日志；</w:t>
            </w:r>
          </w:p>
          <w:p w14:paraId="174B3194">
            <w:pPr>
              <w:pStyle w:val="207"/>
              <w:tabs>
                <w:tab w:val="left" w:pos="1134"/>
              </w:tabs>
              <w:rPr>
                <w:lang w:eastAsia="zh-CN"/>
              </w:rPr>
            </w:pPr>
            <w:r>
              <w:rPr>
                <w:rFonts w:hint="eastAsia"/>
                <w:lang w:eastAsia="zh-CN"/>
              </w:rPr>
              <w:t>只记录结果：违规后只上报日志；</w:t>
            </w:r>
          </w:p>
          <w:p w14:paraId="3AB9B2BD">
            <w:pPr>
              <w:pStyle w:val="207"/>
              <w:tabs>
                <w:tab w:val="left" w:pos="1134"/>
              </w:tabs>
              <w:rPr>
                <w:lang w:eastAsia="zh-CN"/>
              </w:rPr>
            </w:pPr>
            <w:r>
              <w:rPr>
                <w:rFonts w:hint="eastAsia"/>
                <w:lang w:eastAsia="zh-CN"/>
              </w:rPr>
              <w:t>删除文件：文件状态为“文件存在”时可选，违规后删除对应文件。</w:t>
            </w:r>
          </w:p>
        </w:tc>
      </w:tr>
      <w:tr w14:paraId="7F73B4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182C2237">
            <w:pPr>
              <w:pStyle w:val="150"/>
              <w:rPr>
                <w:shd w:val="clear" w:color="auto" w:fill="FFFFFF"/>
              </w:rPr>
            </w:pPr>
            <w:r>
              <w:rPr>
                <w:rFonts w:hint="eastAsia"/>
                <w:shd w:val="clear" w:color="auto" w:fill="FFFFFF"/>
              </w:rPr>
              <w:t>提示内容</w:t>
            </w:r>
          </w:p>
        </w:tc>
        <w:tc>
          <w:tcPr>
            <w:tcW w:w="6930" w:type="dxa"/>
            <w:shd w:val="clear" w:color="auto" w:fill="auto"/>
          </w:tcPr>
          <w:p w14:paraId="7029677A">
            <w:pPr>
              <w:pStyle w:val="150"/>
            </w:pPr>
            <w:r>
              <w:rPr>
                <w:rFonts w:hint="eastAsia"/>
              </w:rPr>
              <w:t>配置自定义提示内容。</w:t>
            </w:r>
          </w:p>
        </w:tc>
      </w:tr>
      <w:tr w14:paraId="10E9CC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14D91C09">
            <w:pPr>
              <w:pStyle w:val="150"/>
              <w:rPr>
                <w:shd w:val="clear" w:color="auto" w:fill="FFFFFF"/>
              </w:rPr>
            </w:pPr>
            <w:r>
              <w:rPr>
                <w:rFonts w:hint="eastAsia"/>
                <w:shd w:val="clear" w:color="auto" w:fill="FFFFFF"/>
              </w:rPr>
              <w:t>预览</w:t>
            </w:r>
          </w:p>
        </w:tc>
        <w:tc>
          <w:tcPr>
            <w:tcW w:w="6930" w:type="dxa"/>
            <w:shd w:val="clear" w:color="auto" w:fill="auto"/>
          </w:tcPr>
          <w:p w14:paraId="681536F2">
            <w:pPr>
              <w:pStyle w:val="150"/>
            </w:pPr>
            <w:r>
              <w:rPr>
                <w:rFonts w:hint="eastAsia"/>
              </w:rPr>
              <w:t>预览弹窗提示信息。</w:t>
            </w:r>
          </w:p>
        </w:tc>
      </w:tr>
    </w:tbl>
    <w:p w14:paraId="744A3076">
      <w:pPr>
        <w:rPr>
          <w:rFonts w:cs="Arial Narrow"/>
          <w:sz w:val="18"/>
          <w:szCs w:val="18"/>
        </w:rPr>
      </w:pPr>
    </w:p>
    <w:p w14:paraId="5D320A76">
      <w:pPr>
        <w:pStyle w:val="6"/>
      </w:pPr>
      <w:r>
        <w:rPr>
          <w:rFonts w:hint="eastAsia"/>
        </w:rPr>
        <w:t>注册表规则</w:t>
      </w:r>
    </w:p>
    <w:p w14:paraId="63C84AC6">
      <w:r>
        <w:rPr>
          <w:rFonts w:hint="eastAsia"/>
        </w:rPr>
        <w:t>在导航栏中选择“用户管理&gt;终端准入管理&gt;准入策略”，单击选择“规则对象”标签页，进入规则对象页面，将鼠标悬停在“新建”按钮，选择“检查规则&gt;注册表规则”，进入注册表规则配置页面，如下图所示。</w:t>
      </w:r>
    </w:p>
    <w:p w14:paraId="15E97C14">
      <w:pPr>
        <w:pStyle w:val="188"/>
        <w:rPr>
          <w:szCs w:val="18"/>
        </w:rPr>
      </w:pPr>
      <w:r>
        <w:rPr>
          <w:rFonts w:hint="eastAsia"/>
        </w:rPr>
        <w:t>注册表规则配置页面</w:t>
      </w:r>
    </w:p>
    <w:p w14:paraId="3949BF31">
      <w:r>
        <w:drawing>
          <wp:inline distT="0" distB="0" distL="114300" distR="114300">
            <wp:extent cx="5650230" cy="3018790"/>
            <wp:effectExtent l="0" t="0" r="7620" b="10160"/>
            <wp:docPr id="66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18"/>
                    <pic:cNvPicPr>
                      <a:picLocks noChangeAspect="1"/>
                    </pic:cNvPicPr>
                  </pic:nvPicPr>
                  <pic:blipFill>
                    <a:blip r:embed="rId1180"/>
                    <a:stretch>
                      <a:fillRect/>
                    </a:stretch>
                  </pic:blipFill>
                  <pic:spPr>
                    <a:xfrm>
                      <a:off x="0" y="0"/>
                      <a:ext cx="5650230" cy="3018790"/>
                    </a:xfrm>
                    <a:prstGeom prst="rect">
                      <a:avLst/>
                    </a:prstGeom>
                    <a:noFill/>
                    <a:ln>
                      <a:noFill/>
                    </a:ln>
                  </pic:spPr>
                </pic:pic>
              </a:graphicData>
            </a:graphic>
          </wp:inline>
        </w:drawing>
      </w:r>
    </w:p>
    <w:p w14:paraId="5D388FEB">
      <w:pPr>
        <w:pStyle w:val="183"/>
      </w:pPr>
      <w:r>
        <w:rPr>
          <w:rFonts w:hint="eastAsia"/>
        </w:rPr>
        <w:t>注册表规则配置说明</w:t>
      </w:r>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85"/>
        <w:gridCol w:w="6930"/>
      </w:tblGrid>
      <w:tr w14:paraId="3FCC860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tcBorders>
              <w:tl2br w:val="nil"/>
              <w:tr2bl w:val="nil"/>
            </w:tcBorders>
            <w:shd w:val="clear" w:color="auto" w:fill="538135" w:themeFill="accent6" w:themeFillShade="BF"/>
            <w:vAlign w:val="center"/>
          </w:tcPr>
          <w:p w14:paraId="5DF61165">
            <w:pPr>
              <w:pStyle w:val="149"/>
              <w:wordWrap/>
              <w:rPr>
                <w:b/>
                <w:bCs/>
                <w:i w:val="0"/>
                <w:iCs w:val="0"/>
              </w:rPr>
            </w:pPr>
            <w:r>
              <w:rPr>
                <w:rFonts w:hint="eastAsia"/>
                <w:b/>
                <w:bCs/>
                <w:i w:val="0"/>
                <w:iCs w:val="0"/>
              </w:rPr>
              <w:t>项目</w:t>
            </w:r>
          </w:p>
        </w:tc>
        <w:tc>
          <w:tcPr>
            <w:tcW w:w="6930" w:type="dxa"/>
            <w:tcBorders>
              <w:tl2br w:val="nil"/>
              <w:tr2bl w:val="nil"/>
            </w:tcBorders>
            <w:shd w:val="clear" w:color="auto" w:fill="538135" w:themeFill="accent6" w:themeFillShade="BF"/>
            <w:vAlign w:val="center"/>
          </w:tcPr>
          <w:p w14:paraId="44064687">
            <w:pPr>
              <w:pStyle w:val="149"/>
              <w:wordWrap/>
              <w:rPr>
                <w:b/>
                <w:bCs/>
                <w:i w:val="0"/>
                <w:iCs w:val="0"/>
              </w:rPr>
            </w:pPr>
            <w:r>
              <w:rPr>
                <w:rFonts w:hint="eastAsia"/>
                <w:b/>
                <w:bCs/>
                <w:i w:val="0"/>
                <w:iCs w:val="0"/>
              </w:rPr>
              <w:t>说明</w:t>
            </w:r>
          </w:p>
        </w:tc>
      </w:tr>
      <w:tr w14:paraId="5E3782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243EA458">
            <w:pPr>
              <w:pStyle w:val="150"/>
            </w:pPr>
            <w:r>
              <w:rPr>
                <w:rFonts w:hint="eastAsia"/>
              </w:rPr>
              <w:t>规则名称</w:t>
            </w:r>
          </w:p>
        </w:tc>
        <w:tc>
          <w:tcPr>
            <w:tcW w:w="6930" w:type="dxa"/>
            <w:shd w:val="clear" w:color="auto" w:fill="auto"/>
          </w:tcPr>
          <w:p w14:paraId="123389BB">
            <w:pPr>
              <w:pStyle w:val="150"/>
            </w:pPr>
            <w:r>
              <w:rPr>
                <w:rFonts w:hint="eastAsia"/>
              </w:rPr>
              <w:t>配置规则对象名称。</w:t>
            </w:r>
          </w:p>
        </w:tc>
      </w:tr>
      <w:tr w14:paraId="59F4F6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12976CB5">
            <w:pPr>
              <w:pStyle w:val="150"/>
            </w:pPr>
            <w:r>
              <w:rPr>
                <w:rFonts w:hint="eastAsia"/>
              </w:rPr>
              <w:t>规则描述</w:t>
            </w:r>
          </w:p>
        </w:tc>
        <w:tc>
          <w:tcPr>
            <w:tcW w:w="6930" w:type="dxa"/>
            <w:shd w:val="clear" w:color="auto" w:fill="auto"/>
          </w:tcPr>
          <w:p w14:paraId="5632124D">
            <w:pPr>
              <w:pStyle w:val="150"/>
            </w:pPr>
            <w:r>
              <w:rPr>
                <w:rFonts w:hint="eastAsia"/>
              </w:rPr>
              <w:t>配置规则对象描述。</w:t>
            </w:r>
          </w:p>
        </w:tc>
      </w:tr>
      <w:tr w14:paraId="3FF5F8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25AD06B8">
            <w:pPr>
              <w:pStyle w:val="150"/>
            </w:pPr>
            <w:r>
              <w:rPr>
                <w:rFonts w:hint="eastAsia"/>
              </w:rPr>
              <w:t>注册表项</w:t>
            </w:r>
          </w:p>
        </w:tc>
        <w:tc>
          <w:tcPr>
            <w:tcW w:w="6930" w:type="dxa"/>
            <w:shd w:val="clear" w:color="auto" w:fill="auto"/>
          </w:tcPr>
          <w:p w14:paraId="79E77810">
            <w:pPr>
              <w:pStyle w:val="150"/>
            </w:pPr>
            <w:r>
              <w:rPr>
                <w:rFonts w:hint="eastAsia"/>
              </w:rPr>
              <w:t>配置注册表的表项，不支持模糊匹配。</w:t>
            </w:r>
          </w:p>
        </w:tc>
      </w:tr>
      <w:tr w14:paraId="74C1541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5A5E19CA">
            <w:pPr>
              <w:pStyle w:val="150"/>
            </w:pPr>
            <w:r>
              <w:rPr>
                <w:rFonts w:hint="eastAsia"/>
              </w:rPr>
              <w:t>表项名称</w:t>
            </w:r>
          </w:p>
        </w:tc>
        <w:tc>
          <w:tcPr>
            <w:tcW w:w="6930" w:type="dxa"/>
            <w:shd w:val="clear" w:color="auto" w:fill="auto"/>
          </w:tcPr>
          <w:p w14:paraId="67103B57">
            <w:pPr>
              <w:pStyle w:val="150"/>
            </w:pPr>
            <w:r>
              <w:rPr>
                <w:rFonts w:hint="eastAsia"/>
              </w:rPr>
              <w:t>配置注册表的名称，不支持模糊匹配。</w:t>
            </w:r>
          </w:p>
        </w:tc>
      </w:tr>
      <w:tr w14:paraId="3AE1CC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37C3EE3E">
            <w:pPr>
              <w:pStyle w:val="150"/>
            </w:pPr>
            <w:r>
              <w:rPr>
                <w:rFonts w:hint="eastAsia"/>
              </w:rPr>
              <w:t>表项数据</w:t>
            </w:r>
          </w:p>
        </w:tc>
        <w:tc>
          <w:tcPr>
            <w:tcW w:w="6930" w:type="dxa"/>
            <w:shd w:val="clear" w:color="auto" w:fill="auto"/>
          </w:tcPr>
          <w:p w14:paraId="72978BF9">
            <w:pPr>
              <w:pStyle w:val="150"/>
            </w:pPr>
            <w:r>
              <w:rPr>
                <w:rFonts w:hint="eastAsia"/>
              </w:rPr>
              <w:t>配置注册表的数据，不支持模糊匹配。</w:t>
            </w:r>
          </w:p>
        </w:tc>
      </w:tr>
      <w:tr w14:paraId="43400C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0366FE0A">
            <w:pPr>
              <w:pStyle w:val="150"/>
            </w:pPr>
            <w:r>
              <w:rPr>
                <w:rFonts w:hint="eastAsia"/>
              </w:rPr>
              <w:t>表项状态</w:t>
            </w:r>
          </w:p>
        </w:tc>
        <w:tc>
          <w:tcPr>
            <w:tcW w:w="6930" w:type="dxa"/>
            <w:shd w:val="clear" w:color="auto" w:fill="auto"/>
          </w:tcPr>
          <w:p w14:paraId="212C803B">
            <w:pPr>
              <w:pStyle w:val="150"/>
            </w:pPr>
            <w:r>
              <w:rPr>
                <w:rFonts w:hint="eastAsia"/>
              </w:rPr>
              <w:t>配置表项状态“用户注册表中含有”或“用户注册表中没有”。</w:t>
            </w:r>
          </w:p>
        </w:tc>
      </w:tr>
      <w:tr w14:paraId="30C6EC6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0B2E9B7A">
            <w:pPr>
              <w:pStyle w:val="150"/>
            </w:pPr>
            <w:r>
              <w:rPr>
                <w:rFonts w:hint="eastAsia"/>
              </w:rPr>
              <w:t>违规处置</w:t>
            </w:r>
          </w:p>
        </w:tc>
        <w:tc>
          <w:tcPr>
            <w:tcW w:w="6930" w:type="dxa"/>
            <w:shd w:val="clear" w:color="auto" w:fill="auto"/>
          </w:tcPr>
          <w:p w14:paraId="160F3C6A">
            <w:pPr>
              <w:pStyle w:val="207"/>
              <w:tabs>
                <w:tab w:val="left" w:pos="1134"/>
              </w:tabs>
              <w:rPr>
                <w:lang w:eastAsia="zh-CN"/>
              </w:rPr>
            </w:pPr>
            <w:r>
              <w:rPr>
                <w:rFonts w:hint="eastAsia"/>
                <w:lang w:eastAsia="zh-CN"/>
              </w:rPr>
              <w:t>禁止上网并提示用户：违规后禁止终端上网，弹窗提示并上报日志；</w:t>
            </w:r>
          </w:p>
          <w:p w14:paraId="618D5E9C">
            <w:pPr>
              <w:pStyle w:val="207"/>
              <w:tabs>
                <w:tab w:val="left" w:pos="1134"/>
              </w:tabs>
              <w:rPr>
                <w:lang w:eastAsia="zh-CN"/>
              </w:rPr>
            </w:pPr>
            <w:r>
              <w:rPr>
                <w:rFonts w:hint="eastAsia"/>
                <w:lang w:eastAsia="zh-CN"/>
              </w:rPr>
              <w:t>提示用户：违规后弹窗提示并上报日志；</w:t>
            </w:r>
          </w:p>
          <w:p w14:paraId="0773780B">
            <w:pPr>
              <w:pStyle w:val="207"/>
              <w:tabs>
                <w:tab w:val="left" w:pos="1134"/>
              </w:tabs>
              <w:rPr>
                <w:lang w:eastAsia="zh-CN"/>
              </w:rPr>
            </w:pPr>
            <w:r>
              <w:rPr>
                <w:rFonts w:hint="eastAsia"/>
                <w:lang w:eastAsia="zh-CN"/>
              </w:rPr>
              <w:t>只记录结果：违规后只上报日志；</w:t>
            </w:r>
          </w:p>
          <w:p w14:paraId="73D0EAA7">
            <w:pPr>
              <w:pStyle w:val="207"/>
              <w:tabs>
                <w:tab w:val="left" w:pos="1134"/>
              </w:tabs>
              <w:rPr>
                <w:lang w:eastAsia="zh-CN"/>
              </w:rPr>
            </w:pPr>
            <w:r>
              <w:rPr>
                <w:rFonts w:hint="eastAsia"/>
                <w:lang w:eastAsia="zh-CN"/>
              </w:rPr>
              <w:t>删除该项：表项状态为“用户注册表中含有”时可选，违规后删除对应注册表。</w:t>
            </w:r>
          </w:p>
        </w:tc>
      </w:tr>
      <w:tr w14:paraId="15CAFCC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5A67D5E7">
            <w:pPr>
              <w:pStyle w:val="150"/>
              <w:rPr>
                <w:shd w:val="clear" w:color="auto" w:fill="FFFFFF"/>
              </w:rPr>
            </w:pPr>
            <w:r>
              <w:rPr>
                <w:rFonts w:hint="eastAsia"/>
                <w:shd w:val="clear" w:color="auto" w:fill="FFFFFF"/>
              </w:rPr>
              <w:t>提示内容</w:t>
            </w:r>
          </w:p>
        </w:tc>
        <w:tc>
          <w:tcPr>
            <w:tcW w:w="6930" w:type="dxa"/>
            <w:shd w:val="clear" w:color="auto" w:fill="auto"/>
          </w:tcPr>
          <w:p w14:paraId="5C85D862">
            <w:pPr>
              <w:pStyle w:val="150"/>
            </w:pPr>
            <w:r>
              <w:rPr>
                <w:rFonts w:hint="eastAsia"/>
              </w:rPr>
              <w:t>配置自定义提示内容。</w:t>
            </w:r>
          </w:p>
        </w:tc>
      </w:tr>
      <w:tr w14:paraId="0BEC1E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2750E5BE">
            <w:pPr>
              <w:pStyle w:val="150"/>
              <w:rPr>
                <w:shd w:val="clear" w:color="auto" w:fill="FFFFFF"/>
              </w:rPr>
            </w:pPr>
            <w:r>
              <w:rPr>
                <w:rFonts w:hint="eastAsia"/>
                <w:shd w:val="clear" w:color="auto" w:fill="FFFFFF"/>
              </w:rPr>
              <w:t>预览</w:t>
            </w:r>
          </w:p>
        </w:tc>
        <w:tc>
          <w:tcPr>
            <w:tcW w:w="6930" w:type="dxa"/>
            <w:shd w:val="clear" w:color="auto" w:fill="auto"/>
          </w:tcPr>
          <w:p w14:paraId="658A7660">
            <w:pPr>
              <w:pStyle w:val="150"/>
            </w:pPr>
            <w:r>
              <w:rPr>
                <w:rFonts w:hint="eastAsia"/>
              </w:rPr>
              <w:t>预览弹窗提示信息。</w:t>
            </w:r>
          </w:p>
        </w:tc>
      </w:tr>
    </w:tbl>
    <w:p w14:paraId="7C50CA12">
      <w:pPr>
        <w:rPr>
          <w:rFonts w:cs="Arial Narrow"/>
          <w:sz w:val="18"/>
          <w:szCs w:val="18"/>
        </w:rPr>
      </w:pPr>
    </w:p>
    <w:p w14:paraId="4265126B">
      <w:pPr>
        <w:pStyle w:val="6"/>
      </w:pPr>
      <w:r>
        <w:rPr>
          <w:rFonts w:hint="eastAsia"/>
        </w:rPr>
        <w:t>补丁检测规则</w:t>
      </w:r>
    </w:p>
    <w:p w14:paraId="3A8072B4">
      <w:r>
        <w:rPr>
          <w:rFonts w:hint="eastAsia"/>
        </w:rPr>
        <w:t>在导航栏中选择“用户管理&gt;终端准入管理&gt;准入策略”，单击选择“规则对象”标签页，进入规则对象页面，将鼠标悬停在“新建”按钮，选择“检查规则&gt;补丁检测规则”，进入补丁检测规则配置页面，如下图所示。</w:t>
      </w:r>
    </w:p>
    <w:p w14:paraId="6CBD4971">
      <w:pPr>
        <w:pStyle w:val="188"/>
        <w:rPr>
          <w:szCs w:val="18"/>
        </w:rPr>
      </w:pPr>
      <w:r>
        <w:rPr>
          <w:rFonts w:hint="eastAsia"/>
        </w:rPr>
        <w:t>补丁检测规则配置页面</w:t>
      </w:r>
    </w:p>
    <w:p w14:paraId="34B75D07">
      <w:r>
        <w:drawing>
          <wp:inline distT="0" distB="0" distL="114300" distR="114300">
            <wp:extent cx="5601335" cy="3027680"/>
            <wp:effectExtent l="0" t="0" r="18415" b="1270"/>
            <wp:docPr id="66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图片 19"/>
                    <pic:cNvPicPr>
                      <a:picLocks noChangeAspect="1"/>
                    </pic:cNvPicPr>
                  </pic:nvPicPr>
                  <pic:blipFill>
                    <a:blip r:embed="rId1181"/>
                    <a:stretch>
                      <a:fillRect/>
                    </a:stretch>
                  </pic:blipFill>
                  <pic:spPr>
                    <a:xfrm>
                      <a:off x="0" y="0"/>
                      <a:ext cx="5601335" cy="3027680"/>
                    </a:xfrm>
                    <a:prstGeom prst="rect">
                      <a:avLst/>
                    </a:prstGeom>
                    <a:noFill/>
                    <a:ln>
                      <a:noFill/>
                    </a:ln>
                  </pic:spPr>
                </pic:pic>
              </a:graphicData>
            </a:graphic>
          </wp:inline>
        </w:drawing>
      </w:r>
    </w:p>
    <w:p w14:paraId="79789B73">
      <w:pPr>
        <w:pStyle w:val="183"/>
      </w:pPr>
      <w:r>
        <w:rPr>
          <w:rFonts w:hint="eastAsia"/>
        </w:rPr>
        <w:t>补丁检测规则配置说明</w:t>
      </w:r>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85"/>
        <w:gridCol w:w="6930"/>
      </w:tblGrid>
      <w:tr w14:paraId="3707E2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tcBorders>
              <w:tl2br w:val="nil"/>
              <w:tr2bl w:val="nil"/>
            </w:tcBorders>
            <w:shd w:val="clear" w:color="auto" w:fill="538135" w:themeFill="accent6" w:themeFillShade="BF"/>
            <w:vAlign w:val="center"/>
          </w:tcPr>
          <w:p w14:paraId="22F076AD">
            <w:pPr>
              <w:pStyle w:val="149"/>
              <w:wordWrap/>
              <w:rPr>
                <w:b/>
                <w:bCs/>
                <w:i w:val="0"/>
                <w:iCs w:val="0"/>
              </w:rPr>
            </w:pPr>
            <w:r>
              <w:rPr>
                <w:rFonts w:hint="eastAsia"/>
                <w:b/>
                <w:bCs/>
                <w:i w:val="0"/>
                <w:iCs w:val="0"/>
              </w:rPr>
              <w:t>项目</w:t>
            </w:r>
          </w:p>
        </w:tc>
        <w:tc>
          <w:tcPr>
            <w:tcW w:w="6930" w:type="dxa"/>
            <w:tcBorders>
              <w:tl2br w:val="nil"/>
              <w:tr2bl w:val="nil"/>
            </w:tcBorders>
            <w:shd w:val="clear" w:color="auto" w:fill="538135" w:themeFill="accent6" w:themeFillShade="BF"/>
            <w:vAlign w:val="center"/>
          </w:tcPr>
          <w:p w14:paraId="7E0593E6">
            <w:pPr>
              <w:pStyle w:val="149"/>
              <w:wordWrap/>
              <w:rPr>
                <w:b/>
                <w:bCs/>
                <w:i w:val="0"/>
                <w:iCs w:val="0"/>
              </w:rPr>
            </w:pPr>
            <w:r>
              <w:rPr>
                <w:rFonts w:hint="eastAsia"/>
                <w:b/>
                <w:bCs/>
                <w:i w:val="0"/>
                <w:iCs w:val="0"/>
              </w:rPr>
              <w:t>说明</w:t>
            </w:r>
          </w:p>
        </w:tc>
      </w:tr>
      <w:tr w14:paraId="4602F38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448C23B4">
            <w:pPr>
              <w:pStyle w:val="150"/>
            </w:pPr>
            <w:r>
              <w:rPr>
                <w:rFonts w:hint="eastAsia"/>
              </w:rPr>
              <w:t>规则名称</w:t>
            </w:r>
          </w:p>
        </w:tc>
        <w:tc>
          <w:tcPr>
            <w:tcW w:w="6930" w:type="dxa"/>
            <w:shd w:val="clear" w:color="auto" w:fill="auto"/>
          </w:tcPr>
          <w:p w14:paraId="4F42855C">
            <w:pPr>
              <w:pStyle w:val="150"/>
            </w:pPr>
            <w:r>
              <w:rPr>
                <w:rFonts w:hint="eastAsia"/>
              </w:rPr>
              <w:t>配置规则对象名称。</w:t>
            </w:r>
          </w:p>
        </w:tc>
      </w:tr>
      <w:tr w14:paraId="594E36F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7A44C14D">
            <w:pPr>
              <w:pStyle w:val="150"/>
            </w:pPr>
            <w:r>
              <w:rPr>
                <w:rFonts w:hint="eastAsia"/>
              </w:rPr>
              <w:t>规则描述</w:t>
            </w:r>
          </w:p>
        </w:tc>
        <w:tc>
          <w:tcPr>
            <w:tcW w:w="6930" w:type="dxa"/>
            <w:shd w:val="clear" w:color="auto" w:fill="auto"/>
          </w:tcPr>
          <w:p w14:paraId="3AB8A993">
            <w:pPr>
              <w:pStyle w:val="150"/>
            </w:pPr>
            <w:r>
              <w:rPr>
                <w:rFonts w:hint="eastAsia"/>
              </w:rPr>
              <w:t>配置规则对象描述。</w:t>
            </w:r>
          </w:p>
        </w:tc>
      </w:tr>
      <w:tr w14:paraId="67DF21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289F2494">
            <w:pPr>
              <w:pStyle w:val="150"/>
            </w:pPr>
            <w:r>
              <w:rPr>
                <w:rFonts w:hint="eastAsia"/>
              </w:rPr>
              <w:t>补丁检测列表</w:t>
            </w:r>
          </w:p>
        </w:tc>
        <w:tc>
          <w:tcPr>
            <w:tcW w:w="6930" w:type="dxa"/>
            <w:shd w:val="clear" w:color="auto" w:fill="auto"/>
          </w:tcPr>
          <w:p w14:paraId="7C4B17DB">
            <w:pPr>
              <w:pStyle w:val="150"/>
            </w:pPr>
            <w:r>
              <w:rPr>
                <w:rFonts w:hint="eastAsia"/>
              </w:rPr>
              <w:t>配置需要检查的漏洞；只支持列表中的20个漏洞，勾选将会对漏洞进行检查。</w:t>
            </w:r>
          </w:p>
        </w:tc>
      </w:tr>
      <w:tr w14:paraId="039CF6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7612FA09">
            <w:pPr>
              <w:pStyle w:val="150"/>
            </w:pPr>
            <w:r>
              <w:rPr>
                <w:rFonts w:hint="eastAsia"/>
              </w:rPr>
              <w:t>违规处置</w:t>
            </w:r>
          </w:p>
        </w:tc>
        <w:tc>
          <w:tcPr>
            <w:tcW w:w="6930" w:type="dxa"/>
            <w:shd w:val="clear" w:color="auto" w:fill="auto"/>
          </w:tcPr>
          <w:p w14:paraId="510F337D">
            <w:pPr>
              <w:pStyle w:val="207"/>
              <w:tabs>
                <w:tab w:val="left" w:pos="1134"/>
              </w:tabs>
              <w:rPr>
                <w:lang w:eastAsia="zh-CN"/>
              </w:rPr>
            </w:pPr>
            <w:r>
              <w:rPr>
                <w:rFonts w:hint="eastAsia"/>
                <w:lang w:eastAsia="zh-CN"/>
              </w:rPr>
              <w:t>禁止上网并提示用户：违规后禁止终端上网，弹窗提示并上报日志；</w:t>
            </w:r>
          </w:p>
          <w:p w14:paraId="4F3724F1">
            <w:pPr>
              <w:pStyle w:val="207"/>
              <w:tabs>
                <w:tab w:val="left" w:pos="1134"/>
              </w:tabs>
              <w:rPr>
                <w:lang w:eastAsia="zh-CN"/>
              </w:rPr>
            </w:pPr>
            <w:r>
              <w:rPr>
                <w:rFonts w:hint="eastAsia"/>
                <w:lang w:eastAsia="zh-CN"/>
              </w:rPr>
              <w:t>提示用户：违规后弹窗提示并上报日志；</w:t>
            </w:r>
          </w:p>
          <w:p w14:paraId="119105EC">
            <w:pPr>
              <w:pStyle w:val="207"/>
              <w:tabs>
                <w:tab w:val="left" w:pos="1134"/>
              </w:tabs>
              <w:rPr>
                <w:lang w:eastAsia="zh-CN"/>
              </w:rPr>
            </w:pPr>
            <w:r>
              <w:rPr>
                <w:rFonts w:hint="eastAsia"/>
                <w:lang w:eastAsia="zh-CN"/>
              </w:rPr>
              <w:t>只记录结果：违规后只上报日志。</w:t>
            </w:r>
          </w:p>
        </w:tc>
      </w:tr>
      <w:tr w14:paraId="6DF66D6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37A7205F">
            <w:pPr>
              <w:pStyle w:val="150"/>
              <w:rPr>
                <w:shd w:val="clear" w:color="auto" w:fill="FFFFFF"/>
              </w:rPr>
            </w:pPr>
            <w:r>
              <w:rPr>
                <w:rFonts w:hint="eastAsia"/>
                <w:shd w:val="clear" w:color="auto" w:fill="FFFFFF"/>
              </w:rPr>
              <w:t>提示内容</w:t>
            </w:r>
          </w:p>
        </w:tc>
        <w:tc>
          <w:tcPr>
            <w:tcW w:w="6930" w:type="dxa"/>
            <w:shd w:val="clear" w:color="auto" w:fill="auto"/>
          </w:tcPr>
          <w:p w14:paraId="2191B5C1">
            <w:pPr>
              <w:pStyle w:val="150"/>
            </w:pPr>
            <w:r>
              <w:rPr>
                <w:rFonts w:hint="eastAsia"/>
              </w:rPr>
              <w:t>配置自定义提示内容。</w:t>
            </w:r>
          </w:p>
        </w:tc>
      </w:tr>
      <w:tr w14:paraId="5BE4891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21CFDC6A">
            <w:pPr>
              <w:pStyle w:val="150"/>
              <w:rPr>
                <w:shd w:val="clear" w:color="auto" w:fill="FFFFFF"/>
              </w:rPr>
            </w:pPr>
            <w:r>
              <w:rPr>
                <w:rFonts w:hint="eastAsia"/>
                <w:shd w:val="clear" w:color="auto" w:fill="FFFFFF"/>
              </w:rPr>
              <w:t>预览</w:t>
            </w:r>
          </w:p>
        </w:tc>
        <w:tc>
          <w:tcPr>
            <w:tcW w:w="6930" w:type="dxa"/>
            <w:shd w:val="clear" w:color="auto" w:fill="auto"/>
          </w:tcPr>
          <w:p w14:paraId="3E4799D0">
            <w:pPr>
              <w:pStyle w:val="150"/>
            </w:pPr>
            <w:r>
              <w:rPr>
                <w:rFonts w:hint="eastAsia"/>
              </w:rPr>
              <w:t>预览弹窗提示信息。</w:t>
            </w:r>
          </w:p>
        </w:tc>
      </w:tr>
    </w:tbl>
    <w:p w14:paraId="696C30F6">
      <w:pPr>
        <w:rPr>
          <w:rFonts w:cs="Arial Narrow"/>
          <w:sz w:val="18"/>
          <w:szCs w:val="18"/>
        </w:rPr>
      </w:pPr>
    </w:p>
    <w:p w14:paraId="769F4600">
      <w:pPr>
        <w:pStyle w:val="6"/>
      </w:pPr>
      <w:r>
        <w:t>Windows账号规则</w:t>
      </w:r>
    </w:p>
    <w:p w14:paraId="574D58C6">
      <w:r>
        <w:rPr>
          <w:rFonts w:hint="eastAsia"/>
        </w:rPr>
        <w:t>在导航栏中选择“用户管理&gt;终端准入管理&gt;准入策略”，单击选择“规则对象”标签页，进入规则对象页面，将鼠标悬停在“新建”按钮，选择“检查规则&gt;</w:t>
      </w:r>
      <w:r>
        <w:t>Windows账号</w:t>
      </w:r>
      <w:r>
        <w:rPr>
          <w:rFonts w:hint="eastAsia"/>
        </w:rPr>
        <w:t>规则”，进入</w:t>
      </w:r>
      <w:r>
        <w:t>Windows账号</w:t>
      </w:r>
      <w:r>
        <w:rPr>
          <w:rFonts w:hint="eastAsia"/>
        </w:rPr>
        <w:t>规则配置页面，如下图所示。</w:t>
      </w:r>
    </w:p>
    <w:p w14:paraId="4D5377A0">
      <w:pPr>
        <w:pStyle w:val="188"/>
        <w:rPr>
          <w:szCs w:val="18"/>
        </w:rPr>
      </w:pPr>
      <w:r>
        <w:t>Windows账号</w:t>
      </w:r>
      <w:r>
        <w:rPr>
          <w:rFonts w:hint="eastAsia"/>
        </w:rPr>
        <w:t>规则配置页面</w:t>
      </w:r>
    </w:p>
    <w:p w14:paraId="16210AD9">
      <w:r>
        <w:drawing>
          <wp:inline distT="0" distB="0" distL="114300" distR="114300">
            <wp:extent cx="5286375" cy="2788285"/>
            <wp:effectExtent l="0" t="0" r="0" b="0"/>
            <wp:docPr id="67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图片 20"/>
                    <pic:cNvPicPr>
                      <a:picLocks noChangeAspect="1"/>
                    </pic:cNvPicPr>
                  </pic:nvPicPr>
                  <pic:blipFill>
                    <a:blip r:embed="rId1182"/>
                    <a:stretch>
                      <a:fillRect/>
                    </a:stretch>
                  </pic:blipFill>
                  <pic:spPr>
                    <a:xfrm>
                      <a:off x="0" y="0"/>
                      <a:ext cx="5296952" cy="2793948"/>
                    </a:xfrm>
                    <a:prstGeom prst="rect">
                      <a:avLst/>
                    </a:prstGeom>
                    <a:noFill/>
                    <a:ln>
                      <a:noFill/>
                    </a:ln>
                  </pic:spPr>
                </pic:pic>
              </a:graphicData>
            </a:graphic>
          </wp:inline>
        </w:drawing>
      </w:r>
    </w:p>
    <w:p w14:paraId="375921C3"/>
    <w:p w14:paraId="0CA9D285">
      <w:pPr>
        <w:pStyle w:val="183"/>
      </w:pPr>
      <w:r>
        <w:t>Windows账号</w:t>
      </w:r>
      <w:r>
        <w:rPr>
          <w:rFonts w:hint="eastAsia"/>
        </w:rPr>
        <w:t>规则配置说明</w:t>
      </w:r>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85"/>
        <w:gridCol w:w="6930"/>
      </w:tblGrid>
      <w:tr w14:paraId="1428A20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blHeader/>
        </w:trPr>
        <w:tc>
          <w:tcPr>
            <w:tcW w:w="2085" w:type="dxa"/>
            <w:tcBorders>
              <w:tl2br w:val="nil"/>
              <w:tr2bl w:val="nil"/>
            </w:tcBorders>
            <w:shd w:val="clear" w:color="auto" w:fill="538135" w:themeFill="accent6" w:themeFillShade="BF"/>
            <w:vAlign w:val="center"/>
          </w:tcPr>
          <w:p w14:paraId="69FDE7D2">
            <w:pPr>
              <w:pStyle w:val="149"/>
              <w:wordWrap/>
              <w:rPr>
                <w:b/>
                <w:bCs/>
                <w:i w:val="0"/>
                <w:iCs w:val="0"/>
              </w:rPr>
            </w:pPr>
            <w:r>
              <w:rPr>
                <w:rFonts w:hint="eastAsia"/>
                <w:b/>
                <w:bCs/>
                <w:i w:val="0"/>
                <w:iCs w:val="0"/>
              </w:rPr>
              <w:t>项目</w:t>
            </w:r>
          </w:p>
        </w:tc>
        <w:tc>
          <w:tcPr>
            <w:tcW w:w="6930" w:type="dxa"/>
            <w:tcBorders>
              <w:tl2br w:val="nil"/>
              <w:tr2bl w:val="nil"/>
            </w:tcBorders>
            <w:shd w:val="clear" w:color="auto" w:fill="538135" w:themeFill="accent6" w:themeFillShade="BF"/>
            <w:vAlign w:val="center"/>
          </w:tcPr>
          <w:p w14:paraId="4CB34346">
            <w:pPr>
              <w:pStyle w:val="149"/>
              <w:wordWrap/>
              <w:rPr>
                <w:b/>
                <w:bCs/>
                <w:i w:val="0"/>
                <w:iCs w:val="0"/>
              </w:rPr>
            </w:pPr>
            <w:r>
              <w:rPr>
                <w:rFonts w:hint="eastAsia"/>
                <w:b/>
                <w:bCs/>
                <w:i w:val="0"/>
                <w:iCs w:val="0"/>
              </w:rPr>
              <w:t>说明</w:t>
            </w:r>
          </w:p>
        </w:tc>
      </w:tr>
      <w:tr w14:paraId="48667A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75DDD3D1">
            <w:pPr>
              <w:pStyle w:val="150"/>
            </w:pPr>
            <w:r>
              <w:rPr>
                <w:rFonts w:hint="eastAsia"/>
              </w:rPr>
              <w:t>规则名称</w:t>
            </w:r>
          </w:p>
        </w:tc>
        <w:tc>
          <w:tcPr>
            <w:tcW w:w="6930" w:type="dxa"/>
            <w:shd w:val="clear" w:color="auto" w:fill="auto"/>
          </w:tcPr>
          <w:p w14:paraId="5A13E5DF">
            <w:pPr>
              <w:pStyle w:val="150"/>
            </w:pPr>
            <w:r>
              <w:rPr>
                <w:rFonts w:hint="eastAsia"/>
              </w:rPr>
              <w:t>配置规则对象名称。</w:t>
            </w:r>
          </w:p>
        </w:tc>
      </w:tr>
      <w:tr w14:paraId="5F9F643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1E64F6A1">
            <w:pPr>
              <w:pStyle w:val="150"/>
            </w:pPr>
            <w:r>
              <w:rPr>
                <w:rFonts w:hint="eastAsia"/>
              </w:rPr>
              <w:t>规则描述</w:t>
            </w:r>
          </w:p>
        </w:tc>
        <w:tc>
          <w:tcPr>
            <w:tcW w:w="6930" w:type="dxa"/>
            <w:shd w:val="clear" w:color="auto" w:fill="auto"/>
          </w:tcPr>
          <w:p w14:paraId="225630EB">
            <w:pPr>
              <w:pStyle w:val="150"/>
            </w:pPr>
            <w:r>
              <w:rPr>
                <w:rFonts w:hint="eastAsia"/>
              </w:rPr>
              <w:t>配置规则对象描述。</w:t>
            </w:r>
          </w:p>
        </w:tc>
      </w:tr>
      <w:tr w14:paraId="2B23FD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00D45858">
            <w:pPr>
              <w:pStyle w:val="150"/>
            </w:pPr>
            <w:r>
              <w:rPr>
                <w:rFonts w:hint="eastAsia"/>
              </w:rPr>
              <w:t>处理动作配置</w:t>
            </w:r>
          </w:p>
        </w:tc>
        <w:tc>
          <w:tcPr>
            <w:tcW w:w="6930" w:type="dxa"/>
            <w:shd w:val="clear" w:color="auto" w:fill="auto"/>
          </w:tcPr>
          <w:p w14:paraId="6D4DCA95">
            <w:pPr>
              <w:pStyle w:val="207"/>
              <w:tabs>
                <w:tab w:val="left" w:pos="1134"/>
              </w:tabs>
              <w:rPr>
                <w:lang w:eastAsia="zh-CN"/>
              </w:rPr>
            </w:pPr>
            <w:r>
              <w:rPr>
                <w:rFonts w:hint="eastAsia"/>
                <w:lang w:eastAsia="zh-CN"/>
              </w:rPr>
              <w:t>违规后禁止上网：使用</w:t>
            </w:r>
            <w:r>
              <w:rPr>
                <w:rFonts w:hint="eastAsia" w:ascii="Microsoft YaHei UI" w:hAnsi="Microsoft YaHei UI" w:eastAsia="Microsoft YaHei UI" w:cs="Microsoft YaHei UI"/>
                <w:shd w:val="clear" w:color="auto" w:fill="FFFFFF"/>
                <w:lang w:eastAsia="zh-CN"/>
              </w:rPr>
              <w:t>隶属于</w:t>
            </w:r>
            <w:r>
              <w:rPr>
                <w:rFonts w:eastAsia="Tahoma"/>
                <w:shd w:val="clear" w:color="auto" w:fill="FFFFFF"/>
                <w:lang w:eastAsia="zh-CN"/>
              </w:rPr>
              <w:t>Administrator</w:t>
            </w:r>
            <w:r>
              <w:rPr>
                <w:rFonts w:hint="eastAsia" w:ascii="Microsoft YaHei UI" w:hAnsi="Microsoft YaHei UI" w:eastAsia="Microsoft YaHei UI" w:cs="Microsoft YaHei UI"/>
                <w:shd w:val="clear" w:color="auto" w:fill="FFFFFF"/>
                <w:lang w:eastAsia="zh-CN"/>
              </w:rPr>
              <w:t>组的用户</w:t>
            </w:r>
            <w:r>
              <w:rPr>
                <w:rFonts w:hint="eastAsia"/>
                <w:shd w:val="clear" w:color="auto" w:fill="FFFFFF"/>
                <w:lang w:eastAsia="zh-CN"/>
              </w:rPr>
              <w:t>登录计算机，违规后禁止上网，并弹窗提示，上报日志。</w:t>
            </w:r>
          </w:p>
          <w:p w14:paraId="5C61B32F">
            <w:pPr>
              <w:pStyle w:val="207"/>
              <w:tabs>
                <w:tab w:val="left" w:pos="1134"/>
              </w:tabs>
              <w:rPr>
                <w:lang w:eastAsia="zh-CN"/>
              </w:rPr>
            </w:pPr>
            <w:r>
              <w:rPr>
                <w:rFonts w:hint="eastAsia"/>
                <w:lang w:eastAsia="zh-CN"/>
              </w:rPr>
              <w:t>违规后仅记录日志：使用</w:t>
            </w:r>
            <w:r>
              <w:rPr>
                <w:rFonts w:hint="eastAsia" w:ascii="Microsoft YaHei UI" w:hAnsi="Microsoft YaHei UI" w:eastAsia="Microsoft YaHei UI" w:cs="Microsoft YaHei UI"/>
                <w:shd w:val="clear" w:color="auto" w:fill="FFFFFF"/>
                <w:lang w:eastAsia="zh-CN"/>
              </w:rPr>
              <w:t>隶属于</w:t>
            </w:r>
            <w:r>
              <w:rPr>
                <w:rFonts w:eastAsia="Tahoma"/>
                <w:shd w:val="clear" w:color="auto" w:fill="FFFFFF"/>
                <w:lang w:eastAsia="zh-CN"/>
              </w:rPr>
              <w:t>Administrator</w:t>
            </w:r>
            <w:r>
              <w:rPr>
                <w:rFonts w:hint="eastAsia" w:ascii="Microsoft YaHei UI" w:hAnsi="Microsoft YaHei UI" w:eastAsia="Microsoft YaHei UI" w:cs="Microsoft YaHei UI"/>
                <w:shd w:val="clear" w:color="auto" w:fill="FFFFFF"/>
                <w:lang w:eastAsia="zh-CN"/>
              </w:rPr>
              <w:t>组的用户</w:t>
            </w:r>
            <w:r>
              <w:rPr>
                <w:rFonts w:hint="eastAsia"/>
                <w:shd w:val="clear" w:color="auto" w:fill="FFFFFF"/>
                <w:lang w:eastAsia="zh-CN"/>
              </w:rPr>
              <w:t>登录计算机，违规后上报日志。</w:t>
            </w:r>
          </w:p>
        </w:tc>
      </w:tr>
    </w:tbl>
    <w:p w14:paraId="1EC4A329"/>
    <w:p w14:paraId="78B427CB">
      <w:pPr>
        <w:pStyle w:val="6"/>
      </w:pPr>
      <w:r>
        <w:rPr>
          <w:rFonts w:hint="eastAsia"/>
        </w:rPr>
        <w:t>防篡改检查规则</w:t>
      </w:r>
    </w:p>
    <w:p w14:paraId="32679706">
      <w:r>
        <w:rPr>
          <w:rFonts w:hint="eastAsia"/>
        </w:rPr>
        <w:t>在导航栏中选择“用户管理&gt;终端准入管理&gt;准入策略”，单击选择“规则对象”标签页，进入规则对象页面，将鼠标悬停在“新建”按钮，选择“检查规则&gt;防篡改检查规则”，进入防篡改检查规则配置页面，如下图所示。</w:t>
      </w:r>
    </w:p>
    <w:p w14:paraId="4B1999D2">
      <w:pPr>
        <w:pStyle w:val="188"/>
        <w:rPr>
          <w:szCs w:val="18"/>
        </w:rPr>
      </w:pPr>
      <w:r>
        <w:rPr>
          <w:rFonts w:hint="eastAsia"/>
        </w:rPr>
        <w:t>防篡改检查规则配置页面</w:t>
      </w:r>
    </w:p>
    <w:p w14:paraId="302EE28F">
      <w:r>
        <w:drawing>
          <wp:inline distT="0" distB="0" distL="114300" distR="114300">
            <wp:extent cx="5314950" cy="2827020"/>
            <wp:effectExtent l="0" t="0" r="0" b="0"/>
            <wp:docPr id="67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图片 21"/>
                    <pic:cNvPicPr>
                      <a:picLocks noChangeAspect="1"/>
                    </pic:cNvPicPr>
                  </pic:nvPicPr>
                  <pic:blipFill>
                    <a:blip r:embed="rId1183"/>
                    <a:stretch>
                      <a:fillRect/>
                    </a:stretch>
                  </pic:blipFill>
                  <pic:spPr>
                    <a:xfrm>
                      <a:off x="0" y="0"/>
                      <a:ext cx="5319652" cy="2829673"/>
                    </a:xfrm>
                    <a:prstGeom prst="rect">
                      <a:avLst/>
                    </a:prstGeom>
                    <a:noFill/>
                    <a:ln>
                      <a:noFill/>
                    </a:ln>
                  </pic:spPr>
                </pic:pic>
              </a:graphicData>
            </a:graphic>
          </wp:inline>
        </w:drawing>
      </w:r>
    </w:p>
    <w:p w14:paraId="5958C866"/>
    <w:p w14:paraId="11B6568D">
      <w:pPr>
        <w:pStyle w:val="183"/>
      </w:pPr>
      <w:r>
        <w:rPr>
          <w:rFonts w:hint="eastAsia"/>
        </w:rPr>
        <w:t>防篡改检查规则配置说明</w:t>
      </w:r>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85"/>
        <w:gridCol w:w="6930"/>
      </w:tblGrid>
      <w:tr w14:paraId="4DE9F62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tcBorders>
              <w:tl2br w:val="nil"/>
              <w:tr2bl w:val="nil"/>
            </w:tcBorders>
            <w:shd w:val="clear" w:color="auto" w:fill="538135" w:themeFill="accent6" w:themeFillShade="BF"/>
            <w:vAlign w:val="center"/>
          </w:tcPr>
          <w:p w14:paraId="1B232775">
            <w:pPr>
              <w:pStyle w:val="149"/>
              <w:wordWrap/>
              <w:rPr>
                <w:b/>
                <w:bCs/>
                <w:i w:val="0"/>
                <w:iCs w:val="0"/>
              </w:rPr>
            </w:pPr>
            <w:r>
              <w:rPr>
                <w:rFonts w:hint="eastAsia"/>
                <w:b/>
                <w:bCs/>
                <w:i w:val="0"/>
                <w:iCs w:val="0"/>
              </w:rPr>
              <w:t>项目</w:t>
            </w:r>
          </w:p>
        </w:tc>
        <w:tc>
          <w:tcPr>
            <w:tcW w:w="6930" w:type="dxa"/>
            <w:tcBorders>
              <w:tl2br w:val="nil"/>
              <w:tr2bl w:val="nil"/>
            </w:tcBorders>
            <w:shd w:val="clear" w:color="auto" w:fill="538135" w:themeFill="accent6" w:themeFillShade="BF"/>
            <w:vAlign w:val="center"/>
          </w:tcPr>
          <w:p w14:paraId="2EAD6AE1">
            <w:pPr>
              <w:pStyle w:val="149"/>
              <w:wordWrap/>
              <w:rPr>
                <w:b/>
                <w:bCs/>
                <w:i w:val="0"/>
                <w:iCs w:val="0"/>
              </w:rPr>
            </w:pPr>
            <w:r>
              <w:rPr>
                <w:rFonts w:hint="eastAsia"/>
                <w:b/>
                <w:bCs/>
                <w:i w:val="0"/>
                <w:iCs w:val="0"/>
              </w:rPr>
              <w:t>说明</w:t>
            </w:r>
          </w:p>
        </w:tc>
      </w:tr>
      <w:tr w14:paraId="3DE01DC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23943944">
            <w:pPr>
              <w:pStyle w:val="150"/>
            </w:pPr>
            <w:r>
              <w:rPr>
                <w:rFonts w:hint="eastAsia"/>
              </w:rPr>
              <w:t>规则名称</w:t>
            </w:r>
          </w:p>
        </w:tc>
        <w:tc>
          <w:tcPr>
            <w:tcW w:w="6930" w:type="dxa"/>
            <w:shd w:val="clear" w:color="auto" w:fill="auto"/>
          </w:tcPr>
          <w:p w14:paraId="0865A10D">
            <w:pPr>
              <w:pStyle w:val="150"/>
            </w:pPr>
            <w:r>
              <w:rPr>
                <w:rFonts w:hint="eastAsia"/>
              </w:rPr>
              <w:t>配置规则对象名称。</w:t>
            </w:r>
          </w:p>
        </w:tc>
      </w:tr>
      <w:tr w14:paraId="20A0350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59E43682">
            <w:pPr>
              <w:pStyle w:val="150"/>
            </w:pPr>
            <w:r>
              <w:rPr>
                <w:rFonts w:hint="eastAsia"/>
              </w:rPr>
              <w:t>规则描述</w:t>
            </w:r>
          </w:p>
        </w:tc>
        <w:tc>
          <w:tcPr>
            <w:tcW w:w="6930" w:type="dxa"/>
            <w:shd w:val="clear" w:color="auto" w:fill="auto"/>
          </w:tcPr>
          <w:p w14:paraId="230C0ECB">
            <w:pPr>
              <w:pStyle w:val="150"/>
            </w:pPr>
            <w:r>
              <w:rPr>
                <w:rFonts w:hint="eastAsia"/>
              </w:rPr>
              <w:t>配置规则对象描述。</w:t>
            </w:r>
          </w:p>
        </w:tc>
      </w:tr>
      <w:tr w14:paraId="40472B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3D1DFDC4">
            <w:pPr>
              <w:pStyle w:val="150"/>
            </w:pPr>
            <w:r>
              <w:rPr>
                <w:rFonts w:hint="eastAsia"/>
              </w:rPr>
              <w:t>不能有以下行为</w:t>
            </w:r>
          </w:p>
        </w:tc>
        <w:tc>
          <w:tcPr>
            <w:tcW w:w="6930" w:type="dxa"/>
            <w:shd w:val="clear" w:color="auto" w:fill="auto"/>
          </w:tcPr>
          <w:p w14:paraId="429D2DF5">
            <w:pPr>
              <w:pStyle w:val="150"/>
            </w:pPr>
            <w:r>
              <w:rPr>
                <w:rFonts w:hint="eastAsia"/>
              </w:rPr>
              <w:t>可以配置勾选“修改MAC”和“修改IP”；</w:t>
            </w:r>
          </w:p>
          <w:p w14:paraId="22F8DD1B">
            <w:pPr>
              <w:pStyle w:val="150"/>
            </w:pPr>
            <w:r>
              <w:rPr>
                <w:rFonts w:hint="eastAsia"/>
              </w:rPr>
              <w:t>勾选“修改IP”后，违规处置只能选择“恢复修改前地址并提示用户”。</w:t>
            </w:r>
          </w:p>
        </w:tc>
      </w:tr>
      <w:tr w14:paraId="341C2F3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054E4E0F">
            <w:pPr>
              <w:pStyle w:val="150"/>
            </w:pPr>
            <w:r>
              <w:rPr>
                <w:rFonts w:hint="eastAsia"/>
              </w:rPr>
              <w:t>违规处置</w:t>
            </w:r>
          </w:p>
        </w:tc>
        <w:tc>
          <w:tcPr>
            <w:tcW w:w="6930" w:type="dxa"/>
            <w:shd w:val="clear" w:color="auto" w:fill="auto"/>
          </w:tcPr>
          <w:p w14:paraId="28154A5A">
            <w:pPr>
              <w:pStyle w:val="207"/>
              <w:tabs>
                <w:tab w:val="left" w:pos="1134"/>
              </w:tabs>
              <w:rPr>
                <w:lang w:eastAsia="zh-CN"/>
              </w:rPr>
            </w:pPr>
            <w:r>
              <w:rPr>
                <w:rFonts w:hint="eastAsia"/>
                <w:lang w:eastAsia="zh-CN"/>
              </w:rPr>
              <w:t>禁止上网并提示用户：违规后禁止终端上网，弹窗提示并上报日志；</w:t>
            </w:r>
          </w:p>
          <w:p w14:paraId="53D21B50">
            <w:pPr>
              <w:pStyle w:val="207"/>
              <w:tabs>
                <w:tab w:val="left" w:pos="1134"/>
              </w:tabs>
              <w:rPr>
                <w:lang w:eastAsia="zh-CN"/>
              </w:rPr>
            </w:pPr>
            <w:r>
              <w:rPr>
                <w:rFonts w:hint="eastAsia"/>
                <w:lang w:eastAsia="zh-CN"/>
              </w:rPr>
              <w:t>提示用户：违规后弹窗提示并上报日志；</w:t>
            </w:r>
          </w:p>
          <w:p w14:paraId="3E6EA3E1">
            <w:pPr>
              <w:pStyle w:val="207"/>
              <w:tabs>
                <w:tab w:val="left" w:pos="1134"/>
              </w:tabs>
              <w:rPr>
                <w:lang w:eastAsia="zh-CN"/>
              </w:rPr>
            </w:pPr>
            <w:r>
              <w:rPr>
                <w:rFonts w:hint="eastAsia"/>
                <w:lang w:eastAsia="zh-CN"/>
              </w:rPr>
              <w:t>只记录结果：违规后只上报日志；</w:t>
            </w:r>
          </w:p>
          <w:p w14:paraId="3591C415">
            <w:pPr>
              <w:pStyle w:val="207"/>
              <w:tabs>
                <w:tab w:val="left" w:pos="1134"/>
              </w:tabs>
              <w:rPr>
                <w:lang w:eastAsia="zh-CN"/>
              </w:rPr>
            </w:pPr>
            <w:r>
              <w:rPr>
                <w:rFonts w:hint="eastAsia"/>
                <w:lang w:eastAsia="zh-CN"/>
              </w:rPr>
              <w:t>恢复修改前地址并提示用户：违规后恢复修改前地址，弹窗提示并提示用户。</w:t>
            </w:r>
          </w:p>
        </w:tc>
      </w:tr>
      <w:tr w14:paraId="32DA21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384B7BA3">
            <w:pPr>
              <w:pStyle w:val="150"/>
              <w:rPr>
                <w:shd w:val="clear" w:color="auto" w:fill="FFFFFF"/>
              </w:rPr>
            </w:pPr>
            <w:r>
              <w:rPr>
                <w:rFonts w:hint="eastAsia"/>
                <w:shd w:val="clear" w:color="auto" w:fill="FFFFFF"/>
              </w:rPr>
              <w:t>提示内容</w:t>
            </w:r>
          </w:p>
        </w:tc>
        <w:tc>
          <w:tcPr>
            <w:tcW w:w="6930" w:type="dxa"/>
            <w:shd w:val="clear" w:color="auto" w:fill="auto"/>
          </w:tcPr>
          <w:p w14:paraId="42D2FA53">
            <w:pPr>
              <w:pStyle w:val="150"/>
            </w:pPr>
            <w:r>
              <w:rPr>
                <w:rFonts w:hint="eastAsia"/>
              </w:rPr>
              <w:t>配置自定义提示内容。</w:t>
            </w:r>
          </w:p>
        </w:tc>
      </w:tr>
      <w:tr w14:paraId="221EC6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753FA7A2">
            <w:pPr>
              <w:pStyle w:val="150"/>
              <w:rPr>
                <w:shd w:val="clear" w:color="auto" w:fill="FFFFFF"/>
              </w:rPr>
            </w:pPr>
            <w:r>
              <w:rPr>
                <w:rFonts w:hint="eastAsia"/>
                <w:shd w:val="clear" w:color="auto" w:fill="FFFFFF"/>
              </w:rPr>
              <w:t>预览</w:t>
            </w:r>
          </w:p>
        </w:tc>
        <w:tc>
          <w:tcPr>
            <w:tcW w:w="6930" w:type="dxa"/>
            <w:shd w:val="clear" w:color="auto" w:fill="auto"/>
          </w:tcPr>
          <w:p w14:paraId="260ED56F">
            <w:pPr>
              <w:pStyle w:val="150"/>
            </w:pPr>
            <w:r>
              <w:rPr>
                <w:rFonts w:hint="eastAsia"/>
              </w:rPr>
              <w:t>预览弹窗提示信息。</w:t>
            </w:r>
          </w:p>
        </w:tc>
      </w:tr>
    </w:tbl>
    <w:p w14:paraId="2481553A"/>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055B1A6E">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463DF6D3">
            <w:pPr>
              <w:pStyle w:val="150"/>
              <w:adjustRightInd w:val="0"/>
              <w:snapToGrid w:val="0"/>
              <w:rPr>
                <w:color w:val="auto"/>
              </w:rPr>
            </w:pPr>
            <w:r>
              <w:rPr>
                <w:b/>
                <w:color w:val="auto"/>
              </w:rPr>
              <w:drawing>
                <wp:inline distT="0" distB="0" distL="0" distR="0">
                  <wp:extent cx="283210" cy="283210"/>
                  <wp:effectExtent l="0" t="0" r="2540" b="2540"/>
                  <wp:docPr id="946" name="图片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图片 94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5232E3D4">
            <w:pPr>
              <w:pStyle w:val="150"/>
              <w:adjustRightInd w:val="0"/>
              <w:snapToGrid w:val="0"/>
              <w:rPr>
                <w:color w:val="auto"/>
              </w:rPr>
            </w:pPr>
            <w:r>
              <w:rPr>
                <w:rFonts w:hint="eastAsia"/>
                <w:color w:val="auto"/>
              </w:rPr>
              <w:t>DHCP场景不支持开启IP防篡改。</w:t>
            </w:r>
          </w:p>
        </w:tc>
      </w:tr>
    </w:tbl>
    <w:p w14:paraId="468EFE57"/>
    <w:p w14:paraId="10AF5356">
      <w:pPr>
        <w:pStyle w:val="6"/>
      </w:pPr>
      <w:r>
        <w:rPr>
          <w:rFonts w:hint="eastAsia"/>
        </w:rPr>
        <w:t>软件检查规则</w:t>
      </w:r>
    </w:p>
    <w:p w14:paraId="311CC5BD">
      <w:r>
        <w:rPr>
          <w:rFonts w:hint="eastAsia"/>
        </w:rPr>
        <w:t>在导航栏中选择“用户管理&gt;终端准入管理&gt;准入策略”，单击选择“规则对象”标签页，进入规则对象页面，将鼠标悬停在“新建”按钮，选择“检查规则&gt;软件检查规则”，进入软件检查规则配置页面，如下图所示。</w:t>
      </w:r>
    </w:p>
    <w:p w14:paraId="37DA9FAE">
      <w:pPr>
        <w:pStyle w:val="188"/>
        <w:rPr>
          <w:szCs w:val="18"/>
        </w:rPr>
      </w:pPr>
      <w:r>
        <w:rPr>
          <w:rFonts w:hint="eastAsia"/>
        </w:rPr>
        <w:t>软件检查规则配置页面</w:t>
      </w:r>
    </w:p>
    <w:p w14:paraId="592C9CA4">
      <w:pPr>
        <w:pStyle w:val="175"/>
      </w:pPr>
      <w:r>
        <w:drawing>
          <wp:inline distT="0" distB="0" distL="114300" distR="114300">
            <wp:extent cx="6116955" cy="2850515"/>
            <wp:effectExtent l="0" t="0" r="17145" b="6985"/>
            <wp:docPr id="67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图片 22"/>
                    <pic:cNvPicPr>
                      <a:picLocks noChangeAspect="1"/>
                    </pic:cNvPicPr>
                  </pic:nvPicPr>
                  <pic:blipFill>
                    <a:blip r:embed="rId1184"/>
                    <a:stretch>
                      <a:fillRect/>
                    </a:stretch>
                  </pic:blipFill>
                  <pic:spPr>
                    <a:xfrm>
                      <a:off x="0" y="0"/>
                      <a:ext cx="6116955" cy="2850515"/>
                    </a:xfrm>
                    <a:prstGeom prst="rect">
                      <a:avLst/>
                    </a:prstGeom>
                    <a:noFill/>
                    <a:ln>
                      <a:noFill/>
                    </a:ln>
                  </pic:spPr>
                </pic:pic>
              </a:graphicData>
            </a:graphic>
          </wp:inline>
        </w:drawing>
      </w:r>
    </w:p>
    <w:p w14:paraId="1F8235E4">
      <w:pPr>
        <w:pStyle w:val="175"/>
      </w:pPr>
      <w:r>
        <w:drawing>
          <wp:inline distT="0" distB="0" distL="114300" distR="114300">
            <wp:extent cx="6117590" cy="1217930"/>
            <wp:effectExtent l="0" t="0" r="16510" b="1270"/>
            <wp:docPr id="68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图片 23"/>
                    <pic:cNvPicPr>
                      <a:picLocks noChangeAspect="1"/>
                    </pic:cNvPicPr>
                  </pic:nvPicPr>
                  <pic:blipFill>
                    <a:blip r:embed="rId1185"/>
                    <a:stretch>
                      <a:fillRect/>
                    </a:stretch>
                  </pic:blipFill>
                  <pic:spPr>
                    <a:xfrm>
                      <a:off x="0" y="0"/>
                      <a:ext cx="6117590" cy="1217930"/>
                    </a:xfrm>
                    <a:prstGeom prst="rect">
                      <a:avLst/>
                    </a:prstGeom>
                    <a:noFill/>
                    <a:ln>
                      <a:noFill/>
                    </a:ln>
                  </pic:spPr>
                </pic:pic>
              </a:graphicData>
            </a:graphic>
          </wp:inline>
        </w:drawing>
      </w:r>
    </w:p>
    <w:p w14:paraId="615A3E66">
      <w:pPr>
        <w:pStyle w:val="183"/>
      </w:pPr>
      <w:r>
        <w:rPr>
          <w:rFonts w:hint="eastAsia"/>
        </w:rPr>
        <w:t>软件检查规则配置说明</w:t>
      </w:r>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85"/>
        <w:gridCol w:w="6930"/>
      </w:tblGrid>
      <w:tr w14:paraId="7364CC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tcBorders>
              <w:tl2br w:val="nil"/>
              <w:tr2bl w:val="nil"/>
            </w:tcBorders>
            <w:shd w:val="clear" w:color="auto" w:fill="538135" w:themeFill="accent6" w:themeFillShade="BF"/>
            <w:vAlign w:val="center"/>
          </w:tcPr>
          <w:p w14:paraId="5E18AF56">
            <w:pPr>
              <w:pStyle w:val="149"/>
              <w:wordWrap/>
              <w:rPr>
                <w:b/>
                <w:bCs/>
                <w:i w:val="0"/>
                <w:iCs w:val="0"/>
              </w:rPr>
            </w:pPr>
            <w:r>
              <w:rPr>
                <w:rFonts w:hint="eastAsia"/>
                <w:b/>
                <w:bCs/>
                <w:i w:val="0"/>
                <w:iCs w:val="0"/>
              </w:rPr>
              <w:t>项目</w:t>
            </w:r>
          </w:p>
        </w:tc>
        <w:tc>
          <w:tcPr>
            <w:tcW w:w="6930" w:type="dxa"/>
            <w:tcBorders>
              <w:tl2br w:val="nil"/>
              <w:tr2bl w:val="nil"/>
            </w:tcBorders>
            <w:shd w:val="clear" w:color="auto" w:fill="538135" w:themeFill="accent6" w:themeFillShade="BF"/>
            <w:vAlign w:val="center"/>
          </w:tcPr>
          <w:p w14:paraId="740B5FBD">
            <w:pPr>
              <w:pStyle w:val="149"/>
              <w:wordWrap/>
              <w:rPr>
                <w:b/>
                <w:bCs/>
                <w:i w:val="0"/>
                <w:iCs w:val="0"/>
              </w:rPr>
            </w:pPr>
            <w:r>
              <w:rPr>
                <w:rFonts w:hint="eastAsia"/>
                <w:b/>
                <w:bCs/>
                <w:i w:val="0"/>
                <w:iCs w:val="0"/>
              </w:rPr>
              <w:t>说明</w:t>
            </w:r>
          </w:p>
        </w:tc>
      </w:tr>
      <w:tr w14:paraId="478240C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7CFD6195">
            <w:pPr>
              <w:pStyle w:val="150"/>
            </w:pPr>
            <w:r>
              <w:rPr>
                <w:rFonts w:hint="eastAsia"/>
              </w:rPr>
              <w:t>规则名称</w:t>
            </w:r>
          </w:p>
        </w:tc>
        <w:tc>
          <w:tcPr>
            <w:tcW w:w="6930" w:type="dxa"/>
            <w:shd w:val="clear" w:color="auto" w:fill="auto"/>
          </w:tcPr>
          <w:p w14:paraId="1F958E56">
            <w:pPr>
              <w:pStyle w:val="150"/>
            </w:pPr>
            <w:r>
              <w:rPr>
                <w:rFonts w:hint="eastAsia"/>
              </w:rPr>
              <w:t>配置规则对象名称。</w:t>
            </w:r>
          </w:p>
        </w:tc>
      </w:tr>
      <w:tr w14:paraId="5E33D1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6AFCBDDB">
            <w:pPr>
              <w:pStyle w:val="150"/>
            </w:pPr>
            <w:r>
              <w:rPr>
                <w:rFonts w:hint="eastAsia"/>
              </w:rPr>
              <w:t>规则描述</w:t>
            </w:r>
          </w:p>
        </w:tc>
        <w:tc>
          <w:tcPr>
            <w:tcW w:w="6930" w:type="dxa"/>
            <w:shd w:val="clear" w:color="auto" w:fill="auto"/>
          </w:tcPr>
          <w:p w14:paraId="7D0C5C09">
            <w:pPr>
              <w:pStyle w:val="150"/>
            </w:pPr>
            <w:r>
              <w:rPr>
                <w:rFonts w:hint="eastAsia"/>
              </w:rPr>
              <w:t>配置规则对象描述。</w:t>
            </w:r>
          </w:p>
        </w:tc>
      </w:tr>
      <w:tr w14:paraId="12C2C9B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04FD2FC2">
            <w:pPr>
              <w:pStyle w:val="150"/>
            </w:pPr>
            <w:r>
              <w:rPr>
                <w:rFonts w:hint="eastAsia"/>
              </w:rPr>
              <w:t>软件列表配置-软件名称</w:t>
            </w:r>
          </w:p>
        </w:tc>
        <w:tc>
          <w:tcPr>
            <w:tcW w:w="6930" w:type="dxa"/>
            <w:shd w:val="clear" w:color="auto" w:fill="auto"/>
          </w:tcPr>
          <w:p w14:paraId="001DD00A">
            <w:pPr>
              <w:pStyle w:val="150"/>
            </w:pPr>
            <w:r>
              <w:rPr>
                <w:rFonts w:hint="eastAsia"/>
              </w:rPr>
              <w:t>配置需要检测的软件名称。</w:t>
            </w:r>
          </w:p>
        </w:tc>
      </w:tr>
      <w:tr w14:paraId="20DFAC3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55C0CF77">
            <w:pPr>
              <w:pStyle w:val="150"/>
            </w:pPr>
            <w:r>
              <w:rPr>
                <w:rFonts w:hint="eastAsia"/>
              </w:rPr>
              <w:t>软件列表配置-版本要求</w:t>
            </w:r>
          </w:p>
        </w:tc>
        <w:tc>
          <w:tcPr>
            <w:tcW w:w="6930" w:type="dxa"/>
            <w:shd w:val="clear" w:color="auto" w:fill="auto"/>
          </w:tcPr>
          <w:p w14:paraId="60E3DE9A">
            <w:pPr>
              <w:pStyle w:val="150"/>
            </w:pPr>
            <w:r>
              <w:rPr>
                <w:rFonts w:hint="eastAsia"/>
              </w:rPr>
              <w:t>配置版本要求，可配置“无要求”、“高于”、“不低于”、“等于”。</w:t>
            </w:r>
          </w:p>
        </w:tc>
      </w:tr>
      <w:tr w14:paraId="13D948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3FDE6D88">
            <w:pPr>
              <w:pStyle w:val="150"/>
            </w:pPr>
            <w:r>
              <w:rPr>
                <w:rFonts w:hint="eastAsia"/>
              </w:rPr>
              <w:t>软件列表配置-版本号</w:t>
            </w:r>
          </w:p>
        </w:tc>
        <w:tc>
          <w:tcPr>
            <w:tcW w:w="6930" w:type="dxa"/>
            <w:shd w:val="clear" w:color="auto" w:fill="auto"/>
          </w:tcPr>
          <w:p w14:paraId="531CD30C">
            <w:pPr>
              <w:pStyle w:val="150"/>
            </w:pPr>
            <w:r>
              <w:rPr>
                <w:rFonts w:hint="eastAsia"/>
              </w:rPr>
              <w:t>配置软件版本号。</w:t>
            </w:r>
          </w:p>
        </w:tc>
      </w:tr>
      <w:tr w14:paraId="3995793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11C41717">
            <w:pPr>
              <w:pStyle w:val="150"/>
            </w:pPr>
            <w:r>
              <w:rPr>
                <w:rFonts w:hint="eastAsia"/>
              </w:rPr>
              <w:t>判断方式</w:t>
            </w:r>
          </w:p>
        </w:tc>
        <w:tc>
          <w:tcPr>
            <w:tcW w:w="6930" w:type="dxa"/>
            <w:shd w:val="clear" w:color="auto" w:fill="auto"/>
          </w:tcPr>
          <w:p w14:paraId="2AB69597">
            <w:pPr>
              <w:pStyle w:val="150"/>
              <w:rPr>
                <w:rFonts w:ascii="Consolas" w:hAnsi="Consolas" w:eastAsia="Consolas" w:cs="Consolas"/>
                <w:shd w:val="clear" w:color="auto" w:fill="FFFFFF"/>
              </w:rPr>
            </w:pPr>
            <w:r>
              <w:rPr>
                <w:rFonts w:hint="eastAsia" w:ascii="Consolas" w:hAnsi="Consolas" w:cs="Consolas"/>
                <w:shd w:val="clear" w:color="auto" w:fill="FFFFFF"/>
              </w:rPr>
              <w:t>可配置“</w:t>
            </w:r>
            <w:r>
              <w:rPr>
                <w:rFonts w:hint="eastAsia"/>
                <w:shd w:val="clear" w:color="auto" w:fill="FFFFFF"/>
              </w:rPr>
              <w:t>如果已安装下列任意一款软件，视为违规</w:t>
            </w:r>
            <w:r>
              <w:rPr>
                <w:rFonts w:hint="eastAsia" w:ascii="Consolas" w:hAnsi="Consolas" w:cs="Consolas"/>
                <w:shd w:val="clear" w:color="auto" w:fill="FFFFFF"/>
              </w:rPr>
              <w:t>”、“</w:t>
            </w:r>
            <w:r>
              <w:rPr>
                <w:rFonts w:hint="eastAsia"/>
                <w:shd w:val="clear" w:color="auto" w:fill="FFFFFF"/>
              </w:rPr>
              <w:t>如果已安装下列任意一款软件，视为合规</w:t>
            </w:r>
            <w:r>
              <w:rPr>
                <w:rFonts w:hint="eastAsia" w:ascii="Consolas" w:hAnsi="Consolas" w:cs="Consolas"/>
                <w:shd w:val="clear" w:color="auto" w:fill="FFFFFF"/>
              </w:rPr>
              <w:t>”、“</w:t>
            </w:r>
            <w:r>
              <w:rPr>
                <w:rFonts w:hint="eastAsia"/>
                <w:shd w:val="clear" w:color="auto" w:fill="FFFFFF"/>
              </w:rPr>
              <w:t>如果安装下列所有软件，视为合规</w:t>
            </w:r>
            <w:r>
              <w:rPr>
                <w:rFonts w:hint="eastAsia" w:ascii="Consolas" w:hAnsi="Consolas" w:cs="Consolas"/>
                <w:shd w:val="clear" w:color="auto" w:fill="FFFFFF"/>
              </w:rPr>
              <w:t>”。</w:t>
            </w:r>
          </w:p>
        </w:tc>
      </w:tr>
      <w:tr w14:paraId="786F97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365888D4">
            <w:pPr>
              <w:pStyle w:val="150"/>
            </w:pPr>
            <w:r>
              <w:rPr>
                <w:rFonts w:hint="eastAsia"/>
              </w:rPr>
              <w:t>违规处置</w:t>
            </w:r>
          </w:p>
        </w:tc>
        <w:tc>
          <w:tcPr>
            <w:tcW w:w="6930" w:type="dxa"/>
            <w:shd w:val="clear" w:color="auto" w:fill="auto"/>
          </w:tcPr>
          <w:p w14:paraId="7D85EFEC">
            <w:pPr>
              <w:pStyle w:val="207"/>
              <w:tabs>
                <w:tab w:val="left" w:pos="1134"/>
              </w:tabs>
              <w:rPr>
                <w:lang w:eastAsia="zh-CN"/>
              </w:rPr>
            </w:pPr>
            <w:r>
              <w:rPr>
                <w:rFonts w:hint="eastAsia"/>
                <w:lang w:eastAsia="zh-CN"/>
              </w:rPr>
              <w:t>禁止上网并提示用户：违规后禁止终端上网，弹窗提示并上报日志；</w:t>
            </w:r>
          </w:p>
          <w:p w14:paraId="165238CF">
            <w:pPr>
              <w:pStyle w:val="207"/>
              <w:tabs>
                <w:tab w:val="left" w:pos="1134"/>
              </w:tabs>
              <w:rPr>
                <w:lang w:eastAsia="zh-CN"/>
              </w:rPr>
            </w:pPr>
            <w:r>
              <w:rPr>
                <w:rFonts w:hint="eastAsia"/>
                <w:lang w:eastAsia="zh-CN"/>
              </w:rPr>
              <w:t>提示用户：违规后弹窗提示并上报日志；</w:t>
            </w:r>
          </w:p>
          <w:p w14:paraId="6B5A0B47">
            <w:pPr>
              <w:pStyle w:val="207"/>
              <w:tabs>
                <w:tab w:val="left" w:pos="1134"/>
              </w:tabs>
              <w:rPr>
                <w:lang w:eastAsia="zh-CN"/>
              </w:rPr>
            </w:pPr>
            <w:r>
              <w:rPr>
                <w:rFonts w:hint="eastAsia"/>
                <w:lang w:eastAsia="zh-CN"/>
              </w:rPr>
              <w:t>只记录结果：违规后只上报日志。</w:t>
            </w:r>
          </w:p>
        </w:tc>
      </w:tr>
      <w:tr w14:paraId="2504A8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6C2095BA">
            <w:pPr>
              <w:pStyle w:val="150"/>
              <w:rPr>
                <w:shd w:val="clear" w:color="auto" w:fill="FFFFFF"/>
              </w:rPr>
            </w:pPr>
            <w:r>
              <w:rPr>
                <w:rFonts w:hint="eastAsia"/>
                <w:shd w:val="clear" w:color="auto" w:fill="FFFFFF"/>
              </w:rPr>
              <w:t>提示内容</w:t>
            </w:r>
          </w:p>
        </w:tc>
        <w:tc>
          <w:tcPr>
            <w:tcW w:w="6930" w:type="dxa"/>
            <w:shd w:val="clear" w:color="auto" w:fill="auto"/>
          </w:tcPr>
          <w:p w14:paraId="391CE832">
            <w:pPr>
              <w:pStyle w:val="150"/>
            </w:pPr>
            <w:r>
              <w:rPr>
                <w:rFonts w:hint="eastAsia"/>
              </w:rPr>
              <w:t>配置自定义提示内容。</w:t>
            </w:r>
          </w:p>
        </w:tc>
      </w:tr>
      <w:tr w14:paraId="7D49F9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3EB18A11">
            <w:pPr>
              <w:pStyle w:val="150"/>
              <w:rPr>
                <w:shd w:val="clear" w:color="auto" w:fill="FFFFFF"/>
              </w:rPr>
            </w:pPr>
            <w:r>
              <w:rPr>
                <w:rFonts w:hint="eastAsia"/>
                <w:shd w:val="clear" w:color="auto" w:fill="FFFFFF"/>
              </w:rPr>
              <w:t>预览</w:t>
            </w:r>
          </w:p>
        </w:tc>
        <w:tc>
          <w:tcPr>
            <w:tcW w:w="6930" w:type="dxa"/>
            <w:shd w:val="clear" w:color="auto" w:fill="auto"/>
          </w:tcPr>
          <w:p w14:paraId="3C0A96DA">
            <w:pPr>
              <w:pStyle w:val="150"/>
            </w:pPr>
            <w:r>
              <w:rPr>
                <w:rFonts w:hint="eastAsia"/>
              </w:rPr>
              <w:t>预览弹窗提示信息。</w:t>
            </w:r>
          </w:p>
        </w:tc>
      </w:tr>
    </w:tbl>
    <w:p w14:paraId="19F6325E"/>
    <w:p w14:paraId="14F70BE7">
      <w:pPr>
        <w:pStyle w:val="6"/>
      </w:pPr>
      <w:r>
        <w:rPr>
          <w:rFonts w:hint="eastAsia"/>
        </w:rPr>
        <w:t>外联检查规则</w:t>
      </w:r>
    </w:p>
    <w:p w14:paraId="649068E5">
      <w:r>
        <w:rPr>
          <w:rFonts w:hint="eastAsia"/>
        </w:rPr>
        <w:t>在导航栏中选择“用户管理&gt;终端准入管理&gt;准入策略”，单击选择“规则对象”标签页，进入规则对象页面，将鼠标悬停在“新建”按钮，选择“检查规则&gt;外联检查规则”，进入外联检查规则配置页面，如下图所示。</w:t>
      </w:r>
    </w:p>
    <w:p w14:paraId="1314FA14">
      <w:pPr>
        <w:pStyle w:val="188"/>
        <w:rPr>
          <w:szCs w:val="18"/>
        </w:rPr>
      </w:pPr>
      <w:r>
        <w:rPr>
          <w:rFonts w:hint="eastAsia"/>
        </w:rPr>
        <w:t>外联检查规则配置页面</w:t>
      </w:r>
    </w:p>
    <w:p w14:paraId="26CA7F6C">
      <w:r>
        <w:drawing>
          <wp:inline distT="0" distB="0" distL="114300" distR="114300">
            <wp:extent cx="6117590" cy="3230245"/>
            <wp:effectExtent l="0" t="0" r="16510" b="8255"/>
            <wp:docPr id="68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图片 24"/>
                    <pic:cNvPicPr>
                      <a:picLocks noChangeAspect="1"/>
                    </pic:cNvPicPr>
                  </pic:nvPicPr>
                  <pic:blipFill>
                    <a:blip r:embed="rId1186"/>
                    <a:stretch>
                      <a:fillRect/>
                    </a:stretch>
                  </pic:blipFill>
                  <pic:spPr>
                    <a:xfrm>
                      <a:off x="0" y="0"/>
                      <a:ext cx="6117590" cy="3230245"/>
                    </a:xfrm>
                    <a:prstGeom prst="rect">
                      <a:avLst/>
                    </a:prstGeom>
                    <a:noFill/>
                    <a:ln>
                      <a:noFill/>
                    </a:ln>
                  </pic:spPr>
                </pic:pic>
              </a:graphicData>
            </a:graphic>
          </wp:inline>
        </w:drawing>
      </w:r>
    </w:p>
    <w:p w14:paraId="418727E1">
      <w:pPr>
        <w:pStyle w:val="183"/>
      </w:pPr>
      <w:r>
        <w:rPr>
          <w:rFonts w:hint="eastAsia"/>
        </w:rPr>
        <w:t>外联检查规则配置说明</w:t>
      </w:r>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85"/>
        <w:gridCol w:w="6930"/>
      </w:tblGrid>
      <w:tr w14:paraId="373764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tcBorders>
              <w:tl2br w:val="nil"/>
              <w:tr2bl w:val="nil"/>
            </w:tcBorders>
            <w:shd w:val="clear" w:color="auto" w:fill="538135" w:themeFill="accent6" w:themeFillShade="BF"/>
            <w:vAlign w:val="center"/>
          </w:tcPr>
          <w:p w14:paraId="7911ADD0">
            <w:pPr>
              <w:pStyle w:val="149"/>
              <w:wordWrap/>
              <w:rPr>
                <w:b/>
                <w:bCs/>
                <w:i w:val="0"/>
                <w:iCs w:val="0"/>
              </w:rPr>
            </w:pPr>
            <w:r>
              <w:rPr>
                <w:rFonts w:hint="eastAsia"/>
                <w:b/>
                <w:bCs/>
                <w:i w:val="0"/>
                <w:iCs w:val="0"/>
              </w:rPr>
              <w:t>项目</w:t>
            </w:r>
          </w:p>
        </w:tc>
        <w:tc>
          <w:tcPr>
            <w:tcW w:w="6930" w:type="dxa"/>
            <w:tcBorders>
              <w:tl2br w:val="nil"/>
              <w:tr2bl w:val="nil"/>
            </w:tcBorders>
            <w:shd w:val="clear" w:color="auto" w:fill="538135" w:themeFill="accent6" w:themeFillShade="BF"/>
            <w:vAlign w:val="center"/>
          </w:tcPr>
          <w:p w14:paraId="364604EA">
            <w:pPr>
              <w:pStyle w:val="149"/>
              <w:wordWrap/>
              <w:rPr>
                <w:b/>
                <w:bCs/>
                <w:i w:val="0"/>
                <w:iCs w:val="0"/>
              </w:rPr>
            </w:pPr>
            <w:r>
              <w:rPr>
                <w:rFonts w:hint="eastAsia"/>
                <w:b/>
                <w:bCs/>
                <w:i w:val="0"/>
                <w:iCs w:val="0"/>
              </w:rPr>
              <w:t>说明</w:t>
            </w:r>
          </w:p>
        </w:tc>
      </w:tr>
      <w:tr w14:paraId="06770D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631EB26A">
            <w:pPr>
              <w:pStyle w:val="150"/>
            </w:pPr>
            <w:r>
              <w:rPr>
                <w:rFonts w:hint="eastAsia"/>
              </w:rPr>
              <w:t>规则名称</w:t>
            </w:r>
          </w:p>
        </w:tc>
        <w:tc>
          <w:tcPr>
            <w:tcW w:w="6930" w:type="dxa"/>
            <w:shd w:val="clear" w:color="auto" w:fill="auto"/>
          </w:tcPr>
          <w:p w14:paraId="2BAF7DBA">
            <w:pPr>
              <w:pStyle w:val="150"/>
            </w:pPr>
            <w:r>
              <w:rPr>
                <w:rFonts w:hint="eastAsia"/>
              </w:rPr>
              <w:t>配置规则对象名称。</w:t>
            </w:r>
          </w:p>
        </w:tc>
      </w:tr>
      <w:tr w14:paraId="405B277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2053ABA4">
            <w:pPr>
              <w:pStyle w:val="150"/>
            </w:pPr>
            <w:r>
              <w:rPr>
                <w:rFonts w:hint="eastAsia"/>
              </w:rPr>
              <w:t>规则描述</w:t>
            </w:r>
          </w:p>
        </w:tc>
        <w:tc>
          <w:tcPr>
            <w:tcW w:w="6930" w:type="dxa"/>
            <w:shd w:val="clear" w:color="auto" w:fill="auto"/>
          </w:tcPr>
          <w:p w14:paraId="44EC829A">
            <w:pPr>
              <w:pStyle w:val="150"/>
            </w:pPr>
            <w:r>
              <w:rPr>
                <w:rFonts w:hint="eastAsia"/>
              </w:rPr>
              <w:t>配置规则对象描述。</w:t>
            </w:r>
          </w:p>
        </w:tc>
      </w:tr>
      <w:tr w14:paraId="7883C9B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04069C36">
            <w:pPr>
              <w:pStyle w:val="150"/>
            </w:pPr>
            <w:r>
              <w:rPr>
                <w:rFonts w:hint="eastAsia"/>
              </w:rPr>
              <w:t>拨号行为</w:t>
            </w:r>
          </w:p>
        </w:tc>
        <w:tc>
          <w:tcPr>
            <w:tcW w:w="6930" w:type="dxa"/>
            <w:shd w:val="clear" w:color="auto" w:fill="auto"/>
          </w:tcPr>
          <w:p w14:paraId="0CA38722">
            <w:pPr>
              <w:pStyle w:val="150"/>
            </w:pPr>
            <w:r>
              <w:rPr>
                <w:rFonts w:hint="eastAsia"/>
              </w:rPr>
              <w:t>勾选后，终端存在PPPOE拨号行为视为违规。</w:t>
            </w:r>
          </w:p>
        </w:tc>
      </w:tr>
      <w:tr w14:paraId="702A1A3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72DE4B51">
            <w:pPr>
              <w:pStyle w:val="150"/>
            </w:pPr>
            <w:r>
              <w:rPr>
                <w:rFonts w:hint="eastAsia"/>
              </w:rPr>
              <w:t>双网卡行为</w:t>
            </w:r>
          </w:p>
        </w:tc>
        <w:tc>
          <w:tcPr>
            <w:tcW w:w="6930" w:type="dxa"/>
            <w:shd w:val="clear" w:color="auto" w:fill="auto"/>
          </w:tcPr>
          <w:p w14:paraId="54FC5A89">
            <w:pPr>
              <w:pStyle w:val="150"/>
            </w:pPr>
            <w:r>
              <w:rPr>
                <w:rFonts w:hint="eastAsia"/>
              </w:rPr>
              <w:t>勾选后，终端存在多网卡行为视为违规。</w:t>
            </w:r>
          </w:p>
        </w:tc>
      </w:tr>
      <w:tr w14:paraId="0226CF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1A3C0DF7">
            <w:pPr>
              <w:pStyle w:val="150"/>
            </w:pPr>
            <w:r>
              <w:rPr>
                <w:rFonts w:hint="eastAsia"/>
              </w:rPr>
              <w:t>有无线网卡</w:t>
            </w:r>
          </w:p>
        </w:tc>
        <w:tc>
          <w:tcPr>
            <w:tcW w:w="6930" w:type="dxa"/>
            <w:shd w:val="clear" w:color="auto" w:fill="auto"/>
          </w:tcPr>
          <w:p w14:paraId="0CF084E4">
            <w:pPr>
              <w:pStyle w:val="150"/>
            </w:pPr>
            <w:r>
              <w:rPr>
                <w:rFonts w:hint="eastAsia"/>
              </w:rPr>
              <w:t>勾选后，终端存在无线网卡视为违规。</w:t>
            </w:r>
          </w:p>
        </w:tc>
      </w:tr>
      <w:tr w14:paraId="2C4D85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25E8F150">
            <w:pPr>
              <w:pStyle w:val="150"/>
            </w:pPr>
            <w:r>
              <w:rPr>
                <w:rFonts w:hint="eastAsia"/>
              </w:rPr>
              <w:t>有4G网卡</w:t>
            </w:r>
          </w:p>
        </w:tc>
        <w:tc>
          <w:tcPr>
            <w:tcW w:w="6930" w:type="dxa"/>
            <w:shd w:val="clear" w:color="auto" w:fill="auto"/>
          </w:tcPr>
          <w:p w14:paraId="747E4C99">
            <w:pPr>
              <w:pStyle w:val="150"/>
            </w:pPr>
            <w:r>
              <w:rPr>
                <w:rFonts w:hint="eastAsia"/>
              </w:rPr>
              <w:t>勾选后，终端存在4G网卡视为违规。</w:t>
            </w:r>
          </w:p>
        </w:tc>
      </w:tr>
      <w:tr w14:paraId="71C12D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35135CB2">
            <w:pPr>
              <w:pStyle w:val="150"/>
            </w:pPr>
            <w:r>
              <w:rPr>
                <w:rFonts w:hint="eastAsia"/>
              </w:rPr>
              <w:t>连接非法WIFI</w:t>
            </w:r>
          </w:p>
        </w:tc>
        <w:tc>
          <w:tcPr>
            <w:tcW w:w="6930" w:type="dxa"/>
            <w:shd w:val="clear" w:color="auto" w:fill="auto"/>
          </w:tcPr>
          <w:p w14:paraId="42D7F43A">
            <w:pPr>
              <w:pStyle w:val="150"/>
            </w:pPr>
            <w:r>
              <w:rPr>
                <w:rFonts w:hint="eastAsia"/>
              </w:rPr>
              <w:t>勾选后，终端连接WIFI视为违规。</w:t>
            </w:r>
          </w:p>
        </w:tc>
      </w:tr>
      <w:tr w14:paraId="56468A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1AFDB4A6">
            <w:pPr>
              <w:pStyle w:val="150"/>
            </w:pPr>
            <w:r>
              <w:rPr>
                <w:rFonts w:hint="eastAsia"/>
              </w:rPr>
              <w:t>WIFI白名单</w:t>
            </w:r>
          </w:p>
        </w:tc>
        <w:tc>
          <w:tcPr>
            <w:tcW w:w="6930" w:type="dxa"/>
            <w:shd w:val="clear" w:color="auto" w:fill="auto"/>
          </w:tcPr>
          <w:p w14:paraId="1207F4C9">
            <w:pPr>
              <w:pStyle w:val="150"/>
            </w:pPr>
            <w:r>
              <w:rPr>
                <w:rFonts w:hint="eastAsia"/>
              </w:rPr>
              <w:t>配置WIFI白名单，勾选连接非法WIFI，终端连接白名单内WIFI视为合规。</w:t>
            </w:r>
          </w:p>
        </w:tc>
      </w:tr>
      <w:tr w14:paraId="21656A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6B3C3547">
            <w:pPr>
              <w:pStyle w:val="150"/>
            </w:pPr>
            <w:r>
              <w:rPr>
                <w:rFonts w:hint="eastAsia"/>
              </w:rPr>
              <w:t>使用非法网关</w:t>
            </w:r>
          </w:p>
        </w:tc>
        <w:tc>
          <w:tcPr>
            <w:tcW w:w="6930" w:type="dxa"/>
            <w:shd w:val="clear" w:color="auto" w:fill="auto"/>
          </w:tcPr>
          <w:p w14:paraId="7FD4CA64">
            <w:pPr>
              <w:pStyle w:val="150"/>
            </w:pPr>
            <w:r>
              <w:rPr>
                <w:rFonts w:hint="eastAsia"/>
              </w:rPr>
              <w:t>勾选后，终端存在网关视为违规。</w:t>
            </w:r>
          </w:p>
        </w:tc>
      </w:tr>
      <w:tr w14:paraId="69E19D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4AA8C4FA">
            <w:pPr>
              <w:pStyle w:val="150"/>
            </w:pPr>
            <w:r>
              <w:rPr>
                <w:rFonts w:hint="eastAsia"/>
              </w:rPr>
              <w:t>网关白名单</w:t>
            </w:r>
          </w:p>
        </w:tc>
        <w:tc>
          <w:tcPr>
            <w:tcW w:w="6930" w:type="dxa"/>
            <w:shd w:val="clear" w:color="auto" w:fill="auto"/>
          </w:tcPr>
          <w:p w14:paraId="47999478">
            <w:pPr>
              <w:pStyle w:val="150"/>
            </w:pPr>
            <w:r>
              <w:rPr>
                <w:rFonts w:hint="eastAsia"/>
              </w:rPr>
              <w:t>配置网关白名单，勾选使用非法网关，终端配置白名单内网关视为合规。</w:t>
            </w:r>
          </w:p>
        </w:tc>
      </w:tr>
      <w:tr w14:paraId="113B1E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0F6EC180">
            <w:pPr>
              <w:pStyle w:val="150"/>
            </w:pPr>
            <w:r>
              <w:rPr>
                <w:rFonts w:hint="eastAsia"/>
              </w:rPr>
              <w:t>连接外网</w:t>
            </w:r>
          </w:p>
        </w:tc>
        <w:tc>
          <w:tcPr>
            <w:tcW w:w="6930" w:type="dxa"/>
            <w:shd w:val="clear" w:color="auto" w:fill="auto"/>
          </w:tcPr>
          <w:p w14:paraId="2701F5B0">
            <w:pPr>
              <w:pStyle w:val="150"/>
            </w:pPr>
            <w:r>
              <w:rPr>
                <w:rFonts w:hint="eastAsia"/>
              </w:rPr>
              <w:t>勾选后，终端自动探测www.baidu.com是否可达，可达视为违规</w:t>
            </w:r>
          </w:p>
        </w:tc>
      </w:tr>
      <w:tr w14:paraId="5CE3BD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240F06B9">
            <w:pPr>
              <w:pStyle w:val="150"/>
            </w:pPr>
            <w:r>
              <w:rPr>
                <w:rFonts w:hint="eastAsia"/>
              </w:rPr>
              <w:t>自定义外联</w:t>
            </w:r>
          </w:p>
        </w:tc>
        <w:tc>
          <w:tcPr>
            <w:tcW w:w="6930" w:type="dxa"/>
            <w:shd w:val="clear" w:color="auto" w:fill="auto"/>
          </w:tcPr>
          <w:p w14:paraId="6F81AD56">
            <w:pPr>
              <w:pStyle w:val="150"/>
            </w:pPr>
            <w:r>
              <w:rPr>
                <w:rFonts w:hint="eastAsia"/>
              </w:rPr>
              <w:t>勾选自定义外联必须勾选连接外网；勾选自定义外联后，终端自动探测自定义外联地址是否可达，可达视为连接外网违规。</w:t>
            </w:r>
          </w:p>
        </w:tc>
      </w:tr>
      <w:tr w14:paraId="4477E55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27D83221">
            <w:pPr>
              <w:pStyle w:val="150"/>
            </w:pPr>
            <w:r>
              <w:rPr>
                <w:rFonts w:hint="eastAsia"/>
              </w:rPr>
              <w:t>自定义外联地址</w:t>
            </w:r>
          </w:p>
        </w:tc>
        <w:tc>
          <w:tcPr>
            <w:tcW w:w="6930" w:type="dxa"/>
            <w:shd w:val="clear" w:color="auto" w:fill="auto"/>
          </w:tcPr>
          <w:p w14:paraId="2C07DB61">
            <w:pPr>
              <w:pStyle w:val="150"/>
            </w:pPr>
            <w:r>
              <w:rPr>
                <w:rFonts w:hint="eastAsia"/>
              </w:rPr>
              <w:t>配置自定义外联地址。</w:t>
            </w:r>
          </w:p>
        </w:tc>
      </w:tr>
      <w:tr w14:paraId="5FE313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46A610EC">
            <w:pPr>
              <w:pStyle w:val="150"/>
            </w:pPr>
            <w:r>
              <w:rPr>
                <w:rFonts w:hint="eastAsia"/>
              </w:rPr>
              <w:t>违规处置</w:t>
            </w:r>
          </w:p>
        </w:tc>
        <w:tc>
          <w:tcPr>
            <w:tcW w:w="6930" w:type="dxa"/>
            <w:shd w:val="clear" w:color="auto" w:fill="auto"/>
          </w:tcPr>
          <w:p w14:paraId="6BE41129">
            <w:pPr>
              <w:pStyle w:val="207"/>
              <w:tabs>
                <w:tab w:val="left" w:pos="1134"/>
              </w:tabs>
              <w:rPr>
                <w:lang w:eastAsia="zh-CN"/>
              </w:rPr>
            </w:pPr>
            <w:r>
              <w:rPr>
                <w:rFonts w:hint="eastAsia"/>
                <w:lang w:eastAsia="zh-CN"/>
              </w:rPr>
              <w:t>禁止上网并提示用户：违规后禁止终端上网，弹窗提示并上报日志；</w:t>
            </w:r>
          </w:p>
          <w:p w14:paraId="27735386">
            <w:pPr>
              <w:pStyle w:val="207"/>
              <w:tabs>
                <w:tab w:val="left" w:pos="1134"/>
              </w:tabs>
              <w:rPr>
                <w:lang w:eastAsia="zh-CN"/>
              </w:rPr>
            </w:pPr>
            <w:r>
              <w:rPr>
                <w:rFonts w:hint="eastAsia"/>
                <w:lang w:eastAsia="zh-CN"/>
              </w:rPr>
              <w:t>提示用户：违规后弹窗提示并上报日志；</w:t>
            </w:r>
          </w:p>
          <w:p w14:paraId="0E57F873">
            <w:pPr>
              <w:pStyle w:val="207"/>
              <w:tabs>
                <w:tab w:val="left" w:pos="1134"/>
              </w:tabs>
              <w:rPr>
                <w:lang w:eastAsia="zh-CN"/>
              </w:rPr>
            </w:pPr>
            <w:r>
              <w:rPr>
                <w:rFonts w:hint="eastAsia"/>
                <w:lang w:eastAsia="zh-CN"/>
              </w:rPr>
              <w:t>只记录结果：违规后只上报日志。</w:t>
            </w:r>
          </w:p>
        </w:tc>
      </w:tr>
      <w:tr w14:paraId="263FF81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256325B9">
            <w:pPr>
              <w:pStyle w:val="150"/>
              <w:rPr>
                <w:shd w:val="clear" w:color="auto" w:fill="FFFFFF"/>
              </w:rPr>
            </w:pPr>
            <w:r>
              <w:rPr>
                <w:rFonts w:hint="eastAsia"/>
                <w:shd w:val="clear" w:color="auto" w:fill="FFFFFF"/>
              </w:rPr>
              <w:t>提示内容</w:t>
            </w:r>
          </w:p>
        </w:tc>
        <w:tc>
          <w:tcPr>
            <w:tcW w:w="6930" w:type="dxa"/>
            <w:shd w:val="clear" w:color="auto" w:fill="auto"/>
          </w:tcPr>
          <w:p w14:paraId="67AB0086">
            <w:pPr>
              <w:pStyle w:val="150"/>
            </w:pPr>
            <w:r>
              <w:rPr>
                <w:rFonts w:hint="eastAsia"/>
              </w:rPr>
              <w:t>配置自定义提示内容。</w:t>
            </w:r>
          </w:p>
        </w:tc>
      </w:tr>
      <w:tr w14:paraId="018BE6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7F1E256E">
            <w:pPr>
              <w:pStyle w:val="150"/>
              <w:rPr>
                <w:shd w:val="clear" w:color="auto" w:fill="FFFFFF"/>
              </w:rPr>
            </w:pPr>
            <w:r>
              <w:rPr>
                <w:rFonts w:hint="eastAsia"/>
                <w:shd w:val="clear" w:color="auto" w:fill="FFFFFF"/>
              </w:rPr>
              <w:t>预览</w:t>
            </w:r>
          </w:p>
        </w:tc>
        <w:tc>
          <w:tcPr>
            <w:tcW w:w="6930" w:type="dxa"/>
            <w:shd w:val="clear" w:color="auto" w:fill="auto"/>
          </w:tcPr>
          <w:p w14:paraId="428EF64E">
            <w:pPr>
              <w:pStyle w:val="150"/>
            </w:pPr>
            <w:r>
              <w:rPr>
                <w:rFonts w:hint="eastAsia"/>
              </w:rPr>
              <w:t>预览弹窗提示信息。</w:t>
            </w:r>
          </w:p>
        </w:tc>
      </w:tr>
    </w:tbl>
    <w:p w14:paraId="6F0C1B61"/>
    <w:p w14:paraId="3E83500D">
      <w:pPr>
        <w:pStyle w:val="6"/>
      </w:pPr>
      <w:r>
        <w:rPr>
          <w:rFonts w:hint="eastAsia"/>
        </w:rPr>
        <w:t>计划任务规则</w:t>
      </w:r>
    </w:p>
    <w:p w14:paraId="4EA2D2D2">
      <w:r>
        <w:rPr>
          <w:rFonts w:hint="eastAsia"/>
        </w:rPr>
        <w:t>在导航栏中选择“用户管理&gt;终端准入管理&gt;准入策略”，单击选择“规则对象”标签页，进入规则对象页面，将鼠标悬停在“新建”按钮，选择“管控规则&gt;计划任务规则”，进入计划任务规则配置页面，如下图所示。</w:t>
      </w:r>
    </w:p>
    <w:p w14:paraId="577EA2CC">
      <w:pPr>
        <w:pStyle w:val="188"/>
        <w:rPr>
          <w:szCs w:val="18"/>
        </w:rPr>
      </w:pPr>
      <w:r>
        <w:rPr>
          <w:rFonts w:hint="eastAsia"/>
        </w:rPr>
        <w:t>计划任务规则配置页面</w:t>
      </w:r>
    </w:p>
    <w:p w14:paraId="30384427">
      <w:r>
        <w:drawing>
          <wp:inline distT="0" distB="0" distL="114300" distR="114300">
            <wp:extent cx="6118860" cy="3220720"/>
            <wp:effectExtent l="0" t="0" r="15240" b="17780"/>
            <wp:docPr id="68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图片 25"/>
                    <pic:cNvPicPr>
                      <a:picLocks noChangeAspect="1"/>
                    </pic:cNvPicPr>
                  </pic:nvPicPr>
                  <pic:blipFill>
                    <a:blip r:embed="rId1187"/>
                    <a:stretch>
                      <a:fillRect/>
                    </a:stretch>
                  </pic:blipFill>
                  <pic:spPr>
                    <a:xfrm>
                      <a:off x="0" y="0"/>
                      <a:ext cx="6118860" cy="3220720"/>
                    </a:xfrm>
                    <a:prstGeom prst="rect">
                      <a:avLst/>
                    </a:prstGeom>
                    <a:noFill/>
                    <a:ln>
                      <a:noFill/>
                    </a:ln>
                  </pic:spPr>
                </pic:pic>
              </a:graphicData>
            </a:graphic>
          </wp:inline>
        </w:drawing>
      </w:r>
    </w:p>
    <w:p w14:paraId="799B500D">
      <w:pPr>
        <w:pStyle w:val="183"/>
      </w:pPr>
      <w:r>
        <w:rPr>
          <w:rFonts w:hint="eastAsia"/>
        </w:rPr>
        <w:t>计划任务规则配置说明</w:t>
      </w:r>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85"/>
        <w:gridCol w:w="6930"/>
      </w:tblGrid>
      <w:tr w14:paraId="0338DE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20" w:hRule="atLeast"/>
        </w:trPr>
        <w:tc>
          <w:tcPr>
            <w:tcW w:w="2085" w:type="dxa"/>
            <w:tcBorders>
              <w:tl2br w:val="nil"/>
              <w:tr2bl w:val="nil"/>
            </w:tcBorders>
            <w:shd w:val="clear" w:color="auto" w:fill="538135" w:themeFill="accent6" w:themeFillShade="BF"/>
            <w:vAlign w:val="center"/>
          </w:tcPr>
          <w:p w14:paraId="565AF24A">
            <w:pPr>
              <w:pStyle w:val="149"/>
              <w:wordWrap/>
              <w:rPr>
                <w:b/>
                <w:bCs/>
                <w:i w:val="0"/>
                <w:iCs w:val="0"/>
              </w:rPr>
            </w:pPr>
            <w:r>
              <w:rPr>
                <w:rFonts w:hint="eastAsia"/>
                <w:b/>
                <w:bCs/>
                <w:i w:val="0"/>
                <w:iCs w:val="0"/>
              </w:rPr>
              <w:t>项目</w:t>
            </w:r>
          </w:p>
        </w:tc>
        <w:tc>
          <w:tcPr>
            <w:tcW w:w="6930" w:type="dxa"/>
            <w:tcBorders>
              <w:tl2br w:val="nil"/>
              <w:tr2bl w:val="nil"/>
            </w:tcBorders>
            <w:shd w:val="clear" w:color="auto" w:fill="538135" w:themeFill="accent6" w:themeFillShade="BF"/>
            <w:vAlign w:val="center"/>
          </w:tcPr>
          <w:p w14:paraId="7A0DEC8D">
            <w:pPr>
              <w:pStyle w:val="149"/>
              <w:wordWrap/>
              <w:rPr>
                <w:b/>
                <w:bCs/>
                <w:i w:val="0"/>
                <w:iCs w:val="0"/>
              </w:rPr>
            </w:pPr>
            <w:r>
              <w:rPr>
                <w:rFonts w:hint="eastAsia"/>
                <w:b/>
                <w:bCs/>
                <w:i w:val="0"/>
                <w:iCs w:val="0"/>
              </w:rPr>
              <w:t>说明</w:t>
            </w:r>
          </w:p>
        </w:tc>
      </w:tr>
      <w:tr w14:paraId="0DCC9F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37AD4F1B">
            <w:pPr>
              <w:pStyle w:val="150"/>
            </w:pPr>
            <w:r>
              <w:rPr>
                <w:rFonts w:hint="eastAsia"/>
              </w:rPr>
              <w:t>规则名称</w:t>
            </w:r>
          </w:p>
        </w:tc>
        <w:tc>
          <w:tcPr>
            <w:tcW w:w="6930" w:type="dxa"/>
            <w:shd w:val="clear" w:color="auto" w:fill="auto"/>
          </w:tcPr>
          <w:p w14:paraId="0EC0997A">
            <w:pPr>
              <w:pStyle w:val="150"/>
            </w:pPr>
            <w:r>
              <w:rPr>
                <w:rFonts w:hint="eastAsia"/>
              </w:rPr>
              <w:t>配置规则对象名称。</w:t>
            </w:r>
          </w:p>
        </w:tc>
      </w:tr>
      <w:tr w14:paraId="5E2927A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20" w:hRule="atLeast"/>
        </w:trPr>
        <w:tc>
          <w:tcPr>
            <w:tcW w:w="2085" w:type="dxa"/>
            <w:shd w:val="clear" w:color="auto" w:fill="auto"/>
          </w:tcPr>
          <w:p w14:paraId="7E11FA4D">
            <w:pPr>
              <w:pStyle w:val="150"/>
            </w:pPr>
            <w:r>
              <w:rPr>
                <w:rFonts w:hint="eastAsia"/>
              </w:rPr>
              <w:t>规则描述</w:t>
            </w:r>
          </w:p>
        </w:tc>
        <w:tc>
          <w:tcPr>
            <w:tcW w:w="6930" w:type="dxa"/>
            <w:shd w:val="clear" w:color="auto" w:fill="auto"/>
          </w:tcPr>
          <w:p w14:paraId="12BC5582">
            <w:pPr>
              <w:pStyle w:val="150"/>
            </w:pPr>
            <w:r>
              <w:rPr>
                <w:rFonts w:hint="eastAsia"/>
              </w:rPr>
              <w:t>配置规则对象描述。</w:t>
            </w:r>
          </w:p>
        </w:tc>
      </w:tr>
      <w:tr w14:paraId="41FF6B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6BE414AD">
            <w:pPr>
              <w:pStyle w:val="150"/>
            </w:pPr>
            <w:r>
              <w:rPr>
                <w:rFonts w:hint="eastAsia"/>
              </w:rPr>
              <w:t>执行程序</w:t>
            </w:r>
          </w:p>
        </w:tc>
        <w:tc>
          <w:tcPr>
            <w:tcW w:w="6930" w:type="dxa"/>
            <w:shd w:val="clear" w:color="auto" w:fill="auto"/>
          </w:tcPr>
          <w:p w14:paraId="27FA2237">
            <w:pPr>
              <w:pStyle w:val="150"/>
            </w:pPr>
            <w:r>
              <w:rPr>
                <w:rFonts w:hint="eastAsia"/>
              </w:rPr>
              <w:t>上传执行程序，支持.exe，.msi，.vbs，.js，.cmd，.bat。</w:t>
            </w:r>
          </w:p>
        </w:tc>
      </w:tr>
      <w:tr w14:paraId="305852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7EBBA299">
            <w:pPr>
              <w:pStyle w:val="150"/>
            </w:pPr>
            <w:r>
              <w:rPr>
                <w:rFonts w:hint="eastAsia"/>
              </w:rPr>
              <w:t>程序运行参数</w:t>
            </w:r>
          </w:p>
        </w:tc>
        <w:tc>
          <w:tcPr>
            <w:tcW w:w="6930" w:type="dxa"/>
            <w:shd w:val="clear" w:color="auto" w:fill="auto"/>
          </w:tcPr>
          <w:p w14:paraId="7F59BA98">
            <w:pPr>
              <w:pStyle w:val="150"/>
            </w:pPr>
            <w:r>
              <w:rPr>
                <w:rFonts w:hint="eastAsia"/>
              </w:rPr>
              <w:t>配置程序运行参数。</w:t>
            </w:r>
          </w:p>
        </w:tc>
      </w:tr>
      <w:tr w14:paraId="50A0F1F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4762E1E1">
            <w:pPr>
              <w:pStyle w:val="150"/>
            </w:pPr>
            <w:r>
              <w:rPr>
                <w:rFonts w:hint="eastAsia"/>
              </w:rPr>
              <w:t>执行权限</w:t>
            </w:r>
          </w:p>
        </w:tc>
        <w:tc>
          <w:tcPr>
            <w:tcW w:w="6930" w:type="dxa"/>
            <w:shd w:val="clear" w:color="auto" w:fill="auto"/>
          </w:tcPr>
          <w:p w14:paraId="3780509A">
            <w:pPr>
              <w:pStyle w:val="150"/>
            </w:pPr>
            <w:r>
              <w:rPr>
                <w:rFonts w:hint="eastAsia"/>
              </w:rPr>
              <w:t>配置执行权限，“以当前用户权限执行”：以客户端当前登录的账号权限执行；“以SYSTEM用户权限执行”：以SYSTEM用户权限执行。</w:t>
            </w:r>
          </w:p>
        </w:tc>
      </w:tr>
      <w:tr w14:paraId="3F28B8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496EAE20">
            <w:pPr>
              <w:pStyle w:val="150"/>
            </w:pPr>
            <w:r>
              <w:rPr>
                <w:rFonts w:hint="eastAsia"/>
              </w:rPr>
              <w:t>执行计划</w:t>
            </w:r>
          </w:p>
        </w:tc>
        <w:tc>
          <w:tcPr>
            <w:tcW w:w="6930" w:type="dxa"/>
            <w:shd w:val="clear" w:color="auto" w:fill="auto"/>
          </w:tcPr>
          <w:p w14:paraId="361AD9F7">
            <w:pPr>
              <w:pStyle w:val="150"/>
            </w:pPr>
            <w:r>
              <w:rPr>
                <w:rFonts w:hint="eastAsia"/>
              </w:rPr>
              <w:t>配置执行计划，“周期运行时间”：按间隔时间周期性执行计划；“</w:t>
            </w:r>
            <w:r>
              <w:rPr>
                <w:rFonts w:hint="eastAsia" w:ascii="Microsoft YaHei UI" w:hAnsi="Microsoft YaHei UI" w:eastAsia="Microsoft YaHei UI" w:cs="Microsoft YaHei UI"/>
                <w:color w:val="000000"/>
                <w:shd w:val="clear" w:color="auto" w:fill="FFFFFF"/>
              </w:rPr>
              <w:t>运行一次：计算机上的准入客户端启动时运行</w:t>
            </w:r>
            <w:r>
              <w:rPr>
                <w:rFonts w:hint="eastAsia"/>
              </w:rPr>
              <w:t>”：每次客户端启动时执行计划。</w:t>
            </w:r>
          </w:p>
        </w:tc>
      </w:tr>
      <w:tr w14:paraId="685D88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183A727F">
            <w:pPr>
              <w:pStyle w:val="150"/>
            </w:pPr>
            <w:r>
              <w:rPr>
                <w:rFonts w:hint="eastAsia"/>
              </w:rPr>
              <w:t>运行间隔</w:t>
            </w:r>
          </w:p>
        </w:tc>
        <w:tc>
          <w:tcPr>
            <w:tcW w:w="6930" w:type="dxa"/>
            <w:shd w:val="clear" w:color="auto" w:fill="auto"/>
          </w:tcPr>
          <w:p w14:paraId="154738DF">
            <w:pPr>
              <w:pStyle w:val="150"/>
            </w:pPr>
            <w:r>
              <w:rPr>
                <w:rFonts w:hint="eastAsia"/>
              </w:rPr>
              <w:t>配置运行间隔时间。</w:t>
            </w:r>
          </w:p>
        </w:tc>
      </w:tr>
      <w:tr w14:paraId="44BB43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67494C0B">
            <w:pPr>
              <w:pStyle w:val="150"/>
            </w:pPr>
            <w:r>
              <w:rPr>
                <w:rFonts w:hint="eastAsia"/>
              </w:rPr>
              <w:t>执行失败后操作</w:t>
            </w:r>
          </w:p>
        </w:tc>
        <w:tc>
          <w:tcPr>
            <w:tcW w:w="6930" w:type="dxa"/>
            <w:shd w:val="clear" w:color="auto" w:fill="auto"/>
          </w:tcPr>
          <w:p w14:paraId="01F723C8">
            <w:pPr>
              <w:pStyle w:val="207"/>
              <w:tabs>
                <w:tab w:val="left" w:pos="1134"/>
              </w:tabs>
              <w:rPr>
                <w:lang w:eastAsia="zh-CN"/>
              </w:rPr>
            </w:pPr>
            <w:r>
              <w:rPr>
                <w:rFonts w:hint="eastAsia"/>
                <w:lang w:eastAsia="zh-CN"/>
              </w:rPr>
              <w:t>禁止上网并提示用户：违规后禁止终端上网，弹窗提示并上报日志；</w:t>
            </w:r>
          </w:p>
          <w:p w14:paraId="012464B6">
            <w:pPr>
              <w:pStyle w:val="207"/>
              <w:tabs>
                <w:tab w:val="left" w:pos="1134"/>
              </w:tabs>
              <w:rPr>
                <w:lang w:eastAsia="zh-CN"/>
              </w:rPr>
            </w:pPr>
            <w:r>
              <w:rPr>
                <w:rFonts w:hint="eastAsia"/>
                <w:lang w:eastAsia="zh-CN"/>
              </w:rPr>
              <w:t>提示用户：违规后弹窗提示并上报日志；</w:t>
            </w:r>
          </w:p>
          <w:p w14:paraId="6C383E4F">
            <w:pPr>
              <w:pStyle w:val="207"/>
              <w:tabs>
                <w:tab w:val="left" w:pos="1134"/>
              </w:tabs>
              <w:rPr>
                <w:lang w:eastAsia="zh-CN"/>
              </w:rPr>
            </w:pPr>
            <w:r>
              <w:rPr>
                <w:rFonts w:hint="eastAsia"/>
                <w:lang w:eastAsia="zh-CN"/>
              </w:rPr>
              <w:t>只记录结果：违规后只上报日志。</w:t>
            </w:r>
          </w:p>
        </w:tc>
      </w:tr>
      <w:tr w14:paraId="27E51C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5F108E59">
            <w:pPr>
              <w:pStyle w:val="150"/>
              <w:rPr>
                <w:shd w:val="clear" w:color="auto" w:fill="FFFFFF"/>
              </w:rPr>
            </w:pPr>
            <w:r>
              <w:rPr>
                <w:rFonts w:hint="eastAsia"/>
                <w:shd w:val="clear" w:color="auto" w:fill="FFFFFF"/>
              </w:rPr>
              <w:t>提示内容</w:t>
            </w:r>
          </w:p>
        </w:tc>
        <w:tc>
          <w:tcPr>
            <w:tcW w:w="6930" w:type="dxa"/>
            <w:shd w:val="clear" w:color="auto" w:fill="auto"/>
          </w:tcPr>
          <w:p w14:paraId="1931D5D5">
            <w:pPr>
              <w:pStyle w:val="150"/>
            </w:pPr>
            <w:r>
              <w:rPr>
                <w:rFonts w:hint="eastAsia"/>
              </w:rPr>
              <w:t>配置自定义提示内容。</w:t>
            </w:r>
          </w:p>
        </w:tc>
      </w:tr>
      <w:tr w14:paraId="1D82A0B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1B881492">
            <w:pPr>
              <w:pStyle w:val="150"/>
              <w:rPr>
                <w:shd w:val="clear" w:color="auto" w:fill="FFFFFF"/>
              </w:rPr>
            </w:pPr>
            <w:r>
              <w:rPr>
                <w:rFonts w:hint="eastAsia"/>
                <w:shd w:val="clear" w:color="auto" w:fill="FFFFFF"/>
              </w:rPr>
              <w:t>预览</w:t>
            </w:r>
          </w:p>
        </w:tc>
        <w:tc>
          <w:tcPr>
            <w:tcW w:w="6930" w:type="dxa"/>
            <w:shd w:val="clear" w:color="auto" w:fill="auto"/>
          </w:tcPr>
          <w:p w14:paraId="4E89F4D6">
            <w:pPr>
              <w:pStyle w:val="150"/>
            </w:pPr>
            <w:r>
              <w:rPr>
                <w:rFonts w:hint="eastAsia"/>
              </w:rPr>
              <w:t>预览弹窗提示信息。</w:t>
            </w:r>
          </w:p>
        </w:tc>
      </w:tr>
    </w:tbl>
    <w:p w14:paraId="375D5B30"/>
    <w:p w14:paraId="138002D4">
      <w:pPr>
        <w:pStyle w:val="6"/>
      </w:pPr>
      <w:r>
        <w:rPr>
          <w:rFonts w:hint="eastAsia"/>
        </w:rPr>
        <w:t>外联控制规则</w:t>
      </w:r>
    </w:p>
    <w:p w14:paraId="30F92FF2">
      <w:r>
        <w:rPr>
          <w:rFonts w:hint="eastAsia"/>
        </w:rPr>
        <w:t>在导航栏中选择“用户管理&gt;终端准入管理&gt;准入策略”，单击选择“规则对象”标签页，进入规则对象页面，将鼠标悬停在“新建”按钮，选择“管控规则&gt;外联控制规则”，进入外联控制规则配置页面，如下图所示。</w:t>
      </w:r>
    </w:p>
    <w:p w14:paraId="62B121D7">
      <w:pPr>
        <w:pStyle w:val="188"/>
        <w:rPr>
          <w:szCs w:val="18"/>
        </w:rPr>
      </w:pPr>
      <w:r>
        <w:rPr>
          <w:rFonts w:hint="eastAsia"/>
        </w:rPr>
        <w:t>外联控制规则配置页面</w:t>
      </w:r>
    </w:p>
    <w:p w14:paraId="406C2785">
      <w:r>
        <w:drawing>
          <wp:inline distT="0" distB="0" distL="114300" distR="114300">
            <wp:extent cx="6114415" cy="3256280"/>
            <wp:effectExtent l="0" t="0" r="635" b="1270"/>
            <wp:docPr id="68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图片 31"/>
                    <pic:cNvPicPr>
                      <a:picLocks noChangeAspect="1"/>
                    </pic:cNvPicPr>
                  </pic:nvPicPr>
                  <pic:blipFill>
                    <a:blip r:embed="rId1188"/>
                    <a:stretch>
                      <a:fillRect/>
                    </a:stretch>
                  </pic:blipFill>
                  <pic:spPr>
                    <a:xfrm>
                      <a:off x="0" y="0"/>
                      <a:ext cx="6114415" cy="3256280"/>
                    </a:xfrm>
                    <a:prstGeom prst="rect">
                      <a:avLst/>
                    </a:prstGeom>
                    <a:noFill/>
                    <a:ln>
                      <a:noFill/>
                    </a:ln>
                  </pic:spPr>
                </pic:pic>
              </a:graphicData>
            </a:graphic>
          </wp:inline>
        </w:drawing>
      </w:r>
    </w:p>
    <w:p w14:paraId="1035012C">
      <w:pPr>
        <w:pStyle w:val="183"/>
      </w:pPr>
      <w:r>
        <w:rPr>
          <w:rFonts w:hint="eastAsia"/>
        </w:rPr>
        <w:t>外联控制规则配置说明</w:t>
      </w:r>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85"/>
        <w:gridCol w:w="6930"/>
      </w:tblGrid>
      <w:tr w14:paraId="37E3D14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blHeader/>
        </w:trPr>
        <w:tc>
          <w:tcPr>
            <w:tcW w:w="2085" w:type="dxa"/>
            <w:tcBorders>
              <w:tl2br w:val="nil"/>
              <w:tr2bl w:val="nil"/>
            </w:tcBorders>
            <w:shd w:val="clear" w:color="auto" w:fill="538135" w:themeFill="accent6" w:themeFillShade="BF"/>
            <w:vAlign w:val="center"/>
          </w:tcPr>
          <w:p w14:paraId="5C7A9F05">
            <w:pPr>
              <w:pStyle w:val="149"/>
              <w:wordWrap/>
              <w:rPr>
                <w:b/>
                <w:bCs/>
                <w:i w:val="0"/>
                <w:iCs w:val="0"/>
              </w:rPr>
            </w:pPr>
            <w:r>
              <w:rPr>
                <w:rFonts w:hint="eastAsia"/>
                <w:b/>
                <w:bCs/>
                <w:i w:val="0"/>
                <w:iCs w:val="0"/>
              </w:rPr>
              <w:t>项目</w:t>
            </w:r>
          </w:p>
        </w:tc>
        <w:tc>
          <w:tcPr>
            <w:tcW w:w="6930" w:type="dxa"/>
            <w:tcBorders>
              <w:tl2br w:val="nil"/>
              <w:tr2bl w:val="nil"/>
            </w:tcBorders>
            <w:shd w:val="clear" w:color="auto" w:fill="538135" w:themeFill="accent6" w:themeFillShade="BF"/>
            <w:vAlign w:val="center"/>
          </w:tcPr>
          <w:p w14:paraId="673358D5">
            <w:pPr>
              <w:pStyle w:val="149"/>
              <w:wordWrap/>
              <w:rPr>
                <w:b/>
                <w:bCs/>
                <w:i w:val="0"/>
                <w:iCs w:val="0"/>
              </w:rPr>
            </w:pPr>
            <w:r>
              <w:rPr>
                <w:rFonts w:hint="eastAsia"/>
                <w:b/>
                <w:bCs/>
                <w:i w:val="0"/>
                <w:iCs w:val="0"/>
              </w:rPr>
              <w:t>说明</w:t>
            </w:r>
          </w:p>
        </w:tc>
      </w:tr>
      <w:tr w14:paraId="627FA4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39E13C5B">
            <w:pPr>
              <w:pStyle w:val="150"/>
            </w:pPr>
            <w:r>
              <w:rPr>
                <w:rFonts w:hint="eastAsia"/>
              </w:rPr>
              <w:t>规则名称</w:t>
            </w:r>
          </w:p>
        </w:tc>
        <w:tc>
          <w:tcPr>
            <w:tcW w:w="6930" w:type="dxa"/>
            <w:shd w:val="clear" w:color="auto" w:fill="auto"/>
          </w:tcPr>
          <w:p w14:paraId="10D5508B">
            <w:pPr>
              <w:pStyle w:val="150"/>
            </w:pPr>
            <w:r>
              <w:rPr>
                <w:rFonts w:hint="eastAsia"/>
              </w:rPr>
              <w:t>配置规则对象名称。</w:t>
            </w:r>
          </w:p>
        </w:tc>
      </w:tr>
      <w:tr w14:paraId="729F2C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55C4C84E">
            <w:pPr>
              <w:pStyle w:val="150"/>
            </w:pPr>
            <w:r>
              <w:rPr>
                <w:rFonts w:hint="eastAsia"/>
              </w:rPr>
              <w:t>规则描述</w:t>
            </w:r>
          </w:p>
        </w:tc>
        <w:tc>
          <w:tcPr>
            <w:tcW w:w="6930" w:type="dxa"/>
            <w:shd w:val="clear" w:color="auto" w:fill="auto"/>
          </w:tcPr>
          <w:p w14:paraId="79454CC5">
            <w:pPr>
              <w:pStyle w:val="150"/>
            </w:pPr>
            <w:r>
              <w:rPr>
                <w:rFonts w:hint="eastAsia"/>
              </w:rPr>
              <w:t>配置规则对象描述。</w:t>
            </w:r>
          </w:p>
        </w:tc>
      </w:tr>
      <w:tr w14:paraId="523BF6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5F6C0277">
            <w:pPr>
              <w:pStyle w:val="150"/>
            </w:pPr>
            <w:r>
              <w:rPr>
                <w:rFonts w:hint="eastAsia"/>
              </w:rPr>
              <w:t>控制项配置</w:t>
            </w:r>
          </w:p>
        </w:tc>
        <w:tc>
          <w:tcPr>
            <w:tcW w:w="6930" w:type="dxa"/>
            <w:shd w:val="clear" w:color="auto" w:fill="auto"/>
          </w:tcPr>
          <w:p w14:paraId="4DA77668">
            <w:pPr>
              <w:pStyle w:val="150"/>
            </w:pPr>
            <w:r>
              <w:rPr>
                <w:rFonts w:hint="eastAsia"/>
              </w:rPr>
              <w:t>“不能访问以下地址”：不能访问以下地址，其他地址可以正常访问；</w:t>
            </w:r>
          </w:p>
          <w:p w14:paraId="2C765231">
            <w:pPr>
              <w:pStyle w:val="150"/>
            </w:pPr>
            <w:r>
              <w:rPr>
                <w:rFonts w:hint="eastAsia"/>
              </w:rPr>
              <w:t>“只能访问以下地址”：只能访问以下地址，其他地址不能访问。</w:t>
            </w:r>
          </w:p>
        </w:tc>
      </w:tr>
      <w:tr w14:paraId="05D7F8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616E1D0B">
            <w:pPr>
              <w:pStyle w:val="150"/>
            </w:pPr>
            <w:r>
              <w:rPr>
                <w:rFonts w:hint="eastAsia"/>
              </w:rPr>
              <w:t>IP地址</w:t>
            </w:r>
          </w:p>
        </w:tc>
        <w:tc>
          <w:tcPr>
            <w:tcW w:w="6930" w:type="dxa"/>
            <w:shd w:val="clear" w:color="auto" w:fill="auto"/>
          </w:tcPr>
          <w:p w14:paraId="585D1413">
            <w:pPr>
              <w:pStyle w:val="150"/>
            </w:pPr>
            <w:r>
              <w:rPr>
                <w:rFonts w:hint="eastAsia"/>
              </w:rPr>
              <w:t>配置IP地址和端口，最多支持配置64条。</w:t>
            </w:r>
          </w:p>
        </w:tc>
      </w:tr>
      <w:tr w14:paraId="2AD4D0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4952867F">
            <w:pPr>
              <w:pStyle w:val="150"/>
              <w:rPr>
                <w:shd w:val="clear" w:color="auto" w:fill="FFFFFF"/>
              </w:rPr>
            </w:pPr>
            <w:r>
              <w:rPr>
                <w:rFonts w:hint="eastAsia"/>
                <w:shd w:val="clear" w:color="auto" w:fill="FFFFFF"/>
              </w:rPr>
              <w:t>离网时继续生效</w:t>
            </w:r>
          </w:p>
        </w:tc>
        <w:tc>
          <w:tcPr>
            <w:tcW w:w="6930" w:type="dxa"/>
            <w:shd w:val="clear" w:color="auto" w:fill="auto"/>
          </w:tcPr>
          <w:p w14:paraId="7DFE9631">
            <w:pPr>
              <w:pStyle w:val="150"/>
            </w:pPr>
            <w:r>
              <w:rPr>
                <w:rFonts w:hint="eastAsia"/>
              </w:rPr>
              <w:t>勾选“离网时继续生效”，终端与设备端心跳保活失败后，规则仍然生效。</w:t>
            </w:r>
          </w:p>
        </w:tc>
      </w:tr>
    </w:tbl>
    <w:p w14:paraId="41597F2A"/>
    <w:p w14:paraId="21703C2F">
      <w:pPr>
        <w:pStyle w:val="6"/>
      </w:pPr>
      <w:r>
        <w:rPr>
          <w:rFonts w:hint="eastAsia"/>
        </w:rPr>
        <w:t>外设管控规则</w:t>
      </w:r>
    </w:p>
    <w:p w14:paraId="69C1AD51">
      <w:r>
        <w:rPr>
          <w:rFonts w:hint="eastAsia"/>
        </w:rPr>
        <w:t>在导航栏中选择“用户管理&gt;终端准入管理&gt;准入策略”，单击选择“规则对象”标签页，进入规则对象页面，将鼠标悬停在“新建”按钮，选择“管控规则&gt;外设管控规则”，进入外设管控规则配置页面，如下图所示。</w:t>
      </w:r>
    </w:p>
    <w:p w14:paraId="4622D8E3">
      <w:pPr>
        <w:pStyle w:val="188"/>
        <w:rPr>
          <w:szCs w:val="18"/>
        </w:rPr>
      </w:pPr>
      <w:r>
        <w:rPr>
          <w:rFonts w:hint="eastAsia"/>
        </w:rPr>
        <w:t>外设管控规则配置页面</w:t>
      </w:r>
    </w:p>
    <w:p w14:paraId="41E75BD9">
      <w:r>
        <w:drawing>
          <wp:inline distT="0" distB="0" distL="114300" distR="114300">
            <wp:extent cx="5142230" cy="2002155"/>
            <wp:effectExtent l="0" t="0" r="1270" b="17145"/>
            <wp:docPr id="6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图片 1"/>
                    <pic:cNvPicPr>
                      <a:picLocks noChangeAspect="1"/>
                    </pic:cNvPicPr>
                  </pic:nvPicPr>
                  <pic:blipFill>
                    <a:blip r:embed="rId1189"/>
                    <a:stretch>
                      <a:fillRect/>
                    </a:stretch>
                  </pic:blipFill>
                  <pic:spPr>
                    <a:xfrm>
                      <a:off x="0" y="0"/>
                      <a:ext cx="5142230" cy="2002155"/>
                    </a:xfrm>
                    <a:prstGeom prst="rect">
                      <a:avLst/>
                    </a:prstGeom>
                    <a:noFill/>
                    <a:ln>
                      <a:noFill/>
                    </a:ln>
                  </pic:spPr>
                </pic:pic>
              </a:graphicData>
            </a:graphic>
          </wp:inline>
        </w:drawing>
      </w:r>
    </w:p>
    <w:p w14:paraId="63BB7670">
      <w:r>
        <w:drawing>
          <wp:inline distT="0" distB="0" distL="114300" distR="114300">
            <wp:extent cx="5191125" cy="1915795"/>
            <wp:effectExtent l="0" t="0" r="0" b="8255"/>
            <wp:docPr id="69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图片 33"/>
                    <pic:cNvPicPr>
                      <a:picLocks noChangeAspect="1"/>
                    </pic:cNvPicPr>
                  </pic:nvPicPr>
                  <pic:blipFill>
                    <a:blip r:embed="rId1190"/>
                    <a:stretch>
                      <a:fillRect/>
                    </a:stretch>
                  </pic:blipFill>
                  <pic:spPr>
                    <a:xfrm>
                      <a:off x="0" y="0"/>
                      <a:ext cx="5199021" cy="1919265"/>
                    </a:xfrm>
                    <a:prstGeom prst="rect">
                      <a:avLst/>
                    </a:prstGeom>
                    <a:noFill/>
                    <a:ln>
                      <a:noFill/>
                    </a:ln>
                  </pic:spPr>
                </pic:pic>
              </a:graphicData>
            </a:graphic>
          </wp:inline>
        </w:drawing>
      </w:r>
    </w:p>
    <w:p w14:paraId="29BB8207">
      <w:pPr>
        <w:pStyle w:val="183"/>
      </w:pPr>
      <w:r>
        <w:rPr>
          <w:rFonts w:hint="eastAsia"/>
        </w:rPr>
        <w:t>外设管控规则配置说明</w:t>
      </w:r>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85"/>
        <w:gridCol w:w="6930"/>
      </w:tblGrid>
      <w:tr w14:paraId="287B7A4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tcBorders>
              <w:tl2br w:val="nil"/>
              <w:tr2bl w:val="nil"/>
            </w:tcBorders>
            <w:shd w:val="clear" w:color="auto" w:fill="538135" w:themeFill="accent6" w:themeFillShade="BF"/>
            <w:vAlign w:val="center"/>
          </w:tcPr>
          <w:p w14:paraId="19780A22">
            <w:pPr>
              <w:pStyle w:val="149"/>
              <w:wordWrap/>
              <w:rPr>
                <w:b/>
                <w:bCs/>
                <w:i w:val="0"/>
                <w:iCs w:val="0"/>
              </w:rPr>
            </w:pPr>
            <w:r>
              <w:rPr>
                <w:rFonts w:hint="eastAsia"/>
                <w:b/>
                <w:bCs/>
                <w:i w:val="0"/>
                <w:iCs w:val="0"/>
              </w:rPr>
              <w:t>项目</w:t>
            </w:r>
          </w:p>
        </w:tc>
        <w:tc>
          <w:tcPr>
            <w:tcW w:w="6930" w:type="dxa"/>
            <w:tcBorders>
              <w:tl2br w:val="nil"/>
              <w:tr2bl w:val="nil"/>
            </w:tcBorders>
            <w:shd w:val="clear" w:color="auto" w:fill="538135" w:themeFill="accent6" w:themeFillShade="BF"/>
            <w:vAlign w:val="center"/>
          </w:tcPr>
          <w:p w14:paraId="2D2967AF">
            <w:pPr>
              <w:pStyle w:val="149"/>
              <w:wordWrap/>
              <w:rPr>
                <w:b/>
                <w:bCs/>
                <w:i w:val="0"/>
                <w:iCs w:val="0"/>
              </w:rPr>
            </w:pPr>
            <w:r>
              <w:rPr>
                <w:rFonts w:hint="eastAsia"/>
                <w:b/>
                <w:bCs/>
                <w:i w:val="0"/>
                <w:iCs w:val="0"/>
              </w:rPr>
              <w:t>说明</w:t>
            </w:r>
          </w:p>
        </w:tc>
      </w:tr>
      <w:tr w14:paraId="0F5248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240F614B">
            <w:pPr>
              <w:pStyle w:val="150"/>
            </w:pPr>
            <w:r>
              <w:rPr>
                <w:rFonts w:hint="eastAsia"/>
              </w:rPr>
              <w:t>规则名称</w:t>
            </w:r>
          </w:p>
        </w:tc>
        <w:tc>
          <w:tcPr>
            <w:tcW w:w="6930" w:type="dxa"/>
            <w:shd w:val="clear" w:color="auto" w:fill="auto"/>
          </w:tcPr>
          <w:p w14:paraId="7D14501C">
            <w:pPr>
              <w:pStyle w:val="150"/>
            </w:pPr>
            <w:r>
              <w:rPr>
                <w:rFonts w:hint="eastAsia"/>
              </w:rPr>
              <w:t>配置规则对象名称。</w:t>
            </w:r>
          </w:p>
        </w:tc>
      </w:tr>
      <w:tr w14:paraId="187BA1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62B4E404">
            <w:pPr>
              <w:pStyle w:val="150"/>
            </w:pPr>
            <w:r>
              <w:rPr>
                <w:rFonts w:hint="eastAsia"/>
              </w:rPr>
              <w:t>规则描述</w:t>
            </w:r>
          </w:p>
        </w:tc>
        <w:tc>
          <w:tcPr>
            <w:tcW w:w="6930" w:type="dxa"/>
            <w:shd w:val="clear" w:color="auto" w:fill="auto"/>
          </w:tcPr>
          <w:p w14:paraId="509C5527">
            <w:pPr>
              <w:pStyle w:val="150"/>
            </w:pPr>
            <w:r>
              <w:rPr>
                <w:rFonts w:hint="eastAsia"/>
              </w:rPr>
              <w:t>配置规则对象描述。</w:t>
            </w:r>
          </w:p>
        </w:tc>
      </w:tr>
      <w:tr w14:paraId="7A11703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5A026B88">
            <w:pPr>
              <w:pStyle w:val="150"/>
            </w:pPr>
            <w:r>
              <w:rPr>
                <w:rFonts w:hint="eastAsia"/>
              </w:rPr>
              <w:t>禁止使用的外设类型</w:t>
            </w:r>
          </w:p>
        </w:tc>
        <w:tc>
          <w:tcPr>
            <w:tcW w:w="6930" w:type="dxa"/>
            <w:shd w:val="clear" w:color="auto" w:fill="auto"/>
          </w:tcPr>
          <w:p w14:paraId="29E42D94">
            <w:pPr>
              <w:pStyle w:val="150"/>
            </w:pPr>
            <w:r>
              <w:rPr>
                <w:rFonts w:hint="eastAsia"/>
              </w:rPr>
              <w:t>可配置禁止使用的外设类型：</w:t>
            </w:r>
          </w:p>
          <w:p w14:paraId="31B55332">
            <w:pPr>
              <w:pStyle w:val="207"/>
              <w:tabs>
                <w:tab w:val="left" w:pos="1134"/>
              </w:tabs>
              <w:rPr>
                <w:lang w:eastAsia="zh-CN"/>
              </w:rPr>
            </w:pPr>
            <w:r>
              <w:rPr>
                <w:rFonts w:hint="eastAsia"/>
                <w:lang w:eastAsia="zh-CN"/>
              </w:rPr>
              <w:t>“存储设备”：禁止终端使用便携设备的存储功能，如：U盘、手机、平板等；</w:t>
            </w:r>
          </w:p>
          <w:p w14:paraId="14456322">
            <w:pPr>
              <w:pStyle w:val="207"/>
              <w:tabs>
                <w:tab w:val="left" w:pos="1134"/>
              </w:tabs>
              <w:rPr>
                <w:lang w:eastAsia="zh-CN"/>
              </w:rPr>
            </w:pPr>
            <w:r>
              <w:rPr>
                <w:rFonts w:hint="eastAsia"/>
                <w:lang w:eastAsia="zh-CN"/>
              </w:rPr>
              <w:t>“网络设备”：禁止终端外接网络设备，如：移动数据网卡、无线wifi网卡、蓝牙适配器共享网络、手机共享网络功能；</w:t>
            </w:r>
          </w:p>
          <w:p w14:paraId="44F8CB25">
            <w:pPr>
              <w:pStyle w:val="207"/>
              <w:tabs>
                <w:tab w:val="left" w:pos="1134"/>
              </w:tabs>
              <w:rPr>
                <w:lang w:eastAsia="zh-CN"/>
              </w:rPr>
            </w:pPr>
            <w:r>
              <w:rPr>
                <w:rFonts w:hint="eastAsia"/>
                <w:lang w:eastAsia="zh-CN"/>
              </w:rPr>
              <w:t>“蓝牙设备”：禁止终端使用蓝牙功能，如：笔记本自带蓝牙、蓝牙适配器等相关功能</w:t>
            </w:r>
          </w:p>
          <w:p w14:paraId="17962256">
            <w:pPr>
              <w:pStyle w:val="207"/>
              <w:tabs>
                <w:tab w:val="left" w:pos="1134"/>
              </w:tabs>
              <w:rPr>
                <w:lang w:eastAsia="zh-CN"/>
              </w:rPr>
            </w:pPr>
            <w:r>
              <w:rPr>
                <w:rFonts w:hint="eastAsia"/>
                <w:lang w:eastAsia="zh-CN"/>
              </w:rPr>
              <w:t>“摄像头”：禁止终端使用摄像头等相关功能；</w:t>
            </w:r>
          </w:p>
          <w:p w14:paraId="75AFF330">
            <w:pPr>
              <w:pStyle w:val="207"/>
              <w:tabs>
                <w:tab w:val="left" w:pos="1134"/>
              </w:tabs>
              <w:rPr>
                <w:lang w:eastAsia="zh-CN"/>
              </w:rPr>
            </w:pPr>
            <w:r>
              <w:rPr>
                <w:rFonts w:hint="eastAsia"/>
                <w:lang w:eastAsia="zh-CN"/>
              </w:rPr>
              <w:t>“打印机”：禁止终端使用打印机设备等相关功能。</w:t>
            </w:r>
          </w:p>
        </w:tc>
      </w:tr>
      <w:tr w14:paraId="327F74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0A0C0BD0">
            <w:pPr>
              <w:pStyle w:val="150"/>
            </w:pPr>
            <w:r>
              <w:rPr>
                <w:rFonts w:hint="eastAsia"/>
              </w:rPr>
              <w:t>U盘及移动硬盘接入</w:t>
            </w:r>
          </w:p>
        </w:tc>
        <w:tc>
          <w:tcPr>
            <w:tcW w:w="6930" w:type="dxa"/>
            <w:shd w:val="clear" w:color="auto" w:fill="auto"/>
          </w:tcPr>
          <w:p w14:paraId="0B2DE5D6">
            <w:pPr>
              <w:pStyle w:val="150"/>
            </w:pPr>
            <w:r>
              <w:rPr>
                <w:rFonts w:hint="eastAsia"/>
              </w:rPr>
              <w:t>可配置U盘及移动硬盘接入权限控制：</w:t>
            </w:r>
          </w:p>
          <w:p w14:paraId="7AD6E9DA">
            <w:pPr>
              <w:pStyle w:val="207"/>
              <w:tabs>
                <w:tab w:val="left" w:pos="1134"/>
              </w:tabs>
              <w:rPr>
                <w:lang w:eastAsia="zh-CN"/>
              </w:rPr>
            </w:pPr>
            <w:r>
              <w:rPr>
                <w:rFonts w:hint="eastAsia"/>
                <w:lang w:eastAsia="zh-CN"/>
              </w:rPr>
              <w:t>“只读”：只能从U盘及移动硬盘拷出文件，不能拷入、新建、删除文件。</w:t>
            </w:r>
          </w:p>
          <w:p w14:paraId="21D6495B">
            <w:pPr>
              <w:pStyle w:val="207"/>
              <w:tabs>
                <w:tab w:val="left" w:pos="1134"/>
              </w:tabs>
              <w:rPr>
                <w:lang w:eastAsia="zh-CN"/>
              </w:rPr>
            </w:pPr>
            <w:r>
              <w:rPr>
                <w:rFonts w:hint="eastAsia"/>
                <w:lang w:eastAsia="zh-CN"/>
              </w:rPr>
              <w:t>“只写”：不能从U盘及移动硬盘拷出文件，可以拷入、新建、删除文件。</w:t>
            </w:r>
          </w:p>
          <w:p w14:paraId="34C8F6F6">
            <w:pPr>
              <w:pStyle w:val="207"/>
              <w:tabs>
                <w:tab w:val="left" w:pos="1134"/>
              </w:tabs>
              <w:rPr>
                <w:lang w:eastAsia="zh-CN"/>
              </w:rPr>
            </w:pPr>
            <w:r>
              <w:rPr>
                <w:rFonts w:hint="eastAsia"/>
                <w:lang w:eastAsia="zh-CN"/>
              </w:rPr>
              <w:t>“读写”：可以拷入、拷出、新建、删除文件。</w:t>
            </w:r>
          </w:p>
          <w:p w14:paraId="1CB6F91C">
            <w:pPr>
              <w:pStyle w:val="207"/>
              <w:tabs>
                <w:tab w:val="left" w:pos="1134"/>
              </w:tabs>
              <w:rPr>
                <w:lang w:eastAsia="zh-CN"/>
              </w:rPr>
            </w:pPr>
            <w:r>
              <w:rPr>
                <w:rFonts w:hint="eastAsia"/>
                <w:lang w:eastAsia="zh-CN"/>
              </w:rPr>
              <w:t>“不可读写”：不能对U盘及移动硬盘进行拷入、拷出、删除、新建文件操作。</w:t>
            </w:r>
          </w:p>
        </w:tc>
      </w:tr>
      <w:tr w14:paraId="5809F7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5EA2377D">
            <w:pPr>
              <w:pStyle w:val="150"/>
              <w:rPr>
                <w:shd w:val="clear" w:color="auto" w:fill="FFFFFF"/>
              </w:rPr>
            </w:pPr>
            <w:r>
              <w:rPr>
                <w:rFonts w:hint="eastAsia"/>
                <w:shd w:val="clear" w:color="auto" w:fill="FFFFFF"/>
              </w:rPr>
              <w:t>便携设备接入</w:t>
            </w:r>
          </w:p>
        </w:tc>
        <w:tc>
          <w:tcPr>
            <w:tcW w:w="6930" w:type="dxa"/>
            <w:shd w:val="clear" w:color="auto" w:fill="auto"/>
          </w:tcPr>
          <w:p w14:paraId="1037919A">
            <w:pPr>
              <w:pStyle w:val="150"/>
            </w:pPr>
            <w:r>
              <w:rPr>
                <w:rFonts w:hint="eastAsia"/>
              </w:rPr>
              <w:t>可配置便携设备接入控制，便携设备指手机、平板等：</w:t>
            </w:r>
          </w:p>
          <w:p w14:paraId="3ED97698">
            <w:pPr>
              <w:pStyle w:val="207"/>
              <w:tabs>
                <w:tab w:val="left" w:pos="1134"/>
              </w:tabs>
              <w:rPr>
                <w:lang w:eastAsia="zh-CN"/>
              </w:rPr>
            </w:pPr>
            <w:r>
              <w:rPr>
                <w:rFonts w:hint="eastAsia"/>
                <w:lang w:eastAsia="zh-CN"/>
              </w:rPr>
              <w:t>“禁止”：对接入的便携设备禁止拷入、拷出、新建、删除文件操作；</w:t>
            </w:r>
          </w:p>
          <w:p w14:paraId="37A78128">
            <w:pPr>
              <w:pStyle w:val="207"/>
              <w:tabs>
                <w:tab w:val="left" w:pos="1134"/>
              </w:tabs>
              <w:rPr>
                <w:lang w:eastAsia="zh-CN"/>
              </w:rPr>
            </w:pPr>
            <w:r>
              <w:rPr>
                <w:rFonts w:hint="eastAsia"/>
                <w:lang w:eastAsia="zh-CN"/>
              </w:rPr>
              <w:t>“告警”：接入便携设备后弹窗告警，可以正常操作；</w:t>
            </w:r>
          </w:p>
          <w:p w14:paraId="3012B080">
            <w:pPr>
              <w:pStyle w:val="207"/>
              <w:tabs>
                <w:tab w:val="left" w:pos="1134"/>
              </w:tabs>
              <w:rPr>
                <w:lang w:eastAsia="zh-CN"/>
              </w:rPr>
            </w:pPr>
            <w:r>
              <w:rPr>
                <w:rFonts w:hint="eastAsia"/>
                <w:lang w:eastAsia="zh-CN"/>
              </w:rPr>
              <w:t>“允许”：允许对接入的便携设备进行操作。</w:t>
            </w:r>
          </w:p>
        </w:tc>
      </w:tr>
      <w:tr w14:paraId="7B1CEB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116C3493">
            <w:pPr>
              <w:pStyle w:val="150"/>
              <w:rPr>
                <w:shd w:val="clear" w:color="auto" w:fill="FFFFFF"/>
              </w:rPr>
            </w:pPr>
            <w:r>
              <w:rPr>
                <w:rFonts w:hint="eastAsia"/>
                <w:shd w:val="clear" w:color="auto" w:fill="FFFFFF"/>
              </w:rPr>
              <w:t>白名单-名称</w:t>
            </w:r>
          </w:p>
        </w:tc>
        <w:tc>
          <w:tcPr>
            <w:tcW w:w="6930" w:type="dxa"/>
            <w:shd w:val="clear" w:color="auto" w:fill="auto"/>
          </w:tcPr>
          <w:p w14:paraId="7F29A146">
            <w:pPr>
              <w:pStyle w:val="150"/>
            </w:pPr>
            <w:r>
              <w:rPr>
                <w:rFonts w:hint="eastAsia"/>
              </w:rPr>
              <w:t>可配置白名单名称。</w:t>
            </w:r>
          </w:p>
        </w:tc>
      </w:tr>
      <w:tr w14:paraId="45862AD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1F7AA530">
            <w:pPr>
              <w:pStyle w:val="150"/>
              <w:rPr>
                <w:color w:val="333333"/>
                <w:shd w:val="clear" w:color="auto" w:fill="FFFFFF"/>
              </w:rPr>
            </w:pPr>
            <w:r>
              <w:rPr>
                <w:rFonts w:hint="eastAsia"/>
                <w:color w:val="333333"/>
                <w:shd w:val="clear" w:color="auto" w:fill="FFFFFF"/>
              </w:rPr>
              <w:t>白名单-</w:t>
            </w:r>
            <w:r>
              <w:rPr>
                <w:rFonts w:hint="eastAsia" w:ascii="Microsoft YaHei UI" w:hAnsi="Microsoft YaHei UI" w:eastAsia="Microsoft YaHei UI" w:cs="Microsoft YaHei UI"/>
                <w:shd w:val="clear" w:color="auto" w:fill="FFFFFF"/>
              </w:rPr>
              <w:t>白名单</w:t>
            </w:r>
            <w:r>
              <w:rPr>
                <w:rFonts w:eastAsia="Tahoma"/>
                <w:shd w:val="clear" w:color="auto" w:fill="FFFFFF"/>
              </w:rPr>
              <w:t>ID</w:t>
            </w:r>
          </w:p>
        </w:tc>
        <w:tc>
          <w:tcPr>
            <w:tcW w:w="6930" w:type="dxa"/>
            <w:shd w:val="clear" w:color="auto" w:fill="auto"/>
          </w:tcPr>
          <w:p w14:paraId="3F1FE44D">
            <w:pPr>
              <w:pStyle w:val="150"/>
            </w:pPr>
            <w:r>
              <w:rPr>
                <w:rFonts w:hint="eastAsia"/>
              </w:rPr>
              <w:t>配置白名单外设ID，在白名单内的设备不受控制。</w:t>
            </w:r>
          </w:p>
        </w:tc>
      </w:tr>
      <w:tr w14:paraId="13449F9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4726AE9C">
            <w:pPr>
              <w:pStyle w:val="150"/>
              <w:rPr>
                <w:shd w:val="clear" w:color="auto" w:fill="FFFFFF"/>
              </w:rPr>
            </w:pPr>
            <w:r>
              <w:rPr>
                <w:rFonts w:hint="eastAsia"/>
                <w:shd w:val="clear" w:color="auto" w:fill="FFFFFF"/>
              </w:rPr>
              <w:t>白名单-外设ID读取软件</w:t>
            </w:r>
          </w:p>
        </w:tc>
        <w:tc>
          <w:tcPr>
            <w:tcW w:w="6930" w:type="dxa"/>
            <w:shd w:val="clear" w:color="auto" w:fill="auto"/>
          </w:tcPr>
          <w:p w14:paraId="3205601A">
            <w:pPr>
              <w:pStyle w:val="150"/>
            </w:pPr>
            <w:r>
              <w:rPr>
                <w:rFonts w:hint="eastAsia"/>
              </w:rPr>
              <w:t>下载外设ID读取软件。</w:t>
            </w:r>
          </w:p>
        </w:tc>
      </w:tr>
      <w:tr w14:paraId="1551A0D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4AAB04AC">
            <w:pPr>
              <w:pStyle w:val="150"/>
              <w:rPr>
                <w:shd w:val="clear" w:color="auto" w:fill="FFFFFF"/>
              </w:rPr>
            </w:pPr>
            <w:r>
              <w:rPr>
                <w:rFonts w:hint="eastAsia"/>
                <w:shd w:val="clear" w:color="auto" w:fill="FFFFFF"/>
              </w:rPr>
              <w:t>白名单-配置向导</w:t>
            </w:r>
          </w:p>
        </w:tc>
        <w:tc>
          <w:tcPr>
            <w:tcW w:w="6930" w:type="dxa"/>
            <w:shd w:val="clear" w:color="auto" w:fill="auto"/>
          </w:tcPr>
          <w:p w14:paraId="1DDF29C1">
            <w:pPr>
              <w:pStyle w:val="150"/>
            </w:pPr>
            <w:r>
              <w:rPr>
                <w:rFonts w:hint="eastAsia"/>
              </w:rPr>
              <w:t>下载外设ID获取配置向导。</w:t>
            </w:r>
          </w:p>
        </w:tc>
      </w:tr>
    </w:tbl>
    <w:p w14:paraId="779415C5"/>
    <w:p w14:paraId="07141337">
      <w:pPr>
        <w:pStyle w:val="6"/>
      </w:pPr>
      <w:r>
        <w:rPr>
          <w:rFonts w:hint="eastAsia"/>
        </w:rPr>
        <w:t>端口管控规则</w:t>
      </w:r>
    </w:p>
    <w:p w14:paraId="2831E725">
      <w:r>
        <w:rPr>
          <w:rFonts w:hint="eastAsia"/>
        </w:rPr>
        <w:t>在导航栏中选择“用户管理&gt;终端准入管理&gt;准入策略”，单击选择“规则对象”标签页，进入规则对象页面，将鼠标悬停在“新建”按钮，选择“管控规则&gt;端口管控规则”，进入端口管控规则配置页面，如下图所示。</w:t>
      </w:r>
    </w:p>
    <w:p w14:paraId="1D7D38D5">
      <w:pPr>
        <w:pStyle w:val="188"/>
        <w:rPr>
          <w:szCs w:val="18"/>
        </w:rPr>
      </w:pPr>
      <w:r>
        <w:rPr>
          <w:rFonts w:hint="eastAsia"/>
        </w:rPr>
        <w:t>端口管控规则配置页面</w:t>
      </w:r>
    </w:p>
    <w:p w14:paraId="67F9F44E">
      <w:r>
        <w:drawing>
          <wp:inline distT="0" distB="0" distL="114300" distR="114300">
            <wp:extent cx="5610225" cy="2943860"/>
            <wp:effectExtent l="0" t="0" r="0" b="8890"/>
            <wp:docPr id="72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图片 34"/>
                    <pic:cNvPicPr>
                      <a:picLocks noChangeAspect="1"/>
                    </pic:cNvPicPr>
                  </pic:nvPicPr>
                  <pic:blipFill>
                    <a:blip r:embed="rId1191"/>
                    <a:stretch>
                      <a:fillRect/>
                    </a:stretch>
                  </pic:blipFill>
                  <pic:spPr>
                    <a:xfrm>
                      <a:off x="0" y="0"/>
                      <a:ext cx="5616316" cy="2947546"/>
                    </a:xfrm>
                    <a:prstGeom prst="rect">
                      <a:avLst/>
                    </a:prstGeom>
                    <a:noFill/>
                    <a:ln>
                      <a:noFill/>
                    </a:ln>
                  </pic:spPr>
                </pic:pic>
              </a:graphicData>
            </a:graphic>
          </wp:inline>
        </w:drawing>
      </w:r>
    </w:p>
    <w:p w14:paraId="7B1E45A0"/>
    <w:p w14:paraId="5361FD8A">
      <w:pPr>
        <w:pStyle w:val="183"/>
      </w:pPr>
      <w:r>
        <w:rPr>
          <w:rFonts w:hint="eastAsia"/>
        </w:rPr>
        <w:t>端口管控规则配置说明</w:t>
      </w:r>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85"/>
        <w:gridCol w:w="6930"/>
      </w:tblGrid>
      <w:tr w14:paraId="6599D8F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20" w:hRule="atLeast"/>
        </w:trPr>
        <w:tc>
          <w:tcPr>
            <w:tcW w:w="2085" w:type="dxa"/>
            <w:tcBorders>
              <w:tl2br w:val="nil"/>
              <w:tr2bl w:val="nil"/>
            </w:tcBorders>
            <w:shd w:val="clear" w:color="auto" w:fill="538135" w:themeFill="accent6" w:themeFillShade="BF"/>
            <w:vAlign w:val="center"/>
          </w:tcPr>
          <w:p w14:paraId="71487F0E">
            <w:pPr>
              <w:pStyle w:val="149"/>
              <w:wordWrap/>
              <w:rPr>
                <w:b/>
                <w:bCs/>
                <w:i w:val="0"/>
                <w:iCs w:val="0"/>
              </w:rPr>
            </w:pPr>
            <w:r>
              <w:rPr>
                <w:rFonts w:hint="eastAsia"/>
                <w:b/>
                <w:bCs/>
                <w:i w:val="0"/>
                <w:iCs w:val="0"/>
              </w:rPr>
              <w:t>项目</w:t>
            </w:r>
          </w:p>
        </w:tc>
        <w:tc>
          <w:tcPr>
            <w:tcW w:w="6930" w:type="dxa"/>
            <w:tcBorders>
              <w:tl2br w:val="nil"/>
              <w:tr2bl w:val="nil"/>
            </w:tcBorders>
            <w:shd w:val="clear" w:color="auto" w:fill="538135" w:themeFill="accent6" w:themeFillShade="BF"/>
            <w:vAlign w:val="center"/>
          </w:tcPr>
          <w:p w14:paraId="053F39D2">
            <w:pPr>
              <w:pStyle w:val="149"/>
              <w:wordWrap/>
              <w:rPr>
                <w:b/>
                <w:bCs/>
                <w:i w:val="0"/>
                <w:iCs w:val="0"/>
              </w:rPr>
            </w:pPr>
            <w:r>
              <w:rPr>
                <w:rFonts w:hint="eastAsia"/>
                <w:b/>
                <w:bCs/>
                <w:i w:val="0"/>
                <w:iCs w:val="0"/>
              </w:rPr>
              <w:t>说明</w:t>
            </w:r>
          </w:p>
        </w:tc>
      </w:tr>
      <w:tr w14:paraId="24532A5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5A259E53">
            <w:pPr>
              <w:pStyle w:val="150"/>
            </w:pPr>
            <w:r>
              <w:rPr>
                <w:rFonts w:hint="eastAsia"/>
              </w:rPr>
              <w:t>规则名称</w:t>
            </w:r>
          </w:p>
        </w:tc>
        <w:tc>
          <w:tcPr>
            <w:tcW w:w="6930" w:type="dxa"/>
            <w:shd w:val="clear" w:color="auto" w:fill="auto"/>
          </w:tcPr>
          <w:p w14:paraId="7037B622">
            <w:pPr>
              <w:pStyle w:val="150"/>
            </w:pPr>
            <w:r>
              <w:rPr>
                <w:rFonts w:hint="eastAsia"/>
              </w:rPr>
              <w:t>配置规则对象名称。</w:t>
            </w:r>
          </w:p>
        </w:tc>
      </w:tr>
      <w:tr w14:paraId="13DF2B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258C2C57">
            <w:pPr>
              <w:pStyle w:val="150"/>
            </w:pPr>
            <w:r>
              <w:rPr>
                <w:rFonts w:hint="eastAsia"/>
              </w:rPr>
              <w:t>规则描述</w:t>
            </w:r>
          </w:p>
        </w:tc>
        <w:tc>
          <w:tcPr>
            <w:tcW w:w="6930" w:type="dxa"/>
            <w:shd w:val="clear" w:color="auto" w:fill="auto"/>
          </w:tcPr>
          <w:p w14:paraId="0D8DCC31">
            <w:pPr>
              <w:pStyle w:val="150"/>
            </w:pPr>
            <w:r>
              <w:rPr>
                <w:rFonts w:hint="eastAsia"/>
              </w:rPr>
              <w:t>配置规则对象描述。</w:t>
            </w:r>
          </w:p>
        </w:tc>
      </w:tr>
      <w:tr w14:paraId="3CA13E7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738DD97A">
            <w:pPr>
              <w:pStyle w:val="150"/>
            </w:pPr>
            <w:r>
              <w:rPr>
                <w:rFonts w:hint="eastAsia"/>
              </w:rPr>
              <w:t>控制项配置</w:t>
            </w:r>
          </w:p>
        </w:tc>
        <w:tc>
          <w:tcPr>
            <w:tcW w:w="6930" w:type="dxa"/>
            <w:shd w:val="clear" w:color="auto" w:fill="auto"/>
          </w:tcPr>
          <w:p w14:paraId="23DD24B8">
            <w:pPr>
              <w:pStyle w:val="207"/>
              <w:tabs>
                <w:tab w:val="left" w:pos="1134"/>
              </w:tabs>
              <w:rPr>
                <w:lang w:eastAsia="zh-CN"/>
              </w:rPr>
            </w:pPr>
            <w:r>
              <w:rPr>
                <w:rFonts w:hint="eastAsia"/>
                <w:lang w:eastAsia="zh-CN"/>
              </w:rPr>
              <w:t>“放通以下端口”：可以访问以下配置的端口，其他端口不允许访问；</w:t>
            </w:r>
          </w:p>
          <w:p w14:paraId="75D66302">
            <w:pPr>
              <w:pStyle w:val="207"/>
              <w:tabs>
                <w:tab w:val="left" w:pos="1134"/>
              </w:tabs>
              <w:rPr>
                <w:lang w:eastAsia="zh-CN"/>
              </w:rPr>
            </w:pPr>
            <w:r>
              <w:rPr>
                <w:rFonts w:hint="eastAsia"/>
                <w:lang w:eastAsia="zh-CN"/>
              </w:rPr>
              <w:t>“封堵以下端口”：禁止访问以下配置的端口，其他端口可以正常被访问。</w:t>
            </w:r>
          </w:p>
        </w:tc>
      </w:tr>
      <w:tr w14:paraId="135974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10E5FCBA">
            <w:pPr>
              <w:pStyle w:val="150"/>
            </w:pPr>
            <w:r>
              <w:rPr>
                <w:rFonts w:hint="eastAsia"/>
              </w:rPr>
              <w:t>端口-协议类型</w:t>
            </w:r>
          </w:p>
        </w:tc>
        <w:tc>
          <w:tcPr>
            <w:tcW w:w="6930" w:type="dxa"/>
            <w:shd w:val="clear" w:color="auto" w:fill="auto"/>
          </w:tcPr>
          <w:p w14:paraId="621D2676">
            <w:pPr>
              <w:pStyle w:val="150"/>
            </w:pPr>
            <w:r>
              <w:rPr>
                <w:rFonts w:hint="eastAsia"/>
              </w:rPr>
              <w:t>协议类型可配置“TCP”、“UDP”、“ICMP”</w:t>
            </w:r>
          </w:p>
        </w:tc>
      </w:tr>
      <w:tr w14:paraId="094BC5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69CCBC78">
            <w:pPr>
              <w:pStyle w:val="150"/>
              <w:rPr>
                <w:shd w:val="clear" w:color="auto" w:fill="FFFFFF"/>
              </w:rPr>
            </w:pPr>
            <w:r>
              <w:rPr>
                <w:rFonts w:hint="eastAsia"/>
                <w:shd w:val="clear" w:color="auto" w:fill="FFFFFF"/>
              </w:rPr>
              <w:t>端口-本地端口</w:t>
            </w:r>
          </w:p>
        </w:tc>
        <w:tc>
          <w:tcPr>
            <w:tcW w:w="6930" w:type="dxa"/>
            <w:shd w:val="clear" w:color="auto" w:fill="auto"/>
          </w:tcPr>
          <w:p w14:paraId="6E673AE8">
            <w:pPr>
              <w:pStyle w:val="150"/>
            </w:pPr>
            <w:r>
              <w:rPr>
                <w:rFonts w:hint="eastAsia"/>
              </w:rPr>
              <w:t>配置本地端口，最多配置16条。</w:t>
            </w:r>
          </w:p>
        </w:tc>
      </w:tr>
      <w:tr w14:paraId="388520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3AD26301">
            <w:pPr>
              <w:pStyle w:val="150"/>
              <w:rPr>
                <w:shd w:val="clear" w:color="auto" w:fill="FFFFFF"/>
              </w:rPr>
            </w:pPr>
            <w:r>
              <w:rPr>
                <w:rFonts w:hint="eastAsia"/>
                <w:shd w:val="clear" w:color="auto" w:fill="FFFFFF"/>
              </w:rPr>
              <w:t>端口-对端IP</w:t>
            </w:r>
          </w:p>
        </w:tc>
        <w:tc>
          <w:tcPr>
            <w:tcW w:w="6930" w:type="dxa"/>
            <w:shd w:val="clear" w:color="auto" w:fill="auto"/>
          </w:tcPr>
          <w:p w14:paraId="342CDF73">
            <w:pPr>
              <w:pStyle w:val="150"/>
            </w:pPr>
            <w:r>
              <w:rPr>
                <w:rFonts w:hint="eastAsia"/>
              </w:rPr>
              <w:t>配置对端IP，可配置所有IP、指定IP。</w:t>
            </w:r>
          </w:p>
        </w:tc>
      </w:tr>
      <w:tr w14:paraId="7BD55C2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663EE95C">
            <w:pPr>
              <w:pStyle w:val="150"/>
              <w:rPr>
                <w:shd w:val="clear" w:color="auto" w:fill="FFFFFF"/>
              </w:rPr>
            </w:pPr>
            <w:r>
              <w:rPr>
                <w:rFonts w:hint="eastAsia"/>
                <w:shd w:val="clear" w:color="auto" w:fill="FFFFFF"/>
              </w:rPr>
              <w:t>端口-指定IP</w:t>
            </w:r>
          </w:p>
        </w:tc>
        <w:tc>
          <w:tcPr>
            <w:tcW w:w="6930" w:type="dxa"/>
            <w:shd w:val="clear" w:color="auto" w:fill="auto"/>
          </w:tcPr>
          <w:p w14:paraId="168B5F57">
            <w:pPr>
              <w:pStyle w:val="150"/>
            </w:pPr>
            <w:r>
              <w:rPr>
                <w:rFonts w:hint="eastAsia"/>
              </w:rPr>
              <w:t>配置指定的IP地址。</w:t>
            </w:r>
          </w:p>
        </w:tc>
      </w:tr>
      <w:tr w14:paraId="7D833FE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85" w:type="dxa"/>
            <w:shd w:val="clear" w:color="auto" w:fill="auto"/>
          </w:tcPr>
          <w:p w14:paraId="433E26CE">
            <w:pPr>
              <w:pStyle w:val="150"/>
              <w:rPr>
                <w:shd w:val="clear" w:color="auto" w:fill="FFFFFF"/>
              </w:rPr>
            </w:pPr>
            <w:r>
              <w:rPr>
                <w:rFonts w:hint="eastAsia"/>
                <w:shd w:val="clear" w:color="auto" w:fill="FFFFFF"/>
              </w:rPr>
              <w:t>离网继续生效</w:t>
            </w:r>
          </w:p>
        </w:tc>
        <w:tc>
          <w:tcPr>
            <w:tcW w:w="6930" w:type="dxa"/>
            <w:shd w:val="clear" w:color="auto" w:fill="auto"/>
          </w:tcPr>
          <w:p w14:paraId="42637B70">
            <w:pPr>
              <w:pStyle w:val="150"/>
            </w:pPr>
            <w:r>
              <w:rPr>
                <w:rFonts w:hint="eastAsia"/>
              </w:rPr>
              <w:t>勾选离网时继续生效，终端与设备端心跳保活失败后，规则仍然生效。</w:t>
            </w:r>
          </w:p>
        </w:tc>
      </w:tr>
    </w:tbl>
    <w:p w14:paraId="2F37F81C">
      <w:pPr>
        <w:rPr>
          <w:rFonts w:cs="Arial Narrow"/>
          <w:sz w:val="18"/>
          <w:szCs w:val="18"/>
        </w:rPr>
      </w:pPr>
    </w:p>
    <w:p w14:paraId="113606A4">
      <w:pPr>
        <w:pStyle w:val="4"/>
        <w:rPr>
          <w:rFonts w:cs="Arial Narrow"/>
          <w:sz w:val="18"/>
          <w:szCs w:val="18"/>
        </w:rPr>
      </w:pPr>
      <w:bookmarkStart w:id="9112" w:name="_Toc174644779"/>
      <w:bookmarkStart w:id="9113" w:name="_Toc194081225"/>
      <w:bookmarkStart w:id="9114" w:name="_Toc196728553"/>
      <w:r>
        <w:rPr>
          <w:rFonts w:hint="eastAsia"/>
        </w:rPr>
        <w:t>终端管理</w:t>
      </w:r>
      <w:bookmarkEnd w:id="9112"/>
      <w:bookmarkEnd w:id="9113"/>
      <w:bookmarkEnd w:id="9114"/>
    </w:p>
    <w:p w14:paraId="60A98B75">
      <w:pPr>
        <w:pStyle w:val="5"/>
      </w:pPr>
      <w:bookmarkStart w:id="9115" w:name="_Toc174644780"/>
      <w:bookmarkStart w:id="9116" w:name="_Toc194081226"/>
      <w:bookmarkStart w:id="9117" w:name="_Toc196728554"/>
      <w:r>
        <w:rPr>
          <w:rFonts w:hint="eastAsia"/>
        </w:rPr>
        <w:t>在线终端</w:t>
      </w:r>
      <w:bookmarkEnd w:id="9115"/>
      <w:bookmarkEnd w:id="9116"/>
      <w:bookmarkEnd w:id="9117"/>
    </w:p>
    <w:p w14:paraId="6357E516">
      <w:r>
        <w:rPr>
          <w:rFonts w:hint="eastAsia"/>
        </w:rPr>
        <w:t>在导航栏中选择“用户管理&gt;终端准入管理&gt;终端管理”，选择“在线</w:t>
      </w:r>
      <w:r>
        <w:t>终端</w:t>
      </w:r>
      <w:r>
        <w:rPr>
          <w:rFonts w:hint="eastAsia"/>
        </w:rPr>
        <w:t>”标签页进入在线</w:t>
      </w:r>
      <w:r>
        <w:t>终端页</w:t>
      </w:r>
      <w:r>
        <w:rPr>
          <w:rFonts w:hint="eastAsia"/>
        </w:rPr>
        <w:t>面</w:t>
      </w:r>
      <w:r>
        <w:t>，</w:t>
      </w:r>
      <w:r>
        <w:rPr>
          <w:rFonts w:hint="eastAsia"/>
        </w:rPr>
        <w:t>如下图所示。</w:t>
      </w:r>
    </w:p>
    <w:p w14:paraId="3DFC782D">
      <w:pPr>
        <w:pStyle w:val="188"/>
      </w:pPr>
      <w:r>
        <w:rPr>
          <w:rFonts w:hint="eastAsia"/>
        </w:rPr>
        <w:t>在线</w:t>
      </w:r>
      <w:r>
        <w:t>终端</w:t>
      </w:r>
      <w:r>
        <w:rPr>
          <w:rFonts w:hint="eastAsia"/>
        </w:rPr>
        <w:t>页面</w:t>
      </w:r>
    </w:p>
    <w:p w14:paraId="199B2181">
      <w:pPr>
        <w:pStyle w:val="175"/>
      </w:pPr>
      <w:r>
        <w:drawing>
          <wp:inline distT="0" distB="0" distL="114300" distR="114300">
            <wp:extent cx="6081395" cy="561975"/>
            <wp:effectExtent l="0" t="0" r="0" b="0"/>
            <wp:docPr id="72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图片 8"/>
                    <pic:cNvPicPr>
                      <a:picLocks noChangeAspect="1"/>
                    </pic:cNvPicPr>
                  </pic:nvPicPr>
                  <pic:blipFill>
                    <a:blip r:embed="rId1192"/>
                    <a:srcRect r="7996" b="47001"/>
                    <a:stretch>
                      <a:fillRect/>
                    </a:stretch>
                  </pic:blipFill>
                  <pic:spPr>
                    <a:xfrm>
                      <a:off x="0" y="0"/>
                      <a:ext cx="6201695" cy="573086"/>
                    </a:xfrm>
                    <a:prstGeom prst="rect">
                      <a:avLst/>
                    </a:prstGeom>
                    <a:noFill/>
                    <a:ln>
                      <a:noFill/>
                    </a:ln>
                  </pic:spPr>
                </pic:pic>
              </a:graphicData>
            </a:graphic>
          </wp:inline>
        </w:drawing>
      </w:r>
    </w:p>
    <w:p w14:paraId="6F610C74"/>
    <w:p w14:paraId="7927BFFD">
      <w:pPr>
        <w:pStyle w:val="183"/>
      </w:pPr>
      <w:r>
        <w:rPr>
          <w:rFonts w:hint="eastAsia"/>
        </w:rPr>
        <w:t>相关配置说明</w:t>
      </w:r>
    </w:p>
    <w:tbl>
      <w:tblPr>
        <w:tblStyle w:val="173"/>
        <w:tblW w:w="844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518"/>
        <w:gridCol w:w="6930"/>
      </w:tblGrid>
      <w:tr w14:paraId="7A08E18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18" w:type="dxa"/>
            <w:tcBorders>
              <w:tl2br w:val="nil"/>
              <w:tr2bl w:val="nil"/>
            </w:tcBorders>
            <w:shd w:val="clear" w:color="auto" w:fill="538135" w:themeFill="accent6" w:themeFillShade="BF"/>
            <w:vAlign w:val="center"/>
          </w:tcPr>
          <w:p w14:paraId="04FD44E0">
            <w:pPr>
              <w:keepNext/>
              <w:wordWrap/>
              <w:spacing w:before="80" w:after="80"/>
              <w:jc w:val="center"/>
              <w:rPr>
                <w:rFonts w:cs="Arial Narrow"/>
                <w:b w:val="0"/>
                <w:bCs/>
                <w:i w:val="0"/>
                <w:iCs w:val="0"/>
                <w:color w:val="FFFFFF" w:themeColor="background1"/>
                <w:sz w:val="18"/>
                <w14:textFill>
                  <w14:solidFill>
                    <w14:schemeClr w14:val="bg1"/>
                  </w14:solidFill>
                </w14:textFill>
              </w:rPr>
            </w:pPr>
            <w:r>
              <w:rPr>
                <w:rFonts w:hint="eastAsia" w:cs="Arial Narrow"/>
                <w:b w:val="0"/>
                <w:bCs/>
                <w:i w:val="0"/>
                <w:iCs w:val="0"/>
                <w:color w:val="FFFFFF" w:themeColor="background1"/>
                <w:sz w:val="18"/>
                <w14:textFill>
                  <w14:solidFill>
                    <w14:schemeClr w14:val="bg1"/>
                  </w14:solidFill>
                </w14:textFill>
              </w:rPr>
              <w:t>项目</w:t>
            </w:r>
          </w:p>
        </w:tc>
        <w:tc>
          <w:tcPr>
            <w:tcW w:w="6930" w:type="dxa"/>
            <w:tcBorders>
              <w:tl2br w:val="nil"/>
              <w:tr2bl w:val="nil"/>
            </w:tcBorders>
            <w:shd w:val="clear" w:color="auto" w:fill="538135" w:themeFill="accent6" w:themeFillShade="BF"/>
            <w:vAlign w:val="center"/>
          </w:tcPr>
          <w:p w14:paraId="0347F183">
            <w:pPr>
              <w:keepNext/>
              <w:wordWrap/>
              <w:spacing w:before="80" w:after="80"/>
              <w:jc w:val="center"/>
              <w:rPr>
                <w:rFonts w:cs="Arial Narrow"/>
                <w:b w:val="0"/>
                <w:bCs/>
                <w:i w:val="0"/>
                <w:iCs w:val="0"/>
                <w:color w:val="FFFFFF" w:themeColor="background1"/>
                <w:sz w:val="18"/>
                <w14:textFill>
                  <w14:solidFill>
                    <w14:schemeClr w14:val="bg1"/>
                  </w14:solidFill>
                </w14:textFill>
              </w:rPr>
            </w:pPr>
            <w:r>
              <w:rPr>
                <w:rFonts w:hint="eastAsia" w:cs="Arial Narrow"/>
                <w:b w:val="0"/>
                <w:bCs/>
                <w:i w:val="0"/>
                <w:iCs w:val="0"/>
                <w:color w:val="FFFFFF" w:themeColor="background1"/>
                <w:sz w:val="18"/>
                <w14:textFill>
                  <w14:solidFill>
                    <w14:schemeClr w14:val="bg1"/>
                  </w14:solidFill>
                </w14:textFill>
              </w:rPr>
              <w:t>说明</w:t>
            </w:r>
          </w:p>
        </w:tc>
      </w:tr>
      <w:tr w14:paraId="355634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18" w:type="dxa"/>
            <w:shd w:val="clear" w:color="auto" w:fill="auto"/>
          </w:tcPr>
          <w:p w14:paraId="41C158C1">
            <w:pPr>
              <w:autoSpaceDE w:val="0"/>
              <w:autoSpaceDN w:val="0"/>
              <w:spacing w:before="80" w:after="80"/>
              <w:textAlignment w:val="bottom"/>
              <w:rPr>
                <w:rFonts w:cs="Arial Narrow"/>
                <w:sz w:val="18"/>
                <w:szCs w:val="18"/>
              </w:rPr>
            </w:pPr>
            <w:r>
              <w:rPr>
                <w:rFonts w:hint="eastAsia" w:cs="Arial Narrow"/>
                <w:sz w:val="18"/>
                <w:szCs w:val="18"/>
              </w:rPr>
              <w:t>主机名</w:t>
            </w:r>
          </w:p>
        </w:tc>
        <w:tc>
          <w:tcPr>
            <w:tcW w:w="6930" w:type="dxa"/>
            <w:shd w:val="clear" w:color="auto" w:fill="auto"/>
          </w:tcPr>
          <w:p w14:paraId="3176CAFE">
            <w:pPr>
              <w:autoSpaceDE w:val="0"/>
              <w:autoSpaceDN w:val="0"/>
              <w:spacing w:before="80" w:after="80"/>
              <w:textAlignment w:val="bottom"/>
              <w:rPr>
                <w:rFonts w:cs="Arial Narrow"/>
                <w:sz w:val="18"/>
                <w:szCs w:val="18"/>
              </w:rPr>
            </w:pPr>
            <w:r>
              <w:rPr>
                <w:rFonts w:hint="eastAsia" w:cs="Arial Narrow"/>
                <w:sz w:val="18"/>
                <w:szCs w:val="18"/>
              </w:rPr>
              <w:t>客户端安装插件后上线，在线终端会显示终端的主机名称</w:t>
            </w:r>
          </w:p>
        </w:tc>
      </w:tr>
      <w:tr w14:paraId="6284F1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18" w:type="dxa"/>
            <w:shd w:val="clear" w:color="auto" w:fill="auto"/>
          </w:tcPr>
          <w:p w14:paraId="4734CE6D">
            <w:pPr>
              <w:autoSpaceDE w:val="0"/>
              <w:autoSpaceDN w:val="0"/>
              <w:spacing w:before="80" w:after="80"/>
              <w:textAlignment w:val="bottom"/>
              <w:rPr>
                <w:rFonts w:cs="Arial Narrow"/>
                <w:sz w:val="18"/>
                <w:szCs w:val="18"/>
              </w:rPr>
            </w:pPr>
            <w:r>
              <w:rPr>
                <w:rFonts w:hint="eastAsia" w:cs="Arial Narrow"/>
                <w:sz w:val="18"/>
                <w:szCs w:val="18"/>
              </w:rPr>
              <w:t>I</w:t>
            </w:r>
            <w:r>
              <w:rPr>
                <w:rFonts w:cs="Arial Narrow"/>
                <w:sz w:val="18"/>
                <w:szCs w:val="18"/>
              </w:rPr>
              <w:t>P</w:t>
            </w:r>
            <w:r>
              <w:rPr>
                <w:rFonts w:hint="eastAsia" w:cs="Arial Narrow"/>
                <w:sz w:val="18"/>
                <w:szCs w:val="18"/>
              </w:rPr>
              <w:t>地址</w:t>
            </w:r>
          </w:p>
        </w:tc>
        <w:tc>
          <w:tcPr>
            <w:tcW w:w="6930" w:type="dxa"/>
            <w:shd w:val="clear" w:color="auto" w:fill="auto"/>
          </w:tcPr>
          <w:p w14:paraId="4FE014A5">
            <w:pPr>
              <w:autoSpaceDE w:val="0"/>
              <w:autoSpaceDN w:val="0"/>
              <w:spacing w:before="80" w:after="80"/>
              <w:textAlignment w:val="bottom"/>
              <w:rPr>
                <w:rFonts w:cs="Arial Narrow"/>
                <w:sz w:val="18"/>
                <w:szCs w:val="18"/>
              </w:rPr>
            </w:pPr>
            <w:r>
              <w:rPr>
                <w:rFonts w:hint="eastAsia" w:cs="Arial Narrow"/>
                <w:sz w:val="18"/>
                <w:szCs w:val="18"/>
              </w:rPr>
              <w:t>客户</w:t>
            </w:r>
            <w:r>
              <w:rPr>
                <w:rFonts w:cs="Arial Narrow"/>
                <w:sz w:val="18"/>
                <w:szCs w:val="18"/>
              </w:rPr>
              <w:t>终端安装插件后上线</w:t>
            </w:r>
            <w:r>
              <w:rPr>
                <w:rFonts w:hint="eastAsia" w:cs="Arial Narrow"/>
                <w:sz w:val="18"/>
                <w:szCs w:val="18"/>
              </w:rPr>
              <w:t>后</w:t>
            </w:r>
            <w:r>
              <w:rPr>
                <w:rFonts w:cs="Arial Narrow"/>
                <w:sz w:val="18"/>
                <w:szCs w:val="18"/>
              </w:rPr>
              <w:t>，</w:t>
            </w:r>
            <w:r>
              <w:rPr>
                <w:rFonts w:hint="eastAsia" w:cs="Arial Narrow"/>
                <w:sz w:val="18"/>
                <w:szCs w:val="18"/>
              </w:rPr>
              <w:t>在线终端</w:t>
            </w:r>
            <w:r>
              <w:rPr>
                <w:rFonts w:cs="Arial Narrow"/>
                <w:sz w:val="18"/>
                <w:szCs w:val="18"/>
              </w:rPr>
              <w:t>会显示终端的</w:t>
            </w:r>
            <w:r>
              <w:rPr>
                <w:rFonts w:hint="eastAsia" w:cs="Arial Narrow"/>
                <w:sz w:val="18"/>
                <w:szCs w:val="18"/>
              </w:rPr>
              <w:t>IP地址</w:t>
            </w:r>
          </w:p>
        </w:tc>
      </w:tr>
      <w:tr w14:paraId="1FF397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18" w:type="dxa"/>
            <w:shd w:val="clear" w:color="auto" w:fill="auto"/>
          </w:tcPr>
          <w:p w14:paraId="2122799E">
            <w:pPr>
              <w:autoSpaceDE w:val="0"/>
              <w:autoSpaceDN w:val="0"/>
              <w:spacing w:before="80" w:after="80"/>
              <w:textAlignment w:val="bottom"/>
              <w:rPr>
                <w:rFonts w:cs="Arial Narrow"/>
                <w:sz w:val="18"/>
                <w:szCs w:val="18"/>
              </w:rPr>
            </w:pPr>
            <w:r>
              <w:rPr>
                <w:rFonts w:hint="eastAsia" w:cs="Arial Narrow"/>
                <w:sz w:val="18"/>
                <w:szCs w:val="18"/>
              </w:rPr>
              <w:t>MAC地址</w:t>
            </w:r>
          </w:p>
        </w:tc>
        <w:tc>
          <w:tcPr>
            <w:tcW w:w="6930" w:type="dxa"/>
            <w:shd w:val="clear" w:color="auto" w:fill="auto"/>
          </w:tcPr>
          <w:p w14:paraId="42A06FF3">
            <w:pPr>
              <w:autoSpaceDE w:val="0"/>
              <w:autoSpaceDN w:val="0"/>
              <w:spacing w:before="80" w:after="80"/>
              <w:textAlignment w:val="bottom"/>
              <w:rPr>
                <w:rFonts w:cs="Arial Narrow"/>
                <w:sz w:val="18"/>
                <w:szCs w:val="18"/>
              </w:rPr>
            </w:pPr>
            <w:r>
              <w:rPr>
                <w:rFonts w:hint="eastAsia" w:cs="Arial Narrow"/>
                <w:sz w:val="18"/>
                <w:szCs w:val="18"/>
              </w:rPr>
              <w:t>客户</w:t>
            </w:r>
            <w:r>
              <w:rPr>
                <w:rFonts w:cs="Arial Narrow"/>
                <w:sz w:val="18"/>
                <w:szCs w:val="18"/>
              </w:rPr>
              <w:t>终端安装插件后上线</w:t>
            </w:r>
            <w:r>
              <w:rPr>
                <w:rFonts w:hint="eastAsia" w:cs="Arial Narrow"/>
                <w:sz w:val="18"/>
                <w:szCs w:val="18"/>
              </w:rPr>
              <w:t>后</w:t>
            </w:r>
            <w:r>
              <w:rPr>
                <w:rFonts w:cs="Arial Narrow"/>
                <w:sz w:val="18"/>
                <w:szCs w:val="18"/>
              </w:rPr>
              <w:t>，</w:t>
            </w:r>
            <w:r>
              <w:rPr>
                <w:rFonts w:hint="eastAsia" w:cs="Arial Narrow"/>
                <w:sz w:val="18"/>
                <w:szCs w:val="18"/>
              </w:rPr>
              <w:t>在线终端</w:t>
            </w:r>
            <w:r>
              <w:rPr>
                <w:rFonts w:cs="Arial Narrow"/>
                <w:sz w:val="18"/>
                <w:szCs w:val="18"/>
              </w:rPr>
              <w:t>会显示终端的</w:t>
            </w:r>
            <w:r>
              <w:rPr>
                <w:rFonts w:hint="eastAsia" w:cs="Arial Narrow"/>
                <w:sz w:val="18"/>
                <w:szCs w:val="18"/>
              </w:rPr>
              <w:t>MAC地址</w:t>
            </w:r>
          </w:p>
        </w:tc>
      </w:tr>
      <w:tr w14:paraId="366C4EF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18" w:type="dxa"/>
            <w:shd w:val="clear" w:color="auto" w:fill="auto"/>
          </w:tcPr>
          <w:p w14:paraId="5EF64BB3">
            <w:pPr>
              <w:autoSpaceDE w:val="0"/>
              <w:autoSpaceDN w:val="0"/>
              <w:spacing w:before="80" w:after="80"/>
              <w:textAlignment w:val="bottom"/>
              <w:rPr>
                <w:rFonts w:cs="Arial Narrow"/>
                <w:sz w:val="18"/>
                <w:szCs w:val="18"/>
              </w:rPr>
            </w:pPr>
            <w:r>
              <w:rPr>
                <w:rFonts w:hint="eastAsia" w:cs="Arial Narrow"/>
                <w:sz w:val="18"/>
                <w:szCs w:val="18"/>
              </w:rPr>
              <w:t>系统版本</w:t>
            </w:r>
          </w:p>
        </w:tc>
        <w:tc>
          <w:tcPr>
            <w:tcW w:w="6930" w:type="dxa"/>
            <w:shd w:val="clear" w:color="auto" w:fill="auto"/>
          </w:tcPr>
          <w:p w14:paraId="29C2EF8A">
            <w:pPr>
              <w:autoSpaceDE w:val="0"/>
              <w:autoSpaceDN w:val="0"/>
              <w:spacing w:before="80" w:after="80"/>
              <w:textAlignment w:val="bottom"/>
              <w:rPr>
                <w:rFonts w:cs="Arial Narrow"/>
                <w:sz w:val="18"/>
                <w:szCs w:val="18"/>
              </w:rPr>
            </w:pPr>
            <w:r>
              <w:rPr>
                <w:rFonts w:hint="eastAsia" w:cs="Arial Narrow"/>
                <w:sz w:val="18"/>
                <w:szCs w:val="18"/>
              </w:rPr>
              <w:t>客户</w:t>
            </w:r>
            <w:r>
              <w:rPr>
                <w:rFonts w:cs="Arial Narrow"/>
                <w:sz w:val="18"/>
                <w:szCs w:val="18"/>
              </w:rPr>
              <w:t>终端安装插件后上线</w:t>
            </w:r>
            <w:r>
              <w:rPr>
                <w:rFonts w:hint="eastAsia" w:cs="Arial Narrow"/>
                <w:sz w:val="18"/>
                <w:szCs w:val="18"/>
              </w:rPr>
              <w:t>后</w:t>
            </w:r>
            <w:r>
              <w:rPr>
                <w:rFonts w:cs="Arial Narrow"/>
                <w:sz w:val="18"/>
                <w:szCs w:val="18"/>
              </w:rPr>
              <w:t>，</w:t>
            </w:r>
            <w:r>
              <w:rPr>
                <w:rFonts w:hint="eastAsia" w:cs="Arial Narrow"/>
                <w:sz w:val="18"/>
                <w:szCs w:val="18"/>
              </w:rPr>
              <w:t>在线终端</w:t>
            </w:r>
            <w:r>
              <w:rPr>
                <w:rFonts w:cs="Arial Narrow"/>
                <w:sz w:val="18"/>
                <w:szCs w:val="18"/>
              </w:rPr>
              <w:t>会显示终端</w:t>
            </w:r>
            <w:r>
              <w:rPr>
                <w:rFonts w:hint="eastAsia" w:cs="Arial Narrow"/>
                <w:sz w:val="18"/>
                <w:szCs w:val="18"/>
              </w:rPr>
              <w:t>的系统版本</w:t>
            </w:r>
          </w:p>
        </w:tc>
      </w:tr>
      <w:tr w14:paraId="24E66A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18" w:type="dxa"/>
            <w:shd w:val="clear" w:color="auto" w:fill="auto"/>
          </w:tcPr>
          <w:p w14:paraId="741EE8D1">
            <w:pPr>
              <w:autoSpaceDE w:val="0"/>
              <w:autoSpaceDN w:val="0"/>
              <w:spacing w:before="80" w:after="80"/>
              <w:textAlignment w:val="bottom"/>
              <w:rPr>
                <w:rFonts w:cs="Arial Narrow"/>
                <w:sz w:val="18"/>
                <w:szCs w:val="18"/>
              </w:rPr>
            </w:pPr>
            <w:r>
              <w:rPr>
                <w:rFonts w:hint="eastAsia" w:cs="Arial Narrow"/>
                <w:sz w:val="18"/>
                <w:szCs w:val="18"/>
              </w:rPr>
              <w:t>系统补丁</w:t>
            </w:r>
          </w:p>
        </w:tc>
        <w:tc>
          <w:tcPr>
            <w:tcW w:w="6930" w:type="dxa"/>
            <w:shd w:val="clear" w:color="auto" w:fill="auto"/>
          </w:tcPr>
          <w:p w14:paraId="60D6A0DF">
            <w:pPr>
              <w:autoSpaceDE w:val="0"/>
              <w:autoSpaceDN w:val="0"/>
              <w:spacing w:before="80" w:after="80"/>
              <w:textAlignment w:val="bottom"/>
              <w:rPr>
                <w:rFonts w:cs="Arial Narrow"/>
                <w:sz w:val="18"/>
                <w:szCs w:val="18"/>
              </w:rPr>
            </w:pPr>
            <w:r>
              <w:rPr>
                <w:rFonts w:hint="eastAsia" w:cs="Arial Narrow"/>
                <w:sz w:val="18"/>
                <w:szCs w:val="18"/>
              </w:rPr>
              <w:t>客户</w:t>
            </w:r>
            <w:r>
              <w:rPr>
                <w:rFonts w:cs="Arial Narrow"/>
                <w:sz w:val="18"/>
                <w:szCs w:val="18"/>
              </w:rPr>
              <w:t>终端安装插件后上线</w:t>
            </w:r>
            <w:r>
              <w:rPr>
                <w:rFonts w:hint="eastAsia" w:cs="Arial Narrow"/>
                <w:sz w:val="18"/>
                <w:szCs w:val="18"/>
              </w:rPr>
              <w:t>后</w:t>
            </w:r>
            <w:r>
              <w:rPr>
                <w:rFonts w:cs="Arial Narrow"/>
                <w:sz w:val="18"/>
                <w:szCs w:val="18"/>
              </w:rPr>
              <w:t>，</w:t>
            </w:r>
            <w:r>
              <w:rPr>
                <w:rFonts w:hint="eastAsia" w:cs="Arial Narrow"/>
                <w:sz w:val="18"/>
                <w:szCs w:val="18"/>
              </w:rPr>
              <w:t>在线终端</w:t>
            </w:r>
            <w:r>
              <w:rPr>
                <w:rFonts w:cs="Arial Narrow"/>
                <w:sz w:val="18"/>
                <w:szCs w:val="18"/>
              </w:rPr>
              <w:t>会显示终端</w:t>
            </w:r>
            <w:r>
              <w:rPr>
                <w:rFonts w:hint="eastAsia" w:cs="Arial Narrow"/>
                <w:sz w:val="18"/>
                <w:szCs w:val="18"/>
              </w:rPr>
              <w:t>的系统补丁</w:t>
            </w:r>
          </w:p>
        </w:tc>
      </w:tr>
    </w:tbl>
    <w:p w14:paraId="3B3B3E81">
      <w:pPr>
        <w:rPr>
          <w:rFonts w:cs="Arial Narrow"/>
          <w:sz w:val="18"/>
          <w:szCs w:val="18"/>
        </w:rPr>
      </w:pPr>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283F5ED0">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4FBC0FA4">
            <w:pPr>
              <w:pStyle w:val="150"/>
              <w:adjustRightInd w:val="0"/>
              <w:snapToGrid w:val="0"/>
              <w:rPr>
                <w:color w:val="auto"/>
              </w:rPr>
            </w:pPr>
            <w:bookmarkStart w:id="9118" w:name="OLE_LINK88"/>
            <w:r>
              <w:rPr>
                <w:b/>
                <w:color w:val="auto"/>
              </w:rPr>
              <w:drawing>
                <wp:inline distT="0" distB="0" distL="0" distR="0">
                  <wp:extent cx="283210" cy="283210"/>
                  <wp:effectExtent l="0" t="0" r="2540" b="2540"/>
                  <wp:docPr id="947" name="图片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图片 94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7CB0DDF1">
            <w:pPr>
              <w:pStyle w:val="150"/>
              <w:adjustRightInd w:val="0"/>
              <w:snapToGrid w:val="0"/>
              <w:rPr>
                <w:color w:val="auto"/>
              </w:rPr>
            </w:pPr>
            <w:r>
              <w:rPr>
                <w:rFonts w:hint="eastAsia"/>
                <w:color w:val="auto"/>
              </w:rPr>
              <w:t>插件关闭后，比如关闭电脑，设备若超过3次获取不到心跳包（保活周期配置范围为60-7200秒，超时下线时间为保活周期3倍，若保活周期为60s，则每隔3分钟检查一次在线状态），则认为终端已不在线，才会从在线表中删除该终端的信息。</w:t>
            </w:r>
          </w:p>
        </w:tc>
      </w:tr>
      <w:bookmarkEnd w:id="9118"/>
    </w:tbl>
    <w:p w14:paraId="7B12AE77">
      <w:pPr>
        <w:rPr>
          <w:rFonts w:cs="Arial Narrow"/>
          <w:sz w:val="18"/>
          <w:szCs w:val="18"/>
        </w:rPr>
      </w:pPr>
    </w:p>
    <w:p w14:paraId="6AD9B646">
      <w:pPr>
        <w:pStyle w:val="5"/>
      </w:pPr>
      <w:bookmarkStart w:id="9119" w:name="_Toc174644781"/>
      <w:bookmarkStart w:id="9120" w:name="_Toc196728555"/>
      <w:bookmarkStart w:id="9121" w:name="_Toc194081227"/>
      <w:r>
        <w:rPr>
          <w:rFonts w:hint="eastAsia"/>
        </w:rPr>
        <w:t>终端合规状态</w:t>
      </w:r>
      <w:bookmarkEnd w:id="9119"/>
      <w:bookmarkEnd w:id="9120"/>
      <w:bookmarkEnd w:id="9121"/>
    </w:p>
    <w:p w14:paraId="3D328C59">
      <w:r>
        <w:rPr>
          <w:rFonts w:hint="eastAsia"/>
        </w:rPr>
        <w:t>在导航栏中选择“用户管理&gt;终端准入管理&gt;终端管理”，选择“终端合规状态”标签页进入终端合规状态</w:t>
      </w:r>
      <w:r>
        <w:t>页</w:t>
      </w:r>
      <w:r>
        <w:rPr>
          <w:rFonts w:hint="eastAsia"/>
        </w:rPr>
        <w:t>面</w:t>
      </w:r>
      <w:r>
        <w:t>，</w:t>
      </w:r>
      <w:r>
        <w:rPr>
          <w:rFonts w:hint="eastAsia"/>
        </w:rPr>
        <w:t>如下图所示。</w:t>
      </w:r>
    </w:p>
    <w:p w14:paraId="573F01FB">
      <w:pPr>
        <w:pStyle w:val="188"/>
      </w:pPr>
      <w:r>
        <w:rPr>
          <w:rFonts w:hint="eastAsia"/>
        </w:rPr>
        <w:t>终端合规状态页面</w:t>
      </w:r>
    </w:p>
    <w:p w14:paraId="273BD73F">
      <w:r>
        <w:drawing>
          <wp:inline distT="0" distB="0" distL="114300" distR="114300">
            <wp:extent cx="5882640" cy="523875"/>
            <wp:effectExtent l="0" t="0" r="3810" b="0"/>
            <wp:docPr id="72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图片 36"/>
                    <pic:cNvPicPr>
                      <a:picLocks noChangeAspect="1"/>
                    </pic:cNvPicPr>
                  </pic:nvPicPr>
                  <pic:blipFill>
                    <a:blip r:embed="rId1193"/>
                    <a:srcRect r="16052" b="39597"/>
                    <a:stretch>
                      <a:fillRect/>
                    </a:stretch>
                  </pic:blipFill>
                  <pic:spPr>
                    <a:xfrm>
                      <a:off x="0" y="0"/>
                      <a:ext cx="5891504" cy="524661"/>
                    </a:xfrm>
                    <a:prstGeom prst="rect">
                      <a:avLst/>
                    </a:prstGeom>
                    <a:noFill/>
                    <a:ln>
                      <a:noFill/>
                    </a:ln>
                  </pic:spPr>
                </pic:pic>
              </a:graphicData>
            </a:graphic>
          </wp:inline>
        </w:drawing>
      </w:r>
    </w:p>
    <w:p w14:paraId="3DBD564A"/>
    <w:p w14:paraId="23A43CE3">
      <w:pPr>
        <w:pStyle w:val="183"/>
      </w:pPr>
      <w:r>
        <w:rPr>
          <w:rFonts w:hint="eastAsia"/>
        </w:rPr>
        <w:t>相关配置说明</w:t>
      </w:r>
    </w:p>
    <w:tbl>
      <w:tblPr>
        <w:tblStyle w:val="173"/>
        <w:tblW w:w="844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518"/>
        <w:gridCol w:w="6930"/>
      </w:tblGrid>
      <w:tr w14:paraId="6AB4E3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18" w:type="dxa"/>
            <w:tcBorders>
              <w:tl2br w:val="nil"/>
              <w:tr2bl w:val="nil"/>
            </w:tcBorders>
            <w:shd w:val="clear" w:color="auto" w:fill="538135" w:themeFill="accent6" w:themeFillShade="BF"/>
            <w:vAlign w:val="center"/>
          </w:tcPr>
          <w:p w14:paraId="6EC0886F">
            <w:pPr>
              <w:pStyle w:val="149"/>
              <w:wordWrap/>
              <w:rPr>
                <w:b/>
                <w:bCs/>
                <w:i w:val="0"/>
                <w:iCs w:val="0"/>
              </w:rPr>
            </w:pPr>
            <w:r>
              <w:rPr>
                <w:rFonts w:hint="eastAsia"/>
                <w:b/>
                <w:bCs/>
                <w:i w:val="0"/>
                <w:iCs w:val="0"/>
              </w:rPr>
              <w:t>项目</w:t>
            </w:r>
          </w:p>
        </w:tc>
        <w:tc>
          <w:tcPr>
            <w:tcW w:w="6930" w:type="dxa"/>
            <w:tcBorders>
              <w:tl2br w:val="nil"/>
              <w:tr2bl w:val="nil"/>
            </w:tcBorders>
            <w:shd w:val="clear" w:color="auto" w:fill="538135" w:themeFill="accent6" w:themeFillShade="BF"/>
            <w:vAlign w:val="center"/>
          </w:tcPr>
          <w:p w14:paraId="6B3EFE76">
            <w:pPr>
              <w:pStyle w:val="149"/>
              <w:wordWrap/>
              <w:rPr>
                <w:b/>
                <w:bCs/>
                <w:i w:val="0"/>
                <w:iCs w:val="0"/>
              </w:rPr>
            </w:pPr>
            <w:r>
              <w:rPr>
                <w:rFonts w:hint="eastAsia"/>
                <w:b/>
                <w:bCs/>
                <w:i w:val="0"/>
                <w:iCs w:val="0"/>
              </w:rPr>
              <w:t>说明</w:t>
            </w:r>
          </w:p>
        </w:tc>
      </w:tr>
      <w:tr w14:paraId="121FCFC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18" w:type="dxa"/>
            <w:shd w:val="clear" w:color="auto" w:fill="auto"/>
          </w:tcPr>
          <w:p w14:paraId="388FA34A">
            <w:pPr>
              <w:pStyle w:val="150"/>
            </w:pPr>
            <w:r>
              <w:rPr>
                <w:rFonts w:hint="eastAsia"/>
              </w:rPr>
              <w:t>检测时间</w:t>
            </w:r>
          </w:p>
        </w:tc>
        <w:tc>
          <w:tcPr>
            <w:tcW w:w="6930" w:type="dxa"/>
            <w:shd w:val="clear" w:color="auto" w:fill="auto"/>
          </w:tcPr>
          <w:p w14:paraId="79782B3E">
            <w:pPr>
              <w:pStyle w:val="150"/>
            </w:pPr>
            <w:r>
              <w:rPr>
                <w:rFonts w:hint="eastAsia"/>
              </w:rPr>
              <w:t>终端检测时间</w:t>
            </w:r>
          </w:p>
        </w:tc>
      </w:tr>
      <w:tr w14:paraId="74D61F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18" w:type="dxa"/>
            <w:shd w:val="clear" w:color="auto" w:fill="auto"/>
          </w:tcPr>
          <w:p w14:paraId="6973C310">
            <w:pPr>
              <w:pStyle w:val="150"/>
            </w:pPr>
            <w:r>
              <w:rPr>
                <w:rFonts w:hint="eastAsia"/>
              </w:rPr>
              <w:t>用户名</w:t>
            </w:r>
          </w:p>
        </w:tc>
        <w:tc>
          <w:tcPr>
            <w:tcW w:w="6930" w:type="dxa"/>
            <w:shd w:val="clear" w:color="auto" w:fill="auto"/>
          </w:tcPr>
          <w:p w14:paraId="190F239E">
            <w:pPr>
              <w:pStyle w:val="150"/>
            </w:pPr>
            <w:r>
              <w:rPr>
                <w:rFonts w:hint="eastAsia"/>
              </w:rPr>
              <w:t>终端在设备上线用户名信息</w:t>
            </w:r>
          </w:p>
        </w:tc>
      </w:tr>
      <w:tr w14:paraId="72DA48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18" w:type="dxa"/>
            <w:shd w:val="clear" w:color="auto" w:fill="auto"/>
          </w:tcPr>
          <w:p w14:paraId="55953014">
            <w:pPr>
              <w:pStyle w:val="150"/>
            </w:pPr>
            <w:r>
              <w:rPr>
                <w:rFonts w:hint="eastAsia"/>
              </w:rPr>
              <w:t>用户组</w:t>
            </w:r>
          </w:p>
        </w:tc>
        <w:tc>
          <w:tcPr>
            <w:tcW w:w="6930" w:type="dxa"/>
            <w:shd w:val="clear" w:color="auto" w:fill="auto"/>
          </w:tcPr>
          <w:p w14:paraId="57625817">
            <w:pPr>
              <w:pStyle w:val="150"/>
            </w:pPr>
            <w:r>
              <w:rPr>
                <w:rFonts w:hint="eastAsia"/>
              </w:rPr>
              <w:t>终端在设备上线用户组信息</w:t>
            </w:r>
          </w:p>
        </w:tc>
      </w:tr>
      <w:tr w14:paraId="6986FC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18" w:type="dxa"/>
            <w:shd w:val="clear" w:color="auto" w:fill="auto"/>
          </w:tcPr>
          <w:p w14:paraId="3B209C35">
            <w:pPr>
              <w:pStyle w:val="150"/>
            </w:pPr>
            <w:r>
              <w:rPr>
                <w:rFonts w:hint="eastAsia"/>
              </w:rPr>
              <w:t>用户IP</w:t>
            </w:r>
          </w:p>
        </w:tc>
        <w:tc>
          <w:tcPr>
            <w:tcW w:w="6930" w:type="dxa"/>
            <w:shd w:val="clear" w:color="auto" w:fill="auto"/>
          </w:tcPr>
          <w:p w14:paraId="6D1569C1">
            <w:pPr>
              <w:pStyle w:val="150"/>
            </w:pPr>
            <w:r>
              <w:t>终端的</w:t>
            </w:r>
            <w:r>
              <w:rPr>
                <w:rFonts w:hint="eastAsia"/>
              </w:rPr>
              <w:t>IP地址信息</w:t>
            </w:r>
          </w:p>
        </w:tc>
      </w:tr>
      <w:tr w14:paraId="64EF71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18" w:type="dxa"/>
            <w:shd w:val="clear" w:color="auto" w:fill="auto"/>
          </w:tcPr>
          <w:p w14:paraId="7A8E262D">
            <w:pPr>
              <w:pStyle w:val="150"/>
            </w:pPr>
            <w:r>
              <w:rPr>
                <w:rFonts w:hint="eastAsia"/>
              </w:rPr>
              <w:t>用户MAC</w:t>
            </w:r>
          </w:p>
        </w:tc>
        <w:tc>
          <w:tcPr>
            <w:tcW w:w="6930" w:type="dxa"/>
            <w:shd w:val="clear" w:color="auto" w:fill="auto"/>
          </w:tcPr>
          <w:p w14:paraId="3A5B8AFA">
            <w:pPr>
              <w:pStyle w:val="150"/>
            </w:pPr>
            <w:r>
              <w:t>终端的</w:t>
            </w:r>
            <w:r>
              <w:rPr>
                <w:rFonts w:hint="eastAsia"/>
              </w:rPr>
              <w:t>MAC地址信息</w:t>
            </w:r>
          </w:p>
        </w:tc>
      </w:tr>
      <w:tr w14:paraId="2625BE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18" w:type="dxa"/>
            <w:shd w:val="clear" w:color="auto" w:fill="auto"/>
          </w:tcPr>
          <w:p w14:paraId="50EC109E">
            <w:pPr>
              <w:pStyle w:val="150"/>
            </w:pPr>
            <w:r>
              <w:rPr>
                <w:rFonts w:hint="eastAsia"/>
              </w:rPr>
              <w:t>规则类型</w:t>
            </w:r>
          </w:p>
        </w:tc>
        <w:tc>
          <w:tcPr>
            <w:tcW w:w="6930" w:type="dxa"/>
            <w:shd w:val="clear" w:color="auto" w:fill="auto"/>
          </w:tcPr>
          <w:p w14:paraId="0B4661E1">
            <w:pPr>
              <w:pStyle w:val="150"/>
            </w:pPr>
            <w:r>
              <w:rPr>
                <w:rFonts w:hint="eastAsia"/>
              </w:rPr>
              <w:t>规则类型信息</w:t>
            </w:r>
          </w:p>
        </w:tc>
      </w:tr>
      <w:tr w14:paraId="0D3288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18" w:type="dxa"/>
            <w:shd w:val="clear" w:color="auto" w:fill="auto"/>
          </w:tcPr>
          <w:p w14:paraId="1108D13F">
            <w:pPr>
              <w:pStyle w:val="150"/>
            </w:pPr>
            <w:r>
              <w:rPr>
                <w:rFonts w:hint="eastAsia"/>
              </w:rPr>
              <w:t>检测结果</w:t>
            </w:r>
          </w:p>
        </w:tc>
        <w:tc>
          <w:tcPr>
            <w:tcW w:w="6930" w:type="dxa"/>
            <w:shd w:val="clear" w:color="auto" w:fill="auto"/>
          </w:tcPr>
          <w:p w14:paraId="1A501496">
            <w:pPr>
              <w:pStyle w:val="150"/>
            </w:pPr>
            <w:r>
              <w:rPr>
                <w:rFonts w:hint="eastAsia"/>
              </w:rPr>
              <w:t>检测结果信息</w:t>
            </w:r>
          </w:p>
        </w:tc>
      </w:tr>
      <w:tr w14:paraId="01D313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18" w:type="dxa"/>
            <w:shd w:val="clear" w:color="auto" w:fill="auto"/>
          </w:tcPr>
          <w:p w14:paraId="66BAA131">
            <w:pPr>
              <w:pStyle w:val="150"/>
            </w:pPr>
            <w:r>
              <w:rPr>
                <w:rFonts w:hint="eastAsia"/>
              </w:rPr>
              <w:t>详情</w:t>
            </w:r>
          </w:p>
        </w:tc>
        <w:tc>
          <w:tcPr>
            <w:tcW w:w="6930" w:type="dxa"/>
            <w:shd w:val="clear" w:color="auto" w:fill="auto"/>
          </w:tcPr>
          <w:p w14:paraId="20C6B323">
            <w:pPr>
              <w:pStyle w:val="150"/>
            </w:pPr>
            <w:r>
              <w:rPr>
                <w:rFonts w:hint="eastAsia"/>
              </w:rPr>
              <w:t>检测详细信息</w:t>
            </w:r>
          </w:p>
        </w:tc>
      </w:tr>
    </w:tbl>
    <w:p w14:paraId="199F9115">
      <w:pPr>
        <w:rPr>
          <w:rFonts w:cs="Arial Narrow"/>
          <w:sz w:val="18"/>
          <w:szCs w:val="18"/>
        </w:rPr>
      </w:pPr>
    </w:p>
    <w:p w14:paraId="198D90F9">
      <w:pPr>
        <w:pStyle w:val="5"/>
      </w:pPr>
      <w:bookmarkStart w:id="9122" w:name="_Toc196728556"/>
      <w:bookmarkStart w:id="9123" w:name="_Toc194081228"/>
      <w:bookmarkStart w:id="9124" w:name="_Toc174644782"/>
      <w:r>
        <w:rPr>
          <w:rFonts w:hint="eastAsia"/>
        </w:rPr>
        <w:t>授权码列表</w:t>
      </w:r>
      <w:bookmarkEnd w:id="9122"/>
      <w:bookmarkEnd w:id="9123"/>
      <w:bookmarkEnd w:id="9124"/>
    </w:p>
    <w:p w14:paraId="66FF6FBB">
      <w:r>
        <w:rPr>
          <w:rFonts w:hint="eastAsia"/>
        </w:rPr>
        <w:t>在导航栏中选择“用户管理&gt;终端准入管理&gt;终端管理”，选择“授权码列表”标签页进入授权码列表</w:t>
      </w:r>
      <w:r>
        <w:t>页</w:t>
      </w:r>
      <w:r>
        <w:rPr>
          <w:rFonts w:hint="eastAsia"/>
        </w:rPr>
        <w:t>面</w:t>
      </w:r>
      <w:r>
        <w:t>，</w:t>
      </w:r>
      <w:r>
        <w:rPr>
          <w:rFonts w:hint="eastAsia"/>
        </w:rPr>
        <w:t>如下图所示。</w:t>
      </w:r>
    </w:p>
    <w:p w14:paraId="706E3983">
      <w:pPr>
        <w:pStyle w:val="188"/>
      </w:pPr>
      <w:r>
        <w:rPr>
          <w:rFonts w:hint="eastAsia"/>
        </w:rPr>
        <w:t>授权码列表页面</w:t>
      </w:r>
    </w:p>
    <w:p w14:paraId="4FA15BF6">
      <w:r>
        <w:drawing>
          <wp:inline distT="0" distB="0" distL="0" distR="0">
            <wp:extent cx="4648200" cy="975995"/>
            <wp:effectExtent l="0" t="0" r="0" b="0"/>
            <wp:docPr id="733" name="图片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图片 733"/>
                    <pic:cNvPicPr>
                      <a:picLocks noChangeAspect="1"/>
                    </pic:cNvPicPr>
                  </pic:nvPicPr>
                  <pic:blipFill>
                    <a:blip r:embed="rId1194"/>
                    <a:stretch>
                      <a:fillRect/>
                    </a:stretch>
                  </pic:blipFill>
                  <pic:spPr>
                    <a:xfrm>
                      <a:off x="0" y="0"/>
                      <a:ext cx="4661083" cy="979001"/>
                    </a:xfrm>
                    <a:prstGeom prst="rect">
                      <a:avLst/>
                    </a:prstGeom>
                  </pic:spPr>
                </pic:pic>
              </a:graphicData>
            </a:graphic>
          </wp:inline>
        </w:drawing>
      </w:r>
    </w:p>
    <w:p w14:paraId="7C51D27E"/>
    <w:p w14:paraId="6A051BB7">
      <w:pPr>
        <w:pStyle w:val="183"/>
      </w:pPr>
      <w:r>
        <w:rPr>
          <w:rFonts w:hint="eastAsia"/>
        </w:rPr>
        <w:t>相关配置说明</w:t>
      </w:r>
    </w:p>
    <w:tbl>
      <w:tblPr>
        <w:tblStyle w:val="173"/>
        <w:tblW w:w="844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518"/>
        <w:gridCol w:w="6930"/>
      </w:tblGrid>
      <w:tr w14:paraId="7A8D3F4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20" w:hRule="atLeast"/>
        </w:trPr>
        <w:tc>
          <w:tcPr>
            <w:tcW w:w="1518" w:type="dxa"/>
            <w:tcBorders>
              <w:tl2br w:val="nil"/>
              <w:tr2bl w:val="nil"/>
            </w:tcBorders>
            <w:shd w:val="clear" w:color="auto" w:fill="538135" w:themeFill="accent6" w:themeFillShade="BF"/>
            <w:vAlign w:val="center"/>
          </w:tcPr>
          <w:p w14:paraId="610523B4">
            <w:pPr>
              <w:pStyle w:val="149"/>
              <w:wordWrap/>
              <w:rPr>
                <w:b/>
                <w:bCs/>
                <w:i w:val="0"/>
                <w:iCs w:val="0"/>
              </w:rPr>
            </w:pPr>
            <w:r>
              <w:rPr>
                <w:rFonts w:hint="eastAsia"/>
                <w:b/>
                <w:bCs/>
                <w:i w:val="0"/>
                <w:iCs w:val="0"/>
              </w:rPr>
              <w:t>项目</w:t>
            </w:r>
          </w:p>
        </w:tc>
        <w:tc>
          <w:tcPr>
            <w:tcW w:w="6930" w:type="dxa"/>
            <w:tcBorders>
              <w:tl2br w:val="nil"/>
              <w:tr2bl w:val="nil"/>
            </w:tcBorders>
            <w:shd w:val="clear" w:color="auto" w:fill="538135" w:themeFill="accent6" w:themeFillShade="BF"/>
            <w:vAlign w:val="center"/>
          </w:tcPr>
          <w:p w14:paraId="1D37A3A2">
            <w:pPr>
              <w:pStyle w:val="149"/>
              <w:wordWrap/>
              <w:rPr>
                <w:b/>
                <w:bCs/>
                <w:i w:val="0"/>
                <w:iCs w:val="0"/>
              </w:rPr>
            </w:pPr>
            <w:r>
              <w:rPr>
                <w:rFonts w:hint="eastAsia"/>
                <w:b/>
                <w:bCs/>
                <w:i w:val="0"/>
                <w:iCs w:val="0"/>
              </w:rPr>
              <w:t>说明</w:t>
            </w:r>
          </w:p>
        </w:tc>
      </w:tr>
      <w:tr w14:paraId="072717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18" w:type="dxa"/>
            <w:shd w:val="clear" w:color="auto" w:fill="auto"/>
          </w:tcPr>
          <w:p w14:paraId="17C0DD23">
            <w:pPr>
              <w:pStyle w:val="150"/>
            </w:pPr>
            <w:r>
              <w:rPr>
                <w:rFonts w:hint="eastAsia"/>
              </w:rPr>
              <w:t>IP</w:t>
            </w:r>
          </w:p>
        </w:tc>
        <w:tc>
          <w:tcPr>
            <w:tcW w:w="6930" w:type="dxa"/>
            <w:shd w:val="clear" w:color="auto" w:fill="auto"/>
          </w:tcPr>
          <w:p w14:paraId="5CF03B7D">
            <w:pPr>
              <w:pStyle w:val="150"/>
            </w:pPr>
            <w:r>
              <w:rPr>
                <w:rFonts w:hint="eastAsia"/>
              </w:rPr>
              <w:t>终端上线IP地址</w:t>
            </w:r>
          </w:p>
        </w:tc>
      </w:tr>
      <w:tr w14:paraId="5968B62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18" w:type="dxa"/>
            <w:shd w:val="clear" w:color="auto" w:fill="auto"/>
          </w:tcPr>
          <w:p w14:paraId="01CEDAEA">
            <w:pPr>
              <w:pStyle w:val="150"/>
            </w:pPr>
            <w:r>
              <w:rPr>
                <w:rFonts w:hint="eastAsia"/>
              </w:rPr>
              <w:t>机器码</w:t>
            </w:r>
          </w:p>
        </w:tc>
        <w:tc>
          <w:tcPr>
            <w:tcW w:w="6930" w:type="dxa"/>
            <w:shd w:val="clear" w:color="auto" w:fill="auto"/>
          </w:tcPr>
          <w:p w14:paraId="77B0EC5D">
            <w:pPr>
              <w:pStyle w:val="150"/>
            </w:pPr>
            <w:r>
              <w:rPr>
                <w:rFonts w:hint="eastAsia"/>
              </w:rPr>
              <w:t>终端机器码信息</w:t>
            </w:r>
          </w:p>
        </w:tc>
      </w:tr>
      <w:tr w14:paraId="7818D7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18" w:type="dxa"/>
            <w:shd w:val="clear" w:color="auto" w:fill="auto"/>
          </w:tcPr>
          <w:p w14:paraId="2121E000">
            <w:pPr>
              <w:pStyle w:val="150"/>
            </w:pPr>
            <w:r>
              <w:rPr>
                <w:rFonts w:hint="eastAsia"/>
              </w:rPr>
              <w:t>上线时间</w:t>
            </w:r>
          </w:p>
        </w:tc>
        <w:tc>
          <w:tcPr>
            <w:tcW w:w="6930" w:type="dxa"/>
            <w:shd w:val="clear" w:color="auto" w:fill="auto"/>
          </w:tcPr>
          <w:p w14:paraId="2B9B18F2">
            <w:pPr>
              <w:pStyle w:val="150"/>
            </w:pPr>
            <w:r>
              <w:rPr>
                <w:rFonts w:hint="eastAsia"/>
              </w:rPr>
              <w:t>终端上线时间</w:t>
            </w:r>
          </w:p>
        </w:tc>
      </w:tr>
    </w:tbl>
    <w:p w14:paraId="6C121BAE">
      <w:pPr>
        <w:jc w:val="left"/>
      </w:pPr>
      <w:r>
        <w:br w:type="page"/>
      </w:r>
    </w:p>
    <w:bookmarkEnd w:id="984"/>
    <w:bookmarkEnd w:id="985"/>
    <w:bookmarkEnd w:id="986"/>
    <w:bookmarkEnd w:id="987"/>
    <w:bookmarkEnd w:id="988"/>
    <w:bookmarkEnd w:id="989"/>
    <w:bookmarkEnd w:id="990"/>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bookmarkEnd w:id="6027"/>
    <w:bookmarkEnd w:id="6028"/>
    <w:bookmarkEnd w:id="9082"/>
    <w:bookmarkEnd w:id="9083"/>
    <w:bookmarkEnd w:id="9084"/>
    <w:bookmarkEnd w:id="9085"/>
    <w:bookmarkEnd w:id="9086"/>
    <w:bookmarkEnd w:id="9087"/>
    <w:p w14:paraId="0DBCCBF0">
      <w:pPr>
        <w:pStyle w:val="3"/>
      </w:pPr>
      <w:bookmarkStart w:id="9125" w:name="_Toc4578445"/>
      <w:bookmarkEnd w:id="9125"/>
      <w:bookmarkStart w:id="9126" w:name="_Toc27488260"/>
      <w:bookmarkEnd w:id="9126"/>
      <w:bookmarkStart w:id="9127" w:name="_Toc4578444"/>
      <w:bookmarkEnd w:id="9127"/>
      <w:bookmarkStart w:id="9128" w:name="_Toc4147037"/>
      <w:bookmarkEnd w:id="9128"/>
      <w:bookmarkStart w:id="9129" w:name="_Toc4577487"/>
      <w:bookmarkEnd w:id="9129"/>
      <w:bookmarkStart w:id="9130" w:name="_Toc496876982"/>
      <w:bookmarkEnd w:id="9130"/>
      <w:bookmarkStart w:id="9131" w:name="_Toc4577485"/>
      <w:bookmarkEnd w:id="9131"/>
      <w:bookmarkStart w:id="9132" w:name="_Toc4577484"/>
      <w:bookmarkEnd w:id="9132"/>
      <w:bookmarkStart w:id="9133" w:name="_Toc4147039"/>
      <w:bookmarkEnd w:id="9133"/>
      <w:bookmarkStart w:id="9134" w:name="_Toc4578454"/>
      <w:bookmarkEnd w:id="9134"/>
      <w:bookmarkStart w:id="9135" w:name="_Toc27215368"/>
      <w:bookmarkEnd w:id="9135"/>
      <w:bookmarkStart w:id="9136" w:name="_Toc4147035"/>
      <w:bookmarkEnd w:id="9136"/>
      <w:bookmarkStart w:id="9137" w:name="_Toc4578443"/>
      <w:bookmarkEnd w:id="9137"/>
      <w:bookmarkStart w:id="9138" w:name="_Toc4578446"/>
      <w:bookmarkEnd w:id="9138"/>
      <w:bookmarkStart w:id="9139" w:name="_Toc4147040"/>
      <w:bookmarkEnd w:id="9139"/>
      <w:bookmarkStart w:id="9140" w:name="_Toc4578447"/>
      <w:bookmarkEnd w:id="9140"/>
      <w:bookmarkStart w:id="9141" w:name="_Toc4147047"/>
      <w:bookmarkEnd w:id="9141"/>
      <w:bookmarkStart w:id="9142" w:name="_IPv4审计策略"/>
      <w:bookmarkEnd w:id="9142"/>
      <w:bookmarkStart w:id="9143" w:name="_Toc4577486"/>
      <w:bookmarkEnd w:id="9143"/>
      <w:bookmarkStart w:id="9144" w:name="_Toc4578440"/>
      <w:bookmarkEnd w:id="9144"/>
      <w:bookmarkStart w:id="9145" w:name="_Toc4147034"/>
      <w:bookmarkEnd w:id="9145"/>
      <w:bookmarkStart w:id="9146" w:name="_Toc4147038"/>
      <w:bookmarkEnd w:id="9146"/>
      <w:bookmarkStart w:id="9147" w:name="_Toc4577494"/>
      <w:bookmarkEnd w:id="9147"/>
      <w:bookmarkStart w:id="9148" w:name="_Toc4578441"/>
      <w:bookmarkEnd w:id="9148"/>
      <w:bookmarkStart w:id="9149" w:name="_Toc4578442"/>
      <w:bookmarkEnd w:id="9149"/>
      <w:bookmarkStart w:id="9150" w:name="_Toc27215363"/>
      <w:bookmarkEnd w:id="9150"/>
      <w:bookmarkStart w:id="9151" w:name="应用控制"/>
      <w:bookmarkEnd w:id="9151"/>
      <w:bookmarkStart w:id="9152" w:name="_Toc4577480"/>
      <w:bookmarkEnd w:id="9152"/>
      <w:bookmarkStart w:id="9153" w:name="_Toc4577481"/>
      <w:bookmarkEnd w:id="9153"/>
      <w:bookmarkStart w:id="9154" w:name="_Toc4577482"/>
      <w:bookmarkEnd w:id="9154"/>
      <w:bookmarkStart w:id="9155" w:name="_Toc4577483"/>
      <w:bookmarkEnd w:id="9155"/>
      <w:bookmarkStart w:id="9156" w:name="_Toc4147036"/>
      <w:bookmarkEnd w:id="9156"/>
      <w:bookmarkStart w:id="9157" w:name="_Toc4146116"/>
      <w:bookmarkEnd w:id="9157"/>
      <w:bookmarkStart w:id="9158" w:name="_Toc4577523"/>
      <w:bookmarkEnd w:id="9158"/>
      <w:bookmarkStart w:id="9159" w:name="_Toc4576565"/>
      <w:bookmarkEnd w:id="9159"/>
      <w:bookmarkStart w:id="9160" w:name="_Toc4577525"/>
      <w:bookmarkEnd w:id="9160"/>
      <w:bookmarkStart w:id="9161" w:name="_Toc4146119"/>
      <w:bookmarkEnd w:id="9161"/>
      <w:bookmarkStart w:id="9162" w:name="_Toc4146115"/>
      <w:bookmarkEnd w:id="9162"/>
      <w:bookmarkStart w:id="9163" w:name="_Toc4577522"/>
      <w:bookmarkEnd w:id="9163"/>
      <w:bookmarkStart w:id="9164" w:name="_Toc4576563"/>
      <w:bookmarkEnd w:id="9164"/>
      <w:bookmarkStart w:id="9165" w:name="_Toc4576564"/>
      <w:bookmarkEnd w:id="9165"/>
      <w:bookmarkStart w:id="9166" w:name="_Toc4146117"/>
      <w:bookmarkEnd w:id="9166"/>
      <w:bookmarkStart w:id="9167" w:name="_Toc4577524"/>
      <w:bookmarkEnd w:id="9167"/>
      <w:bookmarkStart w:id="9168" w:name="_Toc4576562"/>
      <w:bookmarkEnd w:id="9168"/>
      <w:bookmarkStart w:id="9169" w:name="_Toc4146118"/>
      <w:bookmarkEnd w:id="9169"/>
      <w:bookmarkStart w:id="9170" w:name="_Toc4576590"/>
      <w:bookmarkEnd w:id="9170"/>
      <w:bookmarkStart w:id="9171" w:name="_Toc4577554"/>
      <w:bookmarkEnd w:id="9171"/>
      <w:bookmarkStart w:id="9172" w:name="_Toc4576597"/>
      <w:bookmarkEnd w:id="9172"/>
      <w:bookmarkStart w:id="9173" w:name="_Toc4146143"/>
      <w:bookmarkEnd w:id="9173"/>
      <w:bookmarkStart w:id="9174" w:name="_Toc4146151"/>
      <w:bookmarkEnd w:id="9174"/>
      <w:bookmarkStart w:id="9175" w:name="_Toc4577550"/>
      <w:bookmarkEnd w:id="9175"/>
      <w:bookmarkStart w:id="9176" w:name="_Toc4576598"/>
      <w:bookmarkEnd w:id="9176"/>
      <w:bookmarkStart w:id="9177" w:name="_Toc4146145"/>
      <w:bookmarkEnd w:id="9177"/>
      <w:bookmarkStart w:id="9178" w:name="_Toc4576594"/>
      <w:bookmarkEnd w:id="9178"/>
      <w:bookmarkStart w:id="9179" w:name="_Toc4576567"/>
      <w:bookmarkEnd w:id="9179"/>
      <w:bookmarkStart w:id="9180" w:name="_Toc4577558"/>
      <w:bookmarkEnd w:id="9180"/>
      <w:bookmarkStart w:id="9181" w:name="_Toc4577528"/>
      <w:bookmarkEnd w:id="9181"/>
      <w:bookmarkStart w:id="9182" w:name="_Toc4576592"/>
      <w:bookmarkEnd w:id="9182"/>
      <w:bookmarkStart w:id="9183" w:name="_Toc4146120"/>
      <w:bookmarkEnd w:id="9183"/>
      <w:bookmarkStart w:id="9184" w:name="_Toc4577551"/>
      <w:bookmarkEnd w:id="9184"/>
      <w:bookmarkStart w:id="9185" w:name="_Toc4146121"/>
      <w:bookmarkEnd w:id="9185"/>
      <w:bookmarkStart w:id="9186" w:name="_Toc4577552"/>
      <w:bookmarkEnd w:id="9186"/>
      <w:bookmarkStart w:id="9187" w:name="_Toc4577553"/>
      <w:bookmarkEnd w:id="9187"/>
      <w:bookmarkStart w:id="9188" w:name="_Toc4146146"/>
      <w:bookmarkEnd w:id="9188"/>
      <w:bookmarkStart w:id="9189" w:name="_Toc4146147"/>
      <w:bookmarkEnd w:id="9189"/>
      <w:bookmarkStart w:id="9190" w:name="_Toc4146148"/>
      <w:bookmarkEnd w:id="9190"/>
      <w:bookmarkStart w:id="9191" w:name="_Toc4576591"/>
      <w:bookmarkEnd w:id="9191"/>
      <w:bookmarkStart w:id="9192" w:name="_Toc4577527"/>
      <w:bookmarkEnd w:id="9192"/>
      <w:bookmarkStart w:id="9193" w:name="_Toc4576595"/>
      <w:bookmarkEnd w:id="9193"/>
      <w:bookmarkStart w:id="9194" w:name="_Toc4146150"/>
      <w:bookmarkEnd w:id="9194"/>
      <w:bookmarkStart w:id="9195" w:name="_Toc4577526"/>
      <w:bookmarkEnd w:id="9195"/>
      <w:bookmarkStart w:id="9196" w:name="_Toc4576568"/>
      <w:bookmarkEnd w:id="9196"/>
      <w:bookmarkStart w:id="9197" w:name="_Toc4576566"/>
      <w:bookmarkEnd w:id="9197"/>
      <w:bookmarkStart w:id="9198" w:name="_Toc4576593"/>
      <w:bookmarkEnd w:id="9198"/>
      <w:bookmarkStart w:id="9199" w:name="_Toc4146144"/>
      <w:bookmarkEnd w:id="9199"/>
      <w:bookmarkStart w:id="9200" w:name="_Toc4577555"/>
      <w:bookmarkEnd w:id="9200"/>
      <w:bookmarkStart w:id="9201" w:name="_Toc4577557"/>
      <w:bookmarkEnd w:id="9201"/>
      <w:bookmarkStart w:id="9202" w:name="_Toc4577563"/>
      <w:bookmarkEnd w:id="9202"/>
      <w:bookmarkStart w:id="9203" w:name="_Toc4577588"/>
      <w:bookmarkEnd w:id="9203"/>
      <w:bookmarkStart w:id="9204" w:name="_Toc4577589"/>
      <w:bookmarkEnd w:id="9204"/>
      <w:bookmarkStart w:id="9205" w:name="_Toc4576603"/>
      <w:bookmarkEnd w:id="9205"/>
      <w:bookmarkStart w:id="9206" w:name="_Toc4576629"/>
      <w:bookmarkEnd w:id="9206"/>
      <w:bookmarkStart w:id="9207" w:name="_Toc4146157"/>
      <w:bookmarkEnd w:id="9207"/>
      <w:bookmarkStart w:id="9208" w:name="_Toc4146182"/>
      <w:bookmarkEnd w:id="9208"/>
      <w:bookmarkStart w:id="9209" w:name="_Toc4576605"/>
      <w:bookmarkEnd w:id="9209"/>
      <w:bookmarkStart w:id="9210" w:name="_Toc4146183"/>
      <w:bookmarkEnd w:id="9210"/>
      <w:bookmarkStart w:id="9211" w:name="_Toc4577561"/>
      <w:bookmarkEnd w:id="9211"/>
      <w:bookmarkStart w:id="9212" w:name="_Toc4576630"/>
      <w:bookmarkEnd w:id="9212"/>
      <w:bookmarkStart w:id="9213" w:name="_Toc4146156"/>
      <w:bookmarkEnd w:id="9213"/>
      <w:bookmarkStart w:id="9214" w:name="_Toc4577565"/>
      <w:bookmarkEnd w:id="9214"/>
      <w:bookmarkStart w:id="9215" w:name="_Toc4576601"/>
      <w:bookmarkEnd w:id="9215"/>
      <w:bookmarkStart w:id="9216" w:name="_Toc4146158"/>
      <w:bookmarkEnd w:id="9216"/>
      <w:bookmarkStart w:id="9217" w:name="_Toc4576602"/>
      <w:bookmarkEnd w:id="9217"/>
      <w:bookmarkStart w:id="9218" w:name="_Toc4146159"/>
      <w:bookmarkEnd w:id="9218"/>
      <w:bookmarkStart w:id="9219" w:name="_Toc4146181"/>
      <w:bookmarkEnd w:id="9219"/>
      <w:bookmarkStart w:id="9220" w:name="_Toc4576606"/>
      <w:bookmarkEnd w:id="9220"/>
      <w:bookmarkStart w:id="9221" w:name="_Toc4146152"/>
      <w:bookmarkEnd w:id="9221"/>
      <w:bookmarkStart w:id="9222" w:name="_Toc4577559"/>
      <w:bookmarkEnd w:id="9222"/>
      <w:bookmarkStart w:id="9223" w:name="_Toc4146153"/>
      <w:bookmarkEnd w:id="9223"/>
      <w:bookmarkStart w:id="9224" w:name="_Toc4576600"/>
      <w:bookmarkEnd w:id="9224"/>
      <w:bookmarkStart w:id="9225" w:name="_Toc4146155"/>
      <w:bookmarkEnd w:id="9225"/>
      <w:bookmarkStart w:id="9226" w:name="_Toc4577564"/>
      <w:bookmarkEnd w:id="9226"/>
      <w:bookmarkStart w:id="9227" w:name="_Toc4146154"/>
      <w:bookmarkEnd w:id="9227"/>
      <w:bookmarkStart w:id="9228" w:name="_Toc4577562"/>
      <w:bookmarkEnd w:id="9228"/>
      <w:bookmarkStart w:id="9229" w:name="_Toc4576599"/>
      <w:bookmarkEnd w:id="9229"/>
      <w:bookmarkStart w:id="9230" w:name="_Toc4577560"/>
      <w:bookmarkEnd w:id="9230"/>
      <w:bookmarkStart w:id="9231" w:name="_Toc4576604"/>
      <w:bookmarkEnd w:id="9231"/>
      <w:bookmarkStart w:id="9232" w:name="_Toc4577566"/>
      <w:bookmarkEnd w:id="9232"/>
      <w:bookmarkStart w:id="9233" w:name="_Toc4576628"/>
      <w:bookmarkEnd w:id="9233"/>
      <w:bookmarkStart w:id="9234" w:name="_Toc4576637"/>
      <w:bookmarkEnd w:id="9234"/>
      <w:bookmarkStart w:id="9235" w:name="_Toc4146189"/>
      <w:bookmarkEnd w:id="9235"/>
      <w:bookmarkStart w:id="9236" w:name="_Toc4146191"/>
      <w:bookmarkEnd w:id="9236"/>
      <w:bookmarkStart w:id="9237" w:name="_Toc4577598"/>
      <w:bookmarkEnd w:id="9237"/>
      <w:bookmarkStart w:id="9238" w:name="_Toc4577591"/>
      <w:bookmarkEnd w:id="9238"/>
      <w:bookmarkStart w:id="9239" w:name="_Toc4577599"/>
      <w:bookmarkEnd w:id="9239"/>
      <w:bookmarkStart w:id="9240" w:name="_Toc4146193"/>
      <w:bookmarkEnd w:id="9240"/>
      <w:bookmarkStart w:id="9241" w:name="_Toc4576639"/>
      <w:bookmarkEnd w:id="9241"/>
      <w:bookmarkStart w:id="9242" w:name="_Toc4576640"/>
      <w:bookmarkEnd w:id="9242"/>
      <w:bookmarkStart w:id="9243" w:name="_Toc4576641"/>
      <w:bookmarkEnd w:id="9243"/>
      <w:bookmarkStart w:id="9244" w:name="_Toc4577601"/>
      <w:bookmarkEnd w:id="9244"/>
      <w:bookmarkStart w:id="9245" w:name="_Toc4576638"/>
      <w:bookmarkEnd w:id="9245"/>
      <w:bookmarkStart w:id="9246" w:name="_Toc4146194"/>
      <w:bookmarkEnd w:id="9246"/>
      <w:bookmarkStart w:id="9247" w:name="_Toc4146195"/>
      <w:bookmarkEnd w:id="9247"/>
      <w:bookmarkStart w:id="9248" w:name="_Toc4576633"/>
      <w:bookmarkEnd w:id="9248"/>
      <w:bookmarkStart w:id="9249" w:name="_Toc4577595"/>
      <w:bookmarkEnd w:id="9249"/>
      <w:bookmarkStart w:id="9250" w:name="_Toc4146192"/>
      <w:bookmarkEnd w:id="9250"/>
      <w:bookmarkStart w:id="9251" w:name="_Toc4577600"/>
      <w:bookmarkEnd w:id="9251"/>
      <w:bookmarkStart w:id="9252" w:name="_Toc4577590"/>
      <w:bookmarkEnd w:id="9252"/>
      <w:bookmarkStart w:id="9253" w:name="_Toc4146185"/>
      <w:bookmarkEnd w:id="9253"/>
      <w:bookmarkStart w:id="9254" w:name="_Toc4577592"/>
      <w:bookmarkEnd w:id="9254"/>
      <w:bookmarkStart w:id="9255" w:name="_Toc4146190"/>
      <w:bookmarkEnd w:id="9255"/>
      <w:bookmarkStart w:id="9256" w:name="_Toc4577597"/>
      <w:bookmarkEnd w:id="9256"/>
      <w:bookmarkStart w:id="9257" w:name="_Toc4577596"/>
      <w:bookmarkEnd w:id="9257"/>
      <w:bookmarkStart w:id="9258" w:name="_Toc4146184"/>
      <w:bookmarkEnd w:id="9258"/>
      <w:bookmarkStart w:id="9259" w:name="_Toc4146186"/>
      <w:bookmarkEnd w:id="9259"/>
      <w:bookmarkStart w:id="9260" w:name="_Toc4577593"/>
      <w:bookmarkEnd w:id="9260"/>
      <w:bookmarkStart w:id="9261" w:name="_Toc4146188"/>
      <w:bookmarkEnd w:id="9261"/>
      <w:bookmarkStart w:id="9262" w:name="_Toc4576631"/>
      <w:bookmarkEnd w:id="9262"/>
      <w:bookmarkStart w:id="9263" w:name="_Toc4576632"/>
      <w:bookmarkEnd w:id="9263"/>
      <w:bookmarkStart w:id="9264" w:name="_Toc4576636"/>
      <w:bookmarkEnd w:id="9264"/>
      <w:bookmarkStart w:id="9265" w:name="_Toc4576635"/>
      <w:bookmarkEnd w:id="9265"/>
      <w:bookmarkStart w:id="9266" w:name="_Toc4146196"/>
      <w:bookmarkEnd w:id="9266"/>
      <w:bookmarkStart w:id="9267" w:name="_Toc4576644"/>
      <w:bookmarkEnd w:id="9267"/>
      <w:bookmarkStart w:id="9268" w:name="_Toc4146219"/>
      <w:bookmarkEnd w:id="9268"/>
      <w:bookmarkStart w:id="9269" w:name="_Toc4577602"/>
      <w:bookmarkEnd w:id="9269"/>
      <w:bookmarkStart w:id="9270" w:name="_Toc4576665"/>
      <w:bookmarkEnd w:id="9270"/>
      <w:bookmarkStart w:id="9271" w:name="_Toc4577629"/>
      <w:bookmarkEnd w:id="9271"/>
      <w:bookmarkStart w:id="9272" w:name="_Toc4146223"/>
      <w:bookmarkEnd w:id="9272"/>
      <w:bookmarkStart w:id="9273" w:name="_Toc4577630"/>
      <w:bookmarkEnd w:id="9273"/>
      <w:bookmarkStart w:id="9274" w:name="_Toc4146217"/>
      <w:bookmarkEnd w:id="9274"/>
      <w:bookmarkStart w:id="9275" w:name="_Toc4146218"/>
      <w:bookmarkEnd w:id="9275"/>
      <w:bookmarkStart w:id="9276" w:name="_Toc4576666"/>
      <w:bookmarkEnd w:id="9276"/>
      <w:bookmarkStart w:id="9277" w:name="_Toc4146197"/>
      <w:bookmarkEnd w:id="9277"/>
      <w:bookmarkStart w:id="9278" w:name="_Toc4577624"/>
      <w:bookmarkEnd w:id="9278"/>
      <w:bookmarkStart w:id="9279" w:name="_Toc4146220"/>
      <w:bookmarkEnd w:id="9279"/>
      <w:bookmarkStart w:id="9280" w:name="_Toc4577604"/>
      <w:bookmarkEnd w:id="9280"/>
      <w:bookmarkStart w:id="9281" w:name="_Toc4576642"/>
      <w:bookmarkEnd w:id="9281"/>
      <w:bookmarkStart w:id="9282" w:name="_Toc4577626"/>
      <w:bookmarkEnd w:id="9282"/>
      <w:bookmarkStart w:id="9283" w:name="_Toc4576667"/>
      <w:bookmarkEnd w:id="9283"/>
      <w:bookmarkStart w:id="9284" w:name="_Toc4577627"/>
      <w:bookmarkEnd w:id="9284"/>
      <w:bookmarkStart w:id="9285" w:name="_Toc4576668"/>
      <w:bookmarkEnd w:id="9285"/>
      <w:bookmarkStart w:id="9286" w:name="_Toc4146222"/>
      <w:bookmarkEnd w:id="9286"/>
      <w:bookmarkStart w:id="9287" w:name="_Toc4576643"/>
      <w:bookmarkEnd w:id="9287"/>
      <w:bookmarkStart w:id="9288" w:name="_Toc4577603"/>
      <w:bookmarkEnd w:id="9288"/>
      <w:bookmarkStart w:id="9289" w:name="_Toc4576663"/>
      <w:bookmarkEnd w:id="9289"/>
      <w:bookmarkStart w:id="9290" w:name="_Toc4577623"/>
      <w:bookmarkEnd w:id="9290"/>
      <w:bookmarkStart w:id="9291" w:name="_Toc4146221"/>
      <w:bookmarkEnd w:id="9291"/>
      <w:bookmarkStart w:id="9292" w:name="_Toc4576664"/>
      <w:bookmarkEnd w:id="9292"/>
      <w:bookmarkStart w:id="9293" w:name="_Toc4576669"/>
      <w:bookmarkEnd w:id="9293"/>
      <w:bookmarkStart w:id="9294" w:name="_Toc4577628"/>
      <w:bookmarkEnd w:id="9294"/>
      <w:bookmarkStart w:id="9295" w:name="_Toc4576670"/>
      <w:bookmarkEnd w:id="9295"/>
      <w:bookmarkStart w:id="9296" w:name="_Toc4146216"/>
      <w:bookmarkEnd w:id="9296"/>
      <w:bookmarkStart w:id="9297" w:name="_Toc4577625"/>
      <w:bookmarkEnd w:id="9297"/>
      <w:bookmarkStart w:id="9298" w:name="_Toc4576682"/>
      <w:bookmarkEnd w:id="9298"/>
      <w:bookmarkStart w:id="9299" w:name="_Toc4576680"/>
      <w:bookmarkEnd w:id="9299"/>
      <w:bookmarkStart w:id="9300" w:name="_Toc4146237"/>
      <w:bookmarkEnd w:id="9300"/>
      <w:bookmarkStart w:id="9301" w:name="_Toc4577649"/>
      <w:bookmarkEnd w:id="9301"/>
      <w:bookmarkStart w:id="9302" w:name="_Toc4577644"/>
      <w:bookmarkEnd w:id="9302"/>
      <w:bookmarkStart w:id="9303" w:name="_Toc4576690"/>
      <w:bookmarkEnd w:id="9303"/>
      <w:bookmarkStart w:id="9304" w:name="_Toc4577650"/>
      <w:bookmarkEnd w:id="9304"/>
      <w:bookmarkStart w:id="9305" w:name="_Toc4146235"/>
      <w:bookmarkEnd w:id="9305"/>
      <w:bookmarkStart w:id="9306" w:name="_Toc4146244"/>
      <w:bookmarkEnd w:id="9306"/>
      <w:bookmarkStart w:id="9307" w:name="_Toc4576689"/>
      <w:bookmarkEnd w:id="9307"/>
      <w:bookmarkStart w:id="9308" w:name="_Toc4576691"/>
      <w:bookmarkEnd w:id="9308"/>
      <w:bookmarkStart w:id="9309" w:name="_Toc4577640"/>
      <w:bookmarkEnd w:id="9309"/>
      <w:bookmarkStart w:id="9310" w:name="_Toc4146236"/>
      <w:bookmarkEnd w:id="9310"/>
      <w:bookmarkStart w:id="9311" w:name="_Toc4577643"/>
      <w:bookmarkEnd w:id="9311"/>
      <w:bookmarkStart w:id="9312" w:name="_Toc4146233"/>
      <w:bookmarkEnd w:id="9312"/>
      <w:bookmarkStart w:id="9313" w:name="_Toc4577642"/>
      <w:bookmarkEnd w:id="9313"/>
      <w:bookmarkStart w:id="9314" w:name="_Toc4146242"/>
      <w:bookmarkEnd w:id="9314"/>
      <w:bookmarkStart w:id="9315" w:name="_Toc4146243"/>
      <w:bookmarkEnd w:id="9315"/>
      <w:bookmarkStart w:id="9316" w:name="_Toc4577641"/>
      <w:bookmarkEnd w:id="9316"/>
      <w:bookmarkStart w:id="9317" w:name="_Toc4577645"/>
      <w:bookmarkEnd w:id="9317"/>
      <w:bookmarkStart w:id="9318" w:name="_Toc4576687"/>
      <w:bookmarkEnd w:id="9318"/>
      <w:bookmarkStart w:id="9319" w:name="_Toc4576681"/>
      <w:bookmarkEnd w:id="9319"/>
      <w:bookmarkStart w:id="9320" w:name="_Toc4146234"/>
      <w:bookmarkEnd w:id="9320"/>
      <w:bookmarkStart w:id="9321" w:name="_Toc4576684"/>
      <w:bookmarkEnd w:id="9321"/>
      <w:bookmarkStart w:id="9322" w:name="_Toc4576685"/>
      <w:bookmarkEnd w:id="9322"/>
      <w:bookmarkStart w:id="9323" w:name="_Toc4577647"/>
      <w:bookmarkEnd w:id="9323"/>
      <w:bookmarkStart w:id="9324" w:name="_Toc4146241"/>
      <w:bookmarkEnd w:id="9324"/>
      <w:bookmarkStart w:id="9325" w:name="_Toc4146238"/>
      <w:bookmarkEnd w:id="9325"/>
      <w:bookmarkStart w:id="9326" w:name="_Toc4146240"/>
      <w:bookmarkEnd w:id="9326"/>
      <w:bookmarkStart w:id="9327" w:name="_Toc4576688"/>
      <w:bookmarkEnd w:id="9327"/>
      <w:bookmarkStart w:id="9328" w:name="_Toc4576683"/>
      <w:bookmarkEnd w:id="9328"/>
      <w:bookmarkStart w:id="9329" w:name="_Toc4577648"/>
      <w:bookmarkEnd w:id="9329"/>
      <w:bookmarkStart w:id="9330" w:name="_Toc4576727"/>
      <w:bookmarkEnd w:id="9330"/>
      <w:bookmarkStart w:id="9331" w:name="_Toc4146281"/>
      <w:bookmarkEnd w:id="9331"/>
      <w:bookmarkStart w:id="9332" w:name="_Toc4577684"/>
      <w:bookmarkEnd w:id="9332"/>
      <w:bookmarkStart w:id="9333" w:name="_Toc4577683"/>
      <w:bookmarkEnd w:id="9333"/>
      <w:bookmarkStart w:id="9334" w:name="_Toc4146279"/>
      <w:bookmarkEnd w:id="9334"/>
      <w:bookmarkStart w:id="9335" w:name="_Toc4577651"/>
      <w:bookmarkEnd w:id="9335"/>
      <w:bookmarkStart w:id="9336" w:name="_Toc4576723"/>
      <w:bookmarkEnd w:id="9336"/>
      <w:bookmarkStart w:id="9337" w:name="_Toc496876974"/>
      <w:bookmarkEnd w:id="9337"/>
      <w:bookmarkStart w:id="9338" w:name="_Toc4576728"/>
      <w:bookmarkEnd w:id="9338"/>
      <w:bookmarkStart w:id="9339" w:name="_Toc4577688"/>
      <w:bookmarkEnd w:id="9339"/>
      <w:bookmarkStart w:id="9340" w:name="_Toc4576756"/>
      <w:bookmarkEnd w:id="9340"/>
      <w:bookmarkStart w:id="9341" w:name="_Toc4577716"/>
      <w:bookmarkEnd w:id="9341"/>
      <w:bookmarkStart w:id="9342" w:name="_Toc4146274"/>
      <w:bookmarkEnd w:id="9342"/>
      <w:bookmarkStart w:id="9343" w:name="_Toc4576721"/>
      <w:bookmarkEnd w:id="9343"/>
      <w:bookmarkStart w:id="9344" w:name="_Toc4577652"/>
      <w:bookmarkEnd w:id="9344"/>
      <w:bookmarkStart w:id="9345" w:name="_Toc4576722"/>
      <w:bookmarkEnd w:id="9345"/>
      <w:bookmarkStart w:id="9346" w:name="_Toc4577687"/>
      <w:bookmarkEnd w:id="9346"/>
      <w:bookmarkStart w:id="9347" w:name="_Toc4146309"/>
      <w:bookmarkEnd w:id="9347"/>
      <w:bookmarkStart w:id="9348" w:name="_Toc4577681"/>
      <w:bookmarkEnd w:id="9348"/>
      <w:bookmarkStart w:id="9349" w:name="_Toc4577682"/>
      <w:bookmarkEnd w:id="9349"/>
      <w:bookmarkStart w:id="9350" w:name="_Toc4146278"/>
      <w:bookmarkEnd w:id="9350"/>
      <w:bookmarkStart w:id="9351" w:name="_Toc4576692"/>
      <w:bookmarkEnd w:id="9351"/>
      <w:bookmarkStart w:id="9352" w:name="_Toc4576724"/>
      <w:bookmarkEnd w:id="9352"/>
      <w:bookmarkStart w:id="9353" w:name="_Toc4576726"/>
      <w:bookmarkEnd w:id="9353"/>
      <w:bookmarkStart w:id="9354" w:name="_Toc4146277"/>
      <w:bookmarkEnd w:id="9354"/>
      <w:bookmarkStart w:id="9355" w:name="_Toc4146276"/>
      <w:bookmarkEnd w:id="9355"/>
      <w:bookmarkStart w:id="9356" w:name="_Toc4576725"/>
      <w:bookmarkEnd w:id="9356"/>
      <w:bookmarkStart w:id="9357" w:name="_Toc4146280"/>
      <w:bookmarkEnd w:id="9357"/>
      <w:bookmarkStart w:id="9358" w:name="_Toc4146275"/>
      <w:bookmarkEnd w:id="9358"/>
      <w:bookmarkStart w:id="9359" w:name="_Toc4146245"/>
      <w:bookmarkEnd w:id="9359"/>
      <w:bookmarkStart w:id="9360" w:name="_Toc4577685"/>
      <w:bookmarkEnd w:id="9360"/>
      <w:bookmarkStart w:id="9361" w:name="_Toc4577686"/>
      <w:bookmarkEnd w:id="9361"/>
      <w:bookmarkStart w:id="9362" w:name="_Toc4576761"/>
      <w:bookmarkEnd w:id="9362"/>
      <w:bookmarkStart w:id="9363" w:name="_Ref393112223"/>
      <w:bookmarkEnd w:id="9363"/>
      <w:bookmarkStart w:id="9364" w:name="_Toc4146315"/>
      <w:bookmarkEnd w:id="9364"/>
      <w:bookmarkStart w:id="9365" w:name="_Toc4576763"/>
      <w:bookmarkEnd w:id="9365"/>
      <w:bookmarkStart w:id="9366" w:name="_Toc4576782"/>
      <w:bookmarkEnd w:id="9366"/>
      <w:bookmarkStart w:id="9367" w:name="_Toc4577742"/>
      <w:bookmarkEnd w:id="9367"/>
      <w:bookmarkStart w:id="9368" w:name="_Toc4146337"/>
      <w:bookmarkEnd w:id="9368"/>
      <w:bookmarkStart w:id="9369" w:name="_Toc4146314"/>
      <w:bookmarkEnd w:id="9369"/>
      <w:bookmarkStart w:id="9370" w:name="_Toc4576784"/>
      <w:bookmarkEnd w:id="9370"/>
      <w:bookmarkStart w:id="9371" w:name="_Toc4577744"/>
      <w:bookmarkEnd w:id="9371"/>
      <w:bookmarkStart w:id="9372" w:name="_Toc4146338"/>
      <w:bookmarkEnd w:id="9372"/>
      <w:bookmarkStart w:id="9373" w:name="_Toc4146313"/>
      <w:bookmarkEnd w:id="9373"/>
      <w:bookmarkStart w:id="9374" w:name="_Toc4577722"/>
      <w:bookmarkEnd w:id="9374"/>
      <w:bookmarkStart w:id="9375" w:name="_Toc4577743"/>
      <w:bookmarkEnd w:id="9375"/>
      <w:bookmarkStart w:id="9376" w:name="_Toc4577717"/>
      <w:bookmarkEnd w:id="9376"/>
      <w:bookmarkStart w:id="9377" w:name="_Toc4146335"/>
      <w:bookmarkEnd w:id="9377"/>
      <w:bookmarkStart w:id="9378" w:name="_Toc4577720"/>
      <w:bookmarkEnd w:id="9378"/>
      <w:bookmarkStart w:id="9379" w:name="_Toc4576762"/>
      <w:bookmarkEnd w:id="9379"/>
      <w:bookmarkStart w:id="9380" w:name="_Toc4577718"/>
      <w:bookmarkEnd w:id="9380"/>
      <w:bookmarkStart w:id="9381" w:name="_Toc4577723"/>
      <w:bookmarkEnd w:id="9381"/>
      <w:bookmarkStart w:id="9382" w:name="_Toc4576759"/>
      <w:bookmarkEnd w:id="9382"/>
      <w:bookmarkStart w:id="9383" w:name="_Toc4146316"/>
      <w:bookmarkEnd w:id="9383"/>
      <w:bookmarkStart w:id="9384" w:name="_Toc4146336"/>
      <w:bookmarkEnd w:id="9384"/>
      <w:bookmarkStart w:id="9385" w:name="_Toc4576758"/>
      <w:bookmarkEnd w:id="9385"/>
      <w:bookmarkStart w:id="9386" w:name="_Toc4576783"/>
      <w:bookmarkEnd w:id="9386"/>
      <w:bookmarkStart w:id="9387" w:name="_Toc4146312"/>
      <w:bookmarkEnd w:id="9387"/>
      <w:bookmarkStart w:id="9388" w:name="_Toc4146310"/>
      <w:bookmarkEnd w:id="9388"/>
      <w:bookmarkStart w:id="9389" w:name="_Toc4577721"/>
      <w:bookmarkEnd w:id="9389"/>
      <w:bookmarkStart w:id="9390" w:name="_Toc4146311"/>
      <w:bookmarkEnd w:id="9390"/>
      <w:bookmarkStart w:id="9391" w:name="_Toc4576760"/>
      <w:bookmarkEnd w:id="9391"/>
      <w:bookmarkStart w:id="9392" w:name="_Toc4577719"/>
      <w:bookmarkEnd w:id="9392"/>
      <w:bookmarkStart w:id="9393" w:name="_Toc4576757"/>
      <w:bookmarkEnd w:id="9393"/>
      <w:bookmarkStart w:id="9394" w:name="_Toc4146339"/>
      <w:bookmarkEnd w:id="9394"/>
      <w:bookmarkStart w:id="9395" w:name="_Toc4577766"/>
      <w:bookmarkEnd w:id="9395"/>
      <w:bookmarkStart w:id="9396" w:name="_Toc4577765"/>
      <w:bookmarkEnd w:id="9396"/>
      <w:bookmarkStart w:id="9397" w:name="_Toc4146358"/>
      <w:bookmarkEnd w:id="9397"/>
      <w:bookmarkStart w:id="9398" w:name="_Toc4576808"/>
      <w:bookmarkEnd w:id="9398"/>
      <w:bookmarkStart w:id="9399" w:name="_Toc4146362"/>
      <w:bookmarkEnd w:id="9399"/>
      <w:bookmarkStart w:id="9400" w:name="_Toc4576806"/>
      <w:bookmarkEnd w:id="9400"/>
      <w:bookmarkStart w:id="9401" w:name="_Toc4576805"/>
      <w:bookmarkEnd w:id="9401"/>
      <w:bookmarkStart w:id="9402" w:name="_Toc4146360"/>
      <w:bookmarkEnd w:id="9402"/>
      <w:bookmarkStart w:id="9403" w:name="_Toc4146363"/>
      <w:bookmarkEnd w:id="9403"/>
      <w:bookmarkStart w:id="9404" w:name="_Toc4577745"/>
      <w:bookmarkEnd w:id="9404"/>
      <w:bookmarkStart w:id="9405" w:name="_Toc4146341"/>
      <w:bookmarkEnd w:id="9405"/>
      <w:bookmarkStart w:id="9406" w:name="_Toc4577749"/>
      <w:bookmarkEnd w:id="9406"/>
      <w:bookmarkStart w:id="9407" w:name="_Toc4577767"/>
      <w:bookmarkEnd w:id="9407"/>
      <w:bookmarkStart w:id="9408" w:name="_Toc4146361"/>
      <w:bookmarkEnd w:id="9408"/>
      <w:bookmarkStart w:id="9409" w:name="_Toc4577768"/>
      <w:bookmarkEnd w:id="9409"/>
      <w:bookmarkStart w:id="9410" w:name="_Toc4576809"/>
      <w:bookmarkEnd w:id="9410"/>
      <w:bookmarkStart w:id="9411" w:name="_Toc4576810"/>
      <w:bookmarkEnd w:id="9411"/>
      <w:bookmarkStart w:id="9412" w:name="_Toc4576807"/>
      <w:bookmarkEnd w:id="9412"/>
      <w:bookmarkStart w:id="9413" w:name="_Toc4577746"/>
      <w:bookmarkEnd w:id="9413"/>
      <w:bookmarkStart w:id="9414" w:name="_Toc4146340"/>
      <w:bookmarkEnd w:id="9414"/>
      <w:bookmarkStart w:id="9415" w:name="_Toc4146359"/>
      <w:bookmarkEnd w:id="9415"/>
      <w:bookmarkStart w:id="9416" w:name="_Toc4576785"/>
      <w:bookmarkEnd w:id="9416"/>
      <w:bookmarkStart w:id="9417" w:name="_Toc4577747"/>
      <w:bookmarkEnd w:id="9417"/>
      <w:bookmarkStart w:id="9418" w:name="_Toc4577748"/>
      <w:bookmarkEnd w:id="9418"/>
      <w:bookmarkStart w:id="9419" w:name="_Toc4577769"/>
      <w:bookmarkEnd w:id="9419"/>
      <w:bookmarkStart w:id="9420" w:name="_Toc4577770"/>
      <w:bookmarkEnd w:id="9420"/>
      <w:bookmarkStart w:id="9421" w:name="_Toc4576786"/>
      <w:bookmarkEnd w:id="9421"/>
      <w:bookmarkStart w:id="9422" w:name="_Toc4576787"/>
      <w:bookmarkEnd w:id="9422"/>
      <w:bookmarkStart w:id="9423" w:name="_Toc4576788"/>
      <w:bookmarkEnd w:id="9423"/>
      <w:bookmarkStart w:id="9424" w:name="_Toc4576789"/>
      <w:bookmarkEnd w:id="9424"/>
      <w:bookmarkStart w:id="9425" w:name="_Toc4146342"/>
      <w:bookmarkEnd w:id="9425"/>
      <w:bookmarkStart w:id="9426" w:name="_Toc4576833"/>
      <w:bookmarkEnd w:id="9426"/>
      <w:bookmarkStart w:id="9427" w:name="_Toc4576835"/>
      <w:bookmarkEnd w:id="9427"/>
      <w:bookmarkStart w:id="9428" w:name="_Toc4577791"/>
      <w:bookmarkEnd w:id="9428"/>
      <w:bookmarkStart w:id="9429" w:name="_Toc4146383"/>
      <w:bookmarkEnd w:id="9429"/>
      <w:bookmarkStart w:id="9430" w:name="_Toc4577772"/>
      <w:bookmarkEnd w:id="9430"/>
      <w:bookmarkStart w:id="9431" w:name="_Toc4576830"/>
      <w:bookmarkEnd w:id="9431"/>
      <w:bookmarkStart w:id="9432" w:name="_Toc4146385"/>
      <w:bookmarkEnd w:id="9432"/>
      <w:bookmarkStart w:id="9433" w:name="_Toc4577795"/>
      <w:bookmarkEnd w:id="9433"/>
      <w:bookmarkStart w:id="9434" w:name="_Toc4146407"/>
      <w:bookmarkEnd w:id="9434"/>
      <w:bookmarkStart w:id="9435" w:name="_Toc4577793"/>
      <w:bookmarkEnd w:id="9435"/>
      <w:bookmarkStart w:id="9436" w:name="_Toc4576834"/>
      <w:bookmarkEnd w:id="9436"/>
      <w:bookmarkStart w:id="9437" w:name="_Toc4576854"/>
      <w:bookmarkEnd w:id="9437"/>
      <w:bookmarkStart w:id="9438" w:name="_Toc4577771"/>
      <w:bookmarkEnd w:id="9438"/>
      <w:bookmarkStart w:id="9439" w:name="_Toc4146381"/>
      <w:bookmarkEnd w:id="9439"/>
      <w:bookmarkStart w:id="9440" w:name="_Toc4577789"/>
      <w:bookmarkEnd w:id="9440"/>
      <w:bookmarkStart w:id="9441" w:name="_Toc4576828"/>
      <w:bookmarkEnd w:id="9441"/>
      <w:bookmarkStart w:id="9442" w:name="_Toc4146364"/>
      <w:bookmarkEnd w:id="9442"/>
      <w:bookmarkStart w:id="9443" w:name="_Toc4577790"/>
      <w:bookmarkEnd w:id="9443"/>
      <w:bookmarkStart w:id="9444" w:name="_Toc4577792"/>
      <w:bookmarkEnd w:id="9444"/>
      <w:bookmarkStart w:id="9445" w:name="_Toc4146387"/>
      <w:bookmarkEnd w:id="9445"/>
      <w:bookmarkStart w:id="9446" w:name="_Toc4576812"/>
      <w:bookmarkEnd w:id="9446"/>
      <w:bookmarkStart w:id="9447" w:name="_Toc4577788"/>
      <w:bookmarkEnd w:id="9447"/>
      <w:bookmarkStart w:id="9448" w:name="_Toc4576811"/>
      <w:bookmarkEnd w:id="9448"/>
      <w:bookmarkStart w:id="9449" w:name="_Toc4146365"/>
      <w:bookmarkEnd w:id="9449"/>
      <w:bookmarkStart w:id="9450" w:name="_Toc4576829"/>
      <w:bookmarkEnd w:id="9450"/>
      <w:bookmarkStart w:id="9451" w:name="_Toc4146384"/>
      <w:bookmarkEnd w:id="9451"/>
      <w:bookmarkStart w:id="9452" w:name="_Toc4576831"/>
      <w:bookmarkEnd w:id="9452"/>
      <w:bookmarkStart w:id="9453" w:name="_Toc4576832"/>
      <w:bookmarkEnd w:id="9453"/>
      <w:bookmarkStart w:id="9454" w:name="_Toc4577794"/>
      <w:bookmarkEnd w:id="9454"/>
      <w:bookmarkStart w:id="9455" w:name="_Toc4146382"/>
      <w:bookmarkEnd w:id="9455"/>
      <w:bookmarkStart w:id="9456" w:name="_Toc4146388"/>
      <w:bookmarkEnd w:id="9456"/>
      <w:bookmarkStart w:id="9457" w:name="_Toc4146386"/>
      <w:bookmarkEnd w:id="9457"/>
      <w:bookmarkStart w:id="9458" w:name="_Toc4577818"/>
      <w:bookmarkEnd w:id="9458"/>
      <w:bookmarkStart w:id="9459" w:name="_Toc4146408"/>
      <w:bookmarkEnd w:id="9459"/>
      <w:bookmarkStart w:id="9460" w:name="_Toc4577816"/>
      <w:bookmarkEnd w:id="9460"/>
      <w:bookmarkStart w:id="9461" w:name="_Toc4576860"/>
      <w:bookmarkEnd w:id="9461"/>
      <w:bookmarkStart w:id="9462" w:name="_Toc4146414"/>
      <w:bookmarkEnd w:id="9462"/>
      <w:bookmarkStart w:id="9463" w:name="_Toc4577838"/>
      <w:bookmarkEnd w:id="9463"/>
      <w:bookmarkStart w:id="9464" w:name="_Toc4146432"/>
      <w:bookmarkEnd w:id="9464"/>
      <w:bookmarkStart w:id="9465" w:name="_Toc4576858"/>
      <w:bookmarkEnd w:id="9465"/>
      <w:bookmarkStart w:id="9466" w:name="_Toc4576879"/>
      <w:bookmarkEnd w:id="9466"/>
      <w:bookmarkStart w:id="9467" w:name="_Toc4577839"/>
      <w:bookmarkEnd w:id="9467"/>
      <w:bookmarkStart w:id="9468" w:name="_Toc4146433"/>
      <w:bookmarkEnd w:id="9468"/>
      <w:bookmarkStart w:id="9469" w:name="_Toc4146409"/>
      <w:bookmarkEnd w:id="9469"/>
      <w:bookmarkStart w:id="9470" w:name="_Toc4146410"/>
      <w:bookmarkEnd w:id="9470"/>
      <w:bookmarkStart w:id="9471" w:name="_Toc4577815"/>
      <w:bookmarkEnd w:id="9471"/>
      <w:bookmarkStart w:id="9472" w:name="_Toc4576856"/>
      <w:bookmarkEnd w:id="9472"/>
      <w:bookmarkStart w:id="9473" w:name="_Toc4146412"/>
      <w:bookmarkEnd w:id="9473"/>
      <w:bookmarkStart w:id="9474" w:name="_Toc4576859"/>
      <w:bookmarkEnd w:id="9474"/>
      <w:bookmarkStart w:id="9475" w:name="_Toc4577814"/>
      <w:bookmarkEnd w:id="9475"/>
      <w:bookmarkStart w:id="9476" w:name="_Toc4146411"/>
      <w:bookmarkEnd w:id="9476"/>
      <w:bookmarkStart w:id="9477" w:name="_Toc4146413"/>
      <w:bookmarkEnd w:id="9477"/>
      <w:bookmarkStart w:id="9478" w:name="_Toc4146430"/>
      <w:bookmarkEnd w:id="9478"/>
      <w:bookmarkStart w:id="9479" w:name="_Toc4577817"/>
      <w:bookmarkEnd w:id="9479"/>
      <w:bookmarkStart w:id="9480" w:name="_Toc4576857"/>
      <w:bookmarkEnd w:id="9480"/>
      <w:bookmarkStart w:id="9481" w:name="_Toc4577820"/>
      <w:bookmarkEnd w:id="9481"/>
      <w:bookmarkStart w:id="9482" w:name="_Toc4577821"/>
      <w:bookmarkEnd w:id="9482"/>
      <w:bookmarkStart w:id="9483" w:name="_Toc4577837"/>
      <w:bookmarkEnd w:id="9483"/>
      <w:bookmarkStart w:id="9484" w:name="_Toc4146431"/>
      <w:bookmarkEnd w:id="9484"/>
      <w:bookmarkStart w:id="9485" w:name="_Toc4576861"/>
      <w:bookmarkEnd w:id="9485"/>
      <w:bookmarkStart w:id="9486" w:name="_Toc4576877"/>
      <w:bookmarkEnd w:id="9486"/>
      <w:bookmarkStart w:id="9487" w:name="_Toc4576878"/>
      <w:bookmarkEnd w:id="9487"/>
      <w:bookmarkStart w:id="9488" w:name="_Toc4577819"/>
      <w:bookmarkEnd w:id="9488"/>
      <w:bookmarkStart w:id="9489" w:name="_Toc4576855"/>
      <w:bookmarkEnd w:id="9489"/>
      <w:bookmarkStart w:id="9490" w:name="_Toc4577841"/>
      <w:bookmarkEnd w:id="9490"/>
      <w:bookmarkStart w:id="9491" w:name="_Toc4576889"/>
      <w:bookmarkEnd w:id="9491"/>
      <w:bookmarkStart w:id="9492" w:name="_Toc4146440"/>
      <w:bookmarkEnd w:id="9492"/>
      <w:bookmarkStart w:id="9493" w:name="_Toc4576881"/>
      <w:bookmarkEnd w:id="9493"/>
      <w:bookmarkStart w:id="9494" w:name="_Toc4146439"/>
      <w:bookmarkEnd w:id="9494"/>
      <w:bookmarkStart w:id="9495" w:name="_Toc4146435"/>
      <w:bookmarkEnd w:id="9495"/>
      <w:bookmarkStart w:id="9496" w:name="_Toc4577845"/>
      <w:bookmarkEnd w:id="9496"/>
      <w:bookmarkStart w:id="9497" w:name="_Toc4576883"/>
      <w:bookmarkEnd w:id="9497"/>
      <w:bookmarkStart w:id="9498" w:name="_Toc4576888"/>
      <w:bookmarkEnd w:id="9498"/>
      <w:bookmarkStart w:id="9499" w:name="_Toc4577849"/>
      <w:bookmarkEnd w:id="9499"/>
      <w:bookmarkStart w:id="9500" w:name="_Toc4576890"/>
      <w:bookmarkEnd w:id="9500"/>
      <w:bookmarkStart w:id="9501" w:name="_Toc4146434"/>
      <w:bookmarkEnd w:id="9501"/>
      <w:bookmarkStart w:id="9502" w:name="_Toc4577843"/>
      <w:bookmarkEnd w:id="9502"/>
      <w:bookmarkStart w:id="9503" w:name="_Ref393113825"/>
      <w:bookmarkEnd w:id="9503"/>
      <w:bookmarkStart w:id="9504" w:name="_Toc4146436"/>
      <w:bookmarkEnd w:id="9504"/>
      <w:bookmarkStart w:id="9505" w:name="_Toc4576880"/>
      <w:bookmarkEnd w:id="9505"/>
      <w:bookmarkStart w:id="9506" w:name="_Toc4577844"/>
      <w:bookmarkEnd w:id="9506"/>
      <w:bookmarkStart w:id="9507" w:name="_Toc4146443"/>
      <w:bookmarkEnd w:id="9507"/>
      <w:bookmarkStart w:id="9508" w:name="_Toc4146437"/>
      <w:bookmarkEnd w:id="9508"/>
      <w:bookmarkStart w:id="9509" w:name="_Toc4146438"/>
      <w:bookmarkEnd w:id="9509"/>
      <w:bookmarkStart w:id="9510" w:name="_Toc4576887"/>
      <w:bookmarkEnd w:id="9510"/>
      <w:bookmarkStart w:id="9511" w:name="_Toc4577842"/>
      <w:bookmarkEnd w:id="9511"/>
      <w:bookmarkStart w:id="9512" w:name="_Toc4577846"/>
      <w:bookmarkEnd w:id="9512"/>
      <w:bookmarkStart w:id="9513" w:name="_Toc4577848"/>
      <w:bookmarkEnd w:id="9513"/>
      <w:bookmarkStart w:id="9514" w:name="_Toc4576886"/>
      <w:bookmarkEnd w:id="9514"/>
      <w:bookmarkStart w:id="9515" w:name="_Toc4577840"/>
      <w:bookmarkEnd w:id="9515"/>
      <w:bookmarkStart w:id="9516" w:name="_Toc4576885"/>
      <w:bookmarkEnd w:id="9516"/>
      <w:bookmarkStart w:id="9517" w:name="_Toc4577847"/>
      <w:bookmarkEnd w:id="9517"/>
      <w:bookmarkStart w:id="9518" w:name="_Toc4576884"/>
      <w:bookmarkEnd w:id="9518"/>
      <w:bookmarkStart w:id="9519" w:name="_Toc4576882"/>
      <w:bookmarkEnd w:id="9519"/>
      <w:bookmarkStart w:id="9520" w:name="_Toc4146441"/>
      <w:bookmarkEnd w:id="9520"/>
      <w:bookmarkStart w:id="9521" w:name="_Toc4146442"/>
      <w:bookmarkEnd w:id="9521"/>
      <w:bookmarkStart w:id="9522" w:name="_Toc4146450"/>
      <w:bookmarkEnd w:id="9522"/>
      <w:bookmarkStart w:id="9523" w:name="_Toc4577851"/>
      <w:bookmarkEnd w:id="9523"/>
      <w:bookmarkStart w:id="9524" w:name="_Toc4577857"/>
      <w:bookmarkEnd w:id="9524"/>
      <w:bookmarkStart w:id="9525" w:name="_Toc4577856"/>
      <w:bookmarkEnd w:id="9525"/>
      <w:bookmarkStart w:id="9526" w:name="_Toc4146471"/>
      <w:bookmarkEnd w:id="9526"/>
      <w:bookmarkStart w:id="9527" w:name="_Toc4576897"/>
      <w:bookmarkEnd w:id="9527"/>
      <w:bookmarkStart w:id="9528" w:name="_Toc4576918"/>
      <w:bookmarkEnd w:id="9528"/>
      <w:bookmarkStart w:id="9529" w:name="_Toc4577876"/>
      <w:bookmarkEnd w:id="9529"/>
      <w:bookmarkStart w:id="9530" w:name="_Toc4577878"/>
      <w:bookmarkEnd w:id="9530"/>
      <w:bookmarkStart w:id="9531" w:name="_Toc4146448"/>
      <w:bookmarkEnd w:id="9531"/>
      <w:bookmarkStart w:id="9532" w:name="_Toc4146472"/>
      <w:bookmarkEnd w:id="9532"/>
      <w:bookmarkStart w:id="9533" w:name="_Toc4146447"/>
      <w:bookmarkEnd w:id="9533"/>
      <w:bookmarkStart w:id="9534" w:name="_Toc4576896"/>
      <w:bookmarkEnd w:id="9534"/>
      <w:bookmarkStart w:id="9535" w:name="_Toc4577854"/>
      <w:bookmarkEnd w:id="9535"/>
      <w:bookmarkStart w:id="9536" w:name="_Toc4576891"/>
      <w:bookmarkEnd w:id="9536"/>
      <w:bookmarkStart w:id="9537" w:name="_Toc4577855"/>
      <w:bookmarkEnd w:id="9537"/>
      <w:bookmarkStart w:id="9538" w:name="_Toc4576916"/>
      <w:bookmarkEnd w:id="9538"/>
      <w:bookmarkStart w:id="9539" w:name="_Toc4146470"/>
      <w:bookmarkEnd w:id="9539"/>
      <w:bookmarkStart w:id="9540" w:name="_Toc4577852"/>
      <w:bookmarkEnd w:id="9540"/>
      <w:bookmarkStart w:id="9541" w:name="_Toc4576917"/>
      <w:bookmarkEnd w:id="9541"/>
      <w:bookmarkStart w:id="9542" w:name="_Toc4576893"/>
      <w:bookmarkEnd w:id="9542"/>
      <w:bookmarkStart w:id="9543" w:name="_Toc4146469"/>
      <w:bookmarkEnd w:id="9543"/>
      <w:bookmarkStart w:id="9544" w:name="_Toc4576895"/>
      <w:bookmarkEnd w:id="9544"/>
      <w:bookmarkStart w:id="9545" w:name="_Toc4576892"/>
      <w:bookmarkEnd w:id="9545"/>
      <w:bookmarkStart w:id="9546" w:name="_Toc4577877"/>
      <w:bookmarkEnd w:id="9546"/>
      <w:bookmarkStart w:id="9547" w:name="_Toc4146446"/>
      <w:bookmarkEnd w:id="9547"/>
      <w:bookmarkStart w:id="9548" w:name="_Toc4577850"/>
      <w:bookmarkEnd w:id="9548"/>
      <w:bookmarkStart w:id="9549" w:name="_Toc4576894"/>
      <w:bookmarkEnd w:id="9549"/>
      <w:bookmarkStart w:id="9550" w:name="_Toc4146445"/>
      <w:bookmarkEnd w:id="9550"/>
      <w:bookmarkStart w:id="9551" w:name="_Toc4146449"/>
      <w:bookmarkEnd w:id="9551"/>
      <w:bookmarkStart w:id="9552" w:name="_Toc4577853"/>
      <w:bookmarkEnd w:id="9552"/>
      <w:bookmarkStart w:id="9553" w:name="_Toc4146444"/>
      <w:bookmarkEnd w:id="9553"/>
      <w:bookmarkStart w:id="9554" w:name="_Toc4577897"/>
      <w:bookmarkEnd w:id="9554"/>
      <w:bookmarkStart w:id="9555" w:name="_Toc4576937"/>
      <w:bookmarkEnd w:id="9555"/>
      <w:bookmarkStart w:id="9556" w:name="_Toc4577880"/>
      <w:bookmarkEnd w:id="9556"/>
      <w:bookmarkStart w:id="9557" w:name="_Toc4577879"/>
      <w:bookmarkEnd w:id="9557"/>
      <w:bookmarkStart w:id="9558" w:name="_Toc4146475"/>
      <w:bookmarkEnd w:id="9558"/>
      <w:bookmarkStart w:id="9559" w:name="_Toc4577898"/>
      <w:bookmarkEnd w:id="9559"/>
      <w:bookmarkStart w:id="9560" w:name="_Toc4576919"/>
      <w:bookmarkEnd w:id="9560"/>
      <w:bookmarkStart w:id="9561" w:name="_Toc4146492"/>
      <w:bookmarkEnd w:id="9561"/>
      <w:bookmarkStart w:id="9562" w:name="_Toc4576939"/>
      <w:bookmarkEnd w:id="9562"/>
      <w:bookmarkStart w:id="9563" w:name="_Toc4146493"/>
      <w:bookmarkEnd w:id="9563"/>
      <w:bookmarkStart w:id="9564" w:name="_Toc4146494"/>
      <w:bookmarkEnd w:id="9564"/>
      <w:bookmarkStart w:id="9565" w:name="_Toc4577899"/>
      <w:bookmarkEnd w:id="9565"/>
      <w:bookmarkStart w:id="9566" w:name="_Toc4576941"/>
      <w:bookmarkEnd w:id="9566"/>
      <w:bookmarkStart w:id="9567" w:name="_Toc4577901"/>
      <w:bookmarkEnd w:id="9567"/>
      <w:bookmarkStart w:id="9568" w:name="_Toc4577895"/>
      <w:bookmarkEnd w:id="9568"/>
      <w:bookmarkStart w:id="9569" w:name="_Toc4146490"/>
      <w:bookmarkEnd w:id="9569"/>
      <w:bookmarkStart w:id="9570" w:name="_Toc4576940"/>
      <w:bookmarkEnd w:id="9570"/>
      <w:bookmarkStart w:id="9571" w:name="_Toc4577900"/>
      <w:bookmarkEnd w:id="9571"/>
      <w:bookmarkStart w:id="9572" w:name="_Toc4146474"/>
      <w:bookmarkEnd w:id="9572"/>
      <w:bookmarkStart w:id="9573" w:name="_Toc4576922"/>
      <w:bookmarkEnd w:id="9573"/>
      <w:bookmarkStart w:id="9574" w:name="_Toc4146488"/>
      <w:bookmarkEnd w:id="9574"/>
      <w:bookmarkStart w:id="9575" w:name="_Toc4576920"/>
      <w:bookmarkEnd w:id="9575"/>
      <w:bookmarkStart w:id="9576" w:name="_Toc4576938"/>
      <w:bookmarkEnd w:id="9576"/>
      <w:bookmarkStart w:id="9577" w:name="_Toc4146491"/>
      <w:bookmarkEnd w:id="9577"/>
      <w:bookmarkStart w:id="9578" w:name="_Toc4146473"/>
      <w:bookmarkEnd w:id="9578"/>
      <w:bookmarkStart w:id="9579" w:name="_Toc4576921"/>
      <w:bookmarkEnd w:id="9579"/>
      <w:bookmarkStart w:id="9580" w:name="_Toc4576935"/>
      <w:bookmarkEnd w:id="9580"/>
      <w:bookmarkStart w:id="9581" w:name="_Toc4146489"/>
      <w:bookmarkEnd w:id="9581"/>
      <w:bookmarkStart w:id="9582" w:name="_Toc4577881"/>
      <w:bookmarkEnd w:id="9582"/>
      <w:bookmarkStart w:id="9583" w:name="_Toc4577882"/>
      <w:bookmarkEnd w:id="9583"/>
      <w:bookmarkStart w:id="9584" w:name="_Toc4576936"/>
      <w:bookmarkEnd w:id="9584"/>
      <w:bookmarkStart w:id="9585" w:name="_Toc4577896"/>
      <w:bookmarkEnd w:id="9585"/>
      <w:bookmarkStart w:id="9586" w:name="_Toc4577902"/>
      <w:bookmarkEnd w:id="9586"/>
      <w:bookmarkStart w:id="9587" w:name="_Toc4577909"/>
      <w:bookmarkEnd w:id="9587"/>
      <w:bookmarkStart w:id="9588" w:name="_Toc4146503"/>
      <w:bookmarkEnd w:id="9588"/>
      <w:bookmarkStart w:id="9589" w:name="_Toc4576946"/>
      <w:bookmarkEnd w:id="9589"/>
      <w:bookmarkStart w:id="9590" w:name="_Toc4577908"/>
      <w:bookmarkEnd w:id="9590"/>
      <w:bookmarkStart w:id="9591" w:name="_Toc4577910"/>
      <w:bookmarkEnd w:id="9591"/>
      <w:bookmarkStart w:id="9592" w:name="_Toc4146504"/>
      <w:bookmarkEnd w:id="9592"/>
      <w:bookmarkStart w:id="9593" w:name="_Toc4577907"/>
      <w:bookmarkEnd w:id="9593"/>
      <w:bookmarkStart w:id="9594" w:name="_Toc4576949"/>
      <w:bookmarkEnd w:id="9594"/>
      <w:bookmarkStart w:id="9595" w:name="_Toc4576951"/>
      <w:bookmarkEnd w:id="9595"/>
      <w:bookmarkStart w:id="9596" w:name="_Toc4577911"/>
      <w:bookmarkEnd w:id="9596"/>
      <w:bookmarkStart w:id="9597" w:name="_Toc4146505"/>
      <w:bookmarkEnd w:id="9597"/>
      <w:bookmarkStart w:id="9598" w:name="_Toc4146498"/>
      <w:bookmarkEnd w:id="9598"/>
      <w:bookmarkStart w:id="9599" w:name="_Toc4576952"/>
      <w:bookmarkEnd w:id="9599"/>
      <w:bookmarkStart w:id="9600" w:name="_Toc4576950"/>
      <w:bookmarkEnd w:id="9600"/>
      <w:bookmarkStart w:id="9601" w:name="_Toc4576943"/>
      <w:bookmarkEnd w:id="9601"/>
      <w:bookmarkStart w:id="9602" w:name="_Toc4146499"/>
      <w:bookmarkEnd w:id="9602"/>
      <w:bookmarkStart w:id="9603" w:name="_Toc4146495"/>
      <w:bookmarkEnd w:id="9603"/>
      <w:bookmarkStart w:id="9604" w:name="_Toc4577903"/>
      <w:bookmarkEnd w:id="9604"/>
      <w:bookmarkStart w:id="9605" w:name="_Toc4576945"/>
      <w:bookmarkEnd w:id="9605"/>
      <w:bookmarkStart w:id="9606" w:name="_Toc4146500"/>
      <w:bookmarkEnd w:id="9606"/>
      <w:bookmarkStart w:id="9607" w:name="_Toc4576947"/>
      <w:bookmarkEnd w:id="9607"/>
      <w:bookmarkStart w:id="9608" w:name="_Toc4577906"/>
      <w:bookmarkEnd w:id="9608"/>
      <w:bookmarkStart w:id="9609" w:name="_Toc4146501"/>
      <w:bookmarkEnd w:id="9609"/>
      <w:bookmarkStart w:id="9610" w:name="_Toc4146497"/>
      <w:bookmarkEnd w:id="9610"/>
      <w:bookmarkStart w:id="9611" w:name="_Toc4146502"/>
      <w:bookmarkEnd w:id="9611"/>
      <w:bookmarkStart w:id="9612" w:name="_Toc4146496"/>
      <w:bookmarkEnd w:id="9612"/>
      <w:bookmarkStart w:id="9613" w:name="_Toc4577905"/>
      <w:bookmarkEnd w:id="9613"/>
      <w:bookmarkStart w:id="9614" w:name="_Toc4576948"/>
      <w:bookmarkEnd w:id="9614"/>
      <w:bookmarkStart w:id="9615" w:name="_Toc4576942"/>
      <w:bookmarkEnd w:id="9615"/>
      <w:bookmarkStart w:id="9616" w:name="_Toc4576944"/>
      <w:bookmarkEnd w:id="9616"/>
      <w:bookmarkStart w:id="9617" w:name="_Toc4577904"/>
      <w:bookmarkEnd w:id="9617"/>
      <w:bookmarkStart w:id="9618" w:name="_Toc4577940"/>
      <w:bookmarkEnd w:id="9618"/>
      <w:bookmarkStart w:id="9619" w:name="_Toc4577969"/>
      <w:bookmarkEnd w:id="9619"/>
      <w:bookmarkStart w:id="9620" w:name="_Toc4576986"/>
      <w:bookmarkEnd w:id="9620"/>
      <w:bookmarkStart w:id="9621" w:name="_Toc4576980"/>
      <w:bookmarkEnd w:id="9621"/>
      <w:bookmarkStart w:id="9622" w:name="_Toc4576985"/>
      <w:bookmarkEnd w:id="9622"/>
      <w:bookmarkStart w:id="9623" w:name="_Toc4146534"/>
      <w:bookmarkEnd w:id="9623"/>
      <w:bookmarkStart w:id="9624" w:name="_Toc4146538"/>
      <w:bookmarkEnd w:id="9624"/>
      <w:bookmarkStart w:id="9625" w:name="_Toc4576982"/>
      <w:bookmarkEnd w:id="9625"/>
      <w:bookmarkStart w:id="9626" w:name="_Toc4577968"/>
      <w:bookmarkEnd w:id="9626"/>
      <w:bookmarkStart w:id="9627" w:name="_Toc4146563"/>
      <w:bookmarkEnd w:id="9627"/>
      <w:bookmarkStart w:id="9628" w:name="_Toc4577970"/>
      <w:bookmarkEnd w:id="9628"/>
      <w:bookmarkStart w:id="9629" w:name="_Toc4146533"/>
      <w:bookmarkEnd w:id="9629"/>
      <w:bookmarkStart w:id="9630" w:name="_Toc4577942"/>
      <w:bookmarkEnd w:id="9630"/>
      <w:bookmarkStart w:id="9631" w:name="_Toc4146536"/>
      <w:bookmarkEnd w:id="9631"/>
      <w:bookmarkStart w:id="9632" w:name="_Toc4146535"/>
      <w:bookmarkEnd w:id="9632"/>
      <w:bookmarkStart w:id="9633" w:name="_Toc4146537"/>
      <w:bookmarkEnd w:id="9633"/>
      <w:bookmarkStart w:id="9634" w:name="_Toc4577010"/>
      <w:bookmarkEnd w:id="9634"/>
      <w:bookmarkStart w:id="9635" w:name="_Toc4146564"/>
      <w:bookmarkEnd w:id="9635"/>
      <w:bookmarkStart w:id="9636" w:name="_Toc4576983"/>
      <w:bookmarkEnd w:id="9636"/>
      <w:bookmarkStart w:id="9637" w:name="_Toc4576984"/>
      <w:bookmarkEnd w:id="9637"/>
      <w:bookmarkStart w:id="9638" w:name="_Toc4577946"/>
      <w:bookmarkEnd w:id="9638"/>
      <w:bookmarkStart w:id="9639" w:name="_Toc4577941"/>
      <w:bookmarkEnd w:id="9639"/>
      <w:bookmarkStart w:id="9640" w:name="_Toc4146539"/>
      <w:bookmarkEnd w:id="9640"/>
      <w:bookmarkStart w:id="9641" w:name="_Toc4146562"/>
      <w:bookmarkEnd w:id="9641"/>
      <w:bookmarkStart w:id="9642" w:name="_Toc4577945"/>
      <w:bookmarkEnd w:id="9642"/>
      <w:bookmarkStart w:id="9643" w:name="_Toc4577912"/>
      <w:bookmarkEnd w:id="9643"/>
      <w:bookmarkStart w:id="9644" w:name="_Toc4577944"/>
      <w:bookmarkEnd w:id="9644"/>
      <w:bookmarkStart w:id="9645" w:name="_Toc4146561"/>
      <w:bookmarkEnd w:id="9645"/>
      <w:bookmarkStart w:id="9646" w:name="_Toc4577943"/>
      <w:bookmarkEnd w:id="9646"/>
      <w:bookmarkStart w:id="9647" w:name="_Toc4576981"/>
      <w:bookmarkEnd w:id="9647"/>
      <w:bookmarkStart w:id="9648" w:name="_Toc4577008"/>
      <w:bookmarkEnd w:id="9648"/>
      <w:bookmarkStart w:id="9649" w:name="_Toc4577009"/>
      <w:bookmarkEnd w:id="9649"/>
      <w:bookmarkStart w:id="9650" w:name="_Toc4577975"/>
      <w:bookmarkEnd w:id="9650"/>
      <w:bookmarkStart w:id="9651" w:name="_Toc4146565"/>
      <w:bookmarkEnd w:id="9651"/>
      <w:bookmarkStart w:id="9652" w:name="_Toc4577989"/>
      <w:bookmarkEnd w:id="9652"/>
      <w:bookmarkStart w:id="9653" w:name="_Toc4577990"/>
      <w:bookmarkEnd w:id="9653"/>
      <w:bookmarkStart w:id="9654" w:name="_Toc4146584"/>
      <w:bookmarkEnd w:id="9654"/>
      <w:bookmarkStart w:id="9655" w:name="_Toc4577991"/>
      <w:bookmarkEnd w:id="9655"/>
      <w:bookmarkStart w:id="9656" w:name="_Toc4577032"/>
      <w:bookmarkEnd w:id="9656"/>
      <w:bookmarkStart w:id="9657" w:name="_Toc4577992"/>
      <w:bookmarkEnd w:id="9657"/>
      <w:bookmarkStart w:id="9658" w:name="_Toc4146586"/>
      <w:bookmarkEnd w:id="9658"/>
      <w:bookmarkStart w:id="9659" w:name="_Toc4577033"/>
      <w:bookmarkEnd w:id="9659"/>
      <w:bookmarkStart w:id="9660" w:name="_Toc4577993"/>
      <w:bookmarkEnd w:id="9660"/>
      <w:bookmarkStart w:id="9661" w:name="_Toc4577014"/>
      <w:bookmarkEnd w:id="9661"/>
      <w:bookmarkStart w:id="9662" w:name="_Toc4146582"/>
      <w:bookmarkEnd w:id="9662"/>
      <w:bookmarkStart w:id="9663" w:name="_Toc4577015"/>
      <w:bookmarkEnd w:id="9663"/>
      <w:bookmarkStart w:id="9664" w:name="_Toc4577971"/>
      <w:bookmarkEnd w:id="9664"/>
      <w:bookmarkStart w:id="9665" w:name="_Toc4577030"/>
      <w:bookmarkEnd w:id="9665"/>
      <w:bookmarkStart w:id="9666" w:name="_Toc4577976"/>
      <w:bookmarkEnd w:id="9666"/>
      <w:bookmarkStart w:id="9667" w:name="_Toc4146585"/>
      <w:bookmarkEnd w:id="9667"/>
      <w:bookmarkStart w:id="9668" w:name="_Toc4146566"/>
      <w:bookmarkEnd w:id="9668"/>
      <w:bookmarkStart w:id="9669" w:name="_Toc4146583"/>
      <w:bookmarkEnd w:id="9669"/>
      <w:bookmarkStart w:id="9670" w:name="_Toc4577973"/>
      <w:bookmarkEnd w:id="9670"/>
      <w:bookmarkStart w:id="9671" w:name="_Toc4577029"/>
      <w:bookmarkEnd w:id="9671"/>
      <w:bookmarkStart w:id="9672" w:name="_Toc4577974"/>
      <w:bookmarkEnd w:id="9672"/>
      <w:bookmarkStart w:id="9673" w:name="_Toc4577972"/>
      <w:bookmarkEnd w:id="9673"/>
      <w:bookmarkStart w:id="9674" w:name="_Toc4577031"/>
      <w:bookmarkEnd w:id="9674"/>
      <w:bookmarkStart w:id="9675" w:name="_Toc4577013"/>
      <w:bookmarkEnd w:id="9675"/>
      <w:bookmarkStart w:id="9676" w:name="_Toc4146568"/>
      <w:bookmarkEnd w:id="9676"/>
      <w:bookmarkStart w:id="9677" w:name="_Toc4146569"/>
      <w:bookmarkEnd w:id="9677"/>
      <w:bookmarkStart w:id="9678" w:name="_Toc4577012"/>
      <w:bookmarkEnd w:id="9678"/>
      <w:bookmarkStart w:id="9679" w:name="_Toc4577016"/>
      <w:bookmarkEnd w:id="9679"/>
      <w:bookmarkStart w:id="9680" w:name="_Toc4146567"/>
      <w:bookmarkEnd w:id="9680"/>
      <w:bookmarkStart w:id="9681" w:name="_Toc4577011"/>
      <w:bookmarkEnd w:id="9681"/>
      <w:bookmarkStart w:id="9682" w:name="_Toc4577034"/>
      <w:bookmarkEnd w:id="9682"/>
      <w:bookmarkStart w:id="9683" w:name="_Toc4146618"/>
      <w:bookmarkEnd w:id="9683"/>
      <w:bookmarkStart w:id="9684" w:name="_Toc4146617"/>
      <w:bookmarkEnd w:id="9684"/>
      <w:bookmarkStart w:id="9685" w:name="_Toc4577063"/>
      <w:bookmarkEnd w:id="9685"/>
      <w:bookmarkStart w:id="9686" w:name="_Toc4577067"/>
      <w:bookmarkEnd w:id="9686"/>
      <w:bookmarkStart w:id="9687" w:name="_Toc4146622"/>
      <w:bookmarkEnd w:id="9687"/>
      <w:bookmarkStart w:id="9688" w:name="_Toc4578024"/>
      <w:bookmarkEnd w:id="9688"/>
      <w:bookmarkStart w:id="9689" w:name="_Toc4578023"/>
      <w:bookmarkEnd w:id="9689"/>
      <w:bookmarkStart w:id="9690" w:name="_Toc4577065"/>
      <w:bookmarkEnd w:id="9690"/>
      <w:bookmarkStart w:id="9691" w:name="_Toc4146619"/>
      <w:bookmarkEnd w:id="9691"/>
      <w:bookmarkStart w:id="9692" w:name="_Toc4146587"/>
      <w:bookmarkEnd w:id="9692"/>
      <w:bookmarkStart w:id="9693" w:name="_Toc4577036"/>
      <w:bookmarkEnd w:id="9693"/>
      <w:bookmarkStart w:id="9694" w:name="_Toc4146616"/>
      <w:bookmarkEnd w:id="9694"/>
      <w:bookmarkStart w:id="9695" w:name="_Toc4578026"/>
      <w:bookmarkEnd w:id="9695"/>
      <w:bookmarkStart w:id="9696" w:name="_Toc4577068"/>
      <w:bookmarkEnd w:id="9696"/>
      <w:bookmarkStart w:id="9697" w:name="_Toc4577069"/>
      <w:bookmarkEnd w:id="9697"/>
      <w:bookmarkStart w:id="9698" w:name="_Toc4578028"/>
      <w:bookmarkEnd w:id="9698"/>
      <w:bookmarkStart w:id="9699" w:name="_Toc4146620"/>
      <w:bookmarkEnd w:id="9699"/>
      <w:bookmarkStart w:id="9700" w:name="_Toc4578025"/>
      <w:bookmarkEnd w:id="9700"/>
      <w:bookmarkStart w:id="9701" w:name="_Toc4146588"/>
      <w:bookmarkEnd w:id="9701"/>
      <w:bookmarkStart w:id="9702" w:name="_Toc4577035"/>
      <w:bookmarkEnd w:id="9702"/>
      <w:bookmarkStart w:id="9703" w:name="_Toc4577064"/>
      <w:bookmarkEnd w:id="9703"/>
      <w:bookmarkStart w:id="9704" w:name="_Toc4577066"/>
      <w:bookmarkEnd w:id="9704"/>
      <w:bookmarkStart w:id="9705" w:name="_Toc4146589"/>
      <w:bookmarkEnd w:id="9705"/>
      <w:bookmarkStart w:id="9706" w:name="_Toc4146590"/>
      <w:bookmarkEnd w:id="9706"/>
      <w:bookmarkStart w:id="9707" w:name="_Toc4578027"/>
      <w:bookmarkEnd w:id="9707"/>
      <w:bookmarkStart w:id="9708" w:name="_Toc4146621"/>
      <w:bookmarkEnd w:id="9708"/>
      <w:bookmarkStart w:id="9709" w:name="_Toc4577994"/>
      <w:bookmarkEnd w:id="9709"/>
      <w:bookmarkStart w:id="9710" w:name="_Toc4577995"/>
      <w:bookmarkEnd w:id="9710"/>
      <w:bookmarkStart w:id="9711" w:name="_Toc4577996"/>
      <w:bookmarkEnd w:id="9711"/>
      <w:bookmarkStart w:id="9712" w:name="_Toc4577997"/>
      <w:bookmarkEnd w:id="9712"/>
      <w:bookmarkStart w:id="9713" w:name="_Toc4577037"/>
      <w:bookmarkEnd w:id="9713"/>
      <w:bookmarkStart w:id="9714" w:name="_Toc4577070"/>
      <w:bookmarkEnd w:id="9714"/>
      <w:bookmarkStart w:id="9715" w:name="_Toc4577120"/>
      <w:bookmarkEnd w:id="9715"/>
      <w:bookmarkStart w:id="9716" w:name="_Toc4577121"/>
      <w:bookmarkEnd w:id="9716"/>
      <w:bookmarkStart w:id="9717" w:name="_Toc4146673"/>
      <w:bookmarkEnd w:id="9717"/>
      <w:bookmarkStart w:id="9718" w:name="_Toc4578082"/>
      <w:bookmarkEnd w:id="9718"/>
      <w:bookmarkStart w:id="9719" w:name="_Toc4146676"/>
      <w:bookmarkEnd w:id="9719"/>
      <w:bookmarkStart w:id="9720" w:name="_Toc4578029"/>
      <w:bookmarkEnd w:id="9720"/>
      <w:bookmarkStart w:id="9721" w:name="_Toc4146624"/>
      <w:bookmarkEnd w:id="9721"/>
      <w:bookmarkStart w:id="9722" w:name="_Toc4146670"/>
      <w:bookmarkEnd w:id="9722"/>
      <w:bookmarkStart w:id="9723" w:name="_Toc4578078"/>
      <w:bookmarkEnd w:id="9723"/>
      <w:bookmarkStart w:id="9724" w:name="_Toc4578079"/>
      <w:bookmarkEnd w:id="9724"/>
      <w:bookmarkStart w:id="9725" w:name="_Toc4146668"/>
      <w:bookmarkEnd w:id="9725"/>
      <w:bookmarkStart w:id="9726" w:name="_Toc4577119"/>
      <w:bookmarkEnd w:id="9726"/>
      <w:bookmarkStart w:id="9727" w:name="_Toc4578076"/>
      <w:bookmarkEnd w:id="9727"/>
      <w:bookmarkStart w:id="9728" w:name="_Toc4578077"/>
      <w:bookmarkEnd w:id="9728"/>
      <w:bookmarkStart w:id="9729" w:name="_Toc4146674"/>
      <w:bookmarkEnd w:id="9729"/>
      <w:bookmarkStart w:id="9730" w:name="_Toc4578081"/>
      <w:bookmarkEnd w:id="9730"/>
      <w:bookmarkStart w:id="9731" w:name="_Toc4146675"/>
      <w:bookmarkEnd w:id="9731"/>
      <w:bookmarkStart w:id="9732" w:name="_Toc4146623"/>
      <w:bookmarkEnd w:id="9732"/>
      <w:bookmarkStart w:id="9733" w:name="_Toc4146671"/>
      <w:bookmarkEnd w:id="9733"/>
      <w:bookmarkStart w:id="9734" w:name="_Toc4577122"/>
      <w:bookmarkEnd w:id="9734"/>
      <w:bookmarkStart w:id="9735" w:name="_Toc4578031"/>
      <w:bookmarkEnd w:id="9735"/>
      <w:bookmarkStart w:id="9736" w:name="_Toc4577115"/>
      <w:bookmarkEnd w:id="9736"/>
      <w:bookmarkStart w:id="9737" w:name="_Toc4577116"/>
      <w:bookmarkEnd w:id="9737"/>
      <w:bookmarkStart w:id="9738" w:name="_Toc4578075"/>
      <w:bookmarkEnd w:id="9738"/>
      <w:bookmarkStart w:id="9739" w:name="_Toc4578030"/>
      <w:bookmarkEnd w:id="9739"/>
      <w:bookmarkStart w:id="9740" w:name="_Toc4577117"/>
      <w:bookmarkEnd w:id="9740"/>
      <w:bookmarkStart w:id="9741" w:name="_Toc4577118"/>
      <w:bookmarkEnd w:id="9741"/>
      <w:bookmarkStart w:id="9742" w:name="_Toc4146669"/>
      <w:bookmarkEnd w:id="9742"/>
      <w:bookmarkStart w:id="9743" w:name="_Toc4146672"/>
      <w:bookmarkEnd w:id="9743"/>
      <w:bookmarkStart w:id="9744" w:name="_Toc4578080"/>
      <w:bookmarkEnd w:id="9744"/>
      <w:bookmarkStart w:id="9745" w:name="_Toc4577071"/>
      <w:bookmarkEnd w:id="9745"/>
      <w:bookmarkStart w:id="9746" w:name="_Toc4578087"/>
      <w:bookmarkEnd w:id="9746"/>
      <w:bookmarkStart w:id="9747" w:name="_Toc4146677"/>
      <w:bookmarkEnd w:id="9747"/>
      <w:bookmarkStart w:id="9748" w:name="_Toc4578085"/>
      <w:bookmarkEnd w:id="9748"/>
      <w:bookmarkStart w:id="9749" w:name="_Toc4577165"/>
      <w:bookmarkEnd w:id="9749"/>
      <w:bookmarkStart w:id="9750" w:name="_Toc4146719"/>
      <w:bookmarkEnd w:id="9750"/>
      <w:bookmarkStart w:id="9751" w:name="_Toc4146721"/>
      <w:bookmarkEnd w:id="9751"/>
      <w:bookmarkStart w:id="9752" w:name="_Toc4577168"/>
      <w:bookmarkEnd w:id="9752"/>
      <w:bookmarkStart w:id="9753" w:name="_Toc4577127"/>
      <w:bookmarkEnd w:id="9753"/>
      <w:bookmarkStart w:id="9754" w:name="_Toc4578128"/>
      <w:bookmarkEnd w:id="9754"/>
      <w:bookmarkStart w:id="9755" w:name="_Toc4146722"/>
      <w:bookmarkEnd w:id="9755"/>
      <w:bookmarkStart w:id="9756" w:name="_Toc4577169"/>
      <w:bookmarkEnd w:id="9756"/>
      <w:bookmarkStart w:id="9757" w:name="_Toc4146678"/>
      <w:bookmarkEnd w:id="9757"/>
      <w:bookmarkStart w:id="9758" w:name="_Toc4146679"/>
      <w:bookmarkEnd w:id="9758"/>
      <w:bookmarkStart w:id="9759" w:name="_Toc4578084"/>
      <w:bookmarkEnd w:id="9759"/>
      <w:bookmarkStart w:id="9760" w:name="_Toc4577125"/>
      <w:bookmarkEnd w:id="9760"/>
      <w:bookmarkStart w:id="9761" w:name="_Toc4146681"/>
      <w:bookmarkEnd w:id="9761"/>
      <w:bookmarkStart w:id="9762" w:name="_Toc4577128"/>
      <w:bookmarkEnd w:id="9762"/>
      <w:bookmarkStart w:id="9763" w:name="_Toc4578083"/>
      <w:bookmarkEnd w:id="9763"/>
      <w:bookmarkStart w:id="9764" w:name="_Ref393118157"/>
      <w:bookmarkEnd w:id="9764"/>
      <w:bookmarkStart w:id="9765" w:name="_Toc4146680"/>
      <w:bookmarkEnd w:id="9765"/>
      <w:bookmarkStart w:id="9766" w:name="_Toc4146718"/>
      <w:bookmarkEnd w:id="9766"/>
      <w:bookmarkStart w:id="9767" w:name="_Toc4578086"/>
      <w:bookmarkEnd w:id="9767"/>
      <w:bookmarkStart w:id="9768" w:name="_Toc4577126"/>
      <w:bookmarkEnd w:id="9768"/>
      <w:bookmarkStart w:id="9769" w:name="_Toc4578125"/>
      <w:bookmarkEnd w:id="9769"/>
      <w:bookmarkStart w:id="9770" w:name="_Toc4578126"/>
      <w:bookmarkEnd w:id="9770"/>
      <w:bookmarkStart w:id="9771" w:name="_Toc4146720"/>
      <w:bookmarkEnd w:id="9771"/>
      <w:bookmarkStart w:id="9772" w:name="_Toc4578127"/>
      <w:bookmarkEnd w:id="9772"/>
      <w:bookmarkStart w:id="9773" w:name="_Toc4577166"/>
      <w:bookmarkEnd w:id="9773"/>
      <w:bookmarkStart w:id="9774" w:name="_Toc4577123"/>
      <w:bookmarkEnd w:id="9774"/>
      <w:bookmarkStart w:id="9775" w:name="_Toc4577167"/>
      <w:bookmarkEnd w:id="9775"/>
      <w:bookmarkStart w:id="9776" w:name="_Toc4578088"/>
      <w:bookmarkEnd w:id="9776"/>
      <w:bookmarkStart w:id="9777" w:name="_Toc4577124"/>
      <w:bookmarkEnd w:id="9777"/>
      <w:bookmarkStart w:id="9778" w:name="_Toc4578131"/>
      <w:bookmarkEnd w:id="9778"/>
      <w:bookmarkStart w:id="9779" w:name="_Toc4578152"/>
      <w:bookmarkEnd w:id="9779"/>
      <w:bookmarkStart w:id="9780" w:name="_Toc4146742"/>
      <w:bookmarkEnd w:id="9780"/>
      <w:bookmarkStart w:id="9781" w:name="_Toc4577171"/>
      <w:bookmarkEnd w:id="9781"/>
      <w:bookmarkStart w:id="9782" w:name="_Toc4146726"/>
      <w:bookmarkEnd w:id="9782"/>
      <w:bookmarkStart w:id="9783" w:name="_Toc4146725"/>
      <w:bookmarkEnd w:id="9783"/>
      <w:bookmarkStart w:id="9784" w:name="_Toc4577190"/>
      <w:bookmarkEnd w:id="9784"/>
      <w:bookmarkStart w:id="9785" w:name="_Toc4146746"/>
      <w:bookmarkEnd w:id="9785"/>
      <w:bookmarkStart w:id="9786" w:name="_Toc4578153"/>
      <w:bookmarkEnd w:id="9786"/>
      <w:bookmarkStart w:id="9787" w:name="_Toc4578129"/>
      <w:bookmarkEnd w:id="9787"/>
      <w:bookmarkStart w:id="9788" w:name="_Toc4146747"/>
      <w:bookmarkEnd w:id="9788"/>
      <w:bookmarkStart w:id="9789" w:name="_Toc4146724"/>
      <w:bookmarkEnd w:id="9789"/>
      <w:bookmarkStart w:id="9790" w:name="_Toc4577194"/>
      <w:bookmarkEnd w:id="9790"/>
      <w:bookmarkStart w:id="9791" w:name="_Toc4578154"/>
      <w:bookmarkEnd w:id="9791"/>
      <w:bookmarkStart w:id="9792" w:name="_Toc4146745"/>
      <w:bookmarkEnd w:id="9792"/>
      <w:bookmarkStart w:id="9793" w:name="_Toc4577170"/>
      <w:bookmarkEnd w:id="9793"/>
      <w:bookmarkStart w:id="9794" w:name="_Toc4577193"/>
      <w:bookmarkEnd w:id="9794"/>
      <w:bookmarkStart w:id="9795" w:name="_Toc4146748"/>
      <w:bookmarkEnd w:id="9795"/>
      <w:bookmarkStart w:id="9796" w:name="_Toc4577189"/>
      <w:bookmarkEnd w:id="9796"/>
      <w:bookmarkStart w:id="9797" w:name="_Toc4578150"/>
      <w:bookmarkEnd w:id="9797"/>
      <w:bookmarkStart w:id="9798" w:name="_Toc4577191"/>
      <w:bookmarkEnd w:id="9798"/>
      <w:bookmarkStart w:id="9799" w:name="_Toc4578132"/>
      <w:bookmarkEnd w:id="9799"/>
      <w:bookmarkStart w:id="9800" w:name="_Toc4146723"/>
      <w:bookmarkEnd w:id="9800"/>
      <w:bookmarkStart w:id="9801" w:name="_Toc4578133"/>
      <w:bookmarkEnd w:id="9801"/>
      <w:bookmarkStart w:id="9802" w:name="_Toc4577173"/>
      <w:bookmarkEnd w:id="9802"/>
      <w:bookmarkStart w:id="9803" w:name="_Toc4578130"/>
      <w:bookmarkEnd w:id="9803"/>
      <w:bookmarkStart w:id="9804" w:name="_Toc4578149"/>
      <w:bookmarkEnd w:id="9804"/>
      <w:bookmarkStart w:id="9805" w:name="_Toc4578151"/>
      <w:bookmarkEnd w:id="9805"/>
      <w:bookmarkStart w:id="9806" w:name="_Toc4146743"/>
      <w:bookmarkEnd w:id="9806"/>
      <w:bookmarkStart w:id="9807" w:name="_Toc4577172"/>
      <w:bookmarkEnd w:id="9807"/>
      <w:bookmarkStart w:id="9808" w:name="_Toc4146744"/>
      <w:bookmarkEnd w:id="9808"/>
      <w:bookmarkStart w:id="9809" w:name="_Toc4577192"/>
      <w:bookmarkEnd w:id="9809"/>
      <w:bookmarkStart w:id="9810" w:name="_Toc4578175"/>
      <w:bookmarkEnd w:id="9810"/>
      <w:bookmarkStart w:id="9811" w:name="_Toc4146770"/>
      <w:bookmarkEnd w:id="9811"/>
      <w:bookmarkStart w:id="9812" w:name="_Toc4578177"/>
      <w:bookmarkEnd w:id="9812"/>
      <w:bookmarkStart w:id="9813" w:name="_Toc4577215"/>
      <w:bookmarkEnd w:id="9813"/>
      <w:bookmarkStart w:id="9814" w:name="_Toc4577218"/>
      <w:bookmarkEnd w:id="9814"/>
      <w:bookmarkStart w:id="9815" w:name="_Toc4146772"/>
      <w:bookmarkEnd w:id="9815"/>
      <w:bookmarkStart w:id="9816" w:name="_Toc4577219"/>
      <w:bookmarkEnd w:id="9816"/>
      <w:bookmarkStart w:id="9817" w:name="_Toc4146773"/>
      <w:bookmarkEnd w:id="9817"/>
      <w:bookmarkStart w:id="9818" w:name="_Toc4577220"/>
      <w:bookmarkEnd w:id="9818"/>
      <w:bookmarkStart w:id="9819" w:name="_Toc4578180"/>
      <w:bookmarkEnd w:id="9819"/>
      <w:bookmarkStart w:id="9820" w:name="_Toc4578178"/>
      <w:bookmarkEnd w:id="9820"/>
      <w:bookmarkStart w:id="9821" w:name="_Toc4146764"/>
      <w:bookmarkEnd w:id="9821"/>
      <w:bookmarkStart w:id="9822" w:name="_Toc4578173"/>
      <w:bookmarkEnd w:id="9822"/>
      <w:bookmarkStart w:id="9823" w:name="_Toc4146765"/>
      <w:bookmarkEnd w:id="9823"/>
      <w:bookmarkStart w:id="9824" w:name="_Toc4578176"/>
      <w:bookmarkEnd w:id="9824"/>
      <w:bookmarkStart w:id="9825" w:name="_Toc4146768"/>
      <w:bookmarkEnd w:id="9825"/>
      <w:bookmarkStart w:id="9826" w:name="_Toc4577213"/>
      <w:bookmarkEnd w:id="9826"/>
      <w:bookmarkStart w:id="9827" w:name="_Toc4577217"/>
      <w:bookmarkEnd w:id="9827"/>
      <w:bookmarkStart w:id="9828" w:name="_Toc4578174"/>
      <w:bookmarkEnd w:id="9828"/>
      <w:bookmarkStart w:id="9829" w:name="_Toc4578179"/>
      <w:bookmarkEnd w:id="9829"/>
      <w:bookmarkStart w:id="9830" w:name="_Toc4577195"/>
      <w:bookmarkEnd w:id="9830"/>
      <w:bookmarkStart w:id="9831" w:name="_Toc4146767"/>
      <w:bookmarkEnd w:id="9831"/>
      <w:bookmarkStart w:id="9832" w:name="_Toc4577211"/>
      <w:bookmarkEnd w:id="9832"/>
      <w:bookmarkStart w:id="9833" w:name="_Toc4146769"/>
      <w:bookmarkEnd w:id="9833"/>
      <w:bookmarkStart w:id="9834" w:name="_Toc4577216"/>
      <w:bookmarkEnd w:id="9834"/>
      <w:bookmarkStart w:id="9835" w:name="_Toc4578171"/>
      <w:bookmarkEnd w:id="9835"/>
      <w:bookmarkStart w:id="9836" w:name="_Toc4578172"/>
      <w:bookmarkEnd w:id="9836"/>
      <w:bookmarkStart w:id="9837" w:name="_Toc4146771"/>
      <w:bookmarkEnd w:id="9837"/>
      <w:bookmarkStart w:id="9838" w:name="_Toc4146766"/>
      <w:bookmarkEnd w:id="9838"/>
      <w:bookmarkStart w:id="9839" w:name="_Toc4577214"/>
      <w:bookmarkEnd w:id="9839"/>
      <w:bookmarkStart w:id="9840" w:name="_Toc4578155"/>
      <w:bookmarkEnd w:id="9840"/>
      <w:bookmarkStart w:id="9841" w:name="_Toc4577212"/>
      <w:bookmarkEnd w:id="9841"/>
      <w:bookmarkStart w:id="9842" w:name="_Toc4578200"/>
      <w:bookmarkEnd w:id="9842"/>
      <w:bookmarkStart w:id="9843" w:name="_Toc4577252"/>
      <w:bookmarkEnd w:id="9843"/>
      <w:bookmarkStart w:id="9844" w:name="_Toc4578183"/>
      <w:bookmarkEnd w:id="9844"/>
      <w:bookmarkStart w:id="9845" w:name="_Toc4146776"/>
      <w:bookmarkEnd w:id="9845"/>
      <w:bookmarkStart w:id="9846" w:name="_Toc4577238"/>
      <w:bookmarkEnd w:id="9846"/>
      <w:bookmarkStart w:id="9847" w:name="_Toc4146792"/>
      <w:bookmarkEnd w:id="9847"/>
      <w:bookmarkStart w:id="9848" w:name="_Toc4577236"/>
      <w:bookmarkEnd w:id="9848"/>
      <w:bookmarkStart w:id="9849" w:name="_Toc4577223"/>
      <w:bookmarkEnd w:id="9849"/>
      <w:bookmarkStart w:id="9850" w:name="_Toc4146790"/>
      <w:bookmarkEnd w:id="9850"/>
      <w:bookmarkStart w:id="9851" w:name="_Toc4146793"/>
      <w:bookmarkEnd w:id="9851"/>
      <w:bookmarkStart w:id="9852" w:name="_Toc4578202"/>
      <w:bookmarkEnd w:id="9852"/>
      <w:bookmarkStart w:id="9853" w:name="_Toc4146774"/>
      <w:bookmarkEnd w:id="9853"/>
      <w:bookmarkStart w:id="9854" w:name="_Toc4578182"/>
      <w:bookmarkEnd w:id="9854"/>
      <w:bookmarkStart w:id="9855" w:name="_Toc4578197"/>
      <w:bookmarkEnd w:id="9855"/>
      <w:bookmarkStart w:id="9856" w:name="_Toc4146791"/>
      <w:bookmarkEnd w:id="9856"/>
      <w:bookmarkStart w:id="9857" w:name="_Toc4578198"/>
      <w:bookmarkEnd w:id="9857"/>
      <w:bookmarkStart w:id="9858" w:name="_Toc4577239"/>
      <w:bookmarkEnd w:id="9858"/>
      <w:bookmarkStart w:id="9859" w:name="_Toc4577240"/>
      <w:bookmarkEnd w:id="9859"/>
      <w:bookmarkStart w:id="9860" w:name="_Toc4577237"/>
      <w:bookmarkEnd w:id="9860"/>
      <w:bookmarkStart w:id="9861" w:name="_Toc4146789"/>
      <w:bookmarkEnd w:id="9861"/>
      <w:bookmarkStart w:id="9862" w:name="_Toc4578199"/>
      <w:bookmarkEnd w:id="9862"/>
      <w:bookmarkStart w:id="9863" w:name="_Toc4146794"/>
      <w:bookmarkEnd w:id="9863"/>
      <w:bookmarkStart w:id="9864" w:name="_Toc4577241"/>
      <w:bookmarkEnd w:id="9864"/>
      <w:bookmarkStart w:id="9865" w:name="_Toc4578181"/>
      <w:bookmarkEnd w:id="9865"/>
      <w:bookmarkStart w:id="9866" w:name="_Toc4578201"/>
      <w:bookmarkEnd w:id="9866"/>
      <w:bookmarkStart w:id="9867" w:name="_Toc4146795"/>
      <w:bookmarkEnd w:id="9867"/>
      <w:bookmarkStart w:id="9868" w:name="_Toc4577242"/>
      <w:bookmarkEnd w:id="9868"/>
      <w:bookmarkStart w:id="9869" w:name="_Toc4146805"/>
      <w:bookmarkEnd w:id="9869"/>
      <w:bookmarkStart w:id="9870" w:name="_Toc4578196"/>
      <w:bookmarkEnd w:id="9870"/>
      <w:bookmarkStart w:id="9871" w:name="_Toc4577221"/>
      <w:bookmarkEnd w:id="9871"/>
      <w:bookmarkStart w:id="9872" w:name="_Toc4577222"/>
      <w:bookmarkEnd w:id="9872"/>
      <w:bookmarkStart w:id="9873" w:name="_Toc4146775"/>
      <w:bookmarkEnd w:id="9873"/>
      <w:bookmarkStart w:id="9874" w:name="_Toc4577261"/>
      <w:bookmarkEnd w:id="9874"/>
      <w:bookmarkStart w:id="9875" w:name="_Toc4578221"/>
      <w:bookmarkEnd w:id="9875"/>
      <w:bookmarkStart w:id="9876" w:name="_Toc4578215"/>
      <w:bookmarkEnd w:id="9876"/>
      <w:bookmarkStart w:id="9877" w:name="_Toc4578213"/>
      <w:bookmarkEnd w:id="9877"/>
      <w:bookmarkStart w:id="9878" w:name="_Toc4577262"/>
      <w:bookmarkEnd w:id="9878"/>
      <w:bookmarkStart w:id="9879" w:name="_Toc4146807"/>
      <w:bookmarkEnd w:id="9879"/>
      <w:bookmarkStart w:id="9880" w:name="_Toc4146815"/>
      <w:bookmarkEnd w:id="9880"/>
      <w:bookmarkStart w:id="9881" w:name="_Toc4577253"/>
      <w:bookmarkEnd w:id="9881"/>
      <w:bookmarkStart w:id="9882" w:name="_Toc4578214"/>
      <w:bookmarkEnd w:id="9882"/>
      <w:bookmarkStart w:id="9883" w:name="_Toc4577258"/>
      <w:bookmarkEnd w:id="9883"/>
      <w:bookmarkStart w:id="9884" w:name="_Toc4146812"/>
      <w:bookmarkEnd w:id="9884"/>
      <w:bookmarkStart w:id="9885" w:name="_Toc4578222"/>
      <w:bookmarkEnd w:id="9885"/>
      <w:bookmarkStart w:id="9886" w:name="_Toc4578220"/>
      <w:bookmarkEnd w:id="9886"/>
      <w:bookmarkStart w:id="9887" w:name="_Toc4146816"/>
      <w:bookmarkEnd w:id="9887"/>
      <w:bookmarkStart w:id="9888" w:name="_Toc4577254"/>
      <w:bookmarkEnd w:id="9888"/>
      <w:bookmarkStart w:id="9889" w:name="_Toc4146808"/>
      <w:bookmarkEnd w:id="9889"/>
      <w:bookmarkStart w:id="9890" w:name="_Toc4146814"/>
      <w:bookmarkEnd w:id="9890"/>
      <w:bookmarkStart w:id="9891" w:name="_Toc4146809"/>
      <w:bookmarkEnd w:id="9891"/>
      <w:bookmarkStart w:id="9892" w:name="_Toc4578212"/>
      <w:bookmarkEnd w:id="9892"/>
      <w:bookmarkStart w:id="9893" w:name="_Toc4146806"/>
      <w:bookmarkEnd w:id="9893"/>
      <w:bookmarkStart w:id="9894" w:name="_Toc4146810"/>
      <w:bookmarkEnd w:id="9894"/>
      <w:bookmarkStart w:id="9895" w:name="_Toc4577257"/>
      <w:bookmarkEnd w:id="9895"/>
      <w:bookmarkStart w:id="9896" w:name="_Toc4578218"/>
      <w:bookmarkEnd w:id="9896"/>
      <w:bookmarkStart w:id="9897" w:name="_Toc4577259"/>
      <w:bookmarkEnd w:id="9897"/>
      <w:bookmarkStart w:id="9898" w:name="_Toc4146813"/>
      <w:bookmarkEnd w:id="9898"/>
      <w:bookmarkStart w:id="9899" w:name="_Toc4578217"/>
      <w:bookmarkEnd w:id="9899"/>
      <w:bookmarkStart w:id="9900" w:name="_Toc4577260"/>
      <w:bookmarkEnd w:id="9900"/>
      <w:bookmarkStart w:id="9901" w:name="_Toc4577256"/>
      <w:bookmarkEnd w:id="9901"/>
      <w:bookmarkStart w:id="9902" w:name="_Toc4577255"/>
      <w:bookmarkEnd w:id="9902"/>
      <w:bookmarkStart w:id="9903" w:name="_Toc4578216"/>
      <w:bookmarkEnd w:id="9903"/>
      <w:bookmarkStart w:id="9904" w:name="_Toc4578219"/>
      <w:bookmarkEnd w:id="9904"/>
      <w:bookmarkStart w:id="9905" w:name="_Toc4146811"/>
      <w:bookmarkEnd w:id="9905"/>
      <w:bookmarkStart w:id="9906" w:name="_Toc4578250"/>
      <w:bookmarkEnd w:id="9906"/>
      <w:bookmarkStart w:id="9907" w:name="_Toc4578251"/>
      <w:bookmarkEnd w:id="9907"/>
      <w:bookmarkStart w:id="9908" w:name="_Toc4578253"/>
      <w:bookmarkEnd w:id="9908"/>
      <w:bookmarkStart w:id="9909" w:name="_Toc4577290"/>
      <w:bookmarkEnd w:id="9909"/>
      <w:bookmarkStart w:id="9910" w:name="_Toc4577294"/>
      <w:bookmarkEnd w:id="9910"/>
      <w:bookmarkStart w:id="9911" w:name="_Toc4578254"/>
      <w:bookmarkEnd w:id="9911"/>
      <w:bookmarkStart w:id="9912" w:name="_Toc4577263"/>
      <w:bookmarkEnd w:id="9912"/>
      <w:bookmarkStart w:id="9913" w:name="_Toc4577291"/>
      <w:bookmarkEnd w:id="9913"/>
      <w:bookmarkStart w:id="9914" w:name="_Toc4577287"/>
      <w:bookmarkEnd w:id="9914"/>
      <w:bookmarkStart w:id="9915" w:name="_Toc4146842"/>
      <w:bookmarkEnd w:id="9915"/>
      <w:bookmarkStart w:id="9916" w:name="_Toc4146843"/>
      <w:bookmarkEnd w:id="9916"/>
      <w:bookmarkStart w:id="9917" w:name="_Toc4577285"/>
      <w:bookmarkEnd w:id="9917"/>
      <w:bookmarkStart w:id="9918" w:name="_Toc4578249"/>
      <w:bookmarkEnd w:id="9918"/>
      <w:bookmarkStart w:id="9919" w:name="_Toc4146840"/>
      <w:bookmarkEnd w:id="9919"/>
      <w:bookmarkStart w:id="9920" w:name="_Toc4146841"/>
      <w:bookmarkEnd w:id="9920"/>
      <w:bookmarkStart w:id="9921" w:name="_Toc4146845"/>
      <w:bookmarkEnd w:id="9921"/>
      <w:bookmarkStart w:id="9922" w:name="_Toc4577292"/>
      <w:bookmarkEnd w:id="9922"/>
      <w:bookmarkStart w:id="9923" w:name="_Toc4577293"/>
      <w:bookmarkEnd w:id="9923"/>
      <w:bookmarkStart w:id="9924" w:name="_Toc4578252"/>
      <w:bookmarkEnd w:id="9924"/>
      <w:bookmarkStart w:id="9925" w:name="_Toc4577288"/>
      <w:bookmarkEnd w:id="9925"/>
      <w:bookmarkStart w:id="9926" w:name="_Toc4146847"/>
      <w:bookmarkEnd w:id="9926"/>
      <w:bookmarkStart w:id="9927" w:name="_Toc4146838"/>
      <w:bookmarkEnd w:id="9927"/>
      <w:bookmarkStart w:id="9928" w:name="_Toc4578245"/>
      <w:bookmarkEnd w:id="9928"/>
      <w:bookmarkStart w:id="9929" w:name="_Toc4578246"/>
      <w:bookmarkEnd w:id="9929"/>
      <w:bookmarkStart w:id="9930" w:name="_Toc4146839"/>
      <w:bookmarkEnd w:id="9930"/>
      <w:bookmarkStart w:id="9931" w:name="_Toc4578248"/>
      <w:bookmarkEnd w:id="9931"/>
      <w:bookmarkStart w:id="9932" w:name="_Toc4578247"/>
      <w:bookmarkEnd w:id="9932"/>
      <w:bookmarkStart w:id="9933" w:name="_Toc4577289"/>
      <w:bookmarkEnd w:id="9933"/>
      <w:bookmarkStart w:id="9934" w:name="_Toc4577286"/>
      <w:bookmarkEnd w:id="9934"/>
      <w:bookmarkStart w:id="9935" w:name="_Toc4146844"/>
      <w:bookmarkEnd w:id="9935"/>
      <w:bookmarkStart w:id="9936" w:name="_Toc4146846"/>
      <w:bookmarkEnd w:id="9936"/>
      <w:bookmarkStart w:id="9937" w:name="_Toc4578223"/>
      <w:bookmarkEnd w:id="9937"/>
      <w:bookmarkStart w:id="9938" w:name="_Toc4577331"/>
      <w:bookmarkEnd w:id="9938"/>
      <w:bookmarkStart w:id="9939" w:name="_Toc4577329"/>
      <w:bookmarkEnd w:id="9939"/>
      <w:bookmarkStart w:id="9940" w:name="_Toc4146886"/>
      <w:bookmarkEnd w:id="9940"/>
      <w:bookmarkStart w:id="9941" w:name="_Toc4578296"/>
      <w:bookmarkEnd w:id="9941"/>
      <w:bookmarkStart w:id="9942" w:name="_Toc4578293"/>
      <w:bookmarkEnd w:id="9942"/>
      <w:bookmarkStart w:id="9943" w:name="_Toc4577337"/>
      <w:bookmarkEnd w:id="9943"/>
      <w:bookmarkStart w:id="9944" w:name="_Toc4578297"/>
      <w:bookmarkEnd w:id="9944"/>
      <w:bookmarkStart w:id="9945" w:name="_Toc4146884"/>
      <w:bookmarkEnd w:id="9945"/>
      <w:bookmarkStart w:id="9946" w:name="_Toc4577336"/>
      <w:bookmarkEnd w:id="9946"/>
      <w:bookmarkStart w:id="9947" w:name="_Toc4146891"/>
      <w:bookmarkEnd w:id="9947"/>
      <w:bookmarkStart w:id="9948" w:name="_Toc4577338"/>
      <w:bookmarkEnd w:id="9948"/>
      <w:bookmarkStart w:id="9949" w:name="_Toc4578255"/>
      <w:bookmarkEnd w:id="9949"/>
      <w:bookmarkStart w:id="9950" w:name="_Toc4578289"/>
      <w:bookmarkEnd w:id="9950"/>
      <w:bookmarkStart w:id="9951" w:name="_Toc4577295"/>
      <w:bookmarkEnd w:id="9951"/>
      <w:bookmarkStart w:id="9952" w:name="_Toc4146882"/>
      <w:bookmarkEnd w:id="9952"/>
      <w:bookmarkStart w:id="9953" w:name="_Toc4578291"/>
      <w:bookmarkEnd w:id="9953"/>
      <w:bookmarkStart w:id="9954" w:name="_Toc4146885"/>
      <w:bookmarkEnd w:id="9954"/>
      <w:bookmarkStart w:id="9955" w:name="_Toc4578292"/>
      <w:bookmarkEnd w:id="9955"/>
      <w:bookmarkStart w:id="9956" w:name="_Toc4578290"/>
      <w:bookmarkEnd w:id="9956"/>
      <w:bookmarkStart w:id="9957" w:name="_Toc4578294"/>
      <w:bookmarkEnd w:id="9957"/>
      <w:bookmarkStart w:id="9958" w:name="_Toc4146888"/>
      <w:bookmarkEnd w:id="9958"/>
      <w:bookmarkStart w:id="9959" w:name="_Toc4577330"/>
      <w:bookmarkEnd w:id="9959"/>
      <w:bookmarkStart w:id="9960" w:name="_Toc4146883"/>
      <w:bookmarkEnd w:id="9960"/>
      <w:bookmarkStart w:id="9961" w:name="_Toc4577333"/>
      <w:bookmarkEnd w:id="9961"/>
      <w:bookmarkStart w:id="9962" w:name="_Toc4577334"/>
      <w:bookmarkEnd w:id="9962"/>
      <w:bookmarkStart w:id="9963" w:name="_Toc4577335"/>
      <w:bookmarkEnd w:id="9963"/>
      <w:bookmarkStart w:id="9964" w:name="_Toc4578295"/>
      <w:bookmarkEnd w:id="9964"/>
      <w:bookmarkStart w:id="9965" w:name="_Toc4146887"/>
      <w:bookmarkEnd w:id="9965"/>
      <w:bookmarkStart w:id="9966" w:name="_Toc4146889"/>
      <w:bookmarkEnd w:id="9966"/>
      <w:bookmarkStart w:id="9967" w:name="_Toc4146890"/>
      <w:bookmarkEnd w:id="9967"/>
      <w:bookmarkStart w:id="9968" w:name="_Toc4577332"/>
      <w:bookmarkEnd w:id="9968"/>
      <w:bookmarkStart w:id="9969" w:name="_Toc4146848"/>
      <w:bookmarkEnd w:id="9969"/>
      <w:bookmarkStart w:id="9970" w:name="_Toc4578316"/>
      <w:bookmarkEnd w:id="9970"/>
      <w:bookmarkStart w:id="9971" w:name="_Toc4578317"/>
      <w:bookmarkEnd w:id="9971"/>
      <w:bookmarkStart w:id="9972" w:name="_Toc4578319"/>
      <w:bookmarkEnd w:id="9972"/>
      <w:bookmarkStart w:id="9973" w:name="_Toc4577356"/>
      <w:bookmarkEnd w:id="9973"/>
      <w:bookmarkStart w:id="9974" w:name="_Toc4146892"/>
      <w:bookmarkEnd w:id="9974"/>
      <w:bookmarkStart w:id="9975" w:name="_Toc4146910"/>
      <w:bookmarkEnd w:id="9975"/>
      <w:bookmarkStart w:id="9976" w:name="_Toc4577360"/>
      <w:bookmarkEnd w:id="9976"/>
      <w:bookmarkStart w:id="9977" w:name="_Toc4577358"/>
      <w:bookmarkEnd w:id="9977"/>
      <w:bookmarkStart w:id="9978" w:name="_Toc4578320"/>
      <w:bookmarkEnd w:id="9978"/>
      <w:bookmarkStart w:id="9979" w:name="_Toc4578314"/>
      <w:bookmarkEnd w:id="9979"/>
      <w:bookmarkStart w:id="9980" w:name="_Toc4146923"/>
      <w:bookmarkEnd w:id="9980"/>
      <w:bookmarkStart w:id="9981" w:name="_Toc4146909"/>
      <w:bookmarkEnd w:id="9981"/>
      <w:bookmarkStart w:id="9982" w:name="_Toc4578318"/>
      <w:bookmarkEnd w:id="9982"/>
      <w:bookmarkStart w:id="9983" w:name="_Toc4577354"/>
      <w:bookmarkEnd w:id="9983"/>
      <w:bookmarkStart w:id="9984" w:name="_Toc4146911"/>
      <w:bookmarkEnd w:id="9984"/>
      <w:bookmarkStart w:id="9985" w:name="_Toc4577355"/>
      <w:bookmarkEnd w:id="9985"/>
      <w:bookmarkStart w:id="9986" w:name="_Toc4146912"/>
      <w:bookmarkEnd w:id="9986"/>
      <w:bookmarkStart w:id="9987" w:name="_Toc4146913"/>
      <w:bookmarkEnd w:id="9987"/>
      <w:bookmarkStart w:id="9988" w:name="_Toc4577359"/>
      <w:bookmarkEnd w:id="9988"/>
      <w:bookmarkStart w:id="9989" w:name="_Toc4146893"/>
      <w:bookmarkEnd w:id="9989"/>
      <w:bookmarkStart w:id="9990" w:name="_Toc4578300"/>
      <w:bookmarkEnd w:id="9990"/>
      <w:bookmarkStart w:id="9991" w:name="_Toc4146894"/>
      <w:bookmarkEnd w:id="9991"/>
      <w:bookmarkStart w:id="9992" w:name="_Toc4578298"/>
      <w:bookmarkEnd w:id="9992"/>
      <w:bookmarkStart w:id="9993" w:name="_Toc4578299"/>
      <w:bookmarkEnd w:id="9993"/>
      <w:bookmarkStart w:id="9994" w:name="_Toc4577341"/>
      <w:bookmarkEnd w:id="9994"/>
      <w:bookmarkStart w:id="9995" w:name="_Toc4146907"/>
      <w:bookmarkEnd w:id="9995"/>
      <w:bookmarkStart w:id="9996" w:name="_Toc4146908"/>
      <w:bookmarkEnd w:id="9996"/>
      <w:bookmarkStart w:id="9997" w:name="_Toc4577339"/>
      <w:bookmarkEnd w:id="9997"/>
      <w:bookmarkStart w:id="9998" w:name="_Toc4577340"/>
      <w:bookmarkEnd w:id="9998"/>
      <w:bookmarkStart w:id="9999" w:name="_Toc4578301"/>
      <w:bookmarkEnd w:id="9999"/>
      <w:bookmarkStart w:id="10000" w:name="_Toc4578315"/>
      <w:bookmarkEnd w:id="10000"/>
      <w:bookmarkStart w:id="10001" w:name="_Toc4577357"/>
      <w:bookmarkEnd w:id="10001"/>
      <w:bookmarkStart w:id="10002" w:name="_Toc4577376"/>
      <w:bookmarkEnd w:id="10002"/>
      <w:bookmarkStart w:id="10003" w:name="_Toc4146929"/>
      <w:bookmarkEnd w:id="10003"/>
      <w:bookmarkStart w:id="10004" w:name="_Toc4577371"/>
      <w:bookmarkEnd w:id="10004"/>
      <w:bookmarkStart w:id="10005" w:name="_Toc4577370"/>
      <w:bookmarkEnd w:id="10005"/>
      <w:bookmarkStart w:id="10006" w:name="_Toc4578332"/>
      <w:bookmarkEnd w:id="10006"/>
      <w:bookmarkStart w:id="10007" w:name="_Toc4577377"/>
      <w:bookmarkEnd w:id="10007"/>
      <w:bookmarkStart w:id="10008" w:name="_Toc4578337"/>
      <w:bookmarkEnd w:id="10008"/>
      <w:bookmarkStart w:id="10009" w:name="_Toc4146931"/>
      <w:bookmarkEnd w:id="10009"/>
      <w:bookmarkStart w:id="10010" w:name="_Toc4578338"/>
      <w:bookmarkEnd w:id="10010"/>
      <w:bookmarkStart w:id="10011" w:name="_Toc4146932"/>
      <w:bookmarkEnd w:id="10011"/>
      <w:bookmarkStart w:id="10012" w:name="_Toc4578339"/>
      <w:bookmarkEnd w:id="10012"/>
      <w:bookmarkStart w:id="10013" w:name="_Toc4577378"/>
      <w:bookmarkEnd w:id="10013"/>
      <w:bookmarkStart w:id="10014" w:name="_Toc4146933"/>
      <w:bookmarkEnd w:id="10014"/>
      <w:bookmarkStart w:id="10015" w:name="_Toc4577379"/>
      <w:bookmarkEnd w:id="10015"/>
      <w:bookmarkStart w:id="10016" w:name="_Toc4577374"/>
      <w:bookmarkEnd w:id="10016"/>
      <w:bookmarkStart w:id="10017" w:name="_Toc4578335"/>
      <w:bookmarkEnd w:id="10017"/>
      <w:bookmarkStart w:id="10018" w:name="_Toc4577380"/>
      <w:bookmarkEnd w:id="10018"/>
      <w:bookmarkStart w:id="10019" w:name="_Toc4578340"/>
      <w:bookmarkEnd w:id="10019"/>
      <w:bookmarkStart w:id="10020" w:name="_Toc4578331"/>
      <w:bookmarkEnd w:id="10020"/>
      <w:bookmarkStart w:id="10021" w:name="_Toc4146926"/>
      <w:bookmarkEnd w:id="10021"/>
      <w:bookmarkStart w:id="10022" w:name="_Toc4578333"/>
      <w:bookmarkEnd w:id="10022"/>
      <w:bookmarkStart w:id="10023" w:name="_Toc4146924"/>
      <w:bookmarkEnd w:id="10023"/>
      <w:bookmarkStart w:id="10024" w:name="_Toc4146930"/>
      <w:bookmarkEnd w:id="10024"/>
      <w:bookmarkStart w:id="10025" w:name="_Toc4578336"/>
      <w:bookmarkEnd w:id="10025"/>
      <w:bookmarkStart w:id="10026" w:name="_Toc4578330"/>
      <w:bookmarkEnd w:id="10026"/>
      <w:bookmarkStart w:id="10027" w:name="_Toc4146925"/>
      <w:bookmarkEnd w:id="10027"/>
      <w:bookmarkStart w:id="10028" w:name="_Toc4146927"/>
      <w:bookmarkEnd w:id="10028"/>
      <w:bookmarkStart w:id="10029" w:name="_Toc4578334"/>
      <w:bookmarkEnd w:id="10029"/>
      <w:bookmarkStart w:id="10030" w:name="_Toc4577372"/>
      <w:bookmarkEnd w:id="10030"/>
      <w:bookmarkStart w:id="10031" w:name="_Toc4577373"/>
      <w:bookmarkEnd w:id="10031"/>
      <w:bookmarkStart w:id="10032" w:name="_Toc4146928"/>
      <w:bookmarkEnd w:id="10032"/>
      <w:bookmarkStart w:id="10033" w:name="_Toc4577375"/>
      <w:bookmarkEnd w:id="10033"/>
      <w:bookmarkStart w:id="10034" w:name="_Toc4146951"/>
      <w:bookmarkEnd w:id="10034"/>
      <w:bookmarkStart w:id="10035" w:name="_Toc4146956"/>
      <w:bookmarkEnd w:id="10035"/>
      <w:bookmarkStart w:id="10036" w:name="_Toc4578363"/>
      <w:bookmarkEnd w:id="10036"/>
      <w:bookmarkStart w:id="10037" w:name="_Toc4578342"/>
      <w:bookmarkEnd w:id="10037"/>
      <w:bookmarkStart w:id="10038" w:name="_Toc4577400"/>
      <w:bookmarkEnd w:id="10038"/>
      <w:bookmarkStart w:id="10039" w:name="_Toc4146957"/>
      <w:bookmarkEnd w:id="10039"/>
      <w:bookmarkStart w:id="10040" w:name="_Toc4577404"/>
      <w:bookmarkEnd w:id="10040"/>
      <w:bookmarkStart w:id="10041" w:name="_Toc4578364"/>
      <w:bookmarkEnd w:id="10041"/>
      <w:bookmarkStart w:id="10042" w:name="_Toc4146958"/>
      <w:bookmarkEnd w:id="10042"/>
      <w:bookmarkStart w:id="10043" w:name="_Toc4577405"/>
      <w:bookmarkEnd w:id="10043"/>
      <w:bookmarkStart w:id="10044" w:name="_Toc4578365"/>
      <w:bookmarkEnd w:id="10044"/>
      <w:bookmarkStart w:id="10045" w:name="_Toc4146934"/>
      <w:bookmarkEnd w:id="10045"/>
      <w:bookmarkStart w:id="10046" w:name="_Toc4146952"/>
      <w:bookmarkEnd w:id="10046"/>
      <w:bookmarkStart w:id="10047" w:name="_Toc4146989"/>
      <w:bookmarkEnd w:id="10047"/>
      <w:bookmarkStart w:id="10048" w:name="_Toc4146955"/>
      <w:bookmarkEnd w:id="10048"/>
      <w:bookmarkStart w:id="10049" w:name="_Toc4577382"/>
      <w:bookmarkEnd w:id="10049"/>
      <w:bookmarkStart w:id="10050" w:name="_Toc4577403"/>
      <w:bookmarkEnd w:id="10050"/>
      <w:bookmarkStart w:id="10051" w:name="_Toc4577436"/>
      <w:bookmarkEnd w:id="10051"/>
      <w:bookmarkStart w:id="10052" w:name="_Toc4146935"/>
      <w:bookmarkEnd w:id="10052"/>
      <w:bookmarkStart w:id="10053" w:name="_Toc4577399"/>
      <w:bookmarkEnd w:id="10053"/>
      <w:bookmarkStart w:id="10054" w:name="_Toc4578360"/>
      <w:bookmarkEnd w:id="10054"/>
      <w:bookmarkStart w:id="10055" w:name="_Toc4577381"/>
      <w:bookmarkEnd w:id="10055"/>
      <w:bookmarkStart w:id="10056" w:name="_Toc4577398"/>
      <w:bookmarkEnd w:id="10056"/>
      <w:bookmarkStart w:id="10057" w:name="_Toc4578358"/>
      <w:bookmarkEnd w:id="10057"/>
      <w:bookmarkStart w:id="10058" w:name="_Toc4578359"/>
      <w:bookmarkEnd w:id="10058"/>
      <w:bookmarkStart w:id="10059" w:name="_Toc4577401"/>
      <w:bookmarkEnd w:id="10059"/>
      <w:bookmarkStart w:id="10060" w:name="_Toc4578361"/>
      <w:bookmarkEnd w:id="10060"/>
      <w:bookmarkStart w:id="10061" w:name="_Toc4577402"/>
      <w:bookmarkEnd w:id="10061"/>
      <w:bookmarkStart w:id="10062" w:name="_Toc4578341"/>
      <w:bookmarkEnd w:id="10062"/>
      <w:bookmarkStart w:id="10063" w:name="_Toc4146953"/>
      <w:bookmarkEnd w:id="10063"/>
      <w:bookmarkStart w:id="10064" w:name="_Toc4146954"/>
      <w:bookmarkEnd w:id="10064"/>
      <w:bookmarkStart w:id="10065" w:name="_Toc4578362"/>
      <w:bookmarkEnd w:id="10065"/>
      <w:bookmarkStart w:id="10066" w:name="_Toc4578400"/>
      <w:bookmarkEnd w:id="10066"/>
      <w:bookmarkStart w:id="10067" w:name="_Toc4578402"/>
      <w:bookmarkEnd w:id="10067"/>
      <w:bookmarkStart w:id="10068" w:name="_Toc4577440"/>
      <w:bookmarkEnd w:id="10068"/>
      <w:bookmarkStart w:id="10069" w:name="_Toc4146995"/>
      <w:bookmarkEnd w:id="10069"/>
      <w:bookmarkStart w:id="10070" w:name="_Toc4146996"/>
      <w:bookmarkEnd w:id="10070"/>
      <w:bookmarkStart w:id="10071" w:name="_Toc4577443"/>
      <w:bookmarkEnd w:id="10071"/>
      <w:bookmarkStart w:id="10072" w:name="_Toc4578403"/>
      <w:bookmarkEnd w:id="10072"/>
      <w:bookmarkStart w:id="10073" w:name="_Toc4147033"/>
      <w:bookmarkEnd w:id="10073"/>
      <w:bookmarkStart w:id="10074" w:name="_Toc4578398"/>
      <w:bookmarkEnd w:id="10074"/>
      <w:bookmarkStart w:id="10075" w:name="_Toc4146990"/>
      <w:bookmarkEnd w:id="10075"/>
      <w:bookmarkStart w:id="10076" w:name="_Toc4146993"/>
      <w:bookmarkEnd w:id="10076"/>
      <w:bookmarkStart w:id="10077" w:name="_Toc4578401"/>
      <w:bookmarkEnd w:id="10077"/>
      <w:bookmarkStart w:id="10078" w:name="_Toc4577438"/>
      <w:bookmarkEnd w:id="10078"/>
      <w:bookmarkStart w:id="10079" w:name="_Toc4578399"/>
      <w:bookmarkEnd w:id="10079"/>
      <w:bookmarkStart w:id="10080" w:name="_Toc4577442"/>
      <w:bookmarkEnd w:id="10080"/>
      <w:bookmarkStart w:id="10081" w:name="_Toc4146992"/>
      <w:bookmarkEnd w:id="10081"/>
      <w:bookmarkStart w:id="10082" w:name="_Toc4146994"/>
      <w:bookmarkEnd w:id="10082"/>
      <w:bookmarkStart w:id="10083" w:name="_Toc4577441"/>
      <w:bookmarkEnd w:id="10083"/>
      <w:bookmarkStart w:id="10084" w:name="_Toc4578396"/>
      <w:bookmarkEnd w:id="10084"/>
      <w:bookmarkStart w:id="10085" w:name="_Toc4578397"/>
      <w:bookmarkEnd w:id="10085"/>
      <w:bookmarkStart w:id="10086" w:name="_Toc4146991"/>
      <w:bookmarkEnd w:id="10086"/>
      <w:bookmarkStart w:id="10087" w:name="_Toc4577437"/>
      <w:bookmarkEnd w:id="10087"/>
      <w:bookmarkStart w:id="10088" w:name="_Toc4577439"/>
      <w:bookmarkEnd w:id="10088"/>
      <w:bookmarkStart w:id="10089" w:name="_Toc27488277"/>
      <w:bookmarkEnd w:id="10089"/>
      <w:bookmarkStart w:id="10090" w:name="_Toc27215376"/>
      <w:bookmarkEnd w:id="10090"/>
      <w:bookmarkStart w:id="10091" w:name="广告对象"/>
      <w:bookmarkEnd w:id="10091"/>
      <w:bookmarkStart w:id="10092" w:name="_Toc27488320"/>
      <w:bookmarkEnd w:id="10092"/>
      <w:bookmarkStart w:id="10093" w:name="_入侵防御"/>
      <w:bookmarkEnd w:id="10093"/>
      <w:bookmarkStart w:id="10094" w:name="_Toc27488326"/>
      <w:bookmarkEnd w:id="10094"/>
      <w:bookmarkStart w:id="10095" w:name="_Toc95922388"/>
      <w:bookmarkEnd w:id="10095"/>
      <w:bookmarkStart w:id="10096" w:name="_Toc27215424"/>
      <w:bookmarkEnd w:id="10096"/>
      <w:bookmarkStart w:id="10097" w:name="_Toc27215423"/>
      <w:bookmarkEnd w:id="10097"/>
      <w:bookmarkStart w:id="10098" w:name="_Toc27215387"/>
      <w:bookmarkEnd w:id="10098"/>
      <w:bookmarkStart w:id="10099" w:name="_Toc27488328"/>
      <w:bookmarkEnd w:id="10099"/>
      <w:bookmarkStart w:id="10100" w:name="病毒防护"/>
      <w:bookmarkEnd w:id="10100"/>
      <w:bookmarkStart w:id="10101" w:name="_Toc27488329"/>
      <w:bookmarkEnd w:id="10101"/>
      <w:bookmarkStart w:id="10102" w:name="_Toc27488266"/>
      <w:bookmarkEnd w:id="10102"/>
      <w:bookmarkStart w:id="10103" w:name="_Toc27215405"/>
      <w:bookmarkEnd w:id="10103"/>
      <w:bookmarkStart w:id="10104" w:name="_Toc27488305"/>
      <w:bookmarkEnd w:id="10104"/>
      <w:bookmarkStart w:id="10105" w:name="_Toc27215366"/>
      <w:bookmarkEnd w:id="10105"/>
      <w:bookmarkStart w:id="10106" w:name="_Toc27215413"/>
      <w:bookmarkEnd w:id="10106"/>
      <w:bookmarkStart w:id="10107" w:name="_Toc95922394"/>
      <w:bookmarkEnd w:id="10107"/>
      <w:bookmarkStart w:id="10108" w:name="_Toc95922422"/>
      <w:bookmarkEnd w:id="10108"/>
      <w:bookmarkStart w:id="10109" w:name="_Toc27488267"/>
      <w:bookmarkEnd w:id="10109"/>
      <w:bookmarkStart w:id="10110" w:name="_Toc27488324"/>
      <w:bookmarkEnd w:id="10110"/>
      <w:bookmarkStart w:id="10111" w:name="_Toc27488265"/>
      <w:bookmarkEnd w:id="10111"/>
      <w:bookmarkStart w:id="10112" w:name="_Toc27215367"/>
      <w:bookmarkEnd w:id="10112"/>
      <w:bookmarkStart w:id="10113" w:name="_Toc27488288"/>
      <w:bookmarkEnd w:id="10113"/>
      <w:bookmarkStart w:id="10114" w:name="_Toc27488294"/>
      <w:bookmarkEnd w:id="10114"/>
      <w:bookmarkStart w:id="10115" w:name="_Toc27215392"/>
      <w:bookmarkEnd w:id="10115"/>
      <w:bookmarkStart w:id="10116" w:name="_Toc27488307"/>
      <w:bookmarkEnd w:id="10116"/>
      <w:bookmarkStart w:id="10117" w:name="_Toc27215403"/>
      <w:bookmarkEnd w:id="10117"/>
      <w:bookmarkStart w:id="10118" w:name="_Toc27488316"/>
      <w:bookmarkEnd w:id="10118"/>
      <w:bookmarkStart w:id="10119" w:name="_Toc27215417"/>
      <w:bookmarkEnd w:id="10119"/>
      <w:bookmarkStart w:id="10120" w:name="_Toc27215421"/>
      <w:bookmarkEnd w:id="10120"/>
      <w:bookmarkStart w:id="10121" w:name="_Toc27488376"/>
      <w:bookmarkEnd w:id="10121"/>
      <w:bookmarkStart w:id="10122" w:name="_Toc27215308"/>
      <w:bookmarkEnd w:id="10122"/>
      <w:bookmarkStart w:id="10123" w:name="_Toc27215467"/>
      <w:bookmarkEnd w:id="10123"/>
      <w:bookmarkStart w:id="10124" w:name="_Toc27488364"/>
      <w:bookmarkEnd w:id="10124"/>
      <w:bookmarkStart w:id="10125" w:name="_Toc27215445"/>
      <w:bookmarkEnd w:id="10125"/>
      <w:bookmarkStart w:id="10126" w:name="_Toc27488358"/>
      <w:bookmarkEnd w:id="10126"/>
      <w:bookmarkStart w:id="10127" w:name="_Toc27215459"/>
      <w:bookmarkEnd w:id="10127"/>
      <w:bookmarkStart w:id="10128" w:name="_Toc27488339"/>
      <w:bookmarkEnd w:id="10128"/>
      <w:bookmarkStart w:id="10129" w:name="_Toc27488349"/>
      <w:bookmarkEnd w:id="10129"/>
      <w:bookmarkStart w:id="10130" w:name="_Toc27215456"/>
      <w:bookmarkEnd w:id="10130"/>
      <w:bookmarkStart w:id="10131" w:name="_Toc27215464"/>
      <w:bookmarkEnd w:id="10131"/>
      <w:bookmarkStart w:id="10132" w:name="_Toc27488205"/>
      <w:bookmarkEnd w:id="10132"/>
      <w:bookmarkStart w:id="10133" w:name="_Toc95922470"/>
      <w:bookmarkEnd w:id="10133"/>
      <w:bookmarkStart w:id="10134" w:name="_Toc27215476"/>
      <w:bookmarkEnd w:id="10134"/>
      <w:bookmarkStart w:id="10135" w:name="_Toc27488350"/>
      <w:bookmarkEnd w:id="10135"/>
      <w:bookmarkStart w:id="10136" w:name="_Toc27488369"/>
      <w:bookmarkEnd w:id="10136"/>
      <w:bookmarkStart w:id="10137" w:name="_系统监控"/>
      <w:bookmarkEnd w:id="10137"/>
      <w:bookmarkStart w:id="10138" w:name="_Toc27488374"/>
      <w:bookmarkEnd w:id="10138"/>
      <w:bookmarkStart w:id="10139" w:name="_Toc27488340"/>
      <w:bookmarkEnd w:id="10139"/>
      <w:bookmarkStart w:id="10140" w:name="_Toc27215435"/>
      <w:bookmarkEnd w:id="10140"/>
      <w:bookmarkStart w:id="10141" w:name="_Toc27488338"/>
      <w:bookmarkEnd w:id="10141"/>
      <w:bookmarkStart w:id="10142" w:name="_Toc27215444"/>
      <w:bookmarkEnd w:id="10142"/>
      <w:bookmarkStart w:id="10143" w:name="_Toc27215433"/>
      <w:bookmarkEnd w:id="10143"/>
      <w:bookmarkStart w:id="10144" w:name="_Toc27488361"/>
      <w:bookmarkEnd w:id="10144"/>
      <w:bookmarkStart w:id="10145" w:name="_Toc27215453"/>
      <w:bookmarkEnd w:id="10145"/>
      <w:bookmarkStart w:id="10146" w:name="_Toc27215470"/>
      <w:bookmarkEnd w:id="10146"/>
      <w:bookmarkStart w:id="10147" w:name="_Toc27215434"/>
      <w:bookmarkEnd w:id="10147"/>
      <w:bookmarkStart w:id="10148" w:name="_Toc27488351"/>
      <w:bookmarkEnd w:id="10148"/>
      <w:bookmarkStart w:id="10149" w:name="_Toc27488372"/>
      <w:bookmarkEnd w:id="10149"/>
      <w:bookmarkStart w:id="10150" w:name="_Toc27215469"/>
      <w:bookmarkEnd w:id="10150"/>
      <w:bookmarkStart w:id="10151" w:name="_Toc27215446"/>
      <w:bookmarkEnd w:id="10151"/>
      <w:bookmarkStart w:id="10152" w:name="_Toc27488377"/>
      <w:bookmarkEnd w:id="10152"/>
      <w:bookmarkStart w:id="10153" w:name="_Toc27215502"/>
      <w:bookmarkEnd w:id="10153"/>
      <w:bookmarkStart w:id="10154" w:name="_Toc27488434"/>
      <w:bookmarkEnd w:id="10154"/>
      <w:bookmarkStart w:id="10155" w:name="系统升级"/>
      <w:bookmarkEnd w:id="10155"/>
      <w:bookmarkStart w:id="10156" w:name="_Toc27215527"/>
      <w:bookmarkEnd w:id="10156"/>
      <w:bookmarkStart w:id="10157" w:name="_Toc27488437"/>
      <w:bookmarkEnd w:id="10157"/>
      <w:bookmarkStart w:id="10158" w:name="邮件服务器"/>
      <w:bookmarkEnd w:id="10158"/>
      <w:bookmarkStart w:id="10159" w:name="_Toc27488406"/>
      <w:bookmarkEnd w:id="10159"/>
      <w:bookmarkStart w:id="10160" w:name="_Toc27488384"/>
      <w:bookmarkEnd w:id="10160"/>
      <w:bookmarkStart w:id="10161" w:name="_Toc27488416"/>
      <w:bookmarkEnd w:id="10161"/>
      <w:bookmarkStart w:id="10162" w:name="_Toc27488435"/>
      <w:bookmarkEnd w:id="10162"/>
      <w:bookmarkStart w:id="10163" w:name="_Toc27488439"/>
      <w:bookmarkEnd w:id="10163"/>
      <w:bookmarkStart w:id="10164" w:name="_Toc27215505"/>
      <w:bookmarkEnd w:id="10164"/>
      <w:bookmarkStart w:id="10165" w:name="_Toc27215525"/>
      <w:bookmarkEnd w:id="10165"/>
      <w:bookmarkStart w:id="10166" w:name="_Toc27215489"/>
      <w:bookmarkEnd w:id="10166"/>
      <w:bookmarkStart w:id="10167" w:name="_Toc27215522"/>
      <w:bookmarkEnd w:id="10167"/>
      <w:bookmarkStart w:id="10168" w:name="_Toc27215515"/>
      <w:bookmarkEnd w:id="10168"/>
      <w:bookmarkStart w:id="10169" w:name="_Toc27215496"/>
      <w:bookmarkEnd w:id="10169"/>
      <w:bookmarkStart w:id="10170" w:name="_Toc27488392"/>
      <w:bookmarkEnd w:id="10170"/>
      <w:bookmarkStart w:id="10171" w:name="_Toc27488412"/>
      <w:bookmarkEnd w:id="10171"/>
      <w:bookmarkStart w:id="10172" w:name="服务器管理"/>
      <w:bookmarkEnd w:id="10172"/>
      <w:bookmarkStart w:id="10173" w:name="_Toc27488397"/>
      <w:bookmarkEnd w:id="10173"/>
      <w:bookmarkStart w:id="10174" w:name="_日志中心"/>
      <w:bookmarkEnd w:id="10174"/>
      <w:bookmarkStart w:id="10175" w:name="_Toc27215495"/>
      <w:bookmarkEnd w:id="10175"/>
      <w:bookmarkStart w:id="10176" w:name="_Toc27488405"/>
      <w:bookmarkEnd w:id="10176"/>
      <w:bookmarkStart w:id="10177" w:name="_Toc27215504"/>
      <w:bookmarkEnd w:id="10177"/>
      <w:bookmarkStart w:id="10178" w:name="_Toc27488414"/>
      <w:bookmarkEnd w:id="10178"/>
      <w:bookmarkStart w:id="10179" w:name="日志设定"/>
      <w:bookmarkEnd w:id="10179"/>
      <w:bookmarkStart w:id="10180" w:name="HA全局配置"/>
      <w:bookmarkEnd w:id="10180"/>
      <w:bookmarkStart w:id="10181" w:name="_Toc27215523"/>
      <w:bookmarkEnd w:id="10181"/>
      <w:bookmarkStart w:id="10182" w:name="_Toc27488427"/>
      <w:bookmarkEnd w:id="10182"/>
      <w:bookmarkStart w:id="10183" w:name="_Toc27215484"/>
      <w:bookmarkEnd w:id="10183"/>
      <w:bookmarkStart w:id="10184" w:name="_Toc27488417"/>
      <w:bookmarkEnd w:id="10184"/>
      <w:bookmarkStart w:id="10185" w:name="_Toc80263065"/>
      <w:bookmarkEnd w:id="10185"/>
      <w:bookmarkStart w:id="10186" w:name="_Toc72439408"/>
      <w:bookmarkEnd w:id="10186"/>
      <w:bookmarkStart w:id="10187" w:name="_Toc80264585"/>
      <w:bookmarkEnd w:id="10187"/>
      <w:bookmarkStart w:id="10188" w:name="_Toc72414365"/>
      <w:bookmarkEnd w:id="10188"/>
      <w:bookmarkStart w:id="10189" w:name="_Toc72412658"/>
      <w:bookmarkEnd w:id="10189"/>
      <w:bookmarkStart w:id="10190" w:name="_Toc72439018"/>
      <w:bookmarkEnd w:id="10190"/>
      <w:bookmarkStart w:id="10191" w:name="_Toc72439409"/>
      <w:bookmarkEnd w:id="10191"/>
      <w:bookmarkStart w:id="10192" w:name="_Toc74140514"/>
      <w:bookmarkEnd w:id="10192"/>
      <w:bookmarkStart w:id="10193" w:name="_Toc72413780"/>
      <w:bookmarkEnd w:id="10193"/>
      <w:bookmarkStart w:id="10194" w:name="_Toc80263064"/>
      <w:bookmarkEnd w:id="10194"/>
      <w:bookmarkStart w:id="10195" w:name="_Toc72413781"/>
      <w:bookmarkEnd w:id="10195"/>
      <w:bookmarkStart w:id="10196" w:name="_Toc80264578"/>
      <w:bookmarkEnd w:id="10196"/>
      <w:bookmarkStart w:id="10197" w:name="_Toc72412650"/>
      <w:bookmarkEnd w:id="10197"/>
      <w:bookmarkStart w:id="10198" w:name="_Toc72412649"/>
      <w:bookmarkEnd w:id="10198"/>
      <w:bookmarkStart w:id="10199" w:name="_Toc72439009"/>
      <w:bookmarkEnd w:id="10199"/>
      <w:bookmarkStart w:id="10200" w:name="_Toc72439017"/>
      <w:bookmarkEnd w:id="10200"/>
      <w:bookmarkStart w:id="10201" w:name="_Toc72412657"/>
      <w:bookmarkEnd w:id="10201"/>
      <w:bookmarkStart w:id="10202" w:name="_Toc74140521"/>
      <w:bookmarkEnd w:id="10202"/>
      <w:bookmarkStart w:id="10203" w:name="_Toc72413788"/>
      <w:bookmarkEnd w:id="10203"/>
      <w:bookmarkStart w:id="10204" w:name="_Toc72439400"/>
      <w:bookmarkEnd w:id="10204"/>
      <w:bookmarkStart w:id="10205" w:name="_Toc80263072"/>
      <w:bookmarkEnd w:id="10205"/>
      <w:bookmarkStart w:id="10206" w:name="_Toc496876978"/>
      <w:bookmarkEnd w:id="10206"/>
      <w:bookmarkStart w:id="10207" w:name="_Toc72413789"/>
      <w:bookmarkEnd w:id="10207"/>
      <w:bookmarkStart w:id="10208" w:name="_Toc72414373"/>
      <w:bookmarkEnd w:id="10208"/>
      <w:bookmarkStart w:id="10209" w:name="_Toc496876972"/>
      <w:bookmarkEnd w:id="10209"/>
      <w:bookmarkStart w:id="10210" w:name="_Toc74140513"/>
      <w:bookmarkEnd w:id="10210"/>
      <w:bookmarkStart w:id="10211" w:name="_Toc72414364"/>
      <w:bookmarkEnd w:id="10211"/>
      <w:bookmarkStart w:id="10212" w:name="_Toc80264577"/>
      <w:bookmarkEnd w:id="10212"/>
      <w:bookmarkStart w:id="10213" w:name="_Toc496876976"/>
      <w:bookmarkEnd w:id="10213"/>
      <w:bookmarkStart w:id="10214" w:name="_Toc72439401"/>
      <w:bookmarkEnd w:id="10214"/>
      <w:bookmarkStart w:id="10215" w:name="_Toc72414372"/>
      <w:bookmarkEnd w:id="10215"/>
      <w:bookmarkStart w:id="10216" w:name="_Toc72439010"/>
      <w:bookmarkEnd w:id="10216"/>
      <w:bookmarkStart w:id="10217" w:name="_Toc15060584"/>
      <w:bookmarkEnd w:id="10217"/>
      <w:bookmarkStart w:id="10218" w:name="_Toc189565541"/>
      <w:bookmarkEnd w:id="10218"/>
      <w:bookmarkStart w:id="10219" w:name="_Toc189264674"/>
      <w:bookmarkEnd w:id="10219"/>
      <w:bookmarkStart w:id="10220" w:name="_Toc189264675"/>
      <w:bookmarkEnd w:id="10220"/>
      <w:bookmarkStart w:id="10221" w:name="_Toc189264676"/>
      <w:bookmarkEnd w:id="10221"/>
      <w:bookmarkStart w:id="10222" w:name="_Toc189264672"/>
      <w:bookmarkEnd w:id="10222"/>
      <w:bookmarkStart w:id="10223" w:name="_Toc189264677"/>
      <w:bookmarkEnd w:id="10223"/>
      <w:bookmarkStart w:id="10224" w:name="_Toc15462205"/>
      <w:bookmarkEnd w:id="10224"/>
      <w:bookmarkStart w:id="10225" w:name="_Toc189565545"/>
      <w:bookmarkEnd w:id="10225"/>
      <w:bookmarkStart w:id="10226" w:name="_Toc189264678"/>
      <w:bookmarkEnd w:id="10226"/>
      <w:bookmarkStart w:id="10227" w:name="_Toc189264680"/>
      <w:bookmarkEnd w:id="10227"/>
      <w:bookmarkStart w:id="10228" w:name="_Toc74140522"/>
      <w:bookmarkEnd w:id="10228"/>
      <w:bookmarkStart w:id="10229" w:name="_Toc189264670"/>
      <w:bookmarkEnd w:id="10229"/>
      <w:bookmarkStart w:id="10230" w:name="_Toc189264671"/>
      <w:bookmarkEnd w:id="10230"/>
      <w:bookmarkStart w:id="10231" w:name="_Toc189565544"/>
      <w:bookmarkEnd w:id="10231"/>
      <w:bookmarkStart w:id="10232" w:name="_Toc15462206"/>
      <w:bookmarkEnd w:id="10232"/>
      <w:bookmarkStart w:id="10233" w:name="_Toc189264679"/>
      <w:bookmarkEnd w:id="10233"/>
      <w:bookmarkStart w:id="10234" w:name="_Toc189565549"/>
      <w:bookmarkEnd w:id="10234"/>
      <w:bookmarkStart w:id="10235" w:name="_Toc15060583"/>
      <w:bookmarkEnd w:id="10235"/>
      <w:bookmarkStart w:id="10236" w:name="_Toc189565546"/>
      <w:bookmarkEnd w:id="10236"/>
      <w:bookmarkStart w:id="10237" w:name="_Toc189565548"/>
      <w:bookmarkEnd w:id="10237"/>
      <w:bookmarkStart w:id="10238" w:name="_Toc80264586"/>
      <w:bookmarkEnd w:id="10238"/>
      <w:bookmarkStart w:id="10239" w:name="_Toc80263073"/>
      <w:bookmarkEnd w:id="10239"/>
      <w:bookmarkStart w:id="10240" w:name="_Toc189264673"/>
      <w:bookmarkEnd w:id="10240"/>
      <w:bookmarkStart w:id="10241" w:name="_Toc189565550"/>
      <w:bookmarkEnd w:id="10241"/>
      <w:bookmarkStart w:id="10242" w:name="_Toc15060585"/>
      <w:bookmarkEnd w:id="10242"/>
      <w:bookmarkStart w:id="10243" w:name="_Toc15462207"/>
      <w:bookmarkEnd w:id="10243"/>
      <w:bookmarkStart w:id="10244" w:name="_Toc15060586"/>
      <w:bookmarkEnd w:id="10244"/>
      <w:bookmarkStart w:id="10245" w:name="_Toc189565547"/>
      <w:bookmarkEnd w:id="10245"/>
      <w:bookmarkStart w:id="10246" w:name="_Toc189565542"/>
      <w:bookmarkEnd w:id="10246"/>
      <w:bookmarkStart w:id="10247" w:name="_Toc189565540"/>
      <w:bookmarkEnd w:id="10247"/>
      <w:bookmarkStart w:id="10248" w:name="_Toc189565543"/>
      <w:bookmarkEnd w:id="10248"/>
      <w:bookmarkStart w:id="10249" w:name="_Toc15060599"/>
      <w:bookmarkEnd w:id="10249"/>
      <w:bookmarkStart w:id="10250" w:name="_Toc15060596"/>
      <w:bookmarkEnd w:id="10250"/>
      <w:bookmarkStart w:id="10251" w:name="_Toc15462208"/>
      <w:bookmarkEnd w:id="10251"/>
      <w:bookmarkStart w:id="10252" w:name="_Toc15060594"/>
      <w:bookmarkEnd w:id="10252"/>
      <w:bookmarkStart w:id="10253" w:name="_Toc15462216"/>
      <w:bookmarkEnd w:id="10253"/>
      <w:bookmarkStart w:id="10254" w:name="_Toc15462222"/>
      <w:bookmarkEnd w:id="10254"/>
      <w:bookmarkStart w:id="10255" w:name="_Toc15060601"/>
      <w:bookmarkEnd w:id="10255"/>
      <w:bookmarkStart w:id="10256" w:name="_Toc15462212"/>
      <w:bookmarkEnd w:id="10256"/>
      <w:bookmarkStart w:id="10257" w:name="_Toc15462220"/>
      <w:bookmarkEnd w:id="10257"/>
      <w:bookmarkStart w:id="10258" w:name="_Toc15462223"/>
      <w:bookmarkEnd w:id="10258"/>
      <w:bookmarkStart w:id="10259" w:name="_Toc15060602"/>
      <w:bookmarkEnd w:id="10259"/>
      <w:bookmarkStart w:id="10260" w:name="_Toc15462218"/>
      <w:bookmarkEnd w:id="10260"/>
      <w:bookmarkStart w:id="10261" w:name="_Toc15060589"/>
      <w:bookmarkEnd w:id="10261"/>
      <w:bookmarkStart w:id="10262" w:name="_Toc15060591"/>
      <w:bookmarkEnd w:id="10262"/>
      <w:bookmarkStart w:id="10263" w:name="_Toc15060587"/>
      <w:bookmarkEnd w:id="10263"/>
      <w:bookmarkStart w:id="10264" w:name="_Toc15462213"/>
      <w:bookmarkEnd w:id="10264"/>
      <w:bookmarkStart w:id="10265" w:name="_Toc15060588"/>
      <w:bookmarkEnd w:id="10265"/>
      <w:bookmarkStart w:id="10266" w:name="_Toc15462211"/>
      <w:bookmarkEnd w:id="10266"/>
      <w:bookmarkStart w:id="10267" w:name="_Toc15060590"/>
      <w:bookmarkEnd w:id="10267"/>
      <w:bookmarkStart w:id="10268" w:name="_Toc15462215"/>
      <w:bookmarkEnd w:id="10268"/>
      <w:bookmarkStart w:id="10269" w:name="_Toc15060592"/>
      <w:bookmarkEnd w:id="10269"/>
      <w:bookmarkStart w:id="10270" w:name="_Toc15060595"/>
      <w:bookmarkEnd w:id="10270"/>
      <w:bookmarkStart w:id="10271" w:name="_Toc15462210"/>
      <w:bookmarkEnd w:id="10271"/>
      <w:bookmarkStart w:id="10272" w:name="_Toc15060593"/>
      <w:bookmarkEnd w:id="10272"/>
      <w:bookmarkStart w:id="10273" w:name="_Toc15462217"/>
      <w:bookmarkEnd w:id="10273"/>
      <w:bookmarkStart w:id="10274" w:name="_Toc15060597"/>
      <w:bookmarkEnd w:id="10274"/>
      <w:bookmarkStart w:id="10275" w:name="_Toc15462219"/>
      <w:bookmarkEnd w:id="10275"/>
      <w:bookmarkStart w:id="10276" w:name="_Toc15060598"/>
      <w:bookmarkEnd w:id="10276"/>
      <w:bookmarkStart w:id="10277" w:name="_Toc15462221"/>
      <w:bookmarkEnd w:id="10277"/>
      <w:bookmarkStart w:id="10278" w:name="_Toc15462214"/>
      <w:bookmarkEnd w:id="10278"/>
      <w:bookmarkStart w:id="10279" w:name="_Toc15060600"/>
      <w:bookmarkEnd w:id="10279"/>
      <w:bookmarkStart w:id="10280" w:name="_Toc15462209"/>
      <w:bookmarkEnd w:id="10280"/>
      <w:bookmarkStart w:id="10281" w:name="_Toc15060659"/>
      <w:bookmarkEnd w:id="10281"/>
      <w:bookmarkStart w:id="10282" w:name="_Toc15462285"/>
      <w:bookmarkEnd w:id="10282"/>
      <w:bookmarkStart w:id="10283" w:name="_Toc15060689"/>
      <w:bookmarkEnd w:id="10283"/>
      <w:bookmarkStart w:id="10284" w:name="_Toc15462280"/>
      <w:bookmarkEnd w:id="10284"/>
      <w:bookmarkStart w:id="10285" w:name="_Toc15462224"/>
      <w:bookmarkEnd w:id="10285"/>
      <w:bookmarkStart w:id="10286" w:name="_Toc15462281"/>
      <w:bookmarkEnd w:id="10286"/>
      <w:bookmarkStart w:id="10287" w:name="_Toc15462311"/>
      <w:bookmarkEnd w:id="10287"/>
      <w:bookmarkStart w:id="10288" w:name="_Toc15462283"/>
      <w:bookmarkEnd w:id="10288"/>
      <w:bookmarkStart w:id="10289" w:name="_Toc15060690"/>
      <w:bookmarkEnd w:id="10289"/>
      <w:bookmarkStart w:id="10290" w:name="_Toc15060656"/>
      <w:bookmarkEnd w:id="10290"/>
      <w:bookmarkStart w:id="10291" w:name="_Toc15060688"/>
      <w:bookmarkEnd w:id="10291"/>
      <w:bookmarkStart w:id="10292" w:name="_Toc15060658"/>
      <w:bookmarkEnd w:id="10292"/>
      <w:bookmarkStart w:id="10293" w:name="_Toc15060662"/>
      <w:bookmarkEnd w:id="10293"/>
      <w:bookmarkStart w:id="10294" w:name="_Toc15462229"/>
      <w:bookmarkEnd w:id="10294"/>
      <w:bookmarkStart w:id="10295" w:name="_Toc15060661"/>
      <w:bookmarkEnd w:id="10295"/>
      <w:bookmarkStart w:id="10296" w:name="_Toc15060657"/>
      <w:bookmarkEnd w:id="10296"/>
      <w:bookmarkStart w:id="10297" w:name="_Toc15462284"/>
      <w:bookmarkEnd w:id="10297"/>
      <w:bookmarkStart w:id="10298" w:name="_Toc15462310"/>
      <w:bookmarkEnd w:id="10298"/>
      <w:bookmarkStart w:id="10299" w:name="_Toc15060663"/>
      <w:bookmarkEnd w:id="10299"/>
      <w:bookmarkStart w:id="10300" w:name="_Toc15060604"/>
      <w:bookmarkEnd w:id="10300"/>
      <w:bookmarkStart w:id="10301" w:name="_Toc15060605"/>
      <w:bookmarkEnd w:id="10301"/>
      <w:bookmarkStart w:id="10302" w:name="_Toc15462227"/>
      <w:bookmarkEnd w:id="10302"/>
      <w:bookmarkStart w:id="10303" w:name="_Toc15060606"/>
      <w:bookmarkEnd w:id="10303"/>
      <w:bookmarkStart w:id="10304" w:name="_Toc15462225"/>
      <w:bookmarkEnd w:id="10304"/>
      <w:bookmarkStart w:id="10305" w:name="_Toc15462278"/>
      <w:bookmarkEnd w:id="10305"/>
      <w:bookmarkStart w:id="10306" w:name="_Toc15060607"/>
      <w:bookmarkEnd w:id="10306"/>
      <w:bookmarkStart w:id="10307" w:name="_Toc15462279"/>
      <w:bookmarkEnd w:id="10307"/>
      <w:bookmarkStart w:id="10308" w:name="_Toc15060603"/>
      <w:bookmarkEnd w:id="10308"/>
      <w:bookmarkStart w:id="10309" w:name="_Toc15462226"/>
      <w:bookmarkEnd w:id="10309"/>
      <w:bookmarkStart w:id="10310" w:name="_Toc15462228"/>
      <w:bookmarkEnd w:id="10310"/>
      <w:bookmarkStart w:id="10311" w:name="_Toc15060660"/>
      <w:bookmarkEnd w:id="10311"/>
      <w:bookmarkStart w:id="10312" w:name="_Toc15462282"/>
      <w:bookmarkEnd w:id="10312"/>
      <w:bookmarkStart w:id="10313" w:name="_Toc15060751"/>
      <w:bookmarkEnd w:id="10313"/>
      <w:bookmarkStart w:id="10314" w:name="_Toc15462367"/>
      <w:bookmarkEnd w:id="10314"/>
      <w:bookmarkStart w:id="10315" w:name="_Toc15462313"/>
      <w:bookmarkEnd w:id="10315"/>
      <w:bookmarkStart w:id="10316" w:name="_Toc15462383"/>
      <w:bookmarkEnd w:id="10316"/>
      <w:bookmarkStart w:id="10317" w:name="_Toc15462329"/>
      <w:bookmarkEnd w:id="10317"/>
      <w:bookmarkStart w:id="10318" w:name="_Toc15060767"/>
      <w:bookmarkEnd w:id="10318"/>
      <w:bookmarkStart w:id="10319" w:name="_Toc15462389"/>
      <w:bookmarkEnd w:id="10319"/>
      <w:bookmarkStart w:id="10320" w:name="_Toc15462395"/>
      <w:bookmarkEnd w:id="10320"/>
      <w:bookmarkStart w:id="10321" w:name="_Toc15060783"/>
      <w:bookmarkEnd w:id="10321"/>
      <w:bookmarkStart w:id="10322" w:name="_Toc15060788"/>
      <w:bookmarkEnd w:id="10322"/>
      <w:bookmarkStart w:id="10323" w:name="_Toc15462410"/>
      <w:bookmarkEnd w:id="10323"/>
      <w:bookmarkStart w:id="10324" w:name="_Toc15060773"/>
      <w:bookmarkEnd w:id="10324"/>
      <w:bookmarkStart w:id="10325" w:name="_Toc15060793"/>
      <w:bookmarkEnd w:id="10325"/>
      <w:bookmarkStart w:id="10326" w:name="_Toc15462405"/>
      <w:bookmarkEnd w:id="10326"/>
      <w:bookmarkStart w:id="10327" w:name="_Toc15060729"/>
      <w:bookmarkEnd w:id="10327"/>
      <w:bookmarkStart w:id="10328" w:name="_Toc15060745"/>
      <w:bookmarkEnd w:id="10328"/>
      <w:bookmarkStart w:id="10329" w:name="_Toc15462415"/>
      <w:bookmarkEnd w:id="10329"/>
      <w:bookmarkStart w:id="10330" w:name="_Toc15060798"/>
      <w:bookmarkEnd w:id="10330"/>
      <w:bookmarkStart w:id="10331" w:name="_Toc15060701"/>
      <w:bookmarkEnd w:id="10331"/>
      <w:bookmarkStart w:id="10332" w:name="_Toc15060717"/>
      <w:bookmarkEnd w:id="10332"/>
      <w:bookmarkStart w:id="10333" w:name="_Toc15060723"/>
      <w:bookmarkEnd w:id="10333"/>
      <w:bookmarkStart w:id="10334" w:name="_Toc15060691"/>
      <w:bookmarkEnd w:id="10334"/>
      <w:bookmarkStart w:id="10335" w:name="_Toc15060761"/>
      <w:bookmarkEnd w:id="10335"/>
      <w:bookmarkStart w:id="10336" w:name="_Toc15462373"/>
      <w:bookmarkEnd w:id="10336"/>
      <w:bookmarkStart w:id="10337" w:name="_Toc15462312"/>
      <w:bookmarkEnd w:id="10337"/>
      <w:bookmarkStart w:id="10338" w:name="_Toc15462323"/>
      <w:bookmarkEnd w:id="10338"/>
      <w:bookmarkStart w:id="10339" w:name="_Toc15462345"/>
      <w:bookmarkEnd w:id="10339"/>
      <w:bookmarkStart w:id="10340" w:name="_Toc15462351"/>
      <w:bookmarkEnd w:id="10340"/>
      <w:bookmarkStart w:id="10341" w:name="_Toc15060707"/>
      <w:bookmarkEnd w:id="10341"/>
      <w:bookmarkStart w:id="10342" w:name="_Toc15462339"/>
      <w:bookmarkEnd w:id="10342"/>
      <w:bookmarkStart w:id="10343" w:name="_Toc15060739"/>
      <w:bookmarkEnd w:id="10343"/>
      <w:bookmarkStart w:id="10344" w:name="_Toc15462361"/>
      <w:bookmarkEnd w:id="10344"/>
      <w:bookmarkStart w:id="10345" w:name="_Toc15060814"/>
      <w:bookmarkEnd w:id="10345"/>
      <w:bookmarkStart w:id="10346" w:name="_Toc15462484"/>
      <w:bookmarkEnd w:id="10346"/>
      <w:bookmarkStart w:id="10347" w:name="_Toc15462502"/>
      <w:bookmarkEnd w:id="10347"/>
      <w:bookmarkStart w:id="10348" w:name="_Toc15462430"/>
      <w:bookmarkEnd w:id="10348"/>
      <w:bookmarkStart w:id="10349" w:name="_Toc15060880"/>
      <w:bookmarkEnd w:id="10349"/>
      <w:bookmarkStart w:id="10350" w:name="_Toc15060885"/>
      <w:bookmarkEnd w:id="10350"/>
      <w:bookmarkStart w:id="10351" w:name="_Toc15462507"/>
      <w:bookmarkEnd w:id="10351"/>
      <w:bookmarkStart w:id="10352" w:name="_Toc15462513"/>
      <w:bookmarkEnd w:id="10352"/>
      <w:bookmarkStart w:id="10353" w:name="_Toc15060903"/>
      <w:bookmarkEnd w:id="10353"/>
      <w:bookmarkStart w:id="10354" w:name="_Toc15462525"/>
      <w:bookmarkEnd w:id="10354"/>
      <w:bookmarkStart w:id="10355" w:name="_Toc15060908"/>
      <w:bookmarkEnd w:id="10355"/>
      <w:bookmarkStart w:id="10356" w:name="_Toc15462448"/>
      <w:bookmarkEnd w:id="10356"/>
      <w:bookmarkStart w:id="10357" w:name="_Toc15462478"/>
      <w:bookmarkEnd w:id="10357"/>
      <w:bookmarkStart w:id="10358" w:name="_Toc15060838"/>
      <w:bookmarkEnd w:id="10358"/>
      <w:bookmarkStart w:id="10359" w:name="_Toc15060891"/>
      <w:bookmarkEnd w:id="10359"/>
      <w:bookmarkStart w:id="10360" w:name="_Toc15060808"/>
      <w:bookmarkEnd w:id="10360"/>
      <w:bookmarkStart w:id="10361" w:name="_Toc15060856"/>
      <w:bookmarkEnd w:id="10361"/>
      <w:bookmarkStart w:id="10362" w:name="_Toc15462490"/>
      <w:bookmarkEnd w:id="10362"/>
      <w:bookmarkStart w:id="10363" w:name="_Toc15462425"/>
      <w:bookmarkEnd w:id="10363"/>
      <w:bookmarkStart w:id="10364" w:name="_Toc15060868"/>
      <w:bookmarkEnd w:id="10364"/>
      <w:bookmarkStart w:id="10365" w:name="_Toc15462442"/>
      <w:bookmarkEnd w:id="10365"/>
      <w:bookmarkStart w:id="10366" w:name="_Toc15462420"/>
      <w:bookmarkEnd w:id="10366"/>
      <w:bookmarkStart w:id="10367" w:name="_Toc15462436"/>
      <w:bookmarkEnd w:id="10367"/>
      <w:bookmarkStart w:id="10368" w:name="_Toc15060832"/>
      <w:bookmarkEnd w:id="10368"/>
      <w:bookmarkStart w:id="10369" w:name="_Toc15060862"/>
      <w:bookmarkEnd w:id="10369"/>
      <w:bookmarkStart w:id="10370" w:name="_Toc15060820"/>
      <w:bookmarkEnd w:id="10370"/>
      <w:bookmarkStart w:id="10371" w:name="_Toc15462454"/>
      <w:bookmarkEnd w:id="10371"/>
      <w:bookmarkStart w:id="10372" w:name="_Toc15060844"/>
      <w:bookmarkEnd w:id="10372"/>
      <w:bookmarkStart w:id="10373" w:name="_Toc15060803"/>
      <w:bookmarkEnd w:id="10373"/>
      <w:bookmarkStart w:id="10374" w:name="_Toc15462466"/>
      <w:bookmarkEnd w:id="10374"/>
      <w:bookmarkStart w:id="10375" w:name="_Toc15060826"/>
      <w:bookmarkEnd w:id="10375"/>
      <w:bookmarkStart w:id="10376" w:name="_Toc15462460"/>
      <w:bookmarkEnd w:id="10376"/>
      <w:bookmarkStart w:id="10377" w:name="_Toc15462536"/>
      <w:bookmarkEnd w:id="10377"/>
      <w:bookmarkStart w:id="10378" w:name="_Toc4155263"/>
      <w:bookmarkEnd w:id="10378"/>
      <w:bookmarkStart w:id="10379" w:name="_Toc15462548"/>
      <w:bookmarkEnd w:id="10379"/>
      <w:bookmarkStart w:id="10380" w:name="_Toc15462547"/>
      <w:bookmarkEnd w:id="10380"/>
      <w:bookmarkStart w:id="10381" w:name="_Toc4155238"/>
      <w:bookmarkEnd w:id="10381"/>
      <w:bookmarkStart w:id="10382" w:name="_Toc15462544"/>
      <w:bookmarkEnd w:id="10382"/>
      <w:bookmarkStart w:id="10383" w:name="_Toc15462549"/>
      <w:bookmarkEnd w:id="10383"/>
      <w:bookmarkStart w:id="10384" w:name="_Toc15060926"/>
      <w:bookmarkEnd w:id="10384"/>
      <w:bookmarkStart w:id="10385" w:name="_Toc4155234"/>
      <w:bookmarkEnd w:id="10385"/>
      <w:bookmarkStart w:id="10386" w:name="_Toc4155240"/>
      <w:bookmarkEnd w:id="10386"/>
      <w:bookmarkStart w:id="10387" w:name="_Toc15060914"/>
      <w:bookmarkEnd w:id="10387"/>
      <w:bookmarkStart w:id="10388" w:name="_Toc4155261"/>
      <w:bookmarkEnd w:id="10388"/>
      <w:bookmarkStart w:id="10389" w:name="_Toc15060925"/>
      <w:bookmarkEnd w:id="10389"/>
      <w:bookmarkStart w:id="10390" w:name="_Toc4155236"/>
      <w:bookmarkEnd w:id="10390"/>
      <w:bookmarkStart w:id="10391" w:name="_Toc4155237"/>
      <w:bookmarkEnd w:id="10391"/>
      <w:bookmarkStart w:id="10392" w:name="_Toc4155239"/>
      <w:bookmarkEnd w:id="10392"/>
      <w:bookmarkStart w:id="10393" w:name="_Toc4155241"/>
      <w:bookmarkEnd w:id="10393"/>
      <w:bookmarkStart w:id="10394" w:name="_Toc4155262"/>
      <w:bookmarkEnd w:id="10394"/>
      <w:bookmarkStart w:id="10395" w:name="_Toc15462543"/>
      <w:bookmarkEnd w:id="10395"/>
      <w:bookmarkStart w:id="10396" w:name="_Toc15462542"/>
      <w:bookmarkEnd w:id="10396"/>
      <w:bookmarkStart w:id="10397" w:name="_Toc15060921"/>
      <w:bookmarkEnd w:id="10397"/>
      <w:bookmarkStart w:id="10398" w:name="_Toc15060927"/>
      <w:bookmarkEnd w:id="10398"/>
      <w:bookmarkStart w:id="10399" w:name="_Toc15462530"/>
      <w:bookmarkEnd w:id="10399"/>
      <w:bookmarkStart w:id="10400" w:name="_Toc15462545"/>
      <w:bookmarkEnd w:id="10400"/>
      <w:bookmarkStart w:id="10401" w:name="_Toc4155235"/>
      <w:bookmarkEnd w:id="10401"/>
      <w:bookmarkStart w:id="10402" w:name="_Toc4155242"/>
      <w:bookmarkEnd w:id="10402"/>
      <w:bookmarkStart w:id="10403" w:name="_Toc15060922"/>
      <w:bookmarkEnd w:id="10403"/>
      <w:bookmarkStart w:id="10404" w:name="_Toc15060920"/>
      <w:bookmarkEnd w:id="10404"/>
      <w:bookmarkStart w:id="10405" w:name="_Toc4155233"/>
      <w:bookmarkEnd w:id="10405"/>
      <w:bookmarkStart w:id="10406" w:name="_Toc15060923"/>
      <w:bookmarkEnd w:id="10406"/>
      <w:bookmarkStart w:id="10407" w:name="_Toc15462546"/>
      <w:bookmarkEnd w:id="10407"/>
      <w:bookmarkStart w:id="10408" w:name="_Toc15060924"/>
      <w:bookmarkEnd w:id="10408"/>
      <w:bookmarkStart w:id="10409" w:name="_Toc454900158"/>
      <w:bookmarkEnd w:id="10409"/>
      <w:bookmarkStart w:id="10410" w:name="_Toc455071174"/>
      <w:bookmarkEnd w:id="10410"/>
      <w:bookmarkStart w:id="10411" w:name="_Toc454900076"/>
      <w:bookmarkEnd w:id="10411"/>
      <w:bookmarkStart w:id="10412" w:name="_Toc497297651"/>
      <w:bookmarkEnd w:id="10412"/>
      <w:bookmarkStart w:id="10413" w:name="_Toc497297652"/>
      <w:bookmarkEnd w:id="10413"/>
      <w:bookmarkStart w:id="10414" w:name="_Toc454900156"/>
      <w:bookmarkEnd w:id="10414"/>
      <w:bookmarkStart w:id="10415" w:name="_Toc455071173"/>
      <w:bookmarkEnd w:id="10415"/>
      <w:bookmarkStart w:id="10416" w:name="_Toc497297596"/>
      <w:bookmarkEnd w:id="10416"/>
      <w:bookmarkStart w:id="10417" w:name="_Toc454898246"/>
      <w:bookmarkEnd w:id="10417"/>
      <w:bookmarkStart w:id="10418" w:name="_Toc455073418"/>
      <w:bookmarkEnd w:id="10418"/>
      <w:bookmarkStart w:id="10419" w:name="_Toc455129779"/>
      <w:bookmarkEnd w:id="10419"/>
      <w:bookmarkStart w:id="10420" w:name="_Toc454898247"/>
      <w:bookmarkEnd w:id="10420"/>
      <w:bookmarkStart w:id="10421" w:name="_Toc4155266"/>
      <w:bookmarkEnd w:id="10421"/>
      <w:bookmarkStart w:id="10422" w:name="_Toc497297597"/>
      <w:bookmarkEnd w:id="10422"/>
      <w:bookmarkStart w:id="10423" w:name="_Toc497297650"/>
      <w:bookmarkEnd w:id="10423"/>
      <w:bookmarkStart w:id="10424" w:name="_Toc497297598"/>
      <w:bookmarkEnd w:id="10424"/>
      <w:bookmarkStart w:id="10425" w:name="_Toc4155264"/>
      <w:bookmarkEnd w:id="10425"/>
      <w:bookmarkStart w:id="10426" w:name="_Toc4155267"/>
      <w:bookmarkEnd w:id="10426"/>
      <w:bookmarkStart w:id="10427" w:name="_Toc497297595"/>
      <w:bookmarkEnd w:id="10427"/>
      <w:bookmarkStart w:id="10428" w:name="_Toc497297653"/>
      <w:bookmarkEnd w:id="10428"/>
      <w:bookmarkStart w:id="10429" w:name="_Toc497297599"/>
      <w:bookmarkEnd w:id="10429"/>
      <w:bookmarkStart w:id="10430" w:name="_Toc455071172"/>
      <w:bookmarkEnd w:id="10430"/>
      <w:bookmarkStart w:id="10431" w:name="_Toc4155265"/>
      <w:bookmarkEnd w:id="10431"/>
      <w:bookmarkStart w:id="10432" w:name="_Toc497297649"/>
      <w:bookmarkEnd w:id="10432"/>
      <w:bookmarkStart w:id="10433" w:name="_Toc497297654"/>
      <w:bookmarkEnd w:id="10433"/>
      <w:bookmarkStart w:id="10434" w:name="_Toc454898245"/>
      <w:bookmarkEnd w:id="10434"/>
      <w:bookmarkStart w:id="10435" w:name="_Toc455073417"/>
      <w:bookmarkEnd w:id="10435"/>
      <w:bookmarkStart w:id="10436" w:name="_Toc455129778"/>
      <w:bookmarkEnd w:id="10436"/>
      <w:bookmarkStart w:id="10437" w:name="_Toc454900077"/>
      <w:bookmarkEnd w:id="10437"/>
      <w:bookmarkStart w:id="10438" w:name="_Toc497297600"/>
      <w:bookmarkEnd w:id="10438"/>
      <w:bookmarkStart w:id="10439" w:name="_Toc454900157"/>
      <w:bookmarkEnd w:id="10439"/>
      <w:bookmarkStart w:id="10440" w:name="_Toc454900078"/>
      <w:bookmarkEnd w:id="10440"/>
      <w:bookmarkStart w:id="10441" w:name="_Toc496738640"/>
      <w:bookmarkEnd w:id="10441"/>
      <w:bookmarkStart w:id="10442" w:name="_Toc497300805"/>
      <w:bookmarkEnd w:id="10442"/>
      <w:bookmarkStart w:id="10443" w:name="_Toc497300807"/>
      <w:bookmarkEnd w:id="10443"/>
      <w:bookmarkStart w:id="10444" w:name="_Toc496738644"/>
      <w:bookmarkEnd w:id="10444"/>
      <w:bookmarkStart w:id="10445" w:name="_Toc497300808"/>
      <w:bookmarkEnd w:id="10445"/>
      <w:bookmarkStart w:id="10446" w:name="_Toc496738646"/>
      <w:bookmarkEnd w:id="10446"/>
      <w:bookmarkStart w:id="10447" w:name="_Toc454900099"/>
      <w:bookmarkEnd w:id="10447"/>
      <w:bookmarkStart w:id="10448" w:name="_Toc455073420"/>
      <w:bookmarkEnd w:id="10448"/>
      <w:bookmarkStart w:id="10449" w:name="_Toc496738641"/>
      <w:bookmarkEnd w:id="10449"/>
      <w:bookmarkStart w:id="10450" w:name="_Toc454900159"/>
      <w:bookmarkEnd w:id="10450"/>
      <w:bookmarkStart w:id="10451" w:name="_Toc497300809"/>
      <w:bookmarkEnd w:id="10451"/>
      <w:bookmarkStart w:id="10452" w:name="_Toc497300806"/>
      <w:bookmarkEnd w:id="10452"/>
      <w:bookmarkStart w:id="10453" w:name="_Toc496738647"/>
      <w:bookmarkEnd w:id="10453"/>
      <w:bookmarkStart w:id="10454" w:name="_Toc454900160"/>
      <w:bookmarkEnd w:id="10454"/>
      <w:bookmarkStart w:id="10455" w:name="_Toc496738645"/>
      <w:bookmarkEnd w:id="10455"/>
      <w:bookmarkStart w:id="10456" w:name="_Toc497300810"/>
      <w:bookmarkEnd w:id="10456"/>
      <w:bookmarkStart w:id="10457" w:name="_Toc455073421"/>
      <w:bookmarkEnd w:id="10457"/>
      <w:bookmarkStart w:id="10458" w:name="_Toc455129781"/>
      <w:bookmarkEnd w:id="10458"/>
      <w:bookmarkStart w:id="10459" w:name="_Toc454900179"/>
      <w:bookmarkEnd w:id="10459"/>
      <w:bookmarkStart w:id="10460" w:name="_Toc455071175"/>
      <w:bookmarkEnd w:id="10460"/>
      <w:bookmarkStart w:id="10461" w:name="_Toc455073419"/>
      <w:bookmarkEnd w:id="10461"/>
      <w:bookmarkStart w:id="10462" w:name="_Toc455129780"/>
      <w:bookmarkEnd w:id="10462"/>
      <w:bookmarkStart w:id="10463" w:name="_Toc454900080"/>
      <w:bookmarkEnd w:id="10463"/>
      <w:bookmarkStart w:id="10464" w:name="_Toc455071176"/>
      <w:bookmarkEnd w:id="10464"/>
      <w:bookmarkStart w:id="10465" w:name="_Toc455129782"/>
      <w:bookmarkEnd w:id="10465"/>
      <w:bookmarkStart w:id="10466" w:name="_Toc454898248"/>
      <w:bookmarkEnd w:id="10466"/>
      <w:bookmarkStart w:id="10467" w:name="_Toc454898268"/>
      <w:bookmarkEnd w:id="10467"/>
      <w:bookmarkStart w:id="10468" w:name="_Toc497300804"/>
      <w:bookmarkEnd w:id="10468"/>
      <w:bookmarkStart w:id="10469" w:name="_Toc496738642"/>
      <w:bookmarkEnd w:id="10469"/>
      <w:bookmarkStart w:id="10470" w:name="_Toc496738643"/>
      <w:bookmarkEnd w:id="10470"/>
      <w:bookmarkStart w:id="10471" w:name="_Toc454898249"/>
      <w:bookmarkEnd w:id="10471"/>
      <w:bookmarkStart w:id="10472" w:name="_Toc454900079"/>
      <w:bookmarkEnd w:id="10472"/>
      <w:bookmarkStart w:id="10473" w:name="_Toc496738652"/>
      <w:bookmarkEnd w:id="10473"/>
      <w:bookmarkStart w:id="10474" w:name="_Toc497300862"/>
      <w:bookmarkEnd w:id="10474"/>
      <w:bookmarkStart w:id="10475" w:name="_Toc496738699"/>
      <w:bookmarkEnd w:id="10475"/>
      <w:bookmarkStart w:id="10476" w:name="_Toc496738650"/>
      <w:bookmarkEnd w:id="10476"/>
      <w:bookmarkStart w:id="10477" w:name="_Toc496738701"/>
      <w:bookmarkEnd w:id="10477"/>
      <w:bookmarkStart w:id="10478" w:name="_Toc496738704"/>
      <w:bookmarkEnd w:id="10478"/>
      <w:bookmarkStart w:id="10479" w:name="_Toc496738705"/>
      <w:bookmarkEnd w:id="10479"/>
      <w:bookmarkStart w:id="10480" w:name="_Toc497300815"/>
      <w:bookmarkEnd w:id="10480"/>
      <w:bookmarkStart w:id="10481" w:name="_Toc496738648"/>
      <w:bookmarkEnd w:id="10481"/>
      <w:bookmarkStart w:id="10482" w:name="_Toc497300813"/>
      <w:bookmarkEnd w:id="10482"/>
      <w:bookmarkStart w:id="10483" w:name="_Toc497300816"/>
      <w:bookmarkEnd w:id="10483"/>
      <w:bookmarkStart w:id="10484" w:name="_Toc496738700"/>
      <w:bookmarkEnd w:id="10484"/>
      <w:bookmarkStart w:id="10485" w:name="_Toc496738649"/>
      <w:bookmarkEnd w:id="10485"/>
      <w:bookmarkStart w:id="10486" w:name="_Toc497300863"/>
      <w:bookmarkEnd w:id="10486"/>
      <w:bookmarkStart w:id="10487" w:name="_Toc497300864"/>
      <w:bookmarkEnd w:id="10487"/>
      <w:bookmarkStart w:id="10488" w:name="_Toc497300818"/>
      <w:bookmarkEnd w:id="10488"/>
      <w:bookmarkStart w:id="10489" w:name="_Toc496738653"/>
      <w:bookmarkEnd w:id="10489"/>
      <w:bookmarkStart w:id="10490" w:name="_Toc497300819"/>
      <w:bookmarkEnd w:id="10490"/>
      <w:bookmarkStart w:id="10491" w:name="_Toc497300817"/>
      <w:bookmarkEnd w:id="10491"/>
      <w:bookmarkStart w:id="10492" w:name="_Toc496738698"/>
      <w:bookmarkEnd w:id="10492"/>
      <w:bookmarkStart w:id="10493" w:name="_Toc497300865"/>
      <w:bookmarkEnd w:id="10493"/>
      <w:bookmarkStart w:id="10494" w:name="_Toc497300866"/>
      <w:bookmarkEnd w:id="10494"/>
      <w:bookmarkStart w:id="10495" w:name="_Toc496738702"/>
      <w:bookmarkEnd w:id="10495"/>
      <w:bookmarkStart w:id="10496" w:name="_Toc496738703"/>
      <w:bookmarkEnd w:id="10496"/>
      <w:bookmarkStart w:id="10497" w:name="_Toc496738654"/>
      <w:bookmarkEnd w:id="10497"/>
      <w:bookmarkStart w:id="10498" w:name="_Toc497300811"/>
      <w:bookmarkEnd w:id="10498"/>
      <w:bookmarkStart w:id="10499" w:name="_Toc497300812"/>
      <w:bookmarkEnd w:id="10499"/>
      <w:bookmarkStart w:id="10500" w:name="_Toc497300867"/>
      <w:bookmarkEnd w:id="10500"/>
      <w:bookmarkStart w:id="10501" w:name="_Toc496738655"/>
      <w:bookmarkEnd w:id="10501"/>
      <w:bookmarkStart w:id="10502" w:name="_Toc496738651"/>
      <w:bookmarkEnd w:id="10502"/>
      <w:bookmarkStart w:id="10503" w:name="_Toc497300868"/>
      <w:bookmarkEnd w:id="10503"/>
      <w:bookmarkStart w:id="10504" w:name="_Toc497300814"/>
      <w:bookmarkEnd w:id="10504"/>
      <w:bookmarkStart w:id="10505" w:name="_Toc497300978"/>
      <w:bookmarkEnd w:id="10505"/>
      <w:bookmarkStart w:id="10506" w:name="_Toc496738872"/>
      <w:bookmarkEnd w:id="10506"/>
      <w:bookmarkStart w:id="10507" w:name="_Toc497300977"/>
      <w:bookmarkEnd w:id="10507"/>
      <w:bookmarkStart w:id="10508" w:name="_Toc497301036"/>
      <w:bookmarkEnd w:id="10508"/>
      <w:bookmarkStart w:id="10509" w:name="_Toc497300907"/>
      <w:bookmarkEnd w:id="10509"/>
      <w:bookmarkStart w:id="10510" w:name="_Toc496738873"/>
      <w:bookmarkEnd w:id="10510"/>
      <w:bookmarkStart w:id="10511" w:name="_Toc497301037"/>
      <w:bookmarkEnd w:id="10511"/>
      <w:bookmarkStart w:id="10512" w:name="_Toc496738812"/>
      <w:bookmarkEnd w:id="10512"/>
      <w:bookmarkStart w:id="10513" w:name="_Toc496738874"/>
      <w:bookmarkEnd w:id="10513"/>
      <w:bookmarkStart w:id="10514" w:name="_Toc496738809"/>
      <w:bookmarkEnd w:id="10514"/>
      <w:bookmarkStart w:id="10515" w:name="_Toc497301038"/>
      <w:bookmarkEnd w:id="10515"/>
      <w:bookmarkStart w:id="10516" w:name="_Toc496738875"/>
      <w:bookmarkEnd w:id="10516"/>
      <w:bookmarkStart w:id="10517" w:name="_Toc496738743"/>
      <w:bookmarkEnd w:id="10517"/>
      <w:bookmarkStart w:id="10518" w:name="_Toc496738742"/>
      <w:bookmarkEnd w:id="10518"/>
      <w:bookmarkStart w:id="10519" w:name="_Toc497300972"/>
      <w:bookmarkEnd w:id="10519"/>
      <w:bookmarkStart w:id="10520" w:name="_Toc496738811"/>
      <w:bookmarkEnd w:id="10520"/>
      <w:bookmarkStart w:id="10521" w:name="_Toc497300975"/>
      <w:bookmarkEnd w:id="10521"/>
      <w:bookmarkStart w:id="10522" w:name="_Toc497300976"/>
      <w:bookmarkEnd w:id="10522"/>
      <w:bookmarkStart w:id="10523" w:name="_Toc496738814"/>
      <w:bookmarkEnd w:id="10523"/>
      <w:bookmarkStart w:id="10524" w:name="_Toc496738745"/>
      <w:bookmarkEnd w:id="10524"/>
      <w:bookmarkStart w:id="10525" w:name="_Toc496738746"/>
      <w:bookmarkEnd w:id="10525"/>
      <w:bookmarkStart w:id="10526" w:name="_Toc497300910"/>
      <w:bookmarkEnd w:id="10526"/>
      <w:bookmarkStart w:id="10527" w:name="_Toc497300906"/>
      <w:bookmarkEnd w:id="10527"/>
      <w:bookmarkStart w:id="10528" w:name="_Toc497300908"/>
      <w:bookmarkEnd w:id="10528"/>
      <w:bookmarkStart w:id="10529" w:name="_Toc496738807"/>
      <w:bookmarkEnd w:id="10529"/>
      <w:bookmarkStart w:id="10530" w:name="_Toc496738808"/>
      <w:bookmarkEnd w:id="10530"/>
      <w:bookmarkStart w:id="10531" w:name="_Toc497300973"/>
      <w:bookmarkEnd w:id="10531"/>
      <w:bookmarkStart w:id="10532" w:name="_Toc496738744"/>
      <w:bookmarkEnd w:id="10532"/>
      <w:bookmarkStart w:id="10533" w:name="_Toc497300909"/>
      <w:bookmarkEnd w:id="10533"/>
      <w:bookmarkStart w:id="10534" w:name="_Toc497300971"/>
      <w:bookmarkEnd w:id="10534"/>
      <w:bookmarkStart w:id="10535" w:name="_Toc497300869"/>
      <w:bookmarkEnd w:id="10535"/>
      <w:bookmarkStart w:id="10536" w:name="_Toc496738813"/>
      <w:bookmarkEnd w:id="10536"/>
      <w:bookmarkStart w:id="10537" w:name="_Toc496738917"/>
      <w:bookmarkEnd w:id="10537"/>
      <w:bookmarkStart w:id="10538" w:name="_Toc496738944"/>
      <w:bookmarkEnd w:id="10538"/>
      <w:bookmarkStart w:id="10539" w:name="_Toc497301109"/>
      <w:bookmarkEnd w:id="10539"/>
      <w:bookmarkStart w:id="10540" w:name="_Toc497301110"/>
      <w:bookmarkEnd w:id="10540"/>
      <w:bookmarkStart w:id="10541" w:name="_Toc497301144"/>
      <w:bookmarkEnd w:id="10541"/>
      <w:bookmarkStart w:id="10542" w:name="_Toc496738981"/>
      <w:bookmarkEnd w:id="10542"/>
      <w:bookmarkStart w:id="10543" w:name="_Toc496738916"/>
      <w:bookmarkEnd w:id="10543"/>
      <w:bookmarkStart w:id="10544" w:name="_Toc497301039"/>
      <w:bookmarkEnd w:id="10544"/>
      <w:bookmarkStart w:id="10545" w:name="_Toc496738918"/>
      <w:bookmarkEnd w:id="10545"/>
      <w:bookmarkStart w:id="10546" w:name="_Toc497301107"/>
      <w:bookmarkEnd w:id="10546"/>
      <w:bookmarkStart w:id="10547" w:name="_Toc496738946"/>
      <w:bookmarkEnd w:id="10547"/>
      <w:bookmarkStart w:id="10548" w:name="_Toc497301083"/>
      <w:bookmarkEnd w:id="10548"/>
      <w:bookmarkStart w:id="10549" w:name="_Toc496738980"/>
      <w:bookmarkEnd w:id="10549"/>
      <w:bookmarkStart w:id="10550" w:name="_Toc497301041"/>
      <w:bookmarkEnd w:id="10550"/>
      <w:bookmarkStart w:id="10551" w:name="_Toc496738943"/>
      <w:bookmarkEnd w:id="10551"/>
      <w:bookmarkStart w:id="10552" w:name="_Toc497301108"/>
      <w:bookmarkEnd w:id="10552"/>
      <w:bookmarkStart w:id="10553" w:name="_Toc497301042"/>
      <w:bookmarkEnd w:id="10553"/>
      <w:bookmarkStart w:id="10554" w:name="_Toc496738876"/>
      <w:bookmarkEnd w:id="10554"/>
      <w:bookmarkStart w:id="10555" w:name="_Toc497301080"/>
      <w:bookmarkEnd w:id="10555"/>
      <w:bookmarkStart w:id="10556" w:name="_Toc496738945"/>
      <w:bookmarkEnd w:id="10556"/>
      <w:bookmarkStart w:id="10557" w:name="_Toc496738877"/>
      <w:bookmarkEnd w:id="10557"/>
      <w:bookmarkStart w:id="10558" w:name="_Toc496738878"/>
      <w:bookmarkEnd w:id="10558"/>
      <w:bookmarkStart w:id="10559" w:name="_Toc497301043"/>
      <w:bookmarkEnd w:id="10559"/>
      <w:bookmarkStart w:id="10560" w:name="_Toc496738879"/>
      <w:bookmarkEnd w:id="10560"/>
      <w:bookmarkStart w:id="10561" w:name="_Toc496738919"/>
      <w:bookmarkEnd w:id="10561"/>
      <w:bookmarkStart w:id="10562" w:name="_Toc497301081"/>
      <w:bookmarkEnd w:id="10562"/>
      <w:bookmarkStart w:id="10563" w:name="_Toc496738941"/>
      <w:bookmarkEnd w:id="10563"/>
      <w:bookmarkStart w:id="10564" w:name="_Toc497301105"/>
      <w:bookmarkEnd w:id="10564"/>
      <w:bookmarkStart w:id="10565" w:name="_Toc496738942"/>
      <w:bookmarkEnd w:id="10565"/>
      <w:bookmarkStart w:id="10566" w:name="_Toc497301106"/>
      <w:bookmarkEnd w:id="10566"/>
      <w:bookmarkStart w:id="10567" w:name="_Toc497301040"/>
      <w:bookmarkEnd w:id="10567"/>
      <w:bookmarkStart w:id="10568" w:name="_Toc497301082"/>
      <w:bookmarkEnd w:id="10568"/>
      <w:bookmarkStart w:id="10569" w:name="_Toc496738983"/>
      <w:bookmarkEnd w:id="10569"/>
      <w:bookmarkStart w:id="10570" w:name="_Toc497301163"/>
      <w:bookmarkEnd w:id="10570"/>
      <w:bookmarkStart w:id="10571" w:name="_Toc496739000"/>
      <w:bookmarkEnd w:id="10571"/>
      <w:bookmarkStart w:id="10572" w:name="_Toc496739041"/>
      <w:bookmarkEnd w:id="10572"/>
      <w:bookmarkStart w:id="10573" w:name="_Toc496739044"/>
      <w:bookmarkEnd w:id="10573"/>
      <w:bookmarkStart w:id="10574" w:name="_Toc496739095"/>
      <w:bookmarkEnd w:id="10574"/>
      <w:bookmarkStart w:id="10575" w:name="_Toc497301259"/>
      <w:bookmarkEnd w:id="10575"/>
      <w:bookmarkStart w:id="10576" w:name="_Toc497301146"/>
      <w:bookmarkEnd w:id="10576"/>
      <w:bookmarkStart w:id="10577" w:name="_Toc497301207"/>
      <w:bookmarkEnd w:id="10577"/>
      <w:bookmarkStart w:id="10578" w:name="_Toc496739096"/>
      <w:bookmarkEnd w:id="10578"/>
      <w:bookmarkStart w:id="10579" w:name="_Toc497301147"/>
      <w:bookmarkEnd w:id="10579"/>
      <w:bookmarkStart w:id="10580" w:name="_Toc496739001"/>
      <w:bookmarkEnd w:id="10580"/>
      <w:bookmarkStart w:id="10581" w:name="_Toc497301205"/>
      <w:bookmarkEnd w:id="10581"/>
      <w:bookmarkStart w:id="10582" w:name="_Toc497301164"/>
      <w:bookmarkEnd w:id="10582"/>
      <w:bookmarkStart w:id="10583" w:name="_Toc497301165"/>
      <w:bookmarkEnd w:id="10583"/>
      <w:bookmarkStart w:id="10584" w:name="_Toc497301161"/>
      <w:bookmarkEnd w:id="10584"/>
      <w:bookmarkStart w:id="10585" w:name="_Toc496738996"/>
      <w:bookmarkEnd w:id="10585"/>
      <w:bookmarkStart w:id="10586" w:name="_Toc497301162"/>
      <w:bookmarkEnd w:id="10586"/>
      <w:bookmarkStart w:id="10587" w:name="_Toc497301160"/>
      <w:bookmarkEnd w:id="10587"/>
      <w:bookmarkStart w:id="10588" w:name="_Toc496738999"/>
      <w:bookmarkEnd w:id="10588"/>
      <w:bookmarkStart w:id="10589" w:name="_Toc496739043"/>
      <w:bookmarkEnd w:id="10589"/>
      <w:bookmarkStart w:id="10590" w:name="_Toc497301206"/>
      <w:bookmarkEnd w:id="10590"/>
      <w:bookmarkStart w:id="10591" w:name="_Toc496739042"/>
      <w:bookmarkEnd w:id="10591"/>
      <w:bookmarkStart w:id="10592" w:name="_Toc497301208"/>
      <w:bookmarkEnd w:id="10592"/>
      <w:bookmarkStart w:id="10593" w:name="_Toc496738997"/>
      <w:bookmarkEnd w:id="10593"/>
      <w:bookmarkStart w:id="10594" w:name="_Toc496739045"/>
      <w:bookmarkEnd w:id="10594"/>
      <w:bookmarkStart w:id="10595" w:name="_Toc496739094"/>
      <w:bookmarkEnd w:id="10595"/>
      <w:bookmarkStart w:id="10596" w:name="_Toc497301258"/>
      <w:bookmarkEnd w:id="10596"/>
      <w:bookmarkStart w:id="10597" w:name="_Toc496738998"/>
      <w:bookmarkEnd w:id="10597"/>
      <w:bookmarkStart w:id="10598" w:name="_Toc496738982"/>
      <w:bookmarkEnd w:id="10598"/>
      <w:bookmarkStart w:id="10599" w:name="_Toc497301209"/>
      <w:bookmarkEnd w:id="10599"/>
      <w:bookmarkStart w:id="10600" w:name="_Toc497301145"/>
      <w:bookmarkEnd w:id="10600"/>
      <w:bookmarkStart w:id="10601" w:name="_Toc497301363"/>
      <w:bookmarkEnd w:id="10601"/>
      <w:bookmarkStart w:id="10602" w:name="_Toc497301365"/>
      <w:bookmarkEnd w:id="10602"/>
      <w:bookmarkStart w:id="10603" w:name="_Toc497301366"/>
      <w:bookmarkEnd w:id="10603"/>
      <w:bookmarkStart w:id="10604" w:name="_Toc497301361"/>
      <w:bookmarkEnd w:id="10604"/>
      <w:bookmarkStart w:id="10605" w:name="_Toc497301367"/>
      <w:bookmarkEnd w:id="10605"/>
      <w:bookmarkStart w:id="10606" w:name="_Toc496739204"/>
      <w:bookmarkEnd w:id="10606"/>
      <w:bookmarkStart w:id="10607" w:name="_Toc497301368"/>
      <w:bookmarkEnd w:id="10607"/>
      <w:bookmarkStart w:id="10608" w:name="_Toc496739199"/>
      <w:bookmarkEnd w:id="10608"/>
      <w:bookmarkStart w:id="10609" w:name="_Toc496739142"/>
      <w:bookmarkEnd w:id="10609"/>
      <w:bookmarkStart w:id="10610" w:name="_Toc497301308"/>
      <w:bookmarkEnd w:id="10610"/>
      <w:bookmarkStart w:id="10611" w:name="_Toc496739197"/>
      <w:bookmarkEnd w:id="10611"/>
      <w:bookmarkStart w:id="10612" w:name="_Toc496739200"/>
      <w:bookmarkEnd w:id="10612"/>
      <w:bookmarkStart w:id="10613" w:name="_Toc497301309"/>
      <w:bookmarkEnd w:id="10613"/>
      <w:bookmarkStart w:id="10614" w:name="_Toc496739205"/>
      <w:bookmarkEnd w:id="10614"/>
      <w:bookmarkStart w:id="10615" w:name="_Toc496739143"/>
      <w:bookmarkEnd w:id="10615"/>
      <w:bookmarkStart w:id="10616" w:name="_Toc496739202"/>
      <w:bookmarkEnd w:id="10616"/>
      <w:bookmarkStart w:id="10617" w:name="_Toc497301364"/>
      <w:bookmarkEnd w:id="10617"/>
      <w:bookmarkStart w:id="10618" w:name="_Toc496739203"/>
      <w:bookmarkEnd w:id="10618"/>
      <w:bookmarkStart w:id="10619" w:name="_Toc496739201"/>
      <w:bookmarkEnd w:id="10619"/>
      <w:bookmarkStart w:id="10620" w:name="_Toc496739097"/>
      <w:bookmarkEnd w:id="10620"/>
      <w:bookmarkStart w:id="10621" w:name="_Toc496739098"/>
      <w:bookmarkEnd w:id="10621"/>
      <w:bookmarkStart w:id="10622" w:name="_Toc497301262"/>
      <w:bookmarkEnd w:id="10622"/>
      <w:bookmarkStart w:id="10623" w:name="_Toc496739141"/>
      <w:bookmarkEnd w:id="10623"/>
      <w:bookmarkStart w:id="10624" w:name="_Toc497301260"/>
      <w:bookmarkEnd w:id="10624"/>
      <w:bookmarkStart w:id="10625" w:name="_Toc497301307"/>
      <w:bookmarkEnd w:id="10625"/>
      <w:bookmarkStart w:id="10626" w:name="_Toc496739144"/>
      <w:bookmarkEnd w:id="10626"/>
      <w:bookmarkStart w:id="10627" w:name="_Toc497301306"/>
      <w:bookmarkEnd w:id="10627"/>
      <w:bookmarkStart w:id="10628" w:name="_Toc497301261"/>
      <w:bookmarkEnd w:id="10628"/>
      <w:bookmarkStart w:id="10629" w:name="_Toc497301305"/>
      <w:bookmarkEnd w:id="10629"/>
      <w:bookmarkStart w:id="10630" w:name="_Toc496739145"/>
      <w:bookmarkEnd w:id="10630"/>
      <w:bookmarkStart w:id="10631" w:name="_Toc497301362"/>
      <w:bookmarkEnd w:id="10631"/>
      <w:bookmarkStart w:id="10632" w:name="_Toc496739198"/>
      <w:bookmarkEnd w:id="10632"/>
      <w:bookmarkStart w:id="10633" w:name="_Toc497301373"/>
      <w:bookmarkEnd w:id="10633"/>
      <w:bookmarkStart w:id="10634" w:name="_Toc497301370"/>
      <w:bookmarkEnd w:id="10634"/>
      <w:bookmarkStart w:id="10635" w:name="_Toc496739218"/>
      <w:bookmarkEnd w:id="10635"/>
      <w:bookmarkStart w:id="10636" w:name="_Toc496739219"/>
      <w:bookmarkEnd w:id="10636"/>
      <w:bookmarkStart w:id="10637" w:name="_Toc496739213"/>
      <w:bookmarkEnd w:id="10637"/>
      <w:bookmarkStart w:id="10638" w:name="_Toc497301383"/>
      <w:bookmarkEnd w:id="10638"/>
      <w:bookmarkStart w:id="10639" w:name="_Toc496739220"/>
      <w:bookmarkEnd w:id="10639"/>
      <w:bookmarkStart w:id="10640" w:name="_Toc496739209"/>
      <w:bookmarkEnd w:id="10640"/>
      <w:bookmarkStart w:id="10641" w:name="_Toc497301384"/>
      <w:bookmarkEnd w:id="10641"/>
      <w:bookmarkStart w:id="10642" w:name="_Toc497301382"/>
      <w:bookmarkEnd w:id="10642"/>
      <w:bookmarkStart w:id="10643" w:name="_Toc496739221"/>
      <w:bookmarkEnd w:id="10643"/>
      <w:bookmarkStart w:id="10644" w:name="_Toc497301369"/>
      <w:bookmarkEnd w:id="10644"/>
      <w:bookmarkStart w:id="10645" w:name="_Toc496739207"/>
      <w:bookmarkEnd w:id="10645"/>
      <w:bookmarkStart w:id="10646" w:name="_Toc497301374"/>
      <w:bookmarkEnd w:id="10646"/>
      <w:bookmarkStart w:id="10647" w:name="_Toc496739206"/>
      <w:bookmarkEnd w:id="10647"/>
      <w:bookmarkStart w:id="10648" w:name="_Toc496739210"/>
      <w:bookmarkEnd w:id="10648"/>
      <w:bookmarkStart w:id="10649" w:name="_Toc497301375"/>
      <w:bookmarkEnd w:id="10649"/>
      <w:bookmarkStart w:id="10650" w:name="_Toc497301376"/>
      <w:bookmarkEnd w:id="10650"/>
      <w:bookmarkStart w:id="10651" w:name="_Toc497301372"/>
      <w:bookmarkEnd w:id="10651"/>
      <w:bookmarkStart w:id="10652" w:name="_Toc497301378"/>
      <w:bookmarkEnd w:id="10652"/>
      <w:bookmarkStart w:id="10653" w:name="_Toc497301379"/>
      <w:bookmarkEnd w:id="10653"/>
      <w:bookmarkStart w:id="10654" w:name="_Toc496739208"/>
      <w:bookmarkEnd w:id="10654"/>
      <w:bookmarkStart w:id="10655" w:name="_Toc497301371"/>
      <w:bookmarkEnd w:id="10655"/>
      <w:bookmarkStart w:id="10656" w:name="_Toc496739212"/>
      <w:bookmarkEnd w:id="10656"/>
      <w:bookmarkStart w:id="10657" w:name="_Toc496739214"/>
      <w:bookmarkEnd w:id="10657"/>
      <w:bookmarkStart w:id="10658" w:name="_Toc496739216"/>
      <w:bookmarkEnd w:id="10658"/>
      <w:bookmarkStart w:id="10659" w:name="_Toc497301380"/>
      <w:bookmarkEnd w:id="10659"/>
      <w:bookmarkStart w:id="10660" w:name="_Toc497301377"/>
      <w:bookmarkEnd w:id="10660"/>
      <w:bookmarkStart w:id="10661" w:name="_Toc496739215"/>
      <w:bookmarkEnd w:id="10661"/>
      <w:bookmarkStart w:id="10662" w:name="_Toc496739217"/>
      <w:bookmarkEnd w:id="10662"/>
      <w:bookmarkStart w:id="10663" w:name="_Toc496739211"/>
      <w:bookmarkEnd w:id="10663"/>
      <w:bookmarkStart w:id="10664" w:name="_Toc497301381"/>
      <w:bookmarkEnd w:id="10664"/>
      <w:bookmarkStart w:id="10665" w:name="_Toc497301385"/>
      <w:bookmarkEnd w:id="10665"/>
      <w:bookmarkStart w:id="10666" w:name="_Toc496739245"/>
      <w:bookmarkEnd w:id="10666"/>
      <w:bookmarkStart w:id="10667" w:name="_Toc496739230"/>
      <w:bookmarkEnd w:id="10667"/>
      <w:bookmarkStart w:id="10668" w:name="_Toc497301392"/>
      <w:bookmarkEnd w:id="10668"/>
      <w:bookmarkStart w:id="10669" w:name="_Toc496739244"/>
      <w:bookmarkEnd w:id="10669"/>
      <w:bookmarkStart w:id="10670" w:name="_Toc496739222"/>
      <w:bookmarkEnd w:id="10670"/>
      <w:bookmarkStart w:id="10671" w:name="_Toc496739228"/>
      <w:bookmarkEnd w:id="10671"/>
      <w:bookmarkStart w:id="10672" w:name="_Toc496739224"/>
      <w:bookmarkEnd w:id="10672"/>
      <w:bookmarkStart w:id="10673" w:name="_Toc496739263"/>
      <w:bookmarkEnd w:id="10673"/>
      <w:bookmarkStart w:id="10674" w:name="_Toc497301427"/>
      <w:bookmarkEnd w:id="10674"/>
      <w:bookmarkStart w:id="10675" w:name="_Toc497301390"/>
      <w:bookmarkEnd w:id="10675"/>
      <w:bookmarkStart w:id="10676" w:name="_Toc496739264"/>
      <w:bookmarkEnd w:id="10676"/>
      <w:bookmarkStart w:id="10677" w:name="_Toc497301388"/>
      <w:bookmarkEnd w:id="10677"/>
      <w:bookmarkStart w:id="10678" w:name="_Toc496739225"/>
      <w:bookmarkEnd w:id="10678"/>
      <w:bookmarkStart w:id="10679" w:name="_Toc497301387"/>
      <w:bookmarkEnd w:id="10679"/>
      <w:bookmarkStart w:id="10680" w:name="_Toc496739227"/>
      <w:bookmarkEnd w:id="10680"/>
      <w:bookmarkStart w:id="10681" w:name="_Toc497301410"/>
      <w:bookmarkEnd w:id="10681"/>
      <w:bookmarkStart w:id="10682" w:name="_Toc497301411"/>
      <w:bookmarkEnd w:id="10682"/>
      <w:bookmarkStart w:id="10683" w:name="_Toc497301389"/>
      <w:bookmarkEnd w:id="10683"/>
      <w:bookmarkStart w:id="10684" w:name="_Toc497301394"/>
      <w:bookmarkEnd w:id="10684"/>
      <w:bookmarkStart w:id="10685" w:name="_Toc497301408"/>
      <w:bookmarkEnd w:id="10685"/>
      <w:bookmarkStart w:id="10686" w:name="_Toc496739223"/>
      <w:bookmarkEnd w:id="10686"/>
      <w:bookmarkStart w:id="10687" w:name="_Toc497301393"/>
      <w:bookmarkEnd w:id="10687"/>
      <w:bookmarkStart w:id="10688" w:name="_Toc497301409"/>
      <w:bookmarkEnd w:id="10688"/>
      <w:bookmarkStart w:id="10689" w:name="_Toc496739229"/>
      <w:bookmarkEnd w:id="10689"/>
      <w:bookmarkStart w:id="10690" w:name="_Toc496739243"/>
      <w:bookmarkEnd w:id="10690"/>
      <w:bookmarkStart w:id="10691" w:name="_Toc496739246"/>
      <w:bookmarkEnd w:id="10691"/>
      <w:bookmarkStart w:id="10692" w:name="_Toc496739247"/>
      <w:bookmarkEnd w:id="10692"/>
      <w:bookmarkStart w:id="10693" w:name="_Toc496739226"/>
      <w:bookmarkEnd w:id="10693"/>
      <w:bookmarkStart w:id="10694" w:name="_Toc497301386"/>
      <w:bookmarkEnd w:id="10694"/>
      <w:bookmarkStart w:id="10695" w:name="_Toc497301391"/>
      <w:bookmarkEnd w:id="10695"/>
      <w:bookmarkStart w:id="10696" w:name="_Toc497301407"/>
      <w:bookmarkEnd w:id="10696"/>
      <w:bookmarkStart w:id="10697" w:name="_Toc497301445"/>
      <w:bookmarkEnd w:id="10697"/>
      <w:bookmarkStart w:id="10698" w:name="_Toc496739304"/>
      <w:bookmarkEnd w:id="10698"/>
      <w:bookmarkStart w:id="10699" w:name="_Toc497301468"/>
      <w:bookmarkEnd w:id="10699"/>
      <w:bookmarkStart w:id="10700" w:name="_Toc497301431"/>
      <w:bookmarkEnd w:id="10700"/>
      <w:bookmarkStart w:id="10701" w:name="_Toc497301470"/>
      <w:bookmarkEnd w:id="10701"/>
      <w:bookmarkStart w:id="10702" w:name="_Toc497301488"/>
      <w:bookmarkEnd w:id="10702"/>
      <w:bookmarkStart w:id="10703" w:name="_Toc496739325"/>
      <w:bookmarkEnd w:id="10703"/>
      <w:bookmarkStart w:id="10704" w:name="_Toc496739281"/>
      <w:bookmarkEnd w:id="10704"/>
      <w:bookmarkStart w:id="10705" w:name="_Toc497301429"/>
      <w:bookmarkEnd w:id="10705"/>
      <w:bookmarkStart w:id="10706" w:name="_Toc496739267"/>
      <w:bookmarkEnd w:id="10706"/>
      <w:bookmarkStart w:id="10707" w:name="_Toc496739282"/>
      <w:bookmarkEnd w:id="10707"/>
      <w:bookmarkStart w:id="10708" w:name="_Toc497301469"/>
      <w:bookmarkEnd w:id="10708"/>
      <w:bookmarkStart w:id="10709" w:name="_Toc497301430"/>
      <w:bookmarkEnd w:id="10709"/>
      <w:bookmarkStart w:id="10710" w:name="_Toc496739305"/>
      <w:bookmarkEnd w:id="10710"/>
      <w:bookmarkStart w:id="10711" w:name="_Toc496739306"/>
      <w:bookmarkEnd w:id="10711"/>
      <w:bookmarkStart w:id="10712" w:name="_Toc496739284"/>
      <w:bookmarkEnd w:id="10712"/>
      <w:bookmarkStart w:id="10713" w:name="_Toc497301446"/>
      <w:bookmarkEnd w:id="10713"/>
      <w:bookmarkStart w:id="10714" w:name="_Toc496739303"/>
      <w:bookmarkEnd w:id="10714"/>
      <w:bookmarkStart w:id="10715" w:name="_Toc496739283"/>
      <w:bookmarkEnd w:id="10715"/>
      <w:bookmarkStart w:id="10716" w:name="_Toc497301428"/>
      <w:bookmarkEnd w:id="10716"/>
      <w:bookmarkStart w:id="10717" w:name="_Toc497301467"/>
      <w:bookmarkEnd w:id="10717"/>
      <w:bookmarkStart w:id="10718" w:name="_Toc496739307"/>
      <w:bookmarkEnd w:id="10718"/>
      <w:bookmarkStart w:id="10719" w:name="_Toc497301471"/>
      <w:bookmarkEnd w:id="10719"/>
      <w:bookmarkStart w:id="10720" w:name="_Toc496739308"/>
      <w:bookmarkEnd w:id="10720"/>
      <w:bookmarkStart w:id="10721" w:name="_Toc497301447"/>
      <w:bookmarkEnd w:id="10721"/>
      <w:bookmarkStart w:id="10722" w:name="_Toc496739265"/>
      <w:bookmarkEnd w:id="10722"/>
      <w:bookmarkStart w:id="10723" w:name="_Toc496739266"/>
      <w:bookmarkEnd w:id="10723"/>
      <w:bookmarkStart w:id="10724" w:name="_Toc497301472"/>
      <w:bookmarkEnd w:id="10724"/>
      <w:bookmarkStart w:id="10725" w:name="_Toc497301448"/>
      <w:bookmarkEnd w:id="10725"/>
      <w:bookmarkStart w:id="10726" w:name="_Toc497301432"/>
      <w:bookmarkEnd w:id="10726"/>
      <w:bookmarkStart w:id="10727" w:name="_Toc496739324"/>
      <w:bookmarkEnd w:id="10727"/>
      <w:bookmarkStart w:id="10728" w:name="_Toc496739268"/>
      <w:bookmarkEnd w:id="10728"/>
      <w:bookmarkStart w:id="10729" w:name="_Toc497301595"/>
      <w:bookmarkEnd w:id="10729"/>
      <w:bookmarkStart w:id="10730" w:name="_Toc497301596"/>
      <w:bookmarkEnd w:id="10730"/>
      <w:bookmarkStart w:id="10731" w:name="_Toc496739433"/>
      <w:bookmarkEnd w:id="10731"/>
      <w:bookmarkStart w:id="10732" w:name="_Toc496739431"/>
      <w:bookmarkEnd w:id="10732"/>
      <w:bookmarkStart w:id="10733" w:name="_Toc496739328"/>
      <w:bookmarkEnd w:id="10733"/>
      <w:bookmarkStart w:id="10734" w:name="_Toc496739432"/>
      <w:bookmarkEnd w:id="10734"/>
      <w:bookmarkStart w:id="10735" w:name="_Toc496739435"/>
      <w:bookmarkEnd w:id="10735"/>
      <w:bookmarkStart w:id="10736" w:name="_Toc496739434"/>
      <w:bookmarkEnd w:id="10736"/>
      <w:bookmarkStart w:id="10737" w:name="_Toc497301599"/>
      <w:bookmarkEnd w:id="10737"/>
      <w:bookmarkStart w:id="10738" w:name="_Toc497301544"/>
      <w:bookmarkEnd w:id="10738"/>
      <w:bookmarkStart w:id="10739" w:name="_Toc496739436"/>
      <w:bookmarkEnd w:id="10739"/>
      <w:bookmarkStart w:id="10740" w:name="_Toc497301546"/>
      <w:bookmarkEnd w:id="10740"/>
      <w:bookmarkStart w:id="10741" w:name="_Toc497301489"/>
      <w:bookmarkEnd w:id="10741"/>
      <w:bookmarkStart w:id="10742" w:name="_Toc497301490"/>
      <w:bookmarkEnd w:id="10742"/>
      <w:bookmarkStart w:id="10743" w:name="_Toc497301491"/>
      <w:bookmarkEnd w:id="10743"/>
      <w:bookmarkStart w:id="10744" w:name="_Toc496739380"/>
      <w:bookmarkEnd w:id="10744"/>
      <w:bookmarkStart w:id="10745" w:name="_Toc497301545"/>
      <w:bookmarkEnd w:id="10745"/>
      <w:bookmarkStart w:id="10746" w:name="_Toc497301597"/>
      <w:bookmarkEnd w:id="10746"/>
      <w:bookmarkStart w:id="10747" w:name="_Toc497301598"/>
      <w:bookmarkEnd w:id="10747"/>
      <w:bookmarkStart w:id="10748" w:name="_Toc497301493"/>
      <w:bookmarkEnd w:id="10748"/>
      <w:bookmarkStart w:id="10749" w:name="_Toc497301541"/>
      <w:bookmarkEnd w:id="10749"/>
      <w:bookmarkStart w:id="10750" w:name="_Toc496739378"/>
      <w:bookmarkEnd w:id="10750"/>
      <w:bookmarkStart w:id="10751" w:name="_Toc496739327"/>
      <w:bookmarkEnd w:id="10751"/>
      <w:bookmarkStart w:id="10752" w:name="_Toc496739329"/>
      <w:bookmarkEnd w:id="10752"/>
      <w:bookmarkStart w:id="10753" w:name="_Toc497301542"/>
      <w:bookmarkEnd w:id="10753"/>
      <w:bookmarkStart w:id="10754" w:name="_Toc497301543"/>
      <w:bookmarkEnd w:id="10754"/>
      <w:bookmarkStart w:id="10755" w:name="_Toc496739381"/>
      <w:bookmarkEnd w:id="10755"/>
      <w:bookmarkStart w:id="10756" w:name="_Toc497301492"/>
      <w:bookmarkEnd w:id="10756"/>
      <w:bookmarkStart w:id="10757" w:name="_Toc496739377"/>
      <w:bookmarkEnd w:id="10757"/>
      <w:bookmarkStart w:id="10758" w:name="_Toc496739379"/>
      <w:bookmarkEnd w:id="10758"/>
      <w:bookmarkStart w:id="10759" w:name="_Toc496739326"/>
      <w:bookmarkEnd w:id="10759"/>
      <w:bookmarkStart w:id="10760" w:name="_Toc496739382"/>
      <w:bookmarkEnd w:id="10760"/>
      <w:bookmarkStart w:id="10761" w:name="_Toc497301660"/>
      <w:bookmarkEnd w:id="10761"/>
      <w:bookmarkStart w:id="10762" w:name="_Toc497301661"/>
      <w:bookmarkEnd w:id="10762"/>
      <w:bookmarkStart w:id="10763" w:name="_Toc496739464"/>
      <w:bookmarkEnd w:id="10763"/>
      <w:bookmarkStart w:id="10764" w:name="_Toc497301626"/>
      <w:bookmarkEnd w:id="10764"/>
      <w:bookmarkStart w:id="10765" w:name="_Toc496739490"/>
      <w:bookmarkEnd w:id="10765"/>
      <w:bookmarkStart w:id="10766" w:name="_Toc496739496"/>
      <w:bookmarkEnd w:id="10766"/>
      <w:bookmarkStart w:id="10767" w:name="_Toc496739462"/>
      <w:bookmarkEnd w:id="10767"/>
      <w:bookmarkStart w:id="10768" w:name="_Toc496739498"/>
      <w:bookmarkEnd w:id="10768"/>
      <w:bookmarkStart w:id="10769" w:name="_Toc497301662"/>
      <w:bookmarkEnd w:id="10769"/>
      <w:bookmarkStart w:id="10770" w:name="_Toc496739499"/>
      <w:bookmarkEnd w:id="10770"/>
      <w:bookmarkStart w:id="10771" w:name="_Toc497301600"/>
      <w:bookmarkEnd w:id="10771"/>
      <w:bookmarkStart w:id="10772" w:name="_Toc497301663"/>
      <w:bookmarkEnd w:id="10772"/>
      <w:bookmarkStart w:id="10773" w:name="_Toc497301657"/>
      <w:bookmarkEnd w:id="10773"/>
      <w:bookmarkStart w:id="10774" w:name="_Toc497301658"/>
      <w:bookmarkEnd w:id="10774"/>
      <w:bookmarkStart w:id="10775" w:name="_Toc497301656"/>
      <w:bookmarkEnd w:id="10775"/>
      <w:bookmarkStart w:id="10776" w:name="_Toc496739461"/>
      <w:bookmarkEnd w:id="10776"/>
      <w:bookmarkStart w:id="10777" w:name="_Toc497301659"/>
      <w:bookmarkEnd w:id="10777"/>
      <w:bookmarkStart w:id="10778" w:name="_Toc496739500"/>
      <w:bookmarkEnd w:id="10778"/>
      <w:bookmarkStart w:id="10779" w:name="_Toc497301628"/>
      <w:bookmarkEnd w:id="10779"/>
      <w:bookmarkStart w:id="10780" w:name="_Toc497301654"/>
      <w:bookmarkEnd w:id="10780"/>
      <w:bookmarkStart w:id="10781" w:name="_Toc497301655"/>
      <w:bookmarkEnd w:id="10781"/>
      <w:bookmarkStart w:id="10782" w:name="_Toc497301627"/>
      <w:bookmarkEnd w:id="10782"/>
      <w:bookmarkStart w:id="10783" w:name="_Toc496739495"/>
      <w:bookmarkEnd w:id="10783"/>
      <w:bookmarkStart w:id="10784" w:name="_Toc496739497"/>
      <w:bookmarkEnd w:id="10784"/>
      <w:bookmarkStart w:id="10785" w:name="_Toc496739463"/>
      <w:bookmarkEnd w:id="10785"/>
      <w:bookmarkStart w:id="10786" w:name="_Toc496739465"/>
      <w:bookmarkEnd w:id="10786"/>
      <w:bookmarkStart w:id="10787" w:name="_Toc496739492"/>
      <w:bookmarkEnd w:id="10787"/>
      <w:bookmarkStart w:id="10788" w:name="_Toc496739493"/>
      <w:bookmarkEnd w:id="10788"/>
      <w:bookmarkStart w:id="10789" w:name="_Toc497301629"/>
      <w:bookmarkEnd w:id="10789"/>
      <w:bookmarkStart w:id="10790" w:name="_Toc497301625"/>
      <w:bookmarkEnd w:id="10790"/>
      <w:bookmarkStart w:id="10791" w:name="_Toc496739491"/>
      <w:bookmarkEnd w:id="10791"/>
      <w:bookmarkStart w:id="10792" w:name="_Toc496739494"/>
      <w:bookmarkEnd w:id="10792"/>
      <w:bookmarkStart w:id="10793" w:name="_Toc497301668"/>
      <w:bookmarkEnd w:id="10793"/>
      <w:bookmarkStart w:id="10794" w:name="_Toc496739516"/>
      <w:bookmarkEnd w:id="10794"/>
      <w:bookmarkStart w:id="10795" w:name="_Toc496739513"/>
      <w:bookmarkEnd w:id="10795"/>
      <w:bookmarkStart w:id="10796" w:name="_Toc496739504"/>
      <w:bookmarkEnd w:id="10796"/>
      <w:bookmarkStart w:id="10797" w:name="_Toc497301675"/>
      <w:bookmarkEnd w:id="10797"/>
      <w:bookmarkStart w:id="10798" w:name="_Toc496739505"/>
      <w:bookmarkEnd w:id="10798"/>
      <w:bookmarkStart w:id="10799" w:name="_Toc496739511"/>
      <w:bookmarkEnd w:id="10799"/>
      <w:bookmarkStart w:id="10800" w:name="_Toc496739507"/>
      <w:bookmarkEnd w:id="10800"/>
      <w:bookmarkStart w:id="10801" w:name="_Toc496739515"/>
      <w:bookmarkEnd w:id="10801"/>
      <w:bookmarkStart w:id="10802" w:name="_Toc497301665"/>
      <w:bookmarkEnd w:id="10802"/>
      <w:bookmarkStart w:id="10803" w:name="_Toc497301673"/>
      <w:bookmarkEnd w:id="10803"/>
      <w:bookmarkStart w:id="10804" w:name="_Toc497301667"/>
      <w:bookmarkEnd w:id="10804"/>
      <w:bookmarkStart w:id="10805" w:name="_Toc497301671"/>
      <w:bookmarkEnd w:id="10805"/>
      <w:bookmarkStart w:id="10806" w:name="_Toc496739501"/>
      <w:bookmarkEnd w:id="10806"/>
      <w:bookmarkStart w:id="10807" w:name="_Toc497301670"/>
      <w:bookmarkEnd w:id="10807"/>
      <w:bookmarkStart w:id="10808" w:name="_Toc497301666"/>
      <w:bookmarkEnd w:id="10808"/>
      <w:bookmarkStart w:id="10809" w:name="_Toc496739508"/>
      <w:bookmarkEnd w:id="10809"/>
      <w:bookmarkStart w:id="10810" w:name="_Toc496739510"/>
      <w:bookmarkEnd w:id="10810"/>
      <w:bookmarkStart w:id="10811" w:name="_Toc497301672"/>
      <w:bookmarkEnd w:id="10811"/>
      <w:bookmarkStart w:id="10812" w:name="_Toc497301677"/>
      <w:bookmarkEnd w:id="10812"/>
      <w:bookmarkStart w:id="10813" w:name="_Toc497301679"/>
      <w:bookmarkEnd w:id="10813"/>
      <w:bookmarkStart w:id="10814" w:name="_Toc496739506"/>
      <w:bookmarkEnd w:id="10814"/>
      <w:bookmarkStart w:id="10815" w:name="_Toc496739502"/>
      <w:bookmarkEnd w:id="10815"/>
      <w:bookmarkStart w:id="10816" w:name="_Toc497301676"/>
      <w:bookmarkEnd w:id="10816"/>
      <w:bookmarkStart w:id="10817" w:name="_Toc496739512"/>
      <w:bookmarkEnd w:id="10817"/>
      <w:bookmarkStart w:id="10818" w:name="_Toc497301664"/>
      <w:bookmarkEnd w:id="10818"/>
      <w:bookmarkStart w:id="10819" w:name="_Toc496739503"/>
      <w:bookmarkEnd w:id="10819"/>
      <w:bookmarkStart w:id="10820" w:name="_Toc496739514"/>
      <w:bookmarkEnd w:id="10820"/>
      <w:bookmarkStart w:id="10821" w:name="_Toc496739509"/>
      <w:bookmarkEnd w:id="10821"/>
      <w:bookmarkStart w:id="10822" w:name="_Toc497301669"/>
      <w:bookmarkEnd w:id="10822"/>
      <w:bookmarkStart w:id="10823" w:name="_Toc497301674"/>
      <w:bookmarkEnd w:id="10823"/>
      <w:bookmarkStart w:id="10824" w:name="_Toc497301678"/>
      <w:bookmarkEnd w:id="10824"/>
      <w:bookmarkStart w:id="10825" w:name="_Toc496738753"/>
      <w:bookmarkEnd w:id="10825"/>
      <w:bookmarkStart w:id="10826" w:name="_Toc497306934"/>
      <w:bookmarkEnd w:id="10826"/>
      <w:bookmarkStart w:id="10827" w:name="_Toc497306940"/>
      <w:bookmarkEnd w:id="10827"/>
      <w:bookmarkStart w:id="10828" w:name="_Toc496738754"/>
      <w:bookmarkEnd w:id="10828"/>
      <w:bookmarkStart w:id="10829" w:name="_Toc496738756"/>
      <w:bookmarkEnd w:id="10829"/>
      <w:bookmarkStart w:id="10830" w:name="_Toc497306943"/>
      <w:bookmarkEnd w:id="10830"/>
      <w:bookmarkStart w:id="10831" w:name="_Toc497306944"/>
      <w:bookmarkEnd w:id="10831"/>
      <w:bookmarkStart w:id="10832" w:name="_Toc496738800"/>
      <w:bookmarkEnd w:id="10832"/>
      <w:bookmarkStart w:id="10833" w:name="_Toc497306987"/>
      <w:bookmarkEnd w:id="10833"/>
      <w:bookmarkStart w:id="10834" w:name="_Toc496738801"/>
      <w:bookmarkEnd w:id="10834"/>
      <w:bookmarkStart w:id="10835" w:name="_Toc497306988"/>
      <w:bookmarkEnd w:id="10835"/>
      <w:bookmarkStart w:id="10836" w:name="_Toc496738751"/>
      <w:bookmarkEnd w:id="10836"/>
      <w:bookmarkStart w:id="10837" w:name="_Toc496738755"/>
      <w:bookmarkEnd w:id="10837"/>
      <w:bookmarkStart w:id="10838" w:name="_Toc497306939"/>
      <w:bookmarkEnd w:id="10838"/>
      <w:bookmarkStart w:id="10839" w:name="_Toc497306930"/>
      <w:bookmarkEnd w:id="10839"/>
      <w:bookmarkStart w:id="10840" w:name="_Toc496738747"/>
      <w:bookmarkEnd w:id="10840"/>
      <w:bookmarkStart w:id="10841" w:name="_Toc497306941"/>
      <w:bookmarkEnd w:id="10841"/>
      <w:bookmarkStart w:id="10842" w:name="_Toc496738757"/>
      <w:bookmarkEnd w:id="10842"/>
      <w:bookmarkStart w:id="10843" w:name="_Toc496738749"/>
      <w:bookmarkEnd w:id="10843"/>
      <w:bookmarkStart w:id="10844" w:name="_Toc497301680"/>
      <w:bookmarkEnd w:id="10844"/>
      <w:bookmarkStart w:id="10845" w:name="_Toc496738750"/>
      <w:bookmarkEnd w:id="10845"/>
      <w:bookmarkStart w:id="10846" w:name="_Toc497306942"/>
      <w:bookmarkEnd w:id="10846"/>
      <w:bookmarkStart w:id="10847" w:name="_Toc497306938"/>
      <w:bookmarkEnd w:id="10847"/>
      <w:bookmarkStart w:id="10848" w:name="_Toc497306935"/>
      <w:bookmarkEnd w:id="10848"/>
      <w:bookmarkStart w:id="10849" w:name="_Toc497306931"/>
      <w:bookmarkEnd w:id="10849"/>
      <w:bookmarkStart w:id="10850" w:name="_Toc497306929"/>
      <w:bookmarkEnd w:id="10850"/>
      <w:bookmarkStart w:id="10851" w:name="_Toc497306932"/>
      <w:bookmarkEnd w:id="10851"/>
      <w:bookmarkStart w:id="10852" w:name="_Toc497306936"/>
      <w:bookmarkEnd w:id="10852"/>
      <w:bookmarkStart w:id="10853" w:name="_Toc496738748"/>
      <w:bookmarkEnd w:id="10853"/>
      <w:bookmarkStart w:id="10854" w:name="_Toc496738752"/>
      <w:bookmarkEnd w:id="10854"/>
      <w:bookmarkStart w:id="10855" w:name="_Toc497306937"/>
      <w:bookmarkEnd w:id="10855"/>
      <w:bookmarkStart w:id="10856" w:name="_Toc497306933"/>
      <w:bookmarkEnd w:id="10856"/>
      <w:bookmarkStart w:id="10857" w:name="_Toc496738805"/>
      <w:bookmarkEnd w:id="10857"/>
      <w:bookmarkStart w:id="10858" w:name="_Toc496738802"/>
      <w:bookmarkEnd w:id="10858"/>
      <w:bookmarkStart w:id="10859" w:name="_Toc497307032"/>
      <w:bookmarkEnd w:id="10859"/>
      <w:bookmarkStart w:id="10860" w:name="_Toc496738848"/>
      <w:bookmarkEnd w:id="10860"/>
      <w:bookmarkStart w:id="10861" w:name="_Toc496738911"/>
      <w:bookmarkEnd w:id="10861"/>
      <w:bookmarkStart w:id="10862" w:name="_Toc497307099"/>
      <w:bookmarkEnd w:id="10862"/>
      <w:bookmarkStart w:id="10863" w:name="_Toc496738913"/>
      <w:bookmarkEnd w:id="10863"/>
      <w:bookmarkStart w:id="10864" w:name="_Toc497307097"/>
      <w:bookmarkEnd w:id="10864"/>
      <w:bookmarkStart w:id="10865" w:name="_Toc497307100"/>
      <w:bookmarkEnd w:id="10865"/>
      <w:bookmarkStart w:id="10866" w:name="_Toc496738914"/>
      <w:bookmarkEnd w:id="10866"/>
      <w:bookmarkStart w:id="10867" w:name="_Toc497306991"/>
      <w:bookmarkEnd w:id="10867"/>
      <w:bookmarkStart w:id="10868" w:name="_Toc496738847"/>
      <w:bookmarkEnd w:id="10868"/>
      <w:bookmarkStart w:id="10869" w:name="_Toc497307035"/>
      <w:bookmarkEnd w:id="10869"/>
      <w:bookmarkStart w:id="10870" w:name="_Toc497307033"/>
      <w:bookmarkEnd w:id="10870"/>
      <w:bookmarkStart w:id="10871" w:name="_Toc497306989"/>
      <w:bookmarkEnd w:id="10871"/>
      <w:bookmarkStart w:id="10872" w:name="_Toc497306994"/>
      <w:bookmarkEnd w:id="10872"/>
      <w:bookmarkStart w:id="10873" w:name="_Toc497306992"/>
      <w:bookmarkEnd w:id="10873"/>
      <w:bookmarkStart w:id="10874" w:name="_Toc497307031"/>
      <w:bookmarkEnd w:id="10874"/>
      <w:bookmarkStart w:id="10875" w:name="_Toc496738806"/>
      <w:bookmarkEnd w:id="10875"/>
      <w:bookmarkStart w:id="10876" w:name="_Toc496738845"/>
      <w:bookmarkEnd w:id="10876"/>
      <w:bookmarkStart w:id="10877" w:name="_Toc497307034"/>
      <w:bookmarkEnd w:id="10877"/>
      <w:bookmarkStart w:id="10878" w:name="_Toc497306990"/>
      <w:bookmarkEnd w:id="10878"/>
      <w:bookmarkStart w:id="10879" w:name="_Toc496738804"/>
      <w:bookmarkEnd w:id="10879"/>
      <w:bookmarkStart w:id="10880" w:name="_Toc496738909"/>
      <w:bookmarkEnd w:id="10880"/>
      <w:bookmarkStart w:id="10881" w:name="_Toc497306993"/>
      <w:bookmarkEnd w:id="10881"/>
      <w:bookmarkStart w:id="10882" w:name="_Toc497307096"/>
      <w:bookmarkEnd w:id="10882"/>
      <w:bookmarkStart w:id="10883" w:name="_Toc496738910"/>
      <w:bookmarkEnd w:id="10883"/>
      <w:bookmarkStart w:id="10884" w:name="_Toc497307098"/>
      <w:bookmarkEnd w:id="10884"/>
      <w:bookmarkStart w:id="10885" w:name="_Toc496738844"/>
      <w:bookmarkEnd w:id="10885"/>
      <w:bookmarkStart w:id="10886" w:name="_Toc496738912"/>
      <w:bookmarkEnd w:id="10886"/>
      <w:bookmarkStart w:id="10887" w:name="_Toc496738803"/>
      <w:bookmarkEnd w:id="10887"/>
      <w:bookmarkStart w:id="10888" w:name="_Toc496738846"/>
      <w:bookmarkEnd w:id="10888"/>
      <w:bookmarkStart w:id="10889" w:name="_Toc497307168"/>
      <w:bookmarkEnd w:id="10889"/>
      <w:bookmarkStart w:id="10890" w:name="_Toc496739021"/>
      <w:bookmarkEnd w:id="10890"/>
      <w:bookmarkStart w:id="10891" w:name="_Toc496739019"/>
      <w:bookmarkEnd w:id="10891"/>
      <w:bookmarkStart w:id="10892" w:name="_Toc497307167"/>
      <w:bookmarkEnd w:id="10892"/>
      <w:bookmarkStart w:id="10893" w:name="_Toc497307101"/>
      <w:bookmarkEnd w:id="10893"/>
      <w:bookmarkStart w:id="10894" w:name="_Toc497307231"/>
      <w:bookmarkEnd w:id="10894"/>
      <w:bookmarkStart w:id="10895" w:name="_Toc496739046"/>
      <w:bookmarkEnd w:id="10895"/>
      <w:bookmarkStart w:id="10896" w:name="_Toc497307232"/>
      <w:bookmarkEnd w:id="10896"/>
      <w:bookmarkStart w:id="10897" w:name="_Toc497307233"/>
      <w:bookmarkEnd w:id="10897"/>
      <w:bookmarkStart w:id="10898" w:name="_Toc497307164"/>
      <w:bookmarkEnd w:id="10898"/>
      <w:bookmarkStart w:id="10899" w:name="_Toc496739047"/>
      <w:bookmarkEnd w:id="10899"/>
      <w:bookmarkStart w:id="10900" w:name="_Toc497307166"/>
      <w:bookmarkEnd w:id="10900"/>
      <w:bookmarkStart w:id="10901" w:name="_Toc497307208"/>
      <w:bookmarkEnd w:id="10901"/>
      <w:bookmarkStart w:id="10902" w:name="_Toc496738977"/>
      <w:bookmarkEnd w:id="10902"/>
      <w:bookmarkStart w:id="10903" w:name="_Toc497307206"/>
      <w:bookmarkEnd w:id="10903"/>
      <w:bookmarkStart w:id="10904" w:name="_Toc497307165"/>
      <w:bookmarkEnd w:id="10904"/>
      <w:bookmarkStart w:id="10905" w:name="_Toc496739018"/>
      <w:bookmarkEnd w:id="10905"/>
      <w:bookmarkStart w:id="10906" w:name="_Toc497307207"/>
      <w:bookmarkEnd w:id="10906"/>
      <w:bookmarkStart w:id="10907" w:name="_Toc497307230"/>
      <w:bookmarkEnd w:id="10907"/>
      <w:bookmarkStart w:id="10908" w:name="_Toc497307103"/>
      <w:bookmarkEnd w:id="10908"/>
      <w:bookmarkStart w:id="10909" w:name="_Toc497307161"/>
      <w:bookmarkEnd w:id="10909"/>
      <w:bookmarkStart w:id="10910" w:name="_Toc496738975"/>
      <w:bookmarkEnd w:id="10910"/>
      <w:bookmarkStart w:id="10911" w:name="_Toc497307162"/>
      <w:bookmarkEnd w:id="10911"/>
      <w:bookmarkStart w:id="10912" w:name="_Toc497307102"/>
      <w:bookmarkEnd w:id="10912"/>
      <w:bookmarkStart w:id="10913" w:name="_Toc496738978"/>
      <w:bookmarkEnd w:id="10913"/>
      <w:bookmarkStart w:id="10914" w:name="_Toc497307163"/>
      <w:bookmarkEnd w:id="10914"/>
      <w:bookmarkStart w:id="10915" w:name="_Toc496738979"/>
      <w:bookmarkEnd w:id="10915"/>
      <w:bookmarkStart w:id="10916" w:name="_Toc496738915"/>
      <w:bookmarkEnd w:id="10916"/>
      <w:bookmarkStart w:id="10917" w:name="_Toc496738974"/>
      <w:bookmarkEnd w:id="10917"/>
      <w:bookmarkStart w:id="10918" w:name="_Toc496738976"/>
      <w:bookmarkEnd w:id="10918"/>
      <w:bookmarkStart w:id="10919" w:name="_Toc497307205"/>
      <w:bookmarkEnd w:id="10919"/>
      <w:bookmarkStart w:id="10920" w:name="_Toc496739020"/>
      <w:bookmarkEnd w:id="10920"/>
      <w:bookmarkStart w:id="10921" w:name="_Toc496739103"/>
      <w:bookmarkEnd w:id="10921"/>
      <w:bookmarkStart w:id="10922" w:name="_Toc496739147"/>
      <w:bookmarkEnd w:id="10922"/>
      <w:bookmarkStart w:id="10923" w:name="_Toc497307271"/>
      <w:bookmarkEnd w:id="10923"/>
      <w:bookmarkStart w:id="10924" w:name="_Toc496739082"/>
      <w:bookmarkEnd w:id="10924"/>
      <w:bookmarkStart w:id="10925" w:name="_Toc497307269"/>
      <w:bookmarkEnd w:id="10925"/>
      <w:bookmarkStart w:id="10926" w:name="_Toc496739085"/>
      <w:bookmarkEnd w:id="10926"/>
      <w:bookmarkStart w:id="10927" w:name="_Toc496739101"/>
      <w:bookmarkEnd w:id="10927"/>
      <w:bookmarkStart w:id="10928" w:name="_Toc497307334"/>
      <w:bookmarkEnd w:id="10928"/>
      <w:bookmarkStart w:id="10929" w:name="_Toc497307286"/>
      <w:bookmarkEnd w:id="10929"/>
      <w:bookmarkStart w:id="10930" w:name="_Toc497307288"/>
      <w:bookmarkEnd w:id="10930"/>
      <w:bookmarkStart w:id="10931" w:name="_Toc496739102"/>
      <w:bookmarkEnd w:id="10931"/>
      <w:bookmarkStart w:id="10932" w:name="_Toc497307330"/>
      <w:bookmarkEnd w:id="10932"/>
      <w:bookmarkStart w:id="10933" w:name="_Toc496739196"/>
      <w:bookmarkEnd w:id="10933"/>
      <w:bookmarkStart w:id="10934" w:name="_Toc497307235"/>
      <w:bookmarkEnd w:id="10934"/>
      <w:bookmarkStart w:id="10935" w:name="_Toc496739083"/>
      <w:bookmarkEnd w:id="10935"/>
      <w:bookmarkStart w:id="10936" w:name="_Toc497307285"/>
      <w:bookmarkEnd w:id="10936"/>
      <w:bookmarkStart w:id="10937" w:name="_Toc497307289"/>
      <w:bookmarkEnd w:id="10937"/>
      <w:bookmarkStart w:id="10938" w:name="_Toc497307333"/>
      <w:bookmarkEnd w:id="10938"/>
      <w:bookmarkStart w:id="10939" w:name="_Toc497307383"/>
      <w:bookmarkEnd w:id="10939"/>
      <w:bookmarkStart w:id="10940" w:name="_Toc497307384"/>
      <w:bookmarkEnd w:id="10940"/>
      <w:bookmarkStart w:id="10941" w:name="_Toc497307287"/>
      <w:bookmarkEnd w:id="10941"/>
      <w:bookmarkStart w:id="10942" w:name="_Toc497307272"/>
      <w:bookmarkEnd w:id="10942"/>
      <w:bookmarkStart w:id="10943" w:name="_Toc496739048"/>
      <w:bookmarkEnd w:id="10943"/>
      <w:bookmarkStart w:id="10944" w:name="_Toc496739084"/>
      <w:bookmarkEnd w:id="10944"/>
      <w:bookmarkStart w:id="10945" w:name="_Toc497307270"/>
      <w:bookmarkEnd w:id="10945"/>
      <w:bookmarkStart w:id="10946" w:name="_Toc496739100"/>
      <w:bookmarkEnd w:id="10946"/>
      <w:bookmarkStart w:id="10947" w:name="_Toc496739099"/>
      <w:bookmarkEnd w:id="10947"/>
      <w:bookmarkStart w:id="10948" w:name="_Toc497307290"/>
      <w:bookmarkEnd w:id="10948"/>
      <w:bookmarkStart w:id="10949" w:name="_Toc497307331"/>
      <w:bookmarkEnd w:id="10949"/>
      <w:bookmarkStart w:id="10950" w:name="_Toc497307234"/>
      <w:bookmarkEnd w:id="10950"/>
      <w:bookmarkStart w:id="10951" w:name="_Toc497307332"/>
      <w:bookmarkEnd w:id="10951"/>
      <w:bookmarkStart w:id="10952" w:name="_Toc496739146"/>
      <w:bookmarkEnd w:id="10952"/>
      <w:bookmarkStart w:id="10953" w:name="_Toc497307431"/>
      <w:bookmarkEnd w:id="10953"/>
      <w:bookmarkStart w:id="10954" w:name="_Toc497307387"/>
      <w:bookmarkEnd w:id="10954"/>
      <w:bookmarkStart w:id="10955" w:name="_Toc497307385"/>
      <w:bookmarkEnd w:id="10955"/>
      <w:bookmarkStart w:id="10956" w:name="_Toc497307386"/>
      <w:bookmarkEnd w:id="10956"/>
      <w:bookmarkStart w:id="10957" w:name="_Toc497307433"/>
      <w:bookmarkEnd w:id="10957"/>
      <w:bookmarkStart w:id="10958" w:name="_Toc497307430"/>
      <w:bookmarkEnd w:id="10958"/>
      <w:bookmarkStart w:id="10959" w:name="_Toc497307432"/>
      <w:bookmarkEnd w:id="10959"/>
      <w:bookmarkStart w:id="10960" w:name="_Toc497293748"/>
      <w:bookmarkEnd w:id="10960"/>
      <w:bookmarkStart w:id="10961" w:name="_Toc497307434"/>
      <w:bookmarkEnd w:id="10961"/>
      <w:bookmarkStart w:id="10962" w:name="_Toc40276496"/>
      <w:bookmarkStart w:id="10963" w:name="_Toc15485318"/>
      <w:bookmarkStart w:id="10964" w:name="_Toc141873838"/>
      <w:bookmarkStart w:id="10965" w:name="_Toc23153075"/>
      <w:bookmarkStart w:id="10966" w:name="_Toc172218644"/>
      <w:bookmarkStart w:id="10967" w:name="_Toc12469905"/>
      <w:bookmarkStart w:id="10968" w:name="_Toc196728557"/>
      <w:bookmarkStart w:id="10969" w:name="_Toc99562027"/>
      <w:bookmarkStart w:id="10970" w:name="_Toc194081229"/>
      <w:bookmarkStart w:id="10971" w:name="_Toc142401355"/>
      <w:r>
        <w:rPr>
          <w:rFonts w:hint="eastAsia"/>
        </w:rPr>
        <w:t>系统管理</w:t>
      </w:r>
      <w:bookmarkEnd w:id="10962"/>
      <w:bookmarkEnd w:id="10963"/>
      <w:bookmarkEnd w:id="10964"/>
      <w:bookmarkEnd w:id="10965"/>
      <w:bookmarkEnd w:id="10966"/>
      <w:bookmarkEnd w:id="10967"/>
      <w:bookmarkEnd w:id="10968"/>
      <w:bookmarkEnd w:id="10969"/>
      <w:bookmarkEnd w:id="10970"/>
      <w:bookmarkEnd w:id="10971"/>
    </w:p>
    <w:p w14:paraId="1EE8750E">
      <w:pPr>
        <w:pStyle w:val="4"/>
      </w:pPr>
      <w:bookmarkStart w:id="10972" w:name="_Toc172218645"/>
      <w:bookmarkStart w:id="10973" w:name="_Toc99562028"/>
      <w:bookmarkStart w:id="10974" w:name="_Toc141873839"/>
      <w:bookmarkStart w:id="10975" w:name="_Toc194081230"/>
      <w:bookmarkStart w:id="10976" w:name="_Toc142401356"/>
      <w:bookmarkStart w:id="10977" w:name="_Toc196728558"/>
      <w:bookmarkStart w:id="10978" w:name="_Toc15485331"/>
      <w:bookmarkStart w:id="10979" w:name="_Toc23153088"/>
      <w:bookmarkStart w:id="10980" w:name="_Toc40276509"/>
      <w:bookmarkStart w:id="10981" w:name="_Toc12469919"/>
      <w:bookmarkStart w:id="10982" w:name="_Toc40276497"/>
      <w:bookmarkStart w:id="10983" w:name="_Toc15485319"/>
      <w:bookmarkStart w:id="10984" w:name="_Toc23153076"/>
      <w:bookmarkStart w:id="10985" w:name="_Toc12469906"/>
      <w:r>
        <w:t>系统设定</w:t>
      </w:r>
      <w:bookmarkEnd w:id="10972"/>
      <w:bookmarkEnd w:id="10973"/>
      <w:bookmarkEnd w:id="10974"/>
      <w:bookmarkEnd w:id="10975"/>
      <w:bookmarkEnd w:id="10976"/>
      <w:bookmarkEnd w:id="10977"/>
    </w:p>
    <w:p w14:paraId="56DF5CC5">
      <w:r>
        <w:rPr>
          <w:rFonts w:hint="eastAsia"/>
        </w:rPr>
        <w:t>系统设定主要包括管理员、系统时间、SNMP、高可用性等与设备管理相关的设置。</w:t>
      </w:r>
    </w:p>
    <w:p w14:paraId="51F6E4BB">
      <w:pPr>
        <w:pStyle w:val="5"/>
      </w:pPr>
      <w:bookmarkStart w:id="10986" w:name="_Toc99562029"/>
      <w:bookmarkStart w:id="10987" w:name="_Toc196728559"/>
      <w:bookmarkStart w:id="10988" w:name="_Toc141873840"/>
      <w:bookmarkStart w:id="10989" w:name="_Toc172218646"/>
      <w:bookmarkStart w:id="10990" w:name="_Toc194081231"/>
      <w:bookmarkStart w:id="10991" w:name="_Toc142401357"/>
      <w:r>
        <w:rPr>
          <w:rFonts w:hint="eastAsia"/>
        </w:rPr>
        <w:t>管理员</w:t>
      </w:r>
      <w:bookmarkEnd w:id="10978"/>
      <w:bookmarkEnd w:id="10979"/>
      <w:bookmarkEnd w:id="10980"/>
      <w:bookmarkEnd w:id="10981"/>
      <w:bookmarkEnd w:id="10986"/>
      <w:bookmarkEnd w:id="10987"/>
      <w:bookmarkEnd w:id="10988"/>
      <w:bookmarkEnd w:id="10989"/>
      <w:bookmarkEnd w:id="10990"/>
      <w:bookmarkEnd w:id="10991"/>
    </w:p>
    <w:p w14:paraId="07B1BABF">
      <w:pPr>
        <w:pStyle w:val="6"/>
      </w:pPr>
      <w:bookmarkStart w:id="10992" w:name="_Toc312100442"/>
      <w:bookmarkStart w:id="10993" w:name="_Toc325575861"/>
      <w:bookmarkStart w:id="10994" w:name="_Toc40276510"/>
      <w:bookmarkStart w:id="10995" w:name="_Toc12469920"/>
      <w:bookmarkStart w:id="10996" w:name="_Toc389059429"/>
      <w:bookmarkStart w:id="10997" w:name="_Toc23153089"/>
      <w:bookmarkStart w:id="10998" w:name="_Toc369620397"/>
      <w:bookmarkStart w:id="10999" w:name="_Toc15485332"/>
      <w:bookmarkStart w:id="11000" w:name="_Toc389750124"/>
      <w:r>
        <w:rPr>
          <w:rFonts w:hint="eastAsia"/>
        </w:rPr>
        <w:t>管理员概述</w:t>
      </w:r>
      <w:bookmarkEnd w:id="10992"/>
      <w:bookmarkEnd w:id="10993"/>
      <w:bookmarkEnd w:id="10994"/>
      <w:bookmarkEnd w:id="10995"/>
      <w:bookmarkEnd w:id="10996"/>
      <w:bookmarkEnd w:id="10997"/>
      <w:bookmarkEnd w:id="10998"/>
      <w:bookmarkEnd w:id="10999"/>
      <w:bookmarkEnd w:id="11000"/>
    </w:p>
    <w:p w14:paraId="4855D893">
      <w:r>
        <w:rPr>
          <w:rFonts w:hint="eastAsia"/>
        </w:rPr>
        <w:t>设备出厂的默认配置自动创建了一个超级管理员用户</w:t>
      </w:r>
      <w:r>
        <w:t>admin</w:t>
      </w:r>
      <w:r>
        <w:rPr>
          <w:rFonts w:hint="eastAsia"/>
        </w:rPr>
        <w:t>，使用这个账号，可以登录设备对设备进行配置，包括配置其它的管理员，每个管理员都有它的管理地址。</w:t>
      </w:r>
    </w:p>
    <w:p w14:paraId="2062592B">
      <w:r>
        <w:rPr>
          <w:rFonts w:hint="eastAsia"/>
        </w:rPr>
        <w:t>可以对管理员的权限进行划分，实现分级分权管理：</w:t>
      </w:r>
    </w:p>
    <w:p w14:paraId="78039152">
      <w:r>
        <w:rPr>
          <w:rFonts w:hint="eastAsia"/>
        </w:rPr>
        <w:t>将管理员分为不同的等级，高等级管理员比低等级管理员的权限高，可以修改低等级管理员配置的策略。</w:t>
      </w:r>
    </w:p>
    <w:p w14:paraId="3BEAFAAA">
      <w:r>
        <w:rPr>
          <w:rFonts w:hint="eastAsia"/>
        </w:rPr>
        <w:t>将不用的功能页面分给不同的管理员，每个管理员只能看到被赋予权限的页面。</w:t>
      </w:r>
    </w:p>
    <w:p w14:paraId="409F199C">
      <w:r>
        <w:rPr>
          <w:rFonts w:hint="eastAsia"/>
        </w:rPr>
        <w:t>将用户组以对象的形式分配给不同的管理员，每个管理员只能管理自己的用户群体。</w:t>
      </w:r>
    </w:p>
    <w:p w14:paraId="32A644F2">
      <w:pPr>
        <w:pStyle w:val="6"/>
      </w:pPr>
      <w:bookmarkStart w:id="11001" w:name="_Toc359030236"/>
      <w:bookmarkEnd w:id="11001"/>
      <w:bookmarkStart w:id="11002" w:name="_Toc359031555"/>
      <w:bookmarkEnd w:id="11002"/>
      <w:bookmarkStart w:id="11003" w:name="_Toc359030244"/>
      <w:bookmarkEnd w:id="11003"/>
      <w:bookmarkStart w:id="11004" w:name="_Toc359030246"/>
      <w:bookmarkEnd w:id="11004"/>
      <w:bookmarkStart w:id="11005" w:name="_Toc359031558"/>
      <w:bookmarkEnd w:id="11005"/>
      <w:bookmarkStart w:id="11006" w:name="_Toc359030245"/>
      <w:bookmarkEnd w:id="11006"/>
      <w:bookmarkStart w:id="11007" w:name="_Toc359031550"/>
      <w:bookmarkEnd w:id="11007"/>
      <w:bookmarkStart w:id="11008" w:name="_Toc359031553"/>
      <w:bookmarkEnd w:id="11008"/>
      <w:bookmarkStart w:id="11009" w:name="_Toc359030243"/>
      <w:bookmarkEnd w:id="11009"/>
      <w:bookmarkStart w:id="11010" w:name="_Toc359031549"/>
      <w:bookmarkEnd w:id="11010"/>
      <w:bookmarkStart w:id="11011" w:name="_Toc359031554"/>
      <w:bookmarkEnd w:id="11011"/>
      <w:bookmarkStart w:id="11012" w:name="_Toc359031548"/>
      <w:bookmarkEnd w:id="11012"/>
      <w:bookmarkStart w:id="11013" w:name="_Toc359031556"/>
      <w:bookmarkEnd w:id="11013"/>
      <w:bookmarkStart w:id="11014" w:name="_Toc359031557"/>
      <w:bookmarkEnd w:id="11014"/>
      <w:bookmarkStart w:id="11015" w:name="_Toc359031552"/>
      <w:bookmarkEnd w:id="11015"/>
      <w:bookmarkStart w:id="11016" w:name="_Toc359031551"/>
      <w:bookmarkEnd w:id="11016"/>
      <w:bookmarkStart w:id="11017" w:name="_Toc359030239"/>
      <w:bookmarkEnd w:id="11017"/>
      <w:bookmarkStart w:id="11018" w:name="_Toc359030237"/>
      <w:bookmarkEnd w:id="11018"/>
      <w:bookmarkStart w:id="11019" w:name="_Toc359030242"/>
      <w:bookmarkEnd w:id="11019"/>
      <w:bookmarkStart w:id="11020" w:name="_Toc359030238"/>
      <w:bookmarkEnd w:id="11020"/>
      <w:bookmarkStart w:id="11021" w:name="_Toc359030241"/>
      <w:bookmarkEnd w:id="11021"/>
      <w:bookmarkStart w:id="11022" w:name="_Toc359030240"/>
      <w:bookmarkEnd w:id="11022"/>
      <w:bookmarkStart w:id="11023" w:name="_Toc359031546"/>
      <w:bookmarkEnd w:id="11023"/>
      <w:bookmarkStart w:id="11024" w:name="_Toc359030235"/>
      <w:bookmarkEnd w:id="11024"/>
      <w:bookmarkStart w:id="11025" w:name="_Toc359030234"/>
      <w:bookmarkEnd w:id="11025"/>
      <w:bookmarkStart w:id="11026" w:name="_Toc359031547"/>
      <w:bookmarkEnd w:id="11026"/>
      <w:bookmarkStart w:id="11027" w:name="_Toc12469921"/>
      <w:bookmarkStart w:id="11028" w:name="_Toc369620398"/>
      <w:bookmarkStart w:id="11029" w:name="_Toc325575863"/>
      <w:bookmarkStart w:id="11030" w:name="_Toc15485333"/>
      <w:bookmarkStart w:id="11031" w:name="_Toc389750125"/>
      <w:bookmarkStart w:id="11032" w:name="_Toc389059430"/>
      <w:bookmarkStart w:id="11033" w:name="_Toc23153090"/>
      <w:bookmarkStart w:id="11034" w:name="_Toc40276511"/>
      <w:r>
        <w:t>新建</w:t>
      </w:r>
      <w:r>
        <w:rPr>
          <w:rFonts w:hint="eastAsia"/>
        </w:rPr>
        <w:t>管理员</w:t>
      </w:r>
      <w:bookmarkEnd w:id="11027"/>
      <w:bookmarkEnd w:id="11028"/>
      <w:bookmarkEnd w:id="11029"/>
      <w:bookmarkEnd w:id="11030"/>
      <w:bookmarkEnd w:id="11031"/>
      <w:bookmarkEnd w:id="11032"/>
      <w:bookmarkEnd w:id="11033"/>
      <w:bookmarkEnd w:id="11034"/>
    </w:p>
    <w:p w14:paraId="2FAFD87F">
      <w:r>
        <w:rPr>
          <w:rFonts w:hint="eastAsia"/>
        </w:rPr>
        <w:t>管理员是登录设备对设备进行配置管理的用户。通过菜单“系统管理</w:t>
      </w:r>
      <w:r>
        <w:t xml:space="preserve"> &gt; </w:t>
      </w:r>
      <w:r>
        <w:rPr>
          <w:rFonts w:hint="eastAsia"/>
        </w:rPr>
        <w:t>系统设定</w:t>
      </w:r>
      <w:r>
        <w:t xml:space="preserve"> &gt; </w:t>
      </w:r>
      <w:r>
        <w:rPr>
          <w:rFonts w:hint="eastAsia"/>
        </w:rPr>
        <w:t>管理员”，进入管理员界面，可查看设备上所有的管理员信息。设备出厂时默认配置了一个超级管理员admin，用户可使用这个账号登录到设备对设备进行配置，包括创建新的管理员。在操作列下点击</w:t>
      </w:r>
      <w:r>
        <w:drawing>
          <wp:inline distT="0" distB="0" distL="0" distR="0">
            <wp:extent cx="171450" cy="190500"/>
            <wp:effectExtent l="0" t="0" r="0" b="0"/>
            <wp:docPr id="89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图片 22"/>
                    <pic:cNvPicPr>
                      <a:picLocks noChangeAspect="1" noChangeArrowheads="1"/>
                    </pic:cNvPicPr>
                  </pic:nvPicPr>
                  <pic:blipFill>
                    <a:blip r:embed="rId1195">
                      <a:extLst>
                        <a:ext uri="{28A0092B-C50C-407E-A947-70E740481C1C}">
                          <a14:useLocalDpi xmlns:a14="http://schemas.microsoft.com/office/drawing/2010/main" val="0"/>
                        </a:ext>
                      </a:extLst>
                    </a:blip>
                    <a:srcRect/>
                    <a:stretch>
                      <a:fillRect/>
                    </a:stretch>
                  </pic:blipFill>
                  <pic:spPr>
                    <a:xfrm>
                      <a:off x="0" y="0"/>
                      <a:ext cx="171450" cy="190500"/>
                    </a:xfrm>
                    <a:prstGeom prst="rect">
                      <a:avLst/>
                    </a:prstGeom>
                    <a:noFill/>
                    <a:ln>
                      <a:noFill/>
                    </a:ln>
                  </pic:spPr>
                </pic:pic>
              </a:graphicData>
            </a:graphic>
          </wp:inline>
        </w:drawing>
      </w:r>
      <w:r>
        <w:rPr>
          <w:rFonts w:hint="eastAsia"/>
        </w:rPr>
        <w:t>图标可修改管理员密码。</w:t>
      </w:r>
    </w:p>
    <w:p w14:paraId="08115F26">
      <w:pPr>
        <w:pStyle w:val="188"/>
      </w:pPr>
      <w:bookmarkStart w:id="11035" w:name="_Ref393785829"/>
      <w:bookmarkStart w:id="11036" w:name="_Toc141875234"/>
      <w:bookmarkStart w:id="11037" w:name="_Ref393786214"/>
      <w:r>
        <w:rPr>
          <w:rFonts w:hint="eastAsia"/>
        </w:rPr>
        <w:t>本地管理员</w:t>
      </w:r>
      <w:bookmarkEnd w:id="11035"/>
      <w:r>
        <w:rPr>
          <w:rFonts w:hint="eastAsia"/>
        </w:rPr>
        <w:t>显示界面</w:t>
      </w:r>
      <w:bookmarkEnd w:id="11036"/>
      <w:bookmarkEnd w:id="11037"/>
    </w:p>
    <w:p w14:paraId="1D7BF492">
      <w:r>
        <w:drawing>
          <wp:inline distT="0" distB="0" distL="114300" distR="114300">
            <wp:extent cx="5286375" cy="1004570"/>
            <wp:effectExtent l="0" t="0" r="0" b="5080"/>
            <wp:docPr id="4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2"/>
                    <pic:cNvPicPr>
                      <a:picLocks noChangeAspect="1"/>
                    </pic:cNvPicPr>
                  </pic:nvPicPr>
                  <pic:blipFill>
                    <a:blip r:embed="rId1196"/>
                    <a:stretch>
                      <a:fillRect/>
                    </a:stretch>
                  </pic:blipFill>
                  <pic:spPr>
                    <a:xfrm>
                      <a:off x="0" y="0"/>
                      <a:ext cx="5299220" cy="1007282"/>
                    </a:xfrm>
                    <a:prstGeom prst="rect">
                      <a:avLst/>
                    </a:prstGeom>
                    <a:noFill/>
                    <a:ln>
                      <a:noFill/>
                    </a:ln>
                  </pic:spPr>
                </pic:pic>
              </a:graphicData>
            </a:graphic>
          </wp:inline>
        </w:drawing>
      </w:r>
    </w:p>
    <w:p w14:paraId="37624E9F"/>
    <w:p w14:paraId="516EEB79"/>
    <w:p w14:paraId="274C6643">
      <w:r>
        <w:rPr>
          <w:rFonts w:hint="eastAsia"/>
        </w:rPr>
        <w:t>点击图</w:t>
      </w:r>
      <w:r>
        <w:t>1-10</w:t>
      </w:r>
      <w:r>
        <w:rPr>
          <w:rFonts w:hint="eastAsia"/>
        </w:rPr>
        <w:t>的</w:t>
      </w:r>
      <w:r>
        <w:t>&lt;</w:t>
      </w:r>
      <w:r>
        <w:rPr>
          <w:rFonts w:hint="eastAsia"/>
        </w:rPr>
        <w:t>新建</w:t>
      </w:r>
      <w:r>
        <w:t>&gt;</w:t>
      </w:r>
      <w:r>
        <w:rPr>
          <w:rFonts w:hint="eastAsia"/>
        </w:rPr>
        <w:t>按钮，进入新建管理员界面。</w:t>
      </w:r>
    </w:p>
    <w:p w14:paraId="38FBE1FF">
      <w:pPr>
        <w:pStyle w:val="188"/>
      </w:pPr>
      <w:bookmarkStart w:id="11038" w:name="_Toc141875235"/>
      <w:bookmarkStart w:id="11039" w:name="_Ref393786253"/>
      <w:r>
        <w:rPr>
          <w:rFonts w:hint="eastAsia"/>
        </w:rPr>
        <w:t>新建管理员界面</w:t>
      </w:r>
      <w:bookmarkEnd w:id="11038"/>
      <w:bookmarkEnd w:id="11039"/>
    </w:p>
    <w:p w14:paraId="3219BC51">
      <w:pPr>
        <w:pStyle w:val="175"/>
      </w:pPr>
      <w:r>
        <w:drawing>
          <wp:inline distT="0" distB="0" distL="0" distR="0">
            <wp:extent cx="5400040" cy="4476750"/>
            <wp:effectExtent l="0" t="0" r="0" b="0"/>
            <wp:docPr id="739" name="图片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图片 739"/>
                    <pic:cNvPicPr>
                      <a:picLocks noChangeAspect="1"/>
                    </pic:cNvPicPr>
                  </pic:nvPicPr>
                  <pic:blipFill>
                    <a:blip r:embed="rId1197"/>
                    <a:stretch>
                      <a:fillRect/>
                    </a:stretch>
                  </pic:blipFill>
                  <pic:spPr>
                    <a:xfrm>
                      <a:off x="0" y="0"/>
                      <a:ext cx="5400040" cy="4476750"/>
                    </a:xfrm>
                    <a:prstGeom prst="rect">
                      <a:avLst/>
                    </a:prstGeom>
                  </pic:spPr>
                </pic:pic>
              </a:graphicData>
            </a:graphic>
          </wp:inline>
        </w:drawing>
      </w:r>
    </w:p>
    <w:p w14:paraId="205A509C"/>
    <w:p w14:paraId="43D33AB3">
      <w:pPr>
        <w:pStyle w:val="183"/>
      </w:pPr>
      <w:bookmarkStart w:id="11040" w:name="_Ref393786303"/>
      <w:bookmarkStart w:id="11041" w:name="_Toc141875766"/>
      <w:r>
        <w:rPr>
          <w:rFonts w:hint="eastAsia"/>
        </w:rPr>
        <w:t>管理员的详细配置</w:t>
      </w:r>
      <w:bookmarkEnd w:id="11040"/>
      <w:r>
        <w:rPr>
          <w:rFonts w:hint="eastAsia"/>
        </w:rPr>
        <w:t>描述表</w:t>
      </w:r>
      <w:bookmarkEnd w:id="11041"/>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384"/>
        <w:gridCol w:w="7630"/>
      </w:tblGrid>
      <w:tr w14:paraId="1196ED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84" w:type="dxa"/>
            <w:tcBorders>
              <w:tl2br w:val="nil"/>
              <w:tr2bl w:val="nil"/>
            </w:tcBorders>
            <w:shd w:val="clear" w:color="auto" w:fill="538135" w:themeFill="accent6" w:themeFillShade="BF"/>
            <w:vAlign w:val="center"/>
          </w:tcPr>
          <w:p w14:paraId="197FD08D">
            <w:pPr>
              <w:pStyle w:val="149"/>
              <w:wordWrap/>
              <w:rPr>
                <w:b/>
                <w:bCs/>
                <w:i w:val="0"/>
                <w:iCs w:val="0"/>
              </w:rPr>
            </w:pPr>
            <w:r>
              <w:rPr>
                <w:rFonts w:hint="eastAsia"/>
                <w:b/>
                <w:bCs/>
                <w:i w:val="0"/>
                <w:iCs w:val="0"/>
              </w:rPr>
              <w:t>配置项</w:t>
            </w:r>
          </w:p>
        </w:tc>
        <w:tc>
          <w:tcPr>
            <w:tcW w:w="7630" w:type="dxa"/>
            <w:tcBorders>
              <w:tl2br w:val="nil"/>
              <w:tr2bl w:val="nil"/>
            </w:tcBorders>
            <w:shd w:val="clear" w:color="auto" w:fill="538135" w:themeFill="accent6" w:themeFillShade="BF"/>
            <w:vAlign w:val="center"/>
          </w:tcPr>
          <w:p w14:paraId="57707DCC">
            <w:pPr>
              <w:pStyle w:val="149"/>
              <w:wordWrap/>
              <w:rPr>
                <w:b/>
                <w:bCs/>
                <w:i w:val="0"/>
                <w:iCs w:val="0"/>
              </w:rPr>
            </w:pPr>
            <w:r>
              <w:rPr>
                <w:rFonts w:hint="eastAsia"/>
                <w:b/>
                <w:bCs/>
                <w:i w:val="0"/>
                <w:iCs w:val="0"/>
              </w:rPr>
              <w:t>说明</w:t>
            </w:r>
          </w:p>
        </w:tc>
      </w:tr>
      <w:tr w14:paraId="1FF45E7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84" w:type="dxa"/>
            <w:shd w:val="clear" w:color="auto" w:fill="auto"/>
          </w:tcPr>
          <w:p w14:paraId="661D55C9">
            <w:pPr>
              <w:pStyle w:val="150"/>
            </w:pPr>
            <w:r>
              <w:t>用户名</w:t>
            </w:r>
          </w:p>
        </w:tc>
        <w:tc>
          <w:tcPr>
            <w:tcW w:w="7630" w:type="dxa"/>
            <w:shd w:val="clear" w:color="auto" w:fill="auto"/>
          </w:tcPr>
          <w:p w14:paraId="0E70FF07">
            <w:pPr>
              <w:pStyle w:val="150"/>
            </w:pPr>
            <w:r>
              <w:rPr>
                <w:rFonts w:hint="eastAsia"/>
              </w:rPr>
              <w:t>输入管理员的用户名。1~</w:t>
            </w:r>
            <w:r>
              <w:t>63</w:t>
            </w:r>
            <w:r>
              <w:rPr>
                <w:rFonts w:hint="eastAsia"/>
              </w:rPr>
              <w:t>字符。</w:t>
            </w:r>
          </w:p>
        </w:tc>
      </w:tr>
      <w:tr w14:paraId="733EF6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84" w:type="dxa"/>
            <w:shd w:val="clear" w:color="auto" w:fill="auto"/>
          </w:tcPr>
          <w:p w14:paraId="7CD83060">
            <w:pPr>
              <w:pStyle w:val="150"/>
            </w:pPr>
            <w:r>
              <w:t>描述</w:t>
            </w:r>
          </w:p>
        </w:tc>
        <w:tc>
          <w:tcPr>
            <w:tcW w:w="7630" w:type="dxa"/>
            <w:shd w:val="clear" w:color="auto" w:fill="auto"/>
          </w:tcPr>
          <w:p w14:paraId="0CC4C179">
            <w:pPr>
              <w:pStyle w:val="150"/>
            </w:pPr>
            <w:r>
              <w:rPr>
                <w:rFonts w:hint="eastAsia"/>
              </w:rPr>
              <w:t>填写管理员的描述信息（可选）。</w:t>
            </w:r>
          </w:p>
        </w:tc>
      </w:tr>
      <w:tr w14:paraId="74D1BA0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84" w:type="dxa"/>
            <w:shd w:val="clear" w:color="auto" w:fill="auto"/>
          </w:tcPr>
          <w:p w14:paraId="517CD745">
            <w:pPr>
              <w:pStyle w:val="150"/>
            </w:pPr>
            <w:r>
              <w:t>认证类型</w:t>
            </w:r>
          </w:p>
        </w:tc>
        <w:tc>
          <w:tcPr>
            <w:tcW w:w="7630" w:type="dxa"/>
            <w:shd w:val="clear" w:color="auto" w:fill="auto"/>
          </w:tcPr>
          <w:p w14:paraId="3D5B5B7E">
            <w:pPr>
              <w:pStyle w:val="150"/>
            </w:pPr>
            <w:r>
              <w:rPr>
                <w:rFonts w:hint="eastAsia"/>
              </w:rPr>
              <w:t>选择管理员账号的认证方式，支持本地、R</w:t>
            </w:r>
            <w:r>
              <w:t>ADIUS</w:t>
            </w:r>
            <w:r>
              <w:rPr>
                <w:rFonts w:hint="eastAsia"/>
              </w:rPr>
              <w:t>和L</w:t>
            </w:r>
            <w:r>
              <w:t>DAP</w:t>
            </w:r>
            <w:r>
              <w:rPr>
                <w:rFonts w:hint="eastAsia"/>
              </w:rPr>
              <w:t>三种方式。如果选择了本地认证，需同时设置登录密码；如果选择了R</w:t>
            </w:r>
            <w:r>
              <w:t>ADIUS</w:t>
            </w:r>
            <w:r>
              <w:rPr>
                <w:rFonts w:hint="eastAsia"/>
              </w:rPr>
              <w:t>或L</w:t>
            </w:r>
            <w:r>
              <w:t>DAP</w:t>
            </w:r>
            <w:r>
              <w:rPr>
                <w:rFonts w:hint="eastAsia"/>
              </w:rPr>
              <w:t>认证，需同时配置相应的认证服务器，更多信息请参考</w:t>
            </w:r>
            <w:r>
              <w:fldChar w:fldCharType="begin"/>
            </w:r>
            <w:r>
              <w:instrText xml:space="preserve"> </w:instrText>
            </w:r>
            <w:r>
              <w:rPr>
                <w:rFonts w:hint="eastAsia"/>
              </w:rPr>
              <w:instrText xml:space="preserve">REF _Ref99442009 \h</w:instrText>
            </w:r>
            <w:r>
              <w:instrText xml:space="preserve">  \* MERGEFORMAT </w:instrText>
            </w:r>
            <w:r>
              <w:fldChar w:fldCharType="separate"/>
            </w:r>
            <w:r>
              <w:rPr>
                <w:rFonts w:hint="eastAsia"/>
              </w:rPr>
              <w:t>配置LDAP</w:t>
            </w:r>
            <w:r>
              <w:fldChar w:fldCharType="end"/>
            </w:r>
            <w:r>
              <w:rPr>
                <w:rFonts w:hint="eastAsia"/>
              </w:rPr>
              <w:t>和</w:t>
            </w:r>
            <w:r>
              <w:fldChar w:fldCharType="begin"/>
            </w:r>
            <w:r>
              <w:instrText xml:space="preserve"> </w:instrText>
            </w:r>
            <w:r>
              <w:rPr>
                <w:rFonts w:hint="eastAsia"/>
              </w:rPr>
              <w:instrText xml:space="preserve">REF _Ref99442018 \h</w:instrText>
            </w:r>
            <w:r>
              <w:instrText xml:space="preserve">  \* MERGEFORMAT </w:instrText>
            </w:r>
            <w:r>
              <w:fldChar w:fldCharType="separate"/>
            </w:r>
            <w:r>
              <w:rPr>
                <w:rFonts w:hint="eastAsia"/>
              </w:rPr>
              <w:t>配置RADIUS</w:t>
            </w:r>
            <w:r>
              <w:fldChar w:fldCharType="end"/>
            </w:r>
            <w:r>
              <w:rPr>
                <w:rFonts w:hint="eastAsia"/>
              </w:rPr>
              <w:t>。</w:t>
            </w:r>
          </w:p>
        </w:tc>
      </w:tr>
      <w:tr w14:paraId="07197B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84" w:type="dxa"/>
            <w:shd w:val="clear" w:color="auto" w:fill="auto"/>
          </w:tcPr>
          <w:p w14:paraId="2CDB774A">
            <w:pPr>
              <w:pStyle w:val="150"/>
            </w:pPr>
            <w:r>
              <w:rPr>
                <w:rFonts w:hint="eastAsia"/>
              </w:rPr>
              <w:t>密码</w:t>
            </w:r>
          </w:p>
        </w:tc>
        <w:tc>
          <w:tcPr>
            <w:tcW w:w="7630" w:type="dxa"/>
            <w:shd w:val="clear" w:color="auto" w:fill="auto"/>
          </w:tcPr>
          <w:p w14:paraId="7A7C2161">
            <w:pPr>
              <w:pStyle w:val="150"/>
            </w:pPr>
            <w:r>
              <w:rPr>
                <w:rFonts w:hint="eastAsia"/>
              </w:rPr>
              <w:t>设置管理员对应的密码，8~31字符，密码必须包括数字、字母以及特殊字符（!@#$%’,-.）</w:t>
            </w:r>
          </w:p>
        </w:tc>
      </w:tr>
      <w:tr w14:paraId="2E3756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84" w:type="dxa"/>
            <w:shd w:val="clear" w:color="auto" w:fill="auto"/>
          </w:tcPr>
          <w:p w14:paraId="77AC6137">
            <w:pPr>
              <w:pStyle w:val="150"/>
            </w:pPr>
            <w:r>
              <w:rPr>
                <w:rFonts w:hint="eastAsia"/>
              </w:rPr>
              <w:t>确认密码</w:t>
            </w:r>
          </w:p>
        </w:tc>
        <w:tc>
          <w:tcPr>
            <w:tcW w:w="7630" w:type="dxa"/>
            <w:shd w:val="clear" w:color="auto" w:fill="auto"/>
          </w:tcPr>
          <w:p w14:paraId="2B1A623C">
            <w:pPr>
              <w:pStyle w:val="150"/>
            </w:pPr>
            <w:r>
              <w:t>对输入的密码进行确认输入。</w:t>
            </w:r>
          </w:p>
        </w:tc>
      </w:tr>
      <w:tr w14:paraId="454343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84" w:type="dxa"/>
            <w:shd w:val="clear" w:color="auto" w:fill="auto"/>
          </w:tcPr>
          <w:p w14:paraId="1C0FF9EE">
            <w:pPr>
              <w:pStyle w:val="150"/>
            </w:pPr>
            <w:r>
              <w:t>管理IP</w:t>
            </w:r>
            <w:r>
              <w:rPr>
                <w:rFonts w:hint="eastAsia"/>
              </w:rPr>
              <w:t>/掩码</w:t>
            </w:r>
          </w:p>
        </w:tc>
        <w:tc>
          <w:tcPr>
            <w:tcW w:w="7630" w:type="dxa"/>
            <w:shd w:val="clear" w:color="auto" w:fill="auto"/>
          </w:tcPr>
          <w:p w14:paraId="2BF3DBC8">
            <w:pPr>
              <w:pStyle w:val="150"/>
            </w:pPr>
            <w:r>
              <w:rPr>
                <w:rFonts w:hint="eastAsia"/>
              </w:rPr>
              <w:t>设置授权的管理IP地址（最多三组），设置完成后管理员仅可以从指定的IP地址或地址段登录到设备。管理员可通过HTTPS、TELNET或SSH端口登录到设备，有关登录端口配置的更多信息，请参考</w:t>
            </w:r>
            <w:r>
              <w:fldChar w:fldCharType="begin"/>
            </w:r>
            <w:r>
              <w:instrText xml:space="preserve"> </w:instrText>
            </w:r>
            <w:r>
              <w:rPr>
                <w:rFonts w:hint="eastAsia"/>
              </w:rPr>
              <w:instrText xml:space="preserve">REF _Ref99442169 \h</w:instrText>
            </w:r>
            <w:r>
              <w:instrText xml:space="preserve">  \* MERGEFORMAT </w:instrText>
            </w:r>
            <w:r>
              <w:fldChar w:fldCharType="separate"/>
            </w:r>
            <w:r>
              <w:rPr>
                <w:rFonts w:hint="eastAsia"/>
              </w:rPr>
              <w:t>管理设定</w:t>
            </w:r>
            <w:r>
              <w:fldChar w:fldCharType="end"/>
            </w:r>
            <w:r>
              <w:rPr>
                <w:rFonts w:hint="eastAsia"/>
              </w:rPr>
              <w:t>。</w:t>
            </w:r>
          </w:p>
        </w:tc>
      </w:tr>
      <w:tr w14:paraId="00655A2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84" w:type="dxa"/>
            <w:shd w:val="clear" w:color="auto" w:fill="auto"/>
          </w:tcPr>
          <w:p w14:paraId="40852A69">
            <w:pPr>
              <w:pStyle w:val="150"/>
            </w:pPr>
            <w:r>
              <w:rPr>
                <w:rFonts w:hint="eastAsia"/>
              </w:rPr>
              <w:t>MAC地址</w:t>
            </w:r>
          </w:p>
        </w:tc>
        <w:tc>
          <w:tcPr>
            <w:tcW w:w="7630" w:type="dxa"/>
            <w:shd w:val="clear" w:color="auto" w:fill="auto"/>
          </w:tcPr>
          <w:p w14:paraId="4FB8D237">
            <w:pPr>
              <w:pStyle w:val="150"/>
            </w:pPr>
            <w:r>
              <w:rPr>
                <w:rFonts w:hint="eastAsia"/>
              </w:rPr>
              <w:t>可以配置授权的MAC地址，最多可配置3个，默认可以不填。与管理IP是一一绑定，缺省情况下，从任何MAC都可以登录设备进行配置管理。</w:t>
            </w:r>
          </w:p>
        </w:tc>
      </w:tr>
      <w:tr w14:paraId="34424E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84" w:type="dxa"/>
            <w:shd w:val="clear" w:color="auto" w:fill="auto"/>
          </w:tcPr>
          <w:p w14:paraId="4B415427">
            <w:pPr>
              <w:pStyle w:val="150"/>
            </w:pPr>
            <w:r>
              <w:rPr>
                <w:rFonts w:hint="eastAsia"/>
              </w:rPr>
              <w:t>角色</w:t>
            </w:r>
          </w:p>
        </w:tc>
        <w:tc>
          <w:tcPr>
            <w:tcW w:w="7630" w:type="dxa"/>
            <w:shd w:val="clear" w:color="auto" w:fill="auto"/>
          </w:tcPr>
          <w:p w14:paraId="244633EA">
            <w:pPr>
              <w:pStyle w:val="150"/>
            </w:pPr>
            <w:r>
              <w:rPr>
                <w:rFonts w:hint="eastAsia"/>
              </w:rPr>
              <w:t xml:space="preserve">选择管理员的角色，可以选择内置管理员和审计员角色，也可以选择自定义的角色。管理员具有系统所有权限，审计员只可以查看信息，无法修改设备配置，admin和audit角色不用绑定用户组；只有选择自定义角色时才会绑定用户组。 </w:t>
            </w:r>
          </w:p>
        </w:tc>
      </w:tr>
      <w:tr w14:paraId="46D3A2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84" w:type="dxa"/>
            <w:shd w:val="clear" w:color="auto" w:fill="auto"/>
          </w:tcPr>
          <w:p w14:paraId="6EC6C0AC">
            <w:pPr>
              <w:pStyle w:val="150"/>
            </w:pPr>
            <w:r>
              <w:rPr>
                <w:rFonts w:hint="eastAsia"/>
              </w:rPr>
              <w:t>用户组</w:t>
            </w:r>
          </w:p>
        </w:tc>
        <w:tc>
          <w:tcPr>
            <w:tcW w:w="7630" w:type="dxa"/>
            <w:shd w:val="clear" w:color="auto" w:fill="auto"/>
          </w:tcPr>
          <w:p w14:paraId="59DA7EF8">
            <w:pPr>
              <w:pStyle w:val="150"/>
            </w:pPr>
            <w:r>
              <w:rPr>
                <w:rFonts w:hint="eastAsia"/>
              </w:rPr>
              <w:t>管理员绑定的用户组，只支持用户组，不支持属性组。</w:t>
            </w:r>
          </w:p>
          <w:p w14:paraId="2E45CCEE">
            <w:pPr>
              <w:pStyle w:val="150"/>
            </w:pPr>
            <w:r>
              <w:rPr>
                <w:rFonts w:hint="eastAsia"/>
              </w:rPr>
              <w:t>当管理员绑定了用户组之后，使用新建管理员登录设备，在控制策略和审计策略匹配条件用户选项，只能查看与管理员绑定的用户组，无法查看其他用户组和属性组。</w:t>
            </w:r>
          </w:p>
        </w:tc>
      </w:tr>
      <w:tr w14:paraId="33AFDF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84" w:type="dxa"/>
            <w:shd w:val="clear" w:color="auto" w:fill="auto"/>
          </w:tcPr>
          <w:p w14:paraId="40071827">
            <w:pPr>
              <w:pStyle w:val="150"/>
            </w:pPr>
            <w:r>
              <w:rPr>
                <w:rFonts w:hint="eastAsia"/>
              </w:rPr>
              <w:t>Ukey认证</w:t>
            </w:r>
          </w:p>
        </w:tc>
        <w:tc>
          <w:tcPr>
            <w:tcW w:w="7630" w:type="dxa"/>
            <w:shd w:val="clear" w:color="auto" w:fill="auto"/>
          </w:tcPr>
          <w:p w14:paraId="6B366D60">
            <w:pPr>
              <w:pStyle w:val="150"/>
            </w:pPr>
            <w:r>
              <w:rPr>
                <w:rFonts w:hint="eastAsia"/>
              </w:rPr>
              <w:t>勾选开启管理员的Ukey认证功能，只有开启Ukey认证并绑定Ukey的管理员才进行双因子认证，未开启的管理员不进行双因子认证。</w:t>
            </w:r>
          </w:p>
          <w:p w14:paraId="220EFA95">
            <w:pPr>
              <w:pStyle w:val="150"/>
            </w:pPr>
            <w:r>
              <w:rPr>
                <w:rFonts w:hint="eastAsia"/>
              </w:rPr>
              <w:t>设备上未插入Ukey时，会提示查找设备失败。</w:t>
            </w:r>
          </w:p>
        </w:tc>
      </w:tr>
      <w:tr w14:paraId="2E9880A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384" w:type="dxa"/>
            <w:shd w:val="clear" w:color="auto" w:fill="auto"/>
          </w:tcPr>
          <w:p w14:paraId="7D21D6A2">
            <w:pPr>
              <w:pStyle w:val="150"/>
            </w:pPr>
            <w:r>
              <w:rPr>
                <w:rFonts w:hint="eastAsia"/>
              </w:rPr>
              <w:t>Ukey</w:t>
            </w:r>
          </w:p>
        </w:tc>
        <w:tc>
          <w:tcPr>
            <w:tcW w:w="7630" w:type="dxa"/>
            <w:shd w:val="clear" w:color="auto" w:fill="auto"/>
          </w:tcPr>
          <w:p w14:paraId="1633EDD4">
            <w:pPr>
              <w:pStyle w:val="150"/>
            </w:pPr>
            <w:r>
              <w:rPr>
                <w:rFonts w:hint="eastAsia"/>
              </w:rPr>
              <w:t>在设备上插入Ukey并安装驱动后，在下拉框中选择插入的Ukey，点击“一键制作Ukey”，输入Ukey默认的管理员密码，点击“提交”，完成Ukey的制作。</w:t>
            </w:r>
          </w:p>
          <w:p w14:paraId="6137A3EC">
            <w:pPr>
              <w:pStyle w:val="150"/>
            </w:pPr>
            <w:r>
              <w:rPr>
                <w:rFonts w:hint="eastAsia"/>
              </w:rPr>
              <w:t>管理员与Ukey绑定后，使用该管理员账号登录设备时，需插入绑定的Ukey并输入正确的用户名/密码及Ukey密码，才能登录。</w:t>
            </w:r>
          </w:p>
        </w:tc>
      </w:tr>
    </w:tbl>
    <w:p w14:paraId="4DBCF89C">
      <w:bookmarkStart w:id="11042" w:name="_Toc497293017"/>
      <w:bookmarkEnd w:id="11042"/>
      <w:bookmarkStart w:id="11043" w:name="_Toc389750126"/>
      <w:bookmarkStart w:id="11044" w:name="_Toc325575864"/>
      <w:bookmarkStart w:id="11045" w:name="_Toc369620399"/>
      <w:bookmarkStart w:id="11046" w:name="_Toc389059431"/>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6532B935">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192CB016">
            <w:pPr>
              <w:pStyle w:val="150"/>
              <w:adjustRightInd w:val="0"/>
              <w:snapToGrid w:val="0"/>
              <w:rPr>
                <w:color w:val="auto"/>
              </w:rPr>
            </w:pPr>
            <w:bookmarkStart w:id="11047" w:name="OLE_LINK89"/>
            <w:r>
              <w:rPr>
                <w:b/>
                <w:color w:val="auto"/>
              </w:rPr>
              <w:drawing>
                <wp:inline distT="0" distB="0" distL="0" distR="0">
                  <wp:extent cx="283210" cy="283210"/>
                  <wp:effectExtent l="0" t="0" r="2540" b="2540"/>
                  <wp:docPr id="948" name="图片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图片 948"/>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41339E7F">
            <w:pPr>
              <w:pStyle w:val="207"/>
              <w:adjustRightInd w:val="0"/>
              <w:snapToGrid w:val="0"/>
              <w:rPr>
                <w:color w:val="auto"/>
                <w:lang w:eastAsia="zh-CN"/>
              </w:rPr>
            </w:pPr>
            <w:r>
              <w:rPr>
                <w:rFonts w:hint="eastAsia"/>
                <w:color w:val="auto"/>
                <w:lang w:eastAsia="zh-CN"/>
              </w:rPr>
              <w:t>创建的管理员如果选择admin或audit角色时，创建者列将显示为空，因为选择内置角色管理员不进行分级显示，只有选择自定义角色时，创建者显示为当前登录的管理员。</w:t>
            </w:r>
          </w:p>
          <w:p w14:paraId="7454329E">
            <w:pPr>
              <w:pStyle w:val="207"/>
              <w:adjustRightInd w:val="0"/>
              <w:snapToGrid w:val="0"/>
              <w:rPr>
                <w:color w:val="auto"/>
                <w:lang w:eastAsia="zh-CN"/>
              </w:rPr>
            </w:pPr>
            <w:r>
              <w:rPr>
                <w:rFonts w:hint="eastAsia"/>
                <w:color w:val="auto"/>
                <w:lang w:eastAsia="zh-CN"/>
              </w:rPr>
              <w:t>当管理员绑定了用户组之后，使用新建管理员登录设备，在控制策略和审计策略匹配条件用户选项，只能看到与管理员绑定的用户组，其他用户组和属性组无法看到。</w:t>
            </w:r>
          </w:p>
          <w:p w14:paraId="5D26D859">
            <w:pPr>
              <w:pStyle w:val="207"/>
              <w:adjustRightInd w:val="0"/>
              <w:snapToGrid w:val="0"/>
              <w:rPr>
                <w:color w:val="auto"/>
                <w:lang w:eastAsia="zh-CN"/>
              </w:rPr>
            </w:pPr>
            <w:r>
              <w:rPr>
                <w:rFonts w:hint="eastAsia"/>
                <w:color w:val="auto"/>
                <w:lang w:eastAsia="zh-CN"/>
              </w:rPr>
              <w:t>管理员绑定用户组不支持选择属性组。</w:t>
            </w:r>
          </w:p>
          <w:p w14:paraId="3646BF66">
            <w:pPr>
              <w:pStyle w:val="207"/>
              <w:adjustRightInd w:val="0"/>
              <w:snapToGrid w:val="0"/>
              <w:rPr>
                <w:color w:val="auto"/>
                <w:lang w:eastAsia="zh-CN"/>
              </w:rPr>
            </w:pPr>
            <w:r>
              <w:rPr>
                <w:rFonts w:hint="eastAsia"/>
                <w:color w:val="auto"/>
                <w:lang w:eastAsia="zh-CN"/>
              </w:rPr>
              <w:t>创建的管理员如果选择</w:t>
            </w:r>
            <w:r>
              <w:rPr>
                <w:color w:val="auto"/>
                <w:lang w:eastAsia="zh-CN"/>
              </w:rPr>
              <w:t>admin</w:t>
            </w:r>
            <w:r>
              <w:rPr>
                <w:rFonts w:hint="eastAsia"/>
                <w:color w:val="auto"/>
                <w:lang w:eastAsia="zh-CN"/>
              </w:rPr>
              <w:t>或</w:t>
            </w:r>
            <w:r>
              <w:rPr>
                <w:color w:val="auto"/>
                <w:lang w:eastAsia="zh-CN"/>
              </w:rPr>
              <w:t>audit</w:t>
            </w:r>
            <w:r>
              <w:rPr>
                <w:rFonts w:hint="eastAsia"/>
                <w:color w:val="auto"/>
                <w:lang w:eastAsia="zh-CN"/>
              </w:rPr>
              <w:t>角色时，创建者列将显示为空，因为选择内容角色管理员不进行分级显示，只有选择自定义角色时，创建者显示为当前登录的管理员。</w:t>
            </w:r>
          </w:p>
          <w:p w14:paraId="53298990">
            <w:pPr>
              <w:pStyle w:val="207"/>
              <w:adjustRightInd w:val="0"/>
              <w:snapToGrid w:val="0"/>
              <w:rPr>
                <w:color w:val="auto"/>
                <w:lang w:eastAsia="zh-CN"/>
              </w:rPr>
            </w:pPr>
            <w:r>
              <w:rPr>
                <w:rFonts w:hint="eastAsia"/>
                <w:color w:val="auto"/>
                <w:lang w:eastAsia="zh-CN"/>
              </w:rPr>
              <w:t>管理员</w:t>
            </w:r>
            <w:r>
              <w:rPr>
                <w:color w:val="auto"/>
                <w:lang w:eastAsia="zh-CN"/>
              </w:rPr>
              <w:t>Ukey</w:t>
            </w:r>
            <w:r>
              <w:rPr>
                <w:rFonts w:hint="eastAsia"/>
                <w:color w:val="auto"/>
                <w:lang w:eastAsia="zh-CN"/>
              </w:rPr>
              <w:t>认证功能，目前仅适配“龙脉</w:t>
            </w:r>
            <w:r>
              <w:rPr>
                <w:color w:val="auto"/>
                <w:lang w:eastAsia="zh-CN"/>
              </w:rPr>
              <w:t>GM3000”</w:t>
            </w:r>
            <w:r>
              <w:rPr>
                <w:rFonts w:hint="eastAsia"/>
                <w:color w:val="auto"/>
                <w:lang w:eastAsia="zh-CN"/>
              </w:rPr>
              <w:t>型号的</w:t>
            </w:r>
            <w:r>
              <w:rPr>
                <w:color w:val="auto"/>
                <w:lang w:eastAsia="zh-CN"/>
              </w:rPr>
              <w:t>Ukey</w:t>
            </w:r>
            <w:r>
              <w:rPr>
                <w:rFonts w:hint="eastAsia"/>
                <w:color w:val="auto"/>
                <w:lang w:eastAsia="zh-CN"/>
              </w:rPr>
              <w:t>。</w:t>
            </w:r>
          </w:p>
          <w:p w14:paraId="7B8F4D86">
            <w:pPr>
              <w:pStyle w:val="207"/>
              <w:adjustRightInd w:val="0"/>
              <w:snapToGrid w:val="0"/>
              <w:rPr>
                <w:color w:val="auto"/>
                <w:lang w:eastAsia="zh-CN"/>
              </w:rPr>
            </w:pPr>
            <w:r>
              <w:rPr>
                <w:rFonts w:hint="eastAsia"/>
                <w:color w:val="auto"/>
                <w:lang w:eastAsia="zh-CN"/>
              </w:rPr>
              <w:t>管理员与</w:t>
            </w:r>
            <w:r>
              <w:rPr>
                <w:color w:val="auto"/>
                <w:lang w:eastAsia="zh-CN"/>
              </w:rPr>
              <w:t>Ukey</w:t>
            </w:r>
            <w:r>
              <w:rPr>
                <w:rFonts w:hint="eastAsia"/>
                <w:color w:val="auto"/>
                <w:lang w:eastAsia="zh-CN"/>
              </w:rPr>
              <w:t>是一对一的关系，一个</w:t>
            </w:r>
            <w:r>
              <w:rPr>
                <w:color w:val="auto"/>
                <w:lang w:eastAsia="zh-CN"/>
              </w:rPr>
              <w:t>Ukey</w:t>
            </w:r>
            <w:r>
              <w:rPr>
                <w:rFonts w:hint="eastAsia"/>
                <w:color w:val="auto"/>
                <w:lang w:eastAsia="zh-CN"/>
              </w:rPr>
              <w:t>只能与一个管理员账号绑定，同时，一个管理员账号也只能绑定一个</w:t>
            </w:r>
            <w:r>
              <w:rPr>
                <w:color w:val="auto"/>
                <w:lang w:eastAsia="zh-CN"/>
              </w:rPr>
              <w:t>Ukey</w:t>
            </w:r>
            <w:r>
              <w:rPr>
                <w:rFonts w:hint="eastAsia"/>
                <w:color w:val="auto"/>
                <w:lang w:eastAsia="zh-CN"/>
              </w:rPr>
              <w:t>。</w:t>
            </w:r>
          </w:p>
          <w:p w14:paraId="626C0618">
            <w:pPr>
              <w:pStyle w:val="207"/>
              <w:adjustRightInd w:val="0"/>
              <w:snapToGrid w:val="0"/>
              <w:rPr>
                <w:color w:val="auto"/>
                <w:lang w:eastAsia="zh-CN"/>
              </w:rPr>
            </w:pPr>
            <w:r>
              <w:rPr>
                <w:rFonts w:hint="eastAsia"/>
                <w:color w:val="auto"/>
                <w:lang w:eastAsia="zh-CN"/>
              </w:rPr>
              <w:t>如果通过</w:t>
            </w:r>
            <w:r>
              <w:rPr>
                <w:color w:val="auto"/>
                <w:lang w:eastAsia="zh-CN"/>
              </w:rPr>
              <w:t>Ukey</w:t>
            </w:r>
            <w:r>
              <w:rPr>
                <w:rFonts w:hint="eastAsia"/>
                <w:color w:val="auto"/>
                <w:lang w:eastAsia="zh-CN"/>
              </w:rPr>
              <w:t>管理工具将</w:t>
            </w:r>
            <w:r>
              <w:rPr>
                <w:color w:val="auto"/>
                <w:lang w:eastAsia="zh-CN"/>
              </w:rPr>
              <w:t>Ukey</w:t>
            </w:r>
            <w:r>
              <w:rPr>
                <w:rFonts w:hint="eastAsia"/>
                <w:color w:val="auto"/>
                <w:lang w:eastAsia="zh-CN"/>
              </w:rPr>
              <w:t>认证绑定的应用或容器内容修改或删除，则会导致</w:t>
            </w:r>
            <w:r>
              <w:rPr>
                <w:color w:val="auto"/>
                <w:lang w:eastAsia="zh-CN"/>
              </w:rPr>
              <w:t>Ukey</w:t>
            </w:r>
            <w:r>
              <w:rPr>
                <w:rFonts w:hint="eastAsia"/>
                <w:color w:val="auto"/>
                <w:lang w:eastAsia="zh-CN"/>
              </w:rPr>
              <w:t>认证失败，需要重新制作</w:t>
            </w:r>
            <w:r>
              <w:rPr>
                <w:color w:val="auto"/>
                <w:lang w:eastAsia="zh-CN"/>
              </w:rPr>
              <w:t>Ukey</w:t>
            </w:r>
            <w:r>
              <w:rPr>
                <w:rFonts w:hint="eastAsia"/>
                <w:color w:val="auto"/>
                <w:lang w:eastAsia="zh-CN"/>
              </w:rPr>
              <w:t>。</w:t>
            </w:r>
          </w:p>
        </w:tc>
      </w:tr>
      <w:bookmarkEnd w:id="11047"/>
    </w:tbl>
    <w:p w14:paraId="4C1AF980"/>
    <w:p w14:paraId="659A550E">
      <w:pPr>
        <w:pStyle w:val="6"/>
      </w:pPr>
      <w:bookmarkStart w:id="11048" w:name="_Toc59610904"/>
      <w:bookmarkStart w:id="11049" w:name="_Toc72422319"/>
      <w:bookmarkStart w:id="11050" w:name="_Ref97837727"/>
      <w:r>
        <w:rPr>
          <w:rFonts w:hint="eastAsia"/>
        </w:rPr>
        <w:t>角色</w:t>
      </w:r>
      <w:r>
        <w:t>管理</w:t>
      </w:r>
      <w:bookmarkEnd w:id="11048"/>
      <w:bookmarkEnd w:id="11049"/>
      <w:bookmarkEnd w:id="11050"/>
    </w:p>
    <w:p w14:paraId="6CBDF8DD">
      <w:r>
        <w:rPr>
          <w:rFonts w:hint="eastAsia"/>
        </w:rPr>
        <w:t>在导航栏中选择“系统</w:t>
      </w:r>
      <w:r>
        <w:t>管理</w:t>
      </w:r>
      <w:r>
        <w:rPr>
          <w:rFonts w:hint="eastAsia"/>
        </w:rPr>
        <w:t xml:space="preserve"> &gt; 系统</w:t>
      </w:r>
      <w:r>
        <w:t>设定</w:t>
      </w:r>
      <w:r>
        <w:rPr>
          <w:rFonts w:hint="eastAsia"/>
        </w:rPr>
        <w:t xml:space="preserve"> &gt; 管理员 &gt; 角色</w:t>
      </w:r>
      <w:r>
        <w:t>管理</w:t>
      </w:r>
      <w:r>
        <w:rPr>
          <w:rFonts w:hint="eastAsia"/>
        </w:rPr>
        <w:t>”，进入角色</w:t>
      </w:r>
      <w:r>
        <w:t>管理</w:t>
      </w:r>
      <w:r>
        <w:rPr>
          <w:rFonts w:hint="eastAsia"/>
        </w:rPr>
        <w:t>页面。</w:t>
      </w:r>
    </w:p>
    <w:p w14:paraId="4F011D03">
      <w:pPr>
        <w:pStyle w:val="188"/>
      </w:pPr>
      <w:bookmarkStart w:id="11051" w:name="_Toc141875236"/>
      <w:r>
        <w:rPr>
          <w:rFonts w:hint="eastAsia"/>
        </w:rPr>
        <w:t>管理员</w:t>
      </w:r>
      <w:r>
        <w:t>角色显示页面</w:t>
      </w:r>
      <w:bookmarkEnd w:id="11051"/>
    </w:p>
    <w:p w14:paraId="78C2D720">
      <w:pPr>
        <w:spacing w:before="78" w:after="78"/>
      </w:pPr>
      <w:r>
        <w:drawing>
          <wp:inline distT="0" distB="0" distL="0" distR="0">
            <wp:extent cx="6120130" cy="1324610"/>
            <wp:effectExtent l="0" t="0" r="0" b="8890"/>
            <wp:docPr id="444" name="图片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444"/>
                    <pic:cNvPicPr>
                      <a:picLocks noChangeAspect="1"/>
                    </pic:cNvPicPr>
                  </pic:nvPicPr>
                  <pic:blipFill>
                    <a:blip r:embed="rId1198"/>
                    <a:stretch>
                      <a:fillRect/>
                    </a:stretch>
                  </pic:blipFill>
                  <pic:spPr>
                    <a:xfrm>
                      <a:off x="0" y="0"/>
                      <a:ext cx="6120130" cy="1324610"/>
                    </a:xfrm>
                    <a:prstGeom prst="rect">
                      <a:avLst/>
                    </a:prstGeom>
                  </pic:spPr>
                </pic:pic>
              </a:graphicData>
            </a:graphic>
          </wp:inline>
        </w:drawing>
      </w:r>
    </w:p>
    <w:p w14:paraId="65C3DB10"/>
    <w:p w14:paraId="25B7D925">
      <w:r>
        <w:rPr>
          <w:rFonts w:hint="eastAsia"/>
        </w:rPr>
        <w:t>点击&lt;新建&gt;，创建角色，并对角色进行授权，点击&lt;提交&gt;。</w:t>
      </w:r>
    </w:p>
    <w:p w14:paraId="19121C3D">
      <w:pPr>
        <w:pStyle w:val="188"/>
      </w:pPr>
      <w:bookmarkStart w:id="11052" w:name="_Toc141875237"/>
      <w:r>
        <w:rPr>
          <w:rFonts w:hint="eastAsia"/>
        </w:rPr>
        <w:t>角色授权</w:t>
      </w:r>
      <w:bookmarkEnd w:id="11052"/>
    </w:p>
    <w:p w14:paraId="66D201B0">
      <w:pPr>
        <w:spacing w:before="78" w:after="78"/>
      </w:pPr>
      <w:r>
        <w:drawing>
          <wp:inline distT="0" distB="0" distL="0" distR="0">
            <wp:extent cx="5586730" cy="3364230"/>
            <wp:effectExtent l="0" t="0" r="0" b="762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pic:cNvPicPr>
                      <a:picLocks noChangeAspect="1"/>
                    </pic:cNvPicPr>
                  </pic:nvPicPr>
                  <pic:blipFill>
                    <a:blip r:embed="rId1199"/>
                    <a:stretch>
                      <a:fillRect/>
                    </a:stretch>
                  </pic:blipFill>
                  <pic:spPr>
                    <a:xfrm>
                      <a:off x="0" y="0"/>
                      <a:ext cx="5588778" cy="3365560"/>
                    </a:xfrm>
                    <a:prstGeom prst="rect">
                      <a:avLst/>
                    </a:prstGeom>
                  </pic:spPr>
                </pic:pic>
              </a:graphicData>
            </a:graphic>
          </wp:inline>
        </w:drawing>
      </w:r>
    </w:p>
    <w:p w14:paraId="21979940">
      <w:pPr>
        <w:pStyle w:val="183"/>
      </w:pPr>
      <w:bookmarkStart w:id="11053" w:name="_Toc141875767"/>
      <w:r>
        <w:t>角色授权详细说明</w:t>
      </w:r>
      <w:bookmarkEnd w:id="11053"/>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526"/>
        <w:gridCol w:w="7489"/>
      </w:tblGrid>
      <w:tr w14:paraId="72C9FC2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tcBorders>
              <w:tl2br w:val="nil"/>
              <w:tr2bl w:val="nil"/>
            </w:tcBorders>
            <w:shd w:val="clear" w:color="auto" w:fill="538135" w:themeFill="accent6" w:themeFillShade="BF"/>
            <w:vAlign w:val="center"/>
          </w:tcPr>
          <w:p w14:paraId="4FDEFDB2">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7489" w:type="dxa"/>
            <w:tcBorders>
              <w:tl2br w:val="nil"/>
              <w:tr2bl w:val="nil"/>
            </w:tcBorders>
            <w:shd w:val="clear" w:color="auto" w:fill="538135" w:themeFill="accent6" w:themeFillShade="BF"/>
            <w:vAlign w:val="center"/>
          </w:tcPr>
          <w:p w14:paraId="38B78083">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53236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49DC3B57">
            <w:pPr>
              <w:pStyle w:val="150"/>
            </w:pPr>
            <w:r>
              <w:rPr>
                <w:rFonts w:hint="eastAsia"/>
              </w:rPr>
              <w:t>名称</w:t>
            </w:r>
          </w:p>
        </w:tc>
        <w:tc>
          <w:tcPr>
            <w:tcW w:w="7489" w:type="dxa"/>
            <w:shd w:val="clear" w:color="auto" w:fill="auto"/>
          </w:tcPr>
          <w:p w14:paraId="20DD4F26">
            <w:pPr>
              <w:pStyle w:val="150"/>
            </w:pPr>
            <w:r>
              <w:rPr>
                <w:rFonts w:hint="eastAsia"/>
              </w:rPr>
              <w:t>输入角色的用户名。1~31字符。</w:t>
            </w:r>
          </w:p>
        </w:tc>
      </w:tr>
      <w:tr w14:paraId="14CB778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526C3F31">
            <w:pPr>
              <w:pStyle w:val="150"/>
            </w:pPr>
            <w:r>
              <w:rPr>
                <w:rFonts w:hint="eastAsia"/>
              </w:rPr>
              <w:t>描述</w:t>
            </w:r>
          </w:p>
        </w:tc>
        <w:tc>
          <w:tcPr>
            <w:tcW w:w="7489" w:type="dxa"/>
            <w:shd w:val="clear" w:color="auto" w:fill="auto"/>
          </w:tcPr>
          <w:p w14:paraId="1DC11EE8">
            <w:pPr>
              <w:pStyle w:val="150"/>
            </w:pPr>
            <w:r>
              <w:rPr>
                <w:rFonts w:hint="eastAsia"/>
              </w:rPr>
              <w:t>填写角色的描述信息（可选）。</w:t>
            </w:r>
          </w:p>
        </w:tc>
      </w:tr>
      <w:tr w14:paraId="6CD766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5CB580A9">
            <w:pPr>
              <w:pStyle w:val="150"/>
            </w:pPr>
            <w:r>
              <w:rPr>
                <w:rFonts w:hint="eastAsia"/>
              </w:rPr>
              <w:t>权限管理</w:t>
            </w:r>
          </w:p>
        </w:tc>
        <w:tc>
          <w:tcPr>
            <w:tcW w:w="7489" w:type="dxa"/>
            <w:shd w:val="clear" w:color="auto" w:fill="auto"/>
          </w:tcPr>
          <w:p w14:paraId="3A15AE95">
            <w:pPr>
              <w:pStyle w:val="150"/>
            </w:pPr>
            <w:r>
              <w:rPr>
                <w:rFonts w:hint="eastAsia"/>
              </w:rPr>
              <w:t>在左侧树状菜单中选择需要设置的权限，勾选后的功能项添加在权限列表中，取消勾选则不在取消列表中显示，勾选只读后，使用该角色对相关功能只有查看的权限，不勾选只读则该角色对相关功能具有可读可写可执行的权限。</w:t>
            </w:r>
          </w:p>
        </w:tc>
      </w:tr>
    </w:tbl>
    <w:p w14:paraId="1E764F04"/>
    <w:p w14:paraId="3BC2217F">
      <w:pPr>
        <w:pStyle w:val="6"/>
      </w:pPr>
      <w:bookmarkStart w:id="11054" w:name="_Toc12469922"/>
      <w:bookmarkStart w:id="11055" w:name="_Toc15485334"/>
      <w:bookmarkStart w:id="11056" w:name="_Toc23153091"/>
      <w:bookmarkStart w:id="11057" w:name="_Toc40276512"/>
      <w:r>
        <w:rPr>
          <w:rFonts w:hint="eastAsia"/>
        </w:rPr>
        <w:t>查看在线管理员</w:t>
      </w:r>
      <w:bookmarkEnd w:id="11043"/>
      <w:bookmarkEnd w:id="11044"/>
      <w:bookmarkEnd w:id="11045"/>
      <w:bookmarkEnd w:id="11046"/>
      <w:bookmarkEnd w:id="11054"/>
      <w:bookmarkEnd w:id="11055"/>
      <w:bookmarkEnd w:id="11056"/>
      <w:bookmarkEnd w:id="11057"/>
    </w:p>
    <w:p w14:paraId="218BE532">
      <w:r>
        <w:rPr>
          <w:rFonts w:hint="eastAsia"/>
        </w:rPr>
        <w:t>通过菜单“系统管理</w:t>
      </w:r>
      <w:r>
        <w:t xml:space="preserve"> &gt; </w:t>
      </w:r>
      <w:r>
        <w:rPr>
          <w:rFonts w:hint="eastAsia"/>
        </w:rPr>
        <w:t>系统设定</w:t>
      </w:r>
      <w:r>
        <w:t xml:space="preserve"> &gt; </w:t>
      </w:r>
      <w:r>
        <w:rPr>
          <w:rFonts w:hint="eastAsia"/>
        </w:rPr>
        <w:t>管理员”，然后再点击“在线信息”标签页，可以查看已登录到设备上的管理员列表，在操作列下点击</w:t>
      </w:r>
      <w:r>
        <w:drawing>
          <wp:inline distT="0" distB="0" distL="0" distR="0">
            <wp:extent cx="104775" cy="104775"/>
            <wp:effectExtent l="0" t="0" r="0" b="0"/>
            <wp:docPr id="780"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图片 165"/>
                    <pic:cNvPicPr>
                      <a:picLocks noChangeAspect="1" noChangeArrowheads="1"/>
                    </pic:cNvPicPr>
                  </pic:nvPicPr>
                  <pic:blipFill>
                    <a:blip r:embed="rId1200" cstate="print">
                      <a:extLst>
                        <a:ext uri="{28A0092B-C50C-407E-A947-70E740481C1C}">
                          <a14:useLocalDpi xmlns:a14="http://schemas.microsoft.com/office/drawing/2010/main" val="0"/>
                        </a:ext>
                      </a:extLst>
                    </a:blip>
                    <a:srcRect/>
                    <a:stretch>
                      <a:fillRect/>
                    </a:stretch>
                  </pic:blipFill>
                  <pic:spPr>
                    <a:xfrm>
                      <a:off x="0" y="0"/>
                      <a:ext cx="104775" cy="104775"/>
                    </a:xfrm>
                    <a:prstGeom prst="rect">
                      <a:avLst/>
                    </a:prstGeom>
                    <a:noFill/>
                    <a:ln>
                      <a:noFill/>
                    </a:ln>
                  </pic:spPr>
                </pic:pic>
              </a:graphicData>
            </a:graphic>
          </wp:inline>
        </w:drawing>
      </w:r>
      <w:r>
        <w:rPr>
          <w:rFonts w:hint="eastAsia"/>
        </w:rPr>
        <w:t>图标强制选定的管理员下线（通过直连串口登录的管理员除外）。</w:t>
      </w:r>
    </w:p>
    <w:p w14:paraId="0EE483C3">
      <w:pPr>
        <w:pStyle w:val="188"/>
      </w:pPr>
      <w:bookmarkStart w:id="11058" w:name="_Ref393786536"/>
      <w:bookmarkStart w:id="11059" w:name="_Toc141875238"/>
      <w:r>
        <w:rPr>
          <w:rFonts w:hint="eastAsia"/>
        </w:rPr>
        <w:t>显示在线管理员</w:t>
      </w:r>
      <w:bookmarkEnd w:id="11058"/>
      <w:bookmarkEnd w:id="11059"/>
    </w:p>
    <w:p w14:paraId="6F9F8616">
      <w:r>
        <w:drawing>
          <wp:inline distT="0" distB="0" distL="114300" distR="114300">
            <wp:extent cx="5400040" cy="1040130"/>
            <wp:effectExtent l="0" t="0" r="0" b="7620"/>
            <wp:docPr id="46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3"/>
                    <pic:cNvPicPr>
                      <a:picLocks noChangeAspect="1"/>
                    </pic:cNvPicPr>
                  </pic:nvPicPr>
                  <pic:blipFill>
                    <a:blip r:embed="rId1201"/>
                    <a:stretch>
                      <a:fillRect/>
                    </a:stretch>
                  </pic:blipFill>
                  <pic:spPr>
                    <a:xfrm>
                      <a:off x="0" y="0"/>
                      <a:ext cx="5400040" cy="1040215"/>
                    </a:xfrm>
                    <a:prstGeom prst="rect">
                      <a:avLst/>
                    </a:prstGeom>
                    <a:noFill/>
                    <a:ln>
                      <a:noFill/>
                    </a:ln>
                  </pic:spPr>
                </pic:pic>
              </a:graphicData>
            </a:graphic>
          </wp:inline>
        </w:drawing>
      </w:r>
    </w:p>
    <w:p w14:paraId="55E7E750">
      <w:pPr>
        <w:pStyle w:val="183"/>
      </w:pPr>
      <w:bookmarkStart w:id="11060" w:name="_Ref393786662"/>
      <w:bookmarkStart w:id="11061" w:name="_Toc141875768"/>
      <w:r>
        <w:rPr>
          <w:rFonts w:hint="eastAsia"/>
        </w:rPr>
        <w:t>在线管理员界面显示信息描述表</w:t>
      </w:r>
      <w:bookmarkEnd w:id="11060"/>
      <w:bookmarkEnd w:id="11061"/>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61"/>
        <w:gridCol w:w="6953"/>
      </w:tblGrid>
      <w:tr w14:paraId="7D89A55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tcBorders>
              <w:tl2br w:val="nil"/>
              <w:tr2bl w:val="nil"/>
            </w:tcBorders>
            <w:shd w:val="clear" w:color="auto" w:fill="538135" w:themeFill="accent6" w:themeFillShade="BF"/>
            <w:vAlign w:val="center"/>
          </w:tcPr>
          <w:p w14:paraId="3CA1C280">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967" w:type="dxa"/>
            <w:tcBorders>
              <w:tl2br w:val="nil"/>
              <w:tr2bl w:val="nil"/>
            </w:tcBorders>
            <w:shd w:val="clear" w:color="auto" w:fill="538135" w:themeFill="accent6" w:themeFillShade="BF"/>
            <w:vAlign w:val="center"/>
          </w:tcPr>
          <w:p w14:paraId="24AF8B8F">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7EB633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2499FEBC">
            <w:pPr>
              <w:pStyle w:val="150"/>
            </w:pPr>
            <w:r>
              <w:rPr>
                <w:rFonts w:hint="eastAsia"/>
              </w:rPr>
              <w:t>用户名</w:t>
            </w:r>
          </w:p>
        </w:tc>
        <w:tc>
          <w:tcPr>
            <w:tcW w:w="6967" w:type="dxa"/>
            <w:shd w:val="clear" w:color="auto" w:fill="auto"/>
          </w:tcPr>
          <w:p w14:paraId="42CE483D">
            <w:pPr>
              <w:pStyle w:val="150"/>
            </w:pPr>
            <w:r>
              <w:rPr>
                <w:rFonts w:hint="eastAsia"/>
              </w:rPr>
              <w:t>管理员的名称。</w:t>
            </w:r>
          </w:p>
        </w:tc>
      </w:tr>
      <w:tr w14:paraId="3099AC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2ED3A90B">
            <w:pPr>
              <w:pStyle w:val="150"/>
            </w:pPr>
            <w:r>
              <w:rPr>
                <w:rFonts w:hint="eastAsia"/>
              </w:rPr>
              <w:t>管理地址</w:t>
            </w:r>
          </w:p>
        </w:tc>
        <w:tc>
          <w:tcPr>
            <w:tcW w:w="6967" w:type="dxa"/>
            <w:shd w:val="clear" w:color="auto" w:fill="auto"/>
          </w:tcPr>
          <w:p w14:paraId="0908C5D2">
            <w:pPr>
              <w:pStyle w:val="150"/>
            </w:pPr>
            <w:r>
              <w:rPr>
                <w:rFonts w:hint="eastAsia"/>
              </w:rPr>
              <w:t>管理员登录的IP地址。</w:t>
            </w:r>
          </w:p>
        </w:tc>
      </w:tr>
      <w:tr w14:paraId="7D92745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128CF82A">
            <w:pPr>
              <w:pStyle w:val="150"/>
            </w:pPr>
            <w:r>
              <w:rPr>
                <w:rFonts w:hint="eastAsia"/>
              </w:rPr>
              <w:t>访问方式</w:t>
            </w:r>
          </w:p>
        </w:tc>
        <w:tc>
          <w:tcPr>
            <w:tcW w:w="6967" w:type="dxa"/>
            <w:shd w:val="clear" w:color="auto" w:fill="auto"/>
          </w:tcPr>
          <w:p w14:paraId="45192FD6">
            <w:pPr>
              <w:pStyle w:val="150"/>
            </w:pPr>
            <w:r>
              <w:rPr>
                <w:rFonts w:hint="eastAsia"/>
              </w:rPr>
              <w:t>管理员可以通过以下几种方式来管理设备：</w:t>
            </w:r>
          </w:p>
          <w:p w14:paraId="724CF0A4">
            <w:pPr>
              <w:pStyle w:val="150"/>
            </w:pPr>
            <w:r>
              <w:rPr>
                <w:rFonts w:hint="eastAsia"/>
              </w:rPr>
              <w:t>WEB</w:t>
            </w:r>
          </w:p>
          <w:p w14:paraId="0CB8C3DC">
            <w:pPr>
              <w:pStyle w:val="150"/>
            </w:pPr>
            <w:r>
              <w:rPr>
                <w:rFonts w:hint="eastAsia"/>
              </w:rPr>
              <w:t>CONSOLE</w:t>
            </w:r>
          </w:p>
          <w:p w14:paraId="273E8133">
            <w:pPr>
              <w:pStyle w:val="150"/>
            </w:pPr>
            <w:r>
              <w:rPr>
                <w:rFonts w:hint="eastAsia"/>
              </w:rPr>
              <w:t>SSH</w:t>
            </w:r>
          </w:p>
          <w:p w14:paraId="23EF56CC">
            <w:pPr>
              <w:pStyle w:val="150"/>
            </w:pPr>
            <w:r>
              <w:rPr>
                <w:rFonts w:hint="eastAsia"/>
              </w:rPr>
              <w:t>TELNET</w:t>
            </w:r>
          </w:p>
          <w:p w14:paraId="2FE19EB6">
            <w:pPr>
              <w:pStyle w:val="150"/>
            </w:pPr>
            <w:r>
              <w:t>DataCenter</w:t>
            </w:r>
          </w:p>
        </w:tc>
      </w:tr>
      <w:tr w14:paraId="209581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76865810">
            <w:pPr>
              <w:pStyle w:val="150"/>
            </w:pPr>
            <w:r>
              <w:rPr>
                <w:rFonts w:hint="eastAsia"/>
              </w:rPr>
              <w:t>登录时间</w:t>
            </w:r>
          </w:p>
        </w:tc>
        <w:tc>
          <w:tcPr>
            <w:tcW w:w="6967" w:type="dxa"/>
            <w:shd w:val="clear" w:color="auto" w:fill="auto"/>
          </w:tcPr>
          <w:p w14:paraId="1AED6702">
            <w:pPr>
              <w:pStyle w:val="150"/>
            </w:pPr>
            <w:r>
              <w:rPr>
                <w:rFonts w:hint="eastAsia"/>
              </w:rPr>
              <w:t>管理员登录的时间。</w:t>
            </w:r>
          </w:p>
        </w:tc>
      </w:tr>
      <w:tr w14:paraId="5E22F0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65" w:type="dxa"/>
            <w:shd w:val="clear" w:color="auto" w:fill="auto"/>
          </w:tcPr>
          <w:p w14:paraId="229CD4C4">
            <w:pPr>
              <w:pStyle w:val="150"/>
            </w:pPr>
            <w:r>
              <w:rPr>
                <w:rFonts w:hint="eastAsia"/>
              </w:rPr>
              <w:t>操作</w:t>
            </w:r>
          </w:p>
        </w:tc>
        <w:tc>
          <w:tcPr>
            <w:tcW w:w="6967" w:type="dxa"/>
            <w:shd w:val="clear" w:color="auto" w:fill="auto"/>
          </w:tcPr>
          <w:p w14:paraId="759B33E6">
            <w:pPr>
              <w:pStyle w:val="150"/>
            </w:pPr>
            <w:r>
              <w:rPr>
                <w:rFonts w:hint="eastAsia"/>
              </w:rPr>
              <w:t>点击删除图标可以根据需要强制管理员下线 。</w:t>
            </w:r>
          </w:p>
        </w:tc>
      </w:tr>
    </w:tbl>
    <w:p w14:paraId="06AB6959">
      <w:bookmarkStart w:id="11062" w:name="_Toc497293019"/>
      <w:bookmarkEnd w:id="11062"/>
      <w:bookmarkStart w:id="11063" w:name="_Toc389059432"/>
      <w:bookmarkStart w:id="11064" w:name="_Toc369620400"/>
      <w:bookmarkStart w:id="11065" w:name="_Toc389750127"/>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53DBA49E">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58CF1109">
            <w:pPr>
              <w:pStyle w:val="150"/>
              <w:adjustRightInd w:val="0"/>
              <w:snapToGrid w:val="0"/>
              <w:rPr>
                <w:color w:val="auto"/>
              </w:rPr>
            </w:pPr>
            <w:r>
              <w:rPr>
                <w:b/>
                <w:color w:val="auto"/>
              </w:rPr>
              <w:drawing>
                <wp:inline distT="0" distB="0" distL="0" distR="0">
                  <wp:extent cx="283210" cy="283210"/>
                  <wp:effectExtent l="0" t="0" r="2540" b="2540"/>
                  <wp:docPr id="949" name="图片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图片 949"/>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1ACD5FA9">
            <w:pPr>
              <w:pStyle w:val="150"/>
              <w:adjustRightInd w:val="0"/>
              <w:snapToGrid w:val="0"/>
              <w:rPr>
                <w:color w:val="auto"/>
              </w:rPr>
            </w:pPr>
            <w:r>
              <w:rPr>
                <w:rFonts w:hint="eastAsia"/>
                <w:color w:val="auto"/>
              </w:rPr>
              <w:t>通过直接连接设备串口登录的管理员无法强制管理员下线。</w:t>
            </w:r>
          </w:p>
        </w:tc>
      </w:tr>
    </w:tbl>
    <w:p w14:paraId="0585D796"/>
    <w:p w14:paraId="78F52F41">
      <w:pPr>
        <w:pStyle w:val="6"/>
      </w:pPr>
      <w:bookmarkStart w:id="11066" w:name="_Toc12469923"/>
      <w:bookmarkStart w:id="11067" w:name="_Toc15485335"/>
      <w:bookmarkStart w:id="11068" w:name="_Toc23153092"/>
      <w:bookmarkStart w:id="11069" w:name="_Toc40276513"/>
      <w:r>
        <w:rPr>
          <w:rFonts w:hint="eastAsia"/>
        </w:rPr>
        <w:t>查看被阻断用户</w:t>
      </w:r>
      <w:bookmarkEnd w:id="11063"/>
      <w:bookmarkEnd w:id="11064"/>
      <w:bookmarkEnd w:id="11065"/>
      <w:bookmarkEnd w:id="11066"/>
      <w:bookmarkEnd w:id="11067"/>
      <w:bookmarkEnd w:id="11068"/>
      <w:bookmarkEnd w:id="11069"/>
    </w:p>
    <w:p w14:paraId="7122CC18">
      <w:r>
        <w:rPr>
          <w:rFonts w:hint="eastAsia"/>
        </w:rPr>
        <w:t>通过菜单“系统管理</w:t>
      </w:r>
      <w:r>
        <w:t xml:space="preserve"> &gt; </w:t>
      </w:r>
      <w:r>
        <w:rPr>
          <w:rFonts w:hint="eastAsia"/>
        </w:rPr>
        <w:t>系统设定</w:t>
      </w:r>
      <w:r>
        <w:t xml:space="preserve"> &gt; </w:t>
      </w:r>
      <w:r>
        <w:rPr>
          <w:rFonts w:hint="eastAsia"/>
        </w:rPr>
        <w:t>管理员”，然后再点击“阻断用户”标签页，可以查看当前被阻断登录的用户信息，如</w:t>
      </w:r>
      <w:r>
        <w:rPr>
          <w:color w:val="0000FF"/>
          <w:u w:val="single"/>
        </w:rPr>
        <w:fldChar w:fldCharType="begin"/>
      </w:r>
      <w:r>
        <w:rPr>
          <w:color w:val="0000FF"/>
          <w:u w:val="single"/>
        </w:rPr>
        <w:instrText xml:space="preserve"> REF _Ref393787948 \r \h </w:instrText>
      </w:r>
      <w:r>
        <w:rPr>
          <w:color w:val="0000FF"/>
          <w:u w:val="single"/>
        </w:rPr>
        <w:fldChar w:fldCharType="separate"/>
      </w:r>
      <w:r>
        <w:rPr>
          <w:rFonts w:hint="eastAsia"/>
          <w:color w:val="0000FF"/>
          <w:u w:val="single"/>
        </w:rPr>
        <w:t>图33-6</w:t>
      </w:r>
      <w:r>
        <w:rPr>
          <w:color w:val="0000FF"/>
          <w:u w:val="single"/>
        </w:rPr>
        <w:fldChar w:fldCharType="end"/>
      </w:r>
      <w:r>
        <w:rPr>
          <w:rFonts w:hint="eastAsia"/>
        </w:rPr>
        <w:t>所示。缺省情况下，阻断时间为一分钟，点击操作下面的删除图标可立即解除阻断。</w:t>
      </w:r>
    </w:p>
    <w:p w14:paraId="5EFC9BBE">
      <w:pPr>
        <w:pStyle w:val="188"/>
      </w:pPr>
      <w:bookmarkStart w:id="11070" w:name="_Ref393787948"/>
      <w:bookmarkStart w:id="11071" w:name="_Toc141875239"/>
      <w:r>
        <w:rPr>
          <w:rFonts w:hint="eastAsia"/>
        </w:rPr>
        <w:t>查看阻断用户页面</w:t>
      </w:r>
      <w:bookmarkEnd w:id="11070"/>
      <w:bookmarkEnd w:id="11071"/>
    </w:p>
    <w:p w14:paraId="1BEFBEF0">
      <w:r>
        <w:drawing>
          <wp:inline distT="0" distB="0" distL="114300" distR="114300">
            <wp:extent cx="5400040" cy="706120"/>
            <wp:effectExtent l="0" t="0" r="0" b="0"/>
            <wp:docPr id="3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5"/>
                    <pic:cNvPicPr>
                      <a:picLocks noChangeAspect="1"/>
                    </pic:cNvPicPr>
                  </pic:nvPicPr>
                  <pic:blipFill>
                    <a:blip r:embed="rId1202"/>
                    <a:stretch>
                      <a:fillRect/>
                    </a:stretch>
                  </pic:blipFill>
                  <pic:spPr>
                    <a:xfrm>
                      <a:off x="0" y="0"/>
                      <a:ext cx="5400040" cy="706207"/>
                    </a:xfrm>
                    <a:prstGeom prst="rect">
                      <a:avLst/>
                    </a:prstGeom>
                    <a:noFill/>
                    <a:ln>
                      <a:noFill/>
                    </a:ln>
                  </pic:spPr>
                </pic:pic>
              </a:graphicData>
            </a:graphic>
          </wp:inline>
        </w:drawing>
      </w:r>
    </w:p>
    <w:p w14:paraId="577CBAC7">
      <w:pPr>
        <w:pStyle w:val="5"/>
      </w:pPr>
      <w:bookmarkStart w:id="11072" w:name="_Toc196728560"/>
      <w:bookmarkStart w:id="11073" w:name="_Toc59610907"/>
      <w:bookmarkStart w:id="11074" w:name="_Toc72422489"/>
      <w:bookmarkStart w:id="11075" w:name="_Toc194081232"/>
      <w:bookmarkStart w:id="11076" w:name="_Toc172218647"/>
      <w:r>
        <w:rPr>
          <w:rFonts w:hint="eastAsia"/>
        </w:rPr>
        <w:t>管理员分级分权配置举例</w:t>
      </w:r>
      <w:bookmarkEnd w:id="11072"/>
      <w:bookmarkEnd w:id="11073"/>
      <w:bookmarkEnd w:id="11074"/>
      <w:bookmarkEnd w:id="11075"/>
      <w:bookmarkEnd w:id="11076"/>
    </w:p>
    <w:p w14:paraId="671649F8">
      <w:pPr>
        <w:pStyle w:val="6"/>
      </w:pPr>
      <w:r>
        <w:rPr>
          <w:rFonts w:hint="eastAsia"/>
        </w:rPr>
        <w:t>组网需求</w:t>
      </w:r>
    </w:p>
    <w:p w14:paraId="5D209B97">
      <w:pPr>
        <w:pStyle w:val="162"/>
      </w:pPr>
      <w:r>
        <w:rPr>
          <w:rFonts w:hint="eastAsia"/>
        </w:rPr>
        <w:t>PC1和PC2分别属于</w:t>
      </w:r>
      <w:r>
        <w:t>group1</w:t>
      </w:r>
      <w:r>
        <w:rPr>
          <w:rFonts w:hint="eastAsia"/>
        </w:rPr>
        <w:t>和</w:t>
      </w:r>
      <w:r>
        <w:t>group2</w:t>
      </w:r>
      <w:r>
        <w:rPr>
          <w:rFonts w:hint="eastAsia"/>
        </w:rPr>
        <w:t>组通过设备</w:t>
      </w:r>
      <w:r>
        <w:t>访问外网，</w:t>
      </w:r>
      <w:r>
        <w:rPr>
          <w:rFonts w:hint="eastAsia"/>
        </w:rPr>
        <w:t>现需</w:t>
      </w:r>
      <w:r>
        <w:t>在</w:t>
      </w:r>
      <w:r>
        <w:rPr>
          <w:rFonts w:hint="eastAsia"/>
        </w:rPr>
        <w:t>设备</w:t>
      </w:r>
      <w:r>
        <w:t>上创建两个管理员</w:t>
      </w:r>
      <w:r>
        <w:rPr>
          <w:rFonts w:hint="eastAsia"/>
        </w:rPr>
        <w:t>admin</w:t>
      </w:r>
      <w:r>
        <w:t>1</w:t>
      </w:r>
      <w:r>
        <w:rPr>
          <w:rFonts w:hint="eastAsia"/>
        </w:rPr>
        <w:t>和</w:t>
      </w:r>
      <w:r>
        <w:t>admin2</w:t>
      </w:r>
      <w:r>
        <w:rPr>
          <w:rFonts w:hint="eastAsia"/>
        </w:rPr>
        <w:t>分别</w:t>
      </w:r>
      <w:r>
        <w:t>绑定group1</w:t>
      </w:r>
      <w:r>
        <w:rPr>
          <w:rFonts w:hint="eastAsia"/>
        </w:rPr>
        <w:t>和</w:t>
      </w:r>
      <w:r>
        <w:t>group2</w:t>
      </w:r>
      <w:r>
        <w:rPr>
          <w:rFonts w:hint="eastAsia"/>
        </w:rPr>
        <w:t>用户组，</w:t>
      </w:r>
      <w:r>
        <w:t>通过创建的管理员登录设备分别创建各自的审计策略和控制策略对</w:t>
      </w:r>
      <w:r>
        <w:rPr>
          <w:rFonts w:hint="eastAsia"/>
        </w:rPr>
        <w:t>下面</w:t>
      </w:r>
      <w:r>
        <w:t>的用户进行审计及控制。</w:t>
      </w:r>
    </w:p>
    <w:p w14:paraId="46FDCA4B">
      <w:pPr>
        <w:pStyle w:val="162"/>
      </w:pPr>
      <w:r>
        <w:t>admin1</w:t>
      </w:r>
      <w:r>
        <w:rPr>
          <w:rFonts w:hint="eastAsia"/>
        </w:rPr>
        <w:t>管理员可以</w:t>
      </w:r>
      <w:r>
        <w:t>看到admin2</w:t>
      </w:r>
      <w:r>
        <w:rPr>
          <w:rFonts w:hint="eastAsia"/>
        </w:rPr>
        <w:t>创建</w:t>
      </w:r>
      <w:r>
        <w:t>的审计策略和控制策略</w:t>
      </w:r>
      <w:r>
        <w:rPr>
          <w:rFonts w:hint="eastAsia"/>
        </w:rPr>
        <w:t>但</w:t>
      </w:r>
      <w:r>
        <w:t>不能修改，</w:t>
      </w:r>
      <w:r>
        <w:rPr>
          <w:rFonts w:hint="eastAsia"/>
        </w:rPr>
        <w:t>也</w:t>
      </w:r>
      <w:r>
        <w:t>不能看到group2</w:t>
      </w:r>
      <w:r>
        <w:rPr>
          <w:rFonts w:hint="eastAsia"/>
        </w:rPr>
        <w:t>组</w:t>
      </w:r>
      <w:r>
        <w:t>下相关</w:t>
      </w:r>
      <w:r>
        <w:rPr>
          <w:rFonts w:hint="eastAsia"/>
        </w:rPr>
        <w:t>用户</w:t>
      </w:r>
      <w:r>
        <w:t>产生的审计日志和控制日志；</w:t>
      </w:r>
    </w:p>
    <w:p w14:paraId="1146824E">
      <w:pPr>
        <w:pStyle w:val="162"/>
      </w:pPr>
      <w:r>
        <w:t>admin2</w:t>
      </w:r>
      <w:r>
        <w:rPr>
          <w:rFonts w:hint="eastAsia"/>
        </w:rPr>
        <w:t>管理员</w:t>
      </w:r>
      <w:r>
        <w:t>可以看到admin1</w:t>
      </w:r>
      <w:r>
        <w:rPr>
          <w:rFonts w:hint="eastAsia"/>
        </w:rPr>
        <w:t>创建</w:t>
      </w:r>
      <w:r>
        <w:t>的审计策略和控制策略，</w:t>
      </w:r>
      <w:r>
        <w:rPr>
          <w:rFonts w:hint="eastAsia"/>
        </w:rPr>
        <w:t>但</w:t>
      </w:r>
      <w:r>
        <w:t>不能修改，也不能看到group1</w:t>
      </w:r>
      <w:r>
        <w:rPr>
          <w:rFonts w:hint="eastAsia"/>
        </w:rPr>
        <w:t>用户</w:t>
      </w:r>
      <w:r>
        <w:t>组</w:t>
      </w:r>
      <w:r>
        <w:rPr>
          <w:rFonts w:hint="eastAsia"/>
        </w:rPr>
        <w:t>下</w:t>
      </w:r>
      <w:r>
        <w:t>相关用户产生的审计日志和控制日志。</w:t>
      </w:r>
    </w:p>
    <w:p w14:paraId="5901A2C1">
      <w:pPr>
        <w:pStyle w:val="6"/>
      </w:pPr>
      <w:r>
        <w:rPr>
          <w:rFonts w:hint="eastAsia"/>
        </w:rPr>
        <w:t>组网图</w:t>
      </w:r>
    </w:p>
    <w:p w14:paraId="2ECDBDB3">
      <w:pPr>
        <w:pStyle w:val="188"/>
      </w:pPr>
      <w:bookmarkStart w:id="11077" w:name="_Toc141875240"/>
      <w:r>
        <w:rPr>
          <w:rFonts w:hint="eastAsia"/>
        </w:rPr>
        <w:t>管理员配置举例组网图</w:t>
      </w:r>
      <w:bookmarkEnd w:id="11077"/>
    </w:p>
    <w:p w14:paraId="25F351F9">
      <w:pPr>
        <w:spacing w:before="78" w:after="78"/>
      </w:pPr>
      <w:r>
        <w:drawing>
          <wp:inline distT="0" distB="0" distL="0" distR="0">
            <wp:extent cx="2924175" cy="3038475"/>
            <wp:effectExtent l="0" t="0" r="0" b="9525"/>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pic:cNvPicPr>
                      <a:picLocks noChangeAspect="1"/>
                    </pic:cNvPicPr>
                  </pic:nvPicPr>
                  <pic:blipFill>
                    <a:blip r:embed="rId1203"/>
                    <a:stretch>
                      <a:fillRect/>
                    </a:stretch>
                  </pic:blipFill>
                  <pic:spPr>
                    <a:xfrm>
                      <a:off x="0" y="0"/>
                      <a:ext cx="2928832" cy="3043839"/>
                    </a:xfrm>
                    <a:prstGeom prst="rect">
                      <a:avLst/>
                    </a:prstGeom>
                  </pic:spPr>
                </pic:pic>
              </a:graphicData>
            </a:graphic>
          </wp:inline>
        </w:drawing>
      </w:r>
    </w:p>
    <w:p w14:paraId="029C7E0D"/>
    <w:p w14:paraId="489C5BDD">
      <w:pPr>
        <w:pStyle w:val="6"/>
      </w:pPr>
      <w:r>
        <w:rPr>
          <w:rFonts w:hint="eastAsia"/>
        </w:rPr>
        <w:t>配置步骤</w:t>
      </w:r>
    </w:p>
    <w:p w14:paraId="317D0E65">
      <w:pPr>
        <w:pStyle w:val="202"/>
        <w:rPr>
          <w:lang w:eastAsia="zh-CN"/>
        </w:rPr>
      </w:pPr>
      <w:r>
        <w:rPr>
          <w:rFonts w:hint="eastAsia"/>
          <w:lang w:eastAsia="zh-CN"/>
        </w:rPr>
        <w:t>根据组网图配置设备的接口IP地址、默认路由及NAT。</w:t>
      </w:r>
    </w:p>
    <w:p w14:paraId="259E12C2">
      <w:pPr>
        <w:pStyle w:val="202"/>
        <w:rPr>
          <w:lang w:eastAsia="zh-CN"/>
        </w:rPr>
      </w:pPr>
      <w:r>
        <w:rPr>
          <w:rFonts w:hint="eastAsia"/>
          <w:lang w:eastAsia="zh-CN"/>
        </w:rPr>
        <w:t>配置用户组绑定IP网段</w:t>
      </w:r>
    </w:p>
    <w:p w14:paraId="3C425CB1">
      <w:r>
        <w:rPr>
          <w:rFonts w:hint="eastAsia"/>
        </w:rPr>
        <w:t>选择“用户管理&gt;用户管理</w:t>
      </w:r>
      <w:r>
        <w:t>&gt;</w:t>
      </w:r>
      <w:r>
        <w:rPr>
          <w:rFonts w:hint="eastAsia"/>
        </w:rPr>
        <w:t>用户组织结构”，配置</w:t>
      </w:r>
      <w:r>
        <w:t>group1</w:t>
      </w:r>
      <w:r>
        <w:rPr>
          <w:rFonts w:hint="eastAsia"/>
        </w:rPr>
        <w:t>、</w:t>
      </w:r>
      <w:r>
        <w:t>group2</w:t>
      </w:r>
      <w:r>
        <w:rPr>
          <w:rFonts w:hint="eastAsia"/>
        </w:rPr>
        <w:t>用户组，分别绑定</w:t>
      </w:r>
      <w:r>
        <w:t>IP</w:t>
      </w:r>
      <w:r>
        <w:rPr>
          <w:rFonts w:hint="eastAsia"/>
        </w:rPr>
        <w:t>网段。</w:t>
      </w:r>
    </w:p>
    <w:p w14:paraId="58EABF53">
      <w:pPr>
        <w:pStyle w:val="188"/>
      </w:pPr>
      <w:bookmarkStart w:id="11078" w:name="_Toc141875241"/>
      <w:r>
        <w:rPr>
          <w:rFonts w:hint="eastAsia"/>
        </w:rPr>
        <w:t>配置用户组绑定IP网段</w:t>
      </w:r>
      <w:bookmarkEnd w:id="11078"/>
    </w:p>
    <w:p w14:paraId="40BAC8DD">
      <w:pPr>
        <w:spacing w:before="78" w:after="78"/>
      </w:pPr>
      <w:r>
        <w:drawing>
          <wp:inline distT="0" distB="0" distL="0" distR="0">
            <wp:extent cx="5581650" cy="1845310"/>
            <wp:effectExtent l="0" t="0" r="0" b="254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204"/>
                    <a:stretch>
                      <a:fillRect/>
                    </a:stretch>
                  </pic:blipFill>
                  <pic:spPr>
                    <a:xfrm>
                      <a:off x="0" y="0"/>
                      <a:ext cx="5602303" cy="1852323"/>
                    </a:xfrm>
                    <a:prstGeom prst="rect">
                      <a:avLst/>
                    </a:prstGeom>
                  </pic:spPr>
                </pic:pic>
              </a:graphicData>
            </a:graphic>
          </wp:inline>
        </w:drawing>
      </w:r>
    </w:p>
    <w:p w14:paraId="58B8ADD6"/>
    <w:p w14:paraId="3FF1C5A1">
      <w:pPr>
        <w:pStyle w:val="202"/>
      </w:pPr>
      <w:r>
        <w:rPr>
          <w:rFonts w:hint="eastAsia"/>
        </w:rPr>
        <w:t>创建</w:t>
      </w:r>
      <w:r>
        <w:t>角色</w:t>
      </w:r>
      <w:r>
        <w:rPr>
          <w:rFonts w:hint="eastAsia"/>
        </w:rPr>
        <w:t>并</w:t>
      </w:r>
      <w:r>
        <w:t>分配权限</w:t>
      </w:r>
    </w:p>
    <w:p w14:paraId="393797FE">
      <w:r>
        <w:rPr>
          <w:rFonts w:hint="eastAsia"/>
        </w:rPr>
        <w:t>选择“系统管理&gt;系统设定</w:t>
      </w:r>
      <w:r>
        <w:t>&gt;</w:t>
      </w:r>
      <w:r>
        <w:rPr>
          <w:rFonts w:hint="eastAsia"/>
        </w:rPr>
        <w:t>管理员”，选择角色管理页签，点击</w:t>
      </w:r>
      <w:r>
        <w:t>&lt;</w:t>
      </w:r>
      <w:r>
        <w:rPr>
          <w:rFonts w:hint="eastAsia"/>
        </w:rPr>
        <w:t>新建</w:t>
      </w:r>
      <w:r>
        <w:t>&gt;</w:t>
      </w:r>
      <w:r>
        <w:rPr>
          <w:rFonts w:hint="eastAsia"/>
        </w:rPr>
        <w:t>，创建角色</w:t>
      </w:r>
      <w:r>
        <w:t>admin1</w:t>
      </w:r>
      <w:r>
        <w:rPr>
          <w:rFonts w:hint="eastAsia"/>
        </w:rPr>
        <w:t>角色和</w:t>
      </w:r>
      <w:r>
        <w:t>admin2</w:t>
      </w:r>
      <w:r>
        <w:rPr>
          <w:rFonts w:hint="eastAsia"/>
        </w:rPr>
        <w:t>角色，并对角色分配权限。</w:t>
      </w:r>
    </w:p>
    <w:p w14:paraId="24CEB155">
      <w:pPr>
        <w:pStyle w:val="188"/>
      </w:pPr>
      <w:bookmarkStart w:id="11079" w:name="_Toc141875242"/>
      <w:r>
        <w:rPr>
          <w:rFonts w:hint="eastAsia"/>
        </w:rPr>
        <w:t>创建</w:t>
      </w:r>
      <w:r>
        <w:t>角色admin1</w:t>
      </w:r>
      <w:bookmarkEnd w:id="11079"/>
    </w:p>
    <w:p w14:paraId="2875DD5A">
      <w:pPr>
        <w:spacing w:before="78" w:after="78"/>
      </w:pPr>
      <w:r>
        <w:drawing>
          <wp:inline distT="0" distB="0" distL="0" distR="0">
            <wp:extent cx="5306060" cy="3549650"/>
            <wp:effectExtent l="0" t="0" r="8890" b="0"/>
            <wp:docPr id="15345820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2020" name="图片 1"/>
                    <pic:cNvPicPr>
                      <a:picLocks noChangeAspect="1"/>
                    </pic:cNvPicPr>
                  </pic:nvPicPr>
                  <pic:blipFill>
                    <a:blip r:embed="rId1205"/>
                    <a:stretch>
                      <a:fillRect/>
                    </a:stretch>
                  </pic:blipFill>
                  <pic:spPr>
                    <a:xfrm>
                      <a:off x="0" y="0"/>
                      <a:ext cx="5308843" cy="3551896"/>
                    </a:xfrm>
                    <a:prstGeom prst="rect">
                      <a:avLst/>
                    </a:prstGeom>
                  </pic:spPr>
                </pic:pic>
              </a:graphicData>
            </a:graphic>
          </wp:inline>
        </w:drawing>
      </w:r>
    </w:p>
    <w:p w14:paraId="4CB98682"/>
    <w:p w14:paraId="046A07A4">
      <w:pPr>
        <w:pStyle w:val="188"/>
      </w:pPr>
      <w:bookmarkStart w:id="11080" w:name="_Toc141875243"/>
      <w:r>
        <w:rPr>
          <w:rFonts w:hint="eastAsia"/>
        </w:rPr>
        <w:t>创建</w:t>
      </w:r>
      <w:r>
        <w:t>角色admin2</w:t>
      </w:r>
      <w:bookmarkEnd w:id="11080"/>
    </w:p>
    <w:p w14:paraId="72B3CCF5">
      <w:pPr>
        <w:spacing w:before="78" w:after="78"/>
      </w:pPr>
      <w:r>
        <w:drawing>
          <wp:inline distT="0" distB="0" distL="0" distR="0">
            <wp:extent cx="4828540" cy="3278505"/>
            <wp:effectExtent l="0" t="0" r="0" b="0"/>
            <wp:docPr id="12964853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70" name="图片 1"/>
                    <pic:cNvPicPr>
                      <a:picLocks noChangeAspect="1"/>
                    </pic:cNvPicPr>
                  </pic:nvPicPr>
                  <pic:blipFill>
                    <a:blip r:embed="rId1206"/>
                    <a:stretch>
                      <a:fillRect/>
                    </a:stretch>
                  </pic:blipFill>
                  <pic:spPr>
                    <a:xfrm>
                      <a:off x="0" y="0"/>
                      <a:ext cx="4841299" cy="3287302"/>
                    </a:xfrm>
                    <a:prstGeom prst="rect">
                      <a:avLst/>
                    </a:prstGeom>
                  </pic:spPr>
                </pic:pic>
              </a:graphicData>
            </a:graphic>
          </wp:inline>
        </w:drawing>
      </w:r>
    </w:p>
    <w:p w14:paraId="76CABD8D"/>
    <w:p w14:paraId="5AD6AF73">
      <w:pPr>
        <w:pStyle w:val="188"/>
      </w:pPr>
      <w:bookmarkStart w:id="11081" w:name="_Toc141875244"/>
      <w:r>
        <w:rPr>
          <w:rFonts w:hint="eastAsia"/>
        </w:rPr>
        <w:t>创建</w:t>
      </w:r>
      <w:r>
        <w:t>角色完成</w:t>
      </w:r>
      <w:bookmarkEnd w:id="11081"/>
    </w:p>
    <w:p w14:paraId="7915B7E6">
      <w:pPr>
        <w:spacing w:before="78" w:after="78"/>
      </w:pPr>
      <w:r>
        <w:drawing>
          <wp:inline distT="0" distB="0" distL="0" distR="0">
            <wp:extent cx="5692140" cy="967105"/>
            <wp:effectExtent l="0" t="0" r="3810" b="4445"/>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pic:cNvPicPr>
                      <a:picLocks noChangeAspect="1"/>
                    </pic:cNvPicPr>
                  </pic:nvPicPr>
                  <pic:blipFill>
                    <a:blip r:embed="rId1207"/>
                    <a:stretch>
                      <a:fillRect/>
                    </a:stretch>
                  </pic:blipFill>
                  <pic:spPr>
                    <a:xfrm>
                      <a:off x="0" y="0"/>
                      <a:ext cx="5692140" cy="967105"/>
                    </a:xfrm>
                    <a:prstGeom prst="rect">
                      <a:avLst/>
                    </a:prstGeom>
                  </pic:spPr>
                </pic:pic>
              </a:graphicData>
            </a:graphic>
          </wp:inline>
        </w:drawing>
      </w:r>
    </w:p>
    <w:p w14:paraId="513CECB0"/>
    <w:p w14:paraId="2950F8C6">
      <w:pPr>
        <w:pStyle w:val="202"/>
      </w:pPr>
      <w:r>
        <w:rPr>
          <w:rFonts w:hint="eastAsia"/>
          <w:lang w:eastAsia="zh-CN"/>
        </w:rPr>
        <w:t>创建管理员admin</w:t>
      </w:r>
      <w:r>
        <w:rPr>
          <w:lang w:eastAsia="zh-CN"/>
        </w:rPr>
        <w:t>1</w:t>
      </w:r>
      <w:r>
        <w:rPr>
          <w:rFonts w:hint="eastAsia"/>
          <w:lang w:eastAsia="zh-CN"/>
        </w:rPr>
        <w:t>和</w:t>
      </w:r>
      <w:r>
        <w:rPr>
          <w:lang w:eastAsia="zh-CN"/>
        </w:rPr>
        <w:t>admin2</w:t>
      </w:r>
      <w:r>
        <w:rPr>
          <w:rFonts w:hint="eastAsia"/>
          <w:lang w:eastAsia="zh-CN"/>
        </w:rPr>
        <w:t>，</w:t>
      </w:r>
      <w:r>
        <w:rPr>
          <w:lang w:eastAsia="zh-CN"/>
        </w:rPr>
        <w:t>分配角色</w:t>
      </w:r>
      <w:r>
        <w:rPr>
          <w:rFonts w:hint="eastAsia"/>
          <w:lang w:eastAsia="zh-CN"/>
        </w:rPr>
        <w:t>并</w:t>
      </w:r>
      <w:r>
        <w:rPr>
          <w:lang w:eastAsia="zh-CN"/>
        </w:rPr>
        <w:t>绑定用户组</w:t>
      </w:r>
      <w:r>
        <w:rPr>
          <w:rFonts w:hint="eastAsia"/>
          <w:lang w:eastAsia="zh-CN"/>
        </w:rPr>
        <w:t>，如</w:t>
      </w:r>
      <w:r>
        <w:fldChar w:fldCharType="begin"/>
      </w:r>
      <w:r>
        <w:rPr>
          <w:lang w:eastAsia="zh-CN"/>
        </w:rPr>
        <w:instrText xml:space="preserve"> </w:instrText>
      </w:r>
      <w:r>
        <w:rPr>
          <w:rFonts w:hint="eastAsia"/>
          <w:lang w:eastAsia="zh-CN"/>
        </w:rPr>
        <w:instrText xml:space="preserve">REF _Ref66970926 \r \h</w:instrText>
      </w:r>
      <w:r>
        <w:rPr>
          <w:lang w:eastAsia="zh-CN"/>
        </w:rPr>
        <w:instrText xml:space="preserve"> </w:instrText>
      </w:r>
      <w:r>
        <w:fldChar w:fldCharType="separate"/>
      </w:r>
      <w:r>
        <w:rPr>
          <w:rFonts w:hint="eastAsia"/>
          <w:lang w:eastAsia="zh-CN"/>
        </w:rPr>
        <w:t>图33-12</w:t>
      </w:r>
      <w:r>
        <w:fldChar w:fldCharType="end"/>
      </w:r>
      <w:r>
        <w:rPr>
          <w:rFonts w:hint="eastAsia"/>
          <w:lang w:eastAsia="zh-CN"/>
        </w:rPr>
        <w:t>、</w:t>
      </w:r>
      <w:r>
        <w:fldChar w:fldCharType="begin"/>
      </w:r>
      <w:r>
        <w:rPr>
          <w:lang w:eastAsia="zh-CN"/>
        </w:rPr>
        <w:instrText xml:space="preserve"> </w:instrText>
      </w:r>
      <w:r>
        <w:rPr>
          <w:rFonts w:hint="eastAsia"/>
          <w:lang w:eastAsia="zh-CN"/>
        </w:rPr>
        <w:instrText xml:space="preserve">REF _Ref66970930 \r \h</w:instrText>
      </w:r>
      <w:r>
        <w:rPr>
          <w:lang w:eastAsia="zh-CN"/>
        </w:rPr>
        <w:instrText xml:space="preserve"> </w:instrText>
      </w:r>
      <w:r>
        <w:fldChar w:fldCharType="separate"/>
      </w:r>
      <w:r>
        <w:rPr>
          <w:rFonts w:hint="eastAsia"/>
          <w:lang w:eastAsia="zh-CN"/>
        </w:rPr>
        <w:t>图33-13</w:t>
      </w:r>
      <w:r>
        <w:fldChar w:fldCharType="end"/>
      </w:r>
      <w:r>
        <w:rPr>
          <w:lang w:eastAsia="zh-CN"/>
        </w:rPr>
        <w:t>所示</w:t>
      </w:r>
      <w:r>
        <w:rPr>
          <w:rFonts w:hint="eastAsia"/>
          <w:lang w:eastAsia="zh-CN"/>
        </w:rPr>
        <w:t>，配置完成后单击“提交”按钮，如</w:t>
      </w:r>
      <w:r>
        <w:fldChar w:fldCharType="begin"/>
      </w:r>
      <w:r>
        <w:rPr>
          <w:lang w:eastAsia="zh-CN"/>
        </w:rPr>
        <w:instrText xml:space="preserve"> </w:instrText>
      </w:r>
      <w:r>
        <w:rPr>
          <w:rFonts w:hint="eastAsia"/>
          <w:lang w:eastAsia="zh-CN"/>
        </w:rPr>
        <w:instrText xml:space="preserve">REF _Ref66970973 \r \h</w:instrText>
      </w:r>
      <w:r>
        <w:rPr>
          <w:lang w:eastAsia="zh-CN"/>
        </w:rPr>
        <w:instrText xml:space="preserve"> </w:instrText>
      </w:r>
      <w:r>
        <w:fldChar w:fldCharType="separate"/>
      </w:r>
      <w:r>
        <w:rPr>
          <w:rFonts w:hint="eastAsia"/>
          <w:lang w:eastAsia="zh-CN"/>
        </w:rPr>
        <w:t>图33-14</w:t>
      </w:r>
      <w:r>
        <w:fldChar w:fldCharType="end"/>
      </w:r>
      <w:r>
        <w:rPr>
          <w:lang w:eastAsia="zh-CN"/>
        </w:rPr>
        <w:t>所示</w:t>
      </w:r>
      <w:r>
        <w:rPr>
          <w:rFonts w:hint="eastAsia"/>
          <w:lang w:eastAsia="zh-CN"/>
        </w:rPr>
        <w:t>。</w:t>
      </w:r>
      <w:r>
        <w:t>管理员</w:t>
      </w:r>
      <w:r>
        <w:rPr>
          <w:rFonts w:hint="eastAsia"/>
        </w:rPr>
        <w:t>都是</w:t>
      </w:r>
      <w:r>
        <w:t>在</w:t>
      </w:r>
      <w:r>
        <w:rPr>
          <w:rFonts w:hint="eastAsia"/>
        </w:rPr>
        <w:t>admin</w:t>
      </w:r>
      <w:r>
        <w:t>管理员下创建的，所以创建者都是admin</w:t>
      </w:r>
      <w:r>
        <w:rPr>
          <w:rFonts w:hint="eastAsia"/>
        </w:rPr>
        <w:t>。</w:t>
      </w:r>
    </w:p>
    <w:p w14:paraId="22649FCB">
      <w:pPr>
        <w:pStyle w:val="188"/>
      </w:pPr>
      <w:bookmarkStart w:id="11082" w:name="_Ref66970926"/>
      <w:bookmarkStart w:id="11083" w:name="_Toc141875245"/>
      <w:r>
        <w:rPr>
          <w:rFonts w:hint="eastAsia"/>
        </w:rPr>
        <w:t>创建</w:t>
      </w:r>
      <w:r>
        <w:t>管理员admin1</w:t>
      </w:r>
      <w:r>
        <w:rPr>
          <w:rFonts w:hint="eastAsia"/>
        </w:rPr>
        <w:t>，</w:t>
      </w:r>
      <w:r>
        <w:t>并绑定用户组</w:t>
      </w:r>
      <w:bookmarkEnd w:id="11082"/>
      <w:bookmarkEnd w:id="11083"/>
    </w:p>
    <w:p w14:paraId="0952FCC0">
      <w:pPr>
        <w:spacing w:before="78" w:after="78"/>
      </w:pPr>
      <w:r>
        <w:drawing>
          <wp:inline distT="0" distB="0" distL="0" distR="0">
            <wp:extent cx="4066540" cy="324294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208"/>
                    <a:stretch>
                      <a:fillRect/>
                    </a:stretch>
                  </pic:blipFill>
                  <pic:spPr>
                    <a:xfrm>
                      <a:off x="0" y="0"/>
                      <a:ext cx="4072482" cy="3248184"/>
                    </a:xfrm>
                    <a:prstGeom prst="rect">
                      <a:avLst/>
                    </a:prstGeom>
                  </pic:spPr>
                </pic:pic>
              </a:graphicData>
            </a:graphic>
          </wp:inline>
        </w:drawing>
      </w:r>
    </w:p>
    <w:p w14:paraId="4FB70899"/>
    <w:p w14:paraId="3BD1ADEC">
      <w:pPr>
        <w:pStyle w:val="188"/>
      </w:pPr>
      <w:bookmarkStart w:id="11084" w:name="_Ref66970930"/>
      <w:bookmarkStart w:id="11085" w:name="_Toc141875246"/>
      <w:r>
        <w:rPr>
          <w:rFonts w:hint="eastAsia"/>
        </w:rPr>
        <w:t>创建</w:t>
      </w:r>
      <w:r>
        <w:t>管理员admin2</w:t>
      </w:r>
      <w:r>
        <w:rPr>
          <w:rFonts w:hint="eastAsia"/>
        </w:rPr>
        <w:t>，</w:t>
      </w:r>
      <w:r>
        <w:t>并绑定用户组</w:t>
      </w:r>
      <w:bookmarkEnd w:id="11084"/>
      <w:bookmarkEnd w:id="11085"/>
    </w:p>
    <w:p w14:paraId="760A167D">
      <w:pPr>
        <w:spacing w:before="78" w:after="78"/>
      </w:pPr>
      <w:r>
        <w:drawing>
          <wp:inline distT="0" distB="0" distL="0" distR="0">
            <wp:extent cx="4666615" cy="3749040"/>
            <wp:effectExtent l="0" t="0" r="635" b="381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209"/>
                    <a:stretch>
                      <a:fillRect/>
                    </a:stretch>
                  </pic:blipFill>
                  <pic:spPr>
                    <a:xfrm>
                      <a:off x="0" y="0"/>
                      <a:ext cx="4683942" cy="3762606"/>
                    </a:xfrm>
                    <a:prstGeom prst="rect">
                      <a:avLst/>
                    </a:prstGeom>
                  </pic:spPr>
                </pic:pic>
              </a:graphicData>
            </a:graphic>
          </wp:inline>
        </w:drawing>
      </w:r>
    </w:p>
    <w:p w14:paraId="7C0DBEDB"/>
    <w:p w14:paraId="365FC4BB">
      <w:pPr>
        <w:pStyle w:val="188"/>
      </w:pPr>
      <w:bookmarkStart w:id="11086" w:name="_Ref66970973"/>
      <w:bookmarkStart w:id="11087" w:name="_Toc141875247"/>
      <w:r>
        <w:rPr>
          <w:rFonts w:hint="eastAsia"/>
        </w:rPr>
        <w:t>创建</w:t>
      </w:r>
      <w:r>
        <w:t>管理员完成</w:t>
      </w:r>
      <w:bookmarkEnd w:id="11086"/>
      <w:bookmarkEnd w:id="11087"/>
    </w:p>
    <w:p w14:paraId="130B0670">
      <w:pPr>
        <w:spacing w:before="78" w:after="78"/>
      </w:pPr>
      <w:r>
        <w:drawing>
          <wp:inline distT="0" distB="0" distL="0" distR="0">
            <wp:extent cx="5648325" cy="838835"/>
            <wp:effectExtent l="0" t="0" r="9525" b="18415"/>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pic:cNvPicPr>
                      <a:picLocks noChangeAspect="1"/>
                    </pic:cNvPicPr>
                  </pic:nvPicPr>
                  <pic:blipFill>
                    <a:blip r:embed="rId1210"/>
                    <a:stretch>
                      <a:fillRect/>
                    </a:stretch>
                  </pic:blipFill>
                  <pic:spPr>
                    <a:xfrm>
                      <a:off x="0" y="0"/>
                      <a:ext cx="5648325" cy="838835"/>
                    </a:xfrm>
                    <a:prstGeom prst="rect">
                      <a:avLst/>
                    </a:prstGeom>
                  </pic:spPr>
                </pic:pic>
              </a:graphicData>
            </a:graphic>
          </wp:inline>
        </w:drawing>
      </w:r>
    </w:p>
    <w:p w14:paraId="2902BBA0"/>
    <w:p w14:paraId="68E4A0CB">
      <w:pPr>
        <w:pStyle w:val="202"/>
        <w:rPr>
          <w:lang w:eastAsia="zh-CN"/>
        </w:rPr>
      </w:pPr>
      <w:r>
        <w:rPr>
          <w:rFonts w:hint="eastAsia"/>
          <w:lang w:eastAsia="zh-CN"/>
        </w:rPr>
        <w:t>使用</w:t>
      </w:r>
      <w:r>
        <w:rPr>
          <w:b/>
          <w:lang w:eastAsia="zh-CN"/>
        </w:rPr>
        <w:t>admin1</w:t>
      </w:r>
      <w:r>
        <w:rPr>
          <w:rFonts w:hint="eastAsia"/>
          <w:lang w:eastAsia="zh-CN"/>
        </w:rPr>
        <w:t>管理员</w:t>
      </w:r>
      <w:r>
        <w:rPr>
          <w:lang w:eastAsia="zh-CN"/>
        </w:rPr>
        <w:t>登录设备创建控制策略和审计策略</w:t>
      </w:r>
      <w:r>
        <w:rPr>
          <w:rFonts w:hint="eastAsia"/>
          <w:lang w:eastAsia="zh-CN"/>
        </w:rPr>
        <w:t>，</w:t>
      </w:r>
      <w:r>
        <w:rPr>
          <w:lang w:eastAsia="zh-CN"/>
        </w:rPr>
        <w:t>在策略中用户组只能选择管理员绑定的</w:t>
      </w:r>
      <w:r>
        <w:rPr>
          <w:b/>
          <w:lang w:eastAsia="zh-CN"/>
        </w:rPr>
        <w:t>group1</w:t>
      </w:r>
      <w:r>
        <w:rPr>
          <w:rFonts w:hint="eastAsia"/>
          <w:lang w:eastAsia="zh-CN"/>
        </w:rPr>
        <w:t>组，</w:t>
      </w:r>
      <w:r>
        <w:rPr>
          <w:lang w:eastAsia="zh-CN"/>
        </w:rPr>
        <w:t>策略创建成功之后策略的创建者为</w:t>
      </w:r>
      <w:r>
        <w:rPr>
          <w:b/>
          <w:lang w:eastAsia="zh-CN"/>
        </w:rPr>
        <w:t>admin1</w:t>
      </w:r>
      <w:r>
        <w:rPr>
          <w:rFonts w:hint="eastAsia"/>
          <w:lang w:eastAsia="zh-CN"/>
        </w:rPr>
        <w:t>。</w:t>
      </w:r>
    </w:p>
    <w:p w14:paraId="25F98A60">
      <w:pPr>
        <w:pStyle w:val="188"/>
      </w:pPr>
      <w:bookmarkStart w:id="11088" w:name="_Toc141875248"/>
      <w:r>
        <w:t>a</w:t>
      </w:r>
      <w:r>
        <w:rPr>
          <w:rFonts w:hint="eastAsia"/>
        </w:rPr>
        <w:t>dmin</w:t>
      </w:r>
      <w:r>
        <w:t>1</w:t>
      </w:r>
      <w:r>
        <w:rPr>
          <w:rFonts w:hint="eastAsia"/>
        </w:rPr>
        <w:t>登录</w:t>
      </w:r>
      <w:r>
        <w:t>设备创建控制策略</w:t>
      </w:r>
      <w:bookmarkEnd w:id="11088"/>
    </w:p>
    <w:p w14:paraId="713E5DAA">
      <w:pPr>
        <w:spacing w:before="78" w:after="78"/>
      </w:pPr>
      <w:r>
        <w:drawing>
          <wp:inline distT="0" distB="0" distL="0" distR="0">
            <wp:extent cx="5248275" cy="3259455"/>
            <wp:effectExtent l="0" t="0" r="0" b="0"/>
            <wp:docPr id="4988" name="图片 4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8" name="图片 4988"/>
                    <pic:cNvPicPr>
                      <a:picLocks noChangeAspect="1"/>
                    </pic:cNvPicPr>
                  </pic:nvPicPr>
                  <pic:blipFill>
                    <a:blip r:embed="rId1211"/>
                    <a:stretch>
                      <a:fillRect/>
                    </a:stretch>
                  </pic:blipFill>
                  <pic:spPr>
                    <a:xfrm>
                      <a:off x="0" y="0"/>
                      <a:ext cx="5252730" cy="3262589"/>
                    </a:xfrm>
                    <a:prstGeom prst="rect">
                      <a:avLst/>
                    </a:prstGeom>
                  </pic:spPr>
                </pic:pic>
              </a:graphicData>
            </a:graphic>
          </wp:inline>
        </w:drawing>
      </w:r>
    </w:p>
    <w:p w14:paraId="009C25F8"/>
    <w:p w14:paraId="01693B18">
      <w:pPr>
        <w:pStyle w:val="188"/>
      </w:pPr>
      <w:bookmarkStart w:id="11089" w:name="_Toc141875250"/>
      <w:r>
        <w:t>a</w:t>
      </w:r>
      <w:r>
        <w:rPr>
          <w:rFonts w:hint="eastAsia"/>
        </w:rPr>
        <w:t>dmin</w:t>
      </w:r>
      <w:r>
        <w:t>1</w:t>
      </w:r>
      <w:r>
        <w:rPr>
          <w:rFonts w:hint="eastAsia"/>
        </w:rPr>
        <w:t>登录</w:t>
      </w:r>
      <w:r>
        <w:t>设备创建</w:t>
      </w:r>
      <w:r>
        <w:rPr>
          <w:rFonts w:hint="eastAsia"/>
        </w:rPr>
        <w:t>审计</w:t>
      </w:r>
      <w:r>
        <w:t>策略</w:t>
      </w:r>
      <w:bookmarkEnd w:id="11089"/>
    </w:p>
    <w:p w14:paraId="3D0CAA56">
      <w:pPr>
        <w:spacing w:before="78" w:after="78"/>
      </w:pPr>
      <w:r>
        <w:drawing>
          <wp:inline distT="0" distB="0" distL="0" distR="0">
            <wp:extent cx="5553075" cy="2340610"/>
            <wp:effectExtent l="0" t="0" r="9525" b="2540"/>
            <wp:docPr id="4989" name="图片 4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9" name="图片 4989"/>
                    <pic:cNvPicPr>
                      <a:picLocks noChangeAspect="1"/>
                    </pic:cNvPicPr>
                  </pic:nvPicPr>
                  <pic:blipFill>
                    <a:blip r:embed="rId1212"/>
                    <a:stretch>
                      <a:fillRect/>
                    </a:stretch>
                  </pic:blipFill>
                  <pic:spPr>
                    <a:xfrm>
                      <a:off x="0" y="0"/>
                      <a:ext cx="5553075" cy="2340610"/>
                    </a:xfrm>
                    <a:prstGeom prst="rect">
                      <a:avLst/>
                    </a:prstGeom>
                  </pic:spPr>
                </pic:pic>
              </a:graphicData>
            </a:graphic>
          </wp:inline>
        </w:drawing>
      </w:r>
    </w:p>
    <w:p w14:paraId="29EF876F">
      <w:pPr>
        <w:spacing w:before="78" w:after="78"/>
      </w:pPr>
    </w:p>
    <w:p w14:paraId="652B84EA">
      <w:pPr>
        <w:pStyle w:val="202"/>
        <w:rPr>
          <w:lang w:eastAsia="zh-CN"/>
        </w:rPr>
      </w:pPr>
      <w:r>
        <w:rPr>
          <w:rFonts w:hint="eastAsia"/>
          <w:lang w:eastAsia="zh-CN"/>
        </w:rPr>
        <w:t>使用</w:t>
      </w:r>
      <w:r>
        <w:rPr>
          <w:b/>
          <w:lang w:eastAsia="zh-CN"/>
        </w:rPr>
        <w:t>admin2</w:t>
      </w:r>
      <w:r>
        <w:rPr>
          <w:rFonts w:hint="eastAsia"/>
          <w:lang w:eastAsia="zh-CN"/>
        </w:rPr>
        <w:t>管理员</w:t>
      </w:r>
      <w:r>
        <w:rPr>
          <w:lang w:eastAsia="zh-CN"/>
        </w:rPr>
        <w:t>登录设备创建控制策略和审计策略</w:t>
      </w:r>
      <w:r>
        <w:rPr>
          <w:rFonts w:hint="eastAsia"/>
          <w:lang w:eastAsia="zh-CN"/>
        </w:rPr>
        <w:t>，</w:t>
      </w:r>
      <w:r>
        <w:rPr>
          <w:lang w:eastAsia="zh-CN"/>
        </w:rPr>
        <w:t>在策略中用户组只能选择管理员绑定的</w:t>
      </w:r>
      <w:r>
        <w:rPr>
          <w:b/>
          <w:lang w:eastAsia="zh-CN"/>
        </w:rPr>
        <w:t>group2</w:t>
      </w:r>
      <w:r>
        <w:rPr>
          <w:rFonts w:hint="eastAsia"/>
          <w:lang w:eastAsia="zh-CN"/>
        </w:rPr>
        <w:t>组，</w:t>
      </w:r>
      <w:r>
        <w:rPr>
          <w:lang w:eastAsia="zh-CN"/>
        </w:rPr>
        <w:t>策略创建成功之后策略的创建者为</w:t>
      </w:r>
      <w:r>
        <w:rPr>
          <w:b/>
          <w:lang w:eastAsia="zh-CN"/>
        </w:rPr>
        <w:t>admin2</w:t>
      </w:r>
      <w:r>
        <w:rPr>
          <w:rFonts w:hint="eastAsia"/>
          <w:lang w:eastAsia="zh-CN"/>
        </w:rPr>
        <w:t>。</w:t>
      </w:r>
    </w:p>
    <w:p w14:paraId="5196EBCF">
      <w:pPr>
        <w:pStyle w:val="188"/>
      </w:pPr>
      <w:bookmarkStart w:id="11090" w:name="_Toc141875252"/>
      <w:r>
        <w:t>a</w:t>
      </w:r>
      <w:r>
        <w:rPr>
          <w:rFonts w:hint="eastAsia"/>
        </w:rPr>
        <w:t>dmin</w:t>
      </w:r>
      <w:r>
        <w:t>2</w:t>
      </w:r>
      <w:r>
        <w:rPr>
          <w:rFonts w:hint="eastAsia"/>
        </w:rPr>
        <w:t>登录</w:t>
      </w:r>
      <w:r>
        <w:t>设备创建</w:t>
      </w:r>
      <w:r>
        <w:rPr>
          <w:rFonts w:hint="eastAsia"/>
        </w:rPr>
        <w:t>控制</w:t>
      </w:r>
      <w:r>
        <w:t>策略</w:t>
      </w:r>
      <w:bookmarkEnd w:id="11090"/>
    </w:p>
    <w:p w14:paraId="25E14622">
      <w:pPr>
        <w:spacing w:before="78" w:after="78"/>
      </w:pPr>
      <w:r>
        <w:drawing>
          <wp:inline distT="0" distB="0" distL="0" distR="0">
            <wp:extent cx="5257800" cy="3218180"/>
            <wp:effectExtent l="0" t="0" r="0" b="127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1213"/>
                    <a:stretch>
                      <a:fillRect/>
                    </a:stretch>
                  </pic:blipFill>
                  <pic:spPr>
                    <a:xfrm>
                      <a:off x="0" y="0"/>
                      <a:ext cx="5265229" cy="3222829"/>
                    </a:xfrm>
                    <a:prstGeom prst="rect">
                      <a:avLst/>
                    </a:prstGeom>
                  </pic:spPr>
                </pic:pic>
              </a:graphicData>
            </a:graphic>
          </wp:inline>
        </w:drawing>
      </w:r>
    </w:p>
    <w:p w14:paraId="4E4C4956">
      <w:pPr>
        <w:pStyle w:val="188"/>
      </w:pPr>
      <w:bookmarkStart w:id="11091" w:name="_Toc141875254"/>
      <w:r>
        <w:t>a</w:t>
      </w:r>
      <w:r>
        <w:rPr>
          <w:rFonts w:hint="eastAsia"/>
        </w:rPr>
        <w:t>dmin</w:t>
      </w:r>
      <w:r>
        <w:t>2</w:t>
      </w:r>
      <w:r>
        <w:rPr>
          <w:rFonts w:hint="eastAsia"/>
        </w:rPr>
        <w:t>登录</w:t>
      </w:r>
      <w:r>
        <w:t>设备创建</w:t>
      </w:r>
      <w:r>
        <w:rPr>
          <w:rFonts w:hint="eastAsia"/>
        </w:rPr>
        <w:t>审计</w:t>
      </w:r>
      <w:r>
        <w:t>策略</w:t>
      </w:r>
      <w:bookmarkEnd w:id="11091"/>
    </w:p>
    <w:p w14:paraId="5FA650EA">
      <w:pPr>
        <w:spacing w:before="78" w:after="78"/>
      </w:pPr>
      <w:r>
        <w:drawing>
          <wp:inline distT="0" distB="0" distL="0" distR="0">
            <wp:extent cx="5076825" cy="2085975"/>
            <wp:effectExtent l="0" t="0" r="0" b="9525"/>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1214"/>
                    <a:stretch>
                      <a:fillRect/>
                    </a:stretch>
                  </pic:blipFill>
                  <pic:spPr>
                    <a:xfrm>
                      <a:off x="0" y="0"/>
                      <a:ext cx="5125907" cy="2106271"/>
                    </a:xfrm>
                    <a:prstGeom prst="rect">
                      <a:avLst/>
                    </a:prstGeom>
                  </pic:spPr>
                </pic:pic>
              </a:graphicData>
            </a:graphic>
          </wp:inline>
        </w:drawing>
      </w:r>
    </w:p>
    <w:p w14:paraId="0A7B17B3">
      <w:pPr>
        <w:spacing w:before="78" w:after="78"/>
      </w:pPr>
    </w:p>
    <w:p w14:paraId="2F48D6B7">
      <w:pPr>
        <w:pStyle w:val="6"/>
      </w:pPr>
      <w:r>
        <w:rPr>
          <w:rFonts w:hint="eastAsia"/>
        </w:rPr>
        <w:t>结果</w:t>
      </w:r>
      <w:r>
        <w:t>验证</w:t>
      </w:r>
    </w:p>
    <w:p w14:paraId="1861F629">
      <w:pPr>
        <w:pStyle w:val="202"/>
        <w:rPr>
          <w:lang w:eastAsia="zh-CN"/>
        </w:rPr>
      </w:pPr>
      <w:r>
        <w:rPr>
          <w:rFonts w:hint="eastAsia"/>
          <w:lang w:eastAsia="zh-CN"/>
        </w:rPr>
        <w:t>使用</w:t>
      </w:r>
      <w:r>
        <w:rPr>
          <w:b/>
          <w:lang w:eastAsia="zh-CN"/>
        </w:rPr>
        <w:t>admin1</w:t>
      </w:r>
      <w:r>
        <w:rPr>
          <w:rFonts w:hint="eastAsia"/>
          <w:lang w:eastAsia="zh-CN"/>
        </w:rPr>
        <w:t>管理员</w:t>
      </w:r>
      <w:r>
        <w:rPr>
          <w:lang w:eastAsia="zh-CN"/>
        </w:rPr>
        <w:t>登录设备可以看到</w:t>
      </w:r>
      <w:r>
        <w:rPr>
          <w:b/>
          <w:lang w:eastAsia="zh-CN"/>
        </w:rPr>
        <w:t>admin2</w:t>
      </w:r>
      <w:r>
        <w:rPr>
          <w:rFonts w:hint="eastAsia"/>
          <w:lang w:eastAsia="zh-CN"/>
        </w:rPr>
        <w:t>管理员</w:t>
      </w:r>
      <w:r>
        <w:rPr>
          <w:lang w:eastAsia="zh-CN"/>
        </w:rPr>
        <w:t>创建的策略，但是无法编辑修改操作。</w:t>
      </w:r>
    </w:p>
    <w:p w14:paraId="012D47E8">
      <w:pPr>
        <w:pStyle w:val="188"/>
      </w:pPr>
      <w:bookmarkStart w:id="11092" w:name="_Toc141875256"/>
      <w:r>
        <w:t>a</w:t>
      </w:r>
      <w:r>
        <w:rPr>
          <w:rFonts w:hint="eastAsia"/>
        </w:rPr>
        <w:t>dmin</w:t>
      </w:r>
      <w:r>
        <w:t>1</w:t>
      </w:r>
      <w:r>
        <w:rPr>
          <w:rFonts w:hint="eastAsia"/>
        </w:rPr>
        <w:t>登录</w:t>
      </w:r>
      <w:r>
        <w:t>设备修改admin2</w:t>
      </w:r>
      <w:r>
        <w:rPr>
          <w:rFonts w:hint="eastAsia"/>
        </w:rPr>
        <w:t>创建</w:t>
      </w:r>
      <w:r>
        <w:t>的控制策略</w:t>
      </w:r>
      <w:bookmarkEnd w:id="11092"/>
    </w:p>
    <w:p w14:paraId="412C4DEC">
      <w:pPr>
        <w:spacing w:before="78" w:after="78"/>
      </w:pPr>
      <w:r>
        <w:drawing>
          <wp:inline distT="0" distB="0" distL="0" distR="0">
            <wp:extent cx="4638675" cy="2099945"/>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1215"/>
                    <a:stretch>
                      <a:fillRect/>
                    </a:stretch>
                  </pic:blipFill>
                  <pic:spPr>
                    <a:xfrm>
                      <a:off x="0" y="0"/>
                      <a:ext cx="4642494" cy="2102121"/>
                    </a:xfrm>
                    <a:prstGeom prst="rect">
                      <a:avLst/>
                    </a:prstGeom>
                  </pic:spPr>
                </pic:pic>
              </a:graphicData>
            </a:graphic>
          </wp:inline>
        </w:drawing>
      </w:r>
    </w:p>
    <w:p w14:paraId="5BB62AE1"/>
    <w:p w14:paraId="7697DE5D">
      <w:pPr>
        <w:pStyle w:val="188"/>
      </w:pPr>
      <w:bookmarkStart w:id="11093" w:name="_Toc141875257"/>
      <w:r>
        <w:t>a</w:t>
      </w:r>
      <w:r>
        <w:rPr>
          <w:rFonts w:hint="eastAsia"/>
        </w:rPr>
        <w:t>dmin</w:t>
      </w:r>
      <w:r>
        <w:t>1</w:t>
      </w:r>
      <w:r>
        <w:rPr>
          <w:rFonts w:hint="eastAsia"/>
        </w:rPr>
        <w:t>登录</w:t>
      </w:r>
      <w:r>
        <w:t>设备修改admin2</w:t>
      </w:r>
      <w:r>
        <w:rPr>
          <w:rFonts w:hint="eastAsia"/>
        </w:rPr>
        <w:t>创建</w:t>
      </w:r>
      <w:r>
        <w:t>的</w:t>
      </w:r>
      <w:r>
        <w:rPr>
          <w:rFonts w:hint="eastAsia"/>
        </w:rPr>
        <w:t>审计</w:t>
      </w:r>
      <w:r>
        <w:t>策略</w:t>
      </w:r>
      <w:bookmarkEnd w:id="11093"/>
    </w:p>
    <w:p w14:paraId="3B3A93D1">
      <w:pPr>
        <w:spacing w:before="78" w:after="78"/>
      </w:pPr>
      <w:r>
        <w:drawing>
          <wp:inline distT="0" distB="0" distL="0" distR="0">
            <wp:extent cx="4181475" cy="2048510"/>
            <wp:effectExtent l="0" t="0" r="0" b="889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1216"/>
                    <a:stretch>
                      <a:fillRect/>
                    </a:stretch>
                  </pic:blipFill>
                  <pic:spPr>
                    <a:xfrm>
                      <a:off x="0" y="0"/>
                      <a:ext cx="4202265" cy="2059062"/>
                    </a:xfrm>
                    <a:prstGeom prst="rect">
                      <a:avLst/>
                    </a:prstGeom>
                  </pic:spPr>
                </pic:pic>
              </a:graphicData>
            </a:graphic>
          </wp:inline>
        </w:drawing>
      </w:r>
    </w:p>
    <w:p w14:paraId="5145807B"/>
    <w:p w14:paraId="725EDA6D">
      <w:pPr>
        <w:pStyle w:val="202"/>
        <w:rPr>
          <w:lang w:eastAsia="zh-CN"/>
        </w:rPr>
      </w:pPr>
      <w:r>
        <w:rPr>
          <w:rFonts w:hint="eastAsia"/>
          <w:lang w:eastAsia="zh-CN"/>
        </w:rPr>
        <w:t>使用</w:t>
      </w:r>
      <w:r>
        <w:rPr>
          <w:b/>
          <w:lang w:eastAsia="zh-CN"/>
        </w:rPr>
        <w:t>admin1</w:t>
      </w:r>
      <w:r>
        <w:rPr>
          <w:rFonts w:hint="eastAsia"/>
          <w:lang w:eastAsia="zh-CN"/>
        </w:rPr>
        <w:t>管理员</w:t>
      </w:r>
      <w:r>
        <w:rPr>
          <w:lang w:eastAsia="zh-CN"/>
        </w:rPr>
        <w:t>登录设备只能看到</w:t>
      </w:r>
      <w:r>
        <w:rPr>
          <w:b/>
          <w:lang w:eastAsia="zh-CN"/>
        </w:rPr>
        <w:t>group1</w:t>
      </w:r>
      <w:r>
        <w:rPr>
          <w:rFonts w:hint="eastAsia"/>
          <w:lang w:eastAsia="zh-CN"/>
        </w:rPr>
        <w:t>组</w:t>
      </w:r>
      <w:r>
        <w:rPr>
          <w:lang w:eastAsia="zh-CN"/>
        </w:rPr>
        <w:t>下用户产生的</w:t>
      </w:r>
      <w:r>
        <w:rPr>
          <w:rFonts w:hint="eastAsia"/>
          <w:lang w:eastAsia="zh-CN"/>
        </w:rPr>
        <w:t>控制</w:t>
      </w:r>
      <w:r>
        <w:rPr>
          <w:lang w:eastAsia="zh-CN"/>
        </w:rPr>
        <w:t>日志和审计日志</w:t>
      </w:r>
      <w:r>
        <w:rPr>
          <w:rFonts w:hint="eastAsia"/>
          <w:lang w:eastAsia="zh-CN"/>
        </w:rPr>
        <w:t>。</w:t>
      </w:r>
    </w:p>
    <w:p w14:paraId="3BEE8F71">
      <w:pPr>
        <w:pStyle w:val="188"/>
      </w:pPr>
      <w:bookmarkStart w:id="11094" w:name="_Toc141875258"/>
      <w:r>
        <w:t>a</w:t>
      </w:r>
      <w:r>
        <w:rPr>
          <w:rFonts w:hint="eastAsia"/>
        </w:rPr>
        <w:t>dmin</w:t>
      </w:r>
      <w:r>
        <w:t>1</w:t>
      </w:r>
      <w:r>
        <w:rPr>
          <w:rFonts w:hint="eastAsia"/>
        </w:rPr>
        <w:t>登录</w:t>
      </w:r>
      <w:r>
        <w:t>设备</w:t>
      </w:r>
      <w:r>
        <w:rPr>
          <w:rFonts w:hint="eastAsia"/>
        </w:rPr>
        <w:t>查看</w:t>
      </w:r>
      <w:r>
        <w:t>控制日志</w:t>
      </w:r>
      <w:bookmarkEnd w:id="11094"/>
    </w:p>
    <w:p w14:paraId="4A01C807">
      <w:pPr>
        <w:spacing w:before="78" w:after="78"/>
      </w:pPr>
      <w:r>
        <w:drawing>
          <wp:inline distT="0" distB="0" distL="0" distR="0">
            <wp:extent cx="5314950" cy="2961640"/>
            <wp:effectExtent l="0" t="0" r="0" b="0"/>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pic:cNvPicPr>
                      <a:picLocks noChangeAspect="1"/>
                    </pic:cNvPicPr>
                  </pic:nvPicPr>
                  <pic:blipFill>
                    <a:blip r:embed="rId1217"/>
                    <a:stretch>
                      <a:fillRect/>
                    </a:stretch>
                  </pic:blipFill>
                  <pic:spPr>
                    <a:xfrm>
                      <a:off x="0" y="0"/>
                      <a:ext cx="5325041" cy="2967725"/>
                    </a:xfrm>
                    <a:prstGeom prst="rect">
                      <a:avLst/>
                    </a:prstGeom>
                  </pic:spPr>
                </pic:pic>
              </a:graphicData>
            </a:graphic>
          </wp:inline>
        </w:drawing>
      </w:r>
    </w:p>
    <w:p w14:paraId="4163968D"/>
    <w:p w14:paraId="2493692E">
      <w:pPr>
        <w:pStyle w:val="188"/>
      </w:pPr>
      <w:bookmarkStart w:id="11095" w:name="_Toc141875259"/>
      <w:r>
        <w:t>a</w:t>
      </w:r>
      <w:r>
        <w:rPr>
          <w:rFonts w:hint="eastAsia"/>
        </w:rPr>
        <w:t>dmin</w:t>
      </w:r>
      <w:r>
        <w:t>1</w:t>
      </w:r>
      <w:r>
        <w:rPr>
          <w:rFonts w:hint="eastAsia"/>
        </w:rPr>
        <w:t>登录</w:t>
      </w:r>
      <w:r>
        <w:t>设备</w:t>
      </w:r>
      <w:r>
        <w:rPr>
          <w:rFonts w:hint="eastAsia"/>
        </w:rPr>
        <w:t>查看审计</w:t>
      </w:r>
      <w:r>
        <w:t>日志</w:t>
      </w:r>
      <w:bookmarkEnd w:id="11095"/>
    </w:p>
    <w:p w14:paraId="4636C7E7">
      <w:pPr>
        <w:spacing w:before="78" w:after="78"/>
      </w:pPr>
      <w:r>
        <w:drawing>
          <wp:inline distT="0" distB="0" distL="0" distR="0">
            <wp:extent cx="5267325" cy="2942590"/>
            <wp:effectExtent l="0" t="0" r="0" b="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pic:cNvPicPr>
                      <a:picLocks noChangeAspect="1"/>
                    </pic:cNvPicPr>
                  </pic:nvPicPr>
                  <pic:blipFill>
                    <a:blip r:embed="rId1218"/>
                    <a:stretch>
                      <a:fillRect/>
                    </a:stretch>
                  </pic:blipFill>
                  <pic:spPr>
                    <a:xfrm>
                      <a:off x="0" y="0"/>
                      <a:ext cx="5275028" cy="2947114"/>
                    </a:xfrm>
                    <a:prstGeom prst="rect">
                      <a:avLst/>
                    </a:prstGeom>
                  </pic:spPr>
                </pic:pic>
              </a:graphicData>
            </a:graphic>
          </wp:inline>
        </w:drawing>
      </w:r>
    </w:p>
    <w:p w14:paraId="3E9FB99E"/>
    <w:p w14:paraId="10A0ADEE">
      <w:pPr>
        <w:pStyle w:val="202"/>
        <w:rPr>
          <w:lang w:eastAsia="zh-CN"/>
        </w:rPr>
      </w:pPr>
      <w:r>
        <w:rPr>
          <w:rFonts w:hint="eastAsia"/>
          <w:lang w:eastAsia="zh-CN"/>
        </w:rPr>
        <w:t>使用</w:t>
      </w:r>
      <w:r>
        <w:rPr>
          <w:b/>
          <w:lang w:eastAsia="zh-CN"/>
        </w:rPr>
        <w:t>admin2</w:t>
      </w:r>
      <w:r>
        <w:rPr>
          <w:rFonts w:hint="eastAsia"/>
          <w:lang w:eastAsia="zh-CN"/>
        </w:rPr>
        <w:t>管理员</w:t>
      </w:r>
      <w:r>
        <w:rPr>
          <w:lang w:eastAsia="zh-CN"/>
        </w:rPr>
        <w:t>登录设备可以看到</w:t>
      </w:r>
      <w:r>
        <w:rPr>
          <w:b/>
          <w:lang w:eastAsia="zh-CN"/>
        </w:rPr>
        <w:t>admin1</w:t>
      </w:r>
      <w:r>
        <w:rPr>
          <w:rFonts w:hint="eastAsia"/>
          <w:lang w:eastAsia="zh-CN"/>
        </w:rPr>
        <w:t>管理员</w:t>
      </w:r>
      <w:r>
        <w:rPr>
          <w:lang w:eastAsia="zh-CN"/>
        </w:rPr>
        <w:t>创建的策略，但是无法编辑修改操作</w:t>
      </w:r>
      <w:r>
        <w:rPr>
          <w:rFonts w:hint="eastAsia"/>
          <w:lang w:eastAsia="zh-CN"/>
        </w:rPr>
        <w:t>。</w:t>
      </w:r>
    </w:p>
    <w:p w14:paraId="7F3D3A88">
      <w:pPr>
        <w:pStyle w:val="202"/>
        <w:rPr>
          <w:lang w:eastAsia="zh-CN"/>
        </w:rPr>
      </w:pPr>
      <w:r>
        <w:rPr>
          <w:rFonts w:hint="eastAsia"/>
          <w:lang w:eastAsia="zh-CN"/>
        </w:rPr>
        <w:t>使用</w:t>
      </w:r>
      <w:r>
        <w:rPr>
          <w:lang w:eastAsia="zh-CN"/>
        </w:rPr>
        <w:t>admin2</w:t>
      </w:r>
      <w:r>
        <w:rPr>
          <w:rFonts w:hint="eastAsia"/>
          <w:lang w:eastAsia="zh-CN"/>
        </w:rPr>
        <w:t>管理员</w:t>
      </w:r>
      <w:r>
        <w:rPr>
          <w:lang w:eastAsia="zh-CN"/>
        </w:rPr>
        <w:t>登录设备只能看到group2</w:t>
      </w:r>
      <w:r>
        <w:rPr>
          <w:rFonts w:hint="eastAsia"/>
          <w:lang w:eastAsia="zh-CN"/>
        </w:rPr>
        <w:t>组</w:t>
      </w:r>
      <w:r>
        <w:rPr>
          <w:lang w:eastAsia="zh-CN"/>
        </w:rPr>
        <w:t>下用户产生的控制日志和审计日志。</w:t>
      </w:r>
    </w:p>
    <w:p w14:paraId="6AFB60A6">
      <w:pPr>
        <w:pStyle w:val="188"/>
      </w:pPr>
      <w:bookmarkStart w:id="11096" w:name="_Toc141875262"/>
      <w:r>
        <w:t>a</w:t>
      </w:r>
      <w:r>
        <w:rPr>
          <w:rFonts w:hint="eastAsia"/>
        </w:rPr>
        <w:t>dmin</w:t>
      </w:r>
      <w:r>
        <w:t>2</w:t>
      </w:r>
      <w:r>
        <w:rPr>
          <w:rFonts w:hint="eastAsia"/>
        </w:rPr>
        <w:t>登录设备查看控制</w:t>
      </w:r>
      <w:r>
        <w:t>日志</w:t>
      </w:r>
      <w:bookmarkEnd w:id="11096"/>
    </w:p>
    <w:p w14:paraId="48B7BA36">
      <w:pPr>
        <w:spacing w:before="78" w:after="78"/>
      </w:pPr>
      <w:r>
        <w:drawing>
          <wp:inline distT="0" distB="0" distL="0" distR="0">
            <wp:extent cx="5543550" cy="3086735"/>
            <wp:effectExtent l="0" t="0" r="0" b="18415"/>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pic:cNvPicPr>
                      <a:picLocks noChangeAspect="1"/>
                    </pic:cNvPicPr>
                  </pic:nvPicPr>
                  <pic:blipFill>
                    <a:blip r:embed="rId1219"/>
                    <a:stretch>
                      <a:fillRect/>
                    </a:stretch>
                  </pic:blipFill>
                  <pic:spPr>
                    <a:xfrm>
                      <a:off x="0" y="0"/>
                      <a:ext cx="5543550" cy="3086735"/>
                    </a:xfrm>
                    <a:prstGeom prst="rect">
                      <a:avLst/>
                    </a:prstGeom>
                  </pic:spPr>
                </pic:pic>
              </a:graphicData>
            </a:graphic>
          </wp:inline>
        </w:drawing>
      </w:r>
    </w:p>
    <w:p w14:paraId="4B6F97D6"/>
    <w:p w14:paraId="1320CE01">
      <w:pPr>
        <w:pStyle w:val="188"/>
      </w:pPr>
      <w:bookmarkStart w:id="11097" w:name="_Toc141875263"/>
      <w:r>
        <w:t>a</w:t>
      </w:r>
      <w:r>
        <w:rPr>
          <w:rFonts w:hint="eastAsia"/>
        </w:rPr>
        <w:t>dmin</w:t>
      </w:r>
      <w:r>
        <w:t>2</w:t>
      </w:r>
      <w:r>
        <w:rPr>
          <w:rFonts w:hint="eastAsia"/>
        </w:rPr>
        <w:t>登录设备查看审计</w:t>
      </w:r>
      <w:r>
        <w:t>日志</w:t>
      </w:r>
      <w:bookmarkEnd w:id="11097"/>
    </w:p>
    <w:p w14:paraId="6C8BA6FF">
      <w:pPr>
        <w:spacing w:before="78" w:after="78"/>
      </w:pPr>
      <w:r>
        <w:drawing>
          <wp:inline distT="0" distB="0" distL="0" distR="0">
            <wp:extent cx="5553075" cy="3062605"/>
            <wp:effectExtent l="0" t="0" r="9525" b="4445"/>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pic:cNvPicPr>
                      <a:picLocks noChangeAspect="1"/>
                    </pic:cNvPicPr>
                  </pic:nvPicPr>
                  <pic:blipFill>
                    <a:blip r:embed="rId1220"/>
                    <a:stretch>
                      <a:fillRect/>
                    </a:stretch>
                  </pic:blipFill>
                  <pic:spPr>
                    <a:xfrm>
                      <a:off x="0" y="0"/>
                      <a:ext cx="5553075" cy="3062605"/>
                    </a:xfrm>
                    <a:prstGeom prst="rect">
                      <a:avLst/>
                    </a:prstGeom>
                  </pic:spPr>
                </pic:pic>
              </a:graphicData>
            </a:graphic>
          </wp:inline>
        </w:drawing>
      </w:r>
    </w:p>
    <w:p w14:paraId="44926C0A"/>
    <w:p w14:paraId="40478896">
      <w:pPr>
        <w:jc w:val="left"/>
      </w:pPr>
      <w:r>
        <w:br w:type="page"/>
      </w:r>
    </w:p>
    <w:p w14:paraId="134FAAE0"/>
    <w:p w14:paraId="725B18AE">
      <w:pPr>
        <w:pStyle w:val="5"/>
      </w:pPr>
      <w:bookmarkStart w:id="11098" w:name="_Toc12469924"/>
      <w:bookmarkStart w:id="11099" w:name="_Toc389750130"/>
      <w:bookmarkStart w:id="11100" w:name="_Ref99442169"/>
      <w:bookmarkStart w:id="11101" w:name="_Toc142401358"/>
      <w:bookmarkStart w:id="11102" w:name="_Toc194081233"/>
      <w:bookmarkStart w:id="11103" w:name="_Toc23153093"/>
      <w:bookmarkStart w:id="11104" w:name="_Toc99562030"/>
      <w:bookmarkStart w:id="11105" w:name="_Toc15485336"/>
      <w:bookmarkStart w:id="11106" w:name="_Toc40276514"/>
      <w:bookmarkStart w:id="11107" w:name="_Toc369620403"/>
      <w:bookmarkStart w:id="11108" w:name="_Toc389059435"/>
      <w:bookmarkStart w:id="11109" w:name="_Toc172218648"/>
      <w:bookmarkStart w:id="11110" w:name="_Toc141873841"/>
      <w:bookmarkStart w:id="11111" w:name="_Toc196728561"/>
      <w:r>
        <w:rPr>
          <w:rFonts w:hint="eastAsia"/>
        </w:rPr>
        <w:t>管理设定</w:t>
      </w:r>
      <w:bookmarkEnd w:id="11098"/>
      <w:bookmarkEnd w:id="11099"/>
      <w:bookmarkEnd w:id="11100"/>
      <w:bookmarkEnd w:id="11101"/>
      <w:bookmarkEnd w:id="11102"/>
      <w:bookmarkEnd w:id="11103"/>
      <w:bookmarkEnd w:id="11104"/>
      <w:bookmarkEnd w:id="11105"/>
      <w:bookmarkEnd w:id="11106"/>
      <w:bookmarkEnd w:id="11107"/>
      <w:bookmarkEnd w:id="11108"/>
      <w:bookmarkEnd w:id="11109"/>
      <w:bookmarkEnd w:id="11110"/>
      <w:bookmarkEnd w:id="11111"/>
    </w:p>
    <w:p w14:paraId="2BCECC17">
      <w:pPr>
        <w:pStyle w:val="6"/>
      </w:pPr>
      <w:bookmarkStart w:id="11112" w:name="_Toc40276515"/>
      <w:bookmarkStart w:id="11113" w:name="_Toc15485337"/>
      <w:bookmarkStart w:id="11114" w:name="_Toc12469925"/>
      <w:bookmarkStart w:id="11115" w:name="_Toc23153094"/>
      <w:r>
        <w:t>管理设定配置</w:t>
      </w:r>
      <w:bookmarkEnd w:id="11112"/>
      <w:bookmarkEnd w:id="11113"/>
      <w:bookmarkEnd w:id="11114"/>
      <w:bookmarkEnd w:id="11115"/>
    </w:p>
    <w:p w14:paraId="37785204">
      <w:r>
        <w:rPr>
          <w:rFonts w:hint="eastAsia"/>
        </w:rPr>
        <w:t>通过菜单“系统管理</w:t>
      </w:r>
      <w:r>
        <w:t xml:space="preserve"> &gt;</w:t>
      </w:r>
      <w:r>
        <w:rPr>
          <w:rFonts w:hint="eastAsia"/>
        </w:rPr>
        <w:t xml:space="preserve"> 系统设定</w:t>
      </w:r>
      <w:r>
        <w:t xml:space="preserve"> &gt; </w:t>
      </w:r>
      <w:r>
        <w:rPr>
          <w:rFonts w:hint="eastAsia"/>
        </w:rPr>
        <w:t>管理设定”，进入管理设定配置页面，如</w:t>
      </w:r>
      <w:r>
        <w:fldChar w:fldCharType="begin"/>
      </w:r>
      <w:r>
        <w:instrText xml:space="preserve"> REF _Ref393788618 \r \h </w:instrText>
      </w:r>
      <w:r>
        <w:fldChar w:fldCharType="separate"/>
      </w:r>
      <w:r>
        <w:rPr>
          <w:rFonts w:hint="eastAsia"/>
        </w:rPr>
        <w:t>图33-25</w:t>
      </w:r>
      <w:r>
        <w:fldChar w:fldCharType="end"/>
      </w:r>
      <w:r>
        <w:rPr>
          <w:rFonts w:hint="eastAsia"/>
        </w:rPr>
        <w:t>所示。各个配置项的含义如</w:t>
      </w:r>
      <w:r>
        <w:fldChar w:fldCharType="begin"/>
      </w:r>
      <w:r>
        <w:instrText xml:space="preserve"> REF _Ref393788676 \r \h </w:instrText>
      </w:r>
      <w:r>
        <w:fldChar w:fldCharType="separate"/>
      </w:r>
      <w:r>
        <w:rPr>
          <w:rFonts w:hint="eastAsia"/>
        </w:rPr>
        <w:t>表33-1</w:t>
      </w:r>
      <w:r>
        <w:fldChar w:fldCharType="end"/>
      </w:r>
      <w:r>
        <w:rPr>
          <w:rFonts w:hint="eastAsia"/>
        </w:rPr>
        <w:t>所示。</w:t>
      </w:r>
    </w:p>
    <w:p w14:paraId="1DEF3E1E">
      <w:pPr>
        <w:pStyle w:val="188"/>
      </w:pPr>
      <w:bookmarkStart w:id="11116" w:name="_Ref393788618"/>
      <w:bookmarkStart w:id="11117" w:name="_Toc141875264"/>
      <w:r>
        <w:rPr>
          <w:rFonts w:hint="eastAsia"/>
        </w:rPr>
        <w:t>管理设定配置页面</w:t>
      </w:r>
      <w:bookmarkEnd w:id="11116"/>
      <w:bookmarkEnd w:id="11117"/>
    </w:p>
    <w:p w14:paraId="7E2ED67E">
      <w:r>
        <w:drawing>
          <wp:inline distT="0" distB="0" distL="0" distR="0">
            <wp:extent cx="4991100" cy="6287770"/>
            <wp:effectExtent l="0" t="0" r="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1221"/>
                    <a:stretch>
                      <a:fillRect/>
                    </a:stretch>
                  </pic:blipFill>
                  <pic:spPr>
                    <a:xfrm>
                      <a:off x="0" y="0"/>
                      <a:ext cx="4994071" cy="6291919"/>
                    </a:xfrm>
                    <a:prstGeom prst="rect">
                      <a:avLst/>
                    </a:prstGeom>
                  </pic:spPr>
                </pic:pic>
              </a:graphicData>
            </a:graphic>
          </wp:inline>
        </w:drawing>
      </w:r>
    </w:p>
    <w:p w14:paraId="65E7988E"/>
    <w:p w14:paraId="00D4784D">
      <w:pPr>
        <w:pStyle w:val="183"/>
      </w:pPr>
      <w:bookmarkStart w:id="11118" w:name="_Ref393788676"/>
      <w:bookmarkStart w:id="11119" w:name="_Toc141875769"/>
      <w:r>
        <w:rPr>
          <w:rFonts w:hint="eastAsia"/>
        </w:rPr>
        <w:t>管理设定</w:t>
      </w:r>
      <w:r>
        <w:t>配置项含义描述表</w:t>
      </w:r>
      <w:bookmarkEnd w:id="11118"/>
      <w:bookmarkEnd w:id="11119"/>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344"/>
        <w:gridCol w:w="6670"/>
      </w:tblGrid>
      <w:tr w14:paraId="5FD841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tcBorders>
              <w:tl2br w:val="nil"/>
              <w:tr2bl w:val="nil"/>
            </w:tcBorders>
            <w:shd w:val="clear" w:color="auto" w:fill="538135" w:themeFill="accent6" w:themeFillShade="BF"/>
            <w:vAlign w:val="center"/>
          </w:tcPr>
          <w:p w14:paraId="7217C6FC">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70" w:type="dxa"/>
            <w:tcBorders>
              <w:tl2br w:val="nil"/>
              <w:tr2bl w:val="nil"/>
            </w:tcBorders>
            <w:shd w:val="clear" w:color="auto" w:fill="538135" w:themeFill="accent6" w:themeFillShade="BF"/>
            <w:vAlign w:val="center"/>
          </w:tcPr>
          <w:p w14:paraId="1539A76A">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F7322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066453AC">
            <w:pPr>
              <w:pStyle w:val="150"/>
            </w:pPr>
            <w:r>
              <w:rPr>
                <w:rFonts w:hint="eastAsia"/>
              </w:rPr>
              <w:t>实时保存配置</w:t>
            </w:r>
          </w:p>
        </w:tc>
        <w:tc>
          <w:tcPr>
            <w:tcW w:w="6670" w:type="dxa"/>
            <w:shd w:val="clear" w:color="auto" w:fill="auto"/>
          </w:tcPr>
          <w:p w14:paraId="51EA956C">
            <w:pPr>
              <w:pStyle w:val="150"/>
            </w:pPr>
            <w:r>
              <w:rPr>
                <w:rFonts w:hint="eastAsia"/>
              </w:rPr>
              <w:t>是否实时的保存配置，通过web管理方式管理时，配置修改后将自动保存。</w:t>
            </w:r>
          </w:p>
        </w:tc>
      </w:tr>
      <w:tr w14:paraId="14A322D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6F10D8DC">
            <w:pPr>
              <w:pStyle w:val="150"/>
            </w:pPr>
            <w:r>
              <w:rPr>
                <w:rFonts w:hint="eastAsia"/>
              </w:rPr>
              <w:t>管理员唯一性检查</w:t>
            </w:r>
          </w:p>
        </w:tc>
        <w:tc>
          <w:tcPr>
            <w:tcW w:w="6670" w:type="dxa"/>
            <w:shd w:val="clear" w:color="auto" w:fill="auto"/>
          </w:tcPr>
          <w:p w14:paraId="745C512D">
            <w:pPr>
              <w:pStyle w:val="150"/>
            </w:pPr>
            <w:r>
              <w:rPr>
                <w:rFonts w:hint="eastAsia"/>
              </w:rPr>
              <w:t>是否检查管理员的唯一性，即是否只允许一个管理员登录。</w:t>
            </w:r>
          </w:p>
        </w:tc>
      </w:tr>
      <w:tr w14:paraId="6B8758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517D20F8">
            <w:pPr>
              <w:pStyle w:val="150"/>
            </w:pPr>
            <w:r>
              <w:rPr>
                <w:rFonts w:hint="eastAsia"/>
              </w:rPr>
              <w:t>管理员双因子</w:t>
            </w:r>
            <w:r>
              <w:t>认证</w:t>
            </w:r>
          </w:p>
        </w:tc>
        <w:tc>
          <w:tcPr>
            <w:tcW w:w="6670" w:type="dxa"/>
            <w:shd w:val="clear" w:color="auto" w:fill="auto"/>
          </w:tcPr>
          <w:p w14:paraId="4866BC22">
            <w:pPr>
              <w:pStyle w:val="150"/>
            </w:pPr>
            <w:r>
              <w:rPr>
                <w:rFonts w:hint="eastAsia"/>
              </w:rPr>
              <w:t>管理</w:t>
            </w:r>
            <w:r>
              <w:t>员双因子认证，开启后</w:t>
            </w:r>
            <w:r>
              <w:rPr>
                <w:rFonts w:hint="eastAsia"/>
              </w:rPr>
              <w:t>当</w:t>
            </w:r>
            <w:r>
              <w:t>使用https</w:t>
            </w:r>
            <w:r>
              <w:rPr>
                <w:rFonts w:hint="eastAsia"/>
              </w:rPr>
              <w:t>方式</w:t>
            </w:r>
            <w:r>
              <w:t>登录设备时需要有经过授权的</w:t>
            </w:r>
            <w:r>
              <w:rPr>
                <w:rFonts w:hint="eastAsia"/>
              </w:rPr>
              <w:t>U</w:t>
            </w:r>
            <w:r>
              <w:t>key</w:t>
            </w:r>
            <w:r>
              <w:rPr>
                <w:rFonts w:hint="eastAsia"/>
              </w:rPr>
              <w:t>+</w:t>
            </w:r>
            <w:r>
              <w:t>合法账号</w:t>
            </w:r>
            <w:r>
              <w:rPr>
                <w:rFonts w:hint="eastAsia"/>
              </w:rPr>
              <w:t>才</w:t>
            </w:r>
            <w:r>
              <w:t>能登录设备。</w:t>
            </w:r>
          </w:p>
          <w:p w14:paraId="284C4FBA">
            <w:pPr>
              <w:pStyle w:val="150"/>
            </w:pPr>
            <w:r>
              <w:rPr>
                <w:rFonts w:hint="eastAsia"/>
              </w:rPr>
              <w:t>Ukey管理</w:t>
            </w:r>
            <w:r>
              <w:t>软件：</w:t>
            </w:r>
            <w:r>
              <w:rPr>
                <w:rFonts w:hint="eastAsia"/>
              </w:rPr>
              <w:t>对U</w:t>
            </w:r>
            <w:r>
              <w:t>key进行</w:t>
            </w:r>
            <w:r>
              <w:rPr>
                <w:rFonts w:hint="eastAsia"/>
              </w:rPr>
              <w:t>初始化</w:t>
            </w:r>
            <w:r>
              <w:t>激活</w:t>
            </w:r>
          </w:p>
          <w:p w14:paraId="129B5137">
            <w:pPr>
              <w:pStyle w:val="150"/>
            </w:pPr>
            <w:r>
              <w:rPr>
                <w:rFonts w:hint="eastAsia"/>
              </w:rPr>
              <w:t>Ukey客户</w:t>
            </w:r>
            <w:r>
              <w:t>端软件</w:t>
            </w:r>
            <w:r>
              <w:rPr>
                <w:rFonts w:hint="eastAsia"/>
              </w:rPr>
              <w:t>：通过客户</w:t>
            </w:r>
            <w:r>
              <w:t>端软件将设备端</w:t>
            </w:r>
            <w:r>
              <w:rPr>
                <w:rFonts w:hint="eastAsia"/>
              </w:rPr>
              <w:t>生成的用户</w:t>
            </w:r>
            <w:r>
              <w:t>证书导入</w:t>
            </w:r>
            <w:r>
              <w:rPr>
                <w:rFonts w:hint="eastAsia"/>
              </w:rPr>
              <w:t>U</w:t>
            </w:r>
            <w:r>
              <w:t>key</w:t>
            </w:r>
          </w:p>
        </w:tc>
      </w:tr>
      <w:tr w14:paraId="0D6A6C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42650A01">
            <w:pPr>
              <w:pStyle w:val="150"/>
            </w:pPr>
            <w:r>
              <w:rPr>
                <w:rFonts w:hint="eastAsia"/>
              </w:rPr>
              <w:t>最大登录尝试次数</w:t>
            </w:r>
          </w:p>
        </w:tc>
        <w:tc>
          <w:tcPr>
            <w:tcW w:w="6670" w:type="dxa"/>
            <w:shd w:val="clear" w:color="auto" w:fill="auto"/>
          </w:tcPr>
          <w:p w14:paraId="393DA833">
            <w:pPr>
              <w:pStyle w:val="150"/>
            </w:pPr>
            <w:r>
              <w:rPr>
                <w:rFonts w:hint="eastAsia"/>
              </w:rPr>
              <w:t>允许管理员登录失败后重新登录的次数。</w:t>
            </w:r>
          </w:p>
        </w:tc>
      </w:tr>
      <w:tr w14:paraId="7AABF4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46C662F4">
            <w:pPr>
              <w:pStyle w:val="150"/>
            </w:pPr>
            <w:r>
              <w:rPr>
                <w:rFonts w:hint="eastAsia"/>
              </w:rPr>
              <w:t>登录失败阻断间隔</w:t>
            </w:r>
          </w:p>
        </w:tc>
        <w:tc>
          <w:tcPr>
            <w:tcW w:w="6670" w:type="dxa"/>
            <w:shd w:val="clear" w:color="auto" w:fill="auto"/>
          </w:tcPr>
          <w:p w14:paraId="43CF16D6">
            <w:pPr>
              <w:pStyle w:val="150"/>
            </w:pPr>
            <w:r>
              <w:rPr>
                <w:rFonts w:hint="eastAsia"/>
              </w:rPr>
              <w:t>管理员登录失败允许再次登录的间隔时间。</w:t>
            </w:r>
          </w:p>
        </w:tc>
      </w:tr>
      <w:tr w14:paraId="73F851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31D637A9">
            <w:pPr>
              <w:pStyle w:val="150"/>
            </w:pPr>
            <w:r>
              <w:rPr>
                <w:rFonts w:hint="eastAsia"/>
              </w:rPr>
              <w:t>页面超时时间</w:t>
            </w:r>
          </w:p>
        </w:tc>
        <w:tc>
          <w:tcPr>
            <w:tcW w:w="6670" w:type="dxa"/>
            <w:shd w:val="clear" w:color="auto" w:fill="auto"/>
          </w:tcPr>
          <w:p w14:paraId="02222BD6">
            <w:pPr>
              <w:pStyle w:val="150"/>
            </w:pPr>
            <w:r>
              <w:rPr>
                <w:rFonts w:hint="eastAsia"/>
              </w:rPr>
              <w:t>页面超时时间，如操作时间超过该值页面将自动退出。</w:t>
            </w:r>
          </w:p>
        </w:tc>
      </w:tr>
      <w:tr w14:paraId="52ECCC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18524ABD">
            <w:pPr>
              <w:pStyle w:val="150"/>
            </w:pPr>
            <w:r>
              <w:rPr>
                <w:rFonts w:hint="eastAsia"/>
              </w:rPr>
              <w:t>web在线管理员</w:t>
            </w:r>
          </w:p>
        </w:tc>
        <w:tc>
          <w:tcPr>
            <w:tcW w:w="6670" w:type="dxa"/>
            <w:shd w:val="clear" w:color="auto" w:fill="auto"/>
          </w:tcPr>
          <w:p w14:paraId="280A0582">
            <w:pPr>
              <w:pStyle w:val="150"/>
            </w:pPr>
            <w:r>
              <w:rPr>
                <w:rFonts w:hint="eastAsia"/>
              </w:rPr>
              <w:t>同时web在线的管理员的最大个数。</w:t>
            </w:r>
          </w:p>
          <w:p w14:paraId="238225B1">
            <w:pPr>
              <w:pStyle w:val="150"/>
            </w:pPr>
            <w:r>
              <w:rPr>
                <w:rFonts w:hint="eastAsia"/>
              </w:rPr>
              <w:t>8G及以上内存的设备取值范围为1～256，8G以下内存的设备取值范围为1～20，默认为20。</w:t>
            </w:r>
          </w:p>
        </w:tc>
      </w:tr>
      <w:tr w14:paraId="4DE3CF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616DEBC4">
            <w:pPr>
              <w:pStyle w:val="150"/>
            </w:pPr>
            <w:r>
              <w:rPr>
                <w:rFonts w:hint="eastAsia"/>
              </w:rPr>
              <w:t>管理员认证方式</w:t>
            </w:r>
          </w:p>
        </w:tc>
        <w:tc>
          <w:tcPr>
            <w:tcW w:w="6670" w:type="dxa"/>
            <w:shd w:val="clear" w:color="auto" w:fill="auto"/>
          </w:tcPr>
          <w:p w14:paraId="50FAB0EB">
            <w:pPr>
              <w:pStyle w:val="150"/>
            </w:pPr>
            <w:r>
              <w:rPr>
                <w:rFonts w:hint="eastAsia"/>
              </w:rPr>
              <w:t>选择管理员认证方式（本地认证或外部认证）。</w:t>
            </w:r>
          </w:p>
          <w:p w14:paraId="3C6204BB">
            <w:pPr>
              <w:pStyle w:val="150"/>
            </w:pPr>
            <w:r>
              <w:rPr>
                <w:rFonts w:hint="eastAsia"/>
              </w:rPr>
              <w:t>本地认证：使用设备本地管理员账号密码登录设备；</w:t>
            </w:r>
          </w:p>
          <w:p w14:paraId="175C6037">
            <w:pPr>
              <w:pStyle w:val="150"/>
            </w:pPr>
            <w:r>
              <w:rPr>
                <w:rFonts w:hint="eastAsia"/>
              </w:rPr>
              <w:t>外部认证：选择RADIUS或LDAP服务器进行认证。</w:t>
            </w:r>
          </w:p>
        </w:tc>
      </w:tr>
      <w:tr w14:paraId="107504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378E2B30">
            <w:pPr>
              <w:pStyle w:val="150"/>
            </w:pPr>
            <w:r>
              <w:rPr>
                <w:rFonts w:hint="eastAsia"/>
              </w:rPr>
              <w:t>HTTPS</w:t>
            </w:r>
            <w:r>
              <w:t>端口</w:t>
            </w:r>
          </w:p>
        </w:tc>
        <w:tc>
          <w:tcPr>
            <w:tcW w:w="6670" w:type="dxa"/>
            <w:shd w:val="clear" w:color="auto" w:fill="auto"/>
          </w:tcPr>
          <w:p w14:paraId="641B9020">
            <w:pPr>
              <w:pStyle w:val="150"/>
            </w:pPr>
            <w:r>
              <w:rPr>
                <w:rFonts w:hint="eastAsia"/>
              </w:rPr>
              <w:t>设备HTTP</w:t>
            </w:r>
            <w:r>
              <w:t>S</w:t>
            </w:r>
            <w:r>
              <w:rPr>
                <w:rFonts w:hint="eastAsia"/>
              </w:rPr>
              <w:t>管理</w:t>
            </w:r>
            <w:r>
              <w:t>端口</w:t>
            </w:r>
            <w:r>
              <w:rPr>
                <w:rFonts w:hint="eastAsia"/>
              </w:rPr>
              <w:t>，</w:t>
            </w:r>
            <w:r>
              <w:t>默认为</w:t>
            </w:r>
            <w:r>
              <w:rPr>
                <w:rFonts w:hint="eastAsia"/>
              </w:rPr>
              <w:t>443，</w:t>
            </w:r>
            <w:r>
              <w:t>可修改为</w:t>
            </w:r>
            <w:r>
              <w:rPr>
                <w:rFonts w:hint="eastAsia"/>
              </w:rPr>
              <w:t>1024</w:t>
            </w:r>
            <w:r>
              <w:t>-65534</w:t>
            </w:r>
            <w:r>
              <w:rPr>
                <w:rFonts w:hint="eastAsia"/>
              </w:rPr>
              <w:t>之间未</w:t>
            </w:r>
            <w:r>
              <w:t>被系统使用的端口</w:t>
            </w:r>
          </w:p>
        </w:tc>
      </w:tr>
      <w:tr w14:paraId="078747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743E4DC7">
            <w:pPr>
              <w:pStyle w:val="150"/>
            </w:pPr>
            <w:r>
              <w:rPr>
                <w:rFonts w:hint="eastAsia"/>
              </w:rPr>
              <w:t>HTTP</w:t>
            </w:r>
            <w:r>
              <w:t>端口</w:t>
            </w:r>
          </w:p>
        </w:tc>
        <w:tc>
          <w:tcPr>
            <w:tcW w:w="6670" w:type="dxa"/>
            <w:shd w:val="clear" w:color="auto" w:fill="auto"/>
          </w:tcPr>
          <w:p w14:paraId="153AB039">
            <w:pPr>
              <w:pStyle w:val="150"/>
            </w:pPr>
            <w:r>
              <w:rPr>
                <w:rFonts w:hint="eastAsia"/>
              </w:rPr>
              <w:t>设备HTTP管理</w:t>
            </w:r>
            <w:r>
              <w:t>端口</w:t>
            </w:r>
            <w:r>
              <w:rPr>
                <w:rFonts w:hint="eastAsia"/>
              </w:rPr>
              <w:t>，</w:t>
            </w:r>
            <w:r>
              <w:t>默认为</w:t>
            </w:r>
            <w:r>
              <w:rPr>
                <w:rFonts w:hint="eastAsia"/>
              </w:rPr>
              <w:t>80，</w:t>
            </w:r>
            <w:r>
              <w:t>可修改为</w:t>
            </w:r>
            <w:r>
              <w:rPr>
                <w:rFonts w:hint="eastAsia"/>
              </w:rPr>
              <w:t>1024</w:t>
            </w:r>
            <w:r>
              <w:t>-65534</w:t>
            </w:r>
            <w:r>
              <w:rPr>
                <w:rFonts w:hint="eastAsia"/>
              </w:rPr>
              <w:t>之间未</w:t>
            </w:r>
            <w:r>
              <w:t>被系统使用的端口</w:t>
            </w:r>
          </w:p>
        </w:tc>
      </w:tr>
      <w:tr w14:paraId="4B2EA05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6BE06641">
            <w:pPr>
              <w:pStyle w:val="150"/>
            </w:pPr>
            <w:r>
              <w:rPr>
                <w:rFonts w:hint="eastAsia"/>
              </w:rPr>
              <w:t>TELNET</w:t>
            </w:r>
            <w:r>
              <w:t>端口</w:t>
            </w:r>
          </w:p>
        </w:tc>
        <w:tc>
          <w:tcPr>
            <w:tcW w:w="6670" w:type="dxa"/>
            <w:shd w:val="clear" w:color="auto" w:fill="auto"/>
          </w:tcPr>
          <w:p w14:paraId="1ABFCD2B">
            <w:pPr>
              <w:pStyle w:val="150"/>
            </w:pPr>
            <w:r>
              <w:rPr>
                <w:rFonts w:hint="eastAsia"/>
              </w:rPr>
              <w:t>设备</w:t>
            </w:r>
            <w:r>
              <w:t>TELNET</w:t>
            </w:r>
            <w:r>
              <w:rPr>
                <w:rFonts w:hint="eastAsia"/>
              </w:rPr>
              <w:t>管理</w:t>
            </w:r>
            <w:r>
              <w:t>端口</w:t>
            </w:r>
            <w:r>
              <w:rPr>
                <w:rFonts w:hint="eastAsia"/>
              </w:rPr>
              <w:t>，</w:t>
            </w:r>
            <w:r>
              <w:t>默认为23</w:t>
            </w:r>
            <w:r>
              <w:rPr>
                <w:rFonts w:hint="eastAsia"/>
              </w:rPr>
              <w:t>，</w:t>
            </w:r>
            <w:r>
              <w:t>可修改为</w:t>
            </w:r>
            <w:r>
              <w:rPr>
                <w:rFonts w:hint="eastAsia"/>
              </w:rPr>
              <w:t>1024</w:t>
            </w:r>
            <w:r>
              <w:t>-65534</w:t>
            </w:r>
            <w:r>
              <w:rPr>
                <w:rFonts w:hint="eastAsia"/>
              </w:rPr>
              <w:t>之间未</w:t>
            </w:r>
            <w:r>
              <w:t>被系统使用的端口</w:t>
            </w:r>
          </w:p>
        </w:tc>
      </w:tr>
      <w:tr w14:paraId="1726402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56CA32DF">
            <w:pPr>
              <w:pStyle w:val="150"/>
            </w:pPr>
            <w:r>
              <w:rPr>
                <w:rFonts w:hint="eastAsia"/>
              </w:rPr>
              <w:t>SSH</w:t>
            </w:r>
            <w:r>
              <w:t>端口</w:t>
            </w:r>
          </w:p>
        </w:tc>
        <w:tc>
          <w:tcPr>
            <w:tcW w:w="6670" w:type="dxa"/>
            <w:shd w:val="clear" w:color="auto" w:fill="auto"/>
          </w:tcPr>
          <w:p w14:paraId="260E8C39">
            <w:pPr>
              <w:pStyle w:val="150"/>
            </w:pPr>
            <w:r>
              <w:rPr>
                <w:rFonts w:hint="eastAsia"/>
              </w:rPr>
              <w:t>设备</w:t>
            </w:r>
            <w:r>
              <w:t>SSH</w:t>
            </w:r>
            <w:r>
              <w:rPr>
                <w:rFonts w:hint="eastAsia"/>
              </w:rPr>
              <w:t>管理</w:t>
            </w:r>
            <w:r>
              <w:t>端口</w:t>
            </w:r>
            <w:r>
              <w:rPr>
                <w:rFonts w:hint="eastAsia"/>
              </w:rPr>
              <w:t>，</w:t>
            </w:r>
            <w:r>
              <w:t>默认为22</w:t>
            </w:r>
            <w:r>
              <w:rPr>
                <w:rFonts w:hint="eastAsia"/>
              </w:rPr>
              <w:t>，</w:t>
            </w:r>
            <w:r>
              <w:t>可修改为</w:t>
            </w:r>
            <w:r>
              <w:rPr>
                <w:rFonts w:hint="eastAsia"/>
              </w:rPr>
              <w:t>1024</w:t>
            </w:r>
            <w:r>
              <w:t>-65534</w:t>
            </w:r>
            <w:r>
              <w:rPr>
                <w:rFonts w:hint="eastAsia"/>
              </w:rPr>
              <w:t>之间未</w:t>
            </w:r>
            <w:r>
              <w:t>被系统使用的端口</w:t>
            </w:r>
          </w:p>
        </w:tc>
      </w:tr>
      <w:tr w14:paraId="5F404D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3178AD2E">
            <w:pPr>
              <w:pStyle w:val="150"/>
            </w:pPr>
            <w:r>
              <w:rPr>
                <w:rFonts w:hint="eastAsia"/>
              </w:rPr>
              <w:t>RESTful API</w:t>
            </w:r>
          </w:p>
        </w:tc>
        <w:tc>
          <w:tcPr>
            <w:tcW w:w="6670" w:type="dxa"/>
            <w:shd w:val="clear" w:color="auto" w:fill="auto"/>
          </w:tcPr>
          <w:p w14:paraId="7D988557">
            <w:pPr>
              <w:pStyle w:val="150"/>
            </w:pPr>
            <w:r>
              <w:rPr>
                <w:rFonts w:hint="eastAsia"/>
              </w:rPr>
              <w:t>默认处于开启状态。开启后，设备的Restful API接口才允许被访问。关闭后，设备的RESTful API接口不允许被访问。</w:t>
            </w:r>
          </w:p>
        </w:tc>
      </w:tr>
      <w:tr w14:paraId="229BBF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40E3203A">
            <w:pPr>
              <w:pStyle w:val="150"/>
            </w:pPr>
            <w:r>
              <w:rPr>
                <w:rFonts w:hint="eastAsia"/>
              </w:rPr>
              <w:t>RESTful API信任地址</w:t>
            </w:r>
          </w:p>
        </w:tc>
        <w:tc>
          <w:tcPr>
            <w:tcW w:w="6670" w:type="dxa"/>
            <w:shd w:val="clear" w:color="auto" w:fill="auto"/>
          </w:tcPr>
          <w:p w14:paraId="645817F3">
            <w:pPr>
              <w:pStyle w:val="150"/>
            </w:pPr>
            <w:r>
              <w:rPr>
                <w:rFonts w:hint="eastAsia"/>
              </w:rPr>
              <w:t>和“RESTful API”开关配合使用，在“RESTful API”开关开启的情况下，选择已存在的地址对象或新建地址对象后再选择。被选中的地址对象所对应的客户端可以访问设备的RESTful API 接口。支持配置单个IP和网段作为请求来源。</w:t>
            </w:r>
          </w:p>
        </w:tc>
      </w:tr>
      <w:tr w14:paraId="223E3D9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4BFC9C7A">
            <w:pPr>
              <w:pStyle w:val="150"/>
            </w:pPr>
            <w:r>
              <w:rPr>
                <w:rFonts w:hint="eastAsia"/>
              </w:rPr>
              <w:t>密码周期</w:t>
            </w:r>
          </w:p>
        </w:tc>
        <w:tc>
          <w:tcPr>
            <w:tcW w:w="6670" w:type="dxa"/>
            <w:shd w:val="clear" w:color="auto" w:fill="auto"/>
          </w:tcPr>
          <w:p w14:paraId="350BD6DA">
            <w:pPr>
              <w:pStyle w:val="150"/>
            </w:pPr>
            <w:r>
              <w:rPr>
                <w:rFonts w:hint="eastAsia"/>
              </w:rPr>
              <w:t>启用复选框后及开启密码周期功能，在密码周期范围1~180天。但时间到期后，会提示修改密码。</w:t>
            </w:r>
          </w:p>
        </w:tc>
      </w:tr>
    </w:tbl>
    <w:p w14:paraId="48CCAB62"/>
    <w:p w14:paraId="6ED7A1EB">
      <w:pPr>
        <w:pStyle w:val="6"/>
      </w:pPr>
      <w:bookmarkStart w:id="11120" w:name="_Toc12469926"/>
      <w:bookmarkStart w:id="11121" w:name="_Toc15485338"/>
      <w:bookmarkStart w:id="11122" w:name="_Toc23153095"/>
      <w:bookmarkStart w:id="11123" w:name="_Toc40276516"/>
      <w:r>
        <w:rPr>
          <w:rFonts w:hint="eastAsia"/>
        </w:rPr>
        <w:t>管理员外部认证</w:t>
      </w:r>
      <w:bookmarkEnd w:id="11120"/>
      <w:bookmarkEnd w:id="11121"/>
      <w:bookmarkEnd w:id="11122"/>
      <w:bookmarkEnd w:id="11123"/>
    </w:p>
    <w:p w14:paraId="616BB3F9">
      <w:r>
        <w:rPr>
          <w:rFonts w:hint="eastAsia"/>
        </w:rPr>
        <w:t>目前系统管理员支持认证方式：radius服务器认证方式、LDAP服务器认证方式，这两种认证方式都需要在设备上建立管理员账户，对于本地用户名密码校验是合理的，但是对于其他两种外部认证方式，本地保存用户名对于认证过程没有作用，不仅会增加维护复杂性，还会导致账户外泄，增加安全隐患。</w:t>
      </w:r>
    </w:p>
    <w:p w14:paraId="7BE43E2E">
      <w:r>
        <w:rPr>
          <w:rFonts w:hint="eastAsia"/>
        </w:rPr>
        <w:t>为了更好的提高设备可维护性，在RADIUS服务器校验方式、LDAP服务器校验方式中，不再需要配置用户名。</w:t>
      </w:r>
    </w:p>
    <w:p w14:paraId="7E326C09">
      <w:r>
        <w:rPr>
          <w:rFonts w:hint="eastAsia"/>
        </w:rPr>
        <w:t>本功能具有如下功能点：</w:t>
      </w:r>
    </w:p>
    <w:p w14:paraId="6F6782E3">
      <w:pPr>
        <w:pStyle w:val="162"/>
      </w:pPr>
      <w:r>
        <w:rPr>
          <w:rFonts w:hint="eastAsia"/>
        </w:rPr>
        <w:t>全局设定支持管理员认证方式切换：本地认证、外部服务器认证；</w:t>
      </w:r>
    </w:p>
    <w:p w14:paraId="711534C6">
      <w:pPr>
        <w:pStyle w:val="162"/>
      </w:pPr>
      <w:r>
        <w:rPr>
          <w:rFonts w:hint="eastAsia"/>
        </w:rPr>
        <w:t>在保留现有本地认证方式的基础上增加支持外部服务器认证。</w:t>
      </w:r>
    </w:p>
    <w:p w14:paraId="559688F0">
      <w:pPr>
        <w:pStyle w:val="162"/>
      </w:pPr>
      <w:bookmarkStart w:id="11124" w:name="_Toc5038578"/>
      <w:r>
        <w:rPr>
          <w:rFonts w:hint="eastAsia"/>
        </w:rPr>
        <w:t>配置管理员外部认证</w:t>
      </w:r>
      <w:bookmarkEnd w:id="11124"/>
    </w:p>
    <w:p w14:paraId="0B104684">
      <w:r>
        <w:rPr>
          <w:rFonts w:hint="eastAsia"/>
        </w:rPr>
        <w:t>通过菜单“系统管理</w:t>
      </w:r>
      <w:r>
        <w:t xml:space="preserve"> &gt;</w:t>
      </w:r>
      <w:r>
        <w:rPr>
          <w:rFonts w:hint="eastAsia"/>
        </w:rPr>
        <w:t xml:space="preserve"> 系统设定</w:t>
      </w:r>
      <w:r>
        <w:t xml:space="preserve"> &gt; </w:t>
      </w:r>
      <w:r>
        <w:rPr>
          <w:rFonts w:hint="eastAsia"/>
        </w:rPr>
        <w:t>管理设定”，进入如</w:t>
      </w:r>
      <w:r>
        <w:rPr>
          <w:color w:val="0000FF"/>
          <w:u w:val="single"/>
        </w:rPr>
        <w:fldChar w:fldCharType="begin"/>
      </w:r>
      <w:r>
        <w:instrText xml:space="preserve"> </w:instrText>
      </w:r>
      <w:r>
        <w:rPr>
          <w:rFonts w:hint="eastAsia"/>
        </w:rPr>
        <w:instrText xml:space="preserve">REF _Ref5812903 \r \h</w:instrText>
      </w:r>
      <w:r>
        <w:instrText xml:space="preserve"> </w:instrText>
      </w:r>
      <w:r>
        <w:rPr>
          <w:color w:val="0000FF"/>
          <w:u w:val="single"/>
        </w:rPr>
        <w:fldChar w:fldCharType="separate"/>
      </w:r>
      <w:r>
        <w:rPr>
          <w:rFonts w:hint="eastAsia"/>
        </w:rPr>
        <w:t>图33-26</w:t>
      </w:r>
      <w:r>
        <w:rPr>
          <w:color w:val="0000FF"/>
          <w:u w:val="single"/>
        </w:rPr>
        <w:fldChar w:fldCharType="end"/>
      </w:r>
      <w:r>
        <w:rPr>
          <w:rFonts w:hint="eastAsia"/>
        </w:rPr>
        <w:t>所示页面。在该页面上可以配置管理员外部认证的相关功能。</w:t>
      </w:r>
    </w:p>
    <w:p w14:paraId="0A6DFBF1">
      <w:pPr>
        <w:pStyle w:val="188"/>
      </w:pPr>
      <w:bookmarkStart w:id="11125" w:name="_Ref5812903"/>
      <w:bookmarkStart w:id="11126" w:name="_Toc141875265"/>
      <w:r>
        <w:rPr>
          <w:rFonts w:hint="eastAsia"/>
        </w:rPr>
        <w:t>管理员外部认证配置页面</w:t>
      </w:r>
      <w:bookmarkEnd w:id="11125"/>
      <w:bookmarkEnd w:id="11126"/>
    </w:p>
    <w:p w14:paraId="3866F2B1">
      <w:pPr>
        <w:spacing w:before="78" w:after="78"/>
      </w:pPr>
      <w:r>
        <w:drawing>
          <wp:inline distT="0" distB="0" distL="0" distR="0">
            <wp:extent cx="4095750" cy="4749165"/>
            <wp:effectExtent l="0" t="0" r="0" b="0"/>
            <wp:docPr id="3248" name="图片 3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8" name="图片 3248"/>
                    <pic:cNvPicPr>
                      <a:picLocks noChangeAspect="1"/>
                    </pic:cNvPicPr>
                  </pic:nvPicPr>
                  <pic:blipFill>
                    <a:blip r:embed="rId1222"/>
                    <a:srcRect r="-4" b="9360"/>
                    <a:stretch>
                      <a:fillRect/>
                    </a:stretch>
                  </pic:blipFill>
                  <pic:spPr>
                    <a:xfrm>
                      <a:off x="0" y="0"/>
                      <a:ext cx="4100720" cy="4755456"/>
                    </a:xfrm>
                    <a:prstGeom prst="rect">
                      <a:avLst/>
                    </a:prstGeom>
                    <a:ln>
                      <a:noFill/>
                    </a:ln>
                  </pic:spPr>
                </pic:pic>
              </a:graphicData>
            </a:graphic>
          </wp:inline>
        </w:drawing>
      </w:r>
    </w:p>
    <w:p w14:paraId="6079353C"/>
    <w:p w14:paraId="24FC1CD5">
      <w:pPr>
        <w:pStyle w:val="183"/>
      </w:pPr>
      <w:bookmarkStart w:id="11127" w:name="_Toc141875770"/>
      <w:r>
        <w:rPr>
          <w:rFonts w:hint="eastAsia"/>
        </w:rPr>
        <w:t>管理员认证方式配置项含义表</w:t>
      </w:r>
      <w:bookmarkEnd w:id="11127"/>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660"/>
        <w:gridCol w:w="6354"/>
      </w:tblGrid>
      <w:tr w14:paraId="2D639A3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660" w:type="dxa"/>
            <w:tcBorders>
              <w:tl2br w:val="nil"/>
              <w:tr2bl w:val="nil"/>
            </w:tcBorders>
            <w:shd w:val="clear" w:color="auto" w:fill="538135" w:themeFill="accent6" w:themeFillShade="BF"/>
            <w:vAlign w:val="center"/>
          </w:tcPr>
          <w:p w14:paraId="76EAEFA4">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354" w:type="dxa"/>
            <w:tcBorders>
              <w:tl2br w:val="nil"/>
              <w:tr2bl w:val="nil"/>
            </w:tcBorders>
            <w:shd w:val="clear" w:color="auto" w:fill="538135" w:themeFill="accent6" w:themeFillShade="BF"/>
            <w:vAlign w:val="center"/>
          </w:tcPr>
          <w:p w14:paraId="2DF865BC">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FC352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660" w:type="dxa"/>
            <w:shd w:val="clear" w:color="auto" w:fill="auto"/>
          </w:tcPr>
          <w:p w14:paraId="611FFD4E">
            <w:pPr>
              <w:pStyle w:val="150"/>
            </w:pPr>
            <w:r>
              <w:rPr>
                <w:rFonts w:hint="eastAsia"/>
              </w:rPr>
              <w:t>管理员认证方式</w:t>
            </w:r>
          </w:p>
        </w:tc>
        <w:tc>
          <w:tcPr>
            <w:tcW w:w="6354" w:type="dxa"/>
            <w:shd w:val="clear" w:color="auto" w:fill="auto"/>
          </w:tcPr>
          <w:p w14:paraId="2345848F">
            <w:pPr>
              <w:pStyle w:val="150"/>
            </w:pPr>
            <w:r>
              <w:rPr>
                <w:rFonts w:hint="eastAsia"/>
              </w:rPr>
              <w:t>选择管理员认证方式（本地认证或外部认证）。</w:t>
            </w:r>
          </w:p>
          <w:p w14:paraId="3CFB3904">
            <w:pPr>
              <w:pStyle w:val="150"/>
            </w:pPr>
            <w:r>
              <w:rPr>
                <w:rFonts w:hint="eastAsia"/>
              </w:rPr>
              <w:t>本地认证：使用设备本地管理员账号密码登录设备；</w:t>
            </w:r>
          </w:p>
          <w:p w14:paraId="0CC72AD8">
            <w:pPr>
              <w:pStyle w:val="150"/>
            </w:pPr>
            <w:r>
              <w:rPr>
                <w:rFonts w:hint="eastAsia"/>
              </w:rPr>
              <w:t>外部认证：选择外部服务器进行外部认证。</w:t>
            </w:r>
          </w:p>
        </w:tc>
      </w:tr>
      <w:tr w14:paraId="485EFB7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660" w:type="dxa"/>
            <w:shd w:val="clear" w:color="auto" w:fill="auto"/>
          </w:tcPr>
          <w:p w14:paraId="13419F0C">
            <w:pPr>
              <w:pStyle w:val="150"/>
            </w:pPr>
            <w:r>
              <w:rPr>
                <w:rFonts w:hint="eastAsia"/>
              </w:rPr>
              <w:t>认证服务器</w:t>
            </w:r>
          </w:p>
        </w:tc>
        <w:tc>
          <w:tcPr>
            <w:tcW w:w="6354" w:type="dxa"/>
            <w:shd w:val="clear" w:color="auto" w:fill="auto"/>
          </w:tcPr>
          <w:p w14:paraId="577F43F5">
            <w:pPr>
              <w:pStyle w:val="150"/>
            </w:pPr>
            <w:r>
              <w:rPr>
                <w:rFonts w:hint="eastAsia"/>
              </w:rPr>
              <w:t>选择管理员外部登录时使用哪种认证服务器（Radius或Ldap）</w:t>
            </w:r>
            <w:r>
              <w:t>。</w:t>
            </w:r>
          </w:p>
        </w:tc>
      </w:tr>
      <w:tr w14:paraId="7C4A98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660" w:type="dxa"/>
            <w:shd w:val="clear" w:color="auto" w:fill="auto"/>
          </w:tcPr>
          <w:p w14:paraId="7EE23941">
            <w:pPr>
              <w:pStyle w:val="150"/>
            </w:pPr>
            <w:r>
              <w:rPr>
                <w:rFonts w:hint="eastAsia"/>
              </w:rPr>
              <w:t>Rdius/Lap</w:t>
            </w:r>
          </w:p>
        </w:tc>
        <w:tc>
          <w:tcPr>
            <w:tcW w:w="6354" w:type="dxa"/>
            <w:shd w:val="clear" w:color="auto" w:fill="auto"/>
          </w:tcPr>
          <w:p w14:paraId="47BB6CD2">
            <w:pPr>
              <w:pStyle w:val="150"/>
            </w:pPr>
            <w:r>
              <w:rPr>
                <w:rFonts w:hint="eastAsia"/>
              </w:rPr>
              <w:t>选择认证服务器对象</w:t>
            </w:r>
            <w:r>
              <w:t>。</w:t>
            </w:r>
          </w:p>
        </w:tc>
      </w:tr>
      <w:tr w14:paraId="673DE4C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660" w:type="dxa"/>
            <w:shd w:val="clear" w:color="auto" w:fill="auto"/>
          </w:tcPr>
          <w:p w14:paraId="54B6C897">
            <w:pPr>
              <w:pStyle w:val="150"/>
            </w:pPr>
            <w:r>
              <w:rPr>
                <w:rFonts w:hint="eastAsia"/>
              </w:rPr>
              <w:t>服务器异常开启本地认证</w:t>
            </w:r>
          </w:p>
        </w:tc>
        <w:tc>
          <w:tcPr>
            <w:tcW w:w="6354" w:type="dxa"/>
            <w:shd w:val="clear" w:color="auto" w:fill="auto"/>
          </w:tcPr>
          <w:p w14:paraId="033A1B81">
            <w:pPr>
              <w:pStyle w:val="150"/>
            </w:pPr>
            <w:r>
              <w:rPr>
                <w:rFonts w:hint="eastAsia"/>
              </w:rPr>
              <w:t>选择外部认证时可以选择服务器异常是否开启本地认证，默认为开启状态</w:t>
            </w:r>
            <w:r>
              <w:t>。</w:t>
            </w:r>
          </w:p>
        </w:tc>
      </w:tr>
    </w:tbl>
    <w:p w14:paraId="4C7D7F21"/>
    <w:p w14:paraId="0582FC9E">
      <w:pPr>
        <w:pStyle w:val="5"/>
      </w:pPr>
      <w:bookmarkStart w:id="11128" w:name="_Toc40276517"/>
      <w:bookmarkStart w:id="11129" w:name="_Toc15485339"/>
      <w:bookmarkStart w:id="11130" w:name="_Toc141873842"/>
      <w:bookmarkStart w:id="11131" w:name="_Toc194081234"/>
      <w:bookmarkStart w:id="11132" w:name="_Toc12469927"/>
      <w:bookmarkStart w:id="11133" w:name="_Toc196728562"/>
      <w:bookmarkStart w:id="11134" w:name="_Toc142401359"/>
      <w:bookmarkStart w:id="11135" w:name="_Toc99562031"/>
      <w:bookmarkStart w:id="11136" w:name="_Toc172218649"/>
      <w:bookmarkStart w:id="11137" w:name="_Toc23153096"/>
      <w:r>
        <w:rPr>
          <w:rFonts w:hint="eastAsia"/>
        </w:rPr>
        <w:t>三权分立</w:t>
      </w:r>
      <w:bookmarkEnd w:id="11128"/>
      <w:bookmarkEnd w:id="11129"/>
      <w:bookmarkEnd w:id="11130"/>
      <w:bookmarkEnd w:id="11131"/>
      <w:bookmarkEnd w:id="11132"/>
      <w:bookmarkEnd w:id="11133"/>
      <w:bookmarkEnd w:id="11134"/>
      <w:bookmarkEnd w:id="11135"/>
      <w:bookmarkEnd w:id="11136"/>
      <w:bookmarkEnd w:id="11137"/>
    </w:p>
    <w:p w14:paraId="0D21F4E5">
      <w:pPr>
        <w:pStyle w:val="6"/>
      </w:pPr>
      <w:bookmarkStart w:id="11138" w:name="_Toc529430966"/>
      <w:r>
        <w:rPr>
          <w:rFonts w:hint="eastAsia"/>
        </w:rPr>
        <w:t>三权分立</w:t>
      </w:r>
      <w:bookmarkEnd w:id="11138"/>
      <w:r>
        <w:rPr>
          <w:rFonts w:hint="eastAsia"/>
        </w:rPr>
        <w:t>概述</w:t>
      </w:r>
    </w:p>
    <w:p w14:paraId="6ABCB135">
      <w:r>
        <w:rPr>
          <w:rFonts w:hint="eastAsia"/>
        </w:rPr>
        <w:t>设备支持普通模式和三权模式，三权分模式是指设备上使用三个互相制约、互相监控的管理员账号。</w:t>
      </w:r>
    </w:p>
    <w:p w14:paraId="63E72B0C">
      <w:r>
        <w:rPr>
          <w:rFonts w:hint="eastAsia"/>
        </w:rPr>
        <w:t>启用该三权功能后，系统会删除所有切换前的管理员及角色，并自动生成三个账号：account、authority和audit，默认密码均为</w:t>
      </w:r>
      <w:r>
        <w:t>admin</w:t>
      </w:r>
      <w:r>
        <w:rPr>
          <w:rFonts w:hint="eastAsia"/>
        </w:rPr>
        <w:t>。三权模式下的账号权限如下：</w:t>
      </w:r>
    </w:p>
    <w:p w14:paraId="366B61AC">
      <w:pPr>
        <w:pStyle w:val="162"/>
      </w:pPr>
      <w:r>
        <w:rPr>
          <w:rFonts w:hint="eastAsia"/>
        </w:rPr>
        <w:t>account：创建及删除系统管理员账号，查看account账号的操作日志，修改自身的用户名和密码。</w:t>
      </w:r>
    </w:p>
    <w:p w14:paraId="508ED60E">
      <w:pPr>
        <w:pStyle w:val="162"/>
      </w:pPr>
      <w:r>
        <w:rPr>
          <w:rFonts w:hint="eastAsia"/>
        </w:rPr>
        <w:t>authority：对新建的管理员账号进行角色授权，查看authority账号的操作日志，修改新建管理员账号或自身账号的用户名和密码。</w:t>
      </w:r>
    </w:p>
    <w:p w14:paraId="12B6B75F">
      <w:pPr>
        <w:pStyle w:val="162"/>
      </w:pPr>
      <w:r>
        <w:rPr>
          <w:rFonts w:hint="eastAsia"/>
        </w:rPr>
        <w:t>audit：对管理员账号权限进行审计，查看所有账号的操作日志，修改自身的用户名和密码。</w:t>
      </w:r>
    </w:p>
    <w:p w14:paraId="06A57AA7">
      <w:pPr>
        <w:pStyle w:val="6"/>
      </w:pPr>
      <w:r>
        <w:rPr>
          <w:rFonts w:hint="eastAsia"/>
        </w:rPr>
        <w:t>模式切换</w:t>
      </w:r>
    </w:p>
    <w:p w14:paraId="155F028E">
      <w:r>
        <w:rPr>
          <w:rFonts w:hint="eastAsia"/>
        </w:rPr>
        <w:t>通过菜单“系统管理&gt;系统设定</w:t>
      </w:r>
      <w:r>
        <w:t>&gt;</w:t>
      </w:r>
      <w:r>
        <w:rPr>
          <w:rFonts w:hint="eastAsia"/>
        </w:rPr>
        <w:t>管理设定</w:t>
      </w:r>
      <w:r>
        <w:t>&gt;</w:t>
      </w:r>
      <w:r>
        <w:rPr>
          <w:rFonts w:hint="eastAsia"/>
        </w:rPr>
        <w:t>模式切换”，进入模式切换页面，进行普通模式到三权模式的切换，如</w:t>
      </w:r>
      <w:r>
        <w:fldChar w:fldCharType="begin"/>
      </w:r>
      <w:r>
        <w:instrText xml:space="preserve"> </w:instrText>
      </w:r>
      <w:r>
        <w:rPr>
          <w:rFonts w:hint="eastAsia"/>
        </w:rPr>
        <w:instrText xml:space="preserve">REF _Ref5810110 \r \h</w:instrText>
      </w:r>
      <w:r>
        <w:instrText xml:space="preserve"> </w:instrText>
      </w:r>
      <w:r>
        <w:fldChar w:fldCharType="separate"/>
      </w:r>
      <w:r>
        <w:rPr>
          <w:rFonts w:hint="eastAsia"/>
        </w:rPr>
        <w:t>图33-27</w:t>
      </w:r>
      <w:r>
        <w:fldChar w:fldCharType="end"/>
      </w:r>
      <w:r>
        <w:t>所示</w:t>
      </w:r>
      <w:r>
        <w:rPr>
          <w:rFonts w:hint="eastAsia"/>
        </w:rPr>
        <w:t>。该动作不可逆，提交后，当前配置页面将退出登录状态。</w:t>
      </w:r>
    </w:p>
    <w:p w14:paraId="78F1C9AA">
      <w:pPr>
        <w:pStyle w:val="188"/>
      </w:pPr>
      <w:bookmarkStart w:id="11139" w:name="_Ref5810110"/>
      <w:bookmarkStart w:id="11140" w:name="_Toc141875266"/>
      <w:r>
        <w:rPr>
          <w:rFonts w:hint="eastAsia"/>
        </w:rPr>
        <w:t>模式切换配置页面</w:t>
      </w:r>
      <w:bookmarkEnd w:id="11139"/>
      <w:bookmarkEnd w:id="11140"/>
    </w:p>
    <w:p w14:paraId="6ED274EB">
      <w:pPr>
        <w:spacing w:before="78" w:after="78"/>
      </w:pPr>
      <w:r>
        <w:drawing>
          <wp:inline distT="0" distB="0" distL="0" distR="0">
            <wp:extent cx="3371850" cy="1699260"/>
            <wp:effectExtent l="0" t="0" r="0" b="0"/>
            <wp:docPr id="3249" name="图片 3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9" name="图片 3249"/>
                    <pic:cNvPicPr>
                      <a:picLocks noChangeAspect="1"/>
                    </pic:cNvPicPr>
                  </pic:nvPicPr>
                  <pic:blipFill>
                    <a:blip r:embed="rId1223"/>
                    <a:stretch>
                      <a:fillRect/>
                    </a:stretch>
                  </pic:blipFill>
                  <pic:spPr>
                    <a:xfrm>
                      <a:off x="0" y="0"/>
                      <a:ext cx="3383690" cy="1705600"/>
                    </a:xfrm>
                    <a:prstGeom prst="rect">
                      <a:avLst/>
                    </a:prstGeom>
                  </pic:spPr>
                </pic:pic>
              </a:graphicData>
            </a:graphic>
          </wp:inline>
        </w:drawing>
      </w:r>
    </w:p>
    <w:p w14:paraId="1ADC4672"/>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71F48D74">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27E8006F">
            <w:pPr>
              <w:pStyle w:val="150"/>
              <w:adjustRightInd w:val="0"/>
              <w:snapToGrid w:val="0"/>
              <w:rPr>
                <w:color w:val="auto"/>
              </w:rPr>
            </w:pPr>
            <w:r>
              <w:rPr>
                <w:b/>
                <w:color w:val="auto"/>
              </w:rPr>
              <w:drawing>
                <wp:inline distT="0" distB="0" distL="0" distR="0">
                  <wp:extent cx="283210" cy="283210"/>
                  <wp:effectExtent l="0" t="0" r="2540" b="2540"/>
                  <wp:docPr id="950" name="图片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图片 950"/>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2860A658">
            <w:pPr>
              <w:pStyle w:val="207"/>
              <w:adjustRightInd w:val="0"/>
              <w:snapToGrid w:val="0"/>
              <w:rPr>
                <w:color w:val="auto"/>
                <w:lang w:eastAsia="zh-CN"/>
              </w:rPr>
            </w:pPr>
            <w:r>
              <w:rPr>
                <w:rFonts w:hint="eastAsia"/>
                <w:color w:val="auto"/>
                <w:lang w:eastAsia="zh-CN"/>
              </w:rPr>
              <w:t>切换到三权模式后，当前账户将会退出Web管理平台，且无法在Web管理平台切换至普通模式，需通过设备CLI界面切换至普通模式，请谨慎操作。</w:t>
            </w:r>
          </w:p>
          <w:p w14:paraId="0A65798B">
            <w:pPr>
              <w:pStyle w:val="207"/>
              <w:adjustRightInd w:val="0"/>
              <w:snapToGrid w:val="0"/>
              <w:rPr>
                <w:color w:val="auto"/>
                <w:lang w:eastAsia="zh-CN"/>
              </w:rPr>
            </w:pPr>
            <w:r>
              <w:rPr>
                <w:rFonts w:hint="eastAsia"/>
                <w:color w:val="auto"/>
                <w:lang w:eastAsia="zh-CN"/>
              </w:rPr>
              <w:t>普通模式切换到三权模式，或三权模式切换到普通模式，系统会删除所有切换前的管理员及角色，切换后创建内置角色和管理员账号，所有密码都会恢复到设备初始密码；切换模式前创建的控制策略和审计策略在切换模式后创建者都会置空。</w:t>
            </w:r>
          </w:p>
        </w:tc>
      </w:tr>
    </w:tbl>
    <w:p w14:paraId="711248DA"/>
    <w:p w14:paraId="6581D3D8">
      <w:pPr>
        <w:pStyle w:val="202"/>
      </w:pPr>
      <w:r>
        <w:rPr>
          <w:rFonts w:hint="eastAsia"/>
        </w:rPr>
        <w:t>account登录</w:t>
      </w:r>
    </w:p>
    <w:p w14:paraId="40A90107">
      <w:r>
        <w:rPr>
          <w:rFonts w:hint="eastAsia"/>
        </w:rPr>
        <w:t>a</w:t>
      </w:r>
      <w:r>
        <w:t>ccount</w:t>
      </w:r>
      <w:r>
        <w:rPr>
          <w:rFonts w:hint="eastAsia"/>
        </w:rPr>
        <w:t>（账号管理员）登录后，进入“系统管理&gt;系统设定&gt;管理员”页面，点击&lt;新建&gt;可以创建新的系统管理员账号，或在操作列下点击</w:t>
      </w:r>
      <w:r>
        <w:drawing>
          <wp:inline distT="0" distB="0" distL="0" distR="0">
            <wp:extent cx="123825" cy="123825"/>
            <wp:effectExtent l="0" t="0" r="9525" b="9525"/>
            <wp:docPr id="379" name="图片 379" descr="http://10.20.80.42/webui/css/images/assets/img/icon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79" descr="http://10.20.80.42/webui/css/images/assets/img/iconEdit.pn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a:xfrm>
                      <a:off x="0" y="0"/>
                      <a:ext cx="123825" cy="123825"/>
                    </a:xfrm>
                    <a:prstGeom prst="rect">
                      <a:avLst/>
                    </a:prstGeom>
                    <a:noFill/>
                    <a:ln>
                      <a:noFill/>
                    </a:ln>
                  </pic:spPr>
                </pic:pic>
              </a:graphicData>
            </a:graphic>
          </wp:inline>
        </w:drawing>
      </w:r>
      <w:r>
        <w:rPr>
          <w:rFonts w:hint="eastAsia"/>
        </w:rPr>
        <w:t>图标修改已有的系统管理员账号，如</w:t>
      </w:r>
      <w:r>
        <w:t>下图所示</w:t>
      </w:r>
      <w:r>
        <w:rPr>
          <w:rFonts w:hint="eastAsia"/>
        </w:rPr>
        <w:t>。</w:t>
      </w:r>
    </w:p>
    <w:p w14:paraId="2E99312D">
      <w:pPr>
        <w:pStyle w:val="188"/>
      </w:pPr>
      <w:bookmarkStart w:id="11141" w:name="_Toc141875267"/>
      <w:r>
        <w:rPr>
          <w:rFonts w:hint="eastAsia"/>
        </w:rPr>
        <w:t>管理员页面-</w:t>
      </w:r>
      <w:r>
        <w:t xml:space="preserve"> account账号</w:t>
      </w:r>
      <w:bookmarkEnd w:id="11141"/>
    </w:p>
    <w:p w14:paraId="460057B3">
      <w:pPr>
        <w:spacing w:before="78" w:after="78"/>
      </w:pPr>
      <w:r>
        <w:drawing>
          <wp:inline distT="0" distB="0" distL="0" distR="0">
            <wp:extent cx="5391150" cy="1045210"/>
            <wp:effectExtent l="0" t="0" r="0" b="2540"/>
            <wp:docPr id="2078346861" name="图片 2078346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346861" name="图片 2078346861"/>
                    <pic:cNvPicPr>
                      <a:picLocks noChangeAspect="1"/>
                    </pic:cNvPicPr>
                  </pic:nvPicPr>
                  <pic:blipFill>
                    <a:blip r:embed="rId1224"/>
                    <a:stretch>
                      <a:fillRect/>
                    </a:stretch>
                  </pic:blipFill>
                  <pic:spPr>
                    <a:xfrm>
                      <a:off x="0" y="0"/>
                      <a:ext cx="5648104" cy="1095166"/>
                    </a:xfrm>
                    <a:prstGeom prst="rect">
                      <a:avLst/>
                    </a:prstGeom>
                  </pic:spPr>
                </pic:pic>
              </a:graphicData>
            </a:graphic>
          </wp:inline>
        </w:drawing>
      </w:r>
    </w:p>
    <w:p w14:paraId="16314B64"/>
    <w:p w14:paraId="7C25FB3D">
      <w:r>
        <w:rPr>
          <w:rFonts w:hint="eastAsia"/>
        </w:rPr>
        <w:t>新建管理员账号的角色不可编辑，默认为“default”。</w:t>
      </w:r>
    </w:p>
    <w:p w14:paraId="5824510A">
      <w:pPr>
        <w:pStyle w:val="188"/>
      </w:pPr>
      <w:bookmarkStart w:id="11142" w:name="_Toc141875268"/>
      <w:r>
        <w:rPr>
          <w:rFonts w:hint="eastAsia"/>
        </w:rPr>
        <w:t>新建管理员页面</w:t>
      </w:r>
      <w:bookmarkEnd w:id="11142"/>
    </w:p>
    <w:p w14:paraId="0445CC78">
      <w:pPr>
        <w:spacing w:before="78" w:after="78"/>
      </w:pPr>
      <w:r>
        <w:drawing>
          <wp:inline distT="0" distB="0" distL="0" distR="0">
            <wp:extent cx="5143500" cy="4077970"/>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1225"/>
                    <a:stretch>
                      <a:fillRect/>
                    </a:stretch>
                  </pic:blipFill>
                  <pic:spPr>
                    <a:xfrm>
                      <a:off x="0" y="0"/>
                      <a:ext cx="5149481" cy="4083151"/>
                    </a:xfrm>
                    <a:prstGeom prst="rect">
                      <a:avLst/>
                    </a:prstGeom>
                  </pic:spPr>
                </pic:pic>
              </a:graphicData>
            </a:graphic>
          </wp:inline>
        </w:drawing>
      </w:r>
    </w:p>
    <w:p w14:paraId="04C1D749"/>
    <w:p w14:paraId="1B6CCE22">
      <w:pPr>
        <w:pStyle w:val="202"/>
      </w:pPr>
      <w:r>
        <w:rPr>
          <w:rFonts w:hint="eastAsia"/>
        </w:rPr>
        <w:t>a</w:t>
      </w:r>
      <w:r>
        <w:t>uthority</w:t>
      </w:r>
      <w:r>
        <w:rPr>
          <w:rFonts w:hint="eastAsia"/>
        </w:rPr>
        <w:t>登录</w:t>
      </w:r>
    </w:p>
    <w:p w14:paraId="382CB42F">
      <w:r>
        <w:t>authority</w:t>
      </w:r>
      <w:r>
        <w:rPr>
          <w:rFonts w:hint="eastAsia"/>
        </w:rPr>
        <w:t>（权限管理员）登录后，进入“系统管理</w:t>
      </w:r>
      <w:r>
        <w:t>&gt;</w:t>
      </w:r>
      <w:r>
        <w:rPr>
          <w:rFonts w:hint="eastAsia"/>
        </w:rPr>
        <w:t>系统设定</w:t>
      </w:r>
      <w:r>
        <w:t>&gt;</w:t>
      </w:r>
      <w:r>
        <w:rPr>
          <w:rFonts w:hint="eastAsia"/>
        </w:rPr>
        <w:t>管理员</w:t>
      </w:r>
      <w:r>
        <w:t>&gt;</w:t>
      </w:r>
      <w:r>
        <w:rPr>
          <w:rFonts w:hint="eastAsia"/>
        </w:rPr>
        <w:t>角色管理”页面，可以查看系统的角色并对角色进行授权，如</w:t>
      </w:r>
      <w:r>
        <w:fldChar w:fldCharType="begin"/>
      </w:r>
      <w:r>
        <w:instrText xml:space="preserve"> </w:instrText>
      </w:r>
      <w:r>
        <w:rPr>
          <w:rFonts w:hint="eastAsia"/>
        </w:rPr>
        <w:instrText xml:space="preserve">REF _Ref19709646 \r</w:instrText>
      </w:r>
      <w:r>
        <w:instrText xml:space="preserve"> </w:instrText>
      </w:r>
      <w:r>
        <w:fldChar w:fldCharType="separate"/>
      </w:r>
      <w:r>
        <w:rPr>
          <w:rFonts w:hint="eastAsia"/>
        </w:rPr>
        <w:t>图33-30</w:t>
      </w:r>
      <w:r>
        <w:fldChar w:fldCharType="end"/>
      </w:r>
      <w:r>
        <w:rPr>
          <w:rFonts w:hint="eastAsia"/>
        </w:rPr>
        <w:t>。角色管理的配置请参考</w:t>
      </w:r>
      <w:r>
        <w:fldChar w:fldCharType="begin"/>
      </w:r>
      <w:r>
        <w:instrText xml:space="preserve"> </w:instrText>
      </w:r>
      <w:r>
        <w:rPr>
          <w:rFonts w:hint="eastAsia"/>
        </w:rPr>
        <w:instrText xml:space="preserve">REF _Ref97837727 \h</w:instrText>
      </w:r>
      <w:r>
        <w:instrText xml:space="preserve">  \* MERGEFORMAT </w:instrText>
      </w:r>
      <w:r>
        <w:fldChar w:fldCharType="separate"/>
      </w:r>
      <w:r>
        <w:rPr>
          <w:rFonts w:hint="eastAsia"/>
        </w:rPr>
        <w:t>角色</w:t>
      </w:r>
      <w:r>
        <w:t>管理</w:t>
      </w:r>
      <w:r>
        <w:fldChar w:fldCharType="end"/>
      </w:r>
      <w:r>
        <w:rPr>
          <w:rFonts w:hint="eastAsia"/>
        </w:rPr>
        <w:t>。</w:t>
      </w:r>
    </w:p>
    <w:p w14:paraId="26095401">
      <w:pPr>
        <w:pStyle w:val="188"/>
      </w:pPr>
      <w:bookmarkStart w:id="11143" w:name="_Ref19709646"/>
      <w:bookmarkStart w:id="11144" w:name="_Toc141875269"/>
      <w:r>
        <w:rPr>
          <w:rFonts w:hint="eastAsia"/>
        </w:rPr>
        <w:t>角色管理员配置页面</w:t>
      </w:r>
      <w:bookmarkEnd w:id="11143"/>
      <w:bookmarkEnd w:id="11144"/>
    </w:p>
    <w:p w14:paraId="4EE8778A">
      <w:pPr>
        <w:spacing w:before="78" w:after="78"/>
      </w:pPr>
      <w:r>
        <w:drawing>
          <wp:inline distT="0" distB="0" distL="0" distR="0">
            <wp:extent cx="5586730" cy="2397125"/>
            <wp:effectExtent l="0" t="0" r="0" b="3175"/>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pic:cNvPicPr>
                      <a:picLocks noChangeAspect="1"/>
                    </pic:cNvPicPr>
                  </pic:nvPicPr>
                  <pic:blipFill>
                    <a:blip r:embed="rId1226"/>
                    <a:stretch>
                      <a:fillRect/>
                    </a:stretch>
                  </pic:blipFill>
                  <pic:spPr>
                    <a:xfrm>
                      <a:off x="0" y="0"/>
                      <a:ext cx="5594733" cy="2400894"/>
                    </a:xfrm>
                    <a:prstGeom prst="rect">
                      <a:avLst/>
                    </a:prstGeom>
                  </pic:spPr>
                </pic:pic>
              </a:graphicData>
            </a:graphic>
          </wp:inline>
        </w:drawing>
      </w:r>
    </w:p>
    <w:p w14:paraId="473EC66B">
      <w:r>
        <w:rPr>
          <w:rFonts w:hint="eastAsia"/>
        </w:rPr>
        <w:t>对于尚未分配权限的系统管理员，在操作列下点击</w:t>
      </w:r>
      <w:r>
        <w:drawing>
          <wp:inline distT="0" distB="0" distL="0" distR="0">
            <wp:extent cx="189865" cy="161290"/>
            <wp:effectExtent l="0" t="0" r="635" b="0"/>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pic:cNvPicPr>
                      <a:picLocks noChangeAspect="1"/>
                    </pic:cNvPicPr>
                  </pic:nvPicPr>
                  <pic:blipFill>
                    <a:blip r:embed="rId1227"/>
                    <a:stretch>
                      <a:fillRect/>
                    </a:stretch>
                  </pic:blipFill>
                  <pic:spPr>
                    <a:xfrm>
                      <a:off x="0" y="0"/>
                      <a:ext cx="190476" cy="161905"/>
                    </a:xfrm>
                    <a:prstGeom prst="rect">
                      <a:avLst/>
                    </a:prstGeom>
                  </pic:spPr>
                </pic:pic>
              </a:graphicData>
            </a:graphic>
          </wp:inline>
        </w:drawing>
      </w:r>
      <w:r>
        <w:rPr>
          <w:rFonts w:hint="eastAsia"/>
        </w:rPr>
        <w:t>图标分配角色，如下图所示。</w:t>
      </w:r>
    </w:p>
    <w:p w14:paraId="4E4ED62E">
      <w:pPr>
        <w:pStyle w:val="188"/>
      </w:pPr>
      <w:bookmarkStart w:id="11145" w:name="_Toc141875270"/>
      <w:r>
        <w:t>分配管理员角色页面</w:t>
      </w:r>
      <w:bookmarkEnd w:id="11145"/>
    </w:p>
    <w:p w14:paraId="417B7E59">
      <w:pPr>
        <w:spacing w:before="78" w:after="78"/>
      </w:pPr>
      <w:r>
        <w:drawing>
          <wp:inline distT="0" distB="0" distL="0" distR="0">
            <wp:extent cx="5248275" cy="3609340"/>
            <wp:effectExtent l="0" t="0" r="0" b="0"/>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509"/>
                    <pic:cNvPicPr>
                      <a:picLocks noChangeAspect="1"/>
                    </pic:cNvPicPr>
                  </pic:nvPicPr>
                  <pic:blipFill>
                    <a:blip r:embed="rId1228"/>
                    <a:stretch>
                      <a:fillRect/>
                    </a:stretch>
                  </pic:blipFill>
                  <pic:spPr>
                    <a:xfrm>
                      <a:off x="0" y="0"/>
                      <a:ext cx="5250395" cy="3610838"/>
                    </a:xfrm>
                    <a:prstGeom prst="rect">
                      <a:avLst/>
                    </a:prstGeom>
                  </pic:spPr>
                </pic:pic>
              </a:graphicData>
            </a:graphic>
          </wp:inline>
        </w:drawing>
      </w:r>
    </w:p>
    <w:p w14:paraId="39AAFBCB">
      <w:r>
        <w:t>如果对</w:t>
      </w:r>
      <w:r>
        <w:rPr>
          <w:rFonts w:hint="eastAsia"/>
        </w:rPr>
        <w:t>新建的管理员分配了管理员配置权限，如</w:t>
      </w:r>
      <w:r>
        <w:fldChar w:fldCharType="begin"/>
      </w:r>
      <w:r>
        <w:instrText xml:space="preserve"> </w:instrText>
      </w:r>
      <w:r>
        <w:rPr>
          <w:rFonts w:hint="eastAsia"/>
        </w:rPr>
        <w:instrText xml:space="preserve">REF _Ref96100964 \r \h</w:instrText>
      </w:r>
      <w:r>
        <w:instrText xml:space="preserve"> </w:instrText>
      </w:r>
      <w:r>
        <w:fldChar w:fldCharType="separate"/>
      </w:r>
      <w:r>
        <w:rPr>
          <w:rFonts w:hint="eastAsia"/>
        </w:rPr>
        <w:t>图33-32</w:t>
      </w:r>
      <w:r>
        <w:fldChar w:fldCharType="end"/>
      </w:r>
      <w:r>
        <w:rPr>
          <w:rFonts w:hint="eastAsia"/>
        </w:rPr>
        <w:t>所示。使用新建的管理员账号登录设备之后可以创建新的管理员账号。</w:t>
      </w:r>
    </w:p>
    <w:p w14:paraId="6F8A5DF4">
      <w:pPr>
        <w:pStyle w:val="188"/>
      </w:pPr>
      <w:bookmarkStart w:id="11146" w:name="_Toc141875271"/>
      <w:bookmarkStart w:id="11147" w:name="_Ref96100964"/>
      <w:r>
        <w:rPr>
          <w:rFonts w:hint="eastAsia"/>
        </w:rPr>
        <w:t>分配管理员配置权限</w:t>
      </w:r>
      <w:bookmarkEnd w:id="11146"/>
      <w:bookmarkEnd w:id="11147"/>
    </w:p>
    <w:p w14:paraId="2A435739">
      <w:pPr>
        <w:spacing w:before="78" w:after="78"/>
      </w:pPr>
      <w:r>
        <w:drawing>
          <wp:inline distT="0" distB="0" distL="0" distR="0">
            <wp:extent cx="5061585" cy="3113405"/>
            <wp:effectExtent l="0" t="0" r="5715" b="0"/>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pic:cNvPicPr>
                      <a:picLocks noChangeAspect="1"/>
                    </pic:cNvPicPr>
                  </pic:nvPicPr>
                  <pic:blipFill>
                    <a:blip r:embed="rId1229"/>
                    <a:stretch>
                      <a:fillRect/>
                    </a:stretch>
                  </pic:blipFill>
                  <pic:spPr>
                    <a:xfrm>
                      <a:off x="0" y="0"/>
                      <a:ext cx="5073750" cy="3121214"/>
                    </a:xfrm>
                    <a:prstGeom prst="rect">
                      <a:avLst/>
                    </a:prstGeom>
                  </pic:spPr>
                </pic:pic>
              </a:graphicData>
            </a:graphic>
          </wp:inline>
        </w:drawing>
      </w:r>
    </w:p>
    <w:p w14:paraId="7475E9AA">
      <w:pPr>
        <w:pStyle w:val="202"/>
      </w:pPr>
      <w:r>
        <w:rPr>
          <w:rFonts w:hint="eastAsia"/>
        </w:rPr>
        <w:t>a</w:t>
      </w:r>
      <w:r>
        <w:t>udit登录</w:t>
      </w:r>
    </w:p>
    <w:p w14:paraId="6A92154B">
      <w:r>
        <w:rPr>
          <w:rFonts w:hint="eastAsia"/>
        </w:rPr>
        <w:t>a</w:t>
      </w:r>
      <w:r>
        <w:t>udit</w:t>
      </w:r>
      <w:r>
        <w:rPr>
          <w:rFonts w:hint="eastAsia"/>
        </w:rPr>
        <w:t>（审核员）登录后，进入“系统管理&gt;系统设定&gt;管理员&gt;角色管理”页面，可以查看所有系统管理员的权限状态，也可修改新建管理员的角色权限；或在“数据中心&gt;日志中心&gt;操作日志”页面查看所有账号的操作日志，如</w:t>
      </w:r>
      <w:r>
        <w:fldChar w:fldCharType="begin"/>
      </w:r>
      <w:r>
        <w:instrText xml:space="preserve"> </w:instrText>
      </w:r>
      <w:r>
        <w:rPr>
          <w:rFonts w:hint="eastAsia"/>
        </w:rPr>
        <w:instrText xml:space="preserve">REF _Ref19709828 \r</w:instrText>
      </w:r>
      <w:r>
        <w:instrText xml:space="preserve"> </w:instrText>
      </w:r>
      <w:r>
        <w:fldChar w:fldCharType="separate"/>
      </w:r>
      <w:r>
        <w:rPr>
          <w:rFonts w:hint="eastAsia"/>
        </w:rPr>
        <w:t>图33-33</w:t>
      </w:r>
      <w:r>
        <w:fldChar w:fldCharType="end"/>
      </w:r>
      <w:r>
        <w:rPr>
          <w:rFonts w:hint="eastAsia"/>
        </w:rPr>
        <w:t>、</w:t>
      </w:r>
      <w:r>
        <w:fldChar w:fldCharType="begin"/>
      </w:r>
      <w:r>
        <w:instrText xml:space="preserve"> </w:instrText>
      </w:r>
      <w:r>
        <w:rPr>
          <w:rFonts w:hint="eastAsia"/>
        </w:rPr>
        <w:instrText xml:space="preserve">REF _Ref19709919 \r</w:instrText>
      </w:r>
      <w:r>
        <w:instrText xml:space="preserve"> </w:instrText>
      </w:r>
      <w:r>
        <w:fldChar w:fldCharType="separate"/>
      </w:r>
      <w:r>
        <w:rPr>
          <w:rFonts w:hint="eastAsia"/>
        </w:rPr>
        <w:t>图33-34</w:t>
      </w:r>
      <w:r>
        <w:fldChar w:fldCharType="end"/>
      </w:r>
      <w:r>
        <w:t>所示</w:t>
      </w:r>
      <w:r>
        <w:rPr>
          <w:rFonts w:hint="eastAsia"/>
        </w:rPr>
        <w:t>。同时，该账号可编辑自身账号的管理员名称及密码。</w:t>
      </w:r>
    </w:p>
    <w:p w14:paraId="0147C5E0">
      <w:pPr>
        <w:pStyle w:val="188"/>
      </w:pPr>
      <w:bookmarkStart w:id="11148" w:name="_Toc141875272"/>
      <w:bookmarkStart w:id="11149" w:name="_Ref19709828"/>
      <w:r>
        <w:rPr>
          <w:rFonts w:hint="eastAsia"/>
        </w:rPr>
        <w:t>审核员查看管理员角色权限页面</w:t>
      </w:r>
      <w:bookmarkEnd w:id="11148"/>
      <w:bookmarkEnd w:id="11149"/>
    </w:p>
    <w:p w14:paraId="397EDDDE">
      <w:pPr>
        <w:spacing w:before="78" w:after="78"/>
      </w:pPr>
      <w:r>
        <w:drawing>
          <wp:inline distT="0" distB="0" distL="0" distR="0">
            <wp:extent cx="5615305" cy="1937385"/>
            <wp:effectExtent l="0" t="0" r="4445" b="5715"/>
            <wp:docPr id="37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7"/>
                    <pic:cNvPicPr>
                      <a:picLocks noChangeAspect="1"/>
                    </pic:cNvPicPr>
                  </pic:nvPicPr>
                  <pic:blipFill>
                    <a:blip r:embed="rId1230"/>
                    <a:stretch>
                      <a:fillRect/>
                    </a:stretch>
                  </pic:blipFill>
                  <pic:spPr>
                    <a:xfrm>
                      <a:off x="0" y="0"/>
                      <a:ext cx="5627299" cy="1941938"/>
                    </a:xfrm>
                    <a:prstGeom prst="rect">
                      <a:avLst/>
                    </a:prstGeom>
                  </pic:spPr>
                </pic:pic>
              </a:graphicData>
            </a:graphic>
          </wp:inline>
        </w:drawing>
      </w:r>
    </w:p>
    <w:p w14:paraId="53127008"/>
    <w:p w14:paraId="0560B4CF">
      <w:pPr>
        <w:pStyle w:val="188"/>
      </w:pPr>
      <w:bookmarkStart w:id="11150" w:name="_Toc141875273"/>
      <w:bookmarkStart w:id="11151" w:name="_Ref19709919"/>
      <w:r>
        <w:rPr>
          <w:rFonts w:hint="eastAsia"/>
        </w:rPr>
        <w:t>审核员操作日志查看页面</w:t>
      </w:r>
      <w:bookmarkEnd w:id="11150"/>
      <w:bookmarkEnd w:id="11151"/>
    </w:p>
    <w:p w14:paraId="6A050AC4">
      <w:pPr>
        <w:pStyle w:val="175"/>
      </w:pPr>
      <w:r>
        <w:drawing>
          <wp:inline distT="0" distB="0" distL="0" distR="0">
            <wp:extent cx="5314950" cy="1398905"/>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1231"/>
                    <a:stretch>
                      <a:fillRect/>
                    </a:stretch>
                  </pic:blipFill>
                  <pic:spPr>
                    <a:xfrm>
                      <a:off x="0" y="0"/>
                      <a:ext cx="5396800" cy="1421005"/>
                    </a:xfrm>
                    <a:prstGeom prst="rect">
                      <a:avLst/>
                    </a:prstGeom>
                  </pic:spPr>
                </pic:pic>
              </a:graphicData>
            </a:graphic>
          </wp:inline>
        </w:drawing>
      </w:r>
    </w:p>
    <w:p w14:paraId="5E7AE96D"/>
    <w:p w14:paraId="2C59EDD7">
      <w:pPr>
        <w:pStyle w:val="5"/>
      </w:pPr>
      <w:bookmarkStart w:id="11152" w:name="_Toc15485352"/>
      <w:bookmarkStart w:id="11153" w:name="_Toc194081235"/>
      <w:bookmarkStart w:id="11154" w:name="_Toc99562032"/>
      <w:bookmarkStart w:id="11155" w:name="_Toc142401360"/>
      <w:bookmarkStart w:id="11156" w:name="_Toc196728563"/>
      <w:bookmarkStart w:id="11157" w:name="_Toc40276529"/>
      <w:bookmarkStart w:id="11158" w:name="_Toc6237506"/>
      <w:bookmarkStart w:id="11159" w:name="_Toc141873843"/>
      <w:bookmarkStart w:id="11160" w:name="_Toc23153108"/>
      <w:bookmarkStart w:id="11161" w:name="_Toc172218650"/>
      <w:bookmarkStart w:id="11162" w:name="_Toc12469928"/>
      <w:bookmarkStart w:id="11163" w:name="_Toc15485340"/>
      <w:bookmarkStart w:id="11164" w:name="_Toc40276518"/>
      <w:bookmarkStart w:id="11165" w:name="_Toc389059437"/>
      <w:bookmarkStart w:id="11166" w:name="_Toc23153097"/>
      <w:bookmarkStart w:id="11167" w:name="_Toc369620405"/>
      <w:bookmarkStart w:id="11168" w:name="_Toc389750132"/>
      <w:bookmarkStart w:id="11169" w:name="_Toc325575869"/>
      <w:r>
        <w:rPr>
          <w:rFonts w:hint="eastAsia"/>
        </w:rPr>
        <w:t>管理端口漂移</w:t>
      </w:r>
      <w:bookmarkEnd w:id="11152"/>
      <w:bookmarkEnd w:id="11153"/>
      <w:bookmarkEnd w:id="11154"/>
      <w:bookmarkEnd w:id="11155"/>
      <w:bookmarkEnd w:id="11156"/>
      <w:bookmarkEnd w:id="11157"/>
      <w:bookmarkEnd w:id="11158"/>
      <w:bookmarkEnd w:id="11159"/>
      <w:bookmarkEnd w:id="11160"/>
      <w:bookmarkEnd w:id="11161"/>
    </w:p>
    <w:p w14:paraId="11061285">
      <w:pPr>
        <w:pStyle w:val="6"/>
      </w:pPr>
      <w:bookmarkStart w:id="11170" w:name="_Toc6237507"/>
      <w:bookmarkStart w:id="11171" w:name="_Toc15485353"/>
      <w:bookmarkStart w:id="11172" w:name="_Toc23153109"/>
      <w:bookmarkStart w:id="11173" w:name="_Toc40276530"/>
      <w:r>
        <w:rPr>
          <w:rFonts w:hint="eastAsia"/>
        </w:rPr>
        <w:t>管理端口漂移介绍</w:t>
      </w:r>
      <w:bookmarkEnd w:id="11170"/>
      <w:bookmarkEnd w:id="11171"/>
      <w:bookmarkEnd w:id="11172"/>
      <w:bookmarkEnd w:id="11173"/>
    </w:p>
    <w:p w14:paraId="310141BF">
      <w:r>
        <w:rPr>
          <w:rFonts w:hint="eastAsia"/>
        </w:rPr>
        <w:t>管理端口漂移的作用在于能够即时方便的修改http，</w:t>
      </w:r>
      <w:r>
        <w:t>https</w:t>
      </w:r>
      <w:r>
        <w:rPr>
          <w:rFonts w:hint="eastAsia"/>
        </w:rPr>
        <w:t>，</w:t>
      </w:r>
      <w:r>
        <w:t>ssh</w:t>
      </w:r>
      <w:r>
        <w:rPr>
          <w:rFonts w:hint="eastAsia"/>
        </w:rPr>
        <w:t>，</w:t>
      </w:r>
      <w:r>
        <w:t>telne</w:t>
      </w:r>
      <w:r>
        <w:rPr>
          <w:rFonts w:hint="eastAsia"/>
        </w:rPr>
        <w:t>t四种协议的通讯端口。更换相应的协议端口号后，原有的链接将会断开。</w:t>
      </w:r>
    </w:p>
    <w:p w14:paraId="18441687">
      <w:pPr>
        <w:pStyle w:val="6"/>
      </w:pPr>
      <w:bookmarkStart w:id="11174" w:name="_Toc6237508"/>
      <w:bookmarkStart w:id="11175" w:name="_Toc40276531"/>
      <w:bookmarkStart w:id="11176" w:name="_Toc15485354"/>
      <w:bookmarkStart w:id="11177" w:name="_Toc23153110"/>
      <w:r>
        <w:rPr>
          <w:rFonts w:hint="eastAsia"/>
        </w:rPr>
        <w:t>管理端口漂移的配置</w:t>
      </w:r>
      <w:bookmarkEnd w:id="11174"/>
      <w:bookmarkEnd w:id="11175"/>
      <w:bookmarkEnd w:id="11176"/>
      <w:bookmarkEnd w:id="11177"/>
    </w:p>
    <w:p w14:paraId="0721003B">
      <w:r>
        <w:rPr>
          <w:rFonts w:hint="eastAsia"/>
        </w:rPr>
        <w:t>通过菜单“系统管理&gt;系统设定&gt;管理设定”，进入如</w:t>
      </w:r>
      <w:r>
        <w:rPr>
          <w:color w:val="0000FF"/>
          <w:u w:val="single"/>
        </w:rPr>
        <w:fldChar w:fldCharType="begin"/>
      </w:r>
      <w:r>
        <w:rPr>
          <w:color w:val="0000FF"/>
          <w:u w:val="single"/>
        </w:rPr>
        <w:instrText xml:space="preserve"> </w:instrText>
      </w:r>
      <w:r>
        <w:rPr>
          <w:rFonts w:hint="eastAsia"/>
          <w:color w:val="0000FF"/>
          <w:u w:val="single"/>
        </w:rPr>
        <w:instrText xml:space="preserve">REF _Ref511048245 \r \h</w:instrText>
      </w:r>
      <w:r>
        <w:rPr>
          <w:color w:val="0000FF"/>
          <w:u w:val="single"/>
        </w:rPr>
        <w:instrText xml:space="preserve"> </w:instrText>
      </w:r>
      <w:r>
        <w:rPr>
          <w:color w:val="0000FF"/>
          <w:u w:val="single"/>
        </w:rPr>
        <w:fldChar w:fldCharType="separate"/>
      </w:r>
      <w:r>
        <w:rPr>
          <w:rFonts w:hint="eastAsia"/>
          <w:color w:val="0000FF"/>
          <w:u w:val="single"/>
        </w:rPr>
        <w:t>图33-35</w:t>
      </w:r>
      <w:r>
        <w:rPr>
          <w:color w:val="0000FF"/>
          <w:u w:val="single"/>
        </w:rPr>
        <w:fldChar w:fldCharType="end"/>
      </w:r>
      <w:r>
        <w:rPr>
          <w:rFonts w:hint="eastAsia"/>
        </w:rPr>
        <w:t>所示的页面。在该页面上，可以</w:t>
      </w:r>
      <w:bookmarkStart w:id="11178" w:name="OLE_LINK35"/>
      <w:r>
        <w:rPr>
          <w:rFonts w:hint="eastAsia"/>
        </w:rPr>
        <w:t>修改http、</w:t>
      </w:r>
      <w:r>
        <w:t>https</w:t>
      </w:r>
      <w:r>
        <w:rPr>
          <w:rFonts w:hint="eastAsia"/>
        </w:rPr>
        <w:t>、</w:t>
      </w:r>
      <w:r>
        <w:t>ssh</w:t>
      </w:r>
      <w:r>
        <w:rPr>
          <w:rFonts w:hint="eastAsia"/>
        </w:rPr>
        <w:t>、</w:t>
      </w:r>
      <w:r>
        <w:t>telne</w:t>
      </w:r>
      <w:r>
        <w:rPr>
          <w:rFonts w:hint="eastAsia"/>
        </w:rPr>
        <w:t>t四种协议的通讯端口</w:t>
      </w:r>
      <w:bookmarkEnd w:id="11178"/>
      <w:r>
        <w:rPr>
          <w:rFonts w:hint="eastAsia"/>
        </w:rPr>
        <w:t>，管理设定的其他配置项含义详见“系统管理”章节中管理设定模块。</w:t>
      </w:r>
    </w:p>
    <w:p w14:paraId="181279FA">
      <w:pPr>
        <w:pStyle w:val="188"/>
      </w:pPr>
      <w:bookmarkStart w:id="11179" w:name="_Ref511048245"/>
      <w:bookmarkStart w:id="11180" w:name="_Toc141875274"/>
      <w:r>
        <w:rPr>
          <w:rFonts w:hint="eastAsia"/>
        </w:rPr>
        <w:t>修改http，</w:t>
      </w:r>
      <w:r>
        <w:t>https</w:t>
      </w:r>
      <w:r>
        <w:rPr>
          <w:rFonts w:hint="eastAsia"/>
        </w:rPr>
        <w:t>，</w:t>
      </w:r>
      <w:r>
        <w:t>ssh</w:t>
      </w:r>
      <w:r>
        <w:rPr>
          <w:rFonts w:hint="eastAsia"/>
        </w:rPr>
        <w:t>，</w:t>
      </w:r>
      <w:r>
        <w:t>telne</w:t>
      </w:r>
      <w:r>
        <w:rPr>
          <w:rFonts w:hint="eastAsia"/>
        </w:rPr>
        <w:t>t四种协议的通讯端口</w:t>
      </w:r>
      <w:bookmarkEnd w:id="11179"/>
      <w:bookmarkEnd w:id="11180"/>
    </w:p>
    <w:p w14:paraId="17DE3B8C">
      <w:r>
        <w:drawing>
          <wp:inline distT="0" distB="0" distL="0" distR="0">
            <wp:extent cx="5556885" cy="4886325"/>
            <wp:effectExtent l="0" t="0" r="5715" b="0"/>
            <wp:docPr id="3284" name="图片 3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4" name="图片 3284"/>
                    <pic:cNvPicPr>
                      <a:picLocks noChangeAspect="1"/>
                    </pic:cNvPicPr>
                  </pic:nvPicPr>
                  <pic:blipFill>
                    <a:blip r:embed="rId1232"/>
                    <a:stretch>
                      <a:fillRect/>
                    </a:stretch>
                  </pic:blipFill>
                  <pic:spPr>
                    <a:xfrm>
                      <a:off x="0" y="0"/>
                      <a:ext cx="5572782" cy="4899816"/>
                    </a:xfrm>
                    <a:prstGeom prst="rect">
                      <a:avLst/>
                    </a:prstGeom>
                  </pic:spPr>
                </pic:pic>
              </a:graphicData>
            </a:graphic>
          </wp:inline>
        </w:drawing>
      </w:r>
    </w:p>
    <w:p w14:paraId="439F2787"/>
    <w:p w14:paraId="4BBC2C53">
      <w:pPr>
        <w:pStyle w:val="183"/>
      </w:pPr>
      <w:bookmarkStart w:id="11181" w:name="_Toc141875771"/>
      <w:r>
        <w:rPr>
          <w:rFonts w:hint="eastAsia"/>
        </w:rPr>
        <w:t>http，</w:t>
      </w:r>
      <w:r>
        <w:t>https</w:t>
      </w:r>
      <w:r>
        <w:rPr>
          <w:rFonts w:hint="eastAsia"/>
        </w:rPr>
        <w:t>，</w:t>
      </w:r>
      <w:r>
        <w:t>ssh</w:t>
      </w:r>
      <w:r>
        <w:rPr>
          <w:rFonts w:hint="eastAsia"/>
        </w:rPr>
        <w:t>，</w:t>
      </w:r>
      <w:r>
        <w:t>telne</w:t>
      </w:r>
      <w:r>
        <w:rPr>
          <w:rFonts w:hint="eastAsia"/>
        </w:rPr>
        <w:t>t四种协议的通讯端口配置项含义</w:t>
      </w:r>
      <w:bookmarkEnd w:id="11181"/>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910"/>
        <w:gridCol w:w="6104"/>
      </w:tblGrid>
      <w:tr w14:paraId="453B46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tcBorders>
              <w:tl2br w:val="nil"/>
              <w:tr2bl w:val="nil"/>
            </w:tcBorders>
            <w:shd w:val="clear" w:color="auto" w:fill="538135" w:themeFill="accent6" w:themeFillShade="BF"/>
            <w:vAlign w:val="center"/>
          </w:tcPr>
          <w:p w14:paraId="0CFD5488">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117" w:type="dxa"/>
            <w:tcBorders>
              <w:tl2br w:val="nil"/>
              <w:tr2bl w:val="nil"/>
            </w:tcBorders>
            <w:shd w:val="clear" w:color="auto" w:fill="538135" w:themeFill="accent6" w:themeFillShade="BF"/>
            <w:vAlign w:val="center"/>
          </w:tcPr>
          <w:p w14:paraId="6DA099DB">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FA566E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0DFCD0FA">
            <w:pPr>
              <w:pStyle w:val="150"/>
            </w:pPr>
            <w:r>
              <w:rPr>
                <w:rFonts w:hint="eastAsia"/>
              </w:rPr>
              <w:t>HTTPS端口</w:t>
            </w:r>
          </w:p>
        </w:tc>
        <w:tc>
          <w:tcPr>
            <w:tcW w:w="6117" w:type="dxa"/>
            <w:shd w:val="clear" w:color="auto" w:fill="auto"/>
          </w:tcPr>
          <w:p w14:paraId="36E9BA86">
            <w:pPr>
              <w:pStyle w:val="150"/>
            </w:pPr>
            <w:r>
              <w:rPr>
                <w:rFonts w:hint="eastAsia"/>
              </w:rPr>
              <w:t>HTTPS</w:t>
            </w:r>
            <w:bookmarkStart w:id="11182" w:name="OLE_LINK31"/>
            <w:r>
              <w:rPr>
                <w:rFonts w:hint="eastAsia"/>
              </w:rPr>
              <w:t>管理</w:t>
            </w:r>
            <w:bookmarkEnd w:id="11182"/>
            <w:r>
              <w:rPr>
                <w:rFonts w:hint="eastAsia"/>
              </w:rPr>
              <w:t>端口，默认443端口</w:t>
            </w:r>
          </w:p>
        </w:tc>
      </w:tr>
      <w:tr w14:paraId="227C80D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47692C38">
            <w:pPr>
              <w:pStyle w:val="150"/>
            </w:pPr>
            <w:r>
              <w:rPr>
                <w:rFonts w:hint="eastAsia"/>
              </w:rPr>
              <w:t>HTTP端口</w:t>
            </w:r>
          </w:p>
        </w:tc>
        <w:tc>
          <w:tcPr>
            <w:tcW w:w="6117" w:type="dxa"/>
            <w:shd w:val="clear" w:color="auto" w:fill="auto"/>
          </w:tcPr>
          <w:p w14:paraId="28D22FB2">
            <w:pPr>
              <w:pStyle w:val="150"/>
            </w:pPr>
            <w:r>
              <w:rPr>
                <w:rFonts w:hint="eastAsia"/>
              </w:rPr>
              <w:t>HTTP管理端口，默认80端口</w:t>
            </w:r>
          </w:p>
        </w:tc>
      </w:tr>
      <w:tr w14:paraId="2EC8F0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1D680616">
            <w:pPr>
              <w:pStyle w:val="150"/>
            </w:pPr>
            <w:r>
              <w:rPr>
                <w:rFonts w:hint="eastAsia"/>
              </w:rPr>
              <w:t>TELNET端口</w:t>
            </w:r>
          </w:p>
        </w:tc>
        <w:tc>
          <w:tcPr>
            <w:tcW w:w="6117" w:type="dxa"/>
            <w:shd w:val="clear" w:color="auto" w:fill="auto"/>
          </w:tcPr>
          <w:p w14:paraId="3ABE3A22">
            <w:pPr>
              <w:pStyle w:val="150"/>
            </w:pPr>
            <w:r>
              <w:rPr>
                <w:rFonts w:hint="eastAsia"/>
              </w:rPr>
              <w:t>TELNET管理端口，默认23端口</w:t>
            </w:r>
          </w:p>
        </w:tc>
      </w:tr>
      <w:tr w14:paraId="2510E3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915" w:type="dxa"/>
            <w:shd w:val="clear" w:color="auto" w:fill="auto"/>
          </w:tcPr>
          <w:p w14:paraId="6DBBBF9D">
            <w:pPr>
              <w:pStyle w:val="150"/>
            </w:pPr>
            <w:bookmarkStart w:id="11183" w:name="OLE_LINK27"/>
            <w:r>
              <w:t>SSH</w:t>
            </w:r>
            <w:r>
              <w:rPr>
                <w:rFonts w:hint="eastAsia"/>
              </w:rPr>
              <w:t>端口</w:t>
            </w:r>
            <w:bookmarkEnd w:id="11183"/>
          </w:p>
        </w:tc>
        <w:tc>
          <w:tcPr>
            <w:tcW w:w="6117" w:type="dxa"/>
            <w:shd w:val="clear" w:color="auto" w:fill="auto"/>
          </w:tcPr>
          <w:p w14:paraId="56B2D136">
            <w:pPr>
              <w:pStyle w:val="150"/>
            </w:pPr>
            <w:r>
              <w:t>SSH</w:t>
            </w:r>
            <w:r>
              <w:rPr>
                <w:rFonts w:hint="eastAsia"/>
              </w:rPr>
              <w:t>管理端口，默认22端口</w:t>
            </w:r>
          </w:p>
        </w:tc>
      </w:tr>
    </w:tbl>
    <w:p w14:paraId="13E53829"/>
    <w:p w14:paraId="5BA83CF5">
      <w:pPr>
        <w:pStyle w:val="193"/>
      </w:pPr>
      <w:r>
        <w:rPr>
          <w:lang w:eastAsia="zh-CN"/>
        </w:rPr>
        <w:drawing>
          <wp:inline distT="0" distB="0" distL="0" distR="0">
            <wp:extent cx="590550" cy="238125"/>
            <wp:effectExtent l="19050" t="0" r="0" b="0"/>
            <wp:docPr id="3285" name="图片 34"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5" name="图片 34" descr="说明"/>
                    <pic:cNvPicPr>
                      <a:picLocks noChangeAspect="1" noChangeArrowheads="1"/>
                    </pic:cNvPicPr>
                  </pic:nvPicPr>
                  <pic:blipFill>
                    <a:blip r:embed="rId92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14:paraId="60376875">
      <w:pPr>
        <w:pStyle w:val="194"/>
        <w:spacing w:after="156"/>
        <w:rPr>
          <w:lang w:eastAsia="zh-CN"/>
        </w:rPr>
      </w:pPr>
      <w:r>
        <w:t>http</w:t>
      </w:r>
      <w:r>
        <w:rPr>
          <w:rFonts w:hint="eastAsia"/>
        </w:rPr>
        <w:t>默认端口号是</w:t>
      </w:r>
      <w:r>
        <w:t>80</w:t>
      </w:r>
      <w:r>
        <w:rPr>
          <w:rFonts w:hint="eastAsia"/>
        </w:rPr>
        <w:t>，</w:t>
      </w:r>
      <w:r>
        <w:t>https</w:t>
      </w:r>
      <w:r>
        <w:rPr>
          <w:rFonts w:hint="eastAsia"/>
        </w:rPr>
        <w:t>默认端口号是</w:t>
      </w:r>
      <w:r>
        <w:t>443</w:t>
      </w:r>
      <w:r>
        <w:rPr>
          <w:rFonts w:hint="eastAsia"/>
        </w:rPr>
        <w:t>，</w:t>
      </w:r>
      <w:r>
        <w:t>ssh</w:t>
      </w:r>
      <w:r>
        <w:rPr>
          <w:rFonts w:hint="eastAsia"/>
        </w:rPr>
        <w:t>默认端口号是</w:t>
      </w:r>
      <w:r>
        <w:t>22</w:t>
      </w:r>
      <w:r>
        <w:rPr>
          <w:rFonts w:hint="eastAsia"/>
        </w:rPr>
        <w:t>，</w:t>
      </w:r>
      <w:r>
        <w:t>telnet</w:t>
      </w:r>
      <w:r>
        <w:rPr>
          <w:rFonts w:hint="eastAsia"/>
        </w:rPr>
        <w:t>默认端口号是</w:t>
      </w:r>
      <w:r>
        <w:t>23</w:t>
      </w:r>
      <w:r>
        <w:rPr>
          <w:rFonts w:hint="eastAsia"/>
          <w:lang w:eastAsia="zh-CN"/>
        </w:rPr>
        <w:t>。它们可以配置的端口号是</w:t>
      </w:r>
      <w:r>
        <w:rPr>
          <w:lang w:eastAsia="zh-CN"/>
        </w:rPr>
        <w:t>1024-65535</w:t>
      </w:r>
      <w:r>
        <w:rPr>
          <w:rFonts w:hint="eastAsia"/>
          <w:lang w:eastAsia="zh-CN"/>
        </w:rPr>
        <w:t>之间未被系统其他进程使用的端口号。</w:t>
      </w:r>
    </w:p>
    <w:p w14:paraId="48AF2818"/>
    <w:p w14:paraId="02A20786">
      <w:pPr>
        <w:pStyle w:val="5"/>
      </w:pPr>
      <w:bookmarkStart w:id="11184" w:name="_Toc142401361"/>
      <w:bookmarkStart w:id="11185" w:name="_Toc99562033"/>
      <w:bookmarkStart w:id="11186" w:name="_Toc194081236"/>
      <w:bookmarkStart w:id="11187" w:name="_Toc141873844"/>
      <w:bookmarkStart w:id="11188" w:name="_Toc172218651"/>
      <w:bookmarkStart w:id="11189" w:name="_Toc196728564"/>
      <w:r>
        <w:rPr>
          <w:rFonts w:hint="eastAsia"/>
        </w:rPr>
        <w:t>时间设定</w:t>
      </w:r>
      <w:bookmarkEnd w:id="11162"/>
      <w:bookmarkEnd w:id="11163"/>
      <w:bookmarkEnd w:id="11164"/>
      <w:bookmarkEnd w:id="11165"/>
      <w:bookmarkEnd w:id="11166"/>
      <w:bookmarkEnd w:id="11167"/>
      <w:bookmarkEnd w:id="11168"/>
      <w:bookmarkEnd w:id="11184"/>
      <w:bookmarkEnd w:id="11185"/>
      <w:bookmarkEnd w:id="11186"/>
      <w:bookmarkEnd w:id="11187"/>
      <w:bookmarkEnd w:id="11188"/>
      <w:bookmarkEnd w:id="11189"/>
    </w:p>
    <w:bookmarkEnd w:id="11169"/>
    <w:p w14:paraId="1D075B40">
      <w:r>
        <w:rPr>
          <w:rFonts w:hint="eastAsia"/>
        </w:rPr>
        <w:t>配置系统时间有两种方式，手动配置和通过配置</w:t>
      </w:r>
      <w:r>
        <w:t>NTP</w:t>
      </w:r>
      <w:r>
        <w:rPr>
          <w:rFonts w:hint="eastAsia"/>
        </w:rPr>
        <w:t>同步获得系统时间。</w:t>
      </w:r>
    </w:p>
    <w:p w14:paraId="3E44693D">
      <w:r>
        <w:rPr>
          <w:rFonts w:hint="eastAsia"/>
        </w:rPr>
        <w:t>网络时间协议（NTP）是一种用于在计算机网络中同步系统时间的协议。NTP的目的是让网络内设备都能够使用相同的时间，从而避免由于时钟不同步而导致的各种问题。</w:t>
      </w:r>
    </w:p>
    <w:p w14:paraId="61862279">
      <w:r>
        <w:rPr>
          <w:rFonts w:hint="eastAsia"/>
        </w:rPr>
        <w:t>在一些对安全性要求较高的网络中，使用NTP同步时间时可以开启认证功能。开启认证后，设备需要使用认证密钥与NTP服务器进行认证，通过NTP服务器验证后，才可以进行同步，从而提高网络安全性。设备支持主备NTP服务器认证，认证方式支持MD5、SHA256两种方式。</w:t>
      </w:r>
    </w:p>
    <w:p w14:paraId="71E56993">
      <w:r>
        <w:rPr>
          <w:rFonts w:hint="eastAsia"/>
        </w:rPr>
        <w:t>通过菜单“系统管理</w:t>
      </w:r>
      <w:r>
        <w:t xml:space="preserve"> &gt;</w:t>
      </w:r>
      <w:r>
        <w:rPr>
          <w:rFonts w:hint="eastAsia"/>
        </w:rPr>
        <w:t>系统设定</w:t>
      </w:r>
      <w:r>
        <w:t xml:space="preserve"> &gt; </w:t>
      </w:r>
      <w:r>
        <w:rPr>
          <w:rFonts w:hint="eastAsia"/>
        </w:rPr>
        <w:t>时间设定”进入时间设定页面，如</w:t>
      </w:r>
      <w:r>
        <w:fldChar w:fldCharType="begin"/>
      </w:r>
      <w:r>
        <w:instrText xml:space="preserve"> </w:instrText>
      </w:r>
      <w:r>
        <w:rPr>
          <w:rFonts w:hint="eastAsia"/>
        </w:rPr>
        <w:instrText xml:space="preserve">REF _Ref393788997 \r \h</w:instrText>
      </w:r>
      <w:r>
        <w:instrText xml:space="preserve"> </w:instrText>
      </w:r>
      <w:r>
        <w:fldChar w:fldCharType="separate"/>
      </w:r>
      <w:r>
        <w:rPr>
          <w:rFonts w:hint="eastAsia"/>
        </w:rPr>
        <w:t>图33-36</w:t>
      </w:r>
      <w:r>
        <w:fldChar w:fldCharType="end"/>
      </w:r>
      <w:r>
        <w:rPr>
          <w:rFonts w:hint="eastAsia"/>
        </w:rPr>
        <w:t>所示。各个配置项的含义如</w:t>
      </w:r>
      <w:r>
        <w:rPr>
          <w:color w:val="0000FF"/>
          <w:u w:val="single"/>
        </w:rPr>
        <w:fldChar w:fldCharType="begin"/>
      </w:r>
      <w:r>
        <w:rPr>
          <w:color w:val="0000FF"/>
          <w:u w:val="single"/>
        </w:rPr>
        <w:instrText xml:space="preserve"> REF _Ref393789119 \r \h </w:instrText>
      </w:r>
      <w:r>
        <w:rPr>
          <w:color w:val="0000FF"/>
          <w:u w:val="single"/>
        </w:rPr>
        <w:fldChar w:fldCharType="separate"/>
      </w:r>
      <w:r>
        <w:rPr>
          <w:rFonts w:hint="eastAsia"/>
          <w:color w:val="0000FF"/>
          <w:u w:val="single"/>
        </w:rPr>
        <w:t>表33-1</w:t>
      </w:r>
      <w:r>
        <w:rPr>
          <w:color w:val="0000FF"/>
          <w:u w:val="single"/>
        </w:rPr>
        <w:fldChar w:fldCharType="end"/>
      </w:r>
      <w:r>
        <w:rPr>
          <w:rFonts w:hint="eastAsia"/>
        </w:rPr>
        <w:t>所示。</w:t>
      </w:r>
    </w:p>
    <w:p w14:paraId="091022A5">
      <w:pPr>
        <w:pStyle w:val="188"/>
      </w:pPr>
      <w:bookmarkStart w:id="11190" w:name="_Toc141875275"/>
      <w:bookmarkStart w:id="11191" w:name="_Ref393788997"/>
      <w:r>
        <w:rPr>
          <w:rFonts w:hint="eastAsia"/>
        </w:rPr>
        <w:t>设置系统时间页面</w:t>
      </w:r>
      <w:bookmarkEnd w:id="11190"/>
      <w:bookmarkEnd w:id="11191"/>
    </w:p>
    <w:p w14:paraId="4B0DB955">
      <w:r>
        <w:drawing>
          <wp:inline distT="0" distB="0" distL="0" distR="0">
            <wp:extent cx="4848225" cy="3705860"/>
            <wp:effectExtent l="0" t="0" r="0" b="8890"/>
            <wp:docPr id="1802027886" name="图片 1802027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86" name="图片 1802027886"/>
                    <pic:cNvPicPr>
                      <a:picLocks noChangeAspect="1"/>
                    </pic:cNvPicPr>
                  </pic:nvPicPr>
                  <pic:blipFill>
                    <a:blip r:embed="rId1233"/>
                    <a:stretch>
                      <a:fillRect/>
                    </a:stretch>
                  </pic:blipFill>
                  <pic:spPr>
                    <a:xfrm>
                      <a:off x="0" y="0"/>
                      <a:ext cx="4862658" cy="3716988"/>
                    </a:xfrm>
                    <a:prstGeom prst="rect">
                      <a:avLst/>
                    </a:prstGeom>
                  </pic:spPr>
                </pic:pic>
              </a:graphicData>
            </a:graphic>
          </wp:inline>
        </w:drawing>
      </w:r>
    </w:p>
    <w:p w14:paraId="688BBDDB"/>
    <w:p w14:paraId="53FF5B71">
      <w:pPr>
        <w:pStyle w:val="183"/>
      </w:pPr>
      <w:bookmarkStart w:id="11192" w:name="_Ref393789119"/>
      <w:bookmarkStart w:id="11193" w:name="_Toc141875772"/>
      <w:r>
        <w:rPr>
          <w:rFonts w:hint="eastAsia"/>
        </w:rPr>
        <w:t>时间设定配置项描述表</w:t>
      </w:r>
      <w:bookmarkEnd w:id="11192"/>
      <w:bookmarkEnd w:id="11193"/>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81"/>
        <w:gridCol w:w="1272"/>
        <w:gridCol w:w="5561"/>
      </w:tblGrid>
      <w:tr w14:paraId="2D8C54A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81" w:type="dxa"/>
            <w:tcBorders>
              <w:tl2br w:val="nil"/>
              <w:tr2bl w:val="nil"/>
            </w:tcBorders>
            <w:shd w:val="clear" w:color="auto" w:fill="538135" w:themeFill="accent6" w:themeFillShade="BF"/>
            <w:vAlign w:val="center"/>
          </w:tcPr>
          <w:p w14:paraId="0663D293">
            <w:pPr>
              <w:pStyle w:val="149"/>
              <w:wordWrap/>
              <w:rPr>
                <w:b/>
                <w:bCs/>
                <w:i w:val="0"/>
                <w:iCs w:val="0"/>
              </w:rPr>
            </w:pPr>
            <w:r>
              <w:rPr>
                <w:rFonts w:hint="eastAsia"/>
                <w:b/>
                <w:bCs/>
                <w:i w:val="0"/>
                <w:iCs w:val="0"/>
              </w:rPr>
              <w:t>标题项</w:t>
            </w:r>
          </w:p>
        </w:tc>
        <w:tc>
          <w:tcPr>
            <w:tcW w:w="1272" w:type="dxa"/>
            <w:tcBorders>
              <w:tl2br w:val="nil"/>
              <w:tr2bl w:val="nil"/>
            </w:tcBorders>
            <w:shd w:val="clear" w:color="auto" w:fill="538135" w:themeFill="accent6" w:themeFillShade="BF"/>
            <w:vAlign w:val="center"/>
          </w:tcPr>
          <w:p w14:paraId="3E9200AF">
            <w:pPr>
              <w:pStyle w:val="149"/>
              <w:wordWrap/>
              <w:rPr>
                <w:b/>
                <w:bCs/>
                <w:i w:val="0"/>
                <w:iCs w:val="0"/>
              </w:rPr>
            </w:pPr>
            <w:r>
              <w:rPr>
                <w:rFonts w:hint="eastAsia"/>
                <w:b/>
                <w:bCs/>
                <w:i w:val="0"/>
                <w:iCs w:val="0"/>
              </w:rPr>
              <w:t>子标题项</w:t>
            </w:r>
          </w:p>
        </w:tc>
        <w:tc>
          <w:tcPr>
            <w:tcW w:w="5561" w:type="dxa"/>
            <w:tcBorders>
              <w:tl2br w:val="nil"/>
              <w:tr2bl w:val="nil"/>
            </w:tcBorders>
            <w:shd w:val="clear" w:color="auto" w:fill="538135" w:themeFill="accent6" w:themeFillShade="BF"/>
            <w:vAlign w:val="center"/>
          </w:tcPr>
          <w:p w14:paraId="023104A8">
            <w:pPr>
              <w:pStyle w:val="149"/>
              <w:wordWrap/>
              <w:rPr>
                <w:b/>
                <w:bCs/>
                <w:i w:val="0"/>
                <w:iCs w:val="0"/>
              </w:rPr>
            </w:pPr>
            <w:r>
              <w:rPr>
                <w:rFonts w:hint="eastAsia"/>
                <w:b/>
                <w:bCs/>
                <w:i w:val="0"/>
                <w:iCs w:val="0"/>
              </w:rPr>
              <w:t>说明</w:t>
            </w:r>
          </w:p>
        </w:tc>
      </w:tr>
      <w:tr w14:paraId="12DE05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81" w:type="dxa"/>
            <w:vMerge w:val="restart"/>
            <w:shd w:val="clear" w:color="auto" w:fill="auto"/>
          </w:tcPr>
          <w:p w14:paraId="7B9890A4">
            <w:pPr>
              <w:pStyle w:val="150"/>
            </w:pPr>
            <w:r>
              <w:rPr>
                <w:rFonts w:hint="eastAsia"/>
              </w:rPr>
              <w:t>系统当前时间</w:t>
            </w:r>
          </w:p>
        </w:tc>
        <w:tc>
          <w:tcPr>
            <w:tcW w:w="1272" w:type="dxa"/>
            <w:shd w:val="clear" w:color="auto" w:fill="auto"/>
          </w:tcPr>
          <w:p w14:paraId="26F1CBBB">
            <w:pPr>
              <w:pStyle w:val="150"/>
            </w:pPr>
            <w:r>
              <w:rPr>
                <w:rFonts w:hint="eastAsia"/>
              </w:rPr>
              <w:t>系统时间</w:t>
            </w:r>
            <w:r>
              <w:t xml:space="preserve"> </w:t>
            </w:r>
          </w:p>
        </w:tc>
        <w:tc>
          <w:tcPr>
            <w:tcW w:w="5561" w:type="dxa"/>
            <w:shd w:val="clear" w:color="auto" w:fill="auto"/>
          </w:tcPr>
          <w:p w14:paraId="25218AFE">
            <w:pPr>
              <w:pStyle w:val="150"/>
            </w:pPr>
            <w:r>
              <w:rPr>
                <w:rFonts w:hint="eastAsia"/>
              </w:rPr>
              <w:t>显示当前系统时间。</w:t>
            </w:r>
          </w:p>
        </w:tc>
      </w:tr>
      <w:tr w14:paraId="75345B0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81" w:type="dxa"/>
            <w:vMerge w:val="continue"/>
            <w:shd w:val="clear" w:color="auto" w:fill="auto"/>
          </w:tcPr>
          <w:p w14:paraId="6A8F3133">
            <w:pPr>
              <w:pStyle w:val="186"/>
              <w:widowControl w:val="0"/>
              <w:spacing w:line="240" w:lineRule="auto"/>
              <w:ind w:firstLine="0"/>
              <w:jc w:val="left"/>
            </w:pPr>
          </w:p>
        </w:tc>
        <w:tc>
          <w:tcPr>
            <w:tcW w:w="1272" w:type="dxa"/>
            <w:shd w:val="clear" w:color="auto" w:fill="auto"/>
          </w:tcPr>
          <w:p w14:paraId="125F4FF1">
            <w:pPr>
              <w:pStyle w:val="150"/>
            </w:pPr>
            <w:r>
              <w:rPr>
                <w:rFonts w:hint="eastAsia"/>
              </w:rPr>
              <w:t>时区</w:t>
            </w:r>
          </w:p>
        </w:tc>
        <w:tc>
          <w:tcPr>
            <w:tcW w:w="5561" w:type="dxa"/>
            <w:shd w:val="clear" w:color="auto" w:fill="auto"/>
          </w:tcPr>
          <w:p w14:paraId="6D8A7EEE">
            <w:pPr>
              <w:pStyle w:val="150"/>
            </w:pPr>
            <w:r>
              <w:rPr>
                <w:rFonts w:hint="eastAsia"/>
              </w:rPr>
              <w:t>选择系统当前时区。</w:t>
            </w:r>
          </w:p>
        </w:tc>
      </w:tr>
      <w:tr w14:paraId="3D07781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81" w:type="dxa"/>
            <w:vMerge w:val="restart"/>
            <w:shd w:val="clear" w:color="auto" w:fill="auto"/>
          </w:tcPr>
          <w:p w14:paraId="749440F4">
            <w:pPr>
              <w:pStyle w:val="150"/>
            </w:pPr>
            <w:r>
              <w:rPr>
                <w:rFonts w:hint="eastAsia"/>
              </w:rPr>
              <w:t>手动设定系统时间</w:t>
            </w:r>
          </w:p>
        </w:tc>
        <w:tc>
          <w:tcPr>
            <w:tcW w:w="1272" w:type="dxa"/>
            <w:shd w:val="clear" w:color="auto" w:fill="auto"/>
          </w:tcPr>
          <w:p w14:paraId="768CB9C3">
            <w:pPr>
              <w:pStyle w:val="150"/>
            </w:pPr>
            <w:r>
              <w:rPr>
                <w:rFonts w:hint="eastAsia"/>
              </w:rPr>
              <w:t>系统时间</w:t>
            </w:r>
          </w:p>
        </w:tc>
        <w:tc>
          <w:tcPr>
            <w:tcW w:w="5561" w:type="dxa"/>
            <w:shd w:val="clear" w:color="auto" w:fill="auto"/>
          </w:tcPr>
          <w:p w14:paraId="0FBF680D">
            <w:pPr>
              <w:pStyle w:val="150"/>
            </w:pPr>
            <w:r>
              <w:rPr>
                <w:rFonts w:hint="eastAsia"/>
              </w:rPr>
              <w:t>手动设置的系统时间。</w:t>
            </w:r>
          </w:p>
        </w:tc>
      </w:tr>
      <w:tr w14:paraId="038AD8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81" w:type="dxa"/>
            <w:vMerge w:val="continue"/>
            <w:shd w:val="clear" w:color="auto" w:fill="auto"/>
          </w:tcPr>
          <w:p w14:paraId="6296DB20">
            <w:pPr>
              <w:pStyle w:val="186"/>
              <w:widowControl w:val="0"/>
              <w:spacing w:line="240" w:lineRule="auto"/>
              <w:ind w:firstLine="0"/>
              <w:jc w:val="left"/>
            </w:pPr>
          </w:p>
        </w:tc>
        <w:tc>
          <w:tcPr>
            <w:tcW w:w="1272" w:type="dxa"/>
            <w:shd w:val="clear" w:color="auto" w:fill="auto"/>
          </w:tcPr>
          <w:p w14:paraId="5061537C">
            <w:pPr>
              <w:pStyle w:val="150"/>
            </w:pPr>
            <w:r>
              <w:rPr>
                <w:rFonts w:hint="eastAsia"/>
              </w:rPr>
              <w:t>时区</w:t>
            </w:r>
          </w:p>
        </w:tc>
        <w:tc>
          <w:tcPr>
            <w:tcW w:w="5561" w:type="dxa"/>
            <w:shd w:val="clear" w:color="auto" w:fill="auto"/>
          </w:tcPr>
          <w:p w14:paraId="40CC955D">
            <w:pPr>
              <w:pStyle w:val="150"/>
            </w:pPr>
            <w:r>
              <w:rPr>
                <w:rFonts w:hint="eastAsia"/>
              </w:rPr>
              <w:t>手动设置的时区。</w:t>
            </w:r>
          </w:p>
        </w:tc>
      </w:tr>
      <w:tr w14:paraId="2153A3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81" w:type="dxa"/>
            <w:vMerge w:val="restart"/>
            <w:shd w:val="clear" w:color="auto" w:fill="auto"/>
          </w:tcPr>
          <w:p w14:paraId="008EEDE0">
            <w:pPr>
              <w:pStyle w:val="150"/>
            </w:pPr>
            <w:r>
              <w:rPr>
                <w:rFonts w:hint="eastAsia"/>
              </w:rPr>
              <w:t>NTP时间设定</w:t>
            </w:r>
          </w:p>
        </w:tc>
        <w:tc>
          <w:tcPr>
            <w:tcW w:w="1272" w:type="dxa"/>
            <w:shd w:val="clear" w:color="auto" w:fill="auto"/>
          </w:tcPr>
          <w:p w14:paraId="06484F9E">
            <w:pPr>
              <w:pStyle w:val="150"/>
            </w:pPr>
            <w:r>
              <w:rPr>
                <w:rFonts w:hint="eastAsia"/>
              </w:rPr>
              <w:t>主服务器</w:t>
            </w:r>
          </w:p>
        </w:tc>
        <w:tc>
          <w:tcPr>
            <w:tcW w:w="5561" w:type="dxa"/>
            <w:shd w:val="clear" w:color="auto" w:fill="auto"/>
          </w:tcPr>
          <w:p w14:paraId="1F231E71">
            <w:pPr>
              <w:pStyle w:val="150"/>
            </w:pPr>
            <w:r>
              <w:t>NTP主</w:t>
            </w:r>
            <w:r>
              <w:rPr>
                <w:rFonts w:hint="eastAsia"/>
              </w:rPr>
              <w:t>服务器，可手动输入NTP服务器的地址或域名，或者下拉选择系统内置的NTP服务器。</w:t>
            </w:r>
          </w:p>
        </w:tc>
      </w:tr>
      <w:tr w14:paraId="46697B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81" w:type="dxa"/>
            <w:vMerge w:val="continue"/>
            <w:shd w:val="clear" w:color="auto" w:fill="auto"/>
          </w:tcPr>
          <w:p w14:paraId="20ACE87A">
            <w:pPr>
              <w:pStyle w:val="186"/>
              <w:widowControl w:val="0"/>
              <w:spacing w:line="240" w:lineRule="auto"/>
              <w:ind w:firstLine="0"/>
              <w:jc w:val="left"/>
            </w:pPr>
          </w:p>
        </w:tc>
        <w:tc>
          <w:tcPr>
            <w:tcW w:w="1272" w:type="dxa"/>
            <w:shd w:val="clear" w:color="auto" w:fill="auto"/>
          </w:tcPr>
          <w:p w14:paraId="245F5931">
            <w:pPr>
              <w:pStyle w:val="150"/>
            </w:pPr>
            <w:r>
              <w:rPr>
                <w:rFonts w:hint="eastAsia"/>
              </w:rPr>
              <w:t>备服务器</w:t>
            </w:r>
          </w:p>
        </w:tc>
        <w:tc>
          <w:tcPr>
            <w:tcW w:w="5561" w:type="dxa"/>
            <w:shd w:val="clear" w:color="auto" w:fill="auto"/>
          </w:tcPr>
          <w:p w14:paraId="78ED65DB">
            <w:pPr>
              <w:pStyle w:val="150"/>
            </w:pPr>
            <w:r>
              <w:t>NTP备</w:t>
            </w:r>
            <w:r>
              <w:rPr>
                <w:rFonts w:hint="eastAsia"/>
              </w:rPr>
              <w:t>服务器，可手动输入NTP服务器的地址或域名，或者下拉选择系统内置的NTP服务器。只有当主NTP服务器无法连接时才生效。</w:t>
            </w:r>
          </w:p>
        </w:tc>
      </w:tr>
      <w:tr w14:paraId="71C92B9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81" w:type="dxa"/>
            <w:vMerge w:val="continue"/>
            <w:shd w:val="clear" w:color="auto" w:fill="auto"/>
          </w:tcPr>
          <w:p w14:paraId="57C06096">
            <w:pPr>
              <w:pStyle w:val="186"/>
              <w:widowControl w:val="0"/>
              <w:spacing w:line="240" w:lineRule="auto"/>
              <w:ind w:firstLine="0"/>
              <w:jc w:val="left"/>
            </w:pPr>
          </w:p>
        </w:tc>
        <w:tc>
          <w:tcPr>
            <w:tcW w:w="1272" w:type="dxa"/>
            <w:shd w:val="clear" w:color="auto" w:fill="auto"/>
          </w:tcPr>
          <w:p w14:paraId="0A463BE7">
            <w:pPr>
              <w:pStyle w:val="150"/>
            </w:pPr>
            <w:r>
              <w:rPr>
                <w:rFonts w:hint="eastAsia"/>
              </w:rPr>
              <w:t>开启认证</w:t>
            </w:r>
          </w:p>
        </w:tc>
        <w:tc>
          <w:tcPr>
            <w:tcW w:w="5561" w:type="dxa"/>
            <w:shd w:val="clear" w:color="auto" w:fill="auto"/>
          </w:tcPr>
          <w:p w14:paraId="4374C57D">
            <w:pPr>
              <w:pStyle w:val="150"/>
            </w:pPr>
            <w:r>
              <w:rPr>
                <w:rFonts w:hint="eastAsia"/>
              </w:rPr>
              <w:t>开启NTP服务器认证功能。开启认证后，与NTP同步时间时需要进行认证。</w:t>
            </w:r>
          </w:p>
        </w:tc>
      </w:tr>
      <w:tr w14:paraId="20D26E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81" w:type="dxa"/>
            <w:vMerge w:val="continue"/>
            <w:shd w:val="clear" w:color="auto" w:fill="auto"/>
          </w:tcPr>
          <w:p w14:paraId="4D994DBD">
            <w:pPr>
              <w:pStyle w:val="186"/>
              <w:widowControl w:val="0"/>
              <w:spacing w:line="240" w:lineRule="auto"/>
              <w:ind w:firstLine="0"/>
              <w:jc w:val="left"/>
            </w:pPr>
          </w:p>
        </w:tc>
        <w:tc>
          <w:tcPr>
            <w:tcW w:w="1272" w:type="dxa"/>
            <w:shd w:val="clear" w:color="auto" w:fill="auto"/>
          </w:tcPr>
          <w:p w14:paraId="0D483370">
            <w:pPr>
              <w:pStyle w:val="150"/>
            </w:pPr>
            <w:r>
              <w:rPr>
                <w:rFonts w:hint="eastAsia"/>
              </w:rPr>
              <w:t>认证方式</w:t>
            </w:r>
          </w:p>
        </w:tc>
        <w:tc>
          <w:tcPr>
            <w:tcW w:w="5561" w:type="dxa"/>
            <w:shd w:val="clear" w:color="auto" w:fill="auto"/>
          </w:tcPr>
          <w:p w14:paraId="25EA191F">
            <w:pPr>
              <w:pStyle w:val="150"/>
            </w:pPr>
            <w:r>
              <w:rPr>
                <w:rFonts w:hint="eastAsia"/>
              </w:rPr>
              <w:t>选择NTP认证的加密算法，可配置HMAC-SHA256、MD5。需要与NTP服务器使用的加密算法一致，才可以完成认证。</w:t>
            </w:r>
          </w:p>
        </w:tc>
      </w:tr>
      <w:tr w14:paraId="7EEA4E7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81" w:type="dxa"/>
            <w:vMerge w:val="continue"/>
            <w:shd w:val="clear" w:color="auto" w:fill="auto"/>
          </w:tcPr>
          <w:p w14:paraId="43D43CD1">
            <w:pPr>
              <w:pStyle w:val="186"/>
              <w:widowControl w:val="0"/>
              <w:spacing w:line="240" w:lineRule="auto"/>
              <w:ind w:firstLine="0"/>
              <w:jc w:val="left"/>
            </w:pPr>
          </w:p>
        </w:tc>
        <w:tc>
          <w:tcPr>
            <w:tcW w:w="1272" w:type="dxa"/>
            <w:shd w:val="clear" w:color="auto" w:fill="auto"/>
          </w:tcPr>
          <w:p w14:paraId="402DE6D5">
            <w:pPr>
              <w:pStyle w:val="150"/>
            </w:pPr>
            <w:r>
              <w:rPr>
                <w:rFonts w:hint="eastAsia"/>
              </w:rPr>
              <w:t>认证Key</w:t>
            </w:r>
          </w:p>
        </w:tc>
        <w:tc>
          <w:tcPr>
            <w:tcW w:w="5561" w:type="dxa"/>
            <w:shd w:val="clear" w:color="auto" w:fill="auto"/>
          </w:tcPr>
          <w:p w14:paraId="3BFD491A">
            <w:pPr>
              <w:pStyle w:val="150"/>
            </w:pPr>
            <w:r>
              <w:rPr>
                <w:rFonts w:hint="eastAsia"/>
              </w:rPr>
              <w:t>输入认证Key的值，NTP服务器认证时校验的Key值。需要与所选NTP服务器对应的认证Key一致。</w:t>
            </w:r>
          </w:p>
        </w:tc>
      </w:tr>
      <w:tr w14:paraId="66B18B2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81" w:type="dxa"/>
            <w:vMerge w:val="continue"/>
            <w:shd w:val="clear" w:color="auto" w:fill="auto"/>
          </w:tcPr>
          <w:p w14:paraId="7DD1649A">
            <w:pPr>
              <w:pStyle w:val="186"/>
              <w:widowControl w:val="0"/>
              <w:spacing w:line="240" w:lineRule="auto"/>
              <w:ind w:firstLine="0"/>
              <w:jc w:val="left"/>
            </w:pPr>
          </w:p>
        </w:tc>
        <w:tc>
          <w:tcPr>
            <w:tcW w:w="1272" w:type="dxa"/>
            <w:shd w:val="clear" w:color="auto" w:fill="auto"/>
          </w:tcPr>
          <w:p w14:paraId="650D5078">
            <w:pPr>
              <w:pStyle w:val="150"/>
            </w:pPr>
            <w:r>
              <w:rPr>
                <w:rFonts w:hint="eastAsia"/>
              </w:rPr>
              <w:t>密码</w:t>
            </w:r>
          </w:p>
        </w:tc>
        <w:tc>
          <w:tcPr>
            <w:tcW w:w="5561" w:type="dxa"/>
            <w:shd w:val="clear" w:color="auto" w:fill="auto"/>
          </w:tcPr>
          <w:p w14:paraId="4AD4F46B">
            <w:pPr>
              <w:pStyle w:val="150"/>
            </w:pPr>
            <w:r>
              <w:rPr>
                <w:rFonts w:hint="eastAsia"/>
              </w:rPr>
              <w:t>输入NTP认证的密钥，NTP服务器认证时校验的密钥。长度在1到255字符之间。需要与所选NTP服务器对应的认证密钥一致。</w:t>
            </w:r>
          </w:p>
        </w:tc>
      </w:tr>
      <w:tr w14:paraId="2D48260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81" w:type="dxa"/>
            <w:vMerge w:val="continue"/>
            <w:shd w:val="clear" w:color="auto" w:fill="auto"/>
          </w:tcPr>
          <w:p w14:paraId="44335E29">
            <w:pPr>
              <w:pStyle w:val="186"/>
              <w:widowControl w:val="0"/>
              <w:spacing w:line="240" w:lineRule="auto"/>
              <w:ind w:firstLine="0"/>
              <w:jc w:val="left"/>
            </w:pPr>
          </w:p>
        </w:tc>
        <w:tc>
          <w:tcPr>
            <w:tcW w:w="1272" w:type="dxa"/>
            <w:shd w:val="clear" w:color="auto" w:fill="auto"/>
          </w:tcPr>
          <w:p w14:paraId="01B01753">
            <w:pPr>
              <w:pStyle w:val="150"/>
            </w:pPr>
            <w:r>
              <w:rPr>
                <w:rFonts w:hint="eastAsia"/>
              </w:rPr>
              <w:t>同步间隔</w:t>
            </w:r>
          </w:p>
        </w:tc>
        <w:tc>
          <w:tcPr>
            <w:tcW w:w="5561" w:type="dxa"/>
            <w:shd w:val="clear" w:color="auto" w:fill="auto"/>
          </w:tcPr>
          <w:p w14:paraId="5B7B891E">
            <w:pPr>
              <w:pStyle w:val="150"/>
            </w:pPr>
            <w:r>
              <w:t>NTP</w:t>
            </w:r>
            <w:r>
              <w:rPr>
                <w:rFonts w:hint="eastAsia"/>
              </w:rPr>
              <w:t>每次同步间隔，单位：分钟。</w:t>
            </w:r>
          </w:p>
        </w:tc>
      </w:tr>
    </w:tbl>
    <w:p w14:paraId="49A591E0"/>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717E69DC">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598A3041">
            <w:pPr>
              <w:pStyle w:val="150"/>
              <w:adjustRightInd w:val="0"/>
              <w:snapToGrid w:val="0"/>
              <w:rPr>
                <w:color w:val="auto"/>
              </w:rPr>
            </w:pPr>
            <w:r>
              <w:rPr>
                <w:b/>
                <w:color w:val="auto"/>
              </w:rPr>
              <w:drawing>
                <wp:inline distT="0" distB="0" distL="0" distR="0">
                  <wp:extent cx="283210" cy="283210"/>
                  <wp:effectExtent l="0" t="0" r="2540" b="2540"/>
                  <wp:docPr id="951" name="图片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图片 95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4EC3A8C8">
            <w:pPr>
              <w:pStyle w:val="207"/>
              <w:adjustRightInd w:val="0"/>
              <w:snapToGrid w:val="0"/>
              <w:rPr>
                <w:color w:val="auto"/>
                <w:lang w:eastAsia="zh-CN"/>
              </w:rPr>
            </w:pPr>
            <w:r>
              <w:rPr>
                <w:rFonts w:hint="eastAsia"/>
                <w:color w:val="auto"/>
                <w:lang w:eastAsia="zh-CN"/>
              </w:rPr>
              <w:t>使用NTP同步的方式来设置系统时钟时，请确保设备接口正确配置了IP地址。</w:t>
            </w:r>
          </w:p>
          <w:p w14:paraId="256A1398">
            <w:pPr>
              <w:pStyle w:val="207"/>
              <w:adjustRightInd w:val="0"/>
              <w:snapToGrid w:val="0"/>
              <w:rPr>
                <w:color w:val="auto"/>
                <w:lang w:eastAsia="zh-CN"/>
              </w:rPr>
            </w:pPr>
            <w:r>
              <w:rPr>
                <w:rFonts w:hint="eastAsia"/>
                <w:color w:val="auto"/>
                <w:lang w:eastAsia="zh-CN"/>
              </w:rPr>
              <w:t>使用NTP功能需要起开启DNS功能，确保设备可以正常访问互联网和域名服务器。</w:t>
            </w:r>
          </w:p>
        </w:tc>
      </w:tr>
    </w:tbl>
    <w:p w14:paraId="79EEF9F4"/>
    <w:p w14:paraId="6FDA0D1F">
      <w:pPr>
        <w:pStyle w:val="5"/>
      </w:pPr>
      <w:bookmarkStart w:id="11194" w:name="_Toc6237730"/>
      <w:bookmarkStart w:id="11195" w:name="_Toc15485365"/>
      <w:bookmarkStart w:id="11196" w:name="_Toc23153119"/>
      <w:bookmarkStart w:id="11197" w:name="_Toc99562034"/>
      <w:bookmarkStart w:id="11198" w:name="_Toc196728565"/>
      <w:bookmarkStart w:id="11199" w:name="_Toc141873845"/>
      <w:bookmarkStart w:id="11200" w:name="_Toc172218652"/>
      <w:bookmarkStart w:id="11201" w:name="_Toc40276540"/>
      <w:bookmarkStart w:id="11202" w:name="_Toc194081237"/>
      <w:bookmarkStart w:id="11203" w:name="_Toc142401362"/>
      <w:r>
        <w:t>SNMP</w:t>
      </w:r>
      <w:bookmarkEnd w:id="11194"/>
      <w:bookmarkEnd w:id="11195"/>
      <w:bookmarkEnd w:id="11196"/>
      <w:bookmarkEnd w:id="11197"/>
      <w:bookmarkEnd w:id="11198"/>
      <w:bookmarkEnd w:id="11199"/>
      <w:bookmarkEnd w:id="11200"/>
      <w:bookmarkEnd w:id="11201"/>
      <w:bookmarkEnd w:id="11202"/>
      <w:bookmarkEnd w:id="11203"/>
    </w:p>
    <w:p w14:paraId="1B365ACC">
      <w:pPr>
        <w:pStyle w:val="6"/>
      </w:pPr>
      <w:bookmarkStart w:id="11204" w:name="_Toc6237731"/>
      <w:bookmarkStart w:id="11205" w:name="_Toc23153120"/>
      <w:bookmarkStart w:id="11206" w:name="_Toc15485366"/>
      <w:bookmarkStart w:id="11207" w:name="_Toc40276541"/>
      <w:r>
        <w:t>SNMP</w:t>
      </w:r>
      <w:r>
        <w:rPr>
          <w:rFonts w:hint="eastAsia"/>
        </w:rPr>
        <w:t>简介</w:t>
      </w:r>
      <w:bookmarkEnd w:id="11204"/>
      <w:bookmarkEnd w:id="11205"/>
      <w:bookmarkEnd w:id="11206"/>
      <w:bookmarkEnd w:id="11207"/>
    </w:p>
    <w:p w14:paraId="0F45F364">
      <w:r>
        <w:t>SNMP</w:t>
      </w:r>
      <w:r>
        <w:rPr>
          <w:rFonts w:hint="eastAsia"/>
        </w:rPr>
        <w:t>（</w:t>
      </w:r>
      <w:r>
        <w:t>Simple Network Management Protocol</w:t>
      </w:r>
      <w:r>
        <w:rPr>
          <w:rFonts w:hint="eastAsia"/>
        </w:rPr>
        <w:t>，简单网络管理协议），它是一个标准的用于管理</w:t>
      </w:r>
      <w:r>
        <w:t>IP</w:t>
      </w:r>
      <w:r>
        <w:rPr>
          <w:rFonts w:hint="eastAsia"/>
        </w:rPr>
        <w:t>网络上节点的协议。由一组网络管理的标准组成，包含一个应用层协议（</w:t>
      </w:r>
      <w:r>
        <w:t>application layer protocol</w:t>
      </w:r>
      <w:r>
        <w:rPr>
          <w:rFonts w:hint="eastAsia"/>
        </w:rPr>
        <w:t>）、数据库模型（</w:t>
      </w:r>
      <w:r>
        <w:t>database schema</w:t>
      </w:r>
      <w:r>
        <w:rPr>
          <w:rFonts w:hint="eastAsia"/>
        </w:rPr>
        <w:t>）和一组资源对象。该协议能够支持网络管理系统，用以监测连接到网络上的设备是否有任何引起管理上关注的情况。现已从</w:t>
      </w:r>
      <w:r>
        <w:t>V1</w:t>
      </w:r>
      <w:r>
        <w:rPr>
          <w:rFonts w:hint="eastAsia"/>
        </w:rPr>
        <w:t>版本，更新至</w:t>
      </w:r>
      <w:r>
        <w:t>V3</w:t>
      </w:r>
      <w:r>
        <w:rPr>
          <w:rFonts w:hint="eastAsia"/>
        </w:rPr>
        <w:t>版本。</w:t>
      </w:r>
      <w:r>
        <w:t>SNMPv3</w:t>
      </w:r>
      <w:r>
        <w:rPr>
          <w:rFonts w:hint="eastAsia"/>
        </w:rPr>
        <w:t>版本是基于用户的安全模型（</w:t>
      </w:r>
      <w:r>
        <w:t>USM</w:t>
      </w:r>
      <w:r>
        <w:rPr>
          <w:rFonts w:hint="eastAsia"/>
        </w:rPr>
        <w:t>）。较</w:t>
      </w:r>
      <w:r>
        <w:t>V1</w:t>
      </w:r>
      <w:r>
        <w:rPr>
          <w:rFonts w:hint="eastAsia"/>
        </w:rPr>
        <w:t>、</w:t>
      </w:r>
      <w:r>
        <w:t>V2</w:t>
      </w:r>
      <w:r>
        <w:rPr>
          <w:rFonts w:hint="eastAsia"/>
        </w:rPr>
        <w:t>版本认证更为安全。</w:t>
      </w:r>
    </w:p>
    <w:p w14:paraId="09970E69">
      <w:r>
        <w:rPr>
          <w:rFonts w:hint="eastAsia"/>
        </w:rPr>
        <w:t>本功能支持</w:t>
      </w:r>
      <w:r>
        <w:t>V1</w:t>
      </w:r>
      <w:r>
        <w:rPr>
          <w:rFonts w:hint="eastAsia"/>
        </w:rPr>
        <w:t>至</w:t>
      </w:r>
      <w:r>
        <w:t>V3</w:t>
      </w:r>
      <w:r>
        <w:rPr>
          <w:rFonts w:hint="eastAsia"/>
        </w:rPr>
        <w:t>版本。</w:t>
      </w:r>
    </w:p>
    <w:p w14:paraId="031085C6">
      <w:r>
        <w:rPr>
          <w:rFonts w:hint="eastAsia"/>
        </w:rPr>
        <w:t>本功能具有如下功能点：</w:t>
      </w:r>
    </w:p>
    <w:p w14:paraId="2BE8B62D">
      <w:pPr>
        <w:pStyle w:val="162"/>
      </w:pPr>
      <w:r>
        <w:rPr>
          <w:rFonts w:hint="eastAsia"/>
        </w:rPr>
        <w:t>能够对设备上支持的公有</w:t>
      </w:r>
      <w:r>
        <w:t>MIB</w:t>
      </w:r>
      <w:r>
        <w:rPr>
          <w:rFonts w:hint="eastAsia"/>
        </w:rPr>
        <w:t>节点进行查询和设置。</w:t>
      </w:r>
    </w:p>
    <w:p w14:paraId="19A1AD80">
      <w:pPr>
        <w:pStyle w:val="162"/>
      </w:pPr>
      <w:r>
        <w:rPr>
          <w:rFonts w:hint="eastAsia"/>
        </w:rPr>
        <w:t>能够设置</w:t>
      </w:r>
      <w:r>
        <w:t>TRAP</w:t>
      </w:r>
      <w:r>
        <w:rPr>
          <w:rFonts w:hint="eastAsia"/>
        </w:rPr>
        <w:t>信息上报。</w:t>
      </w:r>
    </w:p>
    <w:p w14:paraId="6A89C71D">
      <w:pPr>
        <w:pStyle w:val="162"/>
      </w:pPr>
      <w:r>
        <w:rPr>
          <w:rFonts w:hint="eastAsia"/>
        </w:rPr>
        <w:t>能够对设备上的私有</w:t>
      </w:r>
      <w:r>
        <w:t>MIB</w:t>
      </w:r>
      <w:r>
        <w:rPr>
          <w:rFonts w:hint="eastAsia"/>
        </w:rPr>
        <w:t>节点进行查询和设置。</w:t>
      </w:r>
    </w:p>
    <w:p w14:paraId="42A8858B">
      <w:pPr>
        <w:pStyle w:val="162"/>
      </w:pPr>
      <w:r>
        <w:rPr>
          <w:rFonts w:hint="eastAsia"/>
        </w:rPr>
        <w:t>支持</w:t>
      </w:r>
      <w:r>
        <w:t>SNMP V1</w:t>
      </w:r>
      <w:r>
        <w:rPr>
          <w:rFonts w:hint="eastAsia"/>
        </w:rPr>
        <w:t>、</w:t>
      </w:r>
      <w:r>
        <w:t>V2C</w:t>
      </w:r>
      <w:r>
        <w:rPr>
          <w:rFonts w:hint="eastAsia"/>
        </w:rPr>
        <w:t>、</w:t>
      </w:r>
      <w:r>
        <w:t>V3</w:t>
      </w:r>
      <w:r>
        <w:rPr>
          <w:rFonts w:hint="eastAsia"/>
        </w:rPr>
        <w:t>版本。</w:t>
      </w:r>
    </w:p>
    <w:p w14:paraId="5617EF73">
      <w:pPr>
        <w:pStyle w:val="162"/>
      </w:pPr>
      <w:r>
        <w:rPr>
          <w:rFonts w:hint="eastAsia"/>
        </w:rPr>
        <w:t>支持Trap V1、v2c Notification、v2c Inform版本。</w:t>
      </w:r>
    </w:p>
    <w:p w14:paraId="6F49F354">
      <w:pPr>
        <w:pStyle w:val="6"/>
      </w:pPr>
      <w:bookmarkStart w:id="11208" w:name="_Toc6237732"/>
      <w:bookmarkStart w:id="11209" w:name="_Toc15485367"/>
      <w:bookmarkStart w:id="11210" w:name="_Toc23153121"/>
      <w:bookmarkStart w:id="11211" w:name="_Toc40276542"/>
      <w:r>
        <w:rPr>
          <w:rFonts w:hint="eastAsia"/>
        </w:rPr>
        <w:t>配置</w:t>
      </w:r>
      <w:r>
        <w:t>SNMP</w:t>
      </w:r>
      <w:bookmarkEnd w:id="11208"/>
      <w:bookmarkEnd w:id="11209"/>
      <w:bookmarkEnd w:id="11210"/>
      <w:bookmarkEnd w:id="11211"/>
    </w:p>
    <w:p w14:paraId="0308D495">
      <w:r>
        <w:rPr>
          <w:rFonts w:hint="eastAsia"/>
        </w:rPr>
        <w:t>通过菜单“系统管理 &gt; 系统设定 &gt; SNMP配置”，可以配置</w:t>
      </w:r>
      <w:r>
        <w:t>SNMP</w:t>
      </w:r>
      <w:r>
        <w:rPr>
          <w:rFonts w:hint="eastAsia"/>
        </w:rPr>
        <w:t>的相关功能。</w:t>
      </w:r>
    </w:p>
    <w:p w14:paraId="5CDE2363"/>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27FEE5EA">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3BE4F184">
            <w:pPr>
              <w:pStyle w:val="150"/>
              <w:adjustRightInd w:val="0"/>
              <w:snapToGrid w:val="0"/>
              <w:rPr>
                <w:color w:val="auto"/>
              </w:rPr>
            </w:pPr>
            <w:r>
              <w:rPr>
                <w:b/>
                <w:color w:val="auto"/>
              </w:rPr>
              <w:drawing>
                <wp:inline distT="0" distB="0" distL="0" distR="0">
                  <wp:extent cx="283210" cy="283210"/>
                  <wp:effectExtent l="0" t="0" r="2540" b="2540"/>
                  <wp:docPr id="952" name="图片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图片 95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19608160">
            <w:pPr>
              <w:pStyle w:val="207"/>
              <w:adjustRightInd w:val="0"/>
              <w:snapToGrid w:val="0"/>
              <w:rPr>
                <w:color w:val="auto"/>
                <w:lang w:eastAsia="zh-CN"/>
              </w:rPr>
            </w:pPr>
            <w:r>
              <w:rPr>
                <w:rFonts w:hint="eastAsia"/>
                <w:color w:val="auto"/>
                <w:lang w:eastAsia="zh-CN"/>
              </w:rPr>
              <w:t>使用</w:t>
            </w:r>
            <w:r>
              <w:rPr>
                <w:color w:val="auto"/>
                <w:lang w:eastAsia="zh-CN"/>
              </w:rPr>
              <w:t>SNMP v3</w:t>
            </w:r>
            <w:r>
              <w:rPr>
                <w:rFonts w:hint="eastAsia"/>
                <w:color w:val="auto"/>
                <w:lang w:eastAsia="zh-CN"/>
              </w:rPr>
              <w:t>版本管理设备比使用</w:t>
            </w:r>
            <w:r>
              <w:rPr>
                <w:color w:val="auto"/>
                <w:lang w:eastAsia="zh-CN"/>
              </w:rPr>
              <w:t>SNMP v1</w:t>
            </w:r>
            <w:r>
              <w:rPr>
                <w:rFonts w:hint="eastAsia"/>
                <w:color w:val="auto"/>
                <w:lang w:eastAsia="zh-CN"/>
              </w:rPr>
              <w:t>、</w:t>
            </w:r>
            <w:r>
              <w:rPr>
                <w:color w:val="auto"/>
                <w:lang w:eastAsia="zh-CN"/>
              </w:rPr>
              <w:t>v2c</w:t>
            </w:r>
            <w:r>
              <w:rPr>
                <w:rFonts w:hint="eastAsia"/>
                <w:color w:val="auto"/>
                <w:lang w:eastAsia="zh-CN"/>
              </w:rPr>
              <w:t>版本更安全，建议使用</w:t>
            </w:r>
            <w:r>
              <w:rPr>
                <w:color w:val="auto"/>
                <w:lang w:eastAsia="zh-CN"/>
              </w:rPr>
              <w:t>SNMP v3</w:t>
            </w:r>
            <w:r>
              <w:rPr>
                <w:rFonts w:hint="eastAsia"/>
                <w:color w:val="auto"/>
                <w:lang w:eastAsia="zh-CN"/>
              </w:rPr>
              <w:t>版本管理设备。</w:t>
            </w:r>
          </w:p>
          <w:p w14:paraId="59122414">
            <w:pPr>
              <w:pStyle w:val="207"/>
              <w:adjustRightInd w:val="0"/>
              <w:snapToGrid w:val="0"/>
              <w:rPr>
                <w:color w:val="auto"/>
              </w:rPr>
            </w:pPr>
            <w:r>
              <w:rPr>
                <w:rFonts w:hint="eastAsia"/>
                <w:color w:val="auto"/>
              </w:rPr>
              <w:t>v2c Notification与v2c Inform发送TRAP信息是一样的，v2c Inform是可靠传输，需要SNMP管理服务器进行响应。</w:t>
            </w:r>
          </w:p>
        </w:tc>
      </w:tr>
    </w:tbl>
    <w:p w14:paraId="3D1585F4"/>
    <w:p w14:paraId="51006860">
      <w:pPr>
        <w:pStyle w:val="188"/>
      </w:pPr>
      <w:bookmarkStart w:id="11212" w:name="_Toc141875276"/>
      <w:r>
        <w:t>SNMP</w:t>
      </w:r>
      <w:r>
        <w:rPr>
          <w:rFonts w:hint="eastAsia"/>
        </w:rPr>
        <w:t>配置页面</w:t>
      </w:r>
      <w:bookmarkEnd w:id="11212"/>
    </w:p>
    <w:p w14:paraId="17B11BCB">
      <w:r>
        <w:drawing>
          <wp:inline distT="0" distB="0" distL="0" distR="0">
            <wp:extent cx="5257800" cy="3063240"/>
            <wp:effectExtent l="0" t="0" r="0" b="3810"/>
            <wp:docPr id="1296485345" name="图片 1296485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45" name="图片 1296485345"/>
                    <pic:cNvPicPr>
                      <a:picLocks noChangeAspect="1"/>
                    </pic:cNvPicPr>
                  </pic:nvPicPr>
                  <pic:blipFill>
                    <a:blip r:embed="rId1234"/>
                    <a:stretch>
                      <a:fillRect/>
                    </a:stretch>
                  </pic:blipFill>
                  <pic:spPr>
                    <a:xfrm>
                      <a:off x="0" y="0"/>
                      <a:ext cx="5262905" cy="3066342"/>
                    </a:xfrm>
                    <a:prstGeom prst="rect">
                      <a:avLst/>
                    </a:prstGeom>
                  </pic:spPr>
                </pic:pic>
              </a:graphicData>
            </a:graphic>
          </wp:inline>
        </w:drawing>
      </w:r>
    </w:p>
    <w:p w14:paraId="00840A53"/>
    <w:p w14:paraId="648CC1E1">
      <w:pPr>
        <w:pStyle w:val="183"/>
      </w:pPr>
      <w:bookmarkStart w:id="11213" w:name="_Toc141875773"/>
      <w:r>
        <w:t>SNMP</w:t>
      </w:r>
      <w:r>
        <w:rPr>
          <w:rFonts w:hint="eastAsia"/>
        </w:rPr>
        <w:t>配置项含义表</w:t>
      </w:r>
      <w:bookmarkEnd w:id="11213"/>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093"/>
        <w:gridCol w:w="6921"/>
      </w:tblGrid>
      <w:tr w14:paraId="13D601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93" w:type="dxa"/>
            <w:tcBorders>
              <w:tl2br w:val="nil"/>
              <w:tr2bl w:val="nil"/>
            </w:tcBorders>
            <w:shd w:val="clear" w:color="auto" w:fill="538135" w:themeFill="accent6" w:themeFillShade="BF"/>
            <w:vAlign w:val="center"/>
          </w:tcPr>
          <w:p w14:paraId="06F6C9A2">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921" w:type="dxa"/>
            <w:tcBorders>
              <w:tl2br w:val="nil"/>
              <w:tr2bl w:val="nil"/>
            </w:tcBorders>
            <w:shd w:val="clear" w:color="auto" w:fill="538135" w:themeFill="accent6" w:themeFillShade="BF"/>
            <w:vAlign w:val="center"/>
          </w:tcPr>
          <w:p w14:paraId="44A1F237">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2DD54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93" w:type="dxa"/>
            <w:shd w:val="clear" w:color="auto" w:fill="auto"/>
          </w:tcPr>
          <w:p w14:paraId="1410A6F7">
            <w:pPr>
              <w:pStyle w:val="150"/>
            </w:pPr>
            <w:r>
              <w:t>SNMP</w:t>
            </w:r>
            <w:r>
              <w:rPr>
                <w:rFonts w:hint="eastAsia"/>
              </w:rPr>
              <w:t>代理</w:t>
            </w:r>
          </w:p>
        </w:tc>
        <w:tc>
          <w:tcPr>
            <w:tcW w:w="6921" w:type="dxa"/>
            <w:shd w:val="clear" w:color="auto" w:fill="auto"/>
          </w:tcPr>
          <w:p w14:paraId="5DE204C1">
            <w:pPr>
              <w:pStyle w:val="150"/>
            </w:pPr>
            <w:r>
              <w:rPr>
                <w:rFonts w:hint="eastAsia"/>
              </w:rPr>
              <w:t>开启或关闭</w:t>
            </w:r>
            <w:r>
              <w:t>SNMP</w:t>
            </w:r>
            <w:r>
              <w:rPr>
                <w:rFonts w:hint="eastAsia"/>
              </w:rPr>
              <w:t>功能，勾选为开启，不勾选为关闭。</w:t>
            </w:r>
          </w:p>
        </w:tc>
      </w:tr>
      <w:tr w14:paraId="474DD5C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93" w:type="dxa"/>
            <w:shd w:val="clear" w:color="auto" w:fill="auto"/>
          </w:tcPr>
          <w:p w14:paraId="40074925">
            <w:pPr>
              <w:pStyle w:val="150"/>
            </w:pPr>
            <w:r>
              <w:rPr>
                <w:rFonts w:hint="eastAsia"/>
              </w:rPr>
              <w:t>版本</w:t>
            </w:r>
          </w:p>
        </w:tc>
        <w:tc>
          <w:tcPr>
            <w:tcW w:w="6921" w:type="dxa"/>
            <w:shd w:val="clear" w:color="auto" w:fill="auto"/>
          </w:tcPr>
          <w:p w14:paraId="728DDC6A">
            <w:pPr>
              <w:pStyle w:val="150"/>
            </w:pPr>
            <w:r>
              <w:t>SNMP</w:t>
            </w:r>
            <w:r>
              <w:rPr>
                <w:rFonts w:hint="eastAsia"/>
              </w:rPr>
              <w:t>需要启用的版本选项，支持</w:t>
            </w:r>
            <w:r>
              <w:t>v1</w:t>
            </w:r>
            <w:r>
              <w:rPr>
                <w:rFonts w:hint="eastAsia"/>
              </w:rPr>
              <w:t>、</w:t>
            </w:r>
            <w:r>
              <w:t>v2c</w:t>
            </w:r>
            <w:r>
              <w:rPr>
                <w:rFonts w:hint="eastAsia"/>
              </w:rPr>
              <w:t>、</w:t>
            </w:r>
            <w:r>
              <w:t>v3</w:t>
            </w:r>
            <w:r>
              <w:rPr>
                <w:rFonts w:hint="eastAsia"/>
              </w:rPr>
              <w:t>版本。</w:t>
            </w:r>
          </w:p>
        </w:tc>
      </w:tr>
      <w:tr w14:paraId="107E52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93" w:type="dxa"/>
            <w:shd w:val="clear" w:color="auto" w:fill="auto"/>
          </w:tcPr>
          <w:p w14:paraId="100E21B6">
            <w:pPr>
              <w:pStyle w:val="150"/>
            </w:pPr>
            <w:r>
              <w:t>TRAP</w:t>
            </w:r>
            <w:r>
              <w:rPr>
                <w:rFonts w:hint="eastAsia"/>
              </w:rPr>
              <w:t>版本</w:t>
            </w:r>
          </w:p>
        </w:tc>
        <w:tc>
          <w:tcPr>
            <w:tcW w:w="6921" w:type="dxa"/>
            <w:shd w:val="clear" w:color="auto" w:fill="auto"/>
          </w:tcPr>
          <w:p w14:paraId="092FF95E">
            <w:pPr>
              <w:pStyle w:val="150"/>
            </w:pPr>
            <w:r>
              <w:t>SNMP TRAP</w:t>
            </w:r>
            <w:r>
              <w:rPr>
                <w:rFonts w:hint="eastAsia"/>
              </w:rPr>
              <w:t>信息的版本选项，支持</w:t>
            </w:r>
            <w:r>
              <w:t>v1</w:t>
            </w:r>
            <w:r>
              <w:rPr>
                <w:rFonts w:hint="eastAsia"/>
              </w:rPr>
              <w:t>、</w:t>
            </w:r>
            <w:r>
              <w:t>v2c_notification</w:t>
            </w:r>
            <w:r>
              <w:rPr>
                <w:rFonts w:hint="eastAsia"/>
              </w:rPr>
              <w:t>、</w:t>
            </w:r>
            <w:r>
              <w:t>v2c_inform</w:t>
            </w:r>
            <w:r>
              <w:rPr>
                <w:rFonts w:hint="eastAsia"/>
              </w:rPr>
              <w:t>版本。</w:t>
            </w:r>
          </w:p>
        </w:tc>
      </w:tr>
      <w:tr w14:paraId="40F2E9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93" w:type="dxa"/>
            <w:shd w:val="clear" w:color="auto" w:fill="auto"/>
          </w:tcPr>
          <w:p w14:paraId="5920B02C">
            <w:pPr>
              <w:pStyle w:val="150"/>
            </w:pPr>
            <w:r>
              <w:rPr>
                <w:rFonts w:hint="eastAsia"/>
              </w:rPr>
              <w:t>TRAP地址</w:t>
            </w:r>
          </w:p>
        </w:tc>
        <w:tc>
          <w:tcPr>
            <w:tcW w:w="6921" w:type="dxa"/>
            <w:shd w:val="clear" w:color="auto" w:fill="auto"/>
          </w:tcPr>
          <w:p w14:paraId="56136412">
            <w:pPr>
              <w:pStyle w:val="150"/>
            </w:pPr>
            <w:r>
              <w:rPr>
                <w:rFonts w:hint="eastAsia"/>
              </w:rPr>
              <w:t>SNMP TRAP报文的上报地址，TRAP地址可以设置为IPv4和IPv6地址。</w:t>
            </w:r>
          </w:p>
        </w:tc>
      </w:tr>
      <w:tr w14:paraId="653C4E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93" w:type="dxa"/>
            <w:shd w:val="clear" w:color="auto" w:fill="auto"/>
          </w:tcPr>
          <w:p w14:paraId="41F28B43">
            <w:pPr>
              <w:pStyle w:val="150"/>
            </w:pPr>
            <w:r>
              <w:rPr>
                <w:rFonts w:hint="eastAsia"/>
              </w:rPr>
              <w:t>位置</w:t>
            </w:r>
          </w:p>
        </w:tc>
        <w:tc>
          <w:tcPr>
            <w:tcW w:w="6921" w:type="dxa"/>
            <w:shd w:val="clear" w:color="auto" w:fill="auto"/>
          </w:tcPr>
          <w:p w14:paraId="10D562CF">
            <w:pPr>
              <w:pStyle w:val="150"/>
            </w:pPr>
            <w:r>
              <w:rPr>
                <w:rFonts w:hint="eastAsia"/>
              </w:rPr>
              <w:t>设备的位置信息，可输入0到255个字符。</w:t>
            </w:r>
          </w:p>
        </w:tc>
      </w:tr>
      <w:tr w14:paraId="650D94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93" w:type="dxa"/>
            <w:shd w:val="clear" w:color="auto" w:fill="auto"/>
          </w:tcPr>
          <w:p w14:paraId="558A5089">
            <w:pPr>
              <w:pStyle w:val="150"/>
            </w:pPr>
            <w:r>
              <w:rPr>
                <w:rFonts w:hint="eastAsia"/>
              </w:rPr>
              <w:t>读团体名</w:t>
            </w:r>
          </w:p>
        </w:tc>
        <w:tc>
          <w:tcPr>
            <w:tcW w:w="6921" w:type="dxa"/>
            <w:shd w:val="clear" w:color="auto" w:fill="auto"/>
          </w:tcPr>
          <w:p w14:paraId="36408A7C">
            <w:pPr>
              <w:pStyle w:val="150"/>
            </w:pPr>
            <w:r>
              <w:rPr>
                <w:rFonts w:hint="eastAsia"/>
              </w:rPr>
              <w:t>SNMP的读团体字，可输入6到</w:t>
            </w:r>
            <w:r>
              <w:t>32</w:t>
            </w:r>
            <w:r>
              <w:rPr>
                <w:rFonts w:hint="eastAsia"/>
              </w:rPr>
              <w:t>个字符，默认值为“default-public”</w:t>
            </w:r>
            <w:r>
              <w:t xml:space="preserve"> </w:t>
            </w:r>
          </w:p>
        </w:tc>
      </w:tr>
      <w:tr w14:paraId="231A777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093" w:type="dxa"/>
            <w:shd w:val="clear" w:color="auto" w:fill="auto"/>
          </w:tcPr>
          <w:p w14:paraId="5503400F">
            <w:pPr>
              <w:pStyle w:val="150"/>
            </w:pPr>
            <w:r>
              <w:rPr>
                <w:rFonts w:hint="eastAsia"/>
              </w:rPr>
              <w:t>写团体名</w:t>
            </w:r>
          </w:p>
        </w:tc>
        <w:tc>
          <w:tcPr>
            <w:tcW w:w="6921" w:type="dxa"/>
            <w:shd w:val="clear" w:color="auto" w:fill="auto"/>
          </w:tcPr>
          <w:p w14:paraId="78BD56F6">
            <w:pPr>
              <w:pStyle w:val="150"/>
            </w:pPr>
            <w:r>
              <w:rPr>
                <w:rFonts w:hint="eastAsia"/>
              </w:rPr>
              <w:t>SNMP的写团体字，可输入6到</w:t>
            </w:r>
            <w:r>
              <w:t>32</w:t>
            </w:r>
            <w:r>
              <w:rPr>
                <w:rFonts w:hint="eastAsia"/>
              </w:rPr>
              <w:t>个字符，默认值为“default-private”</w:t>
            </w:r>
            <w:r>
              <w:t xml:space="preserve"> </w:t>
            </w:r>
          </w:p>
          <w:p w14:paraId="12BE2191">
            <w:pPr>
              <w:pStyle w:val="150"/>
            </w:pPr>
            <w:r>
              <w:rPr>
                <w:rFonts w:hint="eastAsia"/>
              </w:rPr>
              <w:t>只有当设备上和网管系统上的团体字设置一致时才可以完成认证进行通讯。</w:t>
            </w:r>
          </w:p>
        </w:tc>
      </w:tr>
    </w:tbl>
    <w:p w14:paraId="4964F3A1"/>
    <w:p w14:paraId="40E34F90">
      <w:pPr>
        <w:pStyle w:val="6"/>
      </w:pPr>
      <w:bookmarkStart w:id="11214" w:name="_Toc15485368"/>
      <w:bookmarkStart w:id="11215" w:name="_Toc23153122"/>
      <w:bookmarkStart w:id="11216" w:name="_Toc6237733"/>
      <w:bookmarkStart w:id="11217" w:name="_Toc40276543"/>
      <w:r>
        <w:rPr>
          <w:rFonts w:hint="eastAsia"/>
        </w:rPr>
        <w:t>配置</w:t>
      </w:r>
      <w:r>
        <w:t>SNMP USM</w:t>
      </w:r>
      <w:r>
        <w:rPr>
          <w:rFonts w:hint="eastAsia"/>
        </w:rPr>
        <w:t>用户</w:t>
      </w:r>
      <w:bookmarkEnd w:id="11214"/>
      <w:bookmarkEnd w:id="11215"/>
      <w:bookmarkEnd w:id="11216"/>
      <w:bookmarkEnd w:id="11217"/>
    </w:p>
    <w:p w14:paraId="6B702C9D">
      <w:r>
        <w:rPr>
          <w:rFonts w:hint="eastAsia"/>
        </w:rPr>
        <w:t>通过菜单“系统管理 &gt; 系统设定 &gt; SNMP配置</w:t>
      </w:r>
      <w:r>
        <w:t xml:space="preserve"> &gt; SNMP</w:t>
      </w:r>
      <w:r>
        <w:rPr>
          <w:rFonts w:hint="eastAsia"/>
        </w:rPr>
        <w:t>用户”，在该页面上可以新建、编辑、删除、浏览</w:t>
      </w:r>
      <w:r>
        <w:t>SNMP USM</w:t>
      </w:r>
      <w:r>
        <w:rPr>
          <w:rFonts w:hint="eastAsia"/>
        </w:rPr>
        <w:t>用户。</w:t>
      </w:r>
    </w:p>
    <w:p w14:paraId="496C730D">
      <w:pPr>
        <w:pStyle w:val="188"/>
      </w:pPr>
      <w:bookmarkStart w:id="11218" w:name="_Toc141875277"/>
      <w:r>
        <w:t>SNMP USM</w:t>
      </w:r>
      <w:r>
        <w:rPr>
          <w:rFonts w:hint="eastAsia"/>
        </w:rPr>
        <w:t>用户概览页面</w:t>
      </w:r>
      <w:bookmarkEnd w:id="11218"/>
    </w:p>
    <w:p w14:paraId="6086A8D7">
      <w:r>
        <w:drawing>
          <wp:inline distT="0" distB="0" distL="0" distR="0">
            <wp:extent cx="5638800" cy="875665"/>
            <wp:effectExtent l="0" t="0" r="0" b="635"/>
            <wp:docPr id="3314" name="图片 3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4" name="图片 3314"/>
                    <pic:cNvPicPr>
                      <a:picLocks noChangeAspect="1"/>
                    </pic:cNvPicPr>
                  </pic:nvPicPr>
                  <pic:blipFill>
                    <a:blip r:embed="rId1235"/>
                    <a:stretch>
                      <a:fillRect/>
                    </a:stretch>
                  </pic:blipFill>
                  <pic:spPr>
                    <a:xfrm>
                      <a:off x="0" y="0"/>
                      <a:ext cx="5668821" cy="880405"/>
                    </a:xfrm>
                    <a:prstGeom prst="rect">
                      <a:avLst/>
                    </a:prstGeom>
                  </pic:spPr>
                </pic:pic>
              </a:graphicData>
            </a:graphic>
          </wp:inline>
        </w:drawing>
      </w:r>
    </w:p>
    <w:p w14:paraId="29082842"/>
    <w:p w14:paraId="38FD31E3">
      <w:r>
        <w:rPr>
          <w:rFonts w:hint="eastAsia"/>
        </w:rPr>
        <w:t>点击页面上的</w:t>
      </w:r>
      <w:r>
        <w:t>&lt;</w:t>
      </w:r>
      <w:r>
        <w:rPr>
          <w:rFonts w:hint="eastAsia"/>
        </w:rPr>
        <w:t>新建</w:t>
      </w:r>
      <w:r>
        <w:t>&gt;</w:t>
      </w:r>
      <w:r>
        <w:rPr>
          <w:rFonts w:hint="eastAsia"/>
        </w:rPr>
        <w:t>按钮，可以新建</w:t>
      </w:r>
      <w:r>
        <w:t>USM</w:t>
      </w:r>
      <w:r>
        <w:rPr>
          <w:rFonts w:hint="eastAsia"/>
        </w:rPr>
        <w:t>用户。</w:t>
      </w:r>
    </w:p>
    <w:p w14:paraId="646F96FF">
      <w:pPr>
        <w:pStyle w:val="188"/>
      </w:pPr>
      <w:bookmarkStart w:id="11219" w:name="_Toc141875278"/>
      <w:bookmarkStart w:id="11220" w:name="_Ref392841228"/>
      <w:r>
        <w:t>USM</w:t>
      </w:r>
      <w:r>
        <w:rPr>
          <w:rFonts w:hint="eastAsia"/>
        </w:rPr>
        <w:t>用户新建页面</w:t>
      </w:r>
      <w:bookmarkEnd w:id="11219"/>
    </w:p>
    <w:bookmarkEnd w:id="11220"/>
    <w:p w14:paraId="2800A40F">
      <w:r>
        <w:drawing>
          <wp:inline distT="0" distB="0" distL="0" distR="0">
            <wp:extent cx="5334000" cy="2359025"/>
            <wp:effectExtent l="0" t="0" r="0" b="3175"/>
            <wp:docPr id="1296485346" name="图片 1296485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46" name="图片 1296485346"/>
                    <pic:cNvPicPr>
                      <a:picLocks noChangeAspect="1"/>
                    </pic:cNvPicPr>
                  </pic:nvPicPr>
                  <pic:blipFill>
                    <a:blip r:embed="rId1236"/>
                    <a:stretch>
                      <a:fillRect/>
                    </a:stretch>
                  </pic:blipFill>
                  <pic:spPr>
                    <a:xfrm>
                      <a:off x="0" y="0"/>
                      <a:ext cx="5335750" cy="2359820"/>
                    </a:xfrm>
                    <a:prstGeom prst="rect">
                      <a:avLst/>
                    </a:prstGeom>
                  </pic:spPr>
                </pic:pic>
              </a:graphicData>
            </a:graphic>
          </wp:inline>
        </w:drawing>
      </w:r>
    </w:p>
    <w:p w14:paraId="3BA28ABF"/>
    <w:p w14:paraId="65B19D2C">
      <w:pPr>
        <w:pStyle w:val="183"/>
      </w:pPr>
      <w:bookmarkStart w:id="11221" w:name="_Toc141875774"/>
      <w:r>
        <w:t>USM</w:t>
      </w:r>
      <w:r>
        <w:rPr>
          <w:rFonts w:hint="eastAsia"/>
        </w:rPr>
        <w:t>用户配置项含义表</w:t>
      </w:r>
      <w:bookmarkEnd w:id="11221"/>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43"/>
        <w:gridCol w:w="6671"/>
      </w:tblGrid>
      <w:tr w14:paraId="1278B90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tcBorders>
              <w:tl2br w:val="nil"/>
              <w:tr2bl w:val="nil"/>
            </w:tcBorders>
            <w:shd w:val="clear" w:color="auto" w:fill="538135" w:themeFill="accent6" w:themeFillShade="BF"/>
            <w:vAlign w:val="center"/>
          </w:tcPr>
          <w:p w14:paraId="69E78E61">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84" w:type="dxa"/>
            <w:tcBorders>
              <w:tl2br w:val="nil"/>
              <w:tr2bl w:val="nil"/>
            </w:tcBorders>
            <w:shd w:val="clear" w:color="auto" w:fill="538135" w:themeFill="accent6" w:themeFillShade="BF"/>
            <w:vAlign w:val="center"/>
          </w:tcPr>
          <w:p w14:paraId="734E0091">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214A8B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3C5E3ECB">
            <w:pPr>
              <w:pStyle w:val="150"/>
            </w:pPr>
            <w:r>
              <w:rPr>
                <w:rFonts w:hint="eastAsia"/>
              </w:rPr>
              <w:t>用户名</w:t>
            </w:r>
          </w:p>
        </w:tc>
        <w:tc>
          <w:tcPr>
            <w:tcW w:w="6684" w:type="dxa"/>
            <w:shd w:val="clear" w:color="auto" w:fill="auto"/>
          </w:tcPr>
          <w:p w14:paraId="069BCD03">
            <w:pPr>
              <w:pStyle w:val="150"/>
            </w:pPr>
            <w:r>
              <w:t>USM</w:t>
            </w:r>
            <w:r>
              <w:rPr>
                <w:rFonts w:hint="eastAsia"/>
              </w:rPr>
              <w:t>用户的用户名称，可输入</w:t>
            </w:r>
            <w:r>
              <w:t>1</w:t>
            </w:r>
            <w:r>
              <w:rPr>
                <w:rFonts w:hint="eastAsia"/>
              </w:rPr>
              <w:t>到</w:t>
            </w:r>
            <w:r>
              <w:t>32</w:t>
            </w:r>
            <w:r>
              <w:rPr>
                <w:rFonts w:hint="eastAsia"/>
              </w:rPr>
              <w:t>个字符</w:t>
            </w:r>
          </w:p>
        </w:tc>
      </w:tr>
      <w:tr w14:paraId="001EDA2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0D98FF93">
            <w:pPr>
              <w:pStyle w:val="150"/>
            </w:pPr>
            <w:r>
              <w:rPr>
                <w:rFonts w:hint="eastAsia"/>
              </w:rPr>
              <w:t>认证</w:t>
            </w:r>
          </w:p>
        </w:tc>
        <w:tc>
          <w:tcPr>
            <w:tcW w:w="6684" w:type="dxa"/>
            <w:shd w:val="clear" w:color="auto" w:fill="auto"/>
          </w:tcPr>
          <w:p w14:paraId="41915962">
            <w:pPr>
              <w:pStyle w:val="150"/>
            </w:pPr>
            <w:r>
              <w:rPr>
                <w:rFonts w:hint="eastAsia"/>
              </w:rPr>
              <w:t>USM用户的认证方式，支持MD5、SHA和SHA256三种方式</w:t>
            </w:r>
          </w:p>
        </w:tc>
      </w:tr>
      <w:tr w14:paraId="5BB50EA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3AA48E18">
            <w:pPr>
              <w:pStyle w:val="150"/>
            </w:pPr>
            <w:r>
              <w:rPr>
                <w:rFonts w:hint="eastAsia"/>
              </w:rPr>
              <w:t>认证密码</w:t>
            </w:r>
          </w:p>
        </w:tc>
        <w:tc>
          <w:tcPr>
            <w:tcW w:w="6684" w:type="dxa"/>
            <w:shd w:val="clear" w:color="auto" w:fill="auto"/>
          </w:tcPr>
          <w:p w14:paraId="55EC0CD4">
            <w:pPr>
              <w:pStyle w:val="150"/>
            </w:pPr>
            <w:r>
              <w:rPr>
                <w:rFonts w:hint="eastAsia"/>
              </w:rPr>
              <w:t>USM用户的认证密码，可输入8到31个字符，认证密码必须包括数字、字母以及字符，不能输入空格和中文。</w:t>
            </w:r>
          </w:p>
        </w:tc>
      </w:tr>
      <w:tr w14:paraId="71E4EF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4BFF5317">
            <w:pPr>
              <w:pStyle w:val="150"/>
            </w:pPr>
            <w:r>
              <w:rPr>
                <w:rFonts w:hint="eastAsia"/>
              </w:rPr>
              <w:t>加密</w:t>
            </w:r>
          </w:p>
        </w:tc>
        <w:tc>
          <w:tcPr>
            <w:tcW w:w="6684" w:type="dxa"/>
            <w:shd w:val="clear" w:color="auto" w:fill="auto"/>
          </w:tcPr>
          <w:p w14:paraId="1D2364F6">
            <w:pPr>
              <w:pStyle w:val="150"/>
            </w:pPr>
            <w:r>
              <w:t>USM</w:t>
            </w:r>
            <w:r>
              <w:rPr>
                <w:rFonts w:hint="eastAsia"/>
              </w:rPr>
              <w:t>用户的加密方式，支持</w:t>
            </w:r>
            <w:r>
              <w:t>DES</w:t>
            </w:r>
            <w:r>
              <w:rPr>
                <w:rFonts w:hint="eastAsia"/>
              </w:rPr>
              <w:t>和</w:t>
            </w:r>
            <w:r>
              <w:t>AES</w:t>
            </w:r>
            <w:r>
              <w:rPr>
                <w:rFonts w:hint="eastAsia"/>
              </w:rPr>
              <w:t>两种方式，需要与网管端保持一致。</w:t>
            </w:r>
          </w:p>
        </w:tc>
      </w:tr>
      <w:tr w14:paraId="718180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76C151E7">
            <w:pPr>
              <w:pStyle w:val="150"/>
            </w:pPr>
            <w:r>
              <w:rPr>
                <w:rFonts w:hint="eastAsia"/>
              </w:rPr>
              <w:t>加密密码</w:t>
            </w:r>
          </w:p>
        </w:tc>
        <w:tc>
          <w:tcPr>
            <w:tcW w:w="6684" w:type="dxa"/>
            <w:shd w:val="clear" w:color="auto" w:fill="auto"/>
          </w:tcPr>
          <w:p w14:paraId="71700520">
            <w:pPr>
              <w:pStyle w:val="150"/>
            </w:pPr>
            <w:r>
              <w:rPr>
                <w:rFonts w:hint="eastAsia"/>
              </w:rPr>
              <w:t>USM用户的加密密码，可输入8到31个字符，加密密码必须包括数字、字母以及字符，不能输入空格和中文。</w:t>
            </w:r>
          </w:p>
        </w:tc>
      </w:tr>
    </w:tbl>
    <w:p w14:paraId="1025F3E9"/>
    <w:p w14:paraId="1B0AE4D3">
      <w:r>
        <w:rPr>
          <w:rFonts w:hint="eastAsia"/>
        </w:rPr>
        <w:t>点击</w:t>
      </w:r>
      <w:r>
        <w:t>&lt;</w:t>
      </w:r>
      <w:r>
        <w:rPr>
          <w:rFonts w:hint="eastAsia"/>
        </w:rPr>
        <w:t>提交</w:t>
      </w:r>
      <w:r>
        <w:t>&gt;</w:t>
      </w:r>
      <w:r>
        <w:rPr>
          <w:rFonts w:hint="eastAsia"/>
        </w:rPr>
        <w:t>按钮，提交配置。</w:t>
      </w:r>
    </w:p>
    <w:p w14:paraId="0BF92874">
      <w:pPr>
        <w:pStyle w:val="188"/>
      </w:pPr>
      <w:bookmarkStart w:id="11222" w:name="_Ref392860747"/>
      <w:bookmarkStart w:id="11223" w:name="_Toc141875279"/>
      <w:r>
        <w:t>USM</w:t>
      </w:r>
      <w:r>
        <w:rPr>
          <w:rFonts w:hint="eastAsia"/>
        </w:rPr>
        <w:t>用户信息概览页面</w:t>
      </w:r>
      <w:bookmarkEnd w:id="11222"/>
      <w:bookmarkEnd w:id="11223"/>
    </w:p>
    <w:p w14:paraId="7091ADA6">
      <w:r>
        <w:drawing>
          <wp:inline distT="0" distB="0" distL="0" distR="0">
            <wp:extent cx="5572125" cy="1089660"/>
            <wp:effectExtent l="0" t="0" r="0" b="0"/>
            <wp:docPr id="3316" name="图片 3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6" name="图片 3316"/>
                    <pic:cNvPicPr>
                      <a:picLocks noChangeAspect="1"/>
                    </pic:cNvPicPr>
                  </pic:nvPicPr>
                  <pic:blipFill>
                    <a:blip r:embed="rId1237"/>
                    <a:stretch>
                      <a:fillRect/>
                    </a:stretch>
                  </pic:blipFill>
                  <pic:spPr>
                    <a:xfrm>
                      <a:off x="0" y="0"/>
                      <a:ext cx="5619574" cy="1098962"/>
                    </a:xfrm>
                    <a:prstGeom prst="rect">
                      <a:avLst/>
                    </a:prstGeom>
                  </pic:spPr>
                </pic:pic>
              </a:graphicData>
            </a:graphic>
          </wp:inline>
        </w:drawing>
      </w:r>
    </w:p>
    <w:p w14:paraId="1FBFAC66"/>
    <w:p w14:paraId="17457889">
      <w:r>
        <w:rPr>
          <w:rFonts w:hint="eastAsia"/>
        </w:rPr>
        <w:t>点击</w:t>
      </w:r>
      <w:r>
        <w:t>&lt;</w:t>
      </w:r>
      <w:r>
        <w:rPr>
          <w:rFonts w:hint="eastAsia"/>
        </w:rPr>
        <w:t>编辑</w:t>
      </w:r>
      <w:r>
        <w:t>&gt;</w:t>
      </w:r>
      <w:r>
        <w:rPr>
          <w:rFonts w:hint="eastAsia"/>
        </w:rPr>
        <w:t>按钮，可对选中条目进行编辑。</w:t>
      </w:r>
    </w:p>
    <w:p w14:paraId="5F2DCB14">
      <w:r>
        <w:rPr>
          <w:rFonts w:hint="eastAsia"/>
        </w:rPr>
        <w:t>点击</w:t>
      </w:r>
      <w:r>
        <w:t>&lt;</w:t>
      </w:r>
      <w:r>
        <w:rPr>
          <w:rFonts w:hint="eastAsia"/>
        </w:rPr>
        <w:t>删除</w:t>
      </w:r>
      <w:r>
        <w:t>&gt;</w:t>
      </w:r>
      <w:r>
        <w:rPr>
          <w:rFonts w:hint="eastAsia"/>
        </w:rPr>
        <w:t>按钮，可对选中条目进行删除。</w:t>
      </w:r>
    </w:p>
    <w:p w14:paraId="7AD497A7">
      <w:pPr>
        <w:pStyle w:val="5"/>
      </w:pPr>
      <w:bookmarkStart w:id="11224" w:name="_Toc99562035"/>
      <w:bookmarkStart w:id="11225" w:name="_Toc142401363"/>
      <w:bookmarkStart w:id="11226" w:name="_Toc141873846"/>
      <w:bookmarkStart w:id="11227" w:name="_Toc172218653"/>
      <w:bookmarkStart w:id="11228" w:name="_Toc194081238"/>
      <w:bookmarkStart w:id="11229" w:name="_Toc196728566"/>
      <w:bookmarkStart w:id="11230" w:name="_Toc28090857"/>
      <w:r>
        <w:t>快速配置</w:t>
      </w:r>
      <w:bookmarkEnd w:id="11224"/>
      <w:bookmarkEnd w:id="11225"/>
      <w:bookmarkEnd w:id="11226"/>
      <w:bookmarkEnd w:id="11227"/>
      <w:bookmarkEnd w:id="11228"/>
      <w:bookmarkEnd w:id="11229"/>
      <w:bookmarkEnd w:id="11230"/>
    </w:p>
    <w:p w14:paraId="48CAD642">
      <w:pPr>
        <w:pStyle w:val="6"/>
      </w:pPr>
      <w:bookmarkStart w:id="11231" w:name="_Toc28090858"/>
      <w:r>
        <w:t>快速配置概述</w:t>
      </w:r>
      <w:bookmarkEnd w:id="11231"/>
    </w:p>
    <w:p w14:paraId="288A6DBB">
      <w:r>
        <w:rPr>
          <w:rFonts w:hint="eastAsia"/>
        </w:rPr>
        <w:t>首次登录设备时会自动弹出快速配置框，也可以通过“系统管理 &gt; 系统设定 &gt; 快速配置”手动打开。通过快速配置向导的提示可以设置主机名称、系统时间</w:t>
      </w:r>
      <w:r>
        <w:t>等</w:t>
      </w:r>
      <w:r>
        <w:rPr>
          <w:rFonts w:hint="eastAsia"/>
        </w:rPr>
        <w:t>，根据网络拓扑以及应用场景选择工作模式，并完成接口、路由、DNS等功能的快速配置，可以在快速配置的引导下实现网关模式、网桥模式、旁路模式的快速配置。</w:t>
      </w:r>
    </w:p>
    <w:p w14:paraId="61A06AE9">
      <w:pPr>
        <w:pStyle w:val="6"/>
      </w:pPr>
      <w:bookmarkStart w:id="11232" w:name="_Toc28090859"/>
      <w:r>
        <w:t>快速配置向导</w:t>
      </w:r>
      <w:bookmarkEnd w:id="11232"/>
    </w:p>
    <w:p w14:paraId="62324D86">
      <w:r>
        <w:rPr>
          <w:rFonts w:hint="eastAsia"/>
        </w:rPr>
        <w:t>首次登录设备后，系统自动弹出“快速配置”页面，在欢迎界面单击“下一步”。如</w:t>
      </w:r>
      <w:r>
        <w:fldChar w:fldCharType="begin"/>
      </w:r>
      <w:r>
        <w:instrText xml:space="preserve"> </w:instrText>
      </w:r>
      <w:r>
        <w:rPr>
          <w:rFonts w:hint="eastAsia"/>
        </w:rPr>
        <w:instrText xml:space="preserve">REF _Ref28026727 \r \h</w:instrText>
      </w:r>
      <w:r>
        <w:instrText xml:space="preserve"> </w:instrText>
      </w:r>
      <w:r>
        <w:fldChar w:fldCharType="separate"/>
      </w:r>
      <w:r>
        <w:rPr>
          <w:rFonts w:hint="eastAsia"/>
        </w:rPr>
        <w:t>图33-41</w:t>
      </w:r>
      <w:r>
        <w:fldChar w:fldCharType="end"/>
      </w:r>
      <w:r>
        <w:t>所示</w:t>
      </w:r>
      <w:r>
        <w:rPr>
          <w:rFonts w:hint="eastAsia"/>
        </w:rPr>
        <w:t>。</w:t>
      </w:r>
    </w:p>
    <w:p w14:paraId="3ED50890">
      <w:pPr>
        <w:pStyle w:val="188"/>
      </w:pPr>
      <w:bookmarkStart w:id="11233" w:name="_Ref28026727"/>
      <w:bookmarkStart w:id="11234" w:name="_Toc141875280"/>
      <w:r>
        <w:rPr>
          <w:rFonts w:hint="eastAsia"/>
        </w:rPr>
        <w:t>快速配置向导欢迎界面</w:t>
      </w:r>
      <w:bookmarkEnd w:id="11233"/>
      <w:bookmarkEnd w:id="11234"/>
    </w:p>
    <w:p w14:paraId="0DB651F5">
      <w:pPr>
        <w:spacing w:before="78" w:after="78"/>
      </w:pPr>
      <w:r>
        <w:drawing>
          <wp:inline distT="0" distB="0" distL="0" distR="0">
            <wp:extent cx="5400040" cy="3559810"/>
            <wp:effectExtent l="0" t="0" r="0" b="254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1238"/>
                    <a:stretch>
                      <a:fillRect/>
                    </a:stretch>
                  </pic:blipFill>
                  <pic:spPr>
                    <a:xfrm>
                      <a:off x="0" y="0"/>
                      <a:ext cx="5404409" cy="3562690"/>
                    </a:xfrm>
                    <a:prstGeom prst="rect">
                      <a:avLst/>
                    </a:prstGeom>
                  </pic:spPr>
                </pic:pic>
              </a:graphicData>
            </a:graphic>
          </wp:inline>
        </w:drawing>
      </w:r>
    </w:p>
    <w:p w14:paraId="2672EF15"/>
    <w:p w14:paraId="224AD29F">
      <w:r>
        <w:rPr>
          <w:rFonts w:hint="eastAsia"/>
        </w:rPr>
        <w:t>在系统设定中完成主机名称、时间以及默认策略的配置，并单击“下一步”。如</w:t>
      </w:r>
      <w:r>
        <w:fldChar w:fldCharType="begin"/>
      </w:r>
      <w:r>
        <w:instrText xml:space="preserve"> </w:instrText>
      </w:r>
      <w:r>
        <w:rPr>
          <w:rFonts w:hint="eastAsia"/>
        </w:rPr>
        <w:instrText xml:space="preserve">REF _Ref28026733 \r \h</w:instrText>
      </w:r>
      <w:r>
        <w:instrText xml:space="preserve"> </w:instrText>
      </w:r>
      <w:r>
        <w:fldChar w:fldCharType="separate"/>
      </w:r>
      <w:r>
        <w:rPr>
          <w:rFonts w:hint="eastAsia"/>
        </w:rPr>
        <w:t>图33-42</w:t>
      </w:r>
      <w:r>
        <w:fldChar w:fldCharType="end"/>
      </w:r>
      <w:r>
        <w:t>所示</w:t>
      </w:r>
      <w:r>
        <w:rPr>
          <w:rFonts w:hint="eastAsia"/>
        </w:rPr>
        <w:t>。</w:t>
      </w:r>
    </w:p>
    <w:p w14:paraId="2B7ED702">
      <w:pPr>
        <w:pStyle w:val="188"/>
      </w:pPr>
      <w:bookmarkStart w:id="11235" w:name="_Ref28026733"/>
      <w:bookmarkStart w:id="11236" w:name="_Toc141875281"/>
      <w:r>
        <w:rPr>
          <w:rFonts w:hint="eastAsia"/>
        </w:rPr>
        <w:t>快速配置1-系统设定</w:t>
      </w:r>
      <w:bookmarkEnd w:id="11235"/>
      <w:bookmarkEnd w:id="11236"/>
    </w:p>
    <w:p w14:paraId="3C0B38E0">
      <w:pPr>
        <w:spacing w:before="78" w:after="78"/>
      </w:pPr>
      <w:r>
        <w:drawing>
          <wp:inline distT="0" distB="0" distL="0" distR="0">
            <wp:extent cx="5400040" cy="3568700"/>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1239"/>
                    <a:stretch>
                      <a:fillRect/>
                    </a:stretch>
                  </pic:blipFill>
                  <pic:spPr>
                    <a:xfrm>
                      <a:off x="0" y="0"/>
                      <a:ext cx="5400040" cy="3568700"/>
                    </a:xfrm>
                    <a:prstGeom prst="rect">
                      <a:avLst/>
                    </a:prstGeom>
                  </pic:spPr>
                </pic:pic>
              </a:graphicData>
            </a:graphic>
          </wp:inline>
        </w:drawing>
      </w:r>
    </w:p>
    <w:p w14:paraId="1591B85A"/>
    <w:p w14:paraId="125A1968">
      <w:r>
        <w:rPr>
          <w:rFonts w:hint="eastAsia"/>
        </w:rPr>
        <w:t>根据组网需求选择工作模式，并单击“下一步”。如</w:t>
      </w:r>
      <w:r>
        <w:fldChar w:fldCharType="begin"/>
      </w:r>
      <w:r>
        <w:instrText xml:space="preserve"> </w:instrText>
      </w:r>
      <w:r>
        <w:rPr>
          <w:rFonts w:hint="eastAsia"/>
        </w:rPr>
        <w:instrText xml:space="preserve">REF _Ref28026742 \r \h</w:instrText>
      </w:r>
      <w:r>
        <w:instrText xml:space="preserve"> </w:instrText>
      </w:r>
      <w:r>
        <w:fldChar w:fldCharType="separate"/>
      </w:r>
      <w:r>
        <w:rPr>
          <w:rFonts w:hint="eastAsia"/>
        </w:rPr>
        <w:t>图33-43</w:t>
      </w:r>
      <w:r>
        <w:fldChar w:fldCharType="end"/>
      </w:r>
      <w:r>
        <w:t>所示</w:t>
      </w:r>
      <w:r>
        <w:rPr>
          <w:rFonts w:hint="eastAsia"/>
        </w:rPr>
        <w:t>。</w:t>
      </w:r>
    </w:p>
    <w:p w14:paraId="258D73EA">
      <w:pPr>
        <w:pStyle w:val="188"/>
      </w:pPr>
      <w:bookmarkStart w:id="11237" w:name="_Ref28026742"/>
      <w:bookmarkStart w:id="11238" w:name="_Toc141875282"/>
      <w:r>
        <w:rPr>
          <w:rFonts w:hint="eastAsia"/>
        </w:rPr>
        <w:t>快速配置2-选择工作模式</w:t>
      </w:r>
      <w:bookmarkEnd w:id="11237"/>
      <w:bookmarkEnd w:id="11238"/>
    </w:p>
    <w:p w14:paraId="3EA49646">
      <w:pPr>
        <w:spacing w:before="78" w:after="78"/>
      </w:pPr>
      <w:r>
        <w:drawing>
          <wp:inline distT="0" distB="0" distL="0" distR="0">
            <wp:extent cx="5400040" cy="3531870"/>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1240"/>
                    <a:stretch>
                      <a:fillRect/>
                    </a:stretch>
                  </pic:blipFill>
                  <pic:spPr>
                    <a:xfrm>
                      <a:off x="0" y="0"/>
                      <a:ext cx="5400040" cy="3531870"/>
                    </a:xfrm>
                    <a:prstGeom prst="rect">
                      <a:avLst/>
                    </a:prstGeom>
                  </pic:spPr>
                </pic:pic>
              </a:graphicData>
            </a:graphic>
          </wp:inline>
        </w:drawing>
      </w:r>
    </w:p>
    <w:p w14:paraId="4B25D318">
      <w:r>
        <w:rPr>
          <w:rFonts w:hint="eastAsia"/>
        </w:rPr>
        <w:t>根据组网需求配置接口相关内容，比如接口IP，管理方式等，然后单击“下一步”。如</w:t>
      </w:r>
      <w:r>
        <w:fldChar w:fldCharType="begin"/>
      </w:r>
      <w:r>
        <w:instrText xml:space="preserve"> </w:instrText>
      </w:r>
      <w:r>
        <w:rPr>
          <w:rFonts w:hint="eastAsia"/>
        </w:rPr>
        <w:instrText xml:space="preserve">REF _Ref28026747 \r \h</w:instrText>
      </w:r>
      <w:r>
        <w:instrText xml:space="preserve"> </w:instrText>
      </w:r>
      <w:r>
        <w:fldChar w:fldCharType="separate"/>
      </w:r>
      <w:r>
        <w:rPr>
          <w:rFonts w:hint="eastAsia"/>
        </w:rPr>
        <w:t>图33-44</w:t>
      </w:r>
      <w:r>
        <w:fldChar w:fldCharType="end"/>
      </w:r>
      <w:r>
        <w:t>所示</w:t>
      </w:r>
      <w:r>
        <w:rPr>
          <w:rFonts w:hint="eastAsia"/>
        </w:rPr>
        <w:t>。</w:t>
      </w:r>
    </w:p>
    <w:p w14:paraId="05202D7E">
      <w:pPr>
        <w:pStyle w:val="188"/>
      </w:pPr>
      <w:bookmarkStart w:id="11239" w:name="_Ref28026747"/>
      <w:bookmarkStart w:id="11240" w:name="_Toc141875283"/>
      <w:r>
        <w:rPr>
          <w:rFonts w:hint="eastAsia"/>
        </w:rPr>
        <w:t>快速配置3-接口配置</w:t>
      </w:r>
      <w:bookmarkEnd w:id="11239"/>
      <w:bookmarkEnd w:id="11240"/>
    </w:p>
    <w:p w14:paraId="3E7DF239">
      <w:pPr>
        <w:spacing w:before="78" w:after="78"/>
      </w:pPr>
      <w:r>
        <w:drawing>
          <wp:inline distT="0" distB="0" distL="0" distR="0">
            <wp:extent cx="5019675" cy="3314700"/>
            <wp:effectExtent l="0" t="0" r="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1241"/>
                    <a:stretch>
                      <a:fillRect/>
                    </a:stretch>
                  </pic:blipFill>
                  <pic:spPr>
                    <a:xfrm>
                      <a:off x="0" y="0"/>
                      <a:ext cx="5028196" cy="3320832"/>
                    </a:xfrm>
                    <a:prstGeom prst="rect">
                      <a:avLst/>
                    </a:prstGeom>
                  </pic:spPr>
                </pic:pic>
              </a:graphicData>
            </a:graphic>
          </wp:inline>
        </w:drawing>
      </w:r>
    </w:p>
    <w:p w14:paraId="00C23812"/>
    <w:p w14:paraId="35EDC954">
      <w:r>
        <w:rPr>
          <w:rFonts w:hint="eastAsia"/>
        </w:rPr>
        <w:t>在路由配置界面单击“新建”，在新建框中填写路由相关配置，单击“提交”，然后单击“下一步”。如</w:t>
      </w:r>
      <w:r>
        <w:fldChar w:fldCharType="begin"/>
      </w:r>
      <w:r>
        <w:instrText xml:space="preserve"> </w:instrText>
      </w:r>
      <w:r>
        <w:rPr>
          <w:rFonts w:hint="eastAsia"/>
        </w:rPr>
        <w:instrText xml:space="preserve">REF _Ref28026754 \r \h</w:instrText>
      </w:r>
      <w:r>
        <w:instrText xml:space="preserve"> </w:instrText>
      </w:r>
      <w:r>
        <w:fldChar w:fldCharType="separate"/>
      </w:r>
      <w:r>
        <w:rPr>
          <w:rFonts w:hint="eastAsia"/>
        </w:rPr>
        <w:t>图33-45</w:t>
      </w:r>
      <w:r>
        <w:fldChar w:fldCharType="end"/>
      </w:r>
      <w:r>
        <w:t>所示</w:t>
      </w:r>
      <w:r>
        <w:rPr>
          <w:rFonts w:hint="eastAsia"/>
        </w:rPr>
        <w:t>。</w:t>
      </w:r>
    </w:p>
    <w:p w14:paraId="7E517D98">
      <w:pPr>
        <w:pStyle w:val="188"/>
      </w:pPr>
      <w:bookmarkStart w:id="11241" w:name="_Ref28026754"/>
      <w:bookmarkStart w:id="11242" w:name="_Toc141875284"/>
      <w:r>
        <w:rPr>
          <w:rFonts w:hint="eastAsia"/>
        </w:rPr>
        <w:t>快速配置4-路由配置</w:t>
      </w:r>
      <w:bookmarkEnd w:id="11241"/>
      <w:bookmarkEnd w:id="11242"/>
    </w:p>
    <w:p w14:paraId="174C32F9">
      <w:pPr>
        <w:spacing w:before="78" w:after="78"/>
      </w:pPr>
      <w:r>
        <w:drawing>
          <wp:inline distT="0" distB="0" distL="0" distR="0">
            <wp:extent cx="4695825" cy="3114675"/>
            <wp:effectExtent l="0" t="0" r="0" b="9525"/>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1242"/>
                    <a:stretch>
                      <a:fillRect/>
                    </a:stretch>
                  </pic:blipFill>
                  <pic:spPr>
                    <a:xfrm>
                      <a:off x="0" y="0"/>
                      <a:ext cx="4715635" cy="3128101"/>
                    </a:xfrm>
                    <a:prstGeom prst="rect">
                      <a:avLst/>
                    </a:prstGeom>
                  </pic:spPr>
                </pic:pic>
              </a:graphicData>
            </a:graphic>
          </wp:inline>
        </w:drawing>
      </w:r>
    </w:p>
    <w:p w14:paraId="614C2C95"/>
    <w:p w14:paraId="42573DD3">
      <w:r>
        <w:rPr>
          <w:rFonts w:hint="eastAsia"/>
        </w:rPr>
        <w:t>在DNS配置页面配置DNS服务器地址，并根据需求选择启用DNS全局代理。如</w:t>
      </w:r>
      <w:r>
        <w:fldChar w:fldCharType="begin"/>
      </w:r>
      <w:r>
        <w:instrText xml:space="preserve"> </w:instrText>
      </w:r>
      <w:r>
        <w:rPr>
          <w:rFonts w:hint="eastAsia"/>
        </w:rPr>
        <w:instrText xml:space="preserve">REF _Ref28026760 \r \h</w:instrText>
      </w:r>
      <w:r>
        <w:instrText xml:space="preserve"> </w:instrText>
      </w:r>
      <w:r>
        <w:fldChar w:fldCharType="separate"/>
      </w:r>
      <w:r>
        <w:rPr>
          <w:rFonts w:hint="eastAsia"/>
        </w:rPr>
        <w:t>图33-46</w:t>
      </w:r>
      <w:r>
        <w:fldChar w:fldCharType="end"/>
      </w:r>
      <w:r>
        <w:t>所示</w:t>
      </w:r>
      <w:r>
        <w:rPr>
          <w:rFonts w:hint="eastAsia"/>
        </w:rPr>
        <w:t>。</w:t>
      </w:r>
    </w:p>
    <w:p w14:paraId="27EB9E7F">
      <w:pPr>
        <w:pStyle w:val="188"/>
      </w:pPr>
      <w:bookmarkStart w:id="11243" w:name="_Toc141875285"/>
      <w:bookmarkStart w:id="11244" w:name="_Ref28026760"/>
      <w:r>
        <w:rPr>
          <w:rFonts w:hint="eastAsia"/>
        </w:rPr>
        <w:t>快速配置5-DNS配置</w:t>
      </w:r>
      <w:bookmarkEnd w:id="11243"/>
      <w:bookmarkEnd w:id="11244"/>
    </w:p>
    <w:p w14:paraId="152C359F">
      <w:r>
        <w:drawing>
          <wp:inline distT="0" distB="0" distL="0" distR="0">
            <wp:extent cx="4972050" cy="3269615"/>
            <wp:effectExtent l="0" t="0" r="0" b="6985"/>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1243"/>
                    <a:stretch>
                      <a:fillRect/>
                    </a:stretch>
                  </pic:blipFill>
                  <pic:spPr>
                    <a:xfrm>
                      <a:off x="0" y="0"/>
                      <a:ext cx="4995779" cy="3285428"/>
                    </a:xfrm>
                    <a:prstGeom prst="rect">
                      <a:avLst/>
                    </a:prstGeom>
                  </pic:spPr>
                </pic:pic>
              </a:graphicData>
            </a:graphic>
          </wp:inline>
        </w:drawing>
      </w:r>
    </w:p>
    <w:p w14:paraId="5C11D32D">
      <w:r>
        <w:rPr>
          <w:rFonts w:hint="eastAsia"/>
        </w:rPr>
        <w:t>核对配置信息，确认配置无误后，单击“提交”，即可完成快速配置。如</w:t>
      </w:r>
      <w:r>
        <w:fldChar w:fldCharType="begin"/>
      </w:r>
      <w:r>
        <w:instrText xml:space="preserve"> </w:instrText>
      </w:r>
      <w:r>
        <w:rPr>
          <w:rFonts w:hint="eastAsia"/>
        </w:rPr>
        <w:instrText xml:space="preserve">REF _Ref28026768 \r \h</w:instrText>
      </w:r>
      <w:r>
        <w:instrText xml:space="preserve"> </w:instrText>
      </w:r>
      <w:r>
        <w:fldChar w:fldCharType="separate"/>
      </w:r>
      <w:r>
        <w:rPr>
          <w:rFonts w:hint="eastAsia"/>
        </w:rPr>
        <w:t>图33-47</w:t>
      </w:r>
      <w:r>
        <w:fldChar w:fldCharType="end"/>
      </w:r>
      <w:r>
        <w:t>所示</w:t>
      </w:r>
      <w:r>
        <w:rPr>
          <w:rFonts w:hint="eastAsia"/>
        </w:rPr>
        <w:t>。</w:t>
      </w:r>
    </w:p>
    <w:p w14:paraId="32DF4AF4">
      <w:pPr>
        <w:pStyle w:val="188"/>
      </w:pPr>
      <w:bookmarkStart w:id="11245" w:name="_Toc141875286"/>
      <w:bookmarkStart w:id="11246" w:name="_Ref28026768"/>
      <w:r>
        <w:rPr>
          <w:rFonts w:hint="eastAsia"/>
        </w:rPr>
        <w:t>快速配置6-核对配置信息</w:t>
      </w:r>
      <w:bookmarkEnd w:id="11245"/>
      <w:bookmarkEnd w:id="11246"/>
    </w:p>
    <w:p w14:paraId="3B4B31CE">
      <w:r>
        <w:drawing>
          <wp:inline distT="0" distB="0" distL="0" distR="0">
            <wp:extent cx="5133975" cy="3388360"/>
            <wp:effectExtent l="0" t="0" r="0" b="254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1244"/>
                    <a:stretch>
                      <a:fillRect/>
                    </a:stretch>
                  </pic:blipFill>
                  <pic:spPr>
                    <a:xfrm>
                      <a:off x="0" y="0"/>
                      <a:ext cx="5145410" cy="3396109"/>
                    </a:xfrm>
                    <a:prstGeom prst="rect">
                      <a:avLst/>
                    </a:prstGeom>
                  </pic:spPr>
                </pic:pic>
              </a:graphicData>
            </a:graphic>
          </wp:inline>
        </w:drawing>
      </w:r>
    </w:p>
    <w:p w14:paraId="4EC28A65"/>
    <w:p w14:paraId="3B5D396C"/>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4B8865FD">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1E28B2C6">
            <w:pPr>
              <w:pStyle w:val="150"/>
              <w:adjustRightInd w:val="0"/>
              <w:snapToGrid w:val="0"/>
              <w:rPr>
                <w:color w:val="auto"/>
              </w:rPr>
            </w:pPr>
            <w:r>
              <w:rPr>
                <w:b/>
                <w:color w:val="auto"/>
              </w:rPr>
              <w:drawing>
                <wp:inline distT="0" distB="0" distL="0" distR="0">
                  <wp:extent cx="283210" cy="283210"/>
                  <wp:effectExtent l="0" t="0" r="2540" b="2540"/>
                  <wp:docPr id="953" name="图片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图片 95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7C8533E0">
            <w:pPr>
              <w:pStyle w:val="207"/>
              <w:adjustRightInd w:val="0"/>
              <w:snapToGrid w:val="0"/>
              <w:rPr>
                <w:color w:val="auto"/>
                <w:lang w:eastAsia="zh-CN"/>
              </w:rPr>
            </w:pPr>
            <w:r>
              <w:rPr>
                <w:rFonts w:hint="eastAsia"/>
                <w:color w:val="auto"/>
                <w:lang w:eastAsia="zh-CN"/>
              </w:rPr>
              <w:t>首次登录设备时会自动弹出快速配置页面，忽略或者完成后，下次不再弹出。</w:t>
            </w:r>
          </w:p>
          <w:p w14:paraId="1D2412A9">
            <w:pPr>
              <w:pStyle w:val="207"/>
              <w:adjustRightInd w:val="0"/>
              <w:snapToGrid w:val="0"/>
              <w:rPr>
                <w:color w:val="auto"/>
                <w:lang w:eastAsia="zh-CN"/>
              </w:rPr>
            </w:pPr>
            <w:r>
              <w:rPr>
                <w:rFonts w:hint="eastAsia"/>
                <w:color w:val="auto"/>
                <w:lang w:eastAsia="zh-CN"/>
              </w:rPr>
              <w:t>如果已经在快速配置的页面选择了“下一次登录不再提示”，则后续登录不会弹出快速配置页面。</w:t>
            </w:r>
          </w:p>
          <w:p w14:paraId="1A5F0D28">
            <w:pPr>
              <w:pStyle w:val="207"/>
              <w:adjustRightInd w:val="0"/>
              <w:snapToGrid w:val="0"/>
              <w:rPr>
                <w:color w:val="auto"/>
                <w:lang w:eastAsia="zh-CN"/>
              </w:rPr>
            </w:pPr>
            <w:r>
              <w:rPr>
                <w:rFonts w:hint="eastAsia"/>
                <w:color w:val="auto"/>
                <w:lang w:eastAsia="zh-CN"/>
              </w:rPr>
              <w:t>可以通过“系统管理 &gt; 系统设定 &gt; 快速配置”手动开启快速配置向导。</w:t>
            </w:r>
          </w:p>
        </w:tc>
      </w:tr>
    </w:tbl>
    <w:p w14:paraId="421B1668"/>
    <w:p w14:paraId="0270AF9E">
      <w:pPr>
        <w:pStyle w:val="5"/>
      </w:pPr>
      <w:bookmarkStart w:id="11247" w:name="_Toc99562036"/>
      <w:bookmarkStart w:id="11248" w:name="_Toc172218654"/>
      <w:bookmarkStart w:id="11249" w:name="_Toc194081239"/>
      <w:bookmarkStart w:id="11250" w:name="_Toc196728567"/>
      <w:bookmarkStart w:id="11251" w:name="_Toc142401364"/>
      <w:bookmarkStart w:id="11252" w:name="_Toc61023032"/>
      <w:bookmarkStart w:id="11253" w:name="_Toc141873847"/>
      <w:bookmarkStart w:id="11254" w:name="_Toc44618701"/>
      <w:bookmarkStart w:id="11255" w:name="_Toc60069563"/>
      <w:r>
        <w:rPr>
          <w:rFonts w:hint="eastAsia"/>
        </w:rPr>
        <w:t>网管配置</w:t>
      </w:r>
      <w:bookmarkEnd w:id="11247"/>
      <w:bookmarkEnd w:id="11248"/>
      <w:bookmarkEnd w:id="11249"/>
      <w:bookmarkEnd w:id="11250"/>
      <w:bookmarkEnd w:id="11251"/>
      <w:bookmarkEnd w:id="11252"/>
      <w:bookmarkEnd w:id="11253"/>
      <w:bookmarkEnd w:id="11254"/>
      <w:bookmarkEnd w:id="11255"/>
    </w:p>
    <w:p w14:paraId="380DE989">
      <w:r>
        <w:rPr>
          <w:rFonts w:hint="eastAsia"/>
        </w:rPr>
        <w:t>通过菜单“系统管理 &gt; 系统设定 &gt; 网管配置”，进入如</w:t>
      </w:r>
      <w:r>
        <w:rPr>
          <w:color w:val="0000FF"/>
          <w:u w:val="single"/>
        </w:rPr>
        <w:fldChar w:fldCharType="begin"/>
      </w:r>
      <w:r>
        <w:instrText xml:space="preserve"> </w:instrText>
      </w:r>
      <w:r>
        <w:rPr>
          <w:rFonts w:hint="eastAsia"/>
        </w:rPr>
        <w:instrText xml:space="preserve">REF _Ref44617583 \r \h</w:instrText>
      </w:r>
      <w:r>
        <w:instrText xml:space="preserve"> </w:instrText>
      </w:r>
      <w:r>
        <w:rPr>
          <w:color w:val="0000FF"/>
          <w:u w:val="single"/>
        </w:rPr>
        <w:fldChar w:fldCharType="separate"/>
      </w:r>
      <w:r>
        <w:rPr>
          <w:rFonts w:hint="eastAsia"/>
        </w:rPr>
        <w:t>图33-48</w:t>
      </w:r>
      <w:r>
        <w:rPr>
          <w:color w:val="0000FF"/>
          <w:u w:val="single"/>
        </w:rPr>
        <w:fldChar w:fldCharType="end"/>
      </w:r>
      <w:r>
        <w:rPr>
          <w:rFonts w:hint="eastAsia"/>
        </w:rPr>
        <w:t>所示页面。在该页面上可以配置网管</w:t>
      </w:r>
      <w:r>
        <w:t>相关信息</w:t>
      </w:r>
      <w:r>
        <w:rPr>
          <w:rFonts w:hint="eastAsia"/>
        </w:rPr>
        <w:t>。各个配置项的含义如</w:t>
      </w:r>
      <w:r>
        <w:rPr>
          <w:color w:val="0000FF"/>
          <w:u w:val="single"/>
        </w:rPr>
        <w:fldChar w:fldCharType="begin"/>
      </w:r>
      <w:r>
        <w:instrText xml:space="preserve"> </w:instrText>
      </w:r>
      <w:r>
        <w:rPr>
          <w:rFonts w:hint="eastAsia"/>
        </w:rPr>
        <w:instrText xml:space="preserve">REF _Ref44617589 \r \h</w:instrText>
      </w:r>
      <w:r>
        <w:instrText xml:space="preserve"> </w:instrText>
      </w:r>
      <w:r>
        <w:rPr>
          <w:color w:val="0000FF"/>
          <w:u w:val="single"/>
        </w:rPr>
        <w:fldChar w:fldCharType="separate"/>
      </w:r>
      <w:r>
        <w:rPr>
          <w:rFonts w:hint="eastAsia"/>
        </w:rPr>
        <w:t>表33-1</w:t>
      </w:r>
      <w:r>
        <w:rPr>
          <w:color w:val="0000FF"/>
          <w:u w:val="single"/>
        </w:rPr>
        <w:fldChar w:fldCharType="end"/>
      </w:r>
      <w:r>
        <w:rPr>
          <w:rFonts w:hint="eastAsia"/>
        </w:rPr>
        <w:t>所示。</w:t>
      </w:r>
    </w:p>
    <w:p w14:paraId="08C4FBE6">
      <w:pPr>
        <w:pStyle w:val="188"/>
      </w:pPr>
      <w:bookmarkStart w:id="11256" w:name="_Ref44617583"/>
      <w:bookmarkStart w:id="11257" w:name="_Toc141875287"/>
      <w:r>
        <w:rPr>
          <w:rFonts w:hint="eastAsia"/>
        </w:rPr>
        <w:t>网管配置概览页面</w:t>
      </w:r>
      <w:bookmarkEnd w:id="11256"/>
      <w:bookmarkEnd w:id="11257"/>
    </w:p>
    <w:p w14:paraId="080069D8">
      <w:r>
        <w:drawing>
          <wp:inline distT="0" distB="0" distL="0" distR="0">
            <wp:extent cx="5372100" cy="2488565"/>
            <wp:effectExtent l="0" t="0" r="0" b="6985"/>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1245"/>
                    <a:stretch>
                      <a:fillRect/>
                    </a:stretch>
                  </pic:blipFill>
                  <pic:spPr>
                    <a:xfrm>
                      <a:off x="0" y="0"/>
                      <a:ext cx="5377991" cy="2491464"/>
                    </a:xfrm>
                    <a:prstGeom prst="rect">
                      <a:avLst/>
                    </a:prstGeom>
                  </pic:spPr>
                </pic:pic>
              </a:graphicData>
            </a:graphic>
          </wp:inline>
        </w:drawing>
      </w:r>
    </w:p>
    <w:p w14:paraId="12E93B4B"/>
    <w:p w14:paraId="18946C16">
      <w:pPr>
        <w:pStyle w:val="183"/>
      </w:pPr>
      <w:bookmarkStart w:id="11258" w:name="_Toc141875775"/>
      <w:bookmarkStart w:id="11259" w:name="_Ref44617589"/>
      <w:r>
        <w:rPr>
          <w:rFonts w:hint="eastAsia"/>
        </w:rPr>
        <w:t>网管配置项含义表</w:t>
      </w:r>
      <w:bookmarkEnd w:id="11258"/>
      <w:bookmarkEnd w:id="11259"/>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44"/>
        <w:gridCol w:w="6670"/>
      </w:tblGrid>
      <w:tr w14:paraId="6D8653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tcBorders>
              <w:tl2br w:val="nil"/>
              <w:tr2bl w:val="nil"/>
            </w:tcBorders>
            <w:shd w:val="clear" w:color="auto" w:fill="538135" w:themeFill="accent6" w:themeFillShade="BF"/>
            <w:vAlign w:val="center"/>
          </w:tcPr>
          <w:p w14:paraId="1103588B">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70" w:type="dxa"/>
            <w:tcBorders>
              <w:tl2br w:val="nil"/>
              <w:tr2bl w:val="nil"/>
            </w:tcBorders>
            <w:shd w:val="clear" w:color="auto" w:fill="538135" w:themeFill="accent6" w:themeFillShade="BF"/>
            <w:vAlign w:val="center"/>
          </w:tcPr>
          <w:p w14:paraId="48688A16">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B938A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5544B39E">
            <w:pPr>
              <w:pStyle w:val="150"/>
            </w:pPr>
            <w:r>
              <w:rPr>
                <w:rFonts w:hint="eastAsia"/>
              </w:rPr>
              <w:t>服务器地址</w:t>
            </w:r>
          </w:p>
        </w:tc>
        <w:tc>
          <w:tcPr>
            <w:tcW w:w="6670" w:type="dxa"/>
            <w:shd w:val="clear" w:color="auto" w:fill="auto"/>
          </w:tcPr>
          <w:p w14:paraId="47AB8ED6">
            <w:pPr>
              <w:pStyle w:val="150"/>
            </w:pPr>
            <w:r>
              <w:rPr>
                <w:rFonts w:hint="eastAsia"/>
              </w:rPr>
              <w:t>网管平台服务器的IP。</w:t>
            </w:r>
          </w:p>
        </w:tc>
      </w:tr>
      <w:tr w14:paraId="7CC4B4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064092E6">
            <w:pPr>
              <w:pStyle w:val="150"/>
            </w:pPr>
            <w:r>
              <w:rPr>
                <w:rFonts w:hint="eastAsia"/>
              </w:rPr>
              <w:t>服务器端口</w:t>
            </w:r>
          </w:p>
        </w:tc>
        <w:tc>
          <w:tcPr>
            <w:tcW w:w="6670" w:type="dxa"/>
            <w:shd w:val="clear" w:color="auto" w:fill="auto"/>
          </w:tcPr>
          <w:p w14:paraId="76502C69">
            <w:pPr>
              <w:pStyle w:val="150"/>
            </w:pPr>
            <w:r>
              <w:rPr>
                <w:rFonts w:hint="eastAsia"/>
              </w:rPr>
              <w:t>网管平台服务器使用的端口。</w:t>
            </w:r>
          </w:p>
        </w:tc>
      </w:tr>
      <w:tr w14:paraId="31DE6B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214B86CE">
            <w:pPr>
              <w:pStyle w:val="150"/>
            </w:pPr>
            <w:r>
              <w:rPr>
                <w:rFonts w:hint="eastAsia"/>
              </w:rPr>
              <w:t>上传日志</w:t>
            </w:r>
          </w:p>
        </w:tc>
        <w:tc>
          <w:tcPr>
            <w:tcW w:w="6670" w:type="dxa"/>
            <w:shd w:val="clear" w:color="auto" w:fill="auto"/>
          </w:tcPr>
          <w:p w14:paraId="697F5D62">
            <w:pPr>
              <w:pStyle w:val="150"/>
            </w:pPr>
            <w:r>
              <w:rPr>
                <w:rFonts w:hint="eastAsia"/>
              </w:rPr>
              <w:t>选择日志的上传方式：</w:t>
            </w:r>
          </w:p>
          <w:p w14:paraId="562E5C8E">
            <w:pPr>
              <w:pStyle w:val="207"/>
              <w:rPr>
                <w:lang w:eastAsia="zh-CN"/>
              </w:rPr>
            </w:pPr>
            <w:r>
              <w:rPr>
                <w:lang w:eastAsia="zh-CN"/>
              </w:rPr>
              <w:t>不上传日志</w:t>
            </w:r>
            <w:r>
              <w:rPr>
                <w:rFonts w:hint="eastAsia"/>
                <w:lang w:eastAsia="zh-CN"/>
              </w:rPr>
              <w:t>：</w:t>
            </w:r>
            <w:r>
              <w:rPr>
                <w:lang w:eastAsia="zh-CN"/>
              </w:rPr>
              <w:t>设备的日志不上传到网管服务器</w:t>
            </w:r>
            <w:r>
              <w:rPr>
                <w:rFonts w:hint="eastAsia"/>
                <w:lang w:eastAsia="zh-CN"/>
              </w:rPr>
              <w:t>；</w:t>
            </w:r>
          </w:p>
          <w:p w14:paraId="4BA19943">
            <w:pPr>
              <w:pStyle w:val="207"/>
              <w:rPr>
                <w:lang w:eastAsia="zh-CN"/>
              </w:rPr>
            </w:pPr>
            <w:r>
              <w:rPr>
                <w:lang w:eastAsia="zh-CN"/>
              </w:rPr>
              <w:t>syslog日志</w:t>
            </w:r>
            <w:r>
              <w:rPr>
                <w:rFonts w:hint="eastAsia"/>
                <w:lang w:eastAsia="zh-CN"/>
              </w:rPr>
              <w:t>：设备的日志通过syslog日志端口上传到网管服务器；</w:t>
            </w:r>
          </w:p>
          <w:p w14:paraId="11818BD7">
            <w:pPr>
              <w:pStyle w:val="207"/>
              <w:rPr>
                <w:lang w:eastAsia="zh-CN"/>
              </w:rPr>
            </w:pPr>
            <w:r>
              <w:rPr>
                <w:lang w:eastAsia="zh-CN"/>
              </w:rPr>
              <w:t>FTP上传</w:t>
            </w:r>
            <w:r>
              <w:rPr>
                <w:rFonts w:hint="eastAsia"/>
                <w:lang w:eastAsia="zh-CN"/>
              </w:rPr>
              <w:t>：</w:t>
            </w:r>
            <w:r>
              <w:rPr>
                <w:lang w:eastAsia="zh-CN"/>
              </w:rPr>
              <w:t>设备的日志通过FTP端口上传到网管服务器</w:t>
            </w:r>
            <w:r>
              <w:rPr>
                <w:rFonts w:hint="eastAsia"/>
                <w:lang w:eastAsia="zh-CN"/>
              </w:rPr>
              <w:t>，</w:t>
            </w:r>
            <w:r>
              <w:rPr>
                <w:lang w:eastAsia="zh-CN"/>
              </w:rPr>
              <w:t>FTP与syslog方式上传的日志格式相同</w:t>
            </w:r>
            <w:r>
              <w:rPr>
                <w:rFonts w:hint="eastAsia"/>
                <w:lang w:eastAsia="zh-CN"/>
              </w:rPr>
              <w:t>。</w:t>
            </w:r>
          </w:p>
        </w:tc>
      </w:tr>
      <w:tr w14:paraId="01FB3A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3CC2A6C4">
            <w:pPr>
              <w:pStyle w:val="150"/>
            </w:pPr>
            <w:r>
              <w:rPr>
                <w:rFonts w:hint="eastAsia"/>
              </w:rPr>
              <w:t>设备注册名称</w:t>
            </w:r>
          </w:p>
        </w:tc>
        <w:tc>
          <w:tcPr>
            <w:tcW w:w="6670" w:type="dxa"/>
            <w:shd w:val="clear" w:color="auto" w:fill="auto"/>
          </w:tcPr>
          <w:p w14:paraId="12848BFE">
            <w:pPr>
              <w:pStyle w:val="150"/>
            </w:pPr>
            <w:r>
              <w:rPr>
                <w:rFonts w:hint="eastAsia"/>
              </w:rPr>
              <w:t>设备在网管平台注册的名称。</w:t>
            </w:r>
          </w:p>
        </w:tc>
      </w:tr>
      <w:tr w14:paraId="353399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1DF2004C">
            <w:pPr>
              <w:pStyle w:val="150"/>
            </w:pPr>
            <w:r>
              <w:rPr>
                <w:rFonts w:hint="eastAsia"/>
              </w:rPr>
              <w:t>设备注册密码</w:t>
            </w:r>
          </w:p>
        </w:tc>
        <w:tc>
          <w:tcPr>
            <w:tcW w:w="6670" w:type="dxa"/>
            <w:shd w:val="clear" w:color="auto" w:fill="auto"/>
          </w:tcPr>
          <w:p w14:paraId="68022433">
            <w:pPr>
              <w:pStyle w:val="150"/>
            </w:pPr>
            <w:r>
              <w:rPr>
                <w:rFonts w:hint="eastAsia"/>
              </w:rPr>
              <w:t>设备在网管平台注册使用的密码。</w:t>
            </w:r>
          </w:p>
        </w:tc>
      </w:tr>
    </w:tbl>
    <w:p w14:paraId="1782C650"/>
    <w:p w14:paraId="0EFEAEF3">
      <w:r>
        <w:rPr>
          <w:rFonts w:hint="eastAsia"/>
        </w:rPr>
        <w:t>点击</w:t>
      </w:r>
      <w:r>
        <w:t>&lt;</w:t>
      </w:r>
      <w:r>
        <w:rPr>
          <w:rFonts w:hint="eastAsia"/>
        </w:rPr>
        <w:t>提交</w:t>
      </w:r>
      <w:r>
        <w:t>&gt;</w:t>
      </w:r>
      <w:r>
        <w:rPr>
          <w:rFonts w:hint="eastAsia"/>
        </w:rPr>
        <w:t>按钮，提交配置。</w:t>
      </w:r>
    </w:p>
    <w:p w14:paraId="5B8A697B">
      <w:pPr>
        <w:pStyle w:val="5"/>
      </w:pPr>
      <w:bookmarkStart w:id="11260" w:name="_Toc142984648"/>
      <w:bookmarkStart w:id="11261" w:name="_Toc196728568"/>
      <w:bookmarkStart w:id="11262" w:name="_Toc194081240"/>
      <w:r>
        <w:t>BA平台配置</w:t>
      </w:r>
      <w:bookmarkEnd w:id="11260"/>
      <w:bookmarkEnd w:id="11261"/>
      <w:bookmarkEnd w:id="11262"/>
    </w:p>
    <w:p w14:paraId="67FD7F47">
      <w:r>
        <w:rPr>
          <w:rFonts w:hint="eastAsia"/>
        </w:rPr>
        <w:t>用户行为感知平台BA（User Behavioral Awareness and Analytics System）基于网络内上网行为管理设备产生的海量数据，对上网用户进行建模分析。根据不同上网行为建立对应的行为应用，深挖数据，分析用户上网行为，提前预知风险。通过可视化的数据呈现，极大的提升了管理员的使用体验，提高了数据分析的效率。</w:t>
      </w:r>
    </w:p>
    <w:p w14:paraId="0308C0B5">
      <w:r>
        <w:rPr>
          <w:rFonts w:hint="eastAsia"/>
        </w:rPr>
        <w:t>在导航栏中选择“系统管理 &gt; 系统设定 &gt; BA平台配置”，进入BA平台配置页面，编辑相关信息，点击“提交”。</w:t>
      </w:r>
    </w:p>
    <w:p w14:paraId="01D5812D">
      <w:pPr>
        <w:pStyle w:val="188"/>
      </w:pPr>
      <w:r>
        <w:rPr>
          <w:rFonts w:hint="eastAsia"/>
        </w:rPr>
        <w:t>BA平台配置页面</w:t>
      </w:r>
    </w:p>
    <w:p w14:paraId="76C94F46">
      <w:pPr>
        <w:pStyle w:val="175"/>
      </w:pPr>
      <w:r>
        <w:drawing>
          <wp:inline distT="0" distB="0" distL="0" distR="0">
            <wp:extent cx="5543550" cy="2466340"/>
            <wp:effectExtent l="0" t="0" r="0" b="0"/>
            <wp:docPr id="56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569"/>
                    <pic:cNvPicPr>
                      <a:picLocks noChangeAspect="1"/>
                    </pic:cNvPicPr>
                  </pic:nvPicPr>
                  <pic:blipFill>
                    <a:blip r:embed="rId1246"/>
                    <a:stretch>
                      <a:fillRect/>
                    </a:stretch>
                  </pic:blipFill>
                  <pic:spPr>
                    <a:xfrm>
                      <a:off x="0" y="0"/>
                      <a:ext cx="5556519" cy="2472447"/>
                    </a:xfrm>
                    <a:prstGeom prst="rect">
                      <a:avLst/>
                    </a:prstGeom>
                  </pic:spPr>
                </pic:pic>
              </a:graphicData>
            </a:graphic>
          </wp:inline>
        </w:drawing>
      </w:r>
    </w:p>
    <w:p w14:paraId="23F31C8C">
      <w:pPr>
        <w:pStyle w:val="183"/>
      </w:pPr>
      <w:r>
        <w:rPr>
          <w:rFonts w:hint="eastAsia"/>
        </w:rPr>
        <w:t>BA平台配置页面详细说明</w:t>
      </w:r>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344"/>
        <w:gridCol w:w="6670"/>
      </w:tblGrid>
      <w:tr w14:paraId="32F2397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tcBorders>
              <w:tl2br w:val="nil"/>
              <w:tr2bl w:val="nil"/>
            </w:tcBorders>
            <w:shd w:val="clear" w:color="auto" w:fill="538135" w:themeFill="accent6" w:themeFillShade="BF"/>
            <w:vAlign w:val="center"/>
          </w:tcPr>
          <w:p w14:paraId="409AFD41">
            <w:pPr>
              <w:pStyle w:val="149"/>
              <w:wordWrap/>
              <w:rPr>
                <w:b/>
                <w:bCs/>
                <w:i w:val="0"/>
                <w:iCs w:val="0"/>
              </w:rPr>
            </w:pPr>
            <w:r>
              <w:rPr>
                <w:rFonts w:hint="eastAsia"/>
                <w:b/>
                <w:bCs/>
                <w:i w:val="0"/>
                <w:iCs w:val="0"/>
              </w:rPr>
              <w:t>标题项</w:t>
            </w:r>
          </w:p>
        </w:tc>
        <w:tc>
          <w:tcPr>
            <w:tcW w:w="6670" w:type="dxa"/>
            <w:tcBorders>
              <w:tl2br w:val="nil"/>
              <w:tr2bl w:val="nil"/>
            </w:tcBorders>
            <w:shd w:val="clear" w:color="auto" w:fill="538135" w:themeFill="accent6" w:themeFillShade="BF"/>
            <w:vAlign w:val="center"/>
          </w:tcPr>
          <w:p w14:paraId="14F26AA7">
            <w:pPr>
              <w:pStyle w:val="149"/>
              <w:wordWrap/>
              <w:rPr>
                <w:b/>
                <w:bCs/>
                <w:i w:val="0"/>
                <w:iCs w:val="0"/>
              </w:rPr>
            </w:pPr>
            <w:r>
              <w:rPr>
                <w:rFonts w:hint="eastAsia"/>
                <w:b/>
                <w:bCs/>
                <w:i w:val="0"/>
                <w:iCs w:val="0"/>
              </w:rPr>
              <w:t>说明</w:t>
            </w:r>
          </w:p>
        </w:tc>
      </w:tr>
      <w:tr w14:paraId="6BA909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1192ADC6">
            <w:pPr>
              <w:pStyle w:val="150"/>
            </w:pPr>
            <w:r>
              <w:rPr>
                <w:rFonts w:hint="eastAsia"/>
              </w:rPr>
              <w:t>启用</w:t>
            </w:r>
          </w:p>
        </w:tc>
        <w:tc>
          <w:tcPr>
            <w:tcW w:w="6670" w:type="dxa"/>
            <w:shd w:val="clear" w:color="auto" w:fill="auto"/>
          </w:tcPr>
          <w:p w14:paraId="432132DC">
            <w:pPr>
              <w:pStyle w:val="150"/>
            </w:pPr>
            <w:r>
              <w:rPr>
                <w:rFonts w:hint="eastAsia"/>
              </w:rPr>
              <w:t>勾选复选框在创建完成后立即启用该条策略。</w:t>
            </w:r>
          </w:p>
        </w:tc>
      </w:tr>
      <w:tr w14:paraId="4C2AC0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4ECC029F">
            <w:pPr>
              <w:pStyle w:val="150"/>
            </w:pPr>
            <w:r>
              <w:rPr>
                <w:rFonts w:hint="eastAsia"/>
              </w:rPr>
              <w:t>上传</w:t>
            </w:r>
            <w:r>
              <w:t>日志</w:t>
            </w:r>
          </w:p>
        </w:tc>
        <w:tc>
          <w:tcPr>
            <w:tcW w:w="6670" w:type="dxa"/>
            <w:shd w:val="clear" w:color="auto" w:fill="auto"/>
          </w:tcPr>
          <w:p w14:paraId="038D66B5">
            <w:pPr>
              <w:pStyle w:val="150"/>
            </w:pPr>
            <w:r>
              <w:t>选择BA平台上传日志的方式</w:t>
            </w:r>
            <w:r>
              <w:rPr>
                <w:rFonts w:hint="eastAsia"/>
              </w:rPr>
              <w:t>，</w:t>
            </w:r>
            <w:r>
              <w:t>有以下两种方式</w:t>
            </w:r>
            <w:r>
              <w:rPr>
                <w:rFonts w:hint="eastAsia"/>
              </w:rPr>
              <w:t>：</w:t>
            </w:r>
          </w:p>
          <w:p w14:paraId="62A9D22B">
            <w:pPr>
              <w:pStyle w:val="207"/>
              <w:rPr>
                <w:lang w:eastAsia="zh-CN"/>
              </w:rPr>
            </w:pPr>
            <w:r>
              <w:rPr>
                <w:rFonts w:hint="eastAsia"/>
                <w:lang w:eastAsia="zh-CN"/>
              </w:rPr>
              <w:t>SYSLOG上传：设备的日志通过SYSLOG日志端口上传到BA平台，</w:t>
            </w:r>
            <w:r>
              <w:rPr>
                <w:lang w:eastAsia="zh-CN"/>
              </w:rPr>
              <w:t>适用于设备</w:t>
            </w:r>
            <w:r>
              <w:rPr>
                <w:rFonts w:hint="eastAsia"/>
                <w:lang w:eastAsia="zh-CN"/>
              </w:rPr>
              <w:t>没有</w:t>
            </w:r>
            <w:r>
              <w:rPr>
                <w:lang w:eastAsia="zh-CN"/>
              </w:rPr>
              <w:t>硬盘的情况</w:t>
            </w:r>
            <w:r>
              <w:rPr>
                <w:rFonts w:hint="eastAsia"/>
                <w:lang w:eastAsia="zh-CN"/>
              </w:rPr>
              <w:t>。</w:t>
            </w:r>
          </w:p>
          <w:p w14:paraId="27F0A01A">
            <w:pPr>
              <w:pStyle w:val="207"/>
              <w:rPr>
                <w:lang w:eastAsia="zh-CN"/>
              </w:rPr>
            </w:pPr>
            <w:r>
              <w:rPr>
                <w:rFonts w:hint="eastAsia"/>
                <w:lang w:eastAsia="zh-CN"/>
              </w:rPr>
              <w:t>SFTP上传：设备的日志通过SFTP端口上传到到BA平台，</w:t>
            </w:r>
            <w:r>
              <w:rPr>
                <w:lang w:eastAsia="zh-CN"/>
              </w:rPr>
              <w:t>适用于</w:t>
            </w:r>
            <w:r>
              <w:rPr>
                <w:rFonts w:hint="eastAsia"/>
                <w:lang w:eastAsia="zh-CN"/>
              </w:rPr>
              <w:t>有</w:t>
            </w:r>
            <w:r>
              <w:rPr>
                <w:lang w:eastAsia="zh-CN"/>
              </w:rPr>
              <w:t>硬盘的设备，有</w:t>
            </w:r>
            <w:r>
              <w:rPr>
                <w:rFonts w:hint="eastAsia"/>
                <w:lang w:eastAsia="zh-CN"/>
              </w:rPr>
              <w:t>硬盘</w:t>
            </w:r>
            <w:r>
              <w:rPr>
                <w:lang w:eastAsia="zh-CN"/>
              </w:rPr>
              <w:t>的设备也可以选择</w:t>
            </w:r>
            <w:r>
              <w:rPr>
                <w:rFonts w:hint="eastAsia"/>
                <w:lang w:eastAsia="zh-CN"/>
              </w:rPr>
              <w:t>SYSLOG方式</w:t>
            </w:r>
            <w:r>
              <w:rPr>
                <w:lang w:eastAsia="zh-CN"/>
              </w:rPr>
              <w:t>上传</w:t>
            </w:r>
            <w:r>
              <w:rPr>
                <w:rFonts w:hint="eastAsia"/>
                <w:lang w:eastAsia="zh-CN"/>
              </w:rPr>
              <w:t>。</w:t>
            </w:r>
          </w:p>
          <w:p w14:paraId="553ACF2C">
            <w:pPr>
              <w:pStyle w:val="150"/>
            </w:pPr>
            <w:r>
              <w:rPr>
                <w:rFonts w:hint="eastAsia"/>
              </w:rPr>
              <w:t>SFTP与SYSLOG方式上传的日志格式相同。</w:t>
            </w:r>
          </w:p>
        </w:tc>
      </w:tr>
      <w:tr w14:paraId="39C617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1F3AD3B3">
            <w:pPr>
              <w:pStyle w:val="150"/>
            </w:pPr>
            <w:r>
              <w:rPr>
                <w:rFonts w:hint="eastAsia"/>
              </w:rPr>
              <w:t>BA平台地址</w:t>
            </w:r>
          </w:p>
        </w:tc>
        <w:tc>
          <w:tcPr>
            <w:tcW w:w="6670" w:type="dxa"/>
            <w:shd w:val="clear" w:color="auto" w:fill="auto"/>
          </w:tcPr>
          <w:p w14:paraId="2ED8446F">
            <w:pPr>
              <w:pStyle w:val="150"/>
            </w:pPr>
            <w:r>
              <w:rPr>
                <w:rFonts w:hint="eastAsia"/>
              </w:rPr>
              <w:t>BA平台服务器的IP。</w:t>
            </w:r>
          </w:p>
        </w:tc>
      </w:tr>
      <w:tr w14:paraId="35D88A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7F9216B3">
            <w:pPr>
              <w:pStyle w:val="150"/>
            </w:pPr>
            <w:r>
              <w:rPr>
                <w:rFonts w:hint="eastAsia"/>
              </w:rPr>
              <w:t>BA平台端口</w:t>
            </w:r>
          </w:p>
        </w:tc>
        <w:tc>
          <w:tcPr>
            <w:tcW w:w="6670" w:type="dxa"/>
            <w:shd w:val="clear" w:color="auto" w:fill="auto"/>
          </w:tcPr>
          <w:p w14:paraId="227DC52B">
            <w:pPr>
              <w:pStyle w:val="150"/>
            </w:pPr>
            <w:r>
              <w:rPr>
                <w:rFonts w:hint="eastAsia"/>
              </w:rPr>
              <w:t>配置BA平台端口，范围为1-</w:t>
            </w:r>
            <w:r>
              <w:t>65535</w:t>
            </w:r>
            <w:r>
              <w:rPr>
                <w:rFonts w:hint="eastAsia"/>
              </w:rPr>
              <w:t>，默为443。</w:t>
            </w:r>
          </w:p>
          <w:p w14:paraId="4E01CB14">
            <w:pPr>
              <w:pStyle w:val="150"/>
            </w:pPr>
            <w:r>
              <w:rPr>
                <w:rFonts w:hint="eastAsia"/>
              </w:rPr>
              <w:t>根据实际组网情况进行配置，需要与BA服务器设置的HTTPS服务的端口保持一致。</w:t>
            </w:r>
          </w:p>
        </w:tc>
      </w:tr>
      <w:tr w14:paraId="678997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4F47CCE3">
            <w:pPr>
              <w:pStyle w:val="150"/>
            </w:pPr>
            <w:r>
              <w:rPr>
                <w:rFonts w:hint="eastAsia"/>
              </w:rPr>
              <w:t>同步策略名</w:t>
            </w:r>
          </w:p>
        </w:tc>
        <w:tc>
          <w:tcPr>
            <w:tcW w:w="6670" w:type="dxa"/>
            <w:shd w:val="clear" w:color="auto" w:fill="auto"/>
          </w:tcPr>
          <w:p w14:paraId="108C0ADE">
            <w:pPr>
              <w:pStyle w:val="150"/>
            </w:pPr>
            <w:r>
              <w:rPr>
                <w:rFonts w:hint="eastAsia"/>
              </w:rPr>
              <w:t>BA平台服务器中的“同步策略”的名称，系统自动读取后选择。</w:t>
            </w:r>
          </w:p>
        </w:tc>
      </w:tr>
      <w:tr w14:paraId="6DEAF6E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248313F4">
            <w:pPr>
              <w:pStyle w:val="150"/>
            </w:pPr>
            <w:r>
              <w:rPr>
                <w:rFonts w:hint="eastAsia"/>
              </w:rPr>
              <w:t>接入密钥</w:t>
            </w:r>
          </w:p>
        </w:tc>
        <w:tc>
          <w:tcPr>
            <w:tcW w:w="6670" w:type="dxa"/>
            <w:shd w:val="clear" w:color="auto" w:fill="auto"/>
          </w:tcPr>
          <w:p w14:paraId="53A14BEF">
            <w:pPr>
              <w:pStyle w:val="150"/>
            </w:pPr>
            <w:r>
              <w:rPr>
                <w:rFonts w:hint="eastAsia"/>
              </w:rPr>
              <w:t>BA平台服务器中“同步策略”对应的密钥。</w:t>
            </w:r>
          </w:p>
        </w:tc>
      </w:tr>
    </w:tbl>
    <w:p w14:paraId="6A0FB989"/>
    <w:p w14:paraId="784DBC12">
      <w:pPr>
        <w:pStyle w:val="4"/>
      </w:pPr>
      <w:bookmarkStart w:id="11263" w:name="_Toc99562037"/>
      <w:bookmarkStart w:id="11264" w:name="_Toc142401365"/>
      <w:bookmarkStart w:id="11265" w:name="_Toc141873848"/>
      <w:bookmarkStart w:id="11266" w:name="_Toc194081241"/>
      <w:bookmarkStart w:id="11267" w:name="_Toc196728569"/>
      <w:bookmarkStart w:id="11268" w:name="_Toc172218655"/>
      <w:r>
        <w:t>系统维护</w:t>
      </w:r>
      <w:bookmarkEnd w:id="11263"/>
      <w:bookmarkEnd w:id="11264"/>
      <w:bookmarkEnd w:id="11265"/>
      <w:bookmarkEnd w:id="11266"/>
      <w:bookmarkEnd w:id="11267"/>
      <w:bookmarkEnd w:id="11268"/>
    </w:p>
    <w:p w14:paraId="5934EFAE">
      <w:pPr>
        <w:pStyle w:val="5"/>
      </w:pPr>
      <w:bookmarkStart w:id="11269" w:name="_Toc142401366"/>
      <w:bookmarkStart w:id="11270" w:name="_Toc141873849"/>
      <w:bookmarkStart w:id="11271" w:name="_Toc23153079"/>
      <w:bookmarkStart w:id="11272" w:name="_Toc99562038"/>
      <w:bookmarkStart w:id="11273" w:name="_Ref141816710"/>
      <w:bookmarkStart w:id="11274" w:name="_Toc12469909"/>
      <w:bookmarkStart w:id="11275" w:name="_Ref166830645"/>
      <w:bookmarkStart w:id="11276" w:name="_Ref167387902"/>
      <w:bookmarkStart w:id="11277" w:name="_Toc15485322"/>
      <w:bookmarkStart w:id="11278" w:name="_Toc40276500"/>
      <w:bookmarkStart w:id="11279" w:name="_Ref167387905"/>
      <w:bookmarkStart w:id="11280" w:name="_Toc172218656"/>
      <w:bookmarkStart w:id="11281" w:name="_Ref162355815"/>
      <w:bookmarkStart w:id="11282" w:name="_Toc194081242"/>
      <w:bookmarkStart w:id="11283" w:name="_Toc196728570"/>
      <w:r>
        <w:rPr>
          <w:rFonts w:hint="eastAsia"/>
        </w:rPr>
        <w:t>升级管理</w:t>
      </w:r>
      <w:bookmarkEnd w:id="11269"/>
      <w:bookmarkEnd w:id="11270"/>
      <w:bookmarkEnd w:id="11271"/>
      <w:bookmarkEnd w:id="11272"/>
      <w:bookmarkEnd w:id="11273"/>
      <w:bookmarkEnd w:id="11274"/>
      <w:bookmarkEnd w:id="11275"/>
      <w:bookmarkEnd w:id="11276"/>
      <w:bookmarkEnd w:id="11277"/>
      <w:bookmarkEnd w:id="11278"/>
      <w:bookmarkEnd w:id="11279"/>
      <w:bookmarkEnd w:id="11280"/>
      <w:bookmarkEnd w:id="11281"/>
      <w:bookmarkEnd w:id="11282"/>
      <w:bookmarkEnd w:id="11283"/>
    </w:p>
    <w:p w14:paraId="5EDBCAD7">
      <w:pPr>
        <w:pStyle w:val="6"/>
      </w:pPr>
      <w:bookmarkStart w:id="11284" w:name="_Toc15485323"/>
      <w:bookmarkStart w:id="11285" w:name="_Toc369620410"/>
      <w:bookmarkStart w:id="11286" w:name="_Toc12469910"/>
      <w:bookmarkStart w:id="11287" w:name="_Toc389750137"/>
      <w:bookmarkStart w:id="11288" w:name="_Toc389059442"/>
      <w:bookmarkStart w:id="11289" w:name="_Toc325575878"/>
      <w:bookmarkStart w:id="11290" w:name="_Toc40276501"/>
      <w:bookmarkStart w:id="11291" w:name="_Toc23153080"/>
      <w:r>
        <w:rPr>
          <w:rFonts w:hint="eastAsia"/>
        </w:rPr>
        <w:t>升级管理概述</w:t>
      </w:r>
      <w:bookmarkEnd w:id="11284"/>
      <w:bookmarkEnd w:id="11285"/>
      <w:bookmarkEnd w:id="11286"/>
      <w:bookmarkEnd w:id="11287"/>
      <w:bookmarkEnd w:id="11288"/>
      <w:bookmarkEnd w:id="11289"/>
      <w:bookmarkEnd w:id="11290"/>
      <w:bookmarkEnd w:id="11291"/>
    </w:p>
    <w:p w14:paraId="310171C6">
      <w:r>
        <w:rPr>
          <w:rFonts w:hint="eastAsia"/>
        </w:rPr>
        <w:t>可以通过手动本地升级系统软件版本和特征库，也可自动升级</w:t>
      </w:r>
      <w:r>
        <w:t>URL</w:t>
      </w:r>
      <w:r>
        <w:rPr>
          <w:rFonts w:hint="eastAsia"/>
        </w:rPr>
        <w:t>分类特征库和应用控制特征库。</w:t>
      </w:r>
    </w:p>
    <w:p w14:paraId="1F768057">
      <w:pPr>
        <w:pStyle w:val="188"/>
      </w:pPr>
      <w:bookmarkStart w:id="11292" w:name="_Ref393290741"/>
      <w:bookmarkStart w:id="11293" w:name="_Toc141875288"/>
      <w:r>
        <w:t>升级页面总图</w:t>
      </w:r>
      <w:bookmarkEnd w:id="11292"/>
      <w:bookmarkEnd w:id="11293"/>
    </w:p>
    <w:p w14:paraId="2026410E">
      <w:r>
        <w:drawing>
          <wp:inline distT="0" distB="0" distL="0" distR="0">
            <wp:extent cx="4667250" cy="4589145"/>
            <wp:effectExtent l="0" t="0" r="0" b="1905"/>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1247"/>
                    <a:stretch>
                      <a:fillRect/>
                    </a:stretch>
                  </pic:blipFill>
                  <pic:spPr>
                    <a:xfrm>
                      <a:off x="0" y="0"/>
                      <a:ext cx="4675176" cy="4597078"/>
                    </a:xfrm>
                    <a:prstGeom prst="rect">
                      <a:avLst/>
                    </a:prstGeom>
                  </pic:spPr>
                </pic:pic>
              </a:graphicData>
            </a:graphic>
          </wp:inline>
        </w:drawing>
      </w:r>
    </w:p>
    <w:p w14:paraId="769A7972"/>
    <w:p w14:paraId="1F31EF92">
      <w:pPr>
        <w:pStyle w:val="6"/>
      </w:pPr>
      <w:bookmarkStart w:id="11294" w:name="_Toc497293002"/>
      <w:bookmarkEnd w:id="11294"/>
      <w:bookmarkStart w:id="11295" w:name="_Toc23153081"/>
      <w:bookmarkStart w:id="11296" w:name="_Toc40276502"/>
      <w:bookmarkStart w:id="11297" w:name="_Toc12469911"/>
      <w:bookmarkStart w:id="11298" w:name="_Toc15485324"/>
      <w:r>
        <w:t>手动升级</w:t>
      </w:r>
      <w:bookmarkEnd w:id="11295"/>
      <w:bookmarkEnd w:id="11296"/>
      <w:bookmarkEnd w:id="11297"/>
      <w:bookmarkEnd w:id="11298"/>
    </w:p>
    <w:p w14:paraId="59C06FE8">
      <w:r>
        <w:rPr>
          <w:rFonts w:hint="eastAsia"/>
        </w:rPr>
        <w:t>通过菜单“系统管理</w:t>
      </w:r>
      <w:r>
        <w:t xml:space="preserve"> &gt; </w:t>
      </w:r>
      <w:r>
        <w:rPr>
          <w:rFonts w:hint="eastAsia"/>
        </w:rPr>
        <w:t>系统维护</w:t>
      </w:r>
      <w:r>
        <w:t xml:space="preserve"> &gt; </w:t>
      </w:r>
      <w:r>
        <w:rPr>
          <w:rFonts w:hint="eastAsia"/>
        </w:rPr>
        <w:t>系统升级”，进入如</w:t>
      </w:r>
      <w:r>
        <w:fldChar w:fldCharType="begin"/>
      </w:r>
      <w:r>
        <w:instrText xml:space="preserve"> REF _Ref393290749 \r \h </w:instrText>
      </w:r>
      <w:r>
        <w:fldChar w:fldCharType="separate"/>
      </w:r>
      <w:r>
        <w:rPr>
          <w:rFonts w:hint="eastAsia"/>
        </w:rPr>
        <w:t>图33-51</w:t>
      </w:r>
      <w:r>
        <w:fldChar w:fldCharType="end"/>
      </w:r>
      <w:r>
        <w:rPr>
          <w:rFonts w:hint="eastAsia"/>
        </w:rPr>
        <w:t>所示页面。各个配置项含义如</w:t>
      </w:r>
      <w:r>
        <w:fldChar w:fldCharType="begin"/>
      </w:r>
      <w:r>
        <w:instrText xml:space="preserve"> REF _Ref393290756 \r \h </w:instrText>
      </w:r>
      <w:r>
        <w:fldChar w:fldCharType="separate"/>
      </w:r>
      <w:r>
        <w:rPr>
          <w:rFonts w:hint="eastAsia"/>
        </w:rPr>
        <w:t>表33-1</w:t>
      </w:r>
      <w:r>
        <w:fldChar w:fldCharType="end"/>
      </w:r>
      <w:r>
        <w:rPr>
          <w:rFonts w:hint="eastAsia"/>
        </w:rPr>
        <w:t>所示。</w:t>
      </w:r>
    </w:p>
    <w:p w14:paraId="4691F624">
      <w:pPr>
        <w:pStyle w:val="188"/>
      </w:pPr>
      <w:bookmarkStart w:id="11299" w:name="_Ref393290749"/>
      <w:bookmarkStart w:id="11300" w:name="_Toc141875289"/>
      <w:r>
        <w:t>手动升级页面</w:t>
      </w:r>
      <w:bookmarkEnd w:id="11299"/>
      <w:bookmarkEnd w:id="11300"/>
    </w:p>
    <w:p w14:paraId="689C9B44">
      <w:r>
        <w:drawing>
          <wp:inline distT="0" distB="0" distL="0" distR="0">
            <wp:extent cx="5229225" cy="3197860"/>
            <wp:effectExtent l="0" t="0" r="0" b="254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1248"/>
                    <a:stretch>
                      <a:fillRect/>
                    </a:stretch>
                  </pic:blipFill>
                  <pic:spPr>
                    <a:xfrm>
                      <a:off x="0" y="0"/>
                      <a:ext cx="5232110" cy="3199632"/>
                    </a:xfrm>
                    <a:prstGeom prst="rect">
                      <a:avLst/>
                    </a:prstGeom>
                  </pic:spPr>
                </pic:pic>
              </a:graphicData>
            </a:graphic>
          </wp:inline>
        </w:drawing>
      </w:r>
    </w:p>
    <w:p w14:paraId="5AFD77E3"/>
    <w:p w14:paraId="48ED26CA">
      <w:pPr>
        <w:pStyle w:val="183"/>
      </w:pPr>
      <w:bookmarkStart w:id="11301" w:name="_Ref393290756"/>
      <w:bookmarkStart w:id="11302" w:name="_Toc141875776"/>
      <w:r>
        <w:t>手动升级各个配置项含义描述表</w:t>
      </w:r>
      <w:bookmarkEnd w:id="11301"/>
      <w:bookmarkEnd w:id="11302"/>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668"/>
        <w:gridCol w:w="7346"/>
      </w:tblGrid>
      <w:tr w14:paraId="53860E9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68" w:type="dxa"/>
            <w:tcBorders>
              <w:tl2br w:val="nil"/>
              <w:tr2bl w:val="nil"/>
            </w:tcBorders>
            <w:shd w:val="clear" w:color="auto" w:fill="538135" w:themeFill="accent6" w:themeFillShade="BF"/>
            <w:vAlign w:val="center"/>
          </w:tcPr>
          <w:p w14:paraId="4CF5FFBB">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346" w:type="dxa"/>
            <w:tcBorders>
              <w:tl2br w:val="nil"/>
              <w:tr2bl w:val="nil"/>
            </w:tcBorders>
            <w:shd w:val="clear" w:color="auto" w:fill="538135" w:themeFill="accent6" w:themeFillShade="BF"/>
            <w:vAlign w:val="center"/>
          </w:tcPr>
          <w:p w14:paraId="14607570">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7F1121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68" w:type="dxa"/>
            <w:shd w:val="clear" w:color="auto" w:fill="auto"/>
          </w:tcPr>
          <w:p w14:paraId="58EBC7CC">
            <w:pPr>
              <w:pStyle w:val="150"/>
            </w:pPr>
            <w:r>
              <w:t>系统软件</w:t>
            </w:r>
          </w:p>
        </w:tc>
        <w:tc>
          <w:tcPr>
            <w:tcW w:w="7346" w:type="dxa"/>
            <w:shd w:val="clear" w:color="auto" w:fill="auto"/>
          </w:tcPr>
          <w:p w14:paraId="685CB55F">
            <w:pPr>
              <w:pStyle w:val="150"/>
            </w:pPr>
            <w:r>
              <w:t>升级系统软件版本或热补丁。</w:t>
            </w:r>
          </w:p>
          <w:p w14:paraId="47A6FCAA">
            <w:pPr>
              <w:pStyle w:val="150"/>
            </w:pPr>
            <w:r>
              <w:rPr>
                <w:rFonts w:hint="eastAsia"/>
              </w:rPr>
              <w:t>升级系统软件版本，升级后需要重启设备方可生效；</w:t>
            </w:r>
          </w:p>
          <w:p w14:paraId="6C37E8F6">
            <w:pPr>
              <w:pStyle w:val="150"/>
            </w:pPr>
            <w:r>
              <w:t>升级</w:t>
            </w:r>
            <w:r>
              <w:rPr>
                <w:rFonts w:hint="eastAsia"/>
              </w:rPr>
              <w:t>热</w:t>
            </w:r>
            <w:r>
              <w:t>补丁</w:t>
            </w:r>
            <w:r>
              <w:rPr>
                <w:rFonts w:hint="eastAsia"/>
              </w:rPr>
              <w:t>，</w:t>
            </w:r>
            <w:r>
              <w:t>不需重启设备即可生效</w:t>
            </w:r>
            <w:r>
              <w:rPr>
                <w:rFonts w:hint="eastAsia"/>
              </w:rPr>
              <w:t>。</w:t>
            </w:r>
          </w:p>
        </w:tc>
      </w:tr>
      <w:tr w14:paraId="3757FC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68" w:type="dxa"/>
            <w:shd w:val="clear" w:color="auto" w:fill="auto"/>
          </w:tcPr>
          <w:p w14:paraId="364FC569">
            <w:pPr>
              <w:pStyle w:val="150"/>
            </w:pPr>
            <w:r>
              <w:t>特征库</w:t>
            </w:r>
          </w:p>
        </w:tc>
        <w:tc>
          <w:tcPr>
            <w:tcW w:w="7346" w:type="dxa"/>
            <w:shd w:val="clear" w:color="auto" w:fill="auto"/>
          </w:tcPr>
          <w:p w14:paraId="2D552ACE">
            <w:pPr>
              <w:pStyle w:val="150"/>
            </w:pPr>
            <w:r>
              <w:t>升级URL分类特征库</w:t>
            </w:r>
            <w:r>
              <w:rPr>
                <w:rFonts w:hint="eastAsia"/>
              </w:rPr>
              <w:t>、</w:t>
            </w:r>
            <w:r>
              <w:t>应用控制特征库</w:t>
            </w:r>
            <w:r>
              <w:rPr>
                <w:rFonts w:hint="eastAsia"/>
              </w:rPr>
              <w:t>、</w:t>
            </w:r>
            <w:r>
              <w:t>入侵防御</w:t>
            </w:r>
            <w:r>
              <w:rPr>
                <w:rFonts w:hint="eastAsia"/>
              </w:rPr>
              <w:t>、</w:t>
            </w:r>
            <w:r>
              <w:t>病毒防护及WEB防护特征库等。</w:t>
            </w:r>
          </w:p>
        </w:tc>
      </w:tr>
    </w:tbl>
    <w:p w14:paraId="45834D28">
      <w:bookmarkStart w:id="11303" w:name="_Toc497293004"/>
      <w:bookmarkEnd w:id="11303"/>
    </w:p>
    <w:p w14:paraId="5933D8DD">
      <w:pPr>
        <w:pStyle w:val="6"/>
      </w:pPr>
      <w:bookmarkStart w:id="11304" w:name="_Toc12469912"/>
      <w:bookmarkStart w:id="11305" w:name="_Toc15485325"/>
      <w:bookmarkStart w:id="11306" w:name="_Toc40276503"/>
      <w:bookmarkStart w:id="11307" w:name="_Toc23153082"/>
      <w:r>
        <w:t>自动升级</w:t>
      </w:r>
      <w:bookmarkEnd w:id="11304"/>
      <w:bookmarkEnd w:id="11305"/>
      <w:bookmarkEnd w:id="11306"/>
      <w:bookmarkEnd w:id="11307"/>
    </w:p>
    <w:p w14:paraId="35136E41">
      <w:r>
        <w:rPr>
          <w:rFonts w:hint="eastAsia"/>
        </w:rPr>
        <w:t>通过菜单“系统管理</w:t>
      </w:r>
      <w:r>
        <w:t xml:space="preserve"> &gt; </w:t>
      </w:r>
      <w:r>
        <w:rPr>
          <w:rFonts w:hint="eastAsia"/>
        </w:rPr>
        <w:t>系统</w:t>
      </w:r>
      <w:r>
        <w:t xml:space="preserve">维护 &gt; </w:t>
      </w:r>
      <w:r>
        <w:rPr>
          <w:rFonts w:hint="eastAsia"/>
        </w:rPr>
        <w:t>系统升级”，进入如</w:t>
      </w:r>
      <w:r>
        <w:fldChar w:fldCharType="begin"/>
      </w:r>
      <w:r>
        <w:instrText xml:space="preserve"> REF _Ref393290765 \r \h  \* MERGEFORMAT </w:instrText>
      </w:r>
      <w:r>
        <w:fldChar w:fldCharType="separate"/>
      </w:r>
      <w:r>
        <w:rPr>
          <w:rFonts w:hint="eastAsia"/>
        </w:rPr>
        <w:t>图33-52</w:t>
      </w:r>
      <w:r>
        <w:fldChar w:fldCharType="end"/>
      </w:r>
      <w:r>
        <w:rPr>
          <w:rFonts w:hint="eastAsia"/>
        </w:rPr>
        <w:t>所示页面，页面中的红色圈选部分为配置项。各个配置项含义如</w:t>
      </w:r>
      <w:r>
        <w:fldChar w:fldCharType="begin"/>
      </w:r>
      <w:r>
        <w:instrText xml:space="preserve"> REF _Ref393290770 \r \h  \* MERGEFORMAT </w:instrText>
      </w:r>
      <w:r>
        <w:fldChar w:fldCharType="separate"/>
      </w:r>
      <w:r>
        <w:rPr>
          <w:rFonts w:hint="eastAsia"/>
        </w:rPr>
        <w:t>表33-1</w:t>
      </w:r>
      <w:r>
        <w:fldChar w:fldCharType="end"/>
      </w:r>
      <w:r>
        <w:rPr>
          <w:rFonts w:hint="eastAsia"/>
        </w:rPr>
        <w:t>所示。</w:t>
      </w:r>
    </w:p>
    <w:p w14:paraId="45797088">
      <w:pPr>
        <w:pStyle w:val="188"/>
      </w:pPr>
      <w:bookmarkStart w:id="11308" w:name="_Toc141875290"/>
      <w:bookmarkStart w:id="11309" w:name="_Ref393290765"/>
      <w:r>
        <w:t>自动升级页面</w:t>
      </w:r>
      <w:bookmarkEnd w:id="11308"/>
      <w:bookmarkEnd w:id="11309"/>
    </w:p>
    <w:p w14:paraId="5EDEDEBB">
      <w:r>
        <w:drawing>
          <wp:inline distT="0" distB="0" distL="0" distR="0">
            <wp:extent cx="5133975" cy="2044700"/>
            <wp:effectExtent l="0" t="0" r="0" b="0"/>
            <wp:docPr id="1296485349" name="图片 1296485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49" name="图片 1296485349"/>
                    <pic:cNvPicPr>
                      <a:picLocks noChangeAspect="1"/>
                    </pic:cNvPicPr>
                  </pic:nvPicPr>
                  <pic:blipFill>
                    <a:blip r:embed="rId1249"/>
                    <a:stretch>
                      <a:fillRect/>
                    </a:stretch>
                  </pic:blipFill>
                  <pic:spPr>
                    <a:xfrm>
                      <a:off x="0" y="0"/>
                      <a:ext cx="5136488" cy="2045749"/>
                    </a:xfrm>
                    <a:prstGeom prst="rect">
                      <a:avLst/>
                    </a:prstGeom>
                  </pic:spPr>
                </pic:pic>
              </a:graphicData>
            </a:graphic>
          </wp:inline>
        </w:drawing>
      </w:r>
    </w:p>
    <w:p w14:paraId="27139728"/>
    <w:p w14:paraId="359AB099">
      <w:pPr>
        <w:pStyle w:val="183"/>
      </w:pPr>
      <w:bookmarkStart w:id="11310" w:name="_Ref393290770"/>
      <w:bookmarkStart w:id="11311" w:name="_Toc141875777"/>
      <w:r>
        <w:t>自动升级各个配置项含义描述表</w:t>
      </w:r>
      <w:bookmarkEnd w:id="11310"/>
      <w:bookmarkEnd w:id="11311"/>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344"/>
        <w:gridCol w:w="6670"/>
      </w:tblGrid>
      <w:tr w14:paraId="0F9A5C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tcBorders>
              <w:tl2br w:val="nil"/>
              <w:tr2bl w:val="nil"/>
            </w:tcBorders>
            <w:shd w:val="clear" w:color="auto" w:fill="538135" w:themeFill="accent6" w:themeFillShade="BF"/>
            <w:vAlign w:val="center"/>
          </w:tcPr>
          <w:p w14:paraId="0A75B9F9">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84" w:type="dxa"/>
            <w:tcBorders>
              <w:tl2br w:val="nil"/>
              <w:tr2bl w:val="nil"/>
            </w:tcBorders>
            <w:shd w:val="clear" w:color="auto" w:fill="538135" w:themeFill="accent6" w:themeFillShade="BF"/>
            <w:vAlign w:val="center"/>
          </w:tcPr>
          <w:p w14:paraId="616C3782">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406F6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2FECD79B">
            <w:pPr>
              <w:pStyle w:val="150"/>
            </w:pPr>
            <w:r>
              <w:rPr>
                <w:rFonts w:hint="eastAsia"/>
              </w:rPr>
              <w:t>默认升级服务器</w:t>
            </w:r>
          </w:p>
        </w:tc>
        <w:tc>
          <w:tcPr>
            <w:tcW w:w="6684" w:type="dxa"/>
            <w:shd w:val="clear" w:color="auto" w:fill="auto"/>
          </w:tcPr>
          <w:p w14:paraId="2C181C6B">
            <w:pPr>
              <w:pStyle w:val="150"/>
            </w:pPr>
            <w:r>
              <w:rPr>
                <w:rFonts w:hint="eastAsia"/>
              </w:rPr>
              <w:t>升级服务器</w:t>
            </w:r>
            <w:r>
              <w:t>设为默认升级服务器。</w:t>
            </w:r>
          </w:p>
        </w:tc>
      </w:tr>
      <w:tr w14:paraId="69B8C4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0A37370C">
            <w:pPr>
              <w:pStyle w:val="150"/>
            </w:pPr>
            <w:r>
              <w:t>指定升级服务器</w:t>
            </w:r>
          </w:p>
        </w:tc>
        <w:tc>
          <w:tcPr>
            <w:tcW w:w="6684" w:type="dxa"/>
            <w:shd w:val="clear" w:color="auto" w:fill="auto"/>
          </w:tcPr>
          <w:p w14:paraId="034784A8">
            <w:pPr>
              <w:pStyle w:val="150"/>
            </w:pPr>
            <w:r>
              <w:rPr>
                <w:rFonts w:hint="eastAsia"/>
              </w:rPr>
              <w:t>设置</w:t>
            </w:r>
            <w:r>
              <w:t>升级服务器地址。</w:t>
            </w:r>
          </w:p>
        </w:tc>
      </w:tr>
      <w:tr w14:paraId="4D9C5F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70562C93">
            <w:pPr>
              <w:pStyle w:val="150"/>
            </w:pPr>
            <w:r>
              <w:rPr>
                <w:rFonts w:hint="eastAsia"/>
              </w:rPr>
              <w:t>定期升级</w:t>
            </w:r>
          </w:p>
        </w:tc>
        <w:tc>
          <w:tcPr>
            <w:tcW w:w="6684" w:type="dxa"/>
            <w:shd w:val="clear" w:color="auto" w:fill="auto"/>
          </w:tcPr>
          <w:p w14:paraId="34F8F359">
            <w:pPr>
              <w:pStyle w:val="150"/>
            </w:pPr>
            <w:r>
              <w:rPr>
                <w:rFonts w:hint="eastAsia"/>
              </w:rPr>
              <w:t>启用定期自动升级。</w:t>
            </w:r>
          </w:p>
        </w:tc>
      </w:tr>
      <w:tr w14:paraId="4135AE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02FCCE0B">
            <w:pPr>
              <w:pStyle w:val="150"/>
            </w:pPr>
            <w:r>
              <w:rPr>
                <w:rFonts w:hint="eastAsia"/>
              </w:rPr>
              <w:t>每周</w:t>
            </w:r>
          </w:p>
        </w:tc>
        <w:tc>
          <w:tcPr>
            <w:tcW w:w="6684" w:type="dxa"/>
            <w:shd w:val="clear" w:color="auto" w:fill="auto"/>
          </w:tcPr>
          <w:p w14:paraId="37793D69">
            <w:pPr>
              <w:pStyle w:val="150"/>
            </w:pPr>
            <w:r>
              <w:rPr>
                <w:rFonts w:hint="eastAsia"/>
              </w:rPr>
              <w:t>按星期定期自动升级。</w:t>
            </w:r>
          </w:p>
        </w:tc>
      </w:tr>
      <w:tr w14:paraId="3F4B368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43772E8B">
            <w:pPr>
              <w:pStyle w:val="150"/>
            </w:pPr>
            <w:r>
              <w:rPr>
                <w:rFonts w:hint="eastAsia"/>
              </w:rPr>
              <w:t>每月</w:t>
            </w:r>
          </w:p>
        </w:tc>
        <w:tc>
          <w:tcPr>
            <w:tcW w:w="6684" w:type="dxa"/>
            <w:shd w:val="clear" w:color="auto" w:fill="auto"/>
          </w:tcPr>
          <w:p w14:paraId="4E416EF9">
            <w:pPr>
              <w:pStyle w:val="150"/>
            </w:pPr>
            <w:r>
              <w:rPr>
                <w:rFonts w:hint="eastAsia"/>
              </w:rPr>
              <w:t>按每月日期自动升级，日期间以“,”分隔。</w:t>
            </w:r>
          </w:p>
        </w:tc>
      </w:tr>
      <w:tr w14:paraId="460D49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43788EDF">
            <w:pPr>
              <w:pStyle w:val="150"/>
            </w:pPr>
            <w:r>
              <w:rPr>
                <w:rFonts w:hint="eastAsia"/>
              </w:rPr>
              <w:t>时间</w:t>
            </w:r>
          </w:p>
        </w:tc>
        <w:tc>
          <w:tcPr>
            <w:tcW w:w="6684" w:type="dxa"/>
            <w:shd w:val="clear" w:color="auto" w:fill="auto"/>
          </w:tcPr>
          <w:p w14:paraId="030DDE14">
            <w:pPr>
              <w:pStyle w:val="150"/>
            </w:pPr>
            <w:r>
              <w:rPr>
                <w:rFonts w:hint="eastAsia"/>
              </w:rPr>
              <w:t>每次自动升级的当天时间。</w:t>
            </w:r>
          </w:p>
        </w:tc>
      </w:tr>
    </w:tbl>
    <w:p w14:paraId="06C21D58"/>
    <w:p w14:paraId="5FEC6194">
      <w:r>
        <w:rPr>
          <w:rFonts w:hint="eastAsia"/>
        </w:rPr>
        <w:t>点击</w:t>
      </w:r>
      <w:r>
        <w:t>&lt;</w:t>
      </w:r>
      <w:r>
        <w:rPr>
          <w:rFonts w:hint="eastAsia"/>
        </w:rPr>
        <w:t>提交</w:t>
      </w:r>
      <w:r>
        <w:t>&gt;</w:t>
      </w:r>
      <w:r>
        <w:rPr>
          <w:rFonts w:hint="eastAsia"/>
        </w:rPr>
        <w:t>按钮，提交自动升级配置。</w:t>
      </w:r>
    </w:p>
    <w:p w14:paraId="0A6855D7">
      <w:r>
        <w:rPr>
          <w:rFonts w:hint="eastAsia"/>
        </w:rPr>
        <w:t>点击</w:t>
      </w:r>
      <w:r>
        <w:t>&lt;</w:t>
      </w:r>
      <w:r>
        <w:rPr>
          <w:rFonts w:hint="eastAsia"/>
        </w:rPr>
        <w:t>立即升级</w:t>
      </w:r>
      <w:r>
        <w:t>&gt;</w:t>
      </w:r>
      <w:r>
        <w:rPr>
          <w:rFonts w:hint="eastAsia"/>
        </w:rPr>
        <w:t>按钮，可立即更新特征库，无需等到自动升级指定时间点，首次配置设备时建议进行一次立即升级。</w:t>
      </w:r>
    </w:p>
    <w:p w14:paraId="4620B944">
      <w:bookmarkStart w:id="11312" w:name="_Toc497293006"/>
      <w:bookmarkEnd w:id="11312"/>
      <w:bookmarkStart w:id="11313" w:name="_Toc369620413"/>
      <w:bookmarkStart w:id="11314" w:name="_Toc389059445"/>
      <w:bookmarkStart w:id="11315" w:name="_Toc389750140"/>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37E37A61">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20E22D86">
            <w:pPr>
              <w:pStyle w:val="150"/>
              <w:adjustRightInd w:val="0"/>
              <w:snapToGrid w:val="0"/>
              <w:rPr>
                <w:color w:val="auto"/>
              </w:rPr>
            </w:pPr>
            <w:r>
              <w:rPr>
                <w:b/>
                <w:color w:val="auto"/>
              </w:rPr>
              <w:drawing>
                <wp:inline distT="0" distB="0" distL="0" distR="0">
                  <wp:extent cx="283210" cy="283210"/>
                  <wp:effectExtent l="0" t="0" r="2540" b="2540"/>
                  <wp:docPr id="954" name="图片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图片 954"/>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1FF93E9B">
            <w:pPr>
              <w:pStyle w:val="150"/>
              <w:adjustRightInd w:val="0"/>
              <w:snapToGrid w:val="0"/>
              <w:rPr>
                <w:color w:val="auto"/>
              </w:rPr>
            </w:pPr>
            <w:r>
              <w:rPr>
                <w:rFonts w:hint="eastAsia"/>
                <w:color w:val="auto"/>
              </w:rPr>
              <w:t>采用自动升级功能时，需要在设备上设定有效的</w:t>
            </w:r>
            <w:r>
              <w:rPr>
                <w:color w:val="auto"/>
              </w:rPr>
              <w:t>DNS</w:t>
            </w:r>
            <w:r>
              <w:rPr>
                <w:rFonts w:hint="eastAsia"/>
                <w:color w:val="auto"/>
              </w:rPr>
              <w:t>。</w:t>
            </w:r>
          </w:p>
        </w:tc>
      </w:tr>
    </w:tbl>
    <w:p w14:paraId="170B6635"/>
    <w:p w14:paraId="70702D1B">
      <w:pPr>
        <w:pStyle w:val="6"/>
      </w:pPr>
      <w:bookmarkStart w:id="11316" w:name="_Toc96433612"/>
      <w:r>
        <w:rPr>
          <w:rFonts w:hint="eastAsia"/>
        </w:rPr>
        <w:t>代理设置</w:t>
      </w:r>
      <w:bookmarkEnd w:id="11316"/>
    </w:p>
    <w:p w14:paraId="1A7F68FC">
      <w:r>
        <w:rPr>
          <w:rFonts w:hint="eastAsia"/>
        </w:rPr>
        <w:t>代理设置用于实现设备的HTTP代理升级功能，是指通过配置的代理服务器，通过代理服务器连接特征库版本服务器，进行特征库的自动升级。当设备不能访问互联网时，可以使用代理服务器升级特征库。</w:t>
      </w:r>
    </w:p>
    <w:p w14:paraId="24EB4EE9">
      <w:r>
        <w:rPr>
          <w:rFonts w:hint="eastAsia"/>
        </w:rPr>
        <w:t>通过菜单“系统管理 &gt; 系统维护 &gt; 系统升级”，点击“代理设置”进行HTTP代理服务器的相关配置。如下图所示。</w:t>
      </w:r>
    </w:p>
    <w:p w14:paraId="723EFF6F">
      <w:pPr>
        <w:pStyle w:val="188"/>
      </w:pPr>
      <w:bookmarkStart w:id="11317" w:name="_Toc141875291"/>
      <w:r>
        <w:rPr>
          <w:rFonts w:hint="eastAsia"/>
        </w:rPr>
        <w:t>代理设置页面</w:t>
      </w:r>
      <w:bookmarkEnd w:id="11317"/>
    </w:p>
    <w:p w14:paraId="75DA2767">
      <w:pPr>
        <w:spacing w:before="78" w:after="78"/>
      </w:pPr>
      <w:r>
        <w:drawing>
          <wp:inline distT="0" distB="0" distL="0" distR="0">
            <wp:extent cx="5067300" cy="2512695"/>
            <wp:effectExtent l="0" t="0" r="0" b="1905"/>
            <wp:docPr id="1296485350" name="图片 1296485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50" name="图片 1296485350"/>
                    <pic:cNvPicPr>
                      <a:picLocks noChangeAspect="1"/>
                    </pic:cNvPicPr>
                  </pic:nvPicPr>
                  <pic:blipFill>
                    <a:blip r:embed="rId1250"/>
                    <a:stretch>
                      <a:fillRect/>
                    </a:stretch>
                  </pic:blipFill>
                  <pic:spPr>
                    <a:xfrm>
                      <a:off x="0" y="0"/>
                      <a:ext cx="5069541" cy="2513959"/>
                    </a:xfrm>
                    <a:prstGeom prst="rect">
                      <a:avLst/>
                    </a:prstGeom>
                  </pic:spPr>
                </pic:pic>
              </a:graphicData>
            </a:graphic>
          </wp:inline>
        </w:drawing>
      </w:r>
    </w:p>
    <w:p w14:paraId="4D2691C7"/>
    <w:p w14:paraId="5BB366C4">
      <w:pPr>
        <w:pStyle w:val="183"/>
      </w:pPr>
      <w:bookmarkStart w:id="11318" w:name="_Toc141875778"/>
      <w:r>
        <w:t>代理配置各个配置项含义描述表</w:t>
      </w:r>
      <w:bookmarkEnd w:id="11318"/>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809"/>
        <w:gridCol w:w="7205"/>
      </w:tblGrid>
      <w:tr w14:paraId="25978E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68" w:hRule="atLeast"/>
        </w:trPr>
        <w:tc>
          <w:tcPr>
            <w:tcW w:w="1809" w:type="dxa"/>
            <w:tcBorders>
              <w:tl2br w:val="nil"/>
              <w:tr2bl w:val="nil"/>
            </w:tcBorders>
            <w:shd w:val="clear" w:color="auto" w:fill="538135" w:themeFill="accent6" w:themeFillShade="BF"/>
            <w:vAlign w:val="center"/>
          </w:tcPr>
          <w:p w14:paraId="0C7A677D">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205" w:type="dxa"/>
            <w:tcBorders>
              <w:tl2br w:val="nil"/>
              <w:tr2bl w:val="nil"/>
            </w:tcBorders>
            <w:shd w:val="clear" w:color="auto" w:fill="538135" w:themeFill="accent6" w:themeFillShade="BF"/>
            <w:vAlign w:val="center"/>
          </w:tcPr>
          <w:p w14:paraId="4EE0EAAB">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02CF8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09" w:type="dxa"/>
            <w:shd w:val="clear" w:color="auto" w:fill="auto"/>
          </w:tcPr>
          <w:p w14:paraId="4235DE9D">
            <w:pPr>
              <w:pStyle w:val="150"/>
            </w:pPr>
            <w:r>
              <w:rPr>
                <w:rFonts w:hint="eastAsia"/>
              </w:rPr>
              <w:t>启用代理服务器</w:t>
            </w:r>
          </w:p>
        </w:tc>
        <w:tc>
          <w:tcPr>
            <w:tcW w:w="7205" w:type="dxa"/>
            <w:shd w:val="clear" w:color="auto" w:fill="auto"/>
          </w:tcPr>
          <w:p w14:paraId="27AA0275">
            <w:pPr>
              <w:pStyle w:val="150"/>
            </w:pPr>
            <w:r>
              <w:rPr>
                <w:rFonts w:hint="eastAsia"/>
              </w:rPr>
              <w:t>是否启用代理服务，只支持HTTP代理。</w:t>
            </w:r>
          </w:p>
        </w:tc>
      </w:tr>
      <w:tr w14:paraId="2FD668C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09" w:type="dxa"/>
            <w:shd w:val="clear" w:color="auto" w:fill="auto"/>
          </w:tcPr>
          <w:p w14:paraId="184CEB34">
            <w:pPr>
              <w:pStyle w:val="150"/>
            </w:pPr>
            <w:r>
              <w:rPr>
                <w:rFonts w:hint="eastAsia"/>
              </w:rPr>
              <w:t>IP地址</w:t>
            </w:r>
          </w:p>
        </w:tc>
        <w:tc>
          <w:tcPr>
            <w:tcW w:w="7205" w:type="dxa"/>
            <w:shd w:val="clear" w:color="auto" w:fill="auto"/>
          </w:tcPr>
          <w:p w14:paraId="59E7E203">
            <w:pPr>
              <w:pStyle w:val="150"/>
            </w:pPr>
            <w:r>
              <w:rPr>
                <w:rFonts w:hint="eastAsia"/>
              </w:rPr>
              <w:t>代理服务器的IP地址，只支持IPv4地址。</w:t>
            </w:r>
          </w:p>
        </w:tc>
      </w:tr>
      <w:tr w14:paraId="166503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09" w:type="dxa"/>
            <w:shd w:val="clear" w:color="auto" w:fill="auto"/>
          </w:tcPr>
          <w:p w14:paraId="4F7F66E6">
            <w:pPr>
              <w:pStyle w:val="150"/>
            </w:pPr>
            <w:r>
              <w:rPr>
                <w:rFonts w:hint="eastAsia"/>
              </w:rPr>
              <w:t>端口</w:t>
            </w:r>
          </w:p>
        </w:tc>
        <w:tc>
          <w:tcPr>
            <w:tcW w:w="7205" w:type="dxa"/>
            <w:shd w:val="clear" w:color="auto" w:fill="auto"/>
          </w:tcPr>
          <w:p w14:paraId="659B6B01">
            <w:pPr>
              <w:pStyle w:val="150"/>
            </w:pPr>
            <w:r>
              <w:rPr>
                <w:rFonts w:hint="eastAsia"/>
              </w:rPr>
              <w:t>代理服务器的端口，取值范围是1~65535。</w:t>
            </w:r>
          </w:p>
        </w:tc>
      </w:tr>
      <w:tr w14:paraId="321139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09" w:type="dxa"/>
            <w:shd w:val="clear" w:color="auto" w:fill="auto"/>
          </w:tcPr>
          <w:p w14:paraId="3C3D213A">
            <w:pPr>
              <w:pStyle w:val="150"/>
            </w:pPr>
            <w:r>
              <w:rPr>
                <w:rFonts w:hint="eastAsia"/>
              </w:rPr>
              <w:t>验证用户</w:t>
            </w:r>
          </w:p>
        </w:tc>
        <w:tc>
          <w:tcPr>
            <w:tcW w:w="7205" w:type="dxa"/>
            <w:shd w:val="clear" w:color="auto" w:fill="auto"/>
          </w:tcPr>
          <w:p w14:paraId="10309001">
            <w:pPr>
              <w:pStyle w:val="150"/>
            </w:pPr>
            <w:r>
              <w:rPr>
                <w:rFonts w:hint="eastAsia"/>
              </w:rPr>
              <w:t>代理服务器是否需要启用验证用户，根据代理服务器的设置进行选择，启用后需要用户名密码进行代理验证。</w:t>
            </w:r>
          </w:p>
        </w:tc>
      </w:tr>
      <w:tr w14:paraId="741CDEC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09" w:type="dxa"/>
            <w:shd w:val="clear" w:color="auto" w:fill="auto"/>
          </w:tcPr>
          <w:p w14:paraId="59D1F401">
            <w:pPr>
              <w:pStyle w:val="150"/>
            </w:pPr>
            <w:r>
              <w:rPr>
                <w:rFonts w:hint="eastAsia"/>
              </w:rPr>
              <w:t>用户</w:t>
            </w:r>
          </w:p>
        </w:tc>
        <w:tc>
          <w:tcPr>
            <w:tcW w:w="7205" w:type="dxa"/>
            <w:shd w:val="clear" w:color="auto" w:fill="auto"/>
          </w:tcPr>
          <w:p w14:paraId="668AC10C">
            <w:pPr>
              <w:pStyle w:val="150"/>
            </w:pPr>
            <w:r>
              <w:rPr>
                <w:rFonts w:hint="eastAsia"/>
              </w:rPr>
              <w:t>代理服务器的用户名，需要与代理服务器的配置一致，只支持输入汉字、数字、字母以及@._-()[]|:，支持的长度范围是1~63字符。</w:t>
            </w:r>
          </w:p>
        </w:tc>
      </w:tr>
      <w:tr w14:paraId="17FEED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809" w:type="dxa"/>
            <w:shd w:val="clear" w:color="auto" w:fill="auto"/>
          </w:tcPr>
          <w:p w14:paraId="129B1D9C">
            <w:pPr>
              <w:pStyle w:val="150"/>
            </w:pPr>
            <w:r>
              <w:rPr>
                <w:rFonts w:hint="eastAsia"/>
              </w:rPr>
              <w:t>密码</w:t>
            </w:r>
          </w:p>
        </w:tc>
        <w:tc>
          <w:tcPr>
            <w:tcW w:w="7205" w:type="dxa"/>
            <w:shd w:val="clear" w:color="auto" w:fill="auto"/>
          </w:tcPr>
          <w:p w14:paraId="63CBAED4">
            <w:pPr>
              <w:pStyle w:val="150"/>
            </w:pPr>
            <w:r>
              <w:rPr>
                <w:rFonts w:hint="eastAsia"/>
              </w:rPr>
              <w:t>代理服务器的密码，需配置为代理服务器对应用户名的密码，只支持输入数字、字母及特殊字符（除非法输入外），支持的长度范围是0~31字符。</w:t>
            </w:r>
          </w:p>
        </w:tc>
      </w:tr>
    </w:tbl>
    <w:p w14:paraId="7C5E071A"/>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433EA1DA">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3CFACDDC">
            <w:pPr>
              <w:pStyle w:val="150"/>
              <w:adjustRightInd w:val="0"/>
              <w:snapToGrid w:val="0"/>
              <w:rPr>
                <w:color w:val="auto"/>
              </w:rPr>
            </w:pPr>
            <w:bookmarkStart w:id="11319" w:name="OLE_LINK90"/>
            <w:r>
              <w:rPr>
                <w:b/>
                <w:color w:val="auto"/>
              </w:rPr>
              <w:drawing>
                <wp:inline distT="0" distB="0" distL="0" distR="0">
                  <wp:extent cx="283210" cy="283210"/>
                  <wp:effectExtent l="0" t="0" r="2540" b="2540"/>
                  <wp:docPr id="955" name="图片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图片 955"/>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7CB83E65">
            <w:pPr>
              <w:pStyle w:val="150"/>
              <w:adjustRightInd w:val="0"/>
              <w:snapToGrid w:val="0"/>
              <w:rPr>
                <w:color w:val="auto"/>
              </w:rPr>
            </w:pPr>
            <w:r>
              <w:rPr>
                <w:rFonts w:hint="eastAsia"/>
                <w:color w:val="auto"/>
              </w:rPr>
              <w:t>在升级特征库前，需要在设备上设定有效的</w:t>
            </w:r>
            <w:r>
              <w:rPr>
                <w:color w:val="auto"/>
              </w:rPr>
              <w:t>DNS</w:t>
            </w:r>
            <w:r>
              <w:rPr>
                <w:rFonts w:hint="eastAsia"/>
                <w:color w:val="auto"/>
              </w:rPr>
              <w:t>。</w:t>
            </w:r>
          </w:p>
        </w:tc>
      </w:tr>
      <w:bookmarkEnd w:id="11319"/>
    </w:tbl>
    <w:p w14:paraId="211BEEF0"/>
    <w:p w14:paraId="3E436569">
      <w:pPr>
        <w:pStyle w:val="6"/>
      </w:pPr>
      <w:bookmarkStart w:id="11320" w:name="_Toc23153083"/>
      <w:bookmarkStart w:id="11321" w:name="_Toc40276504"/>
      <w:bookmarkStart w:id="11322" w:name="_Toc12469914"/>
      <w:bookmarkStart w:id="11323" w:name="_Toc15485326"/>
      <w:r>
        <w:rPr>
          <w:rFonts w:hint="eastAsia"/>
        </w:rPr>
        <w:t>升级记录查看</w:t>
      </w:r>
      <w:bookmarkEnd w:id="11313"/>
      <w:bookmarkEnd w:id="11314"/>
      <w:bookmarkEnd w:id="11315"/>
      <w:bookmarkEnd w:id="11320"/>
      <w:bookmarkEnd w:id="11321"/>
      <w:bookmarkEnd w:id="11322"/>
      <w:bookmarkEnd w:id="11323"/>
    </w:p>
    <w:p w14:paraId="3A963573">
      <w:r>
        <w:rPr>
          <w:rFonts w:hint="eastAsia"/>
        </w:rPr>
        <w:t>通过菜单“系统管理</w:t>
      </w:r>
      <w:r>
        <w:t xml:space="preserve"> &gt; </w:t>
      </w:r>
      <w:r>
        <w:rPr>
          <w:rFonts w:hint="eastAsia"/>
        </w:rPr>
        <w:t>系统</w:t>
      </w:r>
      <w:r>
        <w:t xml:space="preserve">维护 &gt; </w:t>
      </w:r>
      <w:r>
        <w:rPr>
          <w:rFonts w:hint="eastAsia"/>
        </w:rPr>
        <w:t>系统升级”，进入如</w:t>
      </w:r>
      <w:r>
        <w:fldChar w:fldCharType="begin"/>
      </w:r>
      <w:r>
        <w:instrText xml:space="preserve"> REF _Ref393290787 \r \h </w:instrText>
      </w:r>
      <w:r>
        <w:fldChar w:fldCharType="separate"/>
      </w:r>
      <w:r>
        <w:rPr>
          <w:rFonts w:hint="eastAsia"/>
        </w:rPr>
        <w:t>图33-54</w:t>
      </w:r>
      <w:r>
        <w:fldChar w:fldCharType="end"/>
      </w:r>
      <w:r>
        <w:rPr>
          <w:rFonts w:hint="eastAsia"/>
        </w:rPr>
        <w:t>所示页面，通过页面中的红色圈选部分，查看升级记录。</w:t>
      </w:r>
    </w:p>
    <w:p w14:paraId="2F8D617B">
      <w:pPr>
        <w:pStyle w:val="188"/>
      </w:pPr>
      <w:bookmarkStart w:id="11324" w:name="_Ref393290787"/>
      <w:bookmarkStart w:id="11325" w:name="_Toc141875292"/>
      <w:r>
        <w:t>查看升级记录</w:t>
      </w:r>
      <w:bookmarkEnd w:id="11324"/>
      <w:bookmarkEnd w:id="11325"/>
    </w:p>
    <w:p w14:paraId="5DE18A51">
      <w:r>
        <w:drawing>
          <wp:inline distT="0" distB="0" distL="0" distR="0">
            <wp:extent cx="5743575" cy="1583055"/>
            <wp:effectExtent l="0" t="0" r="0" b="0"/>
            <wp:docPr id="1802027885" name="图片 1802027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85" name="图片 1802027885"/>
                    <pic:cNvPicPr>
                      <a:picLocks noChangeAspect="1"/>
                    </pic:cNvPicPr>
                  </pic:nvPicPr>
                  <pic:blipFill>
                    <a:blip r:embed="rId1251"/>
                    <a:stretch>
                      <a:fillRect/>
                    </a:stretch>
                  </pic:blipFill>
                  <pic:spPr>
                    <a:xfrm>
                      <a:off x="0" y="0"/>
                      <a:ext cx="5770035" cy="1590681"/>
                    </a:xfrm>
                    <a:prstGeom prst="rect">
                      <a:avLst/>
                    </a:prstGeom>
                  </pic:spPr>
                </pic:pic>
              </a:graphicData>
            </a:graphic>
          </wp:inline>
        </w:drawing>
      </w:r>
      <w:r>
        <w:t xml:space="preserve"> </w:t>
      </w:r>
    </w:p>
    <w:p w14:paraId="30842F13"/>
    <w:p w14:paraId="5A0ECA16">
      <w:pPr>
        <w:pStyle w:val="5"/>
      </w:pPr>
      <w:bookmarkStart w:id="11326" w:name="_Toc196728571"/>
      <w:bookmarkStart w:id="11327" w:name="_Toc194081243"/>
      <w:bookmarkStart w:id="11328" w:name="_Toc172218657"/>
      <w:r>
        <w:rPr>
          <w:rFonts w:hint="eastAsia"/>
        </w:rPr>
        <w:t>双系统备份</w:t>
      </w:r>
      <w:bookmarkEnd w:id="11326"/>
      <w:bookmarkEnd w:id="11327"/>
      <w:bookmarkEnd w:id="11328"/>
    </w:p>
    <w:p w14:paraId="046B9433">
      <w:r>
        <w:rPr>
          <w:rFonts w:hint="eastAsia"/>
        </w:rPr>
        <w:t>设备支持双系统备份，可以通过命令行备份当前系统镜像，选择下次启动的系统镜像文件，启动引导过程中可以切换到备份版本。</w:t>
      </w:r>
    </w:p>
    <w:p w14:paraId="2E2112B7">
      <w:r>
        <w:rPr>
          <w:rFonts w:hint="eastAsia"/>
        </w:rPr>
        <w:t>主要应用场景如下：</w:t>
      </w:r>
    </w:p>
    <w:p w14:paraId="45D7B412">
      <w:pPr>
        <w:pStyle w:val="162"/>
      </w:pPr>
      <w:r>
        <w:rPr>
          <w:rFonts w:hint="eastAsia"/>
        </w:rPr>
        <w:t>场景一：在系统完整性要求较高的场景中，进行系统级别的备份，即系统中有两套系统文件，一个是默认启动文件，一个是备份文件。当默认启动文件出现异常时，可切换到备份系统继续运行。</w:t>
      </w:r>
    </w:p>
    <w:p w14:paraId="7F23FC37">
      <w:pPr>
        <w:pStyle w:val="162"/>
      </w:pPr>
      <w:r>
        <w:rPr>
          <w:rFonts w:hint="eastAsia"/>
        </w:rPr>
        <w:t>场景二：现场升级时，将新版本文件升级到设备，重启设备后，如果新版本出现无法正常启动的情况，导致业务异常，可以切换到备份系统回退到旧版本，快速恢复业务。</w:t>
      </w:r>
    </w:p>
    <w:p w14:paraId="228FB67B"/>
    <w:p w14:paraId="7E5840C1">
      <w:pPr>
        <w:pStyle w:val="202"/>
        <w:rPr>
          <w:lang w:eastAsia="zh-CN"/>
        </w:rPr>
      </w:pPr>
      <w:r>
        <w:rPr>
          <w:rFonts w:hint="eastAsia"/>
          <w:lang w:eastAsia="zh-CN"/>
        </w:rPr>
        <w:t>升级系统软件。进入“系统管理&gt; 系统维护&gt; 系统升级”页面，升级软件版本。</w:t>
      </w:r>
    </w:p>
    <w:p w14:paraId="1AB93589">
      <w:pPr>
        <w:pStyle w:val="202"/>
        <w:rPr>
          <w:lang w:eastAsia="zh-CN"/>
        </w:rPr>
      </w:pPr>
      <w:r>
        <w:rPr>
          <w:rFonts w:hint="eastAsia"/>
          <w:lang w:eastAsia="zh-CN"/>
        </w:rPr>
        <w:t>重启设备。进入“系统管理&gt; 系统维护&gt; 系统重启”页面，勾选“保存配置”按钮后单击“提交”按钮，并在弹出框确认，设备会自动重启。</w:t>
      </w:r>
    </w:p>
    <w:p w14:paraId="4E478157">
      <w:pPr>
        <w:pStyle w:val="202"/>
      </w:pPr>
      <w:r>
        <w:rPr>
          <w:rFonts w:hint="eastAsia"/>
        </w:rPr>
        <w:t>登录设备CLI界面，执行</w:t>
      </w:r>
      <w:r>
        <w:rPr>
          <w:b/>
        </w:rPr>
        <w:t>version</w:t>
      </w:r>
      <w:r>
        <w:rPr>
          <w:rFonts w:hint="eastAsia"/>
        </w:rPr>
        <w:t xml:space="preserve"> </w:t>
      </w:r>
      <w:r>
        <w:rPr>
          <w:b/>
        </w:rPr>
        <w:t>backup</w:t>
      </w:r>
      <w:r>
        <w:rPr>
          <w:rFonts w:hint="eastAsia"/>
        </w:rPr>
        <w:t>命令备份当前系统文件，备份成功后提示信息如下图所示。</w:t>
      </w:r>
    </w:p>
    <w:p w14:paraId="2839C5C4">
      <w:pPr>
        <w:pStyle w:val="175"/>
      </w:pPr>
      <w:r>
        <w:drawing>
          <wp:inline distT="0" distB="0" distL="0" distR="0">
            <wp:extent cx="5046980" cy="368300"/>
            <wp:effectExtent l="0" t="0" r="1270" b="0"/>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pic:cNvPicPr>
                      <a:picLocks noChangeAspect="1"/>
                    </pic:cNvPicPr>
                  </pic:nvPicPr>
                  <pic:blipFill>
                    <a:blip r:embed="rId1252"/>
                    <a:stretch>
                      <a:fillRect/>
                    </a:stretch>
                  </pic:blipFill>
                  <pic:spPr>
                    <a:xfrm>
                      <a:off x="0" y="0"/>
                      <a:ext cx="5094002" cy="372268"/>
                    </a:xfrm>
                    <a:prstGeom prst="rect">
                      <a:avLst/>
                    </a:prstGeom>
                  </pic:spPr>
                </pic:pic>
              </a:graphicData>
            </a:graphic>
          </wp:inline>
        </w:drawing>
      </w:r>
    </w:p>
    <w:p w14:paraId="4B64BDE7"/>
    <w:p w14:paraId="72D62E9E">
      <w:pPr>
        <w:pStyle w:val="202"/>
      </w:pPr>
      <w:r>
        <w:rPr>
          <w:rFonts w:hint="eastAsia"/>
        </w:rPr>
        <w:t>（可选）执行</w:t>
      </w:r>
      <w:r>
        <w:rPr>
          <w:b/>
        </w:rPr>
        <w:t>show</w:t>
      </w:r>
      <w:r>
        <w:rPr>
          <w:rFonts w:hint="eastAsia"/>
        </w:rPr>
        <w:t xml:space="preserve"> </w:t>
      </w:r>
      <w:r>
        <w:rPr>
          <w:b/>
        </w:rPr>
        <w:t>version</w:t>
      </w:r>
      <w:r>
        <w:rPr>
          <w:rFonts w:hint="eastAsia"/>
        </w:rPr>
        <w:t xml:space="preserve"> </w:t>
      </w:r>
      <w:r>
        <w:rPr>
          <w:b/>
        </w:rPr>
        <w:t>backup</w:t>
      </w:r>
      <w:r>
        <w:rPr>
          <w:rFonts w:hint="eastAsia"/>
        </w:rPr>
        <w:t>命令可以查看当前系统中的备份版本信息。</w:t>
      </w:r>
    </w:p>
    <w:p w14:paraId="1DC74C3A">
      <w:pPr>
        <w:pStyle w:val="175"/>
      </w:pPr>
      <w:r>
        <w:drawing>
          <wp:inline distT="0" distB="0" distL="0" distR="0">
            <wp:extent cx="4848225" cy="542925"/>
            <wp:effectExtent l="0" t="0" r="9525" b="9525"/>
            <wp:docPr id="1296485357" name="图片 1296485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57" name="图片 1296485357"/>
                    <pic:cNvPicPr>
                      <a:picLocks noChangeAspect="1"/>
                    </pic:cNvPicPr>
                  </pic:nvPicPr>
                  <pic:blipFill>
                    <a:blip r:embed="rId1253"/>
                    <a:stretch>
                      <a:fillRect/>
                    </a:stretch>
                  </pic:blipFill>
                  <pic:spPr>
                    <a:xfrm>
                      <a:off x="0" y="0"/>
                      <a:ext cx="4848225" cy="542925"/>
                    </a:xfrm>
                    <a:prstGeom prst="rect">
                      <a:avLst/>
                    </a:prstGeom>
                  </pic:spPr>
                </pic:pic>
              </a:graphicData>
            </a:graphic>
          </wp:inline>
        </w:drawing>
      </w:r>
    </w:p>
    <w:p w14:paraId="01C4050C"/>
    <w:p w14:paraId="580244C5">
      <w:pPr>
        <w:pStyle w:val="202"/>
        <w:rPr>
          <w:lang w:eastAsia="zh-CN"/>
        </w:rPr>
      </w:pPr>
      <w:r>
        <w:rPr>
          <w:rFonts w:hint="eastAsia"/>
          <w:lang w:eastAsia="zh-CN"/>
        </w:rPr>
        <w:t>执行</w:t>
      </w:r>
      <w:r>
        <w:rPr>
          <w:b/>
          <w:lang w:eastAsia="zh-CN"/>
        </w:rPr>
        <w:t>version</w:t>
      </w:r>
      <w:r>
        <w:rPr>
          <w:rFonts w:hint="eastAsia"/>
          <w:lang w:eastAsia="zh-CN"/>
        </w:rPr>
        <w:t xml:space="preserve"> </w:t>
      </w:r>
      <w:r>
        <w:rPr>
          <w:b/>
          <w:lang w:eastAsia="zh-CN"/>
        </w:rPr>
        <w:t>switch</w:t>
      </w:r>
      <w:r>
        <w:rPr>
          <w:rFonts w:hint="eastAsia"/>
          <w:lang w:eastAsia="zh-CN"/>
        </w:rPr>
        <w:t>命令在双系统文件中选择备份版本作为下次启动镜像，进行系统切换。</w:t>
      </w:r>
    </w:p>
    <w:p w14:paraId="6A15283C">
      <w:pPr>
        <w:pStyle w:val="175"/>
      </w:pPr>
      <w:r>
        <w:drawing>
          <wp:inline distT="0" distB="0" distL="0" distR="0">
            <wp:extent cx="4989195" cy="601980"/>
            <wp:effectExtent l="0" t="0" r="1905" b="7620"/>
            <wp:docPr id="1296485359" name="图片 1296485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59" name="图片 1296485359"/>
                    <pic:cNvPicPr>
                      <a:picLocks noChangeAspect="1"/>
                    </pic:cNvPicPr>
                  </pic:nvPicPr>
                  <pic:blipFill>
                    <a:blip r:embed="rId1254"/>
                    <a:stretch>
                      <a:fillRect/>
                    </a:stretch>
                  </pic:blipFill>
                  <pic:spPr>
                    <a:xfrm>
                      <a:off x="0" y="0"/>
                      <a:ext cx="5050601" cy="609891"/>
                    </a:xfrm>
                    <a:prstGeom prst="rect">
                      <a:avLst/>
                    </a:prstGeom>
                  </pic:spPr>
                </pic:pic>
              </a:graphicData>
            </a:graphic>
          </wp:inline>
        </w:drawing>
      </w:r>
    </w:p>
    <w:p w14:paraId="48B58181">
      <w:pPr>
        <w:pStyle w:val="193"/>
      </w:pPr>
      <w:r>
        <w:rPr>
          <w:lang w:eastAsia="zh-CN"/>
        </w:rPr>
        <w:drawing>
          <wp:inline distT="0" distB="0" distL="0" distR="0">
            <wp:extent cx="595630" cy="233680"/>
            <wp:effectExtent l="0" t="0" r="0" b="0"/>
            <wp:docPr id="1296485361" name="图片 1296485361"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61" name="图片 1296485361" descr="说明"/>
                    <pic:cNvPicPr>
                      <a:picLocks noChangeAspect="1" noChangeArrowheads="1"/>
                    </pic:cNvPicPr>
                  </pic:nvPicPr>
                  <pic:blipFill>
                    <a:blip r:embed="rId926" cstate="print">
                      <a:extLst>
                        <a:ext uri="{28A0092B-C50C-407E-A947-70E740481C1C}">
                          <a14:useLocalDpi xmlns:a14="http://schemas.microsoft.com/office/drawing/2010/main" val="0"/>
                        </a:ext>
                      </a:extLst>
                    </a:blip>
                    <a:srcRect/>
                    <a:stretch>
                      <a:fillRect/>
                    </a:stretch>
                  </pic:blipFill>
                  <pic:spPr>
                    <a:xfrm>
                      <a:off x="0" y="0"/>
                      <a:ext cx="595630" cy="233680"/>
                    </a:xfrm>
                    <a:prstGeom prst="rect">
                      <a:avLst/>
                    </a:prstGeom>
                    <a:noFill/>
                    <a:ln>
                      <a:noFill/>
                    </a:ln>
                  </pic:spPr>
                </pic:pic>
              </a:graphicData>
            </a:graphic>
          </wp:inline>
        </w:drawing>
      </w:r>
    </w:p>
    <w:p w14:paraId="7636076E">
      <w:pPr>
        <w:pStyle w:val="209"/>
        <w:numPr>
          <w:ilvl w:val="3"/>
          <w:numId w:val="35"/>
        </w:numPr>
        <w:tabs>
          <w:tab w:val="left" w:pos="284"/>
        </w:tabs>
        <w:ind w:left="908" w:hanging="284"/>
        <w:rPr>
          <w:lang w:eastAsia="zh-CN"/>
        </w:rPr>
      </w:pPr>
      <w:r>
        <w:rPr>
          <w:rFonts w:hint="eastAsia"/>
          <w:lang w:eastAsia="zh-CN"/>
        </w:rPr>
        <w:t>通过命令行手动备份版本时，系统会校验当前版本与备用版本的md5，如果之前已经备份过当前版本，不能重复备份。</w:t>
      </w:r>
    </w:p>
    <w:p w14:paraId="11C7F170">
      <w:pPr>
        <w:pStyle w:val="209"/>
        <w:numPr>
          <w:ilvl w:val="3"/>
          <w:numId w:val="35"/>
        </w:numPr>
        <w:tabs>
          <w:tab w:val="left" w:pos="284"/>
        </w:tabs>
        <w:ind w:left="908" w:hanging="284"/>
      </w:pPr>
      <w:r>
        <w:rPr>
          <w:rFonts w:hint="eastAsia"/>
        </w:rPr>
        <w:t>升级系统软件后，必须要先重启设备，再执行</w:t>
      </w:r>
      <w:r>
        <w:rPr>
          <w:b/>
        </w:rPr>
        <w:t>version</w:t>
      </w:r>
      <w:r>
        <w:t xml:space="preserve"> </w:t>
      </w:r>
      <w:r>
        <w:rPr>
          <w:b/>
        </w:rPr>
        <w:t>backup</w:t>
      </w:r>
      <w:r>
        <w:rPr>
          <w:rFonts w:hint="eastAsia"/>
        </w:rPr>
        <w:t>命令备份版本。</w:t>
      </w:r>
    </w:p>
    <w:p w14:paraId="3E860D82"/>
    <w:p w14:paraId="37C11A6E">
      <w:pPr>
        <w:pStyle w:val="5"/>
      </w:pPr>
      <w:bookmarkStart w:id="11329" w:name="_Toc40276505"/>
      <w:bookmarkStart w:id="11330" w:name="_Toc99562039"/>
      <w:bookmarkStart w:id="11331" w:name="_Toc141873850"/>
      <w:bookmarkStart w:id="11332" w:name="_Toc172218658"/>
      <w:bookmarkStart w:id="11333" w:name="_Toc12469915"/>
      <w:bookmarkStart w:id="11334" w:name="_Toc194081244"/>
      <w:bookmarkStart w:id="11335" w:name="_Toc23153084"/>
      <w:bookmarkStart w:id="11336" w:name="_Toc15485327"/>
      <w:bookmarkStart w:id="11337" w:name="_Toc142401367"/>
      <w:bookmarkStart w:id="11338" w:name="_Toc196728572"/>
      <w:r>
        <w:t>系统重启</w:t>
      </w:r>
      <w:bookmarkEnd w:id="11329"/>
      <w:bookmarkEnd w:id="11330"/>
      <w:bookmarkEnd w:id="11331"/>
      <w:bookmarkEnd w:id="11332"/>
      <w:bookmarkEnd w:id="11333"/>
      <w:bookmarkEnd w:id="11334"/>
      <w:bookmarkEnd w:id="11335"/>
      <w:bookmarkEnd w:id="11336"/>
      <w:bookmarkEnd w:id="11337"/>
      <w:bookmarkEnd w:id="11338"/>
    </w:p>
    <w:p w14:paraId="061FBE83">
      <w:pPr>
        <w:pStyle w:val="6"/>
      </w:pPr>
      <w:bookmarkStart w:id="11339" w:name="_Toc15485328"/>
      <w:bookmarkStart w:id="11340" w:name="_Toc23153085"/>
      <w:bookmarkStart w:id="11341" w:name="_Toc12469916"/>
      <w:bookmarkStart w:id="11342" w:name="_Toc40276506"/>
      <w:r>
        <w:rPr>
          <w:rFonts w:hint="eastAsia"/>
        </w:rPr>
        <w:t>系统重启</w:t>
      </w:r>
      <w:bookmarkEnd w:id="11339"/>
      <w:bookmarkEnd w:id="11340"/>
      <w:bookmarkEnd w:id="11341"/>
      <w:bookmarkEnd w:id="11342"/>
    </w:p>
    <w:p w14:paraId="0ADC652F">
      <w:r>
        <w:rPr>
          <w:rFonts w:hint="eastAsia"/>
        </w:rPr>
        <w:t>通过菜单“系统管理</w:t>
      </w:r>
      <w:r>
        <w:t xml:space="preserve"> &gt; </w:t>
      </w:r>
      <w:r>
        <w:rPr>
          <w:rFonts w:hint="eastAsia"/>
        </w:rPr>
        <w:t>系统</w:t>
      </w:r>
      <w:r>
        <w:t xml:space="preserve">维护 &gt; </w:t>
      </w:r>
      <w:r>
        <w:rPr>
          <w:rFonts w:hint="eastAsia"/>
        </w:rPr>
        <w:t>系统重启”，进入如</w:t>
      </w:r>
      <w:r>
        <w:fldChar w:fldCharType="begin"/>
      </w:r>
      <w:r>
        <w:instrText xml:space="preserve"> REF _Ref393290797 \r \h </w:instrText>
      </w:r>
      <w:r>
        <w:fldChar w:fldCharType="separate"/>
      </w:r>
      <w:r>
        <w:rPr>
          <w:rFonts w:hint="eastAsia"/>
        </w:rPr>
        <w:t>图33-55</w:t>
      </w:r>
      <w:r>
        <w:fldChar w:fldCharType="end"/>
      </w:r>
      <w:r>
        <w:rPr>
          <w:rFonts w:hint="eastAsia"/>
        </w:rPr>
        <w:t>所示页面，选择“系统重启”。</w:t>
      </w:r>
    </w:p>
    <w:p w14:paraId="44227B64">
      <w:pPr>
        <w:pStyle w:val="188"/>
      </w:pPr>
      <w:bookmarkStart w:id="11343" w:name="_Ref393290797"/>
      <w:bookmarkStart w:id="11344" w:name="_Toc141875293"/>
      <w:r>
        <w:t>系统重启页面</w:t>
      </w:r>
      <w:bookmarkEnd w:id="11343"/>
      <w:bookmarkEnd w:id="11344"/>
    </w:p>
    <w:p w14:paraId="79E47175">
      <w:pPr>
        <w:pStyle w:val="175"/>
      </w:pPr>
      <w:r>
        <w:drawing>
          <wp:inline distT="0" distB="0" distL="0" distR="0">
            <wp:extent cx="4714875" cy="2043430"/>
            <wp:effectExtent l="0" t="0" r="0" b="0"/>
            <wp:docPr id="767" name="图片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图片 767"/>
                    <pic:cNvPicPr>
                      <a:picLocks noChangeAspect="1"/>
                    </pic:cNvPicPr>
                  </pic:nvPicPr>
                  <pic:blipFill>
                    <a:blip r:embed="rId1255"/>
                    <a:stretch>
                      <a:fillRect/>
                    </a:stretch>
                  </pic:blipFill>
                  <pic:spPr>
                    <a:xfrm>
                      <a:off x="0" y="0"/>
                      <a:ext cx="4718696" cy="2045286"/>
                    </a:xfrm>
                    <a:prstGeom prst="rect">
                      <a:avLst/>
                    </a:prstGeom>
                  </pic:spPr>
                </pic:pic>
              </a:graphicData>
            </a:graphic>
          </wp:inline>
        </w:drawing>
      </w:r>
    </w:p>
    <w:p w14:paraId="4BE1964E"/>
    <w:p w14:paraId="28501178">
      <w:r>
        <w:rPr>
          <w:rFonts w:hint="eastAsia"/>
        </w:rPr>
        <w:t>点击</w:t>
      </w:r>
      <w:r>
        <w:t>&lt;</w:t>
      </w:r>
      <w:r>
        <w:rPr>
          <w:rFonts w:hint="eastAsia"/>
        </w:rPr>
        <w:t>提交</w:t>
      </w:r>
      <w:r>
        <w:t>&gt;</w:t>
      </w:r>
      <w:r>
        <w:rPr>
          <w:rFonts w:hint="eastAsia"/>
        </w:rPr>
        <w:t>按钮，重启系统。</w:t>
      </w:r>
    </w:p>
    <w:p w14:paraId="22BAE7FC">
      <w:pPr>
        <w:pStyle w:val="6"/>
      </w:pPr>
      <w:bookmarkStart w:id="11345" w:name="_Toc223945288"/>
      <w:bookmarkStart w:id="11346" w:name="_Toc389059448"/>
      <w:bookmarkStart w:id="11347" w:name="_Toc389750143"/>
      <w:bookmarkStart w:id="11348" w:name="_Toc23153086"/>
      <w:bookmarkStart w:id="11349" w:name="_Toc15485329"/>
      <w:bookmarkStart w:id="11350" w:name="_Toc40276507"/>
      <w:bookmarkStart w:id="11351" w:name="_Toc325575885"/>
      <w:bookmarkStart w:id="11352" w:name="_Toc12469917"/>
      <w:bookmarkStart w:id="11353" w:name="_Toc224675122"/>
      <w:bookmarkStart w:id="11354" w:name="_Toc369620416"/>
      <w:bookmarkStart w:id="11355" w:name="_Toc312100466"/>
      <w:r>
        <w:rPr>
          <w:rFonts w:hint="eastAsia"/>
        </w:rPr>
        <w:t>恢复出厂设置</w:t>
      </w:r>
      <w:bookmarkEnd w:id="11345"/>
      <w:bookmarkEnd w:id="11346"/>
      <w:bookmarkEnd w:id="11347"/>
      <w:bookmarkEnd w:id="11348"/>
      <w:bookmarkEnd w:id="11349"/>
      <w:bookmarkEnd w:id="11350"/>
      <w:bookmarkEnd w:id="11351"/>
      <w:bookmarkEnd w:id="11352"/>
      <w:bookmarkEnd w:id="11353"/>
      <w:bookmarkEnd w:id="11354"/>
      <w:bookmarkEnd w:id="11355"/>
    </w:p>
    <w:p w14:paraId="77627BA5">
      <w:r>
        <w:rPr>
          <w:rFonts w:hint="eastAsia"/>
        </w:rPr>
        <w:t>通过菜单“系统管理</w:t>
      </w:r>
      <w:r>
        <w:t xml:space="preserve"> &gt; </w:t>
      </w:r>
      <w:r>
        <w:rPr>
          <w:rFonts w:hint="eastAsia"/>
        </w:rPr>
        <w:t>系统</w:t>
      </w:r>
      <w:r>
        <w:t xml:space="preserve">维护 &gt; </w:t>
      </w:r>
      <w:r>
        <w:rPr>
          <w:rFonts w:hint="eastAsia"/>
        </w:rPr>
        <w:t>系统重启”，进入如</w:t>
      </w:r>
      <w:r>
        <w:fldChar w:fldCharType="begin"/>
      </w:r>
      <w:r>
        <w:instrText xml:space="preserve"> REF _Ref393290805 \r \h </w:instrText>
      </w:r>
      <w:r>
        <w:fldChar w:fldCharType="separate"/>
      </w:r>
      <w:r>
        <w:rPr>
          <w:rFonts w:hint="eastAsia"/>
        </w:rPr>
        <w:t>图33-56</w:t>
      </w:r>
      <w:r>
        <w:fldChar w:fldCharType="end"/>
      </w:r>
      <w:r>
        <w:rPr>
          <w:rFonts w:hint="eastAsia"/>
        </w:rPr>
        <w:t>所示页面，选择“恢复出厂设置”。</w:t>
      </w:r>
    </w:p>
    <w:p w14:paraId="182E65A0">
      <w:pPr>
        <w:pStyle w:val="188"/>
      </w:pPr>
      <w:bookmarkStart w:id="11356" w:name="_Ref393290805"/>
      <w:bookmarkStart w:id="11357" w:name="_Toc141875294"/>
      <w:r>
        <w:t>恢复出厂设置</w:t>
      </w:r>
      <w:bookmarkEnd w:id="11356"/>
      <w:bookmarkEnd w:id="11357"/>
    </w:p>
    <w:p w14:paraId="46FD6831">
      <w:r>
        <w:drawing>
          <wp:inline distT="0" distB="0" distL="0" distR="0">
            <wp:extent cx="3400425" cy="1474470"/>
            <wp:effectExtent l="0" t="0" r="0" b="0"/>
            <wp:docPr id="3240" name="图片 3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0" name="图片 3240"/>
                    <pic:cNvPicPr>
                      <a:picLocks noChangeAspect="1"/>
                    </pic:cNvPicPr>
                  </pic:nvPicPr>
                  <pic:blipFill>
                    <a:blip r:embed="rId1256"/>
                    <a:stretch>
                      <a:fillRect/>
                    </a:stretch>
                  </pic:blipFill>
                  <pic:spPr>
                    <a:xfrm>
                      <a:off x="0" y="0"/>
                      <a:ext cx="3429467" cy="1487586"/>
                    </a:xfrm>
                    <a:prstGeom prst="rect">
                      <a:avLst/>
                    </a:prstGeom>
                  </pic:spPr>
                </pic:pic>
              </a:graphicData>
            </a:graphic>
          </wp:inline>
        </w:drawing>
      </w:r>
    </w:p>
    <w:p w14:paraId="0292FB11"/>
    <w:p w14:paraId="5BB677CB">
      <w:r>
        <w:rPr>
          <w:rFonts w:hint="eastAsia"/>
        </w:rPr>
        <w:t>点击</w:t>
      </w:r>
      <w:r>
        <w:t>&lt;</w:t>
      </w:r>
      <w:r>
        <w:rPr>
          <w:rFonts w:hint="eastAsia"/>
        </w:rPr>
        <w:t>提交</w:t>
      </w:r>
      <w:r>
        <w:t>&gt;</w:t>
      </w:r>
      <w:r>
        <w:rPr>
          <w:rFonts w:hint="eastAsia"/>
        </w:rPr>
        <w:t>按钮，恢复出厂设置。</w:t>
      </w:r>
    </w:p>
    <w:p w14:paraId="021E7E92">
      <w:pPr>
        <w:pStyle w:val="6"/>
      </w:pPr>
      <w:r>
        <w:rPr>
          <w:rFonts w:hint="eastAsia"/>
        </w:rPr>
        <w:t>格式化磁盘</w:t>
      </w:r>
    </w:p>
    <w:p w14:paraId="66EA46A8">
      <w:r>
        <w:rPr>
          <w:rFonts w:hint="eastAsia"/>
        </w:rPr>
        <w:t>进入“系统管理&gt;系统维护&gt;系统重启”页面，开启格式化磁盘开关后，系统重启时会格式化磁盘。无硬盘设备上该页面不显示格式化磁盘选项。</w:t>
      </w:r>
    </w:p>
    <w:p w14:paraId="44A58DE6">
      <w:r>
        <w:rPr>
          <w:rFonts w:hint="eastAsia"/>
        </w:rPr>
        <w:t>磁盘格式化功能常用于设备硬盘报错或数据库故障等场景，处理设备故障时使用。</w:t>
      </w:r>
    </w:p>
    <w:p w14:paraId="1E418C7E">
      <w:pPr>
        <w:pStyle w:val="188"/>
      </w:pPr>
      <w:bookmarkStart w:id="11358" w:name="_Toc193448195"/>
      <w:r>
        <w:rPr>
          <w:rFonts w:hint="eastAsia"/>
        </w:rPr>
        <w:t>格式化磁盘</w:t>
      </w:r>
      <w:bookmarkEnd w:id="11358"/>
    </w:p>
    <w:p w14:paraId="53B792BE">
      <w:pPr>
        <w:pStyle w:val="175"/>
      </w:pPr>
      <w:r>
        <w:drawing>
          <wp:inline distT="0" distB="0" distL="0" distR="0">
            <wp:extent cx="4881880" cy="2028825"/>
            <wp:effectExtent l="0" t="0" r="0" b="0"/>
            <wp:docPr id="770" name="图片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图片 770"/>
                    <pic:cNvPicPr>
                      <a:picLocks noChangeAspect="1"/>
                    </pic:cNvPicPr>
                  </pic:nvPicPr>
                  <pic:blipFill>
                    <a:blip r:embed="rId1257"/>
                    <a:stretch>
                      <a:fillRect/>
                    </a:stretch>
                  </pic:blipFill>
                  <pic:spPr>
                    <a:xfrm>
                      <a:off x="0" y="0"/>
                      <a:ext cx="4889088" cy="2031754"/>
                    </a:xfrm>
                    <a:prstGeom prst="rect">
                      <a:avLst/>
                    </a:prstGeom>
                  </pic:spPr>
                </pic:pic>
              </a:graphicData>
            </a:graphic>
          </wp:inline>
        </w:drawing>
      </w:r>
    </w:p>
    <w:p w14:paraId="633C7C7C"/>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622F77A6">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4C9125B9">
            <w:pPr>
              <w:pStyle w:val="150"/>
              <w:adjustRightInd w:val="0"/>
              <w:snapToGrid w:val="0"/>
              <w:rPr>
                <w:color w:val="auto"/>
              </w:rPr>
            </w:pPr>
            <w:r>
              <w:rPr>
                <w:b/>
                <w:color w:val="auto"/>
              </w:rPr>
              <w:drawing>
                <wp:inline distT="0" distB="0" distL="0" distR="0">
                  <wp:extent cx="283210" cy="283210"/>
                  <wp:effectExtent l="0" t="0" r="2540" b="2540"/>
                  <wp:docPr id="956" name="图片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图片 95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77611354">
            <w:pPr>
              <w:pStyle w:val="150"/>
              <w:adjustRightInd w:val="0"/>
              <w:snapToGrid w:val="0"/>
              <w:rPr>
                <w:color w:val="auto"/>
              </w:rPr>
            </w:pPr>
            <w:r>
              <w:rPr>
                <w:rFonts w:hint="eastAsia"/>
                <w:color w:val="auto"/>
              </w:rPr>
              <w:t>磁盘格式化功能一般在硬盘出现故障时使用。格式化后，硬盘上存储的日志及数据会全部被清除，请谨慎操作。</w:t>
            </w:r>
          </w:p>
        </w:tc>
      </w:tr>
    </w:tbl>
    <w:p w14:paraId="35C72C95"/>
    <w:p w14:paraId="228091E4">
      <w:pPr>
        <w:pStyle w:val="5"/>
      </w:pPr>
      <w:bookmarkStart w:id="11359" w:name="_Toc194081245"/>
      <w:bookmarkStart w:id="11360" w:name="_Toc141873851"/>
      <w:bookmarkStart w:id="11361" w:name="_Toc15485330"/>
      <w:bookmarkStart w:id="11362" w:name="_Toc389059449"/>
      <w:bookmarkStart w:id="11363" w:name="_Toc12469918"/>
      <w:bookmarkStart w:id="11364" w:name="_Toc389750144"/>
      <w:bookmarkStart w:id="11365" w:name="_Toc40276508"/>
      <w:bookmarkStart w:id="11366" w:name="_Toc369620420"/>
      <w:bookmarkStart w:id="11367" w:name="_Toc23153087"/>
      <w:bookmarkStart w:id="11368" w:name="_Toc142401368"/>
      <w:bookmarkStart w:id="11369" w:name="_Toc99562040"/>
      <w:bookmarkStart w:id="11370" w:name="_Toc196728573"/>
      <w:bookmarkStart w:id="11371" w:name="_Toc172218659"/>
      <w:r>
        <w:rPr>
          <w:rFonts w:hint="eastAsia"/>
        </w:rPr>
        <w:t>配置文件</w:t>
      </w:r>
      <w:bookmarkEnd w:id="11359"/>
      <w:bookmarkEnd w:id="11360"/>
      <w:bookmarkEnd w:id="11361"/>
      <w:bookmarkEnd w:id="11362"/>
      <w:bookmarkEnd w:id="11363"/>
      <w:bookmarkEnd w:id="11364"/>
      <w:bookmarkEnd w:id="11365"/>
      <w:bookmarkEnd w:id="11366"/>
      <w:bookmarkEnd w:id="11367"/>
      <w:bookmarkEnd w:id="11368"/>
      <w:bookmarkEnd w:id="11369"/>
      <w:bookmarkEnd w:id="11370"/>
      <w:bookmarkEnd w:id="11371"/>
    </w:p>
    <w:p w14:paraId="3969A06F">
      <w:r>
        <w:rPr>
          <w:rFonts w:hint="eastAsia"/>
        </w:rPr>
        <w:t>通过菜单“系统管理</w:t>
      </w:r>
      <w:r>
        <w:t xml:space="preserve"> &gt; </w:t>
      </w:r>
      <w:r>
        <w:rPr>
          <w:rFonts w:hint="eastAsia"/>
        </w:rPr>
        <w:t>系统</w:t>
      </w:r>
      <w:r>
        <w:t xml:space="preserve">维护 &gt; </w:t>
      </w:r>
      <w:r>
        <w:rPr>
          <w:rFonts w:hint="eastAsia"/>
        </w:rPr>
        <w:t>配置文件”，进入如</w:t>
      </w:r>
      <w:r>
        <w:fldChar w:fldCharType="begin"/>
      </w:r>
      <w:r>
        <w:instrText xml:space="preserve"> REF _Ref393290815 \r \h </w:instrText>
      </w:r>
      <w:r>
        <w:fldChar w:fldCharType="separate"/>
      </w:r>
      <w:r>
        <w:rPr>
          <w:rFonts w:hint="eastAsia"/>
        </w:rPr>
        <w:t>图33-58</w:t>
      </w:r>
      <w:r>
        <w:fldChar w:fldCharType="end"/>
      </w:r>
      <w:r>
        <w:rPr>
          <w:rFonts w:hint="eastAsia"/>
        </w:rPr>
        <w:t>所示页面，管理配置文件。各个配置项的含义如</w:t>
      </w:r>
      <w:r>
        <w:fldChar w:fldCharType="begin"/>
      </w:r>
      <w:r>
        <w:instrText xml:space="preserve"> REF _Ref393290821 \r \h </w:instrText>
      </w:r>
      <w:r>
        <w:fldChar w:fldCharType="separate"/>
      </w:r>
      <w:r>
        <w:rPr>
          <w:rFonts w:hint="eastAsia"/>
        </w:rPr>
        <w:t>表33-1</w:t>
      </w:r>
      <w:r>
        <w:fldChar w:fldCharType="end"/>
      </w:r>
      <w:r>
        <w:rPr>
          <w:rFonts w:hint="eastAsia"/>
        </w:rPr>
        <w:t>所示。</w:t>
      </w:r>
    </w:p>
    <w:p w14:paraId="243C9C8A">
      <w:pPr>
        <w:pStyle w:val="188"/>
      </w:pPr>
      <w:bookmarkStart w:id="11372" w:name="_Ref393290815"/>
      <w:bookmarkStart w:id="11373" w:name="_Toc141875295"/>
      <w:r>
        <w:t>配置文件管理页面</w:t>
      </w:r>
      <w:bookmarkEnd w:id="11372"/>
      <w:bookmarkEnd w:id="11373"/>
    </w:p>
    <w:p w14:paraId="444E2848">
      <w:pPr>
        <w:pStyle w:val="175"/>
      </w:pPr>
      <w:r>
        <w:drawing>
          <wp:inline distT="0" distB="0" distL="0" distR="0">
            <wp:extent cx="5143500" cy="3293745"/>
            <wp:effectExtent l="0" t="0" r="0" b="1905"/>
            <wp:docPr id="775" name="图片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图片 775"/>
                    <pic:cNvPicPr>
                      <a:picLocks noChangeAspect="1"/>
                    </pic:cNvPicPr>
                  </pic:nvPicPr>
                  <pic:blipFill>
                    <a:blip r:embed="rId1258"/>
                    <a:stretch>
                      <a:fillRect/>
                    </a:stretch>
                  </pic:blipFill>
                  <pic:spPr>
                    <a:xfrm>
                      <a:off x="0" y="0"/>
                      <a:ext cx="5147131" cy="3296246"/>
                    </a:xfrm>
                    <a:prstGeom prst="rect">
                      <a:avLst/>
                    </a:prstGeom>
                  </pic:spPr>
                </pic:pic>
              </a:graphicData>
            </a:graphic>
          </wp:inline>
        </w:drawing>
      </w:r>
    </w:p>
    <w:p w14:paraId="056C3D4F"/>
    <w:p w14:paraId="2478A970">
      <w:pPr>
        <w:pStyle w:val="183"/>
      </w:pPr>
      <w:bookmarkStart w:id="11374" w:name="_Ref393290821"/>
      <w:bookmarkStart w:id="11375" w:name="_Toc141875779"/>
      <w:r>
        <w:t>配置文件管理各个配置项含义描述表</w:t>
      </w:r>
      <w:bookmarkEnd w:id="11374"/>
      <w:bookmarkEnd w:id="11375"/>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344"/>
        <w:gridCol w:w="6670"/>
      </w:tblGrid>
      <w:tr w14:paraId="75DA29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68" w:hRule="atLeast"/>
        </w:trPr>
        <w:tc>
          <w:tcPr>
            <w:tcW w:w="2344" w:type="dxa"/>
            <w:tcBorders>
              <w:tl2br w:val="nil"/>
              <w:tr2bl w:val="nil"/>
            </w:tcBorders>
            <w:shd w:val="clear" w:color="auto" w:fill="538135" w:themeFill="accent6" w:themeFillShade="BF"/>
            <w:vAlign w:val="center"/>
          </w:tcPr>
          <w:p w14:paraId="4408E7D5">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70" w:type="dxa"/>
            <w:tcBorders>
              <w:tl2br w:val="nil"/>
              <w:tr2bl w:val="nil"/>
            </w:tcBorders>
            <w:shd w:val="clear" w:color="auto" w:fill="538135" w:themeFill="accent6" w:themeFillShade="BF"/>
            <w:vAlign w:val="center"/>
          </w:tcPr>
          <w:p w14:paraId="24B2AE6C">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F0B63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4D685377">
            <w:pPr>
              <w:pStyle w:val="150"/>
            </w:pPr>
            <w:r>
              <w:t>系统配置导入</w:t>
            </w:r>
          </w:p>
        </w:tc>
        <w:tc>
          <w:tcPr>
            <w:tcW w:w="6670" w:type="dxa"/>
            <w:shd w:val="clear" w:color="auto" w:fill="auto"/>
          </w:tcPr>
          <w:p w14:paraId="3656E7E7">
            <w:pPr>
              <w:pStyle w:val="150"/>
            </w:pPr>
            <w:r>
              <w:rPr>
                <w:rFonts w:hint="eastAsia"/>
              </w:rPr>
              <w:t>从本地主机中选择要导入的配置文件上传至设备。</w:t>
            </w:r>
          </w:p>
        </w:tc>
      </w:tr>
      <w:tr w14:paraId="52438F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32F25CFC">
            <w:pPr>
              <w:pStyle w:val="150"/>
            </w:pPr>
            <w:r>
              <w:rPr>
                <w:rFonts w:hint="eastAsia"/>
              </w:rPr>
              <w:t>系统配置导出</w:t>
            </w:r>
          </w:p>
        </w:tc>
        <w:tc>
          <w:tcPr>
            <w:tcW w:w="6670" w:type="dxa"/>
            <w:shd w:val="clear" w:color="auto" w:fill="auto"/>
          </w:tcPr>
          <w:p w14:paraId="16E60A37">
            <w:pPr>
              <w:pStyle w:val="150"/>
            </w:pPr>
            <w:r>
              <w:rPr>
                <w:rFonts w:hint="eastAsia"/>
              </w:rPr>
              <w:t>将保存的配置导出至本地主机。</w:t>
            </w:r>
          </w:p>
          <w:p w14:paraId="12228B38">
            <w:pPr>
              <w:pStyle w:val="150"/>
            </w:pPr>
            <w:r>
              <w:rPr>
                <w:rFonts w:hint="eastAsia"/>
              </w:rPr>
              <w:t>注：导出的文件是UTF-8编码模式。</w:t>
            </w:r>
          </w:p>
        </w:tc>
      </w:tr>
      <w:tr w14:paraId="7DE0ED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04E134C5">
            <w:pPr>
              <w:pStyle w:val="150"/>
            </w:pPr>
            <w:r>
              <w:t>双备份配置</w:t>
            </w:r>
          </w:p>
        </w:tc>
        <w:tc>
          <w:tcPr>
            <w:tcW w:w="6670" w:type="dxa"/>
            <w:shd w:val="clear" w:color="auto" w:fill="auto"/>
          </w:tcPr>
          <w:p w14:paraId="4EB20E95">
            <w:pPr>
              <w:pStyle w:val="150"/>
            </w:pPr>
            <w:r>
              <w:rPr>
                <w:rFonts w:hint="eastAsia"/>
              </w:rPr>
              <w:t>双备份配置是指设备同时保存主备两份配置文件，设备重启时加载主配置文件。该功能一般结合“拷贝”和“恢复”使用。</w:t>
            </w:r>
          </w:p>
          <w:p w14:paraId="1FE639A1">
            <w:pPr>
              <w:pStyle w:val="150"/>
            </w:pPr>
            <w:r>
              <w:rPr>
                <w:rFonts w:hint="eastAsia"/>
              </w:rPr>
              <w:t>拷贝：将当前配置保存为备配置文件，设备重启后备配置文件不生效，只用于文件保存。设备重新修改配置后，备配置文件不受影响。</w:t>
            </w:r>
          </w:p>
          <w:p w14:paraId="5E3DA49C">
            <w:pPr>
              <w:pStyle w:val="150"/>
            </w:pPr>
            <w:r>
              <w:rPr>
                <w:rFonts w:hint="eastAsia"/>
              </w:rPr>
              <w:t>恢复：将备配置文件替换为主配置文件，设备重启后备配置文件生效。</w:t>
            </w:r>
          </w:p>
        </w:tc>
      </w:tr>
      <w:tr w14:paraId="78F67B6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9014" w:type="dxa"/>
            <w:gridSpan w:val="2"/>
            <w:shd w:val="clear" w:color="auto" w:fill="auto"/>
          </w:tcPr>
          <w:p w14:paraId="390B1376">
            <w:pPr>
              <w:pStyle w:val="150"/>
            </w:pPr>
            <w:r>
              <w:rPr>
                <w:rFonts w:hint="eastAsia"/>
              </w:rPr>
              <w:t>定时备份</w:t>
            </w:r>
          </w:p>
        </w:tc>
      </w:tr>
      <w:tr w14:paraId="4AF8718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22E8B041">
            <w:pPr>
              <w:pStyle w:val="150"/>
            </w:pPr>
            <w:r>
              <w:rPr>
                <w:rFonts w:hint="eastAsia"/>
              </w:rPr>
              <w:t>启用</w:t>
            </w:r>
          </w:p>
        </w:tc>
        <w:tc>
          <w:tcPr>
            <w:tcW w:w="6670" w:type="dxa"/>
            <w:shd w:val="clear" w:color="auto" w:fill="auto"/>
          </w:tcPr>
          <w:p w14:paraId="53BE6A14">
            <w:pPr>
              <w:pStyle w:val="150"/>
            </w:pPr>
            <w:r>
              <w:rPr>
                <w:rFonts w:hint="eastAsia"/>
              </w:rPr>
              <w:t>开启或关闭定时备份功能，开启后，系统根据配置的备份周期，自动将当前配置文件进行备份。</w:t>
            </w:r>
          </w:p>
        </w:tc>
      </w:tr>
      <w:tr w14:paraId="625D4C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4" w:type="dxa"/>
            <w:shd w:val="clear" w:color="auto" w:fill="auto"/>
          </w:tcPr>
          <w:p w14:paraId="382765D0">
            <w:pPr>
              <w:pStyle w:val="150"/>
            </w:pPr>
            <w:r>
              <w:rPr>
                <w:rFonts w:hint="eastAsia"/>
              </w:rPr>
              <w:t>定时备份</w:t>
            </w:r>
          </w:p>
        </w:tc>
        <w:tc>
          <w:tcPr>
            <w:tcW w:w="6670" w:type="dxa"/>
            <w:shd w:val="clear" w:color="auto" w:fill="auto"/>
          </w:tcPr>
          <w:p w14:paraId="5A79B161">
            <w:pPr>
              <w:pStyle w:val="150"/>
            </w:pPr>
            <w:r>
              <w:rPr>
                <w:rFonts w:hint="eastAsia"/>
              </w:rPr>
              <w:t>有两种方式：</w:t>
            </w:r>
          </w:p>
          <w:p w14:paraId="0996C7C2">
            <w:pPr>
              <w:pStyle w:val="207"/>
              <w:numPr>
                <w:ilvl w:val="0"/>
                <w:numId w:val="24"/>
              </w:numPr>
              <w:rPr>
                <w:lang w:eastAsia="zh-CN"/>
              </w:rPr>
            </w:pPr>
            <w:r>
              <w:rPr>
                <w:rFonts w:hint="eastAsia"/>
                <w:lang w:eastAsia="zh-CN"/>
              </w:rPr>
              <w:t>周期备份，可设置备份周期，范围为</w:t>
            </w:r>
            <w:r>
              <w:rPr>
                <w:lang w:eastAsia="zh-CN"/>
              </w:rPr>
              <w:t>10-1440</w:t>
            </w:r>
            <w:r>
              <w:rPr>
                <w:rFonts w:hint="eastAsia"/>
                <w:lang w:eastAsia="zh-CN"/>
              </w:rPr>
              <w:t>分钟；</w:t>
            </w:r>
          </w:p>
          <w:p w14:paraId="787A1811">
            <w:pPr>
              <w:pStyle w:val="207"/>
              <w:numPr>
                <w:ilvl w:val="0"/>
                <w:numId w:val="24"/>
              </w:numPr>
              <w:rPr>
                <w:lang w:eastAsia="zh-CN"/>
              </w:rPr>
            </w:pPr>
            <w:r>
              <w:rPr>
                <w:rFonts w:hint="eastAsia"/>
                <w:lang w:eastAsia="zh-CN"/>
              </w:rPr>
              <w:t>定时备份，可设置每周或每月里的一天或多天及具体时间。</w:t>
            </w:r>
          </w:p>
          <w:p w14:paraId="7EFA4606">
            <w:pPr>
              <w:pStyle w:val="150"/>
            </w:pPr>
            <w:r>
              <w:rPr>
                <w:rFonts w:hint="eastAsia"/>
              </w:rPr>
              <w:t>外发方式：勾选FTP，则外发到FTP服务器中，FTP服务器设置请参考 配置FTP服务器。不勾选FTP则定时将配置文件备份到本地。</w:t>
            </w:r>
          </w:p>
        </w:tc>
      </w:tr>
    </w:tbl>
    <w:p w14:paraId="303ED393">
      <w:bookmarkStart w:id="11376" w:name="_Toc497293013"/>
      <w:bookmarkEnd w:id="11376"/>
      <w:bookmarkStart w:id="11377" w:name="_Toc389750123"/>
      <w:bookmarkStart w:id="11378" w:name="_Toc389059428"/>
    </w:p>
    <w:bookmarkEnd w:id="11377"/>
    <w:bookmarkEnd w:id="11378"/>
    <w:p w14:paraId="754787B7">
      <w:pPr>
        <w:pStyle w:val="5"/>
      </w:pPr>
      <w:bookmarkStart w:id="11379" w:name="_Toc141873852"/>
      <w:bookmarkStart w:id="11380" w:name="_Toc172218660"/>
      <w:bookmarkStart w:id="11381" w:name="_Toc196728574"/>
      <w:bookmarkStart w:id="11382" w:name="_Toc99562041"/>
      <w:bookmarkStart w:id="11383" w:name="_Toc194081246"/>
      <w:bookmarkStart w:id="11384" w:name="_Toc142401369"/>
      <w:r>
        <w:rPr>
          <w:rFonts w:hint="eastAsia"/>
        </w:rPr>
        <w:t>授权管理</w:t>
      </w:r>
      <w:bookmarkEnd w:id="10982"/>
      <w:bookmarkEnd w:id="10983"/>
      <w:bookmarkEnd w:id="10984"/>
      <w:bookmarkEnd w:id="10985"/>
      <w:bookmarkEnd w:id="11379"/>
      <w:bookmarkEnd w:id="11380"/>
      <w:bookmarkEnd w:id="11381"/>
      <w:bookmarkEnd w:id="11382"/>
      <w:bookmarkEnd w:id="11383"/>
      <w:bookmarkEnd w:id="11384"/>
    </w:p>
    <w:p w14:paraId="542E651A">
      <w:pPr>
        <w:pStyle w:val="6"/>
      </w:pPr>
      <w:bookmarkStart w:id="11385" w:name="_Toc12469907"/>
      <w:bookmarkStart w:id="11386" w:name="_Toc15485320"/>
      <w:bookmarkStart w:id="11387" w:name="_Toc40276498"/>
      <w:bookmarkStart w:id="11388" w:name="_Toc23153077"/>
      <w:r>
        <w:rPr>
          <w:rFonts w:hint="eastAsia"/>
        </w:rPr>
        <w:t>授权管理概述</w:t>
      </w:r>
      <w:bookmarkEnd w:id="11385"/>
      <w:bookmarkEnd w:id="11386"/>
      <w:bookmarkEnd w:id="11387"/>
      <w:bookmarkEnd w:id="11388"/>
    </w:p>
    <w:p w14:paraId="12E96666">
      <w:r>
        <w:rPr>
          <w:rFonts w:hint="eastAsia"/>
        </w:rPr>
        <w:t>设备只有授权时间在有效范围内，才能保证相关特性功能的有效使用和特征库的及时升级。如果授权即将过期或已过期，为得到有效的服务，请及时联系销售人员购买新的许可。</w:t>
      </w:r>
    </w:p>
    <w:p w14:paraId="1F0A0344">
      <w:pPr>
        <w:pStyle w:val="6"/>
      </w:pPr>
      <w:bookmarkStart w:id="11389" w:name="_Toc15485321"/>
      <w:bookmarkStart w:id="11390" w:name="_Toc40276499"/>
      <w:bookmarkStart w:id="11391" w:name="_Toc12469908"/>
      <w:bookmarkStart w:id="11392" w:name="_Toc23153078"/>
      <w:r>
        <w:rPr>
          <w:rFonts w:hint="eastAsia"/>
        </w:rPr>
        <w:t>手动导入许可证</w:t>
      </w:r>
      <w:bookmarkEnd w:id="11389"/>
      <w:bookmarkEnd w:id="11390"/>
      <w:bookmarkEnd w:id="11391"/>
      <w:bookmarkEnd w:id="11392"/>
    </w:p>
    <w:p w14:paraId="5E2C019F">
      <w:r>
        <w:rPr>
          <w:rFonts w:hint="eastAsia"/>
        </w:rPr>
        <w:t>通过菜单“系统管理</w:t>
      </w:r>
      <w:r>
        <w:t xml:space="preserve"> &gt; 系统维护</w:t>
      </w:r>
      <w:r>
        <w:rPr>
          <w:rFonts w:hint="eastAsia"/>
        </w:rPr>
        <w:t xml:space="preserve"> &gt; 授权管理”，进入授权管理页面，可以查看相关模块的授权状态及剩余时间。</w:t>
      </w:r>
    </w:p>
    <w:p w14:paraId="59471A42">
      <w:pPr>
        <w:pStyle w:val="188"/>
      </w:pPr>
      <w:bookmarkStart w:id="11393" w:name="_Toc141875297"/>
      <w:r>
        <w:rPr>
          <w:rFonts w:hint="eastAsia"/>
        </w:rPr>
        <w:t>手动导入许可证页面</w:t>
      </w:r>
      <w:bookmarkEnd w:id="11393"/>
    </w:p>
    <w:p w14:paraId="17C74C97">
      <w:pPr>
        <w:pStyle w:val="175"/>
      </w:pPr>
      <w:r>
        <w:drawing>
          <wp:inline distT="0" distB="0" distL="0" distR="0">
            <wp:extent cx="5731510" cy="3416935"/>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259"/>
                    <a:stretch>
                      <a:fillRect/>
                    </a:stretch>
                  </pic:blipFill>
                  <pic:spPr>
                    <a:xfrm>
                      <a:off x="0" y="0"/>
                      <a:ext cx="5731510" cy="3416935"/>
                    </a:xfrm>
                    <a:prstGeom prst="rect">
                      <a:avLst/>
                    </a:prstGeom>
                  </pic:spPr>
                </pic:pic>
              </a:graphicData>
            </a:graphic>
          </wp:inline>
        </w:drawing>
      </w:r>
    </w:p>
    <w:p w14:paraId="53D204F0"/>
    <w:p w14:paraId="3B143AFD">
      <w:pPr>
        <w:spacing w:before="120" w:after="120"/>
      </w:pPr>
      <w:r>
        <w:rPr>
          <w:rFonts w:hint="eastAsia"/>
        </w:rPr>
        <w:t>点击&lt;导入许可证</w:t>
      </w:r>
      <w:r>
        <w:t>&gt;</w:t>
      </w:r>
      <w:r>
        <w:rPr>
          <w:rFonts w:hint="eastAsia"/>
        </w:rPr>
        <w:t>，输入获取的License，点击&lt;提交</w:t>
      </w:r>
      <w:r>
        <w:t>&gt;</w:t>
      </w:r>
      <w:r>
        <w:rPr>
          <w:rFonts w:hint="eastAsia"/>
        </w:rPr>
        <w:t>即可导入许可证。</w:t>
      </w:r>
    </w:p>
    <w:p w14:paraId="1227C08C">
      <w:pPr>
        <w:pStyle w:val="188"/>
      </w:pPr>
      <w:r>
        <w:rPr>
          <w:rFonts w:hint="eastAsia"/>
        </w:rPr>
        <w:t>导入许可证页面</w:t>
      </w:r>
    </w:p>
    <w:p w14:paraId="1A127D06">
      <w:r>
        <w:drawing>
          <wp:inline distT="0" distB="0" distL="0" distR="0">
            <wp:extent cx="4610100" cy="1493520"/>
            <wp:effectExtent l="0" t="0" r="0" b="0"/>
            <wp:docPr id="3232" name="图片 3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2" name="图片 3232"/>
                    <pic:cNvPicPr>
                      <a:picLocks noChangeAspect="1"/>
                    </pic:cNvPicPr>
                  </pic:nvPicPr>
                  <pic:blipFill>
                    <a:blip r:embed="rId1260"/>
                    <a:stretch>
                      <a:fillRect/>
                    </a:stretch>
                  </pic:blipFill>
                  <pic:spPr>
                    <a:xfrm>
                      <a:off x="0" y="0"/>
                      <a:ext cx="4662914" cy="1511205"/>
                    </a:xfrm>
                    <a:prstGeom prst="rect">
                      <a:avLst/>
                    </a:prstGeom>
                  </pic:spPr>
                </pic:pic>
              </a:graphicData>
            </a:graphic>
          </wp:inline>
        </w:drawing>
      </w:r>
    </w:p>
    <w:p w14:paraId="52531191"/>
    <w:p w14:paraId="57D5BEF7">
      <w:pPr>
        <w:pStyle w:val="183"/>
      </w:pPr>
      <w:bookmarkStart w:id="11394" w:name="_Toc141875780"/>
      <w:r>
        <w:rPr>
          <w:rFonts w:hint="eastAsia"/>
        </w:rPr>
        <w:t>手动导入许可证配置项含义描述表</w:t>
      </w:r>
      <w:bookmarkEnd w:id="11394"/>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344"/>
        <w:gridCol w:w="6670"/>
      </w:tblGrid>
      <w:tr w14:paraId="4C327C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tcBorders>
              <w:tl2br w:val="nil"/>
              <w:tr2bl w:val="nil"/>
            </w:tcBorders>
            <w:shd w:val="clear" w:color="auto" w:fill="538135" w:themeFill="accent6" w:themeFillShade="BF"/>
            <w:vAlign w:val="center"/>
          </w:tcPr>
          <w:p w14:paraId="3E0BFB06">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84" w:type="dxa"/>
            <w:tcBorders>
              <w:tl2br w:val="nil"/>
              <w:tr2bl w:val="nil"/>
            </w:tcBorders>
            <w:shd w:val="clear" w:color="auto" w:fill="538135" w:themeFill="accent6" w:themeFillShade="BF"/>
            <w:vAlign w:val="center"/>
          </w:tcPr>
          <w:p w14:paraId="6CA9E13B">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A4D7C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47D6CD11">
            <w:pPr>
              <w:pStyle w:val="150"/>
            </w:pPr>
            <w:r>
              <w:rPr>
                <w:rFonts w:hint="eastAsia"/>
              </w:rPr>
              <w:t>导入许可证</w:t>
            </w:r>
          </w:p>
        </w:tc>
        <w:tc>
          <w:tcPr>
            <w:tcW w:w="6684" w:type="dxa"/>
            <w:shd w:val="clear" w:color="auto" w:fill="auto"/>
          </w:tcPr>
          <w:p w14:paraId="1685E922">
            <w:pPr>
              <w:pStyle w:val="150"/>
            </w:pPr>
            <w:r>
              <w:rPr>
                <w:rFonts w:hint="eastAsia"/>
              </w:rPr>
              <w:t>对系统软件进行授权。</w:t>
            </w:r>
          </w:p>
        </w:tc>
      </w:tr>
    </w:tbl>
    <w:p w14:paraId="79B47240">
      <w:bookmarkStart w:id="11395" w:name="_Toc497292999"/>
      <w:bookmarkEnd w:id="11395"/>
    </w:p>
    <w:p w14:paraId="1A90020E">
      <w:pPr>
        <w:pStyle w:val="5"/>
      </w:pPr>
      <w:bookmarkStart w:id="11396" w:name="_Toc497293021"/>
      <w:bookmarkEnd w:id="11396"/>
      <w:bookmarkStart w:id="11397" w:name="_Toc359030254"/>
      <w:bookmarkEnd w:id="11397"/>
      <w:bookmarkStart w:id="11398" w:name="_Toc359030255"/>
      <w:bookmarkEnd w:id="11398"/>
      <w:bookmarkStart w:id="11399" w:name="_Toc359030256"/>
      <w:bookmarkEnd w:id="11399"/>
      <w:bookmarkStart w:id="11400" w:name="_Toc359031568"/>
      <w:bookmarkEnd w:id="11400"/>
      <w:bookmarkStart w:id="11401" w:name="_Toc359030257"/>
      <w:bookmarkEnd w:id="11401"/>
      <w:bookmarkStart w:id="11402" w:name="_Toc497293008"/>
      <w:bookmarkEnd w:id="11402"/>
      <w:bookmarkStart w:id="11403" w:name="_Toc359031566"/>
      <w:bookmarkEnd w:id="11403"/>
      <w:bookmarkStart w:id="11404" w:name="_Toc359031569"/>
      <w:bookmarkEnd w:id="11404"/>
      <w:bookmarkStart w:id="11405" w:name="_Toc359031567"/>
      <w:bookmarkEnd w:id="11405"/>
      <w:bookmarkStart w:id="11406" w:name="_Toc14974153"/>
      <w:bookmarkStart w:id="11407" w:name="_Toc196728575"/>
      <w:bookmarkStart w:id="11408" w:name="_Toc99562042"/>
      <w:bookmarkStart w:id="11409" w:name="_Toc15485357"/>
      <w:bookmarkStart w:id="11410" w:name="_Toc40276532"/>
      <w:bookmarkStart w:id="11411" w:name="_Toc141873853"/>
      <w:bookmarkStart w:id="11412" w:name="_Ref99553373"/>
      <w:bookmarkStart w:id="11413" w:name="_Toc142401370"/>
      <w:bookmarkStart w:id="11414" w:name="_Toc172218661"/>
      <w:bookmarkStart w:id="11415" w:name="_Toc194081247"/>
      <w:bookmarkStart w:id="11416" w:name="_Toc23153111"/>
      <w:bookmarkStart w:id="11417" w:name="_Toc23153098"/>
      <w:bookmarkStart w:id="11418" w:name="_Toc15485341"/>
      <w:bookmarkStart w:id="11419" w:name="_Toc12469935"/>
      <w:bookmarkStart w:id="11420" w:name="_Toc40276519"/>
      <w:r>
        <w:rPr>
          <w:rFonts w:hint="eastAsia"/>
        </w:rPr>
        <w:t>系统告警</w:t>
      </w:r>
      <w:bookmarkEnd w:id="11406"/>
      <w:bookmarkEnd w:id="11407"/>
      <w:bookmarkEnd w:id="11408"/>
      <w:bookmarkEnd w:id="11409"/>
      <w:bookmarkEnd w:id="11410"/>
      <w:bookmarkEnd w:id="11411"/>
      <w:bookmarkEnd w:id="11412"/>
      <w:bookmarkEnd w:id="11413"/>
      <w:bookmarkEnd w:id="11414"/>
      <w:bookmarkEnd w:id="11415"/>
      <w:bookmarkEnd w:id="11416"/>
    </w:p>
    <w:p w14:paraId="21AB8FDB">
      <w:pPr>
        <w:pStyle w:val="6"/>
      </w:pPr>
      <w:bookmarkStart w:id="11421" w:name="_Toc23153112"/>
      <w:bookmarkStart w:id="11422" w:name="_Toc14974154"/>
      <w:bookmarkStart w:id="11423" w:name="_Toc40276533"/>
      <w:bookmarkStart w:id="11424" w:name="_Toc15485358"/>
      <w:r>
        <w:rPr>
          <w:rFonts w:hint="eastAsia"/>
        </w:rPr>
        <w:t>概述</w:t>
      </w:r>
      <w:bookmarkEnd w:id="11421"/>
      <w:bookmarkEnd w:id="11422"/>
      <w:bookmarkEnd w:id="11423"/>
      <w:bookmarkEnd w:id="11424"/>
    </w:p>
    <w:p w14:paraId="4DBA83F3">
      <w:r>
        <w:rPr>
          <w:rFonts w:hint="eastAsia"/>
        </w:rPr>
        <w:t>当设备发生故障或某些原因导致系统发生不正常的工作或某些功能影响用户体验的情况下，系统可以根据不同类型的故障，并对故障进行分析并通过一定的告警方式通知用户或者网络管理员，这就是实现告警功能的目的。</w:t>
      </w:r>
    </w:p>
    <w:p w14:paraId="0764CE62">
      <w:r>
        <w:rPr>
          <w:rFonts w:hint="eastAsia"/>
        </w:rPr>
        <w:t>为提高系统的实时监控能力，增加告警功能模块。该功能模块可以根据不同事件类型进行分析，分析结果以不同的告警方式通知用户或管理员。系统对以下产生的事件进行分析：</w:t>
      </w:r>
    </w:p>
    <w:p w14:paraId="414E358E">
      <w:pPr>
        <w:pStyle w:val="162"/>
      </w:pPr>
      <w:r>
        <w:rPr>
          <w:rFonts w:hint="eastAsia"/>
        </w:rPr>
        <w:t>设备硬件事件，如CPU利用率过高、内存利用率过高等；</w:t>
      </w:r>
    </w:p>
    <w:p w14:paraId="70696C03">
      <w:pPr>
        <w:pStyle w:val="162"/>
      </w:pPr>
      <w:r>
        <w:rPr>
          <w:rFonts w:hint="eastAsia"/>
        </w:rPr>
        <w:t>用户体验事件，如IPsec-VPN隧道断开、移动终端管理告警、LDAP服务器对接失败告警、配置变更告警等；</w:t>
      </w:r>
    </w:p>
    <w:p w14:paraId="1761B0B8">
      <w:pPr>
        <w:pStyle w:val="162"/>
      </w:pPr>
      <w:r>
        <w:rPr>
          <w:rFonts w:hint="eastAsia"/>
        </w:rPr>
        <w:t>系统规格事件，如会话数目达到规格，接口流量超过阈值等。</w:t>
      </w:r>
    </w:p>
    <w:p w14:paraId="19C53F9D">
      <w:pPr>
        <w:pStyle w:val="162"/>
      </w:pPr>
      <w:r>
        <w:rPr>
          <w:rFonts w:hint="eastAsia"/>
        </w:rPr>
        <w:t>过期提醒：证书过期告警、授权过期提醒等。</w:t>
      </w:r>
    </w:p>
    <w:p w14:paraId="3F26296D">
      <w:pPr>
        <w:pStyle w:val="6"/>
      </w:pPr>
      <w:bookmarkStart w:id="11425" w:name="_Toc15485359"/>
      <w:bookmarkStart w:id="11426" w:name="_Toc14974155"/>
      <w:bookmarkStart w:id="11427" w:name="_Toc40276534"/>
      <w:bookmarkStart w:id="11428" w:name="_Toc23153113"/>
      <w:r>
        <w:rPr>
          <w:rFonts w:hint="eastAsia"/>
        </w:rPr>
        <w:t>告警功能</w:t>
      </w:r>
      <w:r>
        <w:t>配置</w:t>
      </w:r>
      <w:bookmarkEnd w:id="11425"/>
      <w:bookmarkEnd w:id="11426"/>
      <w:bookmarkEnd w:id="11427"/>
      <w:bookmarkEnd w:id="11428"/>
    </w:p>
    <w:p w14:paraId="361007B3">
      <w:pPr>
        <w:pStyle w:val="202"/>
      </w:pPr>
      <w:bookmarkStart w:id="11429" w:name="_Toc23153114"/>
      <w:bookmarkStart w:id="11430" w:name="_Toc14974156"/>
      <w:bookmarkStart w:id="11431" w:name="_Toc40276535"/>
      <w:bookmarkStart w:id="11432" w:name="_Toc15485360"/>
      <w:r>
        <w:rPr>
          <w:rFonts w:hint="eastAsia"/>
        </w:rPr>
        <w:t>告警事件设置</w:t>
      </w:r>
      <w:bookmarkEnd w:id="11429"/>
      <w:bookmarkEnd w:id="11430"/>
      <w:bookmarkEnd w:id="11431"/>
      <w:bookmarkEnd w:id="11432"/>
    </w:p>
    <w:p w14:paraId="20043459">
      <w:r>
        <w:rPr>
          <w:rFonts w:hint="eastAsia"/>
        </w:rPr>
        <w:t>在导航栏中选择“系统管理&gt;系统维护&gt;系统告警”，进入告警功能显示页面，页面显示了当前所有告警事件的类型。</w:t>
      </w:r>
    </w:p>
    <w:p w14:paraId="5C58F766">
      <w:pPr>
        <w:pStyle w:val="188"/>
      </w:pPr>
      <w:bookmarkStart w:id="11433" w:name="_Toc141875298"/>
      <w:r>
        <w:rPr>
          <w:rFonts w:hint="eastAsia"/>
        </w:rPr>
        <w:t>告警事件设置页面</w:t>
      </w:r>
      <w:bookmarkEnd w:id="11433"/>
    </w:p>
    <w:p w14:paraId="5C17DF51">
      <w:pPr>
        <w:pStyle w:val="175"/>
      </w:pPr>
      <w:r>
        <w:drawing>
          <wp:inline distT="0" distB="0" distL="0" distR="0">
            <wp:extent cx="5731510" cy="5177790"/>
            <wp:effectExtent l="0" t="0" r="2540" b="381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261"/>
                    <a:stretch>
                      <a:fillRect/>
                    </a:stretch>
                  </pic:blipFill>
                  <pic:spPr>
                    <a:xfrm>
                      <a:off x="0" y="0"/>
                      <a:ext cx="5731510" cy="5177790"/>
                    </a:xfrm>
                    <a:prstGeom prst="rect">
                      <a:avLst/>
                    </a:prstGeom>
                  </pic:spPr>
                </pic:pic>
              </a:graphicData>
            </a:graphic>
          </wp:inline>
        </w:drawing>
      </w:r>
    </w:p>
    <w:p w14:paraId="1ADF0969"/>
    <w:p w14:paraId="7978B298">
      <w:pPr>
        <w:pStyle w:val="183"/>
      </w:pPr>
      <w:bookmarkStart w:id="11434" w:name="_Toc141875781"/>
      <w:r>
        <w:rPr>
          <w:rFonts w:hint="eastAsia"/>
        </w:rPr>
        <w:t>告警事件设置页面详细说明</w:t>
      </w:r>
      <w:bookmarkEnd w:id="11434"/>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526"/>
        <w:gridCol w:w="7489"/>
      </w:tblGrid>
      <w:tr w14:paraId="7CA865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tcBorders>
              <w:tl2br w:val="nil"/>
              <w:tr2bl w:val="nil"/>
            </w:tcBorders>
            <w:shd w:val="clear" w:color="auto" w:fill="538135" w:themeFill="accent6" w:themeFillShade="BF"/>
            <w:vAlign w:val="center"/>
          </w:tcPr>
          <w:p w14:paraId="26686CED">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7489" w:type="dxa"/>
            <w:tcBorders>
              <w:tl2br w:val="nil"/>
              <w:tr2bl w:val="nil"/>
            </w:tcBorders>
            <w:shd w:val="clear" w:color="auto" w:fill="538135" w:themeFill="accent6" w:themeFillShade="BF"/>
            <w:vAlign w:val="center"/>
          </w:tcPr>
          <w:p w14:paraId="0F2795BE">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16C4ED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633B706F">
            <w:pPr>
              <w:pStyle w:val="150"/>
            </w:pPr>
            <w:r>
              <w:rPr>
                <w:rFonts w:hint="eastAsia"/>
              </w:rPr>
              <w:t>启用事件告警</w:t>
            </w:r>
          </w:p>
        </w:tc>
        <w:tc>
          <w:tcPr>
            <w:tcW w:w="7489" w:type="dxa"/>
            <w:shd w:val="clear" w:color="auto" w:fill="auto"/>
          </w:tcPr>
          <w:p w14:paraId="7A553201">
            <w:pPr>
              <w:pStyle w:val="150"/>
            </w:pPr>
            <w:r>
              <w:t>启用事件告警的全局按钮</w:t>
            </w:r>
            <w:r>
              <w:rPr>
                <w:rFonts w:hint="eastAsia"/>
              </w:rPr>
              <w:t>。</w:t>
            </w:r>
          </w:p>
        </w:tc>
      </w:tr>
      <w:tr w14:paraId="6859129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23197F53">
            <w:pPr>
              <w:pStyle w:val="150"/>
            </w:pPr>
            <w:r>
              <w:rPr>
                <w:rFonts w:hint="eastAsia"/>
              </w:rPr>
              <w:t>C</w:t>
            </w:r>
            <w:r>
              <w:t>PU告警</w:t>
            </w:r>
          </w:p>
        </w:tc>
        <w:tc>
          <w:tcPr>
            <w:tcW w:w="7489" w:type="dxa"/>
            <w:shd w:val="clear" w:color="auto" w:fill="auto"/>
          </w:tcPr>
          <w:p w14:paraId="2436583D">
            <w:pPr>
              <w:pStyle w:val="150"/>
            </w:pPr>
            <w:r>
              <w:rPr>
                <w:rFonts w:hint="eastAsia"/>
              </w:rPr>
              <w:t>阈值：可选CPU占用区间1%~100%；持续时长：CPU占用率超过阈值的持续时间大于设置的持续时长后触发系统告警。</w:t>
            </w:r>
          </w:p>
          <w:p w14:paraId="53E3E1C5">
            <w:pPr>
              <w:pStyle w:val="150"/>
            </w:pPr>
            <w:r>
              <w:rPr>
                <w:rFonts w:hint="eastAsia"/>
              </w:rPr>
              <w:t>CPU占用率是指多核CPU的平均利占用率。</w:t>
            </w:r>
          </w:p>
        </w:tc>
      </w:tr>
      <w:tr w14:paraId="4834224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3C2B0465">
            <w:pPr>
              <w:pStyle w:val="150"/>
            </w:pPr>
            <w:r>
              <w:rPr>
                <w:rFonts w:hint="eastAsia"/>
              </w:rPr>
              <w:t>管理核C</w:t>
            </w:r>
            <w:r>
              <w:t>PU告警</w:t>
            </w:r>
          </w:p>
        </w:tc>
        <w:tc>
          <w:tcPr>
            <w:tcW w:w="7489" w:type="dxa"/>
            <w:shd w:val="clear" w:color="auto" w:fill="auto"/>
          </w:tcPr>
          <w:p w14:paraId="595472DA">
            <w:pPr>
              <w:pStyle w:val="150"/>
            </w:pPr>
            <w:r>
              <w:rPr>
                <w:rFonts w:hint="eastAsia"/>
              </w:rPr>
              <w:t>阈值：可选管理核的CPU占用区间1%~100%；管理核CPU的占用率超过阈值的持续时间大于设置的持续时长后触发系统告警。</w:t>
            </w:r>
          </w:p>
          <w:p w14:paraId="17C6FF12">
            <w:pPr>
              <w:pStyle w:val="150"/>
            </w:pPr>
            <w:r>
              <w:rPr>
                <w:rFonts w:hint="eastAsia"/>
              </w:rPr>
              <w:t>管理核C</w:t>
            </w:r>
            <w:r>
              <w:t>PU的</w:t>
            </w:r>
            <w:r>
              <w:rPr>
                <w:rFonts w:hint="eastAsia"/>
              </w:rPr>
              <w:t>占用率为CPU0核的使用率，CPU0核占用率过高，会导致设备响应慢甚至卡顿，影响系统性能，也可能影响业务转发。</w:t>
            </w:r>
          </w:p>
        </w:tc>
      </w:tr>
      <w:tr w14:paraId="3EABCA5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1313648C">
            <w:pPr>
              <w:pStyle w:val="150"/>
            </w:pPr>
            <w:r>
              <w:rPr>
                <w:rFonts w:hint="eastAsia"/>
              </w:rPr>
              <w:t>业务核C</w:t>
            </w:r>
            <w:r>
              <w:t>PU告警</w:t>
            </w:r>
          </w:p>
        </w:tc>
        <w:tc>
          <w:tcPr>
            <w:tcW w:w="7489" w:type="dxa"/>
            <w:shd w:val="clear" w:color="auto" w:fill="auto"/>
          </w:tcPr>
          <w:p w14:paraId="6A04FA2A">
            <w:pPr>
              <w:pStyle w:val="150"/>
            </w:pPr>
            <w:r>
              <w:rPr>
                <w:rFonts w:hint="eastAsia"/>
              </w:rPr>
              <w:t>阈值：可选业务核CPU占用区间1%~100%；业务核CPU占用率超过阈值的持续时间大于设置的持续时长后触发系统告警。</w:t>
            </w:r>
          </w:p>
          <w:p w14:paraId="5BFE1D02">
            <w:pPr>
              <w:pStyle w:val="150"/>
            </w:pPr>
            <w:r>
              <w:rPr>
                <w:rFonts w:hint="eastAsia"/>
              </w:rPr>
              <w:t>业务核C</w:t>
            </w:r>
            <w:r>
              <w:t>PU的</w:t>
            </w:r>
            <w:r>
              <w:rPr>
                <w:rFonts w:hint="eastAsia"/>
              </w:rPr>
              <w:t>占用率为：除CPU0核外其他核的平均使用率，用于业务的转发。业务核CPU的占用率过高会造成数据处理不及时或丢包率高等状况。</w:t>
            </w:r>
          </w:p>
        </w:tc>
      </w:tr>
      <w:tr w14:paraId="6F0E51C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5F7D512D">
            <w:pPr>
              <w:pStyle w:val="150"/>
            </w:pPr>
            <w:r>
              <w:rPr>
                <w:rFonts w:hint="eastAsia"/>
              </w:rPr>
              <w:t>内存</w:t>
            </w:r>
            <w:r>
              <w:t>告警</w:t>
            </w:r>
          </w:p>
        </w:tc>
        <w:tc>
          <w:tcPr>
            <w:tcW w:w="7489" w:type="dxa"/>
            <w:shd w:val="clear" w:color="auto" w:fill="auto"/>
          </w:tcPr>
          <w:p w14:paraId="65A01DB0">
            <w:pPr>
              <w:pStyle w:val="150"/>
            </w:pPr>
            <w:r>
              <w:rPr>
                <w:rFonts w:hint="eastAsia"/>
              </w:rPr>
              <w:t>阈值：可选内存占用区间1%~100%；持续时长：内存占用率超过阈值持续时间大于设置的持续时长后触发系统告警。</w:t>
            </w:r>
          </w:p>
          <w:p w14:paraId="4A9FC9D2">
            <w:pPr>
              <w:pStyle w:val="150"/>
            </w:pPr>
            <w:r>
              <w:rPr>
                <w:rFonts w:hint="eastAsia"/>
              </w:rPr>
              <w:t>内存占用率为系统内存和转发内存的平均使用率。</w:t>
            </w:r>
          </w:p>
        </w:tc>
      </w:tr>
      <w:tr w14:paraId="3462665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136547D8">
            <w:pPr>
              <w:pStyle w:val="150"/>
            </w:pPr>
            <w:r>
              <w:rPr>
                <w:rFonts w:hint="eastAsia"/>
              </w:rPr>
              <w:t>系统内存告警</w:t>
            </w:r>
          </w:p>
        </w:tc>
        <w:tc>
          <w:tcPr>
            <w:tcW w:w="7489" w:type="dxa"/>
            <w:shd w:val="clear" w:color="auto" w:fill="auto"/>
          </w:tcPr>
          <w:p w14:paraId="2F81F4A0">
            <w:pPr>
              <w:pStyle w:val="150"/>
            </w:pPr>
            <w:r>
              <w:rPr>
                <w:rFonts w:hint="eastAsia"/>
              </w:rPr>
              <w:t>阈值：可选系统内存占用区间1%~100%；持续时长：系统内存占用率超过阈值持续时间大于设置的持续时长后触发系统告警。</w:t>
            </w:r>
          </w:p>
          <w:p w14:paraId="279258B9">
            <w:pPr>
              <w:pStyle w:val="150"/>
            </w:pPr>
            <w:r>
              <w:t>系统内存</w:t>
            </w:r>
            <w:r>
              <w:rPr>
                <w:rFonts w:hint="eastAsia"/>
              </w:rPr>
              <w:t>占用率过高会导致设备重启。设置系统内存告警，可以对系统内存出现高占用率的情况及时告警，及时优化系统性能，以保证设备运行正常。</w:t>
            </w:r>
          </w:p>
        </w:tc>
      </w:tr>
      <w:tr w14:paraId="625D6C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3DFC9C67">
            <w:pPr>
              <w:pStyle w:val="150"/>
            </w:pPr>
            <w:r>
              <w:rPr>
                <w:rFonts w:hint="eastAsia"/>
              </w:rPr>
              <w:t>转发内存告警</w:t>
            </w:r>
          </w:p>
        </w:tc>
        <w:tc>
          <w:tcPr>
            <w:tcW w:w="7489" w:type="dxa"/>
            <w:shd w:val="clear" w:color="auto" w:fill="auto"/>
          </w:tcPr>
          <w:p w14:paraId="1F08E6E0">
            <w:pPr>
              <w:pStyle w:val="150"/>
            </w:pPr>
            <w:r>
              <w:rPr>
                <w:rFonts w:hint="eastAsia"/>
              </w:rPr>
              <w:t>阈值：可选转发内存占用区间1%~100%；持续时长：转发内存占用率超过阈值持续时间大于设置的持续时长后触发系统告警。</w:t>
            </w:r>
          </w:p>
          <w:p w14:paraId="338DCF7B">
            <w:pPr>
              <w:pStyle w:val="150"/>
            </w:pPr>
            <w:r>
              <w:t>转发内存</w:t>
            </w:r>
            <w:r>
              <w:rPr>
                <w:rFonts w:hint="eastAsia"/>
              </w:rPr>
              <w:t>占用率</w:t>
            </w:r>
            <w:r>
              <w:t>过高会影响设备运行</w:t>
            </w:r>
            <w:r>
              <w:rPr>
                <w:rFonts w:hint="eastAsia"/>
              </w:rPr>
              <w:t>，</w:t>
            </w:r>
            <w:r>
              <w:t>导致业务异常</w:t>
            </w:r>
            <w:r>
              <w:rPr>
                <w:rFonts w:hint="eastAsia"/>
              </w:rPr>
              <w:t>。设置转发内存告警，可以对转发内存出现高占用率的情况及时告警，及时优化系统性能，以保证设备业务正常运行。</w:t>
            </w:r>
          </w:p>
        </w:tc>
      </w:tr>
      <w:tr w14:paraId="54ED4D1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351F6EF6">
            <w:pPr>
              <w:pStyle w:val="150"/>
            </w:pPr>
            <w:r>
              <w:t>硬盘告警</w:t>
            </w:r>
          </w:p>
        </w:tc>
        <w:tc>
          <w:tcPr>
            <w:tcW w:w="7489" w:type="dxa"/>
            <w:shd w:val="clear" w:color="auto" w:fill="auto"/>
          </w:tcPr>
          <w:p w14:paraId="11F090BD">
            <w:pPr>
              <w:pStyle w:val="150"/>
            </w:pPr>
            <w:r>
              <w:rPr>
                <w:rFonts w:hint="eastAsia"/>
              </w:rPr>
              <w:t>可选</w:t>
            </w:r>
            <w:r>
              <w:t>开启硬盘告警</w:t>
            </w:r>
            <w:r>
              <w:rPr>
                <w:rFonts w:hint="eastAsia"/>
              </w:rPr>
              <w:t>，硬盘占用率超过阈值持续时间大于设置的持续时长后触发系统告警。</w:t>
            </w:r>
          </w:p>
        </w:tc>
      </w:tr>
      <w:tr w14:paraId="7DE259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2EB27E09">
            <w:pPr>
              <w:pStyle w:val="150"/>
            </w:pPr>
            <w:r>
              <w:rPr>
                <w:rFonts w:hint="eastAsia"/>
              </w:rPr>
              <w:t>阈值</w:t>
            </w:r>
          </w:p>
        </w:tc>
        <w:tc>
          <w:tcPr>
            <w:tcW w:w="7489" w:type="dxa"/>
            <w:shd w:val="clear" w:color="auto" w:fill="auto"/>
          </w:tcPr>
          <w:p w14:paraId="1099F896">
            <w:pPr>
              <w:pStyle w:val="150"/>
            </w:pPr>
            <w:r>
              <w:rPr>
                <w:rFonts w:hint="eastAsia"/>
              </w:rPr>
              <w:t>可选硬盘占用区间</w:t>
            </w:r>
            <w:r>
              <w:t>1</w:t>
            </w:r>
            <w:r>
              <w:rPr>
                <w:rFonts w:hint="eastAsia"/>
              </w:rPr>
              <w:t>%-</w:t>
            </w:r>
            <w:r>
              <w:t>10</w:t>
            </w:r>
            <w:r>
              <w:rPr>
                <w:rFonts w:hint="eastAsia"/>
              </w:rPr>
              <w:t>0%。</w:t>
            </w:r>
          </w:p>
        </w:tc>
      </w:tr>
      <w:tr w14:paraId="4462CEC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6F99EA9F">
            <w:pPr>
              <w:pStyle w:val="150"/>
            </w:pPr>
            <w:r>
              <w:rPr>
                <w:rFonts w:hint="eastAsia"/>
              </w:rPr>
              <w:t>持续时长</w:t>
            </w:r>
          </w:p>
        </w:tc>
        <w:tc>
          <w:tcPr>
            <w:tcW w:w="7489" w:type="dxa"/>
            <w:shd w:val="clear" w:color="auto" w:fill="auto"/>
          </w:tcPr>
          <w:p w14:paraId="7ECAC7E0">
            <w:pPr>
              <w:pStyle w:val="150"/>
            </w:pPr>
            <w:r>
              <w:rPr>
                <w:rFonts w:hint="eastAsia"/>
              </w:rPr>
              <w:t>硬盘超过阈值持续时间。</w:t>
            </w:r>
          </w:p>
        </w:tc>
      </w:tr>
      <w:tr w14:paraId="35D7EF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1DA40350">
            <w:pPr>
              <w:pStyle w:val="150"/>
            </w:pPr>
            <w:r>
              <w:rPr>
                <w:rFonts w:hint="eastAsia"/>
              </w:rPr>
              <w:t>会话</w:t>
            </w:r>
            <w:r>
              <w:t>告警</w:t>
            </w:r>
          </w:p>
        </w:tc>
        <w:tc>
          <w:tcPr>
            <w:tcW w:w="7489" w:type="dxa"/>
            <w:shd w:val="clear" w:color="auto" w:fill="auto"/>
          </w:tcPr>
          <w:p w14:paraId="381FC511">
            <w:pPr>
              <w:pStyle w:val="150"/>
            </w:pPr>
            <w:r>
              <w:rPr>
                <w:rFonts w:hint="eastAsia"/>
              </w:rPr>
              <w:t>可选</w:t>
            </w:r>
            <w:r>
              <w:t>开启会话告警</w:t>
            </w:r>
            <w:r>
              <w:rPr>
                <w:rFonts w:hint="eastAsia"/>
              </w:rPr>
              <w:t>，会话占用率超过阈值持续时间大于设置的持续时长后触发系统告警。</w:t>
            </w:r>
          </w:p>
        </w:tc>
      </w:tr>
      <w:tr w14:paraId="0712F93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37FB73D6">
            <w:pPr>
              <w:pStyle w:val="150"/>
            </w:pPr>
            <w:r>
              <w:rPr>
                <w:rFonts w:hint="eastAsia"/>
              </w:rPr>
              <w:t>阈值</w:t>
            </w:r>
          </w:p>
        </w:tc>
        <w:tc>
          <w:tcPr>
            <w:tcW w:w="7489" w:type="dxa"/>
            <w:shd w:val="clear" w:color="auto" w:fill="auto"/>
          </w:tcPr>
          <w:p w14:paraId="44979A9B">
            <w:pPr>
              <w:pStyle w:val="150"/>
            </w:pPr>
            <w:r>
              <w:rPr>
                <w:rFonts w:hint="eastAsia"/>
              </w:rPr>
              <w:t>可选会话占用区间</w:t>
            </w:r>
            <w:r>
              <w:t>1</w:t>
            </w:r>
            <w:r>
              <w:rPr>
                <w:rFonts w:hint="eastAsia"/>
              </w:rPr>
              <w:t>%-</w:t>
            </w:r>
            <w:r>
              <w:t>10</w:t>
            </w:r>
            <w:r>
              <w:rPr>
                <w:rFonts w:hint="eastAsia"/>
              </w:rPr>
              <w:t>0%。</w:t>
            </w:r>
          </w:p>
        </w:tc>
      </w:tr>
      <w:tr w14:paraId="7519D74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7DEE67D9">
            <w:pPr>
              <w:pStyle w:val="150"/>
            </w:pPr>
            <w:r>
              <w:rPr>
                <w:rFonts w:hint="eastAsia"/>
              </w:rPr>
              <w:t>持续时长</w:t>
            </w:r>
          </w:p>
        </w:tc>
        <w:tc>
          <w:tcPr>
            <w:tcW w:w="7489" w:type="dxa"/>
            <w:shd w:val="clear" w:color="auto" w:fill="auto"/>
          </w:tcPr>
          <w:p w14:paraId="3E12DFA0">
            <w:pPr>
              <w:pStyle w:val="150"/>
            </w:pPr>
            <w:r>
              <w:rPr>
                <w:rFonts w:hint="eastAsia"/>
              </w:rPr>
              <w:t>会话超过阈值持续时间。</w:t>
            </w:r>
          </w:p>
        </w:tc>
      </w:tr>
      <w:tr w14:paraId="1E6B670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7B6412E2">
            <w:pPr>
              <w:pStyle w:val="150"/>
            </w:pPr>
            <w:r>
              <w:rPr>
                <w:rFonts w:hint="eastAsia"/>
              </w:rPr>
              <w:t>整机流量告警</w:t>
            </w:r>
          </w:p>
        </w:tc>
        <w:tc>
          <w:tcPr>
            <w:tcW w:w="7489" w:type="dxa"/>
            <w:shd w:val="clear" w:color="auto" w:fill="auto"/>
          </w:tcPr>
          <w:p w14:paraId="49355785">
            <w:pPr>
              <w:pStyle w:val="150"/>
            </w:pPr>
            <w:r>
              <w:rPr>
                <w:rFonts w:hint="eastAsia"/>
              </w:rPr>
              <w:t>可选开启整机流量告警，整机流量超过阈值的持续时间大于设置的持续时长后触发系统告警。</w:t>
            </w:r>
          </w:p>
        </w:tc>
      </w:tr>
      <w:tr w14:paraId="1935B5E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195D407B">
            <w:pPr>
              <w:pStyle w:val="150"/>
            </w:pPr>
            <w:r>
              <w:rPr>
                <w:rFonts w:hint="eastAsia"/>
              </w:rPr>
              <w:t>阈值</w:t>
            </w:r>
          </w:p>
        </w:tc>
        <w:tc>
          <w:tcPr>
            <w:tcW w:w="7489" w:type="dxa"/>
            <w:shd w:val="clear" w:color="auto" w:fill="auto"/>
          </w:tcPr>
          <w:p w14:paraId="297F7199">
            <w:pPr>
              <w:pStyle w:val="150"/>
            </w:pPr>
            <w:r>
              <w:rPr>
                <w:rFonts w:hint="eastAsia"/>
              </w:rPr>
              <w:t>整机流量占用区间</w:t>
            </w:r>
            <w:r>
              <w:t>10</w:t>
            </w:r>
            <w:r>
              <w:rPr>
                <w:rFonts w:hint="eastAsia"/>
              </w:rPr>
              <w:t>-</w:t>
            </w:r>
            <w:r>
              <w:t>10000Mbps</w:t>
            </w:r>
            <w:r>
              <w:rPr>
                <w:rFonts w:hint="eastAsia"/>
              </w:rPr>
              <w:t>。</w:t>
            </w:r>
          </w:p>
        </w:tc>
      </w:tr>
      <w:tr w14:paraId="48DF3F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3C91198B">
            <w:pPr>
              <w:pStyle w:val="150"/>
            </w:pPr>
            <w:r>
              <w:rPr>
                <w:rFonts w:hint="eastAsia"/>
              </w:rPr>
              <w:t>持续时长</w:t>
            </w:r>
          </w:p>
        </w:tc>
        <w:tc>
          <w:tcPr>
            <w:tcW w:w="7489" w:type="dxa"/>
            <w:shd w:val="clear" w:color="auto" w:fill="auto"/>
          </w:tcPr>
          <w:p w14:paraId="258DB82C">
            <w:pPr>
              <w:pStyle w:val="150"/>
            </w:pPr>
            <w:r>
              <w:t>整机流量</w:t>
            </w:r>
            <w:r>
              <w:rPr>
                <w:rFonts w:hint="eastAsia"/>
              </w:rPr>
              <w:t>超过阈值持续时间。</w:t>
            </w:r>
          </w:p>
        </w:tc>
      </w:tr>
      <w:tr w14:paraId="1CCB07E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3787C7B0">
            <w:pPr>
              <w:pStyle w:val="150"/>
            </w:pPr>
            <w:r>
              <w:rPr>
                <w:rFonts w:hint="eastAsia"/>
              </w:rPr>
              <w:t>证书过期告警</w:t>
            </w:r>
          </w:p>
        </w:tc>
        <w:tc>
          <w:tcPr>
            <w:tcW w:w="7489" w:type="dxa"/>
            <w:shd w:val="clear" w:color="auto" w:fill="auto"/>
          </w:tcPr>
          <w:p w14:paraId="6F048E11">
            <w:pPr>
              <w:pStyle w:val="150"/>
            </w:pPr>
            <w:r>
              <w:rPr>
                <w:rFonts w:hint="eastAsia"/>
              </w:rPr>
              <w:t>证书过期启用后，当证书剩余的有效期少于配置的天数时，系统会提示告警信息。证书过期告警的有效期时间，单位为天，取值范围为7~180天。</w:t>
            </w:r>
          </w:p>
        </w:tc>
      </w:tr>
      <w:tr w14:paraId="4B45EBB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33FC02B7">
            <w:pPr>
              <w:pStyle w:val="150"/>
            </w:pPr>
            <w:r>
              <w:rPr>
                <w:rFonts w:hint="eastAsia"/>
              </w:rPr>
              <w:t>IPsec</w:t>
            </w:r>
            <w:r>
              <w:t>-VPN连接断开</w:t>
            </w:r>
            <w:r>
              <w:rPr>
                <w:rFonts w:hint="eastAsia"/>
              </w:rPr>
              <w:t>告</w:t>
            </w:r>
            <w:r>
              <w:t>警</w:t>
            </w:r>
          </w:p>
        </w:tc>
        <w:tc>
          <w:tcPr>
            <w:tcW w:w="7489" w:type="dxa"/>
            <w:shd w:val="clear" w:color="auto" w:fill="auto"/>
          </w:tcPr>
          <w:p w14:paraId="6600E45F">
            <w:pPr>
              <w:pStyle w:val="150"/>
            </w:pPr>
            <w:r>
              <w:rPr>
                <w:rFonts w:hint="eastAsia"/>
              </w:rPr>
              <w:t>开启后，IPsec-VPN连接或断开触发告警。</w:t>
            </w:r>
          </w:p>
        </w:tc>
      </w:tr>
      <w:tr w14:paraId="092CC30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54700E0A">
            <w:pPr>
              <w:pStyle w:val="150"/>
            </w:pPr>
            <w:r>
              <w:rPr>
                <w:rFonts w:hint="eastAsia"/>
              </w:rPr>
              <w:t>移动终端管理告警</w:t>
            </w:r>
          </w:p>
        </w:tc>
        <w:tc>
          <w:tcPr>
            <w:tcW w:w="7489" w:type="dxa"/>
            <w:shd w:val="clear" w:color="auto" w:fill="auto"/>
          </w:tcPr>
          <w:p w14:paraId="69D77191">
            <w:pPr>
              <w:pStyle w:val="150"/>
            </w:pPr>
            <w:r>
              <w:rPr>
                <w:rFonts w:hint="eastAsia"/>
              </w:rPr>
              <w:t>开启后，且启用移动终端管理后，发现移动终端接入后将发送邮件进行告警，需在“策略配置&gt;移动终端管理&gt;终端接入配置”配置移动终端管理及告警邮件。</w:t>
            </w:r>
          </w:p>
        </w:tc>
      </w:tr>
      <w:tr w14:paraId="74478D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1541FCD2">
            <w:pPr>
              <w:pStyle w:val="150"/>
            </w:pPr>
            <w:r>
              <w:t>LDAP服务器对接失败告警</w:t>
            </w:r>
          </w:p>
        </w:tc>
        <w:tc>
          <w:tcPr>
            <w:tcW w:w="7489" w:type="dxa"/>
            <w:shd w:val="clear" w:color="auto" w:fill="auto"/>
          </w:tcPr>
          <w:p w14:paraId="1F8CB6A5">
            <w:pPr>
              <w:pStyle w:val="150"/>
            </w:pPr>
            <w:r>
              <w:rPr>
                <w:rFonts w:hint="eastAsia"/>
              </w:rPr>
              <w:t>开启后，设备与LDAP服务器对接失败将产生告警</w:t>
            </w:r>
            <w:r>
              <w:t>。</w:t>
            </w:r>
          </w:p>
        </w:tc>
      </w:tr>
      <w:tr w14:paraId="573F52F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78185567">
            <w:pPr>
              <w:pStyle w:val="150"/>
            </w:pPr>
            <w:r>
              <w:rPr>
                <w:rFonts w:hint="eastAsia"/>
              </w:rPr>
              <w:t>配置</w:t>
            </w:r>
            <w:r>
              <w:t>变更告警</w:t>
            </w:r>
          </w:p>
        </w:tc>
        <w:tc>
          <w:tcPr>
            <w:tcW w:w="7489" w:type="dxa"/>
            <w:shd w:val="clear" w:color="auto" w:fill="auto"/>
          </w:tcPr>
          <w:p w14:paraId="58913F89">
            <w:pPr>
              <w:pStyle w:val="150"/>
            </w:pPr>
            <w:r>
              <w:rPr>
                <w:rFonts w:hint="eastAsia"/>
              </w:rPr>
              <w:t>开启后，配置变更保存会触发告警。</w:t>
            </w:r>
          </w:p>
        </w:tc>
      </w:tr>
      <w:tr w14:paraId="614CD0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49B79CE7">
            <w:pPr>
              <w:pStyle w:val="150"/>
            </w:pPr>
            <w:r>
              <w:rPr>
                <w:rFonts w:hint="eastAsia"/>
              </w:rPr>
              <w:t>授权提醒</w:t>
            </w:r>
          </w:p>
        </w:tc>
        <w:tc>
          <w:tcPr>
            <w:tcW w:w="7489" w:type="dxa"/>
            <w:shd w:val="clear" w:color="auto" w:fill="auto"/>
          </w:tcPr>
          <w:p w14:paraId="240B3777">
            <w:pPr>
              <w:pStyle w:val="150"/>
            </w:pPr>
            <w:r>
              <w:rPr>
                <w:rFonts w:hint="eastAsia"/>
              </w:rPr>
              <w:t>勾选时，开启授权提醒功能，当未授权或授权剩余时间少于或等于90天时，系统会记录授权提醒告警日志，如果配置告警邮件，会在每天上午9点发送邮件给指定邮箱。</w:t>
            </w:r>
          </w:p>
          <w:p w14:paraId="5D5B9922">
            <w:pPr>
              <w:pStyle w:val="150"/>
            </w:pPr>
            <w:r>
              <w:rPr>
                <w:rFonts w:hint="eastAsia"/>
              </w:rPr>
              <w:t>不勾选时，不开启授权提醒功能，当授权小于等于90天时，系统不会记录授权提醒告警日志，也不会在每天上午9点发送邮件给指定邮箱。</w:t>
            </w:r>
          </w:p>
          <w:p w14:paraId="1E0EA371">
            <w:pPr>
              <w:pStyle w:val="150"/>
            </w:pPr>
            <w:r>
              <w:rPr>
                <w:rFonts w:hint="eastAsia"/>
              </w:rPr>
              <w:t>授权提醒勾选框，只控制授权提醒的邮件以及告警日志产生与否；系统授权弹框提醒不受其控制，当未授权或授权剩余时间少于或等于90天时，登录系统Web页面后会弹出授权提醒弹窗（该功能默认开启）。</w:t>
            </w:r>
          </w:p>
          <w:p w14:paraId="32A0E3B8">
            <w:pPr>
              <w:pStyle w:val="150"/>
            </w:pPr>
            <w:r>
              <w:rPr>
                <w:rFonts w:hint="eastAsia"/>
              </w:rPr>
              <w:t>授权提醒弹窗的“今日不再提醒”勾选框，其只控制系统弹框信息，不会控制邮件或者告警日志。</w:t>
            </w:r>
          </w:p>
        </w:tc>
      </w:tr>
      <w:tr w14:paraId="4EFDA1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5AD94400">
            <w:pPr>
              <w:pStyle w:val="150"/>
            </w:pPr>
            <w:r>
              <w:rPr>
                <w:rFonts w:hint="eastAsia"/>
              </w:rPr>
              <w:t>负载</w:t>
            </w:r>
            <w:r>
              <w:t>均衡出接口告警</w:t>
            </w:r>
          </w:p>
        </w:tc>
        <w:tc>
          <w:tcPr>
            <w:tcW w:w="7489" w:type="dxa"/>
            <w:shd w:val="clear" w:color="auto" w:fill="auto"/>
          </w:tcPr>
          <w:p w14:paraId="5C128ED0">
            <w:pPr>
              <w:pStyle w:val="150"/>
            </w:pPr>
            <w:r>
              <w:rPr>
                <w:rFonts w:hint="eastAsia"/>
              </w:rPr>
              <w:t>开启后，负载均衡出接口异常，比如接口up/down,健康检查地址不可达等情况会产生告警。</w:t>
            </w:r>
          </w:p>
        </w:tc>
      </w:tr>
      <w:tr w14:paraId="67168C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731A0642">
            <w:pPr>
              <w:pStyle w:val="150"/>
            </w:pPr>
            <w:r>
              <w:rPr>
                <w:rFonts w:hint="eastAsia"/>
              </w:rPr>
              <w:t>进程异常告警</w:t>
            </w:r>
          </w:p>
        </w:tc>
        <w:tc>
          <w:tcPr>
            <w:tcW w:w="7489" w:type="dxa"/>
            <w:shd w:val="clear" w:color="auto" w:fill="auto"/>
          </w:tcPr>
          <w:p w14:paraId="486F0B6F">
            <w:pPr>
              <w:pStyle w:val="150"/>
            </w:pPr>
            <w:r>
              <w:rPr>
                <w:rFonts w:hint="eastAsia"/>
              </w:rPr>
              <w:t>开启后，进程异常会触发告警，目前设备仅支持SSL</w:t>
            </w:r>
            <w:r>
              <w:t xml:space="preserve"> VPN进程告警</w:t>
            </w:r>
            <w:r>
              <w:rPr>
                <w:rFonts w:hint="eastAsia"/>
              </w:rPr>
              <w:t>。</w:t>
            </w:r>
          </w:p>
        </w:tc>
      </w:tr>
    </w:tbl>
    <w:p w14:paraId="67096EB3"/>
    <w:p w14:paraId="6FE8BE23">
      <w:pPr>
        <w:pStyle w:val="202"/>
      </w:pPr>
      <w:bookmarkStart w:id="11435" w:name="_Toc15485361"/>
      <w:bookmarkStart w:id="11436" w:name="_Toc23153115"/>
      <w:bookmarkStart w:id="11437" w:name="_Toc40276536"/>
      <w:bookmarkStart w:id="11438" w:name="_Toc14974157"/>
      <w:r>
        <w:t>告警配置</w:t>
      </w:r>
      <w:bookmarkEnd w:id="11435"/>
      <w:bookmarkEnd w:id="11436"/>
      <w:bookmarkEnd w:id="11437"/>
      <w:bookmarkEnd w:id="11438"/>
    </w:p>
    <w:p w14:paraId="4ED3413F">
      <w:r>
        <w:rPr>
          <w:rFonts w:hint="eastAsia"/>
        </w:rPr>
        <w:t>设备支持邮件方式和短信方式告警，可以将告警信息以短信或邮件的方式及时通知用户或管理员。</w:t>
      </w:r>
    </w:p>
    <w:p w14:paraId="197AE388">
      <w:r>
        <w:rPr>
          <w:rFonts w:hint="eastAsia"/>
        </w:rPr>
        <w:t>在导航栏中选择“系统管理&gt;系统维护&gt;系统告警</w:t>
      </w:r>
      <w:r>
        <w:t>&gt;告警配置</w:t>
      </w:r>
      <w:r>
        <w:rPr>
          <w:rFonts w:hint="eastAsia"/>
        </w:rPr>
        <w:t>”，页面显示了当前的邮件告警及短信告警配置，如</w:t>
      </w:r>
      <w:r>
        <w:fldChar w:fldCharType="begin"/>
      </w:r>
      <w:r>
        <w:instrText xml:space="preserve"> </w:instrText>
      </w:r>
      <w:r>
        <w:rPr>
          <w:rFonts w:hint="eastAsia"/>
        </w:rPr>
        <w:instrText xml:space="preserve">REF _Ref511049789 \r \h</w:instrText>
      </w:r>
      <w:r>
        <w:instrText xml:space="preserve">  \* MERGEFORMAT </w:instrText>
      </w:r>
      <w:r>
        <w:fldChar w:fldCharType="separate"/>
      </w:r>
      <w:r>
        <w:rPr>
          <w:rFonts w:hint="eastAsia"/>
        </w:rPr>
        <w:t>图33-62</w:t>
      </w:r>
      <w:r>
        <w:fldChar w:fldCharType="end"/>
      </w:r>
      <w:r>
        <w:rPr>
          <w:rFonts w:hint="eastAsia"/>
        </w:rPr>
        <w:t>所示。</w:t>
      </w:r>
    </w:p>
    <w:p w14:paraId="1A77A37D"/>
    <w:p w14:paraId="7AC7A608">
      <w:pPr>
        <w:pStyle w:val="188"/>
      </w:pPr>
      <w:bookmarkStart w:id="11439" w:name="_Ref511049789"/>
      <w:bookmarkStart w:id="11440" w:name="_Toc141875299"/>
      <w:r>
        <w:t>告警配置页面</w:t>
      </w:r>
      <w:bookmarkEnd w:id="11439"/>
      <w:bookmarkEnd w:id="11440"/>
    </w:p>
    <w:p w14:paraId="583986E0">
      <w:pPr>
        <w:spacing w:before="78" w:after="78"/>
      </w:pPr>
      <w:r>
        <w:drawing>
          <wp:inline distT="0" distB="0" distL="0" distR="0">
            <wp:extent cx="5400040" cy="3477260"/>
            <wp:effectExtent l="0" t="0" r="0" b="889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1262"/>
                    <a:stretch>
                      <a:fillRect/>
                    </a:stretch>
                  </pic:blipFill>
                  <pic:spPr>
                    <a:xfrm>
                      <a:off x="0" y="0"/>
                      <a:ext cx="5400040" cy="3477260"/>
                    </a:xfrm>
                    <a:prstGeom prst="rect">
                      <a:avLst/>
                    </a:prstGeom>
                  </pic:spPr>
                </pic:pic>
              </a:graphicData>
            </a:graphic>
          </wp:inline>
        </w:drawing>
      </w:r>
    </w:p>
    <w:p w14:paraId="31F836E3"/>
    <w:p w14:paraId="1A5E7171">
      <w:r>
        <w:rPr>
          <w:rFonts w:hint="eastAsia"/>
        </w:rPr>
        <w:t>页面的详细说明如</w:t>
      </w:r>
      <w:r>
        <w:fldChar w:fldCharType="begin"/>
      </w:r>
      <w:r>
        <w:instrText xml:space="preserve"> </w:instrText>
      </w:r>
      <w:r>
        <w:rPr>
          <w:rFonts w:hint="eastAsia"/>
        </w:rPr>
        <w:instrText xml:space="preserve">REF _Ref511049799 \r \h</w:instrText>
      </w:r>
      <w:r>
        <w:instrText xml:space="preserve"> </w:instrText>
      </w:r>
      <w:r>
        <w:fldChar w:fldCharType="separate"/>
      </w:r>
      <w:r>
        <w:rPr>
          <w:rFonts w:hint="eastAsia"/>
        </w:rPr>
        <w:t>表33-1</w:t>
      </w:r>
      <w:r>
        <w:fldChar w:fldCharType="end"/>
      </w:r>
      <w:r>
        <w:rPr>
          <w:rFonts w:hint="eastAsia"/>
        </w:rPr>
        <w:t>所示。</w:t>
      </w:r>
    </w:p>
    <w:p w14:paraId="3432C0C3">
      <w:pPr>
        <w:pStyle w:val="183"/>
      </w:pPr>
      <w:bookmarkStart w:id="11441" w:name="_Ref511049799"/>
      <w:bookmarkStart w:id="11442" w:name="_Toc141875782"/>
      <w:r>
        <w:t>邮件</w:t>
      </w:r>
      <w:r>
        <w:rPr>
          <w:rFonts w:hint="eastAsia"/>
        </w:rPr>
        <w:t>配置详细说明</w:t>
      </w:r>
      <w:bookmarkEnd w:id="11441"/>
      <w:bookmarkEnd w:id="11442"/>
    </w:p>
    <w:tbl>
      <w:tblPr>
        <w:tblStyle w:val="173"/>
        <w:tblW w:w="0" w:type="auto"/>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495"/>
        <w:gridCol w:w="7736"/>
      </w:tblGrid>
      <w:tr w14:paraId="6B212F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495" w:type="dxa"/>
            <w:tcBorders>
              <w:tl2br w:val="nil"/>
              <w:tr2bl w:val="nil"/>
            </w:tcBorders>
            <w:shd w:val="clear" w:color="auto" w:fill="538135" w:themeFill="accent6" w:themeFillShade="BF"/>
            <w:vAlign w:val="center"/>
          </w:tcPr>
          <w:p w14:paraId="1A19C1F9">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配置项</w:t>
            </w:r>
          </w:p>
        </w:tc>
        <w:tc>
          <w:tcPr>
            <w:tcW w:w="7736" w:type="dxa"/>
            <w:tcBorders>
              <w:tl2br w:val="nil"/>
              <w:tr2bl w:val="nil"/>
            </w:tcBorders>
            <w:shd w:val="clear" w:color="auto" w:fill="538135" w:themeFill="accent6" w:themeFillShade="BF"/>
            <w:vAlign w:val="center"/>
          </w:tcPr>
          <w:p w14:paraId="69332BB8">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D2E5F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495" w:type="dxa"/>
            <w:shd w:val="clear" w:color="auto" w:fill="auto"/>
          </w:tcPr>
          <w:p w14:paraId="73366BC7">
            <w:pPr>
              <w:pStyle w:val="150"/>
            </w:pPr>
            <w:r>
              <w:rPr>
                <w:rFonts w:hint="eastAsia"/>
              </w:rPr>
              <w:t>启用邮件</w:t>
            </w:r>
          </w:p>
        </w:tc>
        <w:tc>
          <w:tcPr>
            <w:tcW w:w="7736" w:type="dxa"/>
            <w:shd w:val="clear" w:color="auto" w:fill="auto"/>
          </w:tcPr>
          <w:p w14:paraId="09D1B58C">
            <w:pPr>
              <w:pStyle w:val="150"/>
            </w:pPr>
            <w:r>
              <w:rPr>
                <w:rFonts w:hint="eastAsia"/>
              </w:rPr>
              <w:t>勾选复选框启用邮件告警功能。</w:t>
            </w:r>
          </w:p>
        </w:tc>
      </w:tr>
      <w:tr w14:paraId="438A0E8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495" w:type="dxa"/>
            <w:shd w:val="clear" w:color="auto" w:fill="auto"/>
          </w:tcPr>
          <w:p w14:paraId="0721E28F">
            <w:pPr>
              <w:pStyle w:val="150"/>
            </w:pPr>
            <w:r>
              <w:rPr>
                <w:rFonts w:hint="eastAsia"/>
              </w:rPr>
              <w:t>邮件服务器配置</w:t>
            </w:r>
          </w:p>
        </w:tc>
        <w:tc>
          <w:tcPr>
            <w:tcW w:w="7736" w:type="dxa"/>
            <w:shd w:val="clear" w:color="auto" w:fill="auto"/>
          </w:tcPr>
          <w:p w14:paraId="39FD3FEC">
            <w:pPr>
              <w:pStyle w:val="150"/>
            </w:pPr>
            <w:r>
              <w:rPr>
                <w:rFonts w:hint="eastAsia"/>
              </w:rPr>
              <w:t>配置发送告警邮件的服务器。详情请参见</w:t>
            </w:r>
            <w:r>
              <w:fldChar w:fldCharType="begin"/>
            </w:r>
            <w:r>
              <w:instrText xml:space="preserve"> </w:instrText>
            </w:r>
            <w:r>
              <w:rPr>
                <w:rFonts w:hint="eastAsia"/>
              </w:rPr>
              <w:instrText xml:space="preserve">REF _Ref146555645 \h</w:instrText>
            </w:r>
            <w:r>
              <w:instrText xml:space="preserve">  \* MERGEFORMAT </w:instrText>
            </w:r>
            <w:r>
              <w:fldChar w:fldCharType="separate"/>
            </w:r>
            <w:r>
              <w:rPr>
                <w:rFonts w:hint="eastAsia"/>
              </w:rPr>
              <w:t>配置邮件服务器</w:t>
            </w:r>
            <w:r>
              <w:fldChar w:fldCharType="end"/>
            </w:r>
            <w:r>
              <w:rPr>
                <w:rFonts w:hint="eastAsia"/>
              </w:rPr>
              <w:t>章节。</w:t>
            </w:r>
          </w:p>
        </w:tc>
      </w:tr>
      <w:tr w14:paraId="44CD27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495" w:type="dxa"/>
            <w:shd w:val="clear" w:color="auto" w:fill="auto"/>
          </w:tcPr>
          <w:p w14:paraId="225B7FE6">
            <w:pPr>
              <w:pStyle w:val="150"/>
            </w:pPr>
            <w:r>
              <w:rPr>
                <w:rFonts w:hint="eastAsia"/>
              </w:rPr>
              <w:t>收件地址</w:t>
            </w:r>
          </w:p>
        </w:tc>
        <w:tc>
          <w:tcPr>
            <w:tcW w:w="7736" w:type="dxa"/>
            <w:shd w:val="clear" w:color="auto" w:fill="auto"/>
          </w:tcPr>
          <w:p w14:paraId="2B4658E6">
            <w:pPr>
              <w:pStyle w:val="150"/>
            </w:pPr>
            <w:r>
              <w:rPr>
                <w:rFonts w:hint="eastAsia"/>
              </w:rPr>
              <w:t>接收告警信信息的邮箱地址，例如1</w:t>
            </w:r>
            <w:r>
              <w:t>23@test</w:t>
            </w:r>
            <w:r>
              <w:rPr>
                <w:rFonts w:hint="eastAsia"/>
              </w:rPr>
              <w:t>.</w:t>
            </w:r>
            <w:r>
              <w:t>com</w:t>
            </w:r>
            <w:r>
              <w:rPr>
                <w:rFonts w:hint="eastAsia"/>
              </w:rPr>
              <w:t>。可设置3个邮箱，用回车分隔。</w:t>
            </w:r>
          </w:p>
        </w:tc>
      </w:tr>
      <w:tr w14:paraId="043937B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495" w:type="dxa"/>
            <w:shd w:val="clear" w:color="auto" w:fill="auto"/>
          </w:tcPr>
          <w:p w14:paraId="0D7DB34E">
            <w:pPr>
              <w:pStyle w:val="150"/>
            </w:pPr>
            <w:r>
              <w:rPr>
                <w:rFonts w:hint="eastAsia"/>
              </w:rPr>
              <w:t>收件标题</w:t>
            </w:r>
          </w:p>
        </w:tc>
        <w:tc>
          <w:tcPr>
            <w:tcW w:w="7736" w:type="dxa"/>
            <w:shd w:val="clear" w:color="auto" w:fill="auto"/>
          </w:tcPr>
          <w:p w14:paraId="2A546F29">
            <w:pPr>
              <w:pStyle w:val="150"/>
            </w:pPr>
            <w:r>
              <w:rPr>
                <w:rFonts w:hint="eastAsia"/>
              </w:rPr>
              <w:t>接收告警信息的邮件标题。1~</w:t>
            </w:r>
            <w:r>
              <w:t>63</w:t>
            </w:r>
            <w:r>
              <w:rPr>
                <w:rFonts w:hint="eastAsia"/>
              </w:rPr>
              <w:t>字符。</w:t>
            </w:r>
          </w:p>
        </w:tc>
      </w:tr>
      <w:tr w14:paraId="68A9FDE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495" w:type="dxa"/>
            <w:shd w:val="clear" w:color="auto" w:fill="auto"/>
          </w:tcPr>
          <w:p w14:paraId="221BF7D9">
            <w:pPr>
              <w:pStyle w:val="150"/>
            </w:pPr>
            <w:r>
              <w:rPr>
                <w:rFonts w:hint="eastAsia"/>
              </w:rPr>
              <w:t>启用短信</w:t>
            </w:r>
          </w:p>
        </w:tc>
        <w:tc>
          <w:tcPr>
            <w:tcW w:w="7736" w:type="dxa"/>
            <w:shd w:val="clear" w:color="auto" w:fill="auto"/>
          </w:tcPr>
          <w:p w14:paraId="25FFFD6D">
            <w:pPr>
              <w:pStyle w:val="150"/>
            </w:pPr>
            <w:r>
              <w:rPr>
                <w:rFonts w:hint="eastAsia"/>
              </w:rPr>
              <w:t>勾选复选框启用短信告警功能。</w:t>
            </w:r>
          </w:p>
        </w:tc>
      </w:tr>
      <w:tr w14:paraId="1E9D818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495" w:type="dxa"/>
            <w:shd w:val="clear" w:color="auto" w:fill="auto"/>
          </w:tcPr>
          <w:p w14:paraId="5C7EC024">
            <w:pPr>
              <w:pStyle w:val="150"/>
            </w:pPr>
            <w:r>
              <w:rPr>
                <w:rFonts w:hint="eastAsia"/>
              </w:rPr>
              <w:t>短信对象</w:t>
            </w:r>
          </w:p>
        </w:tc>
        <w:tc>
          <w:tcPr>
            <w:tcW w:w="7736" w:type="dxa"/>
            <w:shd w:val="clear" w:color="auto" w:fill="auto"/>
          </w:tcPr>
          <w:p w14:paraId="059DFF85">
            <w:pPr>
              <w:pStyle w:val="150"/>
            </w:pPr>
            <w:r>
              <w:rPr>
                <w:rFonts w:hint="eastAsia"/>
              </w:rPr>
              <w:t>选择短信服务对象，通过“系统管理&gt;系统设定&gt;服务器管理&gt;短信服务”配置短信服务对象。详细配置请参考</w:t>
            </w:r>
            <w:r>
              <w:fldChar w:fldCharType="begin"/>
            </w:r>
            <w:r>
              <w:instrText xml:space="preserve"> </w:instrText>
            </w:r>
            <w:r>
              <w:rPr>
                <w:rFonts w:hint="eastAsia"/>
              </w:rPr>
              <w:instrText xml:space="preserve">REF _Ref144285888 \h</w:instrText>
            </w:r>
            <w:r>
              <w:instrText xml:space="preserve">  \* MERGEFORMAT </w:instrText>
            </w:r>
            <w:r>
              <w:fldChar w:fldCharType="separate"/>
            </w:r>
            <w:r>
              <w:rPr>
                <w:rFonts w:hint="eastAsia"/>
              </w:rPr>
              <w:t>配置短信服务</w:t>
            </w:r>
            <w:r>
              <w:fldChar w:fldCharType="end"/>
            </w:r>
            <w:r>
              <w:rPr>
                <w:rFonts w:hint="eastAsia"/>
              </w:rPr>
              <w:t>章节。</w:t>
            </w:r>
          </w:p>
          <w:p w14:paraId="19604E03">
            <w:pPr>
              <w:pStyle w:val="150"/>
            </w:pPr>
            <w:r>
              <w:rPr>
                <w:rFonts w:hint="eastAsia"/>
              </w:rPr>
              <w:t>选择使用的短信服务需要支持发送短信的功能。</w:t>
            </w:r>
          </w:p>
        </w:tc>
      </w:tr>
      <w:tr w14:paraId="49C19F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495" w:type="dxa"/>
            <w:shd w:val="clear" w:color="auto" w:fill="auto"/>
          </w:tcPr>
          <w:p w14:paraId="1B7E4FD1">
            <w:pPr>
              <w:pStyle w:val="150"/>
            </w:pPr>
            <w:r>
              <w:rPr>
                <w:rFonts w:hint="eastAsia"/>
              </w:rPr>
              <w:t>短信接收号码</w:t>
            </w:r>
          </w:p>
        </w:tc>
        <w:tc>
          <w:tcPr>
            <w:tcW w:w="7736" w:type="dxa"/>
            <w:shd w:val="clear" w:color="auto" w:fill="auto"/>
          </w:tcPr>
          <w:p w14:paraId="57C8B481">
            <w:pPr>
              <w:pStyle w:val="150"/>
            </w:pPr>
            <w:r>
              <w:rPr>
                <w:rFonts w:hint="eastAsia"/>
              </w:rPr>
              <w:t>接收告警短信的手机号码，最多配置5个，多个使用回车进行分隔。</w:t>
            </w:r>
          </w:p>
        </w:tc>
      </w:tr>
      <w:tr w14:paraId="358CC9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495" w:type="dxa"/>
            <w:shd w:val="clear" w:color="auto" w:fill="auto"/>
          </w:tcPr>
          <w:p w14:paraId="241CDE6F">
            <w:pPr>
              <w:pStyle w:val="150"/>
            </w:pPr>
            <w:r>
              <w:rPr>
                <w:rFonts w:hint="eastAsia"/>
              </w:rPr>
              <w:t>立即发送/间隔发送</w:t>
            </w:r>
          </w:p>
        </w:tc>
        <w:tc>
          <w:tcPr>
            <w:tcW w:w="7736" w:type="dxa"/>
            <w:shd w:val="clear" w:color="auto" w:fill="auto"/>
          </w:tcPr>
          <w:p w14:paraId="028E0312">
            <w:pPr>
              <w:pStyle w:val="150"/>
            </w:pPr>
            <w:r>
              <w:rPr>
                <w:rFonts w:hint="eastAsia"/>
              </w:rPr>
              <w:t>选择告警邮件或告警短信的发送时间：</w:t>
            </w:r>
          </w:p>
          <w:p w14:paraId="1D188C9A">
            <w:pPr>
              <w:pStyle w:val="150"/>
            </w:pPr>
            <w:r>
              <w:rPr>
                <w:rFonts w:hint="eastAsia"/>
              </w:rPr>
              <w:t>立即发送：产生系统告警后立即发送告警邮件。</w:t>
            </w:r>
          </w:p>
          <w:p w14:paraId="51D6B93A">
            <w:pPr>
              <w:pStyle w:val="150"/>
            </w:pPr>
            <w:r>
              <w:rPr>
                <w:rFonts w:hint="eastAsia"/>
              </w:rPr>
              <w:t>间隔发送：产生系统告警待间隔时间后再发送邮件。</w:t>
            </w:r>
          </w:p>
        </w:tc>
      </w:tr>
    </w:tbl>
    <w:p w14:paraId="75126F26"/>
    <w:p w14:paraId="5F3EF426">
      <w:r>
        <w:rPr>
          <w:rFonts w:hint="eastAsia"/>
        </w:rPr>
        <w:t>输入完毕后，点击</w:t>
      </w:r>
      <w:r>
        <w:t>&lt;</w:t>
      </w:r>
      <w:r>
        <w:rPr>
          <w:rFonts w:hint="eastAsia"/>
        </w:rPr>
        <w:t>提交</w:t>
      </w:r>
      <w:r>
        <w:t>&gt;</w:t>
      </w:r>
      <w:r>
        <w:rPr>
          <w:rFonts w:hint="eastAsia"/>
        </w:rPr>
        <w:t>按钮，应用配置，点击</w:t>
      </w:r>
      <w:r>
        <w:t>&lt;</w:t>
      </w:r>
      <w:r>
        <w:rPr>
          <w:rFonts w:hint="eastAsia"/>
        </w:rPr>
        <w:t>取消</w:t>
      </w:r>
      <w:r>
        <w:t>&gt;</w:t>
      </w:r>
      <w:r>
        <w:rPr>
          <w:rFonts w:hint="eastAsia"/>
        </w:rPr>
        <w:t>按钮，取消配置修改，恢复至上一次配置。</w:t>
      </w:r>
    </w:p>
    <w:p w14:paraId="0D292CA6">
      <w:pPr>
        <w:pStyle w:val="202"/>
      </w:pPr>
      <w:r>
        <w:rPr>
          <w:rFonts w:hint="eastAsia"/>
        </w:rPr>
        <w:t>配置注意事项</w:t>
      </w:r>
    </w:p>
    <w:p w14:paraId="7FA2A3C8">
      <w:pPr>
        <w:pStyle w:val="162"/>
      </w:pPr>
      <w:r>
        <w:rPr>
          <w:rFonts w:hint="eastAsia"/>
        </w:rPr>
        <w:t>设备告警事件必须超过设置的阈值才会产生警告日志。</w:t>
      </w:r>
    </w:p>
    <w:p w14:paraId="1D723ACD">
      <w:pPr>
        <w:pStyle w:val="162"/>
      </w:pPr>
      <w:r>
        <w:rPr>
          <w:rFonts w:hint="eastAsia"/>
        </w:rPr>
        <w:t>开启DNS服务器，必须使用域名解析；启用短信告警需要配置有效的DNS服务器。</w:t>
      </w:r>
    </w:p>
    <w:p w14:paraId="424689CA">
      <w:pPr>
        <w:pStyle w:val="162"/>
      </w:pPr>
      <w:r>
        <w:rPr>
          <w:rFonts w:hint="eastAsia"/>
        </w:rPr>
        <w:t>某些邮箱设定启用smtp服务器时，需要授权码进行身份认证，所以密码应该填授权码而不是邮箱密码。</w:t>
      </w:r>
    </w:p>
    <w:p w14:paraId="2720D084">
      <w:pPr>
        <w:pStyle w:val="162"/>
      </w:pPr>
      <w:r>
        <w:rPr>
          <w:rFonts w:hint="eastAsia"/>
        </w:rPr>
        <w:t>购买的短信服务需支持发送短信，不仅是发送验证码的功能。</w:t>
      </w:r>
    </w:p>
    <w:p w14:paraId="30EC3265"/>
    <w:p w14:paraId="70560961">
      <w:pPr>
        <w:pStyle w:val="6"/>
      </w:pPr>
      <w:r>
        <w:rPr>
          <w:rFonts w:hint="eastAsia"/>
        </w:rPr>
        <w:t>查看告警日志</w:t>
      </w:r>
    </w:p>
    <w:p w14:paraId="2FB2D363">
      <w:r>
        <w:rPr>
          <w:rFonts w:hint="eastAsia"/>
        </w:rPr>
        <w:t>选择告警日志页签查看系统告警日志。点击&lt;导出</w:t>
      </w:r>
      <w:r>
        <w:t>&gt;</w:t>
      </w:r>
      <w:r>
        <w:rPr>
          <w:rFonts w:hint="eastAsia"/>
        </w:rPr>
        <w:t>导出告警日志。</w:t>
      </w:r>
    </w:p>
    <w:p w14:paraId="7A644E42">
      <w:pPr>
        <w:pStyle w:val="188"/>
      </w:pPr>
      <w:bookmarkStart w:id="11443" w:name="_Toc141875300"/>
      <w:r>
        <w:rPr>
          <w:rFonts w:hint="eastAsia"/>
        </w:rPr>
        <w:t>查看告警日志</w:t>
      </w:r>
      <w:bookmarkEnd w:id="11443"/>
    </w:p>
    <w:p w14:paraId="751B3D3F">
      <w:pPr>
        <w:spacing w:before="78" w:after="78"/>
      </w:pPr>
      <w:r>
        <w:drawing>
          <wp:inline distT="0" distB="0" distL="0" distR="0">
            <wp:extent cx="5381625" cy="2358390"/>
            <wp:effectExtent l="0" t="0" r="0" b="3810"/>
            <wp:docPr id="1296485343" name="图片 1296485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43" name="图片 1296485343"/>
                    <pic:cNvPicPr>
                      <a:picLocks noChangeAspect="1"/>
                    </pic:cNvPicPr>
                  </pic:nvPicPr>
                  <pic:blipFill>
                    <a:blip r:embed="rId1263"/>
                    <a:stretch>
                      <a:fillRect/>
                    </a:stretch>
                  </pic:blipFill>
                  <pic:spPr>
                    <a:xfrm>
                      <a:off x="0" y="0"/>
                      <a:ext cx="5395394" cy="2364479"/>
                    </a:xfrm>
                    <a:prstGeom prst="rect">
                      <a:avLst/>
                    </a:prstGeom>
                  </pic:spPr>
                </pic:pic>
              </a:graphicData>
            </a:graphic>
          </wp:inline>
        </w:drawing>
      </w:r>
    </w:p>
    <w:p w14:paraId="3109A315"/>
    <w:p w14:paraId="59C22695">
      <w:pPr>
        <w:pStyle w:val="5"/>
      </w:pPr>
      <w:bookmarkStart w:id="11444" w:name="_Toc141873854"/>
      <w:bookmarkStart w:id="11445" w:name="_Toc99562043"/>
      <w:bookmarkStart w:id="11446" w:name="_Toc142401371"/>
      <w:bookmarkStart w:id="11447" w:name="_Toc172218662"/>
      <w:bookmarkStart w:id="11448" w:name="_Toc194081248"/>
      <w:bookmarkStart w:id="11449" w:name="_Toc196728576"/>
      <w:r>
        <w:t>系统诊断工具</w:t>
      </w:r>
      <w:bookmarkEnd w:id="11417"/>
      <w:bookmarkEnd w:id="11418"/>
      <w:bookmarkEnd w:id="11419"/>
      <w:bookmarkEnd w:id="11420"/>
      <w:bookmarkEnd w:id="11444"/>
      <w:bookmarkEnd w:id="11445"/>
      <w:bookmarkEnd w:id="11446"/>
      <w:bookmarkEnd w:id="11447"/>
      <w:bookmarkEnd w:id="11448"/>
      <w:bookmarkEnd w:id="11449"/>
    </w:p>
    <w:p w14:paraId="084F06B0">
      <w:pPr>
        <w:pStyle w:val="6"/>
      </w:pPr>
      <w:bookmarkStart w:id="11450" w:name="_Toc23153099"/>
      <w:bookmarkStart w:id="11451" w:name="_Toc40276520"/>
      <w:bookmarkStart w:id="11452" w:name="_Toc12469936"/>
      <w:bookmarkStart w:id="11453" w:name="_Toc15485342"/>
      <w:r>
        <w:rPr>
          <w:rFonts w:hint="eastAsia"/>
        </w:rPr>
        <w:t>Ping</w:t>
      </w:r>
      <w:bookmarkEnd w:id="11450"/>
      <w:bookmarkEnd w:id="11451"/>
      <w:bookmarkEnd w:id="11452"/>
      <w:bookmarkEnd w:id="11453"/>
    </w:p>
    <w:p w14:paraId="5AC03845">
      <w:r>
        <w:rPr>
          <w:rFonts w:hint="eastAsia"/>
        </w:rPr>
        <w:t>通过菜单“系统管理</w:t>
      </w:r>
      <w:r>
        <w:t xml:space="preserve"> &gt; </w:t>
      </w:r>
      <w:r>
        <w:rPr>
          <w:rFonts w:hint="eastAsia"/>
        </w:rPr>
        <w:t>系统维护</w:t>
      </w:r>
      <w:r>
        <w:t xml:space="preserve"> &gt; </w:t>
      </w:r>
      <w:r>
        <w:rPr>
          <w:rFonts w:hint="eastAsia"/>
        </w:rPr>
        <w:t>系统诊断工具</w:t>
      </w:r>
      <w:r>
        <w:t xml:space="preserve"> &gt; Ping</w:t>
      </w:r>
      <w:r>
        <w:rPr>
          <w:rFonts w:hint="eastAsia"/>
        </w:rPr>
        <w:t>”，进入如</w:t>
      </w:r>
      <w:r>
        <w:rPr>
          <w:color w:val="0000FF"/>
          <w:u w:val="single"/>
        </w:rPr>
        <w:fldChar w:fldCharType="begin"/>
      </w:r>
      <w:r>
        <w:rPr>
          <w:color w:val="0000FF"/>
          <w:u w:val="single"/>
        </w:rPr>
        <w:instrText xml:space="preserve"> REF _Ref393290830 \r \h </w:instrText>
      </w:r>
      <w:r>
        <w:rPr>
          <w:color w:val="0000FF"/>
          <w:u w:val="single"/>
        </w:rPr>
        <w:fldChar w:fldCharType="separate"/>
      </w:r>
      <w:r>
        <w:rPr>
          <w:rFonts w:hint="eastAsia"/>
          <w:color w:val="0000FF"/>
          <w:u w:val="single"/>
        </w:rPr>
        <w:t>图33-64</w:t>
      </w:r>
      <w:r>
        <w:rPr>
          <w:color w:val="0000FF"/>
          <w:u w:val="single"/>
        </w:rPr>
        <w:fldChar w:fldCharType="end"/>
      </w:r>
      <w:r>
        <w:rPr>
          <w:rFonts w:hint="eastAsia"/>
        </w:rPr>
        <w:t>所示页面。各个配置项的含义如</w:t>
      </w:r>
      <w:r>
        <w:fldChar w:fldCharType="begin"/>
      </w:r>
      <w:r>
        <w:instrText xml:space="preserve"> </w:instrText>
      </w:r>
      <w:r>
        <w:rPr>
          <w:rFonts w:hint="eastAsia"/>
        </w:rPr>
        <w:instrText xml:space="preserve">REF _Ref393290838 \r \h</w:instrText>
      </w:r>
      <w:r>
        <w:instrText xml:space="preserve"> </w:instrText>
      </w:r>
      <w:r>
        <w:fldChar w:fldCharType="separate"/>
      </w:r>
      <w:r>
        <w:rPr>
          <w:rFonts w:hint="eastAsia"/>
        </w:rPr>
        <w:t>表33-1</w:t>
      </w:r>
      <w:r>
        <w:fldChar w:fldCharType="end"/>
      </w:r>
      <w:r>
        <w:rPr>
          <w:rFonts w:hint="eastAsia"/>
        </w:rPr>
        <w:t>所示。</w:t>
      </w:r>
    </w:p>
    <w:p w14:paraId="1B3BA0F6">
      <w:pPr>
        <w:pStyle w:val="188"/>
      </w:pPr>
      <w:bookmarkStart w:id="11454" w:name="_Ref393290830"/>
      <w:bookmarkStart w:id="11455" w:name="_Toc141875301"/>
      <w:r>
        <w:rPr>
          <w:rFonts w:hint="eastAsia"/>
        </w:rPr>
        <w:t>Ping页面</w:t>
      </w:r>
      <w:bookmarkEnd w:id="11454"/>
      <w:bookmarkEnd w:id="11455"/>
    </w:p>
    <w:p w14:paraId="599AB470">
      <w:r>
        <w:drawing>
          <wp:inline distT="0" distB="0" distL="0" distR="0">
            <wp:extent cx="5676900" cy="3293110"/>
            <wp:effectExtent l="0" t="0" r="0" b="254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pic:cNvPicPr>
                      <a:picLocks noChangeAspect="1"/>
                    </pic:cNvPicPr>
                  </pic:nvPicPr>
                  <pic:blipFill>
                    <a:blip r:embed="rId1264"/>
                    <a:stretch>
                      <a:fillRect/>
                    </a:stretch>
                  </pic:blipFill>
                  <pic:spPr>
                    <a:xfrm>
                      <a:off x="0" y="0"/>
                      <a:ext cx="5679305" cy="3294810"/>
                    </a:xfrm>
                    <a:prstGeom prst="rect">
                      <a:avLst/>
                    </a:prstGeom>
                  </pic:spPr>
                </pic:pic>
              </a:graphicData>
            </a:graphic>
          </wp:inline>
        </w:drawing>
      </w:r>
    </w:p>
    <w:p w14:paraId="1F0919EF"/>
    <w:p w14:paraId="3B34B938">
      <w:pPr>
        <w:pStyle w:val="183"/>
      </w:pPr>
      <w:bookmarkStart w:id="11456" w:name="_Ref393290838"/>
      <w:bookmarkStart w:id="11457" w:name="_Toc141875783"/>
      <w:r>
        <w:rPr>
          <w:rFonts w:hint="eastAsia"/>
        </w:rPr>
        <w:t>Ping各个配置项含义描述表</w:t>
      </w:r>
      <w:bookmarkEnd w:id="11456"/>
      <w:bookmarkEnd w:id="11457"/>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344"/>
        <w:gridCol w:w="6670"/>
      </w:tblGrid>
      <w:tr w14:paraId="096CD89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tcBorders>
              <w:tl2br w:val="nil"/>
              <w:tr2bl w:val="nil"/>
            </w:tcBorders>
            <w:shd w:val="clear" w:color="auto" w:fill="538135" w:themeFill="accent6" w:themeFillShade="BF"/>
            <w:vAlign w:val="center"/>
          </w:tcPr>
          <w:p w14:paraId="70B2798D">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84" w:type="dxa"/>
            <w:tcBorders>
              <w:tl2br w:val="nil"/>
              <w:tr2bl w:val="nil"/>
            </w:tcBorders>
            <w:shd w:val="clear" w:color="auto" w:fill="538135" w:themeFill="accent6" w:themeFillShade="BF"/>
            <w:vAlign w:val="center"/>
          </w:tcPr>
          <w:p w14:paraId="09EDF8C2">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559A2C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2FBCB4A0">
            <w:pPr>
              <w:pStyle w:val="150"/>
            </w:pPr>
            <w:r>
              <w:t>目的地址</w:t>
            </w:r>
          </w:p>
        </w:tc>
        <w:tc>
          <w:tcPr>
            <w:tcW w:w="6684" w:type="dxa"/>
            <w:shd w:val="clear" w:color="auto" w:fill="auto"/>
          </w:tcPr>
          <w:p w14:paraId="756A2D52">
            <w:pPr>
              <w:pStyle w:val="150"/>
            </w:pPr>
            <w:r>
              <w:rPr>
                <w:rFonts w:hint="eastAsia"/>
              </w:rPr>
              <w:t>需要ping的IP地址（IPv</w:t>
            </w:r>
            <w:r>
              <w:t>4或IPv6地址</w:t>
            </w:r>
            <w:r>
              <w:rPr>
                <w:rFonts w:hint="eastAsia"/>
              </w:rPr>
              <w:t>），或域名。</w:t>
            </w:r>
          </w:p>
        </w:tc>
      </w:tr>
      <w:tr w14:paraId="2DB8E9F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5AC61C55">
            <w:pPr>
              <w:pStyle w:val="150"/>
            </w:pPr>
            <w:r>
              <w:t>源地址</w:t>
            </w:r>
          </w:p>
        </w:tc>
        <w:tc>
          <w:tcPr>
            <w:tcW w:w="6684" w:type="dxa"/>
            <w:shd w:val="clear" w:color="auto" w:fill="auto"/>
          </w:tcPr>
          <w:p w14:paraId="7D39CEA1">
            <w:pPr>
              <w:pStyle w:val="150"/>
            </w:pPr>
            <w:r>
              <w:rPr>
                <w:rFonts w:hint="eastAsia"/>
              </w:rPr>
              <w:t>使用该源IP地址去ping目的地址（源IP可以为IPv4或IPv</w:t>
            </w:r>
            <w:r>
              <w:t>6</w:t>
            </w:r>
            <w:r>
              <w:rPr>
                <w:rFonts w:hint="eastAsia"/>
              </w:rPr>
              <w:t>地址）。</w:t>
            </w:r>
          </w:p>
        </w:tc>
      </w:tr>
      <w:tr w14:paraId="19007C7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29F40C09">
            <w:pPr>
              <w:pStyle w:val="150"/>
            </w:pPr>
            <w:r>
              <w:rPr>
                <w:rFonts w:hint="eastAsia"/>
              </w:rPr>
              <w:t>探测包数目</w:t>
            </w:r>
          </w:p>
        </w:tc>
        <w:tc>
          <w:tcPr>
            <w:tcW w:w="6684" w:type="dxa"/>
            <w:shd w:val="clear" w:color="auto" w:fill="auto"/>
          </w:tcPr>
          <w:p w14:paraId="127E794F">
            <w:pPr>
              <w:pStyle w:val="150"/>
            </w:pPr>
            <w:r>
              <w:rPr>
                <w:rFonts w:hint="eastAsia"/>
              </w:rPr>
              <w:t>发送探测包的数量。</w:t>
            </w:r>
          </w:p>
        </w:tc>
      </w:tr>
      <w:tr w14:paraId="2DE6982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42B437AD">
            <w:pPr>
              <w:pStyle w:val="150"/>
            </w:pPr>
            <w:r>
              <w:rPr>
                <w:rFonts w:hint="eastAsia"/>
              </w:rPr>
              <w:t>探测包大小</w:t>
            </w:r>
          </w:p>
        </w:tc>
        <w:tc>
          <w:tcPr>
            <w:tcW w:w="6684" w:type="dxa"/>
            <w:shd w:val="clear" w:color="auto" w:fill="auto"/>
          </w:tcPr>
          <w:p w14:paraId="16C8BC25">
            <w:pPr>
              <w:pStyle w:val="150"/>
            </w:pPr>
            <w:r>
              <w:rPr>
                <w:rFonts w:hint="eastAsia"/>
              </w:rPr>
              <w:t>每个探测包的大小。</w:t>
            </w:r>
          </w:p>
        </w:tc>
      </w:tr>
      <w:tr w14:paraId="23A9FE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0268F428">
            <w:pPr>
              <w:pStyle w:val="150"/>
            </w:pPr>
            <w:r>
              <w:rPr>
                <w:rFonts w:hint="eastAsia"/>
              </w:rPr>
              <w:t>VRF</w:t>
            </w:r>
          </w:p>
        </w:tc>
        <w:tc>
          <w:tcPr>
            <w:tcW w:w="6684" w:type="dxa"/>
            <w:shd w:val="clear" w:color="auto" w:fill="auto"/>
          </w:tcPr>
          <w:p w14:paraId="0F6B5509">
            <w:pPr>
              <w:pStyle w:val="150"/>
            </w:pPr>
            <w:r>
              <w:rPr>
                <w:rFonts w:hint="eastAsia"/>
              </w:rPr>
              <w:t>选择ping请求的IP路由实体，基于该实体往外发送ping的探测包。</w:t>
            </w:r>
          </w:p>
        </w:tc>
      </w:tr>
      <w:tr w14:paraId="401660F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4B8544DE">
            <w:pPr>
              <w:pStyle w:val="150"/>
            </w:pPr>
            <w:r>
              <w:rPr>
                <w:rFonts w:hint="eastAsia"/>
              </w:rPr>
              <w:t>Ping结果</w:t>
            </w:r>
          </w:p>
        </w:tc>
        <w:tc>
          <w:tcPr>
            <w:tcW w:w="6684" w:type="dxa"/>
            <w:shd w:val="clear" w:color="auto" w:fill="auto"/>
          </w:tcPr>
          <w:p w14:paraId="52AFDF4D">
            <w:pPr>
              <w:pStyle w:val="150"/>
            </w:pPr>
            <w:r>
              <w:rPr>
                <w:rFonts w:hint="eastAsia"/>
              </w:rPr>
              <w:t>显示ping包返回的结果。</w:t>
            </w:r>
          </w:p>
        </w:tc>
      </w:tr>
    </w:tbl>
    <w:p w14:paraId="3592D553">
      <w:pPr>
        <w:pStyle w:val="6"/>
      </w:pPr>
      <w:bookmarkStart w:id="11458" w:name="_Toc497293028"/>
      <w:bookmarkEnd w:id="11458"/>
      <w:bookmarkStart w:id="11459" w:name="_Toc369620444"/>
      <w:bookmarkStart w:id="11460" w:name="_Toc12469937"/>
      <w:bookmarkStart w:id="11461" w:name="_Toc15485343"/>
      <w:bookmarkStart w:id="11462" w:name="_Toc23153100"/>
      <w:bookmarkStart w:id="11463" w:name="_Toc389059453"/>
      <w:bookmarkStart w:id="11464" w:name="_Toc389750148"/>
      <w:bookmarkStart w:id="11465" w:name="_Toc40276521"/>
      <w:r>
        <w:t>Traceroute</w:t>
      </w:r>
      <w:bookmarkEnd w:id="11459"/>
      <w:bookmarkEnd w:id="11460"/>
      <w:bookmarkEnd w:id="11461"/>
      <w:bookmarkEnd w:id="11462"/>
      <w:bookmarkEnd w:id="11463"/>
      <w:bookmarkEnd w:id="11464"/>
      <w:bookmarkEnd w:id="11465"/>
    </w:p>
    <w:p w14:paraId="5D0E92B7">
      <w:r>
        <w:rPr>
          <w:rFonts w:hint="eastAsia"/>
        </w:rPr>
        <w:t>通过菜单“系统管理</w:t>
      </w:r>
      <w:r>
        <w:t xml:space="preserve"> &gt; </w:t>
      </w:r>
      <w:r>
        <w:rPr>
          <w:rFonts w:hint="eastAsia"/>
        </w:rPr>
        <w:t>系统维护</w:t>
      </w:r>
      <w:r>
        <w:t xml:space="preserve"> &gt; </w:t>
      </w:r>
      <w:r>
        <w:rPr>
          <w:rFonts w:hint="eastAsia"/>
        </w:rPr>
        <w:t>系统诊断工具</w:t>
      </w:r>
      <w:r>
        <w:t xml:space="preserve"> &gt; Traceroute</w:t>
      </w:r>
      <w:r>
        <w:rPr>
          <w:rFonts w:hint="eastAsia"/>
        </w:rPr>
        <w:t>”，进入如</w:t>
      </w:r>
      <w:r>
        <w:fldChar w:fldCharType="begin"/>
      </w:r>
      <w:r>
        <w:instrText xml:space="preserve"> REF _Ref393290847 \r \h </w:instrText>
      </w:r>
      <w:r>
        <w:fldChar w:fldCharType="separate"/>
      </w:r>
      <w:r>
        <w:rPr>
          <w:rFonts w:hint="eastAsia"/>
        </w:rPr>
        <w:t>图33-65</w:t>
      </w:r>
      <w:r>
        <w:fldChar w:fldCharType="end"/>
      </w:r>
      <w:r>
        <w:rPr>
          <w:rFonts w:hint="eastAsia"/>
        </w:rPr>
        <w:t>所示页面。各个配置项的含义如</w:t>
      </w:r>
      <w:r>
        <w:fldChar w:fldCharType="begin"/>
      </w:r>
      <w:r>
        <w:instrText xml:space="preserve"> REF _Ref393290851 \r \h </w:instrText>
      </w:r>
      <w:r>
        <w:fldChar w:fldCharType="separate"/>
      </w:r>
      <w:r>
        <w:rPr>
          <w:rFonts w:hint="eastAsia"/>
        </w:rPr>
        <w:t>表33-1</w:t>
      </w:r>
      <w:r>
        <w:fldChar w:fldCharType="end"/>
      </w:r>
      <w:r>
        <w:rPr>
          <w:rFonts w:hint="eastAsia"/>
        </w:rPr>
        <w:t>所示。</w:t>
      </w:r>
    </w:p>
    <w:p w14:paraId="131F4DDA">
      <w:pPr>
        <w:pStyle w:val="188"/>
      </w:pPr>
      <w:bookmarkStart w:id="11466" w:name="_Toc141875302"/>
      <w:bookmarkStart w:id="11467" w:name="_Ref393290847"/>
      <w:r>
        <w:t>Traceroute页面</w:t>
      </w:r>
      <w:bookmarkEnd w:id="11466"/>
      <w:bookmarkEnd w:id="11467"/>
    </w:p>
    <w:p w14:paraId="32FA4FBB">
      <w:r>
        <w:drawing>
          <wp:inline distT="0" distB="0" distL="0" distR="0">
            <wp:extent cx="5562600" cy="2517140"/>
            <wp:effectExtent l="0" t="0" r="0"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a:picLocks noChangeAspect="1"/>
                    </pic:cNvPicPr>
                  </pic:nvPicPr>
                  <pic:blipFill>
                    <a:blip r:embed="rId1265"/>
                    <a:stretch>
                      <a:fillRect/>
                    </a:stretch>
                  </pic:blipFill>
                  <pic:spPr>
                    <a:xfrm>
                      <a:off x="0" y="0"/>
                      <a:ext cx="5563429" cy="2517655"/>
                    </a:xfrm>
                    <a:prstGeom prst="rect">
                      <a:avLst/>
                    </a:prstGeom>
                  </pic:spPr>
                </pic:pic>
              </a:graphicData>
            </a:graphic>
          </wp:inline>
        </w:drawing>
      </w:r>
    </w:p>
    <w:p w14:paraId="47D180DD"/>
    <w:p w14:paraId="4B498683">
      <w:pPr>
        <w:pStyle w:val="183"/>
      </w:pPr>
      <w:bookmarkStart w:id="11468" w:name="_Ref393290851"/>
      <w:bookmarkStart w:id="11469" w:name="_Toc141875784"/>
      <w:r>
        <w:t>Traceroute各个配置项含义描述表</w:t>
      </w:r>
      <w:bookmarkEnd w:id="11468"/>
      <w:bookmarkEnd w:id="11469"/>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344"/>
        <w:gridCol w:w="6670"/>
      </w:tblGrid>
      <w:tr w14:paraId="3011BB2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tcBorders>
              <w:tl2br w:val="nil"/>
              <w:tr2bl w:val="nil"/>
            </w:tcBorders>
            <w:shd w:val="clear" w:color="auto" w:fill="538135" w:themeFill="accent6" w:themeFillShade="BF"/>
            <w:vAlign w:val="center"/>
          </w:tcPr>
          <w:p w14:paraId="5EBA1C77">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84" w:type="dxa"/>
            <w:tcBorders>
              <w:tl2br w:val="nil"/>
              <w:tr2bl w:val="nil"/>
            </w:tcBorders>
            <w:shd w:val="clear" w:color="auto" w:fill="538135" w:themeFill="accent6" w:themeFillShade="BF"/>
            <w:vAlign w:val="center"/>
          </w:tcPr>
          <w:p w14:paraId="24E2E902">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FC9E10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3345C7AC">
            <w:pPr>
              <w:pStyle w:val="150"/>
            </w:pPr>
            <w:r>
              <w:t>目的地址</w:t>
            </w:r>
          </w:p>
        </w:tc>
        <w:tc>
          <w:tcPr>
            <w:tcW w:w="6684" w:type="dxa"/>
            <w:shd w:val="clear" w:color="auto" w:fill="auto"/>
          </w:tcPr>
          <w:p w14:paraId="1709D8AB">
            <w:pPr>
              <w:pStyle w:val="150"/>
            </w:pPr>
            <w:r>
              <w:rPr>
                <w:rFonts w:hint="eastAsia"/>
              </w:rPr>
              <w:t>需要探测的地址。</w:t>
            </w:r>
          </w:p>
        </w:tc>
      </w:tr>
      <w:tr w14:paraId="568A57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2ECA9945">
            <w:pPr>
              <w:pStyle w:val="150"/>
            </w:pPr>
            <w:r>
              <w:rPr>
                <w:rFonts w:hint="eastAsia"/>
              </w:rPr>
              <w:t>探测方式</w:t>
            </w:r>
          </w:p>
        </w:tc>
        <w:tc>
          <w:tcPr>
            <w:tcW w:w="6684" w:type="dxa"/>
            <w:shd w:val="clear" w:color="auto" w:fill="auto"/>
          </w:tcPr>
          <w:p w14:paraId="2D66A9BC">
            <w:pPr>
              <w:pStyle w:val="150"/>
            </w:pPr>
            <w:r>
              <w:rPr>
                <w:rFonts w:hint="eastAsia"/>
              </w:rPr>
              <w:t>可以选择UDP/ICMP两种探测方式。</w:t>
            </w:r>
          </w:p>
        </w:tc>
      </w:tr>
      <w:tr w14:paraId="3F9FE65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144EB125">
            <w:pPr>
              <w:pStyle w:val="150"/>
            </w:pPr>
            <w:r>
              <w:t>Traceroute探测</w:t>
            </w:r>
            <w:r>
              <w:rPr>
                <w:rFonts w:hint="eastAsia"/>
              </w:rPr>
              <w:t>结果</w:t>
            </w:r>
          </w:p>
        </w:tc>
        <w:tc>
          <w:tcPr>
            <w:tcW w:w="6684" w:type="dxa"/>
            <w:shd w:val="clear" w:color="auto" w:fill="auto"/>
          </w:tcPr>
          <w:p w14:paraId="29EE8CE5">
            <w:pPr>
              <w:pStyle w:val="150"/>
            </w:pPr>
            <w:r>
              <w:rPr>
                <w:rFonts w:hint="eastAsia"/>
              </w:rPr>
              <w:t>显示探测结果。</w:t>
            </w:r>
          </w:p>
        </w:tc>
      </w:tr>
    </w:tbl>
    <w:p w14:paraId="745547F6">
      <w:bookmarkStart w:id="11470" w:name="_Toc497293030"/>
      <w:bookmarkEnd w:id="11470"/>
    </w:p>
    <w:p w14:paraId="06B6A1D4">
      <w:pPr>
        <w:pStyle w:val="6"/>
      </w:pPr>
      <w:bookmarkStart w:id="11471" w:name="_Toc40276522"/>
      <w:bookmarkStart w:id="11472" w:name="_Toc15485344"/>
      <w:bookmarkStart w:id="11473" w:name="_Toc12469938"/>
      <w:bookmarkStart w:id="11474" w:name="_Toc23153101"/>
      <w:r>
        <w:rPr>
          <w:rFonts w:hint="eastAsia"/>
        </w:rPr>
        <w:t>TCP Syn</w:t>
      </w:r>
      <w:bookmarkEnd w:id="11471"/>
      <w:bookmarkEnd w:id="11472"/>
      <w:bookmarkEnd w:id="11473"/>
      <w:bookmarkEnd w:id="11474"/>
    </w:p>
    <w:p w14:paraId="276B066D">
      <w:r>
        <w:rPr>
          <w:rFonts w:hint="eastAsia"/>
        </w:rPr>
        <w:t>通过菜单“系统管理</w:t>
      </w:r>
      <w:r>
        <w:t xml:space="preserve"> &gt; </w:t>
      </w:r>
      <w:r>
        <w:rPr>
          <w:rFonts w:hint="eastAsia"/>
        </w:rPr>
        <w:t>系统维护</w:t>
      </w:r>
      <w:r>
        <w:t xml:space="preserve"> &gt; </w:t>
      </w:r>
      <w:r>
        <w:rPr>
          <w:rFonts w:hint="eastAsia"/>
        </w:rPr>
        <w:t>系统诊断工具</w:t>
      </w:r>
      <w:r>
        <w:t xml:space="preserve"> &gt; TCP Syn</w:t>
      </w:r>
      <w:r>
        <w:rPr>
          <w:rFonts w:hint="eastAsia"/>
        </w:rPr>
        <w:t>”，进入如</w:t>
      </w:r>
      <w:r>
        <w:fldChar w:fldCharType="begin"/>
      </w:r>
      <w:r>
        <w:instrText xml:space="preserve"> </w:instrText>
      </w:r>
      <w:r>
        <w:rPr>
          <w:rFonts w:hint="eastAsia"/>
        </w:rPr>
        <w:instrText xml:space="preserve">REF _Ref393290860 \r \h</w:instrText>
      </w:r>
      <w:r>
        <w:instrText xml:space="preserve"> </w:instrText>
      </w:r>
      <w:r>
        <w:fldChar w:fldCharType="separate"/>
      </w:r>
      <w:r>
        <w:rPr>
          <w:rFonts w:hint="eastAsia"/>
        </w:rPr>
        <w:t>图33-66</w:t>
      </w:r>
      <w:r>
        <w:fldChar w:fldCharType="end"/>
      </w:r>
      <w:r>
        <w:rPr>
          <w:rFonts w:hint="eastAsia"/>
        </w:rPr>
        <w:t>所示页面。各个配置项的含义如</w:t>
      </w:r>
      <w:r>
        <w:rPr>
          <w:color w:val="0000FF"/>
          <w:u w:val="single"/>
        </w:rPr>
        <w:fldChar w:fldCharType="begin"/>
      </w:r>
      <w:r>
        <w:rPr>
          <w:color w:val="0000FF"/>
          <w:u w:val="single"/>
        </w:rPr>
        <w:instrText xml:space="preserve"> REF _Ref393290867 \r \h </w:instrText>
      </w:r>
      <w:r>
        <w:rPr>
          <w:color w:val="0000FF"/>
          <w:u w:val="single"/>
        </w:rPr>
        <w:fldChar w:fldCharType="separate"/>
      </w:r>
      <w:r>
        <w:rPr>
          <w:rFonts w:hint="eastAsia"/>
          <w:color w:val="0000FF"/>
          <w:u w:val="single"/>
        </w:rPr>
        <w:t>表33-1</w:t>
      </w:r>
      <w:r>
        <w:rPr>
          <w:color w:val="0000FF"/>
          <w:u w:val="single"/>
        </w:rPr>
        <w:fldChar w:fldCharType="end"/>
      </w:r>
      <w:r>
        <w:rPr>
          <w:rFonts w:hint="eastAsia"/>
        </w:rPr>
        <w:t>所示。</w:t>
      </w:r>
    </w:p>
    <w:p w14:paraId="4FE25738">
      <w:pPr>
        <w:pStyle w:val="188"/>
      </w:pPr>
      <w:bookmarkStart w:id="11475" w:name="_Ref393290860"/>
      <w:bookmarkStart w:id="11476" w:name="_Toc141875303"/>
      <w:r>
        <w:rPr>
          <w:rFonts w:hint="eastAsia"/>
        </w:rPr>
        <w:t>TCP Syn页面</w:t>
      </w:r>
      <w:bookmarkEnd w:id="11475"/>
      <w:bookmarkEnd w:id="11476"/>
    </w:p>
    <w:p w14:paraId="3938CE18">
      <w:r>
        <w:drawing>
          <wp:inline distT="0" distB="0" distL="0" distR="0">
            <wp:extent cx="5638800" cy="2708275"/>
            <wp:effectExtent l="0" t="0" r="0"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1266"/>
                    <a:stretch>
                      <a:fillRect/>
                    </a:stretch>
                  </pic:blipFill>
                  <pic:spPr>
                    <a:xfrm>
                      <a:off x="0" y="0"/>
                      <a:ext cx="5649027" cy="2713455"/>
                    </a:xfrm>
                    <a:prstGeom prst="rect">
                      <a:avLst/>
                    </a:prstGeom>
                  </pic:spPr>
                </pic:pic>
              </a:graphicData>
            </a:graphic>
          </wp:inline>
        </w:drawing>
      </w:r>
    </w:p>
    <w:p w14:paraId="534744E3"/>
    <w:p w14:paraId="702A8DF5">
      <w:pPr>
        <w:pStyle w:val="183"/>
      </w:pPr>
      <w:bookmarkStart w:id="11477" w:name="_Ref393290867"/>
      <w:bookmarkStart w:id="11478" w:name="_Toc141875785"/>
      <w:r>
        <w:rPr>
          <w:rFonts w:hint="eastAsia"/>
        </w:rPr>
        <w:t>TCP Syn各个配置项含义描述表</w:t>
      </w:r>
      <w:bookmarkEnd w:id="11477"/>
      <w:bookmarkEnd w:id="11478"/>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344"/>
        <w:gridCol w:w="6670"/>
      </w:tblGrid>
      <w:tr w14:paraId="484EDB5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tcBorders>
              <w:tl2br w:val="nil"/>
              <w:tr2bl w:val="nil"/>
            </w:tcBorders>
            <w:shd w:val="clear" w:color="auto" w:fill="538135" w:themeFill="accent6" w:themeFillShade="BF"/>
            <w:vAlign w:val="center"/>
          </w:tcPr>
          <w:p w14:paraId="2B94D383">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84" w:type="dxa"/>
            <w:tcBorders>
              <w:tl2br w:val="nil"/>
              <w:tr2bl w:val="nil"/>
            </w:tcBorders>
            <w:shd w:val="clear" w:color="auto" w:fill="538135" w:themeFill="accent6" w:themeFillShade="BF"/>
            <w:vAlign w:val="center"/>
          </w:tcPr>
          <w:p w14:paraId="07830476">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7EAD28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144256FB">
            <w:pPr>
              <w:pStyle w:val="150"/>
            </w:pPr>
            <w:r>
              <w:t>目的地址</w:t>
            </w:r>
          </w:p>
        </w:tc>
        <w:tc>
          <w:tcPr>
            <w:tcW w:w="6684" w:type="dxa"/>
            <w:shd w:val="clear" w:color="auto" w:fill="auto"/>
          </w:tcPr>
          <w:p w14:paraId="500F86A4">
            <w:pPr>
              <w:pStyle w:val="150"/>
            </w:pPr>
            <w:r>
              <w:rPr>
                <w:rFonts w:hint="eastAsia"/>
              </w:rPr>
              <w:t>需要探测的地址。</w:t>
            </w:r>
          </w:p>
        </w:tc>
      </w:tr>
      <w:tr w14:paraId="7BD980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54071243">
            <w:pPr>
              <w:pStyle w:val="150"/>
            </w:pPr>
            <w:r>
              <w:t>端口</w:t>
            </w:r>
          </w:p>
        </w:tc>
        <w:tc>
          <w:tcPr>
            <w:tcW w:w="6684" w:type="dxa"/>
            <w:shd w:val="clear" w:color="auto" w:fill="auto"/>
          </w:tcPr>
          <w:p w14:paraId="2E54875B">
            <w:pPr>
              <w:pStyle w:val="150"/>
            </w:pPr>
            <w:r>
              <w:rPr>
                <w:rFonts w:hint="eastAsia"/>
              </w:rPr>
              <w:t>TCP端口号。</w:t>
            </w:r>
          </w:p>
        </w:tc>
      </w:tr>
      <w:tr w14:paraId="4B7450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62340041">
            <w:pPr>
              <w:pStyle w:val="150"/>
            </w:pPr>
            <w:r>
              <w:rPr>
                <w:rFonts w:hint="eastAsia"/>
              </w:rPr>
              <w:t>探测包数目</w:t>
            </w:r>
          </w:p>
        </w:tc>
        <w:tc>
          <w:tcPr>
            <w:tcW w:w="6684" w:type="dxa"/>
            <w:shd w:val="clear" w:color="auto" w:fill="auto"/>
          </w:tcPr>
          <w:p w14:paraId="7FFA96B3">
            <w:pPr>
              <w:pStyle w:val="150"/>
            </w:pPr>
            <w:r>
              <w:rPr>
                <w:rFonts w:hint="eastAsia"/>
              </w:rPr>
              <w:t>探测包的发送数量。</w:t>
            </w:r>
          </w:p>
        </w:tc>
      </w:tr>
      <w:tr w14:paraId="351136B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4831F80C">
            <w:pPr>
              <w:pStyle w:val="150"/>
            </w:pPr>
            <w:r>
              <w:rPr>
                <w:rFonts w:hint="eastAsia"/>
              </w:rPr>
              <w:t>TCP Syn包</w:t>
            </w:r>
            <w:r>
              <w:t>探测</w:t>
            </w:r>
            <w:r>
              <w:rPr>
                <w:rFonts w:hint="eastAsia"/>
              </w:rPr>
              <w:t>结果</w:t>
            </w:r>
          </w:p>
        </w:tc>
        <w:tc>
          <w:tcPr>
            <w:tcW w:w="6684" w:type="dxa"/>
            <w:shd w:val="clear" w:color="auto" w:fill="auto"/>
          </w:tcPr>
          <w:p w14:paraId="4005AED7">
            <w:pPr>
              <w:pStyle w:val="150"/>
            </w:pPr>
            <w:r>
              <w:rPr>
                <w:rFonts w:hint="eastAsia"/>
              </w:rPr>
              <w:t>显示探测结果。</w:t>
            </w:r>
          </w:p>
        </w:tc>
      </w:tr>
    </w:tbl>
    <w:p w14:paraId="706CBE54">
      <w:bookmarkStart w:id="11479" w:name="_Toc497293032"/>
      <w:bookmarkEnd w:id="11479"/>
    </w:p>
    <w:p w14:paraId="16CE9108">
      <w:pPr>
        <w:pStyle w:val="6"/>
      </w:pPr>
      <w:bookmarkStart w:id="11480" w:name="_Toc142984653"/>
      <w:r>
        <w:rPr>
          <w:rFonts w:hint="eastAsia"/>
        </w:rPr>
        <w:t>上网故障检测</w:t>
      </w:r>
      <w:bookmarkEnd w:id="11480"/>
    </w:p>
    <w:p w14:paraId="0D9EA4C5">
      <w:r>
        <w:rPr>
          <w:rFonts w:hint="eastAsia"/>
        </w:rPr>
        <w:t>通过菜单“系统管理</w:t>
      </w:r>
      <w:r>
        <w:t xml:space="preserve"> &gt; </w:t>
      </w:r>
      <w:r>
        <w:rPr>
          <w:rFonts w:hint="eastAsia"/>
        </w:rPr>
        <w:t>系统维护</w:t>
      </w:r>
      <w:r>
        <w:t xml:space="preserve"> &gt; </w:t>
      </w:r>
      <w:r>
        <w:rPr>
          <w:rFonts w:hint="eastAsia"/>
        </w:rPr>
        <w:t>系统诊断工具</w:t>
      </w:r>
      <w:r>
        <w:t xml:space="preserve"> &gt; </w:t>
      </w:r>
      <w:r>
        <w:rPr>
          <w:rFonts w:hint="eastAsia"/>
        </w:rPr>
        <w:t>上网故障检测”，进入上网故障检测页面，设置检测报文的过滤条件，如协议、源目的IP、</w:t>
      </w:r>
      <w:r>
        <w:t>目的端口等</w:t>
      </w:r>
      <w:r>
        <w:rPr>
          <w:rFonts w:hint="eastAsia"/>
        </w:rPr>
        <w:t>，点击&lt;开始</w:t>
      </w:r>
      <w:r>
        <w:t>&gt;</w:t>
      </w:r>
      <w:r>
        <w:rPr>
          <w:rFonts w:hint="eastAsia"/>
        </w:rPr>
        <w:t>，系统会根据配置的过滤条件过滤需检测的报文，当报文发生丢包时会记录相关丢包模块和原因。在下面结果区域查看丢包原因，</w:t>
      </w:r>
      <w:r>
        <w:t>如下图所示</w:t>
      </w:r>
      <w:r>
        <w:rPr>
          <w:rFonts w:hint="eastAsia"/>
        </w:rPr>
        <w:t>。</w:t>
      </w:r>
    </w:p>
    <w:p w14:paraId="1A23CA46">
      <w:pPr>
        <w:pStyle w:val="188"/>
      </w:pPr>
      <w:r>
        <w:rPr>
          <w:rFonts w:hint="eastAsia"/>
        </w:rPr>
        <w:t>上网故障检测页面</w:t>
      </w:r>
    </w:p>
    <w:p w14:paraId="6A139573">
      <w:pPr>
        <w:pStyle w:val="175"/>
      </w:pPr>
      <w:r>
        <w:drawing>
          <wp:inline distT="0" distB="0" distL="114300" distR="114300">
            <wp:extent cx="5676900" cy="2932430"/>
            <wp:effectExtent l="0" t="0" r="0" b="127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pic:cNvPicPr>
                  </pic:nvPicPr>
                  <pic:blipFill>
                    <a:blip r:embed="rId1267"/>
                    <a:stretch>
                      <a:fillRect/>
                    </a:stretch>
                  </pic:blipFill>
                  <pic:spPr>
                    <a:xfrm>
                      <a:off x="0" y="0"/>
                      <a:ext cx="5706879" cy="2948417"/>
                    </a:xfrm>
                    <a:prstGeom prst="rect">
                      <a:avLst/>
                    </a:prstGeom>
                    <a:noFill/>
                    <a:ln>
                      <a:noFill/>
                    </a:ln>
                  </pic:spPr>
                </pic:pic>
              </a:graphicData>
            </a:graphic>
          </wp:inline>
        </w:drawing>
      </w:r>
    </w:p>
    <w:p w14:paraId="0C595B8F"/>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2967C8F4">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31BA8AA1">
            <w:pPr>
              <w:pStyle w:val="150"/>
              <w:adjustRightInd w:val="0"/>
              <w:snapToGrid w:val="0"/>
              <w:rPr>
                <w:color w:val="auto"/>
              </w:rPr>
            </w:pPr>
            <w:bookmarkStart w:id="11481" w:name="OLE_LINK91"/>
            <w:r>
              <w:rPr>
                <w:b/>
                <w:color w:val="auto"/>
              </w:rPr>
              <w:drawing>
                <wp:inline distT="0" distB="0" distL="0" distR="0">
                  <wp:extent cx="283210" cy="283210"/>
                  <wp:effectExtent l="0" t="0" r="2540" b="2540"/>
                  <wp:docPr id="957" name="图片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图片 95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5C64FDC1">
            <w:pPr>
              <w:pStyle w:val="150"/>
              <w:adjustRightInd w:val="0"/>
              <w:snapToGrid w:val="0"/>
              <w:rPr>
                <w:color w:val="auto"/>
              </w:rPr>
            </w:pPr>
            <w:r>
              <w:rPr>
                <w:rFonts w:hint="eastAsia"/>
                <w:color w:val="auto"/>
              </w:rPr>
              <w:t>勾选流控模块直通时，流量不通过流量管理模块，流量管理功能失效。不再存在流控放通行为的丢包标记。全部数据直通可能会导致线路流量过大。</w:t>
            </w:r>
          </w:p>
        </w:tc>
      </w:tr>
      <w:bookmarkEnd w:id="11481"/>
    </w:tbl>
    <w:p w14:paraId="0CC730A7"/>
    <w:p w14:paraId="50A2389B">
      <w:pPr>
        <w:pStyle w:val="5"/>
      </w:pPr>
      <w:bookmarkStart w:id="11482" w:name="_Toc142401372"/>
      <w:bookmarkStart w:id="11483" w:name="_Toc196728577"/>
      <w:bookmarkStart w:id="11484" w:name="_Toc141873855"/>
      <w:bookmarkStart w:id="11485" w:name="_Toc99562044"/>
      <w:bookmarkStart w:id="11486" w:name="_Toc194081249"/>
      <w:bookmarkStart w:id="11487" w:name="_Toc38264952"/>
      <w:bookmarkStart w:id="11488" w:name="_Toc172218663"/>
      <w:bookmarkStart w:id="11489" w:name="_ZH-CN_TOPIC_0237988917-chtext"/>
      <w:r>
        <w:t>收集系统信息</w:t>
      </w:r>
      <w:bookmarkEnd w:id="11482"/>
      <w:bookmarkEnd w:id="11483"/>
      <w:bookmarkEnd w:id="11484"/>
      <w:bookmarkEnd w:id="11485"/>
      <w:bookmarkEnd w:id="11486"/>
      <w:bookmarkEnd w:id="11487"/>
      <w:bookmarkEnd w:id="11488"/>
      <w:bookmarkEnd w:id="11489"/>
    </w:p>
    <w:p w14:paraId="7A626626">
      <w:r>
        <w:t>通过信息收集模块，可以实现手动或者自动收集系统信息以及导出系统异常信息。</w:t>
      </w:r>
    </w:p>
    <w:p w14:paraId="2BF5C9D3">
      <w:pPr>
        <w:pStyle w:val="6"/>
      </w:pPr>
      <w:bookmarkStart w:id="11490" w:name="_ZH-CN_TOPIC_0237988918-chtext"/>
      <w:bookmarkStart w:id="11491" w:name="_Toc38264953"/>
      <w:r>
        <w:t>收集系统信息</w:t>
      </w:r>
      <w:bookmarkEnd w:id="11490"/>
      <w:bookmarkEnd w:id="11491"/>
    </w:p>
    <w:p w14:paraId="0F4C6D9C">
      <w:r>
        <w:rPr>
          <w:rFonts w:hint="eastAsia"/>
        </w:rPr>
        <w:t>通过菜单“</w:t>
      </w:r>
      <w:r>
        <w:t>系统管理 &gt; 系统维护 &gt; 信息收集</w:t>
      </w:r>
      <w:r>
        <w:rPr>
          <w:rFonts w:hint="eastAsia"/>
        </w:rPr>
        <w:t>”</w:t>
      </w:r>
      <w:r>
        <w:t>，进入如</w:t>
      </w:r>
      <w:r>
        <w:fldChar w:fldCharType="begin"/>
      </w:r>
      <w:r>
        <w:instrText xml:space="preserve">REF _ref24052864 \r \h</w:instrText>
      </w:r>
      <w:r>
        <w:fldChar w:fldCharType="separate"/>
      </w:r>
      <w:r>
        <w:rPr>
          <w:rFonts w:hint="eastAsia"/>
        </w:rPr>
        <w:t>图33-68</w:t>
      </w:r>
      <w:r>
        <w:fldChar w:fldCharType="end"/>
      </w:r>
      <w:r>
        <w:t>所示页面。选择“手动采集”，单击“提交”，即可立即收集当前设备信息。收集完成后，单击“</w:t>
      </w:r>
      <w:r>
        <w:drawing>
          <wp:inline distT="0" distB="0" distL="0" distR="0">
            <wp:extent cx="114300" cy="114300"/>
            <wp:effectExtent l="0" t="0" r="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noChangeArrowheads="1"/>
                    </pic:cNvPicPr>
                  </pic:nvPicPr>
                  <pic:blipFill>
                    <a:blip r:embed="rId1268">
                      <a:extLst>
                        <a:ext uri="{28A0092B-C50C-407E-A947-70E740481C1C}">
                          <a14:useLocalDpi xmlns:a14="http://schemas.microsoft.com/office/drawing/2010/main" val="0"/>
                        </a:ext>
                      </a:extLst>
                    </a:blip>
                    <a:srcRect/>
                    <a:stretch>
                      <a:fillRect/>
                    </a:stretch>
                  </pic:blipFill>
                  <pic:spPr>
                    <a:xfrm>
                      <a:off x="0" y="0"/>
                      <a:ext cx="114300" cy="114300"/>
                    </a:xfrm>
                    <a:prstGeom prst="rect">
                      <a:avLst/>
                    </a:prstGeom>
                    <a:noFill/>
                    <a:ln>
                      <a:noFill/>
                    </a:ln>
                  </pic:spPr>
                </pic:pic>
              </a:graphicData>
            </a:graphic>
          </wp:inline>
        </w:drawing>
      </w:r>
      <w:r>
        <w:t>”即可将收集到的信息下载到本地；单击“</w:t>
      </w:r>
      <w:r>
        <w:drawing>
          <wp:inline distT="0" distB="0" distL="0" distR="0">
            <wp:extent cx="142875" cy="114300"/>
            <wp:effectExtent l="0" t="0" r="9525"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noChangeArrowheads="1"/>
                    </pic:cNvPicPr>
                  </pic:nvPicPr>
                  <pic:blipFill>
                    <a:blip r:embed="rId1269">
                      <a:extLst>
                        <a:ext uri="{28A0092B-C50C-407E-A947-70E740481C1C}">
                          <a14:useLocalDpi xmlns:a14="http://schemas.microsoft.com/office/drawing/2010/main" val="0"/>
                        </a:ext>
                      </a:extLst>
                    </a:blip>
                    <a:srcRect/>
                    <a:stretch>
                      <a:fillRect/>
                    </a:stretch>
                  </pic:blipFill>
                  <pic:spPr>
                    <a:xfrm>
                      <a:off x="0" y="0"/>
                      <a:ext cx="142875" cy="114300"/>
                    </a:xfrm>
                    <a:prstGeom prst="rect">
                      <a:avLst/>
                    </a:prstGeom>
                    <a:noFill/>
                    <a:ln>
                      <a:noFill/>
                    </a:ln>
                  </pic:spPr>
                </pic:pic>
              </a:graphicData>
            </a:graphic>
          </wp:inline>
        </w:drawing>
      </w:r>
      <w:r>
        <w:t>”即可在网页查看收集到的详细信息；单击“</w:t>
      </w:r>
      <w:r>
        <w:drawing>
          <wp:inline distT="0" distB="0" distL="0" distR="0">
            <wp:extent cx="133350" cy="133350"/>
            <wp:effectExtent l="0" t="0" r="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1270"/>
                    <a:stretch>
                      <a:fillRect/>
                    </a:stretch>
                  </pic:blipFill>
                  <pic:spPr>
                    <a:xfrm>
                      <a:off x="0" y="0"/>
                      <a:ext cx="133779" cy="133779"/>
                    </a:xfrm>
                    <a:prstGeom prst="rect">
                      <a:avLst/>
                    </a:prstGeom>
                  </pic:spPr>
                </pic:pic>
              </a:graphicData>
            </a:graphic>
          </wp:inline>
        </w:drawing>
      </w:r>
      <w:r>
        <w:t>”即可删除对应的收集到的文件。</w:t>
      </w:r>
    </w:p>
    <w:p w14:paraId="0215B7DE">
      <w:pPr>
        <w:pStyle w:val="188"/>
      </w:pPr>
      <w:bookmarkStart w:id="11492" w:name="_ref24052864"/>
      <w:bookmarkEnd w:id="11492"/>
      <w:bookmarkStart w:id="11493" w:name="_Toc141875304"/>
      <w:r>
        <w:t>手动采集系统信息</w:t>
      </w:r>
      <w:bookmarkEnd w:id="11493"/>
    </w:p>
    <w:p w14:paraId="163B69FC">
      <w:r>
        <w:drawing>
          <wp:inline distT="0" distB="0" distL="0" distR="0">
            <wp:extent cx="5400040" cy="820420"/>
            <wp:effectExtent l="0" t="0" r="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1271"/>
                    <a:stretch>
                      <a:fillRect/>
                    </a:stretch>
                  </pic:blipFill>
                  <pic:spPr>
                    <a:xfrm>
                      <a:off x="0" y="0"/>
                      <a:ext cx="5400040" cy="820420"/>
                    </a:xfrm>
                    <a:prstGeom prst="rect">
                      <a:avLst/>
                    </a:prstGeom>
                  </pic:spPr>
                </pic:pic>
              </a:graphicData>
            </a:graphic>
          </wp:inline>
        </w:drawing>
      </w:r>
    </w:p>
    <w:p w14:paraId="005DB415"/>
    <w:p w14:paraId="25D23158">
      <w:r>
        <w:t>在收集页面选择“自动采集”，配置自动采集周期并勾选启用，设备就可以按照设定的周期自动生成信息采集文件，然后就可以对设备文件进行下载、查看、删除等操作，如</w:t>
      </w:r>
      <w:r>
        <w:fldChar w:fldCharType="begin"/>
      </w:r>
      <w:r>
        <w:instrText xml:space="preserve">REF _ref24052873 \r \h</w:instrText>
      </w:r>
      <w:r>
        <w:fldChar w:fldCharType="separate"/>
      </w:r>
      <w:r>
        <w:rPr>
          <w:rFonts w:hint="eastAsia"/>
        </w:rPr>
        <w:t>图33-69</w:t>
      </w:r>
      <w:r>
        <w:fldChar w:fldCharType="end"/>
      </w:r>
      <w:r>
        <w:t>所示。</w:t>
      </w:r>
    </w:p>
    <w:p w14:paraId="0BBBBACA">
      <w:pPr>
        <w:pStyle w:val="188"/>
      </w:pPr>
      <w:bookmarkStart w:id="11494" w:name="_ref24052873"/>
      <w:bookmarkEnd w:id="11494"/>
      <w:bookmarkStart w:id="11495" w:name="_Toc141875305"/>
      <w:r>
        <w:t>自动采集系统信息</w:t>
      </w:r>
      <w:bookmarkEnd w:id="11495"/>
    </w:p>
    <w:p w14:paraId="3BF993A0">
      <w:r>
        <w:drawing>
          <wp:inline distT="0" distB="0" distL="0" distR="0">
            <wp:extent cx="5400040" cy="907415"/>
            <wp:effectExtent l="0" t="0" r="0" b="6985"/>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1272"/>
                    <a:stretch>
                      <a:fillRect/>
                    </a:stretch>
                  </pic:blipFill>
                  <pic:spPr>
                    <a:xfrm>
                      <a:off x="0" y="0"/>
                      <a:ext cx="5400040" cy="907415"/>
                    </a:xfrm>
                    <a:prstGeom prst="rect">
                      <a:avLst/>
                    </a:prstGeom>
                  </pic:spPr>
                </pic:pic>
              </a:graphicData>
            </a:graphic>
          </wp:inline>
        </w:drawing>
      </w:r>
    </w:p>
    <w:p w14:paraId="70A13C76"/>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2B24232D">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231C4D13">
            <w:pPr>
              <w:pStyle w:val="150"/>
              <w:adjustRightInd w:val="0"/>
              <w:snapToGrid w:val="0"/>
              <w:rPr>
                <w:color w:val="auto"/>
              </w:rPr>
            </w:pPr>
            <w:r>
              <w:rPr>
                <w:b/>
                <w:color w:val="auto"/>
              </w:rPr>
              <w:drawing>
                <wp:inline distT="0" distB="0" distL="0" distR="0">
                  <wp:extent cx="283210" cy="283210"/>
                  <wp:effectExtent l="0" t="0" r="2540" b="2540"/>
                  <wp:docPr id="958" name="图片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图片 958"/>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0FC59CFC">
            <w:pPr>
              <w:pStyle w:val="150"/>
              <w:adjustRightInd w:val="0"/>
              <w:snapToGrid w:val="0"/>
              <w:rPr>
                <w:color w:val="auto"/>
              </w:rPr>
            </w:pPr>
            <w:r>
              <w:rPr>
                <w:rFonts w:hint="eastAsia"/>
                <w:color w:val="auto"/>
              </w:rPr>
              <w:t>自动采集周期必须配置为30至7200之间的值，默认为60，单位为秒。</w:t>
            </w:r>
          </w:p>
        </w:tc>
      </w:tr>
    </w:tbl>
    <w:p w14:paraId="6EF55E4B"/>
    <w:p w14:paraId="562F5A62">
      <w:r>
        <w:t>将采集到的系统信息下载到本地以后，可以使用写字板或者word进行打开和查看。</w:t>
      </w:r>
      <w:bookmarkStart w:id="11496" w:name="_ref24052879"/>
      <w:bookmarkEnd w:id="11496"/>
      <w:bookmarkStart w:id="11497" w:name="_table67027226"/>
      <w:bookmarkEnd w:id="11497"/>
      <w:bookmarkStart w:id="11498" w:name="_table66374125"/>
      <w:bookmarkEnd w:id="11498"/>
      <w:bookmarkStart w:id="11499" w:name="_ZH-CN_TOPIC_0237988919-chtext"/>
      <w:bookmarkStart w:id="11500" w:name="_Toc38264954"/>
    </w:p>
    <w:p w14:paraId="71AB343F">
      <w:pPr>
        <w:pStyle w:val="6"/>
      </w:pPr>
      <w:r>
        <w:t>异常信息导出</w:t>
      </w:r>
      <w:bookmarkEnd w:id="11499"/>
      <w:bookmarkEnd w:id="11500"/>
    </w:p>
    <w:p w14:paraId="50003C23">
      <w:r>
        <w:t>通过异常信息导出模块，可以收集系统因异常而记录的日志信息，主要用于问题定位。</w:t>
      </w:r>
    </w:p>
    <w:p w14:paraId="340FF03E">
      <w:r>
        <w:t>选择“系统管理 &gt; 系统维护 &gt; 信息收集”，进入异常信息导出页面，如</w:t>
      </w:r>
      <w:r>
        <w:fldChar w:fldCharType="begin"/>
      </w:r>
      <w:r>
        <w:instrText xml:space="preserve">REF _ref24052906 \r \h</w:instrText>
      </w:r>
      <w:r>
        <w:fldChar w:fldCharType="separate"/>
      </w:r>
      <w:r>
        <w:rPr>
          <w:rFonts w:hint="eastAsia"/>
        </w:rPr>
        <w:t>图33-70</w:t>
      </w:r>
      <w:r>
        <w:fldChar w:fldCharType="end"/>
      </w:r>
      <w:r>
        <w:t>所示。单击对应异常信息后的“</w:t>
      </w:r>
      <w:r>
        <w:drawing>
          <wp:inline distT="0" distB="0" distL="0" distR="0">
            <wp:extent cx="104775" cy="114300"/>
            <wp:effectExtent l="0" t="0" r="9525"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noChangeArrowheads="1"/>
                    </pic:cNvPicPr>
                  </pic:nvPicPr>
                  <pic:blipFill>
                    <a:blip r:embed="rId1273">
                      <a:extLst>
                        <a:ext uri="{28A0092B-C50C-407E-A947-70E740481C1C}">
                          <a14:useLocalDpi xmlns:a14="http://schemas.microsoft.com/office/drawing/2010/main" val="0"/>
                        </a:ext>
                      </a:extLst>
                    </a:blip>
                    <a:srcRect/>
                    <a:stretch>
                      <a:fillRect/>
                    </a:stretch>
                  </pic:blipFill>
                  <pic:spPr>
                    <a:xfrm>
                      <a:off x="0" y="0"/>
                      <a:ext cx="104775" cy="114300"/>
                    </a:xfrm>
                    <a:prstGeom prst="rect">
                      <a:avLst/>
                    </a:prstGeom>
                    <a:noFill/>
                    <a:ln>
                      <a:noFill/>
                    </a:ln>
                  </pic:spPr>
                </pic:pic>
              </a:graphicData>
            </a:graphic>
          </wp:inline>
        </w:drawing>
      </w:r>
      <w:r>
        <w:t>”，即可将该异常信息导出。</w:t>
      </w:r>
    </w:p>
    <w:p w14:paraId="62805915">
      <w:pPr>
        <w:pStyle w:val="188"/>
      </w:pPr>
      <w:bookmarkStart w:id="11501" w:name="_ref24052906"/>
      <w:bookmarkEnd w:id="11501"/>
      <w:bookmarkStart w:id="11502" w:name="_Toc141875306"/>
      <w:r>
        <w:t>异常信息导出</w:t>
      </w:r>
      <w:bookmarkEnd w:id="11502"/>
    </w:p>
    <w:p w14:paraId="70E65D4F">
      <w:r>
        <w:drawing>
          <wp:inline distT="0" distB="0" distL="0" distR="0">
            <wp:extent cx="5400040" cy="1056640"/>
            <wp:effectExtent l="0" t="0" r="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1274"/>
                    <a:stretch>
                      <a:fillRect/>
                    </a:stretch>
                  </pic:blipFill>
                  <pic:spPr>
                    <a:xfrm>
                      <a:off x="0" y="0"/>
                      <a:ext cx="5400040" cy="1056640"/>
                    </a:xfrm>
                    <a:prstGeom prst="rect">
                      <a:avLst/>
                    </a:prstGeom>
                  </pic:spPr>
                </pic:pic>
              </a:graphicData>
            </a:graphic>
          </wp:inline>
        </w:drawing>
      </w:r>
    </w:p>
    <w:p w14:paraId="50968201"/>
    <w:p w14:paraId="39064631">
      <w:pPr>
        <w:pStyle w:val="5"/>
      </w:pPr>
      <w:bookmarkStart w:id="11503" w:name="_Toc12469939"/>
      <w:bookmarkStart w:id="11504" w:name="_Toc40276523"/>
      <w:bookmarkStart w:id="11505" w:name="_Toc99562045"/>
      <w:bookmarkStart w:id="11506" w:name="_Toc141873856"/>
      <w:bookmarkStart w:id="11507" w:name="_Toc15485345"/>
      <w:bookmarkStart w:id="11508" w:name="_Toc23153102"/>
      <w:bookmarkStart w:id="11509" w:name="_Toc142401373"/>
      <w:bookmarkStart w:id="11510" w:name="_Toc196728578"/>
      <w:bookmarkStart w:id="11511" w:name="_Toc194081250"/>
      <w:bookmarkStart w:id="11512" w:name="_Toc172218664"/>
      <w:r>
        <w:rPr>
          <w:rFonts w:hint="eastAsia"/>
        </w:rPr>
        <w:t>抓包工具</w:t>
      </w:r>
      <w:bookmarkEnd w:id="11503"/>
      <w:bookmarkEnd w:id="11504"/>
      <w:bookmarkEnd w:id="11505"/>
      <w:bookmarkEnd w:id="11506"/>
      <w:bookmarkEnd w:id="11507"/>
      <w:bookmarkEnd w:id="11508"/>
      <w:bookmarkEnd w:id="11509"/>
      <w:bookmarkEnd w:id="11510"/>
      <w:bookmarkEnd w:id="11511"/>
      <w:bookmarkEnd w:id="11512"/>
    </w:p>
    <w:p w14:paraId="40BF99DF">
      <w:r>
        <w:rPr>
          <w:rFonts w:hint="eastAsia"/>
        </w:rPr>
        <w:t>通过菜单“系统管理</w:t>
      </w:r>
      <w:r>
        <w:t xml:space="preserve"> &gt; </w:t>
      </w:r>
      <w:r>
        <w:rPr>
          <w:rFonts w:hint="eastAsia"/>
        </w:rPr>
        <w:t>系统维护</w:t>
      </w:r>
      <w:r>
        <w:t xml:space="preserve"> &gt; </w:t>
      </w:r>
      <w:r>
        <w:rPr>
          <w:rFonts w:hint="eastAsia"/>
        </w:rPr>
        <w:t>抓包工具”，进入如</w:t>
      </w:r>
      <w:r>
        <w:fldChar w:fldCharType="begin"/>
      </w:r>
      <w:r>
        <w:instrText xml:space="preserve"> REF _Ref415062430 \r \h </w:instrText>
      </w:r>
      <w:r>
        <w:fldChar w:fldCharType="separate"/>
      </w:r>
      <w:r>
        <w:rPr>
          <w:rFonts w:hint="eastAsia"/>
        </w:rPr>
        <w:t>图33-71</w:t>
      </w:r>
      <w:r>
        <w:fldChar w:fldCharType="end"/>
      </w:r>
      <w:r>
        <w:rPr>
          <w:rFonts w:hint="eastAsia"/>
        </w:rPr>
        <w:t>所示页面。各个配置项的含义如</w:t>
      </w:r>
      <w:r>
        <w:fldChar w:fldCharType="begin"/>
      </w:r>
      <w:r>
        <w:instrText xml:space="preserve"> </w:instrText>
      </w:r>
      <w:r>
        <w:rPr>
          <w:rFonts w:hint="eastAsia"/>
        </w:rPr>
        <w:instrText xml:space="preserve">REF _Ref415062788 \r \h</w:instrText>
      </w:r>
      <w:r>
        <w:instrText xml:space="preserve"> </w:instrText>
      </w:r>
      <w:r>
        <w:fldChar w:fldCharType="separate"/>
      </w:r>
      <w:r>
        <w:rPr>
          <w:rFonts w:hint="eastAsia"/>
        </w:rPr>
        <w:t>表33-1</w:t>
      </w:r>
      <w:r>
        <w:fldChar w:fldCharType="end"/>
      </w:r>
      <w:r>
        <w:rPr>
          <w:rFonts w:hint="eastAsia"/>
        </w:rPr>
        <w:t>所示。</w:t>
      </w:r>
    </w:p>
    <w:p w14:paraId="117ED236">
      <w:pPr>
        <w:pStyle w:val="188"/>
      </w:pPr>
      <w:bookmarkStart w:id="11513" w:name="_Ref415062430"/>
      <w:bookmarkStart w:id="11514" w:name="_Toc141875307"/>
      <w:r>
        <w:t>抓包工具页面</w:t>
      </w:r>
      <w:bookmarkEnd w:id="11513"/>
      <w:bookmarkEnd w:id="11514"/>
    </w:p>
    <w:p w14:paraId="49531F0F">
      <w:r>
        <w:drawing>
          <wp:inline distT="0" distB="0" distL="0" distR="0">
            <wp:extent cx="5448300" cy="3124835"/>
            <wp:effectExtent l="0" t="0" r="0" b="0"/>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pic:cNvPicPr>
                      <a:picLocks noChangeAspect="1"/>
                    </pic:cNvPicPr>
                  </pic:nvPicPr>
                  <pic:blipFill>
                    <a:blip r:embed="rId1275"/>
                    <a:stretch>
                      <a:fillRect/>
                    </a:stretch>
                  </pic:blipFill>
                  <pic:spPr>
                    <a:xfrm>
                      <a:off x="0" y="0"/>
                      <a:ext cx="5452253" cy="3127451"/>
                    </a:xfrm>
                    <a:prstGeom prst="rect">
                      <a:avLst/>
                    </a:prstGeom>
                  </pic:spPr>
                </pic:pic>
              </a:graphicData>
            </a:graphic>
          </wp:inline>
        </w:drawing>
      </w:r>
    </w:p>
    <w:p w14:paraId="14DB5A31"/>
    <w:p w14:paraId="3E1FD82D">
      <w:pPr>
        <w:pStyle w:val="183"/>
      </w:pPr>
      <w:bookmarkStart w:id="11515" w:name="_Toc141875786"/>
      <w:bookmarkStart w:id="11516" w:name="_Ref415062442"/>
      <w:r>
        <w:rPr>
          <w:rFonts w:hint="eastAsia"/>
        </w:rPr>
        <w:t>抓包工具各个配置项含义描述表</w:t>
      </w:r>
      <w:bookmarkEnd w:id="11515"/>
      <w:bookmarkEnd w:id="11516"/>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344"/>
        <w:gridCol w:w="6670"/>
      </w:tblGrid>
      <w:tr w14:paraId="4E34DEC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tcBorders>
              <w:tl2br w:val="nil"/>
              <w:tr2bl w:val="nil"/>
            </w:tcBorders>
            <w:shd w:val="clear" w:color="auto" w:fill="538135" w:themeFill="accent6" w:themeFillShade="BF"/>
            <w:vAlign w:val="center"/>
          </w:tcPr>
          <w:p w14:paraId="66B51009">
            <w:pPr>
              <w:pStyle w:val="149"/>
              <w:wordWrap/>
              <w:rPr>
                <w:b/>
                <w:bCs/>
                <w:i w:val="0"/>
                <w:iCs w:val="0"/>
              </w:rPr>
            </w:pPr>
            <w:r>
              <w:rPr>
                <w:rFonts w:hint="eastAsia"/>
                <w:b/>
                <w:bCs/>
                <w:i w:val="0"/>
                <w:iCs w:val="0"/>
              </w:rPr>
              <w:t>标题项</w:t>
            </w:r>
          </w:p>
        </w:tc>
        <w:tc>
          <w:tcPr>
            <w:tcW w:w="6684" w:type="dxa"/>
            <w:tcBorders>
              <w:tl2br w:val="nil"/>
              <w:tr2bl w:val="nil"/>
            </w:tcBorders>
            <w:shd w:val="clear" w:color="auto" w:fill="538135" w:themeFill="accent6" w:themeFillShade="BF"/>
            <w:vAlign w:val="center"/>
          </w:tcPr>
          <w:p w14:paraId="4B35135E">
            <w:pPr>
              <w:pStyle w:val="149"/>
              <w:wordWrap/>
              <w:rPr>
                <w:b/>
                <w:bCs/>
                <w:i w:val="0"/>
                <w:iCs w:val="0"/>
              </w:rPr>
            </w:pPr>
            <w:r>
              <w:rPr>
                <w:rFonts w:hint="eastAsia"/>
                <w:b/>
                <w:bCs/>
                <w:i w:val="0"/>
                <w:iCs w:val="0"/>
              </w:rPr>
              <w:t>说明</w:t>
            </w:r>
          </w:p>
        </w:tc>
      </w:tr>
      <w:tr w14:paraId="0AB2ABA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5D536C21">
            <w:pPr>
              <w:pStyle w:val="150"/>
            </w:pPr>
            <w:r>
              <w:t>接口</w:t>
            </w:r>
          </w:p>
        </w:tc>
        <w:tc>
          <w:tcPr>
            <w:tcW w:w="6684" w:type="dxa"/>
            <w:shd w:val="clear" w:color="auto" w:fill="auto"/>
          </w:tcPr>
          <w:p w14:paraId="64682725">
            <w:pPr>
              <w:pStyle w:val="150"/>
            </w:pPr>
            <w:r>
              <w:rPr>
                <w:rFonts w:hint="eastAsia"/>
              </w:rPr>
              <w:t>要抓取报文的接口。</w:t>
            </w:r>
          </w:p>
        </w:tc>
      </w:tr>
      <w:tr w14:paraId="0B88A7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036F1CA1">
            <w:pPr>
              <w:pStyle w:val="150"/>
            </w:pPr>
            <w:r>
              <w:t>协议</w:t>
            </w:r>
          </w:p>
        </w:tc>
        <w:tc>
          <w:tcPr>
            <w:tcW w:w="6684" w:type="dxa"/>
            <w:shd w:val="clear" w:color="auto" w:fill="auto"/>
          </w:tcPr>
          <w:p w14:paraId="58A9F77F">
            <w:pPr>
              <w:pStyle w:val="150"/>
            </w:pPr>
            <w:r>
              <w:rPr>
                <w:rFonts w:hint="eastAsia"/>
              </w:rPr>
              <w:t>抓取报文的协议类型。</w:t>
            </w:r>
          </w:p>
        </w:tc>
      </w:tr>
      <w:tr w14:paraId="1E7B97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147C232A">
            <w:pPr>
              <w:pStyle w:val="150"/>
            </w:pPr>
            <w:r>
              <w:rPr>
                <w:rFonts w:hint="eastAsia"/>
              </w:rPr>
              <w:t>源IP</w:t>
            </w:r>
          </w:p>
        </w:tc>
        <w:tc>
          <w:tcPr>
            <w:tcW w:w="6684" w:type="dxa"/>
            <w:shd w:val="clear" w:color="auto" w:fill="auto"/>
          </w:tcPr>
          <w:p w14:paraId="795DCC82">
            <w:pPr>
              <w:pStyle w:val="150"/>
            </w:pPr>
            <w:r>
              <w:rPr>
                <w:rFonts w:hint="eastAsia"/>
              </w:rPr>
              <w:t>抓取报文的源IP地址，全零或空表示任意地址。</w:t>
            </w:r>
          </w:p>
        </w:tc>
      </w:tr>
      <w:tr w14:paraId="5B00E5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0675C866">
            <w:pPr>
              <w:pStyle w:val="150"/>
            </w:pPr>
            <w:r>
              <w:rPr>
                <w:rFonts w:hint="eastAsia"/>
              </w:rPr>
              <w:t>源端口</w:t>
            </w:r>
          </w:p>
        </w:tc>
        <w:tc>
          <w:tcPr>
            <w:tcW w:w="6684" w:type="dxa"/>
            <w:shd w:val="clear" w:color="auto" w:fill="auto"/>
          </w:tcPr>
          <w:p w14:paraId="6F95A5A7">
            <w:pPr>
              <w:pStyle w:val="150"/>
            </w:pPr>
            <w:r>
              <w:rPr>
                <w:rFonts w:hint="eastAsia"/>
              </w:rPr>
              <w:t>抓取报文的源端口号，零或空表示任意端口号。</w:t>
            </w:r>
          </w:p>
        </w:tc>
      </w:tr>
      <w:tr w14:paraId="556562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4C635817">
            <w:pPr>
              <w:pStyle w:val="150"/>
            </w:pPr>
            <w:r>
              <w:rPr>
                <w:rFonts w:hint="eastAsia"/>
              </w:rPr>
              <w:t>目的IP</w:t>
            </w:r>
          </w:p>
        </w:tc>
        <w:tc>
          <w:tcPr>
            <w:tcW w:w="6684" w:type="dxa"/>
            <w:shd w:val="clear" w:color="auto" w:fill="auto"/>
          </w:tcPr>
          <w:p w14:paraId="1A37452C">
            <w:pPr>
              <w:pStyle w:val="150"/>
            </w:pPr>
            <w:r>
              <w:rPr>
                <w:rFonts w:hint="eastAsia"/>
              </w:rPr>
              <w:t>抓取报文的目的IP地址，全零或空表示任意地址。</w:t>
            </w:r>
          </w:p>
        </w:tc>
      </w:tr>
      <w:tr w14:paraId="694E09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2D7362B6">
            <w:pPr>
              <w:pStyle w:val="150"/>
            </w:pPr>
            <w:r>
              <w:rPr>
                <w:rFonts w:hint="eastAsia"/>
              </w:rPr>
              <w:t>目的端口</w:t>
            </w:r>
          </w:p>
        </w:tc>
        <w:tc>
          <w:tcPr>
            <w:tcW w:w="6684" w:type="dxa"/>
            <w:shd w:val="clear" w:color="auto" w:fill="auto"/>
          </w:tcPr>
          <w:p w14:paraId="3E9EB337">
            <w:pPr>
              <w:pStyle w:val="150"/>
            </w:pPr>
            <w:r>
              <w:rPr>
                <w:rFonts w:hint="eastAsia"/>
              </w:rPr>
              <w:t>抓取报文的目的端口号，零或空表示任意端口号。</w:t>
            </w:r>
          </w:p>
        </w:tc>
      </w:tr>
      <w:tr w14:paraId="794FFB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71C83513">
            <w:pPr>
              <w:pStyle w:val="150"/>
            </w:pPr>
            <w:r>
              <w:rPr>
                <w:rFonts w:hint="eastAsia"/>
              </w:rPr>
              <w:t>抓取新建会话</w:t>
            </w:r>
          </w:p>
        </w:tc>
        <w:tc>
          <w:tcPr>
            <w:tcW w:w="6684" w:type="dxa"/>
            <w:shd w:val="clear" w:color="auto" w:fill="auto"/>
          </w:tcPr>
          <w:p w14:paraId="28A91323">
            <w:pPr>
              <w:pStyle w:val="150"/>
            </w:pPr>
            <w:r>
              <w:rPr>
                <w:rFonts w:hint="eastAsia"/>
              </w:rPr>
              <w:t>抓取新建连接的前N个报文，取值为0~</w:t>
            </w:r>
            <w:r>
              <w:t>1024。</w:t>
            </w:r>
          </w:p>
        </w:tc>
      </w:tr>
      <w:tr w14:paraId="52F39E9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0C7642FC">
            <w:pPr>
              <w:pStyle w:val="150"/>
            </w:pPr>
            <w:r>
              <w:rPr>
                <w:rFonts w:hint="eastAsia"/>
              </w:rPr>
              <w:t>应用</w:t>
            </w:r>
          </w:p>
        </w:tc>
        <w:tc>
          <w:tcPr>
            <w:tcW w:w="6684" w:type="dxa"/>
            <w:shd w:val="clear" w:color="auto" w:fill="auto"/>
          </w:tcPr>
          <w:p w14:paraId="2FF48734">
            <w:pPr>
              <w:pStyle w:val="150"/>
            </w:pPr>
            <w:r>
              <w:rPr>
                <w:rFonts w:hint="eastAsia"/>
              </w:rPr>
              <w:t>根据应用协议抓取报文。</w:t>
            </w:r>
          </w:p>
        </w:tc>
      </w:tr>
    </w:tbl>
    <w:p w14:paraId="67172838"/>
    <w:p w14:paraId="7E6EDCBC">
      <w:r>
        <w:rPr>
          <w:rFonts w:hint="eastAsia"/>
        </w:rPr>
        <w:t>抓取结束后，抓取的报文文件将以</w:t>
      </w:r>
      <w:r>
        <w:t>.pcap</w:t>
      </w:r>
      <w:r>
        <w:rPr>
          <w:rFonts w:hint="eastAsia"/>
        </w:rPr>
        <w:t>格式保存，在如</w:t>
      </w:r>
      <w:r>
        <w:fldChar w:fldCharType="begin"/>
      </w:r>
      <w:r>
        <w:instrText xml:space="preserve"> </w:instrText>
      </w:r>
      <w:r>
        <w:rPr>
          <w:rFonts w:hint="eastAsia"/>
        </w:rPr>
        <w:instrText xml:space="preserve">REF _Ref415062770 \r \h</w:instrText>
      </w:r>
      <w:r>
        <w:instrText xml:space="preserve"> </w:instrText>
      </w:r>
      <w:r>
        <w:fldChar w:fldCharType="separate"/>
      </w:r>
      <w:r>
        <w:rPr>
          <w:rFonts w:hint="eastAsia"/>
        </w:rPr>
        <w:t>图33-72</w:t>
      </w:r>
      <w:r>
        <w:fldChar w:fldCharType="end"/>
      </w:r>
      <w:r>
        <w:rPr>
          <w:rFonts w:hint="eastAsia"/>
        </w:rPr>
        <w:t>所示的页面中显示，并提供导出。各个配置项的含义如</w:t>
      </w:r>
      <w:r>
        <w:fldChar w:fldCharType="begin"/>
      </w:r>
      <w:r>
        <w:instrText xml:space="preserve"> </w:instrText>
      </w:r>
      <w:r>
        <w:rPr>
          <w:rFonts w:hint="eastAsia"/>
        </w:rPr>
        <w:instrText xml:space="preserve">REF _Ref415062788 \r \h</w:instrText>
      </w:r>
      <w:r>
        <w:instrText xml:space="preserve"> </w:instrText>
      </w:r>
      <w:r>
        <w:fldChar w:fldCharType="separate"/>
      </w:r>
      <w:r>
        <w:rPr>
          <w:rFonts w:hint="eastAsia"/>
        </w:rPr>
        <w:t>表33-1</w:t>
      </w:r>
      <w:r>
        <w:fldChar w:fldCharType="end"/>
      </w:r>
      <w:r>
        <w:rPr>
          <w:rFonts w:hint="eastAsia"/>
        </w:rPr>
        <w:t>所示。</w:t>
      </w:r>
    </w:p>
    <w:p w14:paraId="7E1703D1">
      <w:pPr>
        <w:pStyle w:val="188"/>
      </w:pPr>
      <w:bookmarkStart w:id="11517" w:name="_Ref415062770"/>
      <w:bookmarkStart w:id="11518" w:name="_Toc141875308"/>
      <w:r>
        <w:t>文件列表页面</w:t>
      </w:r>
      <w:bookmarkEnd w:id="11517"/>
      <w:bookmarkEnd w:id="11518"/>
    </w:p>
    <w:p w14:paraId="53FA5BF1">
      <w:r>
        <w:drawing>
          <wp:inline distT="0" distB="0" distL="0" distR="0">
            <wp:extent cx="5429250" cy="2219325"/>
            <wp:effectExtent l="0" t="0" r="0" b="9525"/>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pic:cNvPicPr>
                      <a:picLocks noChangeAspect="1"/>
                    </pic:cNvPicPr>
                  </pic:nvPicPr>
                  <pic:blipFill>
                    <a:blip r:embed="rId1276"/>
                    <a:stretch>
                      <a:fillRect/>
                    </a:stretch>
                  </pic:blipFill>
                  <pic:spPr>
                    <a:xfrm>
                      <a:off x="0" y="0"/>
                      <a:ext cx="5438319" cy="2223510"/>
                    </a:xfrm>
                    <a:prstGeom prst="rect">
                      <a:avLst/>
                    </a:prstGeom>
                  </pic:spPr>
                </pic:pic>
              </a:graphicData>
            </a:graphic>
          </wp:inline>
        </w:drawing>
      </w:r>
    </w:p>
    <w:p w14:paraId="46A5FF7F"/>
    <w:p w14:paraId="694787E5">
      <w:pPr>
        <w:pStyle w:val="183"/>
      </w:pPr>
      <w:bookmarkStart w:id="11519" w:name="_Toc141875787"/>
      <w:bookmarkStart w:id="11520" w:name="_Ref415062788"/>
      <w:r>
        <w:t>文件列表各个配置项含义描述表</w:t>
      </w:r>
      <w:bookmarkEnd w:id="11519"/>
      <w:bookmarkEnd w:id="11520"/>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344"/>
        <w:gridCol w:w="6670"/>
      </w:tblGrid>
      <w:tr w14:paraId="17245C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tcBorders>
              <w:tl2br w:val="nil"/>
              <w:tr2bl w:val="nil"/>
            </w:tcBorders>
            <w:shd w:val="clear" w:color="auto" w:fill="538135" w:themeFill="accent6" w:themeFillShade="BF"/>
            <w:vAlign w:val="center"/>
          </w:tcPr>
          <w:p w14:paraId="78355772">
            <w:pPr>
              <w:pStyle w:val="149"/>
              <w:wordWrap/>
              <w:rPr>
                <w:b/>
                <w:bCs/>
                <w:i w:val="0"/>
                <w:iCs w:val="0"/>
              </w:rPr>
            </w:pPr>
            <w:r>
              <w:rPr>
                <w:rFonts w:hint="eastAsia"/>
                <w:b/>
                <w:bCs/>
                <w:i w:val="0"/>
                <w:iCs w:val="0"/>
              </w:rPr>
              <w:t>标题项</w:t>
            </w:r>
          </w:p>
        </w:tc>
        <w:tc>
          <w:tcPr>
            <w:tcW w:w="6684" w:type="dxa"/>
            <w:tcBorders>
              <w:tl2br w:val="nil"/>
              <w:tr2bl w:val="nil"/>
            </w:tcBorders>
            <w:shd w:val="clear" w:color="auto" w:fill="538135" w:themeFill="accent6" w:themeFillShade="BF"/>
            <w:vAlign w:val="center"/>
          </w:tcPr>
          <w:p w14:paraId="3168A8E6">
            <w:pPr>
              <w:pStyle w:val="149"/>
              <w:wordWrap/>
              <w:rPr>
                <w:b/>
                <w:bCs/>
                <w:i w:val="0"/>
                <w:iCs w:val="0"/>
              </w:rPr>
            </w:pPr>
            <w:r>
              <w:rPr>
                <w:rFonts w:hint="eastAsia"/>
                <w:b/>
                <w:bCs/>
                <w:i w:val="0"/>
                <w:iCs w:val="0"/>
              </w:rPr>
              <w:t>说明</w:t>
            </w:r>
          </w:p>
        </w:tc>
      </w:tr>
      <w:tr w14:paraId="1DE56A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68F94430">
            <w:pPr>
              <w:pStyle w:val="150"/>
            </w:pPr>
            <w:r>
              <w:t>文件名称</w:t>
            </w:r>
          </w:p>
        </w:tc>
        <w:tc>
          <w:tcPr>
            <w:tcW w:w="6684" w:type="dxa"/>
            <w:shd w:val="clear" w:color="auto" w:fill="auto"/>
          </w:tcPr>
          <w:p w14:paraId="3DB9D9CD">
            <w:pPr>
              <w:pStyle w:val="150"/>
            </w:pPr>
            <w:r>
              <w:rPr>
                <w:rFonts w:hint="eastAsia"/>
              </w:rPr>
              <w:t>抓取报文的文件名称。</w:t>
            </w:r>
          </w:p>
        </w:tc>
      </w:tr>
      <w:tr w14:paraId="1FB8D9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053A93EB">
            <w:pPr>
              <w:pStyle w:val="150"/>
            </w:pPr>
            <w:r>
              <w:t>文件大小</w:t>
            </w:r>
          </w:p>
        </w:tc>
        <w:tc>
          <w:tcPr>
            <w:tcW w:w="6684" w:type="dxa"/>
            <w:shd w:val="clear" w:color="auto" w:fill="auto"/>
          </w:tcPr>
          <w:p w14:paraId="334957C4">
            <w:pPr>
              <w:pStyle w:val="150"/>
            </w:pPr>
            <w:r>
              <w:rPr>
                <w:rFonts w:hint="eastAsia"/>
              </w:rPr>
              <w:t>抓取报文的文件大小。</w:t>
            </w:r>
          </w:p>
        </w:tc>
      </w:tr>
      <w:tr w14:paraId="0A60E60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1174B29E">
            <w:pPr>
              <w:pStyle w:val="150"/>
            </w:pPr>
            <w:r>
              <w:rPr>
                <w:rFonts w:hint="eastAsia"/>
              </w:rPr>
              <w:t>结束时间</w:t>
            </w:r>
          </w:p>
        </w:tc>
        <w:tc>
          <w:tcPr>
            <w:tcW w:w="6684" w:type="dxa"/>
            <w:shd w:val="clear" w:color="auto" w:fill="auto"/>
          </w:tcPr>
          <w:p w14:paraId="44F51CDB">
            <w:pPr>
              <w:pStyle w:val="150"/>
            </w:pPr>
            <w:r>
              <w:rPr>
                <w:rFonts w:hint="eastAsia"/>
              </w:rPr>
              <w:t>抓取报文的结束时间。</w:t>
            </w:r>
          </w:p>
        </w:tc>
      </w:tr>
      <w:tr w14:paraId="068C38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4264BC82">
            <w:pPr>
              <w:pStyle w:val="150"/>
            </w:pPr>
            <w:r>
              <w:rPr>
                <w:rFonts w:hint="eastAsia"/>
              </w:rPr>
              <w:t>操作</w:t>
            </w:r>
          </w:p>
        </w:tc>
        <w:tc>
          <w:tcPr>
            <w:tcW w:w="6684" w:type="dxa"/>
            <w:shd w:val="clear" w:color="auto" w:fill="auto"/>
          </w:tcPr>
          <w:p w14:paraId="2DA0A2A4">
            <w:pPr>
              <w:pStyle w:val="150"/>
            </w:pPr>
            <w:r>
              <w:rPr>
                <w:rFonts w:hint="eastAsia"/>
              </w:rPr>
              <w:t>可删除或导出对应文件。</w:t>
            </w:r>
          </w:p>
        </w:tc>
      </w:tr>
    </w:tbl>
    <w:p w14:paraId="4C523FED"/>
    <w:p w14:paraId="0A6B3D32">
      <w:pPr>
        <w:pStyle w:val="4"/>
      </w:pPr>
      <w:bookmarkStart w:id="11521" w:name="_Toc141873857"/>
      <w:bookmarkStart w:id="11522" w:name="_Toc196728579"/>
      <w:bookmarkStart w:id="11523" w:name="_Toc194081251"/>
      <w:bookmarkStart w:id="11524" w:name="_Toc142401374"/>
      <w:bookmarkStart w:id="11525" w:name="_Toc28090865"/>
      <w:bookmarkStart w:id="11526" w:name="_Toc172218665"/>
      <w:bookmarkStart w:id="11527" w:name="_Toc99562046"/>
      <w:r>
        <w:rPr>
          <w:rFonts w:hint="eastAsia"/>
        </w:rPr>
        <w:t>服务器管理</w:t>
      </w:r>
      <w:bookmarkEnd w:id="11521"/>
      <w:bookmarkEnd w:id="11522"/>
      <w:bookmarkEnd w:id="11523"/>
      <w:bookmarkEnd w:id="11524"/>
      <w:bookmarkEnd w:id="11525"/>
      <w:bookmarkEnd w:id="11526"/>
      <w:bookmarkEnd w:id="11527"/>
    </w:p>
    <w:p w14:paraId="4F174F53">
      <w:pPr>
        <w:pStyle w:val="5"/>
      </w:pPr>
      <w:bookmarkStart w:id="11528" w:name="_Toc28090866"/>
      <w:bookmarkStart w:id="11529" w:name="_Toc141873858"/>
      <w:bookmarkStart w:id="11530" w:name="_Toc142401375"/>
      <w:bookmarkStart w:id="11531" w:name="_Toc99562047"/>
      <w:bookmarkStart w:id="11532" w:name="_Toc172218666"/>
      <w:bookmarkStart w:id="11533" w:name="_Toc194081252"/>
      <w:bookmarkStart w:id="11534" w:name="_Toc196728580"/>
      <w:r>
        <w:rPr>
          <w:rFonts w:hint="eastAsia"/>
        </w:rPr>
        <w:t>服务器管理概述</w:t>
      </w:r>
      <w:bookmarkEnd w:id="11528"/>
      <w:bookmarkEnd w:id="11529"/>
      <w:bookmarkEnd w:id="11530"/>
      <w:bookmarkEnd w:id="11531"/>
      <w:bookmarkEnd w:id="11532"/>
      <w:bookmarkEnd w:id="11533"/>
      <w:bookmarkEnd w:id="11534"/>
    </w:p>
    <w:p w14:paraId="4C4B0AC7">
      <w:r>
        <w:rPr>
          <w:rFonts w:hint="eastAsia"/>
        </w:rPr>
        <w:t>系统告警支持邮件外发功能，报表管理支持邮件外发和FTP外发，可通过服务器管理页面配置邮件服务器和FTP服务器来实现邮件外发及FTP外发。</w:t>
      </w:r>
    </w:p>
    <w:p w14:paraId="75E95625">
      <w:pPr>
        <w:pStyle w:val="5"/>
      </w:pPr>
      <w:bookmarkStart w:id="11535" w:name="_Toc99562048"/>
      <w:bookmarkStart w:id="11536" w:name="_Toc194081253"/>
      <w:bookmarkStart w:id="11537" w:name="_Toc172218667"/>
      <w:bookmarkStart w:id="11538" w:name="_Toc142401376"/>
      <w:bookmarkStart w:id="11539" w:name="_Toc28090867"/>
      <w:bookmarkStart w:id="11540" w:name="_Toc141873859"/>
      <w:bookmarkStart w:id="11541" w:name="_Toc196728581"/>
      <w:r>
        <w:t>配置</w:t>
      </w:r>
      <w:r>
        <w:rPr>
          <w:rFonts w:hint="eastAsia"/>
        </w:rPr>
        <w:t>FTP服务器</w:t>
      </w:r>
      <w:bookmarkEnd w:id="11535"/>
      <w:bookmarkEnd w:id="11536"/>
      <w:bookmarkEnd w:id="11537"/>
      <w:bookmarkEnd w:id="11538"/>
      <w:bookmarkEnd w:id="11539"/>
      <w:bookmarkEnd w:id="11540"/>
      <w:bookmarkEnd w:id="11541"/>
    </w:p>
    <w:p w14:paraId="139AD230">
      <w:r>
        <w:rPr>
          <w:rFonts w:hint="eastAsia"/>
        </w:rPr>
        <w:t>通过菜单“系统管理&gt;系统设定&gt;服务器管理&gt;FTP服务器”，进入FTP服务器配置页面。</w:t>
      </w:r>
    </w:p>
    <w:p w14:paraId="357E41F2">
      <w:pPr>
        <w:pStyle w:val="188"/>
      </w:pPr>
      <w:bookmarkStart w:id="11542" w:name="_Ref28090688"/>
      <w:bookmarkStart w:id="11543" w:name="_Toc141875309"/>
      <w:r>
        <w:rPr>
          <w:rFonts w:hint="eastAsia"/>
        </w:rPr>
        <w:t>F</w:t>
      </w:r>
      <w:r>
        <w:t>TP</w:t>
      </w:r>
      <w:r>
        <w:rPr>
          <w:rFonts w:hint="eastAsia"/>
        </w:rPr>
        <w:t>服务器配置页面</w:t>
      </w:r>
      <w:bookmarkEnd w:id="11542"/>
      <w:bookmarkEnd w:id="11543"/>
    </w:p>
    <w:p w14:paraId="47B4B7D5">
      <w:r>
        <w:drawing>
          <wp:inline distT="0" distB="0" distL="0" distR="0">
            <wp:extent cx="5610225" cy="1885315"/>
            <wp:effectExtent l="0" t="0" r="0" b="635"/>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pic:cNvPicPr>
                      <a:picLocks noChangeAspect="1"/>
                    </pic:cNvPicPr>
                  </pic:nvPicPr>
                  <pic:blipFill>
                    <a:blip r:embed="rId1277"/>
                    <a:stretch>
                      <a:fillRect/>
                    </a:stretch>
                  </pic:blipFill>
                  <pic:spPr>
                    <a:xfrm>
                      <a:off x="0" y="0"/>
                      <a:ext cx="5614135" cy="1887104"/>
                    </a:xfrm>
                    <a:prstGeom prst="rect">
                      <a:avLst/>
                    </a:prstGeom>
                  </pic:spPr>
                </pic:pic>
              </a:graphicData>
            </a:graphic>
          </wp:inline>
        </w:drawing>
      </w:r>
    </w:p>
    <w:p w14:paraId="7AFD34D3"/>
    <w:p w14:paraId="5EE089AC">
      <w:pPr>
        <w:pStyle w:val="183"/>
      </w:pPr>
      <w:bookmarkStart w:id="11544" w:name="_Ref28090689"/>
      <w:bookmarkStart w:id="11545" w:name="_Toc141875788"/>
      <w:r>
        <w:rPr>
          <w:rFonts w:hint="eastAsia"/>
        </w:rPr>
        <w:t>F</w:t>
      </w:r>
      <w:r>
        <w:t>TP</w:t>
      </w:r>
      <w:r>
        <w:rPr>
          <w:rFonts w:hint="eastAsia"/>
        </w:rPr>
        <w:t>服务器配置详细说明</w:t>
      </w:r>
      <w:bookmarkEnd w:id="11544"/>
      <w:bookmarkEnd w:id="11545"/>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7"/>
      </w:tblGrid>
      <w:tr w14:paraId="3DF938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670E719C">
            <w:pPr>
              <w:pStyle w:val="149"/>
              <w:wordWrap/>
              <w:rPr>
                <w:b/>
                <w:bCs/>
                <w:i w:val="0"/>
                <w:iCs w:val="0"/>
              </w:rPr>
            </w:pPr>
            <w:r>
              <w:rPr>
                <w:rFonts w:hint="eastAsia"/>
                <w:b/>
                <w:bCs/>
                <w:i w:val="0"/>
                <w:iCs w:val="0"/>
              </w:rPr>
              <w:t>项目</w:t>
            </w:r>
          </w:p>
        </w:tc>
        <w:tc>
          <w:tcPr>
            <w:tcW w:w="6817" w:type="dxa"/>
            <w:tcBorders>
              <w:tl2br w:val="nil"/>
              <w:tr2bl w:val="nil"/>
            </w:tcBorders>
            <w:shd w:val="clear" w:color="auto" w:fill="538135" w:themeFill="accent6" w:themeFillShade="BF"/>
            <w:vAlign w:val="center"/>
          </w:tcPr>
          <w:p w14:paraId="30295D9E">
            <w:pPr>
              <w:pStyle w:val="149"/>
              <w:wordWrap/>
              <w:rPr>
                <w:b/>
                <w:bCs/>
                <w:i w:val="0"/>
                <w:iCs w:val="0"/>
              </w:rPr>
            </w:pPr>
            <w:r>
              <w:rPr>
                <w:rFonts w:hint="eastAsia"/>
                <w:b/>
                <w:bCs/>
                <w:i w:val="0"/>
                <w:iCs w:val="0"/>
              </w:rPr>
              <w:t>说明</w:t>
            </w:r>
          </w:p>
        </w:tc>
      </w:tr>
      <w:tr w14:paraId="2B0593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1CEA6F7A">
            <w:pPr>
              <w:pStyle w:val="150"/>
            </w:pPr>
            <w:r>
              <w:rPr>
                <w:rFonts w:hint="eastAsia"/>
              </w:rPr>
              <w:t>服务器地址/域名</w:t>
            </w:r>
          </w:p>
        </w:tc>
        <w:tc>
          <w:tcPr>
            <w:tcW w:w="6817" w:type="dxa"/>
            <w:shd w:val="clear" w:color="auto" w:fill="auto"/>
          </w:tcPr>
          <w:p w14:paraId="68C364F9">
            <w:pPr>
              <w:pStyle w:val="150"/>
            </w:pPr>
            <w:r>
              <w:t>发送的FTP服务器的IP地址或域名</w:t>
            </w:r>
          </w:p>
        </w:tc>
      </w:tr>
      <w:tr w14:paraId="45F4BC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FF876AF">
            <w:pPr>
              <w:pStyle w:val="150"/>
            </w:pPr>
            <w:r>
              <w:rPr>
                <w:rFonts w:hint="eastAsia"/>
              </w:rPr>
              <w:t>FTP服务器端口</w:t>
            </w:r>
          </w:p>
        </w:tc>
        <w:tc>
          <w:tcPr>
            <w:tcW w:w="6817" w:type="dxa"/>
            <w:shd w:val="clear" w:color="auto" w:fill="auto"/>
          </w:tcPr>
          <w:p w14:paraId="49EDE19A">
            <w:pPr>
              <w:pStyle w:val="150"/>
            </w:pPr>
            <w:r>
              <w:rPr>
                <w:rFonts w:hint="eastAsia"/>
              </w:rPr>
              <w:t>FTP</w:t>
            </w:r>
            <w:r>
              <w:t>服务器的端口</w:t>
            </w:r>
          </w:p>
        </w:tc>
      </w:tr>
      <w:tr w14:paraId="136689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8EF142B">
            <w:pPr>
              <w:pStyle w:val="150"/>
            </w:pPr>
            <w:r>
              <w:rPr>
                <w:rFonts w:hint="eastAsia"/>
              </w:rPr>
              <w:t>用户名</w:t>
            </w:r>
          </w:p>
        </w:tc>
        <w:tc>
          <w:tcPr>
            <w:tcW w:w="6817" w:type="dxa"/>
            <w:shd w:val="clear" w:color="auto" w:fill="auto"/>
          </w:tcPr>
          <w:p w14:paraId="66E5A7E2">
            <w:pPr>
              <w:pStyle w:val="150"/>
            </w:pPr>
            <w:r>
              <w:rPr>
                <w:rFonts w:hint="eastAsia"/>
              </w:rPr>
              <w:t>登录FTP服务器的用户名</w:t>
            </w:r>
          </w:p>
        </w:tc>
      </w:tr>
      <w:tr w14:paraId="29092A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FB126E0">
            <w:pPr>
              <w:pStyle w:val="150"/>
            </w:pPr>
            <w:r>
              <w:rPr>
                <w:rFonts w:hint="eastAsia"/>
              </w:rPr>
              <w:t>密码</w:t>
            </w:r>
          </w:p>
        </w:tc>
        <w:tc>
          <w:tcPr>
            <w:tcW w:w="6817" w:type="dxa"/>
            <w:shd w:val="clear" w:color="auto" w:fill="auto"/>
          </w:tcPr>
          <w:p w14:paraId="2A2D5B02">
            <w:pPr>
              <w:pStyle w:val="150"/>
            </w:pPr>
            <w:r>
              <w:rPr>
                <w:rFonts w:hint="eastAsia"/>
              </w:rPr>
              <w:t>登录FTP服务器的密码</w:t>
            </w:r>
          </w:p>
        </w:tc>
      </w:tr>
    </w:tbl>
    <w:p w14:paraId="5FA9A0BF"/>
    <w:p w14:paraId="09889D20">
      <w:r>
        <w:t>单击</w:t>
      </w:r>
      <w:r>
        <w:rPr>
          <w:rFonts w:hint="eastAsia"/>
        </w:rPr>
        <w:t>&lt;验证用户和密码&gt;验证FTP服务器的用户名和密码访问是否成功，并显示验证结果，如</w:t>
      </w:r>
      <w:r>
        <w:fldChar w:fldCharType="begin"/>
      </w:r>
      <w:r>
        <w:instrText xml:space="preserve"> </w:instrText>
      </w:r>
      <w:r>
        <w:rPr>
          <w:rFonts w:hint="eastAsia"/>
        </w:rPr>
        <w:instrText xml:space="preserve">REF _Ref28090692 \r \h</w:instrText>
      </w:r>
      <w:r>
        <w:instrText xml:space="preserve"> </w:instrText>
      </w:r>
      <w:r>
        <w:fldChar w:fldCharType="separate"/>
      </w:r>
      <w:r>
        <w:rPr>
          <w:rFonts w:hint="eastAsia"/>
        </w:rPr>
        <w:t>图33-74</w:t>
      </w:r>
      <w:r>
        <w:fldChar w:fldCharType="end"/>
      </w:r>
      <w:r>
        <w:t>所示</w:t>
      </w:r>
      <w:r>
        <w:rPr>
          <w:rFonts w:hint="eastAsia"/>
        </w:rPr>
        <w:t>。</w:t>
      </w:r>
    </w:p>
    <w:p w14:paraId="59009104">
      <w:pPr>
        <w:pStyle w:val="188"/>
      </w:pPr>
      <w:bookmarkStart w:id="11546" w:name="_Ref25936897"/>
      <w:bookmarkStart w:id="11547" w:name="_Ref28090692"/>
      <w:bookmarkStart w:id="11548" w:name="_Toc141875310"/>
      <w:r>
        <w:rPr>
          <w:rFonts w:hint="eastAsia"/>
        </w:rPr>
        <w:t>FTP用户名和密码验证</w:t>
      </w:r>
      <w:bookmarkEnd w:id="11546"/>
      <w:r>
        <w:rPr>
          <w:rFonts w:hint="eastAsia"/>
        </w:rPr>
        <w:t>成功</w:t>
      </w:r>
      <w:bookmarkEnd w:id="11547"/>
      <w:bookmarkEnd w:id="11548"/>
    </w:p>
    <w:p w14:paraId="05C82FBB">
      <w:pPr>
        <w:spacing w:before="78" w:after="78"/>
      </w:pPr>
      <w:r>
        <w:drawing>
          <wp:inline distT="0" distB="0" distL="0" distR="0">
            <wp:extent cx="5657850" cy="1895475"/>
            <wp:effectExtent l="0" t="0" r="0" b="9525"/>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pic:cNvPicPr>
                      <a:picLocks noChangeAspect="1"/>
                    </pic:cNvPicPr>
                  </pic:nvPicPr>
                  <pic:blipFill>
                    <a:blip r:embed="rId1278"/>
                    <a:stretch>
                      <a:fillRect/>
                    </a:stretch>
                  </pic:blipFill>
                  <pic:spPr>
                    <a:xfrm>
                      <a:off x="0" y="0"/>
                      <a:ext cx="5682243" cy="1904103"/>
                    </a:xfrm>
                    <a:prstGeom prst="rect">
                      <a:avLst/>
                    </a:prstGeom>
                  </pic:spPr>
                </pic:pic>
              </a:graphicData>
            </a:graphic>
          </wp:inline>
        </w:drawing>
      </w:r>
    </w:p>
    <w:p w14:paraId="6BDBD446"/>
    <w:p w14:paraId="6B6B7C3C">
      <w:pPr>
        <w:pStyle w:val="5"/>
      </w:pPr>
      <w:bookmarkStart w:id="11549" w:name="_Toc142401377"/>
      <w:bookmarkStart w:id="11550" w:name="_Toc141873860"/>
      <w:bookmarkStart w:id="11551" w:name="_Ref146555645"/>
      <w:bookmarkStart w:id="11552" w:name="_Toc28090868"/>
      <w:bookmarkStart w:id="11553" w:name="_Toc172218668"/>
      <w:bookmarkStart w:id="11554" w:name="_Toc194081254"/>
      <w:bookmarkStart w:id="11555" w:name="_Toc196728582"/>
      <w:bookmarkStart w:id="11556" w:name="_Toc99562049"/>
      <w:r>
        <w:rPr>
          <w:rFonts w:hint="eastAsia"/>
        </w:rPr>
        <w:t>配置邮件服务器</w:t>
      </w:r>
      <w:bookmarkEnd w:id="11549"/>
      <w:bookmarkEnd w:id="11550"/>
      <w:bookmarkEnd w:id="11551"/>
      <w:bookmarkEnd w:id="11552"/>
      <w:bookmarkEnd w:id="11553"/>
      <w:bookmarkEnd w:id="11554"/>
      <w:bookmarkEnd w:id="11555"/>
      <w:bookmarkEnd w:id="11556"/>
    </w:p>
    <w:p w14:paraId="1589FEEA">
      <w:r>
        <w:rPr>
          <w:rFonts w:hint="eastAsia"/>
        </w:rPr>
        <w:t>通过菜单“系统管理&gt;系统设定&gt;服务器管理&gt;邮件服务器”，进入邮件服务器配置页面。</w:t>
      </w:r>
    </w:p>
    <w:p w14:paraId="6A0506E2">
      <w:pPr>
        <w:pStyle w:val="188"/>
      </w:pPr>
      <w:bookmarkStart w:id="11557" w:name="_Ref25936095"/>
      <w:bookmarkStart w:id="11558" w:name="_Toc141875311"/>
      <w:r>
        <w:rPr>
          <w:rFonts w:hint="eastAsia"/>
        </w:rPr>
        <w:t>邮件服务器配置页面</w:t>
      </w:r>
      <w:bookmarkEnd w:id="11557"/>
      <w:bookmarkEnd w:id="11558"/>
    </w:p>
    <w:p w14:paraId="5DE60EED">
      <w:pPr>
        <w:pStyle w:val="175"/>
      </w:pPr>
      <w:r>
        <w:drawing>
          <wp:inline distT="0" distB="0" distL="0" distR="0">
            <wp:extent cx="5648325" cy="2049780"/>
            <wp:effectExtent l="0" t="0" r="0" b="762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pic:cNvPicPr>
                      <a:picLocks noChangeAspect="1"/>
                    </pic:cNvPicPr>
                  </pic:nvPicPr>
                  <pic:blipFill>
                    <a:blip r:embed="rId1279"/>
                    <a:stretch>
                      <a:fillRect/>
                    </a:stretch>
                  </pic:blipFill>
                  <pic:spPr>
                    <a:xfrm>
                      <a:off x="0" y="0"/>
                      <a:ext cx="5658601" cy="2054097"/>
                    </a:xfrm>
                    <a:prstGeom prst="rect">
                      <a:avLst/>
                    </a:prstGeom>
                  </pic:spPr>
                </pic:pic>
              </a:graphicData>
            </a:graphic>
          </wp:inline>
        </w:drawing>
      </w:r>
    </w:p>
    <w:p w14:paraId="5DD7797B"/>
    <w:p w14:paraId="2E5C464A">
      <w:pPr>
        <w:pStyle w:val="183"/>
      </w:pPr>
      <w:bookmarkStart w:id="11559" w:name="_Ref25936124"/>
      <w:bookmarkStart w:id="11560" w:name="_Toc141875789"/>
      <w:r>
        <w:rPr>
          <w:rFonts w:hint="eastAsia"/>
        </w:rPr>
        <w:t>邮箱服务器配置详细说明</w:t>
      </w:r>
      <w:bookmarkEnd w:id="11559"/>
      <w:bookmarkEnd w:id="11560"/>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376"/>
        <w:gridCol w:w="6639"/>
      </w:tblGrid>
      <w:tr w14:paraId="4D5DC6F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76" w:type="dxa"/>
            <w:tcBorders>
              <w:tl2br w:val="nil"/>
              <w:tr2bl w:val="nil"/>
            </w:tcBorders>
            <w:shd w:val="clear" w:color="auto" w:fill="538135" w:themeFill="accent6" w:themeFillShade="BF"/>
            <w:vAlign w:val="center"/>
          </w:tcPr>
          <w:p w14:paraId="25016039">
            <w:pPr>
              <w:pStyle w:val="149"/>
              <w:wordWrap/>
              <w:rPr>
                <w:b/>
                <w:bCs/>
                <w:i w:val="0"/>
                <w:iCs w:val="0"/>
              </w:rPr>
            </w:pPr>
            <w:r>
              <w:rPr>
                <w:rFonts w:hint="eastAsia"/>
                <w:b/>
                <w:bCs/>
                <w:i w:val="0"/>
                <w:iCs w:val="0"/>
              </w:rPr>
              <w:t>项目</w:t>
            </w:r>
          </w:p>
        </w:tc>
        <w:tc>
          <w:tcPr>
            <w:tcW w:w="6639" w:type="dxa"/>
            <w:tcBorders>
              <w:tl2br w:val="nil"/>
              <w:tr2bl w:val="nil"/>
            </w:tcBorders>
            <w:shd w:val="clear" w:color="auto" w:fill="538135" w:themeFill="accent6" w:themeFillShade="BF"/>
            <w:vAlign w:val="center"/>
          </w:tcPr>
          <w:p w14:paraId="40D52E4B">
            <w:pPr>
              <w:pStyle w:val="149"/>
              <w:wordWrap/>
              <w:rPr>
                <w:b/>
                <w:bCs/>
                <w:i w:val="0"/>
                <w:iCs w:val="0"/>
              </w:rPr>
            </w:pPr>
            <w:r>
              <w:rPr>
                <w:rFonts w:hint="eastAsia"/>
                <w:b/>
                <w:bCs/>
                <w:i w:val="0"/>
                <w:iCs w:val="0"/>
              </w:rPr>
              <w:t>说明</w:t>
            </w:r>
          </w:p>
        </w:tc>
      </w:tr>
      <w:tr w14:paraId="23EBBC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76" w:type="dxa"/>
            <w:shd w:val="clear" w:color="auto" w:fill="auto"/>
          </w:tcPr>
          <w:p w14:paraId="21A5E145">
            <w:pPr>
              <w:pStyle w:val="150"/>
            </w:pPr>
            <w:r>
              <w:t>发件人</w:t>
            </w:r>
            <w:r>
              <w:rPr>
                <w:rFonts w:hint="eastAsia"/>
              </w:rPr>
              <w:t>地址</w:t>
            </w:r>
          </w:p>
        </w:tc>
        <w:tc>
          <w:tcPr>
            <w:tcW w:w="6639" w:type="dxa"/>
            <w:shd w:val="clear" w:color="auto" w:fill="auto"/>
          </w:tcPr>
          <w:p w14:paraId="73BFE61C">
            <w:pPr>
              <w:pStyle w:val="150"/>
            </w:pPr>
            <w:r>
              <w:t>发件人邮箱</w:t>
            </w:r>
            <w:r>
              <w:rPr>
                <w:rFonts w:hint="eastAsia"/>
              </w:rPr>
              <w:t>地址，建议使用 QQ邮箱、新浪邮箱、（移动、联通、电信）手机邮箱。</w:t>
            </w:r>
          </w:p>
        </w:tc>
      </w:tr>
      <w:tr w14:paraId="74F3368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76" w:type="dxa"/>
            <w:shd w:val="clear" w:color="auto" w:fill="auto"/>
          </w:tcPr>
          <w:p w14:paraId="25A79B8E">
            <w:pPr>
              <w:pStyle w:val="150"/>
            </w:pPr>
            <w:r>
              <w:rPr>
                <w:rFonts w:hint="eastAsia"/>
              </w:rPr>
              <w:t>邮箱服务器</w:t>
            </w:r>
          </w:p>
        </w:tc>
        <w:tc>
          <w:tcPr>
            <w:tcW w:w="6639" w:type="dxa"/>
            <w:shd w:val="clear" w:color="auto" w:fill="auto"/>
          </w:tcPr>
          <w:p w14:paraId="2A074BC9">
            <w:pPr>
              <w:pStyle w:val="150"/>
            </w:pPr>
            <w:r>
              <w:rPr>
                <w:rFonts w:hint="eastAsia"/>
              </w:rPr>
              <w:t>发送地址的邮箱服务器，推荐使用支持SSL加密的邮件服务器。</w:t>
            </w:r>
          </w:p>
        </w:tc>
      </w:tr>
      <w:tr w14:paraId="41878F3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76" w:type="dxa"/>
            <w:shd w:val="clear" w:color="auto" w:fill="auto"/>
          </w:tcPr>
          <w:p w14:paraId="317F06EC">
            <w:pPr>
              <w:pStyle w:val="150"/>
            </w:pPr>
            <w:r>
              <w:rPr>
                <w:rFonts w:hint="eastAsia"/>
              </w:rPr>
              <w:t>加密方式</w:t>
            </w:r>
          </w:p>
        </w:tc>
        <w:tc>
          <w:tcPr>
            <w:tcW w:w="6639" w:type="dxa"/>
            <w:shd w:val="clear" w:color="auto" w:fill="auto"/>
          </w:tcPr>
          <w:p w14:paraId="71396293">
            <w:pPr>
              <w:pStyle w:val="150"/>
            </w:pPr>
            <w:r>
              <w:rPr>
                <w:rFonts w:hint="eastAsia"/>
              </w:rPr>
              <w:t>选择非加密方式存在安全风险，建议选择SSL或STARTTLS加密方式，防止用户名和密码在传输中泄露。</w:t>
            </w:r>
          </w:p>
        </w:tc>
      </w:tr>
      <w:tr w14:paraId="3F598D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76" w:type="dxa"/>
            <w:shd w:val="clear" w:color="auto" w:fill="auto"/>
          </w:tcPr>
          <w:p w14:paraId="088F48D2">
            <w:pPr>
              <w:pStyle w:val="150"/>
            </w:pPr>
            <w:r>
              <w:rPr>
                <w:rFonts w:hint="eastAsia"/>
              </w:rPr>
              <w:t>服务器端口</w:t>
            </w:r>
          </w:p>
        </w:tc>
        <w:tc>
          <w:tcPr>
            <w:tcW w:w="6639" w:type="dxa"/>
            <w:shd w:val="clear" w:color="auto" w:fill="auto"/>
          </w:tcPr>
          <w:p w14:paraId="7BE94719">
            <w:pPr>
              <w:pStyle w:val="150"/>
            </w:pPr>
            <w:r>
              <w:t>服务器端口</w:t>
            </w:r>
            <w:r>
              <w:rPr>
                <w:rFonts w:hint="eastAsia"/>
              </w:rPr>
              <w:t>，</w:t>
            </w:r>
            <w:r>
              <w:t>SSL加密方式默认端口为</w:t>
            </w:r>
            <w:r>
              <w:rPr>
                <w:rFonts w:hint="eastAsia"/>
              </w:rPr>
              <w:t>4</w:t>
            </w:r>
            <w:r>
              <w:t>65</w:t>
            </w:r>
            <w:r>
              <w:rPr>
                <w:rFonts w:hint="eastAsia"/>
              </w:rPr>
              <w:t>；STARTTLS加密方式或非加密方式</w:t>
            </w:r>
            <w:r>
              <w:t>默认端口为25</w:t>
            </w:r>
            <w:r>
              <w:rPr>
                <w:rFonts w:hint="eastAsia"/>
              </w:rPr>
              <w:t>。</w:t>
            </w:r>
          </w:p>
        </w:tc>
      </w:tr>
      <w:tr w14:paraId="58E4967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76" w:type="dxa"/>
            <w:shd w:val="clear" w:color="auto" w:fill="auto"/>
          </w:tcPr>
          <w:p w14:paraId="699F1E51">
            <w:pPr>
              <w:pStyle w:val="150"/>
            </w:pPr>
            <w:r>
              <w:t>SMTP</w:t>
            </w:r>
            <w:r>
              <w:rPr>
                <w:rFonts w:hint="eastAsia"/>
              </w:rPr>
              <w:t>服务器身份验证</w:t>
            </w:r>
          </w:p>
        </w:tc>
        <w:tc>
          <w:tcPr>
            <w:tcW w:w="6639" w:type="dxa"/>
            <w:shd w:val="clear" w:color="auto" w:fill="auto"/>
          </w:tcPr>
          <w:p w14:paraId="185AEC09">
            <w:pPr>
              <w:pStyle w:val="150"/>
            </w:pPr>
            <w:r>
              <w:rPr>
                <w:rFonts w:hint="eastAsia"/>
              </w:rPr>
              <w:t>配置SMTP服务器身份验证的用户名、密码，如果不需要验证可不选。</w:t>
            </w:r>
          </w:p>
          <w:p w14:paraId="731DCA3E">
            <w:pPr>
              <w:pStyle w:val="150"/>
            </w:pPr>
            <w:r>
              <w:rPr>
                <w:rFonts w:hint="eastAsia"/>
              </w:rPr>
              <w:t>如果配置的发件人邮箱已启用第三方客户端授权，需求授权码进行身份认证。此处需要输入授权码。</w:t>
            </w:r>
          </w:p>
        </w:tc>
      </w:tr>
      <w:tr w14:paraId="57E7B2C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76" w:type="dxa"/>
            <w:shd w:val="clear" w:color="auto" w:fill="auto"/>
          </w:tcPr>
          <w:p w14:paraId="546D73CD">
            <w:pPr>
              <w:pStyle w:val="150"/>
            </w:pPr>
            <w:r>
              <w:rPr>
                <w:rFonts w:hint="eastAsia"/>
              </w:rPr>
              <w:t>测试邮箱有效性</w:t>
            </w:r>
          </w:p>
        </w:tc>
        <w:tc>
          <w:tcPr>
            <w:tcW w:w="6639" w:type="dxa"/>
            <w:shd w:val="clear" w:color="auto" w:fill="auto"/>
          </w:tcPr>
          <w:p w14:paraId="06006322">
            <w:pPr>
              <w:pStyle w:val="150"/>
            </w:pPr>
            <w:r>
              <w:rPr>
                <w:rFonts w:hint="eastAsia"/>
              </w:rPr>
              <w:t>检查配置是否正确，正确则会收到测试邮件。</w:t>
            </w:r>
          </w:p>
        </w:tc>
      </w:tr>
    </w:tbl>
    <w:p w14:paraId="6EC2EC5C"/>
    <w:p w14:paraId="46F284BA">
      <w:pPr>
        <w:pStyle w:val="5"/>
      </w:pPr>
      <w:bookmarkStart w:id="11561" w:name="_Ref144285888"/>
      <w:bookmarkStart w:id="11562" w:name="_Toc142401378"/>
      <w:bookmarkStart w:id="11563" w:name="_Toc194081255"/>
      <w:bookmarkStart w:id="11564" w:name="_Toc68617575"/>
      <w:bookmarkStart w:id="11565" w:name="_Toc196728583"/>
      <w:bookmarkStart w:id="11566" w:name="_Toc172218669"/>
      <w:bookmarkStart w:id="11567" w:name="_Ref99553605"/>
      <w:bookmarkStart w:id="11568" w:name="_Ref167438935"/>
      <w:bookmarkStart w:id="11569" w:name="_Toc99562050"/>
      <w:bookmarkStart w:id="11570" w:name="_Toc141873861"/>
      <w:r>
        <w:rPr>
          <w:rFonts w:hint="eastAsia"/>
        </w:rPr>
        <w:t>配置短信服务</w:t>
      </w:r>
      <w:bookmarkEnd w:id="11561"/>
      <w:bookmarkEnd w:id="11562"/>
      <w:bookmarkEnd w:id="11563"/>
      <w:bookmarkEnd w:id="11564"/>
      <w:bookmarkEnd w:id="11565"/>
      <w:bookmarkEnd w:id="11566"/>
      <w:bookmarkEnd w:id="11567"/>
      <w:bookmarkEnd w:id="11568"/>
      <w:bookmarkEnd w:id="11569"/>
      <w:bookmarkEnd w:id="11570"/>
    </w:p>
    <w:p w14:paraId="60DA9E6C">
      <w:pPr>
        <w:pStyle w:val="6"/>
      </w:pPr>
      <w:r>
        <w:t>配置预定义短信厂商</w:t>
      </w:r>
    </w:p>
    <w:p w14:paraId="3DFC80AF">
      <w:r>
        <w:rPr>
          <w:rFonts w:hint="eastAsia"/>
        </w:rPr>
        <w:t>在导航栏中选择“系统管理&gt;系统设定&gt;服务器管理&gt;短信服务”，单击新建进入短信服务设置页面，单击厂商列表选择对接的短信厂商名称，如下图所示。</w:t>
      </w:r>
    </w:p>
    <w:p w14:paraId="1AE17F2F">
      <w:pPr>
        <w:pStyle w:val="188"/>
      </w:pPr>
      <w:bookmarkStart w:id="11571" w:name="_Toc141875312"/>
      <w:r>
        <w:rPr>
          <w:rFonts w:hint="eastAsia"/>
        </w:rPr>
        <w:t>短信服务设置页面</w:t>
      </w:r>
      <w:bookmarkEnd w:id="11571"/>
    </w:p>
    <w:p w14:paraId="57D8FE19">
      <w:r>
        <w:drawing>
          <wp:inline distT="0" distB="0" distL="0" distR="0">
            <wp:extent cx="5534025" cy="3533140"/>
            <wp:effectExtent l="0" t="0" r="0" b="0"/>
            <wp:docPr id="1802027887" name="图片 1802027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87" name="图片 1802027887"/>
                    <pic:cNvPicPr>
                      <a:picLocks noChangeAspect="1"/>
                    </pic:cNvPicPr>
                  </pic:nvPicPr>
                  <pic:blipFill>
                    <a:blip r:embed="rId1280"/>
                    <a:stretch>
                      <a:fillRect/>
                    </a:stretch>
                  </pic:blipFill>
                  <pic:spPr>
                    <a:xfrm>
                      <a:off x="0" y="0"/>
                      <a:ext cx="5546115" cy="3541482"/>
                    </a:xfrm>
                    <a:prstGeom prst="rect">
                      <a:avLst/>
                    </a:prstGeom>
                  </pic:spPr>
                </pic:pic>
              </a:graphicData>
            </a:graphic>
          </wp:inline>
        </w:drawing>
      </w:r>
    </w:p>
    <w:p w14:paraId="3A98DE9F"/>
    <w:p w14:paraId="15A155ED">
      <w:r>
        <w:rPr>
          <w:rFonts w:hint="eastAsia"/>
        </w:rPr>
        <w:t>页面的详细说明如下表所示。</w:t>
      </w:r>
    </w:p>
    <w:p w14:paraId="696A289B">
      <w:pPr>
        <w:pStyle w:val="183"/>
      </w:pPr>
      <w:bookmarkStart w:id="11572" w:name="_Toc141875790"/>
      <w:r>
        <w:rPr>
          <w:rFonts w:hint="eastAsia"/>
        </w:rPr>
        <w:t>短信服务配置说明</w:t>
      </w:r>
      <w:bookmarkEnd w:id="11572"/>
    </w:p>
    <w:tbl>
      <w:tblPr>
        <w:tblStyle w:val="173"/>
        <w:tblW w:w="901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7"/>
      </w:tblGrid>
      <w:tr w14:paraId="2F6699D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28A4B566">
            <w:pPr>
              <w:pStyle w:val="149"/>
              <w:wordWrap/>
              <w:rPr>
                <w:b/>
                <w:bCs/>
                <w:i w:val="0"/>
                <w:iCs w:val="0"/>
              </w:rPr>
            </w:pPr>
            <w:r>
              <w:rPr>
                <w:rFonts w:hint="eastAsia"/>
                <w:b/>
                <w:bCs/>
                <w:i w:val="0"/>
                <w:iCs w:val="0"/>
              </w:rPr>
              <w:t>项目</w:t>
            </w:r>
          </w:p>
        </w:tc>
        <w:tc>
          <w:tcPr>
            <w:tcW w:w="6817" w:type="dxa"/>
            <w:tcBorders>
              <w:tl2br w:val="nil"/>
              <w:tr2bl w:val="nil"/>
            </w:tcBorders>
            <w:shd w:val="clear" w:color="auto" w:fill="538135" w:themeFill="accent6" w:themeFillShade="BF"/>
            <w:vAlign w:val="center"/>
          </w:tcPr>
          <w:p w14:paraId="51CFE3E5">
            <w:pPr>
              <w:pStyle w:val="149"/>
              <w:wordWrap/>
              <w:rPr>
                <w:b/>
                <w:bCs/>
                <w:i w:val="0"/>
                <w:iCs w:val="0"/>
              </w:rPr>
            </w:pPr>
            <w:r>
              <w:rPr>
                <w:rFonts w:hint="eastAsia"/>
                <w:b/>
                <w:bCs/>
                <w:i w:val="0"/>
                <w:iCs w:val="0"/>
              </w:rPr>
              <w:t>说明</w:t>
            </w:r>
          </w:p>
        </w:tc>
      </w:tr>
      <w:tr w14:paraId="76DE7F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E298CAE">
            <w:pPr>
              <w:pStyle w:val="150"/>
            </w:pPr>
            <w:r>
              <w:rPr>
                <w:rFonts w:hint="eastAsia"/>
              </w:rPr>
              <w:t>名称</w:t>
            </w:r>
          </w:p>
        </w:tc>
        <w:tc>
          <w:tcPr>
            <w:tcW w:w="6817" w:type="dxa"/>
            <w:shd w:val="clear" w:color="auto" w:fill="auto"/>
          </w:tcPr>
          <w:p w14:paraId="6B069712">
            <w:pPr>
              <w:pStyle w:val="150"/>
            </w:pPr>
            <w:r>
              <w:rPr>
                <w:rFonts w:hint="eastAsia"/>
              </w:rPr>
              <w:t>短信服务对象的名称</w:t>
            </w:r>
          </w:p>
        </w:tc>
      </w:tr>
      <w:tr w14:paraId="451AD3F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0D41C15">
            <w:pPr>
              <w:pStyle w:val="150"/>
            </w:pPr>
            <w:r>
              <w:rPr>
                <w:rFonts w:hint="eastAsia"/>
              </w:rPr>
              <w:t>描述</w:t>
            </w:r>
          </w:p>
        </w:tc>
        <w:tc>
          <w:tcPr>
            <w:tcW w:w="6817" w:type="dxa"/>
            <w:shd w:val="clear" w:color="auto" w:fill="auto"/>
          </w:tcPr>
          <w:p w14:paraId="7446398D">
            <w:pPr>
              <w:pStyle w:val="150"/>
            </w:pPr>
            <w:r>
              <w:rPr>
                <w:rFonts w:hint="eastAsia"/>
              </w:rPr>
              <w:t>可输入该短信服务对象的作用等信息</w:t>
            </w:r>
          </w:p>
        </w:tc>
      </w:tr>
      <w:tr w14:paraId="6EC610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314209B0">
            <w:pPr>
              <w:pStyle w:val="150"/>
            </w:pPr>
            <w:r>
              <w:rPr>
                <w:rFonts w:hint="eastAsia"/>
              </w:rPr>
              <w:t>厂商</w:t>
            </w:r>
          </w:p>
        </w:tc>
        <w:tc>
          <w:tcPr>
            <w:tcW w:w="6817" w:type="dxa"/>
            <w:shd w:val="clear" w:color="auto" w:fill="auto"/>
          </w:tcPr>
          <w:p w14:paraId="4D7A7ACE">
            <w:pPr>
              <w:pStyle w:val="150"/>
            </w:pPr>
            <w:r>
              <w:rPr>
                <w:rFonts w:hint="eastAsia"/>
              </w:rPr>
              <w:t>通过下拉框方式选择系统内置的不同短信厂商（不同厂商需要填写信息各不相同，实际情况请根据所选厂商进行填写，此处以“亿美软通”为例说明）。</w:t>
            </w:r>
          </w:p>
        </w:tc>
      </w:tr>
      <w:tr w14:paraId="2F6B499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3F8015EA">
            <w:pPr>
              <w:pStyle w:val="150"/>
            </w:pPr>
            <w:r>
              <w:rPr>
                <w:rFonts w:hint="eastAsia"/>
              </w:rPr>
              <w:t>短信内容前缀</w:t>
            </w:r>
          </w:p>
        </w:tc>
        <w:tc>
          <w:tcPr>
            <w:tcW w:w="6817" w:type="dxa"/>
            <w:shd w:val="clear" w:color="auto" w:fill="auto"/>
          </w:tcPr>
          <w:p w14:paraId="2FD592BE">
            <w:pPr>
              <w:pStyle w:val="150"/>
            </w:pPr>
            <w:r>
              <w:rPr>
                <w:rFonts w:hint="eastAsia"/>
              </w:rPr>
              <w:t>短信内容前面部分的描述信息</w:t>
            </w:r>
          </w:p>
        </w:tc>
      </w:tr>
      <w:tr w14:paraId="3A5D2FC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1F39D32">
            <w:pPr>
              <w:pStyle w:val="150"/>
            </w:pPr>
            <w:r>
              <w:rPr>
                <w:rFonts w:hint="eastAsia"/>
              </w:rPr>
              <w:t>网关地址</w:t>
            </w:r>
          </w:p>
        </w:tc>
        <w:tc>
          <w:tcPr>
            <w:tcW w:w="6817" w:type="dxa"/>
            <w:shd w:val="clear" w:color="auto" w:fill="auto"/>
          </w:tcPr>
          <w:p w14:paraId="39E2517E">
            <w:pPr>
              <w:pStyle w:val="150"/>
            </w:pPr>
            <w:r>
              <w:rPr>
                <w:rFonts w:hint="eastAsia"/>
              </w:rPr>
              <w:t>短信厂商提供的通信地址</w:t>
            </w:r>
          </w:p>
        </w:tc>
      </w:tr>
      <w:tr w14:paraId="53BEC2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23FFD44B">
            <w:pPr>
              <w:pStyle w:val="150"/>
            </w:pPr>
            <w:r>
              <w:rPr>
                <w:rFonts w:hint="eastAsia"/>
              </w:rPr>
              <w:t>序列号</w:t>
            </w:r>
          </w:p>
        </w:tc>
        <w:tc>
          <w:tcPr>
            <w:tcW w:w="6817" w:type="dxa"/>
            <w:shd w:val="clear" w:color="auto" w:fill="auto"/>
          </w:tcPr>
          <w:p w14:paraId="28800EA6">
            <w:pPr>
              <w:pStyle w:val="150"/>
            </w:pPr>
            <w:r>
              <w:rPr>
                <w:rFonts w:hint="eastAsia"/>
              </w:rPr>
              <w:t>短信厂商提供的产品序列号</w:t>
            </w:r>
          </w:p>
        </w:tc>
      </w:tr>
      <w:tr w14:paraId="6D449E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82A654C">
            <w:pPr>
              <w:pStyle w:val="150"/>
            </w:pPr>
            <w:r>
              <w:rPr>
                <w:rFonts w:hint="eastAsia"/>
              </w:rPr>
              <w:t>密码</w:t>
            </w:r>
          </w:p>
        </w:tc>
        <w:tc>
          <w:tcPr>
            <w:tcW w:w="6817" w:type="dxa"/>
            <w:shd w:val="clear" w:color="auto" w:fill="auto"/>
          </w:tcPr>
          <w:p w14:paraId="6D7CF15E">
            <w:pPr>
              <w:pStyle w:val="150"/>
            </w:pPr>
            <w:r>
              <w:rPr>
                <w:rFonts w:hint="eastAsia"/>
              </w:rPr>
              <w:t>短信厂商提供的产品密码</w:t>
            </w:r>
          </w:p>
        </w:tc>
      </w:tr>
      <w:tr w14:paraId="07ED58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7C7DCDF9">
            <w:pPr>
              <w:pStyle w:val="150"/>
            </w:pPr>
            <w:r>
              <w:rPr>
                <w:rFonts w:hint="eastAsia"/>
              </w:rPr>
              <w:t>短信key</w:t>
            </w:r>
          </w:p>
        </w:tc>
        <w:tc>
          <w:tcPr>
            <w:tcW w:w="6817" w:type="dxa"/>
            <w:shd w:val="clear" w:color="auto" w:fill="auto"/>
          </w:tcPr>
          <w:p w14:paraId="0153D3B4">
            <w:pPr>
              <w:pStyle w:val="150"/>
            </w:pPr>
            <w:r>
              <w:rPr>
                <w:rFonts w:hint="eastAsia"/>
              </w:rPr>
              <w:t>短信厂商提供的产品key值</w:t>
            </w:r>
          </w:p>
        </w:tc>
      </w:tr>
      <w:tr w14:paraId="4AB538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3774F4C9">
            <w:pPr>
              <w:pStyle w:val="150"/>
            </w:pPr>
            <w:r>
              <w:rPr>
                <w:rFonts w:hint="eastAsia"/>
              </w:rPr>
              <w:t>扩展号段</w:t>
            </w:r>
          </w:p>
        </w:tc>
        <w:tc>
          <w:tcPr>
            <w:tcW w:w="6817" w:type="dxa"/>
            <w:shd w:val="clear" w:color="auto" w:fill="auto"/>
          </w:tcPr>
          <w:p w14:paraId="1CDFA477">
            <w:pPr>
              <w:pStyle w:val="150"/>
            </w:pPr>
            <w:r>
              <w:rPr>
                <w:rFonts w:hint="eastAsia"/>
              </w:rPr>
              <w:t>短信厂商提供的扩展功能号码</w:t>
            </w:r>
          </w:p>
        </w:tc>
      </w:tr>
      <w:tr w14:paraId="36EB6E5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25458D73">
            <w:pPr>
              <w:pStyle w:val="150"/>
            </w:pPr>
            <w:r>
              <w:rPr>
                <w:rFonts w:hint="eastAsia"/>
              </w:rPr>
              <w:t>短信测试</w:t>
            </w:r>
          </w:p>
        </w:tc>
        <w:tc>
          <w:tcPr>
            <w:tcW w:w="6817" w:type="dxa"/>
            <w:shd w:val="clear" w:color="auto" w:fill="auto"/>
          </w:tcPr>
          <w:p w14:paraId="78502D6C">
            <w:pPr>
              <w:pStyle w:val="150"/>
            </w:pPr>
            <w:r>
              <w:rPr>
                <w:rFonts w:hint="eastAsia"/>
              </w:rPr>
              <w:t>输入测试短信的接收手机号码，点击“测试有效性”，可以测试与短信网关的通信是否正常。</w:t>
            </w:r>
          </w:p>
        </w:tc>
      </w:tr>
    </w:tbl>
    <w:p w14:paraId="00F5AF72"/>
    <w:p w14:paraId="6C584ABB">
      <w:pPr>
        <w:pStyle w:val="6"/>
      </w:pPr>
      <w:r>
        <w:t>配置HTTP短信网关</w:t>
      </w:r>
    </w:p>
    <w:p w14:paraId="1237C91F">
      <w:r>
        <w:rPr>
          <w:rFonts w:hint="eastAsia"/>
        </w:rPr>
        <w:t>如果对接的短信厂商为</w:t>
      </w:r>
      <w:r>
        <w:t>HTTP</w:t>
      </w:r>
      <w:r>
        <w:rPr>
          <w:rFonts w:hint="eastAsia"/>
        </w:rPr>
        <w:t>协议，可通过配置通用</w:t>
      </w:r>
      <w:r>
        <w:t>HTTP</w:t>
      </w:r>
      <w:r>
        <w:rPr>
          <w:rFonts w:hint="eastAsia"/>
        </w:rPr>
        <w:t>短信网关与新的短信厂商进行对接。</w:t>
      </w:r>
    </w:p>
    <w:p w14:paraId="012B598C">
      <w:r>
        <w:rPr>
          <w:rFonts w:hint="eastAsia"/>
        </w:rPr>
        <w:t>在导航栏中选择“系统管理 &gt; 系统设定 &gt; 服务器管理 &gt;</w:t>
      </w:r>
      <w:r>
        <w:t xml:space="preserve"> </w:t>
      </w:r>
      <w:r>
        <w:rPr>
          <w:rFonts w:hint="eastAsia"/>
        </w:rPr>
        <w:t>短信服务”，在厂商的下拉列表中选择“http协议”，进入</w:t>
      </w:r>
      <w:r>
        <w:t>HTTP</w:t>
      </w:r>
      <w:r>
        <w:rPr>
          <w:rFonts w:hint="eastAsia"/>
        </w:rPr>
        <w:t>短信网关配置页面，如下图所示。</w:t>
      </w:r>
    </w:p>
    <w:p w14:paraId="7716F492">
      <w:pPr>
        <w:pStyle w:val="188"/>
      </w:pPr>
      <w:bookmarkStart w:id="11573" w:name="_Toc141875313"/>
      <w:r>
        <w:t>HTTP</w:t>
      </w:r>
      <w:r>
        <w:rPr>
          <w:rFonts w:hint="eastAsia"/>
        </w:rPr>
        <w:t>短信网关配置页面</w:t>
      </w:r>
      <w:bookmarkEnd w:id="11573"/>
    </w:p>
    <w:p w14:paraId="46B18564">
      <w:r>
        <w:drawing>
          <wp:inline distT="0" distB="0" distL="0" distR="0">
            <wp:extent cx="5419725" cy="5041265"/>
            <wp:effectExtent l="0" t="0" r="0" b="6985"/>
            <wp:docPr id="1802027888" name="图片 1802027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888" name="图片 1802027888"/>
                    <pic:cNvPicPr>
                      <a:picLocks noChangeAspect="1"/>
                    </pic:cNvPicPr>
                  </pic:nvPicPr>
                  <pic:blipFill>
                    <a:blip r:embed="rId1281"/>
                    <a:stretch>
                      <a:fillRect/>
                    </a:stretch>
                  </pic:blipFill>
                  <pic:spPr>
                    <a:xfrm>
                      <a:off x="0" y="0"/>
                      <a:ext cx="5422249" cy="5044227"/>
                    </a:xfrm>
                    <a:prstGeom prst="rect">
                      <a:avLst/>
                    </a:prstGeom>
                  </pic:spPr>
                </pic:pic>
              </a:graphicData>
            </a:graphic>
          </wp:inline>
        </w:drawing>
      </w:r>
    </w:p>
    <w:p w14:paraId="2357388D"/>
    <w:p w14:paraId="6421504A">
      <w:r>
        <w:rPr>
          <w:rFonts w:hint="eastAsia"/>
        </w:rPr>
        <w:t>页面的详细说明如</w:t>
      </w:r>
      <w:r>
        <w:t>下表</w:t>
      </w:r>
      <w:r>
        <w:rPr>
          <w:rFonts w:hint="eastAsia"/>
        </w:rPr>
        <w:t>所示。</w:t>
      </w:r>
    </w:p>
    <w:p w14:paraId="6D120344">
      <w:pPr>
        <w:pStyle w:val="183"/>
      </w:pPr>
      <w:bookmarkStart w:id="11574" w:name="_Toc141875791"/>
      <w:r>
        <w:rPr>
          <w:rFonts w:hint="eastAsia"/>
        </w:rPr>
        <w:t>http短信网关配置页面详细说明</w:t>
      </w:r>
      <w:bookmarkEnd w:id="11574"/>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611"/>
        <w:gridCol w:w="7403"/>
      </w:tblGrid>
      <w:tr w14:paraId="3CB56E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11" w:type="dxa"/>
            <w:tcBorders>
              <w:tl2br w:val="nil"/>
              <w:tr2bl w:val="nil"/>
            </w:tcBorders>
            <w:shd w:val="clear" w:color="auto" w:fill="538135" w:themeFill="accent6" w:themeFillShade="BF"/>
            <w:vAlign w:val="center"/>
          </w:tcPr>
          <w:p w14:paraId="6714467B">
            <w:pPr>
              <w:pStyle w:val="149"/>
              <w:wordWrap/>
              <w:rPr>
                <w:b/>
                <w:bCs/>
                <w:i w:val="0"/>
                <w:iCs w:val="0"/>
              </w:rPr>
            </w:pPr>
            <w:r>
              <w:rPr>
                <w:rFonts w:hint="eastAsia"/>
                <w:b/>
                <w:bCs/>
                <w:i w:val="0"/>
                <w:iCs w:val="0"/>
              </w:rPr>
              <w:t>项目</w:t>
            </w:r>
          </w:p>
        </w:tc>
        <w:tc>
          <w:tcPr>
            <w:tcW w:w="7403" w:type="dxa"/>
            <w:tcBorders>
              <w:tl2br w:val="nil"/>
              <w:tr2bl w:val="nil"/>
            </w:tcBorders>
            <w:shd w:val="clear" w:color="auto" w:fill="538135" w:themeFill="accent6" w:themeFillShade="BF"/>
            <w:vAlign w:val="center"/>
          </w:tcPr>
          <w:p w14:paraId="0FE0C36A">
            <w:pPr>
              <w:pStyle w:val="149"/>
              <w:wordWrap/>
              <w:rPr>
                <w:b/>
                <w:bCs/>
                <w:i w:val="0"/>
                <w:iCs w:val="0"/>
              </w:rPr>
            </w:pPr>
            <w:r>
              <w:rPr>
                <w:rFonts w:hint="eastAsia"/>
                <w:b/>
                <w:bCs/>
                <w:i w:val="0"/>
                <w:iCs w:val="0"/>
              </w:rPr>
              <w:t>说明</w:t>
            </w:r>
          </w:p>
        </w:tc>
      </w:tr>
      <w:tr w14:paraId="1809EF9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64" w:hRule="atLeast"/>
        </w:trPr>
        <w:tc>
          <w:tcPr>
            <w:tcW w:w="1611" w:type="dxa"/>
            <w:shd w:val="clear" w:color="auto" w:fill="auto"/>
          </w:tcPr>
          <w:p w14:paraId="174DEF48">
            <w:pPr>
              <w:pStyle w:val="150"/>
            </w:pPr>
            <w:r>
              <w:rPr>
                <w:rFonts w:hint="eastAsia"/>
              </w:rPr>
              <w:t>名称</w:t>
            </w:r>
          </w:p>
        </w:tc>
        <w:tc>
          <w:tcPr>
            <w:tcW w:w="7403" w:type="dxa"/>
            <w:shd w:val="clear" w:color="auto" w:fill="auto"/>
          </w:tcPr>
          <w:p w14:paraId="23E15F18">
            <w:pPr>
              <w:pStyle w:val="150"/>
            </w:pPr>
            <w:r>
              <w:rPr>
                <w:rFonts w:hint="eastAsia"/>
              </w:rPr>
              <w:t>创建的http短信网关名称。</w:t>
            </w:r>
          </w:p>
        </w:tc>
      </w:tr>
      <w:tr w14:paraId="273AAF2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11" w:type="dxa"/>
            <w:shd w:val="clear" w:color="auto" w:fill="auto"/>
          </w:tcPr>
          <w:p w14:paraId="50384AF7">
            <w:pPr>
              <w:pStyle w:val="150"/>
            </w:pPr>
            <w:r>
              <w:rPr>
                <w:rFonts w:hint="eastAsia"/>
              </w:rPr>
              <w:t>描述</w:t>
            </w:r>
          </w:p>
        </w:tc>
        <w:tc>
          <w:tcPr>
            <w:tcW w:w="7403" w:type="dxa"/>
            <w:shd w:val="clear" w:color="auto" w:fill="auto"/>
          </w:tcPr>
          <w:p w14:paraId="1AA0D5E7">
            <w:pPr>
              <w:pStyle w:val="150"/>
            </w:pPr>
            <w:r>
              <w:rPr>
                <w:rFonts w:hint="eastAsia"/>
              </w:rPr>
              <w:t>创建的http短信网关的描述信息。</w:t>
            </w:r>
          </w:p>
        </w:tc>
      </w:tr>
      <w:tr w14:paraId="2D1F26D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11" w:type="dxa"/>
            <w:shd w:val="clear" w:color="auto" w:fill="auto"/>
          </w:tcPr>
          <w:p w14:paraId="115F03ED">
            <w:pPr>
              <w:pStyle w:val="150"/>
            </w:pPr>
            <w:r>
              <w:rPr>
                <w:rFonts w:hint="eastAsia"/>
              </w:rPr>
              <w:t>厂商</w:t>
            </w:r>
          </w:p>
        </w:tc>
        <w:tc>
          <w:tcPr>
            <w:tcW w:w="7403" w:type="dxa"/>
            <w:shd w:val="clear" w:color="auto" w:fill="auto"/>
          </w:tcPr>
          <w:p w14:paraId="052665E1">
            <w:pPr>
              <w:pStyle w:val="150"/>
            </w:pPr>
            <w:r>
              <w:rPr>
                <w:rFonts w:hint="eastAsia"/>
              </w:rPr>
              <w:t>创建的短信网关厂商信息，此处选择http协议。</w:t>
            </w:r>
          </w:p>
        </w:tc>
      </w:tr>
      <w:tr w14:paraId="2F7D3D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11" w:type="dxa"/>
            <w:shd w:val="clear" w:color="auto" w:fill="auto"/>
          </w:tcPr>
          <w:p w14:paraId="1F22694A">
            <w:pPr>
              <w:pStyle w:val="150"/>
            </w:pPr>
            <w:r>
              <w:rPr>
                <w:rFonts w:hint="eastAsia"/>
              </w:rPr>
              <w:t>网关地址</w:t>
            </w:r>
          </w:p>
        </w:tc>
        <w:tc>
          <w:tcPr>
            <w:tcW w:w="7403" w:type="dxa"/>
            <w:shd w:val="clear" w:color="auto" w:fill="auto"/>
          </w:tcPr>
          <w:p w14:paraId="062E0B89">
            <w:pPr>
              <w:pStyle w:val="150"/>
            </w:pPr>
            <w:r>
              <w:t>对接的http短信网关服务器的地址信息。</w:t>
            </w:r>
          </w:p>
        </w:tc>
      </w:tr>
      <w:tr w14:paraId="365171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11" w:type="dxa"/>
            <w:shd w:val="clear" w:color="auto" w:fill="auto"/>
          </w:tcPr>
          <w:p w14:paraId="72ABEEFF">
            <w:pPr>
              <w:pStyle w:val="150"/>
            </w:pPr>
            <w:r>
              <w:t>Content-</w:t>
            </w:r>
            <w:r>
              <w:rPr>
                <w:rFonts w:hint="eastAsia"/>
              </w:rPr>
              <w:t>type</w:t>
            </w:r>
          </w:p>
        </w:tc>
        <w:tc>
          <w:tcPr>
            <w:tcW w:w="7403" w:type="dxa"/>
            <w:shd w:val="clear" w:color="auto" w:fill="auto"/>
          </w:tcPr>
          <w:p w14:paraId="48FC94A3">
            <w:pPr>
              <w:pStyle w:val="150"/>
            </w:pPr>
            <w:r>
              <w:rPr>
                <w:rFonts w:hint="eastAsia"/>
              </w:rPr>
              <w:t>需要短信网关厂商提供相关接口文档，此处按照发送短信接口的文档填写。</w:t>
            </w:r>
          </w:p>
          <w:p w14:paraId="1CDF0F8D">
            <w:pPr>
              <w:pStyle w:val="150"/>
            </w:pPr>
            <w:r>
              <w:rPr>
                <w:rFonts w:hint="eastAsia"/>
              </w:rPr>
              <w:t>Content-Type（内容类型），一般是指网页中存在的 Content-Type，用于定义网络文件的类型和网页的编码，决定浏览器将以什么形式、什么编码读取这个文件。支持三种方式：</w:t>
            </w:r>
          </w:p>
          <w:p w14:paraId="34646200">
            <w:pPr>
              <w:pStyle w:val="150"/>
            </w:pPr>
            <w:r>
              <w:rPr>
                <w:rFonts w:hint="eastAsia"/>
              </w:rPr>
              <w:t>application/json;charset=utf-8： 采用utf-8编码的JSON数据格式。</w:t>
            </w:r>
          </w:p>
          <w:p w14:paraId="0A10624F">
            <w:pPr>
              <w:pStyle w:val="150"/>
            </w:pPr>
            <w:r>
              <w:rPr>
                <w:rFonts w:hint="eastAsia"/>
              </w:rPr>
              <w:t>text/html;charset=utf-8 ： 采用utf-8编码的HTML格式。</w:t>
            </w:r>
          </w:p>
          <w:p w14:paraId="31982F0A">
            <w:pPr>
              <w:pStyle w:val="150"/>
            </w:pPr>
            <w:r>
              <w:rPr>
                <w:rFonts w:hint="eastAsia"/>
              </w:rPr>
              <w:t>application/x-www-form-urlencoded ： &lt;form encType=””&gt;中默认的encType，form表单数据被编码为key/value格式发送到服务器（表单默认的提交数据的格式）。</w:t>
            </w:r>
          </w:p>
        </w:tc>
      </w:tr>
      <w:tr w14:paraId="074B44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11" w:type="dxa"/>
            <w:shd w:val="clear" w:color="auto" w:fill="auto"/>
          </w:tcPr>
          <w:p w14:paraId="6D732759">
            <w:pPr>
              <w:pStyle w:val="150"/>
            </w:pPr>
            <w:r>
              <w:rPr>
                <w:rFonts w:hint="eastAsia"/>
              </w:rPr>
              <w:t>报文主体</w:t>
            </w:r>
          </w:p>
        </w:tc>
        <w:tc>
          <w:tcPr>
            <w:tcW w:w="7403" w:type="dxa"/>
            <w:shd w:val="clear" w:color="auto" w:fill="auto"/>
          </w:tcPr>
          <w:p w14:paraId="75B985E1">
            <w:pPr>
              <w:pStyle w:val="150"/>
            </w:pPr>
            <w:r>
              <w:rPr>
                <w:rFonts w:hint="eastAsia"/>
              </w:rPr>
              <w:t>需要短信网关厂商提供相关接口文档，此处按照发送短信接口的文档格式填写。比如：如上图，填入企业编号、用户编号、用户密码、短信内容、短信类型等信息。</w:t>
            </w:r>
          </w:p>
          <w:p w14:paraId="6951EF03">
            <w:pPr>
              <w:pStyle w:val="150"/>
            </w:pPr>
            <w:r>
              <w:rPr>
                <w:rFonts w:hint="eastAsia"/>
              </w:rPr>
              <w:t>点击“新建”添加参数名称、参数值及参数运算方法。</w:t>
            </w:r>
          </w:p>
        </w:tc>
      </w:tr>
      <w:tr w14:paraId="5A6FCD0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11" w:type="dxa"/>
            <w:shd w:val="clear" w:color="auto" w:fill="auto"/>
          </w:tcPr>
          <w:p w14:paraId="6D7E40CC">
            <w:pPr>
              <w:pStyle w:val="150"/>
            </w:pPr>
            <w:r>
              <w:t>报文</w:t>
            </w:r>
            <w:r>
              <w:rPr>
                <w:rFonts w:hint="eastAsia"/>
              </w:rPr>
              <w:t>内容运算</w:t>
            </w:r>
          </w:p>
        </w:tc>
        <w:tc>
          <w:tcPr>
            <w:tcW w:w="7403" w:type="dxa"/>
            <w:shd w:val="clear" w:color="auto" w:fill="auto"/>
          </w:tcPr>
          <w:p w14:paraId="1F88B40B">
            <w:pPr>
              <w:pStyle w:val="150"/>
            </w:pPr>
            <w:r>
              <w:rPr>
                <w:rFonts w:hint="eastAsia"/>
              </w:rPr>
              <w:t>需要短信网关厂商提供相关接口文档，此处按照发送短信接口的文档填写，如果接口文档中对报文内容有运算要求，勾选相应的运算方式</w:t>
            </w:r>
            <w:r>
              <w:t>。支持</w:t>
            </w:r>
            <w:r>
              <w:rPr>
                <w:rFonts w:hint="eastAsia"/>
              </w:rPr>
              <w:t>：转json、Unicode编码、base64编码三种方式。</w:t>
            </w:r>
          </w:p>
        </w:tc>
      </w:tr>
      <w:tr w14:paraId="6B1EA1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11" w:type="dxa"/>
            <w:shd w:val="clear" w:color="auto" w:fill="auto"/>
          </w:tcPr>
          <w:p w14:paraId="0E1A81BC">
            <w:pPr>
              <w:pStyle w:val="150"/>
            </w:pPr>
            <w:r>
              <w:rPr>
                <w:rFonts w:hint="eastAsia"/>
              </w:rPr>
              <w:t>报文格式</w:t>
            </w:r>
          </w:p>
        </w:tc>
        <w:tc>
          <w:tcPr>
            <w:tcW w:w="7403" w:type="dxa"/>
            <w:shd w:val="clear" w:color="auto" w:fill="auto"/>
          </w:tcPr>
          <w:p w14:paraId="29EFAF23">
            <w:pPr>
              <w:pStyle w:val="150"/>
            </w:pPr>
            <w:r>
              <w:rPr>
                <w:rFonts w:hint="eastAsia"/>
              </w:rPr>
              <w:t>需要短信网关厂商提供相关接口文档，此处按照发送短信接口的文档填写</w:t>
            </w:r>
            <w:r>
              <w:t>。支持</w:t>
            </w:r>
            <w:r>
              <w:rPr>
                <w:rFonts w:hint="eastAsia"/>
              </w:rPr>
              <w:t>：</w:t>
            </w:r>
            <w:r>
              <w:t>json</w:t>
            </w:r>
            <w:r>
              <w:rPr>
                <w:rFonts w:hint="eastAsia"/>
              </w:rPr>
              <w:t>、</w:t>
            </w:r>
            <w:r>
              <w:t>formdata两种方式</w:t>
            </w:r>
            <w:r>
              <w:rPr>
                <w:rFonts w:hint="eastAsia"/>
              </w:rPr>
              <w:t>。</w:t>
            </w:r>
          </w:p>
        </w:tc>
      </w:tr>
      <w:tr w14:paraId="276AD9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11" w:type="dxa"/>
            <w:shd w:val="clear" w:color="auto" w:fill="auto"/>
          </w:tcPr>
          <w:p w14:paraId="1118AA3D">
            <w:pPr>
              <w:pStyle w:val="150"/>
            </w:pPr>
            <w:r>
              <w:rPr>
                <w:rFonts w:hint="eastAsia"/>
              </w:rPr>
              <w:t>响应头</w:t>
            </w:r>
          </w:p>
        </w:tc>
        <w:tc>
          <w:tcPr>
            <w:tcW w:w="7403" w:type="dxa"/>
            <w:shd w:val="clear" w:color="auto" w:fill="auto"/>
          </w:tcPr>
          <w:p w14:paraId="7A4796A3">
            <w:pPr>
              <w:pStyle w:val="150"/>
            </w:pPr>
            <w:r>
              <w:rPr>
                <w:rFonts w:hint="eastAsia"/>
              </w:rPr>
              <w:t>需要短信网关厂商提供相关接口文档，此处按照发送短信接口的文档填写</w:t>
            </w:r>
            <w:r>
              <w:t>。支持</w:t>
            </w:r>
            <w:r>
              <w:rPr>
                <w:rFonts w:hint="eastAsia"/>
              </w:rPr>
              <w:t>：</w:t>
            </w:r>
            <w:r>
              <w:t>json</w:t>
            </w:r>
            <w:r>
              <w:rPr>
                <w:rFonts w:hint="eastAsia"/>
              </w:rPr>
              <w:t>、</w:t>
            </w:r>
            <w:r>
              <w:t>xml</w:t>
            </w:r>
            <w:r>
              <w:rPr>
                <w:rFonts w:hint="eastAsia"/>
              </w:rPr>
              <w:t>、</w:t>
            </w:r>
            <w:r>
              <w:t>text三种方式</w:t>
            </w:r>
            <w:r>
              <w:rPr>
                <w:rFonts w:hint="eastAsia"/>
              </w:rPr>
              <w:t>。</w:t>
            </w:r>
          </w:p>
        </w:tc>
      </w:tr>
      <w:tr w14:paraId="64E47EC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11" w:type="dxa"/>
            <w:shd w:val="clear" w:color="auto" w:fill="auto"/>
          </w:tcPr>
          <w:p w14:paraId="4915F961">
            <w:pPr>
              <w:pStyle w:val="150"/>
            </w:pPr>
            <w:r>
              <w:rPr>
                <w:rFonts w:hint="eastAsia"/>
              </w:rPr>
              <w:t>响应标记</w:t>
            </w:r>
          </w:p>
        </w:tc>
        <w:tc>
          <w:tcPr>
            <w:tcW w:w="7403" w:type="dxa"/>
            <w:shd w:val="clear" w:color="auto" w:fill="auto"/>
          </w:tcPr>
          <w:p w14:paraId="6B0CCB6A">
            <w:pPr>
              <w:pStyle w:val="150"/>
            </w:pPr>
            <w:r>
              <w:rPr>
                <w:rFonts w:hint="eastAsia"/>
              </w:rPr>
              <w:t>需要短信网关厂商提供相关接口文档，此处按照发送短信接口的文档填写。</w:t>
            </w:r>
          </w:p>
        </w:tc>
      </w:tr>
      <w:tr w14:paraId="2B58FF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611" w:type="dxa"/>
            <w:shd w:val="clear" w:color="auto" w:fill="auto"/>
          </w:tcPr>
          <w:p w14:paraId="2CE11122">
            <w:pPr>
              <w:pStyle w:val="150"/>
            </w:pPr>
            <w:r>
              <w:rPr>
                <w:rFonts w:hint="eastAsia"/>
              </w:rPr>
              <w:t>短信测试</w:t>
            </w:r>
          </w:p>
        </w:tc>
        <w:tc>
          <w:tcPr>
            <w:tcW w:w="7403" w:type="dxa"/>
            <w:shd w:val="clear" w:color="auto" w:fill="auto"/>
          </w:tcPr>
          <w:p w14:paraId="515B0198">
            <w:pPr>
              <w:pStyle w:val="150"/>
            </w:pPr>
            <w:r>
              <w:rPr>
                <w:rFonts w:hint="eastAsia"/>
              </w:rPr>
              <w:t>输入测试短信的接收手机号码，点击“测试有效性”，可以测试与短信网关的通信是否正常。</w:t>
            </w:r>
          </w:p>
        </w:tc>
      </w:tr>
    </w:tbl>
    <w:p w14:paraId="1050D48A"/>
    <w:p w14:paraId="07F65F78">
      <w:pPr>
        <w:pStyle w:val="6"/>
      </w:pPr>
      <w:r>
        <w:t>配置</w:t>
      </w:r>
      <w:r>
        <w:rPr>
          <w:rFonts w:hint="eastAsia"/>
        </w:rPr>
        <w:t>soap</w:t>
      </w:r>
      <w:r>
        <w:t>短信网关</w:t>
      </w:r>
    </w:p>
    <w:p w14:paraId="11B92DF4">
      <w:r>
        <w:rPr>
          <w:rFonts w:hint="eastAsia"/>
        </w:rPr>
        <w:t>如果对接的短信厂商为soap协议，可通过配置通用soap短信网关与新的短信厂商进行对接。</w:t>
      </w:r>
    </w:p>
    <w:p w14:paraId="08249554">
      <w:r>
        <w:rPr>
          <w:rFonts w:hint="eastAsia"/>
        </w:rPr>
        <w:t>在导航栏中选择“系统管理 &gt; 系统设定 &gt; 服务器管理 &gt;</w:t>
      </w:r>
      <w:r>
        <w:t xml:space="preserve"> </w:t>
      </w:r>
      <w:r>
        <w:rPr>
          <w:rFonts w:hint="eastAsia"/>
        </w:rPr>
        <w:t>短信服务”，在厂商的下拉列表中选择“soap”，进入soap短信网关配置页面，如</w:t>
      </w:r>
      <w:r>
        <w:t>下图</w:t>
      </w:r>
      <w:r>
        <w:rPr>
          <w:rFonts w:hint="eastAsia"/>
        </w:rPr>
        <w:t>所示。</w:t>
      </w:r>
    </w:p>
    <w:p w14:paraId="7E816704">
      <w:pPr>
        <w:pStyle w:val="188"/>
      </w:pPr>
      <w:bookmarkStart w:id="11575" w:name="_Toc141875314"/>
      <w:r>
        <w:rPr>
          <w:rFonts w:hint="eastAsia"/>
        </w:rPr>
        <w:t>soap短信网关配置页面</w:t>
      </w:r>
      <w:bookmarkEnd w:id="11575"/>
    </w:p>
    <w:p w14:paraId="455A0ACD">
      <w:r>
        <w:drawing>
          <wp:inline distT="0" distB="0" distL="0" distR="0">
            <wp:extent cx="5267325" cy="3833495"/>
            <wp:effectExtent l="0" t="0" r="0" b="0"/>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pic:cNvPicPr>
                      <a:picLocks noChangeAspect="1"/>
                    </pic:cNvPicPr>
                  </pic:nvPicPr>
                  <pic:blipFill>
                    <a:blip r:embed="rId1282"/>
                    <a:stretch>
                      <a:fillRect/>
                    </a:stretch>
                  </pic:blipFill>
                  <pic:spPr>
                    <a:xfrm>
                      <a:off x="0" y="0"/>
                      <a:ext cx="5279671" cy="3842948"/>
                    </a:xfrm>
                    <a:prstGeom prst="rect">
                      <a:avLst/>
                    </a:prstGeom>
                  </pic:spPr>
                </pic:pic>
              </a:graphicData>
            </a:graphic>
          </wp:inline>
        </w:drawing>
      </w:r>
    </w:p>
    <w:p w14:paraId="52DB07AF">
      <w:r>
        <w:rPr>
          <w:rFonts w:hint="eastAsia"/>
        </w:rPr>
        <w:t>页面的详细说明如</w:t>
      </w:r>
      <w:r>
        <w:t>下表</w:t>
      </w:r>
      <w:r>
        <w:rPr>
          <w:rFonts w:hint="eastAsia"/>
        </w:rPr>
        <w:t>所示。</w:t>
      </w:r>
    </w:p>
    <w:p w14:paraId="37C2AD66">
      <w:pPr>
        <w:pStyle w:val="183"/>
      </w:pPr>
      <w:bookmarkStart w:id="11576" w:name="_Toc141875792"/>
      <w:r>
        <w:rPr>
          <w:rFonts w:hint="eastAsia"/>
        </w:rPr>
        <w:t>soap短信网关配置页面详细说明</w:t>
      </w:r>
      <w:bookmarkEnd w:id="11576"/>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15B9CC3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tcBorders>
              <w:tl2br w:val="nil"/>
              <w:tr2bl w:val="nil"/>
            </w:tcBorders>
            <w:shd w:val="clear" w:color="auto" w:fill="538135" w:themeFill="accent6" w:themeFillShade="BF"/>
            <w:vAlign w:val="center"/>
          </w:tcPr>
          <w:p w14:paraId="42830051">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6" w:type="dxa"/>
            <w:tcBorders>
              <w:tl2br w:val="nil"/>
              <w:tr2bl w:val="nil"/>
            </w:tcBorders>
            <w:shd w:val="clear" w:color="auto" w:fill="538135" w:themeFill="accent6" w:themeFillShade="BF"/>
            <w:vAlign w:val="center"/>
          </w:tcPr>
          <w:p w14:paraId="36AFEA3C">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BD2BF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64" w:hRule="atLeast"/>
        </w:trPr>
        <w:tc>
          <w:tcPr>
            <w:tcW w:w="2198" w:type="dxa"/>
            <w:shd w:val="clear" w:color="auto" w:fill="auto"/>
          </w:tcPr>
          <w:p w14:paraId="13DC8B0A">
            <w:pPr>
              <w:pStyle w:val="150"/>
            </w:pPr>
            <w:r>
              <w:rPr>
                <w:rFonts w:hint="eastAsia"/>
              </w:rPr>
              <w:t>名称</w:t>
            </w:r>
          </w:p>
        </w:tc>
        <w:tc>
          <w:tcPr>
            <w:tcW w:w="6816" w:type="dxa"/>
            <w:shd w:val="clear" w:color="auto" w:fill="auto"/>
          </w:tcPr>
          <w:p w14:paraId="0ECEBA6E">
            <w:pPr>
              <w:pStyle w:val="150"/>
            </w:pPr>
            <w:r>
              <w:rPr>
                <w:rFonts w:hint="eastAsia"/>
              </w:rPr>
              <w:t>输入新建soap短信网关的名称</w:t>
            </w:r>
          </w:p>
        </w:tc>
      </w:tr>
      <w:tr w14:paraId="31FA5D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4F08FAB9">
            <w:pPr>
              <w:pStyle w:val="150"/>
            </w:pPr>
            <w:r>
              <w:rPr>
                <w:rFonts w:hint="eastAsia"/>
              </w:rPr>
              <w:t>描述</w:t>
            </w:r>
          </w:p>
        </w:tc>
        <w:tc>
          <w:tcPr>
            <w:tcW w:w="6816" w:type="dxa"/>
            <w:shd w:val="clear" w:color="auto" w:fill="auto"/>
          </w:tcPr>
          <w:p w14:paraId="26875CA8">
            <w:pPr>
              <w:pStyle w:val="150"/>
            </w:pPr>
            <w:r>
              <w:rPr>
                <w:rFonts w:hint="eastAsia"/>
              </w:rPr>
              <w:t>新建的soap短信网关的描述信息。</w:t>
            </w:r>
          </w:p>
        </w:tc>
      </w:tr>
      <w:tr w14:paraId="6FA768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6CE26B8A">
            <w:pPr>
              <w:pStyle w:val="150"/>
            </w:pPr>
            <w:r>
              <w:rPr>
                <w:rFonts w:hint="eastAsia"/>
              </w:rPr>
              <w:t>厂商</w:t>
            </w:r>
          </w:p>
        </w:tc>
        <w:tc>
          <w:tcPr>
            <w:tcW w:w="6816" w:type="dxa"/>
            <w:shd w:val="clear" w:color="auto" w:fill="auto"/>
          </w:tcPr>
          <w:p w14:paraId="45447E20">
            <w:pPr>
              <w:pStyle w:val="150"/>
            </w:pPr>
            <w:r>
              <w:rPr>
                <w:rFonts w:hint="eastAsia"/>
              </w:rPr>
              <w:t>选择短信网关的类型，此处选择soap。</w:t>
            </w:r>
          </w:p>
        </w:tc>
      </w:tr>
      <w:tr w14:paraId="666443B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04540B99">
            <w:pPr>
              <w:pStyle w:val="150"/>
            </w:pPr>
            <w:r>
              <w:rPr>
                <w:rFonts w:hint="eastAsia"/>
              </w:rPr>
              <w:t>网关地址</w:t>
            </w:r>
          </w:p>
        </w:tc>
        <w:tc>
          <w:tcPr>
            <w:tcW w:w="6816" w:type="dxa"/>
            <w:shd w:val="clear" w:color="auto" w:fill="auto"/>
          </w:tcPr>
          <w:p w14:paraId="274D9545">
            <w:pPr>
              <w:pStyle w:val="150"/>
            </w:pPr>
            <w:r>
              <w:t>对接的soap短信网关服务器的地址信息。</w:t>
            </w:r>
          </w:p>
        </w:tc>
      </w:tr>
      <w:tr w14:paraId="7492C37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2F87BB66">
            <w:pPr>
              <w:pStyle w:val="150"/>
            </w:pPr>
            <w:r>
              <w:t>报文内容</w:t>
            </w:r>
          </w:p>
        </w:tc>
        <w:tc>
          <w:tcPr>
            <w:tcW w:w="6816" w:type="dxa"/>
            <w:shd w:val="clear" w:color="auto" w:fill="auto"/>
          </w:tcPr>
          <w:p w14:paraId="052CF6B3">
            <w:pPr>
              <w:pStyle w:val="150"/>
            </w:pPr>
            <w:r>
              <w:t>报文内容有</w:t>
            </w:r>
            <w:r>
              <w:rPr>
                <w:rFonts w:hint="eastAsia"/>
              </w:rPr>
              <w:t>2种方式可以输入：</w:t>
            </w:r>
          </w:p>
          <w:p w14:paraId="2900DECF">
            <w:pPr>
              <w:pStyle w:val="150"/>
            </w:pPr>
            <w:r>
              <w:rPr>
                <w:rFonts w:hint="eastAsia"/>
              </w:rPr>
              <w:t>1、xml文件的方式，把需要交互的内容使用xml的各种保存问题标准的xml文件，上传该文件；</w:t>
            </w:r>
          </w:p>
          <w:p w14:paraId="2170845E">
            <w:pPr>
              <w:pStyle w:val="150"/>
            </w:pPr>
            <w:r>
              <w:rPr>
                <w:rFonts w:hint="eastAsia"/>
              </w:rPr>
              <w:t>2、手动输入方式，把需要和短信网关服务器交互的内容，按照xml文件的格式填入到手动输入框中。</w:t>
            </w:r>
          </w:p>
        </w:tc>
      </w:tr>
      <w:tr w14:paraId="0D505F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3D61AAB6">
            <w:pPr>
              <w:pStyle w:val="150"/>
            </w:pPr>
            <w:r>
              <w:rPr>
                <w:rFonts w:hint="eastAsia"/>
              </w:rPr>
              <w:t>响应标记</w:t>
            </w:r>
          </w:p>
        </w:tc>
        <w:tc>
          <w:tcPr>
            <w:tcW w:w="6816" w:type="dxa"/>
            <w:shd w:val="clear" w:color="auto" w:fill="auto"/>
          </w:tcPr>
          <w:p w14:paraId="66DED2F8">
            <w:pPr>
              <w:pStyle w:val="150"/>
            </w:pPr>
            <w:r>
              <w:rPr>
                <w:rFonts w:hint="eastAsia"/>
              </w:rPr>
              <w:t>响应标记有三个字段信息，分别是：1、</w:t>
            </w:r>
            <w:r>
              <w:t>短信发送成功后的成功状态的标记字段名</w:t>
            </w:r>
            <w:r>
              <w:rPr>
                <w:rFonts w:hint="eastAsia"/>
              </w:rPr>
              <w:t>；2、</w:t>
            </w:r>
            <w:r>
              <w:t>短信发送成功后的成功返回的标记字段值</w:t>
            </w:r>
            <w:r>
              <w:rPr>
                <w:rFonts w:hint="eastAsia"/>
              </w:rPr>
              <w:t>；3、</w:t>
            </w:r>
            <w:r>
              <w:t>短信发送成功后的成功返回消息</w:t>
            </w:r>
            <w:r>
              <w:rPr>
                <w:rFonts w:hint="eastAsia"/>
              </w:rPr>
              <w:t>。</w:t>
            </w:r>
          </w:p>
        </w:tc>
      </w:tr>
      <w:tr w14:paraId="4CAC18E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98" w:type="dxa"/>
            <w:shd w:val="clear" w:color="auto" w:fill="auto"/>
          </w:tcPr>
          <w:p w14:paraId="5F6E1D1A">
            <w:pPr>
              <w:pStyle w:val="150"/>
            </w:pPr>
            <w:r>
              <w:rPr>
                <w:rFonts w:hint="eastAsia"/>
              </w:rPr>
              <w:t>短信测试</w:t>
            </w:r>
          </w:p>
        </w:tc>
        <w:tc>
          <w:tcPr>
            <w:tcW w:w="6816" w:type="dxa"/>
            <w:shd w:val="clear" w:color="auto" w:fill="auto"/>
          </w:tcPr>
          <w:p w14:paraId="1E5F64D6">
            <w:pPr>
              <w:pStyle w:val="150"/>
            </w:pPr>
            <w:r>
              <w:rPr>
                <w:rFonts w:hint="eastAsia"/>
              </w:rPr>
              <w:t>输入测试短信的接收手机号码，点击“测试有效性”，可以测试与短信网关的通信是否正常。</w:t>
            </w:r>
          </w:p>
        </w:tc>
      </w:tr>
    </w:tbl>
    <w:p w14:paraId="47410A48">
      <w:pPr>
        <w:jc w:val="left"/>
      </w:pPr>
      <w:r>
        <w:br w:type="page"/>
      </w:r>
    </w:p>
    <w:p w14:paraId="253438E3">
      <w:pPr>
        <w:pStyle w:val="3"/>
      </w:pPr>
      <w:bookmarkStart w:id="11577" w:name="_Toc141873862"/>
      <w:bookmarkStart w:id="11578" w:name="_Toc172218670"/>
      <w:bookmarkStart w:id="11579" w:name="_Toc99562051"/>
      <w:bookmarkStart w:id="11580" w:name="_Toc142401379"/>
      <w:bookmarkStart w:id="11581" w:name="_Toc194081256"/>
      <w:bookmarkStart w:id="11582" w:name="_Toc196728584"/>
      <w:bookmarkStart w:id="11583" w:name="_Toc6237774"/>
      <w:bookmarkStart w:id="11584" w:name="_Toc15485371"/>
      <w:bookmarkStart w:id="11585" w:name="_Toc23153125"/>
      <w:bookmarkStart w:id="11586" w:name="_Toc40276546"/>
      <w:r>
        <w:t>高可用性</w:t>
      </w:r>
      <w:bookmarkEnd w:id="11577"/>
      <w:bookmarkEnd w:id="11578"/>
      <w:bookmarkEnd w:id="11579"/>
      <w:bookmarkEnd w:id="11580"/>
      <w:bookmarkEnd w:id="11581"/>
      <w:bookmarkEnd w:id="11582"/>
    </w:p>
    <w:p w14:paraId="5F771B67">
      <w:pPr>
        <w:pStyle w:val="4"/>
      </w:pPr>
      <w:bookmarkStart w:id="11587" w:name="_Toc142401380"/>
      <w:bookmarkStart w:id="11588" w:name="_Toc172218671"/>
      <w:bookmarkStart w:id="11589" w:name="_Toc141873863"/>
      <w:bookmarkStart w:id="11590" w:name="_Toc196728585"/>
      <w:bookmarkStart w:id="11591" w:name="_Toc194081257"/>
      <w:bookmarkStart w:id="11592" w:name="_Toc99562052"/>
      <w:r>
        <w:rPr>
          <w:rFonts w:hint="eastAsia"/>
        </w:rPr>
        <w:t>HA</w:t>
      </w:r>
      <w:bookmarkEnd w:id="11583"/>
      <w:bookmarkEnd w:id="11584"/>
      <w:bookmarkEnd w:id="11585"/>
      <w:bookmarkEnd w:id="11586"/>
      <w:bookmarkEnd w:id="11587"/>
      <w:bookmarkEnd w:id="11588"/>
      <w:bookmarkEnd w:id="11589"/>
      <w:bookmarkEnd w:id="11590"/>
      <w:bookmarkEnd w:id="11591"/>
      <w:bookmarkEnd w:id="11592"/>
    </w:p>
    <w:p w14:paraId="77632E6F">
      <w:pPr>
        <w:pStyle w:val="5"/>
      </w:pPr>
      <w:bookmarkStart w:id="11593" w:name="_Toc99562053"/>
      <w:bookmarkStart w:id="11594" w:name="_Toc15485372"/>
      <w:bookmarkStart w:id="11595" w:name="_Toc40276547"/>
      <w:bookmarkStart w:id="11596" w:name="_Toc141873864"/>
      <w:bookmarkStart w:id="11597" w:name="_Toc172218672"/>
      <w:bookmarkStart w:id="11598" w:name="_Toc194081258"/>
      <w:bookmarkStart w:id="11599" w:name="_Toc142401381"/>
      <w:bookmarkStart w:id="11600" w:name="_Toc6237775"/>
      <w:bookmarkStart w:id="11601" w:name="_Toc23153126"/>
      <w:bookmarkStart w:id="11602" w:name="_Toc196728586"/>
      <w:r>
        <w:t>概述</w:t>
      </w:r>
      <w:bookmarkEnd w:id="11593"/>
      <w:bookmarkEnd w:id="11594"/>
      <w:bookmarkEnd w:id="11595"/>
      <w:bookmarkEnd w:id="11596"/>
      <w:bookmarkEnd w:id="11597"/>
      <w:bookmarkEnd w:id="11598"/>
      <w:bookmarkEnd w:id="11599"/>
      <w:bookmarkEnd w:id="11600"/>
      <w:bookmarkEnd w:id="11601"/>
      <w:bookmarkEnd w:id="11602"/>
    </w:p>
    <w:p w14:paraId="32F9475E">
      <w:pPr>
        <w:pStyle w:val="6"/>
      </w:pPr>
      <w:bookmarkStart w:id="11603" w:name="_Toc23153127"/>
      <w:bookmarkStart w:id="11604" w:name="_Toc391917022"/>
      <w:bookmarkStart w:id="11605" w:name="_Toc15485373"/>
      <w:bookmarkStart w:id="11606" w:name="_Toc40276548"/>
      <w:bookmarkStart w:id="11607" w:name="_Toc6237776"/>
      <w:r>
        <w:rPr>
          <w:rFonts w:hint="eastAsia"/>
        </w:rPr>
        <w:t>HA简介</w:t>
      </w:r>
      <w:bookmarkEnd w:id="11603"/>
      <w:bookmarkEnd w:id="11604"/>
      <w:bookmarkEnd w:id="11605"/>
      <w:bookmarkEnd w:id="11606"/>
      <w:bookmarkEnd w:id="11607"/>
    </w:p>
    <w:p w14:paraId="2033C27C">
      <w:r>
        <w:t>HA</w:t>
      </w:r>
      <w:r>
        <w:rPr>
          <w:rFonts w:hint="eastAsia"/>
        </w:rPr>
        <w:t>是</w:t>
      </w:r>
      <w:r>
        <w:t>High Availability</w:t>
      </w:r>
      <w:r>
        <w:rPr>
          <w:rFonts w:hint="eastAsia"/>
        </w:rPr>
        <w:t>的缩写，即高可用性，可防止网络中由于单个网关产品的设备故障或链路故障导致网络中断，保证网络服务的连续性和安全强度。</w:t>
      </w:r>
    </w:p>
    <w:p w14:paraId="7CB8C0A5">
      <w:r>
        <w:rPr>
          <w:rFonts w:hint="eastAsia"/>
        </w:rPr>
        <w:t>随着网络的快速普及和应用的日益深入，各种增值业务（如</w:t>
      </w:r>
      <w:r>
        <w:t xml:space="preserve"> IPTV</w:t>
      </w:r>
      <w:r>
        <w:rPr>
          <w:rFonts w:hint="eastAsia"/>
        </w:rPr>
        <w:t>、视频会议等）得到了广泛部署，网络中断可能影响大量业务、造成重大损失。因此，作为业务承载主体的基础网络，其可靠性日益成为受关注的焦点。</w:t>
      </w:r>
    </w:p>
    <w:p w14:paraId="56C38395">
      <w:r>
        <w:rPr>
          <w:rFonts w:hint="eastAsia"/>
        </w:rPr>
        <w:t>在实际网络中，总避免不了各种非技术因素造成的网络故障和服务中断。因此，提高系统容错能力、提高故障恢复速度、降低故障对业务的影响，是提高系统可靠性的有效途径。</w:t>
      </w:r>
    </w:p>
    <w:p w14:paraId="31A63A9A">
      <w:r>
        <w:rPr>
          <w:rFonts w:hint="eastAsia"/>
        </w:rPr>
        <w:t>本产品通过双机热备来实现</w:t>
      </w:r>
      <w:r>
        <w:t>HA</w:t>
      </w:r>
      <w:r>
        <w:rPr>
          <w:rFonts w:hint="eastAsia"/>
        </w:rPr>
        <w:t>。</w:t>
      </w:r>
      <w:bookmarkStart w:id="11608" w:name="_Toc497293879"/>
      <w:bookmarkEnd w:id="11608"/>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4B1D6A95">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670A679C">
            <w:pPr>
              <w:pStyle w:val="150"/>
              <w:adjustRightInd w:val="0"/>
              <w:snapToGrid w:val="0"/>
              <w:rPr>
                <w:color w:val="auto"/>
              </w:rPr>
            </w:pPr>
            <w:r>
              <w:rPr>
                <w:b/>
                <w:color w:val="auto"/>
              </w:rPr>
              <w:drawing>
                <wp:inline distT="0" distB="0" distL="0" distR="0">
                  <wp:extent cx="283210" cy="283210"/>
                  <wp:effectExtent l="0" t="0" r="2540" b="2540"/>
                  <wp:docPr id="959" name="图片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图片 959"/>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1535C6EF">
            <w:pPr>
              <w:pStyle w:val="150"/>
              <w:adjustRightInd w:val="0"/>
              <w:snapToGrid w:val="0"/>
              <w:rPr>
                <w:color w:val="auto"/>
              </w:rPr>
            </w:pPr>
            <w:r>
              <w:rPr>
                <w:rFonts w:hint="eastAsia"/>
                <w:color w:val="auto"/>
              </w:rPr>
              <w:t>进行HA的两台设备，要求为同一个硬件型号，并且选择同样的接口作为HA接口。这两台设备之间通过HA接口直连，HA接口可以是任何以太网接口，也可以是AGG接口（聚合接口）。</w:t>
            </w:r>
          </w:p>
        </w:tc>
      </w:tr>
    </w:tbl>
    <w:p w14:paraId="31CF4105"/>
    <w:p w14:paraId="5122FAD7">
      <w:pPr>
        <w:pStyle w:val="6"/>
      </w:pPr>
      <w:bookmarkStart w:id="11609" w:name="_Toc6237777"/>
      <w:bookmarkStart w:id="11610" w:name="_Toc15485374"/>
      <w:bookmarkStart w:id="11611" w:name="_Toc40276549"/>
      <w:bookmarkStart w:id="11612" w:name="_Toc23153128"/>
      <w:r>
        <w:rPr>
          <w:rFonts w:hint="eastAsia"/>
        </w:rPr>
        <w:t>HA组网模式</w:t>
      </w:r>
      <w:bookmarkEnd w:id="11609"/>
      <w:bookmarkEnd w:id="11610"/>
      <w:bookmarkEnd w:id="11611"/>
      <w:bookmarkEnd w:id="11612"/>
    </w:p>
    <w:p w14:paraId="45FDDC3A">
      <w:r>
        <w:rPr>
          <w:rFonts w:hint="eastAsia"/>
        </w:rPr>
        <w:t>目前产品支持两台网关设备以主</w:t>
      </w:r>
      <w:r>
        <w:t>-</w:t>
      </w:r>
      <w:r>
        <w:rPr>
          <w:rFonts w:hint="eastAsia"/>
        </w:rPr>
        <w:t>备或主主模式运行。</w:t>
      </w:r>
    </w:p>
    <w:p w14:paraId="36F679E8">
      <w:r>
        <w:rPr>
          <w:rFonts w:hint="eastAsia"/>
        </w:rPr>
        <w:t>主备模式是指实现</w:t>
      </w:r>
      <w:r>
        <w:t>HA</w:t>
      </w:r>
      <w:r>
        <w:rPr>
          <w:rFonts w:hint="eastAsia"/>
        </w:rPr>
        <w:t>的两台设备中，</w:t>
      </w:r>
      <w:r>
        <w:t xml:space="preserve"> </w:t>
      </w:r>
      <w:r>
        <w:rPr>
          <w:rFonts w:hint="eastAsia"/>
        </w:rPr>
        <w:t>一台作为主设备，另外一台作为备设备。主设备在进行业务的同时，将相关的配置和数据信息实时同步到备设备。当主设备出现故障或主设备的链路中断时，备用设备成为主设备，接管原主设备的工作，实现网络业务的无缝切换。如</w:t>
      </w:r>
      <w:r>
        <w:rPr>
          <w:color w:val="0000FF"/>
          <w:u w:val="single"/>
        </w:rPr>
        <w:fldChar w:fldCharType="begin"/>
      </w:r>
      <w:r>
        <w:rPr>
          <w:color w:val="0000FF"/>
          <w:u w:val="single"/>
        </w:rPr>
        <w:instrText xml:space="preserve"> REF _Ref390347614 \r \h </w:instrText>
      </w:r>
      <w:r>
        <w:rPr>
          <w:color w:val="0000FF"/>
          <w:u w:val="single"/>
        </w:rPr>
        <w:fldChar w:fldCharType="separate"/>
      </w:r>
      <w:r>
        <w:rPr>
          <w:rFonts w:hint="eastAsia"/>
          <w:color w:val="0000FF"/>
          <w:u w:val="single"/>
        </w:rPr>
        <w:t>图34-1</w:t>
      </w:r>
      <w:r>
        <w:rPr>
          <w:color w:val="0000FF"/>
          <w:u w:val="single"/>
        </w:rPr>
        <w:fldChar w:fldCharType="end"/>
      </w:r>
      <w:r>
        <w:rPr>
          <w:rFonts w:hint="eastAsia"/>
        </w:rPr>
        <w:t>所示。</w:t>
      </w:r>
    </w:p>
    <w:p w14:paraId="28AF9525">
      <w:pPr>
        <w:pStyle w:val="188"/>
      </w:pPr>
      <w:bookmarkStart w:id="11613" w:name="_Toc141875315"/>
      <w:bookmarkStart w:id="11614" w:name="_Ref390347614"/>
      <w:r>
        <w:rPr>
          <w:rFonts w:hint="eastAsia"/>
        </w:rPr>
        <w:t>主备模式</w:t>
      </w:r>
      <w:bookmarkEnd w:id="11613"/>
      <w:bookmarkEnd w:id="11614"/>
    </w:p>
    <w:p w14:paraId="72F97A70">
      <w:r>
        <w:rPr>
          <w:rFonts w:hint="eastAsia"/>
        </w:rPr>
        <w:drawing>
          <wp:inline distT="0" distB="0" distL="0" distR="0">
            <wp:extent cx="4591050" cy="1876425"/>
            <wp:effectExtent l="0" t="0" r="0" b="9525"/>
            <wp:docPr id="3326" name="图片 3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 name="图片 3326"/>
                    <pic:cNvPicPr>
                      <a:picLocks noChangeAspect="1" noChangeArrowheads="1"/>
                    </pic:cNvPicPr>
                  </pic:nvPicPr>
                  <pic:blipFill>
                    <a:blip r:embed="rId1283" cstate="print">
                      <a:extLst>
                        <a:ext uri="{28A0092B-C50C-407E-A947-70E740481C1C}">
                          <a14:useLocalDpi xmlns:a14="http://schemas.microsoft.com/office/drawing/2010/main" val="0"/>
                        </a:ext>
                      </a:extLst>
                    </a:blip>
                    <a:srcRect/>
                    <a:stretch>
                      <a:fillRect/>
                    </a:stretch>
                  </pic:blipFill>
                  <pic:spPr>
                    <a:xfrm>
                      <a:off x="0" y="0"/>
                      <a:ext cx="4591050" cy="1876425"/>
                    </a:xfrm>
                    <a:prstGeom prst="rect">
                      <a:avLst/>
                    </a:prstGeom>
                    <a:noFill/>
                    <a:ln>
                      <a:noFill/>
                    </a:ln>
                  </pic:spPr>
                </pic:pic>
              </a:graphicData>
            </a:graphic>
          </wp:inline>
        </w:drawing>
      </w:r>
    </w:p>
    <w:p w14:paraId="67DB1E42"/>
    <w:p w14:paraId="5C24C8AE">
      <w:r>
        <w:rPr>
          <w:rFonts w:hint="eastAsia"/>
        </w:rPr>
        <w:t>在主备模式下，主设备响应各类报文请求，并且转发网络流量；备用设备不响应报文请求，也不转发网络流量。主备设备之间通过</w:t>
      </w:r>
      <w:r>
        <w:t>HA</w:t>
      </w:r>
      <w:r>
        <w:rPr>
          <w:rFonts w:hint="eastAsia"/>
        </w:rPr>
        <w:t>心跳线同步状态信息，配置信息以及特征库文件。</w:t>
      </w:r>
    </w:p>
    <w:p w14:paraId="0A339AF9">
      <w:r>
        <w:t>在主主模式下</w:t>
      </w:r>
      <w:r>
        <w:rPr>
          <w:rFonts w:hint="eastAsia"/>
        </w:rPr>
        <w:t>，</w:t>
      </w:r>
      <w:r>
        <w:t>两</w:t>
      </w:r>
      <w:r>
        <w:rPr>
          <w:rFonts w:hint="eastAsia"/>
        </w:rPr>
        <w:t>台设备都配置成主动，使两台设备同时运行各自的工作，且相互监测对方的情况。当其中一台设备发生故障时，另外一台设备运行其自身的工作并且接管故障设备的工作，以保证整体业务不间断。兼具故障备份和负载均衡。如</w:t>
      </w:r>
      <w:r>
        <w:rPr>
          <w:color w:val="0000FF"/>
          <w:u w:val="single"/>
        </w:rPr>
        <w:fldChar w:fldCharType="begin"/>
      </w:r>
      <w:r>
        <w:rPr>
          <w:color w:val="0000FF"/>
          <w:u w:val="single"/>
        </w:rPr>
        <w:instrText xml:space="preserve"> </w:instrText>
      </w:r>
      <w:r>
        <w:rPr>
          <w:rFonts w:hint="eastAsia"/>
          <w:color w:val="0000FF"/>
          <w:u w:val="single"/>
        </w:rPr>
        <w:instrText xml:space="preserve">REF _Ref508722320 \r \h</w:instrText>
      </w:r>
      <w:r>
        <w:rPr>
          <w:color w:val="0000FF"/>
          <w:u w:val="single"/>
        </w:rPr>
        <w:instrText xml:space="preserve"> </w:instrText>
      </w:r>
      <w:r>
        <w:rPr>
          <w:color w:val="0000FF"/>
          <w:u w:val="single"/>
        </w:rPr>
        <w:fldChar w:fldCharType="separate"/>
      </w:r>
      <w:r>
        <w:rPr>
          <w:rFonts w:hint="eastAsia"/>
          <w:color w:val="0000FF"/>
          <w:u w:val="single"/>
        </w:rPr>
        <w:t>图34-2</w:t>
      </w:r>
      <w:r>
        <w:rPr>
          <w:color w:val="0000FF"/>
          <w:u w:val="single"/>
        </w:rPr>
        <w:fldChar w:fldCharType="end"/>
      </w:r>
      <w:r>
        <w:rPr>
          <w:rFonts w:hint="eastAsia"/>
        </w:rPr>
        <w:t>所示。</w:t>
      </w:r>
    </w:p>
    <w:p w14:paraId="78CCFB2D">
      <w:pPr>
        <w:pStyle w:val="188"/>
      </w:pPr>
      <w:bookmarkStart w:id="11615" w:name="_Toc141875316"/>
      <w:bookmarkStart w:id="11616" w:name="_Ref508722320"/>
      <w:r>
        <w:rPr>
          <w:rFonts w:hint="eastAsia"/>
        </w:rPr>
        <w:t>主主模式</w:t>
      </w:r>
      <w:bookmarkEnd w:id="11615"/>
      <w:bookmarkEnd w:id="11616"/>
    </w:p>
    <w:p w14:paraId="6ACCDA71">
      <w:r>
        <w:object>
          <v:shape id="_x0000_i1025" o:spt="75" type="#_x0000_t75" style="height:120.55pt;width:310.35pt;" o:ole="t" filled="f" o:preferrelative="t" stroked="f" coordsize="21600,21600">
            <v:path/>
            <v:fill on="f" focussize="0,0"/>
            <v:stroke on="f" joinstyle="miter"/>
            <v:imagedata r:id="rId1285" o:title=""/>
            <o:lock v:ext="edit" aspectratio="t"/>
            <w10:wrap type="none"/>
            <w10:anchorlock/>
          </v:shape>
          <o:OLEObject Type="Embed" ProgID="Visio.Drawing.15" ShapeID="_x0000_i1025" DrawAspect="Content" ObjectID="_1468075725" r:id="rId1284">
            <o:LockedField>false</o:LockedField>
          </o:OLEObject>
        </w:object>
      </w:r>
    </w:p>
    <w:p w14:paraId="4FE50CDF">
      <w:r>
        <w:rPr>
          <w:rFonts w:hint="eastAsia"/>
        </w:rPr>
        <w:t>主备模式和主主模式均支持路由模式和透明模式。</w:t>
      </w:r>
    </w:p>
    <w:p w14:paraId="212BAF8A">
      <w:r>
        <w:rPr>
          <w:rFonts w:hint="eastAsia"/>
        </w:rPr>
        <w:t>路由模式：设备接口配置IP地址，通过路由转发数据，上下游设备的接口IP地址处于不用网段。</w:t>
      </w:r>
    </w:p>
    <w:p w14:paraId="23FA0385">
      <w:r>
        <w:rPr>
          <w:rFonts w:hint="eastAsia"/>
        </w:rPr>
        <w:t>透明模式：设备接口配置加入桥中，只有桥接口配置IP地址，通过桥转发数据，上下游设备的接口IP地址处于同一网段，不知道设备的存在。</w:t>
      </w:r>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16EA1042">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16DA5F0A">
            <w:pPr>
              <w:pStyle w:val="150"/>
              <w:adjustRightInd w:val="0"/>
              <w:snapToGrid w:val="0"/>
              <w:rPr>
                <w:color w:val="auto"/>
              </w:rPr>
            </w:pPr>
            <w:r>
              <w:rPr>
                <w:b/>
                <w:color w:val="auto"/>
              </w:rPr>
              <w:drawing>
                <wp:inline distT="0" distB="0" distL="0" distR="0">
                  <wp:extent cx="283210" cy="283210"/>
                  <wp:effectExtent l="0" t="0" r="2540" b="2540"/>
                  <wp:docPr id="960" name="图片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图片 960"/>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527CC04C">
            <w:pPr>
              <w:pStyle w:val="150"/>
              <w:adjustRightInd w:val="0"/>
              <w:snapToGrid w:val="0"/>
              <w:rPr>
                <w:color w:val="auto"/>
              </w:rPr>
            </w:pPr>
            <w:r>
              <w:rPr>
                <w:rFonts w:hint="eastAsia"/>
                <w:color w:val="auto"/>
              </w:rPr>
              <w:t>HA的主主模式的路由部署方式中，HA设备的上下行可以在不同的网段。但是由于一台出现故障，另一台需要代理故障设备的流量发送免费ARP更新上下游的ARP表项。所以需要HA设备的上下联接口网段和与之相连的其他设备网络相同。</w:t>
            </w:r>
          </w:p>
        </w:tc>
      </w:tr>
    </w:tbl>
    <w:p w14:paraId="568A5516"/>
    <w:p w14:paraId="4E0F3AFF">
      <w:bookmarkStart w:id="11617" w:name="_Ref390269521"/>
    </w:p>
    <w:p w14:paraId="3957307D">
      <w:pPr>
        <w:pStyle w:val="6"/>
      </w:pPr>
      <w:bookmarkStart w:id="11618" w:name="_Toc40276550"/>
      <w:bookmarkStart w:id="11619" w:name="_Toc6237778"/>
      <w:bookmarkStart w:id="11620" w:name="_Toc23153129"/>
      <w:bookmarkStart w:id="11621" w:name="_Toc15485375"/>
      <w:r>
        <w:rPr>
          <w:rFonts w:hint="eastAsia"/>
        </w:rPr>
        <w:t>HA工作状态</w:t>
      </w:r>
      <w:bookmarkEnd w:id="11617"/>
      <w:bookmarkEnd w:id="11618"/>
      <w:bookmarkEnd w:id="11619"/>
      <w:bookmarkEnd w:id="11620"/>
      <w:bookmarkEnd w:id="11621"/>
    </w:p>
    <w:p w14:paraId="60EBFBCE">
      <w:r>
        <w:t>HA主备模式</w:t>
      </w:r>
      <w:r>
        <w:rPr>
          <w:rFonts w:hint="eastAsia"/>
        </w:rPr>
        <w:t>的工作状态主要有两种，主模式和备模式。</w:t>
      </w:r>
    </w:p>
    <w:p w14:paraId="58280A37">
      <w:r>
        <w:rPr>
          <w:rFonts w:hint="eastAsia"/>
        </w:rPr>
        <w:t>主模式是指在设备HA主备模式中，实际参与工作。</w:t>
      </w:r>
    </w:p>
    <w:p w14:paraId="131CCDE7">
      <w:r>
        <w:rPr>
          <w:rFonts w:hint="eastAsia"/>
        </w:rPr>
        <w:t>备模式是指设备是指在HA主备模式中，作为主设备备份，不参与实际工作。只有当主设备失效，才转换为主设备，接替其工作。</w:t>
      </w:r>
    </w:p>
    <w:p w14:paraId="5313DC4D">
      <w:r>
        <w:rPr>
          <w:rFonts w:hint="eastAsia"/>
        </w:rPr>
        <w:t>HA主主的工作状态有三种：Master模式、Master（N）模式、Master（</w:t>
      </w:r>
      <w:r>
        <w:t>A</w:t>
      </w:r>
      <w:r>
        <w:rPr>
          <w:rFonts w:hint="eastAsia"/>
        </w:rPr>
        <w:t>）模式。</w:t>
      </w:r>
    </w:p>
    <w:p w14:paraId="3BF75774">
      <w:pPr>
        <w:pStyle w:val="162"/>
      </w:pPr>
      <w:r>
        <w:rPr>
          <w:rFonts w:hint="eastAsia"/>
        </w:rPr>
        <w:t>Master模式：两台设备都处于流量转发状态。</w:t>
      </w:r>
    </w:p>
    <w:p w14:paraId="1AE2E30C">
      <w:pPr>
        <w:pStyle w:val="162"/>
      </w:pPr>
      <w:r>
        <w:rPr>
          <w:rFonts w:hint="eastAsia"/>
        </w:rPr>
        <w:t>Master（N）模式：本端设备出现故障。</w:t>
      </w:r>
    </w:p>
    <w:p w14:paraId="0D2CF80A">
      <w:pPr>
        <w:pStyle w:val="162"/>
      </w:pPr>
      <w:r>
        <w:rPr>
          <w:rFonts w:hint="eastAsia"/>
        </w:rPr>
        <w:t>Master（A）模式：本端设备代理故障设备和自己原来的所有流量。</w:t>
      </w:r>
    </w:p>
    <w:p w14:paraId="11343F59">
      <w:pPr>
        <w:pStyle w:val="6"/>
      </w:pPr>
      <w:bookmarkStart w:id="11622" w:name="_Toc15485376"/>
      <w:bookmarkStart w:id="11623" w:name="_Toc40276551"/>
      <w:bookmarkStart w:id="11624" w:name="_Toc6237779"/>
      <w:bookmarkStart w:id="11625" w:name="_Toc23153130"/>
      <w:r>
        <w:t>接口概念</w:t>
      </w:r>
      <w:bookmarkEnd w:id="11622"/>
      <w:bookmarkEnd w:id="11623"/>
      <w:bookmarkEnd w:id="11624"/>
      <w:bookmarkEnd w:id="11625"/>
    </w:p>
    <w:p w14:paraId="1C6EF726">
      <w:r>
        <w:t>HA</w:t>
      </w:r>
      <w:r>
        <w:rPr>
          <w:rFonts w:hint="eastAsia"/>
        </w:rPr>
        <w:t>中，主要有两种接口概念。</w:t>
      </w:r>
    </w:p>
    <w:p w14:paraId="680C4106">
      <w:pPr>
        <w:pStyle w:val="162"/>
      </w:pPr>
      <w:r>
        <w:rPr>
          <w:rFonts w:hint="eastAsia"/>
        </w:rPr>
        <w:t>HA接口：连接两台HA设备的接口，不参与报文的转发，只用于HA设备直接心跳报文和同步报文发送。</w:t>
      </w:r>
    </w:p>
    <w:p w14:paraId="39276350">
      <w:pPr>
        <w:pStyle w:val="162"/>
      </w:pPr>
      <w:r>
        <w:t>监控接口</w:t>
      </w:r>
      <w:r>
        <w:rPr>
          <w:rFonts w:hint="eastAsia"/>
        </w:rPr>
        <w:t>：</w:t>
      </w:r>
      <w:r>
        <w:t>HA必须重点关注的设备接口</w:t>
      </w:r>
      <w:r>
        <w:rPr>
          <w:rFonts w:hint="eastAsia"/>
        </w:rPr>
        <w:t>，</w:t>
      </w:r>
      <w:r>
        <w:t>如果此接口状态为down</w:t>
      </w:r>
      <w:r>
        <w:rPr>
          <w:rFonts w:hint="eastAsia"/>
        </w:rPr>
        <w:t>，</w:t>
      </w:r>
      <w:r>
        <w:t>表明网络状态发生故障</w:t>
      </w:r>
      <w:r>
        <w:rPr>
          <w:rFonts w:hint="eastAsia"/>
        </w:rPr>
        <w:t>，</w:t>
      </w:r>
      <w:r>
        <w:t>需要切换主备设备</w:t>
      </w:r>
      <w:r>
        <w:rPr>
          <w:rFonts w:hint="eastAsia"/>
        </w:rPr>
        <w:t>来修复故障。</w:t>
      </w:r>
    </w:p>
    <w:p w14:paraId="3719CFA0">
      <w:pPr>
        <w:pStyle w:val="6"/>
      </w:pPr>
      <w:bookmarkStart w:id="11626" w:name="_Toc15485377"/>
      <w:bookmarkStart w:id="11627" w:name="_Toc40276552"/>
      <w:bookmarkStart w:id="11628" w:name="_Toc6237780"/>
      <w:bookmarkStart w:id="11629" w:name="_Toc23153131"/>
      <w:r>
        <w:rPr>
          <w:rFonts w:hint="eastAsia"/>
        </w:rPr>
        <w:t>抢</w:t>
      </w:r>
      <w:r>
        <w:t>占模式</w:t>
      </w:r>
      <w:bookmarkEnd w:id="11626"/>
      <w:bookmarkEnd w:id="11627"/>
      <w:bookmarkEnd w:id="11628"/>
      <w:bookmarkEnd w:id="11629"/>
    </w:p>
    <w:p w14:paraId="743F059D">
      <w:pPr>
        <w:pStyle w:val="162"/>
      </w:pPr>
      <w:r>
        <w:rPr>
          <w:rFonts w:hint="eastAsia"/>
        </w:rPr>
        <w:t>非抢占方式：如果备份组中的设备工作在非抢占方式下，则只要主设备没有出现故障，备设备不会主动成为主设备。</w:t>
      </w:r>
    </w:p>
    <w:p w14:paraId="30C745BB">
      <w:pPr>
        <w:pStyle w:val="162"/>
      </w:pPr>
      <w:r>
        <w:rPr>
          <w:rFonts w:hint="eastAsia"/>
        </w:rPr>
        <w:t>抢占模式：抢占模式时指用户可以根据需要，指定某一台设备优选为主设备或者为备设备。如果配置优选为主设备的设备工作正常，即使当前设备为备状态，也要“抢占”成主设备。</w:t>
      </w:r>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7FD82AF7">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1DB990C4">
            <w:pPr>
              <w:pStyle w:val="150"/>
              <w:adjustRightInd w:val="0"/>
              <w:snapToGrid w:val="0"/>
              <w:rPr>
                <w:color w:val="auto"/>
              </w:rPr>
            </w:pPr>
            <w:bookmarkStart w:id="11630" w:name="OLE_LINK92"/>
            <w:r>
              <w:rPr>
                <w:b/>
                <w:color w:val="auto"/>
              </w:rPr>
              <w:drawing>
                <wp:inline distT="0" distB="0" distL="0" distR="0">
                  <wp:extent cx="283210" cy="283210"/>
                  <wp:effectExtent l="0" t="0" r="2540" b="2540"/>
                  <wp:docPr id="961" name="图片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图片 96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56B28D74">
            <w:pPr>
              <w:pStyle w:val="207"/>
              <w:adjustRightInd w:val="0"/>
              <w:snapToGrid w:val="0"/>
              <w:rPr>
                <w:color w:val="auto"/>
                <w:lang w:eastAsia="zh-CN"/>
              </w:rPr>
            </w:pPr>
            <w:r>
              <w:rPr>
                <w:rFonts w:hint="eastAsia"/>
                <w:color w:val="auto"/>
                <w:lang w:eastAsia="zh-CN"/>
              </w:rPr>
              <w:t>HA的两台设备在主备模式下：抢占模式必须匹配，或者全部配置成非抢占模式，或者一个配置成抢占为主，一个配置成抢占为备，否则HA无法正确协商。</w:t>
            </w:r>
          </w:p>
          <w:p w14:paraId="72F36E37">
            <w:pPr>
              <w:pStyle w:val="207"/>
              <w:adjustRightInd w:val="0"/>
              <w:snapToGrid w:val="0"/>
              <w:rPr>
                <w:color w:val="auto"/>
                <w:lang w:eastAsia="zh-CN"/>
              </w:rPr>
            </w:pPr>
            <w:r>
              <w:rPr>
                <w:rFonts w:hint="eastAsia"/>
                <w:color w:val="auto"/>
                <w:lang w:eastAsia="zh-CN"/>
              </w:rPr>
              <w:t>HA的主主模式两台设备没有抢占的概念。</w:t>
            </w:r>
          </w:p>
        </w:tc>
      </w:tr>
      <w:bookmarkEnd w:id="11630"/>
    </w:tbl>
    <w:p w14:paraId="54E9E5D8"/>
    <w:p w14:paraId="2084176F">
      <w:bookmarkStart w:id="11631" w:name="_Toc497293884"/>
      <w:bookmarkEnd w:id="11631"/>
    </w:p>
    <w:p w14:paraId="0683C389">
      <w:pPr>
        <w:pStyle w:val="6"/>
      </w:pPr>
      <w:bookmarkStart w:id="11632" w:name="_Toc6237781"/>
      <w:bookmarkStart w:id="11633" w:name="_Toc15485378"/>
      <w:bookmarkStart w:id="11634" w:name="_Toc23153132"/>
      <w:bookmarkStart w:id="11635" w:name="_Toc40276553"/>
      <w:r>
        <w:t>抢占延时定时器</w:t>
      </w:r>
      <w:bookmarkEnd w:id="11632"/>
      <w:bookmarkEnd w:id="11633"/>
      <w:bookmarkEnd w:id="11634"/>
      <w:bookmarkEnd w:id="11635"/>
    </w:p>
    <w:p w14:paraId="07F119D1">
      <w:r>
        <w:rPr>
          <w:rFonts w:hint="eastAsia"/>
        </w:rPr>
        <w:t>在HA主备模式下：为了避免</w:t>
      </w:r>
      <w:r>
        <w:t>HA</w:t>
      </w:r>
      <w:r>
        <w:rPr>
          <w:rFonts w:hint="eastAsia"/>
        </w:rPr>
        <w:t>设备频繁进行主备状态转换，备设备在网络状态恢复为正常状态后，也不会马上抢占为主，而是在流表等信息同步完成后，等待一定时间。只有在这段时间内，设备依然正常，才会通知备设备，抢占成主。</w:t>
      </w:r>
    </w:p>
    <w:p w14:paraId="47781F7F">
      <w:r>
        <w:rPr>
          <w:rFonts w:hint="eastAsia"/>
        </w:rPr>
        <w:t>在HA主主模式下，没有抢占的概念。</w:t>
      </w:r>
    </w:p>
    <w:p w14:paraId="665D2A4B">
      <w:pPr>
        <w:pStyle w:val="6"/>
      </w:pPr>
      <w:bookmarkStart w:id="11636" w:name="_Toc6237782"/>
      <w:bookmarkStart w:id="11637" w:name="_Toc40276554"/>
      <w:bookmarkStart w:id="11638" w:name="_Toc23153133"/>
      <w:bookmarkStart w:id="11639" w:name="_Toc15485379"/>
      <w:r>
        <w:rPr>
          <w:rFonts w:hint="eastAsia"/>
        </w:rPr>
        <w:t>心跳报文</w:t>
      </w:r>
      <w:bookmarkEnd w:id="11636"/>
      <w:bookmarkEnd w:id="11637"/>
      <w:bookmarkEnd w:id="11638"/>
      <w:bookmarkEnd w:id="11639"/>
    </w:p>
    <w:p w14:paraId="1F2C7350">
      <w:r>
        <w:t>HA</w:t>
      </w:r>
      <w:r>
        <w:rPr>
          <w:rFonts w:hint="eastAsia"/>
        </w:rPr>
        <w:t>设备之间用来相互通告设备的</w:t>
      </w:r>
      <w:r>
        <w:t>HA</w:t>
      </w:r>
      <w:r>
        <w:rPr>
          <w:rFonts w:hint="eastAsia"/>
        </w:rPr>
        <w:t>配置和</w:t>
      </w:r>
      <w:r>
        <w:t>HA</w:t>
      </w:r>
      <w:r>
        <w:rPr>
          <w:rFonts w:hint="eastAsia"/>
        </w:rPr>
        <w:t>状态的报文。如果一个设备在规定时间没有收到邻居心跳报文，可以认定</w:t>
      </w:r>
      <w:r>
        <w:t>HA</w:t>
      </w:r>
      <w:r>
        <w:rPr>
          <w:rFonts w:hint="eastAsia"/>
        </w:rPr>
        <w:t>邻居已经失效。</w:t>
      </w:r>
    </w:p>
    <w:p w14:paraId="07508567">
      <w:pPr>
        <w:pStyle w:val="6"/>
      </w:pPr>
      <w:bookmarkStart w:id="11640" w:name="_Toc23153134"/>
      <w:bookmarkStart w:id="11641" w:name="_Toc15485380"/>
      <w:bookmarkStart w:id="11642" w:name="_Toc6237783"/>
      <w:bookmarkStart w:id="11643" w:name="_Toc40276555"/>
      <w:r>
        <w:t>HA</w:t>
      </w:r>
      <w:r>
        <w:rPr>
          <w:rFonts w:hint="eastAsia"/>
        </w:rPr>
        <w:t>管理地址</w:t>
      </w:r>
      <w:bookmarkEnd w:id="11640"/>
      <w:bookmarkEnd w:id="11641"/>
      <w:bookmarkEnd w:id="11642"/>
      <w:bookmarkEnd w:id="11643"/>
    </w:p>
    <w:p w14:paraId="699A0FA0">
      <w:r>
        <w:rPr>
          <w:rFonts w:hint="eastAsia"/>
        </w:rPr>
        <w:t>处于备状态的</w:t>
      </w:r>
      <w:r>
        <w:t>HA</w:t>
      </w:r>
      <w:r>
        <w:rPr>
          <w:rFonts w:hint="eastAsia"/>
        </w:rPr>
        <w:t>设备不会参与网络转发，因此无法通过其接口配置的</w:t>
      </w:r>
      <w:r>
        <w:t>IP</w:t>
      </w:r>
      <w:r>
        <w:rPr>
          <w:rFonts w:hint="eastAsia"/>
        </w:rPr>
        <w:t>地址访问。为了解决这一问题，可以在设备上配置管理地址，用作备设备的网络管理。用户可以从外部访问备设备的</w:t>
      </w:r>
      <w:r>
        <w:t>telnet</w:t>
      </w:r>
      <w:r>
        <w:rPr>
          <w:rFonts w:hint="eastAsia"/>
        </w:rPr>
        <w:t>服务和</w:t>
      </w:r>
      <w:r>
        <w:t>web</w:t>
      </w:r>
      <w:r>
        <w:rPr>
          <w:rFonts w:hint="eastAsia"/>
        </w:rPr>
        <w:t>管理界面。</w:t>
      </w:r>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2FC8FB0F">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46FAF666">
            <w:pPr>
              <w:pStyle w:val="150"/>
              <w:adjustRightInd w:val="0"/>
              <w:snapToGrid w:val="0"/>
              <w:rPr>
                <w:color w:val="auto"/>
              </w:rPr>
            </w:pPr>
            <w:r>
              <w:rPr>
                <w:b/>
                <w:color w:val="auto"/>
              </w:rPr>
              <w:drawing>
                <wp:inline distT="0" distB="0" distL="0" distR="0">
                  <wp:extent cx="283210" cy="283210"/>
                  <wp:effectExtent l="0" t="0" r="2540" b="2540"/>
                  <wp:docPr id="963" name="图片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图片 96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24CB8C10">
            <w:pPr>
              <w:pStyle w:val="150"/>
              <w:adjustRightInd w:val="0"/>
              <w:snapToGrid w:val="0"/>
              <w:rPr>
                <w:color w:val="auto"/>
              </w:rPr>
            </w:pPr>
            <w:r>
              <w:rPr>
                <w:rFonts w:hint="eastAsia"/>
                <w:color w:val="auto"/>
              </w:rPr>
              <w:t>在HA主备和主主模式下，建议两台设备都配置管理地址。目的是防止当其中一台设备故障不转发数据的情况下，依然可以通过管理地址进行管理。</w:t>
            </w:r>
          </w:p>
        </w:tc>
      </w:tr>
    </w:tbl>
    <w:p w14:paraId="05C898C0"/>
    <w:p w14:paraId="56565174">
      <w:pPr>
        <w:pStyle w:val="6"/>
      </w:pPr>
      <w:bookmarkStart w:id="11644" w:name="_Toc6237784"/>
      <w:bookmarkStart w:id="11645" w:name="_Toc40276556"/>
      <w:bookmarkStart w:id="11646" w:name="_Toc15485381"/>
      <w:bookmarkStart w:id="11647" w:name="_Toc23153135"/>
      <w:r>
        <w:rPr>
          <w:rFonts w:hint="eastAsia"/>
        </w:rPr>
        <w:t>HA状态同步</w:t>
      </w:r>
      <w:bookmarkEnd w:id="11644"/>
      <w:bookmarkEnd w:id="11645"/>
      <w:bookmarkEnd w:id="11646"/>
      <w:bookmarkEnd w:id="11647"/>
    </w:p>
    <w:p w14:paraId="487FB14C">
      <w:bookmarkStart w:id="11648" w:name="_Hlk509837245"/>
      <w:r>
        <w:t>HA</w:t>
      </w:r>
      <w:r>
        <w:rPr>
          <w:rFonts w:hint="eastAsia"/>
        </w:rPr>
        <w:t>作为热备份，为了在状态切换的过程中，尽量减小对网络的影响。</w:t>
      </w:r>
      <w:r>
        <w:t>HA</w:t>
      </w:r>
      <w:r>
        <w:rPr>
          <w:rFonts w:hint="eastAsia"/>
        </w:rPr>
        <w:t>会将主设备上的一些实时的状态同步给备设备</w:t>
      </w:r>
      <w:bookmarkEnd w:id="11648"/>
      <w:r>
        <w:rPr>
          <w:rFonts w:hint="eastAsia"/>
        </w:rPr>
        <w:t>。同步的内容主要包括三种：</w:t>
      </w:r>
      <w:r>
        <w:t>session</w:t>
      </w:r>
      <w:r>
        <w:rPr>
          <w:rFonts w:hint="eastAsia"/>
        </w:rPr>
        <w:t>信息、设备配置、特征库。</w:t>
      </w:r>
    </w:p>
    <w:p w14:paraId="65C18880">
      <w:pPr>
        <w:pStyle w:val="162"/>
      </w:pPr>
      <w:r>
        <w:t>S</w:t>
      </w:r>
      <w:r>
        <w:rPr>
          <w:rFonts w:hint="eastAsia"/>
        </w:rPr>
        <w:t>ession信息：包括设备连接表、FBD、用户信息、PKI。</w:t>
      </w:r>
    </w:p>
    <w:p w14:paraId="4C9E72D0">
      <w:pPr>
        <w:pStyle w:val="162"/>
      </w:pPr>
      <w:r>
        <w:rPr>
          <w:rFonts w:hint="eastAsia"/>
        </w:rPr>
        <w:t>设备配置：同步的设备配置中不包含HA配置信息，以及一些特殊的配置。</w:t>
      </w:r>
    </w:p>
    <w:p w14:paraId="75A76702">
      <w:pPr>
        <w:pStyle w:val="162"/>
      </w:pPr>
      <w:r>
        <w:rPr>
          <w:rFonts w:hint="eastAsia"/>
        </w:rPr>
        <w:t>特征库：特征库包括APP特征库以及URL特征库。</w:t>
      </w:r>
    </w:p>
    <w:p w14:paraId="3227A293">
      <w:pPr>
        <w:pStyle w:val="6"/>
      </w:pPr>
      <w:bookmarkStart w:id="11649" w:name="_Toc6237785"/>
      <w:bookmarkStart w:id="11650" w:name="_Toc23153136"/>
      <w:bookmarkStart w:id="11651" w:name="_Toc40276557"/>
      <w:bookmarkStart w:id="11652" w:name="_Toc15485382"/>
      <w:r>
        <w:rPr>
          <w:rFonts w:hint="eastAsia"/>
        </w:rPr>
        <w:t>HA状态切换</w:t>
      </w:r>
      <w:bookmarkEnd w:id="11649"/>
      <w:bookmarkEnd w:id="11650"/>
      <w:bookmarkEnd w:id="11651"/>
      <w:bookmarkEnd w:id="11652"/>
    </w:p>
    <w:p w14:paraId="3594BC24">
      <w:r>
        <w:rPr>
          <w:rFonts w:hint="eastAsia"/>
        </w:rPr>
        <w:t>当设备启用HA主备模式后，设备进入init（初始化状态）。在这个状态，设备不参与报文转发，只接受对端HA设备的keepalive报文。如果收到了主设备发出的keepalive报文，设备会进入备状态。如果没有收到keepalive报文，设备会进入主状态。</w:t>
      </w:r>
    </w:p>
    <w:p w14:paraId="260289A5">
      <w:r>
        <w:rPr>
          <w:rFonts w:hint="eastAsia"/>
        </w:rPr>
        <w:t>如果设备成为主状态后，会向外发送免费arp报文，用来更新上下游设备的arp表（工作在路由模式），或者向外发送特殊的报文刷新上下游交换机的FBD信息（工作在桥模式）。</w:t>
      </w:r>
    </w:p>
    <w:p w14:paraId="4A674D3E">
      <w:r>
        <w:rPr>
          <w:rFonts w:hint="eastAsia"/>
        </w:rPr>
        <w:t>如果设备成为备设备，设备会清除自己的FBD表（如果工作在桥模式），并且向主设备请求状态信息。</w:t>
      </w:r>
    </w:p>
    <w:p w14:paraId="780B163E">
      <w:r>
        <w:rPr>
          <w:rFonts w:hint="eastAsia"/>
        </w:rPr>
        <w:t>HA主主的两台设备，默认都是Master的状态，两台设备同时在转发流量。</w:t>
      </w:r>
    </w:p>
    <w:p w14:paraId="5C6136BE">
      <w:r>
        <w:rPr>
          <w:rFonts w:hint="eastAsia"/>
        </w:rPr>
        <w:t>HA主主的两台设备，其中一台发生故障，故障设备的状态机会变成Master（N），不再转发数据；另外一台设备的状态机变成Master（A），开始代理这台设备的全部流量。</w:t>
      </w:r>
    </w:p>
    <w:p w14:paraId="2402FF06">
      <w:bookmarkStart w:id="11653" w:name="_Toc497293890"/>
      <w:bookmarkEnd w:id="11653"/>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3253801A">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3F1F2057">
            <w:pPr>
              <w:pStyle w:val="150"/>
              <w:adjustRightInd w:val="0"/>
              <w:snapToGrid w:val="0"/>
              <w:rPr>
                <w:color w:val="auto"/>
              </w:rPr>
            </w:pPr>
            <w:r>
              <w:rPr>
                <w:b/>
                <w:color w:val="00A0E9"/>
              </w:rPr>
              <w:drawing>
                <wp:inline distT="0" distB="0" distL="0" distR="0">
                  <wp:extent cx="260350" cy="260350"/>
                  <wp:effectExtent l="0" t="0" r="6350" b="6350"/>
                  <wp:docPr id="965" name="图片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图片 965"/>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0470" cy="260470"/>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04949A06">
            <w:pPr>
              <w:pStyle w:val="207"/>
              <w:adjustRightInd w:val="0"/>
              <w:snapToGrid w:val="0"/>
              <w:rPr>
                <w:color w:val="auto"/>
                <w:lang w:eastAsia="zh-CN"/>
              </w:rPr>
            </w:pPr>
            <w:r>
              <w:rPr>
                <w:rFonts w:hint="eastAsia"/>
                <w:color w:val="auto"/>
                <w:lang w:eastAsia="zh-CN"/>
              </w:rPr>
              <w:t>如果设备工作在桥模式，为了防止形成环路，在刚刚成为主设备的一秒内，桥不转发报文。</w:t>
            </w:r>
          </w:p>
          <w:p w14:paraId="53E578FF">
            <w:pPr>
              <w:pStyle w:val="207"/>
              <w:adjustRightInd w:val="0"/>
              <w:snapToGrid w:val="0"/>
              <w:rPr>
                <w:color w:val="auto"/>
                <w:lang w:eastAsia="zh-CN"/>
              </w:rPr>
            </w:pPr>
            <w:r>
              <w:rPr>
                <w:rFonts w:hint="eastAsia"/>
                <w:color w:val="auto"/>
                <w:lang w:eastAsia="zh-CN"/>
              </w:rPr>
              <w:t>如果设备工作在桥模式，在成为备设备后，设备会将加入桥的接口关闭打开一次，用来刷新上下游交换机的FBD表。</w:t>
            </w:r>
          </w:p>
          <w:p w14:paraId="28286FBD">
            <w:pPr>
              <w:pStyle w:val="207"/>
              <w:adjustRightInd w:val="0"/>
              <w:snapToGrid w:val="0"/>
              <w:rPr>
                <w:color w:val="auto"/>
                <w:lang w:eastAsia="zh-CN"/>
              </w:rPr>
            </w:pPr>
            <w:r>
              <w:rPr>
                <w:rFonts w:hint="eastAsia"/>
                <w:color w:val="auto"/>
                <w:lang w:eastAsia="zh-CN"/>
              </w:rPr>
              <w:t>设备刚变成备状态，会从主设备获取配置信息，但是不会立刻加载。如果主备设备的信息不一致。</w:t>
            </w:r>
            <w:r>
              <w:rPr>
                <w:rFonts w:hint="eastAsia"/>
                <w:color w:val="auto"/>
              </w:rPr>
              <w:t>需要重启备设备。</w:t>
            </w:r>
          </w:p>
        </w:tc>
      </w:tr>
    </w:tbl>
    <w:p w14:paraId="3E0FE47E"/>
    <w:p w14:paraId="21FE6040">
      <w:r>
        <w:t>HA</w:t>
      </w:r>
      <w:r>
        <w:rPr>
          <w:rFonts w:hint="eastAsia"/>
        </w:rPr>
        <w:t>配置的推荐步骤如下表所示。</w:t>
      </w:r>
    </w:p>
    <w:p w14:paraId="36BF2D46">
      <w:pPr>
        <w:pStyle w:val="183"/>
      </w:pPr>
      <w:bookmarkStart w:id="11654" w:name="_Toc141875793"/>
      <w:r>
        <w:rPr>
          <w:rFonts w:hint="eastAsia"/>
        </w:rPr>
        <w:t>HA配置的推荐步骤</w:t>
      </w:r>
      <w:bookmarkEnd w:id="11654"/>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3004"/>
        <w:gridCol w:w="3005"/>
        <w:gridCol w:w="3005"/>
      </w:tblGrid>
      <w:tr w14:paraId="4233A1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0" w:type="dxa"/>
            <w:tcBorders>
              <w:tl2br w:val="nil"/>
              <w:tr2bl w:val="nil"/>
            </w:tcBorders>
            <w:shd w:val="clear" w:color="auto" w:fill="538135" w:themeFill="accent6" w:themeFillShade="BF"/>
            <w:vAlign w:val="center"/>
          </w:tcPr>
          <w:p w14:paraId="5F38AED8">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配置任务</w:t>
            </w:r>
          </w:p>
        </w:tc>
        <w:tc>
          <w:tcPr>
            <w:tcW w:w="0" w:type="dxa"/>
            <w:tcBorders>
              <w:tl2br w:val="nil"/>
              <w:tr2bl w:val="nil"/>
            </w:tcBorders>
            <w:shd w:val="clear" w:color="auto" w:fill="538135" w:themeFill="accent6" w:themeFillShade="BF"/>
            <w:vAlign w:val="center"/>
          </w:tcPr>
          <w:p w14:paraId="1C987B33">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c>
          <w:tcPr>
            <w:tcW w:w="0" w:type="dxa"/>
            <w:tcBorders>
              <w:tl2br w:val="nil"/>
              <w:tr2bl w:val="nil"/>
            </w:tcBorders>
            <w:shd w:val="clear" w:color="auto" w:fill="538135" w:themeFill="accent6" w:themeFillShade="BF"/>
            <w:vAlign w:val="center"/>
          </w:tcPr>
          <w:p w14:paraId="20BB0821">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详细配置</w:t>
            </w:r>
          </w:p>
        </w:tc>
      </w:tr>
      <w:tr w14:paraId="455218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0" w:type="dxa"/>
            <w:shd w:val="clear" w:color="auto" w:fill="auto"/>
          </w:tcPr>
          <w:p w14:paraId="51B7FE05">
            <w:pPr>
              <w:pStyle w:val="150"/>
            </w:pPr>
            <w:r>
              <w:t>HA全局配置</w:t>
            </w:r>
          </w:p>
        </w:tc>
        <w:tc>
          <w:tcPr>
            <w:tcW w:w="0" w:type="dxa"/>
            <w:shd w:val="clear" w:color="auto" w:fill="auto"/>
          </w:tcPr>
          <w:p w14:paraId="1A98D9AA">
            <w:pPr>
              <w:pStyle w:val="150"/>
            </w:pPr>
            <w:r>
              <w:rPr>
                <w:rFonts w:hint="eastAsia"/>
              </w:rPr>
              <w:t>必选</w:t>
            </w:r>
          </w:p>
        </w:tc>
        <w:tc>
          <w:tcPr>
            <w:tcW w:w="0" w:type="dxa"/>
            <w:shd w:val="clear" w:color="auto" w:fill="auto"/>
          </w:tcPr>
          <w:p w14:paraId="74E30C0C">
            <w:pPr>
              <w:pStyle w:val="150"/>
            </w:pPr>
            <w:r>
              <w:fldChar w:fldCharType="begin"/>
            </w:r>
            <w:r>
              <w:instrText xml:space="preserve"> REF _Ref529434020 \r \h  \* MERGEFORMAT </w:instrText>
            </w:r>
            <w:r>
              <w:fldChar w:fldCharType="separate"/>
            </w:r>
            <w:r>
              <w:t>34.1.2</w:t>
            </w:r>
            <w:r>
              <w:fldChar w:fldCharType="end"/>
            </w:r>
          </w:p>
        </w:tc>
      </w:tr>
      <w:tr w14:paraId="1991A3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0" w:type="dxa"/>
            <w:shd w:val="clear" w:color="auto" w:fill="auto"/>
          </w:tcPr>
          <w:p w14:paraId="7983C9BB">
            <w:pPr>
              <w:pStyle w:val="150"/>
            </w:pPr>
            <w:r>
              <w:t>HA状态查看和维护</w:t>
            </w:r>
          </w:p>
        </w:tc>
        <w:tc>
          <w:tcPr>
            <w:tcW w:w="0" w:type="dxa"/>
            <w:shd w:val="clear" w:color="auto" w:fill="auto"/>
          </w:tcPr>
          <w:p w14:paraId="4FDF1134">
            <w:pPr>
              <w:pStyle w:val="150"/>
            </w:pPr>
            <w:r>
              <w:rPr>
                <w:rFonts w:hint="eastAsia"/>
              </w:rPr>
              <w:t>可选</w:t>
            </w:r>
          </w:p>
        </w:tc>
        <w:tc>
          <w:tcPr>
            <w:tcW w:w="0" w:type="dxa"/>
            <w:shd w:val="clear" w:color="auto" w:fill="auto"/>
          </w:tcPr>
          <w:p w14:paraId="3BA3E4E9">
            <w:pPr>
              <w:pStyle w:val="150"/>
            </w:pPr>
            <w:r>
              <w:fldChar w:fldCharType="begin"/>
            </w:r>
            <w:r>
              <w:instrText xml:space="preserve"> REF _Ref393202783 \r \h  \* MERGEFORMAT </w:instrText>
            </w:r>
            <w:r>
              <w:fldChar w:fldCharType="separate"/>
            </w:r>
            <w:r>
              <w:t>34.1.3</w:t>
            </w:r>
            <w:r>
              <w:fldChar w:fldCharType="end"/>
            </w:r>
          </w:p>
        </w:tc>
      </w:tr>
      <w:tr w14:paraId="5067722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0" w:type="dxa"/>
            <w:shd w:val="clear" w:color="auto" w:fill="auto"/>
          </w:tcPr>
          <w:p w14:paraId="033A2BB6">
            <w:pPr>
              <w:pStyle w:val="150"/>
            </w:pPr>
            <w:r>
              <w:t>配置管理地址</w:t>
            </w:r>
          </w:p>
        </w:tc>
        <w:tc>
          <w:tcPr>
            <w:tcW w:w="0" w:type="dxa"/>
            <w:shd w:val="clear" w:color="auto" w:fill="auto"/>
          </w:tcPr>
          <w:p w14:paraId="69ABA029">
            <w:pPr>
              <w:pStyle w:val="150"/>
            </w:pPr>
            <w:r>
              <w:rPr>
                <w:rFonts w:hint="eastAsia"/>
              </w:rPr>
              <w:t>可选</w:t>
            </w:r>
          </w:p>
        </w:tc>
        <w:tc>
          <w:tcPr>
            <w:tcW w:w="0" w:type="dxa"/>
            <w:shd w:val="clear" w:color="auto" w:fill="auto"/>
          </w:tcPr>
          <w:p w14:paraId="782C23D4">
            <w:pPr>
              <w:pStyle w:val="150"/>
            </w:pPr>
            <w:r>
              <w:fldChar w:fldCharType="begin"/>
            </w:r>
            <w:r>
              <w:instrText xml:space="preserve"> REF _Ref529434021 \r \h  \* MERGEFORMAT </w:instrText>
            </w:r>
            <w:r>
              <w:fldChar w:fldCharType="separate"/>
            </w:r>
            <w:r>
              <w:t>34.1.4</w:t>
            </w:r>
            <w:r>
              <w:fldChar w:fldCharType="end"/>
            </w:r>
          </w:p>
        </w:tc>
      </w:tr>
    </w:tbl>
    <w:p w14:paraId="2B94136C">
      <w:bookmarkStart w:id="11655" w:name="_Toc497293893"/>
      <w:bookmarkEnd w:id="11655"/>
      <w:bookmarkStart w:id="11656" w:name="_Ref393202767"/>
    </w:p>
    <w:p w14:paraId="6AB9DF5D">
      <w:pPr>
        <w:pStyle w:val="5"/>
      </w:pPr>
      <w:bookmarkStart w:id="11657" w:name="_Toc15485385"/>
      <w:bookmarkStart w:id="11658" w:name="_Toc6237788"/>
      <w:bookmarkStart w:id="11659" w:name="_Ref529434020"/>
      <w:bookmarkStart w:id="11660" w:name="_Toc172218673"/>
      <w:bookmarkStart w:id="11661" w:name="_Toc40276560"/>
      <w:bookmarkStart w:id="11662" w:name="_Toc141873865"/>
      <w:bookmarkStart w:id="11663" w:name="_Toc23153139"/>
      <w:bookmarkStart w:id="11664" w:name="_Toc196728587"/>
      <w:bookmarkStart w:id="11665" w:name="_Toc142401382"/>
      <w:bookmarkStart w:id="11666" w:name="_Toc194081259"/>
      <w:r>
        <w:rPr>
          <w:rFonts w:hint="eastAsia"/>
        </w:rPr>
        <w:t>HA全局配置</w:t>
      </w:r>
      <w:bookmarkEnd w:id="11656"/>
      <w:bookmarkEnd w:id="11657"/>
      <w:bookmarkEnd w:id="11658"/>
      <w:bookmarkEnd w:id="11659"/>
      <w:bookmarkEnd w:id="11660"/>
      <w:bookmarkEnd w:id="11661"/>
      <w:bookmarkEnd w:id="11662"/>
      <w:bookmarkEnd w:id="11663"/>
      <w:bookmarkEnd w:id="11664"/>
      <w:bookmarkEnd w:id="11665"/>
      <w:bookmarkEnd w:id="11666"/>
    </w:p>
    <w:p w14:paraId="77BAD769">
      <w:r>
        <w:rPr>
          <w:rFonts w:hint="eastAsia"/>
        </w:rPr>
        <w:t>在导航栏中选择“系统管理 &gt; 系统设定 &gt; 高可用性</w:t>
      </w:r>
      <w:r>
        <w:t xml:space="preserve"> &gt; HA</w:t>
      </w:r>
      <w:r>
        <w:rPr>
          <w:rFonts w:hint="eastAsia"/>
        </w:rPr>
        <w:t>全局配置”，进入</w:t>
      </w:r>
      <w:r>
        <w:t>HA</w:t>
      </w:r>
      <w:r>
        <w:rPr>
          <w:rFonts w:hint="eastAsia"/>
        </w:rPr>
        <w:t>的配置页面，编辑相关信息，点击&lt;提交&gt;。</w:t>
      </w:r>
    </w:p>
    <w:p w14:paraId="55E6D52C">
      <w:pPr>
        <w:pStyle w:val="176"/>
        <w:spacing w:before="156" w:after="156"/>
      </w:pPr>
      <w:r>
        <w:rPr>
          <w:rFonts w:hint="eastAsia"/>
        </w:rPr>
        <w:t>工作模式为“主-备”模式：</w:t>
      </w:r>
    </w:p>
    <w:p w14:paraId="138CE6E8">
      <w:pPr>
        <w:pStyle w:val="188"/>
      </w:pPr>
      <w:bookmarkStart w:id="11667" w:name="_Ref393202810"/>
      <w:bookmarkStart w:id="11668" w:name="_Toc141875317"/>
      <w:r>
        <w:t>HA全局配置页面</w:t>
      </w:r>
      <w:bookmarkEnd w:id="11667"/>
      <w:r>
        <w:rPr>
          <w:rFonts w:hint="eastAsia"/>
        </w:rPr>
        <w:t>-</w:t>
      </w:r>
      <w:r>
        <w:t>主备</w:t>
      </w:r>
      <w:bookmarkEnd w:id="11668"/>
    </w:p>
    <w:p w14:paraId="1F8317AB">
      <w:r>
        <w:drawing>
          <wp:inline distT="0" distB="0" distL="0" distR="0">
            <wp:extent cx="5543550" cy="3173095"/>
            <wp:effectExtent l="0" t="0" r="0" b="8255"/>
            <wp:docPr id="35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9"/>
                    <pic:cNvPicPr>
                      <a:picLocks noChangeAspect="1"/>
                    </pic:cNvPicPr>
                  </pic:nvPicPr>
                  <pic:blipFill>
                    <a:blip r:embed="rId1286"/>
                    <a:stretch>
                      <a:fillRect/>
                    </a:stretch>
                  </pic:blipFill>
                  <pic:spPr>
                    <a:xfrm>
                      <a:off x="0" y="0"/>
                      <a:ext cx="5547336" cy="3175661"/>
                    </a:xfrm>
                    <a:prstGeom prst="rect">
                      <a:avLst/>
                    </a:prstGeom>
                  </pic:spPr>
                </pic:pic>
              </a:graphicData>
            </a:graphic>
          </wp:inline>
        </w:drawing>
      </w:r>
    </w:p>
    <w:p w14:paraId="032FB63E"/>
    <w:p w14:paraId="586F2810">
      <w:pPr>
        <w:pStyle w:val="176"/>
        <w:spacing w:before="156" w:after="156"/>
      </w:pPr>
      <w:r>
        <w:rPr>
          <w:rFonts w:hint="eastAsia"/>
        </w:rPr>
        <w:t>工作模式为“主-主”模式：</w:t>
      </w:r>
    </w:p>
    <w:p w14:paraId="3B60C8DA">
      <w:pPr>
        <w:pStyle w:val="188"/>
      </w:pPr>
      <w:bookmarkStart w:id="11669" w:name="_Toc141875318"/>
      <w:r>
        <w:t>HA全局配置页面</w:t>
      </w:r>
      <w:r>
        <w:rPr>
          <w:rFonts w:hint="eastAsia"/>
        </w:rPr>
        <w:t>-</w:t>
      </w:r>
      <w:r>
        <w:t>主主</w:t>
      </w:r>
      <w:bookmarkEnd w:id="11669"/>
    </w:p>
    <w:p w14:paraId="0B063847">
      <w:r>
        <w:drawing>
          <wp:inline distT="0" distB="0" distL="0" distR="0">
            <wp:extent cx="5267325" cy="3763010"/>
            <wp:effectExtent l="0" t="0" r="0" b="8890"/>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pic:cNvPicPr>
                      <a:picLocks noChangeAspect="1"/>
                    </pic:cNvPicPr>
                  </pic:nvPicPr>
                  <pic:blipFill>
                    <a:blip r:embed="rId1287"/>
                    <a:stretch>
                      <a:fillRect/>
                    </a:stretch>
                  </pic:blipFill>
                  <pic:spPr>
                    <a:xfrm>
                      <a:off x="0" y="0"/>
                      <a:ext cx="5271583" cy="3766631"/>
                    </a:xfrm>
                    <a:prstGeom prst="rect">
                      <a:avLst/>
                    </a:prstGeom>
                  </pic:spPr>
                </pic:pic>
              </a:graphicData>
            </a:graphic>
          </wp:inline>
        </w:drawing>
      </w:r>
    </w:p>
    <w:p w14:paraId="08A9B08C"/>
    <w:p w14:paraId="70E69989">
      <w:r>
        <w:rPr>
          <w:rFonts w:hint="eastAsia"/>
        </w:rPr>
        <w:t>页面的详细说明如</w:t>
      </w:r>
      <w:r>
        <w:fldChar w:fldCharType="begin"/>
      </w:r>
      <w:r>
        <w:instrText xml:space="preserve"> REF _Ref393112159 \r \h </w:instrText>
      </w:r>
      <w:r>
        <w:fldChar w:fldCharType="separate"/>
      </w:r>
      <w:r>
        <w:rPr>
          <w:rFonts w:hint="eastAsia"/>
        </w:rPr>
        <w:t>表9-1</w:t>
      </w:r>
      <w:r>
        <w:fldChar w:fldCharType="end"/>
      </w:r>
      <w:r>
        <w:rPr>
          <w:rFonts w:hint="eastAsia"/>
        </w:rPr>
        <w:t>。</w:t>
      </w:r>
    </w:p>
    <w:p w14:paraId="599D2331">
      <w:pPr>
        <w:pStyle w:val="183"/>
      </w:pPr>
      <w:bookmarkStart w:id="11670" w:name="_Toc141875794"/>
      <w:r>
        <w:rPr>
          <w:rFonts w:hint="eastAsia"/>
        </w:rPr>
        <w:t>HA全局配置的详细说明</w:t>
      </w:r>
      <w:bookmarkEnd w:id="11670"/>
    </w:p>
    <w:tbl>
      <w:tblPr>
        <w:tblStyle w:val="173"/>
        <w:tblW w:w="8613"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526"/>
        <w:gridCol w:w="7087"/>
      </w:tblGrid>
      <w:tr w14:paraId="506729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tcBorders>
              <w:tl2br w:val="nil"/>
              <w:tr2bl w:val="nil"/>
            </w:tcBorders>
            <w:shd w:val="clear" w:color="auto" w:fill="538135" w:themeFill="accent6" w:themeFillShade="BF"/>
            <w:vAlign w:val="center"/>
          </w:tcPr>
          <w:p w14:paraId="7C5BE38B">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7087" w:type="dxa"/>
            <w:tcBorders>
              <w:tl2br w:val="nil"/>
              <w:tr2bl w:val="nil"/>
            </w:tcBorders>
            <w:shd w:val="clear" w:color="auto" w:fill="538135" w:themeFill="accent6" w:themeFillShade="BF"/>
            <w:vAlign w:val="center"/>
          </w:tcPr>
          <w:p w14:paraId="6C35360B">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33DB69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20A558D5">
            <w:pPr>
              <w:pStyle w:val="150"/>
            </w:pPr>
            <w:r>
              <w:rPr>
                <w:rFonts w:hint="eastAsia"/>
              </w:rPr>
              <w:t>工作模式</w:t>
            </w:r>
          </w:p>
        </w:tc>
        <w:tc>
          <w:tcPr>
            <w:tcW w:w="7087" w:type="dxa"/>
            <w:shd w:val="clear" w:color="auto" w:fill="auto"/>
          </w:tcPr>
          <w:p w14:paraId="024DB727">
            <w:pPr>
              <w:pStyle w:val="150"/>
            </w:pPr>
            <w:r>
              <w:rPr>
                <w:rFonts w:hint="eastAsia"/>
              </w:rPr>
              <w:t>选择HA工作模式，包括不启用、主-备和主-主三个选项。</w:t>
            </w:r>
          </w:p>
          <w:p w14:paraId="7A78097D">
            <w:pPr>
              <w:pStyle w:val="150"/>
            </w:pPr>
            <w:r>
              <w:rPr>
                <w:rFonts w:hint="eastAsia"/>
              </w:rPr>
              <w:t>对于</w:t>
            </w:r>
            <w:r>
              <w:rPr>
                <w:rFonts w:hint="eastAsia"/>
                <w:b/>
              </w:rPr>
              <w:t>主</w:t>
            </w:r>
            <w:r>
              <w:rPr>
                <w:b/>
              </w:rPr>
              <w:t>-</w:t>
            </w:r>
            <w:r>
              <w:rPr>
                <w:rFonts w:hint="eastAsia"/>
                <w:b/>
              </w:rPr>
              <w:t>备模式</w:t>
            </w:r>
            <w:r>
              <w:rPr>
                <w:rFonts w:hint="eastAsia"/>
              </w:rPr>
              <w:t>，用户还需要完成以下配置：</w:t>
            </w:r>
          </w:p>
          <w:p w14:paraId="6A10F4B3">
            <w:pPr>
              <w:pStyle w:val="207"/>
              <w:numPr>
                <w:ilvl w:val="0"/>
                <w:numId w:val="24"/>
              </w:numPr>
              <w:rPr>
                <w:lang w:eastAsia="zh-CN"/>
              </w:rPr>
            </w:pPr>
            <w:r>
              <w:rPr>
                <w:rFonts w:hint="eastAsia"/>
                <w:b/>
                <w:lang w:eastAsia="zh-CN"/>
              </w:rPr>
              <w:t>配置同步</w:t>
            </w:r>
            <w:r>
              <w:rPr>
                <w:rFonts w:hint="eastAsia"/>
                <w:lang w:eastAsia="zh-CN"/>
              </w:rPr>
              <w:t>：勾选后，启用设备配置（HA及部分特殊配置除外）同步。</w:t>
            </w:r>
          </w:p>
          <w:p w14:paraId="27886459">
            <w:pPr>
              <w:pStyle w:val="207"/>
              <w:numPr>
                <w:ilvl w:val="0"/>
                <w:numId w:val="24"/>
              </w:numPr>
              <w:rPr>
                <w:lang w:eastAsia="zh-CN"/>
              </w:rPr>
            </w:pPr>
            <w:r>
              <w:rPr>
                <w:rFonts w:hint="eastAsia"/>
                <w:b/>
                <w:lang w:eastAsia="zh-CN"/>
              </w:rPr>
              <w:t>运行状态同步</w:t>
            </w:r>
            <w:r>
              <w:rPr>
                <w:rFonts w:hint="eastAsia"/>
                <w:lang w:eastAsia="zh-CN"/>
              </w:rPr>
              <w:t>：勾选后，启用设备运行状态（Session信息：包括设备连接表、FBD、用户信息、PKI、IPSec状态）同步。</w:t>
            </w:r>
          </w:p>
          <w:p w14:paraId="367E84B2">
            <w:pPr>
              <w:pStyle w:val="207"/>
              <w:numPr>
                <w:ilvl w:val="0"/>
                <w:numId w:val="24"/>
              </w:numPr>
              <w:rPr>
                <w:lang w:eastAsia="zh-CN"/>
              </w:rPr>
            </w:pPr>
            <w:r>
              <w:rPr>
                <w:rFonts w:hint="eastAsia"/>
                <w:b/>
                <w:lang w:eastAsia="zh-CN"/>
              </w:rPr>
              <w:t>库同步</w:t>
            </w:r>
            <w:r>
              <w:rPr>
                <w:rFonts w:hint="eastAsia"/>
                <w:lang w:eastAsia="zh-CN"/>
              </w:rPr>
              <w:t>：勾选后，启用设备的特征库（应用特征库、URL特征库等）同步。</w:t>
            </w:r>
          </w:p>
          <w:p w14:paraId="2EB57CC1">
            <w:pPr>
              <w:pStyle w:val="207"/>
              <w:numPr>
                <w:ilvl w:val="0"/>
                <w:numId w:val="24"/>
              </w:numPr>
              <w:rPr>
                <w:lang w:eastAsia="zh-CN"/>
              </w:rPr>
            </w:pPr>
            <w:r>
              <w:rPr>
                <w:rFonts w:hint="eastAsia"/>
                <w:b/>
                <w:lang w:eastAsia="zh-CN"/>
              </w:rPr>
              <w:t>抢占模式</w:t>
            </w:r>
            <w:r>
              <w:rPr>
                <w:rFonts w:hint="eastAsia"/>
                <w:lang w:eastAsia="zh-CN"/>
              </w:rPr>
              <w:t>：启用抢占模式后，当前设备将优先工作于指定的主或备模式下。例如，选用了主模式后，即使HA组中另一台设备正常工作，本台设备也会“抢占”为主模式。HA组中两台设备的抢占模式只能选择一主一备，或者均不启用抢占模式，否则HA功能将无法正常工作。</w:t>
            </w:r>
          </w:p>
          <w:p w14:paraId="037FB4A9">
            <w:pPr>
              <w:pStyle w:val="207"/>
              <w:numPr>
                <w:ilvl w:val="0"/>
                <w:numId w:val="24"/>
              </w:numPr>
              <w:rPr>
                <w:lang w:eastAsia="zh-CN"/>
              </w:rPr>
            </w:pPr>
            <w:r>
              <w:rPr>
                <w:rFonts w:hint="eastAsia"/>
                <w:b/>
                <w:lang w:eastAsia="zh-CN"/>
              </w:rPr>
              <w:t>要求配置一致</w:t>
            </w:r>
            <w:r>
              <w:rPr>
                <w:rFonts w:hint="eastAsia"/>
                <w:lang w:eastAsia="zh-CN"/>
              </w:rPr>
              <w:t>：同时勾选</w:t>
            </w:r>
            <w:r>
              <w:rPr>
                <w:rFonts w:hint="eastAsia"/>
                <w:b/>
                <w:lang w:eastAsia="zh-CN"/>
              </w:rPr>
              <w:t>配置同步</w:t>
            </w:r>
            <w:r>
              <w:rPr>
                <w:rFonts w:hint="eastAsia"/>
                <w:lang w:eastAsia="zh-CN"/>
              </w:rPr>
              <w:t>、</w:t>
            </w:r>
            <w:r>
              <w:rPr>
                <w:rFonts w:hint="eastAsia"/>
                <w:b/>
                <w:lang w:eastAsia="zh-CN"/>
              </w:rPr>
              <w:t>抢占模式</w:t>
            </w:r>
            <w:r>
              <w:rPr>
                <w:rFonts w:hint="eastAsia"/>
                <w:lang w:eastAsia="zh-CN"/>
              </w:rPr>
              <w:t>和</w:t>
            </w:r>
            <w:r>
              <w:rPr>
                <w:rFonts w:hint="eastAsia"/>
                <w:b/>
                <w:lang w:eastAsia="zh-CN"/>
              </w:rPr>
              <w:t>要求配置一致</w:t>
            </w:r>
            <w:r>
              <w:rPr>
                <w:rFonts w:hint="eastAsia"/>
                <w:lang w:eastAsia="zh-CN"/>
              </w:rPr>
              <w:t>，当主备配置比对不相同时，将不再进行主备模式抢占，直至两端配置相同才会重新进行主备模式抢占。如果不勾选，主备机不管配置是否相同，均会进行主备模式抢占。</w:t>
            </w:r>
          </w:p>
          <w:p w14:paraId="554261E1">
            <w:pPr>
              <w:pStyle w:val="207"/>
              <w:numPr>
                <w:ilvl w:val="0"/>
                <w:numId w:val="24"/>
              </w:numPr>
              <w:rPr>
                <w:lang w:eastAsia="zh-CN"/>
              </w:rPr>
            </w:pPr>
            <w:r>
              <w:rPr>
                <w:rFonts w:hint="eastAsia"/>
                <w:b/>
                <w:lang w:eastAsia="zh-CN"/>
              </w:rPr>
              <w:t>延迟时间</w:t>
            </w:r>
            <w:r>
              <w:rPr>
                <w:rFonts w:hint="eastAsia"/>
                <w:lang w:eastAsia="zh-CN"/>
              </w:rPr>
              <w:t>：为避免HA设备之间频繁发生主备切换，备设备在切换到主设备之前会等待指定的延迟时间，只有在延迟时间后时间内依然能够正常运行才会抢占为主设备。</w:t>
            </w:r>
          </w:p>
          <w:p w14:paraId="6EB1CE33">
            <w:pPr>
              <w:pStyle w:val="150"/>
            </w:pPr>
            <w:r>
              <w:rPr>
                <w:rFonts w:hint="eastAsia"/>
              </w:rPr>
              <w:t>对于</w:t>
            </w:r>
            <w:r>
              <w:rPr>
                <w:rFonts w:hint="eastAsia"/>
                <w:b/>
              </w:rPr>
              <w:t>主</w:t>
            </w:r>
            <w:r>
              <w:rPr>
                <w:b/>
              </w:rPr>
              <w:t>-</w:t>
            </w:r>
            <w:r>
              <w:rPr>
                <w:rFonts w:hint="eastAsia"/>
                <w:b/>
              </w:rPr>
              <w:t>主模式</w:t>
            </w:r>
            <w:r>
              <w:rPr>
                <w:rFonts w:hint="eastAsia"/>
              </w:rPr>
              <w:t>，用户还需要完成以下配置：</w:t>
            </w:r>
          </w:p>
          <w:p w14:paraId="36407616">
            <w:pPr>
              <w:pStyle w:val="207"/>
              <w:numPr>
                <w:ilvl w:val="0"/>
                <w:numId w:val="24"/>
              </w:numPr>
              <w:rPr>
                <w:lang w:eastAsia="zh-CN"/>
              </w:rPr>
            </w:pPr>
            <w:r>
              <w:rPr>
                <w:rFonts w:hint="eastAsia"/>
                <w:b/>
                <w:lang w:eastAsia="zh-CN"/>
              </w:rPr>
              <w:t>运行状态同步</w:t>
            </w:r>
            <w:r>
              <w:rPr>
                <w:rFonts w:hint="eastAsia"/>
                <w:lang w:eastAsia="zh-CN"/>
              </w:rPr>
              <w:t>：勾选后，启用设备运行状态（Session信息：包括设备连接表、FBD、用户信息、PKI）同步。</w:t>
            </w:r>
          </w:p>
          <w:p w14:paraId="61FEF1B2">
            <w:pPr>
              <w:pStyle w:val="207"/>
              <w:numPr>
                <w:ilvl w:val="0"/>
                <w:numId w:val="24"/>
              </w:numPr>
              <w:rPr>
                <w:lang w:eastAsia="zh-CN"/>
              </w:rPr>
            </w:pPr>
            <w:r>
              <w:rPr>
                <w:rFonts w:hint="eastAsia"/>
                <w:b/>
                <w:lang w:eastAsia="zh-CN"/>
              </w:rPr>
              <w:t>监控接口地址同步</w:t>
            </w:r>
            <w:r>
              <w:rPr>
                <w:rFonts w:hint="eastAsia"/>
                <w:lang w:eastAsia="zh-CN"/>
              </w:rPr>
              <w:t>：勾选后，当其中一台HA主主设备发生故障，那么另一台会代理这台故障设备的IP地址。</w:t>
            </w:r>
          </w:p>
          <w:p w14:paraId="0C8B335A">
            <w:pPr>
              <w:pStyle w:val="207"/>
              <w:numPr>
                <w:ilvl w:val="0"/>
                <w:numId w:val="24"/>
              </w:numPr>
              <w:rPr>
                <w:lang w:eastAsia="zh-CN"/>
              </w:rPr>
            </w:pPr>
            <w:r>
              <w:rPr>
                <w:rFonts w:hint="eastAsia"/>
                <w:b/>
                <w:lang w:eastAsia="zh-CN"/>
              </w:rPr>
              <w:t>配置与库同步</w:t>
            </w:r>
            <w:r>
              <w:rPr>
                <w:rFonts w:hint="eastAsia"/>
                <w:lang w:eastAsia="zh-CN"/>
              </w:rPr>
              <w:t>：勾选</w:t>
            </w:r>
            <w:r>
              <w:rPr>
                <w:rFonts w:hint="eastAsia"/>
                <w:b/>
                <w:lang w:eastAsia="zh-CN"/>
              </w:rPr>
              <w:t>配置与库同步</w:t>
            </w:r>
            <w:r>
              <w:rPr>
                <w:rFonts w:hint="eastAsia"/>
                <w:lang w:eastAsia="zh-CN"/>
              </w:rPr>
              <w:t>，需要设置主控和备控设备，同步方向只能由主控设备同步到备控设备，不同步HA配置、接口配置、静态路由配置信息。不允许在备控设备上对可同步的配置项进行修改操作（如果手动修改备控设备的配置，会造成主控设备与被控设备对业务的处理不一致）。</w:t>
            </w:r>
          </w:p>
        </w:tc>
      </w:tr>
      <w:tr w14:paraId="50E2DE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0191E5B2">
            <w:pPr>
              <w:pStyle w:val="150"/>
            </w:pPr>
            <w:r>
              <w:rPr>
                <w:rFonts w:hint="eastAsia"/>
              </w:rPr>
              <w:t>通讯接口</w:t>
            </w:r>
          </w:p>
        </w:tc>
        <w:tc>
          <w:tcPr>
            <w:tcW w:w="7087" w:type="dxa"/>
            <w:shd w:val="clear" w:color="auto" w:fill="auto"/>
          </w:tcPr>
          <w:p w14:paraId="55258B4B">
            <w:pPr>
              <w:pStyle w:val="150"/>
            </w:pPr>
            <w:r>
              <w:rPr>
                <w:rFonts w:hint="eastAsia"/>
              </w:rPr>
              <w:t>选择HA设备之间的通讯接口，只能选择物理接口或聚合接口。该接口不参与报文转发，只用于发送设备心跳报文和同步报文。如果一个设备的通讯接口在规定时间没有收到邻居心跳报文，可以认定HA邻居已经失效。</w:t>
            </w:r>
          </w:p>
          <w:p w14:paraId="1C5DADD7">
            <w:pPr>
              <w:pStyle w:val="150"/>
            </w:pPr>
            <w:r>
              <w:rPr>
                <w:rFonts w:hint="eastAsia"/>
              </w:rPr>
              <w:t>通讯接口是二层接口，不需要配置IP地址，可跨二层部署心跳线，但是不可跨三层部署。</w:t>
            </w:r>
          </w:p>
        </w:tc>
      </w:tr>
      <w:tr w14:paraId="7BA54FA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2A708DB4">
            <w:pPr>
              <w:pStyle w:val="150"/>
            </w:pPr>
            <w:r>
              <w:rPr>
                <w:rFonts w:hint="eastAsia"/>
              </w:rPr>
              <w:t>被监控接口</w:t>
            </w:r>
          </w:p>
        </w:tc>
        <w:tc>
          <w:tcPr>
            <w:tcW w:w="7087" w:type="dxa"/>
            <w:shd w:val="clear" w:color="auto" w:fill="auto"/>
          </w:tcPr>
          <w:p w14:paraId="3AF8F394">
            <w:pPr>
              <w:pStyle w:val="150"/>
            </w:pPr>
            <w:r>
              <w:rPr>
                <w:rFonts w:hint="eastAsia"/>
              </w:rPr>
              <w:t>选择HA设备的被监控接口，如果此接口状态为down会执行主备切换（主-备模式），或由另一台设备接管流量转发任务（主-主模式）。有关接口状态监测的更多信息，请参考“接口状态同步组”章节。。</w:t>
            </w:r>
          </w:p>
        </w:tc>
      </w:tr>
      <w:tr w14:paraId="1A959F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0FEDA02C">
            <w:pPr>
              <w:pStyle w:val="150"/>
            </w:pPr>
            <w:r>
              <w:rPr>
                <w:rFonts w:hint="eastAsia"/>
              </w:rPr>
              <w:t>地址探测</w:t>
            </w:r>
          </w:p>
        </w:tc>
        <w:tc>
          <w:tcPr>
            <w:tcW w:w="7087" w:type="dxa"/>
            <w:shd w:val="clear" w:color="auto" w:fill="auto"/>
          </w:tcPr>
          <w:p w14:paraId="2A267E0B">
            <w:pPr>
              <w:pStyle w:val="150"/>
            </w:pPr>
            <w:r>
              <w:rPr>
                <w:rFonts w:hint="eastAsia"/>
              </w:rPr>
              <w:t>选择引用地址探测对象，如果探测失败系统会认定该条链路不可用，执行主备切换（主-备模式），或由另一台设备接管流量（主-主模式）。</w:t>
            </w:r>
          </w:p>
          <w:p w14:paraId="21BE3F78">
            <w:pPr>
              <w:pStyle w:val="150"/>
            </w:pPr>
            <w:r>
              <w:rPr>
                <w:rFonts w:hint="eastAsia"/>
              </w:rPr>
              <w:t>地址探测出接口需配置管理IP且到探测IP可达，非共享网络地址探测不建议配置地址探测。</w:t>
            </w:r>
          </w:p>
        </w:tc>
      </w:tr>
    </w:tbl>
    <w:p w14:paraId="194E6CF3"/>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6540A186">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4A1652F6">
            <w:pPr>
              <w:pStyle w:val="150"/>
              <w:adjustRightInd w:val="0"/>
              <w:snapToGrid w:val="0"/>
              <w:rPr>
                <w:color w:val="auto"/>
              </w:rPr>
            </w:pPr>
            <w:r>
              <w:rPr>
                <w:b/>
                <w:color w:val="00A0E9"/>
              </w:rPr>
              <w:drawing>
                <wp:inline distT="0" distB="0" distL="0" distR="0">
                  <wp:extent cx="260350" cy="260350"/>
                  <wp:effectExtent l="0" t="0" r="6350" b="6350"/>
                  <wp:docPr id="967" name="图片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图片 967"/>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0470" cy="260470"/>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5B2994DC">
            <w:pPr>
              <w:pStyle w:val="150"/>
              <w:adjustRightInd w:val="0"/>
              <w:snapToGrid w:val="0"/>
              <w:rPr>
                <w:color w:val="auto"/>
              </w:rPr>
            </w:pPr>
            <w:r>
              <w:rPr>
                <w:color w:val="auto"/>
              </w:rPr>
              <w:t>HA同步时，必须要保证通过HA接口实际转发的流量小于HA心跳接口物理最大带宽，心跳口带宽不够会导致消息不同步，因此HA心跳口带宽推荐为现网实际流量大小的3倍。</w:t>
            </w:r>
          </w:p>
        </w:tc>
      </w:tr>
    </w:tbl>
    <w:p w14:paraId="403D99F4"/>
    <w:p w14:paraId="70B656E7">
      <w:pPr>
        <w:pStyle w:val="5"/>
      </w:pPr>
      <w:bookmarkStart w:id="11671" w:name="_Toc15485386"/>
      <w:bookmarkStart w:id="11672" w:name="_Toc6237789"/>
      <w:bookmarkStart w:id="11673" w:name="_Toc23153140"/>
      <w:bookmarkStart w:id="11674" w:name="_Ref393202783"/>
      <w:bookmarkStart w:id="11675" w:name="_Ref393202771"/>
      <w:bookmarkStart w:id="11676" w:name="_Toc40276561"/>
      <w:bookmarkStart w:id="11677" w:name="_Toc141873866"/>
      <w:bookmarkStart w:id="11678" w:name="_Toc194081260"/>
      <w:bookmarkStart w:id="11679" w:name="_Toc196728588"/>
      <w:bookmarkStart w:id="11680" w:name="_Toc172218674"/>
      <w:bookmarkStart w:id="11681" w:name="_Toc142401383"/>
      <w:r>
        <w:rPr>
          <w:rFonts w:hint="eastAsia"/>
        </w:rPr>
        <w:t>HA</w:t>
      </w:r>
      <w:bookmarkEnd w:id="11671"/>
      <w:bookmarkEnd w:id="11672"/>
      <w:bookmarkEnd w:id="11673"/>
      <w:bookmarkEnd w:id="11674"/>
      <w:bookmarkEnd w:id="11675"/>
      <w:bookmarkEnd w:id="11676"/>
      <w:r>
        <w:rPr>
          <w:rFonts w:hint="eastAsia"/>
        </w:rPr>
        <w:t>监控</w:t>
      </w:r>
      <w:bookmarkEnd w:id="11677"/>
      <w:bookmarkEnd w:id="11678"/>
      <w:bookmarkEnd w:id="11679"/>
      <w:bookmarkEnd w:id="11680"/>
      <w:bookmarkEnd w:id="11681"/>
    </w:p>
    <w:p w14:paraId="1E30D7B4">
      <w:pPr>
        <w:pStyle w:val="6"/>
      </w:pPr>
      <w:r>
        <w:rPr>
          <w:rFonts w:hint="eastAsia"/>
        </w:rPr>
        <w:t>主-备模式</w:t>
      </w:r>
    </w:p>
    <w:p w14:paraId="52CFCA90">
      <w:r>
        <w:rPr>
          <w:rFonts w:hint="eastAsia"/>
        </w:rPr>
        <w:t>配置完成后选择HA监控页签，查看本地和对端设备的状态及信息同步情况。如果HA双方配置尚未同步，点击&lt;同步配置&gt;立即执行同步；点击&lt;主备切换&gt;手动切换主备模式（仅适用于未启用抢占功能的主-备模式）。</w:t>
      </w:r>
    </w:p>
    <w:p w14:paraId="089ADCAB">
      <w:pPr>
        <w:pStyle w:val="175"/>
      </w:pPr>
      <w:r>
        <w:t xml:space="preserve"> </w:t>
      </w:r>
      <w:r>
        <w:drawing>
          <wp:inline distT="0" distB="0" distL="0" distR="0">
            <wp:extent cx="5038725" cy="4387215"/>
            <wp:effectExtent l="0" t="0" r="0" b="0"/>
            <wp:docPr id="969" name="图片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图片 969"/>
                    <pic:cNvPicPr>
                      <a:picLocks noChangeAspect="1"/>
                    </pic:cNvPicPr>
                  </pic:nvPicPr>
                  <pic:blipFill>
                    <a:blip r:embed="rId1288"/>
                    <a:stretch>
                      <a:fillRect/>
                    </a:stretch>
                  </pic:blipFill>
                  <pic:spPr>
                    <a:xfrm>
                      <a:off x="0" y="0"/>
                      <a:ext cx="5045834" cy="4394002"/>
                    </a:xfrm>
                    <a:prstGeom prst="rect">
                      <a:avLst/>
                    </a:prstGeom>
                  </pic:spPr>
                </pic:pic>
              </a:graphicData>
            </a:graphic>
          </wp:inline>
        </w:drawing>
      </w:r>
    </w:p>
    <w:p w14:paraId="3810443E"/>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1CF405A4">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6E01FE98">
            <w:pPr>
              <w:pStyle w:val="150"/>
              <w:adjustRightInd w:val="0"/>
              <w:snapToGrid w:val="0"/>
              <w:rPr>
                <w:color w:val="auto"/>
              </w:rPr>
            </w:pPr>
            <w:bookmarkStart w:id="11682" w:name="OLE_LINK94"/>
            <w:r>
              <w:rPr>
                <w:b/>
                <w:color w:val="auto"/>
              </w:rPr>
              <w:drawing>
                <wp:inline distT="0" distB="0" distL="0" distR="0">
                  <wp:extent cx="283210" cy="283210"/>
                  <wp:effectExtent l="0" t="0" r="2540" b="2540"/>
                  <wp:docPr id="970" name="图片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图片 970"/>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3E2C1EFD">
            <w:pPr>
              <w:pStyle w:val="207"/>
              <w:adjustRightInd w:val="0"/>
              <w:snapToGrid w:val="0"/>
              <w:rPr>
                <w:color w:val="auto"/>
                <w:lang w:eastAsia="zh-CN"/>
              </w:rPr>
            </w:pPr>
            <w:r>
              <w:rPr>
                <w:rFonts w:hint="eastAsia"/>
                <w:color w:val="auto"/>
                <w:lang w:eastAsia="zh-CN"/>
              </w:rPr>
              <w:t>若主设备与备设备配置不相同，则&lt;同步配置&gt;可点击；若主设备与备设备配置相同，则&lt;同步配置&gt;置灰，无法点击。</w:t>
            </w:r>
          </w:p>
          <w:p w14:paraId="5D90F42B">
            <w:pPr>
              <w:pStyle w:val="207"/>
              <w:adjustRightInd w:val="0"/>
              <w:snapToGrid w:val="0"/>
              <w:rPr>
                <w:color w:val="auto"/>
                <w:lang w:eastAsia="zh-CN"/>
              </w:rPr>
            </w:pPr>
            <w:r>
              <w:rPr>
                <w:rFonts w:hint="eastAsia"/>
                <w:color w:val="auto"/>
                <w:lang w:eastAsia="zh-CN"/>
              </w:rPr>
              <w:t>若未启用抢占模式，则&lt;主备切换&gt;可点击；若启用抢占模式，则&lt;主备切换&gt;置灰，无法点击。</w:t>
            </w:r>
          </w:p>
        </w:tc>
      </w:tr>
      <w:bookmarkEnd w:id="11682"/>
    </w:tbl>
    <w:p w14:paraId="21C2F2A3"/>
    <w:p w14:paraId="4EE32597">
      <w:pPr>
        <w:pStyle w:val="6"/>
      </w:pPr>
      <w:r>
        <w:rPr>
          <w:rFonts w:hint="eastAsia"/>
        </w:rPr>
        <w:t>主-主模式</w:t>
      </w:r>
    </w:p>
    <w:p w14:paraId="7B25EB8B">
      <w:pPr>
        <w:spacing w:before="120" w:after="120"/>
      </w:pPr>
      <w:bookmarkStart w:id="11683" w:name="_Toc497293896"/>
      <w:bookmarkEnd w:id="11683"/>
      <w:bookmarkStart w:id="11684" w:name="_Ref393202787"/>
      <w:bookmarkStart w:id="11685" w:name="_Ref393202774"/>
      <w:r>
        <w:rPr>
          <w:rFonts w:hint="eastAsia"/>
        </w:rPr>
        <w:t>HA主主配置同步支持全量同步和增量同步两种方式：</w:t>
      </w:r>
    </w:p>
    <w:p w14:paraId="78CA1D97">
      <w:pPr>
        <w:pStyle w:val="202"/>
      </w:pPr>
      <w:r>
        <w:t>全量同步</w:t>
      </w:r>
    </w:p>
    <w:p w14:paraId="7CDE31D9">
      <w:r>
        <w:rPr>
          <w:rFonts w:hint="eastAsia"/>
        </w:rPr>
        <w:t>主控设备周期性和备控设备进行配置文件比对，如配置不一致，主控设备、备控设备均提示配置不相同。可在主控的“</w:t>
      </w:r>
      <w:r>
        <w:t>HA</w:t>
      </w:r>
      <w:r>
        <w:rPr>
          <w:rFonts w:hint="eastAsia"/>
        </w:rPr>
        <w:t>监控”页面点击&lt;同步配置&gt;，将配置文件内容全量同步到备控设备，并触发备控设备自动重启，重启后配置生效。备控设备重启完毕后，除了HA配置、接口配置、静态路由配置信息，其他配置信息都会被同步。</w:t>
      </w:r>
    </w:p>
    <w:p w14:paraId="732B45BE">
      <w:pPr>
        <w:spacing w:before="78" w:after="78"/>
      </w:pPr>
      <w:r>
        <w:drawing>
          <wp:inline distT="0" distB="0" distL="0" distR="0">
            <wp:extent cx="5400040" cy="3296920"/>
            <wp:effectExtent l="0" t="0" r="0" b="0"/>
            <wp:docPr id="906" name="图片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图片 906"/>
                    <pic:cNvPicPr>
                      <a:picLocks noChangeAspect="1"/>
                    </pic:cNvPicPr>
                  </pic:nvPicPr>
                  <pic:blipFill>
                    <a:blip r:embed="rId1289"/>
                    <a:stretch>
                      <a:fillRect/>
                    </a:stretch>
                  </pic:blipFill>
                  <pic:spPr>
                    <a:xfrm>
                      <a:off x="0" y="0"/>
                      <a:ext cx="5400040" cy="3297524"/>
                    </a:xfrm>
                    <a:prstGeom prst="rect">
                      <a:avLst/>
                    </a:prstGeom>
                  </pic:spPr>
                </pic:pic>
              </a:graphicData>
            </a:graphic>
          </wp:inline>
        </w:drawing>
      </w:r>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245E0785">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6FA382DB">
            <w:pPr>
              <w:pStyle w:val="150"/>
              <w:adjustRightInd w:val="0"/>
              <w:snapToGrid w:val="0"/>
              <w:rPr>
                <w:color w:val="auto"/>
              </w:rPr>
            </w:pPr>
            <w:r>
              <w:rPr>
                <w:b/>
                <w:color w:val="auto"/>
              </w:rPr>
              <w:drawing>
                <wp:inline distT="0" distB="0" distL="0" distR="0">
                  <wp:extent cx="283210" cy="283210"/>
                  <wp:effectExtent l="0" t="0" r="2540" b="2540"/>
                  <wp:docPr id="971" name="图片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图片 97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5FBB60BB">
            <w:pPr>
              <w:pStyle w:val="207"/>
              <w:adjustRightInd w:val="0"/>
              <w:snapToGrid w:val="0"/>
              <w:rPr>
                <w:color w:val="auto"/>
                <w:lang w:eastAsia="zh-CN"/>
              </w:rPr>
            </w:pPr>
            <w:r>
              <w:rPr>
                <w:rFonts w:hint="eastAsia"/>
                <w:color w:val="auto"/>
                <w:lang w:eastAsia="zh-CN"/>
              </w:rPr>
              <w:t>配置和库同步的方向只能是从主控设备到备控设备，备控设备不能将配置同步至主控设备。</w:t>
            </w:r>
          </w:p>
          <w:p w14:paraId="327ACD56">
            <w:pPr>
              <w:pStyle w:val="207"/>
              <w:adjustRightInd w:val="0"/>
              <w:snapToGrid w:val="0"/>
              <w:rPr>
                <w:color w:val="auto"/>
                <w:lang w:eastAsia="zh-CN"/>
              </w:rPr>
            </w:pPr>
            <w:r>
              <w:rPr>
                <w:rFonts w:hint="eastAsia"/>
                <w:color w:val="auto"/>
                <w:lang w:eastAsia="zh-CN"/>
              </w:rPr>
              <w:t>若两台主主设备配置不相同，则主控设备可点击&lt;同步配置&gt;；若两台主主设备配置相同，则主控设备的&lt;同步配置&gt;置灰，无法点击。</w:t>
            </w:r>
          </w:p>
          <w:p w14:paraId="6EE00CF5">
            <w:pPr>
              <w:pStyle w:val="207"/>
              <w:adjustRightInd w:val="0"/>
              <w:snapToGrid w:val="0"/>
              <w:rPr>
                <w:color w:val="auto"/>
                <w:lang w:eastAsia="zh-CN"/>
              </w:rPr>
            </w:pPr>
            <w:r>
              <w:rPr>
                <w:rFonts w:hint="eastAsia"/>
                <w:color w:val="auto"/>
                <w:lang w:eastAsia="zh-CN"/>
              </w:rPr>
              <w:t>特征库同步的前提是：主控设备的特征库的版本比备控设备的特征库版本高。</w:t>
            </w:r>
          </w:p>
        </w:tc>
      </w:tr>
    </w:tbl>
    <w:p w14:paraId="64DA379B">
      <w:pPr>
        <w:spacing w:before="120" w:after="120"/>
      </w:pPr>
    </w:p>
    <w:p w14:paraId="54578B39">
      <w:pPr>
        <w:pStyle w:val="202"/>
      </w:pPr>
      <w:r>
        <w:t>增量同步</w:t>
      </w:r>
    </w:p>
    <w:p w14:paraId="3D84E771">
      <w:pPr>
        <w:spacing w:before="120" w:after="120"/>
      </w:pPr>
      <w:r>
        <w:rPr>
          <w:rFonts w:hint="eastAsia"/>
        </w:rPr>
        <w:t>HA主主关系建立起来之后，如果修改了配置，对所修改的配置实现增量同步，同步方向只能由主控设备同步到备控设备，备控设备不允许对可同步配置项进行配置。备控设备不需要重启，除了HA配置、接口配置、静态路由配置信息，其他配置信息都会被同步。</w:t>
      </w:r>
    </w:p>
    <w:p w14:paraId="2EAFBCCF">
      <w:pPr>
        <w:spacing w:before="120" w:after="120"/>
      </w:pPr>
      <w:r>
        <w:rPr>
          <w:rFonts w:hint="eastAsia"/>
        </w:rPr>
        <w:t>HA主-主模式提供主控与备控角色的交换功能。一个设备为主控设备，另一个设备为备控设备。在主控设备的</w:t>
      </w:r>
      <w:r>
        <w:rPr>
          <w:rStyle w:val="375"/>
          <w:rFonts w:hint="eastAsia"/>
        </w:rPr>
        <w:t>“</w:t>
      </w:r>
      <w:r>
        <w:rPr>
          <w:rStyle w:val="375"/>
        </w:rPr>
        <w:t>HA</w:t>
      </w:r>
      <w:r>
        <w:rPr>
          <w:rStyle w:val="375"/>
          <w:rFonts w:hint="eastAsia"/>
        </w:rPr>
        <w:t>监控”页面点击&lt;配置角色切换&gt;</w:t>
      </w:r>
      <w:r>
        <w:rPr>
          <w:rFonts w:hint="eastAsia"/>
        </w:rPr>
        <w:t>，可以将主控设备切换为备控设备，对端切换为主控设备。</w:t>
      </w:r>
    </w:p>
    <w:p w14:paraId="26EB141D">
      <w:pPr>
        <w:spacing w:before="78" w:after="78"/>
      </w:pPr>
      <w:r>
        <w:drawing>
          <wp:inline distT="0" distB="0" distL="0" distR="0">
            <wp:extent cx="5143500" cy="3616325"/>
            <wp:effectExtent l="0" t="0" r="0" b="3175"/>
            <wp:docPr id="907" name="图片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图片 907"/>
                    <pic:cNvPicPr>
                      <a:picLocks noChangeAspect="1"/>
                    </pic:cNvPicPr>
                  </pic:nvPicPr>
                  <pic:blipFill>
                    <a:blip r:embed="rId1290"/>
                    <a:stretch>
                      <a:fillRect/>
                    </a:stretch>
                  </pic:blipFill>
                  <pic:spPr>
                    <a:xfrm>
                      <a:off x="0" y="0"/>
                      <a:ext cx="5164224" cy="3630963"/>
                    </a:xfrm>
                    <a:prstGeom prst="rect">
                      <a:avLst/>
                    </a:prstGeom>
                  </pic:spPr>
                </pic:pic>
              </a:graphicData>
            </a:graphic>
          </wp:inline>
        </w:drawing>
      </w:r>
    </w:p>
    <w:p w14:paraId="236F57E1">
      <w:pPr>
        <w:spacing w:before="120" w:after="120"/>
      </w:pPr>
    </w:p>
    <w:p w14:paraId="593E375B"/>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240FB41D">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54D49BF9">
            <w:pPr>
              <w:pStyle w:val="150"/>
              <w:adjustRightInd w:val="0"/>
              <w:snapToGrid w:val="0"/>
              <w:rPr>
                <w:color w:val="auto"/>
              </w:rPr>
            </w:pPr>
            <w:bookmarkStart w:id="11686" w:name="OLE_LINK95"/>
            <w:r>
              <w:rPr>
                <w:b/>
                <w:color w:val="auto"/>
              </w:rPr>
              <w:drawing>
                <wp:inline distT="0" distB="0" distL="0" distR="0">
                  <wp:extent cx="283210" cy="283210"/>
                  <wp:effectExtent l="0" t="0" r="2540" b="2540"/>
                  <wp:docPr id="973" name="图片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图片 97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4E547F55">
            <w:pPr>
              <w:pStyle w:val="207"/>
              <w:adjustRightInd w:val="0"/>
              <w:snapToGrid w:val="0"/>
              <w:rPr>
                <w:color w:val="auto"/>
                <w:lang w:eastAsia="zh-CN"/>
              </w:rPr>
            </w:pPr>
            <w:r>
              <w:rPr>
                <w:rFonts w:hint="eastAsia"/>
                <w:color w:val="auto"/>
                <w:lang w:eastAsia="zh-CN"/>
              </w:rPr>
              <w:t>仅支持在主控设备上进行配置角色切换操作。</w:t>
            </w:r>
          </w:p>
          <w:p w14:paraId="7B707399">
            <w:pPr>
              <w:pStyle w:val="207"/>
              <w:adjustRightInd w:val="0"/>
              <w:snapToGrid w:val="0"/>
              <w:rPr>
                <w:color w:val="auto"/>
                <w:lang w:eastAsia="zh-CN"/>
              </w:rPr>
            </w:pPr>
            <w:r>
              <w:rPr>
                <w:rFonts w:hint="eastAsia"/>
                <w:color w:val="auto"/>
                <w:lang w:eastAsia="zh-CN"/>
              </w:rPr>
              <w:t>只有当在两台设备被配置为一个主控、一个备控时，主控设备才可以切换角色。</w:t>
            </w:r>
          </w:p>
        </w:tc>
      </w:tr>
      <w:bookmarkEnd w:id="11686"/>
    </w:tbl>
    <w:p w14:paraId="66A643A1"/>
    <w:p w14:paraId="42DE793F">
      <w:pPr>
        <w:pStyle w:val="5"/>
      </w:pPr>
      <w:bookmarkStart w:id="11687" w:name="_Toc142401384"/>
      <w:bookmarkStart w:id="11688" w:name="_Toc194081261"/>
      <w:bookmarkStart w:id="11689" w:name="_Toc196728589"/>
      <w:bookmarkStart w:id="11690" w:name="_Ref529434021"/>
      <w:bookmarkStart w:id="11691" w:name="_Toc6237790"/>
      <w:bookmarkStart w:id="11692" w:name="_Toc40276562"/>
      <w:bookmarkStart w:id="11693" w:name="_Toc172218675"/>
      <w:bookmarkStart w:id="11694" w:name="_Toc15485387"/>
      <w:bookmarkStart w:id="11695" w:name="_Toc23153141"/>
      <w:bookmarkStart w:id="11696" w:name="_Toc141873867"/>
      <w:r>
        <w:t>配置HA接口管理地址</w:t>
      </w:r>
      <w:bookmarkEnd w:id="11684"/>
      <w:bookmarkEnd w:id="11685"/>
      <w:bookmarkEnd w:id="11687"/>
      <w:bookmarkEnd w:id="11688"/>
      <w:bookmarkEnd w:id="11689"/>
      <w:bookmarkEnd w:id="11690"/>
      <w:bookmarkEnd w:id="11691"/>
      <w:bookmarkEnd w:id="11692"/>
      <w:bookmarkEnd w:id="11693"/>
      <w:bookmarkEnd w:id="11694"/>
      <w:bookmarkEnd w:id="11695"/>
      <w:bookmarkEnd w:id="11696"/>
    </w:p>
    <w:p w14:paraId="6BDE41E5">
      <w:r>
        <w:rPr>
          <w:rFonts w:hint="eastAsia"/>
        </w:rPr>
        <w:t>处于备状态的HA设备不会参与网络转发，因此无法通过其接口配置的IP地址访问设备。为了解决这一问题，可以在设备上配置HA接口管理地址，用作备设备的网络管理地址。管理员可以从外部访问备设备的Web管理平台和CLI界面。</w:t>
      </w:r>
    </w:p>
    <w:p w14:paraId="3143BFFC"/>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6932EE69">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586057B8">
            <w:pPr>
              <w:pStyle w:val="150"/>
              <w:adjustRightInd w:val="0"/>
              <w:snapToGrid w:val="0"/>
              <w:rPr>
                <w:color w:val="auto"/>
              </w:rPr>
            </w:pPr>
            <w:r>
              <w:rPr>
                <w:b/>
                <w:color w:val="auto"/>
              </w:rPr>
              <w:drawing>
                <wp:inline distT="0" distB="0" distL="0" distR="0">
                  <wp:extent cx="283210" cy="283210"/>
                  <wp:effectExtent l="0" t="0" r="2540" b="2540"/>
                  <wp:docPr id="979" name="图片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图片 979"/>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03121EC4">
            <w:pPr>
              <w:pStyle w:val="150"/>
              <w:adjustRightInd w:val="0"/>
              <w:snapToGrid w:val="0"/>
              <w:rPr>
                <w:color w:val="auto"/>
              </w:rPr>
            </w:pPr>
            <w:r>
              <w:rPr>
                <w:rFonts w:hint="eastAsia"/>
                <w:color w:val="auto"/>
              </w:rPr>
              <w:t>在HA主备和主主模式下，建议两台设备都配置管理IP。目的是防止当其中一台设备故障不转发数据的情况下，依然可以通过管理IP对设备进行管理。</w:t>
            </w:r>
          </w:p>
        </w:tc>
      </w:tr>
    </w:tbl>
    <w:p w14:paraId="46583643"/>
    <w:p w14:paraId="0F28FB25">
      <w:r>
        <w:rPr>
          <w:rFonts w:hint="eastAsia"/>
        </w:rPr>
        <w:t>在导航栏中选择“系统管理 &gt; 系统设定 &gt; 高可用性</w:t>
      </w:r>
      <w:r>
        <w:t xml:space="preserve"> &gt; HA</w:t>
      </w:r>
      <w:r>
        <w:rPr>
          <w:rFonts w:hint="eastAsia"/>
        </w:rPr>
        <w:t>全局配置”，点击页面上方的“</w:t>
      </w:r>
      <w:r>
        <w:t>HA</w:t>
      </w:r>
      <w:r>
        <w:rPr>
          <w:rFonts w:hint="eastAsia"/>
        </w:rPr>
        <w:t>接口管理地址”标签，进入</w:t>
      </w:r>
      <w:r>
        <w:t>HA</w:t>
      </w:r>
      <w:r>
        <w:rPr>
          <w:rFonts w:hint="eastAsia"/>
        </w:rPr>
        <w:t>接口管理地址配置页面，如</w:t>
      </w:r>
      <w:r>
        <w:rPr>
          <w:color w:val="0000FF"/>
          <w:u w:val="single"/>
        </w:rPr>
        <w:fldChar w:fldCharType="begin"/>
      </w:r>
      <w:r>
        <w:rPr>
          <w:color w:val="0000FF"/>
          <w:u w:val="single"/>
        </w:rPr>
        <w:instrText xml:space="preserve"> REF _Ref393185169 \r \h </w:instrText>
      </w:r>
      <w:r>
        <w:rPr>
          <w:color w:val="0000FF"/>
          <w:u w:val="single"/>
        </w:rPr>
        <w:fldChar w:fldCharType="separate"/>
      </w:r>
      <w:r>
        <w:rPr>
          <w:rFonts w:hint="eastAsia"/>
          <w:color w:val="0000FF"/>
          <w:u w:val="single"/>
        </w:rPr>
        <w:t>图34-5</w:t>
      </w:r>
      <w:r>
        <w:rPr>
          <w:color w:val="0000FF"/>
          <w:u w:val="single"/>
        </w:rPr>
        <w:fldChar w:fldCharType="end"/>
      </w:r>
      <w:r>
        <w:rPr>
          <w:rFonts w:hint="eastAsia"/>
        </w:rPr>
        <w:t>所示。</w:t>
      </w:r>
    </w:p>
    <w:p w14:paraId="323770B1">
      <w:pPr>
        <w:pStyle w:val="188"/>
      </w:pPr>
      <w:bookmarkStart w:id="11697" w:name="_Ref393185169"/>
      <w:bookmarkStart w:id="11698" w:name="_Toc141875319"/>
      <w:r>
        <w:rPr>
          <w:rFonts w:hint="eastAsia"/>
        </w:rPr>
        <w:t>HA接口管理地址页面</w:t>
      </w:r>
      <w:bookmarkEnd w:id="11697"/>
      <w:bookmarkEnd w:id="11698"/>
    </w:p>
    <w:p w14:paraId="13EAFD43">
      <w:r>
        <w:drawing>
          <wp:inline distT="0" distB="0" distL="0" distR="0">
            <wp:extent cx="5572125" cy="1102360"/>
            <wp:effectExtent l="0" t="0" r="0" b="0"/>
            <wp:docPr id="3334" name="图片 3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4" name="图片 3334"/>
                    <pic:cNvPicPr>
                      <a:picLocks noChangeAspect="1"/>
                    </pic:cNvPicPr>
                  </pic:nvPicPr>
                  <pic:blipFill>
                    <a:blip r:embed="rId1291"/>
                    <a:stretch>
                      <a:fillRect/>
                    </a:stretch>
                  </pic:blipFill>
                  <pic:spPr>
                    <a:xfrm>
                      <a:off x="0" y="0"/>
                      <a:ext cx="5576811" cy="1103328"/>
                    </a:xfrm>
                    <a:prstGeom prst="rect">
                      <a:avLst/>
                    </a:prstGeom>
                  </pic:spPr>
                </pic:pic>
              </a:graphicData>
            </a:graphic>
          </wp:inline>
        </w:drawing>
      </w:r>
    </w:p>
    <w:p w14:paraId="3902A757"/>
    <w:p w14:paraId="35DA90B1">
      <w:r>
        <w:rPr>
          <w:rFonts w:hint="eastAsia"/>
        </w:rPr>
        <w:t>页面的详细说明如</w:t>
      </w:r>
      <w:r>
        <w:fldChar w:fldCharType="begin"/>
      </w:r>
      <w:r>
        <w:instrText xml:space="preserve"> REF _Ref393185263 \r \h </w:instrText>
      </w:r>
      <w:r>
        <w:fldChar w:fldCharType="separate"/>
      </w:r>
      <w:r>
        <w:rPr>
          <w:rFonts w:hint="eastAsia"/>
        </w:rPr>
        <w:t>表34-1</w:t>
      </w:r>
      <w:r>
        <w:fldChar w:fldCharType="end"/>
      </w:r>
      <w:r>
        <w:rPr>
          <w:rFonts w:hint="eastAsia"/>
        </w:rPr>
        <w:t>。</w:t>
      </w:r>
    </w:p>
    <w:p w14:paraId="1CEDB935">
      <w:pPr>
        <w:pStyle w:val="183"/>
      </w:pPr>
      <w:bookmarkStart w:id="11699" w:name="_Ref393185263"/>
      <w:bookmarkStart w:id="11700" w:name="_Toc141875795"/>
      <w:r>
        <w:rPr>
          <w:rFonts w:hint="eastAsia"/>
        </w:rPr>
        <w:t>HA接口管理地址的详细说明</w:t>
      </w:r>
      <w:bookmarkEnd w:id="11699"/>
      <w:bookmarkEnd w:id="11700"/>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052BB4D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tcBorders>
              <w:tl2br w:val="nil"/>
              <w:tr2bl w:val="nil"/>
            </w:tcBorders>
            <w:shd w:val="clear" w:color="auto" w:fill="538135" w:themeFill="accent6" w:themeFillShade="BF"/>
            <w:vAlign w:val="center"/>
          </w:tcPr>
          <w:p w14:paraId="66E6F719">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7" w:type="dxa"/>
            <w:tcBorders>
              <w:tl2br w:val="nil"/>
              <w:tr2bl w:val="nil"/>
            </w:tcBorders>
            <w:shd w:val="clear" w:color="auto" w:fill="538135" w:themeFill="accent6" w:themeFillShade="BF"/>
            <w:vAlign w:val="center"/>
          </w:tcPr>
          <w:p w14:paraId="45A279E9">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7DA94E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78C563BC">
            <w:pPr>
              <w:pStyle w:val="150"/>
            </w:pPr>
            <w:r>
              <w:rPr>
                <w:rFonts w:hint="eastAsia"/>
              </w:rPr>
              <w:t>接口名称</w:t>
            </w:r>
          </w:p>
        </w:tc>
        <w:tc>
          <w:tcPr>
            <w:tcW w:w="6817" w:type="dxa"/>
            <w:shd w:val="clear" w:color="auto" w:fill="auto"/>
          </w:tcPr>
          <w:p w14:paraId="47901603">
            <w:pPr>
              <w:pStyle w:val="150"/>
            </w:pPr>
            <w:r>
              <w:rPr>
                <w:rFonts w:hint="eastAsia"/>
              </w:rPr>
              <w:t>配置管理地址接口名称。</w:t>
            </w:r>
          </w:p>
        </w:tc>
      </w:tr>
      <w:tr w14:paraId="15846BB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633657EC">
            <w:pPr>
              <w:pStyle w:val="150"/>
            </w:pPr>
            <w:r>
              <w:rPr>
                <w:rFonts w:hint="eastAsia"/>
              </w:rPr>
              <w:t>管理地址</w:t>
            </w:r>
          </w:p>
        </w:tc>
        <w:tc>
          <w:tcPr>
            <w:tcW w:w="6817" w:type="dxa"/>
            <w:shd w:val="clear" w:color="auto" w:fill="auto"/>
          </w:tcPr>
          <w:p w14:paraId="36D7F2A5">
            <w:pPr>
              <w:pStyle w:val="150"/>
            </w:pPr>
            <w:r>
              <w:rPr>
                <w:rFonts w:hint="eastAsia"/>
              </w:rPr>
              <w:t>接口配置的管理地址。</w:t>
            </w:r>
          </w:p>
        </w:tc>
      </w:tr>
      <w:tr w14:paraId="35086F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14257280">
            <w:pPr>
              <w:pStyle w:val="150"/>
            </w:pPr>
            <w:r>
              <w:rPr>
                <w:rFonts w:hint="eastAsia"/>
              </w:rPr>
              <w:t>操作</w:t>
            </w:r>
          </w:p>
        </w:tc>
        <w:tc>
          <w:tcPr>
            <w:tcW w:w="6817" w:type="dxa"/>
            <w:shd w:val="clear" w:color="auto" w:fill="auto"/>
          </w:tcPr>
          <w:p w14:paraId="7BA64740">
            <w:pPr>
              <w:pStyle w:val="150"/>
            </w:pPr>
            <w:r>
              <w:rPr>
                <w:rFonts w:hint="eastAsia"/>
              </w:rPr>
              <w:t>对管理地址可进行的操作。</w:t>
            </w:r>
          </w:p>
        </w:tc>
      </w:tr>
    </w:tbl>
    <w:p w14:paraId="1FAFB721"/>
    <w:p w14:paraId="33112A95">
      <w:r>
        <w:rPr>
          <w:rFonts w:hint="eastAsia"/>
        </w:rPr>
        <w:t>点击</w:t>
      </w:r>
      <w:r>
        <w:t>&lt;</w:t>
      </w:r>
      <w:r>
        <w:rPr>
          <w:rFonts w:hint="eastAsia"/>
        </w:rPr>
        <w:t>新建</w:t>
      </w:r>
      <w:r>
        <w:t>&gt;</w:t>
      </w:r>
      <w:r>
        <w:rPr>
          <w:rFonts w:hint="eastAsia"/>
        </w:rPr>
        <w:t>按钮，进入</w:t>
      </w:r>
      <w:r>
        <w:t>HA</w:t>
      </w:r>
      <w:r>
        <w:rPr>
          <w:rFonts w:hint="eastAsia"/>
        </w:rPr>
        <w:t>接口管理地址的新建页面，如</w:t>
      </w:r>
      <w:r>
        <w:fldChar w:fldCharType="begin"/>
      </w:r>
      <w:r>
        <w:instrText xml:space="preserve"> REF _Ref393202833 \r \h </w:instrText>
      </w:r>
      <w:r>
        <w:fldChar w:fldCharType="separate"/>
      </w:r>
      <w:r>
        <w:rPr>
          <w:rFonts w:hint="eastAsia"/>
        </w:rPr>
        <w:t>图34-6</w:t>
      </w:r>
      <w:r>
        <w:fldChar w:fldCharType="end"/>
      </w:r>
      <w:r>
        <w:rPr>
          <w:rFonts w:hint="eastAsia"/>
        </w:rPr>
        <w:t>所示。</w:t>
      </w:r>
    </w:p>
    <w:p w14:paraId="349B5572">
      <w:pPr>
        <w:pStyle w:val="188"/>
      </w:pPr>
      <w:bookmarkStart w:id="11701" w:name="_Ref393202833"/>
      <w:bookmarkStart w:id="11702" w:name="_Toc141875320"/>
      <w:r>
        <w:t>HA接口管理地址新建页面</w:t>
      </w:r>
      <w:bookmarkEnd w:id="11701"/>
      <w:bookmarkEnd w:id="11702"/>
    </w:p>
    <w:p w14:paraId="4629BC8C">
      <w:pPr>
        <w:spacing w:before="78" w:after="78"/>
      </w:pPr>
      <w:r>
        <w:drawing>
          <wp:inline distT="0" distB="0" distL="0" distR="0">
            <wp:extent cx="4781550" cy="1790700"/>
            <wp:effectExtent l="0" t="0" r="0" b="0"/>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pic:cNvPicPr>
                      <a:picLocks noChangeAspect="1"/>
                    </pic:cNvPicPr>
                  </pic:nvPicPr>
                  <pic:blipFill>
                    <a:blip r:embed="rId1292"/>
                    <a:stretch>
                      <a:fillRect/>
                    </a:stretch>
                  </pic:blipFill>
                  <pic:spPr>
                    <a:xfrm>
                      <a:off x="0" y="0"/>
                      <a:ext cx="4786602" cy="1792974"/>
                    </a:xfrm>
                    <a:prstGeom prst="rect">
                      <a:avLst/>
                    </a:prstGeom>
                  </pic:spPr>
                </pic:pic>
              </a:graphicData>
            </a:graphic>
          </wp:inline>
        </w:drawing>
      </w:r>
    </w:p>
    <w:p w14:paraId="4A33214C"/>
    <w:p w14:paraId="269143AB">
      <w:r>
        <w:rPr>
          <w:rFonts w:hint="eastAsia"/>
        </w:rPr>
        <w:t>页面的详细说明如</w:t>
      </w:r>
      <w:r>
        <w:fldChar w:fldCharType="begin"/>
      </w:r>
      <w:r>
        <w:instrText xml:space="preserve"> REF _Ref393185495 \r \h </w:instrText>
      </w:r>
      <w:r>
        <w:fldChar w:fldCharType="separate"/>
      </w:r>
      <w:r>
        <w:rPr>
          <w:rFonts w:hint="eastAsia"/>
        </w:rPr>
        <w:t>表34-1</w:t>
      </w:r>
      <w:r>
        <w:fldChar w:fldCharType="end"/>
      </w:r>
      <w:r>
        <w:rPr>
          <w:rFonts w:hint="eastAsia"/>
        </w:rPr>
        <w:t>。</w:t>
      </w:r>
    </w:p>
    <w:p w14:paraId="2DDDAF8B">
      <w:pPr>
        <w:pStyle w:val="183"/>
      </w:pPr>
      <w:bookmarkStart w:id="11703" w:name="_Toc141875796"/>
      <w:bookmarkStart w:id="11704" w:name="_Ref393185495"/>
      <w:r>
        <w:rPr>
          <w:rFonts w:hint="eastAsia"/>
        </w:rPr>
        <w:t>HA接口管理地址的详细说明</w:t>
      </w:r>
      <w:bookmarkEnd w:id="11703"/>
      <w:bookmarkEnd w:id="11704"/>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376"/>
        <w:gridCol w:w="6638"/>
      </w:tblGrid>
      <w:tr w14:paraId="0A90C5F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76" w:type="dxa"/>
            <w:tcBorders>
              <w:tl2br w:val="nil"/>
              <w:tr2bl w:val="nil"/>
            </w:tcBorders>
            <w:shd w:val="clear" w:color="auto" w:fill="538135" w:themeFill="accent6" w:themeFillShade="BF"/>
            <w:vAlign w:val="center"/>
          </w:tcPr>
          <w:p w14:paraId="2CA438B8">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638" w:type="dxa"/>
            <w:tcBorders>
              <w:tl2br w:val="nil"/>
              <w:tr2bl w:val="nil"/>
            </w:tcBorders>
            <w:shd w:val="clear" w:color="auto" w:fill="538135" w:themeFill="accent6" w:themeFillShade="BF"/>
            <w:vAlign w:val="center"/>
          </w:tcPr>
          <w:p w14:paraId="3320C0CA">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9EB8B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76" w:type="dxa"/>
            <w:shd w:val="clear" w:color="auto" w:fill="auto"/>
          </w:tcPr>
          <w:p w14:paraId="6F07AAF6">
            <w:pPr>
              <w:pStyle w:val="150"/>
            </w:pPr>
            <w:r>
              <w:rPr>
                <w:rFonts w:hint="eastAsia"/>
              </w:rPr>
              <w:t>接口名称</w:t>
            </w:r>
          </w:p>
        </w:tc>
        <w:tc>
          <w:tcPr>
            <w:tcW w:w="6638" w:type="dxa"/>
            <w:shd w:val="clear" w:color="auto" w:fill="auto"/>
          </w:tcPr>
          <w:p w14:paraId="1436807A">
            <w:pPr>
              <w:pStyle w:val="150"/>
            </w:pPr>
            <w:r>
              <w:rPr>
                <w:rFonts w:hint="eastAsia"/>
              </w:rPr>
              <w:t>配置管理地址接口名称，只包含物理接口，桥接口和三层子接口。</w:t>
            </w:r>
          </w:p>
        </w:tc>
      </w:tr>
      <w:tr w14:paraId="47A330C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376" w:type="dxa"/>
            <w:shd w:val="clear" w:color="auto" w:fill="auto"/>
          </w:tcPr>
          <w:p w14:paraId="2C4EF7E2">
            <w:pPr>
              <w:pStyle w:val="150"/>
            </w:pPr>
            <w:r>
              <w:rPr>
                <w:rFonts w:hint="eastAsia"/>
              </w:rPr>
              <w:t>管理地址</w:t>
            </w:r>
          </w:p>
        </w:tc>
        <w:tc>
          <w:tcPr>
            <w:tcW w:w="6638" w:type="dxa"/>
            <w:shd w:val="clear" w:color="auto" w:fill="auto"/>
          </w:tcPr>
          <w:p w14:paraId="6C88654D">
            <w:pPr>
              <w:pStyle w:val="150"/>
            </w:pPr>
            <w:r>
              <w:rPr>
                <w:rFonts w:hint="eastAsia"/>
              </w:rPr>
              <w:t>接口配置的管理地址，仅支持IPv4地址。</w:t>
            </w:r>
          </w:p>
        </w:tc>
      </w:tr>
    </w:tbl>
    <w:p w14:paraId="5A9270FF"/>
    <w:p w14:paraId="3F05BD67">
      <w:r>
        <w:rPr>
          <w:rFonts w:hint="eastAsia"/>
        </w:rPr>
        <w:t>输入完毕后，点击</w:t>
      </w:r>
      <w:r>
        <w:t>&lt;</w:t>
      </w:r>
      <w:r>
        <w:rPr>
          <w:rFonts w:hint="eastAsia"/>
        </w:rPr>
        <w:t>提交</w:t>
      </w:r>
      <w:r>
        <w:t>&gt;</w:t>
      </w:r>
      <w:r>
        <w:rPr>
          <w:rFonts w:hint="eastAsia"/>
        </w:rPr>
        <w:t>按钮，应用配置。</w:t>
      </w:r>
    </w:p>
    <w:p w14:paraId="5A3FFF4B">
      <w:r>
        <w:rPr>
          <w:rFonts w:hint="eastAsia"/>
        </w:rPr>
        <w:t>在</w:t>
      </w:r>
      <w:r>
        <w:t>HA</w:t>
      </w:r>
      <w:r>
        <w:rPr>
          <w:rFonts w:hint="eastAsia"/>
        </w:rPr>
        <w:t>接口管理地址显示页面，可以点击管理地址右边的</w:t>
      </w:r>
      <w:r>
        <w:t>&lt;</w:t>
      </w:r>
      <w:r>
        <w:rPr>
          <w:rFonts w:hint="eastAsia"/>
        </w:rPr>
        <w:t>删除</w:t>
      </w:r>
      <w:r>
        <w:t>&gt;</w:t>
      </w:r>
      <w:r>
        <w:rPr>
          <w:rFonts w:hint="eastAsia"/>
        </w:rPr>
        <w:t>按钮，删除对应的管理地址。</w:t>
      </w:r>
    </w:p>
    <w:p w14:paraId="6431C925">
      <w:pPr>
        <w:pStyle w:val="5"/>
      </w:pPr>
      <w:bookmarkStart w:id="11705" w:name="_Toc391917039"/>
      <w:bookmarkStart w:id="11706" w:name="_Toc15485389"/>
      <w:bookmarkStart w:id="11707" w:name="_Toc23153143"/>
      <w:bookmarkStart w:id="11708" w:name="_Toc172218676"/>
      <w:bookmarkStart w:id="11709" w:name="_Toc194081262"/>
      <w:bookmarkStart w:id="11710" w:name="_Toc196728590"/>
      <w:bookmarkStart w:id="11711" w:name="_Toc6237792"/>
      <w:bookmarkStart w:id="11712" w:name="_Toc40276564"/>
      <w:r>
        <w:rPr>
          <w:rFonts w:hint="eastAsia"/>
        </w:rPr>
        <w:t>HA主备模式配置举例</w:t>
      </w:r>
      <w:bookmarkEnd w:id="11705"/>
      <w:bookmarkEnd w:id="11706"/>
      <w:bookmarkEnd w:id="11707"/>
      <w:bookmarkEnd w:id="11708"/>
      <w:bookmarkEnd w:id="11709"/>
      <w:bookmarkEnd w:id="11710"/>
      <w:bookmarkEnd w:id="11711"/>
      <w:bookmarkEnd w:id="11712"/>
    </w:p>
    <w:p w14:paraId="64FE75AB">
      <w:pPr>
        <w:pStyle w:val="6"/>
      </w:pPr>
      <w:r>
        <w:rPr>
          <w:rFonts w:hint="eastAsia"/>
        </w:rPr>
        <w:t>组网需求</w:t>
      </w:r>
    </w:p>
    <w:p w14:paraId="10F50A2C">
      <w:pPr>
        <w:pStyle w:val="162"/>
      </w:pPr>
      <w:r>
        <w:t>设备 A</w:t>
      </w:r>
      <w:r>
        <w:rPr>
          <w:rFonts w:hint="eastAsia"/>
        </w:rPr>
        <w:t>配置为主设备，设备 B配置成为备设备。</w:t>
      </w:r>
    </w:p>
    <w:p w14:paraId="239406CA">
      <w:pPr>
        <w:pStyle w:val="162"/>
      </w:pPr>
      <w:r>
        <w:t>设备 A</w:t>
      </w:r>
      <w:r>
        <w:rPr>
          <w:rFonts w:hint="eastAsia"/>
        </w:rPr>
        <w:t>的ge2接口作为HA接口和设备 B的ge2接口相连。</w:t>
      </w:r>
    </w:p>
    <w:p w14:paraId="00D52DD5">
      <w:pPr>
        <w:pStyle w:val="162"/>
      </w:pPr>
      <w:r>
        <w:rPr>
          <w:rFonts w:hint="eastAsia"/>
        </w:rPr>
        <w:t>设备A配置为抢占主模式，设备B配置成抢占备模式。</w:t>
      </w:r>
    </w:p>
    <w:p w14:paraId="0D4BEB92">
      <w:pPr>
        <w:pStyle w:val="162"/>
      </w:pPr>
      <w:r>
        <w:rPr>
          <w:rFonts w:hint="eastAsia"/>
        </w:rPr>
        <w:t>设备A和设备B的keepalive间隔设置为1秒，重试次数为3次。</w:t>
      </w:r>
    </w:p>
    <w:p w14:paraId="3498F371">
      <w:pPr>
        <w:pStyle w:val="162"/>
      </w:pPr>
      <w:r>
        <w:rPr>
          <w:rFonts w:hint="eastAsia"/>
        </w:rPr>
        <w:t>设备A和设备B配置ge0和ge1为监控接口。</w:t>
      </w:r>
    </w:p>
    <w:p w14:paraId="6AC00C41">
      <w:pPr>
        <w:pStyle w:val="162"/>
      </w:pPr>
      <w:r>
        <w:rPr>
          <w:rFonts w:hint="eastAsia"/>
        </w:rPr>
        <w:t>设备A和设备B配置自动同步session，配置特征库。</w:t>
      </w:r>
    </w:p>
    <w:p w14:paraId="64A305C5">
      <w:pPr>
        <w:pStyle w:val="6"/>
      </w:pPr>
      <w:r>
        <w:rPr>
          <w:rFonts w:hint="eastAsia"/>
        </w:rPr>
        <w:t>组网图</w:t>
      </w:r>
    </w:p>
    <w:p w14:paraId="5D214B27">
      <w:pPr>
        <w:pStyle w:val="188"/>
      </w:pPr>
      <w:bookmarkStart w:id="11713" w:name="_Toc141875321"/>
      <w:r>
        <w:rPr>
          <w:rFonts w:hint="eastAsia"/>
        </w:rPr>
        <w:t>HA主备模式组网图</w:t>
      </w:r>
      <w:bookmarkEnd w:id="11713"/>
    </w:p>
    <w:p w14:paraId="614D0948">
      <w:r>
        <w:drawing>
          <wp:inline distT="0" distB="0" distL="0" distR="0">
            <wp:extent cx="4914900" cy="1999615"/>
            <wp:effectExtent l="0" t="0" r="0" b="0"/>
            <wp:docPr id="3336" name="图片 3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6" name="图片 3336"/>
                    <pic:cNvPicPr>
                      <a:picLocks noChangeAspect="1"/>
                    </pic:cNvPicPr>
                  </pic:nvPicPr>
                  <pic:blipFill>
                    <a:blip r:embed="rId1293"/>
                    <a:stretch>
                      <a:fillRect/>
                    </a:stretch>
                  </pic:blipFill>
                  <pic:spPr>
                    <a:xfrm>
                      <a:off x="0" y="0"/>
                      <a:ext cx="4950107" cy="2014058"/>
                    </a:xfrm>
                    <a:prstGeom prst="rect">
                      <a:avLst/>
                    </a:prstGeom>
                  </pic:spPr>
                </pic:pic>
              </a:graphicData>
            </a:graphic>
          </wp:inline>
        </w:drawing>
      </w:r>
    </w:p>
    <w:p w14:paraId="636A017F"/>
    <w:p w14:paraId="74C84604">
      <w:pPr>
        <w:pStyle w:val="6"/>
      </w:pPr>
      <w:r>
        <w:rPr>
          <w:rFonts w:hint="eastAsia"/>
        </w:rPr>
        <w:t>配置思路</w:t>
      </w:r>
    </w:p>
    <w:p w14:paraId="42330256">
      <w:pPr>
        <w:pStyle w:val="162"/>
      </w:pPr>
      <w:r>
        <w:rPr>
          <w:rFonts w:hint="eastAsia"/>
        </w:rPr>
        <w:t>配置设备A为主设备，设备B为备设备。</w:t>
      </w:r>
    </w:p>
    <w:p w14:paraId="39ED72E3">
      <w:pPr>
        <w:pStyle w:val="162"/>
      </w:pPr>
      <w:r>
        <w:rPr>
          <w:rFonts w:hint="eastAsia"/>
        </w:rPr>
        <w:t>设备A监控自己的ge0和ge1接口，当ge0或者ge1 down后，设备A切换成备状态，设备B切换成主状态。</w:t>
      </w:r>
    </w:p>
    <w:p w14:paraId="655D398B">
      <w:pPr>
        <w:pStyle w:val="162"/>
      </w:pPr>
      <w:r>
        <w:rPr>
          <w:rFonts w:hint="eastAsia"/>
        </w:rPr>
        <w:t>设备B监控设备A的状态，当B收不到A的心跳报文，认为设备A已经失效，设备B变成主状态。</w:t>
      </w:r>
    </w:p>
    <w:p w14:paraId="4475637C">
      <w:pPr>
        <w:pStyle w:val="162"/>
      </w:pPr>
      <w:r>
        <w:rPr>
          <w:rFonts w:hint="eastAsia"/>
        </w:rPr>
        <w:t>当设备A的状态恢复正常后，设备A会抢回自己的主状态。设备A变成主设备，设备B变成备设备。</w:t>
      </w:r>
    </w:p>
    <w:p w14:paraId="66766BA7">
      <w:pPr>
        <w:pStyle w:val="6"/>
      </w:pPr>
      <w:r>
        <w:rPr>
          <w:rFonts w:hint="eastAsia"/>
        </w:rPr>
        <w:t>配置步骤</w:t>
      </w:r>
    </w:p>
    <w:p w14:paraId="680CDD2D">
      <w:pPr>
        <w:pStyle w:val="202"/>
        <w:rPr>
          <w:lang w:eastAsia="zh-CN"/>
        </w:rPr>
      </w:pPr>
      <w:r>
        <w:rPr>
          <w:lang w:eastAsia="zh-CN"/>
        </w:rPr>
        <w:t>配置设备A的HA全局配置</w:t>
      </w:r>
      <w:r>
        <w:rPr>
          <w:rFonts w:hint="eastAsia"/>
          <w:lang w:eastAsia="zh-CN"/>
        </w:rPr>
        <w:t>。</w:t>
      </w:r>
    </w:p>
    <w:p w14:paraId="508DFCAF">
      <w:pPr>
        <w:pStyle w:val="188"/>
      </w:pPr>
      <w:bookmarkStart w:id="11714" w:name="_Toc141875322"/>
      <w:r>
        <w:rPr>
          <w:rFonts w:hint="eastAsia"/>
        </w:rPr>
        <w:t>设备A的HA全局配置</w:t>
      </w:r>
      <w:bookmarkEnd w:id="11714"/>
    </w:p>
    <w:p w14:paraId="7223B0A5">
      <w:r>
        <w:drawing>
          <wp:inline distT="0" distB="0" distL="0" distR="0">
            <wp:extent cx="5400040" cy="3154045"/>
            <wp:effectExtent l="0" t="0" r="0" b="8255"/>
            <wp:docPr id="91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 name="图片 27"/>
                    <pic:cNvPicPr>
                      <a:picLocks noChangeAspect="1" noChangeArrowheads="1"/>
                    </pic:cNvPicPr>
                  </pic:nvPicPr>
                  <pic:blipFill>
                    <a:blip r:embed="rId1294">
                      <a:extLst>
                        <a:ext uri="{28A0092B-C50C-407E-A947-70E740481C1C}">
                          <a14:useLocalDpi xmlns:a14="http://schemas.microsoft.com/office/drawing/2010/main" val="0"/>
                        </a:ext>
                      </a:extLst>
                    </a:blip>
                    <a:srcRect/>
                    <a:stretch>
                      <a:fillRect/>
                    </a:stretch>
                  </pic:blipFill>
                  <pic:spPr>
                    <a:xfrm>
                      <a:off x="0" y="0"/>
                      <a:ext cx="5400040" cy="3154229"/>
                    </a:xfrm>
                    <a:prstGeom prst="rect">
                      <a:avLst/>
                    </a:prstGeom>
                    <a:noFill/>
                    <a:ln>
                      <a:noFill/>
                    </a:ln>
                  </pic:spPr>
                </pic:pic>
              </a:graphicData>
            </a:graphic>
          </wp:inline>
        </w:drawing>
      </w:r>
    </w:p>
    <w:p w14:paraId="5E3C996F"/>
    <w:p w14:paraId="55D71BF4">
      <w:pPr>
        <w:pStyle w:val="202"/>
        <w:rPr>
          <w:lang w:eastAsia="zh-CN"/>
        </w:rPr>
      </w:pPr>
      <w:r>
        <w:rPr>
          <w:rFonts w:hint="eastAsia"/>
          <w:lang w:eastAsia="zh-CN"/>
        </w:rPr>
        <w:t>配置设备A的HA接口管理地址。</w:t>
      </w:r>
    </w:p>
    <w:p w14:paraId="3858374F">
      <w:pPr>
        <w:pStyle w:val="188"/>
      </w:pPr>
      <w:bookmarkStart w:id="11715" w:name="_Toc141875323"/>
      <w:r>
        <w:rPr>
          <w:rFonts w:hint="eastAsia"/>
        </w:rPr>
        <w:t>配置设备A的HA接口管理地址</w:t>
      </w:r>
      <w:bookmarkEnd w:id="11715"/>
    </w:p>
    <w:p w14:paraId="2B4E991C">
      <w:pPr>
        <w:spacing w:before="78" w:after="78"/>
      </w:pPr>
      <w:r>
        <w:drawing>
          <wp:inline distT="0" distB="0" distL="0" distR="0">
            <wp:extent cx="5191125" cy="1861820"/>
            <wp:effectExtent l="0" t="0" r="0" b="5080"/>
            <wp:docPr id="1296485312" name="图片 1296485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12" name="图片 1296485312"/>
                    <pic:cNvPicPr>
                      <a:picLocks noChangeAspect="1"/>
                    </pic:cNvPicPr>
                  </pic:nvPicPr>
                  <pic:blipFill>
                    <a:blip r:embed="rId1295"/>
                    <a:stretch>
                      <a:fillRect/>
                    </a:stretch>
                  </pic:blipFill>
                  <pic:spPr>
                    <a:xfrm>
                      <a:off x="0" y="0"/>
                      <a:ext cx="5204581" cy="1867154"/>
                    </a:xfrm>
                    <a:prstGeom prst="rect">
                      <a:avLst/>
                    </a:prstGeom>
                  </pic:spPr>
                </pic:pic>
              </a:graphicData>
            </a:graphic>
          </wp:inline>
        </w:drawing>
      </w:r>
    </w:p>
    <w:p w14:paraId="01547E9F"/>
    <w:p w14:paraId="218A5D20">
      <w:pPr>
        <w:pStyle w:val="202"/>
        <w:rPr>
          <w:lang w:eastAsia="zh-CN"/>
        </w:rPr>
      </w:pPr>
      <w:r>
        <w:rPr>
          <w:rFonts w:hint="eastAsia"/>
          <w:lang w:eastAsia="zh-CN"/>
        </w:rPr>
        <w:t>配置设备B的HA全局配置。</w:t>
      </w:r>
    </w:p>
    <w:p w14:paraId="5423536A">
      <w:pPr>
        <w:pStyle w:val="188"/>
      </w:pPr>
      <w:bookmarkStart w:id="11716" w:name="_Toc141875324"/>
      <w:r>
        <w:rPr>
          <w:rFonts w:hint="eastAsia"/>
        </w:rPr>
        <w:t>设备B的HA全局配置</w:t>
      </w:r>
      <w:bookmarkEnd w:id="11716"/>
    </w:p>
    <w:p w14:paraId="6A43F717">
      <w:r>
        <w:drawing>
          <wp:inline distT="0" distB="0" distL="0" distR="0">
            <wp:extent cx="5400040" cy="3179445"/>
            <wp:effectExtent l="0" t="0" r="0" b="1905"/>
            <wp:docPr id="91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图片 28"/>
                    <pic:cNvPicPr>
                      <a:picLocks noChangeAspect="1" noChangeArrowheads="1"/>
                    </pic:cNvPicPr>
                  </pic:nvPicPr>
                  <pic:blipFill>
                    <a:blip r:embed="rId1296">
                      <a:extLst>
                        <a:ext uri="{28A0092B-C50C-407E-A947-70E740481C1C}">
                          <a14:useLocalDpi xmlns:a14="http://schemas.microsoft.com/office/drawing/2010/main" val="0"/>
                        </a:ext>
                      </a:extLst>
                    </a:blip>
                    <a:srcRect/>
                    <a:stretch>
                      <a:fillRect/>
                    </a:stretch>
                  </pic:blipFill>
                  <pic:spPr>
                    <a:xfrm>
                      <a:off x="0" y="0"/>
                      <a:ext cx="5400040" cy="3179463"/>
                    </a:xfrm>
                    <a:prstGeom prst="rect">
                      <a:avLst/>
                    </a:prstGeom>
                    <a:noFill/>
                    <a:ln>
                      <a:noFill/>
                    </a:ln>
                  </pic:spPr>
                </pic:pic>
              </a:graphicData>
            </a:graphic>
          </wp:inline>
        </w:drawing>
      </w:r>
    </w:p>
    <w:p w14:paraId="4C6B0CF7"/>
    <w:p w14:paraId="41DD30E1">
      <w:pPr>
        <w:pStyle w:val="202"/>
        <w:rPr>
          <w:lang w:eastAsia="zh-CN"/>
        </w:rPr>
      </w:pPr>
      <w:r>
        <w:rPr>
          <w:rFonts w:hint="eastAsia"/>
          <w:lang w:eastAsia="zh-CN"/>
        </w:rPr>
        <w:t>配置设备B的HA接口管理地址。</w:t>
      </w:r>
    </w:p>
    <w:p w14:paraId="5DA8F6B6">
      <w:pPr>
        <w:pStyle w:val="188"/>
      </w:pPr>
      <w:bookmarkStart w:id="11717" w:name="_Toc141875325"/>
      <w:r>
        <w:rPr>
          <w:rFonts w:hint="eastAsia"/>
        </w:rPr>
        <w:t>配置设备B的HA接口管理地址</w:t>
      </w:r>
      <w:bookmarkEnd w:id="11717"/>
    </w:p>
    <w:p w14:paraId="360D8F31">
      <w:r>
        <w:drawing>
          <wp:inline distT="0" distB="0" distL="0" distR="0">
            <wp:extent cx="5143500" cy="1885315"/>
            <wp:effectExtent l="0" t="0" r="0" b="635"/>
            <wp:docPr id="1296485313" name="图片 1296485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13" name="图片 1296485313"/>
                    <pic:cNvPicPr>
                      <a:picLocks noChangeAspect="1"/>
                    </pic:cNvPicPr>
                  </pic:nvPicPr>
                  <pic:blipFill>
                    <a:blip r:embed="rId1297"/>
                    <a:stretch>
                      <a:fillRect/>
                    </a:stretch>
                  </pic:blipFill>
                  <pic:spPr>
                    <a:xfrm>
                      <a:off x="0" y="0"/>
                      <a:ext cx="5145819" cy="1886221"/>
                    </a:xfrm>
                    <a:prstGeom prst="rect">
                      <a:avLst/>
                    </a:prstGeom>
                  </pic:spPr>
                </pic:pic>
              </a:graphicData>
            </a:graphic>
          </wp:inline>
        </w:drawing>
      </w:r>
    </w:p>
    <w:p w14:paraId="413B13EE"/>
    <w:p w14:paraId="2DBF994E">
      <w:pPr>
        <w:pStyle w:val="202"/>
        <w:rPr>
          <w:lang w:eastAsia="zh-CN"/>
        </w:rPr>
      </w:pPr>
      <w:r>
        <w:rPr>
          <w:rFonts w:hint="eastAsia"/>
          <w:lang w:eastAsia="zh-CN"/>
        </w:rPr>
        <w:t>点击设备A的HA监控页面的配置同步按钮，同步配置。</w:t>
      </w:r>
    </w:p>
    <w:p w14:paraId="5B8CF94E"/>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5A4E8250">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4CE47DBA">
            <w:pPr>
              <w:pStyle w:val="150"/>
              <w:adjustRightInd w:val="0"/>
              <w:snapToGrid w:val="0"/>
              <w:rPr>
                <w:color w:val="auto"/>
              </w:rPr>
            </w:pPr>
            <w:bookmarkStart w:id="11718" w:name="OLE_LINK96"/>
            <w:r>
              <w:rPr>
                <w:b/>
                <w:color w:val="auto"/>
              </w:rPr>
              <w:drawing>
                <wp:inline distT="0" distB="0" distL="0" distR="0">
                  <wp:extent cx="283210" cy="283210"/>
                  <wp:effectExtent l="0" t="0" r="2540" b="2540"/>
                  <wp:docPr id="989" name="图片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图片 989"/>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74B83823">
            <w:pPr>
              <w:pStyle w:val="150"/>
              <w:adjustRightInd w:val="0"/>
              <w:snapToGrid w:val="0"/>
              <w:rPr>
                <w:color w:val="auto"/>
              </w:rPr>
            </w:pPr>
            <w:r>
              <w:rPr>
                <w:rFonts w:hint="eastAsia"/>
                <w:color w:val="auto"/>
              </w:rPr>
              <w:t>设备部署主-备模式，需要单独管理主设备和备设备。因为主-备模式下，接口模块配置会自动同步，而HA管理模块是不会自动同步的，所以需要在HA接口管理地址页面配置各自的带外管理地址，保证主设备和备设备都能同时单独管理。</w:t>
            </w:r>
          </w:p>
        </w:tc>
      </w:tr>
      <w:bookmarkEnd w:id="11718"/>
    </w:tbl>
    <w:p w14:paraId="3DAFB3D1"/>
    <w:p w14:paraId="2A6908B3">
      <w:pPr>
        <w:pStyle w:val="6"/>
      </w:pPr>
      <w:r>
        <w:rPr>
          <w:rFonts w:hint="eastAsia"/>
        </w:rPr>
        <w:t>验证配置</w:t>
      </w:r>
    </w:p>
    <w:p w14:paraId="1A7F79D2">
      <w:pPr>
        <w:pStyle w:val="202"/>
        <w:rPr>
          <w:lang w:eastAsia="zh-CN"/>
        </w:rPr>
      </w:pPr>
      <w:r>
        <w:rPr>
          <w:rFonts w:hint="eastAsia"/>
          <w:lang w:eastAsia="zh-CN"/>
        </w:rPr>
        <w:t>通过管理地址1.1.1.100/24访问设备A，查看HA监控页面。</w:t>
      </w:r>
    </w:p>
    <w:p w14:paraId="27712902">
      <w:pPr>
        <w:pStyle w:val="188"/>
      </w:pPr>
      <w:bookmarkStart w:id="11719" w:name="_Toc141875326"/>
      <w:r>
        <w:t>设备A的HA监控页面显示</w:t>
      </w:r>
      <w:bookmarkEnd w:id="11719"/>
    </w:p>
    <w:p w14:paraId="3B3F02A6">
      <w:pPr>
        <w:spacing w:before="78" w:after="78"/>
      </w:pPr>
      <w:r>
        <w:drawing>
          <wp:inline distT="0" distB="0" distL="0" distR="0">
            <wp:extent cx="5400040" cy="3640455"/>
            <wp:effectExtent l="0" t="0" r="0" b="0"/>
            <wp:docPr id="3028" name="图片 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8" name="图片 3028"/>
                    <pic:cNvPicPr>
                      <a:picLocks noChangeAspect="1"/>
                    </pic:cNvPicPr>
                  </pic:nvPicPr>
                  <pic:blipFill>
                    <a:blip r:embed="rId1298"/>
                    <a:stretch>
                      <a:fillRect/>
                    </a:stretch>
                  </pic:blipFill>
                  <pic:spPr>
                    <a:xfrm>
                      <a:off x="0" y="0"/>
                      <a:ext cx="5400040" cy="3640455"/>
                    </a:xfrm>
                    <a:prstGeom prst="rect">
                      <a:avLst/>
                    </a:prstGeom>
                  </pic:spPr>
                </pic:pic>
              </a:graphicData>
            </a:graphic>
          </wp:inline>
        </w:drawing>
      </w:r>
    </w:p>
    <w:p w14:paraId="7B557ABC"/>
    <w:p w14:paraId="195275BC">
      <w:pPr>
        <w:pStyle w:val="202"/>
        <w:rPr>
          <w:lang w:eastAsia="zh-CN"/>
        </w:rPr>
      </w:pPr>
      <w:r>
        <w:rPr>
          <w:rFonts w:hint="eastAsia"/>
          <w:lang w:eastAsia="zh-CN"/>
        </w:rPr>
        <w:t>通过管理地址1.1.1.101/24访问设备B，查看HA监控页面。</w:t>
      </w:r>
    </w:p>
    <w:p w14:paraId="0B7B7575">
      <w:pPr>
        <w:pStyle w:val="188"/>
      </w:pPr>
      <w:bookmarkStart w:id="11720" w:name="_Toc141875327"/>
      <w:r>
        <w:t>设备B的HA监控页面显示</w:t>
      </w:r>
      <w:bookmarkEnd w:id="11720"/>
    </w:p>
    <w:p w14:paraId="1A55B9E9">
      <w:pPr>
        <w:spacing w:before="78" w:after="78"/>
      </w:pPr>
      <w:r>
        <w:drawing>
          <wp:inline distT="0" distB="0" distL="0" distR="0">
            <wp:extent cx="5400040" cy="3609975"/>
            <wp:effectExtent l="0" t="0" r="0" b="9525"/>
            <wp:docPr id="3030" name="图片 3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0" name="图片 3030"/>
                    <pic:cNvPicPr>
                      <a:picLocks noChangeAspect="1"/>
                    </pic:cNvPicPr>
                  </pic:nvPicPr>
                  <pic:blipFill>
                    <a:blip r:embed="rId1299"/>
                    <a:stretch>
                      <a:fillRect/>
                    </a:stretch>
                  </pic:blipFill>
                  <pic:spPr>
                    <a:xfrm>
                      <a:off x="0" y="0"/>
                      <a:ext cx="5400040" cy="3609975"/>
                    </a:xfrm>
                    <a:prstGeom prst="rect">
                      <a:avLst/>
                    </a:prstGeom>
                  </pic:spPr>
                </pic:pic>
              </a:graphicData>
            </a:graphic>
          </wp:inline>
        </w:drawing>
      </w:r>
    </w:p>
    <w:p w14:paraId="65C9E028"/>
    <w:p w14:paraId="0CA9476F">
      <w:pPr>
        <w:pStyle w:val="5"/>
      </w:pPr>
      <w:bookmarkStart w:id="11721" w:name="_Toc497293900"/>
      <w:bookmarkEnd w:id="11721"/>
      <w:bookmarkStart w:id="11722" w:name="_Toc40276565"/>
      <w:bookmarkStart w:id="11723" w:name="_Toc23153144"/>
      <w:bookmarkStart w:id="11724" w:name="_Toc6237793"/>
      <w:bookmarkStart w:id="11725" w:name="_Toc194081263"/>
      <w:bookmarkStart w:id="11726" w:name="_Toc172218677"/>
      <w:bookmarkStart w:id="11727" w:name="_Toc15485390"/>
      <w:bookmarkStart w:id="11728" w:name="_Toc196728591"/>
      <w:r>
        <w:rPr>
          <w:rFonts w:hint="eastAsia"/>
        </w:rPr>
        <w:t>HA主主模式配置举例</w:t>
      </w:r>
      <w:bookmarkEnd w:id="11722"/>
      <w:bookmarkEnd w:id="11723"/>
      <w:bookmarkEnd w:id="11724"/>
      <w:bookmarkEnd w:id="11725"/>
      <w:bookmarkEnd w:id="11726"/>
      <w:bookmarkEnd w:id="11727"/>
      <w:bookmarkEnd w:id="11728"/>
    </w:p>
    <w:p w14:paraId="55262C30">
      <w:pPr>
        <w:pStyle w:val="6"/>
      </w:pPr>
      <w:r>
        <w:rPr>
          <w:rFonts w:hint="eastAsia"/>
        </w:rPr>
        <w:t>组网需求</w:t>
      </w:r>
    </w:p>
    <w:p w14:paraId="347A167D">
      <w:pPr>
        <w:pStyle w:val="162"/>
      </w:pPr>
      <w:r>
        <w:t>设备 A</w:t>
      </w:r>
      <w:r>
        <w:rPr>
          <w:rFonts w:hint="eastAsia"/>
        </w:rPr>
        <w:t>配置为主设备，</w:t>
      </w:r>
      <w:r>
        <w:t>设备 B</w:t>
      </w:r>
      <w:r>
        <w:rPr>
          <w:rFonts w:hint="eastAsia"/>
        </w:rPr>
        <w:t>配置成为主设备。</w:t>
      </w:r>
    </w:p>
    <w:p w14:paraId="4ABD8636">
      <w:pPr>
        <w:pStyle w:val="162"/>
      </w:pPr>
      <w:r>
        <w:t>设备 A</w:t>
      </w:r>
      <w:r>
        <w:rPr>
          <w:rFonts w:hint="eastAsia"/>
        </w:rPr>
        <w:t>的</w:t>
      </w:r>
      <w:r>
        <w:t>ge2</w:t>
      </w:r>
      <w:r>
        <w:rPr>
          <w:rFonts w:hint="eastAsia"/>
        </w:rPr>
        <w:t>接口作为</w:t>
      </w:r>
      <w:r>
        <w:t>HA</w:t>
      </w:r>
      <w:r>
        <w:rPr>
          <w:rFonts w:hint="eastAsia"/>
        </w:rPr>
        <w:t>接口和</w:t>
      </w:r>
      <w:r>
        <w:t>设备 B</w:t>
      </w:r>
      <w:r>
        <w:rPr>
          <w:rFonts w:hint="eastAsia"/>
        </w:rPr>
        <w:t>的</w:t>
      </w:r>
      <w:r>
        <w:t>ge2</w:t>
      </w:r>
      <w:r>
        <w:rPr>
          <w:rFonts w:hint="eastAsia"/>
        </w:rPr>
        <w:t>接口相连。</w:t>
      </w:r>
    </w:p>
    <w:p w14:paraId="63D2A66C">
      <w:pPr>
        <w:pStyle w:val="162"/>
      </w:pPr>
      <w:r>
        <w:t>设备 A</w:t>
      </w:r>
      <w:r>
        <w:rPr>
          <w:rFonts w:hint="eastAsia"/>
        </w:rPr>
        <w:t>和</w:t>
      </w:r>
      <w:r>
        <w:t>设备 B</w:t>
      </w:r>
      <w:r>
        <w:rPr>
          <w:rFonts w:hint="eastAsia"/>
        </w:rPr>
        <w:t>配置</w:t>
      </w:r>
      <w:r>
        <w:t>ge0</w:t>
      </w:r>
      <w:r>
        <w:rPr>
          <w:rFonts w:hint="eastAsia"/>
        </w:rPr>
        <w:t>和</w:t>
      </w:r>
      <w:r>
        <w:t>ge1</w:t>
      </w:r>
      <w:r>
        <w:rPr>
          <w:rFonts w:hint="eastAsia"/>
        </w:rPr>
        <w:t>监控接口。</w:t>
      </w:r>
    </w:p>
    <w:p w14:paraId="23477127">
      <w:pPr>
        <w:pStyle w:val="162"/>
      </w:pPr>
      <w:r>
        <w:t>设备 A</w:t>
      </w:r>
      <w:r>
        <w:rPr>
          <w:rFonts w:hint="eastAsia"/>
        </w:rPr>
        <w:t>和</w:t>
      </w:r>
      <w:r>
        <w:t>设备 B</w:t>
      </w:r>
      <w:r>
        <w:rPr>
          <w:rFonts w:hint="eastAsia"/>
        </w:rPr>
        <w:t>配置自动同步</w:t>
      </w:r>
      <w:r>
        <w:t>session</w:t>
      </w:r>
      <w:r>
        <w:rPr>
          <w:rFonts w:hint="eastAsia"/>
        </w:rPr>
        <w:t>，自动同步监控接口地址。</w:t>
      </w:r>
    </w:p>
    <w:p w14:paraId="06CC9893">
      <w:pPr>
        <w:pStyle w:val="6"/>
      </w:pPr>
      <w:r>
        <w:rPr>
          <w:rFonts w:hint="eastAsia"/>
        </w:rPr>
        <w:t>组网图</w:t>
      </w:r>
    </w:p>
    <w:p w14:paraId="7205E3BD">
      <w:pPr>
        <w:pStyle w:val="188"/>
      </w:pPr>
      <w:bookmarkStart w:id="11729" w:name="_Toc141875328"/>
      <w:r>
        <w:rPr>
          <w:rFonts w:hint="eastAsia"/>
        </w:rPr>
        <w:t>HA主主模式组网图</w:t>
      </w:r>
      <w:bookmarkEnd w:id="11729"/>
    </w:p>
    <w:p w14:paraId="66FECD88">
      <w:r>
        <w:t xml:space="preserve"> </w:t>
      </w:r>
      <w:r>
        <w:drawing>
          <wp:inline distT="0" distB="0" distL="0" distR="0">
            <wp:extent cx="5247005" cy="2066290"/>
            <wp:effectExtent l="0" t="0" r="0" b="0"/>
            <wp:docPr id="3343" name="图片 3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3" name="图片 3343"/>
                    <pic:cNvPicPr>
                      <a:picLocks noChangeAspect="1"/>
                    </pic:cNvPicPr>
                  </pic:nvPicPr>
                  <pic:blipFill>
                    <a:blip r:embed="rId1300"/>
                    <a:stretch>
                      <a:fillRect/>
                    </a:stretch>
                  </pic:blipFill>
                  <pic:spPr>
                    <a:xfrm>
                      <a:off x="0" y="0"/>
                      <a:ext cx="5247619" cy="2066667"/>
                    </a:xfrm>
                    <a:prstGeom prst="rect">
                      <a:avLst/>
                    </a:prstGeom>
                  </pic:spPr>
                </pic:pic>
              </a:graphicData>
            </a:graphic>
          </wp:inline>
        </w:drawing>
      </w:r>
    </w:p>
    <w:p w14:paraId="581FCE9E"/>
    <w:p w14:paraId="57467909">
      <w:pPr>
        <w:pStyle w:val="6"/>
      </w:pPr>
      <w:r>
        <w:rPr>
          <w:rFonts w:hint="eastAsia"/>
        </w:rPr>
        <w:t>配置思路</w:t>
      </w:r>
    </w:p>
    <w:p w14:paraId="459E2EDA">
      <w:pPr>
        <w:pStyle w:val="162"/>
      </w:pPr>
      <w:r>
        <w:rPr>
          <w:rFonts w:hint="eastAsia"/>
        </w:rPr>
        <w:t>配置设备A为主设备，设备B也为主设备。</w:t>
      </w:r>
    </w:p>
    <w:p w14:paraId="60784034">
      <w:pPr>
        <w:pStyle w:val="162"/>
      </w:pPr>
      <w:r>
        <w:rPr>
          <w:rFonts w:hint="eastAsia"/>
        </w:rPr>
        <w:t>设备A监控自己的ge0和ge1接口，当ge0或者ge1 down后，设备A切换成主故障状态（</w:t>
      </w:r>
      <w:r>
        <w:t>Master N</w:t>
      </w:r>
      <w:r>
        <w:rPr>
          <w:rFonts w:hint="eastAsia"/>
        </w:rPr>
        <w:t>），不再转发数据。设备B切换成全主状态（</w:t>
      </w:r>
      <w:r>
        <w:t xml:space="preserve">Master A </w:t>
      </w:r>
      <w:r>
        <w:rPr>
          <w:rFonts w:hint="eastAsia"/>
        </w:rPr>
        <w:t>）,继续处理设备A之前承载的业务，保证业务不中断。</w:t>
      </w:r>
    </w:p>
    <w:p w14:paraId="0043F106">
      <w:pPr>
        <w:pStyle w:val="162"/>
      </w:pPr>
      <w:r>
        <w:rPr>
          <w:rFonts w:hint="eastAsia"/>
        </w:rPr>
        <w:t>设备B监控设备A的状态，当B收不到A的心跳报文，认为设备A已经失效，设备B变成全主状态（</w:t>
      </w:r>
      <w:r>
        <w:t xml:space="preserve">Master A </w:t>
      </w:r>
      <w:r>
        <w:rPr>
          <w:rFonts w:hint="eastAsia"/>
        </w:rPr>
        <w:t>）。</w:t>
      </w:r>
    </w:p>
    <w:p w14:paraId="49821665">
      <w:pPr>
        <w:pStyle w:val="162"/>
      </w:pPr>
      <w:r>
        <w:rPr>
          <w:rFonts w:hint="eastAsia"/>
        </w:rPr>
        <w:t>当设备A的状态恢复正常后，设备A会抢回自己的主状态，由原来的故障状态Master</w:t>
      </w:r>
      <w:r>
        <w:t xml:space="preserve"> </w:t>
      </w:r>
      <w:r>
        <w:rPr>
          <w:rFonts w:hint="eastAsia"/>
        </w:rPr>
        <w:t>N状态切回Master状态。设备A变成主设备，设备B由原来承载所有流量的Master</w:t>
      </w:r>
      <w:r>
        <w:t xml:space="preserve">  </w:t>
      </w:r>
      <w:r>
        <w:rPr>
          <w:rFonts w:hint="eastAsia"/>
        </w:rPr>
        <w:t>A状态切回正常的Master状态。</w:t>
      </w:r>
    </w:p>
    <w:p w14:paraId="1EA208C5">
      <w:pPr>
        <w:pStyle w:val="162"/>
      </w:pPr>
      <w:r>
        <w:rPr>
          <w:rFonts w:hint="eastAsia"/>
        </w:rPr>
        <w:t>主主模式下，设备上没有一键同步配置功能，需要管理员自己保证主主模式下两台设备的配置一样。</w:t>
      </w:r>
    </w:p>
    <w:p w14:paraId="49373AE4">
      <w:pPr>
        <w:pStyle w:val="6"/>
      </w:pPr>
      <w:r>
        <w:rPr>
          <w:rFonts w:hint="eastAsia"/>
        </w:rPr>
        <w:t>配置步骤</w:t>
      </w:r>
    </w:p>
    <w:p w14:paraId="66DB280C">
      <w:pPr>
        <w:pStyle w:val="202"/>
        <w:rPr>
          <w:lang w:eastAsia="zh-CN"/>
        </w:rPr>
      </w:pPr>
      <w:r>
        <w:rPr>
          <w:lang w:eastAsia="zh-CN"/>
        </w:rPr>
        <w:t>配置设备A的HA全局配置</w:t>
      </w:r>
      <w:r>
        <w:rPr>
          <w:rFonts w:hint="eastAsia"/>
          <w:lang w:eastAsia="zh-CN"/>
        </w:rPr>
        <w:t>。</w:t>
      </w:r>
    </w:p>
    <w:p w14:paraId="009C51CB">
      <w:pPr>
        <w:pStyle w:val="188"/>
      </w:pPr>
      <w:bookmarkStart w:id="11730" w:name="_Toc141875329"/>
      <w:r>
        <w:rPr>
          <w:rFonts w:hint="eastAsia"/>
        </w:rPr>
        <w:t>设备A的HA全局配置</w:t>
      </w:r>
      <w:bookmarkEnd w:id="11730"/>
    </w:p>
    <w:p w14:paraId="07FA8EC6">
      <w:pPr>
        <w:spacing w:before="78" w:after="78"/>
      </w:pPr>
      <w:r>
        <w:drawing>
          <wp:inline distT="0" distB="0" distL="0" distR="0">
            <wp:extent cx="5019040" cy="3632200"/>
            <wp:effectExtent l="0" t="0" r="0" b="6350"/>
            <wp:docPr id="917" name="图片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图片 917"/>
                    <pic:cNvPicPr>
                      <a:picLocks noChangeAspect="1"/>
                    </pic:cNvPicPr>
                  </pic:nvPicPr>
                  <pic:blipFill>
                    <a:blip r:embed="rId1301"/>
                    <a:stretch>
                      <a:fillRect/>
                    </a:stretch>
                  </pic:blipFill>
                  <pic:spPr>
                    <a:xfrm>
                      <a:off x="0" y="0"/>
                      <a:ext cx="5020994" cy="3634080"/>
                    </a:xfrm>
                    <a:prstGeom prst="rect">
                      <a:avLst/>
                    </a:prstGeom>
                  </pic:spPr>
                </pic:pic>
              </a:graphicData>
            </a:graphic>
          </wp:inline>
        </w:drawing>
      </w:r>
    </w:p>
    <w:p w14:paraId="3243F3FC"/>
    <w:p w14:paraId="73F3D669">
      <w:pPr>
        <w:pStyle w:val="202"/>
        <w:rPr>
          <w:lang w:eastAsia="zh-CN"/>
        </w:rPr>
      </w:pPr>
      <w:r>
        <w:rPr>
          <w:rFonts w:hint="eastAsia"/>
          <w:lang w:eastAsia="zh-CN"/>
        </w:rPr>
        <w:t>配置设备A的HA接口管理地址。</w:t>
      </w:r>
    </w:p>
    <w:p w14:paraId="6C7563C1">
      <w:pPr>
        <w:pStyle w:val="188"/>
      </w:pPr>
      <w:bookmarkStart w:id="11731" w:name="_Toc141875330"/>
      <w:r>
        <w:rPr>
          <w:rFonts w:hint="eastAsia"/>
        </w:rPr>
        <w:t>配置设备A的管理地址</w:t>
      </w:r>
      <w:bookmarkEnd w:id="11731"/>
    </w:p>
    <w:p w14:paraId="6E80D108">
      <w:r>
        <w:drawing>
          <wp:inline distT="0" distB="0" distL="0" distR="0">
            <wp:extent cx="4876800" cy="1713230"/>
            <wp:effectExtent l="0" t="0" r="0" b="1270"/>
            <wp:docPr id="1296485314" name="图片 1296485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14" name="图片 1296485314"/>
                    <pic:cNvPicPr>
                      <a:picLocks noChangeAspect="1"/>
                    </pic:cNvPicPr>
                  </pic:nvPicPr>
                  <pic:blipFill>
                    <a:blip r:embed="rId1302"/>
                    <a:stretch>
                      <a:fillRect/>
                    </a:stretch>
                  </pic:blipFill>
                  <pic:spPr>
                    <a:xfrm>
                      <a:off x="0" y="0"/>
                      <a:ext cx="4904924" cy="1723351"/>
                    </a:xfrm>
                    <a:prstGeom prst="rect">
                      <a:avLst/>
                    </a:prstGeom>
                  </pic:spPr>
                </pic:pic>
              </a:graphicData>
            </a:graphic>
          </wp:inline>
        </w:drawing>
      </w:r>
    </w:p>
    <w:p w14:paraId="5EE00BBA"/>
    <w:p w14:paraId="542EC718">
      <w:pPr>
        <w:pStyle w:val="202"/>
        <w:rPr>
          <w:lang w:eastAsia="zh-CN"/>
        </w:rPr>
      </w:pPr>
      <w:r>
        <w:rPr>
          <w:rFonts w:hint="eastAsia"/>
          <w:lang w:eastAsia="zh-CN"/>
        </w:rPr>
        <w:t>配置设备B的HA全局配置。</w:t>
      </w:r>
    </w:p>
    <w:p w14:paraId="2198CC78">
      <w:pPr>
        <w:pStyle w:val="188"/>
      </w:pPr>
      <w:bookmarkStart w:id="11732" w:name="_Toc141875331"/>
      <w:r>
        <w:rPr>
          <w:rFonts w:hint="eastAsia"/>
        </w:rPr>
        <w:t>设备B的HA全局配置</w:t>
      </w:r>
      <w:bookmarkEnd w:id="11732"/>
    </w:p>
    <w:p w14:paraId="7DE8EEE2">
      <w:r>
        <w:drawing>
          <wp:inline distT="0" distB="0" distL="0" distR="0">
            <wp:extent cx="4980940" cy="3604895"/>
            <wp:effectExtent l="0" t="0" r="0" b="0"/>
            <wp:docPr id="918" name="图片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pic:cNvPicPr>
                      <a:picLocks noChangeAspect="1"/>
                    </pic:cNvPicPr>
                  </pic:nvPicPr>
                  <pic:blipFill>
                    <a:blip r:embed="rId1301"/>
                    <a:stretch>
                      <a:fillRect/>
                    </a:stretch>
                  </pic:blipFill>
                  <pic:spPr>
                    <a:xfrm>
                      <a:off x="0" y="0"/>
                      <a:ext cx="4983623" cy="3607032"/>
                    </a:xfrm>
                    <a:prstGeom prst="rect">
                      <a:avLst/>
                    </a:prstGeom>
                  </pic:spPr>
                </pic:pic>
              </a:graphicData>
            </a:graphic>
          </wp:inline>
        </w:drawing>
      </w:r>
    </w:p>
    <w:p w14:paraId="6C214564"/>
    <w:p w14:paraId="536FFFBE">
      <w:pPr>
        <w:pStyle w:val="202"/>
        <w:rPr>
          <w:lang w:eastAsia="zh-CN"/>
        </w:rPr>
      </w:pPr>
      <w:r>
        <w:rPr>
          <w:rFonts w:hint="eastAsia"/>
          <w:lang w:eastAsia="zh-CN"/>
        </w:rPr>
        <w:t>配置设备B的HA接口管理地址。</w:t>
      </w:r>
    </w:p>
    <w:p w14:paraId="0AB303F4">
      <w:pPr>
        <w:pStyle w:val="188"/>
      </w:pPr>
      <w:bookmarkStart w:id="11733" w:name="_Toc141875332"/>
      <w:r>
        <w:rPr>
          <w:rFonts w:hint="eastAsia"/>
        </w:rPr>
        <w:t>配置设备B的管理地址</w:t>
      </w:r>
      <w:bookmarkEnd w:id="11733"/>
    </w:p>
    <w:p w14:paraId="10AB58A6">
      <w:r>
        <w:drawing>
          <wp:inline distT="0" distB="0" distL="0" distR="0">
            <wp:extent cx="4819650" cy="1813560"/>
            <wp:effectExtent l="0" t="0" r="0" b="0"/>
            <wp:docPr id="1296485316" name="图片 1296485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16" name="图片 1296485316"/>
                    <pic:cNvPicPr>
                      <a:picLocks noChangeAspect="1"/>
                    </pic:cNvPicPr>
                  </pic:nvPicPr>
                  <pic:blipFill>
                    <a:blip r:embed="rId1303"/>
                    <a:stretch>
                      <a:fillRect/>
                    </a:stretch>
                  </pic:blipFill>
                  <pic:spPr>
                    <a:xfrm>
                      <a:off x="0" y="0"/>
                      <a:ext cx="4824080" cy="1815247"/>
                    </a:xfrm>
                    <a:prstGeom prst="rect">
                      <a:avLst/>
                    </a:prstGeom>
                  </pic:spPr>
                </pic:pic>
              </a:graphicData>
            </a:graphic>
          </wp:inline>
        </w:drawing>
      </w:r>
    </w:p>
    <w:p w14:paraId="187483D7"/>
    <w:p w14:paraId="48F29709">
      <w:pPr>
        <w:pStyle w:val="6"/>
      </w:pPr>
      <w:r>
        <w:rPr>
          <w:rFonts w:hint="eastAsia"/>
        </w:rPr>
        <w:t>验证配置</w:t>
      </w:r>
    </w:p>
    <w:p w14:paraId="1D991C7F">
      <w:pPr>
        <w:pStyle w:val="202"/>
        <w:rPr>
          <w:lang w:eastAsia="zh-CN"/>
        </w:rPr>
      </w:pPr>
      <w:r>
        <w:rPr>
          <w:rFonts w:hint="eastAsia"/>
          <w:lang w:eastAsia="zh-CN"/>
        </w:rPr>
        <w:t>通过管理地址1.1.1.100/24访问设备A，查看HA监控页面。</w:t>
      </w:r>
    </w:p>
    <w:p w14:paraId="15E70104">
      <w:pPr>
        <w:pStyle w:val="188"/>
      </w:pPr>
      <w:bookmarkStart w:id="11734" w:name="_Toc141875333"/>
      <w:r>
        <w:t>设备A的HA监控页面显示</w:t>
      </w:r>
      <w:bookmarkEnd w:id="11734"/>
    </w:p>
    <w:p w14:paraId="5A1EB7DD">
      <w:pPr>
        <w:spacing w:before="78" w:after="78"/>
      </w:pPr>
      <w:r>
        <w:drawing>
          <wp:inline distT="0" distB="0" distL="0" distR="0">
            <wp:extent cx="4924425" cy="3260725"/>
            <wp:effectExtent l="0" t="0" r="0" b="0"/>
            <wp:docPr id="3032" name="图片 3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2" name="图片 3032"/>
                    <pic:cNvPicPr>
                      <a:picLocks noChangeAspect="1"/>
                    </pic:cNvPicPr>
                  </pic:nvPicPr>
                  <pic:blipFill>
                    <a:blip r:embed="rId1304"/>
                    <a:stretch>
                      <a:fillRect/>
                    </a:stretch>
                  </pic:blipFill>
                  <pic:spPr>
                    <a:xfrm>
                      <a:off x="0" y="0"/>
                      <a:ext cx="4929717" cy="3264836"/>
                    </a:xfrm>
                    <a:prstGeom prst="rect">
                      <a:avLst/>
                    </a:prstGeom>
                  </pic:spPr>
                </pic:pic>
              </a:graphicData>
            </a:graphic>
          </wp:inline>
        </w:drawing>
      </w:r>
    </w:p>
    <w:p w14:paraId="67808913"/>
    <w:p w14:paraId="49179E67">
      <w:pPr>
        <w:pStyle w:val="202"/>
        <w:rPr>
          <w:lang w:eastAsia="zh-CN"/>
        </w:rPr>
      </w:pPr>
      <w:r>
        <w:rPr>
          <w:rFonts w:hint="eastAsia"/>
          <w:lang w:eastAsia="zh-CN"/>
        </w:rPr>
        <w:t>通过管理地址1.1.1.101/24访问设备B，查看HA监控页面。</w:t>
      </w:r>
    </w:p>
    <w:p w14:paraId="2A24C2F7">
      <w:pPr>
        <w:pStyle w:val="188"/>
      </w:pPr>
      <w:bookmarkStart w:id="11735" w:name="_Toc141875334"/>
      <w:r>
        <w:t>设备B的HA监控页面显示</w:t>
      </w:r>
      <w:bookmarkEnd w:id="11735"/>
    </w:p>
    <w:p w14:paraId="5F5846A2">
      <w:pPr>
        <w:spacing w:before="78" w:after="78"/>
      </w:pPr>
      <w:r>
        <w:drawing>
          <wp:inline distT="0" distB="0" distL="0" distR="0">
            <wp:extent cx="5067300" cy="3368675"/>
            <wp:effectExtent l="0" t="0" r="0" b="3175"/>
            <wp:docPr id="3039" name="图片 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9" name="图片 3039"/>
                    <pic:cNvPicPr>
                      <a:picLocks noChangeAspect="1"/>
                    </pic:cNvPicPr>
                  </pic:nvPicPr>
                  <pic:blipFill>
                    <a:blip r:embed="rId1305"/>
                    <a:stretch>
                      <a:fillRect/>
                    </a:stretch>
                  </pic:blipFill>
                  <pic:spPr>
                    <a:xfrm>
                      <a:off x="0" y="0"/>
                      <a:ext cx="5070024" cy="3370874"/>
                    </a:xfrm>
                    <a:prstGeom prst="rect">
                      <a:avLst/>
                    </a:prstGeom>
                  </pic:spPr>
                </pic:pic>
              </a:graphicData>
            </a:graphic>
          </wp:inline>
        </w:drawing>
      </w:r>
    </w:p>
    <w:p w14:paraId="589AAAF0">
      <w:r>
        <w:br w:type="page"/>
      </w:r>
    </w:p>
    <w:p w14:paraId="409C9D38">
      <w:pPr>
        <w:pStyle w:val="4"/>
      </w:pPr>
      <w:bookmarkStart w:id="11736" w:name="_Toc15485391"/>
      <w:bookmarkStart w:id="11737" w:name="_Toc6237858"/>
      <w:bookmarkStart w:id="11738" w:name="_Toc99562056"/>
      <w:bookmarkStart w:id="11739" w:name="_Toc141873869"/>
      <w:bookmarkStart w:id="11740" w:name="_Toc172218678"/>
      <w:bookmarkStart w:id="11741" w:name="_Toc40276566"/>
      <w:bookmarkStart w:id="11742" w:name="_Toc142401386"/>
      <w:bookmarkStart w:id="11743" w:name="_Toc196728592"/>
      <w:bookmarkStart w:id="11744" w:name="_Toc194081264"/>
      <w:bookmarkStart w:id="11745" w:name="_Toc23153145"/>
      <w:r>
        <w:rPr>
          <w:rFonts w:hint="eastAsia"/>
        </w:rPr>
        <w:t>接口状态同步组</w:t>
      </w:r>
      <w:bookmarkEnd w:id="11736"/>
      <w:bookmarkEnd w:id="11737"/>
      <w:bookmarkEnd w:id="11738"/>
      <w:bookmarkEnd w:id="11739"/>
      <w:bookmarkEnd w:id="11740"/>
      <w:bookmarkEnd w:id="11741"/>
      <w:bookmarkEnd w:id="11742"/>
      <w:bookmarkEnd w:id="11743"/>
      <w:bookmarkEnd w:id="11744"/>
      <w:bookmarkEnd w:id="11745"/>
    </w:p>
    <w:p w14:paraId="534833A0">
      <w:pPr>
        <w:pStyle w:val="5"/>
      </w:pPr>
      <w:bookmarkStart w:id="11746" w:name="_Toc15485392"/>
      <w:bookmarkStart w:id="11747" w:name="_Toc194081265"/>
      <w:bookmarkStart w:id="11748" w:name="_Toc142401387"/>
      <w:bookmarkStart w:id="11749" w:name="_Toc40276567"/>
      <w:bookmarkStart w:id="11750" w:name="_Toc172218679"/>
      <w:bookmarkStart w:id="11751" w:name="_Toc99562057"/>
      <w:bookmarkStart w:id="11752" w:name="_Toc196728593"/>
      <w:bookmarkStart w:id="11753" w:name="_Toc23153146"/>
      <w:bookmarkStart w:id="11754" w:name="_Toc141873870"/>
      <w:bookmarkStart w:id="11755" w:name="_Toc6237859"/>
      <w:r>
        <w:rPr>
          <w:rFonts w:hint="eastAsia"/>
        </w:rPr>
        <w:t>概述</w:t>
      </w:r>
      <w:bookmarkEnd w:id="11746"/>
      <w:bookmarkEnd w:id="11747"/>
      <w:bookmarkEnd w:id="11748"/>
      <w:bookmarkEnd w:id="11749"/>
      <w:bookmarkEnd w:id="11750"/>
      <w:bookmarkEnd w:id="11751"/>
      <w:bookmarkEnd w:id="11752"/>
      <w:bookmarkEnd w:id="11753"/>
      <w:bookmarkEnd w:id="11754"/>
      <w:bookmarkEnd w:id="11755"/>
    </w:p>
    <w:p w14:paraId="13F16981">
      <w:r>
        <w:rPr>
          <w:rFonts w:hint="eastAsia"/>
        </w:rPr>
        <w:t>接口状态同步组，即是为加快链路状态变化的快速响应而出现的一种高可靠的功能。主要功能是将一个组内的多个接口状态保持同步，即组内的某一成员状态首先发生变化，则组内的其他成员也同时被置为与其一致的状态，只有当该成员状态恢复时，其他组内成员的状态才可以恢复。</w:t>
      </w:r>
    </w:p>
    <w:p w14:paraId="2F692E50">
      <w:pPr>
        <w:pStyle w:val="5"/>
      </w:pPr>
      <w:bookmarkStart w:id="11756" w:name="_Toc196728594"/>
      <w:bookmarkStart w:id="11757" w:name="_Toc6237860"/>
      <w:bookmarkStart w:id="11758" w:name="_Toc15485393"/>
      <w:bookmarkStart w:id="11759" w:name="_Toc40276568"/>
      <w:bookmarkStart w:id="11760" w:name="_Toc23153147"/>
      <w:bookmarkStart w:id="11761" w:name="_Toc99562058"/>
      <w:bookmarkStart w:id="11762" w:name="_Toc141873871"/>
      <w:bookmarkStart w:id="11763" w:name="_Toc142401388"/>
      <w:bookmarkStart w:id="11764" w:name="_Toc172218680"/>
      <w:bookmarkStart w:id="11765" w:name="_Toc194081266"/>
      <w:r>
        <w:rPr>
          <w:rFonts w:hint="eastAsia"/>
        </w:rPr>
        <w:t>接口状态同步组</w:t>
      </w:r>
      <w:bookmarkEnd w:id="11756"/>
      <w:bookmarkEnd w:id="11757"/>
      <w:bookmarkEnd w:id="11758"/>
      <w:bookmarkEnd w:id="11759"/>
      <w:bookmarkEnd w:id="11760"/>
      <w:bookmarkEnd w:id="11761"/>
      <w:bookmarkEnd w:id="11762"/>
      <w:bookmarkEnd w:id="11763"/>
      <w:bookmarkEnd w:id="11764"/>
      <w:bookmarkEnd w:id="11765"/>
    </w:p>
    <w:p w14:paraId="71229298">
      <w:r>
        <w:rPr>
          <w:rFonts w:hint="eastAsia"/>
        </w:rPr>
        <w:t>通过菜单“系统管理 &gt; 系统设定 &gt; 高可用性</w:t>
      </w:r>
      <w:r>
        <w:t xml:space="preserve"> &gt; </w:t>
      </w:r>
      <w:r>
        <w:rPr>
          <w:rFonts w:hint="eastAsia"/>
        </w:rPr>
        <w:t>接口状态同步组”，进入如</w:t>
      </w:r>
      <w:r>
        <w:rPr>
          <w:color w:val="0000FF"/>
          <w:u w:val="single"/>
        </w:rPr>
        <w:fldChar w:fldCharType="begin"/>
      </w:r>
      <w:r>
        <w:rPr>
          <w:color w:val="0000FF"/>
          <w:u w:val="single"/>
        </w:rPr>
        <w:instrText xml:space="preserve"> REF _Ref393727082 \r \h </w:instrText>
      </w:r>
      <w:r>
        <w:rPr>
          <w:color w:val="0000FF"/>
          <w:u w:val="single"/>
        </w:rPr>
        <w:fldChar w:fldCharType="separate"/>
      </w:r>
      <w:r>
        <w:rPr>
          <w:rFonts w:hint="eastAsia"/>
          <w:color w:val="0000FF"/>
          <w:u w:val="single"/>
        </w:rPr>
        <w:t>图34-21</w:t>
      </w:r>
      <w:r>
        <w:rPr>
          <w:color w:val="0000FF"/>
          <w:u w:val="single"/>
        </w:rPr>
        <w:fldChar w:fldCharType="end"/>
      </w:r>
      <w:r>
        <w:rPr>
          <w:rFonts w:hint="eastAsia"/>
        </w:rPr>
        <w:t>所示页面。在该页面上，可以查看和编辑已经配置的接口状态同步组。</w:t>
      </w:r>
    </w:p>
    <w:p w14:paraId="565EC1C3">
      <w:pPr>
        <w:pStyle w:val="188"/>
      </w:pPr>
      <w:bookmarkStart w:id="11766" w:name="_Toc141875335"/>
      <w:bookmarkStart w:id="11767" w:name="_Ref393727082"/>
      <w:r>
        <w:rPr>
          <w:rFonts w:hint="eastAsia"/>
        </w:rPr>
        <w:t>接口状态同步组</w:t>
      </w:r>
      <w:bookmarkEnd w:id="11766"/>
      <w:bookmarkEnd w:id="11767"/>
    </w:p>
    <w:p w14:paraId="0C3C2917">
      <w:pPr>
        <w:pStyle w:val="175"/>
      </w:pPr>
      <w:r>
        <w:drawing>
          <wp:inline distT="0" distB="0" distL="0" distR="0">
            <wp:extent cx="5638800" cy="1082040"/>
            <wp:effectExtent l="0" t="0" r="0" b="3810"/>
            <wp:docPr id="3351" name="图片 3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1" name="图片 3351"/>
                    <pic:cNvPicPr>
                      <a:picLocks noChangeAspect="1"/>
                    </pic:cNvPicPr>
                  </pic:nvPicPr>
                  <pic:blipFill>
                    <a:blip r:embed="rId1306"/>
                    <a:stretch>
                      <a:fillRect/>
                    </a:stretch>
                  </pic:blipFill>
                  <pic:spPr>
                    <a:xfrm>
                      <a:off x="0" y="0"/>
                      <a:ext cx="5663892" cy="1087063"/>
                    </a:xfrm>
                    <a:prstGeom prst="rect">
                      <a:avLst/>
                    </a:prstGeom>
                  </pic:spPr>
                </pic:pic>
              </a:graphicData>
            </a:graphic>
          </wp:inline>
        </w:drawing>
      </w:r>
    </w:p>
    <w:p w14:paraId="7B010343"/>
    <w:p w14:paraId="70E70C1C">
      <w:pPr>
        <w:pStyle w:val="183"/>
      </w:pPr>
      <w:bookmarkStart w:id="11768" w:name="_Toc141875797"/>
      <w:r>
        <w:rPr>
          <w:rFonts w:hint="eastAsia"/>
        </w:rPr>
        <w:t>接口状态同步组的显示信息</w:t>
      </w:r>
      <w:bookmarkEnd w:id="11768"/>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647"/>
        <w:gridCol w:w="7367"/>
      </w:tblGrid>
      <w:tr w14:paraId="057E2B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tcBorders>
              <w:tl2br w:val="nil"/>
              <w:tr2bl w:val="nil"/>
            </w:tcBorders>
            <w:shd w:val="clear" w:color="auto" w:fill="538135" w:themeFill="accent6" w:themeFillShade="BF"/>
            <w:vAlign w:val="center"/>
          </w:tcPr>
          <w:p w14:paraId="6AC8883A">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329" w:type="dxa"/>
            <w:tcBorders>
              <w:tl2br w:val="nil"/>
              <w:tr2bl w:val="nil"/>
            </w:tcBorders>
            <w:shd w:val="clear" w:color="auto" w:fill="538135" w:themeFill="accent6" w:themeFillShade="BF"/>
            <w:vAlign w:val="center"/>
          </w:tcPr>
          <w:p w14:paraId="2A1F153A">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001FD2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544A9C9C">
            <w:pPr>
              <w:pStyle w:val="150"/>
            </w:pPr>
            <w:r>
              <w:rPr>
                <w:rFonts w:hint="eastAsia"/>
              </w:rPr>
              <w:t>组名称</w:t>
            </w:r>
          </w:p>
        </w:tc>
        <w:tc>
          <w:tcPr>
            <w:tcW w:w="7329" w:type="dxa"/>
            <w:shd w:val="clear" w:color="auto" w:fill="auto"/>
          </w:tcPr>
          <w:p w14:paraId="4D66E8E8">
            <w:pPr>
              <w:pStyle w:val="150"/>
            </w:pPr>
            <w:r>
              <w:rPr>
                <w:rFonts w:hint="eastAsia"/>
              </w:rPr>
              <w:t>接口状态同步组名称。</w:t>
            </w:r>
          </w:p>
        </w:tc>
      </w:tr>
      <w:tr w14:paraId="66102E5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67587D3A">
            <w:pPr>
              <w:pStyle w:val="150"/>
            </w:pPr>
            <w:r>
              <w:rPr>
                <w:rFonts w:hint="eastAsia"/>
              </w:rPr>
              <w:t>接口成员</w:t>
            </w:r>
          </w:p>
        </w:tc>
        <w:tc>
          <w:tcPr>
            <w:tcW w:w="7329" w:type="dxa"/>
            <w:shd w:val="clear" w:color="auto" w:fill="auto"/>
          </w:tcPr>
          <w:p w14:paraId="48C91AA6">
            <w:pPr>
              <w:pStyle w:val="150"/>
            </w:pPr>
            <w:r>
              <w:rPr>
                <w:rFonts w:hint="eastAsia"/>
              </w:rPr>
              <w:t>同步组内成员。</w:t>
            </w:r>
          </w:p>
        </w:tc>
      </w:tr>
      <w:tr w14:paraId="2CF59A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15CDB55E">
            <w:pPr>
              <w:pStyle w:val="150"/>
            </w:pPr>
            <w:r>
              <w:rPr>
                <w:rFonts w:hint="eastAsia"/>
              </w:rPr>
              <w:t>状态</w:t>
            </w:r>
          </w:p>
        </w:tc>
        <w:tc>
          <w:tcPr>
            <w:tcW w:w="7329" w:type="dxa"/>
            <w:shd w:val="clear" w:color="auto" w:fill="auto"/>
          </w:tcPr>
          <w:p w14:paraId="0FB385C2">
            <w:pPr>
              <w:pStyle w:val="150"/>
            </w:pPr>
            <w:r>
              <w:drawing>
                <wp:inline distT="0" distB="0" distL="0" distR="0">
                  <wp:extent cx="219075" cy="152400"/>
                  <wp:effectExtent l="0" t="0" r="9525" b="0"/>
                  <wp:docPr id="3352" name="图片 3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2" name="图片 3352"/>
                          <pic:cNvPicPr>
                            <a:picLocks noChangeAspect="1" noChangeArrowheads="1"/>
                          </pic:cNvPicPr>
                        </pic:nvPicPr>
                        <pic:blipFill>
                          <a:blip r:embed="rId1307">
                            <a:extLst>
                              <a:ext uri="{28A0092B-C50C-407E-A947-70E740481C1C}">
                                <a14:useLocalDpi xmlns:a14="http://schemas.microsoft.com/office/drawing/2010/main" val="0"/>
                              </a:ext>
                            </a:extLst>
                          </a:blip>
                          <a:srcRect/>
                          <a:stretch>
                            <a:fillRect/>
                          </a:stretch>
                        </pic:blipFill>
                        <pic:spPr>
                          <a:xfrm>
                            <a:off x="0" y="0"/>
                            <a:ext cx="219075" cy="152400"/>
                          </a:xfrm>
                          <a:prstGeom prst="rect">
                            <a:avLst/>
                          </a:prstGeom>
                          <a:noFill/>
                          <a:ln>
                            <a:noFill/>
                          </a:ln>
                        </pic:spPr>
                      </pic:pic>
                    </a:graphicData>
                  </a:graphic>
                </wp:inline>
              </w:drawing>
            </w:r>
            <w:r>
              <w:rPr>
                <w:rFonts w:hint="eastAsia"/>
              </w:rPr>
              <w:t>表示组状态为up，</w:t>
            </w:r>
            <w:r>
              <w:drawing>
                <wp:inline distT="0" distB="0" distL="0" distR="0">
                  <wp:extent cx="190500" cy="152400"/>
                  <wp:effectExtent l="0" t="0" r="0" b="0"/>
                  <wp:docPr id="3353" name="图片 3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3" name="图片 3353"/>
                          <pic:cNvPicPr>
                            <a:picLocks noChangeAspect="1"/>
                          </pic:cNvPicPr>
                        </pic:nvPicPr>
                        <pic:blipFill>
                          <a:blip r:embed="rId1308" cstate="print"/>
                          <a:stretch>
                            <a:fillRect/>
                          </a:stretch>
                        </pic:blipFill>
                        <pic:spPr>
                          <a:xfrm>
                            <a:off x="0" y="0"/>
                            <a:ext cx="190500" cy="152400"/>
                          </a:xfrm>
                          <a:prstGeom prst="rect">
                            <a:avLst/>
                          </a:prstGeom>
                        </pic:spPr>
                      </pic:pic>
                    </a:graphicData>
                  </a:graphic>
                </wp:inline>
              </w:drawing>
            </w:r>
            <w:r>
              <w:rPr>
                <w:rFonts w:hint="eastAsia"/>
              </w:rPr>
              <w:t>表示组状态为down</w:t>
            </w:r>
          </w:p>
          <w:p w14:paraId="751F1633">
            <w:pPr>
              <w:pStyle w:val="150"/>
            </w:pPr>
            <w:r>
              <w:rPr>
                <w:rFonts w:hint="eastAsia"/>
              </w:rPr>
              <w:t>组状态 分为up，down和unknow三种状态；</w:t>
            </w:r>
          </w:p>
          <w:p w14:paraId="44A3A19B">
            <w:pPr>
              <w:pStyle w:val="150"/>
            </w:pPr>
            <w:r>
              <w:rPr>
                <w:rFonts w:hint="eastAsia"/>
              </w:rPr>
              <w:t>组状态的确定：</w:t>
            </w:r>
          </w:p>
          <w:p w14:paraId="547B938B">
            <w:pPr>
              <w:pStyle w:val="150"/>
            </w:pPr>
            <w:r>
              <w:t>当全部成员的链路状态都为up时，组状态为up；</w:t>
            </w:r>
          </w:p>
          <w:p w14:paraId="23D82C57">
            <w:pPr>
              <w:pStyle w:val="150"/>
            </w:pPr>
            <w:r>
              <w:rPr>
                <w:rFonts w:hint="eastAsia"/>
              </w:rPr>
              <w:t>当某一成员的链路状态为down时，组状态为down；</w:t>
            </w:r>
          </w:p>
          <w:p w14:paraId="3729CE36">
            <w:pPr>
              <w:pStyle w:val="150"/>
            </w:pPr>
            <w:r>
              <w:rPr>
                <w:rFonts w:hint="eastAsia"/>
              </w:rPr>
              <w:t>当条件2中有成员的链路状态变为up时，将组内其它成员置为管理up，组状态置为unknow；</w:t>
            </w:r>
          </w:p>
          <w:p w14:paraId="59D8C7D4">
            <w:pPr>
              <w:pStyle w:val="150"/>
            </w:pPr>
            <w:r>
              <w:rPr>
                <w:rFonts w:hint="eastAsia"/>
              </w:rPr>
              <w:t>当组状态为unknow时，继续调用1、2操作；</w:t>
            </w:r>
          </w:p>
          <w:p w14:paraId="6C770487">
            <w:pPr>
              <w:pStyle w:val="150"/>
            </w:pPr>
            <w:r>
              <w:rPr>
                <w:rFonts w:hint="eastAsia"/>
              </w:rPr>
              <w:t>unknow状态为中间状态，为防止组内成员间的互相影响，所以当组状态为unknow时，需要下一轮循环更新组状态。</w:t>
            </w:r>
          </w:p>
        </w:tc>
      </w:tr>
      <w:tr w14:paraId="4A98AAA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639" w:type="dxa"/>
            <w:shd w:val="clear" w:color="auto" w:fill="auto"/>
          </w:tcPr>
          <w:p w14:paraId="65291A0C">
            <w:pPr>
              <w:pStyle w:val="150"/>
            </w:pPr>
            <w:r>
              <w:rPr>
                <w:rFonts w:hint="eastAsia"/>
              </w:rPr>
              <w:t>操作</w:t>
            </w:r>
          </w:p>
        </w:tc>
        <w:tc>
          <w:tcPr>
            <w:tcW w:w="7329" w:type="dxa"/>
            <w:shd w:val="clear" w:color="auto" w:fill="auto"/>
          </w:tcPr>
          <w:p w14:paraId="74D92CCD">
            <w:pPr>
              <w:pStyle w:val="150"/>
            </w:pPr>
            <w:r>
              <w:rPr>
                <w:rFonts w:hint="eastAsia"/>
              </w:rPr>
              <w:t>点击</w:t>
            </w:r>
            <w:r>
              <w:drawing>
                <wp:inline distT="0" distB="0" distL="0" distR="0">
                  <wp:extent cx="171450" cy="171450"/>
                  <wp:effectExtent l="0" t="0" r="0" b="0"/>
                  <wp:docPr id="3354" name="图片 3354" descr="http://192.168.1.17/webui/images/basic/icons/icon_edi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4" name="图片 3354" descr="http://192.168.1.17/webui/images/basic/icons/icon_edit.gif"/>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a:xfrm>
                            <a:off x="0" y="0"/>
                            <a:ext cx="171450" cy="171450"/>
                          </a:xfrm>
                          <a:prstGeom prst="rect">
                            <a:avLst/>
                          </a:prstGeom>
                          <a:noFill/>
                          <a:ln>
                            <a:noFill/>
                          </a:ln>
                        </pic:spPr>
                      </pic:pic>
                    </a:graphicData>
                  </a:graphic>
                </wp:inline>
              </w:drawing>
            </w:r>
            <w:r>
              <w:rPr>
                <w:rFonts w:hint="eastAsia"/>
              </w:rPr>
              <w:t>可以对该配置进行修改，点击</w:t>
            </w:r>
            <w:r>
              <w:drawing>
                <wp:inline distT="0" distB="0" distL="0" distR="0">
                  <wp:extent cx="171450" cy="171450"/>
                  <wp:effectExtent l="0" t="0" r="0" b="0"/>
                  <wp:docPr id="3355" name="图片 3355" descr="http://192.168.1.17/webui/images/basic/icons/icon_de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5" name="图片 3355" descr="http://192.168.1.17/webui/images/basic/icons/icon_del.gif"/>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a:xfrm>
                            <a:off x="0" y="0"/>
                            <a:ext cx="171450" cy="171450"/>
                          </a:xfrm>
                          <a:prstGeom prst="rect">
                            <a:avLst/>
                          </a:prstGeom>
                          <a:noFill/>
                          <a:ln>
                            <a:noFill/>
                          </a:ln>
                        </pic:spPr>
                      </pic:pic>
                    </a:graphicData>
                  </a:graphic>
                </wp:inline>
              </w:drawing>
            </w:r>
            <w:r>
              <w:rPr>
                <w:rFonts w:hint="eastAsia"/>
              </w:rPr>
              <w:t>可以删除该条配置。</w:t>
            </w:r>
          </w:p>
        </w:tc>
      </w:tr>
    </w:tbl>
    <w:p w14:paraId="5DD6F3EC"/>
    <w:p w14:paraId="1A58943B">
      <w:pPr>
        <w:pStyle w:val="5"/>
      </w:pPr>
      <w:bookmarkStart w:id="11769" w:name="_Toc196728595"/>
      <w:bookmarkStart w:id="11770" w:name="_Toc40276569"/>
      <w:bookmarkStart w:id="11771" w:name="_Toc23153148"/>
      <w:bookmarkStart w:id="11772" w:name="_Toc6237861"/>
      <w:bookmarkStart w:id="11773" w:name="_Toc142401389"/>
      <w:bookmarkStart w:id="11774" w:name="_Toc194081267"/>
      <w:bookmarkStart w:id="11775" w:name="_Toc15485394"/>
      <w:bookmarkStart w:id="11776" w:name="_Toc141873872"/>
      <w:bookmarkStart w:id="11777" w:name="_Toc99562059"/>
      <w:bookmarkStart w:id="11778" w:name="_Toc172218681"/>
      <w:r>
        <w:rPr>
          <w:rFonts w:hint="eastAsia"/>
        </w:rPr>
        <w:t>接口状态同步组配置</w:t>
      </w:r>
      <w:bookmarkEnd w:id="11769"/>
      <w:bookmarkEnd w:id="11770"/>
      <w:bookmarkEnd w:id="11771"/>
      <w:bookmarkEnd w:id="11772"/>
      <w:bookmarkEnd w:id="11773"/>
      <w:bookmarkEnd w:id="11774"/>
      <w:bookmarkEnd w:id="11775"/>
      <w:bookmarkEnd w:id="11776"/>
      <w:bookmarkEnd w:id="11777"/>
      <w:bookmarkEnd w:id="11778"/>
    </w:p>
    <w:p w14:paraId="533B59B3">
      <w:r>
        <w:rPr>
          <w:rFonts w:hint="eastAsia"/>
        </w:rPr>
        <w:t>点击“新建”，配置接口状态同步组。</w:t>
      </w:r>
    </w:p>
    <w:p w14:paraId="26ECFFB2">
      <w:pPr>
        <w:pStyle w:val="188"/>
      </w:pPr>
      <w:bookmarkStart w:id="11779" w:name="_Toc141875336"/>
      <w:r>
        <w:rPr>
          <w:rFonts w:hint="eastAsia"/>
        </w:rPr>
        <w:t>接口状态同步组配置页面</w:t>
      </w:r>
      <w:bookmarkEnd w:id="11779"/>
    </w:p>
    <w:p w14:paraId="6D1A1711">
      <w:r>
        <w:drawing>
          <wp:inline distT="0" distB="0" distL="0" distR="0">
            <wp:extent cx="5219700" cy="2705735"/>
            <wp:effectExtent l="0" t="0" r="0" b="0"/>
            <wp:docPr id="1296485317" name="图片 1296485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17" name="图片 1296485317"/>
                    <pic:cNvPicPr>
                      <a:picLocks noChangeAspect="1"/>
                    </pic:cNvPicPr>
                  </pic:nvPicPr>
                  <pic:blipFill>
                    <a:blip r:embed="rId1309"/>
                    <a:stretch>
                      <a:fillRect/>
                    </a:stretch>
                  </pic:blipFill>
                  <pic:spPr>
                    <a:xfrm>
                      <a:off x="0" y="0"/>
                      <a:ext cx="5224762" cy="2708594"/>
                    </a:xfrm>
                    <a:prstGeom prst="rect">
                      <a:avLst/>
                    </a:prstGeom>
                  </pic:spPr>
                </pic:pic>
              </a:graphicData>
            </a:graphic>
          </wp:inline>
        </w:drawing>
      </w:r>
      <w:r>
        <w:t xml:space="preserve"> </w:t>
      </w:r>
    </w:p>
    <w:p w14:paraId="1CF3EB5A"/>
    <w:p w14:paraId="54989F0E">
      <w:pPr>
        <w:pStyle w:val="183"/>
      </w:pPr>
      <w:bookmarkStart w:id="11780" w:name="_Toc141875798"/>
      <w:r>
        <w:rPr>
          <w:rFonts w:hint="eastAsia"/>
        </w:rPr>
        <w:t>接口状态同步组配置项含义</w:t>
      </w:r>
      <w:bookmarkEnd w:id="11780"/>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44"/>
        <w:gridCol w:w="6670"/>
      </w:tblGrid>
      <w:tr w14:paraId="7978D2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tcBorders>
              <w:tl2br w:val="nil"/>
              <w:tr2bl w:val="nil"/>
            </w:tcBorders>
            <w:shd w:val="clear" w:color="auto" w:fill="538135" w:themeFill="accent6" w:themeFillShade="BF"/>
            <w:vAlign w:val="center"/>
          </w:tcPr>
          <w:p w14:paraId="7E1AC13C">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684" w:type="dxa"/>
            <w:tcBorders>
              <w:tl2br w:val="nil"/>
              <w:tr2bl w:val="nil"/>
            </w:tcBorders>
            <w:shd w:val="clear" w:color="auto" w:fill="538135" w:themeFill="accent6" w:themeFillShade="BF"/>
            <w:vAlign w:val="center"/>
          </w:tcPr>
          <w:p w14:paraId="6374233D">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56434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2B311FB8">
            <w:pPr>
              <w:pStyle w:val="150"/>
            </w:pPr>
            <w:r>
              <w:rPr>
                <w:rFonts w:hint="eastAsia"/>
              </w:rPr>
              <w:t>组名称</w:t>
            </w:r>
          </w:p>
        </w:tc>
        <w:tc>
          <w:tcPr>
            <w:tcW w:w="6684" w:type="dxa"/>
            <w:shd w:val="clear" w:color="auto" w:fill="auto"/>
          </w:tcPr>
          <w:p w14:paraId="169AA2CC">
            <w:pPr>
              <w:pStyle w:val="150"/>
            </w:pPr>
            <w:r>
              <w:rPr>
                <w:rFonts w:hint="eastAsia"/>
              </w:rPr>
              <w:t>设置接口状态同步组的名称</w:t>
            </w:r>
          </w:p>
        </w:tc>
      </w:tr>
      <w:tr w14:paraId="129C72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348" w:type="dxa"/>
            <w:shd w:val="clear" w:color="auto" w:fill="auto"/>
          </w:tcPr>
          <w:p w14:paraId="303E8B15">
            <w:pPr>
              <w:pStyle w:val="150"/>
            </w:pPr>
            <w:r>
              <w:rPr>
                <w:rFonts w:hint="eastAsia"/>
              </w:rPr>
              <w:t>接口成员</w:t>
            </w:r>
          </w:p>
        </w:tc>
        <w:tc>
          <w:tcPr>
            <w:tcW w:w="6684" w:type="dxa"/>
            <w:shd w:val="clear" w:color="auto" w:fill="auto"/>
          </w:tcPr>
          <w:p w14:paraId="6A6A7F24">
            <w:pPr>
              <w:pStyle w:val="150"/>
            </w:pPr>
            <w:r>
              <w:rPr>
                <w:rFonts w:hint="eastAsia"/>
              </w:rPr>
              <w:t>左侧为设备上现有的接口列表，右侧为已经加入该同步组的接口列表</w:t>
            </w:r>
          </w:p>
        </w:tc>
      </w:tr>
    </w:tbl>
    <w:p w14:paraId="16D22A1D"/>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3F397F6D">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3E937B48">
            <w:pPr>
              <w:pStyle w:val="150"/>
              <w:adjustRightInd w:val="0"/>
              <w:snapToGrid w:val="0"/>
              <w:rPr>
                <w:color w:val="auto"/>
              </w:rPr>
            </w:pPr>
            <w:r>
              <w:rPr>
                <w:b/>
                <w:color w:val="auto"/>
              </w:rPr>
              <w:drawing>
                <wp:inline distT="0" distB="0" distL="0" distR="0">
                  <wp:extent cx="283210" cy="283210"/>
                  <wp:effectExtent l="0" t="0" r="2540" b="2540"/>
                  <wp:docPr id="994" name="图片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图片 994"/>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7916CD88">
            <w:pPr>
              <w:pStyle w:val="207"/>
              <w:adjustRightInd w:val="0"/>
              <w:snapToGrid w:val="0"/>
              <w:rPr>
                <w:color w:val="auto"/>
                <w:lang w:eastAsia="zh-CN"/>
              </w:rPr>
            </w:pPr>
            <w:r>
              <w:rPr>
                <w:rFonts w:hint="eastAsia"/>
                <w:color w:val="auto"/>
                <w:lang w:eastAsia="zh-CN"/>
              </w:rPr>
              <w:t>接口状态同步组中，最多可以配置8个物理接口。</w:t>
            </w:r>
          </w:p>
          <w:p w14:paraId="7AD7E47F">
            <w:pPr>
              <w:pStyle w:val="207"/>
              <w:adjustRightInd w:val="0"/>
              <w:snapToGrid w:val="0"/>
              <w:rPr>
                <w:color w:val="auto"/>
                <w:lang w:eastAsia="zh-CN"/>
              </w:rPr>
            </w:pPr>
            <w:r>
              <w:rPr>
                <w:rFonts w:hint="eastAsia"/>
                <w:color w:val="auto"/>
                <w:lang w:eastAsia="zh-CN"/>
              </w:rPr>
              <w:t>一个物理接口只能属于一个接口状态同步组。</w:t>
            </w:r>
          </w:p>
          <w:p w14:paraId="3AED5DEF">
            <w:pPr>
              <w:pStyle w:val="207"/>
              <w:adjustRightInd w:val="0"/>
              <w:snapToGrid w:val="0"/>
              <w:rPr>
                <w:color w:val="auto"/>
                <w:lang w:eastAsia="zh-CN"/>
              </w:rPr>
            </w:pPr>
            <w:r>
              <w:rPr>
                <w:rFonts w:hint="eastAsia"/>
                <w:color w:val="auto"/>
                <w:lang w:eastAsia="zh-CN"/>
              </w:rPr>
              <w:t>设备支持的接口状态同步组的最大个数为16。</w:t>
            </w:r>
          </w:p>
        </w:tc>
      </w:tr>
    </w:tbl>
    <w:p w14:paraId="15C732E7"/>
    <w:p w14:paraId="0940A990">
      <w:r>
        <w:br w:type="page"/>
      </w:r>
    </w:p>
    <w:p w14:paraId="10B5A214">
      <w:pPr>
        <w:pStyle w:val="4"/>
      </w:pPr>
      <w:bookmarkStart w:id="11781" w:name="_Toc15485395"/>
      <w:bookmarkStart w:id="11782" w:name="_Toc40276570"/>
      <w:bookmarkStart w:id="11783" w:name="_Toc6237894"/>
      <w:bookmarkStart w:id="11784" w:name="_Toc401771303"/>
      <w:bookmarkStart w:id="11785" w:name="_Toc23153149"/>
      <w:bookmarkStart w:id="11786" w:name="_Toc172218682"/>
      <w:bookmarkStart w:id="11787" w:name="_Toc194081268"/>
      <w:bookmarkStart w:id="11788" w:name="_Toc99562060"/>
      <w:bookmarkStart w:id="11789" w:name="_Toc142401390"/>
      <w:bookmarkStart w:id="11790" w:name="_Toc141873873"/>
      <w:bookmarkStart w:id="11791" w:name="_Toc196728596"/>
      <w:r>
        <w:rPr>
          <w:rFonts w:hint="eastAsia"/>
        </w:rPr>
        <w:t>地址探测</w:t>
      </w:r>
      <w:bookmarkEnd w:id="11781"/>
      <w:bookmarkEnd w:id="11782"/>
      <w:bookmarkEnd w:id="11783"/>
      <w:bookmarkEnd w:id="11784"/>
      <w:bookmarkEnd w:id="11785"/>
      <w:bookmarkEnd w:id="11786"/>
      <w:bookmarkEnd w:id="11787"/>
      <w:bookmarkEnd w:id="11788"/>
      <w:bookmarkEnd w:id="11789"/>
      <w:bookmarkEnd w:id="11790"/>
      <w:bookmarkEnd w:id="11791"/>
    </w:p>
    <w:p w14:paraId="2317858D">
      <w:pPr>
        <w:pStyle w:val="5"/>
      </w:pPr>
      <w:bookmarkStart w:id="11792" w:name="_Toc6237895"/>
      <w:bookmarkStart w:id="11793" w:name="_Toc194081269"/>
      <w:bookmarkStart w:id="11794" w:name="_Toc99562061"/>
      <w:bookmarkStart w:id="11795" w:name="_Toc40276571"/>
      <w:bookmarkStart w:id="11796" w:name="_Toc172218683"/>
      <w:bookmarkStart w:id="11797" w:name="_Toc196728597"/>
      <w:bookmarkStart w:id="11798" w:name="_Toc23153150"/>
      <w:bookmarkStart w:id="11799" w:name="_Toc142401391"/>
      <w:bookmarkStart w:id="11800" w:name="_Toc401771304"/>
      <w:bookmarkStart w:id="11801" w:name="_Toc15485396"/>
      <w:bookmarkStart w:id="11802" w:name="_Toc141873874"/>
      <w:r>
        <w:rPr>
          <w:rFonts w:hint="eastAsia"/>
        </w:rPr>
        <w:t>概述</w:t>
      </w:r>
      <w:bookmarkEnd w:id="11792"/>
      <w:bookmarkEnd w:id="11793"/>
      <w:bookmarkEnd w:id="11794"/>
      <w:bookmarkEnd w:id="11795"/>
      <w:bookmarkEnd w:id="11796"/>
      <w:bookmarkEnd w:id="11797"/>
      <w:bookmarkEnd w:id="11798"/>
      <w:bookmarkEnd w:id="11799"/>
      <w:bookmarkEnd w:id="11800"/>
      <w:bookmarkEnd w:id="11801"/>
      <w:bookmarkEnd w:id="11802"/>
    </w:p>
    <w:p w14:paraId="586B331C">
      <w:pPr>
        <w:pStyle w:val="6"/>
      </w:pPr>
      <w:bookmarkStart w:id="11803" w:name="_Toc6237896"/>
      <w:bookmarkStart w:id="11804" w:name="_Toc15485397"/>
      <w:bookmarkStart w:id="11805" w:name="_Toc23153151"/>
      <w:bookmarkStart w:id="11806" w:name="_Toc40276572"/>
      <w:r>
        <w:rPr>
          <w:rFonts w:hint="eastAsia"/>
        </w:rPr>
        <w:t>地址探测简介</w:t>
      </w:r>
      <w:bookmarkEnd w:id="11803"/>
      <w:bookmarkEnd w:id="11804"/>
      <w:bookmarkEnd w:id="11805"/>
      <w:bookmarkEnd w:id="11806"/>
    </w:p>
    <w:p w14:paraId="23949E8D">
      <w:r>
        <w:rPr>
          <w:rFonts w:hint="eastAsia"/>
        </w:rPr>
        <w:t>使用</w:t>
      </w:r>
      <w:r>
        <w:t>ICMP</w:t>
      </w:r>
      <w:r>
        <w:rPr>
          <w:rFonts w:hint="eastAsia"/>
        </w:rPr>
        <w:t>协议，</w:t>
      </w:r>
      <w:r>
        <w:t>TCP</w:t>
      </w:r>
      <w:r>
        <w:rPr>
          <w:rFonts w:hint="eastAsia"/>
        </w:rPr>
        <w:t>协议和</w:t>
      </w:r>
      <w:r>
        <w:t>DNS</w:t>
      </w:r>
      <w:r>
        <w:rPr>
          <w:rFonts w:hint="eastAsia"/>
        </w:rPr>
        <w:t>协议确定地址是否可达，从而实现判断链路状态。</w:t>
      </w:r>
    </w:p>
    <w:p w14:paraId="179357D9">
      <w:pPr>
        <w:pStyle w:val="6"/>
      </w:pPr>
      <w:bookmarkStart w:id="11807" w:name="_Toc40276573"/>
      <w:bookmarkStart w:id="11808" w:name="_Toc23153152"/>
      <w:bookmarkStart w:id="11809" w:name="_Toc397376608"/>
      <w:bookmarkStart w:id="11810" w:name="_Toc15485398"/>
      <w:bookmarkStart w:id="11811" w:name="_Toc6237897"/>
      <w:r>
        <w:rPr>
          <w:rFonts w:hint="eastAsia"/>
        </w:rPr>
        <w:t>基于</w:t>
      </w:r>
      <w:r>
        <w:t>接口探测</w:t>
      </w:r>
      <w:bookmarkEnd w:id="11807"/>
      <w:bookmarkEnd w:id="11808"/>
      <w:bookmarkEnd w:id="11809"/>
      <w:bookmarkEnd w:id="11810"/>
      <w:bookmarkEnd w:id="11811"/>
    </w:p>
    <w:p w14:paraId="0A9DE465">
      <w:r>
        <w:rPr>
          <w:rFonts w:hint="eastAsia"/>
        </w:rPr>
        <w:t>配置过程中可以指定探测报文的发送接口，也可以不指定具体接口，根据路由选路。指定接口主要用于和路由联动的情况。防止由于正常的链路失效后，备份路由启用，探测报文选择了备份路由接口，错误的认为探测地址可达的情况。</w:t>
      </w:r>
    </w:p>
    <w:p w14:paraId="664FB1E2">
      <w:pPr>
        <w:pStyle w:val="6"/>
      </w:pPr>
      <w:bookmarkStart w:id="11812" w:name="_Toc40276574"/>
      <w:bookmarkStart w:id="11813" w:name="_Toc397376609"/>
      <w:bookmarkStart w:id="11814" w:name="_Toc23153153"/>
      <w:bookmarkStart w:id="11815" w:name="_Toc15485399"/>
      <w:bookmarkStart w:id="11816" w:name="_Toc6237898"/>
      <w:r>
        <w:rPr>
          <w:rFonts w:hint="eastAsia"/>
        </w:rPr>
        <w:t>可以在</w:t>
      </w:r>
      <w:r>
        <w:t>HA</w:t>
      </w:r>
      <w:r>
        <w:rPr>
          <w:rFonts w:hint="eastAsia"/>
        </w:rPr>
        <w:t>备</w:t>
      </w:r>
      <w:r>
        <w:t>设备使用路由探测</w:t>
      </w:r>
      <w:bookmarkEnd w:id="11812"/>
      <w:bookmarkEnd w:id="11813"/>
      <w:bookmarkEnd w:id="11814"/>
      <w:bookmarkEnd w:id="11815"/>
      <w:bookmarkEnd w:id="11816"/>
    </w:p>
    <w:p w14:paraId="1A6817FA">
      <w:r>
        <w:t>HA</w:t>
      </w:r>
      <w:r>
        <w:rPr>
          <w:rFonts w:hint="eastAsia"/>
        </w:rPr>
        <w:t>备设备只允许源地址为管理地址的报文发送，所以备设备发送探测报文的源地址为接口的管理地址。</w:t>
      </w:r>
    </w:p>
    <w:p w14:paraId="704EEF88"/>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3597CB06">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2CEF536F">
            <w:pPr>
              <w:pStyle w:val="150"/>
              <w:adjustRightInd w:val="0"/>
              <w:snapToGrid w:val="0"/>
              <w:rPr>
                <w:color w:val="auto"/>
              </w:rPr>
            </w:pPr>
            <w:r>
              <w:rPr>
                <w:b/>
                <w:color w:val="00A0E9"/>
              </w:rPr>
              <w:drawing>
                <wp:inline distT="0" distB="0" distL="0" distR="0">
                  <wp:extent cx="260350" cy="260350"/>
                  <wp:effectExtent l="0" t="0" r="6350" b="6350"/>
                  <wp:docPr id="995" name="图片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图片 995"/>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0470" cy="260470"/>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7460833E">
            <w:pPr>
              <w:pStyle w:val="150"/>
              <w:adjustRightInd w:val="0"/>
              <w:snapToGrid w:val="0"/>
              <w:rPr>
                <w:color w:val="auto"/>
              </w:rPr>
            </w:pPr>
            <w:r>
              <w:rPr>
                <w:rFonts w:hint="eastAsia"/>
                <w:color w:val="auto"/>
              </w:rPr>
              <w:t>如果HA的备设备需要使用地址探测，必须在出接口上配置HA管理地址，否则无法发送探测报文。</w:t>
            </w:r>
          </w:p>
        </w:tc>
      </w:tr>
    </w:tbl>
    <w:p w14:paraId="426C2FCF">
      <w:bookmarkStart w:id="11817" w:name="_Toc497294139"/>
      <w:bookmarkEnd w:id="11817"/>
      <w:bookmarkStart w:id="11818" w:name="_Ref407804236"/>
    </w:p>
    <w:p w14:paraId="4B72FE2D">
      <w:pPr>
        <w:pStyle w:val="6"/>
      </w:pPr>
      <w:bookmarkStart w:id="11819" w:name="_Toc15485400"/>
      <w:bookmarkStart w:id="11820" w:name="_Toc23153154"/>
      <w:bookmarkStart w:id="11821" w:name="_Toc6237899"/>
      <w:bookmarkStart w:id="11822" w:name="_Toc40276575"/>
      <w:r>
        <w:rPr>
          <w:rFonts w:hint="eastAsia"/>
        </w:rPr>
        <w:t>地址探测组</w:t>
      </w:r>
      <w:bookmarkEnd w:id="11818"/>
      <w:bookmarkEnd w:id="11819"/>
      <w:bookmarkEnd w:id="11820"/>
      <w:bookmarkEnd w:id="11821"/>
      <w:bookmarkEnd w:id="11822"/>
    </w:p>
    <w:p w14:paraId="158DE65B">
      <w:r>
        <w:rPr>
          <w:rFonts w:hint="eastAsia"/>
        </w:rPr>
        <w:t>可以将多个地址探测条目加入一个地址探测组中，地址探测组可以根据组内探测条目的结果，判断地址探测组的状态。探测组可以配置严格模式或者非严格模式。严格模式中，地址组内所有的探测条目都成功，探测组的状态才是成功的。非严格模式中，只要探测组中有一个探测条目成功，探测组的状态说就是成功的。</w:t>
      </w:r>
    </w:p>
    <w:p w14:paraId="7FCAFB02">
      <w:pPr>
        <w:pStyle w:val="5"/>
      </w:pPr>
      <w:bookmarkStart w:id="11823" w:name="_Toc141873875"/>
      <w:bookmarkStart w:id="11824" w:name="_Toc142401392"/>
      <w:bookmarkStart w:id="11825" w:name="_Toc401771305"/>
      <w:bookmarkStart w:id="11826" w:name="_Toc172218684"/>
      <w:bookmarkStart w:id="11827" w:name="_Toc196728598"/>
      <w:bookmarkStart w:id="11828" w:name="_Toc23153155"/>
      <w:bookmarkStart w:id="11829" w:name="_Toc6237900"/>
      <w:bookmarkStart w:id="11830" w:name="_Toc194081270"/>
      <w:bookmarkStart w:id="11831" w:name="_Toc99562062"/>
      <w:bookmarkStart w:id="11832" w:name="_Toc15485401"/>
      <w:bookmarkStart w:id="11833" w:name="_Toc40276576"/>
      <w:r>
        <w:rPr>
          <w:rFonts w:hint="eastAsia"/>
        </w:rPr>
        <w:t>地址探测和其他模块的联动</w:t>
      </w:r>
      <w:bookmarkEnd w:id="11823"/>
      <w:bookmarkEnd w:id="11824"/>
      <w:bookmarkEnd w:id="11825"/>
      <w:bookmarkEnd w:id="11826"/>
      <w:bookmarkEnd w:id="11827"/>
      <w:bookmarkEnd w:id="11828"/>
      <w:bookmarkEnd w:id="11829"/>
      <w:bookmarkEnd w:id="11830"/>
      <w:bookmarkEnd w:id="11831"/>
      <w:bookmarkEnd w:id="11832"/>
      <w:bookmarkEnd w:id="11833"/>
    </w:p>
    <w:p w14:paraId="290C86A5">
      <w:pPr>
        <w:pStyle w:val="162"/>
      </w:pPr>
      <w:r>
        <w:rPr>
          <w:rFonts w:hint="eastAsia"/>
        </w:rPr>
        <w:t>和路由或者ISP路由联动，可以根据探测结果，禁用和启用某条路由。详见静态路由配置和ISP路由配置。</w:t>
      </w:r>
    </w:p>
    <w:p w14:paraId="609638CA">
      <w:pPr>
        <w:pStyle w:val="162"/>
      </w:pPr>
      <w:r>
        <w:rPr>
          <w:rFonts w:hint="eastAsia"/>
        </w:rPr>
        <w:t>和接口状态联动，可以根据探测结果，开启和关闭接口，以便通知下游设备。</w:t>
      </w:r>
    </w:p>
    <w:p w14:paraId="7E0D76D8">
      <w:pPr>
        <w:pStyle w:val="162"/>
      </w:pPr>
      <w:r>
        <w:rPr>
          <w:rFonts w:hint="eastAsia"/>
        </w:rPr>
        <w:t>和HA联动，HA可以根据探测结果，判断网络状态。如果主设备地址探测结果失败，将切换成备设备。如果备设备的地址探测结果成功，并且配置了抢占为主，也可以抢占成主设备。详见HA配置。</w:t>
      </w:r>
    </w:p>
    <w:p w14:paraId="5170D368">
      <w:pPr>
        <w:pStyle w:val="162"/>
        <w:numPr>
          <w:ilvl w:val="0"/>
          <w:numId w:val="0"/>
        </w:numPr>
        <w:ind w:left="1200" w:hanging="420"/>
      </w:pPr>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732CF76E">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079A4539">
            <w:pPr>
              <w:pStyle w:val="150"/>
              <w:adjustRightInd w:val="0"/>
              <w:snapToGrid w:val="0"/>
              <w:rPr>
                <w:color w:val="auto"/>
              </w:rPr>
            </w:pPr>
            <w:r>
              <w:rPr>
                <w:b/>
                <w:color w:val="00A0E9"/>
              </w:rPr>
              <w:drawing>
                <wp:inline distT="0" distB="0" distL="0" distR="0">
                  <wp:extent cx="260350" cy="260350"/>
                  <wp:effectExtent l="0" t="0" r="6350" b="6350"/>
                  <wp:docPr id="996" name="图片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图片 996"/>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0470" cy="260470"/>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0DB7A661">
            <w:pPr>
              <w:pStyle w:val="207"/>
              <w:adjustRightInd w:val="0"/>
              <w:snapToGrid w:val="0"/>
              <w:rPr>
                <w:color w:val="auto"/>
                <w:lang w:eastAsia="zh-CN"/>
              </w:rPr>
            </w:pPr>
            <w:r>
              <w:rPr>
                <w:rFonts w:hint="eastAsia"/>
                <w:color w:val="auto"/>
                <w:lang w:eastAsia="zh-CN"/>
              </w:rPr>
              <w:t>配置文件全部读取完成后，如果配置HA，HA的状态不再是init状态后。地址探测才能开始发包和计算超时。</w:t>
            </w:r>
          </w:p>
          <w:p w14:paraId="597689D0">
            <w:pPr>
              <w:pStyle w:val="207"/>
              <w:adjustRightInd w:val="0"/>
              <w:snapToGrid w:val="0"/>
              <w:rPr>
                <w:color w:val="auto"/>
                <w:lang w:eastAsia="zh-CN"/>
              </w:rPr>
            </w:pPr>
            <w:r>
              <w:rPr>
                <w:rFonts w:hint="eastAsia"/>
                <w:color w:val="auto"/>
                <w:lang w:eastAsia="zh-CN"/>
              </w:rPr>
              <w:t>如果路由和状态为初始化的地址探测联动时，路由暂定为有效，直到地址探测失败，才将路由置为无效。</w:t>
            </w:r>
          </w:p>
          <w:p w14:paraId="3391E1B5">
            <w:pPr>
              <w:pStyle w:val="207"/>
              <w:adjustRightInd w:val="0"/>
              <w:snapToGrid w:val="0"/>
              <w:rPr>
                <w:color w:val="auto"/>
                <w:lang w:eastAsia="zh-CN"/>
              </w:rPr>
            </w:pPr>
            <w:r>
              <w:rPr>
                <w:rFonts w:hint="eastAsia"/>
                <w:color w:val="auto"/>
                <w:lang w:eastAsia="zh-CN"/>
              </w:rPr>
              <w:t>HA和状态为初始化的地址探测联动，暂时不改变HA状态，直到地址探测成功或者地址探测失败，再通知到HA修改状态。</w:t>
            </w:r>
          </w:p>
          <w:p w14:paraId="445E5D45">
            <w:pPr>
              <w:pStyle w:val="207"/>
              <w:adjustRightInd w:val="0"/>
              <w:snapToGrid w:val="0"/>
              <w:rPr>
                <w:color w:val="auto"/>
                <w:lang w:eastAsia="zh-CN"/>
              </w:rPr>
            </w:pPr>
            <w:r>
              <w:rPr>
                <w:rFonts w:hint="eastAsia"/>
                <w:color w:val="auto"/>
                <w:lang w:eastAsia="zh-CN"/>
              </w:rPr>
              <w:t>和地址探测联动的路由，当地址探测失败时，不可以被其他报文的转发使用，但是可以被地址探测的报文使用。比如配置默认路由和地址探测联动，当地址探测失败时，非探测报文不可以使用默认路由转发，但是地址探测报文依然可以使用默认路由转发。</w:t>
            </w:r>
          </w:p>
        </w:tc>
      </w:tr>
    </w:tbl>
    <w:p w14:paraId="12EABEF1">
      <w:bookmarkStart w:id="11834" w:name="_Toc497294142"/>
      <w:bookmarkEnd w:id="11834"/>
      <w:bookmarkStart w:id="11835" w:name="_Toc6237901"/>
      <w:bookmarkStart w:id="11836" w:name="_Toc15485402"/>
      <w:bookmarkStart w:id="11837" w:name="_Toc99562063"/>
      <w:bookmarkStart w:id="11838" w:name="_Ref184237244"/>
      <w:bookmarkStart w:id="11839" w:name="_Toc40276577"/>
      <w:bookmarkStart w:id="11840" w:name="_Toc172218685"/>
      <w:bookmarkStart w:id="11841" w:name="_Toc142401393"/>
      <w:bookmarkStart w:id="11842" w:name="_Toc141873876"/>
      <w:bookmarkStart w:id="11843" w:name="_Toc194081271"/>
      <w:bookmarkStart w:id="11844" w:name="_Toc23153156"/>
    </w:p>
    <w:p w14:paraId="67D81368">
      <w:pPr>
        <w:pStyle w:val="5"/>
      </w:pPr>
      <w:bookmarkStart w:id="11845" w:name="_Toc196728599"/>
      <w:r>
        <w:t>配置地址探测</w:t>
      </w:r>
      <w:bookmarkEnd w:id="11835"/>
      <w:bookmarkEnd w:id="11836"/>
      <w:bookmarkEnd w:id="11837"/>
      <w:bookmarkEnd w:id="11838"/>
      <w:bookmarkEnd w:id="11839"/>
      <w:bookmarkEnd w:id="11840"/>
      <w:bookmarkEnd w:id="11841"/>
      <w:bookmarkEnd w:id="11842"/>
      <w:bookmarkEnd w:id="11843"/>
      <w:bookmarkEnd w:id="11844"/>
      <w:bookmarkEnd w:id="11845"/>
    </w:p>
    <w:p w14:paraId="676D6E5F">
      <w:pPr>
        <w:pStyle w:val="6"/>
      </w:pPr>
      <w:bookmarkStart w:id="11846" w:name="_Toc6237902"/>
      <w:bookmarkStart w:id="11847" w:name="_Toc15485403"/>
      <w:bookmarkStart w:id="11848" w:name="_Toc23153157"/>
      <w:bookmarkStart w:id="11849" w:name="_Toc40276578"/>
      <w:r>
        <w:rPr>
          <w:rFonts w:hint="eastAsia"/>
        </w:rPr>
        <w:t>配置概述</w:t>
      </w:r>
      <w:bookmarkEnd w:id="11846"/>
      <w:bookmarkEnd w:id="11847"/>
      <w:bookmarkEnd w:id="11848"/>
      <w:bookmarkEnd w:id="11849"/>
    </w:p>
    <w:p w14:paraId="6C301A6F">
      <w:r>
        <w:rPr>
          <w:rFonts w:hint="eastAsia"/>
        </w:rPr>
        <w:t>地址探测配置的推荐步骤如下表所示。</w:t>
      </w:r>
    </w:p>
    <w:p w14:paraId="0C73120F">
      <w:pPr>
        <w:pStyle w:val="183"/>
      </w:pPr>
      <w:bookmarkStart w:id="11850" w:name="_Toc141875799"/>
      <w:r>
        <w:rPr>
          <w:rFonts w:hint="eastAsia"/>
        </w:rPr>
        <w:t>地址探测配置的推荐步骤</w:t>
      </w:r>
      <w:bookmarkEnd w:id="11850"/>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3021"/>
        <w:gridCol w:w="3083"/>
        <w:gridCol w:w="2910"/>
      </w:tblGrid>
      <w:tr w14:paraId="3FC73F2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3022" w:type="dxa"/>
            <w:tcBorders>
              <w:tl2br w:val="nil"/>
              <w:tr2bl w:val="nil"/>
            </w:tcBorders>
            <w:shd w:val="clear" w:color="auto" w:fill="538135" w:themeFill="accent6" w:themeFillShade="BF"/>
            <w:vAlign w:val="center"/>
          </w:tcPr>
          <w:p w14:paraId="35887522">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配置任务</w:t>
            </w:r>
          </w:p>
        </w:tc>
        <w:tc>
          <w:tcPr>
            <w:tcW w:w="3083" w:type="dxa"/>
            <w:tcBorders>
              <w:tl2br w:val="nil"/>
              <w:tr2bl w:val="nil"/>
            </w:tcBorders>
            <w:shd w:val="clear" w:color="auto" w:fill="538135" w:themeFill="accent6" w:themeFillShade="BF"/>
            <w:vAlign w:val="center"/>
          </w:tcPr>
          <w:p w14:paraId="4F026F38">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c>
          <w:tcPr>
            <w:tcW w:w="2910" w:type="dxa"/>
            <w:tcBorders>
              <w:tl2br w:val="nil"/>
              <w:tr2bl w:val="nil"/>
            </w:tcBorders>
            <w:shd w:val="clear" w:color="auto" w:fill="538135" w:themeFill="accent6" w:themeFillShade="BF"/>
            <w:vAlign w:val="center"/>
          </w:tcPr>
          <w:p w14:paraId="2B719754">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详细配置</w:t>
            </w:r>
          </w:p>
        </w:tc>
      </w:tr>
      <w:tr w14:paraId="49D14FD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3022" w:type="dxa"/>
            <w:shd w:val="clear" w:color="auto" w:fill="auto"/>
          </w:tcPr>
          <w:p w14:paraId="59CE28CF">
            <w:pPr>
              <w:pStyle w:val="150"/>
            </w:pPr>
            <w:r>
              <w:rPr>
                <w:rFonts w:hint="eastAsia"/>
              </w:rPr>
              <w:t>配置</w:t>
            </w:r>
            <w:r>
              <w:t>地址探测</w:t>
            </w:r>
          </w:p>
        </w:tc>
        <w:tc>
          <w:tcPr>
            <w:tcW w:w="3083" w:type="dxa"/>
            <w:shd w:val="clear" w:color="auto" w:fill="auto"/>
          </w:tcPr>
          <w:p w14:paraId="55007A25">
            <w:pPr>
              <w:pStyle w:val="150"/>
            </w:pPr>
            <w:r>
              <w:rPr>
                <w:rFonts w:hint="eastAsia"/>
              </w:rPr>
              <w:t>必选</w:t>
            </w:r>
          </w:p>
        </w:tc>
        <w:tc>
          <w:tcPr>
            <w:tcW w:w="2910" w:type="dxa"/>
            <w:shd w:val="clear" w:color="auto" w:fill="auto"/>
          </w:tcPr>
          <w:p w14:paraId="13D7097D">
            <w:pPr>
              <w:pStyle w:val="150"/>
            </w:pPr>
            <w:r>
              <w:fldChar w:fldCharType="begin"/>
            </w:r>
            <w:r>
              <w:instrText xml:space="preserve"> REF _Ref184237244 \h  \* MERGEFORMAT </w:instrText>
            </w:r>
            <w:r>
              <w:fldChar w:fldCharType="separate"/>
            </w:r>
          </w:p>
          <w:p w14:paraId="0E5ABB54">
            <w:pPr>
              <w:pStyle w:val="150"/>
            </w:pPr>
            <w:r>
              <w:t>配置地址探测</w:t>
            </w:r>
            <w:r>
              <w:fldChar w:fldCharType="end"/>
            </w:r>
          </w:p>
        </w:tc>
      </w:tr>
      <w:tr w14:paraId="66785F5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3022" w:type="dxa"/>
            <w:shd w:val="clear" w:color="auto" w:fill="auto"/>
          </w:tcPr>
          <w:p w14:paraId="7DF0F27F">
            <w:pPr>
              <w:pStyle w:val="150"/>
            </w:pPr>
            <w:r>
              <w:t>配置地址探测组</w:t>
            </w:r>
          </w:p>
        </w:tc>
        <w:tc>
          <w:tcPr>
            <w:tcW w:w="3083" w:type="dxa"/>
            <w:shd w:val="clear" w:color="auto" w:fill="auto"/>
          </w:tcPr>
          <w:p w14:paraId="1F93FAF5">
            <w:pPr>
              <w:pStyle w:val="150"/>
            </w:pPr>
            <w:r>
              <w:rPr>
                <w:rFonts w:hint="eastAsia"/>
              </w:rPr>
              <w:t>可选</w:t>
            </w:r>
          </w:p>
        </w:tc>
        <w:tc>
          <w:tcPr>
            <w:tcW w:w="2910" w:type="dxa"/>
            <w:shd w:val="clear" w:color="auto" w:fill="auto"/>
          </w:tcPr>
          <w:p w14:paraId="0B0F568F">
            <w:pPr>
              <w:pStyle w:val="150"/>
            </w:pPr>
            <w:r>
              <w:fldChar w:fldCharType="begin"/>
            </w:r>
            <w:r>
              <w:instrText xml:space="preserve"> REF _Ref184237254 \h  \* MERGEFORMAT </w:instrText>
            </w:r>
            <w:r>
              <w:fldChar w:fldCharType="separate"/>
            </w:r>
            <w:r>
              <w:rPr>
                <w:rFonts w:hint="eastAsia"/>
              </w:rPr>
              <w:t>地址探测组配置</w:t>
            </w:r>
            <w:r>
              <w:fldChar w:fldCharType="end"/>
            </w:r>
          </w:p>
        </w:tc>
      </w:tr>
    </w:tbl>
    <w:p w14:paraId="32EECA66">
      <w:bookmarkStart w:id="11851" w:name="_Toc508014528"/>
      <w:bookmarkEnd w:id="11851"/>
    </w:p>
    <w:p w14:paraId="0DD78892">
      <w:pPr>
        <w:pStyle w:val="6"/>
      </w:pPr>
      <w:bookmarkStart w:id="11852" w:name="_Toc23153158"/>
      <w:bookmarkStart w:id="11853" w:name="_Toc6237903"/>
      <w:bookmarkStart w:id="11854" w:name="_Toc40276579"/>
      <w:bookmarkStart w:id="11855" w:name="_Toc15485404"/>
      <w:r>
        <w:rPr>
          <w:rFonts w:hint="eastAsia"/>
        </w:rPr>
        <w:t>地址探测配置</w:t>
      </w:r>
      <w:bookmarkEnd w:id="11852"/>
      <w:bookmarkEnd w:id="11853"/>
      <w:bookmarkEnd w:id="11854"/>
      <w:bookmarkEnd w:id="11855"/>
    </w:p>
    <w:p w14:paraId="209EF087">
      <w:r>
        <w:rPr>
          <w:rFonts w:hint="eastAsia"/>
        </w:rPr>
        <w:t>在导航栏中选择“策略配置 &gt; 对象管理</w:t>
      </w:r>
      <w:r>
        <w:t xml:space="preserve"> &gt; </w:t>
      </w:r>
      <w:r>
        <w:rPr>
          <w:rFonts w:hint="eastAsia"/>
        </w:rPr>
        <w:t>地址对象”，点击上方“地址探测”标签进入地址探测显示页面，如</w:t>
      </w:r>
      <w:r>
        <w:rPr>
          <w:color w:val="0000FF"/>
          <w:u w:val="single"/>
        </w:rPr>
        <w:fldChar w:fldCharType="begin"/>
      </w:r>
      <w:r>
        <w:rPr>
          <w:color w:val="0000FF"/>
          <w:u w:val="single"/>
        </w:rPr>
        <w:instrText xml:space="preserve"> REF _Ref393202810 \r \h </w:instrText>
      </w:r>
      <w:r>
        <w:rPr>
          <w:color w:val="0000FF"/>
          <w:u w:val="single"/>
        </w:rPr>
        <w:fldChar w:fldCharType="separate"/>
      </w:r>
      <w:r>
        <w:rPr>
          <w:rFonts w:hint="eastAsia"/>
          <w:color w:val="0000FF"/>
          <w:u w:val="single"/>
        </w:rPr>
        <w:t>图34-3</w:t>
      </w:r>
      <w:r>
        <w:rPr>
          <w:color w:val="0000FF"/>
          <w:u w:val="single"/>
        </w:rPr>
        <w:fldChar w:fldCharType="end"/>
      </w:r>
      <w:r>
        <w:rPr>
          <w:rFonts w:hint="eastAsia"/>
        </w:rPr>
        <w:t>所示。</w:t>
      </w:r>
    </w:p>
    <w:p w14:paraId="0C7E3A52">
      <w:pPr>
        <w:pStyle w:val="188"/>
      </w:pPr>
      <w:bookmarkStart w:id="11856" w:name="_Toc141875337"/>
      <w:r>
        <w:rPr>
          <w:rFonts w:hint="eastAsia"/>
        </w:rPr>
        <w:t>地址</w:t>
      </w:r>
      <w:r>
        <w:t>探测显示页面</w:t>
      </w:r>
      <w:bookmarkEnd w:id="11856"/>
    </w:p>
    <w:p w14:paraId="61901602">
      <w:pPr>
        <w:pStyle w:val="175"/>
      </w:pPr>
      <w:r>
        <w:drawing>
          <wp:inline distT="0" distB="0" distL="0" distR="0">
            <wp:extent cx="5429250" cy="1096645"/>
            <wp:effectExtent l="0" t="0" r="0" b="8255"/>
            <wp:docPr id="3362" name="图片 3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2" name="图片 3362"/>
                    <pic:cNvPicPr>
                      <a:picLocks noChangeAspect="1"/>
                    </pic:cNvPicPr>
                  </pic:nvPicPr>
                  <pic:blipFill>
                    <a:blip r:embed="rId1310"/>
                    <a:stretch>
                      <a:fillRect/>
                    </a:stretch>
                  </pic:blipFill>
                  <pic:spPr>
                    <a:xfrm>
                      <a:off x="0" y="0"/>
                      <a:ext cx="5466475" cy="1104184"/>
                    </a:xfrm>
                    <a:prstGeom prst="rect">
                      <a:avLst/>
                    </a:prstGeom>
                  </pic:spPr>
                </pic:pic>
              </a:graphicData>
            </a:graphic>
          </wp:inline>
        </w:drawing>
      </w:r>
    </w:p>
    <w:p w14:paraId="6FA929BC">
      <w:r>
        <w:rPr>
          <w:rFonts w:hint="eastAsia"/>
        </w:rPr>
        <w:t>页面的详细说明如</w:t>
      </w:r>
      <w:r>
        <w:fldChar w:fldCharType="begin"/>
      </w:r>
      <w:r>
        <w:instrText xml:space="preserve"> REF _Ref393112159 \r \h </w:instrText>
      </w:r>
      <w:r>
        <w:fldChar w:fldCharType="separate"/>
      </w:r>
      <w:r>
        <w:rPr>
          <w:rFonts w:hint="eastAsia"/>
        </w:rPr>
        <w:t>表9-1</w:t>
      </w:r>
      <w:r>
        <w:fldChar w:fldCharType="end"/>
      </w:r>
      <w:r>
        <w:rPr>
          <w:rFonts w:hint="eastAsia"/>
        </w:rPr>
        <w:t>。</w:t>
      </w:r>
    </w:p>
    <w:p w14:paraId="47B2F76D">
      <w:pPr>
        <w:pStyle w:val="183"/>
      </w:pPr>
      <w:bookmarkStart w:id="11857" w:name="_Toc141875800"/>
      <w:r>
        <w:rPr>
          <w:rFonts w:hint="eastAsia"/>
        </w:rPr>
        <w:t>地址探测显示的详细说明</w:t>
      </w:r>
      <w:bookmarkEnd w:id="11857"/>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0161F6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tcBorders>
              <w:tl2br w:val="nil"/>
              <w:tr2bl w:val="nil"/>
            </w:tcBorders>
            <w:shd w:val="clear" w:color="auto" w:fill="538135" w:themeFill="accent6" w:themeFillShade="BF"/>
            <w:vAlign w:val="center"/>
          </w:tcPr>
          <w:p w14:paraId="37CADA41">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7" w:type="dxa"/>
            <w:tcBorders>
              <w:tl2br w:val="nil"/>
              <w:tr2bl w:val="nil"/>
            </w:tcBorders>
            <w:shd w:val="clear" w:color="auto" w:fill="538135" w:themeFill="accent6" w:themeFillShade="BF"/>
            <w:vAlign w:val="center"/>
          </w:tcPr>
          <w:p w14:paraId="7C23B84A">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87F404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2637A411">
            <w:pPr>
              <w:pStyle w:val="150"/>
            </w:pPr>
            <w:r>
              <w:rPr>
                <w:rFonts w:hint="eastAsia"/>
              </w:rPr>
              <w:t>名称</w:t>
            </w:r>
          </w:p>
        </w:tc>
        <w:tc>
          <w:tcPr>
            <w:tcW w:w="6817" w:type="dxa"/>
            <w:shd w:val="clear" w:color="auto" w:fill="auto"/>
          </w:tcPr>
          <w:p w14:paraId="3F9DEC4E">
            <w:pPr>
              <w:pStyle w:val="150"/>
            </w:pPr>
            <w:r>
              <w:rPr>
                <w:rFonts w:hint="eastAsia"/>
              </w:rPr>
              <w:t>地址探测的名称。</w:t>
            </w:r>
          </w:p>
        </w:tc>
      </w:tr>
      <w:tr w14:paraId="76D05F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34D25836">
            <w:pPr>
              <w:pStyle w:val="150"/>
            </w:pPr>
            <w:r>
              <w:rPr>
                <w:rFonts w:hint="eastAsia"/>
              </w:rPr>
              <w:t>探测目标</w:t>
            </w:r>
          </w:p>
        </w:tc>
        <w:tc>
          <w:tcPr>
            <w:tcW w:w="6817" w:type="dxa"/>
            <w:shd w:val="clear" w:color="auto" w:fill="auto"/>
          </w:tcPr>
          <w:p w14:paraId="048ED6BA">
            <w:pPr>
              <w:pStyle w:val="150"/>
            </w:pPr>
            <w:r>
              <w:rPr>
                <w:rFonts w:hint="eastAsia"/>
              </w:rPr>
              <w:t>地址探测的目标，可以使IP地址，也可以是域名。</w:t>
            </w:r>
          </w:p>
        </w:tc>
      </w:tr>
      <w:tr w14:paraId="40FF87D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32ECD213">
            <w:pPr>
              <w:pStyle w:val="150"/>
            </w:pPr>
            <w:r>
              <w:rPr>
                <w:rFonts w:hint="eastAsia"/>
              </w:rPr>
              <w:t>类型</w:t>
            </w:r>
          </w:p>
        </w:tc>
        <w:tc>
          <w:tcPr>
            <w:tcW w:w="6817" w:type="dxa"/>
            <w:shd w:val="clear" w:color="auto" w:fill="auto"/>
          </w:tcPr>
          <w:p w14:paraId="4243E045">
            <w:pPr>
              <w:pStyle w:val="150"/>
            </w:pPr>
            <w:r>
              <w:rPr>
                <w:rFonts w:hint="eastAsia"/>
              </w:rPr>
              <w:t>地址探测的类型，有PING，TCP和DNS三种。</w:t>
            </w:r>
          </w:p>
        </w:tc>
      </w:tr>
      <w:tr w14:paraId="048667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260B159A">
            <w:pPr>
              <w:pStyle w:val="150"/>
            </w:pPr>
            <w:r>
              <w:rPr>
                <w:rFonts w:hint="eastAsia"/>
              </w:rPr>
              <w:t>出接口</w:t>
            </w:r>
          </w:p>
        </w:tc>
        <w:tc>
          <w:tcPr>
            <w:tcW w:w="6817" w:type="dxa"/>
            <w:shd w:val="clear" w:color="auto" w:fill="auto"/>
          </w:tcPr>
          <w:p w14:paraId="12488E43">
            <w:pPr>
              <w:pStyle w:val="150"/>
            </w:pPr>
            <w:r>
              <w:rPr>
                <w:rFonts w:hint="eastAsia"/>
              </w:rPr>
              <w:t>地址探测报文的出接口。</w:t>
            </w:r>
          </w:p>
        </w:tc>
      </w:tr>
      <w:tr w14:paraId="263DDC3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33412875">
            <w:pPr>
              <w:pStyle w:val="150"/>
            </w:pPr>
            <w:r>
              <w:rPr>
                <w:rFonts w:hint="eastAsia"/>
              </w:rPr>
              <w:t>间隔时间</w:t>
            </w:r>
          </w:p>
        </w:tc>
        <w:tc>
          <w:tcPr>
            <w:tcW w:w="6817" w:type="dxa"/>
            <w:shd w:val="clear" w:color="auto" w:fill="auto"/>
          </w:tcPr>
          <w:p w14:paraId="65B9DC1B">
            <w:pPr>
              <w:pStyle w:val="150"/>
            </w:pPr>
            <w:r>
              <w:rPr>
                <w:rFonts w:hint="eastAsia"/>
              </w:rPr>
              <w:t>地址探测报文发送时间间隔。</w:t>
            </w:r>
          </w:p>
        </w:tc>
      </w:tr>
      <w:tr w14:paraId="460630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2E35ECBE">
            <w:pPr>
              <w:pStyle w:val="150"/>
            </w:pPr>
            <w:r>
              <w:rPr>
                <w:rFonts w:hint="eastAsia"/>
              </w:rPr>
              <w:t>重试次数</w:t>
            </w:r>
          </w:p>
        </w:tc>
        <w:tc>
          <w:tcPr>
            <w:tcW w:w="6817" w:type="dxa"/>
            <w:shd w:val="clear" w:color="auto" w:fill="auto"/>
          </w:tcPr>
          <w:p w14:paraId="65C808CB">
            <w:pPr>
              <w:pStyle w:val="150"/>
            </w:pPr>
            <w:r>
              <w:rPr>
                <w:rFonts w:hint="eastAsia"/>
              </w:rPr>
              <w:t>在地址探测失败之前可以发送的探测报文个数。</w:t>
            </w:r>
          </w:p>
        </w:tc>
      </w:tr>
      <w:tr w14:paraId="1FDF37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767CE03F">
            <w:pPr>
              <w:pStyle w:val="150"/>
            </w:pPr>
            <w:r>
              <w:rPr>
                <w:rFonts w:hint="eastAsia"/>
              </w:rPr>
              <w:t>状态</w:t>
            </w:r>
          </w:p>
        </w:tc>
        <w:tc>
          <w:tcPr>
            <w:tcW w:w="6817" w:type="dxa"/>
            <w:shd w:val="clear" w:color="auto" w:fill="auto"/>
          </w:tcPr>
          <w:p w14:paraId="2FB3CD7E">
            <w:pPr>
              <w:pStyle w:val="150"/>
            </w:pPr>
            <w:r>
              <w:rPr>
                <w:rFonts w:hint="eastAsia"/>
              </w:rPr>
              <w:t>地址探测的状态，</w:t>
            </w:r>
            <w:r>
              <w:drawing>
                <wp:inline distT="0" distB="0" distL="0" distR="0">
                  <wp:extent cx="225425" cy="149860"/>
                  <wp:effectExtent l="0" t="0" r="0" b="0"/>
                  <wp:docPr id="3363" name="图片 3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3" name="图片 3363"/>
                          <pic:cNvPicPr>
                            <a:picLocks noChangeAspect="1" noChangeArrowheads="1"/>
                          </pic:cNvPicPr>
                        </pic:nvPicPr>
                        <pic:blipFill>
                          <a:blip r:embed="rId1307" cstate="print">
                            <a:extLst>
                              <a:ext uri="{28A0092B-C50C-407E-A947-70E740481C1C}">
                                <a14:useLocalDpi xmlns:a14="http://schemas.microsoft.com/office/drawing/2010/main" val="0"/>
                              </a:ext>
                            </a:extLst>
                          </a:blip>
                          <a:srcRect/>
                          <a:stretch>
                            <a:fillRect/>
                          </a:stretch>
                        </pic:blipFill>
                        <pic:spPr>
                          <a:xfrm>
                            <a:off x="0" y="0"/>
                            <a:ext cx="225425" cy="149860"/>
                          </a:xfrm>
                          <a:prstGeom prst="rect">
                            <a:avLst/>
                          </a:prstGeom>
                          <a:noFill/>
                          <a:ln>
                            <a:noFill/>
                          </a:ln>
                        </pic:spPr>
                      </pic:pic>
                    </a:graphicData>
                  </a:graphic>
                </wp:inline>
              </w:drawing>
            </w:r>
            <w:r>
              <w:rPr>
                <w:rFonts w:hint="eastAsia"/>
              </w:rPr>
              <w:t>表示探测成功，</w:t>
            </w:r>
            <w:r>
              <w:drawing>
                <wp:inline distT="0" distB="0" distL="0" distR="0">
                  <wp:extent cx="190500" cy="152400"/>
                  <wp:effectExtent l="0" t="0" r="0" b="0"/>
                  <wp:docPr id="3364" name="图片 3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 name="图片 3364"/>
                          <pic:cNvPicPr>
                            <a:picLocks noChangeAspect="1"/>
                          </pic:cNvPicPr>
                        </pic:nvPicPr>
                        <pic:blipFill>
                          <a:blip r:embed="rId1308" cstate="print"/>
                          <a:stretch>
                            <a:fillRect/>
                          </a:stretch>
                        </pic:blipFill>
                        <pic:spPr>
                          <a:xfrm>
                            <a:off x="0" y="0"/>
                            <a:ext cx="190500" cy="152400"/>
                          </a:xfrm>
                          <a:prstGeom prst="rect">
                            <a:avLst/>
                          </a:prstGeom>
                        </pic:spPr>
                      </pic:pic>
                    </a:graphicData>
                  </a:graphic>
                </wp:inline>
              </w:drawing>
            </w:r>
            <w:r>
              <w:rPr>
                <w:rFonts w:hint="eastAsia"/>
              </w:rPr>
              <w:t>表示探测失败。</w:t>
            </w:r>
          </w:p>
        </w:tc>
      </w:tr>
      <w:tr w14:paraId="06C631F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5159B80D">
            <w:pPr>
              <w:pStyle w:val="150"/>
            </w:pPr>
            <w:r>
              <w:rPr>
                <w:rFonts w:hint="eastAsia"/>
              </w:rPr>
              <w:t>操作</w:t>
            </w:r>
          </w:p>
        </w:tc>
        <w:tc>
          <w:tcPr>
            <w:tcW w:w="6817" w:type="dxa"/>
            <w:shd w:val="clear" w:color="auto" w:fill="auto"/>
          </w:tcPr>
          <w:p w14:paraId="79F6A934">
            <w:pPr>
              <w:pStyle w:val="150"/>
            </w:pPr>
            <w:r>
              <w:rPr>
                <w:rFonts w:hint="eastAsia"/>
              </w:rPr>
              <w:t>可以执行删除操作。</w:t>
            </w:r>
          </w:p>
        </w:tc>
      </w:tr>
    </w:tbl>
    <w:p w14:paraId="7C77B727"/>
    <w:p w14:paraId="17BA5EFD">
      <w:r>
        <w:rPr>
          <w:rFonts w:hint="eastAsia"/>
        </w:rPr>
        <w:t>点击右侧的删除按钮，可以删除对应的地址探测。</w:t>
      </w:r>
    </w:p>
    <w:p w14:paraId="63DAC149">
      <w:r>
        <w:rPr>
          <w:rFonts w:hint="eastAsia"/>
        </w:rPr>
        <w:t>点击</w:t>
      </w:r>
      <w:r>
        <w:t>&lt;</w:t>
      </w:r>
      <w:r>
        <w:rPr>
          <w:rFonts w:hint="eastAsia"/>
        </w:rPr>
        <w:t>新建</w:t>
      </w:r>
      <w:r>
        <w:t>&gt;</w:t>
      </w:r>
      <w:r>
        <w:rPr>
          <w:rFonts w:hint="eastAsia"/>
        </w:rPr>
        <w:t>按钮，可以进入地址探测配置页面，如</w:t>
      </w:r>
      <w:r>
        <w:fldChar w:fldCharType="begin"/>
      </w:r>
      <w:r>
        <w:instrText xml:space="preserve"> REF _Ref402014951 \r \h </w:instrText>
      </w:r>
      <w:r>
        <w:fldChar w:fldCharType="separate"/>
      </w:r>
      <w:r>
        <w:rPr>
          <w:rFonts w:hint="eastAsia"/>
        </w:rPr>
        <w:t>图34-24</w:t>
      </w:r>
      <w:r>
        <w:fldChar w:fldCharType="end"/>
      </w:r>
      <w:r>
        <w:rPr>
          <w:rFonts w:hint="eastAsia"/>
        </w:rPr>
        <w:t>所示。</w:t>
      </w:r>
    </w:p>
    <w:p w14:paraId="5A360242">
      <w:pPr>
        <w:pStyle w:val="188"/>
      </w:pPr>
      <w:bookmarkStart w:id="11858" w:name="_Toc141875338"/>
      <w:bookmarkStart w:id="11859" w:name="_Ref402014951"/>
      <w:r>
        <w:t>地址探测配置页面</w:t>
      </w:r>
      <w:bookmarkEnd w:id="11858"/>
      <w:bookmarkEnd w:id="11859"/>
    </w:p>
    <w:p w14:paraId="650177AA">
      <w:pPr>
        <w:pStyle w:val="175"/>
      </w:pPr>
      <w:r>
        <w:drawing>
          <wp:inline distT="0" distB="0" distL="0" distR="0">
            <wp:extent cx="5572125" cy="2108200"/>
            <wp:effectExtent l="0" t="0" r="0" b="6350"/>
            <wp:docPr id="1296485318" name="图片 1296485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18" name="图片 1296485318"/>
                    <pic:cNvPicPr>
                      <a:picLocks noChangeAspect="1"/>
                    </pic:cNvPicPr>
                  </pic:nvPicPr>
                  <pic:blipFill>
                    <a:blip r:embed="rId1311"/>
                    <a:stretch>
                      <a:fillRect/>
                    </a:stretch>
                  </pic:blipFill>
                  <pic:spPr>
                    <a:xfrm>
                      <a:off x="0" y="0"/>
                      <a:ext cx="5594562" cy="2116751"/>
                    </a:xfrm>
                    <a:prstGeom prst="rect">
                      <a:avLst/>
                    </a:prstGeom>
                  </pic:spPr>
                </pic:pic>
              </a:graphicData>
            </a:graphic>
          </wp:inline>
        </w:drawing>
      </w:r>
    </w:p>
    <w:p w14:paraId="04589EDC"/>
    <w:p w14:paraId="56D31930">
      <w:r>
        <w:rPr>
          <w:rFonts w:hint="eastAsia"/>
        </w:rPr>
        <w:t>如果在类型中选中</w:t>
      </w:r>
      <w:r>
        <w:t>TCP</w:t>
      </w:r>
      <w:r>
        <w:rPr>
          <w:rFonts w:hint="eastAsia"/>
        </w:rPr>
        <w:t>，页面中还会弹出</w:t>
      </w:r>
      <w:r>
        <w:t>TCP</w:t>
      </w:r>
      <w:r>
        <w:rPr>
          <w:rFonts w:hint="eastAsia"/>
        </w:rPr>
        <w:t>端口输入框，如</w:t>
      </w:r>
      <w:r>
        <w:fldChar w:fldCharType="begin"/>
      </w:r>
      <w:r>
        <w:instrText xml:space="preserve"> REF _Ref402015192 \r \h </w:instrText>
      </w:r>
      <w:r>
        <w:fldChar w:fldCharType="separate"/>
      </w:r>
      <w:r>
        <w:rPr>
          <w:rFonts w:hint="eastAsia"/>
        </w:rPr>
        <w:t>图34-25</w:t>
      </w:r>
      <w:r>
        <w:fldChar w:fldCharType="end"/>
      </w:r>
      <w:r>
        <w:rPr>
          <w:rFonts w:hint="eastAsia"/>
        </w:rPr>
        <w:t>。</w:t>
      </w:r>
    </w:p>
    <w:p w14:paraId="7B7A3A46">
      <w:pPr>
        <w:pStyle w:val="188"/>
      </w:pPr>
      <w:bookmarkStart w:id="11860" w:name="_Toc141875339"/>
      <w:bookmarkStart w:id="11861" w:name="_Ref402015192"/>
      <w:r>
        <w:t>TCP地址探测配置页面</w:t>
      </w:r>
      <w:bookmarkEnd w:id="11860"/>
      <w:bookmarkEnd w:id="11861"/>
    </w:p>
    <w:p w14:paraId="1B1A8897">
      <w:pPr>
        <w:pStyle w:val="175"/>
      </w:pPr>
      <w:r>
        <w:drawing>
          <wp:inline distT="0" distB="0" distL="0" distR="0">
            <wp:extent cx="5457825" cy="2299970"/>
            <wp:effectExtent l="0" t="0" r="0" b="5080"/>
            <wp:docPr id="1296485319" name="图片 1296485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19" name="图片 1296485319"/>
                    <pic:cNvPicPr>
                      <a:picLocks noChangeAspect="1"/>
                    </pic:cNvPicPr>
                  </pic:nvPicPr>
                  <pic:blipFill>
                    <a:blip r:embed="rId1312"/>
                    <a:stretch>
                      <a:fillRect/>
                    </a:stretch>
                  </pic:blipFill>
                  <pic:spPr>
                    <a:xfrm>
                      <a:off x="0" y="0"/>
                      <a:ext cx="5463829" cy="2302528"/>
                    </a:xfrm>
                    <a:prstGeom prst="rect">
                      <a:avLst/>
                    </a:prstGeom>
                  </pic:spPr>
                </pic:pic>
              </a:graphicData>
            </a:graphic>
          </wp:inline>
        </w:drawing>
      </w:r>
    </w:p>
    <w:p w14:paraId="63F6D7C1"/>
    <w:p w14:paraId="0FBFEB39">
      <w:r>
        <w:rPr>
          <w:rFonts w:hint="eastAsia"/>
        </w:rPr>
        <w:t>页面的详细说明如</w:t>
      </w:r>
      <w:r>
        <w:fldChar w:fldCharType="begin"/>
      </w:r>
      <w:r>
        <w:instrText xml:space="preserve"> REF _Ref402015192 \r \h </w:instrText>
      </w:r>
      <w:r>
        <w:fldChar w:fldCharType="separate"/>
      </w:r>
      <w:r>
        <w:rPr>
          <w:rFonts w:hint="eastAsia"/>
        </w:rPr>
        <w:t>图34-25</w:t>
      </w:r>
      <w:r>
        <w:fldChar w:fldCharType="end"/>
      </w:r>
      <w:r>
        <w:rPr>
          <w:rFonts w:hint="eastAsia"/>
        </w:rPr>
        <w:t>示。</w:t>
      </w:r>
    </w:p>
    <w:p w14:paraId="50AF9098">
      <w:pPr>
        <w:pStyle w:val="183"/>
      </w:pPr>
      <w:bookmarkStart w:id="11862" w:name="_Toc141875801"/>
      <w:r>
        <w:t>地址探测配置页面详细说明</w:t>
      </w:r>
      <w:bookmarkEnd w:id="11862"/>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341063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tcBorders>
              <w:tl2br w:val="nil"/>
              <w:tr2bl w:val="nil"/>
            </w:tcBorders>
            <w:shd w:val="clear" w:color="auto" w:fill="538135" w:themeFill="accent6" w:themeFillShade="BF"/>
            <w:vAlign w:val="center"/>
          </w:tcPr>
          <w:p w14:paraId="7A4AFB78">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7" w:type="dxa"/>
            <w:tcBorders>
              <w:tl2br w:val="nil"/>
              <w:tr2bl w:val="nil"/>
            </w:tcBorders>
            <w:shd w:val="clear" w:color="auto" w:fill="538135" w:themeFill="accent6" w:themeFillShade="BF"/>
            <w:vAlign w:val="center"/>
          </w:tcPr>
          <w:p w14:paraId="299E2C25">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7C8C8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73C714F2">
            <w:pPr>
              <w:pStyle w:val="150"/>
            </w:pPr>
            <w:r>
              <w:rPr>
                <w:rFonts w:hint="eastAsia"/>
              </w:rPr>
              <w:t>名称</w:t>
            </w:r>
          </w:p>
        </w:tc>
        <w:tc>
          <w:tcPr>
            <w:tcW w:w="6817" w:type="dxa"/>
            <w:shd w:val="clear" w:color="auto" w:fill="auto"/>
          </w:tcPr>
          <w:p w14:paraId="377B7F20">
            <w:pPr>
              <w:pStyle w:val="150"/>
            </w:pPr>
            <w:r>
              <w:rPr>
                <w:rFonts w:hint="eastAsia"/>
              </w:rPr>
              <w:t>地址探测的名称。</w:t>
            </w:r>
          </w:p>
        </w:tc>
      </w:tr>
      <w:tr w14:paraId="6A99DD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0CB3CF6C">
            <w:pPr>
              <w:pStyle w:val="150"/>
            </w:pPr>
            <w:r>
              <w:rPr>
                <w:rFonts w:hint="eastAsia"/>
              </w:rPr>
              <w:t>探测目标</w:t>
            </w:r>
          </w:p>
        </w:tc>
        <w:tc>
          <w:tcPr>
            <w:tcW w:w="6817" w:type="dxa"/>
            <w:shd w:val="clear" w:color="auto" w:fill="auto"/>
          </w:tcPr>
          <w:p w14:paraId="692925BE">
            <w:pPr>
              <w:pStyle w:val="150"/>
            </w:pPr>
            <w:r>
              <w:rPr>
                <w:rFonts w:hint="eastAsia"/>
              </w:rPr>
              <w:t>地址探测的目标，可以使IP地址，也可以是域名。</w:t>
            </w:r>
          </w:p>
        </w:tc>
      </w:tr>
      <w:tr w14:paraId="2ECF4B4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2BC47B60">
            <w:pPr>
              <w:pStyle w:val="150"/>
            </w:pPr>
            <w:r>
              <w:rPr>
                <w:rFonts w:hint="eastAsia"/>
              </w:rPr>
              <w:t>类型</w:t>
            </w:r>
          </w:p>
        </w:tc>
        <w:tc>
          <w:tcPr>
            <w:tcW w:w="6817" w:type="dxa"/>
            <w:shd w:val="clear" w:color="auto" w:fill="auto"/>
          </w:tcPr>
          <w:p w14:paraId="2BBDE38C">
            <w:pPr>
              <w:pStyle w:val="150"/>
            </w:pPr>
            <w:r>
              <w:rPr>
                <w:rFonts w:hint="eastAsia"/>
              </w:rPr>
              <w:t>地址探测的类型，有PING，TCP和DNS三种。</w:t>
            </w:r>
          </w:p>
        </w:tc>
      </w:tr>
      <w:tr w14:paraId="681CACE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6186A479">
            <w:pPr>
              <w:pStyle w:val="150"/>
            </w:pPr>
            <w:r>
              <w:rPr>
                <w:rFonts w:hint="eastAsia"/>
              </w:rPr>
              <w:t>端口</w:t>
            </w:r>
          </w:p>
        </w:tc>
        <w:tc>
          <w:tcPr>
            <w:tcW w:w="6817" w:type="dxa"/>
            <w:shd w:val="clear" w:color="auto" w:fill="auto"/>
          </w:tcPr>
          <w:p w14:paraId="0560A814">
            <w:pPr>
              <w:pStyle w:val="150"/>
            </w:pPr>
            <w:r>
              <w:rPr>
                <w:rFonts w:hint="eastAsia"/>
              </w:rPr>
              <w:t>TCP探测的目标端口。</w:t>
            </w:r>
          </w:p>
        </w:tc>
      </w:tr>
      <w:tr w14:paraId="41155B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2F21149F">
            <w:pPr>
              <w:pStyle w:val="150"/>
            </w:pPr>
            <w:r>
              <w:rPr>
                <w:rFonts w:hint="eastAsia"/>
              </w:rPr>
              <w:t>出接口</w:t>
            </w:r>
          </w:p>
        </w:tc>
        <w:tc>
          <w:tcPr>
            <w:tcW w:w="6817" w:type="dxa"/>
            <w:shd w:val="clear" w:color="auto" w:fill="auto"/>
          </w:tcPr>
          <w:p w14:paraId="2320EC48">
            <w:pPr>
              <w:pStyle w:val="150"/>
            </w:pPr>
            <w:r>
              <w:rPr>
                <w:rFonts w:hint="eastAsia"/>
              </w:rPr>
              <w:t>地址探测报文的出接口。</w:t>
            </w:r>
          </w:p>
        </w:tc>
      </w:tr>
      <w:tr w14:paraId="2912C84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6B6F928C">
            <w:pPr>
              <w:pStyle w:val="150"/>
            </w:pPr>
            <w:r>
              <w:rPr>
                <w:rFonts w:hint="eastAsia"/>
              </w:rPr>
              <w:t>间隔时间</w:t>
            </w:r>
          </w:p>
        </w:tc>
        <w:tc>
          <w:tcPr>
            <w:tcW w:w="6817" w:type="dxa"/>
            <w:shd w:val="clear" w:color="auto" w:fill="auto"/>
          </w:tcPr>
          <w:p w14:paraId="32560536">
            <w:pPr>
              <w:pStyle w:val="150"/>
            </w:pPr>
            <w:r>
              <w:rPr>
                <w:rFonts w:hint="eastAsia"/>
              </w:rPr>
              <w:t>地址探测报文发送时间间隔。</w:t>
            </w:r>
          </w:p>
        </w:tc>
      </w:tr>
      <w:tr w14:paraId="0F25DF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509B0A16">
            <w:pPr>
              <w:pStyle w:val="150"/>
            </w:pPr>
            <w:r>
              <w:rPr>
                <w:rFonts w:hint="eastAsia"/>
              </w:rPr>
              <w:t>重试次数</w:t>
            </w:r>
          </w:p>
        </w:tc>
        <w:tc>
          <w:tcPr>
            <w:tcW w:w="6817" w:type="dxa"/>
            <w:shd w:val="clear" w:color="auto" w:fill="auto"/>
          </w:tcPr>
          <w:p w14:paraId="66DEDF35">
            <w:pPr>
              <w:pStyle w:val="150"/>
            </w:pPr>
            <w:r>
              <w:rPr>
                <w:rFonts w:hint="eastAsia"/>
              </w:rPr>
              <w:t>在地址探测失败之前可以发送的探测报文个数。</w:t>
            </w:r>
          </w:p>
        </w:tc>
      </w:tr>
    </w:tbl>
    <w:p w14:paraId="3B03C200"/>
    <w:p w14:paraId="1A364A07">
      <w:r>
        <w:rPr>
          <w:rFonts w:hint="eastAsia"/>
        </w:rPr>
        <w:t>输入完毕后，点击</w:t>
      </w:r>
      <w:r>
        <w:t>&lt;</w:t>
      </w:r>
      <w:r>
        <w:rPr>
          <w:rFonts w:hint="eastAsia"/>
        </w:rPr>
        <w:t>提交</w:t>
      </w:r>
      <w:r>
        <w:t>&gt;</w:t>
      </w:r>
      <w:r>
        <w:rPr>
          <w:rFonts w:hint="eastAsia"/>
        </w:rPr>
        <w:t>按钮，应用配置。</w:t>
      </w:r>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5591CED2">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69E052F8">
            <w:pPr>
              <w:pStyle w:val="150"/>
              <w:adjustRightInd w:val="0"/>
              <w:snapToGrid w:val="0"/>
              <w:rPr>
                <w:color w:val="auto"/>
              </w:rPr>
            </w:pPr>
            <w:r>
              <w:rPr>
                <w:b/>
                <w:color w:val="00A0E9"/>
              </w:rPr>
              <w:drawing>
                <wp:inline distT="0" distB="0" distL="0" distR="0">
                  <wp:extent cx="260350" cy="260350"/>
                  <wp:effectExtent l="0" t="0" r="6350" b="6350"/>
                  <wp:docPr id="1002" name="图片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图片 1002"/>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0470" cy="260470"/>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0A7EF60F">
            <w:pPr>
              <w:pStyle w:val="207"/>
              <w:adjustRightInd w:val="0"/>
              <w:snapToGrid w:val="0"/>
              <w:rPr>
                <w:color w:val="auto"/>
                <w:lang w:eastAsia="zh-CN"/>
              </w:rPr>
            </w:pPr>
            <w:r>
              <w:rPr>
                <w:rFonts w:hint="eastAsia"/>
                <w:color w:val="auto"/>
                <w:lang w:eastAsia="zh-CN"/>
              </w:rPr>
              <w:t>已经被配置为地址探测出接口的接口不能配置和地址探测联动。</w:t>
            </w:r>
          </w:p>
          <w:p w14:paraId="43B24157">
            <w:pPr>
              <w:pStyle w:val="207"/>
              <w:adjustRightInd w:val="0"/>
              <w:snapToGrid w:val="0"/>
              <w:rPr>
                <w:color w:val="auto"/>
                <w:lang w:eastAsia="zh-CN"/>
              </w:rPr>
            </w:pPr>
            <w:r>
              <w:rPr>
                <w:rFonts w:hint="eastAsia"/>
                <w:color w:val="auto"/>
                <w:lang w:eastAsia="zh-CN"/>
              </w:rPr>
              <w:t>子接口已经被配置为地址探测出接口的接口不能配置和地址探测联动。</w:t>
            </w:r>
          </w:p>
          <w:p w14:paraId="288180AC">
            <w:pPr>
              <w:pStyle w:val="207"/>
              <w:adjustRightInd w:val="0"/>
              <w:snapToGrid w:val="0"/>
              <w:rPr>
                <w:color w:val="auto"/>
                <w:lang w:eastAsia="zh-CN"/>
              </w:rPr>
            </w:pPr>
            <w:r>
              <w:rPr>
                <w:rFonts w:hint="eastAsia"/>
                <w:color w:val="auto"/>
                <w:lang w:eastAsia="zh-CN"/>
              </w:rPr>
              <w:t>已经配置了和地址探测联动的接口不能作为地址探测的出接口。</w:t>
            </w:r>
          </w:p>
          <w:p w14:paraId="5DDBD546">
            <w:pPr>
              <w:pStyle w:val="207"/>
              <w:adjustRightInd w:val="0"/>
              <w:snapToGrid w:val="0"/>
              <w:rPr>
                <w:color w:val="auto"/>
                <w:lang w:eastAsia="zh-CN"/>
              </w:rPr>
            </w:pPr>
            <w:r>
              <w:rPr>
                <w:rFonts w:hint="eastAsia"/>
                <w:color w:val="auto"/>
                <w:lang w:eastAsia="zh-CN"/>
              </w:rPr>
              <w:t>已经配置了和地址探测联动的接口的子接口不能作为地址探测出接口。</w:t>
            </w:r>
          </w:p>
        </w:tc>
      </w:tr>
    </w:tbl>
    <w:p w14:paraId="5CE5B9C5"/>
    <w:p w14:paraId="35BEEA1E">
      <w:pPr>
        <w:pStyle w:val="6"/>
      </w:pPr>
      <w:bookmarkStart w:id="11863" w:name="_Toc23153159"/>
      <w:bookmarkStart w:id="11864" w:name="_Ref402016896"/>
      <w:bookmarkStart w:id="11865" w:name="_Toc40276580"/>
      <w:bookmarkStart w:id="11866" w:name="_Ref184237254"/>
      <w:bookmarkStart w:id="11867" w:name="_Toc15485405"/>
      <w:bookmarkStart w:id="11868" w:name="_Ref407804258"/>
      <w:bookmarkStart w:id="11869" w:name="_Toc6237904"/>
      <w:r>
        <w:rPr>
          <w:rFonts w:hint="eastAsia"/>
        </w:rPr>
        <w:t>地址探测组配置</w:t>
      </w:r>
      <w:bookmarkEnd w:id="11863"/>
      <w:bookmarkEnd w:id="11864"/>
      <w:bookmarkEnd w:id="11865"/>
      <w:bookmarkEnd w:id="11866"/>
      <w:bookmarkEnd w:id="11867"/>
      <w:bookmarkEnd w:id="11868"/>
      <w:bookmarkEnd w:id="11869"/>
    </w:p>
    <w:p w14:paraId="78284F1F">
      <w:r>
        <w:rPr>
          <w:rFonts w:hint="eastAsia"/>
        </w:rPr>
        <w:t>在导航栏中选择“策略配置 &gt; 对象管理</w:t>
      </w:r>
      <w:r>
        <w:t xml:space="preserve"> &gt; </w:t>
      </w:r>
      <w:r>
        <w:rPr>
          <w:rFonts w:hint="eastAsia"/>
        </w:rPr>
        <w:t>地址对象”，点击上方“地址探测组”标签进入地址探测组显示页面，如</w:t>
      </w:r>
      <w:r>
        <w:rPr>
          <w:color w:val="0000FF"/>
          <w:u w:val="single"/>
        </w:rPr>
        <w:fldChar w:fldCharType="begin"/>
      </w:r>
      <w:r>
        <w:rPr>
          <w:color w:val="0000FF"/>
          <w:u w:val="single"/>
        </w:rPr>
        <w:instrText xml:space="preserve"> REF _Ref402274014 \r \h </w:instrText>
      </w:r>
      <w:r>
        <w:rPr>
          <w:color w:val="0000FF"/>
          <w:u w:val="single"/>
        </w:rPr>
        <w:fldChar w:fldCharType="separate"/>
      </w:r>
      <w:r>
        <w:rPr>
          <w:rFonts w:hint="eastAsia"/>
          <w:color w:val="0000FF"/>
          <w:u w:val="single"/>
        </w:rPr>
        <w:t>图34-26</w:t>
      </w:r>
      <w:r>
        <w:rPr>
          <w:color w:val="0000FF"/>
          <w:u w:val="single"/>
        </w:rPr>
        <w:fldChar w:fldCharType="end"/>
      </w:r>
      <w:r>
        <w:rPr>
          <w:rFonts w:hint="eastAsia"/>
        </w:rPr>
        <w:t>所示。</w:t>
      </w:r>
    </w:p>
    <w:p w14:paraId="3D704A61">
      <w:pPr>
        <w:pStyle w:val="188"/>
      </w:pPr>
      <w:bookmarkStart w:id="11870" w:name="_Toc141875340"/>
      <w:bookmarkStart w:id="11871" w:name="_Ref402274014"/>
      <w:r>
        <w:rPr>
          <w:rFonts w:hint="eastAsia"/>
        </w:rPr>
        <w:t>地址探测组显示页面</w:t>
      </w:r>
      <w:bookmarkEnd w:id="11870"/>
      <w:bookmarkEnd w:id="11871"/>
    </w:p>
    <w:p w14:paraId="17E2374B">
      <w:r>
        <w:drawing>
          <wp:inline distT="0" distB="0" distL="0" distR="0">
            <wp:extent cx="5553075" cy="1111250"/>
            <wp:effectExtent l="0" t="0" r="0" b="0"/>
            <wp:docPr id="3371" name="图片 3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1" name="图片 3371"/>
                    <pic:cNvPicPr>
                      <a:picLocks noChangeAspect="1"/>
                    </pic:cNvPicPr>
                  </pic:nvPicPr>
                  <pic:blipFill>
                    <a:blip r:embed="rId1313"/>
                    <a:stretch>
                      <a:fillRect/>
                    </a:stretch>
                  </pic:blipFill>
                  <pic:spPr>
                    <a:xfrm>
                      <a:off x="0" y="0"/>
                      <a:ext cx="5600048" cy="1121287"/>
                    </a:xfrm>
                    <a:prstGeom prst="rect">
                      <a:avLst/>
                    </a:prstGeom>
                  </pic:spPr>
                </pic:pic>
              </a:graphicData>
            </a:graphic>
          </wp:inline>
        </w:drawing>
      </w:r>
      <w:r>
        <w:t xml:space="preserve"> </w:t>
      </w:r>
    </w:p>
    <w:p w14:paraId="5C6FF9BB"/>
    <w:p w14:paraId="4ECC71B2">
      <w:r>
        <w:rPr>
          <w:rFonts w:hint="eastAsia"/>
        </w:rPr>
        <w:t>页面的详细说明如</w:t>
      </w:r>
      <w:r>
        <w:fldChar w:fldCharType="begin"/>
      </w:r>
      <w:r>
        <w:instrText xml:space="preserve"> REF _Ref402341339 \r \h </w:instrText>
      </w:r>
      <w:r>
        <w:fldChar w:fldCharType="separate"/>
      </w:r>
      <w:r>
        <w:rPr>
          <w:rFonts w:hint="eastAsia"/>
        </w:rPr>
        <w:t>表34-1</w:t>
      </w:r>
      <w:r>
        <w:fldChar w:fldCharType="end"/>
      </w:r>
      <w:r>
        <w:rPr>
          <w:rFonts w:hint="eastAsia"/>
        </w:rPr>
        <w:t>。</w:t>
      </w:r>
    </w:p>
    <w:p w14:paraId="14328FAF">
      <w:pPr>
        <w:pStyle w:val="183"/>
      </w:pPr>
      <w:bookmarkStart w:id="11872" w:name="_Ref402341339"/>
      <w:bookmarkStart w:id="11873" w:name="_Toc141875802"/>
      <w:r>
        <w:rPr>
          <w:rFonts w:hint="eastAsia"/>
        </w:rPr>
        <w:t>地址探测组显示</w:t>
      </w:r>
      <w:r>
        <w:t>页面详细说明</w:t>
      </w:r>
      <w:bookmarkEnd w:id="11872"/>
      <w:bookmarkEnd w:id="11873"/>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3585EAE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68" w:hRule="atLeast"/>
        </w:trPr>
        <w:tc>
          <w:tcPr>
            <w:tcW w:w="2198" w:type="dxa"/>
            <w:tcBorders>
              <w:tl2br w:val="nil"/>
              <w:tr2bl w:val="nil"/>
            </w:tcBorders>
            <w:shd w:val="clear" w:color="auto" w:fill="538135" w:themeFill="accent6" w:themeFillShade="BF"/>
            <w:vAlign w:val="center"/>
          </w:tcPr>
          <w:p w14:paraId="72BEF421">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7" w:type="dxa"/>
            <w:tcBorders>
              <w:tl2br w:val="nil"/>
              <w:tr2bl w:val="nil"/>
            </w:tcBorders>
            <w:shd w:val="clear" w:color="auto" w:fill="538135" w:themeFill="accent6" w:themeFillShade="BF"/>
            <w:vAlign w:val="center"/>
          </w:tcPr>
          <w:p w14:paraId="22A881BD">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C17987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6D9279EF">
            <w:pPr>
              <w:pStyle w:val="150"/>
            </w:pPr>
            <w:r>
              <w:rPr>
                <w:rFonts w:hint="eastAsia"/>
              </w:rPr>
              <w:t>名称</w:t>
            </w:r>
          </w:p>
        </w:tc>
        <w:tc>
          <w:tcPr>
            <w:tcW w:w="6817" w:type="dxa"/>
            <w:shd w:val="clear" w:color="auto" w:fill="auto"/>
          </w:tcPr>
          <w:p w14:paraId="275CBEFC">
            <w:pPr>
              <w:pStyle w:val="150"/>
            </w:pPr>
            <w:r>
              <w:rPr>
                <w:rFonts w:hint="eastAsia"/>
              </w:rPr>
              <w:t>地址探测组的名称。</w:t>
            </w:r>
          </w:p>
        </w:tc>
      </w:tr>
      <w:tr w14:paraId="175C06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20403185">
            <w:pPr>
              <w:pStyle w:val="150"/>
            </w:pPr>
            <w:r>
              <w:rPr>
                <w:rFonts w:hint="eastAsia"/>
              </w:rPr>
              <w:t>成员</w:t>
            </w:r>
          </w:p>
        </w:tc>
        <w:tc>
          <w:tcPr>
            <w:tcW w:w="6817" w:type="dxa"/>
            <w:shd w:val="clear" w:color="auto" w:fill="auto"/>
          </w:tcPr>
          <w:p w14:paraId="59B88891">
            <w:pPr>
              <w:pStyle w:val="150"/>
            </w:pPr>
            <w:r>
              <w:t>地址探测组的成员。</w:t>
            </w:r>
          </w:p>
        </w:tc>
      </w:tr>
      <w:tr w14:paraId="437BD65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4082B3A6">
            <w:pPr>
              <w:pStyle w:val="150"/>
            </w:pPr>
            <w:r>
              <w:rPr>
                <w:rFonts w:hint="eastAsia"/>
              </w:rPr>
              <w:t>模式</w:t>
            </w:r>
          </w:p>
        </w:tc>
        <w:tc>
          <w:tcPr>
            <w:tcW w:w="6817" w:type="dxa"/>
            <w:shd w:val="clear" w:color="auto" w:fill="auto"/>
          </w:tcPr>
          <w:p w14:paraId="7132C350">
            <w:pPr>
              <w:pStyle w:val="150"/>
            </w:pPr>
            <w:r>
              <w:rPr>
                <w:rFonts w:hint="eastAsia"/>
              </w:rPr>
              <w:t>地址探测组的模式，有严格模式和非严格模式两种。</w:t>
            </w:r>
          </w:p>
        </w:tc>
      </w:tr>
      <w:tr w14:paraId="5418B0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00DB82D5">
            <w:pPr>
              <w:pStyle w:val="150"/>
            </w:pPr>
            <w:r>
              <w:rPr>
                <w:rFonts w:hint="eastAsia"/>
              </w:rPr>
              <w:t>描述</w:t>
            </w:r>
          </w:p>
        </w:tc>
        <w:tc>
          <w:tcPr>
            <w:tcW w:w="6817" w:type="dxa"/>
            <w:shd w:val="clear" w:color="auto" w:fill="auto"/>
          </w:tcPr>
          <w:p w14:paraId="0036DF14">
            <w:pPr>
              <w:pStyle w:val="150"/>
            </w:pPr>
            <w:r>
              <w:rPr>
                <w:rFonts w:hint="eastAsia"/>
              </w:rPr>
              <w:t>地址探测组的描述。</w:t>
            </w:r>
          </w:p>
        </w:tc>
      </w:tr>
      <w:tr w14:paraId="3195FB0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5237E03F">
            <w:pPr>
              <w:pStyle w:val="150"/>
            </w:pPr>
            <w:r>
              <w:rPr>
                <w:rFonts w:hint="eastAsia"/>
              </w:rPr>
              <w:t>状态</w:t>
            </w:r>
          </w:p>
        </w:tc>
        <w:tc>
          <w:tcPr>
            <w:tcW w:w="6817" w:type="dxa"/>
            <w:shd w:val="clear" w:color="auto" w:fill="auto"/>
          </w:tcPr>
          <w:p w14:paraId="44A2B8BD">
            <w:pPr>
              <w:pStyle w:val="150"/>
            </w:pPr>
            <w:r>
              <w:rPr>
                <w:rFonts w:hint="eastAsia"/>
              </w:rPr>
              <w:t>地址探测组的状态</w:t>
            </w:r>
            <w:r>
              <w:drawing>
                <wp:inline distT="0" distB="0" distL="0" distR="0">
                  <wp:extent cx="225425" cy="149860"/>
                  <wp:effectExtent l="0" t="0" r="0" b="0"/>
                  <wp:docPr id="3372" name="图片 3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 name="图片 3372"/>
                          <pic:cNvPicPr>
                            <a:picLocks noChangeAspect="1" noChangeArrowheads="1"/>
                          </pic:cNvPicPr>
                        </pic:nvPicPr>
                        <pic:blipFill>
                          <a:blip r:embed="rId1307" cstate="print">
                            <a:extLst>
                              <a:ext uri="{28A0092B-C50C-407E-A947-70E740481C1C}">
                                <a14:useLocalDpi xmlns:a14="http://schemas.microsoft.com/office/drawing/2010/main" val="0"/>
                              </a:ext>
                            </a:extLst>
                          </a:blip>
                          <a:srcRect/>
                          <a:stretch>
                            <a:fillRect/>
                          </a:stretch>
                        </pic:blipFill>
                        <pic:spPr>
                          <a:xfrm>
                            <a:off x="0" y="0"/>
                            <a:ext cx="225425" cy="149860"/>
                          </a:xfrm>
                          <a:prstGeom prst="rect">
                            <a:avLst/>
                          </a:prstGeom>
                          <a:noFill/>
                          <a:ln>
                            <a:noFill/>
                          </a:ln>
                        </pic:spPr>
                      </pic:pic>
                    </a:graphicData>
                  </a:graphic>
                </wp:inline>
              </w:drawing>
            </w:r>
            <w:r>
              <w:rPr>
                <w:rFonts w:hint="eastAsia"/>
              </w:rPr>
              <w:t>表示探测成功，</w:t>
            </w:r>
            <w:r>
              <w:drawing>
                <wp:inline distT="0" distB="0" distL="0" distR="0">
                  <wp:extent cx="190500" cy="152400"/>
                  <wp:effectExtent l="0" t="0" r="0" b="0"/>
                  <wp:docPr id="3373" name="图片 3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3" name="图片 3373"/>
                          <pic:cNvPicPr>
                            <a:picLocks noChangeAspect="1"/>
                          </pic:cNvPicPr>
                        </pic:nvPicPr>
                        <pic:blipFill>
                          <a:blip r:embed="rId1308" cstate="print"/>
                          <a:stretch>
                            <a:fillRect/>
                          </a:stretch>
                        </pic:blipFill>
                        <pic:spPr>
                          <a:xfrm>
                            <a:off x="0" y="0"/>
                            <a:ext cx="190500" cy="152400"/>
                          </a:xfrm>
                          <a:prstGeom prst="rect">
                            <a:avLst/>
                          </a:prstGeom>
                        </pic:spPr>
                      </pic:pic>
                    </a:graphicData>
                  </a:graphic>
                </wp:inline>
              </w:drawing>
            </w:r>
            <w:r>
              <w:rPr>
                <w:rFonts w:hint="eastAsia"/>
              </w:rPr>
              <w:t>表示探测失败。</w:t>
            </w:r>
          </w:p>
        </w:tc>
      </w:tr>
      <w:tr w14:paraId="178FD8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61CD4477">
            <w:pPr>
              <w:pStyle w:val="150"/>
            </w:pPr>
            <w:r>
              <w:rPr>
                <w:rFonts w:hint="eastAsia"/>
              </w:rPr>
              <w:t>操作</w:t>
            </w:r>
          </w:p>
        </w:tc>
        <w:tc>
          <w:tcPr>
            <w:tcW w:w="6817" w:type="dxa"/>
            <w:shd w:val="clear" w:color="auto" w:fill="auto"/>
          </w:tcPr>
          <w:p w14:paraId="1AC87727">
            <w:pPr>
              <w:pStyle w:val="150"/>
            </w:pPr>
            <w:r>
              <w:rPr>
                <w:rFonts w:hint="eastAsia"/>
              </w:rPr>
              <w:t>可以对地址探测组执行的操作。</w:t>
            </w:r>
          </w:p>
        </w:tc>
      </w:tr>
    </w:tbl>
    <w:p w14:paraId="04737AB5"/>
    <w:p w14:paraId="5D37314B">
      <w:r>
        <w:rPr>
          <w:rFonts w:hint="eastAsia"/>
        </w:rPr>
        <w:t>点击页面左上方的</w:t>
      </w:r>
      <w:r>
        <w:t>&lt;</w:t>
      </w:r>
      <w:r>
        <w:rPr>
          <w:rFonts w:hint="eastAsia"/>
        </w:rPr>
        <w:t>新建</w:t>
      </w:r>
      <w:r>
        <w:t>&gt;</w:t>
      </w:r>
      <w:r>
        <w:rPr>
          <w:rFonts w:hint="eastAsia"/>
        </w:rPr>
        <w:t>钮者地址探测组右侧的</w:t>
      </w:r>
      <w:r>
        <w:t>&lt;</w:t>
      </w:r>
      <w:r>
        <w:rPr>
          <w:rFonts w:hint="eastAsia"/>
        </w:rPr>
        <w:t>编辑</w:t>
      </w:r>
      <w:r>
        <w:t>&gt;</w:t>
      </w:r>
      <w:r>
        <w:rPr>
          <w:rFonts w:hint="eastAsia"/>
        </w:rPr>
        <w:t>按钮，可以进入地址探测组的配置页面</w:t>
      </w:r>
      <w:r>
        <w:t>,</w:t>
      </w:r>
      <w:r>
        <w:rPr>
          <w:rFonts w:hint="eastAsia"/>
        </w:rPr>
        <w:t>如</w:t>
      </w:r>
      <w:r>
        <w:rPr>
          <w:color w:val="0000FF"/>
          <w:u w:val="single"/>
        </w:rPr>
        <w:fldChar w:fldCharType="begin"/>
      </w:r>
      <w:r>
        <w:rPr>
          <w:color w:val="0000FF"/>
          <w:u w:val="single"/>
        </w:rPr>
        <w:instrText xml:space="preserve"> REF _Ref402015843 \r \h </w:instrText>
      </w:r>
      <w:r>
        <w:rPr>
          <w:color w:val="0000FF"/>
          <w:u w:val="single"/>
        </w:rPr>
        <w:fldChar w:fldCharType="separate"/>
      </w:r>
      <w:r>
        <w:rPr>
          <w:rFonts w:hint="eastAsia"/>
          <w:color w:val="0000FF"/>
          <w:u w:val="single"/>
        </w:rPr>
        <w:t>图34-27</w:t>
      </w:r>
      <w:r>
        <w:rPr>
          <w:color w:val="0000FF"/>
          <w:u w:val="single"/>
        </w:rPr>
        <w:fldChar w:fldCharType="end"/>
      </w:r>
      <w:r>
        <w:rPr>
          <w:rFonts w:hint="eastAsia"/>
        </w:rPr>
        <w:t>。</w:t>
      </w:r>
    </w:p>
    <w:p w14:paraId="296AE549">
      <w:pPr>
        <w:pStyle w:val="188"/>
      </w:pPr>
      <w:bookmarkStart w:id="11874" w:name="_Ref402015843"/>
      <w:bookmarkStart w:id="11875" w:name="_Toc141875341"/>
      <w:r>
        <w:t>地址探测组编辑页面</w:t>
      </w:r>
      <w:bookmarkEnd w:id="11874"/>
      <w:bookmarkEnd w:id="11875"/>
    </w:p>
    <w:p w14:paraId="04EAEF99">
      <w:r>
        <w:drawing>
          <wp:inline distT="0" distB="0" distL="0" distR="0">
            <wp:extent cx="4695825" cy="3619500"/>
            <wp:effectExtent l="0" t="0" r="0" b="0"/>
            <wp:docPr id="1296485320" name="图片 1296485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20" name="图片 1296485320"/>
                    <pic:cNvPicPr>
                      <a:picLocks noChangeAspect="1"/>
                    </pic:cNvPicPr>
                  </pic:nvPicPr>
                  <pic:blipFill>
                    <a:blip r:embed="rId1314"/>
                    <a:stretch>
                      <a:fillRect/>
                    </a:stretch>
                  </pic:blipFill>
                  <pic:spPr>
                    <a:xfrm>
                      <a:off x="0" y="0"/>
                      <a:ext cx="4701234" cy="3623837"/>
                    </a:xfrm>
                    <a:prstGeom prst="rect">
                      <a:avLst/>
                    </a:prstGeom>
                  </pic:spPr>
                </pic:pic>
              </a:graphicData>
            </a:graphic>
          </wp:inline>
        </w:drawing>
      </w:r>
    </w:p>
    <w:p w14:paraId="43F67E66"/>
    <w:p w14:paraId="625BE346">
      <w:r>
        <w:rPr>
          <w:rFonts w:hint="eastAsia"/>
        </w:rPr>
        <w:t>地址探测组页面的详细描述如</w:t>
      </w:r>
      <w:r>
        <w:fldChar w:fldCharType="begin"/>
      </w:r>
      <w:r>
        <w:instrText xml:space="preserve"> REF _Ref402341390 \r \h </w:instrText>
      </w:r>
      <w:r>
        <w:fldChar w:fldCharType="separate"/>
      </w:r>
      <w:r>
        <w:rPr>
          <w:rFonts w:hint="eastAsia"/>
        </w:rPr>
        <w:t>表34-1</w:t>
      </w:r>
      <w:r>
        <w:fldChar w:fldCharType="end"/>
      </w:r>
      <w:r>
        <w:rPr>
          <w:rFonts w:hint="eastAsia"/>
        </w:rPr>
        <w:t>。</w:t>
      </w:r>
    </w:p>
    <w:p w14:paraId="7A2AD48F">
      <w:pPr>
        <w:pStyle w:val="183"/>
      </w:pPr>
      <w:bookmarkStart w:id="11876" w:name="_Toc141875803"/>
      <w:bookmarkStart w:id="11877" w:name="_Ref402341390"/>
      <w:r>
        <w:t>地址探测组配置页面详细描述</w:t>
      </w:r>
      <w:bookmarkEnd w:id="11876"/>
      <w:bookmarkEnd w:id="11877"/>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7E183B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tcBorders>
              <w:tl2br w:val="nil"/>
              <w:tr2bl w:val="nil"/>
            </w:tcBorders>
            <w:shd w:val="clear" w:color="auto" w:fill="538135" w:themeFill="accent6" w:themeFillShade="BF"/>
            <w:vAlign w:val="center"/>
          </w:tcPr>
          <w:p w14:paraId="582973E0">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7" w:type="dxa"/>
            <w:tcBorders>
              <w:tl2br w:val="nil"/>
              <w:tr2bl w:val="nil"/>
            </w:tcBorders>
            <w:shd w:val="clear" w:color="auto" w:fill="538135" w:themeFill="accent6" w:themeFillShade="BF"/>
            <w:vAlign w:val="center"/>
          </w:tcPr>
          <w:p w14:paraId="494F3104">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7785D89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02B7F6D0">
            <w:pPr>
              <w:pStyle w:val="150"/>
            </w:pPr>
            <w:r>
              <w:rPr>
                <w:rFonts w:hint="eastAsia"/>
              </w:rPr>
              <w:t>名称</w:t>
            </w:r>
          </w:p>
        </w:tc>
        <w:tc>
          <w:tcPr>
            <w:tcW w:w="6817" w:type="dxa"/>
            <w:shd w:val="clear" w:color="auto" w:fill="auto"/>
          </w:tcPr>
          <w:p w14:paraId="66842B81">
            <w:pPr>
              <w:pStyle w:val="150"/>
            </w:pPr>
            <w:r>
              <w:rPr>
                <w:rFonts w:hint="eastAsia"/>
              </w:rPr>
              <w:t>地址探测组的名称。</w:t>
            </w:r>
          </w:p>
        </w:tc>
      </w:tr>
      <w:tr w14:paraId="4C8B09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64D22850">
            <w:pPr>
              <w:pStyle w:val="150"/>
            </w:pPr>
            <w:r>
              <w:rPr>
                <w:rFonts w:hint="eastAsia"/>
              </w:rPr>
              <w:t>描述</w:t>
            </w:r>
          </w:p>
        </w:tc>
        <w:tc>
          <w:tcPr>
            <w:tcW w:w="6817" w:type="dxa"/>
            <w:shd w:val="clear" w:color="auto" w:fill="auto"/>
          </w:tcPr>
          <w:p w14:paraId="6D6165CB">
            <w:pPr>
              <w:pStyle w:val="150"/>
            </w:pPr>
            <w:r>
              <w:rPr>
                <w:rFonts w:hint="eastAsia"/>
              </w:rPr>
              <w:t>地址探测组的描述。</w:t>
            </w:r>
          </w:p>
        </w:tc>
      </w:tr>
      <w:tr w14:paraId="50BBF4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0CFFA957">
            <w:pPr>
              <w:pStyle w:val="150"/>
            </w:pPr>
            <w:r>
              <w:rPr>
                <w:rFonts w:hint="eastAsia"/>
              </w:rPr>
              <w:t>模式</w:t>
            </w:r>
          </w:p>
        </w:tc>
        <w:tc>
          <w:tcPr>
            <w:tcW w:w="6817" w:type="dxa"/>
            <w:shd w:val="clear" w:color="auto" w:fill="auto"/>
          </w:tcPr>
          <w:p w14:paraId="47102082">
            <w:pPr>
              <w:pStyle w:val="150"/>
            </w:pPr>
            <w:r>
              <w:rPr>
                <w:rFonts w:hint="eastAsia"/>
              </w:rPr>
              <w:t>地址探测组的模式，选中复选框表示严格模式，不选中是非严格模式，缺省是非严格模式。</w:t>
            </w:r>
          </w:p>
        </w:tc>
      </w:tr>
      <w:tr w14:paraId="5C24EA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558D20A8">
            <w:pPr>
              <w:pStyle w:val="150"/>
            </w:pPr>
            <w:r>
              <w:rPr>
                <w:rFonts w:hint="eastAsia"/>
              </w:rPr>
              <w:t>已选成员</w:t>
            </w:r>
          </w:p>
        </w:tc>
        <w:tc>
          <w:tcPr>
            <w:tcW w:w="6817" w:type="dxa"/>
            <w:shd w:val="clear" w:color="auto" w:fill="auto"/>
          </w:tcPr>
          <w:p w14:paraId="222AB9C1">
            <w:pPr>
              <w:pStyle w:val="150"/>
            </w:pPr>
            <w:r>
              <w:t>目前已经选中的地址探测组的成员。</w:t>
            </w:r>
          </w:p>
        </w:tc>
      </w:tr>
      <w:tr w14:paraId="67FE44B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0F35716A">
            <w:pPr>
              <w:pStyle w:val="150"/>
            </w:pPr>
            <w:r>
              <w:rPr>
                <w:rFonts w:hint="eastAsia"/>
              </w:rPr>
              <w:t>名称</w:t>
            </w:r>
          </w:p>
        </w:tc>
        <w:tc>
          <w:tcPr>
            <w:tcW w:w="6817" w:type="dxa"/>
            <w:shd w:val="clear" w:color="auto" w:fill="auto"/>
          </w:tcPr>
          <w:p w14:paraId="104CA90E">
            <w:pPr>
              <w:pStyle w:val="150"/>
            </w:pPr>
            <w:r>
              <w:rPr>
                <w:rFonts w:hint="eastAsia"/>
              </w:rPr>
              <w:t>可以加入探测组的地址探测的名称。</w:t>
            </w:r>
          </w:p>
        </w:tc>
      </w:tr>
      <w:tr w14:paraId="5ADCE7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20A011E1">
            <w:pPr>
              <w:pStyle w:val="150"/>
            </w:pPr>
            <w:r>
              <w:rPr>
                <w:rFonts w:hint="eastAsia"/>
              </w:rPr>
              <w:t>探测目标</w:t>
            </w:r>
          </w:p>
        </w:tc>
        <w:tc>
          <w:tcPr>
            <w:tcW w:w="6817" w:type="dxa"/>
            <w:shd w:val="clear" w:color="auto" w:fill="auto"/>
          </w:tcPr>
          <w:p w14:paraId="37DAAAF2">
            <w:pPr>
              <w:pStyle w:val="150"/>
            </w:pPr>
            <w:r>
              <w:rPr>
                <w:rFonts w:hint="eastAsia"/>
              </w:rPr>
              <w:t>地址探测的目标。</w:t>
            </w:r>
          </w:p>
        </w:tc>
      </w:tr>
      <w:tr w14:paraId="707B06D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67A313B9">
            <w:pPr>
              <w:pStyle w:val="150"/>
            </w:pPr>
            <w:r>
              <w:rPr>
                <w:rFonts w:hint="eastAsia"/>
              </w:rPr>
              <w:t>状态</w:t>
            </w:r>
          </w:p>
        </w:tc>
        <w:tc>
          <w:tcPr>
            <w:tcW w:w="6817" w:type="dxa"/>
            <w:shd w:val="clear" w:color="auto" w:fill="auto"/>
          </w:tcPr>
          <w:p w14:paraId="76387F5D">
            <w:pPr>
              <w:pStyle w:val="150"/>
            </w:pPr>
            <w:r>
              <w:rPr>
                <w:rFonts w:hint="eastAsia"/>
              </w:rPr>
              <w:t>地址探测的状态</w:t>
            </w:r>
            <w:r>
              <w:drawing>
                <wp:inline distT="0" distB="0" distL="0" distR="0">
                  <wp:extent cx="225425" cy="149860"/>
                  <wp:effectExtent l="0" t="0" r="0" b="0"/>
                  <wp:docPr id="3376" name="图片 3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6" name="图片 3376"/>
                          <pic:cNvPicPr>
                            <a:picLocks noChangeAspect="1" noChangeArrowheads="1"/>
                          </pic:cNvPicPr>
                        </pic:nvPicPr>
                        <pic:blipFill>
                          <a:blip r:embed="rId1307" cstate="print">
                            <a:extLst>
                              <a:ext uri="{28A0092B-C50C-407E-A947-70E740481C1C}">
                                <a14:useLocalDpi xmlns:a14="http://schemas.microsoft.com/office/drawing/2010/main" val="0"/>
                              </a:ext>
                            </a:extLst>
                          </a:blip>
                          <a:srcRect/>
                          <a:stretch>
                            <a:fillRect/>
                          </a:stretch>
                        </pic:blipFill>
                        <pic:spPr>
                          <a:xfrm>
                            <a:off x="0" y="0"/>
                            <a:ext cx="225425" cy="149860"/>
                          </a:xfrm>
                          <a:prstGeom prst="rect">
                            <a:avLst/>
                          </a:prstGeom>
                          <a:noFill/>
                          <a:ln>
                            <a:noFill/>
                          </a:ln>
                        </pic:spPr>
                      </pic:pic>
                    </a:graphicData>
                  </a:graphic>
                </wp:inline>
              </w:drawing>
            </w:r>
            <w:r>
              <w:rPr>
                <w:rFonts w:hint="eastAsia"/>
              </w:rPr>
              <w:t>表示已经探测成功，</w:t>
            </w:r>
            <w:r>
              <w:drawing>
                <wp:inline distT="0" distB="0" distL="0" distR="0">
                  <wp:extent cx="190500" cy="152400"/>
                  <wp:effectExtent l="0" t="0" r="0" b="0"/>
                  <wp:docPr id="3377" name="图片 3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7" name="图片 3377"/>
                          <pic:cNvPicPr>
                            <a:picLocks noChangeAspect="1"/>
                          </pic:cNvPicPr>
                        </pic:nvPicPr>
                        <pic:blipFill>
                          <a:blip r:embed="rId1308" cstate="print"/>
                          <a:stretch>
                            <a:fillRect/>
                          </a:stretch>
                        </pic:blipFill>
                        <pic:spPr>
                          <a:xfrm>
                            <a:off x="0" y="0"/>
                            <a:ext cx="190500" cy="152400"/>
                          </a:xfrm>
                          <a:prstGeom prst="rect">
                            <a:avLst/>
                          </a:prstGeom>
                        </pic:spPr>
                      </pic:pic>
                    </a:graphicData>
                  </a:graphic>
                </wp:inline>
              </w:drawing>
            </w:r>
            <w:r>
              <w:rPr>
                <w:rFonts w:hint="eastAsia"/>
              </w:rPr>
              <w:t>表示探测失败。</w:t>
            </w:r>
          </w:p>
        </w:tc>
      </w:tr>
    </w:tbl>
    <w:p w14:paraId="3AC29A9C"/>
    <w:p w14:paraId="56B21C2D">
      <w:r>
        <w:rPr>
          <w:rFonts w:hint="eastAsia"/>
        </w:rPr>
        <w:t>输入完毕后，点击</w:t>
      </w:r>
      <w:r>
        <w:t>&lt;</w:t>
      </w:r>
      <w:r>
        <w:rPr>
          <w:rFonts w:hint="eastAsia"/>
        </w:rPr>
        <w:t>提交</w:t>
      </w:r>
      <w:r>
        <w:t>&gt;</w:t>
      </w:r>
      <w:r>
        <w:rPr>
          <w:rFonts w:hint="eastAsia"/>
        </w:rPr>
        <w:t>按钮，应用配置。</w:t>
      </w:r>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4AF3CD9C">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3517E3EB">
            <w:pPr>
              <w:pStyle w:val="150"/>
              <w:adjustRightInd w:val="0"/>
              <w:snapToGrid w:val="0"/>
              <w:rPr>
                <w:color w:val="auto"/>
              </w:rPr>
            </w:pPr>
            <w:r>
              <w:rPr>
                <w:b/>
                <w:color w:val="auto"/>
              </w:rPr>
              <w:drawing>
                <wp:inline distT="0" distB="0" distL="0" distR="0">
                  <wp:extent cx="283210" cy="283210"/>
                  <wp:effectExtent l="0" t="0" r="2540" b="2540"/>
                  <wp:docPr id="1003" name="图片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图片 100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708F77CC">
            <w:pPr>
              <w:pStyle w:val="150"/>
              <w:adjustRightInd w:val="0"/>
              <w:snapToGrid w:val="0"/>
              <w:rPr>
                <w:color w:val="auto"/>
              </w:rPr>
            </w:pPr>
            <w:r>
              <w:rPr>
                <w:rFonts w:hint="eastAsia"/>
                <w:color w:val="auto"/>
              </w:rPr>
              <w:t>一个地址探测组中最多只能加入10个地址探测成员。</w:t>
            </w:r>
          </w:p>
        </w:tc>
      </w:tr>
    </w:tbl>
    <w:p w14:paraId="3F6B25F5">
      <w:bookmarkStart w:id="11878" w:name="_Toc497294148"/>
      <w:bookmarkEnd w:id="11878"/>
    </w:p>
    <w:p w14:paraId="0C9BF436">
      <w:pPr>
        <w:pStyle w:val="5"/>
      </w:pPr>
      <w:bookmarkStart w:id="11879" w:name="_Toc99562064"/>
      <w:bookmarkStart w:id="11880" w:name="_Toc15485406"/>
      <w:bookmarkStart w:id="11881" w:name="_Toc23153160"/>
      <w:bookmarkStart w:id="11882" w:name="_Toc142401394"/>
      <w:bookmarkStart w:id="11883" w:name="_Toc194081272"/>
      <w:bookmarkStart w:id="11884" w:name="_Toc196728600"/>
      <w:bookmarkStart w:id="11885" w:name="_Toc6237905"/>
      <w:bookmarkStart w:id="11886" w:name="_Toc141873877"/>
      <w:bookmarkStart w:id="11887" w:name="_Toc40276581"/>
      <w:bookmarkStart w:id="11888" w:name="_Toc172218686"/>
      <w:r>
        <w:t>配置</w:t>
      </w:r>
      <w:r>
        <w:rPr>
          <w:rFonts w:hint="eastAsia"/>
        </w:rPr>
        <w:t>接口</w:t>
      </w:r>
      <w:r>
        <w:t>状态探测</w:t>
      </w:r>
      <w:bookmarkEnd w:id="11879"/>
      <w:bookmarkEnd w:id="11880"/>
      <w:bookmarkEnd w:id="11881"/>
      <w:bookmarkEnd w:id="11882"/>
      <w:bookmarkEnd w:id="11883"/>
      <w:bookmarkEnd w:id="11884"/>
      <w:bookmarkEnd w:id="11885"/>
      <w:bookmarkEnd w:id="11886"/>
      <w:bookmarkEnd w:id="11887"/>
      <w:bookmarkEnd w:id="11888"/>
    </w:p>
    <w:p w14:paraId="55F464AD">
      <w:r>
        <w:rPr>
          <w:rFonts w:hint="eastAsia"/>
        </w:rPr>
        <w:t>在导航栏中选择“系统管理 &gt; 系统设定 &gt; 高可用性</w:t>
      </w:r>
      <w:r>
        <w:t xml:space="preserve"> &gt; </w:t>
      </w:r>
      <w:r>
        <w:rPr>
          <w:rFonts w:hint="eastAsia"/>
        </w:rPr>
        <w:t>接口状态探测”，进入接口状态探测显示页面，如</w:t>
      </w:r>
      <w:r>
        <w:rPr>
          <w:color w:val="0000FF"/>
          <w:u w:val="single"/>
        </w:rPr>
        <w:fldChar w:fldCharType="begin"/>
      </w:r>
      <w:r>
        <w:rPr>
          <w:color w:val="0000FF"/>
          <w:u w:val="single"/>
        </w:rPr>
        <w:instrText xml:space="preserve"> REF _Ref402017191 \r \h </w:instrText>
      </w:r>
      <w:r>
        <w:rPr>
          <w:color w:val="0000FF"/>
          <w:u w:val="single"/>
        </w:rPr>
        <w:fldChar w:fldCharType="separate"/>
      </w:r>
      <w:r>
        <w:rPr>
          <w:rFonts w:hint="eastAsia"/>
          <w:color w:val="0000FF"/>
          <w:u w:val="single"/>
        </w:rPr>
        <w:t>图34-28</w:t>
      </w:r>
      <w:r>
        <w:rPr>
          <w:color w:val="0000FF"/>
          <w:u w:val="single"/>
        </w:rPr>
        <w:fldChar w:fldCharType="end"/>
      </w:r>
      <w:r>
        <w:rPr>
          <w:rFonts w:hint="eastAsia"/>
        </w:rPr>
        <w:t>所示。</w:t>
      </w:r>
    </w:p>
    <w:p w14:paraId="1BC72F5F">
      <w:pPr>
        <w:pStyle w:val="188"/>
      </w:pPr>
      <w:bookmarkStart w:id="11889" w:name="_Ref402017191"/>
      <w:bookmarkStart w:id="11890" w:name="_Toc141875342"/>
      <w:r>
        <w:rPr>
          <w:rFonts w:hint="eastAsia"/>
        </w:rPr>
        <w:t>接口状态探测</w:t>
      </w:r>
      <w:r>
        <w:t>显示页面</w:t>
      </w:r>
      <w:bookmarkEnd w:id="11889"/>
      <w:bookmarkEnd w:id="11890"/>
    </w:p>
    <w:p w14:paraId="4370FFEA">
      <w:r>
        <w:drawing>
          <wp:inline distT="0" distB="0" distL="0" distR="0">
            <wp:extent cx="5572125" cy="1100455"/>
            <wp:effectExtent l="0" t="0" r="0" b="4445"/>
            <wp:docPr id="3380" name="图片 3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 name="图片 3380"/>
                    <pic:cNvPicPr>
                      <a:picLocks noChangeAspect="1"/>
                    </pic:cNvPicPr>
                  </pic:nvPicPr>
                  <pic:blipFill>
                    <a:blip r:embed="rId1315"/>
                    <a:stretch>
                      <a:fillRect/>
                    </a:stretch>
                  </pic:blipFill>
                  <pic:spPr>
                    <a:xfrm>
                      <a:off x="0" y="0"/>
                      <a:ext cx="5625069" cy="1111125"/>
                    </a:xfrm>
                    <a:prstGeom prst="rect">
                      <a:avLst/>
                    </a:prstGeom>
                  </pic:spPr>
                </pic:pic>
              </a:graphicData>
            </a:graphic>
          </wp:inline>
        </w:drawing>
      </w:r>
    </w:p>
    <w:p w14:paraId="61169AE2"/>
    <w:p w14:paraId="3B40B900">
      <w:r>
        <w:rPr>
          <w:rFonts w:hint="eastAsia"/>
        </w:rPr>
        <w:t>页面的详细说明如</w:t>
      </w:r>
      <w:r>
        <w:fldChar w:fldCharType="begin"/>
      </w:r>
      <w:r>
        <w:instrText xml:space="preserve"> REF _Ref402341437 \r \h </w:instrText>
      </w:r>
      <w:r>
        <w:fldChar w:fldCharType="separate"/>
      </w:r>
      <w:r>
        <w:rPr>
          <w:rFonts w:hint="eastAsia"/>
        </w:rPr>
        <w:t>表34-1</w:t>
      </w:r>
      <w:r>
        <w:fldChar w:fldCharType="end"/>
      </w:r>
      <w:r>
        <w:rPr>
          <w:rFonts w:hint="eastAsia"/>
        </w:rPr>
        <w:t>。</w:t>
      </w:r>
    </w:p>
    <w:p w14:paraId="3D061A3B">
      <w:pPr>
        <w:pStyle w:val="183"/>
      </w:pPr>
      <w:bookmarkStart w:id="11891" w:name="_Ref402341437"/>
      <w:bookmarkStart w:id="11892" w:name="_Toc141875804"/>
      <w:r>
        <w:rPr>
          <w:rFonts w:hint="eastAsia"/>
        </w:rPr>
        <w:t>地址探测显示的详细说明</w:t>
      </w:r>
      <w:bookmarkEnd w:id="11891"/>
      <w:bookmarkEnd w:id="11892"/>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198"/>
        <w:gridCol w:w="6816"/>
      </w:tblGrid>
      <w:tr w14:paraId="07681C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tcBorders>
              <w:tl2br w:val="nil"/>
              <w:tr2bl w:val="nil"/>
            </w:tcBorders>
            <w:shd w:val="clear" w:color="auto" w:fill="538135" w:themeFill="accent6" w:themeFillShade="BF"/>
            <w:vAlign w:val="center"/>
          </w:tcPr>
          <w:p w14:paraId="2E290C1F">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6817" w:type="dxa"/>
            <w:tcBorders>
              <w:tl2br w:val="nil"/>
              <w:tr2bl w:val="nil"/>
            </w:tcBorders>
            <w:shd w:val="clear" w:color="auto" w:fill="538135" w:themeFill="accent6" w:themeFillShade="BF"/>
            <w:vAlign w:val="center"/>
          </w:tcPr>
          <w:p w14:paraId="77C2CE0F">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B7E42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401ECD50">
            <w:pPr>
              <w:pStyle w:val="150"/>
            </w:pPr>
            <w:r>
              <w:rPr>
                <w:rFonts w:hint="eastAsia"/>
              </w:rPr>
              <w:t>监控接口</w:t>
            </w:r>
          </w:p>
        </w:tc>
        <w:tc>
          <w:tcPr>
            <w:tcW w:w="6817" w:type="dxa"/>
            <w:shd w:val="clear" w:color="auto" w:fill="auto"/>
          </w:tcPr>
          <w:p w14:paraId="78B74FD3">
            <w:pPr>
              <w:pStyle w:val="150"/>
            </w:pPr>
            <w:r>
              <w:rPr>
                <w:rFonts w:hint="eastAsia"/>
              </w:rPr>
              <w:t>状态探测的接口。</w:t>
            </w:r>
          </w:p>
        </w:tc>
      </w:tr>
      <w:tr w14:paraId="6F280D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25D26A6E">
            <w:pPr>
              <w:pStyle w:val="150"/>
            </w:pPr>
            <w:r>
              <w:rPr>
                <w:rFonts w:hint="eastAsia"/>
              </w:rPr>
              <w:t>地址探测</w:t>
            </w:r>
          </w:p>
        </w:tc>
        <w:tc>
          <w:tcPr>
            <w:tcW w:w="6817" w:type="dxa"/>
            <w:shd w:val="clear" w:color="auto" w:fill="auto"/>
          </w:tcPr>
          <w:p w14:paraId="1449D2C8">
            <w:pPr>
              <w:pStyle w:val="150"/>
            </w:pPr>
            <w:r>
              <w:rPr>
                <w:rFonts w:hint="eastAsia"/>
              </w:rPr>
              <w:t>和接口联动的地址探测或地址探测组。</w:t>
            </w:r>
          </w:p>
        </w:tc>
      </w:tr>
      <w:tr w14:paraId="427E5A2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6EA69F27">
            <w:pPr>
              <w:pStyle w:val="150"/>
            </w:pPr>
            <w:r>
              <w:rPr>
                <w:rFonts w:hint="eastAsia"/>
              </w:rPr>
              <w:t>状态</w:t>
            </w:r>
          </w:p>
        </w:tc>
        <w:tc>
          <w:tcPr>
            <w:tcW w:w="6817" w:type="dxa"/>
            <w:shd w:val="clear" w:color="auto" w:fill="auto"/>
          </w:tcPr>
          <w:p w14:paraId="09349D2C">
            <w:pPr>
              <w:pStyle w:val="150"/>
            </w:pPr>
            <w:r>
              <w:rPr>
                <w:rFonts w:hint="eastAsia"/>
              </w:rPr>
              <w:t>地址探测或地址探测组的状态，</w:t>
            </w:r>
            <w:r>
              <w:drawing>
                <wp:inline distT="0" distB="0" distL="0" distR="0">
                  <wp:extent cx="225425" cy="149860"/>
                  <wp:effectExtent l="0" t="0" r="0" b="0"/>
                  <wp:docPr id="3381" name="图片 3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1" name="图片 3381"/>
                          <pic:cNvPicPr>
                            <a:picLocks noChangeAspect="1" noChangeArrowheads="1"/>
                          </pic:cNvPicPr>
                        </pic:nvPicPr>
                        <pic:blipFill>
                          <a:blip r:embed="rId1307" cstate="print">
                            <a:extLst>
                              <a:ext uri="{28A0092B-C50C-407E-A947-70E740481C1C}">
                                <a14:useLocalDpi xmlns:a14="http://schemas.microsoft.com/office/drawing/2010/main" val="0"/>
                              </a:ext>
                            </a:extLst>
                          </a:blip>
                          <a:srcRect/>
                          <a:stretch>
                            <a:fillRect/>
                          </a:stretch>
                        </pic:blipFill>
                        <pic:spPr>
                          <a:xfrm>
                            <a:off x="0" y="0"/>
                            <a:ext cx="225425" cy="149860"/>
                          </a:xfrm>
                          <a:prstGeom prst="rect">
                            <a:avLst/>
                          </a:prstGeom>
                          <a:noFill/>
                          <a:ln>
                            <a:noFill/>
                          </a:ln>
                        </pic:spPr>
                      </pic:pic>
                    </a:graphicData>
                  </a:graphic>
                </wp:inline>
              </w:drawing>
            </w:r>
            <w:r>
              <w:rPr>
                <w:rFonts w:hint="eastAsia"/>
              </w:rPr>
              <w:t>表示探测成功，</w:t>
            </w:r>
            <w:r>
              <w:drawing>
                <wp:inline distT="0" distB="0" distL="0" distR="0">
                  <wp:extent cx="190500" cy="152400"/>
                  <wp:effectExtent l="0" t="0" r="0" b="0"/>
                  <wp:docPr id="3382" name="图片 3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2" name="图片 3382"/>
                          <pic:cNvPicPr>
                            <a:picLocks noChangeAspect="1"/>
                          </pic:cNvPicPr>
                        </pic:nvPicPr>
                        <pic:blipFill>
                          <a:blip r:embed="rId1308" cstate="print"/>
                          <a:stretch>
                            <a:fillRect/>
                          </a:stretch>
                        </pic:blipFill>
                        <pic:spPr>
                          <a:xfrm>
                            <a:off x="0" y="0"/>
                            <a:ext cx="190500" cy="152400"/>
                          </a:xfrm>
                          <a:prstGeom prst="rect">
                            <a:avLst/>
                          </a:prstGeom>
                        </pic:spPr>
                      </pic:pic>
                    </a:graphicData>
                  </a:graphic>
                </wp:inline>
              </w:drawing>
            </w:r>
            <w:r>
              <w:rPr>
                <w:rFonts w:hint="eastAsia"/>
              </w:rPr>
              <w:t>表示探测失败。</w:t>
            </w:r>
          </w:p>
        </w:tc>
      </w:tr>
      <w:tr w14:paraId="748AE1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2198" w:type="dxa"/>
            <w:shd w:val="clear" w:color="auto" w:fill="auto"/>
          </w:tcPr>
          <w:p w14:paraId="04557AB7">
            <w:pPr>
              <w:pStyle w:val="150"/>
            </w:pPr>
            <w:r>
              <w:rPr>
                <w:rFonts w:hint="eastAsia"/>
              </w:rPr>
              <w:t>操作</w:t>
            </w:r>
          </w:p>
        </w:tc>
        <w:tc>
          <w:tcPr>
            <w:tcW w:w="6817" w:type="dxa"/>
            <w:shd w:val="clear" w:color="auto" w:fill="auto"/>
          </w:tcPr>
          <w:p w14:paraId="5E516B36">
            <w:pPr>
              <w:pStyle w:val="150"/>
            </w:pPr>
            <w:r>
              <w:rPr>
                <w:rFonts w:hint="eastAsia"/>
              </w:rPr>
              <w:t>可以执行删除操作。</w:t>
            </w:r>
          </w:p>
        </w:tc>
      </w:tr>
    </w:tbl>
    <w:p w14:paraId="0EF2AD15"/>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5147224D">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4124C0DC">
            <w:pPr>
              <w:pStyle w:val="150"/>
              <w:adjustRightInd w:val="0"/>
              <w:snapToGrid w:val="0"/>
              <w:rPr>
                <w:color w:val="auto"/>
              </w:rPr>
            </w:pPr>
            <w:r>
              <w:rPr>
                <w:b/>
                <w:color w:val="auto"/>
              </w:rPr>
              <w:drawing>
                <wp:inline distT="0" distB="0" distL="0" distR="0">
                  <wp:extent cx="283210" cy="283210"/>
                  <wp:effectExtent l="0" t="0" r="2540" b="2540"/>
                  <wp:docPr id="1011" name="图片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图片 101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3A079E0D">
            <w:pPr>
              <w:pStyle w:val="150"/>
              <w:adjustRightInd w:val="0"/>
              <w:snapToGrid w:val="0"/>
              <w:rPr>
                <w:color w:val="auto"/>
              </w:rPr>
            </w:pPr>
            <w:r>
              <w:rPr>
                <w:rFonts w:hint="eastAsia"/>
                <w:color w:val="auto"/>
              </w:rPr>
              <w:t>这里的状态指和接口联动的地址探测或者地址探测组状态，而不是接口的当前物理状态。</w:t>
            </w:r>
          </w:p>
        </w:tc>
      </w:tr>
    </w:tbl>
    <w:p w14:paraId="224B4522"/>
    <w:p w14:paraId="3CA7FB79">
      <w:r>
        <w:rPr>
          <w:rFonts w:hint="eastAsia"/>
        </w:rPr>
        <w:t>点击右侧的删除按钮，可以删除对应的接口状态探测。</w:t>
      </w:r>
    </w:p>
    <w:p w14:paraId="13672DCC">
      <w:r>
        <w:rPr>
          <w:rFonts w:hint="eastAsia"/>
        </w:rPr>
        <w:t>点击</w:t>
      </w:r>
      <w:r>
        <w:t>&lt;</w:t>
      </w:r>
      <w:r>
        <w:rPr>
          <w:rFonts w:hint="eastAsia"/>
        </w:rPr>
        <w:t>新建</w:t>
      </w:r>
      <w:r>
        <w:t>&gt;</w:t>
      </w:r>
      <w:r>
        <w:rPr>
          <w:rFonts w:hint="eastAsia"/>
        </w:rPr>
        <w:t>按钮，可以进入接口状态探测配置页面，如</w:t>
      </w:r>
      <w:r>
        <w:fldChar w:fldCharType="begin"/>
      </w:r>
      <w:r>
        <w:instrText xml:space="preserve"> REF _Ref402017967 \r \h </w:instrText>
      </w:r>
      <w:r>
        <w:fldChar w:fldCharType="separate"/>
      </w:r>
      <w:r>
        <w:rPr>
          <w:rFonts w:hint="eastAsia"/>
        </w:rPr>
        <w:t>图34-29</w:t>
      </w:r>
      <w:r>
        <w:fldChar w:fldCharType="end"/>
      </w:r>
      <w:r>
        <w:rPr>
          <w:rFonts w:hint="eastAsia"/>
        </w:rPr>
        <w:t>所示。</w:t>
      </w:r>
    </w:p>
    <w:p w14:paraId="7854A09B">
      <w:pPr>
        <w:pStyle w:val="188"/>
      </w:pPr>
      <w:bookmarkStart w:id="11893" w:name="_Toc141875343"/>
      <w:bookmarkStart w:id="11894" w:name="_Ref402017967"/>
      <w:r>
        <w:rPr>
          <w:rFonts w:hint="eastAsia"/>
        </w:rPr>
        <w:t>接口状态探测</w:t>
      </w:r>
      <w:r>
        <w:t>配置页面</w:t>
      </w:r>
      <w:bookmarkEnd w:id="11893"/>
      <w:bookmarkEnd w:id="11894"/>
    </w:p>
    <w:p w14:paraId="61A24EAC">
      <w:pPr>
        <w:pStyle w:val="175"/>
      </w:pPr>
      <w:r>
        <w:drawing>
          <wp:inline distT="0" distB="0" distL="0" distR="0">
            <wp:extent cx="3714115" cy="2237740"/>
            <wp:effectExtent l="0" t="0" r="635" b="0"/>
            <wp:docPr id="3385" name="图片 3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5" name="图片 3385"/>
                    <pic:cNvPicPr>
                      <a:picLocks noChangeAspect="1"/>
                    </pic:cNvPicPr>
                  </pic:nvPicPr>
                  <pic:blipFill>
                    <a:blip r:embed="rId1316"/>
                    <a:stretch>
                      <a:fillRect/>
                    </a:stretch>
                  </pic:blipFill>
                  <pic:spPr>
                    <a:xfrm>
                      <a:off x="0" y="0"/>
                      <a:ext cx="3714286" cy="2238095"/>
                    </a:xfrm>
                    <a:prstGeom prst="rect">
                      <a:avLst/>
                    </a:prstGeom>
                  </pic:spPr>
                </pic:pic>
              </a:graphicData>
            </a:graphic>
          </wp:inline>
        </w:drawing>
      </w:r>
    </w:p>
    <w:p w14:paraId="2AB0F9C6"/>
    <w:p w14:paraId="626AD9E0">
      <w:r>
        <w:rPr>
          <w:rFonts w:hint="eastAsia"/>
        </w:rPr>
        <w:t>页面的详细说明如</w:t>
      </w:r>
      <w:r>
        <w:fldChar w:fldCharType="begin"/>
      </w:r>
      <w:r>
        <w:instrText xml:space="preserve"> REF _Ref402018252 \r \h </w:instrText>
      </w:r>
      <w:r>
        <w:fldChar w:fldCharType="separate"/>
      </w:r>
      <w:r>
        <w:rPr>
          <w:rFonts w:hint="eastAsia"/>
        </w:rPr>
        <w:t>表34-1</w:t>
      </w:r>
      <w:r>
        <w:fldChar w:fldCharType="end"/>
      </w:r>
      <w:r>
        <w:rPr>
          <w:rFonts w:hint="eastAsia"/>
        </w:rPr>
        <w:t>。</w:t>
      </w:r>
    </w:p>
    <w:p w14:paraId="38354203">
      <w:pPr>
        <w:pStyle w:val="183"/>
      </w:pPr>
      <w:bookmarkStart w:id="11895" w:name="_Ref402018252"/>
      <w:bookmarkStart w:id="11896" w:name="_Toc141875805"/>
      <w:r>
        <w:rPr>
          <w:rFonts w:hint="eastAsia"/>
        </w:rPr>
        <w:t>接口状态探测</w:t>
      </w:r>
      <w:r>
        <w:t>页面详细说明</w:t>
      </w:r>
      <w:bookmarkEnd w:id="11895"/>
      <w:bookmarkEnd w:id="11896"/>
    </w:p>
    <w:tbl>
      <w:tblPr>
        <w:tblStyle w:val="173"/>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790"/>
        <w:gridCol w:w="7224"/>
      </w:tblGrid>
      <w:tr w14:paraId="59DEF9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tcBorders>
              <w:tl2br w:val="nil"/>
              <w:tr2bl w:val="nil"/>
            </w:tcBorders>
            <w:shd w:val="clear" w:color="auto" w:fill="538135" w:themeFill="accent6" w:themeFillShade="BF"/>
            <w:vAlign w:val="center"/>
          </w:tcPr>
          <w:p w14:paraId="6E324C8C">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项目</w:t>
            </w:r>
          </w:p>
        </w:tc>
        <w:tc>
          <w:tcPr>
            <w:tcW w:w="7187" w:type="dxa"/>
            <w:tcBorders>
              <w:tl2br w:val="nil"/>
              <w:tr2bl w:val="nil"/>
            </w:tcBorders>
            <w:shd w:val="clear" w:color="auto" w:fill="538135" w:themeFill="accent6" w:themeFillShade="BF"/>
            <w:vAlign w:val="center"/>
          </w:tcPr>
          <w:p w14:paraId="1AAF8070">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2B0451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5A1AED53">
            <w:pPr>
              <w:pStyle w:val="150"/>
            </w:pPr>
            <w:r>
              <w:rPr>
                <w:rFonts w:hint="eastAsia"/>
              </w:rPr>
              <w:t>监控接口</w:t>
            </w:r>
          </w:p>
        </w:tc>
        <w:tc>
          <w:tcPr>
            <w:tcW w:w="7187" w:type="dxa"/>
            <w:shd w:val="clear" w:color="auto" w:fill="auto"/>
          </w:tcPr>
          <w:p w14:paraId="560F7B91">
            <w:pPr>
              <w:pStyle w:val="150"/>
            </w:pPr>
            <w:r>
              <w:rPr>
                <w:rFonts w:hint="eastAsia"/>
              </w:rPr>
              <w:t>状态探测的接口。</w:t>
            </w:r>
          </w:p>
        </w:tc>
      </w:tr>
      <w:tr w14:paraId="408C43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 w:hRule="atLeast"/>
        </w:trPr>
        <w:tc>
          <w:tcPr>
            <w:tcW w:w="1781" w:type="dxa"/>
            <w:shd w:val="clear" w:color="auto" w:fill="auto"/>
          </w:tcPr>
          <w:p w14:paraId="5FB87870">
            <w:pPr>
              <w:pStyle w:val="150"/>
            </w:pPr>
            <w:r>
              <w:rPr>
                <w:rFonts w:hint="eastAsia"/>
              </w:rPr>
              <w:t>地址探测</w:t>
            </w:r>
          </w:p>
        </w:tc>
        <w:tc>
          <w:tcPr>
            <w:tcW w:w="7187" w:type="dxa"/>
            <w:shd w:val="clear" w:color="auto" w:fill="auto"/>
          </w:tcPr>
          <w:p w14:paraId="42F15D12">
            <w:pPr>
              <w:pStyle w:val="150"/>
            </w:pPr>
            <w:r>
              <w:rPr>
                <w:rFonts w:hint="eastAsia"/>
              </w:rPr>
              <w:t>和接口联动的地址探测或地址探测组。</w:t>
            </w:r>
          </w:p>
        </w:tc>
      </w:tr>
    </w:tbl>
    <w:p w14:paraId="5FF6DB77"/>
    <w:p w14:paraId="1C4E45B7">
      <w:r>
        <w:rPr>
          <w:rFonts w:hint="eastAsia"/>
        </w:rPr>
        <w:t>输入完毕后，点击</w:t>
      </w:r>
      <w:r>
        <w:t>&lt;</w:t>
      </w:r>
      <w:r>
        <w:rPr>
          <w:rFonts w:hint="eastAsia"/>
        </w:rPr>
        <w:t>提交</w:t>
      </w:r>
      <w:r>
        <w:t>&gt;</w:t>
      </w:r>
      <w:r>
        <w:rPr>
          <w:rFonts w:hint="eastAsia"/>
        </w:rPr>
        <w:t>按钮，应用配置。</w:t>
      </w:r>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7B4461AE">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63655ACE">
            <w:pPr>
              <w:pStyle w:val="150"/>
              <w:adjustRightInd w:val="0"/>
              <w:snapToGrid w:val="0"/>
              <w:rPr>
                <w:color w:val="auto"/>
              </w:rPr>
            </w:pPr>
            <w:r>
              <w:rPr>
                <w:b/>
                <w:color w:val="00A0E9"/>
              </w:rPr>
              <w:drawing>
                <wp:inline distT="0" distB="0" distL="0" distR="0">
                  <wp:extent cx="260350" cy="260350"/>
                  <wp:effectExtent l="0" t="0" r="6350" b="6350"/>
                  <wp:docPr id="1013" name="图片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图片 1013"/>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0470" cy="260470"/>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65AAEFD6">
            <w:pPr>
              <w:pStyle w:val="207"/>
              <w:adjustRightInd w:val="0"/>
              <w:snapToGrid w:val="0"/>
              <w:rPr>
                <w:color w:val="auto"/>
                <w:lang w:eastAsia="zh-CN"/>
              </w:rPr>
            </w:pPr>
            <w:r>
              <w:rPr>
                <w:rFonts w:hint="eastAsia"/>
                <w:color w:val="auto"/>
                <w:lang w:eastAsia="zh-CN"/>
              </w:rPr>
              <w:t>已经被配置为地址探测出接口的接口不能配置和地址探测联动。</w:t>
            </w:r>
          </w:p>
          <w:p w14:paraId="69BFCAB8">
            <w:pPr>
              <w:pStyle w:val="207"/>
              <w:adjustRightInd w:val="0"/>
              <w:snapToGrid w:val="0"/>
              <w:rPr>
                <w:color w:val="auto"/>
                <w:lang w:eastAsia="zh-CN"/>
              </w:rPr>
            </w:pPr>
            <w:r>
              <w:rPr>
                <w:rFonts w:hint="eastAsia"/>
                <w:color w:val="auto"/>
                <w:lang w:eastAsia="zh-CN"/>
              </w:rPr>
              <w:t>子接口已经被配置为地址探测出接口的接口不能配置和地址探测联动。</w:t>
            </w:r>
          </w:p>
          <w:p w14:paraId="7DD0D6D9">
            <w:pPr>
              <w:pStyle w:val="207"/>
              <w:adjustRightInd w:val="0"/>
              <w:snapToGrid w:val="0"/>
              <w:rPr>
                <w:color w:val="auto"/>
                <w:lang w:eastAsia="zh-CN"/>
              </w:rPr>
            </w:pPr>
            <w:r>
              <w:rPr>
                <w:rFonts w:hint="eastAsia"/>
                <w:color w:val="auto"/>
                <w:lang w:eastAsia="zh-CN"/>
              </w:rPr>
              <w:t>已经配置了和地址探测联动的接口不能作为地址探测的出接口。</w:t>
            </w:r>
          </w:p>
          <w:p w14:paraId="42596A00">
            <w:pPr>
              <w:pStyle w:val="207"/>
              <w:adjustRightInd w:val="0"/>
              <w:snapToGrid w:val="0"/>
              <w:rPr>
                <w:color w:val="auto"/>
                <w:lang w:eastAsia="zh-CN"/>
              </w:rPr>
            </w:pPr>
            <w:r>
              <w:rPr>
                <w:rFonts w:hint="eastAsia"/>
                <w:color w:val="auto"/>
                <w:lang w:eastAsia="zh-CN"/>
              </w:rPr>
              <w:t>已经配置了和地址探测联动的接口的子接口不能作为地址探测出接口。</w:t>
            </w:r>
          </w:p>
        </w:tc>
      </w:tr>
    </w:tbl>
    <w:p w14:paraId="082D9177"/>
    <w:p w14:paraId="1C92377E">
      <w:pPr>
        <w:pStyle w:val="3"/>
      </w:pPr>
      <w:bookmarkStart w:id="11897" w:name="_Toc196728601"/>
      <w:bookmarkStart w:id="11898" w:name="_Toc99562066"/>
      <w:bookmarkStart w:id="11899" w:name="_Toc58604477"/>
      <w:bookmarkStart w:id="11900" w:name="_Toc141873878"/>
      <w:bookmarkStart w:id="11901" w:name="_Toc70414925"/>
      <w:bookmarkStart w:id="11902" w:name="_Toc70415862"/>
      <w:bookmarkStart w:id="11903" w:name="_Toc142401395"/>
      <w:bookmarkStart w:id="11904" w:name="_Toc146618584"/>
      <w:bookmarkStart w:id="11905" w:name="_Toc494295558"/>
      <w:bookmarkStart w:id="11906" w:name="_Toc194081273"/>
      <w:r>
        <w:rPr>
          <w:rFonts w:hint="eastAsia"/>
        </w:rPr>
        <w:t>无线</w:t>
      </w:r>
      <w:r>
        <w:t>非经</w:t>
      </w:r>
      <w:bookmarkEnd w:id="11897"/>
      <w:bookmarkEnd w:id="11898"/>
      <w:bookmarkEnd w:id="11899"/>
      <w:bookmarkEnd w:id="11900"/>
      <w:bookmarkEnd w:id="11901"/>
      <w:bookmarkEnd w:id="11902"/>
      <w:bookmarkEnd w:id="11903"/>
      <w:bookmarkEnd w:id="11904"/>
      <w:bookmarkEnd w:id="11905"/>
      <w:bookmarkEnd w:id="11906"/>
    </w:p>
    <w:p w14:paraId="3067AAC6">
      <w:pPr>
        <w:pStyle w:val="4"/>
      </w:pPr>
      <w:bookmarkStart w:id="11907" w:name="_Toc70414926"/>
      <w:bookmarkStart w:id="11908" w:name="_Toc58604478"/>
      <w:bookmarkStart w:id="11909" w:name="_Toc70415863"/>
      <w:bookmarkStart w:id="11910" w:name="_Toc142401396"/>
      <w:bookmarkStart w:id="11911" w:name="_Toc141873879"/>
      <w:bookmarkStart w:id="11912" w:name="_Toc146618585"/>
      <w:bookmarkStart w:id="11913" w:name="_Toc194081274"/>
      <w:bookmarkStart w:id="11914" w:name="_Toc494295559"/>
      <w:bookmarkStart w:id="11915" w:name="_Toc196728602"/>
      <w:bookmarkStart w:id="11916" w:name="_Toc99562067"/>
      <w:r>
        <w:rPr>
          <w:rFonts w:hint="eastAsia"/>
        </w:rPr>
        <w:t>简介</w:t>
      </w:r>
      <w:bookmarkEnd w:id="11907"/>
      <w:bookmarkEnd w:id="11908"/>
      <w:bookmarkEnd w:id="11909"/>
      <w:bookmarkEnd w:id="11910"/>
      <w:bookmarkEnd w:id="11911"/>
      <w:bookmarkEnd w:id="11912"/>
      <w:bookmarkEnd w:id="11913"/>
      <w:bookmarkEnd w:id="11914"/>
      <w:bookmarkEnd w:id="11915"/>
      <w:bookmarkEnd w:id="11916"/>
    </w:p>
    <w:p w14:paraId="140F4B25">
      <w:r>
        <w:rPr>
          <w:rFonts w:hint="eastAsia"/>
        </w:rPr>
        <w:t>无线</w:t>
      </w:r>
      <w:r>
        <w:t>非经</w:t>
      </w:r>
      <w:r>
        <w:rPr>
          <w:rFonts w:hint="eastAsia"/>
        </w:rPr>
        <w:t>即公共场所无线上网安全管理条例，非经营性互联网信息服务提供者从事非经营性互联网信息服务时，应当遵守国家的有关规定，接受有关部门依法实施的监督管理。</w:t>
      </w:r>
    </w:p>
    <w:p w14:paraId="29C27C6C">
      <w:r>
        <w:rPr>
          <w:rFonts w:hint="eastAsia"/>
        </w:rPr>
        <w:t>无线</w:t>
      </w:r>
      <w:r>
        <w:t>非经功能配置主要包括厂商、场所、</w:t>
      </w:r>
      <w:r>
        <w:rPr>
          <w:rFonts w:hint="eastAsia"/>
        </w:rPr>
        <w:t>AP、</w:t>
      </w:r>
      <w:r>
        <w:t>上报周期、应用关系对照表</w:t>
      </w:r>
      <w:r>
        <w:rPr>
          <w:rFonts w:hint="eastAsia"/>
        </w:rPr>
        <w:t>五</w:t>
      </w:r>
      <w:r>
        <w:t>个方面的配置，</w:t>
      </w:r>
      <w:r>
        <w:rPr>
          <w:rFonts w:hint="eastAsia"/>
        </w:rPr>
        <w:t>具体</w:t>
      </w:r>
      <w:r>
        <w:t>如下：</w:t>
      </w:r>
    </w:p>
    <w:p w14:paraId="252BF4A2">
      <w:pPr>
        <w:pStyle w:val="162"/>
      </w:pPr>
      <w:r>
        <w:rPr>
          <w:rFonts w:hint="eastAsia"/>
        </w:rPr>
        <w:t>厂商：隶属有关部门授权并遵循指定的标准（协议、应用维度）和一定的行为规则（场所编码规则、经营性质等），对外提供开放接口用来收集指定场所用户上网行为数据平台。</w:t>
      </w:r>
    </w:p>
    <w:p w14:paraId="2254A393">
      <w:r>
        <w:rPr>
          <w:rFonts w:hint="eastAsia"/>
        </w:rPr>
        <w:t>场所：经过设备的流量是从哪些场所过来，就填写哪些场所，表明有多少个场所流量经过设备。</w:t>
      </w:r>
    </w:p>
    <w:p w14:paraId="24140523">
      <w:pPr>
        <w:pStyle w:val="162"/>
      </w:pPr>
      <w:r>
        <w:t>AP</w:t>
      </w:r>
      <w:r>
        <w:rPr>
          <w:rFonts w:hint="eastAsia"/>
        </w:rPr>
        <w:t>：</w:t>
      </w:r>
      <w:r>
        <w:t>AP</w:t>
      </w:r>
      <w:r>
        <w:rPr>
          <w:rFonts w:hint="eastAsia"/>
        </w:rPr>
        <w:t>是存在于场所内的，表明该场所内有多少个</w:t>
      </w:r>
      <w:r>
        <w:t>AP</w:t>
      </w:r>
      <w:r>
        <w:rPr>
          <w:rFonts w:hint="eastAsia"/>
        </w:rPr>
        <w:t>；这样可以知道具体某个用户是在哪一个场所中的哪一个</w:t>
      </w:r>
      <w:r>
        <w:t>AP</w:t>
      </w:r>
      <w:r>
        <w:rPr>
          <w:rFonts w:hint="eastAsia"/>
        </w:rPr>
        <w:t>使用网络。</w:t>
      </w:r>
    </w:p>
    <w:p w14:paraId="2F15D52D">
      <w:pPr>
        <w:pStyle w:val="162"/>
      </w:pPr>
      <w:r>
        <w:rPr>
          <w:rFonts w:hint="eastAsia"/>
        </w:rPr>
        <w:t>上报周期：根据</w:t>
      </w:r>
      <w:r>
        <w:t>对接厂商标准接口文档按一定的周期上报</w:t>
      </w:r>
      <w:r>
        <w:rPr>
          <w:rFonts w:hint="eastAsia"/>
        </w:rPr>
        <w:t>无线</w:t>
      </w:r>
      <w:r>
        <w:t>非经数据</w:t>
      </w:r>
      <w:r>
        <w:rPr>
          <w:rFonts w:hint="eastAsia"/>
        </w:rPr>
        <w:t>。</w:t>
      </w:r>
    </w:p>
    <w:p w14:paraId="739FE16E">
      <w:pPr>
        <w:pStyle w:val="162"/>
      </w:pPr>
      <w:r>
        <w:rPr>
          <w:rFonts w:hint="eastAsia"/>
        </w:rPr>
        <w:t>应用关系对照表：按照对接厂商平台要求，将我司应用转换成其对应的应用</w:t>
      </w:r>
      <w:r>
        <w:t>ID</w:t>
      </w:r>
      <w:r>
        <w:rPr>
          <w:rFonts w:hint="eastAsia"/>
        </w:rPr>
        <w:t>上报至网监平台，以</w:t>
      </w:r>
      <w:r>
        <w:t>便网监平台</w:t>
      </w:r>
      <w:r>
        <w:rPr>
          <w:rFonts w:hint="eastAsia"/>
        </w:rPr>
        <w:t>显示对应</w:t>
      </w:r>
      <w:r>
        <w:t>应用名称</w:t>
      </w:r>
      <w:r>
        <w:rPr>
          <w:rFonts w:hint="eastAsia"/>
        </w:rPr>
        <w:t>。</w:t>
      </w:r>
    </w:p>
    <w:p w14:paraId="5798411B">
      <w:r>
        <w:rPr>
          <w:rFonts w:hint="eastAsia"/>
        </w:rPr>
        <w:t>无线非经功能主要</w:t>
      </w:r>
      <w:r>
        <w:t>目的是</w:t>
      </w:r>
      <w:r>
        <w:rPr>
          <w:rFonts w:hint="eastAsia"/>
        </w:rPr>
        <w:t>将对接</w:t>
      </w:r>
      <w:r>
        <w:t>厂商需要的数据</w:t>
      </w:r>
      <w:r>
        <w:rPr>
          <w:rFonts w:hint="eastAsia"/>
        </w:rPr>
        <w:t>按照一定的格式要求，采用指定的协议标准上传至网监平台服务器，实现网监对非经营性场所上网用户行为的监控。</w:t>
      </w:r>
    </w:p>
    <w:p w14:paraId="0706844D">
      <w:pPr>
        <w:pStyle w:val="4"/>
      </w:pPr>
      <w:bookmarkStart w:id="11917" w:name="_Toc70414927"/>
      <w:bookmarkStart w:id="11918" w:name="_Toc99562068"/>
      <w:bookmarkStart w:id="11919" w:name="_Toc196728603"/>
      <w:bookmarkStart w:id="11920" w:name="_Toc141873880"/>
      <w:bookmarkStart w:id="11921" w:name="_Toc194081275"/>
      <w:bookmarkStart w:id="11922" w:name="_Toc58604479"/>
      <w:bookmarkStart w:id="11923" w:name="_Toc494295560"/>
      <w:bookmarkStart w:id="11924" w:name="_Toc70415864"/>
      <w:bookmarkStart w:id="11925" w:name="_Toc142401397"/>
      <w:bookmarkStart w:id="11926" w:name="_Toc146618586"/>
      <w:r>
        <w:rPr>
          <w:rFonts w:hint="eastAsia"/>
        </w:rPr>
        <w:t>无线</w:t>
      </w:r>
      <w:r>
        <w:t>非经配置</w:t>
      </w:r>
      <w:bookmarkEnd w:id="11917"/>
      <w:bookmarkEnd w:id="11918"/>
      <w:bookmarkEnd w:id="11919"/>
      <w:bookmarkEnd w:id="11920"/>
      <w:bookmarkEnd w:id="11921"/>
      <w:bookmarkEnd w:id="11922"/>
      <w:bookmarkEnd w:id="11923"/>
      <w:bookmarkEnd w:id="11924"/>
      <w:bookmarkEnd w:id="11925"/>
      <w:bookmarkEnd w:id="11926"/>
    </w:p>
    <w:p w14:paraId="200E2922">
      <w:pPr>
        <w:pStyle w:val="5"/>
      </w:pPr>
      <w:bookmarkStart w:id="11927" w:name="_Toc494295561"/>
      <w:bookmarkStart w:id="11928" w:name="_Toc70415865"/>
      <w:bookmarkStart w:id="11929" w:name="_Toc142401398"/>
      <w:bookmarkStart w:id="11930" w:name="_Toc196728604"/>
      <w:bookmarkStart w:id="11931" w:name="_Toc194081276"/>
      <w:bookmarkStart w:id="11932" w:name="_Toc70414928"/>
      <w:bookmarkStart w:id="11933" w:name="_Toc99562069"/>
      <w:bookmarkStart w:id="11934" w:name="_Toc58604480"/>
      <w:bookmarkStart w:id="11935" w:name="_Toc141873881"/>
      <w:bookmarkStart w:id="11936" w:name="_Toc146618587"/>
      <w:r>
        <w:t>配置厂商</w:t>
      </w:r>
      <w:bookmarkEnd w:id="11927"/>
      <w:bookmarkEnd w:id="11928"/>
      <w:bookmarkEnd w:id="11929"/>
      <w:bookmarkEnd w:id="11930"/>
      <w:bookmarkEnd w:id="11931"/>
      <w:bookmarkEnd w:id="11932"/>
      <w:bookmarkEnd w:id="11933"/>
      <w:bookmarkEnd w:id="11934"/>
      <w:bookmarkEnd w:id="11935"/>
      <w:bookmarkEnd w:id="11936"/>
    </w:p>
    <w:p w14:paraId="5A4CC8CE">
      <w:r>
        <w:rPr>
          <w:rFonts w:hint="eastAsia"/>
        </w:rPr>
        <w:t>在导航栏中选择“系统管理&gt;系统设定&gt;无线非经</w:t>
      </w:r>
      <w:r>
        <w:t>&gt;</w:t>
      </w:r>
      <w:r>
        <w:rPr>
          <w:rFonts w:hint="eastAsia"/>
        </w:rPr>
        <w:t>厂商配置”，进入厂商配置页面，在该页面上可以选择相关对接厂商配置相关数据，如</w:t>
      </w:r>
      <w:r>
        <w:rPr>
          <w:shd w:val="clear" w:color="auto" w:fill="FFFFFF"/>
        </w:rPr>
        <w:fldChar w:fldCharType="begin"/>
      </w:r>
      <w:r>
        <w:rPr>
          <w:shd w:val="clear" w:color="auto" w:fill="FFFFFF"/>
        </w:rPr>
        <w:instrText xml:space="preserve"> </w:instrText>
      </w:r>
      <w:r>
        <w:rPr>
          <w:rFonts w:hint="eastAsia"/>
          <w:shd w:val="clear" w:color="auto" w:fill="FFFFFF"/>
        </w:rPr>
        <w:instrText xml:space="preserve">REF _Ref494446179 \r \h</w:instrText>
      </w:r>
      <w:r>
        <w:rPr>
          <w:shd w:val="clear" w:color="auto" w:fill="FFFFFF"/>
        </w:rPr>
        <w:instrText xml:space="preserve">  \* MERGEFORMAT </w:instrText>
      </w:r>
      <w:r>
        <w:rPr>
          <w:shd w:val="clear" w:color="auto" w:fill="FFFFFF"/>
        </w:rPr>
        <w:fldChar w:fldCharType="separate"/>
      </w:r>
      <w:r>
        <w:rPr>
          <w:rFonts w:hint="eastAsia"/>
          <w:shd w:val="clear" w:color="auto" w:fill="FFFFFF"/>
        </w:rPr>
        <w:t>图35-1</w:t>
      </w:r>
      <w:r>
        <w:rPr>
          <w:shd w:val="clear" w:color="auto" w:fill="FFFFFF"/>
        </w:rPr>
        <w:fldChar w:fldCharType="end"/>
      </w:r>
      <w:r>
        <w:rPr>
          <w:rFonts w:hint="eastAsia"/>
        </w:rPr>
        <w:t>所示；厂商</w:t>
      </w:r>
      <w:r>
        <w:t>配置页面</w:t>
      </w:r>
      <w:r>
        <w:rPr>
          <w:rFonts w:hint="eastAsia"/>
        </w:rPr>
        <w:t>展示详细说明如</w:t>
      </w:r>
      <w:r>
        <w:fldChar w:fldCharType="begin"/>
      </w:r>
      <w:r>
        <w:instrText xml:space="preserve"> </w:instrText>
      </w:r>
      <w:r>
        <w:rPr>
          <w:rFonts w:hint="eastAsia"/>
        </w:rPr>
        <w:instrText xml:space="preserve">REF _Ref494446186 \r \h</w:instrText>
      </w:r>
      <w:r>
        <w:instrText xml:space="preserve">  \* MERGEFORMAT </w:instrText>
      </w:r>
      <w:r>
        <w:fldChar w:fldCharType="separate"/>
      </w:r>
      <w:r>
        <w:rPr>
          <w:rFonts w:hint="eastAsia"/>
        </w:rPr>
        <w:t>表35-1</w:t>
      </w:r>
      <w:r>
        <w:fldChar w:fldCharType="end"/>
      </w:r>
      <w:r>
        <w:rPr>
          <w:rFonts w:hint="eastAsia"/>
        </w:rPr>
        <w:t>所示。</w:t>
      </w:r>
    </w:p>
    <w:p w14:paraId="4EC05D4D">
      <w:pPr>
        <w:pStyle w:val="188"/>
      </w:pPr>
      <w:bookmarkStart w:id="11937" w:name="_Ref494446179"/>
      <w:bookmarkStart w:id="11938" w:name="_Toc141875344"/>
      <w:r>
        <w:rPr>
          <w:rFonts w:hint="eastAsia"/>
        </w:rPr>
        <w:t>厂商</w:t>
      </w:r>
      <w:r>
        <w:t>配置页面</w:t>
      </w:r>
      <w:bookmarkEnd w:id="11937"/>
      <w:bookmarkEnd w:id="11938"/>
    </w:p>
    <w:p w14:paraId="44C84457">
      <w:pPr>
        <w:pStyle w:val="175"/>
      </w:pPr>
      <w:r>
        <w:drawing>
          <wp:inline distT="0" distB="0" distL="0" distR="0">
            <wp:extent cx="5448300" cy="3559175"/>
            <wp:effectExtent l="0" t="0" r="0" b="3175"/>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pic:cNvPicPr>
                  </pic:nvPicPr>
                  <pic:blipFill>
                    <a:blip r:embed="rId1317"/>
                    <a:stretch>
                      <a:fillRect/>
                    </a:stretch>
                  </pic:blipFill>
                  <pic:spPr>
                    <a:xfrm>
                      <a:off x="0" y="0"/>
                      <a:ext cx="5454273" cy="3563187"/>
                    </a:xfrm>
                    <a:prstGeom prst="rect">
                      <a:avLst/>
                    </a:prstGeom>
                  </pic:spPr>
                </pic:pic>
              </a:graphicData>
            </a:graphic>
          </wp:inline>
        </w:drawing>
      </w:r>
    </w:p>
    <w:p w14:paraId="51F290A0"/>
    <w:p w14:paraId="61A32DDA">
      <w:pPr>
        <w:pStyle w:val="183"/>
      </w:pPr>
      <w:bookmarkStart w:id="11939" w:name="_Toc141875806"/>
      <w:bookmarkStart w:id="11940" w:name="_Ref494446186"/>
      <w:r>
        <w:rPr>
          <w:rFonts w:hint="eastAsia"/>
        </w:rPr>
        <w:t>厂商</w:t>
      </w:r>
      <w:r>
        <w:t>配置</w:t>
      </w:r>
      <w:r>
        <w:rPr>
          <w:rFonts w:hint="eastAsia"/>
        </w:rPr>
        <w:t>页面详细说明</w:t>
      </w:r>
      <w:bookmarkEnd w:id="11939"/>
      <w:bookmarkEnd w:id="11940"/>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03"/>
        <w:gridCol w:w="6667"/>
      </w:tblGrid>
      <w:tr w14:paraId="1E6442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93" w:type="dxa"/>
            <w:tcBorders>
              <w:tl2br w:val="nil"/>
              <w:tr2bl w:val="nil"/>
            </w:tcBorders>
            <w:shd w:val="clear" w:color="auto" w:fill="538135" w:themeFill="accent6" w:themeFillShade="BF"/>
            <w:vAlign w:val="center"/>
          </w:tcPr>
          <w:p w14:paraId="4C22FB55">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060" w:type="dxa"/>
            <w:tcBorders>
              <w:tl2br w:val="nil"/>
              <w:tr2bl w:val="nil"/>
            </w:tcBorders>
            <w:shd w:val="clear" w:color="auto" w:fill="538135" w:themeFill="accent6" w:themeFillShade="BF"/>
            <w:vAlign w:val="center"/>
          </w:tcPr>
          <w:p w14:paraId="7510BE5F">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3C004FC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93" w:type="dxa"/>
            <w:shd w:val="clear" w:color="auto" w:fill="auto"/>
          </w:tcPr>
          <w:p w14:paraId="074C1910">
            <w:pPr>
              <w:pStyle w:val="150"/>
            </w:pPr>
            <w:r>
              <w:rPr>
                <w:rFonts w:hint="eastAsia"/>
              </w:rPr>
              <w:t>对接厂商</w:t>
            </w:r>
          </w:p>
        </w:tc>
        <w:tc>
          <w:tcPr>
            <w:tcW w:w="6060" w:type="dxa"/>
            <w:shd w:val="clear" w:color="auto" w:fill="auto"/>
          </w:tcPr>
          <w:p w14:paraId="0D6A2454">
            <w:pPr>
              <w:pStyle w:val="150"/>
            </w:pPr>
            <w:r>
              <w:t>当前要对接的</w:t>
            </w:r>
            <w:r>
              <w:rPr>
                <w:rFonts w:hint="eastAsia"/>
              </w:rPr>
              <w:t>网监</w:t>
            </w:r>
            <w:r>
              <w:t>平台</w:t>
            </w:r>
            <w:r>
              <w:rPr>
                <w:rFonts w:hint="eastAsia"/>
              </w:rPr>
              <w:t>。</w:t>
            </w:r>
          </w:p>
        </w:tc>
      </w:tr>
      <w:tr w14:paraId="3953FB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93" w:type="dxa"/>
            <w:shd w:val="clear" w:color="auto" w:fill="auto"/>
          </w:tcPr>
          <w:p w14:paraId="73008384">
            <w:pPr>
              <w:pStyle w:val="150"/>
            </w:pPr>
            <w:r>
              <w:rPr>
                <w:rFonts w:hint="eastAsia"/>
              </w:rPr>
              <w:t>对接地区</w:t>
            </w:r>
          </w:p>
        </w:tc>
        <w:tc>
          <w:tcPr>
            <w:tcW w:w="6060" w:type="dxa"/>
            <w:shd w:val="clear" w:color="auto" w:fill="auto"/>
          </w:tcPr>
          <w:p w14:paraId="75C24813">
            <w:pPr>
              <w:pStyle w:val="150"/>
            </w:pPr>
            <w:r>
              <w:rPr>
                <w:rFonts w:hint="eastAsia"/>
              </w:rPr>
              <w:t>设备</w:t>
            </w:r>
            <w:r>
              <w:t>部署区域</w:t>
            </w:r>
            <w:r>
              <w:rPr>
                <w:rFonts w:hint="eastAsia"/>
              </w:rPr>
              <w:t>，</w:t>
            </w:r>
            <w:r>
              <w:t>如果设备无硬盘，则对接</w:t>
            </w:r>
            <w:r>
              <w:rPr>
                <w:rFonts w:hint="eastAsia"/>
              </w:rPr>
              <w:t>地区</w:t>
            </w:r>
            <w:r>
              <w:t>显示为空</w:t>
            </w:r>
            <w:r>
              <w:rPr>
                <w:rFonts w:hint="eastAsia"/>
              </w:rPr>
              <w:t>。</w:t>
            </w:r>
          </w:p>
        </w:tc>
      </w:tr>
      <w:tr w14:paraId="295CB2C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93" w:type="dxa"/>
            <w:shd w:val="clear" w:color="auto" w:fill="auto"/>
          </w:tcPr>
          <w:p w14:paraId="65D544E6">
            <w:pPr>
              <w:pStyle w:val="150"/>
            </w:pPr>
            <w:r>
              <w:rPr>
                <w:rFonts w:hint="eastAsia"/>
              </w:rPr>
              <w:t>对接文档版本</w:t>
            </w:r>
          </w:p>
        </w:tc>
        <w:tc>
          <w:tcPr>
            <w:tcW w:w="6060" w:type="dxa"/>
            <w:shd w:val="clear" w:color="auto" w:fill="auto"/>
          </w:tcPr>
          <w:p w14:paraId="41C122B1">
            <w:pPr>
              <w:pStyle w:val="150"/>
            </w:pPr>
            <w:r>
              <w:rPr>
                <w:rFonts w:hint="eastAsia"/>
              </w:rPr>
              <w:t>用于区分同一对接网监平台的不同对接文档版本</w:t>
            </w:r>
          </w:p>
        </w:tc>
      </w:tr>
      <w:tr w14:paraId="6EDE4A6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93" w:type="dxa"/>
            <w:shd w:val="clear" w:color="auto" w:fill="auto"/>
          </w:tcPr>
          <w:p w14:paraId="6444156C">
            <w:pPr>
              <w:pStyle w:val="150"/>
            </w:pPr>
            <w:r>
              <w:rPr>
                <w:rFonts w:hint="eastAsia"/>
              </w:rPr>
              <w:t>名称</w:t>
            </w:r>
          </w:p>
        </w:tc>
        <w:tc>
          <w:tcPr>
            <w:tcW w:w="6060" w:type="dxa"/>
            <w:shd w:val="clear" w:color="auto" w:fill="auto"/>
          </w:tcPr>
          <w:p w14:paraId="22F6BDDB">
            <w:pPr>
              <w:pStyle w:val="150"/>
            </w:pPr>
            <w:r>
              <w:rPr>
                <w:rFonts w:hint="eastAsia"/>
              </w:rPr>
              <w:t>厂商名称。</w:t>
            </w:r>
          </w:p>
        </w:tc>
      </w:tr>
      <w:tr w14:paraId="53E3C6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93" w:type="dxa"/>
            <w:shd w:val="clear" w:color="auto" w:fill="auto"/>
          </w:tcPr>
          <w:p w14:paraId="60DA4FED">
            <w:pPr>
              <w:pStyle w:val="150"/>
            </w:pPr>
            <w:r>
              <w:rPr>
                <w:rFonts w:hint="eastAsia"/>
              </w:rPr>
              <w:t>组织</w:t>
            </w:r>
            <w:r>
              <w:t>机构代码</w:t>
            </w:r>
          </w:p>
        </w:tc>
        <w:tc>
          <w:tcPr>
            <w:tcW w:w="6060" w:type="dxa"/>
            <w:shd w:val="clear" w:color="auto" w:fill="auto"/>
          </w:tcPr>
          <w:p w14:paraId="32391B94">
            <w:pPr>
              <w:pStyle w:val="150"/>
            </w:pPr>
            <w:r>
              <w:t>厂商组织机构代码</w:t>
            </w:r>
            <w:r>
              <w:rPr>
                <w:rFonts w:hint="eastAsia"/>
              </w:rPr>
              <w:t>。</w:t>
            </w:r>
          </w:p>
        </w:tc>
      </w:tr>
      <w:tr w14:paraId="59F3290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93" w:type="dxa"/>
            <w:shd w:val="clear" w:color="auto" w:fill="auto"/>
          </w:tcPr>
          <w:p w14:paraId="6442C5C9">
            <w:pPr>
              <w:pStyle w:val="150"/>
            </w:pPr>
            <w:r>
              <w:rPr>
                <w:rFonts w:hint="eastAsia"/>
              </w:rPr>
              <w:t>社会信用代码</w:t>
            </w:r>
          </w:p>
        </w:tc>
        <w:tc>
          <w:tcPr>
            <w:tcW w:w="6060" w:type="dxa"/>
            <w:shd w:val="clear" w:color="auto" w:fill="auto"/>
          </w:tcPr>
          <w:p w14:paraId="70AA8D14">
            <w:pPr>
              <w:pStyle w:val="150"/>
            </w:pPr>
            <w:r>
              <w:rPr>
                <w:rFonts w:hint="eastAsia"/>
              </w:rPr>
              <w:t>终端安全厂商统一社会信用代码</w:t>
            </w:r>
          </w:p>
        </w:tc>
      </w:tr>
      <w:tr w14:paraId="0DD0F6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93" w:type="dxa"/>
            <w:shd w:val="clear" w:color="auto" w:fill="auto"/>
          </w:tcPr>
          <w:p w14:paraId="6079FFFB">
            <w:pPr>
              <w:pStyle w:val="150"/>
            </w:pPr>
            <w:r>
              <w:rPr>
                <w:rFonts w:hint="eastAsia"/>
              </w:rPr>
              <w:t>地址</w:t>
            </w:r>
          </w:p>
        </w:tc>
        <w:tc>
          <w:tcPr>
            <w:tcW w:w="6060" w:type="dxa"/>
            <w:shd w:val="clear" w:color="auto" w:fill="auto"/>
          </w:tcPr>
          <w:p w14:paraId="435E257D">
            <w:pPr>
              <w:pStyle w:val="150"/>
            </w:pPr>
            <w:r>
              <w:t>厂商地址</w:t>
            </w:r>
            <w:r>
              <w:rPr>
                <w:rFonts w:hint="eastAsia"/>
              </w:rPr>
              <w:t>。</w:t>
            </w:r>
          </w:p>
        </w:tc>
      </w:tr>
      <w:tr w14:paraId="4680AF0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93" w:type="dxa"/>
            <w:shd w:val="clear" w:color="auto" w:fill="auto"/>
          </w:tcPr>
          <w:p w14:paraId="247CB2DC">
            <w:pPr>
              <w:pStyle w:val="150"/>
            </w:pPr>
            <w:r>
              <w:rPr>
                <w:rFonts w:hint="eastAsia"/>
              </w:rPr>
              <w:t>姓名</w:t>
            </w:r>
          </w:p>
        </w:tc>
        <w:tc>
          <w:tcPr>
            <w:tcW w:w="6060" w:type="dxa"/>
            <w:shd w:val="clear" w:color="auto" w:fill="auto"/>
          </w:tcPr>
          <w:p w14:paraId="5EE65CBD">
            <w:pPr>
              <w:pStyle w:val="150"/>
            </w:pPr>
            <w:r>
              <w:rPr>
                <w:rFonts w:hint="eastAsia"/>
              </w:rPr>
              <w:t>厂商</w:t>
            </w:r>
            <w:r>
              <w:t>负责人</w:t>
            </w:r>
            <w:r>
              <w:rPr>
                <w:rFonts w:hint="eastAsia"/>
              </w:rPr>
              <w:t>。</w:t>
            </w:r>
          </w:p>
        </w:tc>
      </w:tr>
      <w:tr w14:paraId="400E83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93" w:type="dxa"/>
            <w:shd w:val="clear" w:color="auto" w:fill="auto"/>
          </w:tcPr>
          <w:p w14:paraId="51C8713E">
            <w:pPr>
              <w:pStyle w:val="150"/>
            </w:pPr>
            <w:r>
              <w:rPr>
                <w:rFonts w:hint="eastAsia"/>
              </w:rPr>
              <w:t>电话</w:t>
            </w:r>
          </w:p>
        </w:tc>
        <w:tc>
          <w:tcPr>
            <w:tcW w:w="6060" w:type="dxa"/>
            <w:shd w:val="clear" w:color="auto" w:fill="auto"/>
          </w:tcPr>
          <w:p w14:paraId="11AD4A77">
            <w:pPr>
              <w:pStyle w:val="150"/>
            </w:pPr>
            <w:r>
              <w:rPr>
                <w:rFonts w:hint="eastAsia"/>
              </w:rPr>
              <w:t>厂商联系人</w:t>
            </w:r>
            <w:r>
              <w:t>方式</w:t>
            </w:r>
            <w:r>
              <w:rPr>
                <w:rFonts w:hint="eastAsia"/>
              </w:rPr>
              <w:t>。</w:t>
            </w:r>
          </w:p>
        </w:tc>
      </w:tr>
      <w:tr w14:paraId="7C2FDB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93" w:type="dxa"/>
            <w:shd w:val="clear" w:color="auto" w:fill="auto"/>
          </w:tcPr>
          <w:p w14:paraId="07C98945">
            <w:pPr>
              <w:pStyle w:val="150"/>
            </w:pPr>
            <w:r>
              <w:rPr>
                <w:rFonts w:hint="eastAsia"/>
              </w:rPr>
              <w:t>邮件</w:t>
            </w:r>
          </w:p>
        </w:tc>
        <w:tc>
          <w:tcPr>
            <w:tcW w:w="6060" w:type="dxa"/>
            <w:shd w:val="clear" w:color="auto" w:fill="auto"/>
          </w:tcPr>
          <w:p w14:paraId="59A3CE58">
            <w:pPr>
              <w:pStyle w:val="150"/>
            </w:pPr>
            <w:r>
              <w:rPr>
                <w:rFonts w:hint="eastAsia"/>
              </w:rPr>
              <w:t>厂商</w:t>
            </w:r>
            <w:r>
              <w:t>联系人邮箱</w:t>
            </w:r>
            <w:r>
              <w:rPr>
                <w:rFonts w:hint="eastAsia"/>
              </w:rPr>
              <w:t>。</w:t>
            </w:r>
          </w:p>
        </w:tc>
      </w:tr>
      <w:tr w14:paraId="0C6716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93" w:type="dxa"/>
            <w:shd w:val="clear" w:color="auto" w:fill="auto"/>
          </w:tcPr>
          <w:p w14:paraId="52FA81C2">
            <w:pPr>
              <w:pStyle w:val="150"/>
            </w:pPr>
            <w:r>
              <w:rPr>
                <w:rFonts w:hint="eastAsia"/>
              </w:rPr>
              <w:t>对接</w:t>
            </w:r>
            <w:r>
              <w:t>协议</w:t>
            </w:r>
          </w:p>
        </w:tc>
        <w:tc>
          <w:tcPr>
            <w:tcW w:w="6060" w:type="dxa"/>
            <w:shd w:val="clear" w:color="auto" w:fill="auto"/>
          </w:tcPr>
          <w:p w14:paraId="6F50DE25">
            <w:pPr>
              <w:pStyle w:val="150"/>
            </w:pPr>
            <w:r>
              <w:rPr>
                <w:rFonts w:hint="eastAsia"/>
              </w:rPr>
              <w:t>网监</w:t>
            </w:r>
            <w:r>
              <w:t>平台提供</w:t>
            </w:r>
            <w:r>
              <w:rPr>
                <w:rFonts w:hint="eastAsia"/>
              </w:rPr>
              <w:t>厂商上报</w:t>
            </w:r>
            <w:r>
              <w:t>数据传输文件的协议</w:t>
            </w:r>
            <w:r>
              <w:rPr>
                <w:rFonts w:hint="eastAsia"/>
              </w:rPr>
              <w:t>（目前</w:t>
            </w:r>
            <w:r>
              <w:t>主要有</w:t>
            </w:r>
            <w:r>
              <w:rPr>
                <w:rFonts w:hint="eastAsia"/>
              </w:rPr>
              <w:t>FTP、SFTP、TCP/</w:t>
            </w:r>
            <w:r>
              <w:t>UDP</w:t>
            </w:r>
            <w:r>
              <w:rPr>
                <w:rFonts w:hint="eastAsia"/>
              </w:rPr>
              <w:t>方式）。</w:t>
            </w:r>
          </w:p>
        </w:tc>
      </w:tr>
      <w:tr w14:paraId="1F9221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93" w:type="dxa"/>
            <w:shd w:val="clear" w:color="auto" w:fill="auto"/>
          </w:tcPr>
          <w:p w14:paraId="69C96813">
            <w:pPr>
              <w:pStyle w:val="150"/>
            </w:pPr>
            <w:r>
              <w:rPr>
                <w:rFonts w:hint="eastAsia"/>
              </w:rPr>
              <w:t>服务器</w:t>
            </w:r>
            <w:r>
              <w:t>地址</w:t>
            </w:r>
          </w:p>
        </w:tc>
        <w:tc>
          <w:tcPr>
            <w:tcW w:w="6060" w:type="dxa"/>
            <w:shd w:val="clear" w:color="auto" w:fill="auto"/>
          </w:tcPr>
          <w:p w14:paraId="6EAA8A8C">
            <w:pPr>
              <w:pStyle w:val="150"/>
            </w:pPr>
            <w:r>
              <w:rPr>
                <w:rFonts w:hint="eastAsia"/>
              </w:rPr>
              <w:t>对接网监</w:t>
            </w:r>
            <w:r>
              <w:t>平台</w:t>
            </w:r>
            <w:r>
              <w:rPr>
                <w:rFonts w:hint="eastAsia"/>
              </w:rPr>
              <w:t>提供</w:t>
            </w:r>
            <w:r>
              <w:t>厂商上报数据的</w:t>
            </w:r>
            <w:r>
              <w:rPr>
                <w:rFonts w:hint="eastAsia"/>
              </w:rPr>
              <w:t>服务器</w:t>
            </w:r>
            <w:r>
              <w:t>地址</w:t>
            </w:r>
            <w:r>
              <w:rPr>
                <w:rFonts w:hint="eastAsia"/>
              </w:rPr>
              <w:t>。</w:t>
            </w:r>
          </w:p>
        </w:tc>
      </w:tr>
      <w:tr w14:paraId="7C7CE2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93" w:type="dxa"/>
            <w:shd w:val="clear" w:color="auto" w:fill="auto"/>
          </w:tcPr>
          <w:p w14:paraId="4418790F">
            <w:pPr>
              <w:pStyle w:val="150"/>
            </w:pPr>
            <w:r>
              <w:rPr>
                <w:rFonts w:hint="eastAsia"/>
              </w:rPr>
              <w:t>服务器</w:t>
            </w:r>
            <w:r>
              <w:t>端口</w:t>
            </w:r>
          </w:p>
        </w:tc>
        <w:tc>
          <w:tcPr>
            <w:tcW w:w="6060" w:type="dxa"/>
            <w:shd w:val="clear" w:color="auto" w:fill="auto"/>
          </w:tcPr>
          <w:p w14:paraId="79E90BF6">
            <w:pPr>
              <w:pStyle w:val="150"/>
            </w:pPr>
            <w:r>
              <w:rPr>
                <w:rFonts w:hint="eastAsia"/>
              </w:rPr>
              <w:t>对接网监</w:t>
            </w:r>
            <w:r>
              <w:t>平台</w:t>
            </w:r>
            <w:r>
              <w:rPr>
                <w:rFonts w:hint="eastAsia"/>
              </w:rPr>
              <w:t>提供</w:t>
            </w:r>
            <w:r>
              <w:t>厂商上报数据的服务器</w:t>
            </w:r>
            <w:r>
              <w:rPr>
                <w:rFonts w:hint="eastAsia"/>
              </w:rPr>
              <w:t>端口。</w:t>
            </w:r>
          </w:p>
        </w:tc>
      </w:tr>
      <w:tr w14:paraId="6B67F4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93" w:type="dxa"/>
            <w:shd w:val="clear" w:color="auto" w:fill="auto"/>
          </w:tcPr>
          <w:p w14:paraId="5E0C9470">
            <w:pPr>
              <w:pStyle w:val="150"/>
            </w:pPr>
            <w:r>
              <w:rPr>
                <w:rFonts w:hint="eastAsia"/>
              </w:rPr>
              <w:t>服务器</w:t>
            </w:r>
            <w:r>
              <w:t>用户名</w:t>
            </w:r>
          </w:p>
        </w:tc>
        <w:tc>
          <w:tcPr>
            <w:tcW w:w="6060" w:type="dxa"/>
            <w:shd w:val="clear" w:color="auto" w:fill="auto"/>
          </w:tcPr>
          <w:p w14:paraId="23A77CB5">
            <w:pPr>
              <w:pStyle w:val="150"/>
            </w:pPr>
            <w:r>
              <w:rPr>
                <w:rFonts w:hint="eastAsia"/>
              </w:rPr>
              <w:t>对接网监</w:t>
            </w:r>
            <w:r>
              <w:t>平台</w:t>
            </w:r>
            <w:r>
              <w:rPr>
                <w:rFonts w:hint="eastAsia"/>
              </w:rPr>
              <w:t>提供厂商</w:t>
            </w:r>
            <w:r>
              <w:t>上报数据的</w:t>
            </w:r>
            <w:r>
              <w:rPr>
                <w:rFonts w:hint="eastAsia"/>
              </w:rPr>
              <w:t>用户名。</w:t>
            </w:r>
          </w:p>
        </w:tc>
      </w:tr>
      <w:tr w14:paraId="7C9B390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93" w:type="dxa"/>
            <w:shd w:val="clear" w:color="auto" w:fill="auto"/>
          </w:tcPr>
          <w:p w14:paraId="0E192782">
            <w:pPr>
              <w:pStyle w:val="150"/>
            </w:pPr>
            <w:r>
              <w:rPr>
                <w:rFonts w:hint="eastAsia"/>
              </w:rPr>
              <w:t>服务器</w:t>
            </w:r>
            <w:r>
              <w:t>密码</w:t>
            </w:r>
          </w:p>
        </w:tc>
        <w:tc>
          <w:tcPr>
            <w:tcW w:w="6060" w:type="dxa"/>
            <w:shd w:val="clear" w:color="auto" w:fill="auto"/>
          </w:tcPr>
          <w:p w14:paraId="760D7054">
            <w:pPr>
              <w:pStyle w:val="150"/>
            </w:pPr>
            <w:r>
              <w:rPr>
                <w:rFonts w:hint="eastAsia"/>
              </w:rPr>
              <w:t>对接</w:t>
            </w:r>
            <w:r>
              <w:t>网监平台</w:t>
            </w:r>
            <w:r>
              <w:rPr>
                <w:rFonts w:hint="eastAsia"/>
              </w:rPr>
              <w:t>提供</w:t>
            </w:r>
            <w:r>
              <w:t>给厂商</w:t>
            </w:r>
            <w:r>
              <w:rPr>
                <w:rFonts w:hint="eastAsia"/>
              </w:rPr>
              <w:t>上报</w:t>
            </w:r>
            <w:r>
              <w:t>数据</w:t>
            </w:r>
            <w:r>
              <w:rPr>
                <w:rFonts w:hint="eastAsia"/>
              </w:rPr>
              <w:t>的</w:t>
            </w:r>
            <w:r>
              <w:t>密码</w:t>
            </w:r>
            <w:r>
              <w:rPr>
                <w:rFonts w:hint="eastAsia"/>
              </w:rPr>
              <w:t>。</w:t>
            </w:r>
          </w:p>
        </w:tc>
      </w:tr>
    </w:tbl>
    <w:p w14:paraId="69E6CA2E"/>
    <w:p w14:paraId="55E7396D">
      <w:r>
        <w:rPr>
          <w:rFonts w:hint="eastAsia"/>
        </w:rPr>
        <w:t>以对接</w:t>
      </w:r>
      <w:r>
        <w:t>厂商选择任子行为例，配置完相关参数，点击</w:t>
      </w:r>
      <w:r>
        <w:rPr>
          <w:rFonts w:hint="eastAsia"/>
        </w:rPr>
        <w:t>“提交”按钮</w:t>
      </w:r>
      <w:r>
        <w:t>，则厂商添加完成</w:t>
      </w:r>
      <w:r>
        <w:rPr>
          <w:rFonts w:hint="eastAsia"/>
        </w:rPr>
        <w:t>，</w:t>
      </w:r>
      <w:r>
        <w:t>如</w:t>
      </w:r>
      <w:r>
        <w:fldChar w:fldCharType="begin"/>
      </w:r>
      <w:r>
        <w:instrText xml:space="preserve"> REF _Ref494446202 \r \h  \* MERGEFORMAT </w:instrText>
      </w:r>
      <w:r>
        <w:fldChar w:fldCharType="separate"/>
      </w:r>
      <w:r>
        <w:rPr>
          <w:rFonts w:hint="eastAsia"/>
        </w:rPr>
        <w:t>图35-2</w:t>
      </w:r>
      <w:r>
        <w:fldChar w:fldCharType="end"/>
      </w:r>
      <w:r>
        <w:rPr>
          <w:rFonts w:hint="eastAsia"/>
        </w:rPr>
        <w:t>所示</w:t>
      </w:r>
      <w:r>
        <w:t>。</w:t>
      </w:r>
    </w:p>
    <w:p w14:paraId="2292E7F6">
      <w:pPr>
        <w:pStyle w:val="188"/>
      </w:pPr>
      <w:bookmarkStart w:id="11941" w:name="_Toc141875345"/>
      <w:bookmarkStart w:id="11942" w:name="_Ref494446202"/>
      <w:r>
        <w:rPr>
          <w:rFonts w:hint="eastAsia"/>
        </w:rPr>
        <w:t>任子行网监平台对接厂商配置页面</w:t>
      </w:r>
      <w:bookmarkEnd w:id="11941"/>
      <w:bookmarkEnd w:id="11942"/>
    </w:p>
    <w:p w14:paraId="78D98847">
      <w:r>
        <w:drawing>
          <wp:inline distT="0" distB="0" distL="0" distR="0">
            <wp:extent cx="5476875" cy="4131945"/>
            <wp:effectExtent l="0" t="0" r="0" b="1905"/>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pic:cNvPicPr>
                  </pic:nvPicPr>
                  <pic:blipFill>
                    <a:blip r:embed="rId1318"/>
                    <a:stretch>
                      <a:fillRect/>
                    </a:stretch>
                  </pic:blipFill>
                  <pic:spPr>
                    <a:xfrm>
                      <a:off x="0" y="0"/>
                      <a:ext cx="5481759" cy="4135632"/>
                    </a:xfrm>
                    <a:prstGeom prst="rect">
                      <a:avLst/>
                    </a:prstGeom>
                  </pic:spPr>
                </pic:pic>
              </a:graphicData>
            </a:graphic>
          </wp:inline>
        </w:drawing>
      </w:r>
    </w:p>
    <w:p w14:paraId="4C4E09AC"/>
    <w:p w14:paraId="68D5EB51">
      <w:pPr>
        <w:pStyle w:val="5"/>
      </w:pPr>
      <w:bookmarkStart w:id="11943" w:name="_Toc141873882"/>
      <w:bookmarkStart w:id="11944" w:name="_Toc194081277"/>
      <w:bookmarkStart w:id="11945" w:name="_Toc99562070"/>
      <w:bookmarkStart w:id="11946" w:name="_Toc494295562"/>
      <w:bookmarkStart w:id="11947" w:name="_Toc142401399"/>
      <w:bookmarkStart w:id="11948" w:name="_Toc58604481"/>
      <w:bookmarkStart w:id="11949" w:name="_Toc146618588"/>
      <w:bookmarkStart w:id="11950" w:name="_Toc196728605"/>
      <w:bookmarkStart w:id="11951" w:name="_Toc70415866"/>
      <w:bookmarkStart w:id="11952" w:name="_Toc70414929"/>
      <w:r>
        <w:t>配置场所</w:t>
      </w:r>
      <w:bookmarkEnd w:id="11943"/>
      <w:bookmarkEnd w:id="11944"/>
      <w:bookmarkEnd w:id="11945"/>
      <w:bookmarkEnd w:id="11946"/>
      <w:bookmarkEnd w:id="11947"/>
      <w:bookmarkEnd w:id="11948"/>
      <w:bookmarkEnd w:id="11949"/>
      <w:bookmarkEnd w:id="11950"/>
      <w:bookmarkEnd w:id="11951"/>
      <w:bookmarkEnd w:id="11952"/>
    </w:p>
    <w:p w14:paraId="71B1687A">
      <w:r>
        <w:rPr>
          <w:rFonts w:hint="eastAsia"/>
        </w:rPr>
        <w:t>在导航栏中选择“系统管理&gt;系统设定&gt;无线非经</w:t>
      </w:r>
      <w:r>
        <w:t>&gt;</w:t>
      </w:r>
      <w:r>
        <w:rPr>
          <w:rFonts w:hint="eastAsia"/>
        </w:rPr>
        <w:t>场所</w:t>
      </w:r>
      <w:r>
        <w:t>配置</w:t>
      </w:r>
      <w:r>
        <w:rPr>
          <w:rFonts w:hint="eastAsia"/>
        </w:rPr>
        <w:t>”，进入场所</w:t>
      </w:r>
      <w:r>
        <w:t>配置</w:t>
      </w:r>
      <w:r>
        <w:rPr>
          <w:rFonts w:hint="eastAsia"/>
        </w:rPr>
        <w:t>的显示页面，如</w:t>
      </w:r>
      <w:r>
        <w:fldChar w:fldCharType="begin"/>
      </w:r>
      <w:r>
        <w:instrText xml:space="preserve">  REF _Ref494446214 \r \h  \* MERGEFORMAT </w:instrText>
      </w:r>
      <w:r>
        <w:fldChar w:fldCharType="separate"/>
      </w:r>
      <w:r>
        <w:rPr>
          <w:rFonts w:hint="eastAsia"/>
        </w:rPr>
        <w:t>图35-3</w:t>
      </w:r>
      <w:r>
        <w:fldChar w:fldCharType="end"/>
      </w:r>
      <w:r>
        <w:rPr>
          <w:rFonts w:hint="eastAsia"/>
        </w:rPr>
        <w:t>所示；</w:t>
      </w:r>
      <w:r>
        <w:t>场所配置页面各项</w:t>
      </w:r>
      <w:r>
        <w:rPr>
          <w:rFonts w:hint="eastAsia"/>
        </w:rPr>
        <w:t>参数</w:t>
      </w:r>
      <w:r>
        <w:t>说明如</w:t>
      </w:r>
      <w:r>
        <w:fldChar w:fldCharType="begin"/>
      </w:r>
      <w:r>
        <w:instrText xml:space="preserve">  REF _Ref494446220 \r \h  \* MERGEFORMAT </w:instrText>
      </w:r>
      <w:r>
        <w:fldChar w:fldCharType="separate"/>
      </w:r>
      <w:r>
        <w:rPr>
          <w:rFonts w:hint="eastAsia"/>
        </w:rPr>
        <w:t>表35-1</w:t>
      </w:r>
      <w:r>
        <w:fldChar w:fldCharType="end"/>
      </w:r>
      <w:r>
        <w:rPr>
          <w:rFonts w:hint="eastAsia"/>
        </w:rPr>
        <w:t>所示</w:t>
      </w:r>
      <w:r>
        <w:t>。</w:t>
      </w:r>
    </w:p>
    <w:p w14:paraId="3E01F94C">
      <w:pPr>
        <w:pStyle w:val="188"/>
      </w:pPr>
      <w:bookmarkStart w:id="11953" w:name="_Ref494446214"/>
      <w:bookmarkStart w:id="11954" w:name="_Toc141875346"/>
      <w:r>
        <w:rPr>
          <w:rFonts w:hint="eastAsia"/>
        </w:rPr>
        <w:t>场所</w:t>
      </w:r>
      <w:r>
        <w:t>配置</w:t>
      </w:r>
      <w:r>
        <w:rPr>
          <w:rFonts w:hint="eastAsia"/>
        </w:rPr>
        <w:t>页面</w:t>
      </w:r>
      <w:bookmarkEnd w:id="11953"/>
      <w:bookmarkEnd w:id="11954"/>
    </w:p>
    <w:p w14:paraId="6CC59E84">
      <w:r>
        <w:drawing>
          <wp:inline distT="0" distB="0" distL="0" distR="0">
            <wp:extent cx="5648325" cy="777875"/>
            <wp:effectExtent l="0" t="0" r="0" b="3175"/>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pic:cNvPicPr>
                      <a:picLocks noChangeAspect="1"/>
                    </pic:cNvPicPr>
                  </pic:nvPicPr>
                  <pic:blipFill>
                    <a:blip r:embed="rId1319"/>
                    <a:stretch>
                      <a:fillRect/>
                    </a:stretch>
                  </pic:blipFill>
                  <pic:spPr>
                    <a:xfrm>
                      <a:off x="0" y="0"/>
                      <a:ext cx="5668155" cy="780922"/>
                    </a:xfrm>
                    <a:prstGeom prst="rect">
                      <a:avLst/>
                    </a:prstGeom>
                  </pic:spPr>
                </pic:pic>
              </a:graphicData>
            </a:graphic>
          </wp:inline>
        </w:drawing>
      </w:r>
    </w:p>
    <w:p w14:paraId="745F19D9"/>
    <w:p w14:paraId="7F6F893F">
      <w:pPr>
        <w:pStyle w:val="183"/>
      </w:pPr>
      <w:bookmarkStart w:id="11955" w:name="_Ref494446220"/>
      <w:bookmarkStart w:id="11956" w:name="_Toc141875807"/>
      <w:r>
        <w:t>场所</w:t>
      </w:r>
      <w:r>
        <w:rPr>
          <w:rFonts w:hint="eastAsia"/>
        </w:rPr>
        <w:t>配置页面的详细说明</w:t>
      </w:r>
      <w:bookmarkEnd w:id="11955"/>
      <w:bookmarkEnd w:id="11956"/>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242"/>
        <w:gridCol w:w="7728"/>
      </w:tblGrid>
      <w:tr w14:paraId="70A062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42" w:type="dxa"/>
            <w:tcBorders>
              <w:tl2br w:val="nil"/>
              <w:tr2bl w:val="nil"/>
            </w:tcBorders>
            <w:shd w:val="clear" w:color="auto" w:fill="538135" w:themeFill="accent6" w:themeFillShade="BF"/>
            <w:vAlign w:val="center"/>
          </w:tcPr>
          <w:p w14:paraId="74F139FB">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728" w:type="dxa"/>
            <w:tcBorders>
              <w:tl2br w:val="nil"/>
              <w:tr2bl w:val="nil"/>
            </w:tcBorders>
            <w:shd w:val="clear" w:color="auto" w:fill="538135" w:themeFill="accent6" w:themeFillShade="BF"/>
            <w:vAlign w:val="center"/>
          </w:tcPr>
          <w:p w14:paraId="654A5B60">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1DBE6AC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42" w:type="dxa"/>
            <w:shd w:val="clear" w:color="auto" w:fill="auto"/>
          </w:tcPr>
          <w:p w14:paraId="53E3D65B">
            <w:pPr>
              <w:pStyle w:val="150"/>
            </w:pPr>
            <w:r>
              <w:rPr>
                <w:rFonts w:hint="eastAsia"/>
              </w:rPr>
              <w:t>添加场所</w:t>
            </w:r>
          </w:p>
        </w:tc>
        <w:tc>
          <w:tcPr>
            <w:tcW w:w="7728" w:type="dxa"/>
            <w:shd w:val="clear" w:color="auto" w:fill="auto"/>
          </w:tcPr>
          <w:p w14:paraId="66A331E7">
            <w:pPr>
              <w:pStyle w:val="150"/>
            </w:pPr>
            <w:r>
              <w:rPr>
                <w:rFonts w:hint="eastAsia"/>
              </w:rPr>
              <w:t>点击</w:t>
            </w:r>
            <w:r>
              <w:t>该按钮进行场所添加</w:t>
            </w:r>
            <w:r>
              <w:rPr>
                <w:rFonts w:hint="eastAsia"/>
              </w:rPr>
              <w:t>。</w:t>
            </w:r>
          </w:p>
        </w:tc>
      </w:tr>
      <w:tr w14:paraId="5CA4FA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42" w:type="dxa"/>
            <w:shd w:val="clear" w:color="auto" w:fill="auto"/>
          </w:tcPr>
          <w:p w14:paraId="2D11F695">
            <w:pPr>
              <w:pStyle w:val="150"/>
            </w:pPr>
            <w:r>
              <w:rPr>
                <w:rFonts w:hint="eastAsia"/>
              </w:rPr>
              <w:t>添加AP</w:t>
            </w:r>
          </w:p>
        </w:tc>
        <w:tc>
          <w:tcPr>
            <w:tcW w:w="7728" w:type="dxa"/>
            <w:shd w:val="clear" w:color="auto" w:fill="auto"/>
          </w:tcPr>
          <w:p w14:paraId="252D79C3">
            <w:pPr>
              <w:pStyle w:val="150"/>
            </w:pPr>
            <w:r>
              <w:rPr>
                <w:rFonts w:hint="eastAsia"/>
              </w:rPr>
              <w:t>点击</w:t>
            </w:r>
            <w:r>
              <w:t>该按钮进行</w:t>
            </w:r>
            <w:r>
              <w:rPr>
                <w:rFonts w:hint="eastAsia"/>
              </w:rPr>
              <w:t>AP添加</w:t>
            </w:r>
            <w:r>
              <w:t>，但</w:t>
            </w:r>
            <w:r>
              <w:rPr>
                <w:rFonts w:hint="eastAsia"/>
              </w:rPr>
              <w:t>AP添加</w:t>
            </w:r>
            <w:r>
              <w:t>必须要</w:t>
            </w:r>
            <w:r>
              <w:rPr>
                <w:rFonts w:hint="eastAsia"/>
              </w:rPr>
              <w:t>先</w:t>
            </w:r>
            <w:r>
              <w:t>选</w:t>
            </w:r>
            <w:r>
              <w:rPr>
                <w:rFonts w:hint="eastAsia"/>
              </w:rPr>
              <w:t>中</w:t>
            </w:r>
            <w:r>
              <w:t>一个场所，才能添加对应的</w:t>
            </w:r>
            <w:r>
              <w:rPr>
                <w:rFonts w:hint="eastAsia"/>
              </w:rPr>
              <w:t>AP。</w:t>
            </w:r>
          </w:p>
        </w:tc>
      </w:tr>
      <w:tr w14:paraId="3E27ED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42" w:type="dxa"/>
            <w:shd w:val="clear" w:color="auto" w:fill="auto"/>
          </w:tcPr>
          <w:p w14:paraId="401F0729">
            <w:pPr>
              <w:pStyle w:val="150"/>
            </w:pPr>
            <w:r>
              <w:rPr>
                <w:rFonts w:hint="eastAsia"/>
              </w:rPr>
              <w:t>删除</w:t>
            </w:r>
          </w:p>
        </w:tc>
        <w:tc>
          <w:tcPr>
            <w:tcW w:w="7728" w:type="dxa"/>
            <w:shd w:val="clear" w:color="auto" w:fill="auto"/>
          </w:tcPr>
          <w:p w14:paraId="0162962D">
            <w:pPr>
              <w:pStyle w:val="150"/>
            </w:pPr>
            <w:r>
              <w:rPr>
                <w:rFonts w:hint="eastAsia"/>
              </w:rPr>
              <w:t>选项</w:t>
            </w:r>
            <w:r>
              <w:t>需要删除的场所或</w:t>
            </w:r>
            <w:r>
              <w:rPr>
                <w:rFonts w:hint="eastAsia"/>
              </w:rPr>
              <w:t>AP进行</w:t>
            </w:r>
            <w:r>
              <w:t>删除</w:t>
            </w:r>
            <w:r>
              <w:rPr>
                <w:rFonts w:hint="eastAsia"/>
              </w:rPr>
              <w:t>，</w:t>
            </w:r>
            <w:r>
              <w:t>如果场所下有</w:t>
            </w:r>
            <w:r>
              <w:rPr>
                <w:rFonts w:hint="eastAsia"/>
              </w:rPr>
              <w:t>AP，</w:t>
            </w:r>
            <w:r>
              <w:t>不能直接删除场所，需要优先删除</w:t>
            </w:r>
            <w:r>
              <w:rPr>
                <w:rFonts w:hint="eastAsia"/>
              </w:rPr>
              <w:t>AP。</w:t>
            </w:r>
          </w:p>
        </w:tc>
      </w:tr>
      <w:tr w14:paraId="6AB4D8A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42" w:type="dxa"/>
            <w:shd w:val="clear" w:color="auto" w:fill="auto"/>
          </w:tcPr>
          <w:p w14:paraId="1CCF2756">
            <w:pPr>
              <w:pStyle w:val="150"/>
            </w:pPr>
            <w:r>
              <w:rPr>
                <w:rFonts w:hint="eastAsia"/>
              </w:rPr>
              <w:t>导入</w:t>
            </w:r>
          </w:p>
        </w:tc>
        <w:tc>
          <w:tcPr>
            <w:tcW w:w="7728" w:type="dxa"/>
            <w:shd w:val="clear" w:color="auto" w:fill="auto"/>
          </w:tcPr>
          <w:p w14:paraId="5224D965">
            <w:pPr>
              <w:pStyle w:val="150"/>
            </w:pPr>
            <w:r>
              <w:rPr>
                <w:rFonts w:hint="eastAsia"/>
              </w:rPr>
              <w:t>可以</w:t>
            </w:r>
            <w:r>
              <w:t>分别对场所</w:t>
            </w:r>
            <w:r>
              <w:rPr>
                <w:rFonts w:hint="eastAsia"/>
              </w:rPr>
              <w:t>、AP进行</w:t>
            </w:r>
            <w:r>
              <w:t>单独的导入</w:t>
            </w:r>
            <w:r>
              <w:rPr>
                <w:rFonts w:hint="eastAsia"/>
              </w:rPr>
              <w:t>，</w:t>
            </w:r>
            <w:r>
              <w:t>场所、</w:t>
            </w:r>
            <w:r>
              <w:rPr>
                <w:rFonts w:hint="eastAsia"/>
              </w:rPr>
              <w:t>AP数据支持以</w:t>
            </w:r>
            <w:r>
              <w:t>csv格式导入</w:t>
            </w:r>
            <w:r>
              <w:rPr>
                <w:rFonts w:hint="eastAsia"/>
              </w:rPr>
              <w:t>。</w:t>
            </w:r>
          </w:p>
        </w:tc>
      </w:tr>
      <w:tr w14:paraId="7BD156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42" w:type="dxa"/>
            <w:shd w:val="clear" w:color="auto" w:fill="auto"/>
          </w:tcPr>
          <w:p w14:paraId="36E833CB">
            <w:pPr>
              <w:pStyle w:val="150"/>
            </w:pPr>
            <w:r>
              <w:rPr>
                <w:rFonts w:hint="eastAsia"/>
              </w:rPr>
              <w:t>导出</w:t>
            </w:r>
          </w:p>
        </w:tc>
        <w:tc>
          <w:tcPr>
            <w:tcW w:w="7728" w:type="dxa"/>
            <w:shd w:val="clear" w:color="auto" w:fill="auto"/>
          </w:tcPr>
          <w:p w14:paraId="0517C446">
            <w:pPr>
              <w:pStyle w:val="150"/>
            </w:pPr>
            <w:r>
              <w:rPr>
                <w:rFonts w:hint="eastAsia"/>
              </w:rPr>
              <w:t>可以</w:t>
            </w:r>
            <w:r>
              <w:t>分别对场所、</w:t>
            </w:r>
            <w:r>
              <w:rPr>
                <w:rFonts w:hint="eastAsia"/>
              </w:rPr>
              <w:t>AP进行</w:t>
            </w:r>
            <w:r>
              <w:t>单独的导出</w:t>
            </w:r>
            <w:r>
              <w:rPr>
                <w:rFonts w:hint="eastAsia"/>
              </w:rPr>
              <w:t>，场所</w:t>
            </w:r>
            <w:r>
              <w:t>、</w:t>
            </w:r>
            <w:r>
              <w:rPr>
                <w:rFonts w:hint="eastAsia"/>
              </w:rPr>
              <w:t>AP数据</w:t>
            </w:r>
            <w:r>
              <w:t>支持以csv格式导出</w:t>
            </w:r>
            <w:r>
              <w:rPr>
                <w:rFonts w:hint="eastAsia"/>
              </w:rPr>
              <w:t>。</w:t>
            </w:r>
          </w:p>
        </w:tc>
      </w:tr>
      <w:tr w14:paraId="6A1B0C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42" w:type="dxa"/>
            <w:shd w:val="clear" w:color="auto" w:fill="auto"/>
          </w:tcPr>
          <w:p w14:paraId="28F102C9">
            <w:pPr>
              <w:pStyle w:val="150"/>
            </w:pPr>
            <w:r>
              <w:rPr>
                <w:rFonts w:hint="eastAsia"/>
              </w:rPr>
              <w:t>场所编码</w:t>
            </w:r>
          </w:p>
        </w:tc>
        <w:tc>
          <w:tcPr>
            <w:tcW w:w="7728" w:type="dxa"/>
            <w:shd w:val="clear" w:color="auto" w:fill="auto"/>
          </w:tcPr>
          <w:p w14:paraId="4104A42C">
            <w:pPr>
              <w:pStyle w:val="150"/>
            </w:pPr>
            <w:r>
              <w:rPr>
                <w:rFonts w:hint="eastAsia"/>
              </w:rPr>
              <w:t>上网服务场所包括经营性上网服务场所和非经营性上网服务场所，编码由14位阿拉伯数字组成，</w:t>
            </w:r>
            <w:r>
              <w:t>编码规则需要根据网监平台提供的对接文档要求进行显示</w:t>
            </w:r>
            <w:r>
              <w:rPr>
                <w:rFonts w:hint="eastAsia"/>
              </w:rPr>
              <w:t>。</w:t>
            </w:r>
          </w:p>
        </w:tc>
      </w:tr>
      <w:tr w14:paraId="6F7BF3F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42" w:type="dxa"/>
            <w:shd w:val="clear" w:color="auto" w:fill="auto"/>
          </w:tcPr>
          <w:p w14:paraId="2ACC550A">
            <w:pPr>
              <w:pStyle w:val="150"/>
            </w:pPr>
            <w:r>
              <w:rPr>
                <w:rFonts w:hint="eastAsia"/>
              </w:rPr>
              <w:t>场所名称</w:t>
            </w:r>
          </w:p>
        </w:tc>
        <w:tc>
          <w:tcPr>
            <w:tcW w:w="7728" w:type="dxa"/>
            <w:shd w:val="clear" w:color="auto" w:fill="auto"/>
          </w:tcPr>
          <w:p w14:paraId="7BE73227">
            <w:pPr>
              <w:pStyle w:val="150"/>
            </w:pPr>
            <w:r>
              <w:rPr>
                <w:rFonts w:hint="eastAsia"/>
              </w:rPr>
              <w:t>上网服务场所</w:t>
            </w:r>
            <w:r>
              <w:t>名称</w:t>
            </w:r>
            <w:r>
              <w:rPr>
                <w:rFonts w:hint="eastAsia"/>
              </w:rPr>
              <w:t>。</w:t>
            </w:r>
          </w:p>
        </w:tc>
      </w:tr>
      <w:tr w14:paraId="42CDA2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42" w:type="dxa"/>
            <w:shd w:val="clear" w:color="auto" w:fill="auto"/>
          </w:tcPr>
          <w:p w14:paraId="014BE118">
            <w:pPr>
              <w:pStyle w:val="150"/>
            </w:pPr>
            <w:r>
              <w:rPr>
                <w:rFonts w:hint="eastAsia"/>
              </w:rPr>
              <w:t>场所地址</w:t>
            </w:r>
          </w:p>
        </w:tc>
        <w:tc>
          <w:tcPr>
            <w:tcW w:w="7728" w:type="dxa"/>
            <w:shd w:val="clear" w:color="auto" w:fill="auto"/>
          </w:tcPr>
          <w:p w14:paraId="57070167">
            <w:pPr>
              <w:pStyle w:val="150"/>
            </w:pPr>
            <w:r>
              <w:rPr>
                <w:rFonts w:hint="eastAsia"/>
              </w:rPr>
              <w:t>上网服务场所详细地址。</w:t>
            </w:r>
          </w:p>
        </w:tc>
      </w:tr>
      <w:tr w14:paraId="27C3B96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42" w:type="dxa"/>
            <w:shd w:val="clear" w:color="auto" w:fill="auto"/>
          </w:tcPr>
          <w:p w14:paraId="65D7B5F7">
            <w:pPr>
              <w:pStyle w:val="150"/>
            </w:pPr>
            <w:r>
              <w:rPr>
                <w:rFonts w:hint="eastAsia"/>
              </w:rPr>
              <w:t>场所服务类型</w:t>
            </w:r>
          </w:p>
        </w:tc>
        <w:tc>
          <w:tcPr>
            <w:tcW w:w="7728" w:type="dxa"/>
            <w:shd w:val="clear" w:color="auto" w:fill="auto"/>
          </w:tcPr>
          <w:p w14:paraId="1F6CB0B4">
            <w:pPr>
              <w:pStyle w:val="150"/>
            </w:pPr>
            <w:r>
              <w:rPr>
                <w:rFonts w:hint="eastAsia"/>
              </w:rPr>
              <w:t>上网服务类场所类型（如旅店</w:t>
            </w:r>
            <w:r>
              <w:t>宾馆</w:t>
            </w:r>
            <w:r>
              <w:rPr>
                <w:rFonts w:hint="eastAsia"/>
              </w:rPr>
              <w:t>类、公共</w:t>
            </w:r>
            <w:r>
              <w:t>服务场所等，根据网监平台提供的对接文档</w:t>
            </w:r>
            <w:r>
              <w:rPr>
                <w:rFonts w:hint="eastAsia"/>
              </w:rPr>
              <w:t>可以</w:t>
            </w:r>
            <w:r>
              <w:t>查询详细的场所服务类型</w:t>
            </w:r>
            <w:r>
              <w:rPr>
                <w:rFonts w:hint="eastAsia"/>
              </w:rPr>
              <w:t>）。</w:t>
            </w:r>
          </w:p>
        </w:tc>
      </w:tr>
      <w:tr w14:paraId="0B1A19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42" w:type="dxa"/>
            <w:shd w:val="clear" w:color="auto" w:fill="auto"/>
          </w:tcPr>
          <w:p w14:paraId="1AACF10D">
            <w:pPr>
              <w:pStyle w:val="150"/>
            </w:pPr>
            <w:r>
              <w:rPr>
                <w:rFonts w:hint="eastAsia"/>
              </w:rPr>
              <w:t>场所经营性质</w:t>
            </w:r>
          </w:p>
        </w:tc>
        <w:tc>
          <w:tcPr>
            <w:tcW w:w="7728" w:type="dxa"/>
            <w:shd w:val="clear" w:color="auto" w:fill="auto"/>
          </w:tcPr>
          <w:p w14:paraId="77A83585">
            <w:pPr>
              <w:pStyle w:val="150"/>
            </w:pPr>
            <w:r>
              <w:rPr>
                <w:rFonts w:hint="eastAsia"/>
              </w:rPr>
              <w:t>场所</w:t>
            </w:r>
            <w:r>
              <w:t>经营</w:t>
            </w:r>
            <w:r>
              <w:rPr>
                <w:rFonts w:hint="eastAsia"/>
              </w:rPr>
              <w:t>性质主要</w:t>
            </w:r>
            <w:r>
              <w:t>有经营、非经营、其它等，不同网监平台对接的场所经营性质代码不一样，需要参考对接文档</w:t>
            </w:r>
            <w:r>
              <w:rPr>
                <w:rFonts w:hint="eastAsia"/>
              </w:rPr>
              <w:t>。</w:t>
            </w:r>
          </w:p>
        </w:tc>
      </w:tr>
      <w:tr w14:paraId="00E01E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242" w:type="dxa"/>
            <w:shd w:val="clear" w:color="auto" w:fill="auto"/>
          </w:tcPr>
          <w:p w14:paraId="0345399B">
            <w:pPr>
              <w:pStyle w:val="150"/>
            </w:pPr>
            <w:r>
              <w:rPr>
                <w:rFonts w:hint="eastAsia"/>
              </w:rPr>
              <w:t>操作</w:t>
            </w:r>
          </w:p>
        </w:tc>
        <w:tc>
          <w:tcPr>
            <w:tcW w:w="7728" w:type="dxa"/>
            <w:shd w:val="clear" w:color="auto" w:fill="auto"/>
          </w:tcPr>
          <w:p w14:paraId="11BFA9C1">
            <w:pPr>
              <w:pStyle w:val="150"/>
            </w:pPr>
            <w:r>
              <w:rPr>
                <w:rFonts w:hint="eastAsia"/>
              </w:rPr>
              <w:t>对已配置的场所可进行编辑、删除操作。</w:t>
            </w:r>
          </w:p>
        </w:tc>
      </w:tr>
    </w:tbl>
    <w:p w14:paraId="31055087"/>
    <w:p w14:paraId="33EF0CAF">
      <w:r>
        <w:rPr>
          <w:rFonts w:hint="eastAsia"/>
        </w:rPr>
        <w:t>单击“</w:t>
      </w:r>
      <w:r>
        <w:t>‌</w:t>
      </w:r>
      <w:r>
        <w:rPr>
          <w:rFonts w:hint="eastAsia"/>
        </w:rPr>
        <w:t>添加</w:t>
      </w:r>
      <w:r>
        <w:t>场所</w:t>
      </w:r>
      <w:r>
        <w:rPr>
          <w:rFonts w:hint="eastAsia"/>
        </w:rPr>
        <w:t>”按钮，进入添加</w:t>
      </w:r>
      <w:r>
        <w:t>场所</w:t>
      </w:r>
      <w:r>
        <w:rPr>
          <w:rFonts w:hint="eastAsia"/>
        </w:rPr>
        <w:t>页面，如</w:t>
      </w:r>
      <w:r>
        <w:fldChar w:fldCharType="begin"/>
      </w:r>
      <w:r>
        <w:instrText xml:space="preserve">  REF _Ref494446239 \r \h  \* MERGEFORMAT </w:instrText>
      </w:r>
      <w:r>
        <w:fldChar w:fldCharType="separate"/>
      </w:r>
      <w:r>
        <w:rPr>
          <w:rFonts w:hint="eastAsia"/>
        </w:rPr>
        <w:t>图35-4</w:t>
      </w:r>
      <w:r>
        <w:fldChar w:fldCharType="end"/>
      </w:r>
      <w:r>
        <w:rPr>
          <w:rFonts w:hint="eastAsia"/>
        </w:rPr>
        <w:t>所示。</w:t>
      </w:r>
    </w:p>
    <w:p w14:paraId="74C6590B">
      <w:pPr>
        <w:pStyle w:val="188"/>
      </w:pPr>
      <w:bookmarkStart w:id="11957" w:name="_Ref494446239"/>
      <w:bookmarkStart w:id="11958" w:name="_Toc141875347"/>
      <w:r>
        <w:rPr>
          <w:rFonts w:hint="eastAsia"/>
        </w:rPr>
        <w:t>添加</w:t>
      </w:r>
      <w:r>
        <w:t>场所</w:t>
      </w:r>
      <w:r>
        <w:rPr>
          <w:rFonts w:hint="eastAsia"/>
        </w:rPr>
        <w:t>页面</w:t>
      </w:r>
      <w:bookmarkEnd w:id="11957"/>
      <w:bookmarkEnd w:id="11958"/>
    </w:p>
    <w:p w14:paraId="7852FDC8">
      <w:pPr>
        <w:pStyle w:val="175"/>
      </w:pPr>
      <w:r>
        <w:rPr>
          <w:rFonts w:eastAsia="Times New Roman"/>
          <w:snapToGrid w:val="0"/>
          <w:color w:val="000000"/>
          <w:w w:val="0"/>
          <w:sz w:val="0"/>
          <w:szCs w:val="0"/>
          <w:u w:color="000000"/>
          <w:shd w:val="clear" w:color="000000" w:fill="000000"/>
          <w:lang w:val="zh-CN" w:eastAsia="zh-CN" w:bidi="zh-CN"/>
        </w:rPr>
        <w:t xml:space="preserve"> </w:t>
      </w:r>
      <w:r>
        <w:drawing>
          <wp:inline distT="0" distB="0" distL="0" distR="0">
            <wp:extent cx="5581650" cy="3413760"/>
            <wp:effectExtent l="0" t="0" r="0" b="0"/>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pic:cNvPicPr>
                      <a:picLocks noChangeAspect="1"/>
                    </pic:cNvPicPr>
                  </pic:nvPicPr>
                  <pic:blipFill>
                    <a:blip r:embed="rId1320"/>
                    <a:stretch>
                      <a:fillRect/>
                    </a:stretch>
                  </pic:blipFill>
                  <pic:spPr>
                    <a:xfrm>
                      <a:off x="0" y="0"/>
                      <a:ext cx="5588334" cy="3418282"/>
                    </a:xfrm>
                    <a:prstGeom prst="rect">
                      <a:avLst/>
                    </a:prstGeom>
                  </pic:spPr>
                </pic:pic>
              </a:graphicData>
            </a:graphic>
          </wp:inline>
        </w:drawing>
      </w:r>
    </w:p>
    <w:p w14:paraId="22DED0C7">
      <w:r>
        <w:drawing>
          <wp:inline distT="0" distB="0" distL="0" distR="0">
            <wp:extent cx="5581650" cy="2863215"/>
            <wp:effectExtent l="0" t="0" r="0" b="0"/>
            <wp:docPr id="1296485351" name="图片 1296485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51" name="图片 1296485351"/>
                    <pic:cNvPicPr>
                      <a:picLocks noChangeAspect="1"/>
                    </pic:cNvPicPr>
                  </pic:nvPicPr>
                  <pic:blipFill>
                    <a:blip r:embed="rId1321"/>
                    <a:stretch>
                      <a:fillRect/>
                    </a:stretch>
                  </pic:blipFill>
                  <pic:spPr>
                    <a:xfrm>
                      <a:off x="0" y="0"/>
                      <a:ext cx="5586428" cy="2865949"/>
                    </a:xfrm>
                    <a:prstGeom prst="rect">
                      <a:avLst/>
                    </a:prstGeom>
                  </pic:spPr>
                </pic:pic>
              </a:graphicData>
            </a:graphic>
          </wp:inline>
        </w:drawing>
      </w:r>
    </w:p>
    <w:p w14:paraId="58FC2427"/>
    <w:p w14:paraId="5C03DF68">
      <w:r>
        <w:rPr>
          <w:rFonts w:hint="eastAsia"/>
        </w:rPr>
        <w:t>添加场所页面的详细说明如</w:t>
      </w:r>
      <w:r>
        <w:fldChar w:fldCharType="begin"/>
      </w:r>
      <w:r>
        <w:instrText xml:space="preserve">  REF _Ref494446248 \r \h  \* MERGEFORMAT </w:instrText>
      </w:r>
      <w:r>
        <w:fldChar w:fldCharType="separate"/>
      </w:r>
      <w:r>
        <w:rPr>
          <w:rFonts w:hint="eastAsia"/>
        </w:rPr>
        <w:t>表35-1</w:t>
      </w:r>
      <w:r>
        <w:fldChar w:fldCharType="end"/>
      </w:r>
      <w:r>
        <w:rPr>
          <w:rFonts w:hint="eastAsia"/>
        </w:rPr>
        <w:t>所示。</w:t>
      </w:r>
    </w:p>
    <w:p w14:paraId="1B9E808F">
      <w:pPr>
        <w:pStyle w:val="183"/>
      </w:pPr>
      <w:bookmarkStart w:id="11959" w:name="_Toc141875808"/>
      <w:bookmarkStart w:id="11960" w:name="_Ref494446248"/>
      <w:r>
        <w:rPr>
          <w:rFonts w:hint="eastAsia"/>
        </w:rPr>
        <w:t>添加</w:t>
      </w:r>
      <w:r>
        <w:t>场所</w:t>
      </w:r>
      <w:r>
        <w:rPr>
          <w:rFonts w:hint="eastAsia"/>
        </w:rPr>
        <w:t>配置的详细说明</w:t>
      </w:r>
      <w:bookmarkEnd w:id="11959"/>
      <w:bookmarkEnd w:id="11960"/>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147"/>
        <w:gridCol w:w="6823"/>
      </w:tblGrid>
      <w:tr w14:paraId="7C50F6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47" w:type="dxa"/>
            <w:tcBorders>
              <w:tl2br w:val="nil"/>
              <w:tr2bl w:val="nil"/>
            </w:tcBorders>
            <w:shd w:val="clear" w:color="auto" w:fill="538135" w:themeFill="accent6" w:themeFillShade="BF"/>
            <w:vAlign w:val="center"/>
          </w:tcPr>
          <w:p w14:paraId="2AB6B761">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823" w:type="dxa"/>
            <w:tcBorders>
              <w:tl2br w:val="nil"/>
              <w:tr2bl w:val="nil"/>
            </w:tcBorders>
            <w:shd w:val="clear" w:color="auto" w:fill="538135" w:themeFill="accent6" w:themeFillShade="BF"/>
            <w:vAlign w:val="center"/>
          </w:tcPr>
          <w:p w14:paraId="3EA5DE61">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91EE6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47" w:type="dxa"/>
            <w:shd w:val="clear" w:color="auto" w:fill="auto"/>
          </w:tcPr>
          <w:p w14:paraId="490A5624">
            <w:pPr>
              <w:pStyle w:val="150"/>
            </w:pPr>
            <w:r>
              <w:rPr>
                <w:rFonts w:hint="eastAsia"/>
              </w:rPr>
              <w:t>场所名称</w:t>
            </w:r>
          </w:p>
        </w:tc>
        <w:tc>
          <w:tcPr>
            <w:tcW w:w="6823" w:type="dxa"/>
            <w:shd w:val="clear" w:color="auto" w:fill="auto"/>
          </w:tcPr>
          <w:p w14:paraId="2C9772E1">
            <w:pPr>
              <w:pStyle w:val="150"/>
            </w:pPr>
            <w:r>
              <w:rPr>
                <w:rFonts w:hint="eastAsia"/>
              </w:rPr>
              <w:t>上网</w:t>
            </w:r>
            <w:r>
              <w:t>服务</w:t>
            </w:r>
            <w:r>
              <w:rPr>
                <w:rFonts w:hint="eastAsia"/>
              </w:rPr>
              <w:t>场所</w:t>
            </w:r>
            <w:r>
              <w:t>名称</w:t>
            </w:r>
            <w:r>
              <w:rPr>
                <w:rFonts w:hint="eastAsia"/>
              </w:rPr>
              <w:t>。</w:t>
            </w:r>
          </w:p>
        </w:tc>
      </w:tr>
      <w:tr w14:paraId="1DF31C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47" w:type="dxa"/>
            <w:shd w:val="clear" w:color="auto" w:fill="auto"/>
          </w:tcPr>
          <w:p w14:paraId="4178B309">
            <w:pPr>
              <w:pStyle w:val="150"/>
            </w:pPr>
            <w:r>
              <w:rPr>
                <w:rFonts w:hint="eastAsia"/>
              </w:rPr>
              <w:t>所属地区</w:t>
            </w:r>
          </w:p>
        </w:tc>
        <w:tc>
          <w:tcPr>
            <w:tcW w:w="6823" w:type="dxa"/>
            <w:shd w:val="clear" w:color="auto" w:fill="auto"/>
          </w:tcPr>
          <w:p w14:paraId="4E794905">
            <w:pPr>
              <w:pStyle w:val="150"/>
            </w:pPr>
            <w:r>
              <w:rPr>
                <w:rFonts w:hint="eastAsia"/>
              </w:rPr>
              <w:t>上网服务场所地址区域。</w:t>
            </w:r>
          </w:p>
        </w:tc>
      </w:tr>
      <w:tr w14:paraId="10356DF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47" w:type="dxa"/>
            <w:shd w:val="clear" w:color="auto" w:fill="auto"/>
          </w:tcPr>
          <w:p w14:paraId="128A291A">
            <w:pPr>
              <w:pStyle w:val="150"/>
            </w:pPr>
            <w:r>
              <w:rPr>
                <w:rFonts w:hint="eastAsia"/>
              </w:rPr>
              <w:t>详细地址</w:t>
            </w:r>
          </w:p>
        </w:tc>
        <w:tc>
          <w:tcPr>
            <w:tcW w:w="6823" w:type="dxa"/>
            <w:shd w:val="clear" w:color="auto" w:fill="auto"/>
          </w:tcPr>
          <w:p w14:paraId="5957967F">
            <w:pPr>
              <w:pStyle w:val="150"/>
            </w:pPr>
            <w:r>
              <w:rPr>
                <w:rFonts w:hint="eastAsia"/>
              </w:rPr>
              <w:t>上网服务场所详细地址。</w:t>
            </w:r>
          </w:p>
        </w:tc>
      </w:tr>
      <w:tr w14:paraId="160001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47" w:type="dxa"/>
            <w:shd w:val="clear" w:color="auto" w:fill="auto"/>
          </w:tcPr>
          <w:p w14:paraId="6CC9534E">
            <w:pPr>
              <w:pStyle w:val="150"/>
            </w:pPr>
            <w:r>
              <w:rPr>
                <w:rFonts w:hint="eastAsia"/>
              </w:rPr>
              <w:t>邮编</w:t>
            </w:r>
          </w:p>
        </w:tc>
        <w:tc>
          <w:tcPr>
            <w:tcW w:w="6823" w:type="dxa"/>
            <w:shd w:val="clear" w:color="auto" w:fill="auto"/>
          </w:tcPr>
          <w:p w14:paraId="028DD3B9">
            <w:pPr>
              <w:pStyle w:val="150"/>
            </w:pPr>
            <w:r>
              <w:rPr>
                <w:rFonts w:hint="eastAsia"/>
              </w:rPr>
              <w:t>上网服务场所邮政编码。</w:t>
            </w:r>
          </w:p>
        </w:tc>
      </w:tr>
      <w:tr w14:paraId="1F815CD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20" w:hRule="atLeast"/>
        </w:trPr>
        <w:tc>
          <w:tcPr>
            <w:tcW w:w="2147" w:type="dxa"/>
            <w:shd w:val="clear" w:color="auto" w:fill="auto"/>
          </w:tcPr>
          <w:p w14:paraId="194291CE">
            <w:pPr>
              <w:pStyle w:val="150"/>
            </w:pPr>
            <w:r>
              <w:rPr>
                <w:rFonts w:hint="eastAsia"/>
              </w:rPr>
              <w:t>出口IP</w:t>
            </w:r>
          </w:p>
        </w:tc>
        <w:tc>
          <w:tcPr>
            <w:tcW w:w="6823" w:type="dxa"/>
            <w:shd w:val="clear" w:color="auto" w:fill="auto"/>
          </w:tcPr>
          <w:p w14:paraId="29E05DF6">
            <w:pPr>
              <w:pStyle w:val="150"/>
            </w:pPr>
            <w:r>
              <w:rPr>
                <w:rFonts w:hint="eastAsia"/>
              </w:rPr>
              <w:t>上网服务</w:t>
            </w:r>
            <w:r>
              <w:t>场所设备出口</w:t>
            </w:r>
            <w:r>
              <w:rPr>
                <w:rFonts w:hint="eastAsia"/>
              </w:rPr>
              <w:t>IP地址。</w:t>
            </w:r>
          </w:p>
        </w:tc>
      </w:tr>
      <w:tr w14:paraId="32D944E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47" w:type="dxa"/>
            <w:shd w:val="clear" w:color="auto" w:fill="auto"/>
          </w:tcPr>
          <w:p w14:paraId="40D37FF8">
            <w:pPr>
              <w:pStyle w:val="150"/>
            </w:pPr>
            <w:r>
              <w:rPr>
                <w:rFonts w:hint="eastAsia"/>
              </w:rPr>
              <w:t>采集类型</w:t>
            </w:r>
          </w:p>
        </w:tc>
        <w:tc>
          <w:tcPr>
            <w:tcW w:w="6823" w:type="dxa"/>
            <w:shd w:val="clear" w:color="auto" w:fill="auto"/>
          </w:tcPr>
          <w:p w14:paraId="0CE11B19">
            <w:pPr>
              <w:pStyle w:val="150"/>
            </w:pPr>
            <w:r>
              <w:rPr>
                <w:rFonts w:hint="eastAsia"/>
              </w:rPr>
              <w:t>场所</w:t>
            </w:r>
            <w:r>
              <w:t>数据采集类型（</w:t>
            </w:r>
            <w:r>
              <w:rPr>
                <w:rFonts w:hint="eastAsia"/>
              </w:rPr>
              <w:t>围栏</w:t>
            </w:r>
            <w:r>
              <w:t>、wifi、车载、其它）</w:t>
            </w:r>
            <w:r>
              <w:rPr>
                <w:rFonts w:hint="eastAsia"/>
              </w:rPr>
              <w:t>。</w:t>
            </w:r>
          </w:p>
        </w:tc>
      </w:tr>
      <w:tr w14:paraId="60EA54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47" w:type="dxa"/>
            <w:shd w:val="clear" w:color="auto" w:fill="auto"/>
          </w:tcPr>
          <w:p w14:paraId="543636CD">
            <w:pPr>
              <w:pStyle w:val="150"/>
            </w:pPr>
            <w:r>
              <w:rPr>
                <w:rFonts w:hint="eastAsia"/>
              </w:rPr>
              <w:t>场所经营性质</w:t>
            </w:r>
          </w:p>
        </w:tc>
        <w:tc>
          <w:tcPr>
            <w:tcW w:w="6823" w:type="dxa"/>
            <w:shd w:val="clear" w:color="auto" w:fill="auto"/>
          </w:tcPr>
          <w:p w14:paraId="3EE1363B">
            <w:pPr>
              <w:pStyle w:val="150"/>
            </w:pPr>
            <w:r>
              <w:rPr>
                <w:rFonts w:hint="eastAsia"/>
              </w:rPr>
              <w:t>场所</w:t>
            </w:r>
            <w:r>
              <w:t>经营</w:t>
            </w:r>
            <w:r>
              <w:rPr>
                <w:rFonts w:hint="eastAsia"/>
              </w:rPr>
              <w:t>性质主要</w:t>
            </w:r>
            <w:r>
              <w:t>有经营、非经营、其它等，不同网监平台对接的场所经营性质代码不一样，需要参考对接文档</w:t>
            </w:r>
            <w:r>
              <w:rPr>
                <w:rFonts w:hint="eastAsia"/>
              </w:rPr>
              <w:t>。</w:t>
            </w:r>
          </w:p>
        </w:tc>
      </w:tr>
      <w:tr w14:paraId="4E3F66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47" w:type="dxa"/>
            <w:shd w:val="clear" w:color="auto" w:fill="auto"/>
          </w:tcPr>
          <w:p w14:paraId="18B9390D">
            <w:pPr>
              <w:pStyle w:val="150"/>
            </w:pPr>
            <w:r>
              <w:rPr>
                <w:rFonts w:hint="eastAsia"/>
              </w:rPr>
              <w:t>上网</w:t>
            </w:r>
            <w:r>
              <w:t>服务场所编码</w:t>
            </w:r>
          </w:p>
        </w:tc>
        <w:tc>
          <w:tcPr>
            <w:tcW w:w="6823" w:type="dxa"/>
            <w:shd w:val="clear" w:color="auto" w:fill="auto"/>
          </w:tcPr>
          <w:p w14:paraId="14CE6D2F">
            <w:pPr>
              <w:pStyle w:val="150"/>
            </w:pPr>
            <w:r>
              <w:rPr>
                <w:rFonts w:hint="eastAsia"/>
              </w:rPr>
              <w:t>上网服务场所包括经营性上网服务场所和非经营性上网服务场所，编码由14位阿拉伯数字组成，</w:t>
            </w:r>
            <w:r>
              <w:t>编码规则需要根据网监平台提供的对接文档要求进行显示</w:t>
            </w:r>
            <w:r>
              <w:rPr>
                <w:rFonts w:hint="eastAsia"/>
              </w:rPr>
              <w:t>。</w:t>
            </w:r>
          </w:p>
        </w:tc>
      </w:tr>
      <w:tr w14:paraId="222830E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47" w:type="dxa"/>
            <w:shd w:val="clear" w:color="auto" w:fill="auto"/>
          </w:tcPr>
          <w:p w14:paraId="713F14AC">
            <w:pPr>
              <w:pStyle w:val="150"/>
            </w:pPr>
            <w:r>
              <w:rPr>
                <w:rFonts w:hint="eastAsia"/>
              </w:rPr>
              <w:t>场所服务</w:t>
            </w:r>
            <w:r>
              <w:t>类型</w:t>
            </w:r>
          </w:p>
        </w:tc>
        <w:tc>
          <w:tcPr>
            <w:tcW w:w="6823" w:type="dxa"/>
            <w:shd w:val="clear" w:color="auto" w:fill="auto"/>
          </w:tcPr>
          <w:p w14:paraId="1C090C43">
            <w:pPr>
              <w:pStyle w:val="150"/>
            </w:pPr>
            <w:r>
              <w:rPr>
                <w:rFonts w:hint="eastAsia"/>
              </w:rPr>
              <w:t>上网服务类场所类型（如旅店</w:t>
            </w:r>
            <w:r>
              <w:t>宾馆</w:t>
            </w:r>
            <w:r>
              <w:rPr>
                <w:rFonts w:hint="eastAsia"/>
              </w:rPr>
              <w:t>类、公共</w:t>
            </w:r>
            <w:r>
              <w:t>服务场所等，根据网监平台提供的对接文档</w:t>
            </w:r>
            <w:r>
              <w:rPr>
                <w:rFonts w:hint="eastAsia"/>
              </w:rPr>
              <w:t>可以</w:t>
            </w:r>
            <w:r>
              <w:t>查询详细的场所服务类型</w:t>
            </w:r>
            <w:r>
              <w:rPr>
                <w:rFonts w:hint="eastAsia"/>
              </w:rPr>
              <w:t>）。</w:t>
            </w:r>
          </w:p>
        </w:tc>
      </w:tr>
      <w:tr w14:paraId="603483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47" w:type="dxa"/>
            <w:shd w:val="clear" w:color="auto" w:fill="auto"/>
          </w:tcPr>
          <w:p w14:paraId="7AE890C3">
            <w:pPr>
              <w:pStyle w:val="150"/>
            </w:pPr>
            <w:r>
              <w:rPr>
                <w:rFonts w:hint="eastAsia"/>
              </w:rPr>
              <w:t>场所接入</w:t>
            </w:r>
            <w:r>
              <w:t>方式</w:t>
            </w:r>
          </w:p>
        </w:tc>
        <w:tc>
          <w:tcPr>
            <w:tcW w:w="6823" w:type="dxa"/>
            <w:shd w:val="clear" w:color="auto" w:fill="auto"/>
          </w:tcPr>
          <w:p w14:paraId="4706854C">
            <w:pPr>
              <w:pStyle w:val="150"/>
            </w:pPr>
            <w:r>
              <w:rPr>
                <w:rFonts w:hint="eastAsia"/>
              </w:rPr>
              <w:t>上网</w:t>
            </w:r>
            <w:r>
              <w:t>服务</w:t>
            </w:r>
            <w:r>
              <w:rPr>
                <w:rFonts w:hint="eastAsia"/>
              </w:rPr>
              <w:t>场所</w:t>
            </w:r>
            <w:r>
              <w:t>接入网络的方式</w:t>
            </w:r>
            <w:r>
              <w:rPr>
                <w:rFonts w:hint="eastAsia"/>
              </w:rPr>
              <w:t>（ADSL拨号</w:t>
            </w:r>
            <w:r>
              <w:t>、专线等</w:t>
            </w:r>
            <w:r>
              <w:rPr>
                <w:rFonts w:hint="eastAsia"/>
              </w:rPr>
              <w:t>）。</w:t>
            </w:r>
          </w:p>
        </w:tc>
      </w:tr>
      <w:tr w14:paraId="248FDD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47" w:type="dxa"/>
            <w:shd w:val="clear" w:color="auto" w:fill="auto"/>
          </w:tcPr>
          <w:p w14:paraId="599A76D9">
            <w:pPr>
              <w:pStyle w:val="150"/>
            </w:pPr>
            <w:r>
              <w:rPr>
                <w:rFonts w:hint="eastAsia"/>
              </w:rPr>
              <w:t>场所</w:t>
            </w:r>
            <w:r>
              <w:t>网络</w:t>
            </w:r>
            <w:r>
              <w:rPr>
                <w:rFonts w:hint="eastAsia"/>
              </w:rPr>
              <w:t>接入</w:t>
            </w:r>
            <w:r>
              <w:t>服务商</w:t>
            </w:r>
          </w:p>
        </w:tc>
        <w:tc>
          <w:tcPr>
            <w:tcW w:w="6823" w:type="dxa"/>
            <w:shd w:val="clear" w:color="auto" w:fill="auto"/>
          </w:tcPr>
          <w:p w14:paraId="15CE4092">
            <w:pPr>
              <w:pStyle w:val="150"/>
            </w:pPr>
            <w:r>
              <w:rPr>
                <w:rFonts w:hint="eastAsia"/>
              </w:rPr>
              <w:t>上网</w:t>
            </w:r>
            <w:r>
              <w:t>服务</w:t>
            </w:r>
            <w:r>
              <w:rPr>
                <w:rFonts w:hint="eastAsia"/>
              </w:rPr>
              <w:t>场所</w:t>
            </w:r>
            <w:r>
              <w:t>接入的网络运营服务商（</w:t>
            </w:r>
            <w:r>
              <w:rPr>
                <w:rFonts w:hint="eastAsia"/>
              </w:rPr>
              <w:t>中国</w:t>
            </w:r>
            <w:r>
              <w:t>电信、中国移动、中国联通</w:t>
            </w:r>
            <w:r>
              <w:rPr>
                <w:rFonts w:hint="eastAsia"/>
              </w:rPr>
              <w:t>等</w:t>
            </w:r>
            <w:r>
              <w:t>）</w:t>
            </w:r>
            <w:r>
              <w:rPr>
                <w:rFonts w:hint="eastAsia"/>
              </w:rPr>
              <w:t>。</w:t>
            </w:r>
          </w:p>
        </w:tc>
      </w:tr>
      <w:tr w14:paraId="4C48CA4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47" w:type="dxa"/>
            <w:shd w:val="clear" w:color="auto" w:fill="auto"/>
          </w:tcPr>
          <w:p w14:paraId="3E2EAE3C">
            <w:pPr>
              <w:pStyle w:val="150"/>
            </w:pPr>
            <w:r>
              <w:rPr>
                <w:rFonts w:hint="eastAsia"/>
              </w:rPr>
              <w:t>安全</w:t>
            </w:r>
            <w:r>
              <w:t>厂商组织机构代码</w:t>
            </w:r>
          </w:p>
        </w:tc>
        <w:tc>
          <w:tcPr>
            <w:tcW w:w="6823" w:type="dxa"/>
            <w:shd w:val="clear" w:color="auto" w:fill="auto"/>
          </w:tcPr>
          <w:p w14:paraId="1FDF1581">
            <w:pPr>
              <w:pStyle w:val="150"/>
            </w:pPr>
            <w:r>
              <w:rPr>
                <w:rFonts w:hint="eastAsia"/>
              </w:rPr>
              <w:t>场所</w:t>
            </w:r>
            <w:r>
              <w:t>与厂商通过组织机构代码进行关联</w:t>
            </w:r>
            <w:r>
              <w:rPr>
                <w:rFonts w:hint="eastAsia"/>
              </w:rPr>
              <w:t>使用。</w:t>
            </w:r>
          </w:p>
        </w:tc>
      </w:tr>
      <w:tr w14:paraId="69C35B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47" w:type="dxa"/>
            <w:shd w:val="clear" w:color="auto" w:fill="auto"/>
          </w:tcPr>
          <w:p w14:paraId="1F860760">
            <w:pPr>
              <w:pStyle w:val="150"/>
            </w:pPr>
            <w:r>
              <w:rPr>
                <w:rFonts w:hint="eastAsia"/>
              </w:rPr>
              <w:t>场所</w:t>
            </w:r>
            <w:r>
              <w:t>负责人</w:t>
            </w:r>
          </w:p>
        </w:tc>
        <w:tc>
          <w:tcPr>
            <w:tcW w:w="6823" w:type="dxa"/>
            <w:shd w:val="clear" w:color="auto" w:fill="auto"/>
          </w:tcPr>
          <w:p w14:paraId="73D5BD12">
            <w:pPr>
              <w:pStyle w:val="150"/>
            </w:pPr>
            <w:r>
              <w:rPr>
                <w:rFonts w:hint="eastAsia"/>
              </w:rPr>
              <w:t>上网</w:t>
            </w:r>
            <w:r>
              <w:t>服务</w:t>
            </w:r>
            <w:r>
              <w:rPr>
                <w:rFonts w:hint="eastAsia"/>
              </w:rPr>
              <w:t>场所</w:t>
            </w:r>
            <w:r>
              <w:t>负责人姓名</w:t>
            </w:r>
            <w:r>
              <w:rPr>
                <w:rFonts w:hint="eastAsia"/>
              </w:rPr>
              <w:t>。</w:t>
            </w:r>
          </w:p>
        </w:tc>
      </w:tr>
      <w:tr w14:paraId="025F85B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47" w:type="dxa"/>
            <w:shd w:val="clear" w:color="auto" w:fill="auto"/>
          </w:tcPr>
          <w:p w14:paraId="069ABA16">
            <w:pPr>
              <w:pStyle w:val="150"/>
            </w:pPr>
            <w:r>
              <w:rPr>
                <w:rFonts w:hint="eastAsia"/>
              </w:rPr>
              <w:t>负责人</w:t>
            </w:r>
            <w:r>
              <w:t>电话</w:t>
            </w:r>
          </w:p>
        </w:tc>
        <w:tc>
          <w:tcPr>
            <w:tcW w:w="6823" w:type="dxa"/>
            <w:shd w:val="clear" w:color="auto" w:fill="auto"/>
          </w:tcPr>
          <w:p w14:paraId="78E19D61">
            <w:pPr>
              <w:pStyle w:val="150"/>
            </w:pPr>
            <w:r>
              <w:rPr>
                <w:rFonts w:hint="eastAsia"/>
              </w:rPr>
              <w:t>上网</w:t>
            </w:r>
            <w:r>
              <w:t>服务</w:t>
            </w:r>
            <w:r>
              <w:rPr>
                <w:rFonts w:hint="eastAsia"/>
              </w:rPr>
              <w:t>场所</w:t>
            </w:r>
            <w:r>
              <w:t>负责人电话</w:t>
            </w:r>
            <w:r>
              <w:rPr>
                <w:rFonts w:hint="eastAsia"/>
              </w:rPr>
              <w:t>。</w:t>
            </w:r>
          </w:p>
        </w:tc>
      </w:tr>
      <w:tr w14:paraId="492F9E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47" w:type="dxa"/>
            <w:shd w:val="clear" w:color="auto" w:fill="auto"/>
          </w:tcPr>
          <w:p w14:paraId="259920C9">
            <w:pPr>
              <w:pStyle w:val="150"/>
            </w:pPr>
            <w:r>
              <w:rPr>
                <w:rFonts w:hint="eastAsia"/>
              </w:rPr>
              <w:t>场所</w:t>
            </w:r>
            <w:r>
              <w:t>状态</w:t>
            </w:r>
          </w:p>
        </w:tc>
        <w:tc>
          <w:tcPr>
            <w:tcW w:w="6823" w:type="dxa"/>
            <w:shd w:val="clear" w:color="auto" w:fill="auto"/>
          </w:tcPr>
          <w:p w14:paraId="7E8B830E">
            <w:pPr>
              <w:pStyle w:val="150"/>
            </w:pPr>
            <w:r>
              <w:rPr>
                <w:rFonts w:hint="eastAsia"/>
              </w:rPr>
              <w:t>上网</w:t>
            </w:r>
            <w:r>
              <w:t>服务</w:t>
            </w:r>
            <w:r>
              <w:rPr>
                <w:rFonts w:hint="eastAsia"/>
              </w:rPr>
              <w:t>场所</w:t>
            </w:r>
            <w:r>
              <w:t>安装</w:t>
            </w:r>
            <w:r>
              <w:rPr>
                <w:rFonts w:hint="eastAsia"/>
              </w:rPr>
              <w:t>营业</w:t>
            </w:r>
            <w:r>
              <w:t>状态（</w:t>
            </w:r>
            <w:r>
              <w:rPr>
                <w:rFonts w:hint="eastAsia"/>
              </w:rPr>
              <w:t>装机</w:t>
            </w:r>
            <w:r>
              <w:t>开业在线、装机开业离线、勒令停业等）</w:t>
            </w:r>
            <w:r>
              <w:rPr>
                <w:rFonts w:hint="eastAsia"/>
              </w:rPr>
              <w:t>，</w:t>
            </w:r>
            <w:r>
              <w:t>对接网监平台文档中有相应的文档说明</w:t>
            </w:r>
            <w:r>
              <w:rPr>
                <w:rFonts w:hint="eastAsia"/>
              </w:rPr>
              <w:t>。</w:t>
            </w:r>
          </w:p>
        </w:tc>
      </w:tr>
      <w:tr w14:paraId="0C88CF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47" w:type="dxa"/>
            <w:shd w:val="clear" w:color="auto" w:fill="auto"/>
          </w:tcPr>
          <w:p w14:paraId="42D617DF">
            <w:pPr>
              <w:pStyle w:val="150"/>
            </w:pPr>
            <w:r>
              <w:rPr>
                <w:rFonts w:hint="eastAsia"/>
              </w:rPr>
              <w:t>场所</w:t>
            </w:r>
            <w:r>
              <w:t>地图</w:t>
            </w:r>
            <w:r>
              <w:rPr>
                <w:rFonts w:hint="eastAsia"/>
              </w:rPr>
              <w:t>经度</w:t>
            </w:r>
          </w:p>
        </w:tc>
        <w:tc>
          <w:tcPr>
            <w:tcW w:w="6823" w:type="dxa"/>
            <w:shd w:val="clear" w:color="auto" w:fill="auto"/>
          </w:tcPr>
          <w:p w14:paraId="2A5EA912">
            <w:pPr>
              <w:pStyle w:val="150"/>
            </w:pPr>
            <w:r>
              <w:rPr>
                <w:rFonts w:hint="eastAsia"/>
              </w:rPr>
              <w:t>上网</w:t>
            </w:r>
            <w:r>
              <w:t>服务</w:t>
            </w:r>
            <w:r>
              <w:rPr>
                <w:rFonts w:hint="eastAsia"/>
              </w:rPr>
              <w:t>场所部署</w:t>
            </w:r>
            <w:r>
              <w:t>位置的经度</w:t>
            </w:r>
            <w:r>
              <w:rPr>
                <w:rFonts w:hint="eastAsia"/>
              </w:rPr>
              <w:t>、</w:t>
            </w:r>
            <w:r>
              <w:t>点击</w:t>
            </w:r>
            <w:r>
              <w:rPr>
                <w:rFonts w:hint="eastAsia"/>
              </w:rPr>
              <w:t>“</w:t>
            </w:r>
            <w:r>
              <w:t>查看</w:t>
            </w:r>
            <w:r>
              <w:rPr>
                <w:rFonts w:hint="eastAsia"/>
              </w:rPr>
              <w:t>”</w:t>
            </w:r>
            <w:r>
              <w:t>按钮</w:t>
            </w:r>
            <w:r>
              <w:rPr>
                <w:rFonts w:hint="eastAsia"/>
              </w:rPr>
              <w:t>，</w:t>
            </w:r>
            <w:r>
              <w:t>搜索当前场所，会显示当前场所在地图</w:t>
            </w:r>
            <w:r>
              <w:rPr>
                <w:rFonts w:hint="eastAsia"/>
              </w:rPr>
              <w:t>的</w:t>
            </w:r>
            <w:r>
              <w:t>经度</w:t>
            </w:r>
            <w:r>
              <w:rPr>
                <w:rFonts w:hint="eastAsia"/>
              </w:rPr>
              <w:t>。</w:t>
            </w:r>
          </w:p>
        </w:tc>
      </w:tr>
      <w:tr w14:paraId="516D00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47" w:type="dxa"/>
            <w:shd w:val="clear" w:color="auto" w:fill="auto"/>
          </w:tcPr>
          <w:p w14:paraId="779EE196">
            <w:pPr>
              <w:pStyle w:val="150"/>
            </w:pPr>
            <w:r>
              <w:rPr>
                <w:rFonts w:hint="eastAsia"/>
              </w:rPr>
              <w:t>场所</w:t>
            </w:r>
            <w:r>
              <w:t>地图纬度</w:t>
            </w:r>
          </w:p>
        </w:tc>
        <w:tc>
          <w:tcPr>
            <w:tcW w:w="6823" w:type="dxa"/>
            <w:shd w:val="clear" w:color="auto" w:fill="auto"/>
          </w:tcPr>
          <w:p w14:paraId="254133CD">
            <w:pPr>
              <w:pStyle w:val="150"/>
            </w:pPr>
            <w:r>
              <w:rPr>
                <w:rFonts w:hint="eastAsia"/>
              </w:rPr>
              <w:t>上网</w:t>
            </w:r>
            <w:r>
              <w:t>服务</w:t>
            </w:r>
            <w:r>
              <w:rPr>
                <w:rFonts w:hint="eastAsia"/>
              </w:rPr>
              <w:t>场所部署</w:t>
            </w:r>
            <w:r>
              <w:t>位置的</w:t>
            </w:r>
            <w:r>
              <w:rPr>
                <w:rFonts w:hint="eastAsia"/>
              </w:rPr>
              <w:t>纬度、</w:t>
            </w:r>
            <w:r>
              <w:t>点击查看按钮</w:t>
            </w:r>
            <w:r>
              <w:rPr>
                <w:rFonts w:hint="eastAsia"/>
              </w:rPr>
              <w:t>，</w:t>
            </w:r>
            <w:r>
              <w:t>搜索当前场所，会显示当前场所在地图</w:t>
            </w:r>
            <w:r>
              <w:rPr>
                <w:rFonts w:hint="eastAsia"/>
              </w:rPr>
              <w:t>的纬度。</w:t>
            </w:r>
          </w:p>
        </w:tc>
      </w:tr>
      <w:tr w14:paraId="71DBF60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47" w:type="dxa"/>
            <w:shd w:val="clear" w:color="auto" w:fill="auto"/>
          </w:tcPr>
          <w:p w14:paraId="5DAB0F30">
            <w:pPr>
              <w:pStyle w:val="150"/>
            </w:pPr>
            <w:r>
              <w:rPr>
                <w:rFonts w:hint="eastAsia"/>
              </w:rPr>
              <w:t>数据</w:t>
            </w:r>
            <w:r>
              <w:t>采集</w:t>
            </w:r>
            <w:r>
              <w:rPr>
                <w:rFonts w:hint="eastAsia"/>
              </w:rPr>
              <w:t xml:space="preserve"> </w:t>
            </w:r>
          </w:p>
        </w:tc>
        <w:tc>
          <w:tcPr>
            <w:tcW w:w="6823" w:type="dxa"/>
            <w:shd w:val="clear" w:color="auto" w:fill="auto"/>
          </w:tcPr>
          <w:p w14:paraId="0672816D">
            <w:pPr>
              <w:pStyle w:val="150"/>
            </w:pPr>
            <w:r>
              <w:rPr>
                <w:rFonts w:hint="eastAsia"/>
              </w:rPr>
              <w:t>上网</w:t>
            </w:r>
            <w:r>
              <w:t>服务场所</w:t>
            </w:r>
            <w:r>
              <w:rPr>
                <w:rFonts w:hint="eastAsia"/>
              </w:rPr>
              <w:t>数据</w:t>
            </w:r>
            <w:r>
              <w:t>采集类型（</w:t>
            </w:r>
            <w:r>
              <w:rPr>
                <w:rFonts w:hint="eastAsia"/>
              </w:rPr>
              <w:t>如IDC、</w:t>
            </w:r>
            <w:r>
              <w:t>网吧、学校及培训中心等）</w:t>
            </w:r>
            <w:r>
              <w:rPr>
                <w:rFonts w:hint="eastAsia"/>
              </w:rPr>
              <w:t>，</w:t>
            </w:r>
            <w:r>
              <w:t>对接网监平台文档中有相应的文档说明</w:t>
            </w:r>
            <w:r>
              <w:rPr>
                <w:rFonts w:hint="eastAsia"/>
              </w:rPr>
              <w:t>。</w:t>
            </w:r>
          </w:p>
        </w:tc>
      </w:tr>
      <w:tr w14:paraId="1F622D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47" w:type="dxa"/>
            <w:shd w:val="clear" w:color="auto" w:fill="auto"/>
          </w:tcPr>
          <w:p w14:paraId="1E7A7D08">
            <w:pPr>
              <w:pStyle w:val="150"/>
            </w:pPr>
            <w:r>
              <w:rPr>
                <w:rFonts w:hint="eastAsia"/>
              </w:rPr>
              <w:t>安装</w:t>
            </w:r>
            <w:r>
              <w:t>时间</w:t>
            </w:r>
          </w:p>
        </w:tc>
        <w:tc>
          <w:tcPr>
            <w:tcW w:w="6823" w:type="dxa"/>
            <w:shd w:val="clear" w:color="auto" w:fill="auto"/>
          </w:tcPr>
          <w:p w14:paraId="5C1B5394">
            <w:pPr>
              <w:pStyle w:val="150"/>
            </w:pPr>
            <w:r>
              <w:rPr>
                <w:rFonts w:hint="eastAsia"/>
              </w:rPr>
              <w:t>上网</w:t>
            </w:r>
            <w:r>
              <w:t>服务</w:t>
            </w:r>
            <w:r>
              <w:rPr>
                <w:rFonts w:hint="eastAsia"/>
              </w:rPr>
              <w:t>场所</w:t>
            </w:r>
            <w:r>
              <w:t>设备的安装时间</w:t>
            </w:r>
            <w:r>
              <w:rPr>
                <w:rFonts w:hint="eastAsia"/>
              </w:rPr>
              <w:t>。</w:t>
            </w:r>
          </w:p>
        </w:tc>
      </w:tr>
      <w:tr w14:paraId="0FFFA8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47" w:type="dxa"/>
            <w:shd w:val="clear" w:color="auto" w:fill="auto"/>
          </w:tcPr>
          <w:p w14:paraId="146664B3">
            <w:pPr>
              <w:pStyle w:val="150"/>
            </w:pPr>
            <w:r>
              <w:rPr>
                <w:rFonts w:hint="eastAsia"/>
              </w:rPr>
              <w:t>终端</w:t>
            </w:r>
            <w:r>
              <w:t>统一社会信用</w:t>
            </w:r>
            <w:r>
              <w:rPr>
                <w:rFonts w:hint="eastAsia"/>
              </w:rPr>
              <w:t>代码</w:t>
            </w:r>
          </w:p>
        </w:tc>
        <w:tc>
          <w:tcPr>
            <w:tcW w:w="6823" w:type="dxa"/>
            <w:shd w:val="clear" w:color="auto" w:fill="auto"/>
          </w:tcPr>
          <w:p w14:paraId="3731E3DF">
            <w:pPr>
              <w:pStyle w:val="150"/>
            </w:pPr>
            <w:r>
              <w:rPr>
                <w:rFonts w:hint="eastAsia"/>
              </w:rPr>
              <w:t>终端安全厂商统一社会信用代码，具体参考对接文档。</w:t>
            </w:r>
          </w:p>
        </w:tc>
      </w:tr>
      <w:tr w14:paraId="241AC22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47" w:type="dxa"/>
            <w:shd w:val="clear" w:color="auto" w:fill="auto"/>
          </w:tcPr>
          <w:p w14:paraId="5DEB0D7E">
            <w:pPr>
              <w:pStyle w:val="150"/>
            </w:pPr>
            <w:r>
              <w:rPr>
                <w:rFonts w:hint="eastAsia"/>
              </w:rPr>
              <w:t>场所</w:t>
            </w:r>
            <w:r>
              <w:t>统一社会信用</w:t>
            </w:r>
            <w:r>
              <w:rPr>
                <w:rFonts w:hint="eastAsia"/>
              </w:rPr>
              <w:t>代码</w:t>
            </w:r>
          </w:p>
        </w:tc>
        <w:tc>
          <w:tcPr>
            <w:tcW w:w="6823" w:type="dxa"/>
            <w:shd w:val="clear" w:color="auto" w:fill="auto"/>
          </w:tcPr>
          <w:p w14:paraId="1D717178">
            <w:pPr>
              <w:pStyle w:val="150"/>
            </w:pPr>
            <w:r>
              <w:rPr>
                <w:rFonts w:hint="eastAsia"/>
              </w:rPr>
              <w:t>场所（如网吧、宾馆等）统一社会信用代码，具体参考对接文档。</w:t>
            </w:r>
          </w:p>
        </w:tc>
      </w:tr>
      <w:tr w14:paraId="539C58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47" w:type="dxa"/>
            <w:shd w:val="clear" w:color="auto" w:fill="auto"/>
          </w:tcPr>
          <w:p w14:paraId="3196A5BD">
            <w:pPr>
              <w:pStyle w:val="150"/>
            </w:pPr>
            <w:r>
              <w:rPr>
                <w:rFonts w:hint="eastAsia"/>
              </w:rPr>
              <w:t>认证</w:t>
            </w:r>
            <w:r>
              <w:t>统一社会信用</w:t>
            </w:r>
            <w:r>
              <w:rPr>
                <w:rFonts w:hint="eastAsia"/>
              </w:rPr>
              <w:t>代码</w:t>
            </w:r>
          </w:p>
        </w:tc>
        <w:tc>
          <w:tcPr>
            <w:tcW w:w="6823" w:type="dxa"/>
            <w:shd w:val="clear" w:color="auto" w:fill="auto"/>
          </w:tcPr>
          <w:p w14:paraId="7B610226">
            <w:pPr>
              <w:pStyle w:val="150"/>
            </w:pPr>
            <w:r>
              <w:rPr>
                <w:rFonts w:hint="eastAsia"/>
              </w:rPr>
              <w:t>认证厂商统一社会信用代码，具体参考对接文档。</w:t>
            </w:r>
          </w:p>
        </w:tc>
      </w:tr>
      <w:tr w14:paraId="586F3C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47" w:type="dxa"/>
            <w:shd w:val="clear" w:color="auto" w:fill="auto"/>
          </w:tcPr>
          <w:p w14:paraId="2FF73C5C">
            <w:pPr>
              <w:pStyle w:val="150"/>
            </w:pPr>
            <w:r>
              <w:rPr>
                <w:rFonts w:hint="eastAsia"/>
              </w:rPr>
              <w:t>运营</w:t>
            </w:r>
            <w:r>
              <w:t>统一社会信用</w:t>
            </w:r>
            <w:r>
              <w:rPr>
                <w:rFonts w:hint="eastAsia"/>
              </w:rPr>
              <w:t>代码</w:t>
            </w:r>
          </w:p>
        </w:tc>
        <w:tc>
          <w:tcPr>
            <w:tcW w:w="6823" w:type="dxa"/>
            <w:shd w:val="clear" w:color="auto" w:fill="auto"/>
          </w:tcPr>
          <w:p w14:paraId="3AD354F6">
            <w:pPr>
              <w:pStyle w:val="150"/>
            </w:pPr>
            <w:r>
              <w:rPr>
                <w:rFonts w:hint="eastAsia"/>
              </w:rPr>
              <w:t>运营厂商统一社会信用代码，具体参考对接文档。</w:t>
            </w:r>
          </w:p>
        </w:tc>
      </w:tr>
      <w:tr w14:paraId="740ECEE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47" w:type="dxa"/>
            <w:shd w:val="clear" w:color="auto" w:fill="auto"/>
          </w:tcPr>
          <w:p w14:paraId="3E6D2FDB">
            <w:pPr>
              <w:pStyle w:val="150"/>
            </w:pPr>
            <w:r>
              <w:rPr>
                <w:rFonts w:hint="eastAsia"/>
              </w:rPr>
              <w:t>硬件</w:t>
            </w:r>
            <w:r>
              <w:t>统一社会信用</w:t>
            </w:r>
            <w:r>
              <w:rPr>
                <w:rFonts w:hint="eastAsia"/>
              </w:rPr>
              <w:t>代码</w:t>
            </w:r>
          </w:p>
        </w:tc>
        <w:tc>
          <w:tcPr>
            <w:tcW w:w="6823" w:type="dxa"/>
            <w:shd w:val="clear" w:color="auto" w:fill="auto"/>
          </w:tcPr>
          <w:p w14:paraId="7DD1C8BC">
            <w:pPr>
              <w:pStyle w:val="150"/>
            </w:pPr>
            <w:r>
              <w:rPr>
                <w:rFonts w:hint="eastAsia"/>
              </w:rPr>
              <w:t>安全设备硬件提供商统一社会信用代码，具体参考对接文档。</w:t>
            </w:r>
          </w:p>
        </w:tc>
      </w:tr>
      <w:tr w14:paraId="5EA2C2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47" w:type="dxa"/>
            <w:shd w:val="clear" w:color="auto" w:fill="auto"/>
          </w:tcPr>
          <w:p w14:paraId="77236DDE">
            <w:pPr>
              <w:pStyle w:val="150"/>
            </w:pPr>
            <w:r>
              <w:rPr>
                <w:rFonts w:hint="eastAsia"/>
              </w:rPr>
              <w:t>活动机器数</w:t>
            </w:r>
          </w:p>
        </w:tc>
        <w:tc>
          <w:tcPr>
            <w:tcW w:w="6823" w:type="dxa"/>
            <w:shd w:val="clear" w:color="auto" w:fill="auto"/>
          </w:tcPr>
          <w:p w14:paraId="253ADFA7">
            <w:pPr>
              <w:pStyle w:val="150"/>
            </w:pPr>
            <w:r>
              <w:rPr>
                <w:rFonts w:hint="eastAsia"/>
              </w:rPr>
              <w:t>运行的设备数量。</w:t>
            </w:r>
          </w:p>
        </w:tc>
      </w:tr>
      <w:tr w14:paraId="6F46A4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147" w:type="dxa"/>
            <w:shd w:val="clear" w:color="auto" w:fill="auto"/>
          </w:tcPr>
          <w:p w14:paraId="25197C49">
            <w:pPr>
              <w:pStyle w:val="150"/>
            </w:pPr>
            <w:r>
              <w:rPr>
                <w:rFonts w:hint="eastAsia"/>
              </w:rPr>
              <w:t>报装机器数</w:t>
            </w:r>
          </w:p>
        </w:tc>
        <w:tc>
          <w:tcPr>
            <w:tcW w:w="6823" w:type="dxa"/>
            <w:shd w:val="clear" w:color="auto" w:fill="auto"/>
          </w:tcPr>
          <w:p w14:paraId="5DC1CF9D">
            <w:pPr>
              <w:pStyle w:val="150"/>
            </w:pPr>
            <w:r>
              <w:rPr>
                <w:rFonts w:hint="eastAsia"/>
              </w:rPr>
              <w:t>准备安装的数量。</w:t>
            </w:r>
          </w:p>
        </w:tc>
      </w:tr>
    </w:tbl>
    <w:p w14:paraId="042A8CF4"/>
    <w:p w14:paraId="6F6E1938">
      <w:r>
        <w:rPr>
          <w:rFonts w:hint="eastAsia"/>
        </w:rPr>
        <w:t>以对接</w:t>
      </w:r>
      <w:r>
        <w:t>厂商选择任子行为例，配置完相关参数，点击</w:t>
      </w:r>
      <w:r>
        <w:rPr>
          <w:rFonts w:hint="eastAsia"/>
        </w:rPr>
        <w:t>“提交”按钮</w:t>
      </w:r>
      <w:r>
        <w:t>，则</w:t>
      </w:r>
      <w:r>
        <w:rPr>
          <w:rFonts w:hint="eastAsia"/>
        </w:rPr>
        <w:t>场所</w:t>
      </w:r>
      <w:r>
        <w:t>添加完成</w:t>
      </w:r>
      <w:r>
        <w:rPr>
          <w:rFonts w:hint="eastAsia"/>
        </w:rPr>
        <w:t>，</w:t>
      </w:r>
      <w:r>
        <w:t>如</w:t>
      </w:r>
      <w:r>
        <w:fldChar w:fldCharType="begin"/>
      </w:r>
      <w:r>
        <w:instrText xml:space="preserve">  REF _Ref494446266 \r \h  \* MERGEFORMAT </w:instrText>
      </w:r>
      <w:r>
        <w:fldChar w:fldCharType="separate"/>
      </w:r>
      <w:r>
        <w:rPr>
          <w:rFonts w:hint="eastAsia"/>
        </w:rPr>
        <w:t>图35-5</w:t>
      </w:r>
      <w:r>
        <w:fldChar w:fldCharType="end"/>
      </w:r>
      <w:r>
        <w:rPr>
          <w:rFonts w:hint="eastAsia"/>
        </w:rPr>
        <w:t>所示</w:t>
      </w:r>
      <w:r>
        <w:t>。</w:t>
      </w:r>
    </w:p>
    <w:p w14:paraId="6DCA7C77">
      <w:pPr>
        <w:pStyle w:val="188"/>
      </w:pPr>
      <w:bookmarkStart w:id="11961" w:name="_Toc141875348"/>
      <w:bookmarkStart w:id="11962" w:name="_Ref494446266"/>
      <w:r>
        <w:rPr>
          <w:rFonts w:hint="eastAsia"/>
        </w:rPr>
        <w:t>任子行网监平台对接场所配置页面</w:t>
      </w:r>
      <w:bookmarkEnd w:id="11961"/>
      <w:bookmarkEnd w:id="11962"/>
    </w:p>
    <w:p w14:paraId="0C15DCA4">
      <w:r>
        <w:drawing>
          <wp:inline distT="0" distB="0" distL="0" distR="0">
            <wp:extent cx="5276850" cy="3411220"/>
            <wp:effectExtent l="0" t="0" r="0" b="0"/>
            <wp:docPr id="1296485364" name="图片 1296485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64" name="图片 1296485364"/>
                    <pic:cNvPicPr>
                      <a:picLocks noChangeAspect="1"/>
                    </pic:cNvPicPr>
                  </pic:nvPicPr>
                  <pic:blipFill>
                    <a:blip r:embed="rId1322"/>
                    <a:stretch>
                      <a:fillRect/>
                    </a:stretch>
                  </pic:blipFill>
                  <pic:spPr>
                    <a:xfrm>
                      <a:off x="0" y="0"/>
                      <a:ext cx="5281667" cy="3414809"/>
                    </a:xfrm>
                    <a:prstGeom prst="rect">
                      <a:avLst/>
                    </a:prstGeom>
                  </pic:spPr>
                </pic:pic>
              </a:graphicData>
            </a:graphic>
          </wp:inline>
        </w:drawing>
      </w:r>
      <w:r>
        <w:t xml:space="preserve"> </w:t>
      </w:r>
    </w:p>
    <w:p w14:paraId="3DBE3959">
      <w:r>
        <w:drawing>
          <wp:inline distT="0" distB="0" distL="0" distR="0">
            <wp:extent cx="5276850" cy="2722880"/>
            <wp:effectExtent l="0" t="0" r="0" b="1270"/>
            <wp:docPr id="1296485365" name="图片 1296485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65" name="图片 1296485365"/>
                    <pic:cNvPicPr>
                      <a:picLocks noChangeAspect="1"/>
                    </pic:cNvPicPr>
                  </pic:nvPicPr>
                  <pic:blipFill>
                    <a:blip r:embed="rId1323"/>
                    <a:stretch>
                      <a:fillRect/>
                    </a:stretch>
                  </pic:blipFill>
                  <pic:spPr>
                    <a:xfrm>
                      <a:off x="0" y="0"/>
                      <a:ext cx="5285034" cy="2727229"/>
                    </a:xfrm>
                    <a:prstGeom prst="rect">
                      <a:avLst/>
                    </a:prstGeom>
                  </pic:spPr>
                </pic:pic>
              </a:graphicData>
            </a:graphic>
          </wp:inline>
        </w:drawing>
      </w:r>
    </w:p>
    <w:p w14:paraId="45AAE6E5"/>
    <w:p w14:paraId="4868B7AE">
      <w:pPr>
        <w:pStyle w:val="5"/>
      </w:pPr>
      <w:bookmarkStart w:id="11963" w:name="_Toc141873883"/>
      <w:bookmarkStart w:id="11964" w:name="_Toc70414930"/>
      <w:bookmarkStart w:id="11965" w:name="_Toc70415867"/>
      <w:bookmarkStart w:id="11966" w:name="_Toc99562071"/>
      <w:bookmarkStart w:id="11967" w:name="_Toc494295563"/>
      <w:bookmarkStart w:id="11968" w:name="_Toc58604482"/>
      <w:bookmarkStart w:id="11969" w:name="_Toc194081278"/>
      <w:bookmarkStart w:id="11970" w:name="_Toc196728606"/>
      <w:bookmarkStart w:id="11971" w:name="_Toc142401400"/>
      <w:bookmarkStart w:id="11972" w:name="_Toc146618589"/>
      <w:r>
        <w:t>配置AP</w:t>
      </w:r>
      <w:bookmarkEnd w:id="11963"/>
      <w:bookmarkEnd w:id="11964"/>
      <w:bookmarkEnd w:id="11965"/>
      <w:bookmarkEnd w:id="11966"/>
      <w:bookmarkEnd w:id="11967"/>
      <w:bookmarkEnd w:id="11968"/>
      <w:bookmarkEnd w:id="11969"/>
      <w:bookmarkEnd w:id="11970"/>
      <w:bookmarkEnd w:id="11971"/>
      <w:bookmarkEnd w:id="11972"/>
    </w:p>
    <w:p w14:paraId="745B7BE7">
      <w:r>
        <w:rPr>
          <w:rFonts w:hint="eastAsia"/>
        </w:rPr>
        <w:t>在导航栏中选择“系统管理&gt;系统设定&gt;无线非经</w:t>
      </w:r>
      <w:r>
        <w:t>&gt;</w:t>
      </w:r>
      <w:r>
        <w:rPr>
          <w:rFonts w:hint="eastAsia"/>
        </w:rPr>
        <w:t>场所</w:t>
      </w:r>
      <w:r>
        <w:t>配置</w:t>
      </w:r>
      <w:r>
        <w:rPr>
          <w:rFonts w:hint="eastAsia"/>
        </w:rPr>
        <w:t>”，进入场所</w:t>
      </w:r>
      <w:r>
        <w:t>配置</w:t>
      </w:r>
      <w:r>
        <w:rPr>
          <w:rFonts w:hint="eastAsia"/>
        </w:rPr>
        <w:t>的显示页面，选择</w:t>
      </w:r>
      <w:r>
        <w:t>对应场所</w:t>
      </w:r>
      <w:r>
        <w:rPr>
          <w:rFonts w:hint="eastAsia"/>
        </w:rPr>
        <w:t>单击“添加AP”按钮，进入添加AP页面，如</w:t>
      </w:r>
      <w:r>
        <w:fldChar w:fldCharType="begin"/>
      </w:r>
      <w:r>
        <w:instrText xml:space="preserve">  REF _Ref494446280 \r \h  \* MERGEFORMAT </w:instrText>
      </w:r>
      <w:r>
        <w:fldChar w:fldCharType="separate"/>
      </w:r>
      <w:r>
        <w:rPr>
          <w:rFonts w:hint="eastAsia"/>
        </w:rPr>
        <w:t>图35-6</w:t>
      </w:r>
      <w:r>
        <w:fldChar w:fldCharType="end"/>
      </w:r>
      <w:r>
        <w:rPr>
          <w:rFonts w:hint="eastAsia"/>
        </w:rPr>
        <w:t>所示；AP</w:t>
      </w:r>
      <w:r>
        <w:t>配置页面各项</w:t>
      </w:r>
      <w:r>
        <w:rPr>
          <w:rFonts w:hint="eastAsia"/>
        </w:rPr>
        <w:t>参数</w:t>
      </w:r>
      <w:r>
        <w:t>说明如</w:t>
      </w:r>
      <w:r>
        <w:fldChar w:fldCharType="begin"/>
      </w:r>
      <w:r>
        <w:instrText xml:space="preserve">  REF _Ref494446287 \r \h  \* MERGEFORMAT </w:instrText>
      </w:r>
      <w:r>
        <w:fldChar w:fldCharType="separate"/>
      </w:r>
      <w:r>
        <w:rPr>
          <w:rFonts w:hint="eastAsia"/>
        </w:rPr>
        <w:t>表35-1</w:t>
      </w:r>
      <w:r>
        <w:fldChar w:fldCharType="end"/>
      </w:r>
      <w:r>
        <w:rPr>
          <w:rFonts w:hint="eastAsia"/>
        </w:rPr>
        <w:t>所示</w:t>
      </w:r>
      <w:r>
        <w:t>。</w:t>
      </w:r>
    </w:p>
    <w:p w14:paraId="74AD4A1F">
      <w:pPr>
        <w:pStyle w:val="188"/>
      </w:pPr>
      <w:bookmarkStart w:id="11973" w:name="_Ref494446280"/>
      <w:bookmarkStart w:id="11974" w:name="_Toc141875349"/>
      <w:r>
        <w:rPr>
          <w:rFonts w:hint="eastAsia"/>
        </w:rPr>
        <w:t>添加AP页面</w:t>
      </w:r>
      <w:bookmarkEnd w:id="11973"/>
      <w:bookmarkEnd w:id="11974"/>
    </w:p>
    <w:p w14:paraId="3701752F">
      <w:r>
        <w:drawing>
          <wp:inline distT="0" distB="0" distL="0" distR="0">
            <wp:extent cx="5429250" cy="3636010"/>
            <wp:effectExtent l="0" t="0" r="0" b="2540"/>
            <wp:docPr id="1296485366" name="图片 1296485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66" name="图片 1296485366"/>
                    <pic:cNvPicPr>
                      <a:picLocks noChangeAspect="1"/>
                    </pic:cNvPicPr>
                  </pic:nvPicPr>
                  <pic:blipFill>
                    <a:blip r:embed="rId1324"/>
                    <a:stretch>
                      <a:fillRect/>
                    </a:stretch>
                  </pic:blipFill>
                  <pic:spPr>
                    <a:xfrm>
                      <a:off x="0" y="0"/>
                      <a:ext cx="5436057" cy="3640957"/>
                    </a:xfrm>
                    <a:prstGeom prst="rect">
                      <a:avLst/>
                    </a:prstGeom>
                  </pic:spPr>
                </pic:pic>
              </a:graphicData>
            </a:graphic>
          </wp:inline>
        </w:drawing>
      </w:r>
    </w:p>
    <w:p w14:paraId="4DF95188">
      <w:r>
        <w:drawing>
          <wp:inline distT="0" distB="0" distL="0" distR="0">
            <wp:extent cx="5476875" cy="2214880"/>
            <wp:effectExtent l="0" t="0" r="0" b="0"/>
            <wp:docPr id="1296485367" name="图片 1296485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67" name="图片 1296485367"/>
                    <pic:cNvPicPr>
                      <a:picLocks noChangeAspect="1"/>
                    </pic:cNvPicPr>
                  </pic:nvPicPr>
                  <pic:blipFill>
                    <a:blip r:embed="rId1325"/>
                    <a:stretch>
                      <a:fillRect/>
                    </a:stretch>
                  </pic:blipFill>
                  <pic:spPr>
                    <a:xfrm>
                      <a:off x="0" y="0"/>
                      <a:ext cx="5489699" cy="2220597"/>
                    </a:xfrm>
                    <a:prstGeom prst="rect">
                      <a:avLst/>
                    </a:prstGeom>
                  </pic:spPr>
                </pic:pic>
              </a:graphicData>
            </a:graphic>
          </wp:inline>
        </w:drawing>
      </w:r>
    </w:p>
    <w:p w14:paraId="70B9B6DB"/>
    <w:p w14:paraId="1FA8D158">
      <w:pPr>
        <w:pStyle w:val="183"/>
      </w:pPr>
      <w:bookmarkStart w:id="11975" w:name="_Ref494446287"/>
      <w:bookmarkStart w:id="11976" w:name="_Toc141875809"/>
      <w:r>
        <w:rPr>
          <w:rFonts w:hint="eastAsia"/>
        </w:rPr>
        <w:t>添加</w:t>
      </w:r>
      <w:r>
        <w:t>AP</w:t>
      </w:r>
      <w:r>
        <w:rPr>
          <w:rFonts w:hint="eastAsia"/>
        </w:rPr>
        <w:t>配置的详细说明</w:t>
      </w:r>
      <w:bookmarkEnd w:id="11975"/>
      <w:bookmarkEnd w:id="11976"/>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209"/>
        <w:gridCol w:w="6761"/>
      </w:tblGrid>
      <w:tr w14:paraId="64C279F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51" w:type="dxa"/>
            <w:tcBorders>
              <w:tl2br w:val="nil"/>
              <w:tr2bl w:val="nil"/>
            </w:tcBorders>
            <w:shd w:val="clear" w:color="auto" w:fill="538135" w:themeFill="accent6" w:themeFillShade="BF"/>
            <w:vAlign w:val="center"/>
          </w:tcPr>
          <w:p w14:paraId="2A73D218">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5970" w:type="dxa"/>
            <w:tcBorders>
              <w:tl2br w:val="nil"/>
              <w:tr2bl w:val="nil"/>
            </w:tcBorders>
            <w:shd w:val="clear" w:color="auto" w:fill="538135" w:themeFill="accent6" w:themeFillShade="BF"/>
            <w:vAlign w:val="center"/>
          </w:tcPr>
          <w:p w14:paraId="384FB43E">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FED66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51" w:type="dxa"/>
            <w:shd w:val="clear" w:color="auto" w:fill="auto"/>
          </w:tcPr>
          <w:p w14:paraId="13CE424A">
            <w:pPr>
              <w:pStyle w:val="150"/>
            </w:pPr>
            <w:r>
              <w:rPr>
                <w:rFonts w:hint="eastAsia"/>
              </w:rPr>
              <w:t>AP编号</w:t>
            </w:r>
          </w:p>
        </w:tc>
        <w:tc>
          <w:tcPr>
            <w:tcW w:w="5970" w:type="dxa"/>
            <w:shd w:val="clear" w:color="auto" w:fill="auto"/>
          </w:tcPr>
          <w:p w14:paraId="6AD1DBE2">
            <w:pPr>
              <w:pStyle w:val="150"/>
            </w:pPr>
            <w:r>
              <w:t>AP</w:t>
            </w:r>
            <w:r>
              <w:rPr>
                <w:rFonts w:hint="eastAsia"/>
              </w:rPr>
              <w:t>编号是由</w:t>
            </w:r>
            <w:r>
              <w:t>21</w:t>
            </w:r>
            <w:r>
              <w:rPr>
                <w:rFonts w:hint="eastAsia"/>
              </w:rPr>
              <w:t>位字符组成唯一的编码，</w:t>
            </w:r>
            <w:r>
              <w:t>编号规则</w:t>
            </w:r>
            <w:r>
              <w:rPr>
                <w:rFonts w:hint="eastAsia"/>
              </w:rPr>
              <w:t>根据</w:t>
            </w:r>
            <w:r>
              <w:t>对接网监平台要求生成</w:t>
            </w:r>
            <w:r>
              <w:rPr>
                <w:rFonts w:hint="eastAsia"/>
              </w:rPr>
              <w:t>。</w:t>
            </w:r>
          </w:p>
        </w:tc>
      </w:tr>
      <w:tr w14:paraId="365ECB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51" w:type="dxa"/>
            <w:shd w:val="clear" w:color="auto" w:fill="auto"/>
          </w:tcPr>
          <w:p w14:paraId="218186C7">
            <w:pPr>
              <w:pStyle w:val="150"/>
            </w:pPr>
            <w:r>
              <w:rPr>
                <w:rFonts w:hint="eastAsia"/>
              </w:rPr>
              <w:t>AP地址</w:t>
            </w:r>
            <w:r>
              <w:t>范围</w:t>
            </w:r>
          </w:p>
        </w:tc>
        <w:tc>
          <w:tcPr>
            <w:tcW w:w="5970" w:type="dxa"/>
            <w:shd w:val="clear" w:color="auto" w:fill="auto"/>
          </w:tcPr>
          <w:p w14:paraId="011C5112">
            <w:pPr>
              <w:pStyle w:val="150"/>
            </w:pPr>
            <w:r>
              <w:rPr>
                <w:rFonts w:hint="eastAsia"/>
              </w:rPr>
              <w:t>A</w:t>
            </w:r>
            <w:r>
              <w:t>P</w:t>
            </w:r>
            <w:r>
              <w:rPr>
                <w:rFonts w:hint="eastAsia"/>
              </w:rPr>
              <w:t xml:space="preserve">的DHCP </w:t>
            </w:r>
            <w:r>
              <w:t>IP</w:t>
            </w:r>
            <w:r>
              <w:rPr>
                <w:rFonts w:hint="eastAsia"/>
              </w:rPr>
              <w:t>地址段</w:t>
            </w:r>
            <w:r>
              <w:t>范围</w:t>
            </w:r>
            <w:r>
              <w:rPr>
                <w:rFonts w:hint="eastAsia"/>
              </w:rPr>
              <w:t>。</w:t>
            </w:r>
          </w:p>
        </w:tc>
      </w:tr>
      <w:tr w14:paraId="55AF93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51" w:type="dxa"/>
            <w:shd w:val="clear" w:color="auto" w:fill="auto"/>
          </w:tcPr>
          <w:p w14:paraId="6DB85ECC">
            <w:pPr>
              <w:pStyle w:val="150"/>
            </w:pPr>
            <w:r>
              <w:rPr>
                <w:rFonts w:hint="eastAsia"/>
              </w:rPr>
              <w:t>上网</w:t>
            </w:r>
            <w:r>
              <w:t>服务场所编码</w:t>
            </w:r>
          </w:p>
        </w:tc>
        <w:tc>
          <w:tcPr>
            <w:tcW w:w="5970" w:type="dxa"/>
            <w:shd w:val="clear" w:color="auto" w:fill="auto"/>
          </w:tcPr>
          <w:p w14:paraId="5519B131">
            <w:pPr>
              <w:pStyle w:val="150"/>
            </w:pPr>
            <w:r>
              <w:rPr>
                <w:rFonts w:hint="eastAsia"/>
              </w:rPr>
              <w:t>AP所在</w:t>
            </w:r>
            <w:r>
              <w:t>场所的场所编码</w:t>
            </w:r>
            <w:r>
              <w:rPr>
                <w:rFonts w:hint="eastAsia"/>
              </w:rPr>
              <w:t>，AP必须</w:t>
            </w:r>
            <w:r>
              <w:t>挂在场所下，通过场所编码进行关联</w:t>
            </w:r>
            <w:r>
              <w:rPr>
                <w:rFonts w:hint="eastAsia"/>
              </w:rPr>
              <w:t>。</w:t>
            </w:r>
          </w:p>
        </w:tc>
      </w:tr>
      <w:tr w14:paraId="2FCC0B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51" w:type="dxa"/>
            <w:shd w:val="clear" w:color="auto" w:fill="auto"/>
          </w:tcPr>
          <w:p w14:paraId="4BA80813">
            <w:pPr>
              <w:pStyle w:val="150"/>
            </w:pPr>
            <w:r>
              <w:rPr>
                <w:rFonts w:hint="eastAsia"/>
              </w:rPr>
              <w:t>AP名称</w:t>
            </w:r>
          </w:p>
        </w:tc>
        <w:tc>
          <w:tcPr>
            <w:tcW w:w="5970" w:type="dxa"/>
            <w:shd w:val="clear" w:color="auto" w:fill="auto"/>
          </w:tcPr>
          <w:p w14:paraId="084A91E7">
            <w:pPr>
              <w:pStyle w:val="150"/>
            </w:pPr>
            <w:r>
              <w:rPr>
                <w:rFonts w:hint="eastAsia"/>
              </w:rPr>
              <w:t>AP设备配置</w:t>
            </w:r>
            <w:r>
              <w:t>名称</w:t>
            </w:r>
            <w:r>
              <w:rPr>
                <w:rFonts w:hint="eastAsia"/>
              </w:rPr>
              <w:t>。</w:t>
            </w:r>
          </w:p>
        </w:tc>
      </w:tr>
      <w:tr w14:paraId="621BD0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51" w:type="dxa"/>
            <w:shd w:val="clear" w:color="auto" w:fill="auto"/>
          </w:tcPr>
          <w:p w14:paraId="41F382F5">
            <w:pPr>
              <w:pStyle w:val="150"/>
            </w:pPr>
            <w:r>
              <w:rPr>
                <w:rFonts w:hint="eastAsia"/>
              </w:rPr>
              <w:t>A</w:t>
            </w:r>
            <w:r>
              <w:t>P</w:t>
            </w:r>
            <w:r>
              <w:rPr>
                <w:rFonts w:hint="eastAsia"/>
              </w:rPr>
              <w:t>地址</w:t>
            </w:r>
          </w:p>
        </w:tc>
        <w:tc>
          <w:tcPr>
            <w:tcW w:w="5970" w:type="dxa"/>
            <w:shd w:val="clear" w:color="auto" w:fill="auto"/>
          </w:tcPr>
          <w:p w14:paraId="35F3B963">
            <w:pPr>
              <w:pStyle w:val="150"/>
            </w:pPr>
            <w:r>
              <w:rPr>
                <w:rFonts w:hint="eastAsia"/>
              </w:rPr>
              <w:t>AP设备出口IP地址。</w:t>
            </w:r>
          </w:p>
        </w:tc>
      </w:tr>
      <w:tr w14:paraId="4195CC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51" w:type="dxa"/>
            <w:shd w:val="clear" w:color="auto" w:fill="auto"/>
          </w:tcPr>
          <w:p w14:paraId="6011E7F1">
            <w:pPr>
              <w:pStyle w:val="150"/>
            </w:pPr>
            <w:r>
              <w:rPr>
                <w:rFonts w:hint="eastAsia"/>
              </w:rPr>
              <w:t>A</w:t>
            </w:r>
            <w:r>
              <w:t>P</w:t>
            </w:r>
            <w:r>
              <w:rPr>
                <w:rFonts w:hint="eastAsia"/>
              </w:rPr>
              <w:t>的MAC地址</w:t>
            </w:r>
          </w:p>
        </w:tc>
        <w:tc>
          <w:tcPr>
            <w:tcW w:w="5970" w:type="dxa"/>
            <w:shd w:val="clear" w:color="auto" w:fill="auto"/>
          </w:tcPr>
          <w:p w14:paraId="29FBF293">
            <w:pPr>
              <w:pStyle w:val="150"/>
            </w:pPr>
            <w:r>
              <w:rPr>
                <w:rFonts w:hint="eastAsia"/>
              </w:rPr>
              <w:t>AP设备出口MAC地址。</w:t>
            </w:r>
          </w:p>
        </w:tc>
      </w:tr>
      <w:tr w14:paraId="354416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51" w:type="dxa"/>
            <w:shd w:val="clear" w:color="auto" w:fill="auto"/>
          </w:tcPr>
          <w:p w14:paraId="2AC279C6">
            <w:pPr>
              <w:pStyle w:val="150"/>
            </w:pPr>
            <w:r>
              <w:rPr>
                <w:rFonts w:hint="eastAsia"/>
              </w:rPr>
              <w:t>AP类型</w:t>
            </w:r>
          </w:p>
        </w:tc>
        <w:tc>
          <w:tcPr>
            <w:tcW w:w="5970" w:type="dxa"/>
            <w:shd w:val="clear" w:color="auto" w:fill="auto"/>
          </w:tcPr>
          <w:p w14:paraId="01C6735B">
            <w:pPr>
              <w:pStyle w:val="150"/>
            </w:pPr>
            <w:r>
              <w:rPr>
                <w:rFonts w:hint="eastAsia"/>
              </w:rPr>
              <w:t>AP设备类型</w:t>
            </w:r>
            <w:r>
              <w:t>（</w:t>
            </w:r>
            <w:r>
              <w:rPr>
                <w:rFonts w:hint="eastAsia"/>
              </w:rPr>
              <w:t>固定</w:t>
            </w:r>
            <w:r>
              <w:t>采集设备、移动车载采集设备、单兵采集设备、其它）</w:t>
            </w:r>
            <w:r>
              <w:rPr>
                <w:rFonts w:hint="eastAsia"/>
              </w:rPr>
              <w:t>。</w:t>
            </w:r>
          </w:p>
        </w:tc>
      </w:tr>
      <w:tr w14:paraId="1522FB4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51" w:type="dxa"/>
            <w:shd w:val="clear" w:color="auto" w:fill="auto"/>
          </w:tcPr>
          <w:p w14:paraId="100E6F61">
            <w:pPr>
              <w:pStyle w:val="150"/>
            </w:pPr>
            <w:r>
              <w:rPr>
                <w:rFonts w:hint="eastAsia"/>
              </w:rPr>
              <w:t>AP分类</w:t>
            </w:r>
          </w:p>
        </w:tc>
        <w:tc>
          <w:tcPr>
            <w:tcW w:w="5970" w:type="dxa"/>
            <w:shd w:val="clear" w:color="auto" w:fill="auto"/>
          </w:tcPr>
          <w:p w14:paraId="14D39C61">
            <w:pPr>
              <w:pStyle w:val="150"/>
            </w:pPr>
            <w:r>
              <w:rPr>
                <w:rFonts w:hint="eastAsia"/>
              </w:rPr>
              <w:t>AP设备分类</w:t>
            </w:r>
            <w:r>
              <w:t>（</w:t>
            </w:r>
            <w:r>
              <w:rPr>
                <w:rFonts w:hint="eastAsia"/>
              </w:rPr>
              <w:t>场所</w:t>
            </w:r>
            <w:r>
              <w:t>端采集设备、围栏设备等）</w:t>
            </w:r>
            <w:r>
              <w:rPr>
                <w:rFonts w:hint="eastAsia"/>
              </w:rPr>
              <w:t>。</w:t>
            </w:r>
          </w:p>
        </w:tc>
      </w:tr>
      <w:tr w14:paraId="1A6D718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51" w:type="dxa"/>
            <w:shd w:val="clear" w:color="auto" w:fill="auto"/>
          </w:tcPr>
          <w:p w14:paraId="7A0F6614">
            <w:pPr>
              <w:pStyle w:val="150"/>
            </w:pPr>
            <w:r>
              <w:rPr>
                <w:rFonts w:hint="eastAsia"/>
              </w:rPr>
              <w:t>A</w:t>
            </w:r>
            <w:r>
              <w:t>P</w:t>
            </w:r>
            <w:r>
              <w:rPr>
                <w:rFonts w:hint="eastAsia"/>
              </w:rPr>
              <w:t>经度</w:t>
            </w:r>
          </w:p>
        </w:tc>
        <w:tc>
          <w:tcPr>
            <w:tcW w:w="5970" w:type="dxa"/>
            <w:shd w:val="clear" w:color="auto" w:fill="auto"/>
          </w:tcPr>
          <w:p w14:paraId="3BCBF471">
            <w:pPr>
              <w:pStyle w:val="150"/>
            </w:pPr>
            <w:r>
              <w:rPr>
                <w:rFonts w:hint="eastAsia"/>
              </w:rPr>
              <w:t>A</w:t>
            </w:r>
            <w:r>
              <w:t>P</w:t>
            </w:r>
            <w:r>
              <w:rPr>
                <w:rFonts w:hint="eastAsia"/>
              </w:rPr>
              <w:t>设备部署</w:t>
            </w:r>
            <w:r>
              <w:t>位置的经度</w:t>
            </w:r>
            <w:r>
              <w:rPr>
                <w:rFonts w:hint="eastAsia"/>
              </w:rPr>
              <w:t>。</w:t>
            </w:r>
          </w:p>
        </w:tc>
      </w:tr>
      <w:tr w14:paraId="13C9E8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51" w:type="dxa"/>
            <w:shd w:val="clear" w:color="auto" w:fill="auto"/>
          </w:tcPr>
          <w:p w14:paraId="73A9707B">
            <w:pPr>
              <w:pStyle w:val="150"/>
            </w:pPr>
            <w:r>
              <w:rPr>
                <w:rFonts w:hint="eastAsia"/>
              </w:rPr>
              <w:t>AP纬度</w:t>
            </w:r>
          </w:p>
        </w:tc>
        <w:tc>
          <w:tcPr>
            <w:tcW w:w="5970" w:type="dxa"/>
            <w:shd w:val="clear" w:color="auto" w:fill="auto"/>
          </w:tcPr>
          <w:p w14:paraId="464D051C">
            <w:pPr>
              <w:pStyle w:val="150"/>
            </w:pPr>
            <w:r>
              <w:rPr>
                <w:rFonts w:hint="eastAsia"/>
              </w:rPr>
              <w:t>AP设备部署</w:t>
            </w:r>
            <w:r>
              <w:t>位置的纬度</w:t>
            </w:r>
            <w:r>
              <w:rPr>
                <w:rFonts w:hint="eastAsia"/>
              </w:rPr>
              <w:t>。</w:t>
            </w:r>
          </w:p>
        </w:tc>
      </w:tr>
      <w:tr w14:paraId="3DC2C4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51" w:type="dxa"/>
            <w:shd w:val="clear" w:color="auto" w:fill="auto"/>
          </w:tcPr>
          <w:p w14:paraId="43F0F996">
            <w:pPr>
              <w:pStyle w:val="150"/>
            </w:pPr>
            <w:r>
              <w:rPr>
                <w:rFonts w:hint="eastAsia"/>
              </w:rPr>
              <w:t>上传</w:t>
            </w:r>
            <w:r>
              <w:t>数据间隔</w:t>
            </w:r>
          </w:p>
        </w:tc>
        <w:tc>
          <w:tcPr>
            <w:tcW w:w="5970" w:type="dxa"/>
            <w:shd w:val="clear" w:color="auto" w:fill="auto"/>
          </w:tcPr>
          <w:p w14:paraId="0EA3D22D">
            <w:pPr>
              <w:pStyle w:val="150"/>
            </w:pPr>
            <w:r>
              <w:rPr>
                <w:rFonts w:hint="eastAsia"/>
              </w:rPr>
              <w:t>AP设备上传</w:t>
            </w:r>
            <w:r>
              <w:t>数据时间间隔</w:t>
            </w:r>
            <w:r>
              <w:rPr>
                <w:rFonts w:hint="eastAsia"/>
              </w:rPr>
              <w:t>。</w:t>
            </w:r>
          </w:p>
        </w:tc>
      </w:tr>
      <w:tr w14:paraId="555025C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51" w:type="dxa"/>
            <w:shd w:val="clear" w:color="auto" w:fill="auto"/>
          </w:tcPr>
          <w:p w14:paraId="73F130B5">
            <w:pPr>
              <w:pStyle w:val="150"/>
            </w:pPr>
            <w:r>
              <w:rPr>
                <w:rFonts w:hint="eastAsia"/>
              </w:rPr>
              <w:t>采集</w:t>
            </w:r>
            <w:r>
              <w:t>半径</w:t>
            </w:r>
          </w:p>
        </w:tc>
        <w:tc>
          <w:tcPr>
            <w:tcW w:w="5970" w:type="dxa"/>
            <w:shd w:val="clear" w:color="auto" w:fill="auto"/>
          </w:tcPr>
          <w:p w14:paraId="06E68A31">
            <w:pPr>
              <w:pStyle w:val="150"/>
            </w:pPr>
            <w:r>
              <w:rPr>
                <w:rFonts w:hint="eastAsia"/>
              </w:rPr>
              <w:t>AP设备采集</w:t>
            </w:r>
            <w:r>
              <w:t>数据的半径范围</w:t>
            </w:r>
            <w:r>
              <w:rPr>
                <w:rFonts w:hint="eastAsia"/>
              </w:rPr>
              <w:t>。</w:t>
            </w:r>
          </w:p>
        </w:tc>
      </w:tr>
      <w:tr w14:paraId="7FD341C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20" w:hRule="atLeast"/>
        </w:trPr>
        <w:tc>
          <w:tcPr>
            <w:tcW w:w="1951" w:type="dxa"/>
            <w:shd w:val="clear" w:color="auto" w:fill="auto"/>
          </w:tcPr>
          <w:p w14:paraId="7EC65B65">
            <w:pPr>
              <w:pStyle w:val="150"/>
            </w:pPr>
            <w:r>
              <w:rPr>
                <w:rFonts w:hint="eastAsia"/>
              </w:rPr>
              <w:t>认证</w:t>
            </w:r>
            <w:r>
              <w:t>类型</w:t>
            </w:r>
          </w:p>
        </w:tc>
        <w:tc>
          <w:tcPr>
            <w:tcW w:w="5970" w:type="dxa"/>
            <w:shd w:val="clear" w:color="auto" w:fill="auto"/>
          </w:tcPr>
          <w:p w14:paraId="1AAD278E">
            <w:pPr>
              <w:pStyle w:val="150"/>
            </w:pPr>
            <w:r>
              <w:rPr>
                <w:rFonts w:hint="eastAsia"/>
              </w:rPr>
              <w:t>AP设备下</w:t>
            </w:r>
            <w:r>
              <w:t>用户的认证类型（</w:t>
            </w:r>
            <w:r>
              <w:rPr>
                <w:rFonts w:hint="eastAsia"/>
              </w:rPr>
              <w:t>adsl</w:t>
            </w:r>
            <w:r>
              <w:t>宽带账号、手机号等）</w:t>
            </w:r>
            <w:r>
              <w:rPr>
                <w:rFonts w:hint="eastAsia"/>
              </w:rPr>
              <w:t>。</w:t>
            </w:r>
          </w:p>
        </w:tc>
      </w:tr>
      <w:tr w14:paraId="2E8564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51" w:type="dxa"/>
            <w:shd w:val="clear" w:color="auto" w:fill="auto"/>
          </w:tcPr>
          <w:p w14:paraId="668F95A2">
            <w:pPr>
              <w:pStyle w:val="150"/>
            </w:pPr>
            <w:r>
              <w:rPr>
                <w:rFonts w:hint="eastAsia"/>
              </w:rPr>
              <w:t>证件</w:t>
            </w:r>
            <w:r>
              <w:t>类型</w:t>
            </w:r>
          </w:p>
        </w:tc>
        <w:tc>
          <w:tcPr>
            <w:tcW w:w="5970" w:type="dxa"/>
            <w:shd w:val="clear" w:color="auto" w:fill="auto"/>
          </w:tcPr>
          <w:p w14:paraId="2D6C4AFC">
            <w:pPr>
              <w:pStyle w:val="150"/>
            </w:pPr>
            <w:r>
              <w:rPr>
                <w:rFonts w:hint="eastAsia"/>
              </w:rPr>
              <w:t>AP设备下</w:t>
            </w:r>
            <w:r>
              <w:t>用户使用的证件类型（</w:t>
            </w:r>
            <w:r>
              <w:rPr>
                <w:rFonts w:hint="eastAsia"/>
              </w:rPr>
              <w:t>如</w:t>
            </w:r>
            <w:r>
              <w:t>身份证、其它等）</w:t>
            </w:r>
            <w:r>
              <w:rPr>
                <w:rFonts w:hint="eastAsia"/>
              </w:rPr>
              <w:t>。</w:t>
            </w:r>
          </w:p>
        </w:tc>
      </w:tr>
      <w:tr w14:paraId="20AC78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51" w:type="dxa"/>
            <w:shd w:val="clear" w:color="auto" w:fill="auto"/>
          </w:tcPr>
          <w:p w14:paraId="4E7E184A">
            <w:pPr>
              <w:pStyle w:val="150"/>
            </w:pPr>
            <w:r>
              <w:rPr>
                <w:rFonts w:hint="eastAsia"/>
              </w:rPr>
              <w:t>热点S</w:t>
            </w:r>
            <w:r>
              <w:t>SID</w:t>
            </w:r>
          </w:p>
        </w:tc>
        <w:tc>
          <w:tcPr>
            <w:tcW w:w="5970" w:type="dxa"/>
            <w:shd w:val="clear" w:color="auto" w:fill="auto"/>
          </w:tcPr>
          <w:p w14:paraId="5676A533">
            <w:pPr>
              <w:pStyle w:val="150"/>
            </w:pPr>
            <w:r>
              <w:rPr>
                <w:rFonts w:hint="eastAsia"/>
              </w:rPr>
              <w:t>A</w:t>
            </w:r>
            <w:r>
              <w:t>P</w:t>
            </w:r>
            <w:r>
              <w:rPr>
                <w:rFonts w:hint="eastAsia"/>
              </w:rPr>
              <w:t>设备</w:t>
            </w:r>
            <w:r>
              <w:t>的热点</w:t>
            </w:r>
            <w:r>
              <w:rPr>
                <w:rFonts w:hint="eastAsia"/>
              </w:rPr>
              <w:t>SSID。</w:t>
            </w:r>
          </w:p>
        </w:tc>
      </w:tr>
      <w:tr w14:paraId="092EF2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51" w:type="dxa"/>
            <w:shd w:val="clear" w:color="auto" w:fill="auto"/>
          </w:tcPr>
          <w:p w14:paraId="13A92A45">
            <w:pPr>
              <w:pStyle w:val="150"/>
            </w:pPr>
            <w:r>
              <w:rPr>
                <w:rFonts w:hint="eastAsia"/>
              </w:rPr>
              <w:t>热点</w:t>
            </w:r>
            <w:r>
              <w:t>加密类型</w:t>
            </w:r>
          </w:p>
        </w:tc>
        <w:tc>
          <w:tcPr>
            <w:tcW w:w="5970" w:type="dxa"/>
            <w:shd w:val="clear" w:color="auto" w:fill="auto"/>
          </w:tcPr>
          <w:p w14:paraId="5BC755AF">
            <w:pPr>
              <w:pStyle w:val="150"/>
            </w:pPr>
            <w:r>
              <w:rPr>
                <w:rFonts w:hint="eastAsia"/>
              </w:rPr>
              <w:t>AP设备</w:t>
            </w:r>
            <w:r>
              <w:t>设置热点使用的加密类型</w:t>
            </w:r>
            <w:r>
              <w:rPr>
                <w:rFonts w:hint="eastAsia"/>
              </w:rPr>
              <w:t>。</w:t>
            </w:r>
          </w:p>
        </w:tc>
      </w:tr>
      <w:tr w14:paraId="455C5C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51" w:type="dxa"/>
            <w:shd w:val="clear" w:color="auto" w:fill="auto"/>
          </w:tcPr>
          <w:p w14:paraId="6915BBAB">
            <w:pPr>
              <w:pStyle w:val="150"/>
            </w:pPr>
            <w:r>
              <w:rPr>
                <w:rFonts w:hint="eastAsia"/>
              </w:rPr>
              <w:t>终端</w:t>
            </w:r>
            <w:r>
              <w:t>上网环境</w:t>
            </w:r>
          </w:p>
        </w:tc>
        <w:tc>
          <w:tcPr>
            <w:tcW w:w="5970" w:type="dxa"/>
            <w:shd w:val="clear" w:color="auto" w:fill="auto"/>
          </w:tcPr>
          <w:p w14:paraId="01CD8B0E">
            <w:pPr>
              <w:pStyle w:val="150"/>
            </w:pPr>
            <w:r>
              <w:rPr>
                <w:rFonts w:hint="eastAsia"/>
              </w:rPr>
              <w:t>终端上网环境，1 直连审计设备，2 通过非三层交换机等，具体参考对接文档。</w:t>
            </w:r>
          </w:p>
        </w:tc>
      </w:tr>
      <w:tr w14:paraId="33533AB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51" w:type="dxa"/>
            <w:shd w:val="clear" w:color="auto" w:fill="auto"/>
          </w:tcPr>
          <w:p w14:paraId="0349C848">
            <w:pPr>
              <w:pStyle w:val="150"/>
            </w:pPr>
            <w:r>
              <w:rPr>
                <w:rFonts w:hint="eastAsia"/>
              </w:rPr>
              <w:t>认证</w:t>
            </w:r>
            <w:r>
              <w:t>数据来源</w:t>
            </w:r>
          </w:p>
        </w:tc>
        <w:tc>
          <w:tcPr>
            <w:tcW w:w="5970" w:type="dxa"/>
            <w:shd w:val="clear" w:color="auto" w:fill="auto"/>
          </w:tcPr>
          <w:p w14:paraId="40951BAB">
            <w:pPr>
              <w:pStyle w:val="150"/>
            </w:pPr>
            <w:r>
              <w:rPr>
                <w:rFonts w:hint="eastAsia"/>
              </w:rPr>
              <w:t>实名认证数据来源：0 ID卡，1手工输入 2 刷二代证等，具体参考对接文档。</w:t>
            </w:r>
          </w:p>
        </w:tc>
      </w:tr>
      <w:tr w14:paraId="5E5D4E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51" w:type="dxa"/>
            <w:shd w:val="clear" w:color="auto" w:fill="auto"/>
          </w:tcPr>
          <w:p w14:paraId="1B00C69E">
            <w:pPr>
              <w:pStyle w:val="150"/>
            </w:pPr>
            <w:r>
              <w:rPr>
                <w:rFonts w:hint="eastAsia"/>
              </w:rPr>
              <w:t>安装</w:t>
            </w:r>
            <w:r>
              <w:t>时间</w:t>
            </w:r>
          </w:p>
        </w:tc>
        <w:tc>
          <w:tcPr>
            <w:tcW w:w="5970" w:type="dxa"/>
            <w:shd w:val="clear" w:color="auto" w:fill="auto"/>
          </w:tcPr>
          <w:p w14:paraId="07D05519">
            <w:pPr>
              <w:pStyle w:val="150"/>
            </w:pPr>
            <w:r>
              <w:rPr>
                <w:rFonts w:hint="eastAsia"/>
              </w:rPr>
              <w:t>AP设备的</w:t>
            </w:r>
            <w:r>
              <w:t>安装时间</w:t>
            </w:r>
            <w:r>
              <w:rPr>
                <w:rFonts w:hint="eastAsia"/>
              </w:rPr>
              <w:t>。</w:t>
            </w:r>
          </w:p>
        </w:tc>
      </w:tr>
      <w:tr w14:paraId="4346A73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951" w:type="dxa"/>
            <w:shd w:val="clear" w:color="auto" w:fill="auto"/>
          </w:tcPr>
          <w:p w14:paraId="3C922FAD">
            <w:pPr>
              <w:pStyle w:val="150"/>
            </w:pPr>
            <w:r>
              <w:rPr>
                <w:rFonts w:hint="eastAsia"/>
              </w:rPr>
              <w:t>安装位置</w:t>
            </w:r>
          </w:p>
        </w:tc>
        <w:tc>
          <w:tcPr>
            <w:tcW w:w="5970" w:type="dxa"/>
            <w:shd w:val="clear" w:color="auto" w:fill="auto"/>
          </w:tcPr>
          <w:p w14:paraId="4F3BC6CE">
            <w:pPr>
              <w:pStyle w:val="150"/>
            </w:pPr>
            <w:r>
              <w:rPr>
                <w:rFonts w:hint="eastAsia"/>
              </w:rPr>
              <w:t>AP设备安装</w:t>
            </w:r>
            <w:r>
              <w:t>的</w:t>
            </w:r>
            <w:r>
              <w:rPr>
                <w:rFonts w:hint="eastAsia"/>
              </w:rPr>
              <w:t>位置。</w:t>
            </w:r>
          </w:p>
        </w:tc>
      </w:tr>
    </w:tbl>
    <w:p w14:paraId="08892B9E"/>
    <w:p w14:paraId="115B08F2">
      <w:r>
        <w:rPr>
          <w:rFonts w:hint="eastAsia"/>
        </w:rPr>
        <w:t>以对接</w:t>
      </w:r>
      <w:r>
        <w:t>厂商选择任子行为例，配置完相关参数，点击</w:t>
      </w:r>
      <w:r>
        <w:rPr>
          <w:rFonts w:hint="eastAsia"/>
        </w:rPr>
        <w:t>“提交”按钮</w:t>
      </w:r>
      <w:r>
        <w:t>，则</w:t>
      </w:r>
      <w:r>
        <w:rPr>
          <w:rFonts w:hint="eastAsia"/>
        </w:rPr>
        <w:t>AP设备</w:t>
      </w:r>
      <w:r>
        <w:t>添加完成</w:t>
      </w:r>
      <w:r>
        <w:rPr>
          <w:rFonts w:hint="eastAsia"/>
        </w:rPr>
        <w:t>，</w:t>
      </w:r>
      <w:r>
        <w:t>如</w:t>
      </w:r>
      <w:r>
        <w:fldChar w:fldCharType="begin"/>
      </w:r>
      <w:r>
        <w:instrText xml:space="preserve">  REF _Ref494446302 \r \h  \* MERGEFORMAT </w:instrText>
      </w:r>
      <w:r>
        <w:fldChar w:fldCharType="separate"/>
      </w:r>
      <w:r>
        <w:rPr>
          <w:rFonts w:hint="eastAsia"/>
        </w:rPr>
        <w:t>图35-7</w:t>
      </w:r>
      <w:r>
        <w:fldChar w:fldCharType="end"/>
      </w:r>
      <w:r>
        <w:rPr>
          <w:rFonts w:hint="eastAsia"/>
        </w:rPr>
        <w:t>所示。</w:t>
      </w:r>
    </w:p>
    <w:p w14:paraId="6C72D665">
      <w:pPr>
        <w:pStyle w:val="188"/>
      </w:pPr>
      <w:bookmarkStart w:id="11977" w:name="_Ref494446302"/>
      <w:bookmarkStart w:id="11978" w:name="_Toc141875350"/>
      <w:r>
        <w:rPr>
          <w:rFonts w:hint="eastAsia"/>
        </w:rPr>
        <w:t>任子行网监平台对接AP设备配置页面</w:t>
      </w:r>
      <w:bookmarkEnd w:id="11977"/>
      <w:bookmarkEnd w:id="11978"/>
    </w:p>
    <w:p w14:paraId="0C97E086">
      <w:pPr>
        <w:pStyle w:val="175"/>
      </w:pPr>
      <w:r>
        <w:drawing>
          <wp:inline distT="0" distB="0" distL="0" distR="0">
            <wp:extent cx="4676775" cy="3752215"/>
            <wp:effectExtent l="0" t="0" r="0" b="635"/>
            <wp:docPr id="4293" name="图片 4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3" name="图片 4293"/>
                    <pic:cNvPicPr>
                      <a:picLocks noChangeAspect="1"/>
                    </pic:cNvPicPr>
                  </pic:nvPicPr>
                  <pic:blipFill>
                    <a:blip r:embed="rId1326"/>
                    <a:stretch>
                      <a:fillRect/>
                    </a:stretch>
                  </pic:blipFill>
                  <pic:spPr>
                    <a:xfrm>
                      <a:off x="0" y="0"/>
                      <a:ext cx="4732190" cy="3796945"/>
                    </a:xfrm>
                    <a:prstGeom prst="rect">
                      <a:avLst/>
                    </a:prstGeom>
                  </pic:spPr>
                </pic:pic>
              </a:graphicData>
            </a:graphic>
          </wp:inline>
        </w:drawing>
      </w:r>
      <w:r>
        <w:drawing>
          <wp:inline distT="0" distB="0" distL="0" distR="0">
            <wp:extent cx="5076825" cy="3399790"/>
            <wp:effectExtent l="0" t="0" r="0" b="0"/>
            <wp:docPr id="1296485368" name="图片 129648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68" name="图片 1296485368"/>
                    <pic:cNvPicPr>
                      <a:picLocks noChangeAspect="1"/>
                    </pic:cNvPicPr>
                  </pic:nvPicPr>
                  <pic:blipFill>
                    <a:blip r:embed="rId1327"/>
                    <a:stretch>
                      <a:fillRect/>
                    </a:stretch>
                  </pic:blipFill>
                  <pic:spPr>
                    <a:xfrm>
                      <a:off x="0" y="0"/>
                      <a:ext cx="5083042" cy="3404515"/>
                    </a:xfrm>
                    <a:prstGeom prst="rect">
                      <a:avLst/>
                    </a:prstGeom>
                  </pic:spPr>
                </pic:pic>
              </a:graphicData>
            </a:graphic>
          </wp:inline>
        </w:drawing>
      </w:r>
      <w:r>
        <w:t xml:space="preserve"> </w:t>
      </w:r>
    </w:p>
    <w:p w14:paraId="398D23A9">
      <w:r>
        <w:drawing>
          <wp:inline distT="0" distB="0" distL="0" distR="0">
            <wp:extent cx="5267325" cy="2134235"/>
            <wp:effectExtent l="0" t="0" r="0" b="0"/>
            <wp:docPr id="1296485369" name="图片 1296485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69" name="图片 1296485369"/>
                    <pic:cNvPicPr>
                      <a:picLocks noChangeAspect="1"/>
                    </pic:cNvPicPr>
                  </pic:nvPicPr>
                  <pic:blipFill>
                    <a:blip r:embed="rId1328"/>
                    <a:stretch>
                      <a:fillRect/>
                    </a:stretch>
                  </pic:blipFill>
                  <pic:spPr>
                    <a:xfrm>
                      <a:off x="0" y="0"/>
                      <a:ext cx="5276839" cy="2138327"/>
                    </a:xfrm>
                    <a:prstGeom prst="rect">
                      <a:avLst/>
                    </a:prstGeom>
                  </pic:spPr>
                </pic:pic>
              </a:graphicData>
            </a:graphic>
          </wp:inline>
        </w:drawing>
      </w:r>
    </w:p>
    <w:p w14:paraId="769DDFF6"/>
    <w:p w14:paraId="21A5CAD8">
      <w:pPr>
        <w:pStyle w:val="5"/>
      </w:pPr>
      <w:bookmarkStart w:id="11979" w:name="_Toc494295564"/>
      <w:bookmarkStart w:id="11980" w:name="_Toc58604483"/>
      <w:bookmarkStart w:id="11981" w:name="_Toc146618590"/>
      <w:bookmarkStart w:id="11982" w:name="_Toc70414931"/>
      <w:bookmarkStart w:id="11983" w:name="_Toc194081279"/>
      <w:bookmarkStart w:id="11984" w:name="_Toc70415868"/>
      <w:bookmarkStart w:id="11985" w:name="_Toc141873884"/>
      <w:bookmarkStart w:id="11986" w:name="_Toc99562072"/>
      <w:bookmarkStart w:id="11987" w:name="_Toc196728607"/>
      <w:bookmarkStart w:id="11988" w:name="_Toc142401401"/>
      <w:r>
        <w:t>配置上报周期</w:t>
      </w:r>
      <w:bookmarkEnd w:id="11979"/>
      <w:bookmarkEnd w:id="11980"/>
      <w:bookmarkEnd w:id="11981"/>
      <w:bookmarkEnd w:id="11982"/>
      <w:bookmarkEnd w:id="11983"/>
      <w:bookmarkEnd w:id="11984"/>
      <w:bookmarkEnd w:id="11985"/>
      <w:bookmarkEnd w:id="11986"/>
      <w:bookmarkEnd w:id="11987"/>
      <w:bookmarkEnd w:id="11988"/>
    </w:p>
    <w:p w14:paraId="7063784A">
      <w:r>
        <w:rPr>
          <w:rFonts w:hint="eastAsia"/>
        </w:rPr>
        <w:t>在导航栏中选择“系统管理&gt;系统设定&gt;无线非经</w:t>
      </w:r>
      <w:r>
        <w:t>&gt;</w:t>
      </w:r>
      <w:r>
        <w:rPr>
          <w:rFonts w:hint="eastAsia"/>
        </w:rPr>
        <w:t>上报</w:t>
      </w:r>
      <w:r>
        <w:t>周期设置</w:t>
      </w:r>
      <w:r>
        <w:rPr>
          <w:rFonts w:hint="eastAsia"/>
        </w:rPr>
        <w:t>”，进入上报周期</w:t>
      </w:r>
      <w:r>
        <w:t>设置</w:t>
      </w:r>
      <w:r>
        <w:rPr>
          <w:rFonts w:hint="eastAsia"/>
        </w:rPr>
        <w:t>的显示页面，如</w:t>
      </w:r>
      <w:r>
        <w:fldChar w:fldCharType="begin"/>
      </w:r>
      <w:r>
        <w:instrText xml:space="preserve">  REF _Ref494446326 \r \h  \* MERGEFORMAT </w:instrText>
      </w:r>
      <w:r>
        <w:fldChar w:fldCharType="separate"/>
      </w:r>
      <w:r>
        <w:rPr>
          <w:rFonts w:hint="eastAsia"/>
        </w:rPr>
        <w:t>图35-8</w:t>
      </w:r>
      <w:r>
        <w:fldChar w:fldCharType="end"/>
      </w:r>
      <w:r>
        <w:rPr>
          <w:rFonts w:hint="eastAsia"/>
        </w:rPr>
        <w:t>所示，页面各个显示详细说明如</w:t>
      </w:r>
      <w:r>
        <w:fldChar w:fldCharType="begin"/>
      </w:r>
      <w:r>
        <w:instrText xml:space="preserve">  REF _Ref494446335 \r \h  \* MERGEFORMAT </w:instrText>
      </w:r>
      <w:r>
        <w:fldChar w:fldCharType="separate"/>
      </w:r>
      <w:r>
        <w:rPr>
          <w:rFonts w:hint="eastAsia"/>
        </w:rPr>
        <w:t>表35-1</w:t>
      </w:r>
      <w:r>
        <w:fldChar w:fldCharType="end"/>
      </w:r>
      <w:r>
        <w:rPr>
          <w:rFonts w:hint="eastAsia"/>
        </w:rPr>
        <w:t>所示。</w:t>
      </w:r>
    </w:p>
    <w:p w14:paraId="330A9516">
      <w:pPr>
        <w:pStyle w:val="188"/>
      </w:pPr>
      <w:bookmarkStart w:id="11989" w:name="_Ref494446326"/>
      <w:bookmarkStart w:id="11990" w:name="_Toc141875351"/>
      <w:r>
        <w:rPr>
          <w:rFonts w:hint="eastAsia"/>
        </w:rPr>
        <w:t>上报</w:t>
      </w:r>
      <w:r>
        <w:t>周期设置</w:t>
      </w:r>
      <w:r>
        <w:rPr>
          <w:rFonts w:hint="eastAsia"/>
        </w:rPr>
        <w:t>显示页面</w:t>
      </w:r>
      <w:bookmarkEnd w:id="11989"/>
      <w:bookmarkEnd w:id="11990"/>
    </w:p>
    <w:p w14:paraId="38063D8A">
      <w:r>
        <w:drawing>
          <wp:inline distT="0" distB="0" distL="0" distR="0">
            <wp:extent cx="5514975" cy="1022985"/>
            <wp:effectExtent l="0" t="0" r="0" b="5715"/>
            <wp:docPr id="1296485371" name="图片 1296485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71" name="图片 1296485371"/>
                    <pic:cNvPicPr>
                      <a:picLocks noChangeAspect="1"/>
                    </pic:cNvPicPr>
                  </pic:nvPicPr>
                  <pic:blipFill>
                    <a:blip r:embed="rId1329"/>
                    <a:stretch>
                      <a:fillRect/>
                    </a:stretch>
                  </pic:blipFill>
                  <pic:spPr>
                    <a:xfrm>
                      <a:off x="0" y="0"/>
                      <a:ext cx="5547887" cy="1029689"/>
                    </a:xfrm>
                    <a:prstGeom prst="rect">
                      <a:avLst/>
                    </a:prstGeom>
                  </pic:spPr>
                </pic:pic>
              </a:graphicData>
            </a:graphic>
          </wp:inline>
        </w:drawing>
      </w:r>
    </w:p>
    <w:p w14:paraId="6273BB16">
      <w:pPr>
        <w:pStyle w:val="183"/>
      </w:pPr>
      <w:bookmarkStart w:id="11991" w:name="_Ref494446335"/>
      <w:bookmarkStart w:id="11992" w:name="_Toc141875810"/>
      <w:r>
        <w:rPr>
          <w:rFonts w:hint="eastAsia"/>
        </w:rPr>
        <w:t>上报</w:t>
      </w:r>
      <w:r>
        <w:t>周期设置</w:t>
      </w:r>
      <w:r>
        <w:rPr>
          <w:rFonts w:hint="eastAsia"/>
        </w:rPr>
        <w:t>页面各个显示项说明表</w:t>
      </w:r>
      <w:bookmarkEnd w:id="11991"/>
      <w:bookmarkEnd w:id="11992"/>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049"/>
        <w:gridCol w:w="6921"/>
      </w:tblGrid>
      <w:tr w14:paraId="6B2B83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49" w:type="dxa"/>
            <w:tcBorders>
              <w:tl2br w:val="nil"/>
              <w:tr2bl w:val="nil"/>
            </w:tcBorders>
            <w:shd w:val="clear" w:color="auto" w:fill="538135" w:themeFill="accent6" w:themeFillShade="BF"/>
            <w:vAlign w:val="center"/>
          </w:tcPr>
          <w:p w14:paraId="0CDD20AC">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921" w:type="dxa"/>
            <w:tcBorders>
              <w:tl2br w:val="nil"/>
              <w:tr2bl w:val="nil"/>
            </w:tcBorders>
            <w:shd w:val="clear" w:color="auto" w:fill="538135" w:themeFill="accent6" w:themeFillShade="BF"/>
            <w:vAlign w:val="center"/>
          </w:tcPr>
          <w:p w14:paraId="1A3B2C9F">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0E3DB5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49" w:type="dxa"/>
            <w:shd w:val="clear" w:color="auto" w:fill="auto"/>
          </w:tcPr>
          <w:p w14:paraId="7F6D8BCB">
            <w:pPr>
              <w:pStyle w:val="150"/>
            </w:pPr>
            <w:r>
              <w:rPr>
                <w:rFonts w:hint="eastAsia"/>
              </w:rPr>
              <w:t>新建</w:t>
            </w:r>
          </w:p>
        </w:tc>
        <w:tc>
          <w:tcPr>
            <w:tcW w:w="6921" w:type="dxa"/>
            <w:shd w:val="clear" w:color="auto" w:fill="auto"/>
          </w:tcPr>
          <w:p w14:paraId="2898F00C">
            <w:pPr>
              <w:pStyle w:val="150"/>
            </w:pPr>
            <w:r>
              <w:rPr>
                <w:rFonts w:hint="eastAsia"/>
              </w:rPr>
              <w:t>新建</w:t>
            </w:r>
            <w:r>
              <w:t>上报</w:t>
            </w:r>
            <w:r>
              <w:rPr>
                <w:rFonts w:hint="eastAsia"/>
              </w:rPr>
              <w:t>日志策略。</w:t>
            </w:r>
          </w:p>
        </w:tc>
      </w:tr>
      <w:tr w14:paraId="3199697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49" w:type="dxa"/>
            <w:shd w:val="clear" w:color="auto" w:fill="auto"/>
          </w:tcPr>
          <w:p w14:paraId="705E6D1A">
            <w:pPr>
              <w:pStyle w:val="150"/>
            </w:pPr>
            <w:r>
              <w:rPr>
                <w:rFonts w:hint="eastAsia"/>
              </w:rPr>
              <w:t>删除</w:t>
            </w:r>
          </w:p>
        </w:tc>
        <w:tc>
          <w:tcPr>
            <w:tcW w:w="6921" w:type="dxa"/>
            <w:shd w:val="clear" w:color="auto" w:fill="auto"/>
          </w:tcPr>
          <w:p w14:paraId="718C6206">
            <w:pPr>
              <w:pStyle w:val="150"/>
            </w:pPr>
            <w:r>
              <w:rPr>
                <w:rFonts w:hint="eastAsia"/>
              </w:rPr>
              <w:t>删除一个或多个上报日志策略</w:t>
            </w:r>
            <w:r>
              <w:rPr>
                <w:rFonts w:hint="eastAsia" w:eastAsiaTheme="minorEastAsia"/>
              </w:rPr>
              <w:t>。</w:t>
            </w:r>
          </w:p>
        </w:tc>
      </w:tr>
      <w:tr w14:paraId="204DD9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49" w:type="dxa"/>
            <w:shd w:val="clear" w:color="auto" w:fill="auto"/>
          </w:tcPr>
          <w:p w14:paraId="656F68EC">
            <w:pPr>
              <w:pStyle w:val="150"/>
            </w:pPr>
            <w:r>
              <w:rPr>
                <w:rFonts w:hint="eastAsia"/>
              </w:rPr>
              <w:t>状态</w:t>
            </w:r>
          </w:p>
        </w:tc>
        <w:tc>
          <w:tcPr>
            <w:tcW w:w="6921" w:type="dxa"/>
            <w:shd w:val="clear" w:color="auto" w:fill="auto"/>
          </w:tcPr>
          <w:p w14:paraId="7E190125">
            <w:pPr>
              <w:pStyle w:val="150"/>
            </w:pPr>
            <w:r>
              <w:rPr>
                <w:rFonts w:hint="eastAsia"/>
              </w:rPr>
              <w:t>上报日志策略启用或禁用状态</w:t>
            </w:r>
            <w:r>
              <w:rPr>
                <w:rFonts w:hint="eastAsia" w:eastAsiaTheme="minorEastAsia"/>
              </w:rPr>
              <w:t>。</w:t>
            </w:r>
          </w:p>
        </w:tc>
      </w:tr>
      <w:tr w14:paraId="1EE92F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49" w:type="dxa"/>
            <w:shd w:val="clear" w:color="auto" w:fill="auto"/>
          </w:tcPr>
          <w:p w14:paraId="65986E12">
            <w:pPr>
              <w:pStyle w:val="150"/>
            </w:pPr>
            <w:r>
              <w:rPr>
                <w:rFonts w:hint="eastAsia"/>
              </w:rPr>
              <w:t>名称</w:t>
            </w:r>
          </w:p>
        </w:tc>
        <w:tc>
          <w:tcPr>
            <w:tcW w:w="6921" w:type="dxa"/>
            <w:shd w:val="clear" w:color="auto" w:fill="auto"/>
          </w:tcPr>
          <w:p w14:paraId="23C3859A">
            <w:pPr>
              <w:pStyle w:val="150"/>
            </w:pPr>
            <w:r>
              <w:rPr>
                <w:rFonts w:hint="eastAsia"/>
              </w:rPr>
              <w:t>上报日志策略的名称</w:t>
            </w:r>
            <w:r>
              <w:rPr>
                <w:rFonts w:hint="eastAsia" w:eastAsiaTheme="minorEastAsia"/>
              </w:rPr>
              <w:t>。</w:t>
            </w:r>
          </w:p>
        </w:tc>
      </w:tr>
      <w:tr w14:paraId="2E0AF3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49" w:type="dxa"/>
            <w:shd w:val="clear" w:color="auto" w:fill="auto"/>
          </w:tcPr>
          <w:p w14:paraId="72CA5154">
            <w:pPr>
              <w:pStyle w:val="150"/>
            </w:pPr>
            <w:r>
              <w:rPr>
                <w:rFonts w:hint="eastAsia"/>
              </w:rPr>
              <w:t>脚本</w:t>
            </w:r>
          </w:p>
        </w:tc>
        <w:tc>
          <w:tcPr>
            <w:tcW w:w="6921" w:type="dxa"/>
            <w:shd w:val="clear" w:color="auto" w:fill="auto"/>
          </w:tcPr>
          <w:p w14:paraId="569F0836">
            <w:pPr>
              <w:pStyle w:val="150"/>
            </w:pPr>
            <w:r>
              <w:rPr>
                <w:rFonts w:hint="eastAsia"/>
              </w:rPr>
              <w:t>上报</w:t>
            </w:r>
            <w:r>
              <w:t>日志</w:t>
            </w:r>
            <w:r>
              <w:rPr>
                <w:rFonts w:hint="eastAsia"/>
              </w:rPr>
              <w:t>策略</w:t>
            </w:r>
            <w:r>
              <w:t>的脚本</w:t>
            </w:r>
            <w:r>
              <w:rPr>
                <w:rFonts w:hint="eastAsia"/>
              </w:rPr>
              <w:t>。</w:t>
            </w:r>
          </w:p>
        </w:tc>
      </w:tr>
      <w:tr w14:paraId="76A42A5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49" w:type="dxa"/>
            <w:shd w:val="clear" w:color="auto" w:fill="auto"/>
          </w:tcPr>
          <w:p w14:paraId="753901A6">
            <w:pPr>
              <w:pStyle w:val="150"/>
            </w:pPr>
            <w:r>
              <w:rPr>
                <w:rFonts w:hint="eastAsia"/>
              </w:rPr>
              <w:t>执行</w:t>
            </w:r>
            <w:r>
              <w:t>周期</w:t>
            </w:r>
          </w:p>
        </w:tc>
        <w:tc>
          <w:tcPr>
            <w:tcW w:w="6921" w:type="dxa"/>
            <w:shd w:val="clear" w:color="auto" w:fill="auto"/>
          </w:tcPr>
          <w:p w14:paraId="27014441">
            <w:pPr>
              <w:pStyle w:val="150"/>
            </w:pPr>
            <w:r>
              <w:rPr>
                <w:rFonts w:hint="eastAsia"/>
              </w:rPr>
              <w:t>执行</w:t>
            </w:r>
            <w:r>
              <w:t>脚本的周期（</w:t>
            </w:r>
            <w:r>
              <w:rPr>
                <w:rFonts w:hint="eastAsia"/>
              </w:rPr>
              <w:t>单次</w:t>
            </w:r>
            <w:r>
              <w:t>、每周、每月）。</w:t>
            </w:r>
          </w:p>
        </w:tc>
      </w:tr>
      <w:tr w14:paraId="712EDB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49" w:type="dxa"/>
            <w:shd w:val="clear" w:color="auto" w:fill="auto"/>
          </w:tcPr>
          <w:p w14:paraId="12F8EBFA">
            <w:pPr>
              <w:pStyle w:val="150"/>
            </w:pPr>
            <w:r>
              <w:rPr>
                <w:rFonts w:hint="eastAsia"/>
              </w:rPr>
              <w:t>执行</w:t>
            </w:r>
            <w:r>
              <w:t>频率</w:t>
            </w:r>
          </w:p>
        </w:tc>
        <w:tc>
          <w:tcPr>
            <w:tcW w:w="6921" w:type="dxa"/>
            <w:shd w:val="clear" w:color="auto" w:fill="auto"/>
          </w:tcPr>
          <w:p w14:paraId="72819B47">
            <w:pPr>
              <w:pStyle w:val="150"/>
            </w:pPr>
            <w:r>
              <w:rPr>
                <w:rFonts w:hint="eastAsia"/>
              </w:rPr>
              <w:t>执行</w:t>
            </w:r>
            <w:r>
              <w:t>脚本生成日志的频率</w:t>
            </w:r>
            <w:r>
              <w:rPr>
                <w:rFonts w:hint="eastAsia"/>
              </w:rPr>
              <w:t>。</w:t>
            </w:r>
          </w:p>
        </w:tc>
      </w:tr>
      <w:tr w14:paraId="3D2C95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49" w:type="dxa"/>
            <w:shd w:val="clear" w:color="auto" w:fill="auto"/>
          </w:tcPr>
          <w:p w14:paraId="2D9DBB75">
            <w:pPr>
              <w:pStyle w:val="150"/>
            </w:pPr>
            <w:r>
              <w:rPr>
                <w:rFonts w:hint="eastAsia"/>
              </w:rPr>
              <w:t>每周</w:t>
            </w:r>
          </w:p>
        </w:tc>
        <w:tc>
          <w:tcPr>
            <w:tcW w:w="6921" w:type="dxa"/>
            <w:shd w:val="clear" w:color="auto" w:fill="auto"/>
          </w:tcPr>
          <w:p w14:paraId="172D3A91">
            <w:pPr>
              <w:pStyle w:val="150"/>
            </w:pPr>
            <w:r>
              <w:t>每周具体的上报周期及时间</w:t>
            </w:r>
            <w:r>
              <w:rPr>
                <w:rFonts w:hint="eastAsia"/>
              </w:rPr>
              <w:t>。</w:t>
            </w:r>
          </w:p>
        </w:tc>
      </w:tr>
      <w:tr w14:paraId="000E5F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49" w:type="dxa"/>
            <w:shd w:val="clear" w:color="auto" w:fill="auto"/>
          </w:tcPr>
          <w:p w14:paraId="7281A434">
            <w:pPr>
              <w:pStyle w:val="150"/>
            </w:pPr>
            <w:r>
              <w:rPr>
                <w:rFonts w:hint="eastAsia"/>
              </w:rPr>
              <w:t>每月</w:t>
            </w:r>
          </w:p>
        </w:tc>
        <w:tc>
          <w:tcPr>
            <w:tcW w:w="6921" w:type="dxa"/>
            <w:shd w:val="clear" w:color="auto" w:fill="auto"/>
          </w:tcPr>
          <w:p w14:paraId="728554AD">
            <w:pPr>
              <w:pStyle w:val="150"/>
            </w:pPr>
            <w:r>
              <w:t>每</w:t>
            </w:r>
            <w:r>
              <w:rPr>
                <w:rFonts w:hint="eastAsia"/>
              </w:rPr>
              <w:t>月</w:t>
            </w:r>
            <w:r>
              <w:t>具体的上报</w:t>
            </w:r>
            <w:r>
              <w:rPr>
                <w:rFonts w:hint="eastAsia"/>
              </w:rPr>
              <w:t>日</w:t>
            </w:r>
            <w:r>
              <w:t>期及时间</w:t>
            </w:r>
            <w:r>
              <w:rPr>
                <w:rFonts w:hint="eastAsia"/>
              </w:rPr>
              <w:t>。</w:t>
            </w:r>
          </w:p>
        </w:tc>
      </w:tr>
      <w:tr w14:paraId="4C6B20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2049" w:type="dxa"/>
            <w:shd w:val="clear" w:color="auto" w:fill="auto"/>
          </w:tcPr>
          <w:p w14:paraId="426D6FFE">
            <w:pPr>
              <w:pStyle w:val="150"/>
            </w:pPr>
            <w:r>
              <w:rPr>
                <w:rFonts w:hint="eastAsia"/>
              </w:rPr>
              <w:t>操作</w:t>
            </w:r>
          </w:p>
        </w:tc>
        <w:tc>
          <w:tcPr>
            <w:tcW w:w="6921" w:type="dxa"/>
            <w:shd w:val="clear" w:color="auto" w:fill="auto"/>
          </w:tcPr>
          <w:p w14:paraId="7B6E2AC1">
            <w:pPr>
              <w:pStyle w:val="150"/>
            </w:pPr>
            <w:r>
              <w:rPr>
                <w:rFonts w:hint="eastAsia"/>
              </w:rPr>
              <w:t>对</w:t>
            </w:r>
            <w:r>
              <w:t>已配置的上报</w:t>
            </w:r>
            <w:r>
              <w:rPr>
                <w:rFonts w:hint="eastAsia"/>
              </w:rPr>
              <w:t>日志策略</w:t>
            </w:r>
            <w:r>
              <w:t>可进行</w:t>
            </w:r>
            <w:r>
              <w:rPr>
                <w:rFonts w:hint="eastAsia"/>
              </w:rPr>
              <w:t>编辑</w:t>
            </w:r>
            <w:r>
              <w:t>、删除操作</w:t>
            </w:r>
            <w:r>
              <w:rPr>
                <w:rFonts w:hint="eastAsia"/>
              </w:rPr>
              <w:t>。</w:t>
            </w:r>
          </w:p>
        </w:tc>
      </w:tr>
    </w:tbl>
    <w:p w14:paraId="44CBC2F8"/>
    <w:p w14:paraId="58037B76">
      <w:r>
        <w:rPr>
          <w:rFonts w:hint="eastAsia"/>
        </w:rPr>
        <w:t>单击 “新建”</w:t>
      </w:r>
      <w:r>
        <w:t>‌</w:t>
      </w:r>
      <w:r>
        <w:rPr>
          <w:rFonts w:hint="eastAsia"/>
        </w:rPr>
        <w:t>按钮，进入上报</w:t>
      </w:r>
      <w:r>
        <w:t>周期设置</w:t>
      </w:r>
      <w:r>
        <w:rPr>
          <w:rFonts w:hint="eastAsia"/>
        </w:rPr>
        <w:t>的配置页面，如</w:t>
      </w:r>
      <w:r>
        <w:fldChar w:fldCharType="begin"/>
      </w:r>
      <w:r>
        <w:instrText xml:space="preserve">  REF _Ref494446356 \r \h  \* MERGEFORMAT </w:instrText>
      </w:r>
      <w:r>
        <w:fldChar w:fldCharType="separate"/>
      </w:r>
      <w:r>
        <w:rPr>
          <w:rFonts w:hint="eastAsia"/>
        </w:rPr>
        <w:t>图35-9</w:t>
      </w:r>
      <w:r>
        <w:fldChar w:fldCharType="end"/>
      </w:r>
      <w:r>
        <w:rPr>
          <w:rFonts w:hint="eastAsia"/>
        </w:rPr>
        <w:t>所示，页面的详细说明如</w:t>
      </w:r>
      <w:r>
        <w:fldChar w:fldCharType="begin"/>
      </w:r>
      <w:r>
        <w:instrText xml:space="preserve">  REF _Ref494446364 \r \h  \* MERGEFORMAT </w:instrText>
      </w:r>
      <w:r>
        <w:fldChar w:fldCharType="separate"/>
      </w:r>
      <w:r>
        <w:rPr>
          <w:rFonts w:hint="eastAsia"/>
        </w:rPr>
        <w:t>表35-1</w:t>
      </w:r>
      <w:r>
        <w:fldChar w:fldCharType="end"/>
      </w:r>
      <w:r>
        <w:rPr>
          <w:rFonts w:hint="eastAsia"/>
        </w:rPr>
        <w:t>所示。</w:t>
      </w:r>
    </w:p>
    <w:p w14:paraId="18A42FC4">
      <w:pPr>
        <w:pStyle w:val="188"/>
      </w:pPr>
      <w:bookmarkStart w:id="11993" w:name="_Ref494446356"/>
      <w:bookmarkStart w:id="11994" w:name="_Toc141875352"/>
      <w:r>
        <w:rPr>
          <w:rFonts w:hint="eastAsia"/>
        </w:rPr>
        <w:t>新建</w:t>
      </w:r>
      <w:r>
        <w:t>上报周期</w:t>
      </w:r>
      <w:bookmarkEnd w:id="11993"/>
      <w:bookmarkEnd w:id="11994"/>
    </w:p>
    <w:p w14:paraId="6DC93A22">
      <w:r>
        <w:drawing>
          <wp:inline distT="0" distB="0" distL="0" distR="0">
            <wp:extent cx="3886200" cy="2756535"/>
            <wp:effectExtent l="0" t="0" r="0" b="5715"/>
            <wp:docPr id="4295" name="图片 4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 name="图片 4295"/>
                    <pic:cNvPicPr>
                      <a:picLocks noChangeAspect="1"/>
                    </pic:cNvPicPr>
                  </pic:nvPicPr>
                  <pic:blipFill>
                    <a:blip r:embed="rId1330"/>
                    <a:stretch>
                      <a:fillRect/>
                    </a:stretch>
                  </pic:blipFill>
                  <pic:spPr>
                    <a:xfrm>
                      <a:off x="0" y="0"/>
                      <a:ext cx="3906537" cy="2771304"/>
                    </a:xfrm>
                    <a:prstGeom prst="rect">
                      <a:avLst/>
                    </a:prstGeom>
                  </pic:spPr>
                </pic:pic>
              </a:graphicData>
            </a:graphic>
          </wp:inline>
        </w:drawing>
      </w:r>
    </w:p>
    <w:p w14:paraId="5BC81293"/>
    <w:p w14:paraId="257D84B8">
      <w:pPr>
        <w:pStyle w:val="183"/>
      </w:pPr>
      <w:bookmarkStart w:id="11995" w:name="_Ref494446364"/>
      <w:bookmarkStart w:id="11996" w:name="_Toc141875811"/>
      <w:r>
        <w:rPr>
          <w:rFonts w:hint="eastAsia"/>
        </w:rPr>
        <w:t>页面详细说明</w:t>
      </w:r>
      <w:bookmarkEnd w:id="11995"/>
      <w:bookmarkEnd w:id="11996"/>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567"/>
        <w:gridCol w:w="7403"/>
      </w:tblGrid>
      <w:tr w14:paraId="3ADD48C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5" w:hRule="atLeast"/>
        </w:trPr>
        <w:tc>
          <w:tcPr>
            <w:tcW w:w="1355" w:type="dxa"/>
            <w:tcBorders>
              <w:tl2br w:val="nil"/>
              <w:tr2bl w:val="nil"/>
            </w:tcBorders>
            <w:shd w:val="clear" w:color="auto" w:fill="538135" w:themeFill="accent6" w:themeFillShade="BF"/>
            <w:vAlign w:val="center"/>
          </w:tcPr>
          <w:p w14:paraId="5B594F39">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402" w:type="dxa"/>
            <w:tcBorders>
              <w:tl2br w:val="nil"/>
              <w:tr2bl w:val="nil"/>
            </w:tcBorders>
            <w:shd w:val="clear" w:color="auto" w:fill="538135" w:themeFill="accent6" w:themeFillShade="BF"/>
            <w:vAlign w:val="center"/>
          </w:tcPr>
          <w:p w14:paraId="0C412962">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2FA15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5" w:hRule="atLeast"/>
        </w:trPr>
        <w:tc>
          <w:tcPr>
            <w:tcW w:w="1355" w:type="dxa"/>
            <w:shd w:val="clear" w:color="auto" w:fill="auto"/>
          </w:tcPr>
          <w:p w14:paraId="563CD7C6">
            <w:pPr>
              <w:pStyle w:val="150"/>
            </w:pPr>
            <w:r>
              <w:rPr>
                <w:rFonts w:hint="eastAsia"/>
              </w:rPr>
              <w:t>启用</w:t>
            </w:r>
          </w:p>
        </w:tc>
        <w:tc>
          <w:tcPr>
            <w:tcW w:w="6402" w:type="dxa"/>
            <w:shd w:val="clear" w:color="auto" w:fill="auto"/>
          </w:tcPr>
          <w:p w14:paraId="772EA197">
            <w:pPr>
              <w:pStyle w:val="150"/>
            </w:pPr>
            <w:r>
              <w:rPr>
                <w:rFonts w:hint="eastAsia"/>
              </w:rPr>
              <w:t>勾选</w:t>
            </w:r>
            <w:r>
              <w:t>“</w:t>
            </w:r>
            <w:r>
              <w:rPr>
                <w:rFonts w:hint="eastAsia"/>
              </w:rPr>
              <w:t>启用</w:t>
            </w:r>
            <w:r>
              <w:t>”</w:t>
            </w:r>
            <w:r>
              <w:rPr>
                <w:rFonts w:hint="eastAsia"/>
              </w:rPr>
              <w:t>后</w:t>
            </w:r>
            <w:r>
              <w:t>，</w:t>
            </w:r>
            <w:r>
              <w:rPr>
                <w:rFonts w:hint="eastAsia"/>
              </w:rPr>
              <w:t>才能进行策略配置</w:t>
            </w:r>
            <w:r>
              <w:t xml:space="preserve"> </w:t>
            </w:r>
            <w:r>
              <w:rPr>
                <w:rFonts w:hint="eastAsia"/>
              </w:rPr>
              <w:t>。</w:t>
            </w:r>
          </w:p>
        </w:tc>
      </w:tr>
      <w:tr w14:paraId="5A647D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5" w:hRule="atLeast"/>
        </w:trPr>
        <w:tc>
          <w:tcPr>
            <w:tcW w:w="1355" w:type="dxa"/>
            <w:shd w:val="clear" w:color="auto" w:fill="auto"/>
          </w:tcPr>
          <w:p w14:paraId="5F23C56C">
            <w:pPr>
              <w:pStyle w:val="150"/>
            </w:pPr>
            <w:r>
              <w:rPr>
                <w:rFonts w:hint="eastAsia"/>
              </w:rPr>
              <w:t>脚本</w:t>
            </w:r>
            <w:r>
              <w:t>名称</w:t>
            </w:r>
          </w:p>
        </w:tc>
        <w:tc>
          <w:tcPr>
            <w:tcW w:w="6402" w:type="dxa"/>
            <w:shd w:val="clear" w:color="auto" w:fill="auto"/>
          </w:tcPr>
          <w:p w14:paraId="7A59998C">
            <w:pPr>
              <w:pStyle w:val="150"/>
            </w:pPr>
            <w:r>
              <w:rPr>
                <w:rFonts w:hint="eastAsia"/>
              </w:rPr>
              <w:t>配置</w:t>
            </w:r>
            <w:r>
              <w:t>脚本的名称</w:t>
            </w:r>
            <w:r>
              <w:rPr>
                <w:rFonts w:hint="eastAsia"/>
              </w:rPr>
              <w:t>。</w:t>
            </w:r>
          </w:p>
        </w:tc>
      </w:tr>
      <w:tr w14:paraId="643943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5" w:hRule="atLeast"/>
        </w:trPr>
        <w:tc>
          <w:tcPr>
            <w:tcW w:w="1355" w:type="dxa"/>
            <w:shd w:val="clear" w:color="auto" w:fill="auto"/>
          </w:tcPr>
          <w:p w14:paraId="5C2EA7A1">
            <w:pPr>
              <w:pStyle w:val="150"/>
            </w:pPr>
            <w:r>
              <w:rPr>
                <w:rFonts w:hint="eastAsia"/>
              </w:rPr>
              <w:t>脚本类型</w:t>
            </w:r>
          </w:p>
        </w:tc>
        <w:tc>
          <w:tcPr>
            <w:tcW w:w="6402" w:type="dxa"/>
            <w:shd w:val="clear" w:color="auto" w:fill="auto"/>
          </w:tcPr>
          <w:p w14:paraId="04E1C46D">
            <w:pPr>
              <w:pStyle w:val="150"/>
            </w:pPr>
            <w:r>
              <w:rPr>
                <w:rFonts w:hint="eastAsia"/>
              </w:rPr>
              <w:t>脚本</w:t>
            </w:r>
            <w:r>
              <w:t>类型</w:t>
            </w:r>
            <w:r>
              <w:rPr>
                <w:rFonts w:hint="eastAsia"/>
              </w:rPr>
              <w:t>跟配置的对接网监平台相关，此处无需配置，默认置灰。</w:t>
            </w:r>
          </w:p>
        </w:tc>
      </w:tr>
      <w:tr w14:paraId="594E36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5" w:hRule="atLeast"/>
        </w:trPr>
        <w:tc>
          <w:tcPr>
            <w:tcW w:w="1355" w:type="dxa"/>
            <w:shd w:val="clear" w:color="auto" w:fill="auto"/>
          </w:tcPr>
          <w:p w14:paraId="03E00875">
            <w:pPr>
              <w:pStyle w:val="150"/>
            </w:pPr>
            <w:r>
              <w:rPr>
                <w:rFonts w:hint="eastAsia"/>
              </w:rPr>
              <w:t>脚本路径</w:t>
            </w:r>
          </w:p>
        </w:tc>
        <w:tc>
          <w:tcPr>
            <w:tcW w:w="6402" w:type="dxa"/>
            <w:shd w:val="clear" w:color="auto" w:fill="auto"/>
          </w:tcPr>
          <w:p w14:paraId="44B11A64">
            <w:pPr>
              <w:pStyle w:val="150"/>
            </w:pPr>
            <w:r>
              <w:rPr>
                <w:rFonts w:hint="eastAsia"/>
              </w:rPr>
              <w:t>选择</w:t>
            </w:r>
            <w:r>
              <w:t>需要上报的日志类型</w:t>
            </w:r>
            <w:r>
              <w:rPr>
                <w:rFonts w:hint="eastAsia"/>
              </w:rPr>
              <w:t>。</w:t>
            </w:r>
          </w:p>
        </w:tc>
      </w:tr>
      <w:tr w14:paraId="2EE0FC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5" w:hRule="atLeast"/>
        </w:trPr>
        <w:tc>
          <w:tcPr>
            <w:tcW w:w="1355" w:type="dxa"/>
            <w:shd w:val="clear" w:color="auto" w:fill="auto"/>
          </w:tcPr>
          <w:p w14:paraId="288A29F2">
            <w:pPr>
              <w:pStyle w:val="150"/>
            </w:pPr>
            <w:r>
              <w:rPr>
                <w:rFonts w:hint="eastAsia"/>
              </w:rPr>
              <w:t>执行</w:t>
            </w:r>
            <w:r>
              <w:t>周期</w:t>
            </w:r>
          </w:p>
        </w:tc>
        <w:tc>
          <w:tcPr>
            <w:tcW w:w="6402" w:type="dxa"/>
            <w:shd w:val="clear" w:color="auto" w:fill="auto"/>
          </w:tcPr>
          <w:p w14:paraId="5777ED8C">
            <w:pPr>
              <w:pStyle w:val="150"/>
            </w:pPr>
            <w:r>
              <w:rPr>
                <w:rFonts w:hint="eastAsia"/>
              </w:rPr>
              <w:t>选择执行</w:t>
            </w:r>
            <w:r>
              <w:t>脚本的周期单次、每周、每月</w:t>
            </w:r>
            <w:r>
              <w:rPr>
                <w:rFonts w:hint="eastAsia"/>
              </w:rPr>
              <w:t>。</w:t>
            </w:r>
          </w:p>
        </w:tc>
      </w:tr>
      <w:tr w14:paraId="4F3C1F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5" w:hRule="atLeast"/>
        </w:trPr>
        <w:tc>
          <w:tcPr>
            <w:tcW w:w="1355" w:type="dxa"/>
            <w:shd w:val="clear" w:color="auto" w:fill="auto"/>
          </w:tcPr>
          <w:p w14:paraId="083F245B">
            <w:pPr>
              <w:pStyle w:val="150"/>
            </w:pPr>
            <w:r>
              <w:rPr>
                <w:rFonts w:hint="eastAsia"/>
              </w:rPr>
              <w:t>执行</w:t>
            </w:r>
            <w:r>
              <w:t>频率</w:t>
            </w:r>
          </w:p>
        </w:tc>
        <w:tc>
          <w:tcPr>
            <w:tcW w:w="6402" w:type="dxa"/>
            <w:shd w:val="clear" w:color="auto" w:fill="auto"/>
          </w:tcPr>
          <w:p w14:paraId="796267FC">
            <w:pPr>
              <w:pStyle w:val="150"/>
            </w:pPr>
            <w:r>
              <w:rPr>
                <w:rFonts w:hint="eastAsia"/>
              </w:rPr>
              <w:t>选择执行</w:t>
            </w:r>
            <w:r>
              <w:t>脚本生成日志的频率</w:t>
            </w:r>
            <w:r>
              <w:rPr>
                <w:rFonts w:hint="eastAsia"/>
              </w:rPr>
              <w:t>。</w:t>
            </w:r>
          </w:p>
        </w:tc>
      </w:tr>
    </w:tbl>
    <w:p w14:paraId="509E4728"/>
    <w:p w14:paraId="631CB161">
      <w:r>
        <w:rPr>
          <w:rFonts w:hint="eastAsia"/>
        </w:rPr>
        <w:t>单击 “提交”</w:t>
      </w:r>
      <w:r>
        <w:t>‌</w:t>
      </w:r>
      <w:r>
        <w:rPr>
          <w:rFonts w:hint="eastAsia"/>
        </w:rPr>
        <w:t>按钮，在上报</w:t>
      </w:r>
      <w:r>
        <w:t>周期设置</w:t>
      </w:r>
      <w:r>
        <w:rPr>
          <w:rFonts w:hint="eastAsia"/>
        </w:rPr>
        <w:t>页面，单击上报</w:t>
      </w:r>
      <w:r>
        <w:t>日志</w:t>
      </w:r>
      <w:r>
        <w:rPr>
          <w:rFonts w:hint="eastAsia"/>
        </w:rPr>
        <w:t>右侧“删除</w:t>
      </w:r>
      <w:r>
        <w:t>‌</w:t>
      </w:r>
      <w:r>
        <w:rPr>
          <w:rFonts w:hint="eastAsia"/>
        </w:rPr>
        <w:t>”按钮，可以删除对应的日志</w:t>
      </w:r>
      <w:r>
        <w:t>类型</w:t>
      </w:r>
      <w:r>
        <w:rPr>
          <w:rFonts w:hint="eastAsia"/>
        </w:rPr>
        <w:t>。</w:t>
      </w:r>
    </w:p>
    <w:p w14:paraId="5ECDCD00">
      <w:pPr>
        <w:pStyle w:val="5"/>
      </w:pPr>
      <w:bookmarkStart w:id="11997" w:name="_Toc494295565"/>
      <w:bookmarkStart w:id="11998" w:name="_Toc58604484"/>
      <w:bookmarkStart w:id="11999" w:name="_Toc70414932"/>
      <w:bookmarkStart w:id="12000" w:name="_Toc99562073"/>
      <w:bookmarkStart w:id="12001" w:name="_Toc141873885"/>
      <w:bookmarkStart w:id="12002" w:name="_Toc70415869"/>
      <w:bookmarkStart w:id="12003" w:name="_Toc142401402"/>
      <w:bookmarkStart w:id="12004" w:name="_Toc196728608"/>
      <w:bookmarkStart w:id="12005" w:name="_Toc194081280"/>
      <w:bookmarkStart w:id="12006" w:name="_Toc146618591"/>
      <w:r>
        <w:t>配置应用关系对照表</w:t>
      </w:r>
      <w:bookmarkEnd w:id="11997"/>
      <w:bookmarkEnd w:id="11998"/>
      <w:bookmarkEnd w:id="11999"/>
      <w:bookmarkEnd w:id="12000"/>
      <w:bookmarkEnd w:id="12001"/>
      <w:bookmarkEnd w:id="12002"/>
      <w:bookmarkEnd w:id="12003"/>
      <w:bookmarkEnd w:id="12004"/>
      <w:bookmarkEnd w:id="12005"/>
      <w:bookmarkEnd w:id="12006"/>
    </w:p>
    <w:p w14:paraId="183E4F05">
      <w:r>
        <w:rPr>
          <w:rFonts w:hint="eastAsia"/>
        </w:rPr>
        <w:t>在导航栏中选择“系统管理&gt;系统设定&gt;无线非经&gt;应用</w:t>
      </w:r>
      <w:r>
        <w:t>关系对照表</w:t>
      </w:r>
      <w:r>
        <w:rPr>
          <w:rFonts w:hint="eastAsia"/>
        </w:rPr>
        <w:t>”，进入应用关系</w:t>
      </w:r>
      <w:r>
        <w:t>对照表</w:t>
      </w:r>
      <w:r>
        <w:rPr>
          <w:rFonts w:hint="eastAsia"/>
        </w:rPr>
        <w:t>显示页面，页面中显示部分应用对照</w:t>
      </w:r>
      <w:r>
        <w:t>关系</w:t>
      </w:r>
      <w:r>
        <w:rPr>
          <w:rFonts w:hint="eastAsia"/>
        </w:rPr>
        <w:t>，如</w:t>
      </w:r>
      <w:r>
        <w:fldChar w:fldCharType="begin"/>
      </w:r>
      <w:r>
        <w:instrText xml:space="preserve">  REF _Ref494446386 \r \h  \* MERGEFORMAT </w:instrText>
      </w:r>
      <w:r>
        <w:fldChar w:fldCharType="separate"/>
      </w:r>
      <w:r>
        <w:rPr>
          <w:rFonts w:hint="eastAsia"/>
        </w:rPr>
        <w:t>图35-10</w:t>
      </w:r>
      <w:r>
        <w:fldChar w:fldCharType="end"/>
      </w:r>
      <w:r>
        <w:rPr>
          <w:rFonts w:hint="eastAsia"/>
        </w:rPr>
        <w:t>所示，页面显示详细说明如</w:t>
      </w:r>
      <w:r>
        <w:fldChar w:fldCharType="begin"/>
      </w:r>
      <w:r>
        <w:instrText xml:space="preserve">  REF _Ref494446393 \r \h  \* MERGEFORMAT </w:instrText>
      </w:r>
      <w:r>
        <w:fldChar w:fldCharType="separate"/>
      </w:r>
      <w:r>
        <w:rPr>
          <w:rFonts w:hint="eastAsia"/>
        </w:rPr>
        <w:t>表35-1</w:t>
      </w:r>
      <w:r>
        <w:fldChar w:fldCharType="end"/>
      </w:r>
      <w:r>
        <w:rPr>
          <w:rFonts w:hint="eastAsia"/>
        </w:rPr>
        <w:t>所示。</w:t>
      </w:r>
    </w:p>
    <w:p w14:paraId="296A3A60">
      <w:pPr>
        <w:pStyle w:val="188"/>
      </w:pPr>
      <w:bookmarkStart w:id="12007" w:name="_Ref494446386"/>
      <w:bookmarkStart w:id="12008" w:name="_Toc141875353"/>
      <w:r>
        <w:rPr>
          <w:rFonts w:hint="eastAsia"/>
        </w:rPr>
        <w:t>应用</w:t>
      </w:r>
      <w:r>
        <w:t>关系对照表</w:t>
      </w:r>
      <w:bookmarkEnd w:id="12007"/>
      <w:bookmarkEnd w:id="12008"/>
    </w:p>
    <w:p w14:paraId="6B4E3A42">
      <w:r>
        <w:drawing>
          <wp:inline distT="0" distB="0" distL="0" distR="0">
            <wp:extent cx="5391150" cy="3074035"/>
            <wp:effectExtent l="0" t="0" r="0" b="0"/>
            <wp:docPr id="1296485372" name="图片 1296485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72" name="图片 1296485372"/>
                    <pic:cNvPicPr>
                      <a:picLocks noChangeAspect="1"/>
                    </pic:cNvPicPr>
                  </pic:nvPicPr>
                  <pic:blipFill>
                    <a:blip r:embed="rId1331"/>
                    <a:stretch>
                      <a:fillRect/>
                    </a:stretch>
                  </pic:blipFill>
                  <pic:spPr>
                    <a:xfrm>
                      <a:off x="0" y="0"/>
                      <a:ext cx="5393546" cy="3075871"/>
                    </a:xfrm>
                    <a:prstGeom prst="rect">
                      <a:avLst/>
                    </a:prstGeom>
                  </pic:spPr>
                </pic:pic>
              </a:graphicData>
            </a:graphic>
          </wp:inline>
        </w:drawing>
      </w:r>
    </w:p>
    <w:p w14:paraId="331DD776"/>
    <w:p w14:paraId="1ADF897C">
      <w:pPr>
        <w:pStyle w:val="183"/>
      </w:pPr>
      <w:bookmarkStart w:id="12009" w:name="_Ref494446393"/>
      <w:bookmarkStart w:id="12010" w:name="_Toc141875812"/>
      <w:r>
        <w:t>应用关系对照表显示页面详细说明</w:t>
      </w:r>
      <w:bookmarkEnd w:id="12009"/>
      <w:bookmarkEnd w:id="12010"/>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384"/>
        <w:gridCol w:w="7586"/>
      </w:tblGrid>
      <w:tr w14:paraId="7C4A2F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84" w:type="dxa"/>
            <w:tcBorders>
              <w:tl2br w:val="nil"/>
              <w:tr2bl w:val="nil"/>
            </w:tcBorders>
            <w:shd w:val="clear" w:color="auto" w:fill="538135" w:themeFill="accent6" w:themeFillShade="BF"/>
            <w:vAlign w:val="center"/>
          </w:tcPr>
          <w:p w14:paraId="0CAA15B1">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586" w:type="dxa"/>
            <w:tcBorders>
              <w:tl2br w:val="nil"/>
              <w:tr2bl w:val="nil"/>
            </w:tcBorders>
            <w:shd w:val="clear" w:color="auto" w:fill="538135" w:themeFill="accent6" w:themeFillShade="BF"/>
            <w:vAlign w:val="center"/>
          </w:tcPr>
          <w:p w14:paraId="740EF141">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FE7128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84" w:type="dxa"/>
            <w:shd w:val="clear" w:color="auto" w:fill="auto"/>
          </w:tcPr>
          <w:p w14:paraId="45005578">
            <w:pPr>
              <w:pStyle w:val="150"/>
            </w:pPr>
            <w:r>
              <w:rPr>
                <w:rFonts w:hint="eastAsia"/>
              </w:rPr>
              <w:t>新建</w:t>
            </w:r>
          </w:p>
        </w:tc>
        <w:tc>
          <w:tcPr>
            <w:tcW w:w="7586" w:type="dxa"/>
            <w:shd w:val="clear" w:color="auto" w:fill="auto"/>
          </w:tcPr>
          <w:p w14:paraId="38DBB622">
            <w:pPr>
              <w:pStyle w:val="150"/>
            </w:pPr>
            <w:r>
              <w:rPr>
                <w:rFonts w:hint="eastAsia"/>
              </w:rPr>
              <w:t>新建</w:t>
            </w:r>
            <w:r>
              <w:t>应用</w:t>
            </w:r>
            <w:r>
              <w:rPr>
                <w:rFonts w:hint="eastAsia"/>
              </w:rPr>
              <w:t>对照</w:t>
            </w:r>
            <w:r>
              <w:t>关系</w:t>
            </w:r>
            <w:r>
              <w:rPr>
                <w:rFonts w:hint="eastAsia"/>
              </w:rPr>
              <w:t>。</w:t>
            </w:r>
          </w:p>
        </w:tc>
      </w:tr>
      <w:tr w14:paraId="44F78AD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84" w:type="dxa"/>
            <w:shd w:val="clear" w:color="auto" w:fill="auto"/>
          </w:tcPr>
          <w:p w14:paraId="3EBE1577">
            <w:pPr>
              <w:pStyle w:val="150"/>
            </w:pPr>
            <w:r>
              <w:rPr>
                <w:rFonts w:hint="eastAsia"/>
              </w:rPr>
              <w:t>删除</w:t>
            </w:r>
          </w:p>
        </w:tc>
        <w:tc>
          <w:tcPr>
            <w:tcW w:w="7586" w:type="dxa"/>
            <w:shd w:val="clear" w:color="auto" w:fill="auto"/>
          </w:tcPr>
          <w:p w14:paraId="1D4A42F6">
            <w:pPr>
              <w:pStyle w:val="150"/>
            </w:pPr>
            <w:r>
              <w:rPr>
                <w:rFonts w:hint="eastAsia"/>
              </w:rPr>
              <w:t>删除一个或者多个</w:t>
            </w:r>
            <w:r>
              <w:t>应用</w:t>
            </w:r>
            <w:r>
              <w:rPr>
                <w:rFonts w:hint="eastAsia"/>
              </w:rPr>
              <w:t>对照</w:t>
            </w:r>
            <w:r>
              <w:t>关系</w:t>
            </w:r>
            <w:r>
              <w:rPr>
                <w:rFonts w:hint="eastAsia"/>
              </w:rPr>
              <w:t>。</w:t>
            </w:r>
          </w:p>
        </w:tc>
      </w:tr>
      <w:tr w14:paraId="2383B1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84" w:type="dxa"/>
            <w:shd w:val="clear" w:color="auto" w:fill="auto"/>
          </w:tcPr>
          <w:p w14:paraId="67965223">
            <w:pPr>
              <w:pStyle w:val="150"/>
            </w:pPr>
            <w:r>
              <w:rPr>
                <w:rFonts w:hint="eastAsia"/>
              </w:rPr>
              <w:t>导入</w:t>
            </w:r>
          </w:p>
        </w:tc>
        <w:tc>
          <w:tcPr>
            <w:tcW w:w="7586" w:type="dxa"/>
            <w:shd w:val="clear" w:color="auto" w:fill="auto"/>
          </w:tcPr>
          <w:p w14:paraId="0CDA0879">
            <w:pPr>
              <w:pStyle w:val="150"/>
            </w:pPr>
            <w:r>
              <w:rPr>
                <w:rFonts w:hint="eastAsia"/>
              </w:rPr>
              <w:t>应用</w:t>
            </w:r>
            <w:r>
              <w:t>关系对照表支持</w:t>
            </w:r>
            <w:r>
              <w:rPr>
                <w:rFonts w:hint="eastAsia"/>
              </w:rPr>
              <w:t>以csv格式</w:t>
            </w:r>
            <w:r>
              <w:t>导入</w:t>
            </w:r>
            <w:r>
              <w:rPr>
                <w:rFonts w:hint="eastAsia"/>
              </w:rPr>
              <w:t>。</w:t>
            </w:r>
          </w:p>
        </w:tc>
      </w:tr>
      <w:tr w14:paraId="4B07175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84" w:type="dxa"/>
            <w:shd w:val="clear" w:color="auto" w:fill="auto"/>
          </w:tcPr>
          <w:p w14:paraId="0E49910C">
            <w:pPr>
              <w:pStyle w:val="150"/>
            </w:pPr>
            <w:r>
              <w:rPr>
                <w:rFonts w:hint="eastAsia"/>
              </w:rPr>
              <w:t>导出</w:t>
            </w:r>
          </w:p>
        </w:tc>
        <w:tc>
          <w:tcPr>
            <w:tcW w:w="7586" w:type="dxa"/>
            <w:shd w:val="clear" w:color="auto" w:fill="auto"/>
          </w:tcPr>
          <w:p w14:paraId="374E1EF9">
            <w:pPr>
              <w:pStyle w:val="150"/>
            </w:pPr>
            <w:r>
              <w:rPr>
                <w:rFonts w:hint="eastAsia"/>
              </w:rPr>
              <w:t>应用</w:t>
            </w:r>
            <w:r>
              <w:t>关系对照表支持</w:t>
            </w:r>
            <w:r>
              <w:rPr>
                <w:rFonts w:hint="eastAsia"/>
              </w:rPr>
              <w:t>以csv格式</w:t>
            </w:r>
            <w:r>
              <w:t>导出</w:t>
            </w:r>
            <w:r>
              <w:rPr>
                <w:rFonts w:hint="eastAsia"/>
              </w:rPr>
              <w:t>。</w:t>
            </w:r>
          </w:p>
        </w:tc>
      </w:tr>
      <w:tr w14:paraId="06B560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84" w:type="dxa"/>
            <w:shd w:val="clear" w:color="auto" w:fill="auto"/>
          </w:tcPr>
          <w:p w14:paraId="6A17391F">
            <w:pPr>
              <w:pStyle w:val="150"/>
            </w:pPr>
            <w:r>
              <w:rPr>
                <w:rFonts w:hint="eastAsia"/>
              </w:rPr>
              <w:t>查询</w:t>
            </w:r>
          </w:p>
        </w:tc>
        <w:tc>
          <w:tcPr>
            <w:tcW w:w="7586" w:type="dxa"/>
            <w:shd w:val="clear" w:color="auto" w:fill="auto"/>
          </w:tcPr>
          <w:p w14:paraId="17F75645">
            <w:pPr>
              <w:pStyle w:val="150"/>
            </w:pPr>
            <w:r>
              <w:rPr>
                <w:rFonts w:hint="eastAsia"/>
              </w:rPr>
              <w:t>可</w:t>
            </w:r>
            <w:r>
              <w:t>按</w:t>
            </w:r>
            <w:r>
              <w:rPr>
                <w:rFonts w:hint="eastAsia"/>
              </w:rPr>
              <w:t>网监平台</w:t>
            </w:r>
            <w:r>
              <w:t>或应用名称进行查询</w:t>
            </w:r>
            <w:r>
              <w:rPr>
                <w:rFonts w:hint="eastAsia"/>
              </w:rPr>
              <w:t>。</w:t>
            </w:r>
          </w:p>
        </w:tc>
      </w:tr>
      <w:tr w14:paraId="75DBEE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84" w:type="dxa"/>
            <w:shd w:val="clear" w:color="auto" w:fill="auto"/>
          </w:tcPr>
          <w:p w14:paraId="7736456D">
            <w:pPr>
              <w:pStyle w:val="150"/>
            </w:pPr>
            <w:r>
              <w:rPr>
                <w:rFonts w:hint="eastAsia"/>
              </w:rPr>
              <w:t>厂商</w:t>
            </w:r>
          </w:p>
        </w:tc>
        <w:tc>
          <w:tcPr>
            <w:tcW w:w="7586" w:type="dxa"/>
            <w:shd w:val="clear" w:color="auto" w:fill="auto"/>
          </w:tcPr>
          <w:p w14:paraId="78126C91">
            <w:pPr>
              <w:pStyle w:val="150"/>
            </w:pPr>
            <w:r>
              <w:rPr>
                <w:rFonts w:hint="eastAsia"/>
              </w:rPr>
              <w:t>对接</w:t>
            </w:r>
            <w:r>
              <w:t>的</w:t>
            </w:r>
            <w:r>
              <w:rPr>
                <w:rFonts w:hint="eastAsia"/>
              </w:rPr>
              <w:t>网监平台。</w:t>
            </w:r>
          </w:p>
        </w:tc>
      </w:tr>
      <w:tr w14:paraId="7380C8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84" w:type="dxa"/>
            <w:shd w:val="clear" w:color="auto" w:fill="auto"/>
          </w:tcPr>
          <w:p w14:paraId="114D767D">
            <w:pPr>
              <w:pStyle w:val="150"/>
            </w:pPr>
            <w:r>
              <w:rPr>
                <w:rFonts w:hint="eastAsia"/>
              </w:rPr>
              <w:t>应用名</w:t>
            </w:r>
          </w:p>
        </w:tc>
        <w:tc>
          <w:tcPr>
            <w:tcW w:w="7586" w:type="dxa"/>
            <w:shd w:val="clear" w:color="auto" w:fill="auto"/>
          </w:tcPr>
          <w:p w14:paraId="63C76529">
            <w:pPr>
              <w:pStyle w:val="150"/>
            </w:pPr>
            <w:r>
              <w:rPr>
                <w:rFonts w:hint="eastAsia"/>
              </w:rPr>
              <w:t>设备</w:t>
            </w:r>
            <w:r>
              <w:t xml:space="preserve">应用库中的应用名称 </w:t>
            </w:r>
            <w:r>
              <w:rPr>
                <w:rFonts w:hint="eastAsia"/>
              </w:rPr>
              <w:t>。</w:t>
            </w:r>
          </w:p>
        </w:tc>
      </w:tr>
      <w:tr w14:paraId="7F6CDC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84" w:type="dxa"/>
            <w:shd w:val="clear" w:color="auto" w:fill="auto"/>
          </w:tcPr>
          <w:p w14:paraId="2E8E86AE">
            <w:pPr>
              <w:pStyle w:val="150"/>
            </w:pPr>
            <w:r>
              <w:rPr>
                <w:rFonts w:hint="eastAsia"/>
              </w:rPr>
              <w:t>APP ID</w:t>
            </w:r>
          </w:p>
        </w:tc>
        <w:tc>
          <w:tcPr>
            <w:tcW w:w="7586" w:type="dxa"/>
            <w:shd w:val="clear" w:color="auto" w:fill="auto"/>
          </w:tcPr>
          <w:p w14:paraId="2CD195CE">
            <w:pPr>
              <w:pStyle w:val="150"/>
            </w:pPr>
            <w:r>
              <w:rPr>
                <w:rFonts w:hint="eastAsia"/>
              </w:rPr>
              <w:t>设备</w:t>
            </w:r>
            <w:r>
              <w:t>应用库中应用对应的应用</w:t>
            </w:r>
            <w:r>
              <w:rPr>
                <w:rFonts w:hint="eastAsia"/>
              </w:rPr>
              <w:t>ID。</w:t>
            </w:r>
          </w:p>
        </w:tc>
      </w:tr>
      <w:tr w14:paraId="5CFE1B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84" w:type="dxa"/>
            <w:shd w:val="clear" w:color="auto" w:fill="auto"/>
          </w:tcPr>
          <w:p w14:paraId="0E51EEBD">
            <w:pPr>
              <w:pStyle w:val="150"/>
            </w:pPr>
            <w:r>
              <w:rPr>
                <w:rFonts w:hint="eastAsia"/>
              </w:rPr>
              <w:t>关系对照ID</w:t>
            </w:r>
          </w:p>
        </w:tc>
        <w:tc>
          <w:tcPr>
            <w:tcW w:w="7586" w:type="dxa"/>
            <w:shd w:val="clear" w:color="auto" w:fill="auto"/>
          </w:tcPr>
          <w:p w14:paraId="78407CBB">
            <w:pPr>
              <w:pStyle w:val="150"/>
            </w:pPr>
            <w:r>
              <w:rPr>
                <w:rFonts w:hint="eastAsia"/>
              </w:rPr>
              <w:t>网监平台提供的应用ID，需参考当前对接的网监平台文档中应用ID对照表填写。</w:t>
            </w:r>
          </w:p>
        </w:tc>
      </w:tr>
      <w:tr w14:paraId="2E5F4B0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384" w:type="dxa"/>
            <w:shd w:val="clear" w:color="auto" w:fill="auto"/>
          </w:tcPr>
          <w:p w14:paraId="1B6C2AA2">
            <w:pPr>
              <w:pStyle w:val="150"/>
            </w:pPr>
            <w:r>
              <w:rPr>
                <w:rFonts w:hint="eastAsia"/>
              </w:rPr>
              <w:t>操作</w:t>
            </w:r>
          </w:p>
        </w:tc>
        <w:tc>
          <w:tcPr>
            <w:tcW w:w="7586" w:type="dxa"/>
            <w:shd w:val="clear" w:color="auto" w:fill="auto"/>
          </w:tcPr>
          <w:p w14:paraId="1FAC41A6">
            <w:pPr>
              <w:pStyle w:val="150"/>
            </w:pPr>
            <w:r>
              <w:t>删除单个应用</w:t>
            </w:r>
            <w:r>
              <w:rPr>
                <w:rFonts w:hint="eastAsia"/>
              </w:rPr>
              <w:t>对照</w:t>
            </w:r>
            <w:r>
              <w:t>关系</w:t>
            </w:r>
            <w:r>
              <w:rPr>
                <w:rFonts w:hint="eastAsia"/>
              </w:rPr>
              <w:t>。</w:t>
            </w:r>
          </w:p>
        </w:tc>
      </w:tr>
    </w:tbl>
    <w:p w14:paraId="18CD4D11"/>
    <w:p w14:paraId="171247A4">
      <w:r>
        <w:rPr>
          <w:rFonts w:hint="eastAsia"/>
        </w:rPr>
        <w:t>单击“新建”按钮，进入应用关系对照表的配置页面，如</w:t>
      </w:r>
      <w:r>
        <w:fldChar w:fldCharType="begin"/>
      </w:r>
      <w:r>
        <w:instrText xml:space="preserve">  REF _Ref494446406 \r \h  \* MERGEFORMAT </w:instrText>
      </w:r>
      <w:r>
        <w:fldChar w:fldCharType="separate"/>
      </w:r>
      <w:r>
        <w:rPr>
          <w:rFonts w:hint="eastAsia"/>
        </w:rPr>
        <w:t>图35-11</w:t>
      </w:r>
      <w:r>
        <w:fldChar w:fldCharType="end"/>
      </w:r>
      <w:r>
        <w:rPr>
          <w:rFonts w:hint="eastAsia"/>
        </w:rPr>
        <w:t>所示，页面显示详细说明如</w:t>
      </w:r>
      <w:r>
        <w:fldChar w:fldCharType="begin"/>
      </w:r>
      <w:r>
        <w:instrText xml:space="preserve">  REF _Ref494446412 \r \h  \* MERGEFORMAT </w:instrText>
      </w:r>
      <w:r>
        <w:fldChar w:fldCharType="separate"/>
      </w:r>
      <w:r>
        <w:rPr>
          <w:rFonts w:hint="eastAsia"/>
        </w:rPr>
        <w:t>表35-1</w:t>
      </w:r>
      <w:r>
        <w:fldChar w:fldCharType="end"/>
      </w:r>
      <w:r>
        <w:rPr>
          <w:rFonts w:hint="eastAsia"/>
        </w:rPr>
        <w:t>所示。</w:t>
      </w:r>
    </w:p>
    <w:p w14:paraId="3353167A">
      <w:pPr>
        <w:pStyle w:val="188"/>
      </w:pPr>
      <w:bookmarkStart w:id="12011" w:name="_Toc141875354"/>
      <w:bookmarkStart w:id="12012" w:name="_Ref494446406"/>
      <w:r>
        <w:rPr>
          <w:rFonts w:hint="eastAsia"/>
        </w:rPr>
        <w:t>新建应用关系对照表</w:t>
      </w:r>
      <w:bookmarkEnd w:id="12011"/>
      <w:bookmarkEnd w:id="12012"/>
    </w:p>
    <w:p w14:paraId="15920D21">
      <w:r>
        <w:drawing>
          <wp:inline distT="0" distB="0" distL="0" distR="0">
            <wp:extent cx="5305425" cy="2343150"/>
            <wp:effectExtent l="0" t="0" r="9525" b="0"/>
            <wp:docPr id="1296485373" name="图片 1296485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5373" name="图片 1296485373"/>
                    <pic:cNvPicPr>
                      <a:picLocks noChangeAspect="1"/>
                    </pic:cNvPicPr>
                  </pic:nvPicPr>
                  <pic:blipFill>
                    <a:blip r:embed="rId1332"/>
                    <a:stretch>
                      <a:fillRect/>
                    </a:stretch>
                  </pic:blipFill>
                  <pic:spPr>
                    <a:xfrm>
                      <a:off x="0" y="0"/>
                      <a:ext cx="5305425" cy="2343150"/>
                    </a:xfrm>
                    <a:prstGeom prst="rect">
                      <a:avLst/>
                    </a:prstGeom>
                  </pic:spPr>
                </pic:pic>
              </a:graphicData>
            </a:graphic>
          </wp:inline>
        </w:drawing>
      </w:r>
    </w:p>
    <w:p w14:paraId="1F0E776B"/>
    <w:p w14:paraId="090801D7">
      <w:pPr>
        <w:pStyle w:val="183"/>
      </w:pPr>
      <w:bookmarkStart w:id="12013" w:name="_Ref494446412"/>
      <w:bookmarkStart w:id="12014" w:name="_Toc141875813"/>
      <w:r>
        <w:t>页面详细说明</w:t>
      </w:r>
      <w:bookmarkEnd w:id="12013"/>
      <w:bookmarkEnd w:id="12014"/>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526"/>
        <w:gridCol w:w="7444"/>
      </w:tblGrid>
      <w:tr w14:paraId="14A974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tcBorders>
              <w:tl2br w:val="nil"/>
              <w:tr2bl w:val="nil"/>
            </w:tcBorders>
            <w:shd w:val="clear" w:color="auto" w:fill="538135" w:themeFill="accent6" w:themeFillShade="BF"/>
            <w:vAlign w:val="center"/>
          </w:tcPr>
          <w:p w14:paraId="133B50E7">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444" w:type="dxa"/>
            <w:tcBorders>
              <w:tl2br w:val="nil"/>
              <w:tr2bl w:val="nil"/>
            </w:tcBorders>
            <w:shd w:val="clear" w:color="auto" w:fill="538135" w:themeFill="accent6" w:themeFillShade="BF"/>
            <w:vAlign w:val="center"/>
          </w:tcPr>
          <w:p w14:paraId="659B5F72">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4328959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43EFD504">
            <w:pPr>
              <w:pStyle w:val="150"/>
            </w:pPr>
            <w:r>
              <w:rPr>
                <w:rFonts w:hint="eastAsia"/>
              </w:rPr>
              <w:t>应用</w:t>
            </w:r>
            <w:r>
              <w:t>名称</w:t>
            </w:r>
          </w:p>
        </w:tc>
        <w:tc>
          <w:tcPr>
            <w:tcW w:w="7444" w:type="dxa"/>
            <w:shd w:val="clear" w:color="auto" w:fill="auto"/>
          </w:tcPr>
          <w:p w14:paraId="62CBE54D">
            <w:pPr>
              <w:pStyle w:val="150"/>
            </w:pPr>
            <w:r>
              <w:rPr>
                <w:rFonts w:hint="eastAsia"/>
              </w:rPr>
              <w:t>设备</w:t>
            </w:r>
            <w:r>
              <w:t xml:space="preserve">应用库中的应用名称 </w:t>
            </w:r>
            <w:r>
              <w:rPr>
                <w:rFonts w:hint="eastAsia"/>
              </w:rPr>
              <w:t>。</w:t>
            </w:r>
          </w:p>
        </w:tc>
      </w:tr>
      <w:tr w14:paraId="62A5C5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526" w:type="dxa"/>
            <w:shd w:val="clear" w:color="auto" w:fill="auto"/>
          </w:tcPr>
          <w:p w14:paraId="06FE7FF2">
            <w:pPr>
              <w:pStyle w:val="150"/>
            </w:pPr>
            <w:r>
              <w:rPr>
                <w:rFonts w:hint="eastAsia"/>
              </w:rPr>
              <w:t>关系对照ID</w:t>
            </w:r>
          </w:p>
        </w:tc>
        <w:tc>
          <w:tcPr>
            <w:tcW w:w="7444" w:type="dxa"/>
            <w:shd w:val="clear" w:color="auto" w:fill="auto"/>
          </w:tcPr>
          <w:p w14:paraId="6C7F1717">
            <w:pPr>
              <w:pStyle w:val="150"/>
            </w:pPr>
            <w:r>
              <w:rPr>
                <w:rFonts w:hint="eastAsia"/>
              </w:rPr>
              <w:t>网监平台提供的应用ID，需参考当前对接的网监平台文档中应用ID对照表填写。</w:t>
            </w:r>
          </w:p>
        </w:tc>
      </w:tr>
    </w:tbl>
    <w:p w14:paraId="0C9DE65B">
      <w:bookmarkStart w:id="12015" w:name="_Toc494295566"/>
    </w:p>
    <w:p w14:paraId="209AD660">
      <w:pPr>
        <w:pStyle w:val="4"/>
      </w:pPr>
      <w:bookmarkStart w:id="12016" w:name="_Toc142401403"/>
      <w:bookmarkStart w:id="12017" w:name="_Toc194081281"/>
      <w:bookmarkStart w:id="12018" w:name="_Toc196728609"/>
      <w:bookmarkStart w:id="12019" w:name="_Toc146618592"/>
      <w:bookmarkStart w:id="12020" w:name="_Toc141873886"/>
      <w:bookmarkStart w:id="12021" w:name="_Toc70414933"/>
      <w:bookmarkStart w:id="12022" w:name="_Toc58604485"/>
      <w:bookmarkStart w:id="12023" w:name="_Toc70415870"/>
      <w:bookmarkStart w:id="12024" w:name="_Toc99562074"/>
      <w:r>
        <w:rPr>
          <w:rFonts w:hint="eastAsia"/>
        </w:rPr>
        <w:t>日志</w:t>
      </w:r>
      <w:r>
        <w:t>查询</w:t>
      </w:r>
      <w:bookmarkEnd w:id="12015"/>
      <w:bookmarkEnd w:id="12016"/>
      <w:bookmarkEnd w:id="12017"/>
      <w:bookmarkEnd w:id="12018"/>
      <w:bookmarkEnd w:id="12019"/>
      <w:bookmarkEnd w:id="12020"/>
      <w:bookmarkEnd w:id="12021"/>
      <w:bookmarkEnd w:id="12022"/>
      <w:bookmarkEnd w:id="12023"/>
      <w:bookmarkEnd w:id="12024"/>
    </w:p>
    <w:p w14:paraId="6F1EE5E2">
      <w:pPr>
        <w:pStyle w:val="5"/>
      </w:pPr>
      <w:bookmarkStart w:id="12025" w:name="_Toc142401404"/>
      <w:bookmarkStart w:id="12026" w:name="_Toc194081282"/>
      <w:bookmarkStart w:id="12027" w:name="_Toc70414934"/>
      <w:bookmarkStart w:id="12028" w:name="_Toc70415871"/>
      <w:bookmarkStart w:id="12029" w:name="_Toc141873887"/>
      <w:bookmarkStart w:id="12030" w:name="_Toc196728610"/>
      <w:bookmarkStart w:id="12031" w:name="_Toc146618593"/>
      <w:bookmarkStart w:id="12032" w:name="_Toc58604486"/>
      <w:bookmarkStart w:id="12033" w:name="_Toc494295567"/>
      <w:bookmarkStart w:id="12034" w:name="_Toc99562075"/>
      <w:r>
        <w:t>终端上下线日志</w:t>
      </w:r>
      <w:bookmarkEnd w:id="12025"/>
      <w:bookmarkEnd w:id="12026"/>
      <w:bookmarkEnd w:id="12027"/>
      <w:bookmarkEnd w:id="12028"/>
      <w:bookmarkEnd w:id="12029"/>
      <w:bookmarkEnd w:id="12030"/>
      <w:bookmarkEnd w:id="12031"/>
      <w:bookmarkEnd w:id="12032"/>
      <w:bookmarkEnd w:id="12033"/>
      <w:bookmarkEnd w:id="12034"/>
    </w:p>
    <w:p w14:paraId="0F65F41C">
      <w:r>
        <w:rPr>
          <w:rFonts w:hint="eastAsia"/>
        </w:rPr>
        <w:t>在导航栏中选择“系统管理&gt;系统设定&gt;无线非经&gt;日志</w:t>
      </w:r>
      <w:r>
        <w:t>查询</w:t>
      </w:r>
      <w:r>
        <w:rPr>
          <w:rFonts w:hint="eastAsia"/>
        </w:rPr>
        <w:t>&gt;终端</w:t>
      </w:r>
      <w:r>
        <w:t>上下线日志</w:t>
      </w:r>
      <w:r>
        <w:rPr>
          <w:rFonts w:hint="eastAsia"/>
        </w:rPr>
        <w:t>”，进入终端上下线</w:t>
      </w:r>
      <w:r>
        <w:t>日志</w:t>
      </w:r>
      <w:r>
        <w:rPr>
          <w:rFonts w:hint="eastAsia"/>
        </w:rPr>
        <w:t>显示页面，</w:t>
      </w:r>
      <w:r>
        <w:t>在该页面可以查看</w:t>
      </w:r>
      <w:r>
        <w:rPr>
          <w:rFonts w:hint="eastAsia"/>
        </w:rPr>
        <w:t>终端</w:t>
      </w:r>
      <w:r>
        <w:t>上下线日志信息</w:t>
      </w:r>
      <w:r>
        <w:rPr>
          <w:rFonts w:hint="eastAsia"/>
        </w:rPr>
        <w:t>，如</w:t>
      </w:r>
      <w:r>
        <w:fldChar w:fldCharType="begin"/>
      </w:r>
      <w:r>
        <w:instrText xml:space="preserve">  REF _Ref494446430 \r \h  \* MERGEFORMAT </w:instrText>
      </w:r>
      <w:r>
        <w:fldChar w:fldCharType="separate"/>
      </w:r>
      <w:r>
        <w:rPr>
          <w:rFonts w:hint="eastAsia"/>
        </w:rPr>
        <w:t>图35-12</w:t>
      </w:r>
      <w:r>
        <w:fldChar w:fldCharType="end"/>
      </w:r>
      <w:r>
        <w:rPr>
          <w:rFonts w:hint="eastAsia"/>
        </w:rPr>
        <w:t>所示，页面详细说明如</w:t>
      </w:r>
      <w:r>
        <w:fldChar w:fldCharType="begin"/>
      </w:r>
      <w:r>
        <w:instrText xml:space="preserve">  REF _Ref494446441 \r \h  \* MERGEFORMAT </w:instrText>
      </w:r>
      <w:r>
        <w:fldChar w:fldCharType="separate"/>
      </w:r>
      <w:r>
        <w:rPr>
          <w:rFonts w:hint="eastAsia"/>
        </w:rPr>
        <w:t>表35-1</w:t>
      </w:r>
      <w:r>
        <w:fldChar w:fldCharType="end"/>
      </w:r>
      <w:r>
        <w:rPr>
          <w:rFonts w:hint="eastAsia"/>
        </w:rPr>
        <w:t>所示。</w:t>
      </w:r>
    </w:p>
    <w:p w14:paraId="555283F4">
      <w:pPr>
        <w:pStyle w:val="188"/>
      </w:pPr>
      <w:bookmarkStart w:id="12035" w:name="_Ref494446430"/>
      <w:bookmarkStart w:id="12036" w:name="_Toc141875355"/>
      <w:r>
        <w:rPr>
          <w:rFonts w:hint="eastAsia"/>
        </w:rPr>
        <w:t>终端</w:t>
      </w:r>
      <w:r>
        <w:t>上下线日志</w:t>
      </w:r>
      <w:bookmarkEnd w:id="12035"/>
      <w:bookmarkEnd w:id="12036"/>
    </w:p>
    <w:p w14:paraId="599D00CE">
      <w:r>
        <w:drawing>
          <wp:inline distT="0" distB="0" distL="0" distR="0">
            <wp:extent cx="6120765" cy="802640"/>
            <wp:effectExtent l="0" t="0" r="0" b="0"/>
            <wp:docPr id="4936" name="图片 4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6" name="图片 4936"/>
                    <pic:cNvPicPr>
                      <a:picLocks noChangeAspect="1"/>
                    </pic:cNvPicPr>
                  </pic:nvPicPr>
                  <pic:blipFill>
                    <a:blip r:embed="rId1333"/>
                    <a:stretch>
                      <a:fillRect/>
                    </a:stretch>
                  </pic:blipFill>
                  <pic:spPr>
                    <a:xfrm>
                      <a:off x="0" y="0"/>
                      <a:ext cx="6120765" cy="802640"/>
                    </a:xfrm>
                    <a:prstGeom prst="rect">
                      <a:avLst/>
                    </a:prstGeom>
                  </pic:spPr>
                </pic:pic>
              </a:graphicData>
            </a:graphic>
          </wp:inline>
        </w:drawing>
      </w:r>
    </w:p>
    <w:p w14:paraId="7734BE84"/>
    <w:p w14:paraId="3D7DCC6F">
      <w:pPr>
        <w:pStyle w:val="183"/>
      </w:pPr>
      <w:bookmarkStart w:id="12037" w:name="_Ref494446441"/>
      <w:bookmarkStart w:id="12038" w:name="_Toc141875814"/>
      <w:r>
        <w:t>终端上下线日志页面的详细说明</w:t>
      </w:r>
      <w:bookmarkEnd w:id="12037"/>
      <w:bookmarkEnd w:id="12038"/>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990"/>
        <w:gridCol w:w="6980"/>
      </w:tblGrid>
      <w:tr w14:paraId="51CE4D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tcBorders>
              <w:tl2br w:val="nil"/>
              <w:tr2bl w:val="nil"/>
            </w:tcBorders>
            <w:shd w:val="clear" w:color="auto" w:fill="538135" w:themeFill="accent6" w:themeFillShade="BF"/>
            <w:vAlign w:val="center"/>
          </w:tcPr>
          <w:p w14:paraId="1E18892E">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344" w:type="dxa"/>
            <w:tcBorders>
              <w:tl2br w:val="nil"/>
              <w:tr2bl w:val="nil"/>
            </w:tcBorders>
            <w:shd w:val="clear" w:color="auto" w:fill="538135" w:themeFill="accent6" w:themeFillShade="BF"/>
            <w:vAlign w:val="center"/>
          </w:tcPr>
          <w:p w14:paraId="2E536ECC">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508766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72885BDD">
            <w:pPr>
              <w:pStyle w:val="150"/>
            </w:pPr>
            <w:r>
              <w:rPr>
                <w:rFonts w:hint="eastAsia"/>
              </w:rPr>
              <w:t>查询</w:t>
            </w:r>
          </w:p>
        </w:tc>
        <w:tc>
          <w:tcPr>
            <w:tcW w:w="6344" w:type="dxa"/>
            <w:shd w:val="clear" w:color="auto" w:fill="auto"/>
          </w:tcPr>
          <w:p w14:paraId="74392D2F">
            <w:pPr>
              <w:pStyle w:val="150"/>
            </w:pPr>
            <w:r>
              <w:rPr>
                <w:rFonts w:hint="eastAsia"/>
              </w:rPr>
              <w:t>根据</w:t>
            </w:r>
            <w:r>
              <w:t>指定条件进行查询</w:t>
            </w:r>
            <w:r>
              <w:rPr>
                <w:rFonts w:hint="eastAsia"/>
              </w:rPr>
              <w:t>。</w:t>
            </w:r>
          </w:p>
        </w:tc>
      </w:tr>
      <w:tr w14:paraId="017F19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757AC566">
            <w:pPr>
              <w:pStyle w:val="150"/>
            </w:pPr>
            <w:r>
              <w:rPr>
                <w:rFonts w:hint="eastAsia"/>
              </w:rPr>
              <w:t>重置</w:t>
            </w:r>
          </w:p>
        </w:tc>
        <w:tc>
          <w:tcPr>
            <w:tcW w:w="6344" w:type="dxa"/>
            <w:shd w:val="clear" w:color="auto" w:fill="auto"/>
          </w:tcPr>
          <w:p w14:paraId="01F3CFFF">
            <w:pPr>
              <w:pStyle w:val="150"/>
            </w:pPr>
            <w:r>
              <w:rPr>
                <w:rFonts w:hint="eastAsia"/>
              </w:rPr>
              <w:t>清除</w:t>
            </w:r>
            <w:r>
              <w:t>已支持的查询条件</w:t>
            </w:r>
            <w:r>
              <w:rPr>
                <w:rFonts w:hint="eastAsia"/>
              </w:rPr>
              <w:t>。</w:t>
            </w:r>
          </w:p>
        </w:tc>
      </w:tr>
      <w:tr w14:paraId="6C71AA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0402B96C">
            <w:pPr>
              <w:pStyle w:val="150"/>
            </w:pPr>
            <w:r>
              <w:rPr>
                <w:rFonts w:hint="eastAsia"/>
              </w:rPr>
              <w:t>用户</w:t>
            </w:r>
          </w:p>
        </w:tc>
        <w:tc>
          <w:tcPr>
            <w:tcW w:w="6344" w:type="dxa"/>
            <w:shd w:val="clear" w:color="auto" w:fill="auto"/>
          </w:tcPr>
          <w:p w14:paraId="77900DE3">
            <w:pPr>
              <w:pStyle w:val="150"/>
            </w:pPr>
            <w:r>
              <w:rPr>
                <w:rFonts w:hint="eastAsia"/>
              </w:rPr>
              <w:t>认证</w:t>
            </w:r>
            <w:r>
              <w:t>用户账号</w:t>
            </w:r>
            <w:r>
              <w:rPr>
                <w:rFonts w:hint="eastAsia"/>
              </w:rPr>
              <w:t>。</w:t>
            </w:r>
          </w:p>
        </w:tc>
      </w:tr>
      <w:tr w14:paraId="3B57339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5F9CE46A">
            <w:pPr>
              <w:pStyle w:val="150"/>
            </w:pPr>
            <w:r>
              <w:rPr>
                <w:rFonts w:hint="eastAsia"/>
              </w:rPr>
              <w:t>用户MAC</w:t>
            </w:r>
          </w:p>
        </w:tc>
        <w:tc>
          <w:tcPr>
            <w:tcW w:w="6344" w:type="dxa"/>
            <w:shd w:val="clear" w:color="auto" w:fill="auto"/>
          </w:tcPr>
          <w:p w14:paraId="20F392E6">
            <w:pPr>
              <w:pStyle w:val="150"/>
            </w:pPr>
            <w:r>
              <w:rPr>
                <w:rFonts w:hint="eastAsia"/>
              </w:rPr>
              <w:t>认证</w:t>
            </w:r>
            <w:r>
              <w:t>用户对应的终端</w:t>
            </w:r>
            <w:r>
              <w:rPr>
                <w:rFonts w:hint="eastAsia"/>
              </w:rPr>
              <w:t>MAC地址。</w:t>
            </w:r>
          </w:p>
        </w:tc>
      </w:tr>
      <w:tr w14:paraId="773D90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1B63A80A">
            <w:pPr>
              <w:pStyle w:val="150"/>
            </w:pPr>
            <w:r>
              <w:rPr>
                <w:rFonts w:hint="eastAsia"/>
              </w:rPr>
              <w:t>IP地址</w:t>
            </w:r>
          </w:p>
        </w:tc>
        <w:tc>
          <w:tcPr>
            <w:tcW w:w="6344" w:type="dxa"/>
            <w:shd w:val="clear" w:color="auto" w:fill="auto"/>
          </w:tcPr>
          <w:p w14:paraId="59323C3B">
            <w:pPr>
              <w:pStyle w:val="150"/>
            </w:pPr>
            <w:r>
              <w:rPr>
                <w:rFonts w:hint="eastAsia"/>
              </w:rPr>
              <w:t>认证</w:t>
            </w:r>
            <w:r>
              <w:t>用户对应的终端</w:t>
            </w:r>
            <w:r>
              <w:rPr>
                <w:rFonts w:hint="eastAsia"/>
              </w:rPr>
              <w:t>IP地址。</w:t>
            </w:r>
          </w:p>
        </w:tc>
      </w:tr>
      <w:tr w14:paraId="1D0B73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0FECD639">
            <w:pPr>
              <w:pStyle w:val="150"/>
            </w:pPr>
            <w:r>
              <w:rPr>
                <w:rFonts w:hint="eastAsia"/>
              </w:rPr>
              <w:t>认证类型</w:t>
            </w:r>
          </w:p>
        </w:tc>
        <w:tc>
          <w:tcPr>
            <w:tcW w:w="6344" w:type="dxa"/>
            <w:shd w:val="clear" w:color="auto" w:fill="auto"/>
          </w:tcPr>
          <w:p w14:paraId="0BE2F631">
            <w:pPr>
              <w:pStyle w:val="150"/>
            </w:pPr>
            <w:r>
              <w:rPr>
                <w:rFonts w:hint="eastAsia"/>
              </w:rPr>
              <w:t>与AP页面</w:t>
            </w:r>
            <w:r>
              <w:t>上配置的认证类型有关</w:t>
            </w:r>
            <w:r>
              <w:rPr>
                <w:rFonts w:hint="eastAsia"/>
              </w:rPr>
              <w:t>。</w:t>
            </w:r>
          </w:p>
        </w:tc>
      </w:tr>
      <w:tr w14:paraId="1B37CC8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5B4B2986">
            <w:pPr>
              <w:pStyle w:val="150"/>
            </w:pPr>
            <w:r>
              <w:rPr>
                <w:rFonts w:hint="eastAsia"/>
              </w:rPr>
              <w:t>行为</w:t>
            </w:r>
          </w:p>
        </w:tc>
        <w:tc>
          <w:tcPr>
            <w:tcW w:w="6344" w:type="dxa"/>
            <w:shd w:val="clear" w:color="auto" w:fill="auto"/>
          </w:tcPr>
          <w:p w14:paraId="6D84D04B">
            <w:pPr>
              <w:pStyle w:val="150"/>
            </w:pPr>
            <w:r>
              <w:rPr>
                <w:rFonts w:hint="eastAsia"/>
              </w:rPr>
              <w:t>认证</w:t>
            </w:r>
            <w:r>
              <w:t>用户的状态（</w:t>
            </w:r>
            <w:r>
              <w:rPr>
                <w:rFonts w:hint="eastAsia"/>
              </w:rPr>
              <w:t>1表示上线</w:t>
            </w:r>
            <w:r>
              <w:t>、</w:t>
            </w:r>
            <w:r>
              <w:rPr>
                <w:rFonts w:hint="eastAsia"/>
              </w:rPr>
              <w:t>0表示</w:t>
            </w:r>
            <w:r>
              <w:t>下线）</w:t>
            </w:r>
            <w:r>
              <w:rPr>
                <w:rFonts w:hint="eastAsia"/>
              </w:rPr>
              <w:t>。</w:t>
            </w:r>
          </w:p>
        </w:tc>
      </w:tr>
      <w:tr w14:paraId="7741BE4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46AF0813">
            <w:pPr>
              <w:pStyle w:val="150"/>
            </w:pPr>
            <w:r>
              <w:rPr>
                <w:rFonts w:hint="eastAsia"/>
              </w:rPr>
              <w:t>场所</w:t>
            </w:r>
          </w:p>
        </w:tc>
        <w:tc>
          <w:tcPr>
            <w:tcW w:w="6344" w:type="dxa"/>
            <w:shd w:val="clear" w:color="auto" w:fill="auto"/>
          </w:tcPr>
          <w:p w14:paraId="43D5AC59">
            <w:pPr>
              <w:pStyle w:val="150"/>
            </w:pPr>
            <w:r>
              <w:rPr>
                <w:rFonts w:hint="eastAsia"/>
              </w:rPr>
              <w:t>该</w:t>
            </w:r>
            <w:r>
              <w:t>日志产生</w:t>
            </w:r>
            <w:r>
              <w:rPr>
                <w:rFonts w:hint="eastAsia"/>
              </w:rPr>
              <w:t>关联</w:t>
            </w:r>
            <w:r>
              <w:t>的场所</w:t>
            </w:r>
            <w:r>
              <w:rPr>
                <w:rFonts w:hint="eastAsia"/>
              </w:rPr>
              <w:t>名称。</w:t>
            </w:r>
          </w:p>
        </w:tc>
      </w:tr>
      <w:tr w14:paraId="0F5FC9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302E865C">
            <w:pPr>
              <w:pStyle w:val="150"/>
            </w:pPr>
            <w:r>
              <w:rPr>
                <w:rFonts w:hint="eastAsia"/>
              </w:rPr>
              <w:t>AP MAC</w:t>
            </w:r>
          </w:p>
        </w:tc>
        <w:tc>
          <w:tcPr>
            <w:tcW w:w="6344" w:type="dxa"/>
            <w:shd w:val="clear" w:color="auto" w:fill="auto"/>
          </w:tcPr>
          <w:p w14:paraId="03E550F7">
            <w:pPr>
              <w:pStyle w:val="150"/>
            </w:pPr>
            <w:r>
              <w:rPr>
                <w:rFonts w:hint="eastAsia"/>
              </w:rPr>
              <w:t>该</w:t>
            </w:r>
            <w:r>
              <w:t>日志产生所关联的</w:t>
            </w:r>
            <w:r>
              <w:rPr>
                <w:rFonts w:hint="eastAsia"/>
              </w:rPr>
              <w:t>AP</w:t>
            </w:r>
            <w:r>
              <w:t>MAC</w:t>
            </w:r>
            <w:r>
              <w:rPr>
                <w:rFonts w:hint="eastAsia"/>
              </w:rPr>
              <w:t>。</w:t>
            </w:r>
          </w:p>
        </w:tc>
      </w:tr>
      <w:tr w14:paraId="099A3D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68C329EA">
            <w:pPr>
              <w:pStyle w:val="150"/>
            </w:pPr>
            <w:r>
              <w:rPr>
                <w:rFonts w:hint="eastAsia"/>
              </w:rPr>
              <w:t>上线</w:t>
            </w:r>
            <w:r>
              <w:t>时间</w:t>
            </w:r>
          </w:p>
        </w:tc>
        <w:tc>
          <w:tcPr>
            <w:tcW w:w="6344" w:type="dxa"/>
            <w:shd w:val="clear" w:color="auto" w:fill="auto"/>
          </w:tcPr>
          <w:p w14:paraId="222BE91A">
            <w:pPr>
              <w:pStyle w:val="150"/>
            </w:pPr>
            <w:r>
              <w:rPr>
                <w:rFonts w:hint="eastAsia"/>
              </w:rPr>
              <w:t>认证</w:t>
            </w:r>
            <w:r>
              <w:t>用户对应认证上线时间</w:t>
            </w:r>
            <w:r>
              <w:rPr>
                <w:rFonts w:hint="eastAsia"/>
              </w:rPr>
              <w:t>。</w:t>
            </w:r>
          </w:p>
        </w:tc>
      </w:tr>
      <w:tr w14:paraId="2014D1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7D465867">
            <w:pPr>
              <w:pStyle w:val="150"/>
            </w:pPr>
            <w:r>
              <w:rPr>
                <w:rFonts w:hint="eastAsia"/>
              </w:rPr>
              <w:t>下线</w:t>
            </w:r>
            <w:r>
              <w:t>时间</w:t>
            </w:r>
          </w:p>
        </w:tc>
        <w:tc>
          <w:tcPr>
            <w:tcW w:w="6344" w:type="dxa"/>
            <w:shd w:val="clear" w:color="auto" w:fill="auto"/>
          </w:tcPr>
          <w:p w14:paraId="0EBA672D">
            <w:pPr>
              <w:pStyle w:val="150"/>
            </w:pPr>
            <w:r>
              <w:rPr>
                <w:rFonts w:hint="eastAsia"/>
              </w:rPr>
              <w:t>认证</w:t>
            </w:r>
            <w:r>
              <w:t>用户对应认证</w:t>
            </w:r>
            <w:r>
              <w:rPr>
                <w:rFonts w:hint="eastAsia"/>
              </w:rPr>
              <w:t>下线</w:t>
            </w:r>
            <w:r>
              <w:t>时间</w:t>
            </w:r>
            <w:r>
              <w:rPr>
                <w:rFonts w:hint="eastAsia"/>
              </w:rPr>
              <w:t>。</w:t>
            </w:r>
          </w:p>
        </w:tc>
      </w:tr>
      <w:tr w14:paraId="2D1B24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809" w:type="dxa"/>
            <w:shd w:val="clear" w:color="auto" w:fill="auto"/>
          </w:tcPr>
          <w:p w14:paraId="59ADB03D">
            <w:pPr>
              <w:pStyle w:val="150"/>
            </w:pPr>
            <w:r>
              <w:t>记录时间</w:t>
            </w:r>
          </w:p>
        </w:tc>
        <w:tc>
          <w:tcPr>
            <w:tcW w:w="6344" w:type="dxa"/>
            <w:shd w:val="clear" w:color="auto" w:fill="auto"/>
          </w:tcPr>
          <w:p w14:paraId="774F0260">
            <w:pPr>
              <w:pStyle w:val="150"/>
            </w:pPr>
            <w:r>
              <w:rPr>
                <w:rFonts w:hint="eastAsia"/>
              </w:rPr>
              <w:t>产生</w:t>
            </w:r>
            <w:r>
              <w:t>日志的记录时间</w:t>
            </w:r>
            <w:r>
              <w:rPr>
                <w:rFonts w:hint="eastAsia"/>
              </w:rPr>
              <w:t>。</w:t>
            </w:r>
          </w:p>
        </w:tc>
      </w:tr>
    </w:tbl>
    <w:p w14:paraId="0553ED4A">
      <w:bookmarkStart w:id="12039" w:name="_Toc494295568"/>
    </w:p>
    <w:p w14:paraId="7FC2D87E">
      <w:pPr>
        <w:pStyle w:val="5"/>
      </w:pPr>
      <w:bookmarkStart w:id="12040" w:name="_Toc99562076"/>
      <w:bookmarkStart w:id="12041" w:name="_Toc194081283"/>
      <w:bookmarkStart w:id="12042" w:name="_Toc70414935"/>
      <w:bookmarkStart w:id="12043" w:name="_Toc146618594"/>
      <w:bookmarkStart w:id="12044" w:name="_Toc196728611"/>
      <w:bookmarkStart w:id="12045" w:name="_Toc70415872"/>
      <w:bookmarkStart w:id="12046" w:name="_Toc141873888"/>
      <w:bookmarkStart w:id="12047" w:name="_Toc58604487"/>
      <w:bookmarkStart w:id="12048" w:name="_Toc142401405"/>
      <w:r>
        <w:t>虚拟身份日志</w:t>
      </w:r>
      <w:bookmarkEnd w:id="12039"/>
      <w:bookmarkEnd w:id="12040"/>
      <w:bookmarkEnd w:id="12041"/>
      <w:bookmarkEnd w:id="12042"/>
      <w:bookmarkEnd w:id="12043"/>
      <w:bookmarkEnd w:id="12044"/>
      <w:bookmarkEnd w:id="12045"/>
      <w:bookmarkEnd w:id="12046"/>
      <w:bookmarkEnd w:id="12047"/>
      <w:bookmarkEnd w:id="12048"/>
    </w:p>
    <w:p w14:paraId="70F844D8">
      <w:r>
        <w:rPr>
          <w:rFonts w:hint="eastAsia"/>
        </w:rPr>
        <w:t>在导航栏中选择“系统管理&gt;系统设定&gt;无线非经&gt;日志</w:t>
      </w:r>
      <w:r>
        <w:t>查询</w:t>
      </w:r>
      <w:r>
        <w:rPr>
          <w:rFonts w:hint="eastAsia"/>
        </w:rPr>
        <w:t>&gt;虚拟</w:t>
      </w:r>
      <w:r>
        <w:t>身份日志</w:t>
      </w:r>
      <w:r>
        <w:rPr>
          <w:rFonts w:hint="eastAsia"/>
        </w:rPr>
        <w:t>”，进入虚拟身份日志显示页面，</w:t>
      </w:r>
      <w:r>
        <w:t>在该页面可以查看</w:t>
      </w:r>
      <w:r>
        <w:rPr>
          <w:rFonts w:hint="eastAsia"/>
        </w:rPr>
        <w:t>虚拟</w:t>
      </w:r>
      <w:r>
        <w:t>身份日志信息</w:t>
      </w:r>
      <w:r>
        <w:rPr>
          <w:rFonts w:hint="eastAsia"/>
        </w:rPr>
        <w:t>，如</w:t>
      </w:r>
      <w:r>
        <w:fldChar w:fldCharType="begin"/>
      </w:r>
      <w:r>
        <w:instrText xml:space="preserve">  REF _Ref494446454 \r \h  \* MERGEFORMAT </w:instrText>
      </w:r>
      <w:r>
        <w:fldChar w:fldCharType="separate"/>
      </w:r>
      <w:r>
        <w:rPr>
          <w:rFonts w:hint="eastAsia"/>
        </w:rPr>
        <w:t>图35-13</w:t>
      </w:r>
      <w:r>
        <w:fldChar w:fldCharType="end"/>
      </w:r>
      <w:r>
        <w:rPr>
          <w:rFonts w:hint="eastAsia"/>
        </w:rPr>
        <w:t>所示，页面详细说明如</w:t>
      </w:r>
      <w:r>
        <w:fldChar w:fldCharType="begin"/>
      </w:r>
      <w:r>
        <w:instrText xml:space="preserve">  REF _Ref494446461 \r \h  \* MERGEFORMAT </w:instrText>
      </w:r>
      <w:r>
        <w:fldChar w:fldCharType="separate"/>
      </w:r>
      <w:r>
        <w:rPr>
          <w:rFonts w:hint="eastAsia"/>
        </w:rPr>
        <w:t>表35-1</w:t>
      </w:r>
      <w:r>
        <w:fldChar w:fldCharType="end"/>
      </w:r>
      <w:r>
        <w:rPr>
          <w:rFonts w:hint="eastAsia"/>
        </w:rPr>
        <w:t>所示。</w:t>
      </w:r>
    </w:p>
    <w:p w14:paraId="7F760209">
      <w:pPr>
        <w:pStyle w:val="188"/>
      </w:pPr>
      <w:bookmarkStart w:id="12049" w:name="_Ref494446454"/>
      <w:bookmarkStart w:id="12050" w:name="_Toc141875356"/>
      <w:r>
        <w:rPr>
          <w:rFonts w:hint="eastAsia"/>
        </w:rPr>
        <w:t>虚拟</w:t>
      </w:r>
      <w:r>
        <w:t>身份日志</w:t>
      </w:r>
      <w:bookmarkEnd w:id="12049"/>
      <w:bookmarkEnd w:id="12050"/>
    </w:p>
    <w:p w14:paraId="6D38FEF0">
      <w:r>
        <w:drawing>
          <wp:inline distT="0" distB="0" distL="0" distR="0">
            <wp:extent cx="5686425" cy="644525"/>
            <wp:effectExtent l="0" t="0" r="0" b="3175"/>
            <wp:docPr id="4987" name="图片 4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7" name="图片 4987"/>
                    <pic:cNvPicPr>
                      <a:picLocks noChangeAspect="1"/>
                    </pic:cNvPicPr>
                  </pic:nvPicPr>
                  <pic:blipFill>
                    <a:blip r:embed="rId1334"/>
                    <a:stretch>
                      <a:fillRect/>
                    </a:stretch>
                  </pic:blipFill>
                  <pic:spPr>
                    <a:xfrm>
                      <a:off x="0" y="0"/>
                      <a:ext cx="5696306" cy="645924"/>
                    </a:xfrm>
                    <a:prstGeom prst="rect">
                      <a:avLst/>
                    </a:prstGeom>
                  </pic:spPr>
                </pic:pic>
              </a:graphicData>
            </a:graphic>
          </wp:inline>
        </w:drawing>
      </w:r>
    </w:p>
    <w:p w14:paraId="3E993E24"/>
    <w:p w14:paraId="17F1B5C9">
      <w:pPr>
        <w:pStyle w:val="183"/>
      </w:pPr>
      <w:bookmarkStart w:id="12051" w:name="_Ref494446461"/>
      <w:bookmarkStart w:id="12052" w:name="_Toc141875815"/>
      <w:r>
        <w:t>虚拟身份日志页面的详细说明</w:t>
      </w:r>
      <w:bookmarkEnd w:id="12051"/>
      <w:bookmarkEnd w:id="12052"/>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889"/>
        <w:gridCol w:w="7081"/>
      </w:tblGrid>
      <w:tr w14:paraId="673763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1668" w:type="dxa"/>
            <w:tcBorders>
              <w:tl2br w:val="nil"/>
              <w:tr2bl w:val="nil"/>
            </w:tcBorders>
            <w:shd w:val="clear" w:color="auto" w:fill="538135" w:themeFill="accent6" w:themeFillShade="BF"/>
            <w:vAlign w:val="center"/>
          </w:tcPr>
          <w:p w14:paraId="2ED7972B">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6253" w:type="dxa"/>
            <w:tcBorders>
              <w:tl2br w:val="nil"/>
              <w:tr2bl w:val="nil"/>
            </w:tcBorders>
            <w:shd w:val="clear" w:color="auto" w:fill="538135" w:themeFill="accent6" w:themeFillShade="BF"/>
            <w:vAlign w:val="center"/>
          </w:tcPr>
          <w:p w14:paraId="1FCF1A79">
            <w:pPr>
              <w:pStyle w:val="150"/>
              <w:wordWrap/>
              <w:rPr>
                <w:b/>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62593F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1668" w:type="dxa"/>
            <w:shd w:val="clear" w:color="auto" w:fill="auto"/>
          </w:tcPr>
          <w:p w14:paraId="52E6AF04">
            <w:pPr>
              <w:pStyle w:val="150"/>
            </w:pPr>
            <w:r>
              <w:rPr>
                <w:rFonts w:hint="eastAsia"/>
              </w:rPr>
              <w:t>查询</w:t>
            </w:r>
          </w:p>
        </w:tc>
        <w:tc>
          <w:tcPr>
            <w:tcW w:w="6253" w:type="dxa"/>
            <w:shd w:val="clear" w:color="auto" w:fill="auto"/>
          </w:tcPr>
          <w:p w14:paraId="76D50B76">
            <w:pPr>
              <w:pStyle w:val="150"/>
            </w:pPr>
            <w:r>
              <w:rPr>
                <w:rFonts w:hint="eastAsia"/>
              </w:rPr>
              <w:t>根据</w:t>
            </w:r>
            <w:r>
              <w:t>指定条件进行查询</w:t>
            </w:r>
            <w:r>
              <w:rPr>
                <w:rFonts w:hint="eastAsia"/>
              </w:rPr>
              <w:t>。</w:t>
            </w:r>
          </w:p>
        </w:tc>
      </w:tr>
      <w:tr w14:paraId="084715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1668" w:type="dxa"/>
            <w:shd w:val="clear" w:color="auto" w:fill="auto"/>
          </w:tcPr>
          <w:p w14:paraId="4AAB674A">
            <w:pPr>
              <w:pStyle w:val="150"/>
            </w:pPr>
            <w:r>
              <w:rPr>
                <w:rFonts w:hint="eastAsia"/>
              </w:rPr>
              <w:t>重置</w:t>
            </w:r>
          </w:p>
        </w:tc>
        <w:tc>
          <w:tcPr>
            <w:tcW w:w="6253" w:type="dxa"/>
            <w:shd w:val="clear" w:color="auto" w:fill="auto"/>
          </w:tcPr>
          <w:p w14:paraId="2CA670EE">
            <w:pPr>
              <w:pStyle w:val="150"/>
            </w:pPr>
            <w:r>
              <w:rPr>
                <w:rFonts w:hint="eastAsia"/>
              </w:rPr>
              <w:t>清除</w:t>
            </w:r>
            <w:r>
              <w:t>已支持的查询条件</w:t>
            </w:r>
            <w:r>
              <w:rPr>
                <w:rFonts w:hint="eastAsia"/>
              </w:rPr>
              <w:t>。</w:t>
            </w:r>
          </w:p>
        </w:tc>
      </w:tr>
      <w:tr w14:paraId="027AB5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1668" w:type="dxa"/>
            <w:shd w:val="clear" w:color="auto" w:fill="auto"/>
          </w:tcPr>
          <w:p w14:paraId="2A083530">
            <w:pPr>
              <w:pStyle w:val="150"/>
            </w:pPr>
            <w:r>
              <w:rPr>
                <w:rFonts w:hint="eastAsia"/>
              </w:rPr>
              <w:t>用户</w:t>
            </w:r>
          </w:p>
        </w:tc>
        <w:tc>
          <w:tcPr>
            <w:tcW w:w="6253" w:type="dxa"/>
            <w:shd w:val="clear" w:color="auto" w:fill="auto"/>
          </w:tcPr>
          <w:p w14:paraId="17ED3799">
            <w:pPr>
              <w:pStyle w:val="150"/>
            </w:pPr>
            <w:r>
              <w:rPr>
                <w:rFonts w:hint="eastAsia"/>
              </w:rPr>
              <w:t>认证</w:t>
            </w:r>
            <w:r>
              <w:t>用户账号</w:t>
            </w:r>
            <w:r>
              <w:rPr>
                <w:rFonts w:hint="eastAsia"/>
              </w:rPr>
              <w:t>。</w:t>
            </w:r>
          </w:p>
        </w:tc>
      </w:tr>
      <w:tr w14:paraId="51B80A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1668" w:type="dxa"/>
            <w:shd w:val="clear" w:color="auto" w:fill="auto"/>
          </w:tcPr>
          <w:p w14:paraId="3884B1CC">
            <w:pPr>
              <w:pStyle w:val="150"/>
            </w:pPr>
            <w:r>
              <w:rPr>
                <w:rFonts w:hint="eastAsia"/>
              </w:rPr>
              <w:t>用户MAC</w:t>
            </w:r>
          </w:p>
        </w:tc>
        <w:tc>
          <w:tcPr>
            <w:tcW w:w="6253" w:type="dxa"/>
            <w:shd w:val="clear" w:color="auto" w:fill="auto"/>
          </w:tcPr>
          <w:p w14:paraId="55A5B906">
            <w:pPr>
              <w:pStyle w:val="150"/>
            </w:pPr>
            <w:r>
              <w:rPr>
                <w:rFonts w:hint="eastAsia"/>
              </w:rPr>
              <w:t>认证</w:t>
            </w:r>
            <w:r>
              <w:t>用户对应的终端</w:t>
            </w:r>
            <w:r>
              <w:rPr>
                <w:rFonts w:hint="eastAsia"/>
              </w:rPr>
              <w:t>MAC地址。</w:t>
            </w:r>
          </w:p>
        </w:tc>
      </w:tr>
      <w:tr w14:paraId="150F17B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1668" w:type="dxa"/>
            <w:shd w:val="clear" w:color="auto" w:fill="auto"/>
          </w:tcPr>
          <w:p w14:paraId="1C840CDB">
            <w:pPr>
              <w:pStyle w:val="150"/>
            </w:pPr>
            <w:r>
              <w:rPr>
                <w:rFonts w:hint="eastAsia"/>
              </w:rPr>
              <w:t>认证类型</w:t>
            </w:r>
          </w:p>
        </w:tc>
        <w:tc>
          <w:tcPr>
            <w:tcW w:w="6253" w:type="dxa"/>
            <w:shd w:val="clear" w:color="auto" w:fill="auto"/>
          </w:tcPr>
          <w:p w14:paraId="10EDFCFC">
            <w:pPr>
              <w:pStyle w:val="150"/>
            </w:pPr>
            <w:r>
              <w:rPr>
                <w:rFonts w:hint="eastAsia"/>
              </w:rPr>
              <w:t>与AP页面</w:t>
            </w:r>
            <w:r>
              <w:t>上配置的认证类型有关</w:t>
            </w:r>
            <w:r>
              <w:rPr>
                <w:rFonts w:hint="eastAsia"/>
              </w:rPr>
              <w:t>。</w:t>
            </w:r>
          </w:p>
        </w:tc>
      </w:tr>
      <w:tr w14:paraId="4E0D72C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1668" w:type="dxa"/>
            <w:shd w:val="clear" w:color="auto" w:fill="auto"/>
          </w:tcPr>
          <w:p w14:paraId="7F0D2B27">
            <w:pPr>
              <w:pStyle w:val="150"/>
            </w:pPr>
            <w:r>
              <w:rPr>
                <w:rFonts w:hint="eastAsia"/>
              </w:rPr>
              <w:t>应用</w:t>
            </w:r>
          </w:p>
        </w:tc>
        <w:tc>
          <w:tcPr>
            <w:tcW w:w="6253" w:type="dxa"/>
            <w:shd w:val="clear" w:color="auto" w:fill="auto"/>
          </w:tcPr>
          <w:p w14:paraId="373D8469">
            <w:pPr>
              <w:pStyle w:val="150"/>
            </w:pPr>
            <w:r>
              <w:rPr>
                <w:rFonts w:hint="eastAsia"/>
              </w:rPr>
              <w:t>虚拟</w:t>
            </w:r>
            <w:r>
              <w:t>身份产生的具体应用</w:t>
            </w:r>
            <w:r>
              <w:rPr>
                <w:rFonts w:hint="eastAsia"/>
              </w:rPr>
              <w:t>。</w:t>
            </w:r>
          </w:p>
        </w:tc>
      </w:tr>
      <w:tr w14:paraId="7C88AEB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1668" w:type="dxa"/>
            <w:shd w:val="clear" w:color="auto" w:fill="auto"/>
          </w:tcPr>
          <w:p w14:paraId="74F8424F">
            <w:pPr>
              <w:pStyle w:val="150"/>
            </w:pPr>
            <w:r>
              <w:rPr>
                <w:rFonts w:hint="eastAsia"/>
              </w:rPr>
              <w:t>账号</w:t>
            </w:r>
          </w:p>
        </w:tc>
        <w:tc>
          <w:tcPr>
            <w:tcW w:w="6253" w:type="dxa"/>
            <w:shd w:val="clear" w:color="auto" w:fill="auto"/>
          </w:tcPr>
          <w:p w14:paraId="7314B5A0">
            <w:pPr>
              <w:pStyle w:val="150"/>
            </w:pPr>
            <w:r>
              <w:rPr>
                <w:rFonts w:hint="eastAsia"/>
              </w:rPr>
              <w:t>虚拟</w:t>
            </w:r>
            <w:r>
              <w:t>身份账号</w:t>
            </w:r>
            <w:r>
              <w:rPr>
                <w:rFonts w:hint="eastAsia"/>
              </w:rPr>
              <w:t>。</w:t>
            </w:r>
          </w:p>
        </w:tc>
      </w:tr>
      <w:tr w14:paraId="31A32B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1668" w:type="dxa"/>
            <w:shd w:val="clear" w:color="auto" w:fill="auto"/>
          </w:tcPr>
          <w:p w14:paraId="22A46CFE">
            <w:pPr>
              <w:pStyle w:val="150"/>
            </w:pPr>
            <w:r>
              <w:rPr>
                <w:rFonts w:hint="eastAsia"/>
              </w:rPr>
              <w:t>行为</w:t>
            </w:r>
          </w:p>
        </w:tc>
        <w:tc>
          <w:tcPr>
            <w:tcW w:w="6253" w:type="dxa"/>
            <w:shd w:val="clear" w:color="auto" w:fill="auto"/>
          </w:tcPr>
          <w:p w14:paraId="18F60825">
            <w:pPr>
              <w:pStyle w:val="150"/>
            </w:pPr>
            <w:r>
              <w:rPr>
                <w:rFonts w:hint="eastAsia"/>
              </w:rPr>
              <w:t>虚拟</w:t>
            </w:r>
            <w:r>
              <w:t>身份的</w:t>
            </w:r>
            <w:r>
              <w:rPr>
                <w:rFonts w:hint="eastAsia"/>
              </w:rPr>
              <w:t>状态</w:t>
            </w:r>
            <w:r>
              <w:t>（</w:t>
            </w:r>
            <w:r>
              <w:rPr>
                <w:rFonts w:hint="eastAsia"/>
              </w:rPr>
              <w:t>1表示上线</w:t>
            </w:r>
            <w:r>
              <w:t>、</w:t>
            </w:r>
            <w:r>
              <w:rPr>
                <w:rFonts w:hint="eastAsia"/>
              </w:rPr>
              <w:t>0表示</w:t>
            </w:r>
            <w:r>
              <w:t>下线）</w:t>
            </w:r>
            <w:r>
              <w:rPr>
                <w:rFonts w:hint="eastAsia"/>
              </w:rPr>
              <w:t>。</w:t>
            </w:r>
          </w:p>
        </w:tc>
      </w:tr>
      <w:tr w14:paraId="396E93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1668" w:type="dxa"/>
            <w:shd w:val="clear" w:color="auto" w:fill="auto"/>
          </w:tcPr>
          <w:p w14:paraId="5BD96E60">
            <w:pPr>
              <w:pStyle w:val="150"/>
            </w:pPr>
            <w:r>
              <w:rPr>
                <w:rFonts w:hint="eastAsia"/>
              </w:rPr>
              <w:t>场所名称</w:t>
            </w:r>
          </w:p>
        </w:tc>
        <w:tc>
          <w:tcPr>
            <w:tcW w:w="6253" w:type="dxa"/>
            <w:shd w:val="clear" w:color="auto" w:fill="auto"/>
          </w:tcPr>
          <w:p w14:paraId="3F6C510F">
            <w:pPr>
              <w:pStyle w:val="150"/>
            </w:pPr>
            <w:r>
              <w:rPr>
                <w:rFonts w:hint="eastAsia"/>
              </w:rPr>
              <w:t>该</w:t>
            </w:r>
            <w:r>
              <w:t>日志产生所属的场所名称</w:t>
            </w:r>
            <w:r>
              <w:rPr>
                <w:rFonts w:hint="eastAsia"/>
              </w:rPr>
              <w:t>。</w:t>
            </w:r>
          </w:p>
        </w:tc>
      </w:tr>
      <w:tr w14:paraId="46E60F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1668" w:type="dxa"/>
            <w:shd w:val="clear" w:color="auto" w:fill="auto"/>
          </w:tcPr>
          <w:p w14:paraId="6227FF46">
            <w:pPr>
              <w:pStyle w:val="150"/>
            </w:pPr>
            <w:r>
              <w:rPr>
                <w:rFonts w:hint="eastAsia"/>
              </w:rPr>
              <w:t>A</w:t>
            </w:r>
            <w:r>
              <w:t>P MAC</w:t>
            </w:r>
          </w:p>
        </w:tc>
        <w:tc>
          <w:tcPr>
            <w:tcW w:w="6253" w:type="dxa"/>
            <w:shd w:val="clear" w:color="auto" w:fill="auto"/>
          </w:tcPr>
          <w:p w14:paraId="3379134C">
            <w:pPr>
              <w:pStyle w:val="150"/>
            </w:pPr>
            <w:r>
              <w:rPr>
                <w:rFonts w:hint="eastAsia"/>
              </w:rPr>
              <w:t>该</w:t>
            </w:r>
            <w:r>
              <w:t>日志产生所属的</w:t>
            </w:r>
            <w:r>
              <w:rPr>
                <w:rFonts w:hint="eastAsia"/>
              </w:rPr>
              <w:t xml:space="preserve">AP </w:t>
            </w:r>
            <w:r>
              <w:t>MAC</w:t>
            </w:r>
            <w:r>
              <w:rPr>
                <w:rFonts w:hint="eastAsia"/>
              </w:rPr>
              <w:t>。</w:t>
            </w:r>
          </w:p>
        </w:tc>
      </w:tr>
      <w:tr w14:paraId="5BC361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1668" w:type="dxa"/>
            <w:shd w:val="clear" w:color="auto" w:fill="auto"/>
          </w:tcPr>
          <w:p w14:paraId="02EF2589">
            <w:pPr>
              <w:pStyle w:val="150"/>
            </w:pPr>
            <w:r>
              <w:rPr>
                <w:rFonts w:hint="eastAsia"/>
              </w:rPr>
              <w:t>源IP</w:t>
            </w:r>
          </w:p>
        </w:tc>
        <w:tc>
          <w:tcPr>
            <w:tcW w:w="6253" w:type="dxa"/>
            <w:shd w:val="clear" w:color="auto" w:fill="auto"/>
          </w:tcPr>
          <w:p w14:paraId="2B7FAAAC">
            <w:pPr>
              <w:pStyle w:val="150"/>
            </w:pPr>
            <w:r>
              <w:rPr>
                <w:rFonts w:hint="eastAsia"/>
              </w:rPr>
              <w:t>认证</w:t>
            </w:r>
            <w:r>
              <w:t>用户对应的终端</w:t>
            </w:r>
            <w:r>
              <w:rPr>
                <w:rFonts w:hint="eastAsia"/>
              </w:rPr>
              <w:t>IP地址。</w:t>
            </w:r>
          </w:p>
        </w:tc>
      </w:tr>
      <w:tr w14:paraId="447C98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1668" w:type="dxa"/>
            <w:shd w:val="clear" w:color="auto" w:fill="auto"/>
          </w:tcPr>
          <w:p w14:paraId="7177B4A3">
            <w:pPr>
              <w:pStyle w:val="150"/>
            </w:pPr>
            <w:r>
              <w:rPr>
                <w:rFonts w:hint="eastAsia"/>
              </w:rPr>
              <w:t>目的IP</w:t>
            </w:r>
          </w:p>
        </w:tc>
        <w:tc>
          <w:tcPr>
            <w:tcW w:w="6253" w:type="dxa"/>
            <w:shd w:val="clear" w:color="auto" w:fill="auto"/>
          </w:tcPr>
          <w:p w14:paraId="1859B4DF">
            <w:pPr>
              <w:pStyle w:val="150"/>
            </w:pPr>
            <w:r>
              <w:rPr>
                <w:rFonts w:hint="eastAsia"/>
              </w:rPr>
              <w:t>该</w:t>
            </w:r>
            <w:r>
              <w:t>用户访问具体应用对应的目的</w:t>
            </w:r>
            <w:r>
              <w:rPr>
                <w:rFonts w:hint="eastAsia"/>
              </w:rPr>
              <w:t>IP地址。</w:t>
            </w:r>
          </w:p>
        </w:tc>
      </w:tr>
      <w:tr w14:paraId="39026CF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1668" w:type="dxa"/>
            <w:shd w:val="clear" w:color="auto" w:fill="auto"/>
          </w:tcPr>
          <w:p w14:paraId="7B052048">
            <w:pPr>
              <w:pStyle w:val="150"/>
            </w:pPr>
            <w:r>
              <w:rPr>
                <w:rFonts w:hint="eastAsia"/>
              </w:rPr>
              <w:t>上线</w:t>
            </w:r>
            <w:r>
              <w:t>时间</w:t>
            </w:r>
          </w:p>
        </w:tc>
        <w:tc>
          <w:tcPr>
            <w:tcW w:w="6253" w:type="dxa"/>
            <w:shd w:val="clear" w:color="auto" w:fill="auto"/>
          </w:tcPr>
          <w:p w14:paraId="0EB46138">
            <w:pPr>
              <w:pStyle w:val="150"/>
            </w:pPr>
            <w:r>
              <w:rPr>
                <w:rFonts w:hint="eastAsia"/>
              </w:rPr>
              <w:t>该</w:t>
            </w:r>
            <w:r>
              <w:t>应用</w:t>
            </w:r>
            <w:r>
              <w:rPr>
                <w:rFonts w:hint="eastAsia"/>
              </w:rPr>
              <w:t>产生</w:t>
            </w:r>
            <w:r>
              <w:t>登录日志的时间</w:t>
            </w:r>
            <w:r>
              <w:rPr>
                <w:rFonts w:hint="eastAsia"/>
              </w:rPr>
              <w:t>。</w:t>
            </w:r>
          </w:p>
        </w:tc>
      </w:tr>
      <w:tr w14:paraId="2C8FD4F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1668" w:type="dxa"/>
            <w:shd w:val="clear" w:color="auto" w:fill="auto"/>
          </w:tcPr>
          <w:p w14:paraId="2D1A6452">
            <w:pPr>
              <w:pStyle w:val="150"/>
            </w:pPr>
            <w:r>
              <w:rPr>
                <w:rFonts w:hint="eastAsia"/>
              </w:rPr>
              <w:t>下线</w:t>
            </w:r>
            <w:r>
              <w:t>时间</w:t>
            </w:r>
          </w:p>
        </w:tc>
        <w:tc>
          <w:tcPr>
            <w:tcW w:w="6253" w:type="dxa"/>
            <w:shd w:val="clear" w:color="auto" w:fill="auto"/>
          </w:tcPr>
          <w:p w14:paraId="6887608C">
            <w:pPr>
              <w:pStyle w:val="150"/>
            </w:pPr>
            <w:r>
              <w:rPr>
                <w:rFonts w:hint="eastAsia"/>
              </w:rPr>
              <w:t>该</w:t>
            </w:r>
            <w:r>
              <w:t>应用对应真实身份数据下线的时间</w:t>
            </w:r>
            <w:r>
              <w:rPr>
                <w:rFonts w:hint="eastAsia"/>
              </w:rPr>
              <w:t>。</w:t>
            </w:r>
          </w:p>
        </w:tc>
      </w:tr>
      <w:tr w14:paraId="5B2BA2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1668" w:type="dxa"/>
            <w:shd w:val="clear" w:color="auto" w:fill="auto"/>
          </w:tcPr>
          <w:p w14:paraId="24EAF0F6">
            <w:pPr>
              <w:pStyle w:val="150"/>
            </w:pPr>
            <w:r>
              <w:t>记录时间</w:t>
            </w:r>
          </w:p>
        </w:tc>
        <w:tc>
          <w:tcPr>
            <w:tcW w:w="6253" w:type="dxa"/>
            <w:shd w:val="clear" w:color="auto" w:fill="auto"/>
          </w:tcPr>
          <w:p w14:paraId="642ADB4A">
            <w:pPr>
              <w:pStyle w:val="150"/>
            </w:pPr>
            <w:r>
              <w:rPr>
                <w:rFonts w:hint="eastAsia"/>
              </w:rPr>
              <w:t>设备</w:t>
            </w:r>
            <w:r>
              <w:t>端产生该日志的记录时间</w:t>
            </w:r>
            <w:r>
              <w:rPr>
                <w:rFonts w:hint="eastAsia"/>
              </w:rPr>
              <w:t>。</w:t>
            </w:r>
          </w:p>
        </w:tc>
      </w:tr>
    </w:tbl>
    <w:p w14:paraId="340571DF">
      <w:bookmarkStart w:id="12053" w:name="_Toc494295569"/>
    </w:p>
    <w:p w14:paraId="4FEE5765">
      <w:pPr>
        <w:pStyle w:val="5"/>
      </w:pPr>
      <w:bookmarkStart w:id="12054" w:name="_Toc58604488"/>
      <w:bookmarkStart w:id="12055" w:name="_Toc70415873"/>
      <w:bookmarkStart w:id="12056" w:name="_Toc141873889"/>
      <w:bookmarkStart w:id="12057" w:name="_Toc70414936"/>
      <w:bookmarkStart w:id="12058" w:name="_Toc99562077"/>
      <w:bookmarkStart w:id="12059" w:name="_Toc194081284"/>
      <w:bookmarkStart w:id="12060" w:name="_Toc146618595"/>
      <w:bookmarkStart w:id="12061" w:name="_Toc142401406"/>
      <w:bookmarkStart w:id="12062" w:name="_Toc196728612"/>
      <w:r>
        <w:t>上网日志</w:t>
      </w:r>
      <w:bookmarkEnd w:id="12053"/>
      <w:bookmarkEnd w:id="12054"/>
      <w:bookmarkEnd w:id="12055"/>
      <w:bookmarkEnd w:id="12056"/>
      <w:bookmarkEnd w:id="12057"/>
      <w:bookmarkEnd w:id="12058"/>
      <w:bookmarkEnd w:id="12059"/>
      <w:bookmarkEnd w:id="12060"/>
      <w:bookmarkEnd w:id="12061"/>
      <w:bookmarkEnd w:id="12062"/>
    </w:p>
    <w:p w14:paraId="059BA04D">
      <w:r>
        <w:rPr>
          <w:rFonts w:hint="eastAsia"/>
        </w:rPr>
        <w:t>在导航栏中选择“系统管理&gt;系统设定&gt;无线非经&gt;日志</w:t>
      </w:r>
      <w:r>
        <w:t>查询</w:t>
      </w:r>
      <w:r>
        <w:rPr>
          <w:rFonts w:hint="eastAsia"/>
        </w:rPr>
        <w:t>&gt;上网</w:t>
      </w:r>
      <w:r>
        <w:t>日志</w:t>
      </w:r>
      <w:r>
        <w:rPr>
          <w:rFonts w:hint="eastAsia"/>
        </w:rPr>
        <w:t>”，进入上网</w:t>
      </w:r>
      <w:r>
        <w:t>日志</w:t>
      </w:r>
      <w:r>
        <w:rPr>
          <w:rFonts w:hint="eastAsia"/>
        </w:rPr>
        <w:t>显示页面，</w:t>
      </w:r>
      <w:r>
        <w:t>在该页面可以</w:t>
      </w:r>
      <w:r>
        <w:rPr>
          <w:rFonts w:hint="eastAsia"/>
        </w:rPr>
        <w:t>查看</w:t>
      </w:r>
      <w:r>
        <w:t>上网日志信息</w:t>
      </w:r>
      <w:r>
        <w:rPr>
          <w:rFonts w:hint="eastAsia"/>
        </w:rPr>
        <w:t>，如</w:t>
      </w:r>
      <w:r>
        <w:fldChar w:fldCharType="begin"/>
      </w:r>
      <w:r>
        <w:instrText xml:space="preserve">  REF _Ref494446473 \r \h  \* MERGEFORMAT </w:instrText>
      </w:r>
      <w:r>
        <w:fldChar w:fldCharType="separate"/>
      </w:r>
      <w:r>
        <w:rPr>
          <w:rFonts w:hint="eastAsia"/>
        </w:rPr>
        <w:t>图35-14</w:t>
      </w:r>
      <w:r>
        <w:fldChar w:fldCharType="end"/>
      </w:r>
      <w:r>
        <w:rPr>
          <w:rFonts w:hint="eastAsia"/>
        </w:rPr>
        <w:t>所示，页面详细说明如</w:t>
      </w:r>
      <w:r>
        <w:fldChar w:fldCharType="begin"/>
      </w:r>
      <w:r>
        <w:instrText xml:space="preserve">  REF _Ref494446483 \r \h  \* MERGEFORMAT </w:instrText>
      </w:r>
      <w:r>
        <w:fldChar w:fldCharType="separate"/>
      </w:r>
      <w:r>
        <w:rPr>
          <w:rFonts w:hint="eastAsia"/>
        </w:rPr>
        <w:t>表35-1</w:t>
      </w:r>
      <w:r>
        <w:fldChar w:fldCharType="end"/>
      </w:r>
      <w:r>
        <w:rPr>
          <w:rFonts w:hint="eastAsia"/>
        </w:rPr>
        <w:t>所示。</w:t>
      </w:r>
    </w:p>
    <w:p w14:paraId="3E615EF3">
      <w:pPr>
        <w:pStyle w:val="188"/>
      </w:pPr>
      <w:bookmarkStart w:id="12063" w:name="_Ref494446473"/>
      <w:bookmarkStart w:id="12064" w:name="_Toc141875357"/>
      <w:r>
        <w:rPr>
          <w:rFonts w:hint="eastAsia"/>
        </w:rPr>
        <w:t>上网</w:t>
      </w:r>
      <w:r>
        <w:t>日志</w:t>
      </w:r>
      <w:bookmarkEnd w:id="12063"/>
      <w:bookmarkEnd w:id="12064"/>
    </w:p>
    <w:p w14:paraId="388453DD">
      <w:pPr>
        <w:pStyle w:val="175"/>
      </w:pPr>
      <w:r>
        <w:drawing>
          <wp:inline distT="0" distB="0" distL="0" distR="0">
            <wp:extent cx="5715000" cy="682625"/>
            <wp:effectExtent l="0" t="0" r="0" b="3175"/>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61"/>
                    <pic:cNvPicPr>
                      <a:picLocks noChangeAspect="1"/>
                    </pic:cNvPicPr>
                  </pic:nvPicPr>
                  <pic:blipFill>
                    <a:blip r:embed="rId1335"/>
                    <a:stretch>
                      <a:fillRect/>
                    </a:stretch>
                  </pic:blipFill>
                  <pic:spPr>
                    <a:xfrm>
                      <a:off x="0" y="0"/>
                      <a:ext cx="5728278" cy="684612"/>
                    </a:xfrm>
                    <a:prstGeom prst="rect">
                      <a:avLst/>
                    </a:prstGeom>
                  </pic:spPr>
                </pic:pic>
              </a:graphicData>
            </a:graphic>
          </wp:inline>
        </w:drawing>
      </w:r>
    </w:p>
    <w:p w14:paraId="479218FB"/>
    <w:p w14:paraId="4AD52AE7">
      <w:pPr>
        <w:pStyle w:val="183"/>
      </w:pPr>
      <w:bookmarkStart w:id="12065" w:name="_Ref494446483"/>
      <w:bookmarkStart w:id="12066" w:name="_Toc141875816"/>
      <w:r>
        <w:t>上网日志页面的详细说明</w:t>
      </w:r>
      <w:bookmarkEnd w:id="12065"/>
      <w:bookmarkEnd w:id="12066"/>
    </w:p>
    <w:tbl>
      <w:tblPr>
        <w:tblStyle w:val="173"/>
        <w:tblW w:w="9063"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728"/>
        <w:gridCol w:w="7335"/>
      </w:tblGrid>
      <w:tr w14:paraId="2DA09BB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20" w:hRule="atLeast"/>
        </w:trPr>
        <w:tc>
          <w:tcPr>
            <w:tcW w:w="1728" w:type="dxa"/>
            <w:tcBorders>
              <w:tl2br w:val="nil"/>
              <w:tr2bl w:val="nil"/>
            </w:tcBorders>
            <w:shd w:val="clear" w:color="auto" w:fill="538135" w:themeFill="accent6" w:themeFillShade="BF"/>
            <w:vAlign w:val="center"/>
          </w:tcPr>
          <w:p w14:paraId="6EDBB1F6">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标题项</w:t>
            </w:r>
          </w:p>
        </w:tc>
        <w:tc>
          <w:tcPr>
            <w:tcW w:w="7335" w:type="dxa"/>
            <w:tcBorders>
              <w:tl2br w:val="nil"/>
              <w:tr2bl w:val="nil"/>
            </w:tcBorders>
            <w:shd w:val="clear" w:color="auto" w:fill="538135" w:themeFill="accent6" w:themeFillShade="BF"/>
            <w:vAlign w:val="center"/>
          </w:tcPr>
          <w:p w14:paraId="7D472698">
            <w:pPr>
              <w:pStyle w:val="150"/>
              <w:wordWrap/>
              <w:rPr>
                <w:b w:val="0"/>
                <w:bCs w:val="0"/>
                <w:i w:val="0"/>
                <w:iCs w:val="0"/>
                <w:color w:val="FFFFFF" w:themeColor="background1"/>
                <w14:textFill>
                  <w14:solidFill>
                    <w14:schemeClr w14:val="bg1"/>
                  </w14:solidFill>
                </w14:textFill>
              </w:rPr>
            </w:pPr>
            <w:r>
              <w:rPr>
                <w:rFonts w:hint="eastAsia"/>
                <w:b w:val="0"/>
                <w:bCs w:val="0"/>
                <w:i w:val="0"/>
                <w:iCs w:val="0"/>
                <w:color w:val="FFFFFF" w:themeColor="background1"/>
                <w14:textFill>
                  <w14:solidFill>
                    <w14:schemeClr w14:val="bg1"/>
                  </w14:solidFill>
                </w14:textFill>
              </w:rPr>
              <w:t>说明</w:t>
            </w:r>
          </w:p>
        </w:tc>
      </w:tr>
      <w:tr w14:paraId="6A6141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28" w:type="dxa"/>
            <w:shd w:val="clear" w:color="auto" w:fill="auto"/>
          </w:tcPr>
          <w:p w14:paraId="0582971F">
            <w:pPr>
              <w:pStyle w:val="150"/>
            </w:pPr>
            <w:r>
              <w:rPr>
                <w:rFonts w:hint="eastAsia"/>
              </w:rPr>
              <w:t>查询</w:t>
            </w:r>
          </w:p>
        </w:tc>
        <w:tc>
          <w:tcPr>
            <w:tcW w:w="7335" w:type="dxa"/>
            <w:shd w:val="clear" w:color="auto" w:fill="auto"/>
          </w:tcPr>
          <w:p w14:paraId="7DEC395B">
            <w:pPr>
              <w:pStyle w:val="150"/>
            </w:pPr>
            <w:r>
              <w:rPr>
                <w:rFonts w:hint="eastAsia"/>
              </w:rPr>
              <w:t>根据</w:t>
            </w:r>
            <w:r>
              <w:t>指定条件进行查询</w:t>
            </w:r>
            <w:r>
              <w:rPr>
                <w:rFonts w:hint="eastAsia"/>
              </w:rPr>
              <w:t>。</w:t>
            </w:r>
          </w:p>
        </w:tc>
      </w:tr>
      <w:tr w14:paraId="6481199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28" w:type="dxa"/>
            <w:shd w:val="clear" w:color="auto" w:fill="auto"/>
          </w:tcPr>
          <w:p w14:paraId="301FBB25">
            <w:pPr>
              <w:pStyle w:val="150"/>
            </w:pPr>
            <w:r>
              <w:rPr>
                <w:rFonts w:hint="eastAsia"/>
              </w:rPr>
              <w:t>重置</w:t>
            </w:r>
          </w:p>
        </w:tc>
        <w:tc>
          <w:tcPr>
            <w:tcW w:w="7335" w:type="dxa"/>
            <w:shd w:val="clear" w:color="auto" w:fill="auto"/>
          </w:tcPr>
          <w:p w14:paraId="4C5B455F">
            <w:pPr>
              <w:pStyle w:val="150"/>
            </w:pPr>
            <w:r>
              <w:rPr>
                <w:rFonts w:hint="eastAsia"/>
              </w:rPr>
              <w:t>清除</w:t>
            </w:r>
            <w:r>
              <w:t>已支持的查询条件</w:t>
            </w:r>
            <w:r>
              <w:rPr>
                <w:rFonts w:hint="eastAsia"/>
              </w:rPr>
              <w:t>。</w:t>
            </w:r>
          </w:p>
        </w:tc>
      </w:tr>
      <w:tr w14:paraId="7BC5AB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28" w:type="dxa"/>
            <w:shd w:val="clear" w:color="auto" w:fill="auto"/>
          </w:tcPr>
          <w:p w14:paraId="47BE912A">
            <w:pPr>
              <w:pStyle w:val="150"/>
            </w:pPr>
            <w:r>
              <w:rPr>
                <w:rFonts w:hint="eastAsia"/>
              </w:rPr>
              <w:t>用户</w:t>
            </w:r>
          </w:p>
        </w:tc>
        <w:tc>
          <w:tcPr>
            <w:tcW w:w="7335" w:type="dxa"/>
            <w:shd w:val="clear" w:color="auto" w:fill="auto"/>
          </w:tcPr>
          <w:p w14:paraId="74D3C8A7">
            <w:pPr>
              <w:pStyle w:val="150"/>
            </w:pPr>
            <w:r>
              <w:rPr>
                <w:rFonts w:hint="eastAsia"/>
              </w:rPr>
              <w:t>认证</w:t>
            </w:r>
            <w:r>
              <w:t>用户账号</w:t>
            </w:r>
            <w:r>
              <w:rPr>
                <w:rFonts w:hint="eastAsia"/>
              </w:rPr>
              <w:t>。</w:t>
            </w:r>
          </w:p>
        </w:tc>
      </w:tr>
      <w:tr w14:paraId="1F43C3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28" w:type="dxa"/>
            <w:shd w:val="clear" w:color="auto" w:fill="auto"/>
          </w:tcPr>
          <w:p w14:paraId="693FD947">
            <w:pPr>
              <w:pStyle w:val="150"/>
            </w:pPr>
            <w:r>
              <w:rPr>
                <w:rFonts w:hint="eastAsia"/>
              </w:rPr>
              <w:t>用户MAC</w:t>
            </w:r>
          </w:p>
        </w:tc>
        <w:tc>
          <w:tcPr>
            <w:tcW w:w="7335" w:type="dxa"/>
            <w:shd w:val="clear" w:color="auto" w:fill="auto"/>
          </w:tcPr>
          <w:p w14:paraId="517F649D">
            <w:pPr>
              <w:pStyle w:val="150"/>
            </w:pPr>
            <w:r>
              <w:rPr>
                <w:rFonts w:hint="eastAsia"/>
              </w:rPr>
              <w:t>认证</w:t>
            </w:r>
            <w:r>
              <w:t>用户对应的终端</w:t>
            </w:r>
            <w:r>
              <w:rPr>
                <w:rFonts w:hint="eastAsia"/>
              </w:rPr>
              <w:t>MAC地址。</w:t>
            </w:r>
          </w:p>
        </w:tc>
      </w:tr>
      <w:tr w14:paraId="6F8FDB8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28" w:type="dxa"/>
            <w:shd w:val="clear" w:color="auto" w:fill="auto"/>
          </w:tcPr>
          <w:p w14:paraId="05AF4DD5">
            <w:pPr>
              <w:pStyle w:val="150"/>
            </w:pPr>
            <w:r>
              <w:rPr>
                <w:rFonts w:hint="eastAsia"/>
              </w:rPr>
              <w:t>认证类型</w:t>
            </w:r>
          </w:p>
        </w:tc>
        <w:tc>
          <w:tcPr>
            <w:tcW w:w="7335" w:type="dxa"/>
            <w:shd w:val="clear" w:color="auto" w:fill="auto"/>
          </w:tcPr>
          <w:p w14:paraId="3149996E">
            <w:pPr>
              <w:pStyle w:val="150"/>
            </w:pPr>
            <w:r>
              <w:rPr>
                <w:rFonts w:hint="eastAsia"/>
              </w:rPr>
              <w:t>与AP页面</w:t>
            </w:r>
            <w:r>
              <w:t>上配置的认证类型有关</w:t>
            </w:r>
            <w:r>
              <w:rPr>
                <w:rFonts w:hint="eastAsia"/>
              </w:rPr>
              <w:t>。</w:t>
            </w:r>
          </w:p>
        </w:tc>
      </w:tr>
      <w:tr w14:paraId="7599D00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28" w:type="dxa"/>
            <w:shd w:val="clear" w:color="auto" w:fill="auto"/>
          </w:tcPr>
          <w:p w14:paraId="7CE52686">
            <w:pPr>
              <w:pStyle w:val="150"/>
            </w:pPr>
            <w:r>
              <w:rPr>
                <w:rFonts w:hint="eastAsia"/>
              </w:rPr>
              <w:t>应用</w:t>
            </w:r>
          </w:p>
        </w:tc>
        <w:tc>
          <w:tcPr>
            <w:tcW w:w="7335" w:type="dxa"/>
            <w:shd w:val="clear" w:color="auto" w:fill="auto"/>
          </w:tcPr>
          <w:p w14:paraId="7E03DF48">
            <w:pPr>
              <w:pStyle w:val="150"/>
            </w:pPr>
            <w:r>
              <w:rPr>
                <w:rFonts w:hint="eastAsia"/>
              </w:rPr>
              <w:t>虚拟</w:t>
            </w:r>
            <w:r>
              <w:t>身份产生的具体应用</w:t>
            </w:r>
            <w:r>
              <w:rPr>
                <w:rFonts w:hint="eastAsia"/>
              </w:rPr>
              <w:t>。</w:t>
            </w:r>
          </w:p>
        </w:tc>
      </w:tr>
      <w:tr w14:paraId="4276AF7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28" w:type="dxa"/>
            <w:shd w:val="clear" w:color="auto" w:fill="auto"/>
          </w:tcPr>
          <w:p w14:paraId="28CF8F84">
            <w:pPr>
              <w:pStyle w:val="150"/>
            </w:pPr>
            <w:r>
              <w:rPr>
                <w:rFonts w:hint="eastAsia"/>
              </w:rPr>
              <w:t>账号</w:t>
            </w:r>
          </w:p>
        </w:tc>
        <w:tc>
          <w:tcPr>
            <w:tcW w:w="7335" w:type="dxa"/>
            <w:shd w:val="clear" w:color="auto" w:fill="auto"/>
          </w:tcPr>
          <w:p w14:paraId="3DC17A1E">
            <w:pPr>
              <w:pStyle w:val="150"/>
            </w:pPr>
            <w:r>
              <w:rPr>
                <w:rFonts w:hint="eastAsia"/>
              </w:rPr>
              <w:t>虚拟</w:t>
            </w:r>
            <w:r>
              <w:t>身份账号</w:t>
            </w:r>
            <w:r>
              <w:rPr>
                <w:rFonts w:hint="eastAsia"/>
              </w:rPr>
              <w:t>，</w:t>
            </w:r>
            <w:r>
              <w:t>网页浏览</w:t>
            </w:r>
            <w:r>
              <w:rPr>
                <w:rFonts w:hint="eastAsia"/>
              </w:rPr>
              <w:t>应用</w:t>
            </w:r>
            <w:r>
              <w:t>此处</w:t>
            </w:r>
            <w:r>
              <w:rPr>
                <w:rFonts w:hint="eastAsia"/>
              </w:rPr>
              <w:t>填</w:t>
            </w:r>
            <w:r>
              <w:t>的也是</w:t>
            </w:r>
            <w:r>
              <w:rPr>
                <w:rFonts w:hint="eastAsia"/>
              </w:rPr>
              <w:t>URL信息。</w:t>
            </w:r>
          </w:p>
        </w:tc>
      </w:tr>
      <w:tr w14:paraId="3D70F6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28" w:type="dxa"/>
            <w:shd w:val="clear" w:color="auto" w:fill="auto"/>
          </w:tcPr>
          <w:p w14:paraId="5E35FE2F">
            <w:pPr>
              <w:pStyle w:val="150"/>
            </w:pPr>
            <w:r>
              <w:rPr>
                <w:rFonts w:hint="eastAsia"/>
              </w:rPr>
              <w:t>名称</w:t>
            </w:r>
          </w:p>
        </w:tc>
        <w:tc>
          <w:tcPr>
            <w:tcW w:w="7335" w:type="dxa"/>
            <w:shd w:val="clear" w:color="auto" w:fill="auto"/>
          </w:tcPr>
          <w:p w14:paraId="58653361">
            <w:pPr>
              <w:pStyle w:val="150"/>
            </w:pPr>
            <w:r>
              <w:rPr>
                <w:rFonts w:hint="eastAsia"/>
              </w:rPr>
              <w:t>该</w:t>
            </w:r>
            <w:r>
              <w:t>日志产生所属的场所名称</w:t>
            </w:r>
            <w:r>
              <w:rPr>
                <w:rFonts w:hint="eastAsia"/>
              </w:rPr>
              <w:t>。</w:t>
            </w:r>
          </w:p>
        </w:tc>
      </w:tr>
      <w:tr w14:paraId="2E6F8E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28" w:type="dxa"/>
            <w:shd w:val="clear" w:color="auto" w:fill="auto"/>
          </w:tcPr>
          <w:p w14:paraId="319CBE3F">
            <w:pPr>
              <w:pStyle w:val="150"/>
            </w:pPr>
            <w:r>
              <w:rPr>
                <w:rFonts w:hint="eastAsia"/>
              </w:rPr>
              <w:t>A</w:t>
            </w:r>
            <w:r>
              <w:t>P MAC</w:t>
            </w:r>
          </w:p>
        </w:tc>
        <w:tc>
          <w:tcPr>
            <w:tcW w:w="7335" w:type="dxa"/>
            <w:shd w:val="clear" w:color="auto" w:fill="auto"/>
          </w:tcPr>
          <w:p w14:paraId="653B4915">
            <w:pPr>
              <w:pStyle w:val="150"/>
            </w:pPr>
            <w:r>
              <w:rPr>
                <w:rFonts w:hint="eastAsia"/>
              </w:rPr>
              <w:t>该</w:t>
            </w:r>
            <w:r>
              <w:t>日志产生所属的</w:t>
            </w:r>
            <w:r>
              <w:rPr>
                <w:rFonts w:hint="eastAsia"/>
              </w:rPr>
              <w:t xml:space="preserve">AP </w:t>
            </w:r>
            <w:r>
              <w:t>MAC</w:t>
            </w:r>
            <w:r>
              <w:rPr>
                <w:rFonts w:hint="eastAsia"/>
              </w:rPr>
              <w:t>。</w:t>
            </w:r>
          </w:p>
        </w:tc>
      </w:tr>
      <w:tr w14:paraId="63663CE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28" w:type="dxa"/>
            <w:shd w:val="clear" w:color="auto" w:fill="auto"/>
          </w:tcPr>
          <w:p w14:paraId="08B81012">
            <w:pPr>
              <w:pStyle w:val="150"/>
            </w:pPr>
            <w:r>
              <w:rPr>
                <w:rFonts w:hint="eastAsia"/>
              </w:rPr>
              <w:t>URL</w:t>
            </w:r>
          </w:p>
        </w:tc>
        <w:tc>
          <w:tcPr>
            <w:tcW w:w="7335" w:type="dxa"/>
            <w:shd w:val="clear" w:color="auto" w:fill="auto"/>
          </w:tcPr>
          <w:p w14:paraId="184D2A8E">
            <w:pPr>
              <w:pStyle w:val="150"/>
            </w:pPr>
            <w:r>
              <w:rPr>
                <w:rFonts w:hint="eastAsia"/>
              </w:rPr>
              <w:t>审计</w:t>
            </w:r>
            <w:r>
              <w:t>数据中对应应用产生的</w:t>
            </w:r>
            <w:r>
              <w:rPr>
                <w:rFonts w:hint="eastAsia"/>
              </w:rPr>
              <w:t>URL，</w:t>
            </w:r>
            <w:r>
              <w:t>通过app访问的有可能无法获取</w:t>
            </w:r>
            <w:r>
              <w:rPr>
                <w:rFonts w:hint="eastAsia"/>
              </w:rPr>
              <w:t>到URL</w:t>
            </w:r>
            <w:r>
              <w:t>，则此项有时为空</w:t>
            </w:r>
            <w:r>
              <w:rPr>
                <w:rFonts w:hint="eastAsia"/>
              </w:rPr>
              <w:t>。</w:t>
            </w:r>
          </w:p>
        </w:tc>
      </w:tr>
      <w:tr w14:paraId="34784C8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28" w:type="dxa"/>
            <w:shd w:val="clear" w:color="auto" w:fill="auto"/>
          </w:tcPr>
          <w:p w14:paraId="643BA0BE">
            <w:pPr>
              <w:pStyle w:val="150"/>
            </w:pPr>
            <w:r>
              <w:rPr>
                <w:rFonts w:hint="eastAsia"/>
              </w:rPr>
              <w:t>源IP</w:t>
            </w:r>
          </w:p>
        </w:tc>
        <w:tc>
          <w:tcPr>
            <w:tcW w:w="7335" w:type="dxa"/>
            <w:shd w:val="clear" w:color="auto" w:fill="auto"/>
          </w:tcPr>
          <w:p w14:paraId="5E927AA7">
            <w:pPr>
              <w:pStyle w:val="150"/>
            </w:pPr>
            <w:r>
              <w:rPr>
                <w:rFonts w:hint="eastAsia"/>
              </w:rPr>
              <w:t>认证</w:t>
            </w:r>
            <w:r>
              <w:t>用户对应的终端</w:t>
            </w:r>
            <w:r>
              <w:rPr>
                <w:rFonts w:hint="eastAsia"/>
              </w:rPr>
              <w:t>IP地址。</w:t>
            </w:r>
          </w:p>
        </w:tc>
      </w:tr>
      <w:tr w14:paraId="75927E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28" w:type="dxa"/>
            <w:shd w:val="clear" w:color="auto" w:fill="auto"/>
          </w:tcPr>
          <w:p w14:paraId="061BEA07">
            <w:pPr>
              <w:pStyle w:val="150"/>
            </w:pPr>
            <w:r>
              <w:rPr>
                <w:rFonts w:hint="eastAsia"/>
              </w:rPr>
              <w:t>目的IP</w:t>
            </w:r>
          </w:p>
        </w:tc>
        <w:tc>
          <w:tcPr>
            <w:tcW w:w="7335" w:type="dxa"/>
            <w:shd w:val="clear" w:color="auto" w:fill="auto"/>
          </w:tcPr>
          <w:p w14:paraId="77EDB700">
            <w:pPr>
              <w:pStyle w:val="150"/>
            </w:pPr>
            <w:r>
              <w:rPr>
                <w:rFonts w:hint="eastAsia"/>
              </w:rPr>
              <w:t>该</w:t>
            </w:r>
            <w:r>
              <w:t>用户访问具体应用对应的目的</w:t>
            </w:r>
            <w:r>
              <w:rPr>
                <w:rFonts w:hint="eastAsia"/>
              </w:rPr>
              <w:t>IP地址。</w:t>
            </w:r>
          </w:p>
        </w:tc>
      </w:tr>
      <w:tr w14:paraId="0D8D564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728" w:type="dxa"/>
            <w:shd w:val="clear" w:color="auto" w:fill="auto"/>
          </w:tcPr>
          <w:p w14:paraId="100BC5F3">
            <w:pPr>
              <w:pStyle w:val="150"/>
            </w:pPr>
            <w:r>
              <w:t>记录时间</w:t>
            </w:r>
          </w:p>
        </w:tc>
        <w:tc>
          <w:tcPr>
            <w:tcW w:w="7335" w:type="dxa"/>
            <w:shd w:val="clear" w:color="auto" w:fill="auto"/>
          </w:tcPr>
          <w:p w14:paraId="2EB5BFD7">
            <w:pPr>
              <w:pStyle w:val="150"/>
            </w:pPr>
            <w:r>
              <w:rPr>
                <w:rFonts w:hint="eastAsia"/>
              </w:rPr>
              <w:t>设备</w:t>
            </w:r>
            <w:r>
              <w:t>端产生该日志的记录时间</w:t>
            </w:r>
            <w:r>
              <w:rPr>
                <w:rFonts w:hint="eastAsia"/>
              </w:rPr>
              <w:t>。</w:t>
            </w:r>
          </w:p>
        </w:tc>
      </w:tr>
    </w:tbl>
    <w:p w14:paraId="02348E7C">
      <w:bookmarkStart w:id="12067" w:name="_Toc494295570"/>
    </w:p>
    <w:p w14:paraId="11C0849C">
      <w:pPr>
        <w:pStyle w:val="5"/>
      </w:pPr>
      <w:bookmarkStart w:id="12068" w:name="_Toc58604489"/>
      <w:bookmarkStart w:id="12069" w:name="_Toc146618596"/>
      <w:bookmarkStart w:id="12070" w:name="_Toc142401407"/>
      <w:bookmarkStart w:id="12071" w:name="_Toc141873890"/>
      <w:bookmarkStart w:id="12072" w:name="_Toc70414937"/>
      <w:bookmarkStart w:id="12073" w:name="_Toc70415874"/>
      <w:bookmarkStart w:id="12074" w:name="_Toc99562078"/>
      <w:bookmarkStart w:id="12075" w:name="_Toc196728613"/>
      <w:bookmarkStart w:id="12076" w:name="_Toc194081285"/>
      <w:r>
        <w:t>普通内容日志</w:t>
      </w:r>
      <w:bookmarkEnd w:id="12067"/>
      <w:bookmarkEnd w:id="12068"/>
      <w:bookmarkEnd w:id="12069"/>
      <w:bookmarkEnd w:id="12070"/>
      <w:bookmarkEnd w:id="12071"/>
      <w:bookmarkEnd w:id="12072"/>
      <w:bookmarkEnd w:id="12073"/>
      <w:bookmarkEnd w:id="12074"/>
      <w:bookmarkEnd w:id="12075"/>
      <w:bookmarkEnd w:id="12076"/>
    </w:p>
    <w:tbl>
      <w:tblPr>
        <w:tblStyle w:val="292"/>
        <w:tblW w:w="4617" w:type="pct"/>
        <w:tblInd w:w="42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50"/>
        <w:gridCol w:w="6684"/>
      </w:tblGrid>
      <w:tr w14:paraId="4D40ED87">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31" w:hRule="atLeast"/>
        </w:trPr>
        <w:tc>
          <w:tcPr>
            <w:tcW w:w="1084" w:type="pct"/>
            <w:tcBorders>
              <w:top w:val="single" w:color="auto" w:sz="4" w:space="0"/>
              <w:left w:val="nil"/>
              <w:bottom w:val="single" w:color="auto" w:sz="4" w:space="0"/>
              <w:right w:val="nil"/>
              <w:insideH w:val="single" w:sz="4" w:space="0"/>
              <w:insideV w:val="nil"/>
              <w:tl2br w:val="nil"/>
              <w:tr2bl w:val="nil"/>
            </w:tcBorders>
            <w:shd w:val="clear" w:color="auto" w:fill="FFFFFF" w:themeFill="background1"/>
            <w:vAlign w:val="center"/>
          </w:tcPr>
          <w:p w14:paraId="49C8614D">
            <w:pPr>
              <w:pStyle w:val="150"/>
              <w:adjustRightInd w:val="0"/>
              <w:snapToGrid w:val="0"/>
              <w:rPr>
                <w:color w:val="auto"/>
              </w:rPr>
            </w:pPr>
            <w:r>
              <w:rPr>
                <w:b/>
                <w:color w:val="auto"/>
              </w:rPr>
              <w:drawing>
                <wp:inline distT="0" distB="0" distL="0" distR="0">
                  <wp:extent cx="283210" cy="283210"/>
                  <wp:effectExtent l="0" t="0" r="2540" b="2540"/>
                  <wp:docPr id="1015" name="图片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图片 1015"/>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870" cy="292866"/>
                          </a:xfrm>
                          <a:prstGeom prst="rect">
                            <a:avLst/>
                          </a:prstGeom>
                        </pic:spPr>
                      </pic:pic>
                    </a:graphicData>
                  </a:graphic>
                </wp:inline>
              </w:drawing>
            </w:r>
          </w:p>
        </w:tc>
        <w:tc>
          <w:tcPr>
            <w:tcW w:w="3916" w:type="pct"/>
            <w:tcBorders>
              <w:top w:val="single" w:color="auto" w:sz="4" w:space="0"/>
              <w:bottom w:val="single" w:color="auto" w:sz="4" w:space="0"/>
              <w:right w:val="nil"/>
              <w:insideH w:val="single" w:sz="4" w:space="0"/>
              <w:insideV w:val="nil"/>
              <w:tl2br w:val="nil"/>
              <w:tr2bl w:val="nil"/>
            </w:tcBorders>
            <w:shd w:val="clear" w:color="auto" w:fill="FFFFFF" w:themeFill="background1"/>
            <w:vAlign w:val="center"/>
          </w:tcPr>
          <w:p w14:paraId="2749975F">
            <w:pPr>
              <w:pStyle w:val="150"/>
              <w:adjustRightInd w:val="0"/>
              <w:snapToGrid w:val="0"/>
              <w:rPr>
                <w:color w:val="auto"/>
              </w:rPr>
            </w:pPr>
            <w:r>
              <w:rPr>
                <w:rFonts w:hint="eastAsia"/>
                <w:color w:val="auto"/>
              </w:rPr>
              <w:t>普通内容日志页签，只有选择了特定的厂商后才会出现，比如任子行厂商。</w:t>
            </w:r>
          </w:p>
        </w:tc>
      </w:tr>
    </w:tbl>
    <w:p w14:paraId="0D35D6DE"/>
    <w:p w14:paraId="21AC1124">
      <w:r>
        <w:rPr>
          <w:rFonts w:hint="eastAsia"/>
        </w:rPr>
        <w:t>在导航栏中选择“系统管理&gt;系统设定&gt;无线非经&gt;日志</w:t>
      </w:r>
      <w:r>
        <w:t>查询</w:t>
      </w:r>
      <w:r>
        <w:rPr>
          <w:rFonts w:hint="eastAsia"/>
        </w:rPr>
        <w:t>&gt;普通</w:t>
      </w:r>
      <w:r>
        <w:t>内容日志</w:t>
      </w:r>
      <w:r>
        <w:rPr>
          <w:rFonts w:hint="eastAsia"/>
        </w:rPr>
        <w:t>”，进入普通</w:t>
      </w:r>
      <w:r>
        <w:t>内容日志</w:t>
      </w:r>
      <w:r>
        <w:rPr>
          <w:rFonts w:hint="eastAsia"/>
        </w:rPr>
        <w:t>显示页面，</w:t>
      </w:r>
      <w:r>
        <w:t>在该页面可以</w:t>
      </w:r>
      <w:r>
        <w:rPr>
          <w:rFonts w:hint="eastAsia"/>
        </w:rPr>
        <w:t>查看普通</w:t>
      </w:r>
      <w:r>
        <w:t>内容日志信息</w:t>
      </w:r>
      <w:r>
        <w:rPr>
          <w:rFonts w:hint="eastAsia"/>
        </w:rPr>
        <w:t>，如</w:t>
      </w:r>
      <w:r>
        <w:fldChar w:fldCharType="begin"/>
      </w:r>
      <w:r>
        <w:instrText xml:space="preserve">  REF _Ref494446497 \r \h  \* MERGEFORMAT </w:instrText>
      </w:r>
      <w:r>
        <w:fldChar w:fldCharType="separate"/>
      </w:r>
      <w:r>
        <w:rPr>
          <w:rFonts w:hint="eastAsia"/>
        </w:rPr>
        <w:t>图35-15</w:t>
      </w:r>
      <w:r>
        <w:fldChar w:fldCharType="end"/>
      </w:r>
      <w:r>
        <w:rPr>
          <w:rFonts w:hint="eastAsia"/>
        </w:rPr>
        <w:t>所示，页面详细说明如</w:t>
      </w:r>
      <w:r>
        <w:fldChar w:fldCharType="begin"/>
      </w:r>
      <w:r>
        <w:instrText xml:space="preserve">  REF _Ref494446504 \r \h  \* MERGEFORMAT </w:instrText>
      </w:r>
      <w:r>
        <w:fldChar w:fldCharType="separate"/>
      </w:r>
      <w:r>
        <w:rPr>
          <w:rFonts w:hint="eastAsia"/>
        </w:rPr>
        <w:t>表35-1</w:t>
      </w:r>
      <w:r>
        <w:fldChar w:fldCharType="end"/>
      </w:r>
      <w:r>
        <w:rPr>
          <w:rFonts w:hint="eastAsia"/>
        </w:rPr>
        <w:t>所示。</w:t>
      </w:r>
    </w:p>
    <w:p w14:paraId="611A5BF5">
      <w:pPr>
        <w:pStyle w:val="188"/>
      </w:pPr>
      <w:bookmarkStart w:id="12077" w:name="_Ref494446497"/>
      <w:bookmarkStart w:id="12078" w:name="_Toc141875358"/>
      <w:r>
        <w:rPr>
          <w:rFonts w:hint="eastAsia"/>
        </w:rPr>
        <w:t>普通</w:t>
      </w:r>
      <w:r>
        <w:t>内容日志</w:t>
      </w:r>
      <w:bookmarkEnd w:id="12077"/>
      <w:bookmarkEnd w:id="12078"/>
    </w:p>
    <w:p w14:paraId="4B46A397">
      <w:pPr>
        <w:pStyle w:val="175"/>
      </w:pPr>
      <w:r>
        <w:drawing>
          <wp:inline distT="0" distB="0" distL="0" distR="0">
            <wp:extent cx="5772150" cy="721360"/>
            <wp:effectExtent l="0" t="0" r="0" b="254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pic:cNvPicPr>
                      <a:picLocks noChangeAspect="1"/>
                    </pic:cNvPicPr>
                  </pic:nvPicPr>
                  <pic:blipFill>
                    <a:blip r:embed="rId1336"/>
                    <a:stretch>
                      <a:fillRect/>
                    </a:stretch>
                  </pic:blipFill>
                  <pic:spPr>
                    <a:xfrm>
                      <a:off x="0" y="0"/>
                      <a:ext cx="5806806" cy="725926"/>
                    </a:xfrm>
                    <a:prstGeom prst="rect">
                      <a:avLst/>
                    </a:prstGeom>
                  </pic:spPr>
                </pic:pic>
              </a:graphicData>
            </a:graphic>
          </wp:inline>
        </w:drawing>
      </w:r>
    </w:p>
    <w:p w14:paraId="6FFEACAC"/>
    <w:p w14:paraId="18333401">
      <w:pPr>
        <w:pStyle w:val="183"/>
      </w:pPr>
      <w:bookmarkStart w:id="12079" w:name="_Toc141875817"/>
      <w:bookmarkStart w:id="12080" w:name="_Ref494446504"/>
      <w:r>
        <w:t>上网日志页面的详细说明</w:t>
      </w:r>
      <w:bookmarkEnd w:id="12079"/>
      <w:bookmarkEnd w:id="12080"/>
    </w:p>
    <w:tbl>
      <w:tblPr>
        <w:tblStyle w:val="173"/>
        <w:tblW w:w="897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498"/>
        <w:gridCol w:w="7472"/>
      </w:tblGrid>
      <w:tr w14:paraId="7A300B5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tcBorders>
              <w:tl2br w:val="nil"/>
              <w:tr2bl w:val="nil"/>
            </w:tcBorders>
            <w:shd w:val="clear" w:color="auto" w:fill="538135" w:themeFill="accent6" w:themeFillShade="BF"/>
            <w:vAlign w:val="center"/>
          </w:tcPr>
          <w:p w14:paraId="7F5EC507">
            <w:pPr>
              <w:pStyle w:val="149"/>
              <w:wordWrap/>
              <w:rPr>
                <w:b/>
                <w:bCs/>
                <w:i w:val="0"/>
                <w:iCs w:val="0"/>
              </w:rPr>
            </w:pPr>
            <w:r>
              <w:rPr>
                <w:rFonts w:hint="eastAsia"/>
                <w:b/>
                <w:bCs/>
                <w:i w:val="0"/>
                <w:iCs w:val="0"/>
              </w:rPr>
              <w:t>标题项</w:t>
            </w:r>
          </w:p>
        </w:tc>
        <w:tc>
          <w:tcPr>
            <w:tcW w:w="7472" w:type="dxa"/>
            <w:tcBorders>
              <w:tl2br w:val="nil"/>
              <w:tr2bl w:val="nil"/>
            </w:tcBorders>
            <w:shd w:val="clear" w:color="auto" w:fill="538135" w:themeFill="accent6" w:themeFillShade="BF"/>
            <w:vAlign w:val="center"/>
          </w:tcPr>
          <w:p w14:paraId="71B9A65C">
            <w:pPr>
              <w:pStyle w:val="149"/>
              <w:wordWrap/>
              <w:rPr>
                <w:b/>
                <w:bCs/>
                <w:i w:val="0"/>
                <w:iCs w:val="0"/>
              </w:rPr>
            </w:pPr>
            <w:r>
              <w:rPr>
                <w:rFonts w:hint="eastAsia"/>
                <w:b/>
                <w:bCs/>
                <w:i w:val="0"/>
                <w:iCs w:val="0"/>
              </w:rPr>
              <w:t>说明</w:t>
            </w:r>
          </w:p>
        </w:tc>
      </w:tr>
      <w:tr w14:paraId="15D89A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202FBC15">
            <w:pPr>
              <w:pStyle w:val="150"/>
            </w:pPr>
            <w:r>
              <w:rPr>
                <w:rFonts w:hint="eastAsia"/>
              </w:rPr>
              <w:t>查询</w:t>
            </w:r>
          </w:p>
        </w:tc>
        <w:tc>
          <w:tcPr>
            <w:tcW w:w="7472" w:type="dxa"/>
            <w:shd w:val="clear" w:color="auto" w:fill="auto"/>
          </w:tcPr>
          <w:p w14:paraId="624F4360">
            <w:pPr>
              <w:pStyle w:val="150"/>
            </w:pPr>
            <w:r>
              <w:rPr>
                <w:rFonts w:hint="eastAsia"/>
              </w:rPr>
              <w:t>根据</w:t>
            </w:r>
            <w:r>
              <w:t>指定条件进行查询</w:t>
            </w:r>
            <w:r>
              <w:rPr>
                <w:rFonts w:hint="eastAsia"/>
              </w:rPr>
              <w:t>。</w:t>
            </w:r>
          </w:p>
        </w:tc>
      </w:tr>
      <w:tr w14:paraId="699357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31A1B9E7">
            <w:pPr>
              <w:pStyle w:val="150"/>
            </w:pPr>
            <w:r>
              <w:rPr>
                <w:rFonts w:hint="eastAsia"/>
              </w:rPr>
              <w:t>重置</w:t>
            </w:r>
          </w:p>
        </w:tc>
        <w:tc>
          <w:tcPr>
            <w:tcW w:w="7472" w:type="dxa"/>
            <w:shd w:val="clear" w:color="auto" w:fill="auto"/>
          </w:tcPr>
          <w:p w14:paraId="24659F0C">
            <w:pPr>
              <w:pStyle w:val="150"/>
            </w:pPr>
            <w:r>
              <w:rPr>
                <w:rFonts w:hint="eastAsia"/>
              </w:rPr>
              <w:t>清除</w:t>
            </w:r>
            <w:r>
              <w:t>已支持的查询条件</w:t>
            </w:r>
            <w:r>
              <w:rPr>
                <w:rFonts w:hint="eastAsia"/>
              </w:rPr>
              <w:t>。</w:t>
            </w:r>
          </w:p>
        </w:tc>
      </w:tr>
      <w:tr w14:paraId="2C1E72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549CB934">
            <w:pPr>
              <w:pStyle w:val="150"/>
            </w:pPr>
            <w:r>
              <w:rPr>
                <w:rFonts w:hint="eastAsia"/>
              </w:rPr>
              <w:t>用户</w:t>
            </w:r>
          </w:p>
        </w:tc>
        <w:tc>
          <w:tcPr>
            <w:tcW w:w="7472" w:type="dxa"/>
            <w:shd w:val="clear" w:color="auto" w:fill="auto"/>
          </w:tcPr>
          <w:p w14:paraId="1B79D649">
            <w:pPr>
              <w:pStyle w:val="150"/>
            </w:pPr>
            <w:r>
              <w:rPr>
                <w:rFonts w:hint="eastAsia"/>
              </w:rPr>
              <w:t>认证</w:t>
            </w:r>
            <w:r>
              <w:t>用户账号</w:t>
            </w:r>
            <w:r>
              <w:rPr>
                <w:rFonts w:hint="eastAsia"/>
              </w:rPr>
              <w:t>。</w:t>
            </w:r>
          </w:p>
        </w:tc>
      </w:tr>
      <w:tr w14:paraId="01629A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271D88BB">
            <w:pPr>
              <w:pStyle w:val="150"/>
            </w:pPr>
            <w:r>
              <w:rPr>
                <w:rFonts w:hint="eastAsia"/>
              </w:rPr>
              <w:t>用户MAC</w:t>
            </w:r>
          </w:p>
        </w:tc>
        <w:tc>
          <w:tcPr>
            <w:tcW w:w="7472" w:type="dxa"/>
            <w:shd w:val="clear" w:color="auto" w:fill="auto"/>
          </w:tcPr>
          <w:p w14:paraId="33132AED">
            <w:pPr>
              <w:pStyle w:val="150"/>
            </w:pPr>
            <w:r>
              <w:rPr>
                <w:rFonts w:hint="eastAsia"/>
              </w:rPr>
              <w:t>认证</w:t>
            </w:r>
            <w:r>
              <w:t>用户对应的终端</w:t>
            </w:r>
            <w:r>
              <w:rPr>
                <w:rFonts w:hint="eastAsia"/>
              </w:rPr>
              <w:t>MAC地址。</w:t>
            </w:r>
          </w:p>
        </w:tc>
      </w:tr>
      <w:tr w14:paraId="08CEB7C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3EC9D56E">
            <w:pPr>
              <w:pStyle w:val="150"/>
            </w:pPr>
            <w:r>
              <w:rPr>
                <w:rFonts w:hint="eastAsia"/>
              </w:rPr>
              <w:t>认证类型</w:t>
            </w:r>
          </w:p>
        </w:tc>
        <w:tc>
          <w:tcPr>
            <w:tcW w:w="7472" w:type="dxa"/>
            <w:shd w:val="clear" w:color="auto" w:fill="auto"/>
          </w:tcPr>
          <w:p w14:paraId="600DB467">
            <w:pPr>
              <w:pStyle w:val="150"/>
            </w:pPr>
            <w:r>
              <w:rPr>
                <w:rFonts w:hint="eastAsia"/>
              </w:rPr>
              <w:t>与AP页面</w:t>
            </w:r>
            <w:r>
              <w:t>上配置的认证类型有关</w:t>
            </w:r>
            <w:r>
              <w:rPr>
                <w:rFonts w:hint="eastAsia"/>
              </w:rPr>
              <w:t>。</w:t>
            </w:r>
          </w:p>
        </w:tc>
      </w:tr>
      <w:tr w14:paraId="2CB40A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7D6BFC8A">
            <w:pPr>
              <w:pStyle w:val="150"/>
            </w:pPr>
            <w:r>
              <w:rPr>
                <w:rFonts w:hint="eastAsia"/>
              </w:rPr>
              <w:t>应用</w:t>
            </w:r>
          </w:p>
        </w:tc>
        <w:tc>
          <w:tcPr>
            <w:tcW w:w="7472" w:type="dxa"/>
            <w:shd w:val="clear" w:color="auto" w:fill="auto"/>
          </w:tcPr>
          <w:p w14:paraId="32C43863">
            <w:pPr>
              <w:pStyle w:val="150"/>
            </w:pPr>
            <w:r>
              <w:rPr>
                <w:rFonts w:hint="eastAsia"/>
              </w:rPr>
              <w:t>虚拟</w:t>
            </w:r>
            <w:r>
              <w:t>身份产生的具体应用</w:t>
            </w:r>
            <w:r>
              <w:rPr>
                <w:rFonts w:hint="eastAsia"/>
              </w:rPr>
              <w:t>。</w:t>
            </w:r>
          </w:p>
        </w:tc>
      </w:tr>
      <w:tr w14:paraId="62B6F9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11FDF71D">
            <w:pPr>
              <w:pStyle w:val="150"/>
            </w:pPr>
            <w:r>
              <w:rPr>
                <w:rFonts w:hint="eastAsia"/>
              </w:rPr>
              <w:t>账号</w:t>
            </w:r>
          </w:p>
        </w:tc>
        <w:tc>
          <w:tcPr>
            <w:tcW w:w="7472" w:type="dxa"/>
            <w:shd w:val="clear" w:color="auto" w:fill="auto"/>
          </w:tcPr>
          <w:p w14:paraId="56FDD3E6">
            <w:pPr>
              <w:pStyle w:val="150"/>
            </w:pPr>
            <w:r>
              <w:rPr>
                <w:rFonts w:hint="eastAsia"/>
              </w:rPr>
              <w:t>虚拟</w:t>
            </w:r>
            <w:r>
              <w:t>身份账号</w:t>
            </w:r>
            <w:r>
              <w:rPr>
                <w:rFonts w:hint="eastAsia"/>
              </w:rPr>
              <w:t>。</w:t>
            </w:r>
          </w:p>
        </w:tc>
      </w:tr>
      <w:tr w14:paraId="5E86B0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208F2A6D">
            <w:pPr>
              <w:pStyle w:val="150"/>
            </w:pPr>
            <w:r>
              <w:rPr>
                <w:rFonts w:hint="eastAsia"/>
              </w:rPr>
              <w:t>收件人</w:t>
            </w:r>
          </w:p>
        </w:tc>
        <w:tc>
          <w:tcPr>
            <w:tcW w:w="7472" w:type="dxa"/>
            <w:shd w:val="clear" w:color="auto" w:fill="auto"/>
          </w:tcPr>
          <w:p w14:paraId="2F5B5989">
            <w:pPr>
              <w:pStyle w:val="150"/>
            </w:pPr>
            <w:r>
              <w:rPr>
                <w:rFonts w:hint="eastAsia"/>
              </w:rPr>
              <w:t>审计</w:t>
            </w:r>
            <w:r>
              <w:t>数据中的</w:t>
            </w:r>
            <w:r>
              <w:rPr>
                <w:rFonts w:hint="eastAsia"/>
              </w:rPr>
              <w:t>邮件收件人。</w:t>
            </w:r>
          </w:p>
        </w:tc>
      </w:tr>
      <w:tr w14:paraId="38339C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70325AB0">
            <w:pPr>
              <w:pStyle w:val="150"/>
            </w:pPr>
            <w:r>
              <w:rPr>
                <w:rFonts w:hint="eastAsia"/>
              </w:rPr>
              <w:t>发件人</w:t>
            </w:r>
          </w:p>
        </w:tc>
        <w:tc>
          <w:tcPr>
            <w:tcW w:w="7472" w:type="dxa"/>
            <w:shd w:val="clear" w:color="auto" w:fill="auto"/>
          </w:tcPr>
          <w:p w14:paraId="56CE021B">
            <w:pPr>
              <w:pStyle w:val="150"/>
            </w:pPr>
            <w:r>
              <w:rPr>
                <w:rFonts w:hint="eastAsia"/>
              </w:rPr>
              <w:t>审计</w:t>
            </w:r>
            <w:r>
              <w:t>数据中的</w:t>
            </w:r>
            <w:r>
              <w:rPr>
                <w:rFonts w:hint="eastAsia"/>
              </w:rPr>
              <w:t>邮件发件人。</w:t>
            </w:r>
          </w:p>
        </w:tc>
      </w:tr>
      <w:tr w14:paraId="1735E1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2F07BA69">
            <w:pPr>
              <w:pStyle w:val="150"/>
            </w:pPr>
            <w:r>
              <w:rPr>
                <w:rFonts w:hint="eastAsia"/>
              </w:rPr>
              <w:t>内容</w:t>
            </w:r>
          </w:p>
        </w:tc>
        <w:tc>
          <w:tcPr>
            <w:tcW w:w="7472" w:type="dxa"/>
            <w:shd w:val="clear" w:color="auto" w:fill="auto"/>
          </w:tcPr>
          <w:p w14:paraId="568714CD">
            <w:pPr>
              <w:pStyle w:val="150"/>
            </w:pPr>
            <w:r>
              <w:rPr>
                <w:rFonts w:hint="eastAsia"/>
              </w:rPr>
              <w:t>审计</w:t>
            </w:r>
            <w:r>
              <w:t>数据中的如搜索关键字、发帖内容、邮件内容等</w:t>
            </w:r>
            <w:r>
              <w:rPr>
                <w:rFonts w:hint="eastAsia"/>
              </w:rPr>
              <w:t>。</w:t>
            </w:r>
          </w:p>
        </w:tc>
      </w:tr>
      <w:tr w14:paraId="226AF8F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091219BA">
            <w:pPr>
              <w:pStyle w:val="150"/>
            </w:pPr>
            <w:r>
              <w:rPr>
                <w:rFonts w:hint="eastAsia"/>
              </w:rPr>
              <w:t>场所</w:t>
            </w:r>
          </w:p>
        </w:tc>
        <w:tc>
          <w:tcPr>
            <w:tcW w:w="7472" w:type="dxa"/>
            <w:shd w:val="clear" w:color="auto" w:fill="auto"/>
          </w:tcPr>
          <w:p w14:paraId="1671AF9E">
            <w:pPr>
              <w:pStyle w:val="150"/>
            </w:pPr>
            <w:r>
              <w:rPr>
                <w:rFonts w:hint="eastAsia"/>
              </w:rPr>
              <w:t>该</w:t>
            </w:r>
            <w:r>
              <w:t>日志产生所属的场所名称</w:t>
            </w:r>
            <w:r>
              <w:rPr>
                <w:rFonts w:hint="eastAsia"/>
              </w:rPr>
              <w:t>。</w:t>
            </w:r>
          </w:p>
        </w:tc>
      </w:tr>
      <w:tr w14:paraId="72B04C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7CDE2140">
            <w:pPr>
              <w:pStyle w:val="150"/>
            </w:pPr>
            <w:r>
              <w:rPr>
                <w:rFonts w:hint="eastAsia"/>
              </w:rPr>
              <w:t>A</w:t>
            </w:r>
            <w:r>
              <w:t>P MAC</w:t>
            </w:r>
          </w:p>
        </w:tc>
        <w:tc>
          <w:tcPr>
            <w:tcW w:w="7472" w:type="dxa"/>
            <w:shd w:val="clear" w:color="auto" w:fill="auto"/>
          </w:tcPr>
          <w:p w14:paraId="70AE8850">
            <w:pPr>
              <w:pStyle w:val="150"/>
            </w:pPr>
            <w:r>
              <w:rPr>
                <w:rFonts w:hint="eastAsia"/>
              </w:rPr>
              <w:t>该</w:t>
            </w:r>
            <w:r>
              <w:t>日志产生所属的</w:t>
            </w:r>
            <w:r>
              <w:rPr>
                <w:rFonts w:hint="eastAsia"/>
              </w:rPr>
              <w:t xml:space="preserve">AP </w:t>
            </w:r>
            <w:r>
              <w:t>MAC</w:t>
            </w:r>
            <w:r>
              <w:rPr>
                <w:rFonts w:hint="eastAsia"/>
              </w:rPr>
              <w:t>。</w:t>
            </w:r>
          </w:p>
        </w:tc>
      </w:tr>
      <w:tr w14:paraId="44E37D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70809D9C">
            <w:pPr>
              <w:pStyle w:val="150"/>
            </w:pPr>
            <w:r>
              <w:rPr>
                <w:rFonts w:hint="eastAsia"/>
              </w:rPr>
              <w:t>源IP</w:t>
            </w:r>
          </w:p>
        </w:tc>
        <w:tc>
          <w:tcPr>
            <w:tcW w:w="7472" w:type="dxa"/>
            <w:shd w:val="clear" w:color="auto" w:fill="auto"/>
          </w:tcPr>
          <w:p w14:paraId="112B4ADB">
            <w:pPr>
              <w:pStyle w:val="150"/>
            </w:pPr>
            <w:r>
              <w:rPr>
                <w:rFonts w:hint="eastAsia"/>
              </w:rPr>
              <w:t>认证</w:t>
            </w:r>
            <w:r>
              <w:t>用户对应的终端</w:t>
            </w:r>
            <w:r>
              <w:rPr>
                <w:rFonts w:hint="eastAsia"/>
              </w:rPr>
              <w:t>IP地址。</w:t>
            </w:r>
          </w:p>
        </w:tc>
      </w:tr>
      <w:tr w14:paraId="138EE4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6658AEE2">
            <w:pPr>
              <w:pStyle w:val="150"/>
            </w:pPr>
            <w:r>
              <w:rPr>
                <w:rFonts w:hint="eastAsia"/>
              </w:rPr>
              <w:t>目的IP</w:t>
            </w:r>
          </w:p>
        </w:tc>
        <w:tc>
          <w:tcPr>
            <w:tcW w:w="7472" w:type="dxa"/>
            <w:shd w:val="clear" w:color="auto" w:fill="auto"/>
          </w:tcPr>
          <w:p w14:paraId="733A02EB">
            <w:pPr>
              <w:pStyle w:val="150"/>
            </w:pPr>
            <w:r>
              <w:rPr>
                <w:rFonts w:hint="eastAsia"/>
              </w:rPr>
              <w:t>该</w:t>
            </w:r>
            <w:r>
              <w:t>用户访问具体应用对应的目的</w:t>
            </w:r>
            <w:r>
              <w:rPr>
                <w:rFonts w:hint="eastAsia"/>
              </w:rPr>
              <w:t>IP地址。</w:t>
            </w:r>
          </w:p>
        </w:tc>
      </w:tr>
      <w:tr w14:paraId="6C73EAB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6BCE1DA1">
            <w:pPr>
              <w:pStyle w:val="150"/>
            </w:pPr>
            <w:r>
              <w:rPr>
                <w:rFonts w:hint="eastAsia"/>
              </w:rPr>
              <w:t>URL</w:t>
            </w:r>
          </w:p>
        </w:tc>
        <w:tc>
          <w:tcPr>
            <w:tcW w:w="7472" w:type="dxa"/>
            <w:shd w:val="clear" w:color="auto" w:fill="auto"/>
          </w:tcPr>
          <w:p w14:paraId="5D53A1D2">
            <w:pPr>
              <w:pStyle w:val="150"/>
            </w:pPr>
            <w:r>
              <w:rPr>
                <w:rFonts w:hint="eastAsia"/>
              </w:rPr>
              <w:t>审计</w:t>
            </w:r>
            <w:r>
              <w:t>数据中对应应用产生的</w:t>
            </w:r>
            <w:r>
              <w:rPr>
                <w:rFonts w:hint="eastAsia"/>
              </w:rPr>
              <w:t>URL，</w:t>
            </w:r>
            <w:r>
              <w:t>通过app访问的有可能无法获取到URL，则此项有时为空</w:t>
            </w:r>
            <w:r>
              <w:rPr>
                <w:rFonts w:hint="eastAsia"/>
              </w:rPr>
              <w:t>。</w:t>
            </w:r>
          </w:p>
        </w:tc>
      </w:tr>
      <w:tr w14:paraId="702E19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1498" w:type="dxa"/>
            <w:shd w:val="clear" w:color="auto" w:fill="auto"/>
          </w:tcPr>
          <w:p w14:paraId="35FFC712">
            <w:pPr>
              <w:pStyle w:val="150"/>
            </w:pPr>
            <w:r>
              <w:t>记录时间</w:t>
            </w:r>
          </w:p>
        </w:tc>
        <w:tc>
          <w:tcPr>
            <w:tcW w:w="7472" w:type="dxa"/>
            <w:shd w:val="clear" w:color="auto" w:fill="auto"/>
          </w:tcPr>
          <w:p w14:paraId="3084C2B3">
            <w:pPr>
              <w:pStyle w:val="150"/>
            </w:pPr>
            <w:r>
              <w:rPr>
                <w:rFonts w:hint="eastAsia"/>
              </w:rPr>
              <w:t>设备</w:t>
            </w:r>
            <w:r>
              <w:t>端产生该日志的记录时间</w:t>
            </w:r>
            <w:r>
              <w:rPr>
                <w:rFonts w:hint="eastAsia"/>
              </w:rPr>
              <w:t>。</w:t>
            </w:r>
          </w:p>
        </w:tc>
      </w:tr>
    </w:tbl>
    <w:p w14:paraId="251A966E"/>
    <w:sectPr>
      <w:footerReference r:id="rId9" w:type="default"/>
      <w:pgSz w:w="11906" w:h="16838"/>
      <w:pgMar w:top="1440" w:right="1440" w:bottom="1440" w:left="1440" w:header="851" w:footer="851" w:gutter="0"/>
      <w:pgNumType w:start="1"/>
      <w:cols w:space="425" w:num="1"/>
      <w:docGrid w:type="lines" w:linePitch="312" w:charSpace="0"/>
    </w:sectPr>
  </w:body>
</w:document>
</file>

<file path=word/customizations.xml><?xml version="1.0" encoding="utf-8"?>
<wne:tcg xmlns:r="http://schemas.openxmlformats.org/officeDocument/2006/relationships" xmlns:wne="http://schemas.microsoft.com/office/word/2006/wordml">
  <wne:keymaps>
    <wne:keymap wne:kcmPrimary="0072">
      <wne:acd wne:acdName="acd0"/>
    </wne:keymap>
    <wne:keymap wne:kcmPrimary="0074">
      <wne:acd wne:acdName="acd1"/>
    </wne:keymap>
    <wne:keymap wne:kcmPrimary="0075">
      <wne:acd wne:acdName="acd2"/>
    </wne:keymap>
    <wne:keymap wne:kcmPrimary="0076">
      <wne:acd wne:acdName="acd3"/>
    </wne:keymap>
    <wne:keymap wne:kcmPrimary="0077">
      <wne:acd wne:acdName="acd4"/>
    </wne:keymap>
    <wne:keymap wne:kcmPrimary="0078">
      <wne:acd wne:acdName="acd5"/>
    </wne:keymap>
    <wne:keymap wne:kcmPrimary="0079">
      <wne:acd wne:acdName="acd6"/>
    </wne:keymap>
    <wne:keymap wne:kcmPrimary="007A">
      <wne:acd wne:acdName="acd7"/>
    </wne:keymap>
  </wne:keymaps>
  <wne:acds>
    <wne:acd wne:argValue="AQAAAAMA" wne:acdName="acd0" wne:fciIndexBasedOn="0065"/>
    <wne:acd wne:argValue="AQAAAAAA" wne:acdName="acd1" wne:fciIndexBasedOn="0065"/>
    <wne:acd wne:argValue="AgBja4dlC07+Vkdy" wne:acdName="acd2" wne:fciIndexBasedOn="0065"/>
    <wne:acd wne:argValue="AgBGAGkAZwB1AHIAZQAgAEQAZQBzAGMAcgBpAHAAdABpAG8AbgA=" wne:acdName="acd3" wne:fciIndexBasedOn="0065"/>
    <wne:acd wne:argValue="AgBUAGEAYgBsAGUAIABEAGUAcwBjAHIAaQBwAHQAaQBvAG4A" wne:acdName="acd4" wne:fciIndexBasedOn="0065"/>
    <wne:acd wne:argValue="AgBoiIVRuVs=" wne:acdName="acd5" wne:fciIndexBasedOn="0065"/>
    <wne:acd wne:argValue="AgBoiDRZ" wne:acdName="acd6" wne:fciIndexBasedOn="0065"/>
    <wne:acd wne:argValue="AgB5mO52F1I+TjIAp34=" wne:acdName="acd7"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Arial">
    <w:panose1 w:val="020B0604020202020204"/>
    <w:charset w:val="00"/>
    <w:family w:val="swiss"/>
    <w:pitch w:val="default"/>
    <w:sig w:usb0="E0002EFF" w:usb1="C000785B" w:usb2="00000009" w:usb3="00000000" w:csb0="400001FF" w:csb1="FFFF0000"/>
  </w:font>
  <w:font w:name="等线 Light">
    <w:panose1 w:val="02010600030101010101"/>
    <w:charset w:val="86"/>
    <w:family w:val="auto"/>
    <w:pitch w:val="default"/>
    <w:sig w:usb0="A00002BF" w:usb1="38CF7CFA" w:usb2="00000016" w:usb3="00000000" w:csb0="0004000F" w:csb1="00000000"/>
  </w:font>
  <w:font w:name="Courier New">
    <w:panose1 w:val="02070309020205020404"/>
    <w:charset w:val="00"/>
    <w:family w:val="modern"/>
    <w:pitch w:val="default"/>
    <w:sig w:usb0="E0002EFF" w:usb1="C0007843" w:usb2="00000009" w:usb3="00000000" w:csb0="400001FF" w:csb1="FFFF0000"/>
  </w:font>
  <w:font w:name="方正兰亭黑简体">
    <w:altName w:val="Microsoft YaHei UI"/>
    <w:panose1 w:val="00000000000000000000"/>
    <w:charset w:val="86"/>
    <w:family w:val="auto"/>
    <w:pitch w:val="default"/>
    <w:sig w:usb0="00000000" w:usb1="00000000" w:usb2="00000012" w:usb3="00000000" w:csb0="00040001" w:csb1="00000000"/>
  </w:font>
  <w:font w:name="Microsoft YaHei UI">
    <w:panose1 w:val="020B0503020204020204"/>
    <w:charset w:val="86"/>
    <w:family w:val="swiss"/>
    <w:pitch w:val="default"/>
    <w:sig w:usb0="80000287" w:usb1="2ACF3C50" w:usb2="00000016" w:usb3="00000000" w:csb0="0004001F" w:csb1="00000000"/>
  </w:font>
  <w:font w:name="Arial Narrow">
    <w:panose1 w:val="020B0606020202030204"/>
    <w:charset w:val="00"/>
    <w:family w:val="swiss"/>
    <w:pitch w:val="default"/>
    <w:sig w:usb0="00000287" w:usb1="00000800" w:usb2="00000000" w:usb3="00000000" w:csb0="2000009F" w:csb1="DFD7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modern"/>
    <w:pitch w:val="default"/>
    <w:sig w:usb0="800002BF" w:usb1="38CF7CFA" w:usb2="00000016" w:usb3="00000000" w:csb0="00040001" w:csb1="00000000"/>
  </w:font>
  <w:font w:name="Futura Bk">
    <w:altName w:val="Segoe UI"/>
    <w:panose1 w:val="00000000000000000000"/>
    <w:charset w:val="00"/>
    <w:family w:val="swiss"/>
    <w:pitch w:val="default"/>
    <w:sig w:usb0="00000000" w:usb1="00000000" w:usb2="00000000" w:usb3="00000000" w:csb0="0000009F" w:csb1="00000000"/>
  </w:font>
  <w:font w:name="Segoe UI">
    <w:panose1 w:val="020B0502040204020203"/>
    <w:charset w:val="00"/>
    <w:family w:val="swiss"/>
    <w:pitch w:val="default"/>
    <w:sig w:usb0="E4002EFF" w:usb1="C000E47F" w:usb2="00000009" w:usb3="00000000" w:csb0="200001FF" w:csb1="00000000"/>
  </w:font>
  <w:font w:name="Calibri Light">
    <w:panose1 w:val="020F0302020204030204"/>
    <w:charset w:val="00"/>
    <w:family w:val="swiss"/>
    <w:pitch w:val="default"/>
    <w:sig w:usb0="E4002EFF" w:usb1="C200247B" w:usb2="00000009" w:usb3="00000000" w:csb0="200001FF" w:csb1="00000000"/>
  </w:font>
  <w:font w:name="Webdings">
    <w:panose1 w:val="05030102010509060703"/>
    <w:charset w:val="02"/>
    <w:family w:val="roman"/>
    <w:pitch w:val="default"/>
    <w:sig w:usb0="00000000" w:usb1="00000000" w:usb2="00000000" w:usb3="00000000" w:csb0="80000000" w:csb1="00000000"/>
  </w:font>
  <w:font w:name="Verdana">
    <w:panose1 w:val="020B0604030504040204"/>
    <w:charset w:val="00"/>
    <w:family w:val="swiss"/>
    <w:pitch w:val="default"/>
    <w:sig w:usb0="A00006FF" w:usb1="4000205B" w:usb2="00000010" w:usb3="00000000" w:csb0="2000019F" w:csb1="00000000"/>
  </w:font>
  <w:font w:name="微软雅黑">
    <w:panose1 w:val="020B0503020204020204"/>
    <w:charset w:val="86"/>
    <w:family w:val="swiss"/>
    <w:pitch w:val="default"/>
    <w:sig w:usb0="80000287" w:usb1="2ACF3C50" w:usb2="00000016" w:usb3="00000000" w:csb0="0004001F" w:csb1="00000000"/>
  </w:font>
  <w:font w:name="Impact">
    <w:panose1 w:val="020B0806030902050204"/>
    <w:charset w:val="00"/>
    <w:family w:val="swiss"/>
    <w:pitch w:val="default"/>
    <w:sig w:usb0="00000287" w:usb1="00000000" w:usb2="00000000" w:usb3="00000000" w:csb0="2000009F" w:csb1="DFD70000"/>
  </w:font>
  <w:font w:name="Tahoma">
    <w:panose1 w:val="020B0604030504040204"/>
    <w:charset w:val="00"/>
    <w:family w:val="swiss"/>
    <w:pitch w:val="default"/>
    <w:sig w:usb0="E1002EFF" w:usb1="C000605B" w:usb2="00000029" w:usb3="00000000" w:csb0="200101FF" w:csb1="20280000"/>
  </w:font>
  <w:font w:name="Book Antiqua">
    <w:panose1 w:val="02040602050305030304"/>
    <w:charset w:val="00"/>
    <w:family w:val="roman"/>
    <w:pitch w:val="default"/>
    <w:sig w:usb0="00000287" w:usb1="00000000" w:usb2="00000000" w:usb3="00000000" w:csb0="2000009F" w:csb1="DFD70000"/>
  </w:font>
  <w:font w:name="华文楷体">
    <w:panose1 w:val="02010600040101010101"/>
    <w:charset w:val="86"/>
    <w:family w:val="auto"/>
    <w:pitch w:val="default"/>
    <w:sig w:usb0="00000287" w:usb1="080F0000" w:usb2="00000000" w:usb3="00000000" w:csb0="0004009F" w:csb1="DFD70000"/>
  </w:font>
  <w:font w:name="Cambria">
    <w:panose1 w:val="02040503050406030204"/>
    <w:charset w:val="00"/>
    <w:family w:val="roman"/>
    <w:pitch w:val="default"/>
    <w:sig w:usb0="E00006FF" w:usb1="420024FF" w:usb2="02000000" w:usb3="00000000" w:csb0="2000019F" w:csb1="00000000"/>
  </w:font>
  <w:font w:name="仿宋_GB2312">
    <w:altName w:val="仿宋"/>
    <w:panose1 w:val="00000000000000000000"/>
    <w:charset w:val="86"/>
    <w:family w:val="modern"/>
    <w:pitch w:val="default"/>
    <w:sig w:usb0="00000000" w:usb1="00000000" w:usb2="00000000" w:usb3="00000000" w:csb0="00060000" w:csb1="00000000"/>
  </w:font>
  <w:font w:name="仿宋">
    <w:panose1 w:val="02010609060101010101"/>
    <w:charset w:val="86"/>
    <w:family w:val="auto"/>
    <w:pitch w:val="default"/>
    <w:sig w:usb0="800002BF" w:usb1="38CF7CFA" w:usb2="00000016" w:usb3="00000000" w:csb0="00040001" w:csb1="00000000"/>
  </w:font>
  <w:font w:name="Helvetica">
    <w:altName w:val="Arial"/>
    <w:panose1 w:val="020B0604020202020204"/>
    <w:charset w:val="00"/>
    <w:family w:val="swiss"/>
    <w:pitch w:val="default"/>
    <w:sig w:usb0="00000000" w:usb1="00000000" w:usb2="00000000" w:usb3="00000000" w:csb0="00000001" w:csb1="00000000"/>
  </w:font>
  <w:font w:name="Consolas">
    <w:panose1 w:val="020B0609020204030204"/>
    <w:charset w:val="00"/>
    <w:family w:val="modern"/>
    <w:pitch w:val="default"/>
    <w:sig w:usb0="E00006FF" w:usb1="0000FCFF" w:usb2="00000001" w:usb3="00000000" w:csb0="600001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BB41F4">
    <w:pPr>
      <w:pStyle w:val="52"/>
      <w:jc w:val="right"/>
    </w:pPr>
    <w:sdt>
      <w:sdtPr>
        <w:id w:val="1299265587"/>
        <w:docPartObj>
          <w:docPartGallery w:val="autotext"/>
        </w:docPartObj>
      </w:sdtPr>
      <w:sdtContent>
        <w:r>
          <w:fldChar w:fldCharType="begin"/>
        </w:r>
        <w:r>
          <w:instrText xml:space="preserve">PAGE   \* MERGEFORMAT</w:instrText>
        </w:r>
        <w:r>
          <w:fldChar w:fldCharType="separate"/>
        </w:r>
        <w:r>
          <w:rPr>
            <w:lang w:val="zh-CN"/>
          </w:rPr>
          <w:t>iii</w:t>
        </w:r>
        <w:r>
          <w:fldChar w:fldCharType="end"/>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4008AC">
    <w:pPr>
      <w:pStyle w:val="52"/>
      <w:jc w:val="right"/>
    </w:pPr>
    <w:sdt>
      <w:sdtPr>
        <w:id w:val="-279473"/>
        <w:docPartObj>
          <w:docPartGallery w:val="autotext"/>
        </w:docPartObj>
      </w:sdtPr>
      <w:sdtContent>
        <w:r>
          <w:fldChar w:fldCharType="begin"/>
        </w:r>
        <w:r>
          <w:instrText xml:space="preserve">PAGE   \* MERGEFORMAT</w:instrText>
        </w:r>
        <w:r>
          <w:fldChar w:fldCharType="separate"/>
        </w:r>
        <w:r>
          <w:rPr>
            <w:lang w:val="zh-CN"/>
          </w:rPr>
          <w:t>xvii</w:t>
        </w:r>
        <w:r>
          <w:fldChar w:fldCharType="end"/>
        </w:r>
      </w:sdtContent>
    </w:sdt>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F5F680">
    <w:pPr>
      <w:pStyle w:val="52"/>
      <w:jc w:val="right"/>
    </w:pPr>
    <w:sdt>
      <w:sdtPr>
        <w:id w:val="-1339231250"/>
        <w:docPartObj>
          <w:docPartGallery w:val="autotext"/>
        </w:docPartObj>
      </w:sdtPr>
      <w:sdtContent>
        <w:r>
          <w:fldChar w:fldCharType="begin"/>
        </w:r>
        <w:r>
          <w:instrText xml:space="preserve">PAGE   \* MERGEFORMAT</w:instrText>
        </w:r>
        <w:r>
          <w:fldChar w:fldCharType="separate"/>
        </w:r>
        <w:r>
          <w:rPr>
            <w:lang w:val="zh-CN"/>
          </w:rPr>
          <w:t>3</w:t>
        </w:r>
        <w: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0281A2">
    <w:pPr>
      <w:pStyle w:val="54"/>
      <w:pBdr>
        <w:bottom w:val="dotted" w:color="auto" w:sz="4" w:space="0"/>
      </w:pBdr>
      <w:jc w:val="right"/>
    </w:pPr>
    <w:r>
      <w:rPr>
        <w:rFonts w:hint="eastAsia" w:ascii="黑体" w:hAnsi="黑体" w:eastAsia="黑体"/>
      </w:rPr>
      <w:drawing>
        <wp:anchor distT="0" distB="0" distL="114300" distR="114300" simplePos="0" relativeHeight="251660288" behindDoc="0" locked="0" layoutInCell="1" allowOverlap="1">
          <wp:simplePos x="0" y="0"/>
          <wp:positionH relativeFrom="margin">
            <wp:posOffset>0</wp:posOffset>
          </wp:positionH>
          <wp:positionV relativeFrom="paragraph">
            <wp:posOffset>-133985</wp:posOffset>
          </wp:positionV>
          <wp:extent cx="946150" cy="233045"/>
          <wp:effectExtent l="0" t="0" r="6350" b="0"/>
          <wp:wrapNone/>
          <wp:docPr id="103" name="图片 103" descr="C:\Users\denglin1\AppData\Local\Microsoft\Windows\INetCache\Content.Word\数字安全LOGO（slogan）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C:\Users\denglin1\AppData\Local\Microsoft\Windows\INetCache\Content.Word\数字安全LOGO（slogan）_03.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946150" cy="233045"/>
                  </a:xfrm>
                  <a:prstGeom prst="rect">
                    <a:avLst/>
                  </a:prstGeom>
                  <a:noFill/>
                  <a:ln>
                    <a:noFill/>
                  </a:ln>
                </pic:spPr>
              </pic:pic>
            </a:graphicData>
          </a:graphic>
        </wp:anchor>
      </w:drawing>
    </w:r>
    <w:r>
      <w:rPr>
        <w:rFonts w:hint="eastAsia" w:ascii="宋体" w:hAnsi="宋体"/>
      </w:rPr>
      <w:t>3</w:t>
    </w:r>
    <w:r>
      <w:rPr>
        <w:rFonts w:ascii="宋体" w:hAnsi="宋体"/>
      </w:rPr>
      <w:t>60</w:t>
    </w:r>
    <w:r>
      <w:rPr>
        <w:rFonts w:hint="eastAsia" w:ascii="宋体" w:hAnsi="宋体"/>
      </w:rPr>
      <w:t>上网行为审计产品操作手册</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429459">
    <w:pPr>
      <w:pStyle w:val="54"/>
      <w:pBdr>
        <w:bottom w:val="dotted" w:color="auto" w:sz="4" w:space="0"/>
      </w:pBdr>
      <w:jc w:val="right"/>
    </w:pPr>
    <w:r>
      <w:rPr>
        <w:rFonts w:hint="eastAsia" w:ascii="黑体" w:hAnsi="黑体" w:eastAsia="黑体"/>
      </w:rPr>
      <w:drawing>
        <wp:anchor distT="0" distB="0" distL="114300" distR="114300" simplePos="0" relativeHeight="251662336" behindDoc="0" locked="0" layoutInCell="1" allowOverlap="1">
          <wp:simplePos x="0" y="0"/>
          <wp:positionH relativeFrom="margin">
            <wp:posOffset>0</wp:posOffset>
          </wp:positionH>
          <wp:positionV relativeFrom="paragraph">
            <wp:posOffset>-133985</wp:posOffset>
          </wp:positionV>
          <wp:extent cx="946150" cy="233045"/>
          <wp:effectExtent l="0" t="0" r="6350" b="0"/>
          <wp:wrapNone/>
          <wp:docPr id="111" name="图片 111" descr="C:\Users\denglin1\AppData\Local\Microsoft\Windows\INetCache\Content.Word\数字安全LOGO（slogan）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C:\Users\denglin1\AppData\Local\Microsoft\Windows\INetCache\Content.Word\数字安全LOGO（slogan）_03.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946150" cy="233045"/>
                  </a:xfrm>
                  <a:prstGeom prst="rect">
                    <a:avLst/>
                  </a:prstGeom>
                  <a:noFill/>
                  <a:ln>
                    <a:noFill/>
                  </a:ln>
                </pic:spPr>
              </pic:pic>
            </a:graphicData>
          </a:graphic>
        </wp:anchor>
      </w:drawing>
    </w:r>
    <w:r>
      <w:rPr>
        <w:rFonts w:hint="eastAsia" w:ascii="宋体" w:hAnsi="宋体"/>
      </w:rPr>
      <w:t>3</w:t>
    </w:r>
    <w:r>
      <w:rPr>
        <w:rFonts w:ascii="宋体" w:hAnsi="宋体"/>
      </w:rPr>
      <w:t>60</w:t>
    </w:r>
    <w:r>
      <w:rPr>
        <w:rFonts w:hint="eastAsia" w:ascii="宋体" w:hAnsi="宋体"/>
      </w:rPr>
      <w:t>上网行为审计产品操作手册</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1EE354D"/>
    <w:multiLevelType w:val="multilevel"/>
    <w:tmpl w:val="01EE354D"/>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rPr>
        <w:rFonts w:hint="eastAsia"/>
      </w:rPr>
    </w:lvl>
    <w:lvl w:ilvl="2" w:tentative="0">
      <w:start w:val="1"/>
      <w:numFmt w:val="lowerRoman"/>
      <w:lvlText w:val="%3."/>
      <w:lvlJc w:val="right"/>
      <w:pPr>
        <w:ind w:left="1740" w:hanging="420"/>
      </w:pPr>
      <w:rPr>
        <w:rFonts w:hint="eastAsia"/>
      </w:rPr>
    </w:lvl>
    <w:lvl w:ilvl="3" w:tentative="0">
      <w:start w:val="1"/>
      <w:numFmt w:val="decimal"/>
      <w:lvlText w:val="%4."/>
      <w:lvlJc w:val="left"/>
      <w:pPr>
        <w:ind w:left="2160" w:hanging="420"/>
      </w:pPr>
      <w:rPr>
        <w:rFonts w:hint="eastAsia"/>
      </w:rPr>
    </w:lvl>
    <w:lvl w:ilvl="4" w:tentative="0">
      <w:start w:val="1"/>
      <w:numFmt w:val="lowerLetter"/>
      <w:lvlText w:val="%5)"/>
      <w:lvlJc w:val="left"/>
      <w:pPr>
        <w:ind w:left="2580" w:hanging="420"/>
      </w:pPr>
      <w:rPr>
        <w:rFonts w:hint="eastAsia"/>
      </w:rPr>
    </w:lvl>
    <w:lvl w:ilvl="5" w:tentative="0">
      <w:start w:val="1"/>
      <w:numFmt w:val="lowerRoman"/>
      <w:lvlText w:val="%6."/>
      <w:lvlJc w:val="right"/>
      <w:pPr>
        <w:ind w:left="3000" w:hanging="420"/>
      </w:pPr>
      <w:rPr>
        <w:rFonts w:hint="eastAsia"/>
      </w:rPr>
    </w:lvl>
    <w:lvl w:ilvl="6" w:tentative="0">
      <w:start w:val="1"/>
      <w:numFmt w:val="decimal"/>
      <w:lvlText w:val="%7."/>
      <w:lvlJc w:val="left"/>
      <w:pPr>
        <w:ind w:left="3420" w:hanging="420"/>
      </w:pPr>
      <w:rPr>
        <w:rFonts w:hint="eastAsia"/>
      </w:rPr>
    </w:lvl>
    <w:lvl w:ilvl="7" w:tentative="0">
      <w:start w:val="1"/>
      <w:numFmt w:val="lowerLetter"/>
      <w:lvlText w:val="%8)"/>
      <w:lvlJc w:val="left"/>
      <w:pPr>
        <w:ind w:left="3840" w:hanging="420"/>
      </w:pPr>
      <w:rPr>
        <w:rFonts w:hint="eastAsia"/>
      </w:rPr>
    </w:lvl>
    <w:lvl w:ilvl="8" w:tentative="0">
      <w:start w:val="1"/>
      <w:numFmt w:val="lowerRoman"/>
      <w:lvlText w:val="%9."/>
      <w:lvlJc w:val="right"/>
      <w:pPr>
        <w:ind w:left="4260" w:hanging="420"/>
      </w:pPr>
      <w:rPr>
        <w:rFonts w:hint="eastAsia"/>
      </w:rPr>
    </w:lvl>
  </w:abstractNum>
  <w:abstractNum w:abstractNumId="1">
    <w:nsid w:val="062E42CC"/>
    <w:multiLevelType w:val="multilevel"/>
    <w:tmpl w:val="062E42CC"/>
    <w:lvl w:ilvl="0" w:tentative="0">
      <w:start w:val="1"/>
      <w:numFmt w:val="bullet"/>
      <w:pStyle w:val="386"/>
      <w:lvlText w:val=""/>
      <w:lvlJc w:val="left"/>
      <w:pPr>
        <w:tabs>
          <w:tab w:val="left" w:pos="839"/>
        </w:tabs>
        <w:ind w:left="840" w:hanging="420"/>
      </w:pPr>
      <w:rPr>
        <w:rFonts w:hint="default" w:ascii="Wingdings" w:hAnsi="Wingdings"/>
      </w:rPr>
    </w:lvl>
    <w:lvl w:ilvl="1" w:tentative="0">
      <w:start w:val="1"/>
      <w:numFmt w:val="lowerLetter"/>
      <w:lvlText w:val="%2)"/>
      <w:lvlJc w:val="left"/>
      <w:pPr>
        <w:ind w:left="1260" w:hanging="420"/>
      </w:pPr>
      <w:rPr>
        <w:rFonts w:hint="default"/>
      </w:rPr>
    </w:lvl>
    <w:lvl w:ilvl="2" w:tentative="0">
      <w:start w:val="1"/>
      <w:numFmt w:val="lowerRoman"/>
      <w:lvlText w:val="%3."/>
      <w:lvlJc w:val="right"/>
      <w:pPr>
        <w:ind w:left="1680" w:hanging="420"/>
      </w:pPr>
      <w:rPr>
        <w:rFonts w:hint="default"/>
      </w:rPr>
    </w:lvl>
    <w:lvl w:ilvl="3" w:tentative="0">
      <w:start w:val="1"/>
      <w:numFmt w:val="decimal"/>
      <w:lvlText w:val="%4."/>
      <w:lvlJc w:val="left"/>
      <w:pPr>
        <w:ind w:left="2100" w:hanging="420"/>
      </w:pPr>
      <w:rPr>
        <w:rFonts w:hint="default"/>
      </w:rPr>
    </w:lvl>
    <w:lvl w:ilvl="4" w:tentative="0">
      <w:start w:val="1"/>
      <w:numFmt w:val="lowerLetter"/>
      <w:lvlText w:val="%5)"/>
      <w:lvlJc w:val="left"/>
      <w:pPr>
        <w:ind w:left="2520" w:hanging="420"/>
      </w:pPr>
      <w:rPr>
        <w:rFonts w:hint="default"/>
      </w:rPr>
    </w:lvl>
    <w:lvl w:ilvl="5" w:tentative="0">
      <w:start w:val="1"/>
      <w:numFmt w:val="lowerRoman"/>
      <w:lvlText w:val="%6."/>
      <w:lvlJc w:val="right"/>
      <w:pPr>
        <w:ind w:left="2940" w:hanging="420"/>
      </w:pPr>
      <w:rPr>
        <w:rFonts w:hint="default"/>
      </w:rPr>
    </w:lvl>
    <w:lvl w:ilvl="6" w:tentative="0">
      <w:start w:val="1"/>
      <w:numFmt w:val="decimal"/>
      <w:lvlText w:val="%7."/>
      <w:lvlJc w:val="left"/>
      <w:pPr>
        <w:ind w:left="3360" w:hanging="420"/>
      </w:pPr>
      <w:rPr>
        <w:rFonts w:hint="default"/>
      </w:rPr>
    </w:lvl>
    <w:lvl w:ilvl="7" w:tentative="0">
      <w:start w:val="1"/>
      <w:numFmt w:val="lowerLetter"/>
      <w:lvlText w:val="%8)"/>
      <w:lvlJc w:val="left"/>
      <w:pPr>
        <w:ind w:left="3780" w:hanging="420"/>
      </w:pPr>
      <w:rPr>
        <w:rFonts w:hint="default"/>
      </w:rPr>
    </w:lvl>
    <w:lvl w:ilvl="8" w:tentative="0">
      <w:start w:val="1"/>
      <w:numFmt w:val="lowerRoman"/>
      <w:lvlText w:val="%9."/>
      <w:lvlJc w:val="right"/>
      <w:pPr>
        <w:ind w:left="4200" w:hanging="420"/>
      </w:pPr>
      <w:rPr>
        <w:rFonts w:hint="default"/>
      </w:rPr>
    </w:lvl>
  </w:abstractNum>
  <w:abstractNum w:abstractNumId="2">
    <w:nsid w:val="0E336078"/>
    <w:multiLevelType w:val="multilevel"/>
    <w:tmpl w:val="0E336078"/>
    <w:lvl w:ilvl="0" w:tentative="0">
      <w:start w:val="1"/>
      <w:numFmt w:val="bullet"/>
      <w:pStyle w:val="162"/>
      <w:lvlText w:val=""/>
      <w:lvlJc w:val="left"/>
      <w:pPr>
        <w:ind w:left="1200" w:hanging="420"/>
      </w:pPr>
      <w:rPr>
        <w:rFonts w:hint="default" w:ascii="Wingdings" w:hAnsi="Wingdings"/>
      </w:rPr>
    </w:lvl>
    <w:lvl w:ilvl="1" w:tentative="0">
      <w:start w:val="1"/>
      <w:numFmt w:val="bullet"/>
      <w:lvlText w:val=""/>
      <w:lvlJc w:val="left"/>
      <w:pPr>
        <w:tabs>
          <w:tab w:val="left" w:pos="1620"/>
        </w:tabs>
        <w:ind w:left="1620" w:hanging="420"/>
      </w:pPr>
      <w:rPr>
        <w:rFonts w:hint="default" w:ascii="Wingdings" w:hAnsi="Wingdings"/>
      </w:rPr>
    </w:lvl>
    <w:lvl w:ilvl="2" w:tentative="0">
      <w:start w:val="1"/>
      <w:numFmt w:val="bullet"/>
      <w:lvlText w:val=""/>
      <w:lvlJc w:val="left"/>
      <w:pPr>
        <w:tabs>
          <w:tab w:val="left" w:pos="2040"/>
        </w:tabs>
        <w:ind w:left="2040" w:hanging="420"/>
      </w:pPr>
      <w:rPr>
        <w:rFonts w:hint="default" w:ascii="Wingdings" w:hAnsi="Wingdings"/>
      </w:rPr>
    </w:lvl>
    <w:lvl w:ilvl="3" w:tentative="0">
      <w:start w:val="1"/>
      <w:numFmt w:val="bullet"/>
      <w:lvlText w:val=""/>
      <w:lvlJc w:val="left"/>
      <w:pPr>
        <w:tabs>
          <w:tab w:val="left" w:pos="2460"/>
        </w:tabs>
        <w:ind w:left="2460" w:hanging="420"/>
      </w:pPr>
      <w:rPr>
        <w:rFonts w:hint="default" w:ascii="Wingdings" w:hAnsi="Wingdings"/>
      </w:rPr>
    </w:lvl>
    <w:lvl w:ilvl="4" w:tentative="0">
      <w:start w:val="1"/>
      <w:numFmt w:val="bullet"/>
      <w:lvlText w:val=""/>
      <w:lvlJc w:val="left"/>
      <w:pPr>
        <w:tabs>
          <w:tab w:val="left" w:pos="2880"/>
        </w:tabs>
        <w:ind w:left="2880" w:hanging="420"/>
      </w:pPr>
      <w:rPr>
        <w:rFonts w:hint="default" w:ascii="Wingdings" w:hAnsi="Wingdings"/>
      </w:rPr>
    </w:lvl>
    <w:lvl w:ilvl="5" w:tentative="0">
      <w:start w:val="1"/>
      <w:numFmt w:val="bullet"/>
      <w:lvlText w:val=""/>
      <w:lvlJc w:val="left"/>
      <w:pPr>
        <w:tabs>
          <w:tab w:val="left" w:pos="3300"/>
        </w:tabs>
        <w:ind w:left="3300" w:hanging="420"/>
      </w:pPr>
      <w:rPr>
        <w:rFonts w:hint="default" w:ascii="Wingdings" w:hAnsi="Wingdings"/>
      </w:rPr>
    </w:lvl>
    <w:lvl w:ilvl="6" w:tentative="0">
      <w:start w:val="1"/>
      <w:numFmt w:val="bullet"/>
      <w:lvlText w:val=""/>
      <w:lvlJc w:val="left"/>
      <w:pPr>
        <w:tabs>
          <w:tab w:val="left" w:pos="3720"/>
        </w:tabs>
        <w:ind w:left="3720" w:hanging="420"/>
      </w:pPr>
      <w:rPr>
        <w:rFonts w:hint="default" w:ascii="Wingdings" w:hAnsi="Wingdings"/>
      </w:rPr>
    </w:lvl>
    <w:lvl w:ilvl="7" w:tentative="0">
      <w:start w:val="1"/>
      <w:numFmt w:val="bullet"/>
      <w:lvlText w:val=""/>
      <w:lvlJc w:val="left"/>
      <w:pPr>
        <w:tabs>
          <w:tab w:val="left" w:pos="4140"/>
        </w:tabs>
        <w:ind w:left="4140" w:hanging="420"/>
      </w:pPr>
      <w:rPr>
        <w:rFonts w:hint="default" w:ascii="Wingdings" w:hAnsi="Wingdings"/>
      </w:rPr>
    </w:lvl>
    <w:lvl w:ilvl="8" w:tentative="0">
      <w:start w:val="1"/>
      <w:numFmt w:val="bullet"/>
      <w:lvlText w:val=""/>
      <w:lvlJc w:val="left"/>
      <w:pPr>
        <w:tabs>
          <w:tab w:val="left" w:pos="4560"/>
        </w:tabs>
        <w:ind w:left="4560" w:hanging="420"/>
      </w:pPr>
      <w:rPr>
        <w:rFonts w:hint="default" w:ascii="Wingdings" w:hAnsi="Wingdings"/>
      </w:rPr>
    </w:lvl>
  </w:abstractNum>
  <w:abstractNum w:abstractNumId="3">
    <w:nsid w:val="0EDB2900"/>
    <w:multiLevelType w:val="multilevel"/>
    <w:tmpl w:val="0EDB2900"/>
    <w:lvl w:ilvl="0" w:tentative="0">
      <w:start w:val="1"/>
      <w:numFmt w:val="bullet"/>
      <w:pStyle w:val="293"/>
      <w:lvlText w:val="−"/>
      <w:lvlJc w:val="left"/>
      <w:pPr>
        <w:tabs>
          <w:tab w:val="left" w:pos="2409"/>
        </w:tabs>
        <w:ind w:left="2410" w:hanging="284"/>
      </w:pPr>
      <w:rPr>
        <w:rFonts w:hint="default" w:ascii="Times New Roman" w:hAnsi="Times New Roman" w:cs="Times New Roman"/>
        <w:sz w:val="16"/>
        <w:szCs w:val="16"/>
      </w:rPr>
    </w:lvl>
    <w:lvl w:ilvl="1" w:tentative="0">
      <w:start w:val="1"/>
      <w:numFmt w:val="bullet"/>
      <w:lvlText w:val=""/>
      <w:lvlJc w:val="left"/>
      <w:pPr>
        <w:tabs>
          <w:tab w:val="left" w:pos="840"/>
        </w:tabs>
        <w:ind w:left="840" w:hanging="420"/>
      </w:pPr>
      <w:rPr>
        <w:rFonts w:hint="default" w:ascii="Wingdings" w:hAnsi="Wingdings" w:cs="Wingdings"/>
      </w:rPr>
    </w:lvl>
    <w:lvl w:ilvl="2" w:tentative="0">
      <w:start w:val="1"/>
      <w:numFmt w:val="bullet"/>
      <w:lvlText w:val=""/>
      <w:lvlJc w:val="left"/>
      <w:pPr>
        <w:tabs>
          <w:tab w:val="left" w:pos="1260"/>
        </w:tabs>
        <w:ind w:left="1260" w:hanging="420"/>
      </w:pPr>
      <w:rPr>
        <w:rFonts w:hint="default" w:ascii="Wingdings" w:hAnsi="Wingdings" w:cs="Wingdings"/>
      </w:rPr>
    </w:lvl>
    <w:lvl w:ilvl="3" w:tentative="0">
      <w:start w:val="1"/>
      <w:numFmt w:val="bullet"/>
      <w:lvlText w:val=""/>
      <w:lvlJc w:val="left"/>
      <w:pPr>
        <w:tabs>
          <w:tab w:val="left" w:pos="1680"/>
        </w:tabs>
        <w:ind w:left="1680" w:hanging="420"/>
      </w:pPr>
      <w:rPr>
        <w:rFonts w:hint="default" w:ascii="Wingdings" w:hAnsi="Wingdings" w:cs="Wingdings"/>
      </w:rPr>
    </w:lvl>
    <w:lvl w:ilvl="4" w:tentative="0">
      <w:start w:val="1"/>
      <w:numFmt w:val="bullet"/>
      <w:lvlText w:val=""/>
      <w:lvlJc w:val="left"/>
      <w:pPr>
        <w:tabs>
          <w:tab w:val="left" w:pos="2100"/>
        </w:tabs>
        <w:ind w:left="2100" w:hanging="420"/>
      </w:pPr>
      <w:rPr>
        <w:rFonts w:hint="default" w:ascii="Wingdings" w:hAnsi="Wingdings" w:cs="Wingdings"/>
      </w:rPr>
    </w:lvl>
    <w:lvl w:ilvl="5" w:tentative="0">
      <w:start w:val="1"/>
      <w:numFmt w:val="bullet"/>
      <w:lvlText w:val=""/>
      <w:lvlJc w:val="left"/>
      <w:pPr>
        <w:tabs>
          <w:tab w:val="left" w:pos="2520"/>
        </w:tabs>
        <w:ind w:left="2520" w:hanging="420"/>
      </w:pPr>
      <w:rPr>
        <w:rFonts w:hint="default" w:ascii="Wingdings" w:hAnsi="Wingdings" w:cs="Wingdings"/>
      </w:rPr>
    </w:lvl>
    <w:lvl w:ilvl="6" w:tentative="0">
      <w:start w:val="1"/>
      <w:numFmt w:val="bullet"/>
      <w:lvlText w:val=""/>
      <w:lvlJc w:val="left"/>
      <w:pPr>
        <w:tabs>
          <w:tab w:val="left" w:pos="2940"/>
        </w:tabs>
        <w:ind w:left="2940" w:hanging="420"/>
      </w:pPr>
      <w:rPr>
        <w:rFonts w:hint="default" w:ascii="Wingdings" w:hAnsi="Wingdings" w:cs="Wingdings"/>
      </w:rPr>
    </w:lvl>
    <w:lvl w:ilvl="7" w:tentative="0">
      <w:start w:val="1"/>
      <w:numFmt w:val="bullet"/>
      <w:lvlText w:val=""/>
      <w:lvlJc w:val="left"/>
      <w:pPr>
        <w:tabs>
          <w:tab w:val="left" w:pos="3360"/>
        </w:tabs>
        <w:ind w:left="3360" w:hanging="420"/>
      </w:pPr>
      <w:rPr>
        <w:rFonts w:hint="default" w:ascii="Wingdings" w:hAnsi="Wingdings" w:cs="Wingdings"/>
      </w:rPr>
    </w:lvl>
    <w:lvl w:ilvl="8" w:tentative="0">
      <w:start w:val="1"/>
      <w:numFmt w:val="bullet"/>
      <w:lvlText w:val=""/>
      <w:lvlJc w:val="left"/>
      <w:pPr>
        <w:tabs>
          <w:tab w:val="left" w:pos="3780"/>
        </w:tabs>
        <w:ind w:left="3780" w:hanging="420"/>
      </w:pPr>
      <w:rPr>
        <w:rFonts w:hint="default" w:ascii="Wingdings" w:hAnsi="Wingdings" w:cs="Wingdings"/>
      </w:rPr>
    </w:lvl>
  </w:abstractNum>
  <w:abstractNum w:abstractNumId="4">
    <w:nsid w:val="135C54C5"/>
    <w:multiLevelType w:val="multilevel"/>
    <w:tmpl w:val="135C54C5"/>
    <w:lvl w:ilvl="0" w:tentative="0">
      <w:start w:val="1"/>
      <w:numFmt w:val="lowerLetter"/>
      <w:lvlText w:val="%1."/>
      <w:lvlJc w:val="left"/>
      <w:pPr>
        <w:ind w:left="1464" w:hanging="420"/>
      </w:pPr>
      <w:rPr>
        <w:rFonts w:hint="eastAsia"/>
      </w:rPr>
    </w:lvl>
    <w:lvl w:ilvl="1" w:tentative="0">
      <w:start w:val="1"/>
      <w:numFmt w:val="lowerLetter"/>
      <w:lvlText w:val="%2)"/>
      <w:lvlJc w:val="left"/>
      <w:pPr>
        <w:ind w:left="1884" w:hanging="420"/>
      </w:pPr>
    </w:lvl>
    <w:lvl w:ilvl="2" w:tentative="0">
      <w:start w:val="1"/>
      <w:numFmt w:val="lowerRoman"/>
      <w:lvlText w:val="%3."/>
      <w:lvlJc w:val="right"/>
      <w:pPr>
        <w:ind w:left="2304" w:hanging="420"/>
      </w:pPr>
    </w:lvl>
    <w:lvl w:ilvl="3" w:tentative="0">
      <w:start w:val="1"/>
      <w:numFmt w:val="decimal"/>
      <w:lvlText w:val="%4."/>
      <w:lvlJc w:val="left"/>
      <w:pPr>
        <w:ind w:left="2724" w:hanging="420"/>
      </w:pPr>
    </w:lvl>
    <w:lvl w:ilvl="4" w:tentative="0">
      <w:start w:val="1"/>
      <w:numFmt w:val="lowerLetter"/>
      <w:lvlText w:val="%5)"/>
      <w:lvlJc w:val="left"/>
      <w:pPr>
        <w:ind w:left="3144" w:hanging="420"/>
      </w:pPr>
    </w:lvl>
    <w:lvl w:ilvl="5" w:tentative="0">
      <w:start w:val="1"/>
      <w:numFmt w:val="lowerRoman"/>
      <w:lvlText w:val="%6."/>
      <w:lvlJc w:val="right"/>
      <w:pPr>
        <w:ind w:left="3564" w:hanging="420"/>
      </w:pPr>
    </w:lvl>
    <w:lvl w:ilvl="6" w:tentative="0">
      <w:start w:val="1"/>
      <w:numFmt w:val="decimal"/>
      <w:lvlText w:val="%7."/>
      <w:lvlJc w:val="left"/>
      <w:pPr>
        <w:ind w:left="3984" w:hanging="420"/>
      </w:pPr>
    </w:lvl>
    <w:lvl w:ilvl="7" w:tentative="0">
      <w:start w:val="1"/>
      <w:numFmt w:val="lowerLetter"/>
      <w:lvlText w:val="%8)"/>
      <w:lvlJc w:val="left"/>
      <w:pPr>
        <w:ind w:left="4404" w:hanging="420"/>
      </w:pPr>
    </w:lvl>
    <w:lvl w:ilvl="8" w:tentative="0">
      <w:start w:val="1"/>
      <w:numFmt w:val="lowerRoman"/>
      <w:lvlText w:val="%9."/>
      <w:lvlJc w:val="right"/>
      <w:pPr>
        <w:ind w:left="4824" w:hanging="420"/>
      </w:pPr>
    </w:lvl>
  </w:abstractNum>
  <w:abstractNum w:abstractNumId="5">
    <w:nsid w:val="16EC1D0D"/>
    <w:multiLevelType w:val="multilevel"/>
    <w:tmpl w:val="16EC1D0D"/>
    <w:lvl w:ilvl="0" w:tentative="0">
      <w:start w:val="1"/>
      <w:numFmt w:val="bullet"/>
      <w:pStyle w:val="385"/>
      <w:lvlText w:val=""/>
      <w:lvlJc w:val="left"/>
      <w:pPr>
        <w:tabs>
          <w:tab w:val="left" w:pos="1701"/>
        </w:tabs>
        <w:ind w:left="1701" w:hanging="1701"/>
      </w:pPr>
      <w:rPr>
        <w:rFonts w:hint="default" w:ascii="Wingdings" w:hAnsi="Wingdings"/>
        <w:b w:val="0"/>
        <w:i w:val="0"/>
        <w:sz w:val="52"/>
        <w:szCs w:val="52"/>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6">
    <w:nsid w:val="18262C5A"/>
    <w:multiLevelType w:val="multilevel"/>
    <w:tmpl w:val="18262C5A"/>
    <w:lvl w:ilvl="0" w:tentative="0">
      <w:start w:val="1"/>
      <w:numFmt w:val="decimal"/>
      <w:lvlText w:val="步骤%1."/>
      <w:lvlJc w:val="left"/>
      <w:pPr>
        <w:tabs>
          <w:tab w:val="left" w:pos="1276"/>
        </w:tabs>
        <w:ind w:left="1276" w:hanging="879"/>
      </w:pPr>
      <w:rPr>
        <w:rFonts w:hint="default" w:ascii="Times New Roman" w:hAnsi="Times New Roman" w:eastAsia="宋体"/>
        <w:b w:val="0"/>
        <w:bCs w:val="0"/>
        <w:i w:val="0"/>
        <w:iCs w:val="0"/>
        <w:caps w:val="0"/>
        <w:smallCaps w:val="0"/>
        <w:strike w:val="0"/>
        <w:dstrike w:val="0"/>
        <w:outline w:val="0"/>
        <w:shadow w:val="0"/>
        <w:emboss w:val="0"/>
        <w:imprint w:val="0"/>
        <w:snapToGrid w:val="0"/>
        <w:vanish w:val="0"/>
        <w:spacing w:val="0"/>
        <w:kern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rPr>
    </w:lvl>
    <w:lvl w:ilvl="1" w:tentative="0">
      <w:start w:val="1"/>
      <w:numFmt w:val="lowerLetter"/>
      <w:lvlText w:val="%2)"/>
      <w:lvlJc w:val="left"/>
      <w:pPr>
        <w:tabs>
          <w:tab w:val="left" w:pos="1469"/>
        </w:tabs>
        <w:ind w:left="1469" w:hanging="420"/>
      </w:pPr>
      <w:rPr>
        <w:rFonts w:hint="eastAsia"/>
      </w:rPr>
    </w:lvl>
    <w:lvl w:ilvl="2" w:tentative="0">
      <w:start w:val="1"/>
      <w:numFmt w:val="lowerRoman"/>
      <w:lvlText w:val="%3."/>
      <w:lvlJc w:val="right"/>
      <w:pPr>
        <w:tabs>
          <w:tab w:val="left" w:pos="1889"/>
        </w:tabs>
        <w:ind w:left="1889" w:hanging="420"/>
      </w:pPr>
      <w:rPr>
        <w:rFonts w:hint="eastAsia"/>
      </w:rPr>
    </w:lvl>
    <w:lvl w:ilvl="3" w:tentative="0">
      <w:start w:val="1"/>
      <w:numFmt w:val="decimal"/>
      <w:lvlText w:val="%4."/>
      <w:lvlJc w:val="left"/>
      <w:pPr>
        <w:tabs>
          <w:tab w:val="left" w:pos="2309"/>
        </w:tabs>
        <w:ind w:left="2309" w:hanging="420"/>
      </w:pPr>
      <w:rPr>
        <w:rFonts w:hint="eastAsia"/>
      </w:rPr>
    </w:lvl>
    <w:lvl w:ilvl="4" w:tentative="0">
      <w:start w:val="1"/>
      <w:numFmt w:val="lowerLetter"/>
      <w:lvlText w:val="%5)"/>
      <w:lvlJc w:val="left"/>
      <w:pPr>
        <w:tabs>
          <w:tab w:val="left" w:pos="2729"/>
        </w:tabs>
        <w:ind w:left="2729" w:hanging="420"/>
      </w:pPr>
      <w:rPr>
        <w:rFonts w:hint="eastAsia"/>
      </w:rPr>
    </w:lvl>
    <w:lvl w:ilvl="5" w:tentative="0">
      <w:start w:val="1"/>
      <w:numFmt w:val="lowerRoman"/>
      <w:lvlText w:val="%6."/>
      <w:lvlJc w:val="right"/>
      <w:pPr>
        <w:tabs>
          <w:tab w:val="left" w:pos="3149"/>
        </w:tabs>
        <w:ind w:left="3149" w:hanging="420"/>
      </w:pPr>
      <w:rPr>
        <w:rFonts w:hint="eastAsia"/>
      </w:rPr>
    </w:lvl>
    <w:lvl w:ilvl="6" w:tentative="0">
      <w:start w:val="1"/>
      <w:numFmt w:val="decimal"/>
      <w:lvlText w:val="%7."/>
      <w:lvlJc w:val="left"/>
      <w:pPr>
        <w:tabs>
          <w:tab w:val="left" w:pos="3569"/>
        </w:tabs>
        <w:ind w:left="3569" w:hanging="420"/>
      </w:pPr>
      <w:rPr>
        <w:rFonts w:hint="eastAsia"/>
      </w:rPr>
    </w:lvl>
    <w:lvl w:ilvl="7" w:tentative="0">
      <w:start w:val="1"/>
      <w:numFmt w:val="lowerLetter"/>
      <w:lvlText w:val="%8)"/>
      <w:lvlJc w:val="left"/>
      <w:pPr>
        <w:tabs>
          <w:tab w:val="left" w:pos="3989"/>
        </w:tabs>
        <w:ind w:left="3989" w:hanging="420"/>
      </w:pPr>
      <w:rPr>
        <w:rFonts w:hint="eastAsia"/>
      </w:rPr>
    </w:lvl>
    <w:lvl w:ilvl="8" w:tentative="0">
      <w:start w:val="1"/>
      <w:numFmt w:val="lowerRoman"/>
      <w:lvlText w:val="%9."/>
      <w:lvlJc w:val="right"/>
      <w:pPr>
        <w:tabs>
          <w:tab w:val="left" w:pos="4409"/>
        </w:tabs>
        <w:ind w:left="4409" w:hanging="420"/>
      </w:pPr>
      <w:rPr>
        <w:rFonts w:hint="eastAsia"/>
      </w:rPr>
    </w:lvl>
  </w:abstractNum>
  <w:abstractNum w:abstractNumId="7">
    <w:nsid w:val="1B763EA8"/>
    <w:multiLevelType w:val="multilevel"/>
    <w:tmpl w:val="1B763EA8"/>
    <w:lvl w:ilvl="0" w:tentative="0">
      <w:start w:val="1"/>
      <w:numFmt w:val="bullet"/>
      <w:pStyle w:val="364"/>
      <w:lvlText w:val=""/>
      <w:lvlJc w:val="left"/>
      <w:pPr>
        <w:tabs>
          <w:tab w:val="left" w:pos="1712"/>
        </w:tabs>
        <w:ind w:left="1712" w:hanging="453"/>
      </w:pPr>
      <w:rPr>
        <w:rFonts w:hint="default" w:ascii="Wingdings" w:hAnsi="Wingdings"/>
      </w:rPr>
    </w:lvl>
    <w:lvl w:ilvl="1" w:tentative="0">
      <w:start w:val="1"/>
      <w:numFmt w:val="decimal"/>
      <w:lvlText w:val="%1.%2."/>
      <w:lvlJc w:val="left"/>
      <w:pPr>
        <w:tabs>
          <w:tab w:val="left" w:pos="509"/>
        </w:tabs>
        <w:ind w:left="509" w:hanging="432"/>
      </w:pPr>
      <w:rPr>
        <w:rFonts w:hint="eastAsia"/>
      </w:rPr>
    </w:lvl>
    <w:lvl w:ilvl="2" w:tentative="0">
      <w:start w:val="1"/>
      <w:numFmt w:val="decimal"/>
      <w:lvlText w:val="%1.%2.%3."/>
      <w:lvlJc w:val="left"/>
      <w:pPr>
        <w:tabs>
          <w:tab w:val="left" w:pos="941"/>
        </w:tabs>
        <w:ind w:left="941" w:hanging="504"/>
      </w:pPr>
      <w:rPr>
        <w:rFonts w:hint="eastAsia"/>
      </w:rPr>
    </w:lvl>
    <w:lvl w:ilvl="3" w:tentative="0">
      <w:start w:val="1"/>
      <w:numFmt w:val="decimal"/>
      <w:lvlText w:val="%1.%2.%3.%4."/>
      <w:lvlJc w:val="left"/>
      <w:pPr>
        <w:tabs>
          <w:tab w:val="left" w:pos="1445"/>
        </w:tabs>
        <w:ind w:left="1445" w:hanging="648"/>
      </w:pPr>
      <w:rPr>
        <w:rFonts w:hint="eastAsia"/>
      </w:rPr>
    </w:lvl>
    <w:lvl w:ilvl="4" w:tentative="0">
      <w:start w:val="1"/>
      <w:numFmt w:val="decimal"/>
      <w:lvlText w:val="%1.%2.%3.%4.%5."/>
      <w:lvlJc w:val="left"/>
      <w:pPr>
        <w:tabs>
          <w:tab w:val="left" w:pos="1949"/>
        </w:tabs>
        <w:ind w:left="1949" w:hanging="792"/>
      </w:pPr>
      <w:rPr>
        <w:rFonts w:hint="eastAsia"/>
      </w:rPr>
    </w:lvl>
    <w:lvl w:ilvl="5" w:tentative="0">
      <w:start w:val="1"/>
      <w:numFmt w:val="decimal"/>
      <w:lvlText w:val="%1.%2.%3.%4.%5.%6."/>
      <w:lvlJc w:val="left"/>
      <w:pPr>
        <w:tabs>
          <w:tab w:val="left" w:pos="2453"/>
        </w:tabs>
        <w:ind w:left="2453" w:hanging="936"/>
      </w:pPr>
      <w:rPr>
        <w:rFonts w:hint="eastAsia"/>
      </w:rPr>
    </w:lvl>
    <w:lvl w:ilvl="6" w:tentative="0">
      <w:start w:val="1"/>
      <w:numFmt w:val="decimal"/>
      <w:lvlText w:val="%1.%2.%3.%4.%5.%6.%7."/>
      <w:lvlJc w:val="left"/>
      <w:pPr>
        <w:tabs>
          <w:tab w:val="left" w:pos="2957"/>
        </w:tabs>
        <w:ind w:left="2957" w:hanging="1080"/>
      </w:pPr>
      <w:rPr>
        <w:rFonts w:hint="eastAsia"/>
      </w:rPr>
    </w:lvl>
    <w:lvl w:ilvl="7" w:tentative="0">
      <w:start w:val="1"/>
      <w:numFmt w:val="decimal"/>
      <w:lvlText w:val="%1.%2.%3.%4.%5.%6.%7.%8."/>
      <w:lvlJc w:val="left"/>
      <w:pPr>
        <w:tabs>
          <w:tab w:val="left" w:pos="3461"/>
        </w:tabs>
        <w:ind w:left="3461" w:hanging="1224"/>
      </w:pPr>
      <w:rPr>
        <w:rFonts w:hint="eastAsia"/>
      </w:rPr>
    </w:lvl>
    <w:lvl w:ilvl="8" w:tentative="0">
      <w:start w:val="1"/>
      <w:numFmt w:val="decimal"/>
      <w:lvlText w:val="%1.%2.%3.%4.%5.%6.%7.%8.%9."/>
      <w:lvlJc w:val="left"/>
      <w:pPr>
        <w:tabs>
          <w:tab w:val="left" w:pos="4037"/>
        </w:tabs>
        <w:ind w:left="4037" w:hanging="1440"/>
      </w:pPr>
      <w:rPr>
        <w:rFonts w:hint="eastAsia"/>
      </w:rPr>
    </w:lvl>
  </w:abstractNum>
  <w:abstractNum w:abstractNumId="8">
    <w:nsid w:val="1F693EC0"/>
    <w:multiLevelType w:val="multilevel"/>
    <w:tmpl w:val="1F693EC0"/>
    <w:lvl w:ilvl="0" w:tentative="0">
      <w:start w:val="1"/>
      <w:numFmt w:val="decimal"/>
      <w:pStyle w:val="270"/>
      <w:lvlText w:val="%1)"/>
      <w:lvlJc w:val="left"/>
      <w:pPr>
        <w:tabs>
          <w:tab w:val="left" w:pos="420"/>
        </w:tabs>
        <w:ind w:left="420" w:hanging="420"/>
      </w:pPr>
    </w:lvl>
    <w:lvl w:ilvl="1" w:tentative="0">
      <w:start w:val="1"/>
      <w:numFmt w:val="lowerLetter"/>
      <w:lvlText w:val="%2)"/>
      <w:lvlJc w:val="left"/>
      <w:pPr>
        <w:tabs>
          <w:tab w:val="left" w:pos="1140"/>
        </w:tabs>
        <w:ind w:left="1140" w:hanging="420"/>
      </w:pPr>
    </w:lvl>
    <w:lvl w:ilvl="2" w:tentative="0">
      <w:start w:val="1"/>
      <w:numFmt w:val="lowerRoman"/>
      <w:lvlText w:val="%3."/>
      <w:lvlJc w:val="right"/>
      <w:pPr>
        <w:tabs>
          <w:tab w:val="left" w:pos="1560"/>
        </w:tabs>
        <w:ind w:left="1560" w:hanging="420"/>
      </w:pPr>
    </w:lvl>
    <w:lvl w:ilvl="3" w:tentative="0">
      <w:start w:val="1"/>
      <w:numFmt w:val="decimal"/>
      <w:lvlText w:val="%4."/>
      <w:lvlJc w:val="left"/>
      <w:pPr>
        <w:tabs>
          <w:tab w:val="left" w:pos="1980"/>
        </w:tabs>
        <w:ind w:left="1980" w:hanging="420"/>
      </w:pPr>
    </w:lvl>
    <w:lvl w:ilvl="4" w:tentative="0">
      <w:start w:val="1"/>
      <w:numFmt w:val="lowerLetter"/>
      <w:lvlText w:val="%5)"/>
      <w:lvlJc w:val="left"/>
      <w:pPr>
        <w:tabs>
          <w:tab w:val="left" w:pos="2400"/>
        </w:tabs>
        <w:ind w:left="2400" w:hanging="420"/>
      </w:pPr>
    </w:lvl>
    <w:lvl w:ilvl="5" w:tentative="0">
      <w:start w:val="1"/>
      <w:numFmt w:val="lowerRoman"/>
      <w:lvlText w:val="%6."/>
      <w:lvlJc w:val="right"/>
      <w:pPr>
        <w:tabs>
          <w:tab w:val="left" w:pos="2820"/>
        </w:tabs>
        <w:ind w:left="2820" w:hanging="420"/>
      </w:pPr>
    </w:lvl>
    <w:lvl w:ilvl="6" w:tentative="0">
      <w:start w:val="1"/>
      <w:numFmt w:val="decimal"/>
      <w:lvlText w:val="%7."/>
      <w:lvlJc w:val="left"/>
      <w:pPr>
        <w:tabs>
          <w:tab w:val="left" w:pos="3240"/>
        </w:tabs>
        <w:ind w:left="3240" w:hanging="420"/>
      </w:pPr>
    </w:lvl>
    <w:lvl w:ilvl="7" w:tentative="0">
      <w:start w:val="1"/>
      <w:numFmt w:val="lowerLetter"/>
      <w:lvlText w:val="%8)"/>
      <w:lvlJc w:val="left"/>
      <w:pPr>
        <w:tabs>
          <w:tab w:val="left" w:pos="3660"/>
        </w:tabs>
        <w:ind w:left="3660" w:hanging="420"/>
      </w:pPr>
    </w:lvl>
    <w:lvl w:ilvl="8" w:tentative="0">
      <w:start w:val="1"/>
      <w:numFmt w:val="lowerRoman"/>
      <w:lvlText w:val="%9."/>
      <w:lvlJc w:val="right"/>
      <w:pPr>
        <w:tabs>
          <w:tab w:val="left" w:pos="4080"/>
        </w:tabs>
        <w:ind w:left="4080" w:hanging="420"/>
      </w:pPr>
    </w:lvl>
  </w:abstractNum>
  <w:abstractNum w:abstractNumId="9">
    <w:nsid w:val="20453EF0"/>
    <w:multiLevelType w:val="multilevel"/>
    <w:tmpl w:val="20453EF0"/>
    <w:lvl w:ilvl="0" w:tentative="0">
      <w:start w:val="1"/>
      <w:numFmt w:val="upperLetter"/>
      <w:pStyle w:val="44"/>
      <w:lvlText w:val="附录%1"/>
      <w:lvlJc w:val="left"/>
      <w:pPr>
        <w:tabs>
          <w:tab w:val="left" w:pos="432"/>
        </w:tabs>
        <w:ind w:left="432" w:hanging="432"/>
      </w:pPr>
      <w:rPr>
        <w:rFonts w:hint="eastAsia"/>
      </w:rPr>
    </w:lvl>
    <w:lvl w:ilvl="1" w:tentative="0">
      <w:start w:val="1"/>
      <w:numFmt w:val="decimal"/>
      <w:lvlText w:val="%1.%2"/>
      <w:lvlJc w:val="left"/>
      <w:pPr>
        <w:tabs>
          <w:tab w:val="left" w:pos="576"/>
        </w:tabs>
        <w:ind w:left="576" w:hanging="576"/>
      </w:pPr>
      <w:rPr>
        <w:rFonts w:hint="eastAsia"/>
      </w:rPr>
    </w:lvl>
    <w:lvl w:ilvl="2" w:tentative="0">
      <w:start w:val="1"/>
      <w:numFmt w:val="decimal"/>
      <w:lvlText w:val="%1.%2.%3"/>
      <w:lvlJc w:val="left"/>
      <w:pPr>
        <w:tabs>
          <w:tab w:val="left" w:pos="720"/>
        </w:tabs>
        <w:ind w:left="720" w:hanging="720"/>
      </w:pPr>
      <w:rPr>
        <w:rFonts w:hint="eastAsia"/>
      </w:rPr>
    </w:lvl>
    <w:lvl w:ilvl="3" w:tentative="0">
      <w:start w:val="1"/>
      <w:numFmt w:val="decimal"/>
      <w:lvlText w:val="%4."/>
      <w:lvlJc w:val="left"/>
      <w:pPr>
        <w:tabs>
          <w:tab w:val="left" w:pos="567"/>
        </w:tabs>
        <w:ind w:left="936" w:hanging="680"/>
      </w:pPr>
      <w:rPr>
        <w:rFonts w:hint="eastAsia"/>
      </w:rPr>
    </w:lvl>
    <w:lvl w:ilvl="4" w:tentative="0">
      <w:start w:val="1"/>
      <w:numFmt w:val="decimal"/>
      <w:lvlText w:val="%5）"/>
      <w:lvlJc w:val="left"/>
      <w:pPr>
        <w:tabs>
          <w:tab w:val="left" w:pos="567"/>
        </w:tabs>
        <w:ind w:left="936" w:hanging="680"/>
      </w:pPr>
      <w:rPr>
        <w:rFonts w:hint="eastAsia"/>
      </w:rPr>
    </w:lvl>
    <w:lvl w:ilvl="5" w:tentative="0">
      <w:start w:val="1"/>
      <w:numFmt w:val="lowerLetter"/>
      <w:lvlText w:val="%6）"/>
      <w:lvlJc w:val="left"/>
      <w:pPr>
        <w:tabs>
          <w:tab w:val="left" w:pos="567"/>
        </w:tabs>
        <w:ind w:left="936" w:hanging="680"/>
      </w:pPr>
      <w:rPr>
        <w:rFonts w:hint="eastAsia"/>
      </w:rPr>
    </w:lvl>
    <w:lvl w:ilvl="6" w:tentative="0">
      <w:start w:val="1"/>
      <w:numFmt w:val="lowerRoman"/>
      <w:lvlText w:val="%7"/>
      <w:lvlJc w:val="left"/>
      <w:pPr>
        <w:tabs>
          <w:tab w:val="left" w:pos="567"/>
        </w:tabs>
        <w:ind w:left="936" w:hanging="680"/>
      </w:pPr>
      <w:rPr>
        <w:rFonts w:hint="default"/>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10">
    <w:nsid w:val="389D11A1"/>
    <w:multiLevelType w:val="multilevel"/>
    <w:tmpl w:val="389D11A1"/>
    <w:lvl w:ilvl="0" w:tentative="0">
      <w:start w:val="1"/>
      <w:numFmt w:val="decimal"/>
      <w:pStyle w:val="389"/>
      <w:lvlText w:val="步骤%1."/>
      <w:lvlJc w:val="left"/>
      <w:pPr>
        <w:ind w:left="839" w:hanging="839"/>
      </w:pPr>
      <w:rPr>
        <w:rFonts w:hint="eastAsia"/>
        <w:color w:val="000000" w:themeColor="text1"/>
        <w14:textFill>
          <w14:solidFill>
            <w14:schemeClr w14:val="tx1"/>
          </w14:solidFill>
        </w14:textFill>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1">
    <w:nsid w:val="3EBB3C91"/>
    <w:multiLevelType w:val="multilevel"/>
    <w:tmpl w:val="3EBB3C91"/>
    <w:lvl w:ilvl="0" w:tentative="0">
      <w:start w:val="1"/>
      <w:numFmt w:val="chineseCountingThousand"/>
      <w:suff w:val="space"/>
      <w:lvlText w:val="%1. "/>
      <w:lvlJc w:val="left"/>
      <w:pPr>
        <w:ind w:left="907" w:hanging="907"/>
      </w:pPr>
      <w:rPr>
        <w:rFonts w:hint="eastAsia"/>
      </w:rPr>
    </w:lvl>
    <w:lvl w:ilvl="1" w:tentative="0">
      <w:start w:val="1"/>
      <w:numFmt w:val="decimal"/>
      <w:isLgl/>
      <w:suff w:val="space"/>
      <w:lvlText w:val="%1.%2 "/>
      <w:lvlJc w:val="left"/>
      <w:pPr>
        <w:ind w:left="794" w:hanging="794"/>
      </w:pPr>
      <w:rPr>
        <w:rFonts w:hint="eastAsia"/>
      </w:rPr>
    </w:lvl>
    <w:lvl w:ilvl="2" w:tentative="0">
      <w:start w:val="1"/>
      <w:numFmt w:val="decimal"/>
      <w:isLgl/>
      <w:suff w:val="space"/>
      <w:lvlText w:val="%1.%2.%3 "/>
      <w:lvlJc w:val="left"/>
      <w:pPr>
        <w:ind w:left="907" w:hanging="907"/>
      </w:pPr>
      <w:rPr>
        <w:rFonts w:hint="eastAsia"/>
      </w:rPr>
    </w:lvl>
    <w:lvl w:ilvl="3" w:tentative="0">
      <w:start w:val="1"/>
      <w:numFmt w:val="decimal"/>
      <w:isLgl/>
      <w:suff w:val="space"/>
      <w:lvlText w:val="%1.%2.%3.%4 "/>
      <w:lvlJc w:val="left"/>
      <w:pPr>
        <w:ind w:left="1021" w:hanging="1021"/>
      </w:pPr>
      <w:rPr>
        <w:rFonts w:hint="eastAsia"/>
      </w:rPr>
    </w:lvl>
    <w:lvl w:ilvl="4" w:tentative="0">
      <w:start w:val="1"/>
      <w:numFmt w:val="decimal"/>
      <w:isLgl/>
      <w:suff w:val="space"/>
      <w:lvlText w:val="%1.%2.%3.%4.%5 "/>
      <w:lvlJc w:val="left"/>
      <w:pPr>
        <w:ind w:left="1134" w:hanging="1134"/>
      </w:pPr>
      <w:rPr>
        <w:rFonts w:hint="eastAsia"/>
      </w:rPr>
    </w:lvl>
    <w:lvl w:ilvl="5" w:tentative="0">
      <w:start w:val="1"/>
      <w:numFmt w:val="decimal"/>
      <w:isLgl/>
      <w:suff w:val="space"/>
      <w:lvlText w:val="%1.%2.%3.%4.%5.%6 "/>
      <w:lvlJc w:val="left"/>
      <w:pPr>
        <w:ind w:left="1247" w:hanging="1247"/>
      </w:pPr>
      <w:rPr>
        <w:rFonts w:hint="eastAsia"/>
      </w:rPr>
    </w:lvl>
    <w:lvl w:ilvl="6" w:tentative="0">
      <w:start w:val="1"/>
      <w:numFmt w:val="decimal"/>
      <w:lvlRestart w:val="1"/>
      <w:isLgl/>
      <w:suff w:val="space"/>
      <w:lvlText w:val="图 %1.%7 "/>
      <w:lvlJc w:val="left"/>
      <w:pPr>
        <w:ind w:left="0" w:firstLine="0"/>
      </w:pPr>
      <w:rPr>
        <w:rFonts w:hint="eastAsia"/>
        <w:lang w:val="en-US"/>
      </w:rPr>
    </w:lvl>
    <w:lvl w:ilvl="7" w:tentative="0">
      <w:start w:val="1"/>
      <w:numFmt w:val="decimal"/>
      <w:lvlRestart w:val="1"/>
      <w:isLgl/>
      <w:suff w:val="space"/>
      <w:lvlText w:val="表 %1.%8 "/>
      <w:lvlJc w:val="left"/>
      <w:pPr>
        <w:ind w:left="0" w:firstLine="0"/>
      </w:pPr>
      <w:rPr>
        <w:rFonts w:hint="eastAsia"/>
        <w:lang w:val="en-US"/>
      </w:rPr>
    </w:lvl>
    <w:lvl w:ilvl="8" w:tentative="0">
      <w:start w:val="1"/>
      <w:numFmt w:val="decimal"/>
      <w:lvlRestart w:val="5"/>
      <w:lvlText w:val="%9."/>
      <w:lvlJc w:val="left"/>
      <w:pPr>
        <w:ind w:left="420" w:hanging="420"/>
      </w:pPr>
      <w:rPr>
        <w:rFonts w:hint="eastAsia"/>
      </w:rPr>
    </w:lvl>
  </w:abstractNum>
  <w:abstractNum w:abstractNumId="12">
    <w:nsid w:val="3F2C4AAF"/>
    <w:multiLevelType w:val="multilevel"/>
    <w:tmpl w:val="3F2C4AAF"/>
    <w:lvl w:ilvl="0" w:tentative="0">
      <w:start w:val="1"/>
      <w:numFmt w:val="bullet"/>
      <w:pStyle w:val="268"/>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1470"/>
        </w:tabs>
        <w:ind w:left="1470" w:hanging="420"/>
      </w:pPr>
      <w:rPr>
        <w:rFonts w:hint="default" w:ascii="Wingdings" w:hAnsi="Wingdings"/>
      </w:rPr>
    </w:lvl>
    <w:lvl w:ilvl="2" w:tentative="0">
      <w:start w:val="1"/>
      <w:numFmt w:val="bullet"/>
      <w:lvlText w:val=""/>
      <w:lvlJc w:val="left"/>
      <w:pPr>
        <w:tabs>
          <w:tab w:val="left" w:pos="1890"/>
        </w:tabs>
        <w:ind w:left="1890" w:hanging="420"/>
      </w:pPr>
      <w:rPr>
        <w:rFonts w:hint="default" w:ascii="Wingdings" w:hAnsi="Wingdings"/>
      </w:rPr>
    </w:lvl>
    <w:lvl w:ilvl="3" w:tentative="0">
      <w:start w:val="1"/>
      <w:numFmt w:val="bullet"/>
      <w:lvlText w:val=""/>
      <w:lvlJc w:val="left"/>
      <w:pPr>
        <w:tabs>
          <w:tab w:val="left" w:pos="2310"/>
        </w:tabs>
        <w:ind w:left="2310" w:hanging="420"/>
      </w:pPr>
      <w:rPr>
        <w:rFonts w:hint="default" w:ascii="Wingdings" w:hAnsi="Wingdings"/>
      </w:rPr>
    </w:lvl>
    <w:lvl w:ilvl="4" w:tentative="0">
      <w:start w:val="1"/>
      <w:numFmt w:val="bullet"/>
      <w:lvlText w:val=""/>
      <w:lvlJc w:val="left"/>
      <w:pPr>
        <w:tabs>
          <w:tab w:val="left" w:pos="2730"/>
        </w:tabs>
        <w:ind w:left="2730" w:hanging="420"/>
      </w:pPr>
      <w:rPr>
        <w:rFonts w:hint="default" w:ascii="Wingdings" w:hAnsi="Wingdings"/>
      </w:rPr>
    </w:lvl>
    <w:lvl w:ilvl="5" w:tentative="0">
      <w:start w:val="1"/>
      <w:numFmt w:val="bullet"/>
      <w:lvlText w:val=""/>
      <w:lvlJc w:val="left"/>
      <w:pPr>
        <w:tabs>
          <w:tab w:val="left" w:pos="3150"/>
        </w:tabs>
        <w:ind w:left="3150" w:hanging="420"/>
      </w:pPr>
      <w:rPr>
        <w:rFonts w:hint="default" w:ascii="Wingdings" w:hAnsi="Wingdings"/>
      </w:rPr>
    </w:lvl>
    <w:lvl w:ilvl="6" w:tentative="0">
      <w:start w:val="1"/>
      <w:numFmt w:val="bullet"/>
      <w:lvlText w:val=""/>
      <w:lvlJc w:val="left"/>
      <w:pPr>
        <w:tabs>
          <w:tab w:val="left" w:pos="3570"/>
        </w:tabs>
        <w:ind w:left="3570" w:hanging="420"/>
      </w:pPr>
      <w:rPr>
        <w:rFonts w:hint="default" w:ascii="Wingdings" w:hAnsi="Wingdings"/>
      </w:rPr>
    </w:lvl>
    <w:lvl w:ilvl="7" w:tentative="0">
      <w:start w:val="1"/>
      <w:numFmt w:val="bullet"/>
      <w:lvlText w:val=""/>
      <w:lvlJc w:val="left"/>
      <w:pPr>
        <w:tabs>
          <w:tab w:val="left" w:pos="3990"/>
        </w:tabs>
        <w:ind w:left="3990" w:hanging="420"/>
      </w:pPr>
      <w:rPr>
        <w:rFonts w:hint="default" w:ascii="Wingdings" w:hAnsi="Wingdings"/>
      </w:rPr>
    </w:lvl>
    <w:lvl w:ilvl="8" w:tentative="0">
      <w:start w:val="1"/>
      <w:numFmt w:val="bullet"/>
      <w:lvlText w:val=""/>
      <w:lvlJc w:val="left"/>
      <w:pPr>
        <w:tabs>
          <w:tab w:val="left" w:pos="4410"/>
        </w:tabs>
        <w:ind w:left="4410" w:hanging="420"/>
      </w:pPr>
      <w:rPr>
        <w:rFonts w:hint="default" w:ascii="Wingdings" w:hAnsi="Wingdings"/>
      </w:rPr>
    </w:lvl>
  </w:abstractNum>
  <w:abstractNum w:abstractNumId="13">
    <w:nsid w:val="42FE570A"/>
    <w:multiLevelType w:val="multilevel"/>
    <w:tmpl w:val="42FE570A"/>
    <w:lvl w:ilvl="0" w:tentative="0">
      <w:start w:val="1"/>
      <w:numFmt w:val="decimal"/>
      <w:pStyle w:val="45"/>
      <w:suff w:val="nothing"/>
      <w:lvlText w:val="%1  "/>
      <w:lvlJc w:val="left"/>
      <w:pPr>
        <w:ind w:left="0" w:firstLine="0"/>
      </w:pPr>
      <w:rPr>
        <w:rFonts w:hint="default" w:ascii="Arial" w:hAnsi="Arial" w:eastAsia="黑体"/>
        <w:b w:val="0"/>
        <w:i w:val="0"/>
        <w:sz w:val="36"/>
        <w:szCs w:val="36"/>
      </w:rPr>
    </w:lvl>
    <w:lvl w:ilvl="1" w:tentative="0">
      <w:start w:val="1"/>
      <w:numFmt w:val="decimal"/>
      <w:suff w:val="nothing"/>
      <w:lvlText w:val="%1.%2  "/>
      <w:lvlJc w:val="left"/>
      <w:pPr>
        <w:ind w:left="0" w:firstLine="0"/>
      </w:pPr>
      <w:rPr>
        <w:rFonts w:hint="default" w:ascii="Arial" w:hAnsi="Arial"/>
        <w:b w:val="0"/>
        <w:i w:val="0"/>
        <w:sz w:val="30"/>
        <w:szCs w:val="30"/>
      </w:rPr>
    </w:lvl>
    <w:lvl w:ilvl="2" w:tentative="0">
      <w:start w:val="1"/>
      <w:numFmt w:val="decimal"/>
      <w:suff w:val="nothing"/>
      <w:lvlText w:val="%1.%2.%3  "/>
      <w:lvlJc w:val="left"/>
      <w:pPr>
        <w:ind w:left="0" w:firstLine="0"/>
      </w:pPr>
      <w:rPr>
        <w:rFonts w:hint="default" w:ascii="Arial" w:hAnsi="Arial"/>
        <w:b w:val="0"/>
        <w:i w:val="0"/>
        <w:sz w:val="24"/>
        <w:szCs w:val="24"/>
      </w:rPr>
    </w:lvl>
    <w:lvl w:ilvl="3" w:tentative="0">
      <w:start w:val="1"/>
      <w:numFmt w:val="decimal"/>
      <w:suff w:val="nothing"/>
      <w:lvlText w:val="%1.%2.%3.%4  "/>
      <w:lvlJc w:val="left"/>
      <w:pPr>
        <w:ind w:left="0" w:firstLine="0"/>
      </w:pPr>
      <w:rPr>
        <w:rFonts w:hint="default" w:ascii="Arial" w:hAnsi="Arial"/>
        <w:b w:val="0"/>
        <w:i w:val="0"/>
        <w:sz w:val="21"/>
        <w:szCs w:val="21"/>
      </w:rPr>
    </w:lvl>
    <w:lvl w:ilvl="4" w:tentative="0">
      <w:start w:val="1"/>
      <w:numFmt w:val="decimal"/>
      <w:lvlText w:val="%5."/>
      <w:lvlJc w:val="left"/>
      <w:pPr>
        <w:tabs>
          <w:tab w:val="left" w:pos="1134"/>
        </w:tabs>
        <w:ind w:left="1134" w:hanging="312"/>
      </w:pPr>
      <w:rPr>
        <w:rFonts w:hint="default" w:ascii="Arial" w:hAnsi="Arial"/>
        <w:b w:val="0"/>
        <w:i w:val="0"/>
        <w:sz w:val="21"/>
        <w:szCs w:val="21"/>
      </w:rPr>
    </w:lvl>
    <w:lvl w:ilvl="5" w:tentative="0">
      <w:start w:val="1"/>
      <w:numFmt w:val="decimal"/>
      <w:lvlText w:val="%6)"/>
      <w:lvlJc w:val="left"/>
      <w:pPr>
        <w:tabs>
          <w:tab w:val="left" w:pos="1134"/>
        </w:tabs>
        <w:ind w:left="1134" w:hanging="312"/>
      </w:pPr>
      <w:rPr>
        <w:rFonts w:hint="default" w:ascii="Arial" w:hAnsi="Arial"/>
        <w:b w:val="0"/>
        <w:i w:val="0"/>
        <w:sz w:val="21"/>
        <w:szCs w:val="21"/>
      </w:rPr>
    </w:lvl>
    <w:lvl w:ilvl="6" w:tentative="0">
      <w:start w:val="1"/>
      <w:numFmt w:val="lowerLetter"/>
      <w:lvlText w:val="%7."/>
      <w:lvlJc w:val="left"/>
      <w:pPr>
        <w:tabs>
          <w:tab w:val="left" w:pos="1134"/>
        </w:tabs>
        <w:ind w:left="1134" w:hanging="312"/>
      </w:pPr>
      <w:rPr>
        <w:rFonts w:hint="default" w:ascii="Arial" w:hAnsi="Arial"/>
        <w:b w:val="0"/>
        <w:i w:val="0"/>
        <w:sz w:val="21"/>
        <w:szCs w:val="21"/>
      </w:rPr>
    </w:lvl>
    <w:lvl w:ilvl="7" w:tentative="0">
      <w:start w:val="1"/>
      <w:numFmt w:val="decimal"/>
      <w:lvlRestart w:val="0"/>
      <w:suff w:val="space"/>
      <w:lvlText w:val="图%8"/>
      <w:lvlJc w:val="center"/>
      <w:pPr>
        <w:ind w:left="0" w:firstLine="0"/>
      </w:pPr>
      <w:rPr>
        <w:rFonts w:hint="default" w:ascii="Arial" w:hAnsi="Arial" w:eastAsia="黑体"/>
        <w:b w:val="0"/>
        <w:i w:val="0"/>
        <w:sz w:val="18"/>
        <w:szCs w:val="18"/>
      </w:rPr>
    </w:lvl>
    <w:lvl w:ilvl="8" w:tentative="0">
      <w:start w:val="1"/>
      <w:numFmt w:val="decimal"/>
      <w:lvlRestart w:val="0"/>
      <w:suff w:val="space"/>
      <w:lvlText w:val="表%9"/>
      <w:lvlJc w:val="center"/>
      <w:pPr>
        <w:ind w:left="0" w:firstLine="0"/>
      </w:pPr>
      <w:rPr>
        <w:rFonts w:hint="default" w:ascii="Arial" w:hAnsi="Arial" w:eastAsia="黑体"/>
        <w:b w:val="0"/>
        <w:i w:val="0"/>
        <w:sz w:val="18"/>
        <w:szCs w:val="18"/>
      </w:rPr>
    </w:lvl>
  </w:abstractNum>
  <w:abstractNum w:abstractNumId="14">
    <w:nsid w:val="4DDA66D1"/>
    <w:multiLevelType w:val="multilevel"/>
    <w:tmpl w:val="4DDA66D1"/>
    <w:lvl w:ilvl="0" w:tentative="0">
      <w:start w:val="1"/>
      <w:numFmt w:val="upperLetter"/>
      <w:pStyle w:val="319"/>
      <w:suff w:val="nothing"/>
      <w:lvlText w:val="%1 "/>
      <w:lvlJc w:val="left"/>
      <w:pPr>
        <w:ind w:left="0" w:firstLine="0"/>
      </w:pPr>
      <w:rPr>
        <w:rFonts w:hint="default" w:ascii="Book Antiqua" w:hAnsi="Book Antiqua" w:eastAsia="黑体" w:cs="Book Antiqua"/>
        <w:b/>
        <w:bCs/>
        <w:i w:val="0"/>
        <w:iCs w:val="0"/>
        <w:caps w:val="0"/>
        <w:strike w:val="0"/>
        <w:dstrike w:val="0"/>
        <w:vanish w:val="0"/>
        <w:color w:val="000000"/>
        <w:sz w:val="144"/>
        <w:szCs w:val="144"/>
        <w:vertAlign w:val="baseline"/>
        <w14:shadow w14:blurRad="0" w14:dist="0" w14:dir="0" w14:sx="0" w14:sy="0" w14:kx="0" w14:ky="0" w14:algn="none">
          <w14:srgbClr w14:val="000000"/>
        </w14:shadow>
      </w:rPr>
    </w:lvl>
    <w:lvl w:ilvl="1" w:tentative="0">
      <w:start w:val="1"/>
      <w:numFmt w:val="decimal"/>
      <w:pStyle w:val="320"/>
      <w:suff w:val="nothing"/>
      <w:lvlText w:val="%1.%2 "/>
      <w:lvlJc w:val="left"/>
      <w:pPr>
        <w:ind w:left="0" w:firstLine="0"/>
      </w:pPr>
      <w:rPr>
        <w:rFonts w:hint="default" w:ascii="Book Antiqua" w:hAnsi="Book Antiqua" w:eastAsia="黑体" w:cs="Book Antiqua"/>
        <w:b w:val="0"/>
        <w:bCs/>
        <w:i w:val="0"/>
        <w:iCs w:val="0"/>
        <w:caps w:val="0"/>
        <w:strike w:val="0"/>
        <w:dstrike w:val="0"/>
        <w:snapToGrid w:val="0"/>
        <w:vanish w:val="0"/>
        <w:color w:val="000000"/>
        <w:spacing w:val="0"/>
        <w:kern w:val="0"/>
        <w:sz w:val="36"/>
        <w:szCs w:val="36"/>
        <w:vertAlign w:val="baseline"/>
        <w14:shadow w14:blurRad="0" w14:dist="0" w14:dir="0" w14:sx="0" w14:sy="0" w14:kx="0" w14:ky="0" w14:algn="none">
          <w14:srgbClr w14:val="000000"/>
        </w14:shadow>
      </w:rPr>
    </w:lvl>
    <w:lvl w:ilvl="2" w:tentative="0">
      <w:start w:val="1"/>
      <w:numFmt w:val="decimal"/>
      <w:pStyle w:val="321"/>
      <w:suff w:val="nothing"/>
      <w:lvlText w:val="%1.%2.%3 "/>
      <w:lvlJc w:val="left"/>
      <w:pPr>
        <w:ind w:left="0" w:firstLine="0"/>
      </w:pPr>
      <w:rPr>
        <w:rFonts w:hint="default" w:ascii="Book Antiqua" w:hAnsi="Book Antiqua" w:eastAsia="黑体" w:cs="Book Antiqua"/>
        <w:b w:val="0"/>
        <w:bCs/>
        <w:i w:val="0"/>
        <w:iCs w:val="0"/>
        <w:caps w:val="0"/>
        <w:strike w:val="0"/>
        <w:dstrike w:val="0"/>
        <w:snapToGrid w:val="0"/>
        <w:vanish w:val="0"/>
        <w:color w:val="000000"/>
        <w:kern w:val="0"/>
        <w:sz w:val="32"/>
        <w:szCs w:val="32"/>
        <w:vertAlign w:val="baseline"/>
        <w14:shadow w14:blurRad="0" w14:dist="0" w14:dir="0" w14:sx="0" w14:sy="0" w14:kx="0" w14:ky="0" w14:algn="none">
          <w14:srgbClr w14:val="000000"/>
        </w14:shadow>
      </w:rPr>
    </w:lvl>
    <w:lvl w:ilvl="3" w:tentative="0">
      <w:start w:val="1"/>
      <w:numFmt w:val="decimal"/>
      <w:pStyle w:val="322"/>
      <w:suff w:val="nothing"/>
      <w:lvlText w:val="%1.%2.%3.%4 "/>
      <w:lvlJc w:val="left"/>
      <w:pPr>
        <w:ind w:left="0" w:firstLine="0"/>
      </w:pPr>
      <w:rPr>
        <w:rFonts w:hint="default" w:ascii="Book Antiqua" w:hAnsi="Book Antiqua" w:eastAsia="黑体" w:cs="Book Antiqua"/>
        <w:b w:val="0"/>
        <w:bCs/>
        <w:i w:val="0"/>
        <w:iCs w:val="0"/>
        <w:caps w:val="0"/>
        <w:strike w:val="0"/>
        <w:dstrike w:val="0"/>
        <w:snapToGrid w:val="0"/>
        <w:vanish w:val="0"/>
        <w:color w:val="000000"/>
        <w:kern w:val="0"/>
        <w:sz w:val="28"/>
        <w:szCs w:val="28"/>
        <w:vertAlign w:val="baseline"/>
        <w14:shadow w14:blurRad="0" w14:dist="0" w14:dir="0" w14:sx="0" w14:sy="0" w14:kx="0" w14:ky="0" w14:algn="none">
          <w14:srgbClr w14:val="000000"/>
        </w14:shadow>
      </w:rPr>
    </w:lvl>
    <w:lvl w:ilvl="4" w:tentative="0">
      <w:start w:val="1"/>
      <w:numFmt w:val="decimal"/>
      <w:pStyle w:val="323"/>
      <w:suff w:val="nothing"/>
      <w:lvlText w:val="%1.%2.%3.%4.%5 "/>
      <w:lvlJc w:val="left"/>
      <w:pPr>
        <w:ind w:left="0" w:firstLine="0"/>
      </w:pPr>
      <w:rPr>
        <w:rFonts w:hint="default" w:ascii="Book Antiqua" w:hAnsi="Book Antiqua" w:eastAsia="黑体" w:cs="Book Antiqua"/>
        <w:b w:val="0"/>
        <w:bCs/>
        <w:i w:val="0"/>
        <w:iCs w:val="0"/>
        <w:caps w:val="0"/>
        <w:strike w:val="0"/>
        <w:dstrike w:val="0"/>
        <w:snapToGrid w:val="0"/>
        <w:vanish w:val="0"/>
        <w:color w:val="000000"/>
        <w:kern w:val="0"/>
        <w:sz w:val="24"/>
        <w:szCs w:val="24"/>
        <w:vertAlign w:val="baseline"/>
        <w14:shadow w14:blurRad="0" w14:dist="0" w14:dir="0" w14:sx="0" w14:sy="0" w14:kx="0" w14:ky="0" w14:algn="none">
          <w14:srgbClr w14:val="000000"/>
        </w14:shadow>
      </w:rPr>
    </w:lvl>
    <w:lvl w:ilvl="5" w:tentative="0">
      <w:start w:val="1"/>
      <w:numFmt w:val="decimal"/>
      <w:lvlText w:val="步骤 %6"/>
      <w:lvlJc w:val="right"/>
      <w:pPr>
        <w:tabs>
          <w:tab w:val="left" w:pos="1701"/>
        </w:tabs>
        <w:ind w:left="1701" w:hanging="159"/>
      </w:pPr>
      <w:rPr>
        <w:rFonts w:hint="default" w:ascii="Book Antiqua" w:hAnsi="Book Antiqua" w:eastAsia="黑体" w:cs="Times New Roman"/>
        <w:b w:val="0"/>
        <w:bCs/>
        <w:i w:val="0"/>
        <w:iCs w:val="0"/>
        <w:sz w:val="21"/>
        <w:szCs w:val="21"/>
        <w:u w:val="none"/>
      </w:rPr>
    </w:lvl>
    <w:lvl w:ilvl="6" w:tentative="0">
      <w:start w:val="1"/>
      <w:numFmt w:val="decimal"/>
      <w:lvlText w:val="%7."/>
      <w:lvlJc w:val="left"/>
      <w:pPr>
        <w:tabs>
          <w:tab w:val="left" w:pos="2126"/>
        </w:tabs>
        <w:ind w:left="2126" w:hanging="425"/>
      </w:pPr>
      <w:rPr>
        <w:rFonts w:hint="default" w:ascii="Times New Roman" w:hAnsi="Times New Roman" w:cs="Times New Roman"/>
        <w:b w:val="0"/>
        <w:bCs/>
        <w:i w:val="0"/>
        <w:iCs w:val="0"/>
        <w:color w:val="auto"/>
        <w:sz w:val="21"/>
        <w:szCs w:val="21"/>
      </w:rPr>
    </w:lvl>
    <w:lvl w:ilvl="7" w:tentative="0">
      <w:start w:val="1"/>
      <w:numFmt w:val="decimal"/>
      <w:lvlRestart w:val="1"/>
      <w:suff w:val="space"/>
      <w:lvlText w:val="图%1-%8"/>
      <w:lvlJc w:val="left"/>
      <w:pPr>
        <w:ind w:left="1701" w:firstLine="0"/>
      </w:pPr>
      <w:rPr>
        <w:rFonts w:hint="default" w:ascii="Times New Roman" w:hAnsi="Times New Roman" w:eastAsia="黑体" w:cs="Book Antiqua"/>
        <w:b w:val="0"/>
        <w:bCs/>
        <w:i w:val="0"/>
        <w:iCs w:val="0"/>
        <w:sz w:val="21"/>
        <w:szCs w:val="21"/>
        <w:u w:val="none"/>
      </w:rPr>
    </w:lvl>
    <w:lvl w:ilvl="8" w:tentative="0">
      <w:start w:val="1"/>
      <w:numFmt w:val="decimal"/>
      <w:lvlRestart w:val="1"/>
      <w:pStyle w:val="315"/>
      <w:suff w:val="space"/>
      <w:lvlText w:val="表%1-%9"/>
      <w:lvlJc w:val="left"/>
      <w:pPr>
        <w:ind w:left="1701" w:firstLine="0"/>
      </w:pPr>
      <w:rPr>
        <w:rFonts w:hint="default" w:ascii="Times New Roman" w:hAnsi="Times New Roman" w:eastAsia="黑体" w:cs="Book Antiqua"/>
        <w:b w:val="0"/>
        <w:bCs/>
        <w:i w:val="0"/>
        <w:iCs w:val="0"/>
        <w:strike w:val="0"/>
        <w:dstrike w:val="0"/>
        <w:color w:val="auto"/>
        <w:sz w:val="21"/>
        <w:szCs w:val="21"/>
        <w:vertAlign w:val="baseline"/>
        <w14:shadow w14:blurRad="0" w14:dist="0" w14:dir="0" w14:sx="0" w14:sy="0" w14:kx="0" w14:ky="0" w14:algn="none">
          <w14:srgbClr w14:val="000000"/>
        </w14:shadow>
      </w:rPr>
    </w:lvl>
  </w:abstractNum>
  <w:abstractNum w:abstractNumId="15">
    <w:nsid w:val="4E37518A"/>
    <w:multiLevelType w:val="multilevel"/>
    <w:tmpl w:val="4E37518A"/>
    <w:lvl w:ilvl="0" w:tentative="0">
      <w:start w:val="1"/>
      <w:numFmt w:val="bullet"/>
      <w:lvlText w:val=""/>
      <w:lvlJc w:val="left"/>
      <w:pPr>
        <w:tabs>
          <w:tab w:val="left" w:pos="1134"/>
        </w:tabs>
        <w:ind w:left="1134" w:hanging="510"/>
      </w:pPr>
      <w:rPr>
        <w:rFonts w:hint="default" w:ascii="Symbol" w:hAnsi="Symbol"/>
        <w:b/>
        <w:bCs w:val="0"/>
        <w:i w:val="0"/>
        <w:iCs w:val="0"/>
        <w:color w:val="auto"/>
        <w:sz w:val="20"/>
        <w:szCs w:val="20"/>
      </w:rPr>
    </w:lvl>
    <w:lvl w:ilvl="1" w:tentative="0">
      <w:start w:val="1"/>
      <w:numFmt w:val="bullet"/>
      <w:lvlText w:val=""/>
      <w:lvlJc w:val="left"/>
      <w:pPr>
        <w:tabs>
          <w:tab w:val="left" w:pos="1418"/>
        </w:tabs>
        <w:ind w:left="1418" w:hanging="284"/>
      </w:pPr>
      <w:rPr>
        <w:rFonts w:hint="default" w:ascii="Wingdings" w:hAnsi="Wingdings"/>
        <w:b w:val="0"/>
        <w:bCs w:val="0"/>
        <w:i w:val="0"/>
        <w:iCs w:val="0"/>
        <w:color w:val="auto"/>
        <w:sz w:val="12"/>
        <w:szCs w:val="20"/>
      </w:rPr>
    </w:lvl>
    <w:lvl w:ilvl="2" w:tentative="0">
      <w:start w:val="1"/>
      <w:numFmt w:val="bullet"/>
      <w:lvlText w:val=""/>
      <w:lvlJc w:val="left"/>
      <w:pPr>
        <w:tabs>
          <w:tab w:val="left" w:pos="1701"/>
        </w:tabs>
        <w:ind w:left="1701" w:hanging="283"/>
      </w:pPr>
      <w:rPr>
        <w:rFonts w:hint="default" w:ascii="Symbol" w:hAnsi="Symbol"/>
        <w:b w:val="0"/>
        <w:bCs w:val="0"/>
        <w:i w:val="0"/>
        <w:iCs w:val="0"/>
        <w:color w:val="auto"/>
        <w:sz w:val="20"/>
        <w:szCs w:val="20"/>
      </w:rPr>
    </w:lvl>
    <w:lvl w:ilvl="3" w:tentative="0">
      <w:start w:val="1"/>
      <w:numFmt w:val="bullet"/>
      <w:lvlRestart w:val="0"/>
      <w:lvlText w:val=""/>
      <w:lvlJc w:val="left"/>
      <w:pPr>
        <w:tabs>
          <w:tab w:val="left" w:pos="397"/>
        </w:tabs>
        <w:ind w:left="397" w:hanging="397"/>
      </w:pPr>
      <w:rPr>
        <w:rFonts w:hint="default" w:ascii="Symbol" w:hAnsi="Symbol"/>
        <w:b w:val="0"/>
        <w:bCs w:val="0"/>
        <w:i w:val="0"/>
        <w:iCs w:val="0"/>
        <w:color w:val="auto"/>
        <w:sz w:val="20"/>
        <w:szCs w:val="20"/>
      </w:rPr>
    </w:lvl>
    <w:lvl w:ilvl="4" w:tentative="0">
      <w:start w:val="1"/>
      <w:numFmt w:val="bullet"/>
      <w:lvlText w:val=""/>
      <w:lvlJc w:val="left"/>
      <w:pPr>
        <w:tabs>
          <w:tab w:val="left" w:pos="680"/>
        </w:tabs>
        <w:ind w:left="680" w:hanging="283"/>
      </w:pPr>
      <w:rPr>
        <w:rFonts w:hint="default" w:ascii="Wingdings" w:hAnsi="Wingdings"/>
        <w:b w:val="0"/>
        <w:bCs w:val="0"/>
        <w:i w:val="0"/>
        <w:iCs w:val="0"/>
        <w:color w:val="auto"/>
        <w:sz w:val="10"/>
        <w:szCs w:val="20"/>
      </w:rPr>
    </w:lvl>
    <w:lvl w:ilvl="5" w:tentative="0">
      <w:start w:val="1"/>
      <w:numFmt w:val="bullet"/>
      <w:lvlRestart w:val="0"/>
      <w:lvlText w:val=""/>
      <w:lvlJc w:val="left"/>
      <w:pPr>
        <w:tabs>
          <w:tab w:val="left" w:pos="397"/>
        </w:tabs>
        <w:ind w:left="397" w:hanging="397"/>
      </w:pPr>
      <w:rPr>
        <w:rFonts w:hint="default" w:ascii="Symbol" w:hAnsi="Symbol"/>
        <w:color w:val="auto"/>
        <w:sz w:val="20"/>
        <w:szCs w:val="20"/>
      </w:rPr>
    </w:lvl>
    <w:lvl w:ilvl="6" w:tentative="0">
      <w:start w:val="1"/>
      <w:numFmt w:val="none"/>
      <w:lvlText w:val="%7"/>
      <w:lvlJc w:val="left"/>
      <w:pPr>
        <w:tabs>
          <w:tab w:val="left" w:pos="323"/>
        </w:tabs>
        <w:ind w:left="323" w:firstLine="920"/>
      </w:pPr>
      <w:rPr>
        <w:rFonts w:hint="default"/>
        <w:color w:val="auto"/>
      </w:rPr>
    </w:lvl>
    <w:lvl w:ilvl="7" w:tentative="0">
      <w:start w:val="1"/>
      <w:numFmt w:val="none"/>
      <w:lvlText w:val="%8"/>
      <w:lvlJc w:val="left"/>
      <w:pPr>
        <w:tabs>
          <w:tab w:val="left" w:pos="323"/>
        </w:tabs>
        <w:ind w:left="323" w:firstLine="920"/>
      </w:pPr>
      <w:rPr>
        <w:rFonts w:hint="default"/>
      </w:rPr>
    </w:lvl>
    <w:lvl w:ilvl="8" w:tentative="0">
      <w:start w:val="1"/>
      <w:numFmt w:val="none"/>
      <w:lvlText w:val="%9"/>
      <w:lvlJc w:val="left"/>
      <w:pPr>
        <w:tabs>
          <w:tab w:val="left" w:pos="323"/>
        </w:tabs>
        <w:ind w:left="323" w:firstLine="920"/>
      </w:pPr>
      <w:rPr>
        <w:rFonts w:hint="default"/>
      </w:rPr>
    </w:lvl>
  </w:abstractNum>
  <w:abstractNum w:abstractNumId="16">
    <w:nsid w:val="561E0D03"/>
    <w:multiLevelType w:val="multilevel"/>
    <w:tmpl w:val="561E0D03"/>
    <w:lvl w:ilvl="0" w:tentative="0">
      <w:start w:val="1"/>
      <w:numFmt w:val="bullet"/>
      <w:pStyle w:val="176"/>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7">
    <w:nsid w:val="57E06AFF"/>
    <w:multiLevelType w:val="multilevel"/>
    <w:tmpl w:val="57E06AFF"/>
    <w:lvl w:ilvl="0" w:tentative="0">
      <w:start w:val="1"/>
      <w:numFmt w:val="decimal"/>
      <w:pStyle w:val="3"/>
      <w:suff w:val="space"/>
      <w:lvlText w:val="%1."/>
      <w:lvlJc w:val="left"/>
      <w:pPr>
        <w:ind w:left="420" w:hanging="420"/>
      </w:pPr>
      <w:rPr>
        <w:rFonts w:hint="default" w:ascii="Times New Roman" w:hAnsi="Times New Roman" w:eastAsia="宋体"/>
        <w:b/>
        <w:i w:val="0"/>
        <w:sz w:val="44"/>
      </w:rPr>
    </w:lvl>
    <w:lvl w:ilvl="1" w:tentative="0">
      <w:start w:val="1"/>
      <w:numFmt w:val="decimal"/>
      <w:pStyle w:val="4"/>
      <w:suff w:val="space"/>
      <w:lvlText w:val="%1.%2."/>
      <w:lvlJc w:val="left"/>
      <w:pPr>
        <w:ind w:left="567" w:hanging="567"/>
      </w:pPr>
      <w:rPr>
        <w:rFonts w:hint="default" w:ascii="Times New Roman" w:hAnsi="Times New Roman" w:eastAsia="宋体"/>
        <w:b/>
        <w:i w:val="0"/>
        <w:sz w:val="32"/>
      </w:rPr>
    </w:lvl>
    <w:lvl w:ilvl="2" w:tentative="0">
      <w:start w:val="1"/>
      <w:numFmt w:val="decimal"/>
      <w:pStyle w:val="5"/>
      <w:suff w:val="space"/>
      <w:lvlText w:val="%1.%2.%3."/>
      <w:lvlJc w:val="left"/>
      <w:pPr>
        <w:ind w:left="709" w:hanging="709"/>
      </w:pPr>
      <w:rPr>
        <w:rFonts w:hint="default" w:ascii="Times New Roman" w:hAnsi="Times New Roman" w:eastAsia="宋体"/>
        <w:b/>
        <w:bCs w:val="0"/>
        <w:i w:val="0"/>
        <w:iCs w:val="0"/>
        <w:caps w:val="0"/>
        <w:smallCaps w:val="0"/>
        <w:strike w:val="0"/>
        <w:dstrike w:val="0"/>
        <w:outline w:val="0"/>
        <w:shadow w:val="0"/>
        <w:emboss w:val="0"/>
        <w:imprint w:val="0"/>
        <w:vanish w:val="0"/>
        <w:spacing w:val="0"/>
        <w:kern w:val="0"/>
        <w:position w:val="0"/>
        <w:sz w:val="3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14:cntxtalts w14:val="0"/>
      </w:rPr>
    </w:lvl>
    <w:lvl w:ilvl="3" w:tentative="0">
      <w:start w:val="1"/>
      <w:numFmt w:val="decimal"/>
      <w:pStyle w:val="6"/>
      <w:lvlText w:val="%1.%2.%3.%4."/>
      <w:lvlJc w:val="left"/>
      <w:pPr>
        <w:tabs>
          <w:tab w:val="left" w:pos="851"/>
        </w:tabs>
        <w:ind w:left="851" w:hanging="851"/>
      </w:pPr>
      <w:rPr>
        <w:rFonts w:hint="default" w:ascii="Times New Roman" w:hAnsi="Times New Roman" w:eastAsia="宋体"/>
        <w:b/>
        <w:i w:val="0"/>
        <w:sz w:val="28"/>
      </w:rPr>
    </w:lvl>
    <w:lvl w:ilvl="4" w:tentative="0">
      <w:start w:val="1"/>
      <w:numFmt w:val="decimal"/>
      <w:pStyle w:val="174"/>
      <w:lvlText w:val="步骤%5"/>
      <w:lvlJc w:val="left"/>
      <w:pPr>
        <w:ind w:left="992" w:hanging="992"/>
      </w:pPr>
      <w:rPr>
        <w:rFonts w:hint="default" w:ascii="Times New Roman" w:hAnsi="Times New Roman" w:eastAsia="宋体"/>
        <w:sz w:val="21"/>
      </w:rPr>
    </w:lvl>
    <w:lvl w:ilvl="5" w:tentative="0">
      <w:start w:val="1"/>
      <w:numFmt w:val="decimal"/>
      <w:lvlRestart w:val="1"/>
      <w:pStyle w:val="188"/>
      <w:lvlText w:val="图%1-%6"/>
      <w:lvlJc w:val="left"/>
      <w:pPr>
        <w:tabs>
          <w:tab w:val="left" w:pos="1134"/>
        </w:tabs>
        <w:ind w:left="1134" w:hanging="714"/>
      </w:pPr>
      <w:rPr>
        <w:rFonts w:hint="eastAsia"/>
      </w:rPr>
    </w:lvl>
    <w:lvl w:ilvl="6" w:tentative="0">
      <w:start w:val="1"/>
      <w:numFmt w:val="decimal"/>
      <w:pStyle w:val="183"/>
      <w:lvlText w:val="表%1-%7"/>
      <w:lvlJc w:val="left"/>
      <w:pPr>
        <w:tabs>
          <w:tab w:val="left" w:pos="709"/>
        </w:tabs>
        <w:ind w:left="709" w:hanging="709"/>
      </w:pPr>
      <w:rPr>
        <w:rFonts w:hint="default" w:ascii="Arial" w:hAnsi="Arial" w:eastAsia="宋体"/>
        <w:b w:val="0"/>
        <w:i w:val="0"/>
        <w:sz w:val="21"/>
      </w:rPr>
    </w:lvl>
    <w:lvl w:ilvl="7" w:tentative="0">
      <w:start w:val="1"/>
      <w:numFmt w:val="decimal"/>
      <w:lvlRestart w:val="5"/>
      <w:pStyle w:val="202"/>
      <w:lvlText w:val="(%8)"/>
      <w:lvlJc w:val="left"/>
      <w:pPr>
        <w:tabs>
          <w:tab w:val="left" w:pos="839"/>
        </w:tabs>
        <w:ind w:left="839" w:hanging="419"/>
      </w:pPr>
      <w:rPr>
        <w:rFonts w:hint="eastAsia"/>
      </w:rPr>
    </w:lvl>
    <w:lvl w:ilvl="8" w:tentative="0">
      <w:start w:val="1"/>
      <w:numFmt w:val="decimal"/>
      <w:pStyle w:val="11"/>
      <w:lvlText w:val="%1.%2.%3.%4.%5.%6.%7.%8.%9."/>
      <w:lvlJc w:val="left"/>
      <w:pPr>
        <w:ind w:left="1559" w:hanging="1559"/>
      </w:pPr>
      <w:rPr>
        <w:rFonts w:hint="eastAsia"/>
      </w:rPr>
    </w:lvl>
  </w:abstractNum>
  <w:abstractNum w:abstractNumId="18">
    <w:nsid w:val="59FA2560"/>
    <w:multiLevelType w:val="multilevel"/>
    <w:tmpl w:val="59FA2560"/>
    <w:lvl w:ilvl="0" w:tentative="0">
      <w:start w:val="1"/>
      <w:numFmt w:val="decimal"/>
      <w:suff w:val="nothing"/>
      <w:lvlText w:val="%1 "/>
      <w:lvlJc w:val="left"/>
      <w:pPr>
        <w:ind w:left="0" w:firstLine="0"/>
      </w:pPr>
      <w:rPr>
        <w:rFonts w:hint="default" w:ascii="Times New Roman" w:hAnsi="Times New Roman" w:cs="Arial"/>
        <w:b/>
        <w:bCs/>
        <w:i w:val="0"/>
        <w:iCs w:val="0"/>
        <w:caps w:val="0"/>
        <w:strike w:val="0"/>
        <w:dstrike w:val="0"/>
        <w:vanish w:val="0"/>
        <w:color w:val="auto"/>
        <w:sz w:val="80"/>
        <w:szCs w:val="48"/>
        <w:vertAlign w:val="baseline"/>
        <w14:shadow w14:blurRad="0" w14:dist="0" w14:dir="0" w14:sx="0" w14:sy="0" w14:kx="0" w14:ky="0" w14:algn="none">
          <w14:srgbClr w14:val="000000"/>
        </w14:shadow>
      </w:rPr>
    </w:lvl>
    <w:lvl w:ilvl="1" w:tentative="0">
      <w:start w:val="1"/>
      <w:numFmt w:val="decimal"/>
      <w:suff w:val="nothing"/>
      <w:lvlText w:val="%1.%2  "/>
      <w:lvlJc w:val="left"/>
      <w:pPr>
        <w:ind w:left="0" w:firstLine="0"/>
      </w:pPr>
      <w:rPr>
        <w:rFonts w:hint="default" w:ascii="Arial" w:hAnsi="Arial" w:eastAsia="黑体" w:cs="Arial"/>
        <w:b w:val="0"/>
        <w:bCs/>
        <w:i w:val="0"/>
        <w:iCs w:val="0"/>
        <w:caps w:val="0"/>
        <w:strike w:val="0"/>
        <w:dstrike w:val="0"/>
        <w:vanish w:val="0"/>
        <w:color w:val="auto"/>
        <w:sz w:val="30"/>
        <w:szCs w:val="30"/>
        <w:vertAlign w:val="baseline"/>
        <w14:shadow w14:blurRad="0" w14:dist="0" w14:dir="0" w14:sx="0" w14:sy="0" w14:kx="0" w14:ky="0" w14:algn="none">
          <w14:srgbClr w14:val="000000"/>
        </w14:shadow>
      </w:rPr>
    </w:lvl>
    <w:lvl w:ilvl="2" w:tentative="0">
      <w:start w:val="1"/>
      <w:numFmt w:val="decimal"/>
      <w:suff w:val="nothing"/>
      <w:lvlText w:val="%1.%2.%3  "/>
      <w:lvlJc w:val="left"/>
      <w:pPr>
        <w:ind w:left="0" w:firstLine="0"/>
      </w:pPr>
      <w:rPr>
        <w:rFonts w:hint="default" w:ascii="Arial" w:hAnsi="Arial" w:eastAsia="黑体" w:cs="Arial"/>
        <w:b w:val="0"/>
        <w:bCs/>
        <w:i w:val="0"/>
        <w:iCs w:val="0"/>
        <w:caps w:val="0"/>
        <w:strike w:val="0"/>
        <w:dstrike w:val="0"/>
        <w:vanish w:val="0"/>
        <w:color w:val="auto"/>
        <w:sz w:val="24"/>
        <w:szCs w:val="24"/>
        <w:vertAlign w:val="baseline"/>
        <w14:shadow w14:blurRad="0" w14:dist="0" w14:dir="0" w14:sx="0" w14:sy="0" w14:kx="0" w14:ky="0" w14:algn="none">
          <w14:srgbClr w14:val="000000"/>
        </w14:shadow>
      </w:rPr>
    </w:lvl>
    <w:lvl w:ilvl="3" w:tentative="0">
      <w:start w:val="1"/>
      <w:numFmt w:val="decimal"/>
      <w:suff w:val="nothing"/>
      <w:lvlText w:val="%4. "/>
      <w:lvlJc w:val="left"/>
      <w:pPr>
        <w:ind w:left="0" w:firstLine="624"/>
      </w:pPr>
      <w:rPr>
        <w:rFonts w:hint="default" w:ascii="Arial" w:hAnsi="Arial" w:eastAsia="黑体" w:cs="Arial"/>
        <w:b w:val="0"/>
        <w:bCs/>
        <w:i w:val="0"/>
        <w:iCs w:val="0"/>
        <w:caps w:val="0"/>
        <w:strike w:val="0"/>
        <w:dstrike w:val="0"/>
        <w:vanish w:val="0"/>
        <w:color w:val="auto"/>
        <w:sz w:val="21"/>
        <w:szCs w:val="21"/>
        <w:vertAlign w:val="baseline"/>
        <w14:shadow w14:blurRad="0" w14:dist="0" w14:dir="0" w14:sx="0" w14:sy="0" w14:kx="0" w14:ky="0" w14:algn="none">
          <w14:srgbClr w14:val="000000"/>
        </w14:shadow>
      </w:rPr>
    </w:lvl>
    <w:lvl w:ilvl="4" w:tentative="0">
      <w:start w:val="1"/>
      <w:numFmt w:val="decimal"/>
      <w:lvlText w:val="(%5)"/>
      <w:lvlJc w:val="left"/>
      <w:pPr>
        <w:tabs>
          <w:tab w:val="left" w:pos="1134"/>
        </w:tabs>
        <w:ind w:left="1134" w:hanging="510"/>
      </w:pPr>
      <w:rPr>
        <w:rFonts w:hint="default" w:ascii="Arial" w:hAnsi="Arial" w:eastAsia="宋体"/>
        <w:b w:val="0"/>
        <w:bCs w:val="0"/>
        <w:i w:val="0"/>
        <w:iCs w:val="0"/>
        <w:color w:val="auto"/>
        <w:sz w:val="21"/>
        <w:szCs w:val="20"/>
        <w:u w:val="none"/>
      </w:rPr>
    </w:lvl>
    <w:lvl w:ilvl="5" w:tentative="0">
      <w:start w:val="1"/>
      <w:numFmt w:val="decimal"/>
      <w:lvlRestart w:val="1"/>
      <w:suff w:val="space"/>
      <w:lvlText w:val="图%1-%6"/>
      <w:lvlJc w:val="left"/>
      <w:pPr>
        <w:ind w:left="0" w:firstLine="624"/>
      </w:pPr>
      <w:rPr>
        <w:rFonts w:hint="eastAsia"/>
        <w:b w:val="0"/>
        <w:i w:val="0"/>
        <w:iCs w:val="0"/>
        <w:caps w:val="0"/>
        <w:smallCaps w:val="0"/>
        <w:strike w:val="0"/>
        <w:dstrike w:val="0"/>
        <w:vanish w:val="0"/>
        <w:color w:val="000000"/>
        <w:spacing w:val="0"/>
        <w:kern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14:cntxtalts w14:val="0"/>
      </w:rPr>
    </w:lvl>
    <w:lvl w:ilvl="6" w:tentative="0">
      <w:start w:val="1"/>
      <w:numFmt w:val="decimal"/>
      <w:lvlRestart w:val="1"/>
      <w:suff w:val="space"/>
      <w:lvlText w:val="表%1-%7"/>
      <w:lvlJc w:val="left"/>
      <w:pPr>
        <w:ind w:left="1134" w:hanging="510"/>
      </w:pPr>
      <w:rPr>
        <w:rFonts w:hint="default" w:ascii="Arial" w:hAnsi="Arial" w:eastAsia="黑体"/>
        <w:b w:val="0"/>
        <w:bCs/>
        <w:i w:val="0"/>
        <w:iCs w:val="0"/>
        <w:caps w:val="0"/>
        <w:strike w:val="0"/>
        <w:dstrike w:val="0"/>
        <w:vanish w:val="0"/>
        <w:color w:val="auto"/>
        <w:spacing w:val="0"/>
        <w:w w:val="100"/>
        <w:kern w:val="0"/>
        <w:position w:val="0"/>
        <w:sz w:val="21"/>
        <w:szCs w:val="18"/>
        <w:vertAlign w:val="baseline"/>
        <w14:shadow w14:blurRad="0" w14:dist="0" w14:dir="0" w14:sx="0" w14:sy="0" w14:kx="0" w14:ky="0" w14:algn="none">
          <w14:srgbClr w14:val="000000"/>
        </w14:shadow>
      </w:rPr>
    </w:lvl>
    <w:lvl w:ilvl="7" w:tentative="0">
      <w:start w:val="1"/>
      <w:numFmt w:val="lowerLetter"/>
      <w:lvlRestart w:val="5"/>
      <w:lvlText w:val="%8."/>
      <w:lvlJc w:val="left"/>
      <w:pPr>
        <w:tabs>
          <w:tab w:val="left" w:pos="1418"/>
        </w:tabs>
        <w:ind w:left="1418" w:hanging="284"/>
      </w:pPr>
      <w:rPr>
        <w:rFonts w:hint="default" w:ascii="Arial" w:hAnsi="Arial" w:eastAsia="宋体"/>
        <w:color w:val="auto"/>
        <w:sz w:val="21"/>
        <w:szCs w:val="18"/>
      </w:rPr>
    </w:lvl>
    <w:lvl w:ilvl="8" w:tentative="0">
      <w:start w:val="1"/>
      <w:numFmt w:val="decimal"/>
      <w:lvlRestart w:val="4"/>
      <w:lvlText w:val="步骤%9"/>
      <w:lvlJc w:val="left"/>
      <w:pPr>
        <w:tabs>
          <w:tab w:val="left" w:pos="737"/>
        </w:tabs>
        <w:ind w:left="737" w:hanging="737"/>
      </w:pPr>
      <w:rPr>
        <w:rFonts w:hint="default" w:ascii="Arial" w:hAnsi="Arial" w:eastAsia="宋体" w:cs="Arial"/>
        <w:b/>
        <w:bCs w:val="0"/>
        <w:i w:val="0"/>
        <w:iCs w:val="0"/>
        <w:caps w:val="0"/>
        <w:strike w:val="0"/>
        <w:dstrike w:val="0"/>
        <w:vanish w:val="0"/>
        <w:color w:val="auto"/>
        <w:sz w:val="21"/>
        <w:szCs w:val="18"/>
        <w:vertAlign w:val="baseline"/>
        <w14:shadow w14:blurRad="0" w14:dist="0" w14:dir="0" w14:sx="0" w14:sy="0" w14:kx="0" w14:ky="0" w14:algn="none">
          <w14:srgbClr w14:val="000000"/>
        </w14:shadow>
      </w:rPr>
    </w:lvl>
  </w:abstractNum>
  <w:abstractNum w:abstractNumId="19">
    <w:nsid w:val="5DC47C68"/>
    <w:multiLevelType w:val="multilevel"/>
    <w:tmpl w:val="5DC47C68"/>
    <w:lvl w:ilvl="0" w:tentative="0">
      <w:start w:val="1"/>
      <w:numFmt w:val="decimal"/>
      <w:pStyle w:val="204"/>
      <w:lvlText w:val="%1."/>
      <w:lvlJc w:val="left"/>
      <w:pPr>
        <w:tabs>
          <w:tab w:val="left" w:pos="0"/>
        </w:tabs>
        <w:ind w:left="397" w:hanging="397"/>
      </w:pPr>
      <w:rPr>
        <w:rFonts w:hint="default" w:ascii="Arial" w:hAnsi="Arial"/>
        <w:b/>
        <w:i w:val="0"/>
        <w:color w:val="auto"/>
        <w:sz w:val="18"/>
        <w:szCs w:val="18"/>
        <w:u w:val="none"/>
      </w:rPr>
    </w:lvl>
    <w:lvl w:ilvl="1" w:tentative="0">
      <w:start w:val="1"/>
      <w:numFmt w:val="lowerLetter"/>
      <w:lvlText w:val="%2."/>
      <w:lvlJc w:val="left"/>
      <w:pPr>
        <w:tabs>
          <w:tab w:val="left" w:pos="397"/>
        </w:tabs>
        <w:ind w:left="680" w:hanging="283"/>
      </w:pPr>
      <w:rPr>
        <w:rFonts w:hint="default" w:ascii="Arial" w:hAnsi="Arial"/>
        <w:b w:val="0"/>
        <w:bCs w:val="0"/>
        <w:i w:val="0"/>
        <w:iCs w:val="0"/>
        <w:caps w:val="0"/>
        <w:smallCaps w:val="0"/>
        <w:strike w:val="0"/>
        <w:dstrike w:val="0"/>
        <w:vanish w:val="0"/>
        <w:color w:val="000000"/>
        <w:spacing w:val="0"/>
        <w:kern w:val="0"/>
        <w:position w:val="0"/>
        <w:sz w:val="18"/>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14:cntxtalts w14:val="0"/>
      </w:rPr>
    </w:lvl>
    <w:lvl w:ilvl="2" w:tentative="0">
      <w:start w:val="1"/>
      <w:numFmt w:val="lowerLetter"/>
      <w:lvlRestart w:val="1"/>
      <w:lvlText w:val="%3"/>
      <w:lvlJc w:val="left"/>
      <w:pPr>
        <w:tabs>
          <w:tab w:val="left" w:pos="0"/>
        </w:tabs>
        <w:ind w:left="397" w:hanging="397"/>
      </w:pPr>
      <w:rPr>
        <w:rFonts w:hint="default" w:ascii="Arial" w:hAnsi="Arial"/>
        <w:b/>
        <w:i w:val="0"/>
        <w:color w:val="auto"/>
        <w:sz w:val="18"/>
        <w:szCs w:val="18"/>
      </w:rPr>
    </w:lvl>
    <w:lvl w:ilvl="3" w:tentative="0">
      <w:start w:val="1"/>
      <w:numFmt w:val="none"/>
      <w:lvlRestart w:val="0"/>
      <w:suff w:val="nothing"/>
      <w:lvlText w:val=""/>
      <w:lvlJc w:val="left"/>
      <w:pPr>
        <w:ind w:left="2520" w:firstLine="0"/>
      </w:pPr>
      <w:rPr>
        <w:rFonts w:hint="default"/>
        <w:color w:val="669900"/>
      </w:rPr>
    </w:lvl>
    <w:lvl w:ilvl="4" w:tentative="0">
      <w:start w:val="1"/>
      <w:numFmt w:val="none"/>
      <w:lvlRestart w:val="0"/>
      <w:suff w:val="nothing"/>
      <w:lvlText w:val=""/>
      <w:lvlJc w:val="left"/>
      <w:pPr>
        <w:ind w:left="2520" w:firstLine="0"/>
      </w:pPr>
      <w:rPr>
        <w:rFonts w:hint="default"/>
        <w:color w:val="669900"/>
      </w:rPr>
    </w:lvl>
    <w:lvl w:ilvl="5" w:tentative="0">
      <w:start w:val="1"/>
      <w:numFmt w:val="none"/>
      <w:lvlRestart w:val="0"/>
      <w:suff w:val="nothing"/>
      <w:lvlText w:val=""/>
      <w:lvlJc w:val="left"/>
      <w:pPr>
        <w:ind w:left="2520" w:firstLine="0"/>
      </w:pPr>
      <w:rPr>
        <w:rFonts w:hint="default"/>
        <w:color w:val="669900"/>
      </w:rPr>
    </w:lvl>
    <w:lvl w:ilvl="6" w:tentative="0">
      <w:start w:val="1"/>
      <w:numFmt w:val="none"/>
      <w:lvlRestart w:val="0"/>
      <w:suff w:val="nothing"/>
      <w:lvlText w:val=""/>
      <w:lvlJc w:val="left"/>
      <w:pPr>
        <w:ind w:left="2520" w:firstLine="0"/>
      </w:pPr>
      <w:rPr>
        <w:rFonts w:hint="default"/>
        <w:color w:val="669900"/>
      </w:rPr>
    </w:lvl>
    <w:lvl w:ilvl="7" w:tentative="0">
      <w:start w:val="1"/>
      <w:numFmt w:val="none"/>
      <w:lvlRestart w:val="0"/>
      <w:suff w:val="nothing"/>
      <w:lvlText w:val=""/>
      <w:lvlJc w:val="left"/>
      <w:pPr>
        <w:ind w:left="2520" w:firstLine="0"/>
      </w:pPr>
      <w:rPr>
        <w:rFonts w:hint="default"/>
        <w:color w:val="669900"/>
      </w:rPr>
    </w:lvl>
    <w:lvl w:ilvl="8" w:tentative="0">
      <w:start w:val="1"/>
      <w:numFmt w:val="none"/>
      <w:lvlRestart w:val="0"/>
      <w:suff w:val="nothing"/>
      <w:lvlText w:val=""/>
      <w:lvlJc w:val="left"/>
      <w:pPr>
        <w:ind w:left="2520" w:firstLine="0"/>
      </w:pPr>
      <w:rPr>
        <w:rFonts w:hint="default"/>
        <w:color w:val="669900"/>
      </w:rPr>
    </w:lvl>
  </w:abstractNum>
  <w:abstractNum w:abstractNumId="20">
    <w:nsid w:val="5F4358E5"/>
    <w:multiLevelType w:val="multilevel"/>
    <w:tmpl w:val="5F4358E5"/>
    <w:lvl w:ilvl="0" w:tentative="0">
      <w:start w:val="1"/>
      <w:numFmt w:val="bullet"/>
      <w:lvlText w:val=""/>
      <w:lvlJc w:val="left"/>
      <w:pPr>
        <w:ind w:left="420" w:hanging="420"/>
      </w:pPr>
      <w:rPr>
        <w:rFonts w:hint="default" w:ascii="Wingdings" w:hAnsi="Wingdings"/>
        <w:b w:val="0"/>
        <w:i w:val="0"/>
        <w:sz w:val="28"/>
        <w:szCs w:val="28"/>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1">
    <w:nsid w:val="611A638A"/>
    <w:multiLevelType w:val="multilevel"/>
    <w:tmpl w:val="611A638A"/>
    <w:lvl w:ilvl="0" w:tentative="0">
      <w:start w:val="1"/>
      <w:numFmt w:val="decimal"/>
      <w:suff w:val="nothing"/>
      <w:lvlText w:val="%1 "/>
      <w:lvlJc w:val="left"/>
      <w:pPr>
        <w:ind w:left="0" w:firstLine="0"/>
      </w:pPr>
      <w:rPr>
        <w:rFonts w:hint="default" w:ascii="Times New Roman" w:hAnsi="Times New Roman" w:cs="Arial"/>
        <w:b/>
        <w:bCs/>
        <w:i w:val="0"/>
        <w:iCs w:val="0"/>
        <w:caps w:val="0"/>
        <w:strike w:val="0"/>
        <w:dstrike w:val="0"/>
        <w:vanish w:val="0"/>
        <w:color w:val="auto"/>
        <w:sz w:val="80"/>
        <w:szCs w:val="48"/>
        <w:vertAlign w:val="baseline"/>
        <w14:shadow w14:blurRad="0" w14:dist="0" w14:dir="0" w14:sx="0" w14:sy="0" w14:kx="0" w14:ky="0" w14:algn="none">
          <w14:srgbClr w14:val="000000"/>
        </w14:shadow>
      </w:rPr>
    </w:lvl>
    <w:lvl w:ilvl="1" w:tentative="0">
      <w:start w:val="1"/>
      <w:numFmt w:val="decimal"/>
      <w:suff w:val="nothing"/>
      <w:lvlText w:val="%1.%2  "/>
      <w:lvlJc w:val="left"/>
      <w:pPr>
        <w:ind w:left="0" w:firstLine="0"/>
      </w:pPr>
      <w:rPr>
        <w:rFonts w:hint="default" w:ascii="Arial" w:hAnsi="Arial" w:eastAsia="黑体" w:cs="Arial"/>
        <w:b w:val="0"/>
        <w:bCs/>
        <w:i w:val="0"/>
        <w:iCs w:val="0"/>
        <w:caps w:val="0"/>
        <w:strike w:val="0"/>
        <w:dstrike w:val="0"/>
        <w:vanish w:val="0"/>
        <w:color w:val="auto"/>
        <w:sz w:val="30"/>
        <w:szCs w:val="30"/>
        <w:vertAlign w:val="baseline"/>
        <w14:shadow w14:blurRad="0" w14:dist="0" w14:dir="0" w14:sx="0" w14:sy="0" w14:kx="0" w14:ky="0" w14:algn="none">
          <w14:srgbClr w14:val="000000"/>
        </w14:shadow>
      </w:rPr>
    </w:lvl>
    <w:lvl w:ilvl="2" w:tentative="0">
      <w:start w:val="1"/>
      <w:numFmt w:val="decimal"/>
      <w:suff w:val="nothing"/>
      <w:lvlText w:val="%1.%2.%3  "/>
      <w:lvlJc w:val="left"/>
      <w:pPr>
        <w:ind w:left="0" w:firstLine="0"/>
      </w:pPr>
      <w:rPr>
        <w:rFonts w:hint="default" w:ascii="Arial" w:hAnsi="Arial" w:eastAsia="黑体" w:cs="Arial"/>
        <w:b w:val="0"/>
        <w:bCs/>
        <w:i w:val="0"/>
        <w:iCs w:val="0"/>
        <w:caps w:val="0"/>
        <w:strike w:val="0"/>
        <w:dstrike w:val="0"/>
        <w:vanish w:val="0"/>
        <w:color w:val="auto"/>
        <w:sz w:val="24"/>
        <w:szCs w:val="24"/>
        <w:vertAlign w:val="baseline"/>
        <w14:shadow w14:blurRad="0" w14:dist="0" w14:dir="0" w14:sx="0" w14:sy="0" w14:kx="0" w14:ky="0" w14:algn="none">
          <w14:srgbClr w14:val="000000"/>
        </w14:shadow>
      </w:rPr>
    </w:lvl>
    <w:lvl w:ilvl="3" w:tentative="0">
      <w:start w:val="1"/>
      <w:numFmt w:val="decimal"/>
      <w:suff w:val="nothing"/>
      <w:lvlText w:val="%4. "/>
      <w:lvlJc w:val="left"/>
      <w:pPr>
        <w:ind w:left="0" w:firstLine="624"/>
      </w:pPr>
      <w:rPr>
        <w:rFonts w:hint="default" w:ascii="Arial" w:hAnsi="Arial" w:eastAsia="黑体" w:cs="Arial"/>
        <w:b w:val="0"/>
        <w:bCs/>
        <w:i w:val="0"/>
        <w:iCs w:val="0"/>
        <w:caps w:val="0"/>
        <w:strike w:val="0"/>
        <w:dstrike w:val="0"/>
        <w:vanish w:val="0"/>
        <w:color w:val="auto"/>
        <w:sz w:val="21"/>
        <w:szCs w:val="21"/>
        <w:vertAlign w:val="baseline"/>
        <w14:shadow w14:blurRad="0" w14:dist="0" w14:dir="0" w14:sx="0" w14:sy="0" w14:kx="0" w14:ky="0" w14:algn="none">
          <w14:srgbClr w14:val="000000"/>
        </w14:shadow>
      </w:rPr>
    </w:lvl>
    <w:lvl w:ilvl="4" w:tentative="0">
      <w:start w:val="1"/>
      <w:numFmt w:val="decimal"/>
      <w:lvlText w:val="(%5)"/>
      <w:lvlJc w:val="left"/>
      <w:pPr>
        <w:tabs>
          <w:tab w:val="left" w:pos="1134"/>
        </w:tabs>
        <w:ind w:left="1134" w:hanging="510"/>
      </w:pPr>
      <w:rPr>
        <w:rFonts w:hint="default" w:ascii="Arial" w:hAnsi="Arial" w:eastAsia="宋体"/>
        <w:b w:val="0"/>
        <w:bCs w:val="0"/>
        <w:i w:val="0"/>
        <w:iCs w:val="0"/>
        <w:color w:val="auto"/>
        <w:sz w:val="21"/>
        <w:szCs w:val="20"/>
        <w:u w:val="none"/>
      </w:rPr>
    </w:lvl>
    <w:lvl w:ilvl="5" w:tentative="0">
      <w:start w:val="1"/>
      <w:numFmt w:val="decimal"/>
      <w:lvlRestart w:val="1"/>
      <w:suff w:val="space"/>
      <w:lvlText w:val="图%1-%6"/>
      <w:lvlJc w:val="left"/>
      <w:pPr>
        <w:ind w:left="0" w:firstLine="624"/>
      </w:pPr>
      <w:rPr>
        <w:rFonts w:hint="eastAsia"/>
        <w:b w:val="0"/>
        <w:i w:val="0"/>
        <w:iCs w:val="0"/>
        <w:caps w:val="0"/>
        <w:smallCaps w:val="0"/>
        <w:strike w:val="0"/>
        <w:dstrike w:val="0"/>
        <w:vanish w:val="0"/>
        <w:color w:val="000000"/>
        <w:spacing w:val="0"/>
        <w:kern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14:cntxtalts w14:val="0"/>
      </w:rPr>
    </w:lvl>
    <w:lvl w:ilvl="6" w:tentative="0">
      <w:start w:val="1"/>
      <w:numFmt w:val="decimal"/>
      <w:lvlRestart w:val="1"/>
      <w:suff w:val="space"/>
      <w:lvlText w:val="表%1-%7"/>
      <w:lvlJc w:val="left"/>
      <w:pPr>
        <w:ind w:left="1134" w:hanging="510"/>
      </w:pPr>
      <w:rPr>
        <w:rFonts w:hint="default" w:ascii="Arial" w:hAnsi="Arial" w:eastAsia="黑体"/>
        <w:b w:val="0"/>
        <w:bCs/>
        <w:i w:val="0"/>
        <w:iCs w:val="0"/>
        <w:caps w:val="0"/>
        <w:strike w:val="0"/>
        <w:dstrike w:val="0"/>
        <w:vanish w:val="0"/>
        <w:color w:val="auto"/>
        <w:spacing w:val="0"/>
        <w:w w:val="100"/>
        <w:kern w:val="0"/>
        <w:position w:val="0"/>
        <w:sz w:val="21"/>
        <w:szCs w:val="18"/>
        <w:vertAlign w:val="baseline"/>
        <w14:shadow w14:blurRad="0" w14:dist="0" w14:dir="0" w14:sx="0" w14:sy="0" w14:kx="0" w14:ky="0" w14:algn="none">
          <w14:srgbClr w14:val="000000"/>
        </w14:shadow>
      </w:rPr>
    </w:lvl>
    <w:lvl w:ilvl="7" w:tentative="0">
      <w:start w:val="1"/>
      <w:numFmt w:val="lowerLetter"/>
      <w:lvlRestart w:val="5"/>
      <w:lvlText w:val="%8."/>
      <w:lvlJc w:val="left"/>
      <w:pPr>
        <w:tabs>
          <w:tab w:val="left" w:pos="1418"/>
        </w:tabs>
        <w:ind w:left="1418" w:hanging="284"/>
      </w:pPr>
      <w:rPr>
        <w:rFonts w:hint="default" w:ascii="Arial" w:hAnsi="Arial" w:eastAsia="宋体"/>
        <w:color w:val="auto"/>
        <w:sz w:val="21"/>
        <w:szCs w:val="18"/>
      </w:rPr>
    </w:lvl>
    <w:lvl w:ilvl="8" w:tentative="0">
      <w:start w:val="1"/>
      <w:numFmt w:val="decimal"/>
      <w:lvlRestart w:val="4"/>
      <w:lvlText w:val="步骤%9"/>
      <w:lvlJc w:val="left"/>
      <w:pPr>
        <w:tabs>
          <w:tab w:val="left" w:pos="737"/>
        </w:tabs>
        <w:ind w:left="737" w:hanging="737"/>
      </w:pPr>
      <w:rPr>
        <w:rFonts w:hint="default" w:ascii="Arial" w:hAnsi="Arial" w:eastAsia="宋体" w:cs="Arial"/>
        <w:b/>
        <w:bCs w:val="0"/>
        <w:i w:val="0"/>
        <w:iCs w:val="0"/>
        <w:caps w:val="0"/>
        <w:strike w:val="0"/>
        <w:dstrike w:val="0"/>
        <w:vanish w:val="0"/>
        <w:color w:val="auto"/>
        <w:sz w:val="21"/>
        <w:szCs w:val="18"/>
        <w:vertAlign w:val="baseline"/>
        <w14:shadow w14:blurRad="0" w14:dist="0" w14:dir="0" w14:sx="0" w14:sy="0" w14:kx="0" w14:ky="0" w14:algn="none">
          <w14:srgbClr w14:val="000000"/>
        </w14:shadow>
      </w:rPr>
    </w:lvl>
  </w:abstractNum>
  <w:abstractNum w:abstractNumId="22">
    <w:nsid w:val="72347E6A"/>
    <w:multiLevelType w:val="multilevel"/>
    <w:tmpl w:val="72347E6A"/>
    <w:lvl w:ilvl="0" w:tentative="0">
      <w:start w:val="1"/>
      <w:numFmt w:val="upperLetter"/>
      <w:pStyle w:val="20"/>
      <w:lvlText w:val="附录%1"/>
      <w:lvlJc w:val="left"/>
      <w:pPr>
        <w:tabs>
          <w:tab w:val="left" w:pos="432"/>
        </w:tabs>
        <w:ind w:left="432" w:hanging="432"/>
      </w:pPr>
      <w:rPr>
        <w:rFonts w:hint="eastAsia"/>
      </w:rPr>
    </w:lvl>
    <w:lvl w:ilvl="1" w:tentative="0">
      <w:start w:val="1"/>
      <w:numFmt w:val="decimal"/>
      <w:lvlText w:val="%1.%2"/>
      <w:lvlJc w:val="left"/>
      <w:pPr>
        <w:tabs>
          <w:tab w:val="left" w:pos="576"/>
        </w:tabs>
        <w:ind w:left="576" w:hanging="576"/>
      </w:pPr>
      <w:rPr>
        <w:rFonts w:hint="eastAsia"/>
      </w:rPr>
    </w:lvl>
    <w:lvl w:ilvl="2" w:tentative="0">
      <w:start w:val="1"/>
      <w:numFmt w:val="decimal"/>
      <w:lvlText w:val="%1.%2.%3"/>
      <w:lvlJc w:val="left"/>
      <w:pPr>
        <w:tabs>
          <w:tab w:val="left" w:pos="720"/>
        </w:tabs>
        <w:ind w:left="720" w:hanging="720"/>
      </w:pPr>
      <w:rPr>
        <w:rFonts w:hint="eastAsia"/>
      </w:rPr>
    </w:lvl>
    <w:lvl w:ilvl="3" w:tentative="0">
      <w:start w:val="1"/>
      <w:numFmt w:val="decimal"/>
      <w:lvlText w:val="%4."/>
      <w:lvlJc w:val="left"/>
      <w:pPr>
        <w:tabs>
          <w:tab w:val="left" w:pos="567"/>
        </w:tabs>
        <w:ind w:left="936" w:hanging="680"/>
      </w:pPr>
      <w:rPr>
        <w:rFonts w:hint="eastAsia"/>
      </w:rPr>
    </w:lvl>
    <w:lvl w:ilvl="4" w:tentative="0">
      <w:start w:val="1"/>
      <w:numFmt w:val="decimal"/>
      <w:lvlText w:val="%5）"/>
      <w:lvlJc w:val="left"/>
      <w:pPr>
        <w:tabs>
          <w:tab w:val="left" w:pos="567"/>
        </w:tabs>
        <w:ind w:left="936" w:hanging="680"/>
      </w:pPr>
      <w:rPr>
        <w:rFonts w:hint="eastAsia"/>
      </w:rPr>
    </w:lvl>
    <w:lvl w:ilvl="5" w:tentative="0">
      <w:start w:val="1"/>
      <w:numFmt w:val="lowerLetter"/>
      <w:lvlText w:val="%6）"/>
      <w:lvlJc w:val="left"/>
      <w:pPr>
        <w:tabs>
          <w:tab w:val="left" w:pos="567"/>
        </w:tabs>
        <w:ind w:left="936" w:hanging="680"/>
      </w:pPr>
      <w:rPr>
        <w:rFonts w:hint="eastAsia"/>
      </w:rPr>
    </w:lvl>
    <w:lvl w:ilvl="6" w:tentative="0">
      <w:start w:val="1"/>
      <w:numFmt w:val="lowerRoman"/>
      <w:lvlText w:val="%7"/>
      <w:lvlJc w:val="left"/>
      <w:pPr>
        <w:tabs>
          <w:tab w:val="left" w:pos="567"/>
        </w:tabs>
        <w:ind w:left="936" w:hanging="680"/>
      </w:pPr>
      <w:rPr>
        <w:rFonts w:hint="default"/>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23">
    <w:nsid w:val="74B92264"/>
    <w:multiLevelType w:val="multilevel"/>
    <w:tmpl w:val="74B92264"/>
    <w:lvl w:ilvl="0" w:tentative="0">
      <w:start w:val="1"/>
      <w:numFmt w:val="bullet"/>
      <w:pStyle w:val="265"/>
      <w:lvlText w:val=""/>
      <w:lvlJc w:val="left"/>
      <w:pPr>
        <w:tabs>
          <w:tab w:val="left" w:pos="420"/>
        </w:tabs>
        <w:ind w:left="420" w:hanging="420"/>
      </w:pPr>
      <w:rPr>
        <w:rFonts w:hint="default" w:ascii="Webdings" w:hAnsi="Webdings"/>
        <w:color w:val="0000FF"/>
        <w:sz w:val="28"/>
        <w:szCs w:val="28"/>
      </w:rPr>
    </w:lvl>
    <w:lvl w:ilvl="1" w:tentative="0">
      <w:start w:val="1"/>
      <w:numFmt w:val="bullet"/>
      <w:lvlText w:val=""/>
      <w:lvlJc w:val="left"/>
      <w:pPr>
        <w:tabs>
          <w:tab w:val="left" w:pos="1470"/>
        </w:tabs>
        <w:ind w:left="1470" w:hanging="420"/>
      </w:pPr>
      <w:rPr>
        <w:rFonts w:hint="default" w:ascii="Wingdings" w:hAnsi="Wingdings"/>
      </w:rPr>
    </w:lvl>
    <w:lvl w:ilvl="2" w:tentative="0">
      <w:start w:val="1"/>
      <w:numFmt w:val="bullet"/>
      <w:lvlText w:val=""/>
      <w:lvlJc w:val="left"/>
      <w:pPr>
        <w:tabs>
          <w:tab w:val="left" w:pos="1890"/>
        </w:tabs>
        <w:ind w:left="1890" w:hanging="420"/>
      </w:pPr>
      <w:rPr>
        <w:rFonts w:hint="default" w:ascii="Wingdings" w:hAnsi="Wingdings"/>
      </w:rPr>
    </w:lvl>
    <w:lvl w:ilvl="3" w:tentative="0">
      <w:start w:val="1"/>
      <w:numFmt w:val="bullet"/>
      <w:lvlText w:val=""/>
      <w:lvlJc w:val="left"/>
      <w:pPr>
        <w:tabs>
          <w:tab w:val="left" w:pos="2310"/>
        </w:tabs>
        <w:ind w:left="2310" w:hanging="420"/>
      </w:pPr>
      <w:rPr>
        <w:rFonts w:hint="default" w:ascii="Wingdings" w:hAnsi="Wingdings"/>
      </w:rPr>
    </w:lvl>
    <w:lvl w:ilvl="4" w:tentative="0">
      <w:start w:val="1"/>
      <w:numFmt w:val="bullet"/>
      <w:lvlText w:val=""/>
      <w:lvlJc w:val="left"/>
      <w:pPr>
        <w:tabs>
          <w:tab w:val="left" w:pos="2730"/>
        </w:tabs>
        <w:ind w:left="2730" w:hanging="420"/>
      </w:pPr>
      <w:rPr>
        <w:rFonts w:hint="default" w:ascii="Wingdings" w:hAnsi="Wingdings"/>
      </w:rPr>
    </w:lvl>
    <w:lvl w:ilvl="5" w:tentative="0">
      <w:start w:val="1"/>
      <w:numFmt w:val="bullet"/>
      <w:lvlText w:val=""/>
      <w:lvlJc w:val="left"/>
      <w:pPr>
        <w:tabs>
          <w:tab w:val="left" w:pos="3150"/>
        </w:tabs>
        <w:ind w:left="3150" w:hanging="420"/>
      </w:pPr>
      <w:rPr>
        <w:rFonts w:hint="default" w:ascii="Wingdings" w:hAnsi="Wingdings"/>
      </w:rPr>
    </w:lvl>
    <w:lvl w:ilvl="6" w:tentative="0">
      <w:start w:val="1"/>
      <w:numFmt w:val="bullet"/>
      <w:lvlText w:val=""/>
      <w:lvlJc w:val="left"/>
      <w:pPr>
        <w:tabs>
          <w:tab w:val="left" w:pos="3570"/>
        </w:tabs>
        <w:ind w:left="3570" w:hanging="420"/>
      </w:pPr>
      <w:rPr>
        <w:rFonts w:hint="default" w:ascii="Wingdings" w:hAnsi="Wingdings"/>
      </w:rPr>
    </w:lvl>
    <w:lvl w:ilvl="7" w:tentative="0">
      <w:start w:val="1"/>
      <w:numFmt w:val="bullet"/>
      <w:lvlText w:val=""/>
      <w:lvlJc w:val="left"/>
      <w:pPr>
        <w:tabs>
          <w:tab w:val="left" w:pos="3990"/>
        </w:tabs>
        <w:ind w:left="3990" w:hanging="420"/>
      </w:pPr>
      <w:rPr>
        <w:rFonts w:hint="default" w:ascii="Wingdings" w:hAnsi="Wingdings"/>
      </w:rPr>
    </w:lvl>
    <w:lvl w:ilvl="8" w:tentative="0">
      <w:start w:val="1"/>
      <w:numFmt w:val="bullet"/>
      <w:lvlText w:val=""/>
      <w:lvlJc w:val="left"/>
      <w:pPr>
        <w:tabs>
          <w:tab w:val="left" w:pos="4410"/>
        </w:tabs>
        <w:ind w:left="4410" w:hanging="420"/>
      </w:pPr>
      <w:rPr>
        <w:rFonts w:hint="default" w:ascii="Wingdings" w:hAnsi="Wingdings"/>
      </w:rPr>
    </w:lvl>
  </w:abstractNum>
  <w:abstractNum w:abstractNumId="24">
    <w:nsid w:val="77D74ABB"/>
    <w:multiLevelType w:val="multilevel"/>
    <w:tmpl w:val="77D74ABB"/>
    <w:lvl w:ilvl="0" w:tentative="0">
      <w:start w:val="1"/>
      <w:numFmt w:val="bullet"/>
      <w:lvlText w:val=""/>
      <w:lvlJc w:val="left"/>
      <w:pPr>
        <w:ind w:left="420" w:hanging="420"/>
      </w:pPr>
      <w:rPr>
        <w:rFonts w:hint="default" w:ascii="Wingdings" w:hAnsi="Wingdings"/>
        <w:sz w:val="21"/>
        <w:szCs w:val="21"/>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5">
    <w:nsid w:val="78594283"/>
    <w:multiLevelType w:val="multilevel"/>
    <w:tmpl w:val="78594283"/>
    <w:lvl w:ilvl="0" w:tentative="0">
      <w:start w:val="1"/>
      <w:numFmt w:val="bullet"/>
      <w:pStyle w:val="257"/>
      <w:lvlText w:val=""/>
      <w:lvlJc w:val="left"/>
      <w:pPr>
        <w:tabs>
          <w:tab w:val="left" w:pos="420"/>
        </w:tabs>
        <w:ind w:left="420" w:hanging="420"/>
      </w:pPr>
      <w:rPr>
        <w:rFonts w:hint="default" w:ascii="Wingdings" w:hAnsi="Wingdings"/>
        <w:color w:val="FF0000"/>
        <w:sz w:val="28"/>
        <w:szCs w:val="28"/>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num w:numId="1">
    <w:abstractNumId w:val="17"/>
  </w:num>
  <w:num w:numId="2">
    <w:abstractNumId w:val="22"/>
  </w:num>
  <w:num w:numId="3">
    <w:abstractNumId w:val="9"/>
  </w:num>
  <w:num w:numId="4">
    <w:abstractNumId w:val="13"/>
  </w:num>
  <w:num w:numId="5">
    <w:abstractNumId w:val="2"/>
  </w:num>
  <w:num w:numId="6">
    <w:abstractNumId w:val="16"/>
  </w:num>
  <w:num w:numId="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5"/>
    <w:lvlOverride w:ilvl="0">
      <w:lvl w:ilvl="0" w:tentative="1">
        <w:start w:val="1"/>
        <w:numFmt w:val="bullet"/>
        <w:pStyle w:val="205"/>
        <w:lvlText w:val=""/>
        <w:lvlJc w:val="left"/>
        <w:pPr>
          <w:tabs>
            <w:tab w:val="left" w:pos="1134"/>
          </w:tabs>
          <w:ind w:left="1134" w:hanging="510"/>
        </w:pPr>
        <w:rPr>
          <w:rFonts w:hint="default" w:ascii="Symbol" w:hAnsi="Symbol"/>
          <w:b/>
          <w:bCs w:val="0"/>
          <w:i w:val="0"/>
          <w:iCs w:val="0"/>
          <w:color w:val="auto"/>
          <w:sz w:val="20"/>
          <w:szCs w:val="20"/>
        </w:rPr>
      </w:lvl>
    </w:lvlOverride>
    <w:lvlOverride w:ilvl="1">
      <w:lvl w:ilvl="1" w:tentative="1">
        <w:start w:val="1"/>
        <w:numFmt w:val="bullet"/>
        <w:lvlText w:val=""/>
        <w:lvlJc w:val="left"/>
        <w:pPr>
          <w:tabs>
            <w:tab w:val="left" w:pos="1418"/>
          </w:tabs>
          <w:ind w:left="1418" w:hanging="284"/>
        </w:pPr>
        <w:rPr>
          <w:rFonts w:hint="default" w:ascii="Wingdings" w:hAnsi="Wingdings"/>
          <w:b w:val="0"/>
          <w:bCs w:val="0"/>
          <w:i w:val="0"/>
          <w:iCs w:val="0"/>
          <w:color w:val="auto"/>
          <w:sz w:val="12"/>
          <w:szCs w:val="20"/>
        </w:rPr>
      </w:lvl>
    </w:lvlOverride>
    <w:lvlOverride w:ilvl="2">
      <w:lvl w:ilvl="2" w:tentative="1">
        <w:start w:val="1"/>
        <w:numFmt w:val="bullet"/>
        <w:lvlText w:val=""/>
        <w:lvlJc w:val="left"/>
        <w:pPr>
          <w:tabs>
            <w:tab w:val="left" w:pos="1701"/>
          </w:tabs>
          <w:ind w:left="1701" w:hanging="283"/>
        </w:pPr>
        <w:rPr>
          <w:rFonts w:hint="default" w:ascii="Symbol" w:hAnsi="Symbol"/>
          <w:b w:val="0"/>
          <w:bCs w:val="0"/>
          <w:i w:val="0"/>
          <w:iCs w:val="0"/>
          <w:color w:val="auto"/>
          <w:sz w:val="20"/>
          <w:szCs w:val="20"/>
        </w:rPr>
      </w:lvl>
    </w:lvlOverride>
    <w:lvlOverride w:ilvl="3">
      <w:lvl w:ilvl="3" w:tentative="1">
        <w:start w:val="1"/>
        <w:numFmt w:val="bullet"/>
        <w:lvlRestart w:val="0"/>
        <w:pStyle w:val="207"/>
        <w:lvlText w:val=""/>
        <w:lvlJc w:val="left"/>
        <w:pPr>
          <w:tabs>
            <w:tab w:val="left" w:pos="397"/>
          </w:tabs>
          <w:ind w:left="397" w:hanging="397"/>
        </w:pPr>
        <w:rPr>
          <w:rFonts w:hint="default" w:ascii="Symbol" w:hAnsi="Symbol"/>
          <w:b w:val="0"/>
          <w:bCs w:val="0"/>
          <w:i w:val="0"/>
          <w:iCs w:val="0"/>
          <w:color w:val="auto"/>
          <w:sz w:val="20"/>
        </w:rPr>
      </w:lvl>
    </w:lvlOverride>
    <w:lvlOverride w:ilvl="4">
      <w:lvl w:ilvl="4" w:tentative="1">
        <w:start w:val="1"/>
        <w:numFmt w:val="bullet"/>
        <w:lvlText w:val=""/>
        <w:lvlJc w:val="left"/>
        <w:pPr>
          <w:tabs>
            <w:tab w:val="left" w:pos="680"/>
          </w:tabs>
          <w:ind w:left="680" w:hanging="283"/>
        </w:pPr>
        <w:rPr>
          <w:rFonts w:hint="default" w:ascii="Wingdings" w:hAnsi="Wingdings"/>
          <w:b w:val="0"/>
          <w:bCs w:val="0"/>
          <w:i w:val="0"/>
          <w:iCs w:val="0"/>
          <w:color w:val="auto"/>
          <w:sz w:val="10"/>
        </w:rPr>
      </w:lvl>
    </w:lvlOverride>
    <w:lvlOverride w:ilvl="5">
      <w:lvl w:ilvl="5" w:tentative="1">
        <w:start w:val="1"/>
        <w:numFmt w:val="bullet"/>
        <w:lvlRestart w:val="0"/>
        <w:pStyle w:val="215"/>
        <w:lvlText w:val=""/>
        <w:lvlJc w:val="left"/>
        <w:pPr>
          <w:tabs>
            <w:tab w:val="left" w:pos="397"/>
          </w:tabs>
          <w:ind w:left="397" w:hanging="397"/>
        </w:pPr>
        <w:rPr>
          <w:rFonts w:hint="default" w:ascii="Symbol" w:hAnsi="Symbol"/>
          <w:color w:val="auto"/>
          <w:sz w:val="20"/>
        </w:rPr>
      </w:lvl>
    </w:lvlOverride>
    <w:lvlOverride w:ilvl="6">
      <w:lvl w:ilvl="6" w:tentative="1">
        <w:start w:val="1"/>
        <w:numFmt w:val="none"/>
        <w:lvlText w:val="%7"/>
        <w:lvlJc w:val="left"/>
        <w:pPr>
          <w:tabs>
            <w:tab w:val="left" w:pos="323"/>
          </w:tabs>
          <w:ind w:left="323" w:firstLine="920"/>
        </w:pPr>
        <w:rPr>
          <w:rFonts w:hint="default"/>
          <w:color w:val="auto"/>
        </w:rPr>
      </w:lvl>
    </w:lvlOverride>
    <w:lvlOverride w:ilvl="7">
      <w:lvl w:ilvl="7" w:tentative="1">
        <w:start w:val="1"/>
        <w:numFmt w:val="none"/>
        <w:lvlText w:val="%8"/>
        <w:lvlJc w:val="left"/>
        <w:pPr>
          <w:tabs>
            <w:tab w:val="left" w:pos="323"/>
          </w:tabs>
          <w:ind w:left="323" w:firstLine="920"/>
        </w:pPr>
        <w:rPr>
          <w:rFonts w:hint="default"/>
        </w:rPr>
      </w:lvl>
    </w:lvlOverride>
    <w:lvlOverride w:ilvl="8">
      <w:lvl w:ilvl="8" w:tentative="1">
        <w:start w:val="1"/>
        <w:numFmt w:val="none"/>
        <w:lvlText w:val="%9"/>
        <w:lvlJc w:val="left"/>
        <w:pPr>
          <w:tabs>
            <w:tab w:val="left" w:pos="323"/>
          </w:tabs>
          <w:ind w:left="323" w:firstLine="920"/>
        </w:pPr>
        <w:rPr>
          <w:rFonts w:hint="default"/>
        </w:rPr>
      </w:lvl>
    </w:lvlOverride>
  </w:num>
  <w:num w:numId="9">
    <w:abstractNumId w:val="25"/>
  </w:num>
  <w:num w:numId="10">
    <w:abstractNumId w:val="23"/>
  </w:num>
  <w:num w:numId="11">
    <w:abstractNumId w:val="12"/>
  </w:num>
  <w:num w:numId="12">
    <w:abstractNumId w:val="8"/>
  </w:num>
  <w:num w:numId="13">
    <w:abstractNumId w:val="3"/>
  </w:num>
  <w:num w:numId="14">
    <w:abstractNumId w:val="14"/>
  </w:num>
  <w:num w:numId="15">
    <w:abstractNumId w:val="7"/>
  </w:num>
  <w:num w:numId="16">
    <w:abstractNumId w:val="5"/>
  </w:num>
  <w:num w:numId="17">
    <w:abstractNumId w:val="1"/>
  </w:num>
  <w:num w:numId="18">
    <w:abstractNumId w:val="10"/>
  </w:num>
  <w:num w:numId="1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0"/>
  </w:num>
  <w:num w:numId="2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4"/>
  </w:num>
  <w:num w:numId="25">
    <w:abstractNumId w:val="11"/>
  </w:num>
  <w:num w:numId="2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1"/>
  </w:num>
  <w:num w:numId="2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
  </w:num>
  <w:num w:numId="30">
    <w:abstractNumId w:val="18"/>
  </w:num>
  <w:num w:numId="3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1"/>
  <w:bordersDoNotSurroundFooter w:val="1"/>
  <w:documentProtection w:edit="readOnly" w:enforcement="0"/>
  <w:defaultTabStop w:val="420"/>
  <w:drawingGridHorizontalSpacing w:val="105"/>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465D"/>
    <w:rsid w:val="00001098"/>
    <w:rsid w:val="00001EA7"/>
    <w:rsid w:val="00007345"/>
    <w:rsid w:val="00016712"/>
    <w:rsid w:val="00020EE7"/>
    <w:rsid w:val="00025FD7"/>
    <w:rsid w:val="00027164"/>
    <w:rsid w:val="000271E1"/>
    <w:rsid w:val="00030C77"/>
    <w:rsid w:val="00035C55"/>
    <w:rsid w:val="000472C8"/>
    <w:rsid w:val="000741A7"/>
    <w:rsid w:val="00075B09"/>
    <w:rsid w:val="00076879"/>
    <w:rsid w:val="00080170"/>
    <w:rsid w:val="000811A0"/>
    <w:rsid w:val="00081362"/>
    <w:rsid w:val="00084B95"/>
    <w:rsid w:val="00085016"/>
    <w:rsid w:val="00086E86"/>
    <w:rsid w:val="00090D5F"/>
    <w:rsid w:val="00092073"/>
    <w:rsid w:val="0009356F"/>
    <w:rsid w:val="000937CB"/>
    <w:rsid w:val="000A4BD4"/>
    <w:rsid w:val="000B2EB1"/>
    <w:rsid w:val="000B2F55"/>
    <w:rsid w:val="000B4D0B"/>
    <w:rsid w:val="000B6B0E"/>
    <w:rsid w:val="000B6D43"/>
    <w:rsid w:val="000C1E21"/>
    <w:rsid w:val="000C2498"/>
    <w:rsid w:val="000C2793"/>
    <w:rsid w:val="000C7713"/>
    <w:rsid w:val="000D1964"/>
    <w:rsid w:val="000D2BA8"/>
    <w:rsid w:val="000E2A09"/>
    <w:rsid w:val="000E39BC"/>
    <w:rsid w:val="000E45B6"/>
    <w:rsid w:val="000E7C02"/>
    <w:rsid w:val="000F2DD4"/>
    <w:rsid w:val="001050F5"/>
    <w:rsid w:val="001108DD"/>
    <w:rsid w:val="001116E0"/>
    <w:rsid w:val="00112239"/>
    <w:rsid w:val="001152B7"/>
    <w:rsid w:val="00116FFB"/>
    <w:rsid w:val="00120248"/>
    <w:rsid w:val="001220F5"/>
    <w:rsid w:val="00122B6C"/>
    <w:rsid w:val="00130CE1"/>
    <w:rsid w:val="00137B57"/>
    <w:rsid w:val="00145B99"/>
    <w:rsid w:val="00156CEC"/>
    <w:rsid w:val="00160075"/>
    <w:rsid w:val="00162F88"/>
    <w:rsid w:val="00171F92"/>
    <w:rsid w:val="001758CF"/>
    <w:rsid w:val="001803E4"/>
    <w:rsid w:val="001811C4"/>
    <w:rsid w:val="00182BDF"/>
    <w:rsid w:val="001976A1"/>
    <w:rsid w:val="001A60A8"/>
    <w:rsid w:val="001A7855"/>
    <w:rsid w:val="001B1CDF"/>
    <w:rsid w:val="001B4F9F"/>
    <w:rsid w:val="001B5150"/>
    <w:rsid w:val="001C5E9B"/>
    <w:rsid w:val="001C75D1"/>
    <w:rsid w:val="001C76D6"/>
    <w:rsid w:val="001D185D"/>
    <w:rsid w:val="001D5A30"/>
    <w:rsid w:val="001E1371"/>
    <w:rsid w:val="001F0D98"/>
    <w:rsid w:val="001F5254"/>
    <w:rsid w:val="001F6490"/>
    <w:rsid w:val="00202256"/>
    <w:rsid w:val="002170AF"/>
    <w:rsid w:val="0022051F"/>
    <w:rsid w:val="002219ED"/>
    <w:rsid w:val="00221A6C"/>
    <w:rsid w:val="00221DB0"/>
    <w:rsid w:val="00224051"/>
    <w:rsid w:val="0022700A"/>
    <w:rsid w:val="00242BF7"/>
    <w:rsid w:val="0025471E"/>
    <w:rsid w:val="00256B77"/>
    <w:rsid w:val="0025741B"/>
    <w:rsid w:val="002651E1"/>
    <w:rsid w:val="00267523"/>
    <w:rsid w:val="002775EB"/>
    <w:rsid w:val="00283839"/>
    <w:rsid w:val="002908A8"/>
    <w:rsid w:val="0029371F"/>
    <w:rsid w:val="002955C9"/>
    <w:rsid w:val="00296A8C"/>
    <w:rsid w:val="00297DB7"/>
    <w:rsid w:val="002A7851"/>
    <w:rsid w:val="002B1F3E"/>
    <w:rsid w:val="002C0AB5"/>
    <w:rsid w:val="002C18DA"/>
    <w:rsid w:val="002C3BEB"/>
    <w:rsid w:val="002D102E"/>
    <w:rsid w:val="002D1179"/>
    <w:rsid w:val="002D1191"/>
    <w:rsid w:val="002D1840"/>
    <w:rsid w:val="002D3528"/>
    <w:rsid w:val="002D5422"/>
    <w:rsid w:val="002E23A3"/>
    <w:rsid w:val="002E3E40"/>
    <w:rsid w:val="002F1471"/>
    <w:rsid w:val="002F7AFA"/>
    <w:rsid w:val="00301EFA"/>
    <w:rsid w:val="003039F2"/>
    <w:rsid w:val="003108FD"/>
    <w:rsid w:val="00311328"/>
    <w:rsid w:val="0031773A"/>
    <w:rsid w:val="0031781C"/>
    <w:rsid w:val="003245E7"/>
    <w:rsid w:val="00326E1C"/>
    <w:rsid w:val="00332F55"/>
    <w:rsid w:val="00341280"/>
    <w:rsid w:val="00342322"/>
    <w:rsid w:val="00343FFA"/>
    <w:rsid w:val="00354784"/>
    <w:rsid w:val="00354BF6"/>
    <w:rsid w:val="00356066"/>
    <w:rsid w:val="0036064F"/>
    <w:rsid w:val="0036516D"/>
    <w:rsid w:val="0037087D"/>
    <w:rsid w:val="0037111D"/>
    <w:rsid w:val="00371182"/>
    <w:rsid w:val="003724B0"/>
    <w:rsid w:val="00375ECD"/>
    <w:rsid w:val="00380C1B"/>
    <w:rsid w:val="00391BFA"/>
    <w:rsid w:val="00392217"/>
    <w:rsid w:val="00393CFB"/>
    <w:rsid w:val="003972EB"/>
    <w:rsid w:val="003A0A52"/>
    <w:rsid w:val="003A3882"/>
    <w:rsid w:val="003A39F9"/>
    <w:rsid w:val="003A459B"/>
    <w:rsid w:val="003A6459"/>
    <w:rsid w:val="003B090A"/>
    <w:rsid w:val="003C35A1"/>
    <w:rsid w:val="003C39F9"/>
    <w:rsid w:val="003C5C0F"/>
    <w:rsid w:val="003D1D37"/>
    <w:rsid w:val="003D3355"/>
    <w:rsid w:val="003D3FB6"/>
    <w:rsid w:val="003D5CDB"/>
    <w:rsid w:val="003E0D83"/>
    <w:rsid w:val="003E0FBC"/>
    <w:rsid w:val="003E4B7B"/>
    <w:rsid w:val="003E7C4C"/>
    <w:rsid w:val="003F1EE1"/>
    <w:rsid w:val="003F5114"/>
    <w:rsid w:val="003F57EA"/>
    <w:rsid w:val="003F74F6"/>
    <w:rsid w:val="00407291"/>
    <w:rsid w:val="00413D7C"/>
    <w:rsid w:val="00420C65"/>
    <w:rsid w:val="00433299"/>
    <w:rsid w:val="004429DD"/>
    <w:rsid w:val="004543CF"/>
    <w:rsid w:val="00456090"/>
    <w:rsid w:val="00457596"/>
    <w:rsid w:val="00463E7D"/>
    <w:rsid w:val="00464CF6"/>
    <w:rsid w:val="00465E2D"/>
    <w:rsid w:val="00471479"/>
    <w:rsid w:val="00473C78"/>
    <w:rsid w:val="004766A1"/>
    <w:rsid w:val="00487673"/>
    <w:rsid w:val="004904EB"/>
    <w:rsid w:val="0049137F"/>
    <w:rsid w:val="004A4EE5"/>
    <w:rsid w:val="004A7608"/>
    <w:rsid w:val="004B1095"/>
    <w:rsid w:val="004B23E7"/>
    <w:rsid w:val="004B3BC0"/>
    <w:rsid w:val="004B58BC"/>
    <w:rsid w:val="004B7A3E"/>
    <w:rsid w:val="004C1E2C"/>
    <w:rsid w:val="004C6155"/>
    <w:rsid w:val="004D1B4F"/>
    <w:rsid w:val="004D3779"/>
    <w:rsid w:val="004D3EC4"/>
    <w:rsid w:val="004F21A6"/>
    <w:rsid w:val="004F7417"/>
    <w:rsid w:val="00506386"/>
    <w:rsid w:val="00517490"/>
    <w:rsid w:val="00517FD6"/>
    <w:rsid w:val="005213FD"/>
    <w:rsid w:val="005247B4"/>
    <w:rsid w:val="005368B1"/>
    <w:rsid w:val="00542087"/>
    <w:rsid w:val="00550017"/>
    <w:rsid w:val="00551D71"/>
    <w:rsid w:val="0055579D"/>
    <w:rsid w:val="00560242"/>
    <w:rsid w:val="00561D77"/>
    <w:rsid w:val="005672AC"/>
    <w:rsid w:val="00574877"/>
    <w:rsid w:val="00580AF6"/>
    <w:rsid w:val="00582CDD"/>
    <w:rsid w:val="00583659"/>
    <w:rsid w:val="00590C45"/>
    <w:rsid w:val="005A0667"/>
    <w:rsid w:val="005A4AF0"/>
    <w:rsid w:val="005B0F85"/>
    <w:rsid w:val="005B52EA"/>
    <w:rsid w:val="005C4734"/>
    <w:rsid w:val="005E6132"/>
    <w:rsid w:val="005F0ADF"/>
    <w:rsid w:val="005F26FE"/>
    <w:rsid w:val="005F354F"/>
    <w:rsid w:val="005F41E0"/>
    <w:rsid w:val="005F70C7"/>
    <w:rsid w:val="00602A90"/>
    <w:rsid w:val="0060593F"/>
    <w:rsid w:val="0060646F"/>
    <w:rsid w:val="00610A08"/>
    <w:rsid w:val="0061228E"/>
    <w:rsid w:val="00624D34"/>
    <w:rsid w:val="00626386"/>
    <w:rsid w:val="00633646"/>
    <w:rsid w:val="00633A41"/>
    <w:rsid w:val="00634049"/>
    <w:rsid w:val="006340E9"/>
    <w:rsid w:val="00652A76"/>
    <w:rsid w:val="00653C9F"/>
    <w:rsid w:val="006554DD"/>
    <w:rsid w:val="00656DD1"/>
    <w:rsid w:val="0067535A"/>
    <w:rsid w:val="00675EDF"/>
    <w:rsid w:val="0069195F"/>
    <w:rsid w:val="00691AC7"/>
    <w:rsid w:val="00692BAB"/>
    <w:rsid w:val="006A031C"/>
    <w:rsid w:val="006A1739"/>
    <w:rsid w:val="006A38A3"/>
    <w:rsid w:val="006A3AAD"/>
    <w:rsid w:val="006B4080"/>
    <w:rsid w:val="006B63C7"/>
    <w:rsid w:val="006B7FDC"/>
    <w:rsid w:val="006C1443"/>
    <w:rsid w:val="006C4566"/>
    <w:rsid w:val="006C480D"/>
    <w:rsid w:val="006C65FE"/>
    <w:rsid w:val="006D2481"/>
    <w:rsid w:val="006D2DED"/>
    <w:rsid w:val="006E0F81"/>
    <w:rsid w:val="006E129B"/>
    <w:rsid w:val="006F5071"/>
    <w:rsid w:val="006F67A8"/>
    <w:rsid w:val="00701354"/>
    <w:rsid w:val="00701EDD"/>
    <w:rsid w:val="007023F9"/>
    <w:rsid w:val="007050F9"/>
    <w:rsid w:val="00707AE6"/>
    <w:rsid w:val="007129A7"/>
    <w:rsid w:val="00726465"/>
    <w:rsid w:val="00727823"/>
    <w:rsid w:val="00736DEE"/>
    <w:rsid w:val="0074380A"/>
    <w:rsid w:val="007505E8"/>
    <w:rsid w:val="0076290B"/>
    <w:rsid w:val="00764A60"/>
    <w:rsid w:val="00770592"/>
    <w:rsid w:val="00772618"/>
    <w:rsid w:val="0077543F"/>
    <w:rsid w:val="0077759D"/>
    <w:rsid w:val="00782439"/>
    <w:rsid w:val="00783765"/>
    <w:rsid w:val="00785248"/>
    <w:rsid w:val="00792BF5"/>
    <w:rsid w:val="007A1573"/>
    <w:rsid w:val="007D69A8"/>
    <w:rsid w:val="007E134C"/>
    <w:rsid w:val="007E2CB0"/>
    <w:rsid w:val="007E6327"/>
    <w:rsid w:val="00803A35"/>
    <w:rsid w:val="00804C83"/>
    <w:rsid w:val="0080796D"/>
    <w:rsid w:val="0081087B"/>
    <w:rsid w:val="0081131B"/>
    <w:rsid w:val="008128DC"/>
    <w:rsid w:val="00820265"/>
    <w:rsid w:val="00820A0C"/>
    <w:rsid w:val="00827C30"/>
    <w:rsid w:val="008340DE"/>
    <w:rsid w:val="008363A4"/>
    <w:rsid w:val="00842109"/>
    <w:rsid w:val="0084367C"/>
    <w:rsid w:val="008437DE"/>
    <w:rsid w:val="00845B71"/>
    <w:rsid w:val="00845D1E"/>
    <w:rsid w:val="00845FE6"/>
    <w:rsid w:val="00851532"/>
    <w:rsid w:val="00853D52"/>
    <w:rsid w:val="00854267"/>
    <w:rsid w:val="0085614F"/>
    <w:rsid w:val="008577DE"/>
    <w:rsid w:val="00861F64"/>
    <w:rsid w:val="0086496D"/>
    <w:rsid w:val="00865A29"/>
    <w:rsid w:val="00866609"/>
    <w:rsid w:val="00867969"/>
    <w:rsid w:val="0087770E"/>
    <w:rsid w:val="00885C56"/>
    <w:rsid w:val="00887792"/>
    <w:rsid w:val="0089097A"/>
    <w:rsid w:val="00893B00"/>
    <w:rsid w:val="00895587"/>
    <w:rsid w:val="008A0E74"/>
    <w:rsid w:val="008B0CB9"/>
    <w:rsid w:val="008B70E8"/>
    <w:rsid w:val="008C4B7D"/>
    <w:rsid w:val="008C6DA8"/>
    <w:rsid w:val="008E28EB"/>
    <w:rsid w:val="008E6F5B"/>
    <w:rsid w:val="008F3E69"/>
    <w:rsid w:val="0090303B"/>
    <w:rsid w:val="00907431"/>
    <w:rsid w:val="00911C3A"/>
    <w:rsid w:val="00913B5A"/>
    <w:rsid w:val="00914865"/>
    <w:rsid w:val="00914AC3"/>
    <w:rsid w:val="0092309F"/>
    <w:rsid w:val="0092367C"/>
    <w:rsid w:val="009262DD"/>
    <w:rsid w:val="00926324"/>
    <w:rsid w:val="00931D12"/>
    <w:rsid w:val="00932376"/>
    <w:rsid w:val="00935204"/>
    <w:rsid w:val="0093742E"/>
    <w:rsid w:val="0094008B"/>
    <w:rsid w:val="009408E7"/>
    <w:rsid w:val="0094276E"/>
    <w:rsid w:val="00945AE8"/>
    <w:rsid w:val="0094720E"/>
    <w:rsid w:val="00951078"/>
    <w:rsid w:val="009538D6"/>
    <w:rsid w:val="00954561"/>
    <w:rsid w:val="00956AB8"/>
    <w:rsid w:val="00956FE8"/>
    <w:rsid w:val="009573A9"/>
    <w:rsid w:val="00962A54"/>
    <w:rsid w:val="009655AF"/>
    <w:rsid w:val="00970CC9"/>
    <w:rsid w:val="0097556C"/>
    <w:rsid w:val="00976FE8"/>
    <w:rsid w:val="00980E83"/>
    <w:rsid w:val="00985053"/>
    <w:rsid w:val="00985385"/>
    <w:rsid w:val="0099052A"/>
    <w:rsid w:val="00991F3F"/>
    <w:rsid w:val="00997458"/>
    <w:rsid w:val="009A1042"/>
    <w:rsid w:val="009A18BB"/>
    <w:rsid w:val="009A256F"/>
    <w:rsid w:val="009A6CE4"/>
    <w:rsid w:val="009B3DED"/>
    <w:rsid w:val="009B4EFE"/>
    <w:rsid w:val="009B6598"/>
    <w:rsid w:val="009C1618"/>
    <w:rsid w:val="009C5B28"/>
    <w:rsid w:val="009C7207"/>
    <w:rsid w:val="009D6850"/>
    <w:rsid w:val="009D6B51"/>
    <w:rsid w:val="009E0543"/>
    <w:rsid w:val="00A0003C"/>
    <w:rsid w:val="00A01DF3"/>
    <w:rsid w:val="00A01E01"/>
    <w:rsid w:val="00A032D0"/>
    <w:rsid w:val="00A058AA"/>
    <w:rsid w:val="00A05999"/>
    <w:rsid w:val="00A07357"/>
    <w:rsid w:val="00A07817"/>
    <w:rsid w:val="00A14D2C"/>
    <w:rsid w:val="00A15752"/>
    <w:rsid w:val="00A17402"/>
    <w:rsid w:val="00A30266"/>
    <w:rsid w:val="00A30A20"/>
    <w:rsid w:val="00A40675"/>
    <w:rsid w:val="00A42AA3"/>
    <w:rsid w:val="00A54416"/>
    <w:rsid w:val="00A54BAC"/>
    <w:rsid w:val="00A67481"/>
    <w:rsid w:val="00A67F11"/>
    <w:rsid w:val="00A72FE9"/>
    <w:rsid w:val="00A767BA"/>
    <w:rsid w:val="00A8030B"/>
    <w:rsid w:val="00A83499"/>
    <w:rsid w:val="00A9032E"/>
    <w:rsid w:val="00A949D4"/>
    <w:rsid w:val="00AA299D"/>
    <w:rsid w:val="00AA2EB9"/>
    <w:rsid w:val="00AA3388"/>
    <w:rsid w:val="00AB0BB9"/>
    <w:rsid w:val="00AB1353"/>
    <w:rsid w:val="00AB3B02"/>
    <w:rsid w:val="00AB70D3"/>
    <w:rsid w:val="00AD048C"/>
    <w:rsid w:val="00AD3073"/>
    <w:rsid w:val="00AD64E5"/>
    <w:rsid w:val="00AD64F7"/>
    <w:rsid w:val="00AD6B9E"/>
    <w:rsid w:val="00AE31FA"/>
    <w:rsid w:val="00AE5130"/>
    <w:rsid w:val="00AE6543"/>
    <w:rsid w:val="00AF1927"/>
    <w:rsid w:val="00AF288B"/>
    <w:rsid w:val="00AF2EAD"/>
    <w:rsid w:val="00AF6ABB"/>
    <w:rsid w:val="00AF79F2"/>
    <w:rsid w:val="00B01DB5"/>
    <w:rsid w:val="00B067B9"/>
    <w:rsid w:val="00B07578"/>
    <w:rsid w:val="00B10669"/>
    <w:rsid w:val="00B1125D"/>
    <w:rsid w:val="00B25AE8"/>
    <w:rsid w:val="00B314C0"/>
    <w:rsid w:val="00B32440"/>
    <w:rsid w:val="00B3475E"/>
    <w:rsid w:val="00B41969"/>
    <w:rsid w:val="00B54A51"/>
    <w:rsid w:val="00B552A1"/>
    <w:rsid w:val="00B55385"/>
    <w:rsid w:val="00B562ED"/>
    <w:rsid w:val="00B6110F"/>
    <w:rsid w:val="00B66F99"/>
    <w:rsid w:val="00B7209E"/>
    <w:rsid w:val="00B77E76"/>
    <w:rsid w:val="00B85334"/>
    <w:rsid w:val="00B86424"/>
    <w:rsid w:val="00B87A27"/>
    <w:rsid w:val="00B93C18"/>
    <w:rsid w:val="00B948BD"/>
    <w:rsid w:val="00BA0946"/>
    <w:rsid w:val="00BA575B"/>
    <w:rsid w:val="00BA5E7C"/>
    <w:rsid w:val="00BB0E25"/>
    <w:rsid w:val="00BB1B9B"/>
    <w:rsid w:val="00BC283B"/>
    <w:rsid w:val="00BC4DF0"/>
    <w:rsid w:val="00BC69F1"/>
    <w:rsid w:val="00BD3FB8"/>
    <w:rsid w:val="00BD4C4E"/>
    <w:rsid w:val="00BD6E82"/>
    <w:rsid w:val="00BD7FB7"/>
    <w:rsid w:val="00BE4798"/>
    <w:rsid w:val="00BF12A0"/>
    <w:rsid w:val="00BF5739"/>
    <w:rsid w:val="00C0013E"/>
    <w:rsid w:val="00C04A47"/>
    <w:rsid w:val="00C12472"/>
    <w:rsid w:val="00C128D9"/>
    <w:rsid w:val="00C15CDA"/>
    <w:rsid w:val="00C24C06"/>
    <w:rsid w:val="00C27187"/>
    <w:rsid w:val="00C27FDD"/>
    <w:rsid w:val="00C333B2"/>
    <w:rsid w:val="00C40CBE"/>
    <w:rsid w:val="00C412AE"/>
    <w:rsid w:val="00C51BC7"/>
    <w:rsid w:val="00C550EF"/>
    <w:rsid w:val="00C5635C"/>
    <w:rsid w:val="00C6007F"/>
    <w:rsid w:val="00C674AD"/>
    <w:rsid w:val="00C710A2"/>
    <w:rsid w:val="00C744CD"/>
    <w:rsid w:val="00C778DA"/>
    <w:rsid w:val="00C9152C"/>
    <w:rsid w:val="00CA0434"/>
    <w:rsid w:val="00CA0F11"/>
    <w:rsid w:val="00CA1649"/>
    <w:rsid w:val="00CA487B"/>
    <w:rsid w:val="00CB2C45"/>
    <w:rsid w:val="00CB65C1"/>
    <w:rsid w:val="00CC0CBE"/>
    <w:rsid w:val="00CC147F"/>
    <w:rsid w:val="00CC31E6"/>
    <w:rsid w:val="00CC4349"/>
    <w:rsid w:val="00CC534D"/>
    <w:rsid w:val="00CD063A"/>
    <w:rsid w:val="00CD0C42"/>
    <w:rsid w:val="00CD22E1"/>
    <w:rsid w:val="00CF45BB"/>
    <w:rsid w:val="00CF69C6"/>
    <w:rsid w:val="00CF72D8"/>
    <w:rsid w:val="00D0030A"/>
    <w:rsid w:val="00D0236E"/>
    <w:rsid w:val="00D0297C"/>
    <w:rsid w:val="00D12B09"/>
    <w:rsid w:val="00D12B74"/>
    <w:rsid w:val="00D13409"/>
    <w:rsid w:val="00D14A87"/>
    <w:rsid w:val="00D1559F"/>
    <w:rsid w:val="00D20B79"/>
    <w:rsid w:val="00D2147F"/>
    <w:rsid w:val="00D22E3E"/>
    <w:rsid w:val="00D248E8"/>
    <w:rsid w:val="00D25834"/>
    <w:rsid w:val="00D2792B"/>
    <w:rsid w:val="00D316CE"/>
    <w:rsid w:val="00D34B28"/>
    <w:rsid w:val="00D46378"/>
    <w:rsid w:val="00D5152C"/>
    <w:rsid w:val="00D535C3"/>
    <w:rsid w:val="00D53BD8"/>
    <w:rsid w:val="00D53E60"/>
    <w:rsid w:val="00D5511F"/>
    <w:rsid w:val="00D64FE9"/>
    <w:rsid w:val="00D659D5"/>
    <w:rsid w:val="00D67A63"/>
    <w:rsid w:val="00D820F7"/>
    <w:rsid w:val="00D8430B"/>
    <w:rsid w:val="00D86F83"/>
    <w:rsid w:val="00D87342"/>
    <w:rsid w:val="00D95651"/>
    <w:rsid w:val="00D9709E"/>
    <w:rsid w:val="00DA3342"/>
    <w:rsid w:val="00DB26F1"/>
    <w:rsid w:val="00DB2D30"/>
    <w:rsid w:val="00DB7B31"/>
    <w:rsid w:val="00DC0AB8"/>
    <w:rsid w:val="00DC2577"/>
    <w:rsid w:val="00DC26CD"/>
    <w:rsid w:val="00DC5298"/>
    <w:rsid w:val="00DD4C3D"/>
    <w:rsid w:val="00DD7EED"/>
    <w:rsid w:val="00DE1E82"/>
    <w:rsid w:val="00DE2D63"/>
    <w:rsid w:val="00DF3072"/>
    <w:rsid w:val="00E02484"/>
    <w:rsid w:val="00E04928"/>
    <w:rsid w:val="00E107B5"/>
    <w:rsid w:val="00E12799"/>
    <w:rsid w:val="00E1465D"/>
    <w:rsid w:val="00E1785E"/>
    <w:rsid w:val="00E239BE"/>
    <w:rsid w:val="00E2620D"/>
    <w:rsid w:val="00E35D09"/>
    <w:rsid w:val="00E42894"/>
    <w:rsid w:val="00E432FA"/>
    <w:rsid w:val="00E507F2"/>
    <w:rsid w:val="00E52190"/>
    <w:rsid w:val="00E570BB"/>
    <w:rsid w:val="00E5789B"/>
    <w:rsid w:val="00E57B39"/>
    <w:rsid w:val="00E60734"/>
    <w:rsid w:val="00E61609"/>
    <w:rsid w:val="00E626D4"/>
    <w:rsid w:val="00E66E9A"/>
    <w:rsid w:val="00E73D66"/>
    <w:rsid w:val="00E766A1"/>
    <w:rsid w:val="00E7799F"/>
    <w:rsid w:val="00E82681"/>
    <w:rsid w:val="00E83E88"/>
    <w:rsid w:val="00E85F5A"/>
    <w:rsid w:val="00E9066C"/>
    <w:rsid w:val="00E934F8"/>
    <w:rsid w:val="00E96C7D"/>
    <w:rsid w:val="00EA23B6"/>
    <w:rsid w:val="00EA368E"/>
    <w:rsid w:val="00EA4B83"/>
    <w:rsid w:val="00EA5351"/>
    <w:rsid w:val="00EA5CA2"/>
    <w:rsid w:val="00EB6006"/>
    <w:rsid w:val="00EB7A10"/>
    <w:rsid w:val="00EC111B"/>
    <w:rsid w:val="00EC4A93"/>
    <w:rsid w:val="00EC50AA"/>
    <w:rsid w:val="00EC5270"/>
    <w:rsid w:val="00ED1DAC"/>
    <w:rsid w:val="00ED3911"/>
    <w:rsid w:val="00ED5871"/>
    <w:rsid w:val="00EE385A"/>
    <w:rsid w:val="00EE5A60"/>
    <w:rsid w:val="00EE62DA"/>
    <w:rsid w:val="00EF0F26"/>
    <w:rsid w:val="00EF3C36"/>
    <w:rsid w:val="00F05924"/>
    <w:rsid w:val="00F06949"/>
    <w:rsid w:val="00F15B0B"/>
    <w:rsid w:val="00F214C1"/>
    <w:rsid w:val="00F24151"/>
    <w:rsid w:val="00F30962"/>
    <w:rsid w:val="00F30BA9"/>
    <w:rsid w:val="00F520A6"/>
    <w:rsid w:val="00F523BC"/>
    <w:rsid w:val="00F56DE0"/>
    <w:rsid w:val="00F60ADF"/>
    <w:rsid w:val="00F67476"/>
    <w:rsid w:val="00F72F68"/>
    <w:rsid w:val="00F742AD"/>
    <w:rsid w:val="00F7468D"/>
    <w:rsid w:val="00F82A39"/>
    <w:rsid w:val="00F82AFD"/>
    <w:rsid w:val="00F82EE2"/>
    <w:rsid w:val="00F8678B"/>
    <w:rsid w:val="00F91127"/>
    <w:rsid w:val="00F93AE4"/>
    <w:rsid w:val="00F977B1"/>
    <w:rsid w:val="00FB16F1"/>
    <w:rsid w:val="00FB4F4A"/>
    <w:rsid w:val="00FB5904"/>
    <w:rsid w:val="00FB593A"/>
    <w:rsid w:val="00FB5D92"/>
    <w:rsid w:val="00FB6323"/>
    <w:rsid w:val="00FB7A02"/>
    <w:rsid w:val="00FC3294"/>
    <w:rsid w:val="00FC53E2"/>
    <w:rsid w:val="00FD6269"/>
    <w:rsid w:val="00FD73C2"/>
    <w:rsid w:val="00FE26DB"/>
    <w:rsid w:val="00FF1DDA"/>
    <w:rsid w:val="00FF213D"/>
    <w:rsid w:val="00FF5B05"/>
    <w:rsid w:val="72EC0678"/>
    <w:rsid w:val="79D26F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1" w:semiHidden="0" w:name="heading 1"/>
    <w:lsdException w:qFormat="1" w:uiPriority="1" w:semiHidden="0" w:name="heading 2"/>
    <w:lsdException w:qFormat="1" w:uiPriority="1" w:semiHidden="0" w:name="heading 3"/>
    <w:lsdException w:qFormat="1" w:uiPriority="1" w:semiHidden="0" w:name="heading 4"/>
    <w:lsdException w:qFormat="1" w:uiPriority="1" w:semiHidden="0" w:name="heading 5"/>
    <w:lsdException w:qFormat="1" w:uiPriority="1" w:semiHidden="0" w:name="heading 6"/>
    <w:lsdException w:qFormat="1" w:uiPriority="99" w:semiHidden="0" w:name="heading 7"/>
    <w:lsdException w:uiPriority="99" w:semiHidden="0" w:name="heading 8"/>
    <w:lsdException w:qFormat="1" w:uiPriority="99" w:semiHidden="0" w:name="heading 9"/>
    <w:lsdException w:qFormat="1" w:unhideWhenUsed="0" w:uiPriority="0" w:name="index 1"/>
    <w:lsdException w:qFormat="1" w:unhideWhenUsed="0" w:uiPriority="0" w:name="index 2"/>
    <w:lsdException w:qFormat="1" w:unhideWhenUsed="0" w:uiPriority="0" w:name="index 3"/>
    <w:lsdException w:unhideWhenUsed="0" w:uiPriority="0" w:name="index 4"/>
    <w:lsdException w:qFormat="1" w:unhideWhenUsed="0" w:uiPriority="0" w:name="index 5"/>
    <w:lsdException w:qFormat="1" w:unhideWhenUsed="0" w:uiPriority="0" w:name="index 6"/>
    <w:lsdException w:unhideWhenUsed="0" w:uiPriority="0" w:name="index 7"/>
    <w:lsdException w:qFormat="1" w:unhideWhenUsed="0" w:uiPriority="0" w:name="index 8"/>
    <w:lsdException w:qFormat="1" w:unhideWhenUsed="0" w:uiPriority="0" w:name="index 9"/>
    <w:lsdException w:qFormat="1" w:uiPriority="39" w:semiHidden="0" w:name="toc 1"/>
    <w:lsdException w:uiPriority="39" w:semiHidden="0" w:name="toc 2"/>
    <w:lsdException w:qFormat="1"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name="Normal Indent"/>
    <w:lsdException w:qFormat="1" w:uiPriority="99" w:semiHidden="0" w:name="footnote text"/>
    <w:lsdException w:uiPriority="0" w:semiHidden="0" w:name="annotation text"/>
    <w:lsdException w:qFormat="1" w:uiPriority="3" w:semiHidden="0" w:name="header"/>
    <w:lsdException w:uiPriority="3" w:semiHidden="0" w:name="footer"/>
    <w:lsdException w:qFormat="1" w:unhideWhenUsed="0" w:uiPriority="0" w:name="index heading"/>
    <w:lsdException w:unhideWhenUsed="0" w:uiPriority="0" w:semiHidden="0" w:name="caption"/>
    <w:lsdException w:qFormat="1" w:unhideWhenUsed="0" w:uiPriority="99" w:semiHidden="0" w:name="table of figures"/>
    <w:lsdException w:unhideWhenUsed="0" w:uiPriority="0" w:name="envelope address"/>
    <w:lsdException w:unhideWhenUsed="0" w:uiPriority="0" w:name="envelope return"/>
    <w:lsdException w:qFormat="1" w:uiPriority="0" w:semiHidden="0" w:name="footnote reference"/>
    <w:lsdException w:qFormat="1" w:uiPriority="0" w:semiHidden="0" w:name="annotation reference"/>
    <w:lsdException w:qFormat="1" w:unhideWhenUsed="0" w:uiPriority="0" w:name="line number"/>
    <w:lsdException w:qFormat="1" w:unhideWhenUsed="0" w:uiPriority="0" w:semiHidden="0" w:name="page number"/>
    <w:lsdException w:qFormat="1" w:unhideWhenUsed="0" w:uiPriority="0" w:name="endnote reference"/>
    <w:lsdException w:unhideWhenUsed="0" w:uiPriority="0" w:name="endnote text"/>
    <w:lsdException w:qFormat="1" w:unhideWhenUsed="0" w:uiPriority="0" w:name="table of authorities"/>
    <w:lsdException w:qFormat="1" w:unhideWhenUsed="0" w:uiPriority="0" w:name="macro"/>
    <w:lsdException w:qFormat="1" w:unhideWhenUsed="0" w:uiPriority="0" w:semiHidden="0" w:name="toa heading"/>
    <w:lsdException w:qFormat="1" w:unhideWhenUsed="0" w:uiPriority="0" w:name="List"/>
    <w:lsdException w:qFormat="1" w:unhideWhenUsed="0" w:uiPriority="0" w:name="List Bullet"/>
    <w:lsdException w:qFormat="1" w:unhideWhenUsed="0" w:uiPriority="0" w:semiHidden="0" w:name="List Number"/>
    <w:lsdException w:qFormat="1" w:unhideWhenUsed="0" w:uiPriority="0" w:semiHidden="0" w:name="List 2"/>
    <w:lsdException w:qFormat="1" w:unhideWhenUsed="0" w:uiPriority="0" w:name="List 3"/>
    <w:lsdException w:qFormat="1" w:unhideWhenUsed="0" w:uiPriority="0" w:semiHidden="0" w:name="List 4"/>
    <w:lsdException w:qFormat="1" w:unhideWhenUsed="0" w:uiPriority="0" w:semiHidden="0" w:name="List 5"/>
    <w:lsdException w:qFormat="1" w:unhideWhenUsed="0" w:uiPriority="0" w:name="List Bullet 2"/>
    <w:lsdException w:unhideWhenUsed="0" w:uiPriority="0" w:name="List Bullet 3"/>
    <w:lsdException w:unhideWhenUsed="0" w:uiPriority="0" w:name="List Bullet 4"/>
    <w:lsdException w:qFormat="1" w:unhideWhenUsed="0" w:uiPriority="0" w:name="List Bullet 5"/>
    <w:lsdException w:qFormat="1" w:unhideWhenUsed="0" w:uiPriority="0" w:name="List Number 2"/>
    <w:lsdException w:unhideWhenUsed="0" w:uiPriority="0" w:name="List Number 3"/>
    <w:lsdException w:qFormat="1" w:unhideWhenUsed="0" w:uiPriority="0" w:name="List Number 4"/>
    <w:lsdException w:qFormat="1" w:unhideWhenUsed="0" w:uiPriority="0" w:name="List Number 5"/>
    <w:lsdException w:qFormat="1" w:unhideWhenUsed="0" w:uiPriority="0" w:semiHidden="0" w:name="Title"/>
    <w:lsdException w:unhideWhenUsed="0" w:uiPriority="0" w:name="Closing"/>
    <w:lsdException w:qFormat="1" w:unhideWhenUsed="0" w:uiPriority="0" w:name="Signature"/>
    <w:lsdException w:qFormat="1" w:uiPriority="1" w:name="Default Paragraph Font"/>
    <w:lsdException w:uiPriority="99" w:semiHidden="0" w:name="Body Text"/>
    <w:lsdException w:qFormat="1" w:unhideWhenUsed="0" w:uiPriority="0" w:name="Body Text Indent"/>
    <w:lsdException w:unhideWhenUsed="0" w:uiPriority="0" w:name="List Continue"/>
    <w:lsdException w:unhideWhenUsed="0" w:uiPriority="0" w:name="List Continue 2"/>
    <w:lsdException w:qFormat="1" w:unhideWhenUsed="0" w:uiPriority="0" w:name="List Continue 3"/>
    <w:lsdException w:qFormat="1" w:unhideWhenUsed="0" w:uiPriority="0" w:semiHidden="0" w:name="List Continue 4"/>
    <w:lsdException w:qFormat="1"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uiPriority="0" w:name="Body Text First Indent 2"/>
    <w:lsdException w:qFormat="1" w:unhideWhenUsed="0"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qFormat="1" w:uiPriority="0" w:semiHidden="0" w:name="FollowedHyperlink"/>
    <w:lsdException w:unhideWhenUsed="0" w:uiPriority="0" w:semiHidden="0" w:name="Strong"/>
    <w:lsdException w:unhideWhenUsed="0" w:uiPriority="0" w:semiHidden="0" w:name="Emphasis"/>
    <w:lsdException w:qFormat="1" w:unhideWhenUsed="0" w:uiPriority="0" w:name="Document Map"/>
    <w:lsdException w:uiPriority="0" w:semiHidden="0" w:name="Plain Text"/>
    <w:lsdException w:qFormat="1" w:unhideWhenUsed="0" w:uiPriority="0" w:name="E-mail Signature"/>
    <w:lsdException w:qFormat="1" w:uiPriority="0" w:semiHidden="0" w:name="Normal (Web)"/>
    <w:lsdException w:qFormat="1" w:unhideWhenUsed="0" w:uiPriority="0" w:name="HTML Acronym"/>
    <w:lsdException w:qFormat="1" w:unhideWhenUsed="0" w:uiPriority="0" w:name="HTML Address"/>
    <w:lsdException w:unhideWhenUsed="0" w:uiPriority="0" w:name="HTML Cite"/>
    <w:lsdException w:qFormat="1" w:unhideWhenUsed="0" w:uiPriority="0" w:name="HTML Code"/>
    <w:lsdException w:qFormat="1" w:unhideWhenUsed="0" w:uiPriority="0" w:name="HTML Definition"/>
    <w:lsdException w:unhideWhenUsed="0" w:uiPriority="0" w:name="HTML Keyboard"/>
    <w:lsdException w:qFormat="1" w:unhideWhenUsed="0" w:uiPriority="0" w:name="HTML Preformatted"/>
    <w:lsdException w:qFormat="1" w:unhideWhenUsed="0" w:uiPriority="0" w:name="HTML Sample"/>
    <w:lsdException w:qFormat="1" w:unhideWhenUsed="0" w:uiPriority="0" w:name="HTML Typewriter"/>
    <w:lsdException w:unhideWhenUsed="0" w:uiPriority="0" w:name="HTML Variable"/>
    <w:lsdException w:qFormat="1" w:uiPriority="99" w:name="Normal Table"/>
    <w:lsdException w:qFormat="1" w:uiPriority="0" w:semiHidden="0" w:name="annotation subject"/>
    <w:lsdException w:qFormat="1" w:unhideWhenUsed="0" w:uiPriority="0" w:name="Table Simple 1"/>
    <w:lsdException w:qFormat="1" w:unhideWhenUsed="0" w:uiPriority="0" w:name="Table Simple 2"/>
    <w:lsdException w:qFormat="1" w:unhideWhenUsed="0" w:uiPriority="0" w:name="Table Simple 3"/>
    <w:lsdException w:qFormat="1" w:unhideWhenUsed="0" w:uiPriority="0" w:name="Table Classic 1"/>
    <w:lsdException w:qFormat="1" w:unhideWhenUsed="0" w:uiPriority="0" w:name="Table Classic 2"/>
    <w:lsdException w:qFormat="1" w:unhideWhenUsed="0" w:uiPriority="0" w:name="Table Classic 3"/>
    <w:lsdException w:qFormat="1" w:unhideWhenUsed="0" w:uiPriority="0" w:name="Table Classic 4"/>
    <w:lsdException w:unhideWhenUsed="0" w:uiPriority="0" w:name="Table Colorful 1"/>
    <w:lsdException w:qFormat="1" w:unhideWhenUsed="0" w:uiPriority="0" w:name="Table Colorful 2"/>
    <w:lsdException w:qFormat="1" w:unhideWhenUsed="0" w:uiPriority="0" w:name="Table Colorful 3"/>
    <w:lsdException w:qFormat="1" w:unhideWhenUsed="0" w:uiPriority="0" w:name="Table Columns 1"/>
    <w:lsdException w:qFormat="1" w:unhideWhenUsed="0" w:uiPriority="0" w:name="Table Columns 2"/>
    <w:lsdException w:qFormat="1" w:unhideWhenUsed="0" w:uiPriority="0" w:name="Table Columns 3"/>
    <w:lsdException w:qFormat="1" w:unhideWhenUsed="0" w:uiPriority="0" w:name="Table Columns 4"/>
    <w:lsdException w:qFormat="1" w:unhideWhenUsed="0" w:uiPriority="0" w:name="Table Columns 5"/>
    <w:lsdException w:qFormat="1" w:unhideWhenUsed="0" w:uiPriority="0" w:name="Table Grid 1"/>
    <w:lsdException w:qFormat="1" w:unhideWhenUsed="0" w:uiPriority="0" w:name="Table Grid 2"/>
    <w:lsdException w:qFormat="1" w:unhideWhenUsed="0" w:uiPriority="0" w:name="Table Grid 3"/>
    <w:lsdException w:qFormat="1" w:unhideWhenUsed="0" w:uiPriority="0" w:name="Table Grid 4"/>
    <w:lsdException w:qFormat="1" w:unhideWhenUsed="0" w:uiPriority="0" w:name="Table Grid 5"/>
    <w:lsdException w:qFormat="1" w:unhideWhenUsed="0" w:uiPriority="0" w:name="Table Grid 6"/>
    <w:lsdException w:unhideWhenUsed="0" w:uiPriority="0" w:name="Table Grid 7"/>
    <w:lsdException w:qFormat="1" w:unhideWhenUsed="0" w:uiPriority="0" w:name="Table Grid 8"/>
    <w:lsdException w:qFormat="1" w:unhideWhenUsed="0" w:uiPriority="0" w:name="Table List 1"/>
    <w:lsdException w:qFormat="1" w:unhideWhenUsed="0" w:uiPriority="0" w:name="Table List 2"/>
    <w:lsdException w:qFormat="1" w:unhideWhenUsed="0" w:uiPriority="0" w:name="Table List 3"/>
    <w:lsdException w:qFormat="1" w:unhideWhenUsed="0" w:uiPriority="0" w:name="Table List 4"/>
    <w:lsdException w:qFormat="1" w:unhideWhenUsed="0" w:uiPriority="0" w:name="Table List 5"/>
    <w:lsdException w:qFormat="1" w:unhideWhenUsed="0" w:uiPriority="0" w:name="Table List 6"/>
    <w:lsdException w:qFormat="1" w:unhideWhenUsed="0" w:uiPriority="0" w:name="Table List 7"/>
    <w:lsdException w:unhideWhenUsed="0" w:uiPriority="0" w:name="Table List 8"/>
    <w:lsdException w:qFormat="1" w:unhideWhenUsed="0" w:uiPriority="0" w:name="Table 3D effects 1"/>
    <w:lsdException w:qFormat="1" w:unhideWhenUsed="0" w:uiPriority="0" w:name="Table 3D effects 2"/>
    <w:lsdException w:unhideWhenUsed="0" w:uiPriority="0" w:name="Table 3D effects 3"/>
    <w:lsdException w:qFormat="1" w:unhideWhenUsed="0" w:uiPriority="0" w:name="Table Contemporary"/>
    <w:lsdException w:qFormat="1" w:unhideWhenUsed="0" w:uiPriority="0" w:name="Table Elegant"/>
    <w:lsdException w:qFormat="1" w:uiPriority="0" w:name="Table Professional"/>
    <w:lsdException w:qFormat="1" w:unhideWhenUsed="0" w:uiPriority="0" w:name="Table Subtle 1"/>
    <w:lsdException w:unhideWhenUsed="0" w:uiPriority="0" w:name="Table Subtle 2"/>
    <w:lsdException w:qFormat="1" w:unhideWhenUsed="0" w:uiPriority="0" w:name="Table Web 1"/>
    <w:lsdException w:qFormat="1" w:unhideWhenUsed="0" w:uiPriority="0" w:name="Table Web 2"/>
    <w:lsdException w:unhideWhenUsed="0" w:uiPriority="0" w:name="Table Web 3"/>
    <w:lsdException w:uiPriority="0" w:semiHidden="0" w:name="Balloon Text"/>
    <w:lsdException w:qFormat="1" w:unhideWhenUsed="0" w:uiPriority="0" w:semiHidden="0" w:name="Table Grid"/>
    <w:lsdException w:qFormat="1" w:unhideWhenUsed="0" w:uiPriority="0" w:semiHidden="0" w:name="Table Theme"/>
    <w:lsdException w:qFormat="1" w:unhideWhenUsed="0" w:uiPriority="99" w:name="Placeholder Text"/>
    <w:lsdException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420"/>
      <w:jc w:val="both"/>
    </w:pPr>
    <w:rPr>
      <w:rFonts w:ascii="Times New Roman" w:hAnsi="Times New Roman" w:eastAsia="宋体" w:cstheme="minorBidi"/>
      <w:kern w:val="2"/>
      <w:sz w:val="21"/>
      <w:szCs w:val="22"/>
      <w:lang w:val="en-US" w:eastAsia="zh-CN" w:bidi="ar-SA"/>
    </w:rPr>
  </w:style>
  <w:style w:type="paragraph" w:styleId="3">
    <w:name w:val="heading 1"/>
    <w:next w:val="1"/>
    <w:link w:val="151"/>
    <w:qFormat/>
    <w:uiPriority w:val="1"/>
    <w:pPr>
      <w:keepNext/>
      <w:keepLines/>
      <w:pageBreakBefore/>
      <w:numPr>
        <w:ilvl w:val="0"/>
        <w:numId w:val="1"/>
      </w:numPr>
      <w:spacing w:before="340" w:after="330" w:line="578" w:lineRule="auto"/>
      <w:outlineLvl w:val="0"/>
    </w:pPr>
    <w:rPr>
      <w:rFonts w:ascii="Times New Roman" w:hAnsi="Times New Roman" w:eastAsia="宋体" w:cstheme="minorBidi"/>
      <w:b/>
      <w:bCs/>
      <w:kern w:val="44"/>
      <w:sz w:val="44"/>
      <w:szCs w:val="44"/>
      <w:lang w:val="en-US" w:eastAsia="zh-CN" w:bidi="ar-SA"/>
    </w:rPr>
  </w:style>
  <w:style w:type="paragraph" w:styleId="4">
    <w:name w:val="heading 2"/>
    <w:basedOn w:val="1"/>
    <w:next w:val="1"/>
    <w:link w:val="152"/>
    <w:unhideWhenUsed/>
    <w:qFormat/>
    <w:uiPriority w:val="1"/>
    <w:pPr>
      <w:keepNext/>
      <w:keepLines/>
      <w:numPr>
        <w:ilvl w:val="1"/>
        <w:numId w:val="1"/>
      </w:numPr>
      <w:spacing w:before="260" w:after="260" w:line="416" w:lineRule="auto"/>
      <w:outlineLvl w:val="1"/>
    </w:pPr>
    <w:rPr>
      <w:rFonts w:cstheme="majorBidi"/>
      <w:b/>
      <w:bCs/>
      <w:sz w:val="32"/>
      <w:szCs w:val="32"/>
    </w:rPr>
  </w:style>
  <w:style w:type="paragraph" w:styleId="5">
    <w:name w:val="heading 3"/>
    <w:basedOn w:val="1"/>
    <w:next w:val="1"/>
    <w:link w:val="153"/>
    <w:unhideWhenUsed/>
    <w:qFormat/>
    <w:uiPriority w:val="1"/>
    <w:pPr>
      <w:keepNext/>
      <w:keepLines/>
      <w:numPr>
        <w:ilvl w:val="2"/>
        <w:numId w:val="1"/>
      </w:numPr>
      <w:spacing w:before="260" w:after="260" w:line="416" w:lineRule="auto"/>
      <w:outlineLvl w:val="2"/>
    </w:pPr>
    <w:rPr>
      <w:b/>
      <w:bCs/>
      <w:sz w:val="30"/>
      <w:szCs w:val="32"/>
    </w:rPr>
  </w:style>
  <w:style w:type="paragraph" w:styleId="6">
    <w:name w:val="heading 4"/>
    <w:basedOn w:val="1"/>
    <w:next w:val="1"/>
    <w:link w:val="154"/>
    <w:unhideWhenUsed/>
    <w:qFormat/>
    <w:uiPriority w:val="1"/>
    <w:pPr>
      <w:keepNext/>
      <w:keepLines/>
      <w:numPr>
        <w:ilvl w:val="3"/>
        <w:numId w:val="1"/>
      </w:numPr>
      <w:spacing w:before="280" w:after="290" w:line="376" w:lineRule="auto"/>
      <w:outlineLvl w:val="3"/>
    </w:pPr>
    <w:rPr>
      <w:rFonts w:cstheme="majorBidi"/>
      <w:b/>
      <w:bCs/>
      <w:sz w:val="28"/>
      <w:szCs w:val="28"/>
    </w:rPr>
  </w:style>
  <w:style w:type="paragraph" w:styleId="7">
    <w:name w:val="heading 5"/>
    <w:basedOn w:val="1"/>
    <w:next w:val="1"/>
    <w:link w:val="155"/>
    <w:unhideWhenUsed/>
    <w:qFormat/>
    <w:uiPriority w:val="1"/>
    <w:pPr>
      <w:keepNext/>
      <w:keepLines/>
      <w:spacing w:before="280" w:after="290" w:line="376" w:lineRule="auto"/>
      <w:ind w:firstLine="0"/>
      <w:outlineLvl w:val="4"/>
    </w:pPr>
    <w:rPr>
      <w:b/>
      <w:bCs/>
      <w:sz w:val="28"/>
      <w:szCs w:val="28"/>
    </w:rPr>
  </w:style>
  <w:style w:type="paragraph" w:styleId="8">
    <w:name w:val="heading 6"/>
    <w:basedOn w:val="1"/>
    <w:next w:val="1"/>
    <w:link w:val="156"/>
    <w:unhideWhenUsed/>
    <w:qFormat/>
    <w:uiPriority w:val="1"/>
    <w:pPr>
      <w:keepNext/>
      <w:keepLines/>
      <w:spacing w:before="240" w:after="64" w:line="320" w:lineRule="auto"/>
      <w:ind w:firstLine="0"/>
      <w:outlineLvl w:val="5"/>
    </w:pPr>
    <w:rPr>
      <w:rFonts w:asciiTheme="majorHAnsi" w:hAnsiTheme="majorHAnsi" w:cstheme="majorBidi"/>
      <w:b/>
      <w:bCs/>
      <w:sz w:val="24"/>
      <w:szCs w:val="24"/>
    </w:rPr>
  </w:style>
  <w:style w:type="paragraph" w:styleId="9">
    <w:name w:val="heading 7"/>
    <w:basedOn w:val="1"/>
    <w:next w:val="1"/>
    <w:link w:val="157"/>
    <w:unhideWhenUsed/>
    <w:qFormat/>
    <w:uiPriority w:val="99"/>
    <w:pPr>
      <w:keepNext/>
      <w:keepLines/>
      <w:spacing w:before="240" w:after="64" w:line="320" w:lineRule="auto"/>
      <w:ind w:firstLine="0"/>
      <w:outlineLvl w:val="6"/>
    </w:pPr>
    <w:rPr>
      <w:b/>
      <w:bCs/>
      <w:sz w:val="24"/>
      <w:szCs w:val="24"/>
    </w:rPr>
  </w:style>
  <w:style w:type="paragraph" w:styleId="10">
    <w:name w:val="heading 8"/>
    <w:basedOn w:val="1"/>
    <w:next w:val="1"/>
    <w:link w:val="158"/>
    <w:unhideWhenUsed/>
    <w:uiPriority w:val="99"/>
    <w:pPr>
      <w:keepNext/>
      <w:keepLines/>
      <w:spacing w:before="240" w:after="64" w:line="320" w:lineRule="auto"/>
      <w:ind w:firstLine="0"/>
      <w:outlineLvl w:val="7"/>
    </w:pPr>
    <w:rPr>
      <w:rFonts w:asciiTheme="majorHAnsi" w:hAnsiTheme="majorHAnsi" w:eastAsiaTheme="majorEastAsia" w:cstheme="majorBidi"/>
      <w:sz w:val="24"/>
      <w:szCs w:val="24"/>
    </w:rPr>
  </w:style>
  <w:style w:type="paragraph" w:styleId="11">
    <w:name w:val="heading 9"/>
    <w:basedOn w:val="1"/>
    <w:next w:val="1"/>
    <w:link w:val="159"/>
    <w:unhideWhenUsed/>
    <w:qFormat/>
    <w:uiPriority w:val="99"/>
    <w:pPr>
      <w:keepNext/>
      <w:keepLines/>
      <w:numPr>
        <w:ilvl w:val="8"/>
        <w:numId w:val="1"/>
      </w:numPr>
      <w:spacing w:before="240" w:after="64" w:line="320" w:lineRule="auto"/>
      <w:outlineLvl w:val="8"/>
    </w:pPr>
    <w:rPr>
      <w:rFonts w:asciiTheme="majorHAnsi" w:hAnsiTheme="majorHAnsi" w:eastAsiaTheme="majorEastAsia" w:cstheme="majorBidi"/>
      <w:szCs w:val="21"/>
    </w:rPr>
  </w:style>
  <w:style w:type="character" w:default="1" w:styleId="128">
    <w:name w:val="Default Paragraph Font"/>
    <w:semiHidden/>
    <w:unhideWhenUsed/>
    <w:qFormat/>
    <w:uiPriority w:val="1"/>
  </w:style>
  <w:style w:type="table" w:default="1" w:styleId="82">
    <w:name w:val="Normal Table"/>
    <w:semiHidden/>
    <w:unhideWhenUsed/>
    <w:qFormat/>
    <w:uiPriority w:val="99"/>
    <w:tblPr>
      <w:tblCellMar>
        <w:top w:w="0" w:type="dxa"/>
        <w:left w:w="108" w:type="dxa"/>
        <w:bottom w:w="0" w:type="dxa"/>
        <w:right w:w="108" w:type="dxa"/>
      </w:tblCellMar>
    </w:tblPr>
  </w:style>
  <w:style w:type="paragraph" w:styleId="2">
    <w:name w:val="macro"/>
    <w:link w:val="298"/>
    <w:semiHidden/>
    <w:qFormat/>
    <w:uiPriority w:val="0"/>
    <w:pPr>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adjustRightInd w:val="0"/>
      <w:snapToGrid w:val="0"/>
      <w:spacing w:before="160" w:after="160"/>
      <w:ind w:left="1701"/>
    </w:pPr>
    <w:rPr>
      <w:rFonts w:ascii="Courier New" w:hAnsi="Courier New" w:eastAsia="宋体" w:cs="Courier New"/>
      <w:kern w:val="2"/>
      <w:sz w:val="24"/>
      <w:szCs w:val="24"/>
      <w:lang w:val="en-US" w:eastAsia="zh-CN" w:bidi="ar-SA"/>
    </w:rPr>
  </w:style>
  <w:style w:type="paragraph" w:styleId="12">
    <w:name w:val="List 3"/>
    <w:basedOn w:val="1"/>
    <w:semiHidden/>
    <w:qFormat/>
    <w:uiPriority w:val="0"/>
    <w:pPr>
      <w:widowControl/>
      <w:topLinePunct/>
      <w:adjustRightInd w:val="0"/>
      <w:snapToGrid w:val="0"/>
      <w:spacing w:before="160" w:after="160" w:line="240" w:lineRule="atLeast"/>
      <w:ind w:left="100" w:leftChars="400" w:hanging="200" w:hangingChars="200"/>
      <w:jc w:val="left"/>
    </w:pPr>
    <w:rPr>
      <w:rFonts w:cs="Arial"/>
      <w:szCs w:val="21"/>
    </w:rPr>
  </w:style>
  <w:style w:type="paragraph" w:styleId="13">
    <w:name w:val="toc 7"/>
    <w:basedOn w:val="1"/>
    <w:next w:val="1"/>
    <w:autoRedefine/>
    <w:qFormat/>
    <w:uiPriority w:val="39"/>
    <w:pPr>
      <w:widowControl/>
      <w:spacing w:before="40" w:after="40" w:line="240" w:lineRule="auto"/>
      <w:ind w:left="2520" w:firstLine="0"/>
    </w:pPr>
    <w:rPr>
      <w:rFonts w:ascii="Arial" w:hAnsi="Arial" w:cs="Arial"/>
      <w:szCs w:val="20"/>
    </w:rPr>
  </w:style>
  <w:style w:type="paragraph" w:styleId="14">
    <w:name w:val="List Number 2"/>
    <w:basedOn w:val="1"/>
    <w:semiHidden/>
    <w:qFormat/>
    <w:uiPriority w:val="0"/>
    <w:pPr>
      <w:widowControl/>
      <w:tabs>
        <w:tab w:val="left" w:pos="432"/>
      </w:tabs>
      <w:topLinePunct/>
      <w:adjustRightInd w:val="0"/>
      <w:snapToGrid w:val="0"/>
      <w:spacing w:before="160" w:after="160" w:line="240" w:lineRule="atLeast"/>
      <w:ind w:left="432" w:hanging="432"/>
      <w:jc w:val="left"/>
    </w:pPr>
    <w:rPr>
      <w:rFonts w:cs="Arial"/>
      <w:szCs w:val="21"/>
    </w:rPr>
  </w:style>
  <w:style w:type="paragraph" w:styleId="15">
    <w:name w:val="table of authorities"/>
    <w:basedOn w:val="1"/>
    <w:next w:val="1"/>
    <w:semiHidden/>
    <w:qFormat/>
    <w:uiPriority w:val="0"/>
    <w:pPr>
      <w:widowControl/>
      <w:topLinePunct/>
      <w:adjustRightInd w:val="0"/>
      <w:snapToGrid w:val="0"/>
      <w:spacing w:before="160" w:after="160" w:line="240" w:lineRule="atLeast"/>
      <w:ind w:left="420" w:firstLine="0"/>
      <w:jc w:val="left"/>
    </w:pPr>
    <w:rPr>
      <w:rFonts w:cs="Arial"/>
      <w:szCs w:val="21"/>
    </w:rPr>
  </w:style>
  <w:style w:type="paragraph" w:styleId="16">
    <w:name w:val="Note Heading"/>
    <w:basedOn w:val="1"/>
    <w:next w:val="1"/>
    <w:link w:val="313"/>
    <w:semiHidden/>
    <w:qFormat/>
    <w:uiPriority w:val="0"/>
    <w:pPr>
      <w:widowControl/>
      <w:topLinePunct/>
      <w:adjustRightInd w:val="0"/>
      <w:snapToGrid w:val="0"/>
      <w:spacing w:before="160" w:after="160" w:line="240" w:lineRule="atLeast"/>
      <w:ind w:left="1701" w:firstLine="0"/>
      <w:jc w:val="center"/>
    </w:pPr>
    <w:rPr>
      <w:rFonts w:cs="Arial"/>
      <w:szCs w:val="21"/>
    </w:rPr>
  </w:style>
  <w:style w:type="paragraph" w:styleId="17">
    <w:name w:val="List Bullet 4"/>
    <w:basedOn w:val="1"/>
    <w:autoRedefine/>
    <w:semiHidden/>
    <w:uiPriority w:val="0"/>
    <w:pPr>
      <w:widowControl/>
      <w:tabs>
        <w:tab w:val="left" w:pos="432"/>
      </w:tabs>
      <w:topLinePunct/>
      <w:adjustRightInd w:val="0"/>
      <w:snapToGrid w:val="0"/>
      <w:spacing w:before="160" w:after="160" w:line="240" w:lineRule="atLeast"/>
      <w:ind w:left="432" w:hanging="432"/>
      <w:jc w:val="left"/>
    </w:pPr>
    <w:rPr>
      <w:rFonts w:cs="Arial"/>
      <w:szCs w:val="21"/>
    </w:rPr>
  </w:style>
  <w:style w:type="paragraph" w:styleId="18">
    <w:name w:val="index 8"/>
    <w:basedOn w:val="1"/>
    <w:next w:val="1"/>
    <w:autoRedefine/>
    <w:semiHidden/>
    <w:qFormat/>
    <w:uiPriority w:val="0"/>
    <w:pPr>
      <w:widowControl/>
      <w:topLinePunct/>
      <w:adjustRightInd w:val="0"/>
      <w:snapToGrid w:val="0"/>
      <w:spacing w:before="160" w:after="160" w:line="240" w:lineRule="atLeast"/>
      <w:ind w:left="1680" w:hanging="210"/>
      <w:jc w:val="left"/>
    </w:pPr>
    <w:rPr>
      <w:rFonts w:cs="Arial"/>
      <w:sz w:val="20"/>
      <w:szCs w:val="20"/>
    </w:rPr>
  </w:style>
  <w:style w:type="paragraph" w:styleId="19">
    <w:name w:val="E-mail Signature"/>
    <w:basedOn w:val="1"/>
    <w:link w:val="305"/>
    <w:semiHidden/>
    <w:qFormat/>
    <w:uiPriority w:val="0"/>
    <w:pPr>
      <w:widowControl/>
      <w:topLinePunct/>
      <w:adjustRightInd w:val="0"/>
      <w:snapToGrid w:val="0"/>
      <w:spacing w:before="160" w:after="160" w:line="240" w:lineRule="atLeast"/>
      <w:ind w:left="1701" w:firstLine="0"/>
      <w:jc w:val="left"/>
    </w:pPr>
    <w:rPr>
      <w:rFonts w:cs="Arial"/>
      <w:szCs w:val="21"/>
    </w:rPr>
  </w:style>
  <w:style w:type="paragraph" w:styleId="20">
    <w:name w:val="List Number"/>
    <w:basedOn w:val="1"/>
    <w:qFormat/>
    <w:uiPriority w:val="0"/>
    <w:pPr>
      <w:widowControl/>
      <w:numPr>
        <w:ilvl w:val="0"/>
        <w:numId w:val="2"/>
      </w:numPr>
      <w:topLinePunct/>
      <w:adjustRightInd w:val="0"/>
      <w:snapToGrid w:val="0"/>
      <w:spacing w:before="160" w:after="160" w:line="240" w:lineRule="atLeast"/>
      <w:jc w:val="left"/>
    </w:pPr>
    <w:rPr>
      <w:rFonts w:cs="Arial"/>
      <w:szCs w:val="21"/>
    </w:rPr>
  </w:style>
  <w:style w:type="paragraph" w:styleId="21">
    <w:name w:val="Normal Indent"/>
    <w:basedOn w:val="1"/>
    <w:semiHidden/>
    <w:qFormat/>
    <w:uiPriority w:val="0"/>
    <w:pPr>
      <w:widowControl/>
      <w:topLinePunct/>
      <w:adjustRightInd w:val="0"/>
      <w:snapToGrid w:val="0"/>
      <w:spacing w:before="160" w:after="160" w:line="240" w:lineRule="atLeast"/>
      <w:ind w:left="1701" w:firstLine="200" w:firstLineChars="200"/>
      <w:jc w:val="left"/>
    </w:pPr>
    <w:rPr>
      <w:rFonts w:cs="Arial"/>
      <w:szCs w:val="21"/>
    </w:rPr>
  </w:style>
  <w:style w:type="paragraph" w:styleId="22">
    <w:name w:val="caption"/>
    <w:basedOn w:val="1"/>
    <w:next w:val="1"/>
    <w:uiPriority w:val="0"/>
    <w:pPr>
      <w:widowControl/>
      <w:spacing w:before="152" w:after="160" w:line="240" w:lineRule="auto"/>
      <w:ind w:left="624" w:firstLine="0"/>
    </w:pPr>
    <w:rPr>
      <w:rFonts w:ascii="Arial" w:hAnsi="Arial" w:eastAsia="黑体" w:cs="Arial"/>
      <w:szCs w:val="20"/>
    </w:rPr>
  </w:style>
  <w:style w:type="paragraph" w:styleId="23">
    <w:name w:val="index 5"/>
    <w:basedOn w:val="1"/>
    <w:next w:val="1"/>
    <w:autoRedefine/>
    <w:semiHidden/>
    <w:qFormat/>
    <w:uiPriority w:val="0"/>
    <w:pPr>
      <w:widowControl/>
      <w:topLinePunct/>
      <w:adjustRightInd w:val="0"/>
      <w:snapToGrid w:val="0"/>
      <w:spacing w:before="160" w:after="160" w:line="240" w:lineRule="atLeast"/>
      <w:ind w:left="1050" w:hanging="210"/>
      <w:jc w:val="left"/>
    </w:pPr>
    <w:rPr>
      <w:rFonts w:cs="Arial"/>
      <w:sz w:val="20"/>
      <w:szCs w:val="20"/>
    </w:rPr>
  </w:style>
  <w:style w:type="paragraph" w:styleId="24">
    <w:name w:val="List Bullet"/>
    <w:basedOn w:val="1"/>
    <w:autoRedefine/>
    <w:semiHidden/>
    <w:qFormat/>
    <w:uiPriority w:val="0"/>
    <w:pPr>
      <w:widowControl/>
      <w:tabs>
        <w:tab w:val="left" w:pos="432"/>
      </w:tabs>
      <w:topLinePunct/>
      <w:adjustRightInd w:val="0"/>
      <w:snapToGrid w:val="0"/>
      <w:spacing w:before="160" w:after="160" w:line="240" w:lineRule="atLeast"/>
      <w:ind w:left="432" w:hanging="432"/>
      <w:jc w:val="left"/>
    </w:pPr>
    <w:rPr>
      <w:rFonts w:cs="Arial"/>
      <w:szCs w:val="21"/>
    </w:rPr>
  </w:style>
  <w:style w:type="paragraph" w:styleId="25">
    <w:name w:val="envelope address"/>
    <w:basedOn w:val="1"/>
    <w:semiHidden/>
    <w:uiPriority w:val="0"/>
    <w:pPr>
      <w:framePr w:w="7920" w:h="1980" w:hRule="exact" w:hSpace="180" w:wrap="auto" w:vAnchor="margin" w:hAnchor="page" w:xAlign="center" w:yAlign="bottom"/>
      <w:widowControl/>
      <w:topLinePunct/>
      <w:adjustRightInd w:val="0"/>
      <w:snapToGrid w:val="0"/>
      <w:spacing w:before="160" w:after="160" w:line="240" w:lineRule="atLeast"/>
      <w:ind w:left="100" w:leftChars="1400" w:firstLine="0"/>
      <w:jc w:val="left"/>
    </w:pPr>
    <w:rPr>
      <w:rFonts w:ascii="Arial" w:hAnsi="Arial" w:cs="Arial"/>
      <w:szCs w:val="21"/>
    </w:rPr>
  </w:style>
  <w:style w:type="paragraph" w:styleId="26">
    <w:name w:val="Document Map"/>
    <w:basedOn w:val="1"/>
    <w:link w:val="198"/>
    <w:semiHidden/>
    <w:qFormat/>
    <w:uiPriority w:val="0"/>
    <w:pPr>
      <w:widowControl/>
      <w:shd w:val="clear" w:color="auto" w:fill="000080"/>
      <w:spacing w:before="40" w:after="40" w:line="240" w:lineRule="auto"/>
      <w:ind w:left="624" w:firstLine="0"/>
    </w:pPr>
    <w:rPr>
      <w:rFonts w:ascii="Arial" w:hAnsi="Arial" w:cs="Arial"/>
      <w:szCs w:val="20"/>
    </w:rPr>
  </w:style>
  <w:style w:type="paragraph" w:styleId="27">
    <w:name w:val="toa heading"/>
    <w:basedOn w:val="1"/>
    <w:next w:val="1"/>
    <w:qFormat/>
    <w:uiPriority w:val="0"/>
    <w:pPr>
      <w:widowControl/>
      <w:topLinePunct/>
      <w:adjustRightInd w:val="0"/>
      <w:snapToGrid w:val="0"/>
      <w:spacing w:before="120" w:after="160" w:line="240" w:lineRule="atLeast"/>
      <w:ind w:left="1701" w:firstLine="0"/>
      <w:jc w:val="left"/>
    </w:pPr>
    <w:rPr>
      <w:rFonts w:ascii="Arial" w:hAnsi="Arial" w:cs="Arial"/>
      <w:szCs w:val="21"/>
    </w:rPr>
  </w:style>
  <w:style w:type="paragraph" w:styleId="28">
    <w:name w:val="annotation text"/>
    <w:basedOn w:val="1"/>
    <w:link w:val="179"/>
    <w:unhideWhenUsed/>
    <w:uiPriority w:val="0"/>
    <w:pPr>
      <w:jc w:val="left"/>
    </w:pPr>
  </w:style>
  <w:style w:type="paragraph" w:styleId="29">
    <w:name w:val="index 6"/>
    <w:basedOn w:val="1"/>
    <w:next w:val="1"/>
    <w:autoRedefine/>
    <w:semiHidden/>
    <w:qFormat/>
    <w:uiPriority w:val="0"/>
    <w:pPr>
      <w:widowControl/>
      <w:topLinePunct/>
      <w:adjustRightInd w:val="0"/>
      <w:snapToGrid w:val="0"/>
      <w:spacing w:before="160" w:after="160" w:line="240" w:lineRule="atLeast"/>
      <w:ind w:left="1260" w:hanging="210"/>
      <w:jc w:val="left"/>
    </w:pPr>
    <w:rPr>
      <w:rFonts w:cs="Arial"/>
      <w:sz w:val="20"/>
      <w:szCs w:val="20"/>
    </w:rPr>
  </w:style>
  <w:style w:type="paragraph" w:styleId="30">
    <w:name w:val="Salutation"/>
    <w:basedOn w:val="1"/>
    <w:next w:val="1"/>
    <w:link w:val="304"/>
    <w:uiPriority w:val="0"/>
    <w:pPr>
      <w:widowControl/>
      <w:topLinePunct/>
      <w:adjustRightInd w:val="0"/>
      <w:snapToGrid w:val="0"/>
      <w:spacing w:before="160" w:after="160" w:line="240" w:lineRule="atLeast"/>
      <w:ind w:left="1701" w:firstLine="0"/>
      <w:jc w:val="left"/>
    </w:pPr>
    <w:rPr>
      <w:rFonts w:cs="Arial"/>
      <w:szCs w:val="21"/>
    </w:rPr>
  </w:style>
  <w:style w:type="paragraph" w:styleId="31">
    <w:name w:val="Closing"/>
    <w:basedOn w:val="1"/>
    <w:link w:val="307"/>
    <w:semiHidden/>
    <w:uiPriority w:val="0"/>
    <w:pPr>
      <w:widowControl/>
      <w:topLinePunct/>
      <w:adjustRightInd w:val="0"/>
      <w:snapToGrid w:val="0"/>
      <w:spacing w:before="160" w:after="160" w:line="240" w:lineRule="atLeast"/>
      <w:ind w:left="100" w:leftChars="2100" w:firstLine="0"/>
      <w:jc w:val="left"/>
    </w:pPr>
    <w:rPr>
      <w:rFonts w:cs="Arial"/>
      <w:szCs w:val="21"/>
    </w:rPr>
  </w:style>
  <w:style w:type="paragraph" w:styleId="32">
    <w:name w:val="List Bullet 3"/>
    <w:basedOn w:val="1"/>
    <w:autoRedefine/>
    <w:semiHidden/>
    <w:uiPriority w:val="0"/>
    <w:pPr>
      <w:widowControl/>
      <w:tabs>
        <w:tab w:val="left" w:pos="432"/>
      </w:tabs>
      <w:topLinePunct/>
      <w:adjustRightInd w:val="0"/>
      <w:snapToGrid w:val="0"/>
      <w:spacing w:before="160" w:after="160" w:line="240" w:lineRule="atLeast"/>
      <w:ind w:left="432" w:hanging="432"/>
      <w:jc w:val="left"/>
    </w:pPr>
    <w:rPr>
      <w:rFonts w:cs="Arial"/>
      <w:szCs w:val="21"/>
    </w:rPr>
  </w:style>
  <w:style w:type="paragraph" w:styleId="33">
    <w:name w:val="Body Text"/>
    <w:basedOn w:val="1"/>
    <w:link w:val="259"/>
    <w:unhideWhenUsed/>
    <w:uiPriority w:val="99"/>
    <w:pPr>
      <w:widowControl/>
      <w:spacing w:before="100" w:after="100" w:line="240" w:lineRule="auto"/>
      <w:ind w:left="400" w:leftChars="400" w:firstLine="0"/>
    </w:pPr>
    <w:rPr>
      <w:rFonts w:ascii="Arial" w:hAnsi="Arial" w:cs="Times New Roman"/>
      <w:szCs w:val="21"/>
    </w:rPr>
  </w:style>
  <w:style w:type="paragraph" w:styleId="34">
    <w:name w:val="Body Text Indent"/>
    <w:basedOn w:val="1"/>
    <w:link w:val="312"/>
    <w:semiHidden/>
    <w:qFormat/>
    <w:uiPriority w:val="0"/>
    <w:pPr>
      <w:widowControl/>
      <w:topLinePunct/>
      <w:adjustRightInd w:val="0"/>
      <w:snapToGrid w:val="0"/>
      <w:spacing w:before="160" w:after="120" w:line="240" w:lineRule="atLeast"/>
      <w:ind w:left="420" w:leftChars="200" w:firstLine="0"/>
      <w:jc w:val="left"/>
    </w:pPr>
    <w:rPr>
      <w:rFonts w:cs="Arial"/>
      <w:szCs w:val="21"/>
    </w:rPr>
  </w:style>
  <w:style w:type="paragraph" w:styleId="35">
    <w:name w:val="List Number 3"/>
    <w:basedOn w:val="1"/>
    <w:semiHidden/>
    <w:uiPriority w:val="0"/>
    <w:pPr>
      <w:widowControl/>
      <w:tabs>
        <w:tab w:val="left" w:pos="432"/>
      </w:tabs>
      <w:topLinePunct/>
      <w:adjustRightInd w:val="0"/>
      <w:snapToGrid w:val="0"/>
      <w:spacing w:before="160" w:after="160" w:line="240" w:lineRule="atLeast"/>
      <w:ind w:left="432" w:hanging="432"/>
      <w:jc w:val="left"/>
    </w:pPr>
    <w:rPr>
      <w:rFonts w:cs="Arial"/>
      <w:szCs w:val="21"/>
    </w:rPr>
  </w:style>
  <w:style w:type="paragraph" w:styleId="36">
    <w:name w:val="List 2"/>
    <w:basedOn w:val="1"/>
    <w:qFormat/>
    <w:uiPriority w:val="0"/>
    <w:pPr>
      <w:widowControl/>
      <w:topLinePunct/>
      <w:adjustRightInd w:val="0"/>
      <w:snapToGrid w:val="0"/>
      <w:spacing w:before="160" w:after="160" w:line="240" w:lineRule="atLeast"/>
      <w:ind w:left="100" w:leftChars="200" w:hanging="200" w:hangingChars="200"/>
      <w:jc w:val="left"/>
    </w:pPr>
    <w:rPr>
      <w:rFonts w:cs="Arial"/>
      <w:szCs w:val="21"/>
    </w:rPr>
  </w:style>
  <w:style w:type="paragraph" w:styleId="37">
    <w:name w:val="List Continue"/>
    <w:basedOn w:val="1"/>
    <w:semiHidden/>
    <w:uiPriority w:val="0"/>
    <w:pPr>
      <w:widowControl/>
      <w:topLinePunct/>
      <w:adjustRightInd w:val="0"/>
      <w:snapToGrid w:val="0"/>
      <w:spacing w:before="160" w:after="120" w:line="240" w:lineRule="atLeast"/>
      <w:ind w:left="420" w:leftChars="200" w:firstLine="0"/>
      <w:jc w:val="left"/>
    </w:pPr>
    <w:rPr>
      <w:rFonts w:cs="Arial"/>
      <w:szCs w:val="21"/>
    </w:rPr>
  </w:style>
  <w:style w:type="paragraph" w:styleId="38">
    <w:name w:val="List Bullet 2"/>
    <w:basedOn w:val="1"/>
    <w:autoRedefine/>
    <w:semiHidden/>
    <w:qFormat/>
    <w:uiPriority w:val="0"/>
    <w:pPr>
      <w:widowControl/>
      <w:tabs>
        <w:tab w:val="left" w:pos="432"/>
      </w:tabs>
      <w:topLinePunct/>
      <w:adjustRightInd w:val="0"/>
      <w:snapToGrid w:val="0"/>
      <w:spacing w:before="160" w:after="160" w:line="240" w:lineRule="atLeast"/>
      <w:ind w:left="432" w:hanging="432"/>
      <w:jc w:val="left"/>
    </w:pPr>
    <w:rPr>
      <w:rFonts w:cs="Arial"/>
      <w:szCs w:val="21"/>
    </w:rPr>
  </w:style>
  <w:style w:type="paragraph" w:styleId="39">
    <w:name w:val="HTML Address"/>
    <w:basedOn w:val="1"/>
    <w:link w:val="302"/>
    <w:semiHidden/>
    <w:qFormat/>
    <w:uiPriority w:val="0"/>
    <w:pPr>
      <w:widowControl/>
      <w:topLinePunct/>
      <w:adjustRightInd w:val="0"/>
      <w:snapToGrid w:val="0"/>
      <w:spacing w:before="160" w:after="160" w:line="240" w:lineRule="atLeast"/>
      <w:ind w:left="1701" w:firstLine="0"/>
      <w:jc w:val="left"/>
    </w:pPr>
    <w:rPr>
      <w:rFonts w:cs="Arial"/>
      <w:i/>
      <w:iCs/>
      <w:szCs w:val="21"/>
    </w:rPr>
  </w:style>
  <w:style w:type="paragraph" w:styleId="40">
    <w:name w:val="index 4"/>
    <w:basedOn w:val="1"/>
    <w:next w:val="1"/>
    <w:autoRedefine/>
    <w:semiHidden/>
    <w:uiPriority w:val="0"/>
    <w:pPr>
      <w:widowControl/>
      <w:topLinePunct/>
      <w:adjustRightInd w:val="0"/>
      <w:snapToGrid w:val="0"/>
      <w:spacing w:before="160" w:after="160" w:line="240" w:lineRule="atLeast"/>
      <w:ind w:left="1260" w:firstLine="0"/>
      <w:jc w:val="left"/>
    </w:pPr>
    <w:rPr>
      <w:rFonts w:cs="Arial"/>
      <w:szCs w:val="21"/>
    </w:rPr>
  </w:style>
  <w:style w:type="paragraph" w:styleId="41">
    <w:name w:val="toc 5"/>
    <w:basedOn w:val="1"/>
    <w:next w:val="1"/>
    <w:autoRedefine/>
    <w:qFormat/>
    <w:uiPriority w:val="39"/>
    <w:pPr>
      <w:widowControl/>
      <w:spacing w:before="40" w:after="40" w:line="240" w:lineRule="auto"/>
      <w:ind w:left="1680" w:firstLine="0"/>
    </w:pPr>
    <w:rPr>
      <w:rFonts w:ascii="Arial" w:hAnsi="Arial" w:cs="Arial"/>
      <w:szCs w:val="20"/>
    </w:rPr>
  </w:style>
  <w:style w:type="paragraph" w:styleId="42">
    <w:name w:val="toc 3"/>
    <w:basedOn w:val="1"/>
    <w:next w:val="1"/>
    <w:unhideWhenUsed/>
    <w:qFormat/>
    <w:uiPriority w:val="39"/>
    <w:pPr>
      <w:spacing w:line="240" w:lineRule="auto"/>
      <w:ind w:left="400" w:leftChars="400"/>
    </w:pPr>
  </w:style>
  <w:style w:type="paragraph" w:styleId="43">
    <w:name w:val="Plain Text"/>
    <w:basedOn w:val="1"/>
    <w:link w:val="260"/>
    <w:unhideWhenUsed/>
    <w:uiPriority w:val="0"/>
    <w:pPr>
      <w:spacing w:before="40" w:after="40" w:line="240" w:lineRule="auto"/>
      <w:ind w:left="624" w:firstLine="0"/>
    </w:pPr>
    <w:rPr>
      <w:rFonts w:ascii="宋体" w:hAnsi="Courier New" w:cs="宋体"/>
      <w:szCs w:val="21"/>
    </w:rPr>
  </w:style>
  <w:style w:type="paragraph" w:styleId="44">
    <w:name w:val="List Bullet 5"/>
    <w:basedOn w:val="1"/>
    <w:autoRedefine/>
    <w:semiHidden/>
    <w:qFormat/>
    <w:uiPriority w:val="0"/>
    <w:pPr>
      <w:widowControl/>
      <w:numPr>
        <w:ilvl w:val="0"/>
        <w:numId w:val="3"/>
      </w:numPr>
      <w:topLinePunct/>
      <w:adjustRightInd w:val="0"/>
      <w:snapToGrid w:val="0"/>
      <w:spacing w:before="160" w:after="160" w:line="240" w:lineRule="atLeast"/>
      <w:jc w:val="left"/>
    </w:pPr>
    <w:rPr>
      <w:rFonts w:cs="Arial"/>
      <w:szCs w:val="21"/>
    </w:rPr>
  </w:style>
  <w:style w:type="paragraph" w:styleId="45">
    <w:name w:val="List Number 4"/>
    <w:basedOn w:val="1"/>
    <w:semiHidden/>
    <w:qFormat/>
    <w:uiPriority w:val="0"/>
    <w:pPr>
      <w:widowControl/>
      <w:numPr>
        <w:ilvl w:val="0"/>
        <w:numId w:val="4"/>
      </w:numPr>
      <w:topLinePunct/>
      <w:adjustRightInd w:val="0"/>
      <w:snapToGrid w:val="0"/>
      <w:spacing w:before="160" w:after="160" w:line="240" w:lineRule="atLeast"/>
      <w:jc w:val="left"/>
    </w:pPr>
    <w:rPr>
      <w:rFonts w:cs="Arial"/>
      <w:szCs w:val="21"/>
    </w:rPr>
  </w:style>
  <w:style w:type="paragraph" w:styleId="46">
    <w:name w:val="toc 8"/>
    <w:basedOn w:val="1"/>
    <w:next w:val="1"/>
    <w:autoRedefine/>
    <w:qFormat/>
    <w:uiPriority w:val="39"/>
    <w:pPr>
      <w:widowControl/>
      <w:spacing w:before="40" w:after="40" w:line="240" w:lineRule="auto"/>
      <w:ind w:left="2940" w:firstLine="0"/>
    </w:pPr>
    <w:rPr>
      <w:rFonts w:ascii="Arial" w:hAnsi="Arial" w:cs="Arial"/>
      <w:szCs w:val="20"/>
    </w:rPr>
  </w:style>
  <w:style w:type="paragraph" w:styleId="47">
    <w:name w:val="index 3"/>
    <w:basedOn w:val="1"/>
    <w:next w:val="1"/>
    <w:autoRedefine/>
    <w:semiHidden/>
    <w:qFormat/>
    <w:uiPriority w:val="0"/>
    <w:pPr>
      <w:widowControl/>
      <w:topLinePunct/>
      <w:adjustRightInd w:val="0"/>
      <w:snapToGrid w:val="0"/>
      <w:spacing w:before="160" w:after="160" w:line="240" w:lineRule="atLeast"/>
      <w:ind w:left="400" w:leftChars="400" w:firstLine="0"/>
      <w:jc w:val="left"/>
    </w:pPr>
    <w:rPr>
      <w:rFonts w:cs="Arial"/>
      <w:sz w:val="24"/>
      <w:szCs w:val="21"/>
    </w:rPr>
  </w:style>
  <w:style w:type="paragraph" w:styleId="48">
    <w:name w:val="Date"/>
    <w:basedOn w:val="1"/>
    <w:next w:val="1"/>
    <w:link w:val="309"/>
    <w:qFormat/>
    <w:uiPriority w:val="0"/>
    <w:pPr>
      <w:widowControl/>
      <w:topLinePunct/>
      <w:adjustRightInd w:val="0"/>
      <w:snapToGrid w:val="0"/>
      <w:spacing w:before="160" w:after="160" w:line="240" w:lineRule="atLeast"/>
      <w:ind w:left="100" w:leftChars="2500" w:firstLine="0"/>
      <w:jc w:val="left"/>
    </w:pPr>
    <w:rPr>
      <w:rFonts w:cs="Arial"/>
      <w:szCs w:val="21"/>
    </w:rPr>
  </w:style>
  <w:style w:type="paragraph" w:styleId="49">
    <w:name w:val="endnote text"/>
    <w:basedOn w:val="1"/>
    <w:link w:val="300"/>
    <w:semiHidden/>
    <w:uiPriority w:val="0"/>
    <w:pPr>
      <w:widowControl/>
      <w:topLinePunct/>
      <w:adjustRightInd w:val="0"/>
      <w:snapToGrid w:val="0"/>
      <w:spacing w:before="160" w:after="160" w:line="240" w:lineRule="atLeast"/>
      <w:ind w:left="1701" w:firstLine="0"/>
      <w:jc w:val="left"/>
    </w:pPr>
    <w:rPr>
      <w:rFonts w:cs="Arial"/>
      <w:szCs w:val="21"/>
    </w:rPr>
  </w:style>
  <w:style w:type="paragraph" w:styleId="50">
    <w:name w:val="List Continue 5"/>
    <w:basedOn w:val="1"/>
    <w:qFormat/>
    <w:uiPriority w:val="0"/>
    <w:pPr>
      <w:widowControl/>
      <w:topLinePunct/>
      <w:adjustRightInd w:val="0"/>
      <w:snapToGrid w:val="0"/>
      <w:spacing w:before="160" w:after="120" w:line="240" w:lineRule="atLeast"/>
      <w:ind w:left="2100" w:leftChars="1000" w:firstLine="0"/>
      <w:jc w:val="left"/>
    </w:pPr>
    <w:rPr>
      <w:rFonts w:cs="Arial"/>
      <w:szCs w:val="21"/>
    </w:rPr>
  </w:style>
  <w:style w:type="paragraph" w:styleId="51">
    <w:name w:val="Balloon Text"/>
    <w:basedOn w:val="1"/>
    <w:link w:val="169"/>
    <w:unhideWhenUsed/>
    <w:uiPriority w:val="0"/>
    <w:pPr>
      <w:spacing w:line="240" w:lineRule="auto"/>
    </w:pPr>
    <w:rPr>
      <w:sz w:val="18"/>
      <w:szCs w:val="18"/>
    </w:rPr>
  </w:style>
  <w:style w:type="paragraph" w:styleId="52">
    <w:name w:val="footer"/>
    <w:basedOn w:val="1"/>
    <w:link w:val="147"/>
    <w:unhideWhenUsed/>
    <w:uiPriority w:val="3"/>
    <w:pPr>
      <w:tabs>
        <w:tab w:val="center" w:pos="4153"/>
        <w:tab w:val="right" w:pos="8306"/>
      </w:tabs>
      <w:snapToGrid w:val="0"/>
      <w:jc w:val="left"/>
    </w:pPr>
    <w:rPr>
      <w:sz w:val="18"/>
      <w:szCs w:val="18"/>
    </w:rPr>
  </w:style>
  <w:style w:type="paragraph" w:styleId="53">
    <w:name w:val="envelope return"/>
    <w:basedOn w:val="1"/>
    <w:semiHidden/>
    <w:uiPriority w:val="0"/>
    <w:pPr>
      <w:widowControl/>
      <w:topLinePunct/>
      <w:adjustRightInd w:val="0"/>
      <w:snapToGrid w:val="0"/>
      <w:spacing w:before="160" w:after="160" w:line="240" w:lineRule="atLeast"/>
      <w:ind w:left="1701" w:firstLine="0"/>
      <w:jc w:val="left"/>
    </w:pPr>
    <w:rPr>
      <w:rFonts w:ascii="Arial" w:hAnsi="Arial" w:cs="Arial"/>
      <w:szCs w:val="21"/>
    </w:rPr>
  </w:style>
  <w:style w:type="paragraph" w:styleId="54">
    <w:name w:val="header"/>
    <w:basedOn w:val="1"/>
    <w:link w:val="146"/>
    <w:unhideWhenUsed/>
    <w:qFormat/>
    <w:uiPriority w:val="3"/>
    <w:pPr>
      <w:pBdr>
        <w:bottom w:val="single" w:color="auto" w:sz="6" w:space="1"/>
      </w:pBdr>
      <w:tabs>
        <w:tab w:val="center" w:pos="4153"/>
        <w:tab w:val="right" w:pos="8306"/>
      </w:tabs>
      <w:snapToGrid w:val="0"/>
      <w:jc w:val="center"/>
    </w:pPr>
    <w:rPr>
      <w:sz w:val="18"/>
      <w:szCs w:val="18"/>
    </w:rPr>
  </w:style>
  <w:style w:type="paragraph" w:styleId="55">
    <w:name w:val="Signature"/>
    <w:basedOn w:val="1"/>
    <w:link w:val="308"/>
    <w:semiHidden/>
    <w:qFormat/>
    <w:uiPriority w:val="0"/>
    <w:pPr>
      <w:widowControl/>
      <w:topLinePunct/>
      <w:adjustRightInd w:val="0"/>
      <w:snapToGrid w:val="0"/>
      <w:spacing w:before="160" w:after="160" w:line="240" w:lineRule="atLeast"/>
      <w:ind w:left="100" w:leftChars="2100" w:firstLine="0"/>
      <w:jc w:val="left"/>
    </w:pPr>
    <w:rPr>
      <w:rFonts w:cs="Arial"/>
      <w:szCs w:val="21"/>
    </w:rPr>
  </w:style>
  <w:style w:type="paragraph" w:styleId="56">
    <w:name w:val="toc 1"/>
    <w:basedOn w:val="1"/>
    <w:next w:val="1"/>
    <w:unhideWhenUsed/>
    <w:qFormat/>
    <w:uiPriority w:val="39"/>
  </w:style>
  <w:style w:type="paragraph" w:styleId="57">
    <w:name w:val="List Continue 4"/>
    <w:basedOn w:val="1"/>
    <w:qFormat/>
    <w:uiPriority w:val="0"/>
    <w:pPr>
      <w:widowControl/>
      <w:topLinePunct/>
      <w:adjustRightInd w:val="0"/>
      <w:snapToGrid w:val="0"/>
      <w:spacing w:before="160" w:after="120" w:line="240" w:lineRule="atLeast"/>
      <w:ind w:left="1680" w:leftChars="800" w:firstLine="0"/>
      <w:jc w:val="left"/>
    </w:pPr>
    <w:rPr>
      <w:rFonts w:cs="Arial"/>
      <w:szCs w:val="21"/>
    </w:rPr>
  </w:style>
  <w:style w:type="paragraph" w:styleId="58">
    <w:name w:val="toc 4"/>
    <w:basedOn w:val="1"/>
    <w:next w:val="1"/>
    <w:autoRedefine/>
    <w:qFormat/>
    <w:uiPriority w:val="39"/>
    <w:pPr>
      <w:widowControl/>
      <w:spacing w:before="40" w:after="40" w:line="240" w:lineRule="auto"/>
      <w:ind w:left="1260" w:firstLine="0"/>
    </w:pPr>
    <w:rPr>
      <w:rFonts w:ascii="Arial" w:hAnsi="Arial" w:cs="Arial"/>
      <w:szCs w:val="20"/>
    </w:rPr>
  </w:style>
  <w:style w:type="paragraph" w:styleId="59">
    <w:name w:val="index heading"/>
    <w:basedOn w:val="1"/>
    <w:next w:val="60"/>
    <w:semiHidden/>
    <w:qFormat/>
    <w:uiPriority w:val="0"/>
    <w:pPr>
      <w:widowControl/>
      <w:topLinePunct/>
      <w:adjustRightInd w:val="0"/>
      <w:snapToGrid w:val="0"/>
      <w:spacing w:before="160" w:after="160" w:line="240" w:lineRule="atLeast"/>
      <w:ind w:left="1701" w:firstLine="0"/>
      <w:jc w:val="left"/>
    </w:pPr>
    <w:rPr>
      <w:rFonts w:ascii="Arial" w:hAnsi="Arial" w:cs="Arial"/>
      <w:b/>
      <w:bCs/>
      <w:szCs w:val="21"/>
    </w:rPr>
  </w:style>
  <w:style w:type="paragraph" w:styleId="60">
    <w:name w:val="index 1"/>
    <w:basedOn w:val="1"/>
    <w:next w:val="1"/>
    <w:autoRedefine/>
    <w:semiHidden/>
    <w:qFormat/>
    <w:uiPriority w:val="0"/>
    <w:pPr>
      <w:widowControl/>
      <w:topLinePunct/>
      <w:adjustRightInd w:val="0"/>
      <w:snapToGrid w:val="0"/>
      <w:spacing w:before="160" w:after="160" w:line="240" w:lineRule="atLeast"/>
      <w:ind w:left="1701" w:firstLine="0"/>
      <w:jc w:val="left"/>
    </w:pPr>
    <w:rPr>
      <w:rFonts w:cs="Arial"/>
      <w:sz w:val="24"/>
      <w:szCs w:val="21"/>
    </w:rPr>
  </w:style>
  <w:style w:type="paragraph" w:styleId="61">
    <w:name w:val="Subtitle"/>
    <w:basedOn w:val="1"/>
    <w:link w:val="306"/>
    <w:qFormat/>
    <w:uiPriority w:val="0"/>
    <w:pPr>
      <w:widowControl/>
      <w:topLinePunct/>
      <w:adjustRightInd w:val="0"/>
      <w:snapToGrid w:val="0"/>
      <w:spacing w:before="240" w:after="60" w:line="312" w:lineRule="atLeast"/>
      <w:ind w:left="1701" w:firstLine="0"/>
      <w:jc w:val="center"/>
      <w:outlineLvl w:val="1"/>
    </w:pPr>
    <w:rPr>
      <w:rFonts w:ascii="Arial" w:hAnsi="Arial" w:cs="Arial"/>
      <w:b/>
      <w:bCs/>
      <w:kern w:val="28"/>
      <w:sz w:val="32"/>
      <w:szCs w:val="32"/>
    </w:rPr>
  </w:style>
  <w:style w:type="paragraph" w:styleId="62">
    <w:name w:val="List Number 5"/>
    <w:basedOn w:val="1"/>
    <w:semiHidden/>
    <w:qFormat/>
    <w:uiPriority w:val="0"/>
    <w:pPr>
      <w:widowControl/>
      <w:topLinePunct/>
      <w:adjustRightInd w:val="0"/>
      <w:snapToGrid w:val="0"/>
      <w:spacing w:before="160" w:after="160" w:line="240" w:lineRule="atLeast"/>
      <w:ind w:firstLine="0"/>
      <w:jc w:val="left"/>
    </w:pPr>
    <w:rPr>
      <w:rFonts w:cs="Arial"/>
      <w:szCs w:val="21"/>
    </w:rPr>
  </w:style>
  <w:style w:type="paragraph" w:styleId="63">
    <w:name w:val="List"/>
    <w:basedOn w:val="1"/>
    <w:semiHidden/>
    <w:qFormat/>
    <w:uiPriority w:val="0"/>
    <w:pPr>
      <w:widowControl/>
      <w:topLinePunct/>
      <w:adjustRightInd w:val="0"/>
      <w:snapToGrid w:val="0"/>
      <w:spacing w:before="160" w:after="160" w:line="240" w:lineRule="atLeast"/>
      <w:ind w:left="200" w:hanging="200" w:hangingChars="200"/>
      <w:jc w:val="left"/>
    </w:pPr>
    <w:rPr>
      <w:rFonts w:cs="Arial"/>
      <w:szCs w:val="21"/>
    </w:rPr>
  </w:style>
  <w:style w:type="paragraph" w:styleId="64">
    <w:name w:val="footnote text"/>
    <w:basedOn w:val="1"/>
    <w:link w:val="258"/>
    <w:unhideWhenUsed/>
    <w:qFormat/>
    <w:uiPriority w:val="99"/>
    <w:pPr>
      <w:widowControl/>
      <w:snapToGrid w:val="0"/>
      <w:spacing w:before="40" w:after="40" w:line="240" w:lineRule="auto"/>
      <w:ind w:left="624" w:firstLine="0"/>
      <w:jc w:val="left"/>
    </w:pPr>
    <w:rPr>
      <w:rFonts w:ascii="Arial" w:hAnsi="Arial" w:cs="Arial"/>
      <w:sz w:val="18"/>
      <w:szCs w:val="18"/>
    </w:rPr>
  </w:style>
  <w:style w:type="paragraph" w:styleId="65">
    <w:name w:val="toc 6"/>
    <w:basedOn w:val="1"/>
    <w:next w:val="1"/>
    <w:autoRedefine/>
    <w:qFormat/>
    <w:uiPriority w:val="39"/>
    <w:pPr>
      <w:widowControl/>
      <w:spacing w:before="40" w:after="40" w:line="240" w:lineRule="auto"/>
      <w:ind w:left="2100" w:firstLine="0"/>
    </w:pPr>
    <w:rPr>
      <w:rFonts w:ascii="Arial" w:hAnsi="Arial" w:cs="Arial"/>
      <w:szCs w:val="20"/>
    </w:rPr>
  </w:style>
  <w:style w:type="paragraph" w:styleId="66">
    <w:name w:val="List 5"/>
    <w:basedOn w:val="1"/>
    <w:qFormat/>
    <w:uiPriority w:val="0"/>
    <w:pPr>
      <w:widowControl/>
      <w:topLinePunct/>
      <w:adjustRightInd w:val="0"/>
      <w:snapToGrid w:val="0"/>
      <w:spacing w:before="160" w:after="160" w:line="240" w:lineRule="atLeast"/>
      <w:ind w:left="100" w:leftChars="800" w:hanging="200" w:hangingChars="200"/>
      <w:jc w:val="left"/>
    </w:pPr>
    <w:rPr>
      <w:rFonts w:cs="Arial"/>
      <w:szCs w:val="21"/>
    </w:rPr>
  </w:style>
  <w:style w:type="paragraph" w:styleId="67">
    <w:name w:val="index 7"/>
    <w:basedOn w:val="1"/>
    <w:next w:val="1"/>
    <w:autoRedefine/>
    <w:semiHidden/>
    <w:uiPriority w:val="0"/>
    <w:pPr>
      <w:widowControl/>
      <w:topLinePunct/>
      <w:adjustRightInd w:val="0"/>
      <w:snapToGrid w:val="0"/>
      <w:spacing w:before="160" w:after="160" w:line="240" w:lineRule="atLeast"/>
      <w:ind w:left="1470" w:hanging="210"/>
      <w:jc w:val="left"/>
    </w:pPr>
    <w:rPr>
      <w:rFonts w:cs="Arial"/>
      <w:sz w:val="20"/>
      <w:szCs w:val="20"/>
    </w:rPr>
  </w:style>
  <w:style w:type="paragraph" w:styleId="68">
    <w:name w:val="index 9"/>
    <w:basedOn w:val="1"/>
    <w:next w:val="1"/>
    <w:autoRedefine/>
    <w:semiHidden/>
    <w:qFormat/>
    <w:uiPriority w:val="0"/>
    <w:pPr>
      <w:widowControl/>
      <w:topLinePunct/>
      <w:adjustRightInd w:val="0"/>
      <w:snapToGrid w:val="0"/>
      <w:spacing w:before="160" w:after="160" w:line="240" w:lineRule="atLeast"/>
      <w:ind w:left="1890" w:hanging="210"/>
      <w:jc w:val="left"/>
    </w:pPr>
    <w:rPr>
      <w:rFonts w:cs="Arial"/>
      <w:sz w:val="20"/>
      <w:szCs w:val="20"/>
    </w:rPr>
  </w:style>
  <w:style w:type="paragraph" w:styleId="69">
    <w:name w:val="table of figures"/>
    <w:basedOn w:val="1"/>
    <w:next w:val="1"/>
    <w:qFormat/>
    <w:uiPriority w:val="99"/>
    <w:pPr>
      <w:widowControl/>
      <w:spacing w:before="40" w:after="40" w:line="240" w:lineRule="auto"/>
      <w:ind w:left="840" w:hanging="420"/>
    </w:pPr>
    <w:rPr>
      <w:rFonts w:ascii="Arial" w:hAnsi="Arial" w:cs="Arial"/>
      <w:szCs w:val="20"/>
    </w:rPr>
  </w:style>
  <w:style w:type="paragraph" w:styleId="70">
    <w:name w:val="toc 2"/>
    <w:basedOn w:val="1"/>
    <w:next w:val="1"/>
    <w:unhideWhenUsed/>
    <w:uiPriority w:val="39"/>
    <w:pPr>
      <w:spacing w:line="240" w:lineRule="auto"/>
      <w:ind w:left="200" w:leftChars="200"/>
    </w:pPr>
  </w:style>
  <w:style w:type="paragraph" w:styleId="71">
    <w:name w:val="toc 9"/>
    <w:basedOn w:val="1"/>
    <w:next w:val="1"/>
    <w:autoRedefine/>
    <w:qFormat/>
    <w:uiPriority w:val="39"/>
    <w:pPr>
      <w:widowControl/>
      <w:spacing w:before="40" w:after="40" w:line="240" w:lineRule="auto"/>
      <w:ind w:left="3360" w:firstLine="0"/>
    </w:pPr>
    <w:rPr>
      <w:rFonts w:ascii="Arial" w:hAnsi="Arial" w:cs="Arial"/>
      <w:szCs w:val="20"/>
    </w:rPr>
  </w:style>
  <w:style w:type="paragraph" w:styleId="72">
    <w:name w:val="List 4"/>
    <w:basedOn w:val="1"/>
    <w:qFormat/>
    <w:uiPriority w:val="0"/>
    <w:pPr>
      <w:widowControl/>
      <w:topLinePunct/>
      <w:adjustRightInd w:val="0"/>
      <w:snapToGrid w:val="0"/>
      <w:spacing w:before="160" w:after="160" w:line="240" w:lineRule="atLeast"/>
      <w:ind w:left="100" w:leftChars="600" w:hanging="200" w:hangingChars="200"/>
      <w:jc w:val="left"/>
    </w:pPr>
    <w:rPr>
      <w:rFonts w:cs="Arial"/>
      <w:szCs w:val="21"/>
    </w:rPr>
  </w:style>
  <w:style w:type="paragraph" w:styleId="73">
    <w:name w:val="List Continue 2"/>
    <w:basedOn w:val="1"/>
    <w:semiHidden/>
    <w:uiPriority w:val="0"/>
    <w:pPr>
      <w:widowControl/>
      <w:topLinePunct/>
      <w:adjustRightInd w:val="0"/>
      <w:snapToGrid w:val="0"/>
      <w:spacing w:before="160" w:after="120" w:line="240" w:lineRule="atLeast"/>
      <w:ind w:left="840" w:leftChars="400" w:firstLine="0"/>
      <w:jc w:val="left"/>
    </w:pPr>
    <w:rPr>
      <w:rFonts w:cs="Arial"/>
      <w:szCs w:val="21"/>
    </w:rPr>
  </w:style>
  <w:style w:type="paragraph" w:styleId="74">
    <w:name w:val="Message Header"/>
    <w:basedOn w:val="1"/>
    <w:link w:val="310"/>
    <w:qFormat/>
    <w:uiPriority w:val="0"/>
    <w:pPr>
      <w:widowControl/>
      <w:pBdr>
        <w:top w:val="single" w:color="auto" w:sz="6" w:space="1"/>
        <w:left w:val="single" w:color="auto" w:sz="6" w:space="1"/>
        <w:bottom w:val="single" w:color="auto" w:sz="6" w:space="1"/>
        <w:right w:val="single" w:color="auto" w:sz="6" w:space="1"/>
      </w:pBdr>
      <w:shd w:val="pct20" w:color="auto" w:fill="auto"/>
      <w:topLinePunct/>
      <w:adjustRightInd w:val="0"/>
      <w:snapToGrid w:val="0"/>
      <w:spacing w:before="160" w:after="160" w:line="240" w:lineRule="atLeast"/>
      <w:ind w:left="1080" w:leftChars="500" w:hanging="1080" w:hangingChars="500"/>
      <w:jc w:val="left"/>
    </w:pPr>
    <w:rPr>
      <w:rFonts w:ascii="Arial" w:hAnsi="Arial" w:cs="Arial"/>
      <w:szCs w:val="21"/>
    </w:rPr>
  </w:style>
  <w:style w:type="paragraph" w:styleId="75">
    <w:name w:val="HTML Preformatted"/>
    <w:basedOn w:val="1"/>
    <w:link w:val="303"/>
    <w:semiHidden/>
    <w:qFormat/>
    <w:uiPriority w:val="0"/>
    <w:pPr>
      <w:widowControl/>
      <w:topLinePunct/>
      <w:adjustRightInd w:val="0"/>
      <w:snapToGrid w:val="0"/>
      <w:spacing w:before="160" w:after="160" w:line="240" w:lineRule="atLeast"/>
      <w:ind w:left="1701" w:firstLine="0"/>
      <w:jc w:val="left"/>
    </w:pPr>
    <w:rPr>
      <w:rFonts w:ascii="Courier New" w:hAnsi="Courier New" w:cs="Courier New"/>
      <w:sz w:val="20"/>
      <w:szCs w:val="20"/>
    </w:rPr>
  </w:style>
  <w:style w:type="paragraph" w:styleId="76">
    <w:name w:val="Normal (Web)"/>
    <w:basedOn w:val="1"/>
    <w:unhideWhenUsed/>
    <w:qFormat/>
    <w:uiPriority w:val="0"/>
    <w:pPr>
      <w:widowControl/>
      <w:spacing w:before="100" w:beforeAutospacing="1" w:after="100" w:afterAutospacing="1" w:line="240" w:lineRule="auto"/>
      <w:ind w:left="624" w:firstLine="0"/>
      <w:jc w:val="left"/>
    </w:pPr>
    <w:rPr>
      <w:rFonts w:ascii="宋体" w:hAnsi="宋体" w:cs="Arial"/>
      <w:color w:val="000000"/>
      <w:sz w:val="24"/>
      <w:szCs w:val="24"/>
    </w:rPr>
  </w:style>
  <w:style w:type="paragraph" w:styleId="77">
    <w:name w:val="List Continue 3"/>
    <w:basedOn w:val="1"/>
    <w:semiHidden/>
    <w:qFormat/>
    <w:uiPriority w:val="0"/>
    <w:pPr>
      <w:widowControl/>
      <w:topLinePunct/>
      <w:adjustRightInd w:val="0"/>
      <w:snapToGrid w:val="0"/>
      <w:spacing w:before="160" w:after="120" w:line="240" w:lineRule="atLeast"/>
      <w:ind w:left="1260" w:leftChars="600" w:firstLine="0"/>
      <w:jc w:val="left"/>
    </w:pPr>
    <w:rPr>
      <w:rFonts w:cs="Arial"/>
      <w:szCs w:val="21"/>
    </w:rPr>
  </w:style>
  <w:style w:type="paragraph" w:styleId="78">
    <w:name w:val="index 2"/>
    <w:basedOn w:val="1"/>
    <w:next w:val="1"/>
    <w:autoRedefine/>
    <w:semiHidden/>
    <w:qFormat/>
    <w:uiPriority w:val="0"/>
    <w:pPr>
      <w:widowControl/>
      <w:topLinePunct/>
      <w:adjustRightInd w:val="0"/>
      <w:snapToGrid w:val="0"/>
      <w:spacing w:before="160" w:after="160" w:line="240" w:lineRule="atLeast"/>
      <w:ind w:left="200" w:leftChars="200" w:firstLine="0"/>
      <w:jc w:val="left"/>
    </w:pPr>
    <w:rPr>
      <w:rFonts w:cs="Arial"/>
      <w:sz w:val="24"/>
      <w:szCs w:val="21"/>
    </w:rPr>
  </w:style>
  <w:style w:type="paragraph" w:styleId="79">
    <w:name w:val="Title"/>
    <w:basedOn w:val="1"/>
    <w:link w:val="295"/>
    <w:qFormat/>
    <w:uiPriority w:val="0"/>
    <w:pPr>
      <w:widowControl/>
      <w:topLinePunct/>
      <w:adjustRightInd w:val="0"/>
      <w:snapToGrid w:val="0"/>
      <w:spacing w:before="240" w:after="60" w:line="240" w:lineRule="atLeast"/>
      <w:ind w:left="1701" w:firstLine="0"/>
      <w:jc w:val="center"/>
      <w:outlineLvl w:val="0"/>
    </w:pPr>
    <w:rPr>
      <w:rFonts w:ascii="Arial" w:hAnsi="Arial" w:cs="Arial"/>
      <w:b/>
      <w:bCs/>
      <w:sz w:val="32"/>
      <w:szCs w:val="32"/>
    </w:rPr>
  </w:style>
  <w:style w:type="paragraph" w:styleId="80">
    <w:name w:val="annotation subject"/>
    <w:basedOn w:val="28"/>
    <w:next w:val="28"/>
    <w:link w:val="180"/>
    <w:unhideWhenUsed/>
    <w:qFormat/>
    <w:uiPriority w:val="0"/>
    <w:rPr>
      <w:b/>
      <w:bCs/>
    </w:rPr>
  </w:style>
  <w:style w:type="paragraph" w:styleId="81">
    <w:name w:val="Body Text First Indent"/>
    <w:basedOn w:val="33"/>
    <w:link w:val="311"/>
    <w:qFormat/>
    <w:uiPriority w:val="0"/>
    <w:pPr>
      <w:topLinePunct/>
      <w:adjustRightInd w:val="0"/>
      <w:snapToGrid w:val="0"/>
      <w:spacing w:before="160" w:after="120" w:line="240" w:lineRule="atLeast"/>
      <w:ind w:left="1701" w:leftChars="0" w:firstLine="420" w:firstLineChars="100"/>
      <w:jc w:val="left"/>
    </w:pPr>
    <w:rPr>
      <w:rFonts w:ascii="Times New Roman" w:hAnsi="Times New Roman" w:cs="Arial"/>
    </w:rPr>
  </w:style>
  <w:style w:type="table" w:styleId="83">
    <w:name w:val="Table Grid"/>
    <w:basedOn w:val="84"/>
    <w:qFormat/>
    <w:uiPriority w:val="0"/>
    <w:tblPr>
      <w:tblBorders>
        <w:left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shd w:val="clear" w:color="auto" w:fill="FFFFFF" w:themeFill="background1"/>
      <w:vAlign w:val="center"/>
    </w:tcPr>
    <w:tblStylePr w:type="firstRow">
      <w:rPr>
        <w:rFonts w:ascii="Times New Roman" w:hAnsi="Times New Roman" w:eastAsia="宋体"/>
        <w:color w:val="auto"/>
        <w:sz w:val="21"/>
      </w:rPr>
      <w:tcPr>
        <w:tcBorders>
          <w:top w:val="single" w:color="auto" w:sz="4" w:space="0"/>
          <w:left w:val="nil"/>
          <w:bottom w:val="single" w:color="808080" w:sz="4" w:space="0"/>
          <w:right w:val="nil"/>
          <w:insideH w:val="nil"/>
          <w:insideV w:val="single" w:sz="4" w:space="0"/>
          <w:tl2br w:val="nil"/>
          <w:tr2bl w:val="nil"/>
        </w:tcBorders>
        <w:shd w:val="clear" w:color="auto" w:fill="FFFFFF" w:themeFill="background1"/>
      </w:tcPr>
    </w:tblStylePr>
  </w:style>
  <w:style w:type="table" w:customStyle="1" w:styleId="84">
    <w:name w:val="Table1"/>
    <w:basedOn w:val="82"/>
    <w:qFormat/>
    <w:uiPriority w:val="99"/>
    <w:rPr>
      <w:rFonts w:ascii="Times New Roman" w:hAnsi="Times New Roman" w:eastAsia="Times New Roman" w:cs="Times New Roman"/>
    </w:rPr>
    <w:tblPr>
      <w:tblBorders>
        <w:top w:val="single" w:color="auto" w:sz="4" w:space="0"/>
        <w:bottom w:val="single" w:color="auto" w:sz="4" w:space="0"/>
        <w:insideH w:val="single" w:color="808080" w:sz="4" w:space="0"/>
        <w:insideV w:val="single" w:color="808080" w:sz="4" w:space="0"/>
      </w:tblBorders>
      <w:tblCellMar>
        <w:top w:w="0" w:type="dxa"/>
        <w:left w:w="108" w:type="dxa"/>
        <w:bottom w:w="0" w:type="dxa"/>
        <w:right w:w="108" w:type="dxa"/>
      </w:tblCellMar>
    </w:tblPr>
    <w:tcPr>
      <w:vAlign w:val="center"/>
    </w:tcPr>
    <w:tblStylePr w:type="firstRow">
      <w:tcPr>
        <w:tcBorders>
          <w:top w:val="single" w:color="auto" w:sz="4" w:space="0"/>
          <w:left w:val="nil"/>
          <w:bottom w:val="single" w:color="808080" w:sz="4" w:space="0"/>
          <w:right w:val="nil"/>
          <w:insideH w:val="nil"/>
          <w:insideV w:val="single" w:sz="4" w:space="0"/>
          <w:tl2br w:val="nil"/>
          <w:tr2bl w:val="nil"/>
        </w:tcBorders>
        <w:shd w:val="clear" w:color="auto" w:fill="D9D9D9"/>
      </w:tcPr>
    </w:tblStylePr>
  </w:style>
  <w:style w:type="table" w:styleId="85">
    <w:name w:val="Table Theme"/>
    <w:basedOn w:val="82"/>
    <w:qFormat/>
    <w:uiPriority w:val="0"/>
    <w:pPr>
      <w:spacing w:before="40" w:after="40"/>
      <w:ind w:left="624"/>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86">
    <w:name w:val="Table Colorful 1"/>
    <w:basedOn w:val="82"/>
    <w:semiHidden/>
    <w:uiPriority w:val="0"/>
    <w:pPr>
      <w:adjustRightInd w:val="0"/>
      <w:snapToGrid w:val="0"/>
      <w:spacing w:before="160" w:after="160" w:line="240" w:lineRule="atLeast"/>
      <w:ind w:left="1701"/>
    </w:pPr>
    <w:rPr>
      <w:rFonts w:ascii="Times New Roman" w:hAnsi="Times New Roman" w:eastAsia="宋体" w:cs="Times New Roman"/>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CellMar>
        <w:top w:w="0" w:type="dxa"/>
        <w:left w:w="108" w:type="dxa"/>
        <w:bottom w:w="0" w:type="dxa"/>
        <w:right w:w="108" w:type="dxa"/>
      </w:tblCellMar>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87">
    <w:name w:val="Table Colorful 2"/>
    <w:basedOn w:val="82"/>
    <w:semiHidden/>
    <w:qFormat/>
    <w:uiPriority w:val="0"/>
    <w:pPr>
      <w:adjustRightInd w:val="0"/>
      <w:snapToGrid w:val="0"/>
      <w:spacing w:before="160" w:after="160" w:line="240" w:lineRule="atLeast"/>
      <w:ind w:left="1701"/>
    </w:pPr>
    <w:rPr>
      <w:rFonts w:ascii="Times New Roman" w:hAnsi="Times New Roman" w:eastAsia="宋体" w:cs="Times New Roman"/>
    </w:rPr>
    <w:tblPr>
      <w:tblBorders>
        <w:bottom w:val="single" w:color="000000" w:sz="12" w:space="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color="000000" w:sz="12" w:space="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88">
    <w:name w:val="Table Colorful 3"/>
    <w:basedOn w:val="82"/>
    <w:semiHidden/>
    <w:qFormat/>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0000" w:sz="18" w:space="0"/>
        <w:left w:val="single" w:color="000000" w:sz="18" w:space="0"/>
        <w:bottom w:val="single" w:color="000000" w:sz="18" w:space="0"/>
        <w:right w:val="single" w:color="000000" w:sz="18" w:space="0"/>
        <w:insideH w:val="single" w:color="C0C0C0" w:sz="6" w:space="0"/>
      </w:tblBorders>
      <w:tblCellMar>
        <w:top w:w="0" w:type="dxa"/>
        <w:left w:w="108" w:type="dxa"/>
        <w:bottom w:w="0" w:type="dxa"/>
        <w:right w:w="108" w:type="dxa"/>
      </w:tblCellMar>
    </w:tblPr>
    <w:tcPr>
      <w:shd w:val="pct25" w:color="008080" w:fill="FFFFFF"/>
    </w:tcPr>
    <w:tblStylePr w:type="firstRow">
      <w:tblPr/>
      <w:tcPr>
        <w:tcBorders>
          <w:bottom w:val="single" w:color="000000" w:sz="6" w:space="0"/>
          <w:tl2br w:val="nil"/>
          <w:tr2bl w:val="nil"/>
        </w:tcBorders>
        <w:shd w:val="solid" w:color="008080" w:fill="FFFFFF"/>
      </w:tcPr>
    </w:tblStylePr>
    <w:tblStylePr w:type="firstCol">
      <w:tblPr/>
      <w:tcPr>
        <w:tcBorders>
          <w:left w:val="single" w:color="000000" w:sz="36" w:space="0"/>
          <w:right w:val="single" w:color="000000" w:sz="6" w:space="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89">
    <w:name w:val="Table Elegant"/>
    <w:basedOn w:val="82"/>
    <w:semiHidden/>
    <w:qFormat/>
    <w:uiPriority w:val="0"/>
    <w:pPr>
      <w:adjustRightInd w:val="0"/>
      <w:snapToGrid w:val="0"/>
      <w:spacing w:before="160" w:after="160" w:line="240" w:lineRule="atLeast"/>
      <w:ind w:left="1701"/>
    </w:pPr>
    <w:rPr>
      <w:rFonts w:ascii="Times New Roman" w:hAnsi="Times New Roman" w:eastAsia="宋体" w:cs="Times New Roman"/>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Pr/>
      <w:tcPr>
        <w:tcBorders>
          <w:tl2br w:val="nil"/>
          <w:tr2bl w:val="nil"/>
        </w:tcBorders>
      </w:tcPr>
    </w:tblStylePr>
  </w:style>
  <w:style w:type="table" w:styleId="90">
    <w:name w:val="Table Classic 1"/>
    <w:basedOn w:val="82"/>
    <w:semiHidden/>
    <w:qFormat/>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blPr/>
      <w:tcPr>
        <w:tcBorders>
          <w:bottom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tblPr/>
      <w:tcPr>
        <w:tcBorders>
          <w:right w:val="single" w:color="000000" w:sz="6" w:space="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91">
    <w:name w:val="Table Classic 2"/>
    <w:basedOn w:val="82"/>
    <w:semiHidden/>
    <w:qFormat/>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color w:val="FFFFFF"/>
      </w:rPr>
      <w:tblPr/>
      <w:tcPr>
        <w:tcBorders>
          <w:bottom w:val="single" w:color="000000" w:sz="6" w:space="0"/>
          <w:tl2br w:val="nil"/>
          <w:tr2bl w:val="nil"/>
        </w:tcBorders>
        <w:shd w:val="solid" w:color="800080" w:fill="FFFFFF"/>
      </w:tcPr>
    </w:tblStylePr>
    <w:tblStylePr w:type="lastRow">
      <w:tblPr/>
      <w:tcPr>
        <w:tcBorders>
          <w:top w:val="single" w:color="000000" w:sz="6" w:space="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92">
    <w:name w:val="Table Classic 3"/>
    <w:basedOn w:val="82"/>
    <w:semiHidden/>
    <w:qFormat/>
    <w:uiPriority w:val="0"/>
    <w:pPr>
      <w:adjustRightInd w:val="0"/>
      <w:snapToGrid w:val="0"/>
      <w:spacing w:before="160" w:after="160" w:line="240" w:lineRule="atLeast"/>
      <w:ind w:left="1701"/>
    </w:pPr>
    <w:rPr>
      <w:rFonts w:ascii="Times New Roman" w:hAnsi="Times New Roman" w:eastAsia="宋体" w:cs="Times New Roman"/>
      <w:color w:val="000080"/>
    </w:rPr>
    <w:tblPr>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color="000000" w:sz="6" w:space="0"/>
          <w:tl2br w:val="nil"/>
          <w:tr2bl w:val="nil"/>
        </w:tcBorders>
        <w:shd w:val="solid" w:color="000080" w:fill="FFFFFF"/>
      </w:tcPr>
    </w:tblStylePr>
    <w:tblStylePr w:type="lastRow">
      <w:rPr>
        <w:color w:val="000080"/>
      </w:rPr>
      <w:tblPr/>
      <w:tcPr>
        <w:tcBorders>
          <w:top w:val="single" w:color="000000" w:sz="12" w:space="0"/>
          <w:tl2br w:val="nil"/>
          <w:tr2bl w:val="nil"/>
        </w:tcBorders>
        <w:shd w:val="solid" w:color="FFFFFF" w:fill="FFFFFF"/>
      </w:tcPr>
    </w:tblStylePr>
    <w:tblStylePr w:type="firstCol">
      <w:rPr>
        <w:b/>
        <w:bCs/>
        <w:color w:val="000000"/>
      </w:rPr>
      <w:tblPr/>
      <w:tcPr>
        <w:tcBorders>
          <w:tl2br w:val="nil"/>
          <w:tr2bl w:val="nil"/>
        </w:tcBorders>
      </w:tcPr>
    </w:tblStylePr>
  </w:style>
  <w:style w:type="table" w:styleId="93">
    <w:name w:val="Table Classic 4"/>
    <w:basedOn w:val="82"/>
    <w:semiHidden/>
    <w:qFormat/>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0000" w:sz="12" w:space="0"/>
        <w:left w:val="single" w:color="000000" w:sz="6" w:space="0"/>
        <w:bottom w:val="single" w:color="000000" w:sz="12" w:space="0"/>
        <w:right w:val="single" w:color="000000" w:sz="6" w:space="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color="000000" w:sz="6" w:space="0"/>
          <w:tl2br w:val="nil"/>
          <w:tr2bl w:val="nil"/>
        </w:tcBorders>
        <w:shd w:val="pct50" w:color="000080" w:fill="FFFFFF"/>
      </w:tcPr>
    </w:tblStylePr>
    <w:tblStylePr w:type="lastRow">
      <w:rPr>
        <w:color w:val="000080"/>
      </w:rPr>
      <w:tblPr/>
      <w:tcPr>
        <w:tcBorders>
          <w:bottom w:val="single" w:color="000000" w:sz="6" w:space="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94">
    <w:name w:val="Table Simple 1"/>
    <w:basedOn w:val="82"/>
    <w:semiHidden/>
    <w:qFormat/>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8000" w:sz="12" w:space="0"/>
        <w:bottom w:val="single" w:color="008000" w:sz="12" w:space="0"/>
      </w:tblBorders>
      <w:tblCellMar>
        <w:top w:w="0" w:type="dxa"/>
        <w:left w:w="108" w:type="dxa"/>
        <w:bottom w:w="0" w:type="dxa"/>
        <w:right w:w="108" w:type="dxa"/>
      </w:tblCellMar>
    </w:tblPr>
    <w:tcPr>
      <w:shd w:val="clear" w:color="auto" w:fill="auto"/>
    </w:tcPr>
    <w:tblStylePr w:type="firstRow">
      <w:tblPr/>
      <w:tcPr>
        <w:tcBorders>
          <w:bottom w:val="single" w:color="008000" w:sz="6" w:space="0"/>
          <w:tl2br w:val="nil"/>
          <w:tr2bl w:val="nil"/>
        </w:tcBorders>
      </w:tcPr>
    </w:tblStylePr>
    <w:tblStylePr w:type="lastRow">
      <w:tblPr/>
      <w:tcPr>
        <w:tcBorders>
          <w:top w:val="single" w:color="008000" w:sz="6" w:space="0"/>
          <w:tl2br w:val="nil"/>
          <w:tr2bl w:val="nil"/>
        </w:tcBorders>
      </w:tcPr>
    </w:tblStylePr>
  </w:style>
  <w:style w:type="table" w:styleId="95">
    <w:name w:val="Table Simple 2"/>
    <w:basedOn w:val="82"/>
    <w:semiHidden/>
    <w:qFormat/>
    <w:uiPriority w:val="0"/>
    <w:pPr>
      <w:adjustRightInd w:val="0"/>
      <w:snapToGrid w:val="0"/>
      <w:spacing w:before="160" w:after="160" w:line="240" w:lineRule="atLeast"/>
      <w:ind w:left="1701"/>
    </w:pPr>
    <w:rPr>
      <w:rFonts w:ascii="Times New Roman" w:hAnsi="Times New Roman" w:eastAsia="宋体" w:cs="Times New Roman"/>
    </w:rPr>
    <w:tblPr>
      <w:tblCellMar>
        <w:top w:w="0" w:type="dxa"/>
        <w:left w:w="108" w:type="dxa"/>
        <w:bottom w:w="0" w:type="dxa"/>
        <w:right w:w="108" w:type="dxa"/>
      </w:tblCellMar>
    </w:tblPr>
    <w:tblStylePr w:type="firstRow">
      <w:rPr>
        <w:b/>
        <w:bCs/>
      </w:rPr>
      <w:tblPr/>
      <w:tcPr>
        <w:tcBorders>
          <w:bottom w:val="single" w:color="000000" w:sz="12" w:space="0"/>
          <w:tl2br w:val="nil"/>
          <w:tr2bl w:val="nil"/>
        </w:tcBorders>
      </w:tcPr>
    </w:tblStylePr>
    <w:tblStylePr w:type="lastRow">
      <w:rPr>
        <w:b/>
        <w:bCs/>
        <w:color w:val="auto"/>
      </w:rPr>
      <w:tblPr/>
      <w:tcPr>
        <w:tcBorders>
          <w:top w:val="single" w:color="000000" w:sz="6" w:space="0"/>
          <w:tl2br w:val="nil"/>
          <w:tr2bl w:val="nil"/>
        </w:tcBorders>
      </w:tcPr>
    </w:tblStylePr>
    <w:tblStylePr w:type="firstCol">
      <w:rPr>
        <w:b/>
        <w:bCs/>
      </w:rPr>
      <w:tblPr/>
      <w:tcPr>
        <w:tcBorders>
          <w:right w:val="single" w:color="000000" w:sz="12" w:space="0"/>
          <w:tl2br w:val="nil"/>
          <w:tr2bl w:val="nil"/>
        </w:tcBorders>
      </w:tcPr>
    </w:tblStylePr>
    <w:tblStylePr w:type="lastCol">
      <w:rPr>
        <w:b/>
        <w:bCs/>
      </w:rPr>
      <w:tblPr/>
      <w:tcPr>
        <w:tcBorders>
          <w:left w:val="single" w:color="000000" w:sz="6" w:space="0"/>
          <w:tl2br w:val="nil"/>
          <w:tr2bl w:val="nil"/>
        </w:tcBorders>
      </w:tcPr>
    </w:tblStylePr>
    <w:tblStylePr w:type="neCell">
      <w:rPr>
        <w:b/>
        <w:bCs/>
      </w:rPr>
      <w:tblPr/>
      <w:tcPr>
        <w:tcBorders>
          <w:left w:val="nil"/>
          <w:tl2br w:val="nil"/>
          <w:tr2bl w:val="nil"/>
        </w:tcBorders>
      </w:tcPr>
    </w:tblStylePr>
    <w:tblStylePr w:type="swCell">
      <w:rPr>
        <w:b/>
        <w:bCs/>
      </w:rPr>
      <w:tblPr/>
      <w:tcPr>
        <w:tcBorders>
          <w:top w:val="nil"/>
          <w:tl2br w:val="nil"/>
          <w:tr2bl w:val="nil"/>
        </w:tcBorders>
      </w:tcPr>
    </w:tblStylePr>
  </w:style>
  <w:style w:type="table" w:styleId="96">
    <w:name w:val="Table Simple 3"/>
    <w:basedOn w:val="82"/>
    <w:semiHidden/>
    <w:qFormat/>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tcPr>
      <w:shd w:val="clear" w:color="auto" w:fill="auto"/>
    </w:tcPr>
    <w:tblStylePr w:type="firstRow">
      <w:rPr>
        <w:b/>
        <w:bCs/>
        <w:color w:val="FFFFFF"/>
      </w:rPr>
      <w:tblPr/>
      <w:tcPr>
        <w:tcBorders>
          <w:tl2br w:val="nil"/>
          <w:tr2bl w:val="nil"/>
        </w:tcBorders>
        <w:shd w:val="solid" w:color="000000" w:fill="FFFFFF"/>
      </w:tcPr>
    </w:tblStylePr>
  </w:style>
  <w:style w:type="table" w:styleId="97">
    <w:name w:val="Table Subtle 1"/>
    <w:basedOn w:val="82"/>
    <w:semiHidden/>
    <w:qFormat/>
    <w:uiPriority w:val="0"/>
    <w:pPr>
      <w:adjustRightInd w:val="0"/>
      <w:snapToGrid w:val="0"/>
      <w:spacing w:before="160" w:after="160" w:line="240" w:lineRule="atLeast"/>
      <w:ind w:left="1701"/>
    </w:pPr>
    <w:rPr>
      <w:rFonts w:ascii="Times New Roman" w:hAnsi="Times New Roman" w:eastAsia="宋体" w:cs="Times New Roman"/>
    </w:rPr>
    <w:tblPr>
      <w:tblCellMar>
        <w:top w:w="0" w:type="dxa"/>
        <w:left w:w="108" w:type="dxa"/>
        <w:bottom w:w="0" w:type="dxa"/>
        <w:right w:w="108" w:type="dxa"/>
      </w:tblCellMar>
    </w:tblPr>
    <w:tblStylePr w:type="firstRow">
      <w:tblPr/>
      <w:tcPr>
        <w:tcBorders>
          <w:top w:val="single" w:color="000000" w:sz="6" w:space="0"/>
          <w:bottom w:val="single" w:color="000000" w:sz="12" w:space="0"/>
          <w:tl2br w:val="nil"/>
          <w:tr2bl w:val="nil"/>
        </w:tcBorders>
      </w:tcPr>
    </w:tblStylePr>
    <w:tblStylePr w:type="lastRow">
      <w:tblPr/>
      <w:tcPr>
        <w:tcBorders>
          <w:top w:val="single" w:color="000000" w:sz="12" w:space="0"/>
          <w:tl2br w:val="nil"/>
          <w:tr2bl w:val="nil"/>
        </w:tcBorders>
        <w:shd w:val="pct25" w:color="800080" w:fill="FFFFFF"/>
      </w:tcPr>
    </w:tblStylePr>
    <w:tblStylePr w:type="firstCol">
      <w:tblPr/>
      <w:tcPr>
        <w:tcBorders>
          <w:right w:val="single" w:color="000000" w:sz="12" w:space="0"/>
          <w:tl2br w:val="nil"/>
          <w:tr2bl w:val="nil"/>
        </w:tcBorders>
      </w:tcPr>
    </w:tblStylePr>
    <w:tblStylePr w:type="lastCol">
      <w:tblPr/>
      <w:tcPr>
        <w:tcBorders>
          <w:left w:val="single" w:color="000000" w:sz="12" w:space="0"/>
          <w:tl2br w:val="nil"/>
          <w:tr2bl w:val="nil"/>
        </w:tcBorders>
      </w:tcPr>
    </w:tblStylePr>
    <w:tblStylePr w:type="band1Horz">
      <w:tblPr/>
      <w:tcPr>
        <w:tcBorders>
          <w:bottom w:val="single" w:color="000000" w:sz="6"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98">
    <w:name w:val="Table Subtle 2"/>
    <w:basedOn w:val="82"/>
    <w:semiHidden/>
    <w:uiPriority w:val="0"/>
    <w:pPr>
      <w:adjustRightInd w:val="0"/>
      <w:snapToGrid w:val="0"/>
      <w:spacing w:before="160" w:after="160" w:line="240" w:lineRule="atLeast"/>
      <w:ind w:left="1701"/>
    </w:pPr>
    <w:rPr>
      <w:rFonts w:ascii="Times New Roman" w:hAnsi="Times New Roman" w:eastAsia="宋体" w:cs="Times New Roman"/>
    </w:rPr>
    <w:tblPr>
      <w:tblBorders>
        <w:left w:val="single" w:color="000000" w:sz="6" w:space="0"/>
        <w:right w:val="single" w:color="000000" w:sz="6" w:space="0"/>
      </w:tblBorders>
      <w:tblCellMar>
        <w:top w:w="0" w:type="dxa"/>
        <w:left w:w="108" w:type="dxa"/>
        <w:bottom w:w="0" w:type="dxa"/>
        <w:right w:w="108" w:type="dxa"/>
      </w:tblCellMar>
    </w:tblPr>
    <w:tblStylePr w:type="firstRow">
      <w:tblPr/>
      <w:tcPr>
        <w:tcBorders>
          <w:bottom w:val="single" w:color="000000" w:sz="12" w:space="0"/>
          <w:tl2br w:val="nil"/>
          <w:tr2bl w:val="nil"/>
        </w:tcBorders>
      </w:tcPr>
    </w:tblStylePr>
    <w:tblStylePr w:type="lastRow">
      <w:tblPr/>
      <w:tcPr>
        <w:tcBorders>
          <w:top w:val="single" w:color="000000" w:sz="12" w:space="0"/>
          <w:tl2br w:val="nil"/>
          <w:tr2bl w:val="nil"/>
        </w:tcBorders>
      </w:tcPr>
    </w:tblStylePr>
    <w:tblStylePr w:type="firstCol">
      <w:tblPr/>
      <w:tcPr>
        <w:tcBorders>
          <w:right w:val="single" w:color="000000" w:sz="12" w:space="0"/>
          <w:tl2br w:val="nil"/>
          <w:tr2bl w:val="nil"/>
        </w:tcBorders>
        <w:shd w:val="pct25" w:color="008000" w:fill="FFFFFF"/>
      </w:tcPr>
    </w:tblStylePr>
    <w:tblStylePr w:type="lastCol">
      <w:tblPr/>
      <w:tcPr>
        <w:tcBorders>
          <w:left w:val="single" w:color="000000" w:sz="12"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99">
    <w:name w:val="Table 3D effects 1"/>
    <w:basedOn w:val="82"/>
    <w:semiHidden/>
    <w:qFormat/>
    <w:uiPriority w:val="0"/>
    <w:pPr>
      <w:adjustRightInd w:val="0"/>
      <w:snapToGrid w:val="0"/>
      <w:spacing w:before="160" w:after="160" w:line="240" w:lineRule="atLeast"/>
      <w:ind w:left="1701"/>
    </w:pPr>
    <w:rPr>
      <w:rFonts w:ascii="Times New Roman" w:hAnsi="Times New Roman" w:eastAsia="宋体" w:cs="Times New Roman"/>
    </w:rPr>
    <w:tblPr>
      <w:tblCellMar>
        <w:top w:w="0" w:type="dxa"/>
        <w:left w:w="108" w:type="dxa"/>
        <w:bottom w:w="0" w:type="dxa"/>
        <w:right w:w="108" w:type="dxa"/>
      </w:tblCellMar>
    </w:tblPr>
    <w:tcPr>
      <w:shd w:val="solid" w:color="C0C0C0" w:fill="FFFFFF"/>
    </w:tcPr>
    <w:tblStylePr w:type="firstRow">
      <w:rPr>
        <w:b/>
        <w:bCs/>
        <w:color w:val="800080"/>
      </w:rPr>
      <w:tblPr/>
      <w:tcPr>
        <w:tcBorders>
          <w:bottom w:val="single" w:color="808080" w:sz="6" w:space="0"/>
          <w:tl2br w:val="nil"/>
          <w:tr2bl w:val="nil"/>
        </w:tcBorders>
      </w:tcPr>
    </w:tblStylePr>
    <w:tblStylePr w:type="lastRow">
      <w:tblPr/>
      <w:tcPr>
        <w:tcBorders>
          <w:top w:val="single" w:color="FFFFFF" w:sz="6" w:space="0"/>
          <w:tl2br w:val="nil"/>
          <w:tr2bl w:val="nil"/>
        </w:tcBorders>
      </w:tcPr>
    </w:tblStylePr>
    <w:tblStylePr w:type="firstCol">
      <w:rPr>
        <w:b/>
        <w:bCs/>
      </w:rPr>
      <w:tblPr/>
      <w:tcPr>
        <w:tcBorders>
          <w:right w:val="single" w:color="808080" w:sz="6" w:space="0"/>
          <w:tl2br w:val="nil"/>
          <w:tr2bl w:val="nil"/>
        </w:tcBorders>
      </w:tcPr>
    </w:tblStylePr>
    <w:tblStylePr w:type="lastCol">
      <w:tblPr/>
      <w:tcPr>
        <w:tcBorders>
          <w:left w:val="single" w:color="FFFFFF" w:sz="6" w:space="0"/>
          <w:tl2br w:val="nil"/>
          <w:tr2bl w:val="nil"/>
        </w:tcBorders>
      </w:tcPr>
    </w:tblStylePr>
    <w:tblStylePr w:type="neCell">
      <w:tblPr/>
      <w:tcPr>
        <w:tcBorders>
          <w:left w:val="nil"/>
          <w:bottom w:val="nil"/>
          <w:tl2br w:val="nil"/>
          <w:tr2bl w:val="nil"/>
        </w:tcBorders>
      </w:tcPr>
    </w:tblStylePr>
    <w:tblStylePr w:type="nwCell">
      <w:tblPr/>
      <w:tcPr>
        <w:tcBorders>
          <w:bottom w:val="nil"/>
          <w:right w:val="nil"/>
          <w:tl2br w:val="nil"/>
          <w:tr2bl w:val="nil"/>
        </w:tcBorders>
      </w:tcPr>
    </w:tblStylePr>
    <w:tblStylePr w:type="seCell">
      <w:tblPr/>
      <w:tcPr>
        <w:tcBorders>
          <w:top w:val="nil"/>
          <w:left w:val="nil"/>
          <w:tl2br w:val="nil"/>
          <w:tr2bl w:val="nil"/>
        </w:tcBorders>
      </w:tcPr>
    </w:tblStylePr>
    <w:tblStylePr w:type="swCell">
      <w:rPr>
        <w:color w:val="000080"/>
      </w:rPr>
      <w:tblPr/>
      <w:tcPr>
        <w:tcBorders>
          <w:top w:val="nil"/>
          <w:right w:val="nil"/>
          <w:tl2br w:val="nil"/>
          <w:tr2bl w:val="nil"/>
        </w:tcBorders>
      </w:tcPr>
    </w:tblStylePr>
  </w:style>
  <w:style w:type="table" w:styleId="100">
    <w:name w:val="Table 3D effects 2"/>
    <w:basedOn w:val="82"/>
    <w:semiHidden/>
    <w:qFormat/>
    <w:uiPriority w:val="0"/>
    <w:pPr>
      <w:adjustRightInd w:val="0"/>
      <w:snapToGrid w:val="0"/>
      <w:spacing w:before="160" w:after="160" w:line="240" w:lineRule="atLeast"/>
      <w:ind w:left="1701"/>
    </w:pPr>
    <w:rPr>
      <w:rFonts w:ascii="Times New Roman" w:hAnsi="Times New Roman" w:eastAsia="宋体" w:cs="Times New Roman"/>
    </w:rPr>
    <w:tblPr>
      <w:tblCellMar>
        <w:top w:w="0" w:type="dxa"/>
        <w:left w:w="108" w:type="dxa"/>
        <w:bottom w:w="0" w:type="dxa"/>
        <w:right w:w="108" w:type="dxa"/>
      </w:tblCellMar>
    </w:tblPr>
    <w:tcPr>
      <w:shd w:val="solid" w:color="C0C0C0" w:fill="FFFFFF"/>
    </w:tcPr>
    <w:tblStylePr w:type="firstRow">
      <w:rPr>
        <w:b/>
        <w:bCs/>
      </w:rPr>
      <w:tblPr/>
      <w:tcPr>
        <w:tcBorders>
          <w:tl2br w:val="nil"/>
          <w:tr2bl w:val="nil"/>
        </w:tcBorders>
      </w:tcPr>
    </w:tblStylePr>
    <w:tblStylePr w:type="firstCol">
      <w:tblPr/>
      <w:tcPr>
        <w:tcBorders>
          <w:top w:val="nil"/>
          <w:bottom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Horz">
      <w:tblPr/>
      <w:tcPr>
        <w:tcBorders>
          <w:top w:val="single" w:color="808080" w:sz="6" w:space="0"/>
          <w:bottom w:val="single" w:color="FFFFFF" w:sz="6" w:space="0"/>
          <w:tl2br w:val="nil"/>
          <w:tr2bl w:val="nil"/>
        </w:tcBorders>
      </w:tcPr>
    </w:tblStylePr>
    <w:tblStylePr w:type="swCell">
      <w:rPr>
        <w:b/>
        <w:bCs/>
      </w:rPr>
      <w:tblPr/>
      <w:tcPr>
        <w:tcBorders>
          <w:tl2br w:val="nil"/>
          <w:tr2bl w:val="nil"/>
        </w:tcBorders>
      </w:tcPr>
    </w:tblStylePr>
  </w:style>
  <w:style w:type="table" w:styleId="101">
    <w:name w:val="Table 3D effects 3"/>
    <w:basedOn w:val="82"/>
    <w:semiHidden/>
    <w:uiPriority w:val="0"/>
    <w:pPr>
      <w:adjustRightInd w:val="0"/>
      <w:snapToGrid w:val="0"/>
      <w:spacing w:before="160" w:after="160" w:line="240" w:lineRule="atLeast"/>
      <w:ind w:left="1701"/>
    </w:pPr>
    <w:rPr>
      <w:rFonts w:ascii="Times New Roman" w:hAnsi="Times New Roman" w:eastAsia="宋体" w:cs="Times New Roman"/>
    </w:rPr>
    <w:tblPr>
      <w:tblCellMar>
        <w:top w:w="0" w:type="dxa"/>
        <w:left w:w="108" w:type="dxa"/>
        <w:bottom w:w="0" w:type="dxa"/>
        <w:right w:w="108" w:type="dxa"/>
      </w:tblCellMar>
    </w:tblPr>
    <w:tblStylePr w:type="firstRow">
      <w:rPr>
        <w:b/>
        <w:bCs/>
      </w:rPr>
      <w:tblPr/>
      <w:tcPr>
        <w:tcBorders>
          <w:tl2br w:val="nil"/>
          <w:tr2bl w:val="nil"/>
        </w:tcBorders>
      </w:tcPr>
    </w:tblStylePr>
    <w:tblStylePr w:type="firstCol">
      <w:tblPr/>
      <w:tcPr>
        <w:tcBorders>
          <w:top w:val="nil"/>
          <w:bottom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bottom w:val="single" w:color="FFFFFF" w:sz="6" w:space="0"/>
          <w:tl2br w:val="nil"/>
          <w:tr2bl w:val="nil"/>
        </w:tcBorders>
      </w:tcPr>
    </w:tblStylePr>
    <w:tblStylePr w:type="swCell">
      <w:rPr>
        <w:b/>
        <w:bCs/>
      </w:rPr>
      <w:tblPr/>
      <w:tcPr>
        <w:tcBorders>
          <w:tl2br w:val="nil"/>
          <w:tr2bl w:val="nil"/>
        </w:tcBorders>
      </w:tcPr>
    </w:tblStylePr>
  </w:style>
  <w:style w:type="table" w:styleId="102">
    <w:name w:val="Table List 1"/>
    <w:basedOn w:val="82"/>
    <w:semiHidden/>
    <w:qFormat/>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8080" w:sz="12" w:space="0"/>
        <w:left w:val="single" w:color="008080" w:sz="6" w:space="0"/>
        <w:bottom w:val="single" w:color="008080" w:sz="12" w:space="0"/>
        <w:right w:val="single" w:color="008080" w:sz="6" w:space="0"/>
      </w:tblBorders>
      <w:tblCellMar>
        <w:top w:w="0" w:type="dxa"/>
        <w:left w:w="108" w:type="dxa"/>
        <w:bottom w:w="0" w:type="dxa"/>
        <w:right w:w="108" w:type="dxa"/>
      </w:tblCellMar>
    </w:tblPr>
    <w:tblStylePr w:type="firstRow">
      <w:rPr>
        <w:b/>
        <w:bCs/>
        <w:i/>
        <w:iCs/>
        <w:color w:val="800000"/>
      </w:rPr>
      <w:tblPr/>
      <w:tcPr>
        <w:tcBorders>
          <w:bottom w:val="single" w:color="000000" w:sz="6" w:space="0"/>
          <w:tl2br w:val="nil"/>
          <w:tr2bl w:val="nil"/>
        </w:tcBorders>
        <w:shd w:val="solid" w:color="C0C0C0" w:fill="FFFFFF"/>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103">
    <w:name w:val="Table List 2"/>
    <w:basedOn w:val="82"/>
    <w:semiHidden/>
    <w:qFormat/>
    <w:uiPriority w:val="0"/>
    <w:pPr>
      <w:adjustRightInd w:val="0"/>
      <w:snapToGrid w:val="0"/>
      <w:spacing w:before="160" w:after="160" w:line="240" w:lineRule="atLeast"/>
      <w:ind w:left="1701"/>
    </w:pPr>
    <w:rPr>
      <w:rFonts w:ascii="Times New Roman" w:hAnsi="Times New Roman" w:eastAsia="宋体" w:cs="Times New Roman"/>
    </w:rPr>
    <w:tblPr>
      <w:tblBorders>
        <w:bottom w:val="single" w:color="808080" w:sz="12" w:space="0"/>
      </w:tblBorders>
      <w:tblCellMar>
        <w:top w:w="0" w:type="dxa"/>
        <w:left w:w="108" w:type="dxa"/>
        <w:bottom w:w="0" w:type="dxa"/>
        <w:right w:w="108" w:type="dxa"/>
      </w:tblCellMar>
    </w:tblPr>
    <w:tblStylePr w:type="firstRow">
      <w:rPr>
        <w:b/>
        <w:bCs/>
        <w:color w:val="FFFFFF"/>
      </w:rPr>
      <w:tblPr/>
      <w:tcPr>
        <w:tcBorders>
          <w:bottom w:val="single" w:color="000000" w:sz="6" w:space="0"/>
          <w:tl2br w:val="nil"/>
          <w:tr2bl w:val="nil"/>
        </w:tcBorders>
        <w:shd w:val="pct75" w:color="008080" w:fill="008000"/>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104">
    <w:name w:val="Table List 3"/>
    <w:basedOn w:val="82"/>
    <w:semiHidden/>
    <w:qFormat/>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0000" w:sz="12" w:space="0"/>
        <w:bottom w:val="single" w:color="000000" w:sz="12" w:space="0"/>
        <w:insideH w:val="single" w:color="000000" w:sz="6" w:space="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color="000000" w:sz="12" w:space="0"/>
          <w:tl2br w:val="nil"/>
          <w:tr2bl w:val="nil"/>
        </w:tcBorders>
      </w:tcPr>
    </w:tblStylePr>
    <w:tblStylePr w:type="lastRow">
      <w:tblPr/>
      <w:tcPr>
        <w:tcBorders>
          <w:top w:val="single" w:color="000000" w:sz="12" w:space="0"/>
          <w:tl2br w:val="nil"/>
          <w:tr2bl w:val="nil"/>
        </w:tcBorders>
      </w:tcPr>
    </w:tblStylePr>
    <w:tblStylePr w:type="swCell">
      <w:rPr>
        <w:i/>
        <w:iCs/>
        <w:color w:val="000080"/>
      </w:rPr>
      <w:tblPr/>
      <w:tcPr>
        <w:tcBorders>
          <w:tl2br w:val="nil"/>
          <w:tr2bl w:val="nil"/>
        </w:tcBorders>
      </w:tcPr>
    </w:tblStylePr>
  </w:style>
  <w:style w:type="table" w:styleId="105">
    <w:name w:val="Table List 4"/>
    <w:basedOn w:val="82"/>
    <w:semiHidden/>
    <w:qFormat/>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0000" w:sz="12" w:space="0"/>
        <w:left w:val="single" w:color="000000" w:sz="12" w:space="0"/>
        <w:bottom w:val="single" w:color="000000" w:sz="12" w:space="0"/>
        <w:right w:val="single" w:color="000000" w:sz="12" w:space="0"/>
        <w:insideH w:val="single" w:color="000000" w:sz="6" w:space="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color="000000" w:sz="12" w:space="0"/>
          <w:tl2br w:val="nil"/>
          <w:tr2bl w:val="nil"/>
        </w:tcBorders>
        <w:shd w:val="solid" w:color="808080" w:fill="FFFFFF"/>
      </w:tcPr>
    </w:tblStylePr>
  </w:style>
  <w:style w:type="table" w:styleId="106">
    <w:name w:val="Table List 5"/>
    <w:basedOn w:val="82"/>
    <w:semiHidden/>
    <w:qFormat/>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0000" w:sz="6" w:space="0"/>
        <w:left w:val="single" w:color="000000" w:sz="6" w:space="0"/>
        <w:bottom w:val="single" w:color="000000" w:sz="6" w:space="0"/>
        <w:right w:val="single" w:color="000000" w:sz="6" w:space="0"/>
        <w:insideH w:val="single" w:color="000000" w:sz="6" w:space="0"/>
      </w:tblBorders>
      <w:tblCellMar>
        <w:top w:w="0" w:type="dxa"/>
        <w:left w:w="108" w:type="dxa"/>
        <w:bottom w:w="0" w:type="dxa"/>
        <w:right w:w="108" w:type="dxa"/>
      </w:tblCellMar>
    </w:tblPr>
    <w:tcPr>
      <w:shd w:val="clear" w:color="auto" w:fill="auto"/>
    </w:tcPr>
    <w:tblStylePr w:type="firstRow">
      <w:rPr>
        <w:b/>
        <w:bCs/>
      </w:rPr>
      <w:tblPr/>
      <w:tcPr>
        <w:tcBorders>
          <w:bottom w:val="single" w:color="000000" w:sz="12" w:space="0"/>
          <w:tl2br w:val="nil"/>
          <w:tr2bl w:val="nil"/>
        </w:tcBorders>
      </w:tcPr>
    </w:tblStylePr>
    <w:tblStylePr w:type="firstCol">
      <w:rPr>
        <w:b/>
        <w:bCs/>
      </w:rPr>
      <w:tblPr/>
      <w:tcPr>
        <w:tcBorders>
          <w:tl2br w:val="nil"/>
          <w:tr2bl w:val="nil"/>
        </w:tcBorders>
      </w:tcPr>
    </w:tblStylePr>
  </w:style>
  <w:style w:type="table" w:styleId="107">
    <w:name w:val="Table List 6"/>
    <w:basedOn w:val="82"/>
    <w:semiHidden/>
    <w:qFormat/>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0000" w:sz="6" w:space="0"/>
        <w:left w:val="single" w:color="000000" w:sz="6" w:space="0"/>
        <w:bottom w:val="single" w:color="000000" w:sz="6" w:space="0"/>
        <w:right w:val="single" w:color="000000" w:sz="6" w:space="0"/>
      </w:tblBorders>
      <w:tblCellMar>
        <w:top w:w="0" w:type="dxa"/>
        <w:left w:w="108" w:type="dxa"/>
        <w:bottom w:w="0" w:type="dxa"/>
        <w:right w:w="108" w:type="dxa"/>
      </w:tblCellMar>
    </w:tblPr>
    <w:tcPr>
      <w:shd w:val="pct50" w:color="000000" w:fill="FFFFFF"/>
    </w:tcPr>
    <w:tblStylePr w:type="firstRow">
      <w:rPr>
        <w:b/>
        <w:bCs/>
      </w:rPr>
      <w:tblPr/>
      <w:tcPr>
        <w:tcBorders>
          <w:bottom w:val="single" w:color="000000" w:sz="12" w:space="0"/>
          <w:tl2br w:val="nil"/>
          <w:tr2bl w:val="nil"/>
        </w:tcBorders>
      </w:tcPr>
    </w:tblStylePr>
    <w:tblStylePr w:type="firstCol">
      <w:rPr>
        <w:b/>
        <w:bCs/>
      </w:rPr>
      <w:tblPr/>
      <w:tcPr>
        <w:tcBorders>
          <w:right w:val="single" w:color="000000" w:sz="12" w:space="0"/>
          <w:tl2br w:val="nil"/>
          <w:tr2bl w:val="nil"/>
        </w:tcBorders>
      </w:tcPr>
    </w:tblStylePr>
    <w:tblStylePr w:type="band1Horz">
      <w:tblPr/>
      <w:tcPr>
        <w:tcBorders>
          <w:tl2br w:val="nil"/>
          <w:tr2bl w:val="nil"/>
        </w:tcBorders>
        <w:shd w:val="pct25" w:color="000000" w:fill="FFFFFF"/>
      </w:tcPr>
    </w:tblStylePr>
    <w:tblStylePr w:type="nwCell">
      <w:tblPr/>
      <w:tcPr>
        <w:tcBorders>
          <w:tl2br w:val="single" w:color="000000" w:sz="6" w:space="0"/>
          <w:tr2bl w:val="nil"/>
        </w:tcBorders>
      </w:tcPr>
    </w:tblStylePr>
  </w:style>
  <w:style w:type="table" w:styleId="108">
    <w:name w:val="Table List 7"/>
    <w:basedOn w:val="82"/>
    <w:semiHidden/>
    <w:qFormat/>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blPr/>
      <w:tcPr>
        <w:tcBorders>
          <w:bottom w:val="single" w:color="008000" w:sz="12" w:space="0"/>
          <w:tl2br w:val="nil"/>
          <w:tr2bl w:val="nil"/>
        </w:tcBorders>
        <w:shd w:val="solid" w:color="C0C0C0" w:fill="FFFFFF"/>
      </w:tcPr>
    </w:tblStylePr>
    <w:tblStylePr w:type="lastRow">
      <w:rPr>
        <w:b/>
        <w:bCs/>
      </w:rPr>
      <w:tblPr/>
      <w:tcPr>
        <w:tcBorders>
          <w:top w:val="single" w:color="008000" w:sz="12"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109">
    <w:name w:val="Table List 8"/>
    <w:basedOn w:val="82"/>
    <w:semiHidden/>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0000" w:sz="6" w:space="0"/>
        <w:left w:val="single" w:color="000000" w:sz="6" w:space="0"/>
        <w:bottom w:val="single" w:color="000000" w:sz="6" w:space="0"/>
        <w:right w:val="single" w:color="000000" w:sz="6" w:space="0"/>
        <w:insideV w:val="single" w:color="000000" w:sz="6" w:space="0"/>
      </w:tblBorders>
      <w:tblCellMar>
        <w:top w:w="0" w:type="dxa"/>
        <w:left w:w="108" w:type="dxa"/>
        <w:bottom w:w="0" w:type="dxa"/>
        <w:right w:w="108" w:type="dxa"/>
      </w:tblCellMar>
    </w:tblPr>
    <w:tblStylePr w:type="firstRow">
      <w:rPr>
        <w:b/>
        <w:bCs/>
        <w:i/>
        <w:iCs/>
      </w:rPr>
      <w:tblPr/>
      <w:tcPr>
        <w:tcBorders>
          <w:bottom w:val="single" w:color="000000" w:sz="6" w:space="0"/>
          <w:tl2br w:val="nil"/>
          <w:tr2bl w:val="nil"/>
        </w:tcBorders>
        <w:shd w:val="solid" w:color="FFFF00" w:fill="FFFFFF"/>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tblStylePr w:type="nwCell">
      <w:tblPr/>
      <w:tcPr>
        <w:tcBorders>
          <w:tl2br w:val="single" w:color="auto" w:sz="6" w:space="0"/>
          <w:tr2bl w:val="nil"/>
        </w:tcBorders>
      </w:tcPr>
    </w:tblStylePr>
  </w:style>
  <w:style w:type="table" w:styleId="110">
    <w:name w:val="Table Contemporary"/>
    <w:basedOn w:val="82"/>
    <w:semiHidden/>
    <w:qFormat/>
    <w:uiPriority w:val="0"/>
    <w:pPr>
      <w:adjustRightInd w:val="0"/>
      <w:snapToGrid w:val="0"/>
      <w:spacing w:before="160" w:after="160" w:line="240" w:lineRule="atLeast"/>
      <w:ind w:left="1701"/>
    </w:pPr>
    <w:rPr>
      <w:rFonts w:ascii="Times New Roman" w:hAnsi="Times New Roman" w:eastAsia="宋体" w:cs="Times New Roman"/>
    </w:r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111">
    <w:name w:val="Table Columns 1"/>
    <w:basedOn w:val="82"/>
    <w:semiHidden/>
    <w:qFormat/>
    <w:uiPriority w:val="0"/>
    <w:pPr>
      <w:adjustRightInd w:val="0"/>
      <w:snapToGrid w:val="0"/>
      <w:spacing w:before="160" w:after="160" w:line="240" w:lineRule="atLeast"/>
      <w:ind w:left="1701"/>
    </w:pPr>
    <w:rPr>
      <w:rFonts w:ascii="Times New Roman" w:hAnsi="Times New Roman" w:eastAsia="宋体" w:cs="Times New Roman"/>
      <w:b/>
      <w:bCs/>
    </w:rPr>
    <w:tblPr>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tblStylePr w:type="firstRow">
      <w:rPr>
        <w:b w:val="0"/>
        <w:bCs w:val="0"/>
      </w:rPr>
      <w:tblPr/>
      <w:tcPr>
        <w:tcBorders>
          <w:bottom w:val="double" w:color="000000" w:sz="6" w:space="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12">
    <w:name w:val="Table Columns 2"/>
    <w:basedOn w:val="82"/>
    <w:semiHidden/>
    <w:qFormat/>
    <w:uiPriority w:val="0"/>
    <w:pPr>
      <w:adjustRightInd w:val="0"/>
      <w:snapToGrid w:val="0"/>
      <w:spacing w:before="160" w:after="160" w:line="240" w:lineRule="atLeast"/>
      <w:ind w:left="1701"/>
    </w:pPr>
    <w:rPr>
      <w:rFonts w:ascii="Times New Roman" w:hAnsi="Times New Roman" w:eastAsia="宋体" w:cs="Times New Roman"/>
      <w:b/>
      <w:bCs/>
    </w:rPr>
    <w:tblPr>
      <w:tblCellMar>
        <w:top w:w="0" w:type="dxa"/>
        <w:left w:w="108" w:type="dxa"/>
        <w:bottom w:w="0" w:type="dxa"/>
        <w:right w:w="108" w:type="dxa"/>
      </w:tblCellMar>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13">
    <w:name w:val="Table Columns 3"/>
    <w:basedOn w:val="82"/>
    <w:semiHidden/>
    <w:qFormat/>
    <w:uiPriority w:val="0"/>
    <w:pPr>
      <w:adjustRightInd w:val="0"/>
      <w:snapToGrid w:val="0"/>
      <w:spacing w:before="160" w:after="160" w:line="240" w:lineRule="atLeast"/>
      <w:ind w:left="1701"/>
    </w:pPr>
    <w:rPr>
      <w:rFonts w:ascii="Times New Roman" w:hAnsi="Times New Roman" w:eastAsia="宋体" w:cs="Times New Roman"/>
      <w:b/>
      <w:bCs/>
    </w:rPr>
    <w:tblPr>
      <w:tblBorders>
        <w:top w:val="single" w:color="000080" w:sz="6" w:space="0"/>
        <w:left w:val="single" w:color="000080" w:sz="6" w:space="0"/>
        <w:bottom w:val="single" w:color="000080" w:sz="6" w:space="0"/>
        <w:right w:val="single" w:color="000080" w:sz="6" w:space="0"/>
        <w:insideV w:val="single" w:color="000080" w:sz="6" w:space="0"/>
      </w:tblBorders>
      <w:tblCellMar>
        <w:top w:w="0" w:type="dxa"/>
        <w:left w:w="108" w:type="dxa"/>
        <w:bottom w:w="0" w:type="dxa"/>
        <w:right w:w="108" w:type="dxa"/>
      </w:tblCellMar>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color="00008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114">
    <w:name w:val="Table Columns 4"/>
    <w:basedOn w:val="82"/>
    <w:semiHidden/>
    <w:qFormat/>
    <w:uiPriority w:val="0"/>
    <w:pPr>
      <w:adjustRightInd w:val="0"/>
      <w:snapToGrid w:val="0"/>
      <w:spacing w:before="160" w:after="160" w:line="240" w:lineRule="atLeast"/>
      <w:ind w:left="1701"/>
    </w:pPr>
    <w:rPr>
      <w:rFonts w:ascii="Times New Roman" w:hAnsi="Times New Roman" w:eastAsia="宋体" w:cs="Times New Roman"/>
    </w:rPr>
    <w:tblPr>
      <w:tblCellMar>
        <w:top w:w="0" w:type="dxa"/>
        <w:left w:w="108" w:type="dxa"/>
        <w:bottom w:w="0" w:type="dxa"/>
        <w:right w:w="108" w:type="dxa"/>
      </w:tblCellMar>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115">
    <w:name w:val="Table Columns 5"/>
    <w:basedOn w:val="82"/>
    <w:semiHidden/>
    <w:qFormat/>
    <w:uiPriority w:val="0"/>
    <w:pPr>
      <w:adjustRightInd w:val="0"/>
      <w:snapToGrid w:val="0"/>
      <w:spacing w:before="160" w:after="160" w:line="240" w:lineRule="atLeast"/>
      <w:ind w:left="1701"/>
    </w:pPr>
    <w:rPr>
      <w:rFonts w:ascii="Times New Roman" w:hAnsi="Times New Roman" w:eastAsia="宋体" w:cs="Times New Roman"/>
    </w:rPr>
    <w:tblPr>
      <w:tblBorders>
        <w:top w:val="single" w:color="808080" w:sz="12" w:space="0"/>
        <w:left w:val="single" w:color="808080" w:sz="12" w:space="0"/>
        <w:bottom w:val="single" w:color="808080" w:sz="12" w:space="0"/>
        <w:right w:val="single" w:color="808080" w:sz="12" w:space="0"/>
        <w:insideV w:val="single" w:color="C0C0C0" w:sz="6" w:space="0"/>
      </w:tblBorders>
      <w:tblCellMar>
        <w:top w:w="0" w:type="dxa"/>
        <w:left w:w="108" w:type="dxa"/>
        <w:bottom w:w="0" w:type="dxa"/>
        <w:right w:w="108" w:type="dxa"/>
      </w:tblCellMar>
    </w:tblPr>
    <w:tblStylePr w:type="firstRow">
      <w:rPr>
        <w:b/>
        <w:bCs/>
        <w:i/>
        <w:iCs/>
      </w:rPr>
      <w:tblPr/>
      <w:tcPr>
        <w:tcBorders>
          <w:bottom w:val="single" w:color="808080" w:sz="6" w:space="0"/>
          <w:tl2br w:val="nil"/>
          <w:tr2bl w:val="nil"/>
        </w:tcBorders>
      </w:tcPr>
    </w:tblStylePr>
    <w:tblStylePr w:type="lastRow">
      <w:rPr>
        <w:b/>
        <w:bCs/>
      </w:rPr>
      <w:tblPr/>
      <w:tcPr>
        <w:tcBorders>
          <w:top w:val="single" w:color="80808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16">
    <w:name w:val="Table Grid 1"/>
    <w:basedOn w:val="82"/>
    <w:semiHidden/>
    <w:qFormat/>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color="000000" w:sz="6" w:space="0"/>
          <w:tr2bl w:val="nil"/>
        </w:tcBorders>
      </w:tcPr>
    </w:tblStylePr>
  </w:style>
  <w:style w:type="table" w:styleId="117">
    <w:name w:val="Table Grid 2"/>
    <w:basedOn w:val="82"/>
    <w:semiHidden/>
    <w:qFormat/>
    <w:uiPriority w:val="0"/>
    <w:pPr>
      <w:adjustRightInd w:val="0"/>
      <w:snapToGrid w:val="0"/>
      <w:spacing w:before="160" w:after="160" w:line="240" w:lineRule="atLeast"/>
      <w:ind w:left="1701"/>
    </w:pPr>
    <w:rPr>
      <w:rFonts w:ascii="Times New Roman" w:hAnsi="Times New Roman" w:eastAsia="宋体" w:cs="Times New Roman"/>
    </w:rPr>
    <w:tblPr>
      <w:tblBorders>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rPr>
      <w:tblPr/>
      <w:tcPr>
        <w:tcBorders>
          <w:tl2br w:val="nil"/>
          <w:tr2bl w:val="nil"/>
        </w:tcBorders>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118">
    <w:name w:val="Table Grid 3"/>
    <w:basedOn w:val="82"/>
    <w:semiHidden/>
    <w:qFormat/>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0000" w:sz="6" w:space="0"/>
        <w:left w:val="single" w:color="000000" w:sz="12" w:space="0"/>
        <w:bottom w:val="single" w:color="000000" w:sz="6" w:space="0"/>
        <w:right w:val="single" w:color="000000" w:sz="12" w:space="0"/>
        <w:insideV w:val="single" w:color="000000" w:sz="6" w:space="0"/>
      </w:tblBorders>
      <w:tblCellMar>
        <w:top w:w="0" w:type="dxa"/>
        <w:left w:w="108" w:type="dxa"/>
        <w:bottom w:w="0" w:type="dxa"/>
        <w:right w:w="108" w:type="dxa"/>
      </w:tblCellMar>
    </w:tblPr>
    <w:tcPr>
      <w:shd w:val="clear" w:color="auto" w:fill="auto"/>
    </w:tcPr>
    <w:tblStylePr w:type="firstRow">
      <w:tblPr/>
      <w:tcPr>
        <w:tcBorders>
          <w:bottom w:val="single" w:color="000000" w:sz="6" w:space="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19">
    <w:name w:val="Table Grid 4"/>
    <w:basedOn w:val="82"/>
    <w:semiHidden/>
    <w:qFormat/>
    <w:uiPriority w:val="0"/>
    <w:pPr>
      <w:adjustRightInd w:val="0"/>
      <w:snapToGrid w:val="0"/>
      <w:spacing w:before="160" w:after="160" w:line="240" w:lineRule="atLeast"/>
      <w:ind w:left="1701"/>
    </w:pPr>
    <w:rPr>
      <w:rFonts w:ascii="Times New Roman" w:hAnsi="Times New Roman" w:eastAsia="宋体" w:cs="Times New Roman"/>
    </w:rPr>
    <w:tblPr>
      <w:tblBorders>
        <w:left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olor w:val="auto"/>
      </w:rPr>
      <w:tblPr/>
      <w:tcPr>
        <w:tcBorders>
          <w:bottom w:val="single" w:color="000000" w:sz="6" w:space="0"/>
          <w:tl2br w:val="nil"/>
          <w:tr2bl w:val="nil"/>
        </w:tcBorders>
        <w:shd w:val="pct30" w:color="FFFF00" w:fill="FFFFFF"/>
      </w:tcPr>
    </w:tblStylePr>
    <w:tblStylePr w:type="lastRow">
      <w:rPr>
        <w:b/>
        <w:bCs/>
        <w:color w:val="auto"/>
      </w:rPr>
      <w:tblPr/>
      <w:tcPr>
        <w:tcBorders>
          <w:top w:val="single" w:color="000000" w:sz="6" w:space="0"/>
          <w:tl2br w:val="nil"/>
          <w:tr2bl w:val="nil"/>
        </w:tcBorders>
        <w:shd w:val="pct30" w:color="FFFF00" w:fill="FFFFFF"/>
      </w:tcPr>
    </w:tblStylePr>
    <w:tblStylePr w:type="lastCol">
      <w:rPr>
        <w:b/>
        <w:bCs/>
        <w:color w:val="auto"/>
      </w:rPr>
      <w:tblPr/>
      <w:tcPr>
        <w:tcBorders>
          <w:tl2br w:val="nil"/>
          <w:tr2bl w:val="nil"/>
        </w:tcBorders>
      </w:tcPr>
    </w:tblStylePr>
  </w:style>
  <w:style w:type="table" w:styleId="120">
    <w:name w:val="Table Grid 5"/>
    <w:basedOn w:val="82"/>
    <w:semiHidden/>
    <w:qFormat/>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tblPr/>
      <w:tcPr>
        <w:tcBorders>
          <w:bottom w:val="single" w:color="000000" w:sz="12" w:space="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21">
    <w:name w:val="Table Grid 6"/>
    <w:basedOn w:val="82"/>
    <w:semiHidden/>
    <w:qFormat/>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0000" w:sz="12" w:space="0"/>
        <w:left w:val="single" w:color="000000" w:sz="12" w:space="0"/>
        <w:bottom w:val="single" w:color="000000" w:sz="12" w:space="0"/>
        <w:right w:val="single" w:color="000000" w:sz="12" w:space="0"/>
        <w:insideV w:val="single" w:color="000000" w:sz="6" w:space="0"/>
      </w:tblBorders>
      <w:tblCellMar>
        <w:top w:w="0" w:type="dxa"/>
        <w:left w:w="108" w:type="dxa"/>
        <w:bottom w:w="0" w:type="dxa"/>
        <w:right w:w="108" w:type="dxa"/>
      </w:tblCellMar>
    </w:tblPr>
    <w:tcPr>
      <w:shd w:val="clear" w:color="auto" w:fill="auto"/>
    </w:tcPr>
    <w:tblStylePr w:type="firstRow">
      <w:rPr>
        <w:b/>
        <w:bCs/>
      </w:rPr>
      <w:tblPr/>
      <w:tcPr>
        <w:tcBorders>
          <w:bottom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rPr>
        <w:b/>
        <w:bCs/>
      </w:rPr>
      <w:tblPr/>
      <w:tcPr>
        <w:tcBorders>
          <w:tl2br w:val="nil"/>
          <w:tr2bl w:val="nil"/>
        </w:tcBorders>
      </w:tcPr>
    </w:tblStylePr>
    <w:tblStylePr w:type="nwCell">
      <w:tblPr/>
      <w:tcPr>
        <w:tcBorders>
          <w:tl2br w:val="single" w:color="000000" w:sz="6" w:space="0"/>
          <w:tr2bl w:val="nil"/>
        </w:tcBorders>
      </w:tcPr>
    </w:tblStylePr>
  </w:style>
  <w:style w:type="table" w:styleId="122">
    <w:name w:val="Table Grid 7"/>
    <w:basedOn w:val="82"/>
    <w:semiHidden/>
    <w:uiPriority w:val="0"/>
    <w:pPr>
      <w:adjustRightInd w:val="0"/>
      <w:snapToGrid w:val="0"/>
      <w:spacing w:before="160" w:after="160" w:line="240" w:lineRule="atLeast"/>
      <w:ind w:left="1701"/>
    </w:pPr>
    <w:rPr>
      <w:rFonts w:ascii="Times New Roman" w:hAnsi="Times New Roman" w:eastAsia="宋体" w:cs="Times New Roman"/>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val="0"/>
        <w:bCs w:val="0"/>
      </w:rPr>
      <w:tblPr/>
      <w:tcPr>
        <w:tcBorders>
          <w:bottom w:val="single" w:color="000000" w:sz="12" w:space="0"/>
          <w:tl2br w:val="nil"/>
          <w:tr2bl w:val="nil"/>
        </w:tcBorders>
      </w:tcPr>
    </w:tblStylePr>
    <w:tblStylePr w:type="lastRow">
      <w:rPr>
        <w:b w:val="0"/>
        <w:bCs w:val="0"/>
      </w:rPr>
      <w:tblPr/>
      <w:tcPr>
        <w:tcBorders>
          <w:top w:val="single" w:color="00000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color="000000" w:sz="6" w:space="0"/>
          <w:tr2bl w:val="nil"/>
        </w:tcBorders>
      </w:tcPr>
    </w:tblStylePr>
  </w:style>
  <w:style w:type="table" w:styleId="123">
    <w:name w:val="Table Grid 8"/>
    <w:basedOn w:val="82"/>
    <w:semiHidden/>
    <w:qFormat/>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124">
    <w:name w:val="Table Web 1"/>
    <w:basedOn w:val="82"/>
    <w:semiHidden/>
    <w:qFormat/>
    <w:uiPriority w:val="0"/>
    <w:pPr>
      <w:adjustRightInd w:val="0"/>
      <w:snapToGrid w:val="0"/>
      <w:spacing w:before="160" w:after="160" w:line="240" w:lineRule="atLeast"/>
      <w:ind w:left="1701"/>
    </w:pPr>
    <w:rPr>
      <w:rFonts w:ascii="Times New Roman" w:hAnsi="Times New Roman" w:eastAsia="宋体" w:cs="Times New Roman"/>
    </w:r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styleId="125">
    <w:name w:val="Table Web 2"/>
    <w:basedOn w:val="82"/>
    <w:semiHidden/>
    <w:qFormat/>
    <w:uiPriority w:val="0"/>
    <w:pPr>
      <w:adjustRightInd w:val="0"/>
      <w:snapToGrid w:val="0"/>
      <w:spacing w:before="160" w:after="160" w:line="240" w:lineRule="atLeast"/>
      <w:ind w:left="1701"/>
    </w:pPr>
    <w:rPr>
      <w:rFonts w:ascii="Times New Roman" w:hAnsi="Times New Roman" w:eastAsia="宋体" w:cs="Times New Roman"/>
    </w:r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styleId="126">
    <w:name w:val="Table Web 3"/>
    <w:basedOn w:val="82"/>
    <w:semiHidden/>
    <w:uiPriority w:val="0"/>
    <w:pPr>
      <w:adjustRightInd w:val="0"/>
      <w:snapToGrid w:val="0"/>
      <w:spacing w:before="160" w:after="160" w:line="240" w:lineRule="atLeast"/>
      <w:ind w:left="1701"/>
    </w:pPr>
    <w:rPr>
      <w:rFonts w:ascii="Times New Roman" w:hAnsi="Times New Roman" w:eastAsia="宋体" w:cs="Times New Roman"/>
    </w:r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styleId="127">
    <w:name w:val="Table Professional"/>
    <w:basedOn w:val="82"/>
    <w:semiHidden/>
    <w:unhideWhenUsed/>
    <w:qFormat/>
    <w:uiPriority w:val="0"/>
    <w:pPr>
      <w:widowControl w:val="0"/>
      <w:spacing w:line="360" w:lineRule="auto"/>
      <w:ind w:firstLine="42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blPr/>
      <w:tcPr>
        <w:tcBorders>
          <w:tl2br w:val="nil"/>
          <w:tr2bl w:val="nil"/>
        </w:tcBorders>
        <w:shd w:val="solid" w:color="000000" w:fill="FFFFFF"/>
      </w:tcPr>
    </w:tblStylePr>
  </w:style>
  <w:style w:type="character" w:styleId="129">
    <w:name w:val="Strong"/>
    <w:basedOn w:val="128"/>
    <w:uiPriority w:val="0"/>
    <w:rPr>
      <w:b/>
      <w:bCs/>
    </w:rPr>
  </w:style>
  <w:style w:type="character" w:styleId="130">
    <w:name w:val="endnote reference"/>
    <w:basedOn w:val="128"/>
    <w:semiHidden/>
    <w:qFormat/>
    <w:uiPriority w:val="0"/>
    <w:rPr>
      <w:vertAlign w:val="superscript"/>
    </w:rPr>
  </w:style>
  <w:style w:type="character" w:styleId="131">
    <w:name w:val="page number"/>
    <w:basedOn w:val="128"/>
    <w:qFormat/>
    <w:uiPriority w:val="0"/>
  </w:style>
  <w:style w:type="character" w:styleId="132">
    <w:name w:val="FollowedHyperlink"/>
    <w:basedOn w:val="128"/>
    <w:unhideWhenUsed/>
    <w:qFormat/>
    <w:uiPriority w:val="0"/>
    <w:rPr>
      <w:color w:val="954F72" w:themeColor="followedHyperlink"/>
      <w:u w:val="single"/>
      <w14:textFill>
        <w14:solidFill>
          <w14:schemeClr w14:val="folHlink"/>
        </w14:solidFill>
      </w14:textFill>
    </w:rPr>
  </w:style>
  <w:style w:type="character" w:styleId="133">
    <w:name w:val="Emphasis"/>
    <w:basedOn w:val="128"/>
    <w:uiPriority w:val="0"/>
    <w:rPr>
      <w:i/>
      <w:iCs/>
    </w:rPr>
  </w:style>
  <w:style w:type="character" w:styleId="134">
    <w:name w:val="line number"/>
    <w:basedOn w:val="128"/>
    <w:semiHidden/>
    <w:qFormat/>
    <w:uiPriority w:val="0"/>
  </w:style>
  <w:style w:type="character" w:styleId="135">
    <w:name w:val="HTML Definition"/>
    <w:basedOn w:val="128"/>
    <w:semiHidden/>
    <w:qFormat/>
    <w:uiPriority w:val="0"/>
    <w:rPr>
      <w:i/>
      <w:iCs/>
    </w:rPr>
  </w:style>
  <w:style w:type="character" w:styleId="136">
    <w:name w:val="HTML Typewriter"/>
    <w:basedOn w:val="128"/>
    <w:semiHidden/>
    <w:qFormat/>
    <w:uiPriority w:val="0"/>
    <w:rPr>
      <w:rFonts w:ascii="Courier New" w:hAnsi="Courier New" w:cs="Courier New"/>
      <w:sz w:val="20"/>
      <w:szCs w:val="20"/>
    </w:rPr>
  </w:style>
  <w:style w:type="character" w:styleId="137">
    <w:name w:val="HTML Acronym"/>
    <w:basedOn w:val="128"/>
    <w:semiHidden/>
    <w:qFormat/>
    <w:uiPriority w:val="0"/>
  </w:style>
  <w:style w:type="character" w:styleId="138">
    <w:name w:val="HTML Variable"/>
    <w:basedOn w:val="128"/>
    <w:semiHidden/>
    <w:uiPriority w:val="0"/>
    <w:rPr>
      <w:i/>
      <w:iCs/>
    </w:rPr>
  </w:style>
  <w:style w:type="character" w:styleId="139">
    <w:name w:val="Hyperlink"/>
    <w:basedOn w:val="128"/>
    <w:unhideWhenUsed/>
    <w:qFormat/>
    <w:uiPriority w:val="99"/>
    <w:rPr>
      <w:color w:val="0563C1" w:themeColor="hyperlink"/>
      <w:u w:val="single"/>
      <w14:textFill>
        <w14:solidFill>
          <w14:schemeClr w14:val="hlink"/>
        </w14:solidFill>
      </w14:textFill>
    </w:rPr>
  </w:style>
  <w:style w:type="character" w:styleId="140">
    <w:name w:val="HTML Code"/>
    <w:basedOn w:val="128"/>
    <w:semiHidden/>
    <w:qFormat/>
    <w:uiPriority w:val="0"/>
    <w:rPr>
      <w:rFonts w:ascii="Courier New" w:hAnsi="Courier New" w:cs="Courier New"/>
      <w:sz w:val="20"/>
      <w:szCs w:val="20"/>
    </w:rPr>
  </w:style>
  <w:style w:type="character" w:styleId="141">
    <w:name w:val="annotation reference"/>
    <w:basedOn w:val="128"/>
    <w:unhideWhenUsed/>
    <w:qFormat/>
    <w:uiPriority w:val="0"/>
    <w:rPr>
      <w:sz w:val="21"/>
      <w:szCs w:val="21"/>
    </w:rPr>
  </w:style>
  <w:style w:type="character" w:styleId="142">
    <w:name w:val="HTML Cite"/>
    <w:basedOn w:val="128"/>
    <w:semiHidden/>
    <w:uiPriority w:val="0"/>
    <w:rPr>
      <w:i/>
      <w:iCs/>
    </w:rPr>
  </w:style>
  <w:style w:type="character" w:styleId="143">
    <w:name w:val="footnote reference"/>
    <w:unhideWhenUsed/>
    <w:qFormat/>
    <w:uiPriority w:val="0"/>
    <w:rPr>
      <w:rFonts w:hint="default" w:ascii="Tahoma" w:hAnsi="Tahoma" w:eastAsia="宋体" w:cs="Tahoma"/>
      <w:kern w:val="2"/>
      <w:sz w:val="24"/>
      <w:vertAlign w:val="superscript"/>
      <w:lang w:val="en-US" w:eastAsia="zh-CN" w:bidi="ar-SA"/>
    </w:rPr>
  </w:style>
  <w:style w:type="character" w:styleId="144">
    <w:name w:val="HTML Keyboard"/>
    <w:basedOn w:val="128"/>
    <w:semiHidden/>
    <w:uiPriority w:val="0"/>
    <w:rPr>
      <w:rFonts w:ascii="Courier New" w:hAnsi="Courier New" w:cs="Courier New"/>
      <w:sz w:val="20"/>
      <w:szCs w:val="20"/>
    </w:rPr>
  </w:style>
  <w:style w:type="character" w:styleId="145">
    <w:name w:val="HTML Sample"/>
    <w:basedOn w:val="128"/>
    <w:semiHidden/>
    <w:qFormat/>
    <w:uiPriority w:val="0"/>
    <w:rPr>
      <w:rFonts w:ascii="Courier New" w:hAnsi="Courier New" w:cs="Courier New"/>
    </w:rPr>
  </w:style>
  <w:style w:type="character" w:customStyle="1" w:styleId="146">
    <w:name w:val="页眉 Char"/>
    <w:basedOn w:val="128"/>
    <w:link w:val="54"/>
    <w:qFormat/>
    <w:uiPriority w:val="3"/>
    <w:rPr>
      <w:sz w:val="18"/>
      <w:szCs w:val="18"/>
    </w:rPr>
  </w:style>
  <w:style w:type="character" w:customStyle="1" w:styleId="147">
    <w:name w:val="页脚 Char"/>
    <w:basedOn w:val="128"/>
    <w:link w:val="52"/>
    <w:qFormat/>
    <w:uiPriority w:val="3"/>
    <w:rPr>
      <w:sz w:val="18"/>
      <w:szCs w:val="18"/>
    </w:rPr>
  </w:style>
  <w:style w:type="paragraph" w:customStyle="1" w:styleId="148">
    <w:name w:val="页面标题"/>
    <w:basedOn w:val="1"/>
    <w:next w:val="1"/>
    <w:qFormat/>
    <w:uiPriority w:val="0"/>
    <w:pPr>
      <w:widowControl/>
      <w:ind w:firstLine="0"/>
      <w:jc w:val="center"/>
    </w:pPr>
    <w:rPr>
      <w:rFonts w:ascii="宋体" w:hAnsi="宋体" w:cs="宋体"/>
      <w:b/>
      <w:bCs/>
      <w:kern w:val="0"/>
      <w:sz w:val="44"/>
      <w:szCs w:val="44"/>
    </w:rPr>
  </w:style>
  <w:style w:type="paragraph" w:customStyle="1" w:styleId="149">
    <w:name w:val="表头"/>
    <w:basedOn w:val="1"/>
    <w:qFormat/>
    <w:uiPriority w:val="0"/>
    <w:pPr>
      <w:widowControl/>
      <w:spacing w:line="320" w:lineRule="exact"/>
      <w:ind w:firstLine="0"/>
      <w:jc w:val="center"/>
    </w:pPr>
    <w:rPr>
      <w:rFonts w:cs="Times New Roman"/>
      <w:b/>
      <w:bCs/>
      <w:snapToGrid w:val="0"/>
      <w:color w:val="FFFFFF" w:themeColor="background1"/>
      <w:kern w:val="0"/>
      <w:szCs w:val="18"/>
      <w14:textFill>
        <w14:solidFill>
          <w14:schemeClr w14:val="bg1"/>
        </w14:solidFill>
      </w14:textFill>
    </w:rPr>
  </w:style>
  <w:style w:type="paragraph" w:customStyle="1" w:styleId="150">
    <w:name w:val="表内容"/>
    <w:basedOn w:val="1"/>
    <w:qFormat/>
    <w:uiPriority w:val="0"/>
    <w:pPr>
      <w:widowControl/>
      <w:spacing w:line="240" w:lineRule="auto"/>
      <w:ind w:firstLine="0"/>
      <w:jc w:val="left"/>
    </w:pPr>
    <w:rPr>
      <w:rFonts w:cs="Times New Roman"/>
      <w:snapToGrid w:val="0"/>
      <w:kern w:val="0"/>
      <w:szCs w:val="24"/>
    </w:rPr>
  </w:style>
  <w:style w:type="character" w:customStyle="1" w:styleId="151">
    <w:name w:val="标题 1 Char"/>
    <w:basedOn w:val="128"/>
    <w:link w:val="3"/>
    <w:qFormat/>
    <w:uiPriority w:val="1"/>
    <w:rPr>
      <w:rFonts w:ascii="Times New Roman" w:hAnsi="Times New Roman" w:eastAsia="宋体"/>
      <w:b/>
      <w:bCs/>
      <w:kern w:val="44"/>
      <w:sz w:val="44"/>
      <w:szCs w:val="44"/>
    </w:rPr>
  </w:style>
  <w:style w:type="character" w:customStyle="1" w:styleId="152">
    <w:name w:val="标题 2 Char1"/>
    <w:basedOn w:val="128"/>
    <w:link w:val="4"/>
    <w:qFormat/>
    <w:uiPriority w:val="1"/>
    <w:rPr>
      <w:rFonts w:ascii="Times New Roman" w:hAnsi="Times New Roman" w:eastAsia="宋体" w:cstheme="majorBidi"/>
      <w:b/>
      <w:bCs/>
      <w:kern w:val="2"/>
      <w:sz w:val="32"/>
      <w:szCs w:val="32"/>
    </w:rPr>
  </w:style>
  <w:style w:type="character" w:customStyle="1" w:styleId="153">
    <w:name w:val="标题 3 Char2"/>
    <w:basedOn w:val="128"/>
    <w:link w:val="5"/>
    <w:qFormat/>
    <w:uiPriority w:val="1"/>
    <w:rPr>
      <w:rFonts w:ascii="Times New Roman" w:hAnsi="Times New Roman" w:eastAsia="宋体"/>
      <w:b/>
      <w:bCs/>
      <w:kern w:val="2"/>
      <w:sz w:val="30"/>
      <w:szCs w:val="32"/>
    </w:rPr>
  </w:style>
  <w:style w:type="character" w:customStyle="1" w:styleId="154">
    <w:name w:val="标题 4 Char1"/>
    <w:basedOn w:val="128"/>
    <w:link w:val="6"/>
    <w:qFormat/>
    <w:uiPriority w:val="1"/>
    <w:rPr>
      <w:rFonts w:ascii="Times New Roman" w:hAnsi="Times New Roman" w:eastAsia="宋体" w:cstheme="majorBidi"/>
      <w:b/>
      <w:bCs/>
      <w:kern w:val="2"/>
      <w:sz w:val="28"/>
      <w:szCs w:val="28"/>
    </w:rPr>
  </w:style>
  <w:style w:type="character" w:customStyle="1" w:styleId="155">
    <w:name w:val="标题 5 Char"/>
    <w:basedOn w:val="128"/>
    <w:link w:val="7"/>
    <w:qFormat/>
    <w:uiPriority w:val="1"/>
    <w:rPr>
      <w:rFonts w:eastAsia="宋体"/>
      <w:b/>
      <w:bCs/>
      <w:sz w:val="28"/>
      <w:szCs w:val="28"/>
    </w:rPr>
  </w:style>
  <w:style w:type="character" w:customStyle="1" w:styleId="156">
    <w:name w:val="标题 6 Char"/>
    <w:basedOn w:val="128"/>
    <w:link w:val="8"/>
    <w:qFormat/>
    <w:uiPriority w:val="1"/>
    <w:rPr>
      <w:rFonts w:eastAsia="宋体" w:asciiTheme="majorHAnsi" w:hAnsiTheme="majorHAnsi" w:cstheme="majorBidi"/>
      <w:b/>
      <w:bCs/>
      <w:sz w:val="24"/>
      <w:szCs w:val="24"/>
    </w:rPr>
  </w:style>
  <w:style w:type="character" w:customStyle="1" w:styleId="157">
    <w:name w:val="标题 7 Char"/>
    <w:basedOn w:val="128"/>
    <w:link w:val="9"/>
    <w:qFormat/>
    <w:uiPriority w:val="99"/>
    <w:rPr>
      <w:rFonts w:ascii="Times New Roman" w:hAnsi="Times New Roman" w:eastAsia="宋体"/>
      <w:b/>
      <w:bCs/>
      <w:kern w:val="2"/>
      <w:sz w:val="24"/>
      <w:szCs w:val="24"/>
    </w:rPr>
  </w:style>
  <w:style w:type="character" w:customStyle="1" w:styleId="158">
    <w:name w:val="标题 8 Char"/>
    <w:basedOn w:val="128"/>
    <w:link w:val="10"/>
    <w:qFormat/>
    <w:uiPriority w:val="99"/>
    <w:rPr>
      <w:rFonts w:asciiTheme="majorHAnsi" w:hAnsiTheme="majorHAnsi" w:eastAsiaTheme="majorEastAsia" w:cstheme="majorBidi"/>
      <w:kern w:val="2"/>
      <w:sz w:val="24"/>
      <w:szCs w:val="24"/>
    </w:rPr>
  </w:style>
  <w:style w:type="character" w:customStyle="1" w:styleId="159">
    <w:name w:val="标题 9 Char"/>
    <w:basedOn w:val="128"/>
    <w:link w:val="11"/>
    <w:qFormat/>
    <w:uiPriority w:val="99"/>
    <w:rPr>
      <w:rFonts w:asciiTheme="majorHAnsi" w:hAnsiTheme="majorHAnsi" w:eastAsiaTheme="majorEastAsia" w:cstheme="majorBidi"/>
      <w:kern w:val="2"/>
      <w:sz w:val="21"/>
      <w:szCs w:val="21"/>
    </w:rPr>
  </w:style>
  <w:style w:type="paragraph" w:styleId="160">
    <w:name w:val="List Paragraph"/>
    <w:basedOn w:val="1"/>
    <w:qFormat/>
    <w:uiPriority w:val="99"/>
    <w:pPr>
      <w:ind w:firstLine="200" w:firstLineChars="200"/>
    </w:pPr>
  </w:style>
  <w:style w:type="character" w:customStyle="1" w:styleId="161">
    <w:name w:val="菜单命令"/>
    <w:qFormat/>
    <w:uiPriority w:val="0"/>
    <w:rPr>
      <w:rFonts w:ascii="Times New Roman" w:hAnsi="Times New Roman" w:eastAsia="宋体"/>
      <w:b/>
      <w:bCs/>
      <w:sz w:val="21"/>
      <w:szCs w:val="21"/>
    </w:rPr>
  </w:style>
  <w:style w:type="paragraph" w:customStyle="1" w:styleId="162">
    <w:name w:val="项目列举2级"/>
    <w:basedOn w:val="1"/>
    <w:qFormat/>
    <w:uiPriority w:val="0"/>
    <w:pPr>
      <w:widowControl/>
      <w:numPr>
        <w:ilvl w:val="0"/>
        <w:numId w:val="5"/>
      </w:numPr>
      <w:jc w:val="left"/>
    </w:pPr>
    <w:rPr>
      <w:rFonts w:cs="宋体"/>
      <w:kern w:val="0"/>
      <w:szCs w:val="21"/>
    </w:rPr>
  </w:style>
  <w:style w:type="character" w:customStyle="1" w:styleId="163">
    <w:name w:val="命令参数"/>
    <w:qFormat/>
    <w:uiPriority w:val="0"/>
    <w:rPr>
      <w:rFonts w:ascii="Times New Roman" w:hAnsi="Times New Roman" w:eastAsia="宋体"/>
      <w:sz w:val="21"/>
      <w:szCs w:val="21"/>
    </w:rPr>
  </w:style>
  <w:style w:type="character" w:customStyle="1" w:styleId="164">
    <w:name w:val="命令参数斜体"/>
    <w:qFormat/>
    <w:uiPriority w:val="0"/>
    <w:rPr>
      <w:rFonts w:ascii="Times New Roman" w:hAnsi="Times New Roman" w:eastAsia="宋体"/>
      <w:i/>
      <w:sz w:val="21"/>
    </w:rPr>
  </w:style>
  <w:style w:type="character" w:customStyle="1" w:styleId="165">
    <w:name w:val="命令名和动作"/>
    <w:uiPriority w:val="0"/>
    <w:rPr>
      <w:rFonts w:ascii="Times New Roman" w:hAnsi="Times New Roman" w:eastAsia="黑体"/>
      <w:b/>
      <w:sz w:val="21"/>
      <w:szCs w:val="21"/>
    </w:rPr>
  </w:style>
  <w:style w:type="paragraph" w:customStyle="1" w:styleId="166">
    <w:name w:val="步骤下图片"/>
    <w:basedOn w:val="1"/>
    <w:qFormat/>
    <w:uiPriority w:val="0"/>
    <w:pPr>
      <w:ind w:left="1276" w:firstLine="0"/>
    </w:pPr>
  </w:style>
  <w:style w:type="paragraph" w:customStyle="1" w:styleId="167">
    <w:name w:val="代码示例"/>
    <w:basedOn w:val="1"/>
    <w:link w:val="168"/>
    <w:qFormat/>
    <w:uiPriority w:val="0"/>
    <w:pPr>
      <w:spacing w:line="240" w:lineRule="auto"/>
      <w:ind w:firstLine="0"/>
    </w:pPr>
    <w:rPr>
      <w:rFonts w:ascii="Courier New" w:hAnsi="Courier New"/>
      <w:color w:val="000000" w:themeColor="text1"/>
      <w:sz w:val="20"/>
      <w:szCs w:val="21"/>
      <w14:textFill>
        <w14:solidFill>
          <w14:schemeClr w14:val="tx1"/>
        </w14:solidFill>
      </w14:textFill>
    </w:rPr>
  </w:style>
  <w:style w:type="character" w:customStyle="1" w:styleId="168">
    <w:name w:val="代码示例 Char"/>
    <w:basedOn w:val="128"/>
    <w:link w:val="167"/>
    <w:qFormat/>
    <w:uiPriority w:val="0"/>
    <w:rPr>
      <w:rFonts w:ascii="Courier New" w:hAnsi="Courier New" w:eastAsia="宋体"/>
      <w:color w:val="000000" w:themeColor="text1"/>
      <w:sz w:val="20"/>
      <w:szCs w:val="21"/>
      <w14:textFill>
        <w14:solidFill>
          <w14:schemeClr w14:val="tx1"/>
        </w14:solidFill>
      </w14:textFill>
    </w:rPr>
  </w:style>
  <w:style w:type="character" w:customStyle="1" w:styleId="169">
    <w:name w:val="批注框文本 Char"/>
    <w:basedOn w:val="128"/>
    <w:link w:val="51"/>
    <w:qFormat/>
    <w:uiPriority w:val="0"/>
    <w:rPr>
      <w:rFonts w:eastAsia="宋体"/>
      <w:sz w:val="18"/>
      <w:szCs w:val="18"/>
    </w:rPr>
  </w:style>
  <w:style w:type="paragraph" w:customStyle="1" w:styleId="170">
    <w:name w:val="1级无序号"/>
    <w:basedOn w:val="3"/>
    <w:next w:val="1"/>
    <w:uiPriority w:val="0"/>
    <w:pPr>
      <w:numPr>
        <w:numId w:val="0"/>
      </w:numPr>
    </w:pPr>
  </w:style>
  <w:style w:type="paragraph" w:customStyle="1" w:styleId="171">
    <w:name w:val="2级无序号"/>
    <w:basedOn w:val="4"/>
    <w:next w:val="1"/>
    <w:qFormat/>
    <w:uiPriority w:val="0"/>
    <w:pPr>
      <w:numPr>
        <w:ilvl w:val="0"/>
        <w:numId w:val="0"/>
      </w:numPr>
    </w:pPr>
  </w:style>
  <w:style w:type="paragraph" w:customStyle="1" w:styleId="172">
    <w:name w:val="引导语（仅适用于制作模板）"/>
    <w:basedOn w:val="1"/>
    <w:qFormat/>
    <w:uiPriority w:val="0"/>
    <w:pPr>
      <w:ind w:firstLine="200" w:firstLineChars="200"/>
    </w:pPr>
    <w:rPr>
      <w:i/>
      <w:color w:val="808080" w:themeColor="background1" w:themeShade="80"/>
    </w:rPr>
  </w:style>
  <w:style w:type="table" w:customStyle="1" w:styleId="173">
    <w:name w:val="Table"/>
    <w:basedOn w:val="127"/>
    <w:qFormat/>
    <w:uiPriority w:val="0"/>
    <w:pPr>
      <w:spacing w:line="240" w:lineRule="auto"/>
      <w:ind w:firstLine="0"/>
      <w:jc w:val="left"/>
    </w:pPr>
    <w:rPr>
      <w:rFonts w:ascii="Times New Roman" w:hAnsi="Times New Roman" w:eastAsia="宋体" w:cs="Arial"/>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pPr>
        <w:wordWrap/>
        <w:jc w:val="center"/>
      </w:pPr>
      <w:rPr>
        <w:rFonts w:eastAsia="宋体"/>
        <w:b w:val="0"/>
        <w:bCs w:val="0"/>
        <w:i w:val="0"/>
        <w:iCs w:val="0"/>
        <w:color w:val="FFFFFF" w:themeColor="background1"/>
        <w:sz w:val="20"/>
        <w:szCs w:val="20"/>
        <w14:textFill>
          <w14:solidFill>
            <w14:schemeClr w14:val="bg1"/>
          </w14:solidFill>
        </w14:textFill>
      </w:rPr>
      <w:tcPr>
        <w:tcBorders>
          <w:tl2br w:val="nil"/>
          <w:tr2bl w:val="nil"/>
        </w:tcBorders>
        <w:shd w:val="clear" w:color="auto" w:fill="538135" w:themeFill="accent6" w:themeFillShade="BF"/>
        <w:vAlign w:val="center"/>
      </w:tcPr>
    </w:tblStylePr>
  </w:style>
  <w:style w:type="paragraph" w:customStyle="1" w:styleId="174">
    <w:name w:val="Step"/>
    <w:link w:val="256"/>
    <w:qFormat/>
    <w:uiPriority w:val="0"/>
    <w:pPr>
      <w:numPr>
        <w:ilvl w:val="4"/>
        <w:numId w:val="1"/>
      </w:numPr>
      <w:tabs>
        <w:tab w:val="left" w:pos="1701"/>
      </w:tabs>
      <w:topLinePunct/>
      <w:spacing w:line="360" w:lineRule="auto"/>
    </w:pPr>
    <w:rPr>
      <w:rFonts w:ascii="Times New Roman" w:hAnsi="Times New Roman" w:eastAsia="宋体" w:cstheme="minorBidi"/>
      <w:snapToGrid w:val="0"/>
      <w:sz w:val="21"/>
      <w:szCs w:val="22"/>
      <w:lang w:val="en-US" w:eastAsia="zh-CN" w:bidi="ar-SA"/>
    </w:rPr>
  </w:style>
  <w:style w:type="paragraph" w:customStyle="1" w:styleId="175">
    <w:name w:val="正文下图片"/>
    <w:basedOn w:val="1"/>
    <w:next w:val="1"/>
    <w:qFormat/>
    <w:uiPriority w:val="0"/>
    <w:pPr>
      <w:ind w:left="420" w:firstLine="0"/>
    </w:pPr>
    <w:rPr>
      <w:color w:val="FF0000"/>
    </w:rPr>
  </w:style>
  <w:style w:type="paragraph" w:customStyle="1" w:styleId="176">
    <w:name w:val="项目列举1级"/>
    <w:qFormat/>
    <w:uiPriority w:val="0"/>
    <w:pPr>
      <w:numPr>
        <w:ilvl w:val="0"/>
        <w:numId w:val="6"/>
      </w:numPr>
      <w:spacing w:before="50" w:beforeLines="50" w:after="50" w:afterLines="50"/>
      <w:jc w:val="both"/>
    </w:pPr>
    <w:rPr>
      <w:rFonts w:ascii="Times New Roman" w:hAnsi="Times New Roman" w:eastAsia="宋体" w:cstheme="minorBidi"/>
      <w:b/>
      <w:kern w:val="2"/>
      <w:sz w:val="24"/>
      <w:szCs w:val="22"/>
      <w:lang w:val="en-US" w:eastAsia="zh-CN" w:bidi="ar-SA"/>
    </w:rPr>
  </w:style>
  <w:style w:type="paragraph" w:customStyle="1" w:styleId="177">
    <w:name w:val="项目列举下图片"/>
    <w:basedOn w:val="1"/>
    <w:qFormat/>
    <w:uiPriority w:val="0"/>
    <w:pPr>
      <w:ind w:left="868" w:firstLine="0"/>
    </w:pPr>
    <w:rPr>
      <w:color w:val="FF0000"/>
    </w:rPr>
  </w:style>
  <w:style w:type="paragraph" w:customStyle="1" w:styleId="178">
    <w:name w:val="提示说明"/>
    <w:qFormat/>
    <w:uiPriority w:val="0"/>
    <w:rPr>
      <w:rFonts w:ascii="Times New Roman" w:hAnsi="Times New Roman" w:eastAsia="宋体" w:cstheme="minorBidi"/>
      <w:kern w:val="2"/>
      <w:sz w:val="18"/>
      <w:szCs w:val="22"/>
      <w:lang w:val="en-US" w:eastAsia="zh-CN" w:bidi="ar-SA"/>
    </w:rPr>
  </w:style>
  <w:style w:type="character" w:customStyle="1" w:styleId="179">
    <w:name w:val="批注文字 Char"/>
    <w:basedOn w:val="128"/>
    <w:link w:val="28"/>
    <w:qFormat/>
    <w:uiPriority w:val="0"/>
    <w:rPr>
      <w:rFonts w:ascii="Times New Roman" w:hAnsi="Times New Roman" w:eastAsia="宋体"/>
    </w:rPr>
  </w:style>
  <w:style w:type="character" w:customStyle="1" w:styleId="180">
    <w:name w:val="批注主题 Char"/>
    <w:basedOn w:val="179"/>
    <w:link w:val="80"/>
    <w:qFormat/>
    <w:uiPriority w:val="0"/>
    <w:rPr>
      <w:rFonts w:ascii="Times New Roman" w:hAnsi="Times New Roman" w:eastAsia="宋体"/>
      <w:b/>
      <w:bCs/>
    </w:rPr>
  </w:style>
  <w:style w:type="paragraph" w:customStyle="1" w:styleId="181">
    <w:name w:val="附录"/>
    <w:basedOn w:val="170"/>
    <w:next w:val="1"/>
    <w:qFormat/>
    <w:uiPriority w:val="0"/>
  </w:style>
  <w:style w:type="paragraph" w:customStyle="1" w:styleId="182">
    <w:name w:val="表格正文"/>
    <w:basedOn w:val="1"/>
    <w:qFormat/>
    <w:uiPriority w:val="0"/>
    <w:pPr>
      <w:spacing w:before="40" w:after="40" w:line="288" w:lineRule="auto"/>
      <w:ind w:firstLine="0"/>
    </w:pPr>
    <w:rPr>
      <w:rFonts w:eastAsia="方正兰亭黑简体" w:cs="Times New Roman"/>
      <w:szCs w:val="24"/>
    </w:rPr>
  </w:style>
  <w:style w:type="paragraph" w:customStyle="1" w:styleId="183">
    <w:name w:val="Table Description"/>
    <w:link w:val="287"/>
    <w:qFormat/>
    <w:uiPriority w:val="2"/>
    <w:pPr>
      <w:keepNext/>
      <w:keepLines/>
      <w:numPr>
        <w:ilvl w:val="6"/>
        <w:numId w:val="1"/>
      </w:numPr>
      <w:spacing w:before="80" w:after="80"/>
    </w:pPr>
    <w:rPr>
      <w:rFonts w:ascii="Times New Roman" w:hAnsi="Times New Roman" w:eastAsia="宋体" w:cs="Arial Narrow"/>
      <w:sz w:val="21"/>
      <w:lang w:val="en-US" w:eastAsia="zh-CN" w:bidi="ar-SA"/>
    </w:rPr>
  </w:style>
  <w:style w:type="paragraph" w:customStyle="1" w:styleId="184">
    <w:name w:val="Table Heading"/>
    <w:link w:val="185"/>
    <w:qFormat/>
    <w:uiPriority w:val="2"/>
    <w:pPr>
      <w:keepNext/>
      <w:spacing w:before="80" w:after="80"/>
      <w:jc w:val="center"/>
    </w:pPr>
    <w:rPr>
      <w:rFonts w:ascii="Arial" w:hAnsi="Arial" w:eastAsia="黑体" w:cs="Arial Narrow"/>
      <w:bCs/>
      <w:sz w:val="18"/>
      <w:lang w:val="en-US" w:eastAsia="zh-CN" w:bidi="ar-SA"/>
    </w:rPr>
  </w:style>
  <w:style w:type="character" w:customStyle="1" w:styleId="185">
    <w:name w:val="Table Heading Char"/>
    <w:link w:val="184"/>
    <w:qFormat/>
    <w:uiPriority w:val="2"/>
    <w:rPr>
      <w:rFonts w:ascii="Arial" w:hAnsi="Arial" w:eastAsia="黑体" w:cs="Arial Narrow"/>
      <w:bCs/>
      <w:sz w:val="18"/>
    </w:rPr>
  </w:style>
  <w:style w:type="paragraph" w:customStyle="1" w:styleId="186">
    <w:name w:val="Table Text"/>
    <w:link w:val="187"/>
    <w:qFormat/>
    <w:uiPriority w:val="2"/>
    <w:pPr>
      <w:autoSpaceDE w:val="0"/>
      <w:autoSpaceDN w:val="0"/>
      <w:spacing w:before="80" w:after="80"/>
      <w:textAlignment w:val="bottom"/>
    </w:pPr>
    <w:rPr>
      <w:rFonts w:ascii="Arial" w:hAnsi="Arial" w:eastAsia="宋体" w:cs="Arial Narrow"/>
      <w:sz w:val="21"/>
      <w:szCs w:val="18"/>
      <w:lang w:val="en-US" w:eastAsia="zh-CN" w:bidi="ar-SA"/>
    </w:rPr>
  </w:style>
  <w:style w:type="character" w:customStyle="1" w:styleId="187">
    <w:name w:val="Table Text Char"/>
    <w:basedOn w:val="128"/>
    <w:link w:val="186"/>
    <w:qFormat/>
    <w:uiPriority w:val="2"/>
    <w:rPr>
      <w:rFonts w:ascii="Arial" w:hAnsi="Arial" w:eastAsia="宋体" w:cs="Arial Narrow"/>
      <w:sz w:val="21"/>
      <w:szCs w:val="18"/>
    </w:rPr>
  </w:style>
  <w:style w:type="paragraph" w:customStyle="1" w:styleId="188">
    <w:name w:val="Figure Description"/>
    <w:next w:val="1"/>
    <w:link w:val="189"/>
    <w:qFormat/>
    <w:uiPriority w:val="2"/>
    <w:pPr>
      <w:keepNext/>
      <w:keepLines/>
      <w:numPr>
        <w:ilvl w:val="5"/>
        <w:numId w:val="1"/>
      </w:numPr>
      <w:spacing w:before="80" w:after="80"/>
    </w:pPr>
    <w:rPr>
      <w:rFonts w:ascii="Times New Roman" w:hAnsi="Times New Roman" w:eastAsia="宋体" w:cs="Arial Narrow"/>
      <w:sz w:val="21"/>
      <w:lang w:val="en-US" w:eastAsia="zh-CN" w:bidi="ar-SA"/>
    </w:rPr>
  </w:style>
  <w:style w:type="character" w:customStyle="1" w:styleId="189">
    <w:name w:val="Figure Description Char"/>
    <w:basedOn w:val="128"/>
    <w:link w:val="188"/>
    <w:qFormat/>
    <w:uiPriority w:val="2"/>
    <w:rPr>
      <w:rFonts w:ascii="Times New Roman" w:hAnsi="Times New Roman" w:eastAsia="宋体" w:cs="Arial Narrow"/>
      <w:sz w:val="21"/>
    </w:rPr>
  </w:style>
  <w:style w:type="paragraph" w:customStyle="1" w:styleId="190">
    <w:name w:val="TOC"/>
    <w:next w:val="1"/>
    <w:qFormat/>
    <w:uiPriority w:val="1"/>
    <w:pPr>
      <w:keepNext/>
      <w:snapToGrid w:val="0"/>
      <w:spacing w:before="480" w:after="360"/>
      <w:jc w:val="center"/>
    </w:pPr>
    <w:rPr>
      <w:rFonts w:ascii="Arial" w:hAnsi="Arial" w:eastAsia="黑体" w:cs="Arial"/>
      <w:bCs/>
      <w:sz w:val="36"/>
      <w:szCs w:val="40"/>
      <w:lang w:val="en-US" w:eastAsia="zh-CN" w:bidi="ar-SA"/>
    </w:rPr>
  </w:style>
  <w:style w:type="paragraph" w:customStyle="1" w:styleId="191">
    <w:name w:val="Command"/>
    <w:qFormat/>
    <w:uiPriority w:val="0"/>
    <w:pPr>
      <w:keepNext/>
      <w:spacing w:before="80" w:after="80"/>
    </w:pPr>
    <w:rPr>
      <w:rFonts w:ascii="Arial" w:hAnsi="Arial" w:eastAsia="黑体" w:cs="Arial"/>
      <w:bCs/>
      <w:color w:val="800000"/>
      <w:sz w:val="21"/>
      <w:szCs w:val="22"/>
      <w:lang w:val="en-US" w:eastAsia="zh-CN" w:bidi="ar-SA"/>
    </w:rPr>
  </w:style>
  <w:style w:type="character" w:customStyle="1" w:styleId="192">
    <w:name w:val="Notes Heading Char Char"/>
    <w:basedOn w:val="128"/>
    <w:link w:val="193"/>
    <w:qFormat/>
    <w:uiPriority w:val="2"/>
    <w:rPr>
      <w:rFonts w:ascii="Arial" w:hAnsi="Arial" w:cs="Arial"/>
      <w:sz w:val="21"/>
      <w:lang w:eastAsia="en-US"/>
    </w:rPr>
  </w:style>
  <w:style w:type="paragraph" w:customStyle="1" w:styleId="193">
    <w:name w:val="Notes Heading"/>
    <w:next w:val="194"/>
    <w:link w:val="192"/>
    <w:qFormat/>
    <w:uiPriority w:val="2"/>
    <w:pPr>
      <w:keepNext/>
      <w:pBdr>
        <w:top w:val="single" w:color="auto" w:sz="8" w:space="1"/>
      </w:pBdr>
      <w:spacing w:before="40" w:after="40"/>
      <w:ind w:left="624"/>
    </w:pPr>
    <w:rPr>
      <w:rFonts w:ascii="Arial" w:hAnsi="Arial" w:cs="Arial" w:eastAsiaTheme="minorEastAsia"/>
      <w:sz w:val="21"/>
      <w:lang w:val="en-US" w:eastAsia="en-US" w:bidi="ar-SA"/>
    </w:rPr>
  </w:style>
  <w:style w:type="paragraph" w:customStyle="1" w:styleId="194">
    <w:name w:val="Notes Text"/>
    <w:link w:val="195"/>
    <w:qFormat/>
    <w:uiPriority w:val="2"/>
    <w:pPr>
      <w:keepNext/>
      <w:pBdr>
        <w:bottom w:val="single" w:color="auto" w:sz="8" w:space="1"/>
      </w:pBdr>
      <w:spacing w:before="40" w:after="40"/>
      <w:ind w:left="624"/>
    </w:pPr>
    <w:rPr>
      <w:rFonts w:ascii="Arial" w:hAnsi="Arial" w:eastAsia="楷体_GB2312" w:cs="Arial"/>
      <w:sz w:val="21"/>
      <w:lang w:val="en-US" w:eastAsia="en-US" w:bidi="ar-SA"/>
    </w:rPr>
  </w:style>
  <w:style w:type="character" w:customStyle="1" w:styleId="195">
    <w:name w:val="Notes Text Char Char"/>
    <w:basedOn w:val="128"/>
    <w:link w:val="194"/>
    <w:qFormat/>
    <w:uiPriority w:val="2"/>
    <w:rPr>
      <w:rFonts w:ascii="Arial" w:hAnsi="Arial" w:eastAsia="楷体_GB2312" w:cs="Arial"/>
      <w:sz w:val="21"/>
      <w:lang w:eastAsia="en-US"/>
    </w:rPr>
  </w:style>
  <w:style w:type="paragraph" w:customStyle="1" w:styleId="196">
    <w:name w:val="Terminal Display"/>
    <w:link w:val="197"/>
    <w:qFormat/>
    <w:uiPriority w:val="2"/>
    <w:pPr>
      <w:spacing w:before="40" w:after="40" w:line="240" w:lineRule="exact"/>
      <w:ind w:left="624"/>
    </w:pPr>
    <w:rPr>
      <w:rFonts w:ascii="Courier New" w:hAnsi="Courier New" w:eastAsia="宋体" w:cs="Courier New"/>
      <w:sz w:val="17"/>
      <w:szCs w:val="17"/>
      <w:lang w:val="en-US" w:eastAsia="zh-CN" w:bidi="ar-SA"/>
    </w:rPr>
  </w:style>
  <w:style w:type="character" w:customStyle="1" w:styleId="197">
    <w:name w:val="Terminal Display Char"/>
    <w:basedOn w:val="128"/>
    <w:link w:val="196"/>
    <w:qFormat/>
    <w:uiPriority w:val="2"/>
    <w:rPr>
      <w:rFonts w:ascii="Courier New" w:hAnsi="Courier New" w:eastAsia="宋体" w:cs="Courier New"/>
      <w:sz w:val="17"/>
      <w:szCs w:val="17"/>
    </w:rPr>
  </w:style>
  <w:style w:type="character" w:customStyle="1" w:styleId="198">
    <w:name w:val="文档结构图 Char"/>
    <w:basedOn w:val="128"/>
    <w:link w:val="26"/>
    <w:semiHidden/>
    <w:qFormat/>
    <w:uiPriority w:val="0"/>
    <w:rPr>
      <w:rFonts w:ascii="Arial" w:hAnsi="Arial" w:eastAsia="宋体" w:cs="Arial"/>
      <w:kern w:val="2"/>
      <w:sz w:val="21"/>
      <w:shd w:val="clear" w:color="auto" w:fill="000080"/>
    </w:rPr>
  </w:style>
  <w:style w:type="paragraph" w:customStyle="1" w:styleId="199">
    <w:name w:val="Figure"/>
    <w:next w:val="1"/>
    <w:link w:val="200"/>
    <w:qFormat/>
    <w:uiPriority w:val="2"/>
    <w:pPr>
      <w:keepNext/>
      <w:spacing w:before="40" w:after="40"/>
      <w:ind w:left="624"/>
    </w:pPr>
    <w:rPr>
      <w:rFonts w:ascii="Arial" w:hAnsi="Arial" w:eastAsia="宋体" w:cs="Arial"/>
      <w:kern w:val="2"/>
      <w:sz w:val="21"/>
      <w:lang w:val="en-US" w:eastAsia="zh-CN" w:bidi="ar-SA"/>
    </w:rPr>
  </w:style>
  <w:style w:type="character" w:customStyle="1" w:styleId="200">
    <w:name w:val="Figure Char"/>
    <w:basedOn w:val="128"/>
    <w:link w:val="199"/>
    <w:qFormat/>
    <w:uiPriority w:val="2"/>
    <w:rPr>
      <w:rFonts w:ascii="Arial" w:hAnsi="Arial" w:eastAsia="宋体" w:cs="Arial"/>
      <w:kern w:val="2"/>
      <w:sz w:val="21"/>
    </w:rPr>
  </w:style>
  <w:style w:type="paragraph" w:customStyle="1" w:styleId="201">
    <w:name w:val="Terminal Display in Table"/>
    <w:qFormat/>
    <w:uiPriority w:val="2"/>
    <w:rPr>
      <w:rFonts w:ascii="Courier New" w:hAnsi="Courier New" w:eastAsia="宋体" w:cs="Courier New"/>
      <w:sz w:val="17"/>
      <w:szCs w:val="17"/>
      <w:lang w:val="en-US" w:eastAsia="zh-CN" w:bidi="ar-SA"/>
    </w:rPr>
  </w:style>
  <w:style w:type="paragraph" w:customStyle="1" w:styleId="202">
    <w:name w:val="Item Step"/>
    <w:basedOn w:val="1"/>
    <w:link w:val="286"/>
    <w:qFormat/>
    <w:uiPriority w:val="2"/>
    <w:pPr>
      <w:widowControl/>
      <w:numPr>
        <w:ilvl w:val="7"/>
        <w:numId w:val="1"/>
      </w:numPr>
      <w:spacing w:before="40" w:after="40" w:line="240" w:lineRule="auto"/>
      <w:jc w:val="left"/>
      <w:outlineLvl w:val="4"/>
    </w:pPr>
    <w:rPr>
      <w:rFonts w:ascii="Arial" w:hAnsi="Arial" w:cs="Times New Roman"/>
      <w:kern w:val="0"/>
      <w:szCs w:val="24"/>
      <w:lang w:eastAsia="en-US"/>
    </w:rPr>
  </w:style>
  <w:style w:type="paragraph" w:customStyle="1" w:styleId="203">
    <w:name w:val="Item Step_2"/>
    <w:qFormat/>
    <w:uiPriority w:val="2"/>
    <w:pPr>
      <w:tabs>
        <w:tab w:val="left" w:pos="1418"/>
      </w:tabs>
      <w:spacing w:before="40" w:after="40"/>
      <w:ind w:left="1418" w:hanging="284"/>
      <w:outlineLvl w:val="5"/>
    </w:pPr>
    <w:rPr>
      <w:rFonts w:ascii="Arial" w:hAnsi="Arial" w:eastAsia="宋体" w:cs="Times New Roman"/>
      <w:sz w:val="21"/>
      <w:lang w:val="en-US" w:eastAsia="en-US" w:bidi="ar-SA"/>
    </w:rPr>
  </w:style>
  <w:style w:type="paragraph" w:customStyle="1" w:styleId="204">
    <w:name w:val="Item Step in Table"/>
    <w:link w:val="281"/>
    <w:qFormat/>
    <w:uiPriority w:val="0"/>
    <w:pPr>
      <w:numPr>
        <w:ilvl w:val="0"/>
        <w:numId w:val="7"/>
      </w:numPr>
      <w:spacing w:before="80" w:after="80"/>
    </w:pPr>
    <w:rPr>
      <w:rFonts w:ascii="Arial" w:hAnsi="Arial" w:eastAsia="宋体" w:cs="Arial"/>
      <w:sz w:val="18"/>
      <w:szCs w:val="18"/>
      <w:lang w:val="en-US" w:eastAsia="zh-CN" w:bidi="ar-SA"/>
    </w:rPr>
  </w:style>
  <w:style w:type="paragraph" w:customStyle="1" w:styleId="205">
    <w:name w:val="Item List"/>
    <w:basedOn w:val="1"/>
    <w:link w:val="206"/>
    <w:qFormat/>
    <w:uiPriority w:val="2"/>
    <w:pPr>
      <w:widowControl/>
      <w:numPr>
        <w:ilvl w:val="0"/>
        <w:numId w:val="8"/>
      </w:numPr>
      <w:spacing w:before="40" w:after="40" w:line="240" w:lineRule="auto"/>
      <w:jc w:val="left"/>
    </w:pPr>
    <w:rPr>
      <w:rFonts w:ascii="Arial" w:hAnsi="Arial" w:cs="Arial"/>
      <w:szCs w:val="20"/>
      <w:lang w:eastAsia="en-US"/>
    </w:rPr>
  </w:style>
  <w:style w:type="character" w:customStyle="1" w:styleId="206">
    <w:name w:val="Item List Char Char"/>
    <w:basedOn w:val="128"/>
    <w:link w:val="205"/>
    <w:qFormat/>
    <w:uiPriority w:val="2"/>
    <w:rPr>
      <w:rFonts w:ascii="Arial" w:hAnsi="Arial" w:eastAsia="宋体" w:cs="Arial"/>
      <w:kern w:val="2"/>
      <w:sz w:val="21"/>
      <w:lang w:eastAsia="en-US"/>
    </w:rPr>
  </w:style>
  <w:style w:type="paragraph" w:customStyle="1" w:styleId="207">
    <w:name w:val="Item List in Table"/>
    <w:basedOn w:val="1"/>
    <w:link w:val="208"/>
    <w:qFormat/>
    <w:uiPriority w:val="2"/>
    <w:pPr>
      <w:widowControl/>
      <w:numPr>
        <w:ilvl w:val="3"/>
        <w:numId w:val="8"/>
      </w:numPr>
      <w:spacing w:before="80" w:after="80" w:line="240" w:lineRule="auto"/>
      <w:jc w:val="left"/>
    </w:pPr>
    <w:rPr>
      <w:rFonts w:ascii="Arial" w:hAnsi="Arial" w:cs="Arial"/>
      <w:szCs w:val="18"/>
      <w:lang w:eastAsia="en-US"/>
    </w:rPr>
  </w:style>
  <w:style w:type="character" w:customStyle="1" w:styleId="208">
    <w:name w:val="Item List in Table Char Char"/>
    <w:basedOn w:val="128"/>
    <w:link w:val="207"/>
    <w:qFormat/>
    <w:uiPriority w:val="2"/>
    <w:rPr>
      <w:rFonts w:ascii="Arial" w:hAnsi="Arial" w:eastAsia="宋体" w:cs="Arial"/>
      <w:kern w:val="2"/>
      <w:sz w:val="21"/>
      <w:szCs w:val="18"/>
      <w:lang w:eastAsia="en-US"/>
    </w:rPr>
  </w:style>
  <w:style w:type="paragraph" w:customStyle="1" w:styleId="209">
    <w:name w:val="Notes Text List"/>
    <w:basedOn w:val="207"/>
    <w:link w:val="210"/>
    <w:qFormat/>
    <w:uiPriority w:val="2"/>
    <w:pPr>
      <w:keepNext/>
      <w:pBdr>
        <w:bottom w:val="single" w:color="auto" w:sz="8" w:space="1"/>
      </w:pBdr>
      <w:spacing w:before="40" w:after="40"/>
      <w:ind w:left="1021"/>
    </w:pPr>
    <w:rPr>
      <w:rFonts w:eastAsia="楷体_GB2312"/>
    </w:rPr>
  </w:style>
  <w:style w:type="character" w:customStyle="1" w:styleId="210">
    <w:name w:val="Notes Text List Char Char"/>
    <w:basedOn w:val="208"/>
    <w:link w:val="209"/>
    <w:qFormat/>
    <w:uiPriority w:val="2"/>
    <w:rPr>
      <w:rFonts w:ascii="Arial" w:hAnsi="Arial" w:eastAsia="楷体_GB2312" w:cs="Arial"/>
      <w:kern w:val="2"/>
      <w:sz w:val="21"/>
      <w:szCs w:val="18"/>
      <w:lang w:eastAsia="en-US"/>
    </w:rPr>
  </w:style>
  <w:style w:type="paragraph" w:customStyle="1" w:styleId="211">
    <w:name w:val="Item step_3"/>
    <w:basedOn w:val="1"/>
    <w:semiHidden/>
    <w:qFormat/>
    <w:uiPriority w:val="2"/>
    <w:pPr>
      <w:widowControl/>
      <w:tabs>
        <w:tab w:val="left" w:pos="1955"/>
      </w:tabs>
      <w:spacing w:before="80" w:after="40" w:line="240" w:lineRule="exact"/>
      <w:ind w:left="1956" w:hanging="312"/>
      <w:jc w:val="left"/>
      <w:outlineLvl w:val="8"/>
    </w:pPr>
    <w:rPr>
      <w:rFonts w:ascii="Arial" w:hAnsi="Arial" w:cs="Times New Roman"/>
      <w:color w:val="000000"/>
      <w:kern w:val="0"/>
      <w:szCs w:val="16"/>
      <w:lang w:eastAsia="en-US"/>
    </w:rPr>
  </w:style>
  <w:style w:type="paragraph" w:customStyle="1" w:styleId="212">
    <w:name w:val="Notes Text in Table"/>
    <w:qFormat/>
    <w:uiPriority w:val="2"/>
    <w:pPr>
      <w:keepLines/>
      <w:spacing w:before="80" w:after="80"/>
    </w:pPr>
    <w:rPr>
      <w:rFonts w:ascii="Arial" w:hAnsi="Arial" w:eastAsia="楷体_GB2312" w:cs="Arial"/>
      <w:sz w:val="18"/>
      <w:szCs w:val="18"/>
      <w:lang w:val="en-US" w:eastAsia="zh-CN" w:bidi="ar-SA"/>
    </w:rPr>
  </w:style>
  <w:style w:type="paragraph" w:customStyle="1" w:styleId="213">
    <w:name w:val="Notes Heading in Table"/>
    <w:next w:val="212"/>
    <w:qFormat/>
    <w:uiPriority w:val="2"/>
    <w:pPr>
      <w:keepNext/>
      <w:spacing w:before="80" w:after="80"/>
    </w:pPr>
    <w:rPr>
      <w:rFonts w:ascii="Arial" w:hAnsi="Arial" w:eastAsia="宋体" w:cs="Arial"/>
      <w:sz w:val="18"/>
      <w:szCs w:val="18"/>
      <w:lang w:val="en-US" w:eastAsia="zh-CN" w:bidi="ar-SA"/>
    </w:rPr>
  </w:style>
  <w:style w:type="paragraph" w:customStyle="1" w:styleId="214">
    <w:name w:val="图样式"/>
    <w:basedOn w:val="1"/>
    <w:semiHidden/>
    <w:qFormat/>
    <w:uiPriority w:val="0"/>
    <w:pPr>
      <w:keepNext/>
      <w:widowControl/>
      <w:autoSpaceDE w:val="0"/>
      <w:autoSpaceDN w:val="0"/>
      <w:adjustRightInd w:val="0"/>
      <w:spacing w:before="40" w:after="40"/>
      <w:ind w:firstLine="0"/>
      <w:jc w:val="center"/>
    </w:pPr>
    <w:rPr>
      <w:rFonts w:cs="Times New Roman"/>
      <w:szCs w:val="20"/>
    </w:rPr>
  </w:style>
  <w:style w:type="paragraph" w:customStyle="1" w:styleId="215">
    <w:name w:val="Notes Text List in Table"/>
    <w:qFormat/>
    <w:uiPriority w:val="2"/>
    <w:pPr>
      <w:numPr>
        <w:ilvl w:val="5"/>
        <w:numId w:val="8"/>
      </w:numPr>
      <w:spacing w:before="80" w:after="80"/>
    </w:pPr>
    <w:rPr>
      <w:rFonts w:ascii="Arial" w:hAnsi="Arial" w:eastAsia="楷体_GB2312" w:cs="楷体_GB2312"/>
      <w:sz w:val="18"/>
      <w:szCs w:val="18"/>
      <w:lang w:val="en-US" w:eastAsia="zh-CN" w:bidi="ar-SA"/>
    </w:rPr>
  </w:style>
  <w:style w:type="paragraph" w:customStyle="1" w:styleId="216">
    <w:name w:val="索引 Text"/>
    <w:link w:val="217"/>
    <w:qFormat/>
    <w:uiPriority w:val="3"/>
    <w:pPr>
      <w:spacing w:before="40" w:after="40"/>
      <w:ind w:left="624"/>
    </w:pPr>
    <w:rPr>
      <w:rFonts w:ascii="Arial" w:hAnsi="Arial" w:eastAsia="宋体" w:cs="Arial"/>
      <w:kern w:val="2"/>
      <w:sz w:val="21"/>
      <w:lang w:val="en-US" w:eastAsia="zh-CN" w:bidi="ar-SA"/>
    </w:rPr>
  </w:style>
  <w:style w:type="character" w:customStyle="1" w:styleId="217">
    <w:name w:val="索引 Text Char Char"/>
    <w:basedOn w:val="128"/>
    <w:link w:val="216"/>
    <w:qFormat/>
    <w:uiPriority w:val="3"/>
    <w:rPr>
      <w:rFonts w:ascii="Arial" w:hAnsi="Arial" w:eastAsia="宋体" w:cs="Arial"/>
      <w:kern w:val="2"/>
      <w:sz w:val="21"/>
    </w:rPr>
  </w:style>
  <w:style w:type="paragraph" w:customStyle="1" w:styleId="218">
    <w:name w:val="索引 Heading"/>
    <w:next w:val="216"/>
    <w:link w:val="219"/>
    <w:qFormat/>
    <w:uiPriority w:val="3"/>
    <w:pPr>
      <w:spacing w:before="120" w:after="120"/>
      <w:ind w:left="624"/>
    </w:pPr>
    <w:rPr>
      <w:rFonts w:ascii="Arial" w:hAnsi="Arial" w:eastAsia="宋体" w:cs="Arial"/>
      <w:b/>
      <w:kern w:val="2"/>
      <w:sz w:val="21"/>
      <w:lang w:val="en-US" w:eastAsia="zh-CN" w:bidi="ar-SA"/>
    </w:rPr>
  </w:style>
  <w:style w:type="character" w:customStyle="1" w:styleId="219">
    <w:name w:val="索引 Heading Char"/>
    <w:basedOn w:val="128"/>
    <w:link w:val="218"/>
    <w:qFormat/>
    <w:uiPriority w:val="3"/>
    <w:rPr>
      <w:rFonts w:ascii="Arial" w:hAnsi="Arial" w:eastAsia="宋体" w:cs="Arial"/>
      <w:b/>
      <w:kern w:val="2"/>
      <w:sz w:val="21"/>
    </w:rPr>
  </w:style>
  <w:style w:type="paragraph" w:customStyle="1" w:styleId="220">
    <w:name w:val="索引链接"/>
    <w:next w:val="1"/>
    <w:link w:val="221"/>
    <w:qFormat/>
    <w:uiPriority w:val="3"/>
    <w:pPr>
      <w:spacing w:before="120" w:after="60"/>
      <w:ind w:left="624"/>
    </w:pPr>
    <w:rPr>
      <w:rFonts w:ascii="Arial" w:hAnsi="Arial" w:eastAsia="黑体" w:cs="Arial"/>
      <w:bCs/>
      <w:color w:val="0000FF"/>
      <w:sz w:val="36"/>
      <w:szCs w:val="36"/>
      <w:lang w:val="en-US" w:eastAsia="zh-CN" w:bidi="ar-SA"/>
    </w:rPr>
  </w:style>
  <w:style w:type="character" w:customStyle="1" w:styleId="221">
    <w:name w:val="索引链接 Char"/>
    <w:basedOn w:val="128"/>
    <w:link w:val="220"/>
    <w:qFormat/>
    <w:uiPriority w:val="3"/>
    <w:rPr>
      <w:rFonts w:ascii="Arial" w:hAnsi="Arial" w:eastAsia="黑体" w:cs="Arial"/>
      <w:bCs/>
      <w:color w:val="0000FF"/>
      <w:sz w:val="36"/>
      <w:szCs w:val="36"/>
    </w:rPr>
  </w:style>
  <w:style w:type="paragraph" w:customStyle="1" w:styleId="222">
    <w:name w:val="封面文档标题"/>
    <w:basedOn w:val="1"/>
    <w:qFormat/>
    <w:uiPriority w:val="0"/>
    <w:pPr>
      <w:widowControl/>
      <w:snapToGrid w:val="0"/>
      <w:spacing w:before="600" w:after="200" w:line="240" w:lineRule="auto"/>
      <w:ind w:firstLine="0"/>
      <w:jc w:val="left"/>
    </w:pPr>
    <w:rPr>
      <w:rFonts w:ascii="Arial" w:hAnsi="Arial" w:eastAsia="黑体" w:cs="Arial"/>
      <w:kern w:val="0"/>
      <w:sz w:val="48"/>
      <w:szCs w:val="48"/>
    </w:rPr>
  </w:style>
  <w:style w:type="paragraph" w:customStyle="1" w:styleId="223">
    <w:name w:val="封面表格文本"/>
    <w:basedOn w:val="1"/>
    <w:qFormat/>
    <w:uiPriority w:val="0"/>
    <w:pPr>
      <w:keepNext/>
      <w:autoSpaceDE w:val="0"/>
      <w:autoSpaceDN w:val="0"/>
      <w:adjustRightInd w:val="0"/>
      <w:spacing w:line="240" w:lineRule="auto"/>
      <w:ind w:firstLine="0"/>
      <w:jc w:val="center"/>
    </w:pPr>
    <w:rPr>
      <w:rFonts w:ascii="Arial" w:hAnsi="Arial" w:cs="Times New Roman"/>
      <w:kern w:val="0"/>
      <w:szCs w:val="21"/>
    </w:rPr>
  </w:style>
  <w:style w:type="paragraph" w:customStyle="1" w:styleId="224">
    <w:name w:val="修订记录"/>
    <w:basedOn w:val="1"/>
    <w:qFormat/>
    <w:uiPriority w:val="0"/>
    <w:pPr>
      <w:keepNext/>
      <w:widowControl/>
      <w:autoSpaceDE w:val="0"/>
      <w:autoSpaceDN w:val="0"/>
      <w:adjustRightInd w:val="0"/>
      <w:spacing w:before="300" w:after="150" w:line="240" w:lineRule="auto"/>
      <w:ind w:firstLine="0"/>
      <w:jc w:val="center"/>
    </w:pPr>
    <w:rPr>
      <w:rFonts w:ascii="Arial" w:hAnsi="Arial" w:eastAsia="黑体" w:cs="Times New Roman"/>
      <w:kern w:val="0"/>
      <w:sz w:val="36"/>
      <w:szCs w:val="32"/>
    </w:rPr>
  </w:style>
  <w:style w:type="paragraph" w:customStyle="1" w:styleId="225">
    <w:name w:val="Version"/>
    <w:basedOn w:val="1"/>
    <w:link w:val="226"/>
    <w:qFormat/>
    <w:uiPriority w:val="0"/>
    <w:pPr>
      <w:spacing w:line="240" w:lineRule="exact"/>
      <w:ind w:firstLine="0"/>
      <w:jc w:val="left"/>
    </w:pPr>
    <w:rPr>
      <w:rFonts w:ascii="Futura Bk" w:hAnsi="Futura Bk" w:cs="Arial"/>
      <w:kern w:val="0"/>
      <w:sz w:val="16"/>
      <w:szCs w:val="16"/>
      <w:lang w:eastAsia="en-US"/>
    </w:rPr>
  </w:style>
  <w:style w:type="character" w:customStyle="1" w:styleId="226">
    <w:name w:val="Version Char Char"/>
    <w:basedOn w:val="128"/>
    <w:link w:val="225"/>
    <w:qFormat/>
    <w:uiPriority w:val="0"/>
    <w:rPr>
      <w:rFonts w:ascii="Futura Bk" w:hAnsi="Futura Bk" w:eastAsia="宋体" w:cs="Arial"/>
      <w:sz w:val="16"/>
      <w:szCs w:val="16"/>
      <w:lang w:eastAsia="en-US"/>
    </w:rPr>
  </w:style>
  <w:style w:type="table" w:customStyle="1" w:styleId="227">
    <w:name w:val="Table no head"/>
    <w:basedOn w:val="82"/>
    <w:qFormat/>
    <w:uiPriority w:val="99"/>
    <w:pPr>
      <w:spacing w:before="80" w:after="80"/>
    </w:pPr>
    <w:rPr>
      <w:rFonts w:ascii="Arial" w:hAnsi="Arial" w:eastAsia="宋体" w:cs="Times New Roman"/>
    </w:rPr>
    <w:tblPr>
      <w:tblBorders>
        <w:top w:val="single" w:color="auto" w:sz="4" w:space="0"/>
        <w:bottom w:val="single" w:color="auto" w:sz="4" w:space="0"/>
        <w:insideH w:val="single" w:color="808080" w:sz="4" w:space="0"/>
        <w:insideV w:val="single" w:color="808080" w:sz="4" w:space="0"/>
      </w:tblBorders>
      <w:tblCellMar>
        <w:top w:w="0" w:type="dxa"/>
        <w:left w:w="108" w:type="dxa"/>
        <w:bottom w:w="0" w:type="dxa"/>
        <w:right w:w="108" w:type="dxa"/>
      </w:tblCellMar>
    </w:tblPr>
    <w:tcPr>
      <w:vAlign w:val="center"/>
    </w:tcPr>
  </w:style>
  <w:style w:type="character" w:customStyle="1" w:styleId="228">
    <w:name w:val="Bold Text"/>
    <w:basedOn w:val="128"/>
    <w:uiPriority w:val="0"/>
    <w:rPr>
      <w:rFonts w:ascii="Arial" w:hAnsi="Arial"/>
      <w:b/>
    </w:rPr>
  </w:style>
  <w:style w:type="character" w:customStyle="1" w:styleId="229">
    <w:name w:val="Italic Text"/>
    <w:basedOn w:val="128"/>
    <w:qFormat/>
    <w:uiPriority w:val="0"/>
    <w:rPr>
      <w:rFonts w:ascii="Arial" w:hAnsi="Arial"/>
      <w:i/>
    </w:rPr>
  </w:style>
  <w:style w:type="character" w:customStyle="1" w:styleId="230">
    <w:name w:val="BoldItalic Text"/>
    <w:basedOn w:val="128"/>
    <w:qFormat/>
    <w:uiPriority w:val="0"/>
    <w:rPr>
      <w:rFonts w:ascii="Arial" w:hAnsi="Arial"/>
      <w:b/>
      <w:i/>
    </w:rPr>
  </w:style>
  <w:style w:type="character" w:customStyle="1" w:styleId="231">
    <w:name w:val="Reference-R0G144B200"/>
    <w:basedOn w:val="128"/>
    <w:qFormat/>
    <w:uiPriority w:val="0"/>
    <w:rPr>
      <w:color w:val="0000FF"/>
      <w:u w:val="single"/>
    </w:rPr>
  </w:style>
  <w:style w:type="character" w:customStyle="1" w:styleId="232">
    <w:name w:val="Superscript"/>
    <w:basedOn w:val="128"/>
    <w:qFormat/>
    <w:uiPriority w:val="0"/>
    <w:rPr>
      <w:vertAlign w:val="superscript"/>
    </w:rPr>
  </w:style>
  <w:style w:type="character" w:customStyle="1" w:styleId="233">
    <w:name w:val="SubScript"/>
    <w:basedOn w:val="128"/>
    <w:uiPriority w:val="0"/>
    <w:rPr>
      <w:vertAlign w:val="subscript"/>
    </w:rPr>
  </w:style>
  <w:style w:type="table" w:customStyle="1" w:styleId="234">
    <w:name w:val="左文右图Table-SMB专用样式"/>
    <w:basedOn w:val="82"/>
    <w:qFormat/>
    <w:uiPriority w:val="99"/>
    <w:rPr>
      <w:rFonts w:ascii="Times New Roman" w:hAnsi="Times New Roman" w:eastAsia="宋体" w:cs="Times New Roman"/>
    </w:rPr>
    <w:tblPr>
      <w:tblBorders>
        <w:top w:val="single" w:color="auto" w:sz="18" w:space="0"/>
        <w:bottom w:val="single" w:color="auto" w:sz="18" w:space="0"/>
        <w:insideH w:val="single" w:color="A5A5A5" w:themeColor="background1" w:themeShade="A6" w:sz="12" w:space="0"/>
      </w:tblBorders>
      <w:tblCellMar>
        <w:top w:w="0" w:type="dxa"/>
        <w:left w:w="108" w:type="dxa"/>
        <w:bottom w:w="0" w:type="dxa"/>
        <w:right w:w="108" w:type="dxa"/>
      </w:tblCellMar>
    </w:tblPr>
  </w:style>
  <w:style w:type="paragraph" w:customStyle="1" w:styleId="235">
    <w:name w:val="索引 Table Heading"/>
    <w:link w:val="236"/>
    <w:qFormat/>
    <w:uiPriority w:val="3"/>
    <w:pPr>
      <w:widowControl w:val="0"/>
    </w:pPr>
    <w:rPr>
      <w:rFonts w:ascii="Arial" w:hAnsi="Arial" w:eastAsia="宋体" w:cs="Arial"/>
      <w:b/>
      <w:kern w:val="2"/>
      <w:sz w:val="21"/>
      <w:lang w:val="en-US" w:eastAsia="zh-CN" w:bidi="ar-SA"/>
    </w:rPr>
  </w:style>
  <w:style w:type="character" w:customStyle="1" w:styleId="236">
    <w:name w:val="索引 Table Heading Char"/>
    <w:basedOn w:val="128"/>
    <w:link w:val="235"/>
    <w:uiPriority w:val="3"/>
    <w:rPr>
      <w:rFonts w:ascii="Arial" w:hAnsi="Arial" w:eastAsia="宋体" w:cs="Arial"/>
      <w:b/>
      <w:kern w:val="2"/>
      <w:sz w:val="21"/>
    </w:rPr>
  </w:style>
  <w:style w:type="paragraph" w:customStyle="1" w:styleId="237">
    <w:name w:val="Notes Heading_1"/>
    <w:basedOn w:val="193"/>
    <w:qFormat/>
    <w:uiPriority w:val="2"/>
    <w:pPr>
      <w:ind w:left="1134"/>
    </w:pPr>
  </w:style>
  <w:style w:type="paragraph" w:customStyle="1" w:styleId="238">
    <w:name w:val="Notes Text List_1"/>
    <w:basedOn w:val="209"/>
    <w:qFormat/>
    <w:uiPriority w:val="2"/>
    <w:pPr>
      <w:ind w:left="1531"/>
    </w:pPr>
  </w:style>
  <w:style w:type="paragraph" w:customStyle="1" w:styleId="239">
    <w:name w:val="Spacer"/>
    <w:next w:val="1"/>
    <w:link w:val="240"/>
    <w:qFormat/>
    <w:uiPriority w:val="0"/>
    <w:pPr>
      <w:spacing w:after="60" w:line="120" w:lineRule="exact"/>
      <w:ind w:left="879"/>
    </w:pPr>
    <w:rPr>
      <w:rFonts w:ascii="Arial" w:hAnsi="Arial" w:eastAsia="宋体" w:cs="Futura Bk"/>
      <w:color w:val="000000"/>
      <w:sz w:val="12"/>
      <w:szCs w:val="12"/>
      <w:lang w:val="en-US" w:eastAsia="en-US" w:bidi="ar-SA"/>
    </w:rPr>
  </w:style>
  <w:style w:type="character" w:customStyle="1" w:styleId="240">
    <w:name w:val="Spacer Char"/>
    <w:basedOn w:val="128"/>
    <w:link w:val="239"/>
    <w:qFormat/>
    <w:uiPriority w:val="0"/>
    <w:rPr>
      <w:rFonts w:ascii="Arial" w:hAnsi="Arial" w:eastAsia="宋体" w:cs="Futura Bk"/>
      <w:color w:val="000000"/>
      <w:sz w:val="12"/>
      <w:szCs w:val="12"/>
      <w:lang w:eastAsia="en-US"/>
    </w:rPr>
  </w:style>
  <w:style w:type="paragraph" w:customStyle="1" w:styleId="241">
    <w:name w:val="Notes Text_1"/>
    <w:basedOn w:val="194"/>
    <w:qFormat/>
    <w:uiPriority w:val="2"/>
    <w:pPr>
      <w:ind w:left="1134"/>
    </w:pPr>
  </w:style>
  <w:style w:type="paragraph" w:customStyle="1" w:styleId="242">
    <w:name w:val="Table Description Indent_1"/>
    <w:basedOn w:val="183"/>
    <w:next w:val="1"/>
    <w:qFormat/>
    <w:uiPriority w:val="2"/>
  </w:style>
  <w:style w:type="table" w:customStyle="1" w:styleId="243">
    <w:name w:val="Table Indent_1"/>
    <w:basedOn w:val="173"/>
    <w:qFormat/>
    <w:uiPriority w:val="99"/>
    <w:pPr>
      <w:widowControl/>
    </w:pPr>
    <w:rPr>
      <w:rFonts w:cs="Times New Roman"/>
    </w:rPr>
    <w:tblPr>
      <w:tblBorders>
        <w:top w:val="single" w:color="auto" w:sz="4" w:space="0"/>
        <w:bottom w:val="single" w:color="auto" w:sz="4" w:space="0"/>
        <w:insideH w:val="single" w:color="808080" w:sz="4" w:space="0"/>
        <w:insideV w:val="single" w:color="808080" w:sz="4" w:space="0"/>
      </w:tblBorders>
      <w:tblCellMar>
        <w:top w:w="0" w:type="dxa"/>
        <w:left w:w="108" w:type="dxa"/>
        <w:bottom w:w="0" w:type="dxa"/>
        <w:right w:w="108" w:type="dxa"/>
      </w:tblCellMar>
    </w:tblPr>
    <w:tcPr>
      <w:shd w:val="clear" w:color="auto" w:fill="auto"/>
      <w:vAlign w:val="center"/>
    </w:tcPr>
    <w:tblStylePr w:type="firstRow">
      <w:pPr>
        <w:wordWrap/>
        <w:jc w:val="center"/>
      </w:pPr>
      <w:rPr>
        <w:rFonts w:ascii="Arial" w:hAnsi="Arial" w:eastAsia="黑体"/>
        <w:b w:val="0"/>
        <w:bCs w:val="0"/>
        <w:i w:val="0"/>
        <w:iCs w:val="0"/>
        <w:color w:val="auto"/>
        <w:sz w:val="21"/>
        <w:szCs w:val="20"/>
      </w:rPr>
      <w:tcPr>
        <w:tcBorders>
          <w:top w:val="single" w:color="auto" w:sz="4" w:space="0"/>
          <w:left w:val="nil"/>
          <w:bottom w:val="single" w:color="808080" w:sz="4" w:space="0"/>
          <w:right w:val="nil"/>
          <w:insideH w:val="nil"/>
          <w:insideV w:val="single" w:sz="4" w:space="0"/>
          <w:tl2br w:val="nil"/>
          <w:tr2bl w:val="nil"/>
        </w:tcBorders>
        <w:shd w:val="clear" w:color="auto" w:fill="D9D9D9"/>
        <w:vAlign w:val="center"/>
      </w:tcPr>
    </w:tblStylePr>
  </w:style>
  <w:style w:type="paragraph" w:customStyle="1" w:styleId="244">
    <w:name w:val="Table Description Indent_2"/>
    <w:basedOn w:val="183"/>
    <w:next w:val="1"/>
    <w:uiPriority w:val="2"/>
    <w:pPr>
      <w:ind w:left="1418"/>
    </w:pPr>
  </w:style>
  <w:style w:type="table" w:customStyle="1" w:styleId="245">
    <w:name w:val="Table Indent_2"/>
    <w:basedOn w:val="173"/>
    <w:qFormat/>
    <w:uiPriority w:val="99"/>
    <w:pPr>
      <w:widowControl/>
    </w:pPr>
    <w:rPr>
      <w:rFonts w:cs="Times New Roman"/>
    </w:rPr>
    <w:tblPr>
      <w:tblBorders>
        <w:top w:val="single" w:color="auto" w:sz="4" w:space="0"/>
        <w:bottom w:val="single" w:color="auto" w:sz="4" w:space="0"/>
        <w:insideH w:val="single" w:color="808080" w:sz="4" w:space="0"/>
        <w:insideV w:val="single" w:color="808080" w:sz="4" w:space="0"/>
      </w:tblBorders>
      <w:tblCellMar>
        <w:top w:w="0" w:type="dxa"/>
        <w:left w:w="108" w:type="dxa"/>
        <w:bottom w:w="0" w:type="dxa"/>
        <w:right w:w="108" w:type="dxa"/>
      </w:tblCellMar>
    </w:tblPr>
    <w:tcPr>
      <w:shd w:val="clear" w:color="auto" w:fill="auto"/>
      <w:vAlign w:val="center"/>
    </w:tcPr>
    <w:tblStylePr w:type="firstRow">
      <w:pPr>
        <w:wordWrap/>
        <w:jc w:val="center"/>
      </w:pPr>
      <w:rPr>
        <w:rFonts w:ascii="Arial" w:hAnsi="Arial" w:eastAsia="黑体"/>
        <w:b w:val="0"/>
        <w:bCs w:val="0"/>
        <w:i w:val="0"/>
        <w:iCs w:val="0"/>
        <w:color w:val="auto"/>
        <w:sz w:val="21"/>
        <w:szCs w:val="20"/>
      </w:rPr>
      <w:tcPr>
        <w:tcBorders>
          <w:top w:val="single" w:color="auto" w:sz="4" w:space="0"/>
          <w:left w:val="nil"/>
          <w:bottom w:val="single" w:color="808080" w:sz="4" w:space="0"/>
          <w:right w:val="nil"/>
          <w:insideH w:val="nil"/>
          <w:insideV w:val="single" w:sz="4" w:space="0"/>
          <w:tl2br w:val="nil"/>
          <w:tr2bl w:val="nil"/>
        </w:tcBorders>
        <w:shd w:val="clear" w:color="auto" w:fill="D9D9D9"/>
        <w:vAlign w:val="center"/>
      </w:tcPr>
    </w:tblStylePr>
  </w:style>
  <w:style w:type="paragraph" w:customStyle="1" w:styleId="246">
    <w:name w:val="Notes Heading_2"/>
    <w:basedOn w:val="193"/>
    <w:qFormat/>
    <w:uiPriority w:val="2"/>
    <w:pPr>
      <w:ind w:left="1418"/>
    </w:pPr>
  </w:style>
  <w:style w:type="paragraph" w:customStyle="1" w:styleId="247">
    <w:name w:val="Notes Text_2"/>
    <w:basedOn w:val="194"/>
    <w:qFormat/>
    <w:uiPriority w:val="2"/>
    <w:pPr>
      <w:ind w:left="1418"/>
    </w:pPr>
  </w:style>
  <w:style w:type="paragraph" w:customStyle="1" w:styleId="248">
    <w:name w:val="Notes Text List_2"/>
    <w:basedOn w:val="209"/>
    <w:qFormat/>
    <w:uiPriority w:val="2"/>
    <w:pPr>
      <w:ind w:left="1815"/>
    </w:pPr>
  </w:style>
  <w:style w:type="paragraph" w:customStyle="1" w:styleId="249">
    <w:name w:val="Table Heading_1"/>
    <w:basedOn w:val="184"/>
    <w:qFormat/>
    <w:uiPriority w:val="2"/>
  </w:style>
  <w:style w:type="paragraph" w:customStyle="1" w:styleId="250">
    <w:name w:val="Table Heading_2"/>
    <w:basedOn w:val="184"/>
    <w:qFormat/>
    <w:uiPriority w:val="2"/>
  </w:style>
  <w:style w:type="paragraph" w:customStyle="1" w:styleId="251">
    <w:name w:val="* text"/>
    <w:basedOn w:val="1"/>
    <w:link w:val="252"/>
    <w:uiPriority w:val="0"/>
    <w:pPr>
      <w:widowControl/>
      <w:spacing w:before="40" w:beforeLines="50" w:after="40" w:afterLines="50" w:line="240" w:lineRule="auto"/>
      <w:ind w:firstLine="0"/>
    </w:pPr>
    <w:rPr>
      <w:rFonts w:ascii="Arial" w:hAnsi="Arial" w:cs="Times New Roman"/>
      <w:color w:val="333333"/>
      <w:sz w:val="18"/>
      <w:szCs w:val="18"/>
    </w:rPr>
  </w:style>
  <w:style w:type="character" w:customStyle="1" w:styleId="252">
    <w:name w:val="* text Char Char"/>
    <w:link w:val="251"/>
    <w:uiPriority w:val="0"/>
    <w:rPr>
      <w:rFonts w:ascii="Arial" w:hAnsi="Arial" w:eastAsia="宋体" w:cs="Times New Roman"/>
      <w:color w:val="333333"/>
      <w:kern w:val="2"/>
      <w:sz w:val="18"/>
      <w:szCs w:val="18"/>
    </w:rPr>
  </w:style>
  <w:style w:type="paragraph" w:customStyle="1" w:styleId="253">
    <w:name w:val="常规"/>
    <w:basedOn w:val="1"/>
    <w:link w:val="254"/>
    <w:qFormat/>
    <w:uiPriority w:val="0"/>
    <w:pPr>
      <w:spacing w:before="40" w:beforeLines="100" w:after="40" w:afterLines="100" w:line="240" w:lineRule="auto"/>
      <w:ind w:left="1701" w:firstLine="0"/>
    </w:pPr>
    <w:rPr>
      <w:rFonts w:cs="Times New Roman"/>
      <w:szCs w:val="21"/>
    </w:rPr>
  </w:style>
  <w:style w:type="character" w:customStyle="1" w:styleId="254">
    <w:name w:val="常规 Char"/>
    <w:link w:val="253"/>
    <w:qFormat/>
    <w:locked/>
    <w:uiPriority w:val="0"/>
    <w:rPr>
      <w:rFonts w:ascii="Times New Roman" w:hAnsi="Times New Roman" w:eastAsia="宋体" w:cs="Times New Roman"/>
      <w:kern w:val="2"/>
      <w:sz w:val="21"/>
      <w:szCs w:val="21"/>
    </w:rPr>
  </w:style>
  <w:style w:type="paragraph" w:customStyle="1" w:styleId="255">
    <w:name w:val="Revision"/>
    <w:hidden/>
    <w:qFormat/>
    <w:uiPriority w:val="99"/>
    <w:rPr>
      <w:rFonts w:ascii="Arial" w:hAnsi="Arial" w:eastAsia="宋体" w:cs="Arial"/>
      <w:kern w:val="2"/>
      <w:sz w:val="21"/>
      <w:lang w:val="en-US" w:eastAsia="zh-CN" w:bidi="ar-SA"/>
    </w:rPr>
  </w:style>
  <w:style w:type="character" w:customStyle="1" w:styleId="256">
    <w:name w:val="Step Char"/>
    <w:link w:val="174"/>
    <w:qFormat/>
    <w:uiPriority w:val="0"/>
    <w:rPr>
      <w:rFonts w:ascii="Times New Roman" w:hAnsi="Times New Roman" w:eastAsia="宋体"/>
      <w:snapToGrid w:val="0"/>
      <w:sz w:val="21"/>
      <w:szCs w:val="22"/>
    </w:rPr>
  </w:style>
  <w:style w:type="paragraph" w:customStyle="1" w:styleId="257">
    <w:name w:val="* spec"/>
    <w:basedOn w:val="251"/>
    <w:qFormat/>
    <w:uiPriority w:val="0"/>
    <w:pPr>
      <w:numPr>
        <w:ilvl w:val="0"/>
        <w:numId w:val="9"/>
      </w:numPr>
      <w:pBdr>
        <w:top w:val="single" w:color="999999" w:sz="12" w:space="1"/>
        <w:bottom w:val="single" w:color="999999" w:sz="12" w:space="1"/>
      </w:pBdr>
      <w:tabs>
        <w:tab w:val="left" w:pos="1276"/>
        <w:tab w:val="clear" w:pos="420"/>
      </w:tabs>
      <w:ind w:left="1276" w:hanging="879"/>
    </w:pPr>
    <w:rPr>
      <w:rFonts w:eastAsia="楷体_GB2312"/>
    </w:rPr>
  </w:style>
  <w:style w:type="character" w:customStyle="1" w:styleId="258">
    <w:name w:val="脚注文本 Char"/>
    <w:basedOn w:val="128"/>
    <w:link w:val="64"/>
    <w:qFormat/>
    <w:uiPriority w:val="99"/>
    <w:rPr>
      <w:rFonts w:ascii="Arial" w:hAnsi="Arial" w:eastAsia="宋体" w:cs="Arial"/>
      <w:kern w:val="2"/>
      <w:sz w:val="18"/>
      <w:szCs w:val="18"/>
    </w:rPr>
  </w:style>
  <w:style w:type="character" w:customStyle="1" w:styleId="259">
    <w:name w:val="正文文本 Char"/>
    <w:basedOn w:val="128"/>
    <w:link w:val="33"/>
    <w:uiPriority w:val="99"/>
    <w:rPr>
      <w:rFonts w:ascii="Arial" w:hAnsi="Arial" w:eastAsia="宋体" w:cs="Times New Roman"/>
      <w:kern w:val="2"/>
      <w:sz w:val="21"/>
      <w:szCs w:val="21"/>
    </w:rPr>
  </w:style>
  <w:style w:type="character" w:customStyle="1" w:styleId="260">
    <w:name w:val="纯文本 Char"/>
    <w:basedOn w:val="128"/>
    <w:link w:val="43"/>
    <w:uiPriority w:val="0"/>
    <w:rPr>
      <w:rFonts w:ascii="宋体" w:hAnsi="Courier New" w:eastAsia="宋体" w:cs="宋体"/>
      <w:kern w:val="2"/>
      <w:sz w:val="21"/>
      <w:szCs w:val="21"/>
    </w:rPr>
  </w:style>
  <w:style w:type="paragraph" w:customStyle="1" w:styleId="261">
    <w:name w:val="TOC Heading"/>
    <w:basedOn w:val="3"/>
    <w:next w:val="1"/>
    <w:semiHidden/>
    <w:unhideWhenUsed/>
    <w:qFormat/>
    <w:uiPriority w:val="39"/>
    <w:pPr>
      <w:keepLines w:val="0"/>
      <w:pageBreakBefore w:val="0"/>
      <w:numPr>
        <w:numId w:val="0"/>
      </w:numPr>
      <w:snapToGrid w:val="0"/>
      <w:spacing w:before="240" w:after="0" w:line="256" w:lineRule="auto"/>
      <w:outlineLvl w:val="9"/>
    </w:pPr>
    <w:rPr>
      <w:rFonts w:ascii="Calibri Light" w:hAnsi="Calibri Light" w:cs="Times New Roman"/>
      <w:b w:val="0"/>
      <w:color w:val="2E74B5"/>
      <w:kern w:val="0"/>
      <w:sz w:val="36"/>
      <w:szCs w:val="32"/>
    </w:rPr>
  </w:style>
  <w:style w:type="character" w:customStyle="1" w:styleId="262">
    <w:name w:val="* table text Char"/>
    <w:link w:val="263"/>
    <w:locked/>
    <w:uiPriority w:val="0"/>
    <w:rPr>
      <w:rFonts w:ascii="Arial" w:hAnsi="Arial" w:cs="Arial"/>
      <w:color w:val="333333"/>
      <w:kern w:val="2"/>
      <w:sz w:val="18"/>
      <w:szCs w:val="18"/>
    </w:rPr>
  </w:style>
  <w:style w:type="paragraph" w:customStyle="1" w:styleId="263">
    <w:name w:val="* table text"/>
    <w:basedOn w:val="251"/>
    <w:link w:val="262"/>
    <w:uiPriority w:val="0"/>
    <w:pPr>
      <w:spacing w:beforeLines="0" w:afterLines="0"/>
      <w:ind w:left="624"/>
    </w:pPr>
    <w:rPr>
      <w:rFonts w:cs="Arial" w:eastAsiaTheme="minorEastAsia"/>
    </w:rPr>
  </w:style>
  <w:style w:type="paragraph" w:customStyle="1" w:styleId="264">
    <w:name w:val="* instruction"/>
    <w:basedOn w:val="251"/>
    <w:qFormat/>
    <w:uiPriority w:val="99"/>
    <w:pPr>
      <w:pBdr>
        <w:top w:val="single" w:color="999999" w:sz="12" w:space="1"/>
        <w:bottom w:val="single" w:color="999999" w:sz="12" w:space="1"/>
      </w:pBdr>
      <w:spacing w:before="0" w:after="0"/>
      <w:ind w:left="1044" w:hanging="420"/>
    </w:pPr>
    <w:rPr>
      <w:rFonts w:eastAsia="楷体_GB2312" w:cs="Arial"/>
    </w:rPr>
  </w:style>
  <w:style w:type="paragraph" w:customStyle="1" w:styleId="265">
    <w:name w:val="* notice"/>
    <w:basedOn w:val="251"/>
    <w:qFormat/>
    <w:uiPriority w:val="99"/>
    <w:pPr>
      <w:numPr>
        <w:ilvl w:val="0"/>
        <w:numId w:val="10"/>
      </w:numPr>
      <w:pBdr>
        <w:top w:val="single" w:color="999999" w:sz="12" w:space="1"/>
        <w:bottom w:val="single" w:color="999999" w:sz="12" w:space="1"/>
      </w:pBdr>
      <w:tabs>
        <w:tab w:val="left" w:pos="360"/>
        <w:tab w:val="clear" w:pos="420"/>
      </w:tabs>
      <w:spacing w:before="0" w:after="0"/>
      <w:ind w:left="1044" w:firstLine="0"/>
    </w:pPr>
    <w:rPr>
      <w:rFonts w:eastAsia="楷体_GB2312" w:cs="Arial"/>
    </w:rPr>
  </w:style>
  <w:style w:type="character" w:customStyle="1" w:styleId="266">
    <w:name w:val="* Display terminal Char Char"/>
    <w:link w:val="267"/>
    <w:locked/>
    <w:uiPriority w:val="0"/>
    <w:rPr>
      <w:rFonts w:ascii="宋体" w:hAnsi="Verdana"/>
      <w:kern w:val="2"/>
      <w:sz w:val="18"/>
      <w:szCs w:val="18"/>
      <w:shd w:val="clear" w:color="auto" w:fill="E6E6E6"/>
    </w:rPr>
  </w:style>
  <w:style w:type="paragraph" w:customStyle="1" w:styleId="267">
    <w:name w:val="* Display terminal"/>
    <w:link w:val="266"/>
    <w:qFormat/>
    <w:uiPriority w:val="0"/>
    <w:pPr>
      <w:shd w:val="clear" w:color="auto" w:fill="E6E6E6"/>
    </w:pPr>
    <w:rPr>
      <w:rFonts w:ascii="宋体" w:hAnsi="Verdana" w:eastAsiaTheme="minorEastAsia" w:cstheme="minorBidi"/>
      <w:kern w:val="2"/>
      <w:sz w:val="18"/>
      <w:szCs w:val="18"/>
      <w:lang w:val="en-US" w:eastAsia="zh-CN" w:bidi="ar-SA"/>
    </w:rPr>
  </w:style>
  <w:style w:type="paragraph" w:customStyle="1" w:styleId="268">
    <w:name w:val="* item list"/>
    <w:basedOn w:val="251"/>
    <w:uiPriority w:val="99"/>
    <w:pPr>
      <w:numPr>
        <w:ilvl w:val="0"/>
        <w:numId w:val="11"/>
      </w:numPr>
      <w:tabs>
        <w:tab w:val="left" w:pos="360"/>
        <w:tab w:val="clear" w:pos="420"/>
      </w:tabs>
      <w:spacing w:before="0" w:after="0"/>
      <w:ind w:left="1044" w:firstLine="0"/>
    </w:pPr>
    <w:rPr>
      <w:rFonts w:cs="Arial"/>
    </w:rPr>
  </w:style>
  <w:style w:type="paragraph" w:customStyle="1" w:styleId="269">
    <w:name w:val="*Block"/>
    <w:basedOn w:val="1"/>
    <w:next w:val="251"/>
    <w:qFormat/>
    <w:uiPriority w:val="99"/>
    <w:pPr>
      <w:widowControl/>
      <w:spacing w:beforeLines="50" w:afterLines="50" w:line="240" w:lineRule="auto"/>
      <w:ind w:left="1248" w:firstLine="0"/>
    </w:pPr>
    <w:rPr>
      <w:rFonts w:ascii="Arial" w:hAnsi="Arial" w:eastAsia="微软雅黑" w:cs="Arial"/>
      <w:b/>
      <w:color w:val="333333"/>
      <w:szCs w:val="24"/>
    </w:rPr>
  </w:style>
  <w:style w:type="paragraph" w:customStyle="1" w:styleId="270">
    <w:name w:val="* step"/>
    <w:basedOn w:val="251"/>
    <w:uiPriority w:val="0"/>
    <w:pPr>
      <w:numPr>
        <w:ilvl w:val="0"/>
        <w:numId w:val="12"/>
      </w:numPr>
      <w:tabs>
        <w:tab w:val="left" w:pos="360"/>
        <w:tab w:val="clear" w:pos="420"/>
      </w:tabs>
      <w:spacing w:before="0" w:after="0"/>
      <w:ind w:left="1044" w:firstLine="0"/>
    </w:pPr>
    <w:rPr>
      <w:rFonts w:cs="Arial"/>
    </w:rPr>
  </w:style>
  <w:style w:type="character" w:customStyle="1" w:styleId="271">
    <w:name w:val="Display terminal Char"/>
    <w:link w:val="272"/>
    <w:qFormat/>
    <w:locked/>
    <w:uiPriority w:val="0"/>
    <w:rPr>
      <w:rFonts w:ascii="Courier New" w:hAnsi="Courier New" w:cs="Courier New"/>
    </w:rPr>
  </w:style>
  <w:style w:type="paragraph" w:customStyle="1" w:styleId="272">
    <w:name w:val="Display terminal"/>
    <w:link w:val="271"/>
    <w:uiPriority w:val="0"/>
    <w:pPr>
      <w:ind w:left="400" w:leftChars="400"/>
    </w:pPr>
    <w:rPr>
      <w:rFonts w:ascii="Courier New" w:hAnsi="Courier New" w:cs="Courier New" w:eastAsiaTheme="minorEastAsia"/>
      <w:lang w:val="en-US" w:eastAsia="zh-CN" w:bidi="ar-SA"/>
    </w:rPr>
  </w:style>
  <w:style w:type="paragraph" w:customStyle="1" w:styleId="273">
    <w:name w:val="封面标题"/>
    <w:basedOn w:val="1"/>
    <w:next w:val="1"/>
    <w:autoRedefine/>
    <w:qFormat/>
    <w:uiPriority w:val="99"/>
    <w:pPr>
      <w:widowControl/>
      <w:spacing w:before="40" w:after="40" w:line="240" w:lineRule="auto"/>
      <w:ind w:left="624" w:firstLine="0"/>
      <w:jc w:val="center"/>
    </w:pPr>
    <w:rPr>
      <w:rFonts w:ascii="微软雅黑" w:hAnsi="微软雅黑" w:eastAsia="微软雅黑" w:cs="Arial"/>
      <w:b/>
      <w:bCs/>
      <w:sz w:val="36"/>
      <w:szCs w:val="36"/>
    </w:rPr>
  </w:style>
  <w:style w:type="paragraph" w:customStyle="1" w:styleId="274">
    <w:name w:val="标题1"/>
    <w:basedOn w:val="1"/>
    <w:qFormat/>
    <w:uiPriority w:val="99"/>
    <w:pPr>
      <w:widowControl/>
      <w:spacing w:before="40" w:after="40" w:line="240" w:lineRule="auto"/>
      <w:ind w:left="624" w:firstLine="0"/>
    </w:pPr>
    <w:rPr>
      <w:rFonts w:ascii="Arial" w:hAnsi="Arial" w:eastAsia="黑体" w:cs="Arial"/>
      <w:sz w:val="44"/>
      <w:szCs w:val="44"/>
    </w:rPr>
  </w:style>
  <w:style w:type="paragraph" w:customStyle="1" w:styleId="275">
    <w:name w:val="说明"/>
    <w:basedOn w:val="1"/>
    <w:next w:val="1"/>
    <w:qFormat/>
    <w:uiPriority w:val="99"/>
    <w:pPr>
      <w:shd w:val="clear" w:color="auto" w:fill="FFFFAF"/>
      <w:tabs>
        <w:tab w:val="left" w:pos="360"/>
        <w:tab w:val="left" w:pos="420"/>
      </w:tabs>
      <w:spacing w:beforeLines="100" w:afterLines="100" w:line="240" w:lineRule="auto"/>
      <w:ind w:left="1044" w:firstLine="0"/>
    </w:pPr>
    <w:rPr>
      <w:rFonts w:eastAsia="楷体_GB2312" w:cs="Arial"/>
      <w:szCs w:val="21"/>
    </w:rPr>
  </w:style>
  <w:style w:type="character" w:customStyle="1" w:styleId="276">
    <w:name w:val="RJ-正文 Char"/>
    <w:link w:val="277"/>
    <w:locked/>
    <w:uiPriority w:val="0"/>
    <w:rPr>
      <w:rFonts w:ascii="Arial" w:hAnsi="Arial" w:cs="Arial"/>
      <w:kern w:val="2"/>
      <w:sz w:val="21"/>
    </w:rPr>
  </w:style>
  <w:style w:type="paragraph" w:customStyle="1" w:styleId="277">
    <w:name w:val="RJ-正文"/>
    <w:basedOn w:val="1"/>
    <w:next w:val="1"/>
    <w:link w:val="276"/>
    <w:uiPriority w:val="0"/>
    <w:pPr>
      <w:widowControl/>
      <w:spacing w:before="40" w:after="40" w:line="240" w:lineRule="auto"/>
      <w:ind w:left="624" w:firstLine="360"/>
    </w:pPr>
    <w:rPr>
      <w:rFonts w:ascii="Arial" w:hAnsi="Arial" w:cs="Arial" w:eastAsiaTheme="minorEastAsia"/>
      <w:szCs w:val="20"/>
    </w:rPr>
  </w:style>
  <w:style w:type="paragraph" w:customStyle="1" w:styleId="278">
    <w:name w:val="Table Heading Step"/>
    <w:basedOn w:val="1"/>
    <w:uiPriority w:val="99"/>
    <w:pPr>
      <w:autoSpaceDE w:val="0"/>
      <w:autoSpaceDN w:val="0"/>
      <w:adjustRightInd w:val="0"/>
      <w:spacing w:before="40" w:after="40" w:line="240" w:lineRule="auto"/>
      <w:ind w:left="624" w:firstLine="0"/>
      <w:jc w:val="left"/>
    </w:pPr>
    <w:rPr>
      <w:rFonts w:ascii="Impact" w:hAnsi="Impact" w:cs="Arial"/>
      <w:bCs/>
      <w:color w:val="000000"/>
      <w:sz w:val="18"/>
      <w:szCs w:val="18"/>
    </w:rPr>
  </w:style>
  <w:style w:type="character" w:customStyle="1" w:styleId="279">
    <w:name w:val="警告 Char"/>
    <w:link w:val="280"/>
    <w:qFormat/>
    <w:locked/>
    <w:uiPriority w:val="0"/>
    <w:rPr>
      <w:rFonts w:ascii="楷体_GB2312" w:eastAsia="楷体_GB2312"/>
      <w:szCs w:val="21"/>
      <w:shd w:val="clear" w:color="auto" w:fill="FFD1D1"/>
    </w:rPr>
  </w:style>
  <w:style w:type="paragraph" w:customStyle="1" w:styleId="280">
    <w:name w:val="警告"/>
    <w:basedOn w:val="1"/>
    <w:next w:val="1"/>
    <w:link w:val="279"/>
    <w:qFormat/>
    <w:uiPriority w:val="0"/>
    <w:pPr>
      <w:shd w:val="clear" w:color="auto" w:fill="FFD1D1"/>
      <w:tabs>
        <w:tab w:val="left" w:pos="360"/>
        <w:tab w:val="left" w:pos="1701"/>
      </w:tabs>
      <w:spacing w:beforeLines="100" w:afterLines="100" w:line="240" w:lineRule="auto"/>
      <w:ind w:left="4026" w:firstLine="0"/>
    </w:pPr>
    <w:rPr>
      <w:rFonts w:ascii="楷体_GB2312" w:eastAsia="楷体_GB2312" w:hAnsiTheme="minorHAnsi"/>
      <w:kern w:val="0"/>
      <w:sz w:val="20"/>
      <w:szCs w:val="21"/>
    </w:rPr>
  </w:style>
  <w:style w:type="character" w:customStyle="1" w:styleId="281">
    <w:name w:val="Item Step in Table Char"/>
    <w:link w:val="204"/>
    <w:qFormat/>
    <w:locked/>
    <w:uiPriority w:val="0"/>
    <w:rPr>
      <w:rFonts w:ascii="Arial" w:hAnsi="Arial" w:eastAsia="宋体" w:cs="Arial"/>
      <w:sz w:val="18"/>
      <w:szCs w:val="18"/>
    </w:rPr>
  </w:style>
  <w:style w:type="paragraph" w:customStyle="1" w:styleId="282">
    <w:name w:val="Table Command"/>
    <w:basedOn w:val="1"/>
    <w:autoRedefine/>
    <w:qFormat/>
    <w:uiPriority w:val="99"/>
    <w:pPr>
      <w:autoSpaceDE w:val="0"/>
      <w:autoSpaceDN w:val="0"/>
      <w:adjustRightInd w:val="0"/>
      <w:spacing w:before="40" w:after="312" w:line="240" w:lineRule="auto"/>
      <w:ind w:left="624" w:firstLine="0"/>
      <w:jc w:val="left"/>
    </w:pPr>
    <w:rPr>
      <w:rFonts w:ascii="宋体" w:hAnsi="宋体" w:cs="Arial"/>
      <w:iCs/>
      <w:color w:val="333333"/>
      <w:sz w:val="18"/>
      <w:szCs w:val="18"/>
    </w:rPr>
  </w:style>
  <w:style w:type="character" w:customStyle="1" w:styleId="283">
    <w:name w:val="table Char"/>
    <w:basedOn w:val="185"/>
    <w:link w:val="284"/>
    <w:locked/>
    <w:uiPriority w:val="0"/>
    <w:rPr>
      <w:rFonts w:ascii="Arial" w:hAnsi="Arial" w:eastAsia="黑体" w:cs="Arial Narrow"/>
      <w:sz w:val="18"/>
    </w:rPr>
  </w:style>
  <w:style w:type="paragraph" w:customStyle="1" w:styleId="284">
    <w:name w:val="table"/>
    <w:basedOn w:val="184"/>
    <w:link w:val="283"/>
    <w:uiPriority w:val="0"/>
    <w:pPr>
      <w:widowControl w:val="0"/>
      <w:spacing w:before="156" w:after="156"/>
    </w:pPr>
  </w:style>
  <w:style w:type="character" w:customStyle="1" w:styleId="285">
    <w:name w:val="apple-converted-space"/>
    <w:qFormat/>
    <w:uiPriority w:val="0"/>
  </w:style>
  <w:style w:type="character" w:customStyle="1" w:styleId="286">
    <w:name w:val="Item Step Char"/>
    <w:basedOn w:val="128"/>
    <w:link w:val="202"/>
    <w:qFormat/>
    <w:uiPriority w:val="2"/>
    <w:rPr>
      <w:rFonts w:ascii="Arial" w:hAnsi="Arial" w:eastAsia="宋体" w:cs="Times New Roman"/>
      <w:sz w:val="21"/>
      <w:szCs w:val="24"/>
      <w:lang w:eastAsia="en-US"/>
    </w:rPr>
  </w:style>
  <w:style w:type="character" w:customStyle="1" w:styleId="287">
    <w:name w:val="Table Description Char"/>
    <w:link w:val="183"/>
    <w:qFormat/>
    <w:uiPriority w:val="2"/>
    <w:rPr>
      <w:rFonts w:ascii="Times New Roman" w:hAnsi="Times New Roman" w:eastAsia="宋体" w:cs="Arial Narrow"/>
      <w:sz w:val="21"/>
    </w:rPr>
  </w:style>
  <w:style w:type="paragraph" w:customStyle="1" w:styleId="288">
    <w:name w:val="列出段落1"/>
    <w:basedOn w:val="1"/>
    <w:qFormat/>
    <w:uiPriority w:val="34"/>
    <w:pPr>
      <w:widowControl/>
      <w:topLinePunct/>
      <w:adjustRightInd w:val="0"/>
      <w:snapToGrid w:val="0"/>
      <w:spacing w:before="160" w:after="160" w:line="240" w:lineRule="atLeast"/>
      <w:ind w:left="1701" w:firstLine="200" w:firstLineChars="200"/>
      <w:jc w:val="left"/>
    </w:pPr>
    <w:rPr>
      <w:rFonts w:cs="Arial"/>
      <w:szCs w:val="21"/>
    </w:rPr>
  </w:style>
  <w:style w:type="table" w:customStyle="1" w:styleId="289">
    <w:name w:val="Table111"/>
    <w:basedOn w:val="127"/>
    <w:qFormat/>
    <w:uiPriority w:val="99"/>
    <w:pPr>
      <w:spacing w:line="240" w:lineRule="auto"/>
      <w:ind w:firstLine="0"/>
      <w:jc w:val="left"/>
    </w:pPr>
    <w:rPr>
      <w:rFonts w:ascii="Times New Roman" w:hAnsi="Times New Roman" w:eastAsia="宋体" w:cs="Arial"/>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rPr>
      <w:cantSplit/>
    </w:trPr>
    <w:tcPr>
      <w:shd w:val="clear" w:color="auto" w:fill="auto"/>
    </w:tcPr>
    <w:tblStylePr w:type="firstRow">
      <w:rPr>
        <w:b w:val="0"/>
        <w:bCs w:val="0"/>
        <w:i w:val="0"/>
        <w:iCs w:val="0"/>
        <w:color w:val="auto"/>
        <w:sz w:val="20"/>
        <w:szCs w:val="20"/>
      </w:rPr>
      <w:tcPr>
        <w:tcBorders>
          <w:top w:val="single" w:color="auto" w:sz="6" w:space="0"/>
          <w:left w:val="single" w:color="auto" w:sz="6" w:space="0"/>
          <w:bottom w:val="single" w:color="auto" w:sz="6" w:space="0"/>
          <w:right w:val="single" w:color="auto" w:sz="6" w:space="0"/>
          <w:insideH w:val="single" w:sz="6" w:space="0"/>
          <w:insideV w:val="single" w:sz="6" w:space="0"/>
          <w:tl2br w:val="nil"/>
          <w:tr2bl w:val="nil"/>
        </w:tcBorders>
        <w:shd w:val="clear" w:color="auto" w:fill="D9D9D9"/>
      </w:tcPr>
    </w:tblStylePr>
  </w:style>
  <w:style w:type="paragraph" w:customStyle="1" w:styleId="290">
    <w:name w:val="Block Label"/>
    <w:basedOn w:val="1"/>
    <w:next w:val="1"/>
    <w:link w:val="329"/>
    <w:uiPriority w:val="0"/>
    <w:pPr>
      <w:keepNext/>
      <w:keepLines/>
      <w:widowControl/>
      <w:topLinePunct/>
      <w:adjustRightInd w:val="0"/>
      <w:snapToGrid w:val="0"/>
      <w:spacing w:before="300" w:after="80" w:line="240" w:lineRule="atLeast"/>
      <w:ind w:firstLine="0"/>
      <w:jc w:val="left"/>
    </w:pPr>
    <w:rPr>
      <w:rFonts w:ascii="Book Antiqua" w:hAnsi="Book Antiqua" w:eastAsia="黑体" w:cs="Book Antiqua"/>
      <w:bCs/>
      <w:kern w:val="0"/>
      <w:sz w:val="26"/>
      <w:szCs w:val="26"/>
    </w:rPr>
  </w:style>
  <w:style w:type="table" w:customStyle="1" w:styleId="291">
    <w:name w:val="Table No Frame"/>
    <w:basedOn w:val="83"/>
    <w:semiHidden/>
    <w:qFormat/>
    <w:uiPriority w:val="0"/>
    <w:pPr>
      <w:widowControl w:val="0"/>
    </w:pPr>
    <w:rPr>
      <w:rFonts w:eastAsia="宋体"/>
    </w:rPr>
    <w:tblPr>
      <w:tblBorders>
        <w:left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shd w:val="clear" w:color="auto" w:fill="FFFFFF" w:themeFill="background1"/>
      <w:vAlign w:val="center"/>
    </w:tcPr>
    <w:tblStylePr w:type="firstRow">
      <w:rPr>
        <w:rFonts w:ascii="Times New Roman" w:hAnsi="Times New Roman" w:eastAsia="宋体"/>
        <w:color w:val="auto"/>
        <w:sz w:val="21"/>
      </w:rPr>
      <w:tcPr>
        <w:tcBorders>
          <w:top w:val="single" w:color="auto" w:sz="4" w:space="0"/>
          <w:left w:val="nil"/>
          <w:bottom w:val="single" w:color="808080" w:sz="4" w:space="0"/>
          <w:right w:val="nil"/>
          <w:insideH w:val="nil"/>
          <w:insideV w:val="single" w:sz="4" w:space="0"/>
          <w:tl2br w:val="nil"/>
          <w:tr2bl w:val="nil"/>
        </w:tcBorders>
        <w:shd w:val="clear" w:color="auto" w:fill="FFFFFF" w:themeFill="background1"/>
      </w:tcPr>
    </w:tblStylePr>
  </w:style>
  <w:style w:type="table" w:customStyle="1" w:styleId="292">
    <w:name w:val="Remarks Table"/>
    <w:basedOn w:val="83"/>
    <w:qFormat/>
    <w:uiPriority w:val="0"/>
    <w:pPr>
      <w:widowControl w:val="0"/>
      <w:adjustRightInd w:val="0"/>
      <w:snapToGrid w:val="0"/>
    </w:pPr>
    <w:rPr>
      <w:rFonts w:eastAsia="宋体" w:cs="Arial"/>
      <w:sz w:val="21"/>
      <w:szCs w:val="21"/>
    </w:rPr>
    <w:tblPr>
      <w:tblBorders>
        <w:top w:val="single" w:color="auto" w:sz="4" w:space="0"/>
        <w:bottom w:val="single" w:color="auto" w:sz="4" w:space="0"/>
      </w:tblBorders>
      <w:tblCellMar>
        <w:top w:w="0" w:type="dxa"/>
        <w:left w:w="108" w:type="dxa"/>
        <w:bottom w:w="0" w:type="dxa"/>
        <w:right w:w="108" w:type="dxa"/>
      </w:tblCellMar>
    </w:tblPr>
    <w:trPr>
      <w:cantSplit/>
    </w:trPr>
    <w:tcPr>
      <w:shd w:val="clear" w:color="auto" w:fill="FFFFFF" w:themeFill="background1"/>
      <w:vAlign w:val="center"/>
    </w:tcPr>
    <w:tblStylePr w:type="firstRow">
      <w:rPr>
        <w:rFonts w:ascii="Times New Roman" w:hAnsi="Times New Roman" w:eastAsia="宋体"/>
        <w:color w:val="auto"/>
        <w:sz w:val="21"/>
      </w:rPr>
      <w:tcPr>
        <w:tcBorders>
          <w:top w:val="single" w:color="auto" w:sz="4" w:space="0"/>
          <w:left w:val="nil"/>
          <w:bottom w:val="single" w:color="auto" w:sz="4" w:space="0"/>
          <w:right w:val="nil"/>
          <w:insideH w:val="nil"/>
          <w:insideV w:val="nil"/>
          <w:tl2br w:val="nil"/>
          <w:tr2bl w:val="nil"/>
        </w:tcBorders>
        <w:shd w:val="clear" w:color="auto" w:fill="FFFFFF" w:themeFill="background1"/>
      </w:tcPr>
    </w:tblStylePr>
  </w:style>
  <w:style w:type="paragraph" w:customStyle="1" w:styleId="293">
    <w:name w:val="Sub Item List"/>
    <w:basedOn w:val="1"/>
    <w:link w:val="332"/>
    <w:qFormat/>
    <w:uiPriority w:val="0"/>
    <w:pPr>
      <w:widowControl/>
      <w:numPr>
        <w:ilvl w:val="0"/>
        <w:numId w:val="13"/>
      </w:numPr>
      <w:topLinePunct/>
      <w:adjustRightInd w:val="0"/>
      <w:snapToGrid w:val="0"/>
      <w:spacing w:before="80" w:after="80" w:line="240" w:lineRule="atLeast"/>
      <w:jc w:val="left"/>
    </w:pPr>
    <w:rPr>
      <w:rFonts w:cs="Arial"/>
      <w:szCs w:val="21"/>
    </w:rPr>
  </w:style>
  <w:style w:type="paragraph" w:customStyle="1" w:styleId="294">
    <w:name w:val="Sub Item List Text"/>
    <w:link w:val="330"/>
    <w:uiPriority w:val="0"/>
    <w:pPr>
      <w:adjustRightInd w:val="0"/>
      <w:snapToGrid w:val="0"/>
      <w:spacing w:before="80" w:after="80" w:line="240" w:lineRule="atLeast"/>
      <w:ind w:left="2410"/>
    </w:pPr>
    <w:rPr>
      <w:rFonts w:ascii="Times New Roman" w:hAnsi="Times New Roman" w:eastAsia="宋体" w:cs="Times New Roman"/>
      <w:kern w:val="2"/>
      <w:sz w:val="21"/>
      <w:szCs w:val="21"/>
      <w:lang w:val="en-US" w:eastAsia="zh-CN" w:bidi="ar-SA"/>
    </w:rPr>
  </w:style>
  <w:style w:type="character" w:customStyle="1" w:styleId="295">
    <w:name w:val="标题 Char"/>
    <w:basedOn w:val="128"/>
    <w:link w:val="79"/>
    <w:qFormat/>
    <w:uiPriority w:val="0"/>
    <w:rPr>
      <w:rFonts w:ascii="Arial" w:hAnsi="Arial" w:eastAsia="宋体" w:cs="Arial"/>
      <w:b/>
      <w:bCs/>
      <w:kern w:val="2"/>
      <w:sz w:val="32"/>
      <w:szCs w:val="32"/>
    </w:rPr>
  </w:style>
  <w:style w:type="paragraph" w:customStyle="1" w:styleId="296">
    <w:name w:val="Table Note"/>
    <w:basedOn w:val="1"/>
    <w:qFormat/>
    <w:uiPriority w:val="0"/>
    <w:pPr>
      <w:widowControl/>
      <w:topLinePunct/>
      <w:adjustRightInd w:val="0"/>
      <w:snapToGrid w:val="0"/>
      <w:spacing w:before="80" w:after="80" w:line="240" w:lineRule="atLeast"/>
      <w:ind w:left="1701" w:firstLine="0"/>
      <w:jc w:val="left"/>
    </w:pPr>
    <w:rPr>
      <w:rFonts w:cs="Arial"/>
      <w:sz w:val="18"/>
      <w:szCs w:val="18"/>
    </w:rPr>
  </w:style>
  <w:style w:type="paragraph" w:customStyle="1" w:styleId="297">
    <w:name w:val="Copyright Declaration"/>
    <w:semiHidden/>
    <w:qFormat/>
    <w:uiPriority w:val="0"/>
    <w:pPr>
      <w:spacing w:before="80" w:after="80"/>
    </w:pPr>
    <w:rPr>
      <w:rFonts w:ascii="Arial" w:hAnsi="Arial" w:eastAsia="黑体" w:cs="Times New Roman"/>
      <w:sz w:val="36"/>
      <w:lang w:val="en-US" w:eastAsia="zh-CN" w:bidi="ar-SA"/>
    </w:rPr>
  </w:style>
  <w:style w:type="character" w:customStyle="1" w:styleId="298">
    <w:name w:val="宏文本 Char"/>
    <w:basedOn w:val="128"/>
    <w:link w:val="2"/>
    <w:semiHidden/>
    <w:qFormat/>
    <w:uiPriority w:val="0"/>
    <w:rPr>
      <w:rFonts w:ascii="Courier New" w:hAnsi="Courier New" w:eastAsia="宋体" w:cs="Courier New"/>
      <w:kern w:val="2"/>
      <w:sz w:val="24"/>
      <w:szCs w:val="24"/>
    </w:rPr>
  </w:style>
  <w:style w:type="character" w:customStyle="1" w:styleId="299">
    <w:name w:val="脚注文本 字符"/>
    <w:basedOn w:val="128"/>
    <w:uiPriority w:val="99"/>
    <w:rPr>
      <w:rFonts w:ascii="Arial" w:hAnsi="Arial" w:cs="Arial"/>
      <w:kern w:val="2"/>
      <w:sz w:val="18"/>
      <w:szCs w:val="18"/>
    </w:rPr>
  </w:style>
  <w:style w:type="character" w:customStyle="1" w:styleId="300">
    <w:name w:val="尾注文本 Char"/>
    <w:basedOn w:val="128"/>
    <w:link w:val="49"/>
    <w:semiHidden/>
    <w:uiPriority w:val="0"/>
    <w:rPr>
      <w:rFonts w:ascii="Times New Roman" w:hAnsi="Times New Roman" w:eastAsia="宋体" w:cs="Arial"/>
      <w:kern w:val="2"/>
      <w:sz w:val="21"/>
      <w:szCs w:val="21"/>
    </w:rPr>
  </w:style>
  <w:style w:type="paragraph" w:customStyle="1" w:styleId="301">
    <w:name w:val="Contents"/>
    <w:basedOn w:val="1"/>
    <w:qFormat/>
    <w:uiPriority w:val="0"/>
    <w:pPr>
      <w:keepNext/>
      <w:pageBreakBefore/>
      <w:widowControl/>
      <w:pBdr>
        <w:bottom w:val="single" w:color="auto" w:sz="12" w:space="1"/>
      </w:pBdr>
      <w:topLinePunct/>
      <w:adjustRightInd w:val="0"/>
      <w:snapToGrid w:val="0"/>
      <w:spacing w:before="1600" w:after="800" w:line="240" w:lineRule="atLeast"/>
      <w:ind w:firstLine="0"/>
      <w:jc w:val="right"/>
    </w:pPr>
    <w:rPr>
      <w:rFonts w:ascii="Book Antiqua" w:hAnsi="Book Antiqua" w:eastAsia="黑体" w:cs="Book Antiqua"/>
      <w:b/>
      <w:bCs/>
      <w:sz w:val="44"/>
      <w:szCs w:val="44"/>
    </w:rPr>
  </w:style>
  <w:style w:type="character" w:customStyle="1" w:styleId="302">
    <w:name w:val="HTML 地址 Char"/>
    <w:basedOn w:val="128"/>
    <w:link w:val="39"/>
    <w:semiHidden/>
    <w:uiPriority w:val="0"/>
    <w:rPr>
      <w:rFonts w:ascii="Times New Roman" w:hAnsi="Times New Roman" w:eastAsia="宋体" w:cs="Arial"/>
      <w:i/>
      <w:iCs/>
      <w:kern w:val="2"/>
      <w:sz w:val="21"/>
      <w:szCs w:val="21"/>
    </w:rPr>
  </w:style>
  <w:style w:type="character" w:customStyle="1" w:styleId="303">
    <w:name w:val="HTML 预设格式 Char"/>
    <w:basedOn w:val="128"/>
    <w:link w:val="75"/>
    <w:semiHidden/>
    <w:qFormat/>
    <w:uiPriority w:val="0"/>
    <w:rPr>
      <w:rFonts w:ascii="Courier New" w:hAnsi="Courier New" w:eastAsia="宋体" w:cs="Courier New"/>
      <w:kern w:val="2"/>
    </w:rPr>
  </w:style>
  <w:style w:type="character" w:customStyle="1" w:styleId="304">
    <w:name w:val="称呼 Char"/>
    <w:basedOn w:val="128"/>
    <w:link w:val="30"/>
    <w:qFormat/>
    <w:uiPriority w:val="0"/>
    <w:rPr>
      <w:rFonts w:ascii="Times New Roman" w:hAnsi="Times New Roman" w:eastAsia="宋体" w:cs="Arial"/>
      <w:kern w:val="2"/>
      <w:sz w:val="21"/>
      <w:szCs w:val="21"/>
    </w:rPr>
  </w:style>
  <w:style w:type="character" w:customStyle="1" w:styleId="305">
    <w:name w:val="电子邮件签名 Char"/>
    <w:basedOn w:val="128"/>
    <w:link w:val="19"/>
    <w:semiHidden/>
    <w:qFormat/>
    <w:uiPriority w:val="0"/>
    <w:rPr>
      <w:rFonts w:ascii="Times New Roman" w:hAnsi="Times New Roman" w:eastAsia="宋体" w:cs="Arial"/>
      <w:kern w:val="2"/>
      <w:sz w:val="21"/>
      <w:szCs w:val="21"/>
    </w:rPr>
  </w:style>
  <w:style w:type="character" w:customStyle="1" w:styleId="306">
    <w:name w:val="副标题 Char"/>
    <w:basedOn w:val="128"/>
    <w:link w:val="61"/>
    <w:qFormat/>
    <w:uiPriority w:val="0"/>
    <w:rPr>
      <w:rFonts w:ascii="Arial" w:hAnsi="Arial" w:eastAsia="宋体" w:cs="Arial"/>
      <w:b/>
      <w:bCs/>
      <w:kern w:val="28"/>
      <w:sz w:val="32"/>
      <w:szCs w:val="32"/>
    </w:rPr>
  </w:style>
  <w:style w:type="character" w:customStyle="1" w:styleId="307">
    <w:name w:val="结束语 Char"/>
    <w:basedOn w:val="128"/>
    <w:link w:val="31"/>
    <w:semiHidden/>
    <w:qFormat/>
    <w:uiPriority w:val="0"/>
    <w:rPr>
      <w:rFonts w:ascii="Times New Roman" w:hAnsi="Times New Roman" w:eastAsia="宋体" w:cs="Arial"/>
      <w:kern w:val="2"/>
      <w:sz w:val="21"/>
      <w:szCs w:val="21"/>
    </w:rPr>
  </w:style>
  <w:style w:type="character" w:customStyle="1" w:styleId="308">
    <w:name w:val="签名 Char"/>
    <w:basedOn w:val="128"/>
    <w:link w:val="55"/>
    <w:semiHidden/>
    <w:qFormat/>
    <w:uiPriority w:val="0"/>
    <w:rPr>
      <w:rFonts w:ascii="Times New Roman" w:hAnsi="Times New Roman" w:eastAsia="宋体" w:cs="Arial"/>
      <w:kern w:val="2"/>
      <w:sz w:val="21"/>
      <w:szCs w:val="21"/>
    </w:rPr>
  </w:style>
  <w:style w:type="character" w:customStyle="1" w:styleId="309">
    <w:name w:val="日期 Char"/>
    <w:basedOn w:val="128"/>
    <w:link w:val="48"/>
    <w:qFormat/>
    <w:uiPriority w:val="0"/>
    <w:rPr>
      <w:rFonts w:ascii="Times New Roman" w:hAnsi="Times New Roman" w:eastAsia="宋体" w:cs="Arial"/>
      <w:kern w:val="2"/>
      <w:sz w:val="21"/>
      <w:szCs w:val="21"/>
    </w:rPr>
  </w:style>
  <w:style w:type="character" w:customStyle="1" w:styleId="310">
    <w:name w:val="信息标题 Char"/>
    <w:basedOn w:val="128"/>
    <w:link w:val="74"/>
    <w:qFormat/>
    <w:uiPriority w:val="0"/>
    <w:rPr>
      <w:rFonts w:ascii="Arial" w:hAnsi="Arial" w:eastAsia="宋体" w:cs="Arial"/>
      <w:kern w:val="2"/>
      <w:sz w:val="21"/>
      <w:szCs w:val="21"/>
      <w:shd w:val="pct20" w:color="auto" w:fill="auto"/>
    </w:rPr>
  </w:style>
  <w:style w:type="character" w:customStyle="1" w:styleId="311">
    <w:name w:val="正文首行缩进 Char"/>
    <w:basedOn w:val="259"/>
    <w:link w:val="81"/>
    <w:qFormat/>
    <w:uiPriority w:val="0"/>
    <w:rPr>
      <w:rFonts w:ascii="Times New Roman" w:hAnsi="Times New Roman" w:eastAsia="宋体" w:cs="Arial"/>
      <w:kern w:val="2"/>
      <w:sz w:val="21"/>
      <w:szCs w:val="21"/>
    </w:rPr>
  </w:style>
  <w:style w:type="character" w:customStyle="1" w:styleId="312">
    <w:name w:val="正文文本缩进 Char"/>
    <w:basedOn w:val="128"/>
    <w:link w:val="34"/>
    <w:semiHidden/>
    <w:qFormat/>
    <w:uiPriority w:val="0"/>
    <w:rPr>
      <w:rFonts w:ascii="Times New Roman" w:hAnsi="Times New Roman" w:eastAsia="宋体" w:cs="Arial"/>
      <w:kern w:val="2"/>
      <w:sz w:val="21"/>
      <w:szCs w:val="21"/>
    </w:rPr>
  </w:style>
  <w:style w:type="character" w:customStyle="1" w:styleId="313">
    <w:name w:val="注释标题 Char"/>
    <w:basedOn w:val="128"/>
    <w:link w:val="16"/>
    <w:semiHidden/>
    <w:uiPriority w:val="0"/>
    <w:rPr>
      <w:rFonts w:ascii="Times New Roman" w:hAnsi="Times New Roman" w:eastAsia="宋体" w:cs="Arial"/>
      <w:kern w:val="2"/>
      <w:sz w:val="21"/>
      <w:szCs w:val="21"/>
    </w:rPr>
  </w:style>
  <w:style w:type="paragraph" w:customStyle="1" w:styleId="314">
    <w:name w:val="Cover Text"/>
    <w:qFormat/>
    <w:uiPriority w:val="0"/>
    <w:pPr>
      <w:adjustRightInd w:val="0"/>
      <w:snapToGrid w:val="0"/>
      <w:spacing w:before="80" w:after="80" w:line="240" w:lineRule="atLeast"/>
      <w:jc w:val="both"/>
    </w:pPr>
    <w:rPr>
      <w:rFonts w:ascii="Arial" w:hAnsi="Arial" w:eastAsia="宋体" w:cs="Arial"/>
      <w:snapToGrid w:val="0"/>
      <w:lang w:val="en-US" w:eastAsia="zh-CN" w:bidi="ar-SA"/>
    </w:rPr>
  </w:style>
  <w:style w:type="paragraph" w:customStyle="1" w:styleId="315">
    <w:name w:val="Table Description in Appendix"/>
    <w:basedOn w:val="183"/>
    <w:next w:val="1"/>
    <w:qFormat/>
    <w:uiPriority w:val="0"/>
    <w:pPr>
      <w:keepLines w:val="0"/>
      <w:numPr>
        <w:ilvl w:val="8"/>
        <w:numId w:val="14"/>
      </w:numPr>
      <w:tabs>
        <w:tab w:val="left" w:pos="360"/>
        <w:tab w:val="left" w:pos="4560"/>
      </w:tabs>
      <w:adjustRightInd w:val="0"/>
      <w:snapToGrid w:val="0"/>
      <w:spacing w:before="320" w:line="240" w:lineRule="atLeast"/>
      <w:ind w:left="4560" w:hanging="420"/>
      <w:outlineLvl w:val="8"/>
    </w:pPr>
    <w:rPr>
      <w:rFonts w:cs="Arial"/>
      <w:spacing w:val="-4"/>
      <w:kern w:val="2"/>
      <w:szCs w:val="21"/>
    </w:rPr>
  </w:style>
  <w:style w:type="paragraph" w:customStyle="1" w:styleId="316">
    <w:name w:val="Code"/>
    <w:basedOn w:val="1"/>
    <w:qFormat/>
    <w:uiPriority w:val="0"/>
    <w:pPr>
      <w:shd w:val="clear" w:color="auto" w:fill="F1F1F1" w:themeFill="background1" w:themeFillShade="F2"/>
      <w:topLinePunct/>
      <w:autoSpaceDE w:val="0"/>
      <w:autoSpaceDN w:val="0"/>
      <w:adjustRightInd w:val="0"/>
      <w:snapToGrid w:val="0"/>
      <w:ind w:left="1701" w:firstLine="0"/>
      <w:jc w:val="left"/>
    </w:pPr>
    <w:rPr>
      <w:rFonts w:ascii="Courier New" w:hAnsi="Courier New" w:cs="Arial"/>
      <w:sz w:val="18"/>
      <w:szCs w:val="21"/>
    </w:rPr>
  </w:style>
  <w:style w:type="paragraph" w:customStyle="1" w:styleId="317">
    <w:name w:val="Copyright Declaration1"/>
    <w:qFormat/>
    <w:uiPriority w:val="0"/>
    <w:pPr>
      <w:spacing w:before="80" w:after="80"/>
    </w:pPr>
    <w:rPr>
      <w:rFonts w:ascii="Arial" w:hAnsi="Arial" w:eastAsia="黑体" w:cs="Times New Roman"/>
      <w:sz w:val="36"/>
      <w:lang w:val="en-US" w:eastAsia="zh-CN" w:bidi="ar-SA"/>
    </w:rPr>
  </w:style>
  <w:style w:type="paragraph" w:customStyle="1" w:styleId="318">
    <w:name w:val="Sub Item List Text TD"/>
    <w:basedOn w:val="196"/>
    <w:qFormat/>
    <w:uiPriority w:val="0"/>
    <w:pPr>
      <w:shd w:val="clear" w:color="auto" w:fill="F1F1F1" w:themeFill="background1" w:themeFillShade="F2"/>
      <w:adjustRightInd w:val="0"/>
      <w:snapToGrid w:val="0"/>
      <w:spacing w:before="0" w:after="0" w:line="240" w:lineRule="atLeast"/>
      <w:ind w:left="2410"/>
    </w:pPr>
    <w:rPr>
      <w:snapToGrid w:val="0"/>
      <w:spacing w:val="-1"/>
      <w:sz w:val="16"/>
      <w:szCs w:val="16"/>
    </w:rPr>
  </w:style>
  <w:style w:type="paragraph" w:customStyle="1" w:styleId="319">
    <w:name w:val="Appendix heading 1"/>
    <w:basedOn w:val="3"/>
    <w:next w:val="4"/>
    <w:qFormat/>
    <w:uiPriority w:val="0"/>
    <w:pPr>
      <w:pageBreakBefore w:val="0"/>
      <w:numPr>
        <w:numId w:val="14"/>
      </w:numPr>
      <w:pBdr>
        <w:bottom w:val="single" w:color="auto" w:sz="12" w:space="1"/>
      </w:pBdr>
      <w:adjustRightInd w:val="0"/>
      <w:snapToGrid w:val="0"/>
      <w:spacing w:before="1600" w:after="800" w:line="240" w:lineRule="atLeast"/>
      <w:jc w:val="right"/>
    </w:pPr>
    <w:rPr>
      <w:rFonts w:hint="eastAsia" w:ascii="Book Antiqua" w:hAnsi="Book Antiqua" w:eastAsia="黑体" w:cs="Book Antiqua"/>
      <w:bCs w:val="0"/>
      <w:kern w:val="2"/>
    </w:rPr>
  </w:style>
  <w:style w:type="paragraph" w:customStyle="1" w:styleId="320">
    <w:name w:val="Appendix heading 2"/>
    <w:basedOn w:val="4"/>
    <w:next w:val="321"/>
    <w:qFormat/>
    <w:uiPriority w:val="0"/>
    <w:pPr>
      <w:widowControl/>
      <w:numPr>
        <w:numId w:val="14"/>
      </w:numPr>
      <w:adjustRightInd w:val="0"/>
      <w:snapToGrid w:val="0"/>
      <w:spacing w:before="200" w:after="160" w:line="240" w:lineRule="atLeast"/>
      <w:jc w:val="left"/>
    </w:pPr>
    <w:rPr>
      <w:rFonts w:hint="eastAsia" w:ascii="Book Antiqua" w:hAnsi="Book Antiqua" w:eastAsia="黑体" w:cs="Times New Roman"/>
      <w:b w:val="0"/>
      <w:kern w:val="0"/>
      <w:sz w:val="36"/>
      <w:szCs w:val="36"/>
      <w:lang w:eastAsia="en-US"/>
    </w:rPr>
  </w:style>
  <w:style w:type="paragraph" w:customStyle="1" w:styleId="321">
    <w:name w:val="Appendix heading 3"/>
    <w:basedOn w:val="5"/>
    <w:next w:val="322"/>
    <w:uiPriority w:val="0"/>
    <w:pPr>
      <w:widowControl/>
      <w:numPr>
        <w:numId w:val="14"/>
      </w:numPr>
      <w:adjustRightInd w:val="0"/>
      <w:snapToGrid w:val="0"/>
      <w:spacing w:before="200" w:after="160" w:line="240" w:lineRule="atLeast"/>
      <w:jc w:val="left"/>
    </w:pPr>
    <w:rPr>
      <w:rFonts w:hint="eastAsia" w:ascii="Book Antiqua" w:hAnsi="Book Antiqua" w:eastAsia="黑体" w:cs="Times New Roman"/>
      <w:b w:val="0"/>
      <w:bCs w:val="0"/>
      <w:kern w:val="0"/>
      <w:sz w:val="32"/>
    </w:rPr>
  </w:style>
  <w:style w:type="paragraph" w:customStyle="1" w:styleId="322">
    <w:name w:val="Appendix heading 4"/>
    <w:basedOn w:val="6"/>
    <w:next w:val="323"/>
    <w:qFormat/>
    <w:uiPriority w:val="0"/>
    <w:pPr>
      <w:widowControl/>
      <w:numPr>
        <w:numId w:val="14"/>
      </w:numPr>
      <w:adjustRightInd w:val="0"/>
      <w:snapToGrid w:val="0"/>
      <w:spacing w:before="160" w:after="160" w:line="240" w:lineRule="atLeast"/>
      <w:jc w:val="left"/>
    </w:pPr>
    <w:rPr>
      <w:rFonts w:hint="eastAsia" w:ascii="Book Antiqua" w:hAnsi="Book Antiqua" w:eastAsia="黑体" w:cs="宋体"/>
      <w:b w:val="0"/>
      <w:kern w:val="0"/>
    </w:rPr>
  </w:style>
  <w:style w:type="paragraph" w:customStyle="1" w:styleId="323">
    <w:name w:val="Appendix heading 5"/>
    <w:basedOn w:val="7"/>
    <w:next w:val="290"/>
    <w:qFormat/>
    <w:uiPriority w:val="0"/>
    <w:pPr>
      <w:widowControl/>
      <w:numPr>
        <w:ilvl w:val="4"/>
        <w:numId w:val="14"/>
      </w:numPr>
      <w:adjustRightInd w:val="0"/>
      <w:snapToGrid w:val="0"/>
      <w:spacing w:before="160" w:after="160" w:line="240" w:lineRule="atLeast"/>
      <w:jc w:val="left"/>
    </w:pPr>
    <w:rPr>
      <w:rFonts w:hint="eastAsia" w:ascii="Book Antiqua" w:hAnsi="Book Antiqua" w:eastAsia="黑体" w:cs="Times New Roman"/>
      <w:b w:val="0"/>
      <w:kern w:val="0"/>
      <w:sz w:val="24"/>
      <w:szCs w:val="24"/>
    </w:rPr>
  </w:style>
  <w:style w:type="character" w:styleId="324">
    <w:name w:val="Placeholder Text"/>
    <w:basedOn w:val="128"/>
    <w:semiHidden/>
    <w:qFormat/>
    <w:uiPriority w:val="99"/>
    <w:rPr>
      <w:color w:val="808080"/>
    </w:rPr>
  </w:style>
  <w:style w:type="character" w:customStyle="1" w:styleId="325">
    <w:name w:val="Subtle Emphasis"/>
    <w:basedOn w:val="128"/>
    <w:qFormat/>
    <w:uiPriority w:val="19"/>
    <w:rPr>
      <w:rFonts w:eastAsiaTheme="minorEastAsia" w:cstheme="minorBidi"/>
      <w:i/>
      <w:iCs/>
      <w:color w:val="808080" w:themeColor="text1" w:themeTint="80"/>
      <w:szCs w:val="22"/>
      <w:lang w:eastAsia="zh-CN"/>
      <w14:textFill>
        <w14:solidFill>
          <w14:schemeClr w14:val="tx1">
            <w14:lumMod w14:val="50000"/>
            <w14:lumOff w14:val="50000"/>
          </w14:schemeClr>
        </w14:solidFill>
      </w14:textFill>
    </w:rPr>
  </w:style>
  <w:style w:type="paragraph" w:customStyle="1" w:styleId="326">
    <w:name w:val="Code in Table"/>
    <w:basedOn w:val="316"/>
    <w:qFormat/>
    <w:uiPriority w:val="0"/>
    <w:pPr>
      <w:spacing w:before="80" w:after="80" w:line="240" w:lineRule="atLeast"/>
      <w:ind w:left="0"/>
    </w:pPr>
    <w:rPr>
      <w:lang w:val="fr-FR"/>
    </w:rPr>
  </w:style>
  <w:style w:type="character" w:customStyle="1" w:styleId="327">
    <w:name w:val="uicontrol"/>
    <w:basedOn w:val="128"/>
    <w:uiPriority w:val="0"/>
  </w:style>
  <w:style w:type="paragraph" w:customStyle="1" w:styleId="328">
    <w:name w:val="1"/>
    <w:qFormat/>
    <w:uiPriority w:val="64"/>
    <w:rPr>
      <w:rFonts w:ascii="Calibri" w:hAnsi="Calibri" w:eastAsia="宋体" w:cs="Times New Roman"/>
      <w:sz w:val="22"/>
      <w:szCs w:val="22"/>
      <w:lang w:val="en-US" w:eastAsia="zh-CN" w:bidi="ar-SA"/>
    </w:rPr>
  </w:style>
  <w:style w:type="character" w:customStyle="1" w:styleId="329">
    <w:name w:val="Block Label Char"/>
    <w:basedOn w:val="128"/>
    <w:link w:val="290"/>
    <w:qFormat/>
    <w:uiPriority w:val="0"/>
    <w:rPr>
      <w:rFonts w:ascii="Book Antiqua" w:hAnsi="Book Antiqua" w:eastAsia="黑体" w:cs="Book Antiqua"/>
      <w:bCs/>
      <w:sz w:val="26"/>
      <w:szCs w:val="26"/>
    </w:rPr>
  </w:style>
  <w:style w:type="character" w:customStyle="1" w:styleId="330">
    <w:name w:val="Sub Item List Text Char"/>
    <w:link w:val="294"/>
    <w:qFormat/>
    <w:uiPriority w:val="0"/>
    <w:rPr>
      <w:rFonts w:ascii="Times New Roman" w:hAnsi="Times New Roman" w:eastAsia="宋体" w:cs="Times New Roman"/>
      <w:kern w:val="2"/>
      <w:sz w:val="21"/>
      <w:szCs w:val="21"/>
    </w:rPr>
  </w:style>
  <w:style w:type="character" w:customStyle="1" w:styleId="331">
    <w:name w:val="Item List Char"/>
    <w:qFormat/>
    <w:uiPriority w:val="0"/>
    <w:rPr>
      <w:rFonts w:cs="Arial"/>
      <w:kern w:val="2"/>
      <w:sz w:val="21"/>
      <w:szCs w:val="21"/>
    </w:rPr>
  </w:style>
  <w:style w:type="character" w:customStyle="1" w:styleId="332">
    <w:name w:val="Sub Item List Char"/>
    <w:link w:val="293"/>
    <w:qFormat/>
    <w:uiPriority w:val="0"/>
    <w:rPr>
      <w:rFonts w:ascii="Times New Roman" w:hAnsi="Times New Roman" w:eastAsia="宋体" w:cs="Arial"/>
      <w:kern w:val="2"/>
      <w:sz w:val="21"/>
      <w:szCs w:val="21"/>
    </w:rPr>
  </w:style>
  <w:style w:type="character" w:customStyle="1" w:styleId="333">
    <w:name w:val="parmname"/>
    <w:basedOn w:val="128"/>
    <w:qFormat/>
    <w:uiPriority w:val="0"/>
  </w:style>
  <w:style w:type="character" w:customStyle="1" w:styleId="334">
    <w:name w:val="parmvalue"/>
    <w:basedOn w:val="128"/>
    <w:qFormat/>
    <w:uiPriority w:val="0"/>
  </w:style>
  <w:style w:type="character" w:customStyle="1" w:styleId="335">
    <w:name w:val="A7"/>
    <w:qFormat/>
    <w:uiPriority w:val="99"/>
    <w:rPr>
      <w:rFonts w:cs="华文楷体"/>
      <w:color w:val="000000"/>
      <w:sz w:val="20"/>
      <w:szCs w:val="20"/>
    </w:rPr>
  </w:style>
  <w:style w:type="paragraph" w:customStyle="1" w:styleId="336">
    <w:name w:val="Pa4"/>
    <w:basedOn w:val="1"/>
    <w:next w:val="1"/>
    <w:qFormat/>
    <w:uiPriority w:val="99"/>
    <w:pPr>
      <w:autoSpaceDE w:val="0"/>
      <w:autoSpaceDN w:val="0"/>
      <w:adjustRightInd w:val="0"/>
      <w:spacing w:line="181" w:lineRule="atLeast"/>
      <w:ind w:firstLine="0"/>
      <w:jc w:val="left"/>
    </w:pPr>
    <w:rPr>
      <w:rFonts w:ascii="黑体" w:eastAsia="黑体" w:cs="Times New Roman"/>
      <w:kern w:val="0"/>
      <w:sz w:val="24"/>
      <w:szCs w:val="24"/>
    </w:rPr>
  </w:style>
  <w:style w:type="paragraph" w:customStyle="1" w:styleId="337">
    <w:name w:val="Pa10"/>
    <w:basedOn w:val="1"/>
    <w:next w:val="1"/>
    <w:qFormat/>
    <w:uiPriority w:val="99"/>
    <w:pPr>
      <w:autoSpaceDE w:val="0"/>
      <w:autoSpaceDN w:val="0"/>
      <w:adjustRightInd w:val="0"/>
      <w:spacing w:line="201" w:lineRule="atLeast"/>
      <w:ind w:firstLine="0"/>
      <w:jc w:val="left"/>
    </w:pPr>
    <w:rPr>
      <w:rFonts w:ascii="黑体" w:eastAsia="黑体" w:cs="Times New Roman"/>
      <w:kern w:val="0"/>
      <w:sz w:val="24"/>
      <w:szCs w:val="24"/>
    </w:rPr>
  </w:style>
  <w:style w:type="character" w:customStyle="1" w:styleId="338">
    <w:name w:val="A10"/>
    <w:qFormat/>
    <w:uiPriority w:val="99"/>
    <w:rPr>
      <w:rFonts w:ascii="Arial" w:hAnsi="Arial" w:cs="Arial"/>
      <w:color w:val="000000"/>
      <w:sz w:val="18"/>
      <w:szCs w:val="18"/>
      <w:u w:val="single"/>
    </w:rPr>
  </w:style>
  <w:style w:type="paragraph" w:customStyle="1" w:styleId="339">
    <w:name w:val="Pa12"/>
    <w:basedOn w:val="1"/>
    <w:next w:val="1"/>
    <w:qFormat/>
    <w:uiPriority w:val="99"/>
    <w:pPr>
      <w:autoSpaceDE w:val="0"/>
      <w:autoSpaceDN w:val="0"/>
      <w:adjustRightInd w:val="0"/>
      <w:spacing w:line="181" w:lineRule="atLeast"/>
      <w:ind w:firstLine="0"/>
      <w:jc w:val="left"/>
    </w:pPr>
    <w:rPr>
      <w:rFonts w:ascii="黑体" w:eastAsia="黑体" w:cs="Times New Roman"/>
      <w:kern w:val="0"/>
      <w:sz w:val="24"/>
      <w:szCs w:val="24"/>
    </w:rPr>
  </w:style>
  <w:style w:type="character" w:customStyle="1" w:styleId="340">
    <w:name w:val="A4"/>
    <w:qFormat/>
    <w:uiPriority w:val="99"/>
    <w:rPr>
      <w:rFonts w:cs="黑体"/>
      <w:color w:val="000000"/>
      <w:sz w:val="18"/>
      <w:szCs w:val="18"/>
    </w:rPr>
  </w:style>
  <w:style w:type="paragraph" w:customStyle="1" w:styleId="341">
    <w:name w:val="Pa16"/>
    <w:basedOn w:val="1"/>
    <w:next w:val="1"/>
    <w:qFormat/>
    <w:uiPriority w:val="99"/>
    <w:pPr>
      <w:autoSpaceDE w:val="0"/>
      <w:autoSpaceDN w:val="0"/>
      <w:adjustRightInd w:val="0"/>
      <w:spacing w:line="181" w:lineRule="atLeast"/>
      <w:ind w:firstLine="0"/>
      <w:jc w:val="left"/>
    </w:pPr>
    <w:rPr>
      <w:rFonts w:ascii="黑体" w:eastAsia="黑体" w:cs="Times New Roman"/>
      <w:kern w:val="0"/>
      <w:sz w:val="24"/>
      <w:szCs w:val="24"/>
    </w:rPr>
  </w:style>
  <w:style w:type="paragraph" w:customStyle="1" w:styleId="342">
    <w:name w:val="Table Heading +9磅"/>
    <w:basedOn w:val="184"/>
    <w:qFormat/>
    <w:uiPriority w:val="0"/>
    <w:pPr>
      <w:autoSpaceDE w:val="0"/>
      <w:autoSpaceDN w:val="0"/>
      <w:jc w:val="left"/>
      <w:textAlignment w:val="bottom"/>
    </w:pPr>
    <w:rPr>
      <w:rFonts w:cs="Arial"/>
      <w:b/>
      <w:bCs w:val="0"/>
      <w:szCs w:val="18"/>
    </w:rPr>
  </w:style>
  <w:style w:type="character" w:customStyle="1" w:styleId="343">
    <w:name w:val="15"/>
    <w:basedOn w:val="128"/>
    <w:uiPriority w:val="0"/>
    <w:rPr>
      <w:rFonts w:hint="default" w:ascii="Times New Roman" w:hAnsi="Times New Roman" w:cs="Times New Roman"/>
      <w:color w:val="0000FF"/>
    </w:rPr>
  </w:style>
  <w:style w:type="table" w:customStyle="1" w:styleId="344">
    <w:name w:val="Table11"/>
    <w:basedOn w:val="127"/>
    <w:qFormat/>
    <w:uiPriority w:val="99"/>
    <w:pPr>
      <w:spacing w:line="240" w:lineRule="auto"/>
      <w:ind w:firstLine="0"/>
      <w:jc w:val="left"/>
    </w:pPr>
    <w:rPr>
      <w:rFonts w:ascii="Times New Roman" w:hAnsi="Times New Roman" w:eastAsia="宋体" w:cs="Arial"/>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rPr>
      <w:cantSplit/>
    </w:trPr>
    <w:tcPr>
      <w:shd w:val="clear" w:color="auto" w:fill="auto"/>
    </w:tcPr>
    <w:tblStylePr w:type="firstRow">
      <w:rPr>
        <w:b w:val="0"/>
        <w:bCs w:val="0"/>
        <w:i w:val="0"/>
        <w:iCs w:val="0"/>
        <w:color w:val="auto"/>
        <w:sz w:val="20"/>
        <w:szCs w:val="20"/>
      </w:rPr>
      <w:tcPr>
        <w:tcBorders>
          <w:top w:val="single" w:color="auto" w:sz="6" w:space="0"/>
          <w:left w:val="single" w:color="auto" w:sz="6" w:space="0"/>
          <w:bottom w:val="single" w:color="auto" w:sz="6" w:space="0"/>
          <w:right w:val="single" w:color="auto" w:sz="6" w:space="0"/>
          <w:insideH w:val="single" w:sz="6" w:space="0"/>
          <w:insideV w:val="single" w:sz="6" w:space="0"/>
          <w:tl2br w:val="nil"/>
          <w:tr2bl w:val="nil"/>
        </w:tcBorders>
        <w:shd w:val="clear" w:color="auto" w:fill="D9D9D9"/>
      </w:tcPr>
    </w:tblStylePr>
  </w:style>
  <w:style w:type="paragraph" w:customStyle="1" w:styleId="345">
    <w:name w:val="text"/>
    <w:basedOn w:val="1"/>
    <w:link w:val="346"/>
    <w:qFormat/>
    <w:uiPriority w:val="0"/>
    <w:pPr>
      <w:ind w:firstLine="200" w:firstLineChars="200"/>
    </w:pPr>
    <w:rPr>
      <w:rFonts w:cs="Times New Roman"/>
      <w:sz w:val="24"/>
      <w:szCs w:val="24"/>
    </w:rPr>
  </w:style>
  <w:style w:type="character" w:customStyle="1" w:styleId="346">
    <w:name w:val="text Char"/>
    <w:basedOn w:val="128"/>
    <w:link w:val="345"/>
    <w:uiPriority w:val="0"/>
    <w:rPr>
      <w:rFonts w:ascii="Times New Roman" w:hAnsi="Times New Roman" w:eastAsia="宋体" w:cs="Times New Roman"/>
      <w:kern w:val="2"/>
      <w:sz w:val="24"/>
      <w:szCs w:val="24"/>
    </w:rPr>
  </w:style>
  <w:style w:type="paragraph" w:customStyle="1" w:styleId="347">
    <w:name w:val="列出段落2"/>
    <w:basedOn w:val="1"/>
    <w:unhideWhenUsed/>
    <w:uiPriority w:val="99"/>
    <w:pPr>
      <w:spacing w:line="240" w:lineRule="auto"/>
      <w:ind w:firstLine="200" w:firstLineChars="200"/>
    </w:pPr>
    <w:rPr>
      <w:rFonts w:asciiTheme="minorHAnsi" w:hAnsiTheme="minorHAnsi" w:eastAsiaTheme="minorEastAsia"/>
      <w:szCs w:val="21"/>
    </w:rPr>
  </w:style>
  <w:style w:type="character" w:customStyle="1" w:styleId="348">
    <w:name w:val="目录格式"/>
    <w:semiHidden/>
    <w:locked/>
    <w:uiPriority w:val="0"/>
    <w:rPr>
      <w:rFonts w:ascii="Arial" w:hAnsi="Arial" w:eastAsia="黑体"/>
      <w:b/>
      <w:bCs/>
      <w:sz w:val="44"/>
      <w:szCs w:val="44"/>
    </w:rPr>
  </w:style>
  <w:style w:type="paragraph" w:customStyle="1" w:styleId="349">
    <w:name w:val="附录2"/>
    <w:basedOn w:val="1"/>
    <w:next w:val="1"/>
    <w:semiHidden/>
    <w:locked/>
    <w:uiPriority w:val="0"/>
    <w:pPr>
      <w:spacing w:line="240" w:lineRule="auto"/>
      <w:ind w:firstLine="0"/>
      <w:outlineLvl w:val="1"/>
    </w:pPr>
    <w:rPr>
      <w:rFonts w:ascii="黑体" w:hAnsi="黑体" w:eastAsia="黑体" w:cs="Times New Roman"/>
      <w:b/>
      <w:bCs/>
      <w:sz w:val="32"/>
      <w:szCs w:val="24"/>
    </w:rPr>
  </w:style>
  <w:style w:type="paragraph" w:customStyle="1" w:styleId="350">
    <w:name w:val="附录3"/>
    <w:basedOn w:val="1"/>
    <w:next w:val="1"/>
    <w:semiHidden/>
    <w:locked/>
    <w:uiPriority w:val="0"/>
    <w:pPr>
      <w:spacing w:line="240" w:lineRule="auto"/>
      <w:ind w:firstLine="0"/>
      <w:outlineLvl w:val="2"/>
    </w:pPr>
    <w:rPr>
      <w:rFonts w:eastAsia="黑体" w:cs="Times New Roman"/>
      <w:b/>
      <w:bCs/>
      <w:sz w:val="32"/>
      <w:szCs w:val="24"/>
    </w:rPr>
  </w:style>
  <w:style w:type="paragraph" w:customStyle="1" w:styleId="351">
    <w:name w:val="附录4"/>
    <w:basedOn w:val="1"/>
    <w:next w:val="1"/>
    <w:semiHidden/>
    <w:locked/>
    <w:uiPriority w:val="0"/>
    <w:pPr>
      <w:widowControl/>
      <w:spacing w:line="240" w:lineRule="atLeast"/>
      <w:ind w:firstLine="0"/>
      <w:outlineLvl w:val="3"/>
    </w:pPr>
    <w:rPr>
      <w:rFonts w:ascii="Arial" w:hAnsi="Arial" w:eastAsia="黑体" w:cs="Times New Roman"/>
      <w:kern w:val="0"/>
      <w:sz w:val="28"/>
      <w:szCs w:val="21"/>
    </w:rPr>
  </w:style>
  <w:style w:type="paragraph" w:customStyle="1" w:styleId="352">
    <w:name w:val="附录1"/>
    <w:basedOn w:val="1"/>
    <w:next w:val="1"/>
    <w:semiHidden/>
    <w:locked/>
    <w:uiPriority w:val="0"/>
    <w:pPr>
      <w:spacing w:line="240" w:lineRule="auto"/>
      <w:ind w:firstLine="0"/>
      <w:outlineLvl w:val="0"/>
    </w:pPr>
    <w:rPr>
      <w:rFonts w:ascii="黑体" w:hAnsi="黑体" w:eastAsia="黑体" w:cs="Times New Roman"/>
      <w:b/>
      <w:bCs/>
      <w:sz w:val="44"/>
      <w:szCs w:val="24"/>
    </w:rPr>
  </w:style>
  <w:style w:type="paragraph" w:customStyle="1" w:styleId="353">
    <w:name w:val="图表题注"/>
    <w:basedOn w:val="22"/>
    <w:semiHidden/>
    <w:locked/>
    <w:uiPriority w:val="0"/>
    <w:pPr>
      <w:spacing w:before="0" w:after="0" w:line="240" w:lineRule="atLeast"/>
      <w:ind w:left="0"/>
      <w:jc w:val="center"/>
    </w:pPr>
    <w:rPr>
      <w:rFonts w:eastAsia="宋体"/>
      <w:kern w:val="0"/>
      <w:sz w:val="18"/>
      <w:szCs w:val="21"/>
    </w:rPr>
  </w:style>
  <w:style w:type="character" w:customStyle="1" w:styleId="354">
    <w:name w:val="Notes Text List Char"/>
    <w:basedOn w:val="128"/>
    <w:qFormat/>
    <w:uiPriority w:val="2"/>
    <w:rPr>
      <w:rFonts w:eastAsia="楷体_GB2312" w:cs="Arial"/>
      <w:kern w:val="2"/>
      <w:sz w:val="21"/>
      <w:szCs w:val="18"/>
      <w:lang w:eastAsia="en-US"/>
    </w:rPr>
  </w:style>
  <w:style w:type="paragraph" w:customStyle="1" w:styleId="355">
    <w:name w:val="Sub Item List in Table"/>
    <w:basedOn w:val="1"/>
    <w:uiPriority w:val="0"/>
    <w:pPr>
      <w:widowControl/>
      <w:tabs>
        <w:tab w:val="left" w:pos="568"/>
      </w:tabs>
      <w:topLinePunct/>
      <w:adjustRightInd w:val="0"/>
      <w:snapToGrid w:val="0"/>
      <w:spacing w:before="80" w:after="80" w:line="240" w:lineRule="atLeast"/>
      <w:ind w:left="568" w:hanging="284"/>
      <w:jc w:val="left"/>
    </w:pPr>
    <w:rPr>
      <w:rFonts w:hint="eastAsia" w:cs="Arial"/>
      <w:szCs w:val="21"/>
    </w:rPr>
  </w:style>
  <w:style w:type="paragraph" w:customStyle="1" w:styleId="356">
    <w:name w:val="Sub Item Step in Table"/>
    <w:uiPriority w:val="0"/>
    <w:pPr>
      <w:tabs>
        <w:tab w:val="left" w:pos="284"/>
      </w:tabs>
      <w:adjustRightInd w:val="0"/>
      <w:snapToGrid w:val="0"/>
      <w:spacing w:before="80" w:after="80" w:line="240" w:lineRule="atLeast"/>
      <w:ind w:left="568" w:hanging="284"/>
    </w:pPr>
    <w:rPr>
      <w:rFonts w:hint="eastAsia" w:ascii="Times New Roman" w:hAnsi="Times New Roman" w:eastAsia="宋体" w:cs="Arial"/>
      <w:sz w:val="21"/>
      <w:szCs w:val="21"/>
      <w:lang w:val="en-US" w:eastAsia="zh-CN" w:bidi="ar-SA"/>
    </w:rPr>
  </w:style>
  <w:style w:type="paragraph" w:customStyle="1" w:styleId="357">
    <w:name w:val="Sub Item Step in Table List"/>
    <w:uiPriority w:val="0"/>
    <w:pPr>
      <w:tabs>
        <w:tab w:val="left" w:pos="284"/>
      </w:tabs>
      <w:adjustRightInd w:val="0"/>
      <w:snapToGrid w:val="0"/>
      <w:spacing w:before="80" w:after="80" w:line="240" w:lineRule="atLeast"/>
      <w:ind w:left="568" w:hanging="284"/>
    </w:pPr>
    <w:rPr>
      <w:rFonts w:hint="eastAsia" w:ascii="Times New Roman" w:hAnsi="Times New Roman" w:eastAsia="宋体" w:cs="Arial"/>
      <w:sz w:val="21"/>
      <w:szCs w:val="21"/>
      <w:lang w:val="en-US" w:eastAsia="zh-CN" w:bidi="ar-SA"/>
    </w:rPr>
  </w:style>
  <w:style w:type="paragraph" w:customStyle="1" w:styleId="358">
    <w:name w:val="Sub Item List in Table Step"/>
    <w:basedOn w:val="1"/>
    <w:uiPriority w:val="0"/>
    <w:pPr>
      <w:widowControl/>
      <w:tabs>
        <w:tab w:val="left" w:pos="568"/>
      </w:tabs>
      <w:topLinePunct/>
      <w:adjustRightInd w:val="0"/>
      <w:snapToGrid w:val="0"/>
      <w:spacing w:before="80" w:after="80" w:line="240" w:lineRule="atLeast"/>
      <w:ind w:left="568" w:hanging="284"/>
      <w:jc w:val="left"/>
    </w:pPr>
    <w:rPr>
      <w:rFonts w:hint="eastAsia" w:cs="Arial"/>
      <w:szCs w:val="21"/>
    </w:rPr>
  </w:style>
  <w:style w:type="paragraph" w:customStyle="1" w:styleId="359">
    <w:name w:val="Sub Item Step"/>
    <w:uiPriority w:val="0"/>
    <w:pPr>
      <w:tabs>
        <w:tab w:val="left" w:pos="2551"/>
      </w:tabs>
      <w:adjustRightInd w:val="0"/>
      <w:snapToGrid w:val="0"/>
      <w:spacing w:before="80" w:after="80" w:line="240" w:lineRule="atLeast"/>
      <w:ind w:left="2551" w:hanging="425"/>
    </w:pPr>
    <w:rPr>
      <w:rFonts w:hint="eastAsia" w:ascii="Times New Roman" w:hAnsi="Times New Roman" w:eastAsia="宋体" w:cs="Arial"/>
      <w:sz w:val="21"/>
      <w:szCs w:val="21"/>
      <w:lang w:val="en-US" w:eastAsia="zh-CN" w:bidi="ar-SA"/>
    </w:rPr>
  </w:style>
  <w:style w:type="paragraph" w:customStyle="1" w:styleId="360">
    <w:name w:val="Third Level Item Step"/>
    <w:uiPriority w:val="0"/>
    <w:pPr>
      <w:tabs>
        <w:tab w:val="left" w:pos="2976"/>
      </w:tabs>
      <w:adjustRightInd w:val="0"/>
      <w:snapToGrid w:val="0"/>
      <w:spacing w:before="80" w:after="80" w:line="240" w:lineRule="atLeast"/>
      <w:ind w:left="2976" w:hanging="425"/>
    </w:pPr>
    <w:rPr>
      <w:rFonts w:hint="eastAsia" w:ascii="Times New Roman" w:hAnsi="Times New Roman" w:eastAsia="宋体" w:cs="Arial"/>
      <w:sz w:val="21"/>
      <w:szCs w:val="21"/>
      <w:lang w:val="en-US" w:eastAsia="zh-CN" w:bidi="ar-SA"/>
    </w:rPr>
  </w:style>
  <w:style w:type="paragraph" w:customStyle="1" w:styleId="361">
    <w:name w:val="Notes Text Step in Table"/>
    <w:uiPriority w:val="0"/>
    <w:pPr>
      <w:tabs>
        <w:tab w:val="left" w:pos="454"/>
      </w:tabs>
      <w:spacing w:before="40" w:after="80" w:line="200" w:lineRule="atLeast"/>
      <w:ind w:left="454" w:hanging="284"/>
    </w:pPr>
    <w:rPr>
      <w:rFonts w:ascii="Times New Roman" w:hAnsi="Times New Roman" w:eastAsia="楷体_GB2312" w:cs="楷体_GB2312"/>
      <w:sz w:val="18"/>
      <w:szCs w:val="18"/>
      <w:lang w:val="en-US" w:eastAsia="zh-CN" w:bidi="ar-SA"/>
    </w:rPr>
  </w:style>
  <w:style w:type="paragraph" w:customStyle="1" w:styleId="362">
    <w:name w:val="Notes Text Step"/>
    <w:basedOn w:val="1"/>
    <w:uiPriority w:val="0"/>
    <w:pPr>
      <w:keepNext/>
      <w:keepLines/>
      <w:widowControl/>
      <w:tabs>
        <w:tab w:val="left" w:pos="2359"/>
      </w:tabs>
      <w:topLinePunct/>
      <w:adjustRightInd w:val="0"/>
      <w:snapToGrid w:val="0"/>
      <w:spacing w:before="40" w:after="80" w:line="200" w:lineRule="atLeast"/>
      <w:ind w:left="2359" w:hanging="284"/>
      <w:jc w:val="left"/>
    </w:pPr>
    <w:rPr>
      <w:rFonts w:hint="eastAsia" w:eastAsia="楷体_GB2312" w:cs="Arial"/>
      <w:iCs/>
      <w:sz w:val="18"/>
      <w:szCs w:val="18"/>
    </w:rPr>
  </w:style>
  <w:style w:type="paragraph" w:customStyle="1" w:styleId="363">
    <w:name w:val="Body"/>
    <w:basedOn w:val="1"/>
    <w:link w:val="368"/>
    <w:autoRedefine/>
    <w:uiPriority w:val="0"/>
    <w:pPr>
      <w:widowControl/>
      <w:tabs>
        <w:tab w:val="left" w:pos="1247"/>
      </w:tabs>
      <w:spacing w:before="120" w:line="288" w:lineRule="auto"/>
      <w:ind w:left="1247" w:firstLine="0"/>
    </w:pPr>
    <w:rPr>
      <w:rFonts w:ascii="Arial" w:hAnsi="Arial" w:cs="Times New Roman"/>
      <w:kern w:val="0"/>
      <w:szCs w:val="21"/>
      <w:lang w:eastAsia="en-US"/>
    </w:rPr>
  </w:style>
  <w:style w:type="paragraph" w:customStyle="1" w:styleId="364">
    <w:name w:val="Bullet"/>
    <w:basedOn w:val="1"/>
    <w:uiPriority w:val="0"/>
    <w:pPr>
      <w:widowControl/>
      <w:numPr>
        <w:ilvl w:val="0"/>
        <w:numId w:val="15"/>
      </w:numPr>
      <w:adjustRightInd w:val="0"/>
      <w:spacing w:before="120" w:line="288" w:lineRule="auto"/>
    </w:pPr>
    <w:rPr>
      <w:rFonts w:ascii="Arial" w:hAnsi="Arial" w:cs="Times New Roman"/>
      <w:kern w:val="0"/>
      <w:lang w:eastAsia="en-US"/>
    </w:rPr>
  </w:style>
  <w:style w:type="paragraph" w:customStyle="1" w:styleId="365">
    <w:name w:val="图位"/>
    <w:basedOn w:val="363"/>
    <w:uiPriority w:val="0"/>
    <w:pPr>
      <w:jc w:val="left"/>
    </w:pPr>
    <w:rPr>
      <w:lang w:val="pt-BR"/>
    </w:rPr>
  </w:style>
  <w:style w:type="paragraph" w:customStyle="1" w:styleId="366">
    <w:name w:val="样式 Body1! + 首行缩进:  2 字符"/>
    <w:basedOn w:val="1"/>
    <w:uiPriority w:val="0"/>
    <w:pPr>
      <w:widowControl/>
      <w:tabs>
        <w:tab w:val="left" w:pos="1247"/>
      </w:tabs>
      <w:spacing w:before="120" w:line="288" w:lineRule="auto"/>
      <w:ind w:left="1247" w:firstLine="200" w:firstLineChars="200"/>
    </w:pPr>
    <w:rPr>
      <w:rFonts w:ascii="Arial" w:hAnsi="Arial" w:cs="宋体"/>
      <w:kern w:val="0"/>
      <w:szCs w:val="20"/>
      <w:lang w:eastAsia="en-US"/>
    </w:rPr>
  </w:style>
  <w:style w:type="paragraph" w:customStyle="1" w:styleId="367">
    <w:name w:val="Body1"/>
    <w:basedOn w:val="363"/>
    <w:uiPriority w:val="0"/>
    <w:pPr>
      <w:tabs>
        <w:tab w:val="clear" w:pos="1247"/>
      </w:tabs>
      <w:ind w:left="1712"/>
    </w:pPr>
    <w:rPr>
      <w:szCs w:val="22"/>
      <w:lang w:eastAsia="zh-CN"/>
    </w:rPr>
  </w:style>
  <w:style w:type="character" w:customStyle="1" w:styleId="368">
    <w:name w:val="Body Char"/>
    <w:basedOn w:val="128"/>
    <w:link w:val="363"/>
    <w:uiPriority w:val="0"/>
    <w:rPr>
      <w:rFonts w:ascii="Arial" w:hAnsi="Arial" w:eastAsia="宋体" w:cs="Times New Roman"/>
      <w:sz w:val="21"/>
      <w:szCs w:val="21"/>
      <w:lang w:eastAsia="en-US"/>
    </w:rPr>
  </w:style>
  <w:style w:type="paragraph" w:customStyle="1" w:styleId="369">
    <w:name w:val="注意标题"/>
    <w:basedOn w:val="363"/>
    <w:next w:val="370"/>
    <w:uiPriority w:val="0"/>
    <w:pPr>
      <w:pBdr>
        <w:top w:val="single" w:color="auto" w:sz="4" w:space="1"/>
      </w:pBdr>
    </w:pPr>
    <w:rPr>
      <w:rFonts w:ascii="Times New Roman" w:hAnsi="Times New Roman" w:eastAsia="黑体"/>
    </w:rPr>
  </w:style>
  <w:style w:type="paragraph" w:customStyle="1" w:styleId="370">
    <w:name w:val="注意正文"/>
    <w:basedOn w:val="363"/>
    <w:uiPriority w:val="0"/>
    <w:pPr>
      <w:pBdr>
        <w:bottom w:val="single" w:color="auto" w:sz="4" w:space="1"/>
      </w:pBdr>
    </w:pPr>
    <w:rPr>
      <w:rFonts w:ascii="Times New Roman" w:hAnsi="Times New Roman" w:eastAsia="楷体_GB2312"/>
    </w:rPr>
  </w:style>
  <w:style w:type="character" w:customStyle="1" w:styleId="371">
    <w:name w:val="表格内文字 Char"/>
    <w:link w:val="372"/>
    <w:qFormat/>
    <w:locked/>
    <w:uiPriority w:val="0"/>
    <w:rPr>
      <w:rFonts w:ascii="Arial" w:hAnsi="Arial"/>
      <w:kern w:val="2"/>
      <w:sz w:val="18"/>
      <w:szCs w:val="18"/>
    </w:rPr>
  </w:style>
  <w:style w:type="paragraph" w:customStyle="1" w:styleId="372">
    <w:name w:val="表格内文字"/>
    <w:basedOn w:val="1"/>
    <w:link w:val="371"/>
    <w:uiPriority w:val="0"/>
    <w:pPr>
      <w:keepLines/>
      <w:spacing w:line="240" w:lineRule="auto"/>
      <w:ind w:firstLine="0"/>
    </w:pPr>
    <w:rPr>
      <w:rFonts w:ascii="Arial" w:hAnsi="Arial" w:eastAsiaTheme="minorEastAsia"/>
      <w:sz w:val="18"/>
      <w:szCs w:val="18"/>
    </w:rPr>
  </w:style>
  <w:style w:type="paragraph" w:customStyle="1" w:styleId="373">
    <w:name w:val="图片"/>
    <w:next w:val="1"/>
    <w:uiPriority w:val="0"/>
    <w:pPr>
      <w:snapToGrid w:val="0"/>
      <w:spacing w:after="60"/>
      <w:contextualSpacing/>
      <w:jc w:val="center"/>
    </w:pPr>
    <w:rPr>
      <w:rFonts w:eastAsia="方正兰亭黑简体" w:asciiTheme="minorHAnsi" w:hAnsiTheme="minorHAnsi" w:cstheme="minorBidi"/>
      <w:kern w:val="2"/>
      <w:sz w:val="21"/>
      <w:szCs w:val="24"/>
      <w:lang w:val="en-US" w:eastAsia="zh-CN" w:bidi="ar-SA"/>
    </w:rPr>
  </w:style>
  <w:style w:type="paragraph" w:customStyle="1" w:styleId="374">
    <w:name w:val="正文（首行缩进）"/>
    <w:basedOn w:val="1"/>
    <w:link w:val="375"/>
    <w:qFormat/>
    <w:uiPriority w:val="0"/>
    <w:pPr>
      <w:spacing w:before="50" w:beforeLines="50" w:after="50" w:afterLines="50" w:line="300" w:lineRule="auto"/>
      <w:ind w:firstLine="200" w:firstLineChars="200"/>
    </w:pPr>
    <w:rPr>
      <w:rFonts w:ascii="Arial" w:hAnsi="Arial" w:cs="Times New Roman"/>
      <w:kern w:val="0"/>
      <w:szCs w:val="21"/>
    </w:rPr>
  </w:style>
  <w:style w:type="character" w:customStyle="1" w:styleId="375">
    <w:name w:val="正文（首行缩进） Char"/>
    <w:link w:val="374"/>
    <w:uiPriority w:val="0"/>
    <w:rPr>
      <w:rFonts w:ascii="Arial" w:hAnsi="Arial" w:eastAsia="宋体" w:cs="Times New Roman"/>
      <w:sz w:val="21"/>
      <w:szCs w:val="21"/>
    </w:rPr>
  </w:style>
  <w:style w:type="paragraph" w:customStyle="1" w:styleId="376">
    <w:name w:val="关键词"/>
    <w:basedOn w:val="377"/>
    <w:uiPriority w:val="0"/>
    <w:pPr>
      <w:tabs>
        <w:tab w:val="left" w:pos="907"/>
      </w:tabs>
      <w:ind w:left="0" w:firstLine="0"/>
    </w:pPr>
  </w:style>
  <w:style w:type="paragraph" w:customStyle="1" w:styleId="377">
    <w:name w:val="摘要"/>
    <w:basedOn w:val="1"/>
    <w:link w:val="378"/>
    <w:uiPriority w:val="0"/>
    <w:pPr>
      <w:keepNext/>
      <w:widowControl/>
      <w:tabs>
        <w:tab w:val="left" w:pos="907"/>
      </w:tabs>
      <w:autoSpaceDE w:val="0"/>
      <w:autoSpaceDN w:val="0"/>
      <w:adjustRightInd w:val="0"/>
      <w:ind w:left="879" w:hanging="879"/>
    </w:pPr>
    <w:rPr>
      <w:rFonts w:ascii="Arial" w:hAnsi="Arial" w:cs="Times New Roman"/>
      <w:b/>
      <w:kern w:val="0"/>
      <w:szCs w:val="21"/>
    </w:rPr>
  </w:style>
  <w:style w:type="character" w:customStyle="1" w:styleId="378">
    <w:name w:val="摘要 Char"/>
    <w:link w:val="377"/>
    <w:locked/>
    <w:uiPriority w:val="0"/>
    <w:rPr>
      <w:rFonts w:ascii="Arial" w:hAnsi="Arial" w:eastAsia="宋体" w:cs="Times New Roman"/>
      <w:b/>
      <w:sz w:val="21"/>
      <w:szCs w:val="21"/>
    </w:rPr>
  </w:style>
  <w:style w:type="paragraph" w:customStyle="1" w:styleId="379">
    <w:name w:val="缺省文本"/>
    <w:basedOn w:val="1"/>
    <w:uiPriority w:val="0"/>
    <w:pPr>
      <w:keepNext/>
      <w:autoSpaceDE w:val="0"/>
      <w:autoSpaceDN w:val="0"/>
      <w:adjustRightInd w:val="0"/>
      <w:ind w:firstLine="0"/>
      <w:jc w:val="left"/>
    </w:pPr>
    <w:rPr>
      <w:rFonts w:ascii="Arial" w:hAnsi="Arial" w:cs="Times New Roman"/>
      <w:kern w:val="0"/>
      <w:szCs w:val="21"/>
    </w:rPr>
  </w:style>
  <w:style w:type="paragraph" w:customStyle="1" w:styleId="380">
    <w:name w:val="表号"/>
    <w:basedOn w:val="1"/>
    <w:next w:val="81"/>
    <w:uiPriority w:val="0"/>
    <w:pPr>
      <w:keepLines/>
      <w:tabs>
        <w:tab w:val="left" w:pos="420"/>
      </w:tabs>
      <w:ind w:left="420" w:hanging="420"/>
      <w:jc w:val="center"/>
    </w:pPr>
    <w:rPr>
      <w:rFonts w:ascii="Arial" w:hAnsi="Arial" w:eastAsia="黑体" w:cs="Times New Roman"/>
      <w:sz w:val="18"/>
      <w:szCs w:val="18"/>
    </w:rPr>
  </w:style>
  <w:style w:type="paragraph" w:customStyle="1" w:styleId="381">
    <w:name w:val="封面_单位名称"/>
    <w:basedOn w:val="1"/>
    <w:autoRedefine/>
    <w:uiPriority w:val="0"/>
    <w:pPr>
      <w:spacing w:line="300" w:lineRule="auto"/>
      <w:ind w:firstLine="0"/>
      <w:jc w:val="center"/>
    </w:pPr>
    <w:rPr>
      <w:rFonts w:ascii="楷体" w:hAnsi="楷体" w:eastAsia="黑体" w:cs="宋体"/>
      <w:sz w:val="32"/>
      <w:szCs w:val="20"/>
    </w:rPr>
  </w:style>
  <w:style w:type="paragraph" w:styleId="382">
    <w:name w:val="No Spacing"/>
    <w:uiPriority w:val="1"/>
    <w:pPr>
      <w:widowControl w:val="0"/>
      <w:jc w:val="both"/>
    </w:pPr>
    <w:rPr>
      <w:rFonts w:asciiTheme="minorHAnsi" w:hAnsiTheme="minorHAnsi" w:eastAsiaTheme="minorEastAsia" w:cstheme="minorBidi"/>
      <w:kern w:val="2"/>
      <w:sz w:val="21"/>
      <w:szCs w:val="21"/>
      <w:lang w:val="en-US" w:eastAsia="zh-CN" w:bidi="ar-SA"/>
    </w:rPr>
  </w:style>
  <w:style w:type="character" w:customStyle="1" w:styleId="383">
    <w:name w:val="Book Title"/>
    <w:basedOn w:val="128"/>
    <w:uiPriority w:val="33"/>
    <w:rPr>
      <w:b/>
      <w:bCs/>
      <w:i/>
      <w:iCs/>
      <w:spacing w:val="5"/>
    </w:rPr>
  </w:style>
  <w:style w:type="character" w:customStyle="1" w:styleId="384">
    <w:name w:val="已访问的超链接1"/>
    <w:basedOn w:val="128"/>
    <w:semiHidden/>
    <w:locked/>
    <w:uiPriority w:val="0"/>
    <w:rPr>
      <w:color w:val="800080"/>
      <w:u w:val="single"/>
    </w:rPr>
  </w:style>
  <w:style w:type="paragraph" w:customStyle="1" w:styleId="385">
    <w:name w:val="建议"/>
    <w:basedOn w:val="1"/>
    <w:next w:val="1"/>
    <w:uiPriority w:val="0"/>
    <w:pPr>
      <w:numPr>
        <w:ilvl w:val="0"/>
        <w:numId w:val="16"/>
      </w:numPr>
      <w:shd w:val="clear" w:color="auto" w:fill="D1FFD1"/>
      <w:spacing w:beforeLines="100" w:afterLines="100"/>
    </w:pPr>
    <w:rPr>
      <w:rFonts w:eastAsia="楷体_GB2312" w:cs="Times New Roman"/>
      <w:szCs w:val="21"/>
    </w:rPr>
  </w:style>
  <w:style w:type="paragraph" w:customStyle="1" w:styleId="386">
    <w:name w:val="并列项"/>
    <w:basedOn w:val="160"/>
    <w:uiPriority w:val="0"/>
    <w:pPr>
      <w:widowControl/>
      <w:numPr>
        <w:ilvl w:val="0"/>
        <w:numId w:val="17"/>
      </w:numPr>
      <w:snapToGrid w:val="0"/>
      <w:spacing w:before="50" w:beforeLines="50" w:after="50" w:afterLines="50" w:line="288" w:lineRule="auto"/>
      <w:ind w:left="420" w:firstLine="0" w:firstLineChars="0"/>
      <w:contextualSpacing/>
    </w:pPr>
    <w:rPr>
      <w:rFonts w:eastAsia="方正兰亭黑简体" w:cs="Cambria"/>
      <w:szCs w:val="20"/>
    </w:rPr>
  </w:style>
  <w:style w:type="table" w:customStyle="1" w:styleId="387">
    <w:name w:val="表格"/>
    <w:basedOn w:val="83"/>
    <w:qFormat/>
    <w:uiPriority w:val="0"/>
    <w:pPr>
      <w:spacing w:before="80" w:after="80"/>
      <w:jc w:val="both"/>
      <w:textAlignment w:val="center"/>
    </w:pPr>
    <w:rPr>
      <w:rFonts w:ascii="Arial" w:hAnsi="Arial" w:eastAsia="宋体"/>
    </w:rPr>
    <w:tblPr>
      <w:tblBorders>
        <w:top w:val="single" w:color="auto" w:sz="4" w:space="0"/>
        <w:bottom w:val="single" w:color="auto" w:sz="4" w:space="0"/>
      </w:tblBorders>
      <w:tblCellMar>
        <w:top w:w="0" w:type="dxa"/>
        <w:left w:w="108" w:type="dxa"/>
        <w:bottom w:w="0" w:type="dxa"/>
        <w:right w:w="108" w:type="dxa"/>
      </w:tblCellMar>
    </w:tblPr>
    <w:trPr>
      <w:cantSplit/>
    </w:trPr>
    <w:tcPr>
      <w:shd w:val="clear" w:color="auto" w:fill="FFFFFF" w:themeFill="background1"/>
      <w:vAlign w:val="center"/>
    </w:tcPr>
    <w:tblStylePr w:type="firstRow">
      <w:pPr>
        <w:wordWrap/>
        <w:ind w:left="0" w:leftChars="0"/>
      </w:pPr>
      <w:rPr>
        <w:rFonts w:ascii="Times New Roman" w:hAnsi="Times New Roman" w:eastAsia="宋体"/>
        <w:color w:val="auto"/>
        <w:sz w:val="21"/>
      </w:r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paragraph" w:customStyle="1" w:styleId="388">
    <w:name w:val="表格并列项"/>
    <w:basedOn w:val="386"/>
    <w:uiPriority w:val="0"/>
    <w:pPr>
      <w:spacing w:before="40" w:beforeLines="0" w:after="40" w:afterLines="0"/>
      <w:ind w:left="840"/>
    </w:pPr>
  </w:style>
  <w:style w:type="paragraph" w:customStyle="1" w:styleId="389">
    <w:name w:val="步骤项"/>
    <w:basedOn w:val="160"/>
    <w:uiPriority w:val="0"/>
    <w:pPr>
      <w:widowControl/>
      <w:numPr>
        <w:ilvl w:val="0"/>
        <w:numId w:val="18"/>
      </w:numPr>
      <w:spacing w:before="50" w:beforeLines="50" w:after="50" w:afterLines="50" w:line="288" w:lineRule="auto"/>
      <w:ind w:firstLine="0" w:firstLineChars="0"/>
    </w:pPr>
    <w:rPr>
      <w:rFonts w:cs="Arial"/>
      <w:szCs w:val="21"/>
    </w:rPr>
  </w:style>
  <w:style w:type="paragraph" w:customStyle="1" w:styleId="390">
    <w:name w:val="修订1"/>
    <w:hidden/>
    <w:semiHidden/>
    <w:qFormat/>
    <w:uiPriority w:val="99"/>
    <w:rPr>
      <w:rFonts w:ascii="Arial" w:hAnsi="Arial" w:eastAsia="宋体" w:cs="Arial"/>
      <w:kern w:val="2"/>
      <w:sz w:val="21"/>
      <w:lang w:val="en-US" w:eastAsia="zh-CN" w:bidi="ar-SA"/>
    </w:rPr>
  </w:style>
  <w:style w:type="table" w:customStyle="1" w:styleId="391">
    <w:name w:val="Table2"/>
    <w:basedOn w:val="82"/>
    <w:qFormat/>
    <w:uiPriority w:val="0"/>
    <w:rPr>
      <w:rFonts w:ascii="Times New Roman" w:hAnsi="Times New Roman" w:eastAsia="宋体" w:cs="Times New Roman"/>
    </w:rPr>
    <w:tblPr>
      <w:tblBorders>
        <w:top w:val="single" w:color="auto" w:sz="4" w:space="0"/>
        <w:bottom w:val="single" w:color="auto" w:sz="4" w:space="0"/>
        <w:insideH w:val="single" w:color="808080" w:sz="4" w:space="0"/>
        <w:insideV w:val="single" w:color="808080" w:sz="4" w:space="0"/>
      </w:tblBorders>
      <w:tblCellMar>
        <w:top w:w="0" w:type="dxa"/>
        <w:left w:w="108" w:type="dxa"/>
        <w:bottom w:w="0" w:type="dxa"/>
        <w:right w:w="108" w:type="dxa"/>
      </w:tblCellMar>
    </w:tblPr>
    <w:tcPr>
      <w:vAlign w:val="center"/>
    </w:tcPr>
    <w:tblStylePr w:type="firstRow">
      <w:tcPr>
        <w:tcBorders>
          <w:top w:val="single" w:color="auto" w:sz="4" w:space="0"/>
          <w:left w:val="nil"/>
          <w:bottom w:val="single" w:color="808080" w:sz="4" w:space="0"/>
          <w:right w:val="nil"/>
          <w:insideH w:val="nil"/>
          <w:insideV w:val="single" w:sz="4" w:space="0"/>
          <w:tl2br w:val="nil"/>
          <w:tr2bl w:val="nil"/>
        </w:tcBorders>
        <w:shd w:val="clear" w:color="auto" w:fill="D9D9D9"/>
      </w:tcPr>
    </w:tblStylePr>
  </w:style>
  <w:style w:type="table" w:customStyle="1" w:styleId="392">
    <w:name w:val="Table3"/>
    <w:basedOn w:val="82"/>
    <w:autoRedefine/>
    <w:qFormat/>
    <w:uiPriority w:val="0"/>
    <w:rPr>
      <w:rFonts w:ascii="Times New Roman" w:hAnsi="Times New Roman" w:eastAsia="宋体" w:cs="Times New Roman"/>
    </w:rPr>
    <w:tblPr>
      <w:tblBorders>
        <w:top w:val="single" w:color="auto" w:sz="4" w:space="0"/>
        <w:bottom w:val="single" w:color="auto" w:sz="4" w:space="0"/>
        <w:insideH w:val="single" w:color="808080" w:sz="4" w:space="0"/>
        <w:insideV w:val="single" w:color="808080" w:sz="4" w:space="0"/>
      </w:tblBorders>
      <w:tblCellMar>
        <w:top w:w="0" w:type="dxa"/>
        <w:left w:w="108" w:type="dxa"/>
        <w:bottom w:w="0" w:type="dxa"/>
        <w:right w:w="108" w:type="dxa"/>
      </w:tblCellMar>
    </w:tblPr>
    <w:tcPr>
      <w:vAlign w:val="center"/>
    </w:tcPr>
    <w:tblStylePr w:type="firstRow">
      <w:tcPr>
        <w:tcBorders>
          <w:top w:val="single" w:color="auto" w:sz="4" w:space="0"/>
          <w:left w:val="nil"/>
          <w:bottom w:val="single" w:color="808080" w:sz="4" w:space="0"/>
          <w:right w:val="nil"/>
          <w:insideH w:val="nil"/>
          <w:insideV w:val="single" w:sz="4" w:space="0"/>
          <w:tl2br w:val="nil"/>
          <w:tr2bl w:val="nil"/>
        </w:tcBorders>
        <w:shd w:val="clear" w:color="auto" w:fill="D9D9D9"/>
      </w:tcPr>
    </w:tblStylePr>
  </w:style>
  <w:style w:type="character" w:customStyle="1" w:styleId="393">
    <w:name w:val="Unresolved Mention"/>
    <w:basedOn w:val="128"/>
    <w:semiHidden/>
    <w:unhideWhenUsed/>
    <w:qFormat/>
    <w:uiPriority w:val="99"/>
    <w:rPr>
      <w:color w:val="605E5C"/>
      <w:shd w:val="clear" w:color="auto" w:fill="E1DFDD"/>
    </w:rPr>
  </w:style>
  <w:style w:type="table" w:customStyle="1" w:styleId="394">
    <w:name w:val="RemarkTable1"/>
    <w:basedOn w:val="82"/>
    <w:uiPriority w:val="99"/>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99" Type="http://schemas.openxmlformats.org/officeDocument/2006/relationships/image" Target="media/image988.png"/><Relationship Id="rId998" Type="http://schemas.openxmlformats.org/officeDocument/2006/relationships/image" Target="media/image987.png"/><Relationship Id="rId997" Type="http://schemas.openxmlformats.org/officeDocument/2006/relationships/image" Target="media/image986.png"/><Relationship Id="rId996" Type="http://schemas.openxmlformats.org/officeDocument/2006/relationships/image" Target="media/image985.png"/><Relationship Id="rId995" Type="http://schemas.openxmlformats.org/officeDocument/2006/relationships/image" Target="media/image984.png"/><Relationship Id="rId994" Type="http://schemas.openxmlformats.org/officeDocument/2006/relationships/image" Target="media/image983.png"/><Relationship Id="rId993" Type="http://schemas.openxmlformats.org/officeDocument/2006/relationships/image" Target="media/image982.png"/><Relationship Id="rId992" Type="http://schemas.openxmlformats.org/officeDocument/2006/relationships/image" Target="media/image981.png"/><Relationship Id="rId991" Type="http://schemas.openxmlformats.org/officeDocument/2006/relationships/image" Target="media/image980.png"/><Relationship Id="rId990" Type="http://schemas.openxmlformats.org/officeDocument/2006/relationships/image" Target="media/image979.png"/><Relationship Id="rId99" Type="http://schemas.openxmlformats.org/officeDocument/2006/relationships/image" Target="media/image88.png"/><Relationship Id="rId989" Type="http://schemas.openxmlformats.org/officeDocument/2006/relationships/image" Target="media/image978.png"/><Relationship Id="rId988" Type="http://schemas.openxmlformats.org/officeDocument/2006/relationships/image" Target="media/image977.png"/><Relationship Id="rId987" Type="http://schemas.openxmlformats.org/officeDocument/2006/relationships/image" Target="media/image976.png"/><Relationship Id="rId986" Type="http://schemas.openxmlformats.org/officeDocument/2006/relationships/image" Target="media/image975.png"/><Relationship Id="rId985" Type="http://schemas.openxmlformats.org/officeDocument/2006/relationships/image" Target="media/image974.png"/><Relationship Id="rId984" Type="http://schemas.openxmlformats.org/officeDocument/2006/relationships/image" Target="media/image973.png"/><Relationship Id="rId983" Type="http://schemas.openxmlformats.org/officeDocument/2006/relationships/image" Target="media/image972.png"/><Relationship Id="rId982" Type="http://schemas.openxmlformats.org/officeDocument/2006/relationships/image" Target="media/image971.png"/><Relationship Id="rId981" Type="http://schemas.openxmlformats.org/officeDocument/2006/relationships/image" Target="media/image970.png"/><Relationship Id="rId980" Type="http://schemas.openxmlformats.org/officeDocument/2006/relationships/image" Target="media/image969.png"/><Relationship Id="rId98" Type="http://schemas.openxmlformats.org/officeDocument/2006/relationships/image" Target="media/image87.png"/><Relationship Id="rId979" Type="http://schemas.openxmlformats.org/officeDocument/2006/relationships/image" Target="media/image968.png"/><Relationship Id="rId978" Type="http://schemas.openxmlformats.org/officeDocument/2006/relationships/image" Target="media/image967.png"/><Relationship Id="rId977" Type="http://schemas.openxmlformats.org/officeDocument/2006/relationships/image" Target="media/image966.png"/><Relationship Id="rId976" Type="http://schemas.openxmlformats.org/officeDocument/2006/relationships/image" Target="media/image965.png"/><Relationship Id="rId975" Type="http://schemas.openxmlformats.org/officeDocument/2006/relationships/image" Target="media/image964.png"/><Relationship Id="rId974" Type="http://schemas.openxmlformats.org/officeDocument/2006/relationships/image" Target="media/image963.png"/><Relationship Id="rId973" Type="http://schemas.openxmlformats.org/officeDocument/2006/relationships/image" Target="media/image962.png"/><Relationship Id="rId972" Type="http://schemas.openxmlformats.org/officeDocument/2006/relationships/image" Target="media/image961.png"/><Relationship Id="rId971" Type="http://schemas.openxmlformats.org/officeDocument/2006/relationships/image" Target="media/image960.png"/><Relationship Id="rId970" Type="http://schemas.openxmlformats.org/officeDocument/2006/relationships/image" Target="media/image959.png"/><Relationship Id="rId97" Type="http://schemas.openxmlformats.org/officeDocument/2006/relationships/image" Target="media/image86.png"/><Relationship Id="rId969" Type="http://schemas.openxmlformats.org/officeDocument/2006/relationships/image" Target="media/image958.png"/><Relationship Id="rId968" Type="http://schemas.openxmlformats.org/officeDocument/2006/relationships/image" Target="media/image957.png"/><Relationship Id="rId967" Type="http://schemas.openxmlformats.org/officeDocument/2006/relationships/image" Target="media/image956.png"/><Relationship Id="rId966" Type="http://schemas.openxmlformats.org/officeDocument/2006/relationships/image" Target="media/image955.png"/><Relationship Id="rId965" Type="http://schemas.openxmlformats.org/officeDocument/2006/relationships/image" Target="media/image954.png"/><Relationship Id="rId964" Type="http://schemas.openxmlformats.org/officeDocument/2006/relationships/image" Target="media/image953.png"/><Relationship Id="rId963" Type="http://schemas.openxmlformats.org/officeDocument/2006/relationships/image" Target="media/image952.png"/><Relationship Id="rId962" Type="http://schemas.openxmlformats.org/officeDocument/2006/relationships/image" Target="media/image951.png"/><Relationship Id="rId961" Type="http://schemas.openxmlformats.org/officeDocument/2006/relationships/image" Target="media/image950.png"/><Relationship Id="rId960" Type="http://schemas.openxmlformats.org/officeDocument/2006/relationships/image" Target="media/image949.png"/><Relationship Id="rId96" Type="http://schemas.openxmlformats.org/officeDocument/2006/relationships/image" Target="media/image85.png"/><Relationship Id="rId959" Type="http://schemas.openxmlformats.org/officeDocument/2006/relationships/image" Target="media/image948.png"/><Relationship Id="rId958" Type="http://schemas.openxmlformats.org/officeDocument/2006/relationships/image" Target="media/image947.png"/><Relationship Id="rId957" Type="http://schemas.openxmlformats.org/officeDocument/2006/relationships/image" Target="media/image946.png"/><Relationship Id="rId956" Type="http://schemas.openxmlformats.org/officeDocument/2006/relationships/image" Target="media/image945.png"/><Relationship Id="rId955" Type="http://schemas.openxmlformats.org/officeDocument/2006/relationships/image" Target="media/image944.png"/><Relationship Id="rId954" Type="http://schemas.openxmlformats.org/officeDocument/2006/relationships/image" Target="media/image943.png"/><Relationship Id="rId953" Type="http://schemas.openxmlformats.org/officeDocument/2006/relationships/image" Target="media/image942.png"/><Relationship Id="rId952" Type="http://schemas.openxmlformats.org/officeDocument/2006/relationships/image" Target="media/image941.png"/><Relationship Id="rId951" Type="http://schemas.openxmlformats.org/officeDocument/2006/relationships/image" Target="media/image940.png"/><Relationship Id="rId950" Type="http://schemas.openxmlformats.org/officeDocument/2006/relationships/image" Target="media/image939.png"/><Relationship Id="rId95" Type="http://schemas.openxmlformats.org/officeDocument/2006/relationships/image" Target="media/image84.png"/><Relationship Id="rId949" Type="http://schemas.openxmlformats.org/officeDocument/2006/relationships/image" Target="media/image938.png"/><Relationship Id="rId948" Type="http://schemas.openxmlformats.org/officeDocument/2006/relationships/image" Target="media/image937.png"/><Relationship Id="rId947" Type="http://schemas.openxmlformats.org/officeDocument/2006/relationships/image" Target="media/image936.png"/><Relationship Id="rId946" Type="http://schemas.openxmlformats.org/officeDocument/2006/relationships/image" Target="media/image935.png"/><Relationship Id="rId945" Type="http://schemas.openxmlformats.org/officeDocument/2006/relationships/image" Target="media/image934.png"/><Relationship Id="rId944" Type="http://schemas.openxmlformats.org/officeDocument/2006/relationships/image" Target="media/image933.png"/><Relationship Id="rId943" Type="http://schemas.openxmlformats.org/officeDocument/2006/relationships/image" Target="media/image932.png"/><Relationship Id="rId942" Type="http://schemas.openxmlformats.org/officeDocument/2006/relationships/image" Target="media/image931.png"/><Relationship Id="rId941" Type="http://schemas.openxmlformats.org/officeDocument/2006/relationships/image" Target="media/image930.png"/><Relationship Id="rId940" Type="http://schemas.openxmlformats.org/officeDocument/2006/relationships/image" Target="media/image929.png"/><Relationship Id="rId94" Type="http://schemas.openxmlformats.org/officeDocument/2006/relationships/image" Target="media/image83.png"/><Relationship Id="rId939" Type="http://schemas.openxmlformats.org/officeDocument/2006/relationships/image" Target="media/image928.png"/><Relationship Id="rId938" Type="http://schemas.openxmlformats.org/officeDocument/2006/relationships/image" Target="media/image927.png"/><Relationship Id="rId937" Type="http://schemas.openxmlformats.org/officeDocument/2006/relationships/image" Target="media/image926.png"/><Relationship Id="rId936" Type="http://schemas.openxmlformats.org/officeDocument/2006/relationships/image" Target="media/image925.png"/><Relationship Id="rId935" Type="http://schemas.openxmlformats.org/officeDocument/2006/relationships/image" Target="media/image924.png"/><Relationship Id="rId934" Type="http://schemas.openxmlformats.org/officeDocument/2006/relationships/image" Target="media/image923.png"/><Relationship Id="rId933" Type="http://schemas.openxmlformats.org/officeDocument/2006/relationships/image" Target="media/image922.png"/><Relationship Id="rId932" Type="http://schemas.openxmlformats.org/officeDocument/2006/relationships/image" Target="media/image921.png"/><Relationship Id="rId931" Type="http://schemas.openxmlformats.org/officeDocument/2006/relationships/image" Target="media/image920.png"/><Relationship Id="rId930" Type="http://schemas.openxmlformats.org/officeDocument/2006/relationships/image" Target="media/image919.png"/><Relationship Id="rId93" Type="http://schemas.openxmlformats.org/officeDocument/2006/relationships/image" Target="media/image82.png"/><Relationship Id="rId929" Type="http://schemas.openxmlformats.org/officeDocument/2006/relationships/image" Target="media/image918.png"/><Relationship Id="rId928" Type="http://schemas.openxmlformats.org/officeDocument/2006/relationships/image" Target="media/image917.png"/><Relationship Id="rId927" Type="http://schemas.openxmlformats.org/officeDocument/2006/relationships/image" Target="media/image916.png"/><Relationship Id="rId926" Type="http://schemas.openxmlformats.org/officeDocument/2006/relationships/image" Target="media/image915.wmf"/><Relationship Id="rId925" Type="http://schemas.openxmlformats.org/officeDocument/2006/relationships/image" Target="media/image914.png"/><Relationship Id="rId924" Type="http://schemas.openxmlformats.org/officeDocument/2006/relationships/image" Target="media/image913.png"/><Relationship Id="rId923" Type="http://schemas.openxmlformats.org/officeDocument/2006/relationships/image" Target="media/image912.png"/><Relationship Id="rId922" Type="http://schemas.openxmlformats.org/officeDocument/2006/relationships/image" Target="media/image911.png"/><Relationship Id="rId921" Type="http://schemas.openxmlformats.org/officeDocument/2006/relationships/image" Target="media/image910.png"/><Relationship Id="rId920" Type="http://schemas.openxmlformats.org/officeDocument/2006/relationships/image" Target="media/image909.png"/><Relationship Id="rId92" Type="http://schemas.openxmlformats.org/officeDocument/2006/relationships/image" Target="media/image81.png"/><Relationship Id="rId919" Type="http://schemas.openxmlformats.org/officeDocument/2006/relationships/image" Target="media/image908.png"/><Relationship Id="rId918" Type="http://schemas.openxmlformats.org/officeDocument/2006/relationships/image" Target="media/image907.png"/><Relationship Id="rId917" Type="http://schemas.openxmlformats.org/officeDocument/2006/relationships/image" Target="media/image906.png"/><Relationship Id="rId916" Type="http://schemas.openxmlformats.org/officeDocument/2006/relationships/image" Target="media/image905.png"/><Relationship Id="rId915" Type="http://schemas.openxmlformats.org/officeDocument/2006/relationships/image" Target="media/image904.png"/><Relationship Id="rId914" Type="http://schemas.openxmlformats.org/officeDocument/2006/relationships/image" Target="media/image903.png"/><Relationship Id="rId913" Type="http://schemas.openxmlformats.org/officeDocument/2006/relationships/image" Target="media/image902.png"/><Relationship Id="rId912" Type="http://schemas.openxmlformats.org/officeDocument/2006/relationships/image" Target="media/image901.png"/><Relationship Id="rId911" Type="http://schemas.openxmlformats.org/officeDocument/2006/relationships/image" Target="media/image900.png"/><Relationship Id="rId910" Type="http://schemas.openxmlformats.org/officeDocument/2006/relationships/image" Target="media/image899.png"/><Relationship Id="rId91" Type="http://schemas.openxmlformats.org/officeDocument/2006/relationships/image" Target="media/image80.png"/><Relationship Id="rId909" Type="http://schemas.openxmlformats.org/officeDocument/2006/relationships/image" Target="media/image898.png"/><Relationship Id="rId908" Type="http://schemas.openxmlformats.org/officeDocument/2006/relationships/image" Target="media/image897.png"/><Relationship Id="rId907" Type="http://schemas.openxmlformats.org/officeDocument/2006/relationships/image" Target="media/image896.png"/><Relationship Id="rId906" Type="http://schemas.openxmlformats.org/officeDocument/2006/relationships/image" Target="media/image895.png"/><Relationship Id="rId905" Type="http://schemas.openxmlformats.org/officeDocument/2006/relationships/image" Target="media/image894.png"/><Relationship Id="rId904" Type="http://schemas.openxmlformats.org/officeDocument/2006/relationships/image" Target="media/image893.png"/><Relationship Id="rId903" Type="http://schemas.openxmlformats.org/officeDocument/2006/relationships/image" Target="media/image892.png"/><Relationship Id="rId902" Type="http://schemas.openxmlformats.org/officeDocument/2006/relationships/image" Target="media/image891.png"/><Relationship Id="rId901" Type="http://schemas.openxmlformats.org/officeDocument/2006/relationships/image" Target="media/image890.png"/><Relationship Id="rId900" Type="http://schemas.openxmlformats.org/officeDocument/2006/relationships/image" Target="media/image889.png"/><Relationship Id="rId90" Type="http://schemas.openxmlformats.org/officeDocument/2006/relationships/image" Target="media/image79.png"/><Relationship Id="rId9" Type="http://schemas.openxmlformats.org/officeDocument/2006/relationships/footer" Target="footer3.xml"/><Relationship Id="rId899" Type="http://schemas.openxmlformats.org/officeDocument/2006/relationships/image" Target="media/image888.png"/><Relationship Id="rId898" Type="http://schemas.openxmlformats.org/officeDocument/2006/relationships/image" Target="media/image887.png"/><Relationship Id="rId897" Type="http://schemas.openxmlformats.org/officeDocument/2006/relationships/image" Target="media/image886.png"/><Relationship Id="rId896" Type="http://schemas.openxmlformats.org/officeDocument/2006/relationships/image" Target="media/image885.png"/><Relationship Id="rId895" Type="http://schemas.openxmlformats.org/officeDocument/2006/relationships/image" Target="media/image884.png"/><Relationship Id="rId894" Type="http://schemas.openxmlformats.org/officeDocument/2006/relationships/image" Target="media/image883.png"/><Relationship Id="rId893" Type="http://schemas.openxmlformats.org/officeDocument/2006/relationships/image" Target="media/image882.png"/><Relationship Id="rId892" Type="http://schemas.openxmlformats.org/officeDocument/2006/relationships/image" Target="media/image881.png"/><Relationship Id="rId891" Type="http://schemas.openxmlformats.org/officeDocument/2006/relationships/image" Target="media/image880.png"/><Relationship Id="rId890" Type="http://schemas.openxmlformats.org/officeDocument/2006/relationships/image" Target="media/image879.png"/><Relationship Id="rId89" Type="http://schemas.openxmlformats.org/officeDocument/2006/relationships/image" Target="media/image78.png"/><Relationship Id="rId889" Type="http://schemas.openxmlformats.org/officeDocument/2006/relationships/image" Target="media/image878.png"/><Relationship Id="rId888" Type="http://schemas.openxmlformats.org/officeDocument/2006/relationships/image" Target="media/image877.png"/><Relationship Id="rId887" Type="http://schemas.openxmlformats.org/officeDocument/2006/relationships/image" Target="media/image876.png"/><Relationship Id="rId886" Type="http://schemas.openxmlformats.org/officeDocument/2006/relationships/image" Target="media/image875.png"/><Relationship Id="rId885" Type="http://schemas.openxmlformats.org/officeDocument/2006/relationships/image" Target="media/image874.png"/><Relationship Id="rId884" Type="http://schemas.openxmlformats.org/officeDocument/2006/relationships/image" Target="media/image873.png"/><Relationship Id="rId883" Type="http://schemas.openxmlformats.org/officeDocument/2006/relationships/image" Target="media/image872.png"/><Relationship Id="rId882" Type="http://schemas.openxmlformats.org/officeDocument/2006/relationships/image" Target="media/image871.png"/><Relationship Id="rId881" Type="http://schemas.openxmlformats.org/officeDocument/2006/relationships/image" Target="media/image870.png"/><Relationship Id="rId880" Type="http://schemas.openxmlformats.org/officeDocument/2006/relationships/image" Target="media/image869.png"/><Relationship Id="rId88" Type="http://schemas.openxmlformats.org/officeDocument/2006/relationships/image" Target="media/image77.png"/><Relationship Id="rId879" Type="http://schemas.openxmlformats.org/officeDocument/2006/relationships/image" Target="media/image868.png"/><Relationship Id="rId878" Type="http://schemas.openxmlformats.org/officeDocument/2006/relationships/image" Target="media/image867.png"/><Relationship Id="rId877" Type="http://schemas.openxmlformats.org/officeDocument/2006/relationships/image" Target="media/image866.png"/><Relationship Id="rId876" Type="http://schemas.openxmlformats.org/officeDocument/2006/relationships/image" Target="media/image865.png"/><Relationship Id="rId875" Type="http://schemas.openxmlformats.org/officeDocument/2006/relationships/image" Target="media/image864.png"/><Relationship Id="rId874" Type="http://schemas.openxmlformats.org/officeDocument/2006/relationships/image" Target="media/image863.png"/><Relationship Id="rId873" Type="http://schemas.openxmlformats.org/officeDocument/2006/relationships/image" Target="media/image862.png"/><Relationship Id="rId872" Type="http://schemas.openxmlformats.org/officeDocument/2006/relationships/image" Target="media/image861.png"/><Relationship Id="rId871" Type="http://schemas.openxmlformats.org/officeDocument/2006/relationships/image" Target="media/image860.png"/><Relationship Id="rId870" Type="http://schemas.openxmlformats.org/officeDocument/2006/relationships/image" Target="media/image859.emf"/><Relationship Id="rId87" Type="http://schemas.openxmlformats.org/officeDocument/2006/relationships/image" Target="media/image76.png"/><Relationship Id="rId869" Type="http://schemas.openxmlformats.org/officeDocument/2006/relationships/image" Target="media/image858.png"/><Relationship Id="rId868" Type="http://schemas.openxmlformats.org/officeDocument/2006/relationships/image" Target="media/image857.png"/><Relationship Id="rId867" Type="http://schemas.openxmlformats.org/officeDocument/2006/relationships/image" Target="media/image856.png"/><Relationship Id="rId866" Type="http://schemas.openxmlformats.org/officeDocument/2006/relationships/image" Target="media/image855.png"/><Relationship Id="rId865" Type="http://schemas.openxmlformats.org/officeDocument/2006/relationships/image" Target="media/image854.png"/><Relationship Id="rId864" Type="http://schemas.openxmlformats.org/officeDocument/2006/relationships/image" Target="media/image853.png"/><Relationship Id="rId863" Type="http://schemas.openxmlformats.org/officeDocument/2006/relationships/image" Target="media/image852.png"/><Relationship Id="rId862" Type="http://schemas.openxmlformats.org/officeDocument/2006/relationships/image" Target="media/image851.png"/><Relationship Id="rId861" Type="http://schemas.openxmlformats.org/officeDocument/2006/relationships/image" Target="media/image850.png"/><Relationship Id="rId860" Type="http://schemas.openxmlformats.org/officeDocument/2006/relationships/image" Target="media/image849.png"/><Relationship Id="rId86" Type="http://schemas.openxmlformats.org/officeDocument/2006/relationships/image" Target="media/image75.png"/><Relationship Id="rId859" Type="http://schemas.openxmlformats.org/officeDocument/2006/relationships/image" Target="media/image848.png"/><Relationship Id="rId858" Type="http://schemas.openxmlformats.org/officeDocument/2006/relationships/image" Target="media/image847.png"/><Relationship Id="rId857" Type="http://schemas.openxmlformats.org/officeDocument/2006/relationships/image" Target="media/image846.png"/><Relationship Id="rId856" Type="http://schemas.openxmlformats.org/officeDocument/2006/relationships/image" Target="media/image845.png"/><Relationship Id="rId855" Type="http://schemas.openxmlformats.org/officeDocument/2006/relationships/image" Target="media/image844.png"/><Relationship Id="rId854" Type="http://schemas.openxmlformats.org/officeDocument/2006/relationships/image" Target="media/image843.png"/><Relationship Id="rId853" Type="http://schemas.openxmlformats.org/officeDocument/2006/relationships/image" Target="media/image842.png"/><Relationship Id="rId852" Type="http://schemas.openxmlformats.org/officeDocument/2006/relationships/image" Target="media/image841.jpeg"/><Relationship Id="rId851" Type="http://schemas.openxmlformats.org/officeDocument/2006/relationships/image" Target="media/image840.png"/><Relationship Id="rId850" Type="http://schemas.openxmlformats.org/officeDocument/2006/relationships/image" Target="media/image839.png"/><Relationship Id="rId85" Type="http://schemas.openxmlformats.org/officeDocument/2006/relationships/image" Target="media/image74.png"/><Relationship Id="rId849" Type="http://schemas.openxmlformats.org/officeDocument/2006/relationships/image" Target="media/image838.png"/><Relationship Id="rId848" Type="http://schemas.openxmlformats.org/officeDocument/2006/relationships/image" Target="media/image837.png"/><Relationship Id="rId847" Type="http://schemas.openxmlformats.org/officeDocument/2006/relationships/image" Target="media/image836.png"/><Relationship Id="rId846" Type="http://schemas.openxmlformats.org/officeDocument/2006/relationships/image" Target="media/image835.png"/><Relationship Id="rId845" Type="http://schemas.openxmlformats.org/officeDocument/2006/relationships/image" Target="media/image834.png"/><Relationship Id="rId844" Type="http://schemas.openxmlformats.org/officeDocument/2006/relationships/image" Target="media/image833.png"/><Relationship Id="rId843" Type="http://schemas.openxmlformats.org/officeDocument/2006/relationships/image" Target="media/image832.png"/><Relationship Id="rId842" Type="http://schemas.openxmlformats.org/officeDocument/2006/relationships/image" Target="media/image831.png"/><Relationship Id="rId841" Type="http://schemas.openxmlformats.org/officeDocument/2006/relationships/image" Target="media/image830.png"/><Relationship Id="rId840" Type="http://schemas.openxmlformats.org/officeDocument/2006/relationships/image" Target="media/image829.png"/><Relationship Id="rId84" Type="http://schemas.openxmlformats.org/officeDocument/2006/relationships/image" Target="media/image73.png"/><Relationship Id="rId839" Type="http://schemas.openxmlformats.org/officeDocument/2006/relationships/image" Target="media/image828.png"/><Relationship Id="rId838" Type="http://schemas.openxmlformats.org/officeDocument/2006/relationships/image" Target="media/image827.png"/><Relationship Id="rId837" Type="http://schemas.openxmlformats.org/officeDocument/2006/relationships/image" Target="media/image826.png"/><Relationship Id="rId836" Type="http://schemas.openxmlformats.org/officeDocument/2006/relationships/image" Target="media/image825.png"/><Relationship Id="rId835" Type="http://schemas.openxmlformats.org/officeDocument/2006/relationships/image" Target="media/image824.png"/><Relationship Id="rId834" Type="http://schemas.openxmlformats.org/officeDocument/2006/relationships/image" Target="media/image823.png"/><Relationship Id="rId833" Type="http://schemas.openxmlformats.org/officeDocument/2006/relationships/image" Target="media/image822.png"/><Relationship Id="rId832" Type="http://schemas.openxmlformats.org/officeDocument/2006/relationships/image" Target="media/image821.png"/><Relationship Id="rId831" Type="http://schemas.openxmlformats.org/officeDocument/2006/relationships/image" Target="media/image820.png"/><Relationship Id="rId830" Type="http://schemas.openxmlformats.org/officeDocument/2006/relationships/image" Target="media/image819.png"/><Relationship Id="rId83" Type="http://schemas.openxmlformats.org/officeDocument/2006/relationships/image" Target="media/image72.png"/><Relationship Id="rId829" Type="http://schemas.openxmlformats.org/officeDocument/2006/relationships/image" Target="media/image818.png"/><Relationship Id="rId828" Type="http://schemas.openxmlformats.org/officeDocument/2006/relationships/image" Target="media/image817.png"/><Relationship Id="rId827" Type="http://schemas.openxmlformats.org/officeDocument/2006/relationships/image" Target="media/image816.png"/><Relationship Id="rId826" Type="http://schemas.openxmlformats.org/officeDocument/2006/relationships/image" Target="media/image815.png"/><Relationship Id="rId825" Type="http://schemas.openxmlformats.org/officeDocument/2006/relationships/image" Target="media/image814.png"/><Relationship Id="rId824" Type="http://schemas.openxmlformats.org/officeDocument/2006/relationships/image" Target="media/image813.png"/><Relationship Id="rId823" Type="http://schemas.openxmlformats.org/officeDocument/2006/relationships/image" Target="media/image812.png"/><Relationship Id="rId822" Type="http://schemas.openxmlformats.org/officeDocument/2006/relationships/image" Target="media/image811.png"/><Relationship Id="rId821" Type="http://schemas.openxmlformats.org/officeDocument/2006/relationships/image" Target="media/image810.png"/><Relationship Id="rId820" Type="http://schemas.openxmlformats.org/officeDocument/2006/relationships/image" Target="media/image809.png"/><Relationship Id="rId82" Type="http://schemas.openxmlformats.org/officeDocument/2006/relationships/image" Target="media/image71.png"/><Relationship Id="rId819" Type="http://schemas.openxmlformats.org/officeDocument/2006/relationships/image" Target="media/image808.png"/><Relationship Id="rId818" Type="http://schemas.openxmlformats.org/officeDocument/2006/relationships/image" Target="media/image807.png"/><Relationship Id="rId817" Type="http://schemas.openxmlformats.org/officeDocument/2006/relationships/image" Target="media/image806.png"/><Relationship Id="rId816" Type="http://schemas.openxmlformats.org/officeDocument/2006/relationships/image" Target="media/image805.png"/><Relationship Id="rId815" Type="http://schemas.openxmlformats.org/officeDocument/2006/relationships/image" Target="media/image804.png"/><Relationship Id="rId814" Type="http://schemas.openxmlformats.org/officeDocument/2006/relationships/image" Target="media/image803.png"/><Relationship Id="rId813" Type="http://schemas.openxmlformats.org/officeDocument/2006/relationships/image" Target="media/image802.png"/><Relationship Id="rId812" Type="http://schemas.openxmlformats.org/officeDocument/2006/relationships/image" Target="media/image801.png"/><Relationship Id="rId811" Type="http://schemas.openxmlformats.org/officeDocument/2006/relationships/image" Target="media/image800.png"/><Relationship Id="rId810" Type="http://schemas.openxmlformats.org/officeDocument/2006/relationships/image" Target="media/image799.png"/><Relationship Id="rId81" Type="http://schemas.openxmlformats.org/officeDocument/2006/relationships/image" Target="media/image70.png"/><Relationship Id="rId809" Type="http://schemas.openxmlformats.org/officeDocument/2006/relationships/image" Target="media/image798.png"/><Relationship Id="rId808" Type="http://schemas.openxmlformats.org/officeDocument/2006/relationships/image" Target="media/image797.png"/><Relationship Id="rId807" Type="http://schemas.openxmlformats.org/officeDocument/2006/relationships/image" Target="media/image796.png"/><Relationship Id="rId806" Type="http://schemas.openxmlformats.org/officeDocument/2006/relationships/image" Target="media/image795.png"/><Relationship Id="rId805" Type="http://schemas.openxmlformats.org/officeDocument/2006/relationships/image" Target="media/image794.png"/><Relationship Id="rId804" Type="http://schemas.openxmlformats.org/officeDocument/2006/relationships/image" Target="media/image793.png"/><Relationship Id="rId803" Type="http://schemas.openxmlformats.org/officeDocument/2006/relationships/image" Target="media/image792.png"/><Relationship Id="rId802" Type="http://schemas.openxmlformats.org/officeDocument/2006/relationships/image" Target="media/image791.png"/><Relationship Id="rId801" Type="http://schemas.openxmlformats.org/officeDocument/2006/relationships/image" Target="media/image790.png"/><Relationship Id="rId800" Type="http://schemas.openxmlformats.org/officeDocument/2006/relationships/image" Target="media/image789.png"/><Relationship Id="rId80" Type="http://schemas.openxmlformats.org/officeDocument/2006/relationships/image" Target="media/image69.png"/><Relationship Id="rId8" Type="http://schemas.openxmlformats.org/officeDocument/2006/relationships/footer" Target="footer2.xml"/><Relationship Id="rId799" Type="http://schemas.openxmlformats.org/officeDocument/2006/relationships/image" Target="media/image788.png"/><Relationship Id="rId798" Type="http://schemas.openxmlformats.org/officeDocument/2006/relationships/image" Target="media/image787.png"/><Relationship Id="rId797" Type="http://schemas.openxmlformats.org/officeDocument/2006/relationships/image" Target="media/image786.png"/><Relationship Id="rId796" Type="http://schemas.openxmlformats.org/officeDocument/2006/relationships/image" Target="media/image785.png"/><Relationship Id="rId795" Type="http://schemas.openxmlformats.org/officeDocument/2006/relationships/image" Target="media/image784.png"/><Relationship Id="rId794" Type="http://schemas.openxmlformats.org/officeDocument/2006/relationships/image" Target="media/image783.png"/><Relationship Id="rId793" Type="http://schemas.openxmlformats.org/officeDocument/2006/relationships/image" Target="media/image782.png"/><Relationship Id="rId792" Type="http://schemas.openxmlformats.org/officeDocument/2006/relationships/image" Target="media/image781.png"/><Relationship Id="rId791" Type="http://schemas.openxmlformats.org/officeDocument/2006/relationships/image" Target="media/image780.png"/><Relationship Id="rId790" Type="http://schemas.openxmlformats.org/officeDocument/2006/relationships/image" Target="media/image779.png"/><Relationship Id="rId79" Type="http://schemas.openxmlformats.org/officeDocument/2006/relationships/image" Target="media/image68.png"/><Relationship Id="rId789" Type="http://schemas.openxmlformats.org/officeDocument/2006/relationships/image" Target="media/image778.png"/><Relationship Id="rId788" Type="http://schemas.openxmlformats.org/officeDocument/2006/relationships/image" Target="media/image777.png"/><Relationship Id="rId787" Type="http://schemas.openxmlformats.org/officeDocument/2006/relationships/image" Target="media/image776.png"/><Relationship Id="rId786" Type="http://schemas.openxmlformats.org/officeDocument/2006/relationships/image" Target="media/image775.png"/><Relationship Id="rId785" Type="http://schemas.openxmlformats.org/officeDocument/2006/relationships/image" Target="media/image774.png"/><Relationship Id="rId784" Type="http://schemas.openxmlformats.org/officeDocument/2006/relationships/image" Target="media/image773.png"/><Relationship Id="rId783" Type="http://schemas.openxmlformats.org/officeDocument/2006/relationships/image" Target="media/image772.png"/><Relationship Id="rId782" Type="http://schemas.openxmlformats.org/officeDocument/2006/relationships/image" Target="media/image771.png"/><Relationship Id="rId781" Type="http://schemas.openxmlformats.org/officeDocument/2006/relationships/image" Target="media/image770.png"/><Relationship Id="rId780" Type="http://schemas.openxmlformats.org/officeDocument/2006/relationships/image" Target="media/image769.png"/><Relationship Id="rId78" Type="http://schemas.openxmlformats.org/officeDocument/2006/relationships/image" Target="media/image67.png"/><Relationship Id="rId779" Type="http://schemas.openxmlformats.org/officeDocument/2006/relationships/image" Target="media/image768.png"/><Relationship Id="rId778" Type="http://schemas.openxmlformats.org/officeDocument/2006/relationships/image" Target="media/image767.png"/><Relationship Id="rId777" Type="http://schemas.openxmlformats.org/officeDocument/2006/relationships/image" Target="media/image766.png"/><Relationship Id="rId776" Type="http://schemas.openxmlformats.org/officeDocument/2006/relationships/image" Target="media/image765.png"/><Relationship Id="rId775" Type="http://schemas.openxmlformats.org/officeDocument/2006/relationships/image" Target="media/image764.png"/><Relationship Id="rId774" Type="http://schemas.openxmlformats.org/officeDocument/2006/relationships/image" Target="media/image763.png"/><Relationship Id="rId773" Type="http://schemas.openxmlformats.org/officeDocument/2006/relationships/image" Target="media/image762.png"/><Relationship Id="rId772" Type="http://schemas.openxmlformats.org/officeDocument/2006/relationships/image" Target="media/image761.png"/><Relationship Id="rId771" Type="http://schemas.openxmlformats.org/officeDocument/2006/relationships/image" Target="media/image760.png"/><Relationship Id="rId770" Type="http://schemas.openxmlformats.org/officeDocument/2006/relationships/image" Target="media/image759.png"/><Relationship Id="rId77" Type="http://schemas.openxmlformats.org/officeDocument/2006/relationships/image" Target="media/image66.png"/><Relationship Id="rId769" Type="http://schemas.openxmlformats.org/officeDocument/2006/relationships/image" Target="media/image758.png"/><Relationship Id="rId768" Type="http://schemas.openxmlformats.org/officeDocument/2006/relationships/image" Target="media/image757.png"/><Relationship Id="rId767" Type="http://schemas.openxmlformats.org/officeDocument/2006/relationships/image" Target="media/image756.png"/><Relationship Id="rId766" Type="http://schemas.openxmlformats.org/officeDocument/2006/relationships/image" Target="media/image755.png"/><Relationship Id="rId765" Type="http://schemas.openxmlformats.org/officeDocument/2006/relationships/image" Target="media/image754.png"/><Relationship Id="rId764" Type="http://schemas.openxmlformats.org/officeDocument/2006/relationships/image" Target="media/image753.png"/><Relationship Id="rId763" Type="http://schemas.openxmlformats.org/officeDocument/2006/relationships/image" Target="media/image752.png"/><Relationship Id="rId762" Type="http://schemas.openxmlformats.org/officeDocument/2006/relationships/image" Target="media/image751.png"/><Relationship Id="rId761" Type="http://schemas.openxmlformats.org/officeDocument/2006/relationships/image" Target="media/image750.png"/><Relationship Id="rId760" Type="http://schemas.openxmlformats.org/officeDocument/2006/relationships/image" Target="media/image749.png"/><Relationship Id="rId76" Type="http://schemas.openxmlformats.org/officeDocument/2006/relationships/image" Target="media/image65.png"/><Relationship Id="rId759" Type="http://schemas.openxmlformats.org/officeDocument/2006/relationships/image" Target="media/image748.png"/><Relationship Id="rId758" Type="http://schemas.openxmlformats.org/officeDocument/2006/relationships/image" Target="media/image747.png"/><Relationship Id="rId757" Type="http://schemas.openxmlformats.org/officeDocument/2006/relationships/image" Target="media/image746.png"/><Relationship Id="rId756" Type="http://schemas.openxmlformats.org/officeDocument/2006/relationships/image" Target="media/image745.png"/><Relationship Id="rId755" Type="http://schemas.openxmlformats.org/officeDocument/2006/relationships/image" Target="media/image744.png"/><Relationship Id="rId754" Type="http://schemas.openxmlformats.org/officeDocument/2006/relationships/image" Target="media/image743.png"/><Relationship Id="rId753" Type="http://schemas.openxmlformats.org/officeDocument/2006/relationships/image" Target="media/image742.png"/><Relationship Id="rId752" Type="http://schemas.openxmlformats.org/officeDocument/2006/relationships/image" Target="media/image741.png"/><Relationship Id="rId751" Type="http://schemas.openxmlformats.org/officeDocument/2006/relationships/image" Target="media/image740.png"/><Relationship Id="rId750" Type="http://schemas.openxmlformats.org/officeDocument/2006/relationships/image" Target="media/image739.png"/><Relationship Id="rId75" Type="http://schemas.openxmlformats.org/officeDocument/2006/relationships/image" Target="media/image64.png"/><Relationship Id="rId749" Type="http://schemas.openxmlformats.org/officeDocument/2006/relationships/image" Target="media/image738.png"/><Relationship Id="rId748" Type="http://schemas.openxmlformats.org/officeDocument/2006/relationships/image" Target="media/image737.png"/><Relationship Id="rId747" Type="http://schemas.openxmlformats.org/officeDocument/2006/relationships/image" Target="media/image736.png"/><Relationship Id="rId746" Type="http://schemas.openxmlformats.org/officeDocument/2006/relationships/image" Target="media/image735.png"/><Relationship Id="rId745" Type="http://schemas.openxmlformats.org/officeDocument/2006/relationships/image" Target="media/image734.png"/><Relationship Id="rId744" Type="http://schemas.openxmlformats.org/officeDocument/2006/relationships/image" Target="media/image733.png"/><Relationship Id="rId743" Type="http://schemas.openxmlformats.org/officeDocument/2006/relationships/image" Target="media/image732.png"/><Relationship Id="rId742" Type="http://schemas.openxmlformats.org/officeDocument/2006/relationships/image" Target="media/image731.png"/><Relationship Id="rId741" Type="http://schemas.openxmlformats.org/officeDocument/2006/relationships/image" Target="media/image730.png"/><Relationship Id="rId740" Type="http://schemas.openxmlformats.org/officeDocument/2006/relationships/image" Target="media/image729.png"/><Relationship Id="rId74" Type="http://schemas.openxmlformats.org/officeDocument/2006/relationships/image" Target="media/image63.png"/><Relationship Id="rId739" Type="http://schemas.openxmlformats.org/officeDocument/2006/relationships/image" Target="media/image728.png"/><Relationship Id="rId738" Type="http://schemas.openxmlformats.org/officeDocument/2006/relationships/image" Target="media/image727.png"/><Relationship Id="rId737" Type="http://schemas.openxmlformats.org/officeDocument/2006/relationships/image" Target="media/image726.png"/><Relationship Id="rId736" Type="http://schemas.openxmlformats.org/officeDocument/2006/relationships/image" Target="media/image725.png"/><Relationship Id="rId735" Type="http://schemas.openxmlformats.org/officeDocument/2006/relationships/image" Target="media/image724.png"/><Relationship Id="rId734" Type="http://schemas.openxmlformats.org/officeDocument/2006/relationships/image" Target="media/image723.png"/><Relationship Id="rId733" Type="http://schemas.openxmlformats.org/officeDocument/2006/relationships/image" Target="media/image722.png"/><Relationship Id="rId732" Type="http://schemas.openxmlformats.org/officeDocument/2006/relationships/image" Target="media/image721.png"/><Relationship Id="rId731" Type="http://schemas.openxmlformats.org/officeDocument/2006/relationships/image" Target="media/image720.png"/><Relationship Id="rId730" Type="http://schemas.openxmlformats.org/officeDocument/2006/relationships/image" Target="media/image719.jpeg"/><Relationship Id="rId73" Type="http://schemas.openxmlformats.org/officeDocument/2006/relationships/image" Target="media/image62.png"/><Relationship Id="rId729" Type="http://schemas.openxmlformats.org/officeDocument/2006/relationships/image" Target="media/image718.jpeg"/><Relationship Id="rId728" Type="http://schemas.openxmlformats.org/officeDocument/2006/relationships/image" Target="media/image717.jpeg"/><Relationship Id="rId727" Type="http://schemas.openxmlformats.org/officeDocument/2006/relationships/image" Target="media/image716.jpeg"/><Relationship Id="rId726" Type="http://schemas.openxmlformats.org/officeDocument/2006/relationships/image" Target="media/image715.jpeg"/><Relationship Id="rId725" Type="http://schemas.openxmlformats.org/officeDocument/2006/relationships/image" Target="media/image714.png"/><Relationship Id="rId724" Type="http://schemas.openxmlformats.org/officeDocument/2006/relationships/image" Target="media/image713.png"/><Relationship Id="rId723" Type="http://schemas.openxmlformats.org/officeDocument/2006/relationships/image" Target="media/image712.png"/><Relationship Id="rId722" Type="http://schemas.openxmlformats.org/officeDocument/2006/relationships/image" Target="media/image711.png"/><Relationship Id="rId721" Type="http://schemas.openxmlformats.org/officeDocument/2006/relationships/image" Target="media/image710.png"/><Relationship Id="rId720" Type="http://schemas.openxmlformats.org/officeDocument/2006/relationships/image" Target="media/image709.png"/><Relationship Id="rId72" Type="http://schemas.openxmlformats.org/officeDocument/2006/relationships/image" Target="media/image61.png"/><Relationship Id="rId719" Type="http://schemas.openxmlformats.org/officeDocument/2006/relationships/image" Target="media/image708.png"/><Relationship Id="rId718" Type="http://schemas.openxmlformats.org/officeDocument/2006/relationships/image" Target="media/image707.png"/><Relationship Id="rId717" Type="http://schemas.openxmlformats.org/officeDocument/2006/relationships/image" Target="media/image706.png"/><Relationship Id="rId716" Type="http://schemas.openxmlformats.org/officeDocument/2006/relationships/image" Target="media/image705.png"/><Relationship Id="rId715" Type="http://schemas.openxmlformats.org/officeDocument/2006/relationships/image" Target="media/image704.png"/><Relationship Id="rId714" Type="http://schemas.openxmlformats.org/officeDocument/2006/relationships/image" Target="media/image703.png"/><Relationship Id="rId713" Type="http://schemas.openxmlformats.org/officeDocument/2006/relationships/image" Target="media/image702.png"/><Relationship Id="rId712" Type="http://schemas.openxmlformats.org/officeDocument/2006/relationships/image" Target="media/image701.png"/><Relationship Id="rId711" Type="http://schemas.openxmlformats.org/officeDocument/2006/relationships/image" Target="media/image700.png"/><Relationship Id="rId710" Type="http://schemas.openxmlformats.org/officeDocument/2006/relationships/image" Target="media/image699.png"/><Relationship Id="rId71" Type="http://schemas.openxmlformats.org/officeDocument/2006/relationships/image" Target="media/image60.png"/><Relationship Id="rId709" Type="http://schemas.openxmlformats.org/officeDocument/2006/relationships/image" Target="media/image698.png"/><Relationship Id="rId708" Type="http://schemas.openxmlformats.org/officeDocument/2006/relationships/image" Target="media/image697.png"/><Relationship Id="rId707" Type="http://schemas.openxmlformats.org/officeDocument/2006/relationships/image" Target="media/image696.png"/><Relationship Id="rId706" Type="http://schemas.openxmlformats.org/officeDocument/2006/relationships/image" Target="media/image695.png"/><Relationship Id="rId705" Type="http://schemas.openxmlformats.org/officeDocument/2006/relationships/image" Target="media/image694.png"/><Relationship Id="rId704" Type="http://schemas.openxmlformats.org/officeDocument/2006/relationships/image" Target="media/image693.png"/><Relationship Id="rId703" Type="http://schemas.openxmlformats.org/officeDocument/2006/relationships/image" Target="media/image692.png"/><Relationship Id="rId702" Type="http://schemas.openxmlformats.org/officeDocument/2006/relationships/image" Target="media/image691.png"/><Relationship Id="rId701" Type="http://schemas.openxmlformats.org/officeDocument/2006/relationships/image" Target="media/image690.png"/><Relationship Id="rId700" Type="http://schemas.openxmlformats.org/officeDocument/2006/relationships/image" Target="media/image689.png"/><Relationship Id="rId70" Type="http://schemas.openxmlformats.org/officeDocument/2006/relationships/image" Target="media/image59.png"/><Relationship Id="rId7" Type="http://schemas.openxmlformats.org/officeDocument/2006/relationships/header" Target="header2.xml"/><Relationship Id="rId699" Type="http://schemas.openxmlformats.org/officeDocument/2006/relationships/image" Target="media/image688.png"/><Relationship Id="rId698" Type="http://schemas.openxmlformats.org/officeDocument/2006/relationships/image" Target="media/image687.png"/><Relationship Id="rId697" Type="http://schemas.openxmlformats.org/officeDocument/2006/relationships/image" Target="media/image686.png"/><Relationship Id="rId696" Type="http://schemas.openxmlformats.org/officeDocument/2006/relationships/image" Target="media/image685.png"/><Relationship Id="rId695" Type="http://schemas.openxmlformats.org/officeDocument/2006/relationships/image" Target="media/image684.png"/><Relationship Id="rId694" Type="http://schemas.openxmlformats.org/officeDocument/2006/relationships/image" Target="media/image683.png"/><Relationship Id="rId693" Type="http://schemas.openxmlformats.org/officeDocument/2006/relationships/image" Target="media/image682.png"/><Relationship Id="rId692" Type="http://schemas.openxmlformats.org/officeDocument/2006/relationships/image" Target="media/image681.png"/><Relationship Id="rId691" Type="http://schemas.openxmlformats.org/officeDocument/2006/relationships/image" Target="media/image680.png"/><Relationship Id="rId690" Type="http://schemas.openxmlformats.org/officeDocument/2006/relationships/image" Target="media/image679.png"/><Relationship Id="rId69" Type="http://schemas.openxmlformats.org/officeDocument/2006/relationships/image" Target="media/image58.png"/><Relationship Id="rId689" Type="http://schemas.openxmlformats.org/officeDocument/2006/relationships/image" Target="media/image678.png"/><Relationship Id="rId688" Type="http://schemas.openxmlformats.org/officeDocument/2006/relationships/image" Target="media/image677.png"/><Relationship Id="rId687" Type="http://schemas.openxmlformats.org/officeDocument/2006/relationships/image" Target="media/image676.png"/><Relationship Id="rId686" Type="http://schemas.openxmlformats.org/officeDocument/2006/relationships/image" Target="media/image675.png"/><Relationship Id="rId685" Type="http://schemas.openxmlformats.org/officeDocument/2006/relationships/image" Target="media/image674.png"/><Relationship Id="rId684" Type="http://schemas.openxmlformats.org/officeDocument/2006/relationships/image" Target="media/image673.png"/><Relationship Id="rId683" Type="http://schemas.openxmlformats.org/officeDocument/2006/relationships/image" Target="media/image672.emf"/><Relationship Id="rId682" Type="http://schemas.openxmlformats.org/officeDocument/2006/relationships/image" Target="media/image671.png"/><Relationship Id="rId681" Type="http://schemas.openxmlformats.org/officeDocument/2006/relationships/image" Target="media/image670.png"/><Relationship Id="rId680" Type="http://schemas.openxmlformats.org/officeDocument/2006/relationships/image" Target="media/image669.png"/><Relationship Id="rId68" Type="http://schemas.openxmlformats.org/officeDocument/2006/relationships/image" Target="media/image57.GIF"/><Relationship Id="rId679" Type="http://schemas.openxmlformats.org/officeDocument/2006/relationships/image" Target="media/image668.png"/><Relationship Id="rId678" Type="http://schemas.openxmlformats.org/officeDocument/2006/relationships/image" Target="media/image667.png"/><Relationship Id="rId677" Type="http://schemas.openxmlformats.org/officeDocument/2006/relationships/image" Target="media/image666.png"/><Relationship Id="rId676" Type="http://schemas.openxmlformats.org/officeDocument/2006/relationships/image" Target="media/image665.png"/><Relationship Id="rId675" Type="http://schemas.openxmlformats.org/officeDocument/2006/relationships/image" Target="media/image664.png"/><Relationship Id="rId674" Type="http://schemas.openxmlformats.org/officeDocument/2006/relationships/image" Target="media/image663.png"/><Relationship Id="rId673" Type="http://schemas.openxmlformats.org/officeDocument/2006/relationships/image" Target="media/image662.png"/><Relationship Id="rId672" Type="http://schemas.openxmlformats.org/officeDocument/2006/relationships/image" Target="media/image661.png"/><Relationship Id="rId671" Type="http://schemas.openxmlformats.org/officeDocument/2006/relationships/image" Target="media/image660.png"/><Relationship Id="rId670" Type="http://schemas.openxmlformats.org/officeDocument/2006/relationships/image" Target="media/image659.png"/><Relationship Id="rId67" Type="http://schemas.openxmlformats.org/officeDocument/2006/relationships/hyperlink" Target="javascript:void(0)" TargetMode="External"/><Relationship Id="rId669" Type="http://schemas.openxmlformats.org/officeDocument/2006/relationships/image" Target="media/image658.png"/><Relationship Id="rId668" Type="http://schemas.openxmlformats.org/officeDocument/2006/relationships/image" Target="media/image657.png"/><Relationship Id="rId667" Type="http://schemas.openxmlformats.org/officeDocument/2006/relationships/image" Target="media/image656.png"/><Relationship Id="rId666" Type="http://schemas.openxmlformats.org/officeDocument/2006/relationships/image" Target="media/image655.png"/><Relationship Id="rId665" Type="http://schemas.openxmlformats.org/officeDocument/2006/relationships/image" Target="media/image654.png"/><Relationship Id="rId664" Type="http://schemas.openxmlformats.org/officeDocument/2006/relationships/image" Target="media/image653.png"/><Relationship Id="rId663" Type="http://schemas.openxmlformats.org/officeDocument/2006/relationships/image" Target="media/image652.png"/><Relationship Id="rId662" Type="http://schemas.openxmlformats.org/officeDocument/2006/relationships/image" Target="media/image651.png"/><Relationship Id="rId661" Type="http://schemas.openxmlformats.org/officeDocument/2006/relationships/image" Target="media/image650.png"/><Relationship Id="rId660" Type="http://schemas.openxmlformats.org/officeDocument/2006/relationships/image" Target="media/image649.png"/><Relationship Id="rId66" Type="http://schemas.openxmlformats.org/officeDocument/2006/relationships/image" Target="media/image56.GIF"/><Relationship Id="rId659" Type="http://schemas.openxmlformats.org/officeDocument/2006/relationships/image" Target="media/image648.png"/><Relationship Id="rId658" Type="http://schemas.openxmlformats.org/officeDocument/2006/relationships/image" Target="media/image647.png"/><Relationship Id="rId657" Type="http://schemas.openxmlformats.org/officeDocument/2006/relationships/image" Target="media/image646.png"/><Relationship Id="rId656" Type="http://schemas.openxmlformats.org/officeDocument/2006/relationships/image" Target="media/image645.png"/><Relationship Id="rId655" Type="http://schemas.openxmlformats.org/officeDocument/2006/relationships/image" Target="media/image644.png"/><Relationship Id="rId654" Type="http://schemas.openxmlformats.org/officeDocument/2006/relationships/image" Target="media/image643.png"/><Relationship Id="rId653" Type="http://schemas.openxmlformats.org/officeDocument/2006/relationships/image" Target="media/image642.png"/><Relationship Id="rId652" Type="http://schemas.openxmlformats.org/officeDocument/2006/relationships/image" Target="media/image641.png"/><Relationship Id="rId651" Type="http://schemas.openxmlformats.org/officeDocument/2006/relationships/image" Target="media/image640.png"/><Relationship Id="rId650" Type="http://schemas.openxmlformats.org/officeDocument/2006/relationships/image" Target="media/image639.png"/><Relationship Id="rId65" Type="http://schemas.openxmlformats.org/officeDocument/2006/relationships/hyperlink" Target="http://10.0.163.51/webui/?g=sys_admin_edit%26name=admin" TargetMode="External"/><Relationship Id="rId649" Type="http://schemas.openxmlformats.org/officeDocument/2006/relationships/image" Target="media/image638.png"/><Relationship Id="rId648" Type="http://schemas.openxmlformats.org/officeDocument/2006/relationships/image" Target="media/image637.png"/><Relationship Id="rId647" Type="http://schemas.openxmlformats.org/officeDocument/2006/relationships/image" Target="media/image636.png"/><Relationship Id="rId646" Type="http://schemas.openxmlformats.org/officeDocument/2006/relationships/image" Target="media/image635.png"/><Relationship Id="rId645" Type="http://schemas.openxmlformats.org/officeDocument/2006/relationships/image" Target="media/image634.png"/><Relationship Id="rId644" Type="http://schemas.openxmlformats.org/officeDocument/2006/relationships/image" Target="media/image633.png"/><Relationship Id="rId643" Type="http://schemas.openxmlformats.org/officeDocument/2006/relationships/image" Target="media/image632.png"/><Relationship Id="rId642" Type="http://schemas.openxmlformats.org/officeDocument/2006/relationships/image" Target="media/image631.png"/><Relationship Id="rId641" Type="http://schemas.openxmlformats.org/officeDocument/2006/relationships/image" Target="media/image630.png"/><Relationship Id="rId640" Type="http://schemas.openxmlformats.org/officeDocument/2006/relationships/image" Target="media/image629.png"/><Relationship Id="rId64" Type="http://schemas.openxmlformats.org/officeDocument/2006/relationships/image" Target="media/image55.png"/><Relationship Id="rId639" Type="http://schemas.openxmlformats.org/officeDocument/2006/relationships/image" Target="media/image628.png"/><Relationship Id="rId638" Type="http://schemas.openxmlformats.org/officeDocument/2006/relationships/image" Target="media/image627.png"/><Relationship Id="rId637" Type="http://schemas.openxmlformats.org/officeDocument/2006/relationships/image" Target="media/image626.png"/><Relationship Id="rId636" Type="http://schemas.openxmlformats.org/officeDocument/2006/relationships/image" Target="media/image625.png"/><Relationship Id="rId635" Type="http://schemas.openxmlformats.org/officeDocument/2006/relationships/image" Target="media/image624.png"/><Relationship Id="rId634" Type="http://schemas.openxmlformats.org/officeDocument/2006/relationships/image" Target="media/image623.png"/><Relationship Id="rId633" Type="http://schemas.openxmlformats.org/officeDocument/2006/relationships/image" Target="media/image622.png"/><Relationship Id="rId632" Type="http://schemas.openxmlformats.org/officeDocument/2006/relationships/image" Target="media/image621.emf"/><Relationship Id="rId631" Type="http://schemas.openxmlformats.org/officeDocument/2006/relationships/image" Target="media/image620.png"/><Relationship Id="rId630" Type="http://schemas.openxmlformats.org/officeDocument/2006/relationships/image" Target="media/image619.png"/><Relationship Id="rId63" Type="http://schemas.openxmlformats.org/officeDocument/2006/relationships/image" Target="media/image54.png"/><Relationship Id="rId629" Type="http://schemas.openxmlformats.org/officeDocument/2006/relationships/image" Target="media/image618.png"/><Relationship Id="rId628" Type="http://schemas.openxmlformats.org/officeDocument/2006/relationships/image" Target="media/image617.png"/><Relationship Id="rId627" Type="http://schemas.openxmlformats.org/officeDocument/2006/relationships/image" Target="media/image616.png"/><Relationship Id="rId626" Type="http://schemas.openxmlformats.org/officeDocument/2006/relationships/image" Target="media/image615.png"/><Relationship Id="rId625" Type="http://schemas.openxmlformats.org/officeDocument/2006/relationships/image" Target="media/image614.png"/><Relationship Id="rId624" Type="http://schemas.openxmlformats.org/officeDocument/2006/relationships/image" Target="media/image613.png"/><Relationship Id="rId623" Type="http://schemas.openxmlformats.org/officeDocument/2006/relationships/image" Target="media/image612.png"/><Relationship Id="rId622" Type="http://schemas.openxmlformats.org/officeDocument/2006/relationships/image" Target="media/image611.png"/><Relationship Id="rId621" Type="http://schemas.openxmlformats.org/officeDocument/2006/relationships/image" Target="media/image610.png"/><Relationship Id="rId620" Type="http://schemas.openxmlformats.org/officeDocument/2006/relationships/image" Target="media/image609.png"/><Relationship Id="rId62" Type="http://schemas.openxmlformats.org/officeDocument/2006/relationships/image" Target="media/image53.png"/><Relationship Id="rId619" Type="http://schemas.openxmlformats.org/officeDocument/2006/relationships/image" Target="media/image608.png"/><Relationship Id="rId618" Type="http://schemas.openxmlformats.org/officeDocument/2006/relationships/image" Target="media/image607.png"/><Relationship Id="rId617" Type="http://schemas.openxmlformats.org/officeDocument/2006/relationships/image" Target="media/image606.png"/><Relationship Id="rId616" Type="http://schemas.openxmlformats.org/officeDocument/2006/relationships/image" Target="media/image605.png"/><Relationship Id="rId615" Type="http://schemas.openxmlformats.org/officeDocument/2006/relationships/image" Target="media/image604.png"/><Relationship Id="rId614" Type="http://schemas.openxmlformats.org/officeDocument/2006/relationships/image" Target="media/image603.png"/><Relationship Id="rId613" Type="http://schemas.openxmlformats.org/officeDocument/2006/relationships/image" Target="media/image602.emf"/><Relationship Id="rId612" Type="http://schemas.openxmlformats.org/officeDocument/2006/relationships/image" Target="media/image601.png"/><Relationship Id="rId611" Type="http://schemas.openxmlformats.org/officeDocument/2006/relationships/image" Target="media/image600.png"/><Relationship Id="rId610" Type="http://schemas.openxmlformats.org/officeDocument/2006/relationships/image" Target="media/image599.png"/><Relationship Id="rId61" Type="http://schemas.openxmlformats.org/officeDocument/2006/relationships/image" Target="media/image52.png"/><Relationship Id="rId609" Type="http://schemas.openxmlformats.org/officeDocument/2006/relationships/image" Target="media/image598.png"/><Relationship Id="rId608" Type="http://schemas.openxmlformats.org/officeDocument/2006/relationships/image" Target="media/image597.png"/><Relationship Id="rId607" Type="http://schemas.openxmlformats.org/officeDocument/2006/relationships/image" Target="media/image596.png"/><Relationship Id="rId606" Type="http://schemas.openxmlformats.org/officeDocument/2006/relationships/image" Target="media/image595.png"/><Relationship Id="rId605" Type="http://schemas.openxmlformats.org/officeDocument/2006/relationships/image" Target="media/image594.png"/><Relationship Id="rId604" Type="http://schemas.openxmlformats.org/officeDocument/2006/relationships/image" Target="media/image593.png"/><Relationship Id="rId603" Type="http://schemas.openxmlformats.org/officeDocument/2006/relationships/image" Target="media/image592.png"/><Relationship Id="rId602" Type="http://schemas.openxmlformats.org/officeDocument/2006/relationships/image" Target="media/image591.png"/><Relationship Id="rId601" Type="http://schemas.openxmlformats.org/officeDocument/2006/relationships/image" Target="media/image590.png"/><Relationship Id="rId600" Type="http://schemas.openxmlformats.org/officeDocument/2006/relationships/image" Target="media/image589.png"/><Relationship Id="rId60" Type="http://schemas.openxmlformats.org/officeDocument/2006/relationships/image" Target="media/image51.png"/><Relationship Id="rId6" Type="http://schemas.openxmlformats.org/officeDocument/2006/relationships/footer" Target="footer1.xml"/><Relationship Id="rId599" Type="http://schemas.openxmlformats.org/officeDocument/2006/relationships/image" Target="media/image588.png"/><Relationship Id="rId598" Type="http://schemas.openxmlformats.org/officeDocument/2006/relationships/image" Target="media/image587.png"/><Relationship Id="rId597" Type="http://schemas.openxmlformats.org/officeDocument/2006/relationships/image" Target="media/image586.png"/><Relationship Id="rId596" Type="http://schemas.openxmlformats.org/officeDocument/2006/relationships/image" Target="media/image585.png"/><Relationship Id="rId595" Type="http://schemas.openxmlformats.org/officeDocument/2006/relationships/image" Target="media/image584.png"/><Relationship Id="rId594" Type="http://schemas.openxmlformats.org/officeDocument/2006/relationships/image" Target="media/image583.png"/><Relationship Id="rId593" Type="http://schemas.openxmlformats.org/officeDocument/2006/relationships/image" Target="media/image582.png"/><Relationship Id="rId592" Type="http://schemas.openxmlformats.org/officeDocument/2006/relationships/image" Target="media/image581.png"/><Relationship Id="rId591" Type="http://schemas.openxmlformats.org/officeDocument/2006/relationships/image" Target="media/image580.png"/><Relationship Id="rId590" Type="http://schemas.openxmlformats.org/officeDocument/2006/relationships/image" Target="media/image579.png"/><Relationship Id="rId59" Type="http://schemas.openxmlformats.org/officeDocument/2006/relationships/image" Target="media/image50.png"/><Relationship Id="rId589" Type="http://schemas.openxmlformats.org/officeDocument/2006/relationships/image" Target="media/image578.png"/><Relationship Id="rId588" Type="http://schemas.openxmlformats.org/officeDocument/2006/relationships/image" Target="media/image577.png"/><Relationship Id="rId587" Type="http://schemas.openxmlformats.org/officeDocument/2006/relationships/image" Target="media/image576.png"/><Relationship Id="rId586" Type="http://schemas.openxmlformats.org/officeDocument/2006/relationships/image" Target="media/image575.png"/><Relationship Id="rId585" Type="http://schemas.openxmlformats.org/officeDocument/2006/relationships/image" Target="media/image574.png"/><Relationship Id="rId584" Type="http://schemas.openxmlformats.org/officeDocument/2006/relationships/image" Target="media/image573.png"/><Relationship Id="rId583" Type="http://schemas.openxmlformats.org/officeDocument/2006/relationships/image" Target="media/image572.png"/><Relationship Id="rId582" Type="http://schemas.openxmlformats.org/officeDocument/2006/relationships/image" Target="media/image571.png"/><Relationship Id="rId581" Type="http://schemas.openxmlformats.org/officeDocument/2006/relationships/image" Target="media/image570.png"/><Relationship Id="rId580" Type="http://schemas.openxmlformats.org/officeDocument/2006/relationships/image" Target="media/image569.png"/><Relationship Id="rId58" Type="http://schemas.openxmlformats.org/officeDocument/2006/relationships/image" Target="media/image49.png"/><Relationship Id="rId579" Type="http://schemas.openxmlformats.org/officeDocument/2006/relationships/image" Target="media/image568.png"/><Relationship Id="rId578" Type="http://schemas.openxmlformats.org/officeDocument/2006/relationships/image" Target="media/image567.png"/><Relationship Id="rId577" Type="http://schemas.openxmlformats.org/officeDocument/2006/relationships/image" Target="media/image566.png"/><Relationship Id="rId576" Type="http://schemas.openxmlformats.org/officeDocument/2006/relationships/image" Target="media/image565.png"/><Relationship Id="rId575" Type="http://schemas.openxmlformats.org/officeDocument/2006/relationships/image" Target="media/image564.png"/><Relationship Id="rId574" Type="http://schemas.openxmlformats.org/officeDocument/2006/relationships/image" Target="media/image563.png"/><Relationship Id="rId573" Type="http://schemas.openxmlformats.org/officeDocument/2006/relationships/image" Target="media/image562.png"/><Relationship Id="rId572" Type="http://schemas.openxmlformats.org/officeDocument/2006/relationships/image" Target="media/image561.png"/><Relationship Id="rId571" Type="http://schemas.openxmlformats.org/officeDocument/2006/relationships/image" Target="media/image560.png"/><Relationship Id="rId570" Type="http://schemas.openxmlformats.org/officeDocument/2006/relationships/image" Target="media/image559.png"/><Relationship Id="rId57" Type="http://schemas.openxmlformats.org/officeDocument/2006/relationships/image" Target="media/image48.png"/><Relationship Id="rId569" Type="http://schemas.openxmlformats.org/officeDocument/2006/relationships/image" Target="media/image558.png"/><Relationship Id="rId568" Type="http://schemas.openxmlformats.org/officeDocument/2006/relationships/image" Target="media/image557.png"/><Relationship Id="rId567" Type="http://schemas.openxmlformats.org/officeDocument/2006/relationships/image" Target="media/image556.png"/><Relationship Id="rId566" Type="http://schemas.openxmlformats.org/officeDocument/2006/relationships/image" Target="media/image555.png"/><Relationship Id="rId565" Type="http://schemas.openxmlformats.org/officeDocument/2006/relationships/image" Target="media/image554.png"/><Relationship Id="rId564" Type="http://schemas.openxmlformats.org/officeDocument/2006/relationships/image" Target="media/image553.png"/><Relationship Id="rId563" Type="http://schemas.openxmlformats.org/officeDocument/2006/relationships/image" Target="media/image552.png"/><Relationship Id="rId562" Type="http://schemas.openxmlformats.org/officeDocument/2006/relationships/image" Target="media/image551.png"/><Relationship Id="rId561" Type="http://schemas.openxmlformats.org/officeDocument/2006/relationships/image" Target="media/image550.png"/><Relationship Id="rId560" Type="http://schemas.openxmlformats.org/officeDocument/2006/relationships/image" Target="media/image549.png"/><Relationship Id="rId56" Type="http://schemas.openxmlformats.org/officeDocument/2006/relationships/image" Target="media/image47.png"/><Relationship Id="rId559" Type="http://schemas.openxmlformats.org/officeDocument/2006/relationships/image" Target="media/image548.png"/><Relationship Id="rId558" Type="http://schemas.openxmlformats.org/officeDocument/2006/relationships/image" Target="media/image547.png"/><Relationship Id="rId557" Type="http://schemas.openxmlformats.org/officeDocument/2006/relationships/image" Target="media/image546.png"/><Relationship Id="rId556" Type="http://schemas.openxmlformats.org/officeDocument/2006/relationships/image" Target="media/image545.png"/><Relationship Id="rId555" Type="http://schemas.openxmlformats.org/officeDocument/2006/relationships/image" Target="media/image544.png"/><Relationship Id="rId554" Type="http://schemas.openxmlformats.org/officeDocument/2006/relationships/image" Target="media/image543.png"/><Relationship Id="rId553" Type="http://schemas.openxmlformats.org/officeDocument/2006/relationships/image" Target="media/image542.png"/><Relationship Id="rId552" Type="http://schemas.openxmlformats.org/officeDocument/2006/relationships/image" Target="media/image541.png"/><Relationship Id="rId551" Type="http://schemas.openxmlformats.org/officeDocument/2006/relationships/image" Target="media/image540.png"/><Relationship Id="rId550" Type="http://schemas.openxmlformats.org/officeDocument/2006/relationships/image" Target="media/image539.png"/><Relationship Id="rId55" Type="http://schemas.openxmlformats.org/officeDocument/2006/relationships/image" Target="media/image46.png"/><Relationship Id="rId549" Type="http://schemas.openxmlformats.org/officeDocument/2006/relationships/image" Target="media/image538.png"/><Relationship Id="rId548" Type="http://schemas.openxmlformats.org/officeDocument/2006/relationships/image" Target="media/image537.png"/><Relationship Id="rId547" Type="http://schemas.openxmlformats.org/officeDocument/2006/relationships/image" Target="media/image536.png"/><Relationship Id="rId546" Type="http://schemas.openxmlformats.org/officeDocument/2006/relationships/image" Target="media/image535.png"/><Relationship Id="rId545" Type="http://schemas.openxmlformats.org/officeDocument/2006/relationships/image" Target="media/image534.png"/><Relationship Id="rId544" Type="http://schemas.openxmlformats.org/officeDocument/2006/relationships/image" Target="media/image533.png"/><Relationship Id="rId543" Type="http://schemas.openxmlformats.org/officeDocument/2006/relationships/image" Target="media/image532.png"/><Relationship Id="rId542" Type="http://schemas.openxmlformats.org/officeDocument/2006/relationships/image" Target="media/image531.png"/><Relationship Id="rId541" Type="http://schemas.openxmlformats.org/officeDocument/2006/relationships/image" Target="media/image530.png"/><Relationship Id="rId540" Type="http://schemas.openxmlformats.org/officeDocument/2006/relationships/image" Target="media/image529.png"/><Relationship Id="rId54" Type="http://schemas.openxmlformats.org/officeDocument/2006/relationships/image" Target="media/image45.png"/><Relationship Id="rId539" Type="http://schemas.openxmlformats.org/officeDocument/2006/relationships/image" Target="media/image528.png"/><Relationship Id="rId538" Type="http://schemas.openxmlformats.org/officeDocument/2006/relationships/image" Target="media/image527.png"/><Relationship Id="rId537" Type="http://schemas.openxmlformats.org/officeDocument/2006/relationships/image" Target="media/image526.png"/><Relationship Id="rId536" Type="http://schemas.openxmlformats.org/officeDocument/2006/relationships/image" Target="media/image525.png"/><Relationship Id="rId535" Type="http://schemas.openxmlformats.org/officeDocument/2006/relationships/image" Target="media/image524.png"/><Relationship Id="rId534" Type="http://schemas.openxmlformats.org/officeDocument/2006/relationships/image" Target="media/image523.png"/><Relationship Id="rId533" Type="http://schemas.openxmlformats.org/officeDocument/2006/relationships/image" Target="media/image522.png"/><Relationship Id="rId532" Type="http://schemas.openxmlformats.org/officeDocument/2006/relationships/image" Target="media/image521.png"/><Relationship Id="rId531" Type="http://schemas.openxmlformats.org/officeDocument/2006/relationships/image" Target="media/image520.png"/><Relationship Id="rId530" Type="http://schemas.openxmlformats.org/officeDocument/2006/relationships/image" Target="media/image519.png"/><Relationship Id="rId53" Type="http://schemas.openxmlformats.org/officeDocument/2006/relationships/image" Target="media/image44.png"/><Relationship Id="rId529" Type="http://schemas.openxmlformats.org/officeDocument/2006/relationships/image" Target="media/image518.png"/><Relationship Id="rId528" Type="http://schemas.openxmlformats.org/officeDocument/2006/relationships/image" Target="media/image517.png"/><Relationship Id="rId527" Type="http://schemas.openxmlformats.org/officeDocument/2006/relationships/image" Target="media/image516.png"/><Relationship Id="rId526" Type="http://schemas.openxmlformats.org/officeDocument/2006/relationships/image" Target="media/image515.png"/><Relationship Id="rId525" Type="http://schemas.openxmlformats.org/officeDocument/2006/relationships/image" Target="media/image514.png"/><Relationship Id="rId524" Type="http://schemas.openxmlformats.org/officeDocument/2006/relationships/image" Target="media/image513.png"/><Relationship Id="rId523" Type="http://schemas.openxmlformats.org/officeDocument/2006/relationships/image" Target="media/image512.png"/><Relationship Id="rId522" Type="http://schemas.openxmlformats.org/officeDocument/2006/relationships/image" Target="media/image511.png"/><Relationship Id="rId521" Type="http://schemas.openxmlformats.org/officeDocument/2006/relationships/image" Target="media/image510.png"/><Relationship Id="rId520" Type="http://schemas.openxmlformats.org/officeDocument/2006/relationships/image" Target="media/image509.png"/><Relationship Id="rId52" Type="http://schemas.openxmlformats.org/officeDocument/2006/relationships/image" Target="media/image43.png"/><Relationship Id="rId519" Type="http://schemas.openxmlformats.org/officeDocument/2006/relationships/image" Target="media/image508.png"/><Relationship Id="rId518" Type="http://schemas.openxmlformats.org/officeDocument/2006/relationships/image" Target="media/image507.png"/><Relationship Id="rId517" Type="http://schemas.openxmlformats.org/officeDocument/2006/relationships/image" Target="media/image506.png"/><Relationship Id="rId516" Type="http://schemas.openxmlformats.org/officeDocument/2006/relationships/image" Target="media/image505.png"/><Relationship Id="rId515" Type="http://schemas.openxmlformats.org/officeDocument/2006/relationships/image" Target="media/image504.png"/><Relationship Id="rId514" Type="http://schemas.openxmlformats.org/officeDocument/2006/relationships/image" Target="media/image503.png"/><Relationship Id="rId513" Type="http://schemas.openxmlformats.org/officeDocument/2006/relationships/image" Target="media/image502.png"/><Relationship Id="rId512" Type="http://schemas.openxmlformats.org/officeDocument/2006/relationships/image" Target="media/image501.png"/><Relationship Id="rId511" Type="http://schemas.openxmlformats.org/officeDocument/2006/relationships/image" Target="media/image500.png"/><Relationship Id="rId510" Type="http://schemas.openxmlformats.org/officeDocument/2006/relationships/image" Target="media/image499.png"/><Relationship Id="rId51" Type="http://schemas.openxmlformats.org/officeDocument/2006/relationships/image" Target="media/image42.png"/><Relationship Id="rId509" Type="http://schemas.openxmlformats.org/officeDocument/2006/relationships/image" Target="media/image498.png"/><Relationship Id="rId508" Type="http://schemas.openxmlformats.org/officeDocument/2006/relationships/image" Target="media/image497.png"/><Relationship Id="rId507" Type="http://schemas.openxmlformats.org/officeDocument/2006/relationships/image" Target="media/image496.png"/><Relationship Id="rId506" Type="http://schemas.openxmlformats.org/officeDocument/2006/relationships/image" Target="media/image495.png"/><Relationship Id="rId505" Type="http://schemas.openxmlformats.org/officeDocument/2006/relationships/image" Target="media/image494.png"/><Relationship Id="rId504" Type="http://schemas.openxmlformats.org/officeDocument/2006/relationships/image" Target="media/image493.png"/><Relationship Id="rId503" Type="http://schemas.openxmlformats.org/officeDocument/2006/relationships/image" Target="media/image492.png"/><Relationship Id="rId502" Type="http://schemas.openxmlformats.org/officeDocument/2006/relationships/image" Target="media/image491.png"/><Relationship Id="rId501" Type="http://schemas.openxmlformats.org/officeDocument/2006/relationships/image" Target="media/image490.png"/><Relationship Id="rId500" Type="http://schemas.openxmlformats.org/officeDocument/2006/relationships/image" Target="media/image489.png"/><Relationship Id="rId50" Type="http://schemas.openxmlformats.org/officeDocument/2006/relationships/image" Target="media/image41.png"/><Relationship Id="rId5" Type="http://schemas.openxmlformats.org/officeDocument/2006/relationships/header" Target="header1.xml"/><Relationship Id="rId499" Type="http://schemas.openxmlformats.org/officeDocument/2006/relationships/image" Target="media/image488.png"/><Relationship Id="rId498" Type="http://schemas.openxmlformats.org/officeDocument/2006/relationships/image" Target="media/image487.png"/><Relationship Id="rId497" Type="http://schemas.openxmlformats.org/officeDocument/2006/relationships/image" Target="media/image486.png"/><Relationship Id="rId496" Type="http://schemas.openxmlformats.org/officeDocument/2006/relationships/image" Target="media/image485.png"/><Relationship Id="rId495" Type="http://schemas.openxmlformats.org/officeDocument/2006/relationships/image" Target="media/image484.png"/><Relationship Id="rId494" Type="http://schemas.openxmlformats.org/officeDocument/2006/relationships/image" Target="media/image483.png"/><Relationship Id="rId493" Type="http://schemas.openxmlformats.org/officeDocument/2006/relationships/image" Target="media/image482.png"/><Relationship Id="rId492" Type="http://schemas.openxmlformats.org/officeDocument/2006/relationships/image" Target="media/image481.png"/><Relationship Id="rId491" Type="http://schemas.openxmlformats.org/officeDocument/2006/relationships/image" Target="media/image480.png"/><Relationship Id="rId490" Type="http://schemas.openxmlformats.org/officeDocument/2006/relationships/image" Target="media/image479.png"/><Relationship Id="rId49" Type="http://schemas.openxmlformats.org/officeDocument/2006/relationships/image" Target="media/image40.png"/><Relationship Id="rId489" Type="http://schemas.openxmlformats.org/officeDocument/2006/relationships/image" Target="media/image478.png"/><Relationship Id="rId488" Type="http://schemas.openxmlformats.org/officeDocument/2006/relationships/image" Target="media/image477.png"/><Relationship Id="rId487" Type="http://schemas.openxmlformats.org/officeDocument/2006/relationships/image" Target="media/image476.png"/><Relationship Id="rId486" Type="http://schemas.openxmlformats.org/officeDocument/2006/relationships/image" Target="media/image475.png"/><Relationship Id="rId485" Type="http://schemas.openxmlformats.org/officeDocument/2006/relationships/image" Target="media/image474.png"/><Relationship Id="rId484" Type="http://schemas.openxmlformats.org/officeDocument/2006/relationships/image" Target="media/image473.png"/><Relationship Id="rId483" Type="http://schemas.openxmlformats.org/officeDocument/2006/relationships/image" Target="media/image472.png"/><Relationship Id="rId482" Type="http://schemas.openxmlformats.org/officeDocument/2006/relationships/image" Target="media/image471.png"/><Relationship Id="rId481" Type="http://schemas.openxmlformats.org/officeDocument/2006/relationships/image" Target="media/image470.png"/><Relationship Id="rId480" Type="http://schemas.openxmlformats.org/officeDocument/2006/relationships/image" Target="media/image469.png"/><Relationship Id="rId48" Type="http://schemas.openxmlformats.org/officeDocument/2006/relationships/image" Target="media/image39.png"/><Relationship Id="rId479" Type="http://schemas.openxmlformats.org/officeDocument/2006/relationships/image" Target="media/image468.png"/><Relationship Id="rId478" Type="http://schemas.openxmlformats.org/officeDocument/2006/relationships/image" Target="media/image467.png"/><Relationship Id="rId477" Type="http://schemas.openxmlformats.org/officeDocument/2006/relationships/image" Target="media/image466.png"/><Relationship Id="rId476" Type="http://schemas.openxmlformats.org/officeDocument/2006/relationships/image" Target="media/image465.png"/><Relationship Id="rId475" Type="http://schemas.openxmlformats.org/officeDocument/2006/relationships/image" Target="media/image464.png"/><Relationship Id="rId474" Type="http://schemas.openxmlformats.org/officeDocument/2006/relationships/image" Target="media/image463.png"/><Relationship Id="rId473" Type="http://schemas.openxmlformats.org/officeDocument/2006/relationships/image" Target="media/image462.png"/><Relationship Id="rId472" Type="http://schemas.openxmlformats.org/officeDocument/2006/relationships/image" Target="media/image461.png"/><Relationship Id="rId471" Type="http://schemas.openxmlformats.org/officeDocument/2006/relationships/image" Target="media/image460.png"/><Relationship Id="rId470" Type="http://schemas.openxmlformats.org/officeDocument/2006/relationships/image" Target="media/image459.png"/><Relationship Id="rId47" Type="http://schemas.openxmlformats.org/officeDocument/2006/relationships/image" Target="media/image38.png"/><Relationship Id="rId469" Type="http://schemas.openxmlformats.org/officeDocument/2006/relationships/image" Target="media/image458.png"/><Relationship Id="rId468" Type="http://schemas.openxmlformats.org/officeDocument/2006/relationships/image" Target="media/image457.png"/><Relationship Id="rId467" Type="http://schemas.openxmlformats.org/officeDocument/2006/relationships/image" Target="media/image456.png"/><Relationship Id="rId466" Type="http://schemas.openxmlformats.org/officeDocument/2006/relationships/image" Target="media/image455.png"/><Relationship Id="rId465" Type="http://schemas.openxmlformats.org/officeDocument/2006/relationships/image" Target="media/image454.png"/><Relationship Id="rId464" Type="http://schemas.openxmlformats.org/officeDocument/2006/relationships/image" Target="media/image453.png"/><Relationship Id="rId463" Type="http://schemas.openxmlformats.org/officeDocument/2006/relationships/image" Target="media/image452.png"/><Relationship Id="rId462" Type="http://schemas.openxmlformats.org/officeDocument/2006/relationships/image" Target="media/image451.emf"/><Relationship Id="rId461" Type="http://schemas.openxmlformats.org/officeDocument/2006/relationships/image" Target="media/image450.emf"/><Relationship Id="rId460" Type="http://schemas.openxmlformats.org/officeDocument/2006/relationships/image" Target="media/image449.png"/><Relationship Id="rId46" Type="http://schemas.openxmlformats.org/officeDocument/2006/relationships/image" Target="media/image37.png"/><Relationship Id="rId459" Type="http://schemas.openxmlformats.org/officeDocument/2006/relationships/image" Target="media/image448.png"/><Relationship Id="rId458" Type="http://schemas.openxmlformats.org/officeDocument/2006/relationships/image" Target="media/image447.png"/><Relationship Id="rId457" Type="http://schemas.openxmlformats.org/officeDocument/2006/relationships/image" Target="media/image446.png"/><Relationship Id="rId456" Type="http://schemas.openxmlformats.org/officeDocument/2006/relationships/image" Target="media/image445.png"/><Relationship Id="rId455" Type="http://schemas.openxmlformats.org/officeDocument/2006/relationships/image" Target="media/image444.png"/><Relationship Id="rId454" Type="http://schemas.openxmlformats.org/officeDocument/2006/relationships/image" Target="media/image443.png"/><Relationship Id="rId453" Type="http://schemas.openxmlformats.org/officeDocument/2006/relationships/image" Target="media/image442.png"/><Relationship Id="rId452" Type="http://schemas.openxmlformats.org/officeDocument/2006/relationships/image" Target="media/image441.png"/><Relationship Id="rId451" Type="http://schemas.openxmlformats.org/officeDocument/2006/relationships/image" Target="media/image440.png"/><Relationship Id="rId450" Type="http://schemas.openxmlformats.org/officeDocument/2006/relationships/image" Target="media/image439.png"/><Relationship Id="rId45" Type="http://schemas.openxmlformats.org/officeDocument/2006/relationships/image" Target="media/image36.png"/><Relationship Id="rId449" Type="http://schemas.openxmlformats.org/officeDocument/2006/relationships/image" Target="media/image438.png"/><Relationship Id="rId448" Type="http://schemas.openxmlformats.org/officeDocument/2006/relationships/image" Target="media/image437.png"/><Relationship Id="rId447" Type="http://schemas.openxmlformats.org/officeDocument/2006/relationships/image" Target="media/image436.emf"/><Relationship Id="rId446" Type="http://schemas.openxmlformats.org/officeDocument/2006/relationships/image" Target="media/image435.png"/><Relationship Id="rId445" Type="http://schemas.openxmlformats.org/officeDocument/2006/relationships/image" Target="media/image434.png"/><Relationship Id="rId444" Type="http://schemas.openxmlformats.org/officeDocument/2006/relationships/image" Target="media/image433.png"/><Relationship Id="rId443" Type="http://schemas.openxmlformats.org/officeDocument/2006/relationships/image" Target="media/image432.png"/><Relationship Id="rId442" Type="http://schemas.openxmlformats.org/officeDocument/2006/relationships/image" Target="media/image431.png"/><Relationship Id="rId441" Type="http://schemas.openxmlformats.org/officeDocument/2006/relationships/image" Target="media/image430.png"/><Relationship Id="rId440" Type="http://schemas.openxmlformats.org/officeDocument/2006/relationships/image" Target="media/image429.png"/><Relationship Id="rId44" Type="http://schemas.openxmlformats.org/officeDocument/2006/relationships/image" Target="media/image35.png"/><Relationship Id="rId439" Type="http://schemas.openxmlformats.org/officeDocument/2006/relationships/image" Target="media/image428.png"/><Relationship Id="rId438" Type="http://schemas.openxmlformats.org/officeDocument/2006/relationships/image" Target="media/image427.png"/><Relationship Id="rId437" Type="http://schemas.openxmlformats.org/officeDocument/2006/relationships/image" Target="media/image426.png"/><Relationship Id="rId436" Type="http://schemas.openxmlformats.org/officeDocument/2006/relationships/image" Target="media/image425.png"/><Relationship Id="rId435" Type="http://schemas.openxmlformats.org/officeDocument/2006/relationships/image" Target="media/image424.png"/><Relationship Id="rId434" Type="http://schemas.openxmlformats.org/officeDocument/2006/relationships/image" Target="media/image423.png"/><Relationship Id="rId433" Type="http://schemas.openxmlformats.org/officeDocument/2006/relationships/image" Target="media/image422.png"/><Relationship Id="rId432" Type="http://schemas.openxmlformats.org/officeDocument/2006/relationships/image" Target="media/image421.png"/><Relationship Id="rId431" Type="http://schemas.openxmlformats.org/officeDocument/2006/relationships/image" Target="media/image420.png"/><Relationship Id="rId430" Type="http://schemas.openxmlformats.org/officeDocument/2006/relationships/image" Target="media/image419.png"/><Relationship Id="rId43" Type="http://schemas.openxmlformats.org/officeDocument/2006/relationships/image" Target="media/image34.png"/><Relationship Id="rId429" Type="http://schemas.openxmlformats.org/officeDocument/2006/relationships/image" Target="media/image418.png"/><Relationship Id="rId428" Type="http://schemas.openxmlformats.org/officeDocument/2006/relationships/image" Target="media/image417.png"/><Relationship Id="rId427" Type="http://schemas.openxmlformats.org/officeDocument/2006/relationships/image" Target="media/image416.png"/><Relationship Id="rId426" Type="http://schemas.openxmlformats.org/officeDocument/2006/relationships/image" Target="media/image415.png"/><Relationship Id="rId425" Type="http://schemas.openxmlformats.org/officeDocument/2006/relationships/image" Target="media/image414.png"/><Relationship Id="rId424" Type="http://schemas.openxmlformats.org/officeDocument/2006/relationships/image" Target="media/image413.png"/><Relationship Id="rId423" Type="http://schemas.openxmlformats.org/officeDocument/2006/relationships/image" Target="media/image412.png"/><Relationship Id="rId422" Type="http://schemas.openxmlformats.org/officeDocument/2006/relationships/image" Target="media/image411.png"/><Relationship Id="rId421" Type="http://schemas.openxmlformats.org/officeDocument/2006/relationships/image" Target="media/image410.png"/><Relationship Id="rId420" Type="http://schemas.openxmlformats.org/officeDocument/2006/relationships/image" Target="media/image409.png"/><Relationship Id="rId42" Type="http://schemas.openxmlformats.org/officeDocument/2006/relationships/image" Target="media/image33.png"/><Relationship Id="rId419" Type="http://schemas.openxmlformats.org/officeDocument/2006/relationships/image" Target="media/image408.png"/><Relationship Id="rId418" Type="http://schemas.openxmlformats.org/officeDocument/2006/relationships/image" Target="media/image407.png"/><Relationship Id="rId417" Type="http://schemas.openxmlformats.org/officeDocument/2006/relationships/image" Target="media/image406.png"/><Relationship Id="rId416" Type="http://schemas.openxmlformats.org/officeDocument/2006/relationships/image" Target="media/image405.png"/><Relationship Id="rId415" Type="http://schemas.openxmlformats.org/officeDocument/2006/relationships/image" Target="media/image404.png"/><Relationship Id="rId414" Type="http://schemas.openxmlformats.org/officeDocument/2006/relationships/image" Target="media/image403.png"/><Relationship Id="rId413" Type="http://schemas.openxmlformats.org/officeDocument/2006/relationships/image" Target="media/image402.png"/><Relationship Id="rId412" Type="http://schemas.openxmlformats.org/officeDocument/2006/relationships/image" Target="media/image401.png"/><Relationship Id="rId411" Type="http://schemas.openxmlformats.org/officeDocument/2006/relationships/image" Target="media/image400.png"/><Relationship Id="rId410" Type="http://schemas.openxmlformats.org/officeDocument/2006/relationships/image" Target="media/image399.png"/><Relationship Id="rId41" Type="http://schemas.openxmlformats.org/officeDocument/2006/relationships/image" Target="media/image32.png"/><Relationship Id="rId409" Type="http://schemas.openxmlformats.org/officeDocument/2006/relationships/image" Target="media/image398.png"/><Relationship Id="rId408" Type="http://schemas.openxmlformats.org/officeDocument/2006/relationships/image" Target="media/image397.png"/><Relationship Id="rId407" Type="http://schemas.openxmlformats.org/officeDocument/2006/relationships/image" Target="media/image396.png"/><Relationship Id="rId406" Type="http://schemas.openxmlformats.org/officeDocument/2006/relationships/image" Target="media/image395.png"/><Relationship Id="rId405" Type="http://schemas.openxmlformats.org/officeDocument/2006/relationships/image" Target="media/image394.png"/><Relationship Id="rId404" Type="http://schemas.openxmlformats.org/officeDocument/2006/relationships/image" Target="media/image393.png"/><Relationship Id="rId403" Type="http://schemas.openxmlformats.org/officeDocument/2006/relationships/image" Target="media/image392.emf"/><Relationship Id="rId402" Type="http://schemas.openxmlformats.org/officeDocument/2006/relationships/image" Target="media/image391.png"/><Relationship Id="rId401" Type="http://schemas.openxmlformats.org/officeDocument/2006/relationships/image" Target="media/image390.png"/><Relationship Id="rId400" Type="http://schemas.openxmlformats.org/officeDocument/2006/relationships/image" Target="media/image389.png"/><Relationship Id="rId40" Type="http://schemas.openxmlformats.org/officeDocument/2006/relationships/image" Target="media/image31.png"/><Relationship Id="rId4" Type="http://schemas.openxmlformats.org/officeDocument/2006/relationships/endnotes" Target="endnotes.xml"/><Relationship Id="rId399" Type="http://schemas.openxmlformats.org/officeDocument/2006/relationships/image" Target="media/image388.png"/><Relationship Id="rId398" Type="http://schemas.openxmlformats.org/officeDocument/2006/relationships/image" Target="media/image387.png"/><Relationship Id="rId397" Type="http://schemas.openxmlformats.org/officeDocument/2006/relationships/image" Target="media/image386.png"/><Relationship Id="rId396" Type="http://schemas.openxmlformats.org/officeDocument/2006/relationships/image" Target="media/image385.png"/><Relationship Id="rId395" Type="http://schemas.openxmlformats.org/officeDocument/2006/relationships/image" Target="media/image384.png"/><Relationship Id="rId394" Type="http://schemas.openxmlformats.org/officeDocument/2006/relationships/image" Target="media/image383.png"/><Relationship Id="rId393" Type="http://schemas.openxmlformats.org/officeDocument/2006/relationships/image" Target="media/image382.png"/><Relationship Id="rId392" Type="http://schemas.openxmlformats.org/officeDocument/2006/relationships/image" Target="media/image381.png"/><Relationship Id="rId391" Type="http://schemas.openxmlformats.org/officeDocument/2006/relationships/image" Target="media/image380.png"/><Relationship Id="rId390" Type="http://schemas.openxmlformats.org/officeDocument/2006/relationships/image" Target="media/image379.png"/><Relationship Id="rId39" Type="http://schemas.openxmlformats.org/officeDocument/2006/relationships/image" Target="media/image30.png"/><Relationship Id="rId389" Type="http://schemas.openxmlformats.org/officeDocument/2006/relationships/image" Target="media/image378.png"/><Relationship Id="rId388" Type="http://schemas.openxmlformats.org/officeDocument/2006/relationships/image" Target="media/image377.png"/><Relationship Id="rId387" Type="http://schemas.openxmlformats.org/officeDocument/2006/relationships/image" Target="media/image376.png"/><Relationship Id="rId386" Type="http://schemas.openxmlformats.org/officeDocument/2006/relationships/image" Target="media/image375.png"/><Relationship Id="rId385" Type="http://schemas.openxmlformats.org/officeDocument/2006/relationships/image" Target="media/image374.png"/><Relationship Id="rId384" Type="http://schemas.openxmlformats.org/officeDocument/2006/relationships/image" Target="media/image373.png"/><Relationship Id="rId383" Type="http://schemas.openxmlformats.org/officeDocument/2006/relationships/image" Target="media/image372.png"/><Relationship Id="rId382" Type="http://schemas.openxmlformats.org/officeDocument/2006/relationships/image" Target="media/image371.png"/><Relationship Id="rId381" Type="http://schemas.openxmlformats.org/officeDocument/2006/relationships/image" Target="media/image370.png"/><Relationship Id="rId380" Type="http://schemas.openxmlformats.org/officeDocument/2006/relationships/image" Target="media/image369.png"/><Relationship Id="rId38" Type="http://schemas.openxmlformats.org/officeDocument/2006/relationships/image" Target="media/image29.png"/><Relationship Id="rId379" Type="http://schemas.openxmlformats.org/officeDocument/2006/relationships/image" Target="media/image368.png"/><Relationship Id="rId378" Type="http://schemas.openxmlformats.org/officeDocument/2006/relationships/image" Target="media/image367.png"/><Relationship Id="rId377" Type="http://schemas.openxmlformats.org/officeDocument/2006/relationships/image" Target="media/image366.png"/><Relationship Id="rId376" Type="http://schemas.openxmlformats.org/officeDocument/2006/relationships/image" Target="media/image365.png"/><Relationship Id="rId375" Type="http://schemas.openxmlformats.org/officeDocument/2006/relationships/image" Target="media/image364.png"/><Relationship Id="rId374" Type="http://schemas.openxmlformats.org/officeDocument/2006/relationships/image" Target="media/image363.png"/><Relationship Id="rId373" Type="http://schemas.openxmlformats.org/officeDocument/2006/relationships/image" Target="media/image362.png"/><Relationship Id="rId372" Type="http://schemas.openxmlformats.org/officeDocument/2006/relationships/image" Target="media/image361.png"/><Relationship Id="rId371" Type="http://schemas.openxmlformats.org/officeDocument/2006/relationships/image" Target="media/image360.png"/><Relationship Id="rId370" Type="http://schemas.openxmlformats.org/officeDocument/2006/relationships/image" Target="media/image359.png"/><Relationship Id="rId37" Type="http://schemas.openxmlformats.org/officeDocument/2006/relationships/image" Target="media/image28.png"/><Relationship Id="rId369" Type="http://schemas.openxmlformats.org/officeDocument/2006/relationships/image" Target="media/image358.png"/><Relationship Id="rId368" Type="http://schemas.openxmlformats.org/officeDocument/2006/relationships/image" Target="media/image357.png"/><Relationship Id="rId367" Type="http://schemas.openxmlformats.org/officeDocument/2006/relationships/image" Target="media/image356.png"/><Relationship Id="rId366" Type="http://schemas.openxmlformats.org/officeDocument/2006/relationships/image" Target="media/image355.png"/><Relationship Id="rId365" Type="http://schemas.openxmlformats.org/officeDocument/2006/relationships/image" Target="media/image354.png"/><Relationship Id="rId364" Type="http://schemas.openxmlformats.org/officeDocument/2006/relationships/image" Target="media/image353.png"/><Relationship Id="rId363" Type="http://schemas.openxmlformats.org/officeDocument/2006/relationships/image" Target="media/image352.png"/><Relationship Id="rId362" Type="http://schemas.openxmlformats.org/officeDocument/2006/relationships/image" Target="media/image351.png"/><Relationship Id="rId361" Type="http://schemas.openxmlformats.org/officeDocument/2006/relationships/image" Target="media/image350.png"/><Relationship Id="rId360" Type="http://schemas.openxmlformats.org/officeDocument/2006/relationships/image" Target="media/image349.png"/><Relationship Id="rId36" Type="http://schemas.openxmlformats.org/officeDocument/2006/relationships/image" Target="media/image27.png"/><Relationship Id="rId359" Type="http://schemas.openxmlformats.org/officeDocument/2006/relationships/image" Target="media/image348.png"/><Relationship Id="rId358" Type="http://schemas.openxmlformats.org/officeDocument/2006/relationships/image" Target="media/image347.png"/><Relationship Id="rId357" Type="http://schemas.openxmlformats.org/officeDocument/2006/relationships/image" Target="media/image346.png"/><Relationship Id="rId356" Type="http://schemas.openxmlformats.org/officeDocument/2006/relationships/image" Target="media/image345.png"/><Relationship Id="rId355" Type="http://schemas.openxmlformats.org/officeDocument/2006/relationships/image" Target="media/image344.png"/><Relationship Id="rId354" Type="http://schemas.openxmlformats.org/officeDocument/2006/relationships/image" Target="media/image343.png"/><Relationship Id="rId353" Type="http://schemas.openxmlformats.org/officeDocument/2006/relationships/image" Target="media/image342.png"/><Relationship Id="rId352" Type="http://schemas.openxmlformats.org/officeDocument/2006/relationships/image" Target="media/image341.png"/><Relationship Id="rId351" Type="http://schemas.openxmlformats.org/officeDocument/2006/relationships/image" Target="media/image340.png"/><Relationship Id="rId350" Type="http://schemas.openxmlformats.org/officeDocument/2006/relationships/image" Target="media/image339.png"/><Relationship Id="rId35" Type="http://schemas.openxmlformats.org/officeDocument/2006/relationships/image" Target="media/image26.png"/><Relationship Id="rId349" Type="http://schemas.openxmlformats.org/officeDocument/2006/relationships/image" Target="media/image338.png"/><Relationship Id="rId348" Type="http://schemas.openxmlformats.org/officeDocument/2006/relationships/image" Target="media/image337.png"/><Relationship Id="rId347" Type="http://schemas.openxmlformats.org/officeDocument/2006/relationships/image" Target="media/image336.png"/><Relationship Id="rId346" Type="http://schemas.openxmlformats.org/officeDocument/2006/relationships/image" Target="media/image335.png"/><Relationship Id="rId345" Type="http://schemas.openxmlformats.org/officeDocument/2006/relationships/image" Target="media/image334.png"/><Relationship Id="rId344" Type="http://schemas.openxmlformats.org/officeDocument/2006/relationships/image" Target="media/image333.png"/><Relationship Id="rId343" Type="http://schemas.openxmlformats.org/officeDocument/2006/relationships/image" Target="media/image332.png"/><Relationship Id="rId342" Type="http://schemas.openxmlformats.org/officeDocument/2006/relationships/image" Target="media/image331.png"/><Relationship Id="rId341" Type="http://schemas.openxmlformats.org/officeDocument/2006/relationships/image" Target="media/image330.png"/><Relationship Id="rId340" Type="http://schemas.openxmlformats.org/officeDocument/2006/relationships/image" Target="media/image329.png"/><Relationship Id="rId34" Type="http://schemas.openxmlformats.org/officeDocument/2006/relationships/image" Target="media/image25.png"/><Relationship Id="rId339" Type="http://schemas.openxmlformats.org/officeDocument/2006/relationships/image" Target="media/image328.png"/><Relationship Id="rId338" Type="http://schemas.openxmlformats.org/officeDocument/2006/relationships/image" Target="media/image327.png"/><Relationship Id="rId337" Type="http://schemas.openxmlformats.org/officeDocument/2006/relationships/image" Target="media/image326.png"/><Relationship Id="rId336" Type="http://schemas.openxmlformats.org/officeDocument/2006/relationships/image" Target="media/image325.png"/><Relationship Id="rId335" Type="http://schemas.openxmlformats.org/officeDocument/2006/relationships/image" Target="media/image324.png"/><Relationship Id="rId334" Type="http://schemas.openxmlformats.org/officeDocument/2006/relationships/image" Target="media/image323.png"/><Relationship Id="rId333" Type="http://schemas.openxmlformats.org/officeDocument/2006/relationships/image" Target="media/image322.png"/><Relationship Id="rId332" Type="http://schemas.openxmlformats.org/officeDocument/2006/relationships/image" Target="media/image321.png"/><Relationship Id="rId331" Type="http://schemas.openxmlformats.org/officeDocument/2006/relationships/image" Target="media/image320.png"/><Relationship Id="rId330" Type="http://schemas.openxmlformats.org/officeDocument/2006/relationships/image" Target="media/image319.png"/><Relationship Id="rId33" Type="http://schemas.openxmlformats.org/officeDocument/2006/relationships/image" Target="media/image24.png"/><Relationship Id="rId329" Type="http://schemas.openxmlformats.org/officeDocument/2006/relationships/image" Target="media/image318.png"/><Relationship Id="rId328" Type="http://schemas.openxmlformats.org/officeDocument/2006/relationships/image" Target="media/image317.png"/><Relationship Id="rId327" Type="http://schemas.openxmlformats.org/officeDocument/2006/relationships/image" Target="media/image316.png"/><Relationship Id="rId326" Type="http://schemas.openxmlformats.org/officeDocument/2006/relationships/image" Target="media/image315.png"/><Relationship Id="rId325" Type="http://schemas.openxmlformats.org/officeDocument/2006/relationships/image" Target="media/image314.png"/><Relationship Id="rId324" Type="http://schemas.openxmlformats.org/officeDocument/2006/relationships/image" Target="media/image313.png"/><Relationship Id="rId323" Type="http://schemas.openxmlformats.org/officeDocument/2006/relationships/image" Target="media/image312.png"/><Relationship Id="rId322" Type="http://schemas.openxmlformats.org/officeDocument/2006/relationships/image" Target="media/image311.png"/><Relationship Id="rId321" Type="http://schemas.openxmlformats.org/officeDocument/2006/relationships/image" Target="media/image310.png"/><Relationship Id="rId320" Type="http://schemas.openxmlformats.org/officeDocument/2006/relationships/image" Target="media/image309.png"/><Relationship Id="rId32" Type="http://schemas.openxmlformats.org/officeDocument/2006/relationships/image" Target="media/image23.png"/><Relationship Id="rId319" Type="http://schemas.openxmlformats.org/officeDocument/2006/relationships/image" Target="media/image308.png"/><Relationship Id="rId318" Type="http://schemas.openxmlformats.org/officeDocument/2006/relationships/image" Target="media/image307.png"/><Relationship Id="rId317" Type="http://schemas.openxmlformats.org/officeDocument/2006/relationships/image" Target="media/image306.png"/><Relationship Id="rId316" Type="http://schemas.openxmlformats.org/officeDocument/2006/relationships/image" Target="media/image305.png"/><Relationship Id="rId315" Type="http://schemas.openxmlformats.org/officeDocument/2006/relationships/image" Target="media/image304.png"/><Relationship Id="rId314" Type="http://schemas.openxmlformats.org/officeDocument/2006/relationships/image" Target="media/image303.png"/><Relationship Id="rId313" Type="http://schemas.openxmlformats.org/officeDocument/2006/relationships/image" Target="media/image302.png"/><Relationship Id="rId312" Type="http://schemas.openxmlformats.org/officeDocument/2006/relationships/image" Target="media/image301.png"/><Relationship Id="rId311" Type="http://schemas.openxmlformats.org/officeDocument/2006/relationships/image" Target="media/image300.png"/><Relationship Id="rId310" Type="http://schemas.openxmlformats.org/officeDocument/2006/relationships/image" Target="media/image299.png"/><Relationship Id="rId31" Type="http://schemas.openxmlformats.org/officeDocument/2006/relationships/image" Target="media/image22.png"/><Relationship Id="rId309" Type="http://schemas.openxmlformats.org/officeDocument/2006/relationships/image" Target="media/image298.png"/><Relationship Id="rId308" Type="http://schemas.openxmlformats.org/officeDocument/2006/relationships/image" Target="media/image297.png"/><Relationship Id="rId307" Type="http://schemas.openxmlformats.org/officeDocument/2006/relationships/image" Target="media/image296.png"/><Relationship Id="rId306" Type="http://schemas.openxmlformats.org/officeDocument/2006/relationships/image" Target="media/image295.png"/><Relationship Id="rId305" Type="http://schemas.openxmlformats.org/officeDocument/2006/relationships/image" Target="media/image294.png"/><Relationship Id="rId304" Type="http://schemas.openxmlformats.org/officeDocument/2006/relationships/image" Target="media/image293.png"/><Relationship Id="rId303" Type="http://schemas.openxmlformats.org/officeDocument/2006/relationships/image" Target="media/image292.png"/><Relationship Id="rId302" Type="http://schemas.openxmlformats.org/officeDocument/2006/relationships/image" Target="media/image291.png"/><Relationship Id="rId301" Type="http://schemas.openxmlformats.org/officeDocument/2006/relationships/image" Target="media/image290.png"/><Relationship Id="rId300" Type="http://schemas.openxmlformats.org/officeDocument/2006/relationships/image" Target="media/image289.png"/><Relationship Id="rId30" Type="http://schemas.openxmlformats.org/officeDocument/2006/relationships/image" Target="media/image21.png"/><Relationship Id="rId3" Type="http://schemas.openxmlformats.org/officeDocument/2006/relationships/footnotes" Target="footnotes.xml"/><Relationship Id="rId299" Type="http://schemas.openxmlformats.org/officeDocument/2006/relationships/image" Target="media/image288.png"/><Relationship Id="rId298" Type="http://schemas.openxmlformats.org/officeDocument/2006/relationships/image" Target="media/image287.png"/><Relationship Id="rId297" Type="http://schemas.openxmlformats.org/officeDocument/2006/relationships/image" Target="media/image286.png"/><Relationship Id="rId296" Type="http://schemas.openxmlformats.org/officeDocument/2006/relationships/image" Target="media/image285.png"/><Relationship Id="rId295" Type="http://schemas.openxmlformats.org/officeDocument/2006/relationships/image" Target="media/image284.png"/><Relationship Id="rId294" Type="http://schemas.openxmlformats.org/officeDocument/2006/relationships/image" Target="media/image283.png"/><Relationship Id="rId293" Type="http://schemas.openxmlformats.org/officeDocument/2006/relationships/image" Target="media/image282.png"/><Relationship Id="rId292" Type="http://schemas.openxmlformats.org/officeDocument/2006/relationships/image" Target="media/image281.png"/><Relationship Id="rId291" Type="http://schemas.openxmlformats.org/officeDocument/2006/relationships/image" Target="media/image280.png"/><Relationship Id="rId290" Type="http://schemas.openxmlformats.org/officeDocument/2006/relationships/image" Target="media/image279.png"/><Relationship Id="rId29" Type="http://schemas.openxmlformats.org/officeDocument/2006/relationships/image" Target="media/image20.png"/><Relationship Id="rId289" Type="http://schemas.openxmlformats.org/officeDocument/2006/relationships/image" Target="media/image278.png"/><Relationship Id="rId288" Type="http://schemas.openxmlformats.org/officeDocument/2006/relationships/image" Target="media/image277.png"/><Relationship Id="rId287" Type="http://schemas.openxmlformats.org/officeDocument/2006/relationships/image" Target="media/image276.png"/><Relationship Id="rId286" Type="http://schemas.openxmlformats.org/officeDocument/2006/relationships/image" Target="media/image275.png"/><Relationship Id="rId285" Type="http://schemas.openxmlformats.org/officeDocument/2006/relationships/image" Target="media/image274.png"/><Relationship Id="rId284" Type="http://schemas.openxmlformats.org/officeDocument/2006/relationships/image" Target="media/image273.png"/><Relationship Id="rId283" Type="http://schemas.openxmlformats.org/officeDocument/2006/relationships/image" Target="media/image272.png"/><Relationship Id="rId282" Type="http://schemas.openxmlformats.org/officeDocument/2006/relationships/image" Target="media/image271.png"/><Relationship Id="rId281" Type="http://schemas.openxmlformats.org/officeDocument/2006/relationships/image" Target="media/image270.png"/><Relationship Id="rId280" Type="http://schemas.openxmlformats.org/officeDocument/2006/relationships/image" Target="media/image269.png"/><Relationship Id="rId28" Type="http://schemas.openxmlformats.org/officeDocument/2006/relationships/image" Target="media/image19.png"/><Relationship Id="rId279" Type="http://schemas.openxmlformats.org/officeDocument/2006/relationships/image" Target="media/image268.png"/><Relationship Id="rId278" Type="http://schemas.openxmlformats.org/officeDocument/2006/relationships/image" Target="media/image267.png"/><Relationship Id="rId277" Type="http://schemas.openxmlformats.org/officeDocument/2006/relationships/image" Target="media/image266.GIF"/><Relationship Id="rId276" Type="http://schemas.openxmlformats.org/officeDocument/2006/relationships/image" Target="media/image265.png"/><Relationship Id="rId275" Type="http://schemas.openxmlformats.org/officeDocument/2006/relationships/image" Target="media/image264.png"/><Relationship Id="rId274" Type="http://schemas.openxmlformats.org/officeDocument/2006/relationships/image" Target="media/image263.png"/><Relationship Id="rId273" Type="http://schemas.openxmlformats.org/officeDocument/2006/relationships/image" Target="media/image262.png"/><Relationship Id="rId272" Type="http://schemas.openxmlformats.org/officeDocument/2006/relationships/image" Target="media/image261.png"/><Relationship Id="rId271" Type="http://schemas.openxmlformats.org/officeDocument/2006/relationships/image" Target="media/image260.png"/><Relationship Id="rId270" Type="http://schemas.openxmlformats.org/officeDocument/2006/relationships/image" Target="media/image259.png"/><Relationship Id="rId27" Type="http://schemas.openxmlformats.org/officeDocument/2006/relationships/image" Target="media/image18.png"/><Relationship Id="rId269" Type="http://schemas.openxmlformats.org/officeDocument/2006/relationships/image" Target="media/image258.png"/><Relationship Id="rId268" Type="http://schemas.openxmlformats.org/officeDocument/2006/relationships/image" Target="media/image257.png"/><Relationship Id="rId267" Type="http://schemas.openxmlformats.org/officeDocument/2006/relationships/image" Target="media/image256.png"/><Relationship Id="rId266" Type="http://schemas.openxmlformats.org/officeDocument/2006/relationships/image" Target="media/image255.png"/><Relationship Id="rId265" Type="http://schemas.openxmlformats.org/officeDocument/2006/relationships/image" Target="media/image254.png"/><Relationship Id="rId264" Type="http://schemas.openxmlformats.org/officeDocument/2006/relationships/image" Target="media/image253.png"/><Relationship Id="rId263" Type="http://schemas.openxmlformats.org/officeDocument/2006/relationships/image" Target="media/image252.png"/><Relationship Id="rId262" Type="http://schemas.openxmlformats.org/officeDocument/2006/relationships/image" Target="media/image251.png"/><Relationship Id="rId261" Type="http://schemas.openxmlformats.org/officeDocument/2006/relationships/image" Target="media/image250.png"/><Relationship Id="rId260" Type="http://schemas.openxmlformats.org/officeDocument/2006/relationships/image" Target="media/image249.png"/><Relationship Id="rId26" Type="http://schemas.openxmlformats.org/officeDocument/2006/relationships/image" Target="media/image17.png"/><Relationship Id="rId259" Type="http://schemas.openxmlformats.org/officeDocument/2006/relationships/image" Target="media/image248.png"/><Relationship Id="rId258" Type="http://schemas.openxmlformats.org/officeDocument/2006/relationships/image" Target="media/image247.png"/><Relationship Id="rId257" Type="http://schemas.openxmlformats.org/officeDocument/2006/relationships/image" Target="media/image246.png"/><Relationship Id="rId256" Type="http://schemas.openxmlformats.org/officeDocument/2006/relationships/image" Target="media/image245.png"/><Relationship Id="rId255" Type="http://schemas.openxmlformats.org/officeDocument/2006/relationships/image" Target="media/image244.png"/><Relationship Id="rId254" Type="http://schemas.openxmlformats.org/officeDocument/2006/relationships/image" Target="media/image243.png"/><Relationship Id="rId253" Type="http://schemas.openxmlformats.org/officeDocument/2006/relationships/image" Target="media/image242.png"/><Relationship Id="rId252" Type="http://schemas.openxmlformats.org/officeDocument/2006/relationships/image" Target="media/image241.png"/><Relationship Id="rId251" Type="http://schemas.openxmlformats.org/officeDocument/2006/relationships/image" Target="media/image240.png"/><Relationship Id="rId250" Type="http://schemas.openxmlformats.org/officeDocument/2006/relationships/image" Target="media/image239.png"/><Relationship Id="rId25" Type="http://schemas.openxmlformats.org/officeDocument/2006/relationships/image" Target="media/image16.png"/><Relationship Id="rId249" Type="http://schemas.openxmlformats.org/officeDocument/2006/relationships/image" Target="media/image238.png"/><Relationship Id="rId248" Type="http://schemas.openxmlformats.org/officeDocument/2006/relationships/image" Target="media/image237.png"/><Relationship Id="rId247" Type="http://schemas.openxmlformats.org/officeDocument/2006/relationships/image" Target="media/image236.png"/><Relationship Id="rId246" Type="http://schemas.openxmlformats.org/officeDocument/2006/relationships/image" Target="media/image235.png"/><Relationship Id="rId245" Type="http://schemas.openxmlformats.org/officeDocument/2006/relationships/image" Target="media/image234.png"/><Relationship Id="rId244" Type="http://schemas.openxmlformats.org/officeDocument/2006/relationships/image" Target="media/image233.png"/><Relationship Id="rId243" Type="http://schemas.openxmlformats.org/officeDocument/2006/relationships/image" Target="media/image232.png"/><Relationship Id="rId242" Type="http://schemas.openxmlformats.org/officeDocument/2006/relationships/image" Target="media/image231.png"/><Relationship Id="rId241" Type="http://schemas.openxmlformats.org/officeDocument/2006/relationships/image" Target="media/image230.png"/><Relationship Id="rId240" Type="http://schemas.openxmlformats.org/officeDocument/2006/relationships/image" Target="media/image229.png"/><Relationship Id="rId24" Type="http://schemas.openxmlformats.org/officeDocument/2006/relationships/image" Target="media/image15.png"/><Relationship Id="rId239" Type="http://schemas.openxmlformats.org/officeDocument/2006/relationships/image" Target="media/image228.png"/><Relationship Id="rId238" Type="http://schemas.openxmlformats.org/officeDocument/2006/relationships/image" Target="media/image227.png"/><Relationship Id="rId237" Type="http://schemas.openxmlformats.org/officeDocument/2006/relationships/image" Target="media/image226.png"/><Relationship Id="rId236" Type="http://schemas.openxmlformats.org/officeDocument/2006/relationships/image" Target="media/image225.png"/><Relationship Id="rId235" Type="http://schemas.openxmlformats.org/officeDocument/2006/relationships/image" Target="media/image224.png"/><Relationship Id="rId234" Type="http://schemas.openxmlformats.org/officeDocument/2006/relationships/image" Target="media/image223.png"/><Relationship Id="rId233" Type="http://schemas.openxmlformats.org/officeDocument/2006/relationships/image" Target="media/image222.png"/><Relationship Id="rId232" Type="http://schemas.openxmlformats.org/officeDocument/2006/relationships/image" Target="media/image221.png"/><Relationship Id="rId231" Type="http://schemas.openxmlformats.org/officeDocument/2006/relationships/image" Target="media/image220.png"/><Relationship Id="rId230" Type="http://schemas.openxmlformats.org/officeDocument/2006/relationships/image" Target="media/image219.png"/><Relationship Id="rId23" Type="http://schemas.openxmlformats.org/officeDocument/2006/relationships/image" Target="media/image14.png"/><Relationship Id="rId229" Type="http://schemas.openxmlformats.org/officeDocument/2006/relationships/image" Target="media/image218.png"/><Relationship Id="rId228" Type="http://schemas.openxmlformats.org/officeDocument/2006/relationships/image" Target="media/image217.png"/><Relationship Id="rId227" Type="http://schemas.openxmlformats.org/officeDocument/2006/relationships/image" Target="media/image216.png"/><Relationship Id="rId226" Type="http://schemas.openxmlformats.org/officeDocument/2006/relationships/image" Target="media/image215.png"/><Relationship Id="rId225" Type="http://schemas.openxmlformats.org/officeDocument/2006/relationships/image" Target="media/image214.png"/><Relationship Id="rId224" Type="http://schemas.openxmlformats.org/officeDocument/2006/relationships/image" Target="media/image213.png"/><Relationship Id="rId223" Type="http://schemas.openxmlformats.org/officeDocument/2006/relationships/image" Target="media/image212.png"/><Relationship Id="rId222" Type="http://schemas.openxmlformats.org/officeDocument/2006/relationships/image" Target="media/image211.png"/><Relationship Id="rId221" Type="http://schemas.openxmlformats.org/officeDocument/2006/relationships/image" Target="media/image210.png"/><Relationship Id="rId220" Type="http://schemas.openxmlformats.org/officeDocument/2006/relationships/image" Target="media/image209.png"/><Relationship Id="rId22" Type="http://schemas.openxmlformats.org/officeDocument/2006/relationships/image" Target="media/image13.png"/><Relationship Id="rId219" Type="http://schemas.openxmlformats.org/officeDocument/2006/relationships/image" Target="media/image208.png"/><Relationship Id="rId218" Type="http://schemas.openxmlformats.org/officeDocument/2006/relationships/image" Target="media/image207.png"/><Relationship Id="rId217" Type="http://schemas.openxmlformats.org/officeDocument/2006/relationships/image" Target="media/image206.png"/><Relationship Id="rId216" Type="http://schemas.openxmlformats.org/officeDocument/2006/relationships/image" Target="media/image205.png"/><Relationship Id="rId215" Type="http://schemas.openxmlformats.org/officeDocument/2006/relationships/image" Target="media/image204.png"/><Relationship Id="rId214" Type="http://schemas.openxmlformats.org/officeDocument/2006/relationships/image" Target="media/image203.png"/><Relationship Id="rId213" Type="http://schemas.openxmlformats.org/officeDocument/2006/relationships/image" Target="media/image202.png"/><Relationship Id="rId212" Type="http://schemas.openxmlformats.org/officeDocument/2006/relationships/image" Target="media/image201.png"/><Relationship Id="rId211" Type="http://schemas.openxmlformats.org/officeDocument/2006/relationships/image" Target="media/image200.png"/><Relationship Id="rId210" Type="http://schemas.openxmlformats.org/officeDocument/2006/relationships/image" Target="media/image199.png"/><Relationship Id="rId21" Type="http://schemas.openxmlformats.org/officeDocument/2006/relationships/image" Target="media/image12.png"/><Relationship Id="rId209" Type="http://schemas.openxmlformats.org/officeDocument/2006/relationships/image" Target="media/image198.png"/><Relationship Id="rId208" Type="http://schemas.openxmlformats.org/officeDocument/2006/relationships/image" Target="media/image197.png"/><Relationship Id="rId207" Type="http://schemas.openxmlformats.org/officeDocument/2006/relationships/image" Target="media/image196.png"/><Relationship Id="rId206" Type="http://schemas.openxmlformats.org/officeDocument/2006/relationships/image" Target="media/image195.png"/><Relationship Id="rId205" Type="http://schemas.openxmlformats.org/officeDocument/2006/relationships/image" Target="media/image194.png"/><Relationship Id="rId204" Type="http://schemas.openxmlformats.org/officeDocument/2006/relationships/image" Target="media/image193.png"/><Relationship Id="rId203" Type="http://schemas.openxmlformats.org/officeDocument/2006/relationships/image" Target="media/image192.png"/><Relationship Id="rId202" Type="http://schemas.openxmlformats.org/officeDocument/2006/relationships/image" Target="media/image191.png"/><Relationship Id="rId201" Type="http://schemas.openxmlformats.org/officeDocument/2006/relationships/image" Target="media/image190.png"/><Relationship Id="rId200" Type="http://schemas.openxmlformats.org/officeDocument/2006/relationships/image" Target="media/image189.png"/><Relationship Id="rId20" Type="http://schemas.openxmlformats.org/officeDocument/2006/relationships/image" Target="media/image11.png"/><Relationship Id="rId2" Type="http://schemas.openxmlformats.org/officeDocument/2006/relationships/settings" Target="settings.xml"/><Relationship Id="rId199" Type="http://schemas.openxmlformats.org/officeDocument/2006/relationships/image" Target="media/image188.png"/><Relationship Id="rId198" Type="http://schemas.openxmlformats.org/officeDocument/2006/relationships/image" Target="media/image187.png"/><Relationship Id="rId197" Type="http://schemas.openxmlformats.org/officeDocument/2006/relationships/image" Target="media/image186.png"/><Relationship Id="rId196" Type="http://schemas.openxmlformats.org/officeDocument/2006/relationships/image" Target="media/image185.png"/><Relationship Id="rId195" Type="http://schemas.openxmlformats.org/officeDocument/2006/relationships/image" Target="media/image184.png"/><Relationship Id="rId194" Type="http://schemas.openxmlformats.org/officeDocument/2006/relationships/image" Target="media/image183.png"/><Relationship Id="rId193" Type="http://schemas.openxmlformats.org/officeDocument/2006/relationships/image" Target="media/image182.png"/><Relationship Id="rId192" Type="http://schemas.openxmlformats.org/officeDocument/2006/relationships/image" Target="media/image181.png"/><Relationship Id="rId191" Type="http://schemas.openxmlformats.org/officeDocument/2006/relationships/image" Target="media/image180.png"/><Relationship Id="rId190" Type="http://schemas.openxmlformats.org/officeDocument/2006/relationships/image" Target="media/image179.png"/><Relationship Id="rId19" Type="http://schemas.openxmlformats.org/officeDocument/2006/relationships/image" Target="media/image10.png"/><Relationship Id="rId189" Type="http://schemas.openxmlformats.org/officeDocument/2006/relationships/image" Target="media/image178.png"/><Relationship Id="rId188" Type="http://schemas.openxmlformats.org/officeDocument/2006/relationships/image" Target="media/image177.png"/><Relationship Id="rId187" Type="http://schemas.openxmlformats.org/officeDocument/2006/relationships/image" Target="media/image176.png"/><Relationship Id="rId186" Type="http://schemas.openxmlformats.org/officeDocument/2006/relationships/image" Target="media/image175.png"/><Relationship Id="rId185" Type="http://schemas.openxmlformats.org/officeDocument/2006/relationships/image" Target="media/image174.png"/><Relationship Id="rId184" Type="http://schemas.openxmlformats.org/officeDocument/2006/relationships/image" Target="media/image173.png"/><Relationship Id="rId183" Type="http://schemas.openxmlformats.org/officeDocument/2006/relationships/image" Target="media/image172.png"/><Relationship Id="rId182" Type="http://schemas.openxmlformats.org/officeDocument/2006/relationships/image" Target="media/image171.png"/><Relationship Id="rId181" Type="http://schemas.openxmlformats.org/officeDocument/2006/relationships/image" Target="media/image170.png"/><Relationship Id="rId180" Type="http://schemas.openxmlformats.org/officeDocument/2006/relationships/image" Target="media/image169.png"/><Relationship Id="rId18" Type="http://schemas.openxmlformats.org/officeDocument/2006/relationships/image" Target="media/image9.png"/><Relationship Id="rId179" Type="http://schemas.openxmlformats.org/officeDocument/2006/relationships/image" Target="media/image168.png"/><Relationship Id="rId178" Type="http://schemas.openxmlformats.org/officeDocument/2006/relationships/image" Target="media/image167.png"/><Relationship Id="rId177" Type="http://schemas.openxmlformats.org/officeDocument/2006/relationships/image" Target="media/image166.png"/><Relationship Id="rId176" Type="http://schemas.openxmlformats.org/officeDocument/2006/relationships/image" Target="media/image165.png"/><Relationship Id="rId175" Type="http://schemas.openxmlformats.org/officeDocument/2006/relationships/image" Target="media/image164.png"/><Relationship Id="rId174" Type="http://schemas.openxmlformats.org/officeDocument/2006/relationships/image" Target="media/image163.png"/><Relationship Id="rId173" Type="http://schemas.openxmlformats.org/officeDocument/2006/relationships/image" Target="media/image162.png"/><Relationship Id="rId172" Type="http://schemas.openxmlformats.org/officeDocument/2006/relationships/image" Target="media/image161.png"/><Relationship Id="rId171" Type="http://schemas.openxmlformats.org/officeDocument/2006/relationships/image" Target="media/image160.png"/><Relationship Id="rId170" Type="http://schemas.openxmlformats.org/officeDocument/2006/relationships/image" Target="media/image159.png"/><Relationship Id="rId17" Type="http://schemas.openxmlformats.org/officeDocument/2006/relationships/image" Target="media/image8.png"/><Relationship Id="rId169" Type="http://schemas.openxmlformats.org/officeDocument/2006/relationships/image" Target="media/image158.png"/><Relationship Id="rId168" Type="http://schemas.openxmlformats.org/officeDocument/2006/relationships/image" Target="media/image157.png"/><Relationship Id="rId167" Type="http://schemas.openxmlformats.org/officeDocument/2006/relationships/image" Target="media/image156.png"/><Relationship Id="rId166" Type="http://schemas.openxmlformats.org/officeDocument/2006/relationships/image" Target="media/image155.png"/><Relationship Id="rId165" Type="http://schemas.openxmlformats.org/officeDocument/2006/relationships/image" Target="media/image154.png"/><Relationship Id="rId164" Type="http://schemas.openxmlformats.org/officeDocument/2006/relationships/image" Target="media/image153.png"/><Relationship Id="rId163" Type="http://schemas.openxmlformats.org/officeDocument/2006/relationships/image" Target="media/image152.png"/><Relationship Id="rId162" Type="http://schemas.openxmlformats.org/officeDocument/2006/relationships/image" Target="media/image151.png"/><Relationship Id="rId161" Type="http://schemas.openxmlformats.org/officeDocument/2006/relationships/image" Target="media/image150.png"/><Relationship Id="rId160" Type="http://schemas.openxmlformats.org/officeDocument/2006/relationships/image" Target="media/image149.png"/><Relationship Id="rId16" Type="http://schemas.openxmlformats.org/officeDocument/2006/relationships/image" Target="media/image7.png"/><Relationship Id="rId159" Type="http://schemas.openxmlformats.org/officeDocument/2006/relationships/image" Target="media/image148.png"/><Relationship Id="rId158" Type="http://schemas.openxmlformats.org/officeDocument/2006/relationships/image" Target="media/image147.png"/><Relationship Id="rId157" Type="http://schemas.openxmlformats.org/officeDocument/2006/relationships/image" Target="media/image146.png"/><Relationship Id="rId156" Type="http://schemas.openxmlformats.org/officeDocument/2006/relationships/image" Target="media/image145.png"/><Relationship Id="rId155" Type="http://schemas.openxmlformats.org/officeDocument/2006/relationships/image" Target="media/image144.png"/><Relationship Id="rId154" Type="http://schemas.openxmlformats.org/officeDocument/2006/relationships/image" Target="media/image143.png"/><Relationship Id="rId153" Type="http://schemas.openxmlformats.org/officeDocument/2006/relationships/image" Target="media/image142.png"/><Relationship Id="rId152" Type="http://schemas.openxmlformats.org/officeDocument/2006/relationships/image" Target="media/image141.png"/><Relationship Id="rId151" Type="http://schemas.openxmlformats.org/officeDocument/2006/relationships/image" Target="media/image140.png"/><Relationship Id="rId150" Type="http://schemas.openxmlformats.org/officeDocument/2006/relationships/image" Target="media/image139.png"/><Relationship Id="rId15" Type="http://schemas.openxmlformats.org/officeDocument/2006/relationships/image" Target="media/image6.png"/><Relationship Id="rId149" Type="http://schemas.openxmlformats.org/officeDocument/2006/relationships/image" Target="media/image138.png"/><Relationship Id="rId148" Type="http://schemas.openxmlformats.org/officeDocument/2006/relationships/image" Target="media/image137.png"/><Relationship Id="rId147" Type="http://schemas.openxmlformats.org/officeDocument/2006/relationships/image" Target="media/image136.png"/><Relationship Id="rId146" Type="http://schemas.openxmlformats.org/officeDocument/2006/relationships/image" Target="media/image135.png"/><Relationship Id="rId145" Type="http://schemas.openxmlformats.org/officeDocument/2006/relationships/image" Target="media/image134.GIF"/><Relationship Id="rId144" Type="http://schemas.openxmlformats.org/officeDocument/2006/relationships/image" Target="media/image133.GIF"/><Relationship Id="rId143" Type="http://schemas.openxmlformats.org/officeDocument/2006/relationships/image" Target="media/image132.png"/><Relationship Id="rId142" Type="http://schemas.openxmlformats.org/officeDocument/2006/relationships/image" Target="media/image131.png"/><Relationship Id="rId141" Type="http://schemas.openxmlformats.org/officeDocument/2006/relationships/image" Target="media/image130.png"/><Relationship Id="rId140" Type="http://schemas.openxmlformats.org/officeDocument/2006/relationships/image" Target="media/image129.png"/><Relationship Id="rId14" Type="http://schemas.openxmlformats.org/officeDocument/2006/relationships/image" Target="media/image5.png"/><Relationship Id="rId139" Type="http://schemas.openxmlformats.org/officeDocument/2006/relationships/image" Target="media/image128.png"/><Relationship Id="rId138" Type="http://schemas.openxmlformats.org/officeDocument/2006/relationships/image" Target="media/image127.png"/><Relationship Id="rId137" Type="http://schemas.openxmlformats.org/officeDocument/2006/relationships/image" Target="media/image126.png"/><Relationship Id="rId136" Type="http://schemas.openxmlformats.org/officeDocument/2006/relationships/image" Target="media/image125.png"/><Relationship Id="rId135" Type="http://schemas.openxmlformats.org/officeDocument/2006/relationships/image" Target="media/image124.png"/><Relationship Id="rId1341" Type="http://schemas.openxmlformats.org/officeDocument/2006/relationships/fontTable" Target="fontTable.xml"/><Relationship Id="rId1340" Type="http://schemas.microsoft.com/office/2006/relationships/keyMapCustomizations" Target="customizations.xml"/><Relationship Id="rId134" Type="http://schemas.openxmlformats.org/officeDocument/2006/relationships/image" Target="media/image123.png"/><Relationship Id="rId1339" Type="http://schemas.openxmlformats.org/officeDocument/2006/relationships/customXml" Target="../customXml/item2.xml"/><Relationship Id="rId1338" Type="http://schemas.openxmlformats.org/officeDocument/2006/relationships/numbering" Target="numbering.xml"/><Relationship Id="rId1337" Type="http://schemas.openxmlformats.org/officeDocument/2006/relationships/customXml" Target="../customXml/item1.xml"/><Relationship Id="rId1336" Type="http://schemas.openxmlformats.org/officeDocument/2006/relationships/image" Target="media/image1324.png"/><Relationship Id="rId1335" Type="http://schemas.openxmlformats.org/officeDocument/2006/relationships/image" Target="media/image1323.png"/><Relationship Id="rId1334" Type="http://schemas.openxmlformats.org/officeDocument/2006/relationships/image" Target="media/image1322.png"/><Relationship Id="rId1333" Type="http://schemas.openxmlformats.org/officeDocument/2006/relationships/image" Target="media/image1321.png"/><Relationship Id="rId1332" Type="http://schemas.openxmlformats.org/officeDocument/2006/relationships/image" Target="media/image1320.png"/><Relationship Id="rId1331" Type="http://schemas.openxmlformats.org/officeDocument/2006/relationships/image" Target="media/image1319.png"/><Relationship Id="rId1330" Type="http://schemas.openxmlformats.org/officeDocument/2006/relationships/image" Target="media/image1318.png"/><Relationship Id="rId133" Type="http://schemas.openxmlformats.org/officeDocument/2006/relationships/image" Target="media/image122.png"/><Relationship Id="rId1329" Type="http://schemas.openxmlformats.org/officeDocument/2006/relationships/image" Target="media/image1317.png"/><Relationship Id="rId1328" Type="http://schemas.openxmlformats.org/officeDocument/2006/relationships/image" Target="media/image1316.png"/><Relationship Id="rId1327" Type="http://schemas.openxmlformats.org/officeDocument/2006/relationships/image" Target="media/image1315.png"/><Relationship Id="rId1326" Type="http://schemas.openxmlformats.org/officeDocument/2006/relationships/image" Target="media/image1314.png"/><Relationship Id="rId1325" Type="http://schemas.openxmlformats.org/officeDocument/2006/relationships/image" Target="media/image1313.png"/><Relationship Id="rId1324" Type="http://schemas.openxmlformats.org/officeDocument/2006/relationships/image" Target="media/image1312.png"/><Relationship Id="rId1323" Type="http://schemas.openxmlformats.org/officeDocument/2006/relationships/image" Target="media/image1311.png"/><Relationship Id="rId1322" Type="http://schemas.openxmlformats.org/officeDocument/2006/relationships/image" Target="media/image1310.png"/><Relationship Id="rId1321" Type="http://schemas.openxmlformats.org/officeDocument/2006/relationships/image" Target="media/image1309.png"/><Relationship Id="rId1320" Type="http://schemas.openxmlformats.org/officeDocument/2006/relationships/image" Target="media/image1308.png"/><Relationship Id="rId132" Type="http://schemas.openxmlformats.org/officeDocument/2006/relationships/image" Target="media/image121.png"/><Relationship Id="rId1319" Type="http://schemas.openxmlformats.org/officeDocument/2006/relationships/image" Target="media/image1307.png"/><Relationship Id="rId1318" Type="http://schemas.openxmlformats.org/officeDocument/2006/relationships/image" Target="media/image1306.png"/><Relationship Id="rId1317" Type="http://schemas.openxmlformats.org/officeDocument/2006/relationships/image" Target="media/image1305.png"/><Relationship Id="rId1316" Type="http://schemas.openxmlformats.org/officeDocument/2006/relationships/image" Target="media/image1304.png"/><Relationship Id="rId1315" Type="http://schemas.openxmlformats.org/officeDocument/2006/relationships/image" Target="media/image1303.png"/><Relationship Id="rId1314" Type="http://schemas.openxmlformats.org/officeDocument/2006/relationships/image" Target="media/image1302.png"/><Relationship Id="rId1313" Type="http://schemas.openxmlformats.org/officeDocument/2006/relationships/image" Target="media/image1301.png"/><Relationship Id="rId1312" Type="http://schemas.openxmlformats.org/officeDocument/2006/relationships/image" Target="media/image1300.png"/><Relationship Id="rId1311" Type="http://schemas.openxmlformats.org/officeDocument/2006/relationships/image" Target="media/image1299.png"/><Relationship Id="rId1310" Type="http://schemas.openxmlformats.org/officeDocument/2006/relationships/image" Target="media/image1298.png"/><Relationship Id="rId131" Type="http://schemas.openxmlformats.org/officeDocument/2006/relationships/image" Target="media/image120.png"/><Relationship Id="rId1309" Type="http://schemas.openxmlformats.org/officeDocument/2006/relationships/image" Target="media/image1297.png"/><Relationship Id="rId1308" Type="http://schemas.openxmlformats.org/officeDocument/2006/relationships/image" Target="media/image1296.png"/><Relationship Id="rId1307" Type="http://schemas.openxmlformats.org/officeDocument/2006/relationships/image" Target="media/image1295.png"/><Relationship Id="rId1306" Type="http://schemas.openxmlformats.org/officeDocument/2006/relationships/image" Target="media/image1294.png"/><Relationship Id="rId1305" Type="http://schemas.openxmlformats.org/officeDocument/2006/relationships/image" Target="media/image1293.png"/><Relationship Id="rId1304" Type="http://schemas.openxmlformats.org/officeDocument/2006/relationships/image" Target="media/image1292.png"/><Relationship Id="rId1303" Type="http://schemas.openxmlformats.org/officeDocument/2006/relationships/image" Target="media/image1291.png"/><Relationship Id="rId1302" Type="http://schemas.openxmlformats.org/officeDocument/2006/relationships/image" Target="media/image1290.png"/><Relationship Id="rId1301" Type="http://schemas.openxmlformats.org/officeDocument/2006/relationships/image" Target="media/image1289.png"/><Relationship Id="rId1300" Type="http://schemas.openxmlformats.org/officeDocument/2006/relationships/image" Target="media/image1288.png"/><Relationship Id="rId130" Type="http://schemas.openxmlformats.org/officeDocument/2006/relationships/image" Target="media/image119.png"/><Relationship Id="rId13" Type="http://schemas.openxmlformats.org/officeDocument/2006/relationships/image" Target="media/image4.jpeg"/><Relationship Id="rId1299" Type="http://schemas.openxmlformats.org/officeDocument/2006/relationships/image" Target="media/image1287.png"/><Relationship Id="rId1298" Type="http://schemas.openxmlformats.org/officeDocument/2006/relationships/image" Target="media/image1286.png"/><Relationship Id="rId1297" Type="http://schemas.openxmlformats.org/officeDocument/2006/relationships/image" Target="media/image1285.png"/><Relationship Id="rId1296" Type="http://schemas.openxmlformats.org/officeDocument/2006/relationships/image" Target="media/image1284.png"/><Relationship Id="rId1295" Type="http://schemas.openxmlformats.org/officeDocument/2006/relationships/image" Target="media/image1283.png"/><Relationship Id="rId1294" Type="http://schemas.openxmlformats.org/officeDocument/2006/relationships/image" Target="media/image1282.png"/><Relationship Id="rId1293" Type="http://schemas.openxmlformats.org/officeDocument/2006/relationships/image" Target="media/image1281.png"/><Relationship Id="rId1292" Type="http://schemas.openxmlformats.org/officeDocument/2006/relationships/image" Target="media/image1280.png"/><Relationship Id="rId1291" Type="http://schemas.openxmlformats.org/officeDocument/2006/relationships/image" Target="media/image1279.png"/><Relationship Id="rId1290" Type="http://schemas.openxmlformats.org/officeDocument/2006/relationships/image" Target="media/image1278.png"/><Relationship Id="rId129" Type="http://schemas.openxmlformats.org/officeDocument/2006/relationships/image" Target="media/image118.png"/><Relationship Id="rId1289" Type="http://schemas.openxmlformats.org/officeDocument/2006/relationships/image" Target="media/image1277.png"/><Relationship Id="rId1288" Type="http://schemas.openxmlformats.org/officeDocument/2006/relationships/image" Target="media/image1276.png"/><Relationship Id="rId1287" Type="http://schemas.openxmlformats.org/officeDocument/2006/relationships/image" Target="media/image1275.png"/><Relationship Id="rId1286" Type="http://schemas.openxmlformats.org/officeDocument/2006/relationships/image" Target="media/image1274.png"/><Relationship Id="rId1285" Type="http://schemas.openxmlformats.org/officeDocument/2006/relationships/image" Target="media/image1273.emf"/><Relationship Id="rId1284" Type="http://schemas.openxmlformats.org/officeDocument/2006/relationships/package" Target="embeddings/Microsoft_Visio___1.vsdx"/><Relationship Id="rId1283" Type="http://schemas.openxmlformats.org/officeDocument/2006/relationships/image" Target="media/image1272.emf"/><Relationship Id="rId1282" Type="http://schemas.openxmlformats.org/officeDocument/2006/relationships/image" Target="media/image1271.png"/><Relationship Id="rId1281" Type="http://schemas.openxmlformats.org/officeDocument/2006/relationships/image" Target="media/image1270.png"/><Relationship Id="rId1280" Type="http://schemas.openxmlformats.org/officeDocument/2006/relationships/image" Target="media/image1269.png"/><Relationship Id="rId128" Type="http://schemas.openxmlformats.org/officeDocument/2006/relationships/image" Target="media/image117.png"/><Relationship Id="rId1279" Type="http://schemas.openxmlformats.org/officeDocument/2006/relationships/image" Target="media/image1268.png"/><Relationship Id="rId1278" Type="http://schemas.openxmlformats.org/officeDocument/2006/relationships/image" Target="media/image1267.png"/><Relationship Id="rId1277" Type="http://schemas.openxmlformats.org/officeDocument/2006/relationships/image" Target="media/image1266.png"/><Relationship Id="rId1276" Type="http://schemas.openxmlformats.org/officeDocument/2006/relationships/image" Target="media/image1265.png"/><Relationship Id="rId1275" Type="http://schemas.openxmlformats.org/officeDocument/2006/relationships/image" Target="media/image1264.png"/><Relationship Id="rId1274" Type="http://schemas.openxmlformats.org/officeDocument/2006/relationships/image" Target="media/image1263.png"/><Relationship Id="rId1273" Type="http://schemas.openxmlformats.org/officeDocument/2006/relationships/image" Target="media/image1262.png"/><Relationship Id="rId1272" Type="http://schemas.openxmlformats.org/officeDocument/2006/relationships/image" Target="media/image1261.png"/><Relationship Id="rId1271" Type="http://schemas.openxmlformats.org/officeDocument/2006/relationships/image" Target="media/image1260.png"/><Relationship Id="rId1270" Type="http://schemas.openxmlformats.org/officeDocument/2006/relationships/image" Target="media/image1259.png"/><Relationship Id="rId127" Type="http://schemas.openxmlformats.org/officeDocument/2006/relationships/image" Target="media/image116.png"/><Relationship Id="rId1269" Type="http://schemas.openxmlformats.org/officeDocument/2006/relationships/image" Target="media/image1258.png"/><Relationship Id="rId1268" Type="http://schemas.openxmlformats.org/officeDocument/2006/relationships/image" Target="media/image1257.png"/><Relationship Id="rId1267" Type="http://schemas.openxmlformats.org/officeDocument/2006/relationships/image" Target="media/image1256.png"/><Relationship Id="rId1266" Type="http://schemas.openxmlformats.org/officeDocument/2006/relationships/image" Target="media/image1255.png"/><Relationship Id="rId1265" Type="http://schemas.openxmlformats.org/officeDocument/2006/relationships/image" Target="media/image1254.png"/><Relationship Id="rId1264" Type="http://schemas.openxmlformats.org/officeDocument/2006/relationships/image" Target="media/image1253.png"/><Relationship Id="rId1263" Type="http://schemas.openxmlformats.org/officeDocument/2006/relationships/image" Target="media/image1252.png"/><Relationship Id="rId1262" Type="http://schemas.openxmlformats.org/officeDocument/2006/relationships/image" Target="media/image1251.png"/><Relationship Id="rId1261" Type="http://schemas.openxmlformats.org/officeDocument/2006/relationships/image" Target="media/image1250.png"/><Relationship Id="rId1260" Type="http://schemas.openxmlformats.org/officeDocument/2006/relationships/image" Target="media/image1249.png"/><Relationship Id="rId126" Type="http://schemas.openxmlformats.org/officeDocument/2006/relationships/image" Target="media/image115.png"/><Relationship Id="rId1259" Type="http://schemas.openxmlformats.org/officeDocument/2006/relationships/image" Target="media/image1248.png"/><Relationship Id="rId1258" Type="http://schemas.openxmlformats.org/officeDocument/2006/relationships/image" Target="media/image1247.png"/><Relationship Id="rId1257" Type="http://schemas.openxmlformats.org/officeDocument/2006/relationships/image" Target="media/image1246.png"/><Relationship Id="rId1256" Type="http://schemas.openxmlformats.org/officeDocument/2006/relationships/image" Target="media/image1245.png"/><Relationship Id="rId1255" Type="http://schemas.openxmlformats.org/officeDocument/2006/relationships/image" Target="media/image1244.png"/><Relationship Id="rId1254" Type="http://schemas.openxmlformats.org/officeDocument/2006/relationships/image" Target="media/image1243.png"/><Relationship Id="rId1253" Type="http://schemas.openxmlformats.org/officeDocument/2006/relationships/image" Target="media/image1242.png"/><Relationship Id="rId1252" Type="http://schemas.openxmlformats.org/officeDocument/2006/relationships/image" Target="media/image1241.png"/><Relationship Id="rId1251" Type="http://schemas.openxmlformats.org/officeDocument/2006/relationships/image" Target="media/image1240.png"/><Relationship Id="rId1250" Type="http://schemas.openxmlformats.org/officeDocument/2006/relationships/image" Target="media/image1239.png"/><Relationship Id="rId125" Type="http://schemas.openxmlformats.org/officeDocument/2006/relationships/image" Target="media/image114.png"/><Relationship Id="rId1249" Type="http://schemas.openxmlformats.org/officeDocument/2006/relationships/image" Target="media/image1238.png"/><Relationship Id="rId1248" Type="http://schemas.openxmlformats.org/officeDocument/2006/relationships/image" Target="media/image1237.png"/><Relationship Id="rId1247" Type="http://schemas.openxmlformats.org/officeDocument/2006/relationships/image" Target="media/image1236.png"/><Relationship Id="rId1246" Type="http://schemas.openxmlformats.org/officeDocument/2006/relationships/image" Target="media/image1235.png"/><Relationship Id="rId1245" Type="http://schemas.openxmlformats.org/officeDocument/2006/relationships/image" Target="media/image1234.png"/><Relationship Id="rId1244" Type="http://schemas.openxmlformats.org/officeDocument/2006/relationships/image" Target="media/image1233.png"/><Relationship Id="rId1243" Type="http://schemas.openxmlformats.org/officeDocument/2006/relationships/image" Target="media/image1232.png"/><Relationship Id="rId1242" Type="http://schemas.openxmlformats.org/officeDocument/2006/relationships/image" Target="media/image1231.png"/><Relationship Id="rId1241" Type="http://schemas.openxmlformats.org/officeDocument/2006/relationships/image" Target="media/image1230.png"/><Relationship Id="rId1240" Type="http://schemas.openxmlformats.org/officeDocument/2006/relationships/image" Target="media/image1229.png"/><Relationship Id="rId124" Type="http://schemas.openxmlformats.org/officeDocument/2006/relationships/image" Target="media/image113.png"/><Relationship Id="rId1239" Type="http://schemas.openxmlformats.org/officeDocument/2006/relationships/image" Target="media/image1228.png"/><Relationship Id="rId1238" Type="http://schemas.openxmlformats.org/officeDocument/2006/relationships/image" Target="media/image1227.png"/><Relationship Id="rId1237" Type="http://schemas.openxmlformats.org/officeDocument/2006/relationships/image" Target="media/image1226.png"/><Relationship Id="rId1236" Type="http://schemas.openxmlformats.org/officeDocument/2006/relationships/image" Target="media/image1225.png"/><Relationship Id="rId1235" Type="http://schemas.openxmlformats.org/officeDocument/2006/relationships/image" Target="media/image1224.png"/><Relationship Id="rId1234" Type="http://schemas.openxmlformats.org/officeDocument/2006/relationships/image" Target="media/image1223.png"/><Relationship Id="rId1233" Type="http://schemas.openxmlformats.org/officeDocument/2006/relationships/image" Target="media/image1222.png"/><Relationship Id="rId1232" Type="http://schemas.openxmlformats.org/officeDocument/2006/relationships/image" Target="media/image1221.png"/><Relationship Id="rId1231" Type="http://schemas.openxmlformats.org/officeDocument/2006/relationships/image" Target="media/image1220.png"/><Relationship Id="rId1230" Type="http://schemas.openxmlformats.org/officeDocument/2006/relationships/image" Target="media/image1219.png"/><Relationship Id="rId123" Type="http://schemas.openxmlformats.org/officeDocument/2006/relationships/image" Target="media/image112.png"/><Relationship Id="rId1229" Type="http://schemas.openxmlformats.org/officeDocument/2006/relationships/image" Target="media/image1218.png"/><Relationship Id="rId1228" Type="http://schemas.openxmlformats.org/officeDocument/2006/relationships/image" Target="media/image1217.png"/><Relationship Id="rId1227" Type="http://schemas.openxmlformats.org/officeDocument/2006/relationships/image" Target="media/image1216.png"/><Relationship Id="rId1226" Type="http://schemas.openxmlformats.org/officeDocument/2006/relationships/image" Target="media/image1215.png"/><Relationship Id="rId1225" Type="http://schemas.openxmlformats.org/officeDocument/2006/relationships/image" Target="media/image1214.png"/><Relationship Id="rId1224" Type="http://schemas.openxmlformats.org/officeDocument/2006/relationships/image" Target="media/image1213.png"/><Relationship Id="rId1223" Type="http://schemas.openxmlformats.org/officeDocument/2006/relationships/image" Target="media/image1212.png"/><Relationship Id="rId1222" Type="http://schemas.openxmlformats.org/officeDocument/2006/relationships/image" Target="media/image1211.png"/><Relationship Id="rId1221" Type="http://schemas.openxmlformats.org/officeDocument/2006/relationships/image" Target="media/image1210.png"/><Relationship Id="rId1220" Type="http://schemas.openxmlformats.org/officeDocument/2006/relationships/image" Target="media/image1209.png"/><Relationship Id="rId122" Type="http://schemas.openxmlformats.org/officeDocument/2006/relationships/image" Target="media/image111.png"/><Relationship Id="rId1219" Type="http://schemas.openxmlformats.org/officeDocument/2006/relationships/image" Target="media/image1208.png"/><Relationship Id="rId1218" Type="http://schemas.openxmlformats.org/officeDocument/2006/relationships/image" Target="media/image1207.png"/><Relationship Id="rId1217" Type="http://schemas.openxmlformats.org/officeDocument/2006/relationships/image" Target="media/image1206.png"/><Relationship Id="rId1216" Type="http://schemas.openxmlformats.org/officeDocument/2006/relationships/image" Target="media/image1205.png"/><Relationship Id="rId1215" Type="http://schemas.openxmlformats.org/officeDocument/2006/relationships/image" Target="media/image1204.png"/><Relationship Id="rId1214" Type="http://schemas.openxmlformats.org/officeDocument/2006/relationships/image" Target="media/image1203.png"/><Relationship Id="rId1213" Type="http://schemas.openxmlformats.org/officeDocument/2006/relationships/image" Target="media/image1202.png"/><Relationship Id="rId1212" Type="http://schemas.openxmlformats.org/officeDocument/2006/relationships/image" Target="media/image1201.png"/><Relationship Id="rId1211" Type="http://schemas.openxmlformats.org/officeDocument/2006/relationships/image" Target="media/image1200.png"/><Relationship Id="rId1210" Type="http://schemas.openxmlformats.org/officeDocument/2006/relationships/image" Target="media/image1199.png"/><Relationship Id="rId121" Type="http://schemas.openxmlformats.org/officeDocument/2006/relationships/image" Target="media/image110.png"/><Relationship Id="rId1209" Type="http://schemas.openxmlformats.org/officeDocument/2006/relationships/image" Target="media/image1198.png"/><Relationship Id="rId1208" Type="http://schemas.openxmlformats.org/officeDocument/2006/relationships/image" Target="media/image1197.png"/><Relationship Id="rId1207" Type="http://schemas.openxmlformats.org/officeDocument/2006/relationships/image" Target="media/image1196.png"/><Relationship Id="rId1206" Type="http://schemas.openxmlformats.org/officeDocument/2006/relationships/image" Target="media/image1195.png"/><Relationship Id="rId1205" Type="http://schemas.openxmlformats.org/officeDocument/2006/relationships/image" Target="media/image1194.png"/><Relationship Id="rId1204" Type="http://schemas.openxmlformats.org/officeDocument/2006/relationships/image" Target="media/image1193.png"/><Relationship Id="rId1203" Type="http://schemas.openxmlformats.org/officeDocument/2006/relationships/image" Target="media/image1192.png"/><Relationship Id="rId1202" Type="http://schemas.openxmlformats.org/officeDocument/2006/relationships/image" Target="media/image1191.png"/><Relationship Id="rId1201" Type="http://schemas.openxmlformats.org/officeDocument/2006/relationships/image" Target="media/image1190.png"/><Relationship Id="rId1200" Type="http://schemas.openxmlformats.org/officeDocument/2006/relationships/image" Target="media/image1189.png"/><Relationship Id="rId120" Type="http://schemas.openxmlformats.org/officeDocument/2006/relationships/image" Target="media/image109.png"/><Relationship Id="rId12" Type="http://schemas.openxmlformats.org/officeDocument/2006/relationships/image" Target="media/image3.jpeg"/><Relationship Id="rId1199" Type="http://schemas.openxmlformats.org/officeDocument/2006/relationships/image" Target="media/image1188.png"/><Relationship Id="rId1198" Type="http://schemas.openxmlformats.org/officeDocument/2006/relationships/image" Target="media/image1187.png"/><Relationship Id="rId1197" Type="http://schemas.openxmlformats.org/officeDocument/2006/relationships/image" Target="media/image1186.png"/><Relationship Id="rId1196" Type="http://schemas.openxmlformats.org/officeDocument/2006/relationships/image" Target="media/image1185.png"/><Relationship Id="rId1195" Type="http://schemas.openxmlformats.org/officeDocument/2006/relationships/image" Target="media/image1184.png"/><Relationship Id="rId1194" Type="http://schemas.openxmlformats.org/officeDocument/2006/relationships/image" Target="media/image1183.png"/><Relationship Id="rId1193" Type="http://schemas.openxmlformats.org/officeDocument/2006/relationships/image" Target="media/image1182.png"/><Relationship Id="rId1192" Type="http://schemas.openxmlformats.org/officeDocument/2006/relationships/image" Target="media/image1181.png"/><Relationship Id="rId1191" Type="http://schemas.openxmlformats.org/officeDocument/2006/relationships/image" Target="media/image1180.png"/><Relationship Id="rId1190" Type="http://schemas.openxmlformats.org/officeDocument/2006/relationships/image" Target="media/image1179.png"/><Relationship Id="rId119" Type="http://schemas.openxmlformats.org/officeDocument/2006/relationships/image" Target="media/image108.png"/><Relationship Id="rId1189" Type="http://schemas.openxmlformats.org/officeDocument/2006/relationships/image" Target="media/image1178.png"/><Relationship Id="rId1188" Type="http://schemas.openxmlformats.org/officeDocument/2006/relationships/image" Target="media/image1177.png"/><Relationship Id="rId1187" Type="http://schemas.openxmlformats.org/officeDocument/2006/relationships/image" Target="media/image1176.png"/><Relationship Id="rId1186" Type="http://schemas.openxmlformats.org/officeDocument/2006/relationships/image" Target="media/image1175.png"/><Relationship Id="rId1185" Type="http://schemas.openxmlformats.org/officeDocument/2006/relationships/image" Target="media/image1174.png"/><Relationship Id="rId1184" Type="http://schemas.openxmlformats.org/officeDocument/2006/relationships/image" Target="media/image1173.png"/><Relationship Id="rId1183" Type="http://schemas.openxmlformats.org/officeDocument/2006/relationships/image" Target="media/image1172.png"/><Relationship Id="rId1182" Type="http://schemas.openxmlformats.org/officeDocument/2006/relationships/image" Target="media/image1171.png"/><Relationship Id="rId1181" Type="http://schemas.openxmlformats.org/officeDocument/2006/relationships/image" Target="media/image1170.png"/><Relationship Id="rId1180" Type="http://schemas.openxmlformats.org/officeDocument/2006/relationships/image" Target="media/image1169.png"/><Relationship Id="rId118" Type="http://schemas.openxmlformats.org/officeDocument/2006/relationships/image" Target="media/image107.png"/><Relationship Id="rId1179" Type="http://schemas.openxmlformats.org/officeDocument/2006/relationships/image" Target="media/image1168.png"/><Relationship Id="rId1178" Type="http://schemas.openxmlformats.org/officeDocument/2006/relationships/image" Target="media/image1167.png"/><Relationship Id="rId1177" Type="http://schemas.openxmlformats.org/officeDocument/2006/relationships/image" Target="media/image1166.png"/><Relationship Id="rId1176" Type="http://schemas.openxmlformats.org/officeDocument/2006/relationships/image" Target="media/image1165.png"/><Relationship Id="rId1175" Type="http://schemas.openxmlformats.org/officeDocument/2006/relationships/image" Target="media/image1164.png"/><Relationship Id="rId1174" Type="http://schemas.openxmlformats.org/officeDocument/2006/relationships/image" Target="media/image1163.png"/><Relationship Id="rId1173" Type="http://schemas.openxmlformats.org/officeDocument/2006/relationships/image" Target="media/image1162.png"/><Relationship Id="rId1172" Type="http://schemas.openxmlformats.org/officeDocument/2006/relationships/image" Target="media/image1161.png"/><Relationship Id="rId1171" Type="http://schemas.openxmlformats.org/officeDocument/2006/relationships/image" Target="media/image1160.png"/><Relationship Id="rId1170" Type="http://schemas.openxmlformats.org/officeDocument/2006/relationships/image" Target="media/image1159.png"/><Relationship Id="rId117" Type="http://schemas.openxmlformats.org/officeDocument/2006/relationships/image" Target="media/image106.png"/><Relationship Id="rId1169" Type="http://schemas.openxmlformats.org/officeDocument/2006/relationships/image" Target="media/image1158.png"/><Relationship Id="rId1168" Type="http://schemas.openxmlformats.org/officeDocument/2006/relationships/image" Target="media/image1157.png"/><Relationship Id="rId1167" Type="http://schemas.openxmlformats.org/officeDocument/2006/relationships/image" Target="media/image1156.png"/><Relationship Id="rId1166" Type="http://schemas.openxmlformats.org/officeDocument/2006/relationships/image" Target="media/image1155.png"/><Relationship Id="rId1165" Type="http://schemas.openxmlformats.org/officeDocument/2006/relationships/image" Target="media/image1154.png"/><Relationship Id="rId1164" Type="http://schemas.openxmlformats.org/officeDocument/2006/relationships/image" Target="media/image1153.png"/><Relationship Id="rId1163" Type="http://schemas.openxmlformats.org/officeDocument/2006/relationships/image" Target="media/image1152.png"/><Relationship Id="rId1162" Type="http://schemas.openxmlformats.org/officeDocument/2006/relationships/image" Target="media/image1151.png"/><Relationship Id="rId1161" Type="http://schemas.openxmlformats.org/officeDocument/2006/relationships/image" Target="media/image1150.png"/><Relationship Id="rId1160" Type="http://schemas.openxmlformats.org/officeDocument/2006/relationships/image" Target="media/image1149.png"/><Relationship Id="rId116" Type="http://schemas.openxmlformats.org/officeDocument/2006/relationships/image" Target="media/image105.png"/><Relationship Id="rId1159" Type="http://schemas.openxmlformats.org/officeDocument/2006/relationships/image" Target="media/image1148.png"/><Relationship Id="rId1158" Type="http://schemas.openxmlformats.org/officeDocument/2006/relationships/image" Target="media/image1147.png"/><Relationship Id="rId1157" Type="http://schemas.openxmlformats.org/officeDocument/2006/relationships/image" Target="media/image1146.png"/><Relationship Id="rId1156" Type="http://schemas.openxmlformats.org/officeDocument/2006/relationships/image" Target="media/image1145.png"/><Relationship Id="rId1155" Type="http://schemas.openxmlformats.org/officeDocument/2006/relationships/image" Target="media/image1144.png"/><Relationship Id="rId1154" Type="http://schemas.openxmlformats.org/officeDocument/2006/relationships/image" Target="media/image1143.png"/><Relationship Id="rId1153" Type="http://schemas.openxmlformats.org/officeDocument/2006/relationships/image" Target="media/image1142.png"/><Relationship Id="rId1152" Type="http://schemas.openxmlformats.org/officeDocument/2006/relationships/image" Target="media/image1141.png"/><Relationship Id="rId1151" Type="http://schemas.openxmlformats.org/officeDocument/2006/relationships/image" Target="media/image1140.png"/><Relationship Id="rId1150" Type="http://schemas.openxmlformats.org/officeDocument/2006/relationships/image" Target="media/image1139.png"/><Relationship Id="rId115" Type="http://schemas.openxmlformats.org/officeDocument/2006/relationships/image" Target="media/image104.png"/><Relationship Id="rId1149" Type="http://schemas.openxmlformats.org/officeDocument/2006/relationships/image" Target="media/image1138.png"/><Relationship Id="rId1148" Type="http://schemas.openxmlformats.org/officeDocument/2006/relationships/image" Target="media/image1137.png"/><Relationship Id="rId1147" Type="http://schemas.openxmlformats.org/officeDocument/2006/relationships/image" Target="media/image1136.png"/><Relationship Id="rId1146" Type="http://schemas.openxmlformats.org/officeDocument/2006/relationships/image" Target="media/image1135.png"/><Relationship Id="rId1145" Type="http://schemas.openxmlformats.org/officeDocument/2006/relationships/image" Target="media/image1134.png"/><Relationship Id="rId1144" Type="http://schemas.openxmlformats.org/officeDocument/2006/relationships/image" Target="media/image1133.png"/><Relationship Id="rId1143" Type="http://schemas.openxmlformats.org/officeDocument/2006/relationships/image" Target="media/image1132.png"/><Relationship Id="rId1142" Type="http://schemas.openxmlformats.org/officeDocument/2006/relationships/image" Target="media/image1131.png"/><Relationship Id="rId1141" Type="http://schemas.openxmlformats.org/officeDocument/2006/relationships/image" Target="media/image1130.png"/><Relationship Id="rId1140" Type="http://schemas.openxmlformats.org/officeDocument/2006/relationships/image" Target="media/image1129.png"/><Relationship Id="rId114" Type="http://schemas.openxmlformats.org/officeDocument/2006/relationships/image" Target="media/image103.png"/><Relationship Id="rId1139" Type="http://schemas.openxmlformats.org/officeDocument/2006/relationships/image" Target="media/image1128.png"/><Relationship Id="rId1138" Type="http://schemas.openxmlformats.org/officeDocument/2006/relationships/image" Target="media/image1127.png"/><Relationship Id="rId1137" Type="http://schemas.openxmlformats.org/officeDocument/2006/relationships/image" Target="media/image1126.png"/><Relationship Id="rId1136" Type="http://schemas.openxmlformats.org/officeDocument/2006/relationships/image" Target="media/image1125.png"/><Relationship Id="rId1135" Type="http://schemas.openxmlformats.org/officeDocument/2006/relationships/image" Target="media/image1124.png"/><Relationship Id="rId1134" Type="http://schemas.openxmlformats.org/officeDocument/2006/relationships/image" Target="media/image1123.png"/><Relationship Id="rId1133" Type="http://schemas.openxmlformats.org/officeDocument/2006/relationships/image" Target="media/image1122.png"/><Relationship Id="rId1132" Type="http://schemas.openxmlformats.org/officeDocument/2006/relationships/image" Target="media/image1121.png"/><Relationship Id="rId1131" Type="http://schemas.openxmlformats.org/officeDocument/2006/relationships/image" Target="media/image1120.png"/><Relationship Id="rId1130" Type="http://schemas.openxmlformats.org/officeDocument/2006/relationships/image" Target="media/image1119.png"/><Relationship Id="rId113" Type="http://schemas.openxmlformats.org/officeDocument/2006/relationships/image" Target="media/image102.png"/><Relationship Id="rId1129" Type="http://schemas.openxmlformats.org/officeDocument/2006/relationships/image" Target="media/image1118.png"/><Relationship Id="rId1128" Type="http://schemas.openxmlformats.org/officeDocument/2006/relationships/image" Target="media/image1117.png"/><Relationship Id="rId1127" Type="http://schemas.openxmlformats.org/officeDocument/2006/relationships/image" Target="media/image1116.png"/><Relationship Id="rId1126" Type="http://schemas.openxmlformats.org/officeDocument/2006/relationships/image" Target="media/image1115.png"/><Relationship Id="rId1125" Type="http://schemas.openxmlformats.org/officeDocument/2006/relationships/image" Target="media/image1114.png"/><Relationship Id="rId1124" Type="http://schemas.openxmlformats.org/officeDocument/2006/relationships/image" Target="media/image1113.png"/><Relationship Id="rId1123" Type="http://schemas.openxmlformats.org/officeDocument/2006/relationships/image" Target="media/image1112.png"/><Relationship Id="rId1122" Type="http://schemas.openxmlformats.org/officeDocument/2006/relationships/image" Target="media/image1111.png"/><Relationship Id="rId1121" Type="http://schemas.openxmlformats.org/officeDocument/2006/relationships/image" Target="media/image1110.png"/><Relationship Id="rId1120" Type="http://schemas.openxmlformats.org/officeDocument/2006/relationships/image" Target="media/image1109.png"/><Relationship Id="rId112" Type="http://schemas.openxmlformats.org/officeDocument/2006/relationships/image" Target="media/image101.png"/><Relationship Id="rId1119" Type="http://schemas.openxmlformats.org/officeDocument/2006/relationships/image" Target="media/image1108.png"/><Relationship Id="rId1118" Type="http://schemas.openxmlformats.org/officeDocument/2006/relationships/image" Target="media/image1107.png"/><Relationship Id="rId1117" Type="http://schemas.openxmlformats.org/officeDocument/2006/relationships/image" Target="media/image1106.png"/><Relationship Id="rId1116" Type="http://schemas.openxmlformats.org/officeDocument/2006/relationships/image" Target="media/image1105.png"/><Relationship Id="rId1115" Type="http://schemas.openxmlformats.org/officeDocument/2006/relationships/image" Target="media/image1104.png"/><Relationship Id="rId1114" Type="http://schemas.openxmlformats.org/officeDocument/2006/relationships/image" Target="media/image1103.png"/><Relationship Id="rId1113" Type="http://schemas.openxmlformats.org/officeDocument/2006/relationships/image" Target="media/image1102.png"/><Relationship Id="rId1112" Type="http://schemas.openxmlformats.org/officeDocument/2006/relationships/image" Target="media/image1101.png"/><Relationship Id="rId1111" Type="http://schemas.openxmlformats.org/officeDocument/2006/relationships/image" Target="media/image1100.png"/><Relationship Id="rId1110" Type="http://schemas.openxmlformats.org/officeDocument/2006/relationships/image" Target="media/image1099.png"/><Relationship Id="rId111" Type="http://schemas.openxmlformats.org/officeDocument/2006/relationships/image" Target="media/image100.png"/><Relationship Id="rId1109" Type="http://schemas.openxmlformats.org/officeDocument/2006/relationships/image" Target="media/image1098.png"/><Relationship Id="rId1108" Type="http://schemas.openxmlformats.org/officeDocument/2006/relationships/image" Target="media/image1097.png"/><Relationship Id="rId1107" Type="http://schemas.openxmlformats.org/officeDocument/2006/relationships/image" Target="media/image1096.png"/><Relationship Id="rId1106" Type="http://schemas.openxmlformats.org/officeDocument/2006/relationships/image" Target="media/image1095.png"/><Relationship Id="rId1105" Type="http://schemas.openxmlformats.org/officeDocument/2006/relationships/image" Target="media/image1094.png"/><Relationship Id="rId1104" Type="http://schemas.openxmlformats.org/officeDocument/2006/relationships/image" Target="media/image1093.png"/><Relationship Id="rId1103" Type="http://schemas.openxmlformats.org/officeDocument/2006/relationships/image" Target="media/image1092.png"/><Relationship Id="rId1102" Type="http://schemas.openxmlformats.org/officeDocument/2006/relationships/image" Target="media/image1091.png"/><Relationship Id="rId1101" Type="http://schemas.openxmlformats.org/officeDocument/2006/relationships/image" Target="media/image1090.png"/><Relationship Id="rId1100" Type="http://schemas.openxmlformats.org/officeDocument/2006/relationships/image" Target="media/image1089.png"/><Relationship Id="rId110" Type="http://schemas.openxmlformats.org/officeDocument/2006/relationships/image" Target="media/image99.png"/><Relationship Id="rId11" Type="http://schemas.openxmlformats.org/officeDocument/2006/relationships/image" Target="media/image2.png"/><Relationship Id="rId1099" Type="http://schemas.openxmlformats.org/officeDocument/2006/relationships/image" Target="media/image1088.png"/><Relationship Id="rId1098" Type="http://schemas.openxmlformats.org/officeDocument/2006/relationships/image" Target="media/image1087.png"/><Relationship Id="rId1097" Type="http://schemas.openxmlformats.org/officeDocument/2006/relationships/image" Target="media/image1086.png"/><Relationship Id="rId1096" Type="http://schemas.openxmlformats.org/officeDocument/2006/relationships/image" Target="media/image1085.png"/><Relationship Id="rId1095" Type="http://schemas.openxmlformats.org/officeDocument/2006/relationships/image" Target="media/image1084.png"/><Relationship Id="rId1094" Type="http://schemas.openxmlformats.org/officeDocument/2006/relationships/image" Target="media/image1083.png"/><Relationship Id="rId1093" Type="http://schemas.openxmlformats.org/officeDocument/2006/relationships/image" Target="media/image1082.png"/><Relationship Id="rId1092" Type="http://schemas.openxmlformats.org/officeDocument/2006/relationships/image" Target="media/image1081.png"/><Relationship Id="rId1091" Type="http://schemas.openxmlformats.org/officeDocument/2006/relationships/image" Target="media/image1080.png"/><Relationship Id="rId1090" Type="http://schemas.openxmlformats.org/officeDocument/2006/relationships/image" Target="media/image1079.png"/><Relationship Id="rId109" Type="http://schemas.openxmlformats.org/officeDocument/2006/relationships/image" Target="media/image98.png"/><Relationship Id="rId1089" Type="http://schemas.openxmlformats.org/officeDocument/2006/relationships/image" Target="media/image1078.png"/><Relationship Id="rId1088" Type="http://schemas.openxmlformats.org/officeDocument/2006/relationships/image" Target="media/image1077.png"/><Relationship Id="rId1087" Type="http://schemas.openxmlformats.org/officeDocument/2006/relationships/image" Target="media/image1076.png"/><Relationship Id="rId1086" Type="http://schemas.openxmlformats.org/officeDocument/2006/relationships/image" Target="media/image1075.png"/><Relationship Id="rId1085" Type="http://schemas.openxmlformats.org/officeDocument/2006/relationships/image" Target="media/image1074.png"/><Relationship Id="rId1084" Type="http://schemas.openxmlformats.org/officeDocument/2006/relationships/image" Target="media/image1073.png"/><Relationship Id="rId1083" Type="http://schemas.openxmlformats.org/officeDocument/2006/relationships/image" Target="media/image1072.png"/><Relationship Id="rId1082" Type="http://schemas.openxmlformats.org/officeDocument/2006/relationships/image" Target="media/image1071.png"/><Relationship Id="rId1081" Type="http://schemas.openxmlformats.org/officeDocument/2006/relationships/image" Target="media/image1070.png"/><Relationship Id="rId1080" Type="http://schemas.openxmlformats.org/officeDocument/2006/relationships/image" Target="media/image1069.png"/><Relationship Id="rId108" Type="http://schemas.openxmlformats.org/officeDocument/2006/relationships/image" Target="media/image97.png"/><Relationship Id="rId1079" Type="http://schemas.openxmlformats.org/officeDocument/2006/relationships/image" Target="media/image1068.png"/><Relationship Id="rId1078" Type="http://schemas.openxmlformats.org/officeDocument/2006/relationships/image" Target="media/image1067.png"/><Relationship Id="rId1077" Type="http://schemas.openxmlformats.org/officeDocument/2006/relationships/image" Target="media/image1066.png"/><Relationship Id="rId1076" Type="http://schemas.openxmlformats.org/officeDocument/2006/relationships/image" Target="media/image1065.png"/><Relationship Id="rId1075" Type="http://schemas.openxmlformats.org/officeDocument/2006/relationships/image" Target="media/image1064.png"/><Relationship Id="rId1074" Type="http://schemas.openxmlformats.org/officeDocument/2006/relationships/image" Target="media/image1063.png"/><Relationship Id="rId1073" Type="http://schemas.openxmlformats.org/officeDocument/2006/relationships/image" Target="media/image1062.png"/><Relationship Id="rId1072" Type="http://schemas.openxmlformats.org/officeDocument/2006/relationships/image" Target="media/image1061.png"/><Relationship Id="rId1071" Type="http://schemas.openxmlformats.org/officeDocument/2006/relationships/image" Target="media/image1060.png"/><Relationship Id="rId1070" Type="http://schemas.openxmlformats.org/officeDocument/2006/relationships/image" Target="media/image1059.png"/><Relationship Id="rId107" Type="http://schemas.openxmlformats.org/officeDocument/2006/relationships/image" Target="media/image96.png"/><Relationship Id="rId1069" Type="http://schemas.openxmlformats.org/officeDocument/2006/relationships/image" Target="media/image1058.png"/><Relationship Id="rId1068" Type="http://schemas.openxmlformats.org/officeDocument/2006/relationships/image" Target="media/image1057.png"/><Relationship Id="rId1067" Type="http://schemas.openxmlformats.org/officeDocument/2006/relationships/image" Target="media/image1056.png"/><Relationship Id="rId1066" Type="http://schemas.openxmlformats.org/officeDocument/2006/relationships/image" Target="media/image1055.png"/><Relationship Id="rId1065" Type="http://schemas.openxmlformats.org/officeDocument/2006/relationships/image" Target="media/image1054.png"/><Relationship Id="rId1064" Type="http://schemas.openxmlformats.org/officeDocument/2006/relationships/image" Target="media/image1053.png"/><Relationship Id="rId1063" Type="http://schemas.openxmlformats.org/officeDocument/2006/relationships/image" Target="media/image1052.png"/><Relationship Id="rId1062" Type="http://schemas.openxmlformats.org/officeDocument/2006/relationships/image" Target="media/image1051.png"/><Relationship Id="rId1061" Type="http://schemas.openxmlformats.org/officeDocument/2006/relationships/image" Target="media/image1050.png"/><Relationship Id="rId1060" Type="http://schemas.openxmlformats.org/officeDocument/2006/relationships/image" Target="media/image1049.png"/><Relationship Id="rId106" Type="http://schemas.openxmlformats.org/officeDocument/2006/relationships/image" Target="media/image95.png"/><Relationship Id="rId1059" Type="http://schemas.openxmlformats.org/officeDocument/2006/relationships/image" Target="media/image1048.png"/><Relationship Id="rId1058" Type="http://schemas.openxmlformats.org/officeDocument/2006/relationships/image" Target="media/image1047.png"/><Relationship Id="rId1057" Type="http://schemas.openxmlformats.org/officeDocument/2006/relationships/image" Target="media/image1046.png"/><Relationship Id="rId1056" Type="http://schemas.openxmlformats.org/officeDocument/2006/relationships/image" Target="media/image1045.png"/><Relationship Id="rId1055" Type="http://schemas.openxmlformats.org/officeDocument/2006/relationships/image" Target="media/image1044.png"/><Relationship Id="rId1054" Type="http://schemas.openxmlformats.org/officeDocument/2006/relationships/image" Target="media/image1043.png"/><Relationship Id="rId1053" Type="http://schemas.openxmlformats.org/officeDocument/2006/relationships/image" Target="media/image1042.png"/><Relationship Id="rId1052" Type="http://schemas.openxmlformats.org/officeDocument/2006/relationships/image" Target="media/image1041.png"/><Relationship Id="rId1051" Type="http://schemas.openxmlformats.org/officeDocument/2006/relationships/image" Target="media/image1040.png"/><Relationship Id="rId1050" Type="http://schemas.openxmlformats.org/officeDocument/2006/relationships/image" Target="media/image1039.png"/><Relationship Id="rId105" Type="http://schemas.openxmlformats.org/officeDocument/2006/relationships/image" Target="media/image94.png"/><Relationship Id="rId1049" Type="http://schemas.openxmlformats.org/officeDocument/2006/relationships/image" Target="media/image1038.png"/><Relationship Id="rId1048" Type="http://schemas.openxmlformats.org/officeDocument/2006/relationships/image" Target="media/image1037.png"/><Relationship Id="rId1047" Type="http://schemas.openxmlformats.org/officeDocument/2006/relationships/image" Target="media/image1036.png"/><Relationship Id="rId1046" Type="http://schemas.openxmlformats.org/officeDocument/2006/relationships/image" Target="media/image1035.png"/><Relationship Id="rId1045" Type="http://schemas.openxmlformats.org/officeDocument/2006/relationships/image" Target="media/image1034.png"/><Relationship Id="rId1044" Type="http://schemas.openxmlformats.org/officeDocument/2006/relationships/image" Target="media/image1033.png"/><Relationship Id="rId1043" Type="http://schemas.openxmlformats.org/officeDocument/2006/relationships/image" Target="media/image1032.png"/><Relationship Id="rId1042" Type="http://schemas.openxmlformats.org/officeDocument/2006/relationships/image" Target="media/image1031.png"/><Relationship Id="rId1041" Type="http://schemas.openxmlformats.org/officeDocument/2006/relationships/image" Target="media/image1030.png"/><Relationship Id="rId1040" Type="http://schemas.openxmlformats.org/officeDocument/2006/relationships/image" Target="media/image1029.png"/><Relationship Id="rId104" Type="http://schemas.openxmlformats.org/officeDocument/2006/relationships/image" Target="media/image93.png"/><Relationship Id="rId1039" Type="http://schemas.openxmlformats.org/officeDocument/2006/relationships/image" Target="media/image1028.png"/><Relationship Id="rId1038" Type="http://schemas.openxmlformats.org/officeDocument/2006/relationships/image" Target="media/image1027.png"/><Relationship Id="rId1037" Type="http://schemas.openxmlformats.org/officeDocument/2006/relationships/image" Target="media/image1026.png"/><Relationship Id="rId1036" Type="http://schemas.openxmlformats.org/officeDocument/2006/relationships/image" Target="media/image1025.png"/><Relationship Id="rId1035" Type="http://schemas.openxmlformats.org/officeDocument/2006/relationships/image" Target="media/image1024.png"/><Relationship Id="rId1034" Type="http://schemas.openxmlformats.org/officeDocument/2006/relationships/image" Target="media/image1023.png"/><Relationship Id="rId1033" Type="http://schemas.openxmlformats.org/officeDocument/2006/relationships/image" Target="media/image1022.png"/><Relationship Id="rId1032" Type="http://schemas.openxmlformats.org/officeDocument/2006/relationships/image" Target="media/image1021.png"/><Relationship Id="rId1031" Type="http://schemas.openxmlformats.org/officeDocument/2006/relationships/image" Target="media/image1020.png"/><Relationship Id="rId1030" Type="http://schemas.openxmlformats.org/officeDocument/2006/relationships/image" Target="media/image1019.png"/><Relationship Id="rId103" Type="http://schemas.openxmlformats.org/officeDocument/2006/relationships/image" Target="media/image92.png"/><Relationship Id="rId1029" Type="http://schemas.openxmlformats.org/officeDocument/2006/relationships/image" Target="media/image1018.png"/><Relationship Id="rId1028" Type="http://schemas.openxmlformats.org/officeDocument/2006/relationships/image" Target="media/image1017.png"/><Relationship Id="rId1027" Type="http://schemas.openxmlformats.org/officeDocument/2006/relationships/image" Target="media/image1016.png"/><Relationship Id="rId1026" Type="http://schemas.openxmlformats.org/officeDocument/2006/relationships/image" Target="media/image1015.png"/><Relationship Id="rId1025" Type="http://schemas.openxmlformats.org/officeDocument/2006/relationships/image" Target="media/image1014.png"/><Relationship Id="rId1024" Type="http://schemas.openxmlformats.org/officeDocument/2006/relationships/image" Target="media/image1013.png"/><Relationship Id="rId1023" Type="http://schemas.openxmlformats.org/officeDocument/2006/relationships/image" Target="media/image1012.png"/><Relationship Id="rId1022" Type="http://schemas.openxmlformats.org/officeDocument/2006/relationships/image" Target="media/image1011.png"/><Relationship Id="rId1021" Type="http://schemas.openxmlformats.org/officeDocument/2006/relationships/image" Target="media/image1010.png"/><Relationship Id="rId1020" Type="http://schemas.openxmlformats.org/officeDocument/2006/relationships/image" Target="media/image1009.png"/><Relationship Id="rId102" Type="http://schemas.openxmlformats.org/officeDocument/2006/relationships/image" Target="media/image91.png"/><Relationship Id="rId1019" Type="http://schemas.openxmlformats.org/officeDocument/2006/relationships/image" Target="media/image1008.png"/><Relationship Id="rId1018" Type="http://schemas.openxmlformats.org/officeDocument/2006/relationships/image" Target="media/image1007.png"/><Relationship Id="rId1017" Type="http://schemas.openxmlformats.org/officeDocument/2006/relationships/image" Target="media/image1006.png"/><Relationship Id="rId1016" Type="http://schemas.openxmlformats.org/officeDocument/2006/relationships/image" Target="media/image1005.png"/><Relationship Id="rId1015" Type="http://schemas.openxmlformats.org/officeDocument/2006/relationships/image" Target="media/image1004.png"/><Relationship Id="rId1014" Type="http://schemas.openxmlformats.org/officeDocument/2006/relationships/image" Target="media/image1003.png"/><Relationship Id="rId1013" Type="http://schemas.openxmlformats.org/officeDocument/2006/relationships/image" Target="media/image1002.png"/><Relationship Id="rId1012" Type="http://schemas.openxmlformats.org/officeDocument/2006/relationships/image" Target="media/image1001.png"/><Relationship Id="rId1011" Type="http://schemas.openxmlformats.org/officeDocument/2006/relationships/image" Target="media/image1000.png"/><Relationship Id="rId1010" Type="http://schemas.openxmlformats.org/officeDocument/2006/relationships/image" Target="media/image999.png"/><Relationship Id="rId101" Type="http://schemas.openxmlformats.org/officeDocument/2006/relationships/image" Target="media/image90.png"/><Relationship Id="rId1009" Type="http://schemas.openxmlformats.org/officeDocument/2006/relationships/image" Target="media/image998.png"/><Relationship Id="rId1008" Type="http://schemas.openxmlformats.org/officeDocument/2006/relationships/image" Target="media/image997.png"/><Relationship Id="rId1007" Type="http://schemas.openxmlformats.org/officeDocument/2006/relationships/image" Target="media/image996.png"/><Relationship Id="rId1006" Type="http://schemas.openxmlformats.org/officeDocument/2006/relationships/image" Target="media/image995.png"/><Relationship Id="rId1005" Type="http://schemas.openxmlformats.org/officeDocument/2006/relationships/image" Target="media/image994.png"/><Relationship Id="rId1004" Type="http://schemas.openxmlformats.org/officeDocument/2006/relationships/image" Target="media/image993.png"/><Relationship Id="rId1003" Type="http://schemas.openxmlformats.org/officeDocument/2006/relationships/image" Target="media/image992.png"/><Relationship Id="rId1002" Type="http://schemas.openxmlformats.org/officeDocument/2006/relationships/image" Target="media/image991.png"/><Relationship Id="rId1001" Type="http://schemas.openxmlformats.org/officeDocument/2006/relationships/image" Target="media/image990.png"/><Relationship Id="rId1000" Type="http://schemas.openxmlformats.org/officeDocument/2006/relationships/image" Target="media/image989.png"/><Relationship Id="rId100" Type="http://schemas.openxmlformats.org/officeDocument/2006/relationships/image" Target="media/image89.png"/><Relationship Id="rId10" Type="http://schemas.openxmlformats.org/officeDocument/2006/relationships/theme" Target="theme/theme1.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09DDF9A-85A5-4A3E-9BB1-72BE6E8D953D}">
  <ds:schemaRefs/>
</ds:datastoreItem>
</file>

<file path=docProps/app.xml><?xml version="1.0" encoding="utf-8"?>
<Properties xmlns="http://schemas.openxmlformats.org/officeDocument/2006/extended-properties" xmlns:vt="http://schemas.openxmlformats.org/officeDocument/2006/docPropsVTypes">
  <Template>Normal.dotm</Template>
  <Pages>1038</Pages>
  <Words>861</Words>
  <Characters>1129</Characters>
  <Lines>3080</Lines>
  <Paragraphs>867</Paragraphs>
  <TotalTime>3</TotalTime>
  <ScaleCrop>false</ScaleCrop>
  <LinksUpToDate>false</LinksUpToDate>
  <CharactersWithSpaces>1152</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2025-04-24T11:00:00Z</dcterms:created>
  <dc:creator>龚雪</dc:creator>
  <cp:lastModifiedBy>梁大喵</cp:lastModifiedBy>
  <cp:lastPrinted>2020-04-29T09:33:00Z</cp:lastPrinted>
  <dcterms:modified xsi:type="dcterms:W3CDTF">2025-05-12T07:31:44Z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KSOTemplateDocerSaveRecord">
    <vt:lpwstr>eyJoZGlkIjoiNjg0ODg4ZDJlNGQ4OGQ4ZDUxZjM4NmFiMDk0Y2I4YTAiLCJ1c2VySWQiOiI2ODUyOTU2ODcifQ==</vt:lpwstr>
  </property>
  <property fmtid="{D5CDD505-2E9C-101B-9397-08002B2CF9AE}" pid="4" name="ICV">
    <vt:lpwstr>9D7B0000781149268374E875580D16D7_12</vt:lpwstr>
  </property>
  <property fmtid="{D5CDD505-2E9C-101B-9397-08002B2CF9AE}" pid="5" name="fileWhereFroms">
    <vt:lpwstr>PpjeLB1gRN0lwrPqMaCTksIcrQ9KKGfiX9QkTD5uridjiSZIPGKtUrl9I991sQU1u9Q8hsDzD0GzSHJtBHJLD61Xc7GJ5/lRdhkoK/axGTiL1Kex5PfDuKQOg5o6epUR1AwFHbFcx9JGZOKt61kWABil1cW7nzde44YPdq9UVuPiLSqLOSRJIiqt8maF8Clk1Kpns5gwd3lXulhsJhUNOiISLfK40xj450Sf5FAL1+jdqjuaTGjgFbv7h6ViuQ7F8+FrJPjiaVom+wf1TT5mMyTXt0YPqg/Fz59CAEZXohs=</vt:lpwstr>
  </property>
</Properties>
</file>